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1.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39.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40.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41.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42.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43.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54.xml" ContentType="application/vnd.openxmlformats-officedocument.drawingml.chart+xml"/>
  <Override PartName="/word/charts/chart55.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56.xml" ContentType="application/vnd.openxmlformats-officedocument.drawingml.chart+xml"/>
  <Override PartName="/word/charts/chart57.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58.xml" ContentType="application/vnd.openxmlformats-officedocument.drawingml.chart+xml"/>
  <Override PartName="/word/charts/chart59.xml" ContentType="application/vnd.openxmlformats-officedocument.drawingml.chart+xml"/>
  <Override PartName="/word/theme/themeOverride2.xml" ContentType="application/vnd.openxmlformats-officedocument.themeOverride+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64.xml" ContentType="application/vnd.openxmlformats-officedocument.drawingml.chart+xml"/>
  <Override PartName="/word/charts/chart6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charts/chart66.xml" ContentType="application/vnd.openxmlformats-officedocument.drawingml.chart+xml"/>
  <Override PartName="/word/charts/chart67.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68.xml" ContentType="application/vnd.openxmlformats-officedocument.drawingml.chart+xml"/>
  <Override PartName="/word/charts/chart69.xml" ContentType="application/vnd.openxmlformats-officedocument.drawingml.chart+xml"/>
  <Override PartName="/word/charts/style37.xml" ContentType="application/vnd.ms-office.chartstyle+xml"/>
  <Override PartName="/word/charts/colors37.xml" ContentType="application/vnd.ms-office.chartcolorstyle+xml"/>
  <Override PartName="/word/header24.xml" ContentType="application/vnd.openxmlformats-officedocument.wordprocessingml.header+xml"/>
  <Override PartName="/word/charts/chart70.xml" ContentType="application/vnd.openxmlformats-officedocument.drawingml.chart+xml"/>
  <Override PartName="/word/charts/chart71.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72.xml" ContentType="application/vnd.openxmlformats-officedocument.drawingml.chart+xml"/>
  <Override PartName="/word/charts/chart73.xml" ContentType="application/vnd.openxmlformats-officedocument.drawingml.chart+xml"/>
  <Override PartName="/word/charts/style39.xml" ContentType="application/vnd.ms-office.chartstyle+xml"/>
  <Override PartName="/word/charts/colors39.xml" ContentType="application/vnd.ms-office.chartcolorstyle+xml"/>
  <Override PartName="/word/header25.xml" ContentType="application/vnd.openxmlformats-officedocument.wordprocessingml.header+xml"/>
  <Override PartName="/word/charts/chart74.xml" ContentType="application/vnd.openxmlformats-officedocument.drawingml.chart+xml"/>
  <Override PartName="/word/charts/chart75.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76.xml" ContentType="application/vnd.openxmlformats-officedocument.drawingml.chart+xml"/>
  <Override PartName="/word/charts/chart77.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78.xml" ContentType="application/vnd.openxmlformats-officedocument.drawingml.chart+xml"/>
  <Override PartName="/word/charts/chart79.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80.xml" ContentType="application/vnd.openxmlformats-officedocument.drawingml.chart+xml"/>
  <Override PartName="/word/charts/chart81.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82.xml" ContentType="application/vnd.openxmlformats-officedocument.drawingml.chart+xml"/>
  <Override PartName="/word/charts/chart83.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84.xml" ContentType="application/vnd.openxmlformats-officedocument.drawingml.chart+xml"/>
  <Override PartName="/word/charts/chart8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86.xml" ContentType="application/vnd.openxmlformats-officedocument.drawingml.chart+xml"/>
  <Override PartName="/word/charts/chart87.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88.xml" ContentType="application/vnd.openxmlformats-officedocument.drawingml.chart+xml"/>
  <Override PartName="/word/charts/chart89.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90.xml" ContentType="application/vnd.openxmlformats-officedocument.drawingml.chart+xml"/>
  <Override PartName="/word/charts/chart91.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92.xml" ContentType="application/vnd.openxmlformats-officedocument.drawingml.chart+xml"/>
  <Override PartName="/word/charts/chart93.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94.xml" ContentType="application/vnd.openxmlformats-officedocument.drawingml.chart+xml"/>
  <Override PartName="/word/charts/chart95.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96.xml" ContentType="application/vnd.openxmlformats-officedocument.drawingml.chart+xml"/>
  <Override PartName="/word/charts/chart97.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98.xml" ContentType="application/vnd.openxmlformats-officedocument.drawingml.chart+xml"/>
  <Override PartName="/word/charts/chart99.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100.xml" ContentType="application/vnd.openxmlformats-officedocument.drawingml.chart+xml"/>
  <Override PartName="/word/charts/chart101.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102.xml" ContentType="application/vnd.openxmlformats-officedocument.drawingml.chart+xml"/>
  <Override PartName="/word/charts/chart103.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104.xml" ContentType="application/vnd.openxmlformats-officedocument.drawingml.chart+xml"/>
  <Override PartName="/word/charts/chart10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106.xml" ContentType="application/vnd.openxmlformats-officedocument.drawingml.chart+xml"/>
  <Override PartName="/word/charts/chart107.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108.xml" ContentType="application/vnd.openxmlformats-officedocument.drawingml.chart+xml"/>
  <Override PartName="/word/charts/chart109.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110.xml" ContentType="application/vnd.openxmlformats-officedocument.drawingml.chart+xml"/>
  <Override PartName="/word/charts/chart111.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112.xml" ContentType="application/vnd.openxmlformats-officedocument.drawingml.chart+xml"/>
  <Override PartName="/word/charts/chart113.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114.xml" ContentType="application/vnd.openxmlformats-officedocument.drawingml.chart+xml"/>
  <Override PartName="/word/charts/chart115.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116.xml" ContentType="application/vnd.openxmlformats-officedocument.drawingml.chart+xml"/>
  <Override PartName="/word/charts/chart117.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118.xml" ContentType="application/vnd.openxmlformats-officedocument.drawingml.chart+xml"/>
  <Override PartName="/word/charts/chart119.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120.xml" ContentType="application/vnd.openxmlformats-officedocument.drawingml.chart+xml"/>
  <Override PartName="/word/charts/chart121.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122.xml" ContentType="application/vnd.openxmlformats-officedocument.drawingml.chart+xml"/>
  <Override PartName="/word/charts/chart123.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124.xml" ContentType="application/vnd.openxmlformats-officedocument.drawingml.chart+xml"/>
  <Override PartName="/word/charts/chart12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126.xml" ContentType="application/vnd.openxmlformats-officedocument.drawingml.chart+xml"/>
  <Override PartName="/word/charts/chart127.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128.xml" ContentType="application/vnd.openxmlformats-officedocument.drawingml.chart+xml"/>
  <Override PartName="/word/charts/chart129.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130.xml" ContentType="application/vnd.openxmlformats-officedocument.drawingml.chart+xml"/>
  <Override PartName="/word/charts/chart131.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132.xml" ContentType="application/vnd.openxmlformats-officedocument.drawingml.chart+xml"/>
  <Override PartName="/word/charts/chart133.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134.xml" ContentType="application/vnd.openxmlformats-officedocument.drawingml.chart+xml"/>
  <Override PartName="/word/charts/chart135.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136.xml" ContentType="application/vnd.openxmlformats-officedocument.drawingml.chart+xml"/>
  <Override PartName="/word/charts/chart137.xml" ContentType="application/vnd.openxmlformats-officedocument.drawingml.chart+xml"/>
  <Override PartName="/word/charts/style71.xml" ContentType="application/vnd.ms-office.chartstyle+xml"/>
  <Override PartName="/word/charts/colors71.xml" ContentType="application/vnd.ms-office.chartcolorstyle+xml"/>
  <Override PartName="/word/header26.xml" ContentType="application/vnd.openxmlformats-officedocument.wordprocessingml.header+xml"/>
  <Override PartName="/word/header27.xml" ContentType="application/vnd.openxmlformats-officedocument.wordprocessingml.header+xml"/>
  <Override PartName="/word/charts/chart138.xml" ContentType="application/vnd.openxmlformats-officedocument.drawingml.chart+xml"/>
  <Override PartName="/word/charts/style72.xml" ContentType="application/vnd.ms-office.chartstyle+xml"/>
  <Override PartName="/word/charts/colors72.xml" ContentType="application/vnd.ms-office.chartcolorstyle+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F59775" w14:textId="77777777" w:rsidR="00F42A46" w:rsidRPr="0098414F" w:rsidRDefault="00F42A46" w:rsidP="00155BFB">
      <w:pPr>
        <w:spacing w:after="0" w:line="480" w:lineRule="auto"/>
        <w:ind w:left="1440" w:hanging="720"/>
        <w:jc w:val="center"/>
        <w:rPr>
          <w:rFonts w:ascii="Times New Roman" w:hAnsi="Times New Roman"/>
          <w:sz w:val="32"/>
          <w:szCs w:val="32"/>
          <w:lang w:val="es-ES_tradnl"/>
        </w:rPr>
      </w:pPr>
    </w:p>
    <w:p w14:paraId="78C03493" w14:textId="77777777" w:rsidR="00F42A4F" w:rsidRPr="0098414F" w:rsidRDefault="00F42A4F" w:rsidP="005E5579">
      <w:pPr>
        <w:spacing w:after="0" w:line="480" w:lineRule="auto"/>
        <w:ind w:firstLine="720"/>
        <w:jc w:val="center"/>
        <w:rPr>
          <w:rFonts w:ascii="Times New Roman" w:hAnsi="Times New Roman"/>
          <w:sz w:val="32"/>
          <w:szCs w:val="32"/>
          <w:lang w:val="es-ES_tradnl"/>
        </w:rPr>
      </w:pPr>
    </w:p>
    <w:p w14:paraId="00ADD9C7" w14:textId="77777777" w:rsidR="00F42A4F" w:rsidRPr="006569D0" w:rsidRDefault="005B7AE2" w:rsidP="005E5579">
      <w:pPr>
        <w:spacing w:after="0" w:line="480" w:lineRule="auto"/>
        <w:jc w:val="center"/>
        <w:rPr>
          <w:rFonts w:ascii="Times New Roman" w:hAnsi="Times New Roman"/>
          <w:sz w:val="32"/>
          <w:szCs w:val="32"/>
          <w:lang w:val="es-ES_tradnl"/>
        </w:rPr>
      </w:pPr>
      <w:r w:rsidRPr="006569D0">
        <w:rPr>
          <w:rFonts w:ascii="Times New Roman" w:hAnsi="Times New Roman"/>
          <w:noProof/>
          <w:sz w:val="32"/>
          <w:szCs w:val="32"/>
          <w:lang w:eastAsia="es-DO"/>
        </w:rPr>
        <w:drawing>
          <wp:anchor distT="0" distB="0" distL="114300" distR="114300" simplePos="0" relativeHeight="251649024" behindDoc="0" locked="0" layoutInCell="1" allowOverlap="1" wp14:anchorId="20E99D72" wp14:editId="3D49D2A4">
            <wp:simplePos x="0" y="0"/>
            <wp:positionH relativeFrom="margin">
              <wp:align>center</wp:align>
            </wp:positionH>
            <wp:positionV relativeFrom="margin">
              <wp:posOffset>923925</wp:posOffset>
            </wp:positionV>
            <wp:extent cx="1145540" cy="1145540"/>
            <wp:effectExtent l="0" t="0" r="0" b="0"/>
            <wp:wrapSquare wrapText="bothSides"/>
            <wp:docPr id="130" name="Picture 1" descr="HD:Users:sheillynunez:Downloads:270px-Coat_of_arms_of_the_Dominican_Republic.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sheillynunez:Downloads:270px-Coat_of_arms_of_the_Dominican_Republic.svg.png"/>
                    <pic:cNvPicPr>
                      <a:picLocks noChangeAspect="1" noChangeArrowheads="1"/>
                    </pic:cNvPicPr>
                  </pic:nvPicPr>
                  <pic:blipFill>
                    <a:blip r:embed="rId8"/>
                    <a:srcRect/>
                    <a:stretch>
                      <a:fillRect/>
                    </a:stretch>
                  </pic:blipFill>
                  <pic:spPr bwMode="auto">
                    <a:xfrm>
                      <a:off x="0" y="0"/>
                      <a:ext cx="1145540" cy="1145540"/>
                    </a:xfrm>
                    <a:prstGeom prst="rect">
                      <a:avLst/>
                    </a:prstGeom>
                    <a:noFill/>
                    <a:ln w="9525">
                      <a:noFill/>
                      <a:miter lim="800000"/>
                      <a:headEnd/>
                      <a:tailEnd/>
                    </a:ln>
                  </pic:spPr>
                </pic:pic>
              </a:graphicData>
            </a:graphic>
          </wp:anchor>
        </w:drawing>
      </w:r>
    </w:p>
    <w:p w14:paraId="288849D6" w14:textId="77777777" w:rsidR="00AC57A7" w:rsidRPr="006569D0" w:rsidRDefault="00AC57A7" w:rsidP="005E5579">
      <w:pPr>
        <w:spacing w:after="0" w:line="480" w:lineRule="auto"/>
        <w:ind w:firstLine="720"/>
        <w:jc w:val="center"/>
        <w:rPr>
          <w:rFonts w:ascii="Times New Roman" w:hAnsi="Times New Roman"/>
          <w:sz w:val="32"/>
          <w:szCs w:val="32"/>
          <w:lang w:val="es-ES_tradnl"/>
        </w:rPr>
      </w:pPr>
    </w:p>
    <w:p w14:paraId="0F856678" w14:textId="77777777" w:rsidR="002F7074" w:rsidRPr="006569D0" w:rsidRDefault="002F7074" w:rsidP="005E5579">
      <w:pPr>
        <w:spacing w:after="0" w:line="480" w:lineRule="auto"/>
        <w:ind w:firstLine="720"/>
        <w:jc w:val="center"/>
        <w:rPr>
          <w:rFonts w:ascii="Times New Roman" w:hAnsi="Times New Roman"/>
          <w:sz w:val="32"/>
          <w:szCs w:val="32"/>
          <w:lang w:val="es-ES_tradnl"/>
        </w:rPr>
      </w:pPr>
    </w:p>
    <w:p w14:paraId="0BB8D2C4" w14:textId="77777777" w:rsidR="002F7074" w:rsidRPr="006569D0" w:rsidRDefault="002F7074" w:rsidP="005E5579">
      <w:pPr>
        <w:spacing w:after="0" w:line="480" w:lineRule="auto"/>
        <w:ind w:firstLine="720"/>
        <w:jc w:val="center"/>
        <w:rPr>
          <w:rFonts w:ascii="Times New Roman" w:hAnsi="Times New Roman"/>
          <w:sz w:val="32"/>
          <w:szCs w:val="32"/>
          <w:lang w:val="es-ES_tradnl"/>
        </w:rPr>
      </w:pPr>
    </w:p>
    <w:p w14:paraId="4C7A57C5" w14:textId="77777777" w:rsidR="005B7AE2" w:rsidRPr="006569D0" w:rsidRDefault="005B7AE2" w:rsidP="005E5579">
      <w:pPr>
        <w:spacing w:after="0" w:line="480" w:lineRule="auto"/>
        <w:jc w:val="center"/>
        <w:rPr>
          <w:rFonts w:ascii="Times New Roman" w:hAnsi="Times New Roman"/>
          <w:sz w:val="32"/>
          <w:szCs w:val="32"/>
          <w:lang w:val="es-ES_tradnl"/>
        </w:rPr>
      </w:pPr>
    </w:p>
    <w:p w14:paraId="0C86095B" w14:textId="77777777" w:rsidR="002F7074" w:rsidRPr="006569D0" w:rsidRDefault="002F7074" w:rsidP="005E5579">
      <w:pPr>
        <w:spacing w:after="0" w:line="480" w:lineRule="auto"/>
        <w:jc w:val="center"/>
        <w:rPr>
          <w:rFonts w:ascii="Times New Roman" w:hAnsi="Times New Roman"/>
          <w:b/>
          <w:sz w:val="32"/>
          <w:szCs w:val="32"/>
          <w:lang w:val="es-ES_tradnl"/>
        </w:rPr>
      </w:pPr>
      <w:r w:rsidRPr="006569D0">
        <w:rPr>
          <w:rFonts w:ascii="Times New Roman" w:hAnsi="Times New Roman"/>
          <w:b/>
          <w:sz w:val="32"/>
          <w:szCs w:val="32"/>
          <w:lang w:val="es-ES_tradnl"/>
        </w:rPr>
        <w:t>REPÚBLICA DOMINICANA</w:t>
      </w:r>
    </w:p>
    <w:p w14:paraId="0D21AFB2" w14:textId="77777777" w:rsidR="002F7074" w:rsidRPr="006569D0" w:rsidRDefault="002F7074" w:rsidP="005E5579">
      <w:pPr>
        <w:spacing w:after="0" w:line="480" w:lineRule="auto"/>
        <w:jc w:val="center"/>
        <w:rPr>
          <w:rFonts w:ascii="Times New Roman" w:hAnsi="Times New Roman"/>
          <w:b/>
          <w:sz w:val="32"/>
          <w:szCs w:val="32"/>
          <w:lang w:val="es-ES_tradnl"/>
        </w:rPr>
      </w:pPr>
    </w:p>
    <w:p w14:paraId="605DE5A7" w14:textId="77777777" w:rsidR="002F7074" w:rsidRPr="006569D0" w:rsidRDefault="002F7074" w:rsidP="005E5579">
      <w:pPr>
        <w:spacing w:after="0" w:line="480" w:lineRule="auto"/>
        <w:jc w:val="center"/>
        <w:rPr>
          <w:rFonts w:ascii="Times New Roman" w:hAnsi="Times New Roman"/>
          <w:b/>
          <w:sz w:val="32"/>
          <w:szCs w:val="32"/>
          <w:lang w:val="es-ES_tradnl"/>
        </w:rPr>
      </w:pPr>
    </w:p>
    <w:p w14:paraId="0D401508" w14:textId="77777777" w:rsidR="005B7AE2" w:rsidRPr="006569D0" w:rsidRDefault="005B7AE2" w:rsidP="005B7AE2">
      <w:pPr>
        <w:spacing w:after="0" w:line="480" w:lineRule="auto"/>
        <w:jc w:val="center"/>
        <w:rPr>
          <w:rFonts w:ascii="Times New Roman" w:hAnsi="Times New Roman"/>
          <w:b/>
          <w:sz w:val="32"/>
          <w:szCs w:val="32"/>
          <w:lang w:val="es-ES_tradnl"/>
        </w:rPr>
      </w:pPr>
    </w:p>
    <w:p w14:paraId="6E7393D1" w14:textId="77777777" w:rsidR="005B7AE2" w:rsidRPr="006569D0" w:rsidRDefault="002F7074" w:rsidP="005B7AE2">
      <w:pPr>
        <w:spacing w:after="0" w:line="480" w:lineRule="auto"/>
        <w:jc w:val="center"/>
        <w:rPr>
          <w:rFonts w:ascii="Times New Roman" w:hAnsi="Times New Roman"/>
          <w:b/>
          <w:sz w:val="32"/>
          <w:szCs w:val="32"/>
          <w:lang w:val="es-ES_tradnl"/>
        </w:rPr>
      </w:pPr>
      <w:r w:rsidRPr="006569D0">
        <w:rPr>
          <w:rFonts w:ascii="Times New Roman" w:hAnsi="Times New Roman"/>
          <w:b/>
          <w:sz w:val="32"/>
          <w:szCs w:val="32"/>
          <w:lang w:val="es-ES_tradnl"/>
        </w:rPr>
        <w:t>MINISTERIO DE AGRICULTURA</w:t>
      </w:r>
    </w:p>
    <w:p w14:paraId="62FAB6CE" w14:textId="77777777" w:rsidR="005B7AE2" w:rsidRPr="006569D0" w:rsidRDefault="00852DAC" w:rsidP="005B7AE2">
      <w:pPr>
        <w:spacing w:after="0" w:line="480" w:lineRule="auto"/>
        <w:jc w:val="center"/>
        <w:rPr>
          <w:rFonts w:ascii="Times New Roman" w:hAnsi="Times New Roman"/>
          <w:b/>
          <w:sz w:val="32"/>
          <w:szCs w:val="32"/>
          <w:lang w:val="es-ES_tradnl"/>
        </w:rPr>
      </w:pPr>
      <w:r w:rsidRPr="006569D0">
        <w:rPr>
          <w:rFonts w:ascii="Times New Roman" w:hAnsi="Times New Roman"/>
          <w:b/>
          <w:sz w:val="32"/>
          <w:szCs w:val="32"/>
          <w:lang w:val="es-ES_tradnl"/>
        </w:rPr>
        <w:t xml:space="preserve">Memoria </w:t>
      </w:r>
      <w:r w:rsidR="00B80C33" w:rsidRPr="006569D0">
        <w:rPr>
          <w:rFonts w:ascii="Times New Roman" w:hAnsi="Times New Roman"/>
          <w:b/>
          <w:sz w:val="32"/>
          <w:szCs w:val="32"/>
          <w:lang w:val="es-ES_tradnl"/>
        </w:rPr>
        <w:t>I</w:t>
      </w:r>
      <w:r w:rsidR="00573B69" w:rsidRPr="006569D0">
        <w:rPr>
          <w:rFonts w:ascii="Times New Roman" w:hAnsi="Times New Roman"/>
          <w:b/>
          <w:sz w:val="32"/>
          <w:szCs w:val="32"/>
          <w:lang w:val="es-ES_tradnl"/>
        </w:rPr>
        <w:t>nstitucional</w:t>
      </w:r>
    </w:p>
    <w:p w14:paraId="4743DCAB" w14:textId="77777777" w:rsidR="002F7074" w:rsidRPr="006569D0" w:rsidRDefault="002F7074" w:rsidP="005B7AE2">
      <w:pPr>
        <w:spacing w:after="0" w:line="480" w:lineRule="auto"/>
        <w:jc w:val="center"/>
        <w:rPr>
          <w:rFonts w:ascii="Times New Roman" w:hAnsi="Times New Roman"/>
          <w:b/>
          <w:sz w:val="32"/>
          <w:szCs w:val="32"/>
          <w:lang w:val="es-ES_tradnl"/>
        </w:rPr>
      </w:pPr>
      <w:r w:rsidRPr="006569D0">
        <w:rPr>
          <w:rFonts w:ascii="Times New Roman" w:hAnsi="Times New Roman"/>
          <w:b/>
          <w:sz w:val="32"/>
          <w:szCs w:val="32"/>
          <w:lang w:val="es-ES_tradnl"/>
        </w:rPr>
        <w:t>201</w:t>
      </w:r>
      <w:r w:rsidR="00526F80" w:rsidRPr="006569D0">
        <w:rPr>
          <w:rFonts w:ascii="Times New Roman" w:hAnsi="Times New Roman"/>
          <w:b/>
          <w:sz w:val="32"/>
          <w:szCs w:val="32"/>
          <w:lang w:val="es-ES_tradnl"/>
        </w:rPr>
        <w:t>9</w:t>
      </w:r>
    </w:p>
    <w:p w14:paraId="1175722D" w14:textId="77777777" w:rsidR="002F7074" w:rsidRPr="006569D0" w:rsidRDefault="002F7074" w:rsidP="009C4E7F">
      <w:pPr>
        <w:spacing w:after="0" w:line="480" w:lineRule="auto"/>
        <w:ind w:firstLine="720"/>
        <w:jc w:val="both"/>
        <w:rPr>
          <w:rFonts w:ascii="Times New Roman" w:hAnsi="Times New Roman"/>
          <w:b/>
          <w:sz w:val="32"/>
          <w:szCs w:val="32"/>
          <w:lang w:val="es-ES_tradnl"/>
        </w:rPr>
      </w:pPr>
    </w:p>
    <w:p w14:paraId="61A9EAF5" w14:textId="7F033271" w:rsidR="005F77A2" w:rsidRPr="006569D0" w:rsidRDefault="005F77A2">
      <w:pPr>
        <w:spacing w:after="0"/>
        <w:rPr>
          <w:rFonts w:ascii="Times New Roman" w:hAnsi="Times New Roman"/>
          <w:b/>
          <w:sz w:val="32"/>
          <w:szCs w:val="32"/>
          <w:lang w:val="es-ES_tradnl" w:eastAsia="en-US"/>
        </w:rPr>
      </w:pPr>
    </w:p>
    <w:p w14:paraId="293E495C" w14:textId="77777777" w:rsidR="00E848C5" w:rsidRPr="006569D0" w:rsidRDefault="00E848C5" w:rsidP="000724CE">
      <w:pPr>
        <w:spacing w:after="0" w:line="480" w:lineRule="auto"/>
        <w:ind w:firstLine="851"/>
        <w:jc w:val="both"/>
        <w:rPr>
          <w:rFonts w:ascii="Times New Roman" w:hAnsi="Times New Roman"/>
          <w:lang w:val="es-ES_tradnl"/>
        </w:rPr>
      </w:pPr>
      <w:r w:rsidRPr="006569D0">
        <w:rPr>
          <w:rFonts w:ascii="Times New Roman" w:hAnsi="Times New Roman"/>
          <w:lang w:val="es-ES_tradnl"/>
        </w:rPr>
        <w:br w:type="page"/>
      </w:r>
    </w:p>
    <w:p w14:paraId="55910A11" w14:textId="77777777" w:rsidR="006E60BF" w:rsidRPr="006569D0" w:rsidRDefault="004B5C88" w:rsidP="00C353F5">
      <w:pPr>
        <w:shd w:val="clear" w:color="auto" w:fill="FFFFFF"/>
        <w:spacing w:after="0" w:line="276" w:lineRule="auto"/>
        <w:jc w:val="both"/>
        <w:rPr>
          <w:rFonts w:ascii="Times New Roman" w:hAnsi="Times New Roman"/>
          <w:b/>
          <w:sz w:val="28"/>
          <w:szCs w:val="28"/>
        </w:rPr>
      </w:pPr>
      <w:r w:rsidRPr="006569D0">
        <w:rPr>
          <w:rFonts w:ascii="Times New Roman" w:hAnsi="Times New Roman"/>
          <w:b/>
          <w:noProof/>
          <w:sz w:val="28"/>
          <w:szCs w:val="28"/>
          <w:lang w:eastAsia="es-DO"/>
        </w:rPr>
        <w:lastRenderedPageBreak/>
        <mc:AlternateContent>
          <mc:Choice Requires="wps">
            <w:drawing>
              <wp:anchor distT="36576" distB="36576" distL="36576" distR="36576" simplePos="0" relativeHeight="251650048" behindDoc="0" locked="0" layoutInCell="1" allowOverlap="1" wp14:anchorId="5422A835" wp14:editId="509BCFCC">
                <wp:simplePos x="0" y="0"/>
                <wp:positionH relativeFrom="column">
                  <wp:posOffset>4342765</wp:posOffset>
                </wp:positionH>
                <wp:positionV relativeFrom="paragraph">
                  <wp:posOffset>6567805</wp:posOffset>
                </wp:positionV>
                <wp:extent cx="1371600" cy="685800"/>
                <wp:effectExtent l="0" t="0" r="0" b="0"/>
                <wp:wrapNone/>
                <wp:docPr id="136" name="Rectangle 1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23F59A7" id="Rectangle 12" o:spid="_x0000_s1026" style="position:absolute;margin-left:341.95pt;margin-top:517.15pt;width:108pt;height:54pt;z-index:251650048;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" filled="f" fillcolor="black" stroked="f" strokecolor="white" strokeweight="0">
                <o:lock v:ext="edit" shapetype="t"/>
                <v:textbox inset="2.88pt,2.88pt,2.88pt,2.88pt"/>
              </v:rect>
            </w:pict>
          </mc:Fallback>
        </mc:AlternateContent>
      </w:r>
      <w:r w:rsidRPr="006569D0">
        <w:rPr>
          <w:rFonts w:ascii="Times New Roman" w:hAnsi="Times New Roman"/>
          <w:b/>
          <w:noProof/>
          <w:sz w:val="28"/>
          <w:szCs w:val="28"/>
          <w:lang w:eastAsia="es-DO"/>
        </w:rPr>
        <mc:AlternateContent>
          <mc:Choice Requires="wps">
            <w:drawing>
              <wp:anchor distT="36576" distB="36576" distL="36576" distR="36576" simplePos="0" relativeHeight="251651072" behindDoc="0" locked="0" layoutInCell="1" allowOverlap="1" wp14:anchorId="047F9716" wp14:editId="2DD3CF88">
                <wp:simplePos x="0" y="0"/>
                <wp:positionH relativeFrom="column">
                  <wp:posOffset>4342765</wp:posOffset>
                </wp:positionH>
                <wp:positionV relativeFrom="paragraph">
                  <wp:posOffset>6567805</wp:posOffset>
                </wp:positionV>
                <wp:extent cx="1371600" cy="685800"/>
                <wp:effectExtent l="0" t="0" r="0" b="0"/>
                <wp:wrapNone/>
                <wp:docPr id="133" name="Rectangle 3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2E5B8B1" id="Rectangle 31" o:spid="_x0000_s1026" style="position:absolute;margin-left:341.95pt;margin-top:517.15pt;width:108pt;height:54pt;z-index:251651072;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" filled="f" fillcolor="black" stroked="f" strokecolor="white" strokeweight="0">
                <o:lock v:ext="edit" shapetype="t"/>
                <v:textbox inset="2.88pt,2.88pt,2.88pt,2.88pt"/>
              </v:rect>
            </w:pict>
          </mc:Fallback>
        </mc:AlternateContent>
      </w:r>
      <w:r w:rsidRPr="006569D0">
        <w:rPr>
          <w:rFonts w:ascii="Times New Roman" w:hAnsi="Times New Roman"/>
          <w:b/>
          <w:noProof/>
          <w:sz w:val="28"/>
          <w:szCs w:val="28"/>
          <w:lang w:eastAsia="es-DO"/>
        </w:rPr>
        <mc:AlternateContent>
          <mc:Choice Requires="wps">
            <w:drawing>
              <wp:anchor distT="36576" distB="36576" distL="36576" distR="36576" simplePos="0" relativeHeight="251652096" behindDoc="0" locked="0" layoutInCell="1" allowOverlap="1" wp14:anchorId="31CD5226" wp14:editId="2CD5490F">
                <wp:simplePos x="0" y="0"/>
                <wp:positionH relativeFrom="column">
                  <wp:posOffset>4342765</wp:posOffset>
                </wp:positionH>
                <wp:positionV relativeFrom="paragraph">
                  <wp:posOffset>6567805</wp:posOffset>
                </wp:positionV>
                <wp:extent cx="1371600" cy="685800"/>
                <wp:effectExtent l="0" t="0" r="0" b="0"/>
                <wp:wrapNone/>
                <wp:docPr id="132" name="Rectangle 45"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D295D8" id="Rectangle 45" o:spid="_x0000_s1026" style="position:absolute;margin-left:341.95pt;margin-top:517.15pt;width:108pt;height:54pt;z-index:251652096;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" filled="f" fillcolor="black" stroked="f" strokecolor="white" strokeweight="0">
                <o:lock v:ext="edit" shapetype="t"/>
                <v:textbox inset="2.88pt,2.88pt,2.88pt,2.88pt"/>
              </v:rect>
            </w:pict>
          </mc:Fallback>
        </mc:AlternateContent>
      </w:r>
      <w:r w:rsidRPr="006569D0">
        <w:rPr>
          <w:rFonts w:ascii="Times New Roman" w:hAnsi="Times New Roman"/>
          <w:b/>
          <w:noProof/>
          <w:sz w:val="28"/>
          <w:szCs w:val="28"/>
          <w:lang w:eastAsia="es-DO"/>
        </w:rPr>
        <mc:AlternateContent>
          <mc:Choice Requires="wps">
            <w:drawing>
              <wp:anchor distT="36576" distB="36576" distL="36576" distR="36576" simplePos="0" relativeHeight="251653120" behindDoc="0" locked="0" layoutInCell="1" allowOverlap="1" wp14:anchorId="0D608258" wp14:editId="4A751ECB">
                <wp:simplePos x="0" y="0"/>
                <wp:positionH relativeFrom="column">
                  <wp:posOffset>4342765</wp:posOffset>
                </wp:positionH>
                <wp:positionV relativeFrom="paragraph">
                  <wp:posOffset>6567805</wp:posOffset>
                </wp:positionV>
                <wp:extent cx="1371600" cy="685800"/>
                <wp:effectExtent l="0" t="0" r="0" b="0"/>
                <wp:wrapNone/>
                <wp:docPr id="131" name="Rectangle 59"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3EAB69A" id="Rectangle 59" o:spid="_x0000_s1026" style="position:absolute;margin-left:341.95pt;margin-top:517.15pt;width:108pt;height:54pt;z-index:251653120;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" filled="f" fillcolor="black" stroked="f" strokecolor="white" strokeweight="0">
                <o:lock v:ext="edit" shapetype="t"/>
                <v:textbox inset="2.88pt,2.88pt,2.88pt,2.88pt"/>
              </v:rect>
            </w:pict>
          </mc:Fallback>
        </mc:AlternateContent>
      </w:r>
      <w:r w:rsidRPr="006569D0">
        <w:rPr>
          <w:rFonts w:ascii="Times New Roman" w:hAnsi="Times New Roman"/>
          <w:b/>
          <w:noProof/>
          <w:sz w:val="28"/>
          <w:szCs w:val="28"/>
          <w:lang w:eastAsia="es-DO"/>
        </w:rPr>
        <mc:AlternateContent>
          <mc:Choice Requires="wps">
            <w:drawing>
              <wp:anchor distT="36576" distB="36576" distL="36576" distR="36576" simplePos="0" relativeHeight="251654144" behindDoc="0" locked="0" layoutInCell="1" allowOverlap="1" wp14:anchorId="0A2B2DC3" wp14:editId="3587476A">
                <wp:simplePos x="0" y="0"/>
                <wp:positionH relativeFrom="column">
                  <wp:posOffset>4342765</wp:posOffset>
                </wp:positionH>
                <wp:positionV relativeFrom="paragraph">
                  <wp:posOffset>6567805</wp:posOffset>
                </wp:positionV>
                <wp:extent cx="1371600" cy="685800"/>
                <wp:effectExtent l="0" t="0" r="0" b="0"/>
                <wp:wrapNone/>
                <wp:docPr id="129" name="Rectangle 73"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147093D" id="Rectangle 73" o:spid="_x0000_s1026" style="position:absolute;margin-left:341.95pt;margin-top:517.15pt;width:108pt;height:54pt;z-index:251654144;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" filled="f" fillcolor="black" stroked="f" strokecolor="white" strokeweight="0">
                <o:lock v:ext="edit" shapetype="t"/>
                <v:textbox inset="2.88pt,2.88pt,2.88pt,2.88pt"/>
              </v:rect>
            </w:pict>
          </mc:Fallback>
        </mc:AlternateContent>
      </w:r>
      <w:r w:rsidRPr="006569D0">
        <w:rPr>
          <w:rFonts w:ascii="Times New Roman" w:hAnsi="Times New Roman"/>
          <w:b/>
          <w:noProof/>
          <w:sz w:val="28"/>
          <w:szCs w:val="28"/>
          <w:lang w:eastAsia="es-DO"/>
        </w:rPr>
        <mc:AlternateContent>
          <mc:Choice Requires="wps">
            <w:drawing>
              <wp:anchor distT="36576" distB="36576" distL="36576" distR="36576" simplePos="0" relativeHeight="251655168" behindDoc="0" locked="0" layoutInCell="1" allowOverlap="1" wp14:anchorId="21CB827B" wp14:editId="17595B6A">
                <wp:simplePos x="0" y="0"/>
                <wp:positionH relativeFrom="column">
                  <wp:posOffset>4342765</wp:posOffset>
                </wp:positionH>
                <wp:positionV relativeFrom="paragraph">
                  <wp:posOffset>6567805</wp:posOffset>
                </wp:positionV>
                <wp:extent cx="1371600" cy="685800"/>
                <wp:effectExtent l="0" t="0" r="0" b="0"/>
                <wp:wrapNone/>
                <wp:docPr id="31" name="Rectangle 87"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244A314" id="Rectangle 87" o:spid="_x0000_s1026" style="position:absolute;margin-left:341.95pt;margin-top:517.15pt;width:108pt;height:54pt;z-index:251655168;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" filled="f" fillcolor="black" stroked="f" strokecolor="white" strokeweight="0">
                <o:lock v:ext="edit" shapetype="t"/>
                <v:textbox inset="2.88pt,2.88pt,2.88pt,2.88pt"/>
              </v:rect>
            </w:pict>
          </mc:Fallback>
        </mc:AlternateContent>
      </w:r>
      <w:r w:rsidRPr="006569D0">
        <w:rPr>
          <w:rFonts w:ascii="Times New Roman" w:hAnsi="Times New Roman"/>
          <w:b/>
          <w:noProof/>
          <w:sz w:val="28"/>
          <w:szCs w:val="28"/>
          <w:lang w:eastAsia="es-DO"/>
        </w:rPr>
        <mc:AlternateContent>
          <mc:Choice Requires="wps">
            <w:drawing>
              <wp:anchor distT="36576" distB="36576" distL="36576" distR="36576" simplePos="0" relativeHeight="251657216" behindDoc="0" locked="0" layoutInCell="1" allowOverlap="1" wp14:anchorId="5A14A3DC" wp14:editId="64DF0B28">
                <wp:simplePos x="0" y="0"/>
                <wp:positionH relativeFrom="column">
                  <wp:posOffset>4342765</wp:posOffset>
                </wp:positionH>
                <wp:positionV relativeFrom="paragraph">
                  <wp:posOffset>6567805</wp:posOffset>
                </wp:positionV>
                <wp:extent cx="1371600" cy="685800"/>
                <wp:effectExtent l="0" t="0" r="0" b="0"/>
                <wp:wrapNone/>
                <wp:docPr id="15" name="Rectangle 10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3CBA7F1" id="Rectangle 101" o:spid="_x0000_s1026" style="position:absolute;margin-left:341.95pt;margin-top:517.15pt;width:108pt;height:54pt;z-index:251657216;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" filled="f" fillcolor="black" stroked="f" strokecolor="white" strokeweight="0">
                <o:lock v:ext="edit" shapetype="t"/>
                <v:textbox inset="2.88pt,2.88pt,2.88pt,2.88pt"/>
              </v:rect>
            </w:pict>
          </mc:Fallback>
        </mc:AlternateContent>
      </w:r>
      <w:r w:rsidRPr="006569D0">
        <w:rPr>
          <w:rFonts w:ascii="Times New Roman" w:hAnsi="Times New Roman"/>
          <w:b/>
          <w:noProof/>
          <w:sz w:val="28"/>
          <w:szCs w:val="28"/>
          <w:lang w:eastAsia="es-DO"/>
        </w:rPr>
        <mc:AlternateContent>
          <mc:Choice Requires="wps">
            <w:drawing>
              <wp:anchor distT="36576" distB="36576" distL="36576" distR="36576" simplePos="0" relativeHeight="251658240" behindDoc="0" locked="0" layoutInCell="1" allowOverlap="1" wp14:anchorId="5BBBEE5F" wp14:editId="53B4A17B">
                <wp:simplePos x="0" y="0"/>
                <wp:positionH relativeFrom="column">
                  <wp:posOffset>4342765</wp:posOffset>
                </wp:positionH>
                <wp:positionV relativeFrom="paragraph">
                  <wp:posOffset>6567805</wp:posOffset>
                </wp:positionV>
                <wp:extent cx="1371600" cy="685800"/>
                <wp:effectExtent l="0" t="0" r="0" b="0"/>
                <wp:wrapNone/>
                <wp:docPr id="14" name="Rectangle 115"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solidFill>
                                <a:srgbClr val="FFFFFF"/>
                              </a:solidFill>
                              <a:miter lim="800000"/>
                              <a:headEnd/>
                              <a:tailEnd/>
                            </a14:hiddenLine>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132DA7B" id="Rectangle 115" o:spid="_x0000_s1026" style="position:absolute;margin-left:341.95pt;margin-top:517.15pt;width:108pt;height:54pt;z-index:251658240;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" filled="f" fillcolor="black" stroked="f" strokecolor="white" strokeweight="0">
                <o:lock v:ext="edit" shapetype="t"/>
                <v:textbox inset="2.88pt,2.88pt,2.88pt,2.88pt"/>
              </v:rect>
            </w:pict>
          </mc:Fallback>
        </mc:AlternateContent>
      </w:r>
      <w:bookmarkStart w:id="0" w:name="_Toc440036652"/>
      <w:bookmarkStart w:id="1" w:name="_Toc470523311"/>
      <w:r w:rsidR="006E60BF" w:rsidRPr="006569D0">
        <w:rPr>
          <w:rFonts w:ascii="Times New Roman" w:hAnsi="Times New Roman"/>
          <w:b/>
          <w:sz w:val="28"/>
          <w:szCs w:val="28"/>
        </w:rPr>
        <w:t>Tabla de contenido</w:t>
      </w:r>
    </w:p>
    <w:p w14:paraId="383C0F22" w14:textId="77777777" w:rsidR="002E3EC7" w:rsidRPr="006569D0" w:rsidRDefault="002E3EC7" w:rsidP="00C82783">
      <w:pPr>
        <w:spacing w:after="0" w:line="360" w:lineRule="auto"/>
        <w:rPr>
          <w:rFonts w:ascii="Times New Roman" w:hAnsi="Times New Roman"/>
          <w:sz w:val="8"/>
          <w:lang w:val="es-ES_tradnl" w:eastAsia="en-US"/>
        </w:rPr>
      </w:pPr>
    </w:p>
    <w:p w14:paraId="0532B333" w14:textId="77777777" w:rsidR="0059163A" w:rsidRPr="005303F6" w:rsidRDefault="00CE0B49">
      <w:pPr>
        <w:pStyle w:val="TDC1"/>
        <w:rPr>
          <w:rFonts w:eastAsiaTheme="minorEastAsia"/>
          <w:b w:val="0"/>
          <w:bCs w:val="0"/>
          <w:sz w:val="22"/>
          <w:szCs w:val="22"/>
          <w:lang w:eastAsia="es-DO"/>
        </w:rPr>
      </w:pPr>
      <w:r w:rsidRPr="005303F6">
        <w:rPr>
          <w:sz w:val="22"/>
          <w:szCs w:val="22"/>
          <w:lang w:val="es-ES_tradnl" w:eastAsia="en-US"/>
        </w:rPr>
        <w:fldChar w:fldCharType="begin"/>
      </w:r>
      <w:r w:rsidR="0013707F" w:rsidRPr="005303F6">
        <w:rPr>
          <w:sz w:val="22"/>
          <w:szCs w:val="22"/>
          <w:lang w:val="es-ES_tradnl" w:eastAsia="en-US"/>
        </w:rPr>
        <w:instrText xml:space="preserve"> TOC \o "1-4" \h \z \u </w:instrText>
      </w:r>
      <w:r w:rsidRPr="005303F6">
        <w:rPr>
          <w:sz w:val="22"/>
          <w:szCs w:val="22"/>
          <w:lang w:val="es-ES_tradnl" w:eastAsia="en-US"/>
        </w:rPr>
        <w:fldChar w:fldCharType="separate"/>
      </w:r>
      <w:hyperlink w:anchor="_Toc27146714" w:history="1">
        <w:r w:rsidR="0059163A" w:rsidRPr="005303F6">
          <w:rPr>
            <w:rStyle w:val="Hipervnculo"/>
            <w:rFonts w:eastAsiaTheme="majorEastAsia"/>
            <w:sz w:val="22"/>
            <w:szCs w:val="22"/>
          </w:rPr>
          <w:t>I.</w:t>
        </w:r>
        <w:r w:rsidR="0059163A" w:rsidRPr="005303F6">
          <w:rPr>
            <w:rFonts w:eastAsiaTheme="minorEastAsia"/>
            <w:b w:val="0"/>
            <w:bCs w:val="0"/>
            <w:sz w:val="22"/>
            <w:szCs w:val="22"/>
            <w:lang w:eastAsia="es-DO"/>
          </w:rPr>
          <w:tab/>
        </w:r>
        <w:r w:rsidR="0059163A" w:rsidRPr="005303F6">
          <w:rPr>
            <w:rStyle w:val="Hipervnculo"/>
            <w:rFonts w:eastAsiaTheme="majorEastAsia"/>
            <w:sz w:val="22"/>
            <w:szCs w:val="22"/>
          </w:rPr>
          <w:t>Base institucional</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_Toc27146714 \h </w:instrText>
        </w:r>
        <w:r w:rsidR="0059163A" w:rsidRPr="005303F6">
          <w:rPr>
            <w:webHidden/>
            <w:sz w:val="22"/>
            <w:szCs w:val="22"/>
          </w:rPr>
        </w:r>
        <w:r w:rsidR="0059163A" w:rsidRPr="005303F6">
          <w:rPr>
            <w:webHidden/>
            <w:sz w:val="22"/>
            <w:szCs w:val="22"/>
          </w:rPr>
          <w:fldChar w:fldCharType="separate"/>
        </w:r>
        <w:r w:rsidR="005303F6">
          <w:rPr>
            <w:webHidden/>
            <w:sz w:val="22"/>
            <w:szCs w:val="22"/>
          </w:rPr>
          <w:t>6</w:t>
        </w:r>
        <w:r w:rsidR="0059163A" w:rsidRPr="005303F6">
          <w:rPr>
            <w:webHidden/>
            <w:sz w:val="22"/>
            <w:szCs w:val="22"/>
          </w:rPr>
          <w:fldChar w:fldCharType="end"/>
        </w:r>
      </w:hyperlink>
    </w:p>
    <w:p w14:paraId="0511532B" w14:textId="77777777" w:rsidR="0059163A" w:rsidRPr="005303F6" w:rsidRDefault="0083125C">
      <w:pPr>
        <w:pStyle w:val="TDC2"/>
        <w:rPr>
          <w:rFonts w:eastAsiaTheme="minorEastAsia"/>
          <w:b w:val="0"/>
          <w:smallCaps w:val="0"/>
          <w:sz w:val="22"/>
          <w:szCs w:val="22"/>
          <w:lang w:eastAsia="es-DO" w:bidi="ar-SA"/>
        </w:rPr>
      </w:pPr>
      <w:hyperlink w:anchor="_Toc27146715" w:history="1">
        <w:r w:rsidR="0059163A" w:rsidRPr="005303F6">
          <w:rPr>
            <w:rStyle w:val="Hipervnculo"/>
            <w:sz w:val="22"/>
            <w:szCs w:val="22"/>
          </w:rPr>
          <w:t>Misión y visión de la institución</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_Toc27146715 \h </w:instrText>
        </w:r>
        <w:r w:rsidR="0059163A" w:rsidRPr="005303F6">
          <w:rPr>
            <w:webHidden/>
            <w:sz w:val="22"/>
            <w:szCs w:val="22"/>
          </w:rPr>
        </w:r>
        <w:r w:rsidR="0059163A" w:rsidRPr="005303F6">
          <w:rPr>
            <w:webHidden/>
            <w:sz w:val="22"/>
            <w:szCs w:val="22"/>
          </w:rPr>
          <w:fldChar w:fldCharType="separate"/>
        </w:r>
        <w:r w:rsidR="005303F6">
          <w:rPr>
            <w:webHidden/>
            <w:sz w:val="22"/>
            <w:szCs w:val="22"/>
          </w:rPr>
          <w:t>6</w:t>
        </w:r>
        <w:r w:rsidR="0059163A" w:rsidRPr="005303F6">
          <w:rPr>
            <w:webHidden/>
            <w:sz w:val="22"/>
            <w:szCs w:val="22"/>
          </w:rPr>
          <w:fldChar w:fldCharType="end"/>
        </w:r>
      </w:hyperlink>
    </w:p>
    <w:p w14:paraId="04B04F79" w14:textId="77777777" w:rsidR="0059163A" w:rsidRPr="005303F6" w:rsidRDefault="0083125C">
      <w:pPr>
        <w:pStyle w:val="TDC2"/>
        <w:rPr>
          <w:rFonts w:eastAsiaTheme="minorEastAsia"/>
          <w:b w:val="0"/>
          <w:smallCaps w:val="0"/>
          <w:sz w:val="22"/>
          <w:szCs w:val="22"/>
          <w:lang w:eastAsia="es-DO" w:bidi="ar-SA"/>
        </w:rPr>
      </w:pPr>
      <w:hyperlink w:anchor="_Toc27146716" w:history="1">
        <w:r w:rsidR="0059163A" w:rsidRPr="005303F6">
          <w:rPr>
            <w:rStyle w:val="Hipervnculo"/>
            <w:sz w:val="22"/>
            <w:szCs w:val="22"/>
          </w:rPr>
          <w:t>Breve reseña de la base legal institucional</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_Toc27146716 \h </w:instrText>
        </w:r>
        <w:r w:rsidR="0059163A" w:rsidRPr="005303F6">
          <w:rPr>
            <w:webHidden/>
            <w:sz w:val="22"/>
            <w:szCs w:val="22"/>
          </w:rPr>
        </w:r>
        <w:r w:rsidR="0059163A" w:rsidRPr="005303F6">
          <w:rPr>
            <w:webHidden/>
            <w:sz w:val="22"/>
            <w:szCs w:val="22"/>
          </w:rPr>
          <w:fldChar w:fldCharType="separate"/>
        </w:r>
        <w:r w:rsidR="005303F6">
          <w:rPr>
            <w:webHidden/>
            <w:sz w:val="22"/>
            <w:szCs w:val="22"/>
          </w:rPr>
          <w:t>7</w:t>
        </w:r>
        <w:r w:rsidR="0059163A" w:rsidRPr="005303F6">
          <w:rPr>
            <w:webHidden/>
            <w:sz w:val="22"/>
            <w:szCs w:val="22"/>
          </w:rPr>
          <w:fldChar w:fldCharType="end"/>
        </w:r>
      </w:hyperlink>
    </w:p>
    <w:p w14:paraId="7AE586EE" w14:textId="77777777" w:rsidR="0059163A" w:rsidRPr="005303F6" w:rsidRDefault="0083125C">
      <w:pPr>
        <w:pStyle w:val="TDC2"/>
        <w:rPr>
          <w:rFonts w:eastAsiaTheme="minorEastAsia"/>
          <w:b w:val="0"/>
          <w:smallCaps w:val="0"/>
          <w:sz w:val="22"/>
          <w:szCs w:val="22"/>
          <w:lang w:eastAsia="es-DO" w:bidi="ar-SA"/>
        </w:rPr>
      </w:pPr>
      <w:hyperlink w:anchor="_Toc27146717" w:history="1">
        <w:r w:rsidR="0059163A" w:rsidRPr="005303F6">
          <w:rPr>
            <w:rStyle w:val="Hipervnculo"/>
            <w:sz w:val="22"/>
            <w:szCs w:val="22"/>
          </w:rPr>
          <w:t>Principales funcionarios de la Institución</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_Toc27146717 \h </w:instrText>
        </w:r>
        <w:r w:rsidR="0059163A" w:rsidRPr="005303F6">
          <w:rPr>
            <w:webHidden/>
            <w:sz w:val="22"/>
            <w:szCs w:val="22"/>
          </w:rPr>
        </w:r>
        <w:r w:rsidR="0059163A" w:rsidRPr="005303F6">
          <w:rPr>
            <w:webHidden/>
            <w:sz w:val="22"/>
            <w:szCs w:val="22"/>
          </w:rPr>
          <w:fldChar w:fldCharType="separate"/>
        </w:r>
        <w:r w:rsidR="005303F6">
          <w:rPr>
            <w:webHidden/>
            <w:sz w:val="22"/>
            <w:szCs w:val="22"/>
          </w:rPr>
          <w:t>8</w:t>
        </w:r>
        <w:r w:rsidR="0059163A" w:rsidRPr="005303F6">
          <w:rPr>
            <w:webHidden/>
            <w:sz w:val="22"/>
            <w:szCs w:val="22"/>
          </w:rPr>
          <w:fldChar w:fldCharType="end"/>
        </w:r>
      </w:hyperlink>
    </w:p>
    <w:p w14:paraId="52765E95" w14:textId="77777777" w:rsidR="0059163A" w:rsidRPr="005303F6" w:rsidRDefault="0083125C">
      <w:pPr>
        <w:pStyle w:val="TDC1"/>
        <w:rPr>
          <w:rFonts w:eastAsiaTheme="minorEastAsia"/>
          <w:b w:val="0"/>
          <w:bCs w:val="0"/>
          <w:sz w:val="22"/>
          <w:szCs w:val="22"/>
          <w:lang w:eastAsia="es-DO"/>
        </w:rPr>
      </w:pPr>
      <w:hyperlink w:anchor="_Toc27146718" w:history="1">
        <w:r w:rsidR="0059163A" w:rsidRPr="005303F6">
          <w:rPr>
            <w:rStyle w:val="Hipervnculo"/>
            <w:rFonts w:eastAsiaTheme="majorEastAsia"/>
            <w:sz w:val="22"/>
            <w:szCs w:val="22"/>
          </w:rPr>
          <w:t>II.</w:t>
        </w:r>
        <w:r w:rsidR="0059163A" w:rsidRPr="005303F6">
          <w:rPr>
            <w:rFonts w:eastAsiaTheme="minorEastAsia"/>
            <w:b w:val="0"/>
            <w:bCs w:val="0"/>
            <w:sz w:val="22"/>
            <w:szCs w:val="22"/>
            <w:lang w:eastAsia="es-DO"/>
          </w:rPr>
          <w:tab/>
        </w:r>
        <w:r w:rsidR="0059163A" w:rsidRPr="005303F6">
          <w:rPr>
            <w:rStyle w:val="Hipervnculo"/>
            <w:rFonts w:eastAsiaTheme="majorEastAsia"/>
            <w:sz w:val="22"/>
            <w:szCs w:val="22"/>
          </w:rPr>
          <w:t>Plan Nacional Plurianual del Sector Público (PNPSP)</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_Toc27146718 \h </w:instrText>
        </w:r>
        <w:r w:rsidR="0059163A" w:rsidRPr="005303F6">
          <w:rPr>
            <w:webHidden/>
            <w:sz w:val="22"/>
            <w:szCs w:val="22"/>
          </w:rPr>
        </w:r>
        <w:r w:rsidR="0059163A" w:rsidRPr="005303F6">
          <w:rPr>
            <w:webHidden/>
            <w:sz w:val="22"/>
            <w:szCs w:val="22"/>
          </w:rPr>
          <w:fldChar w:fldCharType="separate"/>
        </w:r>
        <w:r w:rsidR="005303F6">
          <w:rPr>
            <w:webHidden/>
            <w:sz w:val="22"/>
            <w:szCs w:val="22"/>
          </w:rPr>
          <w:t>8</w:t>
        </w:r>
        <w:r w:rsidR="0059163A" w:rsidRPr="005303F6">
          <w:rPr>
            <w:webHidden/>
            <w:sz w:val="22"/>
            <w:szCs w:val="22"/>
          </w:rPr>
          <w:fldChar w:fldCharType="end"/>
        </w:r>
      </w:hyperlink>
    </w:p>
    <w:p w14:paraId="2217595D" w14:textId="77777777" w:rsidR="0059163A" w:rsidRPr="005303F6" w:rsidRDefault="0083125C">
      <w:pPr>
        <w:pStyle w:val="TDC2"/>
        <w:rPr>
          <w:rFonts w:eastAsiaTheme="minorEastAsia"/>
          <w:b w:val="0"/>
          <w:smallCaps w:val="0"/>
          <w:sz w:val="22"/>
          <w:szCs w:val="22"/>
          <w:lang w:eastAsia="es-DO" w:bidi="ar-SA"/>
        </w:rPr>
      </w:pPr>
      <w:hyperlink w:anchor="_Toc27146719" w:history="1">
        <w:r w:rsidR="0059163A" w:rsidRPr="005303F6">
          <w:rPr>
            <w:rStyle w:val="Hipervnculo"/>
            <w:sz w:val="22"/>
            <w:szCs w:val="22"/>
          </w:rPr>
          <w:t>a) Vinculación del PNPSP, END y ODS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_Toc27146719 \h </w:instrText>
        </w:r>
        <w:r w:rsidR="0059163A" w:rsidRPr="005303F6">
          <w:rPr>
            <w:webHidden/>
            <w:sz w:val="22"/>
            <w:szCs w:val="22"/>
          </w:rPr>
        </w:r>
        <w:r w:rsidR="0059163A" w:rsidRPr="005303F6">
          <w:rPr>
            <w:webHidden/>
            <w:sz w:val="22"/>
            <w:szCs w:val="22"/>
          </w:rPr>
          <w:fldChar w:fldCharType="separate"/>
        </w:r>
        <w:r w:rsidR="005303F6">
          <w:rPr>
            <w:webHidden/>
            <w:sz w:val="22"/>
            <w:szCs w:val="22"/>
          </w:rPr>
          <w:t>13</w:t>
        </w:r>
        <w:r w:rsidR="0059163A" w:rsidRPr="005303F6">
          <w:rPr>
            <w:webHidden/>
            <w:sz w:val="22"/>
            <w:szCs w:val="22"/>
          </w:rPr>
          <w:fldChar w:fldCharType="end"/>
        </w:r>
      </w:hyperlink>
    </w:p>
    <w:p w14:paraId="74CC1974" w14:textId="77777777" w:rsidR="0059163A" w:rsidRPr="005303F6" w:rsidRDefault="0083125C">
      <w:pPr>
        <w:pStyle w:val="TDC2"/>
        <w:rPr>
          <w:rFonts w:eastAsiaTheme="minorEastAsia"/>
          <w:b w:val="0"/>
          <w:smallCaps w:val="0"/>
          <w:sz w:val="22"/>
          <w:szCs w:val="22"/>
          <w:lang w:eastAsia="es-DO" w:bidi="ar-SA"/>
        </w:rPr>
      </w:pPr>
      <w:hyperlink w:anchor="_Toc27146720" w:history="1">
        <w:r w:rsidR="0059163A" w:rsidRPr="005303F6">
          <w:rPr>
            <w:rStyle w:val="Hipervnculo"/>
            <w:sz w:val="22"/>
            <w:szCs w:val="22"/>
          </w:rPr>
          <w:t>b) Evolución de la producción pública de bienes y servicios del Sector Agropecuario, durante el período 2012 - 2019</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_Toc27146720 \h </w:instrText>
        </w:r>
        <w:r w:rsidR="0059163A" w:rsidRPr="005303F6">
          <w:rPr>
            <w:webHidden/>
            <w:sz w:val="22"/>
            <w:szCs w:val="22"/>
          </w:rPr>
        </w:r>
        <w:r w:rsidR="0059163A" w:rsidRPr="005303F6">
          <w:rPr>
            <w:webHidden/>
            <w:sz w:val="22"/>
            <w:szCs w:val="22"/>
          </w:rPr>
          <w:fldChar w:fldCharType="separate"/>
        </w:r>
        <w:r w:rsidR="005303F6">
          <w:rPr>
            <w:webHidden/>
            <w:sz w:val="22"/>
            <w:szCs w:val="22"/>
          </w:rPr>
          <w:t>20</w:t>
        </w:r>
        <w:r w:rsidR="0059163A" w:rsidRPr="005303F6">
          <w:rPr>
            <w:webHidden/>
            <w:sz w:val="22"/>
            <w:szCs w:val="22"/>
          </w:rPr>
          <w:fldChar w:fldCharType="end"/>
        </w:r>
      </w:hyperlink>
    </w:p>
    <w:p w14:paraId="54F95AB8" w14:textId="77777777" w:rsidR="0059163A" w:rsidRPr="005303F6" w:rsidRDefault="0083125C">
      <w:pPr>
        <w:pStyle w:val="TDC3"/>
        <w:rPr>
          <w:rFonts w:eastAsiaTheme="minorEastAsia"/>
          <w:b w:val="0"/>
          <w:iCs w:val="0"/>
          <w:sz w:val="22"/>
          <w:szCs w:val="22"/>
          <w:lang w:val="es-DO" w:eastAsia="es-DO" w:bidi="ar-SA"/>
        </w:rPr>
      </w:pPr>
      <w:hyperlink w:anchor="_Toc27146721" w:history="1">
        <w:r w:rsidR="0059163A" w:rsidRPr="005303F6">
          <w:rPr>
            <w:rStyle w:val="Hipervnculo"/>
            <w:sz w:val="22"/>
            <w:szCs w:val="22"/>
          </w:rPr>
          <w:t>Comportamiento de la producción pública 2012-2019</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_Toc27146721 \h </w:instrText>
        </w:r>
        <w:r w:rsidR="0059163A" w:rsidRPr="005303F6">
          <w:rPr>
            <w:webHidden/>
            <w:sz w:val="22"/>
            <w:szCs w:val="22"/>
          </w:rPr>
        </w:r>
        <w:r w:rsidR="0059163A" w:rsidRPr="005303F6">
          <w:rPr>
            <w:webHidden/>
            <w:sz w:val="22"/>
            <w:szCs w:val="22"/>
          </w:rPr>
          <w:fldChar w:fldCharType="separate"/>
        </w:r>
        <w:r w:rsidR="005303F6">
          <w:rPr>
            <w:webHidden/>
            <w:sz w:val="22"/>
            <w:szCs w:val="22"/>
          </w:rPr>
          <w:t>21</w:t>
        </w:r>
        <w:r w:rsidR="0059163A" w:rsidRPr="005303F6">
          <w:rPr>
            <w:webHidden/>
            <w:sz w:val="22"/>
            <w:szCs w:val="22"/>
          </w:rPr>
          <w:fldChar w:fldCharType="end"/>
        </w:r>
      </w:hyperlink>
    </w:p>
    <w:p w14:paraId="7D1A2E1D" w14:textId="77777777" w:rsidR="0059163A" w:rsidRPr="005303F6" w:rsidRDefault="0083125C">
      <w:pPr>
        <w:pStyle w:val="TDC4"/>
        <w:tabs>
          <w:tab w:val="left" w:pos="1200"/>
          <w:tab w:val="right" w:leader="dot" w:pos="9062"/>
        </w:tabs>
        <w:rPr>
          <w:rFonts w:ascii="Times New Roman" w:eastAsiaTheme="minorEastAsia" w:hAnsi="Times New Roman"/>
          <w:noProof/>
          <w:sz w:val="22"/>
          <w:szCs w:val="22"/>
          <w:lang w:eastAsia="es-DO"/>
        </w:rPr>
      </w:pPr>
      <w:hyperlink w:anchor="_Toc27146722" w:history="1">
        <w:r w:rsidR="0059163A" w:rsidRPr="005303F6">
          <w:rPr>
            <w:rStyle w:val="Hipervnculo"/>
            <w:rFonts w:ascii="Times New Roman" w:eastAsiaTheme="majorEastAsia" w:hAnsi="Times New Roman"/>
            <w:b/>
            <w:noProof/>
            <w:sz w:val="22"/>
            <w:szCs w:val="22"/>
            <w:lang w:val="es-ES"/>
          </w:rPr>
          <w:t>1.</w:t>
        </w:r>
        <w:r w:rsidR="0059163A" w:rsidRPr="005303F6">
          <w:rPr>
            <w:rFonts w:ascii="Times New Roman" w:eastAsiaTheme="minorEastAsia" w:hAnsi="Times New Roman"/>
            <w:noProof/>
            <w:sz w:val="22"/>
            <w:szCs w:val="22"/>
            <w:lang w:eastAsia="es-DO"/>
          </w:rPr>
          <w:tab/>
        </w:r>
        <w:r w:rsidR="0059163A" w:rsidRPr="005303F6">
          <w:rPr>
            <w:rStyle w:val="Hipervnculo"/>
            <w:rFonts w:ascii="Times New Roman" w:eastAsiaTheme="majorEastAsia" w:hAnsi="Times New Roman"/>
            <w:b/>
            <w:noProof/>
            <w:sz w:val="22"/>
            <w:szCs w:val="22"/>
            <w:lang w:val="es-ES"/>
          </w:rPr>
          <w:t>Capacitación agrícola</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_Toc27146722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21</w:t>
        </w:r>
        <w:r w:rsidR="0059163A" w:rsidRPr="005303F6">
          <w:rPr>
            <w:rFonts w:ascii="Times New Roman" w:hAnsi="Times New Roman"/>
            <w:noProof/>
            <w:webHidden/>
            <w:sz w:val="22"/>
            <w:szCs w:val="22"/>
          </w:rPr>
          <w:fldChar w:fldCharType="end"/>
        </w:r>
      </w:hyperlink>
    </w:p>
    <w:p w14:paraId="7068169A" w14:textId="77777777" w:rsidR="0059163A" w:rsidRPr="005303F6" w:rsidRDefault="0083125C">
      <w:pPr>
        <w:pStyle w:val="TDC4"/>
        <w:tabs>
          <w:tab w:val="left" w:pos="1200"/>
          <w:tab w:val="right" w:leader="dot" w:pos="9062"/>
        </w:tabs>
        <w:rPr>
          <w:rFonts w:ascii="Times New Roman" w:eastAsiaTheme="minorEastAsia" w:hAnsi="Times New Roman"/>
          <w:noProof/>
          <w:sz w:val="22"/>
          <w:szCs w:val="22"/>
          <w:lang w:eastAsia="es-DO"/>
        </w:rPr>
      </w:pPr>
      <w:hyperlink w:anchor="_Toc27146723" w:history="1">
        <w:r w:rsidR="0059163A" w:rsidRPr="005303F6">
          <w:rPr>
            <w:rStyle w:val="Hipervnculo"/>
            <w:rFonts w:ascii="Times New Roman" w:eastAsiaTheme="majorEastAsia" w:hAnsi="Times New Roman"/>
            <w:b/>
            <w:noProof/>
            <w:sz w:val="22"/>
            <w:szCs w:val="22"/>
            <w:lang w:val="es-ES"/>
          </w:rPr>
          <w:t>2.</w:t>
        </w:r>
        <w:r w:rsidR="0059163A" w:rsidRPr="005303F6">
          <w:rPr>
            <w:rFonts w:ascii="Times New Roman" w:eastAsiaTheme="minorEastAsia" w:hAnsi="Times New Roman"/>
            <w:noProof/>
            <w:sz w:val="22"/>
            <w:szCs w:val="22"/>
            <w:lang w:eastAsia="es-DO"/>
          </w:rPr>
          <w:tab/>
        </w:r>
        <w:r w:rsidR="0059163A" w:rsidRPr="005303F6">
          <w:rPr>
            <w:rStyle w:val="Hipervnculo"/>
            <w:rFonts w:ascii="Times New Roman" w:eastAsiaTheme="majorEastAsia" w:hAnsi="Times New Roman"/>
            <w:b/>
            <w:noProof/>
            <w:sz w:val="22"/>
            <w:szCs w:val="22"/>
            <w:lang w:val="es-ES"/>
          </w:rPr>
          <w:t>Asistencia técnica</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_Toc27146723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21</w:t>
        </w:r>
        <w:r w:rsidR="0059163A" w:rsidRPr="005303F6">
          <w:rPr>
            <w:rFonts w:ascii="Times New Roman" w:hAnsi="Times New Roman"/>
            <w:noProof/>
            <w:webHidden/>
            <w:sz w:val="22"/>
            <w:szCs w:val="22"/>
          </w:rPr>
          <w:fldChar w:fldCharType="end"/>
        </w:r>
      </w:hyperlink>
    </w:p>
    <w:p w14:paraId="64380CC0" w14:textId="77777777" w:rsidR="0059163A" w:rsidRPr="005303F6" w:rsidRDefault="0083125C">
      <w:pPr>
        <w:pStyle w:val="TDC4"/>
        <w:tabs>
          <w:tab w:val="left" w:pos="1200"/>
          <w:tab w:val="right" w:leader="dot" w:pos="9062"/>
        </w:tabs>
        <w:rPr>
          <w:rFonts w:ascii="Times New Roman" w:eastAsiaTheme="minorEastAsia" w:hAnsi="Times New Roman"/>
          <w:noProof/>
          <w:sz w:val="22"/>
          <w:szCs w:val="22"/>
          <w:lang w:eastAsia="es-DO"/>
        </w:rPr>
      </w:pPr>
      <w:hyperlink w:anchor="_Toc27146724" w:history="1">
        <w:r w:rsidR="0059163A" w:rsidRPr="005303F6">
          <w:rPr>
            <w:rStyle w:val="Hipervnculo"/>
            <w:rFonts w:ascii="Times New Roman" w:eastAsiaTheme="majorEastAsia" w:hAnsi="Times New Roman"/>
            <w:b/>
            <w:noProof/>
            <w:sz w:val="22"/>
            <w:szCs w:val="22"/>
            <w:lang w:val="es-ES"/>
          </w:rPr>
          <w:t>3.</w:t>
        </w:r>
        <w:r w:rsidR="0059163A" w:rsidRPr="005303F6">
          <w:rPr>
            <w:rFonts w:ascii="Times New Roman" w:eastAsiaTheme="minorEastAsia" w:hAnsi="Times New Roman"/>
            <w:noProof/>
            <w:sz w:val="22"/>
            <w:szCs w:val="22"/>
            <w:lang w:eastAsia="es-DO"/>
          </w:rPr>
          <w:tab/>
        </w:r>
        <w:r w:rsidR="0059163A" w:rsidRPr="005303F6">
          <w:rPr>
            <w:rStyle w:val="Hipervnculo"/>
            <w:rFonts w:ascii="Times New Roman" w:eastAsiaTheme="majorEastAsia" w:hAnsi="Times New Roman"/>
            <w:b/>
            <w:noProof/>
            <w:sz w:val="22"/>
            <w:szCs w:val="22"/>
            <w:lang w:val="es-ES"/>
          </w:rPr>
          <w:t>Mecanización agrícola</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_Toc27146724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22</w:t>
        </w:r>
        <w:r w:rsidR="0059163A" w:rsidRPr="005303F6">
          <w:rPr>
            <w:rFonts w:ascii="Times New Roman" w:hAnsi="Times New Roman"/>
            <w:noProof/>
            <w:webHidden/>
            <w:sz w:val="22"/>
            <w:szCs w:val="22"/>
          </w:rPr>
          <w:fldChar w:fldCharType="end"/>
        </w:r>
      </w:hyperlink>
    </w:p>
    <w:p w14:paraId="554E16DD" w14:textId="77777777" w:rsidR="0059163A" w:rsidRPr="005303F6" w:rsidRDefault="0083125C">
      <w:pPr>
        <w:pStyle w:val="TDC4"/>
        <w:tabs>
          <w:tab w:val="left" w:pos="1200"/>
          <w:tab w:val="right" w:leader="dot" w:pos="9062"/>
        </w:tabs>
        <w:rPr>
          <w:rFonts w:ascii="Times New Roman" w:eastAsiaTheme="minorEastAsia" w:hAnsi="Times New Roman"/>
          <w:noProof/>
          <w:sz w:val="22"/>
          <w:szCs w:val="22"/>
          <w:lang w:eastAsia="es-DO"/>
        </w:rPr>
      </w:pPr>
      <w:hyperlink w:anchor="_Toc27146725" w:history="1">
        <w:r w:rsidR="0059163A" w:rsidRPr="005303F6">
          <w:rPr>
            <w:rStyle w:val="Hipervnculo"/>
            <w:rFonts w:ascii="Times New Roman" w:eastAsiaTheme="majorEastAsia" w:hAnsi="Times New Roman"/>
            <w:b/>
            <w:noProof/>
            <w:sz w:val="22"/>
            <w:szCs w:val="22"/>
            <w:lang w:val="es-ES"/>
          </w:rPr>
          <w:t>4.</w:t>
        </w:r>
        <w:r w:rsidR="0059163A" w:rsidRPr="005303F6">
          <w:rPr>
            <w:rFonts w:ascii="Times New Roman" w:eastAsiaTheme="minorEastAsia" w:hAnsi="Times New Roman"/>
            <w:noProof/>
            <w:sz w:val="22"/>
            <w:szCs w:val="22"/>
            <w:lang w:eastAsia="es-DO"/>
          </w:rPr>
          <w:tab/>
        </w:r>
        <w:r w:rsidR="0059163A" w:rsidRPr="005303F6">
          <w:rPr>
            <w:rStyle w:val="Hipervnculo"/>
            <w:rFonts w:ascii="Times New Roman" w:eastAsiaTheme="majorEastAsia" w:hAnsi="Times New Roman"/>
            <w:b/>
            <w:noProof/>
            <w:sz w:val="22"/>
            <w:szCs w:val="22"/>
            <w:lang w:val="es-ES"/>
          </w:rPr>
          <w:t>Distribución de material de siembra</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_Toc27146725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23</w:t>
        </w:r>
        <w:r w:rsidR="0059163A" w:rsidRPr="005303F6">
          <w:rPr>
            <w:rFonts w:ascii="Times New Roman" w:hAnsi="Times New Roman"/>
            <w:noProof/>
            <w:webHidden/>
            <w:sz w:val="22"/>
            <w:szCs w:val="22"/>
          </w:rPr>
          <w:fldChar w:fldCharType="end"/>
        </w:r>
      </w:hyperlink>
    </w:p>
    <w:p w14:paraId="2FCFF274" w14:textId="77777777" w:rsidR="0059163A" w:rsidRPr="005303F6" w:rsidRDefault="0083125C">
      <w:pPr>
        <w:pStyle w:val="TDC4"/>
        <w:tabs>
          <w:tab w:val="left" w:pos="1200"/>
          <w:tab w:val="right" w:leader="dot" w:pos="9062"/>
        </w:tabs>
        <w:rPr>
          <w:rFonts w:ascii="Times New Roman" w:eastAsiaTheme="minorEastAsia" w:hAnsi="Times New Roman"/>
          <w:noProof/>
          <w:sz w:val="22"/>
          <w:szCs w:val="22"/>
          <w:lang w:eastAsia="es-DO"/>
        </w:rPr>
      </w:pPr>
      <w:hyperlink w:anchor="_Toc27146726" w:history="1">
        <w:r w:rsidR="0059163A" w:rsidRPr="005303F6">
          <w:rPr>
            <w:rStyle w:val="Hipervnculo"/>
            <w:rFonts w:ascii="Times New Roman" w:eastAsiaTheme="majorEastAsia" w:hAnsi="Times New Roman"/>
            <w:b/>
            <w:noProof/>
            <w:sz w:val="22"/>
            <w:szCs w:val="22"/>
            <w:lang w:val="es-ES"/>
          </w:rPr>
          <w:t>5.</w:t>
        </w:r>
        <w:r w:rsidR="0059163A" w:rsidRPr="005303F6">
          <w:rPr>
            <w:rFonts w:ascii="Times New Roman" w:eastAsiaTheme="minorEastAsia" w:hAnsi="Times New Roman"/>
            <w:noProof/>
            <w:sz w:val="22"/>
            <w:szCs w:val="22"/>
            <w:lang w:eastAsia="es-DO"/>
          </w:rPr>
          <w:tab/>
        </w:r>
        <w:r w:rsidR="0059163A" w:rsidRPr="005303F6">
          <w:rPr>
            <w:rStyle w:val="Hipervnculo"/>
            <w:rFonts w:ascii="Times New Roman" w:eastAsiaTheme="majorEastAsia" w:hAnsi="Times New Roman"/>
            <w:b/>
            <w:noProof/>
            <w:sz w:val="22"/>
            <w:szCs w:val="22"/>
            <w:lang w:val="es-ES"/>
          </w:rPr>
          <w:t>Distribución de insumos</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_Toc27146726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25</w:t>
        </w:r>
        <w:r w:rsidR="0059163A" w:rsidRPr="005303F6">
          <w:rPr>
            <w:rFonts w:ascii="Times New Roman" w:hAnsi="Times New Roman"/>
            <w:noProof/>
            <w:webHidden/>
            <w:sz w:val="22"/>
            <w:szCs w:val="22"/>
          </w:rPr>
          <w:fldChar w:fldCharType="end"/>
        </w:r>
      </w:hyperlink>
    </w:p>
    <w:p w14:paraId="579521A2" w14:textId="77777777" w:rsidR="0059163A" w:rsidRPr="005303F6" w:rsidRDefault="0083125C">
      <w:pPr>
        <w:pStyle w:val="TDC4"/>
        <w:tabs>
          <w:tab w:val="left" w:pos="1200"/>
          <w:tab w:val="right" w:leader="dot" w:pos="9062"/>
        </w:tabs>
        <w:rPr>
          <w:rFonts w:ascii="Times New Roman" w:eastAsiaTheme="minorEastAsia" w:hAnsi="Times New Roman"/>
          <w:noProof/>
          <w:sz w:val="22"/>
          <w:szCs w:val="22"/>
          <w:lang w:eastAsia="es-DO"/>
        </w:rPr>
      </w:pPr>
      <w:hyperlink w:anchor="_Toc27146727" w:history="1">
        <w:r w:rsidR="0059163A" w:rsidRPr="005303F6">
          <w:rPr>
            <w:rStyle w:val="Hipervnculo"/>
            <w:rFonts w:ascii="Times New Roman" w:eastAsiaTheme="majorEastAsia" w:hAnsi="Times New Roman"/>
            <w:b/>
            <w:noProof/>
            <w:sz w:val="22"/>
            <w:szCs w:val="22"/>
            <w:lang w:val="es-ES"/>
          </w:rPr>
          <w:t>6.</w:t>
        </w:r>
        <w:r w:rsidR="0059163A" w:rsidRPr="005303F6">
          <w:rPr>
            <w:rFonts w:ascii="Times New Roman" w:eastAsiaTheme="minorEastAsia" w:hAnsi="Times New Roman"/>
            <w:noProof/>
            <w:sz w:val="22"/>
            <w:szCs w:val="22"/>
            <w:lang w:eastAsia="es-DO"/>
          </w:rPr>
          <w:tab/>
        </w:r>
        <w:r w:rsidR="0059163A" w:rsidRPr="005303F6">
          <w:rPr>
            <w:rStyle w:val="Hipervnculo"/>
            <w:rFonts w:ascii="Times New Roman" w:eastAsiaTheme="majorEastAsia" w:hAnsi="Times New Roman"/>
            <w:b/>
            <w:noProof/>
            <w:sz w:val="22"/>
            <w:szCs w:val="22"/>
            <w:lang w:val="es-ES"/>
          </w:rPr>
          <w:t>Infraestructuras rurales</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_Toc27146727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25</w:t>
        </w:r>
        <w:r w:rsidR="0059163A" w:rsidRPr="005303F6">
          <w:rPr>
            <w:rFonts w:ascii="Times New Roman" w:hAnsi="Times New Roman"/>
            <w:noProof/>
            <w:webHidden/>
            <w:sz w:val="22"/>
            <w:szCs w:val="22"/>
          </w:rPr>
          <w:fldChar w:fldCharType="end"/>
        </w:r>
      </w:hyperlink>
    </w:p>
    <w:p w14:paraId="0F38275C" w14:textId="77777777" w:rsidR="0059163A" w:rsidRPr="005303F6" w:rsidRDefault="0083125C">
      <w:pPr>
        <w:pStyle w:val="TDC4"/>
        <w:tabs>
          <w:tab w:val="left" w:pos="1200"/>
          <w:tab w:val="right" w:leader="dot" w:pos="9062"/>
        </w:tabs>
        <w:rPr>
          <w:rFonts w:ascii="Times New Roman" w:eastAsiaTheme="minorEastAsia" w:hAnsi="Times New Roman"/>
          <w:noProof/>
          <w:sz w:val="22"/>
          <w:szCs w:val="22"/>
          <w:lang w:eastAsia="es-DO"/>
        </w:rPr>
      </w:pPr>
      <w:hyperlink w:anchor="_Toc27146728" w:history="1">
        <w:r w:rsidR="0059163A" w:rsidRPr="005303F6">
          <w:rPr>
            <w:rStyle w:val="Hipervnculo"/>
            <w:rFonts w:ascii="Times New Roman" w:hAnsi="Times New Roman"/>
            <w:b/>
            <w:noProof/>
            <w:sz w:val="22"/>
            <w:szCs w:val="22"/>
          </w:rPr>
          <w:t>7.</w:t>
        </w:r>
        <w:r w:rsidR="0059163A" w:rsidRPr="005303F6">
          <w:rPr>
            <w:rFonts w:ascii="Times New Roman" w:eastAsiaTheme="minorEastAsia" w:hAnsi="Times New Roman"/>
            <w:noProof/>
            <w:sz w:val="22"/>
            <w:szCs w:val="22"/>
            <w:lang w:eastAsia="es-DO"/>
          </w:rPr>
          <w:tab/>
        </w:r>
        <w:r w:rsidR="0059163A" w:rsidRPr="005303F6">
          <w:rPr>
            <w:rStyle w:val="Hipervnculo"/>
            <w:rFonts w:ascii="Times New Roman" w:hAnsi="Times New Roman"/>
            <w:b/>
            <w:noProof/>
            <w:sz w:val="22"/>
            <w:szCs w:val="22"/>
          </w:rPr>
          <w:t>Asentamientos campesinos</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_Toc27146728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26</w:t>
        </w:r>
        <w:r w:rsidR="0059163A" w:rsidRPr="005303F6">
          <w:rPr>
            <w:rFonts w:ascii="Times New Roman" w:hAnsi="Times New Roman"/>
            <w:noProof/>
            <w:webHidden/>
            <w:sz w:val="22"/>
            <w:szCs w:val="22"/>
          </w:rPr>
          <w:fldChar w:fldCharType="end"/>
        </w:r>
      </w:hyperlink>
    </w:p>
    <w:p w14:paraId="784AB049" w14:textId="77777777" w:rsidR="0059163A" w:rsidRPr="005303F6" w:rsidRDefault="0083125C">
      <w:pPr>
        <w:pStyle w:val="TDC4"/>
        <w:tabs>
          <w:tab w:val="left" w:pos="1200"/>
          <w:tab w:val="right" w:leader="dot" w:pos="9062"/>
        </w:tabs>
        <w:rPr>
          <w:rFonts w:ascii="Times New Roman" w:eastAsiaTheme="minorEastAsia" w:hAnsi="Times New Roman"/>
          <w:noProof/>
          <w:sz w:val="22"/>
          <w:szCs w:val="22"/>
          <w:lang w:eastAsia="es-DO"/>
        </w:rPr>
      </w:pPr>
      <w:hyperlink w:anchor="_Toc27146729" w:history="1">
        <w:r w:rsidR="0059163A" w:rsidRPr="005303F6">
          <w:rPr>
            <w:rStyle w:val="Hipervnculo"/>
            <w:rFonts w:ascii="Times New Roman" w:hAnsi="Times New Roman"/>
            <w:b/>
            <w:noProof/>
            <w:sz w:val="22"/>
            <w:szCs w:val="22"/>
          </w:rPr>
          <w:t>8.</w:t>
        </w:r>
        <w:r w:rsidR="0059163A" w:rsidRPr="005303F6">
          <w:rPr>
            <w:rFonts w:ascii="Times New Roman" w:eastAsiaTheme="minorEastAsia" w:hAnsi="Times New Roman"/>
            <w:noProof/>
            <w:sz w:val="22"/>
            <w:szCs w:val="22"/>
            <w:lang w:eastAsia="es-DO"/>
          </w:rPr>
          <w:tab/>
        </w:r>
        <w:r w:rsidR="0059163A" w:rsidRPr="005303F6">
          <w:rPr>
            <w:rStyle w:val="Hipervnculo"/>
            <w:rFonts w:ascii="Times New Roman" w:hAnsi="Times New Roman"/>
            <w:b/>
            <w:noProof/>
            <w:sz w:val="22"/>
            <w:szCs w:val="22"/>
          </w:rPr>
          <w:t>Titulación de terrenos</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_Toc27146729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27</w:t>
        </w:r>
        <w:r w:rsidR="0059163A" w:rsidRPr="005303F6">
          <w:rPr>
            <w:rFonts w:ascii="Times New Roman" w:hAnsi="Times New Roman"/>
            <w:noProof/>
            <w:webHidden/>
            <w:sz w:val="22"/>
            <w:szCs w:val="22"/>
          </w:rPr>
          <w:fldChar w:fldCharType="end"/>
        </w:r>
      </w:hyperlink>
    </w:p>
    <w:p w14:paraId="6459E5BD" w14:textId="77777777" w:rsidR="0059163A" w:rsidRPr="005303F6" w:rsidRDefault="0083125C">
      <w:pPr>
        <w:pStyle w:val="TDC4"/>
        <w:tabs>
          <w:tab w:val="left" w:pos="1200"/>
          <w:tab w:val="right" w:leader="dot" w:pos="9062"/>
        </w:tabs>
        <w:rPr>
          <w:rFonts w:ascii="Times New Roman" w:eastAsiaTheme="minorEastAsia" w:hAnsi="Times New Roman"/>
          <w:noProof/>
          <w:sz w:val="22"/>
          <w:szCs w:val="22"/>
          <w:lang w:eastAsia="es-DO"/>
        </w:rPr>
      </w:pPr>
      <w:hyperlink w:anchor="_Toc27146730" w:history="1">
        <w:r w:rsidR="0059163A" w:rsidRPr="005303F6">
          <w:rPr>
            <w:rStyle w:val="Hipervnculo"/>
            <w:rFonts w:ascii="Times New Roman" w:eastAsiaTheme="majorEastAsia" w:hAnsi="Times New Roman"/>
            <w:b/>
            <w:noProof/>
            <w:sz w:val="22"/>
            <w:szCs w:val="22"/>
            <w:lang w:val="es-ES"/>
          </w:rPr>
          <w:t>9.</w:t>
        </w:r>
        <w:r w:rsidR="0059163A" w:rsidRPr="005303F6">
          <w:rPr>
            <w:rFonts w:ascii="Times New Roman" w:eastAsiaTheme="minorEastAsia" w:hAnsi="Times New Roman"/>
            <w:noProof/>
            <w:sz w:val="22"/>
            <w:szCs w:val="22"/>
            <w:lang w:eastAsia="es-DO"/>
          </w:rPr>
          <w:tab/>
        </w:r>
        <w:r w:rsidR="0059163A" w:rsidRPr="005303F6">
          <w:rPr>
            <w:rStyle w:val="Hipervnculo"/>
            <w:rFonts w:ascii="Times New Roman" w:eastAsiaTheme="majorEastAsia" w:hAnsi="Times New Roman"/>
            <w:b/>
            <w:noProof/>
            <w:sz w:val="22"/>
            <w:szCs w:val="22"/>
            <w:lang w:val="es-ES"/>
          </w:rPr>
          <w:t>Investigaciones agropecuarias y forestales</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_Toc27146730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28</w:t>
        </w:r>
        <w:r w:rsidR="0059163A" w:rsidRPr="005303F6">
          <w:rPr>
            <w:rFonts w:ascii="Times New Roman" w:hAnsi="Times New Roman"/>
            <w:noProof/>
            <w:webHidden/>
            <w:sz w:val="22"/>
            <w:szCs w:val="22"/>
          </w:rPr>
          <w:fldChar w:fldCharType="end"/>
        </w:r>
      </w:hyperlink>
    </w:p>
    <w:p w14:paraId="67CF825D" w14:textId="77777777" w:rsidR="0059163A" w:rsidRPr="005303F6" w:rsidRDefault="0083125C">
      <w:pPr>
        <w:pStyle w:val="TDC4"/>
        <w:tabs>
          <w:tab w:val="left" w:pos="1200"/>
          <w:tab w:val="right" w:leader="dot" w:pos="9062"/>
        </w:tabs>
        <w:rPr>
          <w:rFonts w:ascii="Times New Roman" w:eastAsiaTheme="minorEastAsia" w:hAnsi="Times New Roman"/>
          <w:noProof/>
          <w:sz w:val="22"/>
          <w:szCs w:val="22"/>
          <w:lang w:eastAsia="es-DO"/>
        </w:rPr>
      </w:pPr>
      <w:hyperlink w:anchor="_Toc27146731" w:history="1">
        <w:r w:rsidR="0059163A" w:rsidRPr="005303F6">
          <w:rPr>
            <w:rStyle w:val="Hipervnculo"/>
            <w:rFonts w:ascii="Times New Roman" w:eastAsiaTheme="majorEastAsia" w:hAnsi="Times New Roman"/>
            <w:b/>
            <w:noProof/>
            <w:sz w:val="22"/>
            <w:szCs w:val="22"/>
            <w:lang w:val="es-ES"/>
          </w:rPr>
          <w:t>10.</w:t>
        </w:r>
        <w:r w:rsidR="0059163A" w:rsidRPr="005303F6">
          <w:rPr>
            <w:rFonts w:ascii="Times New Roman" w:eastAsiaTheme="minorEastAsia" w:hAnsi="Times New Roman"/>
            <w:noProof/>
            <w:sz w:val="22"/>
            <w:szCs w:val="22"/>
            <w:lang w:eastAsia="es-DO"/>
          </w:rPr>
          <w:tab/>
        </w:r>
        <w:r w:rsidR="0059163A" w:rsidRPr="005303F6">
          <w:rPr>
            <w:rStyle w:val="Hipervnculo"/>
            <w:rFonts w:ascii="Times New Roman" w:eastAsiaTheme="majorEastAsia" w:hAnsi="Times New Roman"/>
            <w:b/>
            <w:noProof/>
            <w:sz w:val="22"/>
            <w:szCs w:val="22"/>
            <w:lang w:val="es-ES"/>
          </w:rPr>
          <w:t>Comercialización</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_Toc27146731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29</w:t>
        </w:r>
        <w:r w:rsidR="0059163A" w:rsidRPr="005303F6">
          <w:rPr>
            <w:rFonts w:ascii="Times New Roman" w:hAnsi="Times New Roman"/>
            <w:noProof/>
            <w:webHidden/>
            <w:sz w:val="22"/>
            <w:szCs w:val="22"/>
          </w:rPr>
          <w:fldChar w:fldCharType="end"/>
        </w:r>
      </w:hyperlink>
    </w:p>
    <w:p w14:paraId="1EC9098C" w14:textId="77777777" w:rsidR="0059163A" w:rsidRPr="005303F6" w:rsidRDefault="0083125C">
      <w:pPr>
        <w:pStyle w:val="TDC4"/>
        <w:tabs>
          <w:tab w:val="left" w:pos="1200"/>
          <w:tab w:val="right" w:leader="dot" w:pos="9062"/>
        </w:tabs>
        <w:rPr>
          <w:rFonts w:ascii="Times New Roman" w:eastAsiaTheme="minorEastAsia" w:hAnsi="Times New Roman"/>
          <w:noProof/>
          <w:sz w:val="22"/>
          <w:szCs w:val="22"/>
          <w:lang w:eastAsia="es-DO"/>
        </w:rPr>
      </w:pPr>
      <w:hyperlink w:anchor="_Toc27146732" w:history="1">
        <w:r w:rsidR="0059163A" w:rsidRPr="005303F6">
          <w:rPr>
            <w:rStyle w:val="Hipervnculo"/>
            <w:rFonts w:ascii="Times New Roman" w:eastAsiaTheme="majorEastAsia" w:hAnsi="Times New Roman"/>
            <w:b/>
            <w:noProof/>
            <w:sz w:val="22"/>
            <w:szCs w:val="22"/>
            <w:lang w:val="es-ES"/>
          </w:rPr>
          <w:t>11.</w:t>
        </w:r>
        <w:r w:rsidR="0059163A" w:rsidRPr="005303F6">
          <w:rPr>
            <w:rFonts w:ascii="Times New Roman" w:eastAsiaTheme="minorEastAsia" w:hAnsi="Times New Roman"/>
            <w:noProof/>
            <w:sz w:val="22"/>
            <w:szCs w:val="22"/>
            <w:lang w:eastAsia="es-DO"/>
          </w:rPr>
          <w:tab/>
        </w:r>
        <w:r w:rsidR="0059163A" w:rsidRPr="005303F6">
          <w:rPr>
            <w:rStyle w:val="Hipervnculo"/>
            <w:rFonts w:ascii="Times New Roman" w:eastAsiaTheme="majorEastAsia" w:hAnsi="Times New Roman"/>
            <w:b/>
            <w:noProof/>
            <w:sz w:val="22"/>
            <w:szCs w:val="22"/>
            <w:lang w:val="es-ES"/>
          </w:rPr>
          <w:t>Financiamiento</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_Toc27146732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31</w:t>
        </w:r>
        <w:r w:rsidR="0059163A" w:rsidRPr="005303F6">
          <w:rPr>
            <w:rFonts w:ascii="Times New Roman" w:hAnsi="Times New Roman"/>
            <w:noProof/>
            <w:webHidden/>
            <w:sz w:val="22"/>
            <w:szCs w:val="22"/>
          </w:rPr>
          <w:fldChar w:fldCharType="end"/>
        </w:r>
      </w:hyperlink>
    </w:p>
    <w:p w14:paraId="217FF895" w14:textId="77777777" w:rsidR="0059163A" w:rsidRPr="005303F6" w:rsidRDefault="0083125C">
      <w:pPr>
        <w:pStyle w:val="TDC4"/>
        <w:tabs>
          <w:tab w:val="left" w:pos="1200"/>
          <w:tab w:val="right" w:leader="dot" w:pos="9062"/>
        </w:tabs>
        <w:rPr>
          <w:rFonts w:ascii="Times New Roman" w:eastAsiaTheme="minorEastAsia" w:hAnsi="Times New Roman"/>
          <w:noProof/>
          <w:sz w:val="22"/>
          <w:szCs w:val="22"/>
          <w:lang w:eastAsia="es-DO"/>
        </w:rPr>
      </w:pPr>
      <w:hyperlink w:anchor="_Toc27146733" w:history="1">
        <w:r w:rsidR="0059163A" w:rsidRPr="005303F6">
          <w:rPr>
            <w:rStyle w:val="Hipervnculo"/>
            <w:rFonts w:ascii="Times New Roman" w:eastAsiaTheme="majorEastAsia" w:hAnsi="Times New Roman"/>
            <w:b/>
            <w:noProof/>
            <w:sz w:val="22"/>
            <w:szCs w:val="22"/>
            <w:lang w:val="es-ES"/>
          </w:rPr>
          <w:t>12.</w:t>
        </w:r>
        <w:r w:rsidR="0059163A" w:rsidRPr="005303F6">
          <w:rPr>
            <w:rFonts w:ascii="Times New Roman" w:eastAsiaTheme="minorEastAsia" w:hAnsi="Times New Roman"/>
            <w:noProof/>
            <w:sz w:val="22"/>
            <w:szCs w:val="22"/>
            <w:lang w:eastAsia="es-DO"/>
          </w:rPr>
          <w:tab/>
        </w:r>
        <w:r w:rsidR="0059163A" w:rsidRPr="005303F6">
          <w:rPr>
            <w:rStyle w:val="Hipervnculo"/>
            <w:rFonts w:ascii="Times New Roman" w:eastAsiaTheme="majorEastAsia" w:hAnsi="Times New Roman"/>
            <w:b/>
            <w:noProof/>
            <w:sz w:val="22"/>
            <w:szCs w:val="22"/>
            <w:lang w:val="es-ES"/>
          </w:rPr>
          <w:t>Cooperativas</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_Toc27146733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32</w:t>
        </w:r>
        <w:r w:rsidR="0059163A" w:rsidRPr="005303F6">
          <w:rPr>
            <w:rFonts w:ascii="Times New Roman" w:hAnsi="Times New Roman"/>
            <w:noProof/>
            <w:webHidden/>
            <w:sz w:val="22"/>
            <w:szCs w:val="22"/>
          </w:rPr>
          <w:fldChar w:fldCharType="end"/>
        </w:r>
      </w:hyperlink>
    </w:p>
    <w:p w14:paraId="457032DC" w14:textId="77777777" w:rsidR="0059163A" w:rsidRPr="005303F6" w:rsidRDefault="0083125C">
      <w:pPr>
        <w:pStyle w:val="TDC1"/>
        <w:rPr>
          <w:rFonts w:eastAsiaTheme="minorEastAsia"/>
          <w:b w:val="0"/>
          <w:bCs w:val="0"/>
          <w:sz w:val="22"/>
          <w:szCs w:val="22"/>
          <w:lang w:eastAsia="es-DO"/>
        </w:rPr>
      </w:pPr>
      <w:hyperlink w:anchor="_Toc27146734" w:history="1">
        <w:r w:rsidR="0059163A" w:rsidRPr="005303F6">
          <w:rPr>
            <w:rStyle w:val="Hipervnculo"/>
            <w:rFonts w:eastAsiaTheme="majorEastAsia"/>
            <w:sz w:val="22"/>
            <w:szCs w:val="22"/>
          </w:rPr>
          <w:t>III.</w:t>
        </w:r>
        <w:r w:rsidR="0059163A" w:rsidRPr="005303F6">
          <w:rPr>
            <w:rFonts w:eastAsiaTheme="minorEastAsia"/>
            <w:b w:val="0"/>
            <w:bCs w:val="0"/>
            <w:sz w:val="22"/>
            <w:szCs w:val="22"/>
            <w:lang w:eastAsia="es-DO"/>
          </w:rPr>
          <w:tab/>
        </w:r>
        <w:r w:rsidR="0059163A" w:rsidRPr="005303F6">
          <w:rPr>
            <w:rStyle w:val="Hipervnculo"/>
            <w:rFonts w:eastAsiaTheme="majorEastAsia"/>
            <w:sz w:val="22"/>
            <w:szCs w:val="22"/>
          </w:rPr>
          <w:t>Producción y productividad para la seguridad alimentaria</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_Toc27146734 \h </w:instrText>
        </w:r>
        <w:r w:rsidR="0059163A" w:rsidRPr="005303F6">
          <w:rPr>
            <w:webHidden/>
            <w:sz w:val="22"/>
            <w:szCs w:val="22"/>
          </w:rPr>
        </w:r>
        <w:r w:rsidR="0059163A" w:rsidRPr="005303F6">
          <w:rPr>
            <w:webHidden/>
            <w:sz w:val="22"/>
            <w:szCs w:val="22"/>
          </w:rPr>
          <w:fldChar w:fldCharType="separate"/>
        </w:r>
        <w:r w:rsidR="005303F6">
          <w:rPr>
            <w:webHidden/>
            <w:sz w:val="22"/>
            <w:szCs w:val="22"/>
          </w:rPr>
          <w:t>33</w:t>
        </w:r>
        <w:r w:rsidR="0059163A" w:rsidRPr="005303F6">
          <w:rPr>
            <w:webHidden/>
            <w:sz w:val="22"/>
            <w:szCs w:val="22"/>
          </w:rPr>
          <w:fldChar w:fldCharType="end"/>
        </w:r>
      </w:hyperlink>
    </w:p>
    <w:p w14:paraId="7C5C0DBE" w14:textId="77777777" w:rsidR="0059163A" w:rsidRPr="005303F6" w:rsidRDefault="0083125C">
      <w:pPr>
        <w:pStyle w:val="TDC2"/>
        <w:rPr>
          <w:rFonts w:eastAsiaTheme="minorEastAsia"/>
          <w:b w:val="0"/>
          <w:smallCaps w:val="0"/>
          <w:sz w:val="22"/>
          <w:szCs w:val="22"/>
          <w:lang w:eastAsia="es-DO" w:bidi="ar-SA"/>
        </w:rPr>
      </w:pPr>
      <w:hyperlink w:anchor="_Toc27146735" w:history="1">
        <w:r w:rsidR="0059163A" w:rsidRPr="005303F6">
          <w:rPr>
            <w:rStyle w:val="Hipervnculo"/>
            <w:sz w:val="22"/>
            <w:szCs w:val="22"/>
          </w:rPr>
          <w:t>a) Producción agrícola</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_Toc27146735 \h </w:instrText>
        </w:r>
        <w:r w:rsidR="0059163A" w:rsidRPr="005303F6">
          <w:rPr>
            <w:webHidden/>
            <w:sz w:val="22"/>
            <w:szCs w:val="22"/>
          </w:rPr>
        </w:r>
        <w:r w:rsidR="0059163A" w:rsidRPr="005303F6">
          <w:rPr>
            <w:webHidden/>
            <w:sz w:val="22"/>
            <w:szCs w:val="22"/>
          </w:rPr>
          <w:fldChar w:fldCharType="separate"/>
        </w:r>
        <w:r w:rsidR="005303F6">
          <w:rPr>
            <w:webHidden/>
            <w:sz w:val="22"/>
            <w:szCs w:val="22"/>
          </w:rPr>
          <w:t>33</w:t>
        </w:r>
        <w:r w:rsidR="0059163A" w:rsidRPr="005303F6">
          <w:rPr>
            <w:webHidden/>
            <w:sz w:val="22"/>
            <w:szCs w:val="22"/>
          </w:rPr>
          <w:fldChar w:fldCharType="end"/>
        </w:r>
      </w:hyperlink>
    </w:p>
    <w:p w14:paraId="72881A79" w14:textId="77777777" w:rsidR="0059163A" w:rsidRPr="005303F6" w:rsidRDefault="0083125C">
      <w:pPr>
        <w:pStyle w:val="TDC2"/>
        <w:rPr>
          <w:rFonts w:eastAsiaTheme="minorEastAsia"/>
          <w:b w:val="0"/>
          <w:smallCaps w:val="0"/>
          <w:sz w:val="22"/>
          <w:szCs w:val="22"/>
          <w:lang w:eastAsia="es-DO" w:bidi="ar-SA"/>
        </w:rPr>
      </w:pPr>
      <w:hyperlink w:anchor="_Toc27146736" w:history="1">
        <w:r w:rsidR="0059163A" w:rsidRPr="005303F6">
          <w:rPr>
            <w:rStyle w:val="Hipervnculo"/>
            <w:sz w:val="22"/>
            <w:szCs w:val="22"/>
          </w:rPr>
          <w:t>b) Producción pecuaria</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_Toc27146736 \h </w:instrText>
        </w:r>
        <w:r w:rsidR="0059163A" w:rsidRPr="005303F6">
          <w:rPr>
            <w:webHidden/>
            <w:sz w:val="22"/>
            <w:szCs w:val="22"/>
          </w:rPr>
        </w:r>
        <w:r w:rsidR="0059163A" w:rsidRPr="005303F6">
          <w:rPr>
            <w:webHidden/>
            <w:sz w:val="22"/>
            <w:szCs w:val="22"/>
          </w:rPr>
          <w:fldChar w:fldCharType="separate"/>
        </w:r>
        <w:r w:rsidR="005303F6">
          <w:rPr>
            <w:webHidden/>
            <w:sz w:val="22"/>
            <w:szCs w:val="22"/>
          </w:rPr>
          <w:t>42</w:t>
        </w:r>
        <w:r w:rsidR="0059163A" w:rsidRPr="005303F6">
          <w:rPr>
            <w:webHidden/>
            <w:sz w:val="22"/>
            <w:szCs w:val="22"/>
          </w:rPr>
          <w:fldChar w:fldCharType="end"/>
        </w:r>
      </w:hyperlink>
    </w:p>
    <w:p w14:paraId="6A6C75E3" w14:textId="77777777" w:rsidR="0059163A" w:rsidRPr="005303F6" w:rsidRDefault="0083125C">
      <w:pPr>
        <w:pStyle w:val="TDC2"/>
        <w:rPr>
          <w:rFonts w:eastAsiaTheme="minorEastAsia"/>
          <w:b w:val="0"/>
          <w:smallCaps w:val="0"/>
          <w:sz w:val="22"/>
          <w:szCs w:val="22"/>
          <w:lang w:eastAsia="es-DO" w:bidi="ar-SA"/>
        </w:rPr>
      </w:pPr>
      <w:hyperlink w:anchor="_Toc27146737" w:history="1">
        <w:r w:rsidR="0059163A" w:rsidRPr="005303F6">
          <w:rPr>
            <w:rStyle w:val="Hipervnculo"/>
            <w:sz w:val="22"/>
            <w:szCs w:val="22"/>
          </w:rPr>
          <w:t>c) Producción bajo ambiente protegido (Invernaderos)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_Toc27146737 \h </w:instrText>
        </w:r>
        <w:r w:rsidR="0059163A" w:rsidRPr="005303F6">
          <w:rPr>
            <w:webHidden/>
            <w:sz w:val="22"/>
            <w:szCs w:val="22"/>
          </w:rPr>
        </w:r>
        <w:r w:rsidR="0059163A" w:rsidRPr="005303F6">
          <w:rPr>
            <w:webHidden/>
            <w:sz w:val="22"/>
            <w:szCs w:val="22"/>
          </w:rPr>
          <w:fldChar w:fldCharType="separate"/>
        </w:r>
        <w:r w:rsidR="005303F6">
          <w:rPr>
            <w:webHidden/>
            <w:sz w:val="22"/>
            <w:szCs w:val="22"/>
          </w:rPr>
          <w:t>45</w:t>
        </w:r>
        <w:r w:rsidR="0059163A" w:rsidRPr="005303F6">
          <w:rPr>
            <w:webHidden/>
            <w:sz w:val="22"/>
            <w:szCs w:val="22"/>
          </w:rPr>
          <w:fldChar w:fldCharType="end"/>
        </w:r>
      </w:hyperlink>
    </w:p>
    <w:p w14:paraId="5DF36EE3" w14:textId="77777777" w:rsidR="0059163A" w:rsidRPr="005303F6" w:rsidRDefault="0083125C">
      <w:pPr>
        <w:pStyle w:val="TDC2"/>
        <w:rPr>
          <w:rFonts w:eastAsiaTheme="minorEastAsia"/>
          <w:b w:val="0"/>
          <w:smallCaps w:val="0"/>
          <w:sz w:val="22"/>
          <w:szCs w:val="22"/>
          <w:lang w:eastAsia="es-DO" w:bidi="ar-SA"/>
        </w:rPr>
      </w:pPr>
      <w:hyperlink w:anchor="_Toc27146738" w:history="1">
        <w:r w:rsidR="0059163A" w:rsidRPr="005303F6">
          <w:rPr>
            <w:rStyle w:val="Hipervnculo"/>
            <w:sz w:val="22"/>
            <w:szCs w:val="22"/>
          </w:rPr>
          <w:t>d) Exportaciones agropecuarias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_Toc27146738 \h </w:instrText>
        </w:r>
        <w:r w:rsidR="0059163A" w:rsidRPr="005303F6">
          <w:rPr>
            <w:webHidden/>
            <w:sz w:val="22"/>
            <w:szCs w:val="22"/>
          </w:rPr>
        </w:r>
        <w:r w:rsidR="0059163A" w:rsidRPr="005303F6">
          <w:rPr>
            <w:webHidden/>
            <w:sz w:val="22"/>
            <w:szCs w:val="22"/>
          </w:rPr>
          <w:fldChar w:fldCharType="separate"/>
        </w:r>
        <w:r w:rsidR="005303F6">
          <w:rPr>
            <w:webHidden/>
            <w:sz w:val="22"/>
            <w:szCs w:val="22"/>
          </w:rPr>
          <w:t>46</w:t>
        </w:r>
        <w:r w:rsidR="0059163A" w:rsidRPr="005303F6">
          <w:rPr>
            <w:webHidden/>
            <w:sz w:val="22"/>
            <w:szCs w:val="22"/>
          </w:rPr>
          <w:fldChar w:fldCharType="end"/>
        </w:r>
      </w:hyperlink>
    </w:p>
    <w:p w14:paraId="5EF1EA1B" w14:textId="77777777" w:rsidR="0059163A" w:rsidRPr="005303F6" w:rsidRDefault="0083125C">
      <w:pPr>
        <w:pStyle w:val="TDC1"/>
        <w:rPr>
          <w:rFonts w:eastAsiaTheme="minorEastAsia"/>
          <w:b w:val="0"/>
          <w:bCs w:val="0"/>
          <w:sz w:val="22"/>
          <w:szCs w:val="22"/>
          <w:lang w:eastAsia="es-DO"/>
        </w:rPr>
      </w:pPr>
      <w:hyperlink w:anchor="_Toc27146739" w:history="1">
        <w:r w:rsidR="0059163A" w:rsidRPr="005303F6">
          <w:rPr>
            <w:rStyle w:val="Hipervnculo"/>
            <w:rFonts w:eastAsiaTheme="majorEastAsia"/>
            <w:sz w:val="22"/>
            <w:szCs w:val="22"/>
          </w:rPr>
          <w:t>IV.</w:t>
        </w:r>
        <w:r w:rsidR="0059163A" w:rsidRPr="005303F6">
          <w:rPr>
            <w:rFonts w:eastAsiaTheme="minorEastAsia"/>
            <w:b w:val="0"/>
            <w:bCs w:val="0"/>
            <w:sz w:val="22"/>
            <w:szCs w:val="22"/>
            <w:lang w:eastAsia="es-DO"/>
          </w:rPr>
          <w:tab/>
        </w:r>
        <w:r w:rsidR="0059163A" w:rsidRPr="005303F6">
          <w:rPr>
            <w:rStyle w:val="Hipervnculo"/>
            <w:rFonts w:eastAsiaTheme="majorEastAsia"/>
            <w:sz w:val="22"/>
            <w:szCs w:val="22"/>
          </w:rPr>
          <w:t>Ejecuciones contempladas en el Plan Operativo</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_Toc27146739 \h </w:instrText>
        </w:r>
        <w:r w:rsidR="0059163A" w:rsidRPr="005303F6">
          <w:rPr>
            <w:webHidden/>
            <w:sz w:val="22"/>
            <w:szCs w:val="22"/>
          </w:rPr>
        </w:r>
        <w:r w:rsidR="0059163A" w:rsidRPr="005303F6">
          <w:rPr>
            <w:webHidden/>
            <w:sz w:val="22"/>
            <w:szCs w:val="22"/>
          </w:rPr>
          <w:fldChar w:fldCharType="separate"/>
        </w:r>
        <w:r w:rsidR="005303F6">
          <w:rPr>
            <w:webHidden/>
            <w:sz w:val="22"/>
            <w:szCs w:val="22"/>
          </w:rPr>
          <w:t>49</w:t>
        </w:r>
        <w:r w:rsidR="0059163A" w:rsidRPr="005303F6">
          <w:rPr>
            <w:webHidden/>
            <w:sz w:val="22"/>
            <w:szCs w:val="22"/>
          </w:rPr>
          <w:fldChar w:fldCharType="end"/>
        </w:r>
      </w:hyperlink>
    </w:p>
    <w:p w14:paraId="01AF0061" w14:textId="77777777" w:rsidR="0059163A" w:rsidRPr="005303F6" w:rsidRDefault="0083125C">
      <w:pPr>
        <w:pStyle w:val="TDC2"/>
        <w:rPr>
          <w:rFonts w:eastAsiaTheme="minorEastAsia"/>
          <w:b w:val="0"/>
          <w:smallCaps w:val="0"/>
          <w:sz w:val="22"/>
          <w:szCs w:val="22"/>
          <w:lang w:eastAsia="es-DO" w:bidi="ar-SA"/>
        </w:rPr>
      </w:pPr>
      <w:hyperlink w:anchor="_Toc27146740" w:history="1">
        <w:r w:rsidR="0059163A" w:rsidRPr="005303F6">
          <w:rPr>
            <w:rStyle w:val="Hipervnculo"/>
            <w:sz w:val="22"/>
            <w:szCs w:val="22"/>
          </w:rPr>
          <w:t>a) Impacto a ciudadanos y ciudadanas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_Toc27146740 \h </w:instrText>
        </w:r>
        <w:r w:rsidR="0059163A" w:rsidRPr="005303F6">
          <w:rPr>
            <w:webHidden/>
            <w:sz w:val="22"/>
            <w:szCs w:val="22"/>
          </w:rPr>
        </w:r>
        <w:r w:rsidR="0059163A" w:rsidRPr="005303F6">
          <w:rPr>
            <w:webHidden/>
            <w:sz w:val="22"/>
            <w:szCs w:val="22"/>
          </w:rPr>
          <w:fldChar w:fldCharType="separate"/>
        </w:r>
        <w:r w:rsidR="005303F6">
          <w:rPr>
            <w:webHidden/>
            <w:sz w:val="22"/>
            <w:szCs w:val="22"/>
          </w:rPr>
          <w:t>49</w:t>
        </w:r>
        <w:r w:rsidR="0059163A" w:rsidRPr="005303F6">
          <w:rPr>
            <w:webHidden/>
            <w:sz w:val="22"/>
            <w:szCs w:val="22"/>
          </w:rPr>
          <w:fldChar w:fldCharType="end"/>
        </w:r>
      </w:hyperlink>
    </w:p>
    <w:p w14:paraId="31AE324D" w14:textId="77777777" w:rsidR="0059163A" w:rsidRPr="005303F6" w:rsidRDefault="0083125C">
      <w:pPr>
        <w:pStyle w:val="TDC3"/>
        <w:rPr>
          <w:rFonts w:eastAsiaTheme="minorEastAsia"/>
          <w:b w:val="0"/>
          <w:iCs w:val="0"/>
          <w:sz w:val="22"/>
          <w:szCs w:val="22"/>
          <w:lang w:val="es-DO" w:eastAsia="es-DO" w:bidi="ar-SA"/>
        </w:rPr>
      </w:pPr>
      <w:hyperlink w:anchor="_Toc27146741" w:history="1">
        <w:r w:rsidR="0059163A" w:rsidRPr="005303F6">
          <w:rPr>
            <w:rStyle w:val="Hipervnculo"/>
            <w:sz w:val="22"/>
            <w:szCs w:val="22"/>
          </w:rPr>
          <w:t>Servicios de asesoramiento técnico, generación, validación y transferencia de tecnologías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_Toc27146741 \h </w:instrText>
        </w:r>
        <w:r w:rsidR="0059163A" w:rsidRPr="005303F6">
          <w:rPr>
            <w:webHidden/>
            <w:sz w:val="22"/>
            <w:szCs w:val="22"/>
          </w:rPr>
        </w:r>
        <w:r w:rsidR="0059163A" w:rsidRPr="005303F6">
          <w:rPr>
            <w:webHidden/>
            <w:sz w:val="22"/>
            <w:szCs w:val="22"/>
          </w:rPr>
          <w:fldChar w:fldCharType="separate"/>
        </w:r>
        <w:r w:rsidR="005303F6">
          <w:rPr>
            <w:webHidden/>
            <w:sz w:val="22"/>
            <w:szCs w:val="22"/>
          </w:rPr>
          <w:t>49</w:t>
        </w:r>
        <w:r w:rsidR="0059163A" w:rsidRPr="005303F6">
          <w:rPr>
            <w:webHidden/>
            <w:sz w:val="22"/>
            <w:szCs w:val="22"/>
          </w:rPr>
          <w:fldChar w:fldCharType="end"/>
        </w:r>
      </w:hyperlink>
    </w:p>
    <w:p w14:paraId="02CC7C23" w14:textId="77777777" w:rsidR="0059163A" w:rsidRPr="005303F6" w:rsidRDefault="0083125C">
      <w:pPr>
        <w:pStyle w:val="TDC3"/>
        <w:rPr>
          <w:rFonts w:eastAsiaTheme="minorEastAsia"/>
          <w:b w:val="0"/>
          <w:iCs w:val="0"/>
          <w:sz w:val="22"/>
          <w:szCs w:val="22"/>
          <w:lang w:val="es-DO" w:eastAsia="es-DO" w:bidi="ar-SA"/>
        </w:rPr>
      </w:pPr>
      <w:hyperlink w:anchor="_Toc27146742" w:history="1">
        <w:r w:rsidR="0059163A" w:rsidRPr="005303F6">
          <w:rPr>
            <w:rStyle w:val="Hipervnculo"/>
            <w:sz w:val="22"/>
            <w:szCs w:val="22"/>
          </w:rPr>
          <w:t>Servicios de asistencia técnica en buenas prácticas agrícolas y manufactureras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_Toc27146742 \h </w:instrText>
        </w:r>
        <w:r w:rsidR="0059163A" w:rsidRPr="005303F6">
          <w:rPr>
            <w:webHidden/>
            <w:sz w:val="22"/>
            <w:szCs w:val="22"/>
          </w:rPr>
        </w:r>
        <w:r w:rsidR="0059163A" w:rsidRPr="005303F6">
          <w:rPr>
            <w:webHidden/>
            <w:sz w:val="22"/>
            <w:szCs w:val="22"/>
          </w:rPr>
          <w:fldChar w:fldCharType="separate"/>
        </w:r>
        <w:r w:rsidR="005303F6">
          <w:rPr>
            <w:webHidden/>
            <w:sz w:val="22"/>
            <w:szCs w:val="22"/>
          </w:rPr>
          <w:t>51</w:t>
        </w:r>
        <w:r w:rsidR="0059163A" w:rsidRPr="005303F6">
          <w:rPr>
            <w:webHidden/>
            <w:sz w:val="22"/>
            <w:szCs w:val="22"/>
          </w:rPr>
          <w:fldChar w:fldCharType="end"/>
        </w:r>
      </w:hyperlink>
    </w:p>
    <w:p w14:paraId="79C2EBC1" w14:textId="77777777" w:rsidR="0059163A" w:rsidRPr="005303F6" w:rsidRDefault="0083125C">
      <w:pPr>
        <w:pStyle w:val="TDC3"/>
        <w:rPr>
          <w:rFonts w:eastAsiaTheme="minorEastAsia"/>
          <w:b w:val="0"/>
          <w:iCs w:val="0"/>
          <w:sz w:val="22"/>
          <w:szCs w:val="22"/>
          <w:lang w:val="es-DO" w:eastAsia="es-DO" w:bidi="ar-SA"/>
        </w:rPr>
      </w:pPr>
      <w:hyperlink w:anchor="_Toc27146743" w:history="1">
        <w:r w:rsidR="0059163A" w:rsidRPr="005303F6">
          <w:rPr>
            <w:rStyle w:val="Hipervnculo"/>
            <w:sz w:val="22"/>
            <w:szCs w:val="22"/>
          </w:rPr>
          <w:t>Servicios de información sobre procedimientos para la importación de productos y sub-productos de origen animal.</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_Toc27146743 \h </w:instrText>
        </w:r>
        <w:r w:rsidR="0059163A" w:rsidRPr="005303F6">
          <w:rPr>
            <w:webHidden/>
            <w:sz w:val="22"/>
            <w:szCs w:val="22"/>
          </w:rPr>
        </w:r>
        <w:r w:rsidR="0059163A" w:rsidRPr="005303F6">
          <w:rPr>
            <w:webHidden/>
            <w:sz w:val="22"/>
            <w:szCs w:val="22"/>
          </w:rPr>
          <w:fldChar w:fldCharType="separate"/>
        </w:r>
        <w:r w:rsidR="005303F6">
          <w:rPr>
            <w:webHidden/>
            <w:sz w:val="22"/>
            <w:szCs w:val="22"/>
          </w:rPr>
          <w:t>52</w:t>
        </w:r>
        <w:r w:rsidR="0059163A" w:rsidRPr="005303F6">
          <w:rPr>
            <w:webHidden/>
            <w:sz w:val="22"/>
            <w:szCs w:val="22"/>
          </w:rPr>
          <w:fldChar w:fldCharType="end"/>
        </w:r>
      </w:hyperlink>
    </w:p>
    <w:p w14:paraId="45DB4F4A" w14:textId="77777777" w:rsidR="0059163A" w:rsidRPr="005303F6" w:rsidRDefault="0083125C">
      <w:pPr>
        <w:pStyle w:val="TDC3"/>
        <w:rPr>
          <w:rFonts w:eastAsiaTheme="minorEastAsia"/>
          <w:b w:val="0"/>
          <w:iCs w:val="0"/>
          <w:sz w:val="22"/>
          <w:szCs w:val="22"/>
          <w:lang w:val="es-DO" w:eastAsia="es-DO" w:bidi="ar-SA"/>
        </w:rPr>
      </w:pPr>
      <w:hyperlink w:anchor="_Toc27146744" w:history="1">
        <w:r w:rsidR="0059163A" w:rsidRPr="005303F6">
          <w:rPr>
            <w:rStyle w:val="Hipervnculo"/>
            <w:sz w:val="22"/>
            <w:szCs w:val="22"/>
          </w:rPr>
          <w:t>Servicios de información sobre procedimientos para la exportación de productos y sub productos de origen animal.</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_Toc27146744 \h </w:instrText>
        </w:r>
        <w:r w:rsidR="0059163A" w:rsidRPr="005303F6">
          <w:rPr>
            <w:webHidden/>
            <w:sz w:val="22"/>
            <w:szCs w:val="22"/>
          </w:rPr>
        </w:r>
        <w:r w:rsidR="0059163A" w:rsidRPr="005303F6">
          <w:rPr>
            <w:webHidden/>
            <w:sz w:val="22"/>
            <w:szCs w:val="22"/>
          </w:rPr>
          <w:fldChar w:fldCharType="separate"/>
        </w:r>
        <w:r w:rsidR="005303F6">
          <w:rPr>
            <w:webHidden/>
            <w:sz w:val="22"/>
            <w:szCs w:val="22"/>
          </w:rPr>
          <w:t>53</w:t>
        </w:r>
        <w:r w:rsidR="0059163A" w:rsidRPr="005303F6">
          <w:rPr>
            <w:webHidden/>
            <w:sz w:val="22"/>
            <w:szCs w:val="22"/>
          </w:rPr>
          <w:fldChar w:fldCharType="end"/>
        </w:r>
      </w:hyperlink>
    </w:p>
    <w:p w14:paraId="097DA453" w14:textId="77777777" w:rsidR="0059163A" w:rsidRPr="005303F6" w:rsidRDefault="0083125C">
      <w:pPr>
        <w:pStyle w:val="TDC3"/>
        <w:rPr>
          <w:rFonts w:eastAsiaTheme="minorEastAsia"/>
          <w:b w:val="0"/>
          <w:iCs w:val="0"/>
          <w:sz w:val="22"/>
          <w:szCs w:val="22"/>
          <w:lang w:val="es-DO" w:eastAsia="es-DO" w:bidi="ar-SA"/>
        </w:rPr>
      </w:pPr>
      <w:hyperlink w:anchor="_Toc27146745" w:history="1">
        <w:r w:rsidR="0059163A" w:rsidRPr="005303F6">
          <w:rPr>
            <w:rStyle w:val="Hipervnculo"/>
            <w:sz w:val="22"/>
            <w:szCs w:val="22"/>
          </w:rPr>
          <w:t>Servicios de información sobre procedimientos para la importación de productos y sub-productos de origen vegetal.</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_Toc27146745 \h </w:instrText>
        </w:r>
        <w:r w:rsidR="0059163A" w:rsidRPr="005303F6">
          <w:rPr>
            <w:webHidden/>
            <w:sz w:val="22"/>
            <w:szCs w:val="22"/>
          </w:rPr>
        </w:r>
        <w:r w:rsidR="0059163A" w:rsidRPr="005303F6">
          <w:rPr>
            <w:webHidden/>
            <w:sz w:val="22"/>
            <w:szCs w:val="22"/>
          </w:rPr>
          <w:fldChar w:fldCharType="separate"/>
        </w:r>
        <w:r w:rsidR="005303F6">
          <w:rPr>
            <w:webHidden/>
            <w:sz w:val="22"/>
            <w:szCs w:val="22"/>
          </w:rPr>
          <w:t>54</w:t>
        </w:r>
        <w:r w:rsidR="0059163A" w:rsidRPr="005303F6">
          <w:rPr>
            <w:webHidden/>
            <w:sz w:val="22"/>
            <w:szCs w:val="22"/>
          </w:rPr>
          <w:fldChar w:fldCharType="end"/>
        </w:r>
      </w:hyperlink>
    </w:p>
    <w:p w14:paraId="3415C0D8" w14:textId="77777777" w:rsidR="0059163A" w:rsidRPr="005303F6" w:rsidRDefault="0083125C">
      <w:pPr>
        <w:pStyle w:val="TDC3"/>
        <w:rPr>
          <w:rFonts w:eastAsiaTheme="minorEastAsia"/>
          <w:b w:val="0"/>
          <w:iCs w:val="0"/>
          <w:sz w:val="22"/>
          <w:szCs w:val="22"/>
          <w:lang w:val="es-DO" w:eastAsia="es-DO" w:bidi="ar-SA"/>
        </w:rPr>
      </w:pPr>
      <w:hyperlink w:anchor="_Toc27146746" w:history="1">
        <w:r w:rsidR="0059163A" w:rsidRPr="005303F6">
          <w:rPr>
            <w:rStyle w:val="Hipervnculo"/>
            <w:sz w:val="22"/>
            <w:szCs w:val="22"/>
          </w:rPr>
          <w:t>Servicios de información sobre procedimientos para la exportación de productos y sub-productos de origen vegetal.</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_Toc27146746 \h </w:instrText>
        </w:r>
        <w:r w:rsidR="0059163A" w:rsidRPr="005303F6">
          <w:rPr>
            <w:webHidden/>
            <w:sz w:val="22"/>
            <w:szCs w:val="22"/>
          </w:rPr>
        </w:r>
        <w:r w:rsidR="0059163A" w:rsidRPr="005303F6">
          <w:rPr>
            <w:webHidden/>
            <w:sz w:val="22"/>
            <w:szCs w:val="22"/>
          </w:rPr>
          <w:fldChar w:fldCharType="separate"/>
        </w:r>
        <w:r w:rsidR="005303F6">
          <w:rPr>
            <w:webHidden/>
            <w:sz w:val="22"/>
            <w:szCs w:val="22"/>
          </w:rPr>
          <w:t>54</w:t>
        </w:r>
        <w:r w:rsidR="0059163A" w:rsidRPr="005303F6">
          <w:rPr>
            <w:webHidden/>
            <w:sz w:val="22"/>
            <w:szCs w:val="22"/>
          </w:rPr>
          <w:fldChar w:fldCharType="end"/>
        </w:r>
      </w:hyperlink>
    </w:p>
    <w:p w14:paraId="4193FD41" w14:textId="77777777" w:rsidR="0059163A" w:rsidRPr="005303F6" w:rsidRDefault="0083125C">
      <w:pPr>
        <w:pStyle w:val="TDC3"/>
        <w:rPr>
          <w:rFonts w:eastAsiaTheme="minorEastAsia"/>
          <w:b w:val="0"/>
          <w:iCs w:val="0"/>
          <w:sz w:val="22"/>
          <w:szCs w:val="22"/>
          <w:lang w:val="es-DO" w:eastAsia="es-DO" w:bidi="ar-SA"/>
        </w:rPr>
      </w:pPr>
      <w:hyperlink w:anchor="_Toc27146747" w:history="1">
        <w:r w:rsidR="0059163A" w:rsidRPr="005303F6">
          <w:rPr>
            <w:rStyle w:val="Hipervnculo"/>
            <w:sz w:val="22"/>
            <w:szCs w:val="22"/>
          </w:rPr>
          <w:t>Programa de monitoreo, control de plagas y enfermedades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_Toc27146747 \h </w:instrText>
        </w:r>
        <w:r w:rsidR="0059163A" w:rsidRPr="005303F6">
          <w:rPr>
            <w:webHidden/>
            <w:sz w:val="22"/>
            <w:szCs w:val="22"/>
          </w:rPr>
        </w:r>
        <w:r w:rsidR="0059163A" w:rsidRPr="005303F6">
          <w:rPr>
            <w:webHidden/>
            <w:sz w:val="22"/>
            <w:szCs w:val="22"/>
          </w:rPr>
          <w:fldChar w:fldCharType="separate"/>
        </w:r>
        <w:r w:rsidR="005303F6">
          <w:rPr>
            <w:webHidden/>
            <w:sz w:val="22"/>
            <w:szCs w:val="22"/>
          </w:rPr>
          <w:t>55</w:t>
        </w:r>
        <w:r w:rsidR="0059163A" w:rsidRPr="005303F6">
          <w:rPr>
            <w:webHidden/>
            <w:sz w:val="22"/>
            <w:szCs w:val="22"/>
          </w:rPr>
          <w:fldChar w:fldCharType="end"/>
        </w:r>
      </w:hyperlink>
    </w:p>
    <w:p w14:paraId="656777D5" w14:textId="77777777" w:rsidR="0059163A" w:rsidRPr="005303F6" w:rsidRDefault="0083125C">
      <w:pPr>
        <w:pStyle w:val="TDC3"/>
        <w:rPr>
          <w:rFonts w:eastAsiaTheme="minorEastAsia"/>
          <w:b w:val="0"/>
          <w:iCs w:val="0"/>
          <w:sz w:val="22"/>
          <w:szCs w:val="22"/>
          <w:lang w:val="es-DO" w:eastAsia="es-DO" w:bidi="ar-SA"/>
        </w:rPr>
      </w:pPr>
      <w:hyperlink w:anchor="_Toc27146748" w:history="1">
        <w:r w:rsidR="0059163A" w:rsidRPr="005303F6">
          <w:rPr>
            <w:rStyle w:val="Hipervnculo"/>
            <w:sz w:val="22"/>
            <w:szCs w:val="22"/>
          </w:rPr>
          <w:t>Sistema nacional de cuarentena vegetal</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_Toc27146748 \h </w:instrText>
        </w:r>
        <w:r w:rsidR="0059163A" w:rsidRPr="005303F6">
          <w:rPr>
            <w:webHidden/>
            <w:sz w:val="22"/>
            <w:szCs w:val="22"/>
          </w:rPr>
        </w:r>
        <w:r w:rsidR="0059163A" w:rsidRPr="005303F6">
          <w:rPr>
            <w:webHidden/>
            <w:sz w:val="22"/>
            <w:szCs w:val="22"/>
          </w:rPr>
          <w:fldChar w:fldCharType="separate"/>
        </w:r>
        <w:r w:rsidR="005303F6">
          <w:rPr>
            <w:webHidden/>
            <w:sz w:val="22"/>
            <w:szCs w:val="22"/>
          </w:rPr>
          <w:t>58</w:t>
        </w:r>
        <w:r w:rsidR="0059163A" w:rsidRPr="005303F6">
          <w:rPr>
            <w:webHidden/>
            <w:sz w:val="22"/>
            <w:szCs w:val="22"/>
          </w:rPr>
          <w:fldChar w:fldCharType="end"/>
        </w:r>
      </w:hyperlink>
    </w:p>
    <w:p w14:paraId="4D6D22AF" w14:textId="77777777" w:rsidR="0059163A" w:rsidRPr="005303F6" w:rsidRDefault="0083125C">
      <w:pPr>
        <w:pStyle w:val="TDC3"/>
        <w:rPr>
          <w:rFonts w:eastAsiaTheme="minorEastAsia"/>
          <w:b w:val="0"/>
          <w:iCs w:val="0"/>
          <w:sz w:val="22"/>
          <w:szCs w:val="22"/>
          <w:lang w:val="es-DO" w:eastAsia="es-DO" w:bidi="ar-SA"/>
        </w:rPr>
      </w:pPr>
      <w:hyperlink w:anchor="_Toc27146749" w:history="1">
        <w:r w:rsidR="0059163A" w:rsidRPr="005303F6">
          <w:rPr>
            <w:rStyle w:val="Hipervnculo"/>
            <w:sz w:val="22"/>
            <w:szCs w:val="22"/>
          </w:rPr>
          <w:t>Programa de regularización del comercio, manejo y uso de plaguicidas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_Toc27146749 \h </w:instrText>
        </w:r>
        <w:r w:rsidR="0059163A" w:rsidRPr="005303F6">
          <w:rPr>
            <w:webHidden/>
            <w:sz w:val="22"/>
            <w:szCs w:val="22"/>
          </w:rPr>
        </w:r>
        <w:r w:rsidR="0059163A" w:rsidRPr="005303F6">
          <w:rPr>
            <w:webHidden/>
            <w:sz w:val="22"/>
            <w:szCs w:val="22"/>
          </w:rPr>
          <w:fldChar w:fldCharType="separate"/>
        </w:r>
        <w:r w:rsidR="005303F6">
          <w:rPr>
            <w:webHidden/>
            <w:sz w:val="22"/>
            <w:szCs w:val="22"/>
          </w:rPr>
          <w:t>60</w:t>
        </w:r>
        <w:r w:rsidR="0059163A" w:rsidRPr="005303F6">
          <w:rPr>
            <w:webHidden/>
            <w:sz w:val="22"/>
            <w:szCs w:val="22"/>
          </w:rPr>
          <w:fldChar w:fldCharType="end"/>
        </w:r>
      </w:hyperlink>
    </w:p>
    <w:p w14:paraId="6ED87A86" w14:textId="77777777" w:rsidR="0059163A" w:rsidRPr="005303F6" w:rsidRDefault="0083125C">
      <w:pPr>
        <w:pStyle w:val="TDC3"/>
        <w:rPr>
          <w:rFonts w:eastAsiaTheme="minorEastAsia"/>
          <w:b w:val="0"/>
          <w:iCs w:val="0"/>
          <w:sz w:val="22"/>
          <w:szCs w:val="22"/>
          <w:lang w:val="es-DO" w:eastAsia="es-DO" w:bidi="ar-SA"/>
        </w:rPr>
      </w:pPr>
      <w:hyperlink w:anchor="_Toc27146750" w:history="1">
        <w:r w:rsidR="0059163A" w:rsidRPr="005303F6">
          <w:rPr>
            <w:rStyle w:val="Hipervnculo"/>
            <w:sz w:val="22"/>
            <w:szCs w:val="22"/>
          </w:rPr>
          <w:t>Programa de servicios de distribución de material de siembra.</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_Toc27146750 \h </w:instrText>
        </w:r>
        <w:r w:rsidR="0059163A" w:rsidRPr="005303F6">
          <w:rPr>
            <w:webHidden/>
            <w:sz w:val="22"/>
            <w:szCs w:val="22"/>
          </w:rPr>
        </w:r>
        <w:r w:rsidR="0059163A" w:rsidRPr="005303F6">
          <w:rPr>
            <w:webHidden/>
            <w:sz w:val="22"/>
            <w:szCs w:val="22"/>
          </w:rPr>
          <w:fldChar w:fldCharType="separate"/>
        </w:r>
        <w:r w:rsidR="005303F6">
          <w:rPr>
            <w:webHidden/>
            <w:sz w:val="22"/>
            <w:szCs w:val="22"/>
          </w:rPr>
          <w:t>62</w:t>
        </w:r>
        <w:r w:rsidR="0059163A" w:rsidRPr="005303F6">
          <w:rPr>
            <w:webHidden/>
            <w:sz w:val="22"/>
            <w:szCs w:val="22"/>
          </w:rPr>
          <w:fldChar w:fldCharType="end"/>
        </w:r>
      </w:hyperlink>
    </w:p>
    <w:p w14:paraId="01E1568D" w14:textId="77777777" w:rsidR="0059163A" w:rsidRPr="005303F6" w:rsidRDefault="0083125C">
      <w:pPr>
        <w:pStyle w:val="TDC3"/>
        <w:rPr>
          <w:rFonts w:eastAsiaTheme="minorEastAsia"/>
          <w:b w:val="0"/>
          <w:iCs w:val="0"/>
          <w:sz w:val="22"/>
          <w:szCs w:val="22"/>
          <w:lang w:val="es-DO" w:eastAsia="es-DO" w:bidi="ar-SA"/>
        </w:rPr>
      </w:pPr>
      <w:hyperlink w:anchor="_Toc27146751" w:history="1">
        <w:r w:rsidR="0059163A" w:rsidRPr="005303F6">
          <w:rPr>
            <w:rStyle w:val="Hipervnculo"/>
            <w:sz w:val="22"/>
            <w:szCs w:val="22"/>
          </w:rPr>
          <w:t>Servicios de licencias en el sector pesquero y acuícola</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_Toc27146751 \h </w:instrText>
        </w:r>
        <w:r w:rsidR="0059163A" w:rsidRPr="005303F6">
          <w:rPr>
            <w:webHidden/>
            <w:sz w:val="22"/>
            <w:szCs w:val="22"/>
          </w:rPr>
        </w:r>
        <w:r w:rsidR="0059163A" w:rsidRPr="005303F6">
          <w:rPr>
            <w:webHidden/>
            <w:sz w:val="22"/>
            <w:szCs w:val="22"/>
          </w:rPr>
          <w:fldChar w:fldCharType="separate"/>
        </w:r>
        <w:r w:rsidR="005303F6">
          <w:rPr>
            <w:webHidden/>
            <w:sz w:val="22"/>
            <w:szCs w:val="22"/>
          </w:rPr>
          <w:t>63</w:t>
        </w:r>
        <w:r w:rsidR="0059163A" w:rsidRPr="005303F6">
          <w:rPr>
            <w:webHidden/>
            <w:sz w:val="22"/>
            <w:szCs w:val="22"/>
          </w:rPr>
          <w:fldChar w:fldCharType="end"/>
        </w:r>
      </w:hyperlink>
    </w:p>
    <w:p w14:paraId="3CC21A0B" w14:textId="77777777" w:rsidR="0059163A" w:rsidRPr="005303F6" w:rsidRDefault="0083125C">
      <w:pPr>
        <w:pStyle w:val="TDC3"/>
        <w:rPr>
          <w:rFonts w:eastAsiaTheme="minorEastAsia"/>
          <w:b w:val="0"/>
          <w:iCs w:val="0"/>
          <w:sz w:val="22"/>
          <w:szCs w:val="22"/>
          <w:lang w:val="es-DO" w:eastAsia="es-DO" w:bidi="ar-SA"/>
        </w:rPr>
      </w:pPr>
      <w:hyperlink w:anchor="_Toc27146752" w:history="1">
        <w:r w:rsidR="0059163A" w:rsidRPr="005303F6">
          <w:rPr>
            <w:rStyle w:val="Hipervnculo"/>
            <w:sz w:val="22"/>
            <w:szCs w:val="22"/>
          </w:rPr>
          <w:t>Programa para el fomento de huertos caseros, escolares y comunales.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_Toc27146752 \h </w:instrText>
        </w:r>
        <w:r w:rsidR="0059163A" w:rsidRPr="005303F6">
          <w:rPr>
            <w:webHidden/>
            <w:sz w:val="22"/>
            <w:szCs w:val="22"/>
          </w:rPr>
        </w:r>
        <w:r w:rsidR="0059163A" w:rsidRPr="005303F6">
          <w:rPr>
            <w:webHidden/>
            <w:sz w:val="22"/>
            <w:szCs w:val="22"/>
          </w:rPr>
          <w:fldChar w:fldCharType="separate"/>
        </w:r>
        <w:r w:rsidR="005303F6">
          <w:rPr>
            <w:webHidden/>
            <w:sz w:val="22"/>
            <w:szCs w:val="22"/>
          </w:rPr>
          <w:t>64</w:t>
        </w:r>
        <w:r w:rsidR="0059163A" w:rsidRPr="005303F6">
          <w:rPr>
            <w:webHidden/>
            <w:sz w:val="22"/>
            <w:szCs w:val="22"/>
          </w:rPr>
          <w:fldChar w:fldCharType="end"/>
        </w:r>
      </w:hyperlink>
    </w:p>
    <w:p w14:paraId="7D6DE206" w14:textId="77777777" w:rsidR="0059163A" w:rsidRPr="005303F6" w:rsidRDefault="0083125C">
      <w:pPr>
        <w:pStyle w:val="TDC3"/>
        <w:rPr>
          <w:rFonts w:eastAsiaTheme="minorEastAsia"/>
          <w:b w:val="0"/>
          <w:iCs w:val="0"/>
          <w:sz w:val="22"/>
          <w:szCs w:val="22"/>
          <w:lang w:val="es-DO" w:eastAsia="es-DO" w:bidi="ar-SA"/>
        </w:rPr>
      </w:pPr>
      <w:hyperlink w:anchor="_Toc27146753" w:history="1">
        <w:r w:rsidR="0059163A" w:rsidRPr="005303F6">
          <w:rPr>
            <w:rStyle w:val="Hipervnculo"/>
            <w:sz w:val="22"/>
            <w:szCs w:val="22"/>
          </w:rPr>
          <w:t>Programa de servicios de titulación de terrenos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_Toc27146753 \h </w:instrText>
        </w:r>
        <w:r w:rsidR="0059163A" w:rsidRPr="005303F6">
          <w:rPr>
            <w:webHidden/>
            <w:sz w:val="22"/>
            <w:szCs w:val="22"/>
          </w:rPr>
        </w:r>
        <w:r w:rsidR="0059163A" w:rsidRPr="005303F6">
          <w:rPr>
            <w:webHidden/>
            <w:sz w:val="22"/>
            <w:szCs w:val="22"/>
          </w:rPr>
          <w:fldChar w:fldCharType="separate"/>
        </w:r>
        <w:r w:rsidR="005303F6">
          <w:rPr>
            <w:webHidden/>
            <w:sz w:val="22"/>
            <w:szCs w:val="22"/>
          </w:rPr>
          <w:t>65</w:t>
        </w:r>
        <w:r w:rsidR="0059163A" w:rsidRPr="005303F6">
          <w:rPr>
            <w:webHidden/>
            <w:sz w:val="22"/>
            <w:szCs w:val="22"/>
          </w:rPr>
          <w:fldChar w:fldCharType="end"/>
        </w:r>
      </w:hyperlink>
    </w:p>
    <w:p w14:paraId="7B8502B4" w14:textId="77777777" w:rsidR="0059163A" w:rsidRPr="005303F6" w:rsidRDefault="0083125C">
      <w:pPr>
        <w:pStyle w:val="TDC3"/>
        <w:rPr>
          <w:rFonts w:eastAsiaTheme="minorEastAsia"/>
          <w:b w:val="0"/>
          <w:iCs w:val="0"/>
          <w:sz w:val="22"/>
          <w:szCs w:val="22"/>
          <w:lang w:val="es-DO" w:eastAsia="es-DO" w:bidi="ar-SA"/>
        </w:rPr>
      </w:pPr>
      <w:hyperlink w:anchor="_Toc27146754" w:history="1">
        <w:r w:rsidR="0059163A" w:rsidRPr="005303F6">
          <w:rPr>
            <w:rStyle w:val="Hipervnculo"/>
            <w:sz w:val="22"/>
            <w:szCs w:val="22"/>
          </w:rPr>
          <w:t>Programa de servicios de mecanización de terrenos agrícolas.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_Toc27146754 \h </w:instrText>
        </w:r>
        <w:r w:rsidR="0059163A" w:rsidRPr="005303F6">
          <w:rPr>
            <w:webHidden/>
            <w:sz w:val="22"/>
            <w:szCs w:val="22"/>
          </w:rPr>
        </w:r>
        <w:r w:rsidR="0059163A" w:rsidRPr="005303F6">
          <w:rPr>
            <w:webHidden/>
            <w:sz w:val="22"/>
            <w:szCs w:val="22"/>
          </w:rPr>
          <w:fldChar w:fldCharType="separate"/>
        </w:r>
        <w:r w:rsidR="005303F6">
          <w:rPr>
            <w:webHidden/>
            <w:sz w:val="22"/>
            <w:szCs w:val="22"/>
          </w:rPr>
          <w:t>66</w:t>
        </w:r>
        <w:r w:rsidR="0059163A" w:rsidRPr="005303F6">
          <w:rPr>
            <w:webHidden/>
            <w:sz w:val="22"/>
            <w:szCs w:val="22"/>
          </w:rPr>
          <w:fldChar w:fldCharType="end"/>
        </w:r>
      </w:hyperlink>
    </w:p>
    <w:p w14:paraId="38C59D6A" w14:textId="77777777" w:rsidR="0059163A" w:rsidRPr="005303F6" w:rsidRDefault="0083125C">
      <w:pPr>
        <w:pStyle w:val="TDC3"/>
        <w:rPr>
          <w:rFonts w:eastAsiaTheme="minorEastAsia"/>
          <w:b w:val="0"/>
          <w:iCs w:val="0"/>
          <w:sz w:val="22"/>
          <w:szCs w:val="22"/>
          <w:lang w:val="es-DO" w:eastAsia="es-DO" w:bidi="ar-SA"/>
        </w:rPr>
      </w:pPr>
      <w:hyperlink w:anchor="_Toc27146755" w:history="1">
        <w:r w:rsidR="0059163A" w:rsidRPr="005303F6">
          <w:rPr>
            <w:rStyle w:val="Hipervnculo"/>
            <w:sz w:val="22"/>
            <w:szCs w:val="22"/>
          </w:rPr>
          <w:t>Servicios de mantenimiento y rehabilitación de infraestructura física y obras civiles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_Toc27146755 \h </w:instrText>
        </w:r>
        <w:r w:rsidR="0059163A" w:rsidRPr="005303F6">
          <w:rPr>
            <w:webHidden/>
            <w:sz w:val="22"/>
            <w:szCs w:val="22"/>
          </w:rPr>
        </w:r>
        <w:r w:rsidR="0059163A" w:rsidRPr="005303F6">
          <w:rPr>
            <w:webHidden/>
            <w:sz w:val="22"/>
            <w:szCs w:val="22"/>
          </w:rPr>
          <w:fldChar w:fldCharType="separate"/>
        </w:r>
        <w:r w:rsidR="005303F6">
          <w:rPr>
            <w:webHidden/>
            <w:sz w:val="22"/>
            <w:szCs w:val="22"/>
          </w:rPr>
          <w:t>67</w:t>
        </w:r>
        <w:r w:rsidR="0059163A" w:rsidRPr="005303F6">
          <w:rPr>
            <w:webHidden/>
            <w:sz w:val="22"/>
            <w:szCs w:val="22"/>
          </w:rPr>
          <w:fldChar w:fldCharType="end"/>
        </w:r>
      </w:hyperlink>
    </w:p>
    <w:p w14:paraId="1034C640" w14:textId="77777777" w:rsidR="0059163A" w:rsidRPr="005303F6" w:rsidRDefault="0083125C">
      <w:pPr>
        <w:pStyle w:val="TDC3"/>
        <w:rPr>
          <w:rFonts w:eastAsiaTheme="minorEastAsia"/>
          <w:b w:val="0"/>
          <w:iCs w:val="0"/>
          <w:sz w:val="22"/>
          <w:szCs w:val="22"/>
          <w:lang w:val="es-DO" w:eastAsia="es-DO" w:bidi="ar-SA"/>
        </w:rPr>
      </w:pPr>
      <w:hyperlink w:anchor="_Toc27146756" w:history="1">
        <w:r w:rsidR="0059163A" w:rsidRPr="005303F6">
          <w:rPr>
            <w:rStyle w:val="Hipervnculo"/>
            <w:sz w:val="22"/>
            <w:szCs w:val="22"/>
          </w:rPr>
          <w:t>Programa de saneamiento básico de pequeñas obras rurales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_Toc27146756 \h </w:instrText>
        </w:r>
        <w:r w:rsidR="0059163A" w:rsidRPr="005303F6">
          <w:rPr>
            <w:webHidden/>
            <w:sz w:val="22"/>
            <w:szCs w:val="22"/>
          </w:rPr>
        </w:r>
        <w:r w:rsidR="0059163A" w:rsidRPr="005303F6">
          <w:rPr>
            <w:webHidden/>
            <w:sz w:val="22"/>
            <w:szCs w:val="22"/>
          </w:rPr>
          <w:fldChar w:fldCharType="separate"/>
        </w:r>
        <w:r w:rsidR="005303F6">
          <w:rPr>
            <w:webHidden/>
            <w:sz w:val="22"/>
            <w:szCs w:val="22"/>
          </w:rPr>
          <w:t>71</w:t>
        </w:r>
        <w:r w:rsidR="0059163A" w:rsidRPr="005303F6">
          <w:rPr>
            <w:webHidden/>
            <w:sz w:val="22"/>
            <w:szCs w:val="22"/>
          </w:rPr>
          <w:fldChar w:fldCharType="end"/>
        </w:r>
      </w:hyperlink>
    </w:p>
    <w:p w14:paraId="53A63773" w14:textId="77777777" w:rsidR="0059163A" w:rsidRPr="005303F6" w:rsidRDefault="0083125C">
      <w:pPr>
        <w:pStyle w:val="TDC3"/>
        <w:rPr>
          <w:rFonts w:eastAsiaTheme="minorEastAsia"/>
          <w:b w:val="0"/>
          <w:iCs w:val="0"/>
          <w:sz w:val="22"/>
          <w:szCs w:val="22"/>
          <w:lang w:val="es-DO" w:eastAsia="es-DO" w:bidi="ar-SA"/>
        </w:rPr>
      </w:pPr>
      <w:hyperlink w:anchor="_Toc27146757" w:history="1">
        <w:r w:rsidR="0059163A" w:rsidRPr="005303F6">
          <w:rPr>
            <w:rStyle w:val="Hipervnculo"/>
            <w:sz w:val="22"/>
            <w:szCs w:val="22"/>
          </w:rPr>
          <w:t>Apoyo al Programa de Alimentación Escolar, PAE</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_Toc27146757 \h </w:instrText>
        </w:r>
        <w:r w:rsidR="0059163A" w:rsidRPr="005303F6">
          <w:rPr>
            <w:webHidden/>
            <w:sz w:val="22"/>
            <w:szCs w:val="22"/>
          </w:rPr>
        </w:r>
        <w:r w:rsidR="0059163A" w:rsidRPr="005303F6">
          <w:rPr>
            <w:webHidden/>
            <w:sz w:val="22"/>
            <w:szCs w:val="22"/>
          </w:rPr>
          <w:fldChar w:fldCharType="separate"/>
        </w:r>
        <w:r w:rsidR="005303F6">
          <w:rPr>
            <w:webHidden/>
            <w:sz w:val="22"/>
            <w:szCs w:val="22"/>
          </w:rPr>
          <w:t>72</w:t>
        </w:r>
        <w:r w:rsidR="0059163A" w:rsidRPr="005303F6">
          <w:rPr>
            <w:webHidden/>
            <w:sz w:val="22"/>
            <w:szCs w:val="22"/>
          </w:rPr>
          <w:fldChar w:fldCharType="end"/>
        </w:r>
      </w:hyperlink>
    </w:p>
    <w:p w14:paraId="2AAA2B71" w14:textId="77777777" w:rsidR="0059163A" w:rsidRPr="005303F6" w:rsidRDefault="0083125C">
      <w:pPr>
        <w:pStyle w:val="TDC2"/>
        <w:rPr>
          <w:rFonts w:eastAsiaTheme="minorEastAsia"/>
          <w:b w:val="0"/>
          <w:smallCaps w:val="0"/>
          <w:sz w:val="22"/>
          <w:szCs w:val="22"/>
          <w:lang w:eastAsia="es-DO" w:bidi="ar-SA"/>
        </w:rPr>
      </w:pPr>
      <w:hyperlink w:anchor="_Toc27146758" w:history="1">
        <w:r w:rsidR="0059163A" w:rsidRPr="005303F6">
          <w:rPr>
            <w:rStyle w:val="Hipervnculo"/>
            <w:sz w:val="22"/>
            <w:szCs w:val="22"/>
          </w:rPr>
          <w:t>b) Impacto a empresas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_Toc27146758 \h </w:instrText>
        </w:r>
        <w:r w:rsidR="0059163A" w:rsidRPr="005303F6">
          <w:rPr>
            <w:webHidden/>
            <w:sz w:val="22"/>
            <w:szCs w:val="22"/>
          </w:rPr>
        </w:r>
        <w:r w:rsidR="0059163A" w:rsidRPr="005303F6">
          <w:rPr>
            <w:webHidden/>
            <w:sz w:val="22"/>
            <w:szCs w:val="22"/>
          </w:rPr>
          <w:fldChar w:fldCharType="separate"/>
        </w:r>
        <w:r w:rsidR="005303F6">
          <w:rPr>
            <w:webHidden/>
            <w:sz w:val="22"/>
            <w:szCs w:val="22"/>
          </w:rPr>
          <w:t>79</w:t>
        </w:r>
        <w:r w:rsidR="0059163A" w:rsidRPr="005303F6">
          <w:rPr>
            <w:webHidden/>
            <w:sz w:val="22"/>
            <w:szCs w:val="22"/>
          </w:rPr>
          <w:fldChar w:fldCharType="end"/>
        </w:r>
      </w:hyperlink>
    </w:p>
    <w:p w14:paraId="5D5160C5" w14:textId="77777777" w:rsidR="0059163A" w:rsidRPr="005303F6" w:rsidRDefault="0083125C">
      <w:pPr>
        <w:pStyle w:val="TDC3"/>
        <w:rPr>
          <w:rFonts w:eastAsiaTheme="minorEastAsia"/>
          <w:b w:val="0"/>
          <w:iCs w:val="0"/>
          <w:sz w:val="22"/>
          <w:szCs w:val="22"/>
          <w:lang w:val="es-DO" w:eastAsia="es-DO" w:bidi="ar-SA"/>
        </w:rPr>
      </w:pPr>
      <w:hyperlink w:anchor="_Toc27146759" w:history="1">
        <w:r w:rsidR="0059163A" w:rsidRPr="005303F6">
          <w:rPr>
            <w:rStyle w:val="Hipervnculo"/>
            <w:sz w:val="22"/>
            <w:szCs w:val="22"/>
          </w:rPr>
          <w:t>Servicios de información sobre procedimientos ventanilla única de comercio exterior (VUCE-RD).</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_Toc27146759 \h </w:instrText>
        </w:r>
        <w:r w:rsidR="0059163A" w:rsidRPr="005303F6">
          <w:rPr>
            <w:webHidden/>
            <w:sz w:val="22"/>
            <w:szCs w:val="22"/>
          </w:rPr>
        </w:r>
        <w:r w:rsidR="0059163A" w:rsidRPr="005303F6">
          <w:rPr>
            <w:webHidden/>
            <w:sz w:val="22"/>
            <w:szCs w:val="22"/>
          </w:rPr>
          <w:fldChar w:fldCharType="separate"/>
        </w:r>
        <w:r w:rsidR="005303F6">
          <w:rPr>
            <w:webHidden/>
            <w:sz w:val="22"/>
            <w:szCs w:val="22"/>
          </w:rPr>
          <w:t>79</w:t>
        </w:r>
        <w:r w:rsidR="0059163A" w:rsidRPr="005303F6">
          <w:rPr>
            <w:webHidden/>
            <w:sz w:val="22"/>
            <w:szCs w:val="22"/>
          </w:rPr>
          <w:fldChar w:fldCharType="end"/>
        </w:r>
      </w:hyperlink>
    </w:p>
    <w:p w14:paraId="15FA53CA" w14:textId="77777777" w:rsidR="0059163A" w:rsidRPr="005303F6" w:rsidRDefault="0083125C">
      <w:pPr>
        <w:pStyle w:val="TDC3"/>
        <w:rPr>
          <w:rFonts w:eastAsiaTheme="minorEastAsia"/>
          <w:b w:val="0"/>
          <w:iCs w:val="0"/>
          <w:sz w:val="22"/>
          <w:szCs w:val="22"/>
          <w:lang w:val="es-DO" w:eastAsia="es-DO" w:bidi="ar-SA"/>
        </w:rPr>
      </w:pPr>
      <w:hyperlink w:anchor="_Toc27146760" w:history="1">
        <w:r w:rsidR="0059163A" w:rsidRPr="005303F6">
          <w:rPr>
            <w:rStyle w:val="Hipervnculo"/>
            <w:sz w:val="22"/>
            <w:szCs w:val="22"/>
          </w:rPr>
          <w:t>Fomento y apoyo a la asociatividad como eje transversal</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_Toc27146760 \h </w:instrText>
        </w:r>
        <w:r w:rsidR="0059163A" w:rsidRPr="005303F6">
          <w:rPr>
            <w:webHidden/>
            <w:sz w:val="22"/>
            <w:szCs w:val="22"/>
          </w:rPr>
        </w:r>
        <w:r w:rsidR="0059163A" w:rsidRPr="005303F6">
          <w:rPr>
            <w:webHidden/>
            <w:sz w:val="22"/>
            <w:szCs w:val="22"/>
          </w:rPr>
          <w:fldChar w:fldCharType="separate"/>
        </w:r>
        <w:r w:rsidR="005303F6">
          <w:rPr>
            <w:webHidden/>
            <w:sz w:val="22"/>
            <w:szCs w:val="22"/>
          </w:rPr>
          <w:t>80</w:t>
        </w:r>
        <w:r w:rsidR="0059163A" w:rsidRPr="005303F6">
          <w:rPr>
            <w:webHidden/>
            <w:sz w:val="22"/>
            <w:szCs w:val="22"/>
          </w:rPr>
          <w:fldChar w:fldCharType="end"/>
        </w:r>
      </w:hyperlink>
    </w:p>
    <w:p w14:paraId="3F6D2747" w14:textId="77777777" w:rsidR="0059163A" w:rsidRPr="005303F6" w:rsidRDefault="0083125C">
      <w:pPr>
        <w:pStyle w:val="TDC3"/>
        <w:rPr>
          <w:rFonts w:eastAsiaTheme="minorEastAsia"/>
          <w:b w:val="0"/>
          <w:iCs w:val="0"/>
          <w:sz w:val="22"/>
          <w:szCs w:val="22"/>
          <w:lang w:val="es-DO" w:eastAsia="es-DO" w:bidi="ar-SA"/>
        </w:rPr>
      </w:pPr>
      <w:hyperlink w:anchor="_Toc27146761" w:history="1">
        <w:r w:rsidR="0059163A" w:rsidRPr="005303F6">
          <w:rPr>
            <w:rStyle w:val="Hipervnculo"/>
            <w:sz w:val="22"/>
            <w:szCs w:val="22"/>
          </w:rPr>
          <w:t>Incentivos para proteger la rentabilidad mínima de los cultivos sensibles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_Toc27146761 \h </w:instrText>
        </w:r>
        <w:r w:rsidR="0059163A" w:rsidRPr="005303F6">
          <w:rPr>
            <w:webHidden/>
            <w:sz w:val="22"/>
            <w:szCs w:val="22"/>
          </w:rPr>
        </w:r>
        <w:r w:rsidR="0059163A" w:rsidRPr="005303F6">
          <w:rPr>
            <w:webHidden/>
            <w:sz w:val="22"/>
            <w:szCs w:val="22"/>
          </w:rPr>
          <w:fldChar w:fldCharType="separate"/>
        </w:r>
        <w:r w:rsidR="005303F6">
          <w:rPr>
            <w:webHidden/>
            <w:sz w:val="22"/>
            <w:szCs w:val="22"/>
          </w:rPr>
          <w:t>81</w:t>
        </w:r>
        <w:r w:rsidR="0059163A" w:rsidRPr="005303F6">
          <w:rPr>
            <w:webHidden/>
            <w:sz w:val="22"/>
            <w:szCs w:val="22"/>
          </w:rPr>
          <w:fldChar w:fldCharType="end"/>
        </w:r>
      </w:hyperlink>
    </w:p>
    <w:p w14:paraId="59889FCA" w14:textId="77777777" w:rsidR="0059163A" w:rsidRPr="005303F6" w:rsidRDefault="0083125C">
      <w:pPr>
        <w:pStyle w:val="TDC3"/>
        <w:rPr>
          <w:rFonts w:eastAsiaTheme="minorEastAsia"/>
          <w:b w:val="0"/>
          <w:iCs w:val="0"/>
          <w:sz w:val="22"/>
          <w:szCs w:val="22"/>
          <w:lang w:val="es-DO" w:eastAsia="es-DO" w:bidi="ar-SA"/>
        </w:rPr>
      </w:pPr>
      <w:hyperlink w:anchor="_Toc27146762" w:history="1">
        <w:r w:rsidR="0059163A" w:rsidRPr="005303F6">
          <w:rPr>
            <w:rStyle w:val="Hipervnculo"/>
            <w:sz w:val="22"/>
            <w:szCs w:val="22"/>
          </w:rPr>
          <w:t>Servicios de integración del subsidio del seguro agropecuario.</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_Toc27146762 \h </w:instrText>
        </w:r>
        <w:r w:rsidR="0059163A" w:rsidRPr="005303F6">
          <w:rPr>
            <w:webHidden/>
            <w:sz w:val="22"/>
            <w:szCs w:val="22"/>
          </w:rPr>
        </w:r>
        <w:r w:rsidR="0059163A" w:rsidRPr="005303F6">
          <w:rPr>
            <w:webHidden/>
            <w:sz w:val="22"/>
            <w:szCs w:val="22"/>
          </w:rPr>
          <w:fldChar w:fldCharType="separate"/>
        </w:r>
        <w:r w:rsidR="005303F6">
          <w:rPr>
            <w:webHidden/>
            <w:sz w:val="22"/>
            <w:szCs w:val="22"/>
          </w:rPr>
          <w:t>81</w:t>
        </w:r>
        <w:r w:rsidR="0059163A" w:rsidRPr="005303F6">
          <w:rPr>
            <w:webHidden/>
            <w:sz w:val="22"/>
            <w:szCs w:val="22"/>
          </w:rPr>
          <w:fldChar w:fldCharType="end"/>
        </w:r>
      </w:hyperlink>
    </w:p>
    <w:p w14:paraId="6966EFC8" w14:textId="77777777" w:rsidR="0059163A" w:rsidRPr="005303F6" w:rsidRDefault="0083125C">
      <w:pPr>
        <w:pStyle w:val="TDC3"/>
        <w:rPr>
          <w:rFonts w:eastAsiaTheme="minorEastAsia"/>
          <w:b w:val="0"/>
          <w:iCs w:val="0"/>
          <w:sz w:val="22"/>
          <w:szCs w:val="22"/>
          <w:lang w:val="es-DO" w:eastAsia="es-DO" w:bidi="ar-SA"/>
        </w:rPr>
      </w:pPr>
      <w:hyperlink w:anchor="_Toc27146763" w:history="1">
        <w:r w:rsidR="0059163A" w:rsidRPr="005303F6">
          <w:rPr>
            <w:rStyle w:val="Hipervnculo"/>
            <w:sz w:val="22"/>
            <w:szCs w:val="22"/>
          </w:rPr>
          <w:t>Programa nacional de pignoración</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_Toc27146763 \h </w:instrText>
        </w:r>
        <w:r w:rsidR="0059163A" w:rsidRPr="005303F6">
          <w:rPr>
            <w:webHidden/>
            <w:sz w:val="22"/>
            <w:szCs w:val="22"/>
          </w:rPr>
        </w:r>
        <w:r w:rsidR="0059163A" w:rsidRPr="005303F6">
          <w:rPr>
            <w:webHidden/>
            <w:sz w:val="22"/>
            <w:szCs w:val="22"/>
          </w:rPr>
          <w:fldChar w:fldCharType="separate"/>
        </w:r>
        <w:r w:rsidR="005303F6">
          <w:rPr>
            <w:webHidden/>
            <w:sz w:val="22"/>
            <w:szCs w:val="22"/>
          </w:rPr>
          <w:t>85</w:t>
        </w:r>
        <w:r w:rsidR="0059163A" w:rsidRPr="005303F6">
          <w:rPr>
            <w:webHidden/>
            <w:sz w:val="22"/>
            <w:szCs w:val="22"/>
          </w:rPr>
          <w:fldChar w:fldCharType="end"/>
        </w:r>
      </w:hyperlink>
    </w:p>
    <w:p w14:paraId="2D09BEF9" w14:textId="77777777" w:rsidR="0059163A" w:rsidRPr="005303F6" w:rsidRDefault="0083125C">
      <w:pPr>
        <w:pStyle w:val="TDC2"/>
        <w:rPr>
          <w:rFonts w:eastAsiaTheme="minorEastAsia"/>
          <w:b w:val="0"/>
          <w:smallCaps w:val="0"/>
          <w:sz w:val="22"/>
          <w:szCs w:val="22"/>
          <w:lang w:eastAsia="es-DO" w:bidi="ar-SA"/>
        </w:rPr>
      </w:pPr>
      <w:hyperlink w:anchor="_Toc27146764" w:history="1">
        <w:r w:rsidR="0059163A" w:rsidRPr="005303F6">
          <w:rPr>
            <w:rStyle w:val="Hipervnculo"/>
            <w:sz w:val="22"/>
            <w:szCs w:val="22"/>
          </w:rPr>
          <w:t>c) Impacto a empleados gubernamentales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_Toc27146764 \h </w:instrText>
        </w:r>
        <w:r w:rsidR="0059163A" w:rsidRPr="005303F6">
          <w:rPr>
            <w:webHidden/>
            <w:sz w:val="22"/>
            <w:szCs w:val="22"/>
          </w:rPr>
        </w:r>
        <w:r w:rsidR="0059163A" w:rsidRPr="005303F6">
          <w:rPr>
            <w:webHidden/>
            <w:sz w:val="22"/>
            <w:szCs w:val="22"/>
          </w:rPr>
          <w:fldChar w:fldCharType="separate"/>
        </w:r>
        <w:r w:rsidR="005303F6">
          <w:rPr>
            <w:webHidden/>
            <w:sz w:val="22"/>
            <w:szCs w:val="22"/>
          </w:rPr>
          <w:t>89</w:t>
        </w:r>
        <w:r w:rsidR="0059163A" w:rsidRPr="005303F6">
          <w:rPr>
            <w:webHidden/>
            <w:sz w:val="22"/>
            <w:szCs w:val="22"/>
          </w:rPr>
          <w:fldChar w:fldCharType="end"/>
        </w:r>
      </w:hyperlink>
    </w:p>
    <w:p w14:paraId="69F01ED6" w14:textId="77777777" w:rsidR="0059163A" w:rsidRPr="005303F6" w:rsidRDefault="0083125C">
      <w:pPr>
        <w:pStyle w:val="TDC3"/>
        <w:rPr>
          <w:rFonts w:eastAsiaTheme="minorEastAsia"/>
          <w:b w:val="0"/>
          <w:iCs w:val="0"/>
          <w:sz w:val="22"/>
          <w:szCs w:val="22"/>
          <w:lang w:val="es-DO" w:eastAsia="es-DO" w:bidi="ar-SA"/>
        </w:rPr>
      </w:pPr>
      <w:hyperlink w:anchor="_Toc27146765" w:history="1">
        <w:r w:rsidR="0059163A" w:rsidRPr="005303F6">
          <w:rPr>
            <w:rStyle w:val="Hipervnculo"/>
            <w:sz w:val="22"/>
            <w:szCs w:val="22"/>
          </w:rPr>
          <w:t>Becas en entidades locales e internacionales y programas de capacitación.</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_Toc27146765 \h </w:instrText>
        </w:r>
        <w:r w:rsidR="0059163A" w:rsidRPr="005303F6">
          <w:rPr>
            <w:webHidden/>
            <w:sz w:val="22"/>
            <w:szCs w:val="22"/>
          </w:rPr>
        </w:r>
        <w:r w:rsidR="0059163A" w:rsidRPr="005303F6">
          <w:rPr>
            <w:webHidden/>
            <w:sz w:val="22"/>
            <w:szCs w:val="22"/>
          </w:rPr>
          <w:fldChar w:fldCharType="separate"/>
        </w:r>
        <w:r w:rsidR="005303F6">
          <w:rPr>
            <w:webHidden/>
            <w:sz w:val="22"/>
            <w:szCs w:val="22"/>
          </w:rPr>
          <w:t>89</w:t>
        </w:r>
        <w:r w:rsidR="0059163A" w:rsidRPr="005303F6">
          <w:rPr>
            <w:webHidden/>
            <w:sz w:val="22"/>
            <w:szCs w:val="22"/>
          </w:rPr>
          <w:fldChar w:fldCharType="end"/>
        </w:r>
      </w:hyperlink>
    </w:p>
    <w:p w14:paraId="3BDBE36A" w14:textId="77777777" w:rsidR="0059163A" w:rsidRPr="005303F6" w:rsidRDefault="0083125C">
      <w:pPr>
        <w:pStyle w:val="TDC3"/>
        <w:rPr>
          <w:rFonts w:eastAsiaTheme="minorEastAsia"/>
          <w:b w:val="0"/>
          <w:iCs w:val="0"/>
          <w:sz w:val="22"/>
          <w:szCs w:val="22"/>
          <w:lang w:val="es-DO" w:eastAsia="es-DO" w:bidi="ar-SA"/>
        </w:rPr>
      </w:pPr>
      <w:hyperlink w:anchor="_Toc27146766" w:history="1">
        <w:r w:rsidR="0059163A" w:rsidRPr="005303F6">
          <w:rPr>
            <w:rStyle w:val="Hipervnculo"/>
            <w:sz w:val="22"/>
            <w:szCs w:val="22"/>
          </w:rPr>
          <w:t>Programa de formación de capital humano para el relevo generacional</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_Toc27146766 \h </w:instrText>
        </w:r>
        <w:r w:rsidR="0059163A" w:rsidRPr="005303F6">
          <w:rPr>
            <w:webHidden/>
            <w:sz w:val="22"/>
            <w:szCs w:val="22"/>
          </w:rPr>
        </w:r>
        <w:r w:rsidR="0059163A" w:rsidRPr="005303F6">
          <w:rPr>
            <w:webHidden/>
            <w:sz w:val="22"/>
            <w:szCs w:val="22"/>
          </w:rPr>
          <w:fldChar w:fldCharType="separate"/>
        </w:r>
        <w:r w:rsidR="005303F6">
          <w:rPr>
            <w:webHidden/>
            <w:sz w:val="22"/>
            <w:szCs w:val="22"/>
          </w:rPr>
          <w:t>90</w:t>
        </w:r>
        <w:r w:rsidR="0059163A" w:rsidRPr="005303F6">
          <w:rPr>
            <w:webHidden/>
            <w:sz w:val="22"/>
            <w:szCs w:val="22"/>
          </w:rPr>
          <w:fldChar w:fldCharType="end"/>
        </w:r>
      </w:hyperlink>
    </w:p>
    <w:p w14:paraId="7DB03405" w14:textId="77777777" w:rsidR="0059163A" w:rsidRPr="005303F6" w:rsidRDefault="0083125C">
      <w:pPr>
        <w:pStyle w:val="TDC1"/>
        <w:rPr>
          <w:rFonts w:eastAsiaTheme="minorEastAsia"/>
          <w:b w:val="0"/>
          <w:bCs w:val="0"/>
          <w:sz w:val="22"/>
          <w:szCs w:val="22"/>
          <w:lang w:eastAsia="es-DO"/>
        </w:rPr>
      </w:pPr>
      <w:hyperlink w:anchor="_Toc27146767" w:history="1">
        <w:r w:rsidR="0059163A" w:rsidRPr="005303F6">
          <w:rPr>
            <w:rStyle w:val="Hipervnculo"/>
            <w:rFonts w:eastAsiaTheme="majorEastAsia"/>
            <w:sz w:val="22"/>
            <w:szCs w:val="22"/>
          </w:rPr>
          <w:t>V.</w:t>
        </w:r>
        <w:r w:rsidR="0059163A" w:rsidRPr="005303F6">
          <w:rPr>
            <w:rFonts w:eastAsiaTheme="minorEastAsia"/>
            <w:b w:val="0"/>
            <w:bCs w:val="0"/>
            <w:sz w:val="22"/>
            <w:szCs w:val="22"/>
            <w:lang w:eastAsia="es-DO"/>
          </w:rPr>
          <w:tab/>
        </w:r>
        <w:r w:rsidR="0059163A" w:rsidRPr="005303F6">
          <w:rPr>
            <w:rStyle w:val="Hipervnculo"/>
            <w:rFonts w:eastAsiaTheme="majorEastAsia"/>
            <w:sz w:val="22"/>
            <w:szCs w:val="22"/>
          </w:rPr>
          <w:t>Ejecuciones no contempladas en Plan Operativo</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_Toc27146767 \h </w:instrText>
        </w:r>
        <w:r w:rsidR="0059163A" w:rsidRPr="005303F6">
          <w:rPr>
            <w:webHidden/>
            <w:sz w:val="22"/>
            <w:szCs w:val="22"/>
          </w:rPr>
        </w:r>
        <w:r w:rsidR="0059163A" w:rsidRPr="005303F6">
          <w:rPr>
            <w:webHidden/>
            <w:sz w:val="22"/>
            <w:szCs w:val="22"/>
          </w:rPr>
          <w:fldChar w:fldCharType="separate"/>
        </w:r>
        <w:r w:rsidR="005303F6">
          <w:rPr>
            <w:webHidden/>
            <w:sz w:val="22"/>
            <w:szCs w:val="22"/>
          </w:rPr>
          <w:t>92</w:t>
        </w:r>
        <w:r w:rsidR="0059163A" w:rsidRPr="005303F6">
          <w:rPr>
            <w:webHidden/>
            <w:sz w:val="22"/>
            <w:szCs w:val="22"/>
          </w:rPr>
          <w:fldChar w:fldCharType="end"/>
        </w:r>
      </w:hyperlink>
    </w:p>
    <w:p w14:paraId="6BC88DD6" w14:textId="77777777" w:rsidR="0059163A" w:rsidRPr="005303F6" w:rsidRDefault="0083125C">
      <w:pPr>
        <w:pStyle w:val="TDC2"/>
        <w:rPr>
          <w:rFonts w:eastAsiaTheme="minorEastAsia"/>
          <w:b w:val="0"/>
          <w:smallCaps w:val="0"/>
          <w:sz w:val="22"/>
          <w:szCs w:val="22"/>
          <w:lang w:eastAsia="es-DO" w:bidi="ar-SA"/>
        </w:rPr>
      </w:pPr>
      <w:hyperlink w:anchor="_Toc27146768" w:history="1">
        <w:r w:rsidR="0059163A" w:rsidRPr="005303F6">
          <w:rPr>
            <w:rStyle w:val="Hipervnculo"/>
            <w:sz w:val="22"/>
            <w:szCs w:val="22"/>
          </w:rPr>
          <w:t>a) Impacto en ciudadanos y ciudadanas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_Toc27146768 \h </w:instrText>
        </w:r>
        <w:r w:rsidR="0059163A" w:rsidRPr="005303F6">
          <w:rPr>
            <w:webHidden/>
            <w:sz w:val="22"/>
            <w:szCs w:val="22"/>
          </w:rPr>
        </w:r>
        <w:r w:rsidR="0059163A" w:rsidRPr="005303F6">
          <w:rPr>
            <w:webHidden/>
            <w:sz w:val="22"/>
            <w:szCs w:val="22"/>
          </w:rPr>
          <w:fldChar w:fldCharType="separate"/>
        </w:r>
        <w:r w:rsidR="005303F6">
          <w:rPr>
            <w:webHidden/>
            <w:sz w:val="22"/>
            <w:szCs w:val="22"/>
          </w:rPr>
          <w:t>92</w:t>
        </w:r>
        <w:r w:rsidR="0059163A" w:rsidRPr="005303F6">
          <w:rPr>
            <w:webHidden/>
            <w:sz w:val="22"/>
            <w:szCs w:val="22"/>
          </w:rPr>
          <w:fldChar w:fldCharType="end"/>
        </w:r>
      </w:hyperlink>
    </w:p>
    <w:p w14:paraId="07F64BD9" w14:textId="77777777" w:rsidR="0059163A" w:rsidRPr="005303F6" w:rsidRDefault="0083125C">
      <w:pPr>
        <w:pStyle w:val="TDC3"/>
        <w:rPr>
          <w:rFonts w:eastAsiaTheme="minorEastAsia"/>
          <w:b w:val="0"/>
          <w:iCs w:val="0"/>
          <w:sz w:val="22"/>
          <w:szCs w:val="22"/>
          <w:lang w:val="es-DO" w:eastAsia="es-DO" w:bidi="ar-SA"/>
        </w:rPr>
      </w:pPr>
      <w:hyperlink w:anchor="_Toc27146769" w:history="1">
        <w:r w:rsidR="0059163A" w:rsidRPr="005303F6">
          <w:rPr>
            <w:rStyle w:val="Hipervnculo"/>
            <w:sz w:val="22"/>
            <w:szCs w:val="22"/>
          </w:rPr>
          <w:t>Apoyo al programa de Visitas Sorpresa</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_Toc27146769 \h </w:instrText>
        </w:r>
        <w:r w:rsidR="0059163A" w:rsidRPr="005303F6">
          <w:rPr>
            <w:webHidden/>
            <w:sz w:val="22"/>
            <w:szCs w:val="22"/>
          </w:rPr>
        </w:r>
        <w:r w:rsidR="0059163A" w:rsidRPr="005303F6">
          <w:rPr>
            <w:webHidden/>
            <w:sz w:val="22"/>
            <w:szCs w:val="22"/>
          </w:rPr>
          <w:fldChar w:fldCharType="separate"/>
        </w:r>
        <w:r w:rsidR="005303F6">
          <w:rPr>
            <w:webHidden/>
            <w:sz w:val="22"/>
            <w:szCs w:val="22"/>
          </w:rPr>
          <w:t>92</w:t>
        </w:r>
        <w:r w:rsidR="0059163A" w:rsidRPr="005303F6">
          <w:rPr>
            <w:webHidden/>
            <w:sz w:val="22"/>
            <w:szCs w:val="22"/>
          </w:rPr>
          <w:fldChar w:fldCharType="end"/>
        </w:r>
      </w:hyperlink>
    </w:p>
    <w:p w14:paraId="0EC8761D" w14:textId="77777777" w:rsidR="0059163A" w:rsidRPr="005303F6" w:rsidRDefault="0083125C">
      <w:pPr>
        <w:pStyle w:val="TDC3"/>
        <w:rPr>
          <w:rFonts w:eastAsiaTheme="minorEastAsia"/>
          <w:b w:val="0"/>
          <w:iCs w:val="0"/>
          <w:sz w:val="22"/>
          <w:szCs w:val="22"/>
          <w:lang w:val="es-DO" w:eastAsia="es-DO" w:bidi="ar-SA"/>
        </w:rPr>
      </w:pPr>
      <w:hyperlink w:anchor="_Toc27146770" w:history="1">
        <w:r w:rsidR="0059163A" w:rsidRPr="005303F6">
          <w:rPr>
            <w:rStyle w:val="Hipervnculo"/>
            <w:sz w:val="22"/>
            <w:szCs w:val="22"/>
          </w:rPr>
          <w:t>Programa de apoyo directo y acceso a crédito</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_Toc27146770 \h </w:instrText>
        </w:r>
        <w:r w:rsidR="0059163A" w:rsidRPr="005303F6">
          <w:rPr>
            <w:webHidden/>
            <w:sz w:val="22"/>
            <w:szCs w:val="22"/>
          </w:rPr>
        </w:r>
        <w:r w:rsidR="0059163A" w:rsidRPr="005303F6">
          <w:rPr>
            <w:webHidden/>
            <w:sz w:val="22"/>
            <w:szCs w:val="22"/>
          </w:rPr>
          <w:fldChar w:fldCharType="separate"/>
        </w:r>
        <w:r w:rsidR="005303F6">
          <w:rPr>
            <w:webHidden/>
            <w:sz w:val="22"/>
            <w:szCs w:val="22"/>
          </w:rPr>
          <w:t>93</w:t>
        </w:r>
        <w:r w:rsidR="0059163A" w:rsidRPr="005303F6">
          <w:rPr>
            <w:webHidden/>
            <w:sz w:val="22"/>
            <w:szCs w:val="22"/>
          </w:rPr>
          <w:fldChar w:fldCharType="end"/>
        </w:r>
      </w:hyperlink>
    </w:p>
    <w:p w14:paraId="3B67E571" w14:textId="77777777" w:rsidR="0059163A" w:rsidRPr="005303F6" w:rsidRDefault="0083125C">
      <w:pPr>
        <w:pStyle w:val="TDC3"/>
        <w:rPr>
          <w:rFonts w:eastAsiaTheme="minorEastAsia"/>
          <w:b w:val="0"/>
          <w:iCs w:val="0"/>
          <w:sz w:val="22"/>
          <w:szCs w:val="22"/>
          <w:lang w:val="es-DO" w:eastAsia="es-DO" w:bidi="ar-SA"/>
        </w:rPr>
      </w:pPr>
      <w:hyperlink w:anchor="_Toc27146771" w:history="1">
        <w:r w:rsidR="0059163A" w:rsidRPr="005303F6">
          <w:rPr>
            <w:rStyle w:val="Hipervnculo"/>
            <w:sz w:val="22"/>
            <w:szCs w:val="22"/>
          </w:rPr>
          <w:t>Programa de desarrollo agroforestal</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_Toc27146771 \h </w:instrText>
        </w:r>
        <w:r w:rsidR="0059163A" w:rsidRPr="005303F6">
          <w:rPr>
            <w:webHidden/>
            <w:sz w:val="22"/>
            <w:szCs w:val="22"/>
          </w:rPr>
        </w:r>
        <w:r w:rsidR="0059163A" w:rsidRPr="005303F6">
          <w:rPr>
            <w:webHidden/>
            <w:sz w:val="22"/>
            <w:szCs w:val="22"/>
          </w:rPr>
          <w:fldChar w:fldCharType="separate"/>
        </w:r>
        <w:r w:rsidR="005303F6">
          <w:rPr>
            <w:webHidden/>
            <w:sz w:val="22"/>
            <w:szCs w:val="22"/>
          </w:rPr>
          <w:t>96</w:t>
        </w:r>
        <w:r w:rsidR="0059163A" w:rsidRPr="005303F6">
          <w:rPr>
            <w:webHidden/>
            <w:sz w:val="22"/>
            <w:szCs w:val="22"/>
          </w:rPr>
          <w:fldChar w:fldCharType="end"/>
        </w:r>
      </w:hyperlink>
    </w:p>
    <w:p w14:paraId="1BD9EEA7" w14:textId="77777777" w:rsidR="0059163A" w:rsidRPr="005303F6" w:rsidRDefault="0083125C">
      <w:pPr>
        <w:pStyle w:val="TDC3"/>
        <w:rPr>
          <w:rFonts w:eastAsiaTheme="minorEastAsia"/>
          <w:b w:val="0"/>
          <w:iCs w:val="0"/>
          <w:sz w:val="22"/>
          <w:szCs w:val="22"/>
          <w:lang w:val="es-DO" w:eastAsia="es-DO" w:bidi="ar-SA"/>
        </w:rPr>
      </w:pPr>
      <w:hyperlink w:anchor="_Toc27146772" w:history="1">
        <w:r w:rsidR="0059163A" w:rsidRPr="005303F6">
          <w:rPr>
            <w:rStyle w:val="Hipervnculo"/>
            <w:sz w:val="22"/>
            <w:szCs w:val="22"/>
          </w:rPr>
          <w:t>Apoyo a la producción sostenible de cultivos de vocación exportadora</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_Toc27146772 \h </w:instrText>
        </w:r>
        <w:r w:rsidR="0059163A" w:rsidRPr="005303F6">
          <w:rPr>
            <w:webHidden/>
            <w:sz w:val="22"/>
            <w:szCs w:val="22"/>
          </w:rPr>
        </w:r>
        <w:r w:rsidR="0059163A" w:rsidRPr="005303F6">
          <w:rPr>
            <w:webHidden/>
            <w:sz w:val="22"/>
            <w:szCs w:val="22"/>
          </w:rPr>
          <w:fldChar w:fldCharType="separate"/>
        </w:r>
        <w:r w:rsidR="005303F6">
          <w:rPr>
            <w:webHidden/>
            <w:sz w:val="22"/>
            <w:szCs w:val="22"/>
          </w:rPr>
          <w:t>100</w:t>
        </w:r>
        <w:r w:rsidR="0059163A" w:rsidRPr="005303F6">
          <w:rPr>
            <w:webHidden/>
            <w:sz w:val="22"/>
            <w:szCs w:val="22"/>
          </w:rPr>
          <w:fldChar w:fldCharType="end"/>
        </w:r>
      </w:hyperlink>
    </w:p>
    <w:p w14:paraId="12A544E7" w14:textId="77777777" w:rsidR="0059163A" w:rsidRPr="005303F6" w:rsidRDefault="0083125C">
      <w:pPr>
        <w:pStyle w:val="TDC3"/>
        <w:rPr>
          <w:rFonts w:eastAsiaTheme="minorEastAsia"/>
          <w:b w:val="0"/>
          <w:iCs w:val="0"/>
          <w:sz w:val="22"/>
          <w:szCs w:val="22"/>
          <w:lang w:val="es-DO" w:eastAsia="es-DO" w:bidi="ar-SA"/>
        </w:rPr>
      </w:pPr>
      <w:hyperlink w:anchor="_Toc27146773" w:history="1">
        <w:r w:rsidR="0059163A" w:rsidRPr="005303F6">
          <w:rPr>
            <w:rStyle w:val="Hipervnculo"/>
            <w:sz w:val="22"/>
            <w:szCs w:val="22"/>
          </w:rPr>
          <w:t>Programa registro georeferenciado de predios y productores agropecuarios (REGEA)</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_Toc27146773 \h </w:instrText>
        </w:r>
        <w:r w:rsidR="0059163A" w:rsidRPr="005303F6">
          <w:rPr>
            <w:webHidden/>
            <w:sz w:val="22"/>
            <w:szCs w:val="22"/>
          </w:rPr>
        </w:r>
        <w:r w:rsidR="0059163A" w:rsidRPr="005303F6">
          <w:rPr>
            <w:webHidden/>
            <w:sz w:val="22"/>
            <w:szCs w:val="22"/>
          </w:rPr>
          <w:fldChar w:fldCharType="separate"/>
        </w:r>
        <w:r w:rsidR="005303F6">
          <w:rPr>
            <w:webHidden/>
            <w:sz w:val="22"/>
            <w:szCs w:val="22"/>
          </w:rPr>
          <w:t>101</w:t>
        </w:r>
        <w:r w:rsidR="0059163A" w:rsidRPr="005303F6">
          <w:rPr>
            <w:webHidden/>
            <w:sz w:val="22"/>
            <w:szCs w:val="22"/>
          </w:rPr>
          <w:fldChar w:fldCharType="end"/>
        </w:r>
      </w:hyperlink>
    </w:p>
    <w:p w14:paraId="6951094A" w14:textId="77777777" w:rsidR="0059163A" w:rsidRPr="005303F6" w:rsidRDefault="0083125C">
      <w:pPr>
        <w:pStyle w:val="TDC3"/>
        <w:rPr>
          <w:rFonts w:eastAsiaTheme="minorEastAsia"/>
          <w:b w:val="0"/>
          <w:iCs w:val="0"/>
          <w:sz w:val="22"/>
          <w:szCs w:val="22"/>
          <w:lang w:val="es-DO" w:eastAsia="es-DO" w:bidi="ar-SA"/>
        </w:rPr>
      </w:pPr>
      <w:hyperlink w:anchor="_Toc27146774" w:history="1">
        <w:r w:rsidR="0059163A" w:rsidRPr="005303F6">
          <w:rPr>
            <w:rStyle w:val="Hipervnculo"/>
            <w:sz w:val="22"/>
            <w:szCs w:val="22"/>
          </w:rPr>
          <w:t>Otros programas para el apoyo al mejoramiento de la productividad y competitividad del sector agropecuario</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_Toc27146774 \h </w:instrText>
        </w:r>
        <w:r w:rsidR="0059163A" w:rsidRPr="005303F6">
          <w:rPr>
            <w:webHidden/>
            <w:sz w:val="22"/>
            <w:szCs w:val="22"/>
          </w:rPr>
        </w:r>
        <w:r w:rsidR="0059163A" w:rsidRPr="005303F6">
          <w:rPr>
            <w:webHidden/>
            <w:sz w:val="22"/>
            <w:szCs w:val="22"/>
          </w:rPr>
          <w:fldChar w:fldCharType="separate"/>
        </w:r>
        <w:r w:rsidR="005303F6">
          <w:rPr>
            <w:webHidden/>
            <w:sz w:val="22"/>
            <w:szCs w:val="22"/>
          </w:rPr>
          <w:t>103</w:t>
        </w:r>
        <w:r w:rsidR="0059163A" w:rsidRPr="005303F6">
          <w:rPr>
            <w:webHidden/>
            <w:sz w:val="22"/>
            <w:szCs w:val="22"/>
          </w:rPr>
          <w:fldChar w:fldCharType="end"/>
        </w:r>
      </w:hyperlink>
    </w:p>
    <w:p w14:paraId="64DE3EA3" w14:textId="77777777" w:rsidR="0059163A" w:rsidRPr="005303F6" w:rsidRDefault="0083125C">
      <w:pPr>
        <w:pStyle w:val="TDC3"/>
        <w:rPr>
          <w:rFonts w:eastAsiaTheme="minorEastAsia"/>
          <w:b w:val="0"/>
          <w:iCs w:val="0"/>
          <w:sz w:val="22"/>
          <w:szCs w:val="22"/>
          <w:lang w:val="es-DO" w:eastAsia="es-DO" w:bidi="ar-SA"/>
        </w:rPr>
      </w:pPr>
      <w:hyperlink w:anchor="_Toc27146775" w:history="1">
        <w:r w:rsidR="0059163A" w:rsidRPr="005303F6">
          <w:rPr>
            <w:rStyle w:val="Hipervnculo"/>
            <w:sz w:val="22"/>
            <w:szCs w:val="22"/>
          </w:rPr>
          <w:t>Laboratorio de biotecnología reproductiva animal, VITROGAN</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_Toc27146775 \h </w:instrText>
        </w:r>
        <w:r w:rsidR="0059163A" w:rsidRPr="005303F6">
          <w:rPr>
            <w:webHidden/>
            <w:sz w:val="22"/>
            <w:szCs w:val="22"/>
          </w:rPr>
        </w:r>
        <w:r w:rsidR="0059163A" w:rsidRPr="005303F6">
          <w:rPr>
            <w:webHidden/>
            <w:sz w:val="22"/>
            <w:szCs w:val="22"/>
          </w:rPr>
          <w:fldChar w:fldCharType="separate"/>
        </w:r>
        <w:r w:rsidR="005303F6">
          <w:rPr>
            <w:webHidden/>
            <w:sz w:val="22"/>
            <w:szCs w:val="22"/>
          </w:rPr>
          <w:t>104</w:t>
        </w:r>
        <w:r w:rsidR="0059163A" w:rsidRPr="005303F6">
          <w:rPr>
            <w:webHidden/>
            <w:sz w:val="22"/>
            <w:szCs w:val="22"/>
          </w:rPr>
          <w:fldChar w:fldCharType="end"/>
        </w:r>
      </w:hyperlink>
    </w:p>
    <w:p w14:paraId="3D15DC7D" w14:textId="77777777" w:rsidR="0059163A" w:rsidRPr="005303F6" w:rsidRDefault="0083125C">
      <w:pPr>
        <w:pStyle w:val="TDC3"/>
        <w:rPr>
          <w:rFonts w:eastAsiaTheme="minorEastAsia"/>
          <w:b w:val="0"/>
          <w:iCs w:val="0"/>
          <w:sz w:val="22"/>
          <w:szCs w:val="22"/>
          <w:lang w:val="es-DO" w:eastAsia="es-DO" w:bidi="ar-SA"/>
        </w:rPr>
      </w:pPr>
      <w:hyperlink w:anchor="_Toc27146776" w:history="1">
        <w:r w:rsidR="0059163A" w:rsidRPr="005303F6">
          <w:rPr>
            <w:rStyle w:val="Hipervnculo"/>
            <w:sz w:val="22"/>
            <w:szCs w:val="22"/>
          </w:rPr>
          <w:t>Laboratorio de micropropagación de plantas in vitro, BIOVEGA</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_Toc27146776 \h </w:instrText>
        </w:r>
        <w:r w:rsidR="0059163A" w:rsidRPr="005303F6">
          <w:rPr>
            <w:webHidden/>
            <w:sz w:val="22"/>
            <w:szCs w:val="22"/>
          </w:rPr>
        </w:r>
        <w:r w:rsidR="0059163A" w:rsidRPr="005303F6">
          <w:rPr>
            <w:webHidden/>
            <w:sz w:val="22"/>
            <w:szCs w:val="22"/>
          </w:rPr>
          <w:fldChar w:fldCharType="separate"/>
        </w:r>
        <w:r w:rsidR="005303F6">
          <w:rPr>
            <w:webHidden/>
            <w:sz w:val="22"/>
            <w:szCs w:val="22"/>
          </w:rPr>
          <w:t>105</w:t>
        </w:r>
        <w:r w:rsidR="0059163A" w:rsidRPr="005303F6">
          <w:rPr>
            <w:webHidden/>
            <w:sz w:val="22"/>
            <w:szCs w:val="22"/>
          </w:rPr>
          <w:fldChar w:fldCharType="end"/>
        </w:r>
      </w:hyperlink>
    </w:p>
    <w:p w14:paraId="0AB8891F" w14:textId="77777777" w:rsidR="0059163A" w:rsidRPr="005303F6" w:rsidRDefault="0083125C">
      <w:pPr>
        <w:pStyle w:val="TDC3"/>
        <w:rPr>
          <w:rFonts w:eastAsiaTheme="minorEastAsia"/>
          <w:b w:val="0"/>
          <w:iCs w:val="0"/>
          <w:sz w:val="22"/>
          <w:szCs w:val="22"/>
          <w:lang w:val="es-DO" w:eastAsia="es-DO" w:bidi="ar-SA"/>
        </w:rPr>
      </w:pPr>
      <w:hyperlink w:anchor="_Toc27146777" w:history="1">
        <w:r w:rsidR="0059163A" w:rsidRPr="005303F6">
          <w:rPr>
            <w:rStyle w:val="Hipervnculo"/>
            <w:sz w:val="22"/>
            <w:szCs w:val="22"/>
          </w:rPr>
          <w:t>Producción de material vegetal, híbridos de arroz de alta calidad, BIO-ARROZ</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_Toc27146777 \h </w:instrText>
        </w:r>
        <w:r w:rsidR="0059163A" w:rsidRPr="005303F6">
          <w:rPr>
            <w:webHidden/>
            <w:sz w:val="22"/>
            <w:szCs w:val="22"/>
          </w:rPr>
        </w:r>
        <w:r w:rsidR="0059163A" w:rsidRPr="005303F6">
          <w:rPr>
            <w:webHidden/>
            <w:sz w:val="22"/>
            <w:szCs w:val="22"/>
          </w:rPr>
          <w:fldChar w:fldCharType="separate"/>
        </w:r>
        <w:r w:rsidR="005303F6">
          <w:rPr>
            <w:webHidden/>
            <w:sz w:val="22"/>
            <w:szCs w:val="22"/>
          </w:rPr>
          <w:t>108</w:t>
        </w:r>
        <w:r w:rsidR="0059163A" w:rsidRPr="005303F6">
          <w:rPr>
            <w:webHidden/>
            <w:sz w:val="22"/>
            <w:szCs w:val="22"/>
          </w:rPr>
          <w:fldChar w:fldCharType="end"/>
        </w:r>
      </w:hyperlink>
    </w:p>
    <w:p w14:paraId="64711857" w14:textId="77777777" w:rsidR="0059163A" w:rsidRPr="005303F6" w:rsidRDefault="0083125C">
      <w:pPr>
        <w:pStyle w:val="TDC3"/>
        <w:rPr>
          <w:rFonts w:eastAsiaTheme="minorEastAsia"/>
          <w:b w:val="0"/>
          <w:iCs w:val="0"/>
          <w:sz w:val="22"/>
          <w:szCs w:val="22"/>
          <w:lang w:val="es-DO" w:eastAsia="es-DO" w:bidi="ar-SA"/>
        </w:rPr>
      </w:pPr>
      <w:hyperlink w:anchor="_Toc27146778" w:history="1">
        <w:r w:rsidR="0059163A" w:rsidRPr="005303F6">
          <w:rPr>
            <w:rStyle w:val="Hipervnculo"/>
            <w:sz w:val="22"/>
            <w:szCs w:val="22"/>
          </w:rPr>
          <w:t>Programa de rastreabilidad y fortalecimiento del sistema de inspección animal para exportación de carnes.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_Toc27146778 \h </w:instrText>
        </w:r>
        <w:r w:rsidR="0059163A" w:rsidRPr="005303F6">
          <w:rPr>
            <w:webHidden/>
            <w:sz w:val="22"/>
            <w:szCs w:val="22"/>
          </w:rPr>
        </w:r>
        <w:r w:rsidR="0059163A" w:rsidRPr="005303F6">
          <w:rPr>
            <w:webHidden/>
            <w:sz w:val="22"/>
            <w:szCs w:val="22"/>
          </w:rPr>
          <w:fldChar w:fldCharType="separate"/>
        </w:r>
        <w:r w:rsidR="005303F6">
          <w:rPr>
            <w:webHidden/>
            <w:sz w:val="22"/>
            <w:szCs w:val="22"/>
          </w:rPr>
          <w:t>110</w:t>
        </w:r>
        <w:r w:rsidR="0059163A" w:rsidRPr="005303F6">
          <w:rPr>
            <w:webHidden/>
            <w:sz w:val="22"/>
            <w:szCs w:val="22"/>
          </w:rPr>
          <w:fldChar w:fldCharType="end"/>
        </w:r>
      </w:hyperlink>
    </w:p>
    <w:p w14:paraId="61BFB6A4" w14:textId="77777777" w:rsidR="0059163A" w:rsidRPr="005303F6" w:rsidRDefault="0083125C">
      <w:pPr>
        <w:pStyle w:val="TDC3"/>
        <w:rPr>
          <w:rFonts w:eastAsiaTheme="minorEastAsia"/>
          <w:b w:val="0"/>
          <w:iCs w:val="0"/>
          <w:sz w:val="22"/>
          <w:szCs w:val="22"/>
          <w:lang w:val="es-DO" w:eastAsia="es-DO" w:bidi="ar-SA"/>
        </w:rPr>
      </w:pPr>
      <w:hyperlink w:anchor="_Toc27146779" w:history="1">
        <w:r w:rsidR="0059163A" w:rsidRPr="005303F6">
          <w:rPr>
            <w:rStyle w:val="Hipervnculo"/>
            <w:sz w:val="22"/>
            <w:szCs w:val="22"/>
          </w:rPr>
          <w:t>Programa prevención, control de enfermedades y fortalecimiento de la sanidad animal en la República Dominicana.</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_Toc27146779 \h </w:instrText>
        </w:r>
        <w:r w:rsidR="0059163A" w:rsidRPr="005303F6">
          <w:rPr>
            <w:webHidden/>
            <w:sz w:val="22"/>
            <w:szCs w:val="22"/>
          </w:rPr>
        </w:r>
        <w:r w:rsidR="0059163A" w:rsidRPr="005303F6">
          <w:rPr>
            <w:webHidden/>
            <w:sz w:val="22"/>
            <w:szCs w:val="22"/>
          </w:rPr>
          <w:fldChar w:fldCharType="separate"/>
        </w:r>
        <w:r w:rsidR="005303F6">
          <w:rPr>
            <w:webHidden/>
            <w:sz w:val="22"/>
            <w:szCs w:val="22"/>
          </w:rPr>
          <w:t>111</w:t>
        </w:r>
        <w:r w:rsidR="0059163A" w:rsidRPr="005303F6">
          <w:rPr>
            <w:webHidden/>
            <w:sz w:val="22"/>
            <w:szCs w:val="22"/>
          </w:rPr>
          <w:fldChar w:fldCharType="end"/>
        </w:r>
      </w:hyperlink>
    </w:p>
    <w:p w14:paraId="12CEA725" w14:textId="77777777" w:rsidR="0059163A" w:rsidRPr="005303F6" w:rsidRDefault="0083125C">
      <w:pPr>
        <w:pStyle w:val="TDC3"/>
        <w:rPr>
          <w:rFonts w:eastAsiaTheme="minorEastAsia"/>
          <w:b w:val="0"/>
          <w:iCs w:val="0"/>
          <w:sz w:val="22"/>
          <w:szCs w:val="22"/>
          <w:lang w:val="es-DO" w:eastAsia="es-DO" w:bidi="ar-SA"/>
        </w:rPr>
      </w:pPr>
      <w:hyperlink w:anchor="_Toc27146780" w:history="1">
        <w:r w:rsidR="0059163A" w:rsidRPr="005303F6">
          <w:rPr>
            <w:rStyle w:val="Hipervnculo"/>
            <w:sz w:val="22"/>
            <w:szCs w:val="22"/>
          </w:rPr>
          <w:t>Proyectos en ejecución a través del Sistema Nacional de Inversión Pública.</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_Toc27146780 \h </w:instrText>
        </w:r>
        <w:r w:rsidR="0059163A" w:rsidRPr="005303F6">
          <w:rPr>
            <w:webHidden/>
            <w:sz w:val="22"/>
            <w:szCs w:val="22"/>
          </w:rPr>
        </w:r>
        <w:r w:rsidR="0059163A" w:rsidRPr="005303F6">
          <w:rPr>
            <w:webHidden/>
            <w:sz w:val="22"/>
            <w:szCs w:val="22"/>
          </w:rPr>
          <w:fldChar w:fldCharType="separate"/>
        </w:r>
        <w:r w:rsidR="005303F6">
          <w:rPr>
            <w:webHidden/>
            <w:sz w:val="22"/>
            <w:szCs w:val="22"/>
          </w:rPr>
          <w:t>116</w:t>
        </w:r>
        <w:r w:rsidR="0059163A" w:rsidRPr="005303F6">
          <w:rPr>
            <w:webHidden/>
            <w:sz w:val="22"/>
            <w:szCs w:val="22"/>
          </w:rPr>
          <w:fldChar w:fldCharType="end"/>
        </w:r>
      </w:hyperlink>
    </w:p>
    <w:p w14:paraId="1CEEE9B2" w14:textId="77777777" w:rsidR="0059163A" w:rsidRPr="005303F6" w:rsidRDefault="0083125C">
      <w:pPr>
        <w:pStyle w:val="TDC3"/>
        <w:rPr>
          <w:rFonts w:eastAsiaTheme="minorEastAsia"/>
          <w:b w:val="0"/>
          <w:iCs w:val="0"/>
          <w:sz w:val="22"/>
          <w:szCs w:val="22"/>
          <w:lang w:val="es-DO" w:eastAsia="es-DO" w:bidi="ar-SA"/>
        </w:rPr>
      </w:pPr>
      <w:hyperlink w:anchor="_Toc27146781" w:history="1">
        <w:r w:rsidR="0059163A" w:rsidRPr="005303F6">
          <w:rPr>
            <w:rStyle w:val="Hipervnculo"/>
            <w:sz w:val="22"/>
            <w:szCs w:val="22"/>
          </w:rPr>
          <w:t>Realización del primer censo nacional pesquero artesanal</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_Toc27146781 \h </w:instrText>
        </w:r>
        <w:r w:rsidR="0059163A" w:rsidRPr="005303F6">
          <w:rPr>
            <w:webHidden/>
            <w:sz w:val="22"/>
            <w:szCs w:val="22"/>
          </w:rPr>
        </w:r>
        <w:r w:rsidR="0059163A" w:rsidRPr="005303F6">
          <w:rPr>
            <w:webHidden/>
            <w:sz w:val="22"/>
            <w:szCs w:val="22"/>
          </w:rPr>
          <w:fldChar w:fldCharType="separate"/>
        </w:r>
        <w:r w:rsidR="005303F6">
          <w:rPr>
            <w:webHidden/>
            <w:sz w:val="22"/>
            <w:szCs w:val="22"/>
          </w:rPr>
          <w:t>122</w:t>
        </w:r>
        <w:r w:rsidR="0059163A" w:rsidRPr="005303F6">
          <w:rPr>
            <w:webHidden/>
            <w:sz w:val="22"/>
            <w:szCs w:val="22"/>
          </w:rPr>
          <w:fldChar w:fldCharType="end"/>
        </w:r>
      </w:hyperlink>
    </w:p>
    <w:p w14:paraId="14880E6F" w14:textId="77777777" w:rsidR="0059163A" w:rsidRPr="005303F6" w:rsidRDefault="0083125C">
      <w:pPr>
        <w:pStyle w:val="TDC3"/>
        <w:rPr>
          <w:rFonts w:eastAsiaTheme="minorEastAsia"/>
          <w:b w:val="0"/>
          <w:iCs w:val="0"/>
          <w:sz w:val="22"/>
          <w:szCs w:val="22"/>
          <w:lang w:val="es-DO" w:eastAsia="es-DO" w:bidi="ar-SA"/>
        </w:rPr>
      </w:pPr>
      <w:hyperlink w:anchor="_Toc27146782" w:history="1">
        <w:r w:rsidR="0059163A" w:rsidRPr="005303F6">
          <w:rPr>
            <w:rStyle w:val="Hipervnculo"/>
            <w:sz w:val="22"/>
            <w:szCs w:val="22"/>
          </w:rPr>
          <w:t>Realización del inventario nacional de aves, gallinas ponedoras y reproductivas livianas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_Toc27146782 \h </w:instrText>
        </w:r>
        <w:r w:rsidR="0059163A" w:rsidRPr="005303F6">
          <w:rPr>
            <w:webHidden/>
            <w:sz w:val="22"/>
            <w:szCs w:val="22"/>
          </w:rPr>
        </w:r>
        <w:r w:rsidR="0059163A" w:rsidRPr="005303F6">
          <w:rPr>
            <w:webHidden/>
            <w:sz w:val="22"/>
            <w:szCs w:val="22"/>
          </w:rPr>
          <w:fldChar w:fldCharType="separate"/>
        </w:r>
        <w:r w:rsidR="005303F6">
          <w:rPr>
            <w:webHidden/>
            <w:sz w:val="22"/>
            <w:szCs w:val="22"/>
          </w:rPr>
          <w:t>123</w:t>
        </w:r>
        <w:r w:rsidR="0059163A" w:rsidRPr="005303F6">
          <w:rPr>
            <w:webHidden/>
            <w:sz w:val="22"/>
            <w:szCs w:val="22"/>
          </w:rPr>
          <w:fldChar w:fldCharType="end"/>
        </w:r>
      </w:hyperlink>
    </w:p>
    <w:p w14:paraId="429E77B7" w14:textId="77777777" w:rsidR="0059163A" w:rsidRPr="005303F6" w:rsidRDefault="0083125C">
      <w:pPr>
        <w:pStyle w:val="TDC3"/>
        <w:rPr>
          <w:rFonts w:eastAsiaTheme="minorEastAsia"/>
          <w:b w:val="0"/>
          <w:iCs w:val="0"/>
          <w:sz w:val="22"/>
          <w:szCs w:val="22"/>
          <w:lang w:val="es-DO" w:eastAsia="es-DO" w:bidi="ar-SA"/>
        </w:rPr>
      </w:pPr>
      <w:hyperlink w:anchor="_Toc27146783" w:history="1">
        <w:r w:rsidR="0059163A" w:rsidRPr="005303F6">
          <w:rPr>
            <w:rStyle w:val="Hipervnculo"/>
            <w:sz w:val="22"/>
            <w:szCs w:val="22"/>
          </w:rPr>
          <w:t>Programa de subvenciones a asociaciones sin fines de lucro</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_Toc27146783 \h </w:instrText>
        </w:r>
        <w:r w:rsidR="0059163A" w:rsidRPr="005303F6">
          <w:rPr>
            <w:webHidden/>
            <w:sz w:val="22"/>
            <w:szCs w:val="22"/>
          </w:rPr>
        </w:r>
        <w:r w:rsidR="0059163A" w:rsidRPr="005303F6">
          <w:rPr>
            <w:webHidden/>
            <w:sz w:val="22"/>
            <w:szCs w:val="22"/>
          </w:rPr>
          <w:fldChar w:fldCharType="separate"/>
        </w:r>
        <w:r w:rsidR="005303F6">
          <w:rPr>
            <w:webHidden/>
            <w:sz w:val="22"/>
            <w:szCs w:val="22"/>
          </w:rPr>
          <w:t>124</w:t>
        </w:r>
        <w:r w:rsidR="0059163A" w:rsidRPr="005303F6">
          <w:rPr>
            <w:webHidden/>
            <w:sz w:val="22"/>
            <w:szCs w:val="22"/>
          </w:rPr>
          <w:fldChar w:fldCharType="end"/>
        </w:r>
      </w:hyperlink>
    </w:p>
    <w:p w14:paraId="54637495" w14:textId="77777777" w:rsidR="0059163A" w:rsidRPr="005303F6" w:rsidRDefault="0083125C">
      <w:pPr>
        <w:pStyle w:val="TDC2"/>
        <w:rPr>
          <w:rFonts w:eastAsiaTheme="minorEastAsia"/>
          <w:b w:val="0"/>
          <w:smallCaps w:val="0"/>
          <w:sz w:val="22"/>
          <w:szCs w:val="22"/>
          <w:lang w:eastAsia="es-DO" w:bidi="ar-SA"/>
        </w:rPr>
      </w:pPr>
      <w:hyperlink w:anchor="_Toc27146784" w:history="1">
        <w:r w:rsidR="0059163A" w:rsidRPr="005303F6">
          <w:rPr>
            <w:rStyle w:val="Hipervnculo"/>
            <w:sz w:val="22"/>
            <w:szCs w:val="22"/>
          </w:rPr>
          <w:t>b) Impacto en empresas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_Toc27146784 \h </w:instrText>
        </w:r>
        <w:r w:rsidR="0059163A" w:rsidRPr="005303F6">
          <w:rPr>
            <w:webHidden/>
            <w:sz w:val="22"/>
            <w:szCs w:val="22"/>
          </w:rPr>
        </w:r>
        <w:r w:rsidR="0059163A" w:rsidRPr="005303F6">
          <w:rPr>
            <w:webHidden/>
            <w:sz w:val="22"/>
            <w:szCs w:val="22"/>
          </w:rPr>
          <w:fldChar w:fldCharType="separate"/>
        </w:r>
        <w:r w:rsidR="005303F6">
          <w:rPr>
            <w:webHidden/>
            <w:sz w:val="22"/>
            <w:szCs w:val="22"/>
          </w:rPr>
          <w:t>125</w:t>
        </w:r>
        <w:r w:rsidR="0059163A" w:rsidRPr="005303F6">
          <w:rPr>
            <w:webHidden/>
            <w:sz w:val="22"/>
            <w:szCs w:val="22"/>
          </w:rPr>
          <w:fldChar w:fldCharType="end"/>
        </w:r>
      </w:hyperlink>
    </w:p>
    <w:p w14:paraId="067C4E73" w14:textId="77777777" w:rsidR="0059163A" w:rsidRPr="005303F6" w:rsidRDefault="0083125C">
      <w:pPr>
        <w:pStyle w:val="TDC3"/>
        <w:rPr>
          <w:rFonts w:eastAsiaTheme="minorEastAsia"/>
          <w:b w:val="0"/>
          <w:iCs w:val="0"/>
          <w:sz w:val="22"/>
          <w:szCs w:val="22"/>
          <w:lang w:val="es-DO" w:eastAsia="es-DO" w:bidi="ar-SA"/>
        </w:rPr>
      </w:pPr>
      <w:hyperlink w:anchor="_Toc27146785" w:history="1">
        <w:r w:rsidR="0059163A" w:rsidRPr="005303F6">
          <w:rPr>
            <w:rStyle w:val="Hipervnculo"/>
            <w:sz w:val="22"/>
            <w:szCs w:val="22"/>
          </w:rPr>
          <w:t>Administración de contingentes arancelarios (Productos de la Rectificación Técnica).</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_Toc27146785 \h </w:instrText>
        </w:r>
        <w:r w:rsidR="0059163A" w:rsidRPr="005303F6">
          <w:rPr>
            <w:webHidden/>
            <w:sz w:val="22"/>
            <w:szCs w:val="22"/>
          </w:rPr>
        </w:r>
        <w:r w:rsidR="0059163A" w:rsidRPr="005303F6">
          <w:rPr>
            <w:webHidden/>
            <w:sz w:val="22"/>
            <w:szCs w:val="22"/>
          </w:rPr>
          <w:fldChar w:fldCharType="separate"/>
        </w:r>
        <w:r w:rsidR="005303F6">
          <w:rPr>
            <w:webHidden/>
            <w:sz w:val="22"/>
            <w:szCs w:val="22"/>
          </w:rPr>
          <w:t>125</w:t>
        </w:r>
        <w:r w:rsidR="0059163A" w:rsidRPr="005303F6">
          <w:rPr>
            <w:webHidden/>
            <w:sz w:val="22"/>
            <w:szCs w:val="22"/>
          </w:rPr>
          <w:fldChar w:fldCharType="end"/>
        </w:r>
      </w:hyperlink>
    </w:p>
    <w:p w14:paraId="69DA4ED7" w14:textId="77777777" w:rsidR="0059163A" w:rsidRPr="005303F6" w:rsidRDefault="0083125C">
      <w:pPr>
        <w:pStyle w:val="TDC3"/>
        <w:rPr>
          <w:rFonts w:eastAsiaTheme="minorEastAsia"/>
          <w:b w:val="0"/>
          <w:iCs w:val="0"/>
          <w:sz w:val="22"/>
          <w:szCs w:val="22"/>
          <w:lang w:val="es-DO" w:eastAsia="es-DO" w:bidi="ar-SA"/>
        </w:rPr>
      </w:pPr>
      <w:hyperlink w:anchor="_Toc27146786" w:history="1">
        <w:r w:rsidR="0059163A" w:rsidRPr="005303F6">
          <w:rPr>
            <w:rStyle w:val="Hipervnculo"/>
            <w:sz w:val="22"/>
            <w:szCs w:val="22"/>
          </w:rPr>
          <w:t>Administración del acuerdo sobre medidas sanitarias y fitosanitarias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_Toc27146786 \h </w:instrText>
        </w:r>
        <w:r w:rsidR="0059163A" w:rsidRPr="005303F6">
          <w:rPr>
            <w:webHidden/>
            <w:sz w:val="22"/>
            <w:szCs w:val="22"/>
          </w:rPr>
        </w:r>
        <w:r w:rsidR="0059163A" w:rsidRPr="005303F6">
          <w:rPr>
            <w:webHidden/>
            <w:sz w:val="22"/>
            <w:szCs w:val="22"/>
          </w:rPr>
          <w:fldChar w:fldCharType="separate"/>
        </w:r>
        <w:r w:rsidR="005303F6">
          <w:rPr>
            <w:webHidden/>
            <w:sz w:val="22"/>
            <w:szCs w:val="22"/>
          </w:rPr>
          <w:t>127</w:t>
        </w:r>
        <w:r w:rsidR="0059163A" w:rsidRPr="005303F6">
          <w:rPr>
            <w:webHidden/>
            <w:sz w:val="22"/>
            <w:szCs w:val="22"/>
          </w:rPr>
          <w:fldChar w:fldCharType="end"/>
        </w:r>
      </w:hyperlink>
    </w:p>
    <w:p w14:paraId="770F8FBA" w14:textId="77777777" w:rsidR="0059163A" w:rsidRPr="005303F6" w:rsidRDefault="0083125C">
      <w:pPr>
        <w:pStyle w:val="TDC3"/>
        <w:rPr>
          <w:rFonts w:eastAsiaTheme="minorEastAsia"/>
          <w:b w:val="0"/>
          <w:iCs w:val="0"/>
          <w:sz w:val="22"/>
          <w:szCs w:val="22"/>
          <w:lang w:val="es-DO" w:eastAsia="es-DO" w:bidi="ar-SA"/>
        </w:rPr>
      </w:pPr>
      <w:hyperlink w:anchor="_Toc27146787" w:history="1">
        <w:r w:rsidR="0059163A" w:rsidRPr="005303F6">
          <w:rPr>
            <w:rStyle w:val="Hipervnculo"/>
            <w:sz w:val="22"/>
            <w:szCs w:val="22"/>
          </w:rPr>
          <w:t>Proceso de acceso al mercado chino en aspectos sanitarios.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_Toc27146787 \h </w:instrText>
        </w:r>
        <w:r w:rsidR="0059163A" w:rsidRPr="005303F6">
          <w:rPr>
            <w:webHidden/>
            <w:sz w:val="22"/>
            <w:szCs w:val="22"/>
          </w:rPr>
        </w:r>
        <w:r w:rsidR="0059163A" w:rsidRPr="005303F6">
          <w:rPr>
            <w:webHidden/>
            <w:sz w:val="22"/>
            <w:szCs w:val="22"/>
          </w:rPr>
          <w:fldChar w:fldCharType="separate"/>
        </w:r>
        <w:r w:rsidR="005303F6">
          <w:rPr>
            <w:webHidden/>
            <w:sz w:val="22"/>
            <w:szCs w:val="22"/>
          </w:rPr>
          <w:t>127</w:t>
        </w:r>
        <w:r w:rsidR="0059163A" w:rsidRPr="005303F6">
          <w:rPr>
            <w:webHidden/>
            <w:sz w:val="22"/>
            <w:szCs w:val="22"/>
          </w:rPr>
          <w:fldChar w:fldCharType="end"/>
        </w:r>
      </w:hyperlink>
    </w:p>
    <w:p w14:paraId="2B09DBEA" w14:textId="77777777" w:rsidR="0059163A" w:rsidRPr="005303F6" w:rsidRDefault="0083125C">
      <w:pPr>
        <w:pStyle w:val="TDC3"/>
        <w:rPr>
          <w:rFonts w:eastAsiaTheme="minorEastAsia"/>
          <w:b w:val="0"/>
          <w:iCs w:val="0"/>
          <w:sz w:val="22"/>
          <w:szCs w:val="22"/>
          <w:lang w:val="es-DO" w:eastAsia="es-DO" w:bidi="ar-SA"/>
        </w:rPr>
      </w:pPr>
      <w:hyperlink w:anchor="_Toc27146788" w:history="1">
        <w:r w:rsidR="0059163A" w:rsidRPr="005303F6">
          <w:rPr>
            <w:rStyle w:val="Hipervnculo"/>
            <w:sz w:val="22"/>
            <w:szCs w:val="22"/>
          </w:rPr>
          <w:t>Sistema de mantenimiento de cadena de frio de los productos frescos y procesados.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_Toc27146788 \h </w:instrText>
        </w:r>
        <w:r w:rsidR="0059163A" w:rsidRPr="005303F6">
          <w:rPr>
            <w:webHidden/>
            <w:sz w:val="22"/>
            <w:szCs w:val="22"/>
          </w:rPr>
        </w:r>
        <w:r w:rsidR="0059163A" w:rsidRPr="005303F6">
          <w:rPr>
            <w:webHidden/>
            <w:sz w:val="22"/>
            <w:szCs w:val="22"/>
          </w:rPr>
          <w:fldChar w:fldCharType="separate"/>
        </w:r>
        <w:r w:rsidR="005303F6">
          <w:rPr>
            <w:webHidden/>
            <w:sz w:val="22"/>
            <w:szCs w:val="22"/>
          </w:rPr>
          <w:t>129</w:t>
        </w:r>
        <w:r w:rsidR="0059163A" w:rsidRPr="005303F6">
          <w:rPr>
            <w:webHidden/>
            <w:sz w:val="22"/>
            <w:szCs w:val="22"/>
          </w:rPr>
          <w:fldChar w:fldCharType="end"/>
        </w:r>
      </w:hyperlink>
    </w:p>
    <w:p w14:paraId="344677E6" w14:textId="77777777" w:rsidR="0059163A" w:rsidRPr="005303F6" w:rsidRDefault="0083125C">
      <w:pPr>
        <w:pStyle w:val="TDC3"/>
        <w:rPr>
          <w:rFonts w:eastAsiaTheme="minorEastAsia"/>
          <w:b w:val="0"/>
          <w:iCs w:val="0"/>
          <w:sz w:val="22"/>
          <w:szCs w:val="22"/>
          <w:lang w:val="es-DO" w:eastAsia="es-DO" w:bidi="ar-SA"/>
        </w:rPr>
      </w:pPr>
      <w:hyperlink w:anchor="_Toc27146789" w:history="1">
        <w:r w:rsidR="0059163A" w:rsidRPr="005303F6">
          <w:rPr>
            <w:rStyle w:val="Hipervnculo"/>
            <w:sz w:val="22"/>
            <w:szCs w:val="22"/>
          </w:rPr>
          <w:t>Depuración operadores económicos autorizados.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_Toc27146789 \h </w:instrText>
        </w:r>
        <w:r w:rsidR="0059163A" w:rsidRPr="005303F6">
          <w:rPr>
            <w:webHidden/>
            <w:sz w:val="22"/>
            <w:szCs w:val="22"/>
          </w:rPr>
        </w:r>
        <w:r w:rsidR="0059163A" w:rsidRPr="005303F6">
          <w:rPr>
            <w:webHidden/>
            <w:sz w:val="22"/>
            <w:szCs w:val="22"/>
          </w:rPr>
          <w:fldChar w:fldCharType="separate"/>
        </w:r>
        <w:r w:rsidR="005303F6">
          <w:rPr>
            <w:webHidden/>
            <w:sz w:val="22"/>
            <w:szCs w:val="22"/>
          </w:rPr>
          <w:t>129</w:t>
        </w:r>
        <w:r w:rsidR="0059163A" w:rsidRPr="005303F6">
          <w:rPr>
            <w:webHidden/>
            <w:sz w:val="22"/>
            <w:szCs w:val="22"/>
          </w:rPr>
          <w:fldChar w:fldCharType="end"/>
        </w:r>
      </w:hyperlink>
    </w:p>
    <w:p w14:paraId="0E728EDF" w14:textId="77777777" w:rsidR="0059163A" w:rsidRPr="005303F6" w:rsidRDefault="0083125C">
      <w:pPr>
        <w:pStyle w:val="TDC3"/>
        <w:rPr>
          <w:rFonts w:eastAsiaTheme="minorEastAsia"/>
          <w:b w:val="0"/>
          <w:iCs w:val="0"/>
          <w:sz w:val="22"/>
          <w:szCs w:val="22"/>
          <w:lang w:val="es-DO" w:eastAsia="es-DO" w:bidi="ar-SA"/>
        </w:rPr>
      </w:pPr>
      <w:hyperlink w:anchor="_Toc27146790" w:history="1">
        <w:r w:rsidR="0059163A" w:rsidRPr="005303F6">
          <w:rPr>
            <w:rStyle w:val="Hipervnculo"/>
            <w:sz w:val="22"/>
            <w:szCs w:val="22"/>
          </w:rPr>
          <w:t>Oficina de Registro de Variedades y Obtenciones Vegetales (OREVADO).</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_Toc27146790 \h </w:instrText>
        </w:r>
        <w:r w:rsidR="0059163A" w:rsidRPr="005303F6">
          <w:rPr>
            <w:webHidden/>
            <w:sz w:val="22"/>
            <w:szCs w:val="22"/>
          </w:rPr>
        </w:r>
        <w:r w:rsidR="0059163A" w:rsidRPr="005303F6">
          <w:rPr>
            <w:webHidden/>
            <w:sz w:val="22"/>
            <w:szCs w:val="22"/>
          </w:rPr>
          <w:fldChar w:fldCharType="separate"/>
        </w:r>
        <w:r w:rsidR="005303F6">
          <w:rPr>
            <w:webHidden/>
            <w:sz w:val="22"/>
            <w:szCs w:val="22"/>
          </w:rPr>
          <w:t>130</w:t>
        </w:r>
        <w:r w:rsidR="0059163A" w:rsidRPr="005303F6">
          <w:rPr>
            <w:webHidden/>
            <w:sz w:val="22"/>
            <w:szCs w:val="22"/>
          </w:rPr>
          <w:fldChar w:fldCharType="end"/>
        </w:r>
      </w:hyperlink>
    </w:p>
    <w:p w14:paraId="5BDFAC18" w14:textId="77777777" w:rsidR="0059163A" w:rsidRPr="005303F6" w:rsidRDefault="0083125C">
      <w:pPr>
        <w:pStyle w:val="TDC3"/>
        <w:rPr>
          <w:rFonts w:eastAsiaTheme="minorEastAsia"/>
          <w:b w:val="0"/>
          <w:iCs w:val="0"/>
          <w:sz w:val="22"/>
          <w:szCs w:val="22"/>
          <w:lang w:val="es-DO" w:eastAsia="es-DO" w:bidi="ar-SA"/>
        </w:rPr>
      </w:pPr>
      <w:hyperlink w:anchor="_Toc27146791" w:history="1">
        <w:r w:rsidR="0059163A" w:rsidRPr="005303F6">
          <w:rPr>
            <w:rStyle w:val="Hipervnculo"/>
            <w:sz w:val="22"/>
            <w:szCs w:val="22"/>
          </w:rPr>
          <w:t>Salvaguarda agrícola especial del DR-CAFTA.</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_Toc27146791 \h </w:instrText>
        </w:r>
        <w:r w:rsidR="0059163A" w:rsidRPr="005303F6">
          <w:rPr>
            <w:webHidden/>
            <w:sz w:val="22"/>
            <w:szCs w:val="22"/>
          </w:rPr>
        </w:r>
        <w:r w:rsidR="0059163A" w:rsidRPr="005303F6">
          <w:rPr>
            <w:webHidden/>
            <w:sz w:val="22"/>
            <w:szCs w:val="22"/>
          </w:rPr>
          <w:fldChar w:fldCharType="separate"/>
        </w:r>
        <w:r w:rsidR="005303F6">
          <w:rPr>
            <w:webHidden/>
            <w:sz w:val="22"/>
            <w:szCs w:val="22"/>
          </w:rPr>
          <w:t>130</w:t>
        </w:r>
        <w:r w:rsidR="0059163A" w:rsidRPr="005303F6">
          <w:rPr>
            <w:webHidden/>
            <w:sz w:val="22"/>
            <w:szCs w:val="22"/>
          </w:rPr>
          <w:fldChar w:fldCharType="end"/>
        </w:r>
      </w:hyperlink>
    </w:p>
    <w:p w14:paraId="2ED9FF91" w14:textId="77777777" w:rsidR="0059163A" w:rsidRPr="005303F6" w:rsidRDefault="0083125C">
      <w:pPr>
        <w:pStyle w:val="TDC3"/>
        <w:rPr>
          <w:rFonts w:eastAsiaTheme="minorEastAsia"/>
          <w:b w:val="0"/>
          <w:iCs w:val="0"/>
          <w:sz w:val="22"/>
          <w:szCs w:val="22"/>
          <w:lang w:val="es-DO" w:eastAsia="es-DO" w:bidi="ar-SA"/>
        </w:rPr>
      </w:pPr>
      <w:hyperlink w:anchor="_Toc27146792" w:history="1">
        <w:r w:rsidR="0059163A" w:rsidRPr="005303F6">
          <w:rPr>
            <w:rStyle w:val="Hipervnculo"/>
            <w:sz w:val="22"/>
            <w:szCs w:val="22"/>
          </w:rPr>
          <w:t>Servicios de asignación de contingentes arancelarios (DR-CAFTA)</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_Toc27146792 \h </w:instrText>
        </w:r>
        <w:r w:rsidR="0059163A" w:rsidRPr="005303F6">
          <w:rPr>
            <w:webHidden/>
            <w:sz w:val="22"/>
            <w:szCs w:val="22"/>
          </w:rPr>
        </w:r>
        <w:r w:rsidR="0059163A" w:rsidRPr="005303F6">
          <w:rPr>
            <w:webHidden/>
            <w:sz w:val="22"/>
            <w:szCs w:val="22"/>
          </w:rPr>
          <w:fldChar w:fldCharType="separate"/>
        </w:r>
        <w:r w:rsidR="005303F6">
          <w:rPr>
            <w:webHidden/>
            <w:sz w:val="22"/>
            <w:szCs w:val="22"/>
          </w:rPr>
          <w:t>132</w:t>
        </w:r>
        <w:r w:rsidR="0059163A" w:rsidRPr="005303F6">
          <w:rPr>
            <w:webHidden/>
            <w:sz w:val="22"/>
            <w:szCs w:val="22"/>
          </w:rPr>
          <w:fldChar w:fldCharType="end"/>
        </w:r>
      </w:hyperlink>
    </w:p>
    <w:p w14:paraId="7C2E3843" w14:textId="77777777" w:rsidR="0059163A" w:rsidRPr="005303F6" w:rsidRDefault="0083125C">
      <w:pPr>
        <w:pStyle w:val="TDC3"/>
        <w:rPr>
          <w:rFonts w:eastAsiaTheme="minorEastAsia"/>
          <w:b w:val="0"/>
          <w:iCs w:val="0"/>
          <w:sz w:val="22"/>
          <w:szCs w:val="22"/>
          <w:lang w:val="es-DO" w:eastAsia="es-DO" w:bidi="ar-SA"/>
        </w:rPr>
      </w:pPr>
      <w:hyperlink w:anchor="_Toc27146793" w:history="1">
        <w:r w:rsidR="0059163A" w:rsidRPr="005303F6">
          <w:rPr>
            <w:rStyle w:val="Hipervnculo"/>
            <w:sz w:val="22"/>
            <w:szCs w:val="22"/>
          </w:rPr>
          <w:t>Programa para el fomento de las exportaciones agropecuarias (AGROEXPORTA).</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_Toc27146793 \h </w:instrText>
        </w:r>
        <w:r w:rsidR="0059163A" w:rsidRPr="005303F6">
          <w:rPr>
            <w:webHidden/>
            <w:sz w:val="22"/>
            <w:szCs w:val="22"/>
          </w:rPr>
        </w:r>
        <w:r w:rsidR="0059163A" w:rsidRPr="005303F6">
          <w:rPr>
            <w:webHidden/>
            <w:sz w:val="22"/>
            <w:szCs w:val="22"/>
          </w:rPr>
          <w:fldChar w:fldCharType="separate"/>
        </w:r>
        <w:r w:rsidR="005303F6">
          <w:rPr>
            <w:webHidden/>
            <w:sz w:val="22"/>
            <w:szCs w:val="22"/>
          </w:rPr>
          <w:t>134</w:t>
        </w:r>
        <w:r w:rsidR="0059163A" w:rsidRPr="005303F6">
          <w:rPr>
            <w:webHidden/>
            <w:sz w:val="22"/>
            <w:szCs w:val="22"/>
          </w:rPr>
          <w:fldChar w:fldCharType="end"/>
        </w:r>
      </w:hyperlink>
    </w:p>
    <w:p w14:paraId="14315356"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794" w:history="1">
        <w:r w:rsidR="0059163A" w:rsidRPr="005303F6">
          <w:rPr>
            <w:rStyle w:val="Hipervnculo"/>
            <w:rFonts w:ascii="Times New Roman" w:eastAsiaTheme="majorEastAsia" w:hAnsi="Times New Roman"/>
            <w:b/>
            <w:noProof/>
            <w:sz w:val="22"/>
            <w:szCs w:val="22"/>
          </w:rPr>
          <w:t>Políticas de fomento</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_Toc27146794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138</w:t>
        </w:r>
        <w:r w:rsidR="0059163A" w:rsidRPr="005303F6">
          <w:rPr>
            <w:rFonts w:ascii="Times New Roman" w:hAnsi="Times New Roman"/>
            <w:noProof/>
            <w:webHidden/>
            <w:sz w:val="22"/>
            <w:szCs w:val="22"/>
          </w:rPr>
          <w:fldChar w:fldCharType="end"/>
        </w:r>
      </w:hyperlink>
    </w:p>
    <w:p w14:paraId="4356BA6C"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795" w:history="1">
        <w:r w:rsidR="0059163A" w:rsidRPr="005303F6">
          <w:rPr>
            <w:rStyle w:val="Hipervnculo"/>
            <w:rFonts w:ascii="Times New Roman" w:eastAsiaTheme="majorEastAsia" w:hAnsi="Times New Roman"/>
            <w:b/>
            <w:noProof/>
            <w:sz w:val="22"/>
            <w:szCs w:val="22"/>
          </w:rPr>
          <w:t>Políticas de fortalecimiento</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_Toc27146795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139</w:t>
        </w:r>
        <w:r w:rsidR="0059163A" w:rsidRPr="005303F6">
          <w:rPr>
            <w:rFonts w:ascii="Times New Roman" w:hAnsi="Times New Roman"/>
            <w:noProof/>
            <w:webHidden/>
            <w:sz w:val="22"/>
            <w:szCs w:val="22"/>
          </w:rPr>
          <w:fldChar w:fldCharType="end"/>
        </w:r>
      </w:hyperlink>
    </w:p>
    <w:p w14:paraId="713A9334" w14:textId="77777777" w:rsidR="0059163A" w:rsidRPr="005303F6" w:rsidRDefault="0083125C">
      <w:pPr>
        <w:pStyle w:val="TDC1"/>
        <w:rPr>
          <w:rFonts w:eastAsiaTheme="minorEastAsia"/>
          <w:b w:val="0"/>
          <w:bCs w:val="0"/>
          <w:sz w:val="22"/>
          <w:szCs w:val="22"/>
          <w:lang w:eastAsia="es-DO"/>
        </w:rPr>
      </w:pPr>
      <w:hyperlink w:anchor="_Toc27146796" w:history="1">
        <w:r w:rsidR="0059163A" w:rsidRPr="005303F6">
          <w:rPr>
            <w:rStyle w:val="Hipervnculo"/>
            <w:rFonts w:eastAsiaTheme="majorEastAsia"/>
            <w:sz w:val="22"/>
            <w:szCs w:val="22"/>
          </w:rPr>
          <w:t>VI.</w:t>
        </w:r>
        <w:r w:rsidR="0059163A" w:rsidRPr="005303F6">
          <w:rPr>
            <w:rFonts w:eastAsiaTheme="minorEastAsia"/>
            <w:b w:val="0"/>
            <w:bCs w:val="0"/>
            <w:sz w:val="22"/>
            <w:szCs w:val="22"/>
            <w:lang w:eastAsia="es-DO"/>
          </w:rPr>
          <w:tab/>
        </w:r>
        <w:r w:rsidR="0059163A" w:rsidRPr="005303F6">
          <w:rPr>
            <w:rStyle w:val="Hipervnculo"/>
            <w:rFonts w:eastAsiaTheme="majorEastAsia"/>
            <w:sz w:val="22"/>
            <w:szCs w:val="22"/>
          </w:rPr>
          <w:t>Gestión del riesgo y cambio climático</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_Toc27146796 \h </w:instrText>
        </w:r>
        <w:r w:rsidR="0059163A" w:rsidRPr="005303F6">
          <w:rPr>
            <w:webHidden/>
            <w:sz w:val="22"/>
            <w:szCs w:val="22"/>
          </w:rPr>
        </w:r>
        <w:r w:rsidR="0059163A" w:rsidRPr="005303F6">
          <w:rPr>
            <w:webHidden/>
            <w:sz w:val="22"/>
            <w:szCs w:val="22"/>
          </w:rPr>
          <w:fldChar w:fldCharType="separate"/>
        </w:r>
        <w:r w:rsidR="005303F6">
          <w:rPr>
            <w:webHidden/>
            <w:sz w:val="22"/>
            <w:szCs w:val="22"/>
          </w:rPr>
          <w:t>142</w:t>
        </w:r>
        <w:r w:rsidR="0059163A" w:rsidRPr="005303F6">
          <w:rPr>
            <w:webHidden/>
            <w:sz w:val="22"/>
            <w:szCs w:val="22"/>
          </w:rPr>
          <w:fldChar w:fldCharType="end"/>
        </w:r>
      </w:hyperlink>
    </w:p>
    <w:p w14:paraId="6F2E2727" w14:textId="77777777" w:rsidR="0059163A" w:rsidRPr="005303F6" w:rsidRDefault="0083125C">
      <w:pPr>
        <w:pStyle w:val="TDC2"/>
        <w:rPr>
          <w:rFonts w:eastAsiaTheme="minorEastAsia"/>
          <w:b w:val="0"/>
          <w:smallCaps w:val="0"/>
          <w:sz w:val="22"/>
          <w:szCs w:val="22"/>
          <w:lang w:eastAsia="es-DO" w:bidi="ar-SA"/>
        </w:rPr>
      </w:pPr>
      <w:hyperlink w:anchor="_Toc27146797" w:history="1">
        <w:r w:rsidR="0059163A" w:rsidRPr="005303F6">
          <w:rPr>
            <w:rStyle w:val="Hipervnculo"/>
            <w:sz w:val="22"/>
            <w:szCs w:val="22"/>
          </w:rPr>
          <w:t>a) Plan de contingencia del sector agropecuario</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_Toc27146797 \h </w:instrText>
        </w:r>
        <w:r w:rsidR="0059163A" w:rsidRPr="005303F6">
          <w:rPr>
            <w:webHidden/>
            <w:sz w:val="22"/>
            <w:szCs w:val="22"/>
          </w:rPr>
        </w:r>
        <w:r w:rsidR="0059163A" w:rsidRPr="005303F6">
          <w:rPr>
            <w:webHidden/>
            <w:sz w:val="22"/>
            <w:szCs w:val="22"/>
          </w:rPr>
          <w:fldChar w:fldCharType="separate"/>
        </w:r>
        <w:r w:rsidR="005303F6">
          <w:rPr>
            <w:webHidden/>
            <w:sz w:val="22"/>
            <w:szCs w:val="22"/>
          </w:rPr>
          <w:t>142</w:t>
        </w:r>
        <w:r w:rsidR="0059163A" w:rsidRPr="005303F6">
          <w:rPr>
            <w:webHidden/>
            <w:sz w:val="22"/>
            <w:szCs w:val="22"/>
          </w:rPr>
          <w:fldChar w:fldCharType="end"/>
        </w:r>
      </w:hyperlink>
    </w:p>
    <w:p w14:paraId="58A0E759" w14:textId="77777777" w:rsidR="0059163A" w:rsidRPr="005303F6" w:rsidRDefault="0083125C">
      <w:pPr>
        <w:pStyle w:val="TDC2"/>
        <w:rPr>
          <w:rFonts w:eastAsiaTheme="minorEastAsia"/>
          <w:b w:val="0"/>
          <w:smallCaps w:val="0"/>
          <w:sz w:val="22"/>
          <w:szCs w:val="22"/>
          <w:lang w:eastAsia="es-DO" w:bidi="ar-SA"/>
        </w:rPr>
      </w:pPr>
      <w:hyperlink w:anchor="_Toc27146798" w:history="1">
        <w:r w:rsidR="0059163A" w:rsidRPr="005303F6">
          <w:rPr>
            <w:rStyle w:val="Hipervnculo"/>
            <w:sz w:val="22"/>
            <w:szCs w:val="22"/>
          </w:rPr>
          <w:t>b) Plan nacional de mitigación sequía</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_Toc27146798 \h </w:instrText>
        </w:r>
        <w:r w:rsidR="0059163A" w:rsidRPr="005303F6">
          <w:rPr>
            <w:webHidden/>
            <w:sz w:val="22"/>
            <w:szCs w:val="22"/>
          </w:rPr>
        </w:r>
        <w:r w:rsidR="0059163A" w:rsidRPr="005303F6">
          <w:rPr>
            <w:webHidden/>
            <w:sz w:val="22"/>
            <w:szCs w:val="22"/>
          </w:rPr>
          <w:fldChar w:fldCharType="separate"/>
        </w:r>
        <w:r w:rsidR="005303F6">
          <w:rPr>
            <w:webHidden/>
            <w:sz w:val="22"/>
            <w:szCs w:val="22"/>
          </w:rPr>
          <w:t>143</w:t>
        </w:r>
        <w:r w:rsidR="0059163A" w:rsidRPr="005303F6">
          <w:rPr>
            <w:webHidden/>
            <w:sz w:val="22"/>
            <w:szCs w:val="22"/>
          </w:rPr>
          <w:fldChar w:fldCharType="end"/>
        </w:r>
      </w:hyperlink>
    </w:p>
    <w:p w14:paraId="2FD815A1" w14:textId="77777777" w:rsidR="0059163A" w:rsidRPr="005303F6" w:rsidRDefault="0083125C">
      <w:pPr>
        <w:pStyle w:val="TDC2"/>
        <w:rPr>
          <w:rFonts w:eastAsiaTheme="minorEastAsia"/>
          <w:b w:val="0"/>
          <w:smallCaps w:val="0"/>
          <w:sz w:val="22"/>
          <w:szCs w:val="22"/>
          <w:lang w:eastAsia="es-DO" w:bidi="ar-SA"/>
        </w:rPr>
      </w:pPr>
      <w:hyperlink w:anchor="_Toc27146799" w:history="1">
        <w:r w:rsidR="0059163A" w:rsidRPr="005303F6">
          <w:rPr>
            <w:rStyle w:val="Hipervnculo"/>
            <w:sz w:val="22"/>
            <w:szCs w:val="22"/>
          </w:rPr>
          <w:t>c) Comportamiento de las precipitaciones y volumen útil en los principales embalses a nivel nacional</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_Toc27146799 \h </w:instrText>
        </w:r>
        <w:r w:rsidR="0059163A" w:rsidRPr="005303F6">
          <w:rPr>
            <w:webHidden/>
            <w:sz w:val="22"/>
            <w:szCs w:val="22"/>
          </w:rPr>
        </w:r>
        <w:r w:rsidR="0059163A" w:rsidRPr="005303F6">
          <w:rPr>
            <w:webHidden/>
            <w:sz w:val="22"/>
            <w:szCs w:val="22"/>
          </w:rPr>
          <w:fldChar w:fldCharType="separate"/>
        </w:r>
        <w:r w:rsidR="005303F6">
          <w:rPr>
            <w:webHidden/>
            <w:sz w:val="22"/>
            <w:szCs w:val="22"/>
          </w:rPr>
          <w:t>146</w:t>
        </w:r>
        <w:r w:rsidR="0059163A" w:rsidRPr="005303F6">
          <w:rPr>
            <w:webHidden/>
            <w:sz w:val="22"/>
            <w:szCs w:val="22"/>
          </w:rPr>
          <w:fldChar w:fldCharType="end"/>
        </w:r>
      </w:hyperlink>
    </w:p>
    <w:p w14:paraId="0FC2823B" w14:textId="77777777" w:rsidR="0059163A" w:rsidRPr="005303F6" w:rsidRDefault="0083125C">
      <w:pPr>
        <w:pStyle w:val="TDC1"/>
        <w:rPr>
          <w:rFonts w:eastAsiaTheme="minorEastAsia"/>
          <w:b w:val="0"/>
          <w:bCs w:val="0"/>
          <w:sz w:val="22"/>
          <w:szCs w:val="22"/>
          <w:lang w:eastAsia="es-DO"/>
        </w:rPr>
      </w:pPr>
      <w:hyperlink w:anchor="_Toc27146800" w:history="1">
        <w:r w:rsidR="0059163A" w:rsidRPr="005303F6">
          <w:rPr>
            <w:rStyle w:val="Hipervnculo"/>
            <w:rFonts w:eastAsiaTheme="majorEastAsia"/>
            <w:sz w:val="22"/>
            <w:szCs w:val="22"/>
          </w:rPr>
          <w:t>VII.</w:t>
        </w:r>
        <w:r w:rsidR="0059163A" w:rsidRPr="005303F6">
          <w:rPr>
            <w:rFonts w:eastAsiaTheme="minorEastAsia"/>
            <w:b w:val="0"/>
            <w:bCs w:val="0"/>
            <w:sz w:val="22"/>
            <w:szCs w:val="22"/>
            <w:lang w:eastAsia="es-DO"/>
          </w:rPr>
          <w:tab/>
        </w:r>
        <w:r w:rsidR="0059163A" w:rsidRPr="005303F6">
          <w:rPr>
            <w:rStyle w:val="Hipervnculo"/>
            <w:rFonts w:eastAsiaTheme="majorEastAsia"/>
            <w:sz w:val="22"/>
            <w:szCs w:val="22"/>
          </w:rPr>
          <w:t>Reforma, modernización y fortalecimiento institucional</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_Toc27146800 \h </w:instrText>
        </w:r>
        <w:r w:rsidR="0059163A" w:rsidRPr="005303F6">
          <w:rPr>
            <w:webHidden/>
            <w:sz w:val="22"/>
            <w:szCs w:val="22"/>
          </w:rPr>
        </w:r>
        <w:r w:rsidR="0059163A" w:rsidRPr="005303F6">
          <w:rPr>
            <w:webHidden/>
            <w:sz w:val="22"/>
            <w:szCs w:val="22"/>
          </w:rPr>
          <w:fldChar w:fldCharType="separate"/>
        </w:r>
        <w:r w:rsidR="005303F6">
          <w:rPr>
            <w:webHidden/>
            <w:sz w:val="22"/>
            <w:szCs w:val="22"/>
          </w:rPr>
          <w:t>150</w:t>
        </w:r>
        <w:r w:rsidR="0059163A" w:rsidRPr="005303F6">
          <w:rPr>
            <w:webHidden/>
            <w:sz w:val="22"/>
            <w:szCs w:val="22"/>
          </w:rPr>
          <w:fldChar w:fldCharType="end"/>
        </w:r>
      </w:hyperlink>
    </w:p>
    <w:p w14:paraId="340AC283" w14:textId="77777777" w:rsidR="0059163A" w:rsidRPr="005303F6" w:rsidRDefault="0083125C">
      <w:pPr>
        <w:pStyle w:val="TDC2"/>
        <w:rPr>
          <w:rFonts w:eastAsiaTheme="minorEastAsia"/>
          <w:b w:val="0"/>
          <w:smallCaps w:val="0"/>
          <w:sz w:val="22"/>
          <w:szCs w:val="22"/>
          <w:lang w:eastAsia="es-DO" w:bidi="ar-SA"/>
        </w:rPr>
      </w:pPr>
      <w:hyperlink w:anchor="_Toc27146801" w:history="1">
        <w:r w:rsidR="0059163A" w:rsidRPr="005303F6">
          <w:rPr>
            <w:rStyle w:val="Hipervnculo"/>
            <w:sz w:val="22"/>
            <w:szCs w:val="22"/>
          </w:rPr>
          <w:t>Adquisición de frente de equipos pesados y livianos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_Toc27146801 \h </w:instrText>
        </w:r>
        <w:r w:rsidR="0059163A" w:rsidRPr="005303F6">
          <w:rPr>
            <w:webHidden/>
            <w:sz w:val="22"/>
            <w:szCs w:val="22"/>
          </w:rPr>
        </w:r>
        <w:r w:rsidR="0059163A" w:rsidRPr="005303F6">
          <w:rPr>
            <w:webHidden/>
            <w:sz w:val="22"/>
            <w:szCs w:val="22"/>
          </w:rPr>
          <w:fldChar w:fldCharType="separate"/>
        </w:r>
        <w:r w:rsidR="005303F6">
          <w:rPr>
            <w:webHidden/>
            <w:sz w:val="22"/>
            <w:szCs w:val="22"/>
          </w:rPr>
          <w:t>150</w:t>
        </w:r>
        <w:r w:rsidR="0059163A" w:rsidRPr="005303F6">
          <w:rPr>
            <w:webHidden/>
            <w:sz w:val="22"/>
            <w:szCs w:val="22"/>
          </w:rPr>
          <w:fldChar w:fldCharType="end"/>
        </w:r>
      </w:hyperlink>
    </w:p>
    <w:p w14:paraId="1BD4F475" w14:textId="77777777" w:rsidR="0059163A" w:rsidRPr="005303F6" w:rsidRDefault="0083125C">
      <w:pPr>
        <w:pStyle w:val="TDC2"/>
        <w:rPr>
          <w:rFonts w:eastAsiaTheme="minorEastAsia"/>
          <w:b w:val="0"/>
          <w:smallCaps w:val="0"/>
          <w:sz w:val="22"/>
          <w:szCs w:val="22"/>
          <w:lang w:eastAsia="es-DO" w:bidi="ar-SA"/>
        </w:rPr>
      </w:pPr>
      <w:hyperlink w:anchor="_Toc27146802" w:history="1">
        <w:r w:rsidR="0059163A" w:rsidRPr="005303F6">
          <w:rPr>
            <w:rStyle w:val="Hipervnculo"/>
            <w:sz w:val="22"/>
            <w:szCs w:val="22"/>
          </w:rPr>
          <w:t>Administración pública, relevo generacional</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_Toc27146802 \h </w:instrText>
        </w:r>
        <w:r w:rsidR="0059163A" w:rsidRPr="005303F6">
          <w:rPr>
            <w:webHidden/>
            <w:sz w:val="22"/>
            <w:szCs w:val="22"/>
          </w:rPr>
        </w:r>
        <w:r w:rsidR="0059163A" w:rsidRPr="005303F6">
          <w:rPr>
            <w:webHidden/>
            <w:sz w:val="22"/>
            <w:szCs w:val="22"/>
          </w:rPr>
          <w:fldChar w:fldCharType="separate"/>
        </w:r>
        <w:r w:rsidR="005303F6">
          <w:rPr>
            <w:webHidden/>
            <w:sz w:val="22"/>
            <w:szCs w:val="22"/>
          </w:rPr>
          <w:t>151</w:t>
        </w:r>
        <w:r w:rsidR="0059163A" w:rsidRPr="005303F6">
          <w:rPr>
            <w:webHidden/>
            <w:sz w:val="22"/>
            <w:szCs w:val="22"/>
          </w:rPr>
          <w:fldChar w:fldCharType="end"/>
        </w:r>
      </w:hyperlink>
    </w:p>
    <w:p w14:paraId="53B2F050" w14:textId="77777777" w:rsidR="0059163A" w:rsidRPr="005303F6" w:rsidRDefault="0083125C">
      <w:pPr>
        <w:pStyle w:val="TDC2"/>
        <w:rPr>
          <w:rFonts w:eastAsiaTheme="minorEastAsia"/>
          <w:b w:val="0"/>
          <w:smallCaps w:val="0"/>
          <w:sz w:val="22"/>
          <w:szCs w:val="22"/>
          <w:lang w:eastAsia="es-DO" w:bidi="ar-SA"/>
        </w:rPr>
      </w:pPr>
      <w:hyperlink w:anchor="_Toc27146803" w:history="1">
        <w:r w:rsidR="0059163A" w:rsidRPr="005303F6">
          <w:rPr>
            <w:rStyle w:val="Hipervnculo"/>
            <w:sz w:val="22"/>
            <w:szCs w:val="22"/>
          </w:rPr>
          <w:t>Fortalecimiento e implementación de Tecnologías de la Información y Comunicación</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_Toc27146803 \h </w:instrText>
        </w:r>
        <w:r w:rsidR="0059163A" w:rsidRPr="005303F6">
          <w:rPr>
            <w:webHidden/>
            <w:sz w:val="22"/>
            <w:szCs w:val="22"/>
          </w:rPr>
        </w:r>
        <w:r w:rsidR="0059163A" w:rsidRPr="005303F6">
          <w:rPr>
            <w:webHidden/>
            <w:sz w:val="22"/>
            <w:szCs w:val="22"/>
          </w:rPr>
          <w:fldChar w:fldCharType="separate"/>
        </w:r>
        <w:r w:rsidR="005303F6">
          <w:rPr>
            <w:webHidden/>
            <w:sz w:val="22"/>
            <w:szCs w:val="22"/>
          </w:rPr>
          <w:t>153</w:t>
        </w:r>
        <w:r w:rsidR="0059163A" w:rsidRPr="005303F6">
          <w:rPr>
            <w:webHidden/>
            <w:sz w:val="22"/>
            <w:szCs w:val="22"/>
          </w:rPr>
          <w:fldChar w:fldCharType="end"/>
        </w:r>
      </w:hyperlink>
    </w:p>
    <w:p w14:paraId="12BA15AA" w14:textId="77777777" w:rsidR="0059163A" w:rsidRPr="005303F6" w:rsidRDefault="0083125C">
      <w:pPr>
        <w:pStyle w:val="TDC2"/>
        <w:rPr>
          <w:rFonts w:eastAsiaTheme="minorEastAsia"/>
          <w:b w:val="0"/>
          <w:smallCaps w:val="0"/>
          <w:sz w:val="22"/>
          <w:szCs w:val="22"/>
          <w:lang w:eastAsia="es-DO" w:bidi="ar-SA"/>
        </w:rPr>
      </w:pPr>
      <w:hyperlink w:anchor="_Toc27146804" w:history="1">
        <w:r w:rsidR="0059163A" w:rsidRPr="005303F6">
          <w:rPr>
            <w:rStyle w:val="Hipervnculo"/>
            <w:sz w:val="22"/>
            <w:szCs w:val="22"/>
          </w:rPr>
          <w:t>Construcción y reconstrucción de las oficinas regionales Administrativas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_Toc27146804 \h </w:instrText>
        </w:r>
        <w:r w:rsidR="0059163A" w:rsidRPr="005303F6">
          <w:rPr>
            <w:webHidden/>
            <w:sz w:val="22"/>
            <w:szCs w:val="22"/>
          </w:rPr>
        </w:r>
        <w:r w:rsidR="0059163A" w:rsidRPr="005303F6">
          <w:rPr>
            <w:webHidden/>
            <w:sz w:val="22"/>
            <w:szCs w:val="22"/>
          </w:rPr>
          <w:fldChar w:fldCharType="separate"/>
        </w:r>
        <w:r w:rsidR="005303F6">
          <w:rPr>
            <w:webHidden/>
            <w:sz w:val="22"/>
            <w:szCs w:val="22"/>
          </w:rPr>
          <w:t>154</w:t>
        </w:r>
        <w:r w:rsidR="0059163A" w:rsidRPr="005303F6">
          <w:rPr>
            <w:webHidden/>
            <w:sz w:val="22"/>
            <w:szCs w:val="22"/>
          </w:rPr>
          <w:fldChar w:fldCharType="end"/>
        </w:r>
      </w:hyperlink>
    </w:p>
    <w:p w14:paraId="07DDE41E" w14:textId="77777777" w:rsidR="0059163A" w:rsidRPr="005303F6" w:rsidRDefault="0083125C">
      <w:pPr>
        <w:pStyle w:val="TDC1"/>
        <w:rPr>
          <w:rFonts w:eastAsiaTheme="minorEastAsia"/>
          <w:b w:val="0"/>
          <w:bCs w:val="0"/>
          <w:sz w:val="22"/>
          <w:szCs w:val="22"/>
          <w:lang w:eastAsia="es-DO"/>
        </w:rPr>
      </w:pPr>
      <w:hyperlink w:anchor="_Toc27146805" w:history="1">
        <w:r w:rsidR="0059163A" w:rsidRPr="005303F6">
          <w:rPr>
            <w:rStyle w:val="Hipervnculo"/>
            <w:rFonts w:eastAsiaTheme="majorEastAsia"/>
            <w:sz w:val="22"/>
            <w:szCs w:val="22"/>
          </w:rPr>
          <w:t>VIII.</w:t>
        </w:r>
        <w:r w:rsidR="0059163A" w:rsidRPr="005303F6">
          <w:rPr>
            <w:rFonts w:eastAsiaTheme="minorEastAsia"/>
            <w:b w:val="0"/>
            <w:bCs w:val="0"/>
            <w:sz w:val="22"/>
            <w:szCs w:val="22"/>
            <w:lang w:eastAsia="es-DO"/>
          </w:rPr>
          <w:tab/>
        </w:r>
        <w:r w:rsidR="0059163A" w:rsidRPr="005303F6">
          <w:rPr>
            <w:rStyle w:val="Hipervnculo"/>
            <w:rFonts w:eastAsiaTheme="majorEastAsia"/>
            <w:sz w:val="22"/>
            <w:szCs w:val="22"/>
          </w:rPr>
          <w:t>Indicadores de Desempeño de la Gestión Pública</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_Toc27146805 \h </w:instrText>
        </w:r>
        <w:r w:rsidR="0059163A" w:rsidRPr="005303F6">
          <w:rPr>
            <w:webHidden/>
            <w:sz w:val="22"/>
            <w:szCs w:val="22"/>
          </w:rPr>
        </w:r>
        <w:r w:rsidR="0059163A" w:rsidRPr="005303F6">
          <w:rPr>
            <w:webHidden/>
            <w:sz w:val="22"/>
            <w:szCs w:val="22"/>
          </w:rPr>
          <w:fldChar w:fldCharType="separate"/>
        </w:r>
        <w:r w:rsidR="005303F6">
          <w:rPr>
            <w:webHidden/>
            <w:sz w:val="22"/>
            <w:szCs w:val="22"/>
          </w:rPr>
          <w:t>154</w:t>
        </w:r>
        <w:r w:rsidR="0059163A" w:rsidRPr="005303F6">
          <w:rPr>
            <w:webHidden/>
            <w:sz w:val="22"/>
            <w:szCs w:val="22"/>
          </w:rPr>
          <w:fldChar w:fldCharType="end"/>
        </w:r>
      </w:hyperlink>
    </w:p>
    <w:p w14:paraId="6684FFB4" w14:textId="77777777" w:rsidR="0059163A" w:rsidRPr="005303F6" w:rsidRDefault="0083125C">
      <w:pPr>
        <w:pStyle w:val="TDC2"/>
        <w:rPr>
          <w:rFonts w:eastAsiaTheme="minorEastAsia"/>
          <w:b w:val="0"/>
          <w:smallCaps w:val="0"/>
          <w:sz w:val="22"/>
          <w:szCs w:val="22"/>
          <w:lang w:eastAsia="es-DO" w:bidi="ar-SA"/>
        </w:rPr>
      </w:pPr>
      <w:hyperlink w:anchor="_Toc27146806" w:history="1">
        <w:r w:rsidR="0059163A" w:rsidRPr="005303F6">
          <w:rPr>
            <w:rStyle w:val="Hipervnculo"/>
            <w:sz w:val="22"/>
            <w:szCs w:val="22"/>
          </w:rPr>
          <w:t>a) Indicador sobre el cumplimiento de Metas Presidenciales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_Toc27146806 \h </w:instrText>
        </w:r>
        <w:r w:rsidR="0059163A" w:rsidRPr="005303F6">
          <w:rPr>
            <w:webHidden/>
            <w:sz w:val="22"/>
            <w:szCs w:val="22"/>
          </w:rPr>
        </w:r>
        <w:r w:rsidR="0059163A" w:rsidRPr="005303F6">
          <w:rPr>
            <w:webHidden/>
            <w:sz w:val="22"/>
            <w:szCs w:val="22"/>
          </w:rPr>
          <w:fldChar w:fldCharType="separate"/>
        </w:r>
        <w:r w:rsidR="005303F6">
          <w:rPr>
            <w:webHidden/>
            <w:sz w:val="22"/>
            <w:szCs w:val="22"/>
          </w:rPr>
          <w:t>154</w:t>
        </w:r>
        <w:r w:rsidR="0059163A" w:rsidRPr="005303F6">
          <w:rPr>
            <w:webHidden/>
            <w:sz w:val="22"/>
            <w:szCs w:val="22"/>
          </w:rPr>
          <w:fldChar w:fldCharType="end"/>
        </w:r>
      </w:hyperlink>
    </w:p>
    <w:p w14:paraId="17528E0F" w14:textId="77777777" w:rsidR="0059163A" w:rsidRPr="005303F6" w:rsidRDefault="0083125C">
      <w:pPr>
        <w:pStyle w:val="TDC3"/>
        <w:rPr>
          <w:rFonts w:eastAsiaTheme="minorEastAsia"/>
          <w:b w:val="0"/>
          <w:iCs w:val="0"/>
          <w:sz w:val="22"/>
          <w:szCs w:val="22"/>
          <w:lang w:val="es-DO" w:eastAsia="es-DO" w:bidi="ar-SA"/>
        </w:rPr>
      </w:pPr>
      <w:hyperlink w:anchor="_Toc27146807" w:history="1">
        <w:r w:rsidR="0059163A" w:rsidRPr="005303F6">
          <w:rPr>
            <w:rStyle w:val="Hipervnculo"/>
            <w:sz w:val="22"/>
            <w:szCs w:val="22"/>
          </w:rPr>
          <w:t>Gestión de Metas Presidenciales en ejecución</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_Toc27146807 \h </w:instrText>
        </w:r>
        <w:r w:rsidR="0059163A" w:rsidRPr="005303F6">
          <w:rPr>
            <w:webHidden/>
            <w:sz w:val="22"/>
            <w:szCs w:val="22"/>
          </w:rPr>
        </w:r>
        <w:r w:rsidR="0059163A" w:rsidRPr="005303F6">
          <w:rPr>
            <w:webHidden/>
            <w:sz w:val="22"/>
            <w:szCs w:val="22"/>
          </w:rPr>
          <w:fldChar w:fldCharType="separate"/>
        </w:r>
        <w:r w:rsidR="005303F6">
          <w:rPr>
            <w:webHidden/>
            <w:sz w:val="22"/>
            <w:szCs w:val="22"/>
          </w:rPr>
          <w:t>156</w:t>
        </w:r>
        <w:r w:rsidR="0059163A" w:rsidRPr="005303F6">
          <w:rPr>
            <w:webHidden/>
            <w:sz w:val="22"/>
            <w:szCs w:val="22"/>
          </w:rPr>
          <w:fldChar w:fldCharType="end"/>
        </w:r>
      </w:hyperlink>
    </w:p>
    <w:p w14:paraId="55209DFB"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08" w:history="1">
        <w:r w:rsidR="0059163A" w:rsidRPr="005303F6">
          <w:rPr>
            <w:rStyle w:val="Hipervnculo"/>
            <w:rFonts w:ascii="Times New Roman" w:eastAsiaTheme="majorEastAsia" w:hAnsi="Times New Roman"/>
            <w:noProof/>
            <w:sz w:val="22"/>
            <w:szCs w:val="22"/>
            <w:lang w:bidi="en-US"/>
          </w:rPr>
          <w:t>Gestión normal</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_Toc27146808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156</w:t>
        </w:r>
        <w:r w:rsidR="0059163A" w:rsidRPr="005303F6">
          <w:rPr>
            <w:rFonts w:ascii="Times New Roman" w:hAnsi="Times New Roman"/>
            <w:noProof/>
            <w:webHidden/>
            <w:sz w:val="22"/>
            <w:szCs w:val="22"/>
          </w:rPr>
          <w:fldChar w:fldCharType="end"/>
        </w:r>
      </w:hyperlink>
    </w:p>
    <w:p w14:paraId="5F59796D"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09" w:history="1">
        <w:r w:rsidR="0059163A" w:rsidRPr="005303F6">
          <w:rPr>
            <w:rStyle w:val="Hipervnculo"/>
            <w:rFonts w:ascii="Times New Roman" w:eastAsiaTheme="majorEastAsia" w:hAnsi="Times New Roman"/>
            <w:noProof/>
            <w:sz w:val="22"/>
            <w:szCs w:val="22"/>
            <w:lang w:bidi="en-US"/>
          </w:rPr>
          <w:t>Gestión de alertas</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_Toc27146809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157</w:t>
        </w:r>
        <w:r w:rsidR="0059163A" w:rsidRPr="005303F6">
          <w:rPr>
            <w:rFonts w:ascii="Times New Roman" w:hAnsi="Times New Roman"/>
            <w:noProof/>
            <w:webHidden/>
            <w:sz w:val="22"/>
            <w:szCs w:val="22"/>
          </w:rPr>
          <w:fldChar w:fldCharType="end"/>
        </w:r>
      </w:hyperlink>
    </w:p>
    <w:p w14:paraId="0694433C"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10" w:history="1">
        <w:r w:rsidR="0059163A" w:rsidRPr="005303F6">
          <w:rPr>
            <w:rStyle w:val="Hipervnculo"/>
            <w:rFonts w:ascii="Times New Roman" w:eastAsiaTheme="majorEastAsia" w:hAnsi="Times New Roman"/>
            <w:noProof/>
            <w:sz w:val="22"/>
            <w:szCs w:val="22"/>
            <w:lang w:bidi="en-US"/>
          </w:rPr>
          <w:t>Gestión atrasada</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_Toc27146810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157</w:t>
        </w:r>
        <w:r w:rsidR="0059163A" w:rsidRPr="005303F6">
          <w:rPr>
            <w:rFonts w:ascii="Times New Roman" w:hAnsi="Times New Roman"/>
            <w:noProof/>
            <w:webHidden/>
            <w:sz w:val="22"/>
            <w:szCs w:val="22"/>
          </w:rPr>
          <w:fldChar w:fldCharType="end"/>
        </w:r>
      </w:hyperlink>
    </w:p>
    <w:p w14:paraId="00E41936" w14:textId="77777777" w:rsidR="0059163A" w:rsidRPr="005303F6" w:rsidRDefault="0083125C">
      <w:pPr>
        <w:pStyle w:val="TDC2"/>
        <w:rPr>
          <w:rFonts w:eastAsiaTheme="minorEastAsia"/>
          <w:b w:val="0"/>
          <w:smallCaps w:val="0"/>
          <w:sz w:val="22"/>
          <w:szCs w:val="22"/>
          <w:lang w:eastAsia="es-DO" w:bidi="ar-SA"/>
        </w:rPr>
      </w:pPr>
      <w:hyperlink w:anchor="_Toc27146811" w:history="1">
        <w:r w:rsidR="0059163A" w:rsidRPr="005303F6">
          <w:rPr>
            <w:rStyle w:val="Hipervnculo"/>
            <w:sz w:val="22"/>
            <w:szCs w:val="22"/>
          </w:rPr>
          <w:t>b) Indicador sobre el cumplimiento de Obras Civiles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_Toc27146811 \h </w:instrText>
        </w:r>
        <w:r w:rsidR="0059163A" w:rsidRPr="005303F6">
          <w:rPr>
            <w:webHidden/>
            <w:sz w:val="22"/>
            <w:szCs w:val="22"/>
          </w:rPr>
        </w:r>
        <w:r w:rsidR="0059163A" w:rsidRPr="005303F6">
          <w:rPr>
            <w:webHidden/>
            <w:sz w:val="22"/>
            <w:szCs w:val="22"/>
          </w:rPr>
          <w:fldChar w:fldCharType="separate"/>
        </w:r>
        <w:r w:rsidR="005303F6">
          <w:rPr>
            <w:webHidden/>
            <w:sz w:val="22"/>
            <w:szCs w:val="22"/>
          </w:rPr>
          <w:t>158</w:t>
        </w:r>
        <w:r w:rsidR="0059163A" w:rsidRPr="005303F6">
          <w:rPr>
            <w:webHidden/>
            <w:sz w:val="22"/>
            <w:szCs w:val="22"/>
          </w:rPr>
          <w:fldChar w:fldCharType="end"/>
        </w:r>
      </w:hyperlink>
    </w:p>
    <w:p w14:paraId="49A7D9E0" w14:textId="77777777" w:rsidR="0059163A" w:rsidRPr="005303F6" w:rsidRDefault="0083125C">
      <w:pPr>
        <w:pStyle w:val="TDC2"/>
        <w:rPr>
          <w:rFonts w:eastAsiaTheme="minorEastAsia"/>
          <w:b w:val="0"/>
          <w:smallCaps w:val="0"/>
          <w:sz w:val="22"/>
          <w:szCs w:val="22"/>
          <w:lang w:eastAsia="es-DO" w:bidi="ar-SA"/>
        </w:rPr>
      </w:pPr>
      <w:hyperlink w:anchor="_Toc27146812" w:history="1">
        <w:r w:rsidR="0059163A" w:rsidRPr="005303F6">
          <w:rPr>
            <w:rStyle w:val="Hipervnculo"/>
            <w:sz w:val="22"/>
            <w:szCs w:val="22"/>
          </w:rPr>
          <w:t>c) Indicador sobre el cumplimiento del Sistema de Monitoreo de la Administración Pública, SISMAP</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_Toc27146812 \h </w:instrText>
        </w:r>
        <w:r w:rsidR="0059163A" w:rsidRPr="005303F6">
          <w:rPr>
            <w:webHidden/>
            <w:sz w:val="22"/>
            <w:szCs w:val="22"/>
          </w:rPr>
        </w:r>
        <w:r w:rsidR="0059163A" w:rsidRPr="005303F6">
          <w:rPr>
            <w:webHidden/>
            <w:sz w:val="22"/>
            <w:szCs w:val="22"/>
          </w:rPr>
          <w:fldChar w:fldCharType="separate"/>
        </w:r>
        <w:r w:rsidR="005303F6">
          <w:rPr>
            <w:webHidden/>
            <w:sz w:val="22"/>
            <w:szCs w:val="22"/>
          </w:rPr>
          <w:t>158</w:t>
        </w:r>
        <w:r w:rsidR="0059163A" w:rsidRPr="005303F6">
          <w:rPr>
            <w:webHidden/>
            <w:sz w:val="22"/>
            <w:szCs w:val="22"/>
          </w:rPr>
          <w:fldChar w:fldCharType="end"/>
        </w:r>
      </w:hyperlink>
    </w:p>
    <w:p w14:paraId="475E3520" w14:textId="77777777" w:rsidR="0059163A" w:rsidRPr="005303F6" w:rsidRDefault="0083125C">
      <w:pPr>
        <w:pStyle w:val="TDC3"/>
        <w:rPr>
          <w:rFonts w:eastAsiaTheme="minorEastAsia"/>
          <w:b w:val="0"/>
          <w:iCs w:val="0"/>
          <w:sz w:val="22"/>
          <w:szCs w:val="22"/>
          <w:lang w:val="es-DO" w:eastAsia="es-DO" w:bidi="ar-SA"/>
        </w:rPr>
      </w:pPr>
      <w:hyperlink w:anchor="_Toc27146813" w:history="1">
        <w:r w:rsidR="0059163A" w:rsidRPr="005303F6">
          <w:rPr>
            <w:rStyle w:val="Hipervnculo"/>
            <w:sz w:val="22"/>
            <w:szCs w:val="22"/>
          </w:rPr>
          <w:t>Gestión de la Administración Pública (SISMAP)</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_Toc27146813 \h </w:instrText>
        </w:r>
        <w:r w:rsidR="0059163A" w:rsidRPr="005303F6">
          <w:rPr>
            <w:webHidden/>
            <w:sz w:val="22"/>
            <w:szCs w:val="22"/>
          </w:rPr>
        </w:r>
        <w:r w:rsidR="0059163A" w:rsidRPr="005303F6">
          <w:rPr>
            <w:webHidden/>
            <w:sz w:val="22"/>
            <w:szCs w:val="22"/>
          </w:rPr>
          <w:fldChar w:fldCharType="separate"/>
        </w:r>
        <w:r w:rsidR="005303F6">
          <w:rPr>
            <w:webHidden/>
            <w:sz w:val="22"/>
            <w:szCs w:val="22"/>
          </w:rPr>
          <w:t>161</w:t>
        </w:r>
        <w:r w:rsidR="0059163A" w:rsidRPr="005303F6">
          <w:rPr>
            <w:webHidden/>
            <w:sz w:val="22"/>
            <w:szCs w:val="22"/>
          </w:rPr>
          <w:fldChar w:fldCharType="end"/>
        </w:r>
      </w:hyperlink>
    </w:p>
    <w:p w14:paraId="0428EE43"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14" w:history="1">
        <w:r w:rsidR="0059163A" w:rsidRPr="005303F6">
          <w:rPr>
            <w:rStyle w:val="Hipervnculo"/>
            <w:rFonts w:ascii="Times New Roman" w:eastAsiaTheme="majorEastAsia" w:hAnsi="Times New Roman"/>
            <w:noProof/>
            <w:sz w:val="22"/>
            <w:szCs w:val="22"/>
            <w:lang w:bidi="en-US"/>
          </w:rPr>
          <w:t>Planificación de RR.HH.</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_Toc27146814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161</w:t>
        </w:r>
        <w:r w:rsidR="0059163A" w:rsidRPr="005303F6">
          <w:rPr>
            <w:rFonts w:ascii="Times New Roman" w:hAnsi="Times New Roman"/>
            <w:noProof/>
            <w:webHidden/>
            <w:sz w:val="22"/>
            <w:szCs w:val="22"/>
          </w:rPr>
          <w:fldChar w:fldCharType="end"/>
        </w:r>
      </w:hyperlink>
    </w:p>
    <w:p w14:paraId="31492774"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15" w:history="1">
        <w:r w:rsidR="0059163A" w:rsidRPr="005303F6">
          <w:rPr>
            <w:rStyle w:val="Hipervnculo"/>
            <w:rFonts w:ascii="Times New Roman" w:eastAsiaTheme="majorEastAsia" w:hAnsi="Times New Roman"/>
            <w:noProof/>
            <w:sz w:val="22"/>
            <w:szCs w:val="22"/>
            <w:lang w:bidi="en-US"/>
          </w:rPr>
          <w:t>Organización del Trabajo</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_Toc27146815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163</w:t>
        </w:r>
        <w:r w:rsidR="0059163A" w:rsidRPr="005303F6">
          <w:rPr>
            <w:rFonts w:ascii="Times New Roman" w:hAnsi="Times New Roman"/>
            <w:noProof/>
            <w:webHidden/>
            <w:sz w:val="22"/>
            <w:szCs w:val="22"/>
          </w:rPr>
          <w:fldChar w:fldCharType="end"/>
        </w:r>
      </w:hyperlink>
    </w:p>
    <w:p w14:paraId="5E7B5FEF"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16" w:history="1">
        <w:r w:rsidR="0059163A" w:rsidRPr="005303F6">
          <w:rPr>
            <w:rStyle w:val="Hipervnculo"/>
            <w:rFonts w:ascii="Times New Roman" w:eastAsiaTheme="majorEastAsia" w:hAnsi="Times New Roman"/>
            <w:noProof/>
            <w:sz w:val="22"/>
            <w:szCs w:val="22"/>
            <w:lang w:bidi="en-US"/>
          </w:rPr>
          <w:t>Gestión del Empleo</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_Toc27146816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165</w:t>
        </w:r>
        <w:r w:rsidR="0059163A" w:rsidRPr="005303F6">
          <w:rPr>
            <w:rFonts w:ascii="Times New Roman" w:hAnsi="Times New Roman"/>
            <w:noProof/>
            <w:webHidden/>
            <w:sz w:val="22"/>
            <w:szCs w:val="22"/>
          </w:rPr>
          <w:fldChar w:fldCharType="end"/>
        </w:r>
      </w:hyperlink>
    </w:p>
    <w:p w14:paraId="3E1C4903"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17" w:history="1">
        <w:r w:rsidR="0059163A" w:rsidRPr="005303F6">
          <w:rPr>
            <w:rStyle w:val="Hipervnculo"/>
            <w:rFonts w:ascii="Times New Roman" w:eastAsiaTheme="majorEastAsia" w:hAnsi="Times New Roman"/>
            <w:noProof/>
            <w:sz w:val="22"/>
            <w:szCs w:val="22"/>
            <w:lang w:bidi="en-US"/>
          </w:rPr>
          <w:t>Gestión del Rendimiento</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_Toc27146817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169</w:t>
        </w:r>
        <w:r w:rsidR="0059163A" w:rsidRPr="005303F6">
          <w:rPr>
            <w:rFonts w:ascii="Times New Roman" w:hAnsi="Times New Roman"/>
            <w:noProof/>
            <w:webHidden/>
            <w:sz w:val="22"/>
            <w:szCs w:val="22"/>
          </w:rPr>
          <w:fldChar w:fldCharType="end"/>
        </w:r>
      </w:hyperlink>
    </w:p>
    <w:p w14:paraId="5E29D539"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18" w:history="1">
        <w:r w:rsidR="0059163A" w:rsidRPr="005303F6">
          <w:rPr>
            <w:rStyle w:val="Hipervnculo"/>
            <w:rFonts w:ascii="Times New Roman" w:eastAsiaTheme="majorEastAsia" w:hAnsi="Times New Roman"/>
            <w:noProof/>
            <w:sz w:val="22"/>
            <w:szCs w:val="22"/>
            <w:lang w:bidi="en-US"/>
          </w:rPr>
          <w:t>Gestión de Compensación</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_Toc27146818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169</w:t>
        </w:r>
        <w:r w:rsidR="0059163A" w:rsidRPr="005303F6">
          <w:rPr>
            <w:rFonts w:ascii="Times New Roman" w:hAnsi="Times New Roman"/>
            <w:noProof/>
            <w:webHidden/>
            <w:sz w:val="22"/>
            <w:szCs w:val="22"/>
          </w:rPr>
          <w:fldChar w:fldCharType="end"/>
        </w:r>
      </w:hyperlink>
    </w:p>
    <w:p w14:paraId="05E5E372"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19" w:history="1">
        <w:r w:rsidR="0059163A" w:rsidRPr="005303F6">
          <w:rPr>
            <w:rStyle w:val="Hipervnculo"/>
            <w:rFonts w:ascii="Times New Roman" w:eastAsiaTheme="majorEastAsia" w:hAnsi="Times New Roman"/>
            <w:noProof/>
            <w:sz w:val="22"/>
            <w:szCs w:val="22"/>
            <w:lang w:bidi="en-US"/>
          </w:rPr>
          <w:t>Gestión del Desarrollo</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_Toc27146819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170</w:t>
        </w:r>
        <w:r w:rsidR="0059163A" w:rsidRPr="005303F6">
          <w:rPr>
            <w:rFonts w:ascii="Times New Roman" w:hAnsi="Times New Roman"/>
            <w:noProof/>
            <w:webHidden/>
            <w:sz w:val="22"/>
            <w:szCs w:val="22"/>
          </w:rPr>
          <w:fldChar w:fldCharType="end"/>
        </w:r>
      </w:hyperlink>
    </w:p>
    <w:p w14:paraId="5F5349EE"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20" w:history="1">
        <w:r w:rsidR="0059163A" w:rsidRPr="005303F6">
          <w:rPr>
            <w:rStyle w:val="Hipervnculo"/>
            <w:rFonts w:ascii="Times New Roman" w:eastAsiaTheme="majorEastAsia" w:hAnsi="Times New Roman"/>
            <w:noProof/>
            <w:sz w:val="22"/>
            <w:szCs w:val="22"/>
            <w:lang w:bidi="en-US"/>
          </w:rPr>
          <w:t>Gestión de Relaciones Humanas y Sociales</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_Toc27146820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174</w:t>
        </w:r>
        <w:r w:rsidR="0059163A" w:rsidRPr="005303F6">
          <w:rPr>
            <w:rFonts w:ascii="Times New Roman" w:hAnsi="Times New Roman"/>
            <w:noProof/>
            <w:webHidden/>
            <w:sz w:val="22"/>
            <w:szCs w:val="22"/>
          </w:rPr>
          <w:fldChar w:fldCharType="end"/>
        </w:r>
      </w:hyperlink>
    </w:p>
    <w:p w14:paraId="19480E2C"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21" w:history="1">
        <w:r w:rsidR="0059163A" w:rsidRPr="005303F6">
          <w:rPr>
            <w:rStyle w:val="Hipervnculo"/>
            <w:rFonts w:ascii="Times New Roman" w:eastAsiaTheme="majorEastAsia" w:hAnsi="Times New Roman"/>
            <w:noProof/>
            <w:sz w:val="22"/>
            <w:szCs w:val="22"/>
            <w:lang w:bidi="en-US"/>
          </w:rPr>
          <w:t>Organización de la Función de Recursos Humanos</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_Toc27146821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178</w:t>
        </w:r>
        <w:r w:rsidR="0059163A" w:rsidRPr="005303F6">
          <w:rPr>
            <w:rFonts w:ascii="Times New Roman" w:hAnsi="Times New Roman"/>
            <w:noProof/>
            <w:webHidden/>
            <w:sz w:val="22"/>
            <w:szCs w:val="22"/>
          </w:rPr>
          <w:fldChar w:fldCharType="end"/>
        </w:r>
      </w:hyperlink>
    </w:p>
    <w:p w14:paraId="7C54783C"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22" w:history="1">
        <w:r w:rsidR="0059163A" w:rsidRPr="005303F6">
          <w:rPr>
            <w:rStyle w:val="Hipervnculo"/>
            <w:rFonts w:ascii="Times New Roman" w:eastAsiaTheme="majorEastAsia" w:hAnsi="Times New Roman"/>
            <w:noProof/>
            <w:sz w:val="22"/>
            <w:szCs w:val="22"/>
            <w:lang w:bidi="en-US"/>
          </w:rPr>
          <w:t>Gestión de la Calidad</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_Toc27146822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179</w:t>
        </w:r>
        <w:r w:rsidR="0059163A" w:rsidRPr="005303F6">
          <w:rPr>
            <w:rFonts w:ascii="Times New Roman" w:hAnsi="Times New Roman"/>
            <w:noProof/>
            <w:webHidden/>
            <w:sz w:val="22"/>
            <w:szCs w:val="22"/>
          </w:rPr>
          <w:fldChar w:fldCharType="end"/>
        </w:r>
      </w:hyperlink>
    </w:p>
    <w:p w14:paraId="4F959639" w14:textId="77777777" w:rsidR="0059163A" w:rsidRPr="005303F6" w:rsidRDefault="0083125C">
      <w:pPr>
        <w:pStyle w:val="TDC2"/>
        <w:rPr>
          <w:rFonts w:eastAsiaTheme="minorEastAsia"/>
          <w:b w:val="0"/>
          <w:smallCaps w:val="0"/>
          <w:sz w:val="22"/>
          <w:szCs w:val="22"/>
          <w:lang w:eastAsia="es-DO" w:bidi="ar-SA"/>
        </w:rPr>
      </w:pPr>
      <w:hyperlink w:anchor="_Toc27146823" w:history="1">
        <w:r w:rsidR="0059163A" w:rsidRPr="005303F6">
          <w:rPr>
            <w:rStyle w:val="Hipervnculo"/>
            <w:sz w:val="22"/>
            <w:szCs w:val="22"/>
          </w:rPr>
          <w:t>d) Indicador sobre el uso de TIC e Implementación de Gobierno Electrónico, ITICge</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_Toc27146823 \h </w:instrText>
        </w:r>
        <w:r w:rsidR="0059163A" w:rsidRPr="005303F6">
          <w:rPr>
            <w:webHidden/>
            <w:sz w:val="22"/>
            <w:szCs w:val="22"/>
          </w:rPr>
        </w:r>
        <w:r w:rsidR="0059163A" w:rsidRPr="005303F6">
          <w:rPr>
            <w:webHidden/>
            <w:sz w:val="22"/>
            <w:szCs w:val="22"/>
          </w:rPr>
          <w:fldChar w:fldCharType="separate"/>
        </w:r>
        <w:r w:rsidR="005303F6">
          <w:rPr>
            <w:webHidden/>
            <w:sz w:val="22"/>
            <w:szCs w:val="22"/>
          </w:rPr>
          <w:t>182</w:t>
        </w:r>
        <w:r w:rsidR="0059163A" w:rsidRPr="005303F6">
          <w:rPr>
            <w:webHidden/>
            <w:sz w:val="22"/>
            <w:szCs w:val="22"/>
          </w:rPr>
          <w:fldChar w:fldCharType="end"/>
        </w:r>
      </w:hyperlink>
    </w:p>
    <w:p w14:paraId="38B0EF6F" w14:textId="77777777" w:rsidR="0059163A" w:rsidRPr="005303F6" w:rsidRDefault="0083125C">
      <w:pPr>
        <w:pStyle w:val="TDC3"/>
        <w:rPr>
          <w:rFonts w:eastAsiaTheme="minorEastAsia"/>
          <w:b w:val="0"/>
          <w:iCs w:val="0"/>
          <w:sz w:val="22"/>
          <w:szCs w:val="22"/>
          <w:lang w:val="es-DO" w:eastAsia="es-DO" w:bidi="ar-SA"/>
        </w:rPr>
      </w:pPr>
      <w:hyperlink w:anchor="_Toc27146824" w:history="1">
        <w:r w:rsidR="0059163A" w:rsidRPr="005303F6">
          <w:rPr>
            <w:rStyle w:val="Hipervnculo"/>
            <w:sz w:val="22"/>
            <w:szCs w:val="22"/>
          </w:rPr>
          <w:t>Gestión sobre el uso de las Tecnologías de la Información y Comunicación (TIC) e implementación de Gobierno Electrónico</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_Toc27146824 \h </w:instrText>
        </w:r>
        <w:r w:rsidR="0059163A" w:rsidRPr="005303F6">
          <w:rPr>
            <w:webHidden/>
            <w:sz w:val="22"/>
            <w:szCs w:val="22"/>
          </w:rPr>
        </w:r>
        <w:r w:rsidR="0059163A" w:rsidRPr="005303F6">
          <w:rPr>
            <w:webHidden/>
            <w:sz w:val="22"/>
            <w:szCs w:val="22"/>
          </w:rPr>
          <w:fldChar w:fldCharType="separate"/>
        </w:r>
        <w:r w:rsidR="005303F6">
          <w:rPr>
            <w:webHidden/>
            <w:sz w:val="22"/>
            <w:szCs w:val="22"/>
          </w:rPr>
          <w:t>184</w:t>
        </w:r>
        <w:r w:rsidR="0059163A" w:rsidRPr="005303F6">
          <w:rPr>
            <w:webHidden/>
            <w:sz w:val="22"/>
            <w:szCs w:val="22"/>
          </w:rPr>
          <w:fldChar w:fldCharType="end"/>
        </w:r>
      </w:hyperlink>
    </w:p>
    <w:p w14:paraId="76DE5049"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25" w:history="1">
        <w:r w:rsidR="0059163A" w:rsidRPr="005303F6">
          <w:rPr>
            <w:rStyle w:val="Hipervnculo"/>
            <w:rFonts w:ascii="Times New Roman" w:eastAsiaTheme="majorEastAsia" w:hAnsi="Times New Roman"/>
            <w:noProof/>
            <w:sz w:val="22"/>
            <w:szCs w:val="22"/>
            <w:lang w:bidi="en-US"/>
          </w:rPr>
          <w:t>Implementación Gobierno Electrónico</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_Toc27146825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185</w:t>
        </w:r>
        <w:r w:rsidR="0059163A" w:rsidRPr="005303F6">
          <w:rPr>
            <w:rFonts w:ascii="Times New Roman" w:hAnsi="Times New Roman"/>
            <w:noProof/>
            <w:webHidden/>
            <w:sz w:val="22"/>
            <w:szCs w:val="22"/>
          </w:rPr>
          <w:fldChar w:fldCharType="end"/>
        </w:r>
      </w:hyperlink>
    </w:p>
    <w:p w14:paraId="49BAEDFD"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26" w:history="1">
        <w:r w:rsidR="0059163A" w:rsidRPr="005303F6">
          <w:rPr>
            <w:rStyle w:val="Hipervnculo"/>
            <w:rFonts w:ascii="Times New Roman" w:eastAsiaTheme="majorEastAsia" w:hAnsi="Times New Roman"/>
            <w:noProof/>
            <w:sz w:val="22"/>
            <w:szCs w:val="22"/>
            <w:lang w:bidi="en-US"/>
          </w:rPr>
          <w:t>Gestión de redes sociales</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_Toc27146826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186</w:t>
        </w:r>
        <w:r w:rsidR="0059163A" w:rsidRPr="005303F6">
          <w:rPr>
            <w:rFonts w:ascii="Times New Roman" w:hAnsi="Times New Roman"/>
            <w:noProof/>
            <w:webHidden/>
            <w:sz w:val="22"/>
            <w:szCs w:val="22"/>
          </w:rPr>
          <w:fldChar w:fldCharType="end"/>
        </w:r>
      </w:hyperlink>
    </w:p>
    <w:p w14:paraId="2348EB4A" w14:textId="77777777" w:rsidR="0059163A" w:rsidRPr="005303F6" w:rsidRDefault="0083125C">
      <w:pPr>
        <w:pStyle w:val="TDC2"/>
        <w:rPr>
          <w:rFonts w:eastAsiaTheme="minorEastAsia"/>
          <w:b w:val="0"/>
          <w:smallCaps w:val="0"/>
          <w:sz w:val="22"/>
          <w:szCs w:val="22"/>
          <w:lang w:eastAsia="es-DO" w:bidi="ar-SA"/>
        </w:rPr>
      </w:pPr>
      <w:hyperlink w:anchor="_Toc27146827" w:history="1">
        <w:r w:rsidR="0059163A" w:rsidRPr="005303F6">
          <w:rPr>
            <w:rStyle w:val="Hipervnculo"/>
            <w:sz w:val="22"/>
            <w:szCs w:val="22"/>
          </w:rPr>
          <w:t>e) Indicador sobre la implementación de las Normas Básicas de Control Interno, NOBACI</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_Toc27146827 \h </w:instrText>
        </w:r>
        <w:r w:rsidR="0059163A" w:rsidRPr="005303F6">
          <w:rPr>
            <w:webHidden/>
            <w:sz w:val="22"/>
            <w:szCs w:val="22"/>
          </w:rPr>
        </w:r>
        <w:r w:rsidR="0059163A" w:rsidRPr="005303F6">
          <w:rPr>
            <w:webHidden/>
            <w:sz w:val="22"/>
            <w:szCs w:val="22"/>
          </w:rPr>
          <w:fldChar w:fldCharType="separate"/>
        </w:r>
        <w:r w:rsidR="005303F6">
          <w:rPr>
            <w:webHidden/>
            <w:sz w:val="22"/>
            <w:szCs w:val="22"/>
          </w:rPr>
          <w:t>187</w:t>
        </w:r>
        <w:r w:rsidR="0059163A" w:rsidRPr="005303F6">
          <w:rPr>
            <w:webHidden/>
            <w:sz w:val="22"/>
            <w:szCs w:val="22"/>
          </w:rPr>
          <w:fldChar w:fldCharType="end"/>
        </w:r>
      </w:hyperlink>
    </w:p>
    <w:p w14:paraId="3F772A55" w14:textId="77777777" w:rsidR="0059163A" w:rsidRPr="005303F6" w:rsidRDefault="0083125C">
      <w:pPr>
        <w:pStyle w:val="TDC2"/>
        <w:rPr>
          <w:rFonts w:eastAsiaTheme="minorEastAsia"/>
          <w:b w:val="0"/>
          <w:smallCaps w:val="0"/>
          <w:sz w:val="22"/>
          <w:szCs w:val="22"/>
          <w:lang w:eastAsia="es-DO" w:bidi="ar-SA"/>
        </w:rPr>
      </w:pPr>
      <w:hyperlink w:anchor="_Toc27146828" w:history="1">
        <w:r w:rsidR="0059163A" w:rsidRPr="005303F6">
          <w:rPr>
            <w:rStyle w:val="Hipervnculo"/>
            <w:sz w:val="22"/>
            <w:szCs w:val="22"/>
          </w:rPr>
          <w:t>f) indicador sobre cumplimiento de la Ley no. 200-04, sobre Libre Acceso a la Información Pública.</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_Toc27146828 \h </w:instrText>
        </w:r>
        <w:r w:rsidR="0059163A" w:rsidRPr="005303F6">
          <w:rPr>
            <w:webHidden/>
            <w:sz w:val="22"/>
            <w:szCs w:val="22"/>
          </w:rPr>
        </w:r>
        <w:r w:rsidR="0059163A" w:rsidRPr="005303F6">
          <w:rPr>
            <w:webHidden/>
            <w:sz w:val="22"/>
            <w:szCs w:val="22"/>
          </w:rPr>
          <w:fldChar w:fldCharType="separate"/>
        </w:r>
        <w:r w:rsidR="005303F6">
          <w:rPr>
            <w:webHidden/>
            <w:sz w:val="22"/>
            <w:szCs w:val="22"/>
          </w:rPr>
          <w:t>189</w:t>
        </w:r>
        <w:r w:rsidR="0059163A" w:rsidRPr="005303F6">
          <w:rPr>
            <w:webHidden/>
            <w:sz w:val="22"/>
            <w:szCs w:val="22"/>
          </w:rPr>
          <w:fldChar w:fldCharType="end"/>
        </w:r>
      </w:hyperlink>
    </w:p>
    <w:p w14:paraId="599FDE69" w14:textId="77777777" w:rsidR="0059163A" w:rsidRPr="005303F6" w:rsidRDefault="0083125C">
      <w:pPr>
        <w:pStyle w:val="TDC3"/>
        <w:rPr>
          <w:rFonts w:eastAsiaTheme="minorEastAsia"/>
          <w:b w:val="0"/>
          <w:iCs w:val="0"/>
          <w:sz w:val="22"/>
          <w:szCs w:val="22"/>
          <w:lang w:val="es-DO" w:eastAsia="es-DO" w:bidi="ar-SA"/>
        </w:rPr>
      </w:pPr>
      <w:hyperlink w:anchor="_Toc27146829" w:history="1">
        <w:r w:rsidR="0059163A" w:rsidRPr="005303F6">
          <w:rPr>
            <w:rStyle w:val="Hipervnculo"/>
            <w:sz w:val="22"/>
            <w:szCs w:val="22"/>
          </w:rPr>
          <w:t>Gestión de consultas y acceso a la información pública</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_Toc27146829 \h </w:instrText>
        </w:r>
        <w:r w:rsidR="0059163A" w:rsidRPr="005303F6">
          <w:rPr>
            <w:webHidden/>
            <w:sz w:val="22"/>
            <w:szCs w:val="22"/>
          </w:rPr>
        </w:r>
        <w:r w:rsidR="0059163A" w:rsidRPr="005303F6">
          <w:rPr>
            <w:webHidden/>
            <w:sz w:val="22"/>
            <w:szCs w:val="22"/>
          </w:rPr>
          <w:fldChar w:fldCharType="separate"/>
        </w:r>
        <w:r w:rsidR="005303F6">
          <w:rPr>
            <w:webHidden/>
            <w:sz w:val="22"/>
            <w:szCs w:val="22"/>
          </w:rPr>
          <w:t>190</w:t>
        </w:r>
        <w:r w:rsidR="0059163A" w:rsidRPr="005303F6">
          <w:rPr>
            <w:webHidden/>
            <w:sz w:val="22"/>
            <w:szCs w:val="22"/>
          </w:rPr>
          <w:fldChar w:fldCharType="end"/>
        </w:r>
      </w:hyperlink>
    </w:p>
    <w:p w14:paraId="652452AF"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30" w:history="1">
        <w:r w:rsidR="0059163A" w:rsidRPr="005303F6">
          <w:rPr>
            <w:rStyle w:val="Hipervnculo"/>
            <w:rFonts w:ascii="Times New Roman" w:eastAsiaTheme="majorEastAsia" w:hAnsi="Times New Roman"/>
            <w:noProof/>
            <w:sz w:val="22"/>
            <w:szCs w:val="22"/>
            <w:lang w:bidi="en-US"/>
          </w:rPr>
          <w:t>Respuesta a solicitudes de información de ciudadanos</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_Toc27146830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191</w:t>
        </w:r>
        <w:r w:rsidR="0059163A" w:rsidRPr="005303F6">
          <w:rPr>
            <w:rFonts w:ascii="Times New Roman" w:hAnsi="Times New Roman"/>
            <w:noProof/>
            <w:webHidden/>
            <w:sz w:val="22"/>
            <w:szCs w:val="22"/>
          </w:rPr>
          <w:fldChar w:fldCharType="end"/>
        </w:r>
      </w:hyperlink>
    </w:p>
    <w:p w14:paraId="3D84FD09"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31" w:history="1">
        <w:r w:rsidR="0059163A" w:rsidRPr="005303F6">
          <w:rPr>
            <w:rStyle w:val="Hipervnculo"/>
            <w:rFonts w:ascii="Times New Roman" w:eastAsiaTheme="majorEastAsia" w:hAnsi="Times New Roman"/>
            <w:noProof/>
            <w:sz w:val="22"/>
            <w:szCs w:val="22"/>
            <w:lang w:bidi="en-US"/>
          </w:rPr>
          <w:t>Respuesta a consultas de información de ciudadanos</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_Toc27146831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192</w:t>
        </w:r>
        <w:r w:rsidR="0059163A" w:rsidRPr="005303F6">
          <w:rPr>
            <w:rFonts w:ascii="Times New Roman" w:hAnsi="Times New Roman"/>
            <w:noProof/>
            <w:webHidden/>
            <w:sz w:val="22"/>
            <w:szCs w:val="22"/>
          </w:rPr>
          <w:fldChar w:fldCharType="end"/>
        </w:r>
      </w:hyperlink>
    </w:p>
    <w:p w14:paraId="31EC069B"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32" w:history="1">
        <w:r w:rsidR="0059163A" w:rsidRPr="005303F6">
          <w:rPr>
            <w:rStyle w:val="Hipervnculo"/>
            <w:rFonts w:ascii="Times New Roman" w:eastAsiaTheme="majorEastAsia" w:hAnsi="Times New Roman"/>
            <w:noProof/>
            <w:sz w:val="22"/>
            <w:szCs w:val="22"/>
            <w:lang w:bidi="en-US"/>
          </w:rPr>
          <w:t>Gestión del sistema 3-1-1 atención ciudadana</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_Toc27146832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193</w:t>
        </w:r>
        <w:r w:rsidR="0059163A" w:rsidRPr="005303F6">
          <w:rPr>
            <w:rFonts w:ascii="Times New Roman" w:hAnsi="Times New Roman"/>
            <w:noProof/>
            <w:webHidden/>
            <w:sz w:val="22"/>
            <w:szCs w:val="22"/>
          </w:rPr>
          <w:fldChar w:fldCharType="end"/>
        </w:r>
      </w:hyperlink>
    </w:p>
    <w:p w14:paraId="46C634F6"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33" w:history="1">
        <w:r w:rsidR="0059163A" w:rsidRPr="005303F6">
          <w:rPr>
            <w:rStyle w:val="Hipervnculo"/>
            <w:rFonts w:ascii="Times New Roman" w:eastAsiaTheme="majorEastAsia" w:hAnsi="Times New Roman"/>
            <w:noProof/>
            <w:sz w:val="22"/>
            <w:szCs w:val="22"/>
            <w:lang w:bidi="en-US"/>
          </w:rPr>
          <w:t>Gobierno Abierto</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_Toc27146833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195</w:t>
        </w:r>
        <w:r w:rsidR="0059163A" w:rsidRPr="005303F6">
          <w:rPr>
            <w:rFonts w:ascii="Times New Roman" w:hAnsi="Times New Roman"/>
            <w:noProof/>
            <w:webHidden/>
            <w:sz w:val="22"/>
            <w:szCs w:val="22"/>
          </w:rPr>
          <w:fldChar w:fldCharType="end"/>
        </w:r>
      </w:hyperlink>
    </w:p>
    <w:p w14:paraId="3CEA943D"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34" w:history="1">
        <w:r w:rsidR="0059163A" w:rsidRPr="005303F6">
          <w:rPr>
            <w:rStyle w:val="Hipervnculo"/>
            <w:rFonts w:ascii="Times New Roman" w:eastAsiaTheme="majorEastAsia" w:hAnsi="Times New Roman"/>
            <w:noProof/>
            <w:sz w:val="22"/>
            <w:szCs w:val="22"/>
            <w:lang w:bidi="en-US"/>
          </w:rPr>
          <w:t>Sistema Transaccional Documental (TRANSDOC)</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_Toc27146834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197</w:t>
        </w:r>
        <w:r w:rsidR="0059163A" w:rsidRPr="005303F6">
          <w:rPr>
            <w:rFonts w:ascii="Times New Roman" w:hAnsi="Times New Roman"/>
            <w:noProof/>
            <w:webHidden/>
            <w:sz w:val="22"/>
            <w:szCs w:val="22"/>
          </w:rPr>
          <w:fldChar w:fldCharType="end"/>
        </w:r>
      </w:hyperlink>
    </w:p>
    <w:p w14:paraId="0E45BDF5"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35" w:history="1">
        <w:r w:rsidR="0059163A" w:rsidRPr="005303F6">
          <w:rPr>
            <w:rStyle w:val="Hipervnculo"/>
            <w:rFonts w:ascii="Times New Roman" w:eastAsiaTheme="majorEastAsia" w:hAnsi="Times New Roman"/>
            <w:noProof/>
            <w:sz w:val="22"/>
            <w:szCs w:val="22"/>
            <w:lang w:bidi="en-US"/>
          </w:rPr>
          <w:t>Establecimiento de comisiones y comité e iniciativas para la participación ciudadana</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_Toc27146835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199</w:t>
        </w:r>
        <w:r w:rsidR="0059163A" w:rsidRPr="005303F6">
          <w:rPr>
            <w:rFonts w:ascii="Times New Roman" w:hAnsi="Times New Roman"/>
            <w:noProof/>
            <w:webHidden/>
            <w:sz w:val="22"/>
            <w:szCs w:val="22"/>
          </w:rPr>
          <w:fldChar w:fldCharType="end"/>
        </w:r>
      </w:hyperlink>
    </w:p>
    <w:p w14:paraId="249512A8"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36" w:history="1">
        <w:r w:rsidR="0059163A" w:rsidRPr="005303F6">
          <w:rPr>
            <w:rStyle w:val="Hipervnculo"/>
            <w:rFonts w:ascii="Times New Roman" w:eastAsiaTheme="majorEastAsia" w:hAnsi="Times New Roman"/>
            <w:noProof/>
            <w:sz w:val="22"/>
            <w:szCs w:val="22"/>
            <w:lang w:bidi="en-US"/>
          </w:rPr>
          <w:t>Declaraciones juradas personales</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_Toc27146836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201</w:t>
        </w:r>
        <w:r w:rsidR="0059163A" w:rsidRPr="005303F6">
          <w:rPr>
            <w:rFonts w:ascii="Times New Roman" w:hAnsi="Times New Roman"/>
            <w:noProof/>
            <w:webHidden/>
            <w:sz w:val="22"/>
            <w:szCs w:val="22"/>
          </w:rPr>
          <w:fldChar w:fldCharType="end"/>
        </w:r>
      </w:hyperlink>
    </w:p>
    <w:p w14:paraId="05F988C8" w14:textId="77777777" w:rsidR="0059163A" w:rsidRPr="005303F6" w:rsidRDefault="0083125C">
      <w:pPr>
        <w:pStyle w:val="TDC2"/>
        <w:rPr>
          <w:rFonts w:eastAsiaTheme="minorEastAsia"/>
          <w:b w:val="0"/>
          <w:smallCaps w:val="0"/>
          <w:sz w:val="22"/>
          <w:szCs w:val="22"/>
          <w:lang w:eastAsia="es-DO" w:bidi="ar-SA"/>
        </w:rPr>
      </w:pPr>
      <w:hyperlink w:anchor="_Toc27146837" w:history="1">
        <w:r w:rsidR="0059163A" w:rsidRPr="005303F6">
          <w:rPr>
            <w:rStyle w:val="Hipervnculo"/>
            <w:sz w:val="22"/>
            <w:szCs w:val="22"/>
          </w:rPr>
          <w:t>g) Indicador de Gestión Presupuestaria</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_Toc27146837 \h </w:instrText>
        </w:r>
        <w:r w:rsidR="0059163A" w:rsidRPr="005303F6">
          <w:rPr>
            <w:webHidden/>
            <w:sz w:val="22"/>
            <w:szCs w:val="22"/>
          </w:rPr>
        </w:r>
        <w:r w:rsidR="0059163A" w:rsidRPr="005303F6">
          <w:rPr>
            <w:webHidden/>
            <w:sz w:val="22"/>
            <w:szCs w:val="22"/>
          </w:rPr>
          <w:fldChar w:fldCharType="separate"/>
        </w:r>
        <w:r w:rsidR="005303F6">
          <w:rPr>
            <w:webHidden/>
            <w:sz w:val="22"/>
            <w:szCs w:val="22"/>
          </w:rPr>
          <w:t>202</w:t>
        </w:r>
        <w:r w:rsidR="0059163A" w:rsidRPr="005303F6">
          <w:rPr>
            <w:webHidden/>
            <w:sz w:val="22"/>
            <w:szCs w:val="22"/>
          </w:rPr>
          <w:fldChar w:fldCharType="end"/>
        </w:r>
      </w:hyperlink>
    </w:p>
    <w:p w14:paraId="51011AA6" w14:textId="77777777" w:rsidR="0059163A" w:rsidRPr="005303F6" w:rsidRDefault="0083125C">
      <w:pPr>
        <w:pStyle w:val="TDC3"/>
        <w:rPr>
          <w:rFonts w:eastAsiaTheme="minorEastAsia"/>
          <w:b w:val="0"/>
          <w:iCs w:val="0"/>
          <w:sz w:val="22"/>
          <w:szCs w:val="22"/>
          <w:lang w:val="es-DO" w:eastAsia="es-DO" w:bidi="ar-SA"/>
        </w:rPr>
      </w:pPr>
      <w:hyperlink w:anchor="_Toc27146838" w:history="1">
        <w:r w:rsidR="0059163A" w:rsidRPr="005303F6">
          <w:rPr>
            <w:rStyle w:val="Hipervnculo"/>
            <w:sz w:val="22"/>
            <w:szCs w:val="22"/>
          </w:rPr>
          <w:t>Desempeño financiero del presupuesto</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_Toc27146838 \h </w:instrText>
        </w:r>
        <w:r w:rsidR="0059163A" w:rsidRPr="005303F6">
          <w:rPr>
            <w:webHidden/>
            <w:sz w:val="22"/>
            <w:szCs w:val="22"/>
          </w:rPr>
        </w:r>
        <w:r w:rsidR="0059163A" w:rsidRPr="005303F6">
          <w:rPr>
            <w:webHidden/>
            <w:sz w:val="22"/>
            <w:szCs w:val="22"/>
          </w:rPr>
          <w:fldChar w:fldCharType="separate"/>
        </w:r>
        <w:r w:rsidR="005303F6">
          <w:rPr>
            <w:webHidden/>
            <w:sz w:val="22"/>
            <w:szCs w:val="22"/>
          </w:rPr>
          <w:t>205</w:t>
        </w:r>
        <w:r w:rsidR="0059163A" w:rsidRPr="005303F6">
          <w:rPr>
            <w:webHidden/>
            <w:sz w:val="22"/>
            <w:szCs w:val="22"/>
          </w:rPr>
          <w:fldChar w:fldCharType="end"/>
        </w:r>
      </w:hyperlink>
    </w:p>
    <w:p w14:paraId="326842C6"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39" w:history="1">
        <w:r w:rsidR="0059163A" w:rsidRPr="005303F6">
          <w:rPr>
            <w:rStyle w:val="Hipervnculo"/>
            <w:rFonts w:ascii="Times New Roman" w:eastAsiaTheme="majorEastAsia" w:hAnsi="Times New Roman"/>
            <w:noProof/>
            <w:sz w:val="22"/>
            <w:szCs w:val="22"/>
            <w:lang w:bidi="en-US"/>
          </w:rPr>
          <w:t>Asignación del Presupuesto</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_Toc27146839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205</w:t>
        </w:r>
        <w:r w:rsidR="0059163A" w:rsidRPr="005303F6">
          <w:rPr>
            <w:rFonts w:ascii="Times New Roman" w:hAnsi="Times New Roman"/>
            <w:noProof/>
            <w:webHidden/>
            <w:sz w:val="22"/>
            <w:szCs w:val="22"/>
          </w:rPr>
          <w:fldChar w:fldCharType="end"/>
        </w:r>
      </w:hyperlink>
    </w:p>
    <w:p w14:paraId="64D6720E"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40" w:history="1">
        <w:r w:rsidR="0059163A" w:rsidRPr="005303F6">
          <w:rPr>
            <w:rStyle w:val="Hipervnculo"/>
            <w:rFonts w:ascii="Times New Roman" w:eastAsiaTheme="majorEastAsia" w:hAnsi="Times New Roman"/>
            <w:noProof/>
            <w:sz w:val="22"/>
            <w:szCs w:val="22"/>
            <w:lang w:bidi="en-US"/>
          </w:rPr>
          <w:t>Ejecución presupuestaria del periodo</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_Toc27146840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207</w:t>
        </w:r>
        <w:r w:rsidR="0059163A" w:rsidRPr="005303F6">
          <w:rPr>
            <w:rFonts w:ascii="Times New Roman" w:hAnsi="Times New Roman"/>
            <w:noProof/>
            <w:webHidden/>
            <w:sz w:val="22"/>
            <w:szCs w:val="22"/>
          </w:rPr>
          <w:fldChar w:fldCharType="end"/>
        </w:r>
      </w:hyperlink>
    </w:p>
    <w:p w14:paraId="11E271E8" w14:textId="77777777" w:rsidR="0059163A" w:rsidRPr="005303F6" w:rsidRDefault="0083125C">
      <w:pPr>
        <w:pStyle w:val="TDC2"/>
        <w:rPr>
          <w:rFonts w:eastAsiaTheme="minorEastAsia"/>
          <w:b w:val="0"/>
          <w:smallCaps w:val="0"/>
          <w:sz w:val="22"/>
          <w:szCs w:val="22"/>
          <w:lang w:eastAsia="es-DO" w:bidi="ar-SA"/>
        </w:rPr>
      </w:pPr>
      <w:hyperlink w:anchor="_Toc27146841" w:history="1">
        <w:r w:rsidR="0059163A" w:rsidRPr="005303F6">
          <w:rPr>
            <w:rStyle w:val="Hipervnculo"/>
            <w:bCs/>
            <w:sz w:val="22"/>
            <w:szCs w:val="22"/>
            <w:lang w:val="es-ES_tradnl" w:eastAsia="en-US"/>
          </w:rPr>
          <w:t>Ingresos, recaudaciones por otros conceptos y pasivos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_Toc27146841 \h </w:instrText>
        </w:r>
        <w:r w:rsidR="0059163A" w:rsidRPr="005303F6">
          <w:rPr>
            <w:webHidden/>
            <w:sz w:val="22"/>
            <w:szCs w:val="22"/>
          </w:rPr>
        </w:r>
        <w:r w:rsidR="0059163A" w:rsidRPr="005303F6">
          <w:rPr>
            <w:webHidden/>
            <w:sz w:val="22"/>
            <w:szCs w:val="22"/>
          </w:rPr>
          <w:fldChar w:fldCharType="separate"/>
        </w:r>
        <w:r w:rsidR="005303F6">
          <w:rPr>
            <w:webHidden/>
            <w:sz w:val="22"/>
            <w:szCs w:val="22"/>
          </w:rPr>
          <w:t>208</w:t>
        </w:r>
        <w:r w:rsidR="0059163A" w:rsidRPr="005303F6">
          <w:rPr>
            <w:webHidden/>
            <w:sz w:val="22"/>
            <w:szCs w:val="22"/>
          </w:rPr>
          <w:fldChar w:fldCharType="end"/>
        </w:r>
      </w:hyperlink>
    </w:p>
    <w:p w14:paraId="37389D8F"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42" w:history="1">
        <w:r w:rsidR="0059163A" w:rsidRPr="005303F6">
          <w:rPr>
            <w:rStyle w:val="Hipervnculo"/>
            <w:rFonts w:ascii="Times New Roman" w:eastAsia="Calibri" w:hAnsi="Times New Roman"/>
            <w:noProof/>
            <w:sz w:val="22"/>
            <w:szCs w:val="22"/>
            <w:lang w:bidi="en-US"/>
          </w:rPr>
          <w:t>Recaudaciones</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_Toc27146842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208</w:t>
        </w:r>
        <w:r w:rsidR="0059163A" w:rsidRPr="005303F6">
          <w:rPr>
            <w:rFonts w:ascii="Times New Roman" w:hAnsi="Times New Roman"/>
            <w:noProof/>
            <w:webHidden/>
            <w:sz w:val="22"/>
            <w:szCs w:val="22"/>
          </w:rPr>
          <w:fldChar w:fldCharType="end"/>
        </w:r>
      </w:hyperlink>
    </w:p>
    <w:p w14:paraId="12014D58"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43" w:history="1">
        <w:r w:rsidR="0059163A" w:rsidRPr="005303F6">
          <w:rPr>
            <w:rStyle w:val="Hipervnculo"/>
            <w:rFonts w:ascii="Times New Roman" w:eastAsiaTheme="majorEastAsia" w:hAnsi="Times New Roman"/>
            <w:noProof/>
            <w:sz w:val="22"/>
            <w:szCs w:val="22"/>
            <w:lang w:bidi="en-US"/>
          </w:rPr>
          <w:t>Pasivos</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_Toc27146843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208</w:t>
        </w:r>
        <w:r w:rsidR="0059163A" w:rsidRPr="005303F6">
          <w:rPr>
            <w:rFonts w:ascii="Times New Roman" w:hAnsi="Times New Roman"/>
            <w:noProof/>
            <w:webHidden/>
            <w:sz w:val="22"/>
            <w:szCs w:val="22"/>
          </w:rPr>
          <w:fldChar w:fldCharType="end"/>
        </w:r>
      </w:hyperlink>
    </w:p>
    <w:p w14:paraId="5700ED01" w14:textId="77777777" w:rsidR="0059163A" w:rsidRPr="005303F6" w:rsidRDefault="0083125C">
      <w:pPr>
        <w:pStyle w:val="TDC2"/>
        <w:rPr>
          <w:rFonts w:eastAsiaTheme="minorEastAsia"/>
          <w:b w:val="0"/>
          <w:smallCaps w:val="0"/>
          <w:sz w:val="22"/>
          <w:szCs w:val="22"/>
          <w:lang w:eastAsia="es-DO" w:bidi="ar-SA"/>
        </w:rPr>
      </w:pPr>
      <w:hyperlink w:anchor="_Toc27146844" w:history="1">
        <w:r w:rsidR="0059163A" w:rsidRPr="005303F6">
          <w:rPr>
            <w:rStyle w:val="Hipervnculo"/>
            <w:sz w:val="22"/>
            <w:szCs w:val="22"/>
          </w:rPr>
          <w:t>h) Indicador sobre el uso del Sistema Nacional de Compras y Contrataciones Públicas.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_Toc27146844 \h </w:instrText>
        </w:r>
        <w:r w:rsidR="0059163A" w:rsidRPr="005303F6">
          <w:rPr>
            <w:webHidden/>
            <w:sz w:val="22"/>
            <w:szCs w:val="22"/>
          </w:rPr>
        </w:r>
        <w:r w:rsidR="0059163A" w:rsidRPr="005303F6">
          <w:rPr>
            <w:webHidden/>
            <w:sz w:val="22"/>
            <w:szCs w:val="22"/>
          </w:rPr>
          <w:fldChar w:fldCharType="separate"/>
        </w:r>
        <w:r w:rsidR="005303F6">
          <w:rPr>
            <w:webHidden/>
            <w:sz w:val="22"/>
            <w:szCs w:val="22"/>
          </w:rPr>
          <w:t>209</w:t>
        </w:r>
        <w:r w:rsidR="0059163A" w:rsidRPr="005303F6">
          <w:rPr>
            <w:webHidden/>
            <w:sz w:val="22"/>
            <w:szCs w:val="22"/>
          </w:rPr>
          <w:fldChar w:fldCharType="end"/>
        </w:r>
      </w:hyperlink>
    </w:p>
    <w:p w14:paraId="59911681" w14:textId="77777777" w:rsidR="0059163A" w:rsidRPr="005303F6" w:rsidRDefault="0083125C">
      <w:pPr>
        <w:pStyle w:val="TDC3"/>
        <w:rPr>
          <w:rFonts w:eastAsiaTheme="minorEastAsia"/>
          <w:b w:val="0"/>
          <w:iCs w:val="0"/>
          <w:sz w:val="22"/>
          <w:szCs w:val="22"/>
          <w:lang w:val="es-DO" w:eastAsia="es-DO" w:bidi="ar-SA"/>
        </w:rPr>
      </w:pPr>
      <w:hyperlink w:anchor="_Toc27146845" w:history="1">
        <w:r w:rsidR="0059163A" w:rsidRPr="005303F6">
          <w:rPr>
            <w:rStyle w:val="Hipervnculo"/>
            <w:sz w:val="22"/>
            <w:szCs w:val="22"/>
          </w:rPr>
          <w:t>Plan de compras y contrataciones públicas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_Toc27146845 \h </w:instrText>
        </w:r>
        <w:r w:rsidR="0059163A" w:rsidRPr="005303F6">
          <w:rPr>
            <w:webHidden/>
            <w:sz w:val="22"/>
            <w:szCs w:val="22"/>
          </w:rPr>
        </w:r>
        <w:r w:rsidR="0059163A" w:rsidRPr="005303F6">
          <w:rPr>
            <w:webHidden/>
            <w:sz w:val="22"/>
            <w:szCs w:val="22"/>
          </w:rPr>
          <w:fldChar w:fldCharType="separate"/>
        </w:r>
        <w:r w:rsidR="005303F6">
          <w:rPr>
            <w:webHidden/>
            <w:sz w:val="22"/>
            <w:szCs w:val="22"/>
          </w:rPr>
          <w:t>212</w:t>
        </w:r>
        <w:r w:rsidR="0059163A" w:rsidRPr="005303F6">
          <w:rPr>
            <w:webHidden/>
            <w:sz w:val="22"/>
            <w:szCs w:val="22"/>
          </w:rPr>
          <w:fldChar w:fldCharType="end"/>
        </w:r>
      </w:hyperlink>
    </w:p>
    <w:p w14:paraId="2E193638"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46" w:history="1">
        <w:r w:rsidR="0059163A" w:rsidRPr="005303F6">
          <w:rPr>
            <w:rStyle w:val="Hipervnculo"/>
            <w:rFonts w:ascii="Times New Roman" w:eastAsiaTheme="majorEastAsia" w:hAnsi="Times New Roman"/>
            <w:noProof/>
            <w:sz w:val="22"/>
            <w:szCs w:val="22"/>
            <w:lang w:bidi="en-US"/>
          </w:rPr>
          <w:t>Compras, contrataciones y licitaciones realizadas</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_Toc27146846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212</w:t>
        </w:r>
        <w:r w:rsidR="0059163A" w:rsidRPr="005303F6">
          <w:rPr>
            <w:rFonts w:ascii="Times New Roman" w:hAnsi="Times New Roman"/>
            <w:noProof/>
            <w:webHidden/>
            <w:sz w:val="22"/>
            <w:szCs w:val="22"/>
          </w:rPr>
          <w:fldChar w:fldCharType="end"/>
        </w:r>
      </w:hyperlink>
    </w:p>
    <w:p w14:paraId="1841D6A4"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47" w:history="1">
        <w:r w:rsidR="0059163A" w:rsidRPr="005303F6">
          <w:rPr>
            <w:rStyle w:val="Hipervnculo"/>
            <w:rFonts w:ascii="Times New Roman" w:eastAsiaTheme="majorEastAsia" w:hAnsi="Times New Roman"/>
            <w:noProof/>
            <w:sz w:val="22"/>
            <w:szCs w:val="22"/>
            <w:lang w:bidi="en-US"/>
          </w:rPr>
          <w:t>Compras y contrataciones realizadas por circuito de trámite</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_Toc27146847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212</w:t>
        </w:r>
        <w:r w:rsidR="0059163A" w:rsidRPr="005303F6">
          <w:rPr>
            <w:rFonts w:ascii="Times New Roman" w:hAnsi="Times New Roman"/>
            <w:noProof/>
            <w:webHidden/>
            <w:sz w:val="22"/>
            <w:szCs w:val="22"/>
          </w:rPr>
          <w:fldChar w:fldCharType="end"/>
        </w:r>
      </w:hyperlink>
    </w:p>
    <w:p w14:paraId="30D41251"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48" w:history="1">
        <w:r w:rsidR="0059163A" w:rsidRPr="005303F6">
          <w:rPr>
            <w:rStyle w:val="Hipervnculo"/>
            <w:rFonts w:ascii="Times New Roman" w:eastAsiaTheme="majorEastAsia" w:hAnsi="Times New Roman"/>
            <w:noProof/>
            <w:sz w:val="22"/>
            <w:szCs w:val="22"/>
            <w:lang w:bidi="en-US"/>
          </w:rPr>
          <w:t>Procesos a proveedor(es) contratado(s)</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_Toc27146848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213</w:t>
        </w:r>
        <w:r w:rsidR="0059163A" w:rsidRPr="005303F6">
          <w:rPr>
            <w:rFonts w:ascii="Times New Roman" w:hAnsi="Times New Roman"/>
            <w:noProof/>
            <w:webHidden/>
            <w:sz w:val="22"/>
            <w:szCs w:val="22"/>
          </w:rPr>
          <w:fldChar w:fldCharType="end"/>
        </w:r>
      </w:hyperlink>
    </w:p>
    <w:p w14:paraId="52CF84DE"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49" w:history="1">
        <w:r w:rsidR="0059163A" w:rsidRPr="005303F6">
          <w:rPr>
            <w:rStyle w:val="Hipervnculo"/>
            <w:rFonts w:ascii="Times New Roman" w:eastAsiaTheme="majorEastAsia" w:hAnsi="Times New Roman"/>
            <w:noProof/>
            <w:sz w:val="22"/>
            <w:szCs w:val="22"/>
            <w:lang w:bidi="en-US"/>
          </w:rPr>
          <w:t>Plan de compras y contrataciones publicado versus Plan anual de compras y contrataciones ejecutado</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_Toc27146849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214</w:t>
        </w:r>
        <w:r w:rsidR="0059163A" w:rsidRPr="005303F6">
          <w:rPr>
            <w:rFonts w:ascii="Times New Roman" w:hAnsi="Times New Roman"/>
            <w:noProof/>
            <w:webHidden/>
            <w:sz w:val="22"/>
            <w:szCs w:val="22"/>
          </w:rPr>
          <w:fldChar w:fldCharType="end"/>
        </w:r>
      </w:hyperlink>
    </w:p>
    <w:p w14:paraId="7E291183"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50" w:history="1">
        <w:r w:rsidR="0059163A" w:rsidRPr="005303F6">
          <w:rPr>
            <w:rStyle w:val="Hipervnculo"/>
            <w:rFonts w:ascii="Times New Roman" w:eastAsiaTheme="majorEastAsia" w:hAnsi="Times New Roman"/>
            <w:noProof/>
            <w:sz w:val="22"/>
            <w:szCs w:val="22"/>
            <w:lang w:bidi="en-US"/>
          </w:rPr>
          <w:t>Clasificación compras y contrataciones</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_Toc27146850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215</w:t>
        </w:r>
        <w:r w:rsidR="0059163A" w:rsidRPr="005303F6">
          <w:rPr>
            <w:rFonts w:ascii="Times New Roman" w:hAnsi="Times New Roman"/>
            <w:noProof/>
            <w:webHidden/>
            <w:sz w:val="22"/>
            <w:szCs w:val="22"/>
          </w:rPr>
          <w:fldChar w:fldCharType="end"/>
        </w:r>
      </w:hyperlink>
    </w:p>
    <w:p w14:paraId="0891B8C4"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51" w:history="1">
        <w:r w:rsidR="0059163A" w:rsidRPr="005303F6">
          <w:rPr>
            <w:rStyle w:val="Hipervnculo"/>
            <w:rFonts w:ascii="Times New Roman" w:eastAsiaTheme="majorEastAsia" w:hAnsi="Times New Roman"/>
            <w:noProof/>
            <w:sz w:val="22"/>
            <w:szCs w:val="22"/>
            <w:lang w:bidi="en-US"/>
          </w:rPr>
          <w:t>Otras actividades realizadas</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_Toc27146851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218</w:t>
        </w:r>
        <w:r w:rsidR="0059163A" w:rsidRPr="005303F6">
          <w:rPr>
            <w:rFonts w:ascii="Times New Roman" w:hAnsi="Times New Roman"/>
            <w:noProof/>
            <w:webHidden/>
            <w:sz w:val="22"/>
            <w:szCs w:val="22"/>
          </w:rPr>
          <w:fldChar w:fldCharType="end"/>
        </w:r>
      </w:hyperlink>
    </w:p>
    <w:p w14:paraId="5969F983" w14:textId="77777777" w:rsidR="0059163A" w:rsidRPr="005303F6" w:rsidRDefault="0083125C">
      <w:pPr>
        <w:pStyle w:val="TDC2"/>
        <w:rPr>
          <w:rFonts w:eastAsiaTheme="minorEastAsia"/>
          <w:b w:val="0"/>
          <w:smallCaps w:val="0"/>
          <w:sz w:val="22"/>
          <w:szCs w:val="22"/>
          <w:lang w:eastAsia="es-DO" w:bidi="ar-SA"/>
        </w:rPr>
      </w:pPr>
      <w:hyperlink w:anchor="_Toc27146852" w:history="1">
        <w:r w:rsidR="0059163A" w:rsidRPr="005303F6">
          <w:rPr>
            <w:rStyle w:val="Hipervnculo"/>
            <w:sz w:val="22"/>
            <w:szCs w:val="22"/>
          </w:rPr>
          <w:t>i) Indicador de transparencia gubernamental</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_Toc27146852 \h </w:instrText>
        </w:r>
        <w:r w:rsidR="0059163A" w:rsidRPr="005303F6">
          <w:rPr>
            <w:webHidden/>
            <w:sz w:val="22"/>
            <w:szCs w:val="22"/>
          </w:rPr>
        </w:r>
        <w:r w:rsidR="0059163A" w:rsidRPr="005303F6">
          <w:rPr>
            <w:webHidden/>
            <w:sz w:val="22"/>
            <w:szCs w:val="22"/>
          </w:rPr>
          <w:fldChar w:fldCharType="separate"/>
        </w:r>
        <w:r w:rsidR="005303F6">
          <w:rPr>
            <w:webHidden/>
            <w:sz w:val="22"/>
            <w:szCs w:val="22"/>
          </w:rPr>
          <w:t>219</w:t>
        </w:r>
        <w:r w:rsidR="0059163A" w:rsidRPr="005303F6">
          <w:rPr>
            <w:webHidden/>
            <w:sz w:val="22"/>
            <w:szCs w:val="22"/>
          </w:rPr>
          <w:fldChar w:fldCharType="end"/>
        </w:r>
      </w:hyperlink>
    </w:p>
    <w:p w14:paraId="51960D47" w14:textId="77777777" w:rsidR="0059163A" w:rsidRPr="005303F6" w:rsidRDefault="0083125C">
      <w:pPr>
        <w:pStyle w:val="TDC3"/>
        <w:rPr>
          <w:rFonts w:eastAsiaTheme="minorEastAsia"/>
          <w:b w:val="0"/>
          <w:iCs w:val="0"/>
          <w:sz w:val="22"/>
          <w:szCs w:val="22"/>
          <w:lang w:val="es-DO" w:eastAsia="es-DO" w:bidi="ar-SA"/>
        </w:rPr>
      </w:pPr>
      <w:hyperlink w:anchor="_Toc27146853" w:history="1">
        <w:r w:rsidR="0059163A" w:rsidRPr="005303F6">
          <w:rPr>
            <w:rStyle w:val="Hipervnculo"/>
            <w:sz w:val="22"/>
            <w:szCs w:val="22"/>
          </w:rPr>
          <w:t>Gestión de la transparencia e integración con otros indicadores</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_Toc27146853 \h </w:instrText>
        </w:r>
        <w:r w:rsidR="0059163A" w:rsidRPr="005303F6">
          <w:rPr>
            <w:webHidden/>
            <w:sz w:val="22"/>
            <w:szCs w:val="22"/>
          </w:rPr>
        </w:r>
        <w:r w:rsidR="0059163A" w:rsidRPr="005303F6">
          <w:rPr>
            <w:webHidden/>
            <w:sz w:val="22"/>
            <w:szCs w:val="22"/>
          </w:rPr>
          <w:fldChar w:fldCharType="separate"/>
        </w:r>
        <w:r w:rsidR="005303F6">
          <w:rPr>
            <w:webHidden/>
            <w:sz w:val="22"/>
            <w:szCs w:val="22"/>
          </w:rPr>
          <w:t>221</w:t>
        </w:r>
        <w:r w:rsidR="0059163A" w:rsidRPr="005303F6">
          <w:rPr>
            <w:webHidden/>
            <w:sz w:val="22"/>
            <w:szCs w:val="22"/>
          </w:rPr>
          <w:fldChar w:fldCharType="end"/>
        </w:r>
      </w:hyperlink>
    </w:p>
    <w:p w14:paraId="04882BD9" w14:textId="77777777" w:rsidR="0059163A" w:rsidRPr="005303F6" w:rsidRDefault="0083125C">
      <w:pPr>
        <w:pStyle w:val="TDC4"/>
        <w:tabs>
          <w:tab w:val="right" w:leader="dot" w:pos="9062"/>
        </w:tabs>
        <w:rPr>
          <w:rFonts w:ascii="Times New Roman" w:eastAsiaTheme="minorEastAsia" w:hAnsi="Times New Roman"/>
          <w:noProof/>
          <w:sz w:val="22"/>
          <w:szCs w:val="22"/>
          <w:lang w:eastAsia="es-DO"/>
        </w:rPr>
      </w:pPr>
      <w:hyperlink w:anchor="_Toc27146854" w:history="1">
        <w:r w:rsidR="0059163A" w:rsidRPr="005303F6">
          <w:rPr>
            <w:rStyle w:val="Hipervnculo"/>
            <w:rFonts w:ascii="Times New Roman" w:eastAsiaTheme="majorEastAsia" w:hAnsi="Times New Roman"/>
            <w:noProof/>
            <w:sz w:val="22"/>
            <w:szCs w:val="22"/>
            <w:lang w:bidi="en-US"/>
          </w:rPr>
          <w:t>Portal de transparencia</w:t>
        </w:r>
        <w:r w:rsidR="0059163A" w:rsidRPr="005303F6">
          <w:rPr>
            <w:rFonts w:ascii="Times New Roman" w:hAnsi="Times New Roman"/>
            <w:noProof/>
            <w:webHidden/>
            <w:sz w:val="22"/>
            <w:szCs w:val="22"/>
          </w:rPr>
          <w:tab/>
        </w:r>
        <w:r w:rsidR="0059163A" w:rsidRPr="005303F6">
          <w:rPr>
            <w:rFonts w:ascii="Times New Roman" w:hAnsi="Times New Roman"/>
            <w:noProof/>
            <w:webHidden/>
            <w:sz w:val="22"/>
            <w:szCs w:val="22"/>
          </w:rPr>
          <w:fldChar w:fldCharType="begin"/>
        </w:r>
        <w:r w:rsidR="0059163A" w:rsidRPr="005303F6">
          <w:rPr>
            <w:rFonts w:ascii="Times New Roman" w:hAnsi="Times New Roman"/>
            <w:noProof/>
            <w:webHidden/>
            <w:sz w:val="22"/>
            <w:szCs w:val="22"/>
          </w:rPr>
          <w:instrText xml:space="preserve"> PAGEREF _Toc27146854 \h </w:instrText>
        </w:r>
        <w:r w:rsidR="0059163A" w:rsidRPr="005303F6">
          <w:rPr>
            <w:rFonts w:ascii="Times New Roman" w:hAnsi="Times New Roman"/>
            <w:noProof/>
            <w:webHidden/>
            <w:sz w:val="22"/>
            <w:szCs w:val="22"/>
          </w:rPr>
        </w:r>
        <w:r w:rsidR="0059163A" w:rsidRPr="005303F6">
          <w:rPr>
            <w:rFonts w:ascii="Times New Roman" w:hAnsi="Times New Roman"/>
            <w:noProof/>
            <w:webHidden/>
            <w:sz w:val="22"/>
            <w:szCs w:val="22"/>
          </w:rPr>
          <w:fldChar w:fldCharType="separate"/>
        </w:r>
        <w:r w:rsidR="005303F6">
          <w:rPr>
            <w:rFonts w:ascii="Times New Roman" w:hAnsi="Times New Roman"/>
            <w:noProof/>
            <w:webHidden/>
            <w:sz w:val="22"/>
            <w:szCs w:val="22"/>
          </w:rPr>
          <w:t>222</w:t>
        </w:r>
        <w:r w:rsidR="0059163A" w:rsidRPr="005303F6">
          <w:rPr>
            <w:rFonts w:ascii="Times New Roman" w:hAnsi="Times New Roman"/>
            <w:noProof/>
            <w:webHidden/>
            <w:sz w:val="22"/>
            <w:szCs w:val="22"/>
          </w:rPr>
          <w:fldChar w:fldCharType="end"/>
        </w:r>
      </w:hyperlink>
    </w:p>
    <w:p w14:paraId="7706C925" w14:textId="77777777" w:rsidR="0059163A" w:rsidRPr="005303F6" w:rsidRDefault="0083125C">
      <w:pPr>
        <w:pStyle w:val="TDC1"/>
        <w:rPr>
          <w:rFonts w:eastAsiaTheme="minorEastAsia"/>
          <w:b w:val="0"/>
          <w:bCs w:val="0"/>
          <w:sz w:val="22"/>
          <w:szCs w:val="22"/>
          <w:lang w:eastAsia="es-DO"/>
        </w:rPr>
      </w:pPr>
      <w:hyperlink w:anchor="_Toc27146855" w:history="1">
        <w:r w:rsidR="0059163A" w:rsidRPr="005303F6">
          <w:rPr>
            <w:rStyle w:val="Hipervnculo"/>
            <w:rFonts w:eastAsiaTheme="majorEastAsia"/>
            <w:sz w:val="22"/>
            <w:szCs w:val="22"/>
          </w:rPr>
          <w:t>IX.</w:t>
        </w:r>
        <w:r w:rsidR="0059163A" w:rsidRPr="005303F6">
          <w:rPr>
            <w:rFonts w:eastAsiaTheme="minorEastAsia"/>
            <w:b w:val="0"/>
            <w:bCs w:val="0"/>
            <w:sz w:val="22"/>
            <w:szCs w:val="22"/>
            <w:lang w:eastAsia="es-DO"/>
          </w:rPr>
          <w:tab/>
        </w:r>
        <w:r w:rsidR="0059163A" w:rsidRPr="005303F6">
          <w:rPr>
            <w:rStyle w:val="Hipervnculo"/>
            <w:rFonts w:eastAsiaTheme="majorEastAsia"/>
            <w:sz w:val="22"/>
            <w:szCs w:val="22"/>
          </w:rPr>
          <w:t>Proyecciones de planes y programas a corto plazo</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_Toc27146855 \h </w:instrText>
        </w:r>
        <w:r w:rsidR="0059163A" w:rsidRPr="005303F6">
          <w:rPr>
            <w:webHidden/>
            <w:sz w:val="22"/>
            <w:szCs w:val="22"/>
          </w:rPr>
        </w:r>
        <w:r w:rsidR="0059163A" w:rsidRPr="005303F6">
          <w:rPr>
            <w:webHidden/>
            <w:sz w:val="22"/>
            <w:szCs w:val="22"/>
          </w:rPr>
          <w:fldChar w:fldCharType="separate"/>
        </w:r>
        <w:r w:rsidR="005303F6">
          <w:rPr>
            <w:webHidden/>
            <w:sz w:val="22"/>
            <w:szCs w:val="22"/>
          </w:rPr>
          <w:t>225</w:t>
        </w:r>
        <w:r w:rsidR="0059163A" w:rsidRPr="005303F6">
          <w:rPr>
            <w:webHidden/>
            <w:sz w:val="22"/>
            <w:szCs w:val="22"/>
          </w:rPr>
          <w:fldChar w:fldCharType="end"/>
        </w:r>
      </w:hyperlink>
    </w:p>
    <w:p w14:paraId="5A5F7BD0" w14:textId="77777777" w:rsidR="0059163A" w:rsidRPr="005303F6" w:rsidRDefault="0083125C">
      <w:pPr>
        <w:pStyle w:val="TDC2"/>
        <w:rPr>
          <w:rFonts w:eastAsiaTheme="minorEastAsia"/>
          <w:b w:val="0"/>
          <w:smallCaps w:val="0"/>
          <w:sz w:val="22"/>
          <w:szCs w:val="22"/>
          <w:lang w:eastAsia="es-DO" w:bidi="ar-SA"/>
        </w:rPr>
      </w:pPr>
      <w:hyperlink w:anchor="_Toc27146856" w:history="1">
        <w:r w:rsidR="0059163A" w:rsidRPr="005303F6">
          <w:rPr>
            <w:rStyle w:val="Hipervnculo"/>
            <w:sz w:val="22"/>
            <w:szCs w:val="22"/>
          </w:rPr>
          <w:t>a) Proyección de planes y programas hacia el próximo año</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_Toc27146856 \h </w:instrText>
        </w:r>
        <w:r w:rsidR="0059163A" w:rsidRPr="005303F6">
          <w:rPr>
            <w:webHidden/>
            <w:sz w:val="22"/>
            <w:szCs w:val="22"/>
          </w:rPr>
        </w:r>
        <w:r w:rsidR="0059163A" w:rsidRPr="005303F6">
          <w:rPr>
            <w:webHidden/>
            <w:sz w:val="22"/>
            <w:szCs w:val="22"/>
          </w:rPr>
          <w:fldChar w:fldCharType="separate"/>
        </w:r>
        <w:r w:rsidR="005303F6">
          <w:rPr>
            <w:webHidden/>
            <w:sz w:val="22"/>
            <w:szCs w:val="22"/>
          </w:rPr>
          <w:t>225</w:t>
        </w:r>
        <w:r w:rsidR="0059163A" w:rsidRPr="005303F6">
          <w:rPr>
            <w:webHidden/>
            <w:sz w:val="22"/>
            <w:szCs w:val="22"/>
          </w:rPr>
          <w:fldChar w:fldCharType="end"/>
        </w:r>
      </w:hyperlink>
    </w:p>
    <w:p w14:paraId="1C1DBFA5" w14:textId="77777777" w:rsidR="0059163A" w:rsidRPr="005303F6" w:rsidRDefault="0083125C">
      <w:pPr>
        <w:pStyle w:val="TDC3"/>
        <w:rPr>
          <w:rFonts w:eastAsiaTheme="minorEastAsia"/>
          <w:b w:val="0"/>
          <w:iCs w:val="0"/>
          <w:sz w:val="22"/>
          <w:szCs w:val="22"/>
          <w:lang w:val="es-DO" w:eastAsia="es-DO" w:bidi="ar-SA"/>
        </w:rPr>
      </w:pPr>
      <w:hyperlink w:anchor="_Toc27146857" w:history="1">
        <w:r w:rsidR="0059163A" w:rsidRPr="005303F6">
          <w:rPr>
            <w:rStyle w:val="Hipervnculo"/>
            <w:sz w:val="22"/>
            <w:szCs w:val="22"/>
          </w:rPr>
          <w:t>Acciones contempladas en el Plan Operativo del Sector Agropecuario</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_Toc27146857 \h </w:instrText>
        </w:r>
        <w:r w:rsidR="0059163A" w:rsidRPr="005303F6">
          <w:rPr>
            <w:webHidden/>
            <w:sz w:val="22"/>
            <w:szCs w:val="22"/>
          </w:rPr>
        </w:r>
        <w:r w:rsidR="0059163A" w:rsidRPr="005303F6">
          <w:rPr>
            <w:webHidden/>
            <w:sz w:val="22"/>
            <w:szCs w:val="22"/>
          </w:rPr>
          <w:fldChar w:fldCharType="separate"/>
        </w:r>
        <w:r w:rsidR="005303F6">
          <w:rPr>
            <w:webHidden/>
            <w:sz w:val="22"/>
            <w:szCs w:val="22"/>
          </w:rPr>
          <w:t>225</w:t>
        </w:r>
        <w:r w:rsidR="0059163A" w:rsidRPr="005303F6">
          <w:rPr>
            <w:webHidden/>
            <w:sz w:val="22"/>
            <w:szCs w:val="22"/>
          </w:rPr>
          <w:fldChar w:fldCharType="end"/>
        </w:r>
      </w:hyperlink>
    </w:p>
    <w:p w14:paraId="3C4DD1B1" w14:textId="77777777" w:rsidR="0059163A" w:rsidRPr="005303F6" w:rsidRDefault="0083125C">
      <w:pPr>
        <w:pStyle w:val="TDC2"/>
        <w:rPr>
          <w:rFonts w:eastAsiaTheme="minorEastAsia"/>
          <w:b w:val="0"/>
          <w:smallCaps w:val="0"/>
          <w:sz w:val="22"/>
          <w:szCs w:val="22"/>
          <w:lang w:eastAsia="es-DO" w:bidi="ar-SA"/>
        </w:rPr>
      </w:pPr>
      <w:hyperlink w:anchor="_Toc27146858" w:history="1">
        <w:r w:rsidR="0059163A" w:rsidRPr="005303F6">
          <w:rPr>
            <w:rStyle w:val="Hipervnculo"/>
            <w:sz w:val="22"/>
            <w:szCs w:val="22"/>
          </w:rPr>
          <w:t>b) Proyección de proyectos a mediano plazo</w:t>
        </w:r>
        <w:r w:rsidR="0059163A" w:rsidRPr="005303F6">
          <w:rPr>
            <w:webHidden/>
            <w:sz w:val="22"/>
            <w:szCs w:val="22"/>
          </w:rPr>
          <w:tab/>
        </w:r>
        <w:r w:rsidR="0059163A" w:rsidRPr="005303F6">
          <w:rPr>
            <w:webHidden/>
            <w:sz w:val="22"/>
            <w:szCs w:val="22"/>
          </w:rPr>
          <w:fldChar w:fldCharType="begin"/>
        </w:r>
        <w:r w:rsidR="0059163A" w:rsidRPr="005303F6">
          <w:rPr>
            <w:webHidden/>
            <w:sz w:val="22"/>
            <w:szCs w:val="22"/>
          </w:rPr>
          <w:instrText xml:space="preserve"> PAGEREF _Toc27146858 \h </w:instrText>
        </w:r>
        <w:r w:rsidR="0059163A" w:rsidRPr="005303F6">
          <w:rPr>
            <w:webHidden/>
            <w:sz w:val="22"/>
            <w:szCs w:val="22"/>
          </w:rPr>
        </w:r>
        <w:r w:rsidR="0059163A" w:rsidRPr="005303F6">
          <w:rPr>
            <w:webHidden/>
            <w:sz w:val="22"/>
            <w:szCs w:val="22"/>
          </w:rPr>
          <w:fldChar w:fldCharType="separate"/>
        </w:r>
        <w:r w:rsidR="005303F6">
          <w:rPr>
            <w:webHidden/>
            <w:sz w:val="22"/>
            <w:szCs w:val="22"/>
          </w:rPr>
          <w:t>227</w:t>
        </w:r>
        <w:r w:rsidR="0059163A" w:rsidRPr="005303F6">
          <w:rPr>
            <w:webHidden/>
            <w:sz w:val="22"/>
            <w:szCs w:val="22"/>
          </w:rPr>
          <w:fldChar w:fldCharType="end"/>
        </w:r>
      </w:hyperlink>
    </w:p>
    <w:p w14:paraId="51B5C60A" w14:textId="31EA2F1E" w:rsidR="00E1189D" w:rsidRPr="006569D0" w:rsidRDefault="00CE0B49" w:rsidP="006E1E65">
      <w:pPr>
        <w:spacing w:after="0"/>
        <w:jc w:val="both"/>
        <w:rPr>
          <w:rFonts w:ascii="Times New Roman" w:hAnsi="Times New Roman"/>
          <w:sz w:val="6"/>
          <w:szCs w:val="22"/>
          <w:lang w:val="es-ES_tradnl" w:eastAsia="en-US"/>
        </w:rPr>
      </w:pPr>
      <w:r w:rsidRPr="005303F6">
        <w:rPr>
          <w:rFonts w:ascii="Times New Roman" w:hAnsi="Times New Roman"/>
          <w:sz w:val="22"/>
          <w:szCs w:val="22"/>
          <w:lang w:val="es-ES_tradnl" w:eastAsia="en-US"/>
        </w:rPr>
        <w:fldChar w:fldCharType="end"/>
      </w:r>
    </w:p>
    <w:bookmarkEnd w:id="0"/>
    <w:bookmarkEnd w:id="1"/>
    <w:p w14:paraId="457B5376" w14:textId="479EABCA" w:rsidR="0013707F" w:rsidRPr="006569D0" w:rsidRDefault="0075472F" w:rsidP="006E1E65">
      <w:pPr>
        <w:spacing w:after="0"/>
        <w:ind w:hanging="142"/>
        <w:jc w:val="both"/>
        <w:rPr>
          <w:rStyle w:val="Hipervnculo"/>
          <w:rFonts w:ascii="Times New Roman" w:hAnsi="Times New Roman"/>
          <w:b/>
          <w:bCs/>
          <w:caps/>
          <w:noProof/>
          <w:color w:val="auto"/>
          <w:sz w:val="22"/>
          <w:szCs w:val="22"/>
          <w:u w:val="none"/>
        </w:rPr>
      </w:pPr>
      <w:r w:rsidRPr="006569D0">
        <w:rPr>
          <w:rStyle w:val="Hipervnculo"/>
          <w:rFonts w:ascii="Times New Roman" w:hAnsi="Times New Roman"/>
          <w:b/>
          <w:bCs/>
          <w:caps/>
          <w:noProof/>
          <w:color w:val="auto"/>
          <w:sz w:val="22"/>
          <w:szCs w:val="22"/>
          <w:u w:val="none"/>
        </w:rPr>
        <w:t xml:space="preserve">XVI. </w:t>
      </w:r>
      <w:r w:rsidR="007964D6" w:rsidRPr="006569D0">
        <w:rPr>
          <w:rStyle w:val="Hipervnculo"/>
          <w:rFonts w:ascii="Times New Roman" w:hAnsi="Times New Roman"/>
          <w:b/>
          <w:bCs/>
          <w:caps/>
          <w:noProof/>
          <w:color w:val="auto"/>
          <w:szCs w:val="22"/>
          <w:u w:val="none"/>
        </w:rPr>
        <w:t>A</w:t>
      </w:r>
      <w:r w:rsidR="001946E7" w:rsidRPr="006569D0">
        <w:rPr>
          <w:rStyle w:val="Hipervnculo"/>
          <w:rFonts w:ascii="Times New Roman" w:hAnsi="Times New Roman"/>
          <w:b/>
          <w:bCs/>
          <w:noProof/>
          <w:color w:val="auto"/>
          <w:szCs w:val="22"/>
          <w:u w:val="none"/>
        </w:rPr>
        <w:t>NEXOS</w:t>
      </w:r>
      <w:r w:rsidR="0013440D" w:rsidRPr="006569D0">
        <w:rPr>
          <w:rStyle w:val="Hipervnculo"/>
          <w:rFonts w:ascii="Times New Roman" w:hAnsi="Times New Roman"/>
          <w:b/>
          <w:bCs/>
          <w:noProof/>
          <w:color w:val="auto"/>
          <w:sz w:val="22"/>
          <w:szCs w:val="22"/>
          <w:u w:val="none"/>
        </w:rPr>
        <w:t>…………………………………………</w:t>
      </w:r>
      <w:r w:rsidR="00542E39" w:rsidRPr="006569D0">
        <w:rPr>
          <w:rStyle w:val="Hipervnculo"/>
          <w:rFonts w:ascii="Times New Roman" w:hAnsi="Times New Roman"/>
          <w:b/>
          <w:bCs/>
          <w:noProof/>
          <w:color w:val="auto"/>
          <w:sz w:val="22"/>
          <w:szCs w:val="22"/>
          <w:u w:val="none"/>
        </w:rPr>
        <w:t>...</w:t>
      </w:r>
      <w:r w:rsidR="0013440D" w:rsidRPr="006569D0">
        <w:rPr>
          <w:rStyle w:val="Hipervnculo"/>
          <w:rFonts w:ascii="Times New Roman" w:hAnsi="Times New Roman"/>
          <w:b/>
          <w:bCs/>
          <w:noProof/>
          <w:color w:val="auto"/>
          <w:sz w:val="22"/>
          <w:szCs w:val="22"/>
          <w:u w:val="none"/>
        </w:rPr>
        <w:t>…………………………</w:t>
      </w:r>
      <w:r w:rsidR="00FF0A53" w:rsidRPr="006569D0">
        <w:rPr>
          <w:rStyle w:val="Hipervnculo"/>
          <w:rFonts w:ascii="Times New Roman" w:hAnsi="Times New Roman"/>
          <w:b/>
          <w:bCs/>
          <w:noProof/>
          <w:color w:val="auto"/>
          <w:sz w:val="22"/>
          <w:szCs w:val="22"/>
          <w:u w:val="none"/>
        </w:rPr>
        <w:t>…</w:t>
      </w:r>
      <w:r w:rsidR="005277C7" w:rsidRPr="006569D0">
        <w:rPr>
          <w:rStyle w:val="Hipervnculo"/>
          <w:rFonts w:ascii="Times New Roman" w:hAnsi="Times New Roman"/>
          <w:b/>
          <w:bCs/>
          <w:noProof/>
          <w:color w:val="auto"/>
          <w:sz w:val="22"/>
          <w:szCs w:val="22"/>
          <w:u w:val="none"/>
        </w:rPr>
        <w:t>…...</w:t>
      </w:r>
      <w:r w:rsidR="00630C2C" w:rsidRPr="006569D0">
        <w:rPr>
          <w:rStyle w:val="Hipervnculo"/>
          <w:rFonts w:ascii="Times New Roman" w:hAnsi="Times New Roman"/>
          <w:b/>
          <w:bCs/>
          <w:noProof/>
          <w:color w:val="auto"/>
          <w:sz w:val="22"/>
          <w:szCs w:val="22"/>
          <w:u w:val="none"/>
        </w:rPr>
        <w:t>..............</w:t>
      </w:r>
      <w:r w:rsidR="005277C7" w:rsidRPr="006569D0">
        <w:rPr>
          <w:rStyle w:val="Hipervnculo"/>
          <w:rFonts w:ascii="Times New Roman" w:hAnsi="Times New Roman"/>
          <w:b/>
          <w:bCs/>
          <w:noProof/>
          <w:color w:val="auto"/>
          <w:sz w:val="22"/>
          <w:szCs w:val="22"/>
          <w:u w:val="none"/>
        </w:rPr>
        <w:t>.</w:t>
      </w:r>
      <w:r w:rsidR="0059163A">
        <w:rPr>
          <w:rStyle w:val="Hipervnculo"/>
          <w:rFonts w:ascii="Times New Roman" w:hAnsi="Times New Roman"/>
          <w:b/>
          <w:bCs/>
          <w:noProof/>
          <w:color w:val="auto"/>
          <w:sz w:val="22"/>
          <w:szCs w:val="22"/>
          <w:u w:val="none"/>
        </w:rPr>
        <w:t>.22</w:t>
      </w:r>
      <w:r w:rsidR="005303F6">
        <w:rPr>
          <w:rStyle w:val="Hipervnculo"/>
          <w:rFonts w:ascii="Times New Roman" w:hAnsi="Times New Roman"/>
          <w:b/>
          <w:bCs/>
          <w:noProof/>
          <w:color w:val="auto"/>
          <w:sz w:val="22"/>
          <w:szCs w:val="22"/>
          <w:u w:val="none"/>
        </w:rPr>
        <w:t>8</w:t>
      </w:r>
    </w:p>
    <w:p w14:paraId="273DA9F0" w14:textId="55E4DA1A" w:rsidR="00C82783" w:rsidRPr="006569D0" w:rsidRDefault="003621CF" w:rsidP="006E1E65">
      <w:pPr>
        <w:spacing w:after="0"/>
        <w:ind w:right="-142"/>
        <w:jc w:val="both"/>
        <w:rPr>
          <w:rFonts w:ascii="Times New Roman" w:hAnsi="Times New Roman"/>
          <w:b/>
          <w:sz w:val="20"/>
          <w:szCs w:val="22"/>
          <w:lang w:val="es-ES_tradnl" w:eastAsia="en-US"/>
        </w:rPr>
      </w:pPr>
      <w:r w:rsidRPr="006569D0">
        <w:rPr>
          <w:rFonts w:ascii="Times New Roman" w:hAnsi="Times New Roman"/>
          <w:b/>
          <w:sz w:val="20"/>
          <w:szCs w:val="22"/>
          <w:lang w:val="es-ES_tradnl" w:eastAsia="en-US"/>
        </w:rPr>
        <w:t>ANEXO A – EJECUCIÓN PRESUPUESTARIA MÉTODO DEVENGADO</w:t>
      </w:r>
      <w:r w:rsidR="00B10A65" w:rsidRPr="006569D0">
        <w:rPr>
          <w:rFonts w:ascii="Times New Roman" w:hAnsi="Times New Roman"/>
          <w:b/>
          <w:sz w:val="20"/>
          <w:szCs w:val="22"/>
          <w:lang w:val="es-ES_tradnl" w:eastAsia="en-US"/>
        </w:rPr>
        <w:t>……</w:t>
      </w:r>
      <w:r w:rsidRPr="006569D0">
        <w:rPr>
          <w:rFonts w:ascii="Times New Roman" w:hAnsi="Times New Roman"/>
          <w:b/>
          <w:sz w:val="20"/>
          <w:szCs w:val="22"/>
          <w:lang w:val="es-ES_tradnl" w:eastAsia="en-US"/>
        </w:rPr>
        <w:t>.…………….......</w:t>
      </w:r>
      <w:r w:rsidR="0001067E">
        <w:rPr>
          <w:rFonts w:ascii="Times New Roman" w:hAnsi="Times New Roman"/>
          <w:b/>
          <w:sz w:val="20"/>
          <w:szCs w:val="22"/>
          <w:lang w:val="es-ES_tradnl" w:eastAsia="en-US"/>
        </w:rPr>
        <w:t>…2</w:t>
      </w:r>
      <w:r w:rsidR="005303F6">
        <w:rPr>
          <w:rFonts w:ascii="Times New Roman" w:hAnsi="Times New Roman"/>
          <w:b/>
          <w:sz w:val="20"/>
          <w:szCs w:val="22"/>
          <w:lang w:val="es-ES_tradnl" w:eastAsia="en-US"/>
        </w:rPr>
        <w:t>29</w:t>
      </w:r>
      <w:r w:rsidRPr="006569D0">
        <w:rPr>
          <w:rFonts w:ascii="Times New Roman" w:hAnsi="Times New Roman"/>
          <w:b/>
          <w:sz w:val="20"/>
          <w:szCs w:val="22"/>
          <w:lang w:val="es-ES_tradnl" w:eastAsia="en-US"/>
        </w:rPr>
        <w:t>-</w:t>
      </w:r>
      <w:r w:rsidR="0001067E">
        <w:rPr>
          <w:rFonts w:ascii="Times New Roman" w:hAnsi="Times New Roman"/>
          <w:b/>
          <w:sz w:val="20"/>
          <w:szCs w:val="22"/>
          <w:lang w:val="es-ES_tradnl" w:eastAsia="en-US"/>
        </w:rPr>
        <w:t>23</w:t>
      </w:r>
      <w:r w:rsidR="0059163A">
        <w:rPr>
          <w:rFonts w:ascii="Times New Roman" w:hAnsi="Times New Roman"/>
          <w:b/>
          <w:sz w:val="20"/>
          <w:szCs w:val="22"/>
          <w:lang w:val="es-ES_tradnl" w:eastAsia="en-US"/>
        </w:rPr>
        <w:t>4</w:t>
      </w:r>
    </w:p>
    <w:p w14:paraId="03AD2E63" w14:textId="75D5493C" w:rsidR="00B645BC" w:rsidRPr="006569D0" w:rsidRDefault="003621CF" w:rsidP="006E1E65">
      <w:pPr>
        <w:spacing w:after="0"/>
        <w:ind w:right="-142"/>
        <w:jc w:val="both"/>
        <w:rPr>
          <w:rFonts w:ascii="Times New Roman" w:hAnsi="Times New Roman"/>
          <w:b/>
          <w:sz w:val="20"/>
          <w:szCs w:val="22"/>
          <w:lang w:val="es-ES_tradnl" w:eastAsia="en-US"/>
        </w:rPr>
      </w:pPr>
      <w:r w:rsidRPr="006569D0">
        <w:rPr>
          <w:rFonts w:ascii="Times New Roman" w:hAnsi="Times New Roman"/>
          <w:b/>
          <w:sz w:val="20"/>
          <w:szCs w:val="22"/>
          <w:lang w:val="es-ES_tradnl" w:eastAsia="en-US"/>
        </w:rPr>
        <w:t>ANEXO B – CONSOLIDADO NACIONAL DE SUPERFICIE SEMBRADA</w:t>
      </w:r>
      <w:r w:rsidRPr="006569D0">
        <w:rPr>
          <w:rFonts w:ascii="Times New Roman" w:hAnsi="Times New Roman"/>
          <w:b/>
          <w:sz w:val="20"/>
          <w:szCs w:val="22"/>
          <w:lang w:eastAsia="en-US"/>
        </w:rPr>
        <w:t xml:space="preserve"> POR RUBROS</w:t>
      </w:r>
      <w:r w:rsidR="00B10A65" w:rsidRPr="006569D0">
        <w:rPr>
          <w:rFonts w:ascii="Times New Roman" w:hAnsi="Times New Roman"/>
          <w:b/>
          <w:sz w:val="20"/>
          <w:szCs w:val="22"/>
          <w:lang w:eastAsia="en-US"/>
        </w:rPr>
        <w:t>……</w:t>
      </w:r>
      <w:r w:rsidRPr="006569D0">
        <w:rPr>
          <w:rFonts w:ascii="Times New Roman" w:hAnsi="Times New Roman"/>
          <w:b/>
          <w:sz w:val="20"/>
          <w:szCs w:val="22"/>
          <w:lang w:eastAsia="en-US"/>
        </w:rPr>
        <w:t>…</w:t>
      </w:r>
      <w:r w:rsidR="0001067E">
        <w:rPr>
          <w:rFonts w:ascii="Times New Roman" w:hAnsi="Times New Roman"/>
          <w:b/>
          <w:sz w:val="20"/>
          <w:szCs w:val="22"/>
          <w:lang w:val="es-ES_tradnl" w:eastAsia="en-US"/>
        </w:rPr>
        <w:t>23</w:t>
      </w:r>
      <w:r w:rsidR="0059163A">
        <w:rPr>
          <w:rFonts w:ascii="Times New Roman" w:hAnsi="Times New Roman"/>
          <w:b/>
          <w:sz w:val="20"/>
          <w:szCs w:val="22"/>
          <w:lang w:val="es-ES_tradnl" w:eastAsia="en-US"/>
        </w:rPr>
        <w:t>5</w:t>
      </w:r>
      <w:r w:rsidRPr="006569D0">
        <w:rPr>
          <w:rFonts w:ascii="Times New Roman" w:hAnsi="Times New Roman"/>
          <w:b/>
          <w:sz w:val="20"/>
          <w:szCs w:val="22"/>
          <w:lang w:val="es-ES_tradnl" w:eastAsia="en-US"/>
        </w:rPr>
        <w:t>-</w:t>
      </w:r>
      <w:r w:rsidR="0001067E">
        <w:rPr>
          <w:rFonts w:ascii="Times New Roman" w:hAnsi="Times New Roman"/>
          <w:b/>
          <w:sz w:val="20"/>
          <w:szCs w:val="22"/>
          <w:lang w:val="es-ES_tradnl" w:eastAsia="en-US"/>
        </w:rPr>
        <w:t>23</w:t>
      </w:r>
      <w:r w:rsidR="0059163A">
        <w:rPr>
          <w:rFonts w:ascii="Times New Roman" w:hAnsi="Times New Roman"/>
          <w:b/>
          <w:sz w:val="20"/>
          <w:szCs w:val="22"/>
          <w:lang w:val="es-ES_tradnl" w:eastAsia="en-US"/>
        </w:rPr>
        <w:t>7</w:t>
      </w:r>
    </w:p>
    <w:p w14:paraId="25D94968" w14:textId="1EDBB37A" w:rsidR="00BA1F2E" w:rsidRPr="006569D0" w:rsidRDefault="003621CF" w:rsidP="006E1E65">
      <w:pPr>
        <w:spacing w:after="0"/>
        <w:ind w:right="-142"/>
        <w:jc w:val="both"/>
        <w:rPr>
          <w:rFonts w:ascii="Times New Roman" w:hAnsi="Times New Roman"/>
          <w:b/>
          <w:sz w:val="20"/>
          <w:szCs w:val="22"/>
          <w:lang w:val="es-ES_tradnl" w:eastAsia="en-US"/>
        </w:rPr>
      </w:pPr>
      <w:r w:rsidRPr="006569D0">
        <w:rPr>
          <w:rFonts w:ascii="Times New Roman" w:hAnsi="Times New Roman"/>
          <w:b/>
          <w:sz w:val="20"/>
          <w:szCs w:val="22"/>
          <w:lang w:val="es-ES_tradnl" w:eastAsia="en-US"/>
        </w:rPr>
        <w:t>ANEXO C – CONSOLIDADO NACIONAL DE SUPERFICIE COSECHADA POR RUBROS</w:t>
      </w:r>
      <w:r w:rsidR="00B10A65" w:rsidRPr="006569D0">
        <w:rPr>
          <w:rFonts w:ascii="Times New Roman" w:hAnsi="Times New Roman"/>
          <w:b/>
          <w:sz w:val="20"/>
          <w:szCs w:val="22"/>
          <w:lang w:val="es-ES_tradnl" w:eastAsia="en-US"/>
        </w:rPr>
        <w:t>……</w:t>
      </w:r>
      <w:r w:rsidRPr="006569D0">
        <w:rPr>
          <w:rFonts w:ascii="Times New Roman" w:hAnsi="Times New Roman"/>
          <w:b/>
          <w:sz w:val="20"/>
          <w:szCs w:val="22"/>
          <w:lang w:val="es-ES_tradnl" w:eastAsia="en-US"/>
        </w:rPr>
        <w:t>.</w:t>
      </w:r>
      <w:r w:rsidR="0001067E">
        <w:rPr>
          <w:rFonts w:ascii="Times New Roman" w:hAnsi="Times New Roman"/>
          <w:b/>
          <w:sz w:val="20"/>
          <w:szCs w:val="22"/>
          <w:lang w:val="es-ES_tradnl" w:eastAsia="en-US"/>
        </w:rPr>
        <w:t>23</w:t>
      </w:r>
      <w:r w:rsidR="0059163A">
        <w:rPr>
          <w:rFonts w:ascii="Times New Roman" w:hAnsi="Times New Roman"/>
          <w:b/>
          <w:sz w:val="20"/>
          <w:szCs w:val="22"/>
          <w:lang w:val="es-ES_tradnl" w:eastAsia="en-US"/>
        </w:rPr>
        <w:t>8</w:t>
      </w:r>
      <w:r w:rsidRPr="006569D0">
        <w:rPr>
          <w:rFonts w:ascii="Times New Roman" w:hAnsi="Times New Roman"/>
          <w:b/>
          <w:sz w:val="20"/>
          <w:szCs w:val="22"/>
          <w:lang w:val="es-ES_tradnl" w:eastAsia="en-US"/>
        </w:rPr>
        <w:t>-</w:t>
      </w:r>
      <w:r w:rsidR="0001067E">
        <w:rPr>
          <w:rFonts w:ascii="Times New Roman" w:hAnsi="Times New Roman"/>
          <w:b/>
          <w:sz w:val="20"/>
          <w:szCs w:val="22"/>
          <w:lang w:val="es-ES_tradnl" w:eastAsia="en-US"/>
        </w:rPr>
        <w:t>2</w:t>
      </w:r>
      <w:r w:rsidR="0059163A">
        <w:rPr>
          <w:rFonts w:ascii="Times New Roman" w:hAnsi="Times New Roman"/>
          <w:b/>
          <w:sz w:val="20"/>
          <w:szCs w:val="22"/>
          <w:lang w:val="es-ES_tradnl" w:eastAsia="en-US"/>
        </w:rPr>
        <w:t>40</w:t>
      </w:r>
    </w:p>
    <w:p w14:paraId="1BE1F286" w14:textId="1134871E" w:rsidR="00BA1F2E" w:rsidRPr="006569D0" w:rsidRDefault="003621CF" w:rsidP="006E1E65">
      <w:pPr>
        <w:spacing w:after="0"/>
        <w:ind w:right="-142"/>
        <w:jc w:val="both"/>
        <w:rPr>
          <w:rFonts w:ascii="Times New Roman" w:hAnsi="Times New Roman"/>
          <w:b/>
          <w:sz w:val="20"/>
          <w:szCs w:val="22"/>
          <w:lang w:val="es-ES_tradnl" w:eastAsia="en-US"/>
        </w:rPr>
      </w:pPr>
      <w:r w:rsidRPr="006569D0">
        <w:rPr>
          <w:rFonts w:ascii="Times New Roman" w:hAnsi="Times New Roman"/>
          <w:b/>
          <w:sz w:val="20"/>
          <w:szCs w:val="22"/>
          <w:lang w:val="es-ES_tradnl" w:eastAsia="en-US"/>
        </w:rPr>
        <w:t>ANEXO D – CONSOLIDADO NACIONAL VOLUMEN DE PRODUCCIÓN POR RUBROS</w:t>
      </w:r>
      <w:r w:rsidR="00B10A65" w:rsidRPr="006569D0">
        <w:rPr>
          <w:rFonts w:ascii="Times New Roman" w:hAnsi="Times New Roman"/>
          <w:b/>
          <w:sz w:val="20"/>
          <w:szCs w:val="22"/>
          <w:lang w:val="es-ES_tradnl" w:eastAsia="en-US"/>
        </w:rPr>
        <w:t>……...</w:t>
      </w:r>
      <w:r w:rsidR="0001067E">
        <w:rPr>
          <w:rFonts w:ascii="Times New Roman" w:hAnsi="Times New Roman"/>
          <w:b/>
          <w:sz w:val="20"/>
          <w:szCs w:val="22"/>
          <w:lang w:val="es-ES_tradnl" w:eastAsia="en-US"/>
        </w:rPr>
        <w:t>2</w:t>
      </w:r>
      <w:r w:rsidR="0059163A">
        <w:rPr>
          <w:rFonts w:ascii="Times New Roman" w:hAnsi="Times New Roman"/>
          <w:b/>
          <w:sz w:val="20"/>
          <w:szCs w:val="22"/>
          <w:lang w:val="es-ES_tradnl" w:eastAsia="en-US"/>
        </w:rPr>
        <w:t>41</w:t>
      </w:r>
      <w:r w:rsidRPr="006569D0">
        <w:rPr>
          <w:rFonts w:ascii="Times New Roman" w:hAnsi="Times New Roman"/>
          <w:b/>
          <w:sz w:val="20"/>
          <w:szCs w:val="22"/>
          <w:lang w:val="es-ES_tradnl" w:eastAsia="en-US"/>
        </w:rPr>
        <w:t>-</w:t>
      </w:r>
      <w:r w:rsidR="0001067E">
        <w:rPr>
          <w:rFonts w:ascii="Times New Roman" w:hAnsi="Times New Roman"/>
          <w:b/>
          <w:sz w:val="20"/>
          <w:szCs w:val="22"/>
          <w:lang w:val="es-ES_tradnl" w:eastAsia="en-US"/>
        </w:rPr>
        <w:t>24</w:t>
      </w:r>
      <w:r w:rsidR="0059163A">
        <w:rPr>
          <w:rFonts w:ascii="Times New Roman" w:hAnsi="Times New Roman"/>
          <w:b/>
          <w:sz w:val="20"/>
          <w:szCs w:val="22"/>
          <w:lang w:val="es-ES_tradnl" w:eastAsia="en-US"/>
        </w:rPr>
        <w:t>3</w:t>
      </w:r>
    </w:p>
    <w:p w14:paraId="4621CD0E" w14:textId="4C3C5499" w:rsidR="00BA1F2E" w:rsidRPr="006569D0" w:rsidRDefault="003621CF" w:rsidP="006E1E65">
      <w:pPr>
        <w:spacing w:after="0"/>
        <w:ind w:right="-142"/>
        <w:jc w:val="both"/>
        <w:rPr>
          <w:rFonts w:ascii="Times New Roman" w:hAnsi="Times New Roman"/>
          <w:b/>
          <w:sz w:val="20"/>
          <w:szCs w:val="22"/>
          <w:lang w:val="es-ES_tradnl" w:eastAsia="en-US"/>
        </w:rPr>
      </w:pPr>
      <w:r w:rsidRPr="006569D0">
        <w:rPr>
          <w:rFonts w:ascii="Times New Roman" w:hAnsi="Times New Roman"/>
          <w:b/>
          <w:sz w:val="20"/>
          <w:szCs w:val="22"/>
          <w:lang w:val="es-ES_tradnl" w:eastAsia="en-US"/>
        </w:rPr>
        <w:t xml:space="preserve">ANEXO E – EJECUCIÓN FÍSICO-FINANCIERA PROYECTOS </w:t>
      </w:r>
      <w:r w:rsidRPr="006569D0">
        <w:rPr>
          <w:rFonts w:ascii="Times New Roman" w:hAnsi="Times New Roman"/>
          <w:b/>
          <w:sz w:val="20"/>
          <w:szCs w:val="22"/>
          <w:lang w:eastAsia="en-US"/>
        </w:rPr>
        <w:t>SNIP</w:t>
      </w:r>
      <w:r w:rsidR="00B10A65" w:rsidRPr="006569D0">
        <w:rPr>
          <w:rFonts w:ascii="Times New Roman" w:hAnsi="Times New Roman"/>
          <w:b/>
          <w:sz w:val="20"/>
          <w:szCs w:val="22"/>
          <w:lang w:eastAsia="en-US"/>
        </w:rPr>
        <w:t>…….</w:t>
      </w:r>
      <w:r w:rsidRPr="006569D0">
        <w:rPr>
          <w:rFonts w:ascii="Times New Roman" w:hAnsi="Times New Roman"/>
          <w:b/>
          <w:sz w:val="20"/>
          <w:szCs w:val="22"/>
          <w:lang w:val="es-ES_tradnl" w:eastAsia="en-US"/>
        </w:rPr>
        <w:t>………………………..</w:t>
      </w:r>
      <w:r w:rsidR="0001067E">
        <w:rPr>
          <w:rFonts w:ascii="Times New Roman" w:hAnsi="Times New Roman"/>
          <w:b/>
          <w:sz w:val="20"/>
          <w:szCs w:val="22"/>
          <w:lang w:val="es-ES_tradnl" w:eastAsia="en-US"/>
        </w:rPr>
        <w:t>24</w:t>
      </w:r>
      <w:r w:rsidR="0059163A">
        <w:rPr>
          <w:rFonts w:ascii="Times New Roman" w:hAnsi="Times New Roman"/>
          <w:b/>
          <w:sz w:val="20"/>
          <w:szCs w:val="22"/>
          <w:lang w:val="es-ES_tradnl" w:eastAsia="en-US"/>
        </w:rPr>
        <w:t>4</w:t>
      </w:r>
      <w:r w:rsidRPr="006569D0">
        <w:rPr>
          <w:rFonts w:ascii="Times New Roman" w:hAnsi="Times New Roman"/>
          <w:b/>
          <w:sz w:val="20"/>
          <w:szCs w:val="22"/>
          <w:lang w:val="es-ES_tradnl" w:eastAsia="en-US"/>
        </w:rPr>
        <w:t>-</w:t>
      </w:r>
      <w:r w:rsidR="0001067E">
        <w:rPr>
          <w:rFonts w:ascii="Times New Roman" w:hAnsi="Times New Roman"/>
          <w:b/>
          <w:sz w:val="20"/>
          <w:szCs w:val="22"/>
          <w:lang w:val="es-ES_tradnl" w:eastAsia="en-US"/>
        </w:rPr>
        <w:t>24</w:t>
      </w:r>
      <w:r w:rsidR="0059163A">
        <w:rPr>
          <w:rFonts w:ascii="Times New Roman" w:hAnsi="Times New Roman"/>
          <w:b/>
          <w:sz w:val="20"/>
          <w:szCs w:val="22"/>
          <w:lang w:val="es-ES_tradnl" w:eastAsia="en-US"/>
        </w:rPr>
        <w:t>6</w:t>
      </w:r>
    </w:p>
    <w:p w14:paraId="19C46BC7" w14:textId="17DD0214" w:rsidR="00BA1F2E" w:rsidRPr="006569D0" w:rsidRDefault="003621CF" w:rsidP="006E1E65">
      <w:pPr>
        <w:spacing w:after="0"/>
        <w:ind w:right="-142"/>
        <w:jc w:val="both"/>
        <w:rPr>
          <w:rFonts w:ascii="Times New Roman" w:hAnsi="Times New Roman"/>
          <w:b/>
          <w:sz w:val="20"/>
          <w:szCs w:val="22"/>
          <w:lang w:val="es-ES_tradnl" w:eastAsia="en-US"/>
        </w:rPr>
      </w:pPr>
      <w:r w:rsidRPr="006569D0">
        <w:rPr>
          <w:rFonts w:ascii="Times New Roman" w:hAnsi="Times New Roman"/>
          <w:b/>
          <w:sz w:val="20"/>
          <w:szCs w:val="22"/>
          <w:lang w:val="es-ES_tradnl" w:eastAsia="en-US"/>
        </w:rPr>
        <w:t>ANEXO F – INDICADORES DE DESEMPEÑO SMMGP (INSTITUCIONES SECTORIALES)</w:t>
      </w:r>
      <w:r w:rsidR="00B10A65" w:rsidRPr="006569D0">
        <w:rPr>
          <w:rFonts w:ascii="Times New Roman" w:hAnsi="Times New Roman"/>
          <w:b/>
          <w:sz w:val="20"/>
          <w:szCs w:val="22"/>
          <w:lang w:val="es-ES_tradnl" w:eastAsia="en-US"/>
        </w:rPr>
        <w:t>..</w:t>
      </w:r>
      <w:r w:rsidRPr="006569D0">
        <w:rPr>
          <w:rFonts w:ascii="Times New Roman" w:hAnsi="Times New Roman"/>
          <w:b/>
          <w:sz w:val="20"/>
          <w:szCs w:val="22"/>
          <w:lang w:val="es-ES_tradnl" w:eastAsia="en-US"/>
        </w:rPr>
        <w:t>…</w:t>
      </w:r>
      <w:r w:rsidR="0001067E">
        <w:rPr>
          <w:rFonts w:ascii="Times New Roman" w:hAnsi="Times New Roman"/>
          <w:b/>
          <w:sz w:val="20"/>
          <w:szCs w:val="22"/>
          <w:lang w:val="es-ES_tradnl" w:eastAsia="en-US"/>
        </w:rPr>
        <w:t>24</w:t>
      </w:r>
      <w:r w:rsidR="0059163A">
        <w:rPr>
          <w:rFonts w:ascii="Times New Roman" w:hAnsi="Times New Roman"/>
          <w:b/>
          <w:sz w:val="20"/>
          <w:szCs w:val="22"/>
          <w:lang w:val="es-ES_tradnl" w:eastAsia="en-US"/>
        </w:rPr>
        <w:t>7</w:t>
      </w:r>
      <w:r w:rsidRPr="006569D0">
        <w:rPr>
          <w:rFonts w:ascii="Times New Roman" w:hAnsi="Times New Roman"/>
          <w:b/>
          <w:sz w:val="20"/>
          <w:szCs w:val="22"/>
          <w:lang w:val="es-ES_tradnl" w:eastAsia="en-US"/>
        </w:rPr>
        <w:t>-</w:t>
      </w:r>
      <w:r w:rsidR="0001067E">
        <w:rPr>
          <w:rFonts w:ascii="Times New Roman" w:hAnsi="Times New Roman"/>
          <w:b/>
          <w:sz w:val="20"/>
          <w:szCs w:val="22"/>
          <w:lang w:val="es-ES_tradnl" w:eastAsia="en-US"/>
        </w:rPr>
        <w:t>24</w:t>
      </w:r>
      <w:r w:rsidR="0059163A">
        <w:rPr>
          <w:rFonts w:ascii="Times New Roman" w:hAnsi="Times New Roman"/>
          <w:b/>
          <w:sz w:val="20"/>
          <w:szCs w:val="22"/>
          <w:lang w:val="es-ES_tradnl" w:eastAsia="en-US"/>
        </w:rPr>
        <w:t>8</w:t>
      </w:r>
    </w:p>
    <w:p w14:paraId="1F677508" w14:textId="5D6EE943" w:rsidR="00F83929" w:rsidRPr="006569D0" w:rsidRDefault="003621CF" w:rsidP="00F83929">
      <w:pPr>
        <w:spacing w:after="0"/>
        <w:ind w:right="-142"/>
        <w:jc w:val="both"/>
        <w:rPr>
          <w:rFonts w:ascii="Times New Roman" w:hAnsi="Times New Roman"/>
          <w:b/>
          <w:sz w:val="20"/>
          <w:szCs w:val="22"/>
          <w:lang w:eastAsia="en-US"/>
        </w:rPr>
      </w:pPr>
      <w:r w:rsidRPr="006569D0">
        <w:rPr>
          <w:rFonts w:ascii="Times New Roman" w:hAnsi="Times New Roman"/>
          <w:b/>
          <w:sz w:val="20"/>
          <w:szCs w:val="22"/>
          <w:lang w:val="es-ES_tradnl" w:eastAsia="en-US"/>
        </w:rPr>
        <w:t xml:space="preserve">ANEXO </w:t>
      </w:r>
      <w:r w:rsidRPr="006569D0">
        <w:rPr>
          <w:rFonts w:ascii="Times New Roman" w:hAnsi="Times New Roman"/>
          <w:b/>
          <w:sz w:val="20"/>
          <w:szCs w:val="22"/>
          <w:lang w:eastAsia="en-US"/>
        </w:rPr>
        <w:t>G – RELACIÓN DE AVANCES DE METAS PRESIDENCIALES</w:t>
      </w:r>
      <w:r w:rsidR="00B10A65" w:rsidRPr="006569D0">
        <w:rPr>
          <w:rFonts w:ascii="Times New Roman" w:hAnsi="Times New Roman"/>
          <w:b/>
          <w:sz w:val="20"/>
          <w:szCs w:val="22"/>
          <w:lang w:eastAsia="en-US"/>
        </w:rPr>
        <w:t>…….</w:t>
      </w:r>
      <w:r w:rsidRPr="006569D0">
        <w:rPr>
          <w:rFonts w:ascii="Times New Roman" w:hAnsi="Times New Roman"/>
          <w:b/>
          <w:sz w:val="20"/>
          <w:szCs w:val="22"/>
          <w:lang w:eastAsia="en-US"/>
        </w:rPr>
        <w:t>…………………….</w:t>
      </w:r>
      <w:r w:rsidR="00C353F5" w:rsidRPr="006569D0">
        <w:rPr>
          <w:rFonts w:ascii="Times New Roman" w:hAnsi="Times New Roman"/>
          <w:b/>
          <w:sz w:val="20"/>
          <w:szCs w:val="22"/>
          <w:lang w:eastAsia="en-US"/>
        </w:rPr>
        <w:t>2</w:t>
      </w:r>
      <w:r w:rsidR="0001067E">
        <w:rPr>
          <w:rFonts w:ascii="Times New Roman" w:hAnsi="Times New Roman"/>
          <w:b/>
          <w:sz w:val="20"/>
          <w:szCs w:val="22"/>
          <w:lang w:eastAsia="en-US"/>
        </w:rPr>
        <w:t>4</w:t>
      </w:r>
      <w:r w:rsidR="0059163A">
        <w:rPr>
          <w:rFonts w:ascii="Times New Roman" w:hAnsi="Times New Roman"/>
          <w:b/>
          <w:sz w:val="20"/>
          <w:szCs w:val="22"/>
          <w:lang w:eastAsia="en-US"/>
        </w:rPr>
        <w:t>9</w:t>
      </w:r>
      <w:r w:rsidRPr="006569D0">
        <w:rPr>
          <w:rFonts w:ascii="Times New Roman" w:hAnsi="Times New Roman"/>
          <w:b/>
          <w:sz w:val="20"/>
          <w:szCs w:val="22"/>
          <w:lang w:eastAsia="en-US"/>
        </w:rPr>
        <w:t>-2</w:t>
      </w:r>
      <w:r w:rsidR="0001067E">
        <w:rPr>
          <w:rFonts w:ascii="Times New Roman" w:hAnsi="Times New Roman"/>
          <w:b/>
          <w:sz w:val="20"/>
          <w:szCs w:val="22"/>
          <w:lang w:eastAsia="en-US"/>
        </w:rPr>
        <w:t>5</w:t>
      </w:r>
      <w:r w:rsidR="0059163A">
        <w:rPr>
          <w:rFonts w:ascii="Times New Roman" w:hAnsi="Times New Roman"/>
          <w:b/>
          <w:sz w:val="20"/>
          <w:szCs w:val="22"/>
          <w:lang w:eastAsia="en-US"/>
        </w:rPr>
        <w:t>6</w:t>
      </w:r>
    </w:p>
    <w:p w14:paraId="5F016F2C" w14:textId="4C9DB3EA" w:rsidR="00C82783" w:rsidRPr="006569D0" w:rsidRDefault="003621CF" w:rsidP="006E1E65">
      <w:pPr>
        <w:spacing w:after="0"/>
        <w:ind w:right="-142"/>
        <w:jc w:val="both"/>
        <w:rPr>
          <w:rFonts w:ascii="Times New Roman" w:hAnsi="Times New Roman"/>
          <w:b/>
          <w:sz w:val="20"/>
          <w:szCs w:val="22"/>
          <w:lang w:eastAsia="en-US"/>
        </w:rPr>
      </w:pPr>
      <w:r w:rsidRPr="006569D0">
        <w:rPr>
          <w:rFonts w:ascii="Times New Roman" w:hAnsi="Times New Roman"/>
          <w:b/>
          <w:sz w:val="20"/>
          <w:szCs w:val="22"/>
          <w:lang w:val="es-ES_tradnl" w:eastAsia="en-US"/>
        </w:rPr>
        <w:t xml:space="preserve">ANEXO </w:t>
      </w:r>
      <w:r w:rsidRPr="006569D0">
        <w:rPr>
          <w:rFonts w:ascii="Times New Roman" w:hAnsi="Times New Roman"/>
          <w:b/>
          <w:sz w:val="20"/>
          <w:szCs w:val="22"/>
          <w:lang w:eastAsia="en-US"/>
        </w:rPr>
        <w:t>H – RELACIÓN DE PROYECTOS A EJECUTARSE A CORTO Y MEDIANO PLAZO</w:t>
      </w:r>
      <w:r w:rsidR="00B10A65" w:rsidRPr="006569D0">
        <w:rPr>
          <w:rFonts w:ascii="Times New Roman" w:hAnsi="Times New Roman"/>
          <w:b/>
          <w:sz w:val="20"/>
          <w:szCs w:val="22"/>
          <w:lang w:eastAsia="en-US"/>
        </w:rPr>
        <w:t>...</w:t>
      </w:r>
      <w:r w:rsidRPr="006569D0">
        <w:rPr>
          <w:rFonts w:ascii="Times New Roman" w:hAnsi="Times New Roman"/>
          <w:b/>
          <w:sz w:val="20"/>
          <w:szCs w:val="22"/>
          <w:lang w:eastAsia="en-US"/>
        </w:rPr>
        <w:t>.2</w:t>
      </w:r>
      <w:r w:rsidR="0001067E">
        <w:rPr>
          <w:rFonts w:ascii="Times New Roman" w:hAnsi="Times New Roman"/>
          <w:b/>
          <w:sz w:val="20"/>
          <w:szCs w:val="22"/>
          <w:lang w:eastAsia="en-US"/>
        </w:rPr>
        <w:t>5</w:t>
      </w:r>
      <w:r w:rsidR="0059163A">
        <w:rPr>
          <w:rFonts w:ascii="Times New Roman" w:hAnsi="Times New Roman"/>
          <w:b/>
          <w:sz w:val="20"/>
          <w:szCs w:val="22"/>
          <w:lang w:eastAsia="en-US"/>
        </w:rPr>
        <w:t>7</w:t>
      </w:r>
      <w:r w:rsidR="00984019" w:rsidRPr="006569D0">
        <w:rPr>
          <w:rFonts w:ascii="Times New Roman" w:hAnsi="Times New Roman"/>
          <w:b/>
          <w:sz w:val="20"/>
          <w:szCs w:val="22"/>
          <w:lang w:eastAsia="en-US"/>
        </w:rPr>
        <w:t>-</w:t>
      </w:r>
      <w:r w:rsidRPr="006569D0">
        <w:rPr>
          <w:rFonts w:ascii="Times New Roman" w:hAnsi="Times New Roman"/>
          <w:b/>
          <w:sz w:val="20"/>
          <w:szCs w:val="22"/>
          <w:lang w:eastAsia="en-US"/>
        </w:rPr>
        <w:t>2</w:t>
      </w:r>
      <w:r w:rsidR="0059163A">
        <w:rPr>
          <w:rFonts w:ascii="Times New Roman" w:hAnsi="Times New Roman"/>
          <w:b/>
          <w:sz w:val="20"/>
          <w:szCs w:val="22"/>
          <w:lang w:eastAsia="en-US"/>
        </w:rPr>
        <w:t>60</w:t>
      </w:r>
    </w:p>
    <w:p w14:paraId="5512DED3" w14:textId="78CF07B0" w:rsidR="00F23205" w:rsidRPr="006569D0" w:rsidRDefault="00F23205" w:rsidP="006E1E65">
      <w:pPr>
        <w:spacing w:after="0"/>
        <w:ind w:right="-142"/>
        <w:jc w:val="both"/>
        <w:rPr>
          <w:rFonts w:ascii="Times New Roman" w:hAnsi="Times New Roman"/>
          <w:b/>
          <w:sz w:val="20"/>
          <w:szCs w:val="22"/>
          <w:lang w:eastAsia="en-US"/>
        </w:rPr>
      </w:pPr>
      <w:r w:rsidRPr="006569D0">
        <w:rPr>
          <w:rFonts w:ascii="Times New Roman" w:hAnsi="Times New Roman"/>
          <w:b/>
          <w:sz w:val="20"/>
          <w:szCs w:val="22"/>
          <w:lang w:eastAsia="en-US"/>
        </w:rPr>
        <w:t>ANEXO I – COMPORTAMIENTO DE LAS PRECIPITACIONES A NICEL NACIONAL………...2</w:t>
      </w:r>
      <w:r w:rsidR="0059163A">
        <w:rPr>
          <w:rFonts w:ascii="Times New Roman" w:hAnsi="Times New Roman"/>
          <w:b/>
          <w:sz w:val="20"/>
          <w:szCs w:val="22"/>
          <w:lang w:eastAsia="en-US"/>
        </w:rPr>
        <w:t>61</w:t>
      </w:r>
      <w:r w:rsidRPr="006569D0">
        <w:rPr>
          <w:rFonts w:ascii="Times New Roman" w:hAnsi="Times New Roman"/>
          <w:b/>
          <w:sz w:val="20"/>
          <w:szCs w:val="22"/>
          <w:lang w:eastAsia="en-US"/>
        </w:rPr>
        <w:t>-2</w:t>
      </w:r>
      <w:r w:rsidR="0059163A">
        <w:rPr>
          <w:rFonts w:ascii="Times New Roman" w:hAnsi="Times New Roman"/>
          <w:b/>
          <w:sz w:val="20"/>
          <w:szCs w:val="22"/>
          <w:lang w:eastAsia="en-US"/>
        </w:rPr>
        <w:t>7</w:t>
      </w:r>
      <w:r w:rsidR="005303F6">
        <w:rPr>
          <w:rFonts w:ascii="Times New Roman" w:hAnsi="Times New Roman"/>
          <w:b/>
          <w:sz w:val="20"/>
          <w:szCs w:val="22"/>
          <w:lang w:eastAsia="en-US"/>
        </w:rPr>
        <w:t>9</w:t>
      </w:r>
    </w:p>
    <w:p w14:paraId="6EBF6599" w14:textId="3AF325DD" w:rsidR="00112BDF" w:rsidRPr="006569D0" w:rsidRDefault="0001067E" w:rsidP="00F23205">
      <w:pPr>
        <w:spacing w:after="0"/>
        <w:ind w:right="-142"/>
        <w:jc w:val="both"/>
        <w:rPr>
          <w:rFonts w:ascii="Times New Roman" w:hAnsi="Times New Roman"/>
          <w:sz w:val="22"/>
          <w:szCs w:val="22"/>
          <w:lang w:eastAsia="en-US"/>
        </w:rPr>
      </w:pPr>
      <w:r>
        <w:rPr>
          <w:rFonts w:ascii="Times New Roman" w:hAnsi="Times New Roman"/>
          <w:b/>
          <w:sz w:val="20"/>
          <w:szCs w:val="22"/>
          <w:lang w:eastAsia="en-US"/>
        </w:rPr>
        <w:t xml:space="preserve">ANEXO J – </w:t>
      </w:r>
      <w:r w:rsidR="00F23205" w:rsidRPr="006569D0">
        <w:rPr>
          <w:rFonts w:ascii="Times New Roman" w:hAnsi="Times New Roman"/>
          <w:b/>
          <w:sz w:val="20"/>
          <w:szCs w:val="22"/>
          <w:lang w:eastAsia="en-US"/>
        </w:rPr>
        <w:t xml:space="preserve">RESERVAS DE AGUA POR EMBALSES </w:t>
      </w:r>
      <w:r w:rsidR="00870EC9">
        <w:rPr>
          <w:rFonts w:ascii="Times New Roman" w:hAnsi="Times New Roman"/>
          <w:b/>
          <w:sz w:val="20"/>
          <w:szCs w:val="22"/>
          <w:lang w:eastAsia="en-US"/>
        </w:rPr>
        <w:t xml:space="preserve">Y </w:t>
      </w:r>
      <w:r w:rsidR="00F23205" w:rsidRPr="006569D0">
        <w:rPr>
          <w:rFonts w:ascii="Times New Roman" w:hAnsi="Times New Roman"/>
          <w:b/>
          <w:sz w:val="20"/>
          <w:szCs w:val="22"/>
          <w:lang w:eastAsia="en-US"/>
        </w:rPr>
        <w:t>REGION HIDROGRAF</w:t>
      </w:r>
      <w:r>
        <w:rPr>
          <w:rFonts w:ascii="Times New Roman" w:hAnsi="Times New Roman"/>
          <w:b/>
          <w:sz w:val="20"/>
          <w:szCs w:val="22"/>
          <w:lang w:eastAsia="en-US"/>
        </w:rPr>
        <w:t>ICA……………..</w:t>
      </w:r>
      <w:r w:rsidR="00F23205" w:rsidRPr="006569D0">
        <w:rPr>
          <w:rFonts w:ascii="Times New Roman" w:hAnsi="Times New Roman"/>
          <w:b/>
          <w:sz w:val="20"/>
          <w:szCs w:val="22"/>
          <w:lang w:eastAsia="en-US"/>
        </w:rPr>
        <w:t>2</w:t>
      </w:r>
      <w:r w:rsidR="005303F6">
        <w:rPr>
          <w:rFonts w:ascii="Times New Roman" w:hAnsi="Times New Roman"/>
          <w:b/>
          <w:sz w:val="20"/>
          <w:szCs w:val="22"/>
          <w:lang w:eastAsia="en-US"/>
        </w:rPr>
        <w:t>80</w:t>
      </w:r>
      <w:r>
        <w:rPr>
          <w:rFonts w:ascii="Times New Roman" w:hAnsi="Times New Roman"/>
          <w:b/>
          <w:sz w:val="20"/>
          <w:szCs w:val="22"/>
          <w:lang w:eastAsia="en-US"/>
        </w:rPr>
        <w:t>-2</w:t>
      </w:r>
      <w:r w:rsidR="0059163A">
        <w:rPr>
          <w:rFonts w:ascii="Times New Roman" w:hAnsi="Times New Roman"/>
          <w:b/>
          <w:sz w:val="20"/>
          <w:szCs w:val="22"/>
          <w:lang w:eastAsia="en-US"/>
        </w:rPr>
        <w:t>81</w:t>
      </w:r>
    </w:p>
    <w:p w14:paraId="74D845EC" w14:textId="126DB375" w:rsidR="00870EC9" w:rsidRDefault="00870EC9" w:rsidP="00870EC9">
      <w:pPr>
        <w:spacing w:after="0"/>
        <w:ind w:right="-142"/>
        <w:jc w:val="both"/>
        <w:rPr>
          <w:rFonts w:ascii="Times New Roman" w:hAnsi="Times New Roman"/>
          <w:b/>
          <w:sz w:val="20"/>
          <w:szCs w:val="22"/>
          <w:lang w:eastAsia="en-US"/>
        </w:rPr>
      </w:pPr>
      <w:r>
        <w:rPr>
          <w:rFonts w:ascii="Times New Roman" w:hAnsi="Times New Roman"/>
          <w:b/>
          <w:sz w:val="20"/>
          <w:szCs w:val="22"/>
          <w:lang w:eastAsia="en-US"/>
        </w:rPr>
        <w:t xml:space="preserve">ANEXO K </w:t>
      </w:r>
      <w:r w:rsidRPr="006569D0">
        <w:rPr>
          <w:rFonts w:ascii="Times New Roman" w:hAnsi="Times New Roman"/>
          <w:b/>
          <w:sz w:val="20"/>
          <w:szCs w:val="22"/>
          <w:lang w:eastAsia="en-US"/>
        </w:rPr>
        <w:t>–</w:t>
      </w:r>
      <w:r>
        <w:rPr>
          <w:rFonts w:ascii="Times New Roman" w:hAnsi="Times New Roman"/>
          <w:b/>
          <w:sz w:val="20"/>
          <w:szCs w:val="22"/>
          <w:lang w:eastAsia="en-US"/>
        </w:rPr>
        <w:t xml:space="preserve"> </w:t>
      </w:r>
      <w:r w:rsidR="0002504E" w:rsidRPr="006569D0">
        <w:rPr>
          <w:rFonts w:ascii="Times New Roman" w:hAnsi="Times New Roman"/>
          <w:b/>
          <w:sz w:val="20"/>
          <w:szCs w:val="22"/>
          <w:lang w:eastAsia="en-US"/>
        </w:rPr>
        <w:t xml:space="preserve">GRAFICO DE RESERVAS DE AGUA POR EMBALSES </w:t>
      </w:r>
      <w:r>
        <w:rPr>
          <w:rFonts w:ascii="Times New Roman" w:hAnsi="Times New Roman"/>
          <w:b/>
          <w:sz w:val="20"/>
          <w:szCs w:val="22"/>
          <w:lang w:eastAsia="en-US"/>
        </w:rPr>
        <w:t xml:space="preserve">Y </w:t>
      </w:r>
      <w:r w:rsidR="0002504E" w:rsidRPr="006569D0">
        <w:rPr>
          <w:rFonts w:ascii="Times New Roman" w:hAnsi="Times New Roman"/>
          <w:b/>
          <w:sz w:val="20"/>
          <w:szCs w:val="22"/>
          <w:lang w:eastAsia="en-US"/>
        </w:rPr>
        <w:t xml:space="preserve">REGION </w:t>
      </w:r>
      <w:r w:rsidR="0001067E">
        <w:rPr>
          <w:rFonts w:ascii="Times New Roman" w:hAnsi="Times New Roman"/>
          <w:b/>
          <w:sz w:val="20"/>
          <w:szCs w:val="22"/>
          <w:lang w:eastAsia="en-US"/>
        </w:rPr>
        <w:t>………………</w:t>
      </w:r>
      <w:r>
        <w:rPr>
          <w:rFonts w:ascii="Times New Roman" w:hAnsi="Times New Roman"/>
          <w:b/>
          <w:sz w:val="20"/>
          <w:szCs w:val="22"/>
          <w:lang w:eastAsia="en-US"/>
        </w:rPr>
        <w:t>..</w:t>
      </w:r>
      <w:r w:rsidR="0001067E">
        <w:rPr>
          <w:rFonts w:ascii="Times New Roman" w:hAnsi="Times New Roman"/>
          <w:b/>
          <w:sz w:val="20"/>
          <w:szCs w:val="22"/>
          <w:lang w:eastAsia="en-US"/>
        </w:rPr>
        <w:t>28</w:t>
      </w:r>
      <w:r w:rsidR="0059163A">
        <w:rPr>
          <w:rFonts w:ascii="Times New Roman" w:hAnsi="Times New Roman"/>
          <w:b/>
          <w:sz w:val="20"/>
          <w:szCs w:val="22"/>
          <w:lang w:eastAsia="en-US"/>
        </w:rPr>
        <w:t>2</w:t>
      </w:r>
      <w:r w:rsidR="0001067E">
        <w:rPr>
          <w:rFonts w:ascii="Times New Roman" w:hAnsi="Times New Roman"/>
          <w:b/>
          <w:sz w:val="20"/>
          <w:szCs w:val="22"/>
          <w:lang w:eastAsia="en-US"/>
        </w:rPr>
        <w:t>-2</w:t>
      </w:r>
      <w:r w:rsidR="0059163A">
        <w:rPr>
          <w:rFonts w:ascii="Times New Roman" w:hAnsi="Times New Roman"/>
          <w:b/>
          <w:sz w:val="20"/>
          <w:szCs w:val="22"/>
          <w:lang w:eastAsia="en-US"/>
        </w:rPr>
        <w:t>83</w:t>
      </w:r>
    </w:p>
    <w:p w14:paraId="5B213CCC" w14:textId="30DF840D" w:rsidR="00870EC9" w:rsidRDefault="00870EC9" w:rsidP="00870EC9">
      <w:pPr>
        <w:spacing w:after="0"/>
        <w:ind w:right="-142"/>
        <w:jc w:val="both"/>
        <w:rPr>
          <w:rFonts w:ascii="Times New Roman" w:hAnsi="Times New Roman"/>
          <w:b/>
          <w:sz w:val="20"/>
          <w:szCs w:val="22"/>
          <w:lang w:eastAsia="en-US"/>
        </w:rPr>
      </w:pPr>
      <w:r>
        <w:rPr>
          <w:rFonts w:ascii="Times New Roman" w:hAnsi="Times New Roman"/>
          <w:b/>
          <w:sz w:val="20"/>
          <w:szCs w:val="22"/>
          <w:lang w:eastAsia="en-US"/>
        </w:rPr>
        <w:t xml:space="preserve">ANEXO L </w:t>
      </w:r>
      <w:r w:rsidRPr="006569D0">
        <w:rPr>
          <w:rFonts w:ascii="Times New Roman" w:hAnsi="Times New Roman"/>
          <w:b/>
          <w:sz w:val="20"/>
          <w:szCs w:val="22"/>
          <w:lang w:eastAsia="en-US"/>
        </w:rPr>
        <w:t>–</w:t>
      </w:r>
      <w:r>
        <w:rPr>
          <w:rFonts w:ascii="Times New Roman" w:hAnsi="Times New Roman"/>
          <w:b/>
          <w:sz w:val="20"/>
          <w:szCs w:val="22"/>
          <w:lang w:eastAsia="en-US"/>
        </w:rPr>
        <w:t xml:space="preserve"> IMÁGENES DE PRODUCTOS, BIENES Y SERVICIOS</w:t>
      </w:r>
      <w:r w:rsidR="0001067E">
        <w:rPr>
          <w:rFonts w:ascii="Times New Roman" w:hAnsi="Times New Roman"/>
          <w:b/>
          <w:sz w:val="20"/>
          <w:szCs w:val="22"/>
          <w:lang w:eastAsia="en-US"/>
        </w:rPr>
        <w:t xml:space="preserve"> PUBLICOS………….……..</w:t>
      </w:r>
      <w:r>
        <w:rPr>
          <w:rFonts w:ascii="Times New Roman" w:hAnsi="Times New Roman"/>
          <w:b/>
          <w:sz w:val="20"/>
          <w:szCs w:val="22"/>
          <w:lang w:eastAsia="en-US"/>
        </w:rPr>
        <w:t>..</w:t>
      </w:r>
      <w:r w:rsidR="0001067E">
        <w:rPr>
          <w:rFonts w:ascii="Times New Roman" w:hAnsi="Times New Roman"/>
          <w:b/>
          <w:sz w:val="20"/>
          <w:szCs w:val="22"/>
          <w:lang w:eastAsia="en-US"/>
        </w:rPr>
        <w:t>28</w:t>
      </w:r>
      <w:r w:rsidR="0059163A">
        <w:rPr>
          <w:rFonts w:ascii="Times New Roman" w:hAnsi="Times New Roman"/>
          <w:b/>
          <w:sz w:val="20"/>
          <w:szCs w:val="22"/>
          <w:lang w:eastAsia="en-US"/>
        </w:rPr>
        <w:t>4</w:t>
      </w:r>
      <w:r w:rsidR="0001067E">
        <w:rPr>
          <w:rFonts w:ascii="Times New Roman" w:hAnsi="Times New Roman"/>
          <w:b/>
          <w:sz w:val="20"/>
          <w:szCs w:val="22"/>
          <w:lang w:eastAsia="en-US"/>
        </w:rPr>
        <w:t>-</w:t>
      </w:r>
      <w:r w:rsidR="0059163A">
        <w:rPr>
          <w:rFonts w:ascii="Times New Roman" w:hAnsi="Times New Roman"/>
          <w:b/>
          <w:sz w:val="20"/>
          <w:szCs w:val="22"/>
          <w:lang w:eastAsia="en-US"/>
        </w:rPr>
        <w:t>30</w:t>
      </w:r>
      <w:r w:rsidR="005303F6">
        <w:rPr>
          <w:rFonts w:ascii="Times New Roman" w:hAnsi="Times New Roman"/>
          <w:b/>
          <w:sz w:val="20"/>
          <w:szCs w:val="22"/>
          <w:lang w:eastAsia="en-US"/>
        </w:rPr>
        <w:t>4</w:t>
      </w:r>
    </w:p>
    <w:p w14:paraId="71B16930" w14:textId="61046312" w:rsidR="0001067E" w:rsidRDefault="0001067E" w:rsidP="00870EC9">
      <w:pPr>
        <w:spacing w:after="0"/>
        <w:ind w:right="-142"/>
        <w:jc w:val="both"/>
        <w:rPr>
          <w:rFonts w:ascii="Times New Roman" w:hAnsi="Times New Roman"/>
          <w:b/>
          <w:sz w:val="20"/>
          <w:szCs w:val="22"/>
          <w:lang w:eastAsia="en-US"/>
        </w:rPr>
      </w:pPr>
    </w:p>
    <w:p w14:paraId="00599836" w14:textId="77777777" w:rsidR="0001067E" w:rsidRDefault="0001067E" w:rsidP="00870EC9">
      <w:pPr>
        <w:spacing w:after="0"/>
        <w:ind w:right="-142"/>
        <w:jc w:val="both"/>
        <w:rPr>
          <w:rFonts w:ascii="Times New Roman" w:hAnsi="Times New Roman"/>
          <w:b/>
          <w:sz w:val="20"/>
          <w:szCs w:val="22"/>
          <w:lang w:eastAsia="en-US"/>
        </w:rPr>
      </w:pPr>
    </w:p>
    <w:p w14:paraId="3FA9A215" w14:textId="478AA7F2" w:rsidR="00870EC9" w:rsidRPr="006569D0" w:rsidRDefault="00870EC9" w:rsidP="00870EC9">
      <w:pPr>
        <w:spacing w:after="0"/>
        <w:ind w:right="-142"/>
        <w:jc w:val="both"/>
        <w:rPr>
          <w:rFonts w:ascii="Times New Roman" w:hAnsi="Times New Roman"/>
          <w:lang w:eastAsia="en-US"/>
        </w:rPr>
        <w:sectPr w:rsidR="00870EC9" w:rsidRPr="006569D0" w:rsidSect="0013440D">
          <w:footerReference w:type="default" r:id="rId9"/>
          <w:pgSz w:w="12240" w:h="15840" w:code="1"/>
          <w:pgMar w:top="1440" w:right="1183" w:bottom="1440" w:left="1985" w:header="720" w:footer="720" w:gutter="0"/>
          <w:cols w:space="720"/>
          <w:titlePg/>
          <w:docGrid w:linePitch="360"/>
        </w:sectPr>
      </w:pPr>
    </w:p>
    <w:p w14:paraId="69BBD113" w14:textId="77777777" w:rsidR="00EA3397" w:rsidRPr="006569D0" w:rsidRDefault="00C76977" w:rsidP="007440C2">
      <w:pPr>
        <w:pStyle w:val="Ttulo1"/>
      </w:pPr>
      <w:bookmarkStart w:id="2" w:name="_Toc251777815"/>
      <w:bookmarkStart w:id="3" w:name="_Toc440036653"/>
      <w:bookmarkStart w:id="4" w:name="_Toc470523312"/>
      <w:bookmarkStart w:id="5" w:name="_Toc26292009"/>
      <w:bookmarkStart w:id="6" w:name="_Toc27146714"/>
      <w:r w:rsidRPr="006569D0">
        <w:lastRenderedPageBreak/>
        <w:t>B</w:t>
      </w:r>
      <w:r w:rsidR="00364269" w:rsidRPr="006569D0">
        <w:t>ase i</w:t>
      </w:r>
      <w:r w:rsidR="00EA3397" w:rsidRPr="006569D0">
        <w:t>nstitucional</w:t>
      </w:r>
      <w:bookmarkEnd w:id="2"/>
      <w:bookmarkEnd w:id="3"/>
      <w:bookmarkEnd w:id="4"/>
      <w:bookmarkEnd w:id="5"/>
      <w:bookmarkEnd w:id="6"/>
    </w:p>
    <w:p w14:paraId="6550B0C0" w14:textId="77777777" w:rsidR="0013707F" w:rsidRPr="006569D0" w:rsidRDefault="0013707F" w:rsidP="00971391">
      <w:pPr>
        <w:spacing w:after="0" w:line="480" w:lineRule="auto"/>
        <w:rPr>
          <w:rFonts w:ascii="Times New Roman" w:hAnsi="Times New Roman"/>
        </w:rPr>
      </w:pPr>
      <w:bookmarkStart w:id="7" w:name="_Toc440036654"/>
      <w:bookmarkStart w:id="8" w:name="_Toc470523313"/>
    </w:p>
    <w:p w14:paraId="63999056" w14:textId="77777777" w:rsidR="00EA3397" w:rsidRPr="006569D0" w:rsidRDefault="00364269" w:rsidP="00954002">
      <w:pPr>
        <w:pStyle w:val="Ttulo2"/>
      </w:pPr>
      <w:bookmarkStart w:id="9" w:name="_Toc251777816"/>
      <w:bookmarkStart w:id="10" w:name="_Toc26292010"/>
      <w:bookmarkStart w:id="11" w:name="_Toc27146715"/>
      <w:r w:rsidRPr="006569D0">
        <w:t>Misión y v</w:t>
      </w:r>
      <w:r w:rsidR="00EA3397" w:rsidRPr="006569D0">
        <w:t>isión de la institución</w:t>
      </w:r>
      <w:bookmarkEnd w:id="7"/>
      <w:bookmarkEnd w:id="8"/>
      <w:bookmarkEnd w:id="9"/>
      <w:bookmarkEnd w:id="10"/>
      <w:bookmarkEnd w:id="11"/>
    </w:p>
    <w:p w14:paraId="1543243D" w14:textId="77777777" w:rsidR="001371F5" w:rsidRPr="006569D0" w:rsidRDefault="001371F5" w:rsidP="00971391">
      <w:pPr>
        <w:spacing w:after="0" w:line="480" w:lineRule="auto"/>
        <w:ind w:firstLine="720"/>
        <w:jc w:val="both"/>
        <w:rPr>
          <w:rFonts w:ascii="Times New Roman" w:eastAsia="Calibri" w:hAnsi="Times New Roman"/>
          <w:b/>
          <w:sz w:val="28"/>
          <w:szCs w:val="28"/>
          <w:lang w:val="es-ES_tradnl" w:eastAsia="en-US" w:bidi="en-US"/>
        </w:rPr>
      </w:pPr>
    </w:p>
    <w:p w14:paraId="4BD1E857" w14:textId="77777777" w:rsidR="00D118FB" w:rsidRPr="006569D0" w:rsidRDefault="00D118FB" w:rsidP="008021FD">
      <w:pPr>
        <w:spacing w:after="0" w:line="480" w:lineRule="auto"/>
        <w:ind w:firstLine="851"/>
        <w:jc w:val="both"/>
        <w:rPr>
          <w:rFonts w:ascii="Times New Roman" w:eastAsia="Calibri" w:hAnsi="Times New Roman"/>
          <w:b/>
          <w:sz w:val="28"/>
          <w:szCs w:val="28"/>
          <w:lang w:val="es-ES_tradnl" w:eastAsia="en-US" w:bidi="en-US"/>
        </w:rPr>
      </w:pPr>
      <w:r w:rsidRPr="006569D0">
        <w:rPr>
          <w:rFonts w:ascii="Times New Roman" w:eastAsia="Calibri" w:hAnsi="Times New Roman"/>
          <w:b/>
          <w:sz w:val="28"/>
          <w:szCs w:val="28"/>
          <w:lang w:val="es-ES_tradnl" w:eastAsia="en-US" w:bidi="en-US"/>
        </w:rPr>
        <w:t>Misión</w:t>
      </w:r>
    </w:p>
    <w:p w14:paraId="4ECB2394" w14:textId="77777777" w:rsidR="003D6724" w:rsidRPr="006569D0" w:rsidRDefault="0073752D" w:rsidP="008021FD">
      <w:pPr>
        <w:spacing w:after="0" w:line="480" w:lineRule="auto"/>
        <w:ind w:firstLine="851"/>
        <w:jc w:val="both"/>
        <w:rPr>
          <w:rFonts w:ascii="Times New Roman" w:hAnsi="Times New Roman"/>
          <w:lang w:val="es-ES_tradnl"/>
        </w:rPr>
      </w:pPr>
      <w:r w:rsidRPr="006569D0">
        <w:rPr>
          <w:rFonts w:ascii="Times New Roman" w:hAnsi="Times New Roman"/>
          <w:lang w:val="es-ES_tradnl"/>
        </w:rPr>
        <w:t>F</w:t>
      </w:r>
      <w:r w:rsidR="00530E9A" w:rsidRPr="006569D0">
        <w:rPr>
          <w:rFonts w:ascii="Times New Roman" w:hAnsi="Times New Roman"/>
          <w:lang w:val="es-ES_tradnl"/>
        </w:rPr>
        <w:t>ormular y dirigir las políticas agropecuarias de acuerdo con los planes generales de desarrollo del país, articular las actividades entr</w:t>
      </w:r>
      <w:r w:rsidR="00162CD2" w:rsidRPr="006569D0">
        <w:rPr>
          <w:rFonts w:ascii="Times New Roman" w:hAnsi="Times New Roman"/>
          <w:lang w:val="es-ES_tradnl"/>
        </w:rPr>
        <w:t xml:space="preserve">e las instituciones del sector </w:t>
      </w:r>
      <w:r w:rsidR="00530E9A" w:rsidRPr="006569D0">
        <w:rPr>
          <w:rFonts w:ascii="Times New Roman" w:hAnsi="Times New Roman"/>
          <w:lang w:val="es-ES_tradnl"/>
        </w:rPr>
        <w:t xml:space="preserve">y promover el desarrollo económico y social rural para el mejoramiento de las </w:t>
      </w:r>
      <w:r w:rsidR="00D075E1" w:rsidRPr="006569D0">
        <w:rPr>
          <w:rFonts w:ascii="Times New Roman" w:hAnsi="Times New Roman"/>
          <w:lang w:val="es-ES_tradnl"/>
        </w:rPr>
        <w:t xml:space="preserve">condiciones de vida del campo, </w:t>
      </w:r>
      <w:r w:rsidR="00530E9A" w:rsidRPr="006569D0">
        <w:rPr>
          <w:rFonts w:ascii="Times New Roman" w:hAnsi="Times New Roman"/>
          <w:lang w:val="es-ES_tradnl"/>
        </w:rPr>
        <w:t>garantizar la seguridad alimentari</w:t>
      </w:r>
      <w:r w:rsidR="003D6724" w:rsidRPr="006569D0">
        <w:rPr>
          <w:rFonts w:ascii="Times New Roman" w:hAnsi="Times New Roman"/>
          <w:lang w:val="es-ES_tradnl"/>
        </w:rPr>
        <w:t>a.</w:t>
      </w:r>
    </w:p>
    <w:p w14:paraId="6220B3AA" w14:textId="77777777" w:rsidR="003D6724" w:rsidRPr="006569D0" w:rsidRDefault="003D6724" w:rsidP="008021FD">
      <w:pPr>
        <w:spacing w:after="0" w:line="480" w:lineRule="auto"/>
        <w:ind w:firstLine="851"/>
        <w:jc w:val="both"/>
        <w:rPr>
          <w:rFonts w:ascii="Times New Roman" w:hAnsi="Times New Roman"/>
          <w:lang w:val="es-ES_tradnl"/>
        </w:rPr>
      </w:pPr>
    </w:p>
    <w:p w14:paraId="1B9964DD" w14:textId="77777777" w:rsidR="00530E9A" w:rsidRPr="006569D0" w:rsidRDefault="003D6724" w:rsidP="008021FD">
      <w:pPr>
        <w:spacing w:after="0" w:line="480" w:lineRule="auto"/>
        <w:ind w:firstLine="851"/>
        <w:jc w:val="both"/>
        <w:rPr>
          <w:rFonts w:ascii="Times New Roman" w:hAnsi="Times New Roman"/>
          <w:lang w:val="es-ES_tradnl"/>
        </w:rPr>
      </w:pPr>
      <w:r w:rsidRPr="006569D0">
        <w:rPr>
          <w:rFonts w:ascii="Times New Roman" w:hAnsi="Times New Roman"/>
          <w:lang w:val="es-ES_tradnl"/>
        </w:rPr>
        <w:t xml:space="preserve">Así como </w:t>
      </w:r>
      <w:r w:rsidR="00D075E1" w:rsidRPr="006569D0">
        <w:rPr>
          <w:rFonts w:ascii="Times New Roman" w:hAnsi="Times New Roman"/>
          <w:lang w:val="es-ES_tradnl"/>
        </w:rPr>
        <w:t xml:space="preserve">la generación </w:t>
      </w:r>
      <w:r w:rsidR="00530E9A" w:rsidRPr="006569D0">
        <w:rPr>
          <w:rFonts w:ascii="Times New Roman" w:hAnsi="Times New Roman"/>
          <w:lang w:val="es-ES_tradnl"/>
        </w:rPr>
        <w:t>y</w:t>
      </w:r>
      <w:r w:rsidR="00D075E1" w:rsidRPr="006569D0">
        <w:rPr>
          <w:rFonts w:ascii="Times New Roman" w:hAnsi="Times New Roman"/>
          <w:lang w:val="es-ES_tradnl"/>
        </w:rPr>
        <w:t xml:space="preserve"> calidad de empleos </w:t>
      </w:r>
      <w:r w:rsidRPr="006569D0">
        <w:rPr>
          <w:rFonts w:ascii="Times New Roman" w:hAnsi="Times New Roman"/>
          <w:lang w:val="es-ES_tradnl"/>
        </w:rPr>
        <w:t xml:space="preserve">para </w:t>
      </w:r>
      <w:r w:rsidR="00D075E1" w:rsidRPr="006569D0">
        <w:rPr>
          <w:rFonts w:ascii="Times New Roman" w:hAnsi="Times New Roman"/>
          <w:lang w:val="es-ES_tradnl"/>
        </w:rPr>
        <w:t xml:space="preserve">impulsar </w:t>
      </w:r>
      <w:r w:rsidR="00530E9A" w:rsidRPr="006569D0">
        <w:rPr>
          <w:rFonts w:ascii="Times New Roman" w:hAnsi="Times New Roman"/>
          <w:lang w:val="es-ES_tradnl"/>
        </w:rPr>
        <w:t xml:space="preserve">la capacidad productiva y la competitividad de los productos agropecuarios en los mercados nacionales e internacionales. </w:t>
      </w:r>
    </w:p>
    <w:p w14:paraId="66BF3F89" w14:textId="77777777" w:rsidR="009C4E7F" w:rsidRPr="006569D0" w:rsidRDefault="009C4E7F" w:rsidP="008021FD">
      <w:pPr>
        <w:spacing w:after="0" w:line="480" w:lineRule="auto"/>
        <w:ind w:firstLine="851"/>
        <w:jc w:val="both"/>
        <w:rPr>
          <w:rFonts w:ascii="Times New Roman" w:hAnsi="Times New Roman"/>
          <w:lang w:val="es-ES_tradnl"/>
        </w:rPr>
      </w:pPr>
    </w:p>
    <w:p w14:paraId="51F54F06" w14:textId="77777777" w:rsidR="00D118FB" w:rsidRPr="006569D0" w:rsidRDefault="00D118FB" w:rsidP="008021FD">
      <w:pPr>
        <w:spacing w:after="0" w:line="480" w:lineRule="auto"/>
        <w:ind w:firstLine="851"/>
        <w:jc w:val="both"/>
        <w:rPr>
          <w:rFonts w:ascii="Times New Roman" w:hAnsi="Times New Roman"/>
          <w:lang w:val="es-ES_tradnl"/>
        </w:rPr>
      </w:pPr>
      <w:r w:rsidRPr="006569D0">
        <w:rPr>
          <w:rFonts w:ascii="Times New Roman" w:eastAsia="Calibri" w:hAnsi="Times New Roman"/>
          <w:b/>
          <w:sz w:val="28"/>
          <w:szCs w:val="28"/>
          <w:lang w:val="es-ES_tradnl" w:eastAsia="en-US" w:bidi="en-US"/>
        </w:rPr>
        <w:t>Visión</w:t>
      </w:r>
    </w:p>
    <w:p w14:paraId="4AE5745E" w14:textId="77777777" w:rsidR="00530E9A" w:rsidRPr="006569D0" w:rsidRDefault="003F0B8A" w:rsidP="008021FD">
      <w:pPr>
        <w:spacing w:after="0" w:line="480" w:lineRule="auto"/>
        <w:ind w:firstLine="851"/>
        <w:jc w:val="both"/>
        <w:rPr>
          <w:rFonts w:ascii="Times New Roman" w:hAnsi="Times New Roman"/>
          <w:lang w:val="es-ES_tradnl"/>
        </w:rPr>
      </w:pPr>
      <w:r w:rsidRPr="006569D0">
        <w:rPr>
          <w:rFonts w:ascii="Times New Roman" w:hAnsi="Times New Roman"/>
          <w:lang w:val="es-ES_tradnl"/>
        </w:rPr>
        <w:t>U</w:t>
      </w:r>
      <w:r w:rsidR="00530E9A" w:rsidRPr="006569D0">
        <w:rPr>
          <w:rFonts w:ascii="Times New Roman" w:hAnsi="Times New Roman"/>
          <w:lang w:val="es-ES_tradnl"/>
        </w:rPr>
        <w:t>n sector agropecuario eficiente, competitivo e innovador y emprendedor, que sirva de base a la economía dominicana, proporcionándole la fuente alimentar</w:t>
      </w:r>
      <w:r w:rsidR="00B06034" w:rsidRPr="006569D0">
        <w:rPr>
          <w:rFonts w:ascii="Times New Roman" w:hAnsi="Times New Roman"/>
          <w:lang w:val="es-ES_tradnl"/>
        </w:rPr>
        <w:t>i</w:t>
      </w:r>
      <w:r w:rsidR="00530E9A" w:rsidRPr="006569D0">
        <w:rPr>
          <w:rFonts w:ascii="Times New Roman" w:hAnsi="Times New Roman"/>
          <w:lang w:val="es-ES_tradnl"/>
        </w:rPr>
        <w:t>a a la población, generador de oportunidades, beneficios económicos y sociales para los/as productores/as y consumidores/as.</w:t>
      </w:r>
    </w:p>
    <w:p w14:paraId="5FAE1629" w14:textId="77777777" w:rsidR="00B53199" w:rsidRPr="006569D0" w:rsidRDefault="00B53199">
      <w:pPr>
        <w:spacing w:after="0"/>
        <w:rPr>
          <w:rFonts w:ascii="Times New Roman" w:hAnsi="Times New Roman"/>
          <w:lang w:val="es-ES_tradnl"/>
        </w:rPr>
      </w:pPr>
      <w:bookmarkStart w:id="12" w:name="_Toc409040048"/>
      <w:bookmarkStart w:id="13" w:name="_Toc440036655"/>
      <w:bookmarkStart w:id="14" w:name="_Toc470523314"/>
      <w:r w:rsidRPr="006569D0">
        <w:rPr>
          <w:b/>
        </w:rPr>
        <w:br w:type="page"/>
      </w:r>
    </w:p>
    <w:p w14:paraId="3494FED5" w14:textId="77777777" w:rsidR="00530E9A" w:rsidRPr="006569D0" w:rsidRDefault="00530E9A" w:rsidP="00954002">
      <w:pPr>
        <w:pStyle w:val="Ttulo2"/>
      </w:pPr>
      <w:bookmarkStart w:id="15" w:name="_Toc26292011"/>
      <w:bookmarkStart w:id="16" w:name="_Toc27146716"/>
      <w:r w:rsidRPr="006569D0">
        <w:lastRenderedPageBreak/>
        <w:t>Breve reseña de la base legal institucional</w:t>
      </w:r>
      <w:bookmarkEnd w:id="12"/>
      <w:bookmarkEnd w:id="13"/>
      <w:bookmarkEnd w:id="14"/>
      <w:bookmarkEnd w:id="15"/>
      <w:bookmarkEnd w:id="16"/>
    </w:p>
    <w:p w14:paraId="53010659" w14:textId="77777777" w:rsidR="00530E9A" w:rsidRPr="006569D0" w:rsidRDefault="00530E9A" w:rsidP="000724CE">
      <w:pPr>
        <w:spacing w:after="0" w:line="480" w:lineRule="auto"/>
        <w:ind w:firstLine="851"/>
        <w:jc w:val="both"/>
        <w:rPr>
          <w:rFonts w:ascii="Times New Roman" w:hAnsi="Times New Roman"/>
          <w:lang w:val="es-ES_tradnl"/>
        </w:rPr>
      </w:pPr>
      <w:r w:rsidRPr="006569D0">
        <w:rPr>
          <w:rFonts w:ascii="Times New Roman" w:hAnsi="Times New Roman"/>
          <w:lang w:val="es-ES_tradnl"/>
        </w:rPr>
        <w:t xml:space="preserve">El Ministerio de Agricultura fue instituido en la Constitución del 25 de </w:t>
      </w:r>
      <w:r w:rsidR="001F47A3" w:rsidRPr="006569D0">
        <w:rPr>
          <w:rFonts w:ascii="Times New Roman" w:hAnsi="Times New Roman"/>
          <w:lang w:val="es-ES_tradnl"/>
        </w:rPr>
        <w:t>f</w:t>
      </w:r>
      <w:r w:rsidRPr="006569D0">
        <w:rPr>
          <w:rFonts w:ascii="Times New Roman" w:hAnsi="Times New Roman"/>
          <w:lang w:val="es-ES_tradnl"/>
        </w:rPr>
        <w:t>ebrero de 1854 con el nombre de Secretaría de Estado de Interior, Policía y Agricultura.</w:t>
      </w:r>
    </w:p>
    <w:p w14:paraId="695D5D6B" w14:textId="77777777" w:rsidR="001371F5" w:rsidRPr="006569D0" w:rsidRDefault="001371F5" w:rsidP="00971391">
      <w:pPr>
        <w:spacing w:after="0" w:line="480" w:lineRule="auto"/>
        <w:ind w:firstLine="720"/>
        <w:jc w:val="both"/>
        <w:rPr>
          <w:rFonts w:ascii="Times New Roman" w:hAnsi="Times New Roman"/>
          <w:lang w:val="es-ES_tradnl"/>
        </w:rPr>
      </w:pPr>
    </w:p>
    <w:p w14:paraId="3DD5D0F3" w14:textId="77777777" w:rsidR="00530E9A" w:rsidRPr="006569D0" w:rsidRDefault="00530E9A" w:rsidP="000724CE">
      <w:pPr>
        <w:spacing w:after="0" w:line="480" w:lineRule="auto"/>
        <w:ind w:firstLine="851"/>
        <w:jc w:val="both"/>
        <w:rPr>
          <w:rFonts w:ascii="Times New Roman" w:hAnsi="Times New Roman"/>
          <w:lang w:val="es-ES_tradnl"/>
        </w:rPr>
      </w:pPr>
      <w:r w:rsidRPr="006569D0">
        <w:rPr>
          <w:rFonts w:ascii="Times New Roman" w:hAnsi="Times New Roman"/>
          <w:lang w:val="es-ES_tradnl"/>
        </w:rPr>
        <w:t xml:space="preserve">Actualmente se rige por la Ley </w:t>
      </w:r>
      <w:r w:rsidR="00BA36D3" w:rsidRPr="006569D0">
        <w:rPr>
          <w:rFonts w:ascii="Times New Roman" w:hAnsi="Times New Roman"/>
          <w:lang w:val="es-ES_tradnl"/>
        </w:rPr>
        <w:t>No.</w:t>
      </w:r>
      <w:r w:rsidRPr="006569D0">
        <w:rPr>
          <w:rFonts w:ascii="Times New Roman" w:hAnsi="Times New Roman"/>
          <w:lang w:val="es-ES_tradnl"/>
        </w:rPr>
        <w:t xml:space="preserve"> 8, publicada en la Gaceta Oficial </w:t>
      </w:r>
      <w:r w:rsidR="00BA36D3" w:rsidRPr="006569D0">
        <w:rPr>
          <w:rFonts w:ascii="Times New Roman" w:hAnsi="Times New Roman"/>
          <w:lang w:val="es-ES_tradnl"/>
        </w:rPr>
        <w:t>No.</w:t>
      </w:r>
      <w:r w:rsidR="00FE04DA" w:rsidRPr="006569D0">
        <w:rPr>
          <w:rFonts w:ascii="Times New Roman" w:hAnsi="Times New Roman"/>
          <w:lang w:val="es-ES_tradnl"/>
        </w:rPr>
        <w:t xml:space="preserve"> </w:t>
      </w:r>
      <w:r w:rsidRPr="006569D0">
        <w:rPr>
          <w:rFonts w:ascii="Times New Roman" w:hAnsi="Times New Roman"/>
          <w:lang w:val="es-ES_tradnl"/>
        </w:rPr>
        <w:t xml:space="preserve">8945, del 8 de septiembre de 1965, que establece las funciones del organismo. Esta ley se encuentra </w:t>
      </w:r>
      <w:r w:rsidR="00B43858" w:rsidRPr="006569D0">
        <w:rPr>
          <w:rFonts w:ascii="Times New Roman" w:hAnsi="Times New Roman"/>
          <w:lang w:val="es-ES_tradnl"/>
        </w:rPr>
        <w:t>actualmente</w:t>
      </w:r>
      <w:r w:rsidRPr="006569D0">
        <w:rPr>
          <w:rFonts w:ascii="Times New Roman" w:hAnsi="Times New Roman"/>
          <w:lang w:val="es-ES_tradnl"/>
        </w:rPr>
        <w:t xml:space="preserve"> en proceso de revisión, a los fines de adaptarla a la nueva Constitución de la República Dominicana, del 26 de enero del 2010.</w:t>
      </w:r>
    </w:p>
    <w:p w14:paraId="4EBDD683" w14:textId="77777777" w:rsidR="009C4E7F" w:rsidRPr="006569D0" w:rsidRDefault="009C4E7F" w:rsidP="00971391">
      <w:pPr>
        <w:widowControl w:val="0"/>
        <w:autoSpaceDE w:val="0"/>
        <w:autoSpaceDN w:val="0"/>
        <w:adjustRightInd w:val="0"/>
        <w:spacing w:after="0" w:line="480" w:lineRule="auto"/>
        <w:ind w:firstLine="720"/>
        <w:jc w:val="both"/>
        <w:rPr>
          <w:rFonts w:ascii="Times New Roman" w:hAnsi="Times New Roman"/>
          <w:lang w:val="es-ES_tradnl"/>
        </w:rPr>
      </w:pPr>
    </w:p>
    <w:p w14:paraId="63DB506E" w14:textId="77777777" w:rsidR="0073752D" w:rsidRPr="006569D0" w:rsidRDefault="00530E9A" w:rsidP="000724CE">
      <w:pPr>
        <w:spacing w:after="0" w:line="480" w:lineRule="auto"/>
        <w:ind w:firstLine="851"/>
        <w:jc w:val="both"/>
        <w:rPr>
          <w:rFonts w:ascii="Times New Roman" w:hAnsi="Times New Roman"/>
          <w:lang w:val="es-ES_tradnl"/>
        </w:rPr>
      </w:pPr>
      <w:r w:rsidRPr="006569D0">
        <w:rPr>
          <w:rFonts w:ascii="Times New Roman" w:hAnsi="Times New Roman"/>
          <w:lang w:val="es-ES_tradnl"/>
        </w:rPr>
        <w:t xml:space="preserve">Otros instrumentos legales que dan operatividad a este Ministerio son los siguientes: el Decreto </w:t>
      </w:r>
      <w:r w:rsidR="00BA36D3" w:rsidRPr="006569D0">
        <w:rPr>
          <w:rFonts w:ascii="Times New Roman" w:hAnsi="Times New Roman"/>
          <w:lang w:val="es-ES_tradnl"/>
        </w:rPr>
        <w:t>No.</w:t>
      </w:r>
      <w:r w:rsidRPr="006569D0">
        <w:rPr>
          <w:rFonts w:ascii="Times New Roman" w:hAnsi="Times New Roman"/>
          <w:lang w:val="es-ES_tradnl"/>
        </w:rPr>
        <w:t xml:space="preserve"> 1142, del 28 de abril de 1966, Gaceta Oficial </w:t>
      </w:r>
      <w:r w:rsidR="00BA36D3" w:rsidRPr="006569D0">
        <w:rPr>
          <w:rFonts w:ascii="Times New Roman" w:hAnsi="Times New Roman"/>
          <w:lang w:val="es-ES_tradnl"/>
        </w:rPr>
        <w:t>No.</w:t>
      </w:r>
      <w:r w:rsidRPr="006569D0">
        <w:rPr>
          <w:rFonts w:ascii="Times New Roman" w:hAnsi="Times New Roman"/>
          <w:lang w:val="es-ES_tradnl"/>
        </w:rPr>
        <w:t xml:space="preserve"> 8982, que aprueba el Reglamento Orgánico del Ministerio de Agricultura; la Ley </w:t>
      </w:r>
      <w:r w:rsidR="00BA36D3" w:rsidRPr="006569D0">
        <w:rPr>
          <w:rFonts w:ascii="Times New Roman" w:hAnsi="Times New Roman"/>
          <w:lang w:val="es-ES_tradnl"/>
        </w:rPr>
        <w:t>No.</w:t>
      </w:r>
      <w:r w:rsidRPr="006569D0">
        <w:rPr>
          <w:rFonts w:ascii="Times New Roman" w:hAnsi="Times New Roman"/>
          <w:lang w:val="es-ES_tradnl"/>
        </w:rPr>
        <w:t xml:space="preserve"> 76, del 3 de diciembre de</w:t>
      </w:r>
      <w:r w:rsidR="00FE04DA" w:rsidRPr="006569D0">
        <w:rPr>
          <w:rFonts w:ascii="Times New Roman" w:hAnsi="Times New Roman"/>
          <w:lang w:val="es-ES_tradnl"/>
        </w:rPr>
        <w:t xml:space="preserve"> </w:t>
      </w:r>
      <w:r w:rsidRPr="006569D0">
        <w:rPr>
          <w:rFonts w:ascii="Times New Roman" w:hAnsi="Times New Roman"/>
          <w:lang w:val="es-ES_tradnl"/>
        </w:rPr>
        <w:t xml:space="preserve">1966, Gaceta Oficial </w:t>
      </w:r>
      <w:r w:rsidR="00BA36D3" w:rsidRPr="006569D0">
        <w:rPr>
          <w:rFonts w:ascii="Times New Roman" w:hAnsi="Times New Roman"/>
          <w:lang w:val="es-ES_tradnl"/>
        </w:rPr>
        <w:t>No.</w:t>
      </w:r>
      <w:r w:rsidRPr="006569D0">
        <w:rPr>
          <w:rFonts w:ascii="Times New Roman" w:hAnsi="Times New Roman"/>
          <w:lang w:val="es-ES_tradnl"/>
        </w:rPr>
        <w:t xml:space="preserve"> 9016, que estructura el Consejo Nacional de Agricultura;</w:t>
      </w:r>
    </w:p>
    <w:p w14:paraId="6FA97AED" w14:textId="77777777" w:rsidR="0073752D" w:rsidRPr="006569D0" w:rsidRDefault="0073752D" w:rsidP="000724CE">
      <w:pPr>
        <w:spacing w:after="0" w:line="480" w:lineRule="auto"/>
        <w:ind w:firstLine="851"/>
        <w:jc w:val="both"/>
        <w:rPr>
          <w:rFonts w:ascii="Times New Roman" w:hAnsi="Times New Roman"/>
          <w:lang w:val="es-ES_tradnl"/>
        </w:rPr>
      </w:pPr>
    </w:p>
    <w:p w14:paraId="53DDD6AC" w14:textId="77777777" w:rsidR="0073752D" w:rsidRPr="006569D0" w:rsidRDefault="0073752D" w:rsidP="000724CE">
      <w:pPr>
        <w:spacing w:after="0" w:line="480" w:lineRule="auto"/>
        <w:ind w:firstLine="851"/>
        <w:jc w:val="both"/>
        <w:rPr>
          <w:rFonts w:ascii="Times New Roman" w:hAnsi="Times New Roman"/>
          <w:lang w:val="es-ES_tradnl"/>
        </w:rPr>
      </w:pPr>
      <w:r w:rsidRPr="006569D0">
        <w:rPr>
          <w:rFonts w:ascii="Times New Roman" w:hAnsi="Times New Roman"/>
          <w:lang w:val="es-ES_tradnl"/>
        </w:rPr>
        <w:t>Adicionalmente,</w:t>
      </w:r>
      <w:r w:rsidR="00530E9A" w:rsidRPr="006569D0">
        <w:rPr>
          <w:rFonts w:ascii="Times New Roman" w:hAnsi="Times New Roman"/>
          <w:lang w:val="es-ES_tradnl"/>
        </w:rPr>
        <w:t xml:space="preserve"> la Ley </w:t>
      </w:r>
      <w:r w:rsidR="00BA36D3" w:rsidRPr="006569D0">
        <w:rPr>
          <w:rFonts w:ascii="Times New Roman" w:hAnsi="Times New Roman"/>
          <w:lang w:val="es-ES_tradnl"/>
        </w:rPr>
        <w:t>No.</w:t>
      </w:r>
      <w:r w:rsidR="00530E9A" w:rsidRPr="006569D0">
        <w:rPr>
          <w:rFonts w:ascii="Times New Roman" w:hAnsi="Times New Roman"/>
          <w:lang w:val="es-ES_tradnl"/>
        </w:rPr>
        <w:t xml:space="preserve"> 311, del 22 de mayo de 1968, Gaceta Oficial </w:t>
      </w:r>
      <w:r w:rsidR="00BA36D3" w:rsidRPr="006569D0">
        <w:rPr>
          <w:rFonts w:ascii="Times New Roman" w:hAnsi="Times New Roman"/>
          <w:lang w:val="es-ES_tradnl"/>
        </w:rPr>
        <w:t>No.</w:t>
      </w:r>
      <w:r w:rsidR="00530E9A" w:rsidRPr="006569D0">
        <w:rPr>
          <w:rFonts w:ascii="Times New Roman" w:hAnsi="Times New Roman"/>
          <w:lang w:val="es-ES_tradnl"/>
        </w:rPr>
        <w:t xml:space="preserve"> 9085, de</w:t>
      </w:r>
      <w:r w:rsidR="002870C3" w:rsidRPr="006569D0">
        <w:rPr>
          <w:rFonts w:ascii="Times New Roman" w:hAnsi="Times New Roman"/>
          <w:lang w:val="es-ES_tradnl"/>
        </w:rPr>
        <w:t>l</w:t>
      </w:r>
      <w:r w:rsidR="00530E9A" w:rsidRPr="006569D0">
        <w:rPr>
          <w:rFonts w:ascii="Times New Roman" w:hAnsi="Times New Roman"/>
          <w:lang w:val="es-ES_tradnl"/>
        </w:rPr>
        <w:t xml:space="preserve"> 15 de junio de 1968, que regula la fabricación, elaboración, envase, almacenamiento, importación, expendio y comercio de pesticidas y </w:t>
      </w:r>
      <w:r w:rsidR="00B43858" w:rsidRPr="006569D0">
        <w:rPr>
          <w:rFonts w:ascii="Times New Roman" w:hAnsi="Times New Roman"/>
          <w:lang w:val="es-ES_tradnl"/>
        </w:rPr>
        <w:t xml:space="preserve">otros </w:t>
      </w:r>
      <w:r w:rsidRPr="006569D0">
        <w:rPr>
          <w:rFonts w:ascii="Times New Roman" w:hAnsi="Times New Roman"/>
          <w:lang w:val="es-ES_tradnl"/>
        </w:rPr>
        <w:t>agroquímicos.</w:t>
      </w:r>
    </w:p>
    <w:p w14:paraId="00817901" w14:textId="77777777" w:rsidR="0073752D" w:rsidRPr="006569D0" w:rsidRDefault="0073752D" w:rsidP="000724CE">
      <w:pPr>
        <w:spacing w:after="0" w:line="480" w:lineRule="auto"/>
        <w:ind w:firstLine="851"/>
        <w:jc w:val="both"/>
        <w:rPr>
          <w:rFonts w:ascii="Times New Roman" w:hAnsi="Times New Roman"/>
          <w:lang w:val="es-ES_tradnl"/>
        </w:rPr>
      </w:pPr>
    </w:p>
    <w:p w14:paraId="020BB9CA" w14:textId="77777777" w:rsidR="00530E9A" w:rsidRPr="006569D0" w:rsidRDefault="0073752D" w:rsidP="000724CE">
      <w:pPr>
        <w:spacing w:after="0" w:line="480" w:lineRule="auto"/>
        <w:ind w:firstLine="851"/>
        <w:jc w:val="both"/>
        <w:rPr>
          <w:rFonts w:ascii="Times New Roman" w:hAnsi="Times New Roman"/>
          <w:lang w:val="es-ES_tradnl"/>
        </w:rPr>
      </w:pPr>
      <w:r w:rsidRPr="006569D0">
        <w:rPr>
          <w:rFonts w:ascii="Times New Roman" w:hAnsi="Times New Roman"/>
          <w:lang w:val="es-ES_tradnl"/>
        </w:rPr>
        <w:t>L</w:t>
      </w:r>
      <w:r w:rsidR="00530E9A" w:rsidRPr="006569D0">
        <w:rPr>
          <w:rFonts w:ascii="Times New Roman" w:hAnsi="Times New Roman"/>
          <w:lang w:val="es-ES_tradnl"/>
        </w:rPr>
        <w:t xml:space="preserve">a Ley </w:t>
      </w:r>
      <w:r w:rsidR="00BA36D3" w:rsidRPr="006569D0">
        <w:rPr>
          <w:rFonts w:ascii="Times New Roman" w:hAnsi="Times New Roman"/>
          <w:lang w:val="es-ES_tradnl"/>
        </w:rPr>
        <w:t>No.</w:t>
      </w:r>
      <w:r w:rsidR="00206FA3" w:rsidRPr="006569D0">
        <w:rPr>
          <w:rFonts w:ascii="Times New Roman" w:hAnsi="Times New Roman"/>
          <w:lang w:val="es-ES_tradnl"/>
        </w:rPr>
        <w:t xml:space="preserve"> </w:t>
      </w:r>
      <w:r w:rsidR="00530E9A" w:rsidRPr="006569D0">
        <w:rPr>
          <w:rFonts w:ascii="Times New Roman" w:hAnsi="Times New Roman"/>
          <w:lang w:val="es-ES_tradnl"/>
        </w:rPr>
        <w:t>6186 del 12 de febrero de 1963, que reglamenta el otorgamiento de préstamos hipotecarios del Banco Agrícola, bancos comerciales y de desarrollo.</w:t>
      </w:r>
    </w:p>
    <w:p w14:paraId="16E3241F" w14:textId="77777777" w:rsidR="009C4E7F" w:rsidRPr="006569D0" w:rsidRDefault="009C4E7F" w:rsidP="001371F5">
      <w:pPr>
        <w:widowControl w:val="0"/>
        <w:autoSpaceDE w:val="0"/>
        <w:autoSpaceDN w:val="0"/>
        <w:adjustRightInd w:val="0"/>
        <w:spacing w:after="0" w:line="360" w:lineRule="auto"/>
        <w:ind w:firstLine="720"/>
        <w:jc w:val="both"/>
        <w:rPr>
          <w:rFonts w:ascii="Times New Roman" w:hAnsi="Times New Roman"/>
          <w:lang w:val="es-ES_tradnl"/>
        </w:rPr>
      </w:pPr>
    </w:p>
    <w:p w14:paraId="22ED7EE8" w14:textId="77777777" w:rsidR="00971391" w:rsidRPr="006569D0" w:rsidRDefault="00530E9A" w:rsidP="000724CE">
      <w:pPr>
        <w:spacing w:after="0" w:line="480" w:lineRule="auto"/>
        <w:ind w:firstLine="851"/>
        <w:jc w:val="both"/>
        <w:rPr>
          <w:rFonts w:ascii="Times New Roman" w:hAnsi="Times New Roman"/>
          <w:lang w:val="es-ES_tradnl"/>
        </w:rPr>
      </w:pPr>
      <w:r w:rsidRPr="006569D0">
        <w:rPr>
          <w:rFonts w:ascii="Times New Roman" w:hAnsi="Times New Roman"/>
          <w:lang w:val="es-ES_tradnl"/>
        </w:rPr>
        <w:t xml:space="preserve">La base jurídica </w:t>
      </w:r>
      <w:r w:rsidR="00B43858" w:rsidRPr="006569D0">
        <w:rPr>
          <w:rFonts w:ascii="Times New Roman" w:hAnsi="Times New Roman"/>
          <w:lang w:val="es-ES_tradnl"/>
        </w:rPr>
        <w:t xml:space="preserve">es </w:t>
      </w:r>
      <w:r w:rsidRPr="006569D0">
        <w:rPr>
          <w:rFonts w:ascii="Times New Roman" w:hAnsi="Times New Roman"/>
          <w:lang w:val="es-ES_tradnl"/>
        </w:rPr>
        <w:t>complementa</w:t>
      </w:r>
      <w:r w:rsidR="00B43858" w:rsidRPr="006569D0">
        <w:rPr>
          <w:rFonts w:ascii="Times New Roman" w:hAnsi="Times New Roman"/>
          <w:lang w:val="es-ES_tradnl"/>
        </w:rPr>
        <w:t>da por</w:t>
      </w:r>
      <w:r w:rsidRPr="006569D0">
        <w:rPr>
          <w:rFonts w:ascii="Times New Roman" w:hAnsi="Times New Roman"/>
          <w:lang w:val="es-ES_tradnl"/>
        </w:rPr>
        <w:t xml:space="preserve"> una serie de resoluciones, normas, reglamentos, acuerdos, protocolos y disposiciones internas, entre otras, que regulan el accionar del Ministerio.</w:t>
      </w:r>
    </w:p>
    <w:p w14:paraId="0C2A59F9" w14:textId="77777777" w:rsidR="0073752D" w:rsidRPr="006569D0" w:rsidRDefault="0073752D" w:rsidP="000724CE">
      <w:pPr>
        <w:spacing w:after="0" w:line="480" w:lineRule="auto"/>
        <w:ind w:firstLine="851"/>
        <w:jc w:val="both"/>
        <w:rPr>
          <w:rFonts w:ascii="Times New Roman" w:hAnsi="Times New Roman"/>
          <w:lang w:val="es-ES_tradnl"/>
        </w:rPr>
      </w:pPr>
    </w:p>
    <w:p w14:paraId="4FCA4C75" w14:textId="77777777" w:rsidR="00530E9A" w:rsidRPr="006569D0" w:rsidRDefault="00530E9A" w:rsidP="00954002">
      <w:pPr>
        <w:pStyle w:val="Ttulo2"/>
      </w:pPr>
      <w:bookmarkStart w:id="17" w:name="_Toc251777817"/>
      <w:bookmarkStart w:id="18" w:name="_Toc254413054"/>
      <w:bookmarkStart w:id="19" w:name="_Toc409040049"/>
      <w:bookmarkStart w:id="20" w:name="_Toc440036656"/>
      <w:bookmarkStart w:id="21" w:name="_Toc470523315"/>
      <w:bookmarkStart w:id="22" w:name="_Toc26292012"/>
      <w:bookmarkStart w:id="23" w:name="_Toc27146717"/>
      <w:r w:rsidRPr="006569D0">
        <w:t xml:space="preserve">Principales funcionarios de la </w:t>
      </w:r>
      <w:r w:rsidR="002F06AC" w:rsidRPr="006569D0">
        <w:t>I</w:t>
      </w:r>
      <w:r w:rsidRPr="006569D0">
        <w:t>nstitución</w:t>
      </w:r>
      <w:bookmarkEnd w:id="17"/>
      <w:bookmarkEnd w:id="18"/>
      <w:bookmarkEnd w:id="19"/>
      <w:bookmarkEnd w:id="20"/>
      <w:bookmarkEnd w:id="21"/>
      <w:bookmarkEnd w:id="22"/>
      <w:bookmarkEnd w:id="23"/>
    </w:p>
    <w:p w14:paraId="1EE40008" w14:textId="77777777" w:rsidR="00530E9A" w:rsidRPr="006569D0" w:rsidRDefault="008E2178" w:rsidP="00B10A65">
      <w:pPr>
        <w:numPr>
          <w:ilvl w:val="0"/>
          <w:numId w:val="1"/>
        </w:numPr>
        <w:tabs>
          <w:tab w:val="left" w:pos="-720"/>
        </w:tabs>
        <w:suppressAutoHyphens/>
        <w:spacing w:after="0" w:line="360" w:lineRule="auto"/>
        <w:ind w:hanging="720"/>
        <w:contextualSpacing/>
        <w:jc w:val="both"/>
        <w:rPr>
          <w:rFonts w:ascii="Times New Roman" w:hAnsi="Times New Roman"/>
          <w:iCs/>
          <w:lang w:val="es-ES_tradnl"/>
        </w:rPr>
      </w:pPr>
      <w:r w:rsidRPr="006569D0">
        <w:rPr>
          <w:rFonts w:ascii="Times New Roman" w:hAnsi="Times New Roman"/>
          <w:iCs/>
          <w:lang w:val="es-ES_tradnl"/>
        </w:rPr>
        <w:t>Ing. Agr</w:t>
      </w:r>
      <w:r w:rsidR="00D31B8D" w:rsidRPr="006569D0">
        <w:rPr>
          <w:rFonts w:ascii="Times New Roman" w:hAnsi="Times New Roman"/>
          <w:iCs/>
          <w:lang w:val="es-ES_tradnl"/>
        </w:rPr>
        <w:t>ó</w:t>
      </w:r>
      <w:r w:rsidR="00453D77" w:rsidRPr="006569D0">
        <w:rPr>
          <w:rFonts w:ascii="Times New Roman" w:hAnsi="Times New Roman"/>
          <w:iCs/>
          <w:lang w:val="es-ES_tradnl"/>
        </w:rPr>
        <w:t>n. Osmar Concepción Benítez</w:t>
      </w:r>
      <w:r w:rsidR="0001704E" w:rsidRPr="006569D0">
        <w:rPr>
          <w:rFonts w:ascii="Times New Roman" w:hAnsi="Times New Roman"/>
          <w:iCs/>
          <w:lang w:val="es-ES_tradnl"/>
        </w:rPr>
        <w:t>, Ministro d</w:t>
      </w:r>
      <w:r w:rsidR="00530E9A" w:rsidRPr="006569D0">
        <w:rPr>
          <w:rFonts w:ascii="Times New Roman" w:hAnsi="Times New Roman"/>
          <w:iCs/>
          <w:lang w:val="es-ES_tradnl"/>
        </w:rPr>
        <w:t>e Agricultura.</w:t>
      </w:r>
    </w:p>
    <w:p w14:paraId="2BE1F4B2" w14:textId="1CAC5708" w:rsidR="00530E9A" w:rsidRPr="006569D0" w:rsidRDefault="00453D77" w:rsidP="00B10A65">
      <w:pPr>
        <w:numPr>
          <w:ilvl w:val="0"/>
          <w:numId w:val="1"/>
        </w:numPr>
        <w:spacing w:after="0" w:line="360" w:lineRule="auto"/>
        <w:ind w:hanging="720"/>
        <w:contextualSpacing/>
        <w:jc w:val="both"/>
        <w:rPr>
          <w:rFonts w:ascii="Times New Roman" w:hAnsi="Times New Roman"/>
          <w:lang w:val="es-ES_tradnl"/>
        </w:rPr>
      </w:pPr>
      <w:bookmarkStart w:id="24" w:name="_Toc216345507"/>
      <w:bookmarkStart w:id="25" w:name="_Toc216348277"/>
      <w:bookmarkStart w:id="26" w:name="_Toc216422291"/>
      <w:r w:rsidRPr="006569D0">
        <w:rPr>
          <w:rFonts w:ascii="Times New Roman" w:hAnsi="Times New Roman"/>
          <w:lang w:val="es-ES_tradnl"/>
        </w:rPr>
        <w:t>Ing. Ag</w:t>
      </w:r>
      <w:r w:rsidR="000C32B6" w:rsidRPr="006569D0">
        <w:rPr>
          <w:rFonts w:ascii="Times New Roman" w:hAnsi="Times New Roman"/>
          <w:lang w:val="es-ES_tradnl"/>
        </w:rPr>
        <w:t>r</w:t>
      </w:r>
      <w:r w:rsidRPr="006569D0">
        <w:rPr>
          <w:rFonts w:ascii="Times New Roman" w:hAnsi="Times New Roman"/>
          <w:lang w:val="es-ES_tradnl"/>
        </w:rPr>
        <w:t>ón</w:t>
      </w:r>
      <w:r w:rsidR="00530E9A" w:rsidRPr="006569D0">
        <w:rPr>
          <w:rFonts w:ascii="Times New Roman" w:hAnsi="Times New Roman"/>
          <w:lang w:val="es-ES_tradnl"/>
        </w:rPr>
        <w:t xml:space="preserve">, </w:t>
      </w:r>
      <w:r w:rsidRPr="006569D0">
        <w:rPr>
          <w:rFonts w:ascii="Times New Roman" w:hAnsi="Times New Roman"/>
          <w:lang w:val="es-ES_tradnl"/>
        </w:rPr>
        <w:t xml:space="preserve">Juan José Jacobo Espinal, </w:t>
      </w:r>
      <w:r w:rsidR="00530E9A" w:rsidRPr="006569D0">
        <w:rPr>
          <w:rFonts w:ascii="Times New Roman" w:hAnsi="Times New Roman"/>
          <w:lang w:val="es-ES_tradnl"/>
        </w:rPr>
        <w:t>Viceministro de Planificación Sectorial Agropecuaria</w:t>
      </w:r>
      <w:bookmarkEnd w:id="24"/>
      <w:bookmarkEnd w:id="25"/>
      <w:bookmarkEnd w:id="26"/>
      <w:r w:rsidR="00530E9A" w:rsidRPr="006569D0">
        <w:rPr>
          <w:rFonts w:ascii="Times New Roman" w:hAnsi="Times New Roman"/>
          <w:lang w:val="es-ES_tradnl"/>
        </w:rPr>
        <w:t>.</w:t>
      </w:r>
    </w:p>
    <w:p w14:paraId="16751693" w14:textId="77777777" w:rsidR="00530E9A" w:rsidRPr="006569D0" w:rsidRDefault="00453D77" w:rsidP="00B10A65">
      <w:pPr>
        <w:numPr>
          <w:ilvl w:val="0"/>
          <w:numId w:val="1"/>
        </w:numPr>
        <w:spacing w:after="0" w:line="360" w:lineRule="auto"/>
        <w:ind w:hanging="720"/>
        <w:contextualSpacing/>
        <w:jc w:val="both"/>
        <w:rPr>
          <w:rFonts w:ascii="Times New Roman" w:hAnsi="Times New Roman"/>
          <w:iCs/>
          <w:lang w:val="es-ES_tradnl"/>
        </w:rPr>
      </w:pPr>
      <w:r w:rsidRPr="006569D0">
        <w:rPr>
          <w:rFonts w:ascii="Times New Roman" w:hAnsi="Times New Roman"/>
          <w:iCs/>
          <w:lang w:val="es-ES_tradnl"/>
        </w:rPr>
        <w:t>Lic</w:t>
      </w:r>
      <w:r w:rsidR="00530E9A" w:rsidRPr="006569D0">
        <w:rPr>
          <w:rFonts w:ascii="Times New Roman" w:hAnsi="Times New Roman"/>
          <w:iCs/>
          <w:lang w:val="es-ES_tradnl"/>
        </w:rPr>
        <w:t xml:space="preserve">. </w:t>
      </w:r>
      <w:r w:rsidRPr="006569D0">
        <w:rPr>
          <w:rFonts w:ascii="Times New Roman" w:hAnsi="Times New Roman"/>
          <w:iCs/>
          <w:lang w:val="es-ES_tradnl"/>
        </w:rPr>
        <w:t>Eladio Contreras</w:t>
      </w:r>
      <w:r w:rsidR="0001704E" w:rsidRPr="006569D0">
        <w:rPr>
          <w:rFonts w:ascii="Times New Roman" w:hAnsi="Times New Roman"/>
          <w:iCs/>
          <w:lang w:val="es-ES_tradnl"/>
        </w:rPr>
        <w:t>,</w:t>
      </w:r>
      <w:r w:rsidR="00650DF3" w:rsidRPr="006569D0">
        <w:rPr>
          <w:rFonts w:ascii="Times New Roman" w:hAnsi="Times New Roman"/>
          <w:iCs/>
          <w:lang w:val="es-ES_tradnl"/>
        </w:rPr>
        <w:t xml:space="preserve"> </w:t>
      </w:r>
      <w:r w:rsidRPr="006569D0">
        <w:rPr>
          <w:rFonts w:ascii="Times New Roman" w:hAnsi="Times New Roman"/>
          <w:iCs/>
          <w:lang w:val="es-ES_tradnl"/>
        </w:rPr>
        <w:t>Encargado</w:t>
      </w:r>
      <w:r w:rsidR="008B27B2" w:rsidRPr="006569D0">
        <w:rPr>
          <w:rFonts w:ascii="Times New Roman" w:hAnsi="Times New Roman"/>
          <w:iCs/>
          <w:lang w:val="es-ES_tradnl"/>
        </w:rPr>
        <w:t xml:space="preserve"> del </w:t>
      </w:r>
      <w:r w:rsidR="00B06034" w:rsidRPr="006569D0">
        <w:rPr>
          <w:rFonts w:ascii="Times New Roman" w:hAnsi="Times New Roman"/>
          <w:iCs/>
          <w:lang w:val="es-ES_tradnl"/>
        </w:rPr>
        <w:t>Viceminist</w:t>
      </w:r>
      <w:r w:rsidR="008B27B2" w:rsidRPr="006569D0">
        <w:rPr>
          <w:rFonts w:ascii="Times New Roman" w:hAnsi="Times New Roman"/>
          <w:iCs/>
          <w:lang w:val="es-ES_tradnl"/>
        </w:rPr>
        <w:t>e</w:t>
      </w:r>
      <w:r w:rsidR="00B06034" w:rsidRPr="006569D0">
        <w:rPr>
          <w:rFonts w:ascii="Times New Roman" w:hAnsi="Times New Roman"/>
          <w:iCs/>
          <w:lang w:val="es-ES_tradnl"/>
        </w:rPr>
        <w:t>r</w:t>
      </w:r>
      <w:r w:rsidR="008B27B2" w:rsidRPr="006569D0">
        <w:rPr>
          <w:rFonts w:ascii="Times New Roman" w:hAnsi="Times New Roman"/>
          <w:iCs/>
          <w:lang w:val="es-ES_tradnl"/>
        </w:rPr>
        <w:t>io</w:t>
      </w:r>
      <w:r w:rsidR="00B06034" w:rsidRPr="006569D0">
        <w:rPr>
          <w:rFonts w:ascii="Times New Roman" w:hAnsi="Times New Roman"/>
          <w:iCs/>
          <w:lang w:val="es-ES_tradnl"/>
        </w:rPr>
        <w:t xml:space="preserve"> Administrativ</w:t>
      </w:r>
      <w:r w:rsidR="008B27B2" w:rsidRPr="006569D0">
        <w:rPr>
          <w:rFonts w:ascii="Times New Roman" w:hAnsi="Times New Roman"/>
          <w:iCs/>
          <w:lang w:val="es-ES_tradnl"/>
        </w:rPr>
        <w:t>o</w:t>
      </w:r>
      <w:r w:rsidR="00B06034" w:rsidRPr="006569D0">
        <w:rPr>
          <w:rFonts w:ascii="Times New Roman" w:hAnsi="Times New Roman"/>
          <w:iCs/>
          <w:lang w:val="es-ES_tradnl"/>
        </w:rPr>
        <w:t xml:space="preserve"> </w:t>
      </w:r>
      <w:r w:rsidR="00530E9A" w:rsidRPr="006569D0">
        <w:rPr>
          <w:rFonts w:ascii="Times New Roman" w:hAnsi="Times New Roman"/>
          <w:iCs/>
          <w:lang w:val="es-ES_tradnl"/>
        </w:rPr>
        <w:t xml:space="preserve">y </w:t>
      </w:r>
      <w:bookmarkStart w:id="27" w:name="_Toc216345508"/>
      <w:bookmarkStart w:id="28" w:name="_Toc216348278"/>
      <w:bookmarkStart w:id="29" w:name="_Toc216422292"/>
      <w:r w:rsidR="00B06034" w:rsidRPr="006569D0">
        <w:rPr>
          <w:rFonts w:ascii="Times New Roman" w:hAnsi="Times New Roman"/>
          <w:iCs/>
          <w:lang w:val="es-ES_tradnl"/>
        </w:rPr>
        <w:t>Financier</w:t>
      </w:r>
      <w:r w:rsidR="008B27B2" w:rsidRPr="006569D0">
        <w:rPr>
          <w:rFonts w:ascii="Times New Roman" w:hAnsi="Times New Roman"/>
          <w:iCs/>
          <w:lang w:val="es-ES_tradnl"/>
        </w:rPr>
        <w:t>o</w:t>
      </w:r>
      <w:r w:rsidR="00530E9A" w:rsidRPr="006569D0">
        <w:rPr>
          <w:rFonts w:ascii="Times New Roman" w:hAnsi="Times New Roman"/>
          <w:iCs/>
          <w:lang w:val="es-ES_tradnl"/>
        </w:rPr>
        <w:t>.</w:t>
      </w:r>
    </w:p>
    <w:p w14:paraId="24EFCAF0" w14:textId="77777777" w:rsidR="00530E9A" w:rsidRPr="006569D0" w:rsidRDefault="00530E9A" w:rsidP="00B10A65">
      <w:pPr>
        <w:numPr>
          <w:ilvl w:val="0"/>
          <w:numId w:val="1"/>
        </w:numPr>
        <w:spacing w:after="0" w:line="360" w:lineRule="auto"/>
        <w:ind w:hanging="720"/>
        <w:contextualSpacing/>
        <w:jc w:val="both"/>
        <w:rPr>
          <w:rFonts w:ascii="Times New Roman" w:hAnsi="Times New Roman"/>
          <w:lang w:val="es-ES_tradnl"/>
        </w:rPr>
      </w:pPr>
      <w:r w:rsidRPr="006569D0">
        <w:rPr>
          <w:rFonts w:ascii="Times New Roman" w:hAnsi="Times New Roman"/>
          <w:lang w:val="es-ES_tradnl"/>
        </w:rPr>
        <w:t xml:space="preserve">Ing. </w:t>
      </w:r>
      <w:bookmarkEnd w:id="27"/>
      <w:bookmarkEnd w:id="28"/>
      <w:bookmarkEnd w:id="29"/>
      <w:r w:rsidR="00D31B8D" w:rsidRPr="006569D0">
        <w:rPr>
          <w:rFonts w:ascii="Times New Roman" w:hAnsi="Times New Roman"/>
          <w:lang w:val="es-ES_tradnl"/>
        </w:rPr>
        <w:t>Agrón</w:t>
      </w:r>
      <w:r w:rsidRPr="006569D0">
        <w:rPr>
          <w:rFonts w:ascii="Times New Roman" w:hAnsi="Times New Roman"/>
          <w:lang w:val="es-ES_tradnl"/>
        </w:rPr>
        <w:t xml:space="preserve">. </w:t>
      </w:r>
      <w:r w:rsidR="00B06034" w:rsidRPr="006569D0">
        <w:rPr>
          <w:rFonts w:ascii="Times New Roman" w:hAnsi="Times New Roman"/>
          <w:lang w:val="es-ES_tradnl"/>
        </w:rPr>
        <w:t xml:space="preserve">Alfonso </w:t>
      </w:r>
      <w:r w:rsidR="0001704E" w:rsidRPr="006569D0">
        <w:rPr>
          <w:rFonts w:ascii="Times New Roman" w:hAnsi="Times New Roman"/>
          <w:lang w:val="es-ES_tradnl"/>
        </w:rPr>
        <w:t>Radham</w:t>
      </w:r>
      <w:r w:rsidR="00B06034" w:rsidRPr="006569D0">
        <w:rPr>
          <w:rFonts w:ascii="Times New Roman" w:hAnsi="Times New Roman"/>
          <w:lang w:val="es-ES_tradnl"/>
        </w:rPr>
        <w:t>é</w:t>
      </w:r>
      <w:r w:rsidR="0001704E" w:rsidRPr="006569D0">
        <w:rPr>
          <w:rFonts w:ascii="Times New Roman" w:hAnsi="Times New Roman"/>
          <w:lang w:val="es-ES_tradnl"/>
        </w:rPr>
        <w:t>s Valenzuela,</w:t>
      </w:r>
      <w:r w:rsidRPr="006569D0">
        <w:rPr>
          <w:rFonts w:ascii="Times New Roman" w:hAnsi="Times New Roman"/>
          <w:lang w:val="es-ES_tradnl"/>
        </w:rPr>
        <w:t xml:space="preserve"> </w:t>
      </w:r>
      <w:r w:rsidRPr="006569D0">
        <w:rPr>
          <w:rFonts w:ascii="Times New Roman" w:hAnsi="Times New Roman"/>
          <w:iCs/>
          <w:lang w:val="es-ES_tradnl"/>
        </w:rPr>
        <w:t>Viceministro de Producción Agrícola y Mercadeo.</w:t>
      </w:r>
    </w:p>
    <w:p w14:paraId="1E49223F" w14:textId="77777777" w:rsidR="00530E9A" w:rsidRPr="006569D0" w:rsidRDefault="00530E9A" w:rsidP="00B10A65">
      <w:pPr>
        <w:numPr>
          <w:ilvl w:val="0"/>
          <w:numId w:val="1"/>
        </w:numPr>
        <w:spacing w:after="0" w:line="360" w:lineRule="auto"/>
        <w:ind w:hanging="720"/>
        <w:contextualSpacing/>
        <w:jc w:val="both"/>
        <w:rPr>
          <w:rFonts w:ascii="Times New Roman" w:hAnsi="Times New Roman"/>
          <w:lang w:val="es-ES_tradnl"/>
        </w:rPr>
      </w:pPr>
      <w:bookmarkStart w:id="30" w:name="_Toc216345509"/>
      <w:bookmarkStart w:id="31" w:name="_Toc216348279"/>
      <w:bookmarkStart w:id="32" w:name="_Toc216422293"/>
      <w:r w:rsidRPr="006569D0">
        <w:rPr>
          <w:rFonts w:ascii="Times New Roman" w:hAnsi="Times New Roman"/>
          <w:lang w:val="es-ES_tradnl"/>
        </w:rPr>
        <w:t xml:space="preserve">Ing. </w:t>
      </w:r>
      <w:r w:rsidR="00D31B8D" w:rsidRPr="006569D0">
        <w:rPr>
          <w:rFonts w:ascii="Times New Roman" w:hAnsi="Times New Roman"/>
          <w:lang w:val="es-ES_tradnl"/>
        </w:rPr>
        <w:t xml:space="preserve">Agrón. </w:t>
      </w:r>
      <w:r w:rsidRPr="006569D0">
        <w:rPr>
          <w:rFonts w:ascii="Times New Roman" w:hAnsi="Times New Roman"/>
          <w:lang w:val="es-ES_tradnl"/>
        </w:rPr>
        <w:t>Leandro Mercedes</w:t>
      </w:r>
      <w:bookmarkEnd w:id="30"/>
      <w:bookmarkEnd w:id="31"/>
      <w:bookmarkEnd w:id="32"/>
      <w:r w:rsidR="001E33EA" w:rsidRPr="006569D0">
        <w:rPr>
          <w:rFonts w:ascii="Times New Roman" w:hAnsi="Times New Roman"/>
          <w:lang w:val="es-ES_tradnl"/>
        </w:rPr>
        <w:t xml:space="preserve"> </w:t>
      </w:r>
      <w:r w:rsidR="0001704E" w:rsidRPr="006569D0">
        <w:rPr>
          <w:rFonts w:ascii="Times New Roman" w:hAnsi="Times New Roman"/>
          <w:lang w:val="es-ES_tradnl"/>
        </w:rPr>
        <w:t>Rodríguez,</w:t>
      </w:r>
      <w:r w:rsidRPr="006569D0">
        <w:rPr>
          <w:rFonts w:ascii="Times New Roman" w:hAnsi="Times New Roman"/>
          <w:lang w:val="es-ES_tradnl"/>
        </w:rPr>
        <w:t xml:space="preserve"> </w:t>
      </w:r>
      <w:r w:rsidRPr="006569D0">
        <w:rPr>
          <w:rFonts w:ascii="Times New Roman" w:hAnsi="Times New Roman"/>
          <w:iCs/>
          <w:lang w:val="es-ES_tradnl"/>
        </w:rPr>
        <w:t>Viceministro de Extensión y Capacitación Agropecuaria.</w:t>
      </w:r>
    </w:p>
    <w:p w14:paraId="76B3822E" w14:textId="77777777" w:rsidR="00530E9A" w:rsidRPr="006569D0" w:rsidRDefault="0001704E" w:rsidP="00B10A65">
      <w:pPr>
        <w:numPr>
          <w:ilvl w:val="0"/>
          <w:numId w:val="1"/>
        </w:numPr>
        <w:spacing w:after="0" w:line="360" w:lineRule="auto"/>
        <w:ind w:hanging="720"/>
        <w:contextualSpacing/>
        <w:jc w:val="both"/>
        <w:rPr>
          <w:rFonts w:ascii="Times New Roman" w:hAnsi="Times New Roman"/>
          <w:iCs/>
          <w:lang w:val="es-ES_tradnl"/>
        </w:rPr>
      </w:pPr>
      <w:r w:rsidRPr="006569D0">
        <w:rPr>
          <w:rFonts w:ascii="Times New Roman" w:hAnsi="Times New Roman"/>
          <w:iCs/>
          <w:lang w:val="es-ES_tradnl"/>
        </w:rPr>
        <w:t>Lic. Ismael Cruz Medina,</w:t>
      </w:r>
      <w:r w:rsidR="00530E9A" w:rsidRPr="006569D0">
        <w:rPr>
          <w:rFonts w:ascii="Times New Roman" w:hAnsi="Times New Roman"/>
          <w:iCs/>
          <w:lang w:val="es-ES_tradnl"/>
        </w:rPr>
        <w:t xml:space="preserve"> Viceministro de Desarrollo Rural.</w:t>
      </w:r>
      <w:bookmarkStart w:id="33" w:name="_Toc251777818"/>
      <w:bookmarkStart w:id="34" w:name="_Toc254413055"/>
    </w:p>
    <w:p w14:paraId="5F9620DC" w14:textId="77777777" w:rsidR="0073752D" w:rsidRPr="006569D0" w:rsidRDefault="0073752D" w:rsidP="00B10A65">
      <w:pPr>
        <w:numPr>
          <w:ilvl w:val="0"/>
          <w:numId w:val="1"/>
        </w:numPr>
        <w:spacing w:after="0" w:line="360" w:lineRule="auto"/>
        <w:ind w:hanging="720"/>
        <w:contextualSpacing/>
        <w:jc w:val="both"/>
        <w:rPr>
          <w:rFonts w:ascii="Times New Roman" w:hAnsi="Times New Roman"/>
          <w:iCs/>
          <w:lang w:val="es-ES_tradnl"/>
        </w:rPr>
      </w:pPr>
      <w:r w:rsidRPr="006569D0">
        <w:rPr>
          <w:rFonts w:ascii="Times New Roman" w:hAnsi="Times New Roman"/>
          <w:iCs/>
          <w:lang w:val="es-ES_tradnl"/>
        </w:rPr>
        <w:t>Ing. Agr</w:t>
      </w:r>
      <w:r w:rsidRPr="006569D0">
        <w:rPr>
          <w:rFonts w:ascii="Times New Roman" w:hAnsi="Times New Roman"/>
          <w:lang w:val="es-ES_tradnl"/>
        </w:rPr>
        <w:t>ó</w:t>
      </w:r>
      <w:r w:rsidRPr="006569D0">
        <w:rPr>
          <w:rFonts w:ascii="Times New Roman" w:hAnsi="Times New Roman"/>
          <w:iCs/>
          <w:lang w:val="es-ES_tradnl"/>
        </w:rPr>
        <w:t>n. Geovanny Arias, Viceministro de Asuntos Tecnológicos.</w:t>
      </w:r>
    </w:p>
    <w:p w14:paraId="1D778565" w14:textId="77777777" w:rsidR="0073752D" w:rsidRPr="006569D0" w:rsidRDefault="0073752D">
      <w:pPr>
        <w:spacing w:after="0"/>
        <w:rPr>
          <w:rFonts w:ascii="Times New Roman" w:hAnsi="Times New Roman"/>
          <w:iCs/>
          <w:lang w:val="es-ES_tradnl"/>
        </w:rPr>
      </w:pPr>
    </w:p>
    <w:p w14:paraId="0D4535A2" w14:textId="77777777" w:rsidR="00FC1B41" w:rsidRPr="006569D0" w:rsidRDefault="00FC1B41" w:rsidP="007440C2">
      <w:pPr>
        <w:pStyle w:val="Ttulo1"/>
      </w:pPr>
      <w:bookmarkStart w:id="35" w:name="_Toc251777823"/>
      <w:bookmarkStart w:id="36" w:name="_Toc254413060"/>
      <w:bookmarkStart w:id="37" w:name="_Toc409040055"/>
      <w:bookmarkStart w:id="38" w:name="_Toc440036657"/>
      <w:bookmarkStart w:id="39" w:name="_Toc470523316"/>
      <w:bookmarkStart w:id="40" w:name="_Toc26292013"/>
      <w:bookmarkStart w:id="41" w:name="_Toc27146718"/>
      <w:bookmarkStart w:id="42" w:name="_Toc409040050"/>
      <w:bookmarkStart w:id="43" w:name="_Toc251777820"/>
      <w:bookmarkStart w:id="44" w:name="_Toc254413056"/>
      <w:bookmarkEnd w:id="33"/>
      <w:bookmarkEnd w:id="34"/>
      <w:r w:rsidRPr="006569D0">
        <w:t xml:space="preserve">Plan </w:t>
      </w:r>
      <w:r w:rsidR="00B06034" w:rsidRPr="006569D0">
        <w:t>N</w:t>
      </w:r>
      <w:r w:rsidRPr="006569D0">
        <w:t xml:space="preserve">acional </w:t>
      </w:r>
      <w:r w:rsidR="00B06034" w:rsidRPr="006569D0">
        <w:t>P</w:t>
      </w:r>
      <w:r w:rsidRPr="006569D0">
        <w:t xml:space="preserve">lurianual del </w:t>
      </w:r>
      <w:r w:rsidR="00B06034" w:rsidRPr="006569D0">
        <w:t>S</w:t>
      </w:r>
      <w:r w:rsidRPr="006569D0">
        <w:t xml:space="preserve">ector </w:t>
      </w:r>
      <w:r w:rsidR="00B06034" w:rsidRPr="006569D0">
        <w:t>P</w:t>
      </w:r>
      <w:r w:rsidRPr="006569D0">
        <w:t>úblico</w:t>
      </w:r>
      <w:bookmarkEnd w:id="35"/>
      <w:bookmarkEnd w:id="36"/>
      <w:bookmarkEnd w:id="37"/>
      <w:bookmarkEnd w:id="38"/>
      <w:r w:rsidR="008636E7" w:rsidRPr="006569D0">
        <w:t xml:space="preserve"> (PNPSP)</w:t>
      </w:r>
      <w:bookmarkEnd w:id="39"/>
      <w:bookmarkEnd w:id="40"/>
      <w:bookmarkEnd w:id="41"/>
    </w:p>
    <w:p w14:paraId="33273556" w14:textId="77777777" w:rsidR="00E1189D" w:rsidRPr="006569D0" w:rsidRDefault="00E1189D" w:rsidP="00971391">
      <w:pPr>
        <w:widowControl w:val="0"/>
        <w:autoSpaceDE w:val="0"/>
        <w:autoSpaceDN w:val="0"/>
        <w:adjustRightInd w:val="0"/>
        <w:spacing w:after="0" w:line="480" w:lineRule="auto"/>
        <w:ind w:firstLine="720"/>
        <w:jc w:val="both"/>
        <w:rPr>
          <w:rFonts w:ascii="Times New Roman" w:hAnsi="Times New Roman"/>
          <w:lang w:val="es-ES_tradnl"/>
        </w:rPr>
      </w:pPr>
      <w:bookmarkStart w:id="45" w:name="_Toc251777824"/>
    </w:p>
    <w:p w14:paraId="0235E18A" w14:textId="77777777" w:rsidR="00503243" w:rsidRPr="006569D0" w:rsidRDefault="00FC1B41" w:rsidP="000724CE">
      <w:pPr>
        <w:spacing w:after="0" w:line="480" w:lineRule="auto"/>
        <w:ind w:firstLine="851"/>
        <w:jc w:val="both"/>
        <w:rPr>
          <w:rFonts w:ascii="Times New Roman" w:hAnsi="Times New Roman"/>
          <w:lang w:val="es-ES_tradnl"/>
        </w:rPr>
      </w:pPr>
      <w:r w:rsidRPr="006569D0">
        <w:rPr>
          <w:rFonts w:ascii="Times New Roman" w:hAnsi="Times New Roman"/>
          <w:lang w:val="es-ES_tradnl"/>
        </w:rPr>
        <w:t xml:space="preserve">El Ministerio de Agricultura </w:t>
      </w:r>
      <w:r w:rsidR="00503243" w:rsidRPr="006569D0">
        <w:rPr>
          <w:rFonts w:ascii="Times New Roman" w:hAnsi="Times New Roman"/>
          <w:lang w:val="es-ES_tradnl"/>
        </w:rPr>
        <w:t>articula sus actividades</w:t>
      </w:r>
      <w:r w:rsidR="006451D1" w:rsidRPr="006569D0">
        <w:rPr>
          <w:rFonts w:ascii="Times New Roman" w:hAnsi="Times New Roman"/>
          <w:lang w:val="es-ES_tradnl"/>
        </w:rPr>
        <w:t xml:space="preserve"> </w:t>
      </w:r>
      <w:r w:rsidR="00453D77" w:rsidRPr="006569D0">
        <w:rPr>
          <w:rFonts w:ascii="Times New Roman" w:hAnsi="Times New Roman"/>
          <w:lang w:val="es-ES_tradnl"/>
        </w:rPr>
        <w:t>e implementa</w:t>
      </w:r>
      <w:r w:rsidR="00503243" w:rsidRPr="006569D0">
        <w:rPr>
          <w:rFonts w:ascii="Times New Roman" w:hAnsi="Times New Roman"/>
          <w:lang w:val="es-ES_tradnl"/>
        </w:rPr>
        <w:t xml:space="preserve"> </w:t>
      </w:r>
      <w:r w:rsidR="006451D1" w:rsidRPr="006569D0">
        <w:rPr>
          <w:rFonts w:ascii="Times New Roman" w:hAnsi="Times New Roman"/>
          <w:lang w:val="es-ES_tradnl"/>
        </w:rPr>
        <w:t>los</w:t>
      </w:r>
      <w:r w:rsidR="00503243" w:rsidRPr="006569D0">
        <w:rPr>
          <w:rFonts w:ascii="Times New Roman" w:hAnsi="Times New Roman"/>
          <w:lang w:val="es-ES_tradnl"/>
        </w:rPr>
        <w:t xml:space="preserve"> productos, bienes y servicios </w:t>
      </w:r>
      <w:r w:rsidRPr="006569D0">
        <w:rPr>
          <w:rFonts w:ascii="Times New Roman" w:hAnsi="Times New Roman"/>
          <w:lang w:val="es-ES_tradnl"/>
        </w:rPr>
        <w:t xml:space="preserve">de acuerdo a </w:t>
      </w:r>
      <w:r w:rsidR="00503243" w:rsidRPr="006569D0">
        <w:rPr>
          <w:rFonts w:ascii="Times New Roman" w:hAnsi="Times New Roman"/>
          <w:lang w:val="es-ES_tradnl"/>
        </w:rPr>
        <w:t>cinco</w:t>
      </w:r>
      <w:r w:rsidRPr="006569D0">
        <w:rPr>
          <w:rFonts w:ascii="Times New Roman" w:hAnsi="Times New Roman"/>
          <w:lang w:val="es-ES_tradnl"/>
        </w:rPr>
        <w:t xml:space="preserve"> </w:t>
      </w:r>
      <w:r w:rsidR="00C8327A" w:rsidRPr="006569D0">
        <w:rPr>
          <w:rFonts w:ascii="Times New Roman" w:hAnsi="Times New Roman"/>
          <w:lang w:val="es-ES_tradnl"/>
        </w:rPr>
        <w:t>herramientas de planificación</w:t>
      </w:r>
      <w:r w:rsidR="00503243" w:rsidRPr="006569D0">
        <w:rPr>
          <w:rFonts w:ascii="Times New Roman" w:hAnsi="Times New Roman"/>
          <w:lang w:val="es-ES_tradnl"/>
        </w:rPr>
        <w:t xml:space="preserve"> fundamentales, las cuales son</w:t>
      </w:r>
      <w:r w:rsidRPr="006569D0">
        <w:rPr>
          <w:rFonts w:ascii="Times New Roman" w:hAnsi="Times New Roman"/>
          <w:lang w:val="es-ES_tradnl"/>
        </w:rPr>
        <w:t xml:space="preserve">: </w:t>
      </w:r>
    </w:p>
    <w:p w14:paraId="21554963" w14:textId="77777777" w:rsidR="00736FC3" w:rsidRPr="006569D0" w:rsidRDefault="00736FC3" w:rsidP="001C6B1A">
      <w:pPr>
        <w:pStyle w:val="Prrafodelista"/>
        <w:widowControl w:val="0"/>
        <w:numPr>
          <w:ilvl w:val="0"/>
          <w:numId w:val="13"/>
        </w:numPr>
        <w:autoSpaceDE w:val="0"/>
        <w:autoSpaceDN w:val="0"/>
        <w:adjustRightInd w:val="0"/>
        <w:spacing w:after="0" w:line="360" w:lineRule="auto"/>
        <w:jc w:val="both"/>
        <w:rPr>
          <w:rFonts w:ascii="Times New Roman" w:hAnsi="Times New Roman"/>
          <w:lang w:val="es-ES_tradnl"/>
        </w:rPr>
      </w:pPr>
      <w:r w:rsidRPr="006569D0">
        <w:rPr>
          <w:rFonts w:ascii="Times New Roman" w:hAnsi="Times New Roman"/>
          <w:b/>
          <w:lang w:val="es-ES_tradnl"/>
        </w:rPr>
        <w:t>ODS:</w:t>
      </w:r>
      <w:r w:rsidRPr="006569D0">
        <w:rPr>
          <w:rFonts w:ascii="Times New Roman" w:hAnsi="Times New Roman"/>
          <w:lang w:val="es-ES_tradnl"/>
        </w:rPr>
        <w:t xml:space="preserve"> Objetivos de Desarrollo Sostenible.</w:t>
      </w:r>
    </w:p>
    <w:p w14:paraId="681A0E92" w14:textId="77777777" w:rsidR="00503243" w:rsidRPr="006569D0" w:rsidRDefault="00503243" w:rsidP="001C6B1A">
      <w:pPr>
        <w:pStyle w:val="Prrafodelista"/>
        <w:widowControl w:val="0"/>
        <w:numPr>
          <w:ilvl w:val="0"/>
          <w:numId w:val="13"/>
        </w:numPr>
        <w:autoSpaceDE w:val="0"/>
        <w:autoSpaceDN w:val="0"/>
        <w:adjustRightInd w:val="0"/>
        <w:spacing w:after="0" w:line="360" w:lineRule="auto"/>
        <w:jc w:val="both"/>
        <w:rPr>
          <w:rFonts w:ascii="Times New Roman" w:hAnsi="Times New Roman"/>
          <w:lang w:val="es-ES_tradnl"/>
        </w:rPr>
      </w:pPr>
      <w:r w:rsidRPr="006569D0">
        <w:rPr>
          <w:rFonts w:ascii="Times New Roman" w:hAnsi="Times New Roman"/>
          <w:b/>
          <w:lang w:val="es-ES_tradnl"/>
        </w:rPr>
        <w:t>END:</w:t>
      </w:r>
      <w:r w:rsidRPr="006569D0">
        <w:rPr>
          <w:rFonts w:ascii="Times New Roman" w:hAnsi="Times New Roman"/>
          <w:lang w:val="es-ES_tradnl"/>
        </w:rPr>
        <w:t xml:space="preserve"> </w:t>
      </w:r>
      <w:r w:rsidR="006451D1" w:rsidRPr="006569D0">
        <w:rPr>
          <w:rFonts w:ascii="Times New Roman" w:hAnsi="Times New Roman"/>
          <w:lang w:val="es-ES_tradnl"/>
        </w:rPr>
        <w:t xml:space="preserve">Ley </w:t>
      </w:r>
      <w:r w:rsidR="00BA36D3" w:rsidRPr="006569D0">
        <w:rPr>
          <w:rFonts w:ascii="Times New Roman" w:hAnsi="Times New Roman"/>
          <w:lang w:val="es-ES_tradnl"/>
        </w:rPr>
        <w:t>no.</w:t>
      </w:r>
      <w:r w:rsidR="006451D1" w:rsidRPr="006569D0">
        <w:rPr>
          <w:rFonts w:ascii="Times New Roman" w:hAnsi="Times New Roman"/>
          <w:lang w:val="es-ES_tradnl"/>
        </w:rPr>
        <w:t xml:space="preserve"> 1-12, </w:t>
      </w:r>
      <w:r w:rsidRPr="006569D0">
        <w:rPr>
          <w:rFonts w:ascii="Times New Roman" w:hAnsi="Times New Roman"/>
          <w:lang w:val="es-ES_tradnl"/>
        </w:rPr>
        <w:t>Estrategia Nacional de Desarrollo</w:t>
      </w:r>
      <w:r w:rsidR="00BA36D3" w:rsidRPr="006569D0">
        <w:rPr>
          <w:rFonts w:ascii="Times New Roman" w:hAnsi="Times New Roman"/>
          <w:lang w:val="es-ES_tradnl"/>
        </w:rPr>
        <w:t xml:space="preserve">, </w:t>
      </w:r>
      <w:r w:rsidRPr="006569D0">
        <w:rPr>
          <w:rFonts w:ascii="Times New Roman" w:hAnsi="Times New Roman"/>
          <w:lang w:val="es-ES_tradnl"/>
        </w:rPr>
        <w:t>2010-2030</w:t>
      </w:r>
      <w:r w:rsidR="00BA36D3" w:rsidRPr="006569D0">
        <w:rPr>
          <w:rFonts w:ascii="Times New Roman" w:hAnsi="Times New Roman"/>
          <w:lang w:val="es-ES_tradnl"/>
        </w:rPr>
        <w:t>.</w:t>
      </w:r>
    </w:p>
    <w:p w14:paraId="72C36AF0" w14:textId="77777777" w:rsidR="00736FC3" w:rsidRPr="006569D0" w:rsidRDefault="00736FC3" w:rsidP="001C6B1A">
      <w:pPr>
        <w:pStyle w:val="Prrafodelista"/>
        <w:widowControl w:val="0"/>
        <w:numPr>
          <w:ilvl w:val="0"/>
          <w:numId w:val="13"/>
        </w:numPr>
        <w:autoSpaceDE w:val="0"/>
        <w:autoSpaceDN w:val="0"/>
        <w:adjustRightInd w:val="0"/>
        <w:spacing w:after="0" w:line="360" w:lineRule="auto"/>
        <w:jc w:val="both"/>
        <w:rPr>
          <w:rFonts w:ascii="Times New Roman" w:hAnsi="Times New Roman"/>
          <w:lang w:val="es-ES_tradnl"/>
        </w:rPr>
      </w:pPr>
      <w:r w:rsidRPr="006569D0">
        <w:rPr>
          <w:rFonts w:ascii="Times New Roman" w:hAnsi="Times New Roman"/>
          <w:b/>
          <w:lang w:val="es-ES_tradnl"/>
        </w:rPr>
        <w:t>PNPSP:</w:t>
      </w:r>
      <w:r w:rsidRPr="006569D0">
        <w:rPr>
          <w:rFonts w:ascii="Times New Roman" w:hAnsi="Times New Roman"/>
          <w:lang w:val="es-ES_tradnl"/>
        </w:rPr>
        <w:t xml:space="preserve"> Plan Nacional Plurianual del Sector Agropecuario, 2017-2020. </w:t>
      </w:r>
    </w:p>
    <w:p w14:paraId="4AADF405" w14:textId="77777777" w:rsidR="00503243" w:rsidRPr="006569D0" w:rsidRDefault="006451D1" w:rsidP="001C6B1A">
      <w:pPr>
        <w:pStyle w:val="Prrafodelista"/>
        <w:widowControl w:val="0"/>
        <w:numPr>
          <w:ilvl w:val="0"/>
          <w:numId w:val="13"/>
        </w:numPr>
        <w:autoSpaceDE w:val="0"/>
        <w:autoSpaceDN w:val="0"/>
        <w:adjustRightInd w:val="0"/>
        <w:spacing w:after="0" w:line="360" w:lineRule="auto"/>
        <w:jc w:val="both"/>
        <w:rPr>
          <w:rFonts w:ascii="Times New Roman" w:hAnsi="Times New Roman"/>
          <w:lang w:val="es-ES_tradnl"/>
        </w:rPr>
      </w:pPr>
      <w:r w:rsidRPr="006569D0">
        <w:rPr>
          <w:rFonts w:ascii="Times New Roman" w:hAnsi="Times New Roman"/>
          <w:b/>
          <w:lang w:val="es-ES_tradnl"/>
        </w:rPr>
        <w:t>PEI:</w:t>
      </w:r>
      <w:r w:rsidRPr="006569D0">
        <w:rPr>
          <w:rFonts w:ascii="Times New Roman" w:hAnsi="Times New Roman"/>
          <w:lang w:val="es-ES_tradnl"/>
        </w:rPr>
        <w:t xml:space="preserve"> </w:t>
      </w:r>
      <w:r w:rsidR="00FC1B41" w:rsidRPr="006569D0">
        <w:rPr>
          <w:rFonts w:ascii="Times New Roman" w:hAnsi="Times New Roman"/>
          <w:lang w:val="es-ES_tradnl"/>
        </w:rPr>
        <w:t xml:space="preserve">Plan Estratégico </w:t>
      </w:r>
      <w:r w:rsidRPr="006569D0">
        <w:rPr>
          <w:rFonts w:ascii="Times New Roman" w:hAnsi="Times New Roman"/>
          <w:lang w:val="es-ES_tradnl"/>
        </w:rPr>
        <w:t>Institucional del Sector Agropecuario,</w:t>
      </w:r>
      <w:r w:rsidR="00BA36D3" w:rsidRPr="006569D0">
        <w:rPr>
          <w:rFonts w:ascii="Times New Roman" w:hAnsi="Times New Roman"/>
          <w:lang w:val="es-ES_tradnl"/>
        </w:rPr>
        <w:t xml:space="preserve"> 20</w:t>
      </w:r>
      <w:r w:rsidR="00526F80" w:rsidRPr="006569D0">
        <w:rPr>
          <w:rFonts w:ascii="Times New Roman" w:hAnsi="Times New Roman"/>
          <w:lang w:val="es-ES_tradnl"/>
        </w:rPr>
        <w:t>20-203</w:t>
      </w:r>
      <w:r w:rsidR="00BA36D3" w:rsidRPr="006569D0">
        <w:rPr>
          <w:rFonts w:ascii="Times New Roman" w:hAnsi="Times New Roman"/>
          <w:lang w:val="es-ES_tradnl"/>
        </w:rPr>
        <w:t>0.</w:t>
      </w:r>
      <w:r w:rsidR="00FC1B41" w:rsidRPr="006569D0">
        <w:rPr>
          <w:rFonts w:ascii="Times New Roman" w:hAnsi="Times New Roman"/>
          <w:lang w:val="es-ES_tradnl"/>
        </w:rPr>
        <w:t xml:space="preserve"> </w:t>
      </w:r>
    </w:p>
    <w:p w14:paraId="12D5218E" w14:textId="77777777" w:rsidR="00FC1B41" w:rsidRPr="006569D0" w:rsidRDefault="006451D1" w:rsidP="001C6B1A">
      <w:pPr>
        <w:pStyle w:val="Prrafodelista"/>
        <w:widowControl w:val="0"/>
        <w:numPr>
          <w:ilvl w:val="0"/>
          <w:numId w:val="13"/>
        </w:numPr>
        <w:autoSpaceDE w:val="0"/>
        <w:autoSpaceDN w:val="0"/>
        <w:adjustRightInd w:val="0"/>
        <w:spacing w:after="0" w:line="360" w:lineRule="auto"/>
        <w:jc w:val="both"/>
        <w:rPr>
          <w:rFonts w:ascii="Times New Roman" w:hAnsi="Times New Roman"/>
          <w:lang w:val="es-ES_tradnl"/>
        </w:rPr>
      </w:pPr>
      <w:r w:rsidRPr="006569D0">
        <w:rPr>
          <w:rFonts w:ascii="Times New Roman" w:hAnsi="Times New Roman"/>
          <w:b/>
          <w:lang w:val="es-ES_tradnl"/>
        </w:rPr>
        <w:t>POA:</w:t>
      </w:r>
      <w:r w:rsidRPr="006569D0">
        <w:rPr>
          <w:rFonts w:ascii="Times New Roman" w:hAnsi="Times New Roman"/>
          <w:lang w:val="es-ES_tradnl"/>
        </w:rPr>
        <w:t xml:space="preserve"> </w:t>
      </w:r>
      <w:r w:rsidR="00FC1B41" w:rsidRPr="006569D0">
        <w:rPr>
          <w:rFonts w:ascii="Times New Roman" w:hAnsi="Times New Roman"/>
          <w:lang w:val="es-ES_tradnl"/>
        </w:rPr>
        <w:t>Plan Operativo A</w:t>
      </w:r>
      <w:r w:rsidR="00503243" w:rsidRPr="006569D0">
        <w:rPr>
          <w:rFonts w:ascii="Times New Roman" w:hAnsi="Times New Roman"/>
          <w:lang w:val="es-ES_tradnl"/>
        </w:rPr>
        <w:t>gropecuario</w:t>
      </w:r>
      <w:r w:rsidRPr="006569D0">
        <w:rPr>
          <w:rFonts w:ascii="Times New Roman" w:hAnsi="Times New Roman"/>
          <w:lang w:val="es-ES_tradnl"/>
        </w:rPr>
        <w:t>,</w:t>
      </w:r>
      <w:r w:rsidR="00C8327A" w:rsidRPr="006569D0">
        <w:rPr>
          <w:rFonts w:ascii="Times New Roman" w:hAnsi="Times New Roman"/>
          <w:lang w:val="es-ES_tradnl"/>
        </w:rPr>
        <w:t xml:space="preserve"> </w:t>
      </w:r>
      <w:r w:rsidR="00453D77" w:rsidRPr="006569D0">
        <w:rPr>
          <w:rFonts w:ascii="Times New Roman" w:hAnsi="Times New Roman"/>
          <w:lang w:val="es-ES_tradnl"/>
        </w:rPr>
        <w:t>201</w:t>
      </w:r>
      <w:r w:rsidR="00526F80" w:rsidRPr="006569D0">
        <w:rPr>
          <w:rFonts w:ascii="Times New Roman" w:hAnsi="Times New Roman"/>
          <w:lang w:val="es-ES_tradnl"/>
        </w:rPr>
        <w:t>9</w:t>
      </w:r>
      <w:r w:rsidR="00FC1B41" w:rsidRPr="006569D0">
        <w:rPr>
          <w:rFonts w:ascii="Times New Roman" w:hAnsi="Times New Roman"/>
          <w:lang w:val="es-ES_tradnl"/>
        </w:rPr>
        <w:t>.</w:t>
      </w:r>
    </w:p>
    <w:p w14:paraId="45151BB3" w14:textId="09219480" w:rsidR="00E83DDE" w:rsidRPr="006569D0" w:rsidRDefault="00526F80" w:rsidP="000724CE">
      <w:pPr>
        <w:spacing w:after="0" w:line="480" w:lineRule="auto"/>
        <w:ind w:firstLine="851"/>
        <w:jc w:val="both"/>
        <w:rPr>
          <w:rFonts w:ascii="Times New Roman" w:hAnsi="Times New Roman"/>
          <w:lang w:val="es-ES_tradnl"/>
        </w:rPr>
      </w:pPr>
      <w:r w:rsidRPr="00A2090C">
        <w:rPr>
          <w:rFonts w:ascii="Times New Roman" w:hAnsi="Times New Roman"/>
          <w:lang w:val="es-ES_tradnl"/>
        </w:rPr>
        <w:lastRenderedPageBreak/>
        <w:t xml:space="preserve">El Plan Estratégico del Ministerio de Agricultura (PEI) y </w:t>
      </w:r>
      <w:r w:rsidR="000C32B6" w:rsidRPr="00A2090C">
        <w:rPr>
          <w:rFonts w:ascii="Times New Roman" w:hAnsi="Times New Roman"/>
          <w:lang w:val="es-ES_tradnl"/>
        </w:rPr>
        <w:t>e</w:t>
      </w:r>
      <w:r w:rsidR="006451D1" w:rsidRPr="00A2090C">
        <w:rPr>
          <w:rFonts w:ascii="Times New Roman" w:hAnsi="Times New Roman"/>
          <w:lang w:val="es-ES_tradnl"/>
        </w:rPr>
        <w:t>l Plan Operativo (POA)</w:t>
      </w:r>
      <w:r w:rsidR="0068480F" w:rsidRPr="00A2090C">
        <w:rPr>
          <w:rFonts w:ascii="Times New Roman" w:hAnsi="Times New Roman"/>
          <w:lang w:val="es-ES_tradnl"/>
        </w:rPr>
        <w:t>,</w:t>
      </w:r>
      <w:r w:rsidR="00CA7A8B" w:rsidRPr="00A2090C">
        <w:rPr>
          <w:rFonts w:ascii="Times New Roman" w:hAnsi="Times New Roman"/>
          <w:lang w:val="es-ES_tradnl"/>
        </w:rPr>
        <w:t xml:space="preserve"> </w:t>
      </w:r>
      <w:r w:rsidR="006451D1" w:rsidRPr="00A2090C">
        <w:rPr>
          <w:rFonts w:ascii="Times New Roman" w:hAnsi="Times New Roman"/>
          <w:lang w:val="es-ES_tradnl"/>
        </w:rPr>
        <w:t xml:space="preserve">ambas herramientas de planificación con un horizonte </w:t>
      </w:r>
      <w:r w:rsidR="00A2090C" w:rsidRPr="00A2090C">
        <w:rPr>
          <w:rFonts w:ascii="Times New Roman" w:hAnsi="Times New Roman"/>
          <w:lang w:val="es-ES_tradnl"/>
        </w:rPr>
        <w:t xml:space="preserve">a </w:t>
      </w:r>
      <w:r w:rsidR="006451D1" w:rsidRPr="00A2090C">
        <w:rPr>
          <w:rFonts w:ascii="Times New Roman" w:hAnsi="Times New Roman"/>
          <w:lang w:val="es-ES_tradnl"/>
        </w:rPr>
        <w:t xml:space="preserve">corto </w:t>
      </w:r>
      <w:r w:rsidR="00A2090C" w:rsidRPr="00A2090C">
        <w:rPr>
          <w:rFonts w:ascii="Times New Roman" w:hAnsi="Times New Roman"/>
          <w:lang w:val="es-ES_tradnl"/>
        </w:rPr>
        <w:t xml:space="preserve">y largo </w:t>
      </w:r>
      <w:r w:rsidR="006451D1" w:rsidRPr="00A2090C">
        <w:rPr>
          <w:rFonts w:ascii="Times New Roman" w:hAnsi="Times New Roman"/>
          <w:lang w:val="es-ES_tradnl"/>
        </w:rPr>
        <w:t xml:space="preserve">plazo, </w:t>
      </w:r>
      <w:r w:rsidR="00FC1B41" w:rsidRPr="00A2090C">
        <w:rPr>
          <w:rFonts w:ascii="Times New Roman" w:hAnsi="Times New Roman"/>
          <w:lang w:val="es-ES_tradnl"/>
        </w:rPr>
        <w:t>está</w:t>
      </w:r>
      <w:r w:rsidR="006451D1" w:rsidRPr="00A2090C">
        <w:rPr>
          <w:rFonts w:ascii="Times New Roman" w:hAnsi="Times New Roman"/>
          <w:lang w:val="es-ES_tradnl"/>
        </w:rPr>
        <w:t>n</w:t>
      </w:r>
      <w:r w:rsidR="00FC1B41" w:rsidRPr="00A2090C">
        <w:rPr>
          <w:rFonts w:ascii="Times New Roman" w:hAnsi="Times New Roman"/>
          <w:lang w:val="es-ES_tradnl"/>
        </w:rPr>
        <w:t xml:space="preserve"> </w:t>
      </w:r>
      <w:r w:rsidR="006451D1" w:rsidRPr="00A2090C">
        <w:rPr>
          <w:rFonts w:ascii="Times New Roman" w:hAnsi="Times New Roman"/>
          <w:lang w:val="es-ES_tradnl"/>
        </w:rPr>
        <w:t>vinculados</w:t>
      </w:r>
      <w:r w:rsidR="000437A2" w:rsidRPr="00A2090C">
        <w:rPr>
          <w:rFonts w:ascii="Times New Roman" w:hAnsi="Times New Roman"/>
          <w:lang w:val="es-ES_tradnl"/>
        </w:rPr>
        <w:t xml:space="preserve"> a</w:t>
      </w:r>
      <w:r w:rsidR="00FC1B41" w:rsidRPr="00A2090C">
        <w:rPr>
          <w:rFonts w:ascii="Times New Roman" w:hAnsi="Times New Roman"/>
          <w:lang w:val="es-ES_tradnl"/>
        </w:rPr>
        <w:t xml:space="preserve">l </w:t>
      </w:r>
      <w:r w:rsidRPr="00A2090C">
        <w:rPr>
          <w:rFonts w:ascii="Times New Roman" w:hAnsi="Times New Roman"/>
          <w:lang w:val="es-ES_tradnl"/>
        </w:rPr>
        <w:t>Plan Nacional Plurianual del Sector Público (PNPSP).</w:t>
      </w:r>
    </w:p>
    <w:p w14:paraId="55D46AB5" w14:textId="77777777" w:rsidR="00E83DDE" w:rsidRPr="006569D0" w:rsidRDefault="00E83DDE" w:rsidP="000724CE">
      <w:pPr>
        <w:spacing w:after="0" w:line="480" w:lineRule="auto"/>
        <w:ind w:firstLine="851"/>
        <w:jc w:val="both"/>
        <w:rPr>
          <w:rFonts w:ascii="Times New Roman" w:hAnsi="Times New Roman"/>
          <w:lang w:val="es-ES_tradnl"/>
        </w:rPr>
      </w:pPr>
    </w:p>
    <w:p w14:paraId="510E82EF" w14:textId="08CCE315" w:rsidR="00FC1B41" w:rsidRPr="006569D0" w:rsidRDefault="00E83DDE" w:rsidP="000724CE">
      <w:pPr>
        <w:spacing w:after="0" w:line="480" w:lineRule="auto"/>
        <w:ind w:firstLine="851"/>
        <w:jc w:val="both"/>
        <w:rPr>
          <w:rFonts w:ascii="Times New Roman" w:hAnsi="Times New Roman"/>
          <w:lang w:val="es-ES_tradnl"/>
        </w:rPr>
      </w:pPr>
      <w:r w:rsidRPr="006569D0">
        <w:rPr>
          <w:rFonts w:ascii="Times New Roman" w:hAnsi="Times New Roman"/>
          <w:lang w:val="es-ES_tradnl"/>
        </w:rPr>
        <w:t xml:space="preserve">Estas herramientas de planificación </w:t>
      </w:r>
      <w:r w:rsidR="00FC1B41" w:rsidRPr="006569D0">
        <w:rPr>
          <w:rFonts w:ascii="Times New Roman" w:hAnsi="Times New Roman"/>
          <w:lang w:val="es-ES_tradnl"/>
        </w:rPr>
        <w:t>forma</w:t>
      </w:r>
      <w:r w:rsidRPr="006569D0">
        <w:rPr>
          <w:rFonts w:ascii="Times New Roman" w:hAnsi="Times New Roman"/>
          <w:lang w:val="es-ES_tradnl"/>
        </w:rPr>
        <w:t>n</w:t>
      </w:r>
      <w:r w:rsidR="00FC1B41" w:rsidRPr="006569D0">
        <w:rPr>
          <w:rFonts w:ascii="Times New Roman" w:hAnsi="Times New Roman"/>
          <w:lang w:val="es-ES_tradnl"/>
        </w:rPr>
        <w:t xml:space="preserve"> parte </w:t>
      </w:r>
      <w:r w:rsidR="006451D1" w:rsidRPr="006569D0">
        <w:rPr>
          <w:rFonts w:ascii="Times New Roman" w:hAnsi="Times New Roman"/>
          <w:lang w:val="es-ES_tradnl"/>
        </w:rPr>
        <w:t xml:space="preserve">integral </w:t>
      </w:r>
      <w:r w:rsidR="00FC1B41" w:rsidRPr="006569D0">
        <w:rPr>
          <w:rFonts w:ascii="Times New Roman" w:hAnsi="Times New Roman"/>
          <w:lang w:val="es-ES_tradnl"/>
        </w:rPr>
        <w:t xml:space="preserve">de </w:t>
      </w:r>
      <w:r w:rsidR="008636E7" w:rsidRPr="006569D0">
        <w:rPr>
          <w:rFonts w:ascii="Times New Roman" w:hAnsi="Times New Roman"/>
          <w:lang w:val="es-ES_tradnl"/>
        </w:rPr>
        <w:t>la</w:t>
      </w:r>
      <w:r w:rsidR="00FC1B41" w:rsidRPr="006569D0">
        <w:rPr>
          <w:rFonts w:ascii="Times New Roman" w:hAnsi="Times New Roman"/>
          <w:lang w:val="es-ES_tradnl"/>
        </w:rPr>
        <w:t xml:space="preserve"> visión</w:t>
      </w:r>
      <w:r w:rsidR="000437A2" w:rsidRPr="006569D0">
        <w:rPr>
          <w:rFonts w:ascii="Times New Roman" w:hAnsi="Times New Roman"/>
          <w:lang w:val="es-ES_tradnl"/>
        </w:rPr>
        <w:t xml:space="preserve"> de desarrollo de la economía </w:t>
      </w:r>
      <w:r w:rsidR="00FC1B41" w:rsidRPr="006569D0">
        <w:rPr>
          <w:rFonts w:ascii="Times New Roman" w:hAnsi="Times New Roman"/>
          <w:lang w:val="es-ES_tradnl"/>
        </w:rPr>
        <w:t xml:space="preserve">y la sociedad </w:t>
      </w:r>
      <w:r w:rsidR="002209F2" w:rsidRPr="006569D0">
        <w:rPr>
          <w:rFonts w:ascii="Times New Roman" w:hAnsi="Times New Roman"/>
          <w:lang w:val="es-ES_tradnl"/>
        </w:rPr>
        <w:t>d</w:t>
      </w:r>
      <w:r w:rsidR="006451D1" w:rsidRPr="006569D0">
        <w:rPr>
          <w:rFonts w:ascii="Times New Roman" w:hAnsi="Times New Roman"/>
          <w:lang w:val="es-ES_tradnl"/>
        </w:rPr>
        <w:t>ominicana</w:t>
      </w:r>
      <w:r w:rsidR="00433F28">
        <w:rPr>
          <w:rFonts w:ascii="Times New Roman" w:hAnsi="Times New Roman"/>
          <w:lang w:val="es-ES_tradnl"/>
        </w:rPr>
        <w:t>,</w:t>
      </w:r>
      <w:r w:rsidR="006451D1" w:rsidRPr="006569D0">
        <w:rPr>
          <w:rFonts w:ascii="Times New Roman" w:hAnsi="Times New Roman"/>
          <w:lang w:val="es-ES_tradnl"/>
        </w:rPr>
        <w:t xml:space="preserve"> articulado a la Ley </w:t>
      </w:r>
      <w:r w:rsidR="00453D77" w:rsidRPr="006569D0">
        <w:rPr>
          <w:rFonts w:ascii="Times New Roman" w:hAnsi="Times New Roman"/>
          <w:lang w:val="es-ES_tradnl"/>
        </w:rPr>
        <w:t>N</w:t>
      </w:r>
      <w:r w:rsidR="00BA36D3" w:rsidRPr="006569D0">
        <w:rPr>
          <w:rFonts w:ascii="Times New Roman" w:hAnsi="Times New Roman"/>
          <w:lang w:val="es-ES_tradnl"/>
        </w:rPr>
        <w:t>o.</w:t>
      </w:r>
      <w:r w:rsidR="006451D1" w:rsidRPr="006569D0">
        <w:rPr>
          <w:rFonts w:ascii="Times New Roman" w:hAnsi="Times New Roman"/>
          <w:lang w:val="es-ES_tradnl"/>
        </w:rPr>
        <w:t xml:space="preserve"> 1-12 sobre la Estrategia Nacional de Desarrollo (END) e impacta objetivos específicos de los Objetivos de Desarrollo Sostenibles (ODS) de forma directa e indirecta.</w:t>
      </w:r>
    </w:p>
    <w:p w14:paraId="34C1FB38" w14:textId="77777777" w:rsidR="009C4E7F" w:rsidRPr="006569D0" w:rsidRDefault="009C4E7F" w:rsidP="00093CC3">
      <w:pPr>
        <w:widowControl w:val="0"/>
        <w:autoSpaceDE w:val="0"/>
        <w:autoSpaceDN w:val="0"/>
        <w:adjustRightInd w:val="0"/>
        <w:spacing w:after="0" w:line="360" w:lineRule="auto"/>
        <w:ind w:firstLine="851"/>
        <w:jc w:val="both"/>
        <w:rPr>
          <w:rFonts w:ascii="Times New Roman" w:hAnsi="Times New Roman"/>
          <w:lang w:val="es-ES_tradnl"/>
        </w:rPr>
      </w:pPr>
    </w:p>
    <w:p w14:paraId="10CF5881" w14:textId="77777777" w:rsidR="00F151E3" w:rsidRPr="006569D0" w:rsidRDefault="00FC1B41" w:rsidP="000724CE">
      <w:pPr>
        <w:spacing w:after="0" w:line="480" w:lineRule="auto"/>
        <w:ind w:firstLine="851"/>
        <w:jc w:val="both"/>
        <w:rPr>
          <w:rFonts w:ascii="Times New Roman" w:hAnsi="Times New Roman"/>
          <w:lang w:val="es-ES_tradnl"/>
        </w:rPr>
      </w:pPr>
      <w:r w:rsidRPr="006569D0">
        <w:rPr>
          <w:rFonts w:ascii="Times New Roman" w:hAnsi="Times New Roman"/>
          <w:lang w:val="es-ES_tradnl"/>
        </w:rPr>
        <w:t xml:space="preserve">El </w:t>
      </w:r>
      <w:r w:rsidR="008636E7" w:rsidRPr="006569D0">
        <w:rPr>
          <w:rFonts w:ascii="Times New Roman" w:hAnsi="Times New Roman"/>
          <w:lang w:val="es-ES_tradnl"/>
        </w:rPr>
        <w:t>PNPSP está orientado</w:t>
      </w:r>
      <w:r w:rsidRPr="006569D0">
        <w:rPr>
          <w:rFonts w:ascii="Times New Roman" w:hAnsi="Times New Roman"/>
          <w:lang w:val="es-ES_tradnl"/>
        </w:rPr>
        <w:t xml:space="preserve"> con un enfoque de m</w:t>
      </w:r>
      <w:r w:rsidR="00453D77" w:rsidRPr="006569D0">
        <w:rPr>
          <w:rFonts w:ascii="Times New Roman" w:hAnsi="Times New Roman"/>
          <w:lang w:val="es-ES_tradnl"/>
        </w:rPr>
        <w:t>ediano plazo para el período 2017</w:t>
      </w:r>
      <w:r w:rsidRPr="006569D0">
        <w:rPr>
          <w:rFonts w:ascii="Times New Roman" w:hAnsi="Times New Roman"/>
          <w:lang w:val="es-ES_tradnl"/>
        </w:rPr>
        <w:t>-20</w:t>
      </w:r>
      <w:r w:rsidR="00453D77" w:rsidRPr="006569D0">
        <w:rPr>
          <w:rFonts w:ascii="Times New Roman" w:hAnsi="Times New Roman"/>
          <w:lang w:val="es-ES_tradnl"/>
        </w:rPr>
        <w:t>20</w:t>
      </w:r>
      <w:r w:rsidR="006B1E82" w:rsidRPr="006569D0">
        <w:rPr>
          <w:rFonts w:ascii="Times New Roman" w:hAnsi="Times New Roman"/>
          <w:lang w:val="es-ES_tradnl"/>
        </w:rPr>
        <w:t>. Es</w:t>
      </w:r>
      <w:r w:rsidRPr="006569D0">
        <w:rPr>
          <w:rFonts w:ascii="Times New Roman" w:hAnsi="Times New Roman"/>
          <w:lang w:val="es-ES_tradnl"/>
        </w:rPr>
        <w:t xml:space="preserve"> definido como un instrumento normativo para el fortalecimiento y la modernización de la gestión técnico/administrativa </w:t>
      </w:r>
      <w:r w:rsidR="00BA36D3" w:rsidRPr="006569D0">
        <w:rPr>
          <w:rFonts w:ascii="Times New Roman" w:hAnsi="Times New Roman"/>
          <w:lang w:val="es-ES_tradnl"/>
        </w:rPr>
        <w:t>de la i</w:t>
      </w:r>
      <w:r w:rsidR="006451D1" w:rsidRPr="006569D0">
        <w:rPr>
          <w:rFonts w:ascii="Times New Roman" w:hAnsi="Times New Roman"/>
          <w:lang w:val="es-ES_tradnl"/>
        </w:rPr>
        <w:t>nstitución</w:t>
      </w:r>
      <w:r w:rsidRPr="006569D0">
        <w:rPr>
          <w:rFonts w:ascii="Times New Roman" w:hAnsi="Times New Roman"/>
          <w:lang w:val="es-ES_tradnl"/>
        </w:rPr>
        <w:t xml:space="preserve">, </w:t>
      </w:r>
      <w:r w:rsidR="009F3821" w:rsidRPr="006569D0">
        <w:rPr>
          <w:rFonts w:ascii="Times New Roman" w:hAnsi="Times New Roman"/>
          <w:lang w:val="es-ES_tradnl"/>
        </w:rPr>
        <w:t>apegado</w:t>
      </w:r>
      <w:r w:rsidR="008636E7" w:rsidRPr="006569D0">
        <w:rPr>
          <w:rFonts w:ascii="Times New Roman" w:hAnsi="Times New Roman"/>
          <w:lang w:val="es-ES_tradnl"/>
        </w:rPr>
        <w:t xml:space="preserve"> a las</w:t>
      </w:r>
      <w:r w:rsidRPr="006569D0">
        <w:rPr>
          <w:rFonts w:ascii="Times New Roman" w:hAnsi="Times New Roman"/>
          <w:lang w:val="es-ES_tradnl"/>
        </w:rPr>
        <w:t xml:space="preserve"> buenas prácticas, principios y normas institucionales</w:t>
      </w:r>
      <w:r w:rsidR="006451D1" w:rsidRPr="006569D0">
        <w:rPr>
          <w:rFonts w:ascii="Times New Roman" w:hAnsi="Times New Roman"/>
          <w:lang w:val="es-ES_tradnl"/>
        </w:rPr>
        <w:t xml:space="preserve"> del Sector Agropecuario</w:t>
      </w:r>
      <w:r w:rsidR="001F47A3" w:rsidRPr="006569D0">
        <w:rPr>
          <w:rFonts w:ascii="Times New Roman" w:hAnsi="Times New Roman"/>
          <w:lang w:val="es-ES_tradnl"/>
        </w:rPr>
        <w:t>.</w:t>
      </w:r>
    </w:p>
    <w:p w14:paraId="7D831970" w14:textId="77777777" w:rsidR="00B10A65" w:rsidRPr="006569D0" w:rsidRDefault="00B10A65">
      <w:pPr>
        <w:spacing w:after="0"/>
        <w:rPr>
          <w:rFonts w:ascii="Times New Roman" w:hAnsi="Times New Roman"/>
          <w:lang w:val="es-ES_tradnl"/>
        </w:rPr>
      </w:pPr>
      <w:r w:rsidRPr="006569D0">
        <w:rPr>
          <w:rFonts w:ascii="Times New Roman" w:hAnsi="Times New Roman"/>
          <w:lang w:val="es-ES_tradnl"/>
        </w:rPr>
        <w:br w:type="page"/>
      </w:r>
    </w:p>
    <w:p w14:paraId="2973CFF4" w14:textId="77777777" w:rsidR="008D4B34" w:rsidRPr="006569D0" w:rsidRDefault="00FC1B41" w:rsidP="00093CC3">
      <w:pPr>
        <w:spacing w:after="0" w:line="480" w:lineRule="auto"/>
        <w:ind w:firstLine="851"/>
        <w:rPr>
          <w:rFonts w:ascii="Times New Roman" w:hAnsi="Times New Roman"/>
          <w:b/>
          <w:sz w:val="28"/>
        </w:rPr>
      </w:pPr>
      <w:bookmarkStart w:id="46" w:name="_Toc254413061"/>
      <w:bookmarkStart w:id="47" w:name="_Toc409040056"/>
      <w:bookmarkStart w:id="48" w:name="_Toc440036658"/>
      <w:r w:rsidRPr="006569D0">
        <w:rPr>
          <w:rFonts w:ascii="Times New Roman" w:hAnsi="Times New Roman"/>
          <w:b/>
          <w:sz w:val="28"/>
        </w:rPr>
        <w:lastRenderedPageBreak/>
        <w:t>Plan Estratégico Institucional</w:t>
      </w:r>
      <w:bookmarkEnd w:id="46"/>
      <w:bookmarkEnd w:id="47"/>
      <w:r w:rsidRPr="006569D0">
        <w:rPr>
          <w:rFonts w:ascii="Times New Roman" w:hAnsi="Times New Roman"/>
          <w:b/>
          <w:sz w:val="28"/>
        </w:rPr>
        <w:t xml:space="preserve"> y Plan Operativo Anual</w:t>
      </w:r>
      <w:bookmarkEnd w:id="45"/>
      <w:bookmarkEnd w:id="48"/>
    </w:p>
    <w:p w14:paraId="5AFD9DA1" w14:textId="77777777" w:rsidR="00FC1B41" w:rsidRPr="006569D0" w:rsidRDefault="00FC1B41" w:rsidP="000724CE">
      <w:pPr>
        <w:spacing w:after="0" w:line="480" w:lineRule="auto"/>
        <w:ind w:firstLine="851"/>
        <w:jc w:val="both"/>
        <w:rPr>
          <w:rFonts w:ascii="Times New Roman" w:hAnsi="Times New Roman"/>
          <w:lang w:val="es-ES_tradnl"/>
        </w:rPr>
      </w:pPr>
      <w:r w:rsidRPr="006569D0">
        <w:rPr>
          <w:rFonts w:ascii="Times New Roman" w:hAnsi="Times New Roman"/>
          <w:lang w:val="es-ES_tradnl"/>
        </w:rPr>
        <w:t>E</w:t>
      </w:r>
      <w:r w:rsidR="000E0975" w:rsidRPr="006569D0">
        <w:rPr>
          <w:rFonts w:ascii="Times New Roman" w:hAnsi="Times New Roman"/>
          <w:lang w:val="es-ES_tradnl"/>
        </w:rPr>
        <w:t xml:space="preserve">l Plan Estratégico Institucional </w:t>
      </w:r>
      <w:r w:rsidRPr="006569D0">
        <w:rPr>
          <w:rFonts w:ascii="Times New Roman" w:hAnsi="Times New Roman"/>
          <w:lang w:val="es-ES_tradnl"/>
        </w:rPr>
        <w:t xml:space="preserve">define los objetivos y las líneas de acciones generales sobre las cuales las </w:t>
      </w:r>
      <w:r w:rsidR="00453D77" w:rsidRPr="006569D0">
        <w:rPr>
          <w:rFonts w:ascii="Times New Roman" w:hAnsi="Times New Roman"/>
          <w:lang w:val="es-ES_tradnl"/>
        </w:rPr>
        <w:t>I</w:t>
      </w:r>
      <w:r w:rsidRPr="006569D0">
        <w:rPr>
          <w:rFonts w:ascii="Times New Roman" w:hAnsi="Times New Roman"/>
          <w:lang w:val="es-ES_tradnl"/>
        </w:rPr>
        <w:t>nstituciones adscritas al Ministerio de Agricultura y los demás agentes del sector</w:t>
      </w:r>
      <w:r w:rsidR="00A41296" w:rsidRPr="006569D0">
        <w:rPr>
          <w:rFonts w:ascii="Times New Roman" w:hAnsi="Times New Roman"/>
          <w:lang w:val="es-ES_tradnl"/>
        </w:rPr>
        <w:t>,</w:t>
      </w:r>
      <w:r w:rsidRPr="006569D0">
        <w:rPr>
          <w:rFonts w:ascii="Times New Roman" w:hAnsi="Times New Roman"/>
          <w:lang w:val="es-ES_tradnl"/>
        </w:rPr>
        <w:t xml:space="preserve"> deberán encauzar sus ejecutorias en </w:t>
      </w:r>
      <w:r w:rsidR="000E0975" w:rsidRPr="006569D0">
        <w:rPr>
          <w:rFonts w:ascii="Times New Roman" w:hAnsi="Times New Roman"/>
          <w:lang w:val="es-ES_tradnl"/>
        </w:rPr>
        <w:t xml:space="preserve">un </w:t>
      </w:r>
      <w:r w:rsidR="00BA36D3" w:rsidRPr="006569D0">
        <w:rPr>
          <w:rFonts w:ascii="Times New Roman" w:hAnsi="Times New Roman"/>
          <w:lang w:val="es-ES_tradnl"/>
        </w:rPr>
        <w:t>período</w:t>
      </w:r>
      <w:r w:rsidR="000E0975" w:rsidRPr="006569D0">
        <w:rPr>
          <w:rFonts w:ascii="Times New Roman" w:hAnsi="Times New Roman"/>
          <w:lang w:val="es-ES_tradnl"/>
        </w:rPr>
        <w:t xml:space="preserve"> de </w:t>
      </w:r>
      <w:r w:rsidR="00526F80" w:rsidRPr="006569D0">
        <w:rPr>
          <w:rFonts w:ascii="Times New Roman" w:hAnsi="Times New Roman"/>
          <w:lang w:val="es-ES_tradnl"/>
        </w:rPr>
        <w:t>diez años con una visión horizontal hacia el año 2050.</w:t>
      </w:r>
    </w:p>
    <w:p w14:paraId="4E950919" w14:textId="77777777" w:rsidR="009C4E7F" w:rsidRPr="006569D0" w:rsidRDefault="009C4E7F" w:rsidP="000724CE">
      <w:pPr>
        <w:spacing w:after="0" w:line="480" w:lineRule="auto"/>
        <w:ind w:firstLine="851"/>
        <w:jc w:val="both"/>
        <w:rPr>
          <w:rFonts w:ascii="Times New Roman" w:hAnsi="Times New Roman"/>
          <w:lang w:val="es-ES_tradnl"/>
        </w:rPr>
      </w:pPr>
    </w:p>
    <w:p w14:paraId="468AD53B" w14:textId="4877CE9B" w:rsidR="00971391" w:rsidRPr="006569D0" w:rsidRDefault="00FC1B41" w:rsidP="000724CE">
      <w:pPr>
        <w:spacing w:after="0" w:line="480" w:lineRule="auto"/>
        <w:ind w:firstLine="851"/>
        <w:jc w:val="both"/>
        <w:rPr>
          <w:rFonts w:ascii="Times New Roman" w:hAnsi="Times New Roman"/>
          <w:lang w:val="es-ES_tradnl"/>
        </w:rPr>
      </w:pPr>
      <w:r w:rsidRPr="006569D0">
        <w:rPr>
          <w:rFonts w:ascii="Times New Roman" w:hAnsi="Times New Roman"/>
          <w:lang w:val="es-ES_tradnl"/>
        </w:rPr>
        <w:t>Este plan propone la articulación de las acciones en torno a cuatro</w:t>
      </w:r>
      <w:r w:rsidR="001E33EA" w:rsidRPr="006569D0">
        <w:rPr>
          <w:rFonts w:ascii="Times New Roman" w:hAnsi="Times New Roman"/>
          <w:lang w:val="es-ES_tradnl"/>
        </w:rPr>
        <w:t xml:space="preserve"> (4)</w:t>
      </w:r>
      <w:r w:rsidRPr="006569D0">
        <w:rPr>
          <w:rFonts w:ascii="Times New Roman" w:hAnsi="Times New Roman"/>
          <w:lang w:val="es-ES_tradnl"/>
        </w:rPr>
        <w:t xml:space="preserve"> áreas temáticas principales (ejes estratégicos)</w:t>
      </w:r>
      <w:r w:rsidR="00736FC3" w:rsidRPr="006569D0">
        <w:rPr>
          <w:rFonts w:ascii="Times New Roman" w:hAnsi="Times New Roman"/>
          <w:lang w:val="es-ES_tradnl"/>
        </w:rPr>
        <w:t>, diez (10) pilares estratégicos</w:t>
      </w:r>
      <w:r w:rsidRPr="006569D0">
        <w:rPr>
          <w:rFonts w:ascii="Times New Roman" w:hAnsi="Times New Roman"/>
          <w:lang w:val="es-ES_tradnl"/>
        </w:rPr>
        <w:t xml:space="preserve"> </w:t>
      </w:r>
      <w:r w:rsidR="00736FC3" w:rsidRPr="006569D0">
        <w:rPr>
          <w:rFonts w:ascii="Times New Roman" w:hAnsi="Times New Roman"/>
          <w:lang w:val="es-ES_tradnl"/>
        </w:rPr>
        <w:t xml:space="preserve">del sector agropecuario, cinco (5) ejes pecuarios </w:t>
      </w:r>
      <w:r w:rsidRPr="006569D0">
        <w:rPr>
          <w:rFonts w:ascii="Times New Roman" w:hAnsi="Times New Roman"/>
          <w:lang w:val="es-ES_tradnl"/>
        </w:rPr>
        <w:t>y dos (2) ejes transversales, directamente vinculados a los ejes de la Estrategia N</w:t>
      </w:r>
      <w:r w:rsidR="008636E7" w:rsidRPr="006569D0">
        <w:rPr>
          <w:rFonts w:ascii="Times New Roman" w:hAnsi="Times New Roman"/>
          <w:lang w:val="es-ES_tradnl"/>
        </w:rPr>
        <w:t>acional de Desarrollo</w:t>
      </w:r>
      <w:r w:rsidR="00B9233B" w:rsidRPr="006569D0">
        <w:rPr>
          <w:rFonts w:ascii="Times New Roman" w:hAnsi="Times New Roman"/>
          <w:lang w:val="es-ES_tradnl"/>
        </w:rPr>
        <w:t xml:space="preserve">, tal como se visualiza en la figura </w:t>
      </w:r>
      <w:r w:rsidR="00BA36D3" w:rsidRPr="006569D0">
        <w:rPr>
          <w:rFonts w:ascii="Times New Roman" w:hAnsi="Times New Roman"/>
          <w:lang w:val="es-ES_tradnl"/>
        </w:rPr>
        <w:t>no.</w:t>
      </w:r>
      <w:r w:rsidR="00B9233B" w:rsidRPr="006569D0">
        <w:rPr>
          <w:rFonts w:ascii="Times New Roman" w:hAnsi="Times New Roman"/>
          <w:lang w:val="es-ES_tradnl"/>
        </w:rPr>
        <w:t xml:space="preserve"> 1.</w:t>
      </w:r>
    </w:p>
    <w:p w14:paraId="57230768" w14:textId="488539CA" w:rsidR="008F3EE7" w:rsidRPr="006569D0" w:rsidRDefault="008F3EE7" w:rsidP="000724CE">
      <w:pPr>
        <w:spacing w:after="0" w:line="480" w:lineRule="auto"/>
        <w:ind w:firstLine="851"/>
        <w:jc w:val="both"/>
        <w:rPr>
          <w:rFonts w:ascii="Times New Roman" w:hAnsi="Times New Roman"/>
          <w:lang w:val="es-ES_tradnl"/>
        </w:rPr>
      </w:pPr>
    </w:p>
    <w:p w14:paraId="75E00BDA" w14:textId="7954A1A7" w:rsidR="00595173" w:rsidRPr="006569D0" w:rsidRDefault="00595173" w:rsidP="001C6B1A">
      <w:pPr>
        <w:pStyle w:val="Prrafodelista"/>
        <w:widowControl w:val="0"/>
        <w:numPr>
          <w:ilvl w:val="0"/>
          <w:numId w:val="10"/>
        </w:numPr>
        <w:autoSpaceDE w:val="0"/>
        <w:autoSpaceDN w:val="0"/>
        <w:adjustRightInd w:val="0"/>
        <w:spacing w:after="0" w:line="240" w:lineRule="auto"/>
        <w:ind w:hanging="644"/>
        <w:jc w:val="both"/>
        <w:rPr>
          <w:rFonts w:ascii="Times New Roman" w:hAnsi="Times New Roman"/>
          <w:b/>
          <w:sz w:val="24"/>
          <w:lang w:val="es-ES_tradnl"/>
        </w:rPr>
      </w:pPr>
      <w:r w:rsidRPr="006569D0">
        <w:rPr>
          <w:rFonts w:ascii="Times New Roman" w:hAnsi="Times New Roman"/>
          <w:b/>
          <w:sz w:val="24"/>
          <w:lang w:val="es-ES_tradnl"/>
        </w:rPr>
        <w:t xml:space="preserve">Ejes Estratégicos del </w:t>
      </w:r>
      <w:r w:rsidR="009D6BCC" w:rsidRPr="006569D0">
        <w:rPr>
          <w:rFonts w:ascii="Times New Roman" w:hAnsi="Times New Roman"/>
          <w:b/>
          <w:sz w:val="24"/>
          <w:lang w:val="es-ES_tradnl"/>
        </w:rPr>
        <w:t>sector agropecuario, Visión 2050</w:t>
      </w:r>
    </w:p>
    <w:p w14:paraId="2F3399B1" w14:textId="6551E3BB" w:rsidR="00E1189D" w:rsidRPr="006569D0" w:rsidRDefault="00E1189D" w:rsidP="001972F2">
      <w:pPr>
        <w:spacing w:after="0"/>
        <w:jc w:val="center"/>
        <w:rPr>
          <w:rFonts w:ascii="Times New Roman" w:hAnsi="Times New Roman"/>
          <w:lang w:val="es-ES_tradnl"/>
        </w:rPr>
      </w:pPr>
    </w:p>
    <w:p w14:paraId="699BD990" w14:textId="205BD0B6" w:rsidR="001972F2" w:rsidRPr="006569D0" w:rsidRDefault="00B40CCA" w:rsidP="00D555AD">
      <w:pPr>
        <w:spacing w:after="0"/>
        <w:jc w:val="center"/>
        <w:rPr>
          <w:rFonts w:ascii="Times New Roman" w:hAnsi="Times New Roman"/>
          <w:lang w:val="es-ES_tradnl"/>
        </w:rPr>
      </w:pPr>
      <w:r w:rsidRPr="006569D0">
        <w:rPr>
          <w:rFonts w:ascii="Times New Roman" w:hAnsi="Times New Roman"/>
          <w:noProof/>
          <w:lang w:eastAsia="es-DO"/>
        </w:rPr>
        <mc:AlternateContent>
          <mc:Choice Requires="wps">
            <w:drawing>
              <wp:anchor distT="0" distB="0" distL="114300" distR="114300" simplePos="0" relativeHeight="251715584" behindDoc="0" locked="0" layoutInCell="1" allowOverlap="1" wp14:anchorId="718CE430" wp14:editId="39803DF7">
                <wp:simplePos x="0" y="0"/>
                <wp:positionH relativeFrom="margin">
                  <wp:posOffset>252248</wp:posOffset>
                </wp:positionH>
                <wp:positionV relativeFrom="paragraph">
                  <wp:posOffset>1360586</wp:posOffset>
                </wp:positionV>
                <wp:extent cx="1261570" cy="581025"/>
                <wp:effectExtent l="76200" t="38100" r="91440" b="123825"/>
                <wp:wrapNone/>
                <wp:docPr id="59" name="Rectángulo 59"/>
                <wp:cNvGraphicFramePr/>
                <a:graphic xmlns:a="http://schemas.openxmlformats.org/drawingml/2006/main">
                  <a:graphicData uri="http://schemas.microsoft.com/office/word/2010/wordprocessingShape">
                    <wps:wsp>
                      <wps:cNvSpPr/>
                      <wps:spPr>
                        <a:xfrm>
                          <a:off x="0" y="0"/>
                          <a:ext cx="1261570" cy="581025"/>
                        </a:xfrm>
                        <a:prstGeom prst="rect">
                          <a:avLst/>
                        </a:prstGeom>
                        <a:ln/>
                      </wps:spPr>
                      <wps:style>
                        <a:lnRef idx="0">
                          <a:schemeClr val="accent4"/>
                        </a:lnRef>
                        <a:fillRef idx="3">
                          <a:schemeClr val="accent4"/>
                        </a:fillRef>
                        <a:effectRef idx="3">
                          <a:schemeClr val="accent4"/>
                        </a:effectRef>
                        <a:fontRef idx="minor">
                          <a:schemeClr val="lt1"/>
                        </a:fontRef>
                      </wps:style>
                      <wps:txbx>
                        <w:txbxContent>
                          <w:p w14:paraId="4CFD629F" w14:textId="511887C3" w:rsidR="0059163A" w:rsidRPr="009D6BCC" w:rsidRDefault="0059163A" w:rsidP="00D555AD">
                            <w:pPr>
                              <w:spacing w:after="0"/>
                              <w:jc w:val="center"/>
                              <w:rPr>
                                <w:rFonts w:ascii="Times New Roman" w:hAnsi="Times New Roman"/>
                                <w:sz w:val="20"/>
                                <w:szCs w:val="20"/>
                              </w:rPr>
                            </w:pPr>
                            <w:r>
                              <w:rPr>
                                <w:rFonts w:ascii="Times New Roman" w:hAnsi="Times New Roman"/>
                                <w:sz w:val="20"/>
                                <w:szCs w:val="20"/>
                              </w:rPr>
                              <w:t>Protección Social e inclusión productiva, equidad de genero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CE430" id="Rectángulo 59" o:spid="_x0000_s1026" style="position:absolute;left:0;text-align:left;margin-left:19.85pt;margin-top:107.15pt;width:99.35pt;height:45.7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" fillcolor="#413253 [1639]" stroked="f">
                <v:fill color2="#775c99 [3015]" rotate="t" angle="180" colors="0 #5d417e;52429f #7b58a6;1 #7b57a8" focus="100%" type="gradient">
                  <o:fill v:ext="view" type="gradientUnscaled"/>
                </v:fill>
                <v:shadow on="t" color="black" opacity="22937f" origin=",.5" offset="0,.63889mm"/>
                <v:textbox>
                  <w:txbxContent>
                    <w:p w14:paraId="4CFD629F" w14:textId="511887C3" w:rsidR="0059163A" w:rsidRPr="009D6BCC" w:rsidRDefault="0059163A" w:rsidP="00D555AD">
                      <w:pPr>
                        <w:spacing w:after="0"/>
                        <w:jc w:val="center"/>
                        <w:rPr>
                          <w:rFonts w:ascii="Times New Roman" w:hAnsi="Times New Roman"/>
                          <w:sz w:val="20"/>
                          <w:szCs w:val="20"/>
                        </w:rPr>
                      </w:pPr>
                      <w:r>
                        <w:rPr>
                          <w:rFonts w:ascii="Times New Roman" w:hAnsi="Times New Roman"/>
                          <w:sz w:val="20"/>
                          <w:szCs w:val="20"/>
                        </w:rPr>
                        <w:t>Protección Social e inclusión productiva, equidad de genero</w:t>
                      </w:r>
                    </w:p>
                  </w:txbxContent>
                </v:textbox>
                <w10:wrap anchorx="margin"/>
              </v:rect>
            </w:pict>
          </mc:Fallback>
        </mc:AlternateContent>
      </w:r>
      <w:r w:rsidRPr="006569D0">
        <w:rPr>
          <w:rFonts w:ascii="Times New Roman" w:hAnsi="Times New Roman"/>
          <w:noProof/>
          <w:lang w:eastAsia="es-DO"/>
        </w:rPr>
        <mc:AlternateContent>
          <mc:Choice Requires="wps">
            <w:drawing>
              <wp:anchor distT="0" distB="0" distL="114300" distR="114300" simplePos="0" relativeHeight="251709440" behindDoc="0" locked="0" layoutInCell="1" allowOverlap="1" wp14:anchorId="3F523D1C" wp14:editId="7D62A2B1">
                <wp:simplePos x="0" y="0"/>
                <wp:positionH relativeFrom="margin">
                  <wp:posOffset>4288221</wp:posOffset>
                </wp:positionH>
                <wp:positionV relativeFrom="paragraph">
                  <wp:posOffset>1392117</wp:posOffset>
                </wp:positionV>
                <wp:extent cx="1056289" cy="571500"/>
                <wp:effectExtent l="76200" t="38100" r="67945" b="114300"/>
                <wp:wrapNone/>
                <wp:docPr id="44" name="Rectángulo 44"/>
                <wp:cNvGraphicFramePr/>
                <a:graphic xmlns:a="http://schemas.openxmlformats.org/drawingml/2006/main">
                  <a:graphicData uri="http://schemas.microsoft.com/office/word/2010/wordprocessingShape">
                    <wps:wsp>
                      <wps:cNvSpPr/>
                      <wps:spPr>
                        <a:xfrm>
                          <a:off x="0" y="0"/>
                          <a:ext cx="1056289" cy="571500"/>
                        </a:xfrm>
                        <a:prstGeom prst="rect">
                          <a:avLst/>
                        </a:prstGeom>
                        <a:solidFill>
                          <a:srgbClr val="00C805"/>
                        </a:solidFill>
                        <a:ln/>
                      </wps:spPr>
                      <wps:style>
                        <a:lnRef idx="0">
                          <a:schemeClr val="accent5"/>
                        </a:lnRef>
                        <a:fillRef idx="3">
                          <a:schemeClr val="accent5"/>
                        </a:fillRef>
                        <a:effectRef idx="3">
                          <a:schemeClr val="accent5"/>
                        </a:effectRef>
                        <a:fontRef idx="minor">
                          <a:schemeClr val="lt1"/>
                        </a:fontRef>
                      </wps:style>
                      <wps:txbx>
                        <w:txbxContent>
                          <w:p w14:paraId="1B421696" w14:textId="1FE1B881" w:rsidR="0059163A" w:rsidRPr="009D6BCC" w:rsidRDefault="0059163A" w:rsidP="009D6BCC">
                            <w:pPr>
                              <w:jc w:val="center"/>
                              <w:rPr>
                                <w:rFonts w:ascii="Times New Roman" w:hAnsi="Times New Roman"/>
                                <w:sz w:val="20"/>
                                <w:szCs w:val="20"/>
                              </w:rPr>
                            </w:pPr>
                            <w:r>
                              <w:rPr>
                                <w:rFonts w:ascii="Times New Roman" w:hAnsi="Times New Roman"/>
                                <w:sz w:val="20"/>
                                <w:szCs w:val="20"/>
                              </w:rPr>
                              <w:t>Fomento y diversificación productiva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523D1C" id="Rectángulo 44" o:spid="_x0000_s1027" style="position:absolute;left:0;text-align:left;margin-left:337.65pt;margin-top:109.6pt;width:83.15pt;height:4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" fillcolor="#00c805" stroked="f">
                <v:shadow on="t" color="black" opacity="22937f" origin=",.5" offset="0,.63889mm"/>
                <v:textbox>
                  <w:txbxContent>
                    <w:p w14:paraId="1B421696" w14:textId="1FE1B881" w:rsidR="0059163A" w:rsidRPr="009D6BCC" w:rsidRDefault="0059163A" w:rsidP="009D6BCC">
                      <w:pPr>
                        <w:jc w:val="center"/>
                        <w:rPr>
                          <w:rFonts w:ascii="Times New Roman" w:hAnsi="Times New Roman"/>
                          <w:sz w:val="20"/>
                          <w:szCs w:val="20"/>
                        </w:rPr>
                      </w:pPr>
                      <w:r>
                        <w:rPr>
                          <w:rFonts w:ascii="Times New Roman" w:hAnsi="Times New Roman"/>
                          <w:sz w:val="20"/>
                          <w:szCs w:val="20"/>
                        </w:rPr>
                        <w:t>Fomento y diversificación productiva</w:t>
                      </w:r>
                    </w:p>
                  </w:txbxContent>
                </v:textbox>
                <w10:wrap anchorx="margin"/>
              </v:rect>
            </w:pict>
          </mc:Fallback>
        </mc:AlternateContent>
      </w:r>
      <w:r w:rsidR="00D555AD" w:rsidRPr="006569D0">
        <w:rPr>
          <w:rFonts w:ascii="Times New Roman" w:hAnsi="Times New Roman"/>
          <w:noProof/>
          <w:lang w:eastAsia="es-DO"/>
        </w:rPr>
        <mc:AlternateContent>
          <mc:Choice Requires="wps">
            <w:drawing>
              <wp:anchor distT="0" distB="0" distL="114300" distR="114300" simplePos="0" relativeHeight="251711488" behindDoc="0" locked="0" layoutInCell="1" allowOverlap="1" wp14:anchorId="6DF1EDF1" wp14:editId="217EB26C">
                <wp:simplePos x="0" y="0"/>
                <wp:positionH relativeFrom="margin">
                  <wp:posOffset>3695700</wp:posOffset>
                </wp:positionH>
                <wp:positionV relativeFrom="paragraph">
                  <wp:posOffset>2786380</wp:posOffset>
                </wp:positionV>
                <wp:extent cx="1419225" cy="571500"/>
                <wp:effectExtent l="95250" t="38100" r="104775" b="114300"/>
                <wp:wrapNone/>
                <wp:docPr id="54" name="Rectángulo 54"/>
                <wp:cNvGraphicFramePr/>
                <a:graphic xmlns:a="http://schemas.openxmlformats.org/drawingml/2006/main">
                  <a:graphicData uri="http://schemas.microsoft.com/office/word/2010/wordprocessingShape">
                    <wps:wsp>
                      <wps:cNvSpPr/>
                      <wps:spPr>
                        <a:xfrm>
                          <a:off x="0" y="0"/>
                          <a:ext cx="1419225" cy="571500"/>
                        </a:xfrm>
                        <a:prstGeom prst="rect">
                          <a:avLst/>
                        </a:prstGeom>
                        <a:ln/>
                      </wps:spPr>
                      <wps:style>
                        <a:lnRef idx="0">
                          <a:schemeClr val="accent1"/>
                        </a:lnRef>
                        <a:fillRef idx="3">
                          <a:schemeClr val="accent1"/>
                        </a:fillRef>
                        <a:effectRef idx="3">
                          <a:schemeClr val="accent1"/>
                        </a:effectRef>
                        <a:fontRef idx="minor">
                          <a:schemeClr val="lt1"/>
                        </a:fontRef>
                      </wps:style>
                      <wps:txbx>
                        <w:txbxContent>
                          <w:p w14:paraId="419CC1C2" w14:textId="4BEC9F4E" w:rsidR="0059163A" w:rsidRPr="009D6BCC" w:rsidRDefault="0059163A" w:rsidP="009D6BCC">
                            <w:pPr>
                              <w:jc w:val="center"/>
                              <w:rPr>
                                <w:rFonts w:ascii="Times New Roman" w:hAnsi="Times New Roman"/>
                                <w:sz w:val="20"/>
                                <w:szCs w:val="20"/>
                              </w:rPr>
                            </w:pPr>
                            <w:r>
                              <w:rPr>
                                <w:rFonts w:ascii="Times New Roman" w:hAnsi="Times New Roman"/>
                                <w:sz w:val="20"/>
                                <w:szCs w:val="20"/>
                              </w:rPr>
                              <w:t>Competitividad, rentabilidad y fomento a las agroexportaciones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1EDF1" id="Rectángulo 54" o:spid="_x0000_s1028" style="position:absolute;left:0;text-align:left;margin-left:291pt;margin-top:219.4pt;width:111.75pt;height:4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" fillcolor="#254163 [1636]" stroked="f">
                <v:fill color2="#4477b6 [3012]" rotate="t" angle="180" colors="0 #2c5d98;52429f #3c7bc7;1 #3a7ccb" focus="100%" type="gradient">
                  <o:fill v:ext="view" type="gradientUnscaled"/>
                </v:fill>
                <v:shadow on="t" color="black" opacity="22937f" origin=",.5" offset="0,.63889mm"/>
                <v:textbox>
                  <w:txbxContent>
                    <w:p w14:paraId="419CC1C2" w14:textId="4BEC9F4E" w:rsidR="0059163A" w:rsidRPr="009D6BCC" w:rsidRDefault="0059163A" w:rsidP="009D6BCC">
                      <w:pPr>
                        <w:jc w:val="center"/>
                        <w:rPr>
                          <w:rFonts w:ascii="Times New Roman" w:hAnsi="Times New Roman"/>
                          <w:sz w:val="20"/>
                          <w:szCs w:val="20"/>
                        </w:rPr>
                      </w:pPr>
                      <w:r>
                        <w:rPr>
                          <w:rFonts w:ascii="Times New Roman" w:hAnsi="Times New Roman"/>
                          <w:sz w:val="20"/>
                          <w:szCs w:val="20"/>
                        </w:rPr>
                        <w:t>Competitividad, rentabilidad y fomento a las agroexportaciones</w:t>
                      </w:r>
                    </w:p>
                  </w:txbxContent>
                </v:textbox>
                <w10:wrap anchorx="margin"/>
              </v:rect>
            </w:pict>
          </mc:Fallback>
        </mc:AlternateContent>
      </w:r>
      <w:r w:rsidR="00D555AD" w:rsidRPr="006569D0">
        <w:rPr>
          <w:rFonts w:ascii="Times New Roman" w:hAnsi="Times New Roman"/>
          <w:noProof/>
          <w:lang w:eastAsia="es-DO"/>
        </w:rPr>
        <mc:AlternateContent>
          <mc:Choice Requires="wps">
            <w:drawing>
              <wp:anchor distT="0" distB="0" distL="114300" distR="114300" simplePos="0" relativeHeight="251713536" behindDoc="0" locked="0" layoutInCell="1" allowOverlap="1" wp14:anchorId="5CBFE5DF" wp14:editId="67DECE6E">
                <wp:simplePos x="0" y="0"/>
                <wp:positionH relativeFrom="margin">
                  <wp:posOffset>781050</wp:posOffset>
                </wp:positionH>
                <wp:positionV relativeFrom="paragraph">
                  <wp:posOffset>2776855</wp:posOffset>
                </wp:positionV>
                <wp:extent cx="1419225" cy="561975"/>
                <wp:effectExtent l="95250" t="38100" r="104775" b="123825"/>
                <wp:wrapNone/>
                <wp:docPr id="58" name="Rectángulo 58"/>
                <wp:cNvGraphicFramePr/>
                <a:graphic xmlns:a="http://schemas.openxmlformats.org/drawingml/2006/main">
                  <a:graphicData uri="http://schemas.microsoft.com/office/word/2010/wordprocessingShape">
                    <wps:wsp>
                      <wps:cNvSpPr/>
                      <wps:spPr>
                        <a:xfrm>
                          <a:off x="0" y="0"/>
                          <a:ext cx="1419225" cy="561975"/>
                        </a:xfrm>
                        <a:prstGeom prst="rect">
                          <a:avLst/>
                        </a:prstGeom>
                        <a:solidFill>
                          <a:srgbClr val="88DE3A"/>
                        </a:solidFill>
                        <a:ln/>
                      </wps:spPr>
                      <wps:style>
                        <a:lnRef idx="0">
                          <a:schemeClr val="accent3"/>
                        </a:lnRef>
                        <a:fillRef idx="3">
                          <a:schemeClr val="accent3"/>
                        </a:fillRef>
                        <a:effectRef idx="3">
                          <a:schemeClr val="accent3"/>
                        </a:effectRef>
                        <a:fontRef idx="minor">
                          <a:schemeClr val="lt1"/>
                        </a:fontRef>
                      </wps:style>
                      <wps:txbx>
                        <w:txbxContent>
                          <w:p w14:paraId="14AC1AEB" w14:textId="03A6A873" w:rsidR="0059163A" w:rsidRPr="009D6BCC" w:rsidRDefault="0059163A" w:rsidP="00D555AD">
                            <w:pPr>
                              <w:jc w:val="center"/>
                              <w:rPr>
                                <w:rFonts w:ascii="Times New Roman" w:hAnsi="Times New Roman"/>
                                <w:sz w:val="20"/>
                                <w:szCs w:val="20"/>
                              </w:rPr>
                            </w:pPr>
                            <w:r>
                              <w:rPr>
                                <w:rFonts w:ascii="Times New Roman" w:hAnsi="Times New Roman"/>
                                <w:sz w:val="20"/>
                                <w:szCs w:val="20"/>
                              </w:rPr>
                              <w:t>Desarrollo de la infraestructura rural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FE5DF" id="Rectángulo 58" o:spid="_x0000_s1029" style="position:absolute;left:0;text-align:left;margin-left:61.5pt;margin-top:218.65pt;width:111.75pt;height:44.2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" fillcolor="#88de3a" stroked="f">
                <v:shadow on="t" color="black" opacity="22937f" origin=",.5" offset="0,.63889mm"/>
                <v:textbox>
                  <w:txbxContent>
                    <w:p w14:paraId="14AC1AEB" w14:textId="03A6A873" w:rsidR="0059163A" w:rsidRPr="009D6BCC" w:rsidRDefault="0059163A" w:rsidP="00D555AD">
                      <w:pPr>
                        <w:jc w:val="center"/>
                        <w:rPr>
                          <w:rFonts w:ascii="Times New Roman" w:hAnsi="Times New Roman"/>
                          <w:sz w:val="20"/>
                          <w:szCs w:val="20"/>
                        </w:rPr>
                      </w:pPr>
                      <w:r>
                        <w:rPr>
                          <w:rFonts w:ascii="Times New Roman" w:hAnsi="Times New Roman"/>
                          <w:sz w:val="20"/>
                          <w:szCs w:val="20"/>
                        </w:rPr>
                        <w:t>Desarrollo de la infraestructura rural</w:t>
                      </w:r>
                    </w:p>
                  </w:txbxContent>
                </v:textbox>
                <w10:wrap anchorx="margin"/>
              </v:rect>
            </w:pict>
          </mc:Fallback>
        </mc:AlternateContent>
      </w:r>
      <w:r w:rsidR="00D555AD" w:rsidRPr="006569D0">
        <w:rPr>
          <w:rFonts w:ascii="Times New Roman" w:hAnsi="Times New Roman"/>
          <w:noProof/>
          <w:lang w:eastAsia="es-DO"/>
        </w:rPr>
        <mc:AlternateContent>
          <mc:Choice Requires="wps">
            <w:drawing>
              <wp:anchor distT="0" distB="0" distL="114300" distR="114300" simplePos="0" relativeHeight="251717632" behindDoc="0" locked="0" layoutInCell="1" allowOverlap="1" wp14:anchorId="5E95339F" wp14:editId="6AC94F93">
                <wp:simplePos x="0" y="0"/>
                <wp:positionH relativeFrom="margin">
                  <wp:posOffset>714375</wp:posOffset>
                </wp:positionH>
                <wp:positionV relativeFrom="paragraph">
                  <wp:posOffset>5080</wp:posOffset>
                </wp:positionV>
                <wp:extent cx="1504950" cy="542925"/>
                <wp:effectExtent l="76200" t="38100" r="76200" b="104775"/>
                <wp:wrapNone/>
                <wp:docPr id="62" name="Rectángulo 62"/>
                <wp:cNvGraphicFramePr/>
                <a:graphic xmlns:a="http://schemas.openxmlformats.org/drawingml/2006/main">
                  <a:graphicData uri="http://schemas.microsoft.com/office/word/2010/wordprocessingShape">
                    <wps:wsp>
                      <wps:cNvSpPr/>
                      <wps:spPr>
                        <a:xfrm>
                          <a:off x="0" y="0"/>
                          <a:ext cx="1504950" cy="542925"/>
                        </a:xfrm>
                        <a:prstGeom prst="rect">
                          <a:avLst/>
                        </a:prstGeom>
                        <a:ln/>
                      </wps:spPr>
                      <wps:style>
                        <a:lnRef idx="0">
                          <a:schemeClr val="accent6"/>
                        </a:lnRef>
                        <a:fillRef idx="3">
                          <a:schemeClr val="accent6"/>
                        </a:fillRef>
                        <a:effectRef idx="3">
                          <a:schemeClr val="accent6"/>
                        </a:effectRef>
                        <a:fontRef idx="minor">
                          <a:schemeClr val="lt1"/>
                        </a:fontRef>
                      </wps:style>
                      <wps:txbx>
                        <w:txbxContent>
                          <w:p w14:paraId="1BEDE4E3" w14:textId="2E29E3F3" w:rsidR="0059163A" w:rsidRPr="009D6BCC" w:rsidRDefault="0059163A" w:rsidP="00D555AD">
                            <w:pPr>
                              <w:spacing w:after="0"/>
                              <w:jc w:val="center"/>
                              <w:rPr>
                                <w:rFonts w:ascii="Times New Roman" w:hAnsi="Times New Roman"/>
                                <w:sz w:val="20"/>
                                <w:szCs w:val="20"/>
                              </w:rPr>
                            </w:pPr>
                            <w:r>
                              <w:rPr>
                                <w:rFonts w:ascii="Times New Roman" w:hAnsi="Times New Roman"/>
                                <w:sz w:val="20"/>
                                <w:szCs w:val="20"/>
                              </w:rPr>
                              <w:t>Sostenibilidad Ambiental y de resiliencia al cambio climático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5339F" id="Rectángulo 62" o:spid="_x0000_s1030" style="position:absolute;left:0;text-align:left;margin-left:56.25pt;margin-top:.4pt;width:118.5pt;height:42.7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" fillcolor="#9a4906 [1641]" stroked="f">
                <v:fill color2="#f68a32 [3017]" rotate="t" angle="180" colors="0 #cb6c1d;52429f #ff8f2a;1 #ff8f26" focus="100%" type="gradient">
                  <o:fill v:ext="view" type="gradientUnscaled"/>
                </v:fill>
                <v:shadow on="t" color="black" opacity="22937f" origin=",.5" offset="0,.63889mm"/>
                <v:textbox>
                  <w:txbxContent>
                    <w:p w14:paraId="1BEDE4E3" w14:textId="2E29E3F3" w:rsidR="0059163A" w:rsidRPr="009D6BCC" w:rsidRDefault="0059163A" w:rsidP="00D555AD">
                      <w:pPr>
                        <w:spacing w:after="0"/>
                        <w:jc w:val="center"/>
                        <w:rPr>
                          <w:rFonts w:ascii="Times New Roman" w:hAnsi="Times New Roman"/>
                          <w:sz w:val="20"/>
                          <w:szCs w:val="20"/>
                        </w:rPr>
                      </w:pPr>
                      <w:r>
                        <w:rPr>
                          <w:rFonts w:ascii="Times New Roman" w:hAnsi="Times New Roman"/>
                          <w:sz w:val="20"/>
                          <w:szCs w:val="20"/>
                        </w:rPr>
                        <w:t>Sostenibilidad Ambiental y de resiliencia al cambio climático</w:t>
                      </w:r>
                    </w:p>
                  </w:txbxContent>
                </v:textbox>
                <w10:wrap anchorx="margin"/>
              </v:rect>
            </w:pict>
          </mc:Fallback>
        </mc:AlternateContent>
      </w:r>
      <w:r w:rsidR="00D555AD" w:rsidRPr="006569D0">
        <w:rPr>
          <w:rFonts w:ascii="Times New Roman" w:hAnsi="Times New Roman"/>
          <w:noProof/>
          <w:lang w:eastAsia="es-DO"/>
        </w:rPr>
        <mc:AlternateContent>
          <mc:Choice Requires="wps">
            <w:drawing>
              <wp:anchor distT="0" distB="0" distL="114300" distR="114300" simplePos="0" relativeHeight="251707392" behindDoc="0" locked="0" layoutInCell="1" allowOverlap="1" wp14:anchorId="185E9F07" wp14:editId="05E50ECE">
                <wp:simplePos x="0" y="0"/>
                <wp:positionH relativeFrom="margin">
                  <wp:posOffset>3676650</wp:posOffset>
                </wp:positionH>
                <wp:positionV relativeFrom="paragraph">
                  <wp:posOffset>14605</wp:posOffset>
                </wp:positionV>
                <wp:extent cx="1466850" cy="552450"/>
                <wp:effectExtent l="76200" t="38100" r="76200" b="95250"/>
                <wp:wrapNone/>
                <wp:docPr id="8" name="Rectángulo 8"/>
                <wp:cNvGraphicFramePr/>
                <a:graphic xmlns:a="http://schemas.openxmlformats.org/drawingml/2006/main">
                  <a:graphicData uri="http://schemas.microsoft.com/office/word/2010/wordprocessingShape">
                    <wps:wsp>
                      <wps:cNvSpPr/>
                      <wps:spPr>
                        <a:xfrm>
                          <a:off x="0" y="0"/>
                          <a:ext cx="1466850" cy="552450"/>
                        </a:xfrm>
                        <a:prstGeom prst="rect">
                          <a:avLst/>
                        </a:prstGeom>
                        <a:ln/>
                      </wps:spPr>
                      <wps:style>
                        <a:lnRef idx="0">
                          <a:schemeClr val="accent5"/>
                        </a:lnRef>
                        <a:fillRef idx="3">
                          <a:schemeClr val="accent5"/>
                        </a:fillRef>
                        <a:effectRef idx="3">
                          <a:schemeClr val="accent5"/>
                        </a:effectRef>
                        <a:fontRef idx="minor">
                          <a:schemeClr val="lt1"/>
                        </a:fontRef>
                      </wps:style>
                      <wps:txbx>
                        <w:txbxContent>
                          <w:p w14:paraId="07CE09C2" w14:textId="51C28077" w:rsidR="0059163A" w:rsidRPr="009D6BCC" w:rsidRDefault="0059163A" w:rsidP="00D555AD">
                            <w:pPr>
                              <w:spacing w:after="0"/>
                              <w:jc w:val="center"/>
                              <w:rPr>
                                <w:rFonts w:ascii="Times New Roman" w:hAnsi="Times New Roman"/>
                                <w:sz w:val="20"/>
                                <w:szCs w:val="20"/>
                              </w:rPr>
                            </w:pPr>
                            <w:r w:rsidRPr="009D6BCC">
                              <w:rPr>
                                <w:rFonts w:ascii="Times New Roman" w:hAnsi="Times New Roman"/>
                                <w:sz w:val="20"/>
                                <w:szCs w:val="20"/>
                              </w:rPr>
                              <w:t>Reestructuración</w:t>
                            </w:r>
                            <w:r>
                              <w:rPr>
                                <w:rFonts w:ascii="Times New Roman" w:hAnsi="Times New Roman"/>
                                <w:sz w:val="20"/>
                                <w:szCs w:val="20"/>
                              </w:rPr>
                              <w:t xml:space="preserve"> y fortalecimiento del sector agropecuario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E9F07" id="Rectángulo 8" o:spid="_x0000_s1031" style="position:absolute;left:0;text-align:left;margin-left:289.5pt;margin-top:1.15pt;width:115.5pt;height:43.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" fillcolor="#215a69 [1640]" stroked="f">
                <v:fill color2="#3da5c1 [3016]" rotate="t" angle="180" colors="0 #2787a0;52429f #36b1d2;1 #34b3d6" focus="100%" type="gradient">
                  <o:fill v:ext="view" type="gradientUnscaled"/>
                </v:fill>
                <v:shadow on="t" color="black" opacity="22937f" origin=",.5" offset="0,.63889mm"/>
                <v:textbox>
                  <w:txbxContent>
                    <w:p w14:paraId="07CE09C2" w14:textId="51C28077" w:rsidR="0059163A" w:rsidRPr="009D6BCC" w:rsidRDefault="0059163A" w:rsidP="00D555AD">
                      <w:pPr>
                        <w:spacing w:after="0"/>
                        <w:jc w:val="center"/>
                        <w:rPr>
                          <w:rFonts w:ascii="Times New Roman" w:hAnsi="Times New Roman"/>
                          <w:sz w:val="20"/>
                          <w:szCs w:val="20"/>
                        </w:rPr>
                      </w:pPr>
                      <w:r w:rsidRPr="009D6BCC">
                        <w:rPr>
                          <w:rFonts w:ascii="Times New Roman" w:hAnsi="Times New Roman"/>
                          <w:sz w:val="20"/>
                          <w:szCs w:val="20"/>
                        </w:rPr>
                        <w:t>Reestructuración</w:t>
                      </w:r>
                      <w:r>
                        <w:rPr>
                          <w:rFonts w:ascii="Times New Roman" w:hAnsi="Times New Roman"/>
                          <w:sz w:val="20"/>
                          <w:szCs w:val="20"/>
                        </w:rPr>
                        <w:t xml:space="preserve"> y fortalecimiento del sector agropecuario</w:t>
                      </w:r>
                    </w:p>
                  </w:txbxContent>
                </v:textbox>
                <w10:wrap anchorx="margin"/>
              </v:rect>
            </w:pict>
          </mc:Fallback>
        </mc:AlternateContent>
      </w:r>
      <w:r w:rsidR="009D6BCC" w:rsidRPr="006569D0">
        <w:rPr>
          <w:rFonts w:ascii="Times New Roman" w:hAnsi="Times New Roman"/>
          <w:noProof/>
          <w:lang w:eastAsia="es-DO"/>
        </w:rPr>
        <w:drawing>
          <wp:inline distT="0" distB="0" distL="0" distR="0" wp14:anchorId="535FC0A8" wp14:editId="20D85BAD">
            <wp:extent cx="5876925" cy="3305175"/>
            <wp:effectExtent l="0" t="38100" r="0" b="104775"/>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001972F2" w:rsidRPr="006569D0">
        <w:rPr>
          <w:rFonts w:ascii="Times New Roman" w:hAnsi="Times New Roman"/>
          <w:lang w:val="es-ES_tradnl"/>
        </w:rPr>
        <w:br w:type="page"/>
      </w:r>
    </w:p>
    <w:p w14:paraId="475EEAD8" w14:textId="72E8F9AC" w:rsidR="003D5EB3" w:rsidRPr="006569D0" w:rsidRDefault="00FC7E69" w:rsidP="001C6B1A">
      <w:pPr>
        <w:pStyle w:val="Prrafodelista"/>
        <w:widowControl w:val="0"/>
        <w:numPr>
          <w:ilvl w:val="0"/>
          <w:numId w:val="10"/>
        </w:numPr>
        <w:autoSpaceDE w:val="0"/>
        <w:autoSpaceDN w:val="0"/>
        <w:adjustRightInd w:val="0"/>
        <w:spacing w:after="0" w:line="240" w:lineRule="auto"/>
        <w:ind w:hanging="644"/>
        <w:jc w:val="both"/>
        <w:rPr>
          <w:rFonts w:ascii="Times New Roman" w:hAnsi="Times New Roman"/>
          <w:b/>
          <w:sz w:val="24"/>
          <w:lang w:val="es-ES_tradnl"/>
        </w:rPr>
      </w:pPr>
      <w:r w:rsidRPr="006569D0">
        <w:rPr>
          <w:rFonts w:ascii="Times New Roman" w:hAnsi="Times New Roman"/>
          <w:b/>
          <w:sz w:val="24"/>
          <w:lang w:val="es-ES_tradnl"/>
        </w:rPr>
        <w:lastRenderedPageBreak/>
        <w:t>Políticas</w:t>
      </w:r>
      <w:r w:rsidR="003D5EB3" w:rsidRPr="006569D0">
        <w:rPr>
          <w:rFonts w:ascii="Times New Roman" w:hAnsi="Times New Roman"/>
          <w:b/>
          <w:sz w:val="24"/>
          <w:lang w:val="es-ES_tradnl"/>
        </w:rPr>
        <w:t xml:space="preserve"> para el desarrollo del Sector Agropecuario</w:t>
      </w:r>
    </w:p>
    <w:p w14:paraId="65FD9943" w14:textId="12B52659" w:rsidR="003D5EB3" w:rsidRPr="006569D0" w:rsidRDefault="003D5EB3" w:rsidP="003D5EB3">
      <w:pPr>
        <w:pStyle w:val="Prrafodelista"/>
        <w:widowControl w:val="0"/>
        <w:autoSpaceDE w:val="0"/>
        <w:autoSpaceDN w:val="0"/>
        <w:adjustRightInd w:val="0"/>
        <w:spacing w:after="0" w:line="240" w:lineRule="auto"/>
        <w:ind w:left="644"/>
        <w:jc w:val="both"/>
        <w:rPr>
          <w:rFonts w:ascii="Times New Roman" w:hAnsi="Times New Roman"/>
          <w:b/>
          <w:sz w:val="24"/>
          <w:lang w:val="es-ES_tradnl"/>
        </w:rPr>
      </w:pPr>
    </w:p>
    <w:p w14:paraId="501D4B0D" w14:textId="4A8CDF13" w:rsidR="003D5EB3" w:rsidRPr="006569D0" w:rsidRDefault="00CE5612" w:rsidP="003D5EB3">
      <w:pPr>
        <w:pStyle w:val="Prrafodelista"/>
        <w:widowControl w:val="0"/>
        <w:autoSpaceDE w:val="0"/>
        <w:autoSpaceDN w:val="0"/>
        <w:adjustRightInd w:val="0"/>
        <w:spacing w:after="0" w:line="240" w:lineRule="auto"/>
        <w:ind w:left="644"/>
        <w:jc w:val="both"/>
        <w:rPr>
          <w:rFonts w:ascii="Times New Roman" w:hAnsi="Times New Roman"/>
          <w:b/>
          <w:sz w:val="24"/>
          <w:lang w:val="es-ES_tradnl"/>
        </w:rPr>
      </w:pPr>
      <w:r w:rsidRPr="006569D0">
        <w:rPr>
          <w:rFonts w:ascii="Times New Roman" w:hAnsi="Times New Roman"/>
          <w:noProof/>
          <w:lang w:eastAsia="es-DO"/>
        </w:rPr>
        <w:drawing>
          <wp:anchor distT="0" distB="0" distL="114300" distR="114300" simplePos="0" relativeHeight="251647999" behindDoc="1" locked="0" layoutInCell="1" allowOverlap="1" wp14:anchorId="1102613F" wp14:editId="2777B9A5">
            <wp:simplePos x="0" y="0"/>
            <wp:positionH relativeFrom="column">
              <wp:posOffset>-694706</wp:posOffset>
            </wp:positionH>
            <wp:positionV relativeFrom="paragraph">
              <wp:posOffset>1513907</wp:posOffset>
            </wp:positionV>
            <wp:extent cx="1745672" cy="1658342"/>
            <wp:effectExtent l="0" t="0" r="6985"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G-20190225-WA0042 (1).jpg"/>
                    <pic:cNvPicPr/>
                  </pic:nvPicPr>
                  <pic:blipFill rotWithShape="1">
                    <a:blip r:embed="rId15">
                      <a:extLst>
                        <a:ext uri="{28A0092B-C50C-407E-A947-70E740481C1C}">
                          <a14:useLocalDpi xmlns:a14="http://schemas.microsoft.com/office/drawing/2010/main" val="0"/>
                        </a:ext>
                      </a:extLst>
                    </a:blip>
                    <a:srcRect l="27628" t="6120" r="24891" b="35450"/>
                    <a:stretch/>
                  </pic:blipFill>
                  <pic:spPr bwMode="auto">
                    <a:xfrm>
                      <a:off x="0" y="0"/>
                      <a:ext cx="1751323" cy="1663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5EB3" w:rsidRPr="006569D0">
        <w:rPr>
          <w:rFonts w:ascii="Times New Roman" w:hAnsi="Times New Roman"/>
          <w:b/>
          <w:noProof/>
          <w:sz w:val="24"/>
          <w:lang w:eastAsia="es-DO"/>
        </w:rPr>
        <w:drawing>
          <wp:inline distT="0" distB="0" distL="0" distR="0" wp14:anchorId="39544334" wp14:editId="7B68B01B">
            <wp:extent cx="5829935" cy="7659585"/>
            <wp:effectExtent l="0" t="0" r="0" b="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ED510A9" w14:textId="77777777" w:rsidR="003D5EB3" w:rsidRPr="006569D0" w:rsidRDefault="003D5EB3" w:rsidP="003D5EB3">
      <w:pPr>
        <w:pStyle w:val="Prrafodelista"/>
        <w:widowControl w:val="0"/>
        <w:autoSpaceDE w:val="0"/>
        <w:autoSpaceDN w:val="0"/>
        <w:adjustRightInd w:val="0"/>
        <w:spacing w:after="0" w:line="240" w:lineRule="auto"/>
        <w:ind w:left="644"/>
        <w:jc w:val="both"/>
        <w:rPr>
          <w:rFonts w:ascii="Times New Roman" w:hAnsi="Times New Roman"/>
          <w:b/>
          <w:sz w:val="24"/>
          <w:lang w:val="es-ES_tradnl"/>
        </w:rPr>
      </w:pPr>
    </w:p>
    <w:p w14:paraId="01C7EFD7" w14:textId="68711508" w:rsidR="000B7964" w:rsidRPr="006569D0" w:rsidRDefault="000B7964" w:rsidP="001C6B1A">
      <w:pPr>
        <w:pStyle w:val="Prrafodelista"/>
        <w:widowControl w:val="0"/>
        <w:numPr>
          <w:ilvl w:val="0"/>
          <w:numId w:val="10"/>
        </w:numPr>
        <w:autoSpaceDE w:val="0"/>
        <w:autoSpaceDN w:val="0"/>
        <w:adjustRightInd w:val="0"/>
        <w:spacing w:after="0" w:line="240" w:lineRule="auto"/>
        <w:ind w:hanging="644"/>
        <w:jc w:val="both"/>
        <w:rPr>
          <w:rFonts w:ascii="Times New Roman" w:hAnsi="Times New Roman"/>
          <w:b/>
          <w:sz w:val="24"/>
          <w:lang w:val="es-ES_tradnl"/>
        </w:rPr>
      </w:pPr>
      <w:r w:rsidRPr="006569D0">
        <w:rPr>
          <w:rFonts w:ascii="Times New Roman" w:hAnsi="Times New Roman"/>
          <w:b/>
          <w:sz w:val="24"/>
          <w:lang w:val="es-ES_tradnl"/>
        </w:rPr>
        <w:lastRenderedPageBreak/>
        <w:t>Ejes estratégicos para el desarrollo del Subsector Pecuario</w:t>
      </w:r>
    </w:p>
    <w:p w14:paraId="7E08140E" w14:textId="20760B02" w:rsidR="000B7964" w:rsidRPr="006569D0" w:rsidRDefault="000B7964" w:rsidP="008021FD">
      <w:pPr>
        <w:widowControl w:val="0"/>
        <w:autoSpaceDE w:val="0"/>
        <w:autoSpaceDN w:val="0"/>
        <w:adjustRightInd w:val="0"/>
        <w:spacing w:after="0" w:line="480" w:lineRule="auto"/>
        <w:ind w:firstLine="567"/>
        <w:jc w:val="both"/>
        <w:rPr>
          <w:rFonts w:ascii="Times New Roman" w:hAnsi="Times New Roman"/>
          <w:b/>
          <w:sz w:val="28"/>
          <w:lang w:val="es-ES_tradnl"/>
        </w:rPr>
      </w:pPr>
      <w:r w:rsidRPr="006569D0">
        <w:rPr>
          <w:rFonts w:ascii="Times New Roman" w:hAnsi="Times New Roman"/>
          <w:b/>
          <w:noProof/>
          <w:sz w:val="28"/>
          <w:lang w:eastAsia="es-DO"/>
        </w:rPr>
        <w:drawing>
          <wp:inline distT="0" distB="0" distL="0" distR="0" wp14:anchorId="323405C0" wp14:editId="671700FE">
            <wp:extent cx="5029200" cy="2286000"/>
            <wp:effectExtent l="76200" t="0" r="76200" b="0"/>
            <wp:docPr id="52" name="Diagrama 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6B91226B" w14:textId="77777777" w:rsidR="009F11F9" w:rsidRPr="006569D0" w:rsidRDefault="009F11F9" w:rsidP="008021FD">
      <w:pPr>
        <w:widowControl w:val="0"/>
        <w:autoSpaceDE w:val="0"/>
        <w:autoSpaceDN w:val="0"/>
        <w:adjustRightInd w:val="0"/>
        <w:spacing w:after="0" w:line="480" w:lineRule="auto"/>
        <w:ind w:firstLine="567"/>
        <w:jc w:val="both"/>
        <w:rPr>
          <w:rFonts w:ascii="Times New Roman" w:hAnsi="Times New Roman"/>
          <w:b/>
          <w:sz w:val="28"/>
          <w:lang w:val="es-ES_tradnl"/>
        </w:rPr>
      </w:pPr>
    </w:p>
    <w:p w14:paraId="1AF66758" w14:textId="501745E3" w:rsidR="00FC1B41" w:rsidRPr="006569D0" w:rsidRDefault="002A5AE4" w:rsidP="001C6B1A">
      <w:pPr>
        <w:pStyle w:val="Prrafodelista"/>
        <w:widowControl w:val="0"/>
        <w:numPr>
          <w:ilvl w:val="0"/>
          <w:numId w:val="10"/>
        </w:numPr>
        <w:autoSpaceDE w:val="0"/>
        <w:autoSpaceDN w:val="0"/>
        <w:adjustRightInd w:val="0"/>
        <w:spacing w:after="0" w:line="240" w:lineRule="auto"/>
        <w:ind w:hanging="644"/>
        <w:jc w:val="both"/>
        <w:rPr>
          <w:rFonts w:ascii="Times New Roman" w:hAnsi="Times New Roman"/>
          <w:b/>
          <w:sz w:val="24"/>
          <w:lang w:val="es-ES_tradnl"/>
        </w:rPr>
      </w:pPr>
      <w:r w:rsidRPr="006569D0">
        <w:rPr>
          <w:rFonts w:ascii="Times New Roman" w:hAnsi="Times New Roman"/>
          <w:b/>
          <w:sz w:val="24"/>
          <w:lang w:val="es-ES_tradnl"/>
        </w:rPr>
        <w:t>E</w:t>
      </w:r>
      <w:r w:rsidR="00A3242B" w:rsidRPr="006569D0">
        <w:rPr>
          <w:rFonts w:ascii="Times New Roman" w:hAnsi="Times New Roman"/>
          <w:b/>
          <w:sz w:val="24"/>
          <w:lang w:val="es-ES_tradnl"/>
        </w:rPr>
        <w:t>jes transversales</w:t>
      </w:r>
    </w:p>
    <w:p w14:paraId="27E1014A" w14:textId="31E3AB5C" w:rsidR="002A5AE4" w:rsidRPr="006569D0" w:rsidRDefault="00FC7E69" w:rsidP="002A5AE4">
      <w:pPr>
        <w:pStyle w:val="Prrafodelista"/>
        <w:widowControl w:val="0"/>
        <w:autoSpaceDE w:val="0"/>
        <w:autoSpaceDN w:val="0"/>
        <w:adjustRightInd w:val="0"/>
        <w:spacing w:after="0" w:line="240" w:lineRule="auto"/>
        <w:ind w:left="644"/>
        <w:jc w:val="both"/>
        <w:rPr>
          <w:rFonts w:ascii="Times New Roman" w:hAnsi="Times New Roman"/>
          <w:b/>
          <w:sz w:val="24"/>
          <w:lang w:val="es-ES_tradnl"/>
        </w:rPr>
      </w:pPr>
      <w:r w:rsidRPr="006569D0">
        <w:rPr>
          <w:rFonts w:ascii="Times New Roman" w:hAnsi="Times New Roman"/>
          <w:b/>
          <w:noProof/>
          <w:sz w:val="24"/>
          <w:lang w:eastAsia="es-DO"/>
        </w:rPr>
        <w:drawing>
          <wp:inline distT="0" distB="0" distL="0" distR="0" wp14:anchorId="0631B23B" wp14:editId="2C82DF02">
            <wp:extent cx="5029200" cy="2966484"/>
            <wp:effectExtent l="0" t="19050" r="0" b="81915"/>
            <wp:docPr id="55" name="Diagrama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2793554D" w14:textId="0FD3D67F" w:rsidR="009F11F9" w:rsidRPr="006569D0" w:rsidRDefault="009F11F9">
      <w:pPr>
        <w:spacing w:after="0"/>
        <w:rPr>
          <w:rFonts w:ascii="Times New Roman" w:hAnsi="Times New Roman"/>
          <w:lang w:val="es-ES_tradnl"/>
        </w:rPr>
      </w:pPr>
      <w:r w:rsidRPr="006569D0">
        <w:rPr>
          <w:rFonts w:ascii="Times New Roman" w:hAnsi="Times New Roman"/>
          <w:lang w:val="es-ES_tradnl"/>
        </w:rPr>
        <w:br w:type="page"/>
      </w:r>
    </w:p>
    <w:p w14:paraId="5A3C29C3" w14:textId="6D4294C6" w:rsidR="00FC1B41" w:rsidRPr="006569D0" w:rsidRDefault="009F47AA" w:rsidP="00954002">
      <w:pPr>
        <w:pStyle w:val="Ttulo2"/>
      </w:pPr>
      <w:bookmarkStart w:id="49" w:name="_Toc251777825"/>
      <w:bookmarkStart w:id="50" w:name="_Toc254413062"/>
      <w:bookmarkStart w:id="51" w:name="_Toc409040057"/>
      <w:bookmarkStart w:id="52" w:name="_Toc440036660"/>
      <w:bookmarkStart w:id="53" w:name="_Toc470523317"/>
      <w:bookmarkStart w:id="54" w:name="_Toc26292014"/>
      <w:bookmarkStart w:id="55" w:name="_Toc27146719"/>
      <w:r w:rsidRPr="006569D0">
        <w:lastRenderedPageBreak/>
        <w:t xml:space="preserve">a) </w:t>
      </w:r>
      <w:r w:rsidR="009F11F9" w:rsidRPr="006569D0">
        <w:t xml:space="preserve">Vinculación </w:t>
      </w:r>
      <w:r w:rsidR="001972F2" w:rsidRPr="006569D0">
        <w:t>del</w:t>
      </w:r>
      <w:r w:rsidR="00FC1B41" w:rsidRPr="006569D0">
        <w:t xml:space="preserve"> </w:t>
      </w:r>
      <w:r w:rsidR="001A3FE8" w:rsidRPr="006569D0">
        <w:t xml:space="preserve">PNPSP, </w:t>
      </w:r>
      <w:r w:rsidR="001972F2" w:rsidRPr="006569D0">
        <w:t xml:space="preserve">END </w:t>
      </w:r>
      <w:bookmarkEnd w:id="49"/>
      <w:bookmarkEnd w:id="50"/>
      <w:bookmarkEnd w:id="51"/>
      <w:bookmarkEnd w:id="52"/>
      <w:bookmarkEnd w:id="53"/>
      <w:r w:rsidR="00526F80" w:rsidRPr="006569D0">
        <w:t>y ODS</w:t>
      </w:r>
      <w:bookmarkEnd w:id="54"/>
      <w:bookmarkEnd w:id="55"/>
    </w:p>
    <w:p w14:paraId="511AFFEC" w14:textId="77777777" w:rsidR="00474206" w:rsidRPr="006569D0" w:rsidRDefault="00474206" w:rsidP="003D2758">
      <w:pPr>
        <w:spacing w:after="0"/>
        <w:rPr>
          <w:rFonts w:ascii="Times New Roman" w:hAnsi="Times New Roman"/>
          <w:lang w:val="es-ES_tradnl" w:eastAsia="en-US" w:bidi="en-US"/>
        </w:rPr>
      </w:pPr>
    </w:p>
    <w:p w14:paraId="13D8D1A9" w14:textId="77777777" w:rsidR="002F06AC" w:rsidRPr="006569D0" w:rsidRDefault="00FC1B41" w:rsidP="008021FD">
      <w:pPr>
        <w:spacing w:after="0" w:line="480" w:lineRule="auto"/>
        <w:ind w:firstLine="567"/>
        <w:jc w:val="both"/>
        <w:rPr>
          <w:rFonts w:ascii="Times New Roman" w:hAnsi="Times New Roman"/>
          <w:lang w:val="es-ES_tradnl"/>
        </w:rPr>
      </w:pPr>
      <w:r w:rsidRPr="006569D0">
        <w:rPr>
          <w:rFonts w:ascii="Times New Roman" w:hAnsi="Times New Roman"/>
          <w:b/>
          <w:lang w:val="es-ES_tradnl"/>
        </w:rPr>
        <w:t>Objetivo específico en la END</w:t>
      </w:r>
      <w:r w:rsidRPr="006569D0">
        <w:rPr>
          <w:rFonts w:ascii="Times New Roman" w:hAnsi="Times New Roman"/>
          <w:lang w:val="es-ES_tradnl"/>
        </w:rPr>
        <w:t xml:space="preserve">: </w:t>
      </w:r>
      <w:r w:rsidR="002F06AC" w:rsidRPr="006569D0">
        <w:rPr>
          <w:rFonts w:ascii="Times New Roman" w:hAnsi="Times New Roman"/>
          <w:lang w:val="es-ES_tradnl"/>
        </w:rPr>
        <w:t xml:space="preserve">que se refiere </w:t>
      </w:r>
      <w:r w:rsidR="00526F80" w:rsidRPr="006569D0">
        <w:rPr>
          <w:rFonts w:ascii="Times New Roman" w:hAnsi="Times New Roman"/>
          <w:lang w:val="es-ES_tradnl"/>
        </w:rPr>
        <w:t xml:space="preserve">al </w:t>
      </w:r>
      <w:r w:rsidR="00526F80" w:rsidRPr="006569D0">
        <w:rPr>
          <w:rFonts w:ascii="Times New Roman" w:hAnsi="Times New Roman"/>
          <w:iCs/>
          <w:lang w:val="es-ES_tradnl"/>
        </w:rPr>
        <w:t xml:space="preserve">impulso de la productividad y competitividad del sector agropecuario y promoción de las agro-exportaciones, </w:t>
      </w:r>
      <w:r w:rsidR="00526F80" w:rsidRPr="006569D0">
        <w:rPr>
          <w:rFonts w:ascii="Times New Roman" w:hAnsi="Times New Roman"/>
          <w:lang w:val="es-ES_tradnl"/>
        </w:rPr>
        <w:t>las cuales tienen como objetivo elevar la productividad y competitividad de las cadenas agroproductivas, en condiciones de sostenibilidad ambiental, a fin de garantizar la seguridad alimentaria de la población dominicana.</w:t>
      </w:r>
    </w:p>
    <w:p w14:paraId="7FEFFA76" w14:textId="77777777" w:rsidR="001972F2" w:rsidRPr="006569D0" w:rsidRDefault="002F06AC" w:rsidP="008021FD">
      <w:pPr>
        <w:spacing w:after="0" w:line="480" w:lineRule="auto"/>
        <w:ind w:firstLine="567"/>
        <w:jc w:val="both"/>
        <w:rPr>
          <w:rFonts w:ascii="Times New Roman" w:hAnsi="Times New Roman"/>
          <w:lang w:val="es-ES_tradnl"/>
        </w:rPr>
      </w:pPr>
      <w:r w:rsidRPr="006569D0">
        <w:rPr>
          <w:rFonts w:ascii="Times New Roman" w:hAnsi="Times New Roman"/>
          <w:lang w:val="es-ES_tradnl"/>
        </w:rPr>
        <w:t xml:space="preserve"> </w:t>
      </w:r>
    </w:p>
    <w:p w14:paraId="3468784E" w14:textId="77777777" w:rsidR="00526F80" w:rsidRPr="006569D0" w:rsidRDefault="002F06AC" w:rsidP="00526F80">
      <w:pPr>
        <w:spacing w:after="0" w:line="480" w:lineRule="auto"/>
        <w:ind w:firstLine="567"/>
        <w:jc w:val="both"/>
        <w:rPr>
          <w:rFonts w:ascii="Times New Roman" w:hAnsi="Times New Roman"/>
          <w:lang w:val="es-ES_tradnl"/>
        </w:rPr>
      </w:pPr>
      <w:r w:rsidRPr="006569D0">
        <w:rPr>
          <w:rFonts w:ascii="Times New Roman" w:hAnsi="Times New Roman"/>
          <w:lang w:val="es-ES_tradnl"/>
        </w:rPr>
        <w:t>Adicionalmente se alinea con el o</w:t>
      </w:r>
      <w:r w:rsidR="00526F80" w:rsidRPr="006569D0">
        <w:rPr>
          <w:rFonts w:ascii="Times New Roman" w:hAnsi="Times New Roman"/>
          <w:lang w:val="es-ES_tradnl"/>
        </w:rPr>
        <w:t>bjetivo específico en la END: Los objetivos de la Institución se enmarcan dentro del Segundo Eje de la END</w:t>
      </w:r>
      <w:r w:rsidR="00526F80" w:rsidRPr="006569D0">
        <w:rPr>
          <w:rFonts w:ascii="Times New Roman" w:hAnsi="Times New Roman"/>
          <w:iCs/>
          <w:lang w:val="es-ES_tradnl"/>
        </w:rPr>
        <w:t xml:space="preserve">, </w:t>
      </w:r>
      <w:r w:rsidR="00526F80" w:rsidRPr="006569D0">
        <w:rPr>
          <w:rFonts w:ascii="Times New Roman" w:hAnsi="Times New Roman"/>
          <w:lang w:val="es-ES_tradnl"/>
        </w:rPr>
        <w:t>referido; a “Una sociedad con igualdad de derechos y oportunidades, en la que toda la población tiene garantizada los servicios básicos de calidad, y que promueve la reducción progresiva de la pobreza y la desigualdad social y territorial”.</w:t>
      </w:r>
    </w:p>
    <w:p w14:paraId="26DC107E" w14:textId="77777777" w:rsidR="00526F80" w:rsidRPr="006569D0" w:rsidRDefault="00526F80" w:rsidP="008021FD">
      <w:pPr>
        <w:spacing w:after="0" w:line="480" w:lineRule="auto"/>
        <w:ind w:firstLine="567"/>
        <w:jc w:val="both"/>
        <w:rPr>
          <w:rFonts w:ascii="Times New Roman" w:hAnsi="Times New Roman"/>
          <w:lang w:val="es-ES_tradnl"/>
        </w:rPr>
      </w:pPr>
    </w:p>
    <w:p w14:paraId="6371888A" w14:textId="77777777" w:rsidR="001A3FE8" w:rsidRPr="006569D0" w:rsidRDefault="003F6DB1" w:rsidP="008021FD">
      <w:pPr>
        <w:spacing w:after="0" w:line="480" w:lineRule="auto"/>
        <w:ind w:firstLine="567"/>
        <w:jc w:val="both"/>
        <w:rPr>
          <w:rFonts w:ascii="Times New Roman" w:hAnsi="Times New Roman"/>
          <w:lang w:val="es-ES_tradnl"/>
        </w:rPr>
      </w:pPr>
      <w:r w:rsidRPr="006569D0">
        <w:rPr>
          <w:rFonts w:ascii="Times New Roman" w:hAnsi="Times New Roman"/>
          <w:lang w:val="es-ES_tradnl"/>
        </w:rPr>
        <w:t>Los O</w:t>
      </w:r>
      <w:r w:rsidR="001A3FE8" w:rsidRPr="006569D0">
        <w:rPr>
          <w:rFonts w:ascii="Times New Roman" w:hAnsi="Times New Roman"/>
          <w:lang w:val="es-ES_tradnl"/>
        </w:rPr>
        <w:t xml:space="preserve">bjetivos de </w:t>
      </w:r>
      <w:r w:rsidRPr="006569D0">
        <w:rPr>
          <w:rFonts w:ascii="Times New Roman" w:hAnsi="Times New Roman"/>
          <w:lang w:val="es-ES_tradnl"/>
        </w:rPr>
        <w:t>D</w:t>
      </w:r>
      <w:r w:rsidR="001A3FE8" w:rsidRPr="006569D0">
        <w:rPr>
          <w:rFonts w:ascii="Times New Roman" w:hAnsi="Times New Roman"/>
          <w:lang w:val="es-ES_tradnl"/>
        </w:rPr>
        <w:t xml:space="preserve">esarrollo Sostenible que guardan sinergia con el sector agropecuario son, 2: Hambre Cero, el Ministerio de Agricultura impacta todas las metas del objetivo no. 2 desde 2.1 al 2.5.c, no obstante, de forma transversal apoya la orientación estratégica de los siguientes objetivos trazados: </w:t>
      </w:r>
      <w:r w:rsidRPr="006569D0">
        <w:rPr>
          <w:rFonts w:ascii="Times New Roman" w:hAnsi="Times New Roman"/>
          <w:lang w:val="es-ES_tradnl"/>
        </w:rPr>
        <w:t>6</w:t>
      </w:r>
      <w:r w:rsidR="001A3FE8" w:rsidRPr="006569D0">
        <w:rPr>
          <w:rFonts w:ascii="Times New Roman" w:hAnsi="Times New Roman"/>
          <w:lang w:val="es-ES_tradnl"/>
        </w:rPr>
        <w:t>:</w:t>
      </w:r>
      <w:r w:rsidRPr="006569D0">
        <w:rPr>
          <w:rFonts w:ascii="Times New Roman" w:hAnsi="Times New Roman"/>
          <w:lang w:val="es-ES_tradnl"/>
        </w:rPr>
        <w:t xml:space="preserve"> Agua Limpia y Saneamiento con el uso racial de agua para el riego, 8: Trabajo Decente, a través de la generación de empleos directos e indirectos y el ODS 13: Acción por el Clima.</w:t>
      </w:r>
    </w:p>
    <w:p w14:paraId="77EFB64D" w14:textId="368887EA" w:rsidR="009F11F9" w:rsidRPr="006569D0" w:rsidRDefault="009F11F9">
      <w:pPr>
        <w:spacing w:after="0"/>
        <w:rPr>
          <w:rFonts w:ascii="Times New Roman" w:hAnsi="Times New Roman"/>
          <w:lang w:val="es-ES_tradnl"/>
        </w:rPr>
      </w:pPr>
      <w:r w:rsidRPr="006569D0">
        <w:rPr>
          <w:rFonts w:ascii="Times New Roman" w:hAnsi="Times New Roman"/>
          <w:lang w:val="es-ES_tradnl"/>
        </w:rPr>
        <w:br w:type="page"/>
      </w:r>
    </w:p>
    <w:p w14:paraId="065800C3" w14:textId="7125C5C3" w:rsidR="009F11F9" w:rsidRPr="006569D0" w:rsidRDefault="009F11F9" w:rsidP="001C6B1A">
      <w:pPr>
        <w:pStyle w:val="Prrafodelista"/>
        <w:numPr>
          <w:ilvl w:val="0"/>
          <w:numId w:val="9"/>
        </w:numPr>
        <w:spacing w:after="0" w:line="480" w:lineRule="auto"/>
        <w:ind w:hanging="644"/>
        <w:jc w:val="both"/>
        <w:rPr>
          <w:rFonts w:ascii="Times New Roman" w:hAnsi="Times New Roman"/>
          <w:b/>
          <w:sz w:val="24"/>
          <w:lang w:val="es-ES_tradnl"/>
        </w:rPr>
      </w:pPr>
      <w:r w:rsidRPr="006569D0">
        <w:rPr>
          <w:rFonts w:ascii="Times New Roman" w:hAnsi="Times New Roman"/>
          <w:b/>
          <w:sz w:val="24"/>
          <w:lang w:val="es-ES_tradnl"/>
        </w:rPr>
        <w:lastRenderedPageBreak/>
        <w:t>Vinculación medidas de Políticas y ODS</w:t>
      </w:r>
    </w:p>
    <w:tbl>
      <w:tblPr>
        <w:tblW w:w="9941" w:type="dxa"/>
        <w:jc w:val="center"/>
        <w:tblLook w:val="04A0" w:firstRow="1" w:lastRow="0" w:firstColumn="1" w:lastColumn="0" w:noHBand="0" w:noVBand="1"/>
      </w:tblPr>
      <w:tblGrid>
        <w:gridCol w:w="1440"/>
        <w:gridCol w:w="2835"/>
        <w:gridCol w:w="4185"/>
        <w:gridCol w:w="1481"/>
      </w:tblGrid>
      <w:tr w:rsidR="009F11F9" w:rsidRPr="006569D0" w14:paraId="75AED9B5" w14:textId="77777777" w:rsidTr="000C32B6">
        <w:trPr>
          <w:trHeight w:val="615"/>
          <w:jc w:val="center"/>
        </w:trPr>
        <w:tc>
          <w:tcPr>
            <w:tcW w:w="1440"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10CB0219" w14:textId="264B6426" w:rsidR="009F11F9" w:rsidRPr="006569D0" w:rsidRDefault="009F11F9" w:rsidP="000C32B6">
            <w:pPr>
              <w:spacing w:after="0"/>
              <w:jc w:val="center"/>
              <w:rPr>
                <w:rFonts w:ascii="Times New Roman" w:hAnsi="Times New Roman"/>
                <w:b/>
                <w:bCs/>
                <w:color w:val="FFFFFF" w:themeColor="background1"/>
                <w:sz w:val="22"/>
                <w:szCs w:val="20"/>
                <w:lang w:val="en-US" w:eastAsia="en-US"/>
              </w:rPr>
            </w:pPr>
            <w:r w:rsidRPr="006569D0">
              <w:rPr>
                <w:rFonts w:ascii="Times New Roman" w:hAnsi="Times New Roman"/>
                <w:b/>
                <w:bCs/>
                <w:color w:val="FFFFFF" w:themeColor="background1"/>
                <w:sz w:val="22"/>
                <w:szCs w:val="20"/>
                <w:lang w:val="en-US" w:eastAsia="en-US"/>
              </w:rPr>
              <w:t>L</w:t>
            </w:r>
            <w:r w:rsidR="000C32B6" w:rsidRPr="006569D0">
              <w:rPr>
                <w:rFonts w:ascii="Times New Roman" w:hAnsi="Times New Roman"/>
                <w:b/>
                <w:bCs/>
                <w:color w:val="FFFFFF" w:themeColor="background1"/>
                <w:sz w:val="22"/>
                <w:szCs w:val="20"/>
                <w:lang w:val="en-US" w:eastAsia="en-US"/>
              </w:rPr>
              <w:t>í</w:t>
            </w:r>
            <w:r w:rsidRPr="006569D0">
              <w:rPr>
                <w:rFonts w:ascii="Times New Roman" w:hAnsi="Times New Roman"/>
                <w:b/>
                <w:bCs/>
                <w:color w:val="FFFFFF" w:themeColor="background1"/>
                <w:sz w:val="22"/>
                <w:szCs w:val="20"/>
                <w:lang w:val="en-US" w:eastAsia="en-US"/>
              </w:rPr>
              <w:t>nea de Acción END</w:t>
            </w:r>
          </w:p>
        </w:tc>
        <w:tc>
          <w:tcPr>
            <w:tcW w:w="2835" w:type="dxa"/>
            <w:tcBorders>
              <w:top w:val="single" w:sz="4" w:space="0" w:color="auto"/>
              <w:left w:val="nil"/>
              <w:bottom w:val="single" w:sz="4" w:space="0" w:color="auto"/>
              <w:right w:val="single" w:sz="4" w:space="0" w:color="auto"/>
            </w:tcBorders>
            <w:shd w:val="clear" w:color="auto" w:fill="00B050"/>
            <w:noWrap/>
            <w:vAlign w:val="center"/>
            <w:hideMark/>
          </w:tcPr>
          <w:p w14:paraId="571C352C" w14:textId="5DBC4815" w:rsidR="009F11F9" w:rsidRPr="006569D0" w:rsidRDefault="009F11F9" w:rsidP="009F11F9">
            <w:pPr>
              <w:spacing w:after="0"/>
              <w:jc w:val="center"/>
              <w:rPr>
                <w:rFonts w:ascii="Times New Roman" w:hAnsi="Times New Roman"/>
                <w:b/>
                <w:bCs/>
                <w:color w:val="FFFFFF" w:themeColor="background1"/>
                <w:sz w:val="22"/>
                <w:szCs w:val="20"/>
                <w:lang w:val="en-US" w:eastAsia="en-US"/>
              </w:rPr>
            </w:pPr>
            <w:r w:rsidRPr="006569D0">
              <w:rPr>
                <w:rFonts w:ascii="Times New Roman" w:hAnsi="Times New Roman"/>
                <w:b/>
                <w:bCs/>
                <w:color w:val="FFFFFF" w:themeColor="background1"/>
                <w:sz w:val="22"/>
                <w:szCs w:val="20"/>
                <w:lang w:val="en-US" w:eastAsia="en-US"/>
              </w:rPr>
              <w:t>Medida</w:t>
            </w:r>
            <w:r w:rsidR="000C32B6" w:rsidRPr="006569D0">
              <w:rPr>
                <w:rFonts w:ascii="Times New Roman" w:hAnsi="Times New Roman"/>
                <w:b/>
                <w:bCs/>
                <w:color w:val="FFFFFF" w:themeColor="background1"/>
                <w:sz w:val="22"/>
                <w:szCs w:val="20"/>
                <w:lang w:val="en-US" w:eastAsia="en-US"/>
              </w:rPr>
              <w:t>s</w:t>
            </w:r>
            <w:r w:rsidRPr="006569D0">
              <w:rPr>
                <w:rFonts w:ascii="Times New Roman" w:hAnsi="Times New Roman"/>
                <w:b/>
                <w:bCs/>
                <w:color w:val="FFFFFF" w:themeColor="background1"/>
                <w:sz w:val="22"/>
                <w:szCs w:val="20"/>
                <w:lang w:val="en-US" w:eastAsia="en-US"/>
              </w:rPr>
              <w:t xml:space="preserve"> de Política</w:t>
            </w:r>
            <w:r w:rsidR="000C32B6" w:rsidRPr="006569D0">
              <w:rPr>
                <w:rFonts w:ascii="Times New Roman" w:hAnsi="Times New Roman"/>
                <w:b/>
                <w:bCs/>
                <w:color w:val="FFFFFF" w:themeColor="background1"/>
                <w:sz w:val="22"/>
                <w:szCs w:val="20"/>
                <w:lang w:val="en-US" w:eastAsia="en-US"/>
              </w:rPr>
              <w:t>s</w:t>
            </w:r>
          </w:p>
        </w:tc>
        <w:tc>
          <w:tcPr>
            <w:tcW w:w="4185" w:type="dxa"/>
            <w:tcBorders>
              <w:top w:val="single" w:sz="4" w:space="0" w:color="auto"/>
              <w:left w:val="nil"/>
              <w:bottom w:val="single" w:sz="4" w:space="0" w:color="auto"/>
              <w:right w:val="single" w:sz="4" w:space="0" w:color="auto"/>
            </w:tcBorders>
            <w:shd w:val="clear" w:color="auto" w:fill="00B050"/>
            <w:noWrap/>
            <w:vAlign w:val="center"/>
            <w:hideMark/>
          </w:tcPr>
          <w:p w14:paraId="7030CCBF" w14:textId="77777777" w:rsidR="009F11F9" w:rsidRPr="006569D0" w:rsidRDefault="009F11F9" w:rsidP="009F11F9">
            <w:pPr>
              <w:spacing w:after="0"/>
              <w:jc w:val="center"/>
              <w:rPr>
                <w:rFonts w:ascii="Times New Roman" w:hAnsi="Times New Roman"/>
                <w:b/>
                <w:bCs/>
                <w:color w:val="FFFFFF" w:themeColor="background1"/>
                <w:sz w:val="22"/>
                <w:szCs w:val="20"/>
                <w:lang w:val="en-US" w:eastAsia="en-US"/>
              </w:rPr>
            </w:pPr>
            <w:r w:rsidRPr="006569D0">
              <w:rPr>
                <w:rFonts w:ascii="Times New Roman" w:hAnsi="Times New Roman"/>
                <w:b/>
                <w:bCs/>
                <w:color w:val="FFFFFF" w:themeColor="background1"/>
                <w:sz w:val="22"/>
                <w:szCs w:val="20"/>
                <w:lang w:val="en-US" w:eastAsia="en-US"/>
              </w:rPr>
              <w:t>Descripción</w:t>
            </w:r>
          </w:p>
        </w:tc>
        <w:tc>
          <w:tcPr>
            <w:tcW w:w="1481" w:type="dxa"/>
            <w:tcBorders>
              <w:top w:val="single" w:sz="4" w:space="0" w:color="auto"/>
              <w:left w:val="nil"/>
              <w:bottom w:val="single" w:sz="4" w:space="0" w:color="auto"/>
              <w:right w:val="single" w:sz="4" w:space="0" w:color="auto"/>
            </w:tcBorders>
            <w:shd w:val="clear" w:color="auto" w:fill="00B050"/>
            <w:noWrap/>
            <w:vAlign w:val="center"/>
            <w:hideMark/>
          </w:tcPr>
          <w:p w14:paraId="1B2BAD94" w14:textId="77777777" w:rsidR="009F11F9" w:rsidRPr="006569D0" w:rsidRDefault="009F11F9" w:rsidP="009F11F9">
            <w:pPr>
              <w:spacing w:after="0"/>
              <w:jc w:val="center"/>
              <w:rPr>
                <w:rFonts w:ascii="Times New Roman" w:hAnsi="Times New Roman"/>
                <w:b/>
                <w:bCs/>
                <w:color w:val="FFFFFF" w:themeColor="background1"/>
                <w:sz w:val="22"/>
                <w:szCs w:val="20"/>
                <w:lang w:val="en-US" w:eastAsia="en-US"/>
              </w:rPr>
            </w:pPr>
            <w:r w:rsidRPr="006569D0">
              <w:rPr>
                <w:rFonts w:ascii="Times New Roman" w:hAnsi="Times New Roman"/>
                <w:b/>
                <w:bCs/>
                <w:color w:val="FFFFFF" w:themeColor="background1"/>
                <w:sz w:val="22"/>
                <w:szCs w:val="20"/>
                <w:lang w:val="en-US" w:eastAsia="en-US"/>
              </w:rPr>
              <w:t>ODS Vinculados</w:t>
            </w:r>
          </w:p>
        </w:tc>
      </w:tr>
      <w:tr w:rsidR="009F11F9" w:rsidRPr="006569D0" w14:paraId="43664D97" w14:textId="77777777" w:rsidTr="000C32B6">
        <w:trPr>
          <w:trHeight w:val="1862"/>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FE2F7E1" w14:textId="77777777" w:rsidR="009F11F9" w:rsidRPr="006569D0" w:rsidRDefault="009F11F9" w:rsidP="009F11F9">
            <w:pPr>
              <w:spacing w:after="0"/>
              <w:jc w:val="center"/>
              <w:rPr>
                <w:rFonts w:ascii="Times New Roman" w:hAnsi="Times New Roman"/>
                <w:color w:val="000000"/>
                <w:sz w:val="22"/>
                <w:szCs w:val="22"/>
                <w:lang w:val="en-US" w:eastAsia="en-US"/>
              </w:rPr>
            </w:pPr>
            <w:r w:rsidRPr="006569D0">
              <w:rPr>
                <w:rFonts w:ascii="Times New Roman" w:hAnsi="Times New Roman"/>
                <w:color w:val="000000"/>
                <w:sz w:val="22"/>
                <w:szCs w:val="22"/>
                <w:lang w:val="en-US" w:eastAsia="en-US"/>
              </w:rPr>
              <w:t>3.5.3. 8</w:t>
            </w:r>
          </w:p>
        </w:tc>
        <w:tc>
          <w:tcPr>
            <w:tcW w:w="2835" w:type="dxa"/>
            <w:tcBorders>
              <w:top w:val="nil"/>
              <w:left w:val="nil"/>
              <w:bottom w:val="single" w:sz="4" w:space="0" w:color="auto"/>
              <w:right w:val="single" w:sz="4" w:space="0" w:color="auto"/>
            </w:tcBorders>
            <w:shd w:val="clear" w:color="auto" w:fill="auto"/>
            <w:vAlign w:val="center"/>
            <w:hideMark/>
          </w:tcPr>
          <w:p w14:paraId="514C47C8" w14:textId="3C7CAFC5" w:rsidR="009F11F9" w:rsidRPr="006569D0" w:rsidRDefault="009F11F9" w:rsidP="009F11F9">
            <w:pPr>
              <w:spacing w:after="0"/>
              <w:jc w:val="center"/>
              <w:rPr>
                <w:rFonts w:ascii="Times New Roman" w:hAnsi="Times New Roman"/>
                <w:color w:val="000000"/>
                <w:sz w:val="22"/>
                <w:szCs w:val="22"/>
                <w:lang w:eastAsia="en-US"/>
              </w:rPr>
            </w:pPr>
            <w:r w:rsidRPr="006569D0">
              <w:rPr>
                <w:rFonts w:ascii="Times New Roman" w:hAnsi="Times New Roman"/>
                <w:color w:val="000000"/>
                <w:sz w:val="22"/>
                <w:szCs w:val="22"/>
                <w:lang w:eastAsia="en-US"/>
              </w:rPr>
              <w:t>Establecer eficientemente los programas de servicios de sanidad e</w:t>
            </w:r>
            <w:r w:rsidR="000C32B6" w:rsidRPr="006569D0">
              <w:rPr>
                <w:rFonts w:ascii="Times New Roman" w:hAnsi="Times New Roman"/>
                <w:color w:val="000000"/>
                <w:sz w:val="22"/>
                <w:szCs w:val="22"/>
                <w:lang w:eastAsia="en-US"/>
              </w:rPr>
              <w:t xml:space="preserve"> inocuidad agroalimentaria que </w:t>
            </w:r>
            <w:r w:rsidRPr="006569D0">
              <w:rPr>
                <w:rFonts w:ascii="Times New Roman" w:hAnsi="Times New Roman"/>
                <w:color w:val="000000"/>
                <w:sz w:val="22"/>
                <w:szCs w:val="22"/>
                <w:lang w:eastAsia="en-US"/>
              </w:rPr>
              <w:t>involucren a todos los actores de la cadena productiva.</w:t>
            </w:r>
          </w:p>
        </w:tc>
        <w:tc>
          <w:tcPr>
            <w:tcW w:w="4185" w:type="dxa"/>
            <w:tcBorders>
              <w:top w:val="nil"/>
              <w:left w:val="nil"/>
              <w:bottom w:val="single" w:sz="4" w:space="0" w:color="auto"/>
              <w:right w:val="single" w:sz="4" w:space="0" w:color="auto"/>
            </w:tcBorders>
            <w:shd w:val="clear" w:color="auto" w:fill="auto"/>
            <w:vAlign w:val="center"/>
            <w:hideMark/>
          </w:tcPr>
          <w:p w14:paraId="766AA3B6" w14:textId="44EAEAF3" w:rsidR="009F11F9" w:rsidRPr="006569D0" w:rsidRDefault="009F11F9" w:rsidP="009F11F9">
            <w:pPr>
              <w:spacing w:after="0"/>
              <w:jc w:val="center"/>
              <w:rPr>
                <w:rFonts w:ascii="Times New Roman" w:hAnsi="Times New Roman"/>
                <w:color w:val="000000"/>
                <w:sz w:val="22"/>
                <w:szCs w:val="22"/>
                <w:lang w:eastAsia="en-US"/>
              </w:rPr>
            </w:pPr>
            <w:r w:rsidRPr="006569D0">
              <w:rPr>
                <w:rFonts w:ascii="Times New Roman" w:hAnsi="Times New Roman"/>
                <w:color w:val="000000"/>
                <w:sz w:val="22"/>
                <w:szCs w:val="22"/>
                <w:lang w:eastAsia="en-US"/>
              </w:rPr>
              <w:t xml:space="preserve">Esta medida de política </w:t>
            </w:r>
            <w:r w:rsidR="004D2F4B" w:rsidRPr="006569D0">
              <w:rPr>
                <w:rFonts w:ascii="Times New Roman" w:hAnsi="Times New Roman"/>
                <w:color w:val="000000"/>
                <w:sz w:val="22"/>
                <w:szCs w:val="22"/>
                <w:lang w:eastAsia="en-US"/>
              </w:rPr>
              <w:t>está</w:t>
            </w:r>
            <w:r w:rsidR="000C32B6" w:rsidRPr="006569D0">
              <w:rPr>
                <w:rFonts w:ascii="Times New Roman" w:hAnsi="Times New Roman"/>
                <w:color w:val="000000"/>
                <w:sz w:val="22"/>
                <w:szCs w:val="22"/>
                <w:lang w:eastAsia="en-US"/>
              </w:rPr>
              <w:t xml:space="preserve"> dirigida</w:t>
            </w:r>
            <w:r w:rsidRPr="006569D0">
              <w:rPr>
                <w:rFonts w:ascii="Times New Roman" w:hAnsi="Times New Roman"/>
                <w:color w:val="000000"/>
                <w:sz w:val="22"/>
                <w:szCs w:val="22"/>
                <w:lang w:eastAsia="en-US"/>
              </w:rPr>
              <w:t xml:space="preserve"> a fomentar y fortalecer las áreas agropecuarias a nivel nacional.    Fortaleciendo y concientizando para el consumo de productos agrícolas libre</w:t>
            </w:r>
            <w:r w:rsidR="000C32B6" w:rsidRPr="006569D0">
              <w:rPr>
                <w:rFonts w:ascii="Times New Roman" w:hAnsi="Times New Roman"/>
                <w:color w:val="000000"/>
                <w:sz w:val="22"/>
                <w:szCs w:val="22"/>
                <w:lang w:eastAsia="en-US"/>
              </w:rPr>
              <w:t>s</w:t>
            </w:r>
            <w:r w:rsidRPr="006569D0">
              <w:rPr>
                <w:rFonts w:ascii="Times New Roman" w:hAnsi="Times New Roman"/>
                <w:color w:val="000000"/>
                <w:sz w:val="22"/>
                <w:szCs w:val="22"/>
                <w:lang w:eastAsia="en-US"/>
              </w:rPr>
              <w:t xml:space="preserve"> de contaminantes que son dañinos a la salu</w:t>
            </w:r>
            <w:r w:rsidR="000C32B6" w:rsidRPr="006569D0">
              <w:rPr>
                <w:rFonts w:ascii="Times New Roman" w:hAnsi="Times New Roman"/>
                <w:color w:val="000000"/>
                <w:sz w:val="22"/>
                <w:szCs w:val="22"/>
                <w:lang w:eastAsia="en-US"/>
              </w:rPr>
              <w:t xml:space="preserve">d del Consumidor. Creación de </w:t>
            </w:r>
            <w:r w:rsidRPr="006569D0">
              <w:rPr>
                <w:rFonts w:ascii="Times New Roman" w:hAnsi="Times New Roman"/>
                <w:color w:val="000000"/>
                <w:sz w:val="22"/>
                <w:szCs w:val="22"/>
                <w:lang w:eastAsia="en-US"/>
              </w:rPr>
              <w:t>la División del Sistema Nacional de Vigilancia Fitosanitaria del Departamento de Sanidad Vegetal.</w:t>
            </w:r>
          </w:p>
        </w:tc>
        <w:tc>
          <w:tcPr>
            <w:tcW w:w="1481" w:type="dxa"/>
            <w:tcBorders>
              <w:top w:val="nil"/>
              <w:left w:val="nil"/>
              <w:bottom w:val="single" w:sz="4" w:space="0" w:color="auto"/>
              <w:right w:val="single" w:sz="4" w:space="0" w:color="auto"/>
            </w:tcBorders>
            <w:shd w:val="clear" w:color="auto" w:fill="auto"/>
            <w:vAlign w:val="center"/>
            <w:hideMark/>
          </w:tcPr>
          <w:p w14:paraId="74177812" w14:textId="77777777" w:rsidR="009F11F9" w:rsidRPr="006569D0" w:rsidRDefault="009F11F9" w:rsidP="009F11F9">
            <w:pPr>
              <w:spacing w:after="0"/>
              <w:jc w:val="center"/>
              <w:rPr>
                <w:rFonts w:ascii="Times New Roman" w:hAnsi="Times New Roman"/>
                <w:color w:val="000000"/>
                <w:sz w:val="22"/>
                <w:szCs w:val="22"/>
                <w:lang w:val="en-US" w:eastAsia="en-US"/>
              </w:rPr>
            </w:pPr>
            <w:r w:rsidRPr="006569D0">
              <w:rPr>
                <w:rFonts w:ascii="Times New Roman" w:hAnsi="Times New Roman"/>
                <w:color w:val="000000"/>
                <w:sz w:val="22"/>
                <w:szCs w:val="22"/>
                <w:lang w:val="en-US" w:eastAsia="en-US"/>
              </w:rPr>
              <w:t>1,2,8,9,11 y 12</w:t>
            </w:r>
          </w:p>
        </w:tc>
      </w:tr>
      <w:tr w:rsidR="009F11F9" w:rsidRPr="006569D0" w14:paraId="32E574DE" w14:textId="77777777" w:rsidTr="000C32B6">
        <w:trPr>
          <w:trHeight w:val="211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6BB67DB" w14:textId="6131ED19" w:rsidR="009F11F9" w:rsidRPr="006569D0" w:rsidRDefault="009F11F9" w:rsidP="009F11F9">
            <w:pPr>
              <w:spacing w:after="0"/>
              <w:jc w:val="center"/>
              <w:rPr>
                <w:rFonts w:ascii="Times New Roman" w:hAnsi="Times New Roman"/>
                <w:color w:val="000000"/>
                <w:sz w:val="22"/>
                <w:szCs w:val="22"/>
                <w:lang w:val="en-US" w:eastAsia="en-US"/>
              </w:rPr>
            </w:pPr>
            <w:r w:rsidRPr="006569D0">
              <w:rPr>
                <w:rFonts w:ascii="Times New Roman" w:hAnsi="Times New Roman"/>
                <w:color w:val="000000"/>
                <w:sz w:val="22"/>
                <w:szCs w:val="22"/>
                <w:lang w:val="en-US" w:eastAsia="en-US"/>
              </w:rPr>
              <w:t>3.5.3.1</w:t>
            </w:r>
          </w:p>
        </w:tc>
        <w:tc>
          <w:tcPr>
            <w:tcW w:w="2835" w:type="dxa"/>
            <w:tcBorders>
              <w:top w:val="nil"/>
              <w:left w:val="nil"/>
              <w:bottom w:val="single" w:sz="4" w:space="0" w:color="auto"/>
              <w:right w:val="single" w:sz="4" w:space="0" w:color="auto"/>
            </w:tcBorders>
            <w:shd w:val="clear" w:color="auto" w:fill="auto"/>
            <w:hideMark/>
          </w:tcPr>
          <w:p w14:paraId="1E8C19C6" w14:textId="241FD0EB" w:rsidR="009F11F9" w:rsidRPr="006569D0" w:rsidRDefault="009F11F9" w:rsidP="009F11F9">
            <w:pPr>
              <w:spacing w:after="0"/>
              <w:jc w:val="center"/>
              <w:rPr>
                <w:rFonts w:ascii="Times New Roman" w:hAnsi="Times New Roman"/>
                <w:color w:val="000000"/>
                <w:sz w:val="22"/>
                <w:szCs w:val="22"/>
                <w:lang w:eastAsia="en-US"/>
              </w:rPr>
            </w:pPr>
            <w:r w:rsidRPr="006569D0">
              <w:rPr>
                <w:rFonts w:ascii="Times New Roman" w:hAnsi="Times New Roman"/>
                <w:color w:val="000000"/>
                <w:sz w:val="22"/>
                <w:szCs w:val="22"/>
                <w:lang w:eastAsia="en-US"/>
              </w:rPr>
              <w:t>Propiciar que productores/as de pequeña escala se inserten en mercados globalizados, integrándolo</w:t>
            </w:r>
            <w:r w:rsidR="000C32B6" w:rsidRPr="006569D0">
              <w:rPr>
                <w:rFonts w:ascii="Times New Roman" w:hAnsi="Times New Roman"/>
                <w:color w:val="000000"/>
                <w:sz w:val="22"/>
                <w:szCs w:val="22"/>
                <w:lang w:eastAsia="en-US"/>
              </w:rPr>
              <w:t>s</w:t>
            </w:r>
            <w:r w:rsidRPr="006569D0">
              <w:rPr>
                <w:rFonts w:ascii="Times New Roman" w:hAnsi="Times New Roman"/>
                <w:color w:val="000000"/>
                <w:sz w:val="22"/>
                <w:szCs w:val="22"/>
                <w:lang w:eastAsia="en-US"/>
              </w:rPr>
              <w:t xml:space="preserve"> a la</w:t>
            </w:r>
            <w:r w:rsidR="000C32B6" w:rsidRPr="006569D0">
              <w:rPr>
                <w:rFonts w:ascii="Times New Roman" w:hAnsi="Times New Roman"/>
                <w:color w:val="000000"/>
                <w:sz w:val="22"/>
                <w:szCs w:val="22"/>
                <w:lang w:eastAsia="en-US"/>
              </w:rPr>
              <w:t>s</w:t>
            </w:r>
            <w:r w:rsidRPr="006569D0">
              <w:rPr>
                <w:rFonts w:ascii="Times New Roman" w:hAnsi="Times New Roman"/>
                <w:color w:val="000000"/>
                <w:sz w:val="22"/>
                <w:szCs w:val="22"/>
                <w:lang w:eastAsia="en-US"/>
              </w:rPr>
              <w:t xml:space="preserve"> iniciativa</w:t>
            </w:r>
            <w:r w:rsidR="000C32B6" w:rsidRPr="006569D0">
              <w:rPr>
                <w:rFonts w:ascii="Times New Roman" w:hAnsi="Times New Roman"/>
                <w:color w:val="000000"/>
                <w:sz w:val="22"/>
                <w:szCs w:val="22"/>
                <w:lang w:eastAsia="en-US"/>
              </w:rPr>
              <w:t>s</w:t>
            </w:r>
            <w:r w:rsidRPr="006569D0">
              <w:rPr>
                <w:rFonts w:ascii="Times New Roman" w:hAnsi="Times New Roman"/>
                <w:color w:val="000000"/>
                <w:sz w:val="22"/>
                <w:szCs w:val="22"/>
                <w:lang w:eastAsia="en-US"/>
              </w:rPr>
              <w:t xml:space="preserve"> de inteligencia de mercado</w:t>
            </w:r>
            <w:r w:rsidR="000C32B6" w:rsidRPr="006569D0">
              <w:rPr>
                <w:rFonts w:ascii="Times New Roman" w:hAnsi="Times New Roman"/>
                <w:color w:val="000000"/>
                <w:sz w:val="22"/>
                <w:szCs w:val="22"/>
                <w:lang w:eastAsia="en-US"/>
              </w:rPr>
              <w:t>s</w:t>
            </w:r>
            <w:r w:rsidRPr="006569D0">
              <w:rPr>
                <w:rFonts w:ascii="Times New Roman" w:hAnsi="Times New Roman"/>
                <w:color w:val="000000"/>
                <w:sz w:val="22"/>
                <w:szCs w:val="22"/>
                <w:lang w:eastAsia="en-US"/>
              </w:rPr>
              <w:t>.</w:t>
            </w:r>
          </w:p>
        </w:tc>
        <w:tc>
          <w:tcPr>
            <w:tcW w:w="4185" w:type="dxa"/>
            <w:tcBorders>
              <w:top w:val="nil"/>
              <w:left w:val="nil"/>
              <w:bottom w:val="single" w:sz="4" w:space="0" w:color="auto"/>
              <w:right w:val="single" w:sz="4" w:space="0" w:color="auto"/>
            </w:tcBorders>
            <w:shd w:val="clear" w:color="000000" w:fill="FFFFFF"/>
            <w:vAlign w:val="center"/>
            <w:hideMark/>
          </w:tcPr>
          <w:p w14:paraId="7FC572E7" w14:textId="5361BA3D" w:rsidR="009F11F9" w:rsidRPr="006569D0" w:rsidRDefault="009F11F9" w:rsidP="009F11F9">
            <w:pPr>
              <w:spacing w:after="0"/>
              <w:jc w:val="center"/>
              <w:rPr>
                <w:rFonts w:ascii="Times New Roman" w:hAnsi="Times New Roman"/>
                <w:color w:val="000000"/>
                <w:sz w:val="22"/>
                <w:szCs w:val="22"/>
                <w:lang w:eastAsia="en-US"/>
              </w:rPr>
            </w:pPr>
            <w:r w:rsidRPr="006569D0">
              <w:rPr>
                <w:rFonts w:ascii="Times New Roman" w:hAnsi="Times New Roman"/>
                <w:color w:val="000000"/>
                <w:sz w:val="22"/>
                <w:szCs w:val="22"/>
                <w:lang w:eastAsia="en-US"/>
              </w:rPr>
              <w:t>Establecer programas que contribuyan a dinamizar el aparato productivo nacional, ejecutando actividades que coadyuven a que los productores identifiquen mercados externos, en los cuales se obtengan precios más adecuados para que los productores obtengan una mayor rentabilidad y competitividad.</w:t>
            </w:r>
          </w:p>
        </w:tc>
        <w:tc>
          <w:tcPr>
            <w:tcW w:w="1481" w:type="dxa"/>
            <w:tcBorders>
              <w:top w:val="nil"/>
              <w:left w:val="nil"/>
              <w:bottom w:val="single" w:sz="4" w:space="0" w:color="auto"/>
              <w:right w:val="single" w:sz="4" w:space="0" w:color="auto"/>
            </w:tcBorders>
            <w:shd w:val="clear" w:color="auto" w:fill="auto"/>
            <w:noWrap/>
            <w:vAlign w:val="center"/>
            <w:hideMark/>
          </w:tcPr>
          <w:p w14:paraId="54D60E0A" w14:textId="77777777" w:rsidR="009F11F9" w:rsidRPr="006569D0" w:rsidRDefault="009F11F9" w:rsidP="009F11F9">
            <w:pPr>
              <w:spacing w:after="0"/>
              <w:jc w:val="center"/>
              <w:rPr>
                <w:rFonts w:ascii="Times New Roman" w:hAnsi="Times New Roman"/>
                <w:color w:val="000000"/>
                <w:sz w:val="22"/>
                <w:szCs w:val="22"/>
                <w:lang w:val="en-US" w:eastAsia="en-US"/>
              </w:rPr>
            </w:pPr>
            <w:r w:rsidRPr="006569D0">
              <w:rPr>
                <w:rFonts w:ascii="Times New Roman" w:hAnsi="Times New Roman"/>
                <w:color w:val="000000"/>
                <w:sz w:val="22"/>
                <w:szCs w:val="22"/>
                <w:lang w:val="en-US" w:eastAsia="en-US"/>
              </w:rPr>
              <w:t>8,9,10,12,</w:t>
            </w:r>
          </w:p>
        </w:tc>
      </w:tr>
      <w:tr w:rsidR="009F11F9" w:rsidRPr="006569D0" w14:paraId="53A1D549" w14:textId="77777777" w:rsidTr="000C32B6">
        <w:trPr>
          <w:trHeight w:val="368"/>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27C13D52" w14:textId="77777777" w:rsidR="009F11F9" w:rsidRPr="006569D0" w:rsidRDefault="009F11F9" w:rsidP="009F11F9">
            <w:pPr>
              <w:spacing w:after="0"/>
              <w:jc w:val="center"/>
              <w:rPr>
                <w:rFonts w:ascii="Times New Roman" w:hAnsi="Times New Roman"/>
                <w:color w:val="000000"/>
                <w:sz w:val="22"/>
                <w:szCs w:val="22"/>
                <w:lang w:val="en-US" w:eastAsia="en-US"/>
              </w:rPr>
            </w:pPr>
            <w:r w:rsidRPr="006569D0">
              <w:rPr>
                <w:rFonts w:ascii="Times New Roman" w:hAnsi="Times New Roman"/>
                <w:color w:val="000000"/>
                <w:sz w:val="22"/>
                <w:szCs w:val="22"/>
                <w:lang w:val="en-US" w:eastAsia="en-US"/>
              </w:rPr>
              <w:t>3.5.3.10</w:t>
            </w:r>
          </w:p>
        </w:tc>
        <w:tc>
          <w:tcPr>
            <w:tcW w:w="2835" w:type="dxa"/>
            <w:tcBorders>
              <w:top w:val="nil"/>
              <w:left w:val="nil"/>
              <w:bottom w:val="single" w:sz="4" w:space="0" w:color="auto"/>
              <w:right w:val="single" w:sz="4" w:space="0" w:color="auto"/>
            </w:tcBorders>
            <w:shd w:val="clear" w:color="auto" w:fill="auto"/>
            <w:vAlign w:val="center"/>
            <w:hideMark/>
          </w:tcPr>
          <w:p w14:paraId="3B5A3002" w14:textId="77777777" w:rsidR="009F11F9" w:rsidRPr="006569D0" w:rsidRDefault="009F11F9" w:rsidP="009F11F9">
            <w:pPr>
              <w:spacing w:after="0"/>
              <w:jc w:val="center"/>
              <w:rPr>
                <w:rFonts w:ascii="Times New Roman" w:hAnsi="Times New Roman"/>
                <w:color w:val="000000"/>
                <w:sz w:val="22"/>
                <w:szCs w:val="22"/>
                <w:lang w:val="en-US" w:eastAsia="en-US"/>
              </w:rPr>
            </w:pPr>
            <w:r w:rsidRPr="006569D0">
              <w:rPr>
                <w:rFonts w:ascii="Times New Roman" w:hAnsi="Times New Roman"/>
                <w:color w:val="000000"/>
                <w:sz w:val="22"/>
                <w:szCs w:val="22"/>
                <w:lang w:val="en-US" w:eastAsia="en-US"/>
              </w:rPr>
              <w:t>Sistema transparente de comercialización</w:t>
            </w:r>
          </w:p>
        </w:tc>
        <w:tc>
          <w:tcPr>
            <w:tcW w:w="4185" w:type="dxa"/>
            <w:tcBorders>
              <w:top w:val="nil"/>
              <w:left w:val="nil"/>
              <w:bottom w:val="single" w:sz="4" w:space="0" w:color="auto"/>
              <w:right w:val="single" w:sz="4" w:space="0" w:color="auto"/>
            </w:tcBorders>
            <w:shd w:val="clear" w:color="000000" w:fill="FFFFFF"/>
            <w:vAlign w:val="center"/>
            <w:hideMark/>
          </w:tcPr>
          <w:p w14:paraId="0DF07F91" w14:textId="4DC5CB02" w:rsidR="009F11F9" w:rsidRPr="006569D0" w:rsidRDefault="009F11F9" w:rsidP="009F11F9">
            <w:pPr>
              <w:spacing w:after="0"/>
              <w:jc w:val="center"/>
              <w:rPr>
                <w:rFonts w:ascii="Times New Roman" w:hAnsi="Times New Roman"/>
                <w:color w:val="000000"/>
                <w:sz w:val="22"/>
                <w:szCs w:val="22"/>
                <w:lang w:eastAsia="en-US"/>
              </w:rPr>
            </w:pPr>
            <w:r w:rsidRPr="006569D0">
              <w:rPr>
                <w:rFonts w:ascii="Times New Roman" w:hAnsi="Times New Roman"/>
                <w:color w:val="000000"/>
                <w:sz w:val="22"/>
                <w:szCs w:val="22"/>
                <w:lang w:eastAsia="en-US"/>
              </w:rPr>
              <w:t>Desarrollar un sistema transparente de comercialización</w:t>
            </w:r>
          </w:p>
        </w:tc>
        <w:tc>
          <w:tcPr>
            <w:tcW w:w="1481" w:type="dxa"/>
            <w:tcBorders>
              <w:top w:val="nil"/>
              <w:left w:val="nil"/>
              <w:bottom w:val="single" w:sz="4" w:space="0" w:color="auto"/>
              <w:right w:val="single" w:sz="4" w:space="0" w:color="auto"/>
            </w:tcBorders>
            <w:shd w:val="clear" w:color="auto" w:fill="auto"/>
            <w:noWrap/>
            <w:vAlign w:val="center"/>
            <w:hideMark/>
          </w:tcPr>
          <w:p w14:paraId="5E5A920D" w14:textId="77777777" w:rsidR="009F11F9" w:rsidRPr="006569D0" w:rsidRDefault="009F11F9" w:rsidP="009F11F9">
            <w:pPr>
              <w:spacing w:after="0"/>
              <w:jc w:val="center"/>
              <w:rPr>
                <w:rFonts w:ascii="Times New Roman" w:hAnsi="Times New Roman"/>
                <w:color w:val="000000"/>
                <w:sz w:val="22"/>
                <w:szCs w:val="22"/>
                <w:lang w:val="en-US" w:eastAsia="en-US"/>
              </w:rPr>
            </w:pPr>
            <w:r w:rsidRPr="006569D0">
              <w:rPr>
                <w:rFonts w:ascii="Times New Roman" w:hAnsi="Times New Roman"/>
                <w:color w:val="000000"/>
                <w:sz w:val="22"/>
                <w:szCs w:val="22"/>
                <w:lang w:val="en-US" w:eastAsia="en-US"/>
              </w:rPr>
              <w:t>1,8,9,10,11,12</w:t>
            </w:r>
          </w:p>
        </w:tc>
      </w:tr>
      <w:tr w:rsidR="009F11F9" w:rsidRPr="006569D0" w14:paraId="3E495F34" w14:textId="77777777" w:rsidTr="000C32B6">
        <w:trPr>
          <w:trHeight w:val="240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04630" w14:textId="77777777" w:rsidR="009F11F9" w:rsidRPr="006569D0" w:rsidRDefault="009F11F9" w:rsidP="009F11F9">
            <w:pPr>
              <w:spacing w:after="0"/>
              <w:jc w:val="center"/>
              <w:rPr>
                <w:rFonts w:ascii="Times New Roman" w:hAnsi="Times New Roman"/>
                <w:color w:val="000000"/>
                <w:sz w:val="22"/>
                <w:szCs w:val="22"/>
                <w:lang w:val="en-US" w:eastAsia="en-US"/>
              </w:rPr>
            </w:pPr>
            <w:r w:rsidRPr="006569D0">
              <w:rPr>
                <w:rFonts w:ascii="Times New Roman" w:hAnsi="Times New Roman"/>
                <w:color w:val="000000"/>
                <w:sz w:val="22"/>
                <w:szCs w:val="22"/>
                <w:lang w:val="en-US" w:eastAsia="en-US"/>
              </w:rPr>
              <w:t>3.5.3.5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14BCC" w14:textId="77777777" w:rsidR="009F11F9" w:rsidRPr="006569D0" w:rsidRDefault="009F11F9" w:rsidP="009F11F9">
            <w:pPr>
              <w:spacing w:after="0"/>
              <w:jc w:val="center"/>
              <w:rPr>
                <w:rFonts w:ascii="Times New Roman" w:hAnsi="Times New Roman"/>
                <w:color w:val="000000"/>
                <w:sz w:val="22"/>
                <w:szCs w:val="22"/>
                <w:lang w:eastAsia="en-US"/>
              </w:rPr>
            </w:pPr>
            <w:r w:rsidRPr="006569D0">
              <w:rPr>
                <w:rFonts w:ascii="Times New Roman" w:hAnsi="Times New Roman"/>
                <w:color w:val="000000"/>
                <w:sz w:val="22"/>
                <w:szCs w:val="22"/>
                <w:lang w:eastAsia="en-US"/>
              </w:rPr>
              <w:t>Identificar las evidencias de impacto del uso de la Tecnología de la Información y la Comunicación (TIC) en la productividad, la sostenibilidad y la relación costo-beneficio en la agricultura; y establecer medidas de políticas</w:t>
            </w:r>
          </w:p>
        </w:tc>
        <w:tc>
          <w:tcPr>
            <w:tcW w:w="41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598F8" w14:textId="77777777" w:rsidR="009F11F9" w:rsidRPr="006569D0" w:rsidRDefault="009F11F9" w:rsidP="009F11F9">
            <w:pPr>
              <w:spacing w:after="0"/>
              <w:jc w:val="center"/>
              <w:rPr>
                <w:rFonts w:ascii="Times New Roman" w:hAnsi="Times New Roman"/>
                <w:color w:val="000000"/>
                <w:sz w:val="22"/>
                <w:szCs w:val="22"/>
                <w:lang w:eastAsia="en-US"/>
              </w:rPr>
            </w:pPr>
            <w:r w:rsidRPr="006569D0">
              <w:rPr>
                <w:rFonts w:ascii="Times New Roman" w:hAnsi="Times New Roman"/>
                <w:color w:val="000000"/>
                <w:sz w:val="22"/>
                <w:szCs w:val="22"/>
                <w:lang w:eastAsia="en-US"/>
              </w:rPr>
              <w:t>Acuerdo de Cooperación entre el Ministerio de Agricultura y el Instituto Dominicano de las Comunicaciones (INDOTEL), para facilitar un acceso amplio de los productores agropecuarios a los instrumentos de la Tecnología de la Información y la Comunicación.</w:t>
            </w:r>
          </w:p>
        </w:tc>
        <w:tc>
          <w:tcPr>
            <w:tcW w:w="1481" w:type="dxa"/>
            <w:tcBorders>
              <w:top w:val="nil"/>
              <w:left w:val="single" w:sz="4" w:space="0" w:color="auto"/>
              <w:bottom w:val="single" w:sz="4" w:space="0" w:color="auto"/>
              <w:right w:val="single" w:sz="4" w:space="0" w:color="auto"/>
            </w:tcBorders>
            <w:shd w:val="clear" w:color="auto" w:fill="auto"/>
            <w:noWrap/>
            <w:vAlign w:val="center"/>
            <w:hideMark/>
          </w:tcPr>
          <w:p w14:paraId="2E1A33FE" w14:textId="77777777" w:rsidR="009F11F9" w:rsidRPr="006569D0" w:rsidRDefault="009F11F9" w:rsidP="009F11F9">
            <w:pPr>
              <w:spacing w:after="0"/>
              <w:jc w:val="center"/>
              <w:rPr>
                <w:rFonts w:ascii="Times New Roman" w:hAnsi="Times New Roman"/>
                <w:color w:val="000000"/>
                <w:sz w:val="22"/>
                <w:szCs w:val="22"/>
                <w:lang w:val="en-US" w:eastAsia="en-US"/>
              </w:rPr>
            </w:pPr>
            <w:r w:rsidRPr="006569D0">
              <w:rPr>
                <w:rFonts w:ascii="Times New Roman" w:hAnsi="Times New Roman"/>
                <w:color w:val="000000"/>
                <w:sz w:val="22"/>
                <w:szCs w:val="22"/>
                <w:lang w:val="en-US" w:eastAsia="en-US"/>
              </w:rPr>
              <w:t>10,11,</w:t>
            </w:r>
          </w:p>
        </w:tc>
      </w:tr>
      <w:tr w:rsidR="009F11F9" w:rsidRPr="006569D0" w14:paraId="3706DA1B" w14:textId="77777777" w:rsidTr="000C32B6">
        <w:trPr>
          <w:trHeight w:val="7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864DC" w14:textId="57F646AB" w:rsidR="009F11F9" w:rsidRPr="006569D0" w:rsidRDefault="009F11F9" w:rsidP="009F11F9">
            <w:pPr>
              <w:spacing w:after="0"/>
              <w:jc w:val="center"/>
              <w:rPr>
                <w:rFonts w:ascii="Times New Roman" w:hAnsi="Times New Roman"/>
                <w:color w:val="000000"/>
                <w:sz w:val="22"/>
                <w:szCs w:val="22"/>
                <w:lang w:val="en-US" w:eastAsia="en-US"/>
              </w:rPr>
            </w:pPr>
            <w:r w:rsidRPr="006569D0">
              <w:rPr>
                <w:rFonts w:ascii="Times New Roman" w:hAnsi="Times New Roman"/>
                <w:color w:val="000000"/>
                <w:sz w:val="22"/>
                <w:szCs w:val="22"/>
                <w:lang w:val="en-US" w:eastAsia="en-US"/>
              </w:rPr>
              <w:t>3.5.3.11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EE21D84" w14:textId="1E01FA9F" w:rsidR="009F11F9" w:rsidRPr="006569D0" w:rsidRDefault="009F11F9" w:rsidP="009F11F9">
            <w:pPr>
              <w:spacing w:after="0"/>
              <w:jc w:val="center"/>
              <w:rPr>
                <w:rFonts w:ascii="Times New Roman" w:hAnsi="Times New Roman"/>
                <w:color w:val="000000"/>
                <w:sz w:val="22"/>
                <w:szCs w:val="22"/>
                <w:lang w:eastAsia="en-US"/>
              </w:rPr>
            </w:pPr>
            <w:r w:rsidRPr="006569D0">
              <w:rPr>
                <w:rFonts w:ascii="Times New Roman" w:hAnsi="Times New Roman"/>
                <w:color w:val="000000"/>
                <w:sz w:val="22"/>
                <w:szCs w:val="22"/>
                <w:lang w:eastAsia="en-US"/>
              </w:rPr>
              <w:t>Fortalecer la promoción de las exportaciones de bienes y servicios de origen agropecuario</w:t>
            </w:r>
          </w:p>
        </w:tc>
        <w:tc>
          <w:tcPr>
            <w:tcW w:w="4185" w:type="dxa"/>
            <w:tcBorders>
              <w:top w:val="single" w:sz="4" w:space="0" w:color="auto"/>
              <w:left w:val="single" w:sz="4" w:space="0" w:color="auto"/>
              <w:bottom w:val="single" w:sz="4" w:space="0" w:color="auto"/>
              <w:right w:val="single" w:sz="4" w:space="0" w:color="auto"/>
            </w:tcBorders>
            <w:shd w:val="clear" w:color="auto" w:fill="auto"/>
            <w:vAlign w:val="center"/>
          </w:tcPr>
          <w:p w14:paraId="239349BD" w14:textId="4CF859D6" w:rsidR="009F11F9" w:rsidRPr="006569D0" w:rsidRDefault="009F11F9" w:rsidP="009F11F9">
            <w:pPr>
              <w:spacing w:after="0"/>
              <w:jc w:val="center"/>
              <w:rPr>
                <w:rFonts w:ascii="Times New Roman" w:hAnsi="Times New Roman"/>
                <w:color w:val="000000"/>
                <w:sz w:val="22"/>
                <w:szCs w:val="22"/>
                <w:lang w:eastAsia="en-US"/>
              </w:rPr>
            </w:pPr>
            <w:r w:rsidRPr="006569D0">
              <w:rPr>
                <w:rFonts w:ascii="Times New Roman" w:hAnsi="Times New Roman"/>
                <w:color w:val="000000"/>
                <w:sz w:val="22"/>
                <w:szCs w:val="22"/>
                <w:lang w:eastAsia="en-US"/>
              </w:rPr>
              <w:t>Diseño y formulación de un plan de capacitación para el sector agropecuario con vocación exportadora, en técnica de producción agrícola, gerencia de empaque y producción en finca. Establece la ampliación del Programa de Pre-Inspección e Inocuidad del sector.</w:t>
            </w:r>
          </w:p>
        </w:tc>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0AA01" w14:textId="6E9B49CB" w:rsidR="009F11F9" w:rsidRPr="006569D0" w:rsidRDefault="009F11F9" w:rsidP="009F11F9">
            <w:pPr>
              <w:spacing w:after="0"/>
              <w:jc w:val="center"/>
              <w:rPr>
                <w:rFonts w:ascii="Times New Roman" w:hAnsi="Times New Roman"/>
                <w:color w:val="000000"/>
                <w:sz w:val="22"/>
                <w:szCs w:val="22"/>
                <w:lang w:val="en-US" w:eastAsia="en-US"/>
              </w:rPr>
            </w:pPr>
            <w:r w:rsidRPr="006569D0">
              <w:rPr>
                <w:rFonts w:ascii="Times New Roman" w:hAnsi="Times New Roman"/>
                <w:color w:val="000000"/>
                <w:sz w:val="22"/>
                <w:szCs w:val="22"/>
                <w:lang w:val="en-US" w:eastAsia="en-US"/>
              </w:rPr>
              <w:t>8,9,10</w:t>
            </w:r>
          </w:p>
        </w:tc>
      </w:tr>
      <w:tr w:rsidR="009F11F9" w:rsidRPr="006569D0" w14:paraId="06DDA1E3" w14:textId="77777777" w:rsidTr="000C32B6">
        <w:trPr>
          <w:trHeight w:val="7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2BFBE2" w14:textId="1C0EA70F" w:rsidR="009F11F9" w:rsidRPr="006569D0" w:rsidRDefault="009F11F9" w:rsidP="009F11F9">
            <w:pPr>
              <w:spacing w:after="0"/>
              <w:jc w:val="center"/>
              <w:rPr>
                <w:rFonts w:ascii="Times New Roman" w:hAnsi="Times New Roman"/>
                <w:color w:val="000000"/>
                <w:sz w:val="22"/>
                <w:szCs w:val="22"/>
                <w:lang w:val="en-US" w:eastAsia="en-US"/>
              </w:rPr>
            </w:pPr>
            <w:r w:rsidRPr="006569D0">
              <w:rPr>
                <w:rFonts w:ascii="Times New Roman" w:hAnsi="Times New Roman"/>
                <w:color w:val="000000"/>
                <w:sz w:val="22"/>
                <w:szCs w:val="22"/>
                <w:lang w:val="en-US" w:eastAsia="en-US"/>
              </w:rPr>
              <w:t>3.5.3.13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16AF122" w14:textId="792BB5C0" w:rsidR="009F11F9" w:rsidRPr="006569D0" w:rsidRDefault="009F11F9" w:rsidP="009F11F9">
            <w:pPr>
              <w:spacing w:after="0"/>
              <w:jc w:val="center"/>
              <w:rPr>
                <w:rFonts w:ascii="Times New Roman" w:hAnsi="Times New Roman"/>
                <w:color w:val="000000"/>
                <w:sz w:val="22"/>
                <w:szCs w:val="22"/>
                <w:lang w:eastAsia="en-US"/>
              </w:rPr>
            </w:pPr>
            <w:r w:rsidRPr="006569D0">
              <w:rPr>
                <w:rFonts w:ascii="Times New Roman" w:hAnsi="Times New Roman"/>
                <w:color w:val="000000"/>
                <w:sz w:val="22"/>
                <w:szCs w:val="22"/>
                <w:lang w:eastAsia="en-US"/>
              </w:rPr>
              <w:t>Establecer un sistema funcional de registro y titulación de la propiedad que garantice la seguridad jurídica de la propiedad en el medio rural.</w:t>
            </w:r>
          </w:p>
        </w:tc>
        <w:tc>
          <w:tcPr>
            <w:tcW w:w="4185" w:type="dxa"/>
            <w:tcBorders>
              <w:top w:val="single" w:sz="4" w:space="0" w:color="auto"/>
              <w:left w:val="single" w:sz="4" w:space="0" w:color="auto"/>
              <w:bottom w:val="single" w:sz="4" w:space="0" w:color="auto"/>
              <w:right w:val="single" w:sz="4" w:space="0" w:color="auto"/>
            </w:tcBorders>
            <w:shd w:val="clear" w:color="auto" w:fill="auto"/>
            <w:vAlign w:val="center"/>
          </w:tcPr>
          <w:p w14:paraId="3EB16BA2" w14:textId="1CE875A5" w:rsidR="009F11F9" w:rsidRPr="006569D0" w:rsidRDefault="009F11F9" w:rsidP="009F11F9">
            <w:pPr>
              <w:spacing w:after="0"/>
              <w:jc w:val="center"/>
              <w:rPr>
                <w:rFonts w:ascii="Times New Roman" w:hAnsi="Times New Roman"/>
                <w:color w:val="000000"/>
                <w:sz w:val="22"/>
                <w:szCs w:val="22"/>
                <w:lang w:eastAsia="en-US"/>
              </w:rPr>
            </w:pPr>
            <w:r w:rsidRPr="006569D0">
              <w:rPr>
                <w:rFonts w:ascii="Times New Roman" w:hAnsi="Times New Roman"/>
                <w:color w:val="000000"/>
                <w:sz w:val="22"/>
                <w:szCs w:val="22"/>
                <w:lang w:eastAsia="en-US"/>
              </w:rPr>
              <w:t>Programa de titulación definitiva de los terrenos de reforma agraria.</w:t>
            </w:r>
          </w:p>
        </w:tc>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7B0E3A" w14:textId="1CF60E30" w:rsidR="009F11F9" w:rsidRPr="006569D0" w:rsidRDefault="009F11F9" w:rsidP="009F11F9">
            <w:pPr>
              <w:spacing w:after="0"/>
              <w:jc w:val="center"/>
              <w:rPr>
                <w:rFonts w:ascii="Times New Roman" w:hAnsi="Times New Roman"/>
                <w:color w:val="000000"/>
                <w:sz w:val="22"/>
                <w:szCs w:val="22"/>
                <w:lang w:val="en-US" w:eastAsia="en-US"/>
              </w:rPr>
            </w:pPr>
            <w:r w:rsidRPr="006569D0">
              <w:rPr>
                <w:rFonts w:ascii="Times New Roman" w:hAnsi="Times New Roman"/>
                <w:color w:val="000000"/>
                <w:sz w:val="22"/>
                <w:szCs w:val="22"/>
                <w:lang w:val="en-US" w:eastAsia="en-US"/>
              </w:rPr>
              <w:t>1,8,11</w:t>
            </w:r>
          </w:p>
        </w:tc>
      </w:tr>
    </w:tbl>
    <w:p w14:paraId="4DFC0689" w14:textId="3AE35101" w:rsidR="00AA41C9" w:rsidRPr="006569D0" w:rsidRDefault="00AA41C9"/>
    <w:p w14:paraId="3DA75992" w14:textId="77777777" w:rsidR="00AA41C9" w:rsidRPr="006569D0" w:rsidRDefault="00AA41C9">
      <w:pPr>
        <w:spacing w:after="0"/>
      </w:pPr>
      <w:r w:rsidRPr="006569D0">
        <w:br w:type="page"/>
      </w:r>
    </w:p>
    <w:tbl>
      <w:tblPr>
        <w:tblW w:w="9941" w:type="dxa"/>
        <w:jc w:val="center"/>
        <w:tblLook w:val="04A0" w:firstRow="1" w:lastRow="0" w:firstColumn="1" w:lastColumn="0" w:noHBand="0" w:noVBand="1"/>
      </w:tblPr>
      <w:tblGrid>
        <w:gridCol w:w="1440"/>
        <w:gridCol w:w="2835"/>
        <w:gridCol w:w="4185"/>
        <w:gridCol w:w="1481"/>
      </w:tblGrid>
      <w:tr w:rsidR="009F11F9" w:rsidRPr="006569D0" w14:paraId="199E5874" w14:textId="77777777" w:rsidTr="000C32B6">
        <w:trPr>
          <w:trHeight w:val="109"/>
          <w:jc w:val="center"/>
        </w:trPr>
        <w:tc>
          <w:tcPr>
            <w:tcW w:w="144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4FCDBA28" w14:textId="29627C1C" w:rsidR="009F11F9" w:rsidRPr="006569D0" w:rsidRDefault="000C32B6" w:rsidP="009F11F9">
            <w:pPr>
              <w:spacing w:after="0"/>
              <w:jc w:val="center"/>
              <w:rPr>
                <w:rFonts w:ascii="Times New Roman" w:hAnsi="Times New Roman"/>
                <w:color w:val="FFFFFF" w:themeColor="background1"/>
                <w:sz w:val="22"/>
                <w:szCs w:val="22"/>
                <w:lang w:val="en-US" w:eastAsia="en-US"/>
              </w:rPr>
            </w:pPr>
            <w:r w:rsidRPr="006569D0">
              <w:rPr>
                <w:rFonts w:ascii="Times New Roman" w:hAnsi="Times New Roman"/>
                <w:b/>
                <w:bCs/>
                <w:color w:val="FFFFFF" w:themeColor="background1"/>
                <w:sz w:val="22"/>
                <w:szCs w:val="20"/>
                <w:lang w:val="en-US" w:eastAsia="en-US"/>
              </w:rPr>
              <w:lastRenderedPageBreak/>
              <w:t>Lí</w:t>
            </w:r>
            <w:r w:rsidR="009F11F9" w:rsidRPr="006569D0">
              <w:rPr>
                <w:rFonts w:ascii="Times New Roman" w:hAnsi="Times New Roman"/>
                <w:b/>
                <w:bCs/>
                <w:color w:val="FFFFFF" w:themeColor="background1"/>
                <w:sz w:val="22"/>
                <w:szCs w:val="20"/>
                <w:lang w:val="en-US" w:eastAsia="en-US"/>
              </w:rPr>
              <w:t>nea de Acción END</w:t>
            </w:r>
          </w:p>
        </w:tc>
        <w:tc>
          <w:tcPr>
            <w:tcW w:w="2835" w:type="dxa"/>
            <w:tcBorders>
              <w:top w:val="single" w:sz="4" w:space="0" w:color="auto"/>
              <w:left w:val="single" w:sz="4" w:space="0" w:color="auto"/>
              <w:bottom w:val="single" w:sz="4" w:space="0" w:color="auto"/>
              <w:right w:val="single" w:sz="4" w:space="0" w:color="auto"/>
            </w:tcBorders>
            <w:shd w:val="clear" w:color="auto" w:fill="00B050"/>
            <w:vAlign w:val="center"/>
          </w:tcPr>
          <w:p w14:paraId="226B64D4" w14:textId="2D53BA61" w:rsidR="009F11F9" w:rsidRPr="006569D0" w:rsidRDefault="009F11F9" w:rsidP="009F11F9">
            <w:pPr>
              <w:spacing w:after="0"/>
              <w:jc w:val="center"/>
              <w:rPr>
                <w:rFonts w:ascii="Times New Roman" w:hAnsi="Times New Roman"/>
                <w:color w:val="FFFFFF" w:themeColor="background1"/>
                <w:sz w:val="22"/>
                <w:szCs w:val="22"/>
                <w:lang w:eastAsia="en-US"/>
              </w:rPr>
            </w:pPr>
            <w:r w:rsidRPr="006569D0">
              <w:rPr>
                <w:rFonts w:ascii="Times New Roman" w:hAnsi="Times New Roman"/>
                <w:b/>
                <w:bCs/>
                <w:color w:val="FFFFFF" w:themeColor="background1"/>
                <w:sz w:val="22"/>
                <w:szCs w:val="20"/>
                <w:lang w:val="en-US" w:eastAsia="en-US"/>
              </w:rPr>
              <w:t>Medida</w:t>
            </w:r>
            <w:r w:rsidR="000C32B6" w:rsidRPr="006569D0">
              <w:rPr>
                <w:rFonts w:ascii="Times New Roman" w:hAnsi="Times New Roman"/>
                <w:b/>
                <w:bCs/>
                <w:color w:val="FFFFFF" w:themeColor="background1"/>
                <w:sz w:val="22"/>
                <w:szCs w:val="20"/>
                <w:lang w:val="en-US" w:eastAsia="en-US"/>
              </w:rPr>
              <w:t>s</w:t>
            </w:r>
            <w:r w:rsidRPr="006569D0">
              <w:rPr>
                <w:rFonts w:ascii="Times New Roman" w:hAnsi="Times New Roman"/>
                <w:b/>
                <w:bCs/>
                <w:color w:val="FFFFFF" w:themeColor="background1"/>
                <w:sz w:val="22"/>
                <w:szCs w:val="20"/>
                <w:lang w:val="en-US" w:eastAsia="en-US"/>
              </w:rPr>
              <w:t xml:space="preserve"> de Política</w:t>
            </w:r>
            <w:r w:rsidR="000C32B6" w:rsidRPr="006569D0">
              <w:rPr>
                <w:rFonts w:ascii="Times New Roman" w:hAnsi="Times New Roman"/>
                <w:b/>
                <w:bCs/>
                <w:color w:val="FFFFFF" w:themeColor="background1"/>
                <w:sz w:val="22"/>
                <w:szCs w:val="20"/>
                <w:lang w:val="en-US" w:eastAsia="en-US"/>
              </w:rPr>
              <w:t>s</w:t>
            </w:r>
          </w:p>
        </w:tc>
        <w:tc>
          <w:tcPr>
            <w:tcW w:w="4185" w:type="dxa"/>
            <w:tcBorders>
              <w:top w:val="single" w:sz="4" w:space="0" w:color="auto"/>
              <w:left w:val="single" w:sz="4" w:space="0" w:color="auto"/>
              <w:bottom w:val="single" w:sz="4" w:space="0" w:color="auto"/>
              <w:right w:val="single" w:sz="4" w:space="0" w:color="auto"/>
            </w:tcBorders>
            <w:shd w:val="clear" w:color="auto" w:fill="00B050"/>
            <w:vAlign w:val="center"/>
          </w:tcPr>
          <w:p w14:paraId="0D07D9C2" w14:textId="5F920B1D" w:rsidR="009F11F9" w:rsidRPr="006569D0" w:rsidRDefault="009F11F9" w:rsidP="009F11F9">
            <w:pPr>
              <w:spacing w:after="0"/>
              <w:jc w:val="center"/>
              <w:rPr>
                <w:rFonts w:ascii="Times New Roman" w:hAnsi="Times New Roman"/>
                <w:color w:val="FFFFFF" w:themeColor="background1"/>
                <w:sz w:val="22"/>
                <w:szCs w:val="22"/>
                <w:lang w:eastAsia="en-US"/>
              </w:rPr>
            </w:pPr>
            <w:r w:rsidRPr="006569D0">
              <w:rPr>
                <w:rFonts w:ascii="Times New Roman" w:hAnsi="Times New Roman"/>
                <w:b/>
                <w:bCs/>
                <w:color w:val="FFFFFF" w:themeColor="background1"/>
                <w:sz w:val="22"/>
                <w:szCs w:val="20"/>
                <w:lang w:val="en-US" w:eastAsia="en-US"/>
              </w:rPr>
              <w:t>Descripción</w:t>
            </w:r>
          </w:p>
        </w:tc>
        <w:tc>
          <w:tcPr>
            <w:tcW w:w="1481"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0139988F" w14:textId="00C13832" w:rsidR="009F11F9" w:rsidRPr="006569D0" w:rsidRDefault="009F11F9" w:rsidP="009F11F9">
            <w:pPr>
              <w:spacing w:after="0"/>
              <w:jc w:val="center"/>
              <w:rPr>
                <w:rFonts w:ascii="Times New Roman" w:hAnsi="Times New Roman"/>
                <w:color w:val="FFFFFF" w:themeColor="background1"/>
                <w:sz w:val="22"/>
                <w:szCs w:val="22"/>
                <w:lang w:val="en-US" w:eastAsia="en-US"/>
              </w:rPr>
            </w:pPr>
            <w:r w:rsidRPr="006569D0">
              <w:rPr>
                <w:rFonts w:ascii="Times New Roman" w:hAnsi="Times New Roman"/>
                <w:b/>
                <w:bCs/>
                <w:color w:val="FFFFFF" w:themeColor="background1"/>
                <w:sz w:val="22"/>
                <w:szCs w:val="20"/>
                <w:lang w:val="en-US" w:eastAsia="en-US"/>
              </w:rPr>
              <w:t>ODS Vinculados</w:t>
            </w:r>
          </w:p>
        </w:tc>
      </w:tr>
      <w:tr w:rsidR="009F11F9" w:rsidRPr="006569D0" w14:paraId="1DAB6229" w14:textId="77777777" w:rsidTr="000C32B6">
        <w:trPr>
          <w:trHeight w:val="449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6361E" w14:textId="77777777" w:rsidR="009F11F9" w:rsidRPr="006569D0" w:rsidRDefault="009F11F9" w:rsidP="009F11F9">
            <w:pPr>
              <w:spacing w:after="0"/>
              <w:jc w:val="center"/>
              <w:rPr>
                <w:rFonts w:ascii="Times New Roman" w:hAnsi="Times New Roman"/>
                <w:color w:val="000000"/>
                <w:sz w:val="22"/>
                <w:szCs w:val="22"/>
                <w:lang w:val="en-US" w:eastAsia="en-US"/>
              </w:rPr>
            </w:pPr>
            <w:r w:rsidRPr="006569D0">
              <w:rPr>
                <w:rFonts w:ascii="Times New Roman" w:hAnsi="Times New Roman"/>
                <w:color w:val="000000"/>
                <w:sz w:val="22"/>
                <w:szCs w:val="22"/>
                <w:lang w:val="en-US" w:eastAsia="en-US"/>
              </w:rPr>
              <w:t>3.5.3.2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6E9C6" w14:textId="77777777" w:rsidR="009F11F9" w:rsidRPr="006569D0" w:rsidRDefault="009F11F9" w:rsidP="009F11F9">
            <w:pPr>
              <w:spacing w:after="0"/>
              <w:jc w:val="center"/>
              <w:rPr>
                <w:rFonts w:ascii="Times New Roman" w:hAnsi="Times New Roman"/>
                <w:color w:val="000000"/>
                <w:sz w:val="22"/>
                <w:szCs w:val="22"/>
                <w:lang w:eastAsia="en-US"/>
              </w:rPr>
            </w:pPr>
            <w:r w:rsidRPr="006569D0">
              <w:rPr>
                <w:rFonts w:ascii="Times New Roman" w:hAnsi="Times New Roman"/>
                <w:color w:val="000000"/>
                <w:sz w:val="22"/>
                <w:szCs w:val="22"/>
                <w:lang w:eastAsia="en-US"/>
              </w:rPr>
              <w:t>Implementar la zonificación de cultivos conforme a las características de los recursos agro-productivos y las condiciones medioambientales y de riesgo.</w:t>
            </w:r>
          </w:p>
        </w:tc>
        <w:tc>
          <w:tcPr>
            <w:tcW w:w="4185" w:type="dxa"/>
            <w:tcBorders>
              <w:top w:val="single" w:sz="4" w:space="0" w:color="auto"/>
              <w:left w:val="single" w:sz="4" w:space="0" w:color="auto"/>
              <w:bottom w:val="single" w:sz="4" w:space="0" w:color="auto"/>
              <w:right w:val="single" w:sz="4" w:space="0" w:color="auto"/>
            </w:tcBorders>
            <w:shd w:val="clear" w:color="auto" w:fill="auto"/>
            <w:hideMark/>
          </w:tcPr>
          <w:p w14:paraId="70A338B4" w14:textId="301353FE" w:rsidR="009F11F9" w:rsidRPr="006569D0" w:rsidRDefault="009F11F9" w:rsidP="009F11F9">
            <w:pPr>
              <w:spacing w:after="0"/>
              <w:jc w:val="center"/>
              <w:rPr>
                <w:rFonts w:ascii="Times New Roman" w:hAnsi="Times New Roman"/>
                <w:color w:val="000000"/>
                <w:sz w:val="22"/>
                <w:szCs w:val="22"/>
                <w:lang w:eastAsia="en-US"/>
              </w:rPr>
            </w:pPr>
            <w:r w:rsidRPr="006569D0">
              <w:rPr>
                <w:rFonts w:ascii="Times New Roman" w:hAnsi="Times New Roman"/>
                <w:color w:val="000000"/>
                <w:sz w:val="22"/>
                <w:szCs w:val="22"/>
                <w:lang w:eastAsia="en-US"/>
              </w:rPr>
              <w:t>Fomento de la producción de Invernaderos.</w:t>
            </w:r>
            <w:r w:rsidRPr="006569D0">
              <w:rPr>
                <w:rFonts w:ascii="Times New Roman" w:hAnsi="Times New Roman"/>
                <w:color w:val="000000"/>
                <w:sz w:val="22"/>
                <w:szCs w:val="22"/>
                <w:lang w:eastAsia="en-US"/>
              </w:rPr>
              <w:br/>
              <w:t>Programas de Huertos escolares, comunales y familiares.</w:t>
            </w:r>
            <w:r w:rsidRPr="006569D0">
              <w:rPr>
                <w:rFonts w:ascii="Times New Roman" w:hAnsi="Times New Roman"/>
                <w:color w:val="000000"/>
                <w:sz w:val="22"/>
                <w:szCs w:val="22"/>
                <w:lang w:eastAsia="en-US"/>
              </w:rPr>
              <w:br/>
              <w:t>Programa Producción de Alimentos básicos.</w:t>
            </w:r>
            <w:r w:rsidRPr="006569D0">
              <w:rPr>
                <w:rFonts w:ascii="Times New Roman" w:hAnsi="Times New Roman"/>
                <w:color w:val="000000"/>
                <w:sz w:val="22"/>
                <w:szCs w:val="22"/>
                <w:lang w:eastAsia="en-US"/>
              </w:rPr>
              <w:br/>
              <w:t xml:space="preserve">Programa Apoyo Productivo a Pequeños y medianos productores de distintos rubros agrícolas. </w:t>
            </w:r>
            <w:r w:rsidRPr="006569D0">
              <w:rPr>
                <w:rFonts w:ascii="Times New Roman" w:hAnsi="Times New Roman"/>
                <w:color w:val="000000"/>
                <w:sz w:val="22"/>
                <w:szCs w:val="22"/>
                <w:lang w:eastAsia="en-US"/>
              </w:rPr>
              <w:br/>
              <w:t>Distribución y entrega de materiales de siembra de calidad.</w:t>
            </w:r>
            <w:r w:rsidRPr="006569D0">
              <w:rPr>
                <w:rFonts w:ascii="Times New Roman" w:hAnsi="Times New Roman"/>
                <w:color w:val="000000"/>
                <w:sz w:val="22"/>
                <w:szCs w:val="22"/>
                <w:lang w:eastAsia="en-US"/>
              </w:rPr>
              <w:br/>
              <w:t xml:space="preserve">Fortalecimiento de las Asociaciones de Productores de la Rep. Dom. </w:t>
            </w:r>
            <w:r w:rsidRPr="006569D0">
              <w:rPr>
                <w:rFonts w:ascii="Times New Roman" w:hAnsi="Times New Roman"/>
                <w:color w:val="000000"/>
                <w:sz w:val="22"/>
                <w:szCs w:val="22"/>
                <w:lang w:eastAsia="en-US"/>
              </w:rPr>
              <w:br/>
              <w:t>Apoyar el incremento de la aplicación de tecnología en el campo de la producción agropecuaria nacional.</w:t>
            </w:r>
            <w:r w:rsidRPr="006569D0">
              <w:rPr>
                <w:rFonts w:ascii="Times New Roman" w:hAnsi="Times New Roman"/>
                <w:color w:val="000000"/>
                <w:sz w:val="22"/>
                <w:szCs w:val="22"/>
                <w:lang w:eastAsia="en-US"/>
              </w:rPr>
              <w:br/>
              <w:t>Organización y Capacitación de los productores y asociaciones pecuarias.</w:t>
            </w:r>
            <w:r w:rsidRPr="006569D0">
              <w:rPr>
                <w:rFonts w:ascii="Times New Roman" w:hAnsi="Times New Roman"/>
                <w:color w:val="000000"/>
                <w:sz w:val="22"/>
                <w:szCs w:val="22"/>
                <w:lang w:eastAsia="en-US"/>
              </w:rPr>
              <w:br/>
              <w:t>Crear grupos de especialista</w:t>
            </w:r>
            <w:r w:rsidR="00212F64" w:rsidRPr="006569D0">
              <w:rPr>
                <w:rFonts w:ascii="Times New Roman" w:hAnsi="Times New Roman"/>
                <w:color w:val="000000"/>
                <w:sz w:val="22"/>
                <w:szCs w:val="22"/>
                <w:lang w:eastAsia="en-US"/>
              </w:rPr>
              <w:t>s</w:t>
            </w:r>
            <w:r w:rsidRPr="006569D0">
              <w:rPr>
                <w:rFonts w:ascii="Times New Roman" w:hAnsi="Times New Roman"/>
                <w:color w:val="000000"/>
                <w:sz w:val="22"/>
                <w:szCs w:val="22"/>
                <w:lang w:eastAsia="en-US"/>
              </w:rPr>
              <w:t xml:space="preserve"> en manejo post-cosecha</w:t>
            </w:r>
            <w:r w:rsidR="00212F64" w:rsidRPr="006569D0">
              <w:rPr>
                <w:rFonts w:ascii="Times New Roman" w:hAnsi="Times New Roman"/>
                <w:color w:val="000000"/>
                <w:sz w:val="22"/>
                <w:szCs w:val="22"/>
                <w:lang w:eastAsia="en-US"/>
              </w:rPr>
              <w:t>,</w:t>
            </w:r>
            <w:r w:rsidRPr="006569D0">
              <w:rPr>
                <w:rFonts w:ascii="Times New Roman" w:hAnsi="Times New Roman"/>
                <w:color w:val="000000"/>
                <w:sz w:val="22"/>
                <w:szCs w:val="22"/>
                <w:lang w:eastAsia="en-US"/>
              </w:rPr>
              <w:t xml:space="preserve"> con el objetivo de dar asistencia técnica directa a las fincas que </w:t>
            </w:r>
            <w:r w:rsidR="00212F64" w:rsidRPr="006569D0">
              <w:rPr>
                <w:rFonts w:ascii="Times New Roman" w:hAnsi="Times New Roman"/>
                <w:color w:val="000000"/>
                <w:sz w:val="22"/>
                <w:szCs w:val="22"/>
                <w:lang w:eastAsia="en-US"/>
              </w:rPr>
              <w:t>posean</w:t>
            </w:r>
            <w:r w:rsidRPr="006569D0">
              <w:rPr>
                <w:rFonts w:ascii="Times New Roman" w:hAnsi="Times New Roman"/>
                <w:color w:val="000000"/>
                <w:sz w:val="22"/>
                <w:szCs w:val="22"/>
                <w:lang w:eastAsia="en-US"/>
              </w:rPr>
              <w:t xml:space="preserve"> potencial exportador.</w:t>
            </w:r>
          </w:p>
        </w:tc>
        <w:tc>
          <w:tcPr>
            <w:tcW w:w="1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34142" w14:textId="77777777" w:rsidR="009F11F9" w:rsidRPr="006569D0" w:rsidRDefault="009F11F9" w:rsidP="009F11F9">
            <w:pPr>
              <w:spacing w:after="0"/>
              <w:jc w:val="center"/>
              <w:rPr>
                <w:rFonts w:ascii="Times New Roman" w:hAnsi="Times New Roman"/>
                <w:color w:val="000000"/>
                <w:sz w:val="22"/>
                <w:szCs w:val="22"/>
                <w:lang w:val="en-US" w:eastAsia="en-US"/>
              </w:rPr>
            </w:pPr>
            <w:r w:rsidRPr="006569D0">
              <w:rPr>
                <w:rFonts w:ascii="Times New Roman" w:hAnsi="Times New Roman"/>
                <w:color w:val="000000"/>
                <w:sz w:val="22"/>
                <w:szCs w:val="22"/>
                <w:lang w:val="en-US" w:eastAsia="en-US"/>
              </w:rPr>
              <w:t>1,2,8,9,11 y 12</w:t>
            </w:r>
          </w:p>
        </w:tc>
      </w:tr>
      <w:tr w:rsidR="009F11F9" w:rsidRPr="006569D0" w14:paraId="03E0002A" w14:textId="77777777" w:rsidTr="000C32B6">
        <w:trPr>
          <w:trHeight w:val="773"/>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23DF45CB" w14:textId="77777777" w:rsidR="009F11F9" w:rsidRPr="006569D0" w:rsidRDefault="009F11F9" w:rsidP="009F11F9">
            <w:pPr>
              <w:spacing w:after="0"/>
              <w:jc w:val="center"/>
              <w:rPr>
                <w:rFonts w:ascii="Times New Roman" w:hAnsi="Times New Roman"/>
                <w:color w:val="000000"/>
                <w:sz w:val="22"/>
                <w:szCs w:val="22"/>
                <w:lang w:val="en-US" w:eastAsia="en-US"/>
              </w:rPr>
            </w:pPr>
            <w:r w:rsidRPr="006569D0">
              <w:rPr>
                <w:rFonts w:ascii="Times New Roman" w:hAnsi="Times New Roman"/>
                <w:color w:val="000000"/>
                <w:sz w:val="22"/>
                <w:szCs w:val="22"/>
                <w:lang w:val="en-US" w:eastAsia="en-US"/>
              </w:rPr>
              <w:t>3.5.3.9</w:t>
            </w:r>
          </w:p>
        </w:tc>
        <w:tc>
          <w:tcPr>
            <w:tcW w:w="2835" w:type="dxa"/>
            <w:tcBorders>
              <w:top w:val="nil"/>
              <w:left w:val="nil"/>
              <w:bottom w:val="single" w:sz="4" w:space="0" w:color="auto"/>
              <w:right w:val="single" w:sz="4" w:space="0" w:color="auto"/>
            </w:tcBorders>
            <w:shd w:val="clear" w:color="auto" w:fill="auto"/>
            <w:vAlign w:val="center"/>
            <w:hideMark/>
          </w:tcPr>
          <w:p w14:paraId="47855204" w14:textId="77777777" w:rsidR="009F11F9" w:rsidRPr="006569D0" w:rsidRDefault="009F11F9" w:rsidP="009F11F9">
            <w:pPr>
              <w:spacing w:after="0"/>
              <w:jc w:val="center"/>
              <w:rPr>
                <w:rFonts w:ascii="Times New Roman" w:hAnsi="Times New Roman"/>
                <w:color w:val="000000"/>
                <w:sz w:val="22"/>
                <w:szCs w:val="22"/>
                <w:lang w:eastAsia="en-US"/>
              </w:rPr>
            </w:pPr>
            <w:r w:rsidRPr="006569D0">
              <w:rPr>
                <w:rFonts w:ascii="Times New Roman" w:hAnsi="Times New Roman"/>
                <w:color w:val="000000"/>
                <w:sz w:val="22"/>
                <w:szCs w:val="22"/>
                <w:lang w:eastAsia="en-US"/>
              </w:rPr>
              <w:t>Desarrollar programas de infraestructura rurales para apoyar la producción y comercialización de los productos agropecuarios</w:t>
            </w:r>
          </w:p>
        </w:tc>
        <w:tc>
          <w:tcPr>
            <w:tcW w:w="4185" w:type="dxa"/>
            <w:tcBorders>
              <w:top w:val="nil"/>
              <w:left w:val="nil"/>
              <w:bottom w:val="single" w:sz="4" w:space="0" w:color="auto"/>
              <w:right w:val="single" w:sz="4" w:space="0" w:color="auto"/>
            </w:tcBorders>
            <w:shd w:val="clear" w:color="auto" w:fill="auto"/>
            <w:hideMark/>
          </w:tcPr>
          <w:p w14:paraId="60A8320D" w14:textId="77777777" w:rsidR="009F11F9" w:rsidRPr="006569D0" w:rsidRDefault="009F11F9" w:rsidP="009F11F9">
            <w:pPr>
              <w:spacing w:after="240"/>
              <w:jc w:val="center"/>
              <w:rPr>
                <w:rFonts w:ascii="Times New Roman" w:hAnsi="Times New Roman"/>
                <w:color w:val="000000"/>
                <w:sz w:val="22"/>
                <w:szCs w:val="22"/>
                <w:lang w:eastAsia="en-US"/>
              </w:rPr>
            </w:pPr>
            <w:r w:rsidRPr="006569D0">
              <w:rPr>
                <w:rFonts w:ascii="Times New Roman" w:hAnsi="Times New Roman"/>
                <w:color w:val="000000"/>
                <w:sz w:val="22"/>
                <w:szCs w:val="22"/>
                <w:lang w:eastAsia="en-US"/>
              </w:rPr>
              <w:t>Rehabilitación y Reconstrucción de caminos vecinales.</w:t>
            </w:r>
            <w:r w:rsidRPr="006569D0">
              <w:rPr>
                <w:rFonts w:ascii="Times New Roman" w:hAnsi="Times New Roman"/>
                <w:color w:val="000000"/>
                <w:sz w:val="22"/>
                <w:szCs w:val="22"/>
                <w:lang w:eastAsia="en-US"/>
              </w:rPr>
              <w:br/>
              <w:t>Construcción y remodelación de las ocho (8) Direcciones Regionales, zonas y subzonas.</w:t>
            </w:r>
            <w:r w:rsidRPr="006569D0">
              <w:rPr>
                <w:rFonts w:ascii="Times New Roman" w:hAnsi="Times New Roman"/>
                <w:color w:val="000000"/>
                <w:sz w:val="22"/>
                <w:szCs w:val="22"/>
                <w:lang w:eastAsia="en-US"/>
              </w:rPr>
              <w:br/>
              <w:t>Acondicionamiento de las oficinas de cuarentena vegetal a nivel regional.</w:t>
            </w:r>
          </w:p>
        </w:tc>
        <w:tc>
          <w:tcPr>
            <w:tcW w:w="1481" w:type="dxa"/>
            <w:tcBorders>
              <w:top w:val="nil"/>
              <w:left w:val="nil"/>
              <w:bottom w:val="single" w:sz="4" w:space="0" w:color="auto"/>
              <w:right w:val="single" w:sz="4" w:space="0" w:color="auto"/>
            </w:tcBorders>
            <w:shd w:val="clear" w:color="auto" w:fill="auto"/>
            <w:noWrap/>
            <w:vAlign w:val="center"/>
            <w:hideMark/>
          </w:tcPr>
          <w:p w14:paraId="2F950B51" w14:textId="77777777" w:rsidR="009F11F9" w:rsidRPr="006569D0" w:rsidRDefault="009F11F9" w:rsidP="009F11F9">
            <w:pPr>
              <w:spacing w:after="0"/>
              <w:jc w:val="center"/>
              <w:rPr>
                <w:rFonts w:ascii="Times New Roman" w:hAnsi="Times New Roman"/>
                <w:color w:val="000000"/>
                <w:sz w:val="22"/>
                <w:szCs w:val="22"/>
                <w:lang w:val="en-US" w:eastAsia="en-US"/>
              </w:rPr>
            </w:pPr>
            <w:r w:rsidRPr="006569D0">
              <w:rPr>
                <w:rFonts w:ascii="Times New Roman" w:hAnsi="Times New Roman"/>
                <w:color w:val="000000"/>
                <w:sz w:val="22"/>
                <w:szCs w:val="22"/>
                <w:lang w:val="en-US" w:eastAsia="en-US"/>
              </w:rPr>
              <w:t>9,10</w:t>
            </w:r>
          </w:p>
        </w:tc>
      </w:tr>
      <w:tr w:rsidR="009F11F9" w:rsidRPr="006569D0" w14:paraId="5FF80717" w14:textId="77777777" w:rsidTr="000C32B6">
        <w:trPr>
          <w:trHeight w:val="240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37307A6" w14:textId="77777777" w:rsidR="009F11F9" w:rsidRPr="006569D0" w:rsidRDefault="009F11F9" w:rsidP="009F11F9">
            <w:pPr>
              <w:spacing w:after="0"/>
              <w:jc w:val="center"/>
              <w:rPr>
                <w:rFonts w:ascii="Times New Roman" w:hAnsi="Times New Roman"/>
                <w:color w:val="000000"/>
                <w:sz w:val="22"/>
                <w:szCs w:val="22"/>
                <w:lang w:val="en-US" w:eastAsia="en-US"/>
              </w:rPr>
            </w:pPr>
            <w:r w:rsidRPr="006569D0">
              <w:rPr>
                <w:rFonts w:ascii="Times New Roman" w:hAnsi="Times New Roman"/>
                <w:color w:val="000000"/>
                <w:sz w:val="22"/>
                <w:szCs w:val="22"/>
                <w:lang w:val="en-US" w:eastAsia="en-US"/>
              </w:rPr>
              <w:t>3.5.3.11</w:t>
            </w:r>
          </w:p>
        </w:tc>
        <w:tc>
          <w:tcPr>
            <w:tcW w:w="2835" w:type="dxa"/>
            <w:tcBorders>
              <w:top w:val="nil"/>
              <w:left w:val="nil"/>
              <w:bottom w:val="single" w:sz="4" w:space="0" w:color="auto"/>
              <w:right w:val="single" w:sz="4" w:space="0" w:color="auto"/>
            </w:tcBorders>
            <w:shd w:val="clear" w:color="auto" w:fill="auto"/>
            <w:vAlign w:val="center"/>
            <w:hideMark/>
          </w:tcPr>
          <w:p w14:paraId="2EF95495" w14:textId="67328E0D" w:rsidR="009F11F9" w:rsidRPr="006569D0" w:rsidRDefault="009F11F9" w:rsidP="009F11F9">
            <w:pPr>
              <w:spacing w:after="0"/>
              <w:jc w:val="center"/>
              <w:rPr>
                <w:rFonts w:ascii="Times New Roman" w:hAnsi="Times New Roman"/>
                <w:color w:val="000000"/>
                <w:sz w:val="22"/>
                <w:szCs w:val="22"/>
                <w:lang w:eastAsia="en-US"/>
              </w:rPr>
            </w:pPr>
            <w:r w:rsidRPr="006569D0">
              <w:rPr>
                <w:rFonts w:ascii="Times New Roman" w:hAnsi="Times New Roman"/>
                <w:color w:val="000000"/>
                <w:sz w:val="22"/>
                <w:szCs w:val="22"/>
                <w:lang w:eastAsia="en-US"/>
              </w:rPr>
              <w:t>Desarrollar programas de apoyo a las exportaciones de productos agropecuarios y forestales en los principales mercados de Europa, Estados Unidos, el Caribe insular y Haití.</w:t>
            </w:r>
          </w:p>
        </w:tc>
        <w:tc>
          <w:tcPr>
            <w:tcW w:w="4185" w:type="dxa"/>
            <w:tcBorders>
              <w:top w:val="nil"/>
              <w:left w:val="nil"/>
              <w:bottom w:val="single" w:sz="4" w:space="0" w:color="auto"/>
              <w:right w:val="single" w:sz="4" w:space="0" w:color="auto"/>
            </w:tcBorders>
            <w:shd w:val="clear" w:color="auto" w:fill="auto"/>
            <w:vAlign w:val="center"/>
            <w:hideMark/>
          </w:tcPr>
          <w:p w14:paraId="2E2E9379" w14:textId="3D4D1C6F" w:rsidR="009F11F9" w:rsidRPr="006569D0" w:rsidRDefault="009F11F9" w:rsidP="009F11F9">
            <w:pPr>
              <w:spacing w:after="0"/>
              <w:jc w:val="center"/>
              <w:rPr>
                <w:rFonts w:ascii="Times New Roman" w:hAnsi="Times New Roman"/>
                <w:color w:val="000000"/>
                <w:sz w:val="22"/>
                <w:szCs w:val="22"/>
                <w:lang w:eastAsia="en-US"/>
              </w:rPr>
            </w:pPr>
            <w:r w:rsidRPr="006569D0">
              <w:rPr>
                <w:rFonts w:ascii="Times New Roman" w:hAnsi="Times New Roman"/>
                <w:color w:val="000000"/>
                <w:sz w:val="22"/>
                <w:szCs w:val="22"/>
                <w:lang w:eastAsia="en-US"/>
              </w:rPr>
              <w:t>Creación del programa de apoyo a las Agroexportaciones (AGROEXPORTA).   Creación del Programa de Pre-inspección de Productos Frescos de Exportación de Origen Agrícola (PREINSPECCIONA). Creación de la Dirección Nacional del Programa de Vegetales Orientales, Frutas Frescas y Productos Afines de Exportación (PROVOFEX).</w:t>
            </w:r>
          </w:p>
        </w:tc>
        <w:tc>
          <w:tcPr>
            <w:tcW w:w="1481" w:type="dxa"/>
            <w:tcBorders>
              <w:top w:val="nil"/>
              <w:left w:val="nil"/>
              <w:bottom w:val="single" w:sz="4" w:space="0" w:color="auto"/>
              <w:right w:val="single" w:sz="4" w:space="0" w:color="auto"/>
            </w:tcBorders>
            <w:shd w:val="clear" w:color="auto" w:fill="auto"/>
            <w:noWrap/>
            <w:vAlign w:val="center"/>
            <w:hideMark/>
          </w:tcPr>
          <w:p w14:paraId="4BDC5D67" w14:textId="77777777" w:rsidR="009F11F9" w:rsidRPr="006569D0" w:rsidRDefault="009F11F9" w:rsidP="009F11F9">
            <w:pPr>
              <w:spacing w:after="0"/>
              <w:jc w:val="center"/>
              <w:rPr>
                <w:rFonts w:ascii="Times New Roman" w:hAnsi="Times New Roman"/>
                <w:color w:val="000000"/>
                <w:sz w:val="22"/>
                <w:szCs w:val="22"/>
                <w:lang w:val="en-US" w:eastAsia="en-US"/>
              </w:rPr>
            </w:pPr>
            <w:r w:rsidRPr="006569D0">
              <w:rPr>
                <w:rFonts w:ascii="Times New Roman" w:hAnsi="Times New Roman"/>
                <w:color w:val="000000"/>
                <w:sz w:val="22"/>
                <w:szCs w:val="22"/>
                <w:lang w:val="en-US" w:eastAsia="en-US"/>
              </w:rPr>
              <w:t>1,8,10</w:t>
            </w:r>
          </w:p>
        </w:tc>
      </w:tr>
      <w:tr w:rsidR="009F11F9" w:rsidRPr="006569D0" w14:paraId="6AC4630B" w14:textId="77777777" w:rsidTr="000C32B6">
        <w:trPr>
          <w:trHeight w:val="180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934F2EB" w14:textId="77777777" w:rsidR="009F11F9" w:rsidRPr="006569D0" w:rsidRDefault="009F11F9" w:rsidP="009F11F9">
            <w:pPr>
              <w:spacing w:after="0"/>
              <w:jc w:val="center"/>
              <w:rPr>
                <w:rFonts w:ascii="Times New Roman" w:hAnsi="Times New Roman"/>
                <w:color w:val="000000"/>
                <w:sz w:val="22"/>
                <w:szCs w:val="22"/>
                <w:lang w:val="en-US" w:eastAsia="en-US"/>
              </w:rPr>
            </w:pPr>
            <w:r w:rsidRPr="006569D0">
              <w:rPr>
                <w:rFonts w:ascii="Times New Roman" w:hAnsi="Times New Roman"/>
                <w:color w:val="000000"/>
                <w:sz w:val="22"/>
                <w:szCs w:val="22"/>
                <w:lang w:val="en-US" w:eastAsia="en-US"/>
              </w:rPr>
              <w:t>3.5.3.1</w:t>
            </w:r>
          </w:p>
        </w:tc>
        <w:tc>
          <w:tcPr>
            <w:tcW w:w="2835" w:type="dxa"/>
            <w:tcBorders>
              <w:top w:val="nil"/>
              <w:left w:val="nil"/>
              <w:bottom w:val="single" w:sz="4" w:space="0" w:color="auto"/>
              <w:right w:val="single" w:sz="4" w:space="0" w:color="auto"/>
            </w:tcBorders>
            <w:shd w:val="clear" w:color="auto" w:fill="auto"/>
            <w:vAlign w:val="center"/>
            <w:hideMark/>
          </w:tcPr>
          <w:p w14:paraId="0F57FAFD" w14:textId="19806509" w:rsidR="009F11F9" w:rsidRPr="006569D0" w:rsidRDefault="009F11F9" w:rsidP="009F11F9">
            <w:pPr>
              <w:spacing w:after="0"/>
              <w:jc w:val="center"/>
              <w:rPr>
                <w:rFonts w:ascii="Times New Roman" w:hAnsi="Times New Roman"/>
                <w:color w:val="000000"/>
                <w:sz w:val="22"/>
                <w:szCs w:val="22"/>
                <w:lang w:eastAsia="en-US"/>
              </w:rPr>
            </w:pPr>
            <w:r w:rsidRPr="006569D0">
              <w:rPr>
                <w:rFonts w:ascii="Times New Roman" w:hAnsi="Times New Roman"/>
                <w:color w:val="000000"/>
                <w:sz w:val="22"/>
                <w:szCs w:val="22"/>
                <w:lang w:eastAsia="en-US"/>
              </w:rPr>
              <w:t xml:space="preserve">Desarrollar mecanismos expeditos de facilitación de </w:t>
            </w:r>
            <w:r w:rsidRPr="006569D0">
              <w:rPr>
                <w:rFonts w:ascii="Times New Roman" w:hAnsi="Times New Roman"/>
                <w:color w:val="000000"/>
                <w:sz w:val="22"/>
                <w:szCs w:val="22"/>
                <w:lang w:eastAsia="en-US"/>
              </w:rPr>
              <w:br/>
              <w:t>negocios de las exportaciones</w:t>
            </w:r>
          </w:p>
        </w:tc>
        <w:tc>
          <w:tcPr>
            <w:tcW w:w="4185" w:type="dxa"/>
            <w:tcBorders>
              <w:top w:val="nil"/>
              <w:left w:val="nil"/>
              <w:bottom w:val="single" w:sz="4" w:space="0" w:color="auto"/>
              <w:right w:val="single" w:sz="4" w:space="0" w:color="auto"/>
            </w:tcBorders>
            <w:shd w:val="clear" w:color="auto" w:fill="auto"/>
            <w:vAlign w:val="bottom"/>
            <w:hideMark/>
          </w:tcPr>
          <w:p w14:paraId="3D4478AD" w14:textId="6697630E" w:rsidR="009F11F9" w:rsidRPr="006569D0" w:rsidRDefault="009F11F9" w:rsidP="009F11F9">
            <w:pPr>
              <w:spacing w:after="0"/>
              <w:jc w:val="center"/>
              <w:rPr>
                <w:rFonts w:ascii="Times New Roman" w:hAnsi="Times New Roman"/>
                <w:color w:val="000000"/>
                <w:sz w:val="22"/>
                <w:szCs w:val="22"/>
                <w:lang w:eastAsia="en-US"/>
              </w:rPr>
            </w:pPr>
            <w:r w:rsidRPr="006569D0">
              <w:rPr>
                <w:rFonts w:ascii="Times New Roman" w:hAnsi="Times New Roman"/>
                <w:color w:val="000000"/>
                <w:sz w:val="22"/>
                <w:szCs w:val="22"/>
                <w:lang w:eastAsia="en-US"/>
              </w:rPr>
              <w:t>Establecer mecanismos de integración de procesos tarifa única al sistema VUCE-RD vía solicitud de importación de producto de origen Agropecuario.  Integración al Sistema VUCE-RD, para brindar facilidades y apoyo técnico para la correcta implementación del Sistema.</w:t>
            </w:r>
          </w:p>
        </w:tc>
        <w:tc>
          <w:tcPr>
            <w:tcW w:w="1481" w:type="dxa"/>
            <w:tcBorders>
              <w:top w:val="nil"/>
              <w:left w:val="nil"/>
              <w:bottom w:val="single" w:sz="4" w:space="0" w:color="auto"/>
              <w:right w:val="single" w:sz="4" w:space="0" w:color="auto"/>
            </w:tcBorders>
            <w:shd w:val="clear" w:color="auto" w:fill="auto"/>
            <w:noWrap/>
            <w:vAlign w:val="center"/>
            <w:hideMark/>
          </w:tcPr>
          <w:p w14:paraId="06D66A9B" w14:textId="77777777" w:rsidR="009F11F9" w:rsidRPr="006569D0" w:rsidRDefault="009F11F9" w:rsidP="009F11F9">
            <w:pPr>
              <w:spacing w:after="0"/>
              <w:jc w:val="center"/>
              <w:rPr>
                <w:rFonts w:ascii="Times New Roman" w:hAnsi="Times New Roman"/>
                <w:color w:val="000000"/>
                <w:sz w:val="22"/>
                <w:szCs w:val="22"/>
                <w:lang w:val="en-US" w:eastAsia="en-US"/>
              </w:rPr>
            </w:pPr>
            <w:r w:rsidRPr="006569D0">
              <w:rPr>
                <w:rFonts w:ascii="Times New Roman" w:hAnsi="Times New Roman"/>
                <w:color w:val="000000"/>
                <w:sz w:val="22"/>
                <w:szCs w:val="22"/>
                <w:lang w:val="en-US" w:eastAsia="en-US"/>
              </w:rPr>
              <w:t>8,9,10</w:t>
            </w:r>
          </w:p>
        </w:tc>
      </w:tr>
    </w:tbl>
    <w:p w14:paraId="79D1F062" w14:textId="55DEAF23" w:rsidR="009F11F9" w:rsidRPr="006569D0" w:rsidRDefault="009F11F9" w:rsidP="009F11F9">
      <w:pPr>
        <w:spacing w:after="0" w:line="480" w:lineRule="auto"/>
        <w:rPr>
          <w:rFonts w:ascii="Times New Roman" w:hAnsi="Times New Roman"/>
          <w:lang w:val="es-ES_tradnl"/>
        </w:rPr>
      </w:pPr>
    </w:p>
    <w:p w14:paraId="5AF1B7C4" w14:textId="77777777" w:rsidR="009F11F9" w:rsidRPr="006569D0" w:rsidRDefault="009F11F9" w:rsidP="009F11F9">
      <w:pPr>
        <w:spacing w:after="0" w:line="480" w:lineRule="auto"/>
        <w:rPr>
          <w:rFonts w:ascii="Times New Roman" w:hAnsi="Times New Roman"/>
          <w:lang w:val="es-ES_tradnl"/>
        </w:rPr>
      </w:pPr>
    </w:p>
    <w:p w14:paraId="158FFD03" w14:textId="77777777" w:rsidR="00144AFA" w:rsidRPr="006569D0" w:rsidRDefault="00595173" w:rsidP="001C6B1A">
      <w:pPr>
        <w:pStyle w:val="Prrafodelista"/>
        <w:numPr>
          <w:ilvl w:val="0"/>
          <w:numId w:val="9"/>
        </w:numPr>
        <w:spacing w:after="0" w:line="480" w:lineRule="auto"/>
        <w:ind w:hanging="644"/>
        <w:jc w:val="both"/>
        <w:rPr>
          <w:rFonts w:ascii="Times New Roman" w:hAnsi="Times New Roman"/>
          <w:b/>
          <w:sz w:val="24"/>
          <w:lang w:val="es-ES_tradnl"/>
        </w:rPr>
      </w:pPr>
      <w:r w:rsidRPr="006569D0">
        <w:rPr>
          <w:rFonts w:ascii="Times New Roman" w:hAnsi="Times New Roman"/>
          <w:b/>
          <w:sz w:val="24"/>
          <w:lang w:val="es-ES_tradnl"/>
        </w:rPr>
        <w:lastRenderedPageBreak/>
        <w:t>Impactos en la Estrategia Nacional de Desarrollo</w:t>
      </w:r>
    </w:p>
    <w:tbl>
      <w:tblPr>
        <w:tblW w:w="9369" w:type="dxa"/>
        <w:jc w:val="center"/>
        <w:tblCellMar>
          <w:left w:w="70" w:type="dxa"/>
          <w:right w:w="70" w:type="dxa"/>
        </w:tblCellMar>
        <w:tblLook w:val="04A0" w:firstRow="1" w:lastRow="0" w:firstColumn="1" w:lastColumn="0" w:noHBand="0" w:noVBand="1"/>
      </w:tblPr>
      <w:tblGrid>
        <w:gridCol w:w="2261"/>
        <w:gridCol w:w="160"/>
        <w:gridCol w:w="1974"/>
        <w:gridCol w:w="160"/>
        <w:gridCol w:w="1846"/>
        <w:gridCol w:w="199"/>
        <w:gridCol w:w="2769"/>
      </w:tblGrid>
      <w:tr w:rsidR="008E2178" w:rsidRPr="006569D0" w14:paraId="13BFF8FF" w14:textId="77777777" w:rsidTr="00212F64">
        <w:trPr>
          <w:trHeight w:val="330"/>
          <w:jc w:val="center"/>
        </w:trPr>
        <w:tc>
          <w:tcPr>
            <w:tcW w:w="2261" w:type="dxa"/>
            <w:tcBorders>
              <w:top w:val="single" w:sz="8" w:space="0" w:color="auto"/>
              <w:left w:val="single" w:sz="8" w:space="0" w:color="auto"/>
              <w:bottom w:val="single" w:sz="4" w:space="0" w:color="auto"/>
              <w:right w:val="single" w:sz="8" w:space="0" w:color="auto"/>
            </w:tcBorders>
            <w:shd w:val="clear" w:color="auto" w:fill="00B050"/>
            <w:noWrap/>
            <w:vAlign w:val="center"/>
            <w:hideMark/>
          </w:tcPr>
          <w:p w14:paraId="4FEA1EA0" w14:textId="77777777" w:rsidR="008E2178" w:rsidRPr="006569D0" w:rsidRDefault="008E2178" w:rsidP="00BB62DA">
            <w:pPr>
              <w:spacing w:after="0" w:line="276" w:lineRule="auto"/>
              <w:jc w:val="center"/>
              <w:rPr>
                <w:rFonts w:ascii="Times New Roman" w:hAnsi="Times New Roman"/>
                <w:b/>
                <w:bCs/>
                <w:color w:val="FFFFFF" w:themeColor="background1"/>
                <w:lang w:eastAsia="es-DO"/>
              </w:rPr>
            </w:pPr>
            <w:r w:rsidRPr="006569D0">
              <w:rPr>
                <w:rFonts w:ascii="Times New Roman" w:hAnsi="Times New Roman"/>
                <w:b/>
                <w:bCs/>
                <w:color w:val="FFFFFF" w:themeColor="background1"/>
                <w:lang w:eastAsia="es-DO"/>
              </w:rPr>
              <w:t>Ejes END</w:t>
            </w:r>
          </w:p>
        </w:tc>
        <w:tc>
          <w:tcPr>
            <w:tcW w:w="160" w:type="dxa"/>
            <w:tcBorders>
              <w:top w:val="nil"/>
              <w:left w:val="nil"/>
              <w:bottom w:val="nil"/>
              <w:right w:val="nil"/>
            </w:tcBorders>
            <w:shd w:val="clear" w:color="auto" w:fill="auto"/>
            <w:noWrap/>
            <w:vAlign w:val="center"/>
            <w:hideMark/>
          </w:tcPr>
          <w:p w14:paraId="63A5C55A" w14:textId="77777777" w:rsidR="008E2178" w:rsidRPr="006569D0" w:rsidRDefault="008E2178" w:rsidP="00BB62DA">
            <w:pPr>
              <w:spacing w:after="0" w:line="276" w:lineRule="auto"/>
              <w:jc w:val="center"/>
              <w:rPr>
                <w:rFonts w:ascii="Times New Roman" w:hAnsi="Times New Roman"/>
                <w:b/>
                <w:bCs/>
                <w:lang w:eastAsia="es-DO"/>
              </w:rPr>
            </w:pPr>
          </w:p>
        </w:tc>
        <w:tc>
          <w:tcPr>
            <w:tcW w:w="1974" w:type="dxa"/>
            <w:tcBorders>
              <w:top w:val="single" w:sz="8" w:space="0" w:color="auto"/>
              <w:left w:val="single" w:sz="8" w:space="0" w:color="auto"/>
              <w:bottom w:val="single" w:sz="4" w:space="0" w:color="auto"/>
              <w:right w:val="single" w:sz="8" w:space="0" w:color="auto"/>
            </w:tcBorders>
            <w:shd w:val="clear" w:color="auto" w:fill="00B050"/>
            <w:noWrap/>
            <w:vAlign w:val="center"/>
            <w:hideMark/>
          </w:tcPr>
          <w:p w14:paraId="6990F6BE" w14:textId="77777777" w:rsidR="008E2178" w:rsidRPr="006569D0" w:rsidRDefault="008E2178" w:rsidP="00BB62DA">
            <w:pPr>
              <w:spacing w:after="0" w:line="276" w:lineRule="auto"/>
              <w:jc w:val="center"/>
              <w:rPr>
                <w:rFonts w:ascii="Times New Roman" w:hAnsi="Times New Roman"/>
                <w:b/>
                <w:bCs/>
                <w:color w:val="FFFFFF" w:themeColor="background1"/>
                <w:lang w:eastAsia="es-DO"/>
              </w:rPr>
            </w:pPr>
            <w:r w:rsidRPr="006569D0">
              <w:rPr>
                <w:rFonts w:ascii="Times New Roman" w:hAnsi="Times New Roman"/>
                <w:b/>
                <w:bCs/>
                <w:color w:val="FFFFFF" w:themeColor="background1"/>
                <w:lang w:eastAsia="es-DO"/>
              </w:rPr>
              <w:t>Objetivos</w:t>
            </w:r>
          </w:p>
        </w:tc>
        <w:tc>
          <w:tcPr>
            <w:tcW w:w="160" w:type="dxa"/>
            <w:tcBorders>
              <w:top w:val="nil"/>
              <w:left w:val="nil"/>
              <w:bottom w:val="nil"/>
              <w:right w:val="nil"/>
            </w:tcBorders>
            <w:shd w:val="clear" w:color="auto" w:fill="auto"/>
            <w:noWrap/>
            <w:vAlign w:val="center"/>
            <w:hideMark/>
          </w:tcPr>
          <w:p w14:paraId="7956CA2F" w14:textId="77777777" w:rsidR="008E2178" w:rsidRPr="006569D0" w:rsidRDefault="008E2178" w:rsidP="00BB62DA">
            <w:pPr>
              <w:spacing w:after="0" w:line="276" w:lineRule="auto"/>
              <w:jc w:val="center"/>
              <w:rPr>
                <w:rFonts w:ascii="Times New Roman" w:hAnsi="Times New Roman"/>
                <w:b/>
                <w:bCs/>
                <w:lang w:eastAsia="es-DO"/>
              </w:rPr>
            </w:pPr>
          </w:p>
        </w:tc>
        <w:tc>
          <w:tcPr>
            <w:tcW w:w="1846" w:type="dxa"/>
            <w:tcBorders>
              <w:top w:val="single" w:sz="8" w:space="0" w:color="auto"/>
              <w:left w:val="single" w:sz="8" w:space="0" w:color="auto"/>
              <w:bottom w:val="single" w:sz="8" w:space="0" w:color="auto"/>
              <w:right w:val="single" w:sz="8" w:space="0" w:color="auto"/>
            </w:tcBorders>
            <w:shd w:val="clear" w:color="auto" w:fill="00B050"/>
            <w:noWrap/>
            <w:vAlign w:val="center"/>
            <w:hideMark/>
          </w:tcPr>
          <w:p w14:paraId="1197743F" w14:textId="77777777" w:rsidR="008E2178" w:rsidRPr="006569D0" w:rsidRDefault="008E2178" w:rsidP="00BB62DA">
            <w:pPr>
              <w:spacing w:after="0" w:line="276" w:lineRule="auto"/>
              <w:jc w:val="center"/>
              <w:rPr>
                <w:rFonts w:ascii="Times New Roman" w:hAnsi="Times New Roman"/>
                <w:b/>
                <w:bCs/>
                <w:color w:val="FFFFFF" w:themeColor="background1"/>
                <w:lang w:eastAsia="es-DO"/>
              </w:rPr>
            </w:pPr>
            <w:r w:rsidRPr="006569D0">
              <w:rPr>
                <w:rFonts w:ascii="Times New Roman" w:hAnsi="Times New Roman"/>
                <w:b/>
                <w:bCs/>
                <w:color w:val="FFFFFF" w:themeColor="background1"/>
                <w:lang w:eastAsia="es-DO"/>
              </w:rPr>
              <w:t>Planes Institucionales</w:t>
            </w:r>
          </w:p>
        </w:tc>
        <w:tc>
          <w:tcPr>
            <w:tcW w:w="199" w:type="dxa"/>
            <w:tcBorders>
              <w:top w:val="nil"/>
              <w:left w:val="nil"/>
              <w:bottom w:val="nil"/>
              <w:right w:val="nil"/>
            </w:tcBorders>
            <w:shd w:val="clear" w:color="auto" w:fill="auto"/>
            <w:noWrap/>
            <w:vAlign w:val="center"/>
            <w:hideMark/>
          </w:tcPr>
          <w:p w14:paraId="7A53626F" w14:textId="77777777" w:rsidR="008E2178" w:rsidRPr="006569D0" w:rsidRDefault="008E2178" w:rsidP="00BB62DA">
            <w:pPr>
              <w:spacing w:after="0" w:line="276" w:lineRule="auto"/>
              <w:jc w:val="center"/>
              <w:rPr>
                <w:rFonts w:ascii="Times New Roman" w:hAnsi="Times New Roman"/>
                <w:b/>
                <w:bCs/>
                <w:lang w:eastAsia="es-DO"/>
              </w:rPr>
            </w:pPr>
          </w:p>
        </w:tc>
        <w:tc>
          <w:tcPr>
            <w:tcW w:w="2769" w:type="dxa"/>
            <w:tcBorders>
              <w:top w:val="single" w:sz="8" w:space="0" w:color="auto"/>
              <w:left w:val="single" w:sz="8" w:space="0" w:color="auto"/>
              <w:bottom w:val="single" w:sz="8" w:space="0" w:color="auto"/>
              <w:right w:val="single" w:sz="8" w:space="0" w:color="auto"/>
            </w:tcBorders>
            <w:shd w:val="clear" w:color="auto" w:fill="00B050"/>
            <w:noWrap/>
            <w:vAlign w:val="center"/>
            <w:hideMark/>
          </w:tcPr>
          <w:p w14:paraId="6BF43C73" w14:textId="14D7F65E" w:rsidR="008E2178" w:rsidRPr="006569D0" w:rsidRDefault="00FC7F9B" w:rsidP="00BB62DA">
            <w:pPr>
              <w:spacing w:after="0" w:line="276" w:lineRule="auto"/>
              <w:jc w:val="center"/>
              <w:rPr>
                <w:rFonts w:ascii="Times New Roman" w:hAnsi="Times New Roman"/>
                <w:b/>
                <w:bCs/>
                <w:color w:val="FFFFFF" w:themeColor="background1"/>
                <w:lang w:eastAsia="es-DO"/>
              </w:rPr>
            </w:pPr>
            <w:r w:rsidRPr="006569D0">
              <w:rPr>
                <w:rFonts w:ascii="Times New Roman" w:hAnsi="Times New Roman"/>
                <w:b/>
                <w:bCs/>
                <w:color w:val="FFFFFF" w:themeColor="background1"/>
                <w:lang w:eastAsia="es-DO"/>
              </w:rPr>
              <w:t>Resultado</w:t>
            </w:r>
          </w:p>
        </w:tc>
      </w:tr>
      <w:tr w:rsidR="00AD644E" w:rsidRPr="006569D0" w14:paraId="234D68F4" w14:textId="77777777" w:rsidTr="00212F64">
        <w:trPr>
          <w:trHeight w:val="2012"/>
          <w:jc w:val="center"/>
        </w:trPr>
        <w:tc>
          <w:tcPr>
            <w:tcW w:w="2261"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46C013CC" w14:textId="4D9E5176" w:rsidR="00AD644E" w:rsidRPr="006569D0" w:rsidRDefault="00AD644E" w:rsidP="00212F64">
            <w:pPr>
              <w:spacing w:after="0" w:line="276" w:lineRule="auto"/>
              <w:jc w:val="center"/>
              <w:rPr>
                <w:rFonts w:ascii="Times New Roman" w:hAnsi="Times New Roman"/>
                <w:lang w:eastAsia="es-DO"/>
              </w:rPr>
            </w:pPr>
            <w:r w:rsidRPr="006569D0">
              <w:rPr>
                <w:rFonts w:ascii="Times New Roman" w:hAnsi="Times New Roman"/>
                <w:lang w:eastAsia="es-DO"/>
              </w:rPr>
              <w:t>El 2</w:t>
            </w:r>
            <w:r w:rsidRPr="006569D0">
              <w:rPr>
                <w:rFonts w:ascii="Times New Roman" w:hAnsi="Times New Roman"/>
                <w:vertAlign w:val="superscript"/>
                <w:lang w:eastAsia="es-DO"/>
              </w:rPr>
              <w:t>do</w:t>
            </w:r>
            <w:r w:rsidRPr="006569D0">
              <w:rPr>
                <w:rFonts w:ascii="Times New Roman" w:hAnsi="Times New Roman"/>
                <w:lang w:eastAsia="es-DO"/>
              </w:rPr>
              <w:t xml:space="preserve"> Eje, se refiere al impulso de la productividad y competitividad del Sector Agropecuario y promoción de las agro-exportaciones.</w:t>
            </w:r>
          </w:p>
        </w:tc>
        <w:tc>
          <w:tcPr>
            <w:tcW w:w="160" w:type="dxa"/>
            <w:tcBorders>
              <w:top w:val="nil"/>
              <w:left w:val="nil"/>
              <w:bottom w:val="nil"/>
              <w:right w:val="nil"/>
            </w:tcBorders>
            <w:shd w:val="clear" w:color="auto" w:fill="auto"/>
            <w:vAlign w:val="center"/>
            <w:hideMark/>
          </w:tcPr>
          <w:p w14:paraId="51C445AF" w14:textId="77777777" w:rsidR="00AD644E" w:rsidRPr="006569D0" w:rsidRDefault="00AD644E" w:rsidP="00BB62DA">
            <w:pPr>
              <w:spacing w:after="0" w:line="276" w:lineRule="auto"/>
              <w:jc w:val="both"/>
              <w:rPr>
                <w:rFonts w:ascii="Times New Roman" w:hAnsi="Times New Roman"/>
                <w:lang w:eastAsia="es-DO"/>
              </w:rPr>
            </w:pPr>
          </w:p>
        </w:tc>
        <w:tc>
          <w:tcPr>
            <w:tcW w:w="1974"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71B23CD6" w14:textId="77777777" w:rsidR="00AD644E" w:rsidRPr="006569D0" w:rsidRDefault="00AD644E" w:rsidP="00BB62DA">
            <w:pPr>
              <w:spacing w:after="0" w:line="276" w:lineRule="auto"/>
              <w:jc w:val="center"/>
              <w:rPr>
                <w:rFonts w:ascii="Times New Roman" w:hAnsi="Times New Roman"/>
                <w:lang w:eastAsia="es-DO"/>
              </w:rPr>
            </w:pPr>
            <w:r w:rsidRPr="006569D0">
              <w:rPr>
                <w:rFonts w:ascii="Times New Roman" w:hAnsi="Times New Roman"/>
                <w:lang w:eastAsia="es-DO"/>
              </w:rPr>
              <w:t>Elevar la productividad y competitividad de las cadenas agroproductivas, en condiciones de sostenibilidad ambiental, a fin de garantizar la seguridad alimentaria de la población dominicana.</w:t>
            </w:r>
          </w:p>
        </w:tc>
        <w:tc>
          <w:tcPr>
            <w:tcW w:w="160" w:type="dxa"/>
            <w:tcBorders>
              <w:top w:val="nil"/>
              <w:left w:val="nil"/>
              <w:bottom w:val="nil"/>
              <w:right w:val="nil"/>
            </w:tcBorders>
            <w:shd w:val="clear" w:color="auto" w:fill="auto"/>
            <w:vAlign w:val="center"/>
            <w:hideMark/>
          </w:tcPr>
          <w:p w14:paraId="5DD4DE05" w14:textId="77777777" w:rsidR="00AD644E" w:rsidRPr="006569D0" w:rsidRDefault="00AD644E" w:rsidP="00BB62DA">
            <w:pPr>
              <w:spacing w:after="0" w:line="276" w:lineRule="auto"/>
              <w:jc w:val="both"/>
              <w:rPr>
                <w:rFonts w:ascii="Times New Roman" w:hAnsi="Times New Roman"/>
                <w:lang w:eastAsia="es-DO"/>
              </w:rPr>
            </w:pPr>
          </w:p>
        </w:tc>
        <w:tc>
          <w:tcPr>
            <w:tcW w:w="1846"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23D5671E" w14:textId="77777777" w:rsidR="00AD644E" w:rsidRPr="006569D0" w:rsidRDefault="00AD644E" w:rsidP="00AD644E">
            <w:pPr>
              <w:spacing w:after="0" w:line="276" w:lineRule="auto"/>
              <w:jc w:val="center"/>
              <w:rPr>
                <w:rFonts w:ascii="Times New Roman" w:hAnsi="Times New Roman"/>
                <w:lang w:eastAsia="es-DO"/>
              </w:rPr>
            </w:pPr>
            <w:r w:rsidRPr="006569D0">
              <w:rPr>
                <w:rFonts w:ascii="Times New Roman" w:hAnsi="Times New Roman"/>
                <w:lang w:eastAsia="es-DO"/>
              </w:rPr>
              <w:t>Plan Estratégico Institucional, PEI:</w:t>
            </w:r>
          </w:p>
          <w:p w14:paraId="4A563E75" w14:textId="7AA56488" w:rsidR="00AD644E" w:rsidRPr="006569D0" w:rsidRDefault="00AD644E" w:rsidP="00AD644E">
            <w:pPr>
              <w:spacing w:after="0" w:line="276" w:lineRule="auto"/>
              <w:jc w:val="center"/>
              <w:rPr>
                <w:rFonts w:ascii="Times New Roman" w:hAnsi="Times New Roman"/>
                <w:lang w:eastAsia="es-DO"/>
              </w:rPr>
            </w:pPr>
            <w:r w:rsidRPr="006569D0">
              <w:rPr>
                <w:rFonts w:ascii="Times New Roman" w:hAnsi="Times New Roman"/>
                <w:lang w:eastAsia="es-DO"/>
              </w:rPr>
              <w:t xml:space="preserve">10 años </w:t>
            </w:r>
          </w:p>
          <w:p w14:paraId="69A6E3C5" w14:textId="66CB4B96" w:rsidR="00AD644E" w:rsidRPr="006569D0" w:rsidRDefault="00AD644E" w:rsidP="00BB62DA">
            <w:pPr>
              <w:spacing w:after="0" w:line="276" w:lineRule="auto"/>
              <w:jc w:val="center"/>
              <w:rPr>
                <w:rFonts w:ascii="Times New Roman" w:hAnsi="Times New Roman"/>
                <w:lang w:eastAsia="es-DO"/>
              </w:rPr>
            </w:pPr>
          </w:p>
        </w:tc>
        <w:tc>
          <w:tcPr>
            <w:tcW w:w="199" w:type="dxa"/>
            <w:tcBorders>
              <w:top w:val="nil"/>
              <w:left w:val="nil"/>
              <w:bottom w:val="nil"/>
              <w:right w:val="nil"/>
            </w:tcBorders>
            <w:shd w:val="clear" w:color="auto" w:fill="auto"/>
            <w:vAlign w:val="center"/>
            <w:hideMark/>
          </w:tcPr>
          <w:p w14:paraId="427CF188" w14:textId="77777777" w:rsidR="00AD644E" w:rsidRPr="006569D0" w:rsidRDefault="00AD644E" w:rsidP="00BB62DA">
            <w:pPr>
              <w:spacing w:after="0" w:line="276" w:lineRule="auto"/>
              <w:jc w:val="both"/>
              <w:rPr>
                <w:rFonts w:ascii="Times New Roman" w:hAnsi="Times New Roman"/>
                <w:lang w:eastAsia="es-DO"/>
              </w:rPr>
            </w:pPr>
          </w:p>
        </w:tc>
        <w:tc>
          <w:tcPr>
            <w:tcW w:w="2769" w:type="dxa"/>
            <w:vMerge w:val="restart"/>
            <w:tcBorders>
              <w:top w:val="single" w:sz="8" w:space="0" w:color="auto"/>
              <w:left w:val="single" w:sz="8" w:space="0" w:color="auto"/>
              <w:right w:val="single" w:sz="8" w:space="0" w:color="auto"/>
            </w:tcBorders>
            <w:shd w:val="clear" w:color="auto" w:fill="auto"/>
            <w:vAlign w:val="center"/>
            <w:hideMark/>
          </w:tcPr>
          <w:p w14:paraId="119ED52C" w14:textId="0D821E42" w:rsidR="00AD644E" w:rsidRPr="006569D0" w:rsidRDefault="00AD644E" w:rsidP="00AD644E">
            <w:pPr>
              <w:spacing w:after="0" w:line="276" w:lineRule="auto"/>
              <w:jc w:val="center"/>
              <w:rPr>
                <w:rFonts w:ascii="Times New Roman" w:hAnsi="Times New Roman"/>
                <w:lang w:eastAsia="es-DO"/>
              </w:rPr>
            </w:pPr>
            <w:r w:rsidRPr="006569D0">
              <w:rPr>
                <w:rFonts w:ascii="Times New Roman" w:hAnsi="Times New Roman"/>
                <w:lang w:eastAsia="es-DO"/>
              </w:rPr>
              <w:t>Fortalecimiento Institucional, visión al año 2050</w:t>
            </w:r>
          </w:p>
          <w:p w14:paraId="1564C2F1" w14:textId="77777777" w:rsidR="00AD644E" w:rsidRPr="006569D0" w:rsidRDefault="00AD644E" w:rsidP="00A22C53">
            <w:pPr>
              <w:spacing w:after="0" w:line="276" w:lineRule="auto"/>
              <w:jc w:val="center"/>
              <w:rPr>
                <w:rFonts w:ascii="Times New Roman" w:hAnsi="Times New Roman"/>
                <w:lang w:eastAsia="es-DO"/>
              </w:rPr>
            </w:pPr>
          </w:p>
          <w:p w14:paraId="7A75F027" w14:textId="77777777" w:rsidR="00AD644E" w:rsidRPr="006569D0" w:rsidRDefault="00AD644E" w:rsidP="00A22C53">
            <w:pPr>
              <w:spacing w:after="0" w:line="276" w:lineRule="auto"/>
              <w:jc w:val="center"/>
              <w:rPr>
                <w:rFonts w:ascii="Times New Roman" w:hAnsi="Times New Roman"/>
                <w:lang w:eastAsia="es-DO"/>
              </w:rPr>
            </w:pPr>
            <w:r w:rsidRPr="006569D0">
              <w:rPr>
                <w:rFonts w:ascii="Times New Roman" w:hAnsi="Times New Roman"/>
                <w:lang w:eastAsia="es-DO"/>
              </w:rPr>
              <w:t xml:space="preserve">Establecimiento de pilares agropecuarios para garantizar el desarrollo del sector. </w:t>
            </w:r>
          </w:p>
          <w:p w14:paraId="4A8F50E5" w14:textId="77777777" w:rsidR="00AD644E" w:rsidRPr="006569D0" w:rsidRDefault="00AD644E" w:rsidP="00A22C53">
            <w:pPr>
              <w:spacing w:after="0" w:line="276" w:lineRule="auto"/>
              <w:jc w:val="center"/>
              <w:rPr>
                <w:rFonts w:ascii="Times New Roman" w:hAnsi="Times New Roman"/>
                <w:lang w:eastAsia="es-DO"/>
              </w:rPr>
            </w:pPr>
          </w:p>
          <w:p w14:paraId="3676F1DB" w14:textId="60A37659" w:rsidR="00AD644E" w:rsidRPr="006569D0" w:rsidRDefault="00AD644E" w:rsidP="00A22C53">
            <w:pPr>
              <w:spacing w:after="0" w:line="276" w:lineRule="auto"/>
              <w:jc w:val="center"/>
              <w:rPr>
                <w:rFonts w:ascii="Times New Roman" w:hAnsi="Times New Roman"/>
                <w:lang w:eastAsia="es-DO"/>
              </w:rPr>
            </w:pPr>
            <w:r w:rsidRPr="006569D0">
              <w:rPr>
                <w:rFonts w:ascii="Times New Roman" w:hAnsi="Times New Roman"/>
                <w:lang w:eastAsia="es-DO"/>
              </w:rPr>
              <w:t xml:space="preserve">El equivalente a más del 85 por ciento de los alimentos </w:t>
            </w:r>
            <w:r w:rsidR="00F04BD3">
              <w:rPr>
                <w:rFonts w:ascii="Times New Roman" w:hAnsi="Times New Roman"/>
                <w:lang w:eastAsia="es-DO"/>
              </w:rPr>
              <w:t>consumido por</w:t>
            </w:r>
            <w:r w:rsidRPr="006569D0">
              <w:rPr>
                <w:rFonts w:ascii="Times New Roman" w:hAnsi="Times New Roman"/>
                <w:lang w:eastAsia="es-DO"/>
              </w:rPr>
              <w:t xml:space="preserve"> la población dominicana es generado por los productores agropecuarios del país.</w:t>
            </w:r>
          </w:p>
          <w:p w14:paraId="6E9ED70F" w14:textId="77777777" w:rsidR="00AD644E" w:rsidRPr="006569D0" w:rsidRDefault="00AD644E" w:rsidP="00A22C53">
            <w:pPr>
              <w:spacing w:after="0" w:line="276" w:lineRule="auto"/>
              <w:jc w:val="center"/>
              <w:rPr>
                <w:rFonts w:ascii="Times New Roman" w:hAnsi="Times New Roman"/>
                <w:lang w:eastAsia="es-DO"/>
              </w:rPr>
            </w:pPr>
          </w:p>
          <w:p w14:paraId="4E4AB6A3" w14:textId="4155DDBC" w:rsidR="00AD644E" w:rsidRPr="006569D0" w:rsidRDefault="00AD644E" w:rsidP="00AD644E">
            <w:pPr>
              <w:spacing w:after="0" w:line="276" w:lineRule="auto"/>
              <w:jc w:val="center"/>
              <w:rPr>
                <w:rFonts w:ascii="Times New Roman" w:hAnsi="Times New Roman"/>
                <w:lang w:eastAsia="es-DO"/>
              </w:rPr>
            </w:pPr>
            <w:r w:rsidRPr="006569D0">
              <w:rPr>
                <w:rFonts w:ascii="Times New Roman" w:hAnsi="Times New Roman"/>
                <w:lang w:eastAsia="es-DO"/>
              </w:rPr>
              <w:t>El 24 por ciento de las exportaciones del p</w:t>
            </w:r>
            <w:r w:rsidR="00212F64" w:rsidRPr="006569D0">
              <w:rPr>
                <w:rFonts w:ascii="Times New Roman" w:hAnsi="Times New Roman"/>
                <w:lang w:eastAsia="es-DO"/>
              </w:rPr>
              <w:t xml:space="preserve">aís son de productos de origen </w:t>
            </w:r>
            <w:r w:rsidRPr="006569D0">
              <w:rPr>
                <w:rFonts w:ascii="Times New Roman" w:hAnsi="Times New Roman"/>
                <w:lang w:eastAsia="es-DO"/>
              </w:rPr>
              <w:t>agropecuario.</w:t>
            </w:r>
          </w:p>
        </w:tc>
      </w:tr>
      <w:tr w:rsidR="00AD644E" w:rsidRPr="006569D0" w14:paraId="62BD4563" w14:textId="77777777" w:rsidTr="00212F64">
        <w:trPr>
          <w:trHeight w:val="1905"/>
          <w:jc w:val="center"/>
        </w:trPr>
        <w:tc>
          <w:tcPr>
            <w:tcW w:w="2261" w:type="dxa"/>
            <w:vMerge/>
            <w:tcBorders>
              <w:top w:val="single" w:sz="8" w:space="0" w:color="000000"/>
              <w:left w:val="single" w:sz="8" w:space="0" w:color="auto"/>
              <w:bottom w:val="single" w:sz="8" w:space="0" w:color="000000"/>
              <w:right w:val="single" w:sz="8" w:space="0" w:color="auto"/>
            </w:tcBorders>
            <w:vAlign w:val="center"/>
          </w:tcPr>
          <w:p w14:paraId="6BC01508" w14:textId="77777777" w:rsidR="00AD644E" w:rsidRPr="006569D0" w:rsidRDefault="00AD644E" w:rsidP="00BB62DA">
            <w:pPr>
              <w:spacing w:after="0" w:line="276" w:lineRule="auto"/>
              <w:jc w:val="both"/>
              <w:rPr>
                <w:rFonts w:ascii="Times New Roman" w:hAnsi="Times New Roman"/>
                <w:lang w:eastAsia="es-DO"/>
              </w:rPr>
            </w:pPr>
          </w:p>
        </w:tc>
        <w:tc>
          <w:tcPr>
            <w:tcW w:w="160" w:type="dxa"/>
            <w:tcBorders>
              <w:top w:val="nil"/>
              <w:left w:val="nil"/>
              <w:bottom w:val="nil"/>
              <w:right w:val="nil"/>
            </w:tcBorders>
            <w:shd w:val="clear" w:color="auto" w:fill="auto"/>
            <w:vAlign w:val="center"/>
          </w:tcPr>
          <w:p w14:paraId="42F3BD2E" w14:textId="77777777" w:rsidR="00AD644E" w:rsidRPr="006569D0" w:rsidRDefault="00AD644E" w:rsidP="00BB62DA">
            <w:pPr>
              <w:spacing w:after="0" w:line="276" w:lineRule="auto"/>
              <w:jc w:val="both"/>
              <w:rPr>
                <w:rFonts w:ascii="Times New Roman" w:hAnsi="Times New Roman"/>
                <w:lang w:eastAsia="es-DO"/>
              </w:rPr>
            </w:pPr>
          </w:p>
        </w:tc>
        <w:tc>
          <w:tcPr>
            <w:tcW w:w="1974" w:type="dxa"/>
            <w:vMerge/>
            <w:tcBorders>
              <w:top w:val="single" w:sz="8" w:space="0" w:color="000000"/>
              <w:left w:val="single" w:sz="8" w:space="0" w:color="auto"/>
              <w:bottom w:val="single" w:sz="8" w:space="0" w:color="000000"/>
              <w:right w:val="single" w:sz="8" w:space="0" w:color="auto"/>
            </w:tcBorders>
            <w:vAlign w:val="center"/>
          </w:tcPr>
          <w:p w14:paraId="1BAD6F7F" w14:textId="77777777" w:rsidR="00AD644E" w:rsidRPr="006569D0" w:rsidRDefault="00AD644E" w:rsidP="00BB62DA">
            <w:pPr>
              <w:spacing w:after="0" w:line="276" w:lineRule="auto"/>
              <w:jc w:val="both"/>
              <w:rPr>
                <w:rFonts w:ascii="Times New Roman" w:hAnsi="Times New Roman"/>
                <w:lang w:eastAsia="es-DO"/>
              </w:rPr>
            </w:pPr>
          </w:p>
        </w:tc>
        <w:tc>
          <w:tcPr>
            <w:tcW w:w="160" w:type="dxa"/>
            <w:tcBorders>
              <w:top w:val="nil"/>
              <w:left w:val="nil"/>
              <w:bottom w:val="nil"/>
              <w:right w:val="nil"/>
            </w:tcBorders>
            <w:shd w:val="clear" w:color="auto" w:fill="auto"/>
            <w:vAlign w:val="center"/>
          </w:tcPr>
          <w:p w14:paraId="679B102F" w14:textId="77777777" w:rsidR="00AD644E" w:rsidRPr="006569D0" w:rsidRDefault="00AD644E" w:rsidP="00BB62DA">
            <w:pPr>
              <w:spacing w:after="0" w:line="276" w:lineRule="auto"/>
              <w:jc w:val="both"/>
              <w:rPr>
                <w:rFonts w:ascii="Times New Roman" w:hAnsi="Times New Roman"/>
                <w:lang w:eastAsia="es-DO"/>
              </w:rPr>
            </w:pPr>
          </w:p>
        </w:tc>
        <w:tc>
          <w:tcPr>
            <w:tcW w:w="1846" w:type="dxa"/>
            <w:tcBorders>
              <w:top w:val="single" w:sz="4" w:space="0" w:color="auto"/>
              <w:left w:val="single" w:sz="8" w:space="0" w:color="auto"/>
              <w:bottom w:val="single" w:sz="4" w:space="0" w:color="auto"/>
              <w:right w:val="single" w:sz="8" w:space="0" w:color="auto"/>
            </w:tcBorders>
            <w:shd w:val="clear" w:color="auto" w:fill="auto"/>
            <w:vAlign w:val="center"/>
          </w:tcPr>
          <w:p w14:paraId="6FAD473C" w14:textId="0B81D908" w:rsidR="00AD644E" w:rsidRPr="006569D0" w:rsidRDefault="00AD644E" w:rsidP="00AD644E">
            <w:pPr>
              <w:spacing w:after="0" w:line="276" w:lineRule="auto"/>
              <w:jc w:val="center"/>
              <w:rPr>
                <w:rFonts w:ascii="Times New Roman" w:hAnsi="Times New Roman"/>
                <w:lang w:eastAsia="es-DO"/>
              </w:rPr>
            </w:pPr>
            <w:r w:rsidRPr="006569D0">
              <w:rPr>
                <w:rFonts w:ascii="Times New Roman" w:hAnsi="Times New Roman"/>
                <w:lang w:eastAsia="es-DO"/>
              </w:rPr>
              <w:t xml:space="preserve">Plan Plurianual del Sector Público, </w:t>
            </w:r>
          </w:p>
          <w:p w14:paraId="360EC02D" w14:textId="6592B4D7" w:rsidR="00AD644E" w:rsidRPr="006569D0" w:rsidRDefault="00AD644E" w:rsidP="00AD644E">
            <w:pPr>
              <w:spacing w:after="0" w:line="276" w:lineRule="auto"/>
              <w:jc w:val="center"/>
              <w:rPr>
                <w:rFonts w:ascii="Times New Roman" w:hAnsi="Times New Roman"/>
                <w:lang w:eastAsia="es-DO"/>
              </w:rPr>
            </w:pPr>
            <w:r w:rsidRPr="006569D0">
              <w:rPr>
                <w:rFonts w:ascii="Times New Roman" w:hAnsi="Times New Roman"/>
                <w:lang w:eastAsia="es-DO"/>
              </w:rPr>
              <w:t xml:space="preserve">PNPSP: </w:t>
            </w:r>
          </w:p>
          <w:p w14:paraId="2C469ED9" w14:textId="6EEF411B" w:rsidR="00AD644E" w:rsidRPr="006569D0" w:rsidRDefault="00AD644E" w:rsidP="00AD644E">
            <w:pPr>
              <w:spacing w:after="0" w:line="276" w:lineRule="auto"/>
              <w:jc w:val="center"/>
              <w:rPr>
                <w:rFonts w:ascii="Times New Roman" w:hAnsi="Times New Roman"/>
                <w:lang w:eastAsia="es-DO"/>
              </w:rPr>
            </w:pPr>
            <w:r w:rsidRPr="006569D0">
              <w:rPr>
                <w:rFonts w:ascii="Times New Roman" w:hAnsi="Times New Roman"/>
                <w:lang w:eastAsia="es-DO"/>
              </w:rPr>
              <w:t>4 años</w:t>
            </w:r>
          </w:p>
        </w:tc>
        <w:tc>
          <w:tcPr>
            <w:tcW w:w="199" w:type="dxa"/>
            <w:tcBorders>
              <w:top w:val="nil"/>
              <w:left w:val="nil"/>
              <w:bottom w:val="nil"/>
              <w:right w:val="nil"/>
            </w:tcBorders>
            <w:shd w:val="clear" w:color="auto" w:fill="auto"/>
            <w:vAlign w:val="center"/>
          </w:tcPr>
          <w:p w14:paraId="2C48C0ED" w14:textId="77777777" w:rsidR="00AD644E" w:rsidRPr="006569D0" w:rsidRDefault="00AD644E" w:rsidP="00BB62DA">
            <w:pPr>
              <w:spacing w:after="0" w:line="276" w:lineRule="auto"/>
              <w:jc w:val="both"/>
              <w:rPr>
                <w:rFonts w:ascii="Times New Roman" w:hAnsi="Times New Roman"/>
                <w:lang w:eastAsia="es-DO"/>
              </w:rPr>
            </w:pPr>
          </w:p>
        </w:tc>
        <w:tc>
          <w:tcPr>
            <w:tcW w:w="2769" w:type="dxa"/>
            <w:vMerge/>
            <w:tcBorders>
              <w:left w:val="single" w:sz="8" w:space="0" w:color="auto"/>
              <w:right w:val="single" w:sz="8" w:space="0" w:color="auto"/>
            </w:tcBorders>
            <w:shd w:val="clear" w:color="auto" w:fill="auto"/>
            <w:vAlign w:val="center"/>
          </w:tcPr>
          <w:p w14:paraId="7E1E129E" w14:textId="3FF95BAC" w:rsidR="00AD644E" w:rsidRPr="006569D0" w:rsidRDefault="00AD644E" w:rsidP="00310BE9">
            <w:pPr>
              <w:spacing w:after="0" w:line="276" w:lineRule="auto"/>
              <w:jc w:val="center"/>
              <w:rPr>
                <w:rFonts w:ascii="Times New Roman" w:hAnsi="Times New Roman"/>
                <w:lang w:eastAsia="es-DO"/>
              </w:rPr>
            </w:pPr>
          </w:p>
        </w:tc>
      </w:tr>
      <w:tr w:rsidR="00AD644E" w:rsidRPr="006569D0" w14:paraId="7CFBC824" w14:textId="77777777" w:rsidTr="00212F64">
        <w:trPr>
          <w:trHeight w:val="1905"/>
          <w:jc w:val="center"/>
        </w:trPr>
        <w:tc>
          <w:tcPr>
            <w:tcW w:w="2261" w:type="dxa"/>
            <w:vMerge/>
            <w:tcBorders>
              <w:top w:val="single" w:sz="8" w:space="0" w:color="000000"/>
              <w:left w:val="single" w:sz="8" w:space="0" w:color="auto"/>
              <w:bottom w:val="single" w:sz="8" w:space="0" w:color="000000"/>
              <w:right w:val="single" w:sz="8" w:space="0" w:color="auto"/>
            </w:tcBorders>
            <w:vAlign w:val="center"/>
            <w:hideMark/>
          </w:tcPr>
          <w:p w14:paraId="121BC8E6" w14:textId="77777777" w:rsidR="00AD644E" w:rsidRPr="006569D0" w:rsidRDefault="00AD644E" w:rsidP="00BB62DA">
            <w:pPr>
              <w:spacing w:after="0" w:line="276" w:lineRule="auto"/>
              <w:jc w:val="both"/>
              <w:rPr>
                <w:rFonts w:ascii="Times New Roman" w:hAnsi="Times New Roman"/>
                <w:lang w:eastAsia="es-DO"/>
              </w:rPr>
            </w:pPr>
          </w:p>
        </w:tc>
        <w:tc>
          <w:tcPr>
            <w:tcW w:w="160" w:type="dxa"/>
            <w:tcBorders>
              <w:top w:val="nil"/>
              <w:left w:val="nil"/>
              <w:bottom w:val="nil"/>
              <w:right w:val="nil"/>
            </w:tcBorders>
            <w:shd w:val="clear" w:color="auto" w:fill="auto"/>
            <w:vAlign w:val="center"/>
            <w:hideMark/>
          </w:tcPr>
          <w:p w14:paraId="4EF6E28A" w14:textId="77777777" w:rsidR="00AD644E" w:rsidRPr="006569D0" w:rsidRDefault="00AD644E" w:rsidP="00BB62DA">
            <w:pPr>
              <w:spacing w:after="0" w:line="276" w:lineRule="auto"/>
              <w:jc w:val="both"/>
              <w:rPr>
                <w:rFonts w:ascii="Times New Roman" w:hAnsi="Times New Roman"/>
                <w:lang w:eastAsia="es-DO"/>
              </w:rPr>
            </w:pPr>
          </w:p>
        </w:tc>
        <w:tc>
          <w:tcPr>
            <w:tcW w:w="1974" w:type="dxa"/>
            <w:vMerge/>
            <w:tcBorders>
              <w:top w:val="single" w:sz="8" w:space="0" w:color="000000"/>
              <w:left w:val="single" w:sz="8" w:space="0" w:color="auto"/>
              <w:bottom w:val="single" w:sz="8" w:space="0" w:color="000000"/>
              <w:right w:val="single" w:sz="8" w:space="0" w:color="auto"/>
            </w:tcBorders>
            <w:vAlign w:val="center"/>
            <w:hideMark/>
          </w:tcPr>
          <w:p w14:paraId="705DB0CE" w14:textId="77777777" w:rsidR="00AD644E" w:rsidRPr="006569D0" w:rsidRDefault="00AD644E" w:rsidP="00BB62DA">
            <w:pPr>
              <w:spacing w:after="0" w:line="276" w:lineRule="auto"/>
              <w:jc w:val="both"/>
              <w:rPr>
                <w:rFonts w:ascii="Times New Roman" w:hAnsi="Times New Roman"/>
                <w:lang w:eastAsia="es-DO"/>
              </w:rPr>
            </w:pPr>
          </w:p>
        </w:tc>
        <w:tc>
          <w:tcPr>
            <w:tcW w:w="160" w:type="dxa"/>
            <w:tcBorders>
              <w:top w:val="nil"/>
              <w:left w:val="nil"/>
              <w:bottom w:val="nil"/>
              <w:right w:val="nil"/>
            </w:tcBorders>
            <w:shd w:val="clear" w:color="auto" w:fill="auto"/>
            <w:vAlign w:val="center"/>
            <w:hideMark/>
          </w:tcPr>
          <w:p w14:paraId="5554C585" w14:textId="77777777" w:rsidR="00AD644E" w:rsidRPr="006569D0" w:rsidRDefault="00AD644E" w:rsidP="00BB62DA">
            <w:pPr>
              <w:spacing w:after="0" w:line="276" w:lineRule="auto"/>
              <w:jc w:val="both"/>
              <w:rPr>
                <w:rFonts w:ascii="Times New Roman" w:hAnsi="Times New Roman"/>
                <w:lang w:eastAsia="es-DO"/>
              </w:rPr>
            </w:pPr>
          </w:p>
        </w:tc>
        <w:tc>
          <w:tcPr>
            <w:tcW w:w="1846"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14:paraId="302A74BB" w14:textId="671AA163" w:rsidR="00AD644E" w:rsidRPr="006569D0" w:rsidRDefault="00AD644E" w:rsidP="00E2472F">
            <w:pPr>
              <w:spacing w:after="0" w:line="276" w:lineRule="auto"/>
              <w:jc w:val="center"/>
              <w:rPr>
                <w:rFonts w:ascii="Times New Roman" w:hAnsi="Times New Roman"/>
                <w:lang w:eastAsia="es-DO"/>
              </w:rPr>
            </w:pPr>
            <w:r w:rsidRPr="006569D0">
              <w:rPr>
                <w:rFonts w:ascii="Times New Roman" w:hAnsi="Times New Roman"/>
                <w:lang w:eastAsia="es-DO"/>
              </w:rPr>
              <w:t>Plan Operativo Agropecuario, POA:</w:t>
            </w:r>
          </w:p>
          <w:p w14:paraId="67CCF59C" w14:textId="77777777" w:rsidR="00AD644E" w:rsidRPr="006569D0" w:rsidRDefault="00AD644E" w:rsidP="00E2472F">
            <w:pPr>
              <w:spacing w:after="0" w:line="276" w:lineRule="auto"/>
              <w:jc w:val="center"/>
              <w:rPr>
                <w:rFonts w:ascii="Times New Roman" w:hAnsi="Times New Roman"/>
                <w:lang w:eastAsia="es-DO"/>
              </w:rPr>
            </w:pPr>
            <w:r w:rsidRPr="006569D0">
              <w:rPr>
                <w:rFonts w:ascii="Times New Roman" w:hAnsi="Times New Roman"/>
                <w:lang w:eastAsia="es-DO"/>
              </w:rPr>
              <w:t>1 año.</w:t>
            </w:r>
          </w:p>
        </w:tc>
        <w:tc>
          <w:tcPr>
            <w:tcW w:w="199" w:type="dxa"/>
            <w:tcBorders>
              <w:top w:val="nil"/>
              <w:left w:val="nil"/>
              <w:bottom w:val="nil"/>
              <w:right w:val="nil"/>
            </w:tcBorders>
            <w:shd w:val="clear" w:color="auto" w:fill="auto"/>
            <w:vAlign w:val="center"/>
            <w:hideMark/>
          </w:tcPr>
          <w:p w14:paraId="3CF74D0B" w14:textId="77777777" w:rsidR="00AD644E" w:rsidRPr="006569D0" w:rsidRDefault="00AD644E" w:rsidP="00BB62DA">
            <w:pPr>
              <w:spacing w:after="0" w:line="276" w:lineRule="auto"/>
              <w:jc w:val="both"/>
              <w:rPr>
                <w:rFonts w:ascii="Times New Roman" w:hAnsi="Times New Roman"/>
                <w:lang w:eastAsia="es-DO"/>
              </w:rPr>
            </w:pPr>
          </w:p>
        </w:tc>
        <w:tc>
          <w:tcPr>
            <w:tcW w:w="2769" w:type="dxa"/>
            <w:vMerge/>
            <w:tcBorders>
              <w:left w:val="single" w:sz="8" w:space="0" w:color="auto"/>
              <w:right w:val="single" w:sz="8" w:space="0" w:color="auto"/>
            </w:tcBorders>
            <w:shd w:val="clear" w:color="auto" w:fill="auto"/>
            <w:vAlign w:val="center"/>
            <w:hideMark/>
          </w:tcPr>
          <w:p w14:paraId="765383FF" w14:textId="4F1D8D58" w:rsidR="00AD644E" w:rsidRPr="006569D0" w:rsidRDefault="00AD644E" w:rsidP="00310BE9">
            <w:pPr>
              <w:spacing w:after="0" w:line="276" w:lineRule="auto"/>
              <w:jc w:val="center"/>
              <w:rPr>
                <w:rFonts w:ascii="Times New Roman" w:hAnsi="Times New Roman"/>
                <w:lang w:eastAsia="es-DO"/>
              </w:rPr>
            </w:pPr>
          </w:p>
        </w:tc>
      </w:tr>
      <w:tr w:rsidR="00AD644E" w:rsidRPr="006569D0" w14:paraId="2163D516" w14:textId="77777777" w:rsidTr="00212F64">
        <w:trPr>
          <w:trHeight w:val="60"/>
          <w:jc w:val="center"/>
        </w:trPr>
        <w:tc>
          <w:tcPr>
            <w:tcW w:w="2261" w:type="dxa"/>
            <w:vMerge/>
            <w:tcBorders>
              <w:top w:val="single" w:sz="8" w:space="0" w:color="000000"/>
              <w:left w:val="single" w:sz="8" w:space="0" w:color="auto"/>
              <w:bottom w:val="single" w:sz="8" w:space="0" w:color="000000"/>
              <w:right w:val="single" w:sz="8" w:space="0" w:color="auto"/>
            </w:tcBorders>
            <w:vAlign w:val="center"/>
            <w:hideMark/>
          </w:tcPr>
          <w:p w14:paraId="623A0CAE" w14:textId="34586B37" w:rsidR="00AD644E" w:rsidRPr="006569D0" w:rsidRDefault="00AD644E" w:rsidP="009C4E7F">
            <w:pPr>
              <w:spacing w:after="0" w:line="276" w:lineRule="auto"/>
              <w:ind w:firstLine="720"/>
              <w:jc w:val="both"/>
              <w:rPr>
                <w:rFonts w:ascii="Times New Roman" w:hAnsi="Times New Roman"/>
                <w:lang w:eastAsia="es-DO"/>
              </w:rPr>
            </w:pPr>
          </w:p>
        </w:tc>
        <w:tc>
          <w:tcPr>
            <w:tcW w:w="160" w:type="dxa"/>
            <w:tcBorders>
              <w:top w:val="nil"/>
              <w:left w:val="nil"/>
              <w:bottom w:val="nil"/>
              <w:right w:val="nil"/>
            </w:tcBorders>
            <w:shd w:val="clear" w:color="auto" w:fill="auto"/>
            <w:vAlign w:val="center"/>
            <w:hideMark/>
          </w:tcPr>
          <w:p w14:paraId="680555EF" w14:textId="77777777" w:rsidR="00AD644E" w:rsidRPr="006569D0" w:rsidRDefault="00AD644E" w:rsidP="009C4E7F">
            <w:pPr>
              <w:spacing w:after="0" w:line="276" w:lineRule="auto"/>
              <w:ind w:firstLine="720"/>
              <w:jc w:val="both"/>
              <w:rPr>
                <w:rFonts w:ascii="Times New Roman" w:hAnsi="Times New Roman"/>
                <w:sz w:val="10"/>
                <w:lang w:eastAsia="es-DO"/>
              </w:rPr>
            </w:pPr>
          </w:p>
        </w:tc>
        <w:tc>
          <w:tcPr>
            <w:tcW w:w="1974" w:type="dxa"/>
            <w:vMerge/>
            <w:tcBorders>
              <w:top w:val="single" w:sz="8" w:space="0" w:color="000000"/>
              <w:left w:val="single" w:sz="8" w:space="0" w:color="auto"/>
              <w:bottom w:val="single" w:sz="8" w:space="0" w:color="000000"/>
              <w:right w:val="single" w:sz="8" w:space="0" w:color="auto"/>
            </w:tcBorders>
            <w:vAlign w:val="center"/>
            <w:hideMark/>
          </w:tcPr>
          <w:p w14:paraId="2FBEB327" w14:textId="77777777" w:rsidR="00AD644E" w:rsidRPr="006569D0" w:rsidRDefault="00AD644E" w:rsidP="009C4E7F">
            <w:pPr>
              <w:spacing w:after="0" w:line="276" w:lineRule="auto"/>
              <w:ind w:firstLine="720"/>
              <w:jc w:val="both"/>
              <w:rPr>
                <w:rFonts w:ascii="Times New Roman" w:hAnsi="Times New Roman"/>
                <w:lang w:eastAsia="es-DO"/>
              </w:rPr>
            </w:pPr>
          </w:p>
        </w:tc>
        <w:tc>
          <w:tcPr>
            <w:tcW w:w="160" w:type="dxa"/>
            <w:tcBorders>
              <w:top w:val="nil"/>
              <w:left w:val="nil"/>
              <w:bottom w:val="nil"/>
              <w:right w:val="nil"/>
            </w:tcBorders>
            <w:shd w:val="clear" w:color="auto" w:fill="auto"/>
            <w:vAlign w:val="center"/>
            <w:hideMark/>
          </w:tcPr>
          <w:p w14:paraId="41EBA646" w14:textId="77777777" w:rsidR="00AD644E" w:rsidRPr="006569D0" w:rsidRDefault="00AD644E" w:rsidP="009C4E7F">
            <w:pPr>
              <w:spacing w:after="0" w:line="276" w:lineRule="auto"/>
              <w:ind w:firstLine="720"/>
              <w:jc w:val="both"/>
              <w:rPr>
                <w:rFonts w:ascii="Times New Roman" w:hAnsi="Times New Roman"/>
                <w:sz w:val="10"/>
                <w:szCs w:val="10"/>
                <w:lang w:eastAsia="es-DO"/>
              </w:rPr>
            </w:pPr>
          </w:p>
        </w:tc>
        <w:tc>
          <w:tcPr>
            <w:tcW w:w="1846" w:type="dxa"/>
            <w:vMerge/>
            <w:tcBorders>
              <w:top w:val="single" w:sz="4" w:space="0" w:color="auto"/>
              <w:left w:val="single" w:sz="8" w:space="0" w:color="auto"/>
              <w:bottom w:val="single" w:sz="4" w:space="0" w:color="auto"/>
              <w:right w:val="single" w:sz="8" w:space="0" w:color="auto"/>
            </w:tcBorders>
            <w:vAlign w:val="center"/>
            <w:hideMark/>
          </w:tcPr>
          <w:p w14:paraId="0856B3BC" w14:textId="77777777" w:rsidR="00AD644E" w:rsidRPr="006569D0" w:rsidRDefault="00AD644E" w:rsidP="009C4E7F">
            <w:pPr>
              <w:spacing w:after="0" w:line="276" w:lineRule="auto"/>
              <w:ind w:firstLine="720"/>
              <w:jc w:val="both"/>
              <w:rPr>
                <w:rFonts w:ascii="Times New Roman" w:hAnsi="Times New Roman"/>
                <w:lang w:eastAsia="es-DO"/>
              </w:rPr>
            </w:pPr>
          </w:p>
        </w:tc>
        <w:tc>
          <w:tcPr>
            <w:tcW w:w="199" w:type="dxa"/>
            <w:tcBorders>
              <w:top w:val="nil"/>
              <w:left w:val="nil"/>
              <w:bottom w:val="nil"/>
              <w:right w:val="nil"/>
            </w:tcBorders>
            <w:shd w:val="clear" w:color="auto" w:fill="auto"/>
            <w:vAlign w:val="center"/>
            <w:hideMark/>
          </w:tcPr>
          <w:p w14:paraId="0139E0C8" w14:textId="77777777" w:rsidR="00AD644E" w:rsidRPr="006569D0" w:rsidRDefault="00AD644E" w:rsidP="009C4E7F">
            <w:pPr>
              <w:spacing w:after="0" w:line="276" w:lineRule="auto"/>
              <w:ind w:firstLine="720"/>
              <w:jc w:val="both"/>
              <w:rPr>
                <w:rFonts w:ascii="Times New Roman" w:hAnsi="Times New Roman"/>
                <w:sz w:val="10"/>
                <w:szCs w:val="10"/>
                <w:lang w:eastAsia="es-DO"/>
              </w:rPr>
            </w:pPr>
          </w:p>
        </w:tc>
        <w:tc>
          <w:tcPr>
            <w:tcW w:w="2769" w:type="dxa"/>
            <w:vMerge/>
            <w:tcBorders>
              <w:left w:val="single" w:sz="8" w:space="0" w:color="auto"/>
              <w:right w:val="single" w:sz="8" w:space="0" w:color="auto"/>
            </w:tcBorders>
            <w:vAlign w:val="center"/>
            <w:hideMark/>
          </w:tcPr>
          <w:p w14:paraId="247115F3" w14:textId="77777777" w:rsidR="00AD644E" w:rsidRPr="006569D0" w:rsidRDefault="00AD644E" w:rsidP="009C4E7F">
            <w:pPr>
              <w:spacing w:after="0" w:line="276" w:lineRule="auto"/>
              <w:ind w:firstLine="720"/>
              <w:jc w:val="both"/>
              <w:rPr>
                <w:rFonts w:ascii="Times New Roman" w:hAnsi="Times New Roman"/>
                <w:lang w:eastAsia="es-DO"/>
              </w:rPr>
            </w:pPr>
          </w:p>
        </w:tc>
      </w:tr>
      <w:tr w:rsidR="00AD644E" w:rsidRPr="006569D0" w14:paraId="2DBDCE0D" w14:textId="77777777" w:rsidTr="00212F64">
        <w:trPr>
          <w:trHeight w:val="60"/>
          <w:jc w:val="center"/>
        </w:trPr>
        <w:tc>
          <w:tcPr>
            <w:tcW w:w="2261" w:type="dxa"/>
            <w:vMerge/>
            <w:tcBorders>
              <w:top w:val="single" w:sz="8" w:space="0" w:color="000000"/>
              <w:left w:val="single" w:sz="8" w:space="0" w:color="auto"/>
              <w:bottom w:val="single" w:sz="8" w:space="0" w:color="000000"/>
              <w:right w:val="single" w:sz="8" w:space="0" w:color="auto"/>
            </w:tcBorders>
            <w:vAlign w:val="center"/>
            <w:hideMark/>
          </w:tcPr>
          <w:p w14:paraId="0DF268C0" w14:textId="77777777" w:rsidR="00AD644E" w:rsidRPr="006569D0" w:rsidRDefault="00AD644E" w:rsidP="009C4E7F">
            <w:pPr>
              <w:spacing w:after="0" w:line="276" w:lineRule="auto"/>
              <w:ind w:firstLine="720"/>
              <w:jc w:val="both"/>
              <w:rPr>
                <w:rFonts w:ascii="Times New Roman" w:hAnsi="Times New Roman"/>
                <w:lang w:eastAsia="es-DO"/>
              </w:rPr>
            </w:pPr>
          </w:p>
        </w:tc>
        <w:tc>
          <w:tcPr>
            <w:tcW w:w="160" w:type="dxa"/>
            <w:tcBorders>
              <w:top w:val="nil"/>
              <w:left w:val="nil"/>
              <w:bottom w:val="nil"/>
              <w:right w:val="nil"/>
            </w:tcBorders>
            <w:shd w:val="clear" w:color="auto" w:fill="auto"/>
            <w:vAlign w:val="center"/>
            <w:hideMark/>
          </w:tcPr>
          <w:p w14:paraId="27A94EFA" w14:textId="77777777" w:rsidR="00AD644E" w:rsidRPr="006569D0" w:rsidRDefault="00AD644E" w:rsidP="009C4E7F">
            <w:pPr>
              <w:spacing w:after="0" w:line="276" w:lineRule="auto"/>
              <w:ind w:firstLine="720"/>
              <w:jc w:val="both"/>
              <w:rPr>
                <w:rFonts w:ascii="Times New Roman" w:hAnsi="Times New Roman"/>
                <w:sz w:val="10"/>
                <w:lang w:eastAsia="es-DO"/>
              </w:rPr>
            </w:pPr>
          </w:p>
        </w:tc>
        <w:tc>
          <w:tcPr>
            <w:tcW w:w="1974" w:type="dxa"/>
            <w:vMerge/>
            <w:tcBorders>
              <w:top w:val="single" w:sz="8" w:space="0" w:color="000000"/>
              <w:left w:val="single" w:sz="8" w:space="0" w:color="auto"/>
              <w:bottom w:val="single" w:sz="8" w:space="0" w:color="000000"/>
              <w:right w:val="single" w:sz="8" w:space="0" w:color="auto"/>
            </w:tcBorders>
            <w:vAlign w:val="center"/>
            <w:hideMark/>
          </w:tcPr>
          <w:p w14:paraId="25479803" w14:textId="77777777" w:rsidR="00AD644E" w:rsidRPr="006569D0" w:rsidRDefault="00AD644E" w:rsidP="009C4E7F">
            <w:pPr>
              <w:spacing w:after="0" w:line="276" w:lineRule="auto"/>
              <w:ind w:firstLine="720"/>
              <w:jc w:val="both"/>
              <w:rPr>
                <w:rFonts w:ascii="Times New Roman" w:hAnsi="Times New Roman"/>
                <w:lang w:eastAsia="es-DO"/>
              </w:rPr>
            </w:pPr>
          </w:p>
        </w:tc>
        <w:tc>
          <w:tcPr>
            <w:tcW w:w="160" w:type="dxa"/>
            <w:tcBorders>
              <w:top w:val="nil"/>
              <w:left w:val="nil"/>
              <w:bottom w:val="nil"/>
              <w:right w:val="nil"/>
            </w:tcBorders>
            <w:shd w:val="clear" w:color="auto" w:fill="auto"/>
            <w:vAlign w:val="center"/>
            <w:hideMark/>
          </w:tcPr>
          <w:p w14:paraId="469F7C59" w14:textId="77777777" w:rsidR="00AD644E" w:rsidRPr="006569D0" w:rsidRDefault="00AD644E" w:rsidP="009C4E7F">
            <w:pPr>
              <w:spacing w:after="0" w:line="276" w:lineRule="auto"/>
              <w:ind w:firstLine="720"/>
              <w:jc w:val="both"/>
              <w:rPr>
                <w:rFonts w:ascii="Times New Roman" w:hAnsi="Times New Roman"/>
                <w:sz w:val="10"/>
                <w:szCs w:val="10"/>
                <w:lang w:eastAsia="es-DO"/>
              </w:rPr>
            </w:pPr>
          </w:p>
        </w:tc>
        <w:tc>
          <w:tcPr>
            <w:tcW w:w="1846" w:type="dxa"/>
            <w:vMerge/>
            <w:tcBorders>
              <w:top w:val="single" w:sz="4" w:space="0" w:color="auto"/>
              <w:left w:val="single" w:sz="8" w:space="0" w:color="auto"/>
              <w:bottom w:val="single" w:sz="4" w:space="0" w:color="auto"/>
              <w:right w:val="single" w:sz="8" w:space="0" w:color="auto"/>
            </w:tcBorders>
            <w:vAlign w:val="center"/>
            <w:hideMark/>
          </w:tcPr>
          <w:p w14:paraId="6F724EF0" w14:textId="77777777" w:rsidR="00AD644E" w:rsidRPr="006569D0" w:rsidRDefault="00AD644E" w:rsidP="009C4E7F">
            <w:pPr>
              <w:spacing w:after="0" w:line="276" w:lineRule="auto"/>
              <w:ind w:firstLine="720"/>
              <w:jc w:val="both"/>
              <w:rPr>
                <w:rFonts w:ascii="Times New Roman" w:hAnsi="Times New Roman"/>
                <w:lang w:eastAsia="es-DO"/>
              </w:rPr>
            </w:pPr>
          </w:p>
        </w:tc>
        <w:tc>
          <w:tcPr>
            <w:tcW w:w="199" w:type="dxa"/>
            <w:tcBorders>
              <w:top w:val="nil"/>
              <w:left w:val="nil"/>
              <w:bottom w:val="nil"/>
              <w:right w:val="nil"/>
            </w:tcBorders>
            <w:shd w:val="clear" w:color="auto" w:fill="auto"/>
            <w:vAlign w:val="center"/>
            <w:hideMark/>
          </w:tcPr>
          <w:p w14:paraId="0F4B453A" w14:textId="77777777" w:rsidR="00AD644E" w:rsidRPr="006569D0" w:rsidRDefault="00AD644E" w:rsidP="009C4E7F">
            <w:pPr>
              <w:spacing w:after="0" w:line="276" w:lineRule="auto"/>
              <w:ind w:firstLine="720"/>
              <w:jc w:val="both"/>
              <w:rPr>
                <w:rFonts w:ascii="Times New Roman" w:hAnsi="Times New Roman"/>
                <w:sz w:val="10"/>
                <w:szCs w:val="10"/>
                <w:lang w:eastAsia="es-DO"/>
              </w:rPr>
            </w:pPr>
          </w:p>
        </w:tc>
        <w:tc>
          <w:tcPr>
            <w:tcW w:w="2769" w:type="dxa"/>
            <w:vMerge/>
            <w:tcBorders>
              <w:left w:val="single" w:sz="8" w:space="0" w:color="auto"/>
              <w:bottom w:val="single" w:sz="8" w:space="0" w:color="000000"/>
              <w:right w:val="single" w:sz="8" w:space="0" w:color="auto"/>
            </w:tcBorders>
            <w:vAlign w:val="center"/>
            <w:hideMark/>
          </w:tcPr>
          <w:p w14:paraId="55AB753F" w14:textId="77777777" w:rsidR="00AD644E" w:rsidRPr="006569D0" w:rsidRDefault="00AD644E" w:rsidP="009C4E7F">
            <w:pPr>
              <w:spacing w:after="0" w:line="276" w:lineRule="auto"/>
              <w:ind w:firstLine="720"/>
              <w:jc w:val="both"/>
              <w:rPr>
                <w:rFonts w:ascii="Times New Roman" w:hAnsi="Times New Roman"/>
                <w:lang w:eastAsia="es-DO"/>
              </w:rPr>
            </w:pPr>
          </w:p>
        </w:tc>
      </w:tr>
    </w:tbl>
    <w:p w14:paraId="65968C3B" w14:textId="77777777" w:rsidR="00744FA7" w:rsidRPr="006569D0" w:rsidRDefault="00744FA7" w:rsidP="00971391">
      <w:pPr>
        <w:spacing w:after="0" w:line="480" w:lineRule="auto"/>
        <w:ind w:firstLine="720"/>
        <w:jc w:val="both"/>
        <w:rPr>
          <w:rFonts w:ascii="Times New Roman" w:hAnsi="Times New Roman"/>
        </w:rPr>
      </w:pPr>
    </w:p>
    <w:p w14:paraId="5B8EA686" w14:textId="47F65582" w:rsidR="00FC1B41" w:rsidRPr="006569D0" w:rsidRDefault="00FC1B41" w:rsidP="00BD3886">
      <w:pPr>
        <w:spacing w:after="0" w:line="480" w:lineRule="auto"/>
        <w:ind w:firstLine="851"/>
        <w:jc w:val="both"/>
        <w:rPr>
          <w:rFonts w:ascii="Times New Roman" w:hAnsi="Times New Roman"/>
          <w:lang w:val="es-ES_tradnl"/>
        </w:rPr>
      </w:pPr>
      <w:r w:rsidRPr="006569D0">
        <w:rPr>
          <w:rFonts w:ascii="Times New Roman" w:hAnsi="Times New Roman"/>
          <w:lang w:val="es-ES_tradnl"/>
        </w:rPr>
        <w:t xml:space="preserve">Los siguientes cuadros presentan </w:t>
      </w:r>
      <w:r w:rsidR="002102B4" w:rsidRPr="006569D0">
        <w:rPr>
          <w:rFonts w:ascii="Times New Roman" w:hAnsi="Times New Roman"/>
          <w:lang w:val="es-ES_tradnl"/>
        </w:rPr>
        <w:t xml:space="preserve">las medidas de políticas públicas del sector y </w:t>
      </w:r>
      <w:r w:rsidRPr="006569D0">
        <w:rPr>
          <w:rFonts w:ascii="Times New Roman" w:hAnsi="Times New Roman"/>
          <w:lang w:val="es-ES_tradnl"/>
        </w:rPr>
        <w:t>el comportamiento de la producción</w:t>
      </w:r>
      <w:r w:rsidR="002102B4" w:rsidRPr="006569D0">
        <w:rPr>
          <w:rFonts w:ascii="Times New Roman" w:hAnsi="Times New Roman"/>
          <w:lang w:val="es-ES_tradnl"/>
        </w:rPr>
        <w:t xml:space="preserve"> de bienes y servicios</w:t>
      </w:r>
      <w:r w:rsidRPr="006569D0">
        <w:rPr>
          <w:rFonts w:ascii="Times New Roman" w:hAnsi="Times New Roman"/>
          <w:lang w:val="es-ES_tradnl"/>
        </w:rPr>
        <w:t xml:space="preserve"> </w:t>
      </w:r>
      <w:r w:rsidR="00E2472F" w:rsidRPr="006569D0">
        <w:rPr>
          <w:rFonts w:ascii="Times New Roman" w:hAnsi="Times New Roman"/>
          <w:lang w:val="es-ES_tradnl"/>
        </w:rPr>
        <w:t>públic</w:t>
      </w:r>
      <w:r w:rsidR="002102B4" w:rsidRPr="006569D0">
        <w:rPr>
          <w:rFonts w:ascii="Times New Roman" w:hAnsi="Times New Roman"/>
          <w:lang w:val="es-ES_tradnl"/>
        </w:rPr>
        <w:t>os</w:t>
      </w:r>
      <w:r w:rsidR="00E2472F" w:rsidRPr="006569D0">
        <w:rPr>
          <w:rFonts w:ascii="Times New Roman" w:hAnsi="Times New Roman"/>
          <w:lang w:val="es-ES_tradnl"/>
        </w:rPr>
        <w:t xml:space="preserve"> del sector agropecuario</w:t>
      </w:r>
      <w:r w:rsidR="00212F64" w:rsidRPr="006569D0">
        <w:rPr>
          <w:rFonts w:ascii="Times New Roman" w:hAnsi="Times New Roman"/>
          <w:lang w:val="es-ES_tradnl"/>
        </w:rPr>
        <w:t>,</w:t>
      </w:r>
      <w:r w:rsidR="00E2472F" w:rsidRPr="006569D0">
        <w:rPr>
          <w:rFonts w:ascii="Times New Roman" w:hAnsi="Times New Roman"/>
          <w:lang w:val="es-ES_tradnl"/>
        </w:rPr>
        <w:t xml:space="preserve"> durante el </w:t>
      </w:r>
      <w:r w:rsidR="00BA36D3" w:rsidRPr="006569D0">
        <w:rPr>
          <w:rFonts w:ascii="Times New Roman" w:hAnsi="Times New Roman"/>
          <w:lang w:val="es-ES_tradnl"/>
        </w:rPr>
        <w:t>período</w:t>
      </w:r>
      <w:r w:rsidR="00E2472F" w:rsidRPr="006569D0">
        <w:rPr>
          <w:rFonts w:ascii="Times New Roman" w:hAnsi="Times New Roman"/>
          <w:lang w:val="es-ES_tradnl"/>
        </w:rPr>
        <w:t xml:space="preserve"> </w:t>
      </w:r>
      <w:r w:rsidR="000E0975" w:rsidRPr="006569D0">
        <w:rPr>
          <w:rFonts w:ascii="Times New Roman" w:hAnsi="Times New Roman"/>
          <w:lang w:val="es-ES_tradnl"/>
        </w:rPr>
        <w:t>e</w:t>
      </w:r>
      <w:r w:rsidRPr="006569D0">
        <w:rPr>
          <w:rFonts w:ascii="Times New Roman" w:hAnsi="Times New Roman"/>
          <w:lang w:val="es-ES_tradnl"/>
        </w:rPr>
        <w:t>nero-diciembre 201</w:t>
      </w:r>
      <w:r w:rsidR="002F06AC" w:rsidRPr="006569D0">
        <w:rPr>
          <w:rFonts w:ascii="Times New Roman" w:hAnsi="Times New Roman"/>
          <w:lang w:val="es-ES_tradnl"/>
        </w:rPr>
        <w:t>9</w:t>
      </w:r>
      <w:r w:rsidR="00E2472F" w:rsidRPr="006569D0">
        <w:rPr>
          <w:rFonts w:ascii="Times New Roman" w:hAnsi="Times New Roman"/>
          <w:lang w:val="es-ES_tradnl"/>
        </w:rPr>
        <w:t>.</w:t>
      </w:r>
    </w:p>
    <w:p w14:paraId="0A973C86" w14:textId="77777777" w:rsidR="001972F2" w:rsidRPr="006569D0" w:rsidRDefault="001972F2" w:rsidP="00FC7F9B">
      <w:pPr>
        <w:spacing w:after="0" w:line="480" w:lineRule="auto"/>
        <w:rPr>
          <w:rFonts w:ascii="Times New Roman" w:hAnsi="Times New Roman"/>
          <w:lang w:val="es-ES_tradnl"/>
        </w:rPr>
      </w:pPr>
      <w:bookmarkStart w:id="56" w:name="_Toc440036661"/>
    </w:p>
    <w:p w14:paraId="66F98BFC" w14:textId="15448F8A" w:rsidR="001972F2" w:rsidRPr="006569D0" w:rsidRDefault="001972F2" w:rsidP="00FC7F9B">
      <w:pPr>
        <w:spacing w:line="480" w:lineRule="auto"/>
        <w:rPr>
          <w:rFonts w:ascii="Times New Roman" w:hAnsi="Times New Roman"/>
          <w:b/>
          <w:sz w:val="28"/>
          <w:szCs w:val="28"/>
        </w:rPr>
      </w:pPr>
      <w:r w:rsidRPr="006569D0">
        <w:rPr>
          <w:rFonts w:ascii="Times New Roman" w:hAnsi="Times New Roman"/>
          <w:b/>
          <w:sz w:val="28"/>
          <w:szCs w:val="28"/>
        </w:rPr>
        <w:t xml:space="preserve">Medidas de políticas </w:t>
      </w:r>
      <w:r w:rsidR="002102B4" w:rsidRPr="006569D0">
        <w:rPr>
          <w:rFonts w:ascii="Times New Roman" w:hAnsi="Times New Roman"/>
          <w:b/>
          <w:sz w:val="28"/>
          <w:szCs w:val="28"/>
        </w:rPr>
        <w:t xml:space="preserve">públicas </w:t>
      </w:r>
      <w:r w:rsidRPr="006569D0">
        <w:rPr>
          <w:rFonts w:ascii="Times New Roman" w:hAnsi="Times New Roman"/>
          <w:b/>
          <w:sz w:val="28"/>
          <w:szCs w:val="28"/>
        </w:rPr>
        <w:t>sectoriales</w:t>
      </w:r>
    </w:p>
    <w:p w14:paraId="0E7C424E" w14:textId="77777777" w:rsidR="00DA4DB6" w:rsidRPr="006569D0" w:rsidRDefault="001972F2" w:rsidP="00BD3886">
      <w:pPr>
        <w:spacing w:after="0" w:line="480" w:lineRule="auto"/>
        <w:ind w:firstLine="851"/>
        <w:jc w:val="both"/>
        <w:rPr>
          <w:rFonts w:ascii="Times New Roman" w:hAnsi="Times New Roman"/>
          <w:color w:val="000000" w:themeColor="text1"/>
          <w:lang w:val="es-ES_tradnl"/>
        </w:rPr>
      </w:pPr>
      <w:r w:rsidRPr="006569D0">
        <w:rPr>
          <w:rFonts w:ascii="Times New Roman" w:hAnsi="Times New Roman"/>
          <w:color w:val="000000" w:themeColor="text1"/>
          <w:lang w:val="es-ES_tradnl"/>
        </w:rPr>
        <w:t xml:space="preserve">Las líneas de acción de las políticas </w:t>
      </w:r>
      <w:r w:rsidR="00DA4DB6" w:rsidRPr="006569D0">
        <w:rPr>
          <w:rFonts w:ascii="Times New Roman" w:hAnsi="Times New Roman"/>
          <w:color w:val="000000" w:themeColor="text1"/>
          <w:lang w:val="es-ES_tradnl"/>
        </w:rPr>
        <w:t>públicas</w:t>
      </w:r>
      <w:r w:rsidRPr="006569D0">
        <w:rPr>
          <w:rFonts w:ascii="Times New Roman" w:hAnsi="Times New Roman"/>
          <w:color w:val="000000" w:themeColor="text1"/>
          <w:lang w:val="es-ES_tradnl"/>
        </w:rPr>
        <w:t xml:space="preserve"> se enmarcan dentro de los ejes y objetivos contemplados en la Estrategia Nacional de Desarrollo (END) y Objetivos de Desarrollo Sostenible (ODS) en procura y promoción de una agenda </w:t>
      </w:r>
      <w:r w:rsidRPr="006569D0">
        <w:rPr>
          <w:rFonts w:ascii="Times New Roman" w:hAnsi="Times New Roman"/>
          <w:color w:val="000000" w:themeColor="text1"/>
          <w:lang w:val="es-ES_tradnl"/>
        </w:rPr>
        <w:lastRenderedPageBreak/>
        <w:t>en común en torno a la seguridad alimentaria, fundamentados en la articulación de políticas en función de la diversidad de condiciones y características propias del sector.</w:t>
      </w:r>
    </w:p>
    <w:p w14:paraId="50085232" w14:textId="77777777" w:rsidR="001972F2" w:rsidRPr="006569D0" w:rsidRDefault="001972F2" w:rsidP="00FC7F9B">
      <w:pPr>
        <w:spacing w:after="0" w:line="480" w:lineRule="auto"/>
        <w:ind w:firstLine="851"/>
        <w:jc w:val="both"/>
        <w:rPr>
          <w:rFonts w:ascii="Times New Roman" w:hAnsi="Times New Roman"/>
          <w:color w:val="000000" w:themeColor="text1"/>
          <w:lang w:val="es-ES_tradnl"/>
        </w:rPr>
      </w:pPr>
      <w:r w:rsidRPr="006569D0">
        <w:rPr>
          <w:rFonts w:ascii="Times New Roman" w:hAnsi="Times New Roman"/>
          <w:color w:val="000000" w:themeColor="text1"/>
          <w:lang w:val="es-ES_tradnl"/>
        </w:rPr>
        <w:t>El siguiente cuadro presenta una serie de medidas e instrumentos de políticas implementadas por el Ministerio de Agricultura, vinculados a la END.</w:t>
      </w:r>
    </w:p>
    <w:p w14:paraId="53CF8CD0" w14:textId="77777777" w:rsidR="00AD644E" w:rsidRPr="006569D0" w:rsidRDefault="00AD644E" w:rsidP="00F04BD3">
      <w:pPr>
        <w:spacing w:after="0" w:line="360" w:lineRule="auto"/>
        <w:ind w:firstLine="851"/>
        <w:jc w:val="both"/>
        <w:rPr>
          <w:rFonts w:ascii="Times New Roman" w:hAnsi="Times New Roman"/>
          <w:color w:val="000000" w:themeColor="text1"/>
          <w:lang w:val="es-ES_tradnl"/>
        </w:rPr>
      </w:pPr>
    </w:p>
    <w:p w14:paraId="6A463A47" w14:textId="0CB81C4E" w:rsidR="001972F2" w:rsidRPr="006569D0" w:rsidRDefault="001972F2" w:rsidP="00FC7F9B">
      <w:pPr>
        <w:spacing w:after="0" w:line="480" w:lineRule="auto"/>
        <w:rPr>
          <w:rFonts w:ascii="Times New Roman" w:hAnsi="Times New Roman"/>
          <w:b/>
          <w:sz w:val="28"/>
          <w:szCs w:val="28"/>
        </w:rPr>
      </w:pPr>
      <w:r w:rsidRPr="006569D0">
        <w:rPr>
          <w:rFonts w:ascii="Times New Roman" w:hAnsi="Times New Roman"/>
          <w:b/>
          <w:sz w:val="28"/>
          <w:szCs w:val="28"/>
        </w:rPr>
        <w:t xml:space="preserve">Implementación de medidas de políticas </w:t>
      </w:r>
      <w:r w:rsidR="0048324E" w:rsidRPr="006569D0">
        <w:rPr>
          <w:rFonts w:ascii="Times New Roman" w:hAnsi="Times New Roman"/>
          <w:b/>
          <w:sz w:val="28"/>
          <w:szCs w:val="28"/>
        </w:rPr>
        <w:t>vinculadas a la END</w:t>
      </w:r>
    </w:p>
    <w:p w14:paraId="2336A823" w14:textId="77777777" w:rsidR="001972F2" w:rsidRPr="006569D0" w:rsidRDefault="001972F2" w:rsidP="00F04BD3">
      <w:pPr>
        <w:spacing w:after="0" w:line="276" w:lineRule="auto"/>
        <w:rPr>
          <w:rFonts w:ascii="Times New Roman" w:hAnsi="Times New Roman"/>
        </w:rPr>
      </w:pPr>
    </w:p>
    <w:p w14:paraId="02DD013D" w14:textId="64DCCCD8" w:rsidR="001972F2" w:rsidRPr="006569D0" w:rsidRDefault="001972F2" w:rsidP="001C6B1A">
      <w:pPr>
        <w:pStyle w:val="Prrafodelista"/>
        <w:numPr>
          <w:ilvl w:val="0"/>
          <w:numId w:val="9"/>
        </w:numPr>
        <w:spacing w:after="0" w:line="480" w:lineRule="auto"/>
        <w:ind w:left="567" w:hanging="567"/>
        <w:rPr>
          <w:rFonts w:ascii="Times New Roman" w:hAnsi="Times New Roman"/>
          <w:b/>
          <w:sz w:val="24"/>
          <w:lang w:bidi="en-US"/>
        </w:rPr>
      </w:pPr>
      <w:r w:rsidRPr="006569D0">
        <w:rPr>
          <w:rFonts w:ascii="Times New Roman" w:hAnsi="Times New Roman"/>
          <w:b/>
          <w:sz w:val="24"/>
          <w:lang w:bidi="en-US"/>
        </w:rPr>
        <w:t xml:space="preserve">Medidas de Políticas Sectoriales Agropecuarias </w:t>
      </w:r>
    </w:p>
    <w:tbl>
      <w:tblPr>
        <w:tblW w:w="10634" w:type="dxa"/>
        <w:jc w:val="center"/>
        <w:tblCellMar>
          <w:left w:w="70" w:type="dxa"/>
          <w:right w:w="70" w:type="dxa"/>
        </w:tblCellMar>
        <w:tblLook w:val="04A0" w:firstRow="1" w:lastRow="0" w:firstColumn="1" w:lastColumn="0" w:noHBand="0" w:noVBand="1"/>
      </w:tblPr>
      <w:tblGrid>
        <w:gridCol w:w="2065"/>
        <w:gridCol w:w="3155"/>
        <w:gridCol w:w="3325"/>
        <w:gridCol w:w="2089"/>
      </w:tblGrid>
      <w:tr w:rsidR="00F839E5" w:rsidRPr="006569D0" w14:paraId="58738FE9" w14:textId="77777777" w:rsidTr="004F3A16">
        <w:trPr>
          <w:trHeight w:val="281"/>
          <w:jc w:val="center"/>
        </w:trPr>
        <w:tc>
          <w:tcPr>
            <w:tcW w:w="2065" w:type="dxa"/>
            <w:vMerge w:val="restart"/>
            <w:tcBorders>
              <w:top w:val="single" w:sz="4" w:space="0" w:color="auto"/>
              <w:left w:val="single" w:sz="4" w:space="0" w:color="auto"/>
              <w:bottom w:val="single" w:sz="4" w:space="0" w:color="auto"/>
              <w:right w:val="single" w:sz="4" w:space="0" w:color="auto"/>
            </w:tcBorders>
            <w:shd w:val="clear" w:color="auto" w:fill="00B050"/>
            <w:vAlign w:val="center"/>
            <w:hideMark/>
          </w:tcPr>
          <w:p w14:paraId="031FA2B8" w14:textId="77777777" w:rsidR="00F839E5" w:rsidRPr="006569D0" w:rsidRDefault="00F839E5" w:rsidP="00F63455">
            <w:pPr>
              <w:spacing w:after="0"/>
              <w:jc w:val="center"/>
              <w:rPr>
                <w:rFonts w:ascii="Times New Roman" w:hAnsi="Times New Roman"/>
                <w:b/>
                <w:bCs/>
                <w:color w:val="FFFFFF" w:themeColor="background1"/>
                <w:sz w:val="22"/>
                <w:szCs w:val="22"/>
                <w:lang w:eastAsia="es-DO"/>
              </w:rPr>
            </w:pPr>
            <w:r w:rsidRPr="006569D0">
              <w:rPr>
                <w:rFonts w:ascii="Times New Roman" w:hAnsi="Times New Roman"/>
                <w:b/>
                <w:bCs/>
                <w:color w:val="FFFFFF" w:themeColor="background1"/>
                <w:sz w:val="22"/>
                <w:szCs w:val="22"/>
                <w:lang w:eastAsia="es-DO"/>
              </w:rPr>
              <w:t>Medida Política</w:t>
            </w:r>
          </w:p>
        </w:tc>
        <w:tc>
          <w:tcPr>
            <w:tcW w:w="3155" w:type="dxa"/>
            <w:vMerge w:val="restart"/>
            <w:tcBorders>
              <w:top w:val="single" w:sz="4" w:space="0" w:color="auto"/>
              <w:left w:val="single" w:sz="4" w:space="0" w:color="auto"/>
              <w:bottom w:val="single" w:sz="4" w:space="0" w:color="auto"/>
              <w:right w:val="single" w:sz="4" w:space="0" w:color="auto"/>
            </w:tcBorders>
            <w:shd w:val="clear" w:color="auto" w:fill="00B050"/>
            <w:vAlign w:val="center"/>
            <w:hideMark/>
          </w:tcPr>
          <w:p w14:paraId="6FB22437" w14:textId="77777777" w:rsidR="00F839E5" w:rsidRPr="006569D0" w:rsidRDefault="00F839E5" w:rsidP="00F63455">
            <w:pPr>
              <w:spacing w:after="0"/>
              <w:jc w:val="center"/>
              <w:rPr>
                <w:rFonts w:ascii="Times New Roman" w:hAnsi="Times New Roman"/>
                <w:b/>
                <w:bCs/>
                <w:color w:val="FFFFFF" w:themeColor="background1"/>
                <w:sz w:val="22"/>
                <w:szCs w:val="22"/>
                <w:lang w:eastAsia="es-DO"/>
              </w:rPr>
            </w:pPr>
            <w:r w:rsidRPr="006569D0">
              <w:rPr>
                <w:rFonts w:ascii="Times New Roman" w:hAnsi="Times New Roman"/>
                <w:b/>
                <w:bCs/>
                <w:color w:val="FFFFFF" w:themeColor="background1"/>
                <w:sz w:val="22"/>
                <w:szCs w:val="22"/>
                <w:lang w:eastAsia="es-DO"/>
              </w:rPr>
              <w:t>Instrumento (Ley, decreto, Resolución, norma, disposiciones administrativas)</w:t>
            </w:r>
          </w:p>
        </w:tc>
        <w:tc>
          <w:tcPr>
            <w:tcW w:w="3325" w:type="dxa"/>
            <w:vMerge w:val="restart"/>
            <w:tcBorders>
              <w:top w:val="single" w:sz="4" w:space="0" w:color="auto"/>
              <w:left w:val="single" w:sz="4" w:space="0" w:color="auto"/>
              <w:bottom w:val="single" w:sz="4" w:space="0" w:color="auto"/>
              <w:right w:val="single" w:sz="4" w:space="0" w:color="auto"/>
            </w:tcBorders>
            <w:shd w:val="clear" w:color="auto" w:fill="00B050"/>
            <w:vAlign w:val="center"/>
            <w:hideMark/>
          </w:tcPr>
          <w:p w14:paraId="202434BE" w14:textId="77777777" w:rsidR="00F839E5" w:rsidRPr="006569D0" w:rsidRDefault="00F839E5" w:rsidP="00F63455">
            <w:pPr>
              <w:spacing w:after="0"/>
              <w:jc w:val="center"/>
              <w:rPr>
                <w:rFonts w:ascii="Times New Roman" w:hAnsi="Times New Roman"/>
                <w:b/>
                <w:bCs/>
                <w:color w:val="FFFFFF" w:themeColor="background1"/>
                <w:sz w:val="22"/>
                <w:szCs w:val="22"/>
                <w:lang w:eastAsia="es-DO"/>
              </w:rPr>
            </w:pPr>
            <w:r w:rsidRPr="006569D0">
              <w:rPr>
                <w:rFonts w:ascii="Times New Roman" w:hAnsi="Times New Roman"/>
                <w:b/>
                <w:bCs/>
                <w:color w:val="FFFFFF" w:themeColor="background1"/>
                <w:sz w:val="22"/>
                <w:szCs w:val="22"/>
                <w:lang w:eastAsia="es-DO"/>
              </w:rPr>
              <w:t>Objetivo(s) específico(s) END a cuyo logro contribuye la medida de política</w:t>
            </w:r>
          </w:p>
        </w:tc>
        <w:tc>
          <w:tcPr>
            <w:tcW w:w="2089" w:type="dxa"/>
            <w:vMerge w:val="restart"/>
            <w:tcBorders>
              <w:top w:val="single" w:sz="4" w:space="0" w:color="auto"/>
              <w:left w:val="single" w:sz="4" w:space="0" w:color="auto"/>
              <w:bottom w:val="single" w:sz="4" w:space="0" w:color="auto"/>
              <w:right w:val="single" w:sz="4" w:space="0" w:color="auto"/>
            </w:tcBorders>
            <w:shd w:val="clear" w:color="auto" w:fill="00B050"/>
            <w:vAlign w:val="center"/>
            <w:hideMark/>
          </w:tcPr>
          <w:p w14:paraId="280810A7" w14:textId="77777777" w:rsidR="00F839E5" w:rsidRPr="006569D0" w:rsidRDefault="00F839E5" w:rsidP="00F63455">
            <w:pPr>
              <w:spacing w:after="0"/>
              <w:jc w:val="center"/>
              <w:rPr>
                <w:rFonts w:ascii="Times New Roman" w:hAnsi="Times New Roman"/>
                <w:b/>
                <w:bCs/>
                <w:color w:val="FFFFFF" w:themeColor="background1"/>
                <w:sz w:val="22"/>
                <w:szCs w:val="22"/>
                <w:lang w:eastAsia="es-DO"/>
              </w:rPr>
            </w:pPr>
            <w:r w:rsidRPr="006569D0">
              <w:rPr>
                <w:rFonts w:ascii="Times New Roman" w:hAnsi="Times New Roman"/>
                <w:b/>
                <w:bCs/>
                <w:color w:val="FFFFFF" w:themeColor="background1"/>
                <w:sz w:val="22"/>
                <w:szCs w:val="22"/>
                <w:lang w:eastAsia="es-DO"/>
              </w:rPr>
              <w:t>Línea(s) de acción de END a la que se vincula la medida de política</w:t>
            </w:r>
          </w:p>
        </w:tc>
      </w:tr>
      <w:tr w:rsidR="00F839E5" w:rsidRPr="006569D0" w14:paraId="2AAE250E" w14:textId="77777777" w:rsidTr="004F3A16">
        <w:trPr>
          <w:trHeight w:val="281"/>
          <w:jc w:val="center"/>
        </w:trPr>
        <w:tc>
          <w:tcPr>
            <w:tcW w:w="2065" w:type="dxa"/>
            <w:vMerge/>
            <w:tcBorders>
              <w:top w:val="single" w:sz="4" w:space="0" w:color="auto"/>
              <w:left w:val="single" w:sz="4" w:space="0" w:color="auto"/>
              <w:bottom w:val="single" w:sz="4" w:space="0" w:color="auto"/>
              <w:right w:val="single" w:sz="4" w:space="0" w:color="auto"/>
            </w:tcBorders>
            <w:shd w:val="clear" w:color="auto" w:fill="00B050"/>
            <w:vAlign w:val="center"/>
            <w:hideMark/>
          </w:tcPr>
          <w:p w14:paraId="6464D527" w14:textId="77777777" w:rsidR="00F839E5" w:rsidRPr="006569D0" w:rsidRDefault="00F839E5" w:rsidP="00F63455">
            <w:pPr>
              <w:spacing w:after="0"/>
              <w:rPr>
                <w:rFonts w:ascii="Times New Roman" w:hAnsi="Times New Roman"/>
                <w:b/>
                <w:bCs/>
                <w:color w:val="000000"/>
                <w:sz w:val="22"/>
                <w:szCs w:val="22"/>
                <w:lang w:eastAsia="es-DO"/>
              </w:rPr>
            </w:pPr>
          </w:p>
        </w:tc>
        <w:tc>
          <w:tcPr>
            <w:tcW w:w="3155" w:type="dxa"/>
            <w:vMerge/>
            <w:tcBorders>
              <w:top w:val="single" w:sz="4" w:space="0" w:color="auto"/>
              <w:left w:val="single" w:sz="4" w:space="0" w:color="auto"/>
              <w:bottom w:val="single" w:sz="4" w:space="0" w:color="auto"/>
              <w:right w:val="single" w:sz="4" w:space="0" w:color="auto"/>
            </w:tcBorders>
            <w:shd w:val="clear" w:color="auto" w:fill="00B050"/>
            <w:vAlign w:val="center"/>
            <w:hideMark/>
          </w:tcPr>
          <w:p w14:paraId="0B522E82" w14:textId="77777777" w:rsidR="00F839E5" w:rsidRPr="006569D0" w:rsidRDefault="00F839E5" w:rsidP="00F63455">
            <w:pPr>
              <w:spacing w:after="0"/>
              <w:rPr>
                <w:rFonts w:ascii="Times New Roman" w:hAnsi="Times New Roman"/>
                <w:b/>
                <w:bCs/>
                <w:color w:val="000000"/>
                <w:sz w:val="22"/>
                <w:szCs w:val="22"/>
                <w:lang w:eastAsia="es-DO"/>
              </w:rPr>
            </w:pPr>
          </w:p>
        </w:tc>
        <w:tc>
          <w:tcPr>
            <w:tcW w:w="3325" w:type="dxa"/>
            <w:vMerge/>
            <w:tcBorders>
              <w:top w:val="single" w:sz="4" w:space="0" w:color="auto"/>
              <w:left w:val="single" w:sz="4" w:space="0" w:color="auto"/>
              <w:bottom w:val="single" w:sz="4" w:space="0" w:color="auto"/>
              <w:right w:val="single" w:sz="4" w:space="0" w:color="auto"/>
            </w:tcBorders>
            <w:shd w:val="clear" w:color="auto" w:fill="00B050"/>
            <w:vAlign w:val="center"/>
            <w:hideMark/>
          </w:tcPr>
          <w:p w14:paraId="6ACEF5EF" w14:textId="77777777" w:rsidR="00F839E5" w:rsidRPr="006569D0" w:rsidRDefault="00F839E5" w:rsidP="00F63455">
            <w:pPr>
              <w:spacing w:after="0"/>
              <w:rPr>
                <w:rFonts w:ascii="Times New Roman" w:hAnsi="Times New Roman"/>
                <w:b/>
                <w:bCs/>
                <w:color w:val="000000"/>
                <w:sz w:val="22"/>
                <w:szCs w:val="22"/>
                <w:lang w:eastAsia="es-DO"/>
              </w:rPr>
            </w:pPr>
          </w:p>
        </w:tc>
        <w:tc>
          <w:tcPr>
            <w:tcW w:w="2089" w:type="dxa"/>
            <w:vMerge/>
            <w:tcBorders>
              <w:top w:val="single" w:sz="4" w:space="0" w:color="auto"/>
              <w:left w:val="single" w:sz="4" w:space="0" w:color="auto"/>
              <w:bottom w:val="single" w:sz="4" w:space="0" w:color="auto"/>
              <w:right w:val="single" w:sz="4" w:space="0" w:color="auto"/>
            </w:tcBorders>
            <w:shd w:val="clear" w:color="auto" w:fill="00B050"/>
            <w:vAlign w:val="center"/>
            <w:hideMark/>
          </w:tcPr>
          <w:p w14:paraId="20BDC152" w14:textId="77777777" w:rsidR="00F839E5" w:rsidRPr="006569D0" w:rsidRDefault="00F839E5" w:rsidP="00F63455">
            <w:pPr>
              <w:spacing w:after="0"/>
              <w:rPr>
                <w:rFonts w:ascii="Times New Roman" w:hAnsi="Times New Roman"/>
                <w:b/>
                <w:bCs/>
                <w:color w:val="000000"/>
                <w:sz w:val="22"/>
                <w:szCs w:val="22"/>
                <w:lang w:eastAsia="es-DO"/>
              </w:rPr>
            </w:pPr>
          </w:p>
        </w:tc>
      </w:tr>
      <w:tr w:rsidR="00F839E5" w:rsidRPr="006569D0" w14:paraId="01D84261" w14:textId="77777777" w:rsidTr="004F3A16">
        <w:trPr>
          <w:trHeight w:val="2074"/>
          <w:jc w:val="center"/>
        </w:trPr>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75D061C0" w14:textId="77777777" w:rsidR="00F839E5" w:rsidRPr="006569D0" w:rsidRDefault="00F839E5" w:rsidP="00F63455">
            <w:pPr>
              <w:spacing w:after="0"/>
              <w:jc w:val="center"/>
              <w:rPr>
                <w:rFonts w:ascii="Times New Roman" w:hAnsi="Times New Roman"/>
                <w:color w:val="000000"/>
                <w:sz w:val="22"/>
                <w:szCs w:val="22"/>
                <w:lang w:eastAsia="es-DO"/>
              </w:rPr>
            </w:pPr>
            <w:r w:rsidRPr="006569D0">
              <w:rPr>
                <w:rFonts w:ascii="Times New Roman" w:hAnsi="Times New Roman"/>
                <w:color w:val="000000"/>
                <w:sz w:val="22"/>
                <w:szCs w:val="22"/>
                <w:lang w:eastAsia="es-DO"/>
              </w:rPr>
              <w:t>Fortalecimiento del programa de sanidad, promoviendo la prevención, control y erradicación de las enfermedades de origen animal y vegetal..</w:t>
            </w:r>
          </w:p>
        </w:tc>
        <w:tc>
          <w:tcPr>
            <w:tcW w:w="3155" w:type="dxa"/>
            <w:tcBorders>
              <w:top w:val="single" w:sz="4" w:space="0" w:color="auto"/>
              <w:left w:val="nil"/>
              <w:right w:val="single" w:sz="4" w:space="0" w:color="auto"/>
            </w:tcBorders>
            <w:shd w:val="clear" w:color="auto" w:fill="auto"/>
            <w:vAlign w:val="center"/>
          </w:tcPr>
          <w:p w14:paraId="5642F085" w14:textId="77777777" w:rsidR="00F839E5" w:rsidRPr="006569D0" w:rsidRDefault="00F839E5" w:rsidP="00F63455">
            <w:pPr>
              <w:spacing w:after="0"/>
              <w:jc w:val="center"/>
              <w:rPr>
                <w:rFonts w:ascii="Times New Roman" w:hAnsi="Times New Roman"/>
                <w:color w:val="000000"/>
                <w:sz w:val="22"/>
                <w:szCs w:val="22"/>
                <w:lang w:eastAsia="es-DO"/>
              </w:rPr>
            </w:pPr>
            <w:r w:rsidRPr="006569D0">
              <w:rPr>
                <w:rFonts w:ascii="Times New Roman" w:hAnsi="Times New Roman"/>
                <w:color w:val="000000"/>
                <w:sz w:val="22"/>
                <w:szCs w:val="22"/>
                <w:lang w:eastAsia="es-DO"/>
              </w:rPr>
              <w:t xml:space="preserve">(Resolución MA-2019-42) </w:t>
            </w:r>
            <w:r w:rsidRPr="006569D0">
              <w:rPr>
                <w:rFonts w:ascii="Times New Roman" w:hAnsi="Times New Roman"/>
                <w:color w:val="000000"/>
                <w:sz w:val="22"/>
                <w:szCs w:val="22"/>
                <w:lang w:eastAsia="es-DO"/>
              </w:rPr>
              <w:br/>
              <w:t>Creación del Programa Nacional de Control y Erradicación de Influenza Aviar.</w:t>
            </w:r>
          </w:p>
        </w:tc>
        <w:tc>
          <w:tcPr>
            <w:tcW w:w="33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1FC33" w14:textId="77777777" w:rsidR="00F839E5" w:rsidRPr="006569D0" w:rsidRDefault="00F839E5" w:rsidP="00F63455">
            <w:pPr>
              <w:spacing w:after="0"/>
              <w:jc w:val="center"/>
              <w:rPr>
                <w:rFonts w:ascii="Times New Roman" w:hAnsi="Times New Roman"/>
                <w:color w:val="000000"/>
                <w:sz w:val="22"/>
                <w:szCs w:val="22"/>
                <w:lang w:eastAsia="es-DO"/>
              </w:rPr>
            </w:pPr>
            <w:r w:rsidRPr="006569D0">
              <w:rPr>
                <w:rFonts w:ascii="Times New Roman" w:hAnsi="Times New Roman"/>
                <w:b/>
                <w:bCs/>
                <w:color w:val="000000"/>
                <w:sz w:val="22"/>
                <w:szCs w:val="22"/>
                <w:lang w:eastAsia="es-DO"/>
              </w:rPr>
              <w:t xml:space="preserve">Objetivo General 3.5 </w:t>
            </w:r>
            <w:r w:rsidRPr="006569D0">
              <w:rPr>
                <w:rFonts w:ascii="Times New Roman" w:hAnsi="Times New Roman"/>
                <w:b/>
                <w:bCs/>
                <w:color w:val="000000"/>
                <w:sz w:val="22"/>
                <w:szCs w:val="22"/>
                <w:lang w:eastAsia="es-DO"/>
              </w:rPr>
              <w:br/>
            </w:r>
            <w:r w:rsidRPr="006569D0">
              <w:rPr>
                <w:rFonts w:ascii="Times New Roman" w:hAnsi="Times New Roman"/>
                <w:color w:val="000000"/>
                <w:sz w:val="22"/>
                <w:szCs w:val="22"/>
                <w:lang w:eastAsia="es-DO"/>
              </w:rPr>
              <w:t xml:space="preserve">Estructura productiva sectorial y territorialmente articulada, integrada competitivamente a la economía global y que aprovecha las oportunidades del mercado local e internacional. </w:t>
            </w:r>
          </w:p>
        </w:tc>
        <w:tc>
          <w:tcPr>
            <w:tcW w:w="2089" w:type="dxa"/>
            <w:tcBorders>
              <w:top w:val="single" w:sz="4" w:space="0" w:color="auto"/>
              <w:left w:val="nil"/>
              <w:right w:val="single" w:sz="4" w:space="0" w:color="auto"/>
            </w:tcBorders>
            <w:shd w:val="clear" w:color="auto" w:fill="auto"/>
            <w:vAlign w:val="center"/>
            <w:hideMark/>
          </w:tcPr>
          <w:p w14:paraId="0A052139" w14:textId="77777777" w:rsidR="00F839E5" w:rsidRPr="006569D0" w:rsidRDefault="00F839E5" w:rsidP="00F63455">
            <w:pPr>
              <w:spacing w:after="0"/>
              <w:jc w:val="center"/>
              <w:rPr>
                <w:rFonts w:ascii="Times New Roman" w:hAnsi="Times New Roman"/>
                <w:i/>
                <w:color w:val="000000"/>
                <w:sz w:val="22"/>
                <w:szCs w:val="22"/>
                <w:lang w:eastAsia="es-DO"/>
              </w:rPr>
            </w:pPr>
            <w:r w:rsidRPr="006569D0">
              <w:rPr>
                <w:rFonts w:ascii="Times New Roman" w:hAnsi="Times New Roman"/>
                <w:color w:val="000000"/>
                <w:sz w:val="22"/>
                <w:szCs w:val="22"/>
                <w:lang w:eastAsia="es-DO"/>
              </w:rPr>
              <w:t>Desarrollar un sistema de sanidad e inocuidad agroalimentaria integrado, moderno y eficiente.</w:t>
            </w:r>
          </w:p>
        </w:tc>
      </w:tr>
      <w:tr w:rsidR="00F839E5" w:rsidRPr="006569D0" w14:paraId="2ED9C4CB" w14:textId="77777777" w:rsidTr="004F3A16">
        <w:trPr>
          <w:trHeight w:val="620"/>
          <w:jc w:val="center"/>
        </w:trPr>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20A00659" w14:textId="77777777" w:rsidR="00F839E5" w:rsidRPr="006569D0" w:rsidRDefault="00F839E5" w:rsidP="00F839E5">
            <w:pPr>
              <w:spacing w:after="0"/>
              <w:jc w:val="center"/>
              <w:rPr>
                <w:rFonts w:ascii="Times New Roman" w:hAnsi="Times New Roman"/>
                <w:sz w:val="22"/>
                <w:szCs w:val="22"/>
                <w:lang w:eastAsia="es-DO"/>
              </w:rPr>
            </w:pPr>
            <w:r w:rsidRPr="006569D0">
              <w:rPr>
                <w:rFonts w:ascii="Times New Roman" w:hAnsi="Times New Roman"/>
                <w:sz w:val="22"/>
                <w:szCs w:val="22"/>
                <w:lang w:eastAsia="es-DO"/>
              </w:rPr>
              <w:t>Fortaleciendo y concientización para el consumo de productos agrícolas libre de contaminantes que son dañinos a la salud de consumidor</w:t>
            </w:r>
          </w:p>
          <w:p w14:paraId="5F8011B6" w14:textId="77777777" w:rsidR="00F839E5" w:rsidRPr="006569D0" w:rsidRDefault="00F839E5" w:rsidP="00F839E5">
            <w:pPr>
              <w:spacing w:after="0"/>
              <w:jc w:val="center"/>
              <w:rPr>
                <w:rFonts w:ascii="Times New Roman" w:hAnsi="Times New Roman"/>
                <w:color w:val="000000"/>
                <w:sz w:val="22"/>
                <w:szCs w:val="22"/>
                <w:lang w:eastAsia="es-DO"/>
              </w:rPr>
            </w:pPr>
          </w:p>
        </w:tc>
        <w:tc>
          <w:tcPr>
            <w:tcW w:w="3155" w:type="dxa"/>
            <w:tcBorders>
              <w:top w:val="single" w:sz="4" w:space="0" w:color="auto"/>
              <w:left w:val="nil"/>
              <w:bottom w:val="single" w:sz="4" w:space="0" w:color="auto"/>
              <w:right w:val="single" w:sz="4" w:space="0" w:color="auto"/>
            </w:tcBorders>
            <w:shd w:val="clear" w:color="auto" w:fill="auto"/>
            <w:vAlign w:val="center"/>
          </w:tcPr>
          <w:p w14:paraId="362046CB" w14:textId="77777777" w:rsidR="00F839E5" w:rsidRPr="006569D0" w:rsidRDefault="00F839E5" w:rsidP="00F839E5">
            <w:pPr>
              <w:spacing w:after="0"/>
              <w:jc w:val="center"/>
              <w:rPr>
                <w:rFonts w:ascii="Times New Roman" w:hAnsi="Times New Roman"/>
                <w:sz w:val="22"/>
                <w:szCs w:val="22"/>
                <w:lang w:eastAsia="es-DO"/>
              </w:rPr>
            </w:pPr>
            <w:r w:rsidRPr="006569D0">
              <w:rPr>
                <w:rFonts w:ascii="Times New Roman" w:hAnsi="Times New Roman"/>
                <w:sz w:val="22"/>
                <w:szCs w:val="22"/>
                <w:lang w:eastAsia="es-DO"/>
              </w:rPr>
              <w:t>(Resolución MA-2019-28)</w:t>
            </w:r>
          </w:p>
          <w:p w14:paraId="4F344D1B" w14:textId="503B2A9A" w:rsidR="00F839E5" w:rsidRPr="006569D0" w:rsidRDefault="00F839E5" w:rsidP="00F839E5">
            <w:pPr>
              <w:spacing w:after="0"/>
              <w:jc w:val="center"/>
              <w:rPr>
                <w:rFonts w:ascii="Times New Roman" w:hAnsi="Times New Roman"/>
                <w:sz w:val="22"/>
                <w:szCs w:val="22"/>
                <w:lang w:eastAsia="es-DO"/>
              </w:rPr>
            </w:pPr>
            <w:r w:rsidRPr="006569D0">
              <w:rPr>
                <w:rFonts w:ascii="Times New Roman" w:hAnsi="Times New Roman"/>
                <w:sz w:val="22"/>
                <w:szCs w:val="22"/>
                <w:lang w:eastAsia="es-DO"/>
              </w:rPr>
              <w:t xml:space="preserve"> Prohibición y regulación del uso de plaguicidas y otras sustancias activas en vegetales en República Dominicana</w:t>
            </w:r>
            <w:r w:rsidR="00212F64" w:rsidRPr="006569D0">
              <w:rPr>
                <w:rFonts w:ascii="Times New Roman" w:hAnsi="Times New Roman"/>
                <w:sz w:val="22"/>
                <w:szCs w:val="22"/>
                <w:lang w:eastAsia="es-DO"/>
              </w:rPr>
              <w:t>.</w:t>
            </w:r>
            <w:r w:rsidRPr="006569D0">
              <w:rPr>
                <w:rFonts w:ascii="Times New Roman" w:hAnsi="Times New Roman"/>
                <w:sz w:val="22"/>
                <w:szCs w:val="22"/>
                <w:lang w:eastAsia="es-DO"/>
              </w:rPr>
              <w:t xml:space="preserve"> </w:t>
            </w:r>
          </w:p>
        </w:tc>
        <w:tc>
          <w:tcPr>
            <w:tcW w:w="3325" w:type="dxa"/>
            <w:tcBorders>
              <w:top w:val="single" w:sz="4" w:space="0" w:color="auto"/>
              <w:left w:val="single" w:sz="4" w:space="0" w:color="auto"/>
              <w:bottom w:val="single" w:sz="4" w:space="0" w:color="auto"/>
              <w:right w:val="single" w:sz="4" w:space="0" w:color="auto"/>
            </w:tcBorders>
            <w:vAlign w:val="center"/>
          </w:tcPr>
          <w:p w14:paraId="57A3B332" w14:textId="77777777" w:rsidR="00F839E5" w:rsidRPr="006569D0" w:rsidRDefault="00F839E5" w:rsidP="00F839E5">
            <w:pPr>
              <w:spacing w:after="0"/>
              <w:jc w:val="center"/>
              <w:rPr>
                <w:rFonts w:ascii="Times New Roman" w:hAnsi="Times New Roman"/>
                <w:b/>
                <w:bCs/>
                <w:sz w:val="22"/>
                <w:szCs w:val="22"/>
                <w:lang w:eastAsia="es-DO"/>
              </w:rPr>
            </w:pPr>
            <w:r w:rsidRPr="006569D0">
              <w:rPr>
                <w:rFonts w:ascii="Times New Roman" w:hAnsi="Times New Roman"/>
                <w:b/>
                <w:bCs/>
                <w:sz w:val="22"/>
                <w:szCs w:val="22"/>
                <w:lang w:eastAsia="es-DO"/>
              </w:rPr>
              <w:t xml:space="preserve">Objetivo Específico 3.5.3.8 </w:t>
            </w:r>
          </w:p>
          <w:p w14:paraId="3E1E697E" w14:textId="77777777" w:rsidR="00F839E5" w:rsidRPr="006569D0" w:rsidRDefault="00F839E5" w:rsidP="004F3A16">
            <w:pPr>
              <w:spacing w:after="0"/>
              <w:jc w:val="center"/>
              <w:rPr>
                <w:rFonts w:ascii="Times New Roman" w:hAnsi="Times New Roman"/>
                <w:bCs/>
                <w:sz w:val="22"/>
                <w:szCs w:val="22"/>
                <w:lang w:eastAsia="es-DO"/>
              </w:rPr>
            </w:pPr>
            <w:r w:rsidRPr="006569D0">
              <w:rPr>
                <w:rFonts w:ascii="Times New Roman" w:hAnsi="Times New Roman"/>
                <w:bCs/>
                <w:sz w:val="22"/>
                <w:szCs w:val="22"/>
                <w:lang w:eastAsia="es-DO"/>
              </w:rPr>
              <w:t>Desarrollar un sistema de sanidad e inocuidad agroalimentaria integrado, moderno y eficiente, con un fuerte componente de capacitación, que involucre todos los actores de la cadena productiva para preservar la salud de los consumidores e incrementar la competitividad.</w:t>
            </w:r>
          </w:p>
          <w:p w14:paraId="2FC1E8EE" w14:textId="77777777" w:rsidR="00F839E5" w:rsidRPr="006569D0" w:rsidRDefault="00F839E5" w:rsidP="00F839E5">
            <w:pPr>
              <w:spacing w:after="0"/>
              <w:rPr>
                <w:rFonts w:ascii="Times New Roman" w:hAnsi="Times New Roman"/>
                <w:bCs/>
                <w:sz w:val="22"/>
                <w:szCs w:val="22"/>
                <w:lang w:eastAsia="es-DO"/>
              </w:rPr>
            </w:pPr>
          </w:p>
          <w:p w14:paraId="6E8CBB01" w14:textId="77777777" w:rsidR="00F839E5" w:rsidRPr="006569D0" w:rsidRDefault="00F839E5" w:rsidP="00F839E5">
            <w:pPr>
              <w:autoSpaceDE w:val="0"/>
              <w:autoSpaceDN w:val="0"/>
              <w:adjustRightInd w:val="0"/>
              <w:spacing w:after="0"/>
              <w:jc w:val="center"/>
              <w:rPr>
                <w:rFonts w:ascii="Times New Roman" w:hAnsi="Times New Roman"/>
                <w:b/>
                <w:bCs/>
                <w:color w:val="000000"/>
                <w:sz w:val="22"/>
                <w:szCs w:val="22"/>
                <w:lang w:eastAsia="es-DO"/>
              </w:rPr>
            </w:pPr>
            <w:r w:rsidRPr="006569D0">
              <w:rPr>
                <w:rFonts w:ascii="Times New Roman" w:hAnsi="Times New Roman"/>
                <w:b/>
                <w:bCs/>
                <w:color w:val="000000"/>
                <w:sz w:val="22"/>
                <w:szCs w:val="22"/>
                <w:lang w:eastAsia="es-DO"/>
              </w:rPr>
              <w:t>Objetivo Especifico 3.5.3</w:t>
            </w:r>
          </w:p>
          <w:p w14:paraId="247EE46B" w14:textId="048554CB" w:rsidR="00F839E5" w:rsidRPr="006569D0" w:rsidRDefault="00F839E5" w:rsidP="00F839E5">
            <w:pPr>
              <w:spacing w:after="0"/>
              <w:jc w:val="center"/>
              <w:rPr>
                <w:rFonts w:ascii="Times New Roman" w:hAnsi="Times New Roman"/>
                <w:b/>
                <w:bCs/>
                <w:color w:val="000000"/>
                <w:sz w:val="22"/>
                <w:szCs w:val="22"/>
                <w:lang w:eastAsia="es-DO"/>
              </w:rPr>
            </w:pPr>
            <w:r w:rsidRPr="006569D0">
              <w:rPr>
                <w:rFonts w:ascii="Times New Roman" w:hAnsi="Times New Roman"/>
                <w:bCs/>
                <w:color w:val="000000"/>
                <w:sz w:val="22"/>
                <w:szCs w:val="22"/>
                <w:lang w:eastAsia="es-DO"/>
              </w:rPr>
              <w:t xml:space="preserve">Elevar la productividad, competitividad y sostenibilidad ambiental y financiera de las cadenas agroproductivas, a fin de contribuir a la seguridad alimentaria, aprovechar el potencial </w:t>
            </w:r>
            <w:r w:rsidRPr="006569D0">
              <w:rPr>
                <w:rFonts w:ascii="Times New Roman" w:hAnsi="Times New Roman"/>
                <w:color w:val="000000"/>
                <w:sz w:val="22"/>
                <w:szCs w:val="22"/>
                <w:lang w:eastAsia="es-DO"/>
              </w:rPr>
              <w:t>exportador y generar empleo e ingresos para la población rural</w:t>
            </w:r>
            <w:r w:rsidR="004F3A16">
              <w:rPr>
                <w:rFonts w:ascii="Times New Roman" w:hAnsi="Times New Roman"/>
                <w:color w:val="000000"/>
                <w:sz w:val="22"/>
                <w:szCs w:val="22"/>
                <w:lang w:eastAsia="es-DO"/>
              </w:rPr>
              <w:t>.</w:t>
            </w:r>
          </w:p>
        </w:tc>
        <w:tc>
          <w:tcPr>
            <w:tcW w:w="2089" w:type="dxa"/>
            <w:tcBorders>
              <w:top w:val="single" w:sz="4" w:space="0" w:color="auto"/>
              <w:left w:val="nil"/>
              <w:bottom w:val="single" w:sz="4" w:space="0" w:color="auto"/>
              <w:right w:val="single" w:sz="4" w:space="0" w:color="auto"/>
            </w:tcBorders>
            <w:shd w:val="clear" w:color="auto" w:fill="auto"/>
            <w:vAlign w:val="center"/>
          </w:tcPr>
          <w:p w14:paraId="330DAE05" w14:textId="18D93BE9" w:rsidR="00F839E5" w:rsidRPr="006569D0" w:rsidRDefault="00F839E5" w:rsidP="00F839E5">
            <w:pPr>
              <w:spacing w:after="0"/>
              <w:jc w:val="center"/>
              <w:rPr>
                <w:rFonts w:ascii="Times New Roman" w:hAnsi="Times New Roman"/>
                <w:color w:val="000000"/>
                <w:sz w:val="22"/>
                <w:szCs w:val="22"/>
                <w:lang w:eastAsia="es-DO"/>
              </w:rPr>
            </w:pPr>
            <w:r w:rsidRPr="006569D0">
              <w:rPr>
                <w:rFonts w:ascii="Times New Roman" w:hAnsi="Times New Roman"/>
                <w:sz w:val="22"/>
                <w:szCs w:val="22"/>
                <w:lang w:eastAsia="es-DO"/>
              </w:rPr>
              <w:t>Garantizar a la población el consumo de productos agrícolas libre de enfermedades.</w:t>
            </w:r>
          </w:p>
        </w:tc>
      </w:tr>
      <w:tr w:rsidR="00F839E5" w:rsidRPr="006569D0" w14:paraId="655BE431" w14:textId="77777777" w:rsidTr="004F3A16">
        <w:trPr>
          <w:trHeight w:val="856"/>
          <w:jc w:val="center"/>
        </w:trPr>
        <w:tc>
          <w:tcPr>
            <w:tcW w:w="2065" w:type="dxa"/>
            <w:tcBorders>
              <w:top w:val="single" w:sz="4" w:space="0" w:color="auto"/>
              <w:left w:val="single" w:sz="4" w:space="0" w:color="auto"/>
              <w:bottom w:val="single" w:sz="4" w:space="0" w:color="auto"/>
              <w:right w:val="single" w:sz="4" w:space="0" w:color="auto"/>
            </w:tcBorders>
            <w:shd w:val="clear" w:color="auto" w:fill="00B050"/>
            <w:vAlign w:val="center"/>
          </w:tcPr>
          <w:p w14:paraId="71844881" w14:textId="314A0A3E" w:rsidR="00F839E5" w:rsidRPr="006569D0" w:rsidRDefault="00F839E5" w:rsidP="00F839E5">
            <w:pPr>
              <w:spacing w:after="0"/>
              <w:jc w:val="center"/>
              <w:rPr>
                <w:rFonts w:ascii="Times New Roman" w:hAnsi="Times New Roman"/>
                <w:color w:val="000000"/>
                <w:sz w:val="22"/>
                <w:szCs w:val="22"/>
                <w:lang w:eastAsia="es-DO"/>
              </w:rPr>
            </w:pPr>
            <w:r w:rsidRPr="006569D0">
              <w:rPr>
                <w:rFonts w:ascii="Times New Roman" w:hAnsi="Times New Roman"/>
                <w:b/>
                <w:bCs/>
                <w:color w:val="FFFFFF" w:themeColor="background1"/>
                <w:sz w:val="22"/>
                <w:szCs w:val="22"/>
                <w:lang w:eastAsia="es-DO"/>
              </w:rPr>
              <w:lastRenderedPageBreak/>
              <w:t>Medida Política</w:t>
            </w:r>
          </w:p>
        </w:tc>
        <w:tc>
          <w:tcPr>
            <w:tcW w:w="3155" w:type="dxa"/>
            <w:tcBorders>
              <w:top w:val="single" w:sz="4" w:space="0" w:color="auto"/>
              <w:left w:val="nil"/>
              <w:bottom w:val="single" w:sz="4" w:space="0" w:color="auto"/>
              <w:right w:val="single" w:sz="4" w:space="0" w:color="auto"/>
            </w:tcBorders>
            <w:shd w:val="clear" w:color="auto" w:fill="00B050"/>
            <w:vAlign w:val="center"/>
          </w:tcPr>
          <w:p w14:paraId="7ADE7CD6" w14:textId="0077C94A" w:rsidR="00F839E5" w:rsidRPr="006569D0" w:rsidRDefault="00F839E5" w:rsidP="00F839E5">
            <w:pPr>
              <w:spacing w:after="0"/>
              <w:jc w:val="center"/>
              <w:rPr>
                <w:rFonts w:ascii="Times New Roman" w:hAnsi="Times New Roman"/>
                <w:color w:val="000000"/>
                <w:sz w:val="22"/>
                <w:szCs w:val="22"/>
                <w:lang w:eastAsia="es-DO"/>
              </w:rPr>
            </w:pPr>
            <w:r w:rsidRPr="006569D0">
              <w:rPr>
                <w:rFonts w:ascii="Times New Roman" w:hAnsi="Times New Roman"/>
                <w:b/>
                <w:bCs/>
                <w:color w:val="FFFFFF" w:themeColor="background1"/>
                <w:sz w:val="22"/>
                <w:szCs w:val="22"/>
                <w:lang w:eastAsia="es-DO"/>
              </w:rPr>
              <w:t>Instrumento (Ley, decreto, Resolución, norma, disposiciones administrativas)</w:t>
            </w:r>
          </w:p>
        </w:tc>
        <w:tc>
          <w:tcPr>
            <w:tcW w:w="3325" w:type="dxa"/>
            <w:tcBorders>
              <w:top w:val="single" w:sz="4" w:space="0" w:color="auto"/>
              <w:left w:val="single" w:sz="4" w:space="0" w:color="auto"/>
              <w:bottom w:val="single" w:sz="4" w:space="0" w:color="auto"/>
              <w:right w:val="single" w:sz="4" w:space="0" w:color="auto"/>
            </w:tcBorders>
            <w:shd w:val="clear" w:color="auto" w:fill="00B050"/>
            <w:vAlign w:val="center"/>
          </w:tcPr>
          <w:p w14:paraId="4468273C" w14:textId="0E71CA6B" w:rsidR="00F839E5" w:rsidRPr="006569D0" w:rsidRDefault="00F839E5" w:rsidP="00F839E5">
            <w:pPr>
              <w:spacing w:after="0"/>
              <w:jc w:val="center"/>
              <w:rPr>
                <w:rFonts w:ascii="Times New Roman" w:hAnsi="Times New Roman"/>
                <w:b/>
                <w:bCs/>
                <w:color w:val="000000"/>
                <w:sz w:val="22"/>
                <w:szCs w:val="22"/>
                <w:lang w:eastAsia="es-DO"/>
              </w:rPr>
            </w:pPr>
            <w:r w:rsidRPr="006569D0">
              <w:rPr>
                <w:rFonts w:ascii="Times New Roman" w:hAnsi="Times New Roman"/>
                <w:b/>
                <w:bCs/>
                <w:color w:val="FFFFFF" w:themeColor="background1"/>
                <w:sz w:val="22"/>
                <w:szCs w:val="22"/>
                <w:lang w:eastAsia="es-DO"/>
              </w:rPr>
              <w:t>Objetivo(s) específico(s) END a cuyo logro contribuye la medida de política</w:t>
            </w:r>
          </w:p>
        </w:tc>
        <w:tc>
          <w:tcPr>
            <w:tcW w:w="2089" w:type="dxa"/>
            <w:tcBorders>
              <w:top w:val="single" w:sz="4" w:space="0" w:color="auto"/>
              <w:left w:val="nil"/>
              <w:bottom w:val="single" w:sz="4" w:space="0" w:color="auto"/>
              <w:right w:val="single" w:sz="4" w:space="0" w:color="auto"/>
            </w:tcBorders>
            <w:shd w:val="clear" w:color="auto" w:fill="00B050"/>
            <w:vAlign w:val="center"/>
          </w:tcPr>
          <w:p w14:paraId="6AB60E9F" w14:textId="3E6F16A1" w:rsidR="00F839E5" w:rsidRPr="006569D0" w:rsidRDefault="00F839E5" w:rsidP="00F839E5">
            <w:pPr>
              <w:spacing w:after="0"/>
              <w:jc w:val="center"/>
              <w:rPr>
                <w:rFonts w:ascii="Times New Roman" w:hAnsi="Times New Roman"/>
                <w:color w:val="000000"/>
                <w:sz w:val="22"/>
                <w:szCs w:val="22"/>
                <w:lang w:eastAsia="es-DO"/>
              </w:rPr>
            </w:pPr>
            <w:r w:rsidRPr="006569D0">
              <w:rPr>
                <w:rFonts w:ascii="Times New Roman" w:hAnsi="Times New Roman"/>
                <w:b/>
                <w:bCs/>
                <w:color w:val="FFFFFF" w:themeColor="background1"/>
                <w:sz w:val="22"/>
                <w:szCs w:val="22"/>
                <w:lang w:eastAsia="es-DO"/>
              </w:rPr>
              <w:t>Línea(s) de acción de END a la que se vincula la medida de política</w:t>
            </w:r>
          </w:p>
        </w:tc>
      </w:tr>
      <w:tr w:rsidR="00F839E5" w:rsidRPr="006569D0" w14:paraId="6BBD56F7" w14:textId="77777777" w:rsidTr="004F3A16">
        <w:trPr>
          <w:trHeight w:val="856"/>
          <w:jc w:val="center"/>
        </w:trPr>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60773F54" w14:textId="77777777" w:rsidR="00F839E5" w:rsidRPr="006569D0" w:rsidRDefault="00F839E5" w:rsidP="00F63455">
            <w:pPr>
              <w:spacing w:after="0"/>
              <w:jc w:val="center"/>
              <w:rPr>
                <w:rFonts w:ascii="Times New Roman" w:hAnsi="Times New Roman"/>
                <w:color w:val="000000"/>
                <w:sz w:val="22"/>
                <w:szCs w:val="22"/>
                <w:lang w:eastAsia="es-DO"/>
              </w:rPr>
            </w:pPr>
            <w:r w:rsidRPr="006569D0">
              <w:rPr>
                <w:rFonts w:ascii="Times New Roman" w:hAnsi="Times New Roman"/>
                <w:color w:val="000000"/>
                <w:sz w:val="22"/>
                <w:szCs w:val="22"/>
                <w:lang w:eastAsia="es-DO"/>
              </w:rPr>
              <w:t>Desarrollar mecanismos expeditos de facilitación de negocios de las exportaciones</w:t>
            </w:r>
          </w:p>
        </w:tc>
        <w:tc>
          <w:tcPr>
            <w:tcW w:w="3155" w:type="dxa"/>
            <w:tcBorders>
              <w:top w:val="single" w:sz="4" w:space="0" w:color="auto"/>
              <w:left w:val="nil"/>
              <w:bottom w:val="single" w:sz="4" w:space="0" w:color="auto"/>
              <w:right w:val="single" w:sz="4" w:space="0" w:color="auto"/>
            </w:tcBorders>
            <w:shd w:val="clear" w:color="auto" w:fill="auto"/>
            <w:vAlign w:val="center"/>
          </w:tcPr>
          <w:p w14:paraId="59C56D48" w14:textId="0CF9A2EA" w:rsidR="00F839E5" w:rsidRPr="006569D0" w:rsidRDefault="00F839E5" w:rsidP="00212F64">
            <w:pPr>
              <w:spacing w:after="0"/>
              <w:jc w:val="center"/>
              <w:rPr>
                <w:rFonts w:ascii="Times New Roman" w:hAnsi="Times New Roman"/>
                <w:color w:val="000000"/>
                <w:sz w:val="22"/>
                <w:szCs w:val="22"/>
                <w:lang w:eastAsia="es-DO"/>
              </w:rPr>
            </w:pPr>
            <w:r w:rsidRPr="006569D0">
              <w:rPr>
                <w:rFonts w:ascii="Times New Roman" w:hAnsi="Times New Roman"/>
                <w:color w:val="000000"/>
                <w:sz w:val="22"/>
                <w:szCs w:val="22"/>
                <w:lang w:eastAsia="es-DO"/>
              </w:rPr>
              <w:t xml:space="preserve">(Resolución MA-2019-54) </w:t>
            </w:r>
            <w:r w:rsidRPr="006569D0">
              <w:rPr>
                <w:rFonts w:ascii="Times New Roman" w:hAnsi="Times New Roman"/>
                <w:sz w:val="22"/>
                <w:szCs w:val="22"/>
              </w:rPr>
              <w:t xml:space="preserve">Establecimiento y modificación de nuevas tarifas a través del Sistema de </w:t>
            </w:r>
            <w:r w:rsidR="00212F64" w:rsidRPr="006569D0">
              <w:rPr>
                <w:rFonts w:ascii="Times New Roman" w:hAnsi="Times New Roman"/>
                <w:sz w:val="22"/>
                <w:szCs w:val="22"/>
              </w:rPr>
              <w:t xml:space="preserve">Ventanilla </w:t>
            </w:r>
            <w:r w:rsidRPr="006569D0">
              <w:rPr>
                <w:rFonts w:ascii="Times New Roman" w:hAnsi="Times New Roman"/>
                <w:sz w:val="22"/>
                <w:szCs w:val="22"/>
              </w:rPr>
              <w:t>VUCE.</w:t>
            </w:r>
          </w:p>
        </w:tc>
        <w:tc>
          <w:tcPr>
            <w:tcW w:w="3325" w:type="dxa"/>
            <w:tcBorders>
              <w:top w:val="single" w:sz="4" w:space="0" w:color="auto"/>
              <w:left w:val="single" w:sz="4" w:space="0" w:color="auto"/>
              <w:bottom w:val="single" w:sz="4" w:space="0" w:color="auto"/>
              <w:right w:val="single" w:sz="4" w:space="0" w:color="auto"/>
            </w:tcBorders>
          </w:tcPr>
          <w:p w14:paraId="05FE45FE" w14:textId="77777777" w:rsidR="00F839E5" w:rsidRPr="006569D0" w:rsidRDefault="00F839E5" w:rsidP="00F63455">
            <w:pPr>
              <w:spacing w:after="0"/>
              <w:jc w:val="center"/>
              <w:rPr>
                <w:rFonts w:ascii="Times New Roman" w:hAnsi="Times New Roman"/>
                <w:color w:val="000000"/>
                <w:sz w:val="22"/>
                <w:szCs w:val="22"/>
                <w:lang w:eastAsia="es-DO"/>
              </w:rPr>
            </w:pPr>
            <w:r w:rsidRPr="006569D0">
              <w:rPr>
                <w:rFonts w:ascii="Times New Roman" w:hAnsi="Times New Roman"/>
                <w:b/>
                <w:bCs/>
                <w:color w:val="000000"/>
                <w:sz w:val="22"/>
                <w:szCs w:val="22"/>
                <w:lang w:eastAsia="es-DO"/>
              </w:rPr>
              <w:t>Objetivo General 2.4</w:t>
            </w:r>
            <w:r w:rsidRPr="006569D0">
              <w:rPr>
                <w:rFonts w:ascii="Times New Roman" w:hAnsi="Times New Roman"/>
                <w:color w:val="000000"/>
                <w:sz w:val="22"/>
                <w:szCs w:val="22"/>
                <w:lang w:eastAsia="es-DO"/>
              </w:rPr>
              <w:t xml:space="preserve"> </w:t>
            </w:r>
            <w:r w:rsidRPr="006569D0">
              <w:rPr>
                <w:rFonts w:ascii="Times New Roman" w:hAnsi="Times New Roman"/>
                <w:color w:val="000000"/>
                <w:sz w:val="22"/>
                <w:szCs w:val="22"/>
                <w:lang w:eastAsia="es-DO"/>
              </w:rPr>
              <w:br/>
              <w:t>Establecer mecanismos de integración de procesos tarifa única al sistema VUCE-RD vía solicitud de importación de producto de origen Agropecuario</w:t>
            </w:r>
          </w:p>
        </w:tc>
        <w:tc>
          <w:tcPr>
            <w:tcW w:w="2089" w:type="dxa"/>
            <w:tcBorders>
              <w:top w:val="single" w:sz="4" w:space="0" w:color="auto"/>
              <w:left w:val="nil"/>
              <w:bottom w:val="single" w:sz="4" w:space="0" w:color="auto"/>
              <w:right w:val="single" w:sz="4" w:space="0" w:color="auto"/>
            </w:tcBorders>
            <w:shd w:val="clear" w:color="auto" w:fill="auto"/>
            <w:vAlign w:val="center"/>
          </w:tcPr>
          <w:p w14:paraId="06CFC4CB" w14:textId="77777777" w:rsidR="00F839E5" w:rsidRPr="006569D0" w:rsidRDefault="00F839E5" w:rsidP="00F63455">
            <w:pPr>
              <w:spacing w:after="0"/>
              <w:jc w:val="center"/>
              <w:rPr>
                <w:rFonts w:ascii="Times New Roman" w:hAnsi="Times New Roman"/>
                <w:color w:val="000000"/>
                <w:sz w:val="22"/>
                <w:szCs w:val="22"/>
                <w:lang w:eastAsia="es-DO"/>
              </w:rPr>
            </w:pPr>
            <w:r w:rsidRPr="006569D0">
              <w:rPr>
                <w:rFonts w:ascii="Times New Roman" w:hAnsi="Times New Roman"/>
                <w:color w:val="000000"/>
                <w:sz w:val="22"/>
                <w:szCs w:val="22"/>
                <w:lang w:eastAsia="es-DO"/>
              </w:rPr>
              <w:t>Apoyar la competitividad, diversificación y sostenibilidad del sector.</w:t>
            </w:r>
          </w:p>
        </w:tc>
      </w:tr>
      <w:tr w:rsidR="00F839E5" w:rsidRPr="006569D0" w14:paraId="1425D452" w14:textId="77777777" w:rsidTr="004F3A16">
        <w:trPr>
          <w:trHeight w:val="388"/>
          <w:jc w:val="center"/>
        </w:trPr>
        <w:tc>
          <w:tcPr>
            <w:tcW w:w="2065" w:type="dxa"/>
            <w:vMerge w:val="restart"/>
            <w:tcBorders>
              <w:top w:val="single" w:sz="4" w:space="0" w:color="auto"/>
              <w:left w:val="single" w:sz="4" w:space="0" w:color="auto"/>
              <w:right w:val="single" w:sz="4" w:space="0" w:color="auto"/>
            </w:tcBorders>
            <w:shd w:val="clear" w:color="auto" w:fill="auto"/>
            <w:vAlign w:val="center"/>
          </w:tcPr>
          <w:p w14:paraId="59BE3CE9" w14:textId="77777777" w:rsidR="00F839E5" w:rsidRPr="006569D0" w:rsidRDefault="00F839E5" w:rsidP="00F63455">
            <w:pPr>
              <w:spacing w:after="0"/>
              <w:jc w:val="center"/>
              <w:rPr>
                <w:rFonts w:ascii="Times New Roman" w:hAnsi="Times New Roman"/>
                <w:sz w:val="22"/>
                <w:szCs w:val="22"/>
                <w:lang w:eastAsia="es-DO"/>
              </w:rPr>
            </w:pPr>
            <w:r w:rsidRPr="006569D0">
              <w:rPr>
                <w:rFonts w:ascii="Times New Roman" w:hAnsi="Times New Roman"/>
                <w:sz w:val="22"/>
                <w:szCs w:val="22"/>
                <w:lang w:eastAsia="es-DO"/>
              </w:rPr>
              <w:t>Promoción y fortalecimiento de la mejoría del profesional agrícola, de forma que motive a próximas generaciones a la formación profesional de este importante sector productivo nacional.</w:t>
            </w:r>
          </w:p>
        </w:tc>
        <w:tc>
          <w:tcPr>
            <w:tcW w:w="3155" w:type="dxa"/>
            <w:tcBorders>
              <w:top w:val="single" w:sz="4" w:space="0" w:color="auto"/>
              <w:left w:val="nil"/>
              <w:bottom w:val="single" w:sz="4" w:space="0" w:color="auto"/>
              <w:right w:val="single" w:sz="4" w:space="0" w:color="auto"/>
            </w:tcBorders>
            <w:shd w:val="clear" w:color="auto" w:fill="auto"/>
            <w:vAlign w:val="center"/>
          </w:tcPr>
          <w:p w14:paraId="7233A828" w14:textId="77777777" w:rsidR="00F839E5" w:rsidRPr="006569D0" w:rsidRDefault="00F839E5" w:rsidP="00F63455">
            <w:pPr>
              <w:spacing w:after="0"/>
              <w:jc w:val="center"/>
              <w:rPr>
                <w:rFonts w:ascii="Times New Roman" w:hAnsi="Times New Roman"/>
                <w:sz w:val="22"/>
                <w:szCs w:val="22"/>
                <w:lang w:eastAsia="es-DO"/>
              </w:rPr>
            </w:pPr>
            <w:r w:rsidRPr="006569D0">
              <w:rPr>
                <w:rFonts w:ascii="Times New Roman" w:hAnsi="Times New Roman"/>
                <w:sz w:val="22"/>
                <w:szCs w:val="22"/>
                <w:lang w:eastAsia="es-DO"/>
              </w:rPr>
              <w:t xml:space="preserve">(Resolución MA-2019-6) </w:t>
            </w:r>
            <w:r w:rsidRPr="006569D0">
              <w:rPr>
                <w:rFonts w:ascii="Times New Roman" w:hAnsi="Times New Roman"/>
                <w:sz w:val="22"/>
                <w:szCs w:val="22"/>
              </w:rPr>
              <w:t>Establecimiento de las bases para la categorización de profesionales y técnicos agropecuarios, de acuerdo a la profesión, grado académico y años de servicio.</w:t>
            </w:r>
          </w:p>
        </w:tc>
        <w:tc>
          <w:tcPr>
            <w:tcW w:w="3325" w:type="dxa"/>
            <w:vMerge w:val="restart"/>
            <w:tcBorders>
              <w:top w:val="single" w:sz="4" w:space="0" w:color="auto"/>
              <w:left w:val="nil"/>
              <w:right w:val="single" w:sz="4" w:space="0" w:color="auto"/>
            </w:tcBorders>
            <w:shd w:val="clear" w:color="auto" w:fill="auto"/>
            <w:vAlign w:val="center"/>
          </w:tcPr>
          <w:p w14:paraId="42C70DDA" w14:textId="77777777" w:rsidR="00F839E5" w:rsidRPr="006569D0" w:rsidRDefault="00F839E5" w:rsidP="00F63455">
            <w:pPr>
              <w:autoSpaceDE w:val="0"/>
              <w:autoSpaceDN w:val="0"/>
              <w:adjustRightInd w:val="0"/>
              <w:spacing w:after="0"/>
              <w:jc w:val="center"/>
              <w:rPr>
                <w:rFonts w:ascii="Times New Roman" w:hAnsi="Times New Roman"/>
                <w:b/>
                <w:sz w:val="22"/>
                <w:szCs w:val="22"/>
                <w:lang w:eastAsia="es-DO"/>
              </w:rPr>
            </w:pPr>
            <w:r w:rsidRPr="006569D0">
              <w:rPr>
                <w:rFonts w:ascii="Times New Roman" w:hAnsi="Times New Roman"/>
                <w:b/>
                <w:sz w:val="22"/>
                <w:szCs w:val="22"/>
                <w:lang w:eastAsia="es-DO"/>
              </w:rPr>
              <w:t>Objetivo Especifico 3.3.2</w:t>
            </w:r>
          </w:p>
          <w:p w14:paraId="696B3FD5" w14:textId="77777777" w:rsidR="00F839E5" w:rsidRPr="006569D0" w:rsidRDefault="00F839E5" w:rsidP="00F63455">
            <w:pPr>
              <w:autoSpaceDE w:val="0"/>
              <w:autoSpaceDN w:val="0"/>
              <w:adjustRightInd w:val="0"/>
              <w:spacing w:after="0"/>
              <w:jc w:val="center"/>
              <w:rPr>
                <w:rFonts w:ascii="Times New Roman" w:hAnsi="Times New Roman"/>
                <w:b/>
                <w:bCs/>
                <w:sz w:val="22"/>
                <w:szCs w:val="22"/>
                <w:lang w:eastAsia="es-DO"/>
              </w:rPr>
            </w:pPr>
            <w:r w:rsidRPr="006569D0">
              <w:rPr>
                <w:rFonts w:ascii="Times New Roman" w:hAnsi="Times New Roman"/>
                <w:sz w:val="22"/>
                <w:szCs w:val="22"/>
                <w:lang w:eastAsia="es-DO"/>
              </w:rPr>
              <w:t>Consolidar el clima de paz laboral para apoyarla generación de empleo decente e impulsar la profesionalización de los empleados del sector agropecuario.</w:t>
            </w:r>
          </w:p>
        </w:tc>
        <w:tc>
          <w:tcPr>
            <w:tcW w:w="2089" w:type="dxa"/>
            <w:vMerge w:val="restart"/>
            <w:tcBorders>
              <w:top w:val="single" w:sz="4" w:space="0" w:color="auto"/>
              <w:left w:val="nil"/>
              <w:right w:val="single" w:sz="4" w:space="0" w:color="auto"/>
            </w:tcBorders>
            <w:shd w:val="clear" w:color="auto" w:fill="auto"/>
            <w:vAlign w:val="center"/>
          </w:tcPr>
          <w:p w14:paraId="527CADD6" w14:textId="77777777" w:rsidR="00F839E5" w:rsidRPr="006569D0" w:rsidRDefault="00F839E5" w:rsidP="00F63455">
            <w:pPr>
              <w:spacing w:after="0"/>
              <w:jc w:val="center"/>
              <w:rPr>
                <w:rFonts w:ascii="Times New Roman" w:hAnsi="Times New Roman"/>
                <w:sz w:val="22"/>
                <w:szCs w:val="22"/>
                <w:lang w:eastAsia="es-DO"/>
              </w:rPr>
            </w:pPr>
            <w:r w:rsidRPr="006569D0">
              <w:rPr>
                <w:rFonts w:ascii="Times New Roman" w:hAnsi="Times New Roman"/>
                <w:sz w:val="22"/>
                <w:szCs w:val="22"/>
                <w:lang w:eastAsia="es-DO"/>
              </w:rPr>
              <w:t>Promover un entorno laboral armónico y crear expectativas positiva en el trabajador profesional agropecuario.</w:t>
            </w:r>
          </w:p>
        </w:tc>
      </w:tr>
      <w:tr w:rsidR="00F839E5" w:rsidRPr="006569D0" w14:paraId="27ADCB1B" w14:textId="77777777" w:rsidTr="004F3A16">
        <w:trPr>
          <w:trHeight w:val="1605"/>
          <w:jc w:val="center"/>
        </w:trPr>
        <w:tc>
          <w:tcPr>
            <w:tcW w:w="2065" w:type="dxa"/>
            <w:vMerge/>
            <w:tcBorders>
              <w:left w:val="single" w:sz="4" w:space="0" w:color="auto"/>
              <w:right w:val="single" w:sz="4" w:space="0" w:color="auto"/>
            </w:tcBorders>
            <w:shd w:val="clear" w:color="auto" w:fill="auto"/>
            <w:vAlign w:val="center"/>
          </w:tcPr>
          <w:p w14:paraId="0A4EFEA5" w14:textId="77777777" w:rsidR="00F839E5" w:rsidRPr="006569D0" w:rsidRDefault="00F839E5" w:rsidP="00F63455">
            <w:pPr>
              <w:spacing w:after="0"/>
              <w:jc w:val="center"/>
              <w:rPr>
                <w:rFonts w:ascii="Times New Roman" w:hAnsi="Times New Roman"/>
                <w:sz w:val="22"/>
                <w:szCs w:val="22"/>
                <w:lang w:eastAsia="es-DO"/>
              </w:rPr>
            </w:pPr>
          </w:p>
        </w:tc>
        <w:tc>
          <w:tcPr>
            <w:tcW w:w="3155" w:type="dxa"/>
            <w:tcBorders>
              <w:top w:val="single" w:sz="4" w:space="0" w:color="auto"/>
              <w:left w:val="nil"/>
              <w:bottom w:val="single" w:sz="4" w:space="0" w:color="auto"/>
              <w:right w:val="single" w:sz="4" w:space="0" w:color="auto"/>
            </w:tcBorders>
            <w:shd w:val="clear" w:color="auto" w:fill="auto"/>
            <w:vAlign w:val="center"/>
          </w:tcPr>
          <w:p w14:paraId="138BC3E8" w14:textId="77777777" w:rsidR="00F839E5" w:rsidRPr="006569D0" w:rsidRDefault="00F839E5" w:rsidP="00F63455">
            <w:pPr>
              <w:spacing w:after="0"/>
              <w:jc w:val="center"/>
              <w:rPr>
                <w:rFonts w:ascii="Times New Roman" w:hAnsi="Times New Roman"/>
                <w:sz w:val="22"/>
                <w:szCs w:val="22"/>
                <w:lang w:eastAsia="es-DO"/>
              </w:rPr>
            </w:pPr>
            <w:r w:rsidRPr="006569D0">
              <w:rPr>
                <w:rFonts w:ascii="Times New Roman" w:hAnsi="Times New Roman"/>
                <w:sz w:val="22"/>
                <w:szCs w:val="22"/>
                <w:lang w:eastAsia="es-DO"/>
              </w:rPr>
              <w:t>(Resolución MA-2019-50)</w:t>
            </w:r>
          </w:p>
          <w:p w14:paraId="73E74517" w14:textId="77777777" w:rsidR="00F839E5" w:rsidRPr="006569D0" w:rsidRDefault="00F839E5" w:rsidP="00F63455">
            <w:pPr>
              <w:spacing w:after="0"/>
              <w:jc w:val="center"/>
              <w:rPr>
                <w:rFonts w:ascii="Times New Roman" w:eastAsiaTheme="minorHAnsi" w:hAnsi="Times New Roman"/>
                <w:sz w:val="22"/>
                <w:szCs w:val="22"/>
                <w:lang w:eastAsia="en-US"/>
              </w:rPr>
            </w:pPr>
            <w:r w:rsidRPr="006569D0">
              <w:rPr>
                <w:rFonts w:ascii="Times New Roman" w:hAnsi="Times New Roman"/>
                <w:sz w:val="22"/>
                <w:szCs w:val="22"/>
              </w:rPr>
              <w:t>Se agrega colectilla a sección profesional superior III de la Resolución – MA-2019-6, d/f 11-02-10, para elevación de categoría.</w:t>
            </w:r>
          </w:p>
        </w:tc>
        <w:tc>
          <w:tcPr>
            <w:tcW w:w="3325" w:type="dxa"/>
            <w:vMerge/>
            <w:tcBorders>
              <w:left w:val="nil"/>
              <w:right w:val="single" w:sz="4" w:space="0" w:color="auto"/>
            </w:tcBorders>
            <w:shd w:val="clear" w:color="auto" w:fill="auto"/>
            <w:vAlign w:val="center"/>
          </w:tcPr>
          <w:p w14:paraId="0A526AD6" w14:textId="77777777" w:rsidR="00F839E5" w:rsidRPr="006569D0" w:rsidRDefault="00F839E5" w:rsidP="00F63455">
            <w:pPr>
              <w:spacing w:after="0"/>
              <w:jc w:val="center"/>
              <w:rPr>
                <w:rFonts w:ascii="Times New Roman" w:hAnsi="Times New Roman"/>
                <w:sz w:val="22"/>
                <w:szCs w:val="22"/>
                <w:lang w:eastAsia="es-DO"/>
              </w:rPr>
            </w:pPr>
          </w:p>
        </w:tc>
        <w:tc>
          <w:tcPr>
            <w:tcW w:w="2089" w:type="dxa"/>
            <w:vMerge/>
            <w:tcBorders>
              <w:left w:val="nil"/>
              <w:right w:val="single" w:sz="4" w:space="0" w:color="auto"/>
            </w:tcBorders>
            <w:shd w:val="clear" w:color="auto" w:fill="auto"/>
            <w:vAlign w:val="center"/>
          </w:tcPr>
          <w:p w14:paraId="16D94160" w14:textId="77777777" w:rsidR="00F839E5" w:rsidRPr="006569D0" w:rsidRDefault="00F839E5" w:rsidP="00F63455">
            <w:pPr>
              <w:spacing w:after="0"/>
              <w:jc w:val="center"/>
              <w:rPr>
                <w:rFonts w:ascii="Times New Roman" w:hAnsi="Times New Roman"/>
                <w:sz w:val="22"/>
                <w:szCs w:val="22"/>
                <w:lang w:eastAsia="es-DO"/>
              </w:rPr>
            </w:pPr>
          </w:p>
        </w:tc>
      </w:tr>
      <w:tr w:rsidR="00F839E5" w:rsidRPr="006569D0" w14:paraId="10ADF0AB" w14:textId="77777777" w:rsidTr="004F3A16">
        <w:trPr>
          <w:trHeight w:val="1425"/>
          <w:jc w:val="center"/>
        </w:trPr>
        <w:tc>
          <w:tcPr>
            <w:tcW w:w="2065" w:type="dxa"/>
            <w:vMerge/>
            <w:tcBorders>
              <w:left w:val="single" w:sz="4" w:space="0" w:color="auto"/>
              <w:right w:val="single" w:sz="4" w:space="0" w:color="auto"/>
            </w:tcBorders>
            <w:shd w:val="clear" w:color="auto" w:fill="auto"/>
            <w:vAlign w:val="center"/>
          </w:tcPr>
          <w:p w14:paraId="51558C5F" w14:textId="77777777" w:rsidR="00F839E5" w:rsidRPr="006569D0" w:rsidRDefault="00F839E5" w:rsidP="00F63455">
            <w:pPr>
              <w:spacing w:after="0"/>
              <w:jc w:val="center"/>
              <w:rPr>
                <w:rFonts w:ascii="Times New Roman" w:hAnsi="Times New Roman"/>
                <w:sz w:val="22"/>
                <w:szCs w:val="22"/>
                <w:lang w:eastAsia="es-DO"/>
              </w:rPr>
            </w:pPr>
          </w:p>
        </w:tc>
        <w:tc>
          <w:tcPr>
            <w:tcW w:w="3155" w:type="dxa"/>
            <w:tcBorders>
              <w:top w:val="single" w:sz="4" w:space="0" w:color="auto"/>
              <w:left w:val="nil"/>
              <w:bottom w:val="single" w:sz="4" w:space="0" w:color="auto"/>
              <w:right w:val="single" w:sz="4" w:space="0" w:color="auto"/>
            </w:tcBorders>
            <w:shd w:val="clear" w:color="auto" w:fill="auto"/>
            <w:vAlign w:val="center"/>
          </w:tcPr>
          <w:p w14:paraId="59F6EFE0" w14:textId="77777777" w:rsidR="00F839E5" w:rsidRPr="006569D0" w:rsidRDefault="00F839E5" w:rsidP="00F63455">
            <w:pPr>
              <w:spacing w:after="0"/>
              <w:jc w:val="center"/>
              <w:rPr>
                <w:rFonts w:ascii="Times New Roman" w:hAnsi="Times New Roman"/>
                <w:sz w:val="22"/>
                <w:szCs w:val="22"/>
              </w:rPr>
            </w:pPr>
            <w:r w:rsidRPr="006569D0">
              <w:rPr>
                <w:rFonts w:ascii="Times New Roman" w:hAnsi="Times New Roman"/>
                <w:sz w:val="22"/>
                <w:szCs w:val="22"/>
                <w:lang w:eastAsia="es-DO"/>
              </w:rPr>
              <w:t xml:space="preserve">(Resolución MA-2019-32) </w:t>
            </w:r>
            <w:r w:rsidRPr="006569D0">
              <w:rPr>
                <w:rFonts w:ascii="Times New Roman" w:hAnsi="Times New Roman"/>
                <w:sz w:val="22"/>
                <w:szCs w:val="22"/>
              </w:rPr>
              <w:t>Creación del premio al Mérito Agropecuario para destacar el que hacer Agropecuario nacional.</w:t>
            </w:r>
          </w:p>
        </w:tc>
        <w:tc>
          <w:tcPr>
            <w:tcW w:w="3325" w:type="dxa"/>
            <w:vMerge/>
            <w:tcBorders>
              <w:left w:val="nil"/>
              <w:right w:val="single" w:sz="4" w:space="0" w:color="auto"/>
            </w:tcBorders>
            <w:shd w:val="clear" w:color="auto" w:fill="auto"/>
            <w:vAlign w:val="center"/>
          </w:tcPr>
          <w:p w14:paraId="715D5CA2" w14:textId="77777777" w:rsidR="00F839E5" w:rsidRPr="006569D0" w:rsidRDefault="00F839E5" w:rsidP="00F63455">
            <w:pPr>
              <w:spacing w:after="0"/>
              <w:jc w:val="center"/>
              <w:rPr>
                <w:rFonts w:ascii="Times New Roman" w:hAnsi="Times New Roman"/>
                <w:sz w:val="22"/>
                <w:szCs w:val="22"/>
                <w:lang w:eastAsia="es-DO"/>
              </w:rPr>
            </w:pPr>
          </w:p>
        </w:tc>
        <w:tc>
          <w:tcPr>
            <w:tcW w:w="2089" w:type="dxa"/>
            <w:vMerge/>
            <w:tcBorders>
              <w:left w:val="nil"/>
              <w:right w:val="single" w:sz="4" w:space="0" w:color="auto"/>
            </w:tcBorders>
            <w:shd w:val="clear" w:color="auto" w:fill="auto"/>
            <w:vAlign w:val="center"/>
          </w:tcPr>
          <w:p w14:paraId="25B7A126" w14:textId="77777777" w:rsidR="00F839E5" w:rsidRPr="006569D0" w:rsidRDefault="00F839E5" w:rsidP="00F63455">
            <w:pPr>
              <w:spacing w:after="0"/>
              <w:jc w:val="center"/>
              <w:rPr>
                <w:rFonts w:ascii="Times New Roman" w:hAnsi="Times New Roman"/>
                <w:sz w:val="22"/>
                <w:szCs w:val="22"/>
                <w:lang w:eastAsia="es-DO"/>
              </w:rPr>
            </w:pPr>
          </w:p>
        </w:tc>
      </w:tr>
      <w:tr w:rsidR="00F839E5" w:rsidRPr="006569D0" w14:paraId="56ED0F22" w14:textId="77777777" w:rsidTr="004F3A16">
        <w:trPr>
          <w:trHeight w:val="1787"/>
          <w:jc w:val="center"/>
        </w:trPr>
        <w:tc>
          <w:tcPr>
            <w:tcW w:w="2065" w:type="dxa"/>
            <w:vMerge/>
            <w:tcBorders>
              <w:left w:val="single" w:sz="4" w:space="0" w:color="auto"/>
              <w:bottom w:val="single" w:sz="4" w:space="0" w:color="auto"/>
              <w:right w:val="single" w:sz="4" w:space="0" w:color="auto"/>
            </w:tcBorders>
            <w:shd w:val="clear" w:color="auto" w:fill="auto"/>
            <w:vAlign w:val="center"/>
          </w:tcPr>
          <w:p w14:paraId="7BF69CFF" w14:textId="77777777" w:rsidR="00F839E5" w:rsidRPr="006569D0" w:rsidRDefault="00F839E5" w:rsidP="00F63455">
            <w:pPr>
              <w:spacing w:after="0"/>
              <w:jc w:val="center"/>
              <w:rPr>
                <w:rFonts w:ascii="Times New Roman" w:hAnsi="Times New Roman"/>
                <w:sz w:val="22"/>
                <w:szCs w:val="22"/>
                <w:lang w:eastAsia="es-DO"/>
              </w:rPr>
            </w:pPr>
          </w:p>
        </w:tc>
        <w:tc>
          <w:tcPr>
            <w:tcW w:w="3155" w:type="dxa"/>
            <w:tcBorders>
              <w:top w:val="single" w:sz="4" w:space="0" w:color="auto"/>
              <w:left w:val="nil"/>
              <w:bottom w:val="single" w:sz="4" w:space="0" w:color="auto"/>
              <w:right w:val="single" w:sz="4" w:space="0" w:color="auto"/>
            </w:tcBorders>
            <w:shd w:val="clear" w:color="auto" w:fill="auto"/>
            <w:vAlign w:val="center"/>
          </w:tcPr>
          <w:p w14:paraId="3EF1CA6A" w14:textId="77777777" w:rsidR="00F839E5" w:rsidRPr="006569D0" w:rsidRDefault="00F839E5" w:rsidP="00F63455">
            <w:pPr>
              <w:spacing w:after="0"/>
              <w:jc w:val="center"/>
              <w:rPr>
                <w:rFonts w:ascii="Times New Roman" w:hAnsi="Times New Roman"/>
                <w:sz w:val="22"/>
                <w:szCs w:val="22"/>
              </w:rPr>
            </w:pPr>
            <w:r w:rsidRPr="006569D0">
              <w:rPr>
                <w:rFonts w:ascii="Times New Roman" w:hAnsi="Times New Roman"/>
                <w:sz w:val="22"/>
                <w:szCs w:val="22"/>
                <w:lang w:eastAsia="es-DO"/>
              </w:rPr>
              <w:t>(Resolución MA-2019-34)</w:t>
            </w:r>
          </w:p>
          <w:p w14:paraId="5CEF0E03" w14:textId="77777777" w:rsidR="00F839E5" w:rsidRPr="006569D0" w:rsidRDefault="00F839E5" w:rsidP="00F63455">
            <w:pPr>
              <w:spacing w:after="0"/>
              <w:jc w:val="center"/>
              <w:rPr>
                <w:rFonts w:ascii="Times New Roman" w:hAnsi="Times New Roman"/>
                <w:sz w:val="22"/>
                <w:szCs w:val="22"/>
              </w:rPr>
            </w:pPr>
            <w:r w:rsidRPr="006569D0">
              <w:rPr>
                <w:rFonts w:ascii="Times New Roman" w:hAnsi="Times New Roman"/>
                <w:sz w:val="22"/>
                <w:szCs w:val="22"/>
              </w:rPr>
              <w:t>Establecimiento de bono de compensación por fallecimiento de familiares directos de empleado, así como por nacimientos de hijos.</w:t>
            </w:r>
          </w:p>
        </w:tc>
        <w:tc>
          <w:tcPr>
            <w:tcW w:w="3325" w:type="dxa"/>
            <w:vMerge/>
            <w:tcBorders>
              <w:left w:val="nil"/>
              <w:bottom w:val="single" w:sz="4" w:space="0" w:color="auto"/>
              <w:right w:val="single" w:sz="4" w:space="0" w:color="auto"/>
            </w:tcBorders>
            <w:shd w:val="clear" w:color="auto" w:fill="auto"/>
            <w:vAlign w:val="center"/>
          </w:tcPr>
          <w:p w14:paraId="59F96A32" w14:textId="77777777" w:rsidR="00F839E5" w:rsidRPr="006569D0" w:rsidRDefault="00F839E5" w:rsidP="00F63455">
            <w:pPr>
              <w:spacing w:after="0"/>
              <w:jc w:val="center"/>
              <w:rPr>
                <w:rFonts w:ascii="Times New Roman" w:hAnsi="Times New Roman"/>
                <w:sz w:val="22"/>
                <w:szCs w:val="22"/>
                <w:lang w:eastAsia="es-DO"/>
              </w:rPr>
            </w:pPr>
          </w:p>
        </w:tc>
        <w:tc>
          <w:tcPr>
            <w:tcW w:w="2089" w:type="dxa"/>
            <w:vMerge/>
            <w:tcBorders>
              <w:left w:val="nil"/>
              <w:bottom w:val="single" w:sz="4" w:space="0" w:color="auto"/>
              <w:right w:val="single" w:sz="4" w:space="0" w:color="auto"/>
            </w:tcBorders>
            <w:shd w:val="clear" w:color="auto" w:fill="auto"/>
            <w:vAlign w:val="center"/>
          </w:tcPr>
          <w:p w14:paraId="506BE996" w14:textId="77777777" w:rsidR="00F839E5" w:rsidRPr="006569D0" w:rsidRDefault="00F839E5" w:rsidP="00F63455">
            <w:pPr>
              <w:spacing w:after="0"/>
              <w:jc w:val="center"/>
              <w:rPr>
                <w:rFonts w:ascii="Times New Roman" w:hAnsi="Times New Roman"/>
                <w:sz w:val="22"/>
                <w:szCs w:val="22"/>
                <w:lang w:eastAsia="es-DO"/>
              </w:rPr>
            </w:pPr>
          </w:p>
        </w:tc>
      </w:tr>
      <w:tr w:rsidR="00F839E5" w:rsidRPr="006569D0" w14:paraId="74BA0657" w14:textId="77777777" w:rsidTr="004F3A16">
        <w:trPr>
          <w:trHeight w:val="886"/>
          <w:jc w:val="center"/>
        </w:trPr>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57312CD4" w14:textId="77777777" w:rsidR="00F839E5" w:rsidRPr="006569D0" w:rsidRDefault="00F839E5" w:rsidP="00F63455">
            <w:pPr>
              <w:spacing w:after="0"/>
              <w:jc w:val="center"/>
              <w:rPr>
                <w:rFonts w:ascii="Times New Roman" w:hAnsi="Times New Roman"/>
                <w:sz w:val="22"/>
                <w:szCs w:val="22"/>
                <w:lang w:eastAsia="es-DO"/>
              </w:rPr>
            </w:pPr>
            <w:r w:rsidRPr="006569D0">
              <w:rPr>
                <w:rFonts w:ascii="Times New Roman" w:hAnsi="Times New Roman"/>
                <w:sz w:val="22"/>
                <w:szCs w:val="22"/>
                <w:lang w:eastAsia="es-DO"/>
              </w:rPr>
              <w:t>Garantizar el incremento de la productividad haciendo uso correcto y adecuado del recurso agua con la colaboración logística y manejo de otras instituciones.</w:t>
            </w:r>
          </w:p>
        </w:tc>
        <w:tc>
          <w:tcPr>
            <w:tcW w:w="3155" w:type="dxa"/>
            <w:tcBorders>
              <w:top w:val="single" w:sz="4" w:space="0" w:color="auto"/>
              <w:left w:val="nil"/>
              <w:bottom w:val="single" w:sz="4" w:space="0" w:color="auto"/>
              <w:right w:val="single" w:sz="4" w:space="0" w:color="auto"/>
            </w:tcBorders>
            <w:shd w:val="clear" w:color="auto" w:fill="auto"/>
            <w:vAlign w:val="center"/>
          </w:tcPr>
          <w:p w14:paraId="1491B0F6" w14:textId="77777777" w:rsidR="00F839E5" w:rsidRPr="006569D0" w:rsidRDefault="00F839E5" w:rsidP="00F63455">
            <w:pPr>
              <w:spacing w:after="0"/>
              <w:jc w:val="center"/>
              <w:rPr>
                <w:rFonts w:ascii="Times New Roman" w:hAnsi="Times New Roman"/>
                <w:sz w:val="22"/>
                <w:szCs w:val="22"/>
                <w:lang w:eastAsia="es-DO"/>
              </w:rPr>
            </w:pPr>
            <w:r w:rsidRPr="006569D0">
              <w:rPr>
                <w:rFonts w:ascii="Times New Roman" w:hAnsi="Times New Roman"/>
                <w:sz w:val="22"/>
                <w:szCs w:val="22"/>
                <w:lang w:eastAsia="es-DO"/>
              </w:rPr>
              <w:t>(Resolución MA-2019-22) Creación de la Unidad Ejecutora de Proyectos de Inversión Pública (UEPIP)</w:t>
            </w:r>
          </w:p>
        </w:tc>
        <w:tc>
          <w:tcPr>
            <w:tcW w:w="3325" w:type="dxa"/>
            <w:tcBorders>
              <w:top w:val="single" w:sz="4" w:space="0" w:color="auto"/>
              <w:left w:val="nil"/>
              <w:bottom w:val="single" w:sz="4" w:space="0" w:color="auto"/>
              <w:right w:val="single" w:sz="4" w:space="0" w:color="auto"/>
            </w:tcBorders>
            <w:shd w:val="clear" w:color="auto" w:fill="auto"/>
            <w:vAlign w:val="center"/>
          </w:tcPr>
          <w:p w14:paraId="343E8F15" w14:textId="77777777" w:rsidR="00F839E5" w:rsidRPr="006569D0" w:rsidRDefault="00F839E5" w:rsidP="00F63455">
            <w:pPr>
              <w:autoSpaceDE w:val="0"/>
              <w:autoSpaceDN w:val="0"/>
              <w:adjustRightInd w:val="0"/>
              <w:spacing w:after="0"/>
              <w:jc w:val="center"/>
              <w:rPr>
                <w:rFonts w:ascii="Times New Roman" w:hAnsi="Times New Roman"/>
                <w:b/>
                <w:bCs/>
                <w:color w:val="000000"/>
                <w:sz w:val="22"/>
                <w:szCs w:val="22"/>
                <w:lang w:eastAsia="es-DO"/>
              </w:rPr>
            </w:pPr>
            <w:r w:rsidRPr="006569D0">
              <w:rPr>
                <w:rFonts w:ascii="Times New Roman" w:hAnsi="Times New Roman"/>
                <w:b/>
                <w:bCs/>
                <w:color w:val="000000"/>
                <w:sz w:val="22"/>
                <w:szCs w:val="22"/>
                <w:lang w:eastAsia="es-DO"/>
              </w:rPr>
              <w:t>Objetivo Especifico 2.4.2</w:t>
            </w:r>
          </w:p>
          <w:p w14:paraId="5F03D791" w14:textId="77777777" w:rsidR="00F839E5" w:rsidRPr="006569D0" w:rsidRDefault="00F839E5" w:rsidP="00F63455">
            <w:pPr>
              <w:autoSpaceDE w:val="0"/>
              <w:autoSpaceDN w:val="0"/>
              <w:adjustRightInd w:val="0"/>
              <w:spacing w:after="0"/>
              <w:jc w:val="center"/>
              <w:rPr>
                <w:rFonts w:ascii="Times New Roman" w:hAnsi="Times New Roman"/>
                <w:color w:val="000000"/>
                <w:sz w:val="22"/>
                <w:szCs w:val="22"/>
                <w:lang w:eastAsia="es-DO"/>
              </w:rPr>
            </w:pPr>
            <w:r w:rsidRPr="006569D0">
              <w:rPr>
                <w:rFonts w:ascii="Times New Roman" w:hAnsi="Times New Roman"/>
                <w:color w:val="000000"/>
                <w:sz w:val="22"/>
                <w:szCs w:val="22"/>
                <w:lang w:eastAsia="es-DO"/>
              </w:rPr>
              <w:t>Reducir la disparidad urbano-rural e interregional en el acceso a servicios y oportunidades económicas, mediante la promoción de un desarrollo territorial ordenado e inclusivo.</w:t>
            </w:r>
          </w:p>
        </w:tc>
        <w:tc>
          <w:tcPr>
            <w:tcW w:w="2089" w:type="dxa"/>
            <w:tcBorders>
              <w:top w:val="single" w:sz="4" w:space="0" w:color="auto"/>
              <w:left w:val="nil"/>
              <w:bottom w:val="single" w:sz="4" w:space="0" w:color="auto"/>
              <w:right w:val="single" w:sz="4" w:space="0" w:color="auto"/>
            </w:tcBorders>
            <w:shd w:val="clear" w:color="auto" w:fill="auto"/>
            <w:vAlign w:val="center"/>
          </w:tcPr>
          <w:p w14:paraId="3171C5B2" w14:textId="77777777" w:rsidR="00F839E5" w:rsidRPr="006569D0" w:rsidRDefault="00F839E5" w:rsidP="00F63455">
            <w:pPr>
              <w:spacing w:after="0"/>
              <w:jc w:val="center"/>
              <w:rPr>
                <w:rFonts w:ascii="Times New Roman" w:hAnsi="Times New Roman"/>
                <w:sz w:val="22"/>
                <w:szCs w:val="22"/>
                <w:lang w:eastAsia="es-DO"/>
              </w:rPr>
            </w:pPr>
            <w:r w:rsidRPr="006569D0">
              <w:rPr>
                <w:rFonts w:ascii="Times New Roman" w:hAnsi="Times New Roman"/>
                <w:sz w:val="22"/>
                <w:szCs w:val="22"/>
                <w:lang w:eastAsia="es-DO"/>
              </w:rPr>
              <w:t>Desarrollar y fortalecer estructuras productivas para eficientizar el aprovechamiento de los recursos, que contribuyan a la cadena productiva.</w:t>
            </w:r>
          </w:p>
        </w:tc>
      </w:tr>
    </w:tbl>
    <w:p w14:paraId="4784F811" w14:textId="76528400" w:rsidR="00212F64" w:rsidRDefault="00212F64"/>
    <w:p w14:paraId="569EEFC8" w14:textId="77777777" w:rsidR="0030703A" w:rsidRPr="006569D0" w:rsidRDefault="0030703A"/>
    <w:tbl>
      <w:tblPr>
        <w:tblW w:w="10634" w:type="dxa"/>
        <w:jc w:val="center"/>
        <w:tblCellMar>
          <w:left w:w="70" w:type="dxa"/>
          <w:right w:w="70" w:type="dxa"/>
        </w:tblCellMar>
        <w:tblLook w:val="04A0" w:firstRow="1" w:lastRow="0" w:firstColumn="1" w:lastColumn="0" w:noHBand="0" w:noVBand="1"/>
      </w:tblPr>
      <w:tblGrid>
        <w:gridCol w:w="1980"/>
        <w:gridCol w:w="3240"/>
        <w:gridCol w:w="3152"/>
        <w:gridCol w:w="2262"/>
      </w:tblGrid>
      <w:tr w:rsidR="00F839E5" w:rsidRPr="006569D0" w14:paraId="451DAA0A" w14:textId="77777777" w:rsidTr="00212F64">
        <w:trPr>
          <w:trHeight w:val="387"/>
          <w:jc w:val="center"/>
        </w:trPr>
        <w:tc>
          <w:tcPr>
            <w:tcW w:w="1980" w:type="dxa"/>
            <w:tcBorders>
              <w:top w:val="single" w:sz="4" w:space="0" w:color="auto"/>
              <w:left w:val="single" w:sz="4" w:space="0" w:color="auto"/>
              <w:bottom w:val="single" w:sz="4" w:space="0" w:color="auto"/>
              <w:right w:val="single" w:sz="4" w:space="0" w:color="auto"/>
            </w:tcBorders>
            <w:shd w:val="clear" w:color="auto" w:fill="00B050"/>
            <w:vAlign w:val="center"/>
          </w:tcPr>
          <w:p w14:paraId="0EB0E6AB" w14:textId="13A06DCD" w:rsidR="00F839E5" w:rsidRPr="006569D0" w:rsidRDefault="00F839E5" w:rsidP="00F839E5">
            <w:pPr>
              <w:spacing w:after="0"/>
              <w:jc w:val="center"/>
              <w:rPr>
                <w:rFonts w:ascii="Times New Roman" w:hAnsi="Times New Roman"/>
                <w:color w:val="FFFFFF" w:themeColor="background1"/>
                <w:sz w:val="22"/>
                <w:szCs w:val="22"/>
                <w:lang w:eastAsia="es-DO"/>
              </w:rPr>
            </w:pPr>
            <w:r w:rsidRPr="006569D0">
              <w:rPr>
                <w:rFonts w:ascii="Times New Roman" w:hAnsi="Times New Roman"/>
                <w:b/>
                <w:bCs/>
                <w:color w:val="FFFFFF" w:themeColor="background1"/>
                <w:sz w:val="22"/>
                <w:szCs w:val="22"/>
                <w:lang w:eastAsia="es-DO"/>
              </w:rPr>
              <w:lastRenderedPageBreak/>
              <w:t>Medida Política</w:t>
            </w:r>
          </w:p>
        </w:tc>
        <w:tc>
          <w:tcPr>
            <w:tcW w:w="3240" w:type="dxa"/>
            <w:tcBorders>
              <w:top w:val="single" w:sz="4" w:space="0" w:color="auto"/>
              <w:left w:val="single" w:sz="4" w:space="0" w:color="auto"/>
              <w:bottom w:val="single" w:sz="4" w:space="0" w:color="auto"/>
              <w:right w:val="single" w:sz="4" w:space="0" w:color="auto"/>
            </w:tcBorders>
            <w:shd w:val="clear" w:color="auto" w:fill="00B050"/>
            <w:vAlign w:val="center"/>
          </w:tcPr>
          <w:p w14:paraId="338DF8AD" w14:textId="0CA11B5B" w:rsidR="00F839E5" w:rsidRPr="006569D0" w:rsidRDefault="00F839E5" w:rsidP="00F839E5">
            <w:pPr>
              <w:spacing w:after="0"/>
              <w:jc w:val="center"/>
              <w:rPr>
                <w:rFonts w:ascii="Times New Roman" w:hAnsi="Times New Roman"/>
                <w:color w:val="FFFFFF" w:themeColor="background1"/>
                <w:sz w:val="22"/>
                <w:szCs w:val="22"/>
                <w:lang w:eastAsia="es-DO"/>
              </w:rPr>
            </w:pPr>
            <w:r w:rsidRPr="006569D0">
              <w:rPr>
                <w:rFonts w:ascii="Times New Roman" w:hAnsi="Times New Roman"/>
                <w:b/>
                <w:bCs/>
                <w:color w:val="FFFFFF" w:themeColor="background1"/>
                <w:sz w:val="22"/>
                <w:szCs w:val="22"/>
                <w:lang w:eastAsia="es-DO"/>
              </w:rPr>
              <w:t>Instrumento (Ley, decreto, Resolución, norma, disposiciones administrativas)</w:t>
            </w:r>
          </w:p>
        </w:tc>
        <w:tc>
          <w:tcPr>
            <w:tcW w:w="3152" w:type="dxa"/>
            <w:tcBorders>
              <w:top w:val="single" w:sz="4" w:space="0" w:color="auto"/>
              <w:left w:val="single" w:sz="4" w:space="0" w:color="auto"/>
              <w:bottom w:val="single" w:sz="4" w:space="0" w:color="auto"/>
              <w:right w:val="single" w:sz="4" w:space="0" w:color="auto"/>
            </w:tcBorders>
            <w:shd w:val="clear" w:color="auto" w:fill="00B050"/>
            <w:vAlign w:val="center"/>
          </w:tcPr>
          <w:p w14:paraId="6889D46B" w14:textId="1BA32949" w:rsidR="00F839E5" w:rsidRPr="006569D0" w:rsidRDefault="00F839E5" w:rsidP="00F839E5">
            <w:pPr>
              <w:autoSpaceDE w:val="0"/>
              <w:autoSpaceDN w:val="0"/>
              <w:adjustRightInd w:val="0"/>
              <w:spacing w:after="0"/>
              <w:jc w:val="center"/>
              <w:rPr>
                <w:rFonts w:ascii="Times New Roman" w:hAnsi="Times New Roman"/>
                <w:b/>
                <w:color w:val="FFFFFF" w:themeColor="background1"/>
                <w:sz w:val="22"/>
                <w:szCs w:val="22"/>
                <w:lang w:eastAsia="es-DO"/>
              </w:rPr>
            </w:pPr>
            <w:r w:rsidRPr="006569D0">
              <w:rPr>
                <w:rFonts w:ascii="Times New Roman" w:hAnsi="Times New Roman"/>
                <w:b/>
                <w:bCs/>
                <w:color w:val="FFFFFF" w:themeColor="background1"/>
                <w:sz w:val="22"/>
                <w:szCs w:val="22"/>
                <w:lang w:eastAsia="es-DO"/>
              </w:rPr>
              <w:t>Objetivo(s) específico(s) END a cuyo logro contribuye la medida de política</w:t>
            </w:r>
          </w:p>
        </w:tc>
        <w:tc>
          <w:tcPr>
            <w:tcW w:w="2262" w:type="dxa"/>
            <w:tcBorders>
              <w:top w:val="single" w:sz="4" w:space="0" w:color="auto"/>
              <w:left w:val="single" w:sz="4" w:space="0" w:color="auto"/>
              <w:right w:val="single" w:sz="4" w:space="0" w:color="auto"/>
            </w:tcBorders>
            <w:shd w:val="clear" w:color="auto" w:fill="00B050"/>
            <w:vAlign w:val="center"/>
          </w:tcPr>
          <w:p w14:paraId="0AA70955" w14:textId="5D7383F9" w:rsidR="00F839E5" w:rsidRPr="006569D0" w:rsidRDefault="00F839E5" w:rsidP="00F839E5">
            <w:pPr>
              <w:spacing w:after="0"/>
              <w:jc w:val="center"/>
              <w:rPr>
                <w:rFonts w:ascii="Times New Roman" w:hAnsi="Times New Roman"/>
                <w:color w:val="FFFFFF" w:themeColor="background1"/>
                <w:sz w:val="22"/>
                <w:szCs w:val="22"/>
                <w:lang w:eastAsia="es-DO"/>
              </w:rPr>
            </w:pPr>
            <w:r w:rsidRPr="006569D0">
              <w:rPr>
                <w:rFonts w:ascii="Times New Roman" w:hAnsi="Times New Roman"/>
                <w:b/>
                <w:bCs/>
                <w:color w:val="FFFFFF" w:themeColor="background1"/>
                <w:sz w:val="22"/>
                <w:szCs w:val="22"/>
                <w:lang w:eastAsia="es-DO"/>
              </w:rPr>
              <w:t>Línea(s) de acción de END a la que se vincula la medida de política</w:t>
            </w:r>
          </w:p>
        </w:tc>
      </w:tr>
      <w:tr w:rsidR="00F839E5" w:rsidRPr="006569D0" w14:paraId="56B73320" w14:textId="77777777" w:rsidTr="00212F64">
        <w:trPr>
          <w:trHeight w:val="387"/>
          <w:jc w:val="center"/>
        </w:trPr>
        <w:tc>
          <w:tcPr>
            <w:tcW w:w="19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F923F27" w14:textId="77777777" w:rsidR="00F839E5" w:rsidRPr="006569D0" w:rsidRDefault="00F839E5" w:rsidP="00F63455">
            <w:pPr>
              <w:spacing w:after="0"/>
              <w:jc w:val="center"/>
              <w:rPr>
                <w:rFonts w:ascii="Times New Roman" w:hAnsi="Times New Roman"/>
                <w:color w:val="000000"/>
                <w:sz w:val="22"/>
                <w:szCs w:val="22"/>
                <w:lang w:eastAsia="es-DO"/>
              </w:rPr>
            </w:pPr>
          </w:p>
          <w:p w14:paraId="488D8546" w14:textId="77777777" w:rsidR="00F839E5" w:rsidRPr="006569D0" w:rsidRDefault="00F839E5" w:rsidP="00F63455">
            <w:pPr>
              <w:spacing w:after="0"/>
              <w:jc w:val="center"/>
              <w:rPr>
                <w:rFonts w:ascii="Times New Roman" w:hAnsi="Times New Roman"/>
                <w:color w:val="000000"/>
                <w:sz w:val="22"/>
                <w:szCs w:val="22"/>
                <w:lang w:eastAsia="es-DO"/>
              </w:rPr>
            </w:pPr>
            <w:r w:rsidRPr="006569D0">
              <w:rPr>
                <w:rFonts w:ascii="Times New Roman" w:hAnsi="Times New Roman"/>
                <w:color w:val="000000"/>
                <w:sz w:val="22"/>
                <w:szCs w:val="22"/>
                <w:lang w:eastAsia="es-DO"/>
              </w:rPr>
              <w:t>Fortalecer la promoción de las exportaciones de bienes y servicios de origen agropecuario</w:t>
            </w:r>
          </w:p>
          <w:p w14:paraId="783E9A8E" w14:textId="77777777" w:rsidR="00F839E5" w:rsidRPr="006569D0" w:rsidRDefault="00F839E5" w:rsidP="00F63455">
            <w:pPr>
              <w:spacing w:after="0"/>
              <w:jc w:val="center"/>
              <w:rPr>
                <w:rFonts w:ascii="Times New Roman" w:hAnsi="Times New Roman"/>
                <w:color w:val="000000"/>
                <w:sz w:val="22"/>
                <w:szCs w:val="22"/>
                <w:lang w:eastAsia="es-DO"/>
              </w:rPr>
            </w:pPr>
          </w:p>
          <w:p w14:paraId="14BC2868" w14:textId="77777777" w:rsidR="00F839E5" w:rsidRPr="006569D0" w:rsidRDefault="00F839E5" w:rsidP="00F63455">
            <w:pPr>
              <w:spacing w:after="0"/>
              <w:jc w:val="center"/>
              <w:rPr>
                <w:rFonts w:ascii="Times New Roman" w:hAnsi="Times New Roman"/>
                <w:color w:val="000000"/>
                <w:sz w:val="22"/>
                <w:szCs w:val="22"/>
                <w:lang w:eastAsia="es-DO"/>
              </w:rPr>
            </w:pPr>
          </w:p>
          <w:p w14:paraId="1166EA23" w14:textId="77777777" w:rsidR="00F839E5" w:rsidRPr="006569D0" w:rsidRDefault="00F839E5" w:rsidP="00F63455">
            <w:pPr>
              <w:spacing w:after="0"/>
              <w:jc w:val="center"/>
              <w:rPr>
                <w:rFonts w:ascii="Times New Roman" w:hAnsi="Times New Roman"/>
                <w:color w:val="000000"/>
                <w:sz w:val="22"/>
                <w:szCs w:val="22"/>
                <w:lang w:eastAsia="es-DO"/>
              </w:rPr>
            </w:pPr>
          </w:p>
          <w:p w14:paraId="3430F7B7" w14:textId="77777777" w:rsidR="00F839E5" w:rsidRPr="006569D0" w:rsidRDefault="00F839E5" w:rsidP="00F63455">
            <w:pPr>
              <w:spacing w:after="0"/>
              <w:jc w:val="center"/>
              <w:rPr>
                <w:rFonts w:ascii="Times New Roman" w:hAnsi="Times New Roman"/>
                <w:sz w:val="22"/>
                <w:szCs w:val="22"/>
                <w:lang w:eastAsia="es-DO"/>
              </w:rPr>
            </w:pPr>
            <w:r w:rsidRPr="006569D0">
              <w:rPr>
                <w:rFonts w:ascii="Times New Roman" w:hAnsi="Times New Roman"/>
                <w:color w:val="000000"/>
                <w:sz w:val="22"/>
                <w:szCs w:val="22"/>
                <w:lang w:eastAsia="es-DO"/>
              </w:rPr>
              <w:t>Elevar la productividad, competitividad y sostenibilidad ambiental y financiera de las cadenas agroproductivas, a fin de contribuir a la seguridad alimentaria, aprovechar el potencial exportador y generar empleos e ingresos.</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14:paraId="559BE765" w14:textId="77777777" w:rsidR="00F839E5" w:rsidRPr="006569D0" w:rsidRDefault="00F839E5" w:rsidP="00F63455">
            <w:pPr>
              <w:spacing w:after="0"/>
              <w:jc w:val="center"/>
              <w:rPr>
                <w:rFonts w:ascii="Times New Roman" w:hAnsi="Times New Roman"/>
                <w:sz w:val="22"/>
                <w:szCs w:val="22"/>
                <w:lang w:eastAsia="es-DO"/>
              </w:rPr>
            </w:pPr>
            <w:r w:rsidRPr="006569D0">
              <w:rPr>
                <w:rFonts w:ascii="Times New Roman" w:hAnsi="Times New Roman"/>
                <w:sz w:val="22"/>
                <w:szCs w:val="22"/>
                <w:lang w:eastAsia="es-DO"/>
              </w:rPr>
              <w:t>(Resolución MA-2019-63)</w:t>
            </w:r>
          </w:p>
          <w:p w14:paraId="5908E535" w14:textId="27294D8D" w:rsidR="00F839E5" w:rsidRPr="006569D0" w:rsidRDefault="00F839E5" w:rsidP="00B40CCA">
            <w:pPr>
              <w:spacing w:after="0"/>
              <w:jc w:val="center"/>
              <w:rPr>
                <w:rFonts w:ascii="Times New Roman" w:hAnsi="Times New Roman"/>
                <w:sz w:val="22"/>
                <w:szCs w:val="22"/>
                <w:lang w:eastAsia="es-DO"/>
              </w:rPr>
            </w:pPr>
            <w:r w:rsidRPr="006569D0">
              <w:rPr>
                <w:rFonts w:ascii="Times New Roman" w:hAnsi="Times New Roman"/>
                <w:sz w:val="22"/>
                <w:szCs w:val="22"/>
              </w:rPr>
              <w:t>Declaración de zonas cacaotaleras</w:t>
            </w:r>
            <w:r w:rsidR="00D22C07">
              <w:rPr>
                <w:rFonts w:ascii="Times New Roman" w:hAnsi="Times New Roman"/>
                <w:sz w:val="22"/>
                <w:szCs w:val="22"/>
              </w:rPr>
              <w:t xml:space="preserve"> en la Regional Sur (Barahona, P</w:t>
            </w:r>
            <w:r w:rsidRPr="006569D0">
              <w:rPr>
                <w:rFonts w:ascii="Times New Roman" w:hAnsi="Times New Roman"/>
                <w:sz w:val="22"/>
                <w:szCs w:val="22"/>
              </w:rPr>
              <w:t>edernales, La Descubierta y Jimaní), y Regional Noroeste (Dajabón, Santiago Rodríguez y Valverde), inclusive sus municipios, distritos, secciones y parajes.</w:t>
            </w:r>
          </w:p>
        </w:tc>
        <w:tc>
          <w:tcPr>
            <w:tcW w:w="31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54E0216" w14:textId="77777777" w:rsidR="00F839E5" w:rsidRPr="006569D0" w:rsidRDefault="00F839E5" w:rsidP="00F63455">
            <w:pPr>
              <w:autoSpaceDE w:val="0"/>
              <w:autoSpaceDN w:val="0"/>
              <w:adjustRightInd w:val="0"/>
              <w:spacing w:after="0"/>
              <w:jc w:val="center"/>
              <w:rPr>
                <w:rFonts w:ascii="Times New Roman" w:hAnsi="Times New Roman"/>
                <w:color w:val="000000"/>
                <w:sz w:val="22"/>
                <w:szCs w:val="22"/>
                <w:lang w:eastAsia="es-DO"/>
              </w:rPr>
            </w:pPr>
            <w:r w:rsidRPr="006569D0">
              <w:rPr>
                <w:rFonts w:ascii="Times New Roman" w:hAnsi="Times New Roman"/>
                <w:b/>
                <w:color w:val="000000"/>
                <w:sz w:val="22"/>
                <w:szCs w:val="22"/>
                <w:lang w:eastAsia="es-DO"/>
              </w:rPr>
              <w:t xml:space="preserve">Objetivo Especifico 3.5.1 </w:t>
            </w:r>
            <w:r w:rsidRPr="006569D0">
              <w:rPr>
                <w:rFonts w:ascii="Times New Roman" w:hAnsi="Times New Roman"/>
                <w:color w:val="000000"/>
                <w:sz w:val="22"/>
                <w:szCs w:val="22"/>
                <w:lang w:eastAsia="es-DO"/>
              </w:rPr>
              <w:t>Impulsar el desarrollo exportador sobre la base de una inserción competitiva en los mercados internacionales</w:t>
            </w:r>
          </w:p>
          <w:p w14:paraId="5CB2EC0B" w14:textId="77777777" w:rsidR="00F839E5" w:rsidRPr="006569D0" w:rsidRDefault="00F839E5" w:rsidP="00F63455">
            <w:pPr>
              <w:autoSpaceDE w:val="0"/>
              <w:autoSpaceDN w:val="0"/>
              <w:adjustRightInd w:val="0"/>
              <w:spacing w:after="0"/>
              <w:jc w:val="center"/>
              <w:rPr>
                <w:rFonts w:ascii="Times New Roman" w:hAnsi="Times New Roman"/>
                <w:color w:val="000000"/>
                <w:sz w:val="22"/>
                <w:szCs w:val="22"/>
                <w:lang w:eastAsia="es-DO"/>
              </w:rPr>
            </w:pPr>
          </w:p>
          <w:p w14:paraId="57164AF8" w14:textId="77777777" w:rsidR="00F839E5" w:rsidRPr="006569D0" w:rsidRDefault="00F839E5" w:rsidP="00F63455">
            <w:pPr>
              <w:autoSpaceDE w:val="0"/>
              <w:autoSpaceDN w:val="0"/>
              <w:adjustRightInd w:val="0"/>
              <w:spacing w:after="0"/>
              <w:jc w:val="center"/>
              <w:rPr>
                <w:rFonts w:ascii="Times New Roman" w:hAnsi="Times New Roman"/>
                <w:color w:val="000000"/>
                <w:sz w:val="22"/>
                <w:szCs w:val="22"/>
                <w:lang w:eastAsia="es-DO"/>
              </w:rPr>
            </w:pPr>
          </w:p>
          <w:p w14:paraId="0D46F84B" w14:textId="77777777" w:rsidR="00F839E5" w:rsidRPr="006569D0" w:rsidRDefault="00F839E5" w:rsidP="00F63455">
            <w:pPr>
              <w:autoSpaceDE w:val="0"/>
              <w:autoSpaceDN w:val="0"/>
              <w:adjustRightInd w:val="0"/>
              <w:spacing w:after="0"/>
              <w:jc w:val="center"/>
              <w:rPr>
                <w:rFonts w:ascii="Times New Roman" w:hAnsi="Times New Roman"/>
                <w:color w:val="000000"/>
                <w:sz w:val="22"/>
                <w:szCs w:val="22"/>
                <w:lang w:eastAsia="es-DO"/>
              </w:rPr>
            </w:pPr>
          </w:p>
          <w:p w14:paraId="76B013CF" w14:textId="77777777" w:rsidR="00F839E5" w:rsidRPr="006569D0" w:rsidRDefault="00F839E5" w:rsidP="00F63455">
            <w:pPr>
              <w:autoSpaceDE w:val="0"/>
              <w:autoSpaceDN w:val="0"/>
              <w:adjustRightInd w:val="0"/>
              <w:spacing w:after="0"/>
              <w:jc w:val="center"/>
              <w:rPr>
                <w:rFonts w:ascii="Times New Roman" w:hAnsi="Times New Roman"/>
                <w:color w:val="000000"/>
                <w:sz w:val="22"/>
                <w:szCs w:val="22"/>
                <w:lang w:eastAsia="es-DO"/>
              </w:rPr>
            </w:pPr>
          </w:p>
          <w:p w14:paraId="5BF4DFBD" w14:textId="77777777" w:rsidR="00F839E5" w:rsidRPr="006569D0" w:rsidRDefault="00F839E5" w:rsidP="00F63455">
            <w:pPr>
              <w:autoSpaceDE w:val="0"/>
              <w:autoSpaceDN w:val="0"/>
              <w:adjustRightInd w:val="0"/>
              <w:spacing w:after="0"/>
              <w:jc w:val="center"/>
              <w:rPr>
                <w:rFonts w:ascii="Times New Roman" w:hAnsi="Times New Roman"/>
                <w:color w:val="000000"/>
                <w:sz w:val="22"/>
                <w:szCs w:val="22"/>
                <w:lang w:eastAsia="es-DO"/>
              </w:rPr>
            </w:pPr>
          </w:p>
          <w:p w14:paraId="5C383318" w14:textId="77777777" w:rsidR="00F839E5" w:rsidRPr="006569D0" w:rsidRDefault="00F839E5" w:rsidP="00F63455">
            <w:pPr>
              <w:autoSpaceDE w:val="0"/>
              <w:autoSpaceDN w:val="0"/>
              <w:adjustRightInd w:val="0"/>
              <w:spacing w:after="0"/>
              <w:jc w:val="center"/>
              <w:rPr>
                <w:rFonts w:ascii="Times New Roman" w:hAnsi="Times New Roman"/>
                <w:bCs/>
                <w:sz w:val="22"/>
                <w:szCs w:val="22"/>
                <w:lang w:eastAsia="es-DO"/>
              </w:rPr>
            </w:pPr>
            <w:r w:rsidRPr="006569D0">
              <w:rPr>
                <w:rFonts w:ascii="Times New Roman" w:hAnsi="Times New Roman"/>
                <w:bCs/>
                <w:sz w:val="22"/>
                <w:szCs w:val="22"/>
                <w:lang w:eastAsia="es-DO"/>
              </w:rPr>
              <w:t>Incrementar progresivamente el número de cultivo, en años subsiguientes de acuerdo a las asignaciones presupuestarias previo a estudios técnicos necesarios</w:t>
            </w:r>
          </w:p>
        </w:tc>
        <w:tc>
          <w:tcPr>
            <w:tcW w:w="2262" w:type="dxa"/>
            <w:vMerge w:val="restart"/>
            <w:tcBorders>
              <w:top w:val="single" w:sz="4" w:space="0" w:color="auto"/>
              <w:left w:val="single" w:sz="4" w:space="0" w:color="auto"/>
              <w:right w:val="single" w:sz="4" w:space="0" w:color="auto"/>
            </w:tcBorders>
            <w:shd w:val="clear" w:color="auto" w:fill="auto"/>
            <w:vAlign w:val="center"/>
          </w:tcPr>
          <w:p w14:paraId="730D0CF6" w14:textId="77777777" w:rsidR="00F839E5" w:rsidRPr="006569D0" w:rsidRDefault="00F839E5" w:rsidP="00F63455">
            <w:pPr>
              <w:spacing w:after="0"/>
              <w:jc w:val="center"/>
              <w:rPr>
                <w:rFonts w:ascii="Times New Roman" w:hAnsi="Times New Roman"/>
                <w:sz w:val="22"/>
                <w:szCs w:val="22"/>
                <w:lang w:eastAsia="es-DO"/>
              </w:rPr>
            </w:pPr>
            <w:r w:rsidRPr="006569D0">
              <w:rPr>
                <w:rFonts w:ascii="Times New Roman" w:hAnsi="Times New Roman"/>
                <w:sz w:val="22"/>
                <w:szCs w:val="22"/>
                <w:lang w:eastAsia="es-DO"/>
              </w:rPr>
              <w:t>Impulsar la producción de alimentos agropecuarios con fines de exportación, que contribuya a la generación de divisas y balanza comercial.</w:t>
            </w:r>
          </w:p>
        </w:tc>
      </w:tr>
      <w:tr w:rsidR="00F839E5" w:rsidRPr="006569D0" w14:paraId="210C6705" w14:textId="77777777" w:rsidTr="00212F64">
        <w:trPr>
          <w:trHeight w:val="387"/>
          <w:jc w:val="center"/>
        </w:trPr>
        <w:tc>
          <w:tcPr>
            <w:tcW w:w="19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3132E8" w14:textId="77777777" w:rsidR="00F839E5" w:rsidRPr="006569D0" w:rsidRDefault="00F839E5" w:rsidP="00F63455">
            <w:pPr>
              <w:spacing w:after="0"/>
              <w:jc w:val="center"/>
              <w:rPr>
                <w:rFonts w:ascii="Times New Roman" w:hAnsi="Times New Roman"/>
                <w:sz w:val="22"/>
                <w:szCs w:val="22"/>
                <w:lang w:eastAsia="es-DO"/>
              </w:rPr>
            </w:pPr>
          </w:p>
        </w:tc>
        <w:tc>
          <w:tcPr>
            <w:tcW w:w="3240" w:type="dxa"/>
            <w:tcBorders>
              <w:top w:val="single" w:sz="4" w:space="0" w:color="auto"/>
              <w:left w:val="nil"/>
              <w:bottom w:val="single" w:sz="4" w:space="0" w:color="auto"/>
              <w:right w:val="single" w:sz="4" w:space="0" w:color="auto"/>
            </w:tcBorders>
            <w:shd w:val="clear" w:color="auto" w:fill="auto"/>
            <w:vAlign w:val="center"/>
          </w:tcPr>
          <w:p w14:paraId="737AD7C7" w14:textId="77777777" w:rsidR="00F839E5" w:rsidRPr="006569D0" w:rsidRDefault="00F839E5" w:rsidP="00F63455">
            <w:pPr>
              <w:spacing w:after="0"/>
              <w:jc w:val="center"/>
              <w:rPr>
                <w:rFonts w:ascii="Times New Roman" w:hAnsi="Times New Roman"/>
                <w:sz w:val="22"/>
                <w:szCs w:val="22"/>
                <w:lang w:eastAsia="es-DO"/>
              </w:rPr>
            </w:pPr>
            <w:r w:rsidRPr="006569D0">
              <w:rPr>
                <w:rFonts w:ascii="Times New Roman" w:hAnsi="Times New Roman"/>
                <w:sz w:val="22"/>
                <w:szCs w:val="22"/>
                <w:lang w:eastAsia="es-DO"/>
              </w:rPr>
              <w:t>(Resolución MA-2019-53)</w:t>
            </w:r>
          </w:p>
          <w:p w14:paraId="4AB4E3E7" w14:textId="77777777" w:rsidR="00F839E5" w:rsidRPr="006569D0" w:rsidRDefault="00F839E5" w:rsidP="00F63455">
            <w:pPr>
              <w:spacing w:after="0"/>
              <w:jc w:val="center"/>
              <w:rPr>
                <w:rFonts w:ascii="Times New Roman" w:hAnsi="Times New Roman"/>
                <w:sz w:val="22"/>
                <w:szCs w:val="22"/>
                <w:lang w:eastAsia="es-DO"/>
              </w:rPr>
            </w:pPr>
            <w:r w:rsidRPr="006569D0">
              <w:rPr>
                <w:rFonts w:ascii="Times New Roman" w:hAnsi="Times New Roman"/>
                <w:sz w:val="22"/>
                <w:szCs w:val="22"/>
              </w:rPr>
              <w:t>Adopción de política pública el Plan Nacional de Agricultura Familiar.</w:t>
            </w:r>
          </w:p>
        </w:tc>
        <w:tc>
          <w:tcPr>
            <w:tcW w:w="3152" w:type="dxa"/>
            <w:vMerge/>
            <w:tcBorders>
              <w:top w:val="single" w:sz="4" w:space="0" w:color="auto"/>
              <w:left w:val="nil"/>
              <w:bottom w:val="single" w:sz="4" w:space="0" w:color="auto"/>
              <w:right w:val="single" w:sz="4" w:space="0" w:color="auto"/>
            </w:tcBorders>
            <w:shd w:val="clear" w:color="auto" w:fill="auto"/>
          </w:tcPr>
          <w:p w14:paraId="18980371" w14:textId="77777777" w:rsidR="00F839E5" w:rsidRPr="006569D0" w:rsidRDefault="00F839E5" w:rsidP="00F63455">
            <w:pPr>
              <w:spacing w:after="0"/>
              <w:jc w:val="center"/>
              <w:rPr>
                <w:rFonts w:ascii="Times New Roman" w:hAnsi="Times New Roman"/>
                <w:bCs/>
                <w:sz w:val="22"/>
                <w:szCs w:val="22"/>
                <w:lang w:eastAsia="es-DO"/>
              </w:rPr>
            </w:pPr>
          </w:p>
        </w:tc>
        <w:tc>
          <w:tcPr>
            <w:tcW w:w="2262" w:type="dxa"/>
            <w:vMerge/>
            <w:tcBorders>
              <w:left w:val="nil"/>
              <w:bottom w:val="single" w:sz="4" w:space="0" w:color="auto"/>
              <w:right w:val="single" w:sz="4" w:space="0" w:color="auto"/>
            </w:tcBorders>
            <w:shd w:val="clear" w:color="auto" w:fill="auto"/>
            <w:vAlign w:val="center"/>
          </w:tcPr>
          <w:p w14:paraId="1AC8B675" w14:textId="77777777" w:rsidR="00F839E5" w:rsidRPr="006569D0" w:rsidRDefault="00F839E5" w:rsidP="00F63455">
            <w:pPr>
              <w:spacing w:after="0"/>
              <w:jc w:val="center"/>
              <w:rPr>
                <w:rFonts w:ascii="Times New Roman" w:hAnsi="Times New Roman"/>
                <w:sz w:val="22"/>
                <w:szCs w:val="22"/>
                <w:lang w:eastAsia="es-DO"/>
              </w:rPr>
            </w:pPr>
          </w:p>
        </w:tc>
      </w:tr>
    </w:tbl>
    <w:p w14:paraId="10C2C3BE" w14:textId="00207415" w:rsidR="001972F2" w:rsidRPr="006569D0" w:rsidRDefault="001972F2" w:rsidP="001972F2">
      <w:pPr>
        <w:spacing w:after="160" w:line="259" w:lineRule="auto"/>
      </w:pPr>
    </w:p>
    <w:p w14:paraId="6CF30429" w14:textId="77777777" w:rsidR="002F06AC" w:rsidRPr="006569D0" w:rsidRDefault="002F06AC">
      <w:pPr>
        <w:spacing w:after="0"/>
        <w:rPr>
          <w:rFonts w:ascii="Times New Roman" w:hAnsi="Times New Roman"/>
        </w:rPr>
      </w:pPr>
      <w:r w:rsidRPr="006569D0">
        <w:rPr>
          <w:rFonts w:ascii="Times New Roman" w:hAnsi="Times New Roman"/>
        </w:rPr>
        <w:br w:type="page"/>
      </w:r>
    </w:p>
    <w:p w14:paraId="41F38FCE" w14:textId="77777777" w:rsidR="00DA4DB6" w:rsidRPr="006569D0" w:rsidRDefault="00DA4DB6" w:rsidP="00954002">
      <w:pPr>
        <w:pStyle w:val="Ttulo2"/>
      </w:pPr>
      <w:bookmarkStart w:id="57" w:name="_Toc470523319"/>
      <w:bookmarkStart w:id="58" w:name="_Toc26292015"/>
      <w:bookmarkStart w:id="59" w:name="_Toc27146720"/>
      <w:r w:rsidRPr="006569D0">
        <w:lastRenderedPageBreak/>
        <w:t>b) Evolución de la producción pública de bienes y servicios del Sector Agropecuario, durante el período 2012 - 201</w:t>
      </w:r>
      <w:bookmarkEnd w:id="57"/>
      <w:r w:rsidR="002F06AC" w:rsidRPr="006569D0">
        <w:t>9</w:t>
      </w:r>
      <w:bookmarkEnd w:id="58"/>
      <w:bookmarkEnd w:id="59"/>
      <w:r w:rsidRPr="006569D0">
        <w:t xml:space="preserve"> </w:t>
      </w:r>
    </w:p>
    <w:p w14:paraId="37E0B5DE" w14:textId="77777777" w:rsidR="00B10A65" w:rsidRPr="006569D0" w:rsidRDefault="00B10A65">
      <w:pPr>
        <w:spacing w:after="0"/>
        <w:rPr>
          <w:rFonts w:ascii="Times New Roman" w:hAnsi="Times New Roman"/>
          <w:lang w:val="es-ES_tradnl"/>
        </w:rPr>
      </w:pPr>
    </w:p>
    <w:p w14:paraId="42ADCBEE" w14:textId="77777777" w:rsidR="00FC1B41" w:rsidRPr="00AC65A9" w:rsidRDefault="002F06AC" w:rsidP="00AC65A9">
      <w:pPr>
        <w:rPr>
          <w:rFonts w:ascii="Times New Roman" w:hAnsi="Times New Roman"/>
          <w:b/>
          <w:sz w:val="28"/>
          <w:szCs w:val="28"/>
        </w:rPr>
      </w:pPr>
      <w:bookmarkStart w:id="60" w:name="_Toc26292016"/>
      <w:r w:rsidRPr="00AC65A9">
        <w:rPr>
          <w:rFonts w:ascii="Times New Roman" w:hAnsi="Times New Roman"/>
          <w:b/>
          <w:sz w:val="28"/>
          <w:szCs w:val="28"/>
        </w:rPr>
        <w:t>Comparativo</w:t>
      </w:r>
      <w:r w:rsidR="00FC1B41" w:rsidRPr="00AC65A9">
        <w:rPr>
          <w:rFonts w:ascii="Times New Roman" w:hAnsi="Times New Roman"/>
          <w:b/>
          <w:sz w:val="28"/>
          <w:szCs w:val="28"/>
        </w:rPr>
        <w:t xml:space="preserve"> producción </w:t>
      </w:r>
      <w:r w:rsidR="001E33EA" w:rsidRPr="00AC65A9">
        <w:rPr>
          <w:rFonts w:ascii="Times New Roman" w:hAnsi="Times New Roman"/>
          <w:b/>
          <w:sz w:val="28"/>
          <w:szCs w:val="28"/>
        </w:rPr>
        <w:t>p</w:t>
      </w:r>
      <w:r w:rsidR="0052136E" w:rsidRPr="00AC65A9">
        <w:rPr>
          <w:rFonts w:ascii="Times New Roman" w:hAnsi="Times New Roman"/>
          <w:b/>
          <w:sz w:val="28"/>
          <w:szCs w:val="28"/>
        </w:rPr>
        <w:t>ú</w:t>
      </w:r>
      <w:r w:rsidR="001E33EA" w:rsidRPr="00AC65A9">
        <w:rPr>
          <w:rFonts w:ascii="Times New Roman" w:hAnsi="Times New Roman"/>
          <w:b/>
          <w:sz w:val="28"/>
          <w:szCs w:val="28"/>
        </w:rPr>
        <w:t xml:space="preserve">blica </w:t>
      </w:r>
      <w:r w:rsidRPr="00AC65A9">
        <w:rPr>
          <w:rFonts w:ascii="Times New Roman" w:hAnsi="Times New Roman"/>
          <w:b/>
          <w:sz w:val="28"/>
          <w:szCs w:val="28"/>
        </w:rPr>
        <w:t xml:space="preserve">año </w:t>
      </w:r>
      <w:r w:rsidR="00FC1B41" w:rsidRPr="00AC65A9">
        <w:rPr>
          <w:rFonts w:ascii="Times New Roman" w:hAnsi="Times New Roman"/>
          <w:b/>
          <w:sz w:val="28"/>
          <w:szCs w:val="28"/>
        </w:rPr>
        <w:t>201</w:t>
      </w:r>
      <w:bookmarkEnd w:id="56"/>
      <w:r w:rsidRPr="00AC65A9">
        <w:rPr>
          <w:rFonts w:ascii="Times New Roman" w:hAnsi="Times New Roman"/>
          <w:b/>
          <w:sz w:val="28"/>
          <w:szCs w:val="28"/>
        </w:rPr>
        <w:t>9</w:t>
      </w:r>
      <w:bookmarkEnd w:id="60"/>
    </w:p>
    <w:p w14:paraId="207551D7" w14:textId="2F0673E7" w:rsidR="00595173" w:rsidRPr="00AC65A9" w:rsidRDefault="00595173" w:rsidP="001C6B1A">
      <w:pPr>
        <w:pStyle w:val="Prrafodelista"/>
        <w:numPr>
          <w:ilvl w:val="0"/>
          <w:numId w:val="9"/>
        </w:numPr>
        <w:ind w:left="993" w:hanging="993"/>
        <w:jc w:val="both"/>
        <w:rPr>
          <w:rFonts w:ascii="Times New Roman" w:hAnsi="Times New Roman"/>
          <w:b/>
          <w:sz w:val="24"/>
          <w:szCs w:val="24"/>
          <w:lang w:bidi="en-US"/>
        </w:rPr>
      </w:pPr>
      <w:r w:rsidRPr="00AC65A9">
        <w:rPr>
          <w:rFonts w:ascii="Times New Roman" w:hAnsi="Times New Roman"/>
          <w:b/>
          <w:sz w:val="24"/>
          <w:szCs w:val="24"/>
          <w:lang w:bidi="en-US"/>
        </w:rPr>
        <w:t xml:space="preserve">Comportamiento de la Producción </w:t>
      </w:r>
      <w:r w:rsidR="00B9233B" w:rsidRPr="00AC65A9">
        <w:rPr>
          <w:rFonts w:ascii="Times New Roman" w:hAnsi="Times New Roman"/>
          <w:b/>
          <w:sz w:val="24"/>
          <w:szCs w:val="24"/>
          <w:lang w:bidi="en-US"/>
        </w:rPr>
        <w:t>Pú</w:t>
      </w:r>
      <w:r w:rsidRPr="00AC65A9">
        <w:rPr>
          <w:rFonts w:ascii="Times New Roman" w:hAnsi="Times New Roman"/>
          <w:b/>
          <w:sz w:val="24"/>
          <w:szCs w:val="24"/>
          <w:lang w:bidi="en-US"/>
        </w:rPr>
        <w:t>blica del Sec</w:t>
      </w:r>
      <w:r w:rsidR="00774B59" w:rsidRPr="00AC65A9">
        <w:rPr>
          <w:rFonts w:ascii="Times New Roman" w:hAnsi="Times New Roman"/>
          <w:b/>
          <w:sz w:val="24"/>
          <w:szCs w:val="24"/>
          <w:lang w:bidi="en-US"/>
        </w:rPr>
        <w:t>tor Agropecuario durante el 201</w:t>
      </w:r>
      <w:r w:rsidR="00A2090C" w:rsidRPr="00AC65A9">
        <w:rPr>
          <w:rFonts w:ascii="Times New Roman" w:hAnsi="Times New Roman"/>
          <w:b/>
          <w:sz w:val="24"/>
          <w:szCs w:val="24"/>
          <w:lang w:bidi="en-US"/>
        </w:rPr>
        <w:t>9</w:t>
      </w:r>
      <w:r w:rsidRPr="00AC65A9">
        <w:rPr>
          <w:rFonts w:ascii="Times New Roman" w:hAnsi="Times New Roman"/>
          <w:b/>
          <w:sz w:val="24"/>
          <w:szCs w:val="24"/>
          <w:lang w:bidi="en-US"/>
        </w:rPr>
        <w:t>.</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4"/>
        <w:gridCol w:w="2078"/>
        <w:gridCol w:w="1100"/>
        <w:gridCol w:w="1500"/>
        <w:gridCol w:w="1418"/>
        <w:gridCol w:w="1134"/>
      </w:tblGrid>
      <w:tr w:rsidR="0052136E" w:rsidRPr="006569D0" w14:paraId="10B480CF" w14:textId="77777777" w:rsidTr="0050467E">
        <w:trPr>
          <w:trHeight w:val="900"/>
          <w:jc w:val="center"/>
        </w:trPr>
        <w:tc>
          <w:tcPr>
            <w:tcW w:w="2694" w:type="dxa"/>
            <w:shd w:val="clear" w:color="auto" w:fill="00B050"/>
            <w:vAlign w:val="center"/>
            <w:hideMark/>
          </w:tcPr>
          <w:p w14:paraId="4FD1598E" w14:textId="05520A25" w:rsidR="0052136E" w:rsidRPr="006569D0" w:rsidRDefault="0052136E" w:rsidP="00E1189D">
            <w:pPr>
              <w:spacing w:after="0"/>
              <w:jc w:val="center"/>
              <w:rPr>
                <w:rFonts w:ascii="Times New Roman" w:hAnsi="Times New Roman"/>
                <w:b/>
                <w:bCs/>
                <w:color w:val="FFFFFF" w:themeColor="background1"/>
                <w:szCs w:val="22"/>
                <w:lang w:eastAsia="es-DO"/>
              </w:rPr>
            </w:pPr>
            <w:r w:rsidRPr="006569D0">
              <w:rPr>
                <w:rFonts w:ascii="Times New Roman" w:hAnsi="Times New Roman"/>
                <w:b/>
                <w:bCs/>
                <w:color w:val="FFFFFF" w:themeColor="background1"/>
                <w:szCs w:val="22"/>
                <w:lang w:eastAsia="es-DO"/>
              </w:rPr>
              <w:t>Producto</w:t>
            </w:r>
            <w:r w:rsidR="0036481B" w:rsidRPr="006569D0">
              <w:rPr>
                <w:rFonts w:ascii="Times New Roman" w:hAnsi="Times New Roman"/>
                <w:b/>
                <w:bCs/>
                <w:color w:val="FFFFFF" w:themeColor="background1"/>
                <w:szCs w:val="22"/>
                <w:lang w:eastAsia="es-DO"/>
              </w:rPr>
              <w:t>s, bienes y servicios</w:t>
            </w:r>
          </w:p>
        </w:tc>
        <w:tc>
          <w:tcPr>
            <w:tcW w:w="2078" w:type="dxa"/>
            <w:shd w:val="clear" w:color="auto" w:fill="00B050"/>
            <w:vAlign w:val="center"/>
            <w:hideMark/>
          </w:tcPr>
          <w:p w14:paraId="2D657C1F" w14:textId="77777777" w:rsidR="0052136E" w:rsidRPr="006569D0" w:rsidRDefault="0052136E" w:rsidP="00474206">
            <w:pPr>
              <w:spacing w:after="0"/>
              <w:jc w:val="center"/>
              <w:rPr>
                <w:rFonts w:ascii="Times New Roman" w:hAnsi="Times New Roman"/>
                <w:b/>
                <w:bCs/>
                <w:color w:val="FFFFFF" w:themeColor="background1"/>
                <w:szCs w:val="22"/>
                <w:lang w:eastAsia="es-DO"/>
              </w:rPr>
            </w:pPr>
            <w:r w:rsidRPr="006569D0">
              <w:rPr>
                <w:rFonts w:ascii="Times New Roman" w:hAnsi="Times New Roman"/>
                <w:b/>
                <w:bCs/>
                <w:color w:val="FFFFFF" w:themeColor="background1"/>
                <w:szCs w:val="22"/>
                <w:lang w:eastAsia="es-DO"/>
              </w:rPr>
              <w:t xml:space="preserve">Unidad de </w:t>
            </w:r>
            <w:r w:rsidR="00474206" w:rsidRPr="006569D0">
              <w:rPr>
                <w:rFonts w:ascii="Times New Roman" w:hAnsi="Times New Roman"/>
                <w:b/>
                <w:bCs/>
                <w:color w:val="FFFFFF" w:themeColor="background1"/>
                <w:szCs w:val="22"/>
                <w:lang w:eastAsia="es-DO"/>
              </w:rPr>
              <w:t>m</w:t>
            </w:r>
            <w:r w:rsidRPr="006569D0">
              <w:rPr>
                <w:rFonts w:ascii="Times New Roman" w:hAnsi="Times New Roman"/>
                <w:b/>
                <w:bCs/>
                <w:color w:val="FFFFFF" w:themeColor="background1"/>
                <w:szCs w:val="22"/>
                <w:lang w:eastAsia="es-DO"/>
              </w:rPr>
              <w:t>edida</w:t>
            </w:r>
          </w:p>
        </w:tc>
        <w:tc>
          <w:tcPr>
            <w:tcW w:w="1100" w:type="dxa"/>
            <w:shd w:val="clear" w:color="auto" w:fill="00B050"/>
            <w:vAlign w:val="center"/>
            <w:hideMark/>
          </w:tcPr>
          <w:p w14:paraId="29577B71" w14:textId="77777777" w:rsidR="0052136E" w:rsidRPr="006569D0" w:rsidRDefault="0052136E" w:rsidP="006A3851">
            <w:pPr>
              <w:spacing w:after="0"/>
              <w:jc w:val="center"/>
              <w:rPr>
                <w:rFonts w:ascii="Times New Roman" w:hAnsi="Times New Roman"/>
                <w:b/>
                <w:bCs/>
                <w:color w:val="FFFFFF" w:themeColor="background1"/>
                <w:szCs w:val="22"/>
                <w:lang w:eastAsia="es-DO"/>
              </w:rPr>
            </w:pPr>
            <w:r w:rsidRPr="006569D0">
              <w:rPr>
                <w:rFonts w:ascii="Times New Roman" w:hAnsi="Times New Roman"/>
                <w:b/>
                <w:bCs/>
                <w:color w:val="FFFFFF" w:themeColor="background1"/>
                <w:szCs w:val="22"/>
                <w:lang w:eastAsia="es-DO"/>
              </w:rPr>
              <w:t>Línea</w:t>
            </w:r>
            <w:r w:rsidR="006A3851" w:rsidRPr="006569D0">
              <w:rPr>
                <w:rFonts w:ascii="Times New Roman" w:hAnsi="Times New Roman"/>
                <w:b/>
                <w:bCs/>
                <w:color w:val="FFFFFF" w:themeColor="background1"/>
                <w:szCs w:val="22"/>
                <w:lang w:eastAsia="es-DO"/>
              </w:rPr>
              <w:br/>
            </w:r>
            <w:r w:rsidR="00E2472F" w:rsidRPr="006569D0">
              <w:rPr>
                <w:rFonts w:ascii="Times New Roman" w:hAnsi="Times New Roman"/>
                <w:b/>
                <w:bCs/>
                <w:color w:val="FFFFFF" w:themeColor="background1"/>
                <w:szCs w:val="22"/>
                <w:lang w:eastAsia="es-DO"/>
              </w:rPr>
              <w:t>B</w:t>
            </w:r>
            <w:r w:rsidRPr="006569D0">
              <w:rPr>
                <w:rFonts w:ascii="Times New Roman" w:hAnsi="Times New Roman"/>
                <w:b/>
                <w:bCs/>
                <w:color w:val="FFFFFF" w:themeColor="background1"/>
                <w:szCs w:val="22"/>
                <w:lang w:eastAsia="es-DO"/>
              </w:rPr>
              <w:t>ase</w:t>
            </w:r>
            <w:r w:rsidR="006A3851" w:rsidRPr="006569D0">
              <w:rPr>
                <w:rFonts w:ascii="Times New Roman" w:hAnsi="Times New Roman"/>
                <w:b/>
                <w:bCs/>
                <w:color w:val="FFFFFF" w:themeColor="background1"/>
                <w:szCs w:val="22"/>
                <w:lang w:eastAsia="es-DO"/>
              </w:rPr>
              <w:br/>
            </w:r>
            <w:r w:rsidR="008F3EE7" w:rsidRPr="006569D0">
              <w:rPr>
                <w:rFonts w:ascii="Times New Roman" w:hAnsi="Times New Roman"/>
                <w:b/>
                <w:bCs/>
                <w:color w:val="FFFFFF" w:themeColor="background1"/>
                <w:szCs w:val="22"/>
                <w:lang w:eastAsia="es-DO"/>
              </w:rPr>
              <w:t>2015</w:t>
            </w:r>
          </w:p>
        </w:tc>
        <w:tc>
          <w:tcPr>
            <w:tcW w:w="1500" w:type="dxa"/>
            <w:shd w:val="clear" w:color="auto" w:fill="00B050"/>
            <w:vAlign w:val="center"/>
            <w:hideMark/>
          </w:tcPr>
          <w:p w14:paraId="1C277126" w14:textId="1C1AE460" w:rsidR="0052136E" w:rsidRPr="006569D0" w:rsidRDefault="0052136E" w:rsidP="0098745F">
            <w:pPr>
              <w:spacing w:after="0"/>
              <w:jc w:val="center"/>
              <w:rPr>
                <w:rFonts w:ascii="Times New Roman" w:hAnsi="Times New Roman"/>
                <w:b/>
                <w:bCs/>
                <w:color w:val="FFFFFF" w:themeColor="background1"/>
                <w:szCs w:val="22"/>
                <w:lang w:eastAsia="es-DO"/>
              </w:rPr>
            </w:pPr>
            <w:r w:rsidRPr="006569D0">
              <w:rPr>
                <w:rFonts w:ascii="Times New Roman" w:hAnsi="Times New Roman"/>
                <w:b/>
                <w:bCs/>
                <w:color w:val="FFFFFF" w:themeColor="background1"/>
                <w:szCs w:val="22"/>
                <w:lang w:eastAsia="es-DO"/>
              </w:rPr>
              <w:t xml:space="preserve">Producción </w:t>
            </w:r>
            <w:r w:rsidR="00474206" w:rsidRPr="006569D0">
              <w:rPr>
                <w:rFonts w:ascii="Times New Roman" w:hAnsi="Times New Roman"/>
                <w:b/>
                <w:bCs/>
                <w:color w:val="FFFFFF" w:themeColor="background1"/>
                <w:szCs w:val="22"/>
                <w:lang w:eastAsia="es-DO"/>
              </w:rPr>
              <w:t>p</w:t>
            </w:r>
            <w:r w:rsidRPr="006569D0">
              <w:rPr>
                <w:rFonts w:ascii="Times New Roman" w:hAnsi="Times New Roman"/>
                <w:b/>
                <w:bCs/>
                <w:color w:val="FFFFFF" w:themeColor="background1"/>
                <w:szCs w:val="22"/>
                <w:lang w:eastAsia="es-DO"/>
              </w:rPr>
              <w:t>rogramada</w:t>
            </w:r>
            <w:r w:rsidR="0098745F" w:rsidRPr="006569D0">
              <w:rPr>
                <w:rStyle w:val="Refdenotaalpie"/>
                <w:rFonts w:ascii="Times New Roman" w:hAnsi="Times New Roman"/>
                <w:b/>
                <w:bCs/>
                <w:color w:val="FFFFFF" w:themeColor="background1"/>
                <w:szCs w:val="22"/>
                <w:lang w:eastAsia="es-DO"/>
              </w:rPr>
              <w:footnoteReference w:id="1"/>
            </w:r>
            <w:r w:rsidRPr="006569D0">
              <w:rPr>
                <w:rFonts w:ascii="Times New Roman" w:hAnsi="Times New Roman"/>
                <w:b/>
                <w:bCs/>
                <w:color w:val="FFFFFF" w:themeColor="background1"/>
                <w:szCs w:val="22"/>
                <w:lang w:eastAsia="es-DO"/>
              </w:rPr>
              <w:t xml:space="preserve"> 201</w:t>
            </w:r>
            <w:r w:rsidR="0036481B" w:rsidRPr="006569D0">
              <w:rPr>
                <w:rFonts w:ascii="Times New Roman" w:hAnsi="Times New Roman"/>
                <w:b/>
                <w:bCs/>
                <w:color w:val="FFFFFF" w:themeColor="background1"/>
                <w:szCs w:val="22"/>
                <w:lang w:eastAsia="es-DO"/>
              </w:rPr>
              <w:t>9</w:t>
            </w:r>
          </w:p>
        </w:tc>
        <w:tc>
          <w:tcPr>
            <w:tcW w:w="1418" w:type="dxa"/>
            <w:shd w:val="clear" w:color="auto" w:fill="00B050"/>
            <w:vAlign w:val="center"/>
            <w:hideMark/>
          </w:tcPr>
          <w:p w14:paraId="302C8324" w14:textId="36B041EC" w:rsidR="0052136E" w:rsidRPr="006569D0" w:rsidRDefault="0052136E" w:rsidP="0036481B">
            <w:pPr>
              <w:spacing w:after="0"/>
              <w:jc w:val="center"/>
              <w:rPr>
                <w:rFonts w:ascii="Times New Roman" w:hAnsi="Times New Roman"/>
                <w:b/>
                <w:bCs/>
                <w:color w:val="FFFFFF" w:themeColor="background1"/>
                <w:szCs w:val="22"/>
                <w:lang w:eastAsia="es-DO"/>
              </w:rPr>
            </w:pPr>
            <w:r w:rsidRPr="006569D0">
              <w:rPr>
                <w:rFonts w:ascii="Times New Roman" w:hAnsi="Times New Roman"/>
                <w:b/>
                <w:bCs/>
                <w:color w:val="FFFFFF" w:themeColor="background1"/>
                <w:szCs w:val="22"/>
                <w:lang w:eastAsia="es-DO"/>
              </w:rPr>
              <w:t xml:space="preserve">Producción </w:t>
            </w:r>
            <w:r w:rsidR="00474206" w:rsidRPr="006569D0">
              <w:rPr>
                <w:rFonts w:ascii="Times New Roman" w:hAnsi="Times New Roman"/>
                <w:b/>
                <w:bCs/>
                <w:color w:val="FFFFFF" w:themeColor="background1"/>
                <w:szCs w:val="22"/>
                <w:lang w:eastAsia="es-DO"/>
              </w:rPr>
              <w:t>g</w:t>
            </w:r>
            <w:r w:rsidRPr="006569D0">
              <w:rPr>
                <w:rFonts w:ascii="Times New Roman" w:hAnsi="Times New Roman"/>
                <w:b/>
                <w:bCs/>
                <w:color w:val="FFFFFF" w:themeColor="background1"/>
                <w:szCs w:val="22"/>
                <w:lang w:eastAsia="es-DO"/>
              </w:rPr>
              <w:t>enerada 201</w:t>
            </w:r>
            <w:r w:rsidR="0036481B" w:rsidRPr="006569D0">
              <w:rPr>
                <w:rFonts w:ascii="Times New Roman" w:hAnsi="Times New Roman"/>
                <w:b/>
                <w:bCs/>
                <w:color w:val="FFFFFF" w:themeColor="background1"/>
                <w:szCs w:val="22"/>
                <w:lang w:eastAsia="es-DO"/>
              </w:rPr>
              <w:t>9</w:t>
            </w:r>
          </w:p>
        </w:tc>
        <w:tc>
          <w:tcPr>
            <w:tcW w:w="1134" w:type="dxa"/>
            <w:shd w:val="clear" w:color="auto" w:fill="00B050"/>
            <w:vAlign w:val="center"/>
            <w:hideMark/>
          </w:tcPr>
          <w:p w14:paraId="36AFC8BB" w14:textId="77777777" w:rsidR="0052136E" w:rsidRPr="006569D0" w:rsidRDefault="00474206" w:rsidP="00E1189D">
            <w:pPr>
              <w:spacing w:after="0"/>
              <w:jc w:val="center"/>
              <w:rPr>
                <w:rFonts w:ascii="Times New Roman" w:hAnsi="Times New Roman"/>
                <w:b/>
                <w:bCs/>
                <w:color w:val="FFFFFF" w:themeColor="background1"/>
                <w:szCs w:val="22"/>
                <w:lang w:eastAsia="es-DO"/>
              </w:rPr>
            </w:pPr>
            <w:r w:rsidRPr="006569D0">
              <w:rPr>
                <w:rFonts w:ascii="Times New Roman" w:hAnsi="Times New Roman"/>
                <w:b/>
                <w:bCs/>
                <w:color w:val="FFFFFF" w:themeColor="background1"/>
                <w:szCs w:val="22"/>
                <w:lang w:eastAsia="es-DO"/>
              </w:rPr>
              <w:t>Nivel de e</w:t>
            </w:r>
            <w:r w:rsidR="0052136E" w:rsidRPr="006569D0">
              <w:rPr>
                <w:rFonts w:ascii="Times New Roman" w:hAnsi="Times New Roman"/>
                <w:b/>
                <w:bCs/>
                <w:color w:val="FFFFFF" w:themeColor="background1"/>
                <w:szCs w:val="22"/>
                <w:lang w:eastAsia="es-DO"/>
              </w:rPr>
              <w:t xml:space="preserve">jecución (%) </w:t>
            </w:r>
          </w:p>
        </w:tc>
      </w:tr>
      <w:tr w:rsidR="0050467E" w:rsidRPr="006569D0" w14:paraId="42F398CD" w14:textId="77777777" w:rsidTr="0050467E">
        <w:trPr>
          <w:trHeight w:val="300"/>
          <w:jc w:val="center"/>
        </w:trPr>
        <w:tc>
          <w:tcPr>
            <w:tcW w:w="2694" w:type="dxa"/>
            <w:shd w:val="clear" w:color="auto" w:fill="auto"/>
            <w:noWrap/>
            <w:vAlign w:val="center"/>
            <w:hideMark/>
          </w:tcPr>
          <w:p w14:paraId="77BE34A0"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Capacitación Agrícola</w:t>
            </w:r>
          </w:p>
        </w:tc>
        <w:tc>
          <w:tcPr>
            <w:tcW w:w="2078" w:type="dxa"/>
            <w:shd w:val="clear" w:color="auto" w:fill="auto"/>
            <w:vAlign w:val="center"/>
            <w:hideMark/>
          </w:tcPr>
          <w:p w14:paraId="56F5DD81"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Productores/as Capacitados</w:t>
            </w:r>
          </w:p>
        </w:tc>
        <w:tc>
          <w:tcPr>
            <w:tcW w:w="1100" w:type="dxa"/>
            <w:shd w:val="clear" w:color="auto" w:fill="auto"/>
            <w:noWrap/>
            <w:vAlign w:val="center"/>
            <w:hideMark/>
          </w:tcPr>
          <w:p w14:paraId="313F6F9C" w14:textId="77777777" w:rsidR="0050467E" w:rsidRPr="006569D0" w:rsidRDefault="0050467E" w:rsidP="0050467E">
            <w:pPr>
              <w:spacing w:after="0"/>
              <w:jc w:val="center"/>
              <w:rPr>
                <w:rFonts w:ascii="Times New Roman" w:hAnsi="Times New Roman"/>
              </w:rPr>
            </w:pPr>
            <w:r w:rsidRPr="006569D0">
              <w:rPr>
                <w:rFonts w:ascii="Times New Roman" w:hAnsi="Times New Roman"/>
              </w:rPr>
              <w:t>216,436</w:t>
            </w:r>
          </w:p>
        </w:tc>
        <w:tc>
          <w:tcPr>
            <w:tcW w:w="1500" w:type="dxa"/>
            <w:shd w:val="clear" w:color="auto" w:fill="auto"/>
            <w:noWrap/>
            <w:vAlign w:val="center"/>
            <w:hideMark/>
          </w:tcPr>
          <w:p w14:paraId="69A99407" w14:textId="610240A9" w:rsidR="0050467E" w:rsidRPr="006569D0" w:rsidRDefault="0050467E" w:rsidP="0050467E">
            <w:pPr>
              <w:spacing w:after="0"/>
              <w:jc w:val="center"/>
              <w:rPr>
                <w:rFonts w:ascii="Times New Roman" w:hAnsi="Times New Roman"/>
              </w:rPr>
            </w:pPr>
            <w:r w:rsidRPr="006569D0">
              <w:rPr>
                <w:rFonts w:ascii="Times New Roman" w:hAnsi="Times New Roman"/>
              </w:rPr>
              <w:t>250,552</w:t>
            </w:r>
          </w:p>
        </w:tc>
        <w:tc>
          <w:tcPr>
            <w:tcW w:w="1418" w:type="dxa"/>
            <w:shd w:val="clear" w:color="auto" w:fill="auto"/>
            <w:noWrap/>
            <w:vAlign w:val="center"/>
          </w:tcPr>
          <w:p w14:paraId="29A0C103" w14:textId="24834D47" w:rsidR="0050467E" w:rsidRPr="006569D0" w:rsidRDefault="0050467E" w:rsidP="0050467E">
            <w:pPr>
              <w:spacing w:after="0"/>
              <w:jc w:val="center"/>
              <w:rPr>
                <w:rFonts w:ascii="Times New Roman" w:hAnsi="Times New Roman"/>
                <w:szCs w:val="22"/>
                <w:lang w:eastAsia="es-DO"/>
              </w:rPr>
            </w:pPr>
            <w:r>
              <w:rPr>
                <w:rFonts w:ascii="Times New Roman" w:hAnsi="Times New Roman"/>
                <w:szCs w:val="22"/>
                <w:lang w:eastAsia="es-DO"/>
              </w:rPr>
              <w:t>195,962</w:t>
            </w:r>
          </w:p>
        </w:tc>
        <w:tc>
          <w:tcPr>
            <w:tcW w:w="1134" w:type="dxa"/>
            <w:shd w:val="clear" w:color="auto" w:fill="auto"/>
            <w:noWrap/>
            <w:vAlign w:val="center"/>
          </w:tcPr>
          <w:p w14:paraId="17195C38" w14:textId="79E49C49" w:rsidR="0050467E" w:rsidRPr="006569D0" w:rsidRDefault="0050467E" w:rsidP="0050467E">
            <w:pPr>
              <w:spacing w:after="0"/>
              <w:jc w:val="center"/>
              <w:rPr>
                <w:rFonts w:ascii="Times New Roman" w:hAnsi="Times New Roman"/>
                <w:szCs w:val="22"/>
                <w:lang w:eastAsia="es-DO"/>
              </w:rPr>
            </w:pPr>
            <w:r>
              <w:rPr>
                <w:rFonts w:ascii="Times New Roman" w:hAnsi="Times New Roman"/>
                <w:szCs w:val="22"/>
                <w:lang w:eastAsia="es-DO"/>
              </w:rPr>
              <w:t>78.21</w:t>
            </w:r>
          </w:p>
        </w:tc>
      </w:tr>
      <w:tr w:rsidR="0050467E" w:rsidRPr="006569D0" w14:paraId="100357FF" w14:textId="77777777" w:rsidTr="0050467E">
        <w:trPr>
          <w:trHeight w:val="300"/>
          <w:jc w:val="center"/>
        </w:trPr>
        <w:tc>
          <w:tcPr>
            <w:tcW w:w="2694" w:type="dxa"/>
            <w:shd w:val="clear" w:color="auto" w:fill="auto"/>
            <w:noWrap/>
            <w:vAlign w:val="center"/>
          </w:tcPr>
          <w:p w14:paraId="1639BCC1"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Asistencia Técnica a Productores/as</w:t>
            </w:r>
          </w:p>
        </w:tc>
        <w:tc>
          <w:tcPr>
            <w:tcW w:w="2078" w:type="dxa"/>
            <w:shd w:val="clear" w:color="auto" w:fill="auto"/>
            <w:vAlign w:val="center"/>
          </w:tcPr>
          <w:p w14:paraId="400AE825"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Visitas Realizadas</w:t>
            </w:r>
          </w:p>
        </w:tc>
        <w:tc>
          <w:tcPr>
            <w:tcW w:w="1100" w:type="dxa"/>
            <w:shd w:val="clear" w:color="auto" w:fill="auto"/>
            <w:noWrap/>
            <w:vAlign w:val="center"/>
          </w:tcPr>
          <w:p w14:paraId="7D789779" w14:textId="77777777" w:rsidR="0050467E" w:rsidRPr="006569D0" w:rsidRDefault="0050467E" w:rsidP="0050467E">
            <w:pPr>
              <w:spacing w:after="0"/>
              <w:jc w:val="center"/>
              <w:rPr>
                <w:rFonts w:ascii="Times New Roman" w:hAnsi="Times New Roman"/>
              </w:rPr>
            </w:pPr>
            <w:r w:rsidRPr="006569D0">
              <w:rPr>
                <w:rFonts w:ascii="Times New Roman" w:hAnsi="Times New Roman"/>
              </w:rPr>
              <w:t>882,836</w:t>
            </w:r>
          </w:p>
        </w:tc>
        <w:tc>
          <w:tcPr>
            <w:tcW w:w="1500" w:type="dxa"/>
            <w:shd w:val="clear" w:color="auto" w:fill="auto"/>
            <w:noWrap/>
            <w:vAlign w:val="center"/>
          </w:tcPr>
          <w:p w14:paraId="1657FA77" w14:textId="3A27401F" w:rsidR="0050467E" w:rsidRPr="006569D0" w:rsidRDefault="0050467E" w:rsidP="0050467E">
            <w:pPr>
              <w:spacing w:after="0"/>
              <w:jc w:val="center"/>
              <w:rPr>
                <w:rFonts w:ascii="Times New Roman" w:hAnsi="Times New Roman"/>
              </w:rPr>
            </w:pPr>
            <w:r w:rsidRPr="006569D0">
              <w:rPr>
                <w:rFonts w:ascii="Times New Roman" w:hAnsi="Times New Roman"/>
              </w:rPr>
              <w:t>1,021,993</w:t>
            </w:r>
          </w:p>
        </w:tc>
        <w:tc>
          <w:tcPr>
            <w:tcW w:w="1418" w:type="dxa"/>
            <w:shd w:val="clear" w:color="auto" w:fill="auto"/>
            <w:noWrap/>
            <w:vAlign w:val="center"/>
          </w:tcPr>
          <w:p w14:paraId="4830644C" w14:textId="5C70A1A1" w:rsidR="0050467E" w:rsidRPr="006569D0" w:rsidRDefault="0050467E" w:rsidP="0050467E">
            <w:pPr>
              <w:spacing w:after="0"/>
              <w:jc w:val="center"/>
              <w:rPr>
                <w:rFonts w:ascii="Times New Roman" w:hAnsi="Times New Roman"/>
                <w:szCs w:val="22"/>
                <w:lang w:eastAsia="es-DO"/>
              </w:rPr>
            </w:pPr>
            <w:r>
              <w:rPr>
                <w:rFonts w:ascii="Times New Roman" w:hAnsi="Times New Roman"/>
                <w:szCs w:val="22"/>
                <w:lang w:eastAsia="es-DO"/>
              </w:rPr>
              <w:t>724,503</w:t>
            </w:r>
          </w:p>
        </w:tc>
        <w:tc>
          <w:tcPr>
            <w:tcW w:w="1134" w:type="dxa"/>
            <w:shd w:val="clear" w:color="auto" w:fill="auto"/>
            <w:noWrap/>
            <w:vAlign w:val="center"/>
          </w:tcPr>
          <w:p w14:paraId="038492E0" w14:textId="527EDA31" w:rsidR="0050467E" w:rsidRPr="006569D0" w:rsidRDefault="0050467E" w:rsidP="0050467E">
            <w:pPr>
              <w:spacing w:after="0"/>
              <w:jc w:val="center"/>
              <w:rPr>
                <w:rFonts w:ascii="Times New Roman" w:hAnsi="Times New Roman"/>
                <w:szCs w:val="22"/>
                <w:lang w:eastAsia="es-DO"/>
              </w:rPr>
            </w:pPr>
            <w:r>
              <w:rPr>
                <w:rFonts w:ascii="Times New Roman" w:hAnsi="Times New Roman"/>
                <w:szCs w:val="22"/>
                <w:lang w:eastAsia="es-DO"/>
              </w:rPr>
              <w:t>70.89</w:t>
            </w:r>
          </w:p>
        </w:tc>
      </w:tr>
      <w:tr w:rsidR="0050467E" w:rsidRPr="006569D0" w14:paraId="55F07B8E" w14:textId="77777777" w:rsidTr="0050467E">
        <w:trPr>
          <w:trHeight w:val="300"/>
          <w:jc w:val="center"/>
        </w:trPr>
        <w:tc>
          <w:tcPr>
            <w:tcW w:w="2694" w:type="dxa"/>
            <w:shd w:val="clear" w:color="auto" w:fill="auto"/>
            <w:noWrap/>
            <w:vAlign w:val="center"/>
            <w:hideMark/>
          </w:tcPr>
          <w:p w14:paraId="6B538316"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Mecanización de Terrenos</w:t>
            </w:r>
          </w:p>
        </w:tc>
        <w:tc>
          <w:tcPr>
            <w:tcW w:w="2078" w:type="dxa"/>
            <w:shd w:val="clear" w:color="auto" w:fill="auto"/>
            <w:vAlign w:val="center"/>
            <w:hideMark/>
          </w:tcPr>
          <w:p w14:paraId="7DD8DEB2"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 xml:space="preserve">Tareas Mecanizadas </w:t>
            </w:r>
          </w:p>
        </w:tc>
        <w:tc>
          <w:tcPr>
            <w:tcW w:w="1100" w:type="dxa"/>
            <w:shd w:val="clear" w:color="auto" w:fill="auto"/>
            <w:noWrap/>
            <w:vAlign w:val="center"/>
            <w:hideMark/>
          </w:tcPr>
          <w:p w14:paraId="03E44EAD" w14:textId="77777777" w:rsidR="0050467E" w:rsidRPr="006569D0" w:rsidRDefault="0050467E" w:rsidP="0050467E">
            <w:pPr>
              <w:spacing w:after="0"/>
              <w:jc w:val="center"/>
              <w:rPr>
                <w:rFonts w:ascii="Times New Roman" w:hAnsi="Times New Roman"/>
              </w:rPr>
            </w:pPr>
            <w:r w:rsidRPr="006569D0">
              <w:rPr>
                <w:rFonts w:ascii="Times New Roman" w:hAnsi="Times New Roman"/>
              </w:rPr>
              <w:t>508,903</w:t>
            </w:r>
          </w:p>
        </w:tc>
        <w:tc>
          <w:tcPr>
            <w:tcW w:w="1500" w:type="dxa"/>
            <w:shd w:val="clear" w:color="auto" w:fill="auto"/>
            <w:noWrap/>
            <w:vAlign w:val="center"/>
            <w:hideMark/>
          </w:tcPr>
          <w:p w14:paraId="68AAE7A3" w14:textId="694EFD08" w:rsidR="0050467E" w:rsidRPr="006569D0" w:rsidRDefault="0050467E" w:rsidP="0050467E">
            <w:pPr>
              <w:spacing w:after="0"/>
              <w:jc w:val="center"/>
              <w:rPr>
                <w:rFonts w:ascii="Times New Roman" w:hAnsi="Times New Roman"/>
              </w:rPr>
            </w:pPr>
            <w:r w:rsidRPr="006569D0">
              <w:rPr>
                <w:rFonts w:ascii="Times New Roman" w:hAnsi="Times New Roman"/>
              </w:rPr>
              <w:t>586,503</w:t>
            </w:r>
          </w:p>
        </w:tc>
        <w:tc>
          <w:tcPr>
            <w:tcW w:w="1418" w:type="dxa"/>
            <w:shd w:val="clear" w:color="auto" w:fill="auto"/>
            <w:noWrap/>
            <w:vAlign w:val="center"/>
          </w:tcPr>
          <w:p w14:paraId="7F85392B" w14:textId="02ED8086" w:rsidR="0050467E" w:rsidRPr="006569D0" w:rsidRDefault="0050467E" w:rsidP="0050467E">
            <w:pPr>
              <w:spacing w:after="0"/>
              <w:jc w:val="center"/>
              <w:rPr>
                <w:rFonts w:ascii="Times New Roman" w:hAnsi="Times New Roman"/>
                <w:szCs w:val="22"/>
                <w:lang w:eastAsia="es-DO"/>
              </w:rPr>
            </w:pPr>
            <w:r w:rsidRPr="006569D0">
              <w:rPr>
                <w:rFonts w:ascii="Times New Roman" w:hAnsi="Times New Roman"/>
                <w:szCs w:val="22"/>
                <w:lang w:eastAsia="es-DO"/>
              </w:rPr>
              <w:t>1,007,279</w:t>
            </w:r>
          </w:p>
        </w:tc>
        <w:tc>
          <w:tcPr>
            <w:tcW w:w="1134" w:type="dxa"/>
            <w:shd w:val="clear" w:color="auto" w:fill="auto"/>
            <w:noWrap/>
            <w:vAlign w:val="center"/>
          </w:tcPr>
          <w:p w14:paraId="34EF2879" w14:textId="74F5F71D" w:rsidR="0050467E" w:rsidRPr="006569D0" w:rsidRDefault="0050467E" w:rsidP="0050467E">
            <w:pPr>
              <w:spacing w:after="0"/>
              <w:jc w:val="center"/>
              <w:rPr>
                <w:rFonts w:ascii="Times New Roman" w:hAnsi="Times New Roman"/>
                <w:szCs w:val="22"/>
                <w:lang w:eastAsia="es-DO"/>
              </w:rPr>
            </w:pPr>
            <w:r w:rsidRPr="006569D0">
              <w:rPr>
                <w:rFonts w:ascii="Times New Roman" w:hAnsi="Times New Roman"/>
                <w:szCs w:val="22"/>
                <w:lang w:eastAsia="es-DO"/>
              </w:rPr>
              <w:t>171.74</w:t>
            </w:r>
          </w:p>
        </w:tc>
      </w:tr>
      <w:tr w:rsidR="0050467E" w:rsidRPr="006569D0" w14:paraId="709AA399" w14:textId="77777777" w:rsidTr="0050467E">
        <w:trPr>
          <w:trHeight w:val="300"/>
          <w:jc w:val="center"/>
        </w:trPr>
        <w:tc>
          <w:tcPr>
            <w:tcW w:w="2694" w:type="dxa"/>
            <w:shd w:val="clear" w:color="auto" w:fill="auto"/>
            <w:noWrap/>
            <w:vAlign w:val="center"/>
            <w:hideMark/>
          </w:tcPr>
          <w:p w14:paraId="05C0C903"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Distribución de Material de Siembra</w:t>
            </w:r>
            <w:r w:rsidRPr="006569D0">
              <w:rPr>
                <w:rStyle w:val="Refdenotaalpie"/>
                <w:rFonts w:ascii="Times New Roman" w:hAnsi="Times New Roman"/>
                <w:szCs w:val="22"/>
                <w:lang w:eastAsia="es-DO"/>
              </w:rPr>
              <w:footnoteReference w:id="2"/>
            </w:r>
          </w:p>
        </w:tc>
        <w:tc>
          <w:tcPr>
            <w:tcW w:w="2078" w:type="dxa"/>
            <w:shd w:val="clear" w:color="auto" w:fill="auto"/>
            <w:vAlign w:val="center"/>
            <w:hideMark/>
          </w:tcPr>
          <w:p w14:paraId="4FEC2412"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Tareas Beneficiadas</w:t>
            </w:r>
          </w:p>
        </w:tc>
        <w:tc>
          <w:tcPr>
            <w:tcW w:w="1100" w:type="dxa"/>
            <w:shd w:val="clear" w:color="auto" w:fill="auto"/>
            <w:noWrap/>
            <w:vAlign w:val="center"/>
            <w:hideMark/>
          </w:tcPr>
          <w:p w14:paraId="3130B848" w14:textId="77777777" w:rsidR="0050467E" w:rsidRPr="006569D0" w:rsidRDefault="0050467E" w:rsidP="0050467E">
            <w:pPr>
              <w:spacing w:after="0"/>
              <w:jc w:val="center"/>
              <w:rPr>
                <w:rFonts w:ascii="Times New Roman" w:hAnsi="Times New Roman"/>
              </w:rPr>
            </w:pPr>
            <w:r w:rsidRPr="006569D0">
              <w:rPr>
                <w:rFonts w:ascii="Times New Roman" w:hAnsi="Times New Roman"/>
              </w:rPr>
              <w:t>1,229,367</w:t>
            </w:r>
          </w:p>
        </w:tc>
        <w:tc>
          <w:tcPr>
            <w:tcW w:w="1500" w:type="dxa"/>
            <w:shd w:val="clear" w:color="auto" w:fill="auto"/>
            <w:noWrap/>
            <w:vAlign w:val="center"/>
            <w:hideMark/>
          </w:tcPr>
          <w:p w14:paraId="351A71A8" w14:textId="0E0B8565" w:rsidR="0050467E" w:rsidRPr="006569D0" w:rsidRDefault="0050467E" w:rsidP="0050467E">
            <w:pPr>
              <w:spacing w:after="0"/>
              <w:jc w:val="center"/>
              <w:rPr>
                <w:rFonts w:ascii="Times New Roman" w:hAnsi="Times New Roman"/>
              </w:rPr>
            </w:pPr>
            <w:r w:rsidRPr="006569D0">
              <w:rPr>
                <w:rFonts w:ascii="Times New Roman" w:hAnsi="Times New Roman"/>
              </w:rPr>
              <w:t>2,419,3476</w:t>
            </w:r>
          </w:p>
        </w:tc>
        <w:tc>
          <w:tcPr>
            <w:tcW w:w="1418" w:type="dxa"/>
            <w:shd w:val="clear" w:color="auto" w:fill="auto"/>
            <w:noWrap/>
            <w:vAlign w:val="center"/>
          </w:tcPr>
          <w:p w14:paraId="52870928" w14:textId="34C17C4B" w:rsidR="0050467E" w:rsidRPr="006569D0" w:rsidRDefault="0050467E" w:rsidP="0050467E">
            <w:pPr>
              <w:spacing w:after="0"/>
              <w:jc w:val="center"/>
              <w:rPr>
                <w:rFonts w:ascii="Times New Roman" w:hAnsi="Times New Roman"/>
                <w:szCs w:val="22"/>
                <w:lang w:eastAsia="es-DO"/>
              </w:rPr>
            </w:pPr>
            <w:r w:rsidRPr="006569D0">
              <w:rPr>
                <w:rFonts w:ascii="Times New Roman" w:hAnsi="Times New Roman"/>
                <w:szCs w:val="22"/>
                <w:lang w:eastAsia="es-DO"/>
              </w:rPr>
              <w:t>2,2</w:t>
            </w:r>
            <w:r>
              <w:rPr>
                <w:rFonts w:ascii="Times New Roman" w:hAnsi="Times New Roman"/>
                <w:szCs w:val="22"/>
                <w:lang w:eastAsia="es-DO"/>
              </w:rPr>
              <w:t>71</w:t>
            </w:r>
            <w:r w:rsidRPr="006569D0">
              <w:rPr>
                <w:rFonts w:ascii="Times New Roman" w:hAnsi="Times New Roman"/>
                <w:szCs w:val="22"/>
                <w:lang w:eastAsia="es-DO"/>
              </w:rPr>
              <w:t>,</w:t>
            </w:r>
            <w:r>
              <w:rPr>
                <w:rFonts w:ascii="Times New Roman" w:hAnsi="Times New Roman"/>
                <w:szCs w:val="22"/>
                <w:lang w:eastAsia="es-DO"/>
              </w:rPr>
              <w:t>935</w:t>
            </w:r>
          </w:p>
        </w:tc>
        <w:tc>
          <w:tcPr>
            <w:tcW w:w="1134" w:type="dxa"/>
            <w:shd w:val="clear" w:color="auto" w:fill="auto"/>
            <w:noWrap/>
            <w:vAlign w:val="center"/>
          </w:tcPr>
          <w:p w14:paraId="2177162E" w14:textId="4D664389" w:rsidR="0050467E" w:rsidRPr="006569D0" w:rsidRDefault="0050467E" w:rsidP="0050467E">
            <w:pPr>
              <w:spacing w:after="0"/>
              <w:jc w:val="center"/>
              <w:rPr>
                <w:rFonts w:ascii="Times New Roman" w:hAnsi="Times New Roman"/>
                <w:szCs w:val="22"/>
                <w:lang w:eastAsia="es-DO"/>
              </w:rPr>
            </w:pPr>
            <w:r>
              <w:rPr>
                <w:rFonts w:ascii="Times New Roman" w:hAnsi="Times New Roman"/>
                <w:szCs w:val="22"/>
                <w:lang w:eastAsia="es-DO"/>
              </w:rPr>
              <w:t>93.91</w:t>
            </w:r>
          </w:p>
        </w:tc>
      </w:tr>
      <w:tr w:rsidR="0050467E" w:rsidRPr="006569D0" w14:paraId="6140A321" w14:textId="77777777" w:rsidTr="0050467E">
        <w:trPr>
          <w:trHeight w:val="300"/>
          <w:jc w:val="center"/>
        </w:trPr>
        <w:tc>
          <w:tcPr>
            <w:tcW w:w="2694" w:type="dxa"/>
            <w:shd w:val="clear" w:color="auto" w:fill="auto"/>
            <w:noWrap/>
            <w:vAlign w:val="center"/>
            <w:hideMark/>
          </w:tcPr>
          <w:p w14:paraId="778309F5"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Distribución de Insumos</w:t>
            </w:r>
          </w:p>
        </w:tc>
        <w:tc>
          <w:tcPr>
            <w:tcW w:w="2078" w:type="dxa"/>
            <w:shd w:val="clear" w:color="auto" w:fill="auto"/>
            <w:vAlign w:val="center"/>
            <w:hideMark/>
          </w:tcPr>
          <w:p w14:paraId="7921F310"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Tareas Beneficiadas</w:t>
            </w:r>
          </w:p>
        </w:tc>
        <w:tc>
          <w:tcPr>
            <w:tcW w:w="1100" w:type="dxa"/>
            <w:shd w:val="clear" w:color="auto" w:fill="auto"/>
            <w:noWrap/>
            <w:vAlign w:val="center"/>
            <w:hideMark/>
          </w:tcPr>
          <w:p w14:paraId="26769EC8" w14:textId="77777777" w:rsidR="0050467E" w:rsidRPr="006569D0" w:rsidRDefault="0050467E" w:rsidP="0050467E">
            <w:pPr>
              <w:spacing w:after="0"/>
              <w:jc w:val="center"/>
              <w:rPr>
                <w:rFonts w:ascii="Times New Roman" w:hAnsi="Times New Roman"/>
              </w:rPr>
            </w:pPr>
            <w:r w:rsidRPr="006569D0">
              <w:rPr>
                <w:rFonts w:ascii="Times New Roman" w:hAnsi="Times New Roman"/>
              </w:rPr>
              <w:t>1,254,645</w:t>
            </w:r>
          </w:p>
        </w:tc>
        <w:tc>
          <w:tcPr>
            <w:tcW w:w="1500" w:type="dxa"/>
            <w:shd w:val="clear" w:color="auto" w:fill="auto"/>
            <w:noWrap/>
            <w:vAlign w:val="center"/>
            <w:hideMark/>
          </w:tcPr>
          <w:p w14:paraId="2FB61CC6" w14:textId="398C6756" w:rsidR="0050467E" w:rsidRPr="006569D0" w:rsidRDefault="0050467E" w:rsidP="0050467E">
            <w:pPr>
              <w:spacing w:after="0"/>
              <w:jc w:val="center"/>
              <w:rPr>
                <w:rFonts w:ascii="Times New Roman" w:hAnsi="Times New Roman"/>
              </w:rPr>
            </w:pPr>
            <w:r w:rsidRPr="006569D0">
              <w:rPr>
                <w:rFonts w:ascii="Times New Roman" w:hAnsi="Times New Roman"/>
              </w:rPr>
              <w:t>1,411,174</w:t>
            </w:r>
          </w:p>
        </w:tc>
        <w:tc>
          <w:tcPr>
            <w:tcW w:w="1418" w:type="dxa"/>
            <w:shd w:val="clear" w:color="auto" w:fill="auto"/>
            <w:noWrap/>
            <w:vAlign w:val="center"/>
          </w:tcPr>
          <w:p w14:paraId="787AA1A8" w14:textId="2E65F395" w:rsidR="0050467E" w:rsidRPr="006569D0" w:rsidRDefault="0050467E" w:rsidP="0050467E">
            <w:pPr>
              <w:spacing w:after="0"/>
              <w:jc w:val="center"/>
              <w:rPr>
                <w:rFonts w:ascii="Times New Roman" w:hAnsi="Times New Roman"/>
                <w:szCs w:val="22"/>
                <w:lang w:eastAsia="es-DO"/>
              </w:rPr>
            </w:pPr>
            <w:r w:rsidRPr="006569D0">
              <w:rPr>
                <w:rFonts w:ascii="Times New Roman" w:hAnsi="Times New Roman"/>
                <w:szCs w:val="22"/>
                <w:lang w:eastAsia="es-DO"/>
              </w:rPr>
              <w:t>1,382,042</w:t>
            </w:r>
          </w:p>
        </w:tc>
        <w:tc>
          <w:tcPr>
            <w:tcW w:w="1134" w:type="dxa"/>
            <w:shd w:val="clear" w:color="auto" w:fill="auto"/>
            <w:noWrap/>
            <w:vAlign w:val="center"/>
          </w:tcPr>
          <w:p w14:paraId="1398A00C" w14:textId="2F92DA56" w:rsidR="0050467E" w:rsidRPr="006569D0" w:rsidRDefault="0050467E" w:rsidP="0050467E">
            <w:pPr>
              <w:spacing w:after="0"/>
              <w:jc w:val="center"/>
              <w:rPr>
                <w:rFonts w:ascii="Times New Roman" w:hAnsi="Times New Roman"/>
                <w:szCs w:val="22"/>
                <w:lang w:eastAsia="es-DO"/>
              </w:rPr>
            </w:pPr>
            <w:r w:rsidRPr="006569D0">
              <w:rPr>
                <w:rFonts w:ascii="Times New Roman" w:hAnsi="Times New Roman"/>
                <w:szCs w:val="22"/>
                <w:lang w:eastAsia="es-DO"/>
              </w:rPr>
              <w:t>104.91</w:t>
            </w:r>
          </w:p>
        </w:tc>
      </w:tr>
      <w:tr w:rsidR="0050467E" w:rsidRPr="006569D0" w14:paraId="5D420C93" w14:textId="77777777" w:rsidTr="0050467E">
        <w:trPr>
          <w:trHeight w:val="600"/>
          <w:jc w:val="center"/>
        </w:trPr>
        <w:tc>
          <w:tcPr>
            <w:tcW w:w="2694" w:type="dxa"/>
            <w:shd w:val="clear" w:color="auto" w:fill="auto"/>
            <w:noWrap/>
            <w:vAlign w:val="center"/>
            <w:hideMark/>
          </w:tcPr>
          <w:p w14:paraId="07BF20BA"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Infraestructuras Rurales</w:t>
            </w:r>
          </w:p>
        </w:tc>
        <w:tc>
          <w:tcPr>
            <w:tcW w:w="2078" w:type="dxa"/>
            <w:shd w:val="clear" w:color="auto" w:fill="auto"/>
            <w:vAlign w:val="center"/>
            <w:hideMark/>
          </w:tcPr>
          <w:p w14:paraId="4A573D16"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Km de Caminos Construidos y Rehabilitados</w:t>
            </w:r>
            <w:r w:rsidRPr="006569D0">
              <w:rPr>
                <w:rStyle w:val="Refdenotaalpie"/>
                <w:rFonts w:ascii="Times New Roman" w:hAnsi="Times New Roman"/>
                <w:szCs w:val="22"/>
                <w:lang w:eastAsia="es-DO"/>
              </w:rPr>
              <w:footnoteReference w:id="3"/>
            </w:r>
          </w:p>
        </w:tc>
        <w:tc>
          <w:tcPr>
            <w:tcW w:w="1100" w:type="dxa"/>
            <w:shd w:val="clear" w:color="auto" w:fill="auto"/>
            <w:noWrap/>
            <w:vAlign w:val="center"/>
            <w:hideMark/>
          </w:tcPr>
          <w:p w14:paraId="0FCF53B4" w14:textId="77777777" w:rsidR="0050467E" w:rsidRPr="006569D0" w:rsidRDefault="0050467E" w:rsidP="0050467E">
            <w:pPr>
              <w:spacing w:after="0"/>
              <w:jc w:val="center"/>
              <w:rPr>
                <w:rFonts w:ascii="Times New Roman" w:hAnsi="Times New Roman"/>
              </w:rPr>
            </w:pPr>
            <w:r w:rsidRPr="006569D0">
              <w:rPr>
                <w:rFonts w:ascii="Times New Roman" w:hAnsi="Times New Roman"/>
              </w:rPr>
              <w:t>638</w:t>
            </w:r>
          </w:p>
        </w:tc>
        <w:tc>
          <w:tcPr>
            <w:tcW w:w="1500" w:type="dxa"/>
            <w:shd w:val="clear" w:color="auto" w:fill="auto"/>
            <w:noWrap/>
            <w:vAlign w:val="center"/>
            <w:hideMark/>
          </w:tcPr>
          <w:p w14:paraId="1FCAEAA6" w14:textId="75BF7F4C" w:rsidR="0050467E" w:rsidRPr="006569D0" w:rsidRDefault="0050467E" w:rsidP="0050467E">
            <w:pPr>
              <w:spacing w:after="0"/>
              <w:jc w:val="center"/>
              <w:rPr>
                <w:rFonts w:ascii="Times New Roman" w:hAnsi="Times New Roman"/>
              </w:rPr>
            </w:pPr>
            <w:r w:rsidRPr="006569D0">
              <w:rPr>
                <w:rFonts w:ascii="Times New Roman" w:hAnsi="Times New Roman"/>
              </w:rPr>
              <w:t>900</w:t>
            </w:r>
          </w:p>
        </w:tc>
        <w:tc>
          <w:tcPr>
            <w:tcW w:w="1418" w:type="dxa"/>
            <w:shd w:val="clear" w:color="auto" w:fill="auto"/>
            <w:noWrap/>
            <w:vAlign w:val="center"/>
          </w:tcPr>
          <w:p w14:paraId="46989601" w14:textId="2DB46CF6" w:rsidR="0050467E" w:rsidRPr="006569D0" w:rsidRDefault="0050467E" w:rsidP="0050467E">
            <w:pPr>
              <w:spacing w:after="0"/>
              <w:jc w:val="center"/>
              <w:rPr>
                <w:rFonts w:ascii="Times New Roman" w:hAnsi="Times New Roman"/>
                <w:szCs w:val="22"/>
                <w:lang w:eastAsia="es-DO"/>
              </w:rPr>
            </w:pPr>
            <w:r w:rsidRPr="006569D0">
              <w:rPr>
                <w:rFonts w:ascii="Times New Roman" w:hAnsi="Times New Roman"/>
                <w:szCs w:val="22"/>
                <w:lang w:eastAsia="es-DO"/>
              </w:rPr>
              <w:t>1,980.3</w:t>
            </w:r>
          </w:p>
        </w:tc>
        <w:tc>
          <w:tcPr>
            <w:tcW w:w="1134" w:type="dxa"/>
            <w:shd w:val="clear" w:color="auto" w:fill="auto"/>
            <w:noWrap/>
            <w:vAlign w:val="center"/>
          </w:tcPr>
          <w:p w14:paraId="66BF8AF0" w14:textId="066B58AC" w:rsidR="0050467E" w:rsidRPr="006569D0" w:rsidRDefault="0050467E" w:rsidP="0050467E">
            <w:pPr>
              <w:spacing w:after="0"/>
              <w:jc w:val="center"/>
              <w:rPr>
                <w:rFonts w:ascii="Times New Roman" w:hAnsi="Times New Roman"/>
                <w:szCs w:val="22"/>
                <w:lang w:eastAsia="es-DO"/>
              </w:rPr>
            </w:pPr>
            <w:r w:rsidRPr="006569D0">
              <w:rPr>
                <w:rFonts w:ascii="Times New Roman" w:hAnsi="Times New Roman"/>
                <w:szCs w:val="22"/>
                <w:lang w:eastAsia="es-DO"/>
              </w:rPr>
              <w:t>220.03</w:t>
            </w:r>
          </w:p>
        </w:tc>
      </w:tr>
      <w:tr w:rsidR="0050467E" w:rsidRPr="006569D0" w14:paraId="78B99CC1" w14:textId="77777777" w:rsidTr="0050467E">
        <w:trPr>
          <w:trHeight w:val="300"/>
          <w:jc w:val="center"/>
        </w:trPr>
        <w:tc>
          <w:tcPr>
            <w:tcW w:w="2694" w:type="dxa"/>
            <w:shd w:val="clear" w:color="auto" w:fill="auto"/>
            <w:noWrap/>
            <w:vAlign w:val="center"/>
            <w:hideMark/>
          </w:tcPr>
          <w:p w14:paraId="49E9591D"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 xml:space="preserve">Asentamientos </w:t>
            </w:r>
          </w:p>
        </w:tc>
        <w:tc>
          <w:tcPr>
            <w:tcW w:w="2078" w:type="dxa"/>
            <w:shd w:val="clear" w:color="auto" w:fill="auto"/>
            <w:vAlign w:val="center"/>
            <w:hideMark/>
          </w:tcPr>
          <w:p w14:paraId="180C9517"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Tareas Incorporadas</w:t>
            </w:r>
          </w:p>
        </w:tc>
        <w:tc>
          <w:tcPr>
            <w:tcW w:w="1100" w:type="dxa"/>
            <w:shd w:val="clear" w:color="auto" w:fill="auto"/>
            <w:noWrap/>
            <w:vAlign w:val="center"/>
            <w:hideMark/>
          </w:tcPr>
          <w:p w14:paraId="35C047E2" w14:textId="77777777" w:rsidR="0050467E" w:rsidRPr="006569D0" w:rsidRDefault="0050467E" w:rsidP="0050467E">
            <w:pPr>
              <w:spacing w:after="0"/>
              <w:jc w:val="center"/>
              <w:rPr>
                <w:rFonts w:ascii="Times New Roman" w:hAnsi="Times New Roman"/>
              </w:rPr>
            </w:pPr>
            <w:r w:rsidRPr="006569D0">
              <w:rPr>
                <w:rFonts w:ascii="Times New Roman" w:hAnsi="Times New Roman"/>
              </w:rPr>
              <w:t>130,209</w:t>
            </w:r>
          </w:p>
        </w:tc>
        <w:tc>
          <w:tcPr>
            <w:tcW w:w="1500" w:type="dxa"/>
            <w:shd w:val="clear" w:color="auto" w:fill="auto"/>
            <w:noWrap/>
            <w:vAlign w:val="center"/>
            <w:hideMark/>
          </w:tcPr>
          <w:p w14:paraId="2C92693E" w14:textId="26C66C16" w:rsidR="0050467E" w:rsidRPr="006569D0" w:rsidRDefault="0050467E" w:rsidP="0050467E">
            <w:pPr>
              <w:spacing w:after="0"/>
              <w:jc w:val="center"/>
              <w:rPr>
                <w:rFonts w:ascii="Times New Roman" w:hAnsi="Times New Roman"/>
              </w:rPr>
            </w:pPr>
            <w:r w:rsidRPr="006569D0">
              <w:rPr>
                <w:rFonts w:ascii="Times New Roman" w:hAnsi="Times New Roman"/>
              </w:rPr>
              <w:t>150,733</w:t>
            </w:r>
          </w:p>
        </w:tc>
        <w:tc>
          <w:tcPr>
            <w:tcW w:w="1418" w:type="dxa"/>
            <w:shd w:val="clear" w:color="auto" w:fill="auto"/>
            <w:noWrap/>
            <w:vAlign w:val="center"/>
          </w:tcPr>
          <w:p w14:paraId="07DC3596" w14:textId="21BAAC86" w:rsidR="0050467E" w:rsidRPr="006569D0" w:rsidRDefault="0050467E" w:rsidP="0050467E">
            <w:pPr>
              <w:spacing w:after="0"/>
              <w:jc w:val="center"/>
              <w:rPr>
                <w:rFonts w:ascii="Times New Roman" w:hAnsi="Times New Roman"/>
                <w:szCs w:val="22"/>
                <w:lang w:eastAsia="es-DO"/>
              </w:rPr>
            </w:pPr>
            <w:r w:rsidRPr="006569D0">
              <w:rPr>
                <w:rFonts w:ascii="Times New Roman" w:hAnsi="Times New Roman"/>
                <w:szCs w:val="22"/>
                <w:lang w:eastAsia="es-DO"/>
              </w:rPr>
              <w:t>99,978</w:t>
            </w:r>
          </w:p>
        </w:tc>
        <w:tc>
          <w:tcPr>
            <w:tcW w:w="1134" w:type="dxa"/>
            <w:shd w:val="clear" w:color="auto" w:fill="auto"/>
            <w:noWrap/>
            <w:vAlign w:val="center"/>
          </w:tcPr>
          <w:p w14:paraId="2600689A" w14:textId="74C83DBC" w:rsidR="0050467E" w:rsidRPr="006569D0" w:rsidRDefault="0050467E" w:rsidP="0050467E">
            <w:pPr>
              <w:spacing w:after="0"/>
              <w:jc w:val="center"/>
              <w:rPr>
                <w:rFonts w:ascii="Times New Roman" w:hAnsi="Times New Roman"/>
                <w:szCs w:val="22"/>
                <w:lang w:eastAsia="es-DO"/>
              </w:rPr>
            </w:pPr>
            <w:r w:rsidRPr="006569D0">
              <w:rPr>
                <w:rFonts w:ascii="Times New Roman" w:hAnsi="Times New Roman"/>
                <w:szCs w:val="22"/>
                <w:lang w:eastAsia="es-DO"/>
              </w:rPr>
              <w:t>66.33</w:t>
            </w:r>
          </w:p>
        </w:tc>
      </w:tr>
      <w:tr w:rsidR="0050467E" w:rsidRPr="006569D0" w14:paraId="37518194" w14:textId="77777777" w:rsidTr="0050467E">
        <w:trPr>
          <w:trHeight w:val="300"/>
          <w:jc w:val="center"/>
        </w:trPr>
        <w:tc>
          <w:tcPr>
            <w:tcW w:w="2694" w:type="dxa"/>
            <w:shd w:val="clear" w:color="auto" w:fill="auto"/>
            <w:noWrap/>
            <w:vAlign w:val="center"/>
            <w:hideMark/>
          </w:tcPr>
          <w:p w14:paraId="03BF9CE4"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Titulación de Tierra</w:t>
            </w:r>
          </w:p>
        </w:tc>
        <w:tc>
          <w:tcPr>
            <w:tcW w:w="2078" w:type="dxa"/>
            <w:shd w:val="clear" w:color="auto" w:fill="auto"/>
            <w:vAlign w:val="center"/>
            <w:hideMark/>
          </w:tcPr>
          <w:p w14:paraId="68F28535"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Cantidad de títulos otorgados</w:t>
            </w:r>
          </w:p>
        </w:tc>
        <w:tc>
          <w:tcPr>
            <w:tcW w:w="1100" w:type="dxa"/>
            <w:shd w:val="clear" w:color="auto" w:fill="auto"/>
            <w:noWrap/>
            <w:vAlign w:val="center"/>
            <w:hideMark/>
          </w:tcPr>
          <w:p w14:paraId="3AED2CCD" w14:textId="77777777" w:rsidR="0050467E" w:rsidRPr="006569D0" w:rsidRDefault="0050467E" w:rsidP="0050467E">
            <w:pPr>
              <w:spacing w:after="0"/>
              <w:jc w:val="center"/>
              <w:rPr>
                <w:rFonts w:ascii="Times New Roman" w:hAnsi="Times New Roman"/>
              </w:rPr>
            </w:pPr>
            <w:r w:rsidRPr="006569D0">
              <w:rPr>
                <w:rFonts w:ascii="Times New Roman" w:hAnsi="Times New Roman"/>
              </w:rPr>
              <w:t>4,291</w:t>
            </w:r>
          </w:p>
        </w:tc>
        <w:tc>
          <w:tcPr>
            <w:tcW w:w="1500" w:type="dxa"/>
            <w:shd w:val="clear" w:color="auto" w:fill="auto"/>
            <w:noWrap/>
            <w:vAlign w:val="center"/>
            <w:hideMark/>
          </w:tcPr>
          <w:p w14:paraId="37DC998D" w14:textId="57FDE656" w:rsidR="0050467E" w:rsidRPr="006569D0" w:rsidRDefault="0050467E" w:rsidP="0050467E">
            <w:pPr>
              <w:spacing w:after="0"/>
              <w:jc w:val="center"/>
              <w:rPr>
                <w:rFonts w:ascii="Times New Roman" w:hAnsi="Times New Roman"/>
              </w:rPr>
            </w:pPr>
            <w:r w:rsidRPr="006569D0">
              <w:rPr>
                <w:rFonts w:ascii="Times New Roman" w:hAnsi="Times New Roman"/>
              </w:rPr>
              <w:t>4,967</w:t>
            </w:r>
          </w:p>
        </w:tc>
        <w:tc>
          <w:tcPr>
            <w:tcW w:w="1418" w:type="dxa"/>
            <w:shd w:val="clear" w:color="auto" w:fill="auto"/>
            <w:noWrap/>
            <w:vAlign w:val="center"/>
          </w:tcPr>
          <w:p w14:paraId="24FB9156" w14:textId="1CAA7A99" w:rsidR="0050467E" w:rsidRPr="006569D0" w:rsidRDefault="0050467E" w:rsidP="0050467E">
            <w:pPr>
              <w:spacing w:after="0"/>
              <w:jc w:val="center"/>
              <w:rPr>
                <w:rFonts w:ascii="Times New Roman" w:hAnsi="Times New Roman"/>
                <w:szCs w:val="22"/>
                <w:lang w:eastAsia="es-DO"/>
              </w:rPr>
            </w:pPr>
            <w:r w:rsidRPr="006569D0">
              <w:rPr>
                <w:rFonts w:ascii="Times New Roman" w:hAnsi="Times New Roman"/>
                <w:szCs w:val="22"/>
                <w:lang w:eastAsia="es-DO"/>
              </w:rPr>
              <w:t>19,061</w:t>
            </w:r>
          </w:p>
        </w:tc>
        <w:tc>
          <w:tcPr>
            <w:tcW w:w="1134" w:type="dxa"/>
            <w:shd w:val="clear" w:color="auto" w:fill="auto"/>
            <w:noWrap/>
            <w:vAlign w:val="center"/>
          </w:tcPr>
          <w:p w14:paraId="62036549" w14:textId="261CE940" w:rsidR="0050467E" w:rsidRPr="006569D0" w:rsidRDefault="0050467E" w:rsidP="0050467E">
            <w:pPr>
              <w:spacing w:after="0"/>
              <w:jc w:val="center"/>
              <w:rPr>
                <w:rFonts w:ascii="Times New Roman" w:hAnsi="Times New Roman"/>
                <w:szCs w:val="22"/>
                <w:lang w:eastAsia="es-DO"/>
              </w:rPr>
            </w:pPr>
            <w:r w:rsidRPr="006569D0">
              <w:rPr>
                <w:rFonts w:ascii="Times New Roman" w:hAnsi="Times New Roman"/>
                <w:szCs w:val="22"/>
                <w:lang w:eastAsia="es-DO"/>
              </w:rPr>
              <w:t>383.75</w:t>
            </w:r>
          </w:p>
        </w:tc>
      </w:tr>
      <w:tr w:rsidR="0050467E" w:rsidRPr="006569D0" w14:paraId="48C8A071" w14:textId="77777777" w:rsidTr="0050467E">
        <w:trPr>
          <w:trHeight w:val="300"/>
          <w:jc w:val="center"/>
        </w:trPr>
        <w:tc>
          <w:tcPr>
            <w:tcW w:w="2694" w:type="dxa"/>
            <w:shd w:val="clear" w:color="auto" w:fill="auto"/>
            <w:noWrap/>
            <w:vAlign w:val="center"/>
            <w:hideMark/>
          </w:tcPr>
          <w:p w14:paraId="4CE4DF5C"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Investigaciones</w:t>
            </w:r>
          </w:p>
        </w:tc>
        <w:tc>
          <w:tcPr>
            <w:tcW w:w="2078" w:type="dxa"/>
            <w:shd w:val="clear" w:color="auto" w:fill="auto"/>
            <w:vAlign w:val="center"/>
            <w:hideMark/>
          </w:tcPr>
          <w:p w14:paraId="0359A90A"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Investigaciones Realizadas</w:t>
            </w:r>
          </w:p>
        </w:tc>
        <w:tc>
          <w:tcPr>
            <w:tcW w:w="1100" w:type="dxa"/>
            <w:shd w:val="clear" w:color="auto" w:fill="auto"/>
            <w:noWrap/>
            <w:vAlign w:val="center"/>
            <w:hideMark/>
          </w:tcPr>
          <w:p w14:paraId="21B6853B" w14:textId="77777777" w:rsidR="0050467E" w:rsidRPr="006569D0" w:rsidRDefault="0050467E" w:rsidP="0050467E">
            <w:pPr>
              <w:spacing w:after="0"/>
              <w:jc w:val="center"/>
              <w:rPr>
                <w:rFonts w:ascii="Times New Roman" w:hAnsi="Times New Roman"/>
              </w:rPr>
            </w:pPr>
            <w:r w:rsidRPr="006569D0">
              <w:rPr>
                <w:rFonts w:ascii="Times New Roman" w:hAnsi="Times New Roman"/>
              </w:rPr>
              <w:t>72</w:t>
            </w:r>
          </w:p>
        </w:tc>
        <w:tc>
          <w:tcPr>
            <w:tcW w:w="1500" w:type="dxa"/>
            <w:shd w:val="clear" w:color="auto" w:fill="auto"/>
            <w:noWrap/>
            <w:vAlign w:val="center"/>
            <w:hideMark/>
          </w:tcPr>
          <w:p w14:paraId="7221DC6E" w14:textId="69BBC97F" w:rsidR="0050467E" w:rsidRPr="006569D0" w:rsidRDefault="0050467E" w:rsidP="0050467E">
            <w:pPr>
              <w:spacing w:after="0"/>
              <w:jc w:val="center"/>
              <w:rPr>
                <w:rFonts w:ascii="Times New Roman" w:hAnsi="Times New Roman"/>
              </w:rPr>
            </w:pPr>
            <w:r w:rsidRPr="006569D0">
              <w:rPr>
                <w:rFonts w:ascii="Times New Roman" w:hAnsi="Times New Roman"/>
              </w:rPr>
              <w:t>90</w:t>
            </w:r>
          </w:p>
        </w:tc>
        <w:tc>
          <w:tcPr>
            <w:tcW w:w="1418" w:type="dxa"/>
            <w:shd w:val="clear" w:color="auto" w:fill="auto"/>
            <w:noWrap/>
            <w:vAlign w:val="center"/>
          </w:tcPr>
          <w:p w14:paraId="18126A6A" w14:textId="609BBA36" w:rsidR="0050467E" w:rsidRPr="006569D0" w:rsidRDefault="0050467E" w:rsidP="0050467E">
            <w:pPr>
              <w:spacing w:after="0"/>
              <w:jc w:val="center"/>
              <w:rPr>
                <w:rFonts w:ascii="Times New Roman" w:hAnsi="Times New Roman"/>
                <w:szCs w:val="22"/>
                <w:lang w:eastAsia="es-DO"/>
              </w:rPr>
            </w:pPr>
            <w:r>
              <w:rPr>
                <w:rFonts w:ascii="Times New Roman" w:hAnsi="Times New Roman"/>
                <w:szCs w:val="22"/>
                <w:lang w:eastAsia="es-DO"/>
              </w:rPr>
              <w:t>22</w:t>
            </w:r>
          </w:p>
        </w:tc>
        <w:tc>
          <w:tcPr>
            <w:tcW w:w="1134" w:type="dxa"/>
            <w:shd w:val="clear" w:color="auto" w:fill="auto"/>
            <w:noWrap/>
            <w:vAlign w:val="center"/>
          </w:tcPr>
          <w:p w14:paraId="15892121" w14:textId="26870C22" w:rsidR="0050467E" w:rsidRPr="006569D0" w:rsidRDefault="0050467E" w:rsidP="0050467E">
            <w:pPr>
              <w:spacing w:after="0"/>
              <w:jc w:val="center"/>
              <w:rPr>
                <w:rFonts w:ascii="Times New Roman" w:hAnsi="Times New Roman"/>
                <w:szCs w:val="22"/>
                <w:lang w:eastAsia="es-DO"/>
              </w:rPr>
            </w:pPr>
            <w:r>
              <w:rPr>
                <w:rFonts w:ascii="Times New Roman" w:hAnsi="Times New Roman"/>
                <w:szCs w:val="22"/>
                <w:lang w:eastAsia="es-DO"/>
              </w:rPr>
              <w:t>24.44</w:t>
            </w:r>
          </w:p>
        </w:tc>
      </w:tr>
      <w:tr w:rsidR="0050467E" w:rsidRPr="006569D0" w14:paraId="1C60FD3F" w14:textId="77777777" w:rsidTr="0050467E">
        <w:trPr>
          <w:trHeight w:val="300"/>
          <w:jc w:val="center"/>
        </w:trPr>
        <w:tc>
          <w:tcPr>
            <w:tcW w:w="2694" w:type="dxa"/>
            <w:shd w:val="clear" w:color="auto" w:fill="auto"/>
            <w:noWrap/>
            <w:vAlign w:val="center"/>
            <w:hideMark/>
          </w:tcPr>
          <w:p w14:paraId="53BFE465"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 xml:space="preserve">Comercialización </w:t>
            </w:r>
          </w:p>
        </w:tc>
        <w:tc>
          <w:tcPr>
            <w:tcW w:w="2078" w:type="dxa"/>
            <w:shd w:val="clear" w:color="auto" w:fill="auto"/>
            <w:vAlign w:val="center"/>
            <w:hideMark/>
          </w:tcPr>
          <w:p w14:paraId="03A9CC43"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Ferias Agropecuarias</w:t>
            </w:r>
          </w:p>
        </w:tc>
        <w:tc>
          <w:tcPr>
            <w:tcW w:w="1100" w:type="dxa"/>
            <w:shd w:val="clear" w:color="auto" w:fill="auto"/>
            <w:noWrap/>
            <w:vAlign w:val="center"/>
            <w:hideMark/>
          </w:tcPr>
          <w:p w14:paraId="240DEA74" w14:textId="77777777" w:rsidR="0050467E" w:rsidRPr="006569D0" w:rsidRDefault="0050467E" w:rsidP="0050467E">
            <w:pPr>
              <w:spacing w:after="0"/>
              <w:jc w:val="center"/>
              <w:rPr>
                <w:rFonts w:ascii="Times New Roman" w:hAnsi="Times New Roman"/>
              </w:rPr>
            </w:pPr>
            <w:r w:rsidRPr="006569D0">
              <w:rPr>
                <w:rFonts w:ascii="Times New Roman" w:hAnsi="Times New Roman"/>
              </w:rPr>
              <w:t>1,349</w:t>
            </w:r>
          </w:p>
        </w:tc>
        <w:tc>
          <w:tcPr>
            <w:tcW w:w="1500" w:type="dxa"/>
            <w:shd w:val="clear" w:color="auto" w:fill="auto"/>
            <w:noWrap/>
            <w:vAlign w:val="center"/>
            <w:hideMark/>
          </w:tcPr>
          <w:p w14:paraId="44E81BE3" w14:textId="520B1F15" w:rsidR="0050467E" w:rsidRPr="006569D0" w:rsidRDefault="0050467E" w:rsidP="0050467E">
            <w:pPr>
              <w:spacing w:after="0"/>
              <w:jc w:val="center"/>
              <w:rPr>
                <w:rFonts w:ascii="Times New Roman" w:hAnsi="Times New Roman"/>
              </w:rPr>
            </w:pPr>
            <w:r w:rsidRPr="006569D0">
              <w:rPr>
                <w:rFonts w:ascii="Times New Roman" w:hAnsi="Times New Roman"/>
              </w:rPr>
              <w:t>1,700</w:t>
            </w:r>
          </w:p>
        </w:tc>
        <w:tc>
          <w:tcPr>
            <w:tcW w:w="1418" w:type="dxa"/>
            <w:shd w:val="clear" w:color="auto" w:fill="auto"/>
            <w:noWrap/>
            <w:vAlign w:val="center"/>
          </w:tcPr>
          <w:p w14:paraId="1782B2B4" w14:textId="01416CCC" w:rsidR="0050467E" w:rsidRPr="006569D0" w:rsidRDefault="0050467E" w:rsidP="0050467E">
            <w:pPr>
              <w:spacing w:after="0"/>
              <w:jc w:val="center"/>
              <w:rPr>
                <w:rFonts w:ascii="Times New Roman" w:hAnsi="Times New Roman"/>
                <w:szCs w:val="22"/>
                <w:lang w:eastAsia="es-DO"/>
              </w:rPr>
            </w:pPr>
            <w:r w:rsidRPr="006569D0">
              <w:rPr>
                <w:rFonts w:ascii="Times New Roman" w:hAnsi="Times New Roman"/>
                <w:szCs w:val="22"/>
                <w:lang w:eastAsia="es-DO"/>
              </w:rPr>
              <w:t>1,321</w:t>
            </w:r>
          </w:p>
        </w:tc>
        <w:tc>
          <w:tcPr>
            <w:tcW w:w="1134" w:type="dxa"/>
            <w:shd w:val="clear" w:color="auto" w:fill="auto"/>
            <w:noWrap/>
            <w:vAlign w:val="center"/>
          </w:tcPr>
          <w:p w14:paraId="0C0E51B3" w14:textId="4380C5AC" w:rsidR="0050467E" w:rsidRPr="006569D0" w:rsidRDefault="0050467E" w:rsidP="0050467E">
            <w:pPr>
              <w:spacing w:after="0"/>
              <w:jc w:val="center"/>
              <w:rPr>
                <w:rFonts w:ascii="Times New Roman" w:hAnsi="Times New Roman"/>
                <w:szCs w:val="22"/>
                <w:lang w:eastAsia="es-DO"/>
              </w:rPr>
            </w:pPr>
            <w:r w:rsidRPr="006569D0">
              <w:rPr>
                <w:rFonts w:ascii="Times New Roman" w:hAnsi="Times New Roman"/>
                <w:szCs w:val="22"/>
                <w:lang w:eastAsia="es-DO"/>
              </w:rPr>
              <w:t>77.71</w:t>
            </w:r>
          </w:p>
        </w:tc>
      </w:tr>
      <w:tr w:rsidR="0050467E" w:rsidRPr="006569D0" w14:paraId="207EC5FE" w14:textId="77777777" w:rsidTr="0050467E">
        <w:trPr>
          <w:trHeight w:val="300"/>
          <w:jc w:val="center"/>
        </w:trPr>
        <w:tc>
          <w:tcPr>
            <w:tcW w:w="2694" w:type="dxa"/>
            <w:shd w:val="clear" w:color="auto" w:fill="auto"/>
            <w:noWrap/>
            <w:vAlign w:val="center"/>
            <w:hideMark/>
          </w:tcPr>
          <w:p w14:paraId="4FE01CB9"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Financiamientos</w:t>
            </w:r>
            <w:r w:rsidRPr="006569D0">
              <w:rPr>
                <w:rStyle w:val="Refdenotaalpie"/>
                <w:rFonts w:ascii="Times New Roman" w:hAnsi="Times New Roman"/>
                <w:szCs w:val="22"/>
                <w:lang w:eastAsia="es-DO"/>
              </w:rPr>
              <w:footnoteReference w:id="4"/>
            </w:r>
          </w:p>
        </w:tc>
        <w:tc>
          <w:tcPr>
            <w:tcW w:w="2078" w:type="dxa"/>
            <w:shd w:val="clear" w:color="auto" w:fill="auto"/>
            <w:vAlign w:val="center"/>
            <w:hideMark/>
          </w:tcPr>
          <w:p w14:paraId="63BABFF1"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RD$ Millones</w:t>
            </w:r>
          </w:p>
        </w:tc>
        <w:tc>
          <w:tcPr>
            <w:tcW w:w="1100" w:type="dxa"/>
            <w:shd w:val="clear" w:color="auto" w:fill="auto"/>
            <w:noWrap/>
            <w:vAlign w:val="center"/>
            <w:hideMark/>
          </w:tcPr>
          <w:p w14:paraId="0E627F7C" w14:textId="77777777" w:rsidR="0050467E" w:rsidRPr="006569D0" w:rsidRDefault="0050467E" w:rsidP="0050467E">
            <w:pPr>
              <w:spacing w:after="0"/>
              <w:jc w:val="center"/>
              <w:rPr>
                <w:rFonts w:ascii="Times New Roman" w:hAnsi="Times New Roman"/>
              </w:rPr>
            </w:pPr>
            <w:r w:rsidRPr="006569D0">
              <w:rPr>
                <w:rFonts w:ascii="Times New Roman" w:hAnsi="Times New Roman"/>
              </w:rPr>
              <w:t>15,136</w:t>
            </w:r>
          </w:p>
        </w:tc>
        <w:tc>
          <w:tcPr>
            <w:tcW w:w="1500" w:type="dxa"/>
            <w:shd w:val="clear" w:color="auto" w:fill="auto"/>
            <w:noWrap/>
            <w:vAlign w:val="center"/>
            <w:hideMark/>
          </w:tcPr>
          <w:p w14:paraId="73C15FFB" w14:textId="1488C330" w:rsidR="0050467E" w:rsidRPr="006569D0" w:rsidRDefault="0050467E" w:rsidP="0050467E">
            <w:pPr>
              <w:spacing w:after="0"/>
              <w:jc w:val="center"/>
              <w:rPr>
                <w:rFonts w:ascii="Times New Roman" w:hAnsi="Times New Roman"/>
              </w:rPr>
            </w:pPr>
            <w:r w:rsidRPr="006569D0">
              <w:rPr>
                <w:rFonts w:ascii="Times New Roman" w:hAnsi="Times New Roman"/>
              </w:rPr>
              <w:t>18,566</w:t>
            </w:r>
          </w:p>
        </w:tc>
        <w:tc>
          <w:tcPr>
            <w:tcW w:w="1418" w:type="dxa"/>
            <w:shd w:val="clear" w:color="auto" w:fill="auto"/>
            <w:noWrap/>
            <w:vAlign w:val="center"/>
          </w:tcPr>
          <w:p w14:paraId="5C8C1944" w14:textId="42A63538" w:rsidR="0050467E" w:rsidRPr="006569D0" w:rsidRDefault="0050467E" w:rsidP="0050467E">
            <w:pPr>
              <w:spacing w:after="0"/>
              <w:jc w:val="center"/>
              <w:rPr>
                <w:rFonts w:ascii="Times New Roman" w:hAnsi="Times New Roman"/>
                <w:szCs w:val="22"/>
                <w:lang w:eastAsia="es-DO"/>
              </w:rPr>
            </w:pPr>
            <w:r w:rsidRPr="006569D0">
              <w:rPr>
                <w:rFonts w:ascii="Times New Roman" w:hAnsi="Times New Roman"/>
                <w:szCs w:val="22"/>
                <w:lang w:eastAsia="es-DO"/>
              </w:rPr>
              <w:t>23,520.99</w:t>
            </w:r>
          </w:p>
        </w:tc>
        <w:tc>
          <w:tcPr>
            <w:tcW w:w="1134" w:type="dxa"/>
            <w:shd w:val="clear" w:color="auto" w:fill="auto"/>
            <w:noWrap/>
            <w:vAlign w:val="center"/>
          </w:tcPr>
          <w:p w14:paraId="05B233ED" w14:textId="2C02125F" w:rsidR="0050467E" w:rsidRPr="006569D0" w:rsidRDefault="0050467E" w:rsidP="0050467E">
            <w:pPr>
              <w:spacing w:after="0"/>
              <w:jc w:val="center"/>
              <w:rPr>
                <w:rFonts w:ascii="Times New Roman" w:hAnsi="Times New Roman"/>
                <w:szCs w:val="22"/>
                <w:lang w:eastAsia="es-DO"/>
              </w:rPr>
            </w:pPr>
            <w:r w:rsidRPr="006569D0">
              <w:rPr>
                <w:rFonts w:ascii="Times New Roman" w:hAnsi="Times New Roman"/>
                <w:szCs w:val="22"/>
                <w:lang w:eastAsia="es-DO"/>
              </w:rPr>
              <w:t>126.69</w:t>
            </w:r>
          </w:p>
        </w:tc>
      </w:tr>
      <w:tr w:rsidR="0050467E" w:rsidRPr="006569D0" w14:paraId="7CB50BD9" w14:textId="77777777" w:rsidTr="0050467E">
        <w:trPr>
          <w:trHeight w:val="315"/>
          <w:jc w:val="center"/>
        </w:trPr>
        <w:tc>
          <w:tcPr>
            <w:tcW w:w="2694" w:type="dxa"/>
            <w:shd w:val="clear" w:color="auto" w:fill="auto"/>
            <w:noWrap/>
            <w:vAlign w:val="center"/>
            <w:hideMark/>
          </w:tcPr>
          <w:p w14:paraId="3A7E7246"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Cooperativas</w:t>
            </w:r>
          </w:p>
        </w:tc>
        <w:tc>
          <w:tcPr>
            <w:tcW w:w="2078" w:type="dxa"/>
            <w:shd w:val="clear" w:color="auto" w:fill="auto"/>
            <w:vAlign w:val="center"/>
            <w:hideMark/>
          </w:tcPr>
          <w:p w14:paraId="1FF2A878" w14:textId="77777777" w:rsidR="0050467E" w:rsidRPr="006569D0" w:rsidRDefault="0050467E" w:rsidP="0050467E">
            <w:pPr>
              <w:spacing w:after="0"/>
              <w:rPr>
                <w:rFonts w:ascii="Times New Roman" w:hAnsi="Times New Roman"/>
                <w:szCs w:val="22"/>
                <w:lang w:eastAsia="es-DO"/>
              </w:rPr>
            </w:pPr>
            <w:r w:rsidRPr="006569D0">
              <w:rPr>
                <w:rFonts w:ascii="Times New Roman" w:hAnsi="Times New Roman"/>
                <w:szCs w:val="22"/>
                <w:lang w:eastAsia="es-DO"/>
              </w:rPr>
              <w:t>Cooperativas Incorporadas</w:t>
            </w:r>
          </w:p>
        </w:tc>
        <w:tc>
          <w:tcPr>
            <w:tcW w:w="1100" w:type="dxa"/>
            <w:shd w:val="clear" w:color="auto" w:fill="auto"/>
            <w:noWrap/>
            <w:vAlign w:val="center"/>
            <w:hideMark/>
          </w:tcPr>
          <w:p w14:paraId="3B35D08C" w14:textId="77777777" w:rsidR="0050467E" w:rsidRPr="006569D0" w:rsidRDefault="0050467E" w:rsidP="0050467E">
            <w:pPr>
              <w:spacing w:after="0"/>
              <w:jc w:val="center"/>
              <w:rPr>
                <w:rFonts w:ascii="Times New Roman" w:hAnsi="Times New Roman"/>
              </w:rPr>
            </w:pPr>
            <w:r w:rsidRPr="006569D0">
              <w:rPr>
                <w:rFonts w:ascii="Times New Roman" w:hAnsi="Times New Roman"/>
              </w:rPr>
              <w:t>56</w:t>
            </w:r>
          </w:p>
        </w:tc>
        <w:tc>
          <w:tcPr>
            <w:tcW w:w="1500" w:type="dxa"/>
            <w:shd w:val="clear" w:color="auto" w:fill="auto"/>
            <w:noWrap/>
            <w:vAlign w:val="center"/>
            <w:hideMark/>
          </w:tcPr>
          <w:p w14:paraId="1A8E533E" w14:textId="79B3B083" w:rsidR="0050467E" w:rsidRPr="006569D0" w:rsidRDefault="0050467E" w:rsidP="0050467E">
            <w:pPr>
              <w:spacing w:after="0"/>
              <w:jc w:val="center"/>
              <w:rPr>
                <w:rFonts w:ascii="Times New Roman" w:hAnsi="Times New Roman"/>
              </w:rPr>
            </w:pPr>
            <w:r w:rsidRPr="006569D0">
              <w:rPr>
                <w:rFonts w:ascii="Times New Roman" w:hAnsi="Times New Roman"/>
              </w:rPr>
              <w:t>70</w:t>
            </w:r>
          </w:p>
        </w:tc>
        <w:tc>
          <w:tcPr>
            <w:tcW w:w="1418" w:type="dxa"/>
            <w:shd w:val="clear" w:color="auto" w:fill="auto"/>
            <w:noWrap/>
            <w:vAlign w:val="center"/>
          </w:tcPr>
          <w:p w14:paraId="611C36D5" w14:textId="7906120F" w:rsidR="0050467E" w:rsidRPr="006569D0" w:rsidRDefault="0050467E" w:rsidP="0050467E">
            <w:pPr>
              <w:spacing w:after="0"/>
              <w:jc w:val="center"/>
              <w:rPr>
                <w:rFonts w:ascii="Times New Roman" w:hAnsi="Times New Roman"/>
                <w:szCs w:val="22"/>
                <w:lang w:eastAsia="es-DO"/>
              </w:rPr>
            </w:pPr>
            <w:r>
              <w:rPr>
                <w:rFonts w:ascii="Times New Roman" w:hAnsi="Times New Roman"/>
                <w:szCs w:val="22"/>
                <w:lang w:eastAsia="es-DO"/>
              </w:rPr>
              <w:t>66</w:t>
            </w:r>
          </w:p>
        </w:tc>
        <w:tc>
          <w:tcPr>
            <w:tcW w:w="1134" w:type="dxa"/>
            <w:shd w:val="clear" w:color="auto" w:fill="auto"/>
            <w:noWrap/>
            <w:vAlign w:val="center"/>
          </w:tcPr>
          <w:p w14:paraId="127063E5" w14:textId="20013579" w:rsidR="0050467E" w:rsidRPr="006569D0" w:rsidRDefault="0050467E" w:rsidP="0050467E">
            <w:pPr>
              <w:spacing w:after="0"/>
              <w:jc w:val="center"/>
              <w:rPr>
                <w:rFonts w:ascii="Times New Roman" w:hAnsi="Times New Roman"/>
                <w:szCs w:val="22"/>
                <w:lang w:eastAsia="es-DO"/>
              </w:rPr>
            </w:pPr>
            <w:r>
              <w:rPr>
                <w:rFonts w:ascii="Times New Roman" w:hAnsi="Times New Roman"/>
                <w:szCs w:val="22"/>
                <w:lang w:eastAsia="es-DO"/>
              </w:rPr>
              <w:t>94.29</w:t>
            </w:r>
          </w:p>
        </w:tc>
      </w:tr>
    </w:tbl>
    <w:p w14:paraId="64AE297A" w14:textId="77777777" w:rsidR="002F06AC" w:rsidRPr="006569D0" w:rsidRDefault="002F06AC" w:rsidP="00CA5792">
      <w:pPr>
        <w:pStyle w:val="Ttulo3"/>
      </w:pPr>
      <w:bookmarkStart w:id="61" w:name="_Toc26292017"/>
      <w:bookmarkStart w:id="62" w:name="_Toc27146721"/>
      <w:bookmarkStart w:id="63" w:name="_Toc470523320"/>
      <w:bookmarkStart w:id="64" w:name="_Toc440036666"/>
      <w:r w:rsidRPr="006569D0">
        <w:lastRenderedPageBreak/>
        <w:t>Comportamiento de la producción pública 2012-2019</w:t>
      </w:r>
      <w:bookmarkEnd w:id="61"/>
      <w:bookmarkEnd w:id="62"/>
    </w:p>
    <w:p w14:paraId="087A1DCB" w14:textId="77777777" w:rsidR="001769D7" w:rsidRPr="006569D0" w:rsidRDefault="001769D7" w:rsidP="0020047B">
      <w:pPr>
        <w:pStyle w:val="Prrafodelista"/>
        <w:numPr>
          <w:ilvl w:val="0"/>
          <w:numId w:val="4"/>
        </w:numPr>
        <w:spacing w:after="0" w:line="480" w:lineRule="auto"/>
        <w:ind w:left="0" w:firstLine="851"/>
        <w:outlineLvl w:val="3"/>
        <w:rPr>
          <w:rFonts w:ascii="Times New Roman" w:hAnsi="Times New Roman"/>
          <w:b/>
          <w:color w:val="000000" w:themeColor="text1"/>
          <w:sz w:val="28"/>
          <w:szCs w:val="24"/>
          <w:lang w:val="es-ES"/>
        </w:rPr>
      </w:pPr>
      <w:bookmarkStart w:id="65" w:name="_Toc26292018"/>
      <w:bookmarkStart w:id="66" w:name="_Toc27146722"/>
      <w:r w:rsidRPr="006569D0">
        <w:rPr>
          <w:rFonts w:ascii="Times New Roman" w:hAnsi="Times New Roman"/>
          <w:b/>
          <w:color w:val="000000" w:themeColor="text1"/>
          <w:sz w:val="28"/>
          <w:szCs w:val="24"/>
          <w:lang w:val="es-ES"/>
        </w:rPr>
        <w:t xml:space="preserve">Capacitación </w:t>
      </w:r>
      <w:r w:rsidR="005950F8" w:rsidRPr="006569D0">
        <w:rPr>
          <w:rFonts w:ascii="Times New Roman" w:hAnsi="Times New Roman"/>
          <w:b/>
          <w:color w:val="000000" w:themeColor="text1"/>
          <w:sz w:val="28"/>
          <w:szCs w:val="24"/>
          <w:lang w:val="es-ES"/>
        </w:rPr>
        <w:t>a</w:t>
      </w:r>
      <w:r w:rsidRPr="006569D0">
        <w:rPr>
          <w:rFonts w:ascii="Times New Roman" w:hAnsi="Times New Roman"/>
          <w:b/>
          <w:color w:val="000000" w:themeColor="text1"/>
          <w:sz w:val="28"/>
          <w:szCs w:val="24"/>
          <w:lang w:val="es-ES"/>
        </w:rPr>
        <w:t>grícola</w:t>
      </w:r>
      <w:bookmarkEnd w:id="63"/>
      <w:bookmarkEnd w:id="65"/>
      <w:bookmarkEnd w:id="66"/>
      <w:r w:rsidRPr="006569D0">
        <w:rPr>
          <w:rFonts w:ascii="Times New Roman" w:hAnsi="Times New Roman"/>
          <w:b/>
          <w:color w:val="000000" w:themeColor="text1"/>
          <w:sz w:val="28"/>
          <w:szCs w:val="24"/>
          <w:lang w:val="es-ES"/>
        </w:rPr>
        <w:t xml:space="preserve"> </w:t>
      </w:r>
    </w:p>
    <w:p w14:paraId="4FD59A82" w14:textId="28297AB5" w:rsidR="001769D7" w:rsidRPr="006569D0" w:rsidRDefault="001769D7" w:rsidP="00DA4DB6">
      <w:pPr>
        <w:spacing w:line="480" w:lineRule="auto"/>
        <w:ind w:firstLine="851"/>
        <w:jc w:val="both"/>
        <w:rPr>
          <w:rFonts w:ascii="Times New Roman" w:hAnsi="Times New Roman"/>
          <w:color w:val="000000" w:themeColor="text1"/>
          <w:lang w:val="es-ES"/>
        </w:rPr>
      </w:pPr>
      <w:r w:rsidRPr="006569D0">
        <w:rPr>
          <w:rFonts w:ascii="Times New Roman" w:hAnsi="Times New Roman"/>
          <w:color w:val="000000" w:themeColor="text1"/>
          <w:lang w:val="es-ES"/>
        </w:rPr>
        <w:t>El número de productores capacitados en temas agropecuarios durante el 201</w:t>
      </w:r>
      <w:r w:rsidR="00DE433A" w:rsidRPr="006569D0">
        <w:rPr>
          <w:rFonts w:ascii="Times New Roman" w:hAnsi="Times New Roman"/>
          <w:color w:val="000000" w:themeColor="text1"/>
          <w:lang w:val="es-ES"/>
        </w:rPr>
        <w:t>9</w:t>
      </w:r>
      <w:r w:rsidRPr="006569D0">
        <w:rPr>
          <w:rFonts w:ascii="Times New Roman" w:hAnsi="Times New Roman"/>
          <w:color w:val="000000" w:themeColor="text1"/>
          <w:lang w:val="es-ES"/>
        </w:rPr>
        <w:t xml:space="preserve"> </w:t>
      </w:r>
      <w:r w:rsidR="00D0682D" w:rsidRPr="006569D0">
        <w:rPr>
          <w:rFonts w:ascii="Times New Roman" w:hAnsi="Times New Roman"/>
          <w:color w:val="000000" w:themeColor="text1"/>
          <w:lang w:val="es-ES"/>
        </w:rPr>
        <w:t xml:space="preserve">fue de </w:t>
      </w:r>
      <w:r w:rsidR="002E103D" w:rsidRPr="006569D0">
        <w:rPr>
          <w:rFonts w:ascii="Times New Roman" w:hAnsi="Times New Roman"/>
          <w:color w:val="000000" w:themeColor="text1"/>
          <w:lang w:val="es-ES"/>
        </w:rPr>
        <w:t>1</w:t>
      </w:r>
      <w:r w:rsidR="00641864">
        <w:rPr>
          <w:rFonts w:ascii="Times New Roman" w:hAnsi="Times New Roman"/>
          <w:color w:val="000000" w:themeColor="text1"/>
          <w:lang w:val="es-ES"/>
        </w:rPr>
        <w:t>95,96</w:t>
      </w:r>
      <w:r w:rsidR="005C3614" w:rsidRPr="006569D0">
        <w:rPr>
          <w:rFonts w:ascii="Times New Roman" w:hAnsi="Times New Roman"/>
          <w:color w:val="000000" w:themeColor="text1"/>
          <w:lang w:val="es-ES"/>
        </w:rPr>
        <w:t xml:space="preserve"> reflejando un </w:t>
      </w:r>
      <w:r w:rsidR="0015428E" w:rsidRPr="006569D0">
        <w:rPr>
          <w:rFonts w:ascii="Times New Roman" w:hAnsi="Times New Roman"/>
          <w:color w:val="000000" w:themeColor="text1"/>
          <w:lang w:val="es-ES"/>
        </w:rPr>
        <w:t xml:space="preserve">crecimiento </w:t>
      </w:r>
      <w:r w:rsidR="005C3614" w:rsidRPr="006569D0">
        <w:rPr>
          <w:rFonts w:ascii="Times New Roman" w:hAnsi="Times New Roman"/>
          <w:color w:val="000000" w:themeColor="text1"/>
          <w:lang w:val="es-ES"/>
        </w:rPr>
        <w:t xml:space="preserve">absoluto de </w:t>
      </w:r>
      <w:r w:rsidR="00641864">
        <w:rPr>
          <w:rFonts w:ascii="Times New Roman" w:hAnsi="Times New Roman"/>
          <w:color w:val="000000" w:themeColor="text1"/>
          <w:lang w:val="es-ES"/>
        </w:rPr>
        <w:t>55,711</w:t>
      </w:r>
      <w:r w:rsidR="00DE433A" w:rsidRPr="006569D0">
        <w:rPr>
          <w:rFonts w:ascii="Times New Roman" w:hAnsi="Times New Roman"/>
          <w:color w:val="000000" w:themeColor="text1"/>
          <w:lang w:val="es-ES"/>
        </w:rPr>
        <w:t xml:space="preserve"> pequeños y medianos productores </w:t>
      </w:r>
      <w:r w:rsidR="00641864">
        <w:rPr>
          <w:rFonts w:ascii="Times New Roman" w:hAnsi="Times New Roman"/>
          <w:color w:val="000000" w:themeColor="text1"/>
          <w:lang w:val="es-ES"/>
        </w:rPr>
        <w:t xml:space="preserve">agropecuarios, </w:t>
      </w:r>
      <w:r w:rsidR="00DE433A" w:rsidRPr="006569D0">
        <w:rPr>
          <w:rFonts w:ascii="Times New Roman" w:hAnsi="Times New Roman"/>
          <w:color w:val="000000" w:themeColor="text1"/>
          <w:lang w:val="es-ES"/>
        </w:rPr>
        <w:t xml:space="preserve">equivalente al </w:t>
      </w:r>
      <w:r w:rsidR="00641864">
        <w:rPr>
          <w:rFonts w:ascii="Times New Roman" w:hAnsi="Times New Roman"/>
          <w:color w:val="000000" w:themeColor="text1"/>
          <w:lang w:val="es-ES"/>
        </w:rPr>
        <w:t>39.7</w:t>
      </w:r>
      <w:r w:rsidR="00DE433A" w:rsidRPr="006569D0">
        <w:rPr>
          <w:rFonts w:ascii="Times New Roman" w:hAnsi="Times New Roman"/>
          <w:color w:val="000000" w:themeColor="text1"/>
          <w:lang w:val="es-ES"/>
        </w:rPr>
        <w:t xml:space="preserve">%, al compararse </w:t>
      </w:r>
      <w:r w:rsidR="005C3614" w:rsidRPr="006569D0">
        <w:rPr>
          <w:rFonts w:ascii="Times New Roman" w:hAnsi="Times New Roman"/>
          <w:color w:val="000000" w:themeColor="text1"/>
          <w:lang w:val="es-ES"/>
        </w:rPr>
        <w:t xml:space="preserve">con el año anterior, </w:t>
      </w:r>
      <w:r w:rsidRPr="006569D0">
        <w:rPr>
          <w:rFonts w:ascii="Times New Roman" w:hAnsi="Times New Roman"/>
          <w:color w:val="000000" w:themeColor="text1"/>
          <w:lang w:val="es-ES"/>
        </w:rPr>
        <w:t xml:space="preserve">tal como se muestra </w:t>
      </w:r>
      <w:r w:rsidR="0094068E" w:rsidRPr="006569D0">
        <w:rPr>
          <w:rFonts w:ascii="Times New Roman" w:hAnsi="Times New Roman"/>
          <w:color w:val="000000" w:themeColor="text1"/>
          <w:lang w:val="es-ES"/>
        </w:rPr>
        <w:t>grá</w:t>
      </w:r>
      <w:r w:rsidR="00D0682D" w:rsidRPr="006569D0">
        <w:rPr>
          <w:rFonts w:ascii="Times New Roman" w:hAnsi="Times New Roman"/>
          <w:color w:val="000000" w:themeColor="text1"/>
          <w:lang w:val="es-ES"/>
        </w:rPr>
        <w:t xml:space="preserve">fico </w:t>
      </w:r>
      <w:r w:rsidR="00BA36D3" w:rsidRPr="006569D0">
        <w:rPr>
          <w:rFonts w:ascii="Times New Roman" w:hAnsi="Times New Roman"/>
          <w:color w:val="000000" w:themeColor="text1"/>
          <w:lang w:val="es-ES"/>
        </w:rPr>
        <w:t>no.</w:t>
      </w:r>
      <w:r w:rsidR="00D0682D" w:rsidRPr="006569D0">
        <w:rPr>
          <w:rFonts w:ascii="Times New Roman" w:hAnsi="Times New Roman"/>
          <w:color w:val="000000" w:themeColor="text1"/>
          <w:lang w:val="es-ES"/>
        </w:rPr>
        <w:t xml:space="preserve"> 1.</w:t>
      </w:r>
    </w:p>
    <w:p w14:paraId="50955C0B" w14:textId="77777777" w:rsidR="00DF01EE" w:rsidRPr="006569D0" w:rsidRDefault="00892E09" w:rsidP="001C6B1A">
      <w:pPr>
        <w:pStyle w:val="Prrafodelista"/>
        <w:numPr>
          <w:ilvl w:val="0"/>
          <w:numId w:val="8"/>
        </w:numPr>
        <w:spacing w:after="0"/>
        <w:rPr>
          <w:rFonts w:ascii="Times New Roman" w:hAnsi="Times New Roman"/>
          <w:b/>
          <w:sz w:val="24"/>
          <w:lang w:val="es-ES"/>
        </w:rPr>
      </w:pPr>
      <w:r w:rsidRPr="006569D0">
        <w:rPr>
          <w:rFonts w:ascii="Times New Roman" w:hAnsi="Times New Roman"/>
          <w:b/>
          <w:sz w:val="24"/>
          <w:lang w:val="es-ES"/>
        </w:rPr>
        <w:t>Productores beneficiados de c</w:t>
      </w:r>
      <w:r w:rsidR="00DF01EE" w:rsidRPr="006569D0">
        <w:rPr>
          <w:rFonts w:ascii="Times New Roman" w:hAnsi="Times New Roman"/>
          <w:b/>
          <w:sz w:val="24"/>
          <w:lang w:val="es-ES"/>
        </w:rPr>
        <w:t>apacitaciones</w:t>
      </w:r>
      <w:r w:rsidR="004A387B" w:rsidRPr="006569D0">
        <w:rPr>
          <w:rFonts w:ascii="Times New Roman" w:hAnsi="Times New Roman"/>
          <w:b/>
          <w:sz w:val="24"/>
          <w:lang w:val="es-ES"/>
        </w:rPr>
        <w:t xml:space="preserve"> </w:t>
      </w:r>
      <w:r w:rsidRPr="006569D0">
        <w:rPr>
          <w:rFonts w:ascii="Times New Roman" w:hAnsi="Times New Roman"/>
          <w:b/>
          <w:sz w:val="24"/>
          <w:lang w:val="es-ES"/>
        </w:rPr>
        <w:t>agropecuarias</w:t>
      </w:r>
    </w:p>
    <w:p w14:paraId="0CF904A4" w14:textId="0F2AE011" w:rsidR="00F87AEB" w:rsidRPr="006569D0" w:rsidRDefault="001C2B3B" w:rsidP="001E7A53">
      <w:pPr>
        <w:pStyle w:val="Prrafodelista"/>
        <w:spacing w:line="480" w:lineRule="auto"/>
        <w:ind w:left="0"/>
        <w:jc w:val="both"/>
        <w:rPr>
          <w:rFonts w:ascii="Times New Roman" w:hAnsi="Times New Roman"/>
          <w:b/>
          <w:sz w:val="24"/>
          <w:lang w:val="es-ES"/>
        </w:rPr>
      </w:pPr>
      <w:r>
        <w:rPr>
          <w:noProof/>
          <w:lang w:eastAsia="es-DO"/>
        </w:rPr>
        <w:drawing>
          <wp:inline distT="0" distB="0" distL="0" distR="0" wp14:anchorId="7AE29D8D" wp14:editId="770BDA31">
            <wp:extent cx="5022850" cy="2885704"/>
            <wp:effectExtent l="0" t="0" r="6350" b="0"/>
            <wp:docPr id="184" name="Gráfico 18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833B79B" w14:textId="77777777" w:rsidR="009F729F" w:rsidRPr="006569D0" w:rsidRDefault="009F729F" w:rsidP="00DA4DB6">
      <w:pPr>
        <w:pStyle w:val="Prrafodelista"/>
        <w:spacing w:after="0" w:line="480" w:lineRule="auto"/>
        <w:ind w:left="0"/>
        <w:jc w:val="both"/>
        <w:rPr>
          <w:rFonts w:ascii="Times New Roman" w:hAnsi="Times New Roman"/>
          <w:b/>
          <w:sz w:val="24"/>
          <w:lang w:val="es-ES"/>
        </w:rPr>
      </w:pPr>
    </w:p>
    <w:p w14:paraId="03179FB6" w14:textId="77777777" w:rsidR="00892E09" w:rsidRPr="006569D0" w:rsidRDefault="00892E09" w:rsidP="0020047B">
      <w:pPr>
        <w:pStyle w:val="Prrafodelista"/>
        <w:numPr>
          <w:ilvl w:val="0"/>
          <w:numId w:val="4"/>
        </w:numPr>
        <w:spacing w:after="0" w:line="360" w:lineRule="auto"/>
        <w:ind w:left="0" w:firstLine="851"/>
        <w:outlineLvl w:val="3"/>
        <w:rPr>
          <w:rFonts w:ascii="Times New Roman" w:hAnsi="Times New Roman"/>
          <w:b/>
          <w:sz w:val="28"/>
          <w:szCs w:val="24"/>
          <w:lang w:val="es-ES"/>
        </w:rPr>
      </w:pPr>
      <w:bookmarkStart w:id="67" w:name="_Toc26292019"/>
      <w:bookmarkStart w:id="68" w:name="_Toc27146723"/>
      <w:r w:rsidRPr="006569D0">
        <w:rPr>
          <w:rFonts w:ascii="Times New Roman" w:hAnsi="Times New Roman"/>
          <w:b/>
          <w:sz w:val="28"/>
          <w:szCs w:val="24"/>
          <w:lang w:val="es-ES"/>
        </w:rPr>
        <w:t>Asistencia técnica</w:t>
      </w:r>
      <w:bookmarkEnd w:id="67"/>
      <w:bookmarkEnd w:id="68"/>
      <w:r w:rsidRPr="006569D0">
        <w:rPr>
          <w:rFonts w:ascii="Times New Roman" w:hAnsi="Times New Roman"/>
          <w:b/>
          <w:sz w:val="28"/>
          <w:szCs w:val="24"/>
          <w:lang w:val="es-ES"/>
        </w:rPr>
        <w:t xml:space="preserve"> </w:t>
      </w:r>
    </w:p>
    <w:p w14:paraId="3C56B9E5" w14:textId="32C0E231" w:rsidR="00892E09" w:rsidRPr="006569D0" w:rsidRDefault="00DE433A" w:rsidP="003D2758">
      <w:pPr>
        <w:spacing w:after="0" w:line="480" w:lineRule="auto"/>
        <w:ind w:firstLine="851"/>
        <w:jc w:val="both"/>
        <w:rPr>
          <w:rFonts w:ascii="Times New Roman" w:hAnsi="Times New Roman"/>
          <w:color w:val="000000" w:themeColor="text1"/>
          <w:lang w:val="es-ES_tradnl"/>
        </w:rPr>
      </w:pPr>
      <w:r w:rsidRPr="006569D0">
        <w:rPr>
          <w:rFonts w:ascii="Times New Roman" w:hAnsi="Times New Roman"/>
          <w:color w:val="000000" w:themeColor="text1"/>
          <w:lang w:val="es-ES_tradnl"/>
        </w:rPr>
        <w:t>Las actividades de</w:t>
      </w:r>
      <w:r w:rsidR="00892E09" w:rsidRPr="006569D0">
        <w:rPr>
          <w:rFonts w:ascii="Times New Roman" w:hAnsi="Times New Roman"/>
          <w:color w:val="000000" w:themeColor="text1"/>
          <w:lang w:val="es-ES_tradnl"/>
        </w:rPr>
        <w:t xml:space="preserve"> asistencia técnica y transfe</w:t>
      </w:r>
      <w:r w:rsidR="0030703A">
        <w:rPr>
          <w:rFonts w:ascii="Times New Roman" w:hAnsi="Times New Roman"/>
          <w:color w:val="000000" w:themeColor="text1"/>
          <w:lang w:val="es-ES_tradnl"/>
        </w:rPr>
        <w:t>rencias de tecnologías, registraron</w:t>
      </w:r>
      <w:r w:rsidR="004A387B" w:rsidRPr="006569D0">
        <w:rPr>
          <w:rFonts w:ascii="Times New Roman" w:hAnsi="Times New Roman"/>
          <w:color w:val="000000" w:themeColor="text1"/>
          <w:lang w:val="es-ES_tradnl"/>
        </w:rPr>
        <w:t xml:space="preserve"> </w:t>
      </w:r>
      <w:r w:rsidR="002A728D" w:rsidRPr="006569D0">
        <w:rPr>
          <w:rFonts w:ascii="Times New Roman" w:hAnsi="Times New Roman"/>
          <w:color w:val="000000" w:themeColor="text1"/>
          <w:lang w:val="es-ES"/>
        </w:rPr>
        <w:t xml:space="preserve">un incremento sustantivo de </w:t>
      </w:r>
      <w:r w:rsidR="00641864">
        <w:rPr>
          <w:rFonts w:ascii="Times New Roman" w:hAnsi="Times New Roman"/>
          <w:color w:val="000000" w:themeColor="text1"/>
          <w:lang w:val="es-ES"/>
        </w:rPr>
        <w:t>87,439</w:t>
      </w:r>
      <w:r w:rsidR="002A728D" w:rsidRPr="006569D0">
        <w:rPr>
          <w:rFonts w:ascii="Times New Roman" w:hAnsi="Times New Roman"/>
          <w:color w:val="000000" w:themeColor="text1"/>
          <w:lang w:val="es-ES"/>
        </w:rPr>
        <w:t xml:space="preserve"> actividades de asistencia técnica, equivalente a un </w:t>
      </w:r>
      <w:r w:rsidR="00BE2EAC" w:rsidRPr="006569D0">
        <w:rPr>
          <w:rFonts w:ascii="Times New Roman" w:hAnsi="Times New Roman"/>
          <w:color w:val="000000" w:themeColor="text1"/>
          <w:lang w:val="es-ES"/>
        </w:rPr>
        <w:t>1</w:t>
      </w:r>
      <w:r w:rsidR="00641864">
        <w:rPr>
          <w:rFonts w:ascii="Times New Roman" w:hAnsi="Times New Roman"/>
          <w:color w:val="000000" w:themeColor="text1"/>
          <w:lang w:val="es-ES"/>
        </w:rPr>
        <w:t>3</w:t>
      </w:r>
      <w:r w:rsidR="00BE2EAC" w:rsidRPr="006569D0">
        <w:rPr>
          <w:rFonts w:ascii="Times New Roman" w:hAnsi="Times New Roman"/>
          <w:color w:val="000000" w:themeColor="text1"/>
          <w:lang w:val="es-ES"/>
        </w:rPr>
        <w:t>,73</w:t>
      </w:r>
      <w:r w:rsidR="002A728D" w:rsidRPr="006569D0">
        <w:rPr>
          <w:rFonts w:ascii="Times New Roman" w:hAnsi="Times New Roman"/>
          <w:color w:val="000000" w:themeColor="text1"/>
          <w:lang w:val="es-ES_tradnl"/>
        </w:rPr>
        <w:t>%</w:t>
      </w:r>
      <w:r w:rsidR="0030703A">
        <w:rPr>
          <w:rFonts w:ascii="Times New Roman" w:hAnsi="Times New Roman"/>
          <w:color w:val="000000" w:themeColor="text1"/>
          <w:lang w:val="es-ES_tradnl"/>
        </w:rPr>
        <w:t>,</w:t>
      </w:r>
      <w:r w:rsidR="002A728D" w:rsidRPr="006569D0">
        <w:rPr>
          <w:rFonts w:ascii="Times New Roman" w:hAnsi="Times New Roman"/>
          <w:color w:val="000000" w:themeColor="text1"/>
          <w:lang w:val="es-ES_tradnl"/>
        </w:rPr>
        <w:t xml:space="preserve"> al pasar de 6</w:t>
      </w:r>
      <w:r w:rsidR="0001678C" w:rsidRPr="006569D0">
        <w:rPr>
          <w:rFonts w:ascii="Times New Roman" w:hAnsi="Times New Roman"/>
          <w:color w:val="000000" w:themeColor="text1"/>
          <w:lang w:val="es-ES_tradnl"/>
        </w:rPr>
        <w:t>37,064</w:t>
      </w:r>
      <w:r w:rsidR="002A728D" w:rsidRPr="006569D0">
        <w:rPr>
          <w:rFonts w:ascii="Times New Roman" w:hAnsi="Times New Roman"/>
          <w:color w:val="000000" w:themeColor="text1"/>
          <w:lang w:val="es-ES_tradnl"/>
        </w:rPr>
        <w:t xml:space="preserve"> en el 2018 a </w:t>
      </w:r>
      <w:r w:rsidR="00BE2EAC" w:rsidRPr="006569D0">
        <w:rPr>
          <w:rFonts w:ascii="Times New Roman" w:hAnsi="Times New Roman"/>
          <w:color w:val="000000" w:themeColor="text1"/>
          <w:lang w:val="es-ES_tradnl"/>
        </w:rPr>
        <w:t>7</w:t>
      </w:r>
      <w:r w:rsidR="00641864">
        <w:rPr>
          <w:rFonts w:ascii="Times New Roman" w:hAnsi="Times New Roman"/>
          <w:color w:val="000000" w:themeColor="text1"/>
          <w:lang w:val="es-ES_tradnl"/>
        </w:rPr>
        <w:t>24,503</w:t>
      </w:r>
      <w:r w:rsidR="00373D39" w:rsidRPr="006569D0">
        <w:rPr>
          <w:rFonts w:ascii="Times New Roman" w:hAnsi="Times New Roman"/>
          <w:color w:val="000000" w:themeColor="text1"/>
          <w:lang w:val="es-ES_tradnl"/>
        </w:rPr>
        <w:t xml:space="preserve"> </w:t>
      </w:r>
      <w:r w:rsidR="002A728D" w:rsidRPr="006569D0">
        <w:rPr>
          <w:rFonts w:ascii="Times New Roman" w:hAnsi="Times New Roman"/>
          <w:color w:val="000000" w:themeColor="text1"/>
          <w:lang w:val="es-ES_tradnl"/>
        </w:rPr>
        <w:t>en 2019</w:t>
      </w:r>
      <w:r w:rsidR="00BE2EAC" w:rsidRPr="006569D0">
        <w:rPr>
          <w:rFonts w:ascii="Times New Roman" w:hAnsi="Times New Roman"/>
          <w:color w:val="000000" w:themeColor="text1"/>
          <w:lang w:val="es-ES_tradnl"/>
        </w:rPr>
        <w:t>.</w:t>
      </w:r>
      <w:r w:rsidR="002A728D" w:rsidRPr="006569D0">
        <w:rPr>
          <w:rFonts w:ascii="Times New Roman" w:hAnsi="Times New Roman"/>
          <w:color w:val="000000" w:themeColor="text1"/>
          <w:lang w:val="es-ES_tradnl"/>
        </w:rPr>
        <w:t xml:space="preserve"> </w:t>
      </w:r>
    </w:p>
    <w:p w14:paraId="6626698C" w14:textId="77777777" w:rsidR="00DA4DB6" w:rsidRPr="006569D0" w:rsidRDefault="00DA4DB6">
      <w:pPr>
        <w:spacing w:after="0"/>
        <w:rPr>
          <w:rFonts w:ascii="Times New Roman" w:hAnsi="Times New Roman"/>
          <w:lang w:val="es-ES"/>
        </w:rPr>
      </w:pPr>
      <w:r w:rsidRPr="006569D0">
        <w:rPr>
          <w:rFonts w:ascii="Times New Roman" w:hAnsi="Times New Roman"/>
          <w:lang w:val="es-ES"/>
        </w:rPr>
        <w:br w:type="page"/>
      </w:r>
    </w:p>
    <w:p w14:paraId="6AAC0B28" w14:textId="77777777" w:rsidR="00892E09" w:rsidRPr="006569D0" w:rsidRDefault="00892E09" w:rsidP="001C6B1A">
      <w:pPr>
        <w:pStyle w:val="Prrafodelista"/>
        <w:numPr>
          <w:ilvl w:val="0"/>
          <w:numId w:val="8"/>
        </w:numPr>
        <w:spacing w:after="0"/>
        <w:rPr>
          <w:rFonts w:ascii="Times New Roman" w:hAnsi="Times New Roman"/>
          <w:b/>
          <w:sz w:val="24"/>
          <w:lang w:val="es-ES"/>
        </w:rPr>
      </w:pPr>
      <w:r w:rsidRPr="006569D0">
        <w:rPr>
          <w:rFonts w:ascii="Times New Roman" w:hAnsi="Times New Roman"/>
          <w:b/>
          <w:sz w:val="24"/>
          <w:lang w:val="es-ES"/>
        </w:rPr>
        <w:lastRenderedPageBreak/>
        <w:t>Asistencia técnica a productores/as</w:t>
      </w:r>
    </w:p>
    <w:p w14:paraId="6534DB90" w14:textId="521441F2" w:rsidR="00892E09" w:rsidRPr="006569D0" w:rsidRDefault="00641864" w:rsidP="00892E09">
      <w:pPr>
        <w:pStyle w:val="Prrafodelista"/>
        <w:spacing w:after="0" w:line="480" w:lineRule="auto"/>
        <w:ind w:left="0"/>
        <w:jc w:val="both"/>
        <w:rPr>
          <w:rFonts w:ascii="Times New Roman" w:hAnsi="Times New Roman"/>
          <w:b/>
          <w:sz w:val="24"/>
          <w:lang w:val="es-ES"/>
        </w:rPr>
      </w:pPr>
      <w:r w:rsidRPr="00641864">
        <w:rPr>
          <w:rFonts w:ascii="Times New Roman" w:hAnsi="Times New Roman"/>
          <w:noProof/>
          <w:lang w:eastAsia="es-DO"/>
        </w:rPr>
        <w:drawing>
          <wp:inline distT="0" distB="0" distL="0" distR="0" wp14:anchorId="35EC0958" wp14:editId="41CA669A">
            <wp:extent cx="5403272" cy="2629535"/>
            <wp:effectExtent l="0" t="0" r="6985" b="0"/>
            <wp:docPr id="185" name="Gráfico 185">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7D821F1" w14:textId="77777777" w:rsidR="00DA4DB6" w:rsidRPr="006569D0" w:rsidRDefault="00DA4DB6" w:rsidP="00892E09">
      <w:pPr>
        <w:pStyle w:val="Prrafodelista"/>
        <w:spacing w:after="0" w:line="480" w:lineRule="auto"/>
        <w:ind w:left="0"/>
        <w:jc w:val="both"/>
        <w:rPr>
          <w:rFonts w:ascii="Times New Roman" w:hAnsi="Times New Roman"/>
          <w:b/>
          <w:sz w:val="24"/>
          <w:lang w:val="es-ES"/>
        </w:rPr>
      </w:pPr>
    </w:p>
    <w:p w14:paraId="799AF356" w14:textId="77777777" w:rsidR="001769D7" w:rsidRPr="006569D0" w:rsidRDefault="001769D7" w:rsidP="0020047B">
      <w:pPr>
        <w:pStyle w:val="Prrafodelista"/>
        <w:numPr>
          <w:ilvl w:val="0"/>
          <w:numId w:val="4"/>
        </w:numPr>
        <w:spacing w:after="0" w:line="480" w:lineRule="auto"/>
        <w:ind w:left="0" w:firstLine="851"/>
        <w:outlineLvl w:val="3"/>
        <w:rPr>
          <w:rFonts w:ascii="Times New Roman" w:hAnsi="Times New Roman"/>
          <w:b/>
          <w:sz w:val="28"/>
          <w:szCs w:val="24"/>
          <w:lang w:val="es-ES"/>
        </w:rPr>
      </w:pPr>
      <w:bookmarkStart w:id="69" w:name="_Toc470523321"/>
      <w:bookmarkStart w:id="70" w:name="_Toc26292020"/>
      <w:bookmarkStart w:id="71" w:name="_Toc27146724"/>
      <w:r w:rsidRPr="006569D0">
        <w:rPr>
          <w:rFonts w:ascii="Times New Roman" w:hAnsi="Times New Roman"/>
          <w:b/>
          <w:sz w:val="28"/>
          <w:szCs w:val="24"/>
          <w:lang w:val="es-ES"/>
        </w:rPr>
        <w:t xml:space="preserve">Mecanización </w:t>
      </w:r>
      <w:r w:rsidR="005950F8" w:rsidRPr="006569D0">
        <w:rPr>
          <w:rFonts w:ascii="Times New Roman" w:hAnsi="Times New Roman"/>
          <w:b/>
          <w:sz w:val="28"/>
          <w:szCs w:val="24"/>
          <w:lang w:val="es-ES"/>
        </w:rPr>
        <w:t>a</w:t>
      </w:r>
      <w:r w:rsidRPr="006569D0">
        <w:rPr>
          <w:rFonts w:ascii="Times New Roman" w:hAnsi="Times New Roman"/>
          <w:b/>
          <w:sz w:val="28"/>
          <w:szCs w:val="24"/>
          <w:lang w:val="es-ES"/>
        </w:rPr>
        <w:t>grícola</w:t>
      </w:r>
      <w:bookmarkEnd w:id="69"/>
      <w:bookmarkEnd w:id="70"/>
      <w:bookmarkEnd w:id="71"/>
    </w:p>
    <w:p w14:paraId="487633CF" w14:textId="2A45B0AF" w:rsidR="001769D7" w:rsidRPr="006569D0" w:rsidRDefault="00324094" w:rsidP="003D2758">
      <w:pPr>
        <w:spacing w:after="0" w:line="480" w:lineRule="auto"/>
        <w:ind w:firstLine="851"/>
        <w:jc w:val="both"/>
        <w:rPr>
          <w:rFonts w:ascii="Times New Roman" w:hAnsi="Times New Roman"/>
          <w:color w:val="000000" w:themeColor="text1"/>
          <w:lang w:val="es-ES"/>
        </w:rPr>
      </w:pPr>
      <w:r w:rsidRPr="006569D0">
        <w:rPr>
          <w:rFonts w:ascii="Times New Roman" w:hAnsi="Times New Roman"/>
          <w:color w:val="000000" w:themeColor="text1"/>
          <w:lang w:val="es-ES"/>
        </w:rPr>
        <w:t>La</w:t>
      </w:r>
      <w:r w:rsidR="001769D7" w:rsidRPr="006569D0">
        <w:rPr>
          <w:rFonts w:ascii="Times New Roman" w:hAnsi="Times New Roman"/>
          <w:color w:val="000000" w:themeColor="text1"/>
          <w:lang w:val="es-ES"/>
        </w:rPr>
        <w:t xml:space="preserve"> superficie de terrenos mecanizados, registró un </w:t>
      </w:r>
      <w:r w:rsidR="002A728D" w:rsidRPr="006569D0">
        <w:rPr>
          <w:rFonts w:ascii="Times New Roman" w:hAnsi="Times New Roman"/>
          <w:color w:val="000000" w:themeColor="text1"/>
          <w:lang w:val="es-ES"/>
        </w:rPr>
        <w:t>incremento</w:t>
      </w:r>
      <w:r w:rsidR="001769D7" w:rsidRPr="006569D0">
        <w:rPr>
          <w:rFonts w:ascii="Times New Roman" w:hAnsi="Times New Roman"/>
          <w:color w:val="000000" w:themeColor="text1"/>
          <w:lang w:val="es-ES"/>
        </w:rPr>
        <w:t xml:space="preserve"> </w:t>
      </w:r>
      <w:r w:rsidR="002A728D" w:rsidRPr="006569D0">
        <w:rPr>
          <w:rFonts w:ascii="Times New Roman" w:hAnsi="Times New Roman"/>
          <w:color w:val="000000" w:themeColor="text1"/>
          <w:lang w:val="es-ES"/>
        </w:rPr>
        <w:t>elevado</w:t>
      </w:r>
      <w:r w:rsidR="001769D7" w:rsidRPr="006569D0">
        <w:rPr>
          <w:rFonts w:ascii="Times New Roman" w:hAnsi="Times New Roman"/>
          <w:color w:val="000000" w:themeColor="text1"/>
          <w:lang w:val="es-ES"/>
        </w:rPr>
        <w:t xml:space="preserve"> en </w:t>
      </w:r>
      <w:r w:rsidR="002A728D" w:rsidRPr="006569D0">
        <w:rPr>
          <w:rFonts w:ascii="Times New Roman" w:hAnsi="Times New Roman"/>
          <w:color w:val="000000" w:themeColor="text1"/>
          <w:lang w:val="es-ES"/>
        </w:rPr>
        <w:t>161,512</w:t>
      </w:r>
      <w:r w:rsidR="001769D7" w:rsidRPr="006569D0">
        <w:rPr>
          <w:rFonts w:ascii="Times New Roman" w:hAnsi="Times New Roman"/>
          <w:color w:val="000000" w:themeColor="text1"/>
          <w:lang w:val="es-ES"/>
        </w:rPr>
        <w:t xml:space="preserve"> tareas</w:t>
      </w:r>
      <w:r w:rsidR="00D04946" w:rsidRPr="006569D0">
        <w:rPr>
          <w:rFonts w:ascii="Times New Roman" w:hAnsi="Times New Roman"/>
          <w:color w:val="000000" w:themeColor="text1"/>
          <w:lang w:val="es-ES"/>
        </w:rPr>
        <w:t>,</w:t>
      </w:r>
      <w:r w:rsidR="001769D7" w:rsidRPr="006569D0">
        <w:rPr>
          <w:rFonts w:ascii="Times New Roman" w:hAnsi="Times New Roman"/>
          <w:color w:val="000000" w:themeColor="text1"/>
          <w:lang w:val="es-ES"/>
        </w:rPr>
        <w:t xml:space="preserve"> </w:t>
      </w:r>
      <w:r w:rsidR="00D04946" w:rsidRPr="006569D0">
        <w:rPr>
          <w:rFonts w:ascii="Times New Roman" w:hAnsi="Times New Roman"/>
          <w:color w:val="000000" w:themeColor="text1"/>
          <w:lang w:val="es-ES"/>
        </w:rPr>
        <w:t xml:space="preserve">para </w:t>
      </w:r>
      <w:r w:rsidR="001769D7" w:rsidRPr="006569D0">
        <w:rPr>
          <w:rFonts w:ascii="Times New Roman" w:hAnsi="Times New Roman"/>
          <w:color w:val="000000" w:themeColor="text1"/>
          <w:lang w:val="es-ES"/>
        </w:rPr>
        <w:t xml:space="preserve">un crecimiento </w:t>
      </w:r>
      <w:r w:rsidR="00D0682D" w:rsidRPr="006569D0">
        <w:rPr>
          <w:rFonts w:ascii="Times New Roman" w:hAnsi="Times New Roman"/>
          <w:color w:val="000000" w:themeColor="text1"/>
          <w:lang w:val="es-ES"/>
        </w:rPr>
        <w:t xml:space="preserve">equivalente a </w:t>
      </w:r>
      <w:r w:rsidR="002A728D" w:rsidRPr="006569D0">
        <w:rPr>
          <w:rFonts w:ascii="Times New Roman" w:hAnsi="Times New Roman"/>
          <w:color w:val="000000" w:themeColor="text1"/>
          <w:lang w:val="es-ES"/>
        </w:rPr>
        <w:t>20.09</w:t>
      </w:r>
      <w:r w:rsidR="001769D7" w:rsidRPr="006569D0">
        <w:rPr>
          <w:rFonts w:ascii="Times New Roman" w:hAnsi="Times New Roman"/>
          <w:color w:val="000000" w:themeColor="text1"/>
          <w:lang w:val="es-ES"/>
        </w:rPr>
        <w:t>%</w:t>
      </w:r>
      <w:r w:rsidR="00BB5054" w:rsidRPr="006569D0">
        <w:rPr>
          <w:rFonts w:ascii="Times New Roman" w:hAnsi="Times New Roman"/>
          <w:color w:val="000000" w:themeColor="text1"/>
          <w:lang w:val="es-ES"/>
        </w:rPr>
        <w:t>,</w:t>
      </w:r>
      <w:r w:rsidR="001769D7" w:rsidRPr="006569D0">
        <w:rPr>
          <w:rFonts w:ascii="Times New Roman" w:hAnsi="Times New Roman"/>
          <w:color w:val="000000" w:themeColor="text1"/>
          <w:lang w:val="es-ES"/>
        </w:rPr>
        <w:t xml:space="preserve"> respecto al </w:t>
      </w:r>
      <w:r w:rsidR="00BA36D3" w:rsidRPr="006569D0">
        <w:rPr>
          <w:rFonts w:ascii="Times New Roman" w:hAnsi="Times New Roman"/>
          <w:color w:val="000000" w:themeColor="text1"/>
          <w:lang w:val="es-ES"/>
        </w:rPr>
        <w:t>período</w:t>
      </w:r>
      <w:r w:rsidR="001769D7" w:rsidRPr="006569D0">
        <w:rPr>
          <w:rFonts w:ascii="Times New Roman" w:hAnsi="Times New Roman"/>
          <w:color w:val="000000" w:themeColor="text1"/>
          <w:lang w:val="es-ES"/>
        </w:rPr>
        <w:t xml:space="preserve"> anterior, </w:t>
      </w:r>
      <w:r w:rsidR="00BB5054" w:rsidRPr="006569D0">
        <w:rPr>
          <w:rFonts w:ascii="Times New Roman" w:hAnsi="Times New Roman"/>
          <w:color w:val="000000" w:themeColor="text1"/>
          <w:lang w:val="es-ES"/>
        </w:rPr>
        <w:t xml:space="preserve">pasando </w:t>
      </w:r>
      <w:r w:rsidR="001769D7" w:rsidRPr="006569D0">
        <w:rPr>
          <w:rFonts w:ascii="Times New Roman" w:hAnsi="Times New Roman"/>
          <w:color w:val="000000" w:themeColor="text1"/>
          <w:lang w:val="es-ES"/>
        </w:rPr>
        <w:t xml:space="preserve">de </w:t>
      </w:r>
      <w:r w:rsidR="002A728D" w:rsidRPr="006569D0">
        <w:rPr>
          <w:rFonts w:ascii="Times New Roman" w:hAnsi="Times New Roman"/>
          <w:color w:val="000000" w:themeColor="text1"/>
          <w:lang w:val="es-ES"/>
        </w:rPr>
        <w:t xml:space="preserve">804,107 </w:t>
      </w:r>
      <w:r w:rsidR="00205323" w:rsidRPr="006569D0">
        <w:rPr>
          <w:rFonts w:ascii="Times New Roman" w:hAnsi="Times New Roman"/>
          <w:color w:val="000000" w:themeColor="text1"/>
          <w:lang w:val="es-ES"/>
        </w:rPr>
        <w:t>tareas en 201</w:t>
      </w:r>
      <w:r w:rsidR="002A728D" w:rsidRPr="006569D0">
        <w:rPr>
          <w:rFonts w:ascii="Times New Roman" w:hAnsi="Times New Roman"/>
          <w:color w:val="000000" w:themeColor="text1"/>
          <w:lang w:val="es-ES"/>
        </w:rPr>
        <w:t>8</w:t>
      </w:r>
      <w:r w:rsidR="00205323" w:rsidRPr="006569D0">
        <w:rPr>
          <w:rFonts w:ascii="Times New Roman" w:hAnsi="Times New Roman"/>
          <w:color w:val="000000" w:themeColor="text1"/>
          <w:lang w:val="es-ES"/>
        </w:rPr>
        <w:t xml:space="preserve"> </w:t>
      </w:r>
      <w:r w:rsidR="001769D7" w:rsidRPr="006569D0">
        <w:rPr>
          <w:rFonts w:ascii="Times New Roman" w:hAnsi="Times New Roman"/>
          <w:color w:val="000000" w:themeColor="text1"/>
          <w:lang w:val="es-ES"/>
        </w:rPr>
        <w:t xml:space="preserve">a </w:t>
      </w:r>
      <w:r w:rsidR="00BE2EAC" w:rsidRPr="006569D0">
        <w:rPr>
          <w:rFonts w:ascii="Times New Roman" w:hAnsi="Times New Roman"/>
          <w:color w:val="000000" w:themeColor="text1"/>
          <w:lang w:val="es-ES"/>
        </w:rPr>
        <w:t>1,007,279</w:t>
      </w:r>
      <w:r w:rsidR="002A728D" w:rsidRPr="006569D0">
        <w:rPr>
          <w:rFonts w:ascii="Times New Roman" w:hAnsi="Times New Roman"/>
          <w:color w:val="000000" w:themeColor="text1"/>
          <w:lang w:val="es-ES"/>
        </w:rPr>
        <w:t xml:space="preserve"> </w:t>
      </w:r>
      <w:r w:rsidR="001769D7" w:rsidRPr="006569D0">
        <w:rPr>
          <w:rFonts w:ascii="Times New Roman" w:hAnsi="Times New Roman"/>
          <w:color w:val="000000" w:themeColor="text1"/>
          <w:lang w:val="es-ES"/>
        </w:rPr>
        <w:t>tarea</w:t>
      </w:r>
      <w:r w:rsidR="00205323" w:rsidRPr="006569D0">
        <w:rPr>
          <w:rFonts w:ascii="Times New Roman" w:hAnsi="Times New Roman"/>
          <w:color w:val="000000" w:themeColor="text1"/>
          <w:lang w:val="es-ES"/>
        </w:rPr>
        <w:t xml:space="preserve">s </w:t>
      </w:r>
      <w:r w:rsidR="00373D39" w:rsidRPr="006569D0">
        <w:rPr>
          <w:rFonts w:ascii="Times New Roman" w:hAnsi="Times New Roman"/>
          <w:color w:val="000000" w:themeColor="text1"/>
          <w:lang w:val="es-ES"/>
        </w:rPr>
        <w:t xml:space="preserve">beneficiadas </w:t>
      </w:r>
      <w:r w:rsidR="00205323" w:rsidRPr="006569D0">
        <w:rPr>
          <w:rFonts w:ascii="Times New Roman" w:hAnsi="Times New Roman"/>
          <w:color w:val="000000" w:themeColor="text1"/>
          <w:lang w:val="es-ES"/>
        </w:rPr>
        <w:t>en 201</w:t>
      </w:r>
      <w:r w:rsidR="002A728D" w:rsidRPr="006569D0">
        <w:rPr>
          <w:rFonts w:ascii="Times New Roman" w:hAnsi="Times New Roman"/>
          <w:color w:val="000000" w:themeColor="text1"/>
          <w:lang w:val="es-ES"/>
        </w:rPr>
        <w:t>9</w:t>
      </w:r>
      <w:r w:rsidR="00373D39" w:rsidRPr="006569D0">
        <w:rPr>
          <w:rFonts w:ascii="Times New Roman" w:hAnsi="Times New Roman"/>
          <w:color w:val="000000" w:themeColor="text1"/>
          <w:lang w:val="es-ES"/>
        </w:rPr>
        <w:t xml:space="preserve">, con </w:t>
      </w:r>
      <w:r w:rsidR="002A728D" w:rsidRPr="006569D0">
        <w:rPr>
          <w:rFonts w:ascii="Times New Roman" w:hAnsi="Times New Roman"/>
          <w:color w:val="000000" w:themeColor="text1"/>
          <w:lang w:val="es-ES"/>
        </w:rPr>
        <w:t xml:space="preserve">mecanización de </w:t>
      </w:r>
      <w:r w:rsidR="00373D39" w:rsidRPr="006569D0">
        <w:rPr>
          <w:rFonts w:ascii="Times New Roman" w:hAnsi="Times New Roman"/>
          <w:color w:val="000000" w:themeColor="text1"/>
          <w:lang w:val="es-ES"/>
        </w:rPr>
        <w:t>corte, cruce y rastra</w:t>
      </w:r>
      <w:r w:rsidR="001769D7" w:rsidRPr="006569D0">
        <w:rPr>
          <w:rFonts w:ascii="Times New Roman" w:hAnsi="Times New Roman"/>
          <w:color w:val="000000" w:themeColor="text1"/>
          <w:lang w:val="es-ES"/>
        </w:rPr>
        <w:t>.</w:t>
      </w:r>
    </w:p>
    <w:p w14:paraId="79AE78EB" w14:textId="77777777" w:rsidR="004629EA" w:rsidRPr="006569D0" w:rsidRDefault="004629EA">
      <w:pPr>
        <w:spacing w:after="0"/>
        <w:rPr>
          <w:rFonts w:ascii="Times New Roman" w:hAnsi="Times New Roman"/>
        </w:rPr>
      </w:pPr>
    </w:p>
    <w:p w14:paraId="3561BEB7" w14:textId="77777777" w:rsidR="00DF01EE" w:rsidRPr="006569D0" w:rsidRDefault="00855ED8" w:rsidP="001C6B1A">
      <w:pPr>
        <w:pStyle w:val="Prrafodelista"/>
        <w:numPr>
          <w:ilvl w:val="0"/>
          <w:numId w:val="8"/>
        </w:numPr>
        <w:spacing w:after="0"/>
        <w:rPr>
          <w:rFonts w:ascii="Times New Roman" w:hAnsi="Times New Roman"/>
          <w:b/>
          <w:sz w:val="24"/>
          <w:lang w:val="es-ES"/>
        </w:rPr>
      </w:pPr>
      <w:r w:rsidRPr="006569D0">
        <w:rPr>
          <w:rFonts w:ascii="Times New Roman" w:hAnsi="Times New Roman"/>
          <w:b/>
          <w:sz w:val="24"/>
          <w:lang w:val="es-ES"/>
        </w:rPr>
        <w:t>Tareas mecanizadas</w:t>
      </w:r>
    </w:p>
    <w:p w14:paraId="01DE4954" w14:textId="763AD9CE" w:rsidR="00205323" w:rsidRPr="006569D0" w:rsidRDefault="0033742F" w:rsidP="00205323">
      <w:pPr>
        <w:pStyle w:val="Prrafodelista"/>
        <w:spacing w:after="0" w:line="480" w:lineRule="auto"/>
        <w:ind w:left="0"/>
        <w:jc w:val="both"/>
        <w:rPr>
          <w:rFonts w:ascii="Times New Roman" w:hAnsi="Times New Roman"/>
          <w:b/>
          <w:sz w:val="24"/>
          <w:lang w:val="es-ES"/>
        </w:rPr>
      </w:pPr>
      <w:r w:rsidRPr="006569D0">
        <w:rPr>
          <w:noProof/>
          <w:lang w:eastAsia="es-DO"/>
        </w:rPr>
        <w:drawing>
          <wp:inline distT="0" distB="0" distL="0" distR="0" wp14:anchorId="4AC29DDC" wp14:editId="582DD0EF">
            <wp:extent cx="5038725" cy="2677795"/>
            <wp:effectExtent l="0" t="0" r="0" b="8255"/>
            <wp:docPr id="63" name="Gráfico 6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3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7AFBCA2" w14:textId="28B8C769" w:rsidR="002D376F" w:rsidRPr="006569D0" w:rsidRDefault="00892E09" w:rsidP="003D2758">
      <w:pPr>
        <w:spacing w:after="0" w:line="480" w:lineRule="auto"/>
        <w:ind w:firstLine="851"/>
        <w:jc w:val="both"/>
        <w:rPr>
          <w:rFonts w:ascii="Times New Roman" w:hAnsi="Times New Roman"/>
          <w:color w:val="000000" w:themeColor="text1"/>
          <w:lang w:val="es-ES"/>
        </w:rPr>
      </w:pPr>
      <w:r w:rsidRPr="006569D0">
        <w:rPr>
          <w:rFonts w:ascii="Times New Roman" w:hAnsi="Times New Roman"/>
          <w:color w:val="000000" w:themeColor="text1"/>
          <w:lang w:val="es-ES"/>
        </w:rPr>
        <w:lastRenderedPageBreak/>
        <w:t>Con la finalidad de eficientizar el servicio de riego, mejorar desuniformidades topográficas, la magnitud de las pendientes y el drenaje superficial en los suelos</w:t>
      </w:r>
      <w:r w:rsidR="0082710E" w:rsidRPr="006569D0">
        <w:rPr>
          <w:rFonts w:ascii="Times New Roman" w:hAnsi="Times New Roman"/>
          <w:color w:val="000000" w:themeColor="text1"/>
          <w:lang w:val="es-ES"/>
        </w:rPr>
        <w:t>,</w:t>
      </w:r>
      <w:r w:rsidRPr="006569D0">
        <w:rPr>
          <w:rFonts w:ascii="Times New Roman" w:hAnsi="Times New Roman"/>
          <w:color w:val="000000" w:themeColor="text1"/>
          <w:lang w:val="es-ES"/>
        </w:rPr>
        <w:t xml:space="preserve"> el programa</w:t>
      </w:r>
      <w:r w:rsidR="008B069A" w:rsidRPr="006569D0">
        <w:rPr>
          <w:rFonts w:ascii="Times New Roman" w:hAnsi="Times New Roman"/>
          <w:color w:val="000000" w:themeColor="text1"/>
          <w:lang w:val="es-ES"/>
        </w:rPr>
        <w:t xml:space="preserve"> de Reconversión San Juan</w:t>
      </w:r>
      <w:r w:rsidRPr="006569D0">
        <w:rPr>
          <w:rFonts w:ascii="Times New Roman" w:hAnsi="Times New Roman"/>
          <w:color w:val="000000" w:themeColor="text1"/>
          <w:lang w:val="es-ES"/>
        </w:rPr>
        <w:t xml:space="preserve"> </w:t>
      </w:r>
      <w:r w:rsidR="002D376F" w:rsidRPr="006569D0">
        <w:rPr>
          <w:rFonts w:ascii="Times New Roman" w:hAnsi="Times New Roman"/>
          <w:color w:val="000000" w:themeColor="text1"/>
          <w:lang w:val="es-ES"/>
        </w:rPr>
        <w:t>desarrolla la</w:t>
      </w:r>
      <w:r w:rsidRPr="006569D0">
        <w:rPr>
          <w:rFonts w:ascii="Times New Roman" w:hAnsi="Times New Roman"/>
          <w:color w:val="000000" w:themeColor="text1"/>
          <w:lang w:val="es-ES"/>
        </w:rPr>
        <w:t xml:space="preserve"> nivelación a precisión, </w:t>
      </w:r>
      <w:r w:rsidR="00117C41" w:rsidRPr="006569D0">
        <w:rPr>
          <w:rFonts w:ascii="Times New Roman" w:hAnsi="Times New Roman"/>
          <w:color w:val="000000" w:themeColor="text1"/>
          <w:lang w:val="es-ES"/>
        </w:rPr>
        <w:t>logrando</w:t>
      </w:r>
      <w:r w:rsidRPr="006569D0">
        <w:rPr>
          <w:rFonts w:ascii="Times New Roman" w:hAnsi="Times New Roman"/>
          <w:color w:val="000000" w:themeColor="text1"/>
          <w:lang w:val="es-ES"/>
        </w:rPr>
        <w:t xml:space="preserve"> registra</w:t>
      </w:r>
      <w:r w:rsidR="00117C41" w:rsidRPr="006569D0">
        <w:rPr>
          <w:rFonts w:ascii="Times New Roman" w:hAnsi="Times New Roman"/>
          <w:color w:val="000000" w:themeColor="text1"/>
          <w:lang w:val="es-ES"/>
        </w:rPr>
        <w:t>r</w:t>
      </w:r>
      <w:r w:rsidRPr="006569D0">
        <w:rPr>
          <w:rFonts w:ascii="Times New Roman" w:hAnsi="Times New Roman"/>
          <w:color w:val="000000" w:themeColor="text1"/>
          <w:lang w:val="es-ES"/>
        </w:rPr>
        <w:t xml:space="preserve"> </w:t>
      </w:r>
      <w:r w:rsidR="00164F63" w:rsidRPr="006569D0">
        <w:rPr>
          <w:rFonts w:ascii="Times New Roman" w:hAnsi="Times New Roman"/>
          <w:color w:val="000000" w:themeColor="text1"/>
          <w:lang w:val="es-ES"/>
        </w:rPr>
        <w:t>721</w:t>
      </w:r>
      <w:r w:rsidRPr="006569D0">
        <w:rPr>
          <w:rFonts w:ascii="Times New Roman" w:hAnsi="Times New Roman"/>
          <w:color w:val="000000" w:themeColor="text1"/>
          <w:lang w:val="es-ES"/>
        </w:rPr>
        <w:t xml:space="preserve"> tareas niveladas </w:t>
      </w:r>
      <w:r w:rsidR="00117C41" w:rsidRPr="006569D0">
        <w:rPr>
          <w:rFonts w:ascii="Times New Roman" w:hAnsi="Times New Roman"/>
          <w:color w:val="000000" w:themeColor="text1"/>
          <w:lang w:val="es-ES"/>
        </w:rPr>
        <w:t xml:space="preserve">durante </w:t>
      </w:r>
      <w:r w:rsidR="00717667" w:rsidRPr="006569D0">
        <w:rPr>
          <w:rFonts w:ascii="Times New Roman" w:hAnsi="Times New Roman"/>
          <w:color w:val="000000" w:themeColor="text1"/>
          <w:lang w:val="es-ES"/>
        </w:rPr>
        <w:t xml:space="preserve">el </w:t>
      </w:r>
      <w:r w:rsidR="00117C41" w:rsidRPr="006569D0">
        <w:rPr>
          <w:rFonts w:ascii="Times New Roman" w:hAnsi="Times New Roman"/>
          <w:color w:val="000000" w:themeColor="text1"/>
          <w:lang w:val="es-ES"/>
        </w:rPr>
        <w:t>año 201</w:t>
      </w:r>
      <w:r w:rsidR="00164F63" w:rsidRPr="006569D0">
        <w:rPr>
          <w:rFonts w:ascii="Times New Roman" w:hAnsi="Times New Roman"/>
          <w:color w:val="000000" w:themeColor="text1"/>
          <w:lang w:val="es-ES"/>
        </w:rPr>
        <w:t>9, con lo que se alcanza un total de 60,310 tareas niveladas durante el periodo.</w:t>
      </w:r>
    </w:p>
    <w:p w14:paraId="3BE477A2" w14:textId="77777777" w:rsidR="002D376F" w:rsidRPr="006569D0" w:rsidRDefault="002D376F" w:rsidP="003D2758">
      <w:pPr>
        <w:spacing w:after="0" w:line="480" w:lineRule="auto"/>
        <w:ind w:firstLine="851"/>
        <w:jc w:val="both"/>
        <w:rPr>
          <w:rFonts w:ascii="Times New Roman" w:hAnsi="Times New Roman"/>
          <w:color w:val="000000" w:themeColor="text1"/>
          <w:lang w:val="es-ES"/>
        </w:rPr>
      </w:pPr>
    </w:p>
    <w:p w14:paraId="46CE5818" w14:textId="560792F1" w:rsidR="00685DA1" w:rsidRPr="006569D0" w:rsidRDefault="00892E09" w:rsidP="003D2758">
      <w:pPr>
        <w:spacing w:after="0" w:line="480" w:lineRule="auto"/>
        <w:ind w:firstLine="851"/>
        <w:jc w:val="both"/>
        <w:rPr>
          <w:rFonts w:ascii="Times New Roman" w:hAnsi="Times New Roman"/>
          <w:color w:val="000000" w:themeColor="text1"/>
          <w:lang w:val="es-ES"/>
        </w:rPr>
      </w:pPr>
      <w:r w:rsidRPr="006569D0">
        <w:rPr>
          <w:rFonts w:ascii="Times New Roman" w:hAnsi="Times New Roman"/>
          <w:color w:val="000000" w:themeColor="text1"/>
          <w:lang w:val="es-ES"/>
        </w:rPr>
        <w:t xml:space="preserve">Con esta actividad </w:t>
      </w:r>
      <w:r w:rsidR="00064F45" w:rsidRPr="006569D0">
        <w:rPr>
          <w:rFonts w:ascii="Times New Roman" w:hAnsi="Times New Roman"/>
          <w:color w:val="000000" w:themeColor="text1"/>
          <w:lang w:val="es-ES"/>
        </w:rPr>
        <w:t>ha</w:t>
      </w:r>
      <w:r w:rsidR="006B1E82" w:rsidRPr="006569D0">
        <w:rPr>
          <w:rFonts w:ascii="Times New Roman" w:hAnsi="Times New Roman"/>
          <w:color w:val="000000" w:themeColor="text1"/>
          <w:lang w:val="es-ES"/>
        </w:rPr>
        <w:t>n</w:t>
      </w:r>
      <w:r w:rsidRPr="006569D0">
        <w:rPr>
          <w:rFonts w:ascii="Times New Roman" w:hAnsi="Times New Roman"/>
          <w:color w:val="000000" w:themeColor="text1"/>
          <w:lang w:val="es-ES"/>
        </w:rPr>
        <w:t xml:space="preserve"> sido beneficiado</w:t>
      </w:r>
      <w:r w:rsidR="006B1E82" w:rsidRPr="006569D0">
        <w:rPr>
          <w:rFonts w:ascii="Times New Roman" w:hAnsi="Times New Roman"/>
          <w:color w:val="000000" w:themeColor="text1"/>
          <w:lang w:val="es-ES"/>
        </w:rPr>
        <w:t>s</w:t>
      </w:r>
      <w:r w:rsidRPr="006569D0">
        <w:rPr>
          <w:rFonts w:ascii="Times New Roman" w:hAnsi="Times New Roman"/>
          <w:color w:val="000000" w:themeColor="text1"/>
          <w:lang w:val="es-ES"/>
        </w:rPr>
        <w:t xml:space="preserve"> </w:t>
      </w:r>
      <w:r w:rsidR="001E6519" w:rsidRPr="006569D0">
        <w:rPr>
          <w:rFonts w:ascii="Times New Roman" w:hAnsi="Times New Roman"/>
          <w:color w:val="000000" w:themeColor="text1"/>
          <w:lang w:val="es-ES"/>
        </w:rPr>
        <w:t>más</w:t>
      </w:r>
      <w:r w:rsidR="00F248DD" w:rsidRPr="006569D0">
        <w:rPr>
          <w:rFonts w:ascii="Times New Roman" w:hAnsi="Times New Roman"/>
          <w:color w:val="000000" w:themeColor="text1"/>
          <w:lang w:val="es-ES"/>
        </w:rPr>
        <w:t xml:space="preserve"> de 1,400</w:t>
      </w:r>
      <w:r w:rsidRPr="006569D0">
        <w:rPr>
          <w:rFonts w:ascii="Times New Roman" w:hAnsi="Times New Roman"/>
          <w:color w:val="000000" w:themeColor="text1"/>
          <w:lang w:val="es-ES"/>
        </w:rPr>
        <w:t xml:space="preserve"> productores agrícolas de los cultivos de habichuela, arroz, cebolla y maíz </w:t>
      </w:r>
      <w:r w:rsidR="0006556E" w:rsidRPr="006569D0">
        <w:rPr>
          <w:rFonts w:ascii="Times New Roman" w:hAnsi="Times New Roman"/>
          <w:color w:val="000000" w:themeColor="text1"/>
          <w:lang w:val="es-ES"/>
        </w:rPr>
        <w:t>híbrido</w:t>
      </w:r>
      <w:r w:rsidRPr="006569D0">
        <w:rPr>
          <w:rFonts w:ascii="Times New Roman" w:hAnsi="Times New Roman"/>
          <w:color w:val="000000" w:themeColor="text1"/>
          <w:lang w:val="es-ES"/>
        </w:rPr>
        <w:t>.</w:t>
      </w:r>
    </w:p>
    <w:p w14:paraId="75166D2D" w14:textId="77777777" w:rsidR="00855ED8" w:rsidRPr="006569D0" w:rsidRDefault="00855ED8" w:rsidP="00926420">
      <w:pPr>
        <w:spacing w:after="0" w:line="360" w:lineRule="auto"/>
        <w:rPr>
          <w:rFonts w:ascii="Times New Roman" w:hAnsi="Times New Roman"/>
          <w:lang w:val="es-ES"/>
        </w:rPr>
      </w:pPr>
    </w:p>
    <w:p w14:paraId="78675D17" w14:textId="77777777" w:rsidR="00DF01EE" w:rsidRPr="006569D0" w:rsidRDefault="00F526D0" w:rsidP="001C6B1A">
      <w:pPr>
        <w:pStyle w:val="Prrafodelista"/>
        <w:numPr>
          <w:ilvl w:val="0"/>
          <w:numId w:val="8"/>
        </w:numPr>
        <w:spacing w:after="0"/>
        <w:rPr>
          <w:rFonts w:ascii="Times New Roman" w:hAnsi="Times New Roman"/>
          <w:lang w:val="es-ES"/>
        </w:rPr>
      </w:pPr>
      <w:r w:rsidRPr="006569D0">
        <w:rPr>
          <w:rFonts w:ascii="Times New Roman" w:hAnsi="Times New Roman"/>
          <w:b/>
          <w:sz w:val="24"/>
          <w:lang w:val="es-ES"/>
        </w:rPr>
        <w:t>Nivelación de suelos a p</w:t>
      </w:r>
      <w:r w:rsidR="00DF01EE" w:rsidRPr="006569D0">
        <w:rPr>
          <w:rFonts w:ascii="Times New Roman" w:hAnsi="Times New Roman"/>
          <w:b/>
          <w:sz w:val="24"/>
          <w:lang w:val="es-ES"/>
        </w:rPr>
        <w:t>recisión</w:t>
      </w:r>
    </w:p>
    <w:p w14:paraId="306B4467" w14:textId="2B0E48F1" w:rsidR="001769D7" w:rsidRPr="006569D0" w:rsidRDefault="00164F63" w:rsidP="00926420">
      <w:pPr>
        <w:pStyle w:val="Prrafodelista"/>
        <w:spacing w:after="0" w:line="360" w:lineRule="auto"/>
        <w:ind w:left="0"/>
        <w:rPr>
          <w:rFonts w:ascii="Times New Roman" w:hAnsi="Times New Roman"/>
          <w:b/>
          <w:sz w:val="24"/>
          <w:szCs w:val="24"/>
          <w:lang w:val="es-ES"/>
        </w:rPr>
      </w:pPr>
      <w:r w:rsidRPr="006569D0">
        <w:rPr>
          <w:noProof/>
          <w:lang w:eastAsia="es-DO"/>
        </w:rPr>
        <w:drawing>
          <wp:inline distT="0" distB="0" distL="0" distR="0" wp14:anchorId="5E111C64" wp14:editId="6B88ECA3">
            <wp:extent cx="5143500" cy="2593340"/>
            <wp:effectExtent l="0" t="0" r="0" b="0"/>
            <wp:docPr id="134" name="Gráfico 1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E2BDF70" w14:textId="77777777" w:rsidR="001769D7" w:rsidRPr="006569D0" w:rsidRDefault="001769D7" w:rsidP="00926420">
      <w:pPr>
        <w:pStyle w:val="Prrafodelista"/>
        <w:spacing w:after="0" w:line="360" w:lineRule="auto"/>
        <w:ind w:left="0" w:firstLine="720"/>
        <w:jc w:val="center"/>
        <w:rPr>
          <w:rFonts w:ascii="Times New Roman" w:hAnsi="Times New Roman"/>
          <w:b/>
          <w:sz w:val="24"/>
          <w:szCs w:val="24"/>
          <w:lang w:val="es-ES"/>
        </w:rPr>
      </w:pPr>
    </w:p>
    <w:p w14:paraId="14279220" w14:textId="77777777" w:rsidR="001769D7" w:rsidRPr="006569D0" w:rsidRDefault="001769D7" w:rsidP="0020047B">
      <w:pPr>
        <w:pStyle w:val="Prrafodelista"/>
        <w:numPr>
          <w:ilvl w:val="0"/>
          <w:numId w:val="4"/>
        </w:numPr>
        <w:spacing w:after="0" w:line="480" w:lineRule="auto"/>
        <w:ind w:left="0" w:firstLine="851"/>
        <w:outlineLvl w:val="3"/>
        <w:rPr>
          <w:rFonts w:ascii="Times New Roman" w:hAnsi="Times New Roman"/>
          <w:b/>
          <w:sz w:val="28"/>
          <w:szCs w:val="24"/>
          <w:lang w:val="es-ES"/>
        </w:rPr>
      </w:pPr>
      <w:bookmarkStart w:id="72" w:name="_Toc470523322"/>
      <w:bookmarkStart w:id="73" w:name="_Toc26292021"/>
      <w:bookmarkStart w:id="74" w:name="_Toc27146725"/>
      <w:r w:rsidRPr="006569D0">
        <w:rPr>
          <w:rFonts w:ascii="Times New Roman" w:hAnsi="Times New Roman"/>
          <w:b/>
          <w:sz w:val="28"/>
          <w:szCs w:val="24"/>
          <w:lang w:val="es-ES"/>
        </w:rPr>
        <w:t xml:space="preserve">Distribución de </w:t>
      </w:r>
      <w:r w:rsidR="005950F8" w:rsidRPr="006569D0">
        <w:rPr>
          <w:rFonts w:ascii="Times New Roman" w:hAnsi="Times New Roman"/>
          <w:b/>
          <w:sz w:val="28"/>
          <w:szCs w:val="24"/>
          <w:lang w:val="es-ES"/>
        </w:rPr>
        <w:t>m</w:t>
      </w:r>
      <w:r w:rsidRPr="006569D0">
        <w:rPr>
          <w:rFonts w:ascii="Times New Roman" w:hAnsi="Times New Roman"/>
          <w:b/>
          <w:sz w:val="28"/>
          <w:szCs w:val="24"/>
          <w:lang w:val="es-ES"/>
        </w:rPr>
        <w:t xml:space="preserve">aterial de </w:t>
      </w:r>
      <w:r w:rsidR="005950F8" w:rsidRPr="006569D0">
        <w:rPr>
          <w:rFonts w:ascii="Times New Roman" w:hAnsi="Times New Roman"/>
          <w:b/>
          <w:sz w:val="28"/>
          <w:szCs w:val="24"/>
          <w:lang w:val="es-ES"/>
        </w:rPr>
        <w:t>s</w:t>
      </w:r>
      <w:r w:rsidRPr="006569D0">
        <w:rPr>
          <w:rFonts w:ascii="Times New Roman" w:hAnsi="Times New Roman"/>
          <w:b/>
          <w:sz w:val="28"/>
          <w:szCs w:val="24"/>
          <w:lang w:val="es-ES"/>
        </w:rPr>
        <w:t>iembra</w:t>
      </w:r>
      <w:bookmarkEnd w:id="72"/>
      <w:bookmarkEnd w:id="73"/>
      <w:bookmarkEnd w:id="74"/>
      <w:r w:rsidRPr="006569D0">
        <w:rPr>
          <w:rFonts w:ascii="Times New Roman" w:hAnsi="Times New Roman"/>
          <w:b/>
          <w:sz w:val="28"/>
          <w:szCs w:val="24"/>
          <w:lang w:val="es-ES"/>
        </w:rPr>
        <w:t xml:space="preserve"> </w:t>
      </w:r>
    </w:p>
    <w:p w14:paraId="4D1D7F36" w14:textId="77777777" w:rsidR="002D376F" w:rsidRPr="006569D0" w:rsidRDefault="001769D7" w:rsidP="002A1289">
      <w:pPr>
        <w:spacing w:after="0" w:line="480" w:lineRule="auto"/>
        <w:ind w:firstLine="851"/>
        <w:jc w:val="both"/>
        <w:rPr>
          <w:rFonts w:ascii="Times New Roman" w:hAnsi="Times New Roman"/>
          <w:color w:val="000000" w:themeColor="text1"/>
          <w:lang w:val="es-ES"/>
        </w:rPr>
      </w:pPr>
      <w:r w:rsidRPr="006569D0">
        <w:rPr>
          <w:rFonts w:ascii="Times New Roman" w:hAnsi="Times New Roman"/>
          <w:color w:val="000000" w:themeColor="text1"/>
          <w:lang w:val="es-ES"/>
        </w:rPr>
        <w:t xml:space="preserve">La distribución de material de siembra (semillas, plántulas y material vegetativo) es una actividad de alta relevancia para </w:t>
      </w:r>
      <w:r w:rsidR="000A19FA" w:rsidRPr="006569D0">
        <w:rPr>
          <w:rFonts w:ascii="Times New Roman" w:hAnsi="Times New Roman"/>
          <w:color w:val="000000" w:themeColor="text1"/>
          <w:lang w:val="es-ES"/>
        </w:rPr>
        <w:t>la siembra nacional</w:t>
      </w:r>
      <w:r w:rsidRPr="006569D0">
        <w:rPr>
          <w:rFonts w:ascii="Times New Roman" w:hAnsi="Times New Roman"/>
          <w:color w:val="000000" w:themeColor="text1"/>
          <w:lang w:val="es-ES"/>
        </w:rPr>
        <w:t xml:space="preserve">, dado el aporte que representa para promover la producción agrícola y la seguridad alimentaria del país. </w:t>
      </w:r>
    </w:p>
    <w:p w14:paraId="1CBFDDA1" w14:textId="2C5D2957" w:rsidR="00C577C5" w:rsidRPr="006569D0" w:rsidRDefault="00685DA1" w:rsidP="002E103D">
      <w:pPr>
        <w:spacing w:after="0" w:line="480" w:lineRule="auto"/>
        <w:ind w:firstLine="851"/>
        <w:jc w:val="both"/>
        <w:rPr>
          <w:rFonts w:ascii="Times New Roman" w:hAnsi="Times New Roman"/>
          <w:color w:val="000000" w:themeColor="text1"/>
          <w:lang w:val="es-ES"/>
        </w:rPr>
      </w:pPr>
      <w:r w:rsidRPr="006569D0">
        <w:rPr>
          <w:rFonts w:ascii="Times New Roman" w:hAnsi="Times New Roman"/>
          <w:color w:val="000000" w:themeColor="text1"/>
          <w:lang w:val="es-ES"/>
        </w:rPr>
        <w:lastRenderedPageBreak/>
        <w:t xml:space="preserve">Durante el </w:t>
      </w:r>
      <w:r w:rsidR="001769D7" w:rsidRPr="006569D0">
        <w:rPr>
          <w:rFonts w:ascii="Times New Roman" w:hAnsi="Times New Roman"/>
          <w:color w:val="000000" w:themeColor="text1"/>
          <w:lang w:val="es-ES"/>
        </w:rPr>
        <w:t>201</w:t>
      </w:r>
      <w:r w:rsidR="002E103D" w:rsidRPr="006569D0">
        <w:rPr>
          <w:rFonts w:ascii="Times New Roman" w:hAnsi="Times New Roman"/>
          <w:color w:val="000000" w:themeColor="text1"/>
          <w:lang w:val="es-ES"/>
        </w:rPr>
        <w:t>9</w:t>
      </w:r>
      <w:r w:rsidR="00CA26F8" w:rsidRPr="006569D0">
        <w:rPr>
          <w:rFonts w:ascii="Times New Roman" w:hAnsi="Times New Roman"/>
          <w:color w:val="000000" w:themeColor="text1"/>
          <w:lang w:val="es-ES"/>
        </w:rPr>
        <w:t xml:space="preserve"> </w:t>
      </w:r>
      <w:r w:rsidR="000A19FA" w:rsidRPr="006569D0">
        <w:rPr>
          <w:rFonts w:ascii="Times New Roman" w:hAnsi="Times New Roman"/>
          <w:color w:val="000000" w:themeColor="text1"/>
          <w:lang w:val="es-ES"/>
        </w:rPr>
        <w:t xml:space="preserve">se evidenció un </w:t>
      </w:r>
      <w:r w:rsidR="00391311" w:rsidRPr="006569D0">
        <w:rPr>
          <w:rFonts w:ascii="Times New Roman" w:hAnsi="Times New Roman"/>
          <w:color w:val="000000" w:themeColor="text1"/>
          <w:lang w:val="es-ES"/>
        </w:rPr>
        <w:t xml:space="preserve">aumento </w:t>
      </w:r>
      <w:r w:rsidR="002971EF" w:rsidRPr="006569D0">
        <w:rPr>
          <w:rFonts w:ascii="Times New Roman" w:hAnsi="Times New Roman"/>
          <w:color w:val="000000" w:themeColor="text1"/>
          <w:lang w:val="es-ES"/>
        </w:rPr>
        <w:t>en la superficie cubierta</w:t>
      </w:r>
      <w:r w:rsidR="000A19FA" w:rsidRPr="006569D0">
        <w:rPr>
          <w:rFonts w:ascii="Times New Roman" w:hAnsi="Times New Roman"/>
          <w:color w:val="000000" w:themeColor="text1"/>
          <w:lang w:val="es-ES"/>
        </w:rPr>
        <w:t xml:space="preserve"> </w:t>
      </w:r>
      <w:r w:rsidR="002971EF" w:rsidRPr="006569D0">
        <w:rPr>
          <w:rFonts w:ascii="Times New Roman" w:hAnsi="Times New Roman"/>
          <w:color w:val="000000" w:themeColor="text1"/>
          <w:lang w:val="es-ES"/>
        </w:rPr>
        <w:t xml:space="preserve">del material </w:t>
      </w:r>
      <w:r w:rsidR="000A19FA" w:rsidRPr="006569D0">
        <w:rPr>
          <w:rFonts w:ascii="Times New Roman" w:hAnsi="Times New Roman"/>
          <w:color w:val="000000" w:themeColor="text1"/>
          <w:lang w:val="es-ES"/>
        </w:rPr>
        <w:t xml:space="preserve">distribuido en </w:t>
      </w:r>
      <w:r w:rsidR="002E103D" w:rsidRPr="006569D0">
        <w:rPr>
          <w:rFonts w:ascii="Times New Roman" w:hAnsi="Times New Roman"/>
          <w:color w:val="000000" w:themeColor="text1"/>
          <w:lang w:val="es-ES"/>
        </w:rPr>
        <w:t>1,3</w:t>
      </w:r>
      <w:r w:rsidR="00172A98">
        <w:rPr>
          <w:rFonts w:ascii="Times New Roman" w:hAnsi="Times New Roman"/>
          <w:color w:val="000000" w:themeColor="text1"/>
          <w:lang w:val="es-ES"/>
        </w:rPr>
        <w:t>55</w:t>
      </w:r>
      <w:r w:rsidR="002E103D" w:rsidRPr="006569D0">
        <w:rPr>
          <w:rFonts w:ascii="Times New Roman" w:hAnsi="Times New Roman"/>
          <w:color w:val="000000" w:themeColor="text1"/>
          <w:lang w:val="es-ES"/>
        </w:rPr>
        <w:t>,</w:t>
      </w:r>
      <w:r w:rsidR="00172A98">
        <w:rPr>
          <w:rFonts w:ascii="Times New Roman" w:hAnsi="Times New Roman"/>
          <w:color w:val="000000" w:themeColor="text1"/>
          <w:lang w:val="es-ES"/>
        </w:rPr>
        <w:t>935</w:t>
      </w:r>
      <w:r w:rsidR="002E103D" w:rsidRPr="006569D0">
        <w:rPr>
          <w:rFonts w:ascii="Times New Roman" w:hAnsi="Times New Roman"/>
          <w:color w:val="000000" w:themeColor="text1"/>
          <w:lang w:val="es-ES"/>
        </w:rPr>
        <w:t xml:space="preserve"> </w:t>
      </w:r>
      <w:r w:rsidR="000A19FA" w:rsidRPr="006569D0">
        <w:rPr>
          <w:rFonts w:ascii="Times New Roman" w:hAnsi="Times New Roman"/>
          <w:color w:val="000000" w:themeColor="text1"/>
          <w:lang w:val="es-ES"/>
        </w:rPr>
        <w:t>tareas</w:t>
      </w:r>
      <w:r w:rsidR="002209F2" w:rsidRPr="006569D0">
        <w:rPr>
          <w:rFonts w:ascii="Times New Roman" w:hAnsi="Times New Roman"/>
          <w:color w:val="000000" w:themeColor="text1"/>
          <w:lang w:val="es-ES"/>
        </w:rPr>
        <w:t>,</w:t>
      </w:r>
      <w:r w:rsidR="00391311" w:rsidRPr="006569D0">
        <w:rPr>
          <w:rFonts w:ascii="Times New Roman" w:hAnsi="Times New Roman"/>
          <w:color w:val="000000" w:themeColor="text1"/>
          <w:lang w:val="es-ES"/>
        </w:rPr>
        <w:t xml:space="preserve"> equivalente </w:t>
      </w:r>
      <w:r w:rsidR="00172A98">
        <w:rPr>
          <w:rFonts w:ascii="Times New Roman" w:hAnsi="Times New Roman"/>
          <w:color w:val="000000" w:themeColor="text1"/>
          <w:lang w:val="es-ES"/>
        </w:rPr>
        <w:t>a 148</w:t>
      </w:r>
      <w:r w:rsidR="002E103D" w:rsidRPr="006569D0">
        <w:rPr>
          <w:rFonts w:ascii="Times New Roman" w:hAnsi="Times New Roman"/>
          <w:color w:val="000000" w:themeColor="text1"/>
          <w:lang w:val="es-ES"/>
        </w:rPr>
        <w:t>%</w:t>
      </w:r>
      <w:r w:rsidR="00A440B2" w:rsidRPr="006569D0">
        <w:rPr>
          <w:rFonts w:ascii="Times New Roman" w:hAnsi="Times New Roman"/>
          <w:color w:val="000000" w:themeColor="text1"/>
          <w:lang w:val="es-ES"/>
        </w:rPr>
        <w:t xml:space="preserve"> </w:t>
      </w:r>
      <w:r w:rsidR="000A19FA" w:rsidRPr="006569D0">
        <w:rPr>
          <w:rFonts w:ascii="Times New Roman" w:hAnsi="Times New Roman"/>
          <w:color w:val="000000" w:themeColor="text1"/>
          <w:lang w:val="es-ES"/>
        </w:rPr>
        <w:t xml:space="preserve">al compararse con </w:t>
      </w:r>
      <w:r w:rsidR="00C5402C" w:rsidRPr="006569D0">
        <w:rPr>
          <w:rFonts w:ascii="Times New Roman" w:hAnsi="Times New Roman"/>
          <w:color w:val="000000" w:themeColor="text1"/>
          <w:lang w:val="es-ES"/>
        </w:rPr>
        <w:t>el período</w:t>
      </w:r>
      <w:r w:rsidR="000A19FA" w:rsidRPr="006569D0">
        <w:rPr>
          <w:rFonts w:ascii="Times New Roman" w:hAnsi="Times New Roman"/>
          <w:color w:val="000000" w:themeColor="text1"/>
          <w:lang w:val="es-ES"/>
        </w:rPr>
        <w:t xml:space="preserve"> anterior</w:t>
      </w:r>
      <w:r w:rsidR="00C5402C" w:rsidRPr="006569D0">
        <w:rPr>
          <w:rFonts w:ascii="Times New Roman" w:hAnsi="Times New Roman"/>
          <w:color w:val="000000" w:themeColor="text1"/>
          <w:lang w:val="es-ES"/>
        </w:rPr>
        <w:t>,</w:t>
      </w:r>
      <w:r w:rsidR="000A19FA" w:rsidRPr="006569D0">
        <w:rPr>
          <w:rFonts w:ascii="Times New Roman" w:hAnsi="Times New Roman"/>
          <w:color w:val="000000" w:themeColor="text1"/>
          <w:lang w:val="es-ES"/>
        </w:rPr>
        <w:t xml:space="preserve"> </w:t>
      </w:r>
      <w:r w:rsidR="002209F2" w:rsidRPr="006569D0">
        <w:rPr>
          <w:rFonts w:ascii="Times New Roman" w:hAnsi="Times New Roman"/>
          <w:color w:val="000000" w:themeColor="text1"/>
          <w:lang w:val="es-ES"/>
        </w:rPr>
        <w:t xml:space="preserve">al </w:t>
      </w:r>
      <w:r w:rsidR="002E103D" w:rsidRPr="006569D0">
        <w:rPr>
          <w:rFonts w:ascii="Times New Roman" w:hAnsi="Times New Roman"/>
          <w:color w:val="000000" w:themeColor="text1"/>
          <w:lang w:val="es-ES"/>
        </w:rPr>
        <w:t>pasar</w:t>
      </w:r>
      <w:r w:rsidR="00391311" w:rsidRPr="006569D0">
        <w:rPr>
          <w:rFonts w:ascii="Times New Roman" w:hAnsi="Times New Roman"/>
          <w:color w:val="000000" w:themeColor="text1"/>
          <w:lang w:val="es-ES"/>
        </w:rPr>
        <w:t xml:space="preserve"> </w:t>
      </w:r>
      <w:r w:rsidR="000A19FA" w:rsidRPr="006569D0">
        <w:rPr>
          <w:rFonts w:ascii="Times New Roman" w:hAnsi="Times New Roman"/>
          <w:color w:val="000000" w:themeColor="text1"/>
          <w:lang w:val="es-ES"/>
        </w:rPr>
        <w:t>de</w:t>
      </w:r>
      <w:r w:rsidR="002E103D" w:rsidRPr="006569D0">
        <w:rPr>
          <w:rFonts w:ascii="Times New Roman" w:hAnsi="Times New Roman"/>
          <w:color w:val="000000" w:themeColor="text1"/>
          <w:lang w:val="es-ES"/>
        </w:rPr>
        <w:t xml:space="preserve"> 916,000 tareas en 2018 a 2,2</w:t>
      </w:r>
      <w:r w:rsidR="00172A98">
        <w:rPr>
          <w:rFonts w:ascii="Times New Roman" w:hAnsi="Times New Roman"/>
          <w:color w:val="000000" w:themeColor="text1"/>
          <w:lang w:val="es-ES"/>
        </w:rPr>
        <w:t>71</w:t>
      </w:r>
      <w:r w:rsidR="002E103D" w:rsidRPr="006569D0">
        <w:rPr>
          <w:rFonts w:ascii="Times New Roman" w:hAnsi="Times New Roman"/>
          <w:color w:val="000000" w:themeColor="text1"/>
          <w:lang w:val="es-ES"/>
        </w:rPr>
        <w:t>,</w:t>
      </w:r>
      <w:r w:rsidR="00172A98">
        <w:rPr>
          <w:rFonts w:ascii="Times New Roman" w:hAnsi="Times New Roman"/>
          <w:color w:val="000000" w:themeColor="text1"/>
          <w:lang w:val="es-ES"/>
        </w:rPr>
        <w:t>935</w:t>
      </w:r>
      <w:r w:rsidR="002E103D" w:rsidRPr="006569D0">
        <w:rPr>
          <w:rFonts w:ascii="Times New Roman" w:hAnsi="Times New Roman"/>
          <w:color w:val="000000" w:themeColor="text1"/>
          <w:lang w:val="es-ES"/>
        </w:rPr>
        <w:t xml:space="preserve"> </w:t>
      </w:r>
      <w:r w:rsidR="00D33236" w:rsidRPr="006569D0">
        <w:rPr>
          <w:rFonts w:ascii="Times New Roman" w:hAnsi="Times New Roman"/>
          <w:color w:val="000000" w:themeColor="text1"/>
          <w:lang w:val="es-ES"/>
        </w:rPr>
        <w:t>tareas</w:t>
      </w:r>
      <w:r w:rsidR="000A19FA" w:rsidRPr="006569D0">
        <w:rPr>
          <w:rFonts w:ascii="Times New Roman" w:hAnsi="Times New Roman"/>
          <w:color w:val="000000" w:themeColor="text1"/>
          <w:lang w:val="es-ES"/>
        </w:rPr>
        <w:t xml:space="preserve"> en 201</w:t>
      </w:r>
      <w:r w:rsidR="00C577C5" w:rsidRPr="006569D0">
        <w:rPr>
          <w:rFonts w:ascii="Times New Roman" w:hAnsi="Times New Roman"/>
          <w:color w:val="000000" w:themeColor="text1"/>
          <w:lang w:val="es-ES"/>
        </w:rPr>
        <w:t>9.</w:t>
      </w:r>
    </w:p>
    <w:p w14:paraId="0D38C44F" w14:textId="77777777" w:rsidR="00C577C5" w:rsidRPr="006569D0" w:rsidRDefault="00C577C5" w:rsidP="002E103D">
      <w:pPr>
        <w:spacing w:after="0" w:line="480" w:lineRule="auto"/>
        <w:ind w:firstLine="851"/>
        <w:jc w:val="both"/>
        <w:rPr>
          <w:rFonts w:ascii="Times New Roman" w:hAnsi="Times New Roman"/>
          <w:color w:val="000000" w:themeColor="text1"/>
          <w:lang w:val="es-ES"/>
        </w:rPr>
      </w:pPr>
    </w:p>
    <w:p w14:paraId="6390CEA0" w14:textId="7B9CFEC4" w:rsidR="002E103D" w:rsidRPr="006569D0" w:rsidRDefault="00C577C5" w:rsidP="002E103D">
      <w:pPr>
        <w:spacing w:after="0" w:line="480" w:lineRule="auto"/>
        <w:ind w:firstLine="851"/>
        <w:jc w:val="both"/>
        <w:rPr>
          <w:rFonts w:ascii="Times New Roman" w:hAnsi="Times New Roman"/>
          <w:color w:val="000000" w:themeColor="text1"/>
          <w:lang w:val="es-ES"/>
        </w:rPr>
      </w:pPr>
      <w:r w:rsidRPr="006569D0">
        <w:rPr>
          <w:rFonts w:ascii="Times New Roman" w:hAnsi="Times New Roman"/>
          <w:color w:val="000000" w:themeColor="text1"/>
          <w:lang w:val="es-ES"/>
        </w:rPr>
        <w:t>E</w:t>
      </w:r>
      <w:r w:rsidR="002E103D" w:rsidRPr="006569D0">
        <w:rPr>
          <w:rFonts w:ascii="Times New Roman" w:hAnsi="Times New Roman"/>
          <w:color w:val="000000" w:themeColor="text1"/>
          <w:lang w:val="es-ES"/>
        </w:rPr>
        <w:t>ste aumento es explicado en el aporte de material de siembra que distribuye el Instituto Agrario Dominicano a parceleros de la reforma agraria en apoyo a la producción de rubros diversos, de 1,331,230 tareas beneficiadas, equivalente al 60% de la superficie beneficiada, contribuyendo a la siembra de rubros de la canasta básica para garantizar la disponibilidad de alimentos del pueblo dominicano.</w:t>
      </w:r>
    </w:p>
    <w:p w14:paraId="2054CAB9" w14:textId="77777777" w:rsidR="00B10A65" w:rsidRPr="006569D0" w:rsidRDefault="00B10A65" w:rsidP="002D376F">
      <w:pPr>
        <w:spacing w:after="0" w:line="480" w:lineRule="auto"/>
        <w:ind w:firstLine="851"/>
        <w:jc w:val="both"/>
        <w:rPr>
          <w:rFonts w:ascii="Times New Roman" w:hAnsi="Times New Roman"/>
          <w:color w:val="4F81BD" w:themeColor="accent1"/>
          <w:lang w:val="es-ES"/>
        </w:rPr>
      </w:pPr>
    </w:p>
    <w:p w14:paraId="6FF1DE6A" w14:textId="77777777" w:rsidR="00847886" w:rsidRPr="006569D0" w:rsidRDefault="000A19FA" w:rsidP="001C6B1A">
      <w:pPr>
        <w:pStyle w:val="Prrafodelista"/>
        <w:numPr>
          <w:ilvl w:val="0"/>
          <w:numId w:val="8"/>
        </w:numPr>
        <w:spacing w:after="0"/>
        <w:rPr>
          <w:rFonts w:ascii="Times New Roman" w:hAnsi="Times New Roman"/>
          <w:b/>
          <w:sz w:val="24"/>
          <w:lang w:val="es-ES"/>
        </w:rPr>
      </w:pPr>
      <w:r w:rsidRPr="006569D0">
        <w:rPr>
          <w:rFonts w:ascii="Times New Roman" w:hAnsi="Times New Roman"/>
          <w:b/>
          <w:sz w:val="24"/>
          <w:lang w:val="es-ES"/>
        </w:rPr>
        <w:t xml:space="preserve">Tareas </w:t>
      </w:r>
      <w:r w:rsidR="005B7AE2" w:rsidRPr="006569D0">
        <w:rPr>
          <w:rFonts w:ascii="Times New Roman" w:hAnsi="Times New Roman"/>
          <w:b/>
          <w:sz w:val="24"/>
          <w:lang w:val="es-ES"/>
        </w:rPr>
        <w:t>intervenidas</w:t>
      </w:r>
      <w:r w:rsidRPr="006569D0">
        <w:rPr>
          <w:rFonts w:ascii="Times New Roman" w:hAnsi="Times New Roman"/>
          <w:b/>
          <w:sz w:val="24"/>
          <w:lang w:val="es-ES"/>
        </w:rPr>
        <w:t xml:space="preserve"> por d</w:t>
      </w:r>
      <w:r w:rsidR="00847886" w:rsidRPr="006569D0">
        <w:rPr>
          <w:rFonts w:ascii="Times New Roman" w:hAnsi="Times New Roman"/>
          <w:b/>
          <w:sz w:val="24"/>
          <w:lang w:val="es-ES"/>
        </w:rPr>
        <w:t>istribución de material de siembra</w:t>
      </w:r>
    </w:p>
    <w:p w14:paraId="2CEE8617" w14:textId="27468F66" w:rsidR="001769D7" w:rsidRPr="006569D0" w:rsidRDefault="00134595" w:rsidP="00A3242B">
      <w:pPr>
        <w:spacing w:after="0"/>
        <w:rPr>
          <w:rFonts w:ascii="Times New Roman" w:hAnsi="Times New Roman"/>
          <w:b/>
          <w:lang w:val="es-ES"/>
        </w:rPr>
      </w:pPr>
      <w:r>
        <w:rPr>
          <w:noProof/>
          <w:lang w:eastAsia="es-DO"/>
        </w:rPr>
        <w:drawing>
          <wp:inline distT="0" distB="0" distL="0" distR="0" wp14:anchorId="58F8113F" wp14:editId="4C52F2E4">
            <wp:extent cx="5390515" cy="3413051"/>
            <wp:effectExtent l="0" t="0" r="635" b="0"/>
            <wp:docPr id="186" name="Gráfico 186">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0E68F87" w14:textId="1E6599D8" w:rsidR="001E6519" w:rsidRPr="006569D0" w:rsidRDefault="001E6519">
      <w:pPr>
        <w:spacing w:after="0"/>
        <w:rPr>
          <w:rFonts w:ascii="Times New Roman" w:hAnsi="Times New Roman"/>
          <w:b/>
          <w:lang w:val="es-ES"/>
        </w:rPr>
      </w:pPr>
      <w:r w:rsidRPr="006569D0">
        <w:rPr>
          <w:rFonts w:ascii="Times New Roman" w:hAnsi="Times New Roman"/>
          <w:b/>
          <w:lang w:val="es-ES"/>
        </w:rPr>
        <w:br w:type="page"/>
      </w:r>
    </w:p>
    <w:p w14:paraId="3ACBC2E5" w14:textId="77777777" w:rsidR="001E6519" w:rsidRPr="006569D0" w:rsidRDefault="001E6519" w:rsidP="00A3242B">
      <w:pPr>
        <w:spacing w:after="0"/>
        <w:ind w:firstLine="720"/>
        <w:rPr>
          <w:rFonts w:ascii="Times New Roman" w:hAnsi="Times New Roman"/>
          <w:b/>
          <w:lang w:val="es-ES"/>
        </w:rPr>
      </w:pPr>
    </w:p>
    <w:p w14:paraId="3235C79A" w14:textId="77777777" w:rsidR="001769D7" w:rsidRPr="006569D0" w:rsidRDefault="002A1289" w:rsidP="0020047B">
      <w:pPr>
        <w:pStyle w:val="Prrafodelista"/>
        <w:numPr>
          <w:ilvl w:val="0"/>
          <w:numId w:val="4"/>
        </w:numPr>
        <w:spacing w:after="0" w:line="480" w:lineRule="auto"/>
        <w:ind w:left="0" w:firstLine="567"/>
        <w:outlineLvl w:val="3"/>
        <w:rPr>
          <w:rFonts w:ascii="Times New Roman" w:hAnsi="Times New Roman"/>
          <w:b/>
          <w:sz w:val="28"/>
          <w:szCs w:val="24"/>
          <w:lang w:val="es-ES"/>
        </w:rPr>
      </w:pPr>
      <w:bookmarkStart w:id="75" w:name="_Toc470523323"/>
      <w:bookmarkStart w:id="76" w:name="_Toc26292022"/>
      <w:bookmarkStart w:id="77" w:name="_Toc27146726"/>
      <w:r w:rsidRPr="006569D0">
        <w:rPr>
          <w:rFonts w:ascii="Times New Roman" w:hAnsi="Times New Roman"/>
          <w:b/>
          <w:sz w:val="28"/>
          <w:szCs w:val="24"/>
          <w:lang w:val="es-ES"/>
        </w:rPr>
        <w:t>Distribución de i</w:t>
      </w:r>
      <w:r w:rsidR="001769D7" w:rsidRPr="006569D0">
        <w:rPr>
          <w:rFonts w:ascii="Times New Roman" w:hAnsi="Times New Roman"/>
          <w:b/>
          <w:sz w:val="28"/>
          <w:szCs w:val="24"/>
          <w:lang w:val="es-ES"/>
        </w:rPr>
        <w:t>nsumos</w:t>
      </w:r>
      <w:bookmarkEnd w:id="75"/>
      <w:bookmarkEnd w:id="76"/>
      <w:bookmarkEnd w:id="77"/>
    </w:p>
    <w:p w14:paraId="5437200F" w14:textId="1E008194" w:rsidR="002D376F" w:rsidRPr="006569D0" w:rsidRDefault="001769D7" w:rsidP="002A1289">
      <w:pPr>
        <w:spacing w:after="0" w:line="480" w:lineRule="auto"/>
        <w:ind w:firstLine="851"/>
        <w:jc w:val="both"/>
        <w:rPr>
          <w:rFonts w:ascii="Times New Roman" w:hAnsi="Times New Roman"/>
          <w:color w:val="000000" w:themeColor="text1"/>
          <w:lang w:val="es-ES"/>
        </w:rPr>
      </w:pPr>
      <w:r w:rsidRPr="006569D0">
        <w:rPr>
          <w:rFonts w:ascii="Times New Roman" w:hAnsi="Times New Roman"/>
          <w:color w:val="000000" w:themeColor="text1"/>
          <w:lang w:val="es-ES"/>
        </w:rPr>
        <w:t xml:space="preserve">En cuanto a la distribución </w:t>
      </w:r>
      <w:r w:rsidR="00685DA1" w:rsidRPr="006569D0">
        <w:rPr>
          <w:rFonts w:ascii="Times New Roman" w:hAnsi="Times New Roman"/>
          <w:color w:val="000000" w:themeColor="text1"/>
          <w:lang w:val="es-ES"/>
        </w:rPr>
        <w:t xml:space="preserve">de </w:t>
      </w:r>
      <w:r w:rsidR="00DE433A" w:rsidRPr="006569D0">
        <w:rPr>
          <w:rFonts w:ascii="Times New Roman" w:hAnsi="Times New Roman"/>
          <w:color w:val="000000" w:themeColor="text1"/>
          <w:lang w:val="es-ES"/>
        </w:rPr>
        <w:t>agroquímicos</w:t>
      </w:r>
      <w:r w:rsidR="00557A44" w:rsidRPr="006569D0">
        <w:rPr>
          <w:rFonts w:ascii="Times New Roman" w:hAnsi="Times New Roman"/>
          <w:color w:val="000000" w:themeColor="text1"/>
          <w:lang w:val="es-ES"/>
        </w:rPr>
        <w:t xml:space="preserve"> </w:t>
      </w:r>
      <w:r w:rsidR="00DE433A" w:rsidRPr="006569D0">
        <w:rPr>
          <w:rFonts w:ascii="Times New Roman" w:hAnsi="Times New Roman"/>
          <w:color w:val="000000" w:themeColor="text1"/>
          <w:lang w:val="es-ES"/>
        </w:rPr>
        <w:t xml:space="preserve">y </w:t>
      </w:r>
      <w:r w:rsidR="001E6519" w:rsidRPr="006569D0">
        <w:rPr>
          <w:rFonts w:ascii="Times New Roman" w:hAnsi="Times New Roman"/>
          <w:color w:val="000000" w:themeColor="text1"/>
          <w:lang w:val="es-ES"/>
        </w:rPr>
        <w:t>carnadas</w:t>
      </w:r>
      <w:r w:rsidR="00557A44" w:rsidRPr="006569D0">
        <w:rPr>
          <w:rFonts w:ascii="Times New Roman" w:hAnsi="Times New Roman"/>
          <w:color w:val="000000" w:themeColor="text1"/>
          <w:lang w:val="es-ES"/>
        </w:rPr>
        <w:t xml:space="preserve"> </w:t>
      </w:r>
      <w:r w:rsidR="000A19FA" w:rsidRPr="006569D0">
        <w:rPr>
          <w:rFonts w:ascii="Times New Roman" w:hAnsi="Times New Roman"/>
          <w:color w:val="000000" w:themeColor="text1"/>
          <w:lang w:val="es-ES"/>
        </w:rPr>
        <w:t>p</w:t>
      </w:r>
      <w:r w:rsidR="00C5402C" w:rsidRPr="006569D0">
        <w:rPr>
          <w:rFonts w:ascii="Times New Roman" w:hAnsi="Times New Roman"/>
          <w:color w:val="000000" w:themeColor="text1"/>
          <w:lang w:val="es-ES"/>
        </w:rPr>
        <w:t>ara los cultivos de arroz, café y</w:t>
      </w:r>
      <w:r w:rsidR="000A19FA" w:rsidRPr="006569D0">
        <w:rPr>
          <w:rFonts w:ascii="Times New Roman" w:hAnsi="Times New Roman"/>
          <w:color w:val="000000" w:themeColor="text1"/>
          <w:lang w:val="es-ES"/>
        </w:rPr>
        <w:t xml:space="preserve"> cacao </w:t>
      </w:r>
      <w:r w:rsidR="00557A44" w:rsidRPr="006569D0">
        <w:rPr>
          <w:rFonts w:ascii="Times New Roman" w:hAnsi="Times New Roman"/>
          <w:color w:val="000000" w:themeColor="text1"/>
          <w:lang w:val="es-ES"/>
        </w:rPr>
        <w:t>para el control de roedores</w:t>
      </w:r>
      <w:r w:rsidRPr="006569D0">
        <w:rPr>
          <w:rFonts w:ascii="Times New Roman" w:hAnsi="Times New Roman"/>
          <w:color w:val="000000" w:themeColor="text1"/>
          <w:lang w:val="es-ES"/>
        </w:rPr>
        <w:t xml:space="preserve">, </w:t>
      </w:r>
      <w:r w:rsidR="00F526D0" w:rsidRPr="006569D0">
        <w:rPr>
          <w:rFonts w:ascii="Times New Roman" w:hAnsi="Times New Roman"/>
          <w:color w:val="000000" w:themeColor="text1"/>
          <w:lang w:val="es-ES"/>
        </w:rPr>
        <w:t>se</w:t>
      </w:r>
      <w:r w:rsidR="000A19FA" w:rsidRPr="006569D0">
        <w:rPr>
          <w:rFonts w:ascii="Times New Roman" w:hAnsi="Times New Roman"/>
          <w:color w:val="000000" w:themeColor="text1"/>
          <w:lang w:val="es-ES"/>
        </w:rPr>
        <w:t xml:space="preserve"> logró beneficiar</w:t>
      </w:r>
      <w:r w:rsidR="00685DA1" w:rsidRPr="006569D0">
        <w:rPr>
          <w:rFonts w:ascii="Times New Roman" w:hAnsi="Times New Roman"/>
          <w:color w:val="000000" w:themeColor="text1"/>
          <w:lang w:val="es-ES"/>
        </w:rPr>
        <w:t xml:space="preserve"> un total de </w:t>
      </w:r>
      <w:r w:rsidR="00495E23" w:rsidRPr="006569D0">
        <w:rPr>
          <w:rFonts w:ascii="Times New Roman" w:hAnsi="Times New Roman"/>
          <w:color w:val="000000" w:themeColor="text1"/>
          <w:lang w:val="es-ES"/>
        </w:rPr>
        <w:t>1</w:t>
      </w:r>
      <w:r w:rsidR="00557A44" w:rsidRPr="006569D0">
        <w:rPr>
          <w:rFonts w:ascii="Times New Roman" w:hAnsi="Times New Roman"/>
          <w:color w:val="000000" w:themeColor="text1"/>
          <w:lang w:val="es-ES"/>
        </w:rPr>
        <w:t>,</w:t>
      </w:r>
      <w:r w:rsidR="00DE433A" w:rsidRPr="006569D0">
        <w:rPr>
          <w:rFonts w:ascii="Times New Roman" w:hAnsi="Times New Roman"/>
          <w:color w:val="000000" w:themeColor="text1"/>
          <w:lang w:val="es-ES"/>
        </w:rPr>
        <w:t>382,042</w:t>
      </w:r>
      <w:r w:rsidR="00495E23" w:rsidRPr="006569D0">
        <w:rPr>
          <w:rFonts w:ascii="Times New Roman" w:hAnsi="Times New Roman"/>
          <w:color w:val="000000" w:themeColor="text1"/>
          <w:lang w:val="es-ES"/>
        </w:rPr>
        <w:t xml:space="preserve"> </w:t>
      </w:r>
      <w:r w:rsidR="00685DA1" w:rsidRPr="006569D0">
        <w:rPr>
          <w:rFonts w:ascii="Times New Roman" w:hAnsi="Times New Roman"/>
          <w:color w:val="000000" w:themeColor="text1"/>
          <w:lang w:val="es-ES"/>
        </w:rPr>
        <w:t>tareas</w:t>
      </w:r>
      <w:r w:rsidR="00495E23" w:rsidRPr="006569D0">
        <w:rPr>
          <w:rFonts w:ascii="Times New Roman" w:hAnsi="Times New Roman"/>
          <w:color w:val="000000" w:themeColor="text1"/>
          <w:lang w:val="es-ES"/>
        </w:rPr>
        <w:t>.</w:t>
      </w:r>
    </w:p>
    <w:p w14:paraId="61D5B35E" w14:textId="32005816" w:rsidR="002D376F" w:rsidRPr="006569D0" w:rsidRDefault="002D376F">
      <w:pPr>
        <w:spacing w:after="0"/>
        <w:rPr>
          <w:rFonts w:ascii="Times New Roman" w:hAnsi="Times New Roman"/>
          <w:color w:val="000000" w:themeColor="text1"/>
          <w:lang w:val="es-ES"/>
        </w:rPr>
      </w:pPr>
    </w:p>
    <w:p w14:paraId="5E4F07C5" w14:textId="77777777" w:rsidR="001769D7" w:rsidRPr="006569D0" w:rsidRDefault="005B7AE2" w:rsidP="001C6B1A">
      <w:pPr>
        <w:pStyle w:val="Prrafodelista"/>
        <w:numPr>
          <w:ilvl w:val="0"/>
          <w:numId w:val="8"/>
        </w:numPr>
        <w:spacing w:after="0"/>
        <w:rPr>
          <w:rFonts w:ascii="Times New Roman" w:hAnsi="Times New Roman"/>
          <w:b/>
          <w:lang w:val="es-ES"/>
        </w:rPr>
      </w:pPr>
      <w:r w:rsidRPr="006569D0">
        <w:rPr>
          <w:rFonts w:ascii="Times New Roman" w:hAnsi="Times New Roman"/>
          <w:b/>
          <w:sz w:val="24"/>
          <w:lang w:val="es-ES"/>
        </w:rPr>
        <w:t>Tareas intervenidas por d</w:t>
      </w:r>
      <w:r w:rsidR="00C10A7A" w:rsidRPr="006569D0">
        <w:rPr>
          <w:rFonts w:ascii="Times New Roman" w:hAnsi="Times New Roman"/>
          <w:b/>
          <w:sz w:val="24"/>
          <w:lang w:val="es-ES"/>
        </w:rPr>
        <w:t>istribución de insumos</w:t>
      </w:r>
    </w:p>
    <w:p w14:paraId="18E9FC9E" w14:textId="26F4B9DC" w:rsidR="00673E00" w:rsidRPr="006569D0" w:rsidRDefault="00673E00" w:rsidP="00673E00">
      <w:pPr>
        <w:pStyle w:val="Prrafodelista"/>
        <w:spacing w:after="0"/>
        <w:ind w:left="0"/>
        <w:rPr>
          <w:rFonts w:ascii="Times New Roman" w:hAnsi="Times New Roman"/>
          <w:b/>
          <w:lang w:val="es-ES"/>
        </w:rPr>
      </w:pPr>
    </w:p>
    <w:p w14:paraId="638CEA06" w14:textId="48C1F203" w:rsidR="007A5DCD" w:rsidRPr="006569D0" w:rsidRDefault="00DE433A">
      <w:pPr>
        <w:spacing w:after="0"/>
        <w:rPr>
          <w:rFonts w:ascii="Times New Roman" w:eastAsia="Calibri" w:hAnsi="Times New Roman"/>
          <w:b/>
          <w:sz w:val="22"/>
          <w:szCs w:val="22"/>
          <w:lang w:val="es-ES" w:eastAsia="en-US"/>
        </w:rPr>
      </w:pPr>
      <w:r w:rsidRPr="006569D0">
        <w:rPr>
          <w:noProof/>
          <w:lang w:eastAsia="es-DO"/>
        </w:rPr>
        <w:drawing>
          <wp:inline distT="0" distB="0" distL="0" distR="0" wp14:anchorId="536E35F4" wp14:editId="2C7D6513">
            <wp:extent cx="5772150" cy="2749550"/>
            <wp:effectExtent l="0" t="0" r="0" b="0"/>
            <wp:docPr id="56" name="Gráfico 56">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5F9BCF4" w14:textId="77777777" w:rsidR="00DE433A" w:rsidRPr="006569D0" w:rsidRDefault="00DE433A">
      <w:pPr>
        <w:spacing w:after="0"/>
        <w:rPr>
          <w:rFonts w:ascii="Times New Roman" w:eastAsia="Calibri" w:hAnsi="Times New Roman"/>
          <w:b/>
          <w:sz w:val="22"/>
          <w:szCs w:val="22"/>
          <w:lang w:val="es-ES" w:eastAsia="en-US"/>
        </w:rPr>
      </w:pPr>
    </w:p>
    <w:p w14:paraId="2FFAE3F6" w14:textId="77777777" w:rsidR="001769D7" w:rsidRPr="006569D0" w:rsidRDefault="001769D7" w:rsidP="0020047B">
      <w:pPr>
        <w:pStyle w:val="Prrafodelista"/>
        <w:numPr>
          <w:ilvl w:val="0"/>
          <w:numId w:val="4"/>
        </w:numPr>
        <w:spacing w:after="0" w:line="480" w:lineRule="auto"/>
        <w:ind w:left="0" w:firstLine="567"/>
        <w:outlineLvl w:val="3"/>
        <w:rPr>
          <w:rFonts w:ascii="Times New Roman" w:hAnsi="Times New Roman"/>
          <w:b/>
          <w:sz w:val="28"/>
          <w:szCs w:val="24"/>
          <w:lang w:val="es-ES"/>
        </w:rPr>
      </w:pPr>
      <w:bookmarkStart w:id="78" w:name="_Toc470523325"/>
      <w:bookmarkStart w:id="79" w:name="_Toc26292023"/>
      <w:bookmarkStart w:id="80" w:name="_Toc27146727"/>
      <w:r w:rsidRPr="006569D0">
        <w:rPr>
          <w:rFonts w:ascii="Times New Roman" w:hAnsi="Times New Roman"/>
          <w:b/>
          <w:sz w:val="28"/>
          <w:szCs w:val="24"/>
          <w:lang w:val="es-ES"/>
        </w:rPr>
        <w:t xml:space="preserve">Infraestructuras </w:t>
      </w:r>
      <w:r w:rsidR="002A1289" w:rsidRPr="006569D0">
        <w:rPr>
          <w:rFonts w:ascii="Times New Roman" w:hAnsi="Times New Roman"/>
          <w:b/>
          <w:sz w:val="28"/>
          <w:szCs w:val="24"/>
          <w:lang w:val="es-ES"/>
        </w:rPr>
        <w:t>r</w:t>
      </w:r>
      <w:r w:rsidRPr="006569D0">
        <w:rPr>
          <w:rFonts w:ascii="Times New Roman" w:hAnsi="Times New Roman"/>
          <w:b/>
          <w:sz w:val="28"/>
          <w:szCs w:val="24"/>
          <w:lang w:val="es-ES"/>
        </w:rPr>
        <w:t>urales</w:t>
      </w:r>
      <w:bookmarkEnd w:id="78"/>
      <w:bookmarkEnd w:id="79"/>
      <w:bookmarkEnd w:id="80"/>
    </w:p>
    <w:p w14:paraId="259658AB" w14:textId="762CF9F2" w:rsidR="006E72AD" w:rsidRPr="006569D0" w:rsidRDefault="001769D7" w:rsidP="006E72AD">
      <w:pPr>
        <w:spacing w:after="0" w:line="480" w:lineRule="auto"/>
        <w:ind w:firstLine="851"/>
        <w:jc w:val="both"/>
        <w:rPr>
          <w:rFonts w:ascii="Times New Roman" w:hAnsi="Times New Roman"/>
          <w:color w:val="000000" w:themeColor="text1"/>
          <w:lang w:val="es-ES"/>
        </w:rPr>
      </w:pPr>
      <w:r w:rsidRPr="006569D0">
        <w:rPr>
          <w:rFonts w:ascii="Times New Roman" w:hAnsi="Times New Roman"/>
          <w:color w:val="000000" w:themeColor="text1"/>
          <w:lang w:val="es-ES"/>
        </w:rPr>
        <w:t>Durante el 201</w:t>
      </w:r>
      <w:r w:rsidR="006E72AD" w:rsidRPr="006569D0">
        <w:rPr>
          <w:rFonts w:ascii="Times New Roman" w:hAnsi="Times New Roman"/>
          <w:color w:val="000000" w:themeColor="text1"/>
          <w:lang w:val="es-ES"/>
        </w:rPr>
        <w:t>9</w:t>
      </w:r>
      <w:r w:rsidR="0012065D" w:rsidRPr="006569D0">
        <w:rPr>
          <w:rFonts w:ascii="Times New Roman" w:hAnsi="Times New Roman"/>
          <w:color w:val="000000" w:themeColor="text1"/>
          <w:lang w:val="es-ES"/>
        </w:rPr>
        <w:t>,</w:t>
      </w:r>
      <w:r w:rsidR="00495E23" w:rsidRPr="006569D0">
        <w:rPr>
          <w:rFonts w:ascii="Times New Roman" w:hAnsi="Times New Roman"/>
          <w:color w:val="000000" w:themeColor="text1"/>
          <w:lang w:val="es-ES"/>
        </w:rPr>
        <w:t xml:space="preserve"> </w:t>
      </w:r>
      <w:r w:rsidR="00E95023" w:rsidRPr="006569D0">
        <w:rPr>
          <w:rFonts w:ascii="Times New Roman" w:hAnsi="Times New Roman"/>
          <w:color w:val="000000" w:themeColor="text1"/>
          <w:lang w:val="es-ES"/>
        </w:rPr>
        <w:t>s</w:t>
      </w:r>
      <w:r w:rsidR="00887177" w:rsidRPr="006569D0">
        <w:rPr>
          <w:rFonts w:ascii="Times New Roman" w:hAnsi="Times New Roman"/>
          <w:color w:val="000000" w:themeColor="text1"/>
          <w:lang w:val="es-ES"/>
        </w:rPr>
        <w:t xml:space="preserve">e </w:t>
      </w:r>
      <w:r w:rsidR="0012065D" w:rsidRPr="006569D0">
        <w:rPr>
          <w:rFonts w:ascii="Times New Roman" w:hAnsi="Times New Roman"/>
          <w:color w:val="000000" w:themeColor="text1"/>
          <w:lang w:val="es-ES"/>
        </w:rPr>
        <w:t>construyeron</w:t>
      </w:r>
      <w:r w:rsidR="00887177" w:rsidRPr="006569D0">
        <w:rPr>
          <w:rFonts w:ascii="Times New Roman" w:hAnsi="Times New Roman"/>
          <w:color w:val="000000" w:themeColor="text1"/>
          <w:lang w:val="es-ES"/>
        </w:rPr>
        <w:t xml:space="preserve"> </w:t>
      </w:r>
      <w:r w:rsidR="005728C5" w:rsidRPr="006569D0">
        <w:rPr>
          <w:rFonts w:ascii="Times New Roman" w:hAnsi="Times New Roman"/>
          <w:color w:val="000000" w:themeColor="text1"/>
          <w:lang w:val="es-ES"/>
        </w:rPr>
        <w:t>1,980.30</w:t>
      </w:r>
      <w:r w:rsidR="00495E23" w:rsidRPr="006569D0">
        <w:rPr>
          <w:rFonts w:ascii="Times New Roman" w:hAnsi="Times New Roman"/>
          <w:color w:val="000000" w:themeColor="text1"/>
          <w:lang w:val="es-ES"/>
        </w:rPr>
        <w:t xml:space="preserve"> </w:t>
      </w:r>
      <w:r w:rsidR="0012065D" w:rsidRPr="006569D0">
        <w:rPr>
          <w:rFonts w:ascii="Times New Roman" w:hAnsi="Times New Roman"/>
          <w:color w:val="000000" w:themeColor="text1"/>
          <w:lang w:val="es-ES"/>
        </w:rPr>
        <w:t>Kms.</w:t>
      </w:r>
      <w:r w:rsidR="00887177" w:rsidRPr="006569D0">
        <w:rPr>
          <w:rFonts w:ascii="Times New Roman" w:hAnsi="Times New Roman"/>
          <w:color w:val="000000" w:themeColor="text1"/>
          <w:lang w:val="es-ES"/>
        </w:rPr>
        <w:t xml:space="preserve"> de caminos </w:t>
      </w:r>
      <w:r w:rsidR="00064BB6" w:rsidRPr="006569D0">
        <w:rPr>
          <w:rFonts w:ascii="Times New Roman" w:hAnsi="Times New Roman"/>
          <w:color w:val="000000" w:themeColor="text1"/>
          <w:lang w:val="es-ES"/>
        </w:rPr>
        <w:t>interparcelarios</w:t>
      </w:r>
      <w:r w:rsidR="00AA32F4" w:rsidRPr="006569D0">
        <w:rPr>
          <w:rFonts w:ascii="Times New Roman" w:hAnsi="Times New Roman"/>
          <w:color w:val="000000" w:themeColor="text1"/>
          <w:lang w:val="es-ES"/>
        </w:rPr>
        <w:t>,</w:t>
      </w:r>
      <w:r w:rsidR="00887177" w:rsidRPr="006569D0">
        <w:rPr>
          <w:rFonts w:ascii="Times New Roman" w:hAnsi="Times New Roman"/>
          <w:color w:val="000000" w:themeColor="text1"/>
          <w:lang w:val="es-ES"/>
        </w:rPr>
        <w:t xml:space="preserve"> </w:t>
      </w:r>
      <w:r w:rsidR="005728C5" w:rsidRPr="006569D0">
        <w:rPr>
          <w:rFonts w:ascii="Times New Roman" w:hAnsi="Times New Roman"/>
          <w:color w:val="000000" w:themeColor="text1"/>
          <w:lang w:val="es-ES"/>
        </w:rPr>
        <w:t>de los cuales</w:t>
      </w:r>
      <w:r w:rsidR="006E72AD" w:rsidRPr="006569D0">
        <w:rPr>
          <w:rFonts w:ascii="Times New Roman" w:hAnsi="Times New Roman"/>
          <w:color w:val="000000" w:themeColor="text1"/>
          <w:lang w:val="es-ES"/>
        </w:rPr>
        <w:t xml:space="preserve"> el Ministerio de Agricultura ha rehabilitado y terminado 773.90 Kms. y reacondicionado 179.0 Kms. de caminos productivos rurales e interparcelarios, contribuyendo a viabilizar el acceso a las fincas y reducir los costos de transporte de cosechas, facilitando la comercialización de los rubros agropecuarios. </w:t>
      </w:r>
    </w:p>
    <w:p w14:paraId="6BA1A81D" w14:textId="77777777" w:rsidR="006E72AD" w:rsidRPr="006569D0" w:rsidRDefault="006E72AD" w:rsidP="002A1289">
      <w:pPr>
        <w:spacing w:after="0" w:line="480" w:lineRule="auto"/>
        <w:ind w:firstLine="851"/>
        <w:jc w:val="both"/>
        <w:rPr>
          <w:rFonts w:ascii="Times New Roman" w:hAnsi="Times New Roman"/>
          <w:color w:val="000000" w:themeColor="text1"/>
          <w:lang w:val="es-ES"/>
        </w:rPr>
      </w:pPr>
    </w:p>
    <w:p w14:paraId="23C4BA20" w14:textId="17A51735" w:rsidR="006E72AD" w:rsidRPr="006569D0" w:rsidRDefault="006E72AD" w:rsidP="006E72AD">
      <w:pPr>
        <w:spacing w:after="0" w:line="480" w:lineRule="auto"/>
        <w:ind w:firstLine="851"/>
        <w:jc w:val="both"/>
        <w:rPr>
          <w:rFonts w:ascii="Times New Roman" w:hAnsi="Times New Roman"/>
          <w:color w:val="000000" w:themeColor="text1"/>
          <w:lang w:val="es-ES"/>
        </w:rPr>
      </w:pPr>
      <w:r w:rsidRPr="006569D0">
        <w:rPr>
          <w:rFonts w:ascii="Times New Roman" w:hAnsi="Times New Roman"/>
          <w:color w:val="000000" w:themeColor="text1"/>
          <w:lang w:val="es-ES"/>
        </w:rPr>
        <w:lastRenderedPageBreak/>
        <w:t>En ese orden el Instituto Dominicano del Café, INDOCAFE y el Instituto Agrario Dominicano, IAD han ejecutado un</w:t>
      </w:r>
      <w:r w:rsidR="00AA32F4" w:rsidRPr="006569D0">
        <w:rPr>
          <w:rFonts w:ascii="Times New Roman" w:hAnsi="Times New Roman"/>
          <w:color w:val="000000" w:themeColor="text1"/>
          <w:lang w:val="es-ES"/>
        </w:rPr>
        <w:t>os</w:t>
      </w:r>
      <w:r w:rsidRPr="006569D0">
        <w:rPr>
          <w:rFonts w:ascii="Times New Roman" w:hAnsi="Times New Roman"/>
          <w:color w:val="000000" w:themeColor="text1"/>
          <w:lang w:val="es-ES"/>
        </w:rPr>
        <w:t xml:space="preserve"> Kms. </w:t>
      </w:r>
      <w:r w:rsidR="00CE1759">
        <w:rPr>
          <w:rFonts w:ascii="Times New Roman" w:hAnsi="Times New Roman"/>
          <w:color w:val="000000" w:themeColor="text1"/>
          <w:lang w:val="es-ES"/>
        </w:rPr>
        <w:t xml:space="preserve">664 </w:t>
      </w:r>
      <w:r w:rsidRPr="006569D0">
        <w:rPr>
          <w:rFonts w:ascii="Times New Roman" w:hAnsi="Times New Roman"/>
          <w:color w:val="000000" w:themeColor="text1"/>
          <w:lang w:val="es-ES"/>
        </w:rPr>
        <w:t xml:space="preserve">y </w:t>
      </w:r>
      <w:r w:rsidR="00CE1759">
        <w:rPr>
          <w:rFonts w:ascii="Times New Roman" w:hAnsi="Times New Roman"/>
          <w:color w:val="000000" w:themeColor="text1"/>
          <w:lang w:val="es-ES"/>
        </w:rPr>
        <w:t>363</w:t>
      </w:r>
      <w:r w:rsidRPr="006569D0">
        <w:rPr>
          <w:rFonts w:ascii="Times New Roman" w:hAnsi="Times New Roman"/>
          <w:color w:val="000000" w:themeColor="text1"/>
          <w:lang w:val="es-ES"/>
        </w:rPr>
        <w:t xml:space="preserve"> Kms. de caminos interparcelarios, respectivamente, en apoyo a la caficultura y a parceleros de la reforma agraria.</w:t>
      </w:r>
    </w:p>
    <w:p w14:paraId="53EF80AE" w14:textId="77777777" w:rsidR="006E72AD" w:rsidRPr="006569D0" w:rsidRDefault="006E72AD" w:rsidP="002A1289">
      <w:pPr>
        <w:spacing w:after="0" w:line="480" w:lineRule="auto"/>
        <w:ind w:firstLine="851"/>
        <w:jc w:val="both"/>
        <w:rPr>
          <w:rFonts w:ascii="Times New Roman" w:hAnsi="Times New Roman"/>
          <w:color w:val="000000" w:themeColor="text1"/>
          <w:lang w:val="es-ES"/>
        </w:rPr>
      </w:pPr>
    </w:p>
    <w:p w14:paraId="470830E7" w14:textId="3BE5D8F2" w:rsidR="002B3574" w:rsidRPr="006569D0" w:rsidRDefault="00064BB6" w:rsidP="002A1289">
      <w:pPr>
        <w:spacing w:after="0" w:line="480" w:lineRule="auto"/>
        <w:ind w:firstLine="851"/>
        <w:jc w:val="both"/>
        <w:rPr>
          <w:rFonts w:ascii="Times New Roman" w:hAnsi="Times New Roman"/>
          <w:strike/>
          <w:color w:val="000000" w:themeColor="text1"/>
          <w:lang w:val="es-ES"/>
        </w:rPr>
      </w:pPr>
      <w:r w:rsidRPr="006569D0">
        <w:rPr>
          <w:rFonts w:ascii="Times New Roman" w:hAnsi="Times New Roman"/>
          <w:color w:val="000000" w:themeColor="text1"/>
          <w:lang w:val="es-ES"/>
        </w:rPr>
        <w:t>Adicionalmente,</w:t>
      </w:r>
      <w:r w:rsidR="00887177" w:rsidRPr="006569D0">
        <w:rPr>
          <w:rFonts w:ascii="Times New Roman" w:hAnsi="Times New Roman"/>
          <w:color w:val="000000" w:themeColor="text1"/>
          <w:lang w:val="es-ES"/>
        </w:rPr>
        <w:t xml:space="preserve"> </w:t>
      </w:r>
      <w:r w:rsidR="006E72AD" w:rsidRPr="006569D0">
        <w:rPr>
          <w:rFonts w:ascii="Times New Roman" w:hAnsi="Times New Roman"/>
          <w:color w:val="000000" w:themeColor="text1"/>
          <w:lang w:val="es-ES"/>
        </w:rPr>
        <w:t>el Ministerio de Agricultura ejecut</w:t>
      </w:r>
      <w:r w:rsidR="00EA396D" w:rsidRPr="006569D0">
        <w:rPr>
          <w:rFonts w:ascii="Times New Roman" w:hAnsi="Times New Roman"/>
          <w:color w:val="000000" w:themeColor="text1"/>
          <w:lang w:val="es-ES"/>
        </w:rPr>
        <w:t>a</w:t>
      </w:r>
      <w:r w:rsidR="006E72AD" w:rsidRPr="006569D0">
        <w:rPr>
          <w:rFonts w:ascii="Times New Roman" w:hAnsi="Times New Roman"/>
          <w:color w:val="000000" w:themeColor="text1"/>
          <w:lang w:val="es-ES"/>
        </w:rPr>
        <w:t xml:space="preserve"> un total de 425.02 Kms. y </w:t>
      </w:r>
      <w:r w:rsidRPr="006569D0">
        <w:rPr>
          <w:rFonts w:ascii="Times New Roman" w:hAnsi="Times New Roman"/>
          <w:color w:val="000000" w:themeColor="text1"/>
          <w:lang w:val="es-ES"/>
        </w:rPr>
        <w:t xml:space="preserve">en </w:t>
      </w:r>
      <w:r w:rsidR="006E72AD" w:rsidRPr="006569D0">
        <w:rPr>
          <w:rFonts w:ascii="Times New Roman" w:hAnsi="Times New Roman"/>
          <w:color w:val="000000" w:themeColor="text1"/>
          <w:lang w:val="es-ES"/>
        </w:rPr>
        <w:t>proceso de licitación unos 506.17</w:t>
      </w:r>
      <w:r w:rsidR="00887177" w:rsidRPr="006569D0">
        <w:rPr>
          <w:rFonts w:ascii="Times New Roman" w:hAnsi="Times New Roman"/>
          <w:color w:val="000000" w:themeColor="text1"/>
          <w:lang w:val="es-ES"/>
        </w:rPr>
        <w:t xml:space="preserve"> </w:t>
      </w:r>
      <w:r w:rsidRPr="006569D0">
        <w:rPr>
          <w:rFonts w:ascii="Times New Roman" w:hAnsi="Times New Roman"/>
          <w:color w:val="000000" w:themeColor="text1"/>
          <w:lang w:val="es-ES"/>
        </w:rPr>
        <w:t>K</w:t>
      </w:r>
      <w:r w:rsidR="00887177" w:rsidRPr="006569D0">
        <w:rPr>
          <w:rFonts w:ascii="Times New Roman" w:hAnsi="Times New Roman"/>
          <w:color w:val="000000" w:themeColor="text1"/>
          <w:lang w:val="es-ES"/>
        </w:rPr>
        <w:t xml:space="preserve">ms. </w:t>
      </w:r>
      <w:r w:rsidR="006E72AD" w:rsidRPr="006569D0">
        <w:rPr>
          <w:rFonts w:ascii="Times New Roman" w:hAnsi="Times New Roman"/>
          <w:color w:val="000000" w:themeColor="text1"/>
          <w:lang w:val="es-ES"/>
        </w:rPr>
        <w:t>de caminos interparcelarios a nivel nacional</w:t>
      </w:r>
      <w:r w:rsidR="0012065D" w:rsidRPr="006569D0">
        <w:rPr>
          <w:rFonts w:ascii="Times New Roman" w:hAnsi="Times New Roman"/>
          <w:color w:val="000000" w:themeColor="text1"/>
          <w:lang w:val="es-ES"/>
        </w:rPr>
        <w:t>.</w:t>
      </w:r>
    </w:p>
    <w:p w14:paraId="2048F446" w14:textId="77777777" w:rsidR="001D10B0" w:rsidRPr="006569D0" w:rsidRDefault="001D10B0">
      <w:pPr>
        <w:spacing w:after="0"/>
        <w:rPr>
          <w:rFonts w:ascii="Times New Roman" w:hAnsi="Times New Roman"/>
          <w:lang w:val="es-ES"/>
        </w:rPr>
      </w:pPr>
    </w:p>
    <w:p w14:paraId="29CFD98D" w14:textId="77777777" w:rsidR="001769D7" w:rsidRPr="006569D0" w:rsidRDefault="002B3574" w:rsidP="001C6B1A">
      <w:pPr>
        <w:pStyle w:val="Prrafodelista"/>
        <w:numPr>
          <w:ilvl w:val="0"/>
          <w:numId w:val="8"/>
        </w:numPr>
        <w:spacing w:after="0"/>
        <w:rPr>
          <w:rFonts w:ascii="Times New Roman" w:hAnsi="Times New Roman"/>
          <w:b/>
          <w:sz w:val="24"/>
          <w:lang w:val="es-ES"/>
        </w:rPr>
      </w:pPr>
      <w:r w:rsidRPr="006569D0">
        <w:rPr>
          <w:rFonts w:ascii="Times New Roman" w:hAnsi="Times New Roman"/>
          <w:b/>
          <w:sz w:val="24"/>
          <w:lang w:val="es-ES"/>
        </w:rPr>
        <w:t>Caminos construidos y rehabilitados</w:t>
      </w:r>
    </w:p>
    <w:p w14:paraId="7624C19E" w14:textId="38219E06" w:rsidR="00E115F0" w:rsidRDefault="00E115F0" w:rsidP="00E1189D">
      <w:pPr>
        <w:spacing w:after="0" w:line="480" w:lineRule="auto"/>
        <w:jc w:val="both"/>
        <w:rPr>
          <w:rFonts w:ascii="Times New Roman" w:hAnsi="Times New Roman"/>
          <w:lang w:val="es-ES"/>
        </w:rPr>
      </w:pPr>
      <w:r w:rsidRPr="006569D0">
        <w:rPr>
          <w:rFonts w:ascii="Times New Roman" w:hAnsi="Times New Roman"/>
          <w:noProof/>
          <w:sz w:val="22"/>
          <w:szCs w:val="22"/>
          <w:lang w:eastAsia="es-DO"/>
        </w:rPr>
        <w:drawing>
          <wp:inline distT="0" distB="0" distL="0" distR="0" wp14:anchorId="7CB82BEF" wp14:editId="4339F9D8">
            <wp:extent cx="5730875" cy="3009014"/>
            <wp:effectExtent l="0" t="0" r="3175" b="1270"/>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EA49557" w14:textId="77777777" w:rsidR="00781B92" w:rsidRPr="006569D0" w:rsidRDefault="00781B92" w:rsidP="00E1189D">
      <w:pPr>
        <w:spacing w:after="0" w:line="480" w:lineRule="auto"/>
        <w:jc w:val="both"/>
        <w:rPr>
          <w:rFonts w:ascii="Times New Roman" w:hAnsi="Times New Roman"/>
          <w:lang w:val="es-ES"/>
        </w:rPr>
      </w:pPr>
    </w:p>
    <w:p w14:paraId="3057A441" w14:textId="77777777" w:rsidR="001769D7" w:rsidRPr="006569D0" w:rsidRDefault="001769D7" w:rsidP="0020047B">
      <w:pPr>
        <w:pStyle w:val="Prrafodelista"/>
        <w:numPr>
          <w:ilvl w:val="0"/>
          <w:numId w:val="4"/>
        </w:numPr>
        <w:spacing w:after="0" w:line="480" w:lineRule="auto"/>
        <w:ind w:left="0" w:firstLine="567"/>
        <w:outlineLvl w:val="3"/>
        <w:rPr>
          <w:rFonts w:ascii="Times New Roman" w:eastAsia="Times New Roman" w:hAnsi="Times New Roman"/>
          <w:b/>
          <w:sz w:val="28"/>
          <w:szCs w:val="24"/>
        </w:rPr>
      </w:pPr>
      <w:bookmarkStart w:id="81" w:name="_Toc470523326"/>
      <w:bookmarkStart w:id="82" w:name="_Toc26292024"/>
      <w:bookmarkStart w:id="83" w:name="_Toc27146728"/>
      <w:r w:rsidRPr="006569D0">
        <w:rPr>
          <w:rFonts w:ascii="Times New Roman" w:eastAsia="Times New Roman" w:hAnsi="Times New Roman"/>
          <w:b/>
          <w:sz w:val="28"/>
          <w:szCs w:val="24"/>
        </w:rPr>
        <w:t xml:space="preserve">Asentamientos </w:t>
      </w:r>
      <w:r w:rsidR="00F526D0" w:rsidRPr="006569D0">
        <w:rPr>
          <w:rFonts w:ascii="Times New Roman" w:eastAsia="Times New Roman" w:hAnsi="Times New Roman"/>
          <w:b/>
          <w:sz w:val="28"/>
          <w:szCs w:val="24"/>
        </w:rPr>
        <w:t>c</w:t>
      </w:r>
      <w:r w:rsidRPr="006569D0">
        <w:rPr>
          <w:rFonts w:ascii="Times New Roman" w:eastAsia="Times New Roman" w:hAnsi="Times New Roman"/>
          <w:b/>
          <w:sz w:val="28"/>
          <w:szCs w:val="24"/>
        </w:rPr>
        <w:t>ampesinos</w:t>
      </w:r>
      <w:bookmarkEnd w:id="81"/>
      <w:bookmarkEnd w:id="82"/>
      <w:bookmarkEnd w:id="83"/>
    </w:p>
    <w:p w14:paraId="2D4510B4" w14:textId="4488A6F7" w:rsidR="008B069A" w:rsidRPr="006569D0" w:rsidRDefault="00EE4A1C" w:rsidP="002A1289">
      <w:pPr>
        <w:shd w:val="clear" w:color="auto" w:fill="FFFFFF"/>
        <w:spacing w:after="0" w:line="480" w:lineRule="auto"/>
        <w:ind w:firstLine="851"/>
        <w:jc w:val="both"/>
        <w:rPr>
          <w:rFonts w:ascii="Times New Roman" w:hAnsi="Times New Roman"/>
        </w:rPr>
      </w:pPr>
      <w:r w:rsidRPr="006569D0">
        <w:rPr>
          <w:rFonts w:ascii="Times New Roman" w:hAnsi="Times New Roman"/>
        </w:rPr>
        <w:t>Fueron realizados</w:t>
      </w:r>
      <w:r w:rsidR="0020338F" w:rsidRPr="006569D0">
        <w:rPr>
          <w:rFonts w:ascii="Times New Roman" w:hAnsi="Times New Roman"/>
        </w:rPr>
        <w:t xml:space="preserve"> un total de seis (</w:t>
      </w:r>
      <w:r w:rsidRPr="006569D0">
        <w:rPr>
          <w:rFonts w:ascii="Times New Roman" w:hAnsi="Times New Roman"/>
        </w:rPr>
        <w:t>7</w:t>
      </w:r>
      <w:r w:rsidR="0020338F" w:rsidRPr="006569D0">
        <w:rPr>
          <w:rFonts w:ascii="Times New Roman" w:hAnsi="Times New Roman"/>
        </w:rPr>
        <w:t xml:space="preserve">) asentamientos campesinos, en los cuales se distribuirá una superficie de </w:t>
      </w:r>
      <w:r w:rsidRPr="006569D0">
        <w:rPr>
          <w:rFonts w:ascii="Times New Roman" w:hAnsi="Times New Roman"/>
        </w:rPr>
        <w:t>99,978</w:t>
      </w:r>
      <w:r w:rsidR="0020338F" w:rsidRPr="006569D0">
        <w:rPr>
          <w:rFonts w:ascii="Times New Roman" w:hAnsi="Times New Roman"/>
        </w:rPr>
        <w:t xml:space="preserve"> tareas </w:t>
      </w:r>
      <w:r w:rsidR="008B069A" w:rsidRPr="006569D0">
        <w:rPr>
          <w:rFonts w:ascii="Times New Roman" w:hAnsi="Times New Roman"/>
        </w:rPr>
        <w:t>en beneficio de</w:t>
      </w:r>
      <w:r w:rsidR="0020338F" w:rsidRPr="006569D0">
        <w:rPr>
          <w:rFonts w:ascii="Times New Roman" w:hAnsi="Times New Roman"/>
        </w:rPr>
        <w:t xml:space="preserve"> </w:t>
      </w:r>
      <w:r w:rsidRPr="006569D0">
        <w:rPr>
          <w:rFonts w:ascii="Times New Roman" w:hAnsi="Times New Roman"/>
        </w:rPr>
        <w:t>3,470</w:t>
      </w:r>
      <w:r w:rsidR="0020338F" w:rsidRPr="006569D0">
        <w:rPr>
          <w:rFonts w:ascii="Times New Roman" w:hAnsi="Times New Roman"/>
        </w:rPr>
        <w:t xml:space="preserve"> familias campesinas con una carga familiar de </w:t>
      </w:r>
      <w:r w:rsidRPr="006569D0">
        <w:rPr>
          <w:rFonts w:ascii="Times New Roman" w:hAnsi="Times New Roman"/>
        </w:rPr>
        <w:t>19,085</w:t>
      </w:r>
      <w:r w:rsidR="0020338F" w:rsidRPr="006569D0">
        <w:rPr>
          <w:rFonts w:ascii="Times New Roman" w:hAnsi="Times New Roman"/>
        </w:rPr>
        <w:t xml:space="preserve"> personas. Estos Asentamientos </w:t>
      </w:r>
      <w:r w:rsidR="0020338F" w:rsidRPr="006569D0">
        <w:rPr>
          <w:rFonts w:ascii="Times New Roman" w:hAnsi="Times New Roman"/>
        </w:rPr>
        <w:lastRenderedPageBreak/>
        <w:t xml:space="preserve">Campesinos pertenecen a las </w:t>
      </w:r>
      <w:r w:rsidRPr="006569D0">
        <w:rPr>
          <w:rFonts w:ascii="Times New Roman" w:hAnsi="Times New Roman"/>
        </w:rPr>
        <w:t>provincias</w:t>
      </w:r>
      <w:r w:rsidR="0020338F" w:rsidRPr="006569D0">
        <w:rPr>
          <w:rFonts w:ascii="Times New Roman" w:hAnsi="Times New Roman"/>
        </w:rPr>
        <w:t xml:space="preserve"> de </w:t>
      </w:r>
      <w:r w:rsidRPr="006569D0">
        <w:rPr>
          <w:rFonts w:ascii="Times New Roman" w:hAnsi="Times New Roman"/>
        </w:rPr>
        <w:t>Monte Cristi, Monte Plata, Independencia, Hato mayor y El Seibo.</w:t>
      </w:r>
    </w:p>
    <w:p w14:paraId="4D9EA0FB" w14:textId="77777777" w:rsidR="008B069A" w:rsidRPr="006569D0" w:rsidRDefault="008B069A">
      <w:pPr>
        <w:spacing w:after="0"/>
        <w:rPr>
          <w:rFonts w:ascii="Times New Roman" w:hAnsi="Times New Roman"/>
          <w:color w:val="0070C0"/>
        </w:rPr>
      </w:pPr>
    </w:p>
    <w:p w14:paraId="5992A3FC" w14:textId="032F4ACF" w:rsidR="001769D7" w:rsidRPr="006569D0" w:rsidRDefault="00425CE3" w:rsidP="001C6B1A">
      <w:pPr>
        <w:pStyle w:val="Prrafodelista"/>
        <w:numPr>
          <w:ilvl w:val="0"/>
          <w:numId w:val="8"/>
        </w:numPr>
        <w:spacing w:after="0"/>
        <w:rPr>
          <w:rFonts w:ascii="Times New Roman" w:hAnsi="Times New Roman"/>
          <w:b/>
          <w:sz w:val="24"/>
        </w:rPr>
      </w:pPr>
      <w:r w:rsidRPr="006569D0">
        <w:rPr>
          <w:rFonts w:ascii="Times New Roman" w:hAnsi="Times New Roman"/>
          <w:b/>
          <w:sz w:val="24"/>
        </w:rPr>
        <w:t>Superficie incorporada</w:t>
      </w:r>
      <w:r w:rsidR="00EE4A1C" w:rsidRPr="006569D0">
        <w:rPr>
          <w:rFonts w:ascii="Times New Roman" w:hAnsi="Times New Roman"/>
          <w:b/>
          <w:sz w:val="24"/>
        </w:rPr>
        <w:t>, mediante asentamientos campesinos</w:t>
      </w:r>
    </w:p>
    <w:p w14:paraId="69A9DC7A" w14:textId="04CBAD57" w:rsidR="001769D7" w:rsidRPr="006569D0" w:rsidRDefault="00EE4A1C" w:rsidP="00E1189D">
      <w:pPr>
        <w:spacing w:after="0" w:line="480" w:lineRule="auto"/>
        <w:jc w:val="center"/>
        <w:rPr>
          <w:rFonts w:ascii="Times New Roman" w:hAnsi="Times New Roman"/>
          <w:lang w:val="es-ES"/>
        </w:rPr>
      </w:pPr>
      <w:r w:rsidRPr="006569D0">
        <w:rPr>
          <w:noProof/>
          <w:lang w:eastAsia="es-DO"/>
        </w:rPr>
        <w:drawing>
          <wp:inline distT="0" distB="0" distL="0" distR="0" wp14:anchorId="14C598A2" wp14:editId="70709AAB">
            <wp:extent cx="5095875" cy="2629535"/>
            <wp:effectExtent l="0" t="0" r="0" b="0"/>
            <wp:docPr id="57" name="Gráfico 57">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2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47C1DAC" w14:textId="77777777" w:rsidR="005B7AE2" w:rsidRPr="006569D0" w:rsidRDefault="005B7AE2" w:rsidP="00E1189D">
      <w:pPr>
        <w:spacing w:after="0" w:line="480" w:lineRule="auto"/>
        <w:jc w:val="center"/>
        <w:rPr>
          <w:rFonts w:ascii="Times New Roman" w:hAnsi="Times New Roman"/>
          <w:lang w:val="es-ES"/>
        </w:rPr>
      </w:pPr>
    </w:p>
    <w:p w14:paraId="188B11CC" w14:textId="77777777" w:rsidR="00F11A44" w:rsidRPr="006569D0" w:rsidRDefault="00F11A44" w:rsidP="0020047B">
      <w:pPr>
        <w:pStyle w:val="Prrafodelista"/>
        <w:numPr>
          <w:ilvl w:val="0"/>
          <w:numId w:val="4"/>
        </w:numPr>
        <w:spacing w:after="0" w:line="480" w:lineRule="auto"/>
        <w:ind w:left="0" w:firstLine="567"/>
        <w:outlineLvl w:val="3"/>
        <w:rPr>
          <w:rFonts w:ascii="Times New Roman" w:eastAsia="Times New Roman" w:hAnsi="Times New Roman"/>
          <w:b/>
          <w:sz w:val="28"/>
          <w:szCs w:val="24"/>
        </w:rPr>
      </w:pPr>
      <w:bookmarkStart w:id="84" w:name="_Toc26292025"/>
      <w:bookmarkStart w:id="85" w:name="_Toc27146729"/>
      <w:r w:rsidRPr="006569D0">
        <w:rPr>
          <w:rFonts w:ascii="Times New Roman" w:eastAsia="Times New Roman" w:hAnsi="Times New Roman"/>
          <w:b/>
          <w:sz w:val="28"/>
          <w:szCs w:val="24"/>
        </w:rPr>
        <w:t>Titulación de terrenos</w:t>
      </w:r>
      <w:bookmarkEnd w:id="84"/>
      <w:bookmarkEnd w:id="85"/>
    </w:p>
    <w:p w14:paraId="2A368F6F" w14:textId="10384770" w:rsidR="00922CDE" w:rsidRPr="006569D0" w:rsidRDefault="003D7ADC" w:rsidP="002A1289">
      <w:pPr>
        <w:shd w:val="clear" w:color="auto" w:fill="FFFFFF"/>
        <w:spacing w:after="0" w:line="480" w:lineRule="auto"/>
        <w:ind w:firstLine="851"/>
        <w:jc w:val="both"/>
        <w:rPr>
          <w:rFonts w:ascii="Times New Roman" w:hAnsi="Times New Roman"/>
          <w:lang w:val="es-ES"/>
        </w:rPr>
      </w:pPr>
      <w:r w:rsidRPr="006569D0">
        <w:rPr>
          <w:rFonts w:ascii="Times New Roman" w:hAnsi="Times New Roman"/>
          <w:lang w:val="es-ES"/>
        </w:rPr>
        <w:t xml:space="preserve">Durante </w:t>
      </w:r>
      <w:r w:rsidR="0020338F" w:rsidRPr="006569D0">
        <w:rPr>
          <w:rFonts w:ascii="Times New Roman" w:hAnsi="Times New Roman"/>
          <w:lang w:val="es-ES"/>
        </w:rPr>
        <w:t>el 201</w:t>
      </w:r>
      <w:r w:rsidR="00431405" w:rsidRPr="006569D0">
        <w:rPr>
          <w:rFonts w:ascii="Times New Roman" w:hAnsi="Times New Roman"/>
          <w:lang w:val="es-ES"/>
        </w:rPr>
        <w:t>9</w:t>
      </w:r>
      <w:r w:rsidR="0020338F" w:rsidRPr="006569D0">
        <w:rPr>
          <w:rFonts w:ascii="Times New Roman" w:hAnsi="Times New Roman"/>
          <w:lang w:val="es-ES"/>
        </w:rPr>
        <w:t xml:space="preserve">, se logró realizar </w:t>
      </w:r>
      <w:r w:rsidR="00431405" w:rsidRPr="006569D0">
        <w:rPr>
          <w:rFonts w:ascii="Times New Roman" w:hAnsi="Times New Roman"/>
          <w:lang w:val="es-ES"/>
        </w:rPr>
        <w:t>19</w:t>
      </w:r>
      <w:r w:rsidR="0020338F" w:rsidRPr="006569D0">
        <w:rPr>
          <w:rFonts w:ascii="Times New Roman" w:hAnsi="Times New Roman"/>
          <w:lang w:val="es-ES"/>
        </w:rPr>
        <w:t>,</w:t>
      </w:r>
      <w:r w:rsidR="00431405" w:rsidRPr="006569D0">
        <w:rPr>
          <w:rFonts w:ascii="Times New Roman" w:hAnsi="Times New Roman"/>
          <w:lang w:val="es-ES"/>
        </w:rPr>
        <w:t>061</w:t>
      </w:r>
      <w:r w:rsidR="0020338F" w:rsidRPr="006569D0">
        <w:rPr>
          <w:rFonts w:ascii="Times New Roman" w:hAnsi="Times New Roman"/>
          <w:lang w:val="es-ES"/>
        </w:rPr>
        <w:t xml:space="preserve"> titulaciones, equivalente </w:t>
      </w:r>
      <w:r w:rsidR="00AA32F4" w:rsidRPr="006569D0">
        <w:rPr>
          <w:rFonts w:ascii="Times New Roman" w:hAnsi="Times New Roman"/>
          <w:lang w:val="es-ES"/>
        </w:rPr>
        <w:t xml:space="preserve">a </w:t>
      </w:r>
      <w:r w:rsidRPr="006569D0">
        <w:rPr>
          <w:rFonts w:ascii="Times New Roman" w:hAnsi="Times New Roman"/>
          <w:lang w:val="es-ES"/>
        </w:rPr>
        <w:t>47</w:t>
      </w:r>
      <w:r w:rsidR="002D376F" w:rsidRPr="006569D0">
        <w:rPr>
          <w:rFonts w:ascii="Times New Roman" w:hAnsi="Times New Roman"/>
          <w:lang w:val="es-ES"/>
        </w:rPr>
        <w:t>% respecto al año anterior</w:t>
      </w:r>
      <w:r w:rsidR="0020338F" w:rsidRPr="006569D0">
        <w:rPr>
          <w:rStyle w:val="Refdenotaalpie"/>
          <w:rFonts w:ascii="Times New Roman" w:hAnsi="Times New Roman"/>
          <w:lang w:val="es-ES"/>
        </w:rPr>
        <w:footnoteReference w:id="5"/>
      </w:r>
      <w:r w:rsidR="0020338F" w:rsidRPr="006569D0">
        <w:rPr>
          <w:rFonts w:ascii="Times New Roman" w:hAnsi="Times New Roman"/>
          <w:lang w:val="es-ES"/>
        </w:rPr>
        <w:t xml:space="preserve">, con una superficie de </w:t>
      </w:r>
      <w:r w:rsidR="00431405" w:rsidRPr="006569D0">
        <w:rPr>
          <w:rFonts w:ascii="Times New Roman" w:hAnsi="Times New Roman"/>
          <w:lang w:val="es-ES"/>
        </w:rPr>
        <w:t>99,943</w:t>
      </w:r>
      <w:r w:rsidR="0020338F" w:rsidRPr="006569D0">
        <w:rPr>
          <w:rFonts w:ascii="Times New Roman" w:hAnsi="Times New Roman"/>
          <w:lang w:val="es-ES"/>
        </w:rPr>
        <w:t xml:space="preserve"> tareas, traspasados de manera definitiva a parceleros de la reforma agraria, beneficiando directamente a igual número de </w:t>
      </w:r>
      <w:r w:rsidR="00431405" w:rsidRPr="006569D0">
        <w:rPr>
          <w:rFonts w:ascii="Times New Roman" w:hAnsi="Times New Roman"/>
          <w:lang w:val="es-ES"/>
        </w:rPr>
        <w:t>personas</w:t>
      </w:r>
      <w:r w:rsidR="00EA396D" w:rsidRPr="006569D0">
        <w:rPr>
          <w:rFonts w:ascii="Times New Roman" w:hAnsi="Times New Roman"/>
          <w:lang w:val="es-ES"/>
        </w:rPr>
        <w:t>. C</w:t>
      </w:r>
      <w:r w:rsidRPr="006569D0">
        <w:rPr>
          <w:rFonts w:ascii="Times New Roman" w:hAnsi="Times New Roman"/>
          <w:lang w:val="es-ES"/>
        </w:rPr>
        <w:t xml:space="preserve">abe destacar que durante la presente gestión gubernamental se han </w:t>
      </w:r>
      <w:r w:rsidR="00EA396D" w:rsidRPr="006569D0">
        <w:rPr>
          <w:rFonts w:ascii="Times New Roman" w:hAnsi="Times New Roman"/>
          <w:lang w:val="es-ES"/>
        </w:rPr>
        <w:t>certifica</w:t>
      </w:r>
      <w:r w:rsidRPr="006569D0">
        <w:rPr>
          <w:rFonts w:ascii="Times New Roman" w:hAnsi="Times New Roman"/>
          <w:lang w:val="es-ES"/>
        </w:rPr>
        <w:t>do un total de 53,137 títulos definitivos, equivalente a 78% respecto a los títulos acumulados entregados durante la historia del IAD igual</w:t>
      </w:r>
      <w:r w:rsidR="00D5555F">
        <w:rPr>
          <w:rFonts w:ascii="Times New Roman" w:hAnsi="Times New Roman"/>
          <w:lang w:val="es-ES"/>
        </w:rPr>
        <w:t xml:space="preserve"> </w:t>
      </w:r>
      <w:r w:rsidRPr="006569D0">
        <w:rPr>
          <w:rFonts w:ascii="Times New Roman" w:hAnsi="Times New Roman"/>
          <w:lang w:val="es-ES"/>
        </w:rPr>
        <w:t>a 68,383 certificaciones de parcelas definitivas.</w:t>
      </w:r>
    </w:p>
    <w:p w14:paraId="2BB17212" w14:textId="0739E24F" w:rsidR="00EA396D" w:rsidRPr="006569D0" w:rsidRDefault="00EA396D">
      <w:pPr>
        <w:spacing w:after="0"/>
        <w:rPr>
          <w:rFonts w:ascii="Times New Roman" w:hAnsi="Times New Roman"/>
          <w:lang w:val="es-ES"/>
        </w:rPr>
      </w:pPr>
      <w:r w:rsidRPr="006569D0">
        <w:rPr>
          <w:rFonts w:ascii="Times New Roman" w:hAnsi="Times New Roman"/>
          <w:lang w:val="es-ES"/>
        </w:rPr>
        <w:br w:type="page"/>
      </w:r>
    </w:p>
    <w:p w14:paraId="70FC828D" w14:textId="77777777" w:rsidR="002B3574" w:rsidRPr="006569D0" w:rsidRDefault="00F526D0" w:rsidP="001C6B1A">
      <w:pPr>
        <w:pStyle w:val="Prrafodelista"/>
        <w:numPr>
          <w:ilvl w:val="0"/>
          <w:numId w:val="8"/>
        </w:numPr>
        <w:spacing w:after="0"/>
        <w:rPr>
          <w:rFonts w:ascii="Times New Roman" w:hAnsi="Times New Roman"/>
          <w:b/>
          <w:sz w:val="24"/>
          <w:lang w:val="es-ES"/>
        </w:rPr>
      </w:pPr>
      <w:r w:rsidRPr="006569D0">
        <w:rPr>
          <w:rFonts w:ascii="Times New Roman" w:hAnsi="Times New Roman"/>
          <w:b/>
          <w:sz w:val="24"/>
          <w:lang w:val="es-ES"/>
        </w:rPr>
        <w:lastRenderedPageBreak/>
        <w:t>Cantidad de t</w:t>
      </w:r>
      <w:r w:rsidR="00F11A44" w:rsidRPr="006569D0">
        <w:rPr>
          <w:rFonts w:ascii="Times New Roman" w:hAnsi="Times New Roman"/>
          <w:b/>
          <w:sz w:val="24"/>
          <w:lang w:val="es-ES"/>
        </w:rPr>
        <w:t xml:space="preserve">ítulos </w:t>
      </w:r>
      <w:r w:rsidRPr="006569D0">
        <w:rPr>
          <w:rFonts w:ascii="Times New Roman" w:hAnsi="Times New Roman"/>
          <w:b/>
          <w:sz w:val="24"/>
          <w:lang w:val="es-ES"/>
        </w:rPr>
        <w:t>o</w:t>
      </w:r>
      <w:r w:rsidR="00F11A44" w:rsidRPr="006569D0">
        <w:rPr>
          <w:rFonts w:ascii="Times New Roman" w:hAnsi="Times New Roman"/>
          <w:b/>
          <w:sz w:val="24"/>
          <w:lang w:val="es-ES"/>
        </w:rPr>
        <w:t>torgados</w:t>
      </w:r>
    </w:p>
    <w:p w14:paraId="22294699" w14:textId="49C53342" w:rsidR="001769D7" w:rsidRPr="006569D0" w:rsidRDefault="00FA73B6" w:rsidP="00EA396D">
      <w:pPr>
        <w:spacing w:after="0" w:line="360" w:lineRule="auto"/>
        <w:rPr>
          <w:rFonts w:ascii="Times New Roman" w:hAnsi="Times New Roman"/>
          <w:b/>
          <w:lang w:val="es-ES"/>
        </w:rPr>
      </w:pPr>
      <w:r w:rsidRPr="006569D0">
        <w:rPr>
          <w:noProof/>
          <w:lang w:eastAsia="es-DO"/>
        </w:rPr>
        <w:drawing>
          <wp:inline distT="0" distB="0" distL="0" distR="0" wp14:anchorId="2D4C59CC" wp14:editId="3615DBDB">
            <wp:extent cx="5454650" cy="2963917"/>
            <wp:effectExtent l="0" t="0" r="0" b="8255"/>
            <wp:docPr id="188" name="Gráfico 188">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2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4861A4D" w14:textId="77777777" w:rsidR="00263FBD" w:rsidRPr="006569D0" w:rsidRDefault="00263FBD" w:rsidP="00EE4A1C">
      <w:pPr>
        <w:spacing w:after="0" w:line="360" w:lineRule="auto"/>
        <w:rPr>
          <w:rFonts w:ascii="Times New Roman" w:hAnsi="Times New Roman"/>
          <w:b/>
          <w:lang w:val="es-ES"/>
        </w:rPr>
      </w:pPr>
    </w:p>
    <w:p w14:paraId="497A32FD" w14:textId="1F290EAA" w:rsidR="00EE4A1C" w:rsidRPr="00781B92" w:rsidRDefault="00EE4A1C" w:rsidP="00781B92">
      <w:pPr>
        <w:spacing w:after="0" w:line="480" w:lineRule="auto"/>
        <w:ind w:firstLine="851"/>
        <w:jc w:val="both"/>
        <w:rPr>
          <w:rFonts w:ascii="Times New Roman" w:hAnsi="Times New Roman"/>
          <w:color w:val="000000" w:themeColor="text1"/>
          <w:lang w:val="es-ES"/>
        </w:rPr>
      </w:pPr>
      <w:r w:rsidRPr="00781B92">
        <w:rPr>
          <w:rFonts w:ascii="Times New Roman" w:hAnsi="Times New Roman"/>
          <w:color w:val="000000" w:themeColor="text1"/>
          <w:lang w:val="es-ES"/>
        </w:rPr>
        <w:t xml:space="preserve">Adicionalmente, fueron entregados 4,170 títulos de asignación provisional </w:t>
      </w:r>
      <w:r w:rsidR="0025169C" w:rsidRPr="00781B92">
        <w:rPr>
          <w:rFonts w:ascii="Times New Roman" w:hAnsi="Times New Roman"/>
          <w:color w:val="000000" w:themeColor="text1"/>
          <w:lang w:val="es-ES"/>
        </w:rPr>
        <w:t>a igual número de parceleros/as con</w:t>
      </w:r>
      <w:r w:rsidRPr="00781B92">
        <w:rPr>
          <w:rFonts w:ascii="Times New Roman" w:hAnsi="Times New Roman"/>
          <w:color w:val="000000" w:themeColor="text1"/>
          <w:lang w:val="es-ES"/>
        </w:rPr>
        <w:t xml:space="preserve"> una superficie total de 181,459 tareas.</w:t>
      </w:r>
    </w:p>
    <w:p w14:paraId="0147BD8A" w14:textId="77777777" w:rsidR="00EE4A1C" w:rsidRPr="006569D0" w:rsidRDefault="00EE4A1C" w:rsidP="00EE4A1C">
      <w:pPr>
        <w:spacing w:after="0" w:line="360" w:lineRule="auto"/>
        <w:rPr>
          <w:rFonts w:ascii="Times New Roman" w:hAnsi="Times New Roman"/>
          <w:lang w:val="es-ES"/>
        </w:rPr>
      </w:pPr>
    </w:p>
    <w:p w14:paraId="47ABB0B9" w14:textId="77777777" w:rsidR="001769D7" w:rsidRPr="006569D0" w:rsidRDefault="001769D7" w:rsidP="0020047B">
      <w:pPr>
        <w:pStyle w:val="Prrafodelista"/>
        <w:numPr>
          <w:ilvl w:val="0"/>
          <w:numId w:val="4"/>
        </w:numPr>
        <w:spacing w:after="0" w:line="480" w:lineRule="auto"/>
        <w:ind w:left="0" w:firstLine="567"/>
        <w:outlineLvl w:val="3"/>
        <w:rPr>
          <w:rFonts w:ascii="Times New Roman" w:hAnsi="Times New Roman"/>
          <w:b/>
          <w:sz w:val="28"/>
          <w:szCs w:val="24"/>
          <w:lang w:val="es-ES"/>
        </w:rPr>
      </w:pPr>
      <w:bookmarkStart w:id="86" w:name="_Toc470523327"/>
      <w:bookmarkStart w:id="87" w:name="_Toc26292026"/>
      <w:bookmarkStart w:id="88" w:name="_Toc27146730"/>
      <w:r w:rsidRPr="006569D0">
        <w:rPr>
          <w:rFonts w:ascii="Times New Roman" w:hAnsi="Times New Roman"/>
          <w:b/>
          <w:sz w:val="28"/>
          <w:szCs w:val="24"/>
          <w:lang w:val="es-ES"/>
        </w:rPr>
        <w:t xml:space="preserve">Investigaciones </w:t>
      </w:r>
      <w:r w:rsidR="00474206" w:rsidRPr="006569D0">
        <w:rPr>
          <w:rFonts w:ascii="Times New Roman" w:hAnsi="Times New Roman"/>
          <w:b/>
          <w:sz w:val="28"/>
          <w:szCs w:val="24"/>
          <w:lang w:val="es-ES"/>
        </w:rPr>
        <w:t>a</w:t>
      </w:r>
      <w:r w:rsidRPr="006569D0">
        <w:rPr>
          <w:rFonts w:ascii="Times New Roman" w:hAnsi="Times New Roman"/>
          <w:b/>
          <w:sz w:val="28"/>
          <w:szCs w:val="24"/>
          <w:lang w:val="es-ES"/>
        </w:rPr>
        <w:t xml:space="preserve">gropecuarias y </w:t>
      </w:r>
      <w:r w:rsidR="00474206" w:rsidRPr="006569D0">
        <w:rPr>
          <w:rFonts w:ascii="Times New Roman" w:hAnsi="Times New Roman"/>
          <w:b/>
          <w:sz w:val="28"/>
          <w:szCs w:val="24"/>
          <w:lang w:val="es-ES"/>
        </w:rPr>
        <w:t>f</w:t>
      </w:r>
      <w:r w:rsidRPr="006569D0">
        <w:rPr>
          <w:rFonts w:ascii="Times New Roman" w:hAnsi="Times New Roman"/>
          <w:b/>
          <w:sz w:val="28"/>
          <w:szCs w:val="24"/>
          <w:lang w:val="es-ES"/>
        </w:rPr>
        <w:t>orestales</w:t>
      </w:r>
      <w:bookmarkEnd w:id="86"/>
      <w:bookmarkEnd w:id="87"/>
      <w:bookmarkEnd w:id="88"/>
    </w:p>
    <w:p w14:paraId="20A77E41" w14:textId="72166F4C" w:rsidR="0020338F" w:rsidRPr="006569D0" w:rsidRDefault="0020338F" w:rsidP="0020338F">
      <w:pPr>
        <w:spacing w:after="0" w:line="480" w:lineRule="auto"/>
        <w:ind w:firstLine="851"/>
        <w:jc w:val="both"/>
        <w:rPr>
          <w:rFonts w:ascii="Times New Roman" w:hAnsi="Times New Roman"/>
          <w:color w:val="000000" w:themeColor="text1"/>
          <w:lang w:val="es-ES"/>
        </w:rPr>
      </w:pPr>
      <w:r w:rsidRPr="006569D0">
        <w:rPr>
          <w:rFonts w:ascii="Times New Roman" w:hAnsi="Times New Roman"/>
          <w:color w:val="000000" w:themeColor="text1"/>
          <w:lang w:val="es-ES"/>
        </w:rPr>
        <w:t xml:space="preserve">En relación a las actividades de investigaciones agropecuarias y forestales, se realizaron </w:t>
      </w:r>
      <w:r w:rsidR="0025169C" w:rsidRPr="006569D0">
        <w:rPr>
          <w:rFonts w:ascii="Times New Roman" w:hAnsi="Times New Roman"/>
          <w:color w:val="000000" w:themeColor="text1"/>
          <w:lang w:val="es-ES"/>
        </w:rPr>
        <w:t>19</w:t>
      </w:r>
      <w:r w:rsidRPr="006569D0">
        <w:rPr>
          <w:rFonts w:ascii="Times New Roman" w:hAnsi="Times New Roman"/>
          <w:color w:val="000000" w:themeColor="text1"/>
          <w:lang w:val="es-ES"/>
        </w:rPr>
        <w:t xml:space="preserve"> investigaciones durante el 201</w:t>
      </w:r>
      <w:r w:rsidR="0025169C" w:rsidRPr="006569D0">
        <w:rPr>
          <w:rFonts w:ascii="Times New Roman" w:hAnsi="Times New Roman"/>
          <w:color w:val="000000" w:themeColor="text1"/>
          <w:lang w:val="es-ES"/>
        </w:rPr>
        <w:t>9</w:t>
      </w:r>
      <w:r w:rsidRPr="006569D0">
        <w:rPr>
          <w:rFonts w:ascii="Times New Roman" w:hAnsi="Times New Roman"/>
          <w:color w:val="000000" w:themeColor="text1"/>
          <w:lang w:val="es-ES"/>
        </w:rPr>
        <w:t xml:space="preserve">, </w:t>
      </w:r>
      <w:r w:rsidR="001A3FE8" w:rsidRPr="006569D0">
        <w:rPr>
          <w:rFonts w:ascii="Times New Roman" w:hAnsi="Times New Roman"/>
          <w:i/>
          <w:color w:val="000000" w:themeColor="text1"/>
          <w:lang w:val="es-ES"/>
        </w:rPr>
        <w:t>(ODS 2.5.1; ODS 2.5.a2)</w:t>
      </w:r>
      <w:r w:rsidR="001A3FE8" w:rsidRPr="006569D0">
        <w:rPr>
          <w:rFonts w:ascii="Times New Roman" w:hAnsi="Times New Roman"/>
          <w:color w:val="000000" w:themeColor="text1"/>
          <w:lang w:val="es-ES"/>
        </w:rPr>
        <w:t xml:space="preserve"> </w:t>
      </w:r>
      <w:r w:rsidRPr="006569D0">
        <w:rPr>
          <w:rFonts w:ascii="Times New Roman" w:hAnsi="Times New Roman"/>
          <w:color w:val="000000" w:themeColor="text1"/>
          <w:lang w:val="es-ES"/>
        </w:rPr>
        <w:t>como se muestra en el gráfico no. 10.</w:t>
      </w:r>
    </w:p>
    <w:p w14:paraId="54A33D4F" w14:textId="1BE8F97D" w:rsidR="00EA396D" w:rsidRPr="006569D0" w:rsidRDefault="00EA396D">
      <w:pPr>
        <w:spacing w:after="0"/>
        <w:rPr>
          <w:rFonts w:ascii="Times New Roman" w:hAnsi="Times New Roman"/>
          <w:color w:val="000000" w:themeColor="text1"/>
          <w:lang w:val="es-ES"/>
        </w:rPr>
      </w:pPr>
      <w:r w:rsidRPr="006569D0">
        <w:rPr>
          <w:rFonts w:ascii="Times New Roman" w:hAnsi="Times New Roman"/>
          <w:color w:val="000000" w:themeColor="text1"/>
          <w:lang w:val="es-ES"/>
        </w:rPr>
        <w:br w:type="page"/>
      </w:r>
    </w:p>
    <w:p w14:paraId="1573D44C" w14:textId="77777777" w:rsidR="002B3574" w:rsidRPr="006569D0" w:rsidRDefault="0064302F" w:rsidP="001C6B1A">
      <w:pPr>
        <w:pStyle w:val="Prrafodelista"/>
        <w:numPr>
          <w:ilvl w:val="0"/>
          <w:numId w:val="8"/>
        </w:numPr>
        <w:spacing w:after="0"/>
        <w:rPr>
          <w:rFonts w:ascii="Times New Roman" w:hAnsi="Times New Roman"/>
          <w:b/>
          <w:sz w:val="24"/>
          <w:lang w:val="es-ES"/>
        </w:rPr>
      </w:pPr>
      <w:r w:rsidRPr="006569D0">
        <w:rPr>
          <w:rFonts w:ascii="Times New Roman" w:hAnsi="Times New Roman"/>
          <w:b/>
          <w:sz w:val="24"/>
          <w:lang w:val="es-ES"/>
        </w:rPr>
        <w:lastRenderedPageBreak/>
        <w:t>Nú</w:t>
      </w:r>
      <w:r w:rsidR="00425CE3" w:rsidRPr="006569D0">
        <w:rPr>
          <w:rFonts w:ascii="Times New Roman" w:hAnsi="Times New Roman"/>
          <w:b/>
          <w:sz w:val="24"/>
          <w:lang w:val="es-ES"/>
        </w:rPr>
        <w:t>mero i</w:t>
      </w:r>
      <w:r w:rsidR="002B3574" w:rsidRPr="006569D0">
        <w:rPr>
          <w:rFonts w:ascii="Times New Roman" w:hAnsi="Times New Roman"/>
          <w:b/>
          <w:sz w:val="24"/>
          <w:lang w:val="es-ES"/>
        </w:rPr>
        <w:t xml:space="preserve">nvestigaciones </w:t>
      </w:r>
      <w:r w:rsidR="00F526D0" w:rsidRPr="006569D0">
        <w:rPr>
          <w:rFonts w:ascii="Times New Roman" w:hAnsi="Times New Roman"/>
          <w:b/>
          <w:sz w:val="24"/>
          <w:lang w:val="es-ES"/>
        </w:rPr>
        <w:t>a</w:t>
      </w:r>
      <w:r w:rsidR="002B3574" w:rsidRPr="006569D0">
        <w:rPr>
          <w:rFonts w:ascii="Times New Roman" w:hAnsi="Times New Roman"/>
          <w:b/>
          <w:sz w:val="24"/>
          <w:lang w:val="es-ES"/>
        </w:rPr>
        <w:t xml:space="preserve">gropecuarias y </w:t>
      </w:r>
      <w:r w:rsidR="00F526D0" w:rsidRPr="006569D0">
        <w:rPr>
          <w:rFonts w:ascii="Times New Roman" w:hAnsi="Times New Roman"/>
          <w:b/>
          <w:sz w:val="24"/>
          <w:lang w:val="es-ES"/>
        </w:rPr>
        <w:t>f</w:t>
      </w:r>
      <w:r w:rsidR="002B3574" w:rsidRPr="006569D0">
        <w:rPr>
          <w:rFonts w:ascii="Times New Roman" w:hAnsi="Times New Roman"/>
          <w:b/>
          <w:sz w:val="24"/>
          <w:lang w:val="es-ES"/>
        </w:rPr>
        <w:t>orestales</w:t>
      </w:r>
    </w:p>
    <w:p w14:paraId="17A41DDC" w14:textId="1CD9B5B7" w:rsidR="00210DEF" w:rsidRPr="006569D0" w:rsidRDefault="00172A98" w:rsidP="00EA396D">
      <w:pPr>
        <w:pStyle w:val="Prrafodelista"/>
        <w:spacing w:after="0" w:line="360" w:lineRule="auto"/>
        <w:ind w:left="0"/>
        <w:jc w:val="center"/>
        <w:rPr>
          <w:rFonts w:ascii="Times New Roman" w:hAnsi="Times New Roman"/>
          <w:b/>
          <w:sz w:val="24"/>
          <w:lang w:val="es-ES"/>
        </w:rPr>
      </w:pPr>
      <w:r>
        <w:rPr>
          <w:noProof/>
          <w:lang w:eastAsia="es-DO"/>
        </w:rPr>
        <w:drawing>
          <wp:inline distT="0" distB="0" distL="0" distR="0" wp14:anchorId="671D00F3" wp14:editId="2C519156">
            <wp:extent cx="5081905" cy="3051544"/>
            <wp:effectExtent l="0" t="0" r="4445" b="0"/>
            <wp:docPr id="191" name="Gráfico 191">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3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E1A47E2" w14:textId="47C880DA" w:rsidR="002D376F" w:rsidRPr="006569D0" w:rsidRDefault="002D376F">
      <w:pPr>
        <w:spacing w:after="0"/>
        <w:rPr>
          <w:rFonts w:ascii="Times New Roman" w:eastAsia="Calibri" w:hAnsi="Times New Roman"/>
          <w:b/>
          <w:szCs w:val="22"/>
          <w:lang w:val="es-ES" w:eastAsia="en-US"/>
        </w:rPr>
      </w:pPr>
    </w:p>
    <w:p w14:paraId="21445D1B" w14:textId="77777777" w:rsidR="001769D7" w:rsidRPr="006569D0" w:rsidRDefault="001769D7" w:rsidP="0020047B">
      <w:pPr>
        <w:pStyle w:val="Prrafodelista"/>
        <w:numPr>
          <w:ilvl w:val="0"/>
          <w:numId w:val="4"/>
        </w:numPr>
        <w:spacing w:after="0" w:line="480" w:lineRule="auto"/>
        <w:ind w:left="0" w:firstLine="567"/>
        <w:outlineLvl w:val="3"/>
        <w:rPr>
          <w:rFonts w:ascii="Times New Roman" w:hAnsi="Times New Roman"/>
          <w:b/>
          <w:sz w:val="28"/>
          <w:szCs w:val="24"/>
          <w:lang w:val="es-ES"/>
        </w:rPr>
      </w:pPr>
      <w:bookmarkStart w:id="89" w:name="_Toc470523328"/>
      <w:bookmarkStart w:id="90" w:name="_Toc26292027"/>
      <w:bookmarkStart w:id="91" w:name="_Toc27146731"/>
      <w:r w:rsidRPr="006569D0">
        <w:rPr>
          <w:rFonts w:ascii="Times New Roman" w:hAnsi="Times New Roman"/>
          <w:b/>
          <w:sz w:val="28"/>
          <w:szCs w:val="24"/>
          <w:lang w:val="es-ES"/>
        </w:rPr>
        <w:t>Comercialización</w:t>
      </w:r>
      <w:bookmarkEnd w:id="89"/>
      <w:bookmarkEnd w:id="90"/>
      <w:bookmarkEnd w:id="91"/>
      <w:r w:rsidRPr="006569D0">
        <w:rPr>
          <w:rFonts w:ascii="Times New Roman" w:hAnsi="Times New Roman"/>
          <w:b/>
          <w:sz w:val="28"/>
          <w:szCs w:val="24"/>
          <w:lang w:val="es-ES"/>
        </w:rPr>
        <w:t xml:space="preserve"> </w:t>
      </w:r>
    </w:p>
    <w:p w14:paraId="6733664F" w14:textId="1F8E7E28" w:rsidR="0020338F" w:rsidRPr="006569D0" w:rsidRDefault="00620EE6" w:rsidP="0020338F">
      <w:pPr>
        <w:spacing w:after="0" w:line="480" w:lineRule="auto"/>
        <w:ind w:firstLine="851"/>
        <w:jc w:val="both"/>
        <w:rPr>
          <w:rFonts w:ascii="Times New Roman" w:hAnsi="Times New Roman"/>
          <w:color w:val="000000" w:themeColor="text1"/>
          <w:lang w:val="es-ES"/>
        </w:rPr>
      </w:pPr>
      <w:r w:rsidRPr="006569D0">
        <w:rPr>
          <w:rFonts w:ascii="Times New Roman" w:hAnsi="Times New Roman"/>
          <w:color w:val="000000" w:themeColor="text1"/>
          <w:lang w:val="es-ES"/>
        </w:rPr>
        <w:t>Durante el 2019 el Merca Santo Domingo, mostró un notable crecimiento en las ventas realizadas, de las cuales el valor total ascendió a RD$7,106.44 millones, que al compararlo con el monto del 2018 se observa un crecimiento absoluto de RD$1,229.39 millones, representando un incremento de 20.92%.</w:t>
      </w:r>
    </w:p>
    <w:p w14:paraId="1603CCF6" w14:textId="77777777" w:rsidR="00620EE6" w:rsidRPr="006569D0" w:rsidRDefault="00620EE6" w:rsidP="00D5555F">
      <w:pPr>
        <w:spacing w:after="0" w:line="360" w:lineRule="auto"/>
        <w:ind w:firstLine="851"/>
        <w:jc w:val="both"/>
        <w:rPr>
          <w:rFonts w:ascii="Times New Roman" w:hAnsi="Times New Roman"/>
          <w:color w:val="000000" w:themeColor="text1"/>
          <w:lang w:val="es-ES"/>
        </w:rPr>
      </w:pPr>
    </w:p>
    <w:p w14:paraId="39E8DBE9" w14:textId="397F395E" w:rsidR="00D121FE" w:rsidRPr="006569D0" w:rsidRDefault="0020338F" w:rsidP="0020338F">
      <w:pPr>
        <w:spacing w:after="120" w:line="480" w:lineRule="auto"/>
        <w:ind w:firstLine="720"/>
        <w:jc w:val="both"/>
        <w:rPr>
          <w:rFonts w:ascii="Times New Roman" w:hAnsi="Times New Roman"/>
          <w:color w:val="000000" w:themeColor="text1"/>
          <w:lang w:val="es-ES"/>
        </w:rPr>
      </w:pPr>
      <w:r w:rsidRPr="006569D0">
        <w:rPr>
          <w:rFonts w:ascii="Times New Roman" w:hAnsi="Times New Roman"/>
          <w:color w:val="000000" w:themeColor="text1"/>
          <w:lang w:val="es-ES"/>
        </w:rPr>
        <w:t>Dentro de los diferentes renglones comercializados</w:t>
      </w:r>
      <w:r w:rsidR="00D121FE" w:rsidRPr="006569D0">
        <w:rPr>
          <w:rFonts w:ascii="Times New Roman" w:hAnsi="Times New Roman"/>
          <w:color w:val="000000" w:themeColor="text1"/>
          <w:lang w:val="es-ES"/>
        </w:rPr>
        <w:t xml:space="preserve"> que se destacaron respeto al volumen total, se </w:t>
      </w:r>
      <w:r w:rsidR="00620EE6" w:rsidRPr="006569D0">
        <w:rPr>
          <w:rFonts w:ascii="Times New Roman" w:hAnsi="Times New Roman"/>
          <w:color w:val="000000" w:themeColor="text1"/>
          <w:lang w:val="es-ES"/>
        </w:rPr>
        <w:t>destacan</w:t>
      </w:r>
      <w:r w:rsidR="00D121FE" w:rsidRPr="006569D0">
        <w:rPr>
          <w:rFonts w:ascii="Times New Roman" w:hAnsi="Times New Roman"/>
          <w:color w:val="000000" w:themeColor="text1"/>
          <w:lang w:val="es-ES"/>
        </w:rPr>
        <w:t>:</w:t>
      </w:r>
      <w:r w:rsidRPr="006569D0">
        <w:rPr>
          <w:rFonts w:ascii="Times New Roman" w:hAnsi="Times New Roman"/>
          <w:color w:val="000000" w:themeColor="text1"/>
          <w:lang w:val="es-ES"/>
        </w:rPr>
        <w:t xml:space="preserve"> </w:t>
      </w:r>
    </w:p>
    <w:p w14:paraId="3549531C" w14:textId="77777777" w:rsidR="00D121FE" w:rsidRPr="006569D0" w:rsidRDefault="00D121FE" w:rsidP="001C6B1A">
      <w:pPr>
        <w:pStyle w:val="Prrafodelista"/>
        <w:numPr>
          <w:ilvl w:val="0"/>
          <w:numId w:val="25"/>
        </w:numPr>
        <w:spacing w:after="120" w:line="480" w:lineRule="auto"/>
        <w:jc w:val="both"/>
        <w:rPr>
          <w:rFonts w:ascii="Times New Roman" w:hAnsi="Times New Roman"/>
          <w:color w:val="000000" w:themeColor="text1"/>
          <w:sz w:val="24"/>
          <w:lang w:val="es-ES"/>
        </w:rPr>
        <w:sectPr w:rsidR="00D121FE" w:rsidRPr="006569D0" w:rsidSect="00AE5BDB">
          <w:pgSz w:w="12240" w:h="15840" w:code="1"/>
          <w:pgMar w:top="1440" w:right="2160" w:bottom="1440" w:left="2160" w:header="720" w:footer="720" w:gutter="0"/>
          <w:cols w:space="720"/>
          <w:docGrid w:linePitch="360"/>
        </w:sectPr>
      </w:pPr>
    </w:p>
    <w:p w14:paraId="602ADC2E" w14:textId="77777777" w:rsidR="00620EE6" w:rsidRPr="006569D0" w:rsidRDefault="00620EE6" w:rsidP="001C6B1A">
      <w:pPr>
        <w:pStyle w:val="Prrafodelista"/>
        <w:numPr>
          <w:ilvl w:val="0"/>
          <w:numId w:val="25"/>
        </w:numPr>
        <w:spacing w:after="0" w:line="480" w:lineRule="auto"/>
        <w:ind w:left="567" w:firstLine="0"/>
        <w:jc w:val="both"/>
        <w:rPr>
          <w:rFonts w:ascii="Times New Roman" w:hAnsi="Times New Roman"/>
          <w:color w:val="000000" w:themeColor="text1"/>
          <w:sz w:val="24"/>
          <w:lang w:val="es-ES"/>
        </w:rPr>
      </w:pPr>
      <w:r w:rsidRPr="006569D0">
        <w:rPr>
          <w:rFonts w:ascii="Times New Roman" w:hAnsi="Times New Roman"/>
          <w:color w:val="000000" w:themeColor="text1"/>
          <w:sz w:val="24"/>
          <w:lang w:val="es-ES"/>
        </w:rPr>
        <w:t>Carnes y embutidos 25.13%.</w:t>
      </w:r>
    </w:p>
    <w:p w14:paraId="674DA873" w14:textId="77777777" w:rsidR="00620EE6" w:rsidRPr="006569D0" w:rsidRDefault="00620EE6" w:rsidP="001C6B1A">
      <w:pPr>
        <w:pStyle w:val="Prrafodelista"/>
        <w:numPr>
          <w:ilvl w:val="0"/>
          <w:numId w:val="25"/>
        </w:numPr>
        <w:spacing w:after="0" w:line="480" w:lineRule="auto"/>
        <w:ind w:left="567" w:firstLine="0"/>
        <w:jc w:val="both"/>
        <w:rPr>
          <w:rFonts w:ascii="Times New Roman" w:hAnsi="Times New Roman"/>
          <w:color w:val="000000" w:themeColor="text1"/>
          <w:sz w:val="24"/>
          <w:lang w:val="es-ES"/>
        </w:rPr>
      </w:pPr>
      <w:r w:rsidRPr="006569D0">
        <w:rPr>
          <w:rFonts w:ascii="Times New Roman" w:hAnsi="Times New Roman"/>
          <w:color w:val="000000" w:themeColor="text1"/>
          <w:sz w:val="24"/>
          <w:lang w:val="es-ES"/>
        </w:rPr>
        <w:t>Vegetales 11.47%.</w:t>
      </w:r>
    </w:p>
    <w:p w14:paraId="29443884" w14:textId="77777777" w:rsidR="00620EE6" w:rsidRPr="006569D0" w:rsidRDefault="00620EE6" w:rsidP="001C6B1A">
      <w:pPr>
        <w:pStyle w:val="Prrafodelista"/>
        <w:numPr>
          <w:ilvl w:val="0"/>
          <w:numId w:val="25"/>
        </w:numPr>
        <w:spacing w:after="0" w:line="480" w:lineRule="auto"/>
        <w:ind w:left="567" w:firstLine="0"/>
        <w:jc w:val="both"/>
        <w:rPr>
          <w:rFonts w:ascii="Times New Roman" w:hAnsi="Times New Roman"/>
          <w:color w:val="000000" w:themeColor="text1"/>
          <w:sz w:val="24"/>
          <w:lang w:val="es-ES"/>
        </w:rPr>
      </w:pPr>
      <w:r w:rsidRPr="006569D0">
        <w:rPr>
          <w:rFonts w:ascii="Times New Roman" w:hAnsi="Times New Roman"/>
          <w:color w:val="000000" w:themeColor="text1"/>
          <w:sz w:val="24"/>
          <w:lang w:val="es-ES"/>
        </w:rPr>
        <w:t>Huevos 7.68%.</w:t>
      </w:r>
    </w:p>
    <w:p w14:paraId="3938F9A5" w14:textId="77777777" w:rsidR="00620EE6" w:rsidRPr="006569D0" w:rsidRDefault="00620EE6" w:rsidP="001C6B1A">
      <w:pPr>
        <w:pStyle w:val="Prrafodelista"/>
        <w:numPr>
          <w:ilvl w:val="0"/>
          <w:numId w:val="25"/>
        </w:numPr>
        <w:spacing w:after="0" w:line="480" w:lineRule="auto"/>
        <w:ind w:left="567" w:firstLine="0"/>
        <w:jc w:val="both"/>
        <w:rPr>
          <w:rFonts w:ascii="Times New Roman" w:hAnsi="Times New Roman"/>
          <w:color w:val="000000" w:themeColor="text1"/>
          <w:sz w:val="24"/>
          <w:lang w:val="es-ES"/>
        </w:rPr>
      </w:pPr>
      <w:r w:rsidRPr="006569D0">
        <w:rPr>
          <w:rFonts w:ascii="Times New Roman" w:hAnsi="Times New Roman"/>
          <w:color w:val="000000" w:themeColor="text1"/>
          <w:sz w:val="24"/>
          <w:lang w:val="es-ES"/>
        </w:rPr>
        <w:t>Frutas 18.41%.</w:t>
      </w:r>
    </w:p>
    <w:p w14:paraId="59CDF2AD" w14:textId="77777777" w:rsidR="00620EE6" w:rsidRPr="006569D0" w:rsidRDefault="00620EE6" w:rsidP="001C6B1A">
      <w:pPr>
        <w:pStyle w:val="Prrafodelista"/>
        <w:numPr>
          <w:ilvl w:val="0"/>
          <w:numId w:val="25"/>
        </w:numPr>
        <w:spacing w:after="0" w:line="480" w:lineRule="auto"/>
        <w:ind w:left="567" w:firstLine="0"/>
        <w:jc w:val="both"/>
        <w:rPr>
          <w:rFonts w:ascii="Times New Roman" w:hAnsi="Times New Roman"/>
          <w:color w:val="000000" w:themeColor="text1"/>
          <w:sz w:val="24"/>
          <w:lang w:val="es-ES"/>
        </w:rPr>
      </w:pPr>
      <w:r w:rsidRPr="006569D0">
        <w:rPr>
          <w:rFonts w:ascii="Times New Roman" w:hAnsi="Times New Roman"/>
          <w:color w:val="000000" w:themeColor="text1"/>
          <w:sz w:val="24"/>
          <w:lang w:val="es-ES"/>
        </w:rPr>
        <w:t>Tubérculos 6.95%.</w:t>
      </w:r>
    </w:p>
    <w:p w14:paraId="4CE3B87B" w14:textId="77777777" w:rsidR="00620EE6" w:rsidRPr="006569D0" w:rsidRDefault="00620EE6" w:rsidP="001C6B1A">
      <w:pPr>
        <w:pStyle w:val="Prrafodelista"/>
        <w:numPr>
          <w:ilvl w:val="0"/>
          <w:numId w:val="25"/>
        </w:numPr>
        <w:spacing w:after="0" w:line="480" w:lineRule="auto"/>
        <w:ind w:left="567" w:firstLine="0"/>
        <w:jc w:val="both"/>
        <w:rPr>
          <w:rFonts w:ascii="Times New Roman" w:hAnsi="Times New Roman"/>
          <w:color w:val="000000" w:themeColor="text1"/>
          <w:sz w:val="24"/>
          <w:lang w:val="es-ES"/>
        </w:rPr>
      </w:pPr>
      <w:r w:rsidRPr="006569D0">
        <w:rPr>
          <w:rFonts w:ascii="Times New Roman" w:hAnsi="Times New Roman"/>
          <w:color w:val="000000" w:themeColor="text1"/>
          <w:sz w:val="24"/>
          <w:lang w:val="es-ES"/>
        </w:rPr>
        <w:t>Provisiones 9.75%.</w:t>
      </w:r>
    </w:p>
    <w:p w14:paraId="57291429" w14:textId="77777777" w:rsidR="00620EE6" w:rsidRPr="006569D0" w:rsidRDefault="00620EE6" w:rsidP="001C6B1A">
      <w:pPr>
        <w:pStyle w:val="Prrafodelista"/>
        <w:numPr>
          <w:ilvl w:val="0"/>
          <w:numId w:val="25"/>
        </w:numPr>
        <w:spacing w:after="0" w:line="480" w:lineRule="auto"/>
        <w:ind w:left="567" w:firstLine="0"/>
        <w:jc w:val="both"/>
        <w:rPr>
          <w:rFonts w:ascii="Times New Roman" w:hAnsi="Times New Roman"/>
          <w:color w:val="000000" w:themeColor="text1"/>
          <w:sz w:val="24"/>
          <w:lang w:val="es-ES"/>
        </w:rPr>
      </w:pPr>
      <w:r w:rsidRPr="006569D0">
        <w:rPr>
          <w:rFonts w:ascii="Times New Roman" w:hAnsi="Times New Roman"/>
          <w:color w:val="000000" w:themeColor="text1"/>
          <w:sz w:val="24"/>
          <w:lang w:val="es-ES"/>
        </w:rPr>
        <w:t>Musáceas 6.08%.</w:t>
      </w:r>
    </w:p>
    <w:p w14:paraId="5DF73BB0" w14:textId="77777777" w:rsidR="00620EE6" w:rsidRPr="006569D0" w:rsidRDefault="00620EE6" w:rsidP="001C6B1A">
      <w:pPr>
        <w:pStyle w:val="Prrafodelista"/>
        <w:numPr>
          <w:ilvl w:val="0"/>
          <w:numId w:val="25"/>
        </w:numPr>
        <w:spacing w:after="0" w:line="480" w:lineRule="auto"/>
        <w:ind w:left="567" w:firstLine="0"/>
        <w:jc w:val="both"/>
        <w:rPr>
          <w:rFonts w:ascii="Times New Roman" w:hAnsi="Times New Roman"/>
          <w:color w:val="000000" w:themeColor="text1"/>
          <w:sz w:val="24"/>
          <w:lang w:val="es-ES"/>
        </w:rPr>
      </w:pPr>
      <w:r w:rsidRPr="006569D0">
        <w:rPr>
          <w:rFonts w:ascii="Times New Roman" w:hAnsi="Times New Roman"/>
          <w:color w:val="000000" w:themeColor="text1"/>
          <w:sz w:val="24"/>
          <w:lang w:val="es-ES"/>
        </w:rPr>
        <w:t>Legumbres 2.80%.</w:t>
      </w:r>
    </w:p>
    <w:p w14:paraId="70B9C41F" w14:textId="77777777" w:rsidR="00620EE6" w:rsidRPr="006569D0" w:rsidRDefault="00620EE6" w:rsidP="001C6B1A">
      <w:pPr>
        <w:pStyle w:val="Prrafodelista"/>
        <w:numPr>
          <w:ilvl w:val="0"/>
          <w:numId w:val="25"/>
        </w:numPr>
        <w:spacing w:after="0" w:line="480" w:lineRule="auto"/>
        <w:ind w:left="567" w:firstLine="0"/>
        <w:jc w:val="both"/>
        <w:rPr>
          <w:rFonts w:ascii="Times New Roman" w:hAnsi="Times New Roman"/>
          <w:color w:val="000000" w:themeColor="text1"/>
          <w:sz w:val="24"/>
          <w:lang w:val="es-ES"/>
        </w:rPr>
      </w:pPr>
      <w:r w:rsidRPr="006569D0">
        <w:rPr>
          <w:rFonts w:ascii="Times New Roman" w:hAnsi="Times New Roman"/>
          <w:color w:val="000000" w:themeColor="text1"/>
          <w:sz w:val="24"/>
          <w:lang w:val="es-ES"/>
        </w:rPr>
        <w:t>Pescados y mariscos 1.89%.</w:t>
      </w:r>
    </w:p>
    <w:p w14:paraId="0F7F5579" w14:textId="77777777" w:rsidR="00D121FE" w:rsidRPr="006569D0" w:rsidRDefault="00D121FE" w:rsidP="00620EE6">
      <w:pPr>
        <w:spacing w:after="120" w:line="480" w:lineRule="auto"/>
        <w:jc w:val="both"/>
        <w:rPr>
          <w:rFonts w:ascii="Times New Roman" w:hAnsi="Times New Roman"/>
          <w:color w:val="000000" w:themeColor="text1"/>
          <w:lang w:val="es-ES"/>
        </w:rPr>
        <w:sectPr w:rsidR="00D121FE" w:rsidRPr="006569D0" w:rsidSect="00D121FE">
          <w:type w:val="continuous"/>
          <w:pgSz w:w="12240" w:h="15840" w:code="1"/>
          <w:pgMar w:top="1440" w:right="2160" w:bottom="1440" w:left="2160" w:header="720" w:footer="720" w:gutter="0"/>
          <w:cols w:num="2" w:space="720"/>
          <w:docGrid w:linePitch="360"/>
        </w:sectPr>
      </w:pPr>
    </w:p>
    <w:p w14:paraId="2696F86A" w14:textId="73918C95" w:rsidR="0020338F" w:rsidRPr="006569D0" w:rsidRDefault="00620EE6" w:rsidP="0020338F">
      <w:pPr>
        <w:spacing w:after="120" w:line="480" w:lineRule="auto"/>
        <w:ind w:firstLine="720"/>
        <w:jc w:val="both"/>
        <w:rPr>
          <w:rFonts w:ascii="Times New Roman" w:hAnsi="Times New Roman"/>
          <w:color w:val="000000" w:themeColor="text1"/>
          <w:lang w:val="es-ES"/>
        </w:rPr>
      </w:pPr>
      <w:r w:rsidRPr="006569D0">
        <w:rPr>
          <w:rFonts w:ascii="Times New Roman" w:hAnsi="Times New Roman"/>
          <w:color w:val="000000" w:themeColor="text1"/>
          <w:lang w:val="es-ES"/>
        </w:rPr>
        <w:lastRenderedPageBreak/>
        <w:t>En este año 2019, las ventas realizadas en términos de volumen, lograron alcanzar las 90.9 millones de libras de productos frescos, así como 258 millones de unidades mixtas entre frescos y otros.</w:t>
      </w:r>
    </w:p>
    <w:p w14:paraId="31CB3308" w14:textId="77777777" w:rsidR="00620EE6" w:rsidRPr="006569D0" w:rsidRDefault="00620EE6" w:rsidP="0020338F">
      <w:pPr>
        <w:spacing w:after="120" w:line="480" w:lineRule="auto"/>
        <w:ind w:firstLine="720"/>
        <w:jc w:val="both"/>
        <w:rPr>
          <w:rFonts w:ascii="Times New Roman" w:hAnsi="Times New Roman"/>
          <w:color w:val="4F81BD" w:themeColor="accent1"/>
          <w:lang w:val="es-ES"/>
        </w:rPr>
      </w:pPr>
    </w:p>
    <w:p w14:paraId="41DB0636" w14:textId="69965BEF" w:rsidR="00A34071" w:rsidRPr="006569D0" w:rsidRDefault="00A34071" w:rsidP="00A34071">
      <w:pPr>
        <w:spacing w:after="120" w:line="480" w:lineRule="auto"/>
        <w:ind w:firstLine="720"/>
        <w:jc w:val="both"/>
        <w:rPr>
          <w:rFonts w:ascii="Times New Roman" w:hAnsi="Times New Roman"/>
          <w:color w:val="000000" w:themeColor="text1"/>
          <w:lang w:val="es-ES"/>
        </w:rPr>
      </w:pPr>
      <w:r w:rsidRPr="006569D0">
        <w:rPr>
          <w:rFonts w:ascii="Times New Roman" w:hAnsi="Times New Roman"/>
          <w:color w:val="000000" w:themeColor="text1"/>
          <w:lang w:val="es-ES"/>
        </w:rPr>
        <w:t xml:space="preserve">Cabe destacar, durante los meses octubre a diciembre, el Ministerio de Agricultura conjuntamente con MERCADOM y el Instituto de Estabilización de Precios (INESPRE), llevaron a cabo un programa de ventas de plátanos y guineos, los cuales fueron distribuidos en los sectores </w:t>
      </w:r>
      <w:r w:rsidR="00D5555F">
        <w:rPr>
          <w:rFonts w:ascii="Times New Roman" w:hAnsi="Times New Roman"/>
          <w:color w:val="000000" w:themeColor="text1"/>
          <w:lang w:val="es-ES"/>
        </w:rPr>
        <w:t xml:space="preserve">de </w:t>
      </w:r>
      <w:r w:rsidRPr="006569D0">
        <w:rPr>
          <w:rFonts w:ascii="Times New Roman" w:hAnsi="Times New Roman"/>
          <w:color w:val="000000" w:themeColor="text1"/>
          <w:lang w:val="es-ES"/>
        </w:rPr>
        <w:t xml:space="preserve">más bajos ingresos del Gran Santo Domingo a precios que le garantizan un importante ahorro en su canasta familiar, generando más de 200 empleos directos. </w:t>
      </w:r>
    </w:p>
    <w:p w14:paraId="21326367" w14:textId="77777777" w:rsidR="00A34071" w:rsidRPr="006569D0" w:rsidRDefault="00A34071" w:rsidP="0020338F">
      <w:pPr>
        <w:spacing w:after="120" w:line="480" w:lineRule="auto"/>
        <w:ind w:firstLine="720"/>
        <w:jc w:val="both"/>
        <w:rPr>
          <w:rFonts w:ascii="Times New Roman" w:hAnsi="Times New Roman"/>
          <w:color w:val="4F81BD" w:themeColor="accent1"/>
          <w:lang w:val="es-ES"/>
        </w:rPr>
      </w:pPr>
    </w:p>
    <w:p w14:paraId="08C4B388" w14:textId="0A419A9A" w:rsidR="009B66E8" w:rsidRPr="006569D0" w:rsidRDefault="0020338F" w:rsidP="009B66E8">
      <w:pPr>
        <w:spacing w:after="120" w:line="480" w:lineRule="auto"/>
        <w:ind w:firstLine="720"/>
        <w:jc w:val="both"/>
        <w:rPr>
          <w:rFonts w:ascii="Times New Roman" w:hAnsi="Times New Roman"/>
          <w:color w:val="000000" w:themeColor="text1"/>
          <w:lang w:val="es-ES"/>
        </w:rPr>
      </w:pPr>
      <w:r w:rsidRPr="006569D0">
        <w:rPr>
          <w:rFonts w:ascii="Times New Roman" w:hAnsi="Times New Roman"/>
          <w:color w:val="000000" w:themeColor="text1"/>
          <w:lang w:val="es-ES"/>
        </w:rPr>
        <w:t>Del mismo modo, el INESPRE para continuar fortaleciendo la comercialización de productos agropecuarios, realizó venta</w:t>
      </w:r>
      <w:r w:rsidR="009101F9" w:rsidRPr="006569D0">
        <w:rPr>
          <w:rFonts w:ascii="Times New Roman" w:hAnsi="Times New Roman"/>
          <w:color w:val="000000" w:themeColor="text1"/>
          <w:lang w:val="es-ES"/>
        </w:rPr>
        <w:t>s</w:t>
      </w:r>
      <w:r w:rsidRPr="006569D0">
        <w:rPr>
          <w:rFonts w:ascii="Times New Roman" w:hAnsi="Times New Roman"/>
          <w:color w:val="000000" w:themeColor="text1"/>
          <w:lang w:val="es-ES"/>
        </w:rPr>
        <w:t xml:space="preserve"> por valor de RD$</w:t>
      </w:r>
      <w:r w:rsidR="00A34071" w:rsidRPr="006569D0">
        <w:rPr>
          <w:rFonts w:ascii="Times New Roman" w:hAnsi="Times New Roman"/>
          <w:color w:val="000000" w:themeColor="text1"/>
          <w:lang w:val="es-ES"/>
        </w:rPr>
        <w:t>204.82</w:t>
      </w:r>
      <w:r w:rsidRPr="006569D0">
        <w:rPr>
          <w:rFonts w:ascii="Times New Roman" w:hAnsi="Times New Roman"/>
          <w:color w:val="000000" w:themeColor="text1"/>
          <w:lang w:val="es-ES"/>
        </w:rPr>
        <w:t xml:space="preserve"> millones, de los cuales puso a disposición del público</w:t>
      </w:r>
      <w:r w:rsidR="009B66E8" w:rsidRPr="006569D0">
        <w:rPr>
          <w:rFonts w:ascii="Times New Roman" w:hAnsi="Times New Roman"/>
          <w:color w:val="000000" w:themeColor="text1"/>
          <w:lang w:val="es-ES"/>
        </w:rPr>
        <w:t xml:space="preserve"> </w:t>
      </w:r>
      <w:r w:rsidR="00FE5B1F" w:rsidRPr="006569D0">
        <w:rPr>
          <w:rFonts w:ascii="Times New Roman" w:hAnsi="Times New Roman"/>
          <w:color w:val="000000" w:themeColor="text1"/>
          <w:lang w:val="es-ES"/>
        </w:rPr>
        <w:t>l</w:t>
      </w:r>
      <w:r w:rsidR="009B66E8" w:rsidRPr="006569D0">
        <w:rPr>
          <w:rFonts w:ascii="Times New Roman" w:hAnsi="Times New Roman"/>
          <w:color w:val="000000" w:themeColor="text1"/>
          <w:lang w:val="es-ES"/>
        </w:rPr>
        <w:t>as siguientes actividades de comercialización:</w:t>
      </w:r>
    </w:p>
    <w:p w14:paraId="7D2824A5" w14:textId="77777777" w:rsidR="009B66E8" w:rsidRPr="006569D0" w:rsidRDefault="009B66E8" w:rsidP="009B66E8">
      <w:pPr>
        <w:spacing w:after="120" w:line="480" w:lineRule="auto"/>
        <w:ind w:firstLine="720"/>
        <w:jc w:val="both"/>
        <w:rPr>
          <w:rFonts w:ascii="Times New Roman" w:hAnsi="Times New Roman"/>
          <w:color w:val="000000" w:themeColor="text1"/>
          <w:lang w:val="es-ES"/>
        </w:rPr>
        <w:sectPr w:rsidR="009B66E8" w:rsidRPr="006569D0" w:rsidSect="00D121FE">
          <w:type w:val="continuous"/>
          <w:pgSz w:w="12240" w:h="15840" w:code="1"/>
          <w:pgMar w:top="1440" w:right="2160" w:bottom="1440" w:left="2160" w:header="720" w:footer="720" w:gutter="0"/>
          <w:cols w:space="720"/>
          <w:docGrid w:linePitch="360"/>
        </w:sectPr>
      </w:pPr>
    </w:p>
    <w:p w14:paraId="0812CFA5" w14:textId="27C64253" w:rsidR="009B66E8" w:rsidRPr="006569D0" w:rsidRDefault="0020338F" w:rsidP="001C6B1A">
      <w:pPr>
        <w:pStyle w:val="Prrafodelista"/>
        <w:numPr>
          <w:ilvl w:val="0"/>
          <w:numId w:val="25"/>
        </w:numPr>
        <w:spacing w:after="0" w:line="480" w:lineRule="auto"/>
        <w:ind w:left="567" w:firstLine="0"/>
        <w:jc w:val="both"/>
        <w:rPr>
          <w:rFonts w:ascii="Times New Roman" w:hAnsi="Times New Roman"/>
          <w:color w:val="000000" w:themeColor="text1"/>
          <w:sz w:val="24"/>
          <w:szCs w:val="24"/>
          <w:lang w:val="es-ES"/>
        </w:rPr>
      </w:pPr>
      <w:r w:rsidRPr="006569D0">
        <w:rPr>
          <w:rFonts w:ascii="Times New Roman" w:hAnsi="Times New Roman"/>
          <w:color w:val="000000" w:themeColor="text1"/>
          <w:sz w:val="24"/>
          <w:szCs w:val="24"/>
          <w:lang w:val="es-ES"/>
        </w:rPr>
        <w:t>1</w:t>
      </w:r>
      <w:r w:rsidR="00A34071" w:rsidRPr="006569D0">
        <w:rPr>
          <w:rFonts w:ascii="Times New Roman" w:hAnsi="Times New Roman"/>
          <w:color w:val="000000" w:themeColor="text1"/>
          <w:sz w:val="24"/>
          <w:szCs w:val="24"/>
          <w:lang w:val="es-ES"/>
        </w:rPr>
        <w:t>2</w:t>
      </w:r>
      <w:r w:rsidRPr="006569D0">
        <w:rPr>
          <w:rFonts w:ascii="Times New Roman" w:hAnsi="Times New Roman"/>
          <w:color w:val="000000" w:themeColor="text1"/>
          <w:sz w:val="24"/>
          <w:szCs w:val="24"/>
          <w:lang w:val="es-ES"/>
        </w:rPr>
        <w:t xml:space="preserve"> agromercados, </w:t>
      </w:r>
    </w:p>
    <w:p w14:paraId="54B4B09A" w14:textId="0797273F" w:rsidR="009B66E8" w:rsidRPr="006569D0" w:rsidRDefault="00E57EE1" w:rsidP="001C6B1A">
      <w:pPr>
        <w:pStyle w:val="Prrafodelista"/>
        <w:numPr>
          <w:ilvl w:val="0"/>
          <w:numId w:val="25"/>
        </w:numPr>
        <w:spacing w:after="0" w:line="480" w:lineRule="auto"/>
        <w:ind w:left="567" w:firstLine="0"/>
        <w:jc w:val="both"/>
        <w:rPr>
          <w:rFonts w:ascii="Times New Roman" w:hAnsi="Times New Roman"/>
          <w:color w:val="000000" w:themeColor="text1"/>
          <w:sz w:val="24"/>
          <w:szCs w:val="24"/>
          <w:lang w:val="es-ES"/>
        </w:rPr>
      </w:pPr>
      <w:r w:rsidRPr="006569D0">
        <w:rPr>
          <w:rFonts w:ascii="Times New Roman" w:hAnsi="Times New Roman"/>
          <w:color w:val="000000" w:themeColor="text1"/>
          <w:sz w:val="24"/>
          <w:szCs w:val="24"/>
          <w:lang w:val="es-ES"/>
        </w:rPr>
        <w:t>5</w:t>
      </w:r>
      <w:r w:rsidR="00A34071" w:rsidRPr="006569D0">
        <w:rPr>
          <w:rFonts w:ascii="Times New Roman" w:hAnsi="Times New Roman"/>
          <w:color w:val="000000" w:themeColor="text1"/>
          <w:sz w:val="24"/>
          <w:szCs w:val="24"/>
          <w:lang w:val="es-ES"/>
        </w:rPr>
        <w:t>34</w:t>
      </w:r>
      <w:r w:rsidR="0020338F" w:rsidRPr="006569D0">
        <w:rPr>
          <w:rFonts w:ascii="Times New Roman" w:hAnsi="Times New Roman"/>
          <w:color w:val="000000" w:themeColor="text1"/>
          <w:sz w:val="24"/>
          <w:szCs w:val="24"/>
          <w:lang w:val="es-ES"/>
        </w:rPr>
        <w:t xml:space="preserve"> bodegas móviles, </w:t>
      </w:r>
    </w:p>
    <w:p w14:paraId="32E7DE9C" w14:textId="7D94D4F6" w:rsidR="009B66E8" w:rsidRPr="006569D0" w:rsidRDefault="00A34071" w:rsidP="001C6B1A">
      <w:pPr>
        <w:pStyle w:val="Prrafodelista"/>
        <w:numPr>
          <w:ilvl w:val="0"/>
          <w:numId w:val="25"/>
        </w:numPr>
        <w:spacing w:after="0" w:line="480" w:lineRule="auto"/>
        <w:ind w:left="567" w:firstLine="0"/>
        <w:jc w:val="both"/>
        <w:rPr>
          <w:rFonts w:ascii="Times New Roman" w:hAnsi="Times New Roman"/>
          <w:color w:val="000000" w:themeColor="text1"/>
          <w:sz w:val="24"/>
          <w:lang w:val="es-ES"/>
        </w:rPr>
      </w:pPr>
      <w:r w:rsidRPr="006569D0">
        <w:rPr>
          <w:rFonts w:ascii="Times New Roman" w:hAnsi="Times New Roman"/>
          <w:color w:val="000000" w:themeColor="text1"/>
          <w:sz w:val="24"/>
          <w:lang w:val="es-ES"/>
        </w:rPr>
        <w:t>6</w:t>
      </w:r>
      <w:r w:rsidR="0020338F" w:rsidRPr="006569D0">
        <w:rPr>
          <w:rFonts w:ascii="Times New Roman" w:hAnsi="Times New Roman"/>
          <w:color w:val="000000" w:themeColor="text1"/>
          <w:sz w:val="24"/>
          <w:lang w:val="es-ES"/>
        </w:rPr>
        <w:t xml:space="preserve"> bodegas fijas</w:t>
      </w:r>
      <w:r w:rsidR="009B66E8" w:rsidRPr="006569D0">
        <w:rPr>
          <w:rFonts w:ascii="Times New Roman" w:hAnsi="Times New Roman"/>
          <w:color w:val="000000" w:themeColor="text1"/>
          <w:sz w:val="24"/>
          <w:lang w:val="es-ES"/>
        </w:rPr>
        <w:t>,</w:t>
      </w:r>
      <w:r w:rsidR="0020338F" w:rsidRPr="006569D0">
        <w:rPr>
          <w:rFonts w:ascii="Times New Roman" w:hAnsi="Times New Roman"/>
          <w:color w:val="000000" w:themeColor="text1"/>
          <w:sz w:val="24"/>
          <w:lang w:val="es-ES"/>
        </w:rPr>
        <w:t xml:space="preserve"> </w:t>
      </w:r>
    </w:p>
    <w:p w14:paraId="0453D846" w14:textId="08FC54C2" w:rsidR="009B66E8" w:rsidRPr="006569D0" w:rsidRDefault="00A34071" w:rsidP="001C6B1A">
      <w:pPr>
        <w:pStyle w:val="Prrafodelista"/>
        <w:numPr>
          <w:ilvl w:val="0"/>
          <w:numId w:val="25"/>
        </w:numPr>
        <w:spacing w:after="0" w:line="480" w:lineRule="auto"/>
        <w:ind w:left="567" w:firstLine="0"/>
        <w:jc w:val="both"/>
        <w:rPr>
          <w:rFonts w:ascii="Times New Roman" w:hAnsi="Times New Roman"/>
          <w:color w:val="000000" w:themeColor="text1"/>
          <w:sz w:val="24"/>
          <w:lang w:val="es-ES"/>
        </w:rPr>
      </w:pPr>
      <w:r w:rsidRPr="006569D0">
        <w:rPr>
          <w:rFonts w:ascii="Times New Roman" w:hAnsi="Times New Roman"/>
          <w:color w:val="000000" w:themeColor="text1"/>
          <w:sz w:val="24"/>
          <w:lang w:val="es-ES"/>
        </w:rPr>
        <w:t>769</w:t>
      </w:r>
      <w:r w:rsidR="0020338F" w:rsidRPr="006569D0">
        <w:rPr>
          <w:rFonts w:ascii="Times New Roman" w:hAnsi="Times New Roman"/>
          <w:color w:val="000000" w:themeColor="text1"/>
          <w:sz w:val="24"/>
          <w:lang w:val="es-ES"/>
        </w:rPr>
        <w:t xml:space="preserve"> mercados abiertos, </w:t>
      </w:r>
    </w:p>
    <w:p w14:paraId="1F9CA17D" w14:textId="77777777" w:rsidR="009B66E8" w:rsidRPr="006569D0" w:rsidRDefault="009B66E8" w:rsidP="009B66E8">
      <w:pPr>
        <w:spacing w:after="120" w:line="480" w:lineRule="auto"/>
        <w:ind w:firstLine="720"/>
        <w:jc w:val="both"/>
        <w:rPr>
          <w:rFonts w:ascii="Times New Roman" w:hAnsi="Times New Roman"/>
          <w:color w:val="000000" w:themeColor="text1"/>
          <w:lang w:val="es-ES"/>
        </w:rPr>
        <w:sectPr w:rsidR="009B66E8" w:rsidRPr="006569D0" w:rsidSect="009B66E8">
          <w:type w:val="continuous"/>
          <w:pgSz w:w="12240" w:h="15840" w:code="1"/>
          <w:pgMar w:top="1440" w:right="2160" w:bottom="1440" w:left="2160" w:header="720" w:footer="720" w:gutter="0"/>
          <w:cols w:num="2" w:space="720"/>
          <w:docGrid w:linePitch="360"/>
        </w:sectPr>
      </w:pPr>
    </w:p>
    <w:p w14:paraId="4CC96072" w14:textId="77777777" w:rsidR="00A34071" w:rsidRPr="006569D0" w:rsidRDefault="00A34071" w:rsidP="009B66E8">
      <w:pPr>
        <w:spacing w:after="120" w:line="480" w:lineRule="auto"/>
        <w:ind w:firstLine="720"/>
        <w:jc w:val="both"/>
        <w:rPr>
          <w:rFonts w:ascii="Times New Roman" w:hAnsi="Times New Roman"/>
          <w:color w:val="000000" w:themeColor="text1"/>
          <w:lang w:val="es-ES"/>
        </w:rPr>
      </w:pPr>
    </w:p>
    <w:p w14:paraId="321A5361" w14:textId="082124B2" w:rsidR="00D5555F" w:rsidRDefault="00D5555F">
      <w:pPr>
        <w:spacing w:after="0"/>
        <w:rPr>
          <w:rFonts w:ascii="Times New Roman" w:hAnsi="Times New Roman"/>
          <w:color w:val="000000" w:themeColor="text1"/>
          <w:lang w:val="es-ES"/>
        </w:rPr>
      </w:pPr>
      <w:r>
        <w:rPr>
          <w:rFonts w:ascii="Times New Roman" w:hAnsi="Times New Roman"/>
          <w:color w:val="000000" w:themeColor="text1"/>
          <w:lang w:val="es-ES"/>
        </w:rPr>
        <w:br w:type="page"/>
      </w:r>
    </w:p>
    <w:p w14:paraId="28E6C40F" w14:textId="77777777" w:rsidR="002B3574" w:rsidRPr="006569D0" w:rsidRDefault="002B3574" w:rsidP="001C6B1A">
      <w:pPr>
        <w:pStyle w:val="Prrafodelista"/>
        <w:numPr>
          <w:ilvl w:val="0"/>
          <w:numId w:val="8"/>
        </w:numPr>
        <w:spacing w:after="0"/>
        <w:ind w:left="284" w:firstLine="0"/>
        <w:rPr>
          <w:rFonts w:ascii="Times New Roman" w:hAnsi="Times New Roman"/>
          <w:b/>
          <w:sz w:val="24"/>
          <w:lang w:val="es-ES"/>
        </w:rPr>
      </w:pPr>
      <w:r w:rsidRPr="006569D0">
        <w:rPr>
          <w:rFonts w:ascii="Times New Roman" w:hAnsi="Times New Roman"/>
          <w:b/>
          <w:sz w:val="24"/>
          <w:lang w:val="es-ES"/>
        </w:rPr>
        <w:lastRenderedPageBreak/>
        <w:t>Comercialización</w:t>
      </w:r>
    </w:p>
    <w:p w14:paraId="37FC4293" w14:textId="520F07C8" w:rsidR="001769D7" w:rsidRPr="006569D0" w:rsidRDefault="00FC7F9B" w:rsidP="00581405">
      <w:pPr>
        <w:spacing w:after="0" w:line="480" w:lineRule="auto"/>
        <w:rPr>
          <w:rFonts w:ascii="Times New Roman" w:hAnsi="Times New Roman"/>
          <w:b/>
          <w:lang w:val="es-ES"/>
        </w:rPr>
      </w:pPr>
      <w:r w:rsidRPr="006569D0">
        <w:rPr>
          <w:noProof/>
          <w:lang w:eastAsia="es-DO"/>
        </w:rPr>
        <w:drawing>
          <wp:inline distT="0" distB="0" distL="0" distR="0" wp14:anchorId="25AA5914" wp14:editId="2F23F41D">
            <wp:extent cx="5549900" cy="2839453"/>
            <wp:effectExtent l="0" t="0" r="0" b="0"/>
            <wp:docPr id="29" name="Gráfico 29">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2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392D40C" w14:textId="77777777" w:rsidR="007A5DCD" w:rsidRPr="006569D0" w:rsidRDefault="007A5DCD" w:rsidP="00581405">
      <w:pPr>
        <w:spacing w:after="0" w:line="480" w:lineRule="auto"/>
        <w:rPr>
          <w:rFonts w:ascii="Times New Roman" w:hAnsi="Times New Roman"/>
          <w:b/>
          <w:lang w:val="es-ES"/>
        </w:rPr>
      </w:pPr>
    </w:p>
    <w:p w14:paraId="12DDB79D" w14:textId="77777777" w:rsidR="001769D7" w:rsidRPr="006569D0" w:rsidRDefault="001769D7" w:rsidP="0020047B">
      <w:pPr>
        <w:pStyle w:val="Prrafodelista"/>
        <w:numPr>
          <w:ilvl w:val="0"/>
          <w:numId w:val="4"/>
        </w:numPr>
        <w:spacing w:after="0" w:line="360" w:lineRule="auto"/>
        <w:ind w:left="0" w:firstLine="567"/>
        <w:outlineLvl w:val="3"/>
        <w:rPr>
          <w:rFonts w:ascii="Times New Roman" w:hAnsi="Times New Roman"/>
          <w:b/>
          <w:sz w:val="28"/>
          <w:szCs w:val="24"/>
          <w:lang w:val="es-ES"/>
        </w:rPr>
      </w:pPr>
      <w:bookmarkStart w:id="92" w:name="_Toc470523330"/>
      <w:bookmarkStart w:id="93" w:name="_Toc26292028"/>
      <w:bookmarkStart w:id="94" w:name="_Toc27146732"/>
      <w:r w:rsidRPr="006569D0">
        <w:rPr>
          <w:rFonts w:ascii="Times New Roman" w:hAnsi="Times New Roman"/>
          <w:b/>
          <w:sz w:val="28"/>
          <w:szCs w:val="24"/>
          <w:lang w:val="es-ES"/>
        </w:rPr>
        <w:t>Financiamiento</w:t>
      </w:r>
      <w:bookmarkEnd w:id="92"/>
      <w:bookmarkEnd w:id="93"/>
      <w:bookmarkEnd w:id="94"/>
    </w:p>
    <w:p w14:paraId="5ED9C10C" w14:textId="160736DE" w:rsidR="0020338F" w:rsidRPr="006569D0" w:rsidRDefault="00FE5B1F" w:rsidP="0020338F">
      <w:pPr>
        <w:spacing w:after="0" w:line="480" w:lineRule="auto"/>
        <w:ind w:firstLine="851"/>
        <w:jc w:val="both"/>
        <w:rPr>
          <w:rFonts w:ascii="Times New Roman" w:hAnsi="Times New Roman"/>
          <w:lang w:val="es-ES"/>
        </w:rPr>
      </w:pPr>
      <w:r w:rsidRPr="006569D0">
        <w:rPr>
          <w:rFonts w:ascii="Times New Roman" w:hAnsi="Times New Roman"/>
          <w:lang w:val="es-ES"/>
        </w:rPr>
        <w:t>A</w:t>
      </w:r>
      <w:r w:rsidR="0020338F" w:rsidRPr="006569D0">
        <w:rPr>
          <w:rFonts w:ascii="Times New Roman" w:hAnsi="Times New Roman"/>
          <w:lang w:val="es-ES"/>
        </w:rPr>
        <w:t xml:space="preserve"> través de la colocación de recursos financieros del Banco Agrícola (BAGRICOLA) y el Fondo Especial para el Des</w:t>
      </w:r>
      <w:r w:rsidRPr="006569D0">
        <w:rPr>
          <w:rFonts w:ascii="Times New Roman" w:hAnsi="Times New Roman"/>
          <w:lang w:val="es-ES"/>
        </w:rPr>
        <w:t xml:space="preserve">arrollo Agropecuario (FEDA), </w:t>
      </w:r>
      <w:r w:rsidR="00BF01A3" w:rsidRPr="006569D0">
        <w:rPr>
          <w:rFonts w:ascii="Times New Roman" w:hAnsi="Times New Roman"/>
          <w:lang w:val="es-ES"/>
        </w:rPr>
        <w:t xml:space="preserve">el programa de financiamiento, </w:t>
      </w:r>
      <w:r w:rsidRPr="006569D0">
        <w:rPr>
          <w:rFonts w:ascii="Times New Roman" w:hAnsi="Times New Roman"/>
          <w:lang w:val="es-ES"/>
        </w:rPr>
        <w:t>logró</w:t>
      </w:r>
      <w:r w:rsidR="0020338F" w:rsidRPr="006569D0">
        <w:rPr>
          <w:rFonts w:ascii="Times New Roman" w:hAnsi="Times New Roman"/>
          <w:lang w:val="es-ES"/>
        </w:rPr>
        <w:t xml:space="preserve"> colocar recursos financieros en beneficio de pequeños y medianos productores agropecuarios, presentando un incremento de </w:t>
      </w:r>
      <w:r w:rsidR="00D73DA3" w:rsidRPr="006569D0">
        <w:rPr>
          <w:rFonts w:ascii="Times New Roman" w:hAnsi="Times New Roman"/>
          <w:lang w:val="es-ES"/>
        </w:rPr>
        <w:t>17.41</w:t>
      </w:r>
      <w:r w:rsidR="0020338F" w:rsidRPr="006569D0">
        <w:rPr>
          <w:rFonts w:ascii="Times New Roman" w:hAnsi="Times New Roman"/>
          <w:lang w:val="es-ES"/>
        </w:rPr>
        <w:t xml:space="preserve">%, equivalente a </w:t>
      </w:r>
      <w:r w:rsidRPr="006569D0">
        <w:rPr>
          <w:rFonts w:ascii="Times New Roman" w:hAnsi="Times New Roman"/>
          <w:lang w:val="es-ES"/>
        </w:rPr>
        <w:t>RD$</w:t>
      </w:r>
      <w:r w:rsidR="00D73DA3" w:rsidRPr="006569D0">
        <w:rPr>
          <w:rFonts w:ascii="Times New Roman" w:hAnsi="Times New Roman"/>
          <w:lang w:val="es-ES"/>
        </w:rPr>
        <w:t>3,487</w:t>
      </w:r>
      <w:r w:rsidR="0020338F" w:rsidRPr="006569D0">
        <w:rPr>
          <w:rFonts w:ascii="Times New Roman" w:hAnsi="Times New Roman"/>
          <w:lang w:val="es-ES"/>
        </w:rPr>
        <w:t xml:space="preserve"> </w:t>
      </w:r>
      <w:r w:rsidR="00E051A2">
        <w:rPr>
          <w:rFonts w:ascii="Times New Roman" w:hAnsi="Times New Roman"/>
          <w:lang w:val="es-ES"/>
        </w:rPr>
        <w:t>m</w:t>
      </w:r>
      <w:r w:rsidRPr="006569D0">
        <w:rPr>
          <w:rFonts w:ascii="Times New Roman" w:hAnsi="Times New Roman"/>
          <w:lang w:val="es-ES"/>
        </w:rPr>
        <w:t>illones</w:t>
      </w:r>
      <w:r w:rsidR="0020338F" w:rsidRPr="006569D0">
        <w:rPr>
          <w:rFonts w:ascii="Times New Roman" w:hAnsi="Times New Roman"/>
          <w:lang w:val="es-ES"/>
        </w:rPr>
        <w:t xml:space="preserve">, pasando de </w:t>
      </w:r>
      <w:r w:rsidR="002A68D2">
        <w:rPr>
          <w:rFonts w:ascii="Times New Roman" w:hAnsi="Times New Roman"/>
          <w:lang w:val="es-ES"/>
        </w:rPr>
        <w:t>RD$</w:t>
      </w:r>
      <w:r w:rsidR="00D73DA3" w:rsidRPr="006569D0">
        <w:rPr>
          <w:rFonts w:ascii="Times New Roman" w:hAnsi="Times New Roman"/>
          <w:lang w:val="es-ES"/>
        </w:rPr>
        <w:t>20,033.82</w:t>
      </w:r>
      <w:r w:rsidR="0020338F" w:rsidRPr="006569D0">
        <w:rPr>
          <w:rFonts w:ascii="Times New Roman" w:hAnsi="Times New Roman"/>
          <w:lang w:val="es-ES"/>
        </w:rPr>
        <w:t xml:space="preserve"> </w:t>
      </w:r>
      <w:r w:rsidR="00D73DA3" w:rsidRPr="006569D0">
        <w:rPr>
          <w:rFonts w:ascii="Times New Roman" w:hAnsi="Times New Roman"/>
          <w:lang w:val="es-ES"/>
        </w:rPr>
        <w:t>m</w:t>
      </w:r>
      <w:r w:rsidRPr="006569D0">
        <w:rPr>
          <w:rFonts w:ascii="Times New Roman" w:hAnsi="Times New Roman"/>
          <w:lang w:val="es-ES"/>
        </w:rPr>
        <w:t>illones</w:t>
      </w:r>
      <w:r w:rsidR="0020338F" w:rsidRPr="006569D0">
        <w:rPr>
          <w:rFonts w:ascii="Times New Roman" w:hAnsi="Times New Roman"/>
          <w:lang w:val="es-ES"/>
        </w:rPr>
        <w:t xml:space="preserve"> en el 201</w:t>
      </w:r>
      <w:r w:rsidR="00D73DA3" w:rsidRPr="006569D0">
        <w:rPr>
          <w:rFonts w:ascii="Times New Roman" w:hAnsi="Times New Roman"/>
          <w:lang w:val="es-ES"/>
        </w:rPr>
        <w:t>8</w:t>
      </w:r>
      <w:r w:rsidR="0020338F" w:rsidRPr="006569D0">
        <w:rPr>
          <w:rFonts w:ascii="Times New Roman" w:hAnsi="Times New Roman"/>
          <w:lang w:val="es-ES"/>
        </w:rPr>
        <w:t xml:space="preserve"> a </w:t>
      </w:r>
      <w:r w:rsidR="002A68D2">
        <w:rPr>
          <w:rFonts w:ascii="Times New Roman" w:hAnsi="Times New Roman"/>
          <w:lang w:val="es-ES"/>
        </w:rPr>
        <w:t>RD$</w:t>
      </w:r>
      <w:r w:rsidR="00D73DA3" w:rsidRPr="006569D0">
        <w:rPr>
          <w:rFonts w:ascii="Times New Roman" w:hAnsi="Times New Roman"/>
          <w:lang w:val="es-ES"/>
        </w:rPr>
        <w:t>23,520.99</w:t>
      </w:r>
      <w:r w:rsidR="0020338F" w:rsidRPr="006569D0">
        <w:rPr>
          <w:rFonts w:ascii="Times New Roman" w:hAnsi="Times New Roman"/>
          <w:lang w:val="es-ES"/>
        </w:rPr>
        <w:t xml:space="preserve"> </w:t>
      </w:r>
      <w:r w:rsidR="00D73DA3" w:rsidRPr="006569D0">
        <w:rPr>
          <w:rFonts w:ascii="Times New Roman" w:hAnsi="Times New Roman"/>
          <w:lang w:val="es-ES"/>
        </w:rPr>
        <w:t>m</w:t>
      </w:r>
      <w:r w:rsidRPr="006569D0">
        <w:rPr>
          <w:rFonts w:ascii="Times New Roman" w:hAnsi="Times New Roman"/>
          <w:lang w:val="es-ES"/>
        </w:rPr>
        <w:t>illones</w:t>
      </w:r>
      <w:r w:rsidR="0020338F" w:rsidRPr="006569D0">
        <w:rPr>
          <w:rFonts w:ascii="Times New Roman" w:hAnsi="Times New Roman"/>
          <w:lang w:val="es-ES"/>
        </w:rPr>
        <w:t xml:space="preserve"> en 201</w:t>
      </w:r>
      <w:r w:rsidR="00D73DA3" w:rsidRPr="006569D0">
        <w:rPr>
          <w:rFonts w:ascii="Times New Roman" w:hAnsi="Times New Roman"/>
          <w:lang w:val="es-ES"/>
        </w:rPr>
        <w:t>9</w:t>
      </w:r>
      <w:r w:rsidR="0020338F" w:rsidRPr="006569D0">
        <w:rPr>
          <w:rFonts w:ascii="Times New Roman" w:hAnsi="Times New Roman"/>
          <w:lang w:val="es-ES"/>
        </w:rPr>
        <w:t xml:space="preserve">, </w:t>
      </w:r>
      <w:r w:rsidR="001A3FE8" w:rsidRPr="006569D0">
        <w:rPr>
          <w:rFonts w:ascii="Times New Roman" w:hAnsi="Times New Roman"/>
          <w:i/>
          <w:lang w:val="es-ES"/>
        </w:rPr>
        <w:t>(ODS 2.3.1)</w:t>
      </w:r>
      <w:r w:rsidR="001A3FE8" w:rsidRPr="006569D0">
        <w:rPr>
          <w:rFonts w:ascii="Times New Roman" w:hAnsi="Times New Roman"/>
          <w:lang w:val="es-ES"/>
        </w:rPr>
        <w:t xml:space="preserve">, </w:t>
      </w:r>
      <w:r w:rsidR="0020338F" w:rsidRPr="006569D0">
        <w:rPr>
          <w:rFonts w:ascii="Times New Roman" w:hAnsi="Times New Roman"/>
          <w:lang w:val="es-ES"/>
        </w:rPr>
        <w:t>como se aprecia en el gráfico no. 12.</w:t>
      </w:r>
    </w:p>
    <w:p w14:paraId="24109210" w14:textId="77777777" w:rsidR="004B00E0" w:rsidRPr="006569D0" w:rsidRDefault="004B00E0" w:rsidP="004B00E0">
      <w:pPr>
        <w:spacing w:after="0" w:line="480" w:lineRule="auto"/>
        <w:rPr>
          <w:rFonts w:ascii="Times New Roman" w:hAnsi="Times New Roman"/>
          <w:lang w:val="es-ES"/>
        </w:rPr>
      </w:pPr>
    </w:p>
    <w:p w14:paraId="2AC02F94" w14:textId="29EE0A59" w:rsidR="004B00E0" w:rsidRPr="006569D0" w:rsidRDefault="004B00E0" w:rsidP="004B00E0">
      <w:pPr>
        <w:spacing w:after="0" w:line="480" w:lineRule="auto"/>
        <w:rPr>
          <w:rFonts w:ascii="Times New Roman" w:hAnsi="Times New Roman"/>
          <w:lang w:val="es-ES"/>
        </w:rPr>
      </w:pPr>
      <w:r w:rsidRPr="006569D0">
        <w:rPr>
          <w:rFonts w:ascii="Times New Roman" w:hAnsi="Times New Roman"/>
          <w:lang w:val="es-ES"/>
        </w:rPr>
        <w:br w:type="page"/>
      </w:r>
    </w:p>
    <w:p w14:paraId="5BDE7AE4" w14:textId="77777777" w:rsidR="009B2B3F" w:rsidRPr="006569D0" w:rsidRDefault="00115B9C" w:rsidP="001C6B1A">
      <w:pPr>
        <w:pStyle w:val="Prrafodelista"/>
        <w:numPr>
          <w:ilvl w:val="0"/>
          <w:numId w:val="8"/>
        </w:numPr>
        <w:spacing w:after="0"/>
        <w:rPr>
          <w:rFonts w:ascii="Times New Roman" w:hAnsi="Times New Roman"/>
          <w:b/>
          <w:sz w:val="24"/>
          <w:lang w:val="es-ES"/>
        </w:rPr>
      </w:pPr>
      <w:r w:rsidRPr="006569D0">
        <w:rPr>
          <w:rFonts w:ascii="Times New Roman" w:hAnsi="Times New Roman"/>
          <w:b/>
          <w:sz w:val="24"/>
          <w:lang w:val="es-ES"/>
        </w:rPr>
        <w:lastRenderedPageBreak/>
        <w:t xml:space="preserve">RD$ Monto </w:t>
      </w:r>
      <w:r w:rsidR="0020338F" w:rsidRPr="006569D0">
        <w:rPr>
          <w:rFonts w:ascii="Times New Roman" w:hAnsi="Times New Roman"/>
          <w:b/>
          <w:sz w:val="24"/>
          <w:lang w:val="es-ES"/>
        </w:rPr>
        <w:t>d</w:t>
      </w:r>
      <w:r w:rsidRPr="006569D0">
        <w:rPr>
          <w:rFonts w:ascii="Times New Roman" w:hAnsi="Times New Roman"/>
          <w:b/>
          <w:sz w:val="24"/>
          <w:lang w:val="es-ES"/>
        </w:rPr>
        <w:t>esembolsado</w:t>
      </w:r>
    </w:p>
    <w:p w14:paraId="011D5E64" w14:textId="368CF6DE" w:rsidR="001769D7" w:rsidRPr="006569D0" w:rsidRDefault="00BF01A3" w:rsidP="0066301B">
      <w:pPr>
        <w:spacing w:after="0" w:line="360" w:lineRule="auto"/>
        <w:rPr>
          <w:rFonts w:ascii="Times New Roman" w:hAnsi="Times New Roman"/>
        </w:rPr>
      </w:pPr>
      <w:r w:rsidRPr="006569D0">
        <w:rPr>
          <w:noProof/>
          <w:lang w:eastAsia="es-DO"/>
        </w:rPr>
        <w:drawing>
          <wp:inline distT="0" distB="0" distL="0" distR="0" wp14:anchorId="58E7719F" wp14:editId="2006F6F9">
            <wp:extent cx="5698490" cy="3200400"/>
            <wp:effectExtent l="0" t="0" r="0" b="0"/>
            <wp:docPr id="30" name="Gráfico 30">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100-00001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EBAC279" w14:textId="77777777" w:rsidR="009812B3" w:rsidRPr="006569D0" w:rsidRDefault="009812B3" w:rsidP="009812B3">
      <w:pPr>
        <w:spacing w:after="0"/>
        <w:rPr>
          <w:rFonts w:ascii="Times New Roman" w:hAnsi="Times New Roman"/>
        </w:rPr>
      </w:pPr>
    </w:p>
    <w:p w14:paraId="3DC372E0" w14:textId="77777777" w:rsidR="001769D7" w:rsidRPr="006569D0" w:rsidRDefault="001769D7" w:rsidP="0020047B">
      <w:pPr>
        <w:pStyle w:val="Prrafodelista"/>
        <w:numPr>
          <w:ilvl w:val="0"/>
          <w:numId w:val="4"/>
        </w:numPr>
        <w:spacing w:after="0" w:line="480" w:lineRule="auto"/>
        <w:ind w:left="0" w:firstLine="567"/>
        <w:outlineLvl w:val="3"/>
        <w:rPr>
          <w:rFonts w:ascii="Times New Roman" w:hAnsi="Times New Roman"/>
          <w:b/>
          <w:sz w:val="28"/>
          <w:szCs w:val="24"/>
          <w:lang w:val="es-ES"/>
        </w:rPr>
      </w:pPr>
      <w:bookmarkStart w:id="95" w:name="_Toc470523331"/>
      <w:bookmarkStart w:id="96" w:name="_Toc26292029"/>
      <w:bookmarkStart w:id="97" w:name="_Toc27146733"/>
      <w:r w:rsidRPr="006569D0">
        <w:rPr>
          <w:rFonts w:ascii="Times New Roman" w:hAnsi="Times New Roman"/>
          <w:b/>
          <w:sz w:val="28"/>
          <w:szCs w:val="24"/>
          <w:lang w:val="es-ES"/>
        </w:rPr>
        <w:t>Cooperativas</w:t>
      </w:r>
      <w:bookmarkEnd w:id="95"/>
      <w:bookmarkEnd w:id="96"/>
      <w:bookmarkEnd w:id="97"/>
    </w:p>
    <w:p w14:paraId="24073125" w14:textId="06B2EB0F" w:rsidR="00D73DA3" w:rsidRPr="006569D0" w:rsidRDefault="00EE4095" w:rsidP="00EA41BD">
      <w:pPr>
        <w:spacing w:after="0" w:line="480" w:lineRule="auto"/>
        <w:ind w:firstLine="851"/>
        <w:jc w:val="both"/>
        <w:rPr>
          <w:rFonts w:ascii="Times New Roman" w:hAnsi="Times New Roman"/>
          <w:lang w:val="es-ES"/>
        </w:rPr>
      </w:pPr>
      <w:r w:rsidRPr="006569D0">
        <w:rPr>
          <w:rFonts w:ascii="Times New Roman" w:hAnsi="Times New Roman"/>
          <w:lang w:val="es-ES"/>
        </w:rPr>
        <w:t>Durante e</w:t>
      </w:r>
      <w:r w:rsidR="001769D7" w:rsidRPr="006569D0">
        <w:rPr>
          <w:rFonts w:ascii="Times New Roman" w:hAnsi="Times New Roman"/>
          <w:lang w:val="es-ES"/>
        </w:rPr>
        <w:t>l 201</w:t>
      </w:r>
      <w:r w:rsidR="00EA41BD" w:rsidRPr="006569D0">
        <w:rPr>
          <w:rFonts w:ascii="Times New Roman" w:hAnsi="Times New Roman"/>
          <w:lang w:val="es-ES"/>
        </w:rPr>
        <w:t>9</w:t>
      </w:r>
      <w:r w:rsidR="001769D7" w:rsidRPr="006569D0">
        <w:rPr>
          <w:rFonts w:ascii="Times New Roman" w:hAnsi="Times New Roman"/>
          <w:lang w:val="es-ES"/>
        </w:rPr>
        <w:t xml:space="preserve"> se</w:t>
      </w:r>
      <w:r w:rsidR="00B072D1" w:rsidRPr="006569D0">
        <w:rPr>
          <w:rFonts w:ascii="Times New Roman" w:hAnsi="Times New Roman"/>
          <w:lang w:val="es-ES"/>
        </w:rPr>
        <w:t xml:space="preserve"> entregaron </w:t>
      </w:r>
      <w:r w:rsidR="00140983">
        <w:rPr>
          <w:rFonts w:ascii="Times New Roman" w:hAnsi="Times New Roman"/>
          <w:lang w:val="es-ES"/>
        </w:rPr>
        <w:t>66</w:t>
      </w:r>
      <w:r w:rsidR="00B072D1" w:rsidRPr="006569D0">
        <w:rPr>
          <w:rFonts w:ascii="Times New Roman" w:hAnsi="Times New Roman"/>
          <w:lang w:val="es-ES"/>
        </w:rPr>
        <w:t xml:space="preserve"> certificaciones de incorporación de nuevas cooperativas</w:t>
      </w:r>
      <w:r w:rsidR="001769D7" w:rsidRPr="006569D0">
        <w:rPr>
          <w:rFonts w:ascii="Times New Roman" w:hAnsi="Times New Roman"/>
          <w:lang w:val="es-ES"/>
        </w:rPr>
        <w:t xml:space="preserve"> </w:t>
      </w:r>
      <w:r w:rsidR="00140983">
        <w:rPr>
          <w:rFonts w:ascii="Times New Roman" w:hAnsi="Times New Roman"/>
          <w:lang w:val="es-ES"/>
        </w:rPr>
        <w:t xml:space="preserve">de las cuales 19 corresponden a cooperativas </w:t>
      </w:r>
      <w:r w:rsidR="001769D7" w:rsidRPr="006569D0">
        <w:rPr>
          <w:rFonts w:ascii="Times New Roman" w:hAnsi="Times New Roman"/>
          <w:lang w:val="es-ES"/>
        </w:rPr>
        <w:t>agropecuarias</w:t>
      </w:r>
      <w:r w:rsidR="00C92A83" w:rsidRPr="006569D0">
        <w:rPr>
          <w:rFonts w:ascii="Times New Roman" w:hAnsi="Times New Roman"/>
          <w:lang w:val="es-ES"/>
        </w:rPr>
        <w:t xml:space="preserve">, como se muestra en el gráfico </w:t>
      </w:r>
      <w:r w:rsidR="00BA36D3" w:rsidRPr="006569D0">
        <w:rPr>
          <w:rFonts w:ascii="Times New Roman" w:hAnsi="Times New Roman"/>
          <w:lang w:val="es-ES"/>
        </w:rPr>
        <w:t>no.</w:t>
      </w:r>
      <w:r w:rsidR="00450240" w:rsidRPr="006569D0">
        <w:rPr>
          <w:rFonts w:ascii="Times New Roman" w:hAnsi="Times New Roman"/>
          <w:lang w:val="es-ES"/>
        </w:rPr>
        <w:t xml:space="preserve"> </w:t>
      </w:r>
      <w:r w:rsidR="00C92A83" w:rsidRPr="006569D0">
        <w:rPr>
          <w:rFonts w:ascii="Times New Roman" w:hAnsi="Times New Roman"/>
          <w:lang w:val="es-ES"/>
        </w:rPr>
        <w:t>1</w:t>
      </w:r>
      <w:r w:rsidR="0056056D" w:rsidRPr="006569D0">
        <w:rPr>
          <w:rFonts w:ascii="Times New Roman" w:hAnsi="Times New Roman"/>
          <w:lang w:val="es-ES"/>
        </w:rPr>
        <w:t>3</w:t>
      </w:r>
      <w:r w:rsidR="00140983">
        <w:rPr>
          <w:rFonts w:ascii="Times New Roman" w:hAnsi="Times New Roman"/>
          <w:lang w:val="es-ES"/>
        </w:rPr>
        <w:t>.</w:t>
      </w:r>
      <w:r w:rsidR="001769D7" w:rsidRPr="006569D0">
        <w:rPr>
          <w:rFonts w:ascii="Times New Roman" w:hAnsi="Times New Roman"/>
          <w:lang w:val="es-ES"/>
        </w:rPr>
        <w:t xml:space="preserve"> </w:t>
      </w:r>
    </w:p>
    <w:p w14:paraId="5CFAEA15" w14:textId="77777777" w:rsidR="00D73DA3" w:rsidRPr="006569D0" w:rsidRDefault="00D73DA3" w:rsidP="00EA41BD">
      <w:pPr>
        <w:spacing w:after="0" w:line="480" w:lineRule="auto"/>
        <w:ind w:firstLine="851"/>
        <w:jc w:val="both"/>
        <w:rPr>
          <w:rFonts w:ascii="Times New Roman" w:hAnsi="Times New Roman"/>
          <w:lang w:val="es-ES"/>
        </w:rPr>
      </w:pPr>
    </w:p>
    <w:p w14:paraId="0E1AD54B" w14:textId="2E2FB184" w:rsidR="000650BE" w:rsidRPr="006569D0" w:rsidRDefault="00C92A83" w:rsidP="00EA41BD">
      <w:pPr>
        <w:spacing w:after="0" w:line="480" w:lineRule="auto"/>
        <w:ind w:firstLine="851"/>
        <w:jc w:val="both"/>
        <w:rPr>
          <w:rFonts w:ascii="Times New Roman" w:hAnsi="Times New Roman"/>
          <w:lang w:val="es-ES"/>
        </w:rPr>
      </w:pPr>
      <w:r w:rsidRPr="006569D0">
        <w:rPr>
          <w:rFonts w:ascii="Times New Roman" w:hAnsi="Times New Roman"/>
          <w:lang w:val="es-ES"/>
        </w:rPr>
        <w:t xml:space="preserve">Adicionalmente se reestructuraron </w:t>
      </w:r>
      <w:r w:rsidR="00B11634" w:rsidRPr="006569D0">
        <w:rPr>
          <w:rFonts w:ascii="Times New Roman" w:hAnsi="Times New Roman"/>
          <w:lang w:val="es-ES"/>
        </w:rPr>
        <w:t xml:space="preserve">54 </w:t>
      </w:r>
      <w:r w:rsidR="002077FD" w:rsidRPr="006569D0">
        <w:rPr>
          <w:rFonts w:ascii="Times New Roman" w:hAnsi="Times New Roman"/>
          <w:lang w:val="es-ES"/>
        </w:rPr>
        <w:t>asociaciones</w:t>
      </w:r>
      <w:r w:rsidRPr="006569D0">
        <w:rPr>
          <w:rFonts w:ascii="Times New Roman" w:hAnsi="Times New Roman"/>
          <w:lang w:val="es-ES"/>
        </w:rPr>
        <w:t xml:space="preserve"> </w:t>
      </w:r>
      <w:r w:rsidR="00B072D1" w:rsidRPr="006569D0">
        <w:rPr>
          <w:rFonts w:ascii="Times New Roman" w:hAnsi="Times New Roman"/>
          <w:lang w:val="es-ES"/>
        </w:rPr>
        <w:t>y cooperativas</w:t>
      </w:r>
      <w:r w:rsidR="00450240" w:rsidRPr="006569D0">
        <w:rPr>
          <w:rFonts w:ascii="Times New Roman" w:hAnsi="Times New Roman"/>
          <w:lang w:val="es-ES"/>
        </w:rPr>
        <w:t xml:space="preserve"> </w:t>
      </w:r>
      <w:r w:rsidR="00E051A2">
        <w:rPr>
          <w:rFonts w:ascii="Times New Roman" w:hAnsi="Times New Roman"/>
          <w:lang w:val="es-ES"/>
        </w:rPr>
        <w:t>con una matrícula de 653 m</w:t>
      </w:r>
      <w:r w:rsidR="00B11634" w:rsidRPr="006569D0">
        <w:rPr>
          <w:rFonts w:ascii="Times New Roman" w:hAnsi="Times New Roman"/>
          <w:lang w:val="es-ES"/>
        </w:rPr>
        <w:t xml:space="preserve">iembros </w:t>
      </w:r>
      <w:r w:rsidRPr="006569D0">
        <w:rPr>
          <w:rFonts w:ascii="Times New Roman" w:hAnsi="Times New Roman"/>
          <w:lang w:val="es-ES"/>
        </w:rPr>
        <w:t>de pequeños y medianos productores</w:t>
      </w:r>
      <w:r w:rsidR="009101F9" w:rsidRPr="006569D0">
        <w:rPr>
          <w:rFonts w:ascii="Times New Roman" w:hAnsi="Times New Roman"/>
          <w:lang w:val="es-ES"/>
        </w:rPr>
        <w:t>,</w:t>
      </w:r>
      <w:r w:rsidR="00EA41BD" w:rsidRPr="006569D0">
        <w:rPr>
          <w:rFonts w:ascii="Times New Roman" w:hAnsi="Times New Roman"/>
          <w:lang w:val="es-ES"/>
        </w:rPr>
        <w:t xml:space="preserve"> </w:t>
      </w:r>
      <w:r w:rsidR="00B11634" w:rsidRPr="006569D0">
        <w:rPr>
          <w:rFonts w:ascii="Times New Roman" w:hAnsi="Times New Roman"/>
          <w:lang w:val="es-ES"/>
        </w:rPr>
        <w:t>gestionadas a través del Instituto Agrario Dominicano.</w:t>
      </w:r>
    </w:p>
    <w:p w14:paraId="1D9EFE61" w14:textId="34DE1FB5" w:rsidR="00EA396D" w:rsidRPr="006569D0" w:rsidRDefault="00EA396D">
      <w:pPr>
        <w:spacing w:after="0"/>
        <w:rPr>
          <w:rFonts w:ascii="Times New Roman" w:hAnsi="Times New Roman"/>
          <w:lang w:val="es-ES"/>
        </w:rPr>
      </w:pPr>
      <w:r w:rsidRPr="006569D0">
        <w:rPr>
          <w:rFonts w:ascii="Times New Roman" w:hAnsi="Times New Roman"/>
          <w:lang w:val="es-ES"/>
        </w:rPr>
        <w:br w:type="page"/>
      </w:r>
    </w:p>
    <w:p w14:paraId="35FA51CE" w14:textId="465C893B" w:rsidR="00EA41BD" w:rsidRPr="006569D0" w:rsidRDefault="009B2B3F" w:rsidP="001C6B1A">
      <w:pPr>
        <w:pStyle w:val="Prrafodelista"/>
        <w:numPr>
          <w:ilvl w:val="0"/>
          <w:numId w:val="8"/>
        </w:numPr>
        <w:spacing w:after="0" w:line="360" w:lineRule="auto"/>
        <w:rPr>
          <w:rFonts w:ascii="Times New Roman" w:hAnsi="Times New Roman"/>
          <w:lang w:val="es-ES_tradnl"/>
        </w:rPr>
      </w:pPr>
      <w:r w:rsidRPr="006569D0">
        <w:rPr>
          <w:rFonts w:ascii="Times New Roman" w:hAnsi="Times New Roman"/>
          <w:b/>
          <w:sz w:val="24"/>
          <w:lang w:val="es-ES"/>
        </w:rPr>
        <w:lastRenderedPageBreak/>
        <w:t>Cooperativas</w:t>
      </w:r>
      <w:r w:rsidR="00D46895" w:rsidRPr="006569D0">
        <w:rPr>
          <w:rFonts w:ascii="Times New Roman" w:hAnsi="Times New Roman"/>
          <w:b/>
          <w:sz w:val="24"/>
          <w:lang w:val="es-ES"/>
        </w:rPr>
        <w:t xml:space="preserve"> incorporadas</w:t>
      </w:r>
    </w:p>
    <w:p w14:paraId="66E7ADE0" w14:textId="5295ECA1" w:rsidR="00D73DA3" w:rsidRDefault="00140983" w:rsidP="00152A33">
      <w:pPr>
        <w:pStyle w:val="Prrafodelista"/>
        <w:spacing w:after="0" w:line="360" w:lineRule="auto"/>
        <w:ind w:left="644"/>
        <w:rPr>
          <w:rFonts w:ascii="Times New Roman" w:hAnsi="Times New Roman"/>
          <w:lang w:val="es-ES_tradnl"/>
        </w:rPr>
      </w:pPr>
      <w:r>
        <w:rPr>
          <w:noProof/>
          <w:lang w:eastAsia="es-DO"/>
        </w:rPr>
        <w:drawing>
          <wp:inline distT="0" distB="0" distL="0" distR="0" wp14:anchorId="0C7AB9D3" wp14:editId="198F5EF9">
            <wp:extent cx="5337810" cy="2731325"/>
            <wp:effectExtent l="0" t="0" r="0" b="0"/>
            <wp:docPr id="6" name="Gráfico 6">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2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CA3CA7B" w14:textId="77777777" w:rsidR="00152A33" w:rsidRDefault="00152A33" w:rsidP="00152A33">
      <w:pPr>
        <w:pStyle w:val="Prrafodelista"/>
        <w:spacing w:after="0" w:line="360" w:lineRule="auto"/>
        <w:ind w:left="644"/>
        <w:rPr>
          <w:rFonts w:ascii="Times New Roman" w:hAnsi="Times New Roman"/>
          <w:lang w:val="es-ES_tradnl"/>
        </w:rPr>
      </w:pPr>
    </w:p>
    <w:p w14:paraId="610658F8" w14:textId="77777777" w:rsidR="00DF6635" w:rsidRPr="006569D0" w:rsidRDefault="00DF6635" w:rsidP="007440C2">
      <w:pPr>
        <w:pStyle w:val="Ttulo1"/>
      </w:pPr>
      <w:bookmarkStart w:id="98" w:name="_Toc470523333"/>
      <w:bookmarkStart w:id="99" w:name="_Toc26292030"/>
      <w:bookmarkStart w:id="100" w:name="_Toc27146734"/>
      <w:r w:rsidRPr="006569D0">
        <w:t xml:space="preserve">Producción y </w:t>
      </w:r>
      <w:r w:rsidR="004A6369" w:rsidRPr="006569D0">
        <w:t>p</w:t>
      </w:r>
      <w:r w:rsidRPr="006569D0">
        <w:t xml:space="preserve">roductividad para la </w:t>
      </w:r>
      <w:r w:rsidR="004A6369" w:rsidRPr="006569D0">
        <w:t>s</w:t>
      </w:r>
      <w:r w:rsidRPr="006569D0">
        <w:t xml:space="preserve">eguridad </w:t>
      </w:r>
      <w:r w:rsidR="004A6369" w:rsidRPr="006569D0">
        <w:t>a</w:t>
      </w:r>
      <w:r w:rsidRPr="006569D0">
        <w:t>limentaria</w:t>
      </w:r>
      <w:bookmarkEnd w:id="98"/>
      <w:bookmarkEnd w:id="99"/>
      <w:bookmarkEnd w:id="100"/>
    </w:p>
    <w:p w14:paraId="4B8FFFD4" w14:textId="77777777" w:rsidR="00DF6635" w:rsidRPr="006569D0" w:rsidRDefault="00DF6635" w:rsidP="006328F2">
      <w:pPr>
        <w:spacing w:after="0" w:line="360" w:lineRule="auto"/>
        <w:ind w:firstLine="720"/>
        <w:jc w:val="both"/>
        <w:rPr>
          <w:rFonts w:ascii="Times New Roman" w:hAnsi="Times New Roman"/>
          <w:bCs/>
          <w:lang w:val="es-ES_tradnl" w:eastAsia="en-US"/>
        </w:rPr>
      </w:pPr>
    </w:p>
    <w:p w14:paraId="6E564AC5" w14:textId="77777777" w:rsidR="00DF6635" w:rsidRPr="006569D0" w:rsidRDefault="00F541A4" w:rsidP="00954002">
      <w:pPr>
        <w:pStyle w:val="Ttulo2"/>
      </w:pPr>
      <w:bookmarkStart w:id="101" w:name="_Toc470523334"/>
      <w:bookmarkStart w:id="102" w:name="_Toc26292031"/>
      <w:bookmarkStart w:id="103" w:name="_Toc27146735"/>
      <w:r w:rsidRPr="006569D0">
        <w:t xml:space="preserve">a) </w:t>
      </w:r>
      <w:r w:rsidR="00DF6635" w:rsidRPr="006569D0">
        <w:t xml:space="preserve">Producción </w:t>
      </w:r>
      <w:r w:rsidR="004A6369" w:rsidRPr="006569D0">
        <w:t>a</w:t>
      </w:r>
      <w:r w:rsidR="00DF6635" w:rsidRPr="006569D0">
        <w:t>grícola</w:t>
      </w:r>
      <w:bookmarkEnd w:id="101"/>
      <w:bookmarkEnd w:id="102"/>
      <w:bookmarkEnd w:id="103"/>
    </w:p>
    <w:p w14:paraId="7F7F50D6" w14:textId="77777777" w:rsidR="00DF6635" w:rsidRPr="006569D0" w:rsidRDefault="00DF6635" w:rsidP="007440C2">
      <w:pPr>
        <w:spacing w:after="0" w:line="360" w:lineRule="auto"/>
        <w:ind w:firstLine="720"/>
        <w:jc w:val="both"/>
        <w:rPr>
          <w:rFonts w:ascii="Times New Roman" w:hAnsi="Times New Roman"/>
          <w:bCs/>
          <w:lang w:val="es-ES_tradnl" w:eastAsia="en-US"/>
        </w:rPr>
      </w:pPr>
    </w:p>
    <w:p w14:paraId="524D29E3" w14:textId="27BA6886" w:rsidR="00DF6635" w:rsidRPr="006569D0" w:rsidRDefault="00C53A1F" w:rsidP="002A1289">
      <w:pPr>
        <w:spacing w:after="0" w:line="480" w:lineRule="auto"/>
        <w:ind w:firstLine="851"/>
        <w:jc w:val="both"/>
        <w:rPr>
          <w:rFonts w:ascii="Times New Roman" w:hAnsi="Times New Roman"/>
          <w:bCs/>
          <w:lang w:val="es-ES_tradnl" w:eastAsia="en-US"/>
        </w:rPr>
      </w:pPr>
      <w:r w:rsidRPr="006569D0">
        <w:rPr>
          <w:rFonts w:ascii="Times New Roman" w:hAnsi="Times New Roman"/>
          <w:bCs/>
          <w:lang w:val="es-ES_tradnl" w:eastAsia="en-US"/>
        </w:rPr>
        <w:t xml:space="preserve">La producción agrícola nacional durante el 2019 alcanzó 173,145,734 de quintales de alimentos agrícolas, equivalente a un crecimiento de 5.75% con relación al año anterior de 163,737,040 quintales. De igual modo, se incrementó el área cosechada, pasando de 10,286,847 tareas en 2018 a 10,644,839 tareas en 2019, equivalente a un crecimiento 3.48%. (Ver anexos B, C y D) </w:t>
      </w:r>
      <w:r w:rsidR="00DF6635" w:rsidRPr="006569D0">
        <w:rPr>
          <w:rFonts w:ascii="Times New Roman" w:hAnsi="Times New Roman"/>
          <w:lang w:val="es-ES_tradnl"/>
        </w:rPr>
        <w:t>(Ver anexos B, C y D)</w:t>
      </w:r>
      <w:r w:rsidR="00DF6635" w:rsidRPr="006569D0">
        <w:rPr>
          <w:rStyle w:val="Refdenotaalpie"/>
          <w:rFonts w:ascii="Times New Roman" w:hAnsi="Times New Roman"/>
          <w:lang w:val="es-ES_tradnl"/>
        </w:rPr>
        <w:footnoteReference w:id="6"/>
      </w:r>
      <w:r w:rsidR="00DF6635" w:rsidRPr="006569D0">
        <w:rPr>
          <w:rFonts w:ascii="Times New Roman" w:hAnsi="Times New Roman"/>
          <w:lang w:val="es-ES_tradnl"/>
        </w:rPr>
        <w:t>.</w:t>
      </w:r>
    </w:p>
    <w:p w14:paraId="754CC4F3" w14:textId="77777777" w:rsidR="009338DC" w:rsidRPr="006569D0" w:rsidRDefault="009338DC" w:rsidP="00B10A65">
      <w:pPr>
        <w:spacing w:after="0" w:line="360" w:lineRule="auto"/>
        <w:ind w:left="720"/>
        <w:jc w:val="both"/>
        <w:rPr>
          <w:rFonts w:ascii="Times New Roman" w:hAnsi="Times New Roman"/>
          <w:bCs/>
          <w:lang w:val="es-ES_tradnl" w:eastAsia="en-US"/>
        </w:rPr>
      </w:pPr>
    </w:p>
    <w:p w14:paraId="1D2C962A" w14:textId="4B4FC2B2" w:rsidR="009664D6" w:rsidRDefault="009664D6" w:rsidP="009664D6">
      <w:pPr>
        <w:spacing w:after="0" w:line="480" w:lineRule="auto"/>
        <w:ind w:firstLine="720"/>
        <w:jc w:val="both"/>
        <w:rPr>
          <w:rFonts w:ascii="Times New Roman" w:hAnsi="Times New Roman"/>
          <w:bCs/>
          <w:lang w:val="es-ES_tradnl" w:eastAsia="en-US"/>
        </w:rPr>
      </w:pPr>
      <w:r w:rsidRPr="006569D0">
        <w:rPr>
          <w:rFonts w:ascii="Times New Roman" w:hAnsi="Times New Roman"/>
          <w:bCs/>
          <w:lang w:val="es-ES_tradnl" w:eastAsia="en-US"/>
        </w:rPr>
        <w:lastRenderedPageBreak/>
        <w:t>Permitiendo lograr el abastecimiento de los</w:t>
      </w:r>
      <w:r w:rsidR="00E556A8" w:rsidRPr="006569D0">
        <w:rPr>
          <w:rFonts w:ascii="Times New Roman" w:hAnsi="Times New Roman"/>
          <w:bCs/>
          <w:lang w:val="es-ES_tradnl" w:eastAsia="en-US"/>
        </w:rPr>
        <w:t xml:space="preserve"> alimentos </w:t>
      </w:r>
      <w:r w:rsidRPr="006569D0">
        <w:rPr>
          <w:rFonts w:ascii="Times New Roman" w:hAnsi="Times New Roman"/>
          <w:bCs/>
          <w:lang w:val="es-ES_tradnl" w:eastAsia="en-US"/>
        </w:rPr>
        <w:t xml:space="preserve">que componen </w:t>
      </w:r>
      <w:r w:rsidR="00B10A65" w:rsidRPr="006569D0">
        <w:rPr>
          <w:rFonts w:ascii="Times New Roman" w:hAnsi="Times New Roman"/>
          <w:bCs/>
          <w:lang w:val="es-ES_tradnl" w:eastAsia="en-US"/>
        </w:rPr>
        <w:t>la canasta básica alimenticia consumida</w:t>
      </w:r>
      <w:r w:rsidRPr="006569D0">
        <w:rPr>
          <w:rFonts w:ascii="Times New Roman" w:hAnsi="Times New Roman"/>
          <w:bCs/>
          <w:lang w:val="es-ES_tradnl" w:eastAsia="en-US"/>
        </w:rPr>
        <w:t xml:space="preserve"> por los </w:t>
      </w:r>
      <w:r w:rsidR="00B10A65" w:rsidRPr="006569D0">
        <w:rPr>
          <w:rFonts w:ascii="Times New Roman" w:hAnsi="Times New Roman"/>
          <w:bCs/>
          <w:lang w:val="es-ES_tradnl" w:eastAsia="en-US"/>
        </w:rPr>
        <w:t>dominicanos</w:t>
      </w:r>
      <w:r w:rsidRPr="006569D0">
        <w:rPr>
          <w:rFonts w:ascii="Times New Roman" w:hAnsi="Times New Roman"/>
          <w:bCs/>
          <w:lang w:val="es-ES_tradnl" w:eastAsia="en-US"/>
        </w:rPr>
        <w:t xml:space="preserve"> y los extranjeros que visitan al país</w:t>
      </w:r>
      <w:r w:rsidR="00E556A8" w:rsidRPr="006569D0">
        <w:rPr>
          <w:rFonts w:ascii="Times New Roman" w:hAnsi="Times New Roman"/>
          <w:bCs/>
          <w:lang w:val="es-ES_tradnl" w:eastAsia="en-US"/>
        </w:rPr>
        <w:t xml:space="preserve"> en más del 85%</w:t>
      </w:r>
      <w:r w:rsidRPr="006569D0">
        <w:rPr>
          <w:rFonts w:ascii="Times New Roman" w:hAnsi="Times New Roman"/>
          <w:bCs/>
          <w:lang w:val="es-ES_tradnl" w:eastAsia="en-US"/>
        </w:rPr>
        <w:t xml:space="preserve">, </w:t>
      </w:r>
      <w:r w:rsidR="001A3FE8" w:rsidRPr="006569D0">
        <w:rPr>
          <w:rFonts w:ascii="Times New Roman" w:hAnsi="Times New Roman"/>
          <w:bCs/>
          <w:i/>
          <w:lang w:val="es-ES_tradnl" w:eastAsia="en-US"/>
        </w:rPr>
        <w:t>(ODS 2.3.1)</w:t>
      </w:r>
      <w:r w:rsidR="001A3FE8" w:rsidRPr="006569D0">
        <w:rPr>
          <w:rFonts w:ascii="Times New Roman" w:hAnsi="Times New Roman"/>
          <w:bCs/>
          <w:lang w:val="es-ES_tradnl" w:eastAsia="en-US"/>
        </w:rPr>
        <w:t xml:space="preserve"> </w:t>
      </w:r>
      <w:r w:rsidRPr="006569D0">
        <w:rPr>
          <w:rFonts w:ascii="Times New Roman" w:hAnsi="Times New Roman"/>
          <w:bCs/>
          <w:lang w:val="es-ES_tradnl" w:eastAsia="en-US"/>
        </w:rPr>
        <w:t>tal como se detalla en la tabla siguiente:</w:t>
      </w:r>
    </w:p>
    <w:p w14:paraId="4DED11F6" w14:textId="77777777" w:rsidR="00B01775" w:rsidRPr="006569D0" w:rsidRDefault="00B01775" w:rsidP="009664D6">
      <w:pPr>
        <w:spacing w:after="0" w:line="480" w:lineRule="auto"/>
        <w:ind w:firstLine="720"/>
        <w:jc w:val="both"/>
        <w:rPr>
          <w:rFonts w:ascii="Times New Roman" w:hAnsi="Times New Roman"/>
          <w:bCs/>
          <w:lang w:val="es-ES_tradnl" w:eastAsia="en-US"/>
        </w:rPr>
      </w:pPr>
    </w:p>
    <w:p w14:paraId="031AE097" w14:textId="77777777" w:rsidR="009664D6" w:rsidRPr="006569D0" w:rsidRDefault="009664D6" w:rsidP="001C6B1A">
      <w:pPr>
        <w:pStyle w:val="Prrafodelista"/>
        <w:numPr>
          <w:ilvl w:val="0"/>
          <w:numId w:val="9"/>
        </w:numPr>
        <w:spacing w:after="0"/>
        <w:ind w:hanging="644"/>
        <w:jc w:val="both"/>
        <w:rPr>
          <w:rFonts w:ascii="Times New Roman" w:hAnsi="Times New Roman"/>
          <w:b/>
          <w:bCs/>
          <w:sz w:val="24"/>
          <w:lang w:val="es-ES_tradnl"/>
        </w:rPr>
      </w:pPr>
      <w:r w:rsidRPr="006569D0">
        <w:rPr>
          <w:rFonts w:ascii="Times New Roman" w:hAnsi="Times New Roman"/>
          <w:b/>
          <w:bCs/>
          <w:sz w:val="24"/>
          <w:lang w:val="es-ES_tradnl"/>
        </w:rPr>
        <w:t>Nivel de autosuficiencia</w:t>
      </w:r>
      <w:r w:rsidR="00E556A8" w:rsidRPr="006569D0">
        <w:rPr>
          <w:rFonts w:ascii="Times New Roman" w:hAnsi="Times New Roman"/>
          <w:b/>
          <w:bCs/>
          <w:sz w:val="24"/>
          <w:lang w:val="es-ES_tradnl"/>
        </w:rPr>
        <w:t xml:space="preserve"> periodo 2012-2018</w:t>
      </w:r>
    </w:p>
    <w:p w14:paraId="62392000" w14:textId="77777777" w:rsidR="00B11634" w:rsidRPr="006569D0" w:rsidRDefault="00B11634" w:rsidP="00B11634">
      <w:pPr>
        <w:pStyle w:val="Prrafodelista"/>
        <w:spacing w:after="0"/>
        <w:ind w:left="644"/>
        <w:jc w:val="both"/>
        <w:rPr>
          <w:rFonts w:ascii="Times New Roman" w:hAnsi="Times New Roman"/>
          <w:b/>
          <w:bCs/>
          <w:sz w:val="24"/>
          <w:lang w:val="es-ES_tradnl"/>
        </w:rPr>
      </w:pPr>
    </w:p>
    <w:tbl>
      <w:tblPr>
        <w:tblW w:w="60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956"/>
        <w:gridCol w:w="956"/>
        <w:gridCol w:w="956"/>
        <w:gridCol w:w="956"/>
        <w:gridCol w:w="956"/>
        <w:gridCol w:w="956"/>
        <w:gridCol w:w="956"/>
        <w:gridCol w:w="1076"/>
      </w:tblGrid>
      <w:tr w:rsidR="00B11634" w:rsidRPr="006569D0" w14:paraId="461F9954" w14:textId="43F817B5" w:rsidTr="005B68E1">
        <w:trPr>
          <w:trHeight w:val="330"/>
          <w:jc w:val="center"/>
        </w:trPr>
        <w:tc>
          <w:tcPr>
            <w:tcW w:w="947" w:type="pct"/>
            <w:shd w:val="clear" w:color="auto" w:fill="00B050"/>
            <w:noWrap/>
            <w:vAlign w:val="center"/>
            <w:hideMark/>
          </w:tcPr>
          <w:p w14:paraId="3926A57F" w14:textId="77777777" w:rsidR="00B11634" w:rsidRPr="006569D0" w:rsidRDefault="00B11634" w:rsidP="009664D6">
            <w:pPr>
              <w:spacing w:after="0"/>
              <w:jc w:val="center"/>
              <w:rPr>
                <w:rFonts w:ascii="Times New Roman" w:hAnsi="Times New Roman"/>
                <w:b/>
                <w:bCs/>
                <w:color w:val="FFFFFF" w:themeColor="background1"/>
                <w:lang w:val="en-US" w:eastAsia="en-US"/>
              </w:rPr>
            </w:pPr>
            <w:r w:rsidRPr="006569D0">
              <w:rPr>
                <w:rFonts w:ascii="Times New Roman" w:hAnsi="Times New Roman"/>
                <w:b/>
                <w:bCs/>
                <w:color w:val="FFFFFF" w:themeColor="background1"/>
                <w:lang w:val="en-US" w:eastAsia="en-US"/>
              </w:rPr>
              <w:t>Productos</w:t>
            </w:r>
          </w:p>
        </w:tc>
        <w:tc>
          <w:tcPr>
            <w:tcW w:w="499" w:type="pct"/>
            <w:shd w:val="clear" w:color="auto" w:fill="00B050"/>
            <w:noWrap/>
            <w:vAlign w:val="center"/>
            <w:hideMark/>
          </w:tcPr>
          <w:p w14:paraId="1AA7CC2A" w14:textId="77777777" w:rsidR="00B11634" w:rsidRPr="006569D0" w:rsidRDefault="00B11634" w:rsidP="009664D6">
            <w:pPr>
              <w:spacing w:after="0"/>
              <w:jc w:val="center"/>
              <w:rPr>
                <w:rFonts w:ascii="Times New Roman" w:hAnsi="Times New Roman"/>
                <w:b/>
                <w:bCs/>
                <w:color w:val="FFFFFF" w:themeColor="background1"/>
                <w:lang w:val="en-US" w:eastAsia="en-US"/>
              </w:rPr>
            </w:pPr>
            <w:r w:rsidRPr="006569D0">
              <w:rPr>
                <w:rFonts w:ascii="Times New Roman" w:hAnsi="Times New Roman"/>
                <w:b/>
                <w:bCs/>
                <w:color w:val="FFFFFF" w:themeColor="background1"/>
                <w:lang w:val="en-US" w:eastAsia="en-US"/>
              </w:rPr>
              <w:t>2012</w:t>
            </w:r>
          </w:p>
        </w:tc>
        <w:tc>
          <w:tcPr>
            <w:tcW w:w="499" w:type="pct"/>
            <w:shd w:val="clear" w:color="auto" w:fill="00B050"/>
            <w:noWrap/>
            <w:vAlign w:val="center"/>
            <w:hideMark/>
          </w:tcPr>
          <w:p w14:paraId="32501544" w14:textId="77777777" w:rsidR="00B11634" w:rsidRPr="006569D0" w:rsidRDefault="00B11634" w:rsidP="009664D6">
            <w:pPr>
              <w:spacing w:after="0"/>
              <w:jc w:val="center"/>
              <w:rPr>
                <w:rFonts w:ascii="Times New Roman" w:hAnsi="Times New Roman"/>
                <w:b/>
                <w:bCs/>
                <w:color w:val="FFFFFF" w:themeColor="background1"/>
                <w:lang w:val="en-US" w:eastAsia="en-US"/>
              </w:rPr>
            </w:pPr>
            <w:r w:rsidRPr="006569D0">
              <w:rPr>
                <w:rFonts w:ascii="Times New Roman" w:hAnsi="Times New Roman"/>
                <w:b/>
                <w:bCs/>
                <w:color w:val="FFFFFF" w:themeColor="background1"/>
                <w:lang w:val="en-US" w:eastAsia="en-US"/>
              </w:rPr>
              <w:t>2013</w:t>
            </w:r>
          </w:p>
        </w:tc>
        <w:tc>
          <w:tcPr>
            <w:tcW w:w="499" w:type="pct"/>
            <w:shd w:val="clear" w:color="auto" w:fill="00B050"/>
            <w:noWrap/>
            <w:vAlign w:val="center"/>
            <w:hideMark/>
          </w:tcPr>
          <w:p w14:paraId="454C9969" w14:textId="77777777" w:rsidR="00B11634" w:rsidRPr="006569D0" w:rsidRDefault="00B11634" w:rsidP="009664D6">
            <w:pPr>
              <w:spacing w:after="0"/>
              <w:jc w:val="center"/>
              <w:rPr>
                <w:rFonts w:ascii="Times New Roman" w:hAnsi="Times New Roman"/>
                <w:b/>
                <w:bCs/>
                <w:color w:val="FFFFFF" w:themeColor="background1"/>
                <w:lang w:val="en-US" w:eastAsia="en-US"/>
              </w:rPr>
            </w:pPr>
            <w:r w:rsidRPr="006569D0">
              <w:rPr>
                <w:rFonts w:ascii="Times New Roman" w:hAnsi="Times New Roman"/>
                <w:b/>
                <w:bCs/>
                <w:color w:val="FFFFFF" w:themeColor="background1"/>
                <w:lang w:val="en-US" w:eastAsia="en-US"/>
              </w:rPr>
              <w:t>2014</w:t>
            </w:r>
          </w:p>
        </w:tc>
        <w:tc>
          <w:tcPr>
            <w:tcW w:w="499" w:type="pct"/>
            <w:shd w:val="clear" w:color="auto" w:fill="00B050"/>
            <w:noWrap/>
            <w:vAlign w:val="center"/>
            <w:hideMark/>
          </w:tcPr>
          <w:p w14:paraId="26A62477" w14:textId="77777777" w:rsidR="00B11634" w:rsidRPr="006569D0" w:rsidRDefault="00B11634" w:rsidP="009664D6">
            <w:pPr>
              <w:spacing w:after="0"/>
              <w:jc w:val="center"/>
              <w:rPr>
                <w:rFonts w:ascii="Times New Roman" w:hAnsi="Times New Roman"/>
                <w:b/>
                <w:bCs/>
                <w:color w:val="FFFFFF" w:themeColor="background1"/>
                <w:lang w:val="en-US" w:eastAsia="en-US"/>
              </w:rPr>
            </w:pPr>
            <w:r w:rsidRPr="006569D0">
              <w:rPr>
                <w:rFonts w:ascii="Times New Roman" w:hAnsi="Times New Roman"/>
                <w:b/>
                <w:bCs/>
                <w:color w:val="FFFFFF" w:themeColor="background1"/>
                <w:lang w:val="en-US" w:eastAsia="en-US"/>
              </w:rPr>
              <w:t>2015</w:t>
            </w:r>
          </w:p>
        </w:tc>
        <w:tc>
          <w:tcPr>
            <w:tcW w:w="499" w:type="pct"/>
            <w:shd w:val="clear" w:color="auto" w:fill="00B050"/>
            <w:noWrap/>
            <w:vAlign w:val="center"/>
            <w:hideMark/>
          </w:tcPr>
          <w:p w14:paraId="4ED1C278" w14:textId="77777777" w:rsidR="00B11634" w:rsidRPr="006569D0" w:rsidRDefault="00B11634" w:rsidP="009664D6">
            <w:pPr>
              <w:spacing w:after="0"/>
              <w:jc w:val="center"/>
              <w:rPr>
                <w:rFonts w:ascii="Times New Roman" w:hAnsi="Times New Roman"/>
                <w:b/>
                <w:bCs/>
                <w:color w:val="FFFFFF" w:themeColor="background1"/>
                <w:lang w:val="en-US" w:eastAsia="en-US"/>
              </w:rPr>
            </w:pPr>
            <w:r w:rsidRPr="006569D0">
              <w:rPr>
                <w:rFonts w:ascii="Times New Roman" w:hAnsi="Times New Roman"/>
                <w:b/>
                <w:bCs/>
                <w:color w:val="FFFFFF" w:themeColor="background1"/>
                <w:lang w:val="en-US" w:eastAsia="en-US"/>
              </w:rPr>
              <w:t>2016</w:t>
            </w:r>
          </w:p>
        </w:tc>
        <w:tc>
          <w:tcPr>
            <w:tcW w:w="499" w:type="pct"/>
            <w:shd w:val="clear" w:color="auto" w:fill="00B050"/>
            <w:noWrap/>
            <w:vAlign w:val="center"/>
            <w:hideMark/>
          </w:tcPr>
          <w:p w14:paraId="601E5C3E" w14:textId="77777777" w:rsidR="00B11634" w:rsidRPr="006569D0" w:rsidRDefault="00B11634" w:rsidP="009664D6">
            <w:pPr>
              <w:spacing w:after="0"/>
              <w:jc w:val="center"/>
              <w:rPr>
                <w:rFonts w:ascii="Times New Roman" w:hAnsi="Times New Roman"/>
                <w:b/>
                <w:bCs/>
                <w:color w:val="FFFFFF" w:themeColor="background1"/>
                <w:lang w:val="en-US" w:eastAsia="en-US"/>
              </w:rPr>
            </w:pPr>
            <w:r w:rsidRPr="006569D0">
              <w:rPr>
                <w:rFonts w:ascii="Times New Roman" w:hAnsi="Times New Roman"/>
                <w:b/>
                <w:bCs/>
                <w:color w:val="FFFFFF" w:themeColor="background1"/>
                <w:lang w:val="en-US" w:eastAsia="en-US"/>
              </w:rPr>
              <w:t>2017</w:t>
            </w:r>
          </w:p>
        </w:tc>
        <w:tc>
          <w:tcPr>
            <w:tcW w:w="499" w:type="pct"/>
            <w:shd w:val="clear" w:color="auto" w:fill="00B050"/>
            <w:noWrap/>
            <w:vAlign w:val="center"/>
            <w:hideMark/>
          </w:tcPr>
          <w:p w14:paraId="07C5B0E3" w14:textId="2BD602BA" w:rsidR="00B11634" w:rsidRPr="006569D0" w:rsidRDefault="00B11634" w:rsidP="00B11634">
            <w:pPr>
              <w:spacing w:after="0"/>
              <w:jc w:val="center"/>
              <w:rPr>
                <w:rFonts w:ascii="Times New Roman" w:hAnsi="Times New Roman"/>
                <w:b/>
                <w:bCs/>
                <w:color w:val="FFFFFF" w:themeColor="background1"/>
                <w:lang w:val="en-US" w:eastAsia="en-US"/>
              </w:rPr>
            </w:pPr>
            <w:r w:rsidRPr="006569D0">
              <w:rPr>
                <w:rFonts w:ascii="Times New Roman" w:hAnsi="Times New Roman"/>
                <w:b/>
                <w:bCs/>
                <w:color w:val="FFFFFF" w:themeColor="background1"/>
                <w:lang w:val="en-US" w:eastAsia="en-US"/>
              </w:rPr>
              <w:t>2018</w:t>
            </w:r>
          </w:p>
        </w:tc>
        <w:tc>
          <w:tcPr>
            <w:tcW w:w="561" w:type="pct"/>
            <w:shd w:val="clear" w:color="auto" w:fill="00B050"/>
          </w:tcPr>
          <w:p w14:paraId="1FB252CC" w14:textId="4C337030" w:rsidR="00B11634" w:rsidRPr="006569D0" w:rsidRDefault="00B11634" w:rsidP="009664D6">
            <w:pPr>
              <w:spacing w:after="0"/>
              <w:jc w:val="center"/>
              <w:rPr>
                <w:rFonts w:ascii="Times New Roman" w:hAnsi="Times New Roman"/>
                <w:b/>
                <w:bCs/>
                <w:color w:val="FFFFFF" w:themeColor="background1"/>
                <w:lang w:val="en-US" w:eastAsia="en-US"/>
              </w:rPr>
            </w:pPr>
            <w:r w:rsidRPr="006569D0">
              <w:rPr>
                <w:rFonts w:ascii="Times New Roman" w:hAnsi="Times New Roman"/>
                <w:b/>
                <w:bCs/>
                <w:color w:val="FFFFFF" w:themeColor="background1"/>
                <w:lang w:val="en-US" w:eastAsia="en-US"/>
              </w:rPr>
              <w:t>2019</w:t>
            </w:r>
            <w:r w:rsidRPr="006569D0">
              <w:rPr>
                <w:rStyle w:val="Refdenotaalpie"/>
                <w:rFonts w:ascii="Times New Roman" w:hAnsi="Times New Roman"/>
                <w:b/>
                <w:bCs/>
                <w:color w:val="FFFFFF" w:themeColor="background1"/>
                <w:lang w:val="en-US" w:eastAsia="en-US"/>
              </w:rPr>
              <w:footnoteReference w:id="7"/>
            </w:r>
          </w:p>
        </w:tc>
      </w:tr>
      <w:tr w:rsidR="005B68E1" w:rsidRPr="006569D0" w14:paraId="3BF8ACA6" w14:textId="171F1FFF" w:rsidTr="005B68E1">
        <w:trPr>
          <w:trHeight w:val="315"/>
          <w:jc w:val="center"/>
        </w:trPr>
        <w:tc>
          <w:tcPr>
            <w:tcW w:w="947" w:type="pct"/>
            <w:shd w:val="clear" w:color="auto" w:fill="auto"/>
            <w:noWrap/>
            <w:vAlign w:val="center"/>
            <w:hideMark/>
          </w:tcPr>
          <w:p w14:paraId="454A1371"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Pepino</w:t>
            </w:r>
          </w:p>
        </w:tc>
        <w:tc>
          <w:tcPr>
            <w:tcW w:w="499" w:type="pct"/>
            <w:shd w:val="clear" w:color="auto" w:fill="auto"/>
            <w:noWrap/>
            <w:vAlign w:val="center"/>
            <w:hideMark/>
          </w:tcPr>
          <w:p w14:paraId="45D8AD6B" w14:textId="77777777" w:rsidR="005B68E1" w:rsidRPr="006569D0" w:rsidRDefault="005B68E1" w:rsidP="005B68E1">
            <w:pPr>
              <w:spacing w:after="0"/>
              <w:jc w:val="center"/>
              <w:rPr>
                <w:rFonts w:ascii="Times New Roman" w:hAnsi="Times New Roman"/>
                <w:lang w:val="en-US" w:eastAsia="en-US"/>
              </w:rPr>
            </w:pPr>
            <w:r w:rsidRPr="006569D0">
              <w:rPr>
                <w:rFonts w:ascii="Times New Roman" w:hAnsi="Times New Roman"/>
              </w:rPr>
              <w:t>192.3%</w:t>
            </w:r>
          </w:p>
        </w:tc>
        <w:tc>
          <w:tcPr>
            <w:tcW w:w="499" w:type="pct"/>
            <w:shd w:val="clear" w:color="auto" w:fill="auto"/>
            <w:noWrap/>
            <w:vAlign w:val="center"/>
            <w:hideMark/>
          </w:tcPr>
          <w:p w14:paraId="2481B3C5" w14:textId="77777777" w:rsidR="005B68E1" w:rsidRPr="006569D0" w:rsidRDefault="005B68E1" w:rsidP="005B68E1">
            <w:pPr>
              <w:spacing w:after="0"/>
              <w:jc w:val="center"/>
              <w:rPr>
                <w:rFonts w:ascii="Times New Roman" w:hAnsi="Times New Roman"/>
              </w:rPr>
            </w:pPr>
            <w:r w:rsidRPr="006569D0">
              <w:rPr>
                <w:rFonts w:ascii="Times New Roman" w:hAnsi="Times New Roman"/>
              </w:rPr>
              <w:t>492.1%</w:t>
            </w:r>
          </w:p>
        </w:tc>
        <w:tc>
          <w:tcPr>
            <w:tcW w:w="499" w:type="pct"/>
            <w:shd w:val="clear" w:color="auto" w:fill="auto"/>
            <w:noWrap/>
            <w:vAlign w:val="center"/>
            <w:hideMark/>
          </w:tcPr>
          <w:p w14:paraId="1EDA5480" w14:textId="77777777" w:rsidR="005B68E1" w:rsidRPr="006569D0" w:rsidRDefault="005B68E1" w:rsidP="005B68E1">
            <w:pPr>
              <w:spacing w:after="0"/>
              <w:jc w:val="center"/>
              <w:rPr>
                <w:rFonts w:ascii="Times New Roman" w:hAnsi="Times New Roman"/>
              </w:rPr>
            </w:pPr>
            <w:r w:rsidRPr="006569D0">
              <w:rPr>
                <w:rFonts w:ascii="Times New Roman" w:hAnsi="Times New Roman"/>
              </w:rPr>
              <w:t>187.9%</w:t>
            </w:r>
          </w:p>
        </w:tc>
        <w:tc>
          <w:tcPr>
            <w:tcW w:w="499" w:type="pct"/>
            <w:shd w:val="clear" w:color="auto" w:fill="auto"/>
            <w:noWrap/>
            <w:vAlign w:val="center"/>
            <w:hideMark/>
          </w:tcPr>
          <w:p w14:paraId="38E8745D" w14:textId="77777777" w:rsidR="005B68E1" w:rsidRPr="006569D0" w:rsidRDefault="005B68E1" w:rsidP="005B68E1">
            <w:pPr>
              <w:spacing w:after="0"/>
              <w:jc w:val="center"/>
              <w:rPr>
                <w:rFonts w:ascii="Times New Roman" w:hAnsi="Times New Roman"/>
              </w:rPr>
            </w:pPr>
            <w:r w:rsidRPr="006569D0">
              <w:rPr>
                <w:rFonts w:ascii="Times New Roman" w:hAnsi="Times New Roman"/>
              </w:rPr>
              <w:t>295.3%</w:t>
            </w:r>
          </w:p>
        </w:tc>
        <w:tc>
          <w:tcPr>
            <w:tcW w:w="499" w:type="pct"/>
            <w:shd w:val="clear" w:color="auto" w:fill="auto"/>
            <w:noWrap/>
            <w:vAlign w:val="center"/>
            <w:hideMark/>
          </w:tcPr>
          <w:p w14:paraId="48C4E0A9" w14:textId="77777777" w:rsidR="005B68E1" w:rsidRPr="006569D0" w:rsidRDefault="005B68E1" w:rsidP="005B68E1">
            <w:pPr>
              <w:spacing w:after="0"/>
              <w:jc w:val="center"/>
              <w:rPr>
                <w:rFonts w:ascii="Times New Roman" w:hAnsi="Times New Roman"/>
              </w:rPr>
            </w:pPr>
            <w:r w:rsidRPr="006569D0">
              <w:rPr>
                <w:rFonts w:ascii="Times New Roman" w:hAnsi="Times New Roman"/>
              </w:rPr>
              <w:t>198.5%</w:t>
            </w:r>
          </w:p>
        </w:tc>
        <w:tc>
          <w:tcPr>
            <w:tcW w:w="499" w:type="pct"/>
            <w:shd w:val="clear" w:color="auto" w:fill="auto"/>
            <w:noWrap/>
            <w:vAlign w:val="center"/>
            <w:hideMark/>
          </w:tcPr>
          <w:p w14:paraId="43EB9B2C" w14:textId="77777777" w:rsidR="005B68E1" w:rsidRPr="006569D0" w:rsidRDefault="005B68E1" w:rsidP="005B68E1">
            <w:pPr>
              <w:spacing w:after="0"/>
              <w:jc w:val="center"/>
              <w:rPr>
                <w:rFonts w:ascii="Times New Roman" w:hAnsi="Times New Roman"/>
              </w:rPr>
            </w:pPr>
            <w:r w:rsidRPr="006569D0">
              <w:rPr>
                <w:rFonts w:ascii="Times New Roman" w:hAnsi="Times New Roman"/>
              </w:rPr>
              <w:t>269.9%</w:t>
            </w:r>
          </w:p>
        </w:tc>
        <w:tc>
          <w:tcPr>
            <w:tcW w:w="499" w:type="pct"/>
            <w:shd w:val="clear" w:color="auto" w:fill="auto"/>
            <w:noWrap/>
            <w:vAlign w:val="center"/>
            <w:hideMark/>
          </w:tcPr>
          <w:p w14:paraId="40ACB06A" w14:textId="77777777" w:rsidR="005B68E1" w:rsidRPr="006569D0" w:rsidRDefault="005B68E1" w:rsidP="005B68E1">
            <w:pPr>
              <w:spacing w:after="0"/>
              <w:jc w:val="center"/>
              <w:rPr>
                <w:rFonts w:ascii="Times New Roman" w:hAnsi="Times New Roman"/>
              </w:rPr>
            </w:pPr>
            <w:r w:rsidRPr="006569D0">
              <w:rPr>
                <w:rFonts w:ascii="Times New Roman" w:hAnsi="Times New Roman"/>
              </w:rPr>
              <w:t>239.5%</w:t>
            </w:r>
          </w:p>
        </w:tc>
        <w:tc>
          <w:tcPr>
            <w:tcW w:w="561" w:type="pct"/>
            <w:shd w:val="clear" w:color="auto" w:fill="auto"/>
            <w:vAlign w:val="center"/>
          </w:tcPr>
          <w:p w14:paraId="201B42D8" w14:textId="390B983E"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216.23%</w:t>
            </w:r>
          </w:p>
        </w:tc>
      </w:tr>
      <w:tr w:rsidR="005B68E1" w:rsidRPr="006569D0" w14:paraId="27E18609" w14:textId="50E01DB4" w:rsidTr="005B68E1">
        <w:trPr>
          <w:trHeight w:val="315"/>
          <w:jc w:val="center"/>
        </w:trPr>
        <w:tc>
          <w:tcPr>
            <w:tcW w:w="947" w:type="pct"/>
            <w:shd w:val="clear" w:color="auto" w:fill="auto"/>
            <w:noWrap/>
            <w:vAlign w:val="center"/>
            <w:hideMark/>
          </w:tcPr>
          <w:p w14:paraId="4E04237C"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Ajíes</w:t>
            </w:r>
          </w:p>
        </w:tc>
        <w:tc>
          <w:tcPr>
            <w:tcW w:w="499" w:type="pct"/>
            <w:shd w:val="clear" w:color="auto" w:fill="auto"/>
            <w:noWrap/>
            <w:vAlign w:val="center"/>
            <w:hideMark/>
          </w:tcPr>
          <w:p w14:paraId="0FD23B52" w14:textId="77777777" w:rsidR="005B68E1" w:rsidRPr="006569D0" w:rsidRDefault="005B68E1" w:rsidP="005B68E1">
            <w:pPr>
              <w:spacing w:after="0"/>
              <w:jc w:val="center"/>
              <w:rPr>
                <w:rFonts w:ascii="Times New Roman" w:hAnsi="Times New Roman"/>
              </w:rPr>
            </w:pPr>
            <w:r w:rsidRPr="006569D0">
              <w:rPr>
                <w:rFonts w:ascii="Times New Roman" w:hAnsi="Times New Roman"/>
              </w:rPr>
              <w:t>163.1%</w:t>
            </w:r>
          </w:p>
        </w:tc>
        <w:tc>
          <w:tcPr>
            <w:tcW w:w="499" w:type="pct"/>
            <w:shd w:val="clear" w:color="auto" w:fill="auto"/>
            <w:noWrap/>
            <w:vAlign w:val="center"/>
            <w:hideMark/>
          </w:tcPr>
          <w:p w14:paraId="0F3A6227" w14:textId="77777777" w:rsidR="005B68E1" w:rsidRPr="006569D0" w:rsidRDefault="005B68E1" w:rsidP="005B68E1">
            <w:pPr>
              <w:spacing w:after="0"/>
              <w:jc w:val="center"/>
              <w:rPr>
                <w:rFonts w:ascii="Times New Roman" w:hAnsi="Times New Roman"/>
              </w:rPr>
            </w:pPr>
            <w:r w:rsidRPr="006569D0">
              <w:rPr>
                <w:rFonts w:ascii="Times New Roman" w:hAnsi="Times New Roman"/>
              </w:rPr>
              <w:t>167.3%</w:t>
            </w:r>
          </w:p>
        </w:tc>
        <w:tc>
          <w:tcPr>
            <w:tcW w:w="499" w:type="pct"/>
            <w:shd w:val="clear" w:color="auto" w:fill="auto"/>
            <w:noWrap/>
            <w:vAlign w:val="center"/>
            <w:hideMark/>
          </w:tcPr>
          <w:p w14:paraId="4DD42FD5" w14:textId="77777777" w:rsidR="005B68E1" w:rsidRPr="006569D0" w:rsidRDefault="005B68E1" w:rsidP="005B68E1">
            <w:pPr>
              <w:spacing w:after="0"/>
              <w:jc w:val="center"/>
              <w:rPr>
                <w:rFonts w:ascii="Times New Roman" w:hAnsi="Times New Roman"/>
              </w:rPr>
            </w:pPr>
            <w:r w:rsidRPr="006569D0">
              <w:rPr>
                <w:rFonts w:ascii="Times New Roman" w:hAnsi="Times New Roman"/>
              </w:rPr>
              <w:t>149.4%</w:t>
            </w:r>
          </w:p>
        </w:tc>
        <w:tc>
          <w:tcPr>
            <w:tcW w:w="499" w:type="pct"/>
            <w:shd w:val="clear" w:color="auto" w:fill="auto"/>
            <w:noWrap/>
            <w:vAlign w:val="center"/>
            <w:hideMark/>
          </w:tcPr>
          <w:p w14:paraId="603BEB06" w14:textId="77777777" w:rsidR="005B68E1" w:rsidRPr="006569D0" w:rsidRDefault="005B68E1" w:rsidP="005B68E1">
            <w:pPr>
              <w:spacing w:after="0"/>
              <w:jc w:val="center"/>
              <w:rPr>
                <w:rFonts w:ascii="Times New Roman" w:hAnsi="Times New Roman"/>
              </w:rPr>
            </w:pPr>
            <w:r w:rsidRPr="006569D0">
              <w:rPr>
                <w:rFonts w:ascii="Times New Roman" w:hAnsi="Times New Roman"/>
              </w:rPr>
              <w:t>118.4%</w:t>
            </w:r>
          </w:p>
        </w:tc>
        <w:tc>
          <w:tcPr>
            <w:tcW w:w="499" w:type="pct"/>
            <w:shd w:val="clear" w:color="auto" w:fill="auto"/>
            <w:noWrap/>
            <w:vAlign w:val="center"/>
            <w:hideMark/>
          </w:tcPr>
          <w:p w14:paraId="75B42D8D" w14:textId="77777777" w:rsidR="005B68E1" w:rsidRPr="006569D0" w:rsidRDefault="005B68E1" w:rsidP="005B68E1">
            <w:pPr>
              <w:spacing w:after="0"/>
              <w:jc w:val="center"/>
              <w:rPr>
                <w:rFonts w:ascii="Times New Roman" w:hAnsi="Times New Roman"/>
              </w:rPr>
            </w:pPr>
            <w:r w:rsidRPr="006569D0">
              <w:rPr>
                <w:rFonts w:ascii="Times New Roman" w:hAnsi="Times New Roman"/>
              </w:rPr>
              <w:t>118.5%</w:t>
            </w:r>
          </w:p>
        </w:tc>
        <w:tc>
          <w:tcPr>
            <w:tcW w:w="499" w:type="pct"/>
            <w:shd w:val="clear" w:color="auto" w:fill="auto"/>
            <w:noWrap/>
            <w:vAlign w:val="center"/>
            <w:hideMark/>
          </w:tcPr>
          <w:p w14:paraId="1C447B67" w14:textId="77777777" w:rsidR="005B68E1" w:rsidRPr="006569D0" w:rsidRDefault="005B68E1" w:rsidP="005B68E1">
            <w:pPr>
              <w:spacing w:after="0"/>
              <w:jc w:val="center"/>
              <w:rPr>
                <w:rFonts w:ascii="Times New Roman" w:hAnsi="Times New Roman"/>
              </w:rPr>
            </w:pPr>
            <w:r w:rsidRPr="006569D0">
              <w:rPr>
                <w:rFonts w:ascii="Times New Roman" w:hAnsi="Times New Roman"/>
              </w:rPr>
              <w:t>159.0%</w:t>
            </w:r>
          </w:p>
        </w:tc>
        <w:tc>
          <w:tcPr>
            <w:tcW w:w="499" w:type="pct"/>
            <w:shd w:val="clear" w:color="auto" w:fill="auto"/>
            <w:noWrap/>
            <w:vAlign w:val="center"/>
            <w:hideMark/>
          </w:tcPr>
          <w:p w14:paraId="0A3ED798" w14:textId="77777777" w:rsidR="005B68E1" w:rsidRPr="006569D0" w:rsidRDefault="005B68E1" w:rsidP="005B68E1">
            <w:pPr>
              <w:spacing w:after="0"/>
              <w:jc w:val="center"/>
              <w:rPr>
                <w:rFonts w:ascii="Times New Roman" w:hAnsi="Times New Roman"/>
              </w:rPr>
            </w:pPr>
            <w:r w:rsidRPr="006569D0">
              <w:rPr>
                <w:rFonts w:ascii="Times New Roman" w:hAnsi="Times New Roman"/>
              </w:rPr>
              <w:t>155.5%</w:t>
            </w:r>
          </w:p>
        </w:tc>
        <w:tc>
          <w:tcPr>
            <w:tcW w:w="561" w:type="pct"/>
            <w:shd w:val="clear" w:color="auto" w:fill="auto"/>
            <w:vAlign w:val="center"/>
          </w:tcPr>
          <w:p w14:paraId="40E055F0" w14:textId="0CDC5420"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157.37%</w:t>
            </w:r>
          </w:p>
        </w:tc>
      </w:tr>
      <w:tr w:rsidR="005B68E1" w:rsidRPr="006569D0" w14:paraId="27DD0D1A" w14:textId="794D9FF7" w:rsidTr="005B68E1">
        <w:trPr>
          <w:trHeight w:val="315"/>
          <w:jc w:val="center"/>
        </w:trPr>
        <w:tc>
          <w:tcPr>
            <w:tcW w:w="947" w:type="pct"/>
            <w:shd w:val="clear" w:color="auto" w:fill="auto"/>
            <w:noWrap/>
            <w:vAlign w:val="center"/>
            <w:hideMark/>
          </w:tcPr>
          <w:p w14:paraId="11DFDA5E"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Guineo</w:t>
            </w:r>
          </w:p>
        </w:tc>
        <w:tc>
          <w:tcPr>
            <w:tcW w:w="499" w:type="pct"/>
            <w:shd w:val="clear" w:color="auto" w:fill="auto"/>
            <w:noWrap/>
            <w:vAlign w:val="center"/>
            <w:hideMark/>
          </w:tcPr>
          <w:p w14:paraId="53C90C7B" w14:textId="77777777" w:rsidR="005B68E1" w:rsidRPr="006569D0" w:rsidRDefault="005B68E1" w:rsidP="005B68E1">
            <w:pPr>
              <w:spacing w:after="0"/>
              <w:jc w:val="center"/>
              <w:rPr>
                <w:rFonts w:ascii="Times New Roman" w:hAnsi="Times New Roman"/>
              </w:rPr>
            </w:pPr>
            <w:r w:rsidRPr="006569D0">
              <w:rPr>
                <w:rFonts w:ascii="Times New Roman" w:hAnsi="Times New Roman"/>
              </w:rPr>
              <w:t>143.7%</w:t>
            </w:r>
          </w:p>
        </w:tc>
        <w:tc>
          <w:tcPr>
            <w:tcW w:w="499" w:type="pct"/>
            <w:shd w:val="clear" w:color="auto" w:fill="auto"/>
            <w:noWrap/>
            <w:vAlign w:val="center"/>
            <w:hideMark/>
          </w:tcPr>
          <w:p w14:paraId="62F0BDB2" w14:textId="77777777" w:rsidR="005B68E1" w:rsidRPr="006569D0" w:rsidRDefault="005B68E1" w:rsidP="005B68E1">
            <w:pPr>
              <w:spacing w:after="0"/>
              <w:jc w:val="center"/>
              <w:rPr>
                <w:rFonts w:ascii="Times New Roman" w:hAnsi="Times New Roman"/>
              </w:rPr>
            </w:pPr>
            <w:r w:rsidRPr="006569D0">
              <w:rPr>
                <w:rFonts w:ascii="Times New Roman" w:hAnsi="Times New Roman"/>
              </w:rPr>
              <w:t>148.6%</w:t>
            </w:r>
          </w:p>
        </w:tc>
        <w:tc>
          <w:tcPr>
            <w:tcW w:w="499" w:type="pct"/>
            <w:shd w:val="clear" w:color="auto" w:fill="auto"/>
            <w:noWrap/>
            <w:vAlign w:val="center"/>
            <w:hideMark/>
          </w:tcPr>
          <w:p w14:paraId="48AA4EE6" w14:textId="77777777" w:rsidR="005B68E1" w:rsidRPr="006569D0" w:rsidRDefault="005B68E1" w:rsidP="005B68E1">
            <w:pPr>
              <w:spacing w:after="0"/>
              <w:jc w:val="center"/>
              <w:rPr>
                <w:rFonts w:ascii="Times New Roman" w:hAnsi="Times New Roman"/>
              </w:rPr>
            </w:pPr>
            <w:r w:rsidRPr="006569D0">
              <w:rPr>
                <w:rFonts w:ascii="Times New Roman" w:hAnsi="Times New Roman"/>
              </w:rPr>
              <w:t>151.2%</w:t>
            </w:r>
          </w:p>
        </w:tc>
        <w:tc>
          <w:tcPr>
            <w:tcW w:w="499" w:type="pct"/>
            <w:shd w:val="clear" w:color="auto" w:fill="auto"/>
            <w:noWrap/>
            <w:vAlign w:val="center"/>
            <w:hideMark/>
          </w:tcPr>
          <w:p w14:paraId="48A1A359" w14:textId="77777777" w:rsidR="005B68E1" w:rsidRPr="006569D0" w:rsidRDefault="005B68E1" w:rsidP="005B68E1">
            <w:pPr>
              <w:spacing w:after="0"/>
              <w:jc w:val="center"/>
              <w:rPr>
                <w:rFonts w:ascii="Times New Roman" w:hAnsi="Times New Roman"/>
              </w:rPr>
            </w:pPr>
            <w:r w:rsidRPr="006569D0">
              <w:rPr>
                <w:rFonts w:ascii="Times New Roman" w:hAnsi="Times New Roman"/>
              </w:rPr>
              <w:t>147.1%</w:t>
            </w:r>
          </w:p>
        </w:tc>
        <w:tc>
          <w:tcPr>
            <w:tcW w:w="499" w:type="pct"/>
            <w:shd w:val="clear" w:color="auto" w:fill="auto"/>
            <w:noWrap/>
            <w:vAlign w:val="center"/>
            <w:hideMark/>
          </w:tcPr>
          <w:p w14:paraId="7C046658" w14:textId="77777777" w:rsidR="005B68E1" w:rsidRPr="006569D0" w:rsidRDefault="005B68E1" w:rsidP="005B68E1">
            <w:pPr>
              <w:spacing w:after="0"/>
              <w:jc w:val="center"/>
              <w:rPr>
                <w:rFonts w:ascii="Times New Roman" w:hAnsi="Times New Roman"/>
              </w:rPr>
            </w:pPr>
            <w:r w:rsidRPr="006569D0">
              <w:rPr>
                <w:rFonts w:ascii="Times New Roman" w:hAnsi="Times New Roman"/>
              </w:rPr>
              <w:t>149.4%</w:t>
            </w:r>
          </w:p>
        </w:tc>
        <w:tc>
          <w:tcPr>
            <w:tcW w:w="499" w:type="pct"/>
            <w:shd w:val="clear" w:color="auto" w:fill="auto"/>
            <w:noWrap/>
            <w:vAlign w:val="center"/>
            <w:hideMark/>
          </w:tcPr>
          <w:p w14:paraId="4FD73614" w14:textId="77777777" w:rsidR="005B68E1" w:rsidRPr="006569D0" w:rsidRDefault="005B68E1" w:rsidP="005B68E1">
            <w:pPr>
              <w:spacing w:after="0"/>
              <w:jc w:val="center"/>
              <w:rPr>
                <w:rFonts w:ascii="Times New Roman" w:hAnsi="Times New Roman"/>
              </w:rPr>
            </w:pPr>
            <w:r w:rsidRPr="006569D0">
              <w:rPr>
                <w:rFonts w:ascii="Times New Roman" w:hAnsi="Times New Roman"/>
              </w:rPr>
              <w:t>141.1%</w:t>
            </w:r>
          </w:p>
        </w:tc>
        <w:tc>
          <w:tcPr>
            <w:tcW w:w="499" w:type="pct"/>
            <w:shd w:val="clear" w:color="auto" w:fill="auto"/>
            <w:noWrap/>
            <w:vAlign w:val="center"/>
            <w:hideMark/>
          </w:tcPr>
          <w:p w14:paraId="0E427DB4" w14:textId="77777777" w:rsidR="005B68E1" w:rsidRPr="006569D0" w:rsidRDefault="005B68E1" w:rsidP="005B68E1">
            <w:pPr>
              <w:spacing w:after="0"/>
              <w:jc w:val="center"/>
              <w:rPr>
                <w:rFonts w:ascii="Times New Roman" w:hAnsi="Times New Roman"/>
              </w:rPr>
            </w:pPr>
            <w:r w:rsidRPr="006569D0">
              <w:rPr>
                <w:rFonts w:ascii="Times New Roman" w:hAnsi="Times New Roman"/>
              </w:rPr>
              <w:t>155.0%</w:t>
            </w:r>
          </w:p>
        </w:tc>
        <w:tc>
          <w:tcPr>
            <w:tcW w:w="561" w:type="pct"/>
            <w:shd w:val="clear" w:color="auto" w:fill="auto"/>
            <w:vAlign w:val="center"/>
          </w:tcPr>
          <w:p w14:paraId="31FEC762" w14:textId="7B93FBAE"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148.49%</w:t>
            </w:r>
          </w:p>
        </w:tc>
      </w:tr>
      <w:tr w:rsidR="005B68E1" w:rsidRPr="006569D0" w14:paraId="4BA35E73" w14:textId="1633CFCC" w:rsidTr="005B68E1">
        <w:trPr>
          <w:trHeight w:val="315"/>
          <w:jc w:val="center"/>
        </w:trPr>
        <w:tc>
          <w:tcPr>
            <w:tcW w:w="947" w:type="pct"/>
            <w:shd w:val="clear" w:color="auto" w:fill="auto"/>
            <w:noWrap/>
            <w:vAlign w:val="center"/>
            <w:hideMark/>
          </w:tcPr>
          <w:p w14:paraId="664C6673"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Batata</w:t>
            </w:r>
          </w:p>
        </w:tc>
        <w:tc>
          <w:tcPr>
            <w:tcW w:w="499" w:type="pct"/>
            <w:shd w:val="clear" w:color="auto" w:fill="auto"/>
            <w:noWrap/>
            <w:vAlign w:val="center"/>
            <w:hideMark/>
          </w:tcPr>
          <w:p w14:paraId="1C0338F9" w14:textId="77777777" w:rsidR="005B68E1" w:rsidRPr="006569D0" w:rsidRDefault="005B68E1" w:rsidP="005B68E1">
            <w:pPr>
              <w:spacing w:after="0"/>
              <w:jc w:val="center"/>
              <w:rPr>
                <w:rFonts w:ascii="Times New Roman" w:hAnsi="Times New Roman"/>
              </w:rPr>
            </w:pPr>
            <w:r w:rsidRPr="006569D0">
              <w:rPr>
                <w:rFonts w:ascii="Times New Roman" w:hAnsi="Times New Roman"/>
              </w:rPr>
              <w:t>134.3%</w:t>
            </w:r>
          </w:p>
        </w:tc>
        <w:tc>
          <w:tcPr>
            <w:tcW w:w="499" w:type="pct"/>
            <w:shd w:val="clear" w:color="auto" w:fill="auto"/>
            <w:noWrap/>
            <w:vAlign w:val="center"/>
            <w:hideMark/>
          </w:tcPr>
          <w:p w14:paraId="42AD7136" w14:textId="77777777" w:rsidR="005B68E1" w:rsidRPr="006569D0" w:rsidRDefault="005B68E1" w:rsidP="005B68E1">
            <w:pPr>
              <w:spacing w:after="0"/>
              <w:jc w:val="center"/>
              <w:rPr>
                <w:rFonts w:ascii="Times New Roman" w:hAnsi="Times New Roman"/>
              </w:rPr>
            </w:pPr>
            <w:r w:rsidRPr="006569D0">
              <w:rPr>
                <w:rFonts w:ascii="Times New Roman" w:hAnsi="Times New Roman"/>
              </w:rPr>
              <w:t>120.9%</w:t>
            </w:r>
          </w:p>
        </w:tc>
        <w:tc>
          <w:tcPr>
            <w:tcW w:w="499" w:type="pct"/>
            <w:shd w:val="clear" w:color="auto" w:fill="auto"/>
            <w:noWrap/>
            <w:vAlign w:val="center"/>
            <w:hideMark/>
          </w:tcPr>
          <w:p w14:paraId="12DD0CC5" w14:textId="77777777" w:rsidR="005B68E1" w:rsidRPr="006569D0" w:rsidRDefault="005B68E1" w:rsidP="005B68E1">
            <w:pPr>
              <w:spacing w:after="0"/>
              <w:jc w:val="center"/>
              <w:rPr>
                <w:rFonts w:ascii="Times New Roman" w:hAnsi="Times New Roman"/>
              </w:rPr>
            </w:pPr>
            <w:r w:rsidRPr="006569D0">
              <w:rPr>
                <w:rFonts w:ascii="Times New Roman" w:hAnsi="Times New Roman"/>
              </w:rPr>
              <w:t>120.5%</w:t>
            </w:r>
          </w:p>
        </w:tc>
        <w:tc>
          <w:tcPr>
            <w:tcW w:w="499" w:type="pct"/>
            <w:shd w:val="clear" w:color="auto" w:fill="auto"/>
            <w:noWrap/>
            <w:vAlign w:val="center"/>
            <w:hideMark/>
          </w:tcPr>
          <w:p w14:paraId="453FA779" w14:textId="77777777" w:rsidR="005B68E1" w:rsidRPr="006569D0" w:rsidRDefault="005B68E1" w:rsidP="005B68E1">
            <w:pPr>
              <w:spacing w:after="0"/>
              <w:jc w:val="center"/>
              <w:rPr>
                <w:rFonts w:ascii="Times New Roman" w:hAnsi="Times New Roman"/>
              </w:rPr>
            </w:pPr>
            <w:r w:rsidRPr="006569D0">
              <w:rPr>
                <w:rFonts w:ascii="Times New Roman" w:hAnsi="Times New Roman"/>
              </w:rPr>
              <w:t>127.3%</w:t>
            </w:r>
          </w:p>
        </w:tc>
        <w:tc>
          <w:tcPr>
            <w:tcW w:w="499" w:type="pct"/>
            <w:shd w:val="clear" w:color="auto" w:fill="auto"/>
            <w:noWrap/>
            <w:vAlign w:val="center"/>
            <w:hideMark/>
          </w:tcPr>
          <w:p w14:paraId="3608B8DB" w14:textId="77777777" w:rsidR="005B68E1" w:rsidRPr="006569D0" w:rsidRDefault="005B68E1" w:rsidP="005B68E1">
            <w:pPr>
              <w:spacing w:after="0"/>
              <w:jc w:val="center"/>
              <w:rPr>
                <w:rFonts w:ascii="Times New Roman" w:hAnsi="Times New Roman"/>
              </w:rPr>
            </w:pPr>
            <w:r w:rsidRPr="006569D0">
              <w:rPr>
                <w:rFonts w:ascii="Times New Roman" w:hAnsi="Times New Roman"/>
              </w:rPr>
              <w:t>120.0%</w:t>
            </w:r>
          </w:p>
        </w:tc>
        <w:tc>
          <w:tcPr>
            <w:tcW w:w="499" w:type="pct"/>
            <w:shd w:val="clear" w:color="auto" w:fill="auto"/>
            <w:noWrap/>
            <w:vAlign w:val="center"/>
            <w:hideMark/>
          </w:tcPr>
          <w:p w14:paraId="07A8729E" w14:textId="77777777" w:rsidR="005B68E1" w:rsidRPr="006569D0" w:rsidRDefault="005B68E1" w:rsidP="005B68E1">
            <w:pPr>
              <w:spacing w:after="0"/>
              <w:jc w:val="center"/>
              <w:rPr>
                <w:rFonts w:ascii="Times New Roman" w:hAnsi="Times New Roman"/>
              </w:rPr>
            </w:pPr>
            <w:r w:rsidRPr="006569D0">
              <w:rPr>
                <w:rFonts w:ascii="Times New Roman" w:hAnsi="Times New Roman"/>
              </w:rPr>
              <w:t>121.8%</w:t>
            </w:r>
          </w:p>
        </w:tc>
        <w:tc>
          <w:tcPr>
            <w:tcW w:w="499" w:type="pct"/>
            <w:shd w:val="clear" w:color="auto" w:fill="auto"/>
            <w:noWrap/>
            <w:vAlign w:val="center"/>
            <w:hideMark/>
          </w:tcPr>
          <w:p w14:paraId="6441CEB2" w14:textId="77777777" w:rsidR="005B68E1" w:rsidRPr="006569D0" w:rsidRDefault="005B68E1" w:rsidP="005B68E1">
            <w:pPr>
              <w:spacing w:after="0"/>
              <w:jc w:val="center"/>
              <w:rPr>
                <w:rFonts w:ascii="Times New Roman" w:hAnsi="Times New Roman"/>
              </w:rPr>
            </w:pPr>
            <w:r w:rsidRPr="006569D0">
              <w:rPr>
                <w:rFonts w:ascii="Times New Roman" w:hAnsi="Times New Roman"/>
              </w:rPr>
              <w:t>118.7%</w:t>
            </w:r>
          </w:p>
        </w:tc>
        <w:tc>
          <w:tcPr>
            <w:tcW w:w="561" w:type="pct"/>
            <w:shd w:val="clear" w:color="auto" w:fill="auto"/>
            <w:vAlign w:val="center"/>
          </w:tcPr>
          <w:p w14:paraId="5CB78CBD" w14:textId="772B3AEB"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123.71%</w:t>
            </w:r>
          </w:p>
        </w:tc>
      </w:tr>
      <w:tr w:rsidR="005B68E1" w:rsidRPr="006569D0" w14:paraId="536CDC06" w14:textId="089F2161" w:rsidTr="005B68E1">
        <w:trPr>
          <w:trHeight w:val="315"/>
          <w:jc w:val="center"/>
        </w:trPr>
        <w:tc>
          <w:tcPr>
            <w:tcW w:w="947" w:type="pct"/>
            <w:shd w:val="clear" w:color="auto" w:fill="auto"/>
            <w:noWrap/>
            <w:vAlign w:val="center"/>
            <w:hideMark/>
          </w:tcPr>
          <w:p w14:paraId="556B4F2C"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Zanahoria</w:t>
            </w:r>
          </w:p>
        </w:tc>
        <w:tc>
          <w:tcPr>
            <w:tcW w:w="499" w:type="pct"/>
            <w:shd w:val="clear" w:color="auto" w:fill="auto"/>
            <w:noWrap/>
            <w:vAlign w:val="center"/>
            <w:hideMark/>
          </w:tcPr>
          <w:p w14:paraId="10C92C52" w14:textId="77777777" w:rsidR="005B68E1" w:rsidRPr="006569D0" w:rsidRDefault="005B68E1" w:rsidP="005B68E1">
            <w:pPr>
              <w:spacing w:after="0"/>
              <w:jc w:val="center"/>
              <w:rPr>
                <w:rFonts w:ascii="Times New Roman" w:hAnsi="Times New Roman"/>
              </w:rPr>
            </w:pPr>
            <w:r w:rsidRPr="006569D0">
              <w:rPr>
                <w:rFonts w:ascii="Times New Roman" w:hAnsi="Times New Roman"/>
              </w:rPr>
              <w:t>113.5%</w:t>
            </w:r>
          </w:p>
        </w:tc>
        <w:tc>
          <w:tcPr>
            <w:tcW w:w="499" w:type="pct"/>
            <w:shd w:val="clear" w:color="auto" w:fill="auto"/>
            <w:noWrap/>
            <w:vAlign w:val="center"/>
            <w:hideMark/>
          </w:tcPr>
          <w:p w14:paraId="10B5F765" w14:textId="77777777" w:rsidR="005B68E1" w:rsidRPr="006569D0" w:rsidRDefault="005B68E1" w:rsidP="005B68E1">
            <w:pPr>
              <w:spacing w:after="0"/>
              <w:jc w:val="center"/>
              <w:rPr>
                <w:rFonts w:ascii="Times New Roman" w:hAnsi="Times New Roman"/>
              </w:rPr>
            </w:pPr>
            <w:r w:rsidRPr="006569D0">
              <w:rPr>
                <w:rFonts w:ascii="Times New Roman" w:hAnsi="Times New Roman"/>
              </w:rPr>
              <w:t>109.4%</w:t>
            </w:r>
          </w:p>
        </w:tc>
        <w:tc>
          <w:tcPr>
            <w:tcW w:w="499" w:type="pct"/>
            <w:shd w:val="clear" w:color="auto" w:fill="auto"/>
            <w:noWrap/>
            <w:vAlign w:val="center"/>
            <w:hideMark/>
          </w:tcPr>
          <w:p w14:paraId="2FE09A9C" w14:textId="77777777" w:rsidR="005B68E1" w:rsidRPr="006569D0" w:rsidRDefault="005B68E1" w:rsidP="005B68E1">
            <w:pPr>
              <w:spacing w:after="0"/>
              <w:jc w:val="center"/>
              <w:rPr>
                <w:rFonts w:ascii="Times New Roman" w:hAnsi="Times New Roman"/>
              </w:rPr>
            </w:pPr>
            <w:r w:rsidRPr="006569D0">
              <w:rPr>
                <w:rFonts w:ascii="Times New Roman" w:hAnsi="Times New Roman"/>
              </w:rPr>
              <w:t>117.2%</w:t>
            </w:r>
          </w:p>
        </w:tc>
        <w:tc>
          <w:tcPr>
            <w:tcW w:w="499" w:type="pct"/>
            <w:shd w:val="clear" w:color="auto" w:fill="auto"/>
            <w:noWrap/>
            <w:vAlign w:val="center"/>
            <w:hideMark/>
          </w:tcPr>
          <w:p w14:paraId="56981FFF" w14:textId="77777777" w:rsidR="005B68E1" w:rsidRPr="006569D0" w:rsidRDefault="005B68E1" w:rsidP="005B68E1">
            <w:pPr>
              <w:spacing w:after="0"/>
              <w:jc w:val="center"/>
              <w:rPr>
                <w:rFonts w:ascii="Times New Roman" w:hAnsi="Times New Roman"/>
              </w:rPr>
            </w:pPr>
            <w:r w:rsidRPr="006569D0">
              <w:rPr>
                <w:rFonts w:ascii="Times New Roman" w:hAnsi="Times New Roman"/>
              </w:rPr>
              <w:t>115.7%</w:t>
            </w:r>
          </w:p>
        </w:tc>
        <w:tc>
          <w:tcPr>
            <w:tcW w:w="499" w:type="pct"/>
            <w:shd w:val="clear" w:color="auto" w:fill="auto"/>
            <w:noWrap/>
            <w:vAlign w:val="center"/>
            <w:hideMark/>
          </w:tcPr>
          <w:p w14:paraId="251064DC" w14:textId="77777777" w:rsidR="005B68E1" w:rsidRPr="006569D0" w:rsidRDefault="005B68E1" w:rsidP="005B68E1">
            <w:pPr>
              <w:spacing w:after="0"/>
              <w:jc w:val="center"/>
              <w:rPr>
                <w:rFonts w:ascii="Times New Roman" w:hAnsi="Times New Roman"/>
              </w:rPr>
            </w:pPr>
            <w:r w:rsidRPr="006569D0">
              <w:rPr>
                <w:rFonts w:ascii="Times New Roman" w:hAnsi="Times New Roman"/>
              </w:rPr>
              <w:t>106.5%</w:t>
            </w:r>
          </w:p>
        </w:tc>
        <w:tc>
          <w:tcPr>
            <w:tcW w:w="499" w:type="pct"/>
            <w:shd w:val="clear" w:color="auto" w:fill="auto"/>
            <w:noWrap/>
            <w:vAlign w:val="center"/>
            <w:hideMark/>
          </w:tcPr>
          <w:p w14:paraId="00FA22FE" w14:textId="77777777" w:rsidR="005B68E1" w:rsidRPr="006569D0" w:rsidRDefault="005B68E1" w:rsidP="005B68E1">
            <w:pPr>
              <w:spacing w:after="0"/>
              <w:jc w:val="center"/>
              <w:rPr>
                <w:rFonts w:ascii="Times New Roman" w:hAnsi="Times New Roman"/>
              </w:rPr>
            </w:pPr>
            <w:r w:rsidRPr="006569D0">
              <w:rPr>
                <w:rFonts w:ascii="Times New Roman" w:hAnsi="Times New Roman"/>
              </w:rPr>
              <w:t>111.6%</w:t>
            </w:r>
          </w:p>
        </w:tc>
        <w:tc>
          <w:tcPr>
            <w:tcW w:w="499" w:type="pct"/>
            <w:shd w:val="clear" w:color="auto" w:fill="auto"/>
            <w:noWrap/>
            <w:vAlign w:val="center"/>
            <w:hideMark/>
          </w:tcPr>
          <w:p w14:paraId="171D204D" w14:textId="77777777" w:rsidR="005B68E1" w:rsidRPr="006569D0" w:rsidRDefault="005B68E1" w:rsidP="005B68E1">
            <w:pPr>
              <w:spacing w:after="0"/>
              <w:jc w:val="center"/>
              <w:rPr>
                <w:rFonts w:ascii="Times New Roman" w:hAnsi="Times New Roman"/>
              </w:rPr>
            </w:pPr>
            <w:r w:rsidRPr="006569D0">
              <w:rPr>
                <w:rFonts w:ascii="Times New Roman" w:hAnsi="Times New Roman"/>
              </w:rPr>
              <w:t>111.1%</w:t>
            </w:r>
          </w:p>
        </w:tc>
        <w:tc>
          <w:tcPr>
            <w:tcW w:w="561" w:type="pct"/>
            <w:shd w:val="clear" w:color="auto" w:fill="auto"/>
            <w:vAlign w:val="center"/>
          </w:tcPr>
          <w:p w14:paraId="5BD03D3C" w14:textId="50803B30"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112.93%</w:t>
            </w:r>
          </w:p>
        </w:tc>
      </w:tr>
      <w:tr w:rsidR="005B68E1" w:rsidRPr="006569D0" w14:paraId="51384E61" w14:textId="5ECA0D13" w:rsidTr="005B68E1">
        <w:trPr>
          <w:trHeight w:val="315"/>
          <w:jc w:val="center"/>
        </w:trPr>
        <w:tc>
          <w:tcPr>
            <w:tcW w:w="947" w:type="pct"/>
            <w:shd w:val="clear" w:color="auto" w:fill="auto"/>
            <w:noWrap/>
            <w:vAlign w:val="center"/>
            <w:hideMark/>
          </w:tcPr>
          <w:p w14:paraId="1241C469"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Aguacate</w:t>
            </w:r>
          </w:p>
        </w:tc>
        <w:tc>
          <w:tcPr>
            <w:tcW w:w="499" w:type="pct"/>
            <w:shd w:val="clear" w:color="auto" w:fill="auto"/>
            <w:noWrap/>
            <w:vAlign w:val="center"/>
            <w:hideMark/>
          </w:tcPr>
          <w:p w14:paraId="0018B36F" w14:textId="77777777" w:rsidR="005B68E1" w:rsidRPr="006569D0" w:rsidRDefault="005B68E1" w:rsidP="005B68E1">
            <w:pPr>
              <w:spacing w:after="0"/>
              <w:jc w:val="center"/>
              <w:rPr>
                <w:rFonts w:ascii="Times New Roman" w:hAnsi="Times New Roman"/>
              </w:rPr>
            </w:pPr>
            <w:r w:rsidRPr="006569D0">
              <w:rPr>
                <w:rFonts w:ascii="Times New Roman" w:hAnsi="Times New Roman"/>
              </w:rPr>
              <w:t>105.3%</w:t>
            </w:r>
          </w:p>
        </w:tc>
        <w:tc>
          <w:tcPr>
            <w:tcW w:w="499" w:type="pct"/>
            <w:shd w:val="clear" w:color="auto" w:fill="auto"/>
            <w:noWrap/>
            <w:vAlign w:val="center"/>
            <w:hideMark/>
          </w:tcPr>
          <w:p w14:paraId="4EA86125" w14:textId="77777777" w:rsidR="005B68E1" w:rsidRPr="006569D0" w:rsidRDefault="005B68E1" w:rsidP="005B68E1">
            <w:pPr>
              <w:spacing w:after="0"/>
              <w:jc w:val="center"/>
              <w:rPr>
                <w:rFonts w:ascii="Times New Roman" w:hAnsi="Times New Roman"/>
              </w:rPr>
            </w:pPr>
            <w:r w:rsidRPr="006569D0">
              <w:rPr>
                <w:rFonts w:ascii="Times New Roman" w:hAnsi="Times New Roman"/>
              </w:rPr>
              <w:t>104.6%</w:t>
            </w:r>
          </w:p>
        </w:tc>
        <w:tc>
          <w:tcPr>
            <w:tcW w:w="499" w:type="pct"/>
            <w:shd w:val="clear" w:color="auto" w:fill="auto"/>
            <w:noWrap/>
            <w:vAlign w:val="center"/>
            <w:hideMark/>
          </w:tcPr>
          <w:p w14:paraId="2CA3AEA6" w14:textId="77777777" w:rsidR="005B68E1" w:rsidRPr="006569D0" w:rsidRDefault="005B68E1" w:rsidP="005B68E1">
            <w:pPr>
              <w:spacing w:after="0"/>
              <w:jc w:val="center"/>
              <w:rPr>
                <w:rFonts w:ascii="Times New Roman" w:hAnsi="Times New Roman"/>
              </w:rPr>
            </w:pPr>
            <w:r w:rsidRPr="006569D0">
              <w:rPr>
                <w:rFonts w:ascii="Times New Roman" w:hAnsi="Times New Roman"/>
              </w:rPr>
              <w:t>103.9%</w:t>
            </w:r>
          </w:p>
        </w:tc>
        <w:tc>
          <w:tcPr>
            <w:tcW w:w="499" w:type="pct"/>
            <w:shd w:val="clear" w:color="auto" w:fill="auto"/>
            <w:noWrap/>
            <w:vAlign w:val="center"/>
            <w:hideMark/>
          </w:tcPr>
          <w:p w14:paraId="1E6FCE21" w14:textId="77777777" w:rsidR="005B68E1" w:rsidRPr="006569D0" w:rsidRDefault="005B68E1" w:rsidP="005B68E1">
            <w:pPr>
              <w:spacing w:after="0"/>
              <w:jc w:val="center"/>
              <w:rPr>
                <w:rFonts w:ascii="Times New Roman" w:hAnsi="Times New Roman"/>
              </w:rPr>
            </w:pPr>
            <w:r w:rsidRPr="006569D0">
              <w:rPr>
                <w:rFonts w:ascii="Times New Roman" w:hAnsi="Times New Roman"/>
              </w:rPr>
              <w:t>103.0%</w:t>
            </w:r>
          </w:p>
        </w:tc>
        <w:tc>
          <w:tcPr>
            <w:tcW w:w="499" w:type="pct"/>
            <w:shd w:val="clear" w:color="auto" w:fill="auto"/>
            <w:noWrap/>
            <w:vAlign w:val="center"/>
            <w:hideMark/>
          </w:tcPr>
          <w:p w14:paraId="424387D4" w14:textId="77777777" w:rsidR="005B68E1" w:rsidRPr="006569D0" w:rsidRDefault="005B68E1" w:rsidP="005B68E1">
            <w:pPr>
              <w:spacing w:after="0"/>
              <w:jc w:val="center"/>
              <w:rPr>
                <w:rFonts w:ascii="Times New Roman" w:hAnsi="Times New Roman"/>
              </w:rPr>
            </w:pPr>
            <w:r w:rsidRPr="006569D0">
              <w:rPr>
                <w:rFonts w:ascii="Times New Roman" w:hAnsi="Times New Roman"/>
              </w:rPr>
              <w:t>104.3%</w:t>
            </w:r>
          </w:p>
        </w:tc>
        <w:tc>
          <w:tcPr>
            <w:tcW w:w="499" w:type="pct"/>
            <w:shd w:val="clear" w:color="auto" w:fill="auto"/>
            <w:noWrap/>
            <w:vAlign w:val="center"/>
            <w:hideMark/>
          </w:tcPr>
          <w:p w14:paraId="33BEA091" w14:textId="77777777" w:rsidR="005B68E1" w:rsidRPr="006569D0" w:rsidRDefault="005B68E1" w:rsidP="005B68E1">
            <w:pPr>
              <w:spacing w:after="0"/>
              <w:jc w:val="center"/>
              <w:rPr>
                <w:rFonts w:ascii="Times New Roman" w:hAnsi="Times New Roman"/>
              </w:rPr>
            </w:pPr>
            <w:r w:rsidRPr="006569D0">
              <w:rPr>
                <w:rFonts w:ascii="Times New Roman" w:hAnsi="Times New Roman"/>
              </w:rPr>
              <w:t>105.9%</w:t>
            </w:r>
          </w:p>
        </w:tc>
        <w:tc>
          <w:tcPr>
            <w:tcW w:w="499" w:type="pct"/>
            <w:shd w:val="clear" w:color="auto" w:fill="auto"/>
            <w:noWrap/>
            <w:vAlign w:val="center"/>
            <w:hideMark/>
          </w:tcPr>
          <w:p w14:paraId="33229845" w14:textId="77777777" w:rsidR="005B68E1" w:rsidRPr="006569D0" w:rsidRDefault="005B68E1" w:rsidP="005B68E1">
            <w:pPr>
              <w:spacing w:after="0"/>
              <w:jc w:val="center"/>
              <w:rPr>
                <w:rFonts w:ascii="Times New Roman" w:hAnsi="Times New Roman"/>
              </w:rPr>
            </w:pPr>
            <w:r w:rsidRPr="006569D0">
              <w:rPr>
                <w:rFonts w:ascii="Times New Roman" w:hAnsi="Times New Roman"/>
              </w:rPr>
              <w:t>111.1%</w:t>
            </w:r>
          </w:p>
        </w:tc>
        <w:tc>
          <w:tcPr>
            <w:tcW w:w="561" w:type="pct"/>
            <w:shd w:val="clear" w:color="auto" w:fill="auto"/>
            <w:vAlign w:val="center"/>
          </w:tcPr>
          <w:p w14:paraId="0864696C" w14:textId="626B76FA"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107.28%</w:t>
            </w:r>
          </w:p>
        </w:tc>
      </w:tr>
      <w:tr w:rsidR="005B68E1" w:rsidRPr="006569D0" w14:paraId="1581C61E" w14:textId="0F2D0DB5" w:rsidTr="005B68E1">
        <w:trPr>
          <w:trHeight w:val="315"/>
          <w:jc w:val="center"/>
        </w:trPr>
        <w:tc>
          <w:tcPr>
            <w:tcW w:w="947" w:type="pct"/>
            <w:shd w:val="clear" w:color="auto" w:fill="auto"/>
            <w:noWrap/>
            <w:vAlign w:val="center"/>
            <w:hideMark/>
          </w:tcPr>
          <w:p w14:paraId="7823CBBB"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Lechosa</w:t>
            </w:r>
          </w:p>
        </w:tc>
        <w:tc>
          <w:tcPr>
            <w:tcW w:w="499" w:type="pct"/>
            <w:shd w:val="clear" w:color="auto" w:fill="auto"/>
            <w:noWrap/>
            <w:vAlign w:val="center"/>
            <w:hideMark/>
          </w:tcPr>
          <w:p w14:paraId="104BC5BD" w14:textId="77777777" w:rsidR="005B68E1" w:rsidRPr="006569D0" w:rsidRDefault="005B68E1" w:rsidP="005B68E1">
            <w:pPr>
              <w:spacing w:after="0"/>
              <w:jc w:val="center"/>
              <w:rPr>
                <w:rFonts w:ascii="Times New Roman" w:hAnsi="Times New Roman"/>
              </w:rPr>
            </w:pPr>
            <w:r w:rsidRPr="006569D0">
              <w:rPr>
                <w:rFonts w:ascii="Times New Roman" w:hAnsi="Times New Roman"/>
              </w:rPr>
              <w:t>100.8%</w:t>
            </w:r>
          </w:p>
        </w:tc>
        <w:tc>
          <w:tcPr>
            <w:tcW w:w="499" w:type="pct"/>
            <w:shd w:val="clear" w:color="auto" w:fill="auto"/>
            <w:noWrap/>
            <w:vAlign w:val="center"/>
            <w:hideMark/>
          </w:tcPr>
          <w:p w14:paraId="45EDA06D" w14:textId="77777777" w:rsidR="005B68E1" w:rsidRPr="006569D0" w:rsidRDefault="005B68E1" w:rsidP="005B68E1">
            <w:pPr>
              <w:spacing w:after="0"/>
              <w:jc w:val="center"/>
              <w:rPr>
                <w:rFonts w:ascii="Times New Roman" w:hAnsi="Times New Roman"/>
              </w:rPr>
            </w:pPr>
            <w:r w:rsidRPr="006569D0">
              <w:rPr>
                <w:rFonts w:ascii="Times New Roman" w:hAnsi="Times New Roman"/>
              </w:rPr>
              <w:t>100.5%</w:t>
            </w:r>
          </w:p>
        </w:tc>
        <w:tc>
          <w:tcPr>
            <w:tcW w:w="499" w:type="pct"/>
            <w:shd w:val="clear" w:color="auto" w:fill="auto"/>
            <w:noWrap/>
            <w:vAlign w:val="center"/>
            <w:hideMark/>
          </w:tcPr>
          <w:p w14:paraId="48305B5A" w14:textId="77777777" w:rsidR="005B68E1" w:rsidRPr="006569D0" w:rsidRDefault="005B68E1" w:rsidP="005B68E1">
            <w:pPr>
              <w:spacing w:after="0"/>
              <w:jc w:val="center"/>
              <w:rPr>
                <w:rFonts w:ascii="Times New Roman" w:hAnsi="Times New Roman"/>
              </w:rPr>
            </w:pPr>
            <w:r w:rsidRPr="006569D0">
              <w:rPr>
                <w:rFonts w:ascii="Times New Roman" w:hAnsi="Times New Roman"/>
              </w:rPr>
              <w:t>100.4%</w:t>
            </w:r>
          </w:p>
        </w:tc>
        <w:tc>
          <w:tcPr>
            <w:tcW w:w="499" w:type="pct"/>
            <w:shd w:val="clear" w:color="auto" w:fill="auto"/>
            <w:noWrap/>
            <w:vAlign w:val="center"/>
            <w:hideMark/>
          </w:tcPr>
          <w:p w14:paraId="022D58CD" w14:textId="77777777" w:rsidR="005B68E1" w:rsidRPr="006569D0" w:rsidRDefault="005B68E1" w:rsidP="005B68E1">
            <w:pPr>
              <w:spacing w:after="0"/>
              <w:jc w:val="center"/>
              <w:rPr>
                <w:rFonts w:ascii="Times New Roman" w:hAnsi="Times New Roman"/>
              </w:rPr>
            </w:pPr>
            <w:r w:rsidRPr="006569D0">
              <w:rPr>
                <w:rFonts w:ascii="Times New Roman" w:hAnsi="Times New Roman"/>
              </w:rPr>
              <w:t>100.4%</w:t>
            </w:r>
          </w:p>
        </w:tc>
        <w:tc>
          <w:tcPr>
            <w:tcW w:w="499" w:type="pct"/>
            <w:shd w:val="clear" w:color="auto" w:fill="auto"/>
            <w:noWrap/>
            <w:vAlign w:val="center"/>
            <w:hideMark/>
          </w:tcPr>
          <w:p w14:paraId="20B4606E" w14:textId="77777777" w:rsidR="005B68E1" w:rsidRPr="006569D0" w:rsidRDefault="005B68E1" w:rsidP="005B68E1">
            <w:pPr>
              <w:spacing w:after="0"/>
              <w:jc w:val="center"/>
              <w:rPr>
                <w:rFonts w:ascii="Times New Roman" w:hAnsi="Times New Roman"/>
              </w:rPr>
            </w:pPr>
            <w:r w:rsidRPr="006569D0">
              <w:rPr>
                <w:rFonts w:ascii="Times New Roman" w:hAnsi="Times New Roman"/>
              </w:rPr>
              <w:t>100.4%</w:t>
            </w:r>
          </w:p>
        </w:tc>
        <w:tc>
          <w:tcPr>
            <w:tcW w:w="499" w:type="pct"/>
            <w:shd w:val="clear" w:color="auto" w:fill="auto"/>
            <w:noWrap/>
            <w:vAlign w:val="center"/>
            <w:hideMark/>
          </w:tcPr>
          <w:p w14:paraId="42E41908" w14:textId="77777777" w:rsidR="005B68E1" w:rsidRPr="006569D0" w:rsidRDefault="005B68E1" w:rsidP="005B68E1">
            <w:pPr>
              <w:spacing w:after="0"/>
              <w:jc w:val="center"/>
              <w:rPr>
                <w:rFonts w:ascii="Times New Roman" w:hAnsi="Times New Roman"/>
              </w:rPr>
            </w:pPr>
            <w:r w:rsidRPr="006569D0">
              <w:rPr>
                <w:rFonts w:ascii="Times New Roman" w:hAnsi="Times New Roman"/>
              </w:rPr>
              <w:t>100.3%</w:t>
            </w:r>
          </w:p>
        </w:tc>
        <w:tc>
          <w:tcPr>
            <w:tcW w:w="499" w:type="pct"/>
            <w:shd w:val="clear" w:color="auto" w:fill="auto"/>
            <w:noWrap/>
            <w:vAlign w:val="center"/>
            <w:hideMark/>
          </w:tcPr>
          <w:p w14:paraId="43A113CF" w14:textId="77777777" w:rsidR="005B68E1" w:rsidRPr="006569D0" w:rsidRDefault="005B68E1" w:rsidP="005B68E1">
            <w:pPr>
              <w:spacing w:after="0"/>
              <w:jc w:val="center"/>
              <w:rPr>
                <w:rFonts w:ascii="Times New Roman" w:hAnsi="Times New Roman"/>
              </w:rPr>
            </w:pPr>
            <w:r w:rsidRPr="006569D0">
              <w:rPr>
                <w:rFonts w:ascii="Times New Roman" w:hAnsi="Times New Roman"/>
              </w:rPr>
              <w:t>103.9%</w:t>
            </w:r>
          </w:p>
        </w:tc>
        <w:tc>
          <w:tcPr>
            <w:tcW w:w="561" w:type="pct"/>
            <w:shd w:val="clear" w:color="auto" w:fill="auto"/>
            <w:vAlign w:val="center"/>
          </w:tcPr>
          <w:p w14:paraId="4E739871" w14:textId="4FC04D28"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100.16%</w:t>
            </w:r>
          </w:p>
        </w:tc>
      </w:tr>
      <w:tr w:rsidR="005B68E1" w:rsidRPr="006569D0" w14:paraId="2595002F" w14:textId="43AC1007" w:rsidTr="005B68E1">
        <w:trPr>
          <w:trHeight w:val="315"/>
          <w:jc w:val="center"/>
        </w:trPr>
        <w:tc>
          <w:tcPr>
            <w:tcW w:w="947" w:type="pct"/>
            <w:shd w:val="clear" w:color="auto" w:fill="auto"/>
            <w:noWrap/>
            <w:vAlign w:val="center"/>
            <w:hideMark/>
          </w:tcPr>
          <w:p w14:paraId="2E9A1F2D"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Auyama</w:t>
            </w:r>
          </w:p>
        </w:tc>
        <w:tc>
          <w:tcPr>
            <w:tcW w:w="499" w:type="pct"/>
            <w:shd w:val="clear" w:color="auto" w:fill="auto"/>
            <w:noWrap/>
            <w:vAlign w:val="center"/>
            <w:hideMark/>
          </w:tcPr>
          <w:p w14:paraId="69AAD69D" w14:textId="77777777" w:rsidR="005B68E1" w:rsidRPr="006569D0" w:rsidRDefault="005B68E1" w:rsidP="005B68E1">
            <w:pPr>
              <w:spacing w:after="0"/>
              <w:jc w:val="center"/>
              <w:rPr>
                <w:rFonts w:ascii="Times New Roman" w:hAnsi="Times New Roman"/>
              </w:rPr>
            </w:pPr>
            <w:r w:rsidRPr="006569D0">
              <w:rPr>
                <w:rFonts w:ascii="Times New Roman" w:hAnsi="Times New Roman"/>
              </w:rPr>
              <w:t>101.5%</w:t>
            </w:r>
          </w:p>
        </w:tc>
        <w:tc>
          <w:tcPr>
            <w:tcW w:w="499" w:type="pct"/>
            <w:shd w:val="clear" w:color="auto" w:fill="auto"/>
            <w:noWrap/>
            <w:vAlign w:val="center"/>
            <w:hideMark/>
          </w:tcPr>
          <w:p w14:paraId="59F839FF" w14:textId="77777777" w:rsidR="005B68E1" w:rsidRPr="006569D0" w:rsidRDefault="005B68E1" w:rsidP="005B68E1">
            <w:pPr>
              <w:spacing w:after="0"/>
              <w:jc w:val="center"/>
              <w:rPr>
                <w:rFonts w:ascii="Times New Roman" w:hAnsi="Times New Roman"/>
              </w:rPr>
            </w:pPr>
            <w:r w:rsidRPr="006569D0">
              <w:rPr>
                <w:rFonts w:ascii="Times New Roman" w:hAnsi="Times New Roman"/>
              </w:rPr>
              <w:t>108.6%</w:t>
            </w:r>
          </w:p>
        </w:tc>
        <w:tc>
          <w:tcPr>
            <w:tcW w:w="499" w:type="pct"/>
            <w:shd w:val="clear" w:color="auto" w:fill="auto"/>
            <w:noWrap/>
            <w:vAlign w:val="center"/>
            <w:hideMark/>
          </w:tcPr>
          <w:p w14:paraId="22D5DA3C" w14:textId="77777777" w:rsidR="005B68E1" w:rsidRPr="006569D0" w:rsidRDefault="005B68E1" w:rsidP="005B68E1">
            <w:pPr>
              <w:spacing w:after="0"/>
              <w:jc w:val="center"/>
              <w:rPr>
                <w:rFonts w:ascii="Times New Roman" w:hAnsi="Times New Roman"/>
              </w:rPr>
            </w:pPr>
            <w:r w:rsidRPr="006569D0">
              <w:rPr>
                <w:rFonts w:ascii="Times New Roman" w:hAnsi="Times New Roman"/>
              </w:rPr>
              <w:t>112.3%</w:t>
            </w:r>
          </w:p>
        </w:tc>
        <w:tc>
          <w:tcPr>
            <w:tcW w:w="499" w:type="pct"/>
            <w:shd w:val="clear" w:color="auto" w:fill="auto"/>
            <w:noWrap/>
            <w:vAlign w:val="center"/>
            <w:hideMark/>
          </w:tcPr>
          <w:p w14:paraId="0121E72C" w14:textId="77777777" w:rsidR="005B68E1" w:rsidRPr="006569D0" w:rsidRDefault="005B68E1" w:rsidP="005B68E1">
            <w:pPr>
              <w:spacing w:after="0"/>
              <w:jc w:val="center"/>
              <w:rPr>
                <w:rFonts w:ascii="Times New Roman" w:hAnsi="Times New Roman"/>
              </w:rPr>
            </w:pPr>
            <w:r w:rsidRPr="006569D0">
              <w:rPr>
                <w:rFonts w:ascii="Times New Roman" w:hAnsi="Times New Roman"/>
              </w:rPr>
              <w:t>100.7%</w:t>
            </w:r>
          </w:p>
        </w:tc>
        <w:tc>
          <w:tcPr>
            <w:tcW w:w="499" w:type="pct"/>
            <w:shd w:val="clear" w:color="auto" w:fill="auto"/>
            <w:noWrap/>
            <w:vAlign w:val="center"/>
            <w:hideMark/>
          </w:tcPr>
          <w:p w14:paraId="0CAE3F61" w14:textId="77777777" w:rsidR="005B68E1" w:rsidRPr="006569D0" w:rsidRDefault="005B68E1" w:rsidP="005B68E1">
            <w:pPr>
              <w:spacing w:after="0"/>
              <w:jc w:val="center"/>
              <w:rPr>
                <w:rFonts w:ascii="Times New Roman" w:hAnsi="Times New Roman"/>
              </w:rPr>
            </w:pPr>
            <w:r w:rsidRPr="006569D0">
              <w:rPr>
                <w:rFonts w:ascii="Times New Roman" w:hAnsi="Times New Roman"/>
              </w:rPr>
              <w:t>100.0%</w:t>
            </w:r>
          </w:p>
        </w:tc>
        <w:tc>
          <w:tcPr>
            <w:tcW w:w="499" w:type="pct"/>
            <w:shd w:val="clear" w:color="auto" w:fill="auto"/>
            <w:noWrap/>
            <w:vAlign w:val="center"/>
            <w:hideMark/>
          </w:tcPr>
          <w:p w14:paraId="13C22F27" w14:textId="77777777" w:rsidR="005B68E1" w:rsidRPr="006569D0" w:rsidRDefault="005B68E1" w:rsidP="005B68E1">
            <w:pPr>
              <w:spacing w:after="0"/>
              <w:jc w:val="center"/>
              <w:rPr>
                <w:rFonts w:ascii="Times New Roman" w:hAnsi="Times New Roman"/>
              </w:rPr>
            </w:pPr>
            <w:r w:rsidRPr="006569D0">
              <w:rPr>
                <w:rFonts w:ascii="Times New Roman" w:hAnsi="Times New Roman"/>
              </w:rPr>
              <w:t>101.4%</w:t>
            </w:r>
          </w:p>
        </w:tc>
        <w:tc>
          <w:tcPr>
            <w:tcW w:w="499" w:type="pct"/>
            <w:shd w:val="clear" w:color="auto" w:fill="auto"/>
            <w:noWrap/>
            <w:vAlign w:val="center"/>
            <w:hideMark/>
          </w:tcPr>
          <w:p w14:paraId="1B97B204" w14:textId="77777777" w:rsidR="005B68E1" w:rsidRPr="006569D0" w:rsidRDefault="005B68E1" w:rsidP="005B68E1">
            <w:pPr>
              <w:spacing w:after="0"/>
              <w:jc w:val="center"/>
              <w:rPr>
                <w:rFonts w:ascii="Times New Roman" w:hAnsi="Times New Roman"/>
              </w:rPr>
            </w:pPr>
            <w:r w:rsidRPr="006569D0">
              <w:rPr>
                <w:rFonts w:ascii="Times New Roman" w:hAnsi="Times New Roman"/>
              </w:rPr>
              <w:t>101.4%</w:t>
            </w:r>
          </w:p>
        </w:tc>
        <w:tc>
          <w:tcPr>
            <w:tcW w:w="561" w:type="pct"/>
            <w:shd w:val="clear" w:color="auto" w:fill="auto"/>
            <w:vAlign w:val="center"/>
          </w:tcPr>
          <w:p w14:paraId="3AEFA260" w14:textId="1F5CC66F"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101.19%</w:t>
            </w:r>
          </w:p>
        </w:tc>
      </w:tr>
      <w:tr w:rsidR="005B68E1" w:rsidRPr="006569D0" w14:paraId="17E972EB" w14:textId="163521CE" w:rsidTr="005B68E1">
        <w:trPr>
          <w:trHeight w:val="315"/>
          <w:jc w:val="center"/>
        </w:trPr>
        <w:tc>
          <w:tcPr>
            <w:tcW w:w="947" w:type="pct"/>
            <w:shd w:val="clear" w:color="auto" w:fill="auto"/>
            <w:noWrap/>
            <w:vAlign w:val="center"/>
            <w:hideMark/>
          </w:tcPr>
          <w:p w14:paraId="6034DA29"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Piña</w:t>
            </w:r>
          </w:p>
        </w:tc>
        <w:tc>
          <w:tcPr>
            <w:tcW w:w="499" w:type="pct"/>
            <w:shd w:val="clear" w:color="auto" w:fill="auto"/>
            <w:noWrap/>
            <w:vAlign w:val="center"/>
            <w:hideMark/>
          </w:tcPr>
          <w:p w14:paraId="66A2393C" w14:textId="77777777" w:rsidR="005B68E1" w:rsidRPr="006569D0" w:rsidRDefault="005B68E1" w:rsidP="005B68E1">
            <w:pPr>
              <w:spacing w:after="0"/>
              <w:jc w:val="center"/>
              <w:rPr>
                <w:rFonts w:ascii="Times New Roman" w:hAnsi="Times New Roman"/>
              </w:rPr>
            </w:pPr>
            <w:r w:rsidRPr="006569D0">
              <w:rPr>
                <w:rFonts w:ascii="Times New Roman" w:hAnsi="Times New Roman"/>
              </w:rPr>
              <w:t>101.0%</w:t>
            </w:r>
          </w:p>
        </w:tc>
        <w:tc>
          <w:tcPr>
            <w:tcW w:w="499" w:type="pct"/>
            <w:shd w:val="clear" w:color="auto" w:fill="auto"/>
            <w:noWrap/>
            <w:vAlign w:val="center"/>
            <w:hideMark/>
          </w:tcPr>
          <w:p w14:paraId="787AAF53" w14:textId="77777777" w:rsidR="005B68E1" w:rsidRPr="006569D0" w:rsidRDefault="005B68E1" w:rsidP="005B68E1">
            <w:pPr>
              <w:spacing w:after="0"/>
              <w:jc w:val="center"/>
              <w:rPr>
                <w:rFonts w:ascii="Times New Roman" w:hAnsi="Times New Roman"/>
              </w:rPr>
            </w:pPr>
            <w:r w:rsidRPr="006569D0">
              <w:rPr>
                <w:rFonts w:ascii="Times New Roman" w:hAnsi="Times New Roman"/>
              </w:rPr>
              <w:t>100.9%</w:t>
            </w:r>
          </w:p>
        </w:tc>
        <w:tc>
          <w:tcPr>
            <w:tcW w:w="499" w:type="pct"/>
            <w:shd w:val="clear" w:color="auto" w:fill="auto"/>
            <w:noWrap/>
            <w:vAlign w:val="center"/>
            <w:hideMark/>
          </w:tcPr>
          <w:p w14:paraId="15A4FF03" w14:textId="77777777" w:rsidR="005B68E1" w:rsidRPr="006569D0" w:rsidRDefault="005B68E1" w:rsidP="005B68E1">
            <w:pPr>
              <w:spacing w:after="0"/>
              <w:jc w:val="center"/>
              <w:rPr>
                <w:rFonts w:ascii="Times New Roman" w:hAnsi="Times New Roman"/>
              </w:rPr>
            </w:pPr>
            <w:r w:rsidRPr="006569D0">
              <w:rPr>
                <w:rFonts w:ascii="Times New Roman" w:hAnsi="Times New Roman"/>
              </w:rPr>
              <w:t>101.1%</w:t>
            </w:r>
          </w:p>
        </w:tc>
        <w:tc>
          <w:tcPr>
            <w:tcW w:w="499" w:type="pct"/>
            <w:shd w:val="clear" w:color="auto" w:fill="auto"/>
            <w:noWrap/>
            <w:vAlign w:val="center"/>
            <w:hideMark/>
          </w:tcPr>
          <w:p w14:paraId="75D7D34E" w14:textId="77777777" w:rsidR="005B68E1" w:rsidRPr="006569D0" w:rsidRDefault="005B68E1" w:rsidP="005B68E1">
            <w:pPr>
              <w:spacing w:after="0"/>
              <w:jc w:val="center"/>
              <w:rPr>
                <w:rFonts w:ascii="Times New Roman" w:hAnsi="Times New Roman"/>
              </w:rPr>
            </w:pPr>
            <w:r w:rsidRPr="006569D0">
              <w:rPr>
                <w:rFonts w:ascii="Times New Roman" w:hAnsi="Times New Roman"/>
              </w:rPr>
              <w:t>101.7%</w:t>
            </w:r>
          </w:p>
        </w:tc>
        <w:tc>
          <w:tcPr>
            <w:tcW w:w="499" w:type="pct"/>
            <w:shd w:val="clear" w:color="auto" w:fill="auto"/>
            <w:noWrap/>
            <w:vAlign w:val="center"/>
            <w:hideMark/>
          </w:tcPr>
          <w:p w14:paraId="73D24088" w14:textId="77777777" w:rsidR="005B68E1" w:rsidRPr="006569D0" w:rsidRDefault="005B68E1" w:rsidP="005B68E1">
            <w:pPr>
              <w:spacing w:after="0"/>
              <w:jc w:val="center"/>
              <w:rPr>
                <w:rFonts w:ascii="Times New Roman" w:hAnsi="Times New Roman"/>
              </w:rPr>
            </w:pPr>
            <w:r w:rsidRPr="006569D0">
              <w:rPr>
                <w:rFonts w:ascii="Times New Roman" w:hAnsi="Times New Roman"/>
              </w:rPr>
              <w:t>101.9%</w:t>
            </w:r>
          </w:p>
        </w:tc>
        <w:tc>
          <w:tcPr>
            <w:tcW w:w="499" w:type="pct"/>
            <w:shd w:val="clear" w:color="auto" w:fill="auto"/>
            <w:noWrap/>
            <w:vAlign w:val="center"/>
            <w:hideMark/>
          </w:tcPr>
          <w:p w14:paraId="6402A281" w14:textId="77777777" w:rsidR="005B68E1" w:rsidRPr="006569D0" w:rsidRDefault="005B68E1" w:rsidP="005B68E1">
            <w:pPr>
              <w:spacing w:after="0"/>
              <w:jc w:val="center"/>
              <w:rPr>
                <w:rFonts w:ascii="Times New Roman" w:hAnsi="Times New Roman"/>
              </w:rPr>
            </w:pPr>
            <w:r w:rsidRPr="006569D0">
              <w:rPr>
                <w:rFonts w:ascii="Times New Roman" w:hAnsi="Times New Roman"/>
              </w:rPr>
              <w:t>101.3%</w:t>
            </w:r>
          </w:p>
        </w:tc>
        <w:tc>
          <w:tcPr>
            <w:tcW w:w="499" w:type="pct"/>
            <w:shd w:val="clear" w:color="auto" w:fill="auto"/>
            <w:noWrap/>
            <w:vAlign w:val="center"/>
            <w:hideMark/>
          </w:tcPr>
          <w:p w14:paraId="54212DDE" w14:textId="77777777" w:rsidR="005B68E1" w:rsidRPr="006569D0" w:rsidRDefault="005B68E1" w:rsidP="005B68E1">
            <w:pPr>
              <w:spacing w:after="0"/>
              <w:jc w:val="center"/>
              <w:rPr>
                <w:rFonts w:ascii="Times New Roman" w:hAnsi="Times New Roman"/>
              </w:rPr>
            </w:pPr>
            <w:r w:rsidRPr="006569D0">
              <w:rPr>
                <w:rFonts w:ascii="Times New Roman" w:hAnsi="Times New Roman"/>
              </w:rPr>
              <w:t>101.4%</w:t>
            </w:r>
          </w:p>
        </w:tc>
        <w:tc>
          <w:tcPr>
            <w:tcW w:w="561" w:type="pct"/>
            <w:shd w:val="clear" w:color="auto" w:fill="auto"/>
            <w:vAlign w:val="center"/>
          </w:tcPr>
          <w:p w14:paraId="0F5EA904" w14:textId="45354E11"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101.65%</w:t>
            </w:r>
          </w:p>
        </w:tc>
      </w:tr>
      <w:tr w:rsidR="005B68E1" w:rsidRPr="006569D0" w14:paraId="03CF2BB7" w14:textId="3D86B560" w:rsidTr="005B68E1">
        <w:trPr>
          <w:trHeight w:val="315"/>
          <w:jc w:val="center"/>
        </w:trPr>
        <w:tc>
          <w:tcPr>
            <w:tcW w:w="947" w:type="pct"/>
            <w:shd w:val="clear" w:color="auto" w:fill="auto"/>
            <w:noWrap/>
            <w:vAlign w:val="center"/>
            <w:hideMark/>
          </w:tcPr>
          <w:p w14:paraId="71EA6FF8"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Plátano</w:t>
            </w:r>
          </w:p>
        </w:tc>
        <w:tc>
          <w:tcPr>
            <w:tcW w:w="499" w:type="pct"/>
            <w:shd w:val="clear" w:color="auto" w:fill="auto"/>
            <w:noWrap/>
            <w:vAlign w:val="center"/>
            <w:hideMark/>
          </w:tcPr>
          <w:p w14:paraId="49D66BB0" w14:textId="77777777" w:rsidR="005B68E1" w:rsidRPr="006569D0" w:rsidRDefault="005B68E1" w:rsidP="005B68E1">
            <w:pPr>
              <w:spacing w:after="0"/>
              <w:jc w:val="center"/>
              <w:rPr>
                <w:rFonts w:ascii="Times New Roman" w:hAnsi="Times New Roman"/>
              </w:rPr>
            </w:pPr>
            <w:r w:rsidRPr="006569D0">
              <w:rPr>
                <w:rFonts w:ascii="Times New Roman" w:hAnsi="Times New Roman"/>
              </w:rPr>
              <w:t>100.6%</w:t>
            </w:r>
          </w:p>
        </w:tc>
        <w:tc>
          <w:tcPr>
            <w:tcW w:w="499" w:type="pct"/>
            <w:shd w:val="clear" w:color="auto" w:fill="auto"/>
            <w:noWrap/>
            <w:vAlign w:val="center"/>
            <w:hideMark/>
          </w:tcPr>
          <w:p w14:paraId="41EE1CAC" w14:textId="77777777" w:rsidR="005B68E1" w:rsidRPr="006569D0" w:rsidRDefault="005B68E1" w:rsidP="005B68E1">
            <w:pPr>
              <w:spacing w:after="0"/>
              <w:jc w:val="center"/>
              <w:rPr>
                <w:rFonts w:ascii="Times New Roman" w:hAnsi="Times New Roman"/>
              </w:rPr>
            </w:pPr>
            <w:r w:rsidRPr="006569D0">
              <w:rPr>
                <w:rFonts w:ascii="Times New Roman" w:hAnsi="Times New Roman"/>
              </w:rPr>
              <w:t>100.4%</w:t>
            </w:r>
          </w:p>
        </w:tc>
        <w:tc>
          <w:tcPr>
            <w:tcW w:w="499" w:type="pct"/>
            <w:shd w:val="clear" w:color="auto" w:fill="auto"/>
            <w:noWrap/>
            <w:vAlign w:val="center"/>
            <w:hideMark/>
          </w:tcPr>
          <w:p w14:paraId="66CED53D" w14:textId="77777777" w:rsidR="005B68E1" w:rsidRPr="006569D0" w:rsidRDefault="005B68E1" w:rsidP="005B68E1">
            <w:pPr>
              <w:spacing w:after="0"/>
              <w:jc w:val="center"/>
              <w:rPr>
                <w:rFonts w:ascii="Times New Roman" w:hAnsi="Times New Roman"/>
              </w:rPr>
            </w:pPr>
            <w:r w:rsidRPr="006569D0">
              <w:rPr>
                <w:rFonts w:ascii="Times New Roman" w:hAnsi="Times New Roman"/>
              </w:rPr>
              <w:t>101.5%</w:t>
            </w:r>
          </w:p>
        </w:tc>
        <w:tc>
          <w:tcPr>
            <w:tcW w:w="499" w:type="pct"/>
            <w:shd w:val="clear" w:color="auto" w:fill="auto"/>
            <w:noWrap/>
            <w:vAlign w:val="center"/>
            <w:hideMark/>
          </w:tcPr>
          <w:p w14:paraId="27D76E70" w14:textId="77777777" w:rsidR="005B68E1" w:rsidRPr="006569D0" w:rsidRDefault="005B68E1" w:rsidP="005B68E1">
            <w:pPr>
              <w:spacing w:after="0"/>
              <w:jc w:val="center"/>
              <w:rPr>
                <w:rFonts w:ascii="Times New Roman" w:hAnsi="Times New Roman"/>
              </w:rPr>
            </w:pPr>
            <w:r w:rsidRPr="006569D0">
              <w:rPr>
                <w:rFonts w:ascii="Times New Roman" w:hAnsi="Times New Roman"/>
              </w:rPr>
              <w:t>100.9%</w:t>
            </w:r>
          </w:p>
        </w:tc>
        <w:tc>
          <w:tcPr>
            <w:tcW w:w="499" w:type="pct"/>
            <w:shd w:val="clear" w:color="auto" w:fill="auto"/>
            <w:noWrap/>
            <w:vAlign w:val="center"/>
            <w:hideMark/>
          </w:tcPr>
          <w:p w14:paraId="0EB47A09" w14:textId="77777777" w:rsidR="005B68E1" w:rsidRPr="006569D0" w:rsidRDefault="005B68E1" w:rsidP="005B68E1">
            <w:pPr>
              <w:spacing w:after="0"/>
              <w:jc w:val="center"/>
              <w:rPr>
                <w:rFonts w:ascii="Times New Roman" w:hAnsi="Times New Roman"/>
              </w:rPr>
            </w:pPr>
            <w:r w:rsidRPr="006569D0">
              <w:rPr>
                <w:rFonts w:ascii="Times New Roman" w:hAnsi="Times New Roman"/>
              </w:rPr>
              <w:t>100.5%</w:t>
            </w:r>
          </w:p>
        </w:tc>
        <w:tc>
          <w:tcPr>
            <w:tcW w:w="499" w:type="pct"/>
            <w:shd w:val="clear" w:color="auto" w:fill="auto"/>
            <w:noWrap/>
            <w:vAlign w:val="center"/>
            <w:hideMark/>
          </w:tcPr>
          <w:p w14:paraId="3CBA595A" w14:textId="77777777" w:rsidR="005B68E1" w:rsidRPr="006569D0" w:rsidRDefault="005B68E1" w:rsidP="005B68E1">
            <w:pPr>
              <w:spacing w:after="0"/>
              <w:jc w:val="center"/>
              <w:rPr>
                <w:rFonts w:ascii="Times New Roman" w:hAnsi="Times New Roman"/>
              </w:rPr>
            </w:pPr>
            <w:r w:rsidRPr="006569D0">
              <w:rPr>
                <w:rFonts w:ascii="Times New Roman" w:hAnsi="Times New Roman"/>
              </w:rPr>
              <w:t>101.0%</w:t>
            </w:r>
          </w:p>
        </w:tc>
        <w:tc>
          <w:tcPr>
            <w:tcW w:w="499" w:type="pct"/>
            <w:shd w:val="clear" w:color="auto" w:fill="auto"/>
            <w:noWrap/>
            <w:vAlign w:val="center"/>
            <w:hideMark/>
          </w:tcPr>
          <w:p w14:paraId="5402A05E" w14:textId="77777777" w:rsidR="005B68E1" w:rsidRPr="006569D0" w:rsidRDefault="005B68E1" w:rsidP="005B68E1">
            <w:pPr>
              <w:spacing w:after="0"/>
              <w:jc w:val="center"/>
              <w:rPr>
                <w:rFonts w:ascii="Times New Roman" w:hAnsi="Times New Roman"/>
              </w:rPr>
            </w:pPr>
            <w:r w:rsidRPr="006569D0">
              <w:rPr>
                <w:rFonts w:ascii="Times New Roman" w:hAnsi="Times New Roman"/>
              </w:rPr>
              <w:t>101.2%</w:t>
            </w:r>
          </w:p>
        </w:tc>
        <w:tc>
          <w:tcPr>
            <w:tcW w:w="561" w:type="pct"/>
            <w:shd w:val="clear" w:color="auto" w:fill="auto"/>
            <w:vAlign w:val="center"/>
          </w:tcPr>
          <w:p w14:paraId="73E9032E" w14:textId="2900AF6E"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100.97%</w:t>
            </w:r>
          </w:p>
        </w:tc>
      </w:tr>
      <w:tr w:rsidR="005B68E1" w:rsidRPr="006569D0" w14:paraId="45398ABA" w14:textId="428BE6D9" w:rsidTr="005B68E1">
        <w:trPr>
          <w:trHeight w:val="315"/>
          <w:jc w:val="center"/>
        </w:trPr>
        <w:tc>
          <w:tcPr>
            <w:tcW w:w="947" w:type="pct"/>
            <w:shd w:val="clear" w:color="auto" w:fill="auto"/>
            <w:noWrap/>
            <w:vAlign w:val="center"/>
            <w:hideMark/>
          </w:tcPr>
          <w:p w14:paraId="2702D1FD"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Pollo</w:t>
            </w:r>
          </w:p>
        </w:tc>
        <w:tc>
          <w:tcPr>
            <w:tcW w:w="499" w:type="pct"/>
            <w:shd w:val="clear" w:color="auto" w:fill="auto"/>
            <w:noWrap/>
            <w:vAlign w:val="center"/>
            <w:hideMark/>
          </w:tcPr>
          <w:p w14:paraId="323E96FA" w14:textId="77777777" w:rsidR="005B68E1" w:rsidRPr="006569D0" w:rsidRDefault="005B68E1" w:rsidP="005B68E1">
            <w:pPr>
              <w:spacing w:after="0"/>
              <w:jc w:val="center"/>
              <w:rPr>
                <w:rFonts w:ascii="Times New Roman" w:hAnsi="Times New Roman"/>
              </w:rPr>
            </w:pPr>
            <w:r w:rsidRPr="006569D0">
              <w:rPr>
                <w:rFonts w:ascii="Times New Roman" w:hAnsi="Times New Roman"/>
              </w:rPr>
              <w:t>93.8%</w:t>
            </w:r>
          </w:p>
        </w:tc>
        <w:tc>
          <w:tcPr>
            <w:tcW w:w="499" w:type="pct"/>
            <w:shd w:val="clear" w:color="auto" w:fill="auto"/>
            <w:noWrap/>
            <w:vAlign w:val="center"/>
            <w:hideMark/>
          </w:tcPr>
          <w:p w14:paraId="2632B3E9" w14:textId="77777777" w:rsidR="005B68E1" w:rsidRPr="006569D0" w:rsidRDefault="005B68E1" w:rsidP="005B68E1">
            <w:pPr>
              <w:spacing w:after="0"/>
              <w:jc w:val="center"/>
              <w:rPr>
                <w:rFonts w:ascii="Times New Roman" w:hAnsi="Times New Roman"/>
              </w:rPr>
            </w:pPr>
            <w:r w:rsidRPr="006569D0">
              <w:rPr>
                <w:rFonts w:ascii="Times New Roman" w:hAnsi="Times New Roman"/>
              </w:rPr>
              <w:t>94.7%</w:t>
            </w:r>
          </w:p>
        </w:tc>
        <w:tc>
          <w:tcPr>
            <w:tcW w:w="499" w:type="pct"/>
            <w:shd w:val="clear" w:color="auto" w:fill="auto"/>
            <w:noWrap/>
            <w:vAlign w:val="center"/>
            <w:hideMark/>
          </w:tcPr>
          <w:p w14:paraId="022CC93D" w14:textId="77777777" w:rsidR="005B68E1" w:rsidRPr="006569D0" w:rsidRDefault="005B68E1" w:rsidP="005B68E1">
            <w:pPr>
              <w:spacing w:after="0"/>
              <w:jc w:val="center"/>
              <w:rPr>
                <w:rFonts w:ascii="Times New Roman" w:hAnsi="Times New Roman"/>
              </w:rPr>
            </w:pPr>
            <w:r w:rsidRPr="006569D0">
              <w:rPr>
                <w:rFonts w:ascii="Times New Roman" w:hAnsi="Times New Roman"/>
              </w:rPr>
              <w:t>93.7%</w:t>
            </w:r>
          </w:p>
        </w:tc>
        <w:tc>
          <w:tcPr>
            <w:tcW w:w="499" w:type="pct"/>
            <w:shd w:val="clear" w:color="auto" w:fill="auto"/>
            <w:noWrap/>
            <w:vAlign w:val="center"/>
            <w:hideMark/>
          </w:tcPr>
          <w:p w14:paraId="0B30E99A" w14:textId="77777777" w:rsidR="005B68E1" w:rsidRPr="006569D0" w:rsidRDefault="005B68E1" w:rsidP="005B68E1">
            <w:pPr>
              <w:spacing w:after="0"/>
              <w:jc w:val="center"/>
              <w:rPr>
                <w:rFonts w:ascii="Times New Roman" w:hAnsi="Times New Roman"/>
              </w:rPr>
            </w:pPr>
            <w:r w:rsidRPr="006569D0">
              <w:rPr>
                <w:rFonts w:ascii="Times New Roman" w:hAnsi="Times New Roman"/>
              </w:rPr>
              <w:t>92.3%</w:t>
            </w:r>
          </w:p>
        </w:tc>
        <w:tc>
          <w:tcPr>
            <w:tcW w:w="499" w:type="pct"/>
            <w:shd w:val="clear" w:color="auto" w:fill="auto"/>
            <w:noWrap/>
            <w:vAlign w:val="center"/>
            <w:hideMark/>
          </w:tcPr>
          <w:p w14:paraId="6E7E7483" w14:textId="77777777" w:rsidR="005B68E1" w:rsidRPr="006569D0" w:rsidRDefault="005B68E1" w:rsidP="005B68E1">
            <w:pPr>
              <w:spacing w:after="0"/>
              <w:jc w:val="center"/>
              <w:rPr>
                <w:rFonts w:ascii="Times New Roman" w:hAnsi="Times New Roman"/>
              </w:rPr>
            </w:pPr>
            <w:r w:rsidRPr="006569D0">
              <w:rPr>
                <w:rFonts w:ascii="Times New Roman" w:hAnsi="Times New Roman"/>
              </w:rPr>
              <w:t>98.0%</w:t>
            </w:r>
          </w:p>
        </w:tc>
        <w:tc>
          <w:tcPr>
            <w:tcW w:w="499" w:type="pct"/>
            <w:shd w:val="clear" w:color="auto" w:fill="auto"/>
            <w:noWrap/>
            <w:vAlign w:val="center"/>
            <w:hideMark/>
          </w:tcPr>
          <w:p w14:paraId="0448C5F0" w14:textId="77777777" w:rsidR="005B68E1" w:rsidRPr="006569D0" w:rsidRDefault="005B68E1" w:rsidP="005B68E1">
            <w:pPr>
              <w:spacing w:after="0"/>
              <w:jc w:val="center"/>
              <w:rPr>
                <w:rFonts w:ascii="Times New Roman" w:hAnsi="Times New Roman"/>
              </w:rPr>
            </w:pPr>
            <w:r w:rsidRPr="006569D0">
              <w:rPr>
                <w:rFonts w:ascii="Times New Roman" w:hAnsi="Times New Roman"/>
              </w:rPr>
              <w:t>99.7%</w:t>
            </w:r>
          </w:p>
        </w:tc>
        <w:tc>
          <w:tcPr>
            <w:tcW w:w="499" w:type="pct"/>
            <w:shd w:val="clear" w:color="auto" w:fill="auto"/>
            <w:noWrap/>
            <w:vAlign w:val="center"/>
            <w:hideMark/>
          </w:tcPr>
          <w:p w14:paraId="76DE3238" w14:textId="77777777" w:rsidR="005B68E1" w:rsidRPr="006569D0" w:rsidRDefault="005B68E1" w:rsidP="005B68E1">
            <w:pPr>
              <w:spacing w:after="0"/>
              <w:jc w:val="center"/>
              <w:rPr>
                <w:rFonts w:ascii="Times New Roman" w:hAnsi="Times New Roman"/>
              </w:rPr>
            </w:pPr>
            <w:r w:rsidRPr="006569D0">
              <w:rPr>
                <w:rFonts w:ascii="Times New Roman" w:hAnsi="Times New Roman"/>
              </w:rPr>
              <w:t>100.9%</w:t>
            </w:r>
          </w:p>
        </w:tc>
        <w:tc>
          <w:tcPr>
            <w:tcW w:w="561" w:type="pct"/>
            <w:shd w:val="clear" w:color="auto" w:fill="auto"/>
            <w:vAlign w:val="center"/>
          </w:tcPr>
          <w:p w14:paraId="0C23E5EE" w14:textId="3EA4BC1C"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97.63%</w:t>
            </w:r>
          </w:p>
        </w:tc>
      </w:tr>
      <w:tr w:rsidR="005B68E1" w:rsidRPr="006569D0" w14:paraId="381652CA" w14:textId="58389FCB" w:rsidTr="005B68E1">
        <w:trPr>
          <w:trHeight w:val="315"/>
          <w:jc w:val="center"/>
        </w:trPr>
        <w:tc>
          <w:tcPr>
            <w:tcW w:w="947" w:type="pct"/>
            <w:shd w:val="clear" w:color="auto" w:fill="auto"/>
            <w:noWrap/>
            <w:vAlign w:val="center"/>
            <w:hideMark/>
          </w:tcPr>
          <w:p w14:paraId="4B8BC920"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Yautía</w:t>
            </w:r>
          </w:p>
        </w:tc>
        <w:tc>
          <w:tcPr>
            <w:tcW w:w="499" w:type="pct"/>
            <w:shd w:val="clear" w:color="auto" w:fill="auto"/>
            <w:noWrap/>
            <w:vAlign w:val="center"/>
            <w:hideMark/>
          </w:tcPr>
          <w:p w14:paraId="4CAFBC5F" w14:textId="77777777" w:rsidR="005B68E1" w:rsidRPr="006569D0" w:rsidRDefault="005B68E1" w:rsidP="005B68E1">
            <w:pPr>
              <w:spacing w:after="0"/>
              <w:jc w:val="center"/>
              <w:rPr>
                <w:rFonts w:ascii="Times New Roman" w:hAnsi="Times New Roman"/>
              </w:rPr>
            </w:pPr>
            <w:r w:rsidRPr="006569D0">
              <w:rPr>
                <w:rFonts w:ascii="Times New Roman" w:hAnsi="Times New Roman"/>
              </w:rPr>
              <w:t>115.6%</w:t>
            </w:r>
          </w:p>
        </w:tc>
        <w:tc>
          <w:tcPr>
            <w:tcW w:w="499" w:type="pct"/>
            <w:shd w:val="clear" w:color="auto" w:fill="auto"/>
            <w:noWrap/>
            <w:vAlign w:val="center"/>
            <w:hideMark/>
          </w:tcPr>
          <w:p w14:paraId="0CDA69FF" w14:textId="77777777" w:rsidR="005B68E1" w:rsidRPr="006569D0" w:rsidRDefault="005B68E1" w:rsidP="005B68E1">
            <w:pPr>
              <w:spacing w:after="0"/>
              <w:jc w:val="center"/>
              <w:rPr>
                <w:rFonts w:ascii="Times New Roman" w:hAnsi="Times New Roman"/>
              </w:rPr>
            </w:pPr>
            <w:r w:rsidRPr="006569D0">
              <w:rPr>
                <w:rFonts w:ascii="Times New Roman" w:hAnsi="Times New Roman"/>
              </w:rPr>
              <w:t>103.7%</w:t>
            </w:r>
          </w:p>
        </w:tc>
        <w:tc>
          <w:tcPr>
            <w:tcW w:w="499" w:type="pct"/>
            <w:shd w:val="clear" w:color="auto" w:fill="auto"/>
            <w:noWrap/>
            <w:vAlign w:val="center"/>
            <w:hideMark/>
          </w:tcPr>
          <w:p w14:paraId="32211B2D" w14:textId="77777777" w:rsidR="005B68E1" w:rsidRPr="006569D0" w:rsidRDefault="005B68E1" w:rsidP="005B68E1">
            <w:pPr>
              <w:spacing w:after="0"/>
              <w:jc w:val="center"/>
              <w:rPr>
                <w:rFonts w:ascii="Times New Roman" w:hAnsi="Times New Roman"/>
              </w:rPr>
            </w:pPr>
            <w:r w:rsidRPr="006569D0">
              <w:rPr>
                <w:rFonts w:ascii="Times New Roman" w:hAnsi="Times New Roman"/>
              </w:rPr>
              <w:t>105.6%</w:t>
            </w:r>
          </w:p>
        </w:tc>
        <w:tc>
          <w:tcPr>
            <w:tcW w:w="499" w:type="pct"/>
            <w:shd w:val="clear" w:color="auto" w:fill="auto"/>
            <w:noWrap/>
            <w:vAlign w:val="center"/>
            <w:hideMark/>
          </w:tcPr>
          <w:p w14:paraId="3B1C6863" w14:textId="77777777" w:rsidR="005B68E1" w:rsidRPr="006569D0" w:rsidRDefault="005B68E1" w:rsidP="005B68E1">
            <w:pPr>
              <w:spacing w:after="0"/>
              <w:jc w:val="center"/>
              <w:rPr>
                <w:rFonts w:ascii="Times New Roman" w:hAnsi="Times New Roman"/>
              </w:rPr>
            </w:pPr>
            <w:r w:rsidRPr="006569D0">
              <w:rPr>
                <w:rFonts w:ascii="Times New Roman" w:hAnsi="Times New Roman"/>
              </w:rPr>
              <w:t>103.7%</w:t>
            </w:r>
          </w:p>
        </w:tc>
        <w:tc>
          <w:tcPr>
            <w:tcW w:w="499" w:type="pct"/>
            <w:shd w:val="clear" w:color="auto" w:fill="auto"/>
            <w:noWrap/>
            <w:vAlign w:val="center"/>
            <w:hideMark/>
          </w:tcPr>
          <w:p w14:paraId="4BDD6C0A" w14:textId="77777777" w:rsidR="005B68E1" w:rsidRPr="006569D0" w:rsidRDefault="005B68E1" w:rsidP="005B68E1">
            <w:pPr>
              <w:spacing w:after="0"/>
              <w:jc w:val="center"/>
              <w:rPr>
                <w:rFonts w:ascii="Times New Roman" w:hAnsi="Times New Roman"/>
              </w:rPr>
            </w:pPr>
            <w:r w:rsidRPr="006569D0">
              <w:rPr>
                <w:rFonts w:ascii="Times New Roman" w:hAnsi="Times New Roman"/>
              </w:rPr>
              <w:t>112.3%</w:t>
            </w:r>
          </w:p>
        </w:tc>
        <w:tc>
          <w:tcPr>
            <w:tcW w:w="499" w:type="pct"/>
            <w:shd w:val="clear" w:color="auto" w:fill="auto"/>
            <w:noWrap/>
            <w:vAlign w:val="center"/>
            <w:hideMark/>
          </w:tcPr>
          <w:p w14:paraId="08869FD1" w14:textId="77777777" w:rsidR="005B68E1" w:rsidRPr="006569D0" w:rsidRDefault="005B68E1" w:rsidP="005B68E1">
            <w:pPr>
              <w:spacing w:after="0"/>
              <w:jc w:val="center"/>
              <w:rPr>
                <w:rFonts w:ascii="Times New Roman" w:hAnsi="Times New Roman"/>
              </w:rPr>
            </w:pPr>
            <w:r w:rsidRPr="006569D0">
              <w:rPr>
                <w:rFonts w:ascii="Times New Roman" w:hAnsi="Times New Roman"/>
              </w:rPr>
              <w:t>103.3%</w:t>
            </w:r>
          </w:p>
        </w:tc>
        <w:tc>
          <w:tcPr>
            <w:tcW w:w="499" w:type="pct"/>
            <w:shd w:val="clear" w:color="auto" w:fill="auto"/>
            <w:noWrap/>
            <w:vAlign w:val="center"/>
            <w:hideMark/>
          </w:tcPr>
          <w:p w14:paraId="2FADC2C9" w14:textId="77777777" w:rsidR="005B68E1" w:rsidRPr="006569D0" w:rsidRDefault="005B68E1" w:rsidP="005B68E1">
            <w:pPr>
              <w:spacing w:after="0"/>
              <w:jc w:val="center"/>
              <w:rPr>
                <w:rFonts w:ascii="Times New Roman" w:hAnsi="Times New Roman"/>
              </w:rPr>
            </w:pPr>
            <w:r w:rsidRPr="006569D0">
              <w:rPr>
                <w:rFonts w:ascii="Times New Roman" w:hAnsi="Times New Roman"/>
              </w:rPr>
              <w:t>100.8%</w:t>
            </w:r>
          </w:p>
        </w:tc>
        <w:tc>
          <w:tcPr>
            <w:tcW w:w="561" w:type="pct"/>
            <w:shd w:val="clear" w:color="auto" w:fill="auto"/>
            <w:vAlign w:val="center"/>
          </w:tcPr>
          <w:p w14:paraId="0F5721C4" w14:textId="50D15BFB"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102.14%</w:t>
            </w:r>
          </w:p>
        </w:tc>
      </w:tr>
      <w:tr w:rsidR="005B68E1" w:rsidRPr="006569D0" w14:paraId="08E205FF" w14:textId="1CB708B7" w:rsidTr="005B68E1">
        <w:trPr>
          <w:trHeight w:val="315"/>
          <w:jc w:val="center"/>
        </w:trPr>
        <w:tc>
          <w:tcPr>
            <w:tcW w:w="947" w:type="pct"/>
            <w:shd w:val="clear" w:color="auto" w:fill="auto"/>
            <w:noWrap/>
            <w:vAlign w:val="center"/>
            <w:hideMark/>
          </w:tcPr>
          <w:p w14:paraId="4B72EAF2"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Chinola</w:t>
            </w:r>
          </w:p>
        </w:tc>
        <w:tc>
          <w:tcPr>
            <w:tcW w:w="499" w:type="pct"/>
            <w:shd w:val="clear" w:color="auto" w:fill="auto"/>
            <w:noWrap/>
            <w:vAlign w:val="center"/>
            <w:hideMark/>
          </w:tcPr>
          <w:p w14:paraId="12AC1E68" w14:textId="77777777" w:rsidR="005B68E1" w:rsidRPr="006569D0" w:rsidRDefault="005B68E1" w:rsidP="005B68E1">
            <w:pPr>
              <w:spacing w:after="0"/>
              <w:jc w:val="center"/>
              <w:rPr>
                <w:rFonts w:ascii="Times New Roman" w:hAnsi="Times New Roman"/>
              </w:rPr>
            </w:pPr>
            <w:r w:rsidRPr="006569D0">
              <w:rPr>
                <w:rFonts w:ascii="Times New Roman" w:hAnsi="Times New Roman"/>
              </w:rPr>
              <w:t>100.0%</w:t>
            </w:r>
          </w:p>
        </w:tc>
        <w:tc>
          <w:tcPr>
            <w:tcW w:w="499" w:type="pct"/>
            <w:shd w:val="clear" w:color="auto" w:fill="auto"/>
            <w:noWrap/>
            <w:vAlign w:val="center"/>
            <w:hideMark/>
          </w:tcPr>
          <w:p w14:paraId="7017431C" w14:textId="77777777" w:rsidR="005B68E1" w:rsidRPr="006569D0" w:rsidRDefault="005B68E1" w:rsidP="005B68E1">
            <w:pPr>
              <w:spacing w:after="0"/>
              <w:jc w:val="center"/>
              <w:rPr>
                <w:rFonts w:ascii="Times New Roman" w:hAnsi="Times New Roman"/>
              </w:rPr>
            </w:pPr>
            <w:r w:rsidRPr="006569D0">
              <w:rPr>
                <w:rFonts w:ascii="Times New Roman" w:hAnsi="Times New Roman"/>
              </w:rPr>
              <w:t>100.3%</w:t>
            </w:r>
          </w:p>
        </w:tc>
        <w:tc>
          <w:tcPr>
            <w:tcW w:w="499" w:type="pct"/>
            <w:shd w:val="clear" w:color="auto" w:fill="auto"/>
            <w:noWrap/>
            <w:vAlign w:val="center"/>
            <w:hideMark/>
          </w:tcPr>
          <w:p w14:paraId="47768660" w14:textId="77777777" w:rsidR="005B68E1" w:rsidRPr="006569D0" w:rsidRDefault="005B68E1" w:rsidP="005B68E1">
            <w:pPr>
              <w:spacing w:after="0"/>
              <w:jc w:val="center"/>
              <w:rPr>
                <w:rFonts w:ascii="Times New Roman" w:hAnsi="Times New Roman"/>
              </w:rPr>
            </w:pPr>
            <w:r w:rsidRPr="006569D0">
              <w:rPr>
                <w:rFonts w:ascii="Times New Roman" w:hAnsi="Times New Roman"/>
              </w:rPr>
              <w:t>100.3%</w:t>
            </w:r>
          </w:p>
        </w:tc>
        <w:tc>
          <w:tcPr>
            <w:tcW w:w="499" w:type="pct"/>
            <w:shd w:val="clear" w:color="auto" w:fill="auto"/>
            <w:noWrap/>
            <w:vAlign w:val="center"/>
            <w:hideMark/>
          </w:tcPr>
          <w:p w14:paraId="290DFECC" w14:textId="77777777" w:rsidR="005B68E1" w:rsidRPr="006569D0" w:rsidRDefault="005B68E1" w:rsidP="005B68E1">
            <w:pPr>
              <w:spacing w:after="0"/>
              <w:jc w:val="center"/>
              <w:rPr>
                <w:rFonts w:ascii="Times New Roman" w:hAnsi="Times New Roman"/>
              </w:rPr>
            </w:pPr>
            <w:r w:rsidRPr="006569D0">
              <w:rPr>
                <w:rFonts w:ascii="Times New Roman" w:hAnsi="Times New Roman"/>
              </w:rPr>
              <w:t>101.4%</w:t>
            </w:r>
          </w:p>
        </w:tc>
        <w:tc>
          <w:tcPr>
            <w:tcW w:w="499" w:type="pct"/>
            <w:shd w:val="clear" w:color="auto" w:fill="auto"/>
            <w:noWrap/>
            <w:vAlign w:val="center"/>
            <w:hideMark/>
          </w:tcPr>
          <w:p w14:paraId="18F49D7F" w14:textId="77777777" w:rsidR="005B68E1" w:rsidRPr="006569D0" w:rsidRDefault="005B68E1" w:rsidP="005B68E1">
            <w:pPr>
              <w:spacing w:after="0"/>
              <w:jc w:val="center"/>
              <w:rPr>
                <w:rFonts w:ascii="Times New Roman" w:hAnsi="Times New Roman"/>
              </w:rPr>
            </w:pPr>
            <w:r w:rsidRPr="006569D0">
              <w:rPr>
                <w:rFonts w:ascii="Times New Roman" w:hAnsi="Times New Roman"/>
              </w:rPr>
              <w:t>100.4%</w:t>
            </w:r>
          </w:p>
        </w:tc>
        <w:tc>
          <w:tcPr>
            <w:tcW w:w="499" w:type="pct"/>
            <w:shd w:val="clear" w:color="auto" w:fill="auto"/>
            <w:noWrap/>
            <w:vAlign w:val="center"/>
            <w:hideMark/>
          </w:tcPr>
          <w:p w14:paraId="7B4ACC40" w14:textId="77777777" w:rsidR="005B68E1" w:rsidRPr="006569D0" w:rsidRDefault="005B68E1" w:rsidP="005B68E1">
            <w:pPr>
              <w:spacing w:after="0"/>
              <w:jc w:val="center"/>
              <w:rPr>
                <w:rFonts w:ascii="Times New Roman" w:hAnsi="Times New Roman"/>
              </w:rPr>
            </w:pPr>
            <w:r w:rsidRPr="006569D0">
              <w:rPr>
                <w:rFonts w:ascii="Times New Roman" w:hAnsi="Times New Roman"/>
              </w:rPr>
              <w:t>100.5%</w:t>
            </w:r>
          </w:p>
        </w:tc>
        <w:tc>
          <w:tcPr>
            <w:tcW w:w="499" w:type="pct"/>
            <w:shd w:val="clear" w:color="auto" w:fill="auto"/>
            <w:noWrap/>
            <w:vAlign w:val="center"/>
            <w:hideMark/>
          </w:tcPr>
          <w:p w14:paraId="7F8ABF83" w14:textId="77777777" w:rsidR="005B68E1" w:rsidRPr="006569D0" w:rsidRDefault="005B68E1" w:rsidP="005B68E1">
            <w:pPr>
              <w:spacing w:after="0"/>
              <w:jc w:val="center"/>
              <w:rPr>
                <w:rFonts w:ascii="Times New Roman" w:hAnsi="Times New Roman"/>
              </w:rPr>
            </w:pPr>
            <w:r w:rsidRPr="006569D0">
              <w:rPr>
                <w:rFonts w:ascii="Times New Roman" w:hAnsi="Times New Roman"/>
              </w:rPr>
              <w:t>100.6%</w:t>
            </w:r>
          </w:p>
        </w:tc>
        <w:tc>
          <w:tcPr>
            <w:tcW w:w="561" w:type="pct"/>
            <w:shd w:val="clear" w:color="auto" w:fill="auto"/>
            <w:vAlign w:val="center"/>
          </w:tcPr>
          <w:p w14:paraId="34D603E9" w14:textId="0AC295E9"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100.45%</w:t>
            </w:r>
          </w:p>
        </w:tc>
      </w:tr>
      <w:tr w:rsidR="005B68E1" w:rsidRPr="006569D0" w14:paraId="69F2B4FB" w14:textId="1160DAAA" w:rsidTr="005B68E1">
        <w:trPr>
          <w:trHeight w:val="315"/>
          <w:jc w:val="center"/>
        </w:trPr>
        <w:tc>
          <w:tcPr>
            <w:tcW w:w="947" w:type="pct"/>
            <w:shd w:val="clear" w:color="auto" w:fill="auto"/>
            <w:noWrap/>
            <w:vAlign w:val="center"/>
            <w:hideMark/>
          </w:tcPr>
          <w:p w14:paraId="620CAF6C"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Yuca</w:t>
            </w:r>
          </w:p>
        </w:tc>
        <w:tc>
          <w:tcPr>
            <w:tcW w:w="499" w:type="pct"/>
            <w:shd w:val="clear" w:color="auto" w:fill="auto"/>
            <w:noWrap/>
            <w:vAlign w:val="center"/>
            <w:hideMark/>
          </w:tcPr>
          <w:p w14:paraId="1BB2AD62" w14:textId="77777777" w:rsidR="005B68E1" w:rsidRPr="006569D0" w:rsidRDefault="005B68E1" w:rsidP="005B68E1">
            <w:pPr>
              <w:spacing w:after="0"/>
              <w:jc w:val="center"/>
              <w:rPr>
                <w:rFonts w:ascii="Times New Roman" w:hAnsi="Times New Roman"/>
              </w:rPr>
            </w:pPr>
            <w:r w:rsidRPr="006569D0">
              <w:rPr>
                <w:rFonts w:ascii="Times New Roman" w:hAnsi="Times New Roman"/>
              </w:rPr>
              <w:t>100.2%</w:t>
            </w:r>
          </w:p>
        </w:tc>
        <w:tc>
          <w:tcPr>
            <w:tcW w:w="499" w:type="pct"/>
            <w:shd w:val="clear" w:color="auto" w:fill="auto"/>
            <w:noWrap/>
            <w:vAlign w:val="center"/>
            <w:hideMark/>
          </w:tcPr>
          <w:p w14:paraId="30B258B3" w14:textId="77777777" w:rsidR="005B68E1" w:rsidRPr="006569D0" w:rsidRDefault="005B68E1" w:rsidP="005B68E1">
            <w:pPr>
              <w:spacing w:after="0"/>
              <w:jc w:val="center"/>
              <w:rPr>
                <w:rFonts w:ascii="Times New Roman" w:hAnsi="Times New Roman"/>
              </w:rPr>
            </w:pPr>
            <w:r w:rsidRPr="006569D0">
              <w:rPr>
                <w:rFonts w:ascii="Times New Roman" w:hAnsi="Times New Roman"/>
              </w:rPr>
              <w:t>100.1%</w:t>
            </w:r>
          </w:p>
        </w:tc>
        <w:tc>
          <w:tcPr>
            <w:tcW w:w="499" w:type="pct"/>
            <w:shd w:val="clear" w:color="auto" w:fill="auto"/>
            <w:noWrap/>
            <w:vAlign w:val="center"/>
            <w:hideMark/>
          </w:tcPr>
          <w:p w14:paraId="4501AB89" w14:textId="77777777" w:rsidR="005B68E1" w:rsidRPr="006569D0" w:rsidRDefault="005B68E1" w:rsidP="005B68E1">
            <w:pPr>
              <w:spacing w:after="0"/>
              <w:jc w:val="center"/>
              <w:rPr>
                <w:rFonts w:ascii="Times New Roman" w:hAnsi="Times New Roman"/>
              </w:rPr>
            </w:pPr>
            <w:r w:rsidRPr="006569D0">
              <w:rPr>
                <w:rFonts w:ascii="Times New Roman" w:hAnsi="Times New Roman"/>
              </w:rPr>
              <w:t>100.4%</w:t>
            </w:r>
          </w:p>
        </w:tc>
        <w:tc>
          <w:tcPr>
            <w:tcW w:w="499" w:type="pct"/>
            <w:shd w:val="clear" w:color="auto" w:fill="auto"/>
            <w:noWrap/>
            <w:vAlign w:val="center"/>
            <w:hideMark/>
          </w:tcPr>
          <w:p w14:paraId="6C1E7ECF" w14:textId="77777777" w:rsidR="005B68E1" w:rsidRPr="006569D0" w:rsidRDefault="005B68E1" w:rsidP="005B68E1">
            <w:pPr>
              <w:spacing w:after="0"/>
              <w:jc w:val="center"/>
              <w:rPr>
                <w:rFonts w:ascii="Times New Roman" w:hAnsi="Times New Roman"/>
              </w:rPr>
            </w:pPr>
            <w:r w:rsidRPr="006569D0">
              <w:rPr>
                <w:rFonts w:ascii="Times New Roman" w:hAnsi="Times New Roman"/>
              </w:rPr>
              <w:t>100.1%</w:t>
            </w:r>
          </w:p>
        </w:tc>
        <w:tc>
          <w:tcPr>
            <w:tcW w:w="499" w:type="pct"/>
            <w:shd w:val="clear" w:color="auto" w:fill="auto"/>
            <w:noWrap/>
            <w:vAlign w:val="center"/>
            <w:hideMark/>
          </w:tcPr>
          <w:p w14:paraId="68F3B572" w14:textId="77777777" w:rsidR="005B68E1" w:rsidRPr="006569D0" w:rsidRDefault="005B68E1" w:rsidP="005B68E1">
            <w:pPr>
              <w:spacing w:after="0"/>
              <w:jc w:val="center"/>
              <w:rPr>
                <w:rFonts w:ascii="Times New Roman" w:hAnsi="Times New Roman"/>
              </w:rPr>
            </w:pPr>
            <w:r w:rsidRPr="006569D0">
              <w:rPr>
                <w:rFonts w:ascii="Times New Roman" w:hAnsi="Times New Roman"/>
              </w:rPr>
              <w:t>100.0%</w:t>
            </w:r>
          </w:p>
        </w:tc>
        <w:tc>
          <w:tcPr>
            <w:tcW w:w="499" w:type="pct"/>
            <w:shd w:val="clear" w:color="auto" w:fill="auto"/>
            <w:noWrap/>
            <w:vAlign w:val="center"/>
            <w:hideMark/>
          </w:tcPr>
          <w:p w14:paraId="6884C621" w14:textId="77777777" w:rsidR="005B68E1" w:rsidRPr="006569D0" w:rsidRDefault="005B68E1" w:rsidP="005B68E1">
            <w:pPr>
              <w:spacing w:after="0"/>
              <w:jc w:val="center"/>
              <w:rPr>
                <w:rFonts w:ascii="Times New Roman" w:hAnsi="Times New Roman"/>
              </w:rPr>
            </w:pPr>
            <w:r w:rsidRPr="006569D0">
              <w:rPr>
                <w:rFonts w:ascii="Times New Roman" w:hAnsi="Times New Roman"/>
              </w:rPr>
              <w:t>100.3%</w:t>
            </w:r>
          </w:p>
        </w:tc>
        <w:tc>
          <w:tcPr>
            <w:tcW w:w="499" w:type="pct"/>
            <w:shd w:val="clear" w:color="auto" w:fill="auto"/>
            <w:noWrap/>
            <w:vAlign w:val="center"/>
            <w:hideMark/>
          </w:tcPr>
          <w:p w14:paraId="48B1D986" w14:textId="77777777" w:rsidR="005B68E1" w:rsidRPr="006569D0" w:rsidRDefault="005B68E1" w:rsidP="005B68E1">
            <w:pPr>
              <w:spacing w:after="0"/>
              <w:jc w:val="center"/>
              <w:rPr>
                <w:rFonts w:ascii="Times New Roman" w:hAnsi="Times New Roman"/>
              </w:rPr>
            </w:pPr>
            <w:r w:rsidRPr="006569D0">
              <w:rPr>
                <w:rFonts w:ascii="Times New Roman" w:hAnsi="Times New Roman"/>
              </w:rPr>
              <w:t>100.3%</w:t>
            </w:r>
          </w:p>
        </w:tc>
        <w:tc>
          <w:tcPr>
            <w:tcW w:w="561" w:type="pct"/>
            <w:shd w:val="clear" w:color="auto" w:fill="auto"/>
            <w:vAlign w:val="center"/>
          </w:tcPr>
          <w:p w14:paraId="4BB15724" w14:textId="65FDCA6F"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100.19%</w:t>
            </w:r>
          </w:p>
        </w:tc>
      </w:tr>
      <w:tr w:rsidR="005B68E1" w:rsidRPr="006569D0" w14:paraId="1291F7F6" w14:textId="6D68E06F" w:rsidTr="005B68E1">
        <w:trPr>
          <w:trHeight w:val="315"/>
          <w:jc w:val="center"/>
        </w:trPr>
        <w:tc>
          <w:tcPr>
            <w:tcW w:w="947" w:type="pct"/>
            <w:shd w:val="clear" w:color="auto" w:fill="auto"/>
            <w:noWrap/>
            <w:vAlign w:val="center"/>
            <w:hideMark/>
          </w:tcPr>
          <w:p w14:paraId="1F15F014"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Ñame</w:t>
            </w:r>
          </w:p>
        </w:tc>
        <w:tc>
          <w:tcPr>
            <w:tcW w:w="499" w:type="pct"/>
            <w:shd w:val="clear" w:color="auto" w:fill="auto"/>
            <w:noWrap/>
            <w:vAlign w:val="center"/>
            <w:hideMark/>
          </w:tcPr>
          <w:p w14:paraId="27A80283" w14:textId="77777777" w:rsidR="005B68E1" w:rsidRPr="006569D0" w:rsidRDefault="005B68E1" w:rsidP="005B68E1">
            <w:pPr>
              <w:spacing w:after="0"/>
              <w:jc w:val="center"/>
              <w:rPr>
                <w:rFonts w:ascii="Times New Roman" w:hAnsi="Times New Roman"/>
              </w:rPr>
            </w:pPr>
            <w:r w:rsidRPr="006569D0">
              <w:rPr>
                <w:rFonts w:ascii="Times New Roman" w:hAnsi="Times New Roman"/>
              </w:rPr>
              <w:t>101.2%</w:t>
            </w:r>
          </w:p>
        </w:tc>
        <w:tc>
          <w:tcPr>
            <w:tcW w:w="499" w:type="pct"/>
            <w:shd w:val="clear" w:color="auto" w:fill="auto"/>
            <w:noWrap/>
            <w:vAlign w:val="center"/>
            <w:hideMark/>
          </w:tcPr>
          <w:p w14:paraId="73752DDC" w14:textId="77777777" w:rsidR="005B68E1" w:rsidRPr="006569D0" w:rsidRDefault="005B68E1" w:rsidP="005B68E1">
            <w:pPr>
              <w:spacing w:after="0"/>
              <w:jc w:val="center"/>
              <w:rPr>
                <w:rFonts w:ascii="Times New Roman" w:hAnsi="Times New Roman"/>
              </w:rPr>
            </w:pPr>
            <w:r w:rsidRPr="006569D0">
              <w:rPr>
                <w:rFonts w:ascii="Times New Roman" w:hAnsi="Times New Roman"/>
              </w:rPr>
              <w:t>100.5%</w:t>
            </w:r>
          </w:p>
        </w:tc>
        <w:tc>
          <w:tcPr>
            <w:tcW w:w="499" w:type="pct"/>
            <w:shd w:val="clear" w:color="auto" w:fill="auto"/>
            <w:noWrap/>
            <w:vAlign w:val="center"/>
            <w:hideMark/>
          </w:tcPr>
          <w:p w14:paraId="716D3BB1" w14:textId="77777777" w:rsidR="005B68E1" w:rsidRPr="006569D0" w:rsidRDefault="005B68E1" w:rsidP="005B68E1">
            <w:pPr>
              <w:spacing w:after="0"/>
              <w:jc w:val="center"/>
              <w:rPr>
                <w:rFonts w:ascii="Times New Roman" w:hAnsi="Times New Roman"/>
              </w:rPr>
            </w:pPr>
            <w:r w:rsidRPr="006569D0">
              <w:rPr>
                <w:rFonts w:ascii="Times New Roman" w:hAnsi="Times New Roman"/>
              </w:rPr>
              <w:t>101.5%</w:t>
            </w:r>
          </w:p>
        </w:tc>
        <w:tc>
          <w:tcPr>
            <w:tcW w:w="499" w:type="pct"/>
            <w:shd w:val="clear" w:color="auto" w:fill="auto"/>
            <w:noWrap/>
            <w:vAlign w:val="center"/>
            <w:hideMark/>
          </w:tcPr>
          <w:p w14:paraId="0697EF5D" w14:textId="77777777" w:rsidR="005B68E1" w:rsidRPr="006569D0" w:rsidRDefault="005B68E1" w:rsidP="005B68E1">
            <w:pPr>
              <w:spacing w:after="0"/>
              <w:jc w:val="center"/>
              <w:rPr>
                <w:rFonts w:ascii="Times New Roman" w:hAnsi="Times New Roman"/>
              </w:rPr>
            </w:pPr>
            <w:r w:rsidRPr="006569D0">
              <w:rPr>
                <w:rFonts w:ascii="Times New Roman" w:hAnsi="Times New Roman"/>
              </w:rPr>
              <w:t>101.1%</w:t>
            </w:r>
          </w:p>
        </w:tc>
        <w:tc>
          <w:tcPr>
            <w:tcW w:w="499" w:type="pct"/>
            <w:shd w:val="clear" w:color="auto" w:fill="auto"/>
            <w:noWrap/>
            <w:vAlign w:val="center"/>
            <w:hideMark/>
          </w:tcPr>
          <w:p w14:paraId="0DC67238" w14:textId="77777777" w:rsidR="005B68E1" w:rsidRPr="006569D0" w:rsidRDefault="005B68E1" w:rsidP="005B68E1">
            <w:pPr>
              <w:spacing w:after="0"/>
              <w:jc w:val="center"/>
              <w:rPr>
                <w:rFonts w:ascii="Times New Roman" w:hAnsi="Times New Roman"/>
              </w:rPr>
            </w:pPr>
            <w:r w:rsidRPr="006569D0">
              <w:rPr>
                <w:rFonts w:ascii="Times New Roman" w:hAnsi="Times New Roman"/>
              </w:rPr>
              <w:t>100.0%</w:t>
            </w:r>
          </w:p>
        </w:tc>
        <w:tc>
          <w:tcPr>
            <w:tcW w:w="499" w:type="pct"/>
            <w:shd w:val="clear" w:color="auto" w:fill="auto"/>
            <w:noWrap/>
            <w:vAlign w:val="center"/>
            <w:hideMark/>
          </w:tcPr>
          <w:p w14:paraId="11188100" w14:textId="77777777" w:rsidR="005B68E1" w:rsidRPr="006569D0" w:rsidRDefault="005B68E1" w:rsidP="005B68E1">
            <w:pPr>
              <w:spacing w:after="0"/>
              <w:jc w:val="center"/>
              <w:rPr>
                <w:rFonts w:ascii="Times New Roman" w:hAnsi="Times New Roman"/>
              </w:rPr>
            </w:pPr>
            <w:r w:rsidRPr="006569D0">
              <w:rPr>
                <w:rFonts w:ascii="Times New Roman" w:hAnsi="Times New Roman"/>
              </w:rPr>
              <w:t>100.5%</w:t>
            </w:r>
          </w:p>
        </w:tc>
        <w:tc>
          <w:tcPr>
            <w:tcW w:w="499" w:type="pct"/>
            <w:shd w:val="clear" w:color="auto" w:fill="auto"/>
            <w:noWrap/>
            <w:vAlign w:val="center"/>
            <w:hideMark/>
          </w:tcPr>
          <w:p w14:paraId="74198861" w14:textId="77777777" w:rsidR="005B68E1" w:rsidRPr="006569D0" w:rsidRDefault="005B68E1" w:rsidP="005B68E1">
            <w:pPr>
              <w:spacing w:after="0"/>
              <w:jc w:val="center"/>
              <w:rPr>
                <w:rFonts w:ascii="Times New Roman" w:hAnsi="Times New Roman"/>
              </w:rPr>
            </w:pPr>
            <w:r w:rsidRPr="006569D0">
              <w:rPr>
                <w:rFonts w:ascii="Times New Roman" w:hAnsi="Times New Roman"/>
              </w:rPr>
              <w:t>100.3%</w:t>
            </w:r>
          </w:p>
        </w:tc>
        <w:tc>
          <w:tcPr>
            <w:tcW w:w="561" w:type="pct"/>
            <w:shd w:val="clear" w:color="auto" w:fill="auto"/>
            <w:vAlign w:val="center"/>
          </w:tcPr>
          <w:p w14:paraId="6B76F2CA" w14:textId="544BE668"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100.89%</w:t>
            </w:r>
          </w:p>
        </w:tc>
      </w:tr>
      <w:tr w:rsidR="005B68E1" w:rsidRPr="006569D0" w14:paraId="33CAB416" w14:textId="4D4D21F3" w:rsidTr="005B68E1">
        <w:trPr>
          <w:trHeight w:val="315"/>
          <w:jc w:val="center"/>
        </w:trPr>
        <w:tc>
          <w:tcPr>
            <w:tcW w:w="947" w:type="pct"/>
            <w:shd w:val="clear" w:color="auto" w:fill="auto"/>
            <w:noWrap/>
            <w:vAlign w:val="center"/>
            <w:hideMark/>
          </w:tcPr>
          <w:p w14:paraId="04E262A0"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 xml:space="preserve">Naranja </w:t>
            </w:r>
          </w:p>
        </w:tc>
        <w:tc>
          <w:tcPr>
            <w:tcW w:w="499" w:type="pct"/>
            <w:shd w:val="clear" w:color="auto" w:fill="auto"/>
            <w:noWrap/>
            <w:vAlign w:val="center"/>
            <w:hideMark/>
          </w:tcPr>
          <w:p w14:paraId="7BEE47D2" w14:textId="77777777" w:rsidR="005B68E1" w:rsidRPr="006569D0" w:rsidRDefault="005B68E1" w:rsidP="005B68E1">
            <w:pPr>
              <w:spacing w:after="0"/>
              <w:jc w:val="center"/>
              <w:rPr>
                <w:rFonts w:ascii="Times New Roman" w:hAnsi="Times New Roman"/>
              </w:rPr>
            </w:pPr>
            <w:r w:rsidRPr="006569D0">
              <w:rPr>
                <w:rFonts w:ascii="Times New Roman" w:hAnsi="Times New Roman"/>
              </w:rPr>
              <w:t>102.5%</w:t>
            </w:r>
          </w:p>
        </w:tc>
        <w:tc>
          <w:tcPr>
            <w:tcW w:w="499" w:type="pct"/>
            <w:shd w:val="clear" w:color="auto" w:fill="auto"/>
            <w:noWrap/>
            <w:vAlign w:val="center"/>
            <w:hideMark/>
          </w:tcPr>
          <w:p w14:paraId="7F46503A" w14:textId="77777777" w:rsidR="005B68E1" w:rsidRPr="006569D0" w:rsidRDefault="005B68E1" w:rsidP="005B68E1">
            <w:pPr>
              <w:spacing w:after="0"/>
              <w:jc w:val="center"/>
              <w:rPr>
                <w:rFonts w:ascii="Times New Roman" w:hAnsi="Times New Roman"/>
              </w:rPr>
            </w:pPr>
            <w:r w:rsidRPr="006569D0">
              <w:rPr>
                <w:rFonts w:ascii="Times New Roman" w:hAnsi="Times New Roman"/>
              </w:rPr>
              <w:t>102.2%</w:t>
            </w:r>
          </w:p>
        </w:tc>
        <w:tc>
          <w:tcPr>
            <w:tcW w:w="499" w:type="pct"/>
            <w:shd w:val="clear" w:color="auto" w:fill="auto"/>
            <w:noWrap/>
            <w:vAlign w:val="center"/>
            <w:hideMark/>
          </w:tcPr>
          <w:p w14:paraId="4780B489" w14:textId="77777777" w:rsidR="005B68E1" w:rsidRPr="006569D0" w:rsidRDefault="005B68E1" w:rsidP="005B68E1">
            <w:pPr>
              <w:spacing w:after="0"/>
              <w:jc w:val="center"/>
              <w:rPr>
                <w:rFonts w:ascii="Times New Roman" w:hAnsi="Times New Roman"/>
              </w:rPr>
            </w:pPr>
            <w:r w:rsidRPr="006569D0">
              <w:rPr>
                <w:rFonts w:ascii="Times New Roman" w:hAnsi="Times New Roman"/>
              </w:rPr>
              <w:t>102.0%</w:t>
            </w:r>
          </w:p>
        </w:tc>
        <w:tc>
          <w:tcPr>
            <w:tcW w:w="499" w:type="pct"/>
            <w:shd w:val="clear" w:color="auto" w:fill="auto"/>
            <w:noWrap/>
            <w:vAlign w:val="center"/>
            <w:hideMark/>
          </w:tcPr>
          <w:p w14:paraId="2F9AC22A" w14:textId="77777777" w:rsidR="005B68E1" w:rsidRPr="006569D0" w:rsidRDefault="005B68E1" w:rsidP="005B68E1">
            <w:pPr>
              <w:spacing w:after="0"/>
              <w:jc w:val="center"/>
              <w:rPr>
                <w:rFonts w:ascii="Times New Roman" w:hAnsi="Times New Roman"/>
              </w:rPr>
            </w:pPr>
            <w:r w:rsidRPr="006569D0">
              <w:rPr>
                <w:rFonts w:ascii="Times New Roman" w:hAnsi="Times New Roman"/>
              </w:rPr>
              <w:t>100.3%</w:t>
            </w:r>
          </w:p>
        </w:tc>
        <w:tc>
          <w:tcPr>
            <w:tcW w:w="499" w:type="pct"/>
            <w:shd w:val="clear" w:color="auto" w:fill="auto"/>
            <w:noWrap/>
            <w:vAlign w:val="center"/>
            <w:hideMark/>
          </w:tcPr>
          <w:p w14:paraId="5F17894B" w14:textId="77777777" w:rsidR="005B68E1" w:rsidRPr="006569D0" w:rsidRDefault="005B68E1" w:rsidP="005B68E1">
            <w:pPr>
              <w:spacing w:after="0"/>
              <w:jc w:val="center"/>
              <w:rPr>
                <w:rFonts w:ascii="Times New Roman" w:hAnsi="Times New Roman"/>
              </w:rPr>
            </w:pPr>
            <w:r w:rsidRPr="006569D0">
              <w:rPr>
                <w:rFonts w:ascii="Times New Roman" w:hAnsi="Times New Roman"/>
              </w:rPr>
              <w:t>101.3%</w:t>
            </w:r>
          </w:p>
        </w:tc>
        <w:tc>
          <w:tcPr>
            <w:tcW w:w="499" w:type="pct"/>
            <w:shd w:val="clear" w:color="auto" w:fill="auto"/>
            <w:noWrap/>
            <w:vAlign w:val="center"/>
            <w:hideMark/>
          </w:tcPr>
          <w:p w14:paraId="24FAD964" w14:textId="77777777" w:rsidR="005B68E1" w:rsidRPr="006569D0" w:rsidRDefault="005B68E1" w:rsidP="005B68E1">
            <w:pPr>
              <w:spacing w:after="0"/>
              <w:jc w:val="center"/>
              <w:rPr>
                <w:rFonts w:ascii="Times New Roman" w:hAnsi="Times New Roman"/>
              </w:rPr>
            </w:pPr>
            <w:r w:rsidRPr="006569D0">
              <w:rPr>
                <w:rFonts w:ascii="Times New Roman" w:hAnsi="Times New Roman"/>
              </w:rPr>
              <w:t>100.6%</w:t>
            </w:r>
          </w:p>
        </w:tc>
        <w:tc>
          <w:tcPr>
            <w:tcW w:w="499" w:type="pct"/>
            <w:shd w:val="clear" w:color="auto" w:fill="auto"/>
            <w:noWrap/>
            <w:vAlign w:val="center"/>
            <w:hideMark/>
          </w:tcPr>
          <w:p w14:paraId="46728E52" w14:textId="77777777" w:rsidR="005B68E1" w:rsidRPr="006569D0" w:rsidRDefault="005B68E1" w:rsidP="005B68E1">
            <w:pPr>
              <w:spacing w:after="0"/>
              <w:jc w:val="center"/>
              <w:rPr>
                <w:rFonts w:ascii="Times New Roman" w:hAnsi="Times New Roman"/>
              </w:rPr>
            </w:pPr>
            <w:r w:rsidRPr="006569D0">
              <w:rPr>
                <w:rFonts w:ascii="Times New Roman" w:hAnsi="Times New Roman"/>
              </w:rPr>
              <w:t>100.2%</w:t>
            </w:r>
          </w:p>
        </w:tc>
        <w:tc>
          <w:tcPr>
            <w:tcW w:w="561" w:type="pct"/>
            <w:shd w:val="clear" w:color="auto" w:fill="auto"/>
            <w:vAlign w:val="center"/>
          </w:tcPr>
          <w:p w14:paraId="231C36C7" w14:textId="7ED2F4B3"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98.25%</w:t>
            </w:r>
          </w:p>
        </w:tc>
      </w:tr>
      <w:tr w:rsidR="005B68E1" w:rsidRPr="006569D0" w14:paraId="1F7CF44B" w14:textId="0C6E3F6C" w:rsidTr="005B68E1">
        <w:trPr>
          <w:trHeight w:val="315"/>
          <w:jc w:val="center"/>
        </w:trPr>
        <w:tc>
          <w:tcPr>
            <w:tcW w:w="947" w:type="pct"/>
            <w:shd w:val="clear" w:color="auto" w:fill="auto"/>
            <w:noWrap/>
            <w:vAlign w:val="center"/>
            <w:hideMark/>
          </w:tcPr>
          <w:p w14:paraId="026B70BC"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Berenjena</w:t>
            </w:r>
          </w:p>
        </w:tc>
        <w:tc>
          <w:tcPr>
            <w:tcW w:w="499" w:type="pct"/>
            <w:shd w:val="clear" w:color="auto" w:fill="auto"/>
            <w:noWrap/>
            <w:vAlign w:val="center"/>
            <w:hideMark/>
          </w:tcPr>
          <w:p w14:paraId="6ED08D5F" w14:textId="77777777" w:rsidR="005B68E1" w:rsidRPr="006569D0" w:rsidRDefault="005B68E1" w:rsidP="005B68E1">
            <w:pPr>
              <w:spacing w:after="0"/>
              <w:jc w:val="center"/>
              <w:rPr>
                <w:rFonts w:ascii="Times New Roman" w:hAnsi="Times New Roman"/>
              </w:rPr>
            </w:pPr>
            <w:r w:rsidRPr="006569D0">
              <w:rPr>
                <w:rFonts w:ascii="Times New Roman" w:hAnsi="Times New Roman"/>
              </w:rPr>
              <w:t>165.9%</w:t>
            </w:r>
          </w:p>
        </w:tc>
        <w:tc>
          <w:tcPr>
            <w:tcW w:w="499" w:type="pct"/>
            <w:shd w:val="clear" w:color="auto" w:fill="auto"/>
            <w:noWrap/>
            <w:vAlign w:val="center"/>
            <w:hideMark/>
          </w:tcPr>
          <w:p w14:paraId="51CC74BE" w14:textId="77777777" w:rsidR="005B68E1" w:rsidRPr="006569D0" w:rsidRDefault="005B68E1" w:rsidP="005B68E1">
            <w:pPr>
              <w:spacing w:after="0"/>
              <w:jc w:val="center"/>
              <w:rPr>
                <w:rFonts w:ascii="Times New Roman" w:hAnsi="Times New Roman"/>
              </w:rPr>
            </w:pPr>
            <w:r w:rsidRPr="006569D0">
              <w:rPr>
                <w:rFonts w:ascii="Times New Roman" w:hAnsi="Times New Roman"/>
              </w:rPr>
              <w:t>138.5%</w:t>
            </w:r>
          </w:p>
        </w:tc>
        <w:tc>
          <w:tcPr>
            <w:tcW w:w="499" w:type="pct"/>
            <w:shd w:val="clear" w:color="auto" w:fill="auto"/>
            <w:noWrap/>
            <w:vAlign w:val="center"/>
            <w:hideMark/>
          </w:tcPr>
          <w:p w14:paraId="2BA777EA" w14:textId="77777777" w:rsidR="005B68E1" w:rsidRPr="006569D0" w:rsidRDefault="005B68E1" w:rsidP="005B68E1">
            <w:pPr>
              <w:spacing w:after="0"/>
              <w:jc w:val="center"/>
              <w:rPr>
                <w:rFonts w:ascii="Times New Roman" w:hAnsi="Times New Roman"/>
              </w:rPr>
            </w:pPr>
            <w:r w:rsidRPr="006569D0">
              <w:rPr>
                <w:rFonts w:ascii="Times New Roman" w:hAnsi="Times New Roman"/>
              </w:rPr>
              <w:t>169.8%</w:t>
            </w:r>
          </w:p>
        </w:tc>
        <w:tc>
          <w:tcPr>
            <w:tcW w:w="499" w:type="pct"/>
            <w:shd w:val="clear" w:color="auto" w:fill="auto"/>
            <w:noWrap/>
            <w:vAlign w:val="center"/>
            <w:hideMark/>
          </w:tcPr>
          <w:p w14:paraId="52B00C25" w14:textId="77777777" w:rsidR="005B68E1" w:rsidRPr="006569D0" w:rsidRDefault="005B68E1" w:rsidP="005B68E1">
            <w:pPr>
              <w:spacing w:after="0"/>
              <w:jc w:val="center"/>
              <w:rPr>
                <w:rFonts w:ascii="Times New Roman" w:hAnsi="Times New Roman"/>
              </w:rPr>
            </w:pPr>
            <w:r w:rsidRPr="006569D0">
              <w:rPr>
                <w:rFonts w:ascii="Times New Roman" w:hAnsi="Times New Roman"/>
              </w:rPr>
              <w:t>195.1%</w:t>
            </w:r>
          </w:p>
        </w:tc>
        <w:tc>
          <w:tcPr>
            <w:tcW w:w="499" w:type="pct"/>
            <w:shd w:val="clear" w:color="auto" w:fill="auto"/>
            <w:noWrap/>
            <w:vAlign w:val="center"/>
            <w:hideMark/>
          </w:tcPr>
          <w:p w14:paraId="46CED3DD" w14:textId="77777777" w:rsidR="005B68E1" w:rsidRPr="006569D0" w:rsidRDefault="005B68E1" w:rsidP="005B68E1">
            <w:pPr>
              <w:spacing w:after="0"/>
              <w:jc w:val="center"/>
              <w:rPr>
                <w:rFonts w:ascii="Times New Roman" w:hAnsi="Times New Roman"/>
              </w:rPr>
            </w:pPr>
            <w:r w:rsidRPr="006569D0">
              <w:rPr>
                <w:rFonts w:ascii="Times New Roman" w:hAnsi="Times New Roman"/>
              </w:rPr>
              <w:t>156.1%</w:t>
            </w:r>
          </w:p>
        </w:tc>
        <w:tc>
          <w:tcPr>
            <w:tcW w:w="499" w:type="pct"/>
            <w:shd w:val="clear" w:color="auto" w:fill="auto"/>
            <w:noWrap/>
            <w:vAlign w:val="center"/>
            <w:hideMark/>
          </w:tcPr>
          <w:p w14:paraId="07A298C2" w14:textId="77777777" w:rsidR="005B68E1" w:rsidRPr="006569D0" w:rsidRDefault="005B68E1" w:rsidP="005B68E1">
            <w:pPr>
              <w:spacing w:after="0"/>
              <w:jc w:val="center"/>
              <w:rPr>
                <w:rFonts w:ascii="Times New Roman" w:hAnsi="Times New Roman"/>
              </w:rPr>
            </w:pPr>
            <w:r w:rsidRPr="006569D0">
              <w:rPr>
                <w:rFonts w:ascii="Times New Roman" w:hAnsi="Times New Roman"/>
              </w:rPr>
              <w:t>112.0%</w:t>
            </w:r>
          </w:p>
        </w:tc>
        <w:tc>
          <w:tcPr>
            <w:tcW w:w="499" w:type="pct"/>
            <w:shd w:val="clear" w:color="auto" w:fill="auto"/>
            <w:noWrap/>
            <w:vAlign w:val="center"/>
            <w:hideMark/>
          </w:tcPr>
          <w:p w14:paraId="03CB0B4B" w14:textId="77777777" w:rsidR="005B68E1" w:rsidRPr="006569D0" w:rsidRDefault="005B68E1" w:rsidP="005B68E1">
            <w:pPr>
              <w:spacing w:after="0"/>
              <w:jc w:val="center"/>
              <w:rPr>
                <w:rFonts w:ascii="Times New Roman" w:hAnsi="Times New Roman"/>
              </w:rPr>
            </w:pPr>
            <w:r w:rsidRPr="006569D0">
              <w:rPr>
                <w:rFonts w:ascii="Times New Roman" w:hAnsi="Times New Roman"/>
              </w:rPr>
              <w:t>100.0%</w:t>
            </w:r>
          </w:p>
        </w:tc>
        <w:tc>
          <w:tcPr>
            <w:tcW w:w="561" w:type="pct"/>
            <w:shd w:val="clear" w:color="auto" w:fill="auto"/>
            <w:vAlign w:val="center"/>
          </w:tcPr>
          <w:p w14:paraId="7C83BE83" w14:textId="7E027DD2"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126.86%</w:t>
            </w:r>
          </w:p>
        </w:tc>
      </w:tr>
      <w:tr w:rsidR="005B68E1" w:rsidRPr="006569D0" w14:paraId="6D14C6C9" w14:textId="6530B534" w:rsidTr="005B68E1">
        <w:trPr>
          <w:trHeight w:val="315"/>
          <w:jc w:val="center"/>
        </w:trPr>
        <w:tc>
          <w:tcPr>
            <w:tcW w:w="947" w:type="pct"/>
            <w:shd w:val="clear" w:color="auto" w:fill="auto"/>
            <w:noWrap/>
            <w:vAlign w:val="center"/>
            <w:hideMark/>
          </w:tcPr>
          <w:p w14:paraId="17B4B5FE"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Arroz</w:t>
            </w:r>
          </w:p>
        </w:tc>
        <w:tc>
          <w:tcPr>
            <w:tcW w:w="499" w:type="pct"/>
            <w:shd w:val="clear" w:color="auto" w:fill="auto"/>
            <w:noWrap/>
            <w:vAlign w:val="center"/>
            <w:hideMark/>
          </w:tcPr>
          <w:p w14:paraId="0AB69576" w14:textId="77777777" w:rsidR="005B68E1" w:rsidRPr="006569D0" w:rsidRDefault="005B68E1" w:rsidP="005B68E1">
            <w:pPr>
              <w:spacing w:after="0"/>
              <w:jc w:val="center"/>
              <w:rPr>
                <w:rFonts w:ascii="Times New Roman" w:hAnsi="Times New Roman"/>
              </w:rPr>
            </w:pPr>
            <w:r w:rsidRPr="006569D0">
              <w:rPr>
                <w:rFonts w:ascii="Times New Roman" w:hAnsi="Times New Roman"/>
              </w:rPr>
              <w:t>111.0%</w:t>
            </w:r>
          </w:p>
        </w:tc>
        <w:tc>
          <w:tcPr>
            <w:tcW w:w="499" w:type="pct"/>
            <w:shd w:val="clear" w:color="auto" w:fill="auto"/>
            <w:noWrap/>
            <w:vAlign w:val="center"/>
            <w:hideMark/>
          </w:tcPr>
          <w:p w14:paraId="19908E96" w14:textId="77777777" w:rsidR="005B68E1" w:rsidRPr="006569D0" w:rsidRDefault="005B68E1" w:rsidP="005B68E1">
            <w:pPr>
              <w:spacing w:after="0"/>
              <w:jc w:val="center"/>
              <w:rPr>
                <w:rFonts w:ascii="Times New Roman" w:hAnsi="Times New Roman"/>
              </w:rPr>
            </w:pPr>
            <w:r w:rsidRPr="006569D0">
              <w:rPr>
                <w:rFonts w:ascii="Times New Roman" w:hAnsi="Times New Roman"/>
              </w:rPr>
              <w:t>99.4%</w:t>
            </w:r>
          </w:p>
        </w:tc>
        <w:tc>
          <w:tcPr>
            <w:tcW w:w="499" w:type="pct"/>
            <w:shd w:val="clear" w:color="auto" w:fill="auto"/>
            <w:noWrap/>
            <w:vAlign w:val="center"/>
            <w:hideMark/>
          </w:tcPr>
          <w:p w14:paraId="59BAC53E" w14:textId="77777777" w:rsidR="005B68E1" w:rsidRPr="006569D0" w:rsidRDefault="005B68E1" w:rsidP="005B68E1">
            <w:pPr>
              <w:spacing w:after="0"/>
              <w:jc w:val="center"/>
              <w:rPr>
                <w:rFonts w:ascii="Times New Roman" w:hAnsi="Times New Roman"/>
              </w:rPr>
            </w:pPr>
            <w:r w:rsidRPr="006569D0">
              <w:rPr>
                <w:rFonts w:ascii="Times New Roman" w:hAnsi="Times New Roman"/>
              </w:rPr>
              <w:t>99.8%</w:t>
            </w:r>
          </w:p>
        </w:tc>
        <w:tc>
          <w:tcPr>
            <w:tcW w:w="499" w:type="pct"/>
            <w:shd w:val="clear" w:color="auto" w:fill="auto"/>
            <w:noWrap/>
            <w:vAlign w:val="center"/>
            <w:hideMark/>
          </w:tcPr>
          <w:p w14:paraId="6D2DB091" w14:textId="77777777" w:rsidR="005B68E1" w:rsidRPr="006569D0" w:rsidRDefault="005B68E1" w:rsidP="005B68E1">
            <w:pPr>
              <w:spacing w:after="0"/>
              <w:jc w:val="center"/>
              <w:rPr>
                <w:rFonts w:ascii="Times New Roman" w:hAnsi="Times New Roman"/>
              </w:rPr>
            </w:pPr>
            <w:r w:rsidRPr="006569D0">
              <w:rPr>
                <w:rFonts w:ascii="Times New Roman" w:hAnsi="Times New Roman"/>
              </w:rPr>
              <w:t>99.8%</w:t>
            </w:r>
          </w:p>
        </w:tc>
        <w:tc>
          <w:tcPr>
            <w:tcW w:w="499" w:type="pct"/>
            <w:shd w:val="clear" w:color="auto" w:fill="auto"/>
            <w:noWrap/>
            <w:vAlign w:val="center"/>
            <w:hideMark/>
          </w:tcPr>
          <w:p w14:paraId="0CDB8ABD" w14:textId="77777777" w:rsidR="005B68E1" w:rsidRPr="006569D0" w:rsidRDefault="005B68E1" w:rsidP="005B68E1">
            <w:pPr>
              <w:spacing w:after="0"/>
              <w:jc w:val="center"/>
              <w:rPr>
                <w:rFonts w:ascii="Times New Roman" w:hAnsi="Times New Roman"/>
              </w:rPr>
            </w:pPr>
            <w:r w:rsidRPr="006569D0">
              <w:rPr>
                <w:rFonts w:ascii="Times New Roman" w:hAnsi="Times New Roman"/>
              </w:rPr>
              <w:t>98.1%</w:t>
            </w:r>
          </w:p>
        </w:tc>
        <w:tc>
          <w:tcPr>
            <w:tcW w:w="499" w:type="pct"/>
            <w:shd w:val="clear" w:color="auto" w:fill="auto"/>
            <w:noWrap/>
            <w:vAlign w:val="center"/>
            <w:hideMark/>
          </w:tcPr>
          <w:p w14:paraId="5D66230A" w14:textId="77777777" w:rsidR="005B68E1" w:rsidRPr="006569D0" w:rsidRDefault="005B68E1" w:rsidP="005B68E1">
            <w:pPr>
              <w:spacing w:after="0"/>
              <w:jc w:val="center"/>
              <w:rPr>
                <w:rFonts w:ascii="Times New Roman" w:hAnsi="Times New Roman"/>
              </w:rPr>
            </w:pPr>
            <w:r w:rsidRPr="006569D0">
              <w:rPr>
                <w:rFonts w:ascii="Times New Roman" w:hAnsi="Times New Roman"/>
              </w:rPr>
              <w:t>95.2%</w:t>
            </w:r>
          </w:p>
        </w:tc>
        <w:tc>
          <w:tcPr>
            <w:tcW w:w="499" w:type="pct"/>
            <w:shd w:val="clear" w:color="auto" w:fill="auto"/>
            <w:noWrap/>
            <w:vAlign w:val="center"/>
            <w:hideMark/>
          </w:tcPr>
          <w:p w14:paraId="325B212F" w14:textId="77777777" w:rsidR="005B68E1" w:rsidRPr="006569D0" w:rsidRDefault="005B68E1" w:rsidP="005B68E1">
            <w:pPr>
              <w:spacing w:after="0"/>
              <w:jc w:val="center"/>
              <w:rPr>
                <w:rFonts w:ascii="Times New Roman" w:hAnsi="Times New Roman"/>
              </w:rPr>
            </w:pPr>
            <w:r w:rsidRPr="006569D0">
              <w:rPr>
                <w:rFonts w:ascii="Times New Roman" w:hAnsi="Times New Roman"/>
              </w:rPr>
              <w:t>100.0%</w:t>
            </w:r>
          </w:p>
        </w:tc>
        <w:tc>
          <w:tcPr>
            <w:tcW w:w="561" w:type="pct"/>
            <w:shd w:val="clear" w:color="auto" w:fill="auto"/>
            <w:vAlign w:val="center"/>
          </w:tcPr>
          <w:p w14:paraId="18A4716C" w14:textId="40A1D8CD"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98.93%</w:t>
            </w:r>
          </w:p>
        </w:tc>
      </w:tr>
      <w:tr w:rsidR="005B68E1" w:rsidRPr="006569D0" w14:paraId="61326FD5" w14:textId="779FF46D" w:rsidTr="005B68E1">
        <w:trPr>
          <w:trHeight w:val="315"/>
          <w:jc w:val="center"/>
        </w:trPr>
        <w:tc>
          <w:tcPr>
            <w:tcW w:w="947" w:type="pct"/>
            <w:shd w:val="clear" w:color="auto" w:fill="auto"/>
            <w:noWrap/>
            <w:vAlign w:val="center"/>
            <w:hideMark/>
          </w:tcPr>
          <w:p w14:paraId="511B0E7F"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Huevos</w:t>
            </w:r>
          </w:p>
        </w:tc>
        <w:tc>
          <w:tcPr>
            <w:tcW w:w="499" w:type="pct"/>
            <w:shd w:val="clear" w:color="auto" w:fill="auto"/>
            <w:noWrap/>
            <w:vAlign w:val="center"/>
            <w:hideMark/>
          </w:tcPr>
          <w:p w14:paraId="1607F32F" w14:textId="77777777" w:rsidR="005B68E1" w:rsidRPr="006569D0" w:rsidRDefault="005B68E1" w:rsidP="005B68E1">
            <w:pPr>
              <w:spacing w:after="0"/>
              <w:jc w:val="center"/>
              <w:rPr>
                <w:rFonts w:ascii="Times New Roman" w:hAnsi="Times New Roman"/>
              </w:rPr>
            </w:pPr>
            <w:r w:rsidRPr="006569D0">
              <w:rPr>
                <w:rFonts w:ascii="Times New Roman" w:hAnsi="Times New Roman"/>
              </w:rPr>
              <w:t>115.8%</w:t>
            </w:r>
          </w:p>
        </w:tc>
        <w:tc>
          <w:tcPr>
            <w:tcW w:w="499" w:type="pct"/>
            <w:shd w:val="clear" w:color="auto" w:fill="auto"/>
            <w:noWrap/>
            <w:vAlign w:val="center"/>
            <w:hideMark/>
          </w:tcPr>
          <w:p w14:paraId="4A090BC5" w14:textId="77777777" w:rsidR="005B68E1" w:rsidRPr="006569D0" w:rsidRDefault="005B68E1" w:rsidP="005B68E1">
            <w:pPr>
              <w:spacing w:after="0"/>
              <w:jc w:val="center"/>
              <w:rPr>
                <w:rFonts w:ascii="Times New Roman" w:hAnsi="Times New Roman"/>
              </w:rPr>
            </w:pPr>
            <w:r w:rsidRPr="006569D0">
              <w:rPr>
                <w:rFonts w:ascii="Times New Roman" w:hAnsi="Times New Roman"/>
              </w:rPr>
              <w:t>102.1%</w:t>
            </w:r>
          </w:p>
        </w:tc>
        <w:tc>
          <w:tcPr>
            <w:tcW w:w="499" w:type="pct"/>
            <w:shd w:val="clear" w:color="auto" w:fill="auto"/>
            <w:noWrap/>
            <w:vAlign w:val="center"/>
            <w:hideMark/>
          </w:tcPr>
          <w:p w14:paraId="58155929" w14:textId="77777777" w:rsidR="005B68E1" w:rsidRPr="006569D0" w:rsidRDefault="005B68E1" w:rsidP="005B68E1">
            <w:pPr>
              <w:spacing w:after="0"/>
              <w:jc w:val="center"/>
              <w:rPr>
                <w:rFonts w:ascii="Times New Roman" w:hAnsi="Times New Roman"/>
              </w:rPr>
            </w:pPr>
            <w:r w:rsidRPr="006569D0">
              <w:rPr>
                <w:rFonts w:ascii="Times New Roman" w:hAnsi="Times New Roman"/>
              </w:rPr>
              <w:t>104.8%</w:t>
            </w:r>
          </w:p>
        </w:tc>
        <w:tc>
          <w:tcPr>
            <w:tcW w:w="499" w:type="pct"/>
            <w:shd w:val="clear" w:color="auto" w:fill="auto"/>
            <w:noWrap/>
            <w:vAlign w:val="center"/>
            <w:hideMark/>
          </w:tcPr>
          <w:p w14:paraId="460A5681" w14:textId="77777777" w:rsidR="005B68E1" w:rsidRPr="006569D0" w:rsidRDefault="005B68E1" w:rsidP="005B68E1">
            <w:pPr>
              <w:spacing w:after="0"/>
              <w:jc w:val="center"/>
              <w:rPr>
                <w:rFonts w:ascii="Times New Roman" w:hAnsi="Times New Roman"/>
              </w:rPr>
            </w:pPr>
            <w:r w:rsidRPr="006569D0">
              <w:rPr>
                <w:rFonts w:ascii="Times New Roman" w:hAnsi="Times New Roman"/>
              </w:rPr>
              <w:t>103.3%</w:t>
            </w:r>
          </w:p>
        </w:tc>
        <w:tc>
          <w:tcPr>
            <w:tcW w:w="499" w:type="pct"/>
            <w:shd w:val="clear" w:color="auto" w:fill="auto"/>
            <w:noWrap/>
            <w:vAlign w:val="center"/>
            <w:hideMark/>
          </w:tcPr>
          <w:p w14:paraId="15A58030" w14:textId="77777777" w:rsidR="005B68E1" w:rsidRPr="006569D0" w:rsidRDefault="005B68E1" w:rsidP="005B68E1">
            <w:pPr>
              <w:spacing w:after="0"/>
              <w:jc w:val="center"/>
              <w:rPr>
                <w:rFonts w:ascii="Times New Roman" w:hAnsi="Times New Roman"/>
              </w:rPr>
            </w:pPr>
            <w:r w:rsidRPr="006569D0">
              <w:rPr>
                <w:rFonts w:ascii="Times New Roman" w:hAnsi="Times New Roman"/>
              </w:rPr>
              <w:t>101.9%</w:t>
            </w:r>
          </w:p>
        </w:tc>
        <w:tc>
          <w:tcPr>
            <w:tcW w:w="499" w:type="pct"/>
            <w:shd w:val="clear" w:color="auto" w:fill="auto"/>
            <w:noWrap/>
            <w:vAlign w:val="center"/>
            <w:hideMark/>
          </w:tcPr>
          <w:p w14:paraId="09336571" w14:textId="77777777" w:rsidR="005B68E1" w:rsidRPr="006569D0" w:rsidRDefault="005B68E1" w:rsidP="005B68E1">
            <w:pPr>
              <w:spacing w:after="0"/>
              <w:jc w:val="center"/>
              <w:rPr>
                <w:rFonts w:ascii="Times New Roman" w:hAnsi="Times New Roman"/>
              </w:rPr>
            </w:pPr>
            <w:r w:rsidRPr="006569D0">
              <w:rPr>
                <w:rFonts w:ascii="Times New Roman" w:hAnsi="Times New Roman"/>
              </w:rPr>
              <w:t>101.9%</w:t>
            </w:r>
          </w:p>
        </w:tc>
        <w:tc>
          <w:tcPr>
            <w:tcW w:w="499" w:type="pct"/>
            <w:shd w:val="clear" w:color="auto" w:fill="auto"/>
            <w:noWrap/>
            <w:vAlign w:val="center"/>
            <w:hideMark/>
          </w:tcPr>
          <w:p w14:paraId="13C755C7" w14:textId="77777777" w:rsidR="005B68E1" w:rsidRPr="006569D0" w:rsidRDefault="005B68E1" w:rsidP="005B68E1">
            <w:pPr>
              <w:spacing w:after="0"/>
              <w:jc w:val="center"/>
              <w:rPr>
                <w:rFonts w:ascii="Times New Roman" w:hAnsi="Times New Roman"/>
              </w:rPr>
            </w:pPr>
            <w:r w:rsidRPr="006569D0">
              <w:rPr>
                <w:rFonts w:ascii="Times New Roman" w:hAnsi="Times New Roman"/>
              </w:rPr>
              <w:t>99.5%</w:t>
            </w:r>
          </w:p>
        </w:tc>
        <w:tc>
          <w:tcPr>
            <w:tcW w:w="561" w:type="pct"/>
            <w:shd w:val="clear" w:color="auto" w:fill="auto"/>
            <w:vAlign w:val="center"/>
          </w:tcPr>
          <w:p w14:paraId="4E7102A4" w14:textId="1C06FF86"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101.17%</w:t>
            </w:r>
          </w:p>
        </w:tc>
      </w:tr>
      <w:tr w:rsidR="005B68E1" w:rsidRPr="006569D0" w14:paraId="0F6E787B" w14:textId="607F2FF5" w:rsidTr="005B68E1">
        <w:trPr>
          <w:trHeight w:val="315"/>
          <w:jc w:val="center"/>
        </w:trPr>
        <w:tc>
          <w:tcPr>
            <w:tcW w:w="947" w:type="pct"/>
            <w:shd w:val="clear" w:color="auto" w:fill="auto"/>
            <w:noWrap/>
            <w:vAlign w:val="center"/>
            <w:hideMark/>
          </w:tcPr>
          <w:p w14:paraId="66F93596"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Guandul</w:t>
            </w:r>
          </w:p>
        </w:tc>
        <w:tc>
          <w:tcPr>
            <w:tcW w:w="499" w:type="pct"/>
            <w:shd w:val="clear" w:color="auto" w:fill="auto"/>
            <w:noWrap/>
            <w:vAlign w:val="center"/>
            <w:hideMark/>
          </w:tcPr>
          <w:p w14:paraId="0189BB53" w14:textId="77777777" w:rsidR="005B68E1" w:rsidRPr="006569D0" w:rsidRDefault="005B68E1" w:rsidP="005B68E1">
            <w:pPr>
              <w:spacing w:after="0"/>
              <w:jc w:val="center"/>
              <w:rPr>
                <w:rFonts w:ascii="Times New Roman" w:hAnsi="Times New Roman"/>
              </w:rPr>
            </w:pPr>
            <w:r w:rsidRPr="006569D0">
              <w:rPr>
                <w:rFonts w:ascii="Times New Roman" w:hAnsi="Times New Roman"/>
              </w:rPr>
              <w:t>100.7%</w:t>
            </w:r>
          </w:p>
        </w:tc>
        <w:tc>
          <w:tcPr>
            <w:tcW w:w="499" w:type="pct"/>
            <w:shd w:val="clear" w:color="auto" w:fill="auto"/>
            <w:noWrap/>
            <w:vAlign w:val="center"/>
            <w:hideMark/>
          </w:tcPr>
          <w:p w14:paraId="1BE40DFC" w14:textId="77777777" w:rsidR="005B68E1" w:rsidRPr="006569D0" w:rsidRDefault="005B68E1" w:rsidP="005B68E1">
            <w:pPr>
              <w:spacing w:after="0"/>
              <w:jc w:val="center"/>
              <w:rPr>
                <w:rFonts w:ascii="Times New Roman" w:hAnsi="Times New Roman"/>
              </w:rPr>
            </w:pPr>
            <w:r w:rsidRPr="006569D0">
              <w:rPr>
                <w:rFonts w:ascii="Times New Roman" w:hAnsi="Times New Roman"/>
              </w:rPr>
              <w:t>100.7%</w:t>
            </w:r>
          </w:p>
        </w:tc>
        <w:tc>
          <w:tcPr>
            <w:tcW w:w="499" w:type="pct"/>
            <w:shd w:val="clear" w:color="auto" w:fill="auto"/>
            <w:noWrap/>
            <w:vAlign w:val="center"/>
            <w:hideMark/>
          </w:tcPr>
          <w:p w14:paraId="16F9442F" w14:textId="77777777" w:rsidR="005B68E1" w:rsidRPr="006569D0" w:rsidRDefault="005B68E1" w:rsidP="005B68E1">
            <w:pPr>
              <w:spacing w:after="0"/>
              <w:jc w:val="center"/>
              <w:rPr>
                <w:rFonts w:ascii="Times New Roman" w:hAnsi="Times New Roman"/>
              </w:rPr>
            </w:pPr>
            <w:r w:rsidRPr="006569D0">
              <w:rPr>
                <w:rFonts w:ascii="Times New Roman" w:hAnsi="Times New Roman"/>
              </w:rPr>
              <w:t>100.2%</w:t>
            </w:r>
          </w:p>
        </w:tc>
        <w:tc>
          <w:tcPr>
            <w:tcW w:w="499" w:type="pct"/>
            <w:shd w:val="clear" w:color="auto" w:fill="auto"/>
            <w:noWrap/>
            <w:vAlign w:val="center"/>
            <w:hideMark/>
          </w:tcPr>
          <w:p w14:paraId="73B97090" w14:textId="77777777" w:rsidR="005B68E1" w:rsidRPr="006569D0" w:rsidRDefault="005B68E1" w:rsidP="005B68E1">
            <w:pPr>
              <w:spacing w:after="0"/>
              <w:jc w:val="center"/>
              <w:rPr>
                <w:rFonts w:ascii="Times New Roman" w:hAnsi="Times New Roman"/>
              </w:rPr>
            </w:pPr>
            <w:r w:rsidRPr="006569D0">
              <w:rPr>
                <w:rFonts w:ascii="Times New Roman" w:hAnsi="Times New Roman"/>
              </w:rPr>
              <w:t>99.9%</w:t>
            </w:r>
          </w:p>
        </w:tc>
        <w:tc>
          <w:tcPr>
            <w:tcW w:w="499" w:type="pct"/>
            <w:shd w:val="clear" w:color="auto" w:fill="auto"/>
            <w:noWrap/>
            <w:vAlign w:val="center"/>
            <w:hideMark/>
          </w:tcPr>
          <w:p w14:paraId="2C203053" w14:textId="77777777" w:rsidR="005B68E1" w:rsidRPr="006569D0" w:rsidRDefault="005B68E1" w:rsidP="005B68E1">
            <w:pPr>
              <w:spacing w:after="0"/>
              <w:jc w:val="center"/>
              <w:rPr>
                <w:rFonts w:ascii="Times New Roman" w:hAnsi="Times New Roman"/>
              </w:rPr>
            </w:pPr>
            <w:r w:rsidRPr="006569D0">
              <w:rPr>
                <w:rFonts w:ascii="Times New Roman" w:hAnsi="Times New Roman"/>
              </w:rPr>
              <w:t>100.2%</w:t>
            </w:r>
          </w:p>
        </w:tc>
        <w:tc>
          <w:tcPr>
            <w:tcW w:w="499" w:type="pct"/>
            <w:shd w:val="clear" w:color="auto" w:fill="auto"/>
            <w:noWrap/>
            <w:vAlign w:val="center"/>
            <w:hideMark/>
          </w:tcPr>
          <w:p w14:paraId="69EAA083" w14:textId="77777777" w:rsidR="005B68E1" w:rsidRPr="006569D0" w:rsidRDefault="005B68E1" w:rsidP="005B68E1">
            <w:pPr>
              <w:spacing w:after="0"/>
              <w:jc w:val="center"/>
              <w:rPr>
                <w:rFonts w:ascii="Times New Roman" w:hAnsi="Times New Roman"/>
              </w:rPr>
            </w:pPr>
            <w:r w:rsidRPr="006569D0">
              <w:rPr>
                <w:rFonts w:ascii="Times New Roman" w:hAnsi="Times New Roman"/>
              </w:rPr>
              <w:t>99.6%</w:t>
            </w:r>
          </w:p>
        </w:tc>
        <w:tc>
          <w:tcPr>
            <w:tcW w:w="499" w:type="pct"/>
            <w:shd w:val="clear" w:color="auto" w:fill="auto"/>
            <w:noWrap/>
            <w:vAlign w:val="center"/>
            <w:hideMark/>
          </w:tcPr>
          <w:p w14:paraId="691CC2EA" w14:textId="77777777" w:rsidR="005B68E1" w:rsidRPr="006569D0" w:rsidRDefault="005B68E1" w:rsidP="005B68E1">
            <w:pPr>
              <w:spacing w:after="0"/>
              <w:jc w:val="center"/>
              <w:rPr>
                <w:rFonts w:ascii="Times New Roman" w:hAnsi="Times New Roman"/>
              </w:rPr>
            </w:pPr>
            <w:r w:rsidRPr="006569D0">
              <w:rPr>
                <w:rFonts w:ascii="Times New Roman" w:hAnsi="Times New Roman"/>
              </w:rPr>
              <w:t>99.4%</w:t>
            </w:r>
          </w:p>
        </w:tc>
        <w:tc>
          <w:tcPr>
            <w:tcW w:w="561" w:type="pct"/>
            <w:shd w:val="clear" w:color="auto" w:fill="auto"/>
            <w:vAlign w:val="center"/>
          </w:tcPr>
          <w:p w14:paraId="0A5FB6CE" w14:textId="5385835B"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99.82%</w:t>
            </w:r>
          </w:p>
        </w:tc>
      </w:tr>
      <w:tr w:rsidR="005B68E1" w:rsidRPr="006569D0" w14:paraId="2D331915" w14:textId="14F4A66D" w:rsidTr="005B68E1">
        <w:trPr>
          <w:trHeight w:val="315"/>
          <w:jc w:val="center"/>
        </w:trPr>
        <w:tc>
          <w:tcPr>
            <w:tcW w:w="947" w:type="pct"/>
            <w:shd w:val="clear" w:color="auto" w:fill="auto"/>
            <w:noWrap/>
            <w:vAlign w:val="center"/>
            <w:hideMark/>
          </w:tcPr>
          <w:p w14:paraId="1C10C89F"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Melones</w:t>
            </w:r>
          </w:p>
        </w:tc>
        <w:tc>
          <w:tcPr>
            <w:tcW w:w="499" w:type="pct"/>
            <w:shd w:val="clear" w:color="auto" w:fill="auto"/>
            <w:noWrap/>
            <w:vAlign w:val="center"/>
            <w:hideMark/>
          </w:tcPr>
          <w:p w14:paraId="4AED4F9B" w14:textId="77777777" w:rsidR="005B68E1" w:rsidRPr="006569D0" w:rsidRDefault="005B68E1" w:rsidP="005B68E1">
            <w:pPr>
              <w:spacing w:after="0"/>
              <w:jc w:val="center"/>
              <w:rPr>
                <w:rFonts w:ascii="Times New Roman" w:hAnsi="Times New Roman"/>
              </w:rPr>
            </w:pPr>
            <w:r w:rsidRPr="006569D0">
              <w:rPr>
                <w:rFonts w:ascii="Times New Roman" w:hAnsi="Times New Roman"/>
              </w:rPr>
              <w:t>103.9%</w:t>
            </w:r>
          </w:p>
        </w:tc>
        <w:tc>
          <w:tcPr>
            <w:tcW w:w="499" w:type="pct"/>
            <w:shd w:val="clear" w:color="auto" w:fill="auto"/>
            <w:noWrap/>
            <w:vAlign w:val="center"/>
            <w:hideMark/>
          </w:tcPr>
          <w:p w14:paraId="0D13D0F7" w14:textId="77777777" w:rsidR="005B68E1" w:rsidRPr="006569D0" w:rsidRDefault="005B68E1" w:rsidP="005B68E1">
            <w:pPr>
              <w:spacing w:after="0"/>
              <w:jc w:val="center"/>
              <w:rPr>
                <w:rFonts w:ascii="Times New Roman" w:hAnsi="Times New Roman"/>
              </w:rPr>
            </w:pPr>
            <w:r w:rsidRPr="006569D0">
              <w:rPr>
                <w:rFonts w:ascii="Times New Roman" w:hAnsi="Times New Roman"/>
              </w:rPr>
              <w:t>102.4%</w:t>
            </w:r>
          </w:p>
        </w:tc>
        <w:tc>
          <w:tcPr>
            <w:tcW w:w="499" w:type="pct"/>
            <w:shd w:val="clear" w:color="auto" w:fill="auto"/>
            <w:noWrap/>
            <w:vAlign w:val="center"/>
            <w:hideMark/>
          </w:tcPr>
          <w:p w14:paraId="4C445D89" w14:textId="77777777" w:rsidR="005B68E1" w:rsidRPr="006569D0" w:rsidRDefault="005B68E1" w:rsidP="005B68E1">
            <w:pPr>
              <w:spacing w:after="0"/>
              <w:jc w:val="center"/>
              <w:rPr>
                <w:rFonts w:ascii="Times New Roman" w:hAnsi="Times New Roman"/>
              </w:rPr>
            </w:pPr>
            <w:r w:rsidRPr="006569D0">
              <w:rPr>
                <w:rFonts w:ascii="Times New Roman" w:hAnsi="Times New Roman"/>
              </w:rPr>
              <w:t>104.1%</w:t>
            </w:r>
          </w:p>
        </w:tc>
        <w:tc>
          <w:tcPr>
            <w:tcW w:w="499" w:type="pct"/>
            <w:shd w:val="clear" w:color="auto" w:fill="auto"/>
            <w:noWrap/>
            <w:vAlign w:val="center"/>
            <w:hideMark/>
          </w:tcPr>
          <w:p w14:paraId="75C52762" w14:textId="77777777" w:rsidR="005B68E1" w:rsidRPr="006569D0" w:rsidRDefault="005B68E1" w:rsidP="005B68E1">
            <w:pPr>
              <w:spacing w:after="0"/>
              <w:jc w:val="center"/>
              <w:rPr>
                <w:rFonts w:ascii="Times New Roman" w:hAnsi="Times New Roman"/>
              </w:rPr>
            </w:pPr>
            <w:r w:rsidRPr="006569D0">
              <w:rPr>
                <w:rFonts w:ascii="Times New Roman" w:hAnsi="Times New Roman"/>
              </w:rPr>
              <w:t>102.9%</w:t>
            </w:r>
          </w:p>
        </w:tc>
        <w:tc>
          <w:tcPr>
            <w:tcW w:w="499" w:type="pct"/>
            <w:shd w:val="clear" w:color="auto" w:fill="auto"/>
            <w:noWrap/>
            <w:vAlign w:val="center"/>
            <w:hideMark/>
          </w:tcPr>
          <w:p w14:paraId="2784D9E8" w14:textId="77777777" w:rsidR="005B68E1" w:rsidRPr="006569D0" w:rsidRDefault="005B68E1" w:rsidP="005B68E1">
            <w:pPr>
              <w:spacing w:after="0"/>
              <w:jc w:val="center"/>
              <w:rPr>
                <w:rFonts w:ascii="Times New Roman" w:hAnsi="Times New Roman"/>
              </w:rPr>
            </w:pPr>
            <w:r w:rsidRPr="006569D0">
              <w:rPr>
                <w:rFonts w:ascii="Times New Roman" w:hAnsi="Times New Roman"/>
              </w:rPr>
              <w:t>103.6%</w:t>
            </w:r>
          </w:p>
        </w:tc>
        <w:tc>
          <w:tcPr>
            <w:tcW w:w="499" w:type="pct"/>
            <w:shd w:val="clear" w:color="auto" w:fill="auto"/>
            <w:noWrap/>
            <w:vAlign w:val="center"/>
            <w:hideMark/>
          </w:tcPr>
          <w:p w14:paraId="2EA86423" w14:textId="77777777" w:rsidR="005B68E1" w:rsidRPr="006569D0" w:rsidRDefault="005B68E1" w:rsidP="005B68E1">
            <w:pPr>
              <w:spacing w:after="0"/>
              <w:jc w:val="center"/>
              <w:rPr>
                <w:rFonts w:ascii="Times New Roman" w:hAnsi="Times New Roman"/>
              </w:rPr>
            </w:pPr>
            <w:r w:rsidRPr="006569D0">
              <w:rPr>
                <w:rFonts w:ascii="Times New Roman" w:hAnsi="Times New Roman"/>
              </w:rPr>
              <w:t>99.7%</w:t>
            </w:r>
          </w:p>
        </w:tc>
        <w:tc>
          <w:tcPr>
            <w:tcW w:w="499" w:type="pct"/>
            <w:shd w:val="clear" w:color="auto" w:fill="auto"/>
            <w:noWrap/>
            <w:vAlign w:val="center"/>
            <w:hideMark/>
          </w:tcPr>
          <w:p w14:paraId="0D1657CD" w14:textId="77777777" w:rsidR="005B68E1" w:rsidRPr="006569D0" w:rsidRDefault="005B68E1" w:rsidP="005B68E1">
            <w:pPr>
              <w:spacing w:after="0"/>
              <w:jc w:val="center"/>
              <w:rPr>
                <w:rFonts w:ascii="Times New Roman" w:hAnsi="Times New Roman"/>
              </w:rPr>
            </w:pPr>
            <w:r w:rsidRPr="006569D0">
              <w:rPr>
                <w:rFonts w:ascii="Times New Roman" w:hAnsi="Times New Roman"/>
              </w:rPr>
              <w:t>98.8%</w:t>
            </w:r>
          </w:p>
        </w:tc>
        <w:tc>
          <w:tcPr>
            <w:tcW w:w="561" w:type="pct"/>
            <w:shd w:val="clear" w:color="auto" w:fill="auto"/>
            <w:vAlign w:val="center"/>
          </w:tcPr>
          <w:p w14:paraId="08A14FCF" w14:textId="440D256E"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99.39%</w:t>
            </w:r>
          </w:p>
        </w:tc>
      </w:tr>
      <w:tr w:rsidR="005B68E1" w:rsidRPr="006569D0" w14:paraId="0FA14C61" w14:textId="2F7F721F" w:rsidTr="005B68E1">
        <w:trPr>
          <w:trHeight w:val="315"/>
          <w:jc w:val="center"/>
        </w:trPr>
        <w:tc>
          <w:tcPr>
            <w:tcW w:w="947" w:type="pct"/>
            <w:shd w:val="clear" w:color="auto" w:fill="auto"/>
            <w:noWrap/>
            <w:vAlign w:val="center"/>
            <w:hideMark/>
          </w:tcPr>
          <w:p w14:paraId="1C560AA8"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Leche</w:t>
            </w:r>
          </w:p>
        </w:tc>
        <w:tc>
          <w:tcPr>
            <w:tcW w:w="499" w:type="pct"/>
            <w:shd w:val="clear" w:color="auto" w:fill="auto"/>
            <w:noWrap/>
            <w:vAlign w:val="center"/>
            <w:hideMark/>
          </w:tcPr>
          <w:p w14:paraId="2BE38235" w14:textId="77777777" w:rsidR="005B68E1" w:rsidRPr="006569D0" w:rsidRDefault="005B68E1" w:rsidP="005B68E1">
            <w:pPr>
              <w:spacing w:after="0"/>
              <w:jc w:val="center"/>
              <w:rPr>
                <w:rFonts w:ascii="Times New Roman" w:hAnsi="Times New Roman"/>
              </w:rPr>
            </w:pPr>
            <w:r w:rsidRPr="006569D0">
              <w:rPr>
                <w:rFonts w:ascii="Times New Roman" w:hAnsi="Times New Roman"/>
              </w:rPr>
              <w:t>72.5%</w:t>
            </w:r>
          </w:p>
        </w:tc>
        <w:tc>
          <w:tcPr>
            <w:tcW w:w="499" w:type="pct"/>
            <w:shd w:val="clear" w:color="auto" w:fill="auto"/>
            <w:noWrap/>
            <w:vAlign w:val="center"/>
            <w:hideMark/>
          </w:tcPr>
          <w:p w14:paraId="5207076A" w14:textId="77777777" w:rsidR="005B68E1" w:rsidRPr="006569D0" w:rsidRDefault="005B68E1" w:rsidP="005B68E1">
            <w:pPr>
              <w:spacing w:after="0"/>
              <w:jc w:val="center"/>
              <w:rPr>
                <w:rFonts w:ascii="Times New Roman" w:hAnsi="Times New Roman"/>
              </w:rPr>
            </w:pPr>
            <w:r w:rsidRPr="006569D0">
              <w:rPr>
                <w:rFonts w:ascii="Times New Roman" w:hAnsi="Times New Roman"/>
              </w:rPr>
              <w:t>76.0%</w:t>
            </w:r>
          </w:p>
        </w:tc>
        <w:tc>
          <w:tcPr>
            <w:tcW w:w="499" w:type="pct"/>
            <w:shd w:val="clear" w:color="auto" w:fill="auto"/>
            <w:noWrap/>
            <w:vAlign w:val="center"/>
            <w:hideMark/>
          </w:tcPr>
          <w:p w14:paraId="72B45761" w14:textId="77777777" w:rsidR="005B68E1" w:rsidRPr="006569D0" w:rsidRDefault="005B68E1" w:rsidP="005B68E1">
            <w:pPr>
              <w:spacing w:after="0"/>
              <w:jc w:val="center"/>
              <w:rPr>
                <w:rFonts w:ascii="Times New Roman" w:hAnsi="Times New Roman"/>
              </w:rPr>
            </w:pPr>
            <w:r w:rsidRPr="006569D0">
              <w:rPr>
                <w:rFonts w:ascii="Times New Roman" w:hAnsi="Times New Roman"/>
              </w:rPr>
              <w:t>76.2%</w:t>
            </w:r>
          </w:p>
        </w:tc>
        <w:tc>
          <w:tcPr>
            <w:tcW w:w="499" w:type="pct"/>
            <w:shd w:val="clear" w:color="auto" w:fill="auto"/>
            <w:noWrap/>
            <w:vAlign w:val="center"/>
            <w:hideMark/>
          </w:tcPr>
          <w:p w14:paraId="0B891755" w14:textId="77777777" w:rsidR="005B68E1" w:rsidRPr="006569D0" w:rsidRDefault="005B68E1" w:rsidP="005B68E1">
            <w:pPr>
              <w:spacing w:after="0"/>
              <w:jc w:val="center"/>
              <w:rPr>
                <w:rFonts w:ascii="Times New Roman" w:hAnsi="Times New Roman"/>
              </w:rPr>
            </w:pPr>
            <w:r w:rsidRPr="006569D0">
              <w:rPr>
                <w:rFonts w:ascii="Times New Roman" w:hAnsi="Times New Roman"/>
              </w:rPr>
              <w:t>75.9%</w:t>
            </w:r>
          </w:p>
        </w:tc>
        <w:tc>
          <w:tcPr>
            <w:tcW w:w="499" w:type="pct"/>
            <w:shd w:val="clear" w:color="auto" w:fill="auto"/>
            <w:noWrap/>
            <w:vAlign w:val="center"/>
            <w:hideMark/>
          </w:tcPr>
          <w:p w14:paraId="2550CB5B" w14:textId="77777777" w:rsidR="005B68E1" w:rsidRPr="006569D0" w:rsidRDefault="005B68E1" w:rsidP="005B68E1">
            <w:pPr>
              <w:spacing w:after="0"/>
              <w:jc w:val="center"/>
              <w:rPr>
                <w:rFonts w:ascii="Times New Roman" w:hAnsi="Times New Roman"/>
              </w:rPr>
            </w:pPr>
            <w:r w:rsidRPr="006569D0">
              <w:rPr>
                <w:rFonts w:ascii="Times New Roman" w:hAnsi="Times New Roman"/>
              </w:rPr>
              <w:t>75.2%</w:t>
            </w:r>
          </w:p>
        </w:tc>
        <w:tc>
          <w:tcPr>
            <w:tcW w:w="499" w:type="pct"/>
            <w:shd w:val="clear" w:color="auto" w:fill="auto"/>
            <w:noWrap/>
            <w:vAlign w:val="center"/>
            <w:hideMark/>
          </w:tcPr>
          <w:p w14:paraId="279633BB" w14:textId="77777777" w:rsidR="005B68E1" w:rsidRPr="006569D0" w:rsidRDefault="005B68E1" w:rsidP="005B68E1">
            <w:pPr>
              <w:spacing w:after="0"/>
              <w:jc w:val="center"/>
              <w:rPr>
                <w:rFonts w:ascii="Times New Roman" w:hAnsi="Times New Roman"/>
              </w:rPr>
            </w:pPr>
            <w:r w:rsidRPr="006569D0">
              <w:rPr>
                <w:rFonts w:ascii="Times New Roman" w:hAnsi="Times New Roman"/>
              </w:rPr>
              <w:t>91.5%</w:t>
            </w:r>
          </w:p>
        </w:tc>
        <w:tc>
          <w:tcPr>
            <w:tcW w:w="499" w:type="pct"/>
            <w:shd w:val="clear" w:color="auto" w:fill="auto"/>
            <w:noWrap/>
            <w:vAlign w:val="center"/>
            <w:hideMark/>
          </w:tcPr>
          <w:p w14:paraId="484B6653" w14:textId="77777777" w:rsidR="005B68E1" w:rsidRPr="006569D0" w:rsidRDefault="005B68E1" w:rsidP="005B68E1">
            <w:pPr>
              <w:spacing w:after="0"/>
              <w:jc w:val="center"/>
              <w:rPr>
                <w:rFonts w:ascii="Times New Roman" w:hAnsi="Times New Roman"/>
              </w:rPr>
            </w:pPr>
            <w:r w:rsidRPr="006569D0">
              <w:rPr>
                <w:rFonts w:ascii="Times New Roman" w:hAnsi="Times New Roman"/>
              </w:rPr>
              <w:t>95.4%</w:t>
            </w:r>
          </w:p>
        </w:tc>
        <w:tc>
          <w:tcPr>
            <w:tcW w:w="561" w:type="pct"/>
            <w:shd w:val="clear" w:color="auto" w:fill="auto"/>
            <w:vAlign w:val="center"/>
          </w:tcPr>
          <w:p w14:paraId="4749D266" w14:textId="4761D1F7"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83.94%</w:t>
            </w:r>
          </w:p>
        </w:tc>
      </w:tr>
      <w:tr w:rsidR="005B68E1" w:rsidRPr="006569D0" w14:paraId="3A7A4E03" w14:textId="7619634D" w:rsidTr="005B68E1">
        <w:trPr>
          <w:trHeight w:val="315"/>
          <w:jc w:val="center"/>
        </w:trPr>
        <w:tc>
          <w:tcPr>
            <w:tcW w:w="947" w:type="pct"/>
            <w:shd w:val="clear" w:color="auto" w:fill="auto"/>
            <w:noWrap/>
            <w:vAlign w:val="center"/>
            <w:hideMark/>
          </w:tcPr>
          <w:p w14:paraId="39FBF0FE"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Papa</w:t>
            </w:r>
          </w:p>
        </w:tc>
        <w:tc>
          <w:tcPr>
            <w:tcW w:w="499" w:type="pct"/>
            <w:shd w:val="clear" w:color="auto" w:fill="auto"/>
            <w:noWrap/>
            <w:vAlign w:val="center"/>
            <w:hideMark/>
          </w:tcPr>
          <w:p w14:paraId="11590C41" w14:textId="77777777" w:rsidR="005B68E1" w:rsidRPr="006569D0" w:rsidRDefault="005B68E1" w:rsidP="005B68E1">
            <w:pPr>
              <w:spacing w:after="0"/>
              <w:jc w:val="center"/>
              <w:rPr>
                <w:rFonts w:ascii="Times New Roman" w:hAnsi="Times New Roman"/>
              </w:rPr>
            </w:pPr>
            <w:r w:rsidRPr="006569D0">
              <w:rPr>
                <w:rFonts w:ascii="Times New Roman" w:hAnsi="Times New Roman"/>
              </w:rPr>
              <w:t>93.0%</w:t>
            </w:r>
          </w:p>
        </w:tc>
        <w:tc>
          <w:tcPr>
            <w:tcW w:w="499" w:type="pct"/>
            <w:shd w:val="clear" w:color="auto" w:fill="auto"/>
            <w:noWrap/>
            <w:vAlign w:val="center"/>
            <w:hideMark/>
          </w:tcPr>
          <w:p w14:paraId="2037D422" w14:textId="77777777" w:rsidR="005B68E1" w:rsidRPr="006569D0" w:rsidRDefault="005B68E1" w:rsidP="005B68E1">
            <w:pPr>
              <w:spacing w:after="0"/>
              <w:jc w:val="center"/>
              <w:rPr>
                <w:rFonts w:ascii="Times New Roman" w:hAnsi="Times New Roman"/>
              </w:rPr>
            </w:pPr>
            <w:r w:rsidRPr="006569D0">
              <w:rPr>
                <w:rFonts w:ascii="Times New Roman" w:hAnsi="Times New Roman"/>
              </w:rPr>
              <w:t>91.1%</w:t>
            </w:r>
          </w:p>
        </w:tc>
        <w:tc>
          <w:tcPr>
            <w:tcW w:w="499" w:type="pct"/>
            <w:shd w:val="clear" w:color="auto" w:fill="auto"/>
            <w:noWrap/>
            <w:vAlign w:val="center"/>
            <w:hideMark/>
          </w:tcPr>
          <w:p w14:paraId="18D1F0E0" w14:textId="77777777" w:rsidR="005B68E1" w:rsidRPr="006569D0" w:rsidRDefault="005B68E1" w:rsidP="005B68E1">
            <w:pPr>
              <w:spacing w:after="0"/>
              <w:jc w:val="center"/>
              <w:rPr>
                <w:rFonts w:ascii="Times New Roman" w:hAnsi="Times New Roman"/>
              </w:rPr>
            </w:pPr>
            <w:r w:rsidRPr="006569D0">
              <w:rPr>
                <w:rFonts w:ascii="Times New Roman" w:hAnsi="Times New Roman"/>
              </w:rPr>
              <w:t>99.3%</w:t>
            </w:r>
          </w:p>
        </w:tc>
        <w:tc>
          <w:tcPr>
            <w:tcW w:w="499" w:type="pct"/>
            <w:shd w:val="clear" w:color="auto" w:fill="auto"/>
            <w:noWrap/>
            <w:vAlign w:val="center"/>
            <w:hideMark/>
          </w:tcPr>
          <w:p w14:paraId="491270A8" w14:textId="77777777" w:rsidR="005B68E1" w:rsidRPr="006569D0" w:rsidRDefault="005B68E1" w:rsidP="005B68E1">
            <w:pPr>
              <w:spacing w:after="0"/>
              <w:jc w:val="center"/>
              <w:rPr>
                <w:rFonts w:ascii="Times New Roman" w:hAnsi="Times New Roman"/>
              </w:rPr>
            </w:pPr>
            <w:r w:rsidRPr="006569D0">
              <w:rPr>
                <w:rFonts w:ascii="Times New Roman" w:hAnsi="Times New Roman"/>
              </w:rPr>
              <w:t>96.9%</w:t>
            </w:r>
          </w:p>
        </w:tc>
        <w:tc>
          <w:tcPr>
            <w:tcW w:w="499" w:type="pct"/>
            <w:shd w:val="clear" w:color="auto" w:fill="auto"/>
            <w:noWrap/>
            <w:vAlign w:val="center"/>
            <w:hideMark/>
          </w:tcPr>
          <w:p w14:paraId="6378A81C" w14:textId="77777777" w:rsidR="005B68E1" w:rsidRPr="006569D0" w:rsidRDefault="005B68E1" w:rsidP="005B68E1">
            <w:pPr>
              <w:spacing w:after="0"/>
              <w:jc w:val="center"/>
              <w:rPr>
                <w:rFonts w:ascii="Times New Roman" w:hAnsi="Times New Roman"/>
              </w:rPr>
            </w:pPr>
            <w:r w:rsidRPr="006569D0">
              <w:rPr>
                <w:rFonts w:ascii="Times New Roman" w:hAnsi="Times New Roman"/>
              </w:rPr>
              <w:t>96.7%</w:t>
            </w:r>
          </w:p>
        </w:tc>
        <w:tc>
          <w:tcPr>
            <w:tcW w:w="499" w:type="pct"/>
            <w:shd w:val="clear" w:color="auto" w:fill="auto"/>
            <w:noWrap/>
            <w:vAlign w:val="center"/>
            <w:hideMark/>
          </w:tcPr>
          <w:p w14:paraId="26D6142A" w14:textId="77777777" w:rsidR="005B68E1" w:rsidRPr="006569D0" w:rsidRDefault="005B68E1" w:rsidP="005B68E1">
            <w:pPr>
              <w:spacing w:after="0"/>
              <w:jc w:val="center"/>
              <w:rPr>
                <w:rFonts w:ascii="Times New Roman" w:hAnsi="Times New Roman"/>
              </w:rPr>
            </w:pPr>
            <w:r w:rsidRPr="006569D0">
              <w:rPr>
                <w:rFonts w:ascii="Times New Roman" w:hAnsi="Times New Roman"/>
              </w:rPr>
              <w:t>95.1%</w:t>
            </w:r>
          </w:p>
        </w:tc>
        <w:tc>
          <w:tcPr>
            <w:tcW w:w="499" w:type="pct"/>
            <w:shd w:val="clear" w:color="auto" w:fill="auto"/>
            <w:noWrap/>
            <w:vAlign w:val="center"/>
            <w:hideMark/>
          </w:tcPr>
          <w:p w14:paraId="7DD04880" w14:textId="77777777" w:rsidR="005B68E1" w:rsidRPr="006569D0" w:rsidRDefault="005B68E1" w:rsidP="005B68E1">
            <w:pPr>
              <w:spacing w:after="0"/>
              <w:jc w:val="center"/>
              <w:rPr>
                <w:rFonts w:ascii="Times New Roman" w:hAnsi="Times New Roman"/>
              </w:rPr>
            </w:pPr>
            <w:r w:rsidRPr="006569D0">
              <w:rPr>
                <w:rFonts w:ascii="Times New Roman" w:hAnsi="Times New Roman"/>
              </w:rPr>
              <w:t>95.4%</w:t>
            </w:r>
          </w:p>
        </w:tc>
        <w:tc>
          <w:tcPr>
            <w:tcW w:w="561" w:type="pct"/>
            <w:shd w:val="clear" w:color="auto" w:fill="auto"/>
            <w:vAlign w:val="center"/>
          </w:tcPr>
          <w:p w14:paraId="47036F6B" w14:textId="0EC0C4E1"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97.05%</w:t>
            </w:r>
          </w:p>
        </w:tc>
      </w:tr>
      <w:tr w:rsidR="005B68E1" w:rsidRPr="006569D0" w14:paraId="51F3C5E7" w14:textId="69D62BD1" w:rsidTr="005B68E1">
        <w:trPr>
          <w:trHeight w:val="315"/>
          <w:jc w:val="center"/>
        </w:trPr>
        <w:tc>
          <w:tcPr>
            <w:tcW w:w="947" w:type="pct"/>
            <w:shd w:val="clear" w:color="auto" w:fill="auto"/>
            <w:noWrap/>
            <w:vAlign w:val="center"/>
            <w:hideMark/>
          </w:tcPr>
          <w:p w14:paraId="010F9825"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Carnes de Res</w:t>
            </w:r>
          </w:p>
        </w:tc>
        <w:tc>
          <w:tcPr>
            <w:tcW w:w="499" w:type="pct"/>
            <w:shd w:val="clear" w:color="auto" w:fill="auto"/>
            <w:noWrap/>
            <w:vAlign w:val="center"/>
            <w:hideMark/>
          </w:tcPr>
          <w:p w14:paraId="4E4C68C1" w14:textId="77777777" w:rsidR="005B68E1" w:rsidRPr="006569D0" w:rsidRDefault="005B68E1" w:rsidP="005B68E1">
            <w:pPr>
              <w:spacing w:after="0"/>
              <w:jc w:val="center"/>
              <w:rPr>
                <w:rFonts w:ascii="Times New Roman" w:hAnsi="Times New Roman"/>
              </w:rPr>
            </w:pPr>
            <w:r w:rsidRPr="006569D0">
              <w:rPr>
                <w:rFonts w:ascii="Times New Roman" w:hAnsi="Times New Roman"/>
              </w:rPr>
              <w:t>97.5%</w:t>
            </w:r>
          </w:p>
        </w:tc>
        <w:tc>
          <w:tcPr>
            <w:tcW w:w="499" w:type="pct"/>
            <w:shd w:val="clear" w:color="auto" w:fill="auto"/>
            <w:noWrap/>
            <w:vAlign w:val="center"/>
            <w:hideMark/>
          </w:tcPr>
          <w:p w14:paraId="645B9F7C" w14:textId="77777777" w:rsidR="005B68E1" w:rsidRPr="006569D0" w:rsidRDefault="005B68E1" w:rsidP="005B68E1">
            <w:pPr>
              <w:spacing w:after="0"/>
              <w:jc w:val="center"/>
              <w:rPr>
                <w:rFonts w:ascii="Times New Roman" w:hAnsi="Times New Roman"/>
              </w:rPr>
            </w:pPr>
            <w:r w:rsidRPr="006569D0">
              <w:rPr>
                <w:rFonts w:ascii="Times New Roman" w:hAnsi="Times New Roman"/>
              </w:rPr>
              <w:t>97.1%</w:t>
            </w:r>
          </w:p>
        </w:tc>
        <w:tc>
          <w:tcPr>
            <w:tcW w:w="499" w:type="pct"/>
            <w:shd w:val="clear" w:color="auto" w:fill="auto"/>
            <w:noWrap/>
            <w:vAlign w:val="center"/>
            <w:hideMark/>
          </w:tcPr>
          <w:p w14:paraId="2A024884" w14:textId="77777777" w:rsidR="005B68E1" w:rsidRPr="006569D0" w:rsidRDefault="005B68E1" w:rsidP="005B68E1">
            <w:pPr>
              <w:spacing w:after="0"/>
              <w:jc w:val="center"/>
              <w:rPr>
                <w:rFonts w:ascii="Times New Roman" w:hAnsi="Times New Roman"/>
              </w:rPr>
            </w:pPr>
            <w:r w:rsidRPr="006569D0">
              <w:rPr>
                <w:rFonts w:ascii="Times New Roman" w:hAnsi="Times New Roman"/>
              </w:rPr>
              <w:t>95.6%</w:t>
            </w:r>
          </w:p>
        </w:tc>
        <w:tc>
          <w:tcPr>
            <w:tcW w:w="499" w:type="pct"/>
            <w:shd w:val="clear" w:color="auto" w:fill="auto"/>
            <w:noWrap/>
            <w:vAlign w:val="center"/>
            <w:hideMark/>
          </w:tcPr>
          <w:p w14:paraId="34A4BC15" w14:textId="77777777" w:rsidR="005B68E1" w:rsidRPr="006569D0" w:rsidRDefault="005B68E1" w:rsidP="005B68E1">
            <w:pPr>
              <w:spacing w:after="0"/>
              <w:jc w:val="center"/>
              <w:rPr>
                <w:rFonts w:ascii="Times New Roman" w:hAnsi="Times New Roman"/>
              </w:rPr>
            </w:pPr>
            <w:r w:rsidRPr="006569D0">
              <w:rPr>
                <w:rFonts w:ascii="Times New Roman" w:hAnsi="Times New Roman"/>
              </w:rPr>
              <w:t>96.0%</w:t>
            </w:r>
          </w:p>
        </w:tc>
        <w:tc>
          <w:tcPr>
            <w:tcW w:w="499" w:type="pct"/>
            <w:shd w:val="clear" w:color="auto" w:fill="auto"/>
            <w:noWrap/>
            <w:vAlign w:val="center"/>
            <w:hideMark/>
          </w:tcPr>
          <w:p w14:paraId="2ED03A16" w14:textId="77777777" w:rsidR="005B68E1" w:rsidRPr="006569D0" w:rsidRDefault="005B68E1" w:rsidP="005B68E1">
            <w:pPr>
              <w:spacing w:after="0"/>
              <w:jc w:val="center"/>
              <w:rPr>
                <w:rFonts w:ascii="Times New Roman" w:hAnsi="Times New Roman"/>
              </w:rPr>
            </w:pPr>
            <w:r w:rsidRPr="006569D0">
              <w:rPr>
                <w:rFonts w:ascii="Times New Roman" w:hAnsi="Times New Roman"/>
              </w:rPr>
              <w:t>95.0%</w:t>
            </w:r>
          </w:p>
        </w:tc>
        <w:tc>
          <w:tcPr>
            <w:tcW w:w="499" w:type="pct"/>
            <w:shd w:val="clear" w:color="auto" w:fill="auto"/>
            <w:noWrap/>
            <w:vAlign w:val="center"/>
            <w:hideMark/>
          </w:tcPr>
          <w:p w14:paraId="05512A46" w14:textId="77777777" w:rsidR="005B68E1" w:rsidRPr="006569D0" w:rsidRDefault="005B68E1" w:rsidP="005B68E1">
            <w:pPr>
              <w:spacing w:after="0"/>
              <w:jc w:val="center"/>
              <w:rPr>
                <w:rFonts w:ascii="Times New Roman" w:hAnsi="Times New Roman"/>
              </w:rPr>
            </w:pPr>
            <w:r w:rsidRPr="006569D0">
              <w:rPr>
                <w:rFonts w:ascii="Times New Roman" w:hAnsi="Times New Roman"/>
              </w:rPr>
              <w:t>93.9%</w:t>
            </w:r>
          </w:p>
        </w:tc>
        <w:tc>
          <w:tcPr>
            <w:tcW w:w="499" w:type="pct"/>
            <w:shd w:val="clear" w:color="auto" w:fill="auto"/>
            <w:noWrap/>
            <w:vAlign w:val="center"/>
            <w:hideMark/>
          </w:tcPr>
          <w:p w14:paraId="15CF6F76" w14:textId="77777777" w:rsidR="005B68E1" w:rsidRPr="006569D0" w:rsidRDefault="005B68E1" w:rsidP="005B68E1">
            <w:pPr>
              <w:spacing w:after="0"/>
              <w:jc w:val="center"/>
              <w:rPr>
                <w:rFonts w:ascii="Times New Roman" w:hAnsi="Times New Roman"/>
              </w:rPr>
            </w:pPr>
            <w:r w:rsidRPr="006569D0">
              <w:rPr>
                <w:rFonts w:ascii="Times New Roman" w:hAnsi="Times New Roman"/>
              </w:rPr>
              <w:t>93.2%</w:t>
            </w:r>
          </w:p>
        </w:tc>
        <w:tc>
          <w:tcPr>
            <w:tcW w:w="561" w:type="pct"/>
            <w:shd w:val="clear" w:color="auto" w:fill="auto"/>
            <w:vAlign w:val="center"/>
          </w:tcPr>
          <w:p w14:paraId="585BE9DC" w14:textId="144D9E8B"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94.77%</w:t>
            </w:r>
          </w:p>
        </w:tc>
      </w:tr>
      <w:tr w:rsidR="005B68E1" w:rsidRPr="006569D0" w14:paraId="3F51A5B6" w14:textId="59277D34" w:rsidTr="005B68E1">
        <w:trPr>
          <w:trHeight w:val="315"/>
          <w:jc w:val="center"/>
        </w:trPr>
        <w:tc>
          <w:tcPr>
            <w:tcW w:w="947" w:type="pct"/>
            <w:shd w:val="clear" w:color="auto" w:fill="auto"/>
            <w:noWrap/>
            <w:vAlign w:val="center"/>
            <w:hideMark/>
          </w:tcPr>
          <w:p w14:paraId="0FFC0610"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Cebolla Roja</w:t>
            </w:r>
          </w:p>
        </w:tc>
        <w:tc>
          <w:tcPr>
            <w:tcW w:w="499" w:type="pct"/>
            <w:shd w:val="clear" w:color="auto" w:fill="auto"/>
            <w:noWrap/>
            <w:vAlign w:val="center"/>
            <w:hideMark/>
          </w:tcPr>
          <w:p w14:paraId="528150CE" w14:textId="77777777" w:rsidR="005B68E1" w:rsidRPr="006569D0" w:rsidRDefault="005B68E1" w:rsidP="005B68E1">
            <w:pPr>
              <w:spacing w:after="0"/>
              <w:jc w:val="center"/>
              <w:rPr>
                <w:rFonts w:ascii="Times New Roman" w:hAnsi="Times New Roman"/>
              </w:rPr>
            </w:pPr>
            <w:r w:rsidRPr="006569D0">
              <w:rPr>
                <w:rFonts w:ascii="Times New Roman" w:hAnsi="Times New Roman"/>
              </w:rPr>
              <w:t>78.4%</w:t>
            </w:r>
          </w:p>
        </w:tc>
        <w:tc>
          <w:tcPr>
            <w:tcW w:w="499" w:type="pct"/>
            <w:shd w:val="clear" w:color="auto" w:fill="auto"/>
            <w:noWrap/>
            <w:vAlign w:val="center"/>
            <w:hideMark/>
          </w:tcPr>
          <w:p w14:paraId="4605C321" w14:textId="77777777" w:rsidR="005B68E1" w:rsidRPr="006569D0" w:rsidRDefault="005B68E1" w:rsidP="005B68E1">
            <w:pPr>
              <w:spacing w:after="0"/>
              <w:jc w:val="center"/>
              <w:rPr>
                <w:rFonts w:ascii="Times New Roman" w:hAnsi="Times New Roman"/>
              </w:rPr>
            </w:pPr>
            <w:r w:rsidRPr="006569D0">
              <w:rPr>
                <w:rFonts w:ascii="Times New Roman" w:hAnsi="Times New Roman"/>
              </w:rPr>
              <w:t>88.6%</w:t>
            </w:r>
          </w:p>
        </w:tc>
        <w:tc>
          <w:tcPr>
            <w:tcW w:w="499" w:type="pct"/>
            <w:shd w:val="clear" w:color="auto" w:fill="auto"/>
            <w:noWrap/>
            <w:vAlign w:val="center"/>
            <w:hideMark/>
          </w:tcPr>
          <w:p w14:paraId="661BB016" w14:textId="77777777" w:rsidR="005B68E1" w:rsidRPr="006569D0" w:rsidRDefault="005B68E1" w:rsidP="005B68E1">
            <w:pPr>
              <w:spacing w:after="0"/>
              <w:jc w:val="center"/>
              <w:rPr>
                <w:rFonts w:ascii="Times New Roman" w:hAnsi="Times New Roman"/>
              </w:rPr>
            </w:pPr>
            <w:r w:rsidRPr="006569D0">
              <w:rPr>
                <w:rFonts w:ascii="Times New Roman" w:hAnsi="Times New Roman"/>
              </w:rPr>
              <w:t>91.6%</w:t>
            </w:r>
          </w:p>
        </w:tc>
        <w:tc>
          <w:tcPr>
            <w:tcW w:w="499" w:type="pct"/>
            <w:shd w:val="clear" w:color="auto" w:fill="auto"/>
            <w:noWrap/>
            <w:vAlign w:val="center"/>
            <w:hideMark/>
          </w:tcPr>
          <w:p w14:paraId="4F3F39CC" w14:textId="77777777" w:rsidR="005B68E1" w:rsidRPr="006569D0" w:rsidRDefault="005B68E1" w:rsidP="005B68E1">
            <w:pPr>
              <w:spacing w:after="0"/>
              <w:jc w:val="center"/>
              <w:rPr>
                <w:rFonts w:ascii="Times New Roman" w:hAnsi="Times New Roman"/>
              </w:rPr>
            </w:pPr>
            <w:r w:rsidRPr="006569D0">
              <w:rPr>
                <w:rFonts w:ascii="Times New Roman" w:hAnsi="Times New Roman"/>
              </w:rPr>
              <w:t>89.9%</w:t>
            </w:r>
          </w:p>
        </w:tc>
        <w:tc>
          <w:tcPr>
            <w:tcW w:w="499" w:type="pct"/>
            <w:shd w:val="clear" w:color="auto" w:fill="auto"/>
            <w:noWrap/>
            <w:vAlign w:val="center"/>
            <w:hideMark/>
          </w:tcPr>
          <w:p w14:paraId="47991FF9" w14:textId="77777777" w:rsidR="005B68E1" w:rsidRPr="006569D0" w:rsidRDefault="005B68E1" w:rsidP="005B68E1">
            <w:pPr>
              <w:spacing w:after="0"/>
              <w:jc w:val="center"/>
              <w:rPr>
                <w:rFonts w:ascii="Times New Roman" w:hAnsi="Times New Roman"/>
              </w:rPr>
            </w:pPr>
            <w:r w:rsidRPr="006569D0">
              <w:rPr>
                <w:rFonts w:ascii="Times New Roman" w:hAnsi="Times New Roman"/>
              </w:rPr>
              <w:t>87.4%</w:t>
            </w:r>
          </w:p>
        </w:tc>
        <w:tc>
          <w:tcPr>
            <w:tcW w:w="499" w:type="pct"/>
            <w:shd w:val="clear" w:color="auto" w:fill="auto"/>
            <w:noWrap/>
            <w:vAlign w:val="center"/>
            <w:hideMark/>
          </w:tcPr>
          <w:p w14:paraId="586C7DA1" w14:textId="77777777" w:rsidR="005B68E1" w:rsidRPr="006569D0" w:rsidRDefault="005B68E1" w:rsidP="005B68E1">
            <w:pPr>
              <w:spacing w:after="0"/>
              <w:jc w:val="center"/>
              <w:rPr>
                <w:rFonts w:ascii="Times New Roman" w:hAnsi="Times New Roman"/>
              </w:rPr>
            </w:pPr>
            <w:r w:rsidRPr="006569D0">
              <w:rPr>
                <w:rFonts w:ascii="Times New Roman" w:hAnsi="Times New Roman"/>
              </w:rPr>
              <w:t>87.3%</w:t>
            </w:r>
          </w:p>
        </w:tc>
        <w:tc>
          <w:tcPr>
            <w:tcW w:w="499" w:type="pct"/>
            <w:shd w:val="clear" w:color="auto" w:fill="auto"/>
            <w:noWrap/>
            <w:vAlign w:val="center"/>
            <w:hideMark/>
          </w:tcPr>
          <w:p w14:paraId="551C7216" w14:textId="77777777" w:rsidR="005B68E1" w:rsidRPr="006569D0" w:rsidRDefault="005B68E1" w:rsidP="005B68E1">
            <w:pPr>
              <w:spacing w:after="0"/>
              <w:jc w:val="center"/>
              <w:rPr>
                <w:rFonts w:ascii="Times New Roman" w:hAnsi="Times New Roman"/>
              </w:rPr>
            </w:pPr>
            <w:r w:rsidRPr="006569D0">
              <w:rPr>
                <w:rFonts w:ascii="Times New Roman" w:hAnsi="Times New Roman"/>
              </w:rPr>
              <w:t>89.0%</w:t>
            </w:r>
          </w:p>
        </w:tc>
        <w:tc>
          <w:tcPr>
            <w:tcW w:w="561" w:type="pct"/>
            <w:shd w:val="clear" w:color="auto" w:fill="auto"/>
            <w:vAlign w:val="center"/>
          </w:tcPr>
          <w:p w14:paraId="5AFB1D63" w14:textId="00C7F3D2"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85.48%</w:t>
            </w:r>
          </w:p>
        </w:tc>
      </w:tr>
      <w:tr w:rsidR="005B68E1" w:rsidRPr="006569D0" w14:paraId="67F4427F" w14:textId="6EA35593" w:rsidTr="005B68E1">
        <w:trPr>
          <w:trHeight w:val="315"/>
          <w:jc w:val="center"/>
        </w:trPr>
        <w:tc>
          <w:tcPr>
            <w:tcW w:w="947" w:type="pct"/>
            <w:shd w:val="clear" w:color="auto" w:fill="auto"/>
            <w:noWrap/>
            <w:vAlign w:val="center"/>
            <w:hideMark/>
          </w:tcPr>
          <w:p w14:paraId="3A4F0A4A"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Carnes de Cerdo</w:t>
            </w:r>
          </w:p>
        </w:tc>
        <w:tc>
          <w:tcPr>
            <w:tcW w:w="499" w:type="pct"/>
            <w:shd w:val="clear" w:color="auto" w:fill="auto"/>
            <w:noWrap/>
            <w:vAlign w:val="center"/>
            <w:hideMark/>
          </w:tcPr>
          <w:p w14:paraId="054A8431" w14:textId="77777777" w:rsidR="005B68E1" w:rsidRPr="006569D0" w:rsidRDefault="005B68E1" w:rsidP="005B68E1">
            <w:pPr>
              <w:spacing w:after="0"/>
              <w:jc w:val="center"/>
              <w:rPr>
                <w:rFonts w:ascii="Times New Roman" w:hAnsi="Times New Roman"/>
              </w:rPr>
            </w:pPr>
            <w:r w:rsidRPr="006569D0">
              <w:rPr>
                <w:rFonts w:ascii="Times New Roman" w:hAnsi="Times New Roman"/>
              </w:rPr>
              <w:t>88.7%</w:t>
            </w:r>
          </w:p>
        </w:tc>
        <w:tc>
          <w:tcPr>
            <w:tcW w:w="499" w:type="pct"/>
            <w:shd w:val="clear" w:color="auto" w:fill="auto"/>
            <w:noWrap/>
            <w:vAlign w:val="center"/>
            <w:hideMark/>
          </w:tcPr>
          <w:p w14:paraId="16BDEDF9" w14:textId="77777777" w:rsidR="005B68E1" w:rsidRPr="006569D0" w:rsidRDefault="005B68E1" w:rsidP="005B68E1">
            <w:pPr>
              <w:spacing w:after="0"/>
              <w:jc w:val="center"/>
              <w:rPr>
                <w:rFonts w:ascii="Times New Roman" w:hAnsi="Times New Roman"/>
              </w:rPr>
            </w:pPr>
            <w:r w:rsidRPr="006569D0">
              <w:rPr>
                <w:rFonts w:ascii="Times New Roman" w:hAnsi="Times New Roman"/>
              </w:rPr>
              <w:t>84.5%</w:t>
            </w:r>
          </w:p>
        </w:tc>
        <w:tc>
          <w:tcPr>
            <w:tcW w:w="499" w:type="pct"/>
            <w:shd w:val="clear" w:color="auto" w:fill="auto"/>
            <w:noWrap/>
            <w:vAlign w:val="center"/>
            <w:hideMark/>
          </w:tcPr>
          <w:p w14:paraId="0F5F1658" w14:textId="77777777" w:rsidR="005B68E1" w:rsidRPr="006569D0" w:rsidRDefault="005B68E1" w:rsidP="005B68E1">
            <w:pPr>
              <w:spacing w:after="0"/>
              <w:jc w:val="center"/>
              <w:rPr>
                <w:rFonts w:ascii="Times New Roman" w:hAnsi="Times New Roman"/>
              </w:rPr>
            </w:pPr>
            <w:r w:rsidRPr="006569D0">
              <w:rPr>
                <w:rFonts w:ascii="Times New Roman" w:hAnsi="Times New Roman"/>
              </w:rPr>
              <w:t>84.5%</w:t>
            </w:r>
          </w:p>
        </w:tc>
        <w:tc>
          <w:tcPr>
            <w:tcW w:w="499" w:type="pct"/>
            <w:shd w:val="clear" w:color="auto" w:fill="auto"/>
            <w:noWrap/>
            <w:vAlign w:val="center"/>
            <w:hideMark/>
          </w:tcPr>
          <w:p w14:paraId="4DE8D9E0" w14:textId="77777777" w:rsidR="005B68E1" w:rsidRPr="006569D0" w:rsidRDefault="005B68E1" w:rsidP="005B68E1">
            <w:pPr>
              <w:spacing w:after="0"/>
              <w:jc w:val="center"/>
              <w:rPr>
                <w:rFonts w:ascii="Times New Roman" w:hAnsi="Times New Roman"/>
              </w:rPr>
            </w:pPr>
            <w:r w:rsidRPr="006569D0">
              <w:rPr>
                <w:rFonts w:ascii="Times New Roman" w:hAnsi="Times New Roman"/>
              </w:rPr>
              <w:t>78.1%</w:t>
            </w:r>
          </w:p>
        </w:tc>
        <w:tc>
          <w:tcPr>
            <w:tcW w:w="499" w:type="pct"/>
            <w:shd w:val="clear" w:color="auto" w:fill="auto"/>
            <w:noWrap/>
            <w:vAlign w:val="center"/>
            <w:hideMark/>
          </w:tcPr>
          <w:p w14:paraId="78FB5125" w14:textId="77777777" w:rsidR="005B68E1" w:rsidRPr="006569D0" w:rsidRDefault="005B68E1" w:rsidP="005B68E1">
            <w:pPr>
              <w:spacing w:after="0"/>
              <w:jc w:val="center"/>
              <w:rPr>
                <w:rFonts w:ascii="Times New Roman" w:hAnsi="Times New Roman"/>
              </w:rPr>
            </w:pPr>
            <w:r w:rsidRPr="006569D0">
              <w:rPr>
                <w:rFonts w:ascii="Times New Roman" w:hAnsi="Times New Roman"/>
              </w:rPr>
              <w:t>78.0%</w:t>
            </w:r>
          </w:p>
        </w:tc>
        <w:tc>
          <w:tcPr>
            <w:tcW w:w="499" w:type="pct"/>
            <w:shd w:val="clear" w:color="auto" w:fill="auto"/>
            <w:noWrap/>
            <w:vAlign w:val="center"/>
            <w:hideMark/>
          </w:tcPr>
          <w:p w14:paraId="5C64F26C" w14:textId="77777777" w:rsidR="005B68E1" w:rsidRPr="006569D0" w:rsidRDefault="005B68E1" w:rsidP="005B68E1">
            <w:pPr>
              <w:spacing w:after="0"/>
              <w:jc w:val="center"/>
              <w:rPr>
                <w:rFonts w:ascii="Times New Roman" w:hAnsi="Times New Roman"/>
              </w:rPr>
            </w:pPr>
            <w:r w:rsidRPr="006569D0">
              <w:rPr>
                <w:rFonts w:ascii="Times New Roman" w:hAnsi="Times New Roman"/>
              </w:rPr>
              <w:t>82.9%</w:t>
            </w:r>
          </w:p>
        </w:tc>
        <w:tc>
          <w:tcPr>
            <w:tcW w:w="499" w:type="pct"/>
            <w:shd w:val="clear" w:color="auto" w:fill="auto"/>
            <w:noWrap/>
            <w:vAlign w:val="center"/>
            <w:hideMark/>
          </w:tcPr>
          <w:p w14:paraId="27B50E59" w14:textId="77777777" w:rsidR="005B68E1" w:rsidRPr="006569D0" w:rsidRDefault="005B68E1" w:rsidP="005B68E1">
            <w:pPr>
              <w:spacing w:after="0"/>
              <w:jc w:val="center"/>
              <w:rPr>
                <w:rFonts w:ascii="Times New Roman" w:hAnsi="Times New Roman"/>
              </w:rPr>
            </w:pPr>
            <w:r w:rsidRPr="006569D0">
              <w:rPr>
                <w:rFonts w:ascii="Times New Roman" w:hAnsi="Times New Roman"/>
              </w:rPr>
              <w:t>81.7%</w:t>
            </w:r>
          </w:p>
        </w:tc>
        <w:tc>
          <w:tcPr>
            <w:tcW w:w="561" w:type="pct"/>
            <w:shd w:val="clear" w:color="auto" w:fill="auto"/>
            <w:vAlign w:val="center"/>
          </w:tcPr>
          <w:p w14:paraId="0B16D6DA" w14:textId="11E1710B"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80.76%</w:t>
            </w:r>
          </w:p>
        </w:tc>
      </w:tr>
      <w:tr w:rsidR="005B68E1" w:rsidRPr="006569D0" w14:paraId="20967AFA" w14:textId="063D12C9" w:rsidTr="005B68E1">
        <w:trPr>
          <w:trHeight w:val="315"/>
          <w:jc w:val="center"/>
        </w:trPr>
        <w:tc>
          <w:tcPr>
            <w:tcW w:w="947" w:type="pct"/>
            <w:shd w:val="clear" w:color="auto" w:fill="auto"/>
            <w:noWrap/>
            <w:vAlign w:val="center"/>
            <w:hideMark/>
          </w:tcPr>
          <w:p w14:paraId="20A7FDFF"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Habichuelas</w:t>
            </w:r>
          </w:p>
        </w:tc>
        <w:tc>
          <w:tcPr>
            <w:tcW w:w="499" w:type="pct"/>
            <w:shd w:val="clear" w:color="auto" w:fill="auto"/>
            <w:noWrap/>
            <w:vAlign w:val="center"/>
            <w:hideMark/>
          </w:tcPr>
          <w:p w14:paraId="67C7DCC7" w14:textId="77777777" w:rsidR="005B68E1" w:rsidRPr="006569D0" w:rsidRDefault="005B68E1" w:rsidP="005B68E1">
            <w:pPr>
              <w:spacing w:after="0"/>
              <w:jc w:val="center"/>
              <w:rPr>
                <w:rFonts w:ascii="Times New Roman" w:hAnsi="Times New Roman"/>
              </w:rPr>
            </w:pPr>
            <w:r w:rsidRPr="006569D0">
              <w:rPr>
                <w:rFonts w:ascii="Times New Roman" w:hAnsi="Times New Roman"/>
              </w:rPr>
              <w:t>56.0%</w:t>
            </w:r>
          </w:p>
        </w:tc>
        <w:tc>
          <w:tcPr>
            <w:tcW w:w="499" w:type="pct"/>
            <w:shd w:val="clear" w:color="auto" w:fill="auto"/>
            <w:noWrap/>
            <w:vAlign w:val="center"/>
            <w:hideMark/>
          </w:tcPr>
          <w:p w14:paraId="796DA085" w14:textId="77777777" w:rsidR="005B68E1" w:rsidRPr="006569D0" w:rsidRDefault="005B68E1" w:rsidP="005B68E1">
            <w:pPr>
              <w:spacing w:after="0"/>
              <w:jc w:val="center"/>
              <w:rPr>
                <w:rFonts w:ascii="Times New Roman" w:hAnsi="Times New Roman"/>
              </w:rPr>
            </w:pPr>
            <w:r w:rsidRPr="006569D0">
              <w:rPr>
                <w:rFonts w:ascii="Times New Roman" w:hAnsi="Times New Roman"/>
              </w:rPr>
              <w:t>61.9%</w:t>
            </w:r>
          </w:p>
        </w:tc>
        <w:tc>
          <w:tcPr>
            <w:tcW w:w="499" w:type="pct"/>
            <w:shd w:val="clear" w:color="auto" w:fill="auto"/>
            <w:noWrap/>
            <w:vAlign w:val="center"/>
            <w:hideMark/>
          </w:tcPr>
          <w:p w14:paraId="7DB41389" w14:textId="77777777" w:rsidR="005B68E1" w:rsidRPr="006569D0" w:rsidRDefault="005B68E1" w:rsidP="005B68E1">
            <w:pPr>
              <w:spacing w:after="0"/>
              <w:jc w:val="center"/>
              <w:rPr>
                <w:rFonts w:ascii="Times New Roman" w:hAnsi="Times New Roman"/>
              </w:rPr>
            </w:pPr>
            <w:r w:rsidRPr="006569D0">
              <w:rPr>
                <w:rFonts w:ascii="Times New Roman" w:hAnsi="Times New Roman"/>
              </w:rPr>
              <w:t>74.7%</w:t>
            </w:r>
          </w:p>
        </w:tc>
        <w:tc>
          <w:tcPr>
            <w:tcW w:w="499" w:type="pct"/>
            <w:shd w:val="clear" w:color="auto" w:fill="auto"/>
            <w:noWrap/>
            <w:vAlign w:val="center"/>
            <w:hideMark/>
          </w:tcPr>
          <w:p w14:paraId="005E6D7A" w14:textId="77777777" w:rsidR="005B68E1" w:rsidRPr="006569D0" w:rsidRDefault="005B68E1" w:rsidP="005B68E1">
            <w:pPr>
              <w:spacing w:after="0"/>
              <w:jc w:val="center"/>
              <w:rPr>
                <w:rFonts w:ascii="Times New Roman" w:hAnsi="Times New Roman"/>
              </w:rPr>
            </w:pPr>
            <w:r w:rsidRPr="006569D0">
              <w:rPr>
                <w:rFonts w:ascii="Times New Roman" w:hAnsi="Times New Roman"/>
              </w:rPr>
              <w:t>42.9%</w:t>
            </w:r>
          </w:p>
        </w:tc>
        <w:tc>
          <w:tcPr>
            <w:tcW w:w="499" w:type="pct"/>
            <w:shd w:val="clear" w:color="auto" w:fill="auto"/>
            <w:noWrap/>
            <w:vAlign w:val="center"/>
            <w:hideMark/>
          </w:tcPr>
          <w:p w14:paraId="419A9ACA" w14:textId="77777777" w:rsidR="005B68E1" w:rsidRPr="006569D0" w:rsidRDefault="005B68E1" w:rsidP="005B68E1">
            <w:pPr>
              <w:spacing w:after="0"/>
              <w:jc w:val="center"/>
              <w:rPr>
                <w:rFonts w:ascii="Times New Roman" w:hAnsi="Times New Roman"/>
              </w:rPr>
            </w:pPr>
            <w:r w:rsidRPr="006569D0">
              <w:rPr>
                <w:rFonts w:ascii="Times New Roman" w:hAnsi="Times New Roman"/>
              </w:rPr>
              <w:t>47.1%</w:t>
            </w:r>
          </w:p>
        </w:tc>
        <w:tc>
          <w:tcPr>
            <w:tcW w:w="499" w:type="pct"/>
            <w:shd w:val="clear" w:color="auto" w:fill="auto"/>
            <w:noWrap/>
            <w:vAlign w:val="center"/>
            <w:hideMark/>
          </w:tcPr>
          <w:p w14:paraId="63311D6F" w14:textId="77777777" w:rsidR="005B68E1" w:rsidRPr="006569D0" w:rsidRDefault="005B68E1" w:rsidP="005B68E1">
            <w:pPr>
              <w:spacing w:after="0"/>
              <w:jc w:val="center"/>
              <w:rPr>
                <w:rFonts w:ascii="Times New Roman" w:hAnsi="Times New Roman"/>
              </w:rPr>
            </w:pPr>
            <w:r w:rsidRPr="006569D0">
              <w:rPr>
                <w:rFonts w:ascii="Times New Roman" w:hAnsi="Times New Roman"/>
              </w:rPr>
              <w:t>51.1%</w:t>
            </w:r>
          </w:p>
        </w:tc>
        <w:tc>
          <w:tcPr>
            <w:tcW w:w="499" w:type="pct"/>
            <w:shd w:val="clear" w:color="auto" w:fill="auto"/>
            <w:noWrap/>
            <w:vAlign w:val="center"/>
            <w:hideMark/>
          </w:tcPr>
          <w:p w14:paraId="6E4322AF" w14:textId="77777777" w:rsidR="005B68E1" w:rsidRPr="006569D0" w:rsidRDefault="005B68E1" w:rsidP="005B68E1">
            <w:pPr>
              <w:spacing w:after="0"/>
              <w:jc w:val="center"/>
              <w:rPr>
                <w:rFonts w:ascii="Times New Roman" w:hAnsi="Times New Roman"/>
              </w:rPr>
            </w:pPr>
            <w:r w:rsidRPr="006569D0">
              <w:rPr>
                <w:rFonts w:ascii="Times New Roman" w:hAnsi="Times New Roman"/>
              </w:rPr>
              <w:t>50.5%</w:t>
            </w:r>
          </w:p>
        </w:tc>
        <w:tc>
          <w:tcPr>
            <w:tcW w:w="561" w:type="pct"/>
            <w:shd w:val="clear" w:color="auto" w:fill="auto"/>
            <w:vAlign w:val="center"/>
          </w:tcPr>
          <w:p w14:paraId="7006553A" w14:textId="10BA7DDB" w:rsidR="005B68E1" w:rsidRPr="006569D0" w:rsidRDefault="005B68E1" w:rsidP="005B68E1">
            <w:pPr>
              <w:spacing w:after="0"/>
              <w:jc w:val="center"/>
              <w:rPr>
                <w:rFonts w:ascii="Times New Roman" w:hAnsi="Times New Roman"/>
              </w:rPr>
            </w:pPr>
            <w:r w:rsidRPr="006569D0">
              <w:rPr>
                <w:rFonts w:ascii="Times New Roman" w:hAnsi="Times New Roman"/>
                <w:color w:val="000000"/>
                <w:lang w:eastAsia="es-DO"/>
              </w:rPr>
              <w:t>55.85%</w:t>
            </w:r>
          </w:p>
        </w:tc>
      </w:tr>
      <w:tr w:rsidR="005B68E1" w:rsidRPr="006569D0" w14:paraId="7C8B1743" w14:textId="3E00725B" w:rsidTr="005B68E1">
        <w:trPr>
          <w:trHeight w:val="315"/>
          <w:jc w:val="center"/>
        </w:trPr>
        <w:tc>
          <w:tcPr>
            <w:tcW w:w="947" w:type="pct"/>
            <w:shd w:val="clear" w:color="auto" w:fill="auto"/>
            <w:noWrap/>
            <w:vAlign w:val="center"/>
            <w:hideMark/>
          </w:tcPr>
          <w:p w14:paraId="47F895C6" w14:textId="77777777" w:rsidR="005B68E1" w:rsidRPr="006569D0" w:rsidRDefault="005B68E1" w:rsidP="005B68E1">
            <w:pPr>
              <w:spacing w:after="0"/>
              <w:rPr>
                <w:rFonts w:ascii="Times New Roman" w:hAnsi="Times New Roman"/>
                <w:lang w:val="en-US" w:eastAsia="en-US"/>
              </w:rPr>
            </w:pPr>
            <w:r w:rsidRPr="006569D0">
              <w:rPr>
                <w:rFonts w:ascii="Times New Roman" w:hAnsi="Times New Roman"/>
                <w:lang w:val="en-US" w:eastAsia="en-US"/>
              </w:rPr>
              <w:t>Ajo</w:t>
            </w:r>
          </w:p>
        </w:tc>
        <w:tc>
          <w:tcPr>
            <w:tcW w:w="499" w:type="pct"/>
            <w:shd w:val="clear" w:color="auto" w:fill="auto"/>
            <w:noWrap/>
            <w:vAlign w:val="center"/>
            <w:hideMark/>
          </w:tcPr>
          <w:p w14:paraId="26969550" w14:textId="77777777" w:rsidR="005B68E1" w:rsidRPr="006569D0" w:rsidRDefault="005B68E1" w:rsidP="005B68E1">
            <w:pPr>
              <w:spacing w:after="0"/>
              <w:jc w:val="center"/>
              <w:rPr>
                <w:rFonts w:ascii="Times New Roman" w:hAnsi="Times New Roman"/>
              </w:rPr>
            </w:pPr>
            <w:r w:rsidRPr="006569D0">
              <w:rPr>
                <w:rFonts w:ascii="Times New Roman" w:hAnsi="Times New Roman"/>
              </w:rPr>
              <w:t>52.1%</w:t>
            </w:r>
          </w:p>
        </w:tc>
        <w:tc>
          <w:tcPr>
            <w:tcW w:w="499" w:type="pct"/>
            <w:shd w:val="clear" w:color="auto" w:fill="auto"/>
            <w:noWrap/>
            <w:vAlign w:val="center"/>
            <w:hideMark/>
          </w:tcPr>
          <w:p w14:paraId="79EAE35E" w14:textId="77777777" w:rsidR="005B68E1" w:rsidRPr="006569D0" w:rsidRDefault="005B68E1" w:rsidP="005B68E1">
            <w:pPr>
              <w:spacing w:after="0"/>
              <w:jc w:val="center"/>
              <w:rPr>
                <w:rFonts w:ascii="Times New Roman" w:hAnsi="Times New Roman"/>
              </w:rPr>
            </w:pPr>
            <w:r w:rsidRPr="006569D0">
              <w:rPr>
                <w:rFonts w:ascii="Times New Roman" w:hAnsi="Times New Roman"/>
              </w:rPr>
              <w:t>28.5%</w:t>
            </w:r>
          </w:p>
        </w:tc>
        <w:tc>
          <w:tcPr>
            <w:tcW w:w="499" w:type="pct"/>
            <w:shd w:val="clear" w:color="auto" w:fill="auto"/>
            <w:noWrap/>
            <w:vAlign w:val="center"/>
            <w:hideMark/>
          </w:tcPr>
          <w:p w14:paraId="43218E06" w14:textId="77777777" w:rsidR="005B68E1" w:rsidRPr="006569D0" w:rsidRDefault="005B68E1" w:rsidP="005B68E1">
            <w:pPr>
              <w:spacing w:after="0"/>
              <w:jc w:val="center"/>
              <w:rPr>
                <w:rFonts w:ascii="Times New Roman" w:hAnsi="Times New Roman"/>
              </w:rPr>
            </w:pPr>
            <w:r w:rsidRPr="006569D0">
              <w:rPr>
                <w:rFonts w:ascii="Times New Roman" w:hAnsi="Times New Roman"/>
              </w:rPr>
              <w:t>34.7%</w:t>
            </w:r>
          </w:p>
        </w:tc>
        <w:tc>
          <w:tcPr>
            <w:tcW w:w="499" w:type="pct"/>
            <w:shd w:val="clear" w:color="auto" w:fill="auto"/>
            <w:noWrap/>
            <w:vAlign w:val="center"/>
            <w:hideMark/>
          </w:tcPr>
          <w:p w14:paraId="79526633" w14:textId="77777777" w:rsidR="005B68E1" w:rsidRPr="006569D0" w:rsidRDefault="005B68E1" w:rsidP="005B68E1">
            <w:pPr>
              <w:spacing w:after="0"/>
              <w:jc w:val="center"/>
              <w:rPr>
                <w:rFonts w:ascii="Times New Roman" w:hAnsi="Times New Roman"/>
              </w:rPr>
            </w:pPr>
            <w:r w:rsidRPr="006569D0">
              <w:rPr>
                <w:rFonts w:ascii="Times New Roman" w:hAnsi="Times New Roman"/>
              </w:rPr>
              <w:t>41.2%</w:t>
            </w:r>
          </w:p>
        </w:tc>
        <w:tc>
          <w:tcPr>
            <w:tcW w:w="499" w:type="pct"/>
            <w:shd w:val="clear" w:color="auto" w:fill="auto"/>
            <w:noWrap/>
            <w:vAlign w:val="center"/>
            <w:hideMark/>
          </w:tcPr>
          <w:p w14:paraId="6927B38D" w14:textId="77777777" w:rsidR="005B68E1" w:rsidRPr="006569D0" w:rsidRDefault="005B68E1" w:rsidP="005B68E1">
            <w:pPr>
              <w:spacing w:after="0"/>
              <w:jc w:val="center"/>
              <w:rPr>
                <w:rFonts w:ascii="Times New Roman" w:hAnsi="Times New Roman"/>
              </w:rPr>
            </w:pPr>
            <w:r w:rsidRPr="006569D0">
              <w:rPr>
                <w:rFonts w:ascii="Times New Roman" w:hAnsi="Times New Roman"/>
              </w:rPr>
              <w:t>22.1%</w:t>
            </w:r>
          </w:p>
        </w:tc>
        <w:tc>
          <w:tcPr>
            <w:tcW w:w="499" w:type="pct"/>
            <w:shd w:val="clear" w:color="auto" w:fill="auto"/>
            <w:noWrap/>
            <w:vAlign w:val="center"/>
            <w:hideMark/>
          </w:tcPr>
          <w:p w14:paraId="33202055" w14:textId="77777777" w:rsidR="005B68E1" w:rsidRPr="006569D0" w:rsidRDefault="005B68E1" w:rsidP="005B68E1">
            <w:pPr>
              <w:spacing w:after="0"/>
              <w:jc w:val="center"/>
              <w:rPr>
                <w:rFonts w:ascii="Times New Roman" w:hAnsi="Times New Roman"/>
              </w:rPr>
            </w:pPr>
            <w:r w:rsidRPr="006569D0">
              <w:rPr>
                <w:rFonts w:ascii="Times New Roman" w:hAnsi="Times New Roman"/>
              </w:rPr>
              <w:t>18.5%</w:t>
            </w:r>
          </w:p>
        </w:tc>
        <w:tc>
          <w:tcPr>
            <w:tcW w:w="499" w:type="pct"/>
            <w:shd w:val="clear" w:color="auto" w:fill="auto"/>
            <w:noWrap/>
            <w:vAlign w:val="center"/>
            <w:hideMark/>
          </w:tcPr>
          <w:p w14:paraId="72853D3C" w14:textId="77777777" w:rsidR="005B68E1" w:rsidRPr="006569D0" w:rsidRDefault="005B68E1" w:rsidP="005B68E1">
            <w:pPr>
              <w:spacing w:after="0"/>
              <w:jc w:val="center"/>
              <w:rPr>
                <w:rFonts w:ascii="Times New Roman" w:hAnsi="Times New Roman"/>
              </w:rPr>
            </w:pPr>
            <w:r w:rsidRPr="006569D0">
              <w:rPr>
                <w:rFonts w:ascii="Times New Roman" w:hAnsi="Times New Roman"/>
              </w:rPr>
              <w:t>15.3%</w:t>
            </w:r>
          </w:p>
        </w:tc>
        <w:tc>
          <w:tcPr>
            <w:tcW w:w="561" w:type="pct"/>
            <w:shd w:val="clear" w:color="auto" w:fill="auto"/>
          </w:tcPr>
          <w:p w14:paraId="322FD045" w14:textId="0FD5017C" w:rsidR="005B68E1" w:rsidRPr="006569D0" w:rsidRDefault="005B68E1" w:rsidP="005B68E1">
            <w:pPr>
              <w:spacing w:after="0"/>
              <w:jc w:val="center"/>
              <w:rPr>
                <w:rFonts w:ascii="Times New Roman" w:hAnsi="Times New Roman"/>
              </w:rPr>
            </w:pPr>
            <w:r w:rsidRPr="006569D0">
              <w:rPr>
                <w:rFonts w:ascii="Times New Roman" w:hAnsi="Times New Roman"/>
              </w:rPr>
              <w:t>23.77%</w:t>
            </w:r>
          </w:p>
        </w:tc>
      </w:tr>
    </w:tbl>
    <w:p w14:paraId="3F967DF1" w14:textId="554DB427" w:rsidR="00E1193C" w:rsidRPr="009101F9" w:rsidRDefault="00E1193C" w:rsidP="00E1193C">
      <w:pPr>
        <w:spacing w:after="0" w:line="480" w:lineRule="auto"/>
        <w:ind w:firstLine="720"/>
        <w:jc w:val="both"/>
        <w:rPr>
          <w:rFonts w:ascii="Times New Roman" w:hAnsi="Times New Roman"/>
          <w:bCs/>
          <w:lang w:val="es-ES_tradnl"/>
        </w:rPr>
      </w:pPr>
      <w:r w:rsidRPr="006569D0">
        <w:rPr>
          <w:rFonts w:ascii="Times New Roman" w:hAnsi="Times New Roman"/>
          <w:bCs/>
          <w:lang w:val="es-ES_tradnl"/>
        </w:rPr>
        <w:lastRenderedPageBreak/>
        <w:t>Entre los productos agrícolas que registraron crecimientos en su producción durante el 2019, se destacan:</w:t>
      </w:r>
      <w:r w:rsidRPr="009101F9">
        <w:rPr>
          <w:rFonts w:ascii="Times New Roman" w:hAnsi="Times New Roman"/>
          <w:bCs/>
          <w:lang w:val="es-ES_tradnl"/>
        </w:rPr>
        <w:t xml:space="preserve"> </w:t>
      </w:r>
    </w:p>
    <w:p w14:paraId="5A0C7DDB" w14:textId="77777777" w:rsidR="00CD09BE" w:rsidRPr="009101F9" w:rsidRDefault="00CD09BE" w:rsidP="00C92A83">
      <w:pPr>
        <w:spacing w:after="0" w:line="480" w:lineRule="auto"/>
        <w:ind w:firstLine="720"/>
        <w:jc w:val="both"/>
        <w:rPr>
          <w:rFonts w:ascii="Times New Roman" w:hAnsi="Times New Roman"/>
          <w:bCs/>
          <w:lang w:val="es-ES_tradnl" w:eastAsia="en-US"/>
        </w:rPr>
      </w:pPr>
    </w:p>
    <w:p w14:paraId="2C451440" w14:textId="77777777" w:rsidR="00DF6635" w:rsidRPr="009101F9" w:rsidRDefault="004F5129" w:rsidP="009338DC">
      <w:pPr>
        <w:pStyle w:val="Prrafodelista"/>
        <w:spacing w:after="0" w:line="480" w:lineRule="auto"/>
        <w:ind w:left="426"/>
        <w:jc w:val="both"/>
        <w:rPr>
          <w:rFonts w:ascii="Times New Roman" w:hAnsi="Times New Roman"/>
          <w:b/>
          <w:bCs/>
          <w:sz w:val="28"/>
          <w:lang w:val="es-ES_tradnl"/>
        </w:rPr>
      </w:pPr>
      <w:r w:rsidRPr="009101F9">
        <w:rPr>
          <w:rFonts w:ascii="Times New Roman" w:hAnsi="Times New Roman"/>
          <w:b/>
          <w:bCs/>
          <w:sz w:val="28"/>
          <w:lang w:val="es-ES_tradnl"/>
        </w:rPr>
        <w:t>L</w:t>
      </w:r>
      <w:r w:rsidR="00CD09BE" w:rsidRPr="009101F9">
        <w:rPr>
          <w:rFonts w:ascii="Times New Roman" w:hAnsi="Times New Roman"/>
          <w:b/>
          <w:bCs/>
          <w:sz w:val="28"/>
          <w:lang w:val="es-ES_tradnl"/>
        </w:rPr>
        <w:t>eguminosas</w:t>
      </w:r>
    </w:p>
    <w:p w14:paraId="65926302" w14:textId="77777777" w:rsidR="00C53A1F" w:rsidRPr="006569D0" w:rsidRDefault="00C53A1F" w:rsidP="001C6B1A">
      <w:pPr>
        <w:pStyle w:val="Prrafodelista"/>
        <w:numPr>
          <w:ilvl w:val="0"/>
          <w:numId w:val="18"/>
        </w:numPr>
        <w:spacing w:after="0" w:line="480" w:lineRule="auto"/>
        <w:jc w:val="both"/>
        <w:rPr>
          <w:rFonts w:ascii="Times New Roman" w:hAnsi="Times New Roman"/>
          <w:bCs/>
          <w:sz w:val="24"/>
          <w:szCs w:val="24"/>
          <w:lang w:val="es-ES_tradnl"/>
        </w:rPr>
      </w:pPr>
      <w:r w:rsidRPr="006569D0">
        <w:rPr>
          <w:rFonts w:ascii="Times New Roman" w:hAnsi="Times New Roman"/>
          <w:bCs/>
          <w:sz w:val="24"/>
          <w:szCs w:val="24"/>
          <w:lang w:val="es-ES_tradnl"/>
        </w:rPr>
        <w:t xml:space="preserve">Frijol negro con un crecimiento de 15.50%, pasando de 381,361 quintales en 2018 a 440,457 quintales en el 2019. </w:t>
      </w:r>
    </w:p>
    <w:p w14:paraId="3BED4354" w14:textId="77777777" w:rsidR="00C53A1F" w:rsidRPr="006569D0" w:rsidRDefault="00C53A1F" w:rsidP="001C6B1A">
      <w:pPr>
        <w:pStyle w:val="Prrafodelista"/>
        <w:numPr>
          <w:ilvl w:val="0"/>
          <w:numId w:val="18"/>
        </w:numPr>
        <w:spacing w:after="0" w:line="480" w:lineRule="auto"/>
        <w:jc w:val="both"/>
        <w:rPr>
          <w:rFonts w:ascii="Times New Roman" w:hAnsi="Times New Roman"/>
          <w:bCs/>
          <w:sz w:val="24"/>
          <w:szCs w:val="24"/>
          <w:lang w:val="es-ES_tradnl"/>
        </w:rPr>
      </w:pPr>
      <w:r w:rsidRPr="006569D0">
        <w:rPr>
          <w:rFonts w:ascii="Times New Roman" w:hAnsi="Times New Roman"/>
          <w:bCs/>
          <w:sz w:val="24"/>
          <w:szCs w:val="24"/>
          <w:lang w:val="es-ES_tradnl"/>
        </w:rPr>
        <w:t>Frijol Blanco con un crecimiento de 13.63%, pasando de 14,396 quintales en el 2018 a 16,358 quintales en el 2019.</w:t>
      </w:r>
    </w:p>
    <w:p w14:paraId="183CD42C" w14:textId="77777777" w:rsidR="00C53A1F" w:rsidRPr="006569D0" w:rsidRDefault="00C53A1F" w:rsidP="001C6B1A">
      <w:pPr>
        <w:pStyle w:val="Prrafodelista"/>
        <w:numPr>
          <w:ilvl w:val="0"/>
          <w:numId w:val="18"/>
        </w:numPr>
        <w:spacing w:after="0" w:line="480" w:lineRule="auto"/>
        <w:jc w:val="both"/>
        <w:rPr>
          <w:rFonts w:ascii="Times New Roman" w:hAnsi="Times New Roman"/>
          <w:bCs/>
          <w:sz w:val="24"/>
          <w:szCs w:val="24"/>
          <w:lang w:val="es-ES_tradnl"/>
        </w:rPr>
      </w:pPr>
      <w:r w:rsidRPr="006569D0">
        <w:rPr>
          <w:rFonts w:ascii="Times New Roman" w:hAnsi="Times New Roman"/>
          <w:bCs/>
          <w:sz w:val="24"/>
          <w:szCs w:val="24"/>
          <w:lang w:val="es-ES_tradnl"/>
        </w:rPr>
        <w:t xml:space="preserve">Frijol Rojo con un crecimiento de 5.89%, pasando de 442,933 quintales en el 2018 a 469,036 quintales en el 2019. </w:t>
      </w:r>
    </w:p>
    <w:p w14:paraId="5270312E" w14:textId="77777777" w:rsidR="009338DC" w:rsidRPr="00774B59" w:rsidRDefault="009338DC" w:rsidP="0005107A">
      <w:pPr>
        <w:spacing w:after="0" w:line="360" w:lineRule="auto"/>
        <w:rPr>
          <w:rFonts w:ascii="Times New Roman" w:hAnsi="Times New Roman"/>
          <w:bCs/>
          <w:color w:val="FF0000"/>
          <w:lang w:val="es-ES_tradnl" w:eastAsia="en-US"/>
        </w:rPr>
      </w:pPr>
    </w:p>
    <w:p w14:paraId="351B8362" w14:textId="77777777" w:rsidR="00DF6635" w:rsidRPr="006569D0" w:rsidRDefault="00DF6635" w:rsidP="009338DC">
      <w:pPr>
        <w:pStyle w:val="Prrafodelista"/>
        <w:spacing w:after="0" w:line="480" w:lineRule="auto"/>
        <w:ind w:left="426"/>
        <w:jc w:val="both"/>
        <w:rPr>
          <w:rFonts w:ascii="Times New Roman" w:hAnsi="Times New Roman"/>
          <w:b/>
          <w:bCs/>
          <w:sz w:val="28"/>
          <w:lang w:val="es-ES_tradnl"/>
        </w:rPr>
      </w:pPr>
      <w:r w:rsidRPr="006569D0">
        <w:rPr>
          <w:rFonts w:ascii="Times New Roman" w:hAnsi="Times New Roman"/>
          <w:b/>
          <w:bCs/>
          <w:sz w:val="28"/>
          <w:lang w:val="es-ES_tradnl"/>
        </w:rPr>
        <w:t>Cereale</w:t>
      </w:r>
      <w:r w:rsidR="00CD09BE" w:rsidRPr="006569D0">
        <w:rPr>
          <w:rFonts w:ascii="Times New Roman" w:hAnsi="Times New Roman"/>
          <w:b/>
          <w:bCs/>
          <w:sz w:val="28"/>
          <w:lang w:val="es-ES_tradnl"/>
        </w:rPr>
        <w:t>s</w:t>
      </w:r>
    </w:p>
    <w:p w14:paraId="2CF6EE07" w14:textId="18670464" w:rsidR="002E0A1C" w:rsidRPr="006569D0" w:rsidRDefault="00E1193C" w:rsidP="001C6B1A">
      <w:pPr>
        <w:pStyle w:val="Prrafodelista"/>
        <w:numPr>
          <w:ilvl w:val="0"/>
          <w:numId w:val="18"/>
        </w:numPr>
        <w:spacing w:after="0" w:line="480" w:lineRule="auto"/>
        <w:jc w:val="both"/>
        <w:rPr>
          <w:rFonts w:ascii="Times New Roman" w:hAnsi="Times New Roman"/>
          <w:bCs/>
          <w:lang w:val="es-ES_tradnl"/>
        </w:rPr>
      </w:pPr>
      <w:r w:rsidRPr="006569D0">
        <w:rPr>
          <w:rFonts w:ascii="Times New Roman" w:hAnsi="Times New Roman"/>
          <w:bCs/>
          <w:sz w:val="24"/>
          <w:szCs w:val="24"/>
          <w:lang w:val="es-ES_tradnl"/>
        </w:rPr>
        <w:t xml:space="preserve">Maíz con un crecimiento de 10.98%, pasando de 985,029 quintales en 2018 a </w:t>
      </w:r>
      <w:r w:rsidR="00465C26" w:rsidRPr="006569D0">
        <w:rPr>
          <w:rFonts w:ascii="Times New Roman" w:hAnsi="Times New Roman"/>
          <w:bCs/>
          <w:sz w:val="24"/>
          <w:szCs w:val="24"/>
          <w:lang w:val="es-ES_tradnl"/>
        </w:rPr>
        <w:t>1,093,222 quintales</w:t>
      </w:r>
      <w:r w:rsidRPr="006569D0">
        <w:rPr>
          <w:rFonts w:ascii="Times New Roman" w:hAnsi="Times New Roman"/>
          <w:bCs/>
          <w:sz w:val="24"/>
          <w:szCs w:val="24"/>
          <w:lang w:val="es-ES_tradnl"/>
        </w:rPr>
        <w:t xml:space="preserve"> en el 2019.</w:t>
      </w:r>
    </w:p>
    <w:p w14:paraId="1E75F741" w14:textId="18164C5A" w:rsidR="007A7DE5" w:rsidRPr="00781B92" w:rsidRDefault="00E1193C" w:rsidP="001C6B1A">
      <w:pPr>
        <w:pStyle w:val="Prrafodelista"/>
        <w:numPr>
          <w:ilvl w:val="0"/>
          <w:numId w:val="18"/>
        </w:numPr>
        <w:spacing w:after="0" w:line="480" w:lineRule="auto"/>
        <w:jc w:val="both"/>
        <w:rPr>
          <w:rFonts w:ascii="Times New Roman" w:hAnsi="Times New Roman"/>
          <w:bCs/>
          <w:lang w:val="es-ES_tradnl"/>
        </w:rPr>
      </w:pPr>
      <w:r w:rsidRPr="006569D0">
        <w:rPr>
          <w:rFonts w:ascii="Times New Roman" w:hAnsi="Times New Roman"/>
          <w:bCs/>
          <w:sz w:val="24"/>
          <w:szCs w:val="24"/>
          <w:lang w:val="es-ES_tradnl"/>
        </w:rPr>
        <w:t>Arroz con un crecimiento de 1.51%, pasando de 13,831,938 quintales en 2018 a 14,040,941 quintales en el 2019.</w:t>
      </w:r>
    </w:p>
    <w:p w14:paraId="491DDB60" w14:textId="77777777" w:rsidR="00781B92" w:rsidRPr="006569D0" w:rsidRDefault="00781B92" w:rsidP="00781B92">
      <w:pPr>
        <w:pStyle w:val="Prrafodelista"/>
        <w:spacing w:after="0" w:line="480" w:lineRule="auto"/>
        <w:ind w:left="1440"/>
        <w:jc w:val="both"/>
        <w:rPr>
          <w:rFonts w:ascii="Times New Roman" w:hAnsi="Times New Roman"/>
          <w:bCs/>
          <w:lang w:val="es-ES_tradnl"/>
        </w:rPr>
      </w:pPr>
    </w:p>
    <w:p w14:paraId="2E9B4498" w14:textId="77777777" w:rsidR="00DF6635" w:rsidRPr="006569D0" w:rsidRDefault="00CD09BE" w:rsidP="009338DC">
      <w:pPr>
        <w:pStyle w:val="Prrafodelista"/>
        <w:spacing w:after="0" w:line="480" w:lineRule="auto"/>
        <w:ind w:left="426"/>
        <w:jc w:val="both"/>
        <w:rPr>
          <w:rFonts w:ascii="Times New Roman" w:hAnsi="Times New Roman"/>
          <w:b/>
          <w:bCs/>
          <w:sz w:val="28"/>
          <w:lang w:val="es-ES_tradnl"/>
        </w:rPr>
      </w:pPr>
      <w:r w:rsidRPr="006569D0">
        <w:rPr>
          <w:rFonts w:ascii="Times New Roman" w:hAnsi="Times New Roman"/>
          <w:b/>
          <w:bCs/>
          <w:sz w:val="28"/>
          <w:lang w:val="es-ES_tradnl"/>
        </w:rPr>
        <w:t>Raíces y tubérculos</w:t>
      </w:r>
    </w:p>
    <w:p w14:paraId="0F75C12A" w14:textId="77777777" w:rsidR="002E0A1C" w:rsidRPr="00EE7FBB" w:rsidRDefault="002E0A1C" w:rsidP="001C6B1A">
      <w:pPr>
        <w:pStyle w:val="Prrafodelista"/>
        <w:numPr>
          <w:ilvl w:val="0"/>
          <w:numId w:val="18"/>
        </w:numPr>
        <w:spacing w:after="0" w:line="480" w:lineRule="auto"/>
        <w:jc w:val="both"/>
        <w:rPr>
          <w:rFonts w:ascii="Times New Roman" w:hAnsi="Times New Roman"/>
          <w:bCs/>
          <w:sz w:val="24"/>
          <w:szCs w:val="24"/>
          <w:lang w:val="es-ES_tradnl"/>
        </w:rPr>
      </w:pPr>
      <w:r w:rsidRPr="00EE7FBB">
        <w:rPr>
          <w:rFonts w:ascii="Times New Roman" w:hAnsi="Times New Roman"/>
          <w:bCs/>
          <w:sz w:val="24"/>
          <w:szCs w:val="24"/>
          <w:lang w:val="es-ES_tradnl"/>
        </w:rPr>
        <w:t xml:space="preserve">Yuca con un crecimiento de 7.84%, pasando de 3,539,574 quintales en 2018 a 3,817,184 quintales durante el 2019. </w:t>
      </w:r>
    </w:p>
    <w:p w14:paraId="33802ADF" w14:textId="2FA9619C" w:rsidR="002E0A1C" w:rsidRPr="00EE7FBB" w:rsidRDefault="002E0A1C" w:rsidP="001C6B1A">
      <w:pPr>
        <w:pStyle w:val="Prrafodelista"/>
        <w:numPr>
          <w:ilvl w:val="0"/>
          <w:numId w:val="18"/>
        </w:numPr>
        <w:spacing w:after="0" w:line="480" w:lineRule="auto"/>
        <w:jc w:val="both"/>
        <w:rPr>
          <w:rFonts w:ascii="Times New Roman" w:hAnsi="Times New Roman"/>
          <w:bCs/>
          <w:sz w:val="24"/>
          <w:szCs w:val="24"/>
          <w:lang w:val="es-ES_tradnl"/>
        </w:rPr>
      </w:pPr>
      <w:r w:rsidRPr="00EE7FBB">
        <w:rPr>
          <w:rFonts w:ascii="Times New Roman" w:hAnsi="Times New Roman"/>
          <w:bCs/>
          <w:sz w:val="24"/>
          <w:szCs w:val="24"/>
          <w:lang w:val="es-ES_tradnl"/>
        </w:rPr>
        <w:t xml:space="preserve">Papa con un incremento de 5.79%, al pasar de 1,952,319 </w:t>
      </w:r>
      <w:r w:rsidR="00465C26" w:rsidRPr="00EE7FBB">
        <w:rPr>
          <w:rFonts w:ascii="Times New Roman" w:hAnsi="Times New Roman"/>
          <w:bCs/>
          <w:sz w:val="24"/>
          <w:szCs w:val="24"/>
          <w:lang w:val="es-ES_tradnl"/>
        </w:rPr>
        <w:t xml:space="preserve">quintales </w:t>
      </w:r>
      <w:r w:rsidRPr="00EE7FBB">
        <w:rPr>
          <w:rFonts w:ascii="Times New Roman" w:hAnsi="Times New Roman"/>
          <w:bCs/>
          <w:sz w:val="24"/>
          <w:szCs w:val="24"/>
          <w:lang w:val="es-ES_tradnl"/>
        </w:rPr>
        <w:t>en 2018 a 2,065,353</w:t>
      </w:r>
      <w:r w:rsidR="00281212" w:rsidRPr="00EE7FBB">
        <w:rPr>
          <w:rFonts w:ascii="Times New Roman" w:hAnsi="Times New Roman"/>
          <w:bCs/>
          <w:sz w:val="24"/>
          <w:szCs w:val="24"/>
          <w:lang w:val="es-ES_tradnl"/>
        </w:rPr>
        <w:t xml:space="preserve"> quintales</w:t>
      </w:r>
      <w:r w:rsidRPr="00EE7FBB">
        <w:rPr>
          <w:rFonts w:ascii="Times New Roman" w:hAnsi="Times New Roman"/>
          <w:bCs/>
          <w:sz w:val="24"/>
          <w:szCs w:val="24"/>
          <w:lang w:val="es-ES_tradnl"/>
        </w:rPr>
        <w:t xml:space="preserve"> en 2019.</w:t>
      </w:r>
    </w:p>
    <w:p w14:paraId="4993A823" w14:textId="3591A666" w:rsidR="0056056D" w:rsidRPr="00781B92" w:rsidRDefault="002E0A1C" w:rsidP="001C6B1A">
      <w:pPr>
        <w:pStyle w:val="Prrafodelista"/>
        <w:numPr>
          <w:ilvl w:val="0"/>
          <w:numId w:val="18"/>
        </w:numPr>
        <w:spacing w:after="0" w:line="480" w:lineRule="auto"/>
        <w:jc w:val="both"/>
        <w:rPr>
          <w:rFonts w:ascii="Times New Roman" w:hAnsi="Times New Roman"/>
          <w:bCs/>
          <w:color w:val="4F81BD" w:themeColor="accent1"/>
          <w:lang w:val="es-ES_tradnl"/>
        </w:rPr>
      </w:pPr>
      <w:r w:rsidRPr="00EE7FBB">
        <w:rPr>
          <w:rFonts w:ascii="Times New Roman" w:hAnsi="Times New Roman"/>
          <w:bCs/>
          <w:sz w:val="24"/>
          <w:szCs w:val="24"/>
          <w:lang w:val="es-ES_tradnl"/>
        </w:rPr>
        <w:lastRenderedPageBreak/>
        <w:t xml:space="preserve">Ñame con un crecimiento de 2.89%, </w:t>
      </w:r>
      <w:r w:rsidR="00003579" w:rsidRPr="00EE7FBB">
        <w:rPr>
          <w:rFonts w:ascii="Times New Roman" w:hAnsi="Times New Roman"/>
          <w:bCs/>
          <w:sz w:val="24"/>
          <w:szCs w:val="24"/>
          <w:lang w:val="es-ES_tradnl"/>
        </w:rPr>
        <w:t>pasando de 692,652</w:t>
      </w:r>
      <w:r w:rsidR="00281212" w:rsidRPr="00EE7FBB">
        <w:rPr>
          <w:rFonts w:ascii="Times New Roman" w:hAnsi="Times New Roman"/>
          <w:bCs/>
          <w:sz w:val="24"/>
          <w:szCs w:val="24"/>
          <w:lang w:val="es-ES_tradnl"/>
        </w:rPr>
        <w:t xml:space="preserve"> quintales</w:t>
      </w:r>
      <w:r w:rsidR="00003579" w:rsidRPr="00EE7FBB">
        <w:rPr>
          <w:rFonts w:ascii="Times New Roman" w:hAnsi="Times New Roman"/>
          <w:bCs/>
          <w:sz w:val="24"/>
          <w:szCs w:val="24"/>
          <w:lang w:val="es-ES_tradnl"/>
        </w:rPr>
        <w:t xml:space="preserve"> en 2018 a 712,696</w:t>
      </w:r>
      <w:r w:rsidR="00281212" w:rsidRPr="00EE7FBB">
        <w:rPr>
          <w:rFonts w:ascii="Times New Roman" w:hAnsi="Times New Roman"/>
          <w:bCs/>
          <w:sz w:val="24"/>
          <w:szCs w:val="24"/>
          <w:lang w:val="es-ES_tradnl"/>
        </w:rPr>
        <w:t xml:space="preserve"> quintales</w:t>
      </w:r>
      <w:r w:rsidR="00003579" w:rsidRPr="00EE7FBB">
        <w:rPr>
          <w:rFonts w:ascii="Times New Roman" w:hAnsi="Times New Roman"/>
          <w:bCs/>
          <w:sz w:val="24"/>
          <w:szCs w:val="24"/>
          <w:lang w:val="es-ES_tradnl"/>
        </w:rPr>
        <w:t xml:space="preserve"> en 2019.</w:t>
      </w:r>
    </w:p>
    <w:p w14:paraId="210512A3" w14:textId="77777777" w:rsidR="00781B92" w:rsidRPr="00EE7FBB" w:rsidRDefault="00781B92" w:rsidP="00781B92">
      <w:pPr>
        <w:pStyle w:val="Prrafodelista"/>
        <w:spacing w:after="0" w:line="480" w:lineRule="auto"/>
        <w:ind w:left="1440"/>
        <w:jc w:val="both"/>
        <w:rPr>
          <w:rFonts w:ascii="Times New Roman" w:hAnsi="Times New Roman"/>
          <w:bCs/>
          <w:color w:val="4F81BD" w:themeColor="accent1"/>
          <w:lang w:val="es-ES_tradnl"/>
        </w:rPr>
      </w:pPr>
    </w:p>
    <w:p w14:paraId="40A620B4" w14:textId="77777777" w:rsidR="0056056D" w:rsidRPr="00EE7FBB" w:rsidRDefault="0056056D" w:rsidP="009338DC">
      <w:pPr>
        <w:pStyle w:val="Prrafodelista"/>
        <w:spacing w:after="0" w:line="480" w:lineRule="auto"/>
        <w:ind w:left="426"/>
        <w:jc w:val="both"/>
        <w:rPr>
          <w:rFonts w:ascii="Times New Roman" w:hAnsi="Times New Roman"/>
          <w:b/>
          <w:bCs/>
          <w:sz w:val="28"/>
          <w:szCs w:val="28"/>
          <w:lang w:val="es-ES_tradnl"/>
        </w:rPr>
      </w:pPr>
      <w:r w:rsidRPr="00EE7FBB">
        <w:rPr>
          <w:rFonts w:ascii="Times New Roman" w:hAnsi="Times New Roman"/>
          <w:b/>
          <w:bCs/>
          <w:sz w:val="28"/>
          <w:szCs w:val="28"/>
          <w:lang w:val="es-ES_tradnl"/>
        </w:rPr>
        <w:t>Frutales</w:t>
      </w:r>
    </w:p>
    <w:p w14:paraId="27F238BA" w14:textId="172FB15E" w:rsidR="002E0A1C" w:rsidRPr="00EE7FBB" w:rsidRDefault="002E0A1C" w:rsidP="001C6B1A">
      <w:pPr>
        <w:pStyle w:val="Prrafodelista"/>
        <w:numPr>
          <w:ilvl w:val="0"/>
          <w:numId w:val="18"/>
        </w:numPr>
        <w:spacing w:after="0" w:line="480" w:lineRule="auto"/>
        <w:jc w:val="both"/>
        <w:rPr>
          <w:rFonts w:ascii="Times New Roman" w:hAnsi="Times New Roman"/>
          <w:bCs/>
          <w:sz w:val="24"/>
          <w:szCs w:val="24"/>
          <w:lang w:val="es-ES_tradnl"/>
        </w:rPr>
      </w:pPr>
      <w:r w:rsidRPr="00EE7FBB">
        <w:rPr>
          <w:rFonts w:ascii="Times New Roman" w:hAnsi="Times New Roman"/>
          <w:bCs/>
          <w:sz w:val="24"/>
          <w:szCs w:val="24"/>
          <w:lang w:val="es-ES_tradnl"/>
        </w:rPr>
        <w:t>Pitahaya con un crecimiento de 50.39%, pasando de 1,419 quintales en 201</w:t>
      </w:r>
      <w:r w:rsidR="00781B92">
        <w:rPr>
          <w:rFonts w:ascii="Times New Roman" w:hAnsi="Times New Roman"/>
          <w:bCs/>
          <w:sz w:val="24"/>
          <w:szCs w:val="24"/>
          <w:lang w:val="es-ES_tradnl"/>
        </w:rPr>
        <w:t>8</w:t>
      </w:r>
      <w:r w:rsidRPr="00EE7FBB">
        <w:rPr>
          <w:rFonts w:ascii="Times New Roman" w:hAnsi="Times New Roman"/>
          <w:bCs/>
          <w:sz w:val="24"/>
          <w:szCs w:val="24"/>
          <w:lang w:val="es-ES_tradnl"/>
        </w:rPr>
        <w:t xml:space="preserve"> a 2,134 quintales durante el 2019. </w:t>
      </w:r>
    </w:p>
    <w:p w14:paraId="1276FBD5" w14:textId="77777777" w:rsidR="002E0A1C" w:rsidRPr="00EE7FBB" w:rsidRDefault="002E0A1C" w:rsidP="001C6B1A">
      <w:pPr>
        <w:pStyle w:val="Prrafodelista"/>
        <w:numPr>
          <w:ilvl w:val="0"/>
          <w:numId w:val="18"/>
        </w:numPr>
        <w:spacing w:after="0" w:line="480" w:lineRule="auto"/>
        <w:jc w:val="both"/>
        <w:rPr>
          <w:rFonts w:ascii="Times New Roman" w:hAnsi="Times New Roman"/>
          <w:bCs/>
          <w:sz w:val="24"/>
          <w:szCs w:val="24"/>
          <w:lang w:val="es-ES_tradnl"/>
        </w:rPr>
      </w:pPr>
      <w:r w:rsidRPr="00EE7FBB">
        <w:rPr>
          <w:rFonts w:ascii="Times New Roman" w:hAnsi="Times New Roman"/>
          <w:bCs/>
          <w:sz w:val="24"/>
          <w:szCs w:val="24"/>
          <w:lang w:val="es-ES_tradnl"/>
        </w:rPr>
        <w:t xml:space="preserve">Cereza con un crecimiento de 27.84%, pasando de 100,908 quintales en 2018 a 129,003 quintales en 2019. </w:t>
      </w:r>
    </w:p>
    <w:p w14:paraId="79A7E00F" w14:textId="77777777" w:rsidR="002E0A1C" w:rsidRPr="00EE7FBB" w:rsidRDefault="002E0A1C" w:rsidP="001C6B1A">
      <w:pPr>
        <w:pStyle w:val="Prrafodelista"/>
        <w:numPr>
          <w:ilvl w:val="0"/>
          <w:numId w:val="18"/>
        </w:numPr>
        <w:spacing w:after="0" w:line="480" w:lineRule="auto"/>
        <w:jc w:val="both"/>
        <w:rPr>
          <w:rFonts w:ascii="Times New Roman" w:hAnsi="Times New Roman"/>
          <w:bCs/>
          <w:sz w:val="24"/>
          <w:szCs w:val="24"/>
          <w:lang w:val="es-ES_tradnl"/>
        </w:rPr>
      </w:pPr>
      <w:r w:rsidRPr="00EE7FBB">
        <w:rPr>
          <w:rFonts w:ascii="Times New Roman" w:hAnsi="Times New Roman"/>
          <w:bCs/>
          <w:sz w:val="24"/>
          <w:szCs w:val="24"/>
          <w:lang w:val="es-ES_tradnl"/>
        </w:rPr>
        <w:t xml:space="preserve">Sandia con un crecimiento de 14.25%, pasando de 8,143,350 quintales en 2018 a 9,356,100 quintales en 2019. </w:t>
      </w:r>
    </w:p>
    <w:p w14:paraId="384B9CCE" w14:textId="77777777" w:rsidR="002E0A1C" w:rsidRPr="00EE7FBB" w:rsidRDefault="002E0A1C" w:rsidP="001C6B1A">
      <w:pPr>
        <w:pStyle w:val="Prrafodelista"/>
        <w:numPr>
          <w:ilvl w:val="0"/>
          <w:numId w:val="18"/>
        </w:numPr>
        <w:spacing w:after="0" w:line="480" w:lineRule="auto"/>
        <w:jc w:val="both"/>
        <w:rPr>
          <w:rFonts w:ascii="Times New Roman" w:hAnsi="Times New Roman"/>
          <w:bCs/>
          <w:sz w:val="24"/>
          <w:szCs w:val="24"/>
          <w:lang w:val="es-ES_tradnl"/>
        </w:rPr>
      </w:pPr>
      <w:r w:rsidRPr="00EE7FBB">
        <w:rPr>
          <w:rFonts w:ascii="Times New Roman" w:hAnsi="Times New Roman"/>
          <w:bCs/>
          <w:sz w:val="24"/>
          <w:szCs w:val="24"/>
          <w:lang w:val="es-ES_tradnl"/>
        </w:rPr>
        <w:t xml:space="preserve">Parvol con un crecimiento de 13.60%, pasando de 41,719 quintales en 2018 a 47,394 quintales en 2019. </w:t>
      </w:r>
    </w:p>
    <w:p w14:paraId="7E6F166B" w14:textId="77777777" w:rsidR="0056056D" w:rsidRPr="009101F9" w:rsidRDefault="0056056D" w:rsidP="00B15D59">
      <w:pPr>
        <w:spacing w:after="0" w:line="480" w:lineRule="auto"/>
        <w:ind w:firstLine="720"/>
        <w:jc w:val="both"/>
        <w:rPr>
          <w:rFonts w:ascii="Times New Roman" w:hAnsi="Times New Roman"/>
          <w:bCs/>
          <w:lang w:val="es-ES_tradnl" w:eastAsia="en-US"/>
        </w:rPr>
      </w:pPr>
    </w:p>
    <w:p w14:paraId="06BC04FB" w14:textId="77777777" w:rsidR="00DF6635" w:rsidRPr="009101F9" w:rsidRDefault="00CD09BE" w:rsidP="009338DC">
      <w:pPr>
        <w:pStyle w:val="Prrafodelista"/>
        <w:spacing w:after="0" w:line="480" w:lineRule="auto"/>
        <w:ind w:left="426"/>
        <w:jc w:val="both"/>
        <w:rPr>
          <w:rFonts w:ascii="Times New Roman" w:hAnsi="Times New Roman"/>
          <w:b/>
          <w:bCs/>
          <w:sz w:val="28"/>
          <w:lang w:val="es-ES_tradnl"/>
        </w:rPr>
      </w:pPr>
      <w:r w:rsidRPr="009101F9">
        <w:rPr>
          <w:rFonts w:ascii="Times New Roman" w:hAnsi="Times New Roman"/>
          <w:b/>
          <w:bCs/>
          <w:sz w:val="28"/>
          <w:lang w:val="es-ES_tradnl"/>
        </w:rPr>
        <w:t>Hortalizas y vegetales</w:t>
      </w:r>
      <w:r w:rsidR="00945A97" w:rsidRPr="009101F9">
        <w:rPr>
          <w:rFonts w:ascii="Times New Roman" w:hAnsi="Times New Roman"/>
          <w:b/>
          <w:bCs/>
          <w:sz w:val="28"/>
          <w:lang w:val="es-ES_tradnl"/>
        </w:rPr>
        <w:t xml:space="preserve"> </w:t>
      </w:r>
    </w:p>
    <w:p w14:paraId="37ACC40E" w14:textId="2D250156" w:rsidR="002E0A1C" w:rsidRPr="00355AE1" w:rsidRDefault="002E0A1C" w:rsidP="001C6B1A">
      <w:pPr>
        <w:pStyle w:val="Prrafodelista"/>
        <w:numPr>
          <w:ilvl w:val="0"/>
          <w:numId w:val="18"/>
        </w:numPr>
        <w:spacing w:after="0" w:line="480" w:lineRule="auto"/>
        <w:jc w:val="both"/>
        <w:rPr>
          <w:rFonts w:ascii="Times New Roman" w:hAnsi="Times New Roman"/>
          <w:bCs/>
          <w:sz w:val="24"/>
          <w:szCs w:val="24"/>
          <w:lang w:val="es-ES_tradnl"/>
        </w:rPr>
      </w:pPr>
      <w:r w:rsidRPr="00355AE1">
        <w:rPr>
          <w:rFonts w:ascii="Times New Roman" w:hAnsi="Times New Roman"/>
          <w:bCs/>
          <w:sz w:val="24"/>
          <w:szCs w:val="24"/>
          <w:lang w:val="es-ES_tradnl"/>
        </w:rPr>
        <w:t xml:space="preserve">Bangaña con un crecimiento de 31.82%, pasando de 154,622 quintales en 2018 a 203,826 quintales en 2019. </w:t>
      </w:r>
    </w:p>
    <w:p w14:paraId="79EA0EF2" w14:textId="77777777" w:rsidR="002E0A1C" w:rsidRPr="00355AE1" w:rsidRDefault="002E0A1C" w:rsidP="001C6B1A">
      <w:pPr>
        <w:pStyle w:val="Prrafodelista"/>
        <w:numPr>
          <w:ilvl w:val="0"/>
          <w:numId w:val="18"/>
        </w:numPr>
        <w:spacing w:after="0" w:line="480" w:lineRule="auto"/>
        <w:jc w:val="both"/>
        <w:rPr>
          <w:rFonts w:ascii="Times New Roman" w:hAnsi="Times New Roman"/>
          <w:bCs/>
          <w:sz w:val="24"/>
          <w:szCs w:val="24"/>
          <w:lang w:val="es-ES_tradnl"/>
        </w:rPr>
      </w:pPr>
      <w:r w:rsidRPr="00355AE1">
        <w:rPr>
          <w:rFonts w:ascii="Times New Roman" w:hAnsi="Times New Roman"/>
          <w:bCs/>
          <w:sz w:val="24"/>
          <w:szCs w:val="24"/>
          <w:lang w:val="es-ES_tradnl"/>
        </w:rPr>
        <w:t>Ajo con un crecimiento 28.60%, pasando de 33,453 quintales en 2018 a 43,020 quintales en 2019.</w:t>
      </w:r>
    </w:p>
    <w:p w14:paraId="234C4D28" w14:textId="77777777" w:rsidR="002E0A1C" w:rsidRPr="00355AE1" w:rsidRDefault="002E0A1C" w:rsidP="001C6B1A">
      <w:pPr>
        <w:pStyle w:val="Prrafodelista"/>
        <w:numPr>
          <w:ilvl w:val="0"/>
          <w:numId w:val="18"/>
        </w:numPr>
        <w:spacing w:after="0" w:line="480" w:lineRule="auto"/>
        <w:jc w:val="both"/>
        <w:rPr>
          <w:rFonts w:ascii="Times New Roman" w:hAnsi="Times New Roman"/>
          <w:bCs/>
          <w:sz w:val="24"/>
          <w:szCs w:val="24"/>
          <w:lang w:val="es-ES_tradnl"/>
        </w:rPr>
      </w:pPr>
      <w:r w:rsidRPr="00355AE1">
        <w:rPr>
          <w:rFonts w:ascii="Times New Roman" w:hAnsi="Times New Roman"/>
          <w:bCs/>
          <w:sz w:val="24"/>
          <w:szCs w:val="24"/>
          <w:lang w:val="es-ES_tradnl"/>
        </w:rPr>
        <w:t xml:space="preserve">Cebolla con un crecimiento de 16.08%, pasando de 1,302,965 quintales en 2018 a 1,512,468 quintales en 2019. </w:t>
      </w:r>
    </w:p>
    <w:p w14:paraId="4138B918" w14:textId="77777777" w:rsidR="002E0A1C" w:rsidRPr="00355AE1" w:rsidRDefault="002E0A1C" w:rsidP="001C6B1A">
      <w:pPr>
        <w:pStyle w:val="Prrafodelista"/>
        <w:numPr>
          <w:ilvl w:val="0"/>
          <w:numId w:val="18"/>
        </w:numPr>
        <w:spacing w:after="0" w:line="480" w:lineRule="auto"/>
        <w:jc w:val="both"/>
        <w:rPr>
          <w:rFonts w:ascii="Times New Roman" w:hAnsi="Times New Roman"/>
          <w:bCs/>
          <w:sz w:val="24"/>
          <w:szCs w:val="24"/>
          <w:lang w:val="es-ES_tradnl"/>
        </w:rPr>
      </w:pPr>
      <w:r w:rsidRPr="00355AE1">
        <w:rPr>
          <w:rFonts w:ascii="Times New Roman" w:hAnsi="Times New Roman"/>
          <w:bCs/>
          <w:sz w:val="24"/>
          <w:szCs w:val="24"/>
          <w:lang w:val="es-ES_tradnl"/>
        </w:rPr>
        <w:t xml:space="preserve">Rábano con un crecimiento de 13.64, pasando de 32,414 quintales en 2018 a 36,834 quintales en 2019. </w:t>
      </w:r>
    </w:p>
    <w:p w14:paraId="3821A516" w14:textId="77777777" w:rsidR="002E0A1C" w:rsidRPr="00355AE1" w:rsidRDefault="002E0A1C" w:rsidP="001C6B1A">
      <w:pPr>
        <w:pStyle w:val="Prrafodelista"/>
        <w:numPr>
          <w:ilvl w:val="0"/>
          <w:numId w:val="18"/>
        </w:numPr>
        <w:spacing w:after="0" w:line="480" w:lineRule="auto"/>
        <w:jc w:val="both"/>
        <w:rPr>
          <w:rFonts w:ascii="Times New Roman" w:hAnsi="Times New Roman"/>
          <w:bCs/>
          <w:sz w:val="24"/>
          <w:szCs w:val="24"/>
          <w:lang w:val="es-ES_tradnl"/>
        </w:rPr>
      </w:pPr>
      <w:r w:rsidRPr="00355AE1">
        <w:rPr>
          <w:rFonts w:ascii="Times New Roman" w:hAnsi="Times New Roman"/>
          <w:bCs/>
          <w:sz w:val="24"/>
          <w:szCs w:val="24"/>
          <w:lang w:val="es-ES_tradnl"/>
        </w:rPr>
        <w:lastRenderedPageBreak/>
        <w:t>Tindora con un crecimiento de 10.57%, pasando de 408,034 quintales en 2018 a 451,162 quintales en 2019.</w:t>
      </w:r>
    </w:p>
    <w:p w14:paraId="54AB2402" w14:textId="7DC70EE3" w:rsidR="00CD5FCB" w:rsidRPr="00781B92" w:rsidRDefault="002E0A1C" w:rsidP="001C6B1A">
      <w:pPr>
        <w:pStyle w:val="Prrafodelista"/>
        <w:numPr>
          <w:ilvl w:val="0"/>
          <w:numId w:val="18"/>
        </w:numPr>
        <w:spacing w:after="0" w:line="480" w:lineRule="auto"/>
        <w:jc w:val="both"/>
        <w:rPr>
          <w:rFonts w:ascii="Times New Roman" w:hAnsi="Times New Roman"/>
          <w:bCs/>
          <w:lang w:val="es-ES_tradnl"/>
        </w:rPr>
      </w:pPr>
      <w:r w:rsidRPr="00355AE1">
        <w:rPr>
          <w:rFonts w:ascii="Times New Roman" w:hAnsi="Times New Roman"/>
          <w:bCs/>
          <w:sz w:val="24"/>
          <w:szCs w:val="24"/>
          <w:lang w:val="es-ES_tradnl"/>
        </w:rPr>
        <w:t>Tomate Industrial con un crecimiento de 8.93%, pasando de 4,620,000 quintales en 2018 a 5,032,733 quintales en 2019.</w:t>
      </w:r>
    </w:p>
    <w:p w14:paraId="1BB42084" w14:textId="77777777" w:rsidR="00781B92" w:rsidRPr="00355AE1" w:rsidRDefault="00781B92" w:rsidP="00781B92">
      <w:pPr>
        <w:pStyle w:val="Prrafodelista"/>
        <w:spacing w:after="0" w:line="480" w:lineRule="auto"/>
        <w:ind w:left="1440"/>
        <w:jc w:val="both"/>
        <w:rPr>
          <w:rFonts w:ascii="Times New Roman" w:hAnsi="Times New Roman"/>
          <w:bCs/>
          <w:lang w:val="es-ES_tradnl"/>
        </w:rPr>
      </w:pPr>
    </w:p>
    <w:p w14:paraId="44914FC5" w14:textId="77777777" w:rsidR="00DF6635" w:rsidRPr="00355AE1" w:rsidRDefault="00CD09BE" w:rsidP="009338DC">
      <w:pPr>
        <w:pStyle w:val="Prrafodelista"/>
        <w:spacing w:after="0" w:line="480" w:lineRule="auto"/>
        <w:ind w:left="426"/>
        <w:jc w:val="both"/>
        <w:rPr>
          <w:rFonts w:ascii="Times New Roman" w:hAnsi="Times New Roman"/>
          <w:b/>
          <w:bCs/>
          <w:sz w:val="28"/>
          <w:szCs w:val="28"/>
          <w:lang w:val="es-ES_tradnl"/>
        </w:rPr>
      </w:pPr>
      <w:r w:rsidRPr="00355AE1">
        <w:rPr>
          <w:rFonts w:ascii="Times New Roman" w:hAnsi="Times New Roman"/>
          <w:b/>
          <w:bCs/>
          <w:sz w:val="28"/>
          <w:szCs w:val="28"/>
          <w:lang w:val="es-ES_tradnl"/>
        </w:rPr>
        <w:t>Musáceas</w:t>
      </w:r>
    </w:p>
    <w:p w14:paraId="58E2C2AC" w14:textId="77777777" w:rsidR="002E0A1C" w:rsidRPr="00355AE1" w:rsidRDefault="002E0A1C" w:rsidP="001C6B1A">
      <w:pPr>
        <w:pStyle w:val="Prrafodelista"/>
        <w:numPr>
          <w:ilvl w:val="0"/>
          <w:numId w:val="18"/>
        </w:numPr>
        <w:spacing w:after="0" w:line="480" w:lineRule="auto"/>
        <w:jc w:val="both"/>
        <w:rPr>
          <w:rFonts w:ascii="Times New Roman" w:hAnsi="Times New Roman"/>
          <w:bCs/>
          <w:sz w:val="24"/>
          <w:szCs w:val="24"/>
          <w:lang w:val="es-ES_tradnl"/>
        </w:rPr>
      </w:pPr>
      <w:r w:rsidRPr="00355AE1">
        <w:rPr>
          <w:rFonts w:ascii="Times New Roman" w:hAnsi="Times New Roman"/>
          <w:bCs/>
          <w:sz w:val="24"/>
          <w:szCs w:val="24"/>
          <w:lang w:val="es-ES_tradnl"/>
        </w:rPr>
        <w:t>Guineo con un crecimiento de 2.83%, pasando de 25,919,701 quintales en 2018 a 26,653,151 quintales en 2019.</w:t>
      </w:r>
    </w:p>
    <w:p w14:paraId="59A451D0" w14:textId="0E532E08" w:rsidR="009812B3" w:rsidRPr="00355AE1" w:rsidRDefault="002E0A1C" w:rsidP="001C6B1A">
      <w:pPr>
        <w:pStyle w:val="Prrafodelista"/>
        <w:numPr>
          <w:ilvl w:val="0"/>
          <w:numId w:val="18"/>
        </w:numPr>
        <w:spacing w:after="0" w:line="480" w:lineRule="auto"/>
        <w:jc w:val="both"/>
        <w:rPr>
          <w:rFonts w:ascii="Times New Roman" w:hAnsi="Times New Roman"/>
          <w:bCs/>
          <w:lang w:val="es-ES_tradnl"/>
        </w:rPr>
      </w:pPr>
      <w:r w:rsidRPr="00355AE1">
        <w:rPr>
          <w:rFonts w:ascii="Times New Roman" w:hAnsi="Times New Roman"/>
          <w:bCs/>
          <w:sz w:val="24"/>
          <w:szCs w:val="24"/>
          <w:lang w:val="es-ES_tradnl"/>
        </w:rPr>
        <w:t>Plátano con un incremento de 1.11%, al pasar de 22,442,346 quintales 2018 a 22,690,802 quintales en 2019.</w:t>
      </w:r>
    </w:p>
    <w:p w14:paraId="2D4E8611" w14:textId="77777777" w:rsidR="002E0A1C" w:rsidRDefault="002E0A1C" w:rsidP="009338DC">
      <w:pPr>
        <w:pStyle w:val="Prrafodelista"/>
        <w:spacing w:after="0" w:line="480" w:lineRule="auto"/>
        <w:ind w:left="426"/>
        <w:jc w:val="both"/>
        <w:rPr>
          <w:rFonts w:ascii="Times New Roman" w:hAnsi="Times New Roman"/>
          <w:b/>
          <w:bCs/>
          <w:sz w:val="28"/>
          <w:szCs w:val="28"/>
          <w:lang w:val="es-ES_tradnl"/>
        </w:rPr>
      </w:pPr>
      <w:bookmarkStart w:id="104" w:name="_Toc470523335"/>
    </w:p>
    <w:p w14:paraId="0FE38B81" w14:textId="77777777" w:rsidR="007A7DE5" w:rsidRPr="009101F9" w:rsidRDefault="00945A97" w:rsidP="009338DC">
      <w:pPr>
        <w:pStyle w:val="Prrafodelista"/>
        <w:spacing w:after="0" w:line="480" w:lineRule="auto"/>
        <w:ind w:left="426"/>
        <w:jc w:val="both"/>
        <w:rPr>
          <w:rFonts w:ascii="Times New Roman" w:hAnsi="Times New Roman"/>
          <w:b/>
          <w:bCs/>
          <w:sz w:val="28"/>
          <w:szCs w:val="28"/>
          <w:lang w:val="es-ES_tradnl"/>
        </w:rPr>
      </w:pPr>
      <w:r w:rsidRPr="009101F9">
        <w:rPr>
          <w:rFonts w:ascii="Times New Roman" w:hAnsi="Times New Roman"/>
          <w:b/>
          <w:bCs/>
          <w:sz w:val="28"/>
          <w:szCs w:val="28"/>
          <w:lang w:val="es-ES_tradnl"/>
        </w:rPr>
        <w:t>Cultivos t</w:t>
      </w:r>
      <w:r w:rsidR="00B178F6" w:rsidRPr="009101F9">
        <w:rPr>
          <w:rFonts w:ascii="Times New Roman" w:hAnsi="Times New Roman"/>
          <w:b/>
          <w:bCs/>
          <w:sz w:val="28"/>
          <w:szCs w:val="28"/>
          <w:lang w:val="es-ES_tradnl"/>
        </w:rPr>
        <w:t>radicionales de e</w:t>
      </w:r>
      <w:r w:rsidR="007A7DE5" w:rsidRPr="009101F9">
        <w:rPr>
          <w:rFonts w:ascii="Times New Roman" w:hAnsi="Times New Roman"/>
          <w:b/>
          <w:bCs/>
          <w:sz w:val="28"/>
          <w:szCs w:val="28"/>
          <w:lang w:val="es-ES_tradnl"/>
        </w:rPr>
        <w:t>xportación</w:t>
      </w:r>
    </w:p>
    <w:p w14:paraId="276B9FC4" w14:textId="77777777" w:rsidR="00D275C9" w:rsidRPr="00D275C9" w:rsidRDefault="00D275C9" w:rsidP="00D275C9">
      <w:pPr>
        <w:pStyle w:val="Prrafodelista"/>
        <w:spacing w:after="0" w:line="480" w:lineRule="auto"/>
        <w:ind w:left="426"/>
        <w:jc w:val="both"/>
        <w:rPr>
          <w:rFonts w:ascii="Times New Roman" w:hAnsi="Times New Roman"/>
          <w:b/>
          <w:bCs/>
          <w:sz w:val="28"/>
          <w:szCs w:val="28"/>
          <w:lang w:val="es-ES_tradnl"/>
        </w:rPr>
      </w:pPr>
      <w:r w:rsidRPr="00D275C9">
        <w:rPr>
          <w:rFonts w:ascii="Times New Roman" w:hAnsi="Times New Roman"/>
          <w:b/>
          <w:bCs/>
          <w:sz w:val="28"/>
          <w:szCs w:val="28"/>
          <w:lang w:val="es-ES_tradnl"/>
        </w:rPr>
        <w:t xml:space="preserve">Cultivo de la </w:t>
      </w:r>
      <w:r w:rsidR="00324FED">
        <w:rPr>
          <w:rFonts w:ascii="Times New Roman" w:hAnsi="Times New Roman"/>
          <w:b/>
          <w:bCs/>
          <w:sz w:val="28"/>
          <w:szCs w:val="28"/>
          <w:lang w:val="es-ES_tradnl"/>
        </w:rPr>
        <w:t>a</w:t>
      </w:r>
      <w:r w:rsidRPr="00D275C9">
        <w:rPr>
          <w:rFonts w:ascii="Times New Roman" w:hAnsi="Times New Roman"/>
          <w:b/>
          <w:bCs/>
          <w:sz w:val="28"/>
          <w:szCs w:val="28"/>
          <w:lang w:val="es-ES_tradnl"/>
        </w:rPr>
        <w:t>zúcar</w:t>
      </w:r>
    </w:p>
    <w:p w14:paraId="7CA39C29" w14:textId="77777777" w:rsidR="00F7234C" w:rsidRPr="00355AE1" w:rsidRDefault="00F7234C" w:rsidP="001C6B1A">
      <w:pPr>
        <w:pStyle w:val="Prrafodelista"/>
        <w:numPr>
          <w:ilvl w:val="0"/>
          <w:numId w:val="18"/>
        </w:numPr>
        <w:spacing w:after="0" w:line="480" w:lineRule="auto"/>
        <w:jc w:val="both"/>
        <w:rPr>
          <w:rFonts w:ascii="Times New Roman" w:hAnsi="Times New Roman"/>
          <w:bCs/>
          <w:sz w:val="24"/>
          <w:szCs w:val="24"/>
          <w:lang w:val="es-ES_tradnl"/>
        </w:rPr>
      </w:pPr>
      <w:r w:rsidRPr="00355AE1">
        <w:rPr>
          <w:rFonts w:ascii="Times New Roman" w:hAnsi="Times New Roman"/>
          <w:bCs/>
          <w:sz w:val="24"/>
          <w:szCs w:val="24"/>
          <w:lang w:val="es-ES_tradnl"/>
        </w:rPr>
        <w:t xml:space="preserve">La producción de azúcar experimentó una disminución de 70,411 toneladas métricas, pasar de 615, 974 toneladas métricas en 2018 a 545,563 toneladas métricas en 2019, equivalente a -11.4%. </w:t>
      </w:r>
    </w:p>
    <w:p w14:paraId="2BAADE49" w14:textId="77777777" w:rsidR="00F7234C" w:rsidRPr="00355AE1" w:rsidRDefault="00F7234C" w:rsidP="00F7234C">
      <w:pPr>
        <w:pStyle w:val="Prrafodelista"/>
        <w:spacing w:after="0" w:line="480" w:lineRule="auto"/>
        <w:ind w:left="1440"/>
        <w:jc w:val="both"/>
        <w:rPr>
          <w:rFonts w:ascii="Times New Roman" w:hAnsi="Times New Roman"/>
          <w:bCs/>
          <w:sz w:val="24"/>
          <w:szCs w:val="24"/>
          <w:lang w:val="es-ES_tradnl"/>
        </w:rPr>
      </w:pPr>
    </w:p>
    <w:p w14:paraId="551E6711" w14:textId="77777777" w:rsidR="00F7234C" w:rsidRPr="00355AE1" w:rsidRDefault="00F7234C" w:rsidP="001C6B1A">
      <w:pPr>
        <w:pStyle w:val="Prrafodelista"/>
        <w:numPr>
          <w:ilvl w:val="0"/>
          <w:numId w:val="18"/>
        </w:numPr>
        <w:spacing w:after="0" w:line="480" w:lineRule="auto"/>
        <w:jc w:val="both"/>
        <w:rPr>
          <w:rFonts w:ascii="Times New Roman" w:hAnsi="Times New Roman"/>
          <w:bCs/>
          <w:sz w:val="24"/>
          <w:szCs w:val="24"/>
          <w:lang w:val="es-ES_tradnl"/>
        </w:rPr>
      </w:pPr>
      <w:r w:rsidRPr="00355AE1">
        <w:rPr>
          <w:rFonts w:ascii="Times New Roman" w:hAnsi="Times New Roman"/>
          <w:bCs/>
          <w:sz w:val="24"/>
          <w:szCs w:val="24"/>
          <w:lang w:val="es-ES_tradnl"/>
        </w:rPr>
        <w:t>Adicionalmente, la molienda de azúcar registró una reducción de 913,462 toneladas métricas, pasar de 5,809,353 toneladas métricas en 2018 a 4,895,891 toneladas métricas en 2019, equivalente a -15.7%.</w:t>
      </w:r>
    </w:p>
    <w:p w14:paraId="41C41005" w14:textId="77777777" w:rsidR="00D275C9" w:rsidRDefault="00D275C9" w:rsidP="00D275C9">
      <w:pPr>
        <w:pStyle w:val="Prrafodelista"/>
        <w:spacing w:after="0" w:line="480" w:lineRule="auto"/>
        <w:ind w:left="1440"/>
        <w:jc w:val="both"/>
        <w:rPr>
          <w:rFonts w:ascii="Times New Roman" w:hAnsi="Times New Roman"/>
          <w:bCs/>
          <w:sz w:val="24"/>
          <w:szCs w:val="24"/>
          <w:lang w:val="es-ES_tradnl"/>
        </w:rPr>
      </w:pPr>
    </w:p>
    <w:p w14:paraId="685038B9" w14:textId="77777777" w:rsidR="00781B92" w:rsidRDefault="00781B92" w:rsidP="00D275C9">
      <w:pPr>
        <w:pStyle w:val="Prrafodelista"/>
        <w:spacing w:after="0" w:line="480" w:lineRule="auto"/>
        <w:ind w:left="1440"/>
        <w:jc w:val="both"/>
        <w:rPr>
          <w:rFonts w:ascii="Times New Roman" w:hAnsi="Times New Roman"/>
          <w:bCs/>
          <w:sz w:val="24"/>
          <w:szCs w:val="24"/>
          <w:lang w:val="es-ES_tradnl"/>
        </w:rPr>
      </w:pPr>
    </w:p>
    <w:p w14:paraId="19A75820" w14:textId="77777777" w:rsidR="00D275C9" w:rsidRPr="00D275C9" w:rsidRDefault="00D275C9" w:rsidP="00D275C9">
      <w:pPr>
        <w:pStyle w:val="Prrafodelista"/>
        <w:spacing w:after="0" w:line="480" w:lineRule="auto"/>
        <w:ind w:left="426"/>
        <w:jc w:val="both"/>
        <w:rPr>
          <w:rFonts w:ascii="Times New Roman" w:hAnsi="Times New Roman"/>
          <w:b/>
          <w:bCs/>
          <w:sz w:val="28"/>
          <w:szCs w:val="28"/>
          <w:lang w:val="es-ES_tradnl"/>
        </w:rPr>
      </w:pPr>
      <w:r w:rsidRPr="00D275C9">
        <w:rPr>
          <w:rFonts w:ascii="Times New Roman" w:hAnsi="Times New Roman"/>
          <w:b/>
          <w:bCs/>
          <w:sz w:val="28"/>
          <w:szCs w:val="28"/>
          <w:lang w:val="es-ES_tradnl"/>
        </w:rPr>
        <w:lastRenderedPageBreak/>
        <w:t xml:space="preserve">Cultivo </w:t>
      </w:r>
      <w:r>
        <w:rPr>
          <w:rFonts w:ascii="Times New Roman" w:hAnsi="Times New Roman"/>
          <w:b/>
          <w:bCs/>
          <w:sz w:val="28"/>
          <w:szCs w:val="28"/>
          <w:lang w:val="es-ES_tradnl"/>
        </w:rPr>
        <w:t xml:space="preserve">del </w:t>
      </w:r>
      <w:r w:rsidR="00324FED">
        <w:rPr>
          <w:rFonts w:ascii="Times New Roman" w:hAnsi="Times New Roman"/>
          <w:b/>
          <w:bCs/>
          <w:sz w:val="28"/>
          <w:szCs w:val="28"/>
          <w:lang w:val="es-ES_tradnl"/>
        </w:rPr>
        <w:t>t</w:t>
      </w:r>
      <w:r>
        <w:rPr>
          <w:rFonts w:ascii="Times New Roman" w:hAnsi="Times New Roman"/>
          <w:b/>
          <w:bCs/>
          <w:sz w:val="28"/>
          <w:szCs w:val="28"/>
          <w:lang w:val="es-ES_tradnl"/>
        </w:rPr>
        <w:t xml:space="preserve">abaco </w:t>
      </w:r>
    </w:p>
    <w:p w14:paraId="73587EEA" w14:textId="7D73B9F6" w:rsidR="00AD6434" w:rsidRPr="00355AE1" w:rsidRDefault="00AD6434" w:rsidP="00AD6434">
      <w:pPr>
        <w:spacing w:after="0" w:line="480" w:lineRule="auto"/>
        <w:ind w:firstLine="720"/>
        <w:jc w:val="both"/>
        <w:rPr>
          <w:rFonts w:ascii="Times New Roman" w:hAnsi="Times New Roman"/>
          <w:bCs/>
          <w:lang w:val="es-ES_tradnl" w:eastAsia="en-US"/>
        </w:rPr>
      </w:pPr>
      <w:r w:rsidRPr="00355AE1">
        <w:rPr>
          <w:rFonts w:ascii="Times New Roman" w:hAnsi="Times New Roman"/>
          <w:bCs/>
          <w:lang w:val="es-ES_tradnl" w:eastAsia="en-US"/>
        </w:rPr>
        <w:t>El programa de apoyo a los productores de tabaco a nivel nacional, logr</w:t>
      </w:r>
      <w:r w:rsidR="00355AE1" w:rsidRPr="00355AE1">
        <w:rPr>
          <w:rFonts w:ascii="Times New Roman" w:hAnsi="Times New Roman"/>
          <w:bCs/>
          <w:lang w:val="es-ES_tradnl" w:eastAsia="en-US"/>
        </w:rPr>
        <w:t>ó</w:t>
      </w:r>
      <w:r w:rsidRPr="00355AE1">
        <w:rPr>
          <w:rFonts w:ascii="Times New Roman" w:hAnsi="Times New Roman"/>
          <w:bCs/>
          <w:lang w:val="es-ES_tradnl" w:eastAsia="en-US"/>
        </w:rPr>
        <w:t xml:space="preserve"> impactar la cadena productiva del rubro, lo que permitió generar 97,486 empleos directos, destacándose las labores culturales a nivel de finca con un total de 42,000 empleos, representando el 40.06%</w:t>
      </w:r>
      <w:r w:rsidR="00AF47E5" w:rsidRPr="00355AE1">
        <w:rPr>
          <w:rFonts w:ascii="Times New Roman" w:hAnsi="Times New Roman"/>
          <w:bCs/>
          <w:lang w:val="es-ES_tradnl" w:eastAsia="en-US"/>
        </w:rPr>
        <w:t>, generados en la industria.</w:t>
      </w:r>
    </w:p>
    <w:p w14:paraId="313FD40E" w14:textId="77777777" w:rsidR="00AF47E5" w:rsidRPr="00AD6434" w:rsidRDefault="00AF47E5" w:rsidP="00AD6434">
      <w:pPr>
        <w:spacing w:after="0" w:line="480" w:lineRule="auto"/>
        <w:ind w:firstLine="720"/>
        <w:jc w:val="both"/>
        <w:rPr>
          <w:rFonts w:ascii="Times New Roman" w:hAnsi="Times New Roman"/>
          <w:bCs/>
          <w:highlight w:val="yellow"/>
          <w:lang w:val="es-ES_tradnl" w:eastAsia="en-US"/>
        </w:rPr>
      </w:pPr>
    </w:p>
    <w:p w14:paraId="43EC81F7" w14:textId="17BA0675" w:rsidR="003E1EB3" w:rsidRPr="00355AE1" w:rsidRDefault="00AF47E5" w:rsidP="001C6B1A">
      <w:pPr>
        <w:pStyle w:val="Prrafodelista"/>
        <w:numPr>
          <w:ilvl w:val="0"/>
          <w:numId w:val="18"/>
        </w:numPr>
        <w:spacing w:after="0" w:line="480" w:lineRule="auto"/>
        <w:jc w:val="both"/>
        <w:rPr>
          <w:rFonts w:ascii="Times New Roman" w:hAnsi="Times New Roman"/>
          <w:b/>
          <w:bCs/>
          <w:sz w:val="28"/>
          <w:szCs w:val="28"/>
          <w:lang w:val="es-ES_tradnl"/>
        </w:rPr>
      </w:pPr>
      <w:r w:rsidRPr="00355AE1">
        <w:rPr>
          <w:rFonts w:ascii="Times New Roman" w:hAnsi="Times New Roman"/>
          <w:bCs/>
          <w:sz w:val="24"/>
          <w:szCs w:val="24"/>
          <w:lang w:val="es-ES_tradnl"/>
        </w:rPr>
        <w:t>La</w:t>
      </w:r>
      <w:r w:rsidR="00AD6434" w:rsidRPr="00355AE1">
        <w:rPr>
          <w:rFonts w:ascii="Times New Roman" w:hAnsi="Times New Roman"/>
          <w:bCs/>
          <w:sz w:val="24"/>
          <w:szCs w:val="24"/>
          <w:lang w:val="es-ES_tradnl"/>
        </w:rPr>
        <w:t xml:space="preserve"> cosecha 2018</w:t>
      </w:r>
      <w:r w:rsidR="00D275C9" w:rsidRPr="00355AE1">
        <w:rPr>
          <w:rFonts w:ascii="Times New Roman" w:hAnsi="Times New Roman"/>
          <w:bCs/>
          <w:sz w:val="24"/>
          <w:szCs w:val="24"/>
          <w:lang w:val="es-ES_tradnl"/>
        </w:rPr>
        <w:t>-201</w:t>
      </w:r>
      <w:r w:rsidR="00AD6434" w:rsidRPr="00355AE1">
        <w:rPr>
          <w:rFonts w:ascii="Times New Roman" w:hAnsi="Times New Roman"/>
          <w:bCs/>
          <w:sz w:val="24"/>
          <w:szCs w:val="24"/>
          <w:lang w:val="es-ES_tradnl"/>
        </w:rPr>
        <w:t>9</w:t>
      </w:r>
      <w:r w:rsidR="00355AE1" w:rsidRPr="00355AE1">
        <w:rPr>
          <w:rFonts w:ascii="Times New Roman" w:hAnsi="Times New Roman"/>
          <w:bCs/>
          <w:sz w:val="24"/>
          <w:szCs w:val="24"/>
          <w:lang w:val="es-ES_tradnl"/>
        </w:rPr>
        <w:t>,</w:t>
      </w:r>
      <w:r w:rsidR="00D275C9" w:rsidRPr="00355AE1">
        <w:rPr>
          <w:rFonts w:ascii="Times New Roman" w:hAnsi="Times New Roman"/>
          <w:bCs/>
          <w:sz w:val="24"/>
          <w:szCs w:val="24"/>
          <w:lang w:val="es-ES_tradnl"/>
        </w:rPr>
        <w:t xml:space="preserve"> logró una producción de </w:t>
      </w:r>
      <w:r w:rsidR="00AD6434" w:rsidRPr="00355AE1">
        <w:rPr>
          <w:rFonts w:ascii="Times New Roman" w:hAnsi="Times New Roman"/>
          <w:bCs/>
          <w:sz w:val="24"/>
          <w:szCs w:val="24"/>
          <w:lang w:val="es-ES_tradnl"/>
        </w:rPr>
        <w:t>121,598</w:t>
      </w:r>
      <w:r w:rsidR="00355AE1" w:rsidRPr="00355AE1">
        <w:rPr>
          <w:rFonts w:ascii="Times New Roman" w:hAnsi="Times New Roman"/>
          <w:bCs/>
          <w:sz w:val="24"/>
          <w:szCs w:val="24"/>
          <w:lang w:val="es-ES_tradnl"/>
        </w:rPr>
        <w:t xml:space="preserve"> quintales de tabaco</w:t>
      </w:r>
      <w:r w:rsidR="00D275C9" w:rsidRPr="00355AE1">
        <w:rPr>
          <w:rFonts w:ascii="Times New Roman" w:hAnsi="Times New Roman"/>
          <w:bCs/>
          <w:sz w:val="24"/>
          <w:szCs w:val="24"/>
          <w:lang w:val="es-ES_tradnl"/>
        </w:rPr>
        <w:t xml:space="preserve"> </w:t>
      </w:r>
      <w:r w:rsidR="00AD6434" w:rsidRPr="00355AE1">
        <w:rPr>
          <w:rFonts w:ascii="Times New Roman" w:hAnsi="Times New Roman"/>
          <w:bCs/>
          <w:sz w:val="24"/>
          <w:szCs w:val="24"/>
          <w:lang w:val="es-ES_tradnl"/>
        </w:rPr>
        <w:t xml:space="preserve">a pesar de ser afectada por la prolongada sequía, logrando generar </w:t>
      </w:r>
      <w:r w:rsidR="00D275C9" w:rsidRPr="00355AE1">
        <w:rPr>
          <w:rFonts w:ascii="Times New Roman" w:hAnsi="Times New Roman"/>
          <w:bCs/>
          <w:sz w:val="24"/>
          <w:szCs w:val="24"/>
          <w:lang w:val="es-ES_tradnl"/>
        </w:rPr>
        <w:t>ingresos directos para los productores por valor de RD$</w:t>
      </w:r>
      <w:r w:rsidR="00AD6434" w:rsidRPr="00355AE1">
        <w:rPr>
          <w:rFonts w:ascii="Times New Roman" w:hAnsi="Times New Roman"/>
          <w:bCs/>
          <w:sz w:val="24"/>
          <w:szCs w:val="24"/>
          <w:lang w:val="es-ES_tradnl"/>
        </w:rPr>
        <w:t>1,033,538,000.00</w:t>
      </w:r>
      <w:r w:rsidR="00D275C9" w:rsidRPr="00355AE1">
        <w:rPr>
          <w:rFonts w:ascii="Times New Roman" w:hAnsi="Times New Roman"/>
          <w:bCs/>
          <w:sz w:val="24"/>
          <w:szCs w:val="24"/>
          <w:lang w:val="es-ES_tradnl"/>
        </w:rPr>
        <w:t xml:space="preserve"> </w:t>
      </w:r>
      <w:r w:rsidR="008D5839" w:rsidRPr="00355AE1">
        <w:rPr>
          <w:rFonts w:ascii="Times New Roman" w:hAnsi="Times New Roman"/>
          <w:bCs/>
          <w:sz w:val="24"/>
          <w:szCs w:val="24"/>
          <w:lang w:val="es-ES_tradnl"/>
        </w:rPr>
        <w:t xml:space="preserve">y alcanzando un valor de </w:t>
      </w:r>
      <w:r w:rsidR="00D275C9" w:rsidRPr="00355AE1">
        <w:rPr>
          <w:rFonts w:ascii="Times New Roman" w:hAnsi="Times New Roman"/>
          <w:bCs/>
          <w:sz w:val="24"/>
          <w:szCs w:val="24"/>
          <w:lang w:val="es-ES_tradnl"/>
        </w:rPr>
        <w:t xml:space="preserve">exportaciones totales </w:t>
      </w:r>
      <w:r w:rsidR="008D5839" w:rsidRPr="00355AE1">
        <w:rPr>
          <w:rFonts w:ascii="Times New Roman" w:hAnsi="Times New Roman"/>
          <w:bCs/>
          <w:sz w:val="24"/>
          <w:szCs w:val="24"/>
          <w:lang w:val="es-ES_tradnl"/>
        </w:rPr>
        <w:t>ascendente a US$</w:t>
      </w:r>
      <w:r w:rsidR="00D275C9" w:rsidRPr="00355AE1">
        <w:rPr>
          <w:rFonts w:ascii="Times New Roman" w:hAnsi="Times New Roman"/>
          <w:bCs/>
          <w:sz w:val="24"/>
          <w:szCs w:val="24"/>
          <w:lang w:val="es-ES_tradnl"/>
        </w:rPr>
        <w:t>8</w:t>
      </w:r>
      <w:r w:rsidR="00AD6434" w:rsidRPr="00355AE1">
        <w:rPr>
          <w:rFonts w:ascii="Times New Roman" w:hAnsi="Times New Roman"/>
          <w:bCs/>
          <w:sz w:val="24"/>
          <w:szCs w:val="24"/>
          <w:lang w:val="es-ES_tradnl"/>
        </w:rPr>
        <w:t>56</w:t>
      </w:r>
      <w:r w:rsidR="00D275C9" w:rsidRPr="00355AE1">
        <w:rPr>
          <w:rFonts w:ascii="Times New Roman" w:hAnsi="Times New Roman"/>
          <w:bCs/>
          <w:sz w:val="24"/>
          <w:szCs w:val="24"/>
          <w:lang w:val="es-ES_tradnl"/>
        </w:rPr>
        <w:t xml:space="preserve"> </w:t>
      </w:r>
      <w:r w:rsidR="00324FED" w:rsidRPr="00355AE1">
        <w:rPr>
          <w:rFonts w:ascii="Times New Roman" w:hAnsi="Times New Roman"/>
          <w:bCs/>
          <w:sz w:val="24"/>
          <w:szCs w:val="24"/>
          <w:lang w:val="es-ES_tradnl"/>
        </w:rPr>
        <w:t>M</w:t>
      </w:r>
      <w:r w:rsidR="00D275C9" w:rsidRPr="00355AE1">
        <w:rPr>
          <w:rFonts w:ascii="Times New Roman" w:hAnsi="Times New Roman"/>
          <w:bCs/>
          <w:sz w:val="24"/>
          <w:szCs w:val="24"/>
          <w:lang w:val="es-ES_tradnl"/>
        </w:rPr>
        <w:t xml:space="preserve">illones, representando </w:t>
      </w:r>
      <w:r w:rsidR="008D5839" w:rsidRPr="00355AE1">
        <w:rPr>
          <w:rFonts w:ascii="Times New Roman" w:hAnsi="Times New Roman"/>
          <w:bCs/>
          <w:sz w:val="24"/>
          <w:szCs w:val="24"/>
          <w:lang w:val="es-ES_tradnl"/>
        </w:rPr>
        <w:t>uno de los renglones de mayor dinamismo y valor agregado de las exportaciones de origen agropecuario</w:t>
      </w:r>
      <w:r w:rsidR="00D275C9" w:rsidRPr="00355AE1">
        <w:rPr>
          <w:rFonts w:ascii="Times New Roman" w:hAnsi="Times New Roman"/>
          <w:bCs/>
          <w:sz w:val="24"/>
          <w:szCs w:val="24"/>
          <w:lang w:val="es-ES_tradnl"/>
        </w:rPr>
        <w:t>.</w:t>
      </w:r>
    </w:p>
    <w:p w14:paraId="76553582" w14:textId="490447E2" w:rsidR="00324FED" w:rsidRPr="00AF47E5" w:rsidRDefault="00324FED" w:rsidP="00AF47E5">
      <w:pPr>
        <w:rPr>
          <w:rFonts w:ascii="Times New Roman" w:hAnsi="Times New Roman"/>
          <w:bCs/>
          <w:lang w:val="es-ES_tradnl"/>
        </w:rPr>
      </w:pPr>
    </w:p>
    <w:p w14:paraId="3DF2A02E" w14:textId="77777777" w:rsidR="00324FED" w:rsidRPr="00D275C9" w:rsidRDefault="00324FED" w:rsidP="00324FED">
      <w:pPr>
        <w:pStyle w:val="Prrafodelista"/>
        <w:spacing w:after="0" w:line="480" w:lineRule="auto"/>
        <w:ind w:left="426"/>
        <w:jc w:val="both"/>
        <w:rPr>
          <w:rFonts w:ascii="Times New Roman" w:hAnsi="Times New Roman"/>
          <w:b/>
          <w:bCs/>
          <w:sz w:val="28"/>
          <w:szCs w:val="28"/>
          <w:lang w:val="es-ES_tradnl"/>
        </w:rPr>
      </w:pPr>
      <w:r w:rsidRPr="00D275C9">
        <w:rPr>
          <w:rFonts w:ascii="Times New Roman" w:hAnsi="Times New Roman"/>
          <w:b/>
          <w:bCs/>
          <w:sz w:val="28"/>
          <w:szCs w:val="28"/>
          <w:lang w:val="es-ES_tradnl"/>
        </w:rPr>
        <w:t xml:space="preserve">Cultivo </w:t>
      </w:r>
      <w:r>
        <w:rPr>
          <w:rFonts w:ascii="Times New Roman" w:hAnsi="Times New Roman"/>
          <w:b/>
          <w:bCs/>
          <w:sz w:val="28"/>
          <w:szCs w:val="28"/>
          <w:lang w:val="es-ES_tradnl"/>
        </w:rPr>
        <w:t xml:space="preserve">del café </w:t>
      </w:r>
    </w:p>
    <w:p w14:paraId="405393D1" w14:textId="7C0ABDC6" w:rsidR="00DA572E" w:rsidRPr="00777839" w:rsidRDefault="00355AE1" w:rsidP="001C6B1A">
      <w:pPr>
        <w:pStyle w:val="Prrafodelista"/>
        <w:numPr>
          <w:ilvl w:val="0"/>
          <w:numId w:val="18"/>
        </w:numPr>
        <w:spacing w:after="0" w:line="480" w:lineRule="auto"/>
        <w:jc w:val="both"/>
        <w:rPr>
          <w:rFonts w:ascii="Times New Roman" w:hAnsi="Times New Roman"/>
          <w:bCs/>
          <w:sz w:val="24"/>
          <w:szCs w:val="24"/>
          <w:lang w:val="es-ES_tradnl"/>
        </w:rPr>
      </w:pPr>
      <w:r w:rsidRPr="00777839">
        <w:rPr>
          <w:rFonts w:ascii="Times New Roman" w:hAnsi="Times New Roman"/>
          <w:bCs/>
          <w:sz w:val="24"/>
          <w:szCs w:val="24"/>
          <w:lang w:val="es-ES_tradnl"/>
        </w:rPr>
        <w:t>Programa de Producción de p</w:t>
      </w:r>
      <w:r w:rsidR="00DA572E" w:rsidRPr="00777839">
        <w:rPr>
          <w:rFonts w:ascii="Times New Roman" w:hAnsi="Times New Roman"/>
          <w:bCs/>
          <w:sz w:val="24"/>
          <w:szCs w:val="24"/>
          <w:lang w:val="es-ES_tradnl"/>
        </w:rPr>
        <w:t>lantas de café con resistencia a la Roya, alta capacidad productiva y buena calidad de taza, logrando produ</w:t>
      </w:r>
      <w:r w:rsidR="00BE2EAC" w:rsidRPr="00777839">
        <w:rPr>
          <w:rFonts w:ascii="Times New Roman" w:hAnsi="Times New Roman"/>
          <w:bCs/>
          <w:sz w:val="24"/>
          <w:szCs w:val="24"/>
          <w:lang w:val="es-ES_tradnl"/>
        </w:rPr>
        <w:t>cir 178,438,597 plantas de café</w:t>
      </w:r>
      <w:r w:rsidR="00FB6583" w:rsidRPr="00777839">
        <w:rPr>
          <w:rFonts w:ascii="Times New Roman" w:hAnsi="Times New Roman"/>
          <w:bCs/>
          <w:sz w:val="24"/>
          <w:szCs w:val="24"/>
          <w:lang w:val="es-ES_tradnl"/>
        </w:rPr>
        <w:t>. L</w:t>
      </w:r>
      <w:r w:rsidR="00DA572E" w:rsidRPr="00777839">
        <w:rPr>
          <w:rFonts w:ascii="Times New Roman" w:hAnsi="Times New Roman"/>
          <w:bCs/>
          <w:sz w:val="24"/>
          <w:szCs w:val="24"/>
          <w:lang w:val="es-ES_tradnl"/>
        </w:rPr>
        <w:t>os</w:t>
      </w:r>
      <w:r w:rsidR="00FB6583" w:rsidRPr="00777839">
        <w:rPr>
          <w:rFonts w:ascii="Times New Roman" w:hAnsi="Times New Roman"/>
          <w:bCs/>
          <w:sz w:val="24"/>
          <w:szCs w:val="24"/>
          <w:lang w:val="es-ES_tradnl"/>
        </w:rPr>
        <w:t xml:space="preserve"> </w:t>
      </w:r>
      <w:r w:rsidR="00DA572E" w:rsidRPr="00777839">
        <w:rPr>
          <w:rFonts w:ascii="Times New Roman" w:hAnsi="Times New Roman"/>
          <w:bCs/>
          <w:sz w:val="24"/>
          <w:szCs w:val="24"/>
          <w:lang w:val="es-ES_tradnl"/>
        </w:rPr>
        <w:t xml:space="preserve">3,148 viveros oficiales, privados y asociativos, poseen una capacidad </w:t>
      </w:r>
      <w:r w:rsidR="00FB6583" w:rsidRPr="00777839">
        <w:rPr>
          <w:rFonts w:ascii="Times New Roman" w:hAnsi="Times New Roman"/>
          <w:bCs/>
          <w:sz w:val="24"/>
          <w:szCs w:val="24"/>
          <w:lang w:val="es-ES_tradnl"/>
        </w:rPr>
        <w:t>para</w:t>
      </w:r>
      <w:r w:rsidR="00DA572E" w:rsidRPr="00777839">
        <w:rPr>
          <w:rFonts w:ascii="Times New Roman" w:hAnsi="Times New Roman"/>
          <w:bCs/>
          <w:sz w:val="24"/>
          <w:szCs w:val="24"/>
          <w:lang w:val="es-ES_tradnl"/>
        </w:rPr>
        <w:t xml:space="preserve"> producir 128 millones de plantas por año; de este total se prevé la producción de 29,781,220 planta</w:t>
      </w:r>
      <w:r w:rsidRPr="00777839">
        <w:rPr>
          <w:rFonts w:ascii="Times New Roman" w:hAnsi="Times New Roman"/>
          <w:bCs/>
          <w:sz w:val="24"/>
          <w:szCs w:val="24"/>
          <w:lang w:val="es-ES_tradnl"/>
        </w:rPr>
        <w:t>s</w:t>
      </w:r>
      <w:r w:rsidR="00DA572E" w:rsidRPr="00777839">
        <w:rPr>
          <w:rFonts w:ascii="Times New Roman" w:hAnsi="Times New Roman"/>
          <w:bCs/>
          <w:sz w:val="24"/>
          <w:szCs w:val="24"/>
          <w:lang w:val="es-ES_tradnl"/>
        </w:rPr>
        <w:t xml:space="preserve"> para el 2020. con la participación de 2,600 caficultores/as.</w:t>
      </w:r>
    </w:p>
    <w:p w14:paraId="615A7E88" w14:textId="77777777" w:rsidR="00DA572E" w:rsidRDefault="00DA572E" w:rsidP="00DA572E">
      <w:pPr>
        <w:pStyle w:val="Prrafodelista"/>
        <w:spacing w:after="0" w:line="480" w:lineRule="auto"/>
        <w:ind w:left="1440"/>
        <w:jc w:val="both"/>
        <w:rPr>
          <w:rFonts w:ascii="Times New Roman" w:hAnsi="Times New Roman"/>
          <w:bCs/>
          <w:sz w:val="24"/>
          <w:szCs w:val="24"/>
          <w:lang w:val="es-ES_tradnl"/>
        </w:rPr>
      </w:pPr>
    </w:p>
    <w:p w14:paraId="67B51DCA" w14:textId="77777777" w:rsidR="00DA572E" w:rsidRPr="00355AE1" w:rsidRDefault="00DA572E" w:rsidP="001C6B1A">
      <w:pPr>
        <w:pStyle w:val="Prrafodelista"/>
        <w:numPr>
          <w:ilvl w:val="0"/>
          <w:numId w:val="18"/>
        </w:numPr>
        <w:spacing w:after="0" w:line="480" w:lineRule="auto"/>
        <w:jc w:val="both"/>
        <w:rPr>
          <w:rFonts w:ascii="Times New Roman" w:hAnsi="Times New Roman"/>
          <w:bCs/>
          <w:sz w:val="24"/>
          <w:szCs w:val="24"/>
          <w:lang w:val="es-ES_tradnl"/>
        </w:rPr>
      </w:pPr>
      <w:r w:rsidRPr="00355AE1">
        <w:rPr>
          <w:rFonts w:ascii="Times New Roman" w:hAnsi="Times New Roman"/>
          <w:bCs/>
          <w:sz w:val="24"/>
          <w:szCs w:val="24"/>
          <w:lang w:val="es-ES_tradnl"/>
        </w:rPr>
        <w:lastRenderedPageBreak/>
        <w:t xml:space="preserve">La renovación de unas 439,872 y fomento de 47,283 tareas, para un total de 487,155 tareas intervenidas a la fecha, en beneficio de 19,019 productores(as), individuales, privados y asociados. Se proyecta la renovación de 92,187 tareas en el 2020; lo cual beneficiará unas 2,880 nuevas familias. </w:t>
      </w:r>
    </w:p>
    <w:p w14:paraId="2A44CE49" w14:textId="77777777" w:rsidR="00DA572E" w:rsidRPr="00324FED" w:rsidRDefault="00DA572E" w:rsidP="00DA572E">
      <w:pPr>
        <w:pStyle w:val="Prrafodelista"/>
        <w:spacing w:after="0" w:line="480" w:lineRule="auto"/>
        <w:ind w:left="1440"/>
        <w:jc w:val="both"/>
        <w:rPr>
          <w:rFonts w:ascii="Times New Roman" w:hAnsi="Times New Roman"/>
          <w:bCs/>
          <w:sz w:val="24"/>
          <w:szCs w:val="24"/>
          <w:lang w:val="es-ES_tradnl"/>
        </w:rPr>
      </w:pPr>
    </w:p>
    <w:p w14:paraId="2CAAA2AF" w14:textId="7DE1833D" w:rsidR="00DA572E" w:rsidRPr="00053EEE" w:rsidRDefault="00D43780" w:rsidP="001C6B1A">
      <w:pPr>
        <w:pStyle w:val="Prrafodelista"/>
        <w:numPr>
          <w:ilvl w:val="0"/>
          <w:numId w:val="18"/>
        </w:numPr>
        <w:spacing w:after="0" w:line="480" w:lineRule="auto"/>
        <w:jc w:val="both"/>
        <w:rPr>
          <w:rFonts w:ascii="Times New Roman" w:hAnsi="Times New Roman"/>
          <w:bCs/>
          <w:sz w:val="24"/>
          <w:szCs w:val="24"/>
          <w:lang w:val="es-ES_tradnl"/>
        </w:rPr>
      </w:pPr>
      <w:r w:rsidRPr="00053EEE">
        <w:rPr>
          <w:rFonts w:ascii="Times New Roman" w:hAnsi="Times New Roman"/>
          <w:bCs/>
          <w:sz w:val="24"/>
          <w:szCs w:val="24"/>
          <w:lang w:val="es-ES_tradnl"/>
        </w:rPr>
        <w:t>Saneamiento</w:t>
      </w:r>
      <w:r w:rsidR="00DA572E" w:rsidRPr="00053EEE">
        <w:rPr>
          <w:rFonts w:ascii="Times New Roman" w:hAnsi="Times New Roman"/>
          <w:bCs/>
          <w:sz w:val="24"/>
          <w:szCs w:val="24"/>
          <w:lang w:val="es-ES_tradnl"/>
        </w:rPr>
        <w:t xml:space="preserve"> de fincas a través de la intervención con aspersión para el control de la Roya</w:t>
      </w:r>
      <w:r w:rsidRPr="00053EEE">
        <w:rPr>
          <w:rFonts w:ascii="Times New Roman" w:hAnsi="Times New Roman"/>
          <w:bCs/>
          <w:sz w:val="24"/>
          <w:szCs w:val="24"/>
          <w:lang w:val="es-ES_tradnl"/>
        </w:rPr>
        <w:t>,</w:t>
      </w:r>
      <w:r w:rsidR="00DA572E" w:rsidRPr="00053EEE">
        <w:rPr>
          <w:rFonts w:ascii="Times New Roman" w:hAnsi="Times New Roman"/>
          <w:bCs/>
          <w:sz w:val="24"/>
          <w:szCs w:val="24"/>
          <w:lang w:val="es-ES_tradnl"/>
        </w:rPr>
        <w:t xml:space="preserve"> </w:t>
      </w:r>
      <w:r w:rsidR="00053EEE" w:rsidRPr="00053EEE">
        <w:rPr>
          <w:rFonts w:ascii="Times New Roman" w:hAnsi="Times New Roman"/>
          <w:bCs/>
          <w:sz w:val="24"/>
          <w:szCs w:val="24"/>
          <w:lang w:val="es-ES_tradnl"/>
        </w:rPr>
        <w:t>interviniendo</w:t>
      </w:r>
      <w:r w:rsidR="00DA572E" w:rsidRPr="00053EEE">
        <w:rPr>
          <w:rFonts w:ascii="Times New Roman" w:hAnsi="Times New Roman"/>
          <w:bCs/>
          <w:sz w:val="24"/>
          <w:szCs w:val="24"/>
          <w:lang w:val="es-ES_tradnl"/>
        </w:rPr>
        <w:t xml:space="preserve"> </w:t>
      </w:r>
      <w:r w:rsidR="00053EEE" w:rsidRPr="00053EEE">
        <w:rPr>
          <w:rFonts w:ascii="Times New Roman" w:hAnsi="Times New Roman"/>
          <w:bCs/>
          <w:sz w:val="24"/>
          <w:szCs w:val="24"/>
          <w:lang w:val="es-ES_tradnl"/>
        </w:rPr>
        <w:t xml:space="preserve">unas </w:t>
      </w:r>
      <w:r w:rsidR="00DA572E" w:rsidRPr="00053EEE">
        <w:rPr>
          <w:rFonts w:ascii="Times New Roman" w:hAnsi="Times New Roman"/>
          <w:bCs/>
          <w:sz w:val="24"/>
          <w:szCs w:val="24"/>
          <w:lang w:val="es-ES_tradnl"/>
        </w:rPr>
        <w:t>786,727 tareas de café</w:t>
      </w:r>
      <w:r w:rsidR="00053EEE">
        <w:rPr>
          <w:rFonts w:ascii="Times New Roman" w:hAnsi="Times New Roman"/>
          <w:bCs/>
          <w:sz w:val="24"/>
          <w:szCs w:val="24"/>
          <w:lang w:val="es-ES_tradnl"/>
        </w:rPr>
        <w:t xml:space="preserve"> igual a </w:t>
      </w:r>
      <w:r w:rsidR="00777839" w:rsidRPr="00053EEE">
        <w:rPr>
          <w:rFonts w:ascii="Times New Roman" w:hAnsi="Times New Roman"/>
          <w:bCs/>
          <w:sz w:val="24"/>
          <w:szCs w:val="24"/>
          <w:lang w:val="es-ES_tradnl"/>
        </w:rPr>
        <w:t>4,537 fincas;</w:t>
      </w:r>
      <w:r w:rsidR="00DA572E" w:rsidRPr="00053EEE">
        <w:rPr>
          <w:rFonts w:ascii="Times New Roman" w:hAnsi="Times New Roman"/>
          <w:bCs/>
          <w:sz w:val="24"/>
          <w:szCs w:val="24"/>
          <w:lang w:val="es-ES_tradnl"/>
        </w:rPr>
        <w:t xml:space="preserve"> </w:t>
      </w:r>
      <w:r w:rsidR="00777839" w:rsidRPr="00053EEE">
        <w:rPr>
          <w:rFonts w:ascii="Times New Roman" w:hAnsi="Times New Roman"/>
          <w:bCs/>
          <w:sz w:val="24"/>
          <w:szCs w:val="24"/>
          <w:lang w:val="es-ES_tradnl"/>
        </w:rPr>
        <w:t xml:space="preserve">para lo </w:t>
      </w:r>
      <w:r w:rsidR="00DA572E" w:rsidRPr="00053EEE">
        <w:rPr>
          <w:rFonts w:ascii="Times New Roman" w:hAnsi="Times New Roman"/>
          <w:bCs/>
          <w:sz w:val="24"/>
          <w:szCs w:val="24"/>
          <w:lang w:val="es-ES_tradnl"/>
        </w:rPr>
        <w:t>cual se han utilizado 7,677 litros de productos preventivos y curativos para control de la Roya, con una inversión de RD$60 millones aproximadamente.</w:t>
      </w:r>
    </w:p>
    <w:p w14:paraId="292FD716" w14:textId="77777777" w:rsidR="00DA572E" w:rsidRPr="00DA572E" w:rsidRDefault="00DA572E" w:rsidP="00DA572E">
      <w:pPr>
        <w:pStyle w:val="Prrafodelista"/>
        <w:spacing w:after="0" w:line="480" w:lineRule="auto"/>
        <w:ind w:left="1440"/>
        <w:jc w:val="both"/>
        <w:rPr>
          <w:rFonts w:ascii="Times New Roman" w:hAnsi="Times New Roman"/>
          <w:bCs/>
          <w:sz w:val="24"/>
          <w:szCs w:val="24"/>
          <w:lang w:val="es-ES_tradnl"/>
        </w:rPr>
      </w:pPr>
    </w:p>
    <w:p w14:paraId="2B5B33B8" w14:textId="77777777" w:rsidR="00DA572E" w:rsidRPr="00215A29" w:rsidRDefault="00DA572E" w:rsidP="001C6B1A">
      <w:pPr>
        <w:pStyle w:val="Prrafodelista"/>
        <w:numPr>
          <w:ilvl w:val="0"/>
          <w:numId w:val="18"/>
        </w:numPr>
        <w:spacing w:after="0" w:line="480" w:lineRule="auto"/>
        <w:jc w:val="both"/>
        <w:rPr>
          <w:rFonts w:ascii="Times New Roman" w:hAnsi="Times New Roman"/>
          <w:bCs/>
          <w:sz w:val="24"/>
          <w:szCs w:val="24"/>
          <w:lang w:val="es-ES_tradnl"/>
        </w:rPr>
      </w:pPr>
      <w:r w:rsidRPr="00215A29">
        <w:rPr>
          <w:rFonts w:ascii="Times New Roman" w:hAnsi="Times New Roman"/>
          <w:bCs/>
          <w:sz w:val="24"/>
          <w:szCs w:val="24"/>
          <w:lang w:val="es-ES_tradnl"/>
        </w:rPr>
        <w:t>Suministro de equipos e insumos a organizaciones de caficultores como materiales para la construcción de viveros: fundas, semillas, fertilizantes, pesticidas, atrayente, entre otros.</w:t>
      </w:r>
    </w:p>
    <w:p w14:paraId="64DBF3AE" w14:textId="77777777" w:rsidR="00DA572E" w:rsidRPr="00DA572E" w:rsidRDefault="00DA572E" w:rsidP="00DA572E">
      <w:pPr>
        <w:pStyle w:val="Prrafodelista"/>
        <w:spacing w:after="0" w:line="480" w:lineRule="auto"/>
        <w:ind w:left="1440"/>
        <w:jc w:val="both"/>
        <w:rPr>
          <w:rFonts w:ascii="Times New Roman" w:hAnsi="Times New Roman"/>
          <w:bCs/>
          <w:sz w:val="24"/>
          <w:szCs w:val="24"/>
          <w:lang w:val="es-ES_tradnl"/>
        </w:rPr>
      </w:pPr>
    </w:p>
    <w:p w14:paraId="6520523E" w14:textId="574A00E5" w:rsidR="00DA572E" w:rsidRPr="00215A29" w:rsidRDefault="00DA572E" w:rsidP="001C6B1A">
      <w:pPr>
        <w:pStyle w:val="Prrafodelista"/>
        <w:numPr>
          <w:ilvl w:val="0"/>
          <w:numId w:val="18"/>
        </w:numPr>
        <w:spacing w:after="0" w:line="480" w:lineRule="auto"/>
        <w:jc w:val="both"/>
        <w:rPr>
          <w:rFonts w:ascii="Times New Roman" w:hAnsi="Times New Roman"/>
          <w:bCs/>
          <w:sz w:val="24"/>
          <w:szCs w:val="24"/>
          <w:lang w:val="es-ES_tradnl"/>
        </w:rPr>
      </w:pPr>
      <w:r w:rsidRPr="00215A29">
        <w:rPr>
          <w:rFonts w:ascii="Times New Roman" w:hAnsi="Times New Roman"/>
          <w:bCs/>
          <w:sz w:val="24"/>
          <w:szCs w:val="24"/>
          <w:lang w:val="es-ES_tradnl"/>
        </w:rPr>
        <w:t>Instalación de 182 parcelas demostrativas con el uso de variedades resistentes, con una inversión de más de 12 millones de pesos. Asimismo, se distribuyeron 354,820 difusiones, con lo que se han intervenido el mismo número de tareas</w:t>
      </w:r>
      <w:r w:rsidR="00215A29" w:rsidRPr="00215A29">
        <w:rPr>
          <w:rFonts w:ascii="Times New Roman" w:hAnsi="Times New Roman"/>
          <w:bCs/>
          <w:sz w:val="24"/>
          <w:szCs w:val="24"/>
          <w:lang w:val="es-ES_tradnl"/>
        </w:rPr>
        <w:t xml:space="preserve">, </w:t>
      </w:r>
      <w:r w:rsidRPr="00215A29">
        <w:rPr>
          <w:rFonts w:ascii="Times New Roman" w:hAnsi="Times New Roman"/>
          <w:bCs/>
          <w:sz w:val="24"/>
          <w:szCs w:val="24"/>
          <w:lang w:val="es-ES_tradnl"/>
        </w:rPr>
        <w:t>que fueron trampeadas con atrayentes para control de Broca.</w:t>
      </w:r>
    </w:p>
    <w:p w14:paraId="24001447" w14:textId="77777777" w:rsidR="00DA572E" w:rsidRPr="00DA572E" w:rsidRDefault="00DA572E" w:rsidP="00DA572E">
      <w:pPr>
        <w:pStyle w:val="Prrafodelista"/>
        <w:spacing w:after="0" w:line="480" w:lineRule="auto"/>
        <w:ind w:left="1440"/>
        <w:jc w:val="both"/>
        <w:rPr>
          <w:rFonts w:ascii="Times New Roman" w:hAnsi="Times New Roman"/>
          <w:bCs/>
          <w:sz w:val="24"/>
          <w:szCs w:val="24"/>
          <w:lang w:val="es-ES_tradnl"/>
        </w:rPr>
      </w:pPr>
    </w:p>
    <w:p w14:paraId="3216B605" w14:textId="77777777" w:rsidR="00DA572E" w:rsidRPr="00215A29" w:rsidRDefault="00DA572E" w:rsidP="001C6B1A">
      <w:pPr>
        <w:pStyle w:val="Prrafodelista"/>
        <w:numPr>
          <w:ilvl w:val="0"/>
          <w:numId w:val="18"/>
        </w:numPr>
        <w:spacing w:after="0" w:line="480" w:lineRule="auto"/>
        <w:jc w:val="both"/>
        <w:rPr>
          <w:rFonts w:ascii="Times New Roman" w:hAnsi="Times New Roman"/>
          <w:bCs/>
          <w:sz w:val="24"/>
          <w:szCs w:val="24"/>
          <w:lang w:val="es-ES_tradnl"/>
        </w:rPr>
      </w:pPr>
      <w:r w:rsidRPr="00215A29">
        <w:rPr>
          <w:rFonts w:ascii="Times New Roman" w:hAnsi="Times New Roman"/>
          <w:bCs/>
          <w:sz w:val="24"/>
          <w:szCs w:val="24"/>
          <w:lang w:val="es-ES_tradnl"/>
        </w:rPr>
        <w:lastRenderedPageBreak/>
        <w:t>Se ha colaborado para la rehabilitación de 664.4 kilómetros de caminos vecinales y 1,114.3 kilómetros de caminos de herradura, beneficiando unas 1,225 familias.</w:t>
      </w:r>
    </w:p>
    <w:p w14:paraId="2C51A992" w14:textId="77777777" w:rsidR="00DA572E" w:rsidRPr="00DA572E" w:rsidRDefault="00DA572E" w:rsidP="00DA572E">
      <w:pPr>
        <w:pStyle w:val="Prrafodelista"/>
        <w:spacing w:after="0" w:line="480" w:lineRule="auto"/>
        <w:ind w:left="1440"/>
        <w:jc w:val="both"/>
        <w:rPr>
          <w:rFonts w:ascii="Times New Roman" w:hAnsi="Times New Roman"/>
          <w:bCs/>
          <w:sz w:val="24"/>
          <w:szCs w:val="24"/>
          <w:lang w:val="es-ES_tradnl"/>
        </w:rPr>
      </w:pPr>
    </w:p>
    <w:p w14:paraId="53E31204" w14:textId="3214951E" w:rsidR="00DA572E" w:rsidRPr="0004267C" w:rsidRDefault="009051D4" w:rsidP="001C6B1A">
      <w:pPr>
        <w:pStyle w:val="Prrafodelista"/>
        <w:numPr>
          <w:ilvl w:val="0"/>
          <w:numId w:val="18"/>
        </w:numPr>
        <w:spacing w:after="0" w:line="480" w:lineRule="auto"/>
        <w:jc w:val="both"/>
        <w:rPr>
          <w:rFonts w:ascii="Times New Roman" w:hAnsi="Times New Roman"/>
          <w:bCs/>
          <w:sz w:val="24"/>
          <w:szCs w:val="24"/>
          <w:lang w:val="es-ES_tradnl"/>
        </w:rPr>
      </w:pPr>
      <w:r w:rsidRPr="0004267C">
        <w:rPr>
          <w:rFonts w:ascii="Times New Roman" w:hAnsi="Times New Roman"/>
          <w:bCs/>
          <w:sz w:val="24"/>
          <w:szCs w:val="24"/>
          <w:lang w:val="es-ES_tradnl"/>
        </w:rPr>
        <w:t>Se han</w:t>
      </w:r>
      <w:r w:rsidR="00DA572E" w:rsidRPr="0004267C">
        <w:rPr>
          <w:rFonts w:ascii="Times New Roman" w:hAnsi="Times New Roman"/>
          <w:bCs/>
          <w:sz w:val="24"/>
          <w:szCs w:val="24"/>
          <w:lang w:val="es-ES_tradnl"/>
        </w:rPr>
        <w:t xml:space="preserve"> georreferenciado e incluido en el sistema 3,489 fincas</w:t>
      </w:r>
      <w:r w:rsidR="007B43BA">
        <w:rPr>
          <w:rFonts w:ascii="Times New Roman" w:hAnsi="Times New Roman"/>
          <w:bCs/>
          <w:sz w:val="24"/>
          <w:szCs w:val="24"/>
          <w:lang w:val="es-ES_tradnl"/>
        </w:rPr>
        <w:t>,</w:t>
      </w:r>
      <w:r w:rsidR="00DA572E" w:rsidRPr="0004267C">
        <w:rPr>
          <w:rFonts w:ascii="Times New Roman" w:hAnsi="Times New Roman"/>
          <w:bCs/>
          <w:sz w:val="24"/>
          <w:szCs w:val="24"/>
          <w:lang w:val="es-ES_tradnl"/>
        </w:rPr>
        <w:t xml:space="preserve"> genera</w:t>
      </w:r>
      <w:r w:rsidR="007B43BA">
        <w:rPr>
          <w:rFonts w:ascii="Times New Roman" w:hAnsi="Times New Roman"/>
          <w:bCs/>
          <w:sz w:val="24"/>
          <w:szCs w:val="24"/>
          <w:lang w:val="es-ES_tradnl"/>
        </w:rPr>
        <w:t>n</w:t>
      </w:r>
      <w:r w:rsidR="00DA572E" w:rsidRPr="0004267C">
        <w:rPr>
          <w:rFonts w:ascii="Times New Roman" w:hAnsi="Times New Roman"/>
          <w:bCs/>
          <w:sz w:val="24"/>
          <w:szCs w:val="24"/>
          <w:lang w:val="es-ES_tradnl"/>
        </w:rPr>
        <w:t xml:space="preserve">do un código QR </w:t>
      </w:r>
      <w:r w:rsidR="007B43BA">
        <w:rPr>
          <w:rFonts w:ascii="Times New Roman" w:hAnsi="Times New Roman"/>
          <w:bCs/>
          <w:sz w:val="24"/>
          <w:szCs w:val="24"/>
          <w:lang w:val="es-ES_tradnl"/>
        </w:rPr>
        <w:t>para</w:t>
      </w:r>
      <w:r w:rsidR="00DA572E" w:rsidRPr="0004267C">
        <w:rPr>
          <w:rFonts w:ascii="Times New Roman" w:hAnsi="Times New Roman"/>
          <w:bCs/>
          <w:sz w:val="24"/>
          <w:szCs w:val="24"/>
          <w:lang w:val="es-ES_tradnl"/>
        </w:rPr>
        <w:t xml:space="preserve"> cada una. Este sistema permite visualizar el comportamiento de la enfermedad en la plataforma SIATMA/SATCAFE y </w:t>
      </w:r>
      <w:r w:rsidR="0004267C" w:rsidRPr="0004267C">
        <w:rPr>
          <w:rFonts w:ascii="Times New Roman" w:hAnsi="Times New Roman"/>
          <w:bCs/>
          <w:sz w:val="24"/>
          <w:szCs w:val="24"/>
          <w:lang w:val="es-ES_tradnl"/>
        </w:rPr>
        <w:t>crear</w:t>
      </w:r>
      <w:r w:rsidR="00DA572E" w:rsidRPr="0004267C">
        <w:rPr>
          <w:rFonts w:ascii="Times New Roman" w:hAnsi="Times New Roman"/>
          <w:bCs/>
          <w:sz w:val="24"/>
          <w:szCs w:val="24"/>
          <w:lang w:val="es-ES_tradnl"/>
        </w:rPr>
        <w:t xml:space="preserve"> sistemas de alerta para el manejo de la enfermedad en las diferentes regiones del país. </w:t>
      </w:r>
    </w:p>
    <w:p w14:paraId="49370456" w14:textId="77777777" w:rsidR="00DA572E" w:rsidRPr="00DA572E" w:rsidRDefault="00DA572E" w:rsidP="00DA572E">
      <w:pPr>
        <w:pStyle w:val="Prrafodelista"/>
        <w:spacing w:after="0" w:line="480" w:lineRule="auto"/>
        <w:ind w:left="1440"/>
        <w:jc w:val="both"/>
        <w:rPr>
          <w:rFonts w:ascii="Times New Roman" w:hAnsi="Times New Roman"/>
          <w:bCs/>
          <w:sz w:val="24"/>
          <w:szCs w:val="24"/>
          <w:lang w:val="es-ES_tradnl"/>
        </w:rPr>
      </w:pPr>
    </w:p>
    <w:p w14:paraId="5EAE2BC2" w14:textId="40CD89EC" w:rsidR="00DA572E" w:rsidRPr="00C022A6" w:rsidRDefault="00DA572E" w:rsidP="001C6B1A">
      <w:pPr>
        <w:pStyle w:val="Prrafodelista"/>
        <w:numPr>
          <w:ilvl w:val="0"/>
          <w:numId w:val="18"/>
        </w:numPr>
        <w:spacing w:after="0" w:line="480" w:lineRule="auto"/>
        <w:jc w:val="both"/>
        <w:rPr>
          <w:rFonts w:ascii="Times New Roman" w:hAnsi="Times New Roman"/>
          <w:bCs/>
          <w:sz w:val="24"/>
          <w:szCs w:val="24"/>
          <w:lang w:val="es-ES_tradnl"/>
        </w:rPr>
      </w:pPr>
      <w:r w:rsidRPr="00C022A6">
        <w:rPr>
          <w:rFonts w:ascii="Times New Roman" w:hAnsi="Times New Roman"/>
          <w:bCs/>
          <w:sz w:val="24"/>
          <w:szCs w:val="24"/>
          <w:lang w:val="es-ES_tradnl"/>
        </w:rPr>
        <w:t xml:space="preserve">Ejecución de un Programa de Extensión y Capacitación a </w:t>
      </w:r>
      <w:r w:rsidR="0004267C" w:rsidRPr="00C022A6">
        <w:rPr>
          <w:rFonts w:ascii="Times New Roman" w:hAnsi="Times New Roman"/>
          <w:bCs/>
          <w:sz w:val="24"/>
          <w:szCs w:val="24"/>
          <w:lang w:val="es-ES_tradnl"/>
        </w:rPr>
        <w:t>técnicos y</w:t>
      </w:r>
      <w:r w:rsidRPr="00C022A6">
        <w:rPr>
          <w:rFonts w:ascii="Times New Roman" w:hAnsi="Times New Roman"/>
          <w:bCs/>
          <w:sz w:val="24"/>
          <w:szCs w:val="24"/>
          <w:lang w:val="es-ES_tradnl"/>
        </w:rPr>
        <w:t xml:space="preserve"> productores, logrando capacitar 18,000 personas en diferentes aspectos y temas de interés de la p</w:t>
      </w:r>
      <w:r w:rsidR="0004267C" w:rsidRPr="00C022A6">
        <w:rPr>
          <w:rFonts w:ascii="Times New Roman" w:hAnsi="Times New Roman"/>
          <w:bCs/>
          <w:sz w:val="24"/>
          <w:szCs w:val="24"/>
          <w:lang w:val="es-ES_tradnl"/>
        </w:rPr>
        <w:t>roducción y problemas de manejo fitosanitario,</w:t>
      </w:r>
      <w:r w:rsidRPr="00C022A6">
        <w:rPr>
          <w:rFonts w:ascii="Times New Roman" w:hAnsi="Times New Roman"/>
          <w:bCs/>
          <w:sz w:val="24"/>
          <w:szCs w:val="24"/>
          <w:lang w:val="es-ES_tradnl"/>
        </w:rPr>
        <w:t xml:space="preserve"> 148 técnicos capacitados en metodologías y técnicas de extensión agropecuaria, así como realización de 134,513 actividades de extensión mediante días de campo, jornadas, adiestramientos, giras, demostraciones de métodos, demostraciones de resultados, visitas a fincas, visitas domiciliarias, consultas en oficinas, cursos, talleres, charla.</w:t>
      </w:r>
    </w:p>
    <w:p w14:paraId="5AD1AD7B" w14:textId="77777777" w:rsidR="00DA572E" w:rsidRPr="00DA572E" w:rsidRDefault="00DA572E" w:rsidP="00DA572E">
      <w:pPr>
        <w:pStyle w:val="Prrafodelista"/>
        <w:spacing w:after="0" w:line="480" w:lineRule="auto"/>
        <w:ind w:left="1440"/>
        <w:jc w:val="both"/>
        <w:rPr>
          <w:rFonts w:ascii="Times New Roman" w:hAnsi="Times New Roman"/>
          <w:bCs/>
          <w:sz w:val="24"/>
          <w:szCs w:val="24"/>
          <w:lang w:val="es-ES_tradnl"/>
        </w:rPr>
      </w:pPr>
    </w:p>
    <w:p w14:paraId="38F93920" w14:textId="5948537E" w:rsidR="00DA572E" w:rsidRPr="00C022A6" w:rsidRDefault="00DA572E" w:rsidP="001C6B1A">
      <w:pPr>
        <w:pStyle w:val="Prrafodelista"/>
        <w:numPr>
          <w:ilvl w:val="0"/>
          <w:numId w:val="18"/>
        </w:numPr>
        <w:spacing w:after="0" w:line="480" w:lineRule="auto"/>
        <w:jc w:val="both"/>
        <w:rPr>
          <w:rFonts w:ascii="Times New Roman" w:hAnsi="Times New Roman"/>
          <w:bCs/>
          <w:sz w:val="24"/>
          <w:szCs w:val="24"/>
          <w:lang w:val="es-ES_tradnl"/>
        </w:rPr>
      </w:pPr>
      <w:r w:rsidRPr="00C022A6">
        <w:rPr>
          <w:rFonts w:ascii="Times New Roman" w:hAnsi="Times New Roman"/>
          <w:bCs/>
          <w:sz w:val="24"/>
          <w:szCs w:val="24"/>
          <w:lang w:val="es-ES_tradnl"/>
        </w:rPr>
        <w:t>Apoyo a las organizaciones cafetaleras que han sido beneficiada</w:t>
      </w:r>
      <w:r w:rsidR="009051D4" w:rsidRPr="00C022A6">
        <w:rPr>
          <w:rFonts w:ascii="Times New Roman" w:hAnsi="Times New Roman"/>
          <w:bCs/>
          <w:sz w:val="24"/>
          <w:szCs w:val="24"/>
          <w:lang w:val="es-ES_tradnl"/>
        </w:rPr>
        <w:t>s con las Visitas Sorpresas del</w:t>
      </w:r>
      <w:r w:rsidRPr="00C022A6">
        <w:rPr>
          <w:rFonts w:ascii="Times New Roman" w:hAnsi="Times New Roman"/>
          <w:bCs/>
          <w:sz w:val="24"/>
          <w:szCs w:val="24"/>
          <w:lang w:val="es-ES_tradnl"/>
        </w:rPr>
        <w:t xml:space="preserve"> Sr. Presidente de la Republica; En ejecución se mantienen </w:t>
      </w:r>
      <w:r w:rsidR="00C022A6" w:rsidRPr="00C022A6">
        <w:rPr>
          <w:rFonts w:ascii="Times New Roman" w:hAnsi="Times New Roman"/>
          <w:bCs/>
          <w:sz w:val="24"/>
          <w:szCs w:val="24"/>
          <w:lang w:val="es-ES_tradnl"/>
        </w:rPr>
        <w:t>24 proyectos</w:t>
      </w:r>
      <w:r w:rsidRPr="00C022A6">
        <w:rPr>
          <w:rFonts w:ascii="Times New Roman" w:hAnsi="Times New Roman"/>
          <w:bCs/>
          <w:sz w:val="24"/>
          <w:szCs w:val="24"/>
          <w:lang w:val="es-ES_tradnl"/>
        </w:rPr>
        <w:t xml:space="preserve"> presidenciales, surgidos tras </w:t>
      </w:r>
      <w:r w:rsidRPr="00C022A6">
        <w:rPr>
          <w:rFonts w:ascii="Times New Roman" w:hAnsi="Times New Roman"/>
          <w:bCs/>
          <w:sz w:val="24"/>
          <w:szCs w:val="24"/>
          <w:lang w:val="es-ES_tradnl"/>
        </w:rPr>
        <w:lastRenderedPageBreak/>
        <w:t>las visitas sorpresas a las comunidades cafetaleras, en dond</w:t>
      </w:r>
      <w:r w:rsidR="00853B13">
        <w:rPr>
          <w:rFonts w:ascii="Times New Roman" w:hAnsi="Times New Roman"/>
          <w:bCs/>
          <w:sz w:val="24"/>
          <w:szCs w:val="24"/>
          <w:lang w:val="es-ES_tradnl"/>
        </w:rPr>
        <w:t>e se han in</w:t>
      </w:r>
      <w:r w:rsidRPr="00C022A6">
        <w:rPr>
          <w:rFonts w:ascii="Times New Roman" w:hAnsi="Times New Roman"/>
          <w:bCs/>
          <w:sz w:val="24"/>
          <w:szCs w:val="24"/>
          <w:lang w:val="es-ES_tradnl"/>
        </w:rPr>
        <w:t>tervenido alrededor de 102,077 tareas de café con aspersión de productos para el control de la Roya y unas 114,135 tareas con la ins</w:t>
      </w:r>
      <w:r w:rsidR="00853B13">
        <w:rPr>
          <w:rFonts w:ascii="Times New Roman" w:hAnsi="Times New Roman"/>
          <w:bCs/>
          <w:sz w:val="24"/>
          <w:szCs w:val="24"/>
          <w:lang w:val="es-ES_tradnl"/>
        </w:rPr>
        <w:t>talación de trampas para el con</w:t>
      </w:r>
      <w:r w:rsidRPr="00C022A6">
        <w:rPr>
          <w:rFonts w:ascii="Times New Roman" w:hAnsi="Times New Roman"/>
          <w:bCs/>
          <w:sz w:val="24"/>
          <w:szCs w:val="24"/>
          <w:lang w:val="es-ES_tradnl"/>
        </w:rPr>
        <w:t>trol de la Broca del café.</w:t>
      </w:r>
    </w:p>
    <w:p w14:paraId="0EEAB009" w14:textId="77777777" w:rsidR="00DA572E" w:rsidRPr="00DA572E" w:rsidRDefault="00DA572E" w:rsidP="00DA572E">
      <w:pPr>
        <w:pStyle w:val="Prrafodelista"/>
        <w:rPr>
          <w:rFonts w:ascii="Times New Roman" w:hAnsi="Times New Roman"/>
          <w:bCs/>
          <w:sz w:val="24"/>
          <w:szCs w:val="24"/>
          <w:highlight w:val="yellow"/>
          <w:lang w:val="es-ES_tradnl"/>
        </w:rPr>
      </w:pPr>
    </w:p>
    <w:p w14:paraId="4C115A9D" w14:textId="50336359" w:rsidR="00DA572E" w:rsidRPr="00C022A6" w:rsidRDefault="00DA572E" w:rsidP="001C6B1A">
      <w:pPr>
        <w:pStyle w:val="Prrafodelista"/>
        <w:numPr>
          <w:ilvl w:val="0"/>
          <w:numId w:val="18"/>
        </w:numPr>
        <w:spacing w:after="0" w:line="480" w:lineRule="auto"/>
        <w:jc w:val="both"/>
        <w:rPr>
          <w:rFonts w:ascii="Times New Roman" w:hAnsi="Times New Roman"/>
          <w:bCs/>
          <w:sz w:val="24"/>
          <w:szCs w:val="24"/>
          <w:lang w:val="es-ES_tradnl"/>
        </w:rPr>
      </w:pPr>
      <w:r w:rsidRPr="00C022A6">
        <w:rPr>
          <w:rFonts w:ascii="Times New Roman" w:hAnsi="Times New Roman"/>
          <w:bCs/>
          <w:sz w:val="24"/>
          <w:szCs w:val="24"/>
          <w:lang w:val="es-ES_tradnl"/>
        </w:rPr>
        <w:t>Entre el 2017 y 2019 se ejecutó el Programa Centroamericano para la Gestión Integral de la Roya del Café (PROCAGICA) para República Dominican</w:t>
      </w:r>
      <w:r w:rsidR="009051D4" w:rsidRPr="00C022A6">
        <w:rPr>
          <w:rFonts w:ascii="Times New Roman" w:hAnsi="Times New Roman"/>
          <w:bCs/>
          <w:sz w:val="24"/>
          <w:szCs w:val="24"/>
          <w:lang w:val="es-ES_tradnl"/>
        </w:rPr>
        <w:t xml:space="preserve">a, en el cual se desarrollaron </w:t>
      </w:r>
      <w:r w:rsidRPr="00C022A6">
        <w:rPr>
          <w:rFonts w:ascii="Times New Roman" w:hAnsi="Times New Roman"/>
          <w:bCs/>
          <w:sz w:val="24"/>
          <w:szCs w:val="24"/>
          <w:lang w:val="es-ES_tradnl"/>
        </w:rPr>
        <w:t>actividades conjuntas con el Instituto Interamericano de Cooperación para la Agricultura (IICA). En apoyo a este proyecto el INDOCAFE, 35 técnicos, 3 oficinas regionales y 8 oficinas de extensión cafetaleras (OFEC). Dicho proyecto benefició a 1,050 productores con un total de 10,500 tareas de café, de las cuales 5,775 fueron renovadas y 4,725 tareas de mantenimiento, todas con variedades mejoradas.</w:t>
      </w:r>
    </w:p>
    <w:p w14:paraId="50CE18A5" w14:textId="77777777" w:rsidR="00DA572E" w:rsidRPr="00A01F06" w:rsidRDefault="00DA572E" w:rsidP="00DA572E">
      <w:pPr>
        <w:pStyle w:val="Prrafodelista"/>
        <w:spacing w:line="336" w:lineRule="auto"/>
        <w:ind w:left="1440"/>
        <w:jc w:val="both"/>
        <w:rPr>
          <w:rFonts w:ascii="Times New Roman" w:hAnsi="Times New Roman"/>
          <w:color w:val="FF0000"/>
          <w:sz w:val="24"/>
          <w:szCs w:val="24"/>
          <w:highlight w:val="yellow"/>
        </w:rPr>
      </w:pPr>
    </w:p>
    <w:p w14:paraId="0D944318" w14:textId="51556223" w:rsidR="00DA572E" w:rsidRPr="00262440" w:rsidRDefault="00DA572E" w:rsidP="001C6B1A">
      <w:pPr>
        <w:pStyle w:val="Prrafodelista"/>
        <w:numPr>
          <w:ilvl w:val="0"/>
          <w:numId w:val="18"/>
        </w:numPr>
        <w:spacing w:after="0" w:line="480" w:lineRule="auto"/>
        <w:jc w:val="both"/>
        <w:rPr>
          <w:rFonts w:ascii="Times New Roman" w:hAnsi="Times New Roman"/>
          <w:color w:val="FF0000"/>
          <w:sz w:val="24"/>
          <w:szCs w:val="24"/>
        </w:rPr>
      </w:pPr>
      <w:r w:rsidRPr="00262440">
        <w:rPr>
          <w:rFonts w:ascii="Times New Roman" w:hAnsi="Times New Roman"/>
          <w:sz w:val="24"/>
        </w:rPr>
        <w:t xml:space="preserve"> </w:t>
      </w:r>
      <w:r w:rsidRPr="00262440">
        <w:rPr>
          <w:rFonts w:ascii="Times New Roman" w:hAnsi="Times New Roman"/>
          <w:bCs/>
          <w:sz w:val="24"/>
          <w:szCs w:val="24"/>
          <w:lang w:val="es-ES_tradnl"/>
        </w:rPr>
        <w:t xml:space="preserve">Se desarrolló un amplio programa de capacitación dirigido a técnicos y productores enfocados en temas como Alerta Temprana, Sistemas de Extensión, Buenas Prácticas de Producción de plantas de café para vivero, diversificación y fortalecimiento institucional, tanto del INDOCAFE como de las organizaciones de productores de café. Basado en los dirigentes de organizaciones e INDOCAFE con </w:t>
      </w:r>
      <w:r w:rsidR="00853B13">
        <w:rPr>
          <w:rFonts w:ascii="Times New Roman" w:hAnsi="Times New Roman"/>
          <w:bCs/>
          <w:sz w:val="24"/>
          <w:szCs w:val="24"/>
          <w:lang w:val="es-ES_tradnl"/>
        </w:rPr>
        <w:t>el propósito de</w:t>
      </w:r>
      <w:r w:rsidRPr="00262440">
        <w:rPr>
          <w:rFonts w:ascii="Times New Roman" w:hAnsi="Times New Roman"/>
          <w:bCs/>
          <w:sz w:val="24"/>
          <w:szCs w:val="24"/>
          <w:lang w:val="es-ES_tradnl"/>
        </w:rPr>
        <w:t xml:space="preserve"> dar seguimiento. Se hicieron 15 publicaciones diferentes relacionadas a los temas de capacitación desarrollados durante la vigencia del proyecto.</w:t>
      </w:r>
    </w:p>
    <w:p w14:paraId="32147C70" w14:textId="77777777" w:rsidR="00DF6635" w:rsidRPr="00AF5A87" w:rsidRDefault="00F541A4" w:rsidP="00954002">
      <w:pPr>
        <w:pStyle w:val="Ttulo2"/>
      </w:pPr>
      <w:bookmarkStart w:id="105" w:name="_Toc26292032"/>
      <w:bookmarkStart w:id="106" w:name="_Toc27146736"/>
      <w:r w:rsidRPr="00AF5A87">
        <w:lastRenderedPageBreak/>
        <w:t xml:space="preserve">b) </w:t>
      </w:r>
      <w:r w:rsidR="00DF6635" w:rsidRPr="00AF5A87">
        <w:t xml:space="preserve">Producción </w:t>
      </w:r>
      <w:r w:rsidR="004A6369" w:rsidRPr="00AF5A87">
        <w:t>p</w:t>
      </w:r>
      <w:r w:rsidR="00DF6635" w:rsidRPr="00AF5A87">
        <w:t>ecuaria</w:t>
      </w:r>
      <w:bookmarkEnd w:id="104"/>
      <w:bookmarkEnd w:id="105"/>
      <w:bookmarkEnd w:id="106"/>
    </w:p>
    <w:p w14:paraId="21CB890A" w14:textId="3FADA508" w:rsidR="002E0A1C" w:rsidRPr="002E0A1C" w:rsidRDefault="00F7234C" w:rsidP="002E0A1C">
      <w:pPr>
        <w:spacing w:after="0" w:line="480" w:lineRule="auto"/>
        <w:ind w:firstLine="720"/>
        <w:jc w:val="both"/>
        <w:rPr>
          <w:rFonts w:ascii="Times New Roman" w:hAnsi="Times New Roman"/>
        </w:rPr>
      </w:pPr>
      <w:r w:rsidRPr="00262440">
        <w:rPr>
          <w:rFonts w:ascii="Times New Roman" w:hAnsi="Times New Roman"/>
        </w:rPr>
        <w:t xml:space="preserve">La producción pecuaria correspondiente a carne de res, cerdo, pollo, miel, leche y huevos, en conjunto lograron alcanzar un volumen de 35,275,319 de </w:t>
      </w:r>
      <w:r w:rsidR="00C93756" w:rsidRPr="00262440">
        <w:rPr>
          <w:rFonts w:ascii="Times New Roman" w:hAnsi="Times New Roman"/>
        </w:rPr>
        <w:t>quintales</w:t>
      </w:r>
      <w:r w:rsidR="00C93756" w:rsidRPr="00262440">
        <w:rPr>
          <w:rStyle w:val="Refdenotaalpie"/>
          <w:rFonts w:ascii="Times New Roman" w:hAnsi="Times New Roman"/>
        </w:rPr>
        <w:footnoteReference w:id="8"/>
      </w:r>
      <w:r w:rsidR="00C93756" w:rsidRPr="00262440">
        <w:rPr>
          <w:rFonts w:ascii="Times New Roman" w:hAnsi="Times New Roman"/>
        </w:rPr>
        <w:t xml:space="preserve">, </w:t>
      </w:r>
      <w:r w:rsidR="002E0A1C" w:rsidRPr="00262440">
        <w:rPr>
          <w:rFonts w:ascii="Times New Roman" w:hAnsi="Times New Roman"/>
        </w:rPr>
        <w:t>para un crecimiento de 3.63%, con relación al año anterior de 34,039,297 quintales.</w:t>
      </w:r>
    </w:p>
    <w:p w14:paraId="18551A47" w14:textId="77777777" w:rsidR="002E0A1C" w:rsidRPr="002E0A1C" w:rsidRDefault="002E0A1C" w:rsidP="002E0A1C">
      <w:pPr>
        <w:spacing w:after="0" w:line="480" w:lineRule="auto"/>
        <w:ind w:firstLine="720"/>
        <w:jc w:val="both"/>
        <w:rPr>
          <w:rFonts w:ascii="Times New Roman" w:hAnsi="Times New Roman"/>
        </w:rPr>
      </w:pPr>
    </w:p>
    <w:p w14:paraId="06F3BD7A" w14:textId="13DDE0E0" w:rsidR="00B15D59" w:rsidRPr="00AE124B" w:rsidRDefault="002E0A1C" w:rsidP="002E0A1C">
      <w:pPr>
        <w:spacing w:after="0" w:line="480" w:lineRule="auto"/>
        <w:ind w:firstLine="720"/>
        <w:jc w:val="both"/>
        <w:rPr>
          <w:rFonts w:ascii="Times New Roman" w:hAnsi="Times New Roman"/>
        </w:rPr>
      </w:pPr>
      <w:r w:rsidRPr="00AE124B">
        <w:rPr>
          <w:rFonts w:ascii="Times New Roman" w:hAnsi="Times New Roman"/>
        </w:rPr>
        <w:t>Los productos que registraron mayor incremento en el volumen producción durante el 2019 respecto al 2018, se destacan:</w:t>
      </w:r>
    </w:p>
    <w:p w14:paraId="3E11A82B" w14:textId="77777777" w:rsidR="002E0A1C" w:rsidRPr="00AE124B" w:rsidRDefault="002E0A1C" w:rsidP="002E0A1C">
      <w:pPr>
        <w:spacing w:after="0" w:line="480" w:lineRule="auto"/>
        <w:ind w:firstLine="720"/>
        <w:jc w:val="both"/>
        <w:rPr>
          <w:rFonts w:ascii="Times New Roman" w:hAnsi="Times New Roman"/>
        </w:rPr>
      </w:pPr>
    </w:p>
    <w:p w14:paraId="4FB89E47" w14:textId="77777777" w:rsidR="00CD09BE" w:rsidRPr="00AE124B" w:rsidRDefault="00CD09BE" w:rsidP="0002431A">
      <w:pPr>
        <w:pStyle w:val="Prrafodelista"/>
        <w:spacing w:after="0" w:line="480" w:lineRule="auto"/>
        <w:ind w:left="426"/>
        <w:jc w:val="both"/>
        <w:rPr>
          <w:rFonts w:ascii="Times New Roman" w:hAnsi="Times New Roman"/>
          <w:b/>
          <w:bCs/>
          <w:sz w:val="28"/>
          <w:lang w:val="es-ES_tradnl"/>
        </w:rPr>
      </w:pPr>
      <w:r w:rsidRPr="00AE124B">
        <w:rPr>
          <w:rFonts w:ascii="Times New Roman" w:hAnsi="Times New Roman"/>
          <w:b/>
          <w:bCs/>
          <w:sz w:val="28"/>
          <w:lang w:val="es-ES_tradnl"/>
        </w:rPr>
        <w:t>Huevos de consumo</w:t>
      </w:r>
    </w:p>
    <w:p w14:paraId="685627FF" w14:textId="02BE145A" w:rsidR="002E0A1C" w:rsidRPr="00AE124B" w:rsidRDefault="002E0A1C" w:rsidP="002E0A1C">
      <w:pPr>
        <w:spacing w:after="0" w:line="480" w:lineRule="auto"/>
        <w:ind w:firstLine="720"/>
        <w:jc w:val="both"/>
        <w:rPr>
          <w:rFonts w:ascii="Times New Roman" w:hAnsi="Times New Roman"/>
        </w:rPr>
      </w:pPr>
      <w:r w:rsidRPr="00AE124B">
        <w:rPr>
          <w:rFonts w:ascii="Times New Roman" w:hAnsi="Times New Roman"/>
        </w:rPr>
        <w:t>Los huevos mostraron un incremento en la producci</w:t>
      </w:r>
      <w:r w:rsidR="00F7234C" w:rsidRPr="00AE124B">
        <w:rPr>
          <w:rFonts w:ascii="Times New Roman" w:hAnsi="Times New Roman"/>
        </w:rPr>
        <w:t>ón de 17.13%, al pasar de 2,070.0</w:t>
      </w:r>
      <w:r w:rsidRPr="00AE124B">
        <w:rPr>
          <w:rFonts w:ascii="Times New Roman" w:hAnsi="Times New Roman"/>
        </w:rPr>
        <w:t xml:space="preserve"> millo</w:t>
      </w:r>
      <w:r w:rsidR="00F7234C" w:rsidRPr="00AE124B">
        <w:rPr>
          <w:rFonts w:ascii="Times New Roman" w:hAnsi="Times New Roman"/>
        </w:rPr>
        <w:t>nes de unidades en 2018 a 2,424.</w:t>
      </w:r>
      <w:r w:rsidRPr="00AE124B">
        <w:rPr>
          <w:rFonts w:ascii="Times New Roman" w:hAnsi="Times New Roman"/>
        </w:rPr>
        <w:t>6 millones de unidades en el 2019.</w:t>
      </w:r>
    </w:p>
    <w:p w14:paraId="35BE908F" w14:textId="511F61E3" w:rsidR="00E556A8" w:rsidRDefault="00E556A8">
      <w:pPr>
        <w:spacing w:after="0"/>
        <w:rPr>
          <w:rFonts w:ascii="Times New Roman" w:hAnsi="Times New Roman"/>
        </w:rPr>
      </w:pPr>
    </w:p>
    <w:p w14:paraId="6ABC9217" w14:textId="77777777" w:rsidR="009F015F" w:rsidRPr="0098414F" w:rsidRDefault="00D97E32" w:rsidP="001C6B1A">
      <w:pPr>
        <w:pStyle w:val="Prrafodelista"/>
        <w:numPr>
          <w:ilvl w:val="0"/>
          <w:numId w:val="8"/>
        </w:numPr>
        <w:spacing w:after="0" w:line="240" w:lineRule="auto"/>
        <w:ind w:firstLine="0"/>
        <w:rPr>
          <w:rFonts w:ascii="Times New Roman" w:hAnsi="Times New Roman"/>
          <w:b/>
          <w:sz w:val="24"/>
          <w:lang w:val="es-ES"/>
        </w:rPr>
      </w:pPr>
      <w:r>
        <w:rPr>
          <w:rFonts w:ascii="Times New Roman" w:hAnsi="Times New Roman"/>
          <w:b/>
          <w:sz w:val="24"/>
          <w:lang w:val="es-ES"/>
        </w:rPr>
        <w:t>Cantidad de huevos de consumo</w:t>
      </w:r>
    </w:p>
    <w:p w14:paraId="5F3D7BE2" w14:textId="157B5CD9" w:rsidR="009F015F" w:rsidRPr="0098414F" w:rsidRDefault="00F7234C" w:rsidP="003F1A9C">
      <w:pPr>
        <w:spacing w:after="0" w:line="480" w:lineRule="auto"/>
        <w:jc w:val="both"/>
        <w:rPr>
          <w:rFonts w:ascii="Times New Roman" w:hAnsi="Times New Roman"/>
        </w:rPr>
      </w:pPr>
      <w:r>
        <w:rPr>
          <w:noProof/>
          <w:lang w:eastAsia="es-DO"/>
        </w:rPr>
        <w:drawing>
          <wp:inline distT="0" distB="0" distL="0" distR="0" wp14:anchorId="38A5A98E" wp14:editId="0F0FD4CC">
            <wp:extent cx="5676900" cy="2809875"/>
            <wp:effectExtent l="0" t="0" r="0" b="0"/>
            <wp:docPr id="13" name="Gráfico 1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2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B483322" w14:textId="77777777" w:rsidR="0056056D" w:rsidRPr="002E0A1C" w:rsidRDefault="0056056D" w:rsidP="002E0A1C">
      <w:pPr>
        <w:spacing w:after="0" w:line="480" w:lineRule="auto"/>
        <w:jc w:val="both"/>
        <w:rPr>
          <w:rFonts w:ascii="Times New Roman" w:hAnsi="Times New Roman"/>
          <w:b/>
          <w:bCs/>
          <w:sz w:val="28"/>
          <w:lang w:val="es-ES_tradnl"/>
        </w:rPr>
      </w:pPr>
      <w:r w:rsidRPr="002E0A1C">
        <w:rPr>
          <w:rFonts w:ascii="Times New Roman" w:hAnsi="Times New Roman"/>
          <w:b/>
          <w:bCs/>
          <w:sz w:val="28"/>
          <w:lang w:val="es-ES_tradnl"/>
        </w:rPr>
        <w:lastRenderedPageBreak/>
        <w:t>Leche líquida</w:t>
      </w:r>
    </w:p>
    <w:p w14:paraId="245CF620" w14:textId="6C2DD767" w:rsidR="00AF5A87" w:rsidRDefault="002E0A1C" w:rsidP="002E0A1C">
      <w:pPr>
        <w:spacing w:after="0" w:line="480" w:lineRule="auto"/>
        <w:ind w:firstLine="720"/>
        <w:jc w:val="both"/>
        <w:rPr>
          <w:rFonts w:ascii="Times New Roman" w:hAnsi="Times New Roman"/>
        </w:rPr>
      </w:pPr>
      <w:r w:rsidRPr="00F43637">
        <w:rPr>
          <w:rFonts w:ascii="Times New Roman" w:hAnsi="Times New Roman"/>
        </w:rPr>
        <w:t>La leche líquida con un crecimiento de 2.26%, pasando de 872,872,747.5 litros en 2018 a 892,571,741 litros en 2019.</w:t>
      </w:r>
    </w:p>
    <w:p w14:paraId="6B98077D" w14:textId="77777777" w:rsidR="00781B92" w:rsidRPr="00F43637" w:rsidRDefault="00781B92" w:rsidP="00781B92">
      <w:pPr>
        <w:spacing w:after="0" w:line="480" w:lineRule="auto"/>
        <w:jc w:val="both"/>
        <w:rPr>
          <w:rFonts w:ascii="Times New Roman" w:hAnsi="Times New Roman"/>
        </w:rPr>
      </w:pPr>
    </w:p>
    <w:p w14:paraId="76F2DBB0" w14:textId="689D0A10" w:rsidR="00F538A2" w:rsidRPr="0098414F" w:rsidRDefault="00F538A2" w:rsidP="001C6B1A">
      <w:pPr>
        <w:pStyle w:val="Prrafodelista"/>
        <w:numPr>
          <w:ilvl w:val="0"/>
          <w:numId w:val="8"/>
        </w:numPr>
        <w:spacing w:after="0" w:line="240" w:lineRule="auto"/>
        <w:ind w:firstLine="0"/>
        <w:rPr>
          <w:rFonts w:ascii="Times New Roman" w:hAnsi="Times New Roman"/>
          <w:b/>
          <w:sz w:val="24"/>
          <w:lang w:val="es-ES"/>
        </w:rPr>
      </w:pPr>
      <w:r>
        <w:rPr>
          <w:rFonts w:ascii="Times New Roman" w:hAnsi="Times New Roman"/>
          <w:b/>
          <w:sz w:val="24"/>
          <w:lang w:val="es-ES"/>
        </w:rPr>
        <w:t>Cantidad de leche consumida</w:t>
      </w:r>
    </w:p>
    <w:p w14:paraId="433293D8" w14:textId="204ED8DD" w:rsidR="00F538A2" w:rsidRPr="00F538A2" w:rsidRDefault="00F538A2" w:rsidP="00F538A2">
      <w:pPr>
        <w:spacing w:after="0"/>
        <w:jc w:val="center"/>
        <w:rPr>
          <w:rFonts w:ascii="Times New Roman" w:hAnsi="Times New Roman"/>
          <w:lang w:val="es-ES"/>
        </w:rPr>
      </w:pPr>
      <w:r>
        <w:rPr>
          <w:noProof/>
          <w:lang w:eastAsia="es-DO"/>
        </w:rPr>
        <w:drawing>
          <wp:inline distT="0" distB="0" distL="0" distR="0" wp14:anchorId="0BE25827" wp14:editId="54B748BD">
            <wp:extent cx="5610225" cy="2705100"/>
            <wp:effectExtent l="0" t="0" r="0" b="0"/>
            <wp:docPr id="25" name="Gráfico 25">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D11E91D" w14:textId="77777777" w:rsidR="00F538A2" w:rsidRDefault="00F538A2" w:rsidP="00AF5A87">
      <w:pPr>
        <w:spacing w:after="0" w:line="480" w:lineRule="auto"/>
        <w:jc w:val="both"/>
        <w:rPr>
          <w:rFonts w:ascii="Times New Roman" w:hAnsi="Times New Roman"/>
          <w:b/>
          <w:bCs/>
          <w:sz w:val="28"/>
          <w:lang w:val="es-ES_tradnl"/>
        </w:rPr>
      </w:pPr>
    </w:p>
    <w:p w14:paraId="1D5AEF63" w14:textId="77777777" w:rsidR="00CD09BE" w:rsidRPr="000D2516" w:rsidRDefault="00CD09BE" w:rsidP="00AF5A87">
      <w:pPr>
        <w:spacing w:after="0" w:line="480" w:lineRule="auto"/>
        <w:jc w:val="both"/>
        <w:rPr>
          <w:rFonts w:ascii="Times New Roman" w:hAnsi="Times New Roman"/>
          <w:b/>
          <w:bCs/>
          <w:sz w:val="28"/>
          <w:lang w:val="es-ES_tradnl"/>
        </w:rPr>
      </w:pPr>
      <w:r w:rsidRPr="000D2516">
        <w:rPr>
          <w:rFonts w:ascii="Times New Roman" w:hAnsi="Times New Roman"/>
          <w:b/>
          <w:bCs/>
          <w:sz w:val="28"/>
          <w:lang w:val="es-ES_tradnl"/>
        </w:rPr>
        <w:t>Pollos terminados</w:t>
      </w:r>
    </w:p>
    <w:p w14:paraId="0AEB459D" w14:textId="7AE9CE74" w:rsidR="00E556A8" w:rsidRDefault="002E0A1C" w:rsidP="002E0A1C">
      <w:pPr>
        <w:spacing w:after="0" w:line="480" w:lineRule="auto"/>
        <w:ind w:firstLine="720"/>
        <w:jc w:val="both"/>
        <w:rPr>
          <w:rFonts w:ascii="Times New Roman" w:hAnsi="Times New Roman"/>
        </w:rPr>
      </w:pPr>
      <w:r w:rsidRPr="000D2516">
        <w:rPr>
          <w:rFonts w:ascii="Times New Roman" w:hAnsi="Times New Roman"/>
        </w:rPr>
        <w:t>El pollo con un crecimiento de 1.47%, pasando de 213,820,219.2 unidades en 2018 a 216,960,484 unidades en el 2019.</w:t>
      </w:r>
    </w:p>
    <w:p w14:paraId="00093F15" w14:textId="42643408" w:rsidR="00781B92" w:rsidRDefault="00781B92">
      <w:pPr>
        <w:spacing w:after="0"/>
        <w:rPr>
          <w:rFonts w:ascii="Times New Roman" w:hAnsi="Times New Roman"/>
        </w:rPr>
      </w:pPr>
      <w:r>
        <w:rPr>
          <w:rFonts w:ascii="Times New Roman" w:hAnsi="Times New Roman"/>
        </w:rPr>
        <w:br w:type="page"/>
      </w:r>
    </w:p>
    <w:p w14:paraId="7EDA4E94" w14:textId="77777777" w:rsidR="009F015F" w:rsidRDefault="009F015F" w:rsidP="001C6B1A">
      <w:pPr>
        <w:pStyle w:val="Prrafodelista"/>
        <w:numPr>
          <w:ilvl w:val="0"/>
          <w:numId w:val="8"/>
        </w:numPr>
        <w:spacing w:after="0" w:line="240" w:lineRule="auto"/>
        <w:ind w:firstLine="0"/>
        <w:rPr>
          <w:rFonts w:ascii="Times New Roman" w:hAnsi="Times New Roman"/>
          <w:b/>
          <w:sz w:val="24"/>
          <w:lang w:val="es-ES"/>
        </w:rPr>
      </w:pPr>
      <w:r w:rsidRPr="0098414F">
        <w:rPr>
          <w:rFonts w:ascii="Times New Roman" w:hAnsi="Times New Roman"/>
          <w:b/>
          <w:sz w:val="24"/>
          <w:lang w:val="es-ES"/>
        </w:rPr>
        <w:lastRenderedPageBreak/>
        <w:t xml:space="preserve">Cantidad de pollos </w:t>
      </w:r>
    </w:p>
    <w:p w14:paraId="18058CF6" w14:textId="28DCA430" w:rsidR="0075382F" w:rsidRDefault="00F7234C" w:rsidP="003F1A9C">
      <w:pPr>
        <w:spacing w:after="0" w:line="480" w:lineRule="auto"/>
        <w:rPr>
          <w:rFonts w:ascii="Times New Roman" w:hAnsi="Times New Roman"/>
        </w:rPr>
      </w:pPr>
      <w:r w:rsidRPr="00F73FE8">
        <w:rPr>
          <w:noProof/>
          <w:lang w:eastAsia="es-DO"/>
        </w:rPr>
        <w:drawing>
          <wp:inline distT="0" distB="0" distL="0" distR="0" wp14:anchorId="185657B3" wp14:editId="1C142618">
            <wp:extent cx="5143500" cy="2790825"/>
            <wp:effectExtent l="0" t="0" r="0" b="0"/>
            <wp:docPr id="60" name="Gráfico 60">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1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3A3C558" w14:textId="77777777" w:rsidR="00CD09BE" w:rsidRPr="000D2516" w:rsidRDefault="00CD09BE" w:rsidP="0020047B">
      <w:pPr>
        <w:pStyle w:val="Prrafodelista"/>
        <w:numPr>
          <w:ilvl w:val="0"/>
          <w:numId w:val="7"/>
        </w:numPr>
        <w:spacing w:after="0" w:line="480" w:lineRule="auto"/>
        <w:ind w:left="0" w:firstLine="426"/>
        <w:jc w:val="both"/>
        <w:rPr>
          <w:rFonts w:ascii="Times New Roman" w:hAnsi="Times New Roman"/>
          <w:b/>
          <w:bCs/>
          <w:sz w:val="28"/>
          <w:lang w:val="es-ES_tradnl"/>
        </w:rPr>
      </w:pPr>
      <w:r w:rsidRPr="000D2516">
        <w:rPr>
          <w:rFonts w:ascii="Times New Roman" w:hAnsi="Times New Roman"/>
          <w:b/>
          <w:bCs/>
          <w:sz w:val="28"/>
          <w:lang w:val="es-ES_tradnl"/>
        </w:rPr>
        <w:t>Cerdo</w:t>
      </w:r>
    </w:p>
    <w:p w14:paraId="7CD691AA" w14:textId="0E42492C" w:rsidR="006D3B7C" w:rsidRPr="000D2516" w:rsidRDefault="00DA572E" w:rsidP="00D73DA3">
      <w:pPr>
        <w:spacing w:after="0" w:line="480" w:lineRule="auto"/>
        <w:ind w:firstLine="720"/>
        <w:jc w:val="both"/>
        <w:rPr>
          <w:rFonts w:ascii="Times New Roman" w:hAnsi="Times New Roman"/>
        </w:rPr>
      </w:pPr>
      <w:r w:rsidRPr="000D2516">
        <w:rPr>
          <w:rFonts w:ascii="Times New Roman" w:hAnsi="Times New Roman"/>
        </w:rPr>
        <w:t>La producción de carne d</w:t>
      </w:r>
      <w:r w:rsidR="00207377" w:rsidRPr="000D2516">
        <w:rPr>
          <w:rFonts w:ascii="Times New Roman" w:hAnsi="Times New Roman"/>
        </w:rPr>
        <w:t xml:space="preserve">e cerdo experimentó un ligero </w:t>
      </w:r>
      <w:r w:rsidRPr="000D2516">
        <w:rPr>
          <w:rFonts w:ascii="Times New Roman" w:hAnsi="Times New Roman"/>
        </w:rPr>
        <w:t xml:space="preserve">crecimiento de 4.86%, pasando de </w:t>
      </w:r>
      <w:r w:rsidR="00207377" w:rsidRPr="000D2516">
        <w:rPr>
          <w:rFonts w:ascii="Times New Roman" w:hAnsi="Times New Roman"/>
        </w:rPr>
        <w:t>1,331.03 miles de</w:t>
      </w:r>
      <w:r w:rsidRPr="000D2516">
        <w:rPr>
          <w:rFonts w:ascii="Times New Roman" w:hAnsi="Times New Roman"/>
        </w:rPr>
        <w:t xml:space="preserve"> kilogramos en 2018 a </w:t>
      </w:r>
      <w:r w:rsidR="00207377" w:rsidRPr="000D2516">
        <w:rPr>
          <w:rFonts w:ascii="Times New Roman" w:hAnsi="Times New Roman"/>
        </w:rPr>
        <w:t xml:space="preserve">1,395.71 miles de </w:t>
      </w:r>
      <w:r w:rsidR="00D73DA3" w:rsidRPr="000D2516">
        <w:rPr>
          <w:rFonts w:ascii="Times New Roman" w:hAnsi="Times New Roman"/>
        </w:rPr>
        <w:t xml:space="preserve">kilogramos de </w:t>
      </w:r>
      <w:r w:rsidR="00207377" w:rsidRPr="000D2516">
        <w:rPr>
          <w:rFonts w:ascii="Times New Roman" w:hAnsi="Times New Roman"/>
        </w:rPr>
        <w:t xml:space="preserve">carne de </w:t>
      </w:r>
      <w:r w:rsidR="00D73DA3" w:rsidRPr="000D2516">
        <w:rPr>
          <w:rFonts w:ascii="Times New Roman" w:hAnsi="Times New Roman"/>
        </w:rPr>
        <w:t>cerdos en 2019.</w:t>
      </w:r>
    </w:p>
    <w:p w14:paraId="7E61CD2D" w14:textId="77777777" w:rsidR="007A5DCD" w:rsidRDefault="007A5DCD">
      <w:pPr>
        <w:spacing w:after="0"/>
        <w:rPr>
          <w:rFonts w:ascii="Times New Roman" w:hAnsi="Times New Roman"/>
        </w:rPr>
      </w:pPr>
    </w:p>
    <w:p w14:paraId="488175BD" w14:textId="77777777" w:rsidR="006D3B7C" w:rsidRDefault="006D3B7C" w:rsidP="001C6B1A">
      <w:pPr>
        <w:pStyle w:val="Prrafodelista"/>
        <w:numPr>
          <w:ilvl w:val="0"/>
          <w:numId w:val="8"/>
        </w:numPr>
        <w:spacing w:after="0" w:line="240" w:lineRule="auto"/>
        <w:ind w:firstLine="0"/>
        <w:rPr>
          <w:rFonts w:ascii="Times New Roman" w:hAnsi="Times New Roman"/>
          <w:b/>
          <w:sz w:val="24"/>
          <w:lang w:val="es-ES"/>
        </w:rPr>
      </w:pPr>
      <w:r>
        <w:rPr>
          <w:rFonts w:ascii="Times New Roman" w:hAnsi="Times New Roman"/>
          <w:b/>
          <w:sz w:val="24"/>
          <w:lang w:val="es-ES"/>
        </w:rPr>
        <w:t>Producción de cerdos</w:t>
      </w:r>
    </w:p>
    <w:p w14:paraId="298EC0E8" w14:textId="41FE9EA2" w:rsidR="006D3B7C" w:rsidRPr="0098414F" w:rsidRDefault="00F7234C" w:rsidP="006D3B7C">
      <w:pPr>
        <w:spacing w:after="0" w:line="480" w:lineRule="auto"/>
        <w:jc w:val="both"/>
        <w:rPr>
          <w:rFonts w:ascii="Times New Roman" w:hAnsi="Times New Roman"/>
        </w:rPr>
      </w:pPr>
      <w:r w:rsidRPr="00F73FE8">
        <w:rPr>
          <w:noProof/>
          <w:lang w:eastAsia="es-DO"/>
        </w:rPr>
        <w:drawing>
          <wp:inline distT="0" distB="0" distL="0" distR="0" wp14:anchorId="6018899C" wp14:editId="6AA13221">
            <wp:extent cx="5410200" cy="2790825"/>
            <wp:effectExtent l="0" t="0" r="0" b="0"/>
            <wp:docPr id="142" name="Gráfico 14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2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48B57AD" w14:textId="77777777" w:rsidR="00E34CA3" w:rsidRDefault="00E34CA3" w:rsidP="00B53199">
      <w:pPr>
        <w:spacing w:after="0" w:line="480" w:lineRule="auto"/>
        <w:jc w:val="both"/>
        <w:rPr>
          <w:rFonts w:ascii="Times New Roman" w:hAnsi="Times New Roman"/>
        </w:rPr>
      </w:pPr>
    </w:p>
    <w:p w14:paraId="50AF680E" w14:textId="77777777" w:rsidR="0002431A" w:rsidRPr="0098414F" w:rsidRDefault="0002431A" w:rsidP="0020047B">
      <w:pPr>
        <w:pStyle w:val="Prrafodelista"/>
        <w:numPr>
          <w:ilvl w:val="0"/>
          <w:numId w:val="7"/>
        </w:numPr>
        <w:spacing w:after="0" w:line="480" w:lineRule="auto"/>
        <w:ind w:left="0" w:firstLine="426"/>
        <w:jc w:val="both"/>
        <w:rPr>
          <w:rFonts w:ascii="Times New Roman" w:hAnsi="Times New Roman"/>
          <w:b/>
          <w:bCs/>
          <w:sz w:val="28"/>
          <w:lang w:val="es-ES_tradnl"/>
        </w:rPr>
      </w:pPr>
      <w:r>
        <w:rPr>
          <w:rFonts w:ascii="Times New Roman" w:hAnsi="Times New Roman"/>
          <w:b/>
          <w:bCs/>
          <w:sz w:val="28"/>
          <w:lang w:val="es-ES_tradnl"/>
        </w:rPr>
        <w:lastRenderedPageBreak/>
        <w:t>Carne de Res</w:t>
      </w:r>
    </w:p>
    <w:p w14:paraId="134632C9" w14:textId="4FDEA15E" w:rsidR="00DA572E" w:rsidRPr="00F43637" w:rsidRDefault="00DA572E" w:rsidP="00DA572E">
      <w:pPr>
        <w:spacing w:after="0" w:line="480" w:lineRule="auto"/>
        <w:ind w:firstLine="720"/>
        <w:jc w:val="both"/>
        <w:rPr>
          <w:rFonts w:ascii="Times New Roman" w:hAnsi="Times New Roman"/>
        </w:rPr>
      </w:pPr>
      <w:r w:rsidRPr="00F43637">
        <w:rPr>
          <w:rFonts w:ascii="Times New Roman" w:hAnsi="Times New Roman"/>
        </w:rPr>
        <w:t>La producción de carne de res logró un crecimie</w:t>
      </w:r>
      <w:r w:rsidR="00F7234C" w:rsidRPr="00F43637">
        <w:rPr>
          <w:rFonts w:ascii="Times New Roman" w:hAnsi="Times New Roman"/>
        </w:rPr>
        <w:t>nt</w:t>
      </w:r>
      <w:r w:rsidR="00207377" w:rsidRPr="00F43637">
        <w:rPr>
          <w:rFonts w:ascii="Times New Roman" w:hAnsi="Times New Roman"/>
        </w:rPr>
        <w:t>o de 1.62%, pasando de 1,604.77</w:t>
      </w:r>
      <w:r w:rsidRPr="00F43637">
        <w:rPr>
          <w:rFonts w:ascii="Times New Roman" w:hAnsi="Times New Roman"/>
        </w:rPr>
        <w:t xml:space="preserve"> miles de quintales </w:t>
      </w:r>
      <w:r w:rsidR="00F7234C" w:rsidRPr="00F43637">
        <w:rPr>
          <w:rFonts w:ascii="Times New Roman" w:hAnsi="Times New Roman"/>
        </w:rPr>
        <w:t>de carne de res en 2018 a 1,630.</w:t>
      </w:r>
      <w:r w:rsidRPr="00F43637">
        <w:rPr>
          <w:rFonts w:ascii="Times New Roman" w:hAnsi="Times New Roman"/>
        </w:rPr>
        <w:t>83 miles de quintales en el 2019.</w:t>
      </w:r>
    </w:p>
    <w:p w14:paraId="1A5858C5" w14:textId="77777777" w:rsidR="007A5DCD" w:rsidRDefault="007A5DCD">
      <w:pPr>
        <w:spacing w:after="0"/>
        <w:rPr>
          <w:rFonts w:ascii="Times New Roman" w:hAnsi="Times New Roman"/>
          <w:lang w:val="es-ES_tradnl"/>
        </w:rPr>
      </w:pPr>
    </w:p>
    <w:p w14:paraId="4A52456C" w14:textId="2224B675" w:rsidR="0002431A" w:rsidRDefault="0002431A" w:rsidP="001C6B1A">
      <w:pPr>
        <w:pStyle w:val="Prrafodelista"/>
        <w:numPr>
          <w:ilvl w:val="0"/>
          <w:numId w:val="8"/>
        </w:numPr>
        <w:spacing w:after="0" w:line="240" w:lineRule="auto"/>
        <w:ind w:firstLine="0"/>
        <w:rPr>
          <w:rFonts w:ascii="Times New Roman" w:hAnsi="Times New Roman"/>
          <w:b/>
          <w:sz w:val="24"/>
          <w:lang w:val="es-ES"/>
        </w:rPr>
      </w:pPr>
      <w:r>
        <w:rPr>
          <w:rFonts w:ascii="Times New Roman" w:hAnsi="Times New Roman"/>
          <w:b/>
          <w:sz w:val="24"/>
          <w:lang w:val="es-ES"/>
        </w:rPr>
        <w:t>Producción de Res</w:t>
      </w:r>
    </w:p>
    <w:p w14:paraId="513E217E" w14:textId="2972F186" w:rsidR="0002431A" w:rsidRDefault="00F7234C" w:rsidP="0002431A">
      <w:pPr>
        <w:spacing w:after="0" w:line="480" w:lineRule="auto"/>
        <w:rPr>
          <w:rFonts w:ascii="Times New Roman" w:hAnsi="Times New Roman"/>
          <w:b/>
          <w:lang w:val="es-ES"/>
        </w:rPr>
      </w:pPr>
      <w:r>
        <w:rPr>
          <w:noProof/>
          <w:lang w:eastAsia="es-DO"/>
        </w:rPr>
        <w:drawing>
          <wp:inline distT="0" distB="0" distL="0" distR="0" wp14:anchorId="39A86424" wp14:editId="2FE83B6E">
            <wp:extent cx="5524500" cy="2622885"/>
            <wp:effectExtent l="0" t="0" r="0" b="6350"/>
            <wp:docPr id="143" name="Gráfico 14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2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9DC3741" w14:textId="77777777" w:rsidR="00DA6512" w:rsidRPr="000A1693" w:rsidRDefault="00DA6512" w:rsidP="000A1693">
      <w:pPr>
        <w:rPr>
          <w:lang w:eastAsia="en-US" w:bidi="en-US"/>
        </w:rPr>
      </w:pPr>
      <w:bookmarkStart w:id="107" w:name="_Toc470523336"/>
    </w:p>
    <w:p w14:paraId="713EFFF7" w14:textId="1F7AE518" w:rsidR="00DF6635" w:rsidRPr="00AF5A87" w:rsidRDefault="00AC65A9" w:rsidP="00954002">
      <w:pPr>
        <w:pStyle w:val="Ttulo2"/>
      </w:pPr>
      <w:bookmarkStart w:id="108" w:name="_Toc26292033"/>
      <w:bookmarkStart w:id="109" w:name="_Toc27146737"/>
      <w:r>
        <w:t>c</w:t>
      </w:r>
      <w:r w:rsidR="00F541A4" w:rsidRPr="00AF5A87">
        <w:t xml:space="preserve">) </w:t>
      </w:r>
      <w:r w:rsidR="00DF6635" w:rsidRPr="00AF5A87">
        <w:t xml:space="preserve">Producción </w:t>
      </w:r>
      <w:r w:rsidR="004A6369" w:rsidRPr="00AF5A87">
        <w:t>b</w:t>
      </w:r>
      <w:r w:rsidR="00DF6635" w:rsidRPr="00AF5A87">
        <w:t xml:space="preserve">ajo </w:t>
      </w:r>
      <w:r w:rsidR="004A6369" w:rsidRPr="00AF5A87">
        <w:t>a</w:t>
      </w:r>
      <w:r w:rsidR="00DF6635" w:rsidRPr="00AF5A87">
        <w:t xml:space="preserve">mbiente </w:t>
      </w:r>
      <w:r w:rsidR="004A6369" w:rsidRPr="00AF5A87">
        <w:t>p</w:t>
      </w:r>
      <w:r w:rsidR="00DF6635" w:rsidRPr="00AF5A87">
        <w:t>rotegido (Invernaderos)</w:t>
      </w:r>
      <w:bookmarkEnd w:id="107"/>
      <w:bookmarkEnd w:id="108"/>
      <w:bookmarkEnd w:id="109"/>
    </w:p>
    <w:p w14:paraId="3E38E85C" w14:textId="15D9C074" w:rsidR="00F7234C" w:rsidRPr="006D44A5" w:rsidRDefault="00F7234C" w:rsidP="00F7234C">
      <w:pPr>
        <w:spacing w:after="0" w:line="480" w:lineRule="auto"/>
        <w:ind w:firstLine="720"/>
        <w:jc w:val="both"/>
        <w:rPr>
          <w:rFonts w:ascii="Times New Roman" w:hAnsi="Times New Roman"/>
        </w:rPr>
      </w:pPr>
      <w:r w:rsidRPr="006D44A5">
        <w:rPr>
          <w:rFonts w:ascii="Times New Roman" w:hAnsi="Times New Roman"/>
        </w:rPr>
        <w:t>Durante el 2019, la producción de vegetales registró un volumen de producción de 147.5 millones de libras, para un ligero crecimiento de 0.6% con relación al año anterior, destacándose las diversas variedades</w:t>
      </w:r>
      <w:r w:rsidR="0010778D" w:rsidRPr="006D44A5">
        <w:rPr>
          <w:rFonts w:ascii="Times New Roman" w:hAnsi="Times New Roman"/>
        </w:rPr>
        <w:t xml:space="preserve"> de</w:t>
      </w:r>
      <w:r w:rsidRPr="006D44A5">
        <w:rPr>
          <w:rFonts w:ascii="Times New Roman" w:hAnsi="Times New Roman"/>
        </w:rPr>
        <w:t xml:space="preserve"> Ajíes entre estas (Cubanela, morrón, Picante y Ca</w:t>
      </w:r>
      <w:r w:rsidR="003270EA">
        <w:rPr>
          <w:rFonts w:ascii="Times New Roman" w:hAnsi="Times New Roman"/>
        </w:rPr>
        <w:t>chucha) con un incremento de 26</w:t>
      </w:r>
      <w:r w:rsidRPr="006D44A5">
        <w:rPr>
          <w:rFonts w:ascii="Times New Roman" w:hAnsi="Times New Roman"/>
        </w:rPr>
        <w:t>%, al pasar de 41.50 millones de libras en el 2018 a 52.49 millones de libras en el 2019</w:t>
      </w:r>
      <w:r w:rsidR="0010778D" w:rsidRPr="006D44A5">
        <w:rPr>
          <w:rFonts w:ascii="Times New Roman" w:hAnsi="Times New Roman"/>
        </w:rPr>
        <w:t>. L</w:t>
      </w:r>
      <w:r w:rsidRPr="006D44A5">
        <w:rPr>
          <w:rFonts w:ascii="Times New Roman" w:hAnsi="Times New Roman"/>
        </w:rPr>
        <w:t>as Hier</w:t>
      </w:r>
      <w:r w:rsidR="0010778D" w:rsidRPr="006D44A5">
        <w:rPr>
          <w:rFonts w:ascii="Times New Roman" w:hAnsi="Times New Roman"/>
        </w:rPr>
        <w:t>b</w:t>
      </w:r>
      <w:r w:rsidRPr="006D44A5">
        <w:rPr>
          <w:rFonts w:ascii="Times New Roman" w:hAnsi="Times New Roman"/>
        </w:rPr>
        <w:t>as Aromáticas con un incremento de 39% al pasar de 1.20 millones de libras en el 2018 a 1.66 millones de libras en el 2019.</w:t>
      </w:r>
    </w:p>
    <w:p w14:paraId="149886D1" w14:textId="77777777" w:rsidR="00753EA4" w:rsidRPr="006D44A5" w:rsidRDefault="00753EA4" w:rsidP="00753EA4">
      <w:pPr>
        <w:spacing w:after="0" w:line="480" w:lineRule="auto"/>
        <w:ind w:firstLine="720"/>
        <w:jc w:val="both"/>
        <w:rPr>
          <w:rFonts w:ascii="Times New Roman" w:hAnsi="Times New Roman"/>
        </w:rPr>
      </w:pPr>
    </w:p>
    <w:p w14:paraId="3A78CC34" w14:textId="25498EA5" w:rsidR="00753EA4" w:rsidRPr="00AF5A87" w:rsidRDefault="00753EA4" w:rsidP="00753EA4">
      <w:pPr>
        <w:spacing w:after="0" w:line="480" w:lineRule="auto"/>
        <w:ind w:firstLine="709"/>
        <w:jc w:val="both"/>
        <w:rPr>
          <w:rFonts w:ascii="Times New Roman" w:hAnsi="Times New Roman"/>
          <w:szCs w:val="26"/>
        </w:rPr>
      </w:pPr>
      <w:r w:rsidRPr="006D44A5">
        <w:rPr>
          <w:rFonts w:ascii="Times New Roman" w:hAnsi="Times New Roman"/>
        </w:rPr>
        <w:lastRenderedPageBreak/>
        <w:t xml:space="preserve">El crecimiento experimentado en la producción </w:t>
      </w:r>
      <w:r w:rsidR="009F1486" w:rsidRPr="006D44A5">
        <w:rPr>
          <w:rFonts w:ascii="Times New Roman" w:hAnsi="Times New Roman"/>
        </w:rPr>
        <w:t>en invernaderos obedece</w:t>
      </w:r>
      <w:r w:rsidRPr="006D44A5">
        <w:rPr>
          <w:rFonts w:ascii="Times New Roman" w:hAnsi="Times New Roman"/>
          <w:szCs w:val="26"/>
        </w:rPr>
        <w:t xml:space="preserve"> a la política de financiamiento implementada por el </w:t>
      </w:r>
      <w:r w:rsidR="009F1486" w:rsidRPr="006D44A5">
        <w:rPr>
          <w:rFonts w:ascii="Times New Roman" w:hAnsi="Times New Roman"/>
          <w:szCs w:val="26"/>
        </w:rPr>
        <w:t>G</w:t>
      </w:r>
      <w:r w:rsidRPr="006D44A5">
        <w:rPr>
          <w:rFonts w:ascii="Times New Roman" w:hAnsi="Times New Roman"/>
          <w:szCs w:val="26"/>
        </w:rPr>
        <w:t>obierno</w:t>
      </w:r>
      <w:r w:rsidR="008C3602" w:rsidRPr="006D44A5">
        <w:rPr>
          <w:rFonts w:ascii="Times New Roman" w:hAnsi="Times New Roman"/>
          <w:szCs w:val="26"/>
        </w:rPr>
        <w:t xml:space="preserve"> Dominicano</w:t>
      </w:r>
      <w:r w:rsidRPr="006D44A5">
        <w:rPr>
          <w:rFonts w:ascii="Times New Roman" w:hAnsi="Times New Roman"/>
          <w:szCs w:val="26"/>
        </w:rPr>
        <w:t>, a través del Banco Agrícola y el Fondo Especial para el Desarrollo Agropecuario (FEDA), además de otros organ</w:t>
      </w:r>
      <w:r w:rsidR="009F1486" w:rsidRPr="006D44A5">
        <w:rPr>
          <w:rFonts w:ascii="Times New Roman" w:hAnsi="Times New Roman"/>
          <w:szCs w:val="26"/>
        </w:rPr>
        <w:t>ismos financieros que ofrecen</w:t>
      </w:r>
      <w:r w:rsidRPr="006D44A5">
        <w:rPr>
          <w:rFonts w:ascii="Times New Roman" w:hAnsi="Times New Roman"/>
          <w:szCs w:val="26"/>
        </w:rPr>
        <w:t xml:space="preserve"> apoyo al subsector.</w:t>
      </w:r>
    </w:p>
    <w:p w14:paraId="473EBD48" w14:textId="77777777" w:rsidR="009F1486" w:rsidRDefault="009F1486" w:rsidP="00753EA4">
      <w:pPr>
        <w:spacing w:after="0" w:line="480" w:lineRule="auto"/>
        <w:ind w:firstLine="709"/>
        <w:jc w:val="both"/>
        <w:rPr>
          <w:rFonts w:ascii="Times New Roman" w:hAnsi="Times New Roman"/>
          <w:szCs w:val="26"/>
        </w:rPr>
      </w:pPr>
    </w:p>
    <w:p w14:paraId="4CF05D8E" w14:textId="31DBBE3E" w:rsidR="009F1486" w:rsidRPr="006D44A5" w:rsidRDefault="006D44A5" w:rsidP="00753EA4">
      <w:pPr>
        <w:spacing w:after="0" w:line="480" w:lineRule="auto"/>
        <w:ind w:firstLine="709"/>
        <w:jc w:val="both"/>
        <w:rPr>
          <w:rFonts w:ascii="Times New Roman" w:hAnsi="Times New Roman"/>
          <w:kern w:val="28"/>
          <w:lang w:val="es-ES" w:eastAsia="es-DO"/>
        </w:rPr>
      </w:pPr>
      <w:r w:rsidRPr="006D44A5">
        <w:rPr>
          <w:rFonts w:ascii="Times New Roman" w:hAnsi="Times New Roman"/>
        </w:rPr>
        <w:t>Así</w:t>
      </w:r>
      <w:r w:rsidR="004B00E0" w:rsidRPr="006D44A5">
        <w:rPr>
          <w:rFonts w:ascii="Times New Roman" w:hAnsi="Times New Roman"/>
        </w:rPr>
        <w:t xml:space="preserve"> como también el </w:t>
      </w:r>
      <w:r w:rsidR="004B00E0" w:rsidRPr="006D44A5">
        <w:rPr>
          <w:rFonts w:ascii="Times New Roman" w:hAnsi="Times New Roman"/>
          <w:kern w:val="28"/>
          <w:lang w:val="es-ES" w:eastAsia="es-DO"/>
        </w:rPr>
        <w:t xml:space="preserve">establecimiento y mantenimiento de la </w:t>
      </w:r>
      <w:r w:rsidR="00753EA4" w:rsidRPr="006D44A5">
        <w:rPr>
          <w:rFonts w:ascii="Times New Roman" w:hAnsi="Times New Roman"/>
          <w:kern w:val="28"/>
          <w:lang w:val="es-ES" w:eastAsia="es-DO"/>
        </w:rPr>
        <w:t>calendarización</w:t>
      </w:r>
      <w:r w:rsidR="004B00E0" w:rsidRPr="006D44A5">
        <w:rPr>
          <w:rFonts w:ascii="Times New Roman" w:hAnsi="Times New Roman"/>
          <w:kern w:val="28"/>
          <w:lang w:val="es-ES" w:eastAsia="es-DO"/>
        </w:rPr>
        <w:t xml:space="preserve"> y</w:t>
      </w:r>
      <w:r w:rsidR="00753EA4" w:rsidRPr="006D44A5">
        <w:rPr>
          <w:rFonts w:ascii="Times New Roman" w:hAnsi="Times New Roman"/>
          <w:kern w:val="28"/>
          <w:lang w:val="es-ES" w:eastAsia="es-DO"/>
        </w:rPr>
        <w:t xml:space="preserve"> </w:t>
      </w:r>
      <w:r w:rsidRPr="006D44A5">
        <w:rPr>
          <w:rFonts w:ascii="Times New Roman" w:hAnsi="Times New Roman"/>
          <w:kern w:val="28"/>
          <w:lang w:val="es-ES" w:eastAsia="es-DO"/>
        </w:rPr>
        <w:t xml:space="preserve">de las condiciones </w:t>
      </w:r>
      <w:r w:rsidR="00753EA4" w:rsidRPr="006D44A5">
        <w:rPr>
          <w:rFonts w:ascii="Times New Roman" w:hAnsi="Times New Roman"/>
          <w:kern w:val="28"/>
          <w:lang w:val="es-ES" w:eastAsia="es-DO"/>
        </w:rPr>
        <w:t xml:space="preserve">de las siembras y eliminación de las plantaciones al finalizar las cosechas, de maneras sincronizadas, de todos tipos de ajíes </w:t>
      </w:r>
      <w:r w:rsidR="00753EA4" w:rsidRPr="006D44A5">
        <w:rPr>
          <w:rFonts w:ascii="Times New Roman" w:hAnsi="Times New Roman"/>
          <w:lang w:val="es-ES"/>
        </w:rPr>
        <w:t>(dulce y picante)</w:t>
      </w:r>
      <w:r w:rsidR="005D4E24">
        <w:rPr>
          <w:rFonts w:ascii="Times New Roman" w:hAnsi="Times New Roman"/>
          <w:lang w:val="es-ES"/>
        </w:rPr>
        <w:t xml:space="preserve">, lo que </w:t>
      </w:r>
      <w:r w:rsidR="009F1486" w:rsidRPr="006D44A5">
        <w:rPr>
          <w:rFonts w:ascii="Times New Roman" w:eastAsia="Calibri" w:hAnsi="Times New Roman"/>
          <w:lang w:eastAsia="en-US"/>
        </w:rPr>
        <w:t xml:space="preserve">permite </w:t>
      </w:r>
      <w:r w:rsidR="00753EA4" w:rsidRPr="006D44A5">
        <w:rPr>
          <w:rFonts w:ascii="Times New Roman" w:eastAsia="Calibri" w:hAnsi="Times New Roman"/>
          <w:lang w:eastAsia="en-US"/>
        </w:rPr>
        <w:t>reducir significativamente el ataque de la virosis (TSWV) transmitida por el Trips Frankliniella Occidentalis</w:t>
      </w:r>
      <w:r w:rsidR="009F1486" w:rsidRPr="006D44A5">
        <w:rPr>
          <w:rFonts w:ascii="Times New Roman" w:eastAsia="Calibri" w:hAnsi="Times New Roman"/>
          <w:lang w:eastAsia="en-US"/>
        </w:rPr>
        <w:t xml:space="preserve"> y</w:t>
      </w:r>
      <w:r w:rsidR="00753EA4" w:rsidRPr="006D44A5">
        <w:rPr>
          <w:rFonts w:ascii="Times New Roman" w:eastAsia="Calibri" w:hAnsi="Times New Roman"/>
          <w:lang w:eastAsia="en-US"/>
        </w:rPr>
        <w:t xml:space="preserve"> </w:t>
      </w:r>
      <w:r w:rsidR="00AF5A87" w:rsidRPr="006D44A5">
        <w:rPr>
          <w:rFonts w:ascii="Times New Roman" w:eastAsia="Calibri" w:hAnsi="Times New Roman"/>
          <w:lang w:eastAsia="en-US"/>
        </w:rPr>
        <w:t>otras</w:t>
      </w:r>
      <w:r w:rsidR="009F1486" w:rsidRPr="006D44A5">
        <w:rPr>
          <w:rFonts w:ascii="Times New Roman" w:eastAsia="Calibri" w:hAnsi="Times New Roman"/>
          <w:lang w:eastAsia="en-US"/>
        </w:rPr>
        <w:t xml:space="preserve"> plagas y enfermedades, para alcanzar mayores niveles de cosecha</w:t>
      </w:r>
      <w:r w:rsidR="00AF5A87" w:rsidRPr="006D44A5">
        <w:rPr>
          <w:rFonts w:ascii="Times New Roman" w:eastAsia="Calibri" w:hAnsi="Times New Roman"/>
          <w:lang w:eastAsia="en-US"/>
        </w:rPr>
        <w:t>s y mayor rendimiento</w:t>
      </w:r>
      <w:r w:rsidR="009F1486" w:rsidRPr="006D44A5">
        <w:rPr>
          <w:rFonts w:ascii="Times New Roman" w:eastAsia="Calibri" w:hAnsi="Times New Roman"/>
          <w:lang w:eastAsia="en-US"/>
        </w:rPr>
        <w:t>, al tiempo de fortalecer la s</w:t>
      </w:r>
      <w:r w:rsidR="009F1486" w:rsidRPr="006D44A5">
        <w:rPr>
          <w:rFonts w:ascii="Times New Roman" w:hAnsi="Times New Roman"/>
          <w:kern w:val="28"/>
          <w:lang w:val="es-ES" w:eastAsia="es-DO"/>
        </w:rPr>
        <w:t xml:space="preserve">anida </w:t>
      </w:r>
      <w:r w:rsidR="00753EA4" w:rsidRPr="006D44A5">
        <w:rPr>
          <w:rFonts w:ascii="Times New Roman" w:hAnsi="Times New Roman"/>
          <w:kern w:val="28"/>
          <w:lang w:val="es-ES" w:eastAsia="es-DO"/>
        </w:rPr>
        <w:t>vegetal</w:t>
      </w:r>
      <w:r w:rsidR="009F1486" w:rsidRPr="006D44A5">
        <w:rPr>
          <w:rFonts w:ascii="Times New Roman" w:hAnsi="Times New Roman"/>
          <w:kern w:val="28"/>
          <w:lang w:val="es-ES" w:eastAsia="es-DO"/>
        </w:rPr>
        <w:t xml:space="preserve"> e inocuidad de los alimentos.</w:t>
      </w:r>
    </w:p>
    <w:p w14:paraId="3C41E7BA" w14:textId="77777777" w:rsidR="009F1486" w:rsidRPr="00AF5A87" w:rsidRDefault="009F1486" w:rsidP="00753EA4">
      <w:pPr>
        <w:spacing w:after="0" w:line="480" w:lineRule="auto"/>
        <w:ind w:firstLine="709"/>
        <w:jc w:val="both"/>
        <w:rPr>
          <w:rFonts w:ascii="Times New Roman" w:hAnsi="Times New Roman"/>
          <w:kern w:val="28"/>
          <w:lang w:val="es-ES" w:eastAsia="es-DO"/>
        </w:rPr>
      </w:pPr>
    </w:p>
    <w:p w14:paraId="56143164" w14:textId="293FB08C" w:rsidR="00753EA4" w:rsidRDefault="008C3602" w:rsidP="001D5D7D">
      <w:pPr>
        <w:spacing w:after="0" w:line="480" w:lineRule="auto"/>
        <w:ind w:firstLine="709"/>
        <w:jc w:val="both"/>
        <w:rPr>
          <w:rFonts w:ascii="Times New Roman" w:hAnsi="Times New Roman"/>
          <w:kern w:val="28"/>
          <w:lang w:val="es-ES" w:eastAsia="es-DO"/>
        </w:rPr>
      </w:pPr>
      <w:r w:rsidRPr="006D44A5">
        <w:rPr>
          <w:rFonts w:ascii="Times New Roman" w:hAnsi="Times New Roman"/>
          <w:kern w:val="28"/>
          <w:lang w:val="es-ES" w:eastAsia="es-DO"/>
        </w:rPr>
        <w:t>Del mismo modo se ha dinamizado el crecimiento de las infraestructuras de invernaderos, la cual presentó un crecimiento de 6.18%, al pasar de 11,100,087 metros cuadrados en 2018 a 11,785,561 metros cuadrados en 2019, destacándose las provincias de San José de Ocoa, La Vega y San Juan de la Maguana.</w:t>
      </w:r>
    </w:p>
    <w:p w14:paraId="7522FC32" w14:textId="77777777" w:rsidR="008C3602" w:rsidRPr="00AF5A87" w:rsidRDefault="008C3602" w:rsidP="00753EA4">
      <w:pPr>
        <w:spacing w:after="0" w:line="480" w:lineRule="auto"/>
        <w:ind w:firstLine="709"/>
        <w:jc w:val="both"/>
        <w:rPr>
          <w:rFonts w:ascii="Times New Roman" w:hAnsi="Times New Roman"/>
        </w:rPr>
      </w:pPr>
    </w:p>
    <w:p w14:paraId="5FB7B06E" w14:textId="579C1479" w:rsidR="00DF6635" w:rsidRPr="00AF5A87" w:rsidRDefault="00AC65A9" w:rsidP="00954002">
      <w:pPr>
        <w:pStyle w:val="Ttulo2"/>
      </w:pPr>
      <w:bookmarkStart w:id="110" w:name="_Toc470523337"/>
      <w:bookmarkStart w:id="111" w:name="_Toc26292034"/>
      <w:bookmarkStart w:id="112" w:name="_Toc27146738"/>
      <w:r>
        <w:t>d</w:t>
      </w:r>
      <w:r w:rsidR="00F541A4" w:rsidRPr="00AF5A87">
        <w:t xml:space="preserve">) </w:t>
      </w:r>
      <w:r w:rsidR="00DF6635" w:rsidRPr="00AF5A87">
        <w:t xml:space="preserve">Exportaciones </w:t>
      </w:r>
      <w:r w:rsidR="004A6369" w:rsidRPr="00AF5A87">
        <w:t>a</w:t>
      </w:r>
      <w:r w:rsidR="00DF6635" w:rsidRPr="00AF5A87">
        <w:t>gropecuarias</w:t>
      </w:r>
      <w:bookmarkEnd w:id="110"/>
      <w:bookmarkEnd w:id="111"/>
      <w:bookmarkEnd w:id="112"/>
      <w:r w:rsidR="00DF6635" w:rsidRPr="00AF5A87">
        <w:t xml:space="preserve"> </w:t>
      </w:r>
    </w:p>
    <w:p w14:paraId="74717754" w14:textId="77777777" w:rsidR="003D6724" w:rsidRPr="00F7234C" w:rsidRDefault="003D6724" w:rsidP="003D6724">
      <w:pPr>
        <w:spacing w:after="0" w:line="480" w:lineRule="auto"/>
        <w:ind w:firstLine="720"/>
        <w:jc w:val="both"/>
        <w:rPr>
          <w:rFonts w:ascii="Times New Roman" w:hAnsi="Times New Roman"/>
        </w:rPr>
      </w:pPr>
      <w:r w:rsidRPr="00284280">
        <w:rPr>
          <w:rFonts w:ascii="Times New Roman" w:hAnsi="Times New Roman"/>
        </w:rPr>
        <w:t>El Ministerio de Agricultura ha contribuido con políticas públicas de fomento a rubros agrícola</w:t>
      </w:r>
      <w:r w:rsidR="00C70971" w:rsidRPr="00284280">
        <w:rPr>
          <w:rFonts w:ascii="Times New Roman" w:hAnsi="Times New Roman"/>
        </w:rPr>
        <w:t>s</w:t>
      </w:r>
      <w:r w:rsidRPr="00284280">
        <w:rPr>
          <w:rFonts w:ascii="Times New Roman" w:hAnsi="Times New Roman"/>
        </w:rPr>
        <w:t xml:space="preserve"> con encadenamiento productivo y vocación exportadora, alcanzando niveles de negociación importante con socios comerciales a nivel internacional dada la diversidad y calidad de la oferta exportable del país, </w:t>
      </w:r>
      <w:r w:rsidRPr="00284280">
        <w:rPr>
          <w:rFonts w:ascii="Times New Roman" w:hAnsi="Times New Roman"/>
        </w:rPr>
        <w:lastRenderedPageBreak/>
        <w:t>para incrementar el volumen y valor de las exportaciones de</w:t>
      </w:r>
      <w:r w:rsidR="00C70971" w:rsidRPr="00284280">
        <w:rPr>
          <w:rFonts w:ascii="Times New Roman" w:hAnsi="Times New Roman"/>
        </w:rPr>
        <w:t xml:space="preserve"> productos de origen dominicano</w:t>
      </w:r>
      <w:r w:rsidRPr="00284280">
        <w:rPr>
          <w:rFonts w:ascii="Times New Roman" w:hAnsi="Times New Roman"/>
        </w:rPr>
        <w:t>.</w:t>
      </w:r>
    </w:p>
    <w:p w14:paraId="3FFBBA1E" w14:textId="77777777" w:rsidR="003D6724" w:rsidRPr="00DA572E" w:rsidRDefault="003D6724" w:rsidP="003D6724">
      <w:pPr>
        <w:spacing w:after="0" w:line="480" w:lineRule="auto"/>
        <w:ind w:firstLine="720"/>
        <w:jc w:val="both"/>
        <w:rPr>
          <w:rFonts w:ascii="Times New Roman" w:hAnsi="Times New Roman"/>
          <w:highlight w:val="red"/>
        </w:rPr>
      </w:pPr>
    </w:p>
    <w:p w14:paraId="1E36CC91" w14:textId="77777777" w:rsidR="00781B92" w:rsidRDefault="00F7234C" w:rsidP="00CA5792">
      <w:pPr>
        <w:spacing w:after="0" w:line="480" w:lineRule="auto"/>
        <w:ind w:firstLine="720"/>
        <w:jc w:val="both"/>
        <w:rPr>
          <w:rFonts w:ascii="Times New Roman" w:hAnsi="Times New Roman"/>
        </w:rPr>
      </w:pPr>
      <w:r w:rsidRPr="00284280">
        <w:rPr>
          <w:rFonts w:ascii="Times New Roman" w:hAnsi="Times New Roman"/>
        </w:rPr>
        <w:t>Durante el 2019, el valor de las exportaciones agropecuarias se estima que alcanzar</w:t>
      </w:r>
      <w:r w:rsidR="00284280" w:rsidRPr="00284280">
        <w:rPr>
          <w:rFonts w:ascii="Times New Roman" w:hAnsi="Times New Roman"/>
        </w:rPr>
        <w:t>á</w:t>
      </w:r>
      <w:r w:rsidRPr="00284280">
        <w:rPr>
          <w:rFonts w:ascii="Times New Roman" w:hAnsi="Times New Roman"/>
        </w:rPr>
        <w:t xml:space="preserve">n a US$2,322,448,703.90, </w:t>
      </w:r>
      <w:r w:rsidRPr="00284280">
        <w:rPr>
          <w:rFonts w:ascii="Times New Roman" w:hAnsi="Times New Roman"/>
          <w:i/>
        </w:rPr>
        <w:t>(ODS 2.5b.1; ODS 2.5b.2)</w:t>
      </w:r>
      <w:r w:rsidRPr="00284280">
        <w:rPr>
          <w:rFonts w:ascii="Times New Roman" w:hAnsi="Times New Roman"/>
        </w:rPr>
        <w:t xml:space="preserve"> siendo los productos que mayor crecimiento mostraron los siguientes:</w:t>
      </w:r>
    </w:p>
    <w:p w14:paraId="1D61ED10" w14:textId="78DA9A2D" w:rsidR="0075382F" w:rsidRDefault="0075382F" w:rsidP="00CA5792">
      <w:pPr>
        <w:spacing w:after="0" w:line="480" w:lineRule="auto"/>
        <w:ind w:firstLine="720"/>
        <w:jc w:val="both"/>
        <w:rPr>
          <w:rFonts w:ascii="Times New Roman" w:eastAsia="Calibri" w:hAnsi="Times New Roman"/>
          <w:b/>
          <w:bCs/>
          <w:sz w:val="28"/>
          <w:szCs w:val="22"/>
          <w:lang w:val="es-ES_tradnl" w:eastAsia="en-US"/>
        </w:rPr>
      </w:pPr>
    </w:p>
    <w:p w14:paraId="69F2A275" w14:textId="7C63D7FD" w:rsidR="00F7234C" w:rsidRPr="00284280" w:rsidRDefault="00F7234C" w:rsidP="00F7234C">
      <w:pPr>
        <w:spacing w:after="0" w:line="480" w:lineRule="auto"/>
        <w:ind w:left="426"/>
        <w:contextualSpacing/>
        <w:jc w:val="both"/>
        <w:rPr>
          <w:rFonts w:ascii="Times New Roman" w:eastAsia="Calibri" w:hAnsi="Times New Roman"/>
          <w:b/>
          <w:bCs/>
          <w:sz w:val="28"/>
          <w:szCs w:val="22"/>
          <w:lang w:val="es-ES_tradnl" w:eastAsia="en-US"/>
        </w:rPr>
      </w:pPr>
      <w:r w:rsidRPr="00284280">
        <w:rPr>
          <w:rFonts w:ascii="Times New Roman" w:eastAsia="Calibri" w:hAnsi="Times New Roman"/>
          <w:b/>
          <w:bCs/>
          <w:sz w:val="28"/>
          <w:szCs w:val="22"/>
          <w:lang w:val="es-ES_tradnl" w:eastAsia="en-US"/>
        </w:rPr>
        <w:t>Tabaco y sucedáneos</w:t>
      </w:r>
    </w:p>
    <w:p w14:paraId="1C4F4E84" w14:textId="77777777" w:rsidR="00F7234C" w:rsidRPr="00284280" w:rsidRDefault="00F7234C" w:rsidP="00F7234C">
      <w:pPr>
        <w:spacing w:after="0" w:line="480" w:lineRule="auto"/>
        <w:ind w:firstLine="720"/>
        <w:jc w:val="both"/>
        <w:rPr>
          <w:rFonts w:ascii="Times New Roman" w:hAnsi="Times New Roman"/>
        </w:rPr>
      </w:pPr>
      <w:r w:rsidRPr="00284280">
        <w:rPr>
          <w:rFonts w:ascii="Times New Roman" w:hAnsi="Times New Roman"/>
        </w:rPr>
        <w:t>Tabaco y sucedáneos con un crecimiento de 6%, pasando de US$883,312,428 en 2018 a US$934,780,830 en 2019.</w:t>
      </w:r>
    </w:p>
    <w:p w14:paraId="022FF3C3" w14:textId="77777777" w:rsidR="00F7234C" w:rsidRPr="00406389" w:rsidRDefault="00F7234C" w:rsidP="00F7234C">
      <w:pPr>
        <w:spacing w:after="0"/>
        <w:rPr>
          <w:rFonts w:ascii="Times New Roman" w:hAnsi="Times New Roman"/>
          <w:highlight w:val="yellow"/>
        </w:rPr>
      </w:pPr>
    </w:p>
    <w:p w14:paraId="500CED8B" w14:textId="77777777" w:rsidR="00F7234C" w:rsidRPr="00284280" w:rsidRDefault="00F7234C" w:rsidP="00F7234C">
      <w:pPr>
        <w:spacing w:after="0" w:line="480" w:lineRule="auto"/>
        <w:ind w:left="426"/>
        <w:contextualSpacing/>
        <w:jc w:val="both"/>
        <w:rPr>
          <w:rFonts w:ascii="Times New Roman" w:eastAsia="Calibri" w:hAnsi="Times New Roman"/>
          <w:b/>
          <w:bCs/>
          <w:sz w:val="28"/>
          <w:szCs w:val="22"/>
          <w:lang w:val="es-ES_tradnl" w:eastAsia="en-US"/>
        </w:rPr>
      </w:pPr>
      <w:r w:rsidRPr="00284280">
        <w:rPr>
          <w:rFonts w:ascii="Times New Roman" w:eastAsia="Calibri" w:hAnsi="Times New Roman"/>
          <w:b/>
          <w:bCs/>
          <w:sz w:val="28"/>
          <w:szCs w:val="22"/>
          <w:lang w:val="es-ES_tradnl" w:eastAsia="en-US"/>
        </w:rPr>
        <w:t>Banano convencional</w:t>
      </w:r>
    </w:p>
    <w:p w14:paraId="1B01D56D" w14:textId="02DE81A5" w:rsidR="00F7234C" w:rsidRPr="00284280" w:rsidRDefault="00F7234C" w:rsidP="00F7234C">
      <w:pPr>
        <w:spacing w:after="0" w:line="480" w:lineRule="auto"/>
        <w:jc w:val="both"/>
        <w:rPr>
          <w:rFonts w:ascii="Times New Roman" w:hAnsi="Times New Roman"/>
        </w:rPr>
      </w:pPr>
      <w:r w:rsidRPr="00284280">
        <w:rPr>
          <w:rFonts w:ascii="Times New Roman" w:hAnsi="Times New Roman"/>
        </w:rPr>
        <w:t xml:space="preserve">El Banano convencional </w:t>
      </w:r>
      <w:r w:rsidR="00284280" w:rsidRPr="00284280">
        <w:rPr>
          <w:rFonts w:ascii="Times New Roman" w:hAnsi="Times New Roman"/>
        </w:rPr>
        <w:t>se</w:t>
      </w:r>
      <w:r w:rsidRPr="00284280">
        <w:rPr>
          <w:rFonts w:ascii="Times New Roman" w:hAnsi="Times New Roman"/>
        </w:rPr>
        <w:t xml:space="preserve"> </w:t>
      </w:r>
      <w:r w:rsidR="00284280" w:rsidRPr="00284280">
        <w:rPr>
          <w:rFonts w:ascii="Times New Roman" w:hAnsi="Times New Roman"/>
        </w:rPr>
        <w:t>espera que logre</w:t>
      </w:r>
      <w:r w:rsidRPr="00284280">
        <w:rPr>
          <w:rFonts w:ascii="Times New Roman" w:hAnsi="Times New Roman"/>
        </w:rPr>
        <w:t xml:space="preserve"> un crecimiento de 12%, pasando de US$64, 392,150 en el 2018 a US$71, 889,455.41 en el 2019.</w:t>
      </w:r>
    </w:p>
    <w:p w14:paraId="3065679A" w14:textId="77777777" w:rsidR="00F7234C" w:rsidRPr="00406389" w:rsidRDefault="00F7234C" w:rsidP="00F7234C">
      <w:pPr>
        <w:spacing w:after="0" w:line="480" w:lineRule="auto"/>
        <w:jc w:val="both"/>
        <w:rPr>
          <w:rFonts w:ascii="Times New Roman" w:hAnsi="Times New Roman"/>
          <w:highlight w:val="yellow"/>
        </w:rPr>
      </w:pPr>
    </w:p>
    <w:p w14:paraId="3D4450D8" w14:textId="77777777" w:rsidR="00F7234C" w:rsidRPr="00284280" w:rsidRDefault="00F7234C" w:rsidP="00F7234C">
      <w:pPr>
        <w:spacing w:after="0" w:line="480" w:lineRule="auto"/>
        <w:ind w:left="426"/>
        <w:contextualSpacing/>
        <w:jc w:val="both"/>
        <w:rPr>
          <w:rFonts w:ascii="Times New Roman" w:eastAsia="Calibri" w:hAnsi="Times New Roman"/>
          <w:b/>
          <w:bCs/>
          <w:sz w:val="28"/>
          <w:szCs w:val="22"/>
          <w:lang w:val="es-ES_tradnl" w:eastAsia="en-US"/>
        </w:rPr>
      </w:pPr>
      <w:r w:rsidRPr="00284280">
        <w:rPr>
          <w:rFonts w:ascii="Times New Roman" w:eastAsia="Calibri" w:hAnsi="Times New Roman"/>
          <w:b/>
          <w:bCs/>
          <w:sz w:val="28"/>
          <w:szCs w:val="22"/>
          <w:lang w:val="es-ES_tradnl" w:eastAsia="en-US"/>
        </w:rPr>
        <w:t>Aguacate</w:t>
      </w:r>
    </w:p>
    <w:p w14:paraId="00DE3667" w14:textId="77777777" w:rsidR="00F7234C" w:rsidRPr="00284280" w:rsidRDefault="00F7234C" w:rsidP="00F7234C">
      <w:pPr>
        <w:spacing w:after="0" w:line="480" w:lineRule="auto"/>
        <w:ind w:firstLine="720"/>
        <w:jc w:val="both"/>
        <w:rPr>
          <w:rFonts w:ascii="Times New Roman" w:hAnsi="Times New Roman"/>
        </w:rPr>
      </w:pPr>
      <w:r w:rsidRPr="00284280">
        <w:rPr>
          <w:rFonts w:ascii="Times New Roman" w:hAnsi="Times New Roman"/>
          <w:lang w:val="es-ES_tradnl"/>
        </w:rPr>
        <w:t>Aguacate</w:t>
      </w:r>
      <w:r w:rsidRPr="00284280">
        <w:rPr>
          <w:rFonts w:ascii="Times New Roman" w:hAnsi="Times New Roman"/>
        </w:rPr>
        <w:t xml:space="preserve"> con un crecimiento de 22%, pasando de US$51,145,821 en el 2018 a US$62,223,592 en el 2019.</w:t>
      </w:r>
    </w:p>
    <w:p w14:paraId="67D9CF47" w14:textId="77777777" w:rsidR="00F7234C" w:rsidRPr="00406389" w:rsidRDefault="00F7234C" w:rsidP="00F7234C">
      <w:pPr>
        <w:spacing w:after="0" w:line="480" w:lineRule="auto"/>
        <w:ind w:firstLine="720"/>
        <w:jc w:val="both"/>
        <w:rPr>
          <w:rFonts w:ascii="Times New Roman" w:hAnsi="Times New Roman"/>
          <w:highlight w:val="yellow"/>
        </w:rPr>
      </w:pPr>
    </w:p>
    <w:p w14:paraId="29F1CA09" w14:textId="77777777" w:rsidR="00F7234C" w:rsidRPr="00284280" w:rsidRDefault="00F7234C" w:rsidP="00F7234C">
      <w:pPr>
        <w:spacing w:after="0" w:line="480" w:lineRule="auto"/>
        <w:ind w:left="426"/>
        <w:contextualSpacing/>
        <w:jc w:val="both"/>
        <w:rPr>
          <w:rFonts w:ascii="Times New Roman" w:eastAsia="Calibri" w:hAnsi="Times New Roman"/>
          <w:b/>
          <w:bCs/>
          <w:sz w:val="28"/>
          <w:szCs w:val="22"/>
          <w:lang w:val="es-ES_tradnl" w:eastAsia="en-US"/>
        </w:rPr>
      </w:pPr>
      <w:r w:rsidRPr="00284280">
        <w:rPr>
          <w:rFonts w:ascii="Times New Roman" w:eastAsia="Calibri" w:hAnsi="Times New Roman"/>
          <w:b/>
          <w:bCs/>
          <w:sz w:val="28"/>
          <w:szCs w:val="22"/>
          <w:lang w:val="es-ES_tradnl" w:eastAsia="en-US"/>
        </w:rPr>
        <w:t>Mango</w:t>
      </w:r>
    </w:p>
    <w:p w14:paraId="3BE08826" w14:textId="77777777" w:rsidR="00F7234C" w:rsidRPr="00284280" w:rsidRDefault="00F7234C" w:rsidP="00F7234C">
      <w:pPr>
        <w:spacing w:after="0" w:line="480" w:lineRule="auto"/>
        <w:ind w:firstLine="720"/>
        <w:jc w:val="both"/>
        <w:rPr>
          <w:rFonts w:ascii="Times New Roman" w:hAnsi="Times New Roman"/>
        </w:rPr>
      </w:pPr>
      <w:r w:rsidRPr="00284280">
        <w:rPr>
          <w:rFonts w:ascii="Times New Roman" w:hAnsi="Times New Roman"/>
        </w:rPr>
        <w:t>Mango con un crecimiento de 54%, pasando de US$16,476,808 en 2018 a US$25,449,075 en 2019.</w:t>
      </w:r>
    </w:p>
    <w:p w14:paraId="2FD3DB38" w14:textId="77777777" w:rsidR="00F7234C" w:rsidRPr="00406389" w:rsidRDefault="00F7234C" w:rsidP="00F7234C">
      <w:pPr>
        <w:spacing w:after="0" w:line="480" w:lineRule="auto"/>
        <w:jc w:val="both"/>
        <w:rPr>
          <w:rFonts w:ascii="Times New Roman" w:hAnsi="Times New Roman"/>
          <w:highlight w:val="yellow"/>
        </w:rPr>
      </w:pPr>
    </w:p>
    <w:p w14:paraId="6D8DBCC5" w14:textId="77777777" w:rsidR="00F7234C" w:rsidRPr="00284280" w:rsidRDefault="00F7234C" w:rsidP="00F7234C">
      <w:pPr>
        <w:spacing w:after="0" w:line="480" w:lineRule="auto"/>
        <w:ind w:left="426"/>
        <w:contextualSpacing/>
        <w:jc w:val="both"/>
        <w:rPr>
          <w:rFonts w:ascii="Times New Roman" w:eastAsia="Calibri" w:hAnsi="Times New Roman"/>
          <w:b/>
          <w:bCs/>
          <w:sz w:val="28"/>
          <w:szCs w:val="22"/>
          <w:lang w:val="es-ES_tradnl" w:eastAsia="en-US"/>
        </w:rPr>
      </w:pPr>
      <w:r w:rsidRPr="00284280">
        <w:rPr>
          <w:rFonts w:ascii="Times New Roman" w:eastAsia="Calibri" w:hAnsi="Times New Roman"/>
          <w:b/>
          <w:bCs/>
          <w:sz w:val="28"/>
          <w:szCs w:val="22"/>
          <w:lang w:val="es-ES_tradnl" w:eastAsia="en-US"/>
        </w:rPr>
        <w:lastRenderedPageBreak/>
        <w:t>Piña</w:t>
      </w:r>
    </w:p>
    <w:p w14:paraId="718FD211" w14:textId="77777777" w:rsidR="00F7234C" w:rsidRPr="00284280" w:rsidRDefault="00F7234C" w:rsidP="00F7234C">
      <w:pPr>
        <w:spacing w:after="0" w:line="480" w:lineRule="auto"/>
        <w:ind w:firstLine="720"/>
        <w:jc w:val="both"/>
        <w:rPr>
          <w:rFonts w:ascii="Times New Roman" w:hAnsi="Times New Roman"/>
        </w:rPr>
      </w:pPr>
      <w:r w:rsidRPr="00284280">
        <w:rPr>
          <w:rFonts w:ascii="Times New Roman" w:hAnsi="Times New Roman"/>
        </w:rPr>
        <w:t>Piña con un crecimiento de 0.41%, pasando de US$4,113,638 en el 2018 a US$6,061,712 en el 2019.</w:t>
      </w:r>
    </w:p>
    <w:p w14:paraId="49D93FDC" w14:textId="69115A19" w:rsidR="0075382F" w:rsidRDefault="0075382F">
      <w:pPr>
        <w:spacing w:after="0"/>
        <w:rPr>
          <w:rFonts w:ascii="Times New Roman" w:eastAsia="Calibri" w:hAnsi="Times New Roman"/>
          <w:b/>
          <w:bCs/>
          <w:sz w:val="28"/>
          <w:szCs w:val="22"/>
          <w:lang w:val="es-ES_tradnl" w:eastAsia="en-US"/>
        </w:rPr>
      </w:pPr>
    </w:p>
    <w:p w14:paraId="41B6390F" w14:textId="60EEF27B" w:rsidR="00F7234C" w:rsidRPr="00284280" w:rsidRDefault="00F7234C" w:rsidP="00F7234C">
      <w:pPr>
        <w:spacing w:after="0" w:line="480" w:lineRule="auto"/>
        <w:ind w:left="426"/>
        <w:contextualSpacing/>
        <w:jc w:val="both"/>
        <w:rPr>
          <w:rFonts w:ascii="Times New Roman" w:eastAsia="Calibri" w:hAnsi="Times New Roman"/>
          <w:b/>
          <w:bCs/>
          <w:sz w:val="28"/>
          <w:szCs w:val="22"/>
          <w:lang w:val="es-ES_tradnl" w:eastAsia="en-US"/>
        </w:rPr>
      </w:pPr>
      <w:r w:rsidRPr="00284280">
        <w:rPr>
          <w:rFonts w:ascii="Times New Roman" w:eastAsia="Calibri" w:hAnsi="Times New Roman"/>
          <w:b/>
          <w:bCs/>
          <w:sz w:val="28"/>
          <w:szCs w:val="22"/>
          <w:lang w:val="es-ES_tradnl" w:eastAsia="en-US"/>
        </w:rPr>
        <w:t>Tomates para Ensalada</w:t>
      </w:r>
    </w:p>
    <w:p w14:paraId="06B7C706" w14:textId="77777777" w:rsidR="00F7234C" w:rsidRDefault="00F7234C" w:rsidP="00F7234C">
      <w:pPr>
        <w:spacing w:after="0" w:line="480" w:lineRule="auto"/>
        <w:ind w:firstLine="720"/>
        <w:jc w:val="both"/>
        <w:rPr>
          <w:rFonts w:ascii="Times New Roman" w:hAnsi="Times New Roman"/>
        </w:rPr>
      </w:pPr>
      <w:r w:rsidRPr="00284280">
        <w:rPr>
          <w:rFonts w:ascii="Times New Roman" w:hAnsi="Times New Roman"/>
        </w:rPr>
        <w:t>Tomates de Ensalada con un crecimiento de 165%, pasando de US$ 305,391 en 2018 a US$808,633 en 2019.</w:t>
      </w:r>
    </w:p>
    <w:p w14:paraId="7559A682" w14:textId="77777777" w:rsidR="00781B92" w:rsidRPr="00284280" w:rsidRDefault="00781B92" w:rsidP="00781B92">
      <w:pPr>
        <w:spacing w:after="0" w:line="480" w:lineRule="auto"/>
        <w:jc w:val="both"/>
        <w:rPr>
          <w:rFonts w:ascii="Times New Roman" w:hAnsi="Times New Roman"/>
        </w:rPr>
      </w:pPr>
    </w:p>
    <w:p w14:paraId="61FA0794" w14:textId="77777777" w:rsidR="00F7234C" w:rsidRPr="00284280" w:rsidRDefault="00F7234C" w:rsidP="00F7234C">
      <w:pPr>
        <w:spacing w:after="0" w:line="480" w:lineRule="auto"/>
        <w:ind w:left="426"/>
        <w:contextualSpacing/>
        <w:jc w:val="both"/>
        <w:rPr>
          <w:rFonts w:ascii="Times New Roman" w:eastAsia="Calibri" w:hAnsi="Times New Roman"/>
          <w:b/>
          <w:bCs/>
          <w:sz w:val="28"/>
          <w:szCs w:val="22"/>
          <w:lang w:val="es-ES_tradnl" w:eastAsia="en-US"/>
        </w:rPr>
      </w:pPr>
      <w:r w:rsidRPr="00284280">
        <w:rPr>
          <w:rFonts w:ascii="Times New Roman" w:eastAsia="Calibri" w:hAnsi="Times New Roman"/>
          <w:b/>
          <w:bCs/>
          <w:sz w:val="28"/>
          <w:szCs w:val="22"/>
          <w:lang w:val="es-ES_tradnl" w:eastAsia="en-US"/>
        </w:rPr>
        <w:t>Auyama</w:t>
      </w:r>
    </w:p>
    <w:p w14:paraId="5001AF60" w14:textId="77777777" w:rsidR="00F7234C" w:rsidRPr="00284280" w:rsidRDefault="00F7234C" w:rsidP="00F7234C">
      <w:pPr>
        <w:spacing w:after="0" w:line="480" w:lineRule="auto"/>
        <w:ind w:firstLine="720"/>
        <w:jc w:val="both"/>
        <w:rPr>
          <w:rFonts w:ascii="Times New Roman" w:hAnsi="Times New Roman"/>
        </w:rPr>
      </w:pPr>
      <w:r w:rsidRPr="00284280">
        <w:rPr>
          <w:rFonts w:ascii="Times New Roman" w:hAnsi="Times New Roman"/>
        </w:rPr>
        <w:t>Auyama con un crecimiento de 76%, pasando de US$212,149 en 2018 a US$373,410 en 2019.</w:t>
      </w:r>
    </w:p>
    <w:p w14:paraId="6BB1E451" w14:textId="77777777" w:rsidR="00F7234C" w:rsidRPr="00284280" w:rsidRDefault="00F7234C" w:rsidP="00F7234C">
      <w:pPr>
        <w:spacing w:after="0" w:line="360" w:lineRule="auto"/>
        <w:ind w:firstLine="720"/>
        <w:jc w:val="both"/>
        <w:rPr>
          <w:rFonts w:ascii="Times New Roman" w:hAnsi="Times New Roman"/>
        </w:rPr>
      </w:pPr>
    </w:p>
    <w:p w14:paraId="2290ED97" w14:textId="77777777" w:rsidR="00F7234C" w:rsidRPr="00284280" w:rsidRDefault="00F7234C" w:rsidP="00F7234C">
      <w:pPr>
        <w:spacing w:after="0" w:line="480" w:lineRule="auto"/>
        <w:ind w:left="426"/>
        <w:contextualSpacing/>
        <w:jc w:val="both"/>
        <w:rPr>
          <w:rFonts w:ascii="Times New Roman" w:eastAsia="Calibri" w:hAnsi="Times New Roman"/>
          <w:b/>
          <w:bCs/>
          <w:sz w:val="28"/>
          <w:szCs w:val="22"/>
          <w:lang w:val="es-ES_tradnl" w:eastAsia="en-US"/>
        </w:rPr>
      </w:pPr>
      <w:r w:rsidRPr="00284280">
        <w:rPr>
          <w:rFonts w:ascii="Times New Roman" w:eastAsia="Calibri" w:hAnsi="Times New Roman"/>
          <w:b/>
          <w:bCs/>
          <w:sz w:val="28"/>
          <w:szCs w:val="22"/>
          <w:lang w:val="es-ES_tradnl" w:eastAsia="en-US"/>
        </w:rPr>
        <w:t>Papa</w:t>
      </w:r>
    </w:p>
    <w:p w14:paraId="2CF77E91" w14:textId="77777777" w:rsidR="00F7234C" w:rsidRPr="00284280" w:rsidRDefault="00F7234C" w:rsidP="00F7234C">
      <w:pPr>
        <w:spacing w:after="0" w:line="480" w:lineRule="auto"/>
        <w:ind w:firstLine="720"/>
        <w:jc w:val="both"/>
        <w:rPr>
          <w:rFonts w:ascii="Times New Roman" w:hAnsi="Times New Roman"/>
        </w:rPr>
      </w:pPr>
      <w:r w:rsidRPr="00284280">
        <w:rPr>
          <w:rFonts w:ascii="Times New Roman" w:hAnsi="Times New Roman"/>
          <w:lang w:val="es-ES_tradnl"/>
        </w:rPr>
        <w:t>Papa</w:t>
      </w:r>
      <w:r w:rsidRPr="00284280">
        <w:rPr>
          <w:rFonts w:ascii="Times New Roman" w:hAnsi="Times New Roman"/>
        </w:rPr>
        <w:t xml:space="preserve"> con un crecimiento de 52%, pasando de US$795,234 en 2018 a US$1,212,161 en 2019.</w:t>
      </w:r>
    </w:p>
    <w:p w14:paraId="2DBF49CF" w14:textId="77777777" w:rsidR="00F7234C" w:rsidRPr="00284280" w:rsidRDefault="00F7234C" w:rsidP="00F7234C">
      <w:pPr>
        <w:spacing w:after="0" w:line="480" w:lineRule="auto"/>
        <w:ind w:firstLine="720"/>
        <w:jc w:val="both"/>
        <w:rPr>
          <w:rFonts w:ascii="Times New Roman" w:hAnsi="Times New Roman"/>
        </w:rPr>
      </w:pPr>
    </w:p>
    <w:p w14:paraId="1E7F4878" w14:textId="77777777" w:rsidR="00F7234C" w:rsidRPr="00284280" w:rsidRDefault="00F7234C" w:rsidP="00F7234C">
      <w:pPr>
        <w:spacing w:after="0" w:line="480" w:lineRule="auto"/>
        <w:ind w:left="426"/>
        <w:contextualSpacing/>
        <w:jc w:val="both"/>
        <w:rPr>
          <w:rFonts w:ascii="Times New Roman" w:eastAsia="Calibri" w:hAnsi="Times New Roman"/>
          <w:b/>
          <w:bCs/>
          <w:sz w:val="28"/>
          <w:szCs w:val="22"/>
          <w:lang w:val="es-ES_tradnl" w:eastAsia="en-US"/>
        </w:rPr>
      </w:pPr>
      <w:r w:rsidRPr="00284280">
        <w:rPr>
          <w:rFonts w:ascii="Times New Roman" w:eastAsia="Calibri" w:hAnsi="Times New Roman"/>
          <w:b/>
          <w:bCs/>
          <w:sz w:val="28"/>
          <w:szCs w:val="22"/>
          <w:lang w:val="es-ES_tradnl" w:eastAsia="en-US"/>
        </w:rPr>
        <w:t>Yuca</w:t>
      </w:r>
    </w:p>
    <w:p w14:paraId="140BD4E6" w14:textId="77777777" w:rsidR="00F7234C" w:rsidRPr="00284280" w:rsidRDefault="00F7234C" w:rsidP="00F7234C">
      <w:pPr>
        <w:spacing w:after="0" w:line="480" w:lineRule="auto"/>
        <w:ind w:firstLine="720"/>
        <w:jc w:val="both"/>
        <w:rPr>
          <w:rFonts w:ascii="Times New Roman" w:hAnsi="Times New Roman"/>
        </w:rPr>
      </w:pPr>
      <w:r w:rsidRPr="00284280">
        <w:rPr>
          <w:rFonts w:ascii="Times New Roman" w:hAnsi="Times New Roman"/>
          <w:lang w:val="es-ES_tradnl"/>
        </w:rPr>
        <w:t>Yuca</w:t>
      </w:r>
      <w:r w:rsidRPr="00284280">
        <w:rPr>
          <w:rFonts w:ascii="Times New Roman" w:hAnsi="Times New Roman"/>
        </w:rPr>
        <w:t xml:space="preserve"> con un crecimiento de 161%, pasando de US$84,568 en 2018 a US$220,303 en 2019.</w:t>
      </w:r>
    </w:p>
    <w:p w14:paraId="24F342F7" w14:textId="77777777" w:rsidR="00F7234C" w:rsidRPr="00406389" w:rsidRDefault="00F7234C" w:rsidP="00F7234C">
      <w:pPr>
        <w:spacing w:after="0" w:line="360" w:lineRule="auto"/>
        <w:ind w:firstLine="720"/>
        <w:jc w:val="both"/>
        <w:rPr>
          <w:rFonts w:ascii="Times New Roman" w:hAnsi="Times New Roman"/>
          <w:highlight w:val="yellow"/>
        </w:rPr>
      </w:pPr>
    </w:p>
    <w:p w14:paraId="369F6913" w14:textId="2088C5CB" w:rsidR="00F7234C" w:rsidRPr="00284280" w:rsidRDefault="00F7234C" w:rsidP="00F7234C">
      <w:pPr>
        <w:spacing w:after="0" w:line="480" w:lineRule="auto"/>
        <w:ind w:firstLine="720"/>
        <w:jc w:val="both"/>
        <w:rPr>
          <w:rFonts w:ascii="Times New Roman" w:hAnsi="Times New Roman"/>
        </w:rPr>
      </w:pPr>
      <w:r w:rsidRPr="00284280">
        <w:rPr>
          <w:rFonts w:ascii="Times New Roman" w:hAnsi="Times New Roman"/>
        </w:rPr>
        <w:t>En cuanto a los vege</w:t>
      </w:r>
      <w:r w:rsidR="00A4560A">
        <w:rPr>
          <w:rFonts w:ascii="Times New Roman" w:hAnsi="Times New Roman"/>
        </w:rPr>
        <w:t>tales orientales se destaca</w:t>
      </w:r>
      <w:r w:rsidR="0044494A">
        <w:rPr>
          <w:rFonts w:ascii="Times New Roman" w:hAnsi="Times New Roman"/>
        </w:rPr>
        <w:t>ro</w:t>
      </w:r>
      <w:r w:rsidR="00A4560A">
        <w:rPr>
          <w:rFonts w:ascii="Times New Roman" w:hAnsi="Times New Roman"/>
        </w:rPr>
        <w:t>n en 2019:</w:t>
      </w:r>
    </w:p>
    <w:p w14:paraId="1C8EBCB2" w14:textId="77777777" w:rsidR="00F7234C" w:rsidRDefault="00F7234C" w:rsidP="00F7234C">
      <w:pPr>
        <w:spacing w:after="0" w:line="480" w:lineRule="auto"/>
        <w:ind w:left="426"/>
        <w:contextualSpacing/>
        <w:jc w:val="both"/>
        <w:rPr>
          <w:rFonts w:ascii="Times New Roman" w:eastAsia="Calibri" w:hAnsi="Times New Roman"/>
          <w:b/>
          <w:sz w:val="28"/>
          <w:szCs w:val="22"/>
          <w:lang w:eastAsia="en-US"/>
        </w:rPr>
      </w:pPr>
    </w:p>
    <w:p w14:paraId="0B55B44D" w14:textId="77777777" w:rsidR="00781B92" w:rsidRPr="00284280" w:rsidRDefault="00781B92" w:rsidP="00F7234C">
      <w:pPr>
        <w:spacing w:after="0" w:line="480" w:lineRule="auto"/>
        <w:ind w:left="426"/>
        <w:contextualSpacing/>
        <w:jc w:val="both"/>
        <w:rPr>
          <w:rFonts w:ascii="Times New Roman" w:eastAsia="Calibri" w:hAnsi="Times New Roman"/>
          <w:b/>
          <w:sz w:val="28"/>
          <w:szCs w:val="22"/>
          <w:lang w:eastAsia="en-US"/>
        </w:rPr>
      </w:pPr>
    </w:p>
    <w:p w14:paraId="37B02E9C" w14:textId="2899C6A0" w:rsidR="00F7234C" w:rsidRPr="00284280" w:rsidRDefault="00F7234C" w:rsidP="00F7234C">
      <w:pPr>
        <w:spacing w:after="0" w:line="480" w:lineRule="auto"/>
        <w:ind w:left="426"/>
        <w:contextualSpacing/>
        <w:jc w:val="both"/>
        <w:rPr>
          <w:rFonts w:ascii="Times New Roman" w:eastAsia="Calibri" w:hAnsi="Times New Roman"/>
          <w:b/>
          <w:sz w:val="28"/>
          <w:szCs w:val="22"/>
          <w:lang w:eastAsia="en-US"/>
        </w:rPr>
      </w:pPr>
      <w:r w:rsidRPr="00284280">
        <w:rPr>
          <w:rFonts w:ascii="Times New Roman" w:eastAsia="Calibri" w:hAnsi="Times New Roman"/>
          <w:b/>
          <w:sz w:val="28"/>
          <w:szCs w:val="22"/>
          <w:lang w:eastAsia="en-US"/>
        </w:rPr>
        <w:lastRenderedPageBreak/>
        <w:t>Calabacín</w:t>
      </w:r>
    </w:p>
    <w:p w14:paraId="7CF8DEAD" w14:textId="77777777" w:rsidR="00F7234C" w:rsidRPr="00284280" w:rsidRDefault="00F7234C" w:rsidP="00F7234C">
      <w:pPr>
        <w:spacing w:after="0" w:line="480" w:lineRule="auto"/>
        <w:ind w:firstLine="720"/>
        <w:jc w:val="both"/>
        <w:rPr>
          <w:rFonts w:ascii="Times New Roman" w:hAnsi="Times New Roman"/>
        </w:rPr>
      </w:pPr>
      <w:r w:rsidRPr="00284280">
        <w:rPr>
          <w:rFonts w:ascii="Times New Roman" w:hAnsi="Times New Roman"/>
        </w:rPr>
        <w:t>Calabacines con incremento de 131%, US$65,593 en 2018 pasando a US$151,277 en 2019.</w:t>
      </w:r>
    </w:p>
    <w:p w14:paraId="7283820A" w14:textId="71F2B72D" w:rsidR="00CA5792" w:rsidRDefault="00CA5792">
      <w:pPr>
        <w:spacing w:after="0"/>
        <w:rPr>
          <w:rFonts w:ascii="Times New Roman" w:hAnsi="Times New Roman"/>
        </w:rPr>
      </w:pPr>
    </w:p>
    <w:p w14:paraId="3A20A8C1" w14:textId="77777777" w:rsidR="00F7234C" w:rsidRPr="00284280" w:rsidRDefault="00F7234C" w:rsidP="00F7234C">
      <w:pPr>
        <w:spacing w:after="0" w:line="480" w:lineRule="auto"/>
        <w:ind w:left="426"/>
        <w:contextualSpacing/>
        <w:jc w:val="both"/>
        <w:rPr>
          <w:rFonts w:ascii="Times New Roman" w:eastAsia="Calibri" w:hAnsi="Times New Roman"/>
          <w:b/>
          <w:sz w:val="28"/>
          <w:szCs w:val="22"/>
          <w:lang w:eastAsia="en-US"/>
        </w:rPr>
      </w:pPr>
      <w:r w:rsidRPr="00284280">
        <w:rPr>
          <w:rFonts w:ascii="Times New Roman" w:eastAsia="Calibri" w:hAnsi="Times New Roman"/>
          <w:b/>
          <w:sz w:val="28"/>
          <w:szCs w:val="22"/>
          <w:lang w:eastAsia="en-US"/>
        </w:rPr>
        <w:t>Cundeamor</w:t>
      </w:r>
    </w:p>
    <w:p w14:paraId="11F6B5FA" w14:textId="77777777" w:rsidR="00F7234C" w:rsidRPr="003D6724" w:rsidRDefault="00F7234C" w:rsidP="00F7234C">
      <w:pPr>
        <w:spacing w:after="0" w:line="480" w:lineRule="auto"/>
        <w:ind w:firstLine="720"/>
        <w:jc w:val="both"/>
        <w:rPr>
          <w:rFonts w:ascii="Times New Roman" w:hAnsi="Times New Roman"/>
        </w:rPr>
      </w:pPr>
      <w:r w:rsidRPr="00284280">
        <w:rPr>
          <w:rFonts w:ascii="Times New Roman" w:hAnsi="Times New Roman"/>
        </w:rPr>
        <w:t>Cundeamor con incremento de 53%, US$77,006 en 2018 pasando a US$117,904 en 2019.</w:t>
      </w:r>
    </w:p>
    <w:p w14:paraId="44F2C335" w14:textId="77777777" w:rsidR="003D6724" w:rsidRDefault="003D6724" w:rsidP="003D6724"/>
    <w:p w14:paraId="3037A4F1" w14:textId="1D2785BD" w:rsidR="00530E9A" w:rsidRPr="0098414F" w:rsidRDefault="00530E9A" w:rsidP="007440C2">
      <w:pPr>
        <w:pStyle w:val="Ttulo1"/>
      </w:pPr>
      <w:bookmarkStart w:id="113" w:name="_Toc470523338"/>
      <w:bookmarkStart w:id="114" w:name="_Toc26292035"/>
      <w:bookmarkStart w:id="115" w:name="_Toc27146739"/>
      <w:r w:rsidRPr="0098414F">
        <w:t xml:space="preserve">Ejecuciones contempladas en </w:t>
      </w:r>
      <w:r w:rsidR="00EF3001" w:rsidRPr="0098414F">
        <w:t xml:space="preserve">el </w:t>
      </w:r>
      <w:r w:rsidRPr="0098414F">
        <w:t>Plan Operativo</w:t>
      </w:r>
      <w:bookmarkEnd w:id="42"/>
      <w:bookmarkEnd w:id="64"/>
      <w:bookmarkEnd w:id="113"/>
      <w:bookmarkEnd w:id="114"/>
      <w:bookmarkEnd w:id="115"/>
    </w:p>
    <w:p w14:paraId="61BF7F79" w14:textId="77777777" w:rsidR="00265D7E" w:rsidRPr="00467C07" w:rsidRDefault="00265D7E" w:rsidP="0005107A">
      <w:pPr>
        <w:spacing w:line="360" w:lineRule="auto"/>
        <w:ind w:firstLine="720"/>
        <w:rPr>
          <w:rFonts w:ascii="Times New Roman" w:hAnsi="Times New Roman"/>
        </w:rPr>
      </w:pPr>
      <w:bookmarkStart w:id="116" w:name="_Toc409040051"/>
      <w:bookmarkStart w:id="117" w:name="_Toc440036667"/>
    </w:p>
    <w:p w14:paraId="0A8A4191" w14:textId="57E179C4" w:rsidR="00530E9A" w:rsidRPr="00467C07" w:rsidRDefault="00386226" w:rsidP="00954002">
      <w:pPr>
        <w:pStyle w:val="Ttulo2"/>
      </w:pPr>
      <w:bookmarkStart w:id="118" w:name="_Toc470523339"/>
      <w:bookmarkStart w:id="119" w:name="_Toc26292036"/>
      <w:bookmarkStart w:id="120" w:name="_Toc27146740"/>
      <w:r w:rsidRPr="00467C07">
        <w:t xml:space="preserve">a) </w:t>
      </w:r>
      <w:r w:rsidR="00AC65A9">
        <w:t>Impacto</w:t>
      </w:r>
      <w:r w:rsidR="00530E9A" w:rsidRPr="00467C07">
        <w:t xml:space="preserve"> a c</w:t>
      </w:r>
      <w:r w:rsidR="00B72D3B" w:rsidRPr="00467C07">
        <w:t>iudadano</w:t>
      </w:r>
      <w:r w:rsidR="006D3412" w:rsidRPr="00467C07">
        <w:t xml:space="preserve">s </w:t>
      </w:r>
      <w:r w:rsidR="00530E9A" w:rsidRPr="00467C07">
        <w:t>y ciudadanas</w:t>
      </w:r>
      <w:bookmarkEnd w:id="43"/>
      <w:bookmarkEnd w:id="44"/>
      <w:bookmarkEnd w:id="116"/>
      <w:bookmarkEnd w:id="117"/>
      <w:bookmarkEnd w:id="118"/>
      <w:bookmarkEnd w:id="119"/>
      <w:bookmarkEnd w:id="120"/>
    </w:p>
    <w:p w14:paraId="089D7E66" w14:textId="77777777" w:rsidR="00DE69E9" w:rsidRPr="00DE69E9" w:rsidRDefault="00DE69E9" w:rsidP="00DE69E9">
      <w:bookmarkStart w:id="121" w:name="_Toc26292037"/>
    </w:p>
    <w:p w14:paraId="6AD74450" w14:textId="77777777" w:rsidR="00D602A4" w:rsidRDefault="00D602A4" w:rsidP="00CA5792">
      <w:pPr>
        <w:pStyle w:val="Ttulo3"/>
      </w:pPr>
      <w:bookmarkStart w:id="122" w:name="_Toc27146741"/>
      <w:r w:rsidRPr="00AE65E6">
        <w:t>Servicios de asesoramiento técnico, generación, validación y transferencia de tecnologías</w:t>
      </w:r>
      <w:bookmarkEnd w:id="121"/>
      <w:bookmarkEnd w:id="122"/>
    </w:p>
    <w:p w14:paraId="3084C268" w14:textId="77777777" w:rsidR="00B10A65" w:rsidRPr="00467C07" w:rsidRDefault="00B10A65" w:rsidP="00D602A4">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2530B3B9" w14:textId="1FED4C00" w:rsidR="00977EF0" w:rsidRPr="00A13AAF" w:rsidRDefault="00977EF0" w:rsidP="00977EF0">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A13AAF">
        <w:rPr>
          <w:rFonts w:ascii="Times New Roman" w:hAnsi="Times New Roman"/>
          <w:lang w:val="es-ES_tradnl"/>
        </w:rPr>
        <w:t xml:space="preserve">El Sistema Nacional de </w:t>
      </w:r>
      <w:r w:rsidR="008B1BB6" w:rsidRPr="00A13AAF">
        <w:rPr>
          <w:rFonts w:ascii="Times New Roman" w:hAnsi="Times New Roman"/>
          <w:lang w:val="es-ES_tradnl"/>
        </w:rPr>
        <w:t>I</w:t>
      </w:r>
      <w:r w:rsidRPr="00A13AAF">
        <w:rPr>
          <w:rFonts w:ascii="Times New Roman" w:hAnsi="Times New Roman"/>
          <w:lang w:val="es-ES_tradnl"/>
        </w:rPr>
        <w:t>nvestigaciones Agropecuarias y Forestales, SINIAF, a través del Consejo Nacional de investigaciones Agropecuarias y Forestales, CONIAF, realiza actividades de transferencia de tecnología en beneficio de técnicos y productores líderes agropecuarios, realizando jornadas de capacitaciones a fin de fortalecer las organizaciones existentes.</w:t>
      </w:r>
    </w:p>
    <w:p w14:paraId="2E83C3C3" w14:textId="77777777" w:rsidR="00977EF0" w:rsidRPr="00A13AAF" w:rsidRDefault="00977EF0" w:rsidP="00977EF0">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A13AAF">
        <w:rPr>
          <w:rFonts w:ascii="Times New Roman" w:hAnsi="Times New Roman"/>
          <w:lang w:val="es-ES_tradnl"/>
        </w:rPr>
        <w:t xml:space="preserve">El sistema se centra en la reeducación de profesionales agropecuarios y primordialmente la capacitación del relevo generacional tanto de técnicos como de agricultores pecuarios y agrícolas, para que sean capaces de enfrentar los nuevos desafíos relacionados con la competitividad y sostenibilidad (productividad, </w:t>
      </w:r>
      <w:r w:rsidRPr="00A13AAF">
        <w:rPr>
          <w:rFonts w:ascii="Times New Roman" w:hAnsi="Times New Roman"/>
          <w:lang w:val="es-ES_tradnl"/>
        </w:rPr>
        <w:lastRenderedPageBreak/>
        <w:t>calidad e inocuidad, manejo postcosecha y mercados, enfocados hacia el logro de la calidad).</w:t>
      </w:r>
    </w:p>
    <w:p w14:paraId="0FF9E809" w14:textId="77777777" w:rsidR="00977EF0" w:rsidRPr="00A13AAF" w:rsidRDefault="00977EF0" w:rsidP="00977EF0">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01474CBB" w14:textId="1FFFF56E" w:rsidR="00977EF0" w:rsidRPr="00A13AAF" w:rsidRDefault="00977EF0" w:rsidP="00977EF0">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A13AAF">
        <w:rPr>
          <w:rFonts w:ascii="Times New Roman" w:hAnsi="Times New Roman"/>
          <w:lang w:val="es-ES_tradnl"/>
        </w:rPr>
        <w:t>En tal sentido, durante el periodo enero-octubre se han realizado un total de 80 actividades: 67 actividades de transferencia de tecnología, 3 charlas, 1 gira técnica y 9 visitas de seguimiento y acompañamiento técnico a diversos proy</w:t>
      </w:r>
      <w:r w:rsidR="00E11235">
        <w:rPr>
          <w:rFonts w:ascii="Times New Roman" w:hAnsi="Times New Roman"/>
          <w:lang w:val="es-ES_tradnl"/>
        </w:rPr>
        <w:t>ectos cunícolas y ovino-caprino</w:t>
      </w:r>
      <w:r w:rsidRPr="00A13AAF">
        <w:rPr>
          <w:rFonts w:ascii="Times New Roman" w:hAnsi="Times New Roman"/>
          <w:lang w:val="es-ES_tradnl"/>
        </w:rPr>
        <w:t>.</w:t>
      </w:r>
    </w:p>
    <w:p w14:paraId="275762E6" w14:textId="77777777" w:rsidR="00977EF0" w:rsidRPr="00977EF0" w:rsidRDefault="00977EF0" w:rsidP="00977EF0">
      <w:pPr>
        <w:widowControl w:val="0"/>
        <w:tabs>
          <w:tab w:val="left" w:pos="630"/>
        </w:tabs>
        <w:autoSpaceDE w:val="0"/>
        <w:autoSpaceDN w:val="0"/>
        <w:adjustRightInd w:val="0"/>
        <w:spacing w:after="0" w:line="480" w:lineRule="auto"/>
        <w:ind w:firstLine="720"/>
        <w:contextualSpacing/>
        <w:jc w:val="both"/>
        <w:rPr>
          <w:rFonts w:ascii="Times New Roman" w:hAnsi="Times New Roman"/>
          <w:highlight w:val="yellow"/>
          <w:lang w:val="es-ES_tradnl"/>
        </w:rPr>
      </w:pPr>
    </w:p>
    <w:p w14:paraId="5E79D78A" w14:textId="73DF1CB8" w:rsidR="00977EF0" w:rsidRPr="00A13AAF" w:rsidRDefault="00977EF0" w:rsidP="00977EF0">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A13AAF">
        <w:rPr>
          <w:rFonts w:ascii="Times New Roman" w:hAnsi="Times New Roman"/>
          <w:lang w:val="es-ES_tradnl"/>
        </w:rPr>
        <w:t>Estas visitas de seguimiento se enmarcan en el convenio (CONIAF-FEDA) para el acompañamiento técnico a los proyectos de las visitas del presidente, con el apoyo financiero del FEDA. Todas estas actividades productivas beneficiaron en total 2,633 personas, de las cuales 1,565 fueron productores líderes y 1,068 técnicos.</w:t>
      </w:r>
    </w:p>
    <w:p w14:paraId="034EA124" w14:textId="77777777" w:rsidR="00977EF0" w:rsidRPr="00A13AAF" w:rsidRDefault="00977EF0" w:rsidP="00E11235">
      <w:pPr>
        <w:widowControl w:val="0"/>
        <w:tabs>
          <w:tab w:val="left" w:pos="630"/>
        </w:tabs>
        <w:autoSpaceDE w:val="0"/>
        <w:autoSpaceDN w:val="0"/>
        <w:adjustRightInd w:val="0"/>
        <w:spacing w:after="0" w:line="360" w:lineRule="auto"/>
        <w:ind w:firstLine="720"/>
        <w:contextualSpacing/>
        <w:jc w:val="both"/>
        <w:rPr>
          <w:rFonts w:ascii="Times New Roman" w:hAnsi="Times New Roman"/>
          <w:lang w:val="es-ES_tradnl"/>
        </w:rPr>
      </w:pPr>
    </w:p>
    <w:p w14:paraId="65CEC291" w14:textId="7340D1FE" w:rsidR="00B01775" w:rsidRDefault="00977EF0" w:rsidP="00977EF0">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A13AAF">
        <w:rPr>
          <w:rFonts w:ascii="Times New Roman" w:hAnsi="Times New Roman"/>
          <w:lang w:val="es-ES_tradnl"/>
        </w:rPr>
        <w:t xml:space="preserve">En cuanto </w:t>
      </w:r>
      <w:r w:rsidR="00E11235">
        <w:rPr>
          <w:rFonts w:ascii="Times New Roman" w:hAnsi="Times New Roman"/>
          <w:lang w:val="es-ES_tradnl"/>
        </w:rPr>
        <w:t xml:space="preserve">a </w:t>
      </w:r>
      <w:r w:rsidRPr="00A13AAF">
        <w:rPr>
          <w:rFonts w:ascii="Times New Roman" w:hAnsi="Times New Roman"/>
          <w:lang w:val="es-ES_tradnl"/>
        </w:rPr>
        <w:t xml:space="preserve">proyectos de investigaciones agropecuarias y forestales, el CONIAF mantiene 5 proyectos vigentes, todos de generación y validación de tecnologías. A los cuales se les ofrece acompañamiento técnico de las visitas sorpresa del Presidente (proyectos de reproducción </w:t>
      </w:r>
      <w:r w:rsidR="009051D4" w:rsidRPr="00A13AAF">
        <w:rPr>
          <w:rFonts w:ascii="Times New Roman" w:hAnsi="Times New Roman"/>
          <w:lang w:val="es-ES_tradnl"/>
        </w:rPr>
        <w:t>cunícola y</w:t>
      </w:r>
      <w:r w:rsidRPr="00A13AAF">
        <w:rPr>
          <w:rFonts w:ascii="Times New Roman" w:hAnsi="Times New Roman"/>
          <w:lang w:val="es-ES_tradnl"/>
        </w:rPr>
        <w:t xml:space="preserve"> de ovino-caprino)</w:t>
      </w:r>
      <w:r w:rsidR="00E11235">
        <w:rPr>
          <w:rFonts w:ascii="Times New Roman" w:hAnsi="Times New Roman"/>
          <w:lang w:val="es-ES_tradnl"/>
        </w:rPr>
        <w:t>,</w:t>
      </w:r>
      <w:r w:rsidRPr="00A13AAF">
        <w:rPr>
          <w:rFonts w:ascii="Times New Roman" w:hAnsi="Times New Roman"/>
          <w:lang w:val="es-ES_tradnl"/>
        </w:rPr>
        <w:t xml:space="preserve"> los cuales reciben financiamientos del FEDA y son apoyados técnicamente por el CONIAF mediante convenio suscrito entre ambas instituciones para tales fines.</w:t>
      </w:r>
    </w:p>
    <w:p w14:paraId="18C4E607" w14:textId="77777777" w:rsidR="00B01775" w:rsidRDefault="00B01775">
      <w:pPr>
        <w:spacing w:after="0"/>
        <w:rPr>
          <w:rFonts w:ascii="Times New Roman" w:hAnsi="Times New Roman"/>
          <w:lang w:val="es-ES_tradnl"/>
        </w:rPr>
      </w:pPr>
      <w:r>
        <w:rPr>
          <w:rFonts w:ascii="Times New Roman" w:hAnsi="Times New Roman"/>
          <w:lang w:val="es-ES_tradnl"/>
        </w:rPr>
        <w:br w:type="page"/>
      </w:r>
    </w:p>
    <w:p w14:paraId="7A5F105C" w14:textId="77777777" w:rsidR="006C5E64" w:rsidRPr="00CA5792" w:rsidRDefault="006C5E64" w:rsidP="001C6B1A">
      <w:pPr>
        <w:pStyle w:val="Prrafodelista"/>
        <w:numPr>
          <w:ilvl w:val="0"/>
          <w:numId w:val="9"/>
        </w:numPr>
        <w:spacing w:after="0"/>
        <w:ind w:left="567" w:hanging="567"/>
        <w:rPr>
          <w:rFonts w:ascii="Times New Roman" w:hAnsi="Times New Roman"/>
          <w:sz w:val="24"/>
          <w:lang w:val="es-ES_tradnl"/>
        </w:rPr>
      </w:pPr>
      <w:r w:rsidRPr="0098414F">
        <w:rPr>
          <w:rFonts w:ascii="Times New Roman" w:hAnsi="Times New Roman"/>
          <w:b/>
          <w:sz w:val="24"/>
          <w:lang w:val="es-ES_tradnl"/>
        </w:rPr>
        <w:lastRenderedPageBreak/>
        <w:t xml:space="preserve">Relación de </w:t>
      </w:r>
      <w:r>
        <w:rPr>
          <w:rFonts w:ascii="Times New Roman" w:hAnsi="Times New Roman"/>
          <w:b/>
          <w:sz w:val="24"/>
          <w:lang w:val="es-ES_tradnl"/>
        </w:rPr>
        <w:t>proyectos investigación en ejecución</w:t>
      </w:r>
    </w:p>
    <w:p w14:paraId="2754E9A1" w14:textId="77777777" w:rsidR="00CA5792" w:rsidRPr="0093133A" w:rsidRDefault="00CA5792" w:rsidP="00CA5792">
      <w:pPr>
        <w:pStyle w:val="Prrafodelista"/>
        <w:spacing w:after="0"/>
        <w:ind w:left="567"/>
        <w:rPr>
          <w:rFonts w:ascii="Times New Roman" w:hAnsi="Times New Roman"/>
          <w:sz w:val="24"/>
          <w:lang w:val="es-ES_tradnl"/>
        </w:rPr>
      </w:pPr>
    </w:p>
    <w:tbl>
      <w:tblPr>
        <w:tblpPr w:leftFromText="141" w:rightFromText="141" w:vertAnchor="text" w:horzAnchor="margin" w:tblpXSpec="center" w:tblpY="61"/>
        <w:tblW w:w="10358" w:type="dxa"/>
        <w:tblCellMar>
          <w:left w:w="70" w:type="dxa"/>
          <w:right w:w="70" w:type="dxa"/>
        </w:tblCellMar>
        <w:tblLook w:val="04A0" w:firstRow="1" w:lastRow="0" w:firstColumn="1" w:lastColumn="0" w:noHBand="0" w:noVBand="1"/>
      </w:tblPr>
      <w:tblGrid>
        <w:gridCol w:w="567"/>
        <w:gridCol w:w="2451"/>
        <w:gridCol w:w="1405"/>
        <w:gridCol w:w="1559"/>
        <w:gridCol w:w="1559"/>
        <w:gridCol w:w="1295"/>
        <w:gridCol w:w="1522"/>
      </w:tblGrid>
      <w:tr w:rsidR="00977EF0" w:rsidRPr="00A13AAF" w14:paraId="0BC8C4B0" w14:textId="77777777" w:rsidTr="00F73FE8">
        <w:trPr>
          <w:trHeight w:val="688"/>
        </w:trPr>
        <w:tc>
          <w:tcPr>
            <w:tcW w:w="567" w:type="dxa"/>
            <w:tcBorders>
              <w:top w:val="single" w:sz="4" w:space="0" w:color="auto"/>
              <w:left w:val="single" w:sz="8" w:space="0" w:color="auto"/>
              <w:bottom w:val="single" w:sz="8" w:space="0" w:color="auto"/>
              <w:right w:val="single" w:sz="8" w:space="0" w:color="auto"/>
            </w:tcBorders>
            <w:shd w:val="clear" w:color="auto" w:fill="00B050"/>
            <w:vAlign w:val="center"/>
            <w:hideMark/>
          </w:tcPr>
          <w:p w14:paraId="1BBE22A7" w14:textId="77777777" w:rsidR="00977EF0" w:rsidRPr="00A13AAF" w:rsidRDefault="00977EF0" w:rsidP="00E83D42">
            <w:pPr>
              <w:spacing w:after="0"/>
              <w:jc w:val="center"/>
              <w:rPr>
                <w:rFonts w:ascii="Times New Roman" w:hAnsi="Times New Roman"/>
                <w:b/>
                <w:bCs/>
                <w:color w:val="FFFFFF" w:themeColor="background1"/>
                <w:sz w:val="22"/>
                <w:szCs w:val="22"/>
                <w:lang w:eastAsia="es-DO"/>
              </w:rPr>
            </w:pPr>
            <w:r w:rsidRPr="00A13AAF">
              <w:rPr>
                <w:rFonts w:ascii="Times New Roman" w:hAnsi="Times New Roman"/>
                <w:b/>
                <w:bCs/>
                <w:color w:val="FFFFFF" w:themeColor="background1"/>
                <w:sz w:val="22"/>
                <w:szCs w:val="22"/>
                <w:lang w:eastAsia="es-DO"/>
              </w:rPr>
              <w:t>No.</w:t>
            </w:r>
          </w:p>
        </w:tc>
        <w:tc>
          <w:tcPr>
            <w:tcW w:w="2686" w:type="dxa"/>
            <w:tcBorders>
              <w:top w:val="single" w:sz="4" w:space="0" w:color="auto"/>
              <w:left w:val="single" w:sz="8" w:space="0" w:color="auto"/>
              <w:bottom w:val="single" w:sz="8" w:space="0" w:color="auto"/>
              <w:right w:val="single" w:sz="8" w:space="0" w:color="auto"/>
            </w:tcBorders>
            <w:shd w:val="clear" w:color="auto" w:fill="00B050"/>
            <w:vAlign w:val="center"/>
            <w:hideMark/>
          </w:tcPr>
          <w:p w14:paraId="68442DC4" w14:textId="77777777" w:rsidR="00977EF0" w:rsidRPr="00A13AAF" w:rsidRDefault="00977EF0" w:rsidP="00E83D42">
            <w:pPr>
              <w:spacing w:after="0"/>
              <w:jc w:val="center"/>
              <w:rPr>
                <w:rFonts w:ascii="Times New Roman" w:hAnsi="Times New Roman"/>
                <w:b/>
                <w:bCs/>
                <w:color w:val="FFFFFF" w:themeColor="background1"/>
                <w:sz w:val="22"/>
                <w:szCs w:val="22"/>
                <w:lang w:eastAsia="es-DO"/>
              </w:rPr>
            </w:pPr>
            <w:r w:rsidRPr="00A13AAF">
              <w:rPr>
                <w:rFonts w:ascii="Times New Roman" w:hAnsi="Times New Roman"/>
                <w:b/>
                <w:bCs/>
                <w:color w:val="FFFFFF" w:themeColor="background1"/>
                <w:sz w:val="22"/>
                <w:szCs w:val="22"/>
                <w:lang w:eastAsia="es-DO"/>
              </w:rPr>
              <w:t xml:space="preserve"> Titulo</w:t>
            </w:r>
          </w:p>
        </w:tc>
        <w:tc>
          <w:tcPr>
            <w:tcW w:w="1293" w:type="dxa"/>
            <w:tcBorders>
              <w:top w:val="single" w:sz="4" w:space="0" w:color="auto"/>
              <w:left w:val="single" w:sz="8" w:space="0" w:color="auto"/>
              <w:bottom w:val="single" w:sz="2" w:space="0" w:color="auto"/>
              <w:right w:val="single" w:sz="8" w:space="0" w:color="auto"/>
            </w:tcBorders>
            <w:shd w:val="clear" w:color="auto" w:fill="00B050"/>
            <w:vAlign w:val="center"/>
            <w:hideMark/>
          </w:tcPr>
          <w:p w14:paraId="1A9CB4E3" w14:textId="77777777" w:rsidR="00977EF0" w:rsidRPr="00A13AAF" w:rsidRDefault="00977EF0" w:rsidP="00E83D42">
            <w:pPr>
              <w:spacing w:after="0"/>
              <w:jc w:val="center"/>
              <w:rPr>
                <w:rFonts w:ascii="Times New Roman" w:hAnsi="Times New Roman"/>
                <w:b/>
                <w:bCs/>
                <w:color w:val="FFFFFF" w:themeColor="background1"/>
                <w:sz w:val="22"/>
                <w:szCs w:val="22"/>
                <w:lang w:eastAsia="es-DO"/>
              </w:rPr>
            </w:pPr>
            <w:r w:rsidRPr="00A13AAF">
              <w:rPr>
                <w:rFonts w:ascii="Times New Roman" w:hAnsi="Times New Roman"/>
                <w:b/>
                <w:bCs/>
                <w:color w:val="FFFFFF" w:themeColor="background1"/>
                <w:sz w:val="22"/>
                <w:szCs w:val="22"/>
                <w:lang w:eastAsia="es-DO"/>
              </w:rPr>
              <w:t>Monto Total Proyecto</w:t>
            </w:r>
          </w:p>
        </w:tc>
        <w:tc>
          <w:tcPr>
            <w:tcW w:w="1559" w:type="dxa"/>
            <w:tcBorders>
              <w:top w:val="single" w:sz="4" w:space="0" w:color="auto"/>
              <w:left w:val="single" w:sz="8" w:space="0" w:color="auto"/>
              <w:bottom w:val="single" w:sz="2" w:space="0" w:color="auto"/>
              <w:right w:val="single" w:sz="8" w:space="0" w:color="auto"/>
            </w:tcBorders>
            <w:shd w:val="clear" w:color="auto" w:fill="00B050"/>
            <w:vAlign w:val="center"/>
            <w:hideMark/>
          </w:tcPr>
          <w:p w14:paraId="08D42589" w14:textId="0A4467CC" w:rsidR="00977EF0" w:rsidRPr="00A13AAF" w:rsidRDefault="00977EF0" w:rsidP="00207377">
            <w:pPr>
              <w:spacing w:after="0"/>
              <w:jc w:val="center"/>
              <w:rPr>
                <w:rFonts w:ascii="Times New Roman" w:hAnsi="Times New Roman"/>
                <w:b/>
                <w:bCs/>
                <w:color w:val="FFFFFF" w:themeColor="background1"/>
                <w:sz w:val="22"/>
                <w:szCs w:val="22"/>
                <w:lang w:eastAsia="es-DO"/>
              </w:rPr>
            </w:pPr>
            <w:r w:rsidRPr="00A13AAF">
              <w:rPr>
                <w:rFonts w:ascii="Times New Roman" w:hAnsi="Times New Roman"/>
                <w:b/>
                <w:bCs/>
                <w:color w:val="FFFFFF" w:themeColor="background1"/>
                <w:sz w:val="22"/>
                <w:szCs w:val="22"/>
                <w:lang w:eastAsia="es-DO"/>
              </w:rPr>
              <w:t xml:space="preserve">Aporte Ejecutores </w:t>
            </w:r>
            <w:r w:rsidR="00207377" w:rsidRPr="00A13AAF">
              <w:rPr>
                <w:rFonts w:ascii="Times New Roman" w:hAnsi="Times New Roman"/>
                <w:b/>
                <w:bCs/>
                <w:color w:val="FFFFFF" w:themeColor="background1"/>
                <w:sz w:val="22"/>
                <w:szCs w:val="22"/>
                <w:lang w:eastAsia="es-DO"/>
              </w:rPr>
              <w:t>y</w:t>
            </w:r>
            <w:r w:rsidRPr="00A13AAF">
              <w:rPr>
                <w:rFonts w:ascii="Times New Roman" w:hAnsi="Times New Roman"/>
                <w:b/>
                <w:bCs/>
                <w:color w:val="FFFFFF" w:themeColor="background1"/>
                <w:sz w:val="22"/>
                <w:szCs w:val="22"/>
                <w:lang w:eastAsia="es-DO"/>
              </w:rPr>
              <w:t xml:space="preserve"> Co-Ejecutores</w:t>
            </w:r>
          </w:p>
        </w:tc>
        <w:tc>
          <w:tcPr>
            <w:tcW w:w="1559" w:type="dxa"/>
            <w:tcBorders>
              <w:top w:val="single" w:sz="4" w:space="0" w:color="auto"/>
              <w:left w:val="single" w:sz="8" w:space="0" w:color="auto"/>
              <w:bottom w:val="single" w:sz="2" w:space="0" w:color="auto"/>
              <w:right w:val="single" w:sz="8" w:space="0" w:color="auto"/>
            </w:tcBorders>
            <w:shd w:val="clear" w:color="auto" w:fill="00B050"/>
            <w:vAlign w:val="center"/>
            <w:hideMark/>
          </w:tcPr>
          <w:p w14:paraId="4DB0ADAB" w14:textId="1A0C9B0E" w:rsidR="00977EF0" w:rsidRPr="00A13AAF" w:rsidRDefault="00977EF0" w:rsidP="00207377">
            <w:pPr>
              <w:spacing w:after="0"/>
              <w:jc w:val="center"/>
              <w:rPr>
                <w:rFonts w:ascii="Times New Roman" w:hAnsi="Times New Roman"/>
                <w:b/>
                <w:bCs/>
                <w:color w:val="FFFFFF" w:themeColor="background1"/>
                <w:sz w:val="22"/>
                <w:szCs w:val="22"/>
                <w:lang w:eastAsia="es-DO"/>
              </w:rPr>
            </w:pPr>
            <w:r w:rsidRPr="00A13AAF">
              <w:rPr>
                <w:rFonts w:ascii="Times New Roman" w:hAnsi="Times New Roman"/>
                <w:b/>
                <w:bCs/>
                <w:color w:val="FFFFFF" w:themeColor="background1"/>
                <w:sz w:val="22"/>
                <w:szCs w:val="22"/>
                <w:lang w:eastAsia="es-DO"/>
              </w:rPr>
              <w:t xml:space="preserve"> Monto Aprobado (RD$)</w:t>
            </w:r>
          </w:p>
        </w:tc>
        <w:tc>
          <w:tcPr>
            <w:tcW w:w="1276" w:type="dxa"/>
            <w:tcBorders>
              <w:top w:val="single" w:sz="4" w:space="0" w:color="auto"/>
              <w:left w:val="single" w:sz="8" w:space="0" w:color="auto"/>
              <w:bottom w:val="single" w:sz="2" w:space="0" w:color="auto"/>
              <w:right w:val="single" w:sz="8" w:space="0" w:color="auto"/>
            </w:tcBorders>
            <w:shd w:val="clear" w:color="auto" w:fill="00B050"/>
            <w:vAlign w:val="center"/>
            <w:hideMark/>
          </w:tcPr>
          <w:p w14:paraId="0E035C1B" w14:textId="253E3DF3" w:rsidR="00977EF0" w:rsidRPr="00A13AAF" w:rsidRDefault="00724463" w:rsidP="00724463">
            <w:pPr>
              <w:spacing w:after="0"/>
              <w:jc w:val="center"/>
              <w:rPr>
                <w:rFonts w:ascii="Times New Roman" w:hAnsi="Times New Roman"/>
                <w:b/>
                <w:bCs/>
                <w:color w:val="FFFFFF" w:themeColor="background1"/>
                <w:sz w:val="22"/>
                <w:szCs w:val="22"/>
                <w:lang w:eastAsia="es-DO"/>
              </w:rPr>
            </w:pPr>
            <w:r>
              <w:rPr>
                <w:rFonts w:ascii="Times New Roman" w:hAnsi="Times New Roman"/>
                <w:b/>
                <w:bCs/>
                <w:color w:val="FFFFFF" w:themeColor="background1"/>
                <w:sz w:val="22"/>
                <w:szCs w:val="22"/>
                <w:lang w:eastAsia="es-DO"/>
              </w:rPr>
              <w:t>Total Desem-bolsado</w:t>
            </w:r>
          </w:p>
        </w:tc>
        <w:tc>
          <w:tcPr>
            <w:tcW w:w="1418" w:type="dxa"/>
            <w:tcBorders>
              <w:top w:val="single" w:sz="4" w:space="0" w:color="auto"/>
              <w:left w:val="single" w:sz="8" w:space="0" w:color="auto"/>
              <w:bottom w:val="single" w:sz="2" w:space="0" w:color="auto"/>
              <w:right w:val="single" w:sz="8" w:space="0" w:color="auto"/>
            </w:tcBorders>
            <w:shd w:val="clear" w:color="auto" w:fill="00B050"/>
            <w:vAlign w:val="center"/>
            <w:hideMark/>
          </w:tcPr>
          <w:p w14:paraId="31F12943" w14:textId="77777777" w:rsidR="00977EF0" w:rsidRPr="00A13AAF" w:rsidRDefault="00977EF0" w:rsidP="00E83D42">
            <w:pPr>
              <w:spacing w:after="0"/>
              <w:jc w:val="center"/>
              <w:rPr>
                <w:rFonts w:ascii="Times New Roman" w:hAnsi="Times New Roman"/>
                <w:b/>
                <w:bCs/>
                <w:color w:val="FFFFFF" w:themeColor="background1"/>
                <w:sz w:val="22"/>
                <w:szCs w:val="22"/>
                <w:lang w:eastAsia="es-DO"/>
              </w:rPr>
            </w:pPr>
            <w:r w:rsidRPr="00A13AAF">
              <w:rPr>
                <w:rFonts w:ascii="Times New Roman" w:hAnsi="Times New Roman"/>
                <w:b/>
                <w:bCs/>
                <w:color w:val="FFFFFF" w:themeColor="background1"/>
                <w:sz w:val="22"/>
                <w:szCs w:val="22"/>
                <w:lang w:eastAsia="es-DO"/>
              </w:rPr>
              <w:t>Disponibilidad Total</w:t>
            </w:r>
          </w:p>
        </w:tc>
      </w:tr>
      <w:tr w:rsidR="00977EF0" w:rsidRPr="00A13AAF" w14:paraId="0E483E7D" w14:textId="77777777" w:rsidTr="00977EF0">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302E4325" w14:textId="77777777" w:rsidR="00977EF0" w:rsidRPr="00A13AAF" w:rsidRDefault="00977EF0" w:rsidP="00E83D42">
            <w:pPr>
              <w:spacing w:after="0"/>
              <w:jc w:val="center"/>
              <w:rPr>
                <w:rFonts w:ascii="Times New Roman" w:hAnsi="Times New Roman"/>
                <w:sz w:val="20"/>
                <w:szCs w:val="20"/>
                <w:lang w:eastAsia="es-DO"/>
              </w:rPr>
            </w:pPr>
            <w:r w:rsidRPr="00A13AAF">
              <w:rPr>
                <w:rFonts w:ascii="Times New Roman" w:hAnsi="Times New Roman"/>
                <w:sz w:val="20"/>
                <w:szCs w:val="20"/>
                <w:lang w:eastAsia="es-DO"/>
              </w:rPr>
              <w:t>1</w:t>
            </w:r>
          </w:p>
        </w:tc>
        <w:tc>
          <w:tcPr>
            <w:tcW w:w="2686" w:type="dxa"/>
            <w:tcBorders>
              <w:top w:val="nil"/>
              <w:left w:val="nil"/>
              <w:bottom w:val="single" w:sz="4" w:space="0" w:color="auto"/>
              <w:right w:val="single" w:sz="4" w:space="0" w:color="auto"/>
            </w:tcBorders>
            <w:shd w:val="clear" w:color="auto" w:fill="auto"/>
            <w:vAlign w:val="center"/>
            <w:hideMark/>
          </w:tcPr>
          <w:p w14:paraId="79D2A68C" w14:textId="77777777" w:rsidR="00977EF0" w:rsidRPr="00A13AAF" w:rsidRDefault="00977EF0" w:rsidP="00E83D42">
            <w:pPr>
              <w:spacing w:after="0"/>
              <w:jc w:val="both"/>
              <w:rPr>
                <w:rFonts w:ascii="Times New Roman" w:hAnsi="Times New Roman"/>
                <w:sz w:val="20"/>
                <w:szCs w:val="20"/>
                <w:lang w:eastAsia="es-DO"/>
              </w:rPr>
            </w:pPr>
            <w:r w:rsidRPr="00A13AAF">
              <w:rPr>
                <w:rFonts w:ascii="Times New Roman" w:hAnsi="Times New Roman"/>
                <w:sz w:val="20"/>
                <w:szCs w:val="20"/>
                <w:lang w:eastAsia="es-DO"/>
              </w:rPr>
              <w:t>Desarrollo y validación de cultivares de lechosa de pulpa roja para el mercado de exportación.</w:t>
            </w:r>
          </w:p>
        </w:tc>
        <w:tc>
          <w:tcPr>
            <w:tcW w:w="1293" w:type="dxa"/>
            <w:tcBorders>
              <w:top w:val="single" w:sz="2" w:space="0" w:color="auto"/>
              <w:left w:val="nil"/>
              <w:bottom w:val="single" w:sz="4" w:space="0" w:color="auto"/>
              <w:right w:val="single" w:sz="4" w:space="0" w:color="auto"/>
            </w:tcBorders>
            <w:shd w:val="clear" w:color="auto" w:fill="auto"/>
            <w:vAlign w:val="center"/>
            <w:hideMark/>
          </w:tcPr>
          <w:p w14:paraId="214C4D56" w14:textId="2A034A5D"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4,558,075.00</w:t>
            </w:r>
          </w:p>
        </w:tc>
        <w:tc>
          <w:tcPr>
            <w:tcW w:w="1559" w:type="dxa"/>
            <w:tcBorders>
              <w:top w:val="single" w:sz="2" w:space="0" w:color="auto"/>
              <w:left w:val="nil"/>
              <w:bottom w:val="single" w:sz="4" w:space="0" w:color="auto"/>
              <w:right w:val="single" w:sz="4" w:space="0" w:color="auto"/>
            </w:tcBorders>
            <w:shd w:val="clear" w:color="auto" w:fill="auto"/>
            <w:vAlign w:val="center"/>
            <w:hideMark/>
          </w:tcPr>
          <w:p w14:paraId="073F951E" w14:textId="0DA7EDE7"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1,631,132.34</w:t>
            </w:r>
          </w:p>
        </w:tc>
        <w:tc>
          <w:tcPr>
            <w:tcW w:w="1559" w:type="dxa"/>
            <w:tcBorders>
              <w:top w:val="single" w:sz="2" w:space="0" w:color="auto"/>
              <w:left w:val="nil"/>
              <w:bottom w:val="single" w:sz="4" w:space="0" w:color="auto"/>
              <w:right w:val="single" w:sz="4" w:space="0" w:color="auto"/>
            </w:tcBorders>
            <w:shd w:val="clear" w:color="auto" w:fill="auto"/>
            <w:noWrap/>
            <w:vAlign w:val="center"/>
            <w:hideMark/>
          </w:tcPr>
          <w:p w14:paraId="2D484E35" w14:textId="0A6610DD"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2,926,942.66</w:t>
            </w:r>
          </w:p>
        </w:tc>
        <w:tc>
          <w:tcPr>
            <w:tcW w:w="1276" w:type="dxa"/>
            <w:tcBorders>
              <w:top w:val="single" w:sz="2" w:space="0" w:color="auto"/>
              <w:left w:val="nil"/>
              <w:bottom w:val="single" w:sz="4" w:space="0" w:color="auto"/>
              <w:right w:val="single" w:sz="4" w:space="0" w:color="auto"/>
            </w:tcBorders>
            <w:shd w:val="clear" w:color="auto" w:fill="auto"/>
            <w:noWrap/>
            <w:vAlign w:val="center"/>
          </w:tcPr>
          <w:p w14:paraId="49ED0478" w14:textId="77777777"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2,487,901.26</w:t>
            </w:r>
          </w:p>
        </w:tc>
        <w:tc>
          <w:tcPr>
            <w:tcW w:w="1418" w:type="dxa"/>
            <w:tcBorders>
              <w:top w:val="single" w:sz="2" w:space="0" w:color="auto"/>
              <w:left w:val="nil"/>
              <w:bottom w:val="single" w:sz="4" w:space="0" w:color="auto"/>
              <w:right w:val="single" w:sz="4" w:space="0" w:color="auto"/>
            </w:tcBorders>
            <w:shd w:val="clear" w:color="auto" w:fill="auto"/>
            <w:noWrap/>
            <w:vAlign w:val="center"/>
            <w:hideMark/>
          </w:tcPr>
          <w:p w14:paraId="24D158CC" w14:textId="77777777"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439,041.40</w:t>
            </w:r>
          </w:p>
        </w:tc>
      </w:tr>
      <w:tr w:rsidR="00977EF0" w:rsidRPr="00A13AAF" w14:paraId="1842E548" w14:textId="77777777" w:rsidTr="00977EF0">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0491F39E" w14:textId="77777777" w:rsidR="00977EF0" w:rsidRPr="00A13AAF" w:rsidRDefault="00977EF0" w:rsidP="00E83D42">
            <w:pPr>
              <w:spacing w:after="0"/>
              <w:jc w:val="center"/>
              <w:rPr>
                <w:rFonts w:ascii="Times New Roman" w:hAnsi="Times New Roman"/>
                <w:sz w:val="20"/>
                <w:szCs w:val="20"/>
                <w:lang w:eastAsia="es-DO"/>
              </w:rPr>
            </w:pPr>
            <w:r w:rsidRPr="00A13AAF">
              <w:rPr>
                <w:rFonts w:ascii="Times New Roman" w:hAnsi="Times New Roman"/>
                <w:sz w:val="20"/>
                <w:szCs w:val="20"/>
                <w:lang w:eastAsia="es-DO"/>
              </w:rPr>
              <w:t>2</w:t>
            </w:r>
          </w:p>
        </w:tc>
        <w:tc>
          <w:tcPr>
            <w:tcW w:w="2686" w:type="dxa"/>
            <w:tcBorders>
              <w:top w:val="nil"/>
              <w:left w:val="nil"/>
              <w:bottom w:val="single" w:sz="4" w:space="0" w:color="auto"/>
              <w:right w:val="single" w:sz="4" w:space="0" w:color="auto"/>
            </w:tcBorders>
            <w:shd w:val="clear" w:color="auto" w:fill="auto"/>
            <w:vAlign w:val="center"/>
            <w:hideMark/>
          </w:tcPr>
          <w:p w14:paraId="6E3B9C55" w14:textId="7ECDD6E3" w:rsidR="00977EF0" w:rsidRPr="00A13AAF" w:rsidRDefault="00977EF0" w:rsidP="00E83D42">
            <w:pPr>
              <w:spacing w:after="0"/>
              <w:jc w:val="both"/>
              <w:rPr>
                <w:rFonts w:ascii="Times New Roman" w:hAnsi="Times New Roman"/>
                <w:sz w:val="20"/>
                <w:szCs w:val="20"/>
                <w:lang w:eastAsia="es-DO"/>
              </w:rPr>
            </w:pPr>
            <w:r w:rsidRPr="00A13AAF">
              <w:rPr>
                <w:rFonts w:ascii="Times New Roman" w:hAnsi="Times New Roman"/>
                <w:sz w:val="20"/>
                <w:szCs w:val="20"/>
                <w:lang w:eastAsia="es-DO"/>
              </w:rPr>
              <w:t>Comportamiento Varietal de Tomates y</w:t>
            </w:r>
            <w:r w:rsidR="00724463">
              <w:rPr>
                <w:rFonts w:ascii="Times New Roman" w:hAnsi="Times New Roman"/>
                <w:sz w:val="20"/>
                <w:szCs w:val="20"/>
                <w:lang w:eastAsia="es-DO"/>
              </w:rPr>
              <w:t xml:space="preserve"> Ajíes frente a las Principales </w:t>
            </w:r>
            <w:r w:rsidRPr="00A13AAF">
              <w:rPr>
                <w:rFonts w:ascii="Times New Roman" w:hAnsi="Times New Roman"/>
                <w:sz w:val="20"/>
                <w:szCs w:val="20"/>
                <w:lang w:eastAsia="es-DO"/>
              </w:rPr>
              <w:t>Plagas Artrópodas en Ambiente Protegido.</w:t>
            </w:r>
          </w:p>
        </w:tc>
        <w:tc>
          <w:tcPr>
            <w:tcW w:w="1293" w:type="dxa"/>
            <w:tcBorders>
              <w:top w:val="nil"/>
              <w:left w:val="nil"/>
              <w:bottom w:val="single" w:sz="4" w:space="0" w:color="auto"/>
              <w:right w:val="single" w:sz="4" w:space="0" w:color="auto"/>
            </w:tcBorders>
            <w:shd w:val="clear" w:color="auto" w:fill="auto"/>
            <w:vAlign w:val="center"/>
            <w:hideMark/>
          </w:tcPr>
          <w:p w14:paraId="7FE961F6" w14:textId="3AD61260"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4,472,244.00</w:t>
            </w:r>
          </w:p>
        </w:tc>
        <w:tc>
          <w:tcPr>
            <w:tcW w:w="1559" w:type="dxa"/>
            <w:tcBorders>
              <w:top w:val="nil"/>
              <w:left w:val="nil"/>
              <w:bottom w:val="single" w:sz="4" w:space="0" w:color="auto"/>
              <w:right w:val="single" w:sz="4" w:space="0" w:color="auto"/>
            </w:tcBorders>
            <w:shd w:val="clear" w:color="auto" w:fill="auto"/>
            <w:vAlign w:val="center"/>
            <w:hideMark/>
          </w:tcPr>
          <w:p w14:paraId="37600896" w14:textId="2A646B61"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3,111,658.24</w:t>
            </w:r>
          </w:p>
        </w:tc>
        <w:tc>
          <w:tcPr>
            <w:tcW w:w="1559" w:type="dxa"/>
            <w:tcBorders>
              <w:top w:val="nil"/>
              <w:left w:val="nil"/>
              <w:bottom w:val="single" w:sz="4" w:space="0" w:color="auto"/>
              <w:right w:val="single" w:sz="4" w:space="0" w:color="auto"/>
            </w:tcBorders>
            <w:shd w:val="clear" w:color="auto" w:fill="auto"/>
            <w:noWrap/>
            <w:vAlign w:val="center"/>
            <w:hideMark/>
          </w:tcPr>
          <w:p w14:paraId="7A3643D2" w14:textId="41C5F664"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1,360,585.76</w:t>
            </w:r>
          </w:p>
        </w:tc>
        <w:tc>
          <w:tcPr>
            <w:tcW w:w="1276" w:type="dxa"/>
            <w:tcBorders>
              <w:top w:val="nil"/>
              <w:left w:val="nil"/>
              <w:bottom w:val="single" w:sz="4" w:space="0" w:color="auto"/>
              <w:right w:val="single" w:sz="4" w:space="0" w:color="auto"/>
            </w:tcBorders>
            <w:shd w:val="clear" w:color="auto" w:fill="auto"/>
            <w:noWrap/>
            <w:vAlign w:val="center"/>
          </w:tcPr>
          <w:p w14:paraId="0ED4CD9F" w14:textId="6B78E1DC"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1,156,497.30</w:t>
            </w:r>
          </w:p>
        </w:tc>
        <w:tc>
          <w:tcPr>
            <w:tcW w:w="1418" w:type="dxa"/>
            <w:tcBorders>
              <w:top w:val="nil"/>
              <w:left w:val="nil"/>
              <w:bottom w:val="single" w:sz="4" w:space="0" w:color="auto"/>
              <w:right w:val="single" w:sz="4" w:space="0" w:color="auto"/>
            </w:tcBorders>
            <w:shd w:val="clear" w:color="auto" w:fill="auto"/>
            <w:noWrap/>
            <w:vAlign w:val="center"/>
            <w:hideMark/>
          </w:tcPr>
          <w:p w14:paraId="14E109D5" w14:textId="49980108"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204,088.46</w:t>
            </w:r>
          </w:p>
        </w:tc>
      </w:tr>
      <w:tr w:rsidR="00977EF0" w:rsidRPr="00A13AAF" w14:paraId="2B64E764" w14:textId="77777777" w:rsidTr="00977EF0">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62B7C6" w14:textId="77777777" w:rsidR="00977EF0" w:rsidRPr="00A13AAF" w:rsidRDefault="00977EF0" w:rsidP="00E83D42">
            <w:pPr>
              <w:spacing w:after="0"/>
              <w:jc w:val="center"/>
              <w:rPr>
                <w:rFonts w:ascii="Times New Roman" w:hAnsi="Times New Roman"/>
                <w:sz w:val="20"/>
                <w:szCs w:val="20"/>
                <w:lang w:eastAsia="es-DO"/>
              </w:rPr>
            </w:pPr>
            <w:r w:rsidRPr="00A13AAF">
              <w:rPr>
                <w:rFonts w:ascii="Times New Roman" w:hAnsi="Times New Roman"/>
                <w:sz w:val="20"/>
                <w:szCs w:val="20"/>
                <w:lang w:eastAsia="es-DO"/>
              </w:rPr>
              <w:t>3</w:t>
            </w:r>
          </w:p>
        </w:tc>
        <w:tc>
          <w:tcPr>
            <w:tcW w:w="2686" w:type="dxa"/>
            <w:tcBorders>
              <w:top w:val="nil"/>
              <w:left w:val="nil"/>
              <w:bottom w:val="single" w:sz="4" w:space="0" w:color="auto"/>
              <w:right w:val="single" w:sz="4" w:space="0" w:color="auto"/>
            </w:tcBorders>
            <w:shd w:val="clear" w:color="auto" w:fill="auto"/>
            <w:vAlign w:val="center"/>
            <w:hideMark/>
          </w:tcPr>
          <w:p w14:paraId="3B30FEBF" w14:textId="2219D906" w:rsidR="00977EF0" w:rsidRPr="00A13AAF" w:rsidRDefault="00977EF0" w:rsidP="00A13AAF">
            <w:pPr>
              <w:spacing w:after="0"/>
              <w:jc w:val="both"/>
              <w:rPr>
                <w:rFonts w:ascii="Times New Roman" w:hAnsi="Times New Roman"/>
                <w:sz w:val="20"/>
                <w:szCs w:val="20"/>
                <w:lang w:eastAsia="es-DO"/>
              </w:rPr>
            </w:pPr>
            <w:r w:rsidRPr="00A13AAF">
              <w:rPr>
                <w:rFonts w:ascii="Times New Roman" w:hAnsi="Times New Roman"/>
                <w:sz w:val="20"/>
                <w:szCs w:val="20"/>
                <w:lang w:eastAsia="es-DO"/>
              </w:rPr>
              <w:t>Evaluación Secador Solar T</w:t>
            </w:r>
            <w:r w:rsidR="00A13AAF" w:rsidRPr="00A13AAF">
              <w:rPr>
                <w:rFonts w:ascii="Times New Roman" w:hAnsi="Times New Roman"/>
                <w:sz w:val="20"/>
                <w:szCs w:val="20"/>
                <w:lang w:eastAsia="es-DO"/>
              </w:rPr>
              <w:t>ipo “Martínez- Pinillos”, para m</w:t>
            </w:r>
            <w:r w:rsidRPr="00A13AAF">
              <w:rPr>
                <w:rFonts w:ascii="Times New Roman" w:hAnsi="Times New Roman"/>
                <w:sz w:val="20"/>
                <w:szCs w:val="20"/>
                <w:lang w:eastAsia="es-DO"/>
              </w:rPr>
              <w:t>adera en el Proyecto Celestina; Rep</w:t>
            </w:r>
            <w:r w:rsidR="00A13AAF" w:rsidRPr="00A13AAF">
              <w:rPr>
                <w:rFonts w:ascii="Times New Roman" w:hAnsi="Times New Roman"/>
                <w:sz w:val="20"/>
                <w:szCs w:val="20"/>
                <w:lang w:eastAsia="es-DO"/>
              </w:rPr>
              <w:t>ú</w:t>
            </w:r>
            <w:r w:rsidRPr="00A13AAF">
              <w:rPr>
                <w:rFonts w:ascii="Times New Roman" w:hAnsi="Times New Roman"/>
                <w:sz w:val="20"/>
                <w:szCs w:val="20"/>
                <w:lang w:eastAsia="es-DO"/>
              </w:rPr>
              <w:t>blica Dominicana.</w:t>
            </w:r>
          </w:p>
        </w:tc>
        <w:tc>
          <w:tcPr>
            <w:tcW w:w="1293" w:type="dxa"/>
            <w:tcBorders>
              <w:top w:val="nil"/>
              <w:left w:val="nil"/>
              <w:bottom w:val="single" w:sz="4" w:space="0" w:color="auto"/>
              <w:right w:val="single" w:sz="4" w:space="0" w:color="auto"/>
            </w:tcBorders>
            <w:shd w:val="clear" w:color="auto" w:fill="auto"/>
            <w:vAlign w:val="center"/>
            <w:hideMark/>
          </w:tcPr>
          <w:p w14:paraId="61A9BABA" w14:textId="44E538C6"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1,983,974.00</w:t>
            </w:r>
          </w:p>
        </w:tc>
        <w:tc>
          <w:tcPr>
            <w:tcW w:w="1559" w:type="dxa"/>
            <w:tcBorders>
              <w:top w:val="nil"/>
              <w:left w:val="nil"/>
              <w:bottom w:val="single" w:sz="4" w:space="0" w:color="auto"/>
              <w:right w:val="single" w:sz="4" w:space="0" w:color="auto"/>
            </w:tcBorders>
            <w:shd w:val="clear" w:color="auto" w:fill="auto"/>
            <w:vAlign w:val="center"/>
            <w:hideMark/>
          </w:tcPr>
          <w:p w14:paraId="476D6D80" w14:textId="6512F012"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1,117,987.00</w:t>
            </w:r>
          </w:p>
        </w:tc>
        <w:tc>
          <w:tcPr>
            <w:tcW w:w="1559" w:type="dxa"/>
            <w:tcBorders>
              <w:top w:val="nil"/>
              <w:left w:val="nil"/>
              <w:bottom w:val="single" w:sz="4" w:space="0" w:color="auto"/>
              <w:right w:val="single" w:sz="4" w:space="0" w:color="auto"/>
            </w:tcBorders>
            <w:shd w:val="clear" w:color="auto" w:fill="auto"/>
            <w:noWrap/>
            <w:vAlign w:val="center"/>
            <w:hideMark/>
          </w:tcPr>
          <w:p w14:paraId="4C0EB1F9" w14:textId="28D0A1CC"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865,987.00</w:t>
            </w:r>
          </w:p>
        </w:tc>
        <w:tc>
          <w:tcPr>
            <w:tcW w:w="1276" w:type="dxa"/>
            <w:tcBorders>
              <w:top w:val="nil"/>
              <w:left w:val="nil"/>
              <w:bottom w:val="single" w:sz="4" w:space="0" w:color="auto"/>
              <w:right w:val="single" w:sz="4" w:space="0" w:color="auto"/>
            </w:tcBorders>
            <w:shd w:val="clear" w:color="auto" w:fill="auto"/>
            <w:noWrap/>
            <w:vAlign w:val="center"/>
          </w:tcPr>
          <w:p w14:paraId="6ACE7B91" w14:textId="66DBC8A7"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636,690.00</w:t>
            </w:r>
          </w:p>
        </w:tc>
        <w:tc>
          <w:tcPr>
            <w:tcW w:w="1418" w:type="dxa"/>
            <w:tcBorders>
              <w:top w:val="nil"/>
              <w:left w:val="nil"/>
              <w:bottom w:val="single" w:sz="4" w:space="0" w:color="auto"/>
              <w:right w:val="single" w:sz="4" w:space="0" w:color="auto"/>
            </w:tcBorders>
            <w:shd w:val="clear" w:color="auto" w:fill="auto"/>
            <w:noWrap/>
            <w:vAlign w:val="center"/>
            <w:hideMark/>
          </w:tcPr>
          <w:p w14:paraId="0E6748EA" w14:textId="573A93CA"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229,297.00</w:t>
            </w:r>
          </w:p>
        </w:tc>
      </w:tr>
      <w:tr w:rsidR="00977EF0" w:rsidRPr="00A13AAF" w14:paraId="227B1429" w14:textId="77777777" w:rsidTr="00977EF0">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0DAB83" w14:textId="77777777" w:rsidR="00977EF0" w:rsidRPr="00A13AAF" w:rsidRDefault="00977EF0" w:rsidP="00E83D42">
            <w:pPr>
              <w:spacing w:after="0"/>
              <w:jc w:val="center"/>
              <w:rPr>
                <w:rFonts w:ascii="Times New Roman" w:hAnsi="Times New Roman"/>
                <w:sz w:val="20"/>
                <w:szCs w:val="20"/>
                <w:lang w:eastAsia="es-DO"/>
              </w:rPr>
            </w:pPr>
            <w:r w:rsidRPr="00A13AAF">
              <w:rPr>
                <w:rFonts w:ascii="Times New Roman" w:hAnsi="Times New Roman"/>
                <w:sz w:val="20"/>
                <w:szCs w:val="20"/>
                <w:lang w:eastAsia="es-DO"/>
              </w:rPr>
              <w:t>4</w:t>
            </w:r>
          </w:p>
        </w:tc>
        <w:tc>
          <w:tcPr>
            <w:tcW w:w="2686" w:type="dxa"/>
            <w:tcBorders>
              <w:top w:val="nil"/>
              <w:left w:val="nil"/>
              <w:bottom w:val="single" w:sz="4" w:space="0" w:color="auto"/>
              <w:right w:val="single" w:sz="4" w:space="0" w:color="auto"/>
            </w:tcBorders>
            <w:shd w:val="clear" w:color="auto" w:fill="auto"/>
            <w:vAlign w:val="center"/>
            <w:hideMark/>
          </w:tcPr>
          <w:p w14:paraId="7C79A5AA" w14:textId="77777777" w:rsidR="00977EF0" w:rsidRPr="00A13AAF" w:rsidRDefault="00977EF0" w:rsidP="00E83D42">
            <w:pPr>
              <w:spacing w:after="0"/>
              <w:jc w:val="both"/>
              <w:rPr>
                <w:rFonts w:ascii="Times New Roman" w:hAnsi="Times New Roman"/>
                <w:sz w:val="20"/>
                <w:szCs w:val="20"/>
                <w:lang w:eastAsia="es-DO"/>
              </w:rPr>
            </w:pPr>
            <w:r w:rsidRPr="00A13AAF">
              <w:rPr>
                <w:rFonts w:ascii="Times New Roman" w:hAnsi="Times New Roman"/>
                <w:sz w:val="20"/>
                <w:szCs w:val="20"/>
                <w:lang w:eastAsia="es-DO"/>
              </w:rPr>
              <w:t>Generación y validación de tecnologías sostenibles para la nutrición orgánica de banano en Azua.</w:t>
            </w:r>
          </w:p>
        </w:tc>
        <w:tc>
          <w:tcPr>
            <w:tcW w:w="1293" w:type="dxa"/>
            <w:tcBorders>
              <w:top w:val="nil"/>
              <w:left w:val="nil"/>
              <w:bottom w:val="single" w:sz="4" w:space="0" w:color="auto"/>
              <w:right w:val="single" w:sz="4" w:space="0" w:color="auto"/>
            </w:tcBorders>
            <w:shd w:val="clear" w:color="auto" w:fill="auto"/>
            <w:vAlign w:val="center"/>
            <w:hideMark/>
          </w:tcPr>
          <w:p w14:paraId="61D56C3B" w14:textId="4BACAA0C"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6,812,505.00</w:t>
            </w:r>
          </w:p>
        </w:tc>
        <w:tc>
          <w:tcPr>
            <w:tcW w:w="1559" w:type="dxa"/>
            <w:tcBorders>
              <w:top w:val="nil"/>
              <w:left w:val="nil"/>
              <w:bottom w:val="single" w:sz="4" w:space="0" w:color="auto"/>
              <w:right w:val="single" w:sz="4" w:space="0" w:color="auto"/>
            </w:tcBorders>
            <w:shd w:val="clear" w:color="auto" w:fill="auto"/>
            <w:vAlign w:val="center"/>
            <w:hideMark/>
          </w:tcPr>
          <w:p w14:paraId="53A60ED7" w14:textId="56E1B567"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5,553,788.00</w:t>
            </w:r>
          </w:p>
        </w:tc>
        <w:tc>
          <w:tcPr>
            <w:tcW w:w="1559" w:type="dxa"/>
            <w:tcBorders>
              <w:top w:val="nil"/>
              <w:left w:val="nil"/>
              <w:bottom w:val="single" w:sz="4" w:space="0" w:color="auto"/>
              <w:right w:val="single" w:sz="4" w:space="0" w:color="auto"/>
            </w:tcBorders>
            <w:shd w:val="clear" w:color="auto" w:fill="auto"/>
            <w:noWrap/>
            <w:vAlign w:val="center"/>
            <w:hideMark/>
          </w:tcPr>
          <w:p w14:paraId="24942E2A" w14:textId="0FF96A63"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1,258,717.00</w:t>
            </w:r>
          </w:p>
        </w:tc>
        <w:tc>
          <w:tcPr>
            <w:tcW w:w="1276" w:type="dxa"/>
            <w:tcBorders>
              <w:top w:val="nil"/>
              <w:left w:val="nil"/>
              <w:bottom w:val="single" w:sz="4" w:space="0" w:color="auto"/>
              <w:right w:val="single" w:sz="4" w:space="0" w:color="auto"/>
            </w:tcBorders>
            <w:shd w:val="clear" w:color="auto" w:fill="auto"/>
            <w:noWrap/>
            <w:vAlign w:val="center"/>
          </w:tcPr>
          <w:p w14:paraId="63BBD5DA" w14:textId="50C9A5DB"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1,136,059.59</w:t>
            </w:r>
          </w:p>
        </w:tc>
        <w:tc>
          <w:tcPr>
            <w:tcW w:w="1418" w:type="dxa"/>
            <w:tcBorders>
              <w:top w:val="nil"/>
              <w:left w:val="nil"/>
              <w:bottom w:val="single" w:sz="4" w:space="0" w:color="auto"/>
              <w:right w:val="single" w:sz="4" w:space="0" w:color="auto"/>
            </w:tcBorders>
            <w:shd w:val="clear" w:color="auto" w:fill="auto"/>
            <w:noWrap/>
            <w:vAlign w:val="center"/>
            <w:hideMark/>
          </w:tcPr>
          <w:p w14:paraId="3807E8CF" w14:textId="2D24251A"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122,657.41</w:t>
            </w:r>
          </w:p>
        </w:tc>
      </w:tr>
      <w:tr w:rsidR="00977EF0" w:rsidRPr="00A13AAF" w14:paraId="53768CA9" w14:textId="77777777" w:rsidTr="00977EF0">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tcPr>
          <w:p w14:paraId="66C11CE5" w14:textId="77777777" w:rsidR="00977EF0" w:rsidRPr="00A13AAF" w:rsidRDefault="00977EF0" w:rsidP="00E83D42">
            <w:pPr>
              <w:spacing w:after="0"/>
              <w:jc w:val="center"/>
              <w:rPr>
                <w:rFonts w:ascii="Times New Roman" w:hAnsi="Times New Roman"/>
                <w:sz w:val="20"/>
                <w:szCs w:val="20"/>
                <w:lang w:eastAsia="es-DO"/>
              </w:rPr>
            </w:pPr>
            <w:r w:rsidRPr="00A13AAF">
              <w:rPr>
                <w:rFonts w:ascii="Times New Roman" w:hAnsi="Times New Roman"/>
                <w:sz w:val="20"/>
                <w:szCs w:val="20"/>
                <w:lang w:eastAsia="es-DO"/>
              </w:rPr>
              <w:t>5</w:t>
            </w:r>
          </w:p>
        </w:tc>
        <w:tc>
          <w:tcPr>
            <w:tcW w:w="2686" w:type="dxa"/>
            <w:tcBorders>
              <w:top w:val="nil"/>
              <w:left w:val="nil"/>
              <w:bottom w:val="single" w:sz="4" w:space="0" w:color="auto"/>
              <w:right w:val="single" w:sz="4" w:space="0" w:color="auto"/>
            </w:tcBorders>
            <w:shd w:val="clear" w:color="auto" w:fill="auto"/>
            <w:vAlign w:val="center"/>
            <w:hideMark/>
          </w:tcPr>
          <w:p w14:paraId="197E5948" w14:textId="77777777" w:rsidR="00977EF0" w:rsidRPr="00A13AAF" w:rsidRDefault="00977EF0" w:rsidP="00E83D42">
            <w:pPr>
              <w:spacing w:after="0"/>
              <w:jc w:val="both"/>
              <w:rPr>
                <w:rFonts w:ascii="Times New Roman" w:hAnsi="Times New Roman"/>
                <w:sz w:val="20"/>
                <w:szCs w:val="20"/>
                <w:lang w:eastAsia="es-DO"/>
              </w:rPr>
            </w:pPr>
            <w:r w:rsidRPr="00A13AAF">
              <w:rPr>
                <w:rFonts w:ascii="Times New Roman" w:hAnsi="Times New Roman"/>
                <w:sz w:val="20"/>
                <w:szCs w:val="20"/>
                <w:lang w:eastAsia="es-DO"/>
              </w:rPr>
              <w:t xml:space="preserve"> Desarrollo de un sistema hidromotriz no convencional para la generación de energía eléctrica.</w:t>
            </w:r>
          </w:p>
        </w:tc>
        <w:tc>
          <w:tcPr>
            <w:tcW w:w="1293" w:type="dxa"/>
            <w:tcBorders>
              <w:top w:val="nil"/>
              <w:left w:val="nil"/>
              <w:bottom w:val="single" w:sz="4" w:space="0" w:color="auto"/>
              <w:right w:val="single" w:sz="4" w:space="0" w:color="auto"/>
            </w:tcBorders>
            <w:shd w:val="clear" w:color="auto" w:fill="auto"/>
            <w:vAlign w:val="center"/>
            <w:hideMark/>
          </w:tcPr>
          <w:p w14:paraId="1F33DBB3" w14:textId="288F6E50"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1,583,715.00</w:t>
            </w:r>
          </w:p>
        </w:tc>
        <w:tc>
          <w:tcPr>
            <w:tcW w:w="1559" w:type="dxa"/>
            <w:tcBorders>
              <w:top w:val="nil"/>
              <w:left w:val="nil"/>
              <w:bottom w:val="single" w:sz="4" w:space="0" w:color="auto"/>
              <w:right w:val="single" w:sz="4" w:space="0" w:color="auto"/>
            </w:tcBorders>
            <w:shd w:val="clear" w:color="auto" w:fill="auto"/>
            <w:vAlign w:val="center"/>
            <w:hideMark/>
          </w:tcPr>
          <w:p w14:paraId="238032E1" w14:textId="70739B1B"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416,640.00</w:t>
            </w:r>
          </w:p>
        </w:tc>
        <w:tc>
          <w:tcPr>
            <w:tcW w:w="1559" w:type="dxa"/>
            <w:tcBorders>
              <w:top w:val="nil"/>
              <w:left w:val="nil"/>
              <w:bottom w:val="single" w:sz="4" w:space="0" w:color="auto"/>
              <w:right w:val="single" w:sz="4" w:space="0" w:color="auto"/>
            </w:tcBorders>
            <w:shd w:val="clear" w:color="auto" w:fill="auto"/>
            <w:noWrap/>
            <w:vAlign w:val="center"/>
            <w:hideMark/>
          </w:tcPr>
          <w:p w14:paraId="082C94D8" w14:textId="40881BDB"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1,167,075.00</w:t>
            </w:r>
          </w:p>
        </w:tc>
        <w:tc>
          <w:tcPr>
            <w:tcW w:w="1276" w:type="dxa"/>
            <w:tcBorders>
              <w:top w:val="nil"/>
              <w:left w:val="nil"/>
              <w:bottom w:val="single" w:sz="4" w:space="0" w:color="auto"/>
              <w:right w:val="single" w:sz="4" w:space="0" w:color="auto"/>
            </w:tcBorders>
            <w:shd w:val="clear" w:color="auto" w:fill="auto"/>
            <w:noWrap/>
            <w:vAlign w:val="center"/>
          </w:tcPr>
          <w:p w14:paraId="3156D14D" w14:textId="0CE757FB"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992,013.75</w:t>
            </w:r>
          </w:p>
        </w:tc>
        <w:tc>
          <w:tcPr>
            <w:tcW w:w="1418" w:type="dxa"/>
            <w:tcBorders>
              <w:top w:val="nil"/>
              <w:left w:val="nil"/>
              <w:bottom w:val="single" w:sz="4" w:space="0" w:color="auto"/>
              <w:right w:val="single" w:sz="4" w:space="0" w:color="auto"/>
            </w:tcBorders>
            <w:shd w:val="clear" w:color="auto" w:fill="auto"/>
            <w:noWrap/>
            <w:vAlign w:val="center"/>
            <w:hideMark/>
          </w:tcPr>
          <w:p w14:paraId="6AA83E9A" w14:textId="4C170DF4" w:rsidR="00977EF0" w:rsidRPr="00A13AAF" w:rsidRDefault="00977EF0" w:rsidP="00977EF0">
            <w:pPr>
              <w:spacing w:after="0"/>
              <w:jc w:val="center"/>
              <w:rPr>
                <w:rFonts w:ascii="Times New Roman" w:hAnsi="Times New Roman"/>
                <w:sz w:val="20"/>
                <w:szCs w:val="20"/>
                <w:lang w:eastAsia="es-DO"/>
              </w:rPr>
            </w:pPr>
            <w:r w:rsidRPr="00A13AAF">
              <w:rPr>
                <w:rFonts w:ascii="Times New Roman" w:hAnsi="Times New Roman"/>
                <w:sz w:val="20"/>
                <w:szCs w:val="20"/>
                <w:lang w:eastAsia="es-DO"/>
              </w:rPr>
              <w:t>175,061.25</w:t>
            </w:r>
          </w:p>
        </w:tc>
      </w:tr>
      <w:tr w:rsidR="00977EF0" w:rsidRPr="004239FB" w14:paraId="2E36F65E" w14:textId="77777777" w:rsidTr="00207377">
        <w:trPr>
          <w:trHeight w:val="70"/>
        </w:trPr>
        <w:tc>
          <w:tcPr>
            <w:tcW w:w="3253"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05FF0CC2" w14:textId="175B0CFD" w:rsidR="00977EF0" w:rsidRPr="00A13AAF" w:rsidRDefault="00C53A1F" w:rsidP="00207377">
            <w:pPr>
              <w:spacing w:after="0" w:line="276" w:lineRule="auto"/>
              <w:jc w:val="center"/>
              <w:rPr>
                <w:rFonts w:ascii="Times New Roman" w:hAnsi="Times New Roman"/>
                <w:b/>
                <w:bCs/>
                <w:color w:val="FFFFFF" w:themeColor="background1"/>
                <w:sz w:val="22"/>
                <w:szCs w:val="22"/>
                <w:lang w:eastAsia="es-DO"/>
              </w:rPr>
            </w:pPr>
            <w:r w:rsidRPr="00A13AAF">
              <w:rPr>
                <w:rFonts w:ascii="Times New Roman" w:hAnsi="Times New Roman"/>
                <w:b/>
                <w:bCs/>
                <w:color w:val="FFFFFF" w:themeColor="background1"/>
                <w:sz w:val="22"/>
                <w:szCs w:val="22"/>
                <w:lang w:eastAsia="es-DO"/>
              </w:rPr>
              <w:t xml:space="preserve">Total </w:t>
            </w:r>
          </w:p>
        </w:tc>
        <w:tc>
          <w:tcPr>
            <w:tcW w:w="1293" w:type="dxa"/>
            <w:tcBorders>
              <w:top w:val="nil"/>
              <w:left w:val="nil"/>
              <w:bottom w:val="single" w:sz="4" w:space="0" w:color="auto"/>
              <w:right w:val="single" w:sz="4" w:space="0" w:color="auto"/>
            </w:tcBorders>
            <w:shd w:val="clear" w:color="auto" w:fill="808080" w:themeFill="background1" w:themeFillShade="80"/>
            <w:noWrap/>
            <w:vAlign w:val="bottom"/>
          </w:tcPr>
          <w:p w14:paraId="24992E64" w14:textId="77777777" w:rsidR="00977EF0" w:rsidRPr="00A13AAF" w:rsidRDefault="00977EF0" w:rsidP="00207377">
            <w:pPr>
              <w:spacing w:after="0" w:line="276" w:lineRule="auto"/>
              <w:jc w:val="center"/>
              <w:rPr>
                <w:rFonts w:ascii="Times New Roman" w:hAnsi="Times New Roman"/>
                <w:b/>
                <w:bCs/>
                <w:color w:val="FFFFFF" w:themeColor="background1"/>
                <w:sz w:val="22"/>
                <w:szCs w:val="22"/>
              </w:rPr>
            </w:pPr>
            <w:r w:rsidRPr="00A13AAF">
              <w:rPr>
                <w:rFonts w:ascii="Times New Roman" w:hAnsi="Times New Roman"/>
                <w:b/>
                <w:bCs/>
                <w:color w:val="FFFFFF" w:themeColor="background1"/>
                <w:sz w:val="22"/>
                <w:szCs w:val="22"/>
              </w:rPr>
              <w:t>19,410,513.00</w:t>
            </w:r>
          </w:p>
        </w:tc>
        <w:tc>
          <w:tcPr>
            <w:tcW w:w="1559" w:type="dxa"/>
            <w:tcBorders>
              <w:top w:val="nil"/>
              <w:left w:val="nil"/>
              <w:bottom w:val="single" w:sz="4" w:space="0" w:color="auto"/>
              <w:right w:val="single" w:sz="4" w:space="0" w:color="auto"/>
            </w:tcBorders>
            <w:shd w:val="clear" w:color="auto" w:fill="808080" w:themeFill="background1" w:themeFillShade="80"/>
            <w:noWrap/>
            <w:vAlign w:val="bottom"/>
          </w:tcPr>
          <w:p w14:paraId="239589D9" w14:textId="77777777" w:rsidR="00977EF0" w:rsidRPr="00A13AAF" w:rsidRDefault="00977EF0" w:rsidP="00207377">
            <w:pPr>
              <w:spacing w:after="0" w:line="276" w:lineRule="auto"/>
              <w:jc w:val="center"/>
              <w:rPr>
                <w:rFonts w:ascii="Times New Roman" w:hAnsi="Times New Roman"/>
                <w:b/>
                <w:bCs/>
                <w:color w:val="FFFFFF" w:themeColor="background1"/>
                <w:sz w:val="22"/>
                <w:szCs w:val="22"/>
              </w:rPr>
            </w:pPr>
            <w:r w:rsidRPr="00A13AAF">
              <w:rPr>
                <w:rFonts w:ascii="Times New Roman" w:hAnsi="Times New Roman"/>
                <w:b/>
                <w:bCs/>
                <w:color w:val="FFFFFF" w:themeColor="background1"/>
                <w:sz w:val="22"/>
                <w:szCs w:val="22"/>
              </w:rPr>
              <w:t>11,831,205.58</w:t>
            </w:r>
          </w:p>
        </w:tc>
        <w:tc>
          <w:tcPr>
            <w:tcW w:w="1559" w:type="dxa"/>
            <w:tcBorders>
              <w:top w:val="nil"/>
              <w:left w:val="nil"/>
              <w:bottom w:val="single" w:sz="4" w:space="0" w:color="auto"/>
              <w:right w:val="single" w:sz="4" w:space="0" w:color="auto"/>
            </w:tcBorders>
            <w:shd w:val="clear" w:color="auto" w:fill="808080" w:themeFill="background1" w:themeFillShade="80"/>
            <w:noWrap/>
            <w:vAlign w:val="bottom"/>
          </w:tcPr>
          <w:p w14:paraId="3AD6034D" w14:textId="77777777" w:rsidR="00977EF0" w:rsidRPr="00A13AAF" w:rsidRDefault="00977EF0" w:rsidP="00207377">
            <w:pPr>
              <w:spacing w:after="0" w:line="276" w:lineRule="auto"/>
              <w:jc w:val="center"/>
              <w:rPr>
                <w:rFonts w:ascii="Times New Roman" w:hAnsi="Times New Roman"/>
                <w:b/>
                <w:bCs/>
                <w:color w:val="FFFFFF" w:themeColor="background1"/>
                <w:sz w:val="22"/>
                <w:szCs w:val="22"/>
              </w:rPr>
            </w:pPr>
            <w:r w:rsidRPr="00A13AAF">
              <w:rPr>
                <w:rFonts w:ascii="Times New Roman" w:hAnsi="Times New Roman"/>
                <w:b/>
                <w:bCs/>
                <w:color w:val="FFFFFF" w:themeColor="background1"/>
                <w:sz w:val="22"/>
                <w:szCs w:val="22"/>
              </w:rPr>
              <w:t>7,579,307.42</w:t>
            </w:r>
          </w:p>
        </w:tc>
        <w:tc>
          <w:tcPr>
            <w:tcW w:w="1276" w:type="dxa"/>
            <w:tcBorders>
              <w:top w:val="nil"/>
              <w:left w:val="nil"/>
              <w:bottom w:val="single" w:sz="4" w:space="0" w:color="auto"/>
              <w:right w:val="single" w:sz="4" w:space="0" w:color="auto"/>
            </w:tcBorders>
            <w:shd w:val="clear" w:color="auto" w:fill="808080" w:themeFill="background1" w:themeFillShade="80"/>
            <w:noWrap/>
            <w:vAlign w:val="bottom"/>
          </w:tcPr>
          <w:p w14:paraId="3F498706" w14:textId="77777777" w:rsidR="00977EF0" w:rsidRPr="00A13AAF" w:rsidRDefault="00977EF0" w:rsidP="00207377">
            <w:pPr>
              <w:spacing w:after="0" w:line="276" w:lineRule="auto"/>
              <w:jc w:val="center"/>
              <w:rPr>
                <w:rFonts w:ascii="Times New Roman" w:hAnsi="Times New Roman"/>
                <w:b/>
                <w:bCs/>
                <w:color w:val="FFFFFF" w:themeColor="background1"/>
                <w:sz w:val="22"/>
                <w:szCs w:val="22"/>
              </w:rPr>
            </w:pPr>
            <w:r w:rsidRPr="00A13AAF">
              <w:rPr>
                <w:rFonts w:ascii="Times New Roman" w:hAnsi="Times New Roman"/>
                <w:b/>
                <w:bCs/>
                <w:color w:val="FFFFFF" w:themeColor="background1"/>
                <w:sz w:val="22"/>
                <w:szCs w:val="22"/>
              </w:rPr>
              <w:t>6,326,346.90</w:t>
            </w:r>
          </w:p>
        </w:tc>
        <w:tc>
          <w:tcPr>
            <w:tcW w:w="1418" w:type="dxa"/>
            <w:tcBorders>
              <w:top w:val="nil"/>
              <w:left w:val="nil"/>
              <w:bottom w:val="single" w:sz="4" w:space="0" w:color="auto"/>
              <w:right w:val="single" w:sz="4" w:space="0" w:color="auto"/>
            </w:tcBorders>
            <w:shd w:val="clear" w:color="auto" w:fill="808080" w:themeFill="background1" w:themeFillShade="80"/>
            <w:noWrap/>
            <w:vAlign w:val="bottom"/>
          </w:tcPr>
          <w:p w14:paraId="02CDDA29" w14:textId="77777777" w:rsidR="00977EF0" w:rsidRPr="00F73FE8" w:rsidRDefault="00977EF0" w:rsidP="00207377">
            <w:pPr>
              <w:spacing w:after="0" w:line="276" w:lineRule="auto"/>
              <w:jc w:val="center"/>
              <w:rPr>
                <w:rFonts w:ascii="Times New Roman" w:hAnsi="Times New Roman"/>
                <w:b/>
                <w:bCs/>
                <w:color w:val="FFFFFF" w:themeColor="background1"/>
                <w:sz w:val="22"/>
                <w:szCs w:val="22"/>
              </w:rPr>
            </w:pPr>
            <w:r w:rsidRPr="00A13AAF">
              <w:rPr>
                <w:rFonts w:ascii="Times New Roman" w:hAnsi="Times New Roman"/>
                <w:b/>
                <w:bCs/>
                <w:color w:val="FFFFFF" w:themeColor="background1"/>
                <w:sz w:val="22"/>
                <w:szCs w:val="22"/>
              </w:rPr>
              <w:t>1,170,145.52</w:t>
            </w:r>
          </w:p>
        </w:tc>
      </w:tr>
    </w:tbl>
    <w:p w14:paraId="6E6A3DE1" w14:textId="77777777" w:rsidR="00697AD0" w:rsidRDefault="00697AD0" w:rsidP="00645E43">
      <w:pPr>
        <w:widowControl w:val="0"/>
        <w:tabs>
          <w:tab w:val="left" w:pos="630"/>
        </w:tabs>
        <w:autoSpaceDE w:val="0"/>
        <w:autoSpaceDN w:val="0"/>
        <w:adjustRightInd w:val="0"/>
        <w:spacing w:after="0" w:line="360" w:lineRule="auto"/>
        <w:ind w:firstLine="720"/>
        <w:contextualSpacing/>
        <w:jc w:val="both"/>
        <w:rPr>
          <w:rFonts w:ascii="Times New Roman" w:hAnsi="Times New Roman"/>
          <w:lang w:val="es-ES_tradnl"/>
        </w:rPr>
      </w:pPr>
    </w:p>
    <w:p w14:paraId="61725BAA" w14:textId="77777777" w:rsidR="008B1BB6" w:rsidRPr="00AE65E6" w:rsidRDefault="008B1BB6" w:rsidP="00CA5792">
      <w:pPr>
        <w:pStyle w:val="Ttulo3"/>
      </w:pPr>
      <w:bookmarkStart w:id="123" w:name="_Toc26292038"/>
      <w:bookmarkStart w:id="124" w:name="_Toc27146742"/>
      <w:r w:rsidRPr="00AE65E6">
        <w:t>Servicios de asistencia técnica en buenas prácticas agrícolas y manufactureras</w:t>
      </w:r>
      <w:bookmarkEnd w:id="123"/>
      <w:bookmarkEnd w:id="124"/>
    </w:p>
    <w:p w14:paraId="7B338343" w14:textId="77777777" w:rsidR="008B1BB6" w:rsidRPr="00A13AAF" w:rsidRDefault="008B1BB6" w:rsidP="008B1BB6">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A13AAF">
        <w:rPr>
          <w:rFonts w:ascii="Times New Roman" w:hAnsi="Times New Roman"/>
          <w:lang w:val="es-ES_tradnl"/>
        </w:rPr>
        <w:t>Capacitación y apoyo para adecuar los sistemas de producción a las condiciones climáticas actuales e información sobre la importancia y forma de aplicación de la gestión de riesgo para la sostenibilidad de la producción agrícola y forestal.</w:t>
      </w:r>
    </w:p>
    <w:p w14:paraId="023FA0DF" w14:textId="77777777" w:rsidR="008B1BB6" w:rsidRPr="00A13AAF" w:rsidRDefault="008B1BB6" w:rsidP="008B1BB6">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5E0B447B" w14:textId="77777777" w:rsidR="008B1BB6" w:rsidRDefault="008B1BB6" w:rsidP="008B1BB6">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A13AAF">
        <w:rPr>
          <w:rFonts w:ascii="Times New Roman" w:hAnsi="Times New Roman"/>
          <w:lang w:val="es-ES_tradnl"/>
        </w:rPr>
        <w:t xml:space="preserve">Los planes de capacitaciones, evaluaciones y seguimiento de la aplicación de buenas prácticas agrícolas y de manufactura a los productores primarios guardan sinergia con el programa de monitoreo de residuos y contaminantes, el programa </w:t>
      </w:r>
      <w:r w:rsidRPr="00A13AAF">
        <w:rPr>
          <w:rFonts w:ascii="Times New Roman" w:hAnsi="Times New Roman"/>
          <w:lang w:val="es-ES_tradnl"/>
        </w:rPr>
        <w:lastRenderedPageBreak/>
        <w:t>de certificaciones y evaluación de riesgos de plaguicidas y medicamentos veterinarios registrados en el país.</w:t>
      </w:r>
    </w:p>
    <w:p w14:paraId="464F4EF6" w14:textId="77777777" w:rsidR="00E84CB1" w:rsidRPr="00467C07" w:rsidRDefault="00E84CB1" w:rsidP="008B1BB6">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714F08BC" w14:textId="036E8EEE" w:rsidR="008B1BB6" w:rsidRPr="00401368" w:rsidRDefault="00E84CB1" w:rsidP="008B1BB6">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01368">
        <w:rPr>
          <w:rFonts w:ascii="Times New Roman" w:hAnsi="Times New Roman"/>
          <w:lang w:val="es-ES_tradnl"/>
        </w:rPr>
        <w:t>El Ministerio de Agricultura realiza inspecciones y fiscalizaciones a nivel nacional para garantizar la inocuidad agroalimentaria de los alimentos</w:t>
      </w:r>
      <w:r w:rsidR="00724463">
        <w:rPr>
          <w:rFonts w:ascii="Times New Roman" w:hAnsi="Times New Roman"/>
          <w:lang w:val="es-ES_tradnl"/>
        </w:rPr>
        <w:t>,</w:t>
      </w:r>
      <w:r w:rsidRPr="00401368">
        <w:rPr>
          <w:rFonts w:ascii="Times New Roman" w:hAnsi="Times New Roman"/>
          <w:lang w:val="es-ES_tradnl"/>
        </w:rPr>
        <w:t xml:space="preserve"> tanto en la producción primaria como en el manejo integrado de plagas y manejo de post cosecha.</w:t>
      </w:r>
    </w:p>
    <w:p w14:paraId="6B95094F" w14:textId="77777777" w:rsidR="00E84CB1" w:rsidRPr="00E84CB1" w:rsidRDefault="00E84CB1" w:rsidP="008B1BB6">
      <w:pPr>
        <w:widowControl w:val="0"/>
        <w:tabs>
          <w:tab w:val="left" w:pos="630"/>
        </w:tabs>
        <w:autoSpaceDE w:val="0"/>
        <w:autoSpaceDN w:val="0"/>
        <w:adjustRightInd w:val="0"/>
        <w:spacing w:after="0" w:line="480" w:lineRule="auto"/>
        <w:ind w:firstLine="720"/>
        <w:contextualSpacing/>
        <w:jc w:val="both"/>
        <w:rPr>
          <w:rFonts w:ascii="Times New Roman" w:hAnsi="Times New Roman"/>
          <w:highlight w:val="yellow"/>
          <w:lang w:val="es-ES_tradnl"/>
        </w:rPr>
      </w:pPr>
    </w:p>
    <w:p w14:paraId="000F1447" w14:textId="13D272DC" w:rsidR="008B1BB6" w:rsidRPr="00401368" w:rsidRDefault="00724463" w:rsidP="008B1BB6">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Pr>
          <w:rFonts w:ascii="Times New Roman" w:hAnsi="Times New Roman"/>
          <w:lang w:val="es-ES_tradnl"/>
        </w:rPr>
        <w:t>En ese sentido se han realizado</w:t>
      </w:r>
      <w:r w:rsidR="008B1BB6" w:rsidRPr="00401368">
        <w:rPr>
          <w:rFonts w:ascii="Times New Roman" w:hAnsi="Times New Roman"/>
          <w:lang w:val="es-ES_tradnl"/>
        </w:rPr>
        <w:t xml:space="preserve"> </w:t>
      </w:r>
      <w:r w:rsidR="00D73DA3" w:rsidRPr="00401368">
        <w:rPr>
          <w:rFonts w:ascii="Times New Roman" w:hAnsi="Times New Roman"/>
          <w:lang w:val="es-ES_tradnl"/>
        </w:rPr>
        <w:t>1,225</w:t>
      </w:r>
      <w:r>
        <w:rPr>
          <w:rFonts w:ascii="Times New Roman" w:hAnsi="Times New Roman"/>
          <w:lang w:val="es-ES_tradnl"/>
        </w:rPr>
        <w:t xml:space="preserve"> toma de </w:t>
      </w:r>
      <w:r w:rsidR="008B1BB6" w:rsidRPr="00401368">
        <w:rPr>
          <w:rFonts w:ascii="Times New Roman" w:hAnsi="Times New Roman"/>
          <w:lang w:val="es-ES_tradnl"/>
        </w:rPr>
        <w:t>muestras para residuos de plaguicidas y contaminantes en vegetales frescos, pescado, miel, cadmio en cacao y arsénico en arroz</w:t>
      </w:r>
      <w:r w:rsidR="00E11235">
        <w:rPr>
          <w:rFonts w:ascii="Times New Roman" w:hAnsi="Times New Roman"/>
          <w:lang w:val="es-ES_tradnl"/>
        </w:rPr>
        <w:t xml:space="preserve">. Del </w:t>
      </w:r>
      <w:r w:rsidR="008B1BB6" w:rsidRPr="00401368">
        <w:rPr>
          <w:rFonts w:ascii="Times New Roman" w:hAnsi="Times New Roman"/>
          <w:lang w:val="es-ES_tradnl"/>
        </w:rPr>
        <w:t>mismo modo</w:t>
      </w:r>
      <w:r w:rsidR="00E11235">
        <w:rPr>
          <w:rFonts w:ascii="Times New Roman" w:hAnsi="Times New Roman"/>
          <w:lang w:val="es-ES_tradnl"/>
        </w:rPr>
        <w:t>,</w:t>
      </w:r>
      <w:r w:rsidR="008B1BB6" w:rsidRPr="00401368">
        <w:rPr>
          <w:rFonts w:ascii="Times New Roman" w:hAnsi="Times New Roman"/>
          <w:lang w:val="es-ES_tradnl"/>
        </w:rPr>
        <w:t xml:space="preserve"> se han ejecutado </w:t>
      </w:r>
      <w:r w:rsidR="00B43CAD" w:rsidRPr="00401368">
        <w:rPr>
          <w:rFonts w:ascii="Times New Roman" w:hAnsi="Times New Roman"/>
          <w:lang w:val="es-ES_tradnl"/>
        </w:rPr>
        <w:t>386</w:t>
      </w:r>
      <w:r w:rsidR="008B1BB6" w:rsidRPr="00401368">
        <w:rPr>
          <w:rFonts w:ascii="Times New Roman" w:hAnsi="Times New Roman"/>
          <w:lang w:val="es-ES_tradnl"/>
        </w:rPr>
        <w:t xml:space="preserve"> actividades de inspección en los rubros citados, adicionalmente se han certificado </w:t>
      </w:r>
      <w:r w:rsidR="00B43CAD" w:rsidRPr="00401368">
        <w:rPr>
          <w:rFonts w:ascii="Times New Roman" w:hAnsi="Times New Roman"/>
          <w:lang w:val="es-ES_tradnl"/>
        </w:rPr>
        <w:t>un total de 924</w:t>
      </w:r>
      <w:r w:rsidR="008B1BB6" w:rsidRPr="00401368">
        <w:rPr>
          <w:rFonts w:ascii="Times New Roman" w:hAnsi="Times New Roman"/>
          <w:lang w:val="es-ES_tradnl"/>
        </w:rPr>
        <w:t xml:space="preserve"> unidades productivas y </w:t>
      </w:r>
      <w:r w:rsidR="00B43CAD" w:rsidRPr="00401368">
        <w:rPr>
          <w:rFonts w:ascii="Times New Roman" w:hAnsi="Times New Roman"/>
          <w:lang w:val="es-ES_tradnl"/>
        </w:rPr>
        <w:t>206</w:t>
      </w:r>
      <w:r w:rsidR="008B1BB6" w:rsidRPr="00401368">
        <w:rPr>
          <w:rFonts w:ascii="Times New Roman" w:hAnsi="Times New Roman"/>
          <w:lang w:val="es-ES_tradnl"/>
        </w:rPr>
        <w:t xml:space="preserve"> establecimientos</w:t>
      </w:r>
      <w:r w:rsidR="00E11235">
        <w:rPr>
          <w:rFonts w:ascii="Times New Roman" w:hAnsi="Times New Roman"/>
          <w:lang w:val="es-ES_tradnl"/>
        </w:rPr>
        <w:t>.</w:t>
      </w:r>
    </w:p>
    <w:p w14:paraId="4C90896F" w14:textId="77777777" w:rsidR="008B1BB6" w:rsidRPr="00401368" w:rsidRDefault="008B1BB6" w:rsidP="00645E43">
      <w:pPr>
        <w:widowControl w:val="0"/>
        <w:tabs>
          <w:tab w:val="left" w:pos="630"/>
        </w:tabs>
        <w:autoSpaceDE w:val="0"/>
        <w:autoSpaceDN w:val="0"/>
        <w:adjustRightInd w:val="0"/>
        <w:spacing w:after="0" w:line="360" w:lineRule="auto"/>
        <w:ind w:firstLine="720"/>
        <w:contextualSpacing/>
        <w:jc w:val="both"/>
        <w:rPr>
          <w:rFonts w:ascii="Times New Roman" w:hAnsi="Times New Roman"/>
          <w:lang w:val="es-ES_tradnl"/>
        </w:rPr>
      </w:pPr>
    </w:p>
    <w:p w14:paraId="7CD4E129" w14:textId="77777777" w:rsidR="001F1159" w:rsidRPr="00401368" w:rsidRDefault="005D5FAE" w:rsidP="00CA5792">
      <w:pPr>
        <w:pStyle w:val="Ttulo3"/>
      </w:pPr>
      <w:bookmarkStart w:id="125" w:name="_Toc26292039"/>
      <w:bookmarkStart w:id="126" w:name="_Toc27146743"/>
      <w:r w:rsidRPr="00401368">
        <w:t>Servicios de información</w:t>
      </w:r>
      <w:r w:rsidR="00530E9A" w:rsidRPr="00401368">
        <w:t xml:space="preserve"> sobre procedimientos para la importación de productos y sub-productos de origen animal.</w:t>
      </w:r>
      <w:bookmarkEnd w:id="125"/>
      <w:bookmarkEnd w:id="126"/>
    </w:p>
    <w:p w14:paraId="7F937BBC" w14:textId="77777777" w:rsidR="00CA5792" w:rsidRDefault="00CA5792" w:rsidP="00E11235">
      <w:pPr>
        <w:widowControl w:val="0"/>
        <w:tabs>
          <w:tab w:val="left" w:pos="630"/>
        </w:tabs>
        <w:autoSpaceDE w:val="0"/>
        <w:autoSpaceDN w:val="0"/>
        <w:adjustRightInd w:val="0"/>
        <w:spacing w:after="0" w:line="360" w:lineRule="auto"/>
        <w:ind w:firstLine="720"/>
        <w:contextualSpacing/>
        <w:jc w:val="both"/>
        <w:rPr>
          <w:rFonts w:ascii="Times New Roman" w:hAnsi="Times New Roman"/>
          <w:lang w:val="es-ES_tradnl"/>
        </w:rPr>
      </w:pPr>
    </w:p>
    <w:p w14:paraId="0DCEEEFD" w14:textId="77777777" w:rsidR="0093133A" w:rsidRPr="00401368" w:rsidRDefault="00530E9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01368">
        <w:rPr>
          <w:rFonts w:ascii="Times New Roman" w:hAnsi="Times New Roman"/>
          <w:lang w:val="es-ES_tradnl"/>
        </w:rPr>
        <w:t>La Dirección General de Ganadería (DIGEGA)</w:t>
      </w:r>
      <w:r w:rsidR="00FE2885" w:rsidRPr="00401368">
        <w:rPr>
          <w:rFonts w:ascii="Times New Roman" w:hAnsi="Times New Roman"/>
          <w:lang w:val="es-ES_tradnl"/>
        </w:rPr>
        <w:t xml:space="preserve">, </w:t>
      </w:r>
      <w:r w:rsidRPr="00401368">
        <w:rPr>
          <w:rFonts w:ascii="Times New Roman" w:hAnsi="Times New Roman"/>
          <w:lang w:val="es-ES_tradnl"/>
        </w:rPr>
        <w:t>ha fijado nuevos requisitos relativos a la importación de productos de origen animal (</w:t>
      </w:r>
      <w:r w:rsidR="00FE2885" w:rsidRPr="00401368">
        <w:rPr>
          <w:rFonts w:ascii="Times New Roman" w:hAnsi="Times New Roman"/>
          <w:lang w:val="es-ES_tradnl"/>
        </w:rPr>
        <w:t>cárnicos</w:t>
      </w:r>
      <w:r w:rsidRPr="00401368">
        <w:rPr>
          <w:rFonts w:ascii="Times New Roman" w:hAnsi="Times New Roman"/>
          <w:lang w:val="es-ES_tradnl"/>
        </w:rPr>
        <w:t xml:space="preserve"> y lácteos). </w:t>
      </w:r>
    </w:p>
    <w:p w14:paraId="56B31495" w14:textId="77777777" w:rsidR="0093133A" w:rsidRPr="00401368" w:rsidRDefault="0093133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2F298C92" w14:textId="77777777" w:rsidR="0093133A" w:rsidRDefault="00530E9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01368">
        <w:rPr>
          <w:rFonts w:ascii="Times New Roman" w:hAnsi="Times New Roman"/>
          <w:lang w:val="es-ES_tradnl"/>
        </w:rPr>
        <w:t xml:space="preserve">Dichos requisitos establecen que previamente a la importación de animales vivos y/o productos y subproductos de origen animal, se deberá solicitar el </w:t>
      </w:r>
      <w:r w:rsidRPr="00401368">
        <w:rPr>
          <w:rFonts w:ascii="Times New Roman" w:hAnsi="Times New Roman"/>
          <w:bCs/>
          <w:lang w:val="es-ES_tradnl"/>
        </w:rPr>
        <w:t>Permiso de no objeción sanitari</w:t>
      </w:r>
      <w:r w:rsidR="00FA180E" w:rsidRPr="00401368">
        <w:rPr>
          <w:rFonts w:ascii="Times New Roman" w:hAnsi="Times New Roman"/>
          <w:bCs/>
          <w:lang w:val="es-ES_tradnl"/>
        </w:rPr>
        <w:t>a</w:t>
      </w:r>
      <w:r w:rsidRPr="00401368">
        <w:rPr>
          <w:rFonts w:ascii="Times New Roman" w:hAnsi="Times New Roman"/>
          <w:lang w:val="es-ES_tradnl"/>
        </w:rPr>
        <w:t xml:space="preserve"> en la Dirección de Sanidad Animal de la DIGEGA, donde conste el país de origen y embarque de estos productos</w:t>
      </w:r>
      <w:r w:rsidR="00D04A08" w:rsidRPr="00401368">
        <w:rPr>
          <w:rFonts w:ascii="Times New Roman" w:hAnsi="Times New Roman"/>
          <w:lang w:val="es-ES_tradnl"/>
        </w:rPr>
        <w:t>.</w:t>
      </w:r>
      <w:r w:rsidRPr="00467C07">
        <w:rPr>
          <w:rFonts w:ascii="Times New Roman" w:hAnsi="Times New Roman"/>
          <w:lang w:val="es-ES_tradnl"/>
        </w:rPr>
        <w:t xml:space="preserve"> </w:t>
      </w:r>
    </w:p>
    <w:p w14:paraId="422FF7C7" w14:textId="77777777" w:rsidR="00530E9A" w:rsidRPr="005A5821" w:rsidRDefault="00530E9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5A5821">
        <w:rPr>
          <w:rFonts w:ascii="Times New Roman" w:hAnsi="Times New Roman"/>
          <w:lang w:val="es-ES_tradnl"/>
        </w:rPr>
        <w:lastRenderedPageBreak/>
        <w:t>El incumplimiento de estas regulaciones conllevaría la adopción de las medidas establecidas (decomiso, reembarque, etc.), a fin de evitar la posible introducción de enfermedades que afecten la pecuaria nacional.</w:t>
      </w:r>
    </w:p>
    <w:p w14:paraId="6D896AD2" w14:textId="77777777" w:rsidR="008B1BB6" w:rsidRPr="005A5821" w:rsidRDefault="008B1BB6"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45416D6D" w14:textId="77777777" w:rsidR="001F1159" w:rsidRPr="00CA5792" w:rsidRDefault="005D5FAE" w:rsidP="00CA5792">
      <w:pPr>
        <w:pStyle w:val="Ttulo3"/>
      </w:pPr>
      <w:bookmarkStart w:id="127" w:name="_Toc26292040"/>
      <w:bookmarkStart w:id="128" w:name="_Toc27146744"/>
      <w:r w:rsidRPr="00CA5792">
        <w:t>Servicios de información</w:t>
      </w:r>
      <w:r w:rsidR="00530E9A" w:rsidRPr="00CA5792">
        <w:t xml:space="preserve"> sobre procedimientos para la exportación de productos y sub produc</w:t>
      </w:r>
      <w:r w:rsidR="007A4C5F" w:rsidRPr="00CA5792">
        <w:t>tos de origen animal.</w:t>
      </w:r>
      <w:bookmarkEnd w:id="127"/>
      <w:bookmarkEnd w:id="128"/>
      <w:r w:rsidR="007A4C5F" w:rsidRPr="00CA5792">
        <w:t xml:space="preserve"> </w:t>
      </w:r>
    </w:p>
    <w:p w14:paraId="57FEC89E" w14:textId="77777777" w:rsidR="00CA5792" w:rsidRDefault="00CA5792"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7A0FCA28" w14:textId="77777777" w:rsidR="00530E9A" w:rsidRPr="00467C07" w:rsidRDefault="007A4C5F"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5A5821">
        <w:rPr>
          <w:rFonts w:ascii="Times New Roman" w:hAnsi="Times New Roman"/>
          <w:lang w:val="es-ES_tradnl"/>
        </w:rPr>
        <w:t>El rol de</w:t>
      </w:r>
      <w:r w:rsidR="00530E9A" w:rsidRPr="005A5821">
        <w:rPr>
          <w:rFonts w:ascii="Times New Roman" w:hAnsi="Times New Roman"/>
          <w:lang w:val="es-ES_tradnl"/>
        </w:rPr>
        <w:t xml:space="preserve"> la </w:t>
      </w:r>
      <w:r w:rsidR="00402931" w:rsidRPr="005A5821">
        <w:rPr>
          <w:rFonts w:ascii="Times New Roman" w:hAnsi="Times New Roman"/>
          <w:lang w:val="es-ES_tradnl"/>
        </w:rPr>
        <w:t>Dirección General de Ganadería (</w:t>
      </w:r>
      <w:r w:rsidR="00EF3001" w:rsidRPr="005A5821">
        <w:rPr>
          <w:rFonts w:ascii="Times New Roman" w:hAnsi="Times New Roman"/>
          <w:lang w:val="es-ES_tradnl"/>
        </w:rPr>
        <w:t>DIGEGA</w:t>
      </w:r>
      <w:r w:rsidR="00402931" w:rsidRPr="005A5821">
        <w:rPr>
          <w:rFonts w:ascii="Times New Roman" w:hAnsi="Times New Roman"/>
          <w:lang w:val="es-ES_tradnl"/>
        </w:rPr>
        <w:t>)</w:t>
      </w:r>
      <w:r w:rsidR="00090B85" w:rsidRPr="005A5821">
        <w:rPr>
          <w:rFonts w:ascii="Times New Roman" w:hAnsi="Times New Roman"/>
          <w:lang w:val="es-ES_tradnl"/>
        </w:rPr>
        <w:t xml:space="preserve"> </w:t>
      </w:r>
      <w:r w:rsidR="00530E9A" w:rsidRPr="005A5821">
        <w:rPr>
          <w:rFonts w:ascii="Times New Roman" w:hAnsi="Times New Roman"/>
          <w:lang w:val="es-ES_tradnl"/>
        </w:rPr>
        <w:t xml:space="preserve">en materia de cuarentena zoosanitaria incluye las actividades de exportación de animales, </w:t>
      </w:r>
      <w:r w:rsidR="00530E9A" w:rsidRPr="0050670F">
        <w:rPr>
          <w:rFonts w:ascii="Times New Roman" w:hAnsi="Times New Roman"/>
          <w:lang w:val="es-ES_tradnl"/>
        </w:rPr>
        <w:t>productos y subproductos de origen animal, mediante la certificación zoosanitaria de establecimientos exportadores, y mercancías pecuarias de exportación, garantizando la calidad zoosanitaria de estos productos a los países importadores.</w:t>
      </w:r>
      <w:r w:rsidR="00530E9A" w:rsidRPr="00467C07">
        <w:rPr>
          <w:rFonts w:ascii="Times New Roman" w:hAnsi="Times New Roman"/>
          <w:lang w:val="es-ES_tradnl"/>
        </w:rPr>
        <w:t xml:space="preserve"> </w:t>
      </w:r>
    </w:p>
    <w:p w14:paraId="6D95C583" w14:textId="77777777" w:rsidR="00275AA9" w:rsidRDefault="00275AA9" w:rsidP="00B43CAD">
      <w:pPr>
        <w:spacing w:line="480" w:lineRule="auto"/>
        <w:rPr>
          <w:rFonts w:ascii="Times New Roman" w:hAnsi="Times New Roman"/>
          <w:lang w:val="es-ES_tradnl"/>
        </w:rPr>
      </w:pPr>
    </w:p>
    <w:p w14:paraId="438905E6" w14:textId="77777777" w:rsidR="006E6D5A" w:rsidRPr="00467C07" w:rsidRDefault="006E6D5A"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D157A">
        <w:rPr>
          <w:rFonts w:ascii="Times New Roman" w:hAnsi="Times New Roman"/>
          <w:lang w:val="es-ES_tradnl"/>
        </w:rPr>
        <w:t>A través de la (DIGEGA) en coordinación con el Laboratorio Veterinario Central (LAVECEN) se realizan pruebas aleatorias de plagas y enfermedades para su control y erradicación, principalmente en la zona fronteriza, cuenta con un sistema de autorización y registro para el traslado de animales, logrando mantener el estatus sanitario general.</w:t>
      </w:r>
    </w:p>
    <w:p w14:paraId="3488F887" w14:textId="1471CD51" w:rsidR="00B01775" w:rsidRDefault="00B01775">
      <w:pPr>
        <w:spacing w:after="0"/>
        <w:rPr>
          <w:rFonts w:ascii="Times New Roman" w:hAnsi="Times New Roman"/>
          <w:lang w:val="es-ES_tradnl"/>
        </w:rPr>
      </w:pPr>
      <w:r>
        <w:rPr>
          <w:rFonts w:ascii="Times New Roman" w:hAnsi="Times New Roman"/>
          <w:lang w:val="es-ES_tradnl"/>
        </w:rPr>
        <w:br w:type="page"/>
      </w:r>
    </w:p>
    <w:p w14:paraId="74CEF454" w14:textId="77777777" w:rsidR="001F1159" w:rsidRPr="00AE65E6" w:rsidRDefault="00A13404" w:rsidP="00CA5792">
      <w:pPr>
        <w:pStyle w:val="Ttulo3"/>
      </w:pPr>
      <w:bookmarkStart w:id="129" w:name="_Toc26292041"/>
      <w:bookmarkStart w:id="130" w:name="_Toc27146745"/>
      <w:r w:rsidRPr="00AE65E6">
        <w:lastRenderedPageBreak/>
        <w:t>Servicios de i</w:t>
      </w:r>
      <w:r w:rsidR="00530E9A" w:rsidRPr="00AE65E6">
        <w:t>nformación sobre procedimientos para la importación de productos y sub-productos de origen vegetal.</w:t>
      </w:r>
      <w:bookmarkEnd w:id="129"/>
      <w:bookmarkEnd w:id="130"/>
      <w:r w:rsidR="00530E9A" w:rsidRPr="00AE65E6">
        <w:t xml:space="preserve"> </w:t>
      </w:r>
    </w:p>
    <w:p w14:paraId="516B19CA" w14:textId="77777777" w:rsidR="00CA5792" w:rsidRDefault="00CA5792"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4280224B" w14:textId="77777777" w:rsidR="00D04388" w:rsidRPr="009D157A" w:rsidRDefault="00530E9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D157A">
        <w:rPr>
          <w:rFonts w:ascii="Times New Roman" w:hAnsi="Times New Roman"/>
          <w:lang w:val="es-ES_tradnl"/>
        </w:rPr>
        <w:t xml:space="preserve">Los requisitos fitosanitarios de importación hacen referencia a las medidas y condiciones fitosanitarias específicas impuestas por un país para permitir el ingreso de vegetales, productos y subproductos que se movilizan hacia el mismo, los cuales fueron determinados mediante análisis de riesgos, con la finalidad de mantener el nivel de protección necesaria para evitar el ingreso de plagas al </w:t>
      </w:r>
      <w:r w:rsidR="005A4969" w:rsidRPr="009D157A">
        <w:rPr>
          <w:rFonts w:ascii="Times New Roman" w:hAnsi="Times New Roman"/>
          <w:lang w:val="es-ES_tradnl"/>
        </w:rPr>
        <w:t>P</w:t>
      </w:r>
      <w:r w:rsidRPr="009D157A">
        <w:rPr>
          <w:rFonts w:ascii="Times New Roman" w:hAnsi="Times New Roman"/>
          <w:lang w:val="es-ES_tradnl"/>
        </w:rPr>
        <w:t xml:space="preserve">aís. </w:t>
      </w:r>
    </w:p>
    <w:p w14:paraId="48B060C0" w14:textId="77777777" w:rsidR="00D04388" w:rsidRPr="00A47882" w:rsidRDefault="00D04388"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highlight w:val="yellow"/>
          <w:lang w:val="es-ES_tradnl"/>
        </w:rPr>
      </w:pPr>
    </w:p>
    <w:p w14:paraId="317C86DC" w14:textId="77777777" w:rsidR="00530E9A" w:rsidRPr="00467C07" w:rsidRDefault="00ED3002"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9D157A">
        <w:rPr>
          <w:rFonts w:ascii="Times New Roman" w:hAnsi="Times New Roman"/>
          <w:lang w:val="es-ES_tradnl"/>
        </w:rPr>
        <w:t xml:space="preserve">Los mismos </w:t>
      </w:r>
      <w:r w:rsidR="00530E9A" w:rsidRPr="009D157A">
        <w:rPr>
          <w:rFonts w:ascii="Times New Roman" w:hAnsi="Times New Roman"/>
          <w:lang w:val="es-ES_tradnl"/>
        </w:rPr>
        <w:t xml:space="preserve">se </w:t>
      </w:r>
      <w:r w:rsidR="00DE0C2B" w:rsidRPr="009D157A">
        <w:rPr>
          <w:rFonts w:ascii="Times New Roman" w:hAnsi="Times New Roman"/>
          <w:lang w:val="es-ES_tradnl"/>
        </w:rPr>
        <w:t>han</w:t>
      </w:r>
      <w:r w:rsidR="00530E9A" w:rsidRPr="009D157A">
        <w:rPr>
          <w:rFonts w:ascii="Times New Roman" w:hAnsi="Times New Roman"/>
          <w:lang w:val="es-ES_tradnl"/>
        </w:rPr>
        <w:t xml:space="preserve"> establecido para diversos productos y sub-productos de origen vegetal, procedentes de países con los cuales se mantienen relaciones comerciales.</w:t>
      </w:r>
      <w:r w:rsidR="00530E9A" w:rsidRPr="00467C07">
        <w:rPr>
          <w:rFonts w:ascii="Times New Roman" w:hAnsi="Times New Roman"/>
          <w:lang w:val="es-ES_tradnl"/>
        </w:rPr>
        <w:t xml:space="preserve"> </w:t>
      </w:r>
    </w:p>
    <w:p w14:paraId="114E68FC" w14:textId="77777777" w:rsidR="004F5129" w:rsidRPr="00774B59" w:rsidRDefault="004F5129" w:rsidP="00390148">
      <w:pPr>
        <w:spacing w:after="0" w:line="480" w:lineRule="auto"/>
        <w:rPr>
          <w:rFonts w:ascii="Times New Roman" w:eastAsia="Calibri" w:hAnsi="Times New Roman"/>
          <w:color w:val="FF0000"/>
          <w:sz w:val="22"/>
          <w:szCs w:val="22"/>
          <w:lang w:val="es-ES_tradnl" w:eastAsia="en-US"/>
        </w:rPr>
      </w:pPr>
    </w:p>
    <w:p w14:paraId="081E54D5" w14:textId="4FD60F8B" w:rsidR="00ED3002" w:rsidRPr="00AE65E6" w:rsidRDefault="008B1BB6" w:rsidP="00CA5792">
      <w:pPr>
        <w:pStyle w:val="Ttulo3"/>
      </w:pPr>
      <w:bookmarkStart w:id="131" w:name="_Toc26292042"/>
      <w:bookmarkStart w:id="132" w:name="_Toc27146746"/>
      <w:r>
        <w:t>Servicios de i</w:t>
      </w:r>
      <w:r w:rsidR="00530E9A" w:rsidRPr="00AE65E6">
        <w:t>nformación sobre procedimientos para la ex</w:t>
      </w:r>
      <w:r w:rsidR="0033663A" w:rsidRPr="00AE65E6">
        <w:t>portación de productos y sub-</w:t>
      </w:r>
      <w:r w:rsidR="00530E9A" w:rsidRPr="00AE65E6">
        <w:t>productos de origen vegetal</w:t>
      </w:r>
      <w:r w:rsidR="00ED3002" w:rsidRPr="00AE65E6">
        <w:t>.</w:t>
      </w:r>
      <w:bookmarkEnd w:id="131"/>
      <w:bookmarkEnd w:id="132"/>
    </w:p>
    <w:p w14:paraId="14C94742" w14:textId="77777777" w:rsidR="00CA5792" w:rsidRDefault="00CA5792"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0EA91539" w14:textId="77777777" w:rsidR="004F5129" w:rsidRPr="00E204AE" w:rsidRDefault="00F72CB0"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color w:val="4F81BD" w:themeColor="accent1"/>
          <w:lang w:val="es-ES_tradnl"/>
        </w:rPr>
      </w:pPr>
      <w:r w:rsidRPr="009D157A">
        <w:rPr>
          <w:rFonts w:ascii="Times New Roman" w:hAnsi="Times New Roman"/>
          <w:lang w:val="es-ES_tradnl"/>
        </w:rPr>
        <w:t>La exportación de</w:t>
      </w:r>
      <w:r w:rsidR="00530E9A" w:rsidRPr="009D157A">
        <w:rPr>
          <w:rFonts w:ascii="Times New Roman" w:hAnsi="Times New Roman"/>
          <w:lang w:val="es-ES_tradnl"/>
        </w:rPr>
        <w:t xml:space="preserve"> productos </w:t>
      </w:r>
      <w:r w:rsidR="00D91AE8" w:rsidRPr="009D157A">
        <w:rPr>
          <w:rFonts w:ascii="Times New Roman" w:hAnsi="Times New Roman"/>
          <w:lang w:val="es-ES_tradnl"/>
        </w:rPr>
        <w:t>de origen vegetal</w:t>
      </w:r>
      <w:r w:rsidR="00530E9A" w:rsidRPr="009D157A">
        <w:rPr>
          <w:rFonts w:ascii="Times New Roman" w:hAnsi="Times New Roman"/>
          <w:lang w:val="es-ES_tradnl"/>
        </w:rPr>
        <w:t xml:space="preserve"> </w:t>
      </w:r>
      <w:r w:rsidRPr="009D157A">
        <w:rPr>
          <w:rFonts w:ascii="Times New Roman" w:hAnsi="Times New Roman"/>
          <w:lang w:val="es-ES_tradnl"/>
        </w:rPr>
        <w:t>en</w:t>
      </w:r>
      <w:r w:rsidR="00D91AE8" w:rsidRPr="009D157A">
        <w:rPr>
          <w:rFonts w:ascii="Times New Roman" w:hAnsi="Times New Roman"/>
          <w:lang w:val="es-ES_tradnl"/>
        </w:rPr>
        <w:t xml:space="preserve"> </w:t>
      </w:r>
      <w:r w:rsidR="00530E9A" w:rsidRPr="009D157A">
        <w:rPr>
          <w:rFonts w:ascii="Times New Roman" w:hAnsi="Times New Roman"/>
          <w:lang w:val="es-ES_tradnl"/>
        </w:rPr>
        <w:t xml:space="preserve">República Dominicana </w:t>
      </w:r>
      <w:r w:rsidR="00D91AE8" w:rsidRPr="009D157A">
        <w:rPr>
          <w:rFonts w:ascii="Times New Roman" w:hAnsi="Times New Roman"/>
          <w:lang w:val="es-ES_tradnl"/>
        </w:rPr>
        <w:t>garantiza</w:t>
      </w:r>
      <w:r w:rsidR="00530E9A" w:rsidRPr="009D157A">
        <w:rPr>
          <w:rFonts w:ascii="Times New Roman" w:hAnsi="Times New Roman"/>
          <w:lang w:val="es-ES_tradnl"/>
        </w:rPr>
        <w:t xml:space="preserve"> el cumplimiento de los requisitos fitosanitarios del </w:t>
      </w:r>
      <w:r w:rsidR="005A4969" w:rsidRPr="009D157A">
        <w:rPr>
          <w:rFonts w:ascii="Times New Roman" w:hAnsi="Times New Roman"/>
          <w:lang w:val="es-ES_tradnl"/>
        </w:rPr>
        <w:t>p</w:t>
      </w:r>
      <w:r w:rsidR="00530E9A" w:rsidRPr="009D157A">
        <w:rPr>
          <w:rFonts w:ascii="Times New Roman" w:hAnsi="Times New Roman"/>
          <w:lang w:val="es-ES_tradnl"/>
        </w:rPr>
        <w:t xml:space="preserve">aís de destino, de </w:t>
      </w:r>
      <w:r w:rsidR="00530E9A" w:rsidRPr="00E204AE">
        <w:rPr>
          <w:rFonts w:ascii="Times New Roman" w:hAnsi="Times New Roman"/>
          <w:lang w:val="es-ES_tradnl"/>
        </w:rPr>
        <w:t>acuerdo a las obligaciones que establece el comercio internacional; por esta razón</w:t>
      </w:r>
      <w:r w:rsidR="00ED3002" w:rsidRPr="00E204AE">
        <w:rPr>
          <w:rFonts w:ascii="Times New Roman" w:hAnsi="Times New Roman"/>
          <w:lang w:val="es-ES_tradnl"/>
        </w:rPr>
        <w:t xml:space="preserve">, se realizan </w:t>
      </w:r>
      <w:r w:rsidR="00530E9A" w:rsidRPr="00E204AE">
        <w:rPr>
          <w:rFonts w:ascii="Times New Roman" w:hAnsi="Times New Roman"/>
          <w:lang w:val="es-ES_tradnl"/>
        </w:rPr>
        <w:t>las inspecciones fitosanitarias, con el objetivo</w:t>
      </w:r>
      <w:r w:rsidR="00D91AE8" w:rsidRPr="00E204AE">
        <w:rPr>
          <w:rFonts w:ascii="Times New Roman" w:hAnsi="Times New Roman"/>
          <w:lang w:val="es-ES_tradnl"/>
        </w:rPr>
        <w:t xml:space="preserve"> de</w:t>
      </w:r>
      <w:r w:rsidR="00530E9A" w:rsidRPr="00E204AE">
        <w:rPr>
          <w:rFonts w:ascii="Times New Roman" w:hAnsi="Times New Roman"/>
          <w:lang w:val="es-ES_tradnl"/>
        </w:rPr>
        <w:t xml:space="preserve"> </w:t>
      </w:r>
      <w:r w:rsidRPr="00E204AE">
        <w:rPr>
          <w:rFonts w:ascii="Times New Roman" w:hAnsi="Times New Roman"/>
          <w:lang w:val="es-ES_tradnl"/>
        </w:rPr>
        <w:t>avalar</w:t>
      </w:r>
      <w:r w:rsidR="00ED3002" w:rsidRPr="00E204AE">
        <w:rPr>
          <w:rFonts w:ascii="Times New Roman" w:hAnsi="Times New Roman"/>
          <w:lang w:val="es-ES_tradnl"/>
        </w:rPr>
        <w:t xml:space="preserve"> la Sanidad Vegetal,</w:t>
      </w:r>
      <w:r w:rsidR="00530E9A" w:rsidRPr="00E204AE">
        <w:rPr>
          <w:rFonts w:ascii="Times New Roman" w:hAnsi="Times New Roman"/>
          <w:lang w:val="es-ES_tradnl"/>
        </w:rPr>
        <w:t xml:space="preserve"> determinar la existencia de plagas, enfe</w:t>
      </w:r>
      <w:r w:rsidR="00D91AE8" w:rsidRPr="00E204AE">
        <w:rPr>
          <w:rFonts w:ascii="Times New Roman" w:hAnsi="Times New Roman"/>
          <w:lang w:val="es-ES_tradnl"/>
        </w:rPr>
        <w:t>rmedades u otro agente patógeno</w:t>
      </w:r>
      <w:r w:rsidR="00D91AE8" w:rsidRPr="00E204AE">
        <w:rPr>
          <w:rFonts w:ascii="Times New Roman" w:hAnsi="Times New Roman"/>
          <w:color w:val="4F81BD" w:themeColor="accent1"/>
          <w:lang w:val="es-ES_tradnl"/>
        </w:rPr>
        <w:t>.</w:t>
      </w:r>
    </w:p>
    <w:p w14:paraId="079FD4C6" w14:textId="77777777" w:rsidR="004F5129" w:rsidRPr="00E204AE" w:rsidRDefault="004F5129"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color w:val="FF0000"/>
          <w:lang w:val="es-ES_tradnl"/>
        </w:rPr>
      </w:pPr>
    </w:p>
    <w:p w14:paraId="19B251BA" w14:textId="77777777" w:rsidR="00D04388" w:rsidRPr="00E204AE" w:rsidRDefault="00530E9A"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204AE">
        <w:rPr>
          <w:rFonts w:ascii="Times New Roman" w:hAnsi="Times New Roman"/>
          <w:lang w:val="es-ES_tradnl"/>
        </w:rPr>
        <w:t xml:space="preserve">Las partidas de plantas, productos y subproductos de origen vegetal </w:t>
      </w:r>
      <w:r w:rsidRPr="00E204AE">
        <w:rPr>
          <w:rFonts w:ascii="Times New Roman" w:hAnsi="Times New Roman"/>
          <w:lang w:val="es-ES_tradnl"/>
        </w:rPr>
        <w:lastRenderedPageBreak/>
        <w:t xml:space="preserve">destinados a la exportación, así como sus empaques y medios de transporte, son inspeccionados aplicando los conceptos fitosanitarios certificados y/o aprobados. </w:t>
      </w:r>
    </w:p>
    <w:p w14:paraId="68F5FCF9" w14:textId="77777777" w:rsidR="00D04388" w:rsidRPr="00E204AE" w:rsidRDefault="00D04388"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3FF6C355" w14:textId="77777777" w:rsidR="00530E9A" w:rsidRPr="00E204AE" w:rsidRDefault="00530E9A"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204AE">
        <w:rPr>
          <w:rFonts w:ascii="Times New Roman" w:hAnsi="Times New Roman"/>
          <w:lang w:val="es-ES_tradnl"/>
        </w:rPr>
        <w:t>Cuando las medidas fitosanitarias s</w:t>
      </w:r>
      <w:r w:rsidR="00C61677" w:rsidRPr="00E204AE">
        <w:rPr>
          <w:rFonts w:ascii="Times New Roman" w:hAnsi="Times New Roman"/>
          <w:lang w:val="es-ES_tradnl"/>
        </w:rPr>
        <w:t>o</w:t>
      </w:r>
      <w:r w:rsidRPr="00E204AE">
        <w:rPr>
          <w:rFonts w:ascii="Times New Roman" w:hAnsi="Times New Roman"/>
          <w:lang w:val="es-ES_tradnl"/>
        </w:rPr>
        <w:t xml:space="preserve">n requeridas por los países importadores, el Ministerio de </w:t>
      </w:r>
      <w:r w:rsidR="00F72CB0" w:rsidRPr="00E204AE">
        <w:rPr>
          <w:rFonts w:ascii="Times New Roman" w:hAnsi="Times New Roman"/>
          <w:lang w:val="es-ES_tradnl"/>
        </w:rPr>
        <w:t>Agricultura</w:t>
      </w:r>
      <w:r w:rsidRPr="00E204AE">
        <w:rPr>
          <w:rFonts w:ascii="Times New Roman" w:hAnsi="Times New Roman"/>
          <w:lang w:val="es-ES_tradnl"/>
        </w:rPr>
        <w:t xml:space="preserve"> de acuerdo a las normas de protección fitosanitarias, delega a profesionales bajo su dependencia los procedimientos de inspección y certificac</w:t>
      </w:r>
      <w:r w:rsidR="00275AA9" w:rsidRPr="00E204AE">
        <w:rPr>
          <w:rFonts w:ascii="Times New Roman" w:hAnsi="Times New Roman"/>
          <w:lang w:val="es-ES_tradnl"/>
        </w:rPr>
        <w:t>ión interna, previo al empaque.</w:t>
      </w:r>
      <w:r w:rsidR="005A4969" w:rsidRPr="00E204AE">
        <w:rPr>
          <w:rFonts w:ascii="Times New Roman" w:hAnsi="Times New Roman"/>
          <w:lang w:val="es-ES_tradnl"/>
        </w:rPr>
        <w:t xml:space="preserve"> </w:t>
      </w:r>
    </w:p>
    <w:p w14:paraId="772172D2" w14:textId="77777777" w:rsidR="00DF3430" w:rsidRPr="00E204AE" w:rsidRDefault="00DF3430"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4CE8CF00" w14:textId="096397E2" w:rsidR="006E6D5A" w:rsidRPr="00E204AE" w:rsidRDefault="006E6D5A" w:rsidP="00CA5792">
      <w:pPr>
        <w:pStyle w:val="Ttulo3"/>
      </w:pPr>
      <w:bookmarkStart w:id="133" w:name="_Toc27146747"/>
      <w:bookmarkStart w:id="134" w:name="_Toc26292043"/>
      <w:r w:rsidRPr="00E204AE">
        <w:t>Programa de monitoreo, control de plagas y enfermedades</w:t>
      </w:r>
      <w:bookmarkEnd w:id="133"/>
      <w:r w:rsidRPr="00E204AE">
        <w:t xml:space="preserve"> </w:t>
      </w:r>
      <w:bookmarkEnd w:id="134"/>
    </w:p>
    <w:p w14:paraId="0E182B76" w14:textId="77777777" w:rsidR="00781B92" w:rsidRDefault="00781B92" w:rsidP="00CA5792">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54DE9589" w14:textId="77777777" w:rsidR="006E6D5A" w:rsidRPr="00E204AE" w:rsidRDefault="006E6D5A" w:rsidP="00CA5792">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204AE">
        <w:rPr>
          <w:rFonts w:ascii="Times New Roman" w:hAnsi="Times New Roman"/>
          <w:lang w:val="es-ES_tradnl"/>
        </w:rPr>
        <w:t>Promoción y monitoreo de la sanidad vegetal básica y complementaria del campo fitosanitario, a través de redes regionales de técnicos altamente calificados para la detección temprana de plagas y su póstuma erradicación.</w:t>
      </w:r>
    </w:p>
    <w:p w14:paraId="593EE8C9" w14:textId="77777777" w:rsidR="0075382F" w:rsidRPr="00E204AE" w:rsidRDefault="0075382F" w:rsidP="00CA5792">
      <w:pPr>
        <w:spacing w:after="0" w:line="480" w:lineRule="auto"/>
        <w:rPr>
          <w:rFonts w:ascii="Times New Roman" w:hAnsi="Times New Roman"/>
          <w:lang w:val="es-ES_tradnl"/>
        </w:rPr>
      </w:pPr>
    </w:p>
    <w:p w14:paraId="2CECF8D2" w14:textId="70BF3846" w:rsidR="00DF3430" w:rsidRPr="00E204AE" w:rsidRDefault="004B00E0" w:rsidP="00CA5792">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204AE">
        <w:rPr>
          <w:rFonts w:ascii="Times New Roman" w:hAnsi="Times New Roman"/>
          <w:lang w:val="es-ES_tradnl"/>
        </w:rPr>
        <w:t xml:space="preserve">Mantenimiento de la </w:t>
      </w:r>
      <w:r w:rsidR="00FA5AEF" w:rsidRPr="00E204AE">
        <w:rPr>
          <w:rFonts w:ascii="Times New Roman" w:hAnsi="Times New Roman"/>
          <w:lang w:val="es-ES_tradnl"/>
        </w:rPr>
        <w:t>Veda para el control de la mosca blanca (Bemisia tabaci), vector del virus TYLCV y los Thrips vectores del virus TSWV</w:t>
      </w:r>
      <w:r w:rsidRPr="00E204AE">
        <w:rPr>
          <w:rFonts w:ascii="Times New Roman" w:hAnsi="Times New Roman"/>
          <w:lang w:val="es-ES_tradnl"/>
        </w:rPr>
        <w:t>,</w:t>
      </w:r>
      <w:r w:rsidR="00103DE4" w:rsidRPr="00E204AE">
        <w:rPr>
          <w:rFonts w:ascii="Times New Roman" w:hAnsi="Times New Roman"/>
          <w:lang w:val="es-ES_tradnl"/>
        </w:rPr>
        <w:t xml:space="preserve"> </w:t>
      </w:r>
      <w:r w:rsidR="00FA5AEF" w:rsidRPr="00E204AE">
        <w:rPr>
          <w:rFonts w:ascii="Times New Roman" w:hAnsi="Times New Roman"/>
          <w:lang w:val="es-ES_tradnl"/>
        </w:rPr>
        <w:t>garantiza</w:t>
      </w:r>
      <w:r w:rsidRPr="00E204AE">
        <w:rPr>
          <w:rFonts w:ascii="Times New Roman" w:hAnsi="Times New Roman"/>
          <w:lang w:val="es-ES_tradnl"/>
        </w:rPr>
        <w:t>r</w:t>
      </w:r>
      <w:r w:rsidR="00FA5AEF" w:rsidRPr="00E204AE">
        <w:rPr>
          <w:rFonts w:ascii="Times New Roman" w:hAnsi="Times New Roman"/>
          <w:lang w:val="es-ES_tradnl"/>
        </w:rPr>
        <w:t xml:space="preserve"> la producción en todo el territorio nacional de </w:t>
      </w:r>
      <w:r w:rsidR="00D04388" w:rsidRPr="00E204AE">
        <w:rPr>
          <w:rFonts w:ascii="Times New Roman" w:hAnsi="Times New Roman"/>
          <w:lang w:val="es-ES_tradnl"/>
        </w:rPr>
        <w:t>los</w:t>
      </w:r>
      <w:r w:rsidR="00FA5AEF" w:rsidRPr="00E204AE">
        <w:rPr>
          <w:rFonts w:ascii="Times New Roman" w:hAnsi="Times New Roman"/>
          <w:lang w:val="es-ES_tradnl"/>
        </w:rPr>
        <w:t xml:space="preserve"> cultivos afectados por estas plagas</w:t>
      </w:r>
      <w:r w:rsidR="006E6D5A" w:rsidRPr="00E204AE">
        <w:rPr>
          <w:rFonts w:ascii="Times New Roman" w:hAnsi="Times New Roman"/>
          <w:lang w:val="es-ES_tradnl"/>
        </w:rPr>
        <w:t>.</w:t>
      </w:r>
    </w:p>
    <w:p w14:paraId="1A126CFA" w14:textId="77777777" w:rsidR="00E70B3F" w:rsidRPr="00E204AE" w:rsidRDefault="00E70B3F" w:rsidP="006E6D5A">
      <w:pPr>
        <w:pStyle w:val="Prrafodelista"/>
        <w:widowControl w:val="0"/>
        <w:tabs>
          <w:tab w:val="left" w:pos="630"/>
        </w:tabs>
        <w:autoSpaceDE w:val="0"/>
        <w:autoSpaceDN w:val="0"/>
        <w:adjustRightInd w:val="0"/>
        <w:spacing w:after="0" w:line="480" w:lineRule="auto"/>
        <w:ind w:left="1004"/>
        <w:jc w:val="both"/>
        <w:rPr>
          <w:rFonts w:ascii="Times New Roman" w:hAnsi="Times New Roman"/>
          <w:sz w:val="24"/>
          <w:szCs w:val="24"/>
          <w:lang w:val="es-ES_tradnl"/>
        </w:rPr>
      </w:pPr>
    </w:p>
    <w:p w14:paraId="4FEB80BF" w14:textId="3CD698F4" w:rsidR="0054767A" w:rsidRPr="00E204AE" w:rsidRDefault="004B00E0"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204AE">
        <w:rPr>
          <w:rFonts w:ascii="Times New Roman" w:hAnsi="Times New Roman"/>
          <w:lang w:val="es-ES_tradnl"/>
        </w:rPr>
        <w:t xml:space="preserve">Fortalecimiento </w:t>
      </w:r>
      <w:r w:rsidR="0064352B" w:rsidRPr="00E204AE">
        <w:rPr>
          <w:rFonts w:ascii="Times New Roman" w:hAnsi="Times New Roman"/>
          <w:lang w:val="es-ES_tradnl"/>
        </w:rPr>
        <w:t>del programa para el control y prevenció</w:t>
      </w:r>
      <w:r w:rsidR="002427A4">
        <w:rPr>
          <w:rFonts w:ascii="Times New Roman" w:hAnsi="Times New Roman"/>
          <w:lang w:val="es-ES_tradnl"/>
        </w:rPr>
        <w:t>n de plagas exóticas, MOSCAFRUT</w:t>
      </w:r>
      <w:r w:rsidR="0064352B" w:rsidRPr="00E204AE">
        <w:rPr>
          <w:rFonts w:ascii="Times New Roman" w:hAnsi="Times New Roman"/>
          <w:lang w:val="es-ES_tradnl"/>
        </w:rPr>
        <w:t xml:space="preserve"> </w:t>
      </w:r>
      <w:r w:rsidRPr="00E204AE">
        <w:rPr>
          <w:rFonts w:ascii="Times New Roman" w:hAnsi="Times New Roman"/>
          <w:lang w:val="es-ES_tradnl"/>
        </w:rPr>
        <w:t>para el monitoreo y control de</w:t>
      </w:r>
      <w:r w:rsidR="0064352B" w:rsidRPr="00E204AE">
        <w:rPr>
          <w:rFonts w:ascii="Times New Roman" w:hAnsi="Times New Roman"/>
          <w:lang w:val="es-ES_tradnl"/>
        </w:rPr>
        <w:t xml:space="preserve"> </w:t>
      </w:r>
      <w:r w:rsidRPr="00E204AE">
        <w:rPr>
          <w:rFonts w:ascii="Times New Roman" w:hAnsi="Times New Roman"/>
          <w:lang w:val="es-ES_tradnl"/>
        </w:rPr>
        <w:t>plagas exóticas</w:t>
      </w:r>
      <w:r w:rsidR="0064352B" w:rsidRPr="00E204AE">
        <w:rPr>
          <w:rFonts w:ascii="Times New Roman" w:hAnsi="Times New Roman"/>
          <w:lang w:val="es-ES_tradnl"/>
        </w:rPr>
        <w:t>,</w:t>
      </w:r>
      <w:r w:rsidR="00E70B3F" w:rsidRPr="00E204AE">
        <w:rPr>
          <w:rFonts w:ascii="Times New Roman" w:hAnsi="Times New Roman"/>
          <w:lang w:val="es-ES_tradnl"/>
        </w:rPr>
        <w:t xml:space="preserve"> </w:t>
      </w:r>
      <w:r w:rsidR="0064352B" w:rsidRPr="00E204AE">
        <w:rPr>
          <w:rFonts w:ascii="Times New Roman" w:hAnsi="Times New Roman"/>
          <w:lang w:val="es-ES_tradnl"/>
        </w:rPr>
        <w:t xml:space="preserve">control y erradicación de la mosca de la Fruta, (Anastrepha Obliqua) y el programa de la mosca oriental de </w:t>
      </w:r>
      <w:r w:rsidR="00FB6ADE" w:rsidRPr="00E204AE">
        <w:rPr>
          <w:rFonts w:ascii="Times New Roman" w:hAnsi="Times New Roman"/>
          <w:lang w:val="es-ES_tradnl"/>
        </w:rPr>
        <w:t xml:space="preserve">la fruta (Bactrocera dorsalis), para el mantenimiento de la </w:t>
      </w:r>
      <w:r w:rsidR="00FB6ADE" w:rsidRPr="00E204AE">
        <w:rPr>
          <w:rFonts w:ascii="Times New Roman" w:hAnsi="Times New Roman"/>
          <w:lang w:val="es-ES_tradnl"/>
        </w:rPr>
        <w:lastRenderedPageBreak/>
        <w:t>condición de país libre de plagas y enfermedades extranjeras especialmente la mosca del mediterráneo,</w:t>
      </w:r>
      <w:r w:rsidRPr="00E204AE">
        <w:rPr>
          <w:rFonts w:ascii="Times New Roman" w:hAnsi="Times New Roman"/>
          <w:lang w:val="es-ES_tradnl"/>
        </w:rPr>
        <w:t xml:space="preserve"> mal de panamá en las musáceas, Moniliasis en cacao y la Marchitez en las Musáceas (Foc R4T).</w:t>
      </w:r>
    </w:p>
    <w:p w14:paraId="1E7723C2" w14:textId="34E2DB7C" w:rsidR="006E6D5A" w:rsidRPr="00E204AE" w:rsidRDefault="006E6D5A" w:rsidP="0063674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rPr>
      </w:pPr>
      <w:r w:rsidRPr="00E204AE">
        <w:rPr>
          <w:rFonts w:ascii="Times New Roman" w:hAnsi="Times New Roman"/>
          <w:lang w:val="es-ES_tradnl"/>
        </w:rPr>
        <w:t>El programa MOSCAFRUT-RD estableció en todo el país un sistema de trampeo para la vigilancia de moscas de la fruta Exóticas y el manejo de las moscas de la fruta que afectan la</w:t>
      </w:r>
      <w:r w:rsidR="00636748" w:rsidRPr="00E204AE">
        <w:rPr>
          <w:rFonts w:ascii="Times New Roman" w:hAnsi="Times New Roman"/>
          <w:lang w:val="es-ES_tradnl"/>
        </w:rPr>
        <w:t xml:space="preserve"> producción y comercialización d</w:t>
      </w:r>
      <w:r w:rsidRPr="00E204AE">
        <w:rPr>
          <w:rFonts w:ascii="Times New Roman" w:hAnsi="Times New Roman"/>
          <w:lang w:val="es-ES_tradnl"/>
        </w:rPr>
        <w:t>e mangos para la Exportación y el comercio Nacional.</w:t>
      </w:r>
      <w:r w:rsidR="00636748" w:rsidRPr="00E204AE">
        <w:rPr>
          <w:rFonts w:ascii="Times New Roman" w:hAnsi="Times New Roman"/>
          <w:color w:val="000000"/>
        </w:rPr>
        <w:t xml:space="preserve"> </w:t>
      </w:r>
      <w:r w:rsidRPr="00E204AE">
        <w:rPr>
          <w:rFonts w:ascii="Times New Roman" w:hAnsi="Times New Roman"/>
          <w:color w:val="000000"/>
        </w:rPr>
        <w:t xml:space="preserve">Las trampas se encuentran distribuidas en las 5 provincias de la Región Este de la siguiente manera: </w:t>
      </w:r>
    </w:p>
    <w:p w14:paraId="6F79B485" w14:textId="77777777" w:rsidR="006E6D5A" w:rsidRPr="00E204AE" w:rsidRDefault="006E6D5A" w:rsidP="006E6D5A">
      <w:pPr>
        <w:spacing w:after="0" w:line="360" w:lineRule="auto"/>
        <w:contextualSpacing/>
        <w:jc w:val="both"/>
        <w:rPr>
          <w:rFonts w:ascii="Times New Roman" w:hAnsi="Times New Roman"/>
          <w:color w:val="000000"/>
        </w:rPr>
      </w:pPr>
    </w:p>
    <w:p w14:paraId="5BA38318" w14:textId="77777777" w:rsidR="006E6D5A" w:rsidRPr="00E204AE" w:rsidRDefault="006E6D5A" w:rsidP="001C6B1A">
      <w:pPr>
        <w:pStyle w:val="Prrafodelista"/>
        <w:numPr>
          <w:ilvl w:val="0"/>
          <w:numId w:val="45"/>
        </w:numPr>
        <w:spacing w:after="0" w:line="480" w:lineRule="auto"/>
        <w:jc w:val="both"/>
        <w:rPr>
          <w:rFonts w:ascii="Times New Roman" w:hAnsi="Times New Roman"/>
          <w:color w:val="000000"/>
          <w:sz w:val="24"/>
          <w:szCs w:val="24"/>
        </w:rPr>
      </w:pPr>
      <w:r w:rsidRPr="00E204AE">
        <w:rPr>
          <w:rFonts w:ascii="Times New Roman" w:hAnsi="Times New Roman"/>
          <w:color w:val="000000"/>
          <w:sz w:val="24"/>
          <w:szCs w:val="24"/>
        </w:rPr>
        <w:t>La Altagracia con 697 trampas instaladas (360 Jackson y337 Multilure con Torula).</w:t>
      </w:r>
    </w:p>
    <w:p w14:paraId="2AE923B6" w14:textId="77777777" w:rsidR="006E6D5A" w:rsidRPr="00E204AE" w:rsidRDefault="006E6D5A" w:rsidP="001C6B1A">
      <w:pPr>
        <w:pStyle w:val="Prrafodelista"/>
        <w:numPr>
          <w:ilvl w:val="0"/>
          <w:numId w:val="45"/>
        </w:numPr>
        <w:spacing w:after="0" w:line="480" w:lineRule="auto"/>
        <w:jc w:val="both"/>
        <w:rPr>
          <w:rFonts w:ascii="Times New Roman" w:hAnsi="Times New Roman"/>
          <w:color w:val="000000"/>
          <w:sz w:val="24"/>
          <w:szCs w:val="24"/>
        </w:rPr>
      </w:pPr>
      <w:r w:rsidRPr="00E204AE">
        <w:rPr>
          <w:rFonts w:ascii="Times New Roman" w:hAnsi="Times New Roman"/>
          <w:color w:val="000000"/>
          <w:sz w:val="24"/>
          <w:szCs w:val="24"/>
        </w:rPr>
        <w:t>La Romana con 138 trampas instaladas (67 Jackson, 71 Multilure con Torula)</w:t>
      </w:r>
    </w:p>
    <w:p w14:paraId="4D0BB77C" w14:textId="77777777" w:rsidR="006E6D5A" w:rsidRPr="00E204AE" w:rsidRDefault="006E6D5A" w:rsidP="001C6B1A">
      <w:pPr>
        <w:pStyle w:val="Prrafodelista"/>
        <w:numPr>
          <w:ilvl w:val="0"/>
          <w:numId w:val="45"/>
        </w:numPr>
        <w:spacing w:after="0" w:line="480" w:lineRule="auto"/>
        <w:jc w:val="both"/>
        <w:rPr>
          <w:rFonts w:ascii="Times New Roman" w:hAnsi="Times New Roman"/>
          <w:color w:val="000000"/>
          <w:sz w:val="24"/>
          <w:szCs w:val="24"/>
        </w:rPr>
      </w:pPr>
      <w:r w:rsidRPr="00E204AE">
        <w:rPr>
          <w:rFonts w:ascii="Times New Roman" w:hAnsi="Times New Roman"/>
          <w:color w:val="000000"/>
          <w:sz w:val="24"/>
          <w:szCs w:val="24"/>
        </w:rPr>
        <w:t xml:space="preserve">El Seíbo con 35 trampas colocadas (14 trampas Jackson y 21 trampas Multilure con Torula) </w:t>
      </w:r>
    </w:p>
    <w:p w14:paraId="558AFCFE" w14:textId="77777777" w:rsidR="006E6D5A" w:rsidRPr="00E204AE" w:rsidRDefault="006E6D5A" w:rsidP="001C6B1A">
      <w:pPr>
        <w:pStyle w:val="Prrafodelista"/>
        <w:numPr>
          <w:ilvl w:val="0"/>
          <w:numId w:val="45"/>
        </w:numPr>
        <w:spacing w:after="0" w:line="480" w:lineRule="auto"/>
        <w:jc w:val="both"/>
        <w:rPr>
          <w:rFonts w:ascii="Times New Roman" w:hAnsi="Times New Roman"/>
          <w:color w:val="000000"/>
          <w:sz w:val="24"/>
          <w:szCs w:val="24"/>
        </w:rPr>
      </w:pPr>
      <w:r w:rsidRPr="00E204AE">
        <w:rPr>
          <w:rFonts w:ascii="Times New Roman" w:hAnsi="Times New Roman"/>
          <w:color w:val="000000"/>
          <w:sz w:val="24"/>
          <w:szCs w:val="24"/>
        </w:rPr>
        <w:t>San Pedro de Macorís con 44 trampas instaladas (29 Jackson y 15 Multilure con Torula)</w:t>
      </w:r>
    </w:p>
    <w:p w14:paraId="50187A28" w14:textId="77777777" w:rsidR="006E6D5A" w:rsidRPr="00E204AE" w:rsidRDefault="006E6D5A" w:rsidP="001C6B1A">
      <w:pPr>
        <w:pStyle w:val="Prrafodelista"/>
        <w:numPr>
          <w:ilvl w:val="0"/>
          <w:numId w:val="45"/>
        </w:numPr>
        <w:spacing w:after="0" w:line="480" w:lineRule="auto"/>
        <w:jc w:val="both"/>
        <w:rPr>
          <w:rFonts w:ascii="Times New Roman" w:hAnsi="Times New Roman"/>
          <w:color w:val="000000"/>
          <w:sz w:val="24"/>
          <w:szCs w:val="24"/>
        </w:rPr>
      </w:pPr>
      <w:r w:rsidRPr="00E204AE">
        <w:rPr>
          <w:rFonts w:ascii="Times New Roman" w:hAnsi="Times New Roman"/>
          <w:color w:val="000000"/>
          <w:sz w:val="24"/>
          <w:szCs w:val="24"/>
        </w:rPr>
        <w:t>Hato Mayor donde están las restantes 75 trampas (47 Jackson y 28 Multilure con Torula).</w:t>
      </w:r>
    </w:p>
    <w:p w14:paraId="0B2D9DFA" w14:textId="77777777" w:rsidR="006E6D5A" w:rsidRPr="00E204AE" w:rsidRDefault="006E6D5A" w:rsidP="0054767A">
      <w:pPr>
        <w:widowControl w:val="0"/>
        <w:tabs>
          <w:tab w:val="left" w:pos="630"/>
        </w:tabs>
        <w:autoSpaceDE w:val="0"/>
        <w:autoSpaceDN w:val="0"/>
        <w:adjustRightInd w:val="0"/>
        <w:spacing w:after="0" w:line="480" w:lineRule="auto"/>
        <w:ind w:firstLine="720"/>
        <w:contextualSpacing/>
        <w:jc w:val="both"/>
        <w:rPr>
          <w:rFonts w:ascii="Times New Roman" w:hAnsi="Times New Roman"/>
        </w:rPr>
      </w:pPr>
    </w:p>
    <w:p w14:paraId="4BCF6A19" w14:textId="591557D1" w:rsidR="006E6D5A" w:rsidRPr="00E204AE" w:rsidRDefault="00636748"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204AE">
        <w:rPr>
          <w:rFonts w:ascii="Times New Roman" w:hAnsi="Times New Roman"/>
          <w:lang w:val="es-ES_tradnl"/>
        </w:rPr>
        <w:t>Las actividades para el c</w:t>
      </w:r>
      <w:r w:rsidR="006E6D5A" w:rsidRPr="00E204AE">
        <w:rPr>
          <w:rFonts w:ascii="Times New Roman" w:hAnsi="Times New Roman"/>
          <w:lang w:val="es-ES_tradnl"/>
        </w:rPr>
        <w:t xml:space="preserve">ontrol y </w:t>
      </w:r>
      <w:r w:rsidRPr="00E204AE">
        <w:rPr>
          <w:rFonts w:ascii="Times New Roman" w:hAnsi="Times New Roman"/>
          <w:lang w:val="es-ES_tradnl"/>
        </w:rPr>
        <w:t>e</w:t>
      </w:r>
      <w:r w:rsidR="006E6D5A" w:rsidRPr="00E204AE">
        <w:rPr>
          <w:rFonts w:ascii="Times New Roman" w:hAnsi="Times New Roman"/>
          <w:lang w:val="es-ES_tradnl"/>
        </w:rPr>
        <w:t>rradicación del Caracol Gigante Africano (CGAF) ha implementado con el o</w:t>
      </w:r>
      <w:r w:rsidR="00BE3C9E" w:rsidRPr="00E204AE">
        <w:rPr>
          <w:rFonts w:ascii="Times New Roman" w:hAnsi="Times New Roman"/>
          <w:lang w:val="es-ES_tradnl"/>
        </w:rPr>
        <w:t xml:space="preserve">bjetivo de erradicar la plaga, </w:t>
      </w:r>
      <w:r w:rsidR="006E6D5A" w:rsidRPr="00E204AE">
        <w:rPr>
          <w:rFonts w:ascii="Times New Roman" w:hAnsi="Times New Roman"/>
          <w:lang w:val="es-ES_tradnl"/>
        </w:rPr>
        <w:t>desde su inicio se han realizado una serie de actividades hasta el mes de</w:t>
      </w:r>
      <w:r w:rsidR="00BE3C9E" w:rsidRPr="00E204AE">
        <w:rPr>
          <w:rFonts w:ascii="Times New Roman" w:hAnsi="Times New Roman"/>
          <w:lang w:val="es-ES_tradnl"/>
        </w:rPr>
        <w:t xml:space="preserve"> octubre del presente año </w:t>
      </w:r>
      <w:r w:rsidR="006E6D5A" w:rsidRPr="00E204AE">
        <w:rPr>
          <w:rFonts w:ascii="Times New Roman" w:hAnsi="Times New Roman"/>
          <w:lang w:val="es-ES_tradnl"/>
        </w:rPr>
        <w:t xml:space="preserve">El foco de CGAF se mantiene confinado en las comunidades Bávaro, Punta cana y </w:t>
      </w:r>
      <w:r w:rsidR="006E6D5A" w:rsidRPr="00E204AE">
        <w:rPr>
          <w:rFonts w:ascii="Times New Roman" w:hAnsi="Times New Roman"/>
          <w:lang w:val="es-ES_tradnl"/>
        </w:rPr>
        <w:lastRenderedPageBreak/>
        <w:t>Municipio Higuey, de la provincia La Altagracia,</w:t>
      </w:r>
      <w:r w:rsidR="00BE3C9E" w:rsidRPr="00E204AE">
        <w:rPr>
          <w:rFonts w:ascii="Times New Roman" w:hAnsi="Times New Roman"/>
          <w:lang w:val="es-ES_tradnl"/>
        </w:rPr>
        <w:t xml:space="preserve"> región Este del país, distribuido</w:t>
      </w:r>
      <w:r w:rsidR="006E6D5A" w:rsidRPr="00E204AE">
        <w:rPr>
          <w:rFonts w:ascii="Times New Roman" w:hAnsi="Times New Roman"/>
          <w:lang w:val="es-ES_tradnl"/>
        </w:rPr>
        <w:t xml:space="preserve"> en 23 focos/núcleos, en una superficie total de 1,111 ha</w:t>
      </w:r>
      <w:r w:rsidR="00BE3C9E" w:rsidRPr="00E204AE">
        <w:rPr>
          <w:rFonts w:ascii="Times New Roman" w:hAnsi="Times New Roman"/>
          <w:lang w:val="es-ES_tradnl"/>
        </w:rPr>
        <w:t>.</w:t>
      </w:r>
      <w:r w:rsidR="006E6D5A" w:rsidRPr="00E204AE">
        <w:rPr>
          <w:rFonts w:ascii="Times New Roman" w:hAnsi="Times New Roman"/>
          <w:lang w:val="es-ES_tradnl"/>
        </w:rPr>
        <w:t>, ocupado por bosque, pantano, Hoteles, complejos de urbanizaciones, campo de golf,</w:t>
      </w:r>
      <w:r w:rsidR="00BE3C9E" w:rsidRPr="00E204AE">
        <w:rPr>
          <w:rFonts w:ascii="Times New Roman" w:hAnsi="Times New Roman"/>
          <w:lang w:val="es-ES_tradnl"/>
        </w:rPr>
        <w:t xml:space="preserve"> j</w:t>
      </w:r>
      <w:r w:rsidR="006E6D5A" w:rsidRPr="00E204AE">
        <w:rPr>
          <w:rFonts w:ascii="Times New Roman" w:hAnsi="Times New Roman"/>
          <w:lang w:val="es-ES_tradnl"/>
        </w:rPr>
        <w:t xml:space="preserve">ardines, vertederos, viveros y una pequeña porción de terreno de uso agrícola, actualmente en barbecho. </w:t>
      </w:r>
    </w:p>
    <w:p w14:paraId="76613EE5" w14:textId="77777777" w:rsidR="006E6D5A" w:rsidRPr="00E204AE" w:rsidRDefault="006E6D5A" w:rsidP="0054767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1544D250" w14:textId="60D64E02" w:rsidR="006E6D5A" w:rsidRPr="00E204AE" w:rsidRDefault="0054767A"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204AE">
        <w:rPr>
          <w:rFonts w:ascii="Times New Roman" w:hAnsi="Times New Roman"/>
          <w:lang w:val="es-ES_tradnl"/>
        </w:rPr>
        <w:t xml:space="preserve">El programa favorece el </w:t>
      </w:r>
      <w:r w:rsidR="00103DE4" w:rsidRPr="00E204AE">
        <w:rPr>
          <w:rFonts w:ascii="Times New Roman" w:hAnsi="Times New Roman"/>
          <w:lang w:val="es-ES_tradnl"/>
        </w:rPr>
        <w:t>flujo de informaciones a los socio</w:t>
      </w:r>
      <w:r w:rsidR="008767AC" w:rsidRPr="00E204AE">
        <w:rPr>
          <w:rFonts w:ascii="Times New Roman" w:hAnsi="Times New Roman"/>
          <w:lang w:val="es-ES_tradnl"/>
        </w:rPr>
        <w:t>s comerciales sobre l</w:t>
      </w:r>
      <w:r w:rsidR="00103DE4" w:rsidRPr="00E204AE">
        <w:rPr>
          <w:rFonts w:ascii="Times New Roman" w:hAnsi="Times New Roman"/>
          <w:lang w:val="es-ES_tradnl"/>
        </w:rPr>
        <w:t xml:space="preserve">a lectura promedio </w:t>
      </w:r>
      <w:r w:rsidR="00033267" w:rsidRPr="00E204AE">
        <w:rPr>
          <w:rFonts w:ascii="Times New Roman" w:hAnsi="Times New Roman"/>
          <w:lang w:val="es-ES_tradnl"/>
        </w:rPr>
        <w:t xml:space="preserve">del </w:t>
      </w:r>
      <w:r w:rsidR="0064352B" w:rsidRPr="00E204AE">
        <w:rPr>
          <w:rFonts w:ascii="Times New Roman" w:hAnsi="Times New Roman"/>
          <w:lang w:val="es-ES_tradnl"/>
        </w:rPr>
        <w:t>nivel de trampas instaladas en focos detectados</w:t>
      </w:r>
      <w:r w:rsidR="00CD2FC6" w:rsidRPr="00E204AE">
        <w:rPr>
          <w:rFonts w:ascii="Times New Roman" w:hAnsi="Times New Roman"/>
          <w:lang w:val="es-ES_tradnl"/>
        </w:rPr>
        <w:t>;</w:t>
      </w:r>
      <w:r w:rsidR="0064352B" w:rsidRPr="00E204AE">
        <w:rPr>
          <w:rFonts w:ascii="Times New Roman" w:hAnsi="Times New Roman"/>
          <w:lang w:val="es-ES_tradnl"/>
        </w:rPr>
        <w:t xml:space="preserve"> dicho programa se implementa </w:t>
      </w:r>
      <w:r w:rsidR="008767AC" w:rsidRPr="00E204AE">
        <w:rPr>
          <w:rFonts w:ascii="Times New Roman" w:hAnsi="Times New Roman"/>
          <w:lang w:val="es-ES_tradnl"/>
        </w:rPr>
        <w:t xml:space="preserve">en las provincias de </w:t>
      </w:r>
      <w:r w:rsidR="00721DC6" w:rsidRPr="00E204AE">
        <w:rPr>
          <w:rFonts w:ascii="Times New Roman" w:hAnsi="Times New Roman"/>
          <w:lang w:val="es-ES_tradnl"/>
        </w:rPr>
        <w:t>Peravia</w:t>
      </w:r>
      <w:r w:rsidR="008767AC" w:rsidRPr="00E204AE">
        <w:rPr>
          <w:rFonts w:ascii="Times New Roman" w:hAnsi="Times New Roman"/>
          <w:lang w:val="es-ES_tradnl"/>
        </w:rPr>
        <w:t xml:space="preserve">, Azua, San Juan de la Maguana, San Cristóbal, San José de Ocoa, El Seibo y Barahona, </w:t>
      </w:r>
      <w:r w:rsidR="00E204AE" w:rsidRPr="00E204AE">
        <w:rPr>
          <w:rFonts w:ascii="Times New Roman" w:hAnsi="Times New Roman"/>
          <w:lang w:val="es-ES_tradnl"/>
        </w:rPr>
        <w:t>l</w:t>
      </w:r>
      <w:r w:rsidR="00467C07" w:rsidRPr="00E204AE">
        <w:rPr>
          <w:rFonts w:ascii="Times New Roman" w:hAnsi="Times New Roman"/>
          <w:lang w:val="es-ES_tradnl"/>
        </w:rPr>
        <w:t>a región</w:t>
      </w:r>
      <w:r w:rsidR="00E204AE" w:rsidRPr="00E204AE">
        <w:rPr>
          <w:rFonts w:ascii="Times New Roman" w:hAnsi="Times New Roman"/>
          <w:lang w:val="es-ES_tradnl"/>
        </w:rPr>
        <w:t xml:space="preserve"> E</w:t>
      </w:r>
      <w:r w:rsidR="0064352B" w:rsidRPr="00E204AE">
        <w:rPr>
          <w:rFonts w:ascii="Times New Roman" w:hAnsi="Times New Roman"/>
          <w:lang w:val="es-ES_tradnl"/>
        </w:rPr>
        <w:t>ste, y diseminaciones del trampeo a nivel nacional.</w:t>
      </w:r>
    </w:p>
    <w:p w14:paraId="4EA82228" w14:textId="77777777" w:rsidR="006E6D5A" w:rsidRPr="00E204AE" w:rsidRDefault="006E6D5A"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562E677F" w14:textId="0C45039C" w:rsidR="006E6D5A" w:rsidRPr="00E204AE" w:rsidRDefault="006E6D5A"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204AE">
        <w:rPr>
          <w:rFonts w:ascii="Times New Roman" w:hAnsi="Times New Roman"/>
          <w:lang w:val="es-ES_tradnl"/>
        </w:rPr>
        <w:t>Dicho programa ha permitido la cosecha de unas 19, 426,559.0 unidades de mango para el período abril-septiembre del 2019, generando unos US$ 30 millones de dólares a través de su exportación.</w:t>
      </w:r>
    </w:p>
    <w:p w14:paraId="54927D54" w14:textId="77777777" w:rsidR="006E6D5A" w:rsidRPr="00E204AE" w:rsidRDefault="006E6D5A"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2CB9227E" w14:textId="77777777" w:rsidR="006E6D5A" w:rsidRPr="00E204AE" w:rsidRDefault="006E6D5A"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204AE">
        <w:rPr>
          <w:rFonts w:ascii="Times New Roman" w:hAnsi="Times New Roman"/>
          <w:lang w:val="es-ES_tradnl"/>
        </w:rPr>
        <w:t>Durante el año 2019, se tomaron 6,211muestras de diferentes frutos potenciales hospedantes de moscas de la fruta, dentro de los cuales se encuentran Almendro tropical (Terminalia catappa), Guayaba (Psidium guajaba), Cereza (Malphigia punicifolia) entre otros, donde no se identificaron larvas de Ceratitis capitata en ningún fruto.</w:t>
      </w:r>
    </w:p>
    <w:p w14:paraId="12DED935" w14:textId="79A6F909" w:rsidR="006E6D5A" w:rsidRDefault="006E6D5A"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15ACC57C" w14:textId="77777777" w:rsidR="00B01775" w:rsidRPr="00E204AE" w:rsidRDefault="00B01775"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556D1383" w14:textId="36B71ADD" w:rsidR="006E6D5A" w:rsidRDefault="006E6D5A"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204AE">
        <w:rPr>
          <w:rFonts w:ascii="Times New Roman" w:hAnsi="Times New Roman"/>
          <w:lang w:val="es-ES_tradnl"/>
        </w:rPr>
        <w:lastRenderedPageBreak/>
        <w:t>De igual modo, se construyeron 112 fosas para el enterrado de los mangos de desecho, se eliminaron 2, 238,165 unidades de mango, con una proyección de 36,707,763 larvas eliminadas, en este orden se colocaron 10,357 trampas artesanales con Cetrap.</w:t>
      </w:r>
    </w:p>
    <w:p w14:paraId="298E6089" w14:textId="77777777" w:rsidR="00B01775" w:rsidRPr="00E204AE" w:rsidRDefault="00B01775"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0C6DE529" w14:textId="77777777" w:rsidR="006E6D5A" w:rsidRPr="00E204AE" w:rsidRDefault="006E6D5A"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204AE">
        <w:rPr>
          <w:rFonts w:ascii="Times New Roman" w:hAnsi="Times New Roman"/>
          <w:lang w:val="es-ES_tradnl"/>
        </w:rPr>
        <w:t>A través del Programa Control de Ratas en Zonas Arroceras (Dos etapa del cultivo), se distribuyeron 5,500,000 carnadas, en beneficio de 9,690 productores en un área de 1, 250,000 tareas.</w:t>
      </w:r>
    </w:p>
    <w:p w14:paraId="7FCB1B9E" w14:textId="77777777" w:rsidR="006E6D5A" w:rsidRPr="00E204AE" w:rsidRDefault="006E6D5A"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6EFD2025" w14:textId="0EBF1C4D" w:rsidR="006E6D5A" w:rsidRPr="00E204AE" w:rsidRDefault="006E6D5A"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204AE">
        <w:rPr>
          <w:rFonts w:ascii="Times New Roman" w:hAnsi="Times New Roman"/>
          <w:lang w:val="es-ES_tradnl"/>
        </w:rPr>
        <w:t>E</w:t>
      </w:r>
      <w:r w:rsidR="00E204AE" w:rsidRPr="00E204AE">
        <w:rPr>
          <w:rFonts w:ascii="Times New Roman" w:hAnsi="Times New Roman"/>
          <w:lang w:val="es-ES_tradnl"/>
        </w:rPr>
        <w:t>n e</w:t>
      </w:r>
      <w:r w:rsidRPr="00E204AE">
        <w:rPr>
          <w:rFonts w:ascii="Times New Roman" w:hAnsi="Times New Roman"/>
          <w:lang w:val="es-ES_tradnl"/>
        </w:rPr>
        <w:t>l Programa Control de Roedores en Zonas Cacaotaleras, se distribuyeron unas 830,000 carnadas, beneficiando 1, 743 productores con un área de 415, 000 tareas.</w:t>
      </w:r>
    </w:p>
    <w:p w14:paraId="2DEF6E97" w14:textId="77777777" w:rsidR="006E6D5A" w:rsidRPr="00E204AE" w:rsidRDefault="006E6D5A"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7FC72BDD" w14:textId="576264B1" w:rsidR="006E6D5A" w:rsidRPr="00E204AE" w:rsidRDefault="006E6D5A" w:rsidP="006E6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204AE">
        <w:rPr>
          <w:rFonts w:ascii="Times New Roman" w:hAnsi="Times New Roman"/>
          <w:lang w:val="es-ES_tradnl"/>
        </w:rPr>
        <w:t xml:space="preserve">De igual modo, en la regional Norcentral – Bonao, se instalaron 18 parcelas demostrativas, donde se colocaron mayas- trampas, para el control del caracol </w:t>
      </w:r>
      <w:r w:rsidRPr="00E204AE">
        <w:rPr>
          <w:rFonts w:ascii="Times New Roman" w:hAnsi="Times New Roman"/>
          <w:i/>
          <w:lang w:val="es-ES_tradnl"/>
        </w:rPr>
        <w:t>Pomacea canaliculata</w:t>
      </w:r>
      <w:r w:rsidRPr="00E204AE">
        <w:rPr>
          <w:rFonts w:ascii="Times New Roman" w:hAnsi="Times New Roman"/>
          <w:lang w:val="es-ES_tradnl"/>
        </w:rPr>
        <w:t>. Beneficiando directamente a igual cantidad de productores e indirectamente 72 pequeños y medianos productores.</w:t>
      </w:r>
    </w:p>
    <w:p w14:paraId="0A3F89FE" w14:textId="77777777" w:rsidR="006E6D5A" w:rsidRPr="00E204AE" w:rsidRDefault="006E6D5A" w:rsidP="006E6D5A">
      <w:pPr>
        <w:spacing w:after="0" w:line="480" w:lineRule="auto"/>
        <w:contextualSpacing/>
        <w:jc w:val="both"/>
        <w:rPr>
          <w:rFonts w:ascii="Times New Roman" w:hAnsi="Times New Roman"/>
          <w:color w:val="000000"/>
        </w:rPr>
      </w:pPr>
    </w:p>
    <w:p w14:paraId="48F46000" w14:textId="77777777" w:rsidR="003A5858" w:rsidRPr="00E204AE" w:rsidRDefault="000A3976" w:rsidP="00CA5792">
      <w:pPr>
        <w:pStyle w:val="Ttulo3"/>
        <w:rPr>
          <w:color w:val="000000" w:themeColor="text1"/>
          <w:szCs w:val="28"/>
          <w:lang w:val="es-ES"/>
        </w:rPr>
      </w:pPr>
      <w:bookmarkStart w:id="135" w:name="_Toc26292044"/>
      <w:bookmarkStart w:id="136" w:name="_Toc27146748"/>
      <w:r w:rsidRPr="00E204AE">
        <w:t>Sistema n</w:t>
      </w:r>
      <w:r w:rsidR="003A5858" w:rsidRPr="00E204AE">
        <w:t xml:space="preserve">acional de </w:t>
      </w:r>
      <w:r w:rsidRPr="00E204AE">
        <w:t>c</w:t>
      </w:r>
      <w:r w:rsidR="003A5858" w:rsidRPr="00E204AE">
        <w:t xml:space="preserve">uarentena </w:t>
      </w:r>
      <w:r w:rsidRPr="00E204AE">
        <w:t>v</w:t>
      </w:r>
      <w:r w:rsidR="003A5858" w:rsidRPr="00E204AE">
        <w:t>egetal</w:t>
      </w:r>
      <w:bookmarkEnd w:id="135"/>
      <w:bookmarkEnd w:id="136"/>
    </w:p>
    <w:p w14:paraId="6213BB56" w14:textId="229B9D29" w:rsidR="003A5858" w:rsidRPr="00E204AE" w:rsidRDefault="003A5858" w:rsidP="003A585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4F81BD" w:themeColor="accent1"/>
          <w:lang w:val="es-ES_tradnl"/>
        </w:rPr>
      </w:pPr>
      <w:r w:rsidRPr="00E204AE">
        <w:rPr>
          <w:rFonts w:ascii="Times New Roman" w:hAnsi="Times New Roman"/>
          <w:lang w:val="es-ES_tradnl"/>
        </w:rPr>
        <w:t>En el período enero-octubre, 201</w:t>
      </w:r>
      <w:r w:rsidR="00B43CAD" w:rsidRPr="00E204AE">
        <w:rPr>
          <w:rFonts w:ascii="Times New Roman" w:hAnsi="Times New Roman"/>
          <w:lang w:val="es-ES_tradnl"/>
        </w:rPr>
        <w:t>9</w:t>
      </w:r>
      <w:r w:rsidRPr="00E204AE">
        <w:rPr>
          <w:rFonts w:ascii="Times New Roman" w:hAnsi="Times New Roman"/>
          <w:lang w:val="es-ES_tradnl"/>
        </w:rPr>
        <w:t xml:space="preserve"> dentro de las actividades ejecutadas en el área de Cuarentena Vegetal más relevante para la salvaguarda del sector agrícola del país</w:t>
      </w:r>
      <w:r w:rsidR="00721DC6">
        <w:rPr>
          <w:rFonts w:ascii="Times New Roman" w:hAnsi="Times New Roman"/>
          <w:lang w:val="es-ES_tradnl"/>
        </w:rPr>
        <w:t xml:space="preserve"> se destacan</w:t>
      </w:r>
      <w:r w:rsidRPr="00E204AE">
        <w:rPr>
          <w:rFonts w:ascii="Times New Roman" w:hAnsi="Times New Roman"/>
          <w:color w:val="4F81BD" w:themeColor="accent1"/>
          <w:lang w:val="es-ES_tradnl"/>
        </w:rPr>
        <w:t>:</w:t>
      </w:r>
    </w:p>
    <w:p w14:paraId="2A06BC31" w14:textId="77777777" w:rsidR="003A5858" w:rsidRPr="00E204AE" w:rsidRDefault="003A5858" w:rsidP="00721DC6">
      <w:pPr>
        <w:widowControl w:val="0"/>
        <w:tabs>
          <w:tab w:val="left" w:pos="630"/>
        </w:tabs>
        <w:autoSpaceDE w:val="0"/>
        <w:autoSpaceDN w:val="0"/>
        <w:adjustRightInd w:val="0"/>
        <w:spacing w:after="0" w:line="360" w:lineRule="auto"/>
        <w:ind w:firstLine="720"/>
        <w:contextualSpacing/>
        <w:jc w:val="both"/>
        <w:rPr>
          <w:rFonts w:ascii="Times New Roman" w:hAnsi="Times New Roman"/>
          <w:sz w:val="28"/>
          <w:lang w:val="es-ES_tradnl"/>
        </w:rPr>
      </w:pPr>
    </w:p>
    <w:p w14:paraId="42CCF4E8" w14:textId="77777777" w:rsidR="006E6D5A" w:rsidRPr="00E204AE" w:rsidRDefault="006E6D5A" w:rsidP="001C6B1A">
      <w:pPr>
        <w:pStyle w:val="Prrafodelista"/>
        <w:numPr>
          <w:ilvl w:val="0"/>
          <w:numId w:val="46"/>
        </w:numPr>
        <w:spacing w:after="160" w:line="480" w:lineRule="auto"/>
        <w:ind w:left="567" w:hanging="425"/>
        <w:jc w:val="both"/>
        <w:rPr>
          <w:rFonts w:ascii="Times New Roman" w:hAnsi="Times New Roman"/>
          <w:sz w:val="24"/>
          <w:szCs w:val="24"/>
        </w:rPr>
      </w:pPr>
      <w:r w:rsidRPr="00E204AE">
        <w:rPr>
          <w:rFonts w:ascii="Times New Roman" w:hAnsi="Times New Roman"/>
          <w:sz w:val="24"/>
          <w:szCs w:val="24"/>
        </w:rPr>
        <w:lastRenderedPageBreak/>
        <w:t>Lanzamiento oficial del Sistema Nacional de Vigilancia Fitosanitaria con la presencia del Señor Osmar C. Benítez – Ministro de Agricultura de la República Dominicana, conjuntamente con el Organismo Internacional Regional de Sanidad Agropecuaria (OIRSA); donde asistió un total de 62 personas compuestas por Técnicos Zonales y Regionales de las Unidades Regionales de Protección Fitosanitaria (URPF) y los encargados de las divisiones técnicas de la Sub-Dirección Técnica del Departamento de Sanidad Vegetal.</w:t>
      </w:r>
    </w:p>
    <w:p w14:paraId="599CCB0E" w14:textId="77777777" w:rsidR="006E6D5A" w:rsidRPr="00E204AE" w:rsidRDefault="006E6D5A" w:rsidP="001C6B1A">
      <w:pPr>
        <w:pStyle w:val="Prrafodelista"/>
        <w:numPr>
          <w:ilvl w:val="0"/>
          <w:numId w:val="46"/>
        </w:numPr>
        <w:spacing w:after="160" w:line="480" w:lineRule="auto"/>
        <w:ind w:left="567" w:hanging="425"/>
        <w:jc w:val="both"/>
        <w:rPr>
          <w:rFonts w:ascii="Times New Roman" w:hAnsi="Times New Roman"/>
          <w:sz w:val="24"/>
          <w:szCs w:val="24"/>
        </w:rPr>
      </w:pPr>
      <w:r w:rsidRPr="00E204AE">
        <w:rPr>
          <w:rFonts w:ascii="Times New Roman" w:hAnsi="Times New Roman"/>
          <w:sz w:val="24"/>
          <w:szCs w:val="24"/>
        </w:rPr>
        <w:t xml:space="preserve">Elaboración de 4 guía de campo para las siguientes plagas: </w:t>
      </w:r>
      <w:r w:rsidRPr="00E204AE">
        <w:rPr>
          <w:rFonts w:ascii="Times New Roman" w:hAnsi="Times New Roman"/>
          <w:i/>
          <w:sz w:val="24"/>
          <w:szCs w:val="24"/>
        </w:rPr>
        <w:t>Tuta absoluta</w:t>
      </w:r>
      <w:r w:rsidRPr="00E204AE">
        <w:rPr>
          <w:rFonts w:ascii="Times New Roman" w:hAnsi="Times New Roman"/>
          <w:sz w:val="24"/>
          <w:szCs w:val="24"/>
        </w:rPr>
        <w:t xml:space="preserve">, </w:t>
      </w:r>
      <w:r w:rsidRPr="00E204AE">
        <w:rPr>
          <w:rFonts w:ascii="Times New Roman" w:hAnsi="Times New Roman"/>
          <w:i/>
          <w:sz w:val="24"/>
          <w:szCs w:val="24"/>
        </w:rPr>
        <w:t>Helicoverpa armígera</w:t>
      </w:r>
      <w:r w:rsidRPr="00E204AE">
        <w:rPr>
          <w:rFonts w:ascii="Times New Roman" w:hAnsi="Times New Roman"/>
          <w:sz w:val="24"/>
          <w:szCs w:val="24"/>
        </w:rPr>
        <w:t xml:space="preserve">, </w:t>
      </w:r>
      <w:r w:rsidRPr="00E204AE">
        <w:rPr>
          <w:rFonts w:ascii="Times New Roman" w:hAnsi="Times New Roman"/>
          <w:i/>
          <w:color w:val="222222"/>
          <w:sz w:val="24"/>
          <w:szCs w:val="24"/>
          <w:shd w:val="clear" w:color="auto" w:fill="FFFFFF"/>
        </w:rPr>
        <w:t>Moniliophthora) roreri</w:t>
      </w:r>
      <w:r w:rsidRPr="00E204AE">
        <w:rPr>
          <w:rFonts w:ascii="Times New Roman" w:hAnsi="Times New Roman"/>
          <w:sz w:val="24"/>
          <w:szCs w:val="24"/>
        </w:rPr>
        <w:t xml:space="preserve"> y </w:t>
      </w:r>
      <w:r w:rsidRPr="00E204AE">
        <w:rPr>
          <w:rFonts w:ascii="Times New Roman" w:hAnsi="Times New Roman"/>
          <w:i/>
          <w:sz w:val="24"/>
          <w:szCs w:val="24"/>
        </w:rPr>
        <w:t>Fusarium</w:t>
      </w:r>
      <w:r w:rsidRPr="00E204AE">
        <w:rPr>
          <w:rFonts w:ascii="Times New Roman" w:hAnsi="Times New Roman"/>
          <w:sz w:val="24"/>
          <w:szCs w:val="24"/>
        </w:rPr>
        <w:t xml:space="preserve"> </w:t>
      </w:r>
      <w:r w:rsidRPr="00E204AE">
        <w:rPr>
          <w:rFonts w:ascii="Times New Roman" w:hAnsi="Times New Roman"/>
          <w:i/>
          <w:sz w:val="24"/>
          <w:szCs w:val="24"/>
        </w:rPr>
        <w:t>oxysporum</w:t>
      </w:r>
      <w:r w:rsidRPr="00E204AE">
        <w:rPr>
          <w:rFonts w:ascii="Times New Roman" w:hAnsi="Times New Roman"/>
          <w:sz w:val="24"/>
          <w:szCs w:val="24"/>
        </w:rPr>
        <w:t xml:space="preserve"> f. sp. cubense raza 4 tropical (Foc R4T).</w:t>
      </w:r>
    </w:p>
    <w:p w14:paraId="315170FF" w14:textId="77777777" w:rsidR="006E6D5A" w:rsidRPr="00E204AE" w:rsidRDefault="006E6D5A" w:rsidP="001C6B1A">
      <w:pPr>
        <w:pStyle w:val="Prrafodelista"/>
        <w:numPr>
          <w:ilvl w:val="0"/>
          <w:numId w:val="46"/>
        </w:numPr>
        <w:spacing w:after="160" w:line="480" w:lineRule="auto"/>
        <w:ind w:left="567" w:hanging="425"/>
        <w:jc w:val="both"/>
        <w:rPr>
          <w:rFonts w:ascii="Times New Roman" w:hAnsi="Times New Roman"/>
          <w:sz w:val="24"/>
          <w:szCs w:val="24"/>
        </w:rPr>
      </w:pPr>
      <w:r w:rsidRPr="00E204AE">
        <w:rPr>
          <w:rFonts w:ascii="Times New Roman" w:hAnsi="Times New Roman"/>
        </w:rPr>
        <w:t>9</w:t>
      </w:r>
      <w:r w:rsidRPr="00E204AE">
        <w:rPr>
          <w:rFonts w:ascii="Times New Roman" w:hAnsi="Times New Roman"/>
          <w:sz w:val="24"/>
          <w:szCs w:val="24"/>
        </w:rPr>
        <w:t>,894, inspecciones en origen a productos y subproductos de origen vegetal.</w:t>
      </w:r>
    </w:p>
    <w:p w14:paraId="1C68BBC2" w14:textId="77777777" w:rsidR="006E6D5A" w:rsidRPr="00E204AE" w:rsidRDefault="006E6D5A" w:rsidP="001C6B1A">
      <w:pPr>
        <w:pStyle w:val="Prrafodelista"/>
        <w:numPr>
          <w:ilvl w:val="0"/>
          <w:numId w:val="46"/>
        </w:numPr>
        <w:spacing w:after="160" w:line="480" w:lineRule="auto"/>
        <w:ind w:left="567" w:hanging="425"/>
        <w:jc w:val="both"/>
        <w:rPr>
          <w:rFonts w:ascii="Times New Roman" w:hAnsi="Times New Roman"/>
          <w:sz w:val="24"/>
          <w:szCs w:val="24"/>
        </w:rPr>
      </w:pPr>
      <w:r w:rsidRPr="00E204AE">
        <w:rPr>
          <w:rFonts w:ascii="Times New Roman" w:hAnsi="Times New Roman"/>
          <w:sz w:val="24"/>
          <w:szCs w:val="24"/>
        </w:rPr>
        <w:t>33,027 Certificados fitosanitarios con un volumen de exportación de 163, 236,588 TM.</w:t>
      </w:r>
    </w:p>
    <w:p w14:paraId="78F7C223" w14:textId="77777777" w:rsidR="006E6D5A" w:rsidRPr="00E204AE" w:rsidRDefault="006E6D5A" w:rsidP="001C6B1A">
      <w:pPr>
        <w:pStyle w:val="Prrafodelista"/>
        <w:numPr>
          <w:ilvl w:val="0"/>
          <w:numId w:val="46"/>
        </w:numPr>
        <w:spacing w:after="160" w:line="480" w:lineRule="auto"/>
        <w:ind w:left="567" w:hanging="425"/>
        <w:jc w:val="both"/>
        <w:rPr>
          <w:rFonts w:ascii="Times New Roman" w:hAnsi="Times New Roman"/>
          <w:sz w:val="24"/>
          <w:szCs w:val="24"/>
        </w:rPr>
      </w:pPr>
      <w:r w:rsidRPr="00E204AE">
        <w:rPr>
          <w:rFonts w:ascii="Times New Roman" w:hAnsi="Times New Roman"/>
          <w:sz w:val="24"/>
          <w:szCs w:val="24"/>
        </w:rPr>
        <w:t xml:space="preserve">-13 inspecciones en origen fuera del País </w:t>
      </w:r>
    </w:p>
    <w:p w14:paraId="53DFAF8D" w14:textId="77777777" w:rsidR="006E6D5A" w:rsidRPr="00E204AE" w:rsidRDefault="006E6D5A" w:rsidP="001C6B1A">
      <w:pPr>
        <w:pStyle w:val="Prrafodelista"/>
        <w:numPr>
          <w:ilvl w:val="0"/>
          <w:numId w:val="46"/>
        </w:numPr>
        <w:spacing w:after="160" w:line="480" w:lineRule="auto"/>
        <w:ind w:left="567" w:hanging="425"/>
        <w:jc w:val="both"/>
        <w:rPr>
          <w:rFonts w:ascii="Times New Roman" w:hAnsi="Times New Roman"/>
          <w:sz w:val="24"/>
          <w:szCs w:val="24"/>
        </w:rPr>
      </w:pPr>
      <w:r w:rsidRPr="00E204AE">
        <w:rPr>
          <w:rFonts w:ascii="Times New Roman" w:hAnsi="Times New Roman"/>
          <w:sz w:val="24"/>
          <w:szCs w:val="24"/>
        </w:rPr>
        <w:t>-Inspeccionado a destino la cantidad de 21,117 productos y subproductos de origen Vegetal para un volumen total de 6, 200,890 TM, y 13, 443,022 M³ de madera importada.</w:t>
      </w:r>
    </w:p>
    <w:p w14:paraId="475E915C" w14:textId="77777777" w:rsidR="006E6D5A" w:rsidRPr="00E204AE" w:rsidRDefault="006E6D5A" w:rsidP="001C6B1A">
      <w:pPr>
        <w:pStyle w:val="Prrafodelista"/>
        <w:numPr>
          <w:ilvl w:val="0"/>
          <w:numId w:val="46"/>
        </w:numPr>
        <w:spacing w:after="160" w:line="480" w:lineRule="auto"/>
        <w:ind w:left="567" w:hanging="425"/>
        <w:jc w:val="both"/>
        <w:rPr>
          <w:rFonts w:ascii="Times New Roman" w:hAnsi="Times New Roman"/>
          <w:sz w:val="24"/>
          <w:szCs w:val="24"/>
        </w:rPr>
      </w:pPr>
      <w:r w:rsidRPr="00E204AE">
        <w:rPr>
          <w:rFonts w:ascii="Times New Roman" w:hAnsi="Times New Roman"/>
          <w:sz w:val="24"/>
          <w:szCs w:val="24"/>
        </w:rPr>
        <w:t>50,901 Vuelos recibidos; Barcos, Lanchas, Velero y Cruceros recibidos3,398, para un total de 13,430,541 pasajeros inspeccionados. De igual modo fueron decomisados 42,339 Kgs de productos de origen vegetal a pasajeros que ingresan a territorio dominicano por los diferentes Puertos y Aeropuertos y Vehículos inspeccionados 32,803.</w:t>
      </w:r>
    </w:p>
    <w:p w14:paraId="11FB47CC" w14:textId="77777777" w:rsidR="006E6D5A" w:rsidRPr="00E204AE" w:rsidRDefault="006E6D5A" w:rsidP="001C6B1A">
      <w:pPr>
        <w:pStyle w:val="Prrafodelista"/>
        <w:numPr>
          <w:ilvl w:val="0"/>
          <w:numId w:val="46"/>
        </w:numPr>
        <w:spacing w:after="160" w:line="480" w:lineRule="auto"/>
        <w:ind w:left="567" w:hanging="425"/>
        <w:jc w:val="both"/>
        <w:rPr>
          <w:rFonts w:ascii="Times New Roman" w:hAnsi="Times New Roman"/>
          <w:sz w:val="24"/>
          <w:szCs w:val="24"/>
        </w:rPr>
      </w:pPr>
      <w:r w:rsidRPr="00E204AE">
        <w:rPr>
          <w:rFonts w:ascii="Times New Roman" w:hAnsi="Times New Roman"/>
          <w:sz w:val="24"/>
          <w:szCs w:val="24"/>
        </w:rPr>
        <w:lastRenderedPageBreak/>
        <w:t>160 Análisis de Riesgos de Plagas (ARP), entre otros.</w:t>
      </w:r>
    </w:p>
    <w:p w14:paraId="768B067D" w14:textId="71D9FD1D" w:rsidR="00721DC6" w:rsidRDefault="00721DC6">
      <w:pPr>
        <w:spacing w:after="0"/>
        <w:rPr>
          <w:rFonts w:ascii="Times New Roman" w:eastAsia="Calibri" w:hAnsi="Times New Roman"/>
          <w:color w:val="4F81BD" w:themeColor="accent1"/>
          <w:lang w:val="es-ES_tradnl" w:eastAsia="en-US"/>
        </w:rPr>
      </w:pPr>
    </w:p>
    <w:p w14:paraId="0F36A4C8" w14:textId="297330E4" w:rsidR="0050401E" w:rsidRPr="00AE65E6" w:rsidRDefault="002C75E0" w:rsidP="00CA5792">
      <w:pPr>
        <w:pStyle w:val="Ttulo3"/>
      </w:pPr>
      <w:bookmarkStart w:id="137" w:name="_Toc26292046"/>
      <w:bookmarkStart w:id="138" w:name="_Toc27146749"/>
      <w:r>
        <w:t>Programa de r</w:t>
      </w:r>
      <w:r w:rsidR="00AE65E6">
        <w:t>egularización del c</w:t>
      </w:r>
      <w:r w:rsidR="0050401E" w:rsidRPr="00AE65E6">
        <w:t xml:space="preserve">omercio, </w:t>
      </w:r>
      <w:r w:rsidR="00AE65E6">
        <w:t>m</w:t>
      </w:r>
      <w:r w:rsidR="0050401E" w:rsidRPr="00AE65E6">
        <w:t xml:space="preserve">anejo y </w:t>
      </w:r>
      <w:r w:rsidR="00AE65E6">
        <w:t>u</w:t>
      </w:r>
      <w:r w:rsidR="0050401E" w:rsidRPr="00AE65E6">
        <w:t xml:space="preserve">so de </w:t>
      </w:r>
      <w:r w:rsidR="00AE65E6">
        <w:t>p</w:t>
      </w:r>
      <w:r w:rsidR="0050401E" w:rsidRPr="00AE65E6">
        <w:t>laguicidas</w:t>
      </w:r>
      <w:bookmarkEnd w:id="137"/>
      <w:bookmarkEnd w:id="138"/>
    </w:p>
    <w:p w14:paraId="4AE30971" w14:textId="77777777" w:rsidR="00CA5792" w:rsidRDefault="00CA5792" w:rsidP="00CA5792">
      <w:pPr>
        <w:spacing w:after="0" w:line="360" w:lineRule="auto"/>
        <w:ind w:firstLine="720"/>
        <w:jc w:val="both"/>
        <w:rPr>
          <w:rFonts w:ascii="Times New Roman" w:hAnsi="Times New Roman"/>
          <w:lang w:val="es-ES_tradnl"/>
        </w:rPr>
      </w:pPr>
    </w:p>
    <w:p w14:paraId="399B075F" w14:textId="36D0D51A" w:rsidR="003A5858" w:rsidRPr="009B4FC3" w:rsidRDefault="0050401E" w:rsidP="00E204AE">
      <w:pPr>
        <w:spacing w:after="0" w:line="480" w:lineRule="auto"/>
        <w:ind w:firstLine="720"/>
        <w:jc w:val="both"/>
        <w:rPr>
          <w:rFonts w:ascii="Times New Roman" w:hAnsi="Times New Roman"/>
        </w:rPr>
      </w:pPr>
      <w:r w:rsidRPr="00E204AE">
        <w:rPr>
          <w:rFonts w:ascii="Times New Roman" w:hAnsi="Times New Roman"/>
        </w:rPr>
        <w:t xml:space="preserve">Este programa ha </w:t>
      </w:r>
      <w:r w:rsidR="00E204AE" w:rsidRPr="00E204AE">
        <w:rPr>
          <w:rFonts w:ascii="Times New Roman" w:hAnsi="Times New Roman"/>
        </w:rPr>
        <w:t>conseguido</w:t>
      </w:r>
      <w:r w:rsidRPr="00E204AE">
        <w:rPr>
          <w:rFonts w:ascii="Times New Roman" w:hAnsi="Times New Roman"/>
        </w:rPr>
        <w:t xml:space="preserve"> mantener el mejoramiento de la comercialización de los plaguicidas, mediante el cumplimiento del seguimiento de post-registro con las fiscalizaciones e inspecciones en los puntos de entrada</w:t>
      </w:r>
      <w:r w:rsidR="00E204AE">
        <w:rPr>
          <w:rFonts w:ascii="Times New Roman" w:hAnsi="Times New Roman"/>
        </w:rPr>
        <w:t xml:space="preserve">, </w:t>
      </w:r>
      <w:r w:rsidR="003A5858" w:rsidRPr="00E204AE">
        <w:rPr>
          <w:rFonts w:ascii="Times New Roman" w:hAnsi="Times New Roman"/>
        </w:rPr>
        <w:t>logra</w:t>
      </w:r>
      <w:r w:rsidR="00E204AE">
        <w:rPr>
          <w:rFonts w:ascii="Times New Roman" w:hAnsi="Times New Roman"/>
        </w:rPr>
        <w:t>n</w:t>
      </w:r>
      <w:r w:rsidR="003A5858" w:rsidRPr="00E204AE">
        <w:rPr>
          <w:rFonts w:ascii="Times New Roman" w:hAnsi="Times New Roman"/>
        </w:rPr>
        <w:t xml:space="preserve">do la inserción de las actividades de importación de plaguicidas en el Sistema de Ventanilla Única de Comercio Exterior (VUCE), y concluir con la sistematización del sistema de registro de plaguicidas. </w:t>
      </w:r>
    </w:p>
    <w:p w14:paraId="0B768B7A" w14:textId="77777777" w:rsidR="00973F51" w:rsidRDefault="00973F51" w:rsidP="00B7334B">
      <w:pPr>
        <w:spacing w:after="0" w:line="480" w:lineRule="auto"/>
        <w:jc w:val="both"/>
        <w:rPr>
          <w:rFonts w:ascii="Times New Roman" w:hAnsi="Times New Roman"/>
        </w:rPr>
      </w:pPr>
    </w:p>
    <w:p w14:paraId="5DD17121" w14:textId="77777777" w:rsidR="0050401E" w:rsidRPr="0098414F" w:rsidRDefault="0050401E" w:rsidP="0050401E">
      <w:pPr>
        <w:pStyle w:val="Prrafodelista"/>
        <w:spacing w:after="0" w:line="480" w:lineRule="auto"/>
        <w:ind w:left="284" w:firstLine="425"/>
        <w:jc w:val="both"/>
        <w:rPr>
          <w:rFonts w:ascii="Times New Roman" w:eastAsia="Times New Roman" w:hAnsi="Times New Roman"/>
          <w:b/>
          <w:sz w:val="28"/>
          <w:szCs w:val="24"/>
          <w:lang w:eastAsia="ja-JP"/>
        </w:rPr>
      </w:pPr>
      <w:r w:rsidRPr="0098414F">
        <w:rPr>
          <w:rFonts w:ascii="Times New Roman" w:eastAsia="Times New Roman" w:hAnsi="Times New Roman"/>
          <w:b/>
          <w:sz w:val="28"/>
          <w:szCs w:val="24"/>
          <w:lang w:eastAsia="ja-JP"/>
        </w:rPr>
        <w:t>Notificaciones de plaguicidas</w:t>
      </w:r>
    </w:p>
    <w:p w14:paraId="504815A6" w14:textId="77777777" w:rsidR="00781B92" w:rsidRDefault="00781B92" w:rsidP="00B65596">
      <w:pPr>
        <w:spacing w:after="0" w:line="480" w:lineRule="auto"/>
        <w:ind w:firstLine="720"/>
        <w:jc w:val="both"/>
        <w:rPr>
          <w:rFonts w:ascii="Times New Roman" w:hAnsi="Times New Roman"/>
        </w:rPr>
      </w:pPr>
    </w:p>
    <w:p w14:paraId="46EDE677" w14:textId="24ADEF3A" w:rsidR="007A5DCD" w:rsidRDefault="009B4FC3" w:rsidP="00B65596">
      <w:pPr>
        <w:spacing w:after="0" w:line="480" w:lineRule="auto"/>
        <w:ind w:firstLine="720"/>
        <w:jc w:val="both"/>
        <w:rPr>
          <w:rFonts w:ascii="Times New Roman" w:hAnsi="Times New Roman"/>
        </w:rPr>
      </w:pPr>
      <w:r w:rsidRPr="00E204AE">
        <w:rPr>
          <w:rFonts w:ascii="Times New Roman" w:hAnsi="Times New Roman"/>
        </w:rPr>
        <w:t xml:space="preserve">Las notificaciones por parte de la Unión Europea sobre plaguicidas </w:t>
      </w:r>
      <w:r w:rsidR="004C264B" w:rsidRPr="00E204AE">
        <w:rPr>
          <w:rFonts w:ascii="Times New Roman" w:hAnsi="Times New Roman"/>
        </w:rPr>
        <w:t>disminuyeron</w:t>
      </w:r>
      <w:r w:rsidR="0050401E" w:rsidRPr="00E204AE">
        <w:rPr>
          <w:rFonts w:ascii="Times New Roman" w:hAnsi="Times New Roman"/>
        </w:rPr>
        <w:t xml:space="preserve"> un </w:t>
      </w:r>
      <w:r w:rsidR="004C264B" w:rsidRPr="00E204AE">
        <w:rPr>
          <w:rFonts w:ascii="Times New Roman" w:hAnsi="Times New Roman"/>
        </w:rPr>
        <w:t>33</w:t>
      </w:r>
      <w:r w:rsidR="0050401E" w:rsidRPr="00E204AE">
        <w:rPr>
          <w:rFonts w:ascii="Times New Roman" w:hAnsi="Times New Roman"/>
        </w:rPr>
        <w:t>% al p</w:t>
      </w:r>
      <w:r w:rsidR="00AB3E03" w:rsidRPr="00E204AE">
        <w:rPr>
          <w:rFonts w:ascii="Times New Roman" w:hAnsi="Times New Roman"/>
        </w:rPr>
        <w:t xml:space="preserve">asar de </w:t>
      </w:r>
      <w:r w:rsidR="004C264B" w:rsidRPr="00E204AE">
        <w:rPr>
          <w:rFonts w:ascii="Times New Roman" w:hAnsi="Times New Roman"/>
        </w:rPr>
        <w:t>24</w:t>
      </w:r>
      <w:r w:rsidR="00AB3E03" w:rsidRPr="00E204AE">
        <w:rPr>
          <w:rFonts w:ascii="Times New Roman" w:hAnsi="Times New Roman"/>
        </w:rPr>
        <w:t xml:space="preserve"> en 201</w:t>
      </w:r>
      <w:r w:rsidR="004C264B" w:rsidRPr="00E204AE">
        <w:rPr>
          <w:rFonts w:ascii="Times New Roman" w:hAnsi="Times New Roman"/>
        </w:rPr>
        <w:t>8</w:t>
      </w:r>
      <w:r w:rsidR="00AB3E03" w:rsidRPr="00E204AE">
        <w:rPr>
          <w:rFonts w:ascii="Times New Roman" w:hAnsi="Times New Roman"/>
        </w:rPr>
        <w:t xml:space="preserve"> a </w:t>
      </w:r>
      <w:r w:rsidR="004C264B" w:rsidRPr="00E204AE">
        <w:rPr>
          <w:rFonts w:ascii="Times New Roman" w:hAnsi="Times New Roman"/>
        </w:rPr>
        <w:t>18</w:t>
      </w:r>
      <w:r w:rsidR="00A204A1" w:rsidRPr="00E204AE">
        <w:rPr>
          <w:rFonts w:ascii="Times New Roman" w:hAnsi="Times New Roman"/>
        </w:rPr>
        <w:t xml:space="preserve"> en 201</w:t>
      </w:r>
      <w:r w:rsidR="004C264B" w:rsidRPr="00E204AE">
        <w:rPr>
          <w:rFonts w:ascii="Times New Roman" w:hAnsi="Times New Roman"/>
        </w:rPr>
        <w:t>9</w:t>
      </w:r>
      <w:r w:rsidR="00A204A1" w:rsidRPr="00E204AE">
        <w:rPr>
          <w:rFonts w:ascii="Times New Roman" w:hAnsi="Times New Roman"/>
        </w:rPr>
        <w:t xml:space="preserve">, mientras que las notificaciones por </w:t>
      </w:r>
      <w:r w:rsidR="0050401E" w:rsidRPr="00E204AE">
        <w:rPr>
          <w:rFonts w:ascii="Times New Roman" w:hAnsi="Times New Roman"/>
        </w:rPr>
        <w:t xml:space="preserve">parte de los Estados Unidos se redujeron en un </w:t>
      </w:r>
      <w:r w:rsidR="004C264B" w:rsidRPr="00E204AE">
        <w:rPr>
          <w:rFonts w:ascii="Times New Roman" w:hAnsi="Times New Roman"/>
        </w:rPr>
        <w:t>27</w:t>
      </w:r>
      <w:r w:rsidR="0050401E" w:rsidRPr="00E204AE">
        <w:rPr>
          <w:rFonts w:ascii="Times New Roman" w:hAnsi="Times New Roman"/>
        </w:rPr>
        <w:t xml:space="preserve">% al pasar de </w:t>
      </w:r>
      <w:r w:rsidR="00A204A1" w:rsidRPr="00E204AE">
        <w:rPr>
          <w:rFonts w:ascii="Times New Roman" w:hAnsi="Times New Roman"/>
        </w:rPr>
        <w:t>3</w:t>
      </w:r>
      <w:r w:rsidR="004C264B" w:rsidRPr="00E204AE">
        <w:rPr>
          <w:rFonts w:ascii="Times New Roman" w:hAnsi="Times New Roman"/>
        </w:rPr>
        <w:t>3</w:t>
      </w:r>
      <w:r w:rsidR="00A204A1" w:rsidRPr="00E204AE">
        <w:rPr>
          <w:rFonts w:ascii="Times New Roman" w:hAnsi="Times New Roman"/>
        </w:rPr>
        <w:t xml:space="preserve"> en 201</w:t>
      </w:r>
      <w:r w:rsidR="004C264B" w:rsidRPr="00E204AE">
        <w:rPr>
          <w:rFonts w:ascii="Times New Roman" w:hAnsi="Times New Roman"/>
        </w:rPr>
        <w:t>8</w:t>
      </w:r>
      <w:r w:rsidR="00A204A1" w:rsidRPr="00E204AE">
        <w:rPr>
          <w:rFonts w:ascii="Times New Roman" w:hAnsi="Times New Roman"/>
        </w:rPr>
        <w:t xml:space="preserve"> a 2</w:t>
      </w:r>
      <w:r w:rsidR="004C264B" w:rsidRPr="00E204AE">
        <w:rPr>
          <w:rFonts w:ascii="Times New Roman" w:hAnsi="Times New Roman"/>
        </w:rPr>
        <w:t>6</w:t>
      </w:r>
      <w:r w:rsidR="00A204A1" w:rsidRPr="00E204AE">
        <w:rPr>
          <w:rFonts w:ascii="Times New Roman" w:hAnsi="Times New Roman"/>
        </w:rPr>
        <w:t xml:space="preserve"> en 201</w:t>
      </w:r>
      <w:r w:rsidR="004C264B" w:rsidRPr="00E204AE">
        <w:rPr>
          <w:rFonts w:ascii="Times New Roman" w:hAnsi="Times New Roman"/>
        </w:rPr>
        <w:t>9</w:t>
      </w:r>
      <w:r w:rsidR="0050401E" w:rsidRPr="00E204AE">
        <w:rPr>
          <w:rFonts w:ascii="Times New Roman" w:hAnsi="Times New Roman"/>
        </w:rPr>
        <w:t>.</w:t>
      </w:r>
      <w:r w:rsidR="001A3FE8" w:rsidRPr="00E204AE">
        <w:rPr>
          <w:rFonts w:ascii="Times New Roman" w:hAnsi="Times New Roman"/>
        </w:rPr>
        <w:t xml:space="preserve"> </w:t>
      </w:r>
      <w:r w:rsidR="001A3FE8" w:rsidRPr="00E204AE">
        <w:rPr>
          <w:rFonts w:ascii="Times New Roman" w:hAnsi="Times New Roman"/>
          <w:i/>
        </w:rPr>
        <w:t>(ODS 2.5c.1)</w:t>
      </w:r>
      <w:r w:rsidR="001A3FE8" w:rsidRPr="00E204AE">
        <w:rPr>
          <w:rFonts w:ascii="Times New Roman" w:hAnsi="Times New Roman"/>
        </w:rPr>
        <w:t>.</w:t>
      </w:r>
    </w:p>
    <w:p w14:paraId="2FAF3727" w14:textId="78735B97" w:rsidR="00CA5792" w:rsidRDefault="00CA5792" w:rsidP="00B01775">
      <w:pPr>
        <w:spacing w:after="0" w:line="480" w:lineRule="auto"/>
        <w:rPr>
          <w:rFonts w:ascii="Times New Roman" w:eastAsia="Calibri" w:hAnsi="Times New Roman"/>
          <w:lang w:eastAsia="en-US"/>
        </w:rPr>
      </w:pPr>
    </w:p>
    <w:p w14:paraId="688DC95A" w14:textId="77777777" w:rsidR="00B65596" w:rsidRDefault="00B65596" w:rsidP="00B01775">
      <w:pPr>
        <w:spacing w:after="0" w:line="480" w:lineRule="auto"/>
        <w:jc w:val="both"/>
        <w:rPr>
          <w:rFonts w:ascii="Times New Roman" w:eastAsia="Calibri" w:hAnsi="Times New Roman"/>
          <w:lang w:eastAsia="en-US"/>
        </w:rPr>
      </w:pPr>
    </w:p>
    <w:p w14:paraId="7C8DAB55" w14:textId="61F2E944" w:rsidR="00781B92" w:rsidRDefault="00781B92">
      <w:pPr>
        <w:spacing w:after="0"/>
        <w:rPr>
          <w:rFonts w:ascii="Times New Roman" w:eastAsia="Calibri" w:hAnsi="Times New Roman"/>
          <w:lang w:eastAsia="en-US"/>
        </w:rPr>
      </w:pPr>
      <w:r>
        <w:rPr>
          <w:rFonts w:ascii="Times New Roman" w:eastAsia="Calibri" w:hAnsi="Times New Roman"/>
          <w:lang w:eastAsia="en-US"/>
        </w:rPr>
        <w:br w:type="page"/>
      </w:r>
    </w:p>
    <w:p w14:paraId="60230452" w14:textId="18208DE9" w:rsidR="004C264B" w:rsidRPr="005916FB" w:rsidRDefault="004C264B" w:rsidP="001C6B1A">
      <w:pPr>
        <w:pStyle w:val="Prrafodelista"/>
        <w:numPr>
          <w:ilvl w:val="0"/>
          <w:numId w:val="8"/>
        </w:numPr>
        <w:spacing w:after="0" w:line="240" w:lineRule="auto"/>
        <w:ind w:left="1985" w:hanging="1341"/>
        <w:jc w:val="both"/>
        <w:rPr>
          <w:rFonts w:ascii="Times New Roman" w:hAnsi="Times New Roman"/>
          <w:sz w:val="24"/>
          <w:szCs w:val="24"/>
        </w:rPr>
      </w:pPr>
      <w:r w:rsidRPr="005916FB">
        <w:rPr>
          <w:rFonts w:ascii="Times New Roman" w:hAnsi="Times New Roman"/>
          <w:b/>
          <w:bCs/>
          <w:sz w:val="24"/>
          <w:szCs w:val="24"/>
        </w:rPr>
        <w:lastRenderedPageBreak/>
        <w:t>Notificaciones por residuos de plaguicidas desde los Estados Unidos y Unión Europea</w:t>
      </w:r>
    </w:p>
    <w:p w14:paraId="3A699E99" w14:textId="77777777" w:rsidR="004C264B" w:rsidRPr="006B7613" w:rsidRDefault="004C264B" w:rsidP="004C264B">
      <w:pPr>
        <w:pStyle w:val="Prrafodelista"/>
        <w:spacing w:line="480" w:lineRule="auto"/>
        <w:ind w:left="0"/>
        <w:jc w:val="both"/>
        <w:rPr>
          <w:rFonts w:ascii="Times New Roman" w:hAnsi="Times New Roman"/>
          <w:sz w:val="24"/>
          <w:szCs w:val="24"/>
        </w:rPr>
      </w:pPr>
      <w:r>
        <w:rPr>
          <w:noProof/>
          <w:lang w:eastAsia="es-DO"/>
        </w:rPr>
        <w:drawing>
          <wp:inline distT="0" distB="0" distL="0" distR="0" wp14:anchorId="7D61EF1D" wp14:editId="7D4EB1C8">
            <wp:extent cx="5543550" cy="2647950"/>
            <wp:effectExtent l="0" t="0" r="0" b="0"/>
            <wp:docPr id="162" name="Gráfico 1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0F62123" w14:textId="7A232B5A" w:rsidR="004C264B" w:rsidRDefault="004C264B" w:rsidP="004C264B">
      <w:pPr>
        <w:pStyle w:val="Prrafodelista"/>
        <w:spacing w:after="0" w:line="480" w:lineRule="auto"/>
        <w:ind w:left="0"/>
        <w:jc w:val="both"/>
        <w:rPr>
          <w:rFonts w:ascii="Times New Roman" w:hAnsi="Times New Roman"/>
          <w:sz w:val="24"/>
          <w:szCs w:val="24"/>
          <w:lang w:val="es-ES_tradnl"/>
        </w:rPr>
      </w:pPr>
    </w:p>
    <w:p w14:paraId="0868398E" w14:textId="77777777" w:rsidR="005916FB" w:rsidRPr="0098414F" w:rsidRDefault="005916FB" w:rsidP="005916FB">
      <w:pPr>
        <w:pStyle w:val="Prrafodelista"/>
        <w:spacing w:after="0" w:line="480" w:lineRule="auto"/>
        <w:ind w:left="284" w:firstLine="425"/>
        <w:jc w:val="both"/>
        <w:rPr>
          <w:rFonts w:ascii="Times New Roman" w:eastAsia="Times New Roman" w:hAnsi="Times New Roman"/>
          <w:b/>
          <w:sz w:val="28"/>
          <w:szCs w:val="24"/>
          <w:lang w:eastAsia="ja-JP"/>
        </w:rPr>
      </w:pPr>
      <w:r w:rsidRPr="0098414F">
        <w:rPr>
          <w:rFonts w:ascii="Times New Roman" w:eastAsia="Times New Roman" w:hAnsi="Times New Roman"/>
          <w:b/>
          <w:sz w:val="28"/>
          <w:szCs w:val="24"/>
          <w:lang w:eastAsia="ja-JP"/>
        </w:rPr>
        <w:t>Notificaciones de plagas</w:t>
      </w:r>
    </w:p>
    <w:p w14:paraId="2174A75F" w14:textId="77777777" w:rsidR="005916FB" w:rsidRDefault="005916FB" w:rsidP="005916FB">
      <w:pPr>
        <w:spacing w:after="0" w:line="480" w:lineRule="auto"/>
        <w:ind w:firstLine="720"/>
        <w:jc w:val="both"/>
        <w:rPr>
          <w:rFonts w:ascii="Times New Roman" w:hAnsi="Times New Roman"/>
        </w:rPr>
      </w:pPr>
      <w:r w:rsidRPr="00CC5362">
        <w:rPr>
          <w:rFonts w:ascii="Times New Roman" w:hAnsi="Times New Roman"/>
        </w:rPr>
        <w:t>Las notificaciones por presencia de plagas realizadas por la Unión Europea sobre productos de origen dominicano en puertos internacionales se redujeron en un 63% con relación al año 2018, al pasar de 117 a 72 en 2019, mientras que las notificaciones por presencia de plagas realizadas por los Estados Unidos sobre productos de origen dominicano en puertos internacionales aumentaron ligeramente en un 2%,</w:t>
      </w:r>
      <w:r w:rsidRPr="00CC5362">
        <w:rPr>
          <w:rFonts w:ascii="Times New Roman" w:hAnsi="Times New Roman"/>
          <w:i/>
        </w:rPr>
        <w:t xml:space="preserve"> (ODS 2.5c.1)</w:t>
      </w:r>
      <w:r w:rsidRPr="00CC5362">
        <w:rPr>
          <w:rFonts w:ascii="Times New Roman" w:hAnsi="Times New Roman"/>
        </w:rPr>
        <w:t>.</w:t>
      </w:r>
    </w:p>
    <w:p w14:paraId="32430AAA" w14:textId="0DAA25D6" w:rsidR="00781B92" w:rsidRDefault="00781B92">
      <w:pPr>
        <w:spacing w:after="0"/>
        <w:rPr>
          <w:rFonts w:ascii="Times New Roman" w:eastAsia="Calibri" w:hAnsi="Times New Roman"/>
          <w:lang w:eastAsia="en-US"/>
        </w:rPr>
      </w:pPr>
      <w:r>
        <w:rPr>
          <w:rFonts w:ascii="Times New Roman" w:hAnsi="Times New Roman"/>
        </w:rPr>
        <w:br w:type="page"/>
      </w:r>
    </w:p>
    <w:p w14:paraId="4CAAE4D7" w14:textId="12A6D03B" w:rsidR="00B976FA" w:rsidRPr="001751C7" w:rsidRDefault="00B976FA" w:rsidP="001C6B1A">
      <w:pPr>
        <w:pStyle w:val="Prrafodelista"/>
        <w:numPr>
          <w:ilvl w:val="0"/>
          <w:numId w:val="8"/>
        </w:numPr>
        <w:spacing w:after="0" w:line="240" w:lineRule="auto"/>
        <w:ind w:left="1985" w:hanging="1341"/>
        <w:jc w:val="both"/>
        <w:rPr>
          <w:rFonts w:ascii="Times New Roman" w:hAnsi="Times New Roman"/>
          <w:sz w:val="24"/>
          <w:szCs w:val="24"/>
        </w:rPr>
      </w:pPr>
      <w:r w:rsidRPr="0098414F">
        <w:rPr>
          <w:rFonts w:ascii="Times New Roman" w:hAnsi="Times New Roman"/>
          <w:b/>
          <w:bCs/>
          <w:sz w:val="24"/>
          <w:szCs w:val="24"/>
        </w:rPr>
        <w:lastRenderedPageBreak/>
        <w:t>Notificaciones por residuos plagas</w:t>
      </w:r>
      <w:r w:rsidR="006B7613">
        <w:rPr>
          <w:rFonts w:ascii="Times New Roman" w:hAnsi="Times New Roman"/>
          <w:b/>
          <w:bCs/>
          <w:sz w:val="24"/>
          <w:szCs w:val="24"/>
        </w:rPr>
        <w:t xml:space="preserve"> </w:t>
      </w:r>
      <w:r w:rsidR="004C264B">
        <w:rPr>
          <w:rFonts w:ascii="Times New Roman" w:hAnsi="Times New Roman"/>
          <w:b/>
          <w:bCs/>
          <w:sz w:val="24"/>
          <w:szCs w:val="24"/>
        </w:rPr>
        <w:t>d</w:t>
      </w:r>
      <w:r w:rsidR="006B7613">
        <w:rPr>
          <w:rFonts w:ascii="Times New Roman" w:hAnsi="Times New Roman"/>
          <w:b/>
          <w:bCs/>
          <w:sz w:val="24"/>
          <w:szCs w:val="24"/>
        </w:rPr>
        <w:t>esde la Unión Europea</w:t>
      </w:r>
      <w:r w:rsidR="001751C7">
        <w:rPr>
          <w:rFonts w:ascii="Times New Roman" w:hAnsi="Times New Roman"/>
          <w:b/>
          <w:bCs/>
          <w:sz w:val="24"/>
          <w:szCs w:val="24"/>
        </w:rPr>
        <w:t xml:space="preserve"> y Estados Unidos</w:t>
      </w:r>
    </w:p>
    <w:p w14:paraId="6E072563" w14:textId="424B12EE" w:rsidR="00A47882" w:rsidRDefault="001751C7" w:rsidP="00A47882">
      <w:pPr>
        <w:spacing w:after="0"/>
        <w:ind w:left="644"/>
        <w:rPr>
          <w:rFonts w:ascii="Times New Roman" w:hAnsi="Times New Roman"/>
        </w:rPr>
      </w:pPr>
      <w:r>
        <w:rPr>
          <w:noProof/>
          <w:lang w:eastAsia="es-DO"/>
        </w:rPr>
        <w:drawing>
          <wp:inline distT="0" distB="0" distL="0" distR="0" wp14:anchorId="27C4015E" wp14:editId="4F073A18">
            <wp:extent cx="5248275" cy="2667000"/>
            <wp:effectExtent l="0" t="0" r="0" b="0"/>
            <wp:docPr id="160" name="Gráfico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5940FB2" w14:textId="63F37947" w:rsidR="00B10A65" w:rsidRDefault="00B10A65" w:rsidP="00F73FE8">
      <w:pPr>
        <w:spacing w:after="0" w:line="480" w:lineRule="auto"/>
        <w:rPr>
          <w:rFonts w:ascii="Times New Roman" w:eastAsia="Calibri" w:hAnsi="Times New Roman"/>
          <w:lang w:val="es-ES_tradnl" w:eastAsia="en-US"/>
        </w:rPr>
      </w:pPr>
    </w:p>
    <w:p w14:paraId="1C63D07C" w14:textId="38B445D3" w:rsidR="00ED3002" w:rsidRPr="00AE65E6" w:rsidRDefault="002C75E0" w:rsidP="00CA5792">
      <w:pPr>
        <w:pStyle w:val="Ttulo3"/>
      </w:pPr>
      <w:bookmarkStart w:id="139" w:name="_Toc26292047"/>
      <w:bookmarkStart w:id="140" w:name="_Toc27146750"/>
      <w:r>
        <w:t>Programa de s</w:t>
      </w:r>
      <w:r w:rsidR="00530E9A" w:rsidRPr="00AE65E6">
        <w:t>ervicios de distr</w:t>
      </w:r>
      <w:r w:rsidR="00E6714E" w:rsidRPr="00AE65E6">
        <w:t>ibución de material de siembra.</w:t>
      </w:r>
      <w:bookmarkEnd w:id="139"/>
      <w:bookmarkEnd w:id="140"/>
    </w:p>
    <w:p w14:paraId="29A9992D" w14:textId="77777777" w:rsidR="00782488" w:rsidRDefault="00782488" w:rsidP="00B65596">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3C41F838" w14:textId="300BC7B7" w:rsidR="00530E9A" w:rsidRDefault="00530E9A" w:rsidP="00B65596">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340FB4">
        <w:rPr>
          <w:rFonts w:ascii="Times New Roman" w:hAnsi="Times New Roman"/>
          <w:lang w:val="es-ES_tradnl"/>
        </w:rPr>
        <w:t>Con el prop</w:t>
      </w:r>
      <w:r w:rsidR="001353C1" w:rsidRPr="00340FB4">
        <w:rPr>
          <w:rFonts w:ascii="Times New Roman" w:hAnsi="Times New Roman"/>
          <w:lang w:val="es-ES_tradnl"/>
        </w:rPr>
        <w:t>ósito de dinamizar e</w:t>
      </w:r>
      <w:r w:rsidR="00025888" w:rsidRPr="00340FB4">
        <w:rPr>
          <w:rFonts w:ascii="Times New Roman" w:hAnsi="Times New Roman"/>
          <w:lang w:val="es-ES_tradnl"/>
        </w:rPr>
        <w:t xml:space="preserve"> </w:t>
      </w:r>
      <w:r w:rsidRPr="00340FB4">
        <w:rPr>
          <w:rFonts w:ascii="Times New Roman" w:hAnsi="Times New Roman"/>
          <w:lang w:val="es-ES_tradnl"/>
        </w:rPr>
        <w:t xml:space="preserve">incentivar </w:t>
      </w:r>
      <w:r w:rsidR="00025888" w:rsidRPr="00340FB4">
        <w:rPr>
          <w:rFonts w:ascii="Times New Roman" w:hAnsi="Times New Roman"/>
          <w:lang w:val="es-ES_tradnl"/>
        </w:rPr>
        <w:t>la producción agrícola</w:t>
      </w:r>
      <w:r w:rsidRPr="00340FB4">
        <w:rPr>
          <w:rFonts w:ascii="Times New Roman" w:hAnsi="Times New Roman"/>
          <w:lang w:val="es-ES_tradnl"/>
        </w:rPr>
        <w:t>, el Ministerio de Agricultura entreg</w:t>
      </w:r>
      <w:r w:rsidR="009F560F" w:rsidRPr="00340FB4">
        <w:rPr>
          <w:rFonts w:ascii="Times New Roman" w:hAnsi="Times New Roman"/>
          <w:lang w:val="es-ES_tradnl"/>
        </w:rPr>
        <w:t xml:space="preserve">ó </w:t>
      </w:r>
      <w:r w:rsidRPr="00340FB4">
        <w:rPr>
          <w:rFonts w:ascii="Times New Roman" w:hAnsi="Times New Roman"/>
          <w:lang w:val="es-ES_tradnl"/>
        </w:rPr>
        <w:t>semillas</w:t>
      </w:r>
      <w:r w:rsidR="00ED3002" w:rsidRPr="00340FB4">
        <w:rPr>
          <w:rFonts w:ascii="Times New Roman" w:hAnsi="Times New Roman"/>
          <w:lang w:val="es-ES_tradnl"/>
        </w:rPr>
        <w:t xml:space="preserve"> de alta calidad</w:t>
      </w:r>
      <w:r w:rsidRPr="00340FB4">
        <w:rPr>
          <w:rFonts w:ascii="Times New Roman" w:hAnsi="Times New Roman"/>
          <w:lang w:val="es-ES_tradnl"/>
        </w:rPr>
        <w:t>, esquejes y plántulas de divers</w:t>
      </w:r>
      <w:r w:rsidR="00025888" w:rsidRPr="00340FB4">
        <w:rPr>
          <w:rFonts w:ascii="Times New Roman" w:hAnsi="Times New Roman"/>
          <w:lang w:val="es-ES_tradnl"/>
        </w:rPr>
        <w:t xml:space="preserve">as variedades a pequeños y medianos </w:t>
      </w:r>
      <w:r w:rsidR="00FE7E39" w:rsidRPr="00340FB4">
        <w:rPr>
          <w:rFonts w:ascii="Times New Roman" w:hAnsi="Times New Roman"/>
          <w:lang w:val="es-ES_tradnl"/>
        </w:rPr>
        <w:t>productores, permitiendo garantizar la siembra nacional de los diversos rubros</w:t>
      </w:r>
      <w:r w:rsidR="00025888" w:rsidRPr="00340FB4">
        <w:rPr>
          <w:rFonts w:ascii="Times New Roman" w:hAnsi="Times New Roman"/>
          <w:lang w:val="es-ES_tradnl"/>
        </w:rPr>
        <w:t xml:space="preserve"> que componen la canasta básica alimenticia</w:t>
      </w:r>
      <w:r w:rsidR="00FE7E39" w:rsidRPr="00340FB4">
        <w:rPr>
          <w:rFonts w:ascii="Times New Roman" w:hAnsi="Times New Roman"/>
          <w:lang w:val="es-ES_tradnl"/>
        </w:rPr>
        <w:t xml:space="preserve"> al tiempo de contribuir con la soberanía alimentaria.</w:t>
      </w:r>
    </w:p>
    <w:p w14:paraId="4EF98328" w14:textId="25FECCA8" w:rsidR="007261AC" w:rsidRDefault="007261AC" w:rsidP="00B65596">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7236765E" w14:textId="49EE5448" w:rsidR="007261AC" w:rsidRDefault="007261AC" w:rsidP="007261AC">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340FB4">
        <w:rPr>
          <w:rFonts w:ascii="Times New Roman" w:hAnsi="Times New Roman"/>
          <w:lang w:val="es-ES_tradnl"/>
        </w:rPr>
        <w:t>Adicionalmente se ha apoyado y fomentado la Agricultura Familiar con la entrega de unas 6,277 herramientas menores tales como: picos, palas, machetes, carretillas y limas a agricultores familiares para las labores culturales del material de siembra distribuido, así como a diferentes organizaciones e instituciones del territorio nacional.</w:t>
      </w:r>
    </w:p>
    <w:p w14:paraId="035BF2A9" w14:textId="77777777" w:rsidR="00233B39" w:rsidRDefault="00233B39" w:rsidP="007261AC">
      <w:pPr>
        <w:widowControl w:val="0"/>
        <w:tabs>
          <w:tab w:val="left" w:pos="630"/>
        </w:tabs>
        <w:autoSpaceDE w:val="0"/>
        <w:autoSpaceDN w:val="0"/>
        <w:adjustRightInd w:val="0"/>
        <w:spacing w:after="0" w:line="480" w:lineRule="auto"/>
        <w:ind w:firstLine="720"/>
        <w:contextualSpacing/>
        <w:jc w:val="both"/>
        <w:rPr>
          <w:rFonts w:ascii="Times New Roman" w:hAnsi="Times New Roman"/>
          <w:highlight w:val="yellow"/>
          <w:lang w:val="es-ES_tradnl"/>
        </w:rPr>
      </w:pPr>
    </w:p>
    <w:p w14:paraId="3AFE1A2E" w14:textId="5B9DFA71" w:rsidR="007261AC" w:rsidRPr="0075382F" w:rsidRDefault="007261AC" w:rsidP="007261AC">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75382F">
        <w:rPr>
          <w:rFonts w:ascii="Times New Roman" w:hAnsi="Times New Roman"/>
          <w:lang w:val="es-ES_tradnl"/>
        </w:rPr>
        <w:lastRenderedPageBreak/>
        <w:t>En el marco del programa de Agricultura Familiar se han distribuido unas 5,000 cepas de plátanos y 12,000 plantas de cacao a agricultores familiares de las comunidades del Distrito Municipal de Rio Grande, Altamira.</w:t>
      </w:r>
    </w:p>
    <w:p w14:paraId="49DC47A5" w14:textId="71076E1D" w:rsidR="00570ADB" w:rsidRDefault="00570ADB" w:rsidP="00613843">
      <w:pPr>
        <w:spacing w:after="0" w:line="360" w:lineRule="auto"/>
        <w:rPr>
          <w:rFonts w:ascii="Times New Roman" w:hAnsi="Times New Roman"/>
          <w:lang w:val="es-ES_tradnl"/>
        </w:rPr>
      </w:pPr>
    </w:p>
    <w:p w14:paraId="451834F6" w14:textId="4B4CB13B" w:rsidR="00AC65A9" w:rsidRDefault="00AC65A9" w:rsidP="00AC65A9">
      <w:pPr>
        <w:pStyle w:val="Ttulo3"/>
      </w:pPr>
      <w:bookmarkStart w:id="141" w:name="_Toc27146751"/>
      <w:r>
        <w:t>Servicios de licencias en el sector pesquero y acuícola</w:t>
      </w:r>
      <w:bookmarkEnd w:id="141"/>
    </w:p>
    <w:p w14:paraId="6A66155B" w14:textId="77777777" w:rsidR="00782488" w:rsidRDefault="00782488" w:rsidP="00AC65A9">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52835B77" w14:textId="42145D16" w:rsidR="00AC65A9" w:rsidRDefault="00AC65A9" w:rsidP="00AC65A9">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Pr>
          <w:rFonts w:ascii="Times New Roman" w:hAnsi="Times New Roman"/>
          <w:lang w:val="es-ES_tradnl"/>
        </w:rPr>
        <w:t>A través del Consejo Dominicano de Pesca y Acuicultura, CODOPESCA, se emiten licencias correspondientes para que los usuarios de los recursos pesqueros aprovechen el sistema de producción costero y aguas interiores sobre la base del marco legal existente, en se sentido se han emitido licencias a pescadores comerciales, deportivos, embarcaciones y empresas pesqueras entre otros como se detalla en la siguiente tabla:</w:t>
      </w:r>
    </w:p>
    <w:p w14:paraId="2243DEF3" w14:textId="77777777" w:rsidR="001C2B3B" w:rsidRDefault="001C2B3B" w:rsidP="00AC65A9">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27A0F4B2" w14:textId="11324819" w:rsidR="001C2B3B" w:rsidRPr="001C2B3B" w:rsidRDefault="001C2B3B" w:rsidP="001C2B3B">
      <w:pPr>
        <w:pStyle w:val="Prrafodelista"/>
        <w:numPr>
          <w:ilvl w:val="0"/>
          <w:numId w:val="9"/>
        </w:numPr>
        <w:spacing w:after="0"/>
        <w:ind w:left="567" w:hanging="567"/>
        <w:rPr>
          <w:rFonts w:ascii="Times New Roman" w:hAnsi="Times New Roman"/>
          <w:sz w:val="24"/>
          <w:lang w:val="es-ES_tradnl"/>
        </w:rPr>
      </w:pPr>
      <w:r w:rsidRPr="0098414F">
        <w:rPr>
          <w:rFonts w:ascii="Times New Roman" w:hAnsi="Times New Roman"/>
          <w:b/>
          <w:sz w:val="24"/>
          <w:lang w:val="es-ES_tradnl"/>
        </w:rPr>
        <w:t xml:space="preserve">Relación </w:t>
      </w:r>
      <w:r>
        <w:rPr>
          <w:rFonts w:ascii="Times New Roman" w:hAnsi="Times New Roman"/>
          <w:b/>
          <w:sz w:val="24"/>
          <w:lang w:val="es-ES_tradnl"/>
        </w:rPr>
        <w:t>de licencias emitidas</w:t>
      </w:r>
    </w:p>
    <w:p w14:paraId="51049576" w14:textId="77777777" w:rsidR="001C2B3B" w:rsidRPr="00DC410F" w:rsidRDefault="001C2B3B" w:rsidP="001C2B3B">
      <w:pPr>
        <w:pStyle w:val="Prrafodelista"/>
        <w:spacing w:after="0"/>
        <w:ind w:left="567"/>
        <w:rPr>
          <w:rFonts w:ascii="Times New Roman" w:hAnsi="Times New Roman"/>
          <w:sz w:val="24"/>
          <w:lang w:val="es-ES_tradnl"/>
        </w:rPr>
      </w:pPr>
    </w:p>
    <w:tbl>
      <w:tblPr>
        <w:tblW w:w="6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2"/>
        <w:gridCol w:w="1337"/>
      </w:tblGrid>
      <w:tr w:rsidR="00AC65A9" w:rsidRPr="00AC65A9" w14:paraId="46BAF922" w14:textId="77777777" w:rsidTr="00AC65A9">
        <w:trPr>
          <w:trHeight w:val="315"/>
          <w:jc w:val="center"/>
        </w:trPr>
        <w:tc>
          <w:tcPr>
            <w:tcW w:w="5022" w:type="dxa"/>
            <w:shd w:val="clear" w:color="auto" w:fill="00B050"/>
            <w:noWrap/>
            <w:vAlign w:val="center"/>
            <w:hideMark/>
          </w:tcPr>
          <w:p w14:paraId="5EBF4647" w14:textId="77777777" w:rsidR="00AC65A9" w:rsidRPr="00AC65A9" w:rsidRDefault="00AC65A9" w:rsidP="00AC65A9">
            <w:pPr>
              <w:spacing w:after="0"/>
              <w:jc w:val="center"/>
              <w:rPr>
                <w:rFonts w:ascii="Times New Roman" w:hAnsi="Times New Roman"/>
                <w:b/>
                <w:bCs/>
                <w:color w:val="FFFFFF" w:themeColor="background1"/>
                <w:sz w:val="28"/>
                <w:szCs w:val="28"/>
                <w:lang w:eastAsia="es-DO"/>
              </w:rPr>
            </w:pPr>
            <w:r w:rsidRPr="00AC65A9">
              <w:rPr>
                <w:rFonts w:ascii="Times New Roman" w:hAnsi="Times New Roman"/>
                <w:b/>
                <w:bCs/>
                <w:color w:val="FFFFFF" w:themeColor="background1"/>
                <w:sz w:val="28"/>
                <w:szCs w:val="28"/>
                <w:lang w:eastAsia="es-DO"/>
              </w:rPr>
              <w:t>Concepto</w:t>
            </w:r>
          </w:p>
        </w:tc>
        <w:tc>
          <w:tcPr>
            <w:tcW w:w="1337" w:type="dxa"/>
            <w:shd w:val="clear" w:color="auto" w:fill="00B050"/>
            <w:noWrap/>
            <w:vAlign w:val="center"/>
            <w:hideMark/>
          </w:tcPr>
          <w:p w14:paraId="6AF7FD3D" w14:textId="77777777" w:rsidR="00AC65A9" w:rsidRPr="00AC65A9" w:rsidRDefault="00AC65A9" w:rsidP="00AC65A9">
            <w:pPr>
              <w:spacing w:after="0"/>
              <w:jc w:val="center"/>
              <w:rPr>
                <w:rFonts w:ascii="Times New Roman" w:hAnsi="Times New Roman"/>
                <w:b/>
                <w:bCs/>
                <w:color w:val="FFFFFF" w:themeColor="background1"/>
                <w:sz w:val="28"/>
                <w:szCs w:val="28"/>
                <w:lang w:eastAsia="es-DO"/>
              </w:rPr>
            </w:pPr>
            <w:r w:rsidRPr="00AC65A9">
              <w:rPr>
                <w:rFonts w:ascii="Times New Roman" w:hAnsi="Times New Roman"/>
                <w:b/>
                <w:bCs/>
                <w:color w:val="FFFFFF" w:themeColor="background1"/>
                <w:sz w:val="28"/>
                <w:szCs w:val="28"/>
                <w:lang w:eastAsia="es-DO"/>
              </w:rPr>
              <w:t>Cantidad</w:t>
            </w:r>
          </w:p>
        </w:tc>
      </w:tr>
      <w:tr w:rsidR="00AC65A9" w:rsidRPr="00AC65A9" w14:paraId="2DB5F990" w14:textId="77777777" w:rsidTr="00AC65A9">
        <w:trPr>
          <w:trHeight w:val="315"/>
          <w:jc w:val="center"/>
        </w:trPr>
        <w:tc>
          <w:tcPr>
            <w:tcW w:w="5022" w:type="dxa"/>
            <w:shd w:val="clear" w:color="auto" w:fill="auto"/>
            <w:noWrap/>
            <w:hideMark/>
          </w:tcPr>
          <w:p w14:paraId="0DF45D74" w14:textId="77777777" w:rsidR="00AC65A9" w:rsidRPr="00AC65A9" w:rsidRDefault="00AC65A9" w:rsidP="00AC65A9">
            <w:pPr>
              <w:spacing w:after="0"/>
              <w:rPr>
                <w:rFonts w:ascii="Times New Roman" w:hAnsi="Times New Roman"/>
                <w:bCs/>
                <w:sz w:val="28"/>
                <w:szCs w:val="28"/>
                <w:lang w:eastAsia="es-DO"/>
              </w:rPr>
            </w:pPr>
            <w:r w:rsidRPr="00AC65A9">
              <w:rPr>
                <w:rFonts w:ascii="Times New Roman" w:hAnsi="Times New Roman"/>
                <w:bCs/>
                <w:sz w:val="28"/>
                <w:szCs w:val="28"/>
                <w:lang w:eastAsia="es-DO"/>
              </w:rPr>
              <w:t>Licencia de Pescador (comercial)</w:t>
            </w:r>
          </w:p>
        </w:tc>
        <w:tc>
          <w:tcPr>
            <w:tcW w:w="1337" w:type="dxa"/>
            <w:shd w:val="clear" w:color="auto" w:fill="auto"/>
            <w:noWrap/>
            <w:vAlign w:val="center"/>
            <w:hideMark/>
          </w:tcPr>
          <w:p w14:paraId="72B1E548" w14:textId="77777777" w:rsidR="00AC65A9" w:rsidRPr="00AC65A9" w:rsidRDefault="00AC65A9" w:rsidP="00AC65A9">
            <w:pPr>
              <w:spacing w:after="0"/>
              <w:jc w:val="center"/>
              <w:rPr>
                <w:rFonts w:ascii="Times New Roman" w:hAnsi="Times New Roman"/>
                <w:sz w:val="28"/>
                <w:szCs w:val="28"/>
                <w:lang w:eastAsia="es-DO"/>
              </w:rPr>
            </w:pPr>
            <w:r w:rsidRPr="00AC65A9">
              <w:rPr>
                <w:rFonts w:ascii="Times New Roman" w:hAnsi="Times New Roman"/>
                <w:sz w:val="28"/>
                <w:szCs w:val="28"/>
                <w:lang w:eastAsia="es-DO"/>
              </w:rPr>
              <w:t>457</w:t>
            </w:r>
          </w:p>
        </w:tc>
      </w:tr>
      <w:tr w:rsidR="00AC65A9" w:rsidRPr="00AC65A9" w14:paraId="030DE96D" w14:textId="77777777" w:rsidTr="00AC65A9">
        <w:trPr>
          <w:trHeight w:val="300"/>
          <w:jc w:val="center"/>
        </w:trPr>
        <w:tc>
          <w:tcPr>
            <w:tcW w:w="5022" w:type="dxa"/>
            <w:shd w:val="clear" w:color="auto" w:fill="auto"/>
            <w:noWrap/>
          </w:tcPr>
          <w:p w14:paraId="3933CD46" w14:textId="77777777" w:rsidR="00AC65A9" w:rsidRPr="00AC65A9" w:rsidRDefault="00AC65A9" w:rsidP="00AC65A9">
            <w:pPr>
              <w:spacing w:after="0"/>
              <w:rPr>
                <w:rFonts w:ascii="Times New Roman" w:hAnsi="Times New Roman"/>
                <w:bCs/>
                <w:sz w:val="28"/>
                <w:szCs w:val="28"/>
                <w:lang w:eastAsia="es-DO"/>
              </w:rPr>
            </w:pPr>
            <w:r w:rsidRPr="00AC65A9">
              <w:rPr>
                <w:rFonts w:ascii="Times New Roman" w:hAnsi="Times New Roman"/>
                <w:bCs/>
                <w:sz w:val="28"/>
                <w:szCs w:val="28"/>
                <w:lang w:eastAsia="es-DO"/>
              </w:rPr>
              <w:t>Licencia de Pescador (Deportivo)</w:t>
            </w:r>
          </w:p>
        </w:tc>
        <w:tc>
          <w:tcPr>
            <w:tcW w:w="1337" w:type="dxa"/>
            <w:shd w:val="clear" w:color="auto" w:fill="auto"/>
            <w:noWrap/>
            <w:vAlign w:val="center"/>
          </w:tcPr>
          <w:p w14:paraId="1356C69B" w14:textId="77777777" w:rsidR="00AC65A9" w:rsidRPr="00AC65A9" w:rsidRDefault="00AC65A9" w:rsidP="00AC65A9">
            <w:pPr>
              <w:spacing w:after="0"/>
              <w:jc w:val="center"/>
              <w:rPr>
                <w:rFonts w:ascii="Times New Roman" w:hAnsi="Times New Roman"/>
                <w:sz w:val="28"/>
                <w:szCs w:val="28"/>
                <w:lang w:eastAsia="es-DO"/>
              </w:rPr>
            </w:pPr>
            <w:r w:rsidRPr="00AC65A9">
              <w:rPr>
                <w:rFonts w:ascii="Times New Roman" w:hAnsi="Times New Roman"/>
                <w:sz w:val="28"/>
                <w:szCs w:val="28"/>
                <w:lang w:eastAsia="es-DO"/>
              </w:rPr>
              <w:t>0</w:t>
            </w:r>
          </w:p>
        </w:tc>
      </w:tr>
      <w:tr w:rsidR="00AC65A9" w:rsidRPr="00AC65A9" w14:paraId="2413AA6F" w14:textId="77777777" w:rsidTr="00AC65A9">
        <w:trPr>
          <w:trHeight w:val="300"/>
          <w:jc w:val="center"/>
        </w:trPr>
        <w:tc>
          <w:tcPr>
            <w:tcW w:w="5022" w:type="dxa"/>
            <w:shd w:val="clear" w:color="auto" w:fill="auto"/>
            <w:noWrap/>
            <w:hideMark/>
          </w:tcPr>
          <w:p w14:paraId="47C0A827" w14:textId="3613190B" w:rsidR="00AC65A9" w:rsidRPr="00AC65A9" w:rsidRDefault="00AC65A9" w:rsidP="00AC65A9">
            <w:pPr>
              <w:spacing w:after="0"/>
              <w:rPr>
                <w:rFonts w:ascii="Times New Roman" w:hAnsi="Times New Roman"/>
                <w:bCs/>
                <w:sz w:val="28"/>
                <w:szCs w:val="28"/>
                <w:lang w:eastAsia="es-DO"/>
              </w:rPr>
            </w:pPr>
            <w:r>
              <w:rPr>
                <w:rFonts w:ascii="Times New Roman" w:hAnsi="Times New Roman"/>
                <w:bCs/>
                <w:sz w:val="28"/>
                <w:szCs w:val="28"/>
                <w:lang w:eastAsia="es-DO"/>
              </w:rPr>
              <w:t xml:space="preserve">Licencia </w:t>
            </w:r>
            <w:r w:rsidRPr="00AC65A9">
              <w:rPr>
                <w:rFonts w:ascii="Times New Roman" w:hAnsi="Times New Roman"/>
                <w:bCs/>
                <w:sz w:val="28"/>
                <w:szCs w:val="28"/>
                <w:lang w:eastAsia="es-DO"/>
              </w:rPr>
              <w:t>de embarcación</w:t>
            </w:r>
          </w:p>
        </w:tc>
        <w:tc>
          <w:tcPr>
            <w:tcW w:w="1337" w:type="dxa"/>
            <w:shd w:val="clear" w:color="auto" w:fill="auto"/>
            <w:noWrap/>
            <w:vAlign w:val="center"/>
            <w:hideMark/>
          </w:tcPr>
          <w:p w14:paraId="44FFCACB" w14:textId="77777777" w:rsidR="00AC65A9" w:rsidRPr="00AC65A9" w:rsidRDefault="00AC65A9" w:rsidP="00AC65A9">
            <w:pPr>
              <w:spacing w:after="0"/>
              <w:jc w:val="center"/>
              <w:rPr>
                <w:rFonts w:ascii="Times New Roman" w:hAnsi="Times New Roman"/>
                <w:sz w:val="28"/>
                <w:szCs w:val="28"/>
                <w:lang w:eastAsia="es-DO"/>
              </w:rPr>
            </w:pPr>
            <w:r w:rsidRPr="00AC65A9">
              <w:rPr>
                <w:rFonts w:ascii="Times New Roman" w:hAnsi="Times New Roman"/>
                <w:sz w:val="28"/>
                <w:szCs w:val="28"/>
                <w:lang w:eastAsia="es-DO"/>
              </w:rPr>
              <w:t>0</w:t>
            </w:r>
          </w:p>
        </w:tc>
      </w:tr>
      <w:tr w:rsidR="00AC65A9" w:rsidRPr="00AC65A9" w14:paraId="0B72993D" w14:textId="77777777" w:rsidTr="00AC65A9">
        <w:trPr>
          <w:trHeight w:val="300"/>
          <w:jc w:val="center"/>
        </w:trPr>
        <w:tc>
          <w:tcPr>
            <w:tcW w:w="5022" w:type="dxa"/>
            <w:shd w:val="clear" w:color="auto" w:fill="auto"/>
            <w:noWrap/>
            <w:hideMark/>
          </w:tcPr>
          <w:p w14:paraId="217E3240" w14:textId="18EDA248" w:rsidR="00AC65A9" w:rsidRPr="00AC65A9" w:rsidRDefault="00AC65A9" w:rsidP="00AC65A9">
            <w:pPr>
              <w:spacing w:after="0"/>
              <w:rPr>
                <w:rFonts w:ascii="Times New Roman" w:hAnsi="Times New Roman"/>
                <w:bCs/>
                <w:sz w:val="28"/>
                <w:szCs w:val="28"/>
                <w:lang w:eastAsia="es-DO"/>
              </w:rPr>
            </w:pPr>
            <w:r>
              <w:rPr>
                <w:rFonts w:ascii="Times New Roman" w:hAnsi="Times New Roman"/>
                <w:bCs/>
                <w:sz w:val="28"/>
                <w:szCs w:val="28"/>
                <w:lang w:eastAsia="es-DO"/>
              </w:rPr>
              <w:t xml:space="preserve">Licencia </w:t>
            </w:r>
            <w:r w:rsidRPr="00AC65A9">
              <w:rPr>
                <w:rFonts w:ascii="Times New Roman" w:hAnsi="Times New Roman"/>
                <w:bCs/>
                <w:sz w:val="28"/>
                <w:szCs w:val="28"/>
                <w:lang w:eastAsia="es-DO"/>
              </w:rPr>
              <w:t>de explotación Pesquera</w:t>
            </w:r>
          </w:p>
        </w:tc>
        <w:tc>
          <w:tcPr>
            <w:tcW w:w="1337" w:type="dxa"/>
            <w:shd w:val="clear" w:color="auto" w:fill="auto"/>
            <w:noWrap/>
            <w:vAlign w:val="center"/>
            <w:hideMark/>
          </w:tcPr>
          <w:p w14:paraId="015A977F" w14:textId="77777777" w:rsidR="00AC65A9" w:rsidRPr="00AC65A9" w:rsidRDefault="00AC65A9" w:rsidP="00AC65A9">
            <w:pPr>
              <w:spacing w:after="0"/>
              <w:jc w:val="center"/>
              <w:rPr>
                <w:rFonts w:ascii="Times New Roman" w:hAnsi="Times New Roman"/>
                <w:sz w:val="28"/>
                <w:szCs w:val="28"/>
                <w:lang w:eastAsia="es-DO"/>
              </w:rPr>
            </w:pPr>
            <w:r w:rsidRPr="00AC65A9">
              <w:rPr>
                <w:rFonts w:ascii="Times New Roman" w:hAnsi="Times New Roman"/>
                <w:sz w:val="28"/>
                <w:szCs w:val="28"/>
                <w:lang w:eastAsia="es-DO"/>
              </w:rPr>
              <w:t>24</w:t>
            </w:r>
          </w:p>
        </w:tc>
      </w:tr>
      <w:tr w:rsidR="00AC65A9" w:rsidRPr="00AC65A9" w14:paraId="09A407E1" w14:textId="77777777" w:rsidTr="00AC65A9">
        <w:trPr>
          <w:trHeight w:val="300"/>
          <w:jc w:val="center"/>
        </w:trPr>
        <w:tc>
          <w:tcPr>
            <w:tcW w:w="5022" w:type="dxa"/>
            <w:shd w:val="clear" w:color="auto" w:fill="auto"/>
            <w:noWrap/>
            <w:hideMark/>
          </w:tcPr>
          <w:p w14:paraId="466D722F" w14:textId="77777777" w:rsidR="00AC65A9" w:rsidRPr="00AC65A9" w:rsidRDefault="00AC65A9" w:rsidP="00AC65A9">
            <w:pPr>
              <w:spacing w:after="0"/>
              <w:rPr>
                <w:rFonts w:ascii="Times New Roman" w:hAnsi="Times New Roman"/>
                <w:bCs/>
                <w:sz w:val="28"/>
                <w:szCs w:val="28"/>
                <w:lang w:eastAsia="es-DO"/>
              </w:rPr>
            </w:pPr>
            <w:r w:rsidRPr="00AC65A9">
              <w:rPr>
                <w:rFonts w:ascii="Times New Roman" w:hAnsi="Times New Roman"/>
                <w:bCs/>
                <w:sz w:val="28"/>
                <w:szCs w:val="28"/>
                <w:lang w:eastAsia="es-DO"/>
              </w:rPr>
              <w:t>No objeción Importación vía VUCE</w:t>
            </w:r>
          </w:p>
        </w:tc>
        <w:tc>
          <w:tcPr>
            <w:tcW w:w="1337" w:type="dxa"/>
            <w:shd w:val="clear" w:color="auto" w:fill="auto"/>
            <w:noWrap/>
            <w:vAlign w:val="center"/>
            <w:hideMark/>
          </w:tcPr>
          <w:p w14:paraId="6FC23CD1" w14:textId="77777777" w:rsidR="00AC65A9" w:rsidRPr="00AC65A9" w:rsidRDefault="00AC65A9" w:rsidP="00AC65A9">
            <w:pPr>
              <w:spacing w:after="0"/>
              <w:jc w:val="center"/>
              <w:rPr>
                <w:rFonts w:ascii="Times New Roman" w:hAnsi="Times New Roman"/>
                <w:sz w:val="28"/>
                <w:szCs w:val="28"/>
                <w:lang w:eastAsia="es-DO"/>
              </w:rPr>
            </w:pPr>
            <w:r w:rsidRPr="00AC65A9">
              <w:rPr>
                <w:rFonts w:ascii="Times New Roman" w:hAnsi="Times New Roman"/>
                <w:sz w:val="28"/>
                <w:szCs w:val="28"/>
                <w:lang w:eastAsia="es-DO"/>
              </w:rPr>
              <w:t>4030</w:t>
            </w:r>
          </w:p>
        </w:tc>
      </w:tr>
      <w:tr w:rsidR="00AC65A9" w:rsidRPr="00AC65A9" w14:paraId="282261F5" w14:textId="77777777" w:rsidTr="00AC65A9">
        <w:trPr>
          <w:trHeight w:val="300"/>
          <w:jc w:val="center"/>
        </w:trPr>
        <w:tc>
          <w:tcPr>
            <w:tcW w:w="5022" w:type="dxa"/>
            <w:shd w:val="clear" w:color="auto" w:fill="auto"/>
            <w:noWrap/>
          </w:tcPr>
          <w:p w14:paraId="74CEF038" w14:textId="77777777" w:rsidR="00AC65A9" w:rsidRPr="00AC65A9" w:rsidRDefault="00AC65A9" w:rsidP="00AC65A9">
            <w:pPr>
              <w:spacing w:after="0"/>
              <w:rPr>
                <w:rFonts w:ascii="Times New Roman" w:hAnsi="Times New Roman"/>
                <w:bCs/>
                <w:sz w:val="28"/>
                <w:szCs w:val="28"/>
                <w:lang w:eastAsia="es-DO"/>
              </w:rPr>
            </w:pPr>
            <w:r w:rsidRPr="00AC65A9">
              <w:rPr>
                <w:rFonts w:ascii="Times New Roman" w:hAnsi="Times New Roman"/>
                <w:bCs/>
                <w:sz w:val="28"/>
                <w:szCs w:val="28"/>
                <w:lang w:eastAsia="es-DO"/>
              </w:rPr>
              <w:t>No objeción importación (física)</w:t>
            </w:r>
          </w:p>
        </w:tc>
        <w:tc>
          <w:tcPr>
            <w:tcW w:w="1337" w:type="dxa"/>
            <w:shd w:val="clear" w:color="auto" w:fill="auto"/>
            <w:noWrap/>
            <w:vAlign w:val="center"/>
          </w:tcPr>
          <w:p w14:paraId="41E27800" w14:textId="77777777" w:rsidR="00AC65A9" w:rsidRPr="00AC65A9" w:rsidRDefault="00AC65A9" w:rsidP="00AC65A9">
            <w:pPr>
              <w:spacing w:after="0"/>
              <w:jc w:val="center"/>
              <w:rPr>
                <w:rFonts w:ascii="Times New Roman" w:hAnsi="Times New Roman"/>
                <w:sz w:val="28"/>
                <w:szCs w:val="28"/>
                <w:lang w:eastAsia="es-DO"/>
              </w:rPr>
            </w:pPr>
            <w:r w:rsidRPr="00AC65A9">
              <w:rPr>
                <w:rFonts w:ascii="Times New Roman" w:hAnsi="Times New Roman"/>
                <w:sz w:val="28"/>
                <w:szCs w:val="28"/>
                <w:lang w:eastAsia="es-DO"/>
              </w:rPr>
              <w:t>386</w:t>
            </w:r>
          </w:p>
        </w:tc>
      </w:tr>
      <w:tr w:rsidR="00AC65A9" w:rsidRPr="00AC65A9" w14:paraId="34CC01D0" w14:textId="77777777" w:rsidTr="00AC65A9">
        <w:trPr>
          <w:trHeight w:val="300"/>
          <w:jc w:val="center"/>
        </w:trPr>
        <w:tc>
          <w:tcPr>
            <w:tcW w:w="5022" w:type="dxa"/>
            <w:shd w:val="clear" w:color="auto" w:fill="auto"/>
            <w:noWrap/>
            <w:hideMark/>
          </w:tcPr>
          <w:p w14:paraId="4A14B232" w14:textId="77777777" w:rsidR="00AC65A9" w:rsidRPr="00AC65A9" w:rsidRDefault="00AC65A9" w:rsidP="00AC65A9">
            <w:pPr>
              <w:spacing w:after="0"/>
              <w:rPr>
                <w:rFonts w:ascii="Times New Roman" w:hAnsi="Times New Roman"/>
                <w:bCs/>
                <w:sz w:val="28"/>
                <w:szCs w:val="28"/>
                <w:lang w:eastAsia="es-DO"/>
              </w:rPr>
            </w:pPr>
            <w:r w:rsidRPr="00AC65A9">
              <w:rPr>
                <w:rFonts w:ascii="Times New Roman" w:hAnsi="Times New Roman"/>
                <w:bCs/>
                <w:sz w:val="28"/>
                <w:szCs w:val="28"/>
                <w:lang w:eastAsia="es-DO"/>
              </w:rPr>
              <w:t>Exportación</w:t>
            </w:r>
          </w:p>
        </w:tc>
        <w:tc>
          <w:tcPr>
            <w:tcW w:w="1337" w:type="dxa"/>
            <w:shd w:val="clear" w:color="auto" w:fill="auto"/>
            <w:noWrap/>
            <w:vAlign w:val="center"/>
            <w:hideMark/>
          </w:tcPr>
          <w:p w14:paraId="1704F8DD" w14:textId="77777777" w:rsidR="00AC65A9" w:rsidRPr="00AC65A9" w:rsidRDefault="00AC65A9" w:rsidP="00AC65A9">
            <w:pPr>
              <w:spacing w:after="0"/>
              <w:jc w:val="center"/>
              <w:rPr>
                <w:rFonts w:ascii="Times New Roman" w:hAnsi="Times New Roman"/>
                <w:sz w:val="28"/>
                <w:szCs w:val="28"/>
                <w:lang w:eastAsia="es-DO"/>
              </w:rPr>
            </w:pPr>
            <w:r w:rsidRPr="00AC65A9">
              <w:rPr>
                <w:rFonts w:ascii="Times New Roman" w:hAnsi="Times New Roman"/>
                <w:sz w:val="28"/>
                <w:szCs w:val="28"/>
                <w:lang w:eastAsia="es-DO"/>
              </w:rPr>
              <w:t>193</w:t>
            </w:r>
          </w:p>
        </w:tc>
      </w:tr>
      <w:tr w:rsidR="00AC65A9" w:rsidRPr="00AC65A9" w14:paraId="1F32B580" w14:textId="77777777" w:rsidTr="00AC65A9">
        <w:trPr>
          <w:trHeight w:val="300"/>
          <w:jc w:val="center"/>
        </w:trPr>
        <w:tc>
          <w:tcPr>
            <w:tcW w:w="5022" w:type="dxa"/>
            <w:shd w:val="clear" w:color="auto" w:fill="auto"/>
            <w:noWrap/>
          </w:tcPr>
          <w:p w14:paraId="116E6600" w14:textId="77777777" w:rsidR="00AC65A9" w:rsidRPr="00AC65A9" w:rsidRDefault="00AC65A9" w:rsidP="00AC65A9">
            <w:pPr>
              <w:spacing w:after="0"/>
              <w:rPr>
                <w:rFonts w:ascii="Times New Roman" w:hAnsi="Times New Roman"/>
                <w:bCs/>
                <w:sz w:val="28"/>
                <w:szCs w:val="28"/>
                <w:lang w:eastAsia="es-DO"/>
              </w:rPr>
            </w:pPr>
            <w:r w:rsidRPr="00AC65A9">
              <w:rPr>
                <w:rFonts w:ascii="Times New Roman" w:hAnsi="Times New Roman"/>
                <w:bCs/>
                <w:sz w:val="28"/>
                <w:szCs w:val="28"/>
                <w:lang w:eastAsia="es-DO"/>
              </w:rPr>
              <w:t xml:space="preserve">Licencia de comercialización </w:t>
            </w:r>
          </w:p>
        </w:tc>
        <w:tc>
          <w:tcPr>
            <w:tcW w:w="1337" w:type="dxa"/>
            <w:shd w:val="clear" w:color="auto" w:fill="auto"/>
            <w:noWrap/>
            <w:vAlign w:val="center"/>
          </w:tcPr>
          <w:p w14:paraId="534BD4E2" w14:textId="77777777" w:rsidR="00AC65A9" w:rsidRPr="00AC65A9" w:rsidRDefault="00AC65A9" w:rsidP="00AC65A9">
            <w:pPr>
              <w:spacing w:after="0"/>
              <w:jc w:val="center"/>
              <w:rPr>
                <w:rFonts w:ascii="Times New Roman" w:hAnsi="Times New Roman"/>
                <w:sz w:val="28"/>
                <w:szCs w:val="28"/>
                <w:lang w:eastAsia="es-DO"/>
              </w:rPr>
            </w:pPr>
            <w:r w:rsidRPr="00AC65A9">
              <w:rPr>
                <w:rFonts w:ascii="Times New Roman" w:hAnsi="Times New Roman"/>
                <w:sz w:val="28"/>
                <w:szCs w:val="28"/>
                <w:lang w:eastAsia="es-DO"/>
              </w:rPr>
              <w:t>305</w:t>
            </w:r>
          </w:p>
        </w:tc>
      </w:tr>
      <w:tr w:rsidR="00AC65A9" w:rsidRPr="00AC65A9" w14:paraId="2CFF3DF2" w14:textId="77777777" w:rsidTr="00AC65A9">
        <w:trPr>
          <w:trHeight w:val="300"/>
          <w:jc w:val="center"/>
        </w:trPr>
        <w:tc>
          <w:tcPr>
            <w:tcW w:w="5022" w:type="dxa"/>
            <w:shd w:val="clear" w:color="auto" w:fill="auto"/>
            <w:noWrap/>
          </w:tcPr>
          <w:p w14:paraId="7769A957" w14:textId="7C125016" w:rsidR="00AC65A9" w:rsidRPr="00AC65A9" w:rsidRDefault="00AC65A9" w:rsidP="00AC65A9">
            <w:pPr>
              <w:spacing w:after="0"/>
              <w:rPr>
                <w:rFonts w:ascii="Times New Roman" w:hAnsi="Times New Roman"/>
                <w:bCs/>
                <w:sz w:val="28"/>
                <w:szCs w:val="28"/>
                <w:lang w:eastAsia="es-DO"/>
              </w:rPr>
            </w:pPr>
            <w:r>
              <w:rPr>
                <w:rFonts w:ascii="Times New Roman" w:hAnsi="Times New Roman"/>
                <w:bCs/>
                <w:sz w:val="28"/>
                <w:szCs w:val="28"/>
                <w:lang w:eastAsia="es-DO"/>
              </w:rPr>
              <w:t>Inspecciones</w:t>
            </w:r>
            <w:r w:rsidRPr="00AC65A9">
              <w:rPr>
                <w:rFonts w:ascii="Times New Roman" w:hAnsi="Times New Roman"/>
                <w:bCs/>
                <w:sz w:val="28"/>
                <w:szCs w:val="28"/>
                <w:lang w:eastAsia="es-DO"/>
              </w:rPr>
              <w:t xml:space="preserve"> a destino</w:t>
            </w:r>
          </w:p>
        </w:tc>
        <w:tc>
          <w:tcPr>
            <w:tcW w:w="1337" w:type="dxa"/>
            <w:shd w:val="clear" w:color="auto" w:fill="auto"/>
            <w:noWrap/>
            <w:vAlign w:val="center"/>
          </w:tcPr>
          <w:p w14:paraId="2B927780" w14:textId="77777777" w:rsidR="00AC65A9" w:rsidRPr="00AC65A9" w:rsidRDefault="00AC65A9" w:rsidP="00AC65A9">
            <w:pPr>
              <w:spacing w:after="0"/>
              <w:jc w:val="center"/>
              <w:rPr>
                <w:rFonts w:ascii="Times New Roman" w:hAnsi="Times New Roman"/>
                <w:sz w:val="28"/>
                <w:szCs w:val="28"/>
                <w:lang w:eastAsia="es-DO"/>
              </w:rPr>
            </w:pPr>
            <w:r w:rsidRPr="00AC65A9">
              <w:rPr>
                <w:rFonts w:ascii="Times New Roman" w:hAnsi="Times New Roman"/>
                <w:sz w:val="28"/>
                <w:szCs w:val="28"/>
                <w:lang w:eastAsia="es-DO"/>
              </w:rPr>
              <w:t>780</w:t>
            </w:r>
          </w:p>
        </w:tc>
      </w:tr>
      <w:tr w:rsidR="00AC65A9" w:rsidRPr="00AC65A9" w14:paraId="4B03F5B3" w14:textId="77777777" w:rsidTr="00AC65A9">
        <w:trPr>
          <w:trHeight w:val="300"/>
          <w:jc w:val="center"/>
        </w:trPr>
        <w:tc>
          <w:tcPr>
            <w:tcW w:w="5022" w:type="dxa"/>
            <w:shd w:val="clear" w:color="auto" w:fill="auto"/>
            <w:noWrap/>
          </w:tcPr>
          <w:p w14:paraId="56F83B96" w14:textId="6760FB66" w:rsidR="00AC65A9" w:rsidRPr="00AC65A9" w:rsidRDefault="00AC65A9" w:rsidP="001C2B3B">
            <w:pPr>
              <w:spacing w:after="0"/>
              <w:rPr>
                <w:rFonts w:ascii="Times New Roman" w:hAnsi="Times New Roman"/>
                <w:bCs/>
                <w:sz w:val="28"/>
                <w:szCs w:val="28"/>
                <w:lang w:eastAsia="es-DO"/>
              </w:rPr>
            </w:pPr>
            <w:r w:rsidRPr="00AC65A9">
              <w:rPr>
                <w:rFonts w:ascii="Times New Roman" w:hAnsi="Times New Roman"/>
                <w:bCs/>
                <w:sz w:val="28"/>
                <w:szCs w:val="28"/>
                <w:lang w:eastAsia="es-DO"/>
              </w:rPr>
              <w:t>Declaración de Langosta Espinoza</w:t>
            </w:r>
            <w:r>
              <w:rPr>
                <w:rFonts w:ascii="Times New Roman" w:hAnsi="Times New Roman"/>
                <w:bCs/>
                <w:sz w:val="28"/>
                <w:szCs w:val="28"/>
                <w:lang w:eastAsia="es-DO"/>
              </w:rPr>
              <w:t xml:space="preserve"> (</w:t>
            </w:r>
            <w:r w:rsidR="001C2B3B">
              <w:rPr>
                <w:rFonts w:ascii="Times New Roman" w:hAnsi="Times New Roman"/>
                <w:bCs/>
                <w:sz w:val="28"/>
                <w:szCs w:val="28"/>
                <w:lang w:eastAsia="es-DO"/>
              </w:rPr>
              <w:t>libras</w:t>
            </w:r>
            <w:r>
              <w:rPr>
                <w:rFonts w:ascii="Times New Roman" w:hAnsi="Times New Roman"/>
                <w:bCs/>
                <w:sz w:val="28"/>
                <w:szCs w:val="28"/>
                <w:lang w:eastAsia="es-DO"/>
              </w:rPr>
              <w:t>)</w:t>
            </w:r>
          </w:p>
        </w:tc>
        <w:tc>
          <w:tcPr>
            <w:tcW w:w="1337" w:type="dxa"/>
            <w:shd w:val="clear" w:color="auto" w:fill="auto"/>
            <w:noWrap/>
            <w:vAlign w:val="center"/>
          </w:tcPr>
          <w:p w14:paraId="0C12DF0F" w14:textId="00B5428A" w:rsidR="00AC65A9" w:rsidRPr="00AC65A9" w:rsidRDefault="00AC65A9" w:rsidP="00AC65A9">
            <w:pPr>
              <w:spacing w:after="0"/>
              <w:jc w:val="center"/>
              <w:rPr>
                <w:rFonts w:ascii="Times New Roman" w:hAnsi="Times New Roman"/>
                <w:sz w:val="28"/>
                <w:szCs w:val="28"/>
                <w:lang w:eastAsia="es-DO"/>
              </w:rPr>
            </w:pPr>
            <w:r>
              <w:rPr>
                <w:rFonts w:ascii="Times New Roman" w:hAnsi="Times New Roman"/>
                <w:sz w:val="28"/>
                <w:szCs w:val="28"/>
                <w:lang w:eastAsia="es-DO"/>
              </w:rPr>
              <w:t>1,450</w:t>
            </w:r>
            <w:r w:rsidR="001C2B3B">
              <w:rPr>
                <w:rFonts w:ascii="Times New Roman" w:hAnsi="Times New Roman"/>
                <w:sz w:val="28"/>
                <w:szCs w:val="28"/>
                <w:lang w:eastAsia="es-DO"/>
              </w:rPr>
              <w:t>,000</w:t>
            </w:r>
          </w:p>
        </w:tc>
      </w:tr>
      <w:tr w:rsidR="00AC65A9" w:rsidRPr="00AC65A9" w14:paraId="29D440C6" w14:textId="77777777" w:rsidTr="00AC65A9">
        <w:trPr>
          <w:trHeight w:val="300"/>
          <w:jc w:val="center"/>
        </w:trPr>
        <w:tc>
          <w:tcPr>
            <w:tcW w:w="5022" w:type="dxa"/>
            <w:shd w:val="clear" w:color="auto" w:fill="auto"/>
            <w:noWrap/>
          </w:tcPr>
          <w:p w14:paraId="71F5B728" w14:textId="27A08F89" w:rsidR="00AC65A9" w:rsidRPr="00AC65A9" w:rsidRDefault="00AC65A9" w:rsidP="001C2B3B">
            <w:pPr>
              <w:spacing w:after="0"/>
              <w:rPr>
                <w:rFonts w:ascii="Times New Roman" w:hAnsi="Times New Roman"/>
                <w:bCs/>
                <w:sz w:val="28"/>
                <w:szCs w:val="28"/>
                <w:lang w:eastAsia="es-DO"/>
              </w:rPr>
            </w:pPr>
            <w:r w:rsidRPr="00AC65A9">
              <w:rPr>
                <w:rFonts w:ascii="Times New Roman" w:hAnsi="Times New Roman"/>
                <w:bCs/>
                <w:sz w:val="28"/>
                <w:szCs w:val="28"/>
                <w:lang w:eastAsia="es-DO"/>
              </w:rPr>
              <w:t>Declaración de Lambí</w:t>
            </w:r>
            <w:r>
              <w:rPr>
                <w:rFonts w:ascii="Times New Roman" w:hAnsi="Times New Roman"/>
                <w:bCs/>
                <w:sz w:val="28"/>
                <w:szCs w:val="28"/>
                <w:lang w:eastAsia="es-DO"/>
              </w:rPr>
              <w:t xml:space="preserve"> (</w:t>
            </w:r>
            <w:r w:rsidR="001C2B3B">
              <w:rPr>
                <w:rFonts w:ascii="Times New Roman" w:hAnsi="Times New Roman"/>
                <w:bCs/>
                <w:sz w:val="28"/>
                <w:szCs w:val="28"/>
                <w:lang w:eastAsia="es-DO"/>
              </w:rPr>
              <w:t>libras</w:t>
            </w:r>
            <w:r>
              <w:rPr>
                <w:rFonts w:ascii="Times New Roman" w:hAnsi="Times New Roman"/>
                <w:bCs/>
                <w:sz w:val="28"/>
                <w:szCs w:val="28"/>
                <w:lang w:eastAsia="es-DO"/>
              </w:rPr>
              <w:t>)</w:t>
            </w:r>
          </w:p>
        </w:tc>
        <w:tc>
          <w:tcPr>
            <w:tcW w:w="1337" w:type="dxa"/>
            <w:shd w:val="clear" w:color="auto" w:fill="auto"/>
            <w:noWrap/>
            <w:vAlign w:val="center"/>
          </w:tcPr>
          <w:p w14:paraId="7A805F48" w14:textId="37F8C0CC" w:rsidR="00AC65A9" w:rsidRPr="00AC65A9" w:rsidRDefault="001C2B3B" w:rsidP="00AC65A9">
            <w:pPr>
              <w:spacing w:after="0"/>
              <w:jc w:val="center"/>
              <w:rPr>
                <w:rFonts w:ascii="Times New Roman" w:hAnsi="Times New Roman"/>
                <w:sz w:val="28"/>
                <w:szCs w:val="28"/>
                <w:lang w:eastAsia="es-DO"/>
              </w:rPr>
            </w:pPr>
            <w:r>
              <w:rPr>
                <w:rFonts w:ascii="Times New Roman" w:hAnsi="Times New Roman"/>
                <w:sz w:val="28"/>
                <w:szCs w:val="28"/>
                <w:lang w:eastAsia="es-DO"/>
              </w:rPr>
              <w:t>42,</w:t>
            </w:r>
            <w:r w:rsidR="00AC65A9">
              <w:rPr>
                <w:rFonts w:ascii="Times New Roman" w:hAnsi="Times New Roman"/>
                <w:sz w:val="28"/>
                <w:szCs w:val="28"/>
                <w:lang w:eastAsia="es-DO"/>
              </w:rPr>
              <w:t>85</w:t>
            </w:r>
            <w:r>
              <w:rPr>
                <w:rFonts w:ascii="Times New Roman" w:hAnsi="Times New Roman"/>
                <w:sz w:val="28"/>
                <w:szCs w:val="28"/>
                <w:lang w:eastAsia="es-DO"/>
              </w:rPr>
              <w:t>0</w:t>
            </w:r>
          </w:p>
        </w:tc>
      </w:tr>
    </w:tbl>
    <w:p w14:paraId="19291F82" w14:textId="2A0029DD" w:rsidR="00AC65A9" w:rsidRDefault="00AC65A9" w:rsidP="00AC65A9">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6352CDB0" w14:textId="77777777" w:rsidR="00AC65A9" w:rsidRPr="0098414F" w:rsidRDefault="00AC65A9" w:rsidP="00AC65A9">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22B573D6" w14:textId="77777777" w:rsidR="00ED3002" w:rsidRPr="00AE65E6" w:rsidRDefault="00540F43" w:rsidP="00CA5792">
      <w:pPr>
        <w:pStyle w:val="Ttulo3"/>
      </w:pPr>
      <w:bookmarkStart w:id="142" w:name="_Toc26292048"/>
      <w:bookmarkStart w:id="143" w:name="_Toc27146752"/>
      <w:r w:rsidRPr="00AE65E6">
        <w:lastRenderedPageBreak/>
        <w:t>Programa para el f</w:t>
      </w:r>
      <w:r w:rsidR="00530E9A" w:rsidRPr="00AE65E6">
        <w:t>omento de huertos caseros, escolares y comunales.</w:t>
      </w:r>
      <w:bookmarkEnd w:id="142"/>
      <w:bookmarkEnd w:id="143"/>
      <w:r w:rsidR="00530E9A" w:rsidRPr="00AE65E6">
        <w:t xml:space="preserve"> </w:t>
      </w:r>
    </w:p>
    <w:p w14:paraId="1528155E" w14:textId="77777777" w:rsidR="00781B92" w:rsidRDefault="00781B92" w:rsidP="006432B0">
      <w:pPr>
        <w:widowControl w:val="0"/>
        <w:tabs>
          <w:tab w:val="left" w:pos="630"/>
        </w:tabs>
        <w:autoSpaceDE w:val="0"/>
        <w:autoSpaceDN w:val="0"/>
        <w:adjustRightInd w:val="0"/>
        <w:spacing w:after="0" w:line="360" w:lineRule="auto"/>
        <w:ind w:firstLine="720"/>
        <w:contextualSpacing/>
        <w:jc w:val="both"/>
        <w:rPr>
          <w:rFonts w:ascii="Times New Roman" w:hAnsi="Times New Roman"/>
          <w:lang w:val="es-ES_tradnl"/>
        </w:rPr>
      </w:pPr>
    </w:p>
    <w:p w14:paraId="2629ABFD" w14:textId="77777777" w:rsidR="0054767A" w:rsidRPr="0075382F" w:rsidRDefault="00A50222"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75382F">
        <w:rPr>
          <w:rFonts w:ascii="Times New Roman" w:hAnsi="Times New Roman"/>
          <w:lang w:val="es-ES_tradnl"/>
        </w:rPr>
        <w:t xml:space="preserve">Este programa </w:t>
      </w:r>
      <w:r w:rsidR="00530E9A" w:rsidRPr="0075382F">
        <w:rPr>
          <w:rFonts w:ascii="Times New Roman" w:hAnsi="Times New Roman"/>
          <w:lang w:val="es-ES_tradnl"/>
        </w:rPr>
        <w:t>es una iniciativa del Ministerio de Agricultura</w:t>
      </w:r>
      <w:r w:rsidR="00ED3002" w:rsidRPr="0075382F">
        <w:rPr>
          <w:rFonts w:ascii="Times New Roman" w:hAnsi="Times New Roman"/>
          <w:lang w:val="es-ES_tradnl"/>
        </w:rPr>
        <w:t xml:space="preserve"> en coordinación con el </w:t>
      </w:r>
      <w:r w:rsidRPr="0075382F">
        <w:rPr>
          <w:rFonts w:ascii="Times New Roman" w:hAnsi="Times New Roman"/>
          <w:lang w:val="es-ES_tradnl"/>
        </w:rPr>
        <w:t xml:space="preserve">programa Progresando con Solidaridad </w:t>
      </w:r>
      <w:r w:rsidR="00ED3002" w:rsidRPr="0075382F">
        <w:rPr>
          <w:rFonts w:ascii="Times New Roman" w:hAnsi="Times New Roman"/>
          <w:lang w:val="es-ES_tradnl"/>
        </w:rPr>
        <w:t>(PROSOLI)</w:t>
      </w:r>
      <w:r w:rsidRPr="0075382F">
        <w:rPr>
          <w:rFonts w:ascii="Times New Roman" w:hAnsi="Times New Roman"/>
          <w:lang w:val="es-ES_tradnl"/>
        </w:rPr>
        <w:t>,</w:t>
      </w:r>
      <w:r w:rsidR="00ED3002" w:rsidRPr="0075382F">
        <w:rPr>
          <w:rFonts w:ascii="Times New Roman" w:hAnsi="Times New Roman"/>
          <w:lang w:val="es-ES_tradnl"/>
        </w:rPr>
        <w:t xml:space="preserve"> ejecutado a través del Despacho</w:t>
      </w:r>
      <w:r w:rsidR="009F560F" w:rsidRPr="0075382F">
        <w:rPr>
          <w:rFonts w:ascii="Times New Roman" w:hAnsi="Times New Roman"/>
          <w:lang w:val="es-ES_tradnl"/>
        </w:rPr>
        <w:t xml:space="preserve"> de </w:t>
      </w:r>
      <w:r w:rsidR="00ED3002" w:rsidRPr="0075382F">
        <w:rPr>
          <w:rFonts w:ascii="Times New Roman" w:hAnsi="Times New Roman"/>
          <w:lang w:val="es-ES_tradnl"/>
        </w:rPr>
        <w:t xml:space="preserve">la </w:t>
      </w:r>
      <w:r w:rsidR="00D04A08" w:rsidRPr="0075382F">
        <w:rPr>
          <w:rFonts w:ascii="Times New Roman" w:hAnsi="Times New Roman"/>
          <w:lang w:val="es-ES_tradnl"/>
        </w:rPr>
        <w:t>Vicepresidencia</w:t>
      </w:r>
      <w:r w:rsidR="009F560F" w:rsidRPr="0075382F">
        <w:rPr>
          <w:rFonts w:ascii="Times New Roman" w:hAnsi="Times New Roman"/>
          <w:lang w:val="es-ES_tradnl"/>
        </w:rPr>
        <w:t xml:space="preserve"> </w:t>
      </w:r>
      <w:r w:rsidR="00ED3002" w:rsidRPr="0075382F">
        <w:rPr>
          <w:rFonts w:ascii="Times New Roman" w:hAnsi="Times New Roman"/>
          <w:lang w:val="es-ES_tradnl"/>
        </w:rPr>
        <w:t>de la República</w:t>
      </w:r>
      <w:r w:rsidR="00530E9A" w:rsidRPr="0075382F">
        <w:rPr>
          <w:rFonts w:ascii="Times New Roman" w:hAnsi="Times New Roman"/>
          <w:lang w:val="es-ES_tradnl"/>
        </w:rPr>
        <w:t xml:space="preserve">, con el propósito de ofrecer una respuesta rápida y oportuna a la demanda de </w:t>
      </w:r>
      <w:r w:rsidR="00025888" w:rsidRPr="0075382F">
        <w:rPr>
          <w:rFonts w:ascii="Times New Roman" w:hAnsi="Times New Roman"/>
          <w:lang w:val="es-ES_tradnl"/>
        </w:rPr>
        <w:t xml:space="preserve">rubros </w:t>
      </w:r>
      <w:r w:rsidR="00530E9A" w:rsidRPr="0075382F">
        <w:rPr>
          <w:rFonts w:ascii="Times New Roman" w:hAnsi="Times New Roman"/>
          <w:lang w:val="es-ES_tradnl"/>
        </w:rPr>
        <w:t>de ciclo corto y de gran valor nutritivo, que contribuyan a mejorar la calidad de vida de la población</w:t>
      </w:r>
      <w:r w:rsidR="0054767A" w:rsidRPr="0075382F">
        <w:rPr>
          <w:rFonts w:ascii="Times New Roman" w:hAnsi="Times New Roman"/>
          <w:lang w:val="es-ES_tradnl"/>
        </w:rPr>
        <w:t xml:space="preserve"> de más bajos ingresos.</w:t>
      </w:r>
    </w:p>
    <w:p w14:paraId="27B7DB2F" w14:textId="77777777" w:rsidR="0054767A" w:rsidRPr="0075382F" w:rsidRDefault="0054767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53605E7C" w14:textId="27FEF655" w:rsidR="00530E9A" w:rsidRPr="0075382F" w:rsidRDefault="0054767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75382F">
        <w:rPr>
          <w:rFonts w:ascii="Times New Roman" w:hAnsi="Times New Roman"/>
          <w:lang w:val="es-ES_tradnl"/>
        </w:rPr>
        <w:t>Adicionalmente, se</w:t>
      </w:r>
      <w:r w:rsidR="00025888" w:rsidRPr="0075382F">
        <w:rPr>
          <w:rFonts w:ascii="Times New Roman" w:hAnsi="Times New Roman"/>
          <w:lang w:val="es-ES_tradnl"/>
        </w:rPr>
        <w:t xml:space="preserve"> contribu</w:t>
      </w:r>
      <w:r w:rsidRPr="0075382F">
        <w:rPr>
          <w:rFonts w:ascii="Times New Roman" w:hAnsi="Times New Roman"/>
          <w:lang w:val="es-ES_tradnl"/>
        </w:rPr>
        <w:t>ye</w:t>
      </w:r>
      <w:r w:rsidR="00025888" w:rsidRPr="0075382F">
        <w:rPr>
          <w:rFonts w:ascii="Times New Roman" w:hAnsi="Times New Roman"/>
          <w:lang w:val="es-ES_tradnl"/>
        </w:rPr>
        <w:t xml:space="preserve"> </w:t>
      </w:r>
      <w:r w:rsidR="00233B39">
        <w:rPr>
          <w:rFonts w:ascii="Times New Roman" w:hAnsi="Times New Roman"/>
          <w:lang w:val="es-ES_tradnl"/>
        </w:rPr>
        <w:t>al</w:t>
      </w:r>
      <w:r w:rsidR="00025888" w:rsidRPr="0075382F">
        <w:rPr>
          <w:rFonts w:ascii="Times New Roman" w:hAnsi="Times New Roman"/>
          <w:lang w:val="es-ES_tradnl"/>
        </w:rPr>
        <w:t xml:space="preserve"> fomento de la Agricultura Familiar,</w:t>
      </w:r>
      <w:r w:rsidR="00233B39">
        <w:rPr>
          <w:rFonts w:ascii="Times New Roman" w:hAnsi="Times New Roman"/>
          <w:lang w:val="es-ES_tradnl"/>
        </w:rPr>
        <w:t xml:space="preserve"> insertando decenas de familias y</w:t>
      </w:r>
      <w:r w:rsidR="00025888" w:rsidRPr="0075382F">
        <w:rPr>
          <w:rFonts w:ascii="Times New Roman" w:hAnsi="Times New Roman"/>
          <w:lang w:val="es-ES_tradnl"/>
        </w:rPr>
        <w:t xml:space="preserve"> comunidades al sistema productivo agrícola de la horticultura para consumo local y la creación de fuente alterna de ingresos con la venta de vegetales </w:t>
      </w:r>
      <w:r w:rsidR="0039368A" w:rsidRPr="0075382F">
        <w:rPr>
          <w:rFonts w:ascii="Times New Roman" w:hAnsi="Times New Roman"/>
          <w:lang w:val="es-ES_tradnl"/>
        </w:rPr>
        <w:t xml:space="preserve">frescos </w:t>
      </w:r>
      <w:r w:rsidR="007261AC" w:rsidRPr="0075382F">
        <w:rPr>
          <w:rFonts w:ascii="Times New Roman" w:hAnsi="Times New Roman"/>
          <w:lang w:val="es-ES_tradnl"/>
        </w:rPr>
        <w:t xml:space="preserve">de ciclo corto, </w:t>
      </w:r>
    </w:p>
    <w:p w14:paraId="0DAA588B" w14:textId="77777777" w:rsidR="007261AC" w:rsidRPr="0075382F" w:rsidRDefault="007261AC" w:rsidP="00233B39">
      <w:pPr>
        <w:widowControl w:val="0"/>
        <w:tabs>
          <w:tab w:val="left" w:pos="630"/>
        </w:tabs>
        <w:autoSpaceDE w:val="0"/>
        <w:autoSpaceDN w:val="0"/>
        <w:adjustRightInd w:val="0"/>
        <w:spacing w:after="0" w:line="360" w:lineRule="auto"/>
        <w:ind w:firstLine="720"/>
        <w:contextualSpacing/>
        <w:jc w:val="both"/>
        <w:rPr>
          <w:rFonts w:ascii="Times New Roman" w:hAnsi="Times New Roman"/>
        </w:rPr>
      </w:pPr>
    </w:p>
    <w:p w14:paraId="267E3AFA" w14:textId="215AFD84" w:rsidR="00294079" w:rsidRDefault="00294079" w:rsidP="007261AC">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75382F">
        <w:rPr>
          <w:rFonts w:ascii="Times New Roman" w:hAnsi="Times New Roman"/>
          <w:lang w:val="es-ES_tradnl"/>
        </w:rPr>
        <w:t xml:space="preserve">Durante el periodo fueron producidas y distribuidas un total de 6,005,900 plántulas de hortalizas de todas las variedades, en los bancos de plántulas que </w:t>
      </w:r>
      <w:r w:rsidR="00F538A2" w:rsidRPr="0075382F">
        <w:rPr>
          <w:rFonts w:ascii="Times New Roman" w:hAnsi="Times New Roman"/>
          <w:lang w:val="es-ES_tradnl"/>
        </w:rPr>
        <w:t>posee</w:t>
      </w:r>
      <w:r w:rsidRPr="0075382F">
        <w:rPr>
          <w:rFonts w:ascii="Times New Roman" w:hAnsi="Times New Roman"/>
          <w:lang w:val="es-ES_tradnl"/>
        </w:rPr>
        <w:t xml:space="preserve"> el Ministerio: Club de Profesionales Agropecuarios, Agro-club, Pantoja, Sabana Perdida (La barquita) y Carretera Mella (Ministerio de Medio Ambiente y Recursos Naturales).</w:t>
      </w:r>
    </w:p>
    <w:p w14:paraId="3ABC7567" w14:textId="77777777" w:rsidR="006432B0" w:rsidRPr="0075382F" w:rsidRDefault="006432B0" w:rsidP="007261AC">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6D1FB475" w14:textId="77777777" w:rsidR="00294079" w:rsidRPr="0075382F" w:rsidRDefault="00294079" w:rsidP="007261AC">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75382F">
        <w:rPr>
          <w:rFonts w:ascii="Times New Roman" w:hAnsi="Times New Roman"/>
          <w:lang w:val="es-ES_tradnl"/>
        </w:rPr>
        <w:t>En tal sentido, durante el 2019</w:t>
      </w:r>
      <w:r w:rsidR="007261AC" w:rsidRPr="0075382F">
        <w:rPr>
          <w:rFonts w:ascii="Times New Roman" w:hAnsi="Times New Roman"/>
          <w:lang w:val="es-ES_tradnl"/>
        </w:rPr>
        <w:t xml:space="preserve"> se </w:t>
      </w:r>
      <w:r w:rsidRPr="0075382F">
        <w:rPr>
          <w:rFonts w:ascii="Times New Roman" w:hAnsi="Times New Roman"/>
          <w:lang w:val="es-ES_tradnl"/>
        </w:rPr>
        <w:t>lograron instalar un total de 9,563 huertos hortícolas, beneficiando a estudiantes, comunidades y familias con fines de autoconsumo y venta como fuente de ingresos.</w:t>
      </w:r>
    </w:p>
    <w:p w14:paraId="4CC8C1C7" w14:textId="77777777" w:rsidR="00294079" w:rsidRPr="00294079" w:rsidRDefault="00294079" w:rsidP="00294079">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75382F">
        <w:rPr>
          <w:rFonts w:ascii="Times New Roman" w:hAnsi="Times New Roman"/>
          <w:lang w:val="es-ES_tradnl"/>
        </w:rPr>
        <w:lastRenderedPageBreak/>
        <w:t>Apoyo del Proyecto Habitacional Ciudad Juan Bosch con la instalación de 20 Huertos urbanos, esto ha beneficiado más de 440 familias.</w:t>
      </w:r>
    </w:p>
    <w:p w14:paraId="4CBECAB4" w14:textId="77777777" w:rsidR="00294079" w:rsidRPr="00294079" w:rsidRDefault="00294079" w:rsidP="00294079">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7532F042" w14:textId="4E734C4F" w:rsidR="007261AC" w:rsidRPr="009B4FC3" w:rsidRDefault="00294079" w:rsidP="00294079">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294079">
        <w:rPr>
          <w:rFonts w:ascii="Times New Roman" w:hAnsi="Times New Roman"/>
          <w:lang w:val="es-ES_tradnl"/>
        </w:rPr>
        <w:t>A través de todos los huertos instalados por la División de Huertos se obtuvo una producción de alrededor de 347 mil 165 libras de productos hortícolas.</w:t>
      </w:r>
      <w:r w:rsidR="007261AC" w:rsidRPr="009B4FC3">
        <w:rPr>
          <w:rFonts w:ascii="Times New Roman" w:hAnsi="Times New Roman"/>
          <w:lang w:val="es-ES_tradnl"/>
        </w:rPr>
        <w:t xml:space="preserve"> </w:t>
      </w:r>
    </w:p>
    <w:p w14:paraId="09EAD923" w14:textId="6616B8DE" w:rsidR="00A5119E" w:rsidRPr="007261AC" w:rsidRDefault="00A5119E"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highlight w:val="yellow"/>
          <w:lang w:val="es-ES_tradnl"/>
        </w:rPr>
      </w:pPr>
    </w:p>
    <w:p w14:paraId="7B457B33" w14:textId="3CCBBE24" w:rsidR="00775411" w:rsidRPr="00AE65E6" w:rsidRDefault="0075382F" w:rsidP="00CA5792">
      <w:pPr>
        <w:pStyle w:val="Ttulo3"/>
      </w:pPr>
      <w:bookmarkStart w:id="144" w:name="_Toc26292049"/>
      <w:bookmarkStart w:id="145" w:name="_Toc27146753"/>
      <w:r>
        <w:t>Programa</w:t>
      </w:r>
      <w:r w:rsidR="002C75E0">
        <w:t xml:space="preserve"> de s</w:t>
      </w:r>
      <w:r w:rsidR="00530E9A" w:rsidRPr="00AE65E6">
        <w:t xml:space="preserve">ervicios de </w:t>
      </w:r>
      <w:r w:rsidR="00453508" w:rsidRPr="00AE65E6">
        <w:t>t</w:t>
      </w:r>
      <w:r w:rsidR="00FE7E39" w:rsidRPr="00AE65E6">
        <w:t>itulación de terrenos</w:t>
      </w:r>
      <w:bookmarkEnd w:id="144"/>
      <w:bookmarkEnd w:id="145"/>
    </w:p>
    <w:p w14:paraId="3DC87EEE" w14:textId="77777777" w:rsidR="00781B92" w:rsidRDefault="00781B92"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33945D65" w14:textId="77777777" w:rsidR="00530E9A" w:rsidRPr="0075382F" w:rsidRDefault="003B1646"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75382F">
        <w:rPr>
          <w:rFonts w:ascii="Times New Roman" w:hAnsi="Times New Roman"/>
          <w:lang w:val="es-ES_tradnl"/>
        </w:rPr>
        <w:t xml:space="preserve">El Ministerio de </w:t>
      </w:r>
      <w:r w:rsidR="00530E9A" w:rsidRPr="0075382F">
        <w:rPr>
          <w:rFonts w:ascii="Times New Roman" w:hAnsi="Times New Roman"/>
          <w:lang w:val="es-ES_tradnl"/>
        </w:rPr>
        <w:t xml:space="preserve">Agricultura </w:t>
      </w:r>
      <w:r w:rsidR="00775411" w:rsidRPr="0075382F">
        <w:rPr>
          <w:rFonts w:ascii="Times New Roman" w:hAnsi="Times New Roman"/>
          <w:lang w:val="es-ES_tradnl"/>
        </w:rPr>
        <w:t xml:space="preserve">a través del Instituto Agrario Dominicano (IAD) </w:t>
      </w:r>
      <w:r w:rsidR="00DC7D3D" w:rsidRPr="0075382F">
        <w:rPr>
          <w:rFonts w:ascii="Times New Roman" w:hAnsi="Times New Roman"/>
          <w:lang w:val="es-ES_tradnl"/>
        </w:rPr>
        <w:t>desarrolla el</w:t>
      </w:r>
      <w:r w:rsidR="00530E9A" w:rsidRPr="0075382F">
        <w:rPr>
          <w:rFonts w:ascii="Times New Roman" w:hAnsi="Times New Roman"/>
          <w:lang w:val="es-ES_tradnl"/>
        </w:rPr>
        <w:t xml:space="preserve"> programa de titulación de tierras, a fin de contribuir a regularizar y modernizar el sistema de registro inmobiliario de República Dominicana.</w:t>
      </w:r>
    </w:p>
    <w:p w14:paraId="26451C8F" w14:textId="77777777" w:rsidR="00AF7DE6" w:rsidRPr="0075382F" w:rsidRDefault="00AF7DE6" w:rsidP="00233B39">
      <w:pPr>
        <w:spacing w:before="100" w:after="100" w:line="360" w:lineRule="auto"/>
        <w:ind w:firstLine="567"/>
        <w:jc w:val="both"/>
        <w:rPr>
          <w:rFonts w:ascii="Times New Roman" w:hAnsi="Times New Roman"/>
          <w:b/>
        </w:rPr>
      </w:pPr>
    </w:p>
    <w:p w14:paraId="50E6D7A2" w14:textId="492D9635" w:rsidR="00431405" w:rsidRPr="0075382F" w:rsidRDefault="00AF7DE6" w:rsidP="00AF7DE6">
      <w:pPr>
        <w:rPr>
          <w:rFonts w:ascii="Times New Roman" w:hAnsi="Times New Roman"/>
          <w:b/>
          <w:sz w:val="28"/>
          <w:szCs w:val="28"/>
          <w:lang w:val="es-ES_tradnl"/>
        </w:rPr>
      </w:pPr>
      <w:r w:rsidRPr="0075382F">
        <w:rPr>
          <w:rFonts w:ascii="Times New Roman" w:hAnsi="Times New Roman"/>
          <w:b/>
          <w:sz w:val="28"/>
          <w:szCs w:val="28"/>
          <w:lang w:val="es-ES_tradnl"/>
        </w:rPr>
        <w:t>Titulación definitiva</w:t>
      </w:r>
    </w:p>
    <w:p w14:paraId="4FBA4AC0" w14:textId="77777777" w:rsidR="00781B92" w:rsidRDefault="00781B92" w:rsidP="00233B39">
      <w:pPr>
        <w:widowControl w:val="0"/>
        <w:tabs>
          <w:tab w:val="left" w:pos="630"/>
        </w:tabs>
        <w:autoSpaceDE w:val="0"/>
        <w:autoSpaceDN w:val="0"/>
        <w:adjustRightInd w:val="0"/>
        <w:spacing w:after="0" w:line="360" w:lineRule="auto"/>
        <w:ind w:firstLine="720"/>
        <w:contextualSpacing/>
        <w:jc w:val="both"/>
        <w:rPr>
          <w:rFonts w:ascii="Times New Roman" w:hAnsi="Times New Roman"/>
          <w:lang w:val="es-ES_tradnl"/>
        </w:rPr>
      </w:pPr>
    </w:p>
    <w:p w14:paraId="42EB5158" w14:textId="5EF8E96E" w:rsidR="00431405" w:rsidRDefault="00AF7DE6" w:rsidP="00AF7DE6">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75382F">
        <w:rPr>
          <w:rFonts w:ascii="Times New Roman" w:hAnsi="Times New Roman"/>
          <w:lang w:val="es-ES_tradnl"/>
        </w:rPr>
        <w:t>Durante el periodo, fueron</w:t>
      </w:r>
      <w:r w:rsidR="00431405" w:rsidRPr="0075382F">
        <w:rPr>
          <w:rFonts w:ascii="Times New Roman" w:hAnsi="Times New Roman"/>
          <w:lang w:val="es-ES_tradnl"/>
        </w:rPr>
        <w:t xml:space="preserve"> entregados 19,061 títulos definitivos de propiedad de terrenos, con una superficie de 99,943.05 tareas; los cuales beneficiaron a igual cantidad de familias de las provincias siguientes: Dajab</w:t>
      </w:r>
      <w:r w:rsidR="0075382F">
        <w:rPr>
          <w:rFonts w:ascii="Times New Roman" w:hAnsi="Times New Roman"/>
          <w:lang w:val="es-ES_tradnl"/>
        </w:rPr>
        <w:t>ó</w:t>
      </w:r>
      <w:r w:rsidR="00431405" w:rsidRPr="0075382F">
        <w:rPr>
          <w:rFonts w:ascii="Times New Roman" w:hAnsi="Times New Roman"/>
          <w:lang w:val="es-ES_tradnl"/>
        </w:rPr>
        <w:t xml:space="preserve">n, Azua, La Vega, Valverde, Monte Cristi, San Juan, Monte Plata, María Trinidad Sánchez, Hato </w:t>
      </w:r>
      <w:r w:rsidRPr="0075382F">
        <w:rPr>
          <w:rFonts w:ascii="Times New Roman" w:hAnsi="Times New Roman"/>
          <w:lang w:val="es-ES_tradnl"/>
        </w:rPr>
        <w:t xml:space="preserve">Mayor, Barahona, Santo Domingo </w:t>
      </w:r>
      <w:r w:rsidR="00431405" w:rsidRPr="0075382F">
        <w:rPr>
          <w:rFonts w:ascii="Times New Roman" w:hAnsi="Times New Roman"/>
          <w:lang w:val="es-ES_tradnl"/>
        </w:rPr>
        <w:t>y el Seibo</w:t>
      </w:r>
      <w:r w:rsidR="000E1910">
        <w:rPr>
          <w:rFonts w:ascii="Times New Roman" w:hAnsi="Times New Roman"/>
          <w:lang w:val="es-ES_tradnl"/>
        </w:rPr>
        <w:t>.</w:t>
      </w:r>
    </w:p>
    <w:p w14:paraId="0E201ACC" w14:textId="3D4D19D5" w:rsidR="006432B0" w:rsidRDefault="006432B0">
      <w:pPr>
        <w:spacing w:after="0"/>
        <w:rPr>
          <w:rFonts w:ascii="Times New Roman" w:hAnsi="Times New Roman"/>
          <w:highlight w:val="red"/>
          <w:lang w:val="es-ES_tradnl"/>
        </w:rPr>
      </w:pPr>
      <w:r>
        <w:rPr>
          <w:rFonts w:ascii="Times New Roman" w:hAnsi="Times New Roman"/>
          <w:highlight w:val="red"/>
          <w:lang w:val="es-ES_tradnl"/>
        </w:rPr>
        <w:br w:type="page"/>
      </w:r>
    </w:p>
    <w:p w14:paraId="589C8199" w14:textId="519A9608" w:rsidR="00431405" w:rsidRPr="00AF7DE6" w:rsidRDefault="00AF7DE6" w:rsidP="00AF7DE6">
      <w:pPr>
        <w:rPr>
          <w:rFonts w:ascii="Times New Roman" w:hAnsi="Times New Roman"/>
          <w:b/>
          <w:sz w:val="28"/>
          <w:szCs w:val="28"/>
          <w:lang w:val="es-ES_tradnl"/>
        </w:rPr>
      </w:pPr>
      <w:r w:rsidRPr="00AF7DE6">
        <w:rPr>
          <w:rFonts w:ascii="Times New Roman" w:hAnsi="Times New Roman"/>
          <w:b/>
          <w:sz w:val="28"/>
          <w:szCs w:val="28"/>
          <w:lang w:val="es-ES_tradnl"/>
        </w:rPr>
        <w:lastRenderedPageBreak/>
        <w:t>Titulación provisional</w:t>
      </w:r>
    </w:p>
    <w:p w14:paraId="38D27CDF" w14:textId="77777777" w:rsidR="00781B92" w:rsidRDefault="00781B92" w:rsidP="00AF7DE6">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2A126069" w14:textId="259A716E" w:rsidR="00AB3E03" w:rsidRPr="000E1910" w:rsidRDefault="00AF7DE6" w:rsidP="00AF7DE6">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0E1910">
        <w:rPr>
          <w:rFonts w:ascii="Times New Roman" w:hAnsi="Times New Roman"/>
          <w:lang w:val="es-ES_tradnl"/>
        </w:rPr>
        <w:t xml:space="preserve">Adicionalmente, </w:t>
      </w:r>
      <w:r w:rsidR="00431405" w:rsidRPr="000E1910">
        <w:rPr>
          <w:rFonts w:ascii="Times New Roman" w:hAnsi="Times New Roman"/>
          <w:lang w:val="es-ES_tradnl"/>
        </w:rPr>
        <w:t>fueron entregados 4,170 títulos de asignación provisional a igual número de parceleros/as en las 14 oficinas regionales de la Institución, donde se destacan: 1,492 títulos en la Oficina Regional Monte Plata, 963 títulos en la Oficina Regional Barahona y 266 en Monte Cristi, con una superficie total de 181,458.87 tareas.</w:t>
      </w:r>
    </w:p>
    <w:p w14:paraId="30FE45F4" w14:textId="77777777" w:rsidR="00AF7DE6" w:rsidRPr="00AF7DE6" w:rsidRDefault="00AF7DE6" w:rsidP="00AF7DE6">
      <w:pPr>
        <w:widowControl w:val="0"/>
        <w:tabs>
          <w:tab w:val="left" w:pos="630"/>
        </w:tabs>
        <w:autoSpaceDE w:val="0"/>
        <w:autoSpaceDN w:val="0"/>
        <w:adjustRightInd w:val="0"/>
        <w:spacing w:after="0" w:line="480" w:lineRule="auto"/>
        <w:ind w:firstLine="720"/>
        <w:contextualSpacing/>
        <w:jc w:val="both"/>
        <w:rPr>
          <w:rFonts w:ascii="Times New Roman" w:hAnsi="Times New Roman"/>
          <w:highlight w:val="yellow"/>
          <w:lang w:val="es-ES_tradnl"/>
        </w:rPr>
      </w:pPr>
    </w:p>
    <w:p w14:paraId="1E096DF8" w14:textId="52FD4FDB" w:rsidR="00775411" w:rsidRPr="00AE65E6" w:rsidRDefault="002C75E0" w:rsidP="00CA5792">
      <w:pPr>
        <w:pStyle w:val="Ttulo3"/>
      </w:pPr>
      <w:bookmarkStart w:id="146" w:name="_Toc26292050"/>
      <w:bookmarkStart w:id="147" w:name="_Toc27146754"/>
      <w:r>
        <w:t xml:space="preserve">Programa </w:t>
      </w:r>
      <w:r w:rsidR="00530E9A" w:rsidRPr="00AE65E6">
        <w:t xml:space="preserve">de </w:t>
      </w:r>
      <w:r>
        <w:t xml:space="preserve">servicios de </w:t>
      </w:r>
      <w:r w:rsidR="00530E9A" w:rsidRPr="00AE65E6">
        <w:t xml:space="preserve">mecanización </w:t>
      </w:r>
      <w:r w:rsidR="00775411" w:rsidRPr="00AE65E6">
        <w:t xml:space="preserve">de terrenos </w:t>
      </w:r>
      <w:r w:rsidR="00530E9A" w:rsidRPr="00AE65E6">
        <w:t>agrícola</w:t>
      </w:r>
      <w:r w:rsidR="005753DB" w:rsidRPr="00AE65E6">
        <w:t>s</w:t>
      </w:r>
      <w:r w:rsidR="00530E9A" w:rsidRPr="00AE65E6">
        <w:t>.</w:t>
      </w:r>
      <w:bookmarkEnd w:id="146"/>
      <w:bookmarkEnd w:id="147"/>
      <w:r w:rsidR="00530E9A" w:rsidRPr="00AE65E6">
        <w:t xml:space="preserve"> </w:t>
      </w:r>
    </w:p>
    <w:p w14:paraId="7E0D37AC" w14:textId="77777777" w:rsidR="00781B92" w:rsidRDefault="00781B92" w:rsidP="006432B0">
      <w:pPr>
        <w:widowControl w:val="0"/>
        <w:tabs>
          <w:tab w:val="left" w:pos="630"/>
        </w:tabs>
        <w:autoSpaceDE w:val="0"/>
        <w:autoSpaceDN w:val="0"/>
        <w:adjustRightInd w:val="0"/>
        <w:spacing w:after="0" w:line="360" w:lineRule="auto"/>
        <w:ind w:firstLine="720"/>
        <w:contextualSpacing/>
        <w:jc w:val="both"/>
        <w:rPr>
          <w:rFonts w:ascii="Times New Roman" w:hAnsi="Times New Roman"/>
          <w:lang w:val="es-ES_tradnl"/>
        </w:rPr>
      </w:pPr>
    </w:p>
    <w:p w14:paraId="6ACC840E" w14:textId="77777777" w:rsidR="00275AA9" w:rsidRPr="000E1910" w:rsidRDefault="00530E9A"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0E1910">
        <w:rPr>
          <w:rFonts w:ascii="Times New Roman" w:hAnsi="Times New Roman"/>
          <w:lang w:val="es-ES_tradnl"/>
        </w:rPr>
        <w:t xml:space="preserve">Este servicio está dirigido a pequeños y medianos productores </w:t>
      </w:r>
      <w:r w:rsidR="003B1646" w:rsidRPr="000E1910">
        <w:rPr>
          <w:rFonts w:ascii="Times New Roman" w:hAnsi="Times New Roman"/>
          <w:lang w:val="es-ES_tradnl"/>
        </w:rPr>
        <w:t>agropecuarios</w:t>
      </w:r>
      <w:r w:rsidRPr="000E1910">
        <w:rPr>
          <w:rFonts w:ascii="Times New Roman" w:hAnsi="Times New Roman"/>
          <w:lang w:val="es-ES_tradnl"/>
        </w:rPr>
        <w:t xml:space="preserve"> y a sus organizaciones existentes</w:t>
      </w:r>
      <w:r w:rsidR="00775411" w:rsidRPr="000E1910">
        <w:rPr>
          <w:rFonts w:ascii="Times New Roman" w:hAnsi="Times New Roman"/>
          <w:lang w:val="es-ES_tradnl"/>
        </w:rPr>
        <w:t xml:space="preserve"> en apoyo a la promoción de la asociatividad</w:t>
      </w:r>
      <w:r w:rsidRPr="000E1910">
        <w:rPr>
          <w:rFonts w:ascii="Times New Roman" w:hAnsi="Times New Roman"/>
          <w:lang w:val="es-ES_tradnl"/>
        </w:rPr>
        <w:t xml:space="preserve"> </w:t>
      </w:r>
      <w:r w:rsidR="00775411" w:rsidRPr="000E1910">
        <w:rPr>
          <w:rFonts w:ascii="Times New Roman" w:hAnsi="Times New Roman"/>
          <w:lang w:val="es-ES_tradnl"/>
        </w:rPr>
        <w:t>en procura</w:t>
      </w:r>
      <w:r w:rsidRPr="000E1910">
        <w:rPr>
          <w:rFonts w:ascii="Times New Roman" w:hAnsi="Times New Roman"/>
          <w:lang w:val="es-ES_tradnl"/>
        </w:rPr>
        <w:t xml:space="preserve"> </w:t>
      </w:r>
      <w:r w:rsidR="00775411" w:rsidRPr="000E1910">
        <w:rPr>
          <w:rFonts w:ascii="Times New Roman" w:hAnsi="Times New Roman"/>
          <w:lang w:val="es-ES_tradnl"/>
        </w:rPr>
        <w:t>d</w:t>
      </w:r>
      <w:r w:rsidRPr="000E1910">
        <w:rPr>
          <w:rFonts w:ascii="Times New Roman" w:hAnsi="Times New Roman"/>
          <w:lang w:val="es-ES_tradnl"/>
        </w:rPr>
        <w:t>el desarrollo rural agropecuario.</w:t>
      </w:r>
    </w:p>
    <w:p w14:paraId="42F2F96F" w14:textId="77777777" w:rsidR="0046478C" w:rsidRPr="000E1910" w:rsidRDefault="0046478C" w:rsidP="002F2FFA">
      <w:pPr>
        <w:widowControl w:val="0"/>
        <w:tabs>
          <w:tab w:val="left" w:pos="630"/>
        </w:tabs>
        <w:autoSpaceDE w:val="0"/>
        <w:autoSpaceDN w:val="0"/>
        <w:adjustRightInd w:val="0"/>
        <w:spacing w:after="0" w:line="360" w:lineRule="auto"/>
        <w:ind w:firstLine="720"/>
        <w:contextualSpacing/>
        <w:jc w:val="both"/>
        <w:rPr>
          <w:rFonts w:ascii="Times New Roman" w:hAnsi="Times New Roman"/>
          <w:lang w:val="es-ES_tradnl"/>
        </w:rPr>
      </w:pPr>
    </w:p>
    <w:p w14:paraId="7E57E3F9" w14:textId="373E1904" w:rsidR="000C3885" w:rsidRPr="00E55128" w:rsidRDefault="000C3885"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0E1910">
        <w:rPr>
          <w:rFonts w:ascii="Times New Roman" w:hAnsi="Times New Roman"/>
          <w:lang w:val="es-ES_tradnl"/>
        </w:rPr>
        <w:t>En este sentido</w:t>
      </w:r>
      <w:r w:rsidR="00D13541" w:rsidRPr="000E1910">
        <w:rPr>
          <w:rFonts w:ascii="Times New Roman" w:hAnsi="Times New Roman"/>
          <w:lang w:val="es-ES_tradnl"/>
        </w:rPr>
        <w:t>,</w:t>
      </w:r>
      <w:r w:rsidRPr="000E1910">
        <w:rPr>
          <w:rFonts w:ascii="Times New Roman" w:hAnsi="Times New Roman"/>
          <w:lang w:val="es-ES_tradnl"/>
        </w:rPr>
        <w:t xml:space="preserve"> </w:t>
      </w:r>
      <w:r w:rsidR="007679D7" w:rsidRPr="000E1910">
        <w:rPr>
          <w:rFonts w:ascii="Times New Roman" w:hAnsi="Times New Roman"/>
          <w:lang w:val="es-ES_tradnl"/>
        </w:rPr>
        <w:t>se ha</w:t>
      </w:r>
      <w:r w:rsidR="00D13541" w:rsidRPr="000E1910">
        <w:rPr>
          <w:rFonts w:ascii="Times New Roman" w:hAnsi="Times New Roman"/>
          <w:lang w:val="es-ES_tradnl"/>
        </w:rPr>
        <w:t>n</w:t>
      </w:r>
      <w:r w:rsidRPr="000E1910">
        <w:rPr>
          <w:rFonts w:ascii="Times New Roman" w:hAnsi="Times New Roman"/>
          <w:lang w:val="es-ES_tradnl"/>
        </w:rPr>
        <w:t xml:space="preserve"> mecanizado</w:t>
      </w:r>
      <w:r w:rsidR="0046478C" w:rsidRPr="000E1910">
        <w:rPr>
          <w:rFonts w:ascii="Times New Roman" w:hAnsi="Times New Roman"/>
          <w:lang w:val="es-ES_tradnl"/>
        </w:rPr>
        <w:t xml:space="preserve"> un total de </w:t>
      </w:r>
      <w:r w:rsidR="00F73FE8" w:rsidRPr="000E1910">
        <w:rPr>
          <w:rFonts w:ascii="Times New Roman" w:hAnsi="Times New Roman"/>
          <w:lang w:val="es-ES_tradnl"/>
        </w:rPr>
        <w:t>965,619</w:t>
      </w:r>
      <w:r w:rsidR="0046478C" w:rsidRPr="000E1910">
        <w:rPr>
          <w:rFonts w:ascii="Times New Roman" w:hAnsi="Times New Roman"/>
          <w:lang w:val="es-ES_tradnl"/>
        </w:rPr>
        <w:t xml:space="preserve"> tareas beneficiadas a través del </w:t>
      </w:r>
      <w:r w:rsidRPr="000E1910">
        <w:rPr>
          <w:rFonts w:ascii="Times New Roman" w:hAnsi="Times New Roman"/>
          <w:lang w:val="es-ES_tradnl"/>
        </w:rPr>
        <w:t>Ministerio de Agricultura,</w:t>
      </w:r>
      <w:r w:rsidR="00AF7DE6" w:rsidRPr="000E1910">
        <w:rPr>
          <w:rFonts w:ascii="Times New Roman" w:hAnsi="Times New Roman"/>
          <w:lang w:val="es-ES_tradnl"/>
        </w:rPr>
        <w:t xml:space="preserve"> </w:t>
      </w:r>
      <w:r w:rsidR="00041C5A" w:rsidRPr="000E1910">
        <w:rPr>
          <w:rFonts w:ascii="Times New Roman" w:hAnsi="Times New Roman"/>
          <w:color w:val="000000" w:themeColor="text1"/>
          <w:lang w:val="es-ES"/>
        </w:rPr>
        <w:t>en</w:t>
      </w:r>
      <w:r w:rsidR="00AF7DE6" w:rsidRPr="000E1910">
        <w:rPr>
          <w:rFonts w:ascii="Times New Roman" w:hAnsi="Times New Roman"/>
          <w:color w:val="000000" w:themeColor="text1"/>
          <w:lang w:val="es-ES"/>
        </w:rPr>
        <w:t xml:space="preserve"> una inversión ascendente a RD$</w:t>
      </w:r>
      <w:r w:rsidR="00AF7DE6" w:rsidRPr="000E1910">
        <w:rPr>
          <w:rFonts w:ascii="Times New Roman" w:hAnsi="Times New Roman"/>
        </w:rPr>
        <w:t xml:space="preserve">260,717.000.00, </w:t>
      </w:r>
      <w:r w:rsidR="00AC46F6" w:rsidRPr="000E1910">
        <w:rPr>
          <w:rFonts w:ascii="Times New Roman" w:hAnsi="Times New Roman"/>
          <w:lang w:val="es-ES_tradnl"/>
        </w:rPr>
        <w:t>beneficia</w:t>
      </w:r>
      <w:r w:rsidR="002F2FFA" w:rsidRPr="000E1910">
        <w:rPr>
          <w:rFonts w:ascii="Times New Roman" w:hAnsi="Times New Roman"/>
          <w:lang w:val="es-ES_tradnl"/>
        </w:rPr>
        <w:t>ndo</w:t>
      </w:r>
      <w:r w:rsidR="00AC46F6" w:rsidRPr="000E1910">
        <w:rPr>
          <w:rFonts w:ascii="Times New Roman" w:hAnsi="Times New Roman"/>
          <w:lang w:val="es-ES_tradnl"/>
        </w:rPr>
        <w:t xml:space="preserve"> </w:t>
      </w:r>
      <w:r w:rsidR="00AF7DE6" w:rsidRPr="000E1910">
        <w:rPr>
          <w:rFonts w:ascii="Times New Roman" w:hAnsi="Times New Roman"/>
          <w:lang w:val="es-ES_tradnl"/>
        </w:rPr>
        <w:t>un total de</w:t>
      </w:r>
      <w:r w:rsidR="00AC46F6" w:rsidRPr="000E1910">
        <w:rPr>
          <w:rFonts w:ascii="Times New Roman" w:hAnsi="Times New Roman"/>
          <w:lang w:val="es-ES_tradnl"/>
        </w:rPr>
        <w:t xml:space="preserve"> </w:t>
      </w:r>
      <w:r w:rsidR="00F73FE8" w:rsidRPr="000E1910">
        <w:rPr>
          <w:rFonts w:ascii="Times New Roman" w:hAnsi="Times New Roman"/>
          <w:lang w:val="es-ES_tradnl"/>
        </w:rPr>
        <w:t>22,900</w:t>
      </w:r>
      <w:r w:rsidR="00AC46F6" w:rsidRPr="000E1910">
        <w:rPr>
          <w:rFonts w:ascii="Times New Roman" w:hAnsi="Times New Roman"/>
          <w:lang w:val="es-ES_tradnl"/>
        </w:rPr>
        <w:t xml:space="preserve"> pequeños y medianos productores</w:t>
      </w:r>
      <w:r w:rsidR="00617877" w:rsidRPr="000E1910">
        <w:rPr>
          <w:rFonts w:ascii="Times New Roman" w:hAnsi="Times New Roman"/>
          <w:color w:val="000000" w:themeColor="text1"/>
          <w:lang w:val="es-ES"/>
        </w:rPr>
        <w:t xml:space="preserve"> de los cuales 1,098 son mujeres y 21,808 hombres</w:t>
      </w:r>
      <w:r w:rsidR="00AC46F6" w:rsidRPr="000E1910">
        <w:rPr>
          <w:rFonts w:ascii="Times New Roman" w:hAnsi="Times New Roman"/>
          <w:lang w:val="es-ES_tradnl"/>
        </w:rPr>
        <w:t xml:space="preserve">. </w:t>
      </w:r>
      <w:r w:rsidR="00721C69" w:rsidRPr="000E1910">
        <w:rPr>
          <w:rFonts w:ascii="Times New Roman" w:hAnsi="Times New Roman"/>
          <w:lang w:val="es-ES_tradnl"/>
        </w:rPr>
        <w:t xml:space="preserve">Incluye las </w:t>
      </w:r>
      <w:r w:rsidR="007679D7" w:rsidRPr="000E1910">
        <w:rPr>
          <w:rFonts w:ascii="Times New Roman" w:hAnsi="Times New Roman"/>
          <w:lang w:val="es-ES_tradnl"/>
        </w:rPr>
        <w:t>realizadas mediante</w:t>
      </w:r>
      <w:r w:rsidR="00721C69" w:rsidRPr="000E1910">
        <w:rPr>
          <w:rFonts w:ascii="Times New Roman" w:hAnsi="Times New Roman"/>
          <w:lang w:val="es-ES_tradnl"/>
        </w:rPr>
        <w:t xml:space="preserve"> </w:t>
      </w:r>
      <w:r w:rsidR="00AC46F6" w:rsidRPr="000E1910">
        <w:rPr>
          <w:rFonts w:ascii="Times New Roman" w:hAnsi="Times New Roman"/>
          <w:lang w:val="es-ES_tradnl"/>
        </w:rPr>
        <w:t>un operativo totalmente gratis</w:t>
      </w:r>
      <w:r w:rsidR="007679D7" w:rsidRPr="000E1910">
        <w:rPr>
          <w:rFonts w:ascii="Times New Roman" w:hAnsi="Times New Roman"/>
          <w:lang w:val="es-ES_tradnl"/>
        </w:rPr>
        <w:t>,</w:t>
      </w:r>
      <w:r w:rsidR="00AC46F6" w:rsidRPr="000E1910">
        <w:rPr>
          <w:rFonts w:ascii="Times New Roman" w:hAnsi="Times New Roman"/>
          <w:lang w:val="es-ES_tradnl"/>
        </w:rPr>
        <w:t xml:space="preserve"> como compensación de los daños ocasionados </w:t>
      </w:r>
      <w:r w:rsidR="00D13541" w:rsidRPr="000E1910">
        <w:rPr>
          <w:rFonts w:ascii="Times New Roman" w:hAnsi="Times New Roman"/>
          <w:lang w:val="es-ES_tradnl"/>
        </w:rPr>
        <w:t>por fenómenos atmosféricos a</w:t>
      </w:r>
      <w:r w:rsidR="007A5DCD" w:rsidRPr="000E1910">
        <w:rPr>
          <w:rFonts w:ascii="Times New Roman" w:hAnsi="Times New Roman"/>
          <w:lang w:val="es-ES_tradnl"/>
        </w:rPr>
        <w:t xml:space="preserve"> la agropecuaria</w:t>
      </w:r>
      <w:r w:rsidR="00D13541" w:rsidRPr="000E1910">
        <w:rPr>
          <w:rFonts w:ascii="Times New Roman" w:hAnsi="Times New Roman"/>
          <w:lang w:val="es-ES_tradnl"/>
        </w:rPr>
        <w:t>.</w:t>
      </w:r>
    </w:p>
    <w:p w14:paraId="621F29BA" w14:textId="624540C3" w:rsidR="006432B0" w:rsidRDefault="006432B0">
      <w:pPr>
        <w:spacing w:after="0"/>
        <w:rPr>
          <w:rFonts w:ascii="Times New Roman" w:hAnsi="Times New Roman"/>
          <w:b/>
          <w:lang w:val="es-ES_tradnl"/>
        </w:rPr>
      </w:pPr>
      <w:r>
        <w:rPr>
          <w:rFonts w:ascii="Times New Roman" w:hAnsi="Times New Roman"/>
          <w:b/>
          <w:lang w:val="es-ES_tradnl"/>
        </w:rPr>
        <w:br w:type="page"/>
      </w:r>
    </w:p>
    <w:p w14:paraId="65DA1C3E" w14:textId="77777777" w:rsidR="00BB3813" w:rsidRPr="00AE65E6" w:rsidRDefault="00AE65E6" w:rsidP="00CA5792">
      <w:pPr>
        <w:pStyle w:val="Ttulo3"/>
      </w:pPr>
      <w:bookmarkStart w:id="148" w:name="_Toc26292051"/>
      <w:bookmarkStart w:id="149" w:name="_Toc27146755"/>
      <w:r>
        <w:lastRenderedPageBreak/>
        <w:t>Servicios de mantenimiento y r</w:t>
      </w:r>
      <w:r w:rsidR="00F608E0" w:rsidRPr="00AE65E6">
        <w:t>ehabilitación</w:t>
      </w:r>
      <w:r w:rsidR="00BB3813" w:rsidRPr="00AE65E6">
        <w:t xml:space="preserve"> de </w:t>
      </w:r>
      <w:r w:rsidR="00F608E0" w:rsidRPr="00AE65E6">
        <w:t>infraestructura física</w:t>
      </w:r>
      <w:r w:rsidR="00332568" w:rsidRPr="00AE65E6">
        <w:t xml:space="preserve"> y obras civiles</w:t>
      </w:r>
      <w:bookmarkEnd w:id="148"/>
      <w:bookmarkEnd w:id="149"/>
      <w:r w:rsidR="00332568" w:rsidRPr="00AE65E6">
        <w:t xml:space="preserve"> </w:t>
      </w:r>
    </w:p>
    <w:p w14:paraId="5C1DB852" w14:textId="77777777" w:rsidR="00781B92" w:rsidRDefault="00781B92" w:rsidP="000E1910">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388B2EBD" w14:textId="30E81654" w:rsidR="000E1910" w:rsidRPr="002A1F99" w:rsidRDefault="006657EA" w:rsidP="000E1910">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2A1F99">
        <w:rPr>
          <w:rFonts w:ascii="Times New Roman" w:hAnsi="Times New Roman"/>
          <w:lang w:val="es-ES_tradnl"/>
        </w:rPr>
        <w:t>Durante el 2019</w:t>
      </w:r>
      <w:r w:rsidR="00666AB3" w:rsidRPr="002A1F99">
        <w:rPr>
          <w:rFonts w:ascii="Times New Roman" w:hAnsi="Times New Roman"/>
          <w:lang w:val="es-ES_tradnl"/>
        </w:rPr>
        <w:t xml:space="preserve"> se ha</w:t>
      </w:r>
      <w:r w:rsidR="00CA5792">
        <w:rPr>
          <w:rFonts w:ascii="Times New Roman" w:hAnsi="Times New Roman"/>
          <w:lang w:val="es-ES_tradnl"/>
        </w:rPr>
        <w:t>n</w:t>
      </w:r>
      <w:r w:rsidR="00666AB3" w:rsidRPr="002A1F99">
        <w:rPr>
          <w:rFonts w:ascii="Times New Roman" w:hAnsi="Times New Roman"/>
          <w:lang w:val="es-ES_tradnl"/>
        </w:rPr>
        <w:t xml:space="preserve"> ejecutado proyectos de construcción, rehabilitación y mantenimiento de infraestructura con recursos del Ministerio de Agricultura, con una inversión total ascendente a </w:t>
      </w:r>
      <w:r w:rsidR="000E1910" w:rsidRPr="002A1F99">
        <w:rPr>
          <w:rFonts w:ascii="Times New Roman" w:hAnsi="Times New Roman"/>
          <w:lang w:val="es-ES_tradnl"/>
        </w:rPr>
        <w:t xml:space="preserve">RD$41,186,027.52. </w:t>
      </w:r>
    </w:p>
    <w:p w14:paraId="2060DAD4" w14:textId="4B272A36" w:rsidR="00C21528" w:rsidRPr="002A1F99" w:rsidRDefault="00C21528" w:rsidP="00C2152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6F70C615" w14:textId="34687B2D" w:rsidR="006657EA" w:rsidRPr="002A1F99" w:rsidRDefault="006657EA" w:rsidP="006657E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2A1F99">
        <w:rPr>
          <w:rFonts w:ascii="Times New Roman" w:hAnsi="Times New Roman"/>
          <w:lang w:val="es-ES_tradnl"/>
        </w:rPr>
        <w:t>Cabe destacar que la Subdirección de Ingeniería ha ejecutado un total de RD$4,643,305.70 a través del Fondo Reponible Especial, por medio del cual se ejecutaron 12 proyectos</w:t>
      </w:r>
      <w:r w:rsidR="00041C5A">
        <w:rPr>
          <w:rFonts w:ascii="Times New Roman" w:hAnsi="Times New Roman"/>
          <w:lang w:val="es-ES_tradnl"/>
        </w:rPr>
        <w:t>,</w:t>
      </w:r>
      <w:r w:rsidRPr="002A1F99">
        <w:rPr>
          <w:rFonts w:ascii="Times New Roman" w:hAnsi="Times New Roman"/>
          <w:lang w:val="es-ES_tradnl"/>
        </w:rPr>
        <w:t xml:space="preserve"> de los 15 proyectos importantes ejecutados durante el año.</w:t>
      </w:r>
    </w:p>
    <w:p w14:paraId="546C09F1" w14:textId="3B249B78" w:rsidR="006657EA" w:rsidRPr="002A1F99" w:rsidRDefault="006657EA" w:rsidP="006657EA">
      <w:pPr>
        <w:spacing w:line="480" w:lineRule="auto"/>
        <w:jc w:val="both"/>
        <w:rPr>
          <w:rFonts w:ascii="Times New Roman" w:hAnsi="Times New Roman"/>
          <w:lang w:val="es-ES_tradnl"/>
        </w:rPr>
      </w:pPr>
      <w:r w:rsidRPr="002A1F99">
        <w:rPr>
          <w:rFonts w:ascii="Times New Roman" w:hAnsi="Times New Roman"/>
          <w:lang w:val="es-ES_tradnl"/>
        </w:rPr>
        <w:t xml:space="preserve">Otro aspecto a destacar, es que el Departamento de Ingeniería </w:t>
      </w:r>
      <w:r w:rsidR="000F6C9B" w:rsidRPr="002A1F99">
        <w:rPr>
          <w:rFonts w:ascii="Times New Roman" w:hAnsi="Times New Roman"/>
          <w:lang w:val="es-ES_tradnl"/>
        </w:rPr>
        <w:t>tuvo a</w:t>
      </w:r>
      <w:r w:rsidRPr="002A1F99">
        <w:rPr>
          <w:rFonts w:ascii="Times New Roman" w:hAnsi="Times New Roman"/>
          <w:lang w:val="es-ES_tradnl"/>
        </w:rPr>
        <w:t xml:space="preserve"> su cargo el montaje de la Feria Nacional Agropecuaria con una inversión (RD$1,031,704.13) y (RD$550,490.00) en mano de obra.</w:t>
      </w:r>
    </w:p>
    <w:p w14:paraId="0DDEF918" w14:textId="77777777" w:rsidR="00666AB3" w:rsidRPr="002A1F99" w:rsidRDefault="00666AB3" w:rsidP="00666AB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3E06B3EF" w14:textId="77777777" w:rsidR="00666AB3" w:rsidRDefault="00335762" w:rsidP="00666AB3">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2A1F99">
        <w:rPr>
          <w:rFonts w:ascii="Times New Roman" w:hAnsi="Times New Roman"/>
          <w:b/>
          <w:sz w:val="28"/>
          <w:lang w:val="es-ES_tradnl"/>
        </w:rPr>
        <w:t xml:space="preserve">Construcción y </w:t>
      </w:r>
      <w:r w:rsidR="00666AB3" w:rsidRPr="002A1F99">
        <w:rPr>
          <w:rFonts w:ascii="Times New Roman" w:hAnsi="Times New Roman"/>
          <w:b/>
          <w:sz w:val="28"/>
          <w:lang w:val="es-ES_tradnl"/>
        </w:rPr>
        <w:t>rehabilitación de obras civiles</w:t>
      </w:r>
      <w:r w:rsidRPr="002A1F99">
        <w:rPr>
          <w:rFonts w:ascii="Times New Roman" w:hAnsi="Times New Roman"/>
          <w:b/>
          <w:sz w:val="28"/>
          <w:lang w:val="es-ES_tradnl"/>
        </w:rPr>
        <w:t xml:space="preserve"> terminados</w:t>
      </w:r>
      <w:r w:rsidR="00666AB3" w:rsidRPr="002A1F99">
        <w:rPr>
          <w:rFonts w:ascii="Times New Roman" w:hAnsi="Times New Roman"/>
          <w:b/>
          <w:sz w:val="28"/>
          <w:lang w:val="es-ES_tradnl"/>
        </w:rPr>
        <w:t>:</w:t>
      </w:r>
    </w:p>
    <w:p w14:paraId="7B34FEEC" w14:textId="77777777" w:rsidR="00781B92" w:rsidRPr="002A1F99" w:rsidRDefault="00781B92" w:rsidP="00041C5A">
      <w:pPr>
        <w:spacing w:after="0" w:line="360" w:lineRule="auto"/>
        <w:rPr>
          <w:rFonts w:ascii="Times New Roman" w:hAnsi="Times New Roman"/>
          <w:b/>
          <w:sz w:val="28"/>
          <w:lang w:val="es-ES_tradnl"/>
        </w:rPr>
      </w:pPr>
    </w:p>
    <w:p w14:paraId="6074E92E" w14:textId="77777777" w:rsidR="006657EA" w:rsidRPr="002A1F99" w:rsidRDefault="006657EA" w:rsidP="001C6B1A">
      <w:pPr>
        <w:pStyle w:val="Prrafodelista"/>
        <w:numPr>
          <w:ilvl w:val="0"/>
          <w:numId w:val="14"/>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Readecuación Dirección Agropecuaria Regional Suroeste, San Juan</w:t>
      </w:r>
    </w:p>
    <w:p w14:paraId="00227217" w14:textId="77777777" w:rsidR="006657EA" w:rsidRPr="002A1F99" w:rsidRDefault="006657EA" w:rsidP="001C6B1A">
      <w:pPr>
        <w:pStyle w:val="Prrafodelista"/>
        <w:numPr>
          <w:ilvl w:val="0"/>
          <w:numId w:val="14"/>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Instalación de Sistema Solar Autónomo 20 Kilos en Laboratorio VITROGAN.</w:t>
      </w:r>
    </w:p>
    <w:p w14:paraId="447F90CE" w14:textId="77777777" w:rsidR="006657EA" w:rsidRPr="002A1F99" w:rsidRDefault="006657EA" w:rsidP="001C6B1A">
      <w:pPr>
        <w:pStyle w:val="Prrafodelista"/>
        <w:numPr>
          <w:ilvl w:val="0"/>
          <w:numId w:val="14"/>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Construcción de (02) escaleras de emergencia en lado este y oeste de la Sede Ministerio de Agricultura.</w:t>
      </w:r>
    </w:p>
    <w:p w14:paraId="6CE30E5E" w14:textId="77777777" w:rsidR="006657EA" w:rsidRPr="002A1F99" w:rsidRDefault="006657EA" w:rsidP="001C6B1A">
      <w:pPr>
        <w:pStyle w:val="Prrafodelista"/>
        <w:numPr>
          <w:ilvl w:val="0"/>
          <w:numId w:val="14"/>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Readecuación Oficina de Control y Revisión</w:t>
      </w:r>
    </w:p>
    <w:p w14:paraId="5DAB2B13" w14:textId="77777777" w:rsidR="006657EA" w:rsidRPr="002A1F99" w:rsidRDefault="006657EA" w:rsidP="001C6B1A">
      <w:pPr>
        <w:pStyle w:val="Prrafodelista"/>
        <w:numPr>
          <w:ilvl w:val="0"/>
          <w:numId w:val="14"/>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Habilitación Oficina y Baños del Departamento de Transportación</w:t>
      </w:r>
    </w:p>
    <w:p w14:paraId="0AA06CB8" w14:textId="548106CC" w:rsidR="006657EA" w:rsidRPr="002A1F99" w:rsidRDefault="006657EA" w:rsidP="001C6B1A">
      <w:pPr>
        <w:pStyle w:val="Prrafodelista"/>
        <w:numPr>
          <w:ilvl w:val="0"/>
          <w:numId w:val="14"/>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lastRenderedPageBreak/>
        <w:t>Rehabilitación Cuart</w:t>
      </w:r>
      <w:r w:rsidR="000F6C9B" w:rsidRPr="002A1F99">
        <w:rPr>
          <w:rFonts w:ascii="Times New Roman" w:hAnsi="Times New Roman"/>
          <w:sz w:val="24"/>
          <w:szCs w:val="24"/>
          <w:lang w:val="es-ES_tradnl"/>
        </w:rPr>
        <w:t xml:space="preserve">o Eléctrico, base de hormigón </w:t>
      </w:r>
      <w:r w:rsidRPr="002A1F99">
        <w:rPr>
          <w:rFonts w:ascii="Times New Roman" w:hAnsi="Times New Roman"/>
          <w:sz w:val="24"/>
          <w:szCs w:val="24"/>
          <w:lang w:val="es-ES_tradnl"/>
        </w:rPr>
        <w:t>y traslado de generador eléctrico de 405 KW. Laboratorio Veterinario Central LAVECEN</w:t>
      </w:r>
    </w:p>
    <w:p w14:paraId="47778923" w14:textId="77777777" w:rsidR="006657EA" w:rsidRPr="002A1F99" w:rsidRDefault="006657EA" w:rsidP="001C6B1A">
      <w:pPr>
        <w:pStyle w:val="Prrafodelista"/>
        <w:numPr>
          <w:ilvl w:val="0"/>
          <w:numId w:val="14"/>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Readecuación del Departamento de Relaciones Públicas.</w:t>
      </w:r>
    </w:p>
    <w:p w14:paraId="4FD4E9B1" w14:textId="77777777" w:rsidR="006657EA" w:rsidRPr="002A1F99" w:rsidRDefault="006657EA" w:rsidP="001C6B1A">
      <w:pPr>
        <w:pStyle w:val="Prrafodelista"/>
        <w:numPr>
          <w:ilvl w:val="0"/>
          <w:numId w:val="14"/>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Readecuación Viceministerio Desarrollo Rural</w:t>
      </w:r>
    </w:p>
    <w:p w14:paraId="36160D4F" w14:textId="77777777" w:rsidR="006657EA" w:rsidRPr="002A1F99" w:rsidRDefault="006657EA" w:rsidP="001C6B1A">
      <w:pPr>
        <w:pStyle w:val="Prrafodelista"/>
        <w:numPr>
          <w:ilvl w:val="0"/>
          <w:numId w:val="14"/>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Habilitación de Oficina Programa de la FAO, La Vega.</w:t>
      </w:r>
    </w:p>
    <w:p w14:paraId="070959A8" w14:textId="77777777" w:rsidR="006657EA" w:rsidRPr="002A1F99" w:rsidRDefault="006657EA" w:rsidP="001C6B1A">
      <w:pPr>
        <w:pStyle w:val="Prrafodelista"/>
        <w:numPr>
          <w:ilvl w:val="0"/>
          <w:numId w:val="14"/>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Construcción de Caseta de Desecho Sólidos, Sede Principal.</w:t>
      </w:r>
    </w:p>
    <w:p w14:paraId="0CC1403A" w14:textId="77777777" w:rsidR="006657EA" w:rsidRPr="002A1F99" w:rsidRDefault="006657EA" w:rsidP="001C6B1A">
      <w:pPr>
        <w:pStyle w:val="Prrafodelista"/>
        <w:numPr>
          <w:ilvl w:val="0"/>
          <w:numId w:val="14"/>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Readecuación Oficinas Asistentes del Ministro, Sede Principal.</w:t>
      </w:r>
    </w:p>
    <w:p w14:paraId="6CC99B67" w14:textId="77777777" w:rsidR="006657EA" w:rsidRPr="002A1F99" w:rsidRDefault="006657EA" w:rsidP="001C6B1A">
      <w:pPr>
        <w:pStyle w:val="Prrafodelista"/>
        <w:numPr>
          <w:ilvl w:val="0"/>
          <w:numId w:val="14"/>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Readecuación Eléctrica Cuarto de Data y Sistema de Aterrizaje, Dirección TIC, Sede Principal.</w:t>
      </w:r>
    </w:p>
    <w:p w14:paraId="0D5BB050" w14:textId="77777777" w:rsidR="006657EA" w:rsidRPr="002A1F99" w:rsidRDefault="006657EA" w:rsidP="001C6B1A">
      <w:pPr>
        <w:pStyle w:val="Prrafodelista"/>
        <w:numPr>
          <w:ilvl w:val="0"/>
          <w:numId w:val="14"/>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Readecuación del Consejo Nacional de Agricultura.</w:t>
      </w:r>
    </w:p>
    <w:p w14:paraId="1187A423" w14:textId="77777777" w:rsidR="006657EA" w:rsidRPr="002A1F99" w:rsidRDefault="006657EA" w:rsidP="001C6B1A">
      <w:pPr>
        <w:pStyle w:val="Prrafodelista"/>
        <w:numPr>
          <w:ilvl w:val="0"/>
          <w:numId w:val="14"/>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Servicio de Instalación eléctrica en cuarto de data de Tecnología, TIC, Sede Principal.</w:t>
      </w:r>
    </w:p>
    <w:p w14:paraId="1BB09999" w14:textId="77777777" w:rsidR="006657EA" w:rsidRPr="002A1F99" w:rsidRDefault="006657EA" w:rsidP="001C6B1A">
      <w:pPr>
        <w:pStyle w:val="Prrafodelista"/>
        <w:numPr>
          <w:ilvl w:val="0"/>
          <w:numId w:val="14"/>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Servicio de Instalación Sistema de Aterrizaje de Cuarto de Servidores, TIC, Sede Principal.</w:t>
      </w:r>
    </w:p>
    <w:p w14:paraId="05B7E607" w14:textId="77777777" w:rsidR="008B1BB6" w:rsidRPr="00E55128" w:rsidRDefault="008B1BB6" w:rsidP="008B1BB6">
      <w:pPr>
        <w:pStyle w:val="Prrafodelista"/>
        <w:spacing w:line="480" w:lineRule="auto"/>
        <w:jc w:val="both"/>
        <w:rPr>
          <w:rFonts w:ascii="Times New Roman" w:hAnsi="Times New Roman"/>
          <w:b/>
          <w:sz w:val="24"/>
          <w:szCs w:val="24"/>
          <w:u w:val="single"/>
          <w:lang w:val="es-ES_tradnl"/>
        </w:rPr>
      </w:pPr>
    </w:p>
    <w:p w14:paraId="569FADD1" w14:textId="77777777" w:rsidR="00666AB3" w:rsidRDefault="00666AB3" w:rsidP="00666AB3">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98414F">
        <w:rPr>
          <w:rFonts w:ascii="Times New Roman" w:hAnsi="Times New Roman"/>
          <w:b/>
          <w:sz w:val="28"/>
          <w:lang w:val="es-ES_tradnl"/>
        </w:rPr>
        <w:t>Construcción, rehabilitación y mantenimiento de obras civiles en proceso:</w:t>
      </w:r>
    </w:p>
    <w:p w14:paraId="216E869E" w14:textId="77777777" w:rsidR="00DC410F" w:rsidRDefault="00DC410F" w:rsidP="00C2152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46DC091C" w14:textId="1752E94B" w:rsidR="00666AB3" w:rsidRPr="002A1F99" w:rsidRDefault="000F6C9B" w:rsidP="00C2152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2A1F99">
        <w:rPr>
          <w:rFonts w:ascii="Times New Roman" w:hAnsi="Times New Roman"/>
          <w:lang w:val="es-ES_tradnl"/>
        </w:rPr>
        <w:t xml:space="preserve">Actualmente </w:t>
      </w:r>
      <w:r w:rsidR="00666AB3" w:rsidRPr="002A1F99">
        <w:rPr>
          <w:rFonts w:ascii="Times New Roman" w:hAnsi="Times New Roman"/>
          <w:lang w:val="es-ES_tradnl"/>
        </w:rPr>
        <w:t xml:space="preserve">están </w:t>
      </w:r>
      <w:r w:rsidR="002A1F99" w:rsidRPr="002A1F99">
        <w:rPr>
          <w:rFonts w:ascii="Times New Roman" w:hAnsi="Times New Roman"/>
          <w:lang w:val="es-ES_tradnl"/>
        </w:rPr>
        <w:t>en proceso de ejecución nueve</w:t>
      </w:r>
      <w:r w:rsidR="006657EA" w:rsidRPr="002A1F99">
        <w:rPr>
          <w:rFonts w:ascii="Times New Roman" w:hAnsi="Times New Roman"/>
          <w:lang w:val="es-ES_tradnl"/>
        </w:rPr>
        <w:t xml:space="preserve"> (9</w:t>
      </w:r>
      <w:r w:rsidR="00666AB3" w:rsidRPr="002A1F99">
        <w:rPr>
          <w:rFonts w:ascii="Times New Roman" w:hAnsi="Times New Roman"/>
          <w:lang w:val="es-ES_tradnl"/>
        </w:rPr>
        <w:t>) proyectos, los cuales representan una inversión de</w:t>
      </w:r>
      <w:r w:rsidR="006657EA" w:rsidRPr="002A1F99">
        <w:rPr>
          <w:rFonts w:ascii="Times New Roman" w:hAnsi="Times New Roman"/>
          <w:lang w:val="es-ES_tradnl"/>
        </w:rPr>
        <w:t xml:space="preserve"> (RD$137, 363,564.17).</w:t>
      </w:r>
    </w:p>
    <w:p w14:paraId="53481580" w14:textId="77777777" w:rsidR="006657EA" w:rsidRPr="002A1F99" w:rsidRDefault="006657EA" w:rsidP="001C6B1A">
      <w:pPr>
        <w:pStyle w:val="Prrafodelista"/>
        <w:numPr>
          <w:ilvl w:val="0"/>
          <w:numId w:val="23"/>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Construcción de Almacén de Insumos en el Municipio de Hondo Valle, Elías Piña.</w:t>
      </w:r>
    </w:p>
    <w:p w14:paraId="0F6DBB06" w14:textId="77777777" w:rsidR="006657EA" w:rsidRPr="002A1F99" w:rsidRDefault="006657EA" w:rsidP="001C6B1A">
      <w:pPr>
        <w:pStyle w:val="Prrafodelista"/>
        <w:numPr>
          <w:ilvl w:val="0"/>
          <w:numId w:val="23"/>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Readecuación Dirección Regional Agropecuaria Sur (Barahona).</w:t>
      </w:r>
    </w:p>
    <w:p w14:paraId="7FACA1C1" w14:textId="5FAEAE0E" w:rsidR="006657EA" w:rsidRPr="002A1F99" w:rsidRDefault="006657EA" w:rsidP="001C6B1A">
      <w:pPr>
        <w:pStyle w:val="Prrafodelista"/>
        <w:numPr>
          <w:ilvl w:val="0"/>
          <w:numId w:val="23"/>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lastRenderedPageBreak/>
        <w:t>Readecuación Dirección Regional Agropecuaria Central (</w:t>
      </w:r>
      <w:r w:rsidR="00041C5A" w:rsidRPr="002A1F99">
        <w:rPr>
          <w:rFonts w:ascii="Times New Roman" w:hAnsi="Times New Roman"/>
          <w:sz w:val="24"/>
          <w:szCs w:val="24"/>
          <w:lang w:val="es-ES_tradnl"/>
        </w:rPr>
        <w:t>Peravia</w:t>
      </w:r>
      <w:r w:rsidRPr="002A1F99">
        <w:rPr>
          <w:rFonts w:ascii="Times New Roman" w:hAnsi="Times New Roman"/>
          <w:sz w:val="24"/>
          <w:szCs w:val="24"/>
          <w:lang w:val="es-ES_tradnl"/>
        </w:rPr>
        <w:t>).</w:t>
      </w:r>
    </w:p>
    <w:p w14:paraId="1CC65B62" w14:textId="77777777" w:rsidR="006657EA" w:rsidRPr="002A1F99" w:rsidRDefault="006657EA" w:rsidP="001C6B1A">
      <w:pPr>
        <w:pStyle w:val="Prrafodelista"/>
        <w:numPr>
          <w:ilvl w:val="0"/>
          <w:numId w:val="23"/>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Readecuación Dirección Regional Agropecuaria Norte (Santiago de los Caballeros).</w:t>
      </w:r>
    </w:p>
    <w:p w14:paraId="00AC723B" w14:textId="77777777" w:rsidR="006657EA" w:rsidRPr="002A1F99" w:rsidRDefault="006657EA" w:rsidP="001C6B1A">
      <w:pPr>
        <w:pStyle w:val="Prrafodelista"/>
        <w:numPr>
          <w:ilvl w:val="0"/>
          <w:numId w:val="23"/>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Readecuación Dirección Regional Agropecuaria Noroeste (Valverde).</w:t>
      </w:r>
    </w:p>
    <w:p w14:paraId="72A6FAAD" w14:textId="77777777" w:rsidR="006657EA" w:rsidRPr="002A1F99" w:rsidRDefault="006657EA" w:rsidP="001C6B1A">
      <w:pPr>
        <w:pStyle w:val="Prrafodelista"/>
        <w:numPr>
          <w:ilvl w:val="0"/>
          <w:numId w:val="23"/>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Readecuación Dirección Regional Agropecuaria Noreste (San Francisco de Macorís).</w:t>
      </w:r>
    </w:p>
    <w:p w14:paraId="0AEBB65D" w14:textId="77777777" w:rsidR="006657EA" w:rsidRPr="002A1F99" w:rsidRDefault="006657EA" w:rsidP="001C6B1A">
      <w:pPr>
        <w:pStyle w:val="Prrafodelista"/>
        <w:numPr>
          <w:ilvl w:val="0"/>
          <w:numId w:val="23"/>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Readecuación Dirección Regional Agropecuaria Este (La Altagracia).</w:t>
      </w:r>
    </w:p>
    <w:p w14:paraId="0FBFC203" w14:textId="77777777" w:rsidR="006657EA" w:rsidRPr="002A1F99" w:rsidRDefault="006657EA" w:rsidP="001C6B1A">
      <w:pPr>
        <w:pStyle w:val="Prrafodelista"/>
        <w:numPr>
          <w:ilvl w:val="0"/>
          <w:numId w:val="23"/>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Readecuación Dirección Regional Agropecuaria Norcentral (La Vega).</w:t>
      </w:r>
    </w:p>
    <w:p w14:paraId="4A82B7B8" w14:textId="77777777" w:rsidR="006657EA" w:rsidRPr="002A1F99" w:rsidRDefault="006657EA" w:rsidP="001C6B1A">
      <w:pPr>
        <w:pStyle w:val="Prrafodelista"/>
        <w:numPr>
          <w:ilvl w:val="0"/>
          <w:numId w:val="23"/>
        </w:numPr>
        <w:spacing w:line="480" w:lineRule="auto"/>
        <w:jc w:val="both"/>
        <w:rPr>
          <w:rFonts w:ascii="Times New Roman" w:hAnsi="Times New Roman"/>
          <w:sz w:val="24"/>
          <w:szCs w:val="24"/>
          <w:lang w:val="es-ES_tradnl"/>
        </w:rPr>
      </w:pPr>
      <w:r w:rsidRPr="002A1F99">
        <w:rPr>
          <w:rFonts w:ascii="Times New Roman" w:hAnsi="Times New Roman"/>
          <w:sz w:val="24"/>
          <w:szCs w:val="24"/>
          <w:lang w:val="es-ES_tradnl"/>
        </w:rPr>
        <w:t>Construcción del muro de contención Regional Este (Higuey).</w:t>
      </w:r>
    </w:p>
    <w:p w14:paraId="52AD64B0" w14:textId="77777777" w:rsidR="00CA5792" w:rsidRDefault="00CA5792" w:rsidP="006432B0">
      <w:pPr>
        <w:spacing w:after="0" w:line="480" w:lineRule="auto"/>
        <w:ind w:left="28" w:firstLine="329"/>
        <w:jc w:val="both"/>
        <w:rPr>
          <w:rFonts w:ascii="Times New Roman" w:hAnsi="Times New Roman"/>
          <w:lang w:val="es-ES_tradnl"/>
        </w:rPr>
      </w:pPr>
    </w:p>
    <w:p w14:paraId="528128F5" w14:textId="4F952862" w:rsidR="006657EA" w:rsidRPr="00DC410F" w:rsidRDefault="006657EA" w:rsidP="00DC410F">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2A1F99">
        <w:rPr>
          <w:rFonts w:ascii="Times New Roman" w:hAnsi="Times New Roman"/>
          <w:lang w:val="es-ES_tradnl"/>
        </w:rPr>
        <w:t xml:space="preserve">La Dirección de Ingeniería ha brindado soporte en confección de planos, elaboración de presupuestos y fiscalización de proyectos al </w:t>
      </w:r>
      <w:r w:rsidRPr="00DC410F">
        <w:rPr>
          <w:rFonts w:ascii="Times New Roman" w:hAnsi="Times New Roman"/>
          <w:lang w:val="es-ES_tradnl"/>
        </w:rPr>
        <w:t xml:space="preserve">proyecto Transformación San Juan del Viceministerio de Planificación y al Instituto Nacional de Bienestar Estudiantil (INABIE), en el Proyecto Piloto PAE del </w:t>
      </w:r>
      <w:r w:rsidR="000F6C9B" w:rsidRPr="00DC410F">
        <w:rPr>
          <w:rFonts w:ascii="Times New Roman" w:hAnsi="Times New Roman"/>
          <w:lang w:val="es-ES_tradnl"/>
        </w:rPr>
        <w:t xml:space="preserve">Distrito Educativo Monte Plata. De igual modo, </w:t>
      </w:r>
      <w:r w:rsidRPr="00DC410F">
        <w:rPr>
          <w:rFonts w:ascii="Times New Roman" w:hAnsi="Times New Roman"/>
          <w:lang w:val="es-ES_tradnl"/>
        </w:rPr>
        <w:t xml:space="preserve">se han realizado trabajos en conjunto con la Defensa Civil, Sistema Nacional de Emergencias 9-1-1, ABAPROMANGO, Ministerio de Energía y Minas. Entre lo que se </w:t>
      </w:r>
      <w:r w:rsidR="000F6C9B" w:rsidRPr="00DC410F">
        <w:rPr>
          <w:rFonts w:ascii="Times New Roman" w:hAnsi="Times New Roman"/>
          <w:lang w:val="es-ES_tradnl"/>
        </w:rPr>
        <w:t>destacan</w:t>
      </w:r>
      <w:r w:rsidRPr="00DC410F">
        <w:rPr>
          <w:rFonts w:ascii="Times New Roman" w:hAnsi="Times New Roman"/>
          <w:lang w:val="es-ES_tradnl"/>
        </w:rPr>
        <w:t>:</w:t>
      </w:r>
    </w:p>
    <w:p w14:paraId="60FC9B69" w14:textId="77777777" w:rsidR="00CA5792" w:rsidRPr="002A1F99" w:rsidRDefault="00CA5792" w:rsidP="003226E0">
      <w:pPr>
        <w:spacing w:after="0" w:line="480" w:lineRule="auto"/>
        <w:ind w:left="28" w:firstLine="329"/>
        <w:jc w:val="both"/>
        <w:rPr>
          <w:rFonts w:ascii="Times New Roman" w:hAnsi="Times New Roman"/>
        </w:rPr>
      </w:pPr>
    </w:p>
    <w:p w14:paraId="52947811" w14:textId="77777777" w:rsidR="006657EA" w:rsidRPr="006657EA" w:rsidRDefault="006657EA" w:rsidP="001C6B1A">
      <w:pPr>
        <w:numPr>
          <w:ilvl w:val="0"/>
          <w:numId w:val="49"/>
        </w:numPr>
        <w:spacing w:line="480" w:lineRule="auto"/>
        <w:contextualSpacing/>
        <w:jc w:val="both"/>
        <w:rPr>
          <w:rFonts w:ascii="Times New Roman" w:eastAsia="Calibri" w:hAnsi="Times New Roman"/>
          <w:b/>
          <w:lang w:eastAsia="en-US"/>
        </w:rPr>
      </w:pPr>
      <w:r w:rsidRPr="006657EA">
        <w:rPr>
          <w:rFonts w:ascii="Times New Roman" w:eastAsia="Calibri" w:hAnsi="Times New Roman"/>
          <w:b/>
          <w:lang w:val="es-ES_tradnl" w:eastAsia="en-US"/>
        </w:rPr>
        <w:t>Proyecto Transformación San Juan</w:t>
      </w:r>
    </w:p>
    <w:p w14:paraId="24CF091B" w14:textId="6350A3AA" w:rsidR="006657EA" w:rsidRDefault="000F6C9B" w:rsidP="00DC410F">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DC410F">
        <w:rPr>
          <w:rFonts w:ascii="Times New Roman" w:hAnsi="Times New Roman"/>
          <w:lang w:val="es-ES_tradnl"/>
        </w:rPr>
        <w:t>Este proyecto</w:t>
      </w:r>
      <w:r w:rsidR="006657EA" w:rsidRPr="00DC410F">
        <w:rPr>
          <w:rFonts w:ascii="Times New Roman" w:hAnsi="Times New Roman"/>
          <w:lang w:val="es-ES_tradnl"/>
        </w:rPr>
        <w:t xml:space="preserve"> brindó apoyo en la supervisión técnica del proyecto de rehabilitación y adecuación de redes de canales de sistema de riego de las Juntas de Regantes del Valle y Mijo – Guanito, con una inversión de RD$134, 396,332.09, diseminados en 11 lotes.</w:t>
      </w:r>
    </w:p>
    <w:p w14:paraId="679429D5" w14:textId="77777777" w:rsidR="006657EA" w:rsidRPr="006657EA" w:rsidRDefault="006657EA" w:rsidP="001C6B1A">
      <w:pPr>
        <w:numPr>
          <w:ilvl w:val="0"/>
          <w:numId w:val="49"/>
        </w:numPr>
        <w:spacing w:line="480" w:lineRule="auto"/>
        <w:contextualSpacing/>
        <w:jc w:val="both"/>
        <w:rPr>
          <w:rFonts w:ascii="Times New Roman" w:eastAsia="Calibri" w:hAnsi="Times New Roman"/>
          <w:b/>
          <w:lang w:eastAsia="en-US"/>
        </w:rPr>
      </w:pPr>
      <w:r w:rsidRPr="006657EA">
        <w:rPr>
          <w:rFonts w:ascii="Times New Roman" w:eastAsia="Calibri" w:hAnsi="Times New Roman"/>
          <w:b/>
          <w:lang w:val="es-ES_tradnl" w:eastAsia="en-US"/>
        </w:rPr>
        <w:lastRenderedPageBreak/>
        <w:t>Instituto Nacional de Bienestar Estudiantil (INABIE)</w:t>
      </w:r>
    </w:p>
    <w:p w14:paraId="3A15AFB0" w14:textId="467E7DB0" w:rsidR="006657EA" w:rsidRPr="00DC410F" w:rsidRDefault="006657EA" w:rsidP="00DC410F">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DC410F">
        <w:rPr>
          <w:rFonts w:ascii="Times New Roman" w:hAnsi="Times New Roman"/>
          <w:lang w:val="es-ES_tradnl"/>
        </w:rPr>
        <w:t>Atendiendo el Memorando de Entendimien</w:t>
      </w:r>
      <w:r w:rsidR="000F6C9B" w:rsidRPr="00DC410F">
        <w:rPr>
          <w:rFonts w:ascii="Times New Roman" w:hAnsi="Times New Roman"/>
          <w:lang w:val="es-ES_tradnl"/>
        </w:rPr>
        <w:t>to firmado por el Ministerio</w:t>
      </w:r>
      <w:r w:rsidRPr="00DC410F">
        <w:rPr>
          <w:rFonts w:ascii="Times New Roman" w:hAnsi="Times New Roman"/>
          <w:lang w:val="es-ES_tradnl"/>
        </w:rPr>
        <w:t xml:space="preserve"> y otras instituciones encabezadas por el Instituto Nacional de Bienestar Estudiantil (INABIE), para la implementación de un Proyecto Piloto para el Abastecimiento de Frutas Frescas y Vegetales al Programa de Alimentación Escolar en el Municipio de Monte Plata a través de Centros Asociativos de Logísticos Alimentaria (CALAGRO).</w:t>
      </w:r>
    </w:p>
    <w:p w14:paraId="1E2084E8" w14:textId="17A40E1F" w:rsidR="007F78AB" w:rsidRDefault="007F78AB" w:rsidP="003226E0">
      <w:pPr>
        <w:spacing w:line="360" w:lineRule="auto"/>
        <w:ind w:left="720"/>
        <w:contextualSpacing/>
        <w:jc w:val="both"/>
        <w:rPr>
          <w:rFonts w:ascii="Times New Roman" w:eastAsia="Calibri" w:hAnsi="Times New Roman"/>
          <w:sz w:val="22"/>
          <w:szCs w:val="22"/>
          <w:lang w:eastAsia="en-US"/>
        </w:rPr>
      </w:pPr>
    </w:p>
    <w:p w14:paraId="6D01CE93" w14:textId="43636438" w:rsidR="006657EA" w:rsidRPr="006657EA" w:rsidRDefault="000F6C9B" w:rsidP="001C6B1A">
      <w:pPr>
        <w:numPr>
          <w:ilvl w:val="0"/>
          <w:numId w:val="49"/>
        </w:numPr>
        <w:spacing w:line="480" w:lineRule="auto"/>
        <w:contextualSpacing/>
        <w:jc w:val="both"/>
        <w:rPr>
          <w:rFonts w:ascii="Times New Roman" w:eastAsia="Calibri" w:hAnsi="Times New Roman"/>
          <w:sz w:val="22"/>
          <w:szCs w:val="22"/>
          <w:lang w:eastAsia="en-US"/>
        </w:rPr>
      </w:pPr>
      <w:r w:rsidRPr="002A1F99">
        <w:rPr>
          <w:rFonts w:ascii="Times New Roman" w:eastAsia="Calibri" w:hAnsi="Times New Roman"/>
          <w:sz w:val="22"/>
          <w:szCs w:val="22"/>
          <w:lang w:eastAsia="en-US"/>
        </w:rPr>
        <w:t>S</w:t>
      </w:r>
      <w:r w:rsidR="006657EA" w:rsidRPr="006657EA">
        <w:rPr>
          <w:rFonts w:ascii="Times New Roman" w:eastAsia="Calibri" w:hAnsi="Times New Roman"/>
          <w:sz w:val="22"/>
          <w:szCs w:val="22"/>
          <w:lang w:eastAsia="en-US"/>
        </w:rPr>
        <w:t>upervis</w:t>
      </w:r>
      <w:r w:rsidRPr="002A1F99">
        <w:rPr>
          <w:rFonts w:ascii="Times New Roman" w:eastAsia="Calibri" w:hAnsi="Times New Roman"/>
          <w:sz w:val="22"/>
          <w:szCs w:val="22"/>
          <w:lang w:eastAsia="en-US"/>
        </w:rPr>
        <w:t>i</w:t>
      </w:r>
      <w:r w:rsidR="006657EA" w:rsidRPr="006657EA">
        <w:rPr>
          <w:rFonts w:ascii="Times New Roman" w:eastAsia="Calibri" w:hAnsi="Times New Roman"/>
          <w:sz w:val="22"/>
          <w:szCs w:val="22"/>
          <w:lang w:eastAsia="en-US"/>
        </w:rPr>
        <w:t>ó</w:t>
      </w:r>
      <w:r w:rsidRPr="002A1F99">
        <w:rPr>
          <w:rFonts w:ascii="Times New Roman" w:eastAsia="Calibri" w:hAnsi="Times New Roman"/>
          <w:sz w:val="22"/>
          <w:szCs w:val="22"/>
          <w:lang w:eastAsia="en-US"/>
        </w:rPr>
        <w:t>n</w:t>
      </w:r>
      <w:r w:rsidR="006657EA" w:rsidRPr="006657EA">
        <w:rPr>
          <w:rFonts w:ascii="Times New Roman" w:eastAsia="Calibri" w:hAnsi="Times New Roman"/>
          <w:sz w:val="22"/>
          <w:szCs w:val="22"/>
          <w:lang w:eastAsia="en-US"/>
        </w:rPr>
        <w:t xml:space="preserve"> y fiscaliz</w:t>
      </w:r>
      <w:r w:rsidRPr="002A1F99">
        <w:rPr>
          <w:rFonts w:ascii="Times New Roman" w:eastAsia="Calibri" w:hAnsi="Times New Roman"/>
          <w:sz w:val="22"/>
          <w:szCs w:val="22"/>
          <w:lang w:eastAsia="en-US"/>
        </w:rPr>
        <w:t>ación</w:t>
      </w:r>
      <w:r w:rsidR="006657EA" w:rsidRPr="006657EA">
        <w:rPr>
          <w:rFonts w:ascii="Times New Roman" w:eastAsia="Calibri" w:hAnsi="Times New Roman"/>
          <w:sz w:val="22"/>
          <w:szCs w:val="22"/>
          <w:lang w:eastAsia="en-US"/>
        </w:rPr>
        <w:t xml:space="preserve"> del proyecto, con una inversión de (RD$5, 821,356.96).  El proyecto fue finalizado en un 100%.</w:t>
      </w:r>
    </w:p>
    <w:p w14:paraId="3619C0F4" w14:textId="77777777" w:rsidR="003226E0" w:rsidRPr="003226E0" w:rsidRDefault="003226E0" w:rsidP="003226E0">
      <w:pPr>
        <w:spacing w:line="360" w:lineRule="auto"/>
        <w:ind w:left="750"/>
        <w:contextualSpacing/>
        <w:jc w:val="both"/>
        <w:rPr>
          <w:rFonts w:ascii="Times New Roman" w:eastAsia="Calibri" w:hAnsi="Times New Roman"/>
          <w:b/>
          <w:sz w:val="22"/>
          <w:lang w:eastAsia="en-US"/>
        </w:rPr>
      </w:pPr>
    </w:p>
    <w:p w14:paraId="42802DA5" w14:textId="77777777" w:rsidR="006657EA" w:rsidRPr="006657EA" w:rsidRDefault="006657EA" w:rsidP="001C6B1A">
      <w:pPr>
        <w:numPr>
          <w:ilvl w:val="0"/>
          <w:numId w:val="49"/>
        </w:numPr>
        <w:spacing w:line="480" w:lineRule="auto"/>
        <w:contextualSpacing/>
        <w:jc w:val="both"/>
        <w:rPr>
          <w:rFonts w:ascii="Times New Roman" w:eastAsia="Calibri" w:hAnsi="Times New Roman"/>
          <w:b/>
          <w:lang w:eastAsia="en-US"/>
        </w:rPr>
      </w:pPr>
      <w:r w:rsidRPr="006657EA">
        <w:rPr>
          <w:rFonts w:ascii="Times New Roman" w:eastAsia="Calibri" w:hAnsi="Times New Roman"/>
          <w:b/>
          <w:lang w:val="es-ES_tradnl" w:eastAsia="en-US"/>
        </w:rPr>
        <w:t>Asociación Banileja de Productores de Mango (ABAPROMANGO)</w:t>
      </w:r>
    </w:p>
    <w:p w14:paraId="4A63F82B" w14:textId="77777777" w:rsidR="006657EA" w:rsidRPr="00DC410F" w:rsidRDefault="006657EA" w:rsidP="00DC410F">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DC410F">
        <w:rPr>
          <w:rFonts w:ascii="Times New Roman" w:hAnsi="Times New Roman"/>
          <w:lang w:val="es-ES_tradnl"/>
        </w:rPr>
        <w:t xml:space="preserve">Por instrucciones del Señor Presidente de la República, se designó al Ministerio de Agricultura para la construcción de la Planta Empacadora de Mango de la Asociación Banileja de Productores de Mango (ABAPROMANGO), con una inversión de (RD$151,369,516.99). </w:t>
      </w:r>
    </w:p>
    <w:p w14:paraId="00FC72CE" w14:textId="77777777" w:rsidR="003226E0" w:rsidRPr="006657EA" w:rsidRDefault="003226E0" w:rsidP="003226E0">
      <w:pPr>
        <w:spacing w:after="0" w:line="360" w:lineRule="auto"/>
        <w:ind w:left="720"/>
        <w:contextualSpacing/>
        <w:jc w:val="both"/>
        <w:rPr>
          <w:rFonts w:ascii="Times New Roman" w:eastAsia="Calibri" w:hAnsi="Times New Roman"/>
          <w:sz w:val="22"/>
          <w:szCs w:val="22"/>
          <w:lang w:eastAsia="en-US"/>
        </w:rPr>
      </w:pPr>
    </w:p>
    <w:p w14:paraId="783472AB" w14:textId="77777777" w:rsidR="006657EA" w:rsidRPr="006657EA" w:rsidRDefault="006657EA" w:rsidP="001C6B1A">
      <w:pPr>
        <w:numPr>
          <w:ilvl w:val="0"/>
          <w:numId w:val="49"/>
        </w:numPr>
        <w:spacing w:line="480" w:lineRule="auto"/>
        <w:contextualSpacing/>
        <w:jc w:val="both"/>
        <w:rPr>
          <w:rFonts w:ascii="Times New Roman" w:eastAsia="Calibri" w:hAnsi="Times New Roman"/>
          <w:b/>
          <w:lang w:eastAsia="en-US"/>
        </w:rPr>
      </w:pPr>
      <w:r w:rsidRPr="006657EA">
        <w:rPr>
          <w:rFonts w:ascii="Times New Roman" w:eastAsia="Calibri" w:hAnsi="Times New Roman"/>
          <w:b/>
          <w:lang w:val="es-ES_tradnl" w:eastAsia="en-US"/>
        </w:rPr>
        <w:t>Ministerio de Energía y Minas</w:t>
      </w:r>
    </w:p>
    <w:p w14:paraId="0F1FFD4A" w14:textId="007D9DEE" w:rsidR="006657EA" w:rsidRPr="00DC410F" w:rsidRDefault="000F6C9B" w:rsidP="00DC410F">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DC410F">
        <w:rPr>
          <w:rFonts w:ascii="Times New Roman" w:hAnsi="Times New Roman"/>
          <w:lang w:val="es-ES_tradnl"/>
        </w:rPr>
        <w:t>En coordinación con el</w:t>
      </w:r>
      <w:r w:rsidR="006657EA" w:rsidRPr="00DC410F">
        <w:rPr>
          <w:rFonts w:ascii="Times New Roman" w:hAnsi="Times New Roman"/>
          <w:lang w:val="es-ES_tradnl"/>
        </w:rPr>
        <w:t xml:space="preserve"> Ministerio de Energía y Minas, se está trabajando en la reducción del 10% del consumo eléctrico</w:t>
      </w:r>
      <w:r w:rsidRPr="00DC410F">
        <w:rPr>
          <w:rFonts w:ascii="Times New Roman" w:hAnsi="Times New Roman"/>
          <w:lang w:val="es-ES_tradnl"/>
        </w:rPr>
        <w:t>.</w:t>
      </w:r>
      <w:r w:rsidR="006657EA" w:rsidRPr="00DC410F">
        <w:rPr>
          <w:rFonts w:ascii="Times New Roman" w:hAnsi="Times New Roman"/>
          <w:lang w:val="es-ES_tradnl"/>
        </w:rPr>
        <w:t xml:space="preserve"> </w:t>
      </w:r>
      <w:r w:rsidRPr="00DC410F">
        <w:rPr>
          <w:rFonts w:ascii="Times New Roman" w:hAnsi="Times New Roman"/>
          <w:lang w:val="es-ES_tradnl"/>
        </w:rPr>
        <w:t>P</w:t>
      </w:r>
      <w:r w:rsidR="006657EA" w:rsidRPr="00DC410F">
        <w:rPr>
          <w:rFonts w:ascii="Times New Roman" w:hAnsi="Times New Roman"/>
          <w:lang w:val="es-ES_tradnl"/>
        </w:rPr>
        <w:t>ara</w:t>
      </w:r>
      <w:r w:rsidRPr="00DC410F">
        <w:rPr>
          <w:rFonts w:ascii="Times New Roman" w:hAnsi="Times New Roman"/>
          <w:lang w:val="es-ES_tradnl"/>
        </w:rPr>
        <w:t xml:space="preserve"> </w:t>
      </w:r>
      <w:r w:rsidR="006657EA" w:rsidRPr="00DC410F">
        <w:rPr>
          <w:rFonts w:ascii="Times New Roman" w:hAnsi="Times New Roman"/>
          <w:lang w:val="es-ES_tradnl"/>
        </w:rPr>
        <w:t>cumplir esta meta presidencial</w:t>
      </w:r>
      <w:r w:rsidRPr="00DC410F">
        <w:rPr>
          <w:rFonts w:ascii="Times New Roman" w:hAnsi="Times New Roman"/>
          <w:lang w:val="es-ES_tradnl"/>
        </w:rPr>
        <w:t>,</w:t>
      </w:r>
      <w:r w:rsidR="006657EA" w:rsidRPr="00DC410F">
        <w:rPr>
          <w:rFonts w:ascii="Times New Roman" w:hAnsi="Times New Roman"/>
          <w:lang w:val="es-ES_tradnl"/>
        </w:rPr>
        <w:t xml:space="preserve"> </w:t>
      </w:r>
      <w:r w:rsidRPr="00DC410F">
        <w:rPr>
          <w:rFonts w:ascii="Times New Roman" w:hAnsi="Times New Roman"/>
          <w:lang w:val="es-ES_tradnl"/>
        </w:rPr>
        <w:t>e</w:t>
      </w:r>
      <w:r w:rsidR="006657EA" w:rsidRPr="00DC410F">
        <w:rPr>
          <w:rFonts w:ascii="Times New Roman" w:hAnsi="Times New Roman"/>
          <w:lang w:val="es-ES_tradnl"/>
        </w:rPr>
        <w:t xml:space="preserve">l Viceministerio de Energía y Minas ha dado soporte junto </w:t>
      </w:r>
      <w:r w:rsidRPr="00DC410F">
        <w:rPr>
          <w:rFonts w:ascii="Times New Roman" w:hAnsi="Times New Roman"/>
          <w:lang w:val="es-ES_tradnl"/>
        </w:rPr>
        <w:t>al Ministerio de Medio Ambiente</w:t>
      </w:r>
      <w:r w:rsidR="006657EA" w:rsidRPr="00DC410F">
        <w:rPr>
          <w:rFonts w:ascii="Times New Roman" w:hAnsi="Times New Roman"/>
          <w:lang w:val="es-ES_tradnl"/>
        </w:rPr>
        <w:t xml:space="preserve"> para</w:t>
      </w:r>
      <w:r w:rsidRPr="00DC410F">
        <w:rPr>
          <w:rFonts w:ascii="Times New Roman" w:hAnsi="Times New Roman"/>
          <w:lang w:val="es-ES_tradnl"/>
        </w:rPr>
        <w:t xml:space="preserve"> el </w:t>
      </w:r>
      <w:r w:rsidR="006657EA" w:rsidRPr="00DC410F">
        <w:rPr>
          <w:rFonts w:ascii="Times New Roman" w:hAnsi="Times New Roman"/>
          <w:lang w:val="es-ES_tradnl"/>
        </w:rPr>
        <w:t>cumpli</w:t>
      </w:r>
      <w:r w:rsidRPr="00DC410F">
        <w:rPr>
          <w:rFonts w:ascii="Times New Roman" w:hAnsi="Times New Roman"/>
          <w:lang w:val="es-ES_tradnl"/>
        </w:rPr>
        <w:t>miento de</w:t>
      </w:r>
      <w:r w:rsidR="006657EA" w:rsidRPr="00DC410F">
        <w:rPr>
          <w:rFonts w:ascii="Times New Roman" w:hAnsi="Times New Roman"/>
          <w:lang w:val="es-ES_tradnl"/>
        </w:rPr>
        <w:t xml:space="preserve"> dicha meta. Entre las medidas tomadas, se destacan: la capacitación de nuestro Gestor Eléctrico en Eficientización Energética, así como la colocación de analizadores de carga en las líneas 208 y 480, para </w:t>
      </w:r>
      <w:r w:rsidR="006657EA" w:rsidRPr="00DC410F">
        <w:rPr>
          <w:rFonts w:ascii="Times New Roman" w:hAnsi="Times New Roman"/>
          <w:lang w:val="es-ES_tradnl"/>
        </w:rPr>
        <w:lastRenderedPageBreak/>
        <w:t>verifica</w:t>
      </w:r>
      <w:r w:rsidR="002A1F99" w:rsidRPr="00DC410F">
        <w:rPr>
          <w:rFonts w:ascii="Times New Roman" w:hAnsi="Times New Roman"/>
          <w:lang w:val="es-ES_tradnl"/>
        </w:rPr>
        <w:t>ción de las fluctuaciones energéticas.</w:t>
      </w:r>
    </w:p>
    <w:p w14:paraId="61F1541D" w14:textId="77777777" w:rsidR="006432B0" w:rsidRPr="006657EA" w:rsidRDefault="006432B0" w:rsidP="006657EA">
      <w:pPr>
        <w:spacing w:line="480" w:lineRule="auto"/>
        <w:ind w:left="720"/>
        <w:contextualSpacing/>
        <w:jc w:val="both"/>
        <w:rPr>
          <w:rFonts w:ascii="Times New Roman" w:eastAsia="Calibri" w:hAnsi="Times New Roman"/>
          <w:sz w:val="22"/>
          <w:szCs w:val="22"/>
          <w:lang w:eastAsia="en-US"/>
        </w:rPr>
      </w:pPr>
    </w:p>
    <w:p w14:paraId="1B7E0F76" w14:textId="77777777" w:rsidR="006657EA" w:rsidRPr="006657EA" w:rsidRDefault="006657EA" w:rsidP="001C6B1A">
      <w:pPr>
        <w:numPr>
          <w:ilvl w:val="0"/>
          <w:numId w:val="49"/>
        </w:numPr>
        <w:spacing w:line="480" w:lineRule="auto"/>
        <w:contextualSpacing/>
        <w:jc w:val="both"/>
        <w:rPr>
          <w:rFonts w:ascii="Times New Roman" w:eastAsia="Calibri" w:hAnsi="Times New Roman"/>
          <w:b/>
          <w:lang w:eastAsia="en-US"/>
        </w:rPr>
      </w:pPr>
      <w:r w:rsidRPr="006657EA">
        <w:rPr>
          <w:rFonts w:ascii="Times New Roman" w:eastAsia="Calibri" w:hAnsi="Times New Roman"/>
          <w:b/>
          <w:lang w:val="es-ES_tradnl" w:eastAsia="en-US"/>
        </w:rPr>
        <w:t>Defensa Civil</w:t>
      </w:r>
    </w:p>
    <w:p w14:paraId="4E23D57E" w14:textId="45CA8E5D" w:rsidR="006657EA" w:rsidRPr="00DC410F" w:rsidRDefault="006657EA" w:rsidP="00DC410F">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DC410F">
        <w:rPr>
          <w:rFonts w:ascii="Times New Roman" w:hAnsi="Times New Roman"/>
          <w:lang w:val="es-ES_tradnl"/>
        </w:rPr>
        <w:t xml:space="preserve">Mediante la resolución No. RES-MA-2018-67 de fecha 31 de agosto del 2018, el Departamento de Ingeniería </w:t>
      </w:r>
      <w:r w:rsidR="002A1F99" w:rsidRPr="00DC410F">
        <w:rPr>
          <w:rFonts w:ascii="Times New Roman" w:hAnsi="Times New Roman"/>
          <w:lang w:val="es-ES_tradnl"/>
        </w:rPr>
        <w:t>fue incluido como miembro del Comité EGERSER;</w:t>
      </w:r>
      <w:r w:rsidRPr="00DC410F">
        <w:rPr>
          <w:rFonts w:ascii="Times New Roman" w:hAnsi="Times New Roman"/>
          <w:lang w:val="es-ES_tradnl"/>
        </w:rPr>
        <w:t xml:space="preserve"> donde se trazan las acciones a tomar en cuenta para crear en </w:t>
      </w:r>
      <w:r w:rsidR="00474889" w:rsidRPr="00DC410F">
        <w:rPr>
          <w:rFonts w:ascii="Times New Roman" w:hAnsi="Times New Roman"/>
          <w:lang w:val="es-ES_tradnl"/>
        </w:rPr>
        <w:t>la e</w:t>
      </w:r>
      <w:r w:rsidRPr="00DC410F">
        <w:rPr>
          <w:rFonts w:ascii="Times New Roman" w:hAnsi="Times New Roman"/>
          <w:lang w:val="es-ES_tradnl"/>
        </w:rPr>
        <w:t xml:space="preserve">dificación </w:t>
      </w:r>
      <w:r w:rsidR="00474889" w:rsidRPr="00DC410F">
        <w:rPr>
          <w:rFonts w:ascii="Times New Roman" w:hAnsi="Times New Roman"/>
          <w:lang w:val="es-ES_tradnl"/>
        </w:rPr>
        <w:t xml:space="preserve">del Ministerio </w:t>
      </w:r>
      <w:r w:rsidRPr="00DC410F">
        <w:rPr>
          <w:rFonts w:ascii="Times New Roman" w:hAnsi="Times New Roman"/>
          <w:lang w:val="es-ES_tradnl"/>
        </w:rPr>
        <w:t xml:space="preserve">un entorno seguro, donde se establezcan planes de contingencia ante cualquier catástrofe. Conjuntamente con la Defensa Civil se trazaron </w:t>
      </w:r>
      <w:r w:rsidR="007F78AB" w:rsidRPr="00DC410F">
        <w:rPr>
          <w:rFonts w:ascii="Times New Roman" w:hAnsi="Times New Roman"/>
          <w:lang w:val="es-ES_tradnl"/>
        </w:rPr>
        <w:t>r</w:t>
      </w:r>
      <w:r w:rsidRPr="00DC410F">
        <w:rPr>
          <w:rFonts w:ascii="Times New Roman" w:hAnsi="Times New Roman"/>
          <w:lang w:val="es-ES_tradnl"/>
        </w:rPr>
        <w:t>utas de evacuaciones en caso de un siniestro</w:t>
      </w:r>
      <w:r w:rsidR="00474889" w:rsidRPr="00DC410F">
        <w:rPr>
          <w:rFonts w:ascii="Times New Roman" w:hAnsi="Times New Roman"/>
          <w:lang w:val="es-ES_tradnl"/>
        </w:rPr>
        <w:t>.</w:t>
      </w:r>
    </w:p>
    <w:p w14:paraId="73D37913" w14:textId="77777777" w:rsidR="007F78AB" w:rsidRPr="006657EA" w:rsidRDefault="007F78AB" w:rsidP="006657EA">
      <w:pPr>
        <w:spacing w:line="480" w:lineRule="auto"/>
        <w:ind w:left="720"/>
        <w:contextualSpacing/>
        <w:jc w:val="both"/>
        <w:rPr>
          <w:rFonts w:ascii="Times New Roman" w:eastAsia="Calibri" w:hAnsi="Times New Roman"/>
          <w:sz w:val="22"/>
          <w:szCs w:val="22"/>
          <w:lang w:eastAsia="en-US"/>
        </w:rPr>
      </w:pPr>
    </w:p>
    <w:p w14:paraId="4FC22262" w14:textId="77777777" w:rsidR="006657EA" w:rsidRPr="006657EA" w:rsidRDefault="006657EA" w:rsidP="001C6B1A">
      <w:pPr>
        <w:numPr>
          <w:ilvl w:val="0"/>
          <w:numId w:val="49"/>
        </w:numPr>
        <w:spacing w:line="480" w:lineRule="auto"/>
        <w:contextualSpacing/>
        <w:jc w:val="both"/>
        <w:rPr>
          <w:rFonts w:ascii="Times New Roman" w:eastAsia="Calibri" w:hAnsi="Times New Roman"/>
          <w:b/>
          <w:lang w:eastAsia="en-US"/>
        </w:rPr>
      </w:pPr>
      <w:r w:rsidRPr="006657EA">
        <w:rPr>
          <w:rFonts w:ascii="Times New Roman" w:eastAsia="Calibri" w:hAnsi="Times New Roman"/>
          <w:b/>
          <w:lang w:val="es-ES_tradnl" w:eastAsia="en-US"/>
        </w:rPr>
        <w:t>Sistema Nacional de Emergencias 9-1-1</w:t>
      </w:r>
    </w:p>
    <w:p w14:paraId="65ADDABF" w14:textId="113DD6A9" w:rsidR="006657EA" w:rsidRPr="00DC410F" w:rsidRDefault="006657EA" w:rsidP="00DC410F">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DC410F">
        <w:rPr>
          <w:rFonts w:ascii="Times New Roman" w:hAnsi="Times New Roman"/>
          <w:lang w:val="es-ES_tradnl"/>
        </w:rPr>
        <w:t>En la Sede Principal del Ministerio, se colocó una nueva antena para el Sistema Nacional de Emergencia</w:t>
      </w:r>
      <w:r w:rsidR="00036367" w:rsidRPr="00DC410F">
        <w:rPr>
          <w:rFonts w:ascii="Times New Roman" w:hAnsi="Times New Roman"/>
          <w:lang w:val="es-ES_tradnl"/>
        </w:rPr>
        <w:t xml:space="preserve"> 9-1-1</w:t>
      </w:r>
      <w:r w:rsidRPr="00DC410F">
        <w:rPr>
          <w:rFonts w:ascii="Times New Roman" w:hAnsi="Times New Roman"/>
          <w:lang w:val="es-ES_tradnl"/>
        </w:rPr>
        <w:t xml:space="preserve">, </w:t>
      </w:r>
      <w:r w:rsidR="00036367" w:rsidRPr="00DC410F">
        <w:rPr>
          <w:rFonts w:ascii="Times New Roman" w:hAnsi="Times New Roman"/>
          <w:lang w:val="es-ES_tradnl"/>
        </w:rPr>
        <w:t xml:space="preserve">lo </w:t>
      </w:r>
      <w:r w:rsidRPr="00DC410F">
        <w:rPr>
          <w:rFonts w:ascii="Times New Roman" w:hAnsi="Times New Roman"/>
          <w:lang w:val="es-ES_tradnl"/>
        </w:rPr>
        <w:t xml:space="preserve">cual contribuye a un mayor alcance y cobertura. </w:t>
      </w:r>
    </w:p>
    <w:p w14:paraId="6DE73B62" w14:textId="77777777" w:rsidR="00D13541" w:rsidRPr="006657EA" w:rsidRDefault="00D13541" w:rsidP="006657EA">
      <w:pPr>
        <w:spacing w:after="0" w:line="480" w:lineRule="auto"/>
        <w:jc w:val="both"/>
        <w:rPr>
          <w:rFonts w:ascii="Times New Roman" w:hAnsi="Times New Roman"/>
        </w:rPr>
      </w:pPr>
    </w:p>
    <w:p w14:paraId="3C9714F1" w14:textId="1394EDE2" w:rsidR="008B1BB6" w:rsidRPr="008B1BB6" w:rsidRDefault="008B1BB6" w:rsidP="00CA5792">
      <w:pPr>
        <w:pStyle w:val="Ttulo3"/>
      </w:pPr>
      <w:bookmarkStart w:id="150" w:name="_Toc26292052"/>
      <w:bookmarkStart w:id="151" w:name="_Toc27146756"/>
      <w:r w:rsidRPr="008B1BB6">
        <w:t xml:space="preserve">Programa de </w:t>
      </w:r>
      <w:r>
        <w:t>s</w:t>
      </w:r>
      <w:r w:rsidRPr="008B1BB6">
        <w:t xml:space="preserve">aneamiento </w:t>
      </w:r>
      <w:r>
        <w:t>b</w:t>
      </w:r>
      <w:r w:rsidRPr="008B1BB6">
        <w:t xml:space="preserve">ásico de </w:t>
      </w:r>
      <w:r>
        <w:t>p</w:t>
      </w:r>
      <w:r w:rsidRPr="008B1BB6">
        <w:t>equeñas obras rurales</w:t>
      </w:r>
      <w:bookmarkEnd w:id="150"/>
      <w:bookmarkEnd w:id="151"/>
    </w:p>
    <w:p w14:paraId="5ADE142A" w14:textId="7C3C4E00" w:rsidR="00B87FE2" w:rsidRPr="008B1BB6" w:rsidRDefault="00B87FE2" w:rsidP="00B87FE2">
      <w:pPr>
        <w:widowControl w:val="0"/>
        <w:tabs>
          <w:tab w:val="left" w:pos="0"/>
        </w:tabs>
        <w:autoSpaceDE w:val="0"/>
        <w:autoSpaceDN w:val="0"/>
        <w:adjustRightInd w:val="0"/>
        <w:spacing w:after="0" w:line="480" w:lineRule="auto"/>
        <w:ind w:firstLine="709"/>
        <w:contextualSpacing/>
        <w:jc w:val="both"/>
        <w:rPr>
          <w:rFonts w:ascii="Times New Roman" w:hAnsi="Times New Roman"/>
          <w:lang w:val="es-ES_tradnl"/>
        </w:rPr>
      </w:pPr>
    </w:p>
    <w:p w14:paraId="14B868F3" w14:textId="353A4737" w:rsidR="00D91DFE" w:rsidRPr="007F78AB" w:rsidRDefault="00B87FE2" w:rsidP="00A5119E">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7F78AB">
        <w:rPr>
          <w:rFonts w:ascii="Times New Roman" w:hAnsi="Times New Roman"/>
          <w:lang w:val="es-ES_tradnl"/>
        </w:rPr>
        <w:t xml:space="preserve">El Ministerio de Agricultura estableció el programa de construcción, rehabilitación </w:t>
      </w:r>
      <w:r w:rsidR="003226E0">
        <w:rPr>
          <w:rFonts w:ascii="Times New Roman" w:hAnsi="Times New Roman"/>
          <w:lang w:val="es-ES_tradnl"/>
        </w:rPr>
        <w:t>y mantenimiento de casa rurales</w:t>
      </w:r>
      <w:r w:rsidRPr="007F78AB">
        <w:rPr>
          <w:rFonts w:ascii="Times New Roman" w:hAnsi="Times New Roman"/>
          <w:lang w:val="es-ES_tradnl"/>
        </w:rPr>
        <w:t xml:space="preserve"> en a</w:t>
      </w:r>
      <w:r w:rsidR="00EC0CEC" w:rsidRPr="007F78AB">
        <w:rPr>
          <w:rFonts w:ascii="Times New Roman" w:hAnsi="Times New Roman"/>
          <w:lang w:val="es-ES_tradnl"/>
        </w:rPr>
        <w:t>poyo a la agricultura familiar</w:t>
      </w:r>
      <w:r w:rsidR="003226E0">
        <w:rPr>
          <w:rFonts w:ascii="Times New Roman" w:hAnsi="Times New Roman"/>
          <w:lang w:val="es-ES_tradnl"/>
        </w:rPr>
        <w:t>,</w:t>
      </w:r>
      <w:r w:rsidR="00EC0CEC" w:rsidRPr="007F78AB">
        <w:rPr>
          <w:rFonts w:ascii="Times New Roman" w:hAnsi="Times New Roman"/>
          <w:lang w:val="es-ES_tradnl"/>
        </w:rPr>
        <w:t xml:space="preserve"> el cual inicio en la provincia Hermanas Mirabal</w:t>
      </w:r>
      <w:r w:rsidR="00A5119E" w:rsidRPr="007F78AB">
        <w:rPr>
          <w:rFonts w:ascii="Times New Roman" w:hAnsi="Times New Roman"/>
          <w:lang w:val="es-ES_tradnl"/>
        </w:rPr>
        <w:t xml:space="preserve"> y se expandió a las provincias: El Seibo, Peravia, Puerto Plata y el Gran Santo Domingo,</w:t>
      </w:r>
      <w:r w:rsidR="00EC0CEC" w:rsidRPr="007F78AB">
        <w:rPr>
          <w:rFonts w:ascii="Times New Roman" w:hAnsi="Times New Roman"/>
          <w:lang w:val="es-ES_tradnl"/>
        </w:rPr>
        <w:t xml:space="preserve"> logrando construir un total de </w:t>
      </w:r>
      <w:r w:rsidR="00A5119E" w:rsidRPr="007F78AB">
        <w:rPr>
          <w:rFonts w:ascii="Times New Roman" w:hAnsi="Times New Roman"/>
          <w:lang w:val="es-ES_tradnl"/>
        </w:rPr>
        <w:t>79</w:t>
      </w:r>
      <w:r w:rsidR="00EC0CEC" w:rsidRPr="007F78AB">
        <w:rPr>
          <w:rFonts w:ascii="Times New Roman" w:hAnsi="Times New Roman"/>
          <w:lang w:val="es-ES_tradnl"/>
        </w:rPr>
        <w:t xml:space="preserve"> viviendas rurales, benefician</w:t>
      </w:r>
      <w:r w:rsidR="00A5119E" w:rsidRPr="007F78AB">
        <w:rPr>
          <w:rFonts w:ascii="Times New Roman" w:hAnsi="Times New Roman"/>
          <w:lang w:val="es-ES_tradnl"/>
        </w:rPr>
        <w:t>do a igual cantidad de familias, con una inversión total ascendente a RD$</w:t>
      </w:r>
      <w:r w:rsidR="00A5119E" w:rsidRPr="00DC410F">
        <w:rPr>
          <w:rFonts w:ascii="Times New Roman" w:hAnsi="Times New Roman"/>
          <w:lang w:val="es-ES_tradnl"/>
        </w:rPr>
        <w:t>10,141,099.19.</w:t>
      </w:r>
    </w:p>
    <w:p w14:paraId="2D1C67C0" w14:textId="373D07D8" w:rsidR="00A5119E" w:rsidRPr="007F78AB" w:rsidRDefault="00A5119E" w:rsidP="00B87FE2">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3B62BCA4" w14:textId="4DA32474" w:rsidR="00A5119E" w:rsidRDefault="00A5119E" w:rsidP="00B87FE2">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7F78AB">
        <w:rPr>
          <w:rFonts w:ascii="Times New Roman" w:hAnsi="Times New Roman"/>
          <w:lang w:val="es-ES_tradnl"/>
        </w:rPr>
        <w:t>Actualmente se encuentran en proceso de construcción una</w:t>
      </w:r>
      <w:r w:rsidR="00E30BD3">
        <w:rPr>
          <w:rFonts w:ascii="Times New Roman" w:hAnsi="Times New Roman"/>
          <w:lang w:val="es-ES_tradnl"/>
        </w:rPr>
        <w:t>s</w:t>
      </w:r>
      <w:r w:rsidRPr="007F78AB">
        <w:rPr>
          <w:rFonts w:ascii="Times New Roman" w:hAnsi="Times New Roman"/>
          <w:lang w:val="es-ES_tradnl"/>
        </w:rPr>
        <w:t xml:space="preserve"> 31 viviendas en el limón, provincia Independencia, El Mundito, Bahoruco y la Provincia Hermanas Mirabal, con una inversión ascendente a RD$3,91,097.40.</w:t>
      </w:r>
    </w:p>
    <w:p w14:paraId="4A50B2B9" w14:textId="7E3F0049" w:rsidR="00B87FE2" w:rsidRPr="007F78AB" w:rsidRDefault="00D91DFE" w:rsidP="00B87FE2">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7F78AB">
        <w:rPr>
          <w:rFonts w:ascii="Times New Roman" w:hAnsi="Times New Roman"/>
          <w:lang w:val="es-ES_tradnl"/>
        </w:rPr>
        <w:t xml:space="preserve">El programa </w:t>
      </w:r>
      <w:r w:rsidR="00A5119E" w:rsidRPr="007F78AB">
        <w:rPr>
          <w:rFonts w:ascii="Times New Roman" w:hAnsi="Times New Roman"/>
          <w:lang w:val="es-ES_tradnl"/>
        </w:rPr>
        <w:t xml:space="preserve">tiene como propósito contribuir </w:t>
      </w:r>
      <w:r w:rsidRPr="007F78AB">
        <w:rPr>
          <w:rFonts w:ascii="Times New Roman" w:hAnsi="Times New Roman"/>
          <w:lang w:val="es-ES_tradnl"/>
        </w:rPr>
        <w:t>a dignificar</w:t>
      </w:r>
      <w:r w:rsidR="00A5119E" w:rsidRPr="007F78AB">
        <w:rPr>
          <w:rFonts w:ascii="Times New Roman" w:hAnsi="Times New Roman"/>
          <w:lang w:val="es-ES_tradnl"/>
        </w:rPr>
        <w:t xml:space="preserve"> y mejorar</w:t>
      </w:r>
      <w:r w:rsidR="00EC0CEC" w:rsidRPr="007F78AB">
        <w:rPr>
          <w:rFonts w:ascii="Times New Roman" w:hAnsi="Times New Roman"/>
          <w:lang w:val="es-ES_tradnl"/>
        </w:rPr>
        <w:t xml:space="preserve"> las condiciones de vida de los miembros de familia</w:t>
      </w:r>
      <w:r w:rsidR="003226E0">
        <w:rPr>
          <w:rFonts w:ascii="Times New Roman" w:hAnsi="Times New Roman"/>
          <w:lang w:val="es-ES_tradnl"/>
        </w:rPr>
        <w:t>s</w:t>
      </w:r>
      <w:r w:rsidR="00EC0CEC" w:rsidRPr="007F78AB">
        <w:rPr>
          <w:rFonts w:ascii="Times New Roman" w:hAnsi="Times New Roman"/>
          <w:lang w:val="es-ES_tradnl"/>
        </w:rPr>
        <w:t xml:space="preserve"> impactada</w:t>
      </w:r>
      <w:r w:rsidR="00A5119E" w:rsidRPr="007F78AB">
        <w:rPr>
          <w:rFonts w:ascii="Times New Roman" w:hAnsi="Times New Roman"/>
          <w:lang w:val="es-ES_tradnl"/>
        </w:rPr>
        <w:t>s</w:t>
      </w:r>
      <w:r w:rsidR="00EC0CEC" w:rsidRPr="007F78AB">
        <w:rPr>
          <w:rFonts w:ascii="Times New Roman" w:hAnsi="Times New Roman"/>
          <w:lang w:val="es-ES_tradnl"/>
        </w:rPr>
        <w:t xml:space="preserve">, así como contribuir a la reducción de los niveles de pobreza, </w:t>
      </w:r>
      <w:r w:rsidR="00B87FE2" w:rsidRPr="007F78AB">
        <w:rPr>
          <w:rFonts w:ascii="Times New Roman" w:hAnsi="Times New Roman"/>
          <w:lang w:val="es-ES_tradnl"/>
        </w:rPr>
        <w:t>los componentes del programa incluyen:</w:t>
      </w:r>
    </w:p>
    <w:p w14:paraId="14E530B0" w14:textId="77777777" w:rsidR="00D13541" w:rsidRPr="007F78AB" w:rsidRDefault="00D13541" w:rsidP="00B87FE2">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378987D6" w14:textId="77777777" w:rsidR="00B87FE2" w:rsidRPr="007F78AB" w:rsidRDefault="00B87FE2" w:rsidP="001C6B1A">
      <w:pPr>
        <w:pStyle w:val="Prrafodelista"/>
        <w:numPr>
          <w:ilvl w:val="0"/>
          <w:numId w:val="24"/>
        </w:numPr>
        <w:spacing w:line="480" w:lineRule="auto"/>
        <w:jc w:val="both"/>
        <w:rPr>
          <w:rFonts w:ascii="Times New Roman" w:hAnsi="Times New Roman"/>
          <w:sz w:val="24"/>
          <w:szCs w:val="24"/>
          <w:lang w:val="es-ES_tradnl"/>
        </w:rPr>
      </w:pPr>
      <w:r w:rsidRPr="007F78AB">
        <w:rPr>
          <w:rFonts w:ascii="Times New Roman" w:hAnsi="Times New Roman"/>
          <w:sz w:val="24"/>
          <w:szCs w:val="24"/>
          <w:lang w:val="es-ES_tradnl"/>
        </w:rPr>
        <w:t>Cambio de piso de tierra por cemento.</w:t>
      </w:r>
    </w:p>
    <w:p w14:paraId="322CE38D" w14:textId="77777777" w:rsidR="00B87FE2" w:rsidRPr="007F78AB" w:rsidRDefault="00B87FE2" w:rsidP="001C6B1A">
      <w:pPr>
        <w:pStyle w:val="Prrafodelista"/>
        <w:numPr>
          <w:ilvl w:val="0"/>
          <w:numId w:val="24"/>
        </w:numPr>
        <w:spacing w:line="480" w:lineRule="auto"/>
        <w:jc w:val="both"/>
        <w:rPr>
          <w:rFonts w:ascii="Times New Roman" w:hAnsi="Times New Roman"/>
          <w:sz w:val="24"/>
          <w:szCs w:val="24"/>
          <w:lang w:val="es-ES_tradnl"/>
        </w:rPr>
      </w:pPr>
      <w:r w:rsidRPr="007F78AB">
        <w:rPr>
          <w:rFonts w:ascii="Times New Roman" w:hAnsi="Times New Roman"/>
          <w:sz w:val="24"/>
          <w:szCs w:val="24"/>
          <w:lang w:val="es-ES_tradnl"/>
        </w:rPr>
        <w:t>Electrificación rural con paneles solares.</w:t>
      </w:r>
    </w:p>
    <w:p w14:paraId="7F2264A5" w14:textId="77777777" w:rsidR="00B87FE2" w:rsidRPr="007F78AB" w:rsidRDefault="00B87FE2" w:rsidP="001C6B1A">
      <w:pPr>
        <w:pStyle w:val="Prrafodelista"/>
        <w:numPr>
          <w:ilvl w:val="0"/>
          <w:numId w:val="24"/>
        </w:numPr>
        <w:spacing w:line="480" w:lineRule="auto"/>
        <w:jc w:val="both"/>
        <w:rPr>
          <w:rFonts w:ascii="Times New Roman" w:hAnsi="Times New Roman"/>
          <w:sz w:val="24"/>
          <w:szCs w:val="24"/>
          <w:lang w:val="es-ES_tradnl"/>
        </w:rPr>
      </w:pPr>
      <w:r w:rsidRPr="007F78AB">
        <w:rPr>
          <w:rFonts w:ascii="Times New Roman" w:hAnsi="Times New Roman"/>
          <w:sz w:val="24"/>
          <w:szCs w:val="24"/>
          <w:lang w:val="es-ES_tradnl"/>
        </w:rPr>
        <w:t>Capitación y almacenamiento de agua.</w:t>
      </w:r>
    </w:p>
    <w:p w14:paraId="657C18A2" w14:textId="77777777" w:rsidR="00B87FE2" w:rsidRPr="007F78AB" w:rsidRDefault="00B87FE2" w:rsidP="001C6B1A">
      <w:pPr>
        <w:pStyle w:val="Prrafodelista"/>
        <w:numPr>
          <w:ilvl w:val="0"/>
          <w:numId w:val="24"/>
        </w:numPr>
        <w:spacing w:line="480" w:lineRule="auto"/>
        <w:jc w:val="both"/>
        <w:rPr>
          <w:rFonts w:ascii="Times New Roman" w:hAnsi="Times New Roman"/>
          <w:sz w:val="24"/>
          <w:szCs w:val="24"/>
          <w:lang w:val="es-ES_tradnl"/>
        </w:rPr>
      </w:pPr>
      <w:r w:rsidRPr="007F78AB">
        <w:rPr>
          <w:rFonts w:ascii="Times New Roman" w:hAnsi="Times New Roman"/>
          <w:sz w:val="24"/>
          <w:szCs w:val="24"/>
          <w:lang w:val="es-ES_tradnl"/>
        </w:rPr>
        <w:t>Construcción de letrinas.</w:t>
      </w:r>
    </w:p>
    <w:p w14:paraId="173FBC5F" w14:textId="5B6A6D17" w:rsidR="005916BC" w:rsidRDefault="005916BC" w:rsidP="00E30BD3">
      <w:pPr>
        <w:spacing w:after="0" w:line="480" w:lineRule="auto"/>
        <w:rPr>
          <w:rFonts w:ascii="Times New Roman" w:hAnsi="Times New Roman"/>
          <w:lang w:val="es-ES_tradnl"/>
        </w:rPr>
      </w:pPr>
    </w:p>
    <w:p w14:paraId="27445642" w14:textId="77777777" w:rsidR="00E30BD3" w:rsidRPr="003B40D4" w:rsidRDefault="00E30BD3" w:rsidP="00E30BD3">
      <w:pPr>
        <w:pStyle w:val="Ttulo3"/>
      </w:pPr>
      <w:bookmarkStart w:id="152" w:name="_Toc27146757"/>
      <w:r w:rsidRPr="003B40D4">
        <w:t>Apoyo al Programa de Alimentación Escolar, PAE</w:t>
      </w:r>
      <w:bookmarkEnd w:id="152"/>
    </w:p>
    <w:p w14:paraId="03ADDFF3" w14:textId="055459FC" w:rsidR="00E30BD3" w:rsidRDefault="00E30BD3" w:rsidP="00E30BD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30BD3">
        <w:rPr>
          <w:rFonts w:ascii="Times New Roman" w:hAnsi="Times New Roman"/>
          <w:lang w:val="es-ES_tradnl"/>
        </w:rPr>
        <w:t>El suministro de la alimentación escolar del programa de alimentación escolar PAE contribuye a incrementar las raciones a las diferentes modalidades del servicio, aportando raciones elaboradas localmente con menú variado de la canasta básica alimenticia:</w:t>
      </w:r>
    </w:p>
    <w:p w14:paraId="100CD8C4" w14:textId="77777777" w:rsidR="006432B0" w:rsidRPr="00E30BD3" w:rsidRDefault="006432B0" w:rsidP="00E30BD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407519B6" w14:textId="77777777" w:rsidR="00E30BD3" w:rsidRPr="00E30BD3" w:rsidRDefault="00E30BD3" w:rsidP="001C6B1A">
      <w:pPr>
        <w:pStyle w:val="Prrafodelista"/>
        <w:numPr>
          <w:ilvl w:val="0"/>
          <w:numId w:val="50"/>
        </w:numPr>
        <w:spacing w:after="0" w:line="480" w:lineRule="auto"/>
        <w:jc w:val="both"/>
        <w:rPr>
          <w:rFonts w:ascii="Times New Roman" w:hAnsi="Times New Roman"/>
          <w:sz w:val="24"/>
        </w:rPr>
      </w:pPr>
      <w:r w:rsidRPr="00E30BD3">
        <w:rPr>
          <w:rFonts w:ascii="Times New Roman" w:hAnsi="Times New Roman"/>
          <w:sz w:val="24"/>
        </w:rPr>
        <w:t>PAE – Desayuno Urbano</w:t>
      </w:r>
    </w:p>
    <w:p w14:paraId="676829F1" w14:textId="77777777" w:rsidR="00E30BD3" w:rsidRPr="00E30BD3" w:rsidRDefault="00E30BD3" w:rsidP="001C6B1A">
      <w:pPr>
        <w:pStyle w:val="Prrafodelista"/>
        <w:numPr>
          <w:ilvl w:val="0"/>
          <w:numId w:val="50"/>
        </w:numPr>
        <w:spacing w:after="0" w:line="480" w:lineRule="auto"/>
        <w:jc w:val="both"/>
        <w:rPr>
          <w:rFonts w:ascii="Times New Roman" w:hAnsi="Times New Roman"/>
          <w:sz w:val="24"/>
        </w:rPr>
      </w:pPr>
      <w:r w:rsidRPr="00E30BD3">
        <w:rPr>
          <w:rFonts w:ascii="Times New Roman" w:hAnsi="Times New Roman"/>
          <w:sz w:val="24"/>
        </w:rPr>
        <w:t>PAE – Desayuno Rural</w:t>
      </w:r>
    </w:p>
    <w:p w14:paraId="221DDFB0" w14:textId="77777777" w:rsidR="00E30BD3" w:rsidRPr="00E30BD3" w:rsidRDefault="00E30BD3" w:rsidP="001C6B1A">
      <w:pPr>
        <w:pStyle w:val="Prrafodelista"/>
        <w:numPr>
          <w:ilvl w:val="0"/>
          <w:numId w:val="50"/>
        </w:numPr>
        <w:spacing w:after="0" w:line="480" w:lineRule="auto"/>
        <w:jc w:val="both"/>
        <w:rPr>
          <w:rFonts w:ascii="Times New Roman" w:hAnsi="Times New Roman"/>
          <w:sz w:val="24"/>
        </w:rPr>
      </w:pPr>
      <w:r w:rsidRPr="00E30BD3">
        <w:rPr>
          <w:rFonts w:ascii="Times New Roman" w:hAnsi="Times New Roman"/>
          <w:sz w:val="24"/>
        </w:rPr>
        <w:t>PAE – Desayuno Fronterizo</w:t>
      </w:r>
    </w:p>
    <w:p w14:paraId="6F1B344F" w14:textId="77777777" w:rsidR="00E30BD3" w:rsidRPr="00E30BD3" w:rsidRDefault="00E30BD3" w:rsidP="001C6B1A">
      <w:pPr>
        <w:pStyle w:val="Prrafodelista"/>
        <w:numPr>
          <w:ilvl w:val="0"/>
          <w:numId w:val="50"/>
        </w:numPr>
        <w:spacing w:after="0" w:line="480" w:lineRule="auto"/>
        <w:jc w:val="both"/>
        <w:rPr>
          <w:rFonts w:ascii="Times New Roman" w:hAnsi="Times New Roman"/>
          <w:sz w:val="24"/>
        </w:rPr>
      </w:pPr>
      <w:r w:rsidRPr="00E30BD3">
        <w:rPr>
          <w:rFonts w:ascii="Times New Roman" w:hAnsi="Times New Roman"/>
          <w:sz w:val="24"/>
        </w:rPr>
        <w:t>PAE – Almuerzo Escolar (Jornada Extendida)</w:t>
      </w:r>
    </w:p>
    <w:p w14:paraId="3C7A728D" w14:textId="77777777" w:rsidR="00E30BD3" w:rsidRPr="00E30BD3" w:rsidRDefault="00E30BD3" w:rsidP="00E30BD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30BD3">
        <w:rPr>
          <w:rFonts w:ascii="Times New Roman" w:hAnsi="Times New Roman"/>
          <w:lang w:val="es-ES_tradnl"/>
        </w:rPr>
        <w:lastRenderedPageBreak/>
        <w:t xml:space="preserve">Los beneficios nutricionales de los estudiantes de la modalidad Jornada Escolar Extendida, no solo han recibidos en la calidad de raciones alimenticias servidas de origen agropecuario, sino en la calidad y variedad de los alimentos que se sirven. Aumentándose el consumo de proteínas animales y vegetales, mediante la inclusión de productos fresco de la agropecuaria nacional. </w:t>
      </w:r>
    </w:p>
    <w:p w14:paraId="40895C73" w14:textId="77777777" w:rsidR="00E30BD3" w:rsidRPr="00E30BD3" w:rsidRDefault="00E30BD3" w:rsidP="00E30BD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70AC6E5B" w14:textId="77777777" w:rsidR="00E30BD3" w:rsidRPr="00E30BD3" w:rsidRDefault="00E30BD3" w:rsidP="00E30BD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30BD3">
        <w:rPr>
          <w:rFonts w:ascii="Times New Roman" w:hAnsi="Times New Roman"/>
          <w:lang w:val="es-ES_tradnl"/>
        </w:rPr>
        <w:t>Los esfuerzos realizados en coordinación con el Consejo Nacional para la reglamentación y fomento de la Industria Lechera, CONALECHE, fueron dirigidos a mejorar la calidad de la leche en finca y procesada a nivel nacional impactaron a 2,294 productores con 20,646 analíticas procesadas y socializadas entre las partes.</w:t>
      </w:r>
    </w:p>
    <w:p w14:paraId="22129D4F" w14:textId="77777777" w:rsidR="00E30BD3" w:rsidRPr="00E30BD3" w:rsidRDefault="00E30BD3" w:rsidP="00E30BD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3F29AA1A" w14:textId="77777777" w:rsidR="00E30BD3" w:rsidRPr="00E30BD3" w:rsidRDefault="00E30BD3" w:rsidP="00E30BD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30BD3">
        <w:rPr>
          <w:rFonts w:ascii="Times New Roman" w:hAnsi="Times New Roman"/>
          <w:lang w:val="es-ES_tradnl"/>
        </w:rPr>
        <w:t>Asimismo, se realizaron 175 inspecciones a igual número de procesadoras lácteas, las cuales fueron ejecutadas por la comisión técnico lácteo, integrada por: el Ministerio de Salud Pública, la Dirección General de Ganadería y el CONALECHE, en ese sentido fueron expedidas 62 certificaciones a 13 plantas suplidoras de leche para el programa de desayuno escolar, que confirman los volúmenes de leche de producción nacional comprada por estas empresas, y que les permite acceder al pago diferenciado de las raciones servidas al Instituto Nacional de Bienestar Estudiantil, INABIE.</w:t>
      </w:r>
    </w:p>
    <w:p w14:paraId="3C6F8F72" w14:textId="0D93620D" w:rsidR="006432B0" w:rsidRDefault="006432B0">
      <w:pPr>
        <w:spacing w:after="0"/>
        <w:rPr>
          <w:rFonts w:ascii="Times New Roman" w:hAnsi="Times New Roman"/>
          <w:highlight w:val="yellow"/>
        </w:rPr>
      </w:pPr>
      <w:r>
        <w:rPr>
          <w:rFonts w:ascii="Times New Roman" w:hAnsi="Times New Roman"/>
          <w:highlight w:val="yellow"/>
        </w:rPr>
        <w:br w:type="page"/>
      </w:r>
    </w:p>
    <w:p w14:paraId="1EDEE6C0" w14:textId="583601FC" w:rsidR="00E30BD3" w:rsidRPr="003B40D4" w:rsidRDefault="00E30BD3" w:rsidP="00E30BD3">
      <w:pPr>
        <w:spacing w:after="0" w:line="480" w:lineRule="auto"/>
        <w:rPr>
          <w:rFonts w:ascii="Times New Roman" w:hAnsi="Times New Roman"/>
          <w:b/>
          <w:sz w:val="28"/>
        </w:rPr>
      </w:pPr>
      <w:r>
        <w:rPr>
          <w:rFonts w:ascii="Times New Roman" w:hAnsi="Times New Roman"/>
          <w:b/>
          <w:sz w:val="28"/>
        </w:rPr>
        <w:lastRenderedPageBreak/>
        <w:t>Leche</w:t>
      </w:r>
    </w:p>
    <w:p w14:paraId="68472186" w14:textId="77777777" w:rsidR="00E30BD3" w:rsidRPr="00DE7742" w:rsidRDefault="00E30BD3" w:rsidP="00E30BD3">
      <w:pPr>
        <w:spacing w:after="0" w:line="480" w:lineRule="auto"/>
        <w:ind w:firstLine="720"/>
        <w:jc w:val="both"/>
        <w:rPr>
          <w:rFonts w:ascii="Times New Roman" w:hAnsi="Times New Roman"/>
          <w:highlight w:val="yellow"/>
        </w:rPr>
      </w:pPr>
    </w:p>
    <w:p w14:paraId="0BDE005A" w14:textId="77777777" w:rsidR="00E30BD3" w:rsidRPr="00E30BD3" w:rsidRDefault="00E30BD3" w:rsidP="00E30BD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30BD3">
        <w:rPr>
          <w:rFonts w:ascii="Times New Roman" w:hAnsi="Times New Roman"/>
          <w:lang w:val="es-ES_tradnl"/>
        </w:rPr>
        <w:t>El consumo de leche por parte de los estudiantes beneficiado con el PAE se ha duplicado, al pasar de 32.8 millones de litros de leche anual en 2012 a 61.4 millones en 2018.</w:t>
      </w:r>
    </w:p>
    <w:p w14:paraId="5EC03B09" w14:textId="7C6A405D" w:rsidR="006432B0" w:rsidRDefault="006432B0">
      <w:pPr>
        <w:spacing w:after="0"/>
        <w:rPr>
          <w:rFonts w:ascii="Times New Roman" w:hAnsi="Times New Roman"/>
        </w:rPr>
      </w:pPr>
    </w:p>
    <w:p w14:paraId="0FA5A6E8" w14:textId="77777777" w:rsidR="00E30BD3" w:rsidRPr="00DE7742" w:rsidRDefault="00E30BD3" w:rsidP="001C6B1A">
      <w:pPr>
        <w:pStyle w:val="Prrafodelista"/>
        <w:numPr>
          <w:ilvl w:val="0"/>
          <w:numId w:val="8"/>
        </w:numPr>
        <w:spacing w:after="0"/>
        <w:rPr>
          <w:rFonts w:ascii="Times New Roman" w:hAnsi="Times New Roman"/>
          <w:b/>
          <w:sz w:val="24"/>
          <w:lang w:val="es-ES"/>
        </w:rPr>
      </w:pPr>
      <w:r w:rsidRPr="00DE7742">
        <w:rPr>
          <w:rFonts w:ascii="Times New Roman" w:hAnsi="Times New Roman"/>
          <w:b/>
          <w:sz w:val="24"/>
          <w:lang w:val="es-ES"/>
        </w:rPr>
        <w:t>Litros de leche consumidos en el PAE</w:t>
      </w:r>
    </w:p>
    <w:p w14:paraId="6100D591" w14:textId="77777777" w:rsidR="00E30BD3" w:rsidRPr="00DE7742" w:rsidRDefault="00E30BD3" w:rsidP="00E30BD3">
      <w:pPr>
        <w:spacing w:after="0" w:line="480" w:lineRule="auto"/>
        <w:rPr>
          <w:rFonts w:ascii="Times New Roman" w:hAnsi="Times New Roman"/>
        </w:rPr>
      </w:pPr>
      <w:r w:rsidRPr="00DE7742">
        <w:rPr>
          <w:rFonts w:ascii="Times New Roman" w:hAnsi="Times New Roman"/>
          <w:noProof/>
          <w:lang w:eastAsia="es-DO"/>
        </w:rPr>
        <w:drawing>
          <wp:inline distT="0" distB="0" distL="0" distR="0" wp14:anchorId="0288F77A" wp14:editId="29A40F1E">
            <wp:extent cx="5886450" cy="2550695"/>
            <wp:effectExtent l="0" t="0" r="0" b="2540"/>
            <wp:docPr id="146" name="Gráfico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80DF9DC" w14:textId="77777777" w:rsidR="00E30BD3" w:rsidRPr="00DE7742" w:rsidRDefault="00E30BD3" w:rsidP="006432B0">
      <w:pPr>
        <w:spacing w:after="0" w:line="360" w:lineRule="auto"/>
        <w:rPr>
          <w:rFonts w:ascii="Times New Roman" w:hAnsi="Times New Roman"/>
        </w:rPr>
      </w:pPr>
    </w:p>
    <w:p w14:paraId="4B375320" w14:textId="1DB81190" w:rsidR="00E30BD3" w:rsidRPr="00E30BD3" w:rsidRDefault="00E30BD3" w:rsidP="00E30BD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30BD3">
        <w:rPr>
          <w:rFonts w:ascii="Times New Roman" w:hAnsi="Times New Roman"/>
          <w:lang w:val="es-ES_tradnl"/>
        </w:rPr>
        <w:t>Por otro lado, el consumo de proteínas animales y vegetales aument</w:t>
      </w:r>
      <w:r w:rsidR="003226E0">
        <w:rPr>
          <w:rFonts w:ascii="Times New Roman" w:hAnsi="Times New Roman"/>
          <w:lang w:val="es-ES_tradnl"/>
        </w:rPr>
        <w:t>ó</w:t>
      </w:r>
      <w:r w:rsidRPr="00E30BD3">
        <w:rPr>
          <w:rFonts w:ascii="Times New Roman" w:hAnsi="Times New Roman"/>
          <w:lang w:val="es-ES_tradnl"/>
        </w:rPr>
        <w:t xml:space="preserve"> considerablemente:</w:t>
      </w:r>
    </w:p>
    <w:p w14:paraId="247CC32D" w14:textId="77777777" w:rsidR="00E30BD3" w:rsidRPr="00E30BD3" w:rsidRDefault="00E30BD3" w:rsidP="00E30BD3">
      <w:pPr>
        <w:spacing w:after="0" w:line="480" w:lineRule="auto"/>
        <w:jc w:val="both"/>
        <w:rPr>
          <w:rFonts w:ascii="Times New Roman" w:hAnsi="Times New Roman"/>
        </w:rPr>
      </w:pPr>
    </w:p>
    <w:p w14:paraId="615852F0" w14:textId="51E7639A" w:rsidR="00E30BD3" w:rsidRPr="00E30BD3" w:rsidRDefault="00E30BD3" w:rsidP="00E30BD3">
      <w:pPr>
        <w:spacing w:after="0" w:line="480" w:lineRule="auto"/>
        <w:ind w:firstLine="720"/>
        <w:jc w:val="both"/>
        <w:rPr>
          <w:rFonts w:ascii="Times New Roman" w:hAnsi="Times New Roman"/>
          <w:b/>
          <w:sz w:val="28"/>
        </w:rPr>
      </w:pPr>
      <w:r w:rsidRPr="00E30BD3">
        <w:rPr>
          <w:rFonts w:ascii="Times New Roman" w:hAnsi="Times New Roman"/>
          <w:b/>
          <w:sz w:val="28"/>
        </w:rPr>
        <w:t>Arroz</w:t>
      </w:r>
    </w:p>
    <w:p w14:paraId="1472A6DE" w14:textId="26605C38" w:rsidR="00E30BD3" w:rsidRPr="00E30BD3" w:rsidRDefault="00E30BD3" w:rsidP="00E30BD3">
      <w:pPr>
        <w:spacing w:after="0" w:line="480" w:lineRule="auto"/>
        <w:ind w:firstLine="720"/>
        <w:jc w:val="both"/>
        <w:rPr>
          <w:rFonts w:ascii="Times New Roman" w:hAnsi="Times New Roman"/>
        </w:rPr>
      </w:pPr>
      <w:r w:rsidRPr="00E30BD3">
        <w:rPr>
          <w:rFonts w:ascii="Times New Roman" w:hAnsi="Times New Roman"/>
        </w:rPr>
        <w:t>El cereal se multiplic</w:t>
      </w:r>
      <w:r w:rsidR="003226E0">
        <w:rPr>
          <w:rFonts w:ascii="Times New Roman" w:hAnsi="Times New Roman"/>
        </w:rPr>
        <w:t>ó</w:t>
      </w:r>
      <w:r w:rsidRPr="00E30BD3">
        <w:rPr>
          <w:rFonts w:ascii="Times New Roman" w:hAnsi="Times New Roman"/>
        </w:rPr>
        <w:t xml:space="preserve"> más de cinco entre 2013 y 2018</w:t>
      </w:r>
      <w:r w:rsidR="003226E0">
        <w:rPr>
          <w:rFonts w:ascii="Times New Roman" w:hAnsi="Times New Roman"/>
        </w:rPr>
        <w:t>,</w:t>
      </w:r>
      <w:r w:rsidRPr="00E30BD3">
        <w:rPr>
          <w:rFonts w:ascii="Times New Roman" w:hAnsi="Times New Roman"/>
        </w:rPr>
        <w:t xml:space="preserve"> llegando a consumir</w:t>
      </w:r>
      <w:r w:rsidR="003226E0">
        <w:rPr>
          <w:rFonts w:ascii="Times New Roman" w:hAnsi="Times New Roman"/>
        </w:rPr>
        <w:t>se</w:t>
      </w:r>
      <w:r w:rsidRPr="00E30BD3">
        <w:rPr>
          <w:rFonts w:ascii="Times New Roman" w:hAnsi="Times New Roman"/>
        </w:rPr>
        <w:t xml:space="preserve"> más de 98 mil quintales durante el 2018.</w:t>
      </w:r>
    </w:p>
    <w:p w14:paraId="7EAC9ABB" w14:textId="18C59FEA" w:rsidR="006432B0" w:rsidRDefault="006432B0">
      <w:pPr>
        <w:spacing w:after="0"/>
        <w:rPr>
          <w:rFonts w:ascii="Times New Roman" w:hAnsi="Times New Roman"/>
        </w:rPr>
      </w:pPr>
      <w:r>
        <w:rPr>
          <w:rFonts w:ascii="Times New Roman" w:hAnsi="Times New Roman"/>
        </w:rPr>
        <w:br w:type="page"/>
      </w:r>
    </w:p>
    <w:p w14:paraId="5CF2CB18" w14:textId="77777777" w:rsidR="00E30BD3" w:rsidRPr="00DE7742" w:rsidRDefault="00E30BD3" w:rsidP="001C6B1A">
      <w:pPr>
        <w:pStyle w:val="Prrafodelista"/>
        <w:numPr>
          <w:ilvl w:val="0"/>
          <w:numId w:val="8"/>
        </w:numPr>
        <w:spacing w:after="0"/>
        <w:rPr>
          <w:rFonts w:ascii="Times New Roman" w:hAnsi="Times New Roman"/>
          <w:b/>
          <w:sz w:val="24"/>
          <w:lang w:val="es-ES"/>
        </w:rPr>
      </w:pPr>
      <w:r w:rsidRPr="00DE7742">
        <w:rPr>
          <w:rFonts w:ascii="Times New Roman" w:hAnsi="Times New Roman"/>
          <w:b/>
          <w:sz w:val="24"/>
          <w:lang w:val="es-ES"/>
        </w:rPr>
        <w:lastRenderedPageBreak/>
        <w:t>Quintales de arroz consumidos en el PAE</w:t>
      </w:r>
    </w:p>
    <w:p w14:paraId="69663AC6" w14:textId="77777777" w:rsidR="00E30BD3" w:rsidRPr="00DE7742" w:rsidRDefault="00E30BD3" w:rsidP="00E30BD3">
      <w:pPr>
        <w:spacing w:after="0"/>
        <w:rPr>
          <w:rFonts w:ascii="Times New Roman" w:hAnsi="Times New Roman"/>
        </w:rPr>
      </w:pPr>
      <w:r w:rsidRPr="00DE7742">
        <w:rPr>
          <w:rFonts w:ascii="Times New Roman" w:hAnsi="Times New Roman"/>
          <w:noProof/>
          <w:lang w:eastAsia="es-DO"/>
        </w:rPr>
        <w:drawing>
          <wp:inline distT="0" distB="0" distL="0" distR="0" wp14:anchorId="739381C8" wp14:editId="462A1FD5">
            <wp:extent cx="5943600" cy="2933205"/>
            <wp:effectExtent l="0" t="0" r="0" b="635"/>
            <wp:docPr id="147" name="Gráfico 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A2DE9B4" w14:textId="77777777" w:rsidR="00E30BD3" w:rsidRDefault="00E30BD3" w:rsidP="00E30BD3">
      <w:pPr>
        <w:spacing w:after="0" w:line="480" w:lineRule="auto"/>
        <w:ind w:firstLine="720"/>
        <w:jc w:val="both"/>
        <w:rPr>
          <w:rFonts w:ascii="Times New Roman" w:hAnsi="Times New Roman"/>
          <w:b/>
          <w:sz w:val="28"/>
          <w:highlight w:val="yellow"/>
        </w:rPr>
      </w:pPr>
    </w:p>
    <w:p w14:paraId="5E6B7455" w14:textId="77777777" w:rsidR="00E30BD3" w:rsidRPr="00E30BD3" w:rsidRDefault="00E30BD3" w:rsidP="00E30BD3">
      <w:pPr>
        <w:spacing w:after="0" w:line="480" w:lineRule="auto"/>
        <w:ind w:firstLine="720"/>
        <w:jc w:val="both"/>
        <w:rPr>
          <w:rFonts w:ascii="Times New Roman" w:hAnsi="Times New Roman"/>
          <w:b/>
          <w:sz w:val="28"/>
        </w:rPr>
      </w:pPr>
      <w:r w:rsidRPr="00E30BD3">
        <w:rPr>
          <w:rFonts w:ascii="Times New Roman" w:hAnsi="Times New Roman"/>
          <w:b/>
          <w:sz w:val="28"/>
        </w:rPr>
        <w:t>Hortalizas</w:t>
      </w:r>
    </w:p>
    <w:p w14:paraId="5B5AC7D4" w14:textId="76D31184" w:rsidR="00E30BD3" w:rsidRPr="00E30BD3" w:rsidRDefault="00E30BD3" w:rsidP="00E30BD3">
      <w:pPr>
        <w:spacing w:after="0" w:line="480" w:lineRule="auto"/>
        <w:ind w:firstLine="720"/>
        <w:jc w:val="both"/>
        <w:rPr>
          <w:rFonts w:ascii="Times New Roman" w:hAnsi="Times New Roman"/>
        </w:rPr>
      </w:pPr>
      <w:r w:rsidRPr="00E30BD3">
        <w:rPr>
          <w:rFonts w:ascii="Times New Roman" w:hAnsi="Times New Roman"/>
        </w:rPr>
        <w:t>Este Rubro se multiplic</w:t>
      </w:r>
      <w:r w:rsidR="003226E0">
        <w:rPr>
          <w:rFonts w:ascii="Times New Roman" w:hAnsi="Times New Roman"/>
        </w:rPr>
        <w:t>ó</w:t>
      </w:r>
      <w:r w:rsidRPr="00E30BD3">
        <w:rPr>
          <w:rFonts w:ascii="Times New Roman" w:hAnsi="Times New Roman"/>
        </w:rPr>
        <w:t xml:space="preserve"> más de cinco entre 2013 y 2018</w:t>
      </w:r>
      <w:r w:rsidR="00293CDD">
        <w:rPr>
          <w:rFonts w:ascii="Times New Roman" w:hAnsi="Times New Roman"/>
        </w:rPr>
        <w:t>,</w:t>
      </w:r>
      <w:r w:rsidRPr="00E30BD3">
        <w:rPr>
          <w:rFonts w:ascii="Times New Roman" w:hAnsi="Times New Roman"/>
        </w:rPr>
        <w:t xml:space="preserve"> llegando a consumir más de 168 mil quintales durante el 2018.</w:t>
      </w:r>
    </w:p>
    <w:p w14:paraId="44B0FFE2" w14:textId="77777777" w:rsidR="00E30BD3" w:rsidRDefault="00E30BD3" w:rsidP="00E30BD3">
      <w:pPr>
        <w:spacing w:after="0" w:line="259" w:lineRule="auto"/>
        <w:rPr>
          <w:rFonts w:ascii="Times New Roman" w:hAnsi="Times New Roman"/>
          <w:highlight w:val="yellow"/>
        </w:rPr>
      </w:pPr>
    </w:p>
    <w:p w14:paraId="55556235" w14:textId="77777777" w:rsidR="00E30BD3" w:rsidRPr="00DE7742" w:rsidRDefault="00E30BD3" w:rsidP="001C6B1A">
      <w:pPr>
        <w:pStyle w:val="Prrafodelista"/>
        <w:numPr>
          <w:ilvl w:val="0"/>
          <w:numId w:val="8"/>
        </w:numPr>
        <w:spacing w:after="0"/>
        <w:ind w:hanging="464"/>
        <w:rPr>
          <w:rFonts w:ascii="Times New Roman" w:hAnsi="Times New Roman"/>
          <w:b/>
          <w:sz w:val="24"/>
          <w:lang w:val="es-ES"/>
        </w:rPr>
      </w:pPr>
      <w:r w:rsidRPr="00DE7742">
        <w:rPr>
          <w:rFonts w:ascii="Times New Roman" w:hAnsi="Times New Roman"/>
          <w:b/>
          <w:sz w:val="24"/>
          <w:lang w:val="es-ES"/>
        </w:rPr>
        <w:t xml:space="preserve">Quintales de </w:t>
      </w:r>
      <w:r>
        <w:rPr>
          <w:rFonts w:ascii="Times New Roman" w:hAnsi="Times New Roman"/>
          <w:b/>
          <w:sz w:val="24"/>
          <w:lang w:val="es-ES"/>
        </w:rPr>
        <w:t>hortalizas</w:t>
      </w:r>
      <w:r w:rsidRPr="00DE7742">
        <w:rPr>
          <w:rFonts w:ascii="Times New Roman" w:hAnsi="Times New Roman"/>
          <w:b/>
          <w:sz w:val="24"/>
          <w:lang w:val="es-ES"/>
        </w:rPr>
        <w:t xml:space="preserve"> consumidos en el PAE</w:t>
      </w:r>
    </w:p>
    <w:p w14:paraId="47A574AE" w14:textId="77777777" w:rsidR="00E30BD3" w:rsidRDefault="00E30BD3" w:rsidP="00E30BD3">
      <w:pPr>
        <w:spacing w:after="0" w:line="259" w:lineRule="auto"/>
        <w:rPr>
          <w:rFonts w:ascii="Times New Roman" w:hAnsi="Times New Roman"/>
        </w:rPr>
      </w:pPr>
      <w:r>
        <w:rPr>
          <w:noProof/>
          <w:lang w:eastAsia="es-DO"/>
        </w:rPr>
        <w:drawing>
          <wp:inline distT="0" distB="0" distL="0" distR="0" wp14:anchorId="3C48A5E2" wp14:editId="4A109BC1">
            <wp:extent cx="5735320" cy="2667000"/>
            <wp:effectExtent l="0" t="0" r="0" b="0"/>
            <wp:docPr id="148" name="Gráfico 1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17A007E" w14:textId="77777777" w:rsidR="00E30BD3" w:rsidRDefault="00E30BD3" w:rsidP="00E30BD3">
      <w:pPr>
        <w:spacing w:after="0" w:line="480" w:lineRule="auto"/>
        <w:rPr>
          <w:rFonts w:ascii="Times New Roman" w:hAnsi="Times New Roman"/>
        </w:rPr>
      </w:pPr>
    </w:p>
    <w:p w14:paraId="142C1F3F" w14:textId="77777777" w:rsidR="00E30BD3" w:rsidRPr="00E30BD3" w:rsidRDefault="00E30BD3" w:rsidP="00E30BD3">
      <w:pPr>
        <w:spacing w:after="0" w:line="480" w:lineRule="auto"/>
        <w:ind w:firstLine="720"/>
        <w:jc w:val="both"/>
        <w:rPr>
          <w:rFonts w:ascii="Times New Roman" w:hAnsi="Times New Roman"/>
          <w:b/>
          <w:sz w:val="28"/>
        </w:rPr>
      </w:pPr>
      <w:r w:rsidRPr="00E30BD3">
        <w:rPr>
          <w:rFonts w:ascii="Times New Roman" w:hAnsi="Times New Roman"/>
          <w:b/>
          <w:sz w:val="28"/>
        </w:rPr>
        <w:lastRenderedPageBreak/>
        <w:t xml:space="preserve">Tubérculos </w:t>
      </w:r>
    </w:p>
    <w:p w14:paraId="491E88C3" w14:textId="58E67431" w:rsidR="00E30BD3" w:rsidRPr="00E30BD3" w:rsidRDefault="00293CDD" w:rsidP="00E30BD3">
      <w:pPr>
        <w:spacing w:after="0" w:line="480" w:lineRule="auto"/>
        <w:ind w:firstLine="720"/>
        <w:jc w:val="both"/>
        <w:rPr>
          <w:rFonts w:ascii="Times New Roman" w:hAnsi="Times New Roman"/>
        </w:rPr>
      </w:pPr>
      <w:r>
        <w:rPr>
          <w:rFonts w:ascii="Times New Roman" w:hAnsi="Times New Roman"/>
        </w:rPr>
        <w:t>La papa se multiplicó</w:t>
      </w:r>
      <w:r w:rsidR="00E30BD3" w:rsidRPr="00E30BD3">
        <w:rPr>
          <w:rFonts w:ascii="Times New Roman" w:hAnsi="Times New Roman"/>
        </w:rPr>
        <w:t xml:space="preserve"> más de cinco entre 2013 y 2018</w:t>
      </w:r>
      <w:r>
        <w:rPr>
          <w:rFonts w:ascii="Times New Roman" w:hAnsi="Times New Roman"/>
        </w:rPr>
        <w:t>,</w:t>
      </w:r>
      <w:r w:rsidR="00E30BD3" w:rsidRPr="00E30BD3">
        <w:rPr>
          <w:rFonts w:ascii="Times New Roman" w:hAnsi="Times New Roman"/>
        </w:rPr>
        <w:t xml:space="preserve"> llegando a consumir más de 6,400 quintales durante el 2018, asimismo la yautía se </w:t>
      </w:r>
      <w:r w:rsidR="0019762D">
        <w:rPr>
          <w:rFonts w:ascii="Times New Roman" w:hAnsi="Times New Roman"/>
        </w:rPr>
        <w:t>multiplicó</w:t>
      </w:r>
      <w:r w:rsidR="00E30BD3" w:rsidRPr="00E30BD3">
        <w:rPr>
          <w:rFonts w:ascii="Times New Roman" w:hAnsi="Times New Roman"/>
        </w:rPr>
        <w:t xml:space="preserve"> más de cinco entre 2014 y 2018 llegando </w:t>
      </w:r>
      <w:r w:rsidR="0019762D">
        <w:rPr>
          <w:rFonts w:ascii="Times New Roman" w:hAnsi="Times New Roman"/>
        </w:rPr>
        <w:t xml:space="preserve">a consumir </w:t>
      </w:r>
      <w:r w:rsidR="00E30BD3" w:rsidRPr="00E30BD3">
        <w:rPr>
          <w:rFonts w:ascii="Times New Roman" w:hAnsi="Times New Roman"/>
        </w:rPr>
        <w:t>más de 2,844 quintales durante 2018</w:t>
      </w:r>
    </w:p>
    <w:p w14:paraId="337187DE" w14:textId="77777777" w:rsidR="00E30BD3" w:rsidRDefault="00E30BD3" w:rsidP="00E30BD3">
      <w:pPr>
        <w:spacing w:after="0"/>
        <w:rPr>
          <w:rFonts w:ascii="Times New Roman" w:hAnsi="Times New Roman"/>
          <w:b/>
        </w:rPr>
      </w:pPr>
    </w:p>
    <w:p w14:paraId="25762020" w14:textId="77777777" w:rsidR="00E30BD3" w:rsidRPr="0033771D" w:rsidRDefault="00E30BD3" w:rsidP="001C6B1A">
      <w:pPr>
        <w:pStyle w:val="Prrafodelista"/>
        <w:numPr>
          <w:ilvl w:val="0"/>
          <w:numId w:val="8"/>
        </w:numPr>
        <w:spacing w:after="0"/>
        <w:rPr>
          <w:rFonts w:ascii="Times New Roman" w:hAnsi="Times New Roman"/>
          <w:b/>
          <w:sz w:val="24"/>
          <w:lang w:val="es-ES"/>
        </w:rPr>
      </w:pPr>
      <w:r w:rsidRPr="00DE7742">
        <w:rPr>
          <w:rFonts w:ascii="Times New Roman" w:hAnsi="Times New Roman"/>
          <w:b/>
          <w:sz w:val="24"/>
          <w:lang w:val="es-ES"/>
        </w:rPr>
        <w:t xml:space="preserve">Quintales de </w:t>
      </w:r>
      <w:r w:rsidRPr="0033771D">
        <w:rPr>
          <w:rFonts w:ascii="Times New Roman" w:hAnsi="Times New Roman"/>
          <w:b/>
          <w:sz w:val="24"/>
          <w:lang w:val="es-ES"/>
        </w:rPr>
        <w:t>tubérculos</w:t>
      </w:r>
      <w:r w:rsidRPr="00DE7742">
        <w:rPr>
          <w:rFonts w:ascii="Times New Roman" w:hAnsi="Times New Roman"/>
          <w:b/>
          <w:sz w:val="24"/>
          <w:lang w:val="es-ES"/>
        </w:rPr>
        <w:t xml:space="preserve"> consumidos en el PAE</w:t>
      </w:r>
    </w:p>
    <w:p w14:paraId="3FBB2240" w14:textId="77777777" w:rsidR="00E30BD3" w:rsidRDefault="00E30BD3" w:rsidP="00E30BD3">
      <w:pPr>
        <w:spacing w:after="0"/>
        <w:rPr>
          <w:rFonts w:ascii="Times New Roman" w:hAnsi="Times New Roman"/>
          <w:b/>
        </w:rPr>
      </w:pPr>
      <w:r w:rsidRPr="00F929DE">
        <w:rPr>
          <w:rFonts w:ascii="Times New Roman" w:hAnsi="Times New Roman"/>
          <w:noProof/>
          <w:sz w:val="22"/>
          <w:szCs w:val="22"/>
          <w:lang w:eastAsia="es-DO"/>
        </w:rPr>
        <w:drawing>
          <wp:inline distT="0" distB="0" distL="0" distR="0" wp14:anchorId="7A340DFB" wp14:editId="45EA365B">
            <wp:extent cx="5806440" cy="2382252"/>
            <wp:effectExtent l="0" t="0" r="3810" b="0"/>
            <wp:docPr id="149" name="Gráfico 1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91DB4B0" w14:textId="77777777" w:rsidR="00E30BD3" w:rsidRDefault="00E30BD3" w:rsidP="00E30BD3">
      <w:pPr>
        <w:spacing w:after="0"/>
        <w:rPr>
          <w:rFonts w:ascii="Times New Roman" w:hAnsi="Times New Roman"/>
          <w:b/>
        </w:rPr>
      </w:pPr>
    </w:p>
    <w:p w14:paraId="53A989B2" w14:textId="77777777" w:rsidR="00E30BD3" w:rsidRPr="006432B0" w:rsidRDefault="00E30BD3" w:rsidP="00E30BD3">
      <w:pPr>
        <w:spacing w:after="0" w:line="480" w:lineRule="auto"/>
        <w:ind w:firstLine="720"/>
        <w:jc w:val="both"/>
        <w:rPr>
          <w:rFonts w:ascii="Times New Roman" w:hAnsi="Times New Roman"/>
          <w:b/>
          <w:sz w:val="28"/>
        </w:rPr>
      </w:pPr>
      <w:r w:rsidRPr="006432B0">
        <w:rPr>
          <w:rFonts w:ascii="Times New Roman" w:hAnsi="Times New Roman"/>
          <w:b/>
          <w:sz w:val="28"/>
        </w:rPr>
        <w:t xml:space="preserve">Musáceas </w:t>
      </w:r>
    </w:p>
    <w:p w14:paraId="683F7E6C" w14:textId="77777777" w:rsidR="00E30BD3" w:rsidRDefault="00E30BD3" w:rsidP="00E30BD3">
      <w:pPr>
        <w:spacing w:after="0" w:line="259" w:lineRule="auto"/>
        <w:rPr>
          <w:rFonts w:ascii="Times New Roman" w:hAnsi="Times New Roman"/>
          <w:b/>
        </w:rPr>
      </w:pPr>
    </w:p>
    <w:p w14:paraId="66E1D225" w14:textId="77777777" w:rsidR="00E30BD3" w:rsidRPr="0033771D" w:rsidRDefault="00E30BD3" w:rsidP="001C6B1A">
      <w:pPr>
        <w:pStyle w:val="Prrafodelista"/>
        <w:numPr>
          <w:ilvl w:val="0"/>
          <w:numId w:val="8"/>
        </w:numPr>
        <w:spacing w:after="0"/>
        <w:rPr>
          <w:rFonts w:ascii="Times New Roman" w:hAnsi="Times New Roman"/>
          <w:b/>
          <w:sz w:val="24"/>
          <w:lang w:val="es-ES"/>
        </w:rPr>
      </w:pPr>
      <w:r>
        <w:rPr>
          <w:rFonts w:ascii="Times New Roman" w:hAnsi="Times New Roman"/>
          <w:b/>
          <w:sz w:val="24"/>
          <w:lang w:val="es-ES"/>
        </w:rPr>
        <w:t>Unidades</w:t>
      </w:r>
      <w:r w:rsidRPr="00DE7742">
        <w:rPr>
          <w:rFonts w:ascii="Times New Roman" w:hAnsi="Times New Roman"/>
          <w:b/>
          <w:sz w:val="24"/>
          <w:lang w:val="es-ES"/>
        </w:rPr>
        <w:t xml:space="preserve"> de </w:t>
      </w:r>
      <w:r w:rsidRPr="0033771D">
        <w:rPr>
          <w:rFonts w:ascii="Times New Roman" w:hAnsi="Times New Roman"/>
          <w:b/>
          <w:sz w:val="24"/>
          <w:lang w:val="es-ES"/>
        </w:rPr>
        <w:t>musáceas</w:t>
      </w:r>
      <w:r w:rsidRPr="00DE7742">
        <w:rPr>
          <w:rFonts w:ascii="Times New Roman" w:hAnsi="Times New Roman"/>
          <w:b/>
          <w:sz w:val="24"/>
          <w:lang w:val="es-ES"/>
        </w:rPr>
        <w:t xml:space="preserve"> consumidos en el PAE</w:t>
      </w:r>
    </w:p>
    <w:p w14:paraId="0047B847" w14:textId="77777777" w:rsidR="00E30BD3" w:rsidRPr="00674F08" w:rsidRDefault="00E30BD3" w:rsidP="00E30BD3">
      <w:pPr>
        <w:jc w:val="right"/>
        <w:rPr>
          <w:lang w:val="es-ES" w:eastAsia="en-US"/>
        </w:rPr>
      </w:pPr>
    </w:p>
    <w:p w14:paraId="5A751F4F" w14:textId="77777777" w:rsidR="00E30BD3" w:rsidRDefault="00E30BD3" w:rsidP="00E30BD3">
      <w:pPr>
        <w:spacing w:after="0"/>
        <w:rPr>
          <w:rFonts w:ascii="Times New Roman" w:hAnsi="Times New Roman"/>
          <w:b/>
        </w:rPr>
      </w:pPr>
      <w:r w:rsidRPr="003B40D4">
        <w:rPr>
          <w:rFonts w:ascii="Times New Roman" w:hAnsi="Times New Roman"/>
          <w:noProof/>
          <w:sz w:val="22"/>
          <w:szCs w:val="22"/>
          <w:lang w:eastAsia="es-DO"/>
        </w:rPr>
        <w:drawing>
          <wp:inline distT="0" distB="0" distL="0" distR="0" wp14:anchorId="12A8ACB3" wp14:editId="6BF60160">
            <wp:extent cx="5866130" cy="2598821"/>
            <wp:effectExtent l="0" t="0" r="1270" b="0"/>
            <wp:docPr id="150" name="Gráfico 150"/>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CA18EBA" w14:textId="77777777" w:rsidR="00E30BD3" w:rsidRDefault="00E30BD3" w:rsidP="00E30BD3">
      <w:pPr>
        <w:spacing w:after="0"/>
        <w:rPr>
          <w:rFonts w:ascii="Times New Roman" w:hAnsi="Times New Roman"/>
          <w:b/>
        </w:rPr>
      </w:pPr>
      <w:r w:rsidRPr="00DE7742">
        <w:rPr>
          <w:rFonts w:ascii="Times New Roman" w:hAnsi="Times New Roman"/>
          <w:b/>
        </w:rPr>
        <w:lastRenderedPageBreak/>
        <w:t>Leguminosas:</w:t>
      </w:r>
      <w:r>
        <w:rPr>
          <w:rFonts w:ascii="Times New Roman" w:hAnsi="Times New Roman"/>
          <w:b/>
        </w:rPr>
        <w:tab/>
      </w:r>
    </w:p>
    <w:p w14:paraId="1CED3BEE" w14:textId="77777777" w:rsidR="00E30BD3" w:rsidRDefault="00E30BD3" w:rsidP="00E30BD3">
      <w:pPr>
        <w:spacing w:after="0"/>
      </w:pPr>
    </w:p>
    <w:p w14:paraId="5420E271" w14:textId="77777777" w:rsidR="00E30BD3" w:rsidRDefault="00E30BD3" w:rsidP="001C6B1A">
      <w:pPr>
        <w:pStyle w:val="Prrafodelista"/>
        <w:numPr>
          <w:ilvl w:val="0"/>
          <w:numId w:val="8"/>
        </w:numPr>
        <w:spacing w:after="0"/>
        <w:rPr>
          <w:rFonts w:ascii="Times New Roman" w:hAnsi="Times New Roman"/>
          <w:b/>
          <w:sz w:val="24"/>
          <w:lang w:val="es-ES"/>
        </w:rPr>
      </w:pPr>
      <w:r w:rsidRPr="00DE7742">
        <w:rPr>
          <w:rFonts w:ascii="Times New Roman" w:hAnsi="Times New Roman"/>
          <w:b/>
          <w:sz w:val="24"/>
          <w:lang w:val="es-ES"/>
        </w:rPr>
        <w:t>Quintales de leguminosas consumidos en el PAE</w:t>
      </w:r>
    </w:p>
    <w:p w14:paraId="0C9BDFBF" w14:textId="77777777" w:rsidR="00E30BD3" w:rsidRPr="00DE7742" w:rsidRDefault="00E30BD3" w:rsidP="00E30BD3">
      <w:pPr>
        <w:pStyle w:val="Prrafodelista"/>
        <w:spacing w:after="0"/>
        <w:ind w:left="644"/>
        <w:rPr>
          <w:rFonts w:ascii="Times New Roman" w:hAnsi="Times New Roman"/>
          <w:b/>
          <w:sz w:val="24"/>
          <w:lang w:val="es-ES"/>
        </w:rPr>
      </w:pPr>
    </w:p>
    <w:tbl>
      <w:tblPr>
        <w:tblStyle w:val="Tablaconcuadrcula"/>
        <w:tblW w:w="9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2886"/>
        <w:gridCol w:w="354"/>
        <w:gridCol w:w="2927"/>
        <w:gridCol w:w="313"/>
        <w:gridCol w:w="2933"/>
      </w:tblGrid>
      <w:tr w:rsidR="00E30BD3" w14:paraId="3BFEF17E" w14:textId="77777777" w:rsidTr="0033771D">
        <w:tc>
          <w:tcPr>
            <w:tcW w:w="3246" w:type="dxa"/>
            <w:gridSpan w:val="2"/>
          </w:tcPr>
          <w:p w14:paraId="52E35BEE" w14:textId="77777777" w:rsidR="00E30BD3" w:rsidRDefault="00E30BD3" w:rsidP="00E30BD3">
            <w:pPr>
              <w:spacing w:after="0"/>
              <w:jc w:val="center"/>
              <w:rPr>
                <w:rFonts w:ascii="Times New Roman" w:hAnsi="Times New Roman"/>
              </w:rPr>
            </w:pPr>
            <w:r>
              <w:rPr>
                <w:noProof/>
                <w:lang w:eastAsia="es-DO"/>
              </w:rPr>
              <w:drawing>
                <wp:inline distT="0" distB="0" distL="0" distR="0" wp14:anchorId="579FC279" wp14:editId="06ED9AAC">
                  <wp:extent cx="1840230" cy="1923415"/>
                  <wp:effectExtent l="0" t="0" r="7620" b="635"/>
                  <wp:docPr id="151" name="Gráfico 1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c>
          <w:tcPr>
            <w:tcW w:w="3281" w:type="dxa"/>
            <w:gridSpan w:val="2"/>
          </w:tcPr>
          <w:p w14:paraId="774AA67B" w14:textId="77777777" w:rsidR="00E30BD3" w:rsidRPr="003B40D4" w:rsidRDefault="00E30BD3" w:rsidP="00E30BD3">
            <w:pPr>
              <w:spacing w:after="0"/>
              <w:rPr>
                <w:rFonts w:ascii="Times New Roman" w:hAnsi="Times New Roman"/>
              </w:rPr>
            </w:pPr>
            <w:r w:rsidRPr="003B40D4">
              <w:rPr>
                <w:rFonts w:ascii="Times New Roman" w:hAnsi="Times New Roman"/>
                <w:noProof/>
                <w:lang w:eastAsia="es-DO"/>
              </w:rPr>
              <w:drawing>
                <wp:inline distT="0" distB="0" distL="0" distR="0" wp14:anchorId="0ECD3CF4" wp14:editId="4F3A3CE8">
                  <wp:extent cx="1852295" cy="1947553"/>
                  <wp:effectExtent l="0" t="0" r="0" b="0"/>
                  <wp:docPr id="152" name="Gráfico 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c>
        <w:tc>
          <w:tcPr>
            <w:tcW w:w="3246" w:type="dxa"/>
            <w:gridSpan w:val="2"/>
          </w:tcPr>
          <w:p w14:paraId="05E1A18A" w14:textId="77777777" w:rsidR="00E30BD3" w:rsidRDefault="00E30BD3" w:rsidP="00E30BD3">
            <w:pPr>
              <w:spacing w:after="0"/>
              <w:rPr>
                <w:rFonts w:ascii="Times New Roman" w:hAnsi="Times New Roman"/>
              </w:rPr>
            </w:pPr>
            <w:r>
              <w:rPr>
                <w:noProof/>
                <w:lang w:eastAsia="es-DO"/>
              </w:rPr>
              <w:drawing>
                <wp:inline distT="0" distB="0" distL="0" distR="0" wp14:anchorId="33EF670A" wp14:editId="6E744AB6">
                  <wp:extent cx="1892300" cy="1923415"/>
                  <wp:effectExtent l="0" t="0" r="0" b="635"/>
                  <wp:docPr id="153" name="Gráfico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r>
      <w:tr w:rsidR="00E30BD3" w14:paraId="427C77DA" w14:textId="77777777" w:rsidTr="0033771D">
        <w:tc>
          <w:tcPr>
            <w:tcW w:w="3246" w:type="dxa"/>
            <w:gridSpan w:val="2"/>
          </w:tcPr>
          <w:p w14:paraId="3E8337C1" w14:textId="77777777" w:rsidR="00E30BD3" w:rsidRPr="00FC19B0" w:rsidRDefault="00E30BD3" w:rsidP="00E30BD3">
            <w:pPr>
              <w:spacing w:after="0"/>
              <w:jc w:val="center"/>
              <w:rPr>
                <w:rFonts w:ascii="Times New Roman" w:hAnsi="Times New Roman"/>
                <w:b/>
              </w:rPr>
            </w:pPr>
            <w:r w:rsidRPr="00FC19B0">
              <w:rPr>
                <w:rFonts w:ascii="Times New Roman" w:hAnsi="Times New Roman"/>
                <w:b/>
              </w:rPr>
              <w:t>2013</w:t>
            </w:r>
          </w:p>
        </w:tc>
        <w:tc>
          <w:tcPr>
            <w:tcW w:w="3281" w:type="dxa"/>
            <w:gridSpan w:val="2"/>
          </w:tcPr>
          <w:p w14:paraId="4AFEBDCE" w14:textId="77777777" w:rsidR="00E30BD3" w:rsidRPr="00FC19B0" w:rsidRDefault="00E30BD3" w:rsidP="00E30BD3">
            <w:pPr>
              <w:spacing w:after="0"/>
              <w:jc w:val="center"/>
              <w:rPr>
                <w:rFonts w:ascii="Times New Roman" w:hAnsi="Times New Roman"/>
                <w:b/>
              </w:rPr>
            </w:pPr>
            <w:r w:rsidRPr="00FC19B0">
              <w:rPr>
                <w:rFonts w:ascii="Times New Roman" w:hAnsi="Times New Roman"/>
                <w:b/>
              </w:rPr>
              <w:t>2014</w:t>
            </w:r>
          </w:p>
        </w:tc>
        <w:tc>
          <w:tcPr>
            <w:tcW w:w="3246" w:type="dxa"/>
            <w:gridSpan w:val="2"/>
          </w:tcPr>
          <w:p w14:paraId="29C467BF" w14:textId="77777777" w:rsidR="00E30BD3" w:rsidRDefault="00E30BD3" w:rsidP="00E30BD3">
            <w:pPr>
              <w:spacing w:after="0"/>
              <w:jc w:val="center"/>
              <w:rPr>
                <w:rFonts w:ascii="Times New Roman" w:hAnsi="Times New Roman"/>
                <w:b/>
              </w:rPr>
            </w:pPr>
            <w:r w:rsidRPr="00FC19B0">
              <w:rPr>
                <w:rFonts w:ascii="Times New Roman" w:hAnsi="Times New Roman"/>
                <w:b/>
              </w:rPr>
              <w:t>2015</w:t>
            </w:r>
          </w:p>
          <w:p w14:paraId="6ECCD10B" w14:textId="77777777" w:rsidR="00E30BD3" w:rsidRPr="00FC19B0" w:rsidRDefault="00E30BD3" w:rsidP="00E30BD3">
            <w:pPr>
              <w:spacing w:after="0"/>
              <w:jc w:val="center"/>
              <w:rPr>
                <w:rFonts w:ascii="Times New Roman" w:hAnsi="Times New Roman"/>
                <w:b/>
              </w:rPr>
            </w:pPr>
          </w:p>
        </w:tc>
      </w:tr>
      <w:tr w:rsidR="00E30BD3" w14:paraId="62678F0E" w14:textId="77777777" w:rsidTr="0033771D">
        <w:tc>
          <w:tcPr>
            <w:tcW w:w="3246" w:type="dxa"/>
            <w:gridSpan w:val="2"/>
          </w:tcPr>
          <w:p w14:paraId="3C0EAC8E" w14:textId="77777777" w:rsidR="00E30BD3" w:rsidRDefault="00E30BD3" w:rsidP="00E30BD3">
            <w:pPr>
              <w:spacing w:after="0"/>
              <w:rPr>
                <w:rFonts w:ascii="Times New Roman" w:hAnsi="Times New Roman"/>
              </w:rPr>
            </w:pPr>
            <w:r>
              <w:rPr>
                <w:noProof/>
                <w:lang w:eastAsia="es-DO"/>
              </w:rPr>
              <w:drawing>
                <wp:inline distT="0" distB="0" distL="0" distR="0" wp14:anchorId="6BDF520C" wp14:editId="131F8C92">
                  <wp:extent cx="1915878" cy="1895143"/>
                  <wp:effectExtent l="0" t="0" r="8255" b="0"/>
                  <wp:docPr id="154" name="Gráfico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c>
          <w:tcPr>
            <w:tcW w:w="3281" w:type="dxa"/>
            <w:gridSpan w:val="2"/>
          </w:tcPr>
          <w:p w14:paraId="19FE8C92" w14:textId="77777777" w:rsidR="00E30BD3" w:rsidRDefault="00E30BD3" w:rsidP="00E30BD3">
            <w:pPr>
              <w:spacing w:after="0"/>
              <w:rPr>
                <w:rFonts w:ascii="Times New Roman" w:hAnsi="Times New Roman"/>
              </w:rPr>
            </w:pPr>
            <w:r>
              <w:rPr>
                <w:noProof/>
                <w:lang w:eastAsia="es-DO"/>
              </w:rPr>
              <w:drawing>
                <wp:inline distT="0" distB="0" distL="0" distR="0" wp14:anchorId="5D33EE75" wp14:editId="5A5F5EBB">
                  <wp:extent cx="1946581" cy="1903095"/>
                  <wp:effectExtent l="0" t="0" r="0" b="1905"/>
                  <wp:docPr id="155" name="Gráfico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c>
        <w:tc>
          <w:tcPr>
            <w:tcW w:w="3246" w:type="dxa"/>
            <w:gridSpan w:val="2"/>
          </w:tcPr>
          <w:p w14:paraId="55636D5E" w14:textId="77777777" w:rsidR="00E30BD3" w:rsidRDefault="00E30BD3" w:rsidP="00E30BD3">
            <w:pPr>
              <w:spacing w:after="0"/>
              <w:rPr>
                <w:rFonts w:ascii="Times New Roman" w:hAnsi="Times New Roman"/>
              </w:rPr>
            </w:pPr>
            <w:r>
              <w:rPr>
                <w:noProof/>
                <w:lang w:eastAsia="es-DO"/>
              </w:rPr>
              <w:drawing>
                <wp:inline distT="0" distB="0" distL="0" distR="0" wp14:anchorId="1116D805" wp14:editId="51AFCF8D">
                  <wp:extent cx="1923393" cy="1903095"/>
                  <wp:effectExtent l="0" t="0" r="1270" b="1905"/>
                  <wp:docPr id="156" name="Gráfico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c>
      </w:tr>
      <w:tr w:rsidR="00E30BD3" w:rsidRPr="00FC19B0" w14:paraId="0DFD1524" w14:textId="77777777" w:rsidTr="0033771D">
        <w:tc>
          <w:tcPr>
            <w:tcW w:w="3246" w:type="dxa"/>
            <w:gridSpan w:val="2"/>
          </w:tcPr>
          <w:p w14:paraId="39E7F91B" w14:textId="77777777" w:rsidR="00E30BD3" w:rsidRPr="00FC19B0" w:rsidRDefault="00E30BD3" w:rsidP="00E30BD3">
            <w:pPr>
              <w:spacing w:after="0"/>
              <w:jc w:val="center"/>
              <w:rPr>
                <w:rFonts w:ascii="Times New Roman" w:hAnsi="Times New Roman"/>
                <w:b/>
              </w:rPr>
            </w:pPr>
            <w:r w:rsidRPr="00FC19B0">
              <w:rPr>
                <w:rFonts w:ascii="Times New Roman" w:hAnsi="Times New Roman"/>
                <w:b/>
              </w:rPr>
              <w:t>2016</w:t>
            </w:r>
          </w:p>
        </w:tc>
        <w:tc>
          <w:tcPr>
            <w:tcW w:w="3281" w:type="dxa"/>
            <w:gridSpan w:val="2"/>
          </w:tcPr>
          <w:p w14:paraId="134C65AA" w14:textId="77777777" w:rsidR="00E30BD3" w:rsidRPr="00FC19B0" w:rsidRDefault="00E30BD3" w:rsidP="00E30BD3">
            <w:pPr>
              <w:spacing w:after="0"/>
              <w:jc w:val="center"/>
              <w:rPr>
                <w:rFonts w:ascii="Times New Roman" w:hAnsi="Times New Roman"/>
                <w:b/>
              </w:rPr>
            </w:pPr>
            <w:r w:rsidRPr="00FC19B0">
              <w:rPr>
                <w:rFonts w:ascii="Times New Roman" w:hAnsi="Times New Roman"/>
                <w:b/>
              </w:rPr>
              <w:t>2017</w:t>
            </w:r>
          </w:p>
        </w:tc>
        <w:tc>
          <w:tcPr>
            <w:tcW w:w="3246" w:type="dxa"/>
            <w:gridSpan w:val="2"/>
          </w:tcPr>
          <w:p w14:paraId="74E4F0F6" w14:textId="77777777" w:rsidR="00E30BD3" w:rsidRPr="00FC19B0" w:rsidRDefault="00E30BD3" w:rsidP="00E30BD3">
            <w:pPr>
              <w:spacing w:after="0"/>
              <w:jc w:val="center"/>
              <w:rPr>
                <w:rFonts w:ascii="Times New Roman" w:hAnsi="Times New Roman"/>
                <w:b/>
              </w:rPr>
            </w:pPr>
            <w:r w:rsidRPr="00FC19B0">
              <w:rPr>
                <w:rFonts w:ascii="Times New Roman" w:hAnsi="Times New Roman"/>
                <w:b/>
              </w:rPr>
              <w:t>2018</w:t>
            </w:r>
          </w:p>
        </w:tc>
      </w:tr>
      <w:tr w:rsidR="00E30BD3" w:rsidRPr="00FC19B0" w14:paraId="203EC577" w14:textId="77777777" w:rsidTr="0033771D">
        <w:trPr>
          <w:trHeight w:val="162"/>
        </w:trPr>
        <w:tc>
          <w:tcPr>
            <w:tcW w:w="9773" w:type="dxa"/>
            <w:gridSpan w:val="6"/>
          </w:tcPr>
          <w:p w14:paraId="4120BEA6" w14:textId="77777777" w:rsidR="00E30BD3" w:rsidRPr="00FC19B0" w:rsidRDefault="00E30BD3" w:rsidP="00E30BD3">
            <w:pPr>
              <w:spacing w:after="0"/>
              <w:rPr>
                <w:rFonts w:ascii="Times New Roman" w:hAnsi="Times New Roman"/>
                <w:b/>
              </w:rPr>
            </w:pPr>
            <w:r>
              <w:rPr>
                <w:rFonts w:ascii="Times New Roman" w:hAnsi="Times New Roman"/>
                <w:b/>
              </w:rPr>
              <w:t>Leyenda</w:t>
            </w:r>
          </w:p>
        </w:tc>
      </w:tr>
      <w:tr w:rsidR="00E30BD3" w:rsidRPr="00FC19B0" w14:paraId="30ACC948" w14:textId="77777777" w:rsidTr="0033771D">
        <w:trPr>
          <w:trHeight w:val="233"/>
        </w:trPr>
        <w:tc>
          <w:tcPr>
            <w:tcW w:w="360" w:type="dxa"/>
            <w:shd w:val="clear" w:color="auto" w:fill="C0504D" w:themeFill="accent2"/>
          </w:tcPr>
          <w:p w14:paraId="232A33EF" w14:textId="77777777" w:rsidR="00E30BD3" w:rsidRPr="003B40D4" w:rsidRDefault="00E30BD3" w:rsidP="00E30BD3">
            <w:pPr>
              <w:spacing w:after="0"/>
              <w:jc w:val="center"/>
              <w:rPr>
                <w:rFonts w:ascii="Times New Roman" w:hAnsi="Times New Roman"/>
              </w:rPr>
            </w:pPr>
          </w:p>
        </w:tc>
        <w:tc>
          <w:tcPr>
            <w:tcW w:w="2886" w:type="dxa"/>
          </w:tcPr>
          <w:p w14:paraId="2517192A" w14:textId="77777777" w:rsidR="00E30BD3" w:rsidRPr="003B40D4" w:rsidRDefault="00E30BD3" w:rsidP="00E30BD3">
            <w:pPr>
              <w:spacing w:after="0"/>
              <w:rPr>
                <w:rFonts w:ascii="Times New Roman" w:hAnsi="Times New Roman"/>
              </w:rPr>
            </w:pPr>
            <w:r w:rsidRPr="003B40D4">
              <w:rPr>
                <w:rFonts w:ascii="Times New Roman" w:hAnsi="Times New Roman"/>
              </w:rPr>
              <w:t>Habichuela roja</w:t>
            </w:r>
          </w:p>
        </w:tc>
        <w:tc>
          <w:tcPr>
            <w:tcW w:w="354" w:type="dxa"/>
            <w:shd w:val="clear" w:color="auto" w:fill="7030A0"/>
          </w:tcPr>
          <w:p w14:paraId="022D22B9" w14:textId="77777777" w:rsidR="00E30BD3" w:rsidRPr="003B40D4" w:rsidRDefault="00E30BD3" w:rsidP="00E30BD3">
            <w:pPr>
              <w:spacing w:after="0"/>
              <w:jc w:val="center"/>
              <w:rPr>
                <w:rFonts w:ascii="Times New Roman" w:hAnsi="Times New Roman"/>
              </w:rPr>
            </w:pPr>
          </w:p>
        </w:tc>
        <w:tc>
          <w:tcPr>
            <w:tcW w:w="2927" w:type="dxa"/>
          </w:tcPr>
          <w:p w14:paraId="1899CB1B" w14:textId="77777777" w:rsidR="00E30BD3" w:rsidRPr="003B40D4" w:rsidRDefault="00E30BD3" w:rsidP="00E30BD3">
            <w:pPr>
              <w:spacing w:after="0"/>
              <w:rPr>
                <w:rFonts w:ascii="Times New Roman" w:hAnsi="Times New Roman"/>
              </w:rPr>
            </w:pPr>
            <w:r w:rsidRPr="003B40D4">
              <w:rPr>
                <w:rFonts w:ascii="Times New Roman" w:hAnsi="Times New Roman"/>
              </w:rPr>
              <w:t>Habichuela blanca</w:t>
            </w:r>
          </w:p>
        </w:tc>
        <w:tc>
          <w:tcPr>
            <w:tcW w:w="313" w:type="dxa"/>
            <w:shd w:val="clear" w:color="auto" w:fill="FFC000"/>
          </w:tcPr>
          <w:p w14:paraId="5F11919E" w14:textId="77777777" w:rsidR="00E30BD3" w:rsidRPr="003B40D4" w:rsidRDefault="00E30BD3" w:rsidP="00E30BD3">
            <w:pPr>
              <w:spacing w:after="0"/>
              <w:jc w:val="center"/>
              <w:rPr>
                <w:rFonts w:ascii="Times New Roman" w:hAnsi="Times New Roman"/>
              </w:rPr>
            </w:pPr>
          </w:p>
        </w:tc>
        <w:tc>
          <w:tcPr>
            <w:tcW w:w="2933" w:type="dxa"/>
          </w:tcPr>
          <w:p w14:paraId="400C3DD4" w14:textId="77777777" w:rsidR="00E30BD3" w:rsidRPr="003B40D4" w:rsidRDefault="00E30BD3" w:rsidP="00E30BD3">
            <w:pPr>
              <w:spacing w:after="0"/>
              <w:rPr>
                <w:rFonts w:ascii="Times New Roman" w:hAnsi="Times New Roman"/>
              </w:rPr>
            </w:pPr>
            <w:r w:rsidRPr="003B40D4">
              <w:rPr>
                <w:rFonts w:ascii="Times New Roman" w:hAnsi="Times New Roman"/>
              </w:rPr>
              <w:t>Guandul</w:t>
            </w:r>
          </w:p>
        </w:tc>
      </w:tr>
      <w:tr w:rsidR="00E30BD3" w:rsidRPr="00FC19B0" w14:paraId="3FE57535" w14:textId="77777777" w:rsidTr="0033771D">
        <w:tc>
          <w:tcPr>
            <w:tcW w:w="360" w:type="dxa"/>
            <w:shd w:val="clear" w:color="auto" w:fill="F79646" w:themeFill="accent6"/>
          </w:tcPr>
          <w:p w14:paraId="6FB28BC5" w14:textId="77777777" w:rsidR="00E30BD3" w:rsidRPr="003B40D4" w:rsidRDefault="00E30BD3" w:rsidP="00E30BD3">
            <w:pPr>
              <w:spacing w:after="0"/>
              <w:jc w:val="center"/>
              <w:rPr>
                <w:rFonts w:ascii="Times New Roman" w:hAnsi="Times New Roman"/>
              </w:rPr>
            </w:pPr>
          </w:p>
        </w:tc>
        <w:tc>
          <w:tcPr>
            <w:tcW w:w="2886" w:type="dxa"/>
          </w:tcPr>
          <w:p w14:paraId="2FA902BF" w14:textId="77777777" w:rsidR="00E30BD3" w:rsidRPr="003B40D4" w:rsidRDefault="00E30BD3" w:rsidP="00E30BD3">
            <w:pPr>
              <w:spacing w:after="0"/>
              <w:rPr>
                <w:rFonts w:ascii="Times New Roman" w:hAnsi="Times New Roman"/>
              </w:rPr>
            </w:pPr>
            <w:r w:rsidRPr="003B40D4">
              <w:rPr>
                <w:rFonts w:ascii="Times New Roman" w:hAnsi="Times New Roman"/>
              </w:rPr>
              <w:t>Habichuela negra</w:t>
            </w:r>
          </w:p>
        </w:tc>
        <w:tc>
          <w:tcPr>
            <w:tcW w:w="354" w:type="dxa"/>
            <w:shd w:val="clear" w:color="auto" w:fill="4F81BD" w:themeFill="accent1"/>
          </w:tcPr>
          <w:p w14:paraId="01DB2EBC" w14:textId="77777777" w:rsidR="00E30BD3" w:rsidRPr="003B40D4" w:rsidRDefault="00E30BD3" w:rsidP="00E30BD3">
            <w:pPr>
              <w:spacing w:after="0"/>
              <w:jc w:val="center"/>
              <w:rPr>
                <w:rFonts w:ascii="Times New Roman" w:hAnsi="Times New Roman"/>
              </w:rPr>
            </w:pPr>
          </w:p>
        </w:tc>
        <w:tc>
          <w:tcPr>
            <w:tcW w:w="2927" w:type="dxa"/>
          </w:tcPr>
          <w:p w14:paraId="509C9180" w14:textId="77777777" w:rsidR="00E30BD3" w:rsidRPr="003B40D4" w:rsidRDefault="00E30BD3" w:rsidP="00E30BD3">
            <w:pPr>
              <w:spacing w:after="0"/>
              <w:rPr>
                <w:rFonts w:ascii="Times New Roman" w:hAnsi="Times New Roman"/>
              </w:rPr>
            </w:pPr>
            <w:r w:rsidRPr="003B40D4">
              <w:rPr>
                <w:rFonts w:ascii="Times New Roman" w:hAnsi="Times New Roman"/>
              </w:rPr>
              <w:t>Habichuela pinta</w:t>
            </w:r>
          </w:p>
        </w:tc>
        <w:tc>
          <w:tcPr>
            <w:tcW w:w="313" w:type="dxa"/>
          </w:tcPr>
          <w:p w14:paraId="2186C5FA" w14:textId="77777777" w:rsidR="00E30BD3" w:rsidRPr="003B40D4" w:rsidRDefault="00E30BD3" w:rsidP="00E30BD3">
            <w:pPr>
              <w:spacing w:after="0"/>
              <w:jc w:val="center"/>
              <w:rPr>
                <w:rFonts w:ascii="Times New Roman" w:hAnsi="Times New Roman"/>
              </w:rPr>
            </w:pPr>
          </w:p>
        </w:tc>
        <w:tc>
          <w:tcPr>
            <w:tcW w:w="2933" w:type="dxa"/>
          </w:tcPr>
          <w:p w14:paraId="4A65D692" w14:textId="77777777" w:rsidR="00E30BD3" w:rsidRPr="003B40D4" w:rsidRDefault="00E30BD3" w:rsidP="00E30BD3">
            <w:pPr>
              <w:spacing w:after="0"/>
              <w:jc w:val="center"/>
              <w:rPr>
                <w:rFonts w:ascii="Times New Roman" w:hAnsi="Times New Roman"/>
              </w:rPr>
            </w:pPr>
          </w:p>
        </w:tc>
      </w:tr>
    </w:tbl>
    <w:p w14:paraId="60CE47BF" w14:textId="77777777" w:rsidR="00E30BD3" w:rsidRDefault="00E30BD3" w:rsidP="00E30BD3">
      <w:pPr>
        <w:spacing w:after="0"/>
        <w:rPr>
          <w:rFonts w:ascii="Times New Roman" w:hAnsi="Times New Roman"/>
          <w:b/>
        </w:rPr>
      </w:pPr>
    </w:p>
    <w:p w14:paraId="64A34DE4" w14:textId="77777777" w:rsidR="00E30BD3" w:rsidRDefault="00E30BD3" w:rsidP="00E30BD3">
      <w:r>
        <w:br w:type="page"/>
      </w:r>
    </w:p>
    <w:p w14:paraId="67F0060F" w14:textId="4A65F868" w:rsidR="00E30BD3" w:rsidRPr="009365FB" w:rsidRDefault="00E30BD3" w:rsidP="00E30BD3">
      <w:pPr>
        <w:spacing w:after="0"/>
        <w:rPr>
          <w:rFonts w:ascii="Times New Roman" w:hAnsi="Times New Roman"/>
          <w:b/>
        </w:rPr>
      </w:pPr>
      <w:r w:rsidRPr="009365FB">
        <w:rPr>
          <w:rFonts w:ascii="Times New Roman" w:hAnsi="Times New Roman"/>
          <w:b/>
        </w:rPr>
        <w:lastRenderedPageBreak/>
        <w:t>Carne</w:t>
      </w:r>
      <w:r w:rsidR="002D639F">
        <w:rPr>
          <w:rFonts w:ascii="Times New Roman" w:hAnsi="Times New Roman"/>
          <w:b/>
        </w:rPr>
        <w:t>s</w:t>
      </w:r>
      <w:r w:rsidRPr="009365FB">
        <w:rPr>
          <w:rFonts w:ascii="Times New Roman" w:hAnsi="Times New Roman"/>
          <w:b/>
        </w:rPr>
        <w:t>:</w:t>
      </w:r>
    </w:p>
    <w:p w14:paraId="7E254C4E" w14:textId="77777777" w:rsidR="00E30BD3" w:rsidRPr="0033771D" w:rsidRDefault="00E30BD3" w:rsidP="0033771D">
      <w:pPr>
        <w:pStyle w:val="Prrafodelista"/>
        <w:spacing w:after="0"/>
        <w:ind w:left="644"/>
        <w:rPr>
          <w:rFonts w:ascii="Times New Roman" w:hAnsi="Times New Roman"/>
          <w:b/>
          <w:sz w:val="24"/>
          <w:lang w:val="es-ES"/>
        </w:rPr>
      </w:pPr>
    </w:p>
    <w:p w14:paraId="77ED4AE3" w14:textId="77777777" w:rsidR="00E30BD3" w:rsidRPr="0033771D" w:rsidRDefault="00E30BD3" w:rsidP="001C6B1A">
      <w:pPr>
        <w:pStyle w:val="Prrafodelista"/>
        <w:numPr>
          <w:ilvl w:val="0"/>
          <w:numId w:val="8"/>
        </w:numPr>
        <w:spacing w:after="0"/>
        <w:rPr>
          <w:rFonts w:ascii="Times New Roman" w:hAnsi="Times New Roman"/>
          <w:b/>
          <w:sz w:val="24"/>
          <w:lang w:val="es-ES"/>
        </w:rPr>
      </w:pPr>
      <w:r w:rsidRPr="00DE7742">
        <w:rPr>
          <w:rFonts w:ascii="Times New Roman" w:hAnsi="Times New Roman"/>
          <w:b/>
          <w:sz w:val="24"/>
          <w:lang w:val="es-ES"/>
        </w:rPr>
        <w:t xml:space="preserve">Quintales de </w:t>
      </w:r>
      <w:r w:rsidRPr="0033771D">
        <w:rPr>
          <w:rFonts w:ascii="Times New Roman" w:hAnsi="Times New Roman"/>
          <w:b/>
          <w:sz w:val="24"/>
          <w:lang w:val="es-ES"/>
        </w:rPr>
        <w:t>carne</w:t>
      </w:r>
      <w:r w:rsidRPr="00DE7742">
        <w:rPr>
          <w:rFonts w:ascii="Times New Roman" w:hAnsi="Times New Roman"/>
          <w:b/>
          <w:sz w:val="24"/>
          <w:lang w:val="es-ES"/>
        </w:rPr>
        <w:t xml:space="preserve"> consumidos en el PAE</w:t>
      </w:r>
    </w:p>
    <w:p w14:paraId="655EDEB9" w14:textId="77777777" w:rsidR="00E30BD3" w:rsidRPr="00BD75C0" w:rsidRDefault="00E30BD3" w:rsidP="00E30BD3">
      <w:pPr>
        <w:pStyle w:val="Prrafodelista"/>
        <w:spacing w:after="0"/>
        <w:ind w:left="644"/>
        <w:rPr>
          <w:rFonts w:ascii="Times New Roman" w:hAnsi="Times New Roman"/>
          <w:b/>
          <w:lang w:val="es-ES"/>
        </w:rPr>
      </w:pPr>
    </w:p>
    <w:tbl>
      <w:tblPr>
        <w:tblStyle w:val="Tablaconcuadrcula"/>
        <w:tblW w:w="10972" w:type="dxa"/>
        <w:tblInd w:w="-1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
        <w:gridCol w:w="3420"/>
        <w:gridCol w:w="360"/>
        <w:gridCol w:w="3322"/>
        <w:gridCol w:w="360"/>
        <w:gridCol w:w="3150"/>
      </w:tblGrid>
      <w:tr w:rsidR="00E30BD3" w14:paraId="09309065" w14:textId="77777777" w:rsidTr="0033771D">
        <w:tc>
          <w:tcPr>
            <w:tcW w:w="3780" w:type="dxa"/>
            <w:gridSpan w:val="2"/>
          </w:tcPr>
          <w:p w14:paraId="03934D95" w14:textId="77777777" w:rsidR="00E30BD3" w:rsidRDefault="00E30BD3" w:rsidP="00E30BD3">
            <w:pPr>
              <w:spacing w:before="100" w:beforeAutospacing="1" w:after="0"/>
              <w:rPr>
                <w:rFonts w:ascii="Times New Roman" w:hAnsi="Times New Roman"/>
                <w:b/>
                <w:lang w:val="es-ES"/>
              </w:rPr>
            </w:pPr>
            <w:r>
              <w:rPr>
                <w:noProof/>
                <w:lang w:eastAsia="es-DO"/>
              </w:rPr>
              <w:drawing>
                <wp:inline distT="0" distB="0" distL="0" distR="0" wp14:anchorId="5ECAAA09" wp14:editId="1FEA127C">
                  <wp:extent cx="2102647" cy="1839300"/>
                  <wp:effectExtent l="0" t="0" r="0" b="8890"/>
                  <wp:docPr id="157" name="Gráfico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c>
        <w:tc>
          <w:tcPr>
            <w:tcW w:w="3682" w:type="dxa"/>
            <w:gridSpan w:val="2"/>
          </w:tcPr>
          <w:p w14:paraId="4513EF99" w14:textId="77777777" w:rsidR="00E30BD3" w:rsidRDefault="00E30BD3" w:rsidP="00E30BD3">
            <w:pPr>
              <w:spacing w:before="100" w:beforeAutospacing="1" w:after="0"/>
              <w:rPr>
                <w:rFonts w:ascii="Times New Roman" w:hAnsi="Times New Roman"/>
                <w:b/>
                <w:lang w:val="es-ES"/>
              </w:rPr>
            </w:pPr>
            <w:r>
              <w:rPr>
                <w:noProof/>
                <w:lang w:eastAsia="es-DO"/>
              </w:rPr>
              <w:drawing>
                <wp:inline distT="0" distB="0" distL="0" distR="0" wp14:anchorId="71D3D225" wp14:editId="6631D0FF">
                  <wp:extent cx="2078181" cy="1800225"/>
                  <wp:effectExtent l="0" t="0" r="0" b="0"/>
                  <wp:docPr id="158" name="Gráfico 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c>
        <w:tc>
          <w:tcPr>
            <w:tcW w:w="3510" w:type="dxa"/>
            <w:gridSpan w:val="2"/>
          </w:tcPr>
          <w:p w14:paraId="28DB8957" w14:textId="77777777" w:rsidR="00E30BD3" w:rsidRPr="00C669CE" w:rsidRDefault="00E30BD3" w:rsidP="00E30BD3">
            <w:pPr>
              <w:spacing w:after="0"/>
              <w:rPr>
                <w:rFonts w:ascii="Times New Roman" w:hAnsi="Times New Roman"/>
                <w:lang w:val="es-ES"/>
              </w:rPr>
            </w:pPr>
            <w:r>
              <w:rPr>
                <w:noProof/>
                <w:lang w:eastAsia="es-DO"/>
              </w:rPr>
              <w:drawing>
                <wp:inline distT="0" distB="0" distL="0" distR="0" wp14:anchorId="202BB4B5" wp14:editId="47C05713">
                  <wp:extent cx="2030681" cy="1840230"/>
                  <wp:effectExtent l="0" t="0" r="8255" b="7620"/>
                  <wp:docPr id="159" name="Gráfico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c>
      </w:tr>
      <w:tr w:rsidR="00E30BD3" w14:paraId="425DB994" w14:textId="77777777" w:rsidTr="0033771D">
        <w:tc>
          <w:tcPr>
            <w:tcW w:w="3780" w:type="dxa"/>
            <w:gridSpan w:val="2"/>
          </w:tcPr>
          <w:p w14:paraId="2720389A" w14:textId="77777777" w:rsidR="00E30BD3" w:rsidRDefault="00E30BD3" w:rsidP="00E30BD3">
            <w:pPr>
              <w:spacing w:before="100" w:beforeAutospacing="1" w:after="0"/>
              <w:jc w:val="center"/>
              <w:rPr>
                <w:rFonts w:ascii="Times New Roman" w:hAnsi="Times New Roman"/>
                <w:b/>
                <w:lang w:val="es-ES"/>
              </w:rPr>
            </w:pPr>
            <w:r>
              <w:rPr>
                <w:rFonts w:ascii="Times New Roman" w:hAnsi="Times New Roman"/>
                <w:b/>
                <w:lang w:val="es-ES"/>
              </w:rPr>
              <w:t>2013</w:t>
            </w:r>
          </w:p>
        </w:tc>
        <w:tc>
          <w:tcPr>
            <w:tcW w:w="3682" w:type="dxa"/>
            <w:gridSpan w:val="2"/>
          </w:tcPr>
          <w:p w14:paraId="1A28317B" w14:textId="77777777" w:rsidR="00E30BD3" w:rsidRDefault="00E30BD3" w:rsidP="00E30BD3">
            <w:pPr>
              <w:spacing w:before="100" w:beforeAutospacing="1" w:after="0"/>
              <w:jc w:val="center"/>
              <w:rPr>
                <w:rFonts w:ascii="Times New Roman" w:hAnsi="Times New Roman"/>
                <w:b/>
                <w:lang w:val="es-ES"/>
              </w:rPr>
            </w:pPr>
            <w:r>
              <w:rPr>
                <w:rFonts w:ascii="Times New Roman" w:hAnsi="Times New Roman"/>
                <w:b/>
                <w:lang w:val="es-ES"/>
              </w:rPr>
              <w:t>2014</w:t>
            </w:r>
          </w:p>
        </w:tc>
        <w:tc>
          <w:tcPr>
            <w:tcW w:w="3510" w:type="dxa"/>
            <w:gridSpan w:val="2"/>
          </w:tcPr>
          <w:p w14:paraId="12FF04BE" w14:textId="77777777" w:rsidR="00E30BD3" w:rsidRDefault="00E30BD3" w:rsidP="00E30BD3">
            <w:pPr>
              <w:tabs>
                <w:tab w:val="left" w:pos="2942"/>
              </w:tabs>
              <w:spacing w:before="100" w:beforeAutospacing="1" w:after="0"/>
              <w:jc w:val="center"/>
              <w:rPr>
                <w:rFonts w:ascii="Times New Roman" w:hAnsi="Times New Roman"/>
                <w:b/>
                <w:lang w:val="es-ES"/>
              </w:rPr>
            </w:pPr>
            <w:r>
              <w:rPr>
                <w:rFonts w:ascii="Times New Roman" w:hAnsi="Times New Roman"/>
                <w:b/>
                <w:lang w:val="es-ES"/>
              </w:rPr>
              <w:t>2015</w:t>
            </w:r>
          </w:p>
          <w:p w14:paraId="5C65A452" w14:textId="77777777" w:rsidR="00E30BD3" w:rsidRDefault="00E30BD3" w:rsidP="00E30BD3">
            <w:pPr>
              <w:tabs>
                <w:tab w:val="left" w:pos="2942"/>
              </w:tabs>
              <w:spacing w:before="100" w:beforeAutospacing="1" w:after="0"/>
              <w:jc w:val="center"/>
              <w:rPr>
                <w:rFonts w:ascii="Times New Roman" w:hAnsi="Times New Roman"/>
                <w:b/>
                <w:lang w:val="es-ES"/>
              </w:rPr>
            </w:pPr>
          </w:p>
        </w:tc>
      </w:tr>
      <w:tr w:rsidR="00E30BD3" w14:paraId="0CAEDFE3" w14:textId="77777777" w:rsidTr="0033771D">
        <w:tc>
          <w:tcPr>
            <w:tcW w:w="3780" w:type="dxa"/>
            <w:gridSpan w:val="2"/>
          </w:tcPr>
          <w:p w14:paraId="20A529CD" w14:textId="77777777" w:rsidR="00E30BD3" w:rsidRDefault="00E30BD3" w:rsidP="00E30BD3">
            <w:pPr>
              <w:spacing w:before="100" w:beforeAutospacing="1" w:after="0"/>
              <w:rPr>
                <w:rFonts w:ascii="Times New Roman" w:hAnsi="Times New Roman"/>
                <w:b/>
                <w:lang w:val="es-ES"/>
              </w:rPr>
            </w:pPr>
            <w:r>
              <w:rPr>
                <w:noProof/>
                <w:lang w:eastAsia="es-DO"/>
              </w:rPr>
              <w:drawing>
                <wp:inline distT="0" distB="0" distL="0" distR="0" wp14:anchorId="38D94D25" wp14:editId="037144BC">
                  <wp:extent cx="2370455" cy="1828135"/>
                  <wp:effectExtent l="0" t="0" r="0" b="1270"/>
                  <wp:docPr id="161" name="Gráfico 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c>
        <w:tc>
          <w:tcPr>
            <w:tcW w:w="3682" w:type="dxa"/>
            <w:gridSpan w:val="2"/>
          </w:tcPr>
          <w:p w14:paraId="7B415870" w14:textId="77777777" w:rsidR="00E30BD3" w:rsidRDefault="00E30BD3" w:rsidP="00E30BD3">
            <w:pPr>
              <w:spacing w:before="100" w:beforeAutospacing="1" w:after="0"/>
              <w:rPr>
                <w:rFonts w:ascii="Times New Roman" w:hAnsi="Times New Roman"/>
                <w:b/>
                <w:lang w:val="es-ES"/>
              </w:rPr>
            </w:pPr>
            <w:r>
              <w:rPr>
                <w:noProof/>
                <w:lang w:eastAsia="es-DO"/>
              </w:rPr>
              <w:drawing>
                <wp:inline distT="0" distB="0" distL="0" distR="0" wp14:anchorId="2B668DEE" wp14:editId="185FAEB1">
                  <wp:extent cx="2413000" cy="1903095"/>
                  <wp:effectExtent l="0" t="0" r="6350" b="1905"/>
                  <wp:docPr id="166" name="Gráfico 166"/>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tc>
        <w:tc>
          <w:tcPr>
            <w:tcW w:w="3510" w:type="dxa"/>
            <w:gridSpan w:val="2"/>
          </w:tcPr>
          <w:p w14:paraId="14EABF05" w14:textId="77777777" w:rsidR="00E30BD3" w:rsidRPr="003B40D4" w:rsidRDefault="00E30BD3" w:rsidP="00E30BD3">
            <w:pPr>
              <w:tabs>
                <w:tab w:val="left" w:pos="2942"/>
              </w:tabs>
              <w:spacing w:before="100" w:beforeAutospacing="1" w:after="0"/>
              <w:rPr>
                <w:rFonts w:ascii="Times New Roman" w:hAnsi="Times New Roman"/>
                <w:b/>
                <w:lang w:val="es-ES"/>
              </w:rPr>
            </w:pPr>
            <w:r w:rsidRPr="003B40D4">
              <w:rPr>
                <w:rFonts w:ascii="Times New Roman" w:hAnsi="Times New Roman"/>
                <w:noProof/>
                <w:lang w:eastAsia="es-DO"/>
              </w:rPr>
              <w:drawing>
                <wp:inline distT="0" distB="0" distL="0" distR="0" wp14:anchorId="29BD7DDD" wp14:editId="65925EA6">
                  <wp:extent cx="2222205" cy="1903095"/>
                  <wp:effectExtent l="0" t="0" r="6985" b="1905"/>
                  <wp:docPr id="167" name="Gráfico 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tc>
      </w:tr>
      <w:tr w:rsidR="00E30BD3" w14:paraId="1A951E2A" w14:textId="77777777" w:rsidTr="0033771D">
        <w:tc>
          <w:tcPr>
            <w:tcW w:w="3780" w:type="dxa"/>
            <w:gridSpan w:val="2"/>
          </w:tcPr>
          <w:p w14:paraId="2BCFBC5E" w14:textId="77777777" w:rsidR="00E30BD3" w:rsidRDefault="00E30BD3" w:rsidP="00E30BD3">
            <w:pPr>
              <w:spacing w:before="100" w:beforeAutospacing="1" w:after="0"/>
              <w:jc w:val="center"/>
              <w:rPr>
                <w:rFonts w:ascii="Times New Roman" w:hAnsi="Times New Roman"/>
                <w:b/>
                <w:lang w:val="es-ES"/>
              </w:rPr>
            </w:pPr>
            <w:r>
              <w:rPr>
                <w:rFonts w:ascii="Times New Roman" w:hAnsi="Times New Roman"/>
                <w:b/>
                <w:lang w:val="es-ES"/>
              </w:rPr>
              <w:t>2016</w:t>
            </w:r>
          </w:p>
        </w:tc>
        <w:tc>
          <w:tcPr>
            <w:tcW w:w="3682" w:type="dxa"/>
            <w:gridSpan w:val="2"/>
          </w:tcPr>
          <w:p w14:paraId="5B7A1EC4" w14:textId="77777777" w:rsidR="00E30BD3" w:rsidRDefault="00E30BD3" w:rsidP="00E30BD3">
            <w:pPr>
              <w:spacing w:before="100" w:beforeAutospacing="1" w:after="0"/>
              <w:jc w:val="center"/>
              <w:rPr>
                <w:rFonts w:ascii="Times New Roman" w:hAnsi="Times New Roman"/>
                <w:b/>
                <w:lang w:val="es-ES"/>
              </w:rPr>
            </w:pPr>
            <w:r>
              <w:rPr>
                <w:rFonts w:ascii="Times New Roman" w:hAnsi="Times New Roman"/>
                <w:b/>
                <w:lang w:val="es-ES"/>
              </w:rPr>
              <w:t>2017</w:t>
            </w:r>
          </w:p>
        </w:tc>
        <w:tc>
          <w:tcPr>
            <w:tcW w:w="3510" w:type="dxa"/>
            <w:gridSpan w:val="2"/>
          </w:tcPr>
          <w:p w14:paraId="76FB1D04" w14:textId="77777777" w:rsidR="00E30BD3" w:rsidRDefault="00E30BD3" w:rsidP="00E30BD3">
            <w:pPr>
              <w:tabs>
                <w:tab w:val="left" w:pos="2942"/>
              </w:tabs>
              <w:spacing w:before="100" w:beforeAutospacing="1" w:after="0"/>
              <w:jc w:val="center"/>
              <w:rPr>
                <w:rFonts w:ascii="Times New Roman" w:hAnsi="Times New Roman"/>
                <w:b/>
                <w:lang w:val="es-ES"/>
              </w:rPr>
            </w:pPr>
            <w:r>
              <w:rPr>
                <w:rFonts w:ascii="Times New Roman" w:hAnsi="Times New Roman"/>
                <w:b/>
                <w:lang w:val="es-ES"/>
              </w:rPr>
              <w:t>2018</w:t>
            </w:r>
          </w:p>
        </w:tc>
      </w:tr>
      <w:tr w:rsidR="00E30BD3" w14:paraId="1A5CD937" w14:textId="77777777" w:rsidTr="0033771D">
        <w:tc>
          <w:tcPr>
            <w:tcW w:w="10972" w:type="dxa"/>
            <w:gridSpan w:val="6"/>
            <w:shd w:val="clear" w:color="auto" w:fill="auto"/>
          </w:tcPr>
          <w:p w14:paraId="65B2E089" w14:textId="77777777" w:rsidR="00E30BD3" w:rsidRDefault="00E30BD3" w:rsidP="00E30BD3">
            <w:pPr>
              <w:tabs>
                <w:tab w:val="left" w:pos="2942"/>
              </w:tabs>
              <w:spacing w:before="100" w:beforeAutospacing="1" w:after="0"/>
              <w:rPr>
                <w:rFonts w:ascii="Times New Roman" w:hAnsi="Times New Roman"/>
                <w:b/>
                <w:lang w:val="es-ES"/>
              </w:rPr>
            </w:pPr>
            <w:r>
              <w:rPr>
                <w:rFonts w:ascii="Times New Roman" w:hAnsi="Times New Roman"/>
                <w:b/>
                <w:lang w:val="es-ES"/>
              </w:rPr>
              <w:t>Leyenda:</w:t>
            </w:r>
          </w:p>
        </w:tc>
      </w:tr>
      <w:tr w:rsidR="00E30BD3" w14:paraId="4994F9FB" w14:textId="77777777" w:rsidTr="0033771D">
        <w:tc>
          <w:tcPr>
            <w:tcW w:w="360" w:type="dxa"/>
            <w:shd w:val="clear" w:color="auto" w:fill="8064A2" w:themeFill="accent4"/>
          </w:tcPr>
          <w:p w14:paraId="7705C69A" w14:textId="77777777" w:rsidR="00E30BD3" w:rsidRDefault="00E30BD3" w:rsidP="00E30BD3">
            <w:pPr>
              <w:spacing w:before="100" w:beforeAutospacing="1" w:after="0"/>
              <w:jc w:val="center"/>
              <w:rPr>
                <w:rFonts w:ascii="Times New Roman" w:hAnsi="Times New Roman"/>
                <w:b/>
                <w:lang w:val="es-ES"/>
              </w:rPr>
            </w:pPr>
          </w:p>
        </w:tc>
        <w:tc>
          <w:tcPr>
            <w:tcW w:w="3420" w:type="dxa"/>
          </w:tcPr>
          <w:p w14:paraId="33A107EB" w14:textId="77777777" w:rsidR="00E30BD3" w:rsidRPr="0033771D" w:rsidRDefault="00E30BD3" w:rsidP="00E30BD3">
            <w:pPr>
              <w:spacing w:before="100" w:beforeAutospacing="1" w:after="0"/>
              <w:rPr>
                <w:rFonts w:ascii="Times New Roman" w:hAnsi="Times New Roman"/>
                <w:lang w:val="es-ES"/>
              </w:rPr>
            </w:pPr>
            <w:r w:rsidRPr="0033771D">
              <w:rPr>
                <w:rFonts w:ascii="Times New Roman" w:hAnsi="Times New Roman"/>
                <w:lang w:val="es-ES"/>
              </w:rPr>
              <w:t>Carne de Res</w:t>
            </w:r>
          </w:p>
        </w:tc>
        <w:tc>
          <w:tcPr>
            <w:tcW w:w="360" w:type="dxa"/>
            <w:shd w:val="clear" w:color="auto" w:fill="4F81BD" w:themeFill="accent1"/>
          </w:tcPr>
          <w:p w14:paraId="43B99385" w14:textId="77777777" w:rsidR="00E30BD3" w:rsidRPr="0033771D" w:rsidRDefault="00E30BD3" w:rsidP="00E30BD3">
            <w:pPr>
              <w:spacing w:before="100" w:beforeAutospacing="1" w:after="0"/>
              <w:rPr>
                <w:rFonts w:ascii="Times New Roman" w:hAnsi="Times New Roman"/>
                <w:lang w:val="es-ES"/>
              </w:rPr>
            </w:pPr>
          </w:p>
        </w:tc>
        <w:tc>
          <w:tcPr>
            <w:tcW w:w="3322" w:type="dxa"/>
          </w:tcPr>
          <w:p w14:paraId="415D244B" w14:textId="77777777" w:rsidR="00E30BD3" w:rsidRPr="0033771D" w:rsidRDefault="00E30BD3" w:rsidP="00E30BD3">
            <w:pPr>
              <w:spacing w:before="100" w:beforeAutospacing="1" w:after="0"/>
              <w:rPr>
                <w:rFonts w:ascii="Times New Roman" w:hAnsi="Times New Roman"/>
                <w:lang w:val="es-ES"/>
              </w:rPr>
            </w:pPr>
            <w:r w:rsidRPr="0033771D">
              <w:rPr>
                <w:rFonts w:ascii="Times New Roman" w:hAnsi="Times New Roman"/>
                <w:lang w:val="es-ES"/>
              </w:rPr>
              <w:t>Carne de pollo</w:t>
            </w:r>
          </w:p>
        </w:tc>
        <w:tc>
          <w:tcPr>
            <w:tcW w:w="360" w:type="dxa"/>
            <w:shd w:val="clear" w:color="auto" w:fill="F79646" w:themeFill="accent6"/>
          </w:tcPr>
          <w:p w14:paraId="2D4615F5" w14:textId="77777777" w:rsidR="00E30BD3" w:rsidRPr="0033771D" w:rsidRDefault="00E30BD3" w:rsidP="00E30BD3">
            <w:pPr>
              <w:tabs>
                <w:tab w:val="left" w:pos="2942"/>
              </w:tabs>
              <w:spacing w:before="100" w:beforeAutospacing="1" w:after="0"/>
              <w:rPr>
                <w:rFonts w:ascii="Times New Roman" w:hAnsi="Times New Roman"/>
                <w:lang w:val="es-ES"/>
              </w:rPr>
            </w:pPr>
          </w:p>
        </w:tc>
        <w:tc>
          <w:tcPr>
            <w:tcW w:w="3150" w:type="dxa"/>
          </w:tcPr>
          <w:p w14:paraId="74C52122" w14:textId="77777777" w:rsidR="00E30BD3" w:rsidRPr="0033771D" w:rsidRDefault="00E30BD3" w:rsidP="00E30BD3">
            <w:pPr>
              <w:tabs>
                <w:tab w:val="left" w:pos="2942"/>
              </w:tabs>
              <w:spacing w:before="100" w:beforeAutospacing="1" w:after="0"/>
              <w:rPr>
                <w:rFonts w:ascii="Times New Roman" w:hAnsi="Times New Roman"/>
                <w:lang w:val="es-ES"/>
              </w:rPr>
            </w:pPr>
            <w:r w:rsidRPr="0033771D">
              <w:rPr>
                <w:rFonts w:ascii="Times New Roman" w:hAnsi="Times New Roman"/>
                <w:lang w:val="es-ES"/>
              </w:rPr>
              <w:t>Carne de cerdo</w:t>
            </w:r>
          </w:p>
        </w:tc>
      </w:tr>
    </w:tbl>
    <w:p w14:paraId="195B8BB7" w14:textId="77777777" w:rsidR="0033771D" w:rsidRDefault="0033771D">
      <w:pPr>
        <w:spacing w:after="0"/>
        <w:rPr>
          <w:rFonts w:ascii="Times New Roman" w:hAnsi="Times New Roman"/>
          <w:lang w:val="es-ES_tradnl"/>
        </w:rPr>
      </w:pPr>
    </w:p>
    <w:p w14:paraId="7366EB09" w14:textId="77777777" w:rsidR="0033771D" w:rsidRDefault="0033771D">
      <w:pPr>
        <w:spacing w:after="0"/>
        <w:rPr>
          <w:rFonts w:ascii="Times New Roman" w:hAnsi="Times New Roman"/>
          <w:lang w:val="es-ES_tradnl"/>
        </w:rPr>
      </w:pPr>
    </w:p>
    <w:p w14:paraId="2C001783" w14:textId="5426E689" w:rsidR="00E30BD3" w:rsidRDefault="00E30BD3">
      <w:pPr>
        <w:spacing w:after="0"/>
        <w:rPr>
          <w:rFonts w:ascii="Times New Roman" w:hAnsi="Times New Roman"/>
          <w:lang w:val="es-ES_tradnl"/>
        </w:rPr>
      </w:pPr>
      <w:r>
        <w:rPr>
          <w:rFonts w:ascii="Times New Roman" w:hAnsi="Times New Roman"/>
          <w:lang w:val="es-ES_tradnl"/>
        </w:rPr>
        <w:br w:type="page"/>
      </w:r>
    </w:p>
    <w:p w14:paraId="2FCCC17D" w14:textId="2274C503" w:rsidR="00530E9A" w:rsidRPr="001B59B9" w:rsidRDefault="00386226" w:rsidP="00954002">
      <w:pPr>
        <w:pStyle w:val="Ttulo2"/>
      </w:pPr>
      <w:bookmarkStart w:id="153" w:name="_Toc251777821"/>
      <w:bookmarkStart w:id="154" w:name="_Toc254413057"/>
      <w:bookmarkStart w:id="155" w:name="_Toc409040052"/>
      <w:bookmarkStart w:id="156" w:name="_Toc440036668"/>
      <w:bookmarkStart w:id="157" w:name="_Toc470523340"/>
      <w:bookmarkStart w:id="158" w:name="_Toc26292053"/>
      <w:bookmarkStart w:id="159" w:name="_Toc27146758"/>
      <w:r w:rsidRPr="001B59B9">
        <w:lastRenderedPageBreak/>
        <w:t>b)</w:t>
      </w:r>
      <w:r w:rsidR="004C2247" w:rsidRPr="001B59B9">
        <w:t xml:space="preserve"> </w:t>
      </w:r>
      <w:r w:rsidR="00AC65A9">
        <w:t>Impacto</w:t>
      </w:r>
      <w:r w:rsidR="00530E9A" w:rsidRPr="001B59B9">
        <w:t xml:space="preserve"> a empresas</w:t>
      </w:r>
      <w:bookmarkEnd w:id="153"/>
      <w:bookmarkEnd w:id="154"/>
      <w:bookmarkEnd w:id="155"/>
      <w:bookmarkEnd w:id="156"/>
      <w:bookmarkEnd w:id="157"/>
      <w:bookmarkEnd w:id="158"/>
      <w:bookmarkEnd w:id="159"/>
    </w:p>
    <w:p w14:paraId="5D27B099" w14:textId="77777777" w:rsidR="005753DB" w:rsidRPr="0098414F" w:rsidRDefault="005753DB" w:rsidP="00390148">
      <w:pPr>
        <w:widowControl w:val="0"/>
        <w:tabs>
          <w:tab w:val="left" w:pos="630"/>
        </w:tabs>
        <w:autoSpaceDE w:val="0"/>
        <w:autoSpaceDN w:val="0"/>
        <w:adjustRightInd w:val="0"/>
        <w:spacing w:after="0" w:line="480" w:lineRule="auto"/>
        <w:ind w:left="284" w:firstLine="720"/>
        <w:contextualSpacing/>
        <w:jc w:val="both"/>
        <w:rPr>
          <w:rFonts w:ascii="Times New Roman" w:hAnsi="Times New Roman"/>
          <w:lang w:val="es-ES_tradnl"/>
        </w:rPr>
      </w:pPr>
    </w:p>
    <w:p w14:paraId="56AED5C4" w14:textId="77777777" w:rsidR="00D602A4" w:rsidRPr="002A1F99" w:rsidRDefault="00D602A4" w:rsidP="00CA5792">
      <w:pPr>
        <w:pStyle w:val="Ttulo3"/>
      </w:pPr>
      <w:bookmarkStart w:id="160" w:name="_Toc26292054"/>
      <w:bookmarkStart w:id="161" w:name="_Toc27146759"/>
      <w:r w:rsidRPr="002A1F99">
        <w:t>Servicios de información sobre procedimientos ventanilla única de comercio exterior (VUCE-RD).</w:t>
      </w:r>
      <w:bookmarkEnd w:id="160"/>
      <w:bookmarkEnd w:id="161"/>
    </w:p>
    <w:p w14:paraId="55E3056D" w14:textId="77777777" w:rsidR="00CA5792" w:rsidRDefault="00CA5792" w:rsidP="00D602A4">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0C4BA788" w14:textId="77777777" w:rsidR="00D602A4" w:rsidRPr="002A1F99" w:rsidRDefault="00D602A4" w:rsidP="00D602A4">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2A1F99">
        <w:rPr>
          <w:rFonts w:ascii="Times New Roman" w:hAnsi="Times New Roman"/>
          <w:lang w:val="es-ES_tradnl"/>
        </w:rPr>
        <w:t>Esta es una iniciativa de facilitación de comercio, con el objetivo de agilizar los trámites necesarios para la exportación e importación de productos agropecuarios</w:t>
      </w:r>
      <w:r w:rsidRPr="002A1F99">
        <w:rPr>
          <w:rFonts w:ascii="Times New Roman" w:hAnsi="Times New Roman"/>
          <w:sz w:val="23"/>
          <w:szCs w:val="23"/>
          <w:shd w:val="clear" w:color="auto" w:fill="FFFFFF"/>
        </w:rPr>
        <w:t xml:space="preserve"> </w:t>
      </w:r>
      <w:r w:rsidRPr="002A1F99">
        <w:rPr>
          <w:rFonts w:ascii="Times New Roman" w:hAnsi="Times New Roman"/>
          <w:lang w:val="es-ES_tradnl"/>
        </w:rPr>
        <w:t>amparada con el Decreto no. 470-14.</w:t>
      </w:r>
    </w:p>
    <w:p w14:paraId="4D66D264" w14:textId="77777777" w:rsidR="00D602A4" w:rsidRPr="002A1F99" w:rsidRDefault="00D602A4" w:rsidP="00D602A4">
      <w:pPr>
        <w:widowControl w:val="0"/>
        <w:tabs>
          <w:tab w:val="left" w:pos="630"/>
        </w:tabs>
        <w:autoSpaceDE w:val="0"/>
        <w:autoSpaceDN w:val="0"/>
        <w:adjustRightInd w:val="0"/>
        <w:spacing w:after="0" w:line="360" w:lineRule="auto"/>
        <w:ind w:firstLine="720"/>
        <w:contextualSpacing/>
        <w:jc w:val="both"/>
        <w:rPr>
          <w:rFonts w:ascii="Times New Roman" w:hAnsi="Times New Roman"/>
          <w:color w:val="FF0000"/>
          <w:lang w:val="es-ES_tradnl"/>
        </w:rPr>
      </w:pPr>
    </w:p>
    <w:p w14:paraId="7CA212D4" w14:textId="77777777" w:rsidR="00D91DFE" w:rsidRPr="002A1F99" w:rsidRDefault="00D91DFE" w:rsidP="00D602A4">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2A1F99">
        <w:rPr>
          <w:rFonts w:ascii="Times New Roman" w:hAnsi="Times New Roman"/>
          <w:lang w:val="es-ES_tradnl"/>
        </w:rPr>
        <w:t xml:space="preserve">Este sistema permite </w:t>
      </w:r>
      <w:r w:rsidR="00D602A4" w:rsidRPr="002A1F99">
        <w:rPr>
          <w:rFonts w:ascii="Times New Roman" w:hAnsi="Times New Roman"/>
          <w:lang w:val="es-ES_tradnl"/>
        </w:rPr>
        <w:t xml:space="preserve">digitalizar los procesos internos de la institución, simplificar y estandarizar los procedimientos para los usuarios, también promover la facilitación y transparencia de los procesos de seguimiento online a los embarques aduanales de importación, exportación y tránsito de mercancías agrícolas, creando un buen clima de inversión y una medición objetiva de las regulaciones para hacer negocios, mejorando las condiciones de competitividad. </w:t>
      </w:r>
    </w:p>
    <w:p w14:paraId="5F110E9E" w14:textId="77777777" w:rsidR="00DC410F" w:rsidRDefault="00DC410F" w:rsidP="00D602A4">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0CFEED1A" w14:textId="77777777" w:rsidR="00D602A4" w:rsidRPr="001B59B9" w:rsidRDefault="00D91DFE" w:rsidP="00D602A4">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2A1F99">
        <w:rPr>
          <w:rFonts w:ascii="Times New Roman" w:hAnsi="Times New Roman"/>
          <w:lang w:val="es-ES_tradnl"/>
        </w:rPr>
        <w:t>Adicionalmente, permite r</w:t>
      </w:r>
      <w:r w:rsidR="00D602A4" w:rsidRPr="002A1F99">
        <w:rPr>
          <w:rFonts w:ascii="Times New Roman" w:hAnsi="Times New Roman"/>
          <w:lang w:val="es-ES_tradnl"/>
        </w:rPr>
        <w:t>educir costos y tiempo para garantizar la transparencia y seguridad en los procesos de la Ventanilla Única de Comercio Exterior.</w:t>
      </w:r>
    </w:p>
    <w:p w14:paraId="2ADAB06D" w14:textId="77777777" w:rsidR="00D602A4" w:rsidRPr="001B59B9" w:rsidRDefault="00D602A4" w:rsidP="00D602A4">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22AEFEFF" w14:textId="01B5E3C3" w:rsidR="00EA1889" w:rsidRPr="00F1759B" w:rsidRDefault="000A3976" w:rsidP="000A3976">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F1759B">
        <w:rPr>
          <w:rFonts w:ascii="Times New Roman" w:hAnsi="Times New Roman"/>
          <w:lang w:val="es-ES_tradnl"/>
        </w:rPr>
        <w:t>Para noviembre de</w:t>
      </w:r>
      <w:r w:rsidR="00D91DFE" w:rsidRPr="00F1759B">
        <w:rPr>
          <w:rFonts w:ascii="Times New Roman" w:hAnsi="Times New Roman"/>
          <w:lang w:val="es-ES_tradnl"/>
        </w:rPr>
        <w:t>l</w:t>
      </w:r>
      <w:r w:rsidRPr="00F1759B">
        <w:rPr>
          <w:rFonts w:ascii="Times New Roman" w:hAnsi="Times New Roman"/>
          <w:lang w:val="es-ES_tradnl"/>
        </w:rPr>
        <w:t xml:space="preserve"> 201</w:t>
      </w:r>
      <w:r w:rsidR="005916FB" w:rsidRPr="00F1759B">
        <w:rPr>
          <w:rFonts w:ascii="Times New Roman" w:hAnsi="Times New Roman"/>
          <w:lang w:val="es-ES_tradnl"/>
        </w:rPr>
        <w:t>9</w:t>
      </w:r>
      <w:r w:rsidRPr="00F1759B">
        <w:rPr>
          <w:rFonts w:ascii="Times New Roman" w:hAnsi="Times New Roman"/>
          <w:lang w:val="es-ES_tradnl"/>
        </w:rPr>
        <w:t>, el</w:t>
      </w:r>
      <w:r w:rsidR="00F1759B" w:rsidRPr="00F1759B">
        <w:rPr>
          <w:rFonts w:ascii="Times New Roman" w:hAnsi="Times New Roman"/>
          <w:lang w:val="es-ES_tradnl"/>
        </w:rPr>
        <w:t xml:space="preserve"> referido</w:t>
      </w:r>
      <w:r w:rsidRPr="00F1759B">
        <w:rPr>
          <w:rFonts w:ascii="Times New Roman" w:hAnsi="Times New Roman"/>
          <w:lang w:val="es-ES_tradnl"/>
        </w:rPr>
        <w:t xml:space="preserve"> sistema se encuentra implementado en el Ministerio de Agricultura en un </w:t>
      </w:r>
      <w:r w:rsidR="005916FB" w:rsidRPr="00F1759B">
        <w:rPr>
          <w:rFonts w:ascii="Times New Roman" w:hAnsi="Times New Roman"/>
          <w:lang w:val="es-ES_tradnl"/>
        </w:rPr>
        <w:t>99</w:t>
      </w:r>
      <w:r w:rsidRPr="00F1759B">
        <w:rPr>
          <w:rFonts w:ascii="Times New Roman" w:hAnsi="Times New Roman"/>
          <w:lang w:val="es-ES_tradnl"/>
        </w:rPr>
        <w:t>%</w:t>
      </w:r>
      <w:r w:rsidR="00EA1889" w:rsidRPr="00F1759B">
        <w:rPr>
          <w:rFonts w:ascii="Times New Roman" w:hAnsi="Times New Roman"/>
          <w:lang w:val="es-ES_tradnl"/>
        </w:rPr>
        <w:t xml:space="preserve"> de avance</w:t>
      </w:r>
      <w:r w:rsidRPr="00F1759B">
        <w:rPr>
          <w:rFonts w:ascii="Times New Roman" w:hAnsi="Times New Roman"/>
          <w:lang w:val="es-ES_tradnl"/>
        </w:rPr>
        <w:t xml:space="preserve">, contando las siguientes dependencias: </w:t>
      </w:r>
    </w:p>
    <w:p w14:paraId="2E79355C" w14:textId="622E5E82" w:rsidR="00EA1889" w:rsidRPr="00F1759B" w:rsidRDefault="000A3976" w:rsidP="001C6B1A">
      <w:pPr>
        <w:pStyle w:val="Prrafodelista"/>
        <w:widowControl w:val="0"/>
        <w:numPr>
          <w:ilvl w:val="0"/>
          <w:numId w:val="20"/>
        </w:numPr>
        <w:tabs>
          <w:tab w:val="left" w:pos="630"/>
        </w:tabs>
        <w:autoSpaceDE w:val="0"/>
        <w:autoSpaceDN w:val="0"/>
        <w:adjustRightInd w:val="0"/>
        <w:spacing w:after="0" w:line="480" w:lineRule="auto"/>
        <w:jc w:val="both"/>
        <w:rPr>
          <w:rFonts w:ascii="Times New Roman" w:hAnsi="Times New Roman"/>
          <w:sz w:val="24"/>
          <w:lang w:val="es-ES_tradnl"/>
        </w:rPr>
      </w:pPr>
      <w:r w:rsidRPr="00F1759B">
        <w:rPr>
          <w:rFonts w:ascii="Times New Roman" w:hAnsi="Times New Roman"/>
          <w:sz w:val="24"/>
          <w:lang w:val="es-ES_tradnl"/>
        </w:rPr>
        <w:lastRenderedPageBreak/>
        <w:t>Dir</w:t>
      </w:r>
      <w:r w:rsidR="005916FB" w:rsidRPr="00F1759B">
        <w:rPr>
          <w:rFonts w:ascii="Times New Roman" w:hAnsi="Times New Roman"/>
          <w:sz w:val="24"/>
          <w:lang w:val="es-ES_tradnl"/>
        </w:rPr>
        <w:t>ección General de Ganadería</w:t>
      </w:r>
      <w:r w:rsidR="00754259" w:rsidRPr="00F1759B">
        <w:rPr>
          <w:rFonts w:ascii="Times New Roman" w:hAnsi="Times New Roman"/>
          <w:sz w:val="24"/>
          <w:lang w:val="es-ES_tradnl"/>
        </w:rPr>
        <w:t>, DIGEGA.</w:t>
      </w:r>
    </w:p>
    <w:p w14:paraId="7B00D127" w14:textId="038291AD" w:rsidR="00EA1889" w:rsidRPr="00F1759B" w:rsidRDefault="000A3976" w:rsidP="001C6B1A">
      <w:pPr>
        <w:pStyle w:val="Prrafodelista"/>
        <w:widowControl w:val="0"/>
        <w:numPr>
          <w:ilvl w:val="0"/>
          <w:numId w:val="20"/>
        </w:numPr>
        <w:tabs>
          <w:tab w:val="left" w:pos="630"/>
        </w:tabs>
        <w:autoSpaceDE w:val="0"/>
        <w:autoSpaceDN w:val="0"/>
        <w:adjustRightInd w:val="0"/>
        <w:spacing w:after="0" w:line="480" w:lineRule="auto"/>
        <w:jc w:val="both"/>
        <w:rPr>
          <w:rFonts w:ascii="Times New Roman" w:hAnsi="Times New Roman"/>
          <w:sz w:val="24"/>
          <w:lang w:val="es-ES_tradnl"/>
        </w:rPr>
      </w:pPr>
      <w:r w:rsidRPr="00F1759B">
        <w:rPr>
          <w:rFonts w:ascii="Times New Roman" w:hAnsi="Times New Roman"/>
          <w:sz w:val="24"/>
          <w:lang w:val="es-ES_tradnl"/>
        </w:rPr>
        <w:t xml:space="preserve">Dirección </w:t>
      </w:r>
      <w:r w:rsidR="00754259" w:rsidRPr="00F1759B">
        <w:rPr>
          <w:rFonts w:ascii="Times New Roman" w:hAnsi="Times New Roman"/>
          <w:sz w:val="24"/>
          <w:lang w:val="es-ES_tradnl"/>
        </w:rPr>
        <w:t>G</w:t>
      </w:r>
      <w:r w:rsidRPr="00F1759B">
        <w:rPr>
          <w:rFonts w:ascii="Times New Roman" w:hAnsi="Times New Roman"/>
          <w:sz w:val="24"/>
          <w:lang w:val="es-ES_tradnl"/>
        </w:rPr>
        <w:t xml:space="preserve">eneral de </w:t>
      </w:r>
      <w:r w:rsidR="00754259" w:rsidRPr="00F1759B">
        <w:rPr>
          <w:rFonts w:ascii="Times New Roman" w:hAnsi="Times New Roman"/>
          <w:sz w:val="24"/>
          <w:lang w:val="es-ES_tradnl"/>
        </w:rPr>
        <w:t>P</w:t>
      </w:r>
      <w:r w:rsidRPr="00F1759B">
        <w:rPr>
          <w:rFonts w:ascii="Times New Roman" w:hAnsi="Times New Roman"/>
          <w:sz w:val="24"/>
          <w:lang w:val="es-ES_tradnl"/>
        </w:rPr>
        <w:t>r</w:t>
      </w:r>
      <w:r w:rsidR="005916FB" w:rsidRPr="00F1759B">
        <w:rPr>
          <w:rFonts w:ascii="Times New Roman" w:hAnsi="Times New Roman"/>
          <w:sz w:val="24"/>
          <w:lang w:val="es-ES_tradnl"/>
        </w:rPr>
        <w:t>omoción Agrícola y Ganadera</w:t>
      </w:r>
      <w:r w:rsidR="00754259" w:rsidRPr="00F1759B">
        <w:rPr>
          <w:rFonts w:ascii="Times New Roman" w:hAnsi="Times New Roman"/>
          <w:sz w:val="24"/>
          <w:lang w:val="es-ES_tradnl"/>
        </w:rPr>
        <w:t>.</w:t>
      </w:r>
    </w:p>
    <w:p w14:paraId="6964B0FD" w14:textId="27F7E43B" w:rsidR="00EA1889" w:rsidRPr="00F1759B" w:rsidRDefault="000A3976" w:rsidP="001C6B1A">
      <w:pPr>
        <w:pStyle w:val="Prrafodelista"/>
        <w:widowControl w:val="0"/>
        <w:numPr>
          <w:ilvl w:val="0"/>
          <w:numId w:val="20"/>
        </w:numPr>
        <w:tabs>
          <w:tab w:val="left" w:pos="630"/>
        </w:tabs>
        <w:autoSpaceDE w:val="0"/>
        <w:autoSpaceDN w:val="0"/>
        <w:adjustRightInd w:val="0"/>
        <w:spacing w:after="0" w:line="480" w:lineRule="auto"/>
        <w:jc w:val="both"/>
        <w:rPr>
          <w:rFonts w:ascii="Times New Roman" w:hAnsi="Times New Roman"/>
          <w:sz w:val="24"/>
          <w:lang w:val="es-ES_tradnl"/>
        </w:rPr>
      </w:pPr>
      <w:r w:rsidRPr="00F1759B">
        <w:rPr>
          <w:rFonts w:ascii="Times New Roman" w:hAnsi="Times New Roman"/>
          <w:sz w:val="24"/>
          <w:lang w:val="es-ES_tradnl"/>
        </w:rPr>
        <w:t>Consejo Domini</w:t>
      </w:r>
      <w:r w:rsidR="005916FB" w:rsidRPr="00F1759B">
        <w:rPr>
          <w:rFonts w:ascii="Times New Roman" w:hAnsi="Times New Roman"/>
          <w:sz w:val="24"/>
          <w:lang w:val="es-ES_tradnl"/>
        </w:rPr>
        <w:t>cano de Pesca y Acuicultura</w:t>
      </w:r>
      <w:r w:rsidR="00754259" w:rsidRPr="00F1759B">
        <w:rPr>
          <w:rFonts w:ascii="Times New Roman" w:hAnsi="Times New Roman"/>
          <w:sz w:val="24"/>
          <w:lang w:val="es-ES_tradnl"/>
        </w:rPr>
        <w:t>, CODOPESCA.</w:t>
      </w:r>
    </w:p>
    <w:p w14:paraId="56E6C26F" w14:textId="58021589" w:rsidR="00EA1889" w:rsidRPr="00F1759B" w:rsidRDefault="000A3976" w:rsidP="001C6B1A">
      <w:pPr>
        <w:pStyle w:val="Prrafodelista"/>
        <w:widowControl w:val="0"/>
        <w:numPr>
          <w:ilvl w:val="0"/>
          <w:numId w:val="20"/>
        </w:numPr>
        <w:tabs>
          <w:tab w:val="left" w:pos="630"/>
        </w:tabs>
        <w:autoSpaceDE w:val="0"/>
        <w:autoSpaceDN w:val="0"/>
        <w:adjustRightInd w:val="0"/>
        <w:spacing w:after="0" w:line="480" w:lineRule="auto"/>
        <w:jc w:val="both"/>
        <w:rPr>
          <w:rFonts w:ascii="Times New Roman" w:hAnsi="Times New Roman"/>
          <w:sz w:val="24"/>
          <w:lang w:val="es-ES_tradnl"/>
        </w:rPr>
      </w:pPr>
      <w:r w:rsidRPr="00F1759B">
        <w:rPr>
          <w:rFonts w:ascii="Times New Roman" w:hAnsi="Times New Roman"/>
          <w:sz w:val="24"/>
          <w:lang w:val="es-ES_tradnl"/>
        </w:rPr>
        <w:t>Depa</w:t>
      </w:r>
      <w:r w:rsidR="005916FB" w:rsidRPr="00F1759B">
        <w:rPr>
          <w:rFonts w:ascii="Times New Roman" w:hAnsi="Times New Roman"/>
          <w:sz w:val="24"/>
          <w:lang w:val="es-ES_tradnl"/>
        </w:rPr>
        <w:t>rtamento de Sanidad Vegetal</w:t>
      </w:r>
      <w:r w:rsidR="00754259" w:rsidRPr="00F1759B">
        <w:rPr>
          <w:rFonts w:ascii="Times New Roman" w:hAnsi="Times New Roman"/>
          <w:sz w:val="24"/>
          <w:lang w:val="es-ES_tradnl"/>
        </w:rPr>
        <w:t>.</w:t>
      </w:r>
    </w:p>
    <w:p w14:paraId="6DBE0512" w14:textId="65FDD27F" w:rsidR="00EA1889" w:rsidRPr="00F1759B" w:rsidRDefault="00EA1889" w:rsidP="001C6B1A">
      <w:pPr>
        <w:pStyle w:val="Prrafodelista"/>
        <w:widowControl w:val="0"/>
        <w:numPr>
          <w:ilvl w:val="0"/>
          <w:numId w:val="20"/>
        </w:numPr>
        <w:tabs>
          <w:tab w:val="left" w:pos="630"/>
        </w:tabs>
        <w:autoSpaceDE w:val="0"/>
        <w:autoSpaceDN w:val="0"/>
        <w:adjustRightInd w:val="0"/>
        <w:spacing w:after="0" w:line="480" w:lineRule="auto"/>
        <w:jc w:val="both"/>
        <w:rPr>
          <w:rFonts w:ascii="Times New Roman" w:hAnsi="Times New Roman"/>
          <w:sz w:val="24"/>
          <w:lang w:val="es-ES_tradnl"/>
        </w:rPr>
      </w:pPr>
      <w:r w:rsidRPr="00F1759B">
        <w:rPr>
          <w:rFonts w:ascii="Times New Roman" w:hAnsi="Times New Roman"/>
          <w:sz w:val="24"/>
          <w:lang w:val="es-ES_tradnl"/>
        </w:rPr>
        <w:t xml:space="preserve">Programa de </w:t>
      </w:r>
      <w:r w:rsidR="005916FB" w:rsidRPr="00F1759B">
        <w:rPr>
          <w:rFonts w:ascii="Times New Roman" w:hAnsi="Times New Roman"/>
          <w:sz w:val="24"/>
          <w:lang w:val="es-ES_tradnl"/>
        </w:rPr>
        <w:t>Pre</w:t>
      </w:r>
      <w:r w:rsidR="00754259" w:rsidRPr="00F1759B">
        <w:rPr>
          <w:rFonts w:ascii="Times New Roman" w:hAnsi="Times New Roman"/>
          <w:sz w:val="24"/>
          <w:lang w:val="es-ES_tradnl"/>
        </w:rPr>
        <w:t>-</w:t>
      </w:r>
      <w:r w:rsidR="005916FB" w:rsidRPr="00F1759B">
        <w:rPr>
          <w:rFonts w:ascii="Times New Roman" w:hAnsi="Times New Roman"/>
          <w:sz w:val="24"/>
          <w:lang w:val="es-ES_tradnl"/>
        </w:rPr>
        <w:t>inspección</w:t>
      </w:r>
      <w:r w:rsidR="00754259" w:rsidRPr="00F1759B">
        <w:rPr>
          <w:rFonts w:ascii="Times New Roman" w:hAnsi="Times New Roman"/>
          <w:sz w:val="24"/>
          <w:lang w:val="es-ES_tradnl"/>
        </w:rPr>
        <w:t>, PREINSPECCIONA.</w:t>
      </w:r>
    </w:p>
    <w:p w14:paraId="2DD58132" w14:textId="18BC5FA8" w:rsidR="000A3976" w:rsidRPr="00F1759B" w:rsidRDefault="005916FB" w:rsidP="001C6B1A">
      <w:pPr>
        <w:pStyle w:val="Prrafodelista"/>
        <w:widowControl w:val="0"/>
        <w:numPr>
          <w:ilvl w:val="0"/>
          <w:numId w:val="20"/>
        </w:numPr>
        <w:tabs>
          <w:tab w:val="left" w:pos="630"/>
        </w:tabs>
        <w:autoSpaceDE w:val="0"/>
        <w:autoSpaceDN w:val="0"/>
        <w:adjustRightInd w:val="0"/>
        <w:spacing w:after="0" w:line="480" w:lineRule="auto"/>
        <w:jc w:val="both"/>
        <w:rPr>
          <w:rFonts w:ascii="Times New Roman" w:hAnsi="Times New Roman"/>
          <w:sz w:val="24"/>
          <w:lang w:val="es-ES_tradnl"/>
        </w:rPr>
      </w:pPr>
      <w:r w:rsidRPr="00F1759B">
        <w:rPr>
          <w:rFonts w:ascii="Times New Roman" w:hAnsi="Times New Roman"/>
          <w:sz w:val="24"/>
          <w:lang w:val="es-ES_tradnl"/>
        </w:rPr>
        <w:t>Instituto Dominicano de Café</w:t>
      </w:r>
      <w:r w:rsidR="00754259" w:rsidRPr="00F1759B">
        <w:rPr>
          <w:rFonts w:ascii="Times New Roman" w:hAnsi="Times New Roman"/>
          <w:sz w:val="24"/>
          <w:lang w:val="es-ES_tradnl"/>
        </w:rPr>
        <w:t>, INDOCAFE.</w:t>
      </w:r>
    </w:p>
    <w:p w14:paraId="3AACE4F8" w14:textId="5EA85C8D" w:rsidR="005916FB" w:rsidRPr="00F1759B" w:rsidRDefault="005916FB" w:rsidP="001C6B1A">
      <w:pPr>
        <w:pStyle w:val="Prrafodelista"/>
        <w:widowControl w:val="0"/>
        <w:numPr>
          <w:ilvl w:val="0"/>
          <w:numId w:val="20"/>
        </w:numPr>
        <w:tabs>
          <w:tab w:val="left" w:pos="630"/>
        </w:tabs>
        <w:autoSpaceDE w:val="0"/>
        <w:autoSpaceDN w:val="0"/>
        <w:adjustRightInd w:val="0"/>
        <w:spacing w:after="0" w:line="480" w:lineRule="auto"/>
        <w:jc w:val="both"/>
        <w:rPr>
          <w:rFonts w:ascii="Times New Roman" w:hAnsi="Times New Roman"/>
          <w:sz w:val="24"/>
          <w:lang w:val="es-ES_tradnl"/>
        </w:rPr>
      </w:pPr>
      <w:r w:rsidRPr="00F1759B">
        <w:rPr>
          <w:rFonts w:ascii="Times New Roman" w:hAnsi="Times New Roman"/>
          <w:sz w:val="24"/>
          <w:lang w:val="es-ES_tradnl"/>
        </w:rPr>
        <w:t xml:space="preserve">Oficina de Tratados comerciales </w:t>
      </w:r>
      <w:r w:rsidR="00754259" w:rsidRPr="00F1759B">
        <w:rPr>
          <w:rFonts w:ascii="Times New Roman" w:hAnsi="Times New Roman"/>
          <w:sz w:val="24"/>
          <w:lang w:val="es-ES_tradnl"/>
        </w:rPr>
        <w:t>Agrícolas</w:t>
      </w:r>
      <w:r w:rsidRPr="00F1759B">
        <w:rPr>
          <w:rFonts w:ascii="Times New Roman" w:hAnsi="Times New Roman"/>
          <w:sz w:val="24"/>
          <w:lang w:val="es-ES_tradnl"/>
        </w:rPr>
        <w:t>, OTCA.</w:t>
      </w:r>
    </w:p>
    <w:p w14:paraId="72CA262A" w14:textId="77777777" w:rsidR="000A3976" w:rsidRPr="000A3976" w:rsidRDefault="000A3976" w:rsidP="000A3976">
      <w:pPr>
        <w:widowControl w:val="0"/>
        <w:tabs>
          <w:tab w:val="left" w:pos="630"/>
        </w:tabs>
        <w:autoSpaceDE w:val="0"/>
        <w:autoSpaceDN w:val="0"/>
        <w:adjustRightInd w:val="0"/>
        <w:spacing w:after="0" w:line="480" w:lineRule="auto"/>
        <w:ind w:firstLine="720"/>
        <w:contextualSpacing/>
        <w:jc w:val="both"/>
        <w:rPr>
          <w:rFonts w:ascii="Times New Roman" w:hAnsi="Times New Roman"/>
          <w:color w:val="4F81BD" w:themeColor="accent1"/>
          <w:lang w:val="es-ES_tradnl"/>
        </w:rPr>
      </w:pPr>
    </w:p>
    <w:p w14:paraId="502712A4" w14:textId="4ED890C9" w:rsidR="000A3976" w:rsidRDefault="000A3976" w:rsidP="000A3976">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F1759B">
        <w:rPr>
          <w:rFonts w:ascii="Times New Roman" w:hAnsi="Times New Roman"/>
          <w:lang w:val="es-ES_tradnl"/>
        </w:rPr>
        <w:t xml:space="preserve">Para el </w:t>
      </w:r>
      <w:r w:rsidR="00F1759B" w:rsidRPr="00F1759B">
        <w:rPr>
          <w:rFonts w:ascii="Times New Roman" w:hAnsi="Times New Roman"/>
          <w:lang w:val="es-ES_tradnl"/>
        </w:rPr>
        <w:t xml:space="preserve">próximo </w:t>
      </w:r>
      <w:r w:rsidRPr="00F1759B">
        <w:rPr>
          <w:rFonts w:ascii="Times New Roman" w:hAnsi="Times New Roman"/>
          <w:lang w:val="es-ES_tradnl"/>
        </w:rPr>
        <w:t>año 20</w:t>
      </w:r>
      <w:r w:rsidR="005916FB" w:rsidRPr="00F1759B">
        <w:rPr>
          <w:rFonts w:ascii="Times New Roman" w:hAnsi="Times New Roman"/>
          <w:lang w:val="es-ES_tradnl"/>
        </w:rPr>
        <w:t>20</w:t>
      </w:r>
      <w:r w:rsidRPr="00F1759B">
        <w:rPr>
          <w:rFonts w:ascii="Times New Roman" w:hAnsi="Times New Roman"/>
          <w:lang w:val="es-ES_tradnl"/>
        </w:rPr>
        <w:t xml:space="preserve"> </w:t>
      </w:r>
      <w:r w:rsidR="005916FB" w:rsidRPr="00F1759B">
        <w:rPr>
          <w:rFonts w:ascii="Times New Roman" w:hAnsi="Times New Roman"/>
          <w:lang w:val="es-ES_tradnl"/>
        </w:rPr>
        <w:t xml:space="preserve">se </w:t>
      </w:r>
      <w:r w:rsidR="00F1759B" w:rsidRPr="00F1759B">
        <w:rPr>
          <w:rFonts w:ascii="Times New Roman" w:hAnsi="Times New Roman"/>
          <w:lang w:val="es-ES_tradnl"/>
        </w:rPr>
        <w:t xml:space="preserve">prevé </w:t>
      </w:r>
      <w:r w:rsidR="00591F97" w:rsidRPr="00F1759B">
        <w:rPr>
          <w:rFonts w:ascii="Times New Roman" w:hAnsi="Times New Roman"/>
          <w:lang w:val="es-ES_tradnl"/>
        </w:rPr>
        <w:t>continuar</w:t>
      </w:r>
      <w:r w:rsidR="005916FB" w:rsidRPr="00F1759B">
        <w:rPr>
          <w:rFonts w:ascii="Times New Roman" w:hAnsi="Times New Roman"/>
          <w:lang w:val="es-ES_tradnl"/>
        </w:rPr>
        <w:t xml:space="preserve"> los trabajos de mejoramiento del flujo de aprobación en puertos, aeropuertos y fronteras terrestres</w:t>
      </w:r>
      <w:r w:rsidR="00F1759B" w:rsidRPr="00F1759B">
        <w:rPr>
          <w:rFonts w:ascii="Times New Roman" w:hAnsi="Times New Roman"/>
          <w:lang w:val="es-ES_tradnl"/>
        </w:rPr>
        <w:t>,</w:t>
      </w:r>
      <w:r w:rsidRPr="00F1759B">
        <w:rPr>
          <w:rFonts w:ascii="Times New Roman" w:hAnsi="Times New Roman"/>
          <w:lang w:val="es-ES_tradnl"/>
        </w:rPr>
        <w:t xml:space="preserve"> culminar con los procesos o permisos pendientes e incorporar </w:t>
      </w:r>
      <w:r w:rsidR="00EA1889" w:rsidRPr="00F1759B">
        <w:rPr>
          <w:rFonts w:ascii="Times New Roman" w:hAnsi="Times New Roman"/>
          <w:lang w:val="es-ES_tradnl"/>
        </w:rPr>
        <w:t xml:space="preserve">los servicios de la Oficina de Tratados comerciales Agrícolas, </w:t>
      </w:r>
      <w:r w:rsidRPr="00F1759B">
        <w:rPr>
          <w:rFonts w:ascii="Times New Roman" w:hAnsi="Times New Roman"/>
          <w:lang w:val="es-ES_tradnl"/>
        </w:rPr>
        <w:t>OTCA a dicho sistema.</w:t>
      </w:r>
    </w:p>
    <w:p w14:paraId="4AF66874" w14:textId="23357D9B" w:rsidR="00D602A4" w:rsidRPr="00D91DFE" w:rsidRDefault="00D602A4" w:rsidP="00591F97">
      <w:pPr>
        <w:widowControl w:val="0"/>
        <w:tabs>
          <w:tab w:val="left" w:pos="630"/>
        </w:tabs>
        <w:autoSpaceDE w:val="0"/>
        <w:autoSpaceDN w:val="0"/>
        <w:adjustRightInd w:val="0"/>
        <w:spacing w:after="0" w:line="360" w:lineRule="auto"/>
        <w:contextualSpacing/>
        <w:jc w:val="both"/>
        <w:rPr>
          <w:rFonts w:ascii="Times New Roman" w:hAnsi="Times New Roman"/>
          <w:lang w:val="es-ES_tradnl"/>
        </w:rPr>
      </w:pPr>
    </w:p>
    <w:p w14:paraId="6A120374" w14:textId="66483C52" w:rsidR="005753DB" w:rsidRPr="00AE65E6" w:rsidRDefault="0012325A" w:rsidP="00CA5792">
      <w:pPr>
        <w:pStyle w:val="Ttulo3"/>
      </w:pPr>
      <w:bookmarkStart w:id="162" w:name="_Toc26292055"/>
      <w:bookmarkStart w:id="163" w:name="_Toc27146760"/>
      <w:r w:rsidRPr="00AE65E6">
        <w:t>Fomento y a</w:t>
      </w:r>
      <w:r w:rsidR="00530E9A" w:rsidRPr="00AE65E6">
        <w:t xml:space="preserve">poyo a la asociatividad </w:t>
      </w:r>
      <w:r w:rsidR="005753DB" w:rsidRPr="00AE65E6">
        <w:t>como eje transversal</w:t>
      </w:r>
      <w:bookmarkEnd w:id="162"/>
      <w:bookmarkEnd w:id="163"/>
      <w:r w:rsidR="00530E9A" w:rsidRPr="00AE65E6">
        <w:t xml:space="preserve"> </w:t>
      </w:r>
    </w:p>
    <w:p w14:paraId="501B66C3" w14:textId="77777777" w:rsidR="00530E9A" w:rsidRPr="00E054E3" w:rsidRDefault="005753DB"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F1759B">
        <w:rPr>
          <w:rFonts w:ascii="Times New Roman" w:hAnsi="Times New Roman"/>
          <w:lang w:val="es-ES_tradnl"/>
        </w:rPr>
        <w:t>Promoción y fo</w:t>
      </w:r>
      <w:r w:rsidR="00644488" w:rsidRPr="00F1759B">
        <w:rPr>
          <w:rFonts w:ascii="Times New Roman" w:hAnsi="Times New Roman"/>
          <w:lang w:val="es-ES_tradnl"/>
        </w:rPr>
        <w:t xml:space="preserve">rtalecimiento </w:t>
      </w:r>
      <w:r w:rsidR="008D1996" w:rsidRPr="00F1759B">
        <w:rPr>
          <w:rFonts w:ascii="Times New Roman" w:hAnsi="Times New Roman"/>
          <w:lang w:val="es-ES_tradnl"/>
        </w:rPr>
        <w:t xml:space="preserve">de </w:t>
      </w:r>
      <w:r w:rsidR="00644488" w:rsidRPr="00F1759B">
        <w:rPr>
          <w:rFonts w:ascii="Times New Roman" w:hAnsi="Times New Roman"/>
          <w:lang w:val="es-ES_tradnl"/>
        </w:rPr>
        <w:t xml:space="preserve">la actuación colectiva de los pequeños productores y los agricultores familiares para mejorar su acceso a los recursos, apoyo de servicios, las tecnologías y </w:t>
      </w:r>
      <w:r w:rsidR="008D1996" w:rsidRPr="00F1759B">
        <w:rPr>
          <w:rFonts w:ascii="Times New Roman" w:hAnsi="Times New Roman"/>
          <w:lang w:val="es-ES_tradnl"/>
        </w:rPr>
        <w:t xml:space="preserve">acceso a </w:t>
      </w:r>
      <w:r w:rsidR="00644488" w:rsidRPr="00F1759B">
        <w:rPr>
          <w:rFonts w:ascii="Times New Roman" w:hAnsi="Times New Roman"/>
          <w:lang w:val="es-ES_tradnl"/>
        </w:rPr>
        <w:t>los mercados, así como el establecimiento de un entorno propicio para la institucionalidad de las organizaciones rurales con atención especial a los mecanismos inclusivos.</w:t>
      </w:r>
    </w:p>
    <w:p w14:paraId="464216B7" w14:textId="77777777" w:rsidR="00B65596" w:rsidRDefault="00B65596" w:rsidP="00695EED">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706E3615" w14:textId="7A22732F" w:rsidR="00695EED" w:rsidRPr="00EA1889" w:rsidRDefault="008D1996" w:rsidP="00695EED">
      <w:pPr>
        <w:widowControl w:val="0"/>
        <w:tabs>
          <w:tab w:val="left" w:pos="630"/>
        </w:tabs>
        <w:autoSpaceDE w:val="0"/>
        <w:autoSpaceDN w:val="0"/>
        <w:adjustRightInd w:val="0"/>
        <w:spacing w:after="0" w:line="480" w:lineRule="auto"/>
        <w:ind w:firstLine="720"/>
        <w:contextualSpacing/>
        <w:jc w:val="both"/>
        <w:rPr>
          <w:rFonts w:ascii="Times New Roman" w:hAnsi="Times New Roman"/>
          <w:color w:val="4F81BD" w:themeColor="accent1"/>
          <w:lang w:val="es-ES_tradnl"/>
        </w:rPr>
      </w:pPr>
      <w:r w:rsidRPr="001371FC">
        <w:rPr>
          <w:rFonts w:ascii="Times New Roman" w:hAnsi="Times New Roman"/>
          <w:lang w:val="es-ES_tradnl"/>
        </w:rPr>
        <w:t xml:space="preserve">Para tales fines se </w:t>
      </w:r>
      <w:r w:rsidR="00064F45" w:rsidRPr="001371FC">
        <w:rPr>
          <w:rFonts w:ascii="Times New Roman" w:hAnsi="Times New Roman"/>
          <w:lang w:val="es-ES_tradnl"/>
        </w:rPr>
        <w:t>ha</w:t>
      </w:r>
      <w:r w:rsidR="002E400A" w:rsidRPr="001371FC">
        <w:rPr>
          <w:rFonts w:ascii="Times New Roman" w:hAnsi="Times New Roman"/>
          <w:lang w:val="es-ES_tradnl"/>
        </w:rPr>
        <w:t>n</w:t>
      </w:r>
      <w:r w:rsidRPr="001371FC">
        <w:rPr>
          <w:rFonts w:ascii="Times New Roman" w:hAnsi="Times New Roman"/>
          <w:lang w:val="es-ES_tradnl"/>
        </w:rPr>
        <w:t xml:space="preserve"> implementado </w:t>
      </w:r>
      <w:r w:rsidR="00D91DFE" w:rsidRPr="001371FC">
        <w:rPr>
          <w:rFonts w:ascii="Times New Roman" w:hAnsi="Times New Roman"/>
          <w:lang w:val="es-ES_tradnl"/>
        </w:rPr>
        <w:t>dos (</w:t>
      </w:r>
      <w:r w:rsidRPr="001371FC">
        <w:rPr>
          <w:rFonts w:ascii="Times New Roman" w:hAnsi="Times New Roman"/>
          <w:lang w:val="es-ES_tradnl"/>
        </w:rPr>
        <w:t>2</w:t>
      </w:r>
      <w:r w:rsidR="00D91DFE" w:rsidRPr="001371FC">
        <w:rPr>
          <w:rFonts w:ascii="Times New Roman" w:hAnsi="Times New Roman"/>
          <w:lang w:val="es-ES_tradnl"/>
        </w:rPr>
        <w:t>)</w:t>
      </w:r>
      <w:r w:rsidRPr="001371FC">
        <w:rPr>
          <w:rFonts w:ascii="Times New Roman" w:hAnsi="Times New Roman"/>
          <w:lang w:val="es-ES_tradnl"/>
        </w:rPr>
        <w:t xml:space="preserve"> Metas Presidenciales concebidas con un horizonte </w:t>
      </w:r>
      <w:r w:rsidR="002E400A" w:rsidRPr="001371FC">
        <w:rPr>
          <w:rFonts w:ascii="Times New Roman" w:hAnsi="Times New Roman"/>
          <w:lang w:val="es-ES_tradnl"/>
        </w:rPr>
        <w:t>de cuatro años;</w:t>
      </w:r>
      <w:r w:rsidR="00895B0D" w:rsidRPr="001371FC">
        <w:rPr>
          <w:rFonts w:ascii="Times New Roman" w:hAnsi="Times New Roman"/>
          <w:lang w:val="es-ES_tradnl"/>
        </w:rPr>
        <w:t xml:space="preserve"> por un </w:t>
      </w:r>
      <w:r w:rsidR="00EA1889" w:rsidRPr="001371FC">
        <w:rPr>
          <w:rFonts w:ascii="Times New Roman" w:hAnsi="Times New Roman"/>
          <w:lang w:val="es-ES_tradnl"/>
        </w:rPr>
        <w:t>lado,</w:t>
      </w:r>
      <w:r w:rsidR="00895B0D" w:rsidRPr="001371FC">
        <w:rPr>
          <w:rFonts w:ascii="Times New Roman" w:hAnsi="Times New Roman"/>
          <w:lang w:val="es-ES_tradnl"/>
        </w:rPr>
        <w:t xml:space="preserve"> la M</w:t>
      </w:r>
      <w:r w:rsidRPr="001371FC">
        <w:rPr>
          <w:rFonts w:ascii="Times New Roman" w:hAnsi="Times New Roman"/>
          <w:lang w:val="es-ES_tradnl"/>
        </w:rPr>
        <w:t xml:space="preserve">eta de </w:t>
      </w:r>
      <w:r w:rsidR="00F1759B" w:rsidRPr="001371FC">
        <w:rPr>
          <w:rFonts w:ascii="Times New Roman" w:hAnsi="Times New Roman"/>
          <w:lang w:val="es-ES_tradnl"/>
        </w:rPr>
        <w:t>F</w:t>
      </w:r>
      <w:r w:rsidRPr="001371FC">
        <w:rPr>
          <w:rFonts w:ascii="Times New Roman" w:hAnsi="Times New Roman"/>
          <w:lang w:val="es-ES_tradnl"/>
        </w:rPr>
        <w:t>o</w:t>
      </w:r>
      <w:r w:rsidR="00EA1889" w:rsidRPr="001371FC">
        <w:rPr>
          <w:rFonts w:ascii="Times New Roman" w:hAnsi="Times New Roman"/>
          <w:lang w:val="es-ES_tradnl"/>
        </w:rPr>
        <w:t xml:space="preserve">rtalecimiento </w:t>
      </w:r>
      <w:r w:rsidR="00F1759B" w:rsidRPr="001371FC">
        <w:rPr>
          <w:rFonts w:ascii="Times New Roman" w:hAnsi="Times New Roman"/>
          <w:lang w:val="es-ES_tradnl"/>
        </w:rPr>
        <w:t>I</w:t>
      </w:r>
      <w:r w:rsidR="00EA1889" w:rsidRPr="001371FC">
        <w:rPr>
          <w:rFonts w:ascii="Times New Roman" w:hAnsi="Times New Roman"/>
          <w:lang w:val="es-ES_tradnl"/>
        </w:rPr>
        <w:t xml:space="preserve">nstitucional de </w:t>
      </w:r>
      <w:r w:rsidR="001371FC" w:rsidRPr="001371FC">
        <w:rPr>
          <w:rFonts w:ascii="Times New Roman" w:hAnsi="Times New Roman"/>
          <w:lang w:val="es-ES_tradnl"/>
        </w:rPr>
        <w:t>A</w:t>
      </w:r>
      <w:r w:rsidRPr="001371FC">
        <w:rPr>
          <w:rFonts w:ascii="Times New Roman" w:hAnsi="Times New Roman"/>
          <w:lang w:val="es-ES_tradnl"/>
        </w:rPr>
        <w:t xml:space="preserve">sociaciones </w:t>
      </w:r>
      <w:r w:rsidR="001371FC" w:rsidRPr="001371FC">
        <w:rPr>
          <w:rFonts w:ascii="Times New Roman" w:hAnsi="Times New Roman"/>
          <w:lang w:val="es-ES_tradnl"/>
        </w:rPr>
        <w:t>R</w:t>
      </w:r>
      <w:r w:rsidRPr="001371FC">
        <w:rPr>
          <w:rFonts w:ascii="Times New Roman" w:hAnsi="Times New Roman"/>
          <w:lang w:val="es-ES_tradnl"/>
        </w:rPr>
        <w:t xml:space="preserve">urales, ejecutada por este </w:t>
      </w:r>
      <w:r w:rsidRPr="001371FC">
        <w:rPr>
          <w:rFonts w:ascii="Times New Roman" w:hAnsi="Times New Roman"/>
          <w:lang w:val="es-ES_tradnl"/>
        </w:rPr>
        <w:lastRenderedPageBreak/>
        <w:t xml:space="preserve">Ministerio </w:t>
      </w:r>
      <w:r w:rsidR="00E054E3" w:rsidRPr="001371FC">
        <w:rPr>
          <w:rFonts w:ascii="Times New Roman" w:hAnsi="Times New Roman"/>
          <w:lang w:val="es-ES_tradnl"/>
        </w:rPr>
        <w:t>vía</w:t>
      </w:r>
      <w:r w:rsidR="00EA1889" w:rsidRPr="001371FC">
        <w:rPr>
          <w:rFonts w:ascii="Times New Roman" w:hAnsi="Times New Roman"/>
          <w:lang w:val="es-ES_tradnl"/>
        </w:rPr>
        <w:t xml:space="preserve"> del Departamento de Organización Rural </w:t>
      </w:r>
      <w:r w:rsidRPr="001371FC">
        <w:rPr>
          <w:rFonts w:ascii="Times New Roman" w:hAnsi="Times New Roman"/>
          <w:lang w:val="es-ES_tradnl"/>
        </w:rPr>
        <w:t xml:space="preserve">y la Meta de </w:t>
      </w:r>
      <w:r w:rsidR="001371FC" w:rsidRPr="001371FC">
        <w:rPr>
          <w:rFonts w:ascii="Times New Roman" w:hAnsi="Times New Roman"/>
          <w:lang w:val="es-ES_tradnl"/>
        </w:rPr>
        <w:t>F</w:t>
      </w:r>
      <w:r w:rsidRPr="001371FC">
        <w:rPr>
          <w:rFonts w:ascii="Times New Roman" w:hAnsi="Times New Roman"/>
          <w:lang w:val="es-ES_tradnl"/>
        </w:rPr>
        <w:t xml:space="preserve">omentar la </w:t>
      </w:r>
      <w:r w:rsidR="001371FC" w:rsidRPr="001371FC">
        <w:rPr>
          <w:rFonts w:ascii="Times New Roman" w:hAnsi="Times New Roman"/>
          <w:lang w:val="es-ES_tradnl"/>
        </w:rPr>
        <w:t>O</w:t>
      </w:r>
      <w:r w:rsidRPr="001371FC">
        <w:rPr>
          <w:rFonts w:ascii="Times New Roman" w:hAnsi="Times New Roman"/>
          <w:lang w:val="es-ES_tradnl"/>
        </w:rPr>
        <w:t xml:space="preserve">rganización de </w:t>
      </w:r>
      <w:r w:rsidR="001371FC" w:rsidRPr="001371FC">
        <w:rPr>
          <w:rFonts w:ascii="Times New Roman" w:hAnsi="Times New Roman"/>
          <w:lang w:val="es-ES_tradnl"/>
        </w:rPr>
        <w:t>A</w:t>
      </w:r>
      <w:r w:rsidRPr="001371FC">
        <w:rPr>
          <w:rFonts w:ascii="Times New Roman" w:hAnsi="Times New Roman"/>
          <w:lang w:val="es-ES_tradnl"/>
        </w:rPr>
        <w:t xml:space="preserve">sociaciones y </w:t>
      </w:r>
      <w:r w:rsidR="001371FC" w:rsidRPr="001371FC">
        <w:rPr>
          <w:rFonts w:ascii="Times New Roman" w:hAnsi="Times New Roman"/>
          <w:lang w:val="es-ES_tradnl"/>
        </w:rPr>
        <w:t>C</w:t>
      </w:r>
      <w:r w:rsidRPr="001371FC">
        <w:rPr>
          <w:rFonts w:ascii="Times New Roman" w:hAnsi="Times New Roman"/>
          <w:lang w:val="es-ES_tradnl"/>
        </w:rPr>
        <w:t xml:space="preserve">ooperativas de primer grado de </w:t>
      </w:r>
      <w:r w:rsidR="001371FC" w:rsidRPr="001371FC">
        <w:rPr>
          <w:rFonts w:ascii="Times New Roman" w:hAnsi="Times New Roman"/>
          <w:lang w:val="es-ES_tradnl"/>
        </w:rPr>
        <w:t>P</w:t>
      </w:r>
      <w:r w:rsidRPr="001371FC">
        <w:rPr>
          <w:rFonts w:ascii="Times New Roman" w:hAnsi="Times New Roman"/>
          <w:lang w:val="es-ES_tradnl"/>
        </w:rPr>
        <w:t xml:space="preserve">roductores </w:t>
      </w:r>
      <w:r w:rsidR="001371FC" w:rsidRPr="001371FC">
        <w:rPr>
          <w:rFonts w:ascii="Times New Roman" w:hAnsi="Times New Roman"/>
          <w:lang w:val="es-ES_tradnl"/>
        </w:rPr>
        <w:t>A</w:t>
      </w:r>
      <w:r w:rsidRPr="001371FC">
        <w:rPr>
          <w:rFonts w:ascii="Times New Roman" w:hAnsi="Times New Roman"/>
          <w:lang w:val="es-ES_tradnl"/>
        </w:rPr>
        <w:t>gropecuarios, ejecutado por el Instituto Agrario Dominica</w:t>
      </w:r>
      <w:r w:rsidR="00BA36D3" w:rsidRPr="001371FC">
        <w:rPr>
          <w:rFonts w:ascii="Times New Roman" w:hAnsi="Times New Roman"/>
          <w:lang w:val="es-ES_tradnl"/>
        </w:rPr>
        <w:t>no</w:t>
      </w:r>
      <w:r w:rsidR="00EA1889" w:rsidRPr="001371FC">
        <w:rPr>
          <w:rFonts w:ascii="Times New Roman" w:hAnsi="Times New Roman"/>
          <w:lang w:val="es-ES_tradnl"/>
        </w:rPr>
        <w:t>, IAD</w:t>
      </w:r>
      <w:r w:rsidR="001371FC" w:rsidRPr="001371FC">
        <w:rPr>
          <w:rFonts w:ascii="Times New Roman" w:hAnsi="Times New Roman"/>
          <w:lang w:val="es-ES_tradnl"/>
        </w:rPr>
        <w:t>.</w:t>
      </w:r>
      <w:r w:rsidR="00EA1889" w:rsidRPr="001371FC">
        <w:rPr>
          <w:rFonts w:ascii="Times New Roman" w:hAnsi="Times New Roman"/>
          <w:lang w:val="es-ES_tradnl"/>
        </w:rPr>
        <w:t xml:space="preserve"> </w:t>
      </w:r>
      <w:r w:rsidR="001371FC" w:rsidRPr="001371FC">
        <w:rPr>
          <w:rFonts w:ascii="Times New Roman" w:hAnsi="Times New Roman"/>
          <w:lang w:val="es-ES_tradnl"/>
        </w:rPr>
        <w:t>V</w:t>
      </w:r>
      <w:r w:rsidR="00315B81" w:rsidRPr="001371FC">
        <w:rPr>
          <w:rFonts w:ascii="Times New Roman" w:hAnsi="Times New Roman"/>
          <w:lang w:val="es-ES_tradnl"/>
        </w:rPr>
        <w:t xml:space="preserve">er anexo </w:t>
      </w:r>
      <w:r w:rsidR="00556444" w:rsidRPr="001371FC">
        <w:rPr>
          <w:rFonts w:ascii="Times New Roman" w:hAnsi="Times New Roman"/>
          <w:lang w:val="es-ES_tradnl"/>
        </w:rPr>
        <w:t>G</w:t>
      </w:r>
      <w:r w:rsidR="00315B81" w:rsidRPr="001371FC">
        <w:rPr>
          <w:rFonts w:ascii="Times New Roman" w:hAnsi="Times New Roman"/>
          <w:lang w:val="es-ES_tradnl"/>
        </w:rPr>
        <w:t>.</w:t>
      </w:r>
    </w:p>
    <w:p w14:paraId="4F1DA808" w14:textId="77777777" w:rsidR="00A204A1" w:rsidRPr="00AF2287" w:rsidRDefault="00A204A1" w:rsidP="00695EED">
      <w:pPr>
        <w:widowControl w:val="0"/>
        <w:tabs>
          <w:tab w:val="left" w:pos="630"/>
        </w:tabs>
        <w:autoSpaceDE w:val="0"/>
        <w:autoSpaceDN w:val="0"/>
        <w:adjustRightInd w:val="0"/>
        <w:spacing w:after="0" w:line="480" w:lineRule="auto"/>
        <w:ind w:firstLine="720"/>
        <w:contextualSpacing/>
        <w:jc w:val="both"/>
        <w:rPr>
          <w:rFonts w:ascii="Times New Roman" w:hAnsi="Times New Roman"/>
          <w:color w:val="FF0000"/>
          <w:lang w:val="es-ES_tradnl"/>
        </w:rPr>
      </w:pPr>
    </w:p>
    <w:p w14:paraId="3FC42408" w14:textId="77777777" w:rsidR="00644488" w:rsidRPr="00AE65E6" w:rsidRDefault="00530E9A" w:rsidP="00CA5792">
      <w:pPr>
        <w:pStyle w:val="Ttulo3"/>
      </w:pPr>
      <w:bookmarkStart w:id="164" w:name="_Toc26292056"/>
      <w:bookmarkStart w:id="165" w:name="_Toc27146761"/>
      <w:r w:rsidRPr="00AE65E6">
        <w:t>Incentivos para proteger la rentabilidad mínima de los cultivos sensibles</w:t>
      </w:r>
      <w:bookmarkEnd w:id="164"/>
      <w:bookmarkEnd w:id="165"/>
      <w:r w:rsidRPr="00AE65E6">
        <w:t xml:space="preserve"> </w:t>
      </w:r>
    </w:p>
    <w:p w14:paraId="7C3EF6B5" w14:textId="77777777" w:rsidR="00CA5792" w:rsidRDefault="00CA5792"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62A71AAD" w14:textId="07104BFE" w:rsidR="00530E9A" w:rsidRPr="00E054E3" w:rsidRDefault="00644488"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EA4340">
        <w:rPr>
          <w:rFonts w:ascii="Times New Roman" w:hAnsi="Times New Roman"/>
          <w:lang w:val="es-ES_tradnl"/>
        </w:rPr>
        <w:t>A</w:t>
      </w:r>
      <w:r w:rsidR="00530E9A" w:rsidRPr="00EA4340">
        <w:rPr>
          <w:rFonts w:ascii="Times New Roman" w:hAnsi="Times New Roman"/>
          <w:lang w:val="es-ES_tradnl"/>
        </w:rPr>
        <w:t xml:space="preserve"> través </w:t>
      </w:r>
      <w:r w:rsidRPr="00EA4340">
        <w:rPr>
          <w:rFonts w:ascii="Times New Roman" w:hAnsi="Times New Roman"/>
          <w:lang w:val="es-ES_tradnl"/>
        </w:rPr>
        <w:t xml:space="preserve">de instrumentos de políticas </w:t>
      </w:r>
      <w:r w:rsidR="00530E9A" w:rsidRPr="00EA4340">
        <w:rPr>
          <w:rFonts w:ascii="Times New Roman" w:hAnsi="Times New Roman"/>
          <w:lang w:val="es-ES_tradnl"/>
        </w:rPr>
        <w:t xml:space="preserve">de apoyos </w:t>
      </w:r>
      <w:r w:rsidRPr="00EA4340">
        <w:rPr>
          <w:rFonts w:ascii="Times New Roman" w:hAnsi="Times New Roman"/>
          <w:lang w:val="es-ES_tradnl"/>
        </w:rPr>
        <w:t>a</w:t>
      </w:r>
      <w:r w:rsidR="00530E9A" w:rsidRPr="00EA4340">
        <w:rPr>
          <w:rFonts w:ascii="Times New Roman" w:hAnsi="Times New Roman"/>
          <w:lang w:val="es-ES_tradnl"/>
        </w:rPr>
        <w:t xml:space="preserve"> la cadena de comercialización</w:t>
      </w:r>
      <w:r w:rsidRPr="00EA4340">
        <w:rPr>
          <w:rFonts w:ascii="Times New Roman" w:hAnsi="Times New Roman"/>
          <w:lang w:val="es-ES_tradnl"/>
        </w:rPr>
        <w:t>, debido a la reducción de</w:t>
      </w:r>
      <w:r w:rsidR="00146250" w:rsidRPr="00EA4340">
        <w:rPr>
          <w:rFonts w:ascii="Times New Roman" w:hAnsi="Times New Roman"/>
          <w:lang w:val="es-ES_tradnl"/>
        </w:rPr>
        <w:t xml:space="preserve"> costos de comercialización local hasta su punto de venta</w:t>
      </w:r>
      <w:r w:rsidR="0042246D" w:rsidRPr="00EA4340">
        <w:rPr>
          <w:rFonts w:ascii="Times New Roman" w:hAnsi="Times New Roman"/>
          <w:lang w:val="es-ES_tradnl"/>
        </w:rPr>
        <w:t>,</w:t>
      </w:r>
      <w:r w:rsidR="00146250" w:rsidRPr="00EA4340">
        <w:rPr>
          <w:rFonts w:ascii="Times New Roman" w:hAnsi="Times New Roman"/>
          <w:lang w:val="es-ES_tradnl"/>
        </w:rPr>
        <w:t xml:space="preserve"> inclusive, comunicaciones viales </w:t>
      </w:r>
      <w:r w:rsidR="0042246D" w:rsidRPr="00EA4340">
        <w:rPr>
          <w:rFonts w:ascii="Times New Roman" w:hAnsi="Times New Roman"/>
          <w:lang w:val="es-ES_tradnl"/>
        </w:rPr>
        <w:t>interparcelari</w:t>
      </w:r>
      <w:r w:rsidR="00EA4340" w:rsidRPr="00EA4340">
        <w:rPr>
          <w:rFonts w:ascii="Times New Roman" w:hAnsi="Times New Roman"/>
          <w:lang w:val="es-ES_tradnl"/>
        </w:rPr>
        <w:t>o</w:t>
      </w:r>
      <w:r w:rsidR="0042246D" w:rsidRPr="00EA4340">
        <w:rPr>
          <w:rFonts w:ascii="Times New Roman" w:hAnsi="Times New Roman"/>
          <w:lang w:val="es-ES_tradnl"/>
        </w:rPr>
        <w:t>s</w:t>
      </w:r>
      <w:r w:rsidR="00146250" w:rsidRPr="00EA4340">
        <w:rPr>
          <w:rFonts w:ascii="Times New Roman" w:hAnsi="Times New Roman"/>
          <w:lang w:val="es-ES_tradnl"/>
        </w:rPr>
        <w:t xml:space="preserve"> para garantizar el transporte de los cultivos</w:t>
      </w:r>
      <w:r w:rsidR="00530E9A" w:rsidRPr="00EA4340">
        <w:rPr>
          <w:rFonts w:ascii="Times New Roman" w:hAnsi="Times New Roman"/>
          <w:lang w:val="es-ES_tradnl"/>
        </w:rPr>
        <w:t xml:space="preserve"> y en el costo </w:t>
      </w:r>
      <w:r w:rsidR="00146250" w:rsidRPr="00EA4340">
        <w:rPr>
          <w:rFonts w:ascii="Times New Roman" w:hAnsi="Times New Roman"/>
          <w:lang w:val="es-ES_tradnl"/>
        </w:rPr>
        <w:t xml:space="preserve">del 50% de la cobertura </w:t>
      </w:r>
      <w:r w:rsidR="00530E9A" w:rsidRPr="00EA4340">
        <w:rPr>
          <w:rFonts w:ascii="Times New Roman" w:hAnsi="Times New Roman"/>
          <w:lang w:val="es-ES_tradnl"/>
        </w:rPr>
        <w:t xml:space="preserve">del seguro </w:t>
      </w:r>
      <w:r w:rsidR="003B1646" w:rsidRPr="00EA4340">
        <w:rPr>
          <w:rFonts w:ascii="Times New Roman" w:hAnsi="Times New Roman"/>
          <w:lang w:val="es-ES_tradnl"/>
        </w:rPr>
        <w:t>agropecuario</w:t>
      </w:r>
      <w:r w:rsidR="00146250" w:rsidRPr="00EA4340">
        <w:rPr>
          <w:rFonts w:ascii="Times New Roman" w:hAnsi="Times New Roman"/>
          <w:lang w:val="es-ES_tradnl"/>
        </w:rPr>
        <w:t xml:space="preserve"> mediante pólizas e indemnizaciones por vida</w:t>
      </w:r>
      <w:r w:rsidR="00530E9A" w:rsidRPr="00EA4340">
        <w:rPr>
          <w:rFonts w:ascii="Times New Roman" w:hAnsi="Times New Roman"/>
          <w:lang w:val="es-ES_tradnl"/>
        </w:rPr>
        <w:t>.</w:t>
      </w:r>
      <w:r w:rsidR="00530E9A" w:rsidRPr="00E054E3">
        <w:rPr>
          <w:rFonts w:ascii="Times New Roman" w:hAnsi="Times New Roman"/>
          <w:lang w:val="es-ES_tradnl"/>
        </w:rPr>
        <w:t xml:space="preserve"> </w:t>
      </w:r>
    </w:p>
    <w:p w14:paraId="3FB73B89" w14:textId="2C6AAE1A" w:rsidR="00EA4340" w:rsidRDefault="00EA4340">
      <w:pPr>
        <w:spacing w:after="0"/>
        <w:rPr>
          <w:rFonts w:ascii="Times New Roman" w:hAnsi="Times New Roman"/>
          <w:lang w:val="es-ES_tradnl"/>
        </w:rPr>
      </w:pPr>
    </w:p>
    <w:p w14:paraId="7373C4B1" w14:textId="77777777" w:rsidR="00D92343" w:rsidRPr="00AE65E6" w:rsidRDefault="00D92343" w:rsidP="00CA5792">
      <w:pPr>
        <w:pStyle w:val="Ttulo3"/>
      </w:pPr>
      <w:bookmarkStart w:id="166" w:name="_Toc26292057"/>
      <w:bookmarkStart w:id="167" w:name="_Toc27146762"/>
      <w:r w:rsidRPr="00AE65E6">
        <w:t xml:space="preserve">Servicios de integración </w:t>
      </w:r>
      <w:r w:rsidR="00A204A1" w:rsidRPr="00AE65E6">
        <w:t>del subsidio del</w:t>
      </w:r>
      <w:r w:rsidRPr="00AE65E6">
        <w:t xml:space="preserve"> seguro agropecuario.</w:t>
      </w:r>
      <w:bookmarkEnd w:id="166"/>
      <w:bookmarkEnd w:id="167"/>
    </w:p>
    <w:p w14:paraId="168B68E7" w14:textId="77777777" w:rsidR="00CA5792" w:rsidRDefault="00CA5792" w:rsidP="00AE055F">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56E1A46E" w14:textId="77777777" w:rsidR="00EA4340" w:rsidRDefault="00A204A1" w:rsidP="00AE055F">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356F4">
        <w:rPr>
          <w:rFonts w:ascii="Times New Roman" w:hAnsi="Times New Roman"/>
          <w:lang w:val="es-ES_tradnl"/>
        </w:rPr>
        <w:t xml:space="preserve">El Seguro Agropecuario Dominicano apoya a los productores a nivel nacional, </w:t>
      </w:r>
      <w:r w:rsidR="00AE055F" w:rsidRPr="004356F4">
        <w:rPr>
          <w:rFonts w:ascii="Times New Roman" w:hAnsi="Times New Roman"/>
          <w:lang w:val="es-ES_tradnl"/>
        </w:rPr>
        <w:t xml:space="preserve">con </w:t>
      </w:r>
      <w:r w:rsidR="00E054E3" w:rsidRPr="004356F4">
        <w:rPr>
          <w:rFonts w:ascii="Times New Roman" w:hAnsi="Times New Roman"/>
          <w:lang w:val="es-ES_tradnl"/>
        </w:rPr>
        <w:t>l</w:t>
      </w:r>
      <w:r w:rsidR="00AE055F" w:rsidRPr="004356F4">
        <w:rPr>
          <w:rFonts w:ascii="Times New Roman" w:hAnsi="Times New Roman"/>
          <w:lang w:val="es-ES_tradnl"/>
        </w:rPr>
        <w:t>a finalidad de recuperar la capacidad productiva de los product</w:t>
      </w:r>
      <w:r w:rsidR="00EA4340" w:rsidRPr="004356F4">
        <w:rPr>
          <w:rFonts w:ascii="Times New Roman" w:hAnsi="Times New Roman"/>
          <w:lang w:val="es-ES_tradnl"/>
        </w:rPr>
        <w:t xml:space="preserve">ores asegurados y no asegurados. </w:t>
      </w:r>
    </w:p>
    <w:p w14:paraId="7D44362A" w14:textId="77777777" w:rsidR="00CA5792" w:rsidRPr="004356F4" w:rsidRDefault="00CA5792" w:rsidP="00AE055F">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3B4DB6E8" w14:textId="15B9C32A" w:rsidR="00AE055F" w:rsidRPr="00E054E3" w:rsidRDefault="00EA4340" w:rsidP="00AE055F">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4356F4">
        <w:rPr>
          <w:rFonts w:ascii="Times New Roman" w:hAnsi="Times New Roman"/>
          <w:lang w:val="es-ES_tradnl"/>
        </w:rPr>
        <w:t>P</w:t>
      </w:r>
      <w:r w:rsidR="00AE055F" w:rsidRPr="004356F4">
        <w:rPr>
          <w:rFonts w:ascii="Times New Roman" w:hAnsi="Times New Roman"/>
          <w:lang w:val="es-ES_tradnl"/>
        </w:rPr>
        <w:t>ara estos fines se implement</w:t>
      </w:r>
      <w:r w:rsidRPr="004356F4">
        <w:rPr>
          <w:rFonts w:ascii="Times New Roman" w:hAnsi="Times New Roman"/>
          <w:lang w:val="es-ES_tradnl"/>
        </w:rPr>
        <w:t>ó</w:t>
      </w:r>
      <w:r w:rsidR="00AE055F" w:rsidRPr="004356F4">
        <w:rPr>
          <w:rFonts w:ascii="Times New Roman" w:hAnsi="Times New Roman"/>
          <w:lang w:val="es-ES_tradnl"/>
        </w:rPr>
        <w:t xml:space="preserve"> una serie de estrategias para qu</w:t>
      </w:r>
      <w:r w:rsidR="00E054E3" w:rsidRPr="004356F4">
        <w:rPr>
          <w:rFonts w:ascii="Times New Roman" w:hAnsi="Times New Roman"/>
          <w:lang w:val="es-ES_tradnl"/>
        </w:rPr>
        <w:t xml:space="preserve">e los productores que están en </w:t>
      </w:r>
      <w:r w:rsidR="00AE055F" w:rsidRPr="004356F4">
        <w:rPr>
          <w:rFonts w:ascii="Times New Roman" w:hAnsi="Times New Roman"/>
          <w:lang w:val="es-ES_tradnl"/>
        </w:rPr>
        <w:t>cooperativas y asociaciones, puedan adoptar acciones encaminadas a un mejor manejo de sus actividades</w:t>
      </w:r>
      <w:r w:rsidR="00E054E3" w:rsidRPr="004356F4">
        <w:rPr>
          <w:rFonts w:ascii="Times New Roman" w:hAnsi="Times New Roman"/>
          <w:lang w:val="es-ES_tradnl"/>
        </w:rPr>
        <w:t xml:space="preserve"> productivas y de organización</w:t>
      </w:r>
      <w:r w:rsidR="004356F4" w:rsidRPr="004356F4">
        <w:rPr>
          <w:rFonts w:ascii="Times New Roman" w:hAnsi="Times New Roman"/>
          <w:lang w:val="es-ES_tradnl"/>
        </w:rPr>
        <w:t>, que les permitan</w:t>
      </w:r>
      <w:r w:rsidR="00AE055F" w:rsidRPr="004356F4">
        <w:rPr>
          <w:rFonts w:ascii="Times New Roman" w:hAnsi="Times New Roman"/>
          <w:lang w:val="es-ES_tradnl"/>
        </w:rPr>
        <w:t xml:space="preserve"> colocar sus productos en mercados internacionales con las </w:t>
      </w:r>
      <w:r w:rsidR="00AE055F" w:rsidRPr="004356F4">
        <w:rPr>
          <w:rFonts w:ascii="Times New Roman" w:hAnsi="Times New Roman"/>
          <w:lang w:val="es-ES_tradnl"/>
        </w:rPr>
        <w:lastRenderedPageBreak/>
        <w:t xml:space="preserve">medidas de seguridad, garantía e inocuidad y </w:t>
      </w:r>
      <w:r w:rsidR="00E054E3" w:rsidRPr="004356F4">
        <w:rPr>
          <w:rFonts w:ascii="Times New Roman" w:hAnsi="Times New Roman"/>
          <w:lang w:val="es-ES_tradnl"/>
        </w:rPr>
        <w:t>mantener la cadena de frí</w:t>
      </w:r>
      <w:r w:rsidR="00AE055F" w:rsidRPr="004356F4">
        <w:rPr>
          <w:rFonts w:ascii="Times New Roman" w:hAnsi="Times New Roman"/>
          <w:lang w:val="es-ES_tradnl"/>
        </w:rPr>
        <w:t>o</w:t>
      </w:r>
      <w:r w:rsidR="004356F4" w:rsidRPr="004356F4">
        <w:rPr>
          <w:rFonts w:ascii="Times New Roman" w:hAnsi="Times New Roman"/>
          <w:lang w:val="es-ES_tradnl"/>
        </w:rPr>
        <w:t>,</w:t>
      </w:r>
      <w:r w:rsidR="00AE055F" w:rsidRPr="004356F4">
        <w:rPr>
          <w:rFonts w:ascii="Times New Roman" w:hAnsi="Times New Roman"/>
          <w:lang w:val="es-ES_tradnl"/>
        </w:rPr>
        <w:t xml:space="preserve"> para obtener una mejor calidad de las exportaciones y un mayor beneficio económico para los productores.</w:t>
      </w:r>
    </w:p>
    <w:p w14:paraId="2F6EBED2" w14:textId="77777777" w:rsidR="00AE055F" w:rsidRPr="00E054E3" w:rsidRDefault="00AE055F"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469B3E47" w14:textId="68DBAB91" w:rsidR="00D91DFE" w:rsidRDefault="00AE055F"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rPr>
      </w:pPr>
      <w:r w:rsidRPr="00CA7F99">
        <w:rPr>
          <w:rFonts w:ascii="Times New Roman" w:hAnsi="Times New Roman"/>
        </w:rPr>
        <w:t xml:space="preserve">Las proyecciones de crecimiento de </w:t>
      </w:r>
      <w:r w:rsidR="00294079" w:rsidRPr="00CA7F99">
        <w:rPr>
          <w:rFonts w:ascii="Times New Roman" w:hAnsi="Times New Roman"/>
        </w:rPr>
        <w:t xml:space="preserve">los </w:t>
      </w:r>
      <w:r w:rsidRPr="00CA7F99">
        <w:rPr>
          <w:rFonts w:ascii="Times New Roman" w:hAnsi="Times New Roman"/>
        </w:rPr>
        <w:t>rub</w:t>
      </w:r>
      <w:r w:rsidR="00E054E3" w:rsidRPr="00CA7F99">
        <w:rPr>
          <w:rFonts w:ascii="Times New Roman" w:hAnsi="Times New Roman"/>
        </w:rPr>
        <w:t>r</w:t>
      </w:r>
      <w:r w:rsidRPr="00CA7F99">
        <w:rPr>
          <w:rFonts w:ascii="Times New Roman" w:hAnsi="Times New Roman"/>
        </w:rPr>
        <w:t>os para el año 201</w:t>
      </w:r>
      <w:r w:rsidR="00294079" w:rsidRPr="00CA7F99">
        <w:rPr>
          <w:rFonts w:ascii="Times New Roman" w:hAnsi="Times New Roman"/>
        </w:rPr>
        <w:t>9</w:t>
      </w:r>
      <w:r w:rsidRPr="00CA7F99">
        <w:rPr>
          <w:rFonts w:ascii="Times New Roman" w:hAnsi="Times New Roman"/>
        </w:rPr>
        <w:t xml:space="preserve"> cumplieron sus e</w:t>
      </w:r>
      <w:r w:rsidR="00E054E3" w:rsidRPr="00CA7F99">
        <w:rPr>
          <w:rFonts w:ascii="Times New Roman" w:hAnsi="Times New Roman"/>
        </w:rPr>
        <w:t xml:space="preserve">xpectativas, ya que hasta el </w:t>
      </w:r>
      <w:r w:rsidRPr="00CA7F99">
        <w:rPr>
          <w:rFonts w:ascii="Times New Roman" w:hAnsi="Times New Roman"/>
        </w:rPr>
        <w:t>m</w:t>
      </w:r>
      <w:r w:rsidR="00E054E3" w:rsidRPr="00CA7F99">
        <w:rPr>
          <w:rFonts w:ascii="Times New Roman" w:hAnsi="Times New Roman"/>
        </w:rPr>
        <w:t xml:space="preserve">es </w:t>
      </w:r>
      <w:r w:rsidR="00CA7F99" w:rsidRPr="00CA7F99">
        <w:rPr>
          <w:rFonts w:ascii="Times New Roman" w:hAnsi="Times New Roman"/>
        </w:rPr>
        <w:t xml:space="preserve">de </w:t>
      </w:r>
      <w:r w:rsidR="00E054E3" w:rsidRPr="00CA7F99">
        <w:rPr>
          <w:rFonts w:ascii="Times New Roman" w:hAnsi="Times New Roman"/>
        </w:rPr>
        <w:t xml:space="preserve">octubre se había registrado </w:t>
      </w:r>
      <w:r w:rsidRPr="00CA7F99">
        <w:rPr>
          <w:rFonts w:ascii="Times New Roman" w:hAnsi="Times New Roman"/>
        </w:rPr>
        <w:t>un crecimiento en los cultivos de la canasta familia</w:t>
      </w:r>
      <w:r w:rsidR="00E054E3" w:rsidRPr="00CA7F99">
        <w:rPr>
          <w:rFonts w:ascii="Times New Roman" w:hAnsi="Times New Roman"/>
        </w:rPr>
        <w:t>r</w:t>
      </w:r>
      <w:r w:rsidRPr="00CA7F99">
        <w:rPr>
          <w:rFonts w:ascii="Times New Roman" w:hAnsi="Times New Roman"/>
        </w:rPr>
        <w:t xml:space="preserve"> y de exportación en una superficie sembrada de 1,</w:t>
      </w:r>
      <w:r w:rsidR="00294079" w:rsidRPr="00CA7F99">
        <w:rPr>
          <w:rFonts w:ascii="Times New Roman" w:hAnsi="Times New Roman"/>
        </w:rPr>
        <w:t>102,705</w:t>
      </w:r>
      <w:r w:rsidRPr="00CA7F99">
        <w:rPr>
          <w:rFonts w:ascii="Times New Roman" w:hAnsi="Times New Roman"/>
        </w:rPr>
        <w:t xml:space="preserve"> tareas</w:t>
      </w:r>
      <w:r w:rsidR="00E054E3" w:rsidRPr="00CA7F99">
        <w:rPr>
          <w:rFonts w:ascii="Times New Roman" w:hAnsi="Times New Roman"/>
        </w:rPr>
        <w:t>,</w:t>
      </w:r>
      <w:r w:rsidRPr="00CA7F99">
        <w:rPr>
          <w:rFonts w:ascii="Times New Roman" w:hAnsi="Times New Roman"/>
        </w:rPr>
        <w:t xml:space="preserve"> garantizada por la emisión de 14,</w:t>
      </w:r>
      <w:r w:rsidR="00294079" w:rsidRPr="00CA7F99">
        <w:rPr>
          <w:rFonts w:ascii="Times New Roman" w:hAnsi="Times New Roman"/>
        </w:rPr>
        <w:t>680</w:t>
      </w:r>
      <w:r w:rsidRPr="00CA7F99">
        <w:rPr>
          <w:rFonts w:ascii="Times New Roman" w:hAnsi="Times New Roman"/>
        </w:rPr>
        <w:t xml:space="preserve"> pólizas </w:t>
      </w:r>
      <w:r w:rsidR="00D91DFE" w:rsidRPr="00CA7F99">
        <w:rPr>
          <w:rFonts w:ascii="Times New Roman" w:hAnsi="Times New Roman"/>
        </w:rPr>
        <w:t>con un costo RD$</w:t>
      </w:r>
      <w:r w:rsidR="00294079" w:rsidRPr="00CA7F99">
        <w:rPr>
          <w:rFonts w:ascii="Times New Roman" w:hAnsi="Times New Roman"/>
        </w:rPr>
        <w:t>241,964,075.</w:t>
      </w:r>
    </w:p>
    <w:p w14:paraId="4E51BC35" w14:textId="77777777" w:rsidR="00050C52" w:rsidRPr="00CA7F99" w:rsidRDefault="00050C52"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rPr>
      </w:pPr>
    </w:p>
    <w:p w14:paraId="34363184" w14:textId="5B53E03A" w:rsidR="00294079" w:rsidRDefault="00294079" w:rsidP="00294079">
      <w:pPr>
        <w:widowControl w:val="0"/>
        <w:tabs>
          <w:tab w:val="left" w:pos="630"/>
        </w:tabs>
        <w:autoSpaceDE w:val="0"/>
        <w:autoSpaceDN w:val="0"/>
        <w:adjustRightInd w:val="0"/>
        <w:spacing w:after="0" w:line="480" w:lineRule="auto"/>
        <w:ind w:firstLine="720"/>
        <w:contextualSpacing/>
        <w:jc w:val="both"/>
        <w:rPr>
          <w:rFonts w:ascii="Times New Roman" w:hAnsi="Times New Roman"/>
        </w:rPr>
      </w:pPr>
      <w:r w:rsidRPr="00CA7F99">
        <w:rPr>
          <w:rFonts w:ascii="Times New Roman" w:hAnsi="Times New Roman"/>
        </w:rPr>
        <w:t>Desde el 2013 al 31 de octubre de año 2019, los productores han recibido subsidio</w:t>
      </w:r>
      <w:r w:rsidR="00CA7F99" w:rsidRPr="00CA7F99">
        <w:rPr>
          <w:rFonts w:ascii="Times New Roman" w:hAnsi="Times New Roman"/>
        </w:rPr>
        <w:t>s</w:t>
      </w:r>
      <w:r w:rsidRPr="00CA7F99">
        <w:rPr>
          <w:rFonts w:ascii="Times New Roman" w:hAnsi="Times New Roman"/>
        </w:rPr>
        <w:t xml:space="preserve"> como aporte del Estado Dominicano a través de la Dirección General de Riesgos Agropecuario (DIGERA)</w:t>
      </w:r>
      <w:r w:rsidR="00CA7F99" w:rsidRPr="00CA7F99">
        <w:rPr>
          <w:rFonts w:ascii="Times New Roman" w:hAnsi="Times New Roman"/>
        </w:rPr>
        <w:t>,</w:t>
      </w:r>
      <w:r w:rsidRPr="00CA7F99">
        <w:rPr>
          <w:rFonts w:ascii="Times New Roman" w:hAnsi="Times New Roman"/>
        </w:rPr>
        <w:t xml:space="preserve"> por </w:t>
      </w:r>
      <w:r w:rsidR="00CA7F99" w:rsidRPr="00CA7F99">
        <w:rPr>
          <w:rFonts w:ascii="Times New Roman" w:hAnsi="Times New Roman"/>
        </w:rPr>
        <w:t xml:space="preserve">un monto </w:t>
      </w:r>
      <w:r w:rsidRPr="00CA7F99">
        <w:rPr>
          <w:rFonts w:ascii="Times New Roman" w:hAnsi="Times New Roman"/>
        </w:rPr>
        <w:t>de RD$1,132,214,52 para cubrir el 50% de la emisión de 89,183 pólizas, para proteger una superficie de siembra de 6,629,857 tareas en todo el territorio nacional.</w:t>
      </w:r>
    </w:p>
    <w:p w14:paraId="40A405E5" w14:textId="77777777" w:rsidR="00294079" w:rsidRDefault="00294079"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rPr>
      </w:pPr>
    </w:p>
    <w:p w14:paraId="037A4A57" w14:textId="53CD96B5" w:rsidR="00AE055F" w:rsidRPr="00481D97" w:rsidRDefault="00AE055F" w:rsidP="00AE055F">
      <w:pPr>
        <w:widowControl w:val="0"/>
        <w:tabs>
          <w:tab w:val="left" w:pos="630"/>
        </w:tabs>
        <w:autoSpaceDE w:val="0"/>
        <w:autoSpaceDN w:val="0"/>
        <w:adjustRightInd w:val="0"/>
        <w:spacing w:after="0" w:line="480" w:lineRule="auto"/>
        <w:ind w:firstLine="720"/>
        <w:contextualSpacing/>
        <w:jc w:val="both"/>
        <w:rPr>
          <w:rFonts w:ascii="Times New Roman" w:hAnsi="Times New Roman"/>
        </w:rPr>
      </w:pPr>
      <w:r w:rsidRPr="00481D97">
        <w:rPr>
          <w:rFonts w:ascii="Times New Roman" w:hAnsi="Times New Roman"/>
        </w:rPr>
        <w:t xml:space="preserve">Esta iniciativa contribuye al buen desenvolvimiento que conllevan a los logros de la Meta Presidencial de la </w:t>
      </w:r>
      <w:r w:rsidR="00E054E3" w:rsidRPr="00481D97">
        <w:rPr>
          <w:rFonts w:ascii="Times New Roman" w:hAnsi="Times New Roman"/>
        </w:rPr>
        <w:t>“Ampliación de la Cobertura al Seguro Agropecuario”,</w:t>
      </w:r>
      <w:r w:rsidRPr="00481D97">
        <w:rPr>
          <w:rFonts w:ascii="Times New Roman" w:hAnsi="Times New Roman"/>
        </w:rPr>
        <w:t xml:space="preserve"> las cuales fueron cumplidas en </w:t>
      </w:r>
      <w:r w:rsidR="00B65596" w:rsidRPr="00481D97">
        <w:rPr>
          <w:rFonts w:ascii="Times New Roman" w:hAnsi="Times New Roman"/>
        </w:rPr>
        <w:t xml:space="preserve">más del </w:t>
      </w:r>
      <w:r w:rsidRPr="00481D97">
        <w:rPr>
          <w:rFonts w:ascii="Times New Roman" w:hAnsi="Times New Roman"/>
        </w:rPr>
        <w:t xml:space="preserve">100% desde octubre del año 2018, </w:t>
      </w:r>
      <w:r w:rsidR="00D91DFE" w:rsidRPr="00481D97">
        <w:rPr>
          <w:rFonts w:ascii="Times New Roman" w:hAnsi="Times New Roman"/>
        </w:rPr>
        <w:t>permitiendo</w:t>
      </w:r>
      <w:r w:rsidRPr="00481D97">
        <w:rPr>
          <w:rFonts w:ascii="Times New Roman" w:hAnsi="Times New Roman"/>
        </w:rPr>
        <w:t xml:space="preserve"> asegurar una superficie </w:t>
      </w:r>
      <w:r w:rsidR="00725B0F" w:rsidRPr="00481D97">
        <w:rPr>
          <w:rFonts w:ascii="Times New Roman" w:hAnsi="Times New Roman"/>
        </w:rPr>
        <w:t>acumulada de</w:t>
      </w:r>
      <w:r w:rsidRPr="00481D97">
        <w:rPr>
          <w:rFonts w:ascii="Times New Roman" w:hAnsi="Times New Roman"/>
        </w:rPr>
        <w:t xml:space="preserve"> </w:t>
      </w:r>
      <w:r w:rsidR="00725B0F" w:rsidRPr="00481D97">
        <w:rPr>
          <w:rFonts w:ascii="Times New Roman" w:hAnsi="Times New Roman"/>
        </w:rPr>
        <w:t>3,930,466 tareas, equivalente a 62,342 pólizas, con una inversión de R</w:t>
      </w:r>
      <w:r w:rsidR="00481D97" w:rsidRPr="00481D97">
        <w:rPr>
          <w:rFonts w:ascii="Times New Roman" w:hAnsi="Times New Roman"/>
        </w:rPr>
        <w:t>D$666,503,258.54 durante el perí</w:t>
      </w:r>
      <w:r w:rsidR="00725B0F" w:rsidRPr="00481D97">
        <w:rPr>
          <w:rFonts w:ascii="Times New Roman" w:hAnsi="Times New Roman"/>
        </w:rPr>
        <w:t xml:space="preserve">odo 2013-2019. </w:t>
      </w:r>
    </w:p>
    <w:p w14:paraId="623ADD9A" w14:textId="03A39045" w:rsidR="00B65596" w:rsidRDefault="00B65596"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4EA3B258" w14:textId="221BEDA1" w:rsidR="00050C52" w:rsidRDefault="00050C52"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rPr>
      </w:pPr>
      <w:r>
        <w:rPr>
          <w:rFonts w:ascii="Times New Roman" w:hAnsi="Times New Roman"/>
        </w:rPr>
        <w:lastRenderedPageBreak/>
        <w:t>Por su parte, l</w:t>
      </w:r>
      <w:r w:rsidRPr="00050C52">
        <w:rPr>
          <w:rFonts w:ascii="Times New Roman" w:hAnsi="Times New Roman"/>
        </w:rPr>
        <w:t xml:space="preserve">a Aseguradora Agropecuaria Dominicana, S. A. (AGRODOSA) viene colaborando con el Ministerio de Agricultura en la Reducción de la Pobreza Rural enfocada en la protección de las inversiones realizadas por los productores nacionales con el Seguro Agropecuario. </w:t>
      </w:r>
    </w:p>
    <w:p w14:paraId="3718E72F" w14:textId="77777777" w:rsidR="00050C52" w:rsidRDefault="00050C52"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rPr>
      </w:pPr>
    </w:p>
    <w:p w14:paraId="2BAA44C9" w14:textId="77777777" w:rsidR="00050C52" w:rsidRDefault="00050C52"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rPr>
      </w:pPr>
      <w:r w:rsidRPr="00050C52">
        <w:rPr>
          <w:rFonts w:ascii="Times New Roman" w:hAnsi="Times New Roman"/>
        </w:rPr>
        <w:t xml:space="preserve">La cantidad de tareas aseguradas en el sector agropecuario conforma uno de los objetivos primarios de AGRODOSA y de las METAS PRESIDENCIALES por el impacto de respaldo que conlleva este indicador, en este sentido existen indicadores como las reclamaciones pagadas, cantidad de productores asegurados, aportes del estado para el pago de las primas y el monto asegurado, que detallaremos más adelante. </w:t>
      </w:r>
    </w:p>
    <w:p w14:paraId="1312EA62" w14:textId="77777777" w:rsidR="00050C52" w:rsidRDefault="00050C52"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rPr>
      </w:pPr>
    </w:p>
    <w:p w14:paraId="0B19E466" w14:textId="6AE15FC9" w:rsidR="00050C52" w:rsidRDefault="00050C52"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rPr>
      </w:pPr>
      <w:r w:rsidRPr="00050C52">
        <w:rPr>
          <w:rFonts w:ascii="Times New Roman" w:hAnsi="Times New Roman"/>
        </w:rPr>
        <w:t xml:space="preserve">Para el período 2016-2020 se proyectó asegurar 1,700,000 tareas agrícolas como parte de las Metas Presidenciales logrando asegurar al 31 de octubre del 2019 unas 3,829,905 tareas equivalentes a 225.30% con una proyección a </w:t>
      </w:r>
      <w:r w:rsidR="006432B0" w:rsidRPr="00050C52">
        <w:rPr>
          <w:rFonts w:ascii="Times New Roman" w:hAnsi="Times New Roman"/>
        </w:rPr>
        <w:t>diciembre</w:t>
      </w:r>
      <w:r w:rsidRPr="00050C52">
        <w:rPr>
          <w:rFonts w:ascii="Times New Roman" w:hAnsi="Times New Roman"/>
        </w:rPr>
        <w:t xml:space="preserve"> del 2019 de 4,009,307 tareas a ser aseguradas con lo que se llegaría al 235.84% de la meta propuesta. </w:t>
      </w:r>
    </w:p>
    <w:p w14:paraId="0C86E124" w14:textId="77777777" w:rsidR="00050C52" w:rsidRDefault="00050C52"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rPr>
      </w:pPr>
    </w:p>
    <w:p w14:paraId="043A1ECA" w14:textId="77777777" w:rsidR="00050C52" w:rsidRDefault="00050C52"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rPr>
      </w:pPr>
      <w:r w:rsidRPr="00050C52">
        <w:rPr>
          <w:rFonts w:ascii="Times New Roman" w:hAnsi="Times New Roman"/>
        </w:rPr>
        <w:t xml:space="preserve">De la misma manera el seguro agropecuario ha mantenido en el periodo 2016-2019 un promedio de 37,000 pólizas emitidas con 148,000 pólizas acumuladas a los productores en las diferentes categorías del seguro. </w:t>
      </w:r>
    </w:p>
    <w:p w14:paraId="766A0F34" w14:textId="77777777" w:rsidR="00050C52" w:rsidRDefault="00050C52"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rPr>
      </w:pPr>
    </w:p>
    <w:p w14:paraId="630715D5" w14:textId="4CAA8CE5" w:rsidR="00050C52" w:rsidRDefault="00050C52"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rPr>
      </w:pPr>
      <w:r>
        <w:rPr>
          <w:rFonts w:ascii="Times New Roman" w:hAnsi="Times New Roman"/>
        </w:rPr>
        <w:t xml:space="preserve">La Aseguradora </w:t>
      </w:r>
      <w:r w:rsidRPr="00050C52">
        <w:rPr>
          <w:rFonts w:ascii="Times New Roman" w:hAnsi="Times New Roman"/>
        </w:rPr>
        <w:t xml:space="preserve">ha respondido a los agricultores y ganaderos con eficacia y </w:t>
      </w:r>
      <w:r w:rsidRPr="00050C52">
        <w:rPr>
          <w:rFonts w:ascii="Times New Roman" w:hAnsi="Times New Roman"/>
        </w:rPr>
        <w:lastRenderedPageBreak/>
        <w:t>rapidez la tramitación de las reclamaciones ante fenómenos atmosféricos y casos de muertes en el sector pecuario. Hemos pagado desde el 2013 a la fecha más de RD$2,400 Millones en indemnizaciones a los productores a nivel nacional. En el período 2016-2020</w:t>
      </w:r>
      <w:r w:rsidR="00BE7B98">
        <w:rPr>
          <w:rFonts w:ascii="Times New Roman" w:hAnsi="Times New Roman"/>
        </w:rPr>
        <w:t xml:space="preserve"> se</w:t>
      </w:r>
      <w:r w:rsidRPr="00050C52">
        <w:rPr>
          <w:rFonts w:ascii="Times New Roman" w:hAnsi="Times New Roman"/>
        </w:rPr>
        <w:t xml:space="preserve"> pagó RD$1,800 Millones, equivalente a un 352.47% sobre lo que se pagó en el período anterior 2013-2016 RD$536 Millones. </w:t>
      </w:r>
    </w:p>
    <w:p w14:paraId="477BCEEF" w14:textId="77777777" w:rsidR="00050C52" w:rsidRDefault="00050C52"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rPr>
      </w:pPr>
    </w:p>
    <w:p w14:paraId="09A2FD6B" w14:textId="77777777" w:rsidR="00BE7B98" w:rsidRDefault="00050C52"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rPr>
      </w:pPr>
      <w:r w:rsidRPr="00050C52">
        <w:rPr>
          <w:rFonts w:ascii="Times New Roman" w:hAnsi="Times New Roman"/>
        </w:rPr>
        <w:t xml:space="preserve">El riesgo total cubierto por el seguro agropecuario para el periodo 2016-2019 fue de RD$65,300 Millones. </w:t>
      </w:r>
    </w:p>
    <w:p w14:paraId="63FA190F" w14:textId="77777777" w:rsidR="00BE7B98" w:rsidRDefault="00BE7B98"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rPr>
      </w:pPr>
    </w:p>
    <w:p w14:paraId="34E2675B" w14:textId="4CE0B7DB" w:rsidR="00050C52" w:rsidRPr="00050C52" w:rsidRDefault="00050C52" w:rsidP="00C5596B">
      <w:pPr>
        <w:widowControl w:val="0"/>
        <w:tabs>
          <w:tab w:val="left" w:pos="630"/>
        </w:tabs>
        <w:autoSpaceDE w:val="0"/>
        <w:autoSpaceDN w:val="0"/>
        <w:adjustRightInd w:val="0"/>
        <w:spacing w:after="0" w:line="480" w:lineRule="auto"/>
        <w:ind w:firstLine="720"/>
        <w:contextualSpacing/>
        <w:jc w:val="both"/>
        <w:rPr>
          <w:rFonts w:ascii="Times New Roman" w:hAnsi="Times New Roman"/>
        </w:rPr>
      </w:pPr>
      <w:r w:rsidRPr="00050C52">
        <w:rPr>
          <w:rFonts w:ascii="Times New Roman" w:hAnsi="Times New Roman"/>
        </w:rPr>
        <w:t>Los productores a nivel nacional han sido beneficiados por el aporte que brinda el estado a través del Ministerio de Agricultura y DIGERA por un monto total de RD$1,611,010,355.57 a partir del 2013. El 89.94% se destinó a aportes para la categoría de pólizas agropecuarias (RD$1,448,981,954.82) y el 10.06% correspondió a aportes de la categoría de pólizas de vida (RD$162,028,400.76).</w:t>
      </w:r>
    </w:p>
    <w:p w14:paraId="566534B3" w14:textId="50527D34" w:rsidR="00050C52" w:rsidRDefault="00050C52" w:rsidP="001C2B3B">
      <w:pPr>
        <w:widowControl w:val="0"/>
        <w:tabs>
          <w:tab w:val="left" w:pos="630"/>
        </w:tabs>
        <w:autoSpaceDE w:val="0"/>
        <w:autoSpaceDN w:val="0"/>
        <w:adjustRightInd w:val="0"/>
        <w:spacing w:after="0" w:line="276" w:lineRule="auto"/>
        <w:ind w:firstLine="720"/>
        <w:contextualSpacing/>
        <w:jc w:val="both"/>
        <w:rPr>
          <w:rFonts w:ascii="Times New Roman" w:hAnsi="Times New Roman"/>
          <w:lang w:val="es-ES_tradnl"/>
        </w:rPr>
      </w:pPr>
    </w:p>
    <w:p w14:paraId="079A2556" w14:textId="1F1947BE" w:rsidR="006E3242" w:rsidRPr="006E3242" w:rsidRDefault="006E3242" w:rsidP="001C6B1A">
      <w:pPr>
        <w:pStyle w:val="Prrafodelista"/>
        <w:numPr>
          <w:ilvl w:val="0"/>
          <w:numId w:val="8"/>
        </w:numPr>
        <w:spacing w:after="0"/>
        <w:ind w:left="720" w:hanging="436"/>
        <w:rPr>
          <w:rFonts w:ascii="Times New Roman" w:hAnsi="Times New Roman"/>
          <w:b/>
          <w:bCs/>
          <w:sz w:val="24"/>
          <w:szCs w:val="24"/>
          <w:lang w:val="es-ES_tradnl"/>
        </w:rPr>
      </w:pPr>
      <w:r w:rsidRPr="006E3242">
        <w:rPr>
          <w:rFonts w:ascii="Times New Roman" w:hAnsi="Times New Roman"/>
          <w:b/>
          <w:bCs/>
          <w:sz w:val="24"/>
          <w:szCs w:val="24"/>
          <w:lang w:val="es-ES_tradnl"/>
        </w:rPr>
        <w:t>Tareas aseguradas (AGRODOSA)</w:t>
      </w:r>
    </w:p>
    <w:p w14:paraId="5025152C" w14:textId="6AFDB9C2" w:rsidR="006E3242" w:rsidRDefault="006E3242" w:rsidP="006E3242">
      <w:pPr>
        <w:widowControl w:val="0"/>
        <w:tabs>
          <w:tab w:val="left" w:pos="630"/>
        </w:tabs>
        <w:autoSpaceDE w:val="0"/>
        <w:autoSpaceDN w:val="0"/>
        <w:adjustRightInd w:val="0"/>
        <w:spacing w:after="0" w:line="480" w:lineRule="auto"/>
        <w:contextualSpacing/>
        <w:jc w:val="both"/>
        <w:rPr>
          <w:rFonts w:ascii="Times New Roman" w:hAnsi="Times New Roman"/>
          <w:lang w:val="es-ES_tradnl"/>
        </w:rPr>
      </w:pPr>
      <w:r>
        <w:rPr>
          <w:noProof/>
          <w:lang w:eastAsia="es-DO"/>
        </w:rPr>
        <w:drawing>
          <wp:inline distT="0" distB="0" distL="0" distR="0" wp14:anchorId="22CC3DDE" wp14:editId="3031D95F">
            <wp:extent cx="5093970" cy="2785730"/>
            <wp:effectExtent l="0" t="0" r="0" b="0"/>
            <wp:docPr id="170" name="Gráfico 170">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306DA1CC-ABB5-4CEE-8B23-0F4CC45F06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075443D3" w14:textId="77777777" w:rsidR="00D92343" w:rsidRPr="00D0241B" w:rsidRDefault="00AE65E6" w:rsidP="00CA5792">
      <w:pPr>
        <w:pStyle w:val="Ttulo3"/>
      </w:pPr>
      <w:bookmarkStart w:id="168" w:name="_Toc26292058"/>
      <w:bookmarkStart w:id="169" w:name="_Toc27146763"/>
      <w:r w:rsidRPr="00D0241B">
        <w:lastRenderedPageBreak/>
        <w:t>Programa n</w:t>
      </w:r>
      <w:r w:rsidR="00D92343" w:rsidRPr="00D0241B">
        <w:t xml:space="preserve">acional de </w:t>
      </w:r>
      <w:r w:rsidRPr="00D0241B">
        <w:t>p</w:t>
      </w:r>
      <w:r w:rsidR="00D92343" w:rsidRPr="00D0241B">
        <w:t>ignoración</w:t>
      </w:r>
      <w:bookmarkEnd w:id="168"/>
      <w:bookmarkEnd w:id="169"/>
    </w:p>
    <w:p w14:paraId="60DCF447" w14:textId="77777777" w:rsidR="00B01775" w:rsidRDefault="00B01775"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46BAB830" w14:textId="0012809F" w:rsidR="00193AC5" w:rsidRPr="002B2049" w:rsidRDefault="00D92343"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2B2049">
        <w:rPr>
          <w:rFonts w:ascii="Times New Roman" w:hAnsi="Times New Roman"/>
          <w:lang w:val="es-ES_tradnl"/>
        </w:rPr>
        <w:t>Este programa, garantiza la estabilidad y niveles aceptables de rentabilidad para los participantes en los Sectores product</w:t>
      </w:r>
      <w:r w:rsidR="004F59B1" w:rsidRPr="002B2049">
        <w:rPr>
          <w:rFonts w:ascii="Times New Roman" w:hAnsi="Times New Roman"/>
          <w:lang w:val="es-ES_tradnl"/>
        </w:rPr>
        <w:t>ivos Agrícolas, a través de una</w:t>
      </w:r>
      <w:r w:rsidRPr="002B2049">
        <w:rPr>
          <w:rFonts w:ascii="Times New Roman" w:hAnsi="Times New Roman"/>
          <w:lang w:val="es-ES_tradnl"/>
        </w:rPr>
        <w:t xml:space="preserve"> regulación equitativa de la producción de origen nacional, el procesamiento, la comercialización y el consumo de los productos de alimentación básica del país</w:t>
      </w:r>
      <w:r w:rsidR="002E400A" w:rsidRPr="002B2049">
        <w:rPr>
          <w:rFonts w:ascii="Times New Roman" w:hAnsi="Times New Roman"/>
          <w:lang w:val="es-ES_tradnl"/>
        </w:rPr>
        <w:t>;</w:t>
      </w:r>
      <w:r w:rsidRPr="002B2049">
        <w:rPr>
          <w:rFonts w:ascii="Times New Roman" w:hAnsi="Times New Roman"/>
          <w:lang w:val="es-ES_tradnl"/>
        </w:rPr>
        <w:t xml:space="preserve"> el programa busca cubrir a los productores, molineros o procesadores de arroz y otros productos de la canasta bás</w:t>
      </w:r>
      <w:r w:rsidR="00193AC5" w:rsidRPr="002B2049">
        <w:rPr>
          <w:rFonts w:ascii="Times New Roman" w:hAnsi="Times New Roman"/>
          <w:lang w:val="es-ES_tradnl"/>
        </w:rPr>
        <w:t>ica.</w:t>
      </w:r>
    </w:p>
    <w:p w14:paraId="0438EEAB" w14:textId="77777777" w:rsidR="00193AC5" w:rsidRPr="002B2049" w:rsidRDefault="00193AC5"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1728D8CF" w14:textId="705408F6" w:rsidR="00D92343" w:rsidRDefault="001752BC"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2B2049">
        <w:rPr>
          <w:rFonts w:ascii="Times New Roman" w:hAnsi="Times New Roman"/>
          <w:lang w:val="es-ES_tradnl"/>
        </w:rPr>
        <w:t>L</w:t>
      </w:r>
      <w:r w:rsidR="002071ED" w:rsidRPr="002B2049">
        <w:rPr>
          <w:rFonts w:ascii="Times New Roman" w:hAnsi="Times New Roman"/>
          <w:lang w:val="es-ES_tradnl"/>
        </w:rPr>
        <w:t>os i</w:t>
      </w:r>
      <w:r w:rsidR="00D92343" w:rsidRPr="002B2049">
        <w:rPr>
          <w:rFonts w:ascii="Times New Roman" w:hAnsi="Times New Roman"/>
          <w:lang w:val="es-ES_tradnl"/>
        </w:rPr>
        <w:t xml:space="preserve">ntereses generados por los préstamos de pignoración, el costo por almacenaje en los </w:t>
      </w:r>
      <w:r w:rsidR="002071ED" w:rsidRPr="002B2049">
        <w:rPr>
          <w:rFonts w:ascii="Times New Roman" w:hAnsi="Times New Roman"/>
          <w:lang w:val="es-ES_tradnl"/>
        </w:rPr>
        <w:t>a</w:t>
      </w:r>
      <w:r w:rsidR="00D92343" w:rsidRPr="002B2049">
        <w:rPr>
          <w:rFonts w:ascii="Times New Roman" w:hAnsi="Times New Roman"/>
          <w:lang w:val="es-ES_tradnl"/>
        </w:rPr>
        <w:t xml:space="preserve">lmacenes </w:t>
      </w:r>
      <w:r w:rsidR="002071ED" w:rsidRPr="002B2049">
        <w:rPr>
          <w:rFonts w:ascii="Times New Roman" w:hAnsi="Times New Roman"/>
          <w:lang w:val="es-ES_tradnl"/>
        </w:rPr>
        <w:t>g</w:t>
      </w:r>
      <w:r w:rsidR="00D92343" w:rsidRPr="002B2049">
        <w:rPr>
          <w:rFonts w:ascii="Times New Roman" w:hAnsi="Times New Roman"/>
          <w:lang w:val="es-ES_tradnl"/>
        </w:rPr>
        <w:t xml:space="preserve">enerales de </w:t>
      </w:r>
      <w:r w:rsidR="002071ED" w:rsidRPr="002B2049">
        <w:rPr>
          <w:rFonts w:ascii="Times New Roman" w:hAnsi="Times New Roman"/>
          <w:lang w:val="es-ES_tradnl"/>
        </w:rPr>
        <w:t>d</w:t>
      </w:r>
      <w:r w:rsidR="00D92343" w:rsidRPr="002B2049">
        <w:rPr>
          <w:rFonts w:ascii="Times New Roman" w:hAnsi="Times New Roman"/>
          <w:lang w:val="es-ES_tradnl"/>
        </w:rPr>
        <w:t xml:space="preserve">epósitos y el costo del seguro del </w:t>
      </w:r>
      <w:r w:rsidR="00D92343" w:rsidRPr="000D2727">
        <w:rPr>
          <w:rFonts w:ascii="Times New Roman" w:hAnsi="Times New Roman"/>
          <w:lang w:val="es-ES_tradnl"/>
        </w:rPr>
        <w:t>inventario pignorado</w:t>
      </w:r>
      <w:r w:rsidR="002071ED" w:rsidRPr="000D2727">
        <w:rPr>
          <w:rFonts w:ascii="Times New Roman" w:hAnsi="Times New Roman"/>
          <w:lang w:val="es-ES_tradnl"/>
        </w:rPr>
        <w:t xml:space="preserve">, impactan considerablemente en la producción </w:t>
      </w:r>
      <w:r w:rsidR="00155BFB" w:rsidRPr="000D2727">
        <w:rPr>
          <w:rFonts w:ascii="Times New Roman" w:hAnsi="Times New Roman"/>
          <w:lang w:val="es-ES_tradnl"/>
        </w:rPr>
        <w:t>de cultivos de la canasta básica</w:t>
      </w:r>
      <w:r w:rsidR="00486815" w:rsidRPr="000D2727">
        <w:rPr>
          <w:rFonts w:ascii="Times New Roman" w:hAnsi="Times New Roman"/>
          <w:lang w:val="es-ES_tradnl"/>
        </w:rPr>
        <w:t xml:space="preserve">, tales como habichuela y ajo, especialmente </w:t>
      </w:r>
      <w:r w:rsidR="00155BFB" w:rsidRPr="000D2727">
        <w:rPr>
          <w:rFonts w:ascii="Times New Roman" w:hAnsi="Times New Roman"/>
          <w:lang w:val="es-ES_tradnl"/>
        </w:rPr>
        <w:t>arroz, en la disponibilidad y garantía</w:t>
      </w:r>
      <w:r w:rsidR="002071ED" w:rsidRPr="000D2727">
        <w:rPr>
          <w:rFonts w:ascii="Times New Roman" w:hAnsi="Times New Roman"/>
          <w:lang w:val="es-ES_tradnl"/>
        </w:rPr>
        <w:t xml:space="preserve"> la seguridad alimentaria.</w:t>
      </w:r>
    </w:p>
    <w:p w14:paraId="13A5D8BD" w14:textId="77777777" w:rsidR="00DC410F" w:rsidRPr="00765634" w:rsidRDefault="00DC410F"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7A2A266D" w14:textId="695C1A22" w:rsidR="00554684" w:rsidRDefault="00554684" w:rsidP="00D9234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0D2727">
        <w:rPr>
          <w:rFonts w:ascii="Times New Roman" w:hAnsi="Times New Roman"/>
          <w:lang w:val="es-ES_tradnl"/>
        </w:rPr>
        <w:t>En coordinación con la Comisiona Nacional Arrocera, CONA, se han gestado las condiciones para mantener un clima de estabilidad entre los productores, pignoradores y consumidores, dentro de los cuales se destacan:</w:t>
      </w:r>
    </w:p>
    <w:p w14:paraId="52E804FF" w14:textId="77777777" w:rsidR="00CA5792" w:rsidRPr="000D2727" w:rsidRDefault="00CA5792" w:rsidP="003A10CB">
      <w:pPr>
        <w:widowControl w:val="0"/>
        <w:tabs>
          <w:tab w:val="left" w:pos="630"/>
        </w:tabs>
        <w:autoSpaceDE w:val="0"/>
        <w:autoSpaceDN w:val="0"/>
        <w:adjustRightInd w:val="0"/>
        <w:spacing w:after="0" w:line="360" w:lineRule="auto"/>
        <w:ind w:firstLine="720"/>
        <w:contextualSpacing/>
        <w:jc w:val="both"/>
        <w:rPr>
          <w:rFonts w:ascii="Times New Roman" w:hAnsi="Times New Roman"/>
          <w:lang w:val="es-ES_tradnl"/>
        </w:rPr>
      </w:pPr>
    </w:p>
    <w:p w14:paraId="0495AAF3" w14:textId="40666AF9" w:rsidR="00554684" w:rsidRPr="00DC410F" w:rsidRDefault="00554684" w:rsidP="001C6B1A">
      <w:pPr>
        <w:pStyle w:val="Prrafodelista"/>
        <w:widowControl w:val="0"/>
        <w:numPr>
          <w:ilvl w:val="0"/>
          <w:numId w:val="29"/>
        </w:numPr>
        <w:tabs>
          <w:tab w:val="left" w:pos="630"/>
        </w:tabs>
        <w:autoSpaceDE w:val="0"/>
        <w:autoSpaceDN w:val="0"/>
        <w:adjustRightInd w:val="0"/>
        <w:spacing w:after="0" w:line="480" w:lineRule="auto"/>
        <w:jc w:val="both"/>
        <w:rPr>
          <w:rFonts w:ascii="Times New Roman" w:hAnsi="Times New Roman"/>
          <w:sz w:val="24"/>
          <w:lang w:val="es-ES_tradnl"/>
        </w:rPr>
      </w:pPr>
      <w:r w:rsidRPr="00DC410F">
        <w:rPr>
          <w:rFonts w:ascii="Times New Roman" w:hAnsi="Times New Roman"/>
          <w:sz w:val="24"/>
          <w:lang w:val="es-ES_tradnl"/>
        </w:rPr>
        <w:t>Estabilización de los precios de compra a los productores logrando montos más justos, el rango de precios de la fanega larga oscila entre RD$2,400.00 a RD$2,500.00</w:t>
      </w:r>
      <w:r w:rsidR="000D2727" w:rsidRPr="00DC410F">
        <w:rPr>
          <w:rFonts w:ascii="Times New Roman" w:hAnsi="Times New Roman"/>
          <w:sz w:val="24"/>
          <w:lang w:val="es-ES_tradnl"/>
        </w:rPr>
        <w:t>,</w:t>
      </w:r>
      <w:r w:rsidRPr="00DC410F">
        <w:rPr>
          <w:rFonts w:ascii="Times New Roman" w:hAnsi="Times New Roman"/>
          <w:sz w:val="24"/>
          <w:lang w:val="es-ES_tradnl"/>
        </w:rPr>
        <w:t xml:space="preserve"> con este rango se evita pérdidas en el sector arrocero y un mayor nivel de ingresos de todos los productores. Cabe destacar que el programa asume valor de </w:t>
      </w:r>
      <w:r w:rsidRPr="00DC410F">
        <w:rPr>
          <w:rFonts w:ascii="Times New Roman" w:hAnsi="Times New Roman"/>
          <w:sz w:val="24"/>
          <w:lang w:val="es-ES_tradnl"/>
        </w:rPr>
        <w:lastRenderedPageBreak/>
        <w:t>pignoración del precio mínimo, RD$2,400.00</w:t>
      </w:r>
      <w:r w:rsidR="003A10CB">
        <w:rPr>
          <w:rFonts w:ascii="Times New Roman" w:hAnsi="Times New Roman"/>
          <w:sz w:val="24"/>
          <w:lang w:val="es-ES_tradnl"/>
        </w:rPr>
        <w:t>.</w:t>
      </w:r>
    </w:p>
    <w:p w14:paraId="3561F4A1" w14:textId="2D35A8D4" w:rsidR="00554684" w:rsidRPr="00DC410F" w:rsidRDefault="00554684" w:rsidP="001C6B1A">
      <w:pPr>
        <w:pStyle w:val="Prrafodelista"/>
        <w:widowControl w:val="0"/>
        <w:numPr>
          <w:ilvl w:val="0"/>
          <w:numId w:val="29"/>
        </w:numPr>
        <w:tabs>
          <w:tab w:val="left" w:pos="630"/>
        </w:tabs>
        <w:autoSpaceDE w:val="0"/>
        <w:autoSpaceDN w:val="0"/>
        <w:adjustRightInd w:val="0"/>
        <w:spacing w:after="0" w:line="480" w:lineRule="auto"/>
        <w:jc w:val="both"/>
        <w:rPr>
          <w:rFonts w:ascii="Times New Roman" w:hAnsi="Times New Roman"/>
          <w:sz w:val="24"/>
          <w:lang w:val="es-ES_tradnl"/>
        </w:rPr>
      </w:pPr>
      <w:r w:rsidRPr="00DC410F">
        <w:rPr>
          <w:rFonts w:ascii="Times New Roman" w:hAnsi="Times New Roman"/>
          <w:sz w:val="24"/>
          <w:lang w:val="es-ES_tradnl"/>
        </w:rPr>
        <w:t>Mantenimiento de los controles de la producción agrícola</w:t>
      </w:r>
      <w:r w:rsidR="000D2727" w:rsidRPr="00DC410F">
        <w:rPr>
          <w:rFonts w:ascii="Times New Roman" w:hAnsi="Times New Roman"/>
          <w:sz w:val="24"/>
          <w:lang w:val="es-ES_tradnl"/>
        </w:rPr>
        <w:t>,</w:t>
      </w:r>
      <w:r w:rsidRPr="00DC410F">
        <w:rPr>
          <w:rFonts w:ascii="Times New Roman" w:hAnsi="Times New Roman"/>
          <w:sz w:val="24"/>
          <w:lang w:val="es-ES_tradnl"/>
        </w:rPr>
        <w:t xml:space="preserve"> ya que se ha conservado de forma oficial el establecimiento de dos siembras al año: La cosecha de primavera y la cosecha de invierno, permitiendo fortalecer la produ</w:t>
      </w:r>
      <w:r w:rsidR="000D2727" w:rsidRPr="00DC410F">
        <w:rPr>
          <w:rFonts w:ascii="Times New Roman" w:hAnsi="Times New Roman"/>
          <w:sz w:val="24"/>
          <w:lang w:val="es-ES_tradnl"/>
        </w:rPr>
        <w:t xml:space="preserve">cción nacional, ofreciéndole </w:t>
      </w:r>
      <w:r w:rsidRPr="00DC410F">
        <w:rPr>
          <w:rFonts w:ascii="Times New Roman" w:hAnsi="Times New Roman"/>
          <w:sz w:val="24"/>
          <w:lang w:val="es-ES_tradnl"/>
        </w:rPr>
        <w:t>descanso a la tierra.</w:t>
      </w:r>
    </w:p>
    <w:p w14:paraId="09F29A23" w14:textId="77777777" w:rsidR="00554684" w:rsidRPr="00554684" w:rsidRDefault="00554684" w:rsidP="00554684">
      <w:pPr>
        <w:pStyle w:val="Prrafodelista"/>
        <w:widowControl w:val="0"/>
        <w:tabs>
          <w:tab w:val="left" w:pos="630"/>
        </w:tabs>
        <w:autoSpaceDE w:val="0"/>
        <w:autoSpaceDN w:val="0"/>
        <w:adjustRightInd w:val="0"/>
        <w:spacing w:after="0" w:line="480" w:lineRule="auto"/>
        <w:ind w:left="1440"/>
        <w:jc w:val="both"/>
        <w:rPr>
          <w:rFonts w:ascii="Times New Roman" w:hAnsi="Times New Roman"/>
          <w:lang w:val="es-ES_tradnl"/>
        </w:rPr>
      </w:pPr>
    </w:p>
    <w:p w14:paraId="3B0FD56E" w14:textId="765866EA" w:rsidR="00554684" w:rsidRPr="00DC410F" w:rsidRDefault="00554684" w:rsidP="001C6B1A">
      <w:pPr>
        <w:pStyle w:val="Prrafodelista"/>
        <w:widowControl w:val="0"/>
        <w:numPr>
          <w:ilvl w:val="0"/>
          <w:numId w:val="29"/>
        </w:numPr>
        <w:tabs>
          <w:tab w:val="left" w:pos="630"/>
        </w:tabs>
        <w:autoSpaceDE w:val="0"/>
        <w:autoSpaceDN w:val="0"/>
        <w:adjustRightInd w:val="0"/>
        <w:spacing w:after="0" w:line="480" w:lineRule="auto"/>
        <w:jc w:val="both"/>
        <w:rPr>
          <w:rFonts w:ascii="Times New Roman" w:hAnsi="Times New Roman"/>
          <w:sz w:val="24"/>
          <w:lang w:val="es-ES_tradnl"/>
        </w:rPr>
      </w:pPr>
      <w:r w:rsidRPr="00DC410F">
        <w:rPr>
          <w:rFonts w:ascii="Times New Roman" w:hAnsi="Times New Roman"/>
          <w:sz w:val="24"/>
          <w:lang w:val="es-ES_tradnl"/>
        </w:rPr>
        <w:t>Mejoría de la calidad del arroz logrando establecer un producto óptimo</w:t>
      </w:r>
      <w:r w:rsidR="000D2727" w:rsidRPr="00DC410F">
        <w:rPr>
          <w:rFonts w:ascii="Times New Roman" w:hAnsi="Times New Roman"/>
          <w:sz w:val="24"/>
          <w:lang w:val="es-ES_tradnl"/>
        </w:rPr>
        <w:t>, producto</w:t>
      </w:r>
      <w:r w:rsidRPr="00DC410F">
        <w:rPr>
          <w:rFonts w:ascii="Times New Roman" w:hAnsi="Times New Roman"/>
          <w:sz w:val="24"/>
          <w:lang w:val="es-ES_tradnl"/>
        </w:rPr>
        <w:t xml:space="preserve"> </w:t>
      </w:r>
      <w:r w:rsidR="000D2727" w:rsidRPr="00DC410F">
        <w:rPr>
          <w:rFonts w:ascii="Times New Roman" w:hAnsi="Times New Roman"/>
          <w:sz w:val="24"/>
          <w:lang w:val="es-ES_tradnl"/>
        </w:rPr>
        <w:t>d</w:t>
      </w:r>
      <w:r w:rsidRPr="00DC410F">
        <w:rPr>
          <w:rFonts w:ascii="Times New Roman" w:hAnsi="Times New Roman"/>
          <w:sz w:val="24"/>
          <w:lang w:val="es-ES_tradnl"/>
        </w:rPr>
        <w:t>el uso de semillas de mayor valor genético</w:t>
      </w:r>
      <w:r w:rsidR="000D2727" w:rsidRPr="00DC410F">
        <w:rPr>
          <w:rFonts w:ascii="Times New Roman" w:hAnsi="Times New Roman"/>
          <w:sz w:val="24"/>
          <w:lang w:val="es-ES_tradnl"/>
        </w:rPr>
        <w:t>,</w:t>
      </w:r>
      <w:r w:rsidRPr="00DC410F">
        <w:rPr>
          <w:rFonts w:ascii="Times New Roman" w:hAnsi="Times New Roman"/>
          <w:sz w:val="24"/>
          <w:lang w:val="es-ES_tradnl"/>
        </w:rPr>
        <w:t xml:space="preserve"> alc</w:t>
      </w:r>
      <w:r w:rsidR="0074330C" w:rsidRPr="00DC410F">
        <w:rPr>
          <w:rFonts w:ascii="Times New Roman" w:hAnsi="Times New Roman"/>
          <w:sz w:val="24"/>
          <w:lang w:val="es-ES_tradnl"/>
        </w:rPr>
        <w:t>anzando cosechas más abundantes</w:t>
      </w:r>
      <w:r w:rsidR="000D2727" w:rsidRPr="00DC410F">
        <w:rPr>
          <w:rFonts w:ascii="Times New Roman" w:hAnsi="Times New Roman"/>
          <w:sz w:val="24"/>
          <w:lang w:val="es-ES_tradnl"/>
        </w:rPr>
        <w:t>,</w:t>
      </w:r>
      <w:r w:rsidR="0074330C" w:rsidRPr="00DC410F">
        <w:rPr>
          <w:rFonts w:ascii="Times New Roman" w:hAnsi="Times New Roman"/>
          <w:sz w:val="24"/>
          <w:lang w:val="es-ES_tradnl"/>
        </w:rPr>
        <w:t xml:space="preserve"> </w:t>
      </w:r>
      <w:r w:rsidRPr="00DC410F">
        <w:rPr>
          <w:rFonts w:ascii="Times New Roman" w:hAnsi="Times New Roman"/>
          <w:sz w:val="24"/>
          <w:lang w:val="es-ES_tradnl"/>
        </w:rPr>
        <w:t>manteniendo un alto re</w:t>
      </w:r>
      <w:r w:rsidR="0074330C" w:rsidRPr="00DC410F">
        <w:rPr>
          <w:rFonts w:ascii="Times New Roman" w:hAnsi="Times New Roman"/>
          <w:sz w:val="24"/>
          <w:lang w:val="es-ES_tradnl"/>
        </w:rPr>
        <w:t>conocimiento de los molineros.</w:t>
      </w:r>
    </w:p>
    <w:p w14:paraId="1A079FFB" w14:textId="18E46FDA" w:rsidR="00554684" w:rsidRPr="009B0106" w:rsidRDefault="00554684" w:rsidP="009B0106">
      <w:pPr>
        <w:spacing w:after="0"/>
        <w:rPr>
          <w:rFonts w:ascii="Times New Roman" w:eastAsia="Calibri" w:hAnsi="Times New Roman"/>
          <w:sz w:val="22"/>
          <w:szCs w:val="22"/>
          <w:lang w:val="es-ES_tradnl" w:eastAsia="en-US"/>
        </w:rPr>
      </w:pPr>
    </w:p>
    <w:p w14:paraId="477EB782" w14:textId="43AF8F97" w:rsidR="00034FF7" w:rsidRPr="00D0241B" w:rsidRDefault="00034FF7" w:rsidP="00554684">
      <w:pPr>
        <w:pStyle w:val="Prrafodelista"/>
        <w:widowControl w:val="0"/>
        <w:tabs>
          <w:tab w:val="left" w:pos="630"/>
        </w:tabs>
        <w:autoSpaceDE w:val="0"/>
        <w:autoSpaceDN w:val="0"/>
        <w:adjustRightInd w:val="0"/>
        <w:spacing w:after="0" w:line="480" w:lineRule="auto"/>
        <w:ind w:left="1440"/>
        <w:jc w:val="both"/>
        <w:rPr>
          <w:rFonts w:ascii="Times New Roman" w:hAnsi="Times New Roman"/>
          <w:b/>
          <w:sz w:val="28"/>
          <w:lang w:val="es-ES_tradnl"/>
        </w:rPr>
      </w:pPr>
      <w:r w:rsidRPr="00D0241B">
        <w:rPr>
          <w:rFonts w:ascii="Times New Roman" w:hAnsi="Times New Roman"/>
          <w:b/>
          <w:sz w:val="28"/>
          <w:lang w:val="es-ES_tradnl"/>
        </w:rPr>
        <w:t>Arroz</w:t>
      </w:r>
    </w:p>
    <w:p w14:paraId="62E8AE6A" w14:textId="6ED6DDDE" w:rsidR="00486815" w:rsidRPr="006C1E1C" w:rsidRDefault="00486815" w:rsidP="00486815">
      <w:pPr>
        <w:shd w:val="clear" w:color="auto" w:fill="FFFFFF"/>
        <w:spacing w:after="0" w:line="480" w:lineRule="auto"/>
        <w:ind w:firstLine="720"/>
        <w:jc w:val="both"/>
        <w:rPr>
          <w:rFonts w:ascii="Times New Roman" w:hAnsi="Times New Roman"/>
        </w:rPr>
      </w:pPr>
      <w:r w:rsidRPr="006C1E1C">
        <w:rPr>
          <w:rFonts w:ascii="Times New Roman" w:hAnsi="Times New Roman"/>
        </w:rPr>
        <w:t>Al 31 de octubre se ha pignorado 3,404,129 fanegas de arroz, con un monto prestado por la banca dominicana de RD$6,546,620,040.00, para una proyección al 31 de diciembre de 3,665,836 fanegas y monto total de RD$7,038,405,120.00, lo que representa una inversión por el pago de intereses, seguro y almacenaje de RD$390,555,741.46 representado el 93% de la asignación gubernamental.</w:t>
      </w:r>
    </w:p>
    <w:p w14:paraId="4D8ECE55" w14:textId="77777777" w:rsidR="00486815" w:rsidRPr="00C44799" w:rsidRDefault="00486815" w:rsidP="00486815">
      <w:pPr>
        <w:shd w:val="clear" w:color="auto" w:fill="FFFFFF"/>
        <w:spacing w:after="0" w:line="480" w:lineRule="auto"/>
        <w:ind w:firstLine="720"/>
        <w:jc w:val="both"/>
        <w:rPr>
          <w:rFonts w:ascii="Times New Roman" w:hAnsi="Times New Roman"/>
          <w:highlight w:val="yellow"/>
        </w:rPr>
      </w:pPr>
    </w:p>
    <w:p w14:paraId="44E500E7" w14:textId="56A3F133" w:rsidR="00486815" w:rsidRPr="006C1E1C" w:rsidRDefault="00486815" w:rsidP="00486815">
      <w:pPr>
        <w:shd w:val="clear" w:color="auto" w:fill="FFFFFF"/>
        <w:spacing w:after="0" w:line="480" w:lineRule="auto"/>
        <w:ind w:firstLine="720"/>
        <w:jc w:val="both"/>
        <w:rPr>
          <w:rFonts w:ascii="Times New Roman" w:hAnsi="Times New Roman"/>
        </w:rPr>
      </w:pPr>
      <w:r w:rsidRPr="006C1E1C">
        <w:rPr>
          <w:rFonts w:ascii="Times New Roman" w:hAnsi="Times New Roman"/>
        </w:rPr>
        <w:t xml:space="preserve">El Ministerio de Agricultura a través de Bio-Arroz, ha incrementado los programas de investigación y en </w:t>
      </w:r>
      <w:r w:rsidR="006C1E1C" w:rsidRPr="006C1E1C">
        <w:rPr>
          <w:rFonts w:ascii="Times New Roman" w:hAnsi="Times New Roman"/>
        </w:rPr>
        <w:t>presente año</w:t>
      </w:r>
      <w:r w:rsidRPr="006C1E1C">
        <w:rPr>
          <w:rFonts w:ascii="Times New Roman" w:hAnsi="Times New Roman"/>
        </w:rPr>
        <w:t xml:space="preserve">, ha </w:t>
      </w:r>
      <w:r w:rsidR="006C1E1C" w:rsidRPr="006C1E1C">
        <w:rPr>
          <w:rFonts w:ascii="Times New Roman" w:hAnsi="Times New Roman"/>
        </w:rPr>
        <w:t>colocado</w:t>
      </w:r>
      <w:r w:rsidRPr="006C1E1C">
        <w:rPr>
          <w:rFonts w:ascii="Times New Roman" w:hAnsi="Times New Roman"/>
        </w:rPr>
        <w:t xml:space="preserve"> en el mercado dos nuevas variedades: Juma 68-18 y LRC Juma 69-20. </w:t>
      </w:r>
    </w:p>
    <w:p w14:paraId="2FC9A38B" w14:textId="47E804D1" w:rsidR="003A10CB" w:rsidRDefault="003A10CB">
      <w:pPr>
        <w:spacing w:after="0"/>
        <w:rPr>
          <w:rFonts w:ascii="Times New Roman" w:hAnsi="Times New Roman"/>
          <w:highlight w:val="yellow"/>
        </w:rPr>
      </w:pPr>
      <w:r>
        <w:rPr>
          <w:rFonts w:ascii="Times New Roman" w:hAnsi="Times New Roman"/>
          <w:highlight w:val="yellow"/>
        </w:rPr>
        <w:br w:type="page"/>
      </w:r>
    </w:p>
    <w:p w14:paraId="07C61C0A" w14:textId="7B021B55" w:rsidR="00232F8A" w:rsidRPr="00D0241B" w:rsidRDefault="00232F8A" w:rsidP="00232F8A">
      <w:pPr>
        <w:pStyle w:val="Prrafodelista"/>
        <w:widowControl w:val="0"/>
        <w:tabs>
          <w:tab w:val="left" w:pos="630"/>
        </w:tabs>
        <w:autoSpaceDE w:val="0"/>
        <w:autoSpaceDN w:val="0"/>
        <w:adjustRightInd w:val="0"/>
        <w:spacing w:after="0" w:line="480" w:lineRule="auto"/>
        <w:ind w:left="1440"/>
        <w:jc w:val="both"/>
        <w:rPr>
          <w:rFonts w:ascii="Times New Roman" w:hAnsi="Times New Roman"/>
          <w:b/>
          <w:sz w:val="28"/>
          <w:lang w:val="es-ES_tradnl"/>
        </w:rPr>
      </w:pPr>
      <w:r w:rsidRPr="00D0241B">
        <w:rPr>
          <w:rFonts w:ascii="Times New Roman" w:hAnsi="Times New Roman"/>
          <w:b/>
          <w:sz w:val="28"/>
          <w:lang w:val="es-ES_tradnl"/>
        </w:rPr>
        <w:lastRenderedPageBreak/>
        <w:t>Ajo</w:t>
      </w:r>
    </w:p>
    <w:p w14:paraId="3D796427" w14:textId="77777777" w:rsidR="007F58F1" w:rsidRPr="006C1E1C" w:rsidRDefault="007F58F1" w:rsidP="00486815">
      <w:pPr>
        <w:shd w:val="clear" w:color="auto" w:fill="FFFFFF"/>
        <w:spacing w:after="0" w:line="480" w:lineRule="auto"/>
        <w:ind w:firstLine="720"/>
        <w:jc w:val="both"/>
        <w:rPr>
          <w:rFonts w:ascii="Times New Roman" w:hAnsi="Times New Roman"/>
        </w:rPr>
      </w:pPr>
      <w:r w:rsidRPr="006C1E1C">
        <w:rPr>
          <w:rFonts w:ascii="Times New Roman" w:hAnsi="Times New Roman"/>
        </w:rPr>
        <w:t xml:space="preserve">El programa de pignoración ha ampliado el alcance de los rubros, especialmente ajo y habichuela, dentro del rescate e incentivo para la siembra de ajo criollo, en beneficio de los productores de Constanza, un rubro que desde 2008 no tenía participación en el programa. </w:t>
      </w:r>
    </w:p>
    <w:p w14:paraId="3587167D" w14:textId="77777777" w:rsidR="007F58F1" w:rsidRPr="00C44799" w:rsidRDefault="007F58F1" w:rsidP="00486815">
      <w:pPr>
        <w:shd w:val="clear" w:color="auto" w:fill="FFFFFF"/>
        <w:spacing w:after="0" w:line="480" w:lineRule="auto"/>
        <w:ind w:firstLine="720"/>
        <w:jc w:val="both"/>
        <w:rPr>
          <w:rFonts w:ascii="Times New Roman" w:hAnsi="Times New Roman"/>
          <w:highlight w:val="yellow"/>
        </w:rPr>
      </w:pPr>
    </w:p>
    <w:p w14:paraId="7A8E6C7D" w14:textId="444A087D" w:rsidR="00486815" w:rsidRPr="00972F12" w:rsidRDefault="007F58F1" w:rsidP="00486815">
      <w:pPr>
        <w:shd w:val="clear" w:color="auto" w:fill="FFFFFF"/>
        <w:spacing w:after="0" w:line="480" w:lineRule="auto"/>
        <w:ind w:firstLine="720"/>
        <w:jc w:val="both"/>
        <w:rPr>
          <w:rFonts w:ascii="Times New Roman" w:hAnsi="Times New Roman"/>
        </w:rPr>
      </w:pPr>
      <w:r w:rsidRPr="00972F12">
        <w:rPr>
          <w:rFonts w:ascii="Times New Roman" w:hAnsi="Times New Roman"/>
        </w:rPr>
        <w:t xml:space="preserve">Durante el 2019 se ha pignorando un total 36,620 quintales para un monto ascendente a RD$327,298.001.00 donde los pagos por intereses, seguro y almacenaje al 31 de octubre </w:t>
      </w:r>
      <w:r w:rsidR="006C1E1C" w:rsidRPr="00972F12">
        <w:rPr>
          <w:rFonts w:ascii="Times New Roman" w:hAnsi="Times New Roman"/>
        </w:rPr>
        <w:t>fue</w:t>
      </w:r>
      <w:r w:rsidRPr="00972F12">
        <w:rPr>
          <w:rFonts w:ascii="Times New Roman" w:hAnsi="Times New Roman"/>
        </w:rPr>
        <w:t xml:space="preserve"> de RD$18,295,111.28, para una proyección de RD$21.393,251.18 </w:t>
      </w:r>
      <w:r w:rsidR="006C1E1C" w:rsidRPr="00972F12">
        <w:rPr>
          <w:rFonts w:ascii="Times New Roman" w:hAnsi="Times New Roman"/>
        </w:rPr>
        <w:t xml:space="preserve">lo cual </w:t>
      </w:r>
      <w:r w:rsidRPr="00972F12">
        <w:rPr>
          <w:rFonts w:ascii="Times New Roman" w:hAnsi="Times New Roman"/>
        </w:rPr>
        <w:t>representa un 5.5% de la inversión en pignoración.</w:t>
      </w:r>
    </w:p>
    <w:p w14:paraId="5704EB7A" w14:textId="24D6257A" w:rsidR="009B0106" w:rsidRPr="003A10CB" w:rsidRDefault="009B0106" w:rsidP="003A10CB">
      <w:pPr>
        <w:spacing w:after="0" w:line="480" w:lineRule="auto"/>
        <w:rPr>
          <w:rFonts w:ascii="Times New Roman" w:eastAsia="Calibri" w:hAnsi="Times New Roman"/>
          <w:b/>
          <w:lang w:val="es-ES_tradnl" w:eastAsia="en-US"/>
        </w:rPr>
      </w:pPr>
    </w:p>
    <w:p w14:paraId="63C608EF" w14:textId="4FA70F5B" w:rsidR="007F58F1" w:rsidRPr="00D0241B" w:rsidRDefault="007F58F1" w:rsidP="007F58F1">
      <w:pPr>
        <w:pStyle w:val="Prrafodelista"/>
        <w:widowControl w:val="0"/>
        <w:tabs>
          <w:tab w:val="left" w:pos="630"/>
        </w:tabs>
        <w:autoSpaceDE w:val="0"/>
        <w:autoSpaceDN w:val="0"/>
        <w:adjustRightInd w:val="0"/>
        <w:spacing w:after="0" w:line="480" w:lineRule="auto"/>
        <w:ind w:left="1440"/>
        <w:jc w:val="both"/>
        <w:rPr>
          <w:rFonts w:ascii="Times New Roman" w:hAnsi="Times New Roman"/>
          <w:b/>
          <w:sz w:val="28"/>
          <w:lang w:val="es-ES_tradnl"/>
        </w:rPr>
      </w:pPr>
      <w:r w:rsidRPr="00D0241B">
        <w:rPr>
          <w:rFonts w:ascii="Times New Roman" w:hAnsi="Times New Roman"/>
          <w:b/>
          <w:sz w:val="28"/>
          <w:lang w:val="es-ES_tradnl"/>
        </w:rPr>
        <w:t>Habichuela</w:t>
      </w:r>
    </w:p>
    <w:p w14:paraId="385D2AF4" w14:textId="501144B7" w:rsidR="007F58F1" w:rsidRPr="00972F12" w:rsidRDefault="007F58F1" w:rsidP="007F58F1">
      <w:pPr>
        <w:shd w:val="clear" w:color="auto" w:fill="FFFFFF"/>
        <w:spacing w:after="0" w:line="480" w:lineRule="auto"/>
        <w:ind w:firstLine="720"/>
        <w:jc w:val="both"/>
        <w:rPr>
          <w:rFonts w:ascii="Times New Roman" w:hAnsi="Times New Roman"/>
        </w:rPr>
      </w:pPr>
      <w:r w:rsidRPr="00972F12">
        <w:rPr>
          <w:rFonts w:ascii="Times New Roman" w:hAnsi="Times New Roman"/>
        </w:rPr>
        <w:t>En apoyo a los productores de la provincia de San Juan de la Maguana se ha pignorado un total de 58,394 quintales por un monto prestado de RD$163,586,800.00 pagando la UEPI un total de RD$6,661,292.27</w:t>
      </w:r>
      <w:r w:rsidR="003A10CB">
        <w:rPr>
          <w:rFonts w:ascii="Times New Roman" w:hAnsi="Times New Roman"/>
        </w:rPr>
        <w:t>,</w:t>
      </w:r>
      <w:r w:rsidRPr="00972F12">
        <w:rPr>
          <w:rFonts w:ascii="Times New Roman" w:hAnsi="Times New Roman"/>
        </w:rPr>
        <w:t xml:space="preserve"> equivalente a un 1.5% de la inversión.</w:t>
      </w:r>
    </w:p>
    <w:p w14:paraId="6945B77E" w14:textId="77777777" w:rsidR="007F58F1" w:rsidRPr="00C44799" w:rsidRDefault="007F58F1" w:rsidP="009B0106">
      <w:pPr>
        <w:shd w:val="clear" w:color="auto" w:fill="FFFFFF"/>
        <w:spacing w:after="0" w:line="360" w:lineRule="auto"/>
        <w:ind w:firstLine="720"/>
        <w:jc w:val="both"/>
        <w:rPr>
          <w:rFonts w:ascii="Times New Roman" w:hAnsi="Times New Roman"/>
          <w:highlight w:val="yellow"/>
        </w:rPr>
      </w:pPr>
    </w:p>
    <w:p w14:paraId="2E9F65B6" w14:textId="72B80AAD" w:rsidR="007F58F1" w:rsidRDefault="007F58F1" w:rsidP="007F58F1">
      <w:pPr>
        <w:shd w:val="clear" w:color="auto" w:fill="FFFFFF"/>
        <w:spacing w:after="0" w:line="480" w:lineRule="auto"/>
        <w:ind w:firstLine="720"/>
        <w:jc w:val="both"/>
        <w:rPr>
          <w:rFonts w:ascii="Times New Roman" w:hAnsi="Times New Roman"/>
        </w:rPr>
      </w:pPr>
      <w:r w:rsidRPr="00972F12">
        <w:rPr>
          <w:rFonts w:ascii="Times New Roman" w:hAnsi="Times New Roman"/>
        </w:rPr>
        <w:t xml:space="preserve">La inversión total realizada durante el periodo 2019 asciende a </w:t>
      </w:r>
      <w:r w:rsidR="00972F12" w:rsidRPr="00972F12">
        <w:rPr>
          <w:rFonts w:ascii="Times New Roman" w:hAnsi="Times New Roman"/>
        </w:rPr>
        <w:t xml:space="preserve">un monto de </w:t>
      </w:r>
      <w:r w:rsidRPr="00972F12">
        <w:rPr>
          <w:rFonts w:ascii="Times New Roman" w:hAnsi="Times New Roman"/>
        </w:rPr>
        <w:t>RD$420,525,558.50.</w:t>
      </w:r>
    </w:p>
    <w:p w14:paraId="7F392D58" w14:textId="77777777" w:rsidR="007F58F1" w:rsidRPr="00486815" w:rsidRDefault="007F58F1" w:rsidP="009B0106">
      <w:pPr>
        <w:shd w:val="clear" w:color="auto" w:fill="FFFFFF"/>
        <w:spacing w:after="0" w:line="360" w:lineRule="auto"/>
        <w:ind w:firstLine="720"/>
        <w:jc w:val="both"/>
        <w:rPr>
          <w:rFonts w:ascii="Times New Roman" w:hAnsi="Times New Roman"/>
        </w:rPr>
      </w:pPr>
    </w:p>
    <w:p w14:paraId="79ADC2CE" w14:textId="5AD791D9" w:rsidR="00DD3D77" w:rsidRDefault="00D03E5C" w:rsidP="00DD3D77">
      <w:pPr>
        <w:shd w:val="clear" w:color="auto" w:fill="FFFFFF"/>
        <w:spacing w:after="0" w:line="480" w:lineRule="auto"/>
        <w:ind w:firstLine="720"/>
        <w:jc w:val="both"/>
        <w:rPr>
          <w:rFonts w:ascii="Times New Roman" w:hAnsi="Times New Roman"/>
        </w:rPr>
      </w:pPr>
      <w:r w:rsidRPr="00E80B94">
        <w:rPr>
          <w:rFonts w:ascii="Times New Roman" w:hAnsi="Times New Roman"/>
        </w:rPr>
        <w:t>Durante el 201</w:t>
      </w:r>
      <w:r w:rsidR="00155BFB" w:rsidRPr="00E80B94">
        <w:rPr>
          <w:rFonts w:ascii="Times New Roman" w:hAnsi="Times New Roman"/>
        </w:rPr>
        <w:t>9</w:t>
      </w:r>
      <w:r w:rsidR="00DD3D77" w:rsidRPr="00E80B94">
        <w:rPr>
          <w:rFonts w:ascii="Times New Roman" w:hAnsi="Times New Roman"/>
        </w:rPr>
        <w:t>, el Programa de Pignoración asumió el pago de servicios de seguro, almacenamiento</w:t>
      </w:r>
      <w:r w:rsidR="002071ED" w:rsidRPr="00E80B94">
        <w:rPr>
          <w:rFonts w:ascii="Times New Roman" w:hAnsi="Times New Roman"/>
        </w:rPr>
        <w:t xml:space="preserve">, intereses, impuestos y cargos </w:t>
      </w:r>
      <w:r w:rsidR="00E36A64" w:rsidRPr="00E80B94">
        <w:rPr>
          <w:rFonts w:ascii="Times New Roman" w:hAnsi="Times New Roman"/>
        </w:rPr>
        <w:t>en el cultivo</w:t>
      </w:r>
      <w:r w:rsidR="00DD3D77" w:rsidRPr="00E80B94">
        <w:rPr>
          <w:rFonts w:ascii="Times New Roman" w:hAnsi="Times New Roman"/>
        </w:rPr>
        <w:t xml:space="preserve"> de arroz, </w:t>
      </w:r>
      <w:r w:rsidR="0034624D" w:rsidRPr="00E80B94">
        <w:rPr>
          <w:rFonts w:ascii="Times New Roman" w:hAnsi="Times New Roman"/>
        </w:rPr>
        <w:t xml:space="preserve">habichuela y ajo </w:t>
      </w:r>
      <w:r w:rsidR="00DD3D77" w:rsidRPr="00E80B94">
        <w:rPr>
          <w:rFonts w:ascii="Times New Roman" w:hAnsi="Times New Roman"/>
        </w:rPr>
        <w:t>para garantizar la estabilidad de</w:t>
      </w:r>
      <w:r w:rsidR="0034624D" w:rsidRPr="00E80B94">
        <w:rPr>
          <w:rFonts w:ascii="Times New Roman" w:hAnsi="Times New Roman"/>
        </w:rPr>
        <w:t xml:space="preserve"> los</w:t>
      </w:r>
      <w:r w:rsidR="00DD3D77" w:rsidRPr="00E80B94">
        <w:rPr>
          <w:rFonts w:ascii="Times New Roman" w:hAnsi="Times New Roman"/>
        </w:rPr>
        <w:t xml:space="preserve"> precios, evitando la sobreoferta en detrimento de los precios de venta y obteniendo niveles adecuados de </w:t>
      </w:r>
      <w:r w:rsidR="00DD3D77" w:rsidRPr="00E80B94">
        <w:rPr>
          <w:rFonts w:ascii="Times New Roman" w:hAnsi="Times New Roman"/>
        </w:rPr>
        <w:lastRenderedPageBreak/>
        <w:t>rentabilidad para los productores y precios a</w:t>
      </w:r>
      <w:r w:rsidR="001752BC" w:rsidRPr="00E80B94">
        <w:rPr>
          <w:rFonts w:ascii="Times New Roman" w:hAnsi="Times New Roman"/>
        </w:rPr>
        <w:t>se</w:t>
      </w:r>
      <w:r w:rsidR="00E36A64" w:rsidRPr="00E80B94">
        <w:rPr>
          <w:rFonts w:ascii="Times New Roman" w:hAnsi="Times New Roman"/>
        </w:rPr>
        <w:t>quibles para los consumidores, según se detalla en la</w:t>
      </w:r>
      <w:r w:rsidR="0034624D" w:rsidRPr="00E80B94">
        <w:rPr>
          <w:rFonts w:ascii="Times New Roman" w:hAnsi="Times New Roman"/>
        </w:rPr>
        <w:t>s tablas</w:t>
      </w:r>
      <w:r w:rsidR="00972F12" w:rsidRPr="00E80B94">
        <w:rPr>
          <w:rFonts w:ascii="Times New Roman" w:hAnsi="Times New Roman"/>
        </w:rPr>
        <w:t xml:space="preserve"> 7</w:t>
      </w:r>
      <w:r w:rsidR="009B0106">
        <w:rPr>
          <w:rFonts w:ascii="Times New Roman" w:hAnsi="Times New Roman"/>
        </w:rPr>
        <w:t>,</w:t>
      </w:r>
      <w:r w:rsidR="00972F12" w:rsidRPr="00E80B94">
        <w:rPr>
          <w:rFonts w:ascii="Times New Roman" w:hAnsi="Times New Roman"/>
        </w:rPr>
        <w:t xml:space="preserve"> 8 y 9,</w:t>
      </w:r>
      <w:r w:rsidR="0034624D" w:rsidRPr="00E80B94">
        <w:rPr>
          <w:rFonts w:ascii="Times New Roman" w:hAnsi="Times New Roman"/>
        </w:rPr>
        <w:t xml:space="preserve"> </w:t>
      </w:r>
      <w:r w:rsidR="009B0106">
        <w:rPr>
          <w:rFonts w:ascii="Times New Roman" w:hAnsi="Times New Roman"/>
        </w:rPr>
        <w:t xml:space="preserve">de </w:t>
      </w:r>
      <w:r w:rsidR="0034624D" w:rsidRPr="00E80B94">
        <w:rPr>
          <w:rFonts w:ascii="Times New Roman" w:hAnsi="Times New Roman"/>
        </w:rPr>
        <w:t>rubros pignorados</w:t>
      </w:r>
      <w:r w:rsidR="00E36A64" w:rsidRPr="00E80B94">
        <w:rPr>
          <w:rFonts w:ascii="Times New Roman" w:hAnsi="Times New Roman"/>
        </w:rPr>
        <w:t>:</w:t>
      </w:r>
    </w:p>
    <w:p w14:paraId="1A174CC1" w14:textId="77777777" w:rsidR="00B65596" w:rsidRPr="00765634" w:rsidRDefault="00B65596" w:rsidP="009B0106">
      <w:pPr>
        <w:shd w:val="clear" w:color="auto" w:fill="FFFFFF"/>
        <w:spacing w:after="0" w:line="360" w:lineRule="auto"/>
        <w:ind w:firstLine="720"/>
        <w:jc w:val="both"/>
        <w:rPr>
          <w:rFonts w:ascii="Times New Roman" w:hAnsi="Times New Roman"/>
        </w:rPr>
      </w:pPr>
    </w:p>
    <w:p w14:paraId="0AE83B98" w14:textId="393F1300" w:rsidR="00E36A64" w:rsidRPr="00DC410F" w:rsidRDefault="00E36A64" w:rsidP="001C6B1A">
      <w:pPr>
        <w:pStyle w:val="Prrafodelista"/>
        <w:numPr>
          <w:ilvl w:val="0"/>
          <w:numId w:val="9"/>
        </w:numPr>
        <w:spacing w:after="0"/>
        <w:ind w:left="567" w:hanging="567"/>
        <w:rPr>
          <w:rFonts w:ascii="Times New Roman" w:hAnsi="Times New Roman"/>
          <w:sz w:val="24"/>
          <w:lang w:val="es-ES_tradnl"/>
        </w:rPr>
      </w:pPr>
      <w:r w:rsidRPr="0098414F">
        <w:rPr>
          <w:rFonts w:ascii="Times New Roman" w:hAnsi="Times New Roman"/>
          <w:b/>
          <w:sz w:val="24"/>
          <w:lang w:val="es-ES_tradnl"/>
        </w:rPr>
        <w:t xml:space="preserve">Relación de </w:t>
      </w:r>
      <w:r w:rsidR="00114D2E">
        <w:rPr>
          <w:rFonts w:ascii="Times New Roman" w:hAnsi="Times New Roman"/>
          <w:b/>
          <w:sz w:val="24"/>
          <w:lang w:val="es-ES_tradnl"/>
        </w:rPr>
        <w:t xml:space="preserve">pagos </w:t>
      </w:r>
      <w:r w:rsidR="0034624D">
        <w:rPr>
          <w:rFonts w:ascii="Times New Roman" w:hAnsi="Times New Roman"/>
          <w:b/>
          <w:sz w:val="24"/>
          <w:lang w:val="es-ES_tradnl"/>
        </w:rPr>
        <w:t>rubro arroz</w:t>
      </w:r>
    </w:p>
    <w:p w14:paraId="3557DC06" w14:textId="77777777" w:rsidR="00DC410F" w:rsidRPr="0034624D" w:rsidRDefault="00DC410F" w:rsidP="00DC410F">
      <w:pPr>
        <w:pStyle w:val="Prrafodelista"/>
        <w:spacing w:after="0"/>
        <w:ind w:left="567"/>
        <w:rPr>
          <w:rFonts w:ascii="Times New Roman" w:hAnsi="Times New Roman"/>
          <w:sz w:val="24"/>
          <w:lang w:val="es-ES_tradnl"/>
        </w:rPr>
      </w:pPr>
    </w:p>
    <w:tbl>
      <w:tblPr>
        <w:tblW w:w="8099" w:type="dxa"/>
        <w:jc w:val="center"/>
        <w:tblCellMar>
          <w:left w:w="70" w:type="dxa"/>
          <w:right w:w="70" w:type="dxa"/>
        </w:tblCellMar>
        <w:tblLook w:val="04A0" w:firstRow="1" w:lastRow="0" w:firstColumn="1" w:lastColumn="0" w:noHBand="0" w:noVBand="1"/>
      </w:tblPr>
      <w:tblGrid>
        <w:gridCol w:w="4737"/>
        <w:gridCol w:w="1406"/>
        <w:gridCol w:w="1956"/>
      </w:tblGrid>
      <w:tr w:rsidR="0034624D" w:rsidRPr="007C1644" w14:paraId="69265340" w14:textId="77777777" w:rsidTr="009B0106">
        <w:trPr>
          <w:trHeight w:val="349"/>
          <w:jc w:val="center"/>
        </w:trPr>
        <w:tc>
          <w:tcPr>
            <w:tcW w:w="4737"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3F03EEEA" w14:textId="77777777" w:rsidR="0034624D" w:rsidRPr="007C1644" w:rsidRDefault="0034624D" w:rsidP="0034624D">
            <w:pPr>
              <w:spacing w:after="0"/>
              <w:jc w:val="center"/>
              <w:rPr>
                <w:rFonts w:ascii="Times New Roman" w:hAnsi="Times New Roman"/>
                <w:b/>
                <w:bCs/>
                <w:color w:val="FFFFFF" w:themeColor="background1"/>
                <w:lang w:eastAsia="es-DO"/>
              </w:rPr>
            </w:pPr>
            <w:r w:rsidRPr="007C1644">
              <w:rPr>
                <w:rFonts w:ascii="Times New Roman" w:hAnsi="Times New Roman"/>
                <w:b/>
                <w:bCs/>
                <w:color w:val="FFFFFF" w:themeColor="background1"/>
                <w:lang w:eastAsia="es-DO"/>
              </w:rPr>
              <w:t>Partidas</w:t>
            </w:r>
          </w:p>
        </w:tc>
        <w:tc>
          <w:tcPr>
            <w:tcW w:w="1405" w:type="dxa"/>
            <w:tcBorders>
              <w:top w:val="single" w:sz="4" w:space="0" w:color="auto"/>
              <w:left w:val="nil"/>
              <w:bottom w:val="single" w:sz="4" w:space="0" w:color="auto"/>
              <w:right w:val="single" w:sz="4" w:space="0" w:color="auto"/>
            </w:tcBorders>
            <w:shd w:val="clear" w:color="auto" w:fill="00B050"/>
            <w:noWrap/>
            <w:vAlign w:val="center"/>
            <w:hideMark/>
          </w:tcPr>
          <w:p w14:paraId="14F15C0E" w14:textId="77777777" w:rsidR="0034624D" w:rsidRPr="007C1644" w:rsidRDefault="0034624D" w:rsidP="0034624D">
            <w:pPr>
              <w:spacing w:after="0"/>
              <w:jc w:val="center"/>
              <w:rPr>
                <w:rFonts w:ascii="Times New Roman" w:hAnsi="Times New Roman"/>
                <w:b/>
                <w:bCs/>
                <w:color w:val="FFFFFF" w:themeColor="background1"/>
                <w:lang w:eastAsia="es-DO"/>
              </w:rPr>
            </w:pPr>
            <w:r w:rsidRPr="007C1644">
              <w:rPr>
                <w:rFonts w:ascii="Times New Roman" w:hAnsi="Times New Roman"/>
                <w:b/>
                <w:bCs/>
                <w:color w:val="FFFFFF" w:themeColor="background1"/>
                <w:lang w:eastAsia="es-DO"/>
              </w:rPr>
              <w:t>Unidad de Medida</w:t>
            </w:r>
          </w:p>
        </w:tc>
        <w:tc>
          <w:tcPr>
            <w:tcW w:w="1956" w:type="dxa"/>
            <w:tcBorders>
              <w:top w:val="single" w:sz="4" w:space="0" w:color="auto"/>
              <w:left w:val="nil"/>
              <w:bottom w:val="single" w:sz="4" w:space="0" w:color="auto"/>
              <w:right w:val="single" w:sz="4" w:space="0" w:color="auto"/>
            </w:tcBorders>
            <w:shd w:val="clear" w:color="auto" w:fill="00B050"/>
            <w:noWrap/>
            <w:vAlign w:val="center"/>
            <w:hideMark/>
          </w:tcPr>
          <w:p w14:paraId="0A653EC9" w14:textId="77777777" w:rsidR="0034624D" w:rsidRPr="007C1644" w:rsidRDefault="0034624D" w:rsidP="0034624D">
            <w:pPr>
              <w:spacing w:after="0"/>
              <w:jc w:val="center"/>
              <w:rPr>
                <w:rFonts w:ascii="Times New Roman" w:hAnsi="Times New Roman"/>
                <w:b/>
                <w:bCs/>
                <w:color w:val="FFFFFF" w:themeColor="background1"/>
                <w:lang w:eastAsia="es-DO"/>
              </w:rPr>
            </w:pPr>
            <w:r w:rsidRPr="007C1644">
              <w:rPr>
                <w:rFonts w:ascii="Times New Roman" w:hAnsi="Times New Roman"/>
                <w:b/>
                <w:bCs/>
                <w:color w:val="FFFFFF" w:themeColor="background1"/>
                <w:lang w:eastAsia="es-DO"/>
              </w:rPr>
              <w:t>Cantidad</w:t>
            </w:r>
          </w:p>
        </w:tc>
      </w:tr>
      <w:tr w:rsidR="0034624D" w:rsidRPr="007C1644" w14:paraId="4DA5A36C" w14:textId="77777777" w:rsidTr="009B0106">
        <w:trPr>
          <w:trHeight w:val="183"/>
          <w:jc w:val="center"/>
        </w:trPr>
        <w:tc>
          <w:tcPr>
            <w:tcW w:w="473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E549ADC" w14:textId="533021A6" w:rsidR="0034624D" w:rsidRPr="007C1644" w:rsidRDefault="007C1644" w:rsidP="0034624D">
            <w:pPr>
              <w:spacing w:after="0"/>
              <w:rPr>
                <w:rFonts w:ascii="Times New Roman" w:hAnsi="Times New Roman"/>
                <w:color w:val="000000"/>
                <w:lang w:eastAsia="es-DO"/>
              </w:rPr>
            </w:pPr>
            <w:r w:rsidRPr="007C1644">
              <w:rPr>
                <w:rFonts w:ascii="Times New Roman" w:hAnsi="Times New Roman"/>
                <w:color w:val="000000"/>
                <w:lang w:eastAsia="es-DO"/>
              </w:rPr>
              <w:t>Expedientes r</w:t>
            </w:r>
            <w:r w:rsidR="0034624D" w:rsidRPr="007C1644">
              <w:rPr>
                <w:rFonts w:ascii="Times New Roman" w:hAnsi="Times New Roman"/>
                <w:color w:val="000000"/>
                <w:lang w:eastAsia="es-DO"/>
              </w:rPr>
              <w:t>ecibidos Arroz</w:t>
            </w:r>
          </w:p>
        </w:tc>
        <w:tc>
          <w:tcPr>
            <w:tcW w:w="1405" w:type="dxa"/>
            <w:tcBorders>
              <w:top w:val="single" w:sz="4" w:space="0" w:color="auto"/>
              <w:left w:val="nil"/>
              <w:bottom w:val="single" w:sz="4" w:space="0" w:color="auto"/>
              <w:right w:val="single" w:sz="4" w:space="0" w:color="auto"/>
            </w:tcBorders>
            <w:shd w:val="clear" w:color="000000" w:fill="FFFFFF"/>
            <w:noWrap/>
            <w:vAlign w:val="bottom"/>
            <w:hideMark/>
          </w:tcPr>
          <w:p w14:paraId="0EC5D73F" w14:textId="77777777" w:rsidR="0034624D" w:rsidRPr="007C1644" w:rsidRDefault="0034624D" w:rsidP="009B0106">
            <w:pPr>
              <w:spacing w:after="0"/>
              <w:jc w:val="center"/>
              <w:rPr>
                <w:rFonts w:ascii="Times New Roman" w:hAnsi="Times New Roman"/>
                <w:color w:val="000000"/>
                <w:lang w:eastAsia="es-DO"/>
              </w:rPr>
            </w:pPr>
            <w:r w:rsidRPr="007C1644">
              <w:rPr>
                <w:rFonts w:ascii="Times New Roman" w:hAnsi="Times New Roman"/>
                <w:color w:val="000000"/>
                <w:lang w:eastAsia="es-DO"/>
              </w:rPr>
              <w:t>Unidad</w:t>
            </w:r>
          </w:p>
        </w:tc>
        <w:tc>
          <w:tcPr>
            <w:tcW w:w="1956" w:type="dxa"/>
            <w:tcBorders>
              <w:top w:val="single" w:sz="4" w:space="0" w:color="auto"/>
              <w:left w:val="nil"/>
              <w:bottom w:val="single" w:sz="4" w:space="0" w:color="auto"/>
              <w:right w:val="single" w:sz="4" w:space="0" w:color="auto"/>
            </w:tcBorders>
            <w:shd w:val="clear" w:color="000000" w:fill="FFFFFF"/>
            <w:noWrap/>
            <w:vAlign w:val="bottom"/>
            <w:hideMark/>
          </w:tcPr>
          <w:p w14:paraId="56DF3FF6" w14:textId="77777777" w:rsidR="0034624D" w:rsidRPr="007C1644" w:rsidRDefault="0034624D" w:rsidP="00313400">
            <w:pPr>
              <w:spacing w:after="0"/>
              <w:jc w:val="center"/>
              <w:rPr>
                <w:rFonts w:ascii="Times New Roman" w:hAnsi="Times New Roman"/>
                <w:color w:val="000000"/>
                <w:lang w:eastAsia="es-DO"/>
              </w:rPr>
            </w:pPr>
            <w:r w:rsidRPr="007C1644">
              <w:rPr>
                <w:rFonts w:ascii="Times New Roman" w:hAnsi="Times New Roman"/>
                <w:color w:val="000000"/>
                <w:lang w:eastAsia="es-DO"/>
              </w:rPr>
              <w:t>592</w:t>
            </w:r>
          </w:p>
        </w:tc>
      </w:tr>
      <w:tr w:rsidR="0034624D" w:rsidRPr="007C1644" w14:paraId="2DFA015B" w14:textId="77777777" w:rsidTr="009B0106">
        <w:trPr>
          <w:trHeight w:val="173"/>
          <w:jc w:val="center"/>
        </w:trPr>
        <w:tc>
          <w:tcPr>
            <w:tcW w:w="4737" w:type="dxa"/>
            <w:tcBorders>
              <w:top w:val="single" w:sz="4" w:space="0" w:color="auto"/>
              <w:left w:val="single" w:sz="4" w:space="0" w:color="auto"/>
              <w:bottom w:val="double" w:sz="4" w:space="0" w:color="auto"/>
              <w:right w:val="single" w:sz="4" w:space="0" w:color="auto"/>
            </w:tcBorders>
            <w:shd w:val="clear" w:color="000000" w:fill="FFFFFF"/>
            <w:noWrap/>
            <w:vAlign w:val="bottom"/>
            <w:hideMark/>
          </w:tcPr>
          <w:p w14:paraId="667B4504" w14:textId="77777777" w:rsidR="0034624D" w:rsidRPr="007C1644" w:rsidRDefault="0034624D" w:rsidP="0034624D">
            <w:pPr>
              <w:spacing w:after="0"/>
              <w:rPr>
                <w:rFonts w:ascii="Times New Roman" w:hAnsi="Times New Roman"/>
                <w:color w:val="000000"/>
                <w:lang w:eastAsia="es-DO"/>
              </w:rPr>
            </w:pPr>
            <w:r w:rsidRPr="007C1644">
              <w:rPr>
                <w:rFonts w:ascii="Times New Roman" w:hAnsi="Times New Roman"/>
                <w:color w:val="000000"/>
                <w:lang w:eastAsia="es-DO"/>
              </w:rPr>
              <w:t>Fanegas de arroz Pignoradas</w:t>
            </w:r>
          </w:p>
        </w:tc>
        <w:tc>
          <w:tcPr>
            <w:tcW w:w="1405" w:type="dxa"/>
            <w:tcBorders>
              <w:top w:val="single" w:sz="4" w:space="0" w:color="auto"/>
              <w:left w:val="nil"/>
              <w:bottom w:val="double" w:sz="4" w:space="0" w:color="auto"/>
              <w:right w:val="single" w:sz="4" w:space="0" w:color="auto"/>
            </w:tcBorders>
            <w:shd w:val="clear" w:color="000000" w:fill="FFFFFF"/>
            <w:noWrap/>
            <w:vAlign w:val="bottom"/>
            <w:hideMark/>
          </w:tcPr>
          <w:p w14:paraId="2213A20A" w14:textId="77777777" w:rsidR="0034624D" w:rsidRPr="007C1644" w:rsidRDefault="0034624D" w:rsidP="009B0106">
            <w:pPr>
              <w:spacing w:after="0"/>
              <w:jc w:val="center"/>
              <w:rPr>
                <w:rFonts w:ascii="Times New Roman" w:hAnsi="Times New Roman"/>
                <w:color w:val="000000"/>
                <w:lang w:eastAsia="es-DO"/>
              </w:rPr>
            </w:pPr>
            <w:r w:rsidRPr="007C1644">
              <w:rPr>
                <w:rFonts w:ascii="Times New Roman" w:hAnsi="Times New Roman"/>
                <w:color w:val="000000"/>
                <w:lang w:eastAsia="es-DO"/>
              </w:rPr>
              <w:t>Unidad</w:t>
            </w:r>
          </w:p>
        </w:tc>
        <w:tc>
          <w:tcPr>
            <w:tcW w:w="1956" w:type="dxa"/>
            <w:tcBorders>
              <w:top w:val="single" w:sz="4" w:space="0" w:color="auto"/>
              <w:left w:val="nil"/>
              <w:bottom w:val="double" w:sz="4" w:space="0" w:color="auto"/>
              <w:right w:val="single" w:sz="4" w:space="0" w:color="auto"/>
            </w:tcBorders>
            <w:shd w:val="clear" w:color="000000" w:fill="FFFFFF"/>
            <w:noWrap/>
            <w:vAlign w:val="center"/>
            <w:hideMark/>
          </w:tcPr>
          <w:p w14:paraId="663C2F93" w14:textId="7680D761" w:rsidR="0034624D" w:rsidRPr="007C1644" w:rsidRDefault="0034624D" w:rsidP="00313400">
            <w:pPr>
              <w:spacing w:after="0"/>
              <w:jc w:val="center"/>
              <w:rPr>
                <w:rFonts w:ascii="Times New Roman" w:hAnsi="Times New Roman"/>
                <w:color w:val="000000"/>
                <w:lang w:eastAsia="es-DO"/>
              </w:rPr>
            </w:pPr>
            <w:r w:rsidRPr="007C1644">
              <w:rPr>
                <w:rFonts w:ascii="Times New Roman" w:hAnsi="Times New Roman"/>
                <w:color w:val="000000"/>
                <w:lang w:eastAsia="es-DO"/>
              </w:rPr>
              <w:t>3,404,129</w:t>
            </w:r>
          </w:p>
        </w:tc>
      </w:tr>
      <w:tr w:rsidR="0034624D" w:rsidRPr="007C1644" w14:paraId="395CE0E4" w14:textId="77777777" w:rsidTr="009B0106">
        <w:trPr>
          <w:trHeight w:val="229"/>
          <w:jc w:val="center"/>
        </w:trPr>
        <w:tc>
          <w:tcPr>
            <w:tcW w:w="4737" w:type="dxa"/>
            <w:tcBorders>
              <w:top w:val="double" w:sz="4" w:space="0" w:color="auto"/>
              <w:left w:val="single" w:sz="4" w:space="0" w:color="auto"/>
              <w:bottom w:val="single" w:sz="4" w:space="0" w:color="auto"/>
              <w:right w:val="single" w:sz="4" w:space="0" w:color="auto"/>
            </w:tcBorders>
            <w:shd w:val="clear" w:color="000000" w:fill="FFFFFF"/>
            <w:noWrap/>
            <w:vAlign w:val="center"/>
            <w:hideMark/>
          </w:tcPr>
          <w:p w14:paraId="6B12C990" w14:textId="77777777" w:rsidR="0034624D" w:rsidRPr="007C1644" w:rsidRDefault="0034624D" w:rsidP="00313400">
            <w:pPr>
              <w:spacing w:after="0"/>
              <w:rPr>
                <w:rFonts w:ascii="Times New Roman" w:hAnsi="Times New Roman"/>
                <w:color w:val="000000"/>
                <w:lang w:eastAsia="es-DO"/>
              </w:rPr>
            </w:pPr>
            <w:r w:rsidRPr="007C1644">
              <w:rPr>
                <w:rFonts w:ascii="Times New Roman" w:hAnsi="Times New Roman"/>
                <w:color w:val="000000"/>
                <w:lang w:eastAsia="es-DO"/>
              </w:rPr>
              <w:t>Préstamos realizados Bancos</w:t>
            </w:r>
          </w:p>
        </w:tc>
        <w:tc>
          <w:tcPr>
            <w:tcW w:w="1405" w:type="dxa"/>
            <w:tcBorders>
              <w:top w:val="double" w:sz="4" w:space="0" w:color="auto"/>
              <w:left w:val="nil"/>
              <w:bottom w:val="single" w:sz="4" w:space="0" w:color="auto"/>
              <w:right w:val="single" w:sz="4" w:space="0" w:color="auto"/>
            </w:tcBorders>
            <w:shd w:val="clear" w:color="000000" w:fill="FFFFFF"/>
            <w:noWrap/>
            <w:vAlign w:val="center"/>
            <w:hideMark/>
          </w:tcPr>
          <w:p w14:paraId="4ACB7A6B" w14:textId="77777777" w:rsidR="0034624D" w:rsidRPr="007C1644" w:rsidRDefault="0034624D" w:rsidP="009B0106">
            <w:pPr>
              <w:spacing w:after="0"/>
              <w:jc w:val="center"/>
              <w:rPr>
                <w:rFonts w:ascii="Times New Roman" w:hAnsi="Times New Roman"/>
                <w:color w:val="000000"/>
                <w:lang w:eastAsia="es-DO"/>
              </w:rPr>
            </w:pPr>
            <w:r w:rsidRPr="007C1644">
              <w:rPr>
                <w:rFonts w:ascii="Times New Roman" w:hAnsi="Times New Roman"/>
                <w:color w:val="000000"/>
                <w:lang w:eastAsia="es-DO"/>
              </w:rPr>
              <w:t>RD$</w:t>
            </w:r>
          </w:p>
        </w:tc>
        <w:tc>
          <w:tcPr>
            <w:tcW w:w="1956" w:type="dxa"/>
            <w:tcBorders>
              <w:top w:val="double" w:sz="4" w:space="0" w:color="auto"/>
              <w:left w:val="nil"/>
              <w:bottom w:val="single" w:sz="4" w:space="0" w:color="auto"/>
              <w:right w:val="single" w:sz="4" w:space="0" w:color="auto"/>
            </w:tcBorders>
            <w:shd w:val="clear" w:color="000000" w:fill="FFFFFF"/>
            <w:noWrap/>
            <w:vAlign w:val="center"/>
            <w:hideMark/>
          </w:tcPr>
          <w:p w14:paraId="7B24444B" w14:textId="1ADFF140" w:rsidR="0034624D" w:rsidRPr="007C1644" w:rsidRDefault="0034624D" w:rsidP="00313400">
            <w:pPr>
              <w:spacing w:after="0"/>
              <w:jc w:val="right"/>
              <w:rPr>
                <w:rFonts w:ascii="Times New Roman" w:hAnsi="Times New Roman"/>
                <w:color w:val="000000"/>
                <w:lang w:eastAsia="es-DO"/>
              </w:rPr>
            </w:pPr>
            <w:r w:rsidRPr="007C1644">
              <w:rPr>
                <w:rFonts w:ascii="Times New Roman" w:hAnsi="Times New Roman"/>
                <w:color w:val="000000"/>
                <w:lang w:eastAsia="es-DO"/>
              </w:rPr>
              <w:t>6,546,620,040.00</w:t>
            </w:r>
          </w:p>
        </w:tc>
      </w:tr>
      <w:tr w:rsidR="0034624D" w:rsidRPr="007C1644" w14:paraId="57F96671" w14:textId="77777777" w:rsidTr="009B0106">
        <w:trPr>
          <w:trHeight w:val="269"/>
          <w:jc w:val="center"/>
        </w:trPr>
        <w:tc>
          <w:tcPr>
            <w:tcW w:w="47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2C572E" w14:textId="77777777" w:rsidR="0034624D" w:rsidRPr="007C1644" w:rsidRDefault="0034624D" w:rsidP="00313400">
            <w:pPr>
              <w:spacing w:after="0"/>
              <w:rPr>
                <w:rFonts w:ascii="Times New Roman" w:hAnsi="Times New Roman"/>
                <w:color w:val="000000"/>
                <w:lang w:eastAsia="es-DO"/>
              </w:rPr>
            </w:pPr>
            <w:r w:rsidRPr="007C1644">
              <w:rPr>
                <w:rFonts w:ascii="Times New Roman" w:hAnsi="Times New Roman"/>
                <w:color w:val="000000"/>
                <w:lang w:eastAsia="es-DO"/>
              </w:rPr>
              <w:t>Pago de Intereses</w:t>
            </w:r>
          </w:p>
        </w:tc>
        <w:tc>
          <w:tcPr>
            <w:tcW w:w="1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195D13" w14:textId="77777777" w:rsidR="0034624D" w:rsidRPr="007C1644" w:rsidRDefault="0034624D" w:rsidP="009B0106">
            <w:pPr>
              <w:spacing w:after="0"/>
              <w:jc w:val="center"/>
              <w:rPr>
                <w:rFonts w:ascii="Times New Roman" w:hAnsi="Times New Roman"/>
                <w:color w:val="000000"/>
                <w:lang w:eastAsia="es-DO"/>
              </w:rPr>
            </w:pPr>
            <w:r w:rsidRPr="007C1644">
              <w:rPr>
                <w:rFonts w:ascii="Times New Roman" w:hAnsi="Times New Roman"/>
                <w:color w:val="000000"/>
                <w:lang w:eastAsia="es-DO"/>
              </w:rPr>
              <w:t>RD$</w:t>
            </w:r>
          </w:p>
        </w:tc>
        <w:tc>
          <w:tcPr>
            <w:tcW w:w="19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1461D0" w14:textId="039C3718" w:rsidR="0034624D" w:rsidRPr="007C1644" w:rsidRDefault="0034624D" w:rsidP="00313400">
            <w:pPr>
              <w:spacing w:after="0"/>
              <w:jc w:val="right"/>
              <w:rPr>
                <w:rFonts w:ascii="Times New Roman" w:hAnsi="Times New Roman"/>
                <w:color w:val="000000"/>
                <w:lang w:eastAsia="es-DO"/>
              </w:rPr>
            </w:pPr>
            <w:r w:rsidRPr="007C1644">
              <w:rPr>
                <w:rFonts w:ascii="Times New Roman" w:hAnsi="Times New Roman"/>
                <w:color w:val="000000"/>
                <w:lang w:eastAsia="es-DO"/>
              </w:rPr>
              <w:t>168,486,478.46</w:t>
            </w:r>
          </w:p>
        </w:tc>
      </w:tr>
      <w:tr w:rsidR="0034624D" w:rsidRPr="007C1644" w14:paraId="591F9E46" w14:textId="77777777" w:rsidTr="009B0106">
        <w:trPr>
          <w:trHeight w:val="215"/>
          <w:jc w:val="center"/>
        </w:trPr>
        <w:tc>
          <w:tcPr>
            <w:tcW w:w="47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DBDCE3" w14:textId="77777777" w:rsidR="0034624D" w:rsidRPr="007C1644" w:rsidRDefault="0034624D" w:rsidP="00313400">
            <w:pPr>
              <w:spacing w:after="0"/>
              <w:rPr>
                <w:rFonts w:ascii="Times New Roman" w:hAnsi="Times New Roman"/>
                <w:color w:val="000000"/>
                <w:lang w:eastAsia="es-DO"/>
              </w:rPr>
            </w:pPr>
            <w:r w:rsidRPr="007C1644">
              <w:rPr>
                <w:rFonts w:ascii="Times New Roman" w:hAnsi="Times New Roman"/>
                <w:color w:val="000000"/>
                <w:lang w:eastAsia="es-DO"/>
              </w:rPr>
              <w:t>Pago de Almacenaje y Seguro</w:t>
            </w:r>
          </w:p>
        </w:tc>
        <w:tc>
          <w:tcPr>
            <w:tcW w:w="1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B5B028" w14:textId="77777777" w:rsidR="0034624D" w:rsidRPr="007C1644" w:rsidRDefault="0034624D" w:rsidP="009B0106">
            <w:pPr>
              <w:spacing w:after="0"/>
              <w:jc w:val="center"/>
              <w:rPr>
                <w:rFonts w:ascii="Times New Roman" w:hAnsi="Times New Roman"/>
                <w:color w:val="000000"/>
                <w:lang w:eastAsia="es-DO"/>
              </w:rPr>
            </w:pPr>
            <w:r w:rsidRPr="007C1644">
              <w:rPr>
                <w:rFonts w:ascii="Times New Roman" w:hAnsi="Times New Roman"/>
                <w:color w:val="000000"/>
                <w:lang w:eastAsia="es-DO"/>
              </w:rPr>
              <w:t>RD$</w:t>
            </w:r>
          </w:p>
        </w:tc>
        <w:tc>
          <w:tcPr>
            <w:tcW w:w="19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33B125" w14:textId="0D9B8593" w:rsidR="0034624D" w:rsidRPr="007C1644" w:rsidRDefault="0034624D" w:rsidP="00313400">
            <w:pPr>
              <w:spacing w:after="0"/>
              <w:jc w:val="right"/>
              <w:rPr>
                <w:rFonts w:ascii="Times New Roman" w:hAnsi="Times New Roman"/>
                <w:color w:val="000000"/>
                <w:lang w:eastAsia="es-DO"/>
              </w:rPr>
            </w:pPr>
            <w:r w:rsidRPr="007C1644">
              <w:rPr>
                <w:rFonts w:ascii="Times New Roman" w:hAnsi="Times New Roman"/>
                <w:color w:val="000000"/>
                <w:lang w:eastAsia="es-DO"/>
              </w:rPr>
              <w:t>60,802,452.00</w:t>
            </w:r>
          </w:p>
        </w:tc>
      </w:tr>
      <w:tr w:rsidR="0034624D" w:rsidRPr="007C1644" w14:paraId="672F33F5" w14:textId="77777777" w:rsidTr="009B0106">
        <w:trPr>
          <w:trHeight w:val="219"/>
          <w:jc w:val="center"/>
        </w:trPr>
        <w:tc>
          <w:tcPr>
            <w:tcW w:w="47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07C85C" w14:textId="77777777" w:rsidR="0034624D" w:rsidRPr="007C1644" w:rsidRDefault="0034624D" w:rsidP="00313400">
            <w:pPr>
              <w:spacing w:after="0"/>
              <w:rPr>
                <w:rFonts w:ascii="Times New Roman" w:hAnsi="Times New Roman"/>
                <w:color w:val="000000"/>
                <w:lang w:eastAsia="es-DO"/>
              </w:rPr>
            </w:pPr>
            <w:r w:rsidRPr="007C1644">
              <w:rPr>
                <w:rFonts w:ascii="Times New Roman" w:hAnsi="Times New Roman"/>
                <w:color w:val="000000"/>
                <w:lang w:eastAsia="es-DO"/>
              </w:rPr>
              <w:t>Proyección a Noviembre 2019</w:t>
            </w:r>
          </w:p>
        </w:tc>
        <w:tc>
          <w:tcPr>
            <w:tcW w:w="1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9E3E9A" w14:textId="77777777" w:rsidR="0034624D" w:rsidRPr="007C1644" w:rsidRDefault="0034624D" w:rsidP="009B0106">
            <w:pPr>
              <w:spacing w:after="0"/>
              <w:jc w:val="center"/>
              <w:rPr>
                <w:rFonts w:ascii="Times New Roman" w:hAnsi="Times New Roman"/>
                <w:color w:val="000000"/>
                <w:lang w:eastAsia="es-DO"/>
              </w:rPr>
            </w:pPr>
            <w:r w:rsidRPr="007C1644">
              <w:rPr>
                <w:rFonts w:ascii="Times New Roman" w:hAnsi="Times New Roman"/>
                <w:color w:val="000000"/>
                <w:lang w:eastAsia="es-DO"/>
              </w:rPr>
              <w:t>RD$</w:t>
            </w:r>
          </w:p>
        </w:tc>
        <w:tc>
          <w:tcPr>
            <w:tcW w:w="19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D450DE" w14:textId="5927AEBF" w:rsidR="0034624D" w:rsidRPr="007C1644" w:rsidRDefault="0034624D" w:rsidP="00313400">
            <w:pPr>
              <w:spacing w:after="0"/>
              <w:jc w:val="right"/>
              <w:rPr>
                <w:rFonts w:ascii="Times New Roman" w:hAnsi="Times New Roman"/>
                <w:color w:val="000000"/>
                <w:lang w:eastAsia="es-DO"/>
              </w:rPr>
            </w:pPr>
            <w:r w:rsidRPr="007C1644">
              <w:rPr>
                <w:rFonts w:ascii="Times New Roman" w:hAnsi="Times New Roman"/>
                <w:color w:val="000000"/>
                <w:lang w:eastAsia="es-DO"/>
              </w:rPr>
              <w:t>51,058,157.00</w:t>
            </w:r>
          </w:p>
        </w:tc>
      </w:tr>
      <w:tr w:rsidR="0034624D" w:rsidRPr="007C1644" w14:paraId="038AF7B0" w14:textId="77777777" w:rsidTr="009B0106">
        <w:trPr>
          <w:trHeight w:val="209"/>
          <w:jc w:val="center"/>
        </w:trPr>
        <w:tc>
          <w:tcPr>
            <w:tcW w:w="47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E919A5" w14:textId="77777777" w:rsidR="0034624D" w:rsidRPr="007C1644" w:rsidRDefault="0034624D" w:rsidP="00313400">
            <w:pPr>
              <w:spacing w:after="0"/>
              <w:rPr>
                <w:rFonts w:ascii="Times New Roman" w:hAnsi="Times New Roman"/>
                <w:color w:val="000000"/>
                <w:lang w:eastAsia="es-DO"/>
              </w:rPr>
            </w:pPr>
            <w:r w:rsidRPr="007C1644">
              <w:rPr>
                <w:rFonts w:ascii="Times New Roman" w:hAnsi="Times New Roman"/>
                <w:color w:val="000000"/>
                <w:lang w:eastAsia="es-DO"/>
              </w:rPr>
              <w:t>Proyección a Diciembre 2019</w:t>
            </w:r>
          </w:p>
        </w:tc>
        <w:tc>
          <w:tcPr>
            <w:tcW w:w="1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898809" w14:textId="77777777" w:rsidR="0034624D" w:rsidRPr="007C1644" w:rsidRDefault="0034624D" w:rsidP="009B0106">
            <w:pPr>
              <w:spacing w:after="0"/>
              <w:jc w:val="center"/>
              <w:rPr>
                <w:rFonts w:ascii="Times New Roman" w:hAnsi="Times New Roman"/>
                <w:color w:val="000000"/>
                <w:lang w:eastAsia="es-DO"/>
              </w:rPr>
            </w:pPr>
            <w:r w:rsidRPr="007C1644">
              <w:rPr>
                <w:rFonts w:ascii="Times New Roman" w:hAnsi="Times New Roman"/>
                <w:color w:val="000000"/>
                <w:lang w:eastAsia="es-DO"/>
              </w:rPr>
              <w:t>RD$</w:t>
            </w:r>
          </w:p>
        </w:tc>
        <w:tc>
          <w:tcPr>
            <w:tcW w:w="19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34AAD8" w14:textId="402CE50F" w:rsidR="0034624D" w:rsidRPr="007C1644" w:rsidRDefault="0034624D" w:rsidP="00313400">
            <w:pPr>
              <w:spacing w:after="0"/>
              <w:jc w:val="right"/>
              <w:rPr>
                <w:rFonts w:ascii="Times New Roman" w:hAnsi="Times New Roman"/>
                <w:color w:val="000000"/>
                <w:lang w:eastAsia="es-DO"/>
              </w:rPr>
            </w:pPr>
            <w:r w:rsidRPr="007C1644">
              <w:rPr>
                <w:rFonts w:ascii="Times New Roman" w:hAnsi="Times New Roman"/>
                <w:color w:val="000000"/>
                <w:lang w:eastAsia="es-DO"/>
              </w:rPr>
              <w:t>50,901,770.00</w:t>
            </w:r>
          </w:p>
        </w:tc>
      </w:tr>
      <w:tr w:rsidR="0034624D" w:rsidRPr="007C1644" w14:paraId="60E3005A" w14:textId="77777777" w:rsidTr="009B0106">
        <w:trPr>
          <w:trHeight w:val="87"/>
          <w:jc w:val="center"/>
        </w:trPr>
        <w:tc>
          <w:tcPr>
            <w:tcW w:w="47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4CDEE7" w14:textId="76B86CC4" w:rsidR="0034624D" w:rsidRPr="007C1644" w:rsidRDefault="0034624D" w:rsidP="00D22C07">
            <w:pPr>
              <w:spacing w:after="0"/>
              <w:jc w:val="both"/>
              <w:rPr>
                <w:rFonts w:ascii="Times New Roman" w:hAnsi="Times New Roman"/>
                <w:color w:val="000000"/>
                <w:lang w:eastAsia="es-DO"/>
              </w:rPr>
            </w:pPr>
            <w:r w:rsidRPr="007C1644">
              <w:rPr>
                <w:rFonts w:ascii="Times New Roman" w:hAnsi="Times New Roman"/>
                <w:color w:val="000000"/>
                <w:lang w:eastAsia="es-DO"/>
              </w:rPr>
              <w:t>Pago de Intereses, almacenaje y seguro correspondiente Pignorado 2018</w:t>
            </w:r>
          </w:p>
        </w:tc>
        <w:tc>
          <w:tcPr>
            <w:tcW w:w="14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0FEDBA" w14:textId="77777777" w:rsidR="0034624D" w:rsidRPr="007C1644" w:rsidRDefault="0034624D" w:rsidP="009B0106">
            <w:pPr>
              <w:spacing w:after="0"/>
              <w:jc w:val="center"/>
              <w:rPr>
                <w:rFonts w:ascii="Times New Roman" w:hAnsi="Times New Roman"/>
                <w:color w:val="000000"/>
                <w:lang w:eastAsia="es-DO"/>
              </w:rPr>
            </w:pPr>
            <w:r w:rsidRPr="007C1644">
              <w:rPr>
                <w:rFonts w:ascii="Times New Roman" w:hAnsi="Times New Roman"/>
                <w:color w:val="000000"/>
                <w:lang w:eastAsia="es-DO"/>
              </w:rPr>
              <w:t>RD$</w:t>
            </w:r>
          </w:p>
        </w:tc>
        <w:tc>
          <w:tcPr>
            <w:tcW w:w="19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1FE00D" w14:textId="115B61E5" w:rsidR="0034624D" w:rsidRPr="007C1644" w:rsidRDefault="0034624D" w:rsidP="00313400">
            <w:pPr>
              <w:spacing w:after="0"/>
              <w:jc w:val="right"/>
              <w:rPr>
                <w:rFonts w:ascii="Times New Roman" w:hAnsi="Times New Roman"/>
                <w:color w:val="000000"/>
                <w:lang w:eastAsia="es-DO"/>
              </w:rPr>
            </w:pPr>
            <w:r w:rsidRPr="007C1644">
              <w:rPr>
                <w:rFonts w:ascii="Times New Roman" w:hAnsi="Times New Roman"/>
                <w:color w:val="000000"/>
                <w:lang w:eastAsia="es-DO"/>
              </w:rPr>
              <w:t>59,306,884.00</w:t>
            </w:r>
          </w:p>
        </w:tc>
      </w:tr>
      <w:tr w:rsidR="00313400" w:rsidRPr="0034624D" w14:paraId="340C246D" w14:textId="77777777" w:rsidTr="00CA5792">
        <w:trPr>
          <w:trHeight w:val="78"/>
          <w:jc w:val="center"/>
        </w:trPr>
        <w:tc>
          <w:tcPr>
            <w:tcW w:w="6143"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14:paraId="0940CE73" w14:textId="4F1B0283" w:rsidR="00313400" w:rsidRPr="00CA5792" w:rsidRDefault="007C1644" w:rsidP="007C1644">
            <w:pPr>
              <w:spacing w:after="0"/>
              <w:jc w:val="right"/>
              <w:rPr>
                <w:rFonts w:ascii="Times New Roman" w:hAnsi="Times New Roman"/>
                <w:color w:val="FFFFFF" w:themeColor="background1"/>
                <w:lang w:eastAsia="es-DO"/>
              </w:rPr>
            </w:pPr>
            <w:r w:rsidRPr="00CA5792">
              <w:rPr>
                <w:rFonts w:ascii="Times New Roman" w:hAnsi="Times New Roman"/>
                <w:b/>
                <w:bCs/>
                <w:color w:val="FFFFFF" w:themeColor="background1"/>
                <w:lang w:eastAsia="es-DO"/>
              </w:rPr>
              <w:t>Total a p</w:t>
            </w:r>
            <w:r w:rsidR="00313400" w:rsidRPr="00CA5792">
              <w:rPr>
                <w:rFonts w:ascii="Times New Roman" w:hAnsi="Times New Roman"/>
                <w:b/>
                <w:bCs/>
                <w:color w:val="FFFFFF" w:themeColor="background1"/>
                <w:lang w:eastAsia="es-DO"/>
              </w:rPr>
              <w:t>agar en el 2019</w:t>
            </w:r>
          </w:p>
        </w:tc>
        <w:tc>
          <w:tcPr>
            <w:tcW w:w="1956" w:type="dxa"/>
            <w:tcBorders>
              <w:top w:val="single" w:sz="4" w:space="0" w:color="auto"/>
              <w:left w:val="nil"/>
              <w:bottom w:val="single" w:sz="4" w:space="0" w:color="auto"/>
              <w:right w:val="single" w:sz="4" w:space="0" w:color="auto"/>
            </w:tcBorders>
            <w:shd w:val="clear" w:color="auto" w:fill="808080" w:themeFill="background1" w:themeFillShade="80"/>
            <w:noWrap/>
            <w:vAlign w:val="center"/>
            <w:hideMark/>
          </w:tcPr>
          <w:p w14:paraId="163CC2DC" w14:textId="6AFB7CA1" w:rsidR="00313400" w:rsidRPr="00CA5792" w:rsidRDefault="00313400" w:rsidP="0034624D">
            <w:pPr>
              <w:spacing w:after="0"/>
              <w:jc w:val="center"/>
              <w:rPr>
                <w:rFonts w:ascii="Times New Roman" w:hAnsi="Times New Roman"/>
                <w:b/>
                <w:bCs/>
                <w:color w:val="FFFFFF" w:themeColor="background1"/>
                <w:lang w:eastAsia="es-DO"/>
              </w:rPr>
            </w:pPr>
            <w:r w:rsidRPr="00CA5792">
              <w:rPr>
                <w:rFonts w:ascii="Times New Roman" w:hAnsi="Times New Roman"/>
                <w:b/>
                <w:bCs/>
                <w:color w:val="FFFFFF" w:themeColor="background1"/>
                <w:lang w:eastAsia="es-DO"/>
              </w:rPr>
              <w:t>390,555,741.46</w:t>
            </w:r>
          </w:p>
        </w:tc>
      </w:tr>
    </w:tbl>
    <w:p w14:paraId="44B32736" w14:textId="77777777" w:rsidR="0034624D" w:rsidRDefault="0034624D" w:rsidP="0034624D">
      <w:pPr>
        <w:rPr>
          <w:rFonts w:ascii="Times New Roman" w:hAnsi="Times New Roman"/>
          <w:lang w:val="es-ES_tradnl"/>
        </w:rPr>
      </w:pPr>
    </w:p>
    <w:p w14:paraId="070917AF" w14:textId="2229074C" w:rsidR="0034624D" w:rsidRPr="00DC410F" w:rsidRDefault="0034624D" w:rsidP="001C6B1A">
      <w:pPr>
        <w:pStyle w:val="Prrafodelista"/>
        <w:numPr>
          <w:ilvl w:val="0"/>
          <w:numId w:val="9"/>
        </w:numPr>
        <w:spacing w:after="0"/>
        <w:ind w:left="567" w:hanging="567"/>
        <w:rPr>
          <w:rFonts w:ascii="Times New Roman" w:hAnsi="Times New Roman"/>
          <w:sz w:val="24"/>
          <w:lang w:val="es-ES_tradnl"/>
        </w:rPr>
      </w:pPr>
      <w:r w:rsidRPr="0098414F">
        <w:rPr>
          <w:rFonts w:ascii="Times New Roman" w:hAnsi="Times New Roman"/>
          <w:b/>
          <w:sz w:val="24"/>
          <w:lang w:val="es-ES_tradnl"/>
        </w:rPr>
        <w:t xml:space="preserve">Relación de </w:t>
      </w:r>
      <w:r>
        <w:rPr>
          <w:rFonts w:ascii="Times New Roman" w:hAnsi="Times New Roman"/>
          <w:b/>
          <w:sz w:val="24"/>
          <w:lang w:val="es-ES_tradnl"/>
        </w:rPr>
        <w:t>pagos rubro habichuela</w:t>
      </w:r>
    </w:p>
    <w:p w14:paraId="055026BF" w14:textId="77777777" w:rsidR="00DC410F" w:rsidRPr="0034624D" w:rsidRDefault="00DC410F" w:rsidP="00DC410F">
      <w:pPr>
        <w:pStyle w:val="Prrafodelista"/>
        <w:spacing w:after="0"/>
        <w:ind w:left="567"/>
        <w:rPr>
          <w:rFonts w:ascii="Times New Roman" w:hAnsi="Times New Roman"/>
          <w:sz w:val="24"/>
          <w:lang w:val="es-ES_tradnl"/>
        </w:rPr>
      </w:pPr>
    </w:p>
    <w:tbl>
      <w:tblPr>
        <w:tblW w:w="8037" w:type="dxa"/>
        <w:jc w:val="center"/>
        <w:tblCellMar>
          <w:left w:w="70" w:type="dxa"/>
          <w:right w:w="70" w:type="dxa"/>
        </w:tblCellMar>
        <w:tblLook w:val="04A0" w:firstRow="1" w:lastRow="0" w:firstColumn="1" w:lastColumn="0" w:noHBand="0" w:noVBand="1"/>
      </w:tblPr>
      <w:tblGrid>
        <w:gridCol w:w="4494"/>
        <w:gridCol w:w="1643"/>
        <w:gridCol w:w="1900"/>
      </w:tblGrid>
      <w:tr w:rsidR="0034624D" w:rsidRPr="007C1644" w14:paraId="6F94856D" w14:textId="77777777" w:rsidTr="007C1644">
        <w:trPr>
          <w:trHeight w:val="401"/>
          <w:jc w:val="center"/>
        </w:trPr>
        <w:tc>
          <w:tcPr>
            <w:tcW w:w="4494"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34D2A32E" w14:textId="77777777" w:rsidR="0034624D" w:rsidRPr="007C1644" w:rsidRDefault="0034624D" w:rsidP="0034624D">
            <w:pPr>
              <w:spacing w:after="0"/>
              <w:jc w:val="center"/>
              <w:rPr>
                <w:rFonts w:ascii="Times New Roman" w:hAnsi="Times New Roman"/>
                <w:b/>
                <w:bCs/>
                <w:color w:val="FFFFFF" w:themeColor="background1"/>
                <w:lang w:eastAsia="es-DO"/>
              </w:rPr>
            </w:pPr>
            <w:r w:rsidRPr="007C1644">
              <w:rPr>
                <w:rFonts w:ascii="Times New Roman" w:hAnsi="Times New Roman"/>
                <w:b/>
                <w:bCs/>
                <w:color w:val="FFFFFF" w:themeColor="background1"/>
                <w:lang w:eastAsia="es-DO"/>
              </w:rPr>
              <w:t>Partidas</w:t>
            </w:r>
          </w:p>
        </w:tc>
        <w:tc>
          <w:tcPr>
            <w:tcW w:w="1643"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0FCAE119" w14:textId="77777777" w:rsidR="0034624D" w:rsidRPr="007C1644" w:rsidRDefault="0034624D" w:rsidP="0034624D">
            <w:pPr>
              <w:spacing w:after="0"/>
              <w:jc w:val="center"/>
              <w:rPr>
                <w:rFonts w:ascii="Times New Roman" w:hAnsi="Times New Roman"/>
                <w:b/>
                <w:bCs/>
                <w:color w:val="FFFFFF" w:themeColor="background1"/>
                <w:lang w:eastAsia="es-DO"/>
              </w:rPr>
            </w:pPr>
            <w:r w:rsidRPr="007C1644">
              <w:rPr>
                <w:rFonts w:ascii="Times New Roman" w:hAnsi="Times New Roman"/>
                <w:b/>
                <w:bCs/>
                <w:color w:val="FFFFFF" w:themeColor="background1"/>
                <w:lang w:eastAsia="es-DO"/>
              </w:rPr>
              <w:t>Unidad de Medida</w:t>
            </w:r>
          </w:p>
        </w:tc>
        <w:tc>
          <w:tcPr>
            <w:tcW w:w="1900"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752A3733" w14:textId="77777777" w:rsidR="0034624D" w:rsidRPr="007C1644" w:rsidRDefault="0034624D" w:rsidP="0034624D">
            <w:pPr>
              <w:spacing w:after="0"/>
              <w:jc w:val="center"/>
              <w:rPr>
                <w:rFonts w:ascii="Times New Roman" w:hAnsi="Times New Roman"/>
                <w:b/>
                <w:bCs/>
                <w:color w:val="FFFFFF" w:themeColor="background1"/>
                <w:lang w:eastAsia="es-DO"/>
              </w:rPr>
            </w:pPr>
            <w:r w:rsidRPr="007C1644">
              <w:rPr>
                <w:rFonts w:ascii="Times New Roman" w:hAnsi="Times New Roman"/>
                <w:b/>
                <w:bCs/>
                <w:color w:val="FFFFFF" w:themeColor="background1"/>
                <w:lang w:eastAsia="es-DO"/>
              </w:rPr>
              <w:t>Cantidad</w:t>
            </w:r>
          </w:p>
        </w:tc>
      </w:tr>
      <w:tr w:rsidR="0034624D" w:rsidRPr="007C1644" w14:paraId="398E12BD" w14:textId="77777777" w:rsidTr="007C1644">
        <w:trPr>
          <w:trHeight w:val="386"/>
          <w:jc w:val="center"/>
        </w:trPr>
        <w:tc>
          <w:tcPr>
            <w:tcW w:w="449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FCFA800" w14:textId="6B7A057D" w:rsidR="0034624D" w:rsidRPr="009B0106" w:rsidRDefault="002B2049" w:rsidP="0034624D">
            <w:pPr>
              <w:spacing w:after="0"/>
              <w:rPr>
                <w:rFonts w:ascii="Times New Roman" w:hAnsi="Times New Roman"/>
                <w:color w:val="000000"/>
                <w:lang w:eastAsia="es-DO"/>
              </w:rPr>
            </w:pPr>
            <w:r w:rsidRPr="009B0106">
              <w:rPr>
                <w:rFonts w:ascii="Times New Roman" w:hAnsi="Times New Roman"/>
                <w:color w:val="000000"/>
                <w:lang w:eastAsia="es-DO"/>
              </w:rPr>
              <w:t>Expedientes r</w:t>
            </w:r>
            <w:r w:rsidR="0034624D" w:rsidRPr="009B0106">
              <w:rPr>
                <w:rFonts w:ascii="Times New Roman" w:hAnsi="Times New Roman"/>
                <w:color w:val="000000"/>
                <w:lang w:eastAsia="es-DO"/>
              </w:rPr>
              <w:t>ecibidos Habichuelas</w:t>
            </w:r>
          </w:p>
        </w:tc>
        <w:tc>
          <w:tcPr>
            <w:tcW w:w="1643" w:type="dxa"/>
            <w:tcBorders>
              <w:top w:val="single" w:sz="4" w:space="0" w:color="auto"/>
              <w:left w:val="nil"/>
              <w:bottom w:val="single" w:sz="4" w:space="0" w:color="auto"/>
              <w:right w:val="single" w:sz="4" w:space="0" w:color="auto"/>
            </w:tcBorders>
            <w:shd w:val="clear" w:color="000000" w:fill="FFFFFF"/>
            <w:noWrap/>
            <w:vAlign w:val="bottom"/>
            <w:hideMark/>
          </w:tcPr>
          <w:p w14:paraId="4C6CD626" w14:textId="77777777" w:rsidR="0034624D" w:rsidRPr="009B0106" w:rsidRDefault="0034624D" w:rsidP="002B2049">
            <w:pPr>
              <w:spacing w:after="0"/>
              <w:jc w:val="center"/>
              <w:rPr>
                <w:rFonts w:ascii="Times New Roman" w:hAnsi="Times New Roman"/>
                <w:color w:val="000000"/>
                <w:lang w:eastAsia="es-DO"/>
              </w:rPr>
            </w:pPr>
            <w:r w:rsidRPr="009B0106">
              <w:rPr>
                <w:rFonts w:ascii="Times New Roman" w:hAnsi="Times New Roman"/>
                <w:color w:val="000000"/>
                <w:lang w:eastAsia="es-DO"/>
              </w:rPr>
              <w:t>Unidad</w:t>
            </w:r>
          </w:p>
        </w:tc>
        <w:tc>
          <w:tcPr>
            <w:tcW w:w="1900" w:type="dxa"/>
            <w:tcBorders>
              <w:top w:val="single" w:sz="4" w:space="0" w:color="auto"/>
              <w:left w:val="nil"/>
              <w:bottom w:val="single" w:sz="4" w:space="0" w:color="auto"/>
              <w:right w:val="single" w:sz="4" w:space="0" w:color="auto"/>
            </w:tcBorders>
            <w:shd w:val="clear" w:color="000000" w:fill="FFFFFF"/>
            <w:noWrap/>
            <w:vAlign w:val="bottom"/>
            <w:hideMark/>
          </w:tcPr>
          <w:p w14:paraId="06605AF5" w14:textId="77777777" w:rsidR="0034624D" w:rsidRPr="009B0106" w:rsidRDefault="0034624D" w:rsidP="002B2049">
            <w:pPr>
              <w:spacing w:after="0"/>
              <w:jc w:val="right"/>
              <w:rPr>
                <w:rFonts w:ascii="Times New Roman" w:hAnsi="Times New Roman"/>
                <w:color w:val="000000"/>
                <w:lang w:eastAsia="es-DO"/>
              </w:rPr>
            </w:pPr>
            <w:r w:rsidRPr="009B0106">
              <w:rPr>
                <w:rFonts w:ascii="Times New Roman" w:hAnsi="Times New Roman"/>
                <w:color w:val="000000"/>
                <w:lang w:eastAsia="es-DO"/>
              </w:rPr>
              <w:t>17</w:t>
            </w:r>
          </w:p>
        </w:tc>
      </w:tr>
      <w:tr w:rsidR="0034624D" w:rsidRPr="007C1644" w14:paraId="4201AE26" w14:textId="77777777" w:rsidTr="007C1644">
        <w:trPr>
          <w:trHeight w:val="386"/>
          <w:jc w:val="center"/>
        </w:trPr>
        <w:tc>
          <w:tcPr>
            <w:tcW w:w="4494" w:type="dxa"/>
            <w:tcBorders>
              <w:top w:val="single" w:sz="4" w:space="0" w:color="auto"/>
              <w:left w:val="single" w:sz="4" w:space="0" w:color="auto"/>
              <w:bottom w:val="double" w:sz="4" w:space="0" w:color="auto"/>
              <w:right w:val="single" w:sz="4" w:space="0" w:color="auto"/>
            </w:tcBorders>
            <w:shd w:val="clear" w:color="000000" w:fill="FFFFFF"/>
            <w:noWrap/>
            <w:vAlign w:val="bottom"/>
            <w:hideMark/>
          </w:tcPr>
          <w:p w14:paraId="1A71BD2C" w14:textId="77777777" w:rsidR="0034624D" w:rsidRPr="009B0106" w:rsidRDefault="0034624D" w:rsidP="0034624D">
            <w:pPr>
              <w:spacing w:after="0"/>
              <w:rPr>
                <w:rFonts w:ascii="Times New Roman" w:hAnsi="Times New Roman"/>
                <w:color w:val="000000"/>
                <w:lang w:eastAsia="es-DO"/>
              </w:rPr>
            </w:pPr>
            <w:r w:rsidRPr="009B0106">
              <w:rPr>
                <w:rFonts w:ascii="Times New Roman" w:hAnsi="Times New Roman"/>
                <w:color w:val="000000"/>
                <w:lang w:eastAsia="es-DO"/>
              </w:rPr>
              <w:t>Quintales de Habichuelas Pignoradas</w:t>
            </w:r>
          </w:p>
        </w:tc>
        <w:tc>
          <w:tcPr>
            <w:tcW w:w="1643" w:type="dxa"/>
            <w:tcBorders>
              <w:top w:val="single" w:sz="4" w:space="0" w:color="auto"/>
              <w:left w:val="nil"/>
              <w:bottom w:val="double" w:sz="4" w:space="0" w:color="auto"/>
              <w:right w:val="single" w:sz="4" w:space="0" w:color="auto"/>
            </w:tcBorders>
            <w:shd w:val="clear" w:color="000000" w:fill="FFFFFF"/>
            <w:noWrap/>
            <w:vAlign w:val="bottom"/>
            <w:hideMark/>
          </w:tcPr>
          <w:p w14:paraId="1872F2AA" w14:textId="77777777" w:rsidR="0034624D" w:rsidRPr="009B0106" w:rsidRDefault="0034624D" w:rsidP="002B2049">
            <w:pPr>
              <w:spacing w:after="0"/>
              <w:jc w:val="center"/>
              <w:rPr>
                <w:rFonts w:ascii="Times New Roman" w:hAnsi="Times New Roman"/>
                <w:color w:val="000000"/>
                <w:lang w:eastAsia="es-DO"/>
              </w:rPr>
            </w:pPr>
            <w:r w:rsidRPr="009B0106">
              <w:rPr>
                <w:rFonts w:ascii="Times New Roman" w:hAnsi="Times New Roman"/>
                <w:color w:val="000000"/>
                <w:lang w:eastAsia="es-DO"/>
              </w:rPr>
              <w:t>Unidad</w:t>
            </w:r>
          </w:p>
        </w:tc>
        <w:tc>
          <w:tcPr>
            <w:tcW w:w="1900" w:type="dxa"/>
            <w:tcBorders>
              <w:top w:val="single" w:sz="4" w:space="0" w:color="auto"/>
              <w:left w:val="nil"/>
              <w:bottom w:val="double" w:sz="4" w:space="0" w:color="auto"/>
              <w:right w:val="single" w:sz="4" w:space="0" w:color="auto"/>
            </w:tcBorders>
            <w:shd w:val="clear" w:color="000000" w:fill="FFFFFF"/>
            <w:noWrap/>
            <w:vAlign w:val="bottom"/>
            <w:hideMark/>
          </w:tcPr>
          <w:p w14:paraId="0CD427A5" w14:textId="1956D04B" w:rsidR="0034624D" w:rsidRPr="009B0106" w:rsidRDefault="0034624D" w:rsidP="002B2049">
            <w:pPr>
              <w:spacing w:after="0"/>
              <w:jc w:val="right"/>
              <w:rPr>
                <w:rFonts w:ascii="Times New Roman" w:hAnsi="Times New Roman"/>
                <w:color w:val="000000"/>
                <w:lang w:eastAsia="es-DO"/>
              </w:rPr>
            </w:pPr>
            <w:r w:rsidRPr="009B0106">
              <w:rPr>
                <w:rFonts w:ascii="Times New Roman" w:hAnsi="Times New Roman"/>
                <w:color w:val="000000"/>
                <w:lang w:eastAsia="es-DO"/>
              </w:rPr>
              <w:t>58,394</w:t>
            </w:r>
          </w:p>
        </w:tc>
      </w:tr>
      <w:tr w:rsidR="0034624D" w:rsidRPr="007C1644" w14:paraId="7508C40F" w14:textId="77777777" w:rsidTr="007C1644">
        <w:trPr>
          <w:trHeight w:val="386"/>
          <w:jc w:val="center"/>
        </w:trPr>
        <w:tc>
          <w:tcPr>
            <w:tcW w:w="4494" w:type="dxa"/>
            <w:tcBorders>
              <w:top w:val="double" w:sz="4" w:space="0" w:color="auto"/>
              <w:left w:val="single" w:sz="4" w:space="0" w:color="auto"/>
              <w:bottom w:val="single" w:sz="4" w:space="0" w:color="auto"/>
              <w:right w:val="single" w:sz="4" w:space="0" w:color="auto"/>
            </w:tcBorders>
            <w:shd w:val="clear" w:color="000000" w:fill="FFFFFF"/>
            <w:noWrap/>
            <w:vAlign w:val="bottom"/>
            <w:hideMark/>
          </w:tcPr>
          <w:p w14:paraId="5582AD0A" w14:textId="77777777" w:rsidR="0034624D" w:rsidRPr="009B0106" w:rsidRDefault="0034624D" w:rsidP="0034624D">
            <w:pPr>
              <w:spacing w:after="0"/>
              <w:rPr>
                <w:rFonts w:ascii="Times New Roman" w:hAnsi="Times New Roman"/>
                <w:color w:val="000000"/>
                <w:lang w:eastAsia="es-DO"/>
              </w:rPr>
            </w:pPr>
            <w:r w:rsidRPr="009B0106">
              <w:rPr>
                <w:rFonts w:ascii="Times New Roman" w:hAnsi="Times New Roman"/>
                <w:color w:val="000000"/>
                <w:lang w:eastAsia="es-DO"/>
              </w:rPr>
              <w:t>Préstamos realizados Bancos</w:t>
            </w:r>
          </w:p>
        </w:tc>
        <w:tc>
          <w:tcPr>
            <w:tcW w:w="1643" w:type="dxa"/>
            <w:tcBorders>
              <w:top w:val="double" w:sz="4" w:space="0" w:color="auto"/>
              <w:left w:val="nil"/>
              <w:bottom w:val="single" w:sz="4" w:space="0" w:color="auto"/>
              <w:right w:val="single" w:sz="4" w:space="0" w:color="auto"/>
            </w:tcBorders>
            <w:shd w:val="clear" w:color="000000" w:fill="FFFFFF"/>
            <w:noWrap/>
            <w:vAlign w:val="bottom"/>
            <w:hideMark/>
          </w:tcPr>
          <w:p w14:paraId="11352C2E" w14:textId="77777777" w:rsidR="0034624D" w:rsidRPr="009B0106" w:rsidRDefault="0034624D" w:rsidP="002B2049">
            <w:pPr>
              <w:spacing w:after="0"/>
              <w:jc w:val="center"/>
              <w:rPr>
                <w:rFonts w:ascii="Times New Roman" w:hAnsi="Times New Roman"/>
                <w:color w:val="000000"/>
                <w:lang w:eastAsia="es-DO"/>
              </w:rPr>
            </w:pPr>
            <w:r w:rsidRPr="009B0106">
              <w:rPr>
                <w:rFonts w:ascii="Times New Roman" w:hAnsi="Times New Roman"/>
                <w:color w:val="000000"/>
                <w:lang w:eastAsia="es-DO"/>
              </w:rPr>
              <w:t>RD$</w:t>
            </w:r>
          </w:p>
        </w:tc>
        <w:tc>
          <w:tcPr>
            <w:tcW w:w="1900" w:type="dxa"/>
            <w:tcBorders>
              <w:top w:val="double" w:sz="4" w:space="0" w:color="auto"/>
              <w:left w:val="nil"/>
              <w:bottom w:val="single" w:sz="4" w:space="0" w:color="auto"/>
              <w:right w:val="single" w:sz="4" w:space="0" w:color="auto"/>
            </w:tcBorders>
            <w:shd w:val="clear" w:color="000000" w:fill="FFFFFF"/>
            <w:noWrap/>
            <w:vAlign w:val="bottom"/>
            <w:hideMark/>
          </w:tcPr>
          <w:p w14:paraId="3FECA87E" w14:textId="2C6DB3CE" w:rsidR="0034624D" w:rsidRPr="009B0106" w:rsidRDefault="0034624D" w:rsidP="002B2049">
            <w:pPr>
              <w:spacing w:after="0"/>
              <w:jc w:val="right"/>
              <w:rPr>
                <w:rFonts w:ascii="Times New Roman" w:hAnsi="Times New Roman"/>
                <w:color w:val="000000"/>
                <w:lang w:eastAsia="es-DO"/>
              </w:rPr>
            </w:pPr>
            <w:r w:rsidRPr="009B0106">
              <w:rPr>
                <w:rFonts w:ascii="Times New Roman" w:hAnsi="Times New Roman"/>
                <w:color w:val="000000"/>
                <w:lang w:eastAsia="es-DO"/>
              </w:rPr>
              <w:t>163,586,800.00</w:t>
            </w:r>
          </w:p>
        </w:tc>
      </w:tr>
      <w:tr w:rsidR="0034624D" w:rsidRPr="007C1644" w14:paraId="551818F5" w14:textId="77777777" w:rsidTr="009B0106">
        <w:trPr>
          <w:trHeight w:val="263"/>
          <w:jc w:val="center"/>
        </w:trPr>
        <w:tc>
          <w:tcPr>
            <w:tcW w:w="449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566EEE" w14:textId="77777777" w:rsidR="0034624D" w:rsidRPr="009B0106" w:rsidRDefault="0034624D" w:rsidP="0034624D">
            <w:pPr>
              <w:spacing w:after="0"/>
              <w:rPr>
                <w:rFonts w:ascii="Times New Roman" w:hAnsi="Times New Roman"/>
                <w:color w:val="000000"/>
                <w:lang w:eastAsia="es-DO"/>
              </w:rPr>
            </w:pPr>
            <w:r w:rsidRPr="009B0106">
              <w:rPr>
                <w:rFonts w:ascii="Times New Roman" w:hAnsi="Times New Roman"/>
                <w:color w:val="000000"/>
                <w:lang w:eastAsia="es-DO"/>
              </w:rPr>
              <w:t>Pago de Intereses</w:t>
            </w:r>
          </w:p>
        </w:tc>
        <w:tc>
          <w:tcPr>
            <w:tcW w:w="1643" w:type="dxa"/>
            <w:tcBorders>
              <w:top w:val="single" w:sz="4" w:space="0" w:color="auto"/>
              <w:left w:val="nil"/>
              <w:bottom w:val="single" w:sz="4" w:space="0" w:color="auto"/>
              <w:right w:val="single" w:sz="4" w:space="0" w:color="auto"/>
            </w:tcBorders>
            <w:shd w:val="clear" w:color="000000" w:fill="FFFFFF"/>
            <w:noWrap/>
            <w:vAlign w:val="bottom"/>
            <w:hideMark/>
          </w:tcPr>
          <w:p w14:paraId="4AEA877D" w14:textId="77777777" w:rsidR="0034624D" w:rsidRPr="009B0106" w:rsidRDefault="0034624D" w:rsidP="002B2049">
            <w:pPr>
              <w:spacing w:after="0"/>
              <w:jc w:val="center"/>
              <w:rPr>
                <w:rFonts w:ascii="Times New Roman" w:hAnsi="Times New Roman"/>
                <w:color w:val="000000"/>
                <w:lang w:eastAsia="es-DO"/>
              </w:rPr>
            </w:pPr>
            <w:r w:rsidRPr="009B0106">
              <w:rPr>
                <w:rFonts w:ascii="Times New Roman" w:hAnsi="Times New Roman"/>
                <w:color w:val="000000"/>
                <w:lang w:eastAsia="es-DO"/>
              </w:rPr>
              <w:t>RD$</w:t>
            </w:r>
          </w:p>
        </w:tc>
        <w:tc>
          <w:tcPr>
            <w:tcW w:w="1900" w:type="dxa"/>
            <w:tcBorders>
              <w:top w:val="single" w:sz="4" w:space="0" w:color="auto"/>
              <w:left w:val="nil"/>
              <w:bottom w:val="single" w:sz="4" w:space="0" w:color="auto"/>
              <w:right w:val="single" w:sz="4" w:space="0" w:color="auto"/>
            </w:tcBorders>
            <w:shd w:val="clear" w:color="000000" w:fill="FFFFFF"/>
            <w:noWrap/>
            <w:vAlign w:val="bottom"/>
            <w:hideMark/>
          </w:tcPr>
          <w:p w14:paraId="225C96F6" w14:textId="602EA939" w:rsidR="0034624D" w:rsidRPr="009B0106" w:rsidRDefault="0034624D" w:rsidP="002B2049">
            <w:pPr>
              <w:spacing w:after="0"/>
              <w:jc w:val="right"/>
              <w:rPr>
                <w:rFonts w:ascii="Times New Roman" w:hAnsi="Times New Roman"/>
                <w:color w:val="000000"/>
                <w:lang w:eastAsia="es-DO"/>
              </w:rPr>
            </w:pPr>
            <w:r w:rsidRPr="009B0106">
              <w:rPr>
                <w:rFonts w:ascii="Times New Roman" w:hAnsi="Times New Roman"/>
                <w:color w:val="000000"/>
                <w:lang w:eastAsia="es-DO"/>
              </w:rPr>
              <w:t>5,434,115.79</w:t>
            </w:r>
          </w:p>
        </w:tc>
      </w:tr>
      <w:tr w:rsidR="0034624D" w:rsidRPr="007C1644" w14:paraId="4CC2E7DB" w14:textId="77777777" w:rsidTr="007C1644">
        <w:trPr>
          <w:trHeight w:val="386"/>
          <w:jc w:val="center"/>
        </w:trPr>
        <w:tc>
          <w:tcPr>
            <w:tcW w:w="449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8254AF" w14:textId="77777777" w:rsidR="0034624D" w:rsidRPr="009B0106" w:rsidRDefault="0034624D" w:rsidP="0034624D">
            <w:pPr>
              <w:spacing w:after="0"/>
              <w:rPr>
                <w:rFonts w:ascii="Times New Roman" w:hAnsi="Times New Roman"/>
                <w:color w:val="000000"/>
                <w:lang w:eastAsia="es-DO"/>
              </w:rPr>
            </w:pPr>
            <w:r w:rsidRPr="009B0106">
              <w:rPr>
                <w:rFonts w:ascii="Times New Roman" w:hAnsi="Times New Roman"/>
                <w:color w:val="000000"/>
                <w:lang w:eastAsia="es-DO"/>
              </w:rPr>
              <w:t>Pago de Almacenaje y Seguro</w:t>
            </w:r>
          </w:p>
        </w:tc>
        <w:tc>
          <w:tcPr>
            <w:tcW w:w="1643" w:type="dxa"/>
            <w:tcBorders>
              <w:top w:val="single" w:sz="4" w:space="0" w:color="auto"/>
              <w:left w:val="nil"/>
              <w:bottom w:val="single" w:sz="4" w:space="0" w:color="auto"/>
              <w:right w:val="single" w:sz="4" w:space="0" w:color="auto"/>
            </w:tcBorders>
            <w:shd w:val="clear" w:color="000000" w:fill="FFFFFF"/>
            <w:noWrap/>
            <w:vAlign w:val="bottom"/>
            <w:hideMark/>
          </w:tcPr>
          <w:p w14:paraId="5AF783B5" w14:textId="77777777" w:rsidR="0034624D" w:rsidRPr="009B0106" w:rsidRDefault="0034624D" w:rsidP="002B2049">
            <w:pPr>
              <w:spacing w:after="0"/>
              <w:jc w:val="center"/>
              <w:rPr>
                <w:rFonts w:ascii="Times New Roman" w:hAnsi="Times New Roman"/>
                <w:color w:val="000000"/>
                <w:lang w:eastAsia="es-DO"/>
              </w:rPr>
            </w:pPr>
            <w:r w:rsidRPr="009B0106">
              <w:rPr>
                <w:rFonts w:ascii="Times New Roman" w:hAnsi="Times New Roman"/>
                <w:color w:val="000000"/>
                <w:lang w:eastAsia="es-DO"/>
              </w:rPr>
              <w:t>RD$</w:t>
            </w:r>
          </w:p>
        </w:tc>
        <w:tc>
          <w:tcPr>
            <w:tcW w:w="1900" w:type="dxa"/>
            <w:tcBorders>
              <w:top w:val="single" w:sz="4" w:space="0" w:color="auto"/>
              <w:left w:val="nil"/>
              <w:bottom w:val="single" w:sz="4" w:space="0" w:color="auto"/>
              <w:right w:val="single" w:sz="4" w:space="0" w:color="auto"/>
            </w:tcBorders>
            <w:shd w:val="clear" w:color="000000" w:fill="FFFFFF"/>
            <w:noWrap/>
            <w:vAlign w:val="bottom"/>
            <w:hideMark/>
          </w:tcPr>
          <w:p w14:paraId="64849131" w14:textId="2CF5F3BB" w:rsidR="0034624D" w:rsidRPr="009B0106" w:rsidRDefault="0034624D" w:rsidP="002B2049">
            <w:pPr>
              <w:spacing w:after="0"/>
              <w:jc w:val="right"/>
              <w:rPr>
                <w:rFonts w:ascii="Times New Roman" w:hAnsi="Times New Roman"/>
                <w:color w:val="000000"/>
                <w:lang w:eastAsia="es-DO"/>
              </w:rPr>
            </w:pPr>
            <w:r w:rsidRPr="009B0106">
              <w:rPr>
                <w:rFonts w:ascii="Times New Roman" w:hAnsi="Times New Roman"/>
                <w:color w:val="000000"/>
                <w:lang w:eastAsia="es-DO"/>
              </w:rPr>
              <w:t>1,227,176.48</w:t>
            </w:r>
          </w:p>
        </w:tc>
      </w:tr>
      <w:tr w:rsidR="0034624D" w:rsidRPr="007C1644" w14:paraId="68C788F9" w14:textId="77777777" w:rsidTr="007C1644">
        <w:trPr>
          <w:trHeight w:val="386"/>
          <w:jc w:val="center"/>
        </w:trPr>
        <w:tc>
          <w:tcPr>
            <w:tcW w:w="449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459B57" w14:textId="77777777" w:rsidR="0034624D" w:rsidRPr="009B0106" w:rsidRDefault="0034624D" w:rsidP="0034624D">
            <w:pPr>
              <w:spacing w:after="0"/>
              <w:rPr>
                <w:rFonts w:ascii="Times New Roman" w:hAnsi="Times New Roman"/>
                <w:color w:val="000000"/>
                <w:lang w:eastAsia="es-DO"/>
              </w:rPr>
            </w:pPr>
            <w:r w:rsidRPr="009B0106">
              <w:rPr>
                <w:rFonts w:ascii="Times New Roman" w:hAnsi="Times New Roman"/>
                <w:color w:val="000000"/>
                <w:lang w:eastAsia="es-DO"/>
              </w:rPr>
              <w:t>Proyección a Noviembre 2019</w:t>
            </w:r>
          </w:p>
        </w:tc>
        <w:tc>
          <w:tcPr>
            <w:tcW w:w="1643" w:type="dxa"/>
            <w:tcBorders>
              <w:top w:val="single" w:sz="4" w:space="0" w:color="auto"/>
              <w:left w:val="nil"/>
              <w:bottom w:val="single" w:sz="4" w:space="0" w:color="auto"/>
              <w:right w:val="single" w:sz="4" w:space="0" w:color="auto"/>
            </w:tcBorders>
            <w:shd w:val="clear" w:color="000000" w:fill="FFFFFF"/>
            <w:noWrap/>
            <w:vAlign w:val="bottom"/>
            <w:hideMark/>
          </w:tcPr>
          <w:p w14:paraId="45655031" w14:textId="77777777" w:rsidR="0034624D" w:rsidRPr="009B0106" w:rsidRDefault="0034624D" w:rsidP="002B2049">
            <w:pPr>
              <w:spacing w:after="0"/>
              <w:jc w:val="center"/>
              <w:rPr>
                <w:rFonts w:ascii="Times New Roman" w:hAnsi="Times New Roman"/>
                <w:color w:val="000000"/>
                <w:lang w:eastAsia="es-DO"/>
              </w:rPr>
            </w:pPr>
            <w:r w:rsidRPr="009B0106">
              <w:rPr>
                <w:rFonts w:ascii="Times New Roman" w:hAnsi="Times New Roman"/>
                <w:color w:val="000000"/>
                <w:lang w:eastAsia="es-DO"/>
              </w:rPr>
              <w:t>RD$</w:t>
            </w:r>
          </w:p>
        </w:tc>
        <w:tc>
          <w:tcPr>
            <w:tcW w:w="1900" w:type="dxa"/>
            <w:tcBorders>
              <w:top w:val="single" w:sz="4" w:space="0" w:color="auto"/>
              <w:left w:val="nil"/>
              <w:bottom w:val="single" w:sz="4" w:space="0" w:color="auto"/>
              <w:right w:val="single" w:sz="4" w:space="0" w:color="auto"/>
            </w:tcBorders>
            <w:shd w:val="clear" w:color="000000" w:fill="FFFFFF"/>
            <w:noWrap/>
            <w:vAlign w:val="bottom"/>
            <w:hideMark/>
          </w:tcPr>
          <w:p w14:paraId="5AC23DBE" w14:textId="379217C2" w:rsidR="0034624D" w:rsidRPr="009B0106" w:rsidRDefault="0034624D" w:rsidP="002B2049">
            <w:pPr>
              <w:spacing w:after="0"/>
              <w:jc w:val="right"/>
              <w:rPr>
                <w:rFonts w:ascii="Times New Roman" w:hAnsi="Times New Roman"/>
                <w:color w:val="000000"/>
                <w:lang w:eastAsia="es-DO"/>
              </w:rPr>
            </w:pPr>
            <w:r w:rsidRPr="009B0106">
              <w:rPr>
                <w:rFonts w:ascii="Times New Roman" w:hAnsi="Times New Roman"/>
                <w:color w:val="000000"/>
                <w:lang w:eastAsia="es-DO"/>
              </w:rPr>
              <w:t>-</w:t>
            </w:r>
          </w:p>
        </w:tc>
      </w:tr>
      <w:tr w:rsidR="0034624D" w:rsidRPr="007C1644" w14:paraId="181992C7" w14:textId="77777777" w:rsidTr="007C1644">
        <w:trPr>
          <w:trHeight w:val="401"/>
          <w:jc w:val="center"/>
        </w:trPr>
        <w:tc>
          <w:tcPr>
            <w:tcW w:w="449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9DEA853" w14:textId="77777777" w:rsidR="0034624D" w:rsidRPr="009B0106" w:rsidRDefault="0034624D" w:rsidP="0034624D">
            <w:pPr>
              <w:spacing w:after="0"/>
              <w:rPr>
                <w:rFonts w:ascii="Times New Roman" w:hAnsi="Times New Roman"/>
                <w:color w:val="000000"/>
                <w:lang w:eastAsia="es-DO"/>
              </w:rPr>
            </w:pPr>
            <w:r w:rsidRPr="009B0106">
              <w:rPr>
                <w:rFonts w:ascii="Times New Roman" w:hAnsi="Times New Roman"/>
                <w:color w:val="000000"/>
                <w:lang w:eastAsia="es-DO"/>
              </w:rPr>
              <w:t>Proyección a Diciembre 2019</w:t>
            </w:r>
          </w:p>
        </w:tc>
        <w:tc>
          <w:tcPr>
            <w:tcW w:w="1643" w:type="dxa"/>
            <w:tcBorders>
              <w:top w:val="single" w:sz="4" w:space="0" w:color="auto"/>
              <w:left w:val="nil"/>
              <w:bottom w:val="single" w:sz="4" w:space="0" w:color="auto"/>
              <w:right w:val="single" w:sz="4" w:space="0" w:color="auto"/>
            </w:tcBorders>
            <w:shd w:val="clear" w:color="000000" w:fill="FFFFFF"/>
            <w:noWrap/>
            <w:vAlign w:val="bottom"/>
            <w:hideMark/>
          </w:tcPr>
          <w:p w14:paraId="7DEC5942" w14:textId="77777777" w:rsidR="0034624D" w:rsidRPr="009B0106" w:rsidRDefault="0034624D" w:rsidP="002B2049">
            <w:pPr>
              <w:spacing w:after="0"/>
              <w:jc w:val="center"/>
              <w:rPr>
                <w:rFonts w:ascii="Times New Roman" w:hAnsi="Times New Roman"/>
                <w:color w:val="000000"/>
                <w:lang w:eastAsia="es-DO"/>
              </w:rPr>
            </w:pPr>
            <w:r w:rsidRPr="009B0106">
              <w:rPr>
                <w:rFonts w:ascii="Times New Roman" w:hAnsi="Times New Roman"/>
                <w:color w:val="000000"/>
                <w:lang w:eastAsia="es-DO"/>
              </w:rPr>
              <w:t>RD$</w:t>
            </w:r>
          </w:p>
        </w:tc>
        <w:tc>
          <w:tcPr>
            <w:tcW w:w="1900" w:type="dxa"/>
            <w:tcBorders>
              <w:top w:val="single" w:sz="4" w:space="0" w:color="auto"/>
              <w:left w:val="nil"/>
              <w:bottom w:val="single" w:sz="4" w:space="0" w:color="auto"/>
              <w:right w:val="single" w:sz="4" w:space="0" w:color="auto"/>
            </w:tcBorders>
            <w:shd w:val="clear" w:color="000000" w:fill="FFFFFF"/>
            <w:noWrap/>
            <w:vAlign w:val="bottom"/>
            <w:hideMark/>
          </w:tcPr>
          <w:p w14:paraId="6F292266" w14:textId="58893A68" w:rsidR="0034624D" w:rsidRPr="009B0106" w:rsidRDefault="0034624D" w:rsidP="00313400">
            <w:pPr>
              <w:spacing w:after="0"/>
              <w:jc w:val="right"/>
              <w:rPr>
                <w:rFonts w:ascii="Times New Roman" w:hAnsi="Times New Roman"/>
                <w:color w:val="000000"/>
                <w:lang w:eastAsia="es-DO"/>
              </w:rPr>
            </w:pPr>
            <w:r w:rsidRPr="009B0106">
              <w:rPr>
                <w:rFonts w:ascii="Times New Roman" w:hAnsi="Times New Roman"/>
                <w:color w:val="000000"/>
                <w:lang w:eastAsia="es-DO"/>
              </w:rPr>
              <w:t>-</w:t>
            </w:r>
          </w:p>
        </w:tc>
      </w:tr>
      <w:tr w:rsidR="0034624D" w:rsidRPr="0034624D" w14:paraId="2845609C" w14:textId="77777777" w:rsidTr="00CA5792">
        <w:trPr>
          <w:trHeight w:val="88"/>
          <w:jc w:val="center"/>
        </w:trPr>
        <w:tc>
          <w:tcPr>
            <w:tcW w:w="6137" w:type="dxa"/>
            <w:gridSpan w:val="2"/>
            <w:tcBorders>
              <w:top w:val="single" w:sz="8" w:space="0" w:color="auto"/>
              <w:left w:val="single" w:sz="8" w:space="0" w:color="auto"/>
              <w:bottom w:val="single" w:sz="8" w:space="0" w:color="auto"/>
              <w:right w:val="single" w:sz="4" w:space="0" w:color="auto"/>
            </w:tcBorders>
            <w:shd w:val="clear" w:color="auto" w:fill="808080" w:themeFill="background1" w:themeFillShade="80"/>
            <w:noWrap/>
            <w:vAlign w:val="bottom"/>
            <w:hideMark/>
          </w:tcPr>
          <w:p w14:paraId="033B559F" w14:textId="1B2BDF86" w:rsidR="0034624D" w:rsidRPr="00CA5792" w:rsidRDefault="0034624D" w:rsidP="007C1644">
            <w:pPr>
              <w:spacing w:after="0"/>
              <w:jc w:val="right"/>
              <w:rPr>
                <w:rFonts w:ascii="Times New Roman" w:hAnsi="Times New Roman"/>
                <w:color w:val="FFFFFF" w:themeColor="background1"/>
                <w:lang w:eastAsia="es-DO"/>
              </w:rPr>
            </w:pPr>
            <w:r w:rsidRPr="00CA5792">
              <w:rPr>
                <w:rFonts w:ascii="Times New Roman" w:hAnsi="Times New Roman"/>
                <w:b/>
                <w:bCs/>
                <w:color w:val="FFFFFF" w:themeColor="background1"/>
                <w:lang w:eastAsia="es-DO"/>
              </w:rPr>
              <w:t>Total a Pagar en el 2019</w:t>
            </w:r>
          </w:p>
        </w:tc>
        <w:tc>
          <w:tcPr>
            <w:tcW w:w="1900" w:type="dxa"/>
            <w:tcBorders>
              <w:top w:val="single" w:sz="8" w:space="0" w:color="auto"/>
              <w:left w:val="nil"/>
              <w:bottom w:val="single" w:sz="8" w:space="0" w:color="auto"/>
              <w:right w:val="single" w:sz="8" w:space="0" w:color="auto"/>
            </w:tcBorders>
            <w:shd w:val="clear" w:color="auto" w:fill="808080" w:themeFill="background1" w:themeFillShade="80"/>
            <w:noWrap/>
            <w:vAlign w:val="bottom"/>
            <w:hideMark/>
          </w:tcPr>
          <w:p w14:paraId="1650792D" w14:textId="480A70D8" w:rsidR="0034624D" w:rsidRPr="00CA5792" w:rsidRDefault="0034624D" w:rsidP="002B2049">
            <w:pPr>
              <w:spacing w:after="0"/>
              <w:jc w:val="right"/>
              <w:rPr>
                <w:rFonts w:ascii="Times New Roman" w:hAnsi="Times New Roman"/>
                <w:b/>
                <w:bCs/>
                <w:color w:val="FFFFFF" w:themeColor="background1"/>
                <w:lang w:eastAsia="es-DO"/>
              </w:rPr>
            </w:pPr>
            <w:r w:rsidRPr="00CA5792">
              <w:rPr>
                <w:rFonts w:ascii="Times New Roman" w:hAnsi="Times New Roman"/>
                <w:b/>
                <w:bCs/>
                <w:color w:val="FFFFFF" w:themeColor="background1"/>
                <w:lang w:eastAsia="es-DO"/>
              </w:rPr>
              <w:t>6,661,292.27</w:t>
            </w:r>
          </w:p>
        </w:tc>
      </w:tr>
    </w:tbl>
    <w:p w14:paraId="23A638B3" w14:textId="23C69782" w:rsidR="00B01775" w:rsidRDefault="00B01775" w:rsidP="0034624D">
      <w:pPr>
        <w:rPr>
          <w:rFonts w:ascii="Times New Roman" w:hAnsi="Times New Roman"/>
          <w:lang w:val="es-ES_tradnl"/>
        </w:rPr>
      </w:pPr>
    </w:p>
    <w:p w14:paraId="14AF12EC" w14:textId="77777777" w:rsidR="00B01775" w:rsidRDefault="00B01775">
      <w:pPr>
        <w:spacing w:after="0"/>
        <w:rPr>
          <w:rFonts w:ascii="Times New Roman" w:hAnsi="Times New Roman"/>
          <w:lang w:val="es-ES_tradnl"/>
        </w:rPr>
      </w:pPr>
      <w:r>
        <w:rPr>
          <w:rFonts w:ascii="Times New Roman" w:hAnsi="Times New Roman"/>
          <w:lang w:val="es-ES_tradnl"/>
        </w:rPr>
        <w:br w:type="page"/>
      </w:r>
    </w:p>
    <w:p w14:paraId="61D2E902" w14:textId="400B55C0" w:rsidR="0034624D" w:rsidRPr="00DC410F" w:rsidRDefault="0034624D" w:rsidP="001C6B1A">
      <w:pPr>
        <w:pStyle w:val="Prrafodelista"/>
        <w:numPr>
          <w:ilvl w:val="0"/>
          <w:numId w:val="9"/>
        </w:numPr>
        <w:spacing w:after="0"/>
        <w:ind w:left="567" w:hanging="567"/>
        <w:rPr>
          <w:rFonts w:ascii="Times New Roman" w:hAnsi="Times New Roman"/>
          <w:sz w:val="24"/>
          <w:lang w:val="es-ES_tradnl"/>
        </w:rPr>
      </w:pPr>
      <w:r w:rsidRPr="0098414F">
        <w:rPr>
          <w:rFonts w:ascii="Times New Roman" w:hAnsi="Times New Roman"/>
          <w:b/>
          <w:sz w:val="24"/>
          <w:lang w:val="es-ES_tradnl"/>
        </w:rPr>
        <w:lastRenderedPageBreak/>
        <w:t xml:space="preserve">Relación de </w:t>
      </w:r>
      <w:r>
        <w:rPr>
          <w:rFonts w:ascii="Times New Roman" w:hAnsi="Times New Roman"/>
          <w:b/>
          <w:sz w:val="24"/>
          <w:lang w:val="es-ES_tradnl"/>
        </w:rPr>
        <w:t>pagos rubro ajo</w:t>
      </w:r>
    </w:p>
    <w:p w14:paraId="6E0D5B33" w14:textId="77777777" w:rsidR="00DC410F" w:rsidRPr="0034624D" w:rsidRDefault="00DC410F" w:rsidP="00DC410F">
      <w:pPr>
        <w:pStyle w:val="Prrafodelista"/>
        <w:spacing w:after="0"/>
        <w:ind w:left="567"/>
        <w:rPr>
          <w:rFonts w:ascii="Times New Roman" w:hAnsi="Times New Roman"/>
          <w:sz w:val="24"/>
          <w:lang w:val="es-ES_tradnl"/>
        </w:rPr>
      </w:pPr>
    </w:p>
    <w:tbl>
      <w:tblPr>
        <w:tblW w:w="8043" w:type="dxa"/>
        <w:jc w:val="center"/>
        <w:tblCellMar>
          <w:left w:w="70" w:type="dxa"/>
          <w:right w:w="70" w:type="dxa"/>
        </w:tblCellMar>
        <w:tblLook w:val="04A0" w:firstRow="1" w:lastRow="0" w:firstColumn="1" w:lastColumn="0" w:noHBand="0" w:noVBand="1"/>
      </w:tblPr>
      <w:tblGrid>
        <w:gridCol w:w="4278"/>
        <w:gridCol w:w="1712"/>
        <w:gridCol w:w="2053"/>
      </w:tblGrid>
      <w:tr w:rsidR="0034624D" w:rsidRPr="007C1644" w14:paraId="0E42117F" w14:textId="77777777" w:rsidTr="007C1644">
        <w:trPr>
          <w:trHeight w:val="388"/>
          <w:jc w:val="center"/>
        </w:trPr>
        <w:tc>
          <w:tcPr>
            <w:tcW w:w="4278"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75DFA676" w14:textId="77777777" w:rsidR="0034624D" w:rsidRPr="007C1644" w:rsidRDefault="0034624D" w:rsidP="0034624D">
            <w:pPr>
              <w:spacing w:after="0"/>
              <w:jc w:val="center"/>
              <w:rPr>
                <w:rFonts w:ascii="Times New Roman" w:hAnsi="Times New Roman"/>
                <w:b/>
                <w:bCs/>
                <w:color w:val="FFFFFF" w:themeColor="background1"/>
                <w:lang w:eastAsia="es-DO"/>
              </w:rPr>
            </w:pPr>
            <w:r w:rsidRPr="007C1644">
              <w:rPr>
                <w:rFonts w:ascii="Times New Roman" w:hAnsi="Times New Roman"/>
                <w:b/>
                <w:bCs/>
                <w:color w:val="FFFFFF" w:themeColor="background1"/>
                <w:lang w:eastAsia="es-DO"/>
              </w:rPr>
              <w:t>Partidas</w:t>
            </w:r>
          </w:p>
        </w:tc>
        <w:tc>
          <w:tcPr>
            <w:tcW w:w="1711"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2001ECE3" w14:textId="77777777" w:rsidR="0034624D" w:rsidRPr="007C1644" w:rsidRDefault="0034624D" w:rsidP="0034624D">
            <w:pPr>
              <w:spacing w:after="0"/>
              <w:jc w:val="center"/>
              <w:rPr>
                <w:rFonts w:ascii="Times New Roman" w:hAnsi="Times New Roman"/>
                <w:b/>
                <w:bCs/>
                <w:color w:val="FFFFFF" w:themeColor="background1"/>
                <w:lang w:eastAsia="es-DO"/>
              </w:rPr>
            </w:pPr>
            <w:r w:rsidRPr="007C1644">
              <w:rPr>
                <w:rFonts w:ascii="Times New Roman" w:hAnsi="Times New Roman"/>
                <w:b/>
                <w:bCs/>
                <w:color w:val="FFFFFF" w:themeColor="background1"/>
                <w:lang w:eastAsia="es-DO"/>
              </w:rPr>
              <w:t>Unidad de Medida</w:t>
            </w:r>
          </w:p>
        </w:tc>
        <w:tc>
          <w:tcPr>
            <w:tcW w:w="2053"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04E98939" w14:textId="77777777" w:rsidR="0034624D" w:rsidRPr="007C1644" w:rsidRDefault="0034624D" w:rsidP="0034624D">
            <w:pPr>
              <w:spacing w:after="0"/>
              <w:jc w:val="center"/>
              <w:rPr>
                <w:rFonts w:ascii="Times New Roman" w:hAnsi="Times New Roman"/>
                <w:b/>
                <w:bCs/>
                <w:color w:val="FFFFFF" w:themeColor="background1"/>
                <w:lang w:eastAsia="es-DO"/>
              </w:rPr>
            </w:pPr>
            <w:r w:rsidRPr="007C1644">
              <w:rPr>
                <w:rFonts w:ascii="Times New Roman" w:hAnsi="Times New Roman"/>
                <w:b/>
                <w:bCs/>
                <w:color w:val="FFFFFF" w:themeColor="background1"/>
                <w:lang w:eastAsia="es-DO"/>
              </w:rPr>
              <w:t>Cantidad</w:t>
            </w:r>
          </w:p>
        </w:tc>
      </w:tr>
      <w:tr w:rsidR="0034624D" w:rsidRPr="007C1644" w14:paraId="2AE1808C" w14:textId="77777777" w:rsidTr="007C1644">
        <w:trPr>
          <w:trHeight w:val="372"/>
          <w:jc w:val="center"/>
        </w:trPr>
        <w:tc>
          <w:tcPr>
            <w:tcW w:w="427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7A5FB0C" w14:textId="1E064740" w:rsidR="0034624D" w:rsidRPr="007C1644" w:rsidRDefault="007C1644" w:rsidP="0034624D">
            <w:pPr>
              <w:spacing w:after="0"/>
              <w:rPr>
                <w:rFonts w:ascii="Times New Roman" w:hAnsi="Times New Roman"/>
                <w:color w:val="000000"/>
                <w:lang w:eastAsia="es-DO"/>
              </w:rPr>
            </w:pPr>
            <w:r w:rsidRPr="007C1644">
              <w:rPr>
                <w:rFonts w:ascii="Times New Roman" w:hAnsi="Times New Roman"/>
                <w:color w:val="000000"/>
                <w:lang w:eastAsia="es-DO"/>
              </w:rPr>
              <w:t>Expedientes r</w:t>
            </w:r>
            <w:r w:rsidR="0034624D" w:rsidRPr="007C1644">
              <w:rPr>
                <w:rFonts w:ascii="Times New Roman" w:hAnsi="Times New Roman"/>
                <w:color w:val="000000"/>
                <w:lang w:eastAsia="es-DO"/>
              </w:rPr>
              <w:t>ecibidos Ajo</w:t>
            </w:r>
          </w:p>
        </w:tc>
        <w:tc>
          <w:tcPr>
            <w:tcW w:w="1711" w:type="dxa"/>
            <w:tcBorders>
              <w:top w:val="single" w:sz="4" w:space="0" w:color="auto"/>
              <w:left w:val="nil"/>
              <w:bottom w:val="single" w:sz="4" w:space="0" w:color="auto"/>
              <w:right w:val="single" w:sz="4" w:space="0" w:color="auto"/>
            </w:tcBorders>
            <w:shd w:val="clear" w:color="000000" w:fill="FFFFFF"/>
            <w:noWrap/>
            <w:vAlign w:val="bottom"/>
            <w:hideMark/>
          </w:tcPr>
          <w:p w14:paraId="559CC0E4" w14:textId="77777777" w:rsidR="0034624D" w:rsidRPr="007C1644" w:rsidRDefault="0034624D" w:rsidP="007C1644">
            <w:pPr>
              <w:spacing w:after="0"/>
              <w:jc w:val="center"/>
              <w:rPr>
                <w:rFonts w:ascii="Times New Roman" w:hAnsi="Times New Roman"/>
                <w:color w:val="000000"/>
                <w:lang w:eastAsia="es-DO"/>
              </w:rPr>
            </w:pPr>
            <w:r w:rsidRPr="007C1644">
              <w:rPr>
                <w:rFonts w:ascii="Times New Roman" w:hAnsi="Times New Roman"/>
                <w:color w:val="000000"/>
                <w:lang w:eastAsia="es-DO"/>
              </w:rPr>
              <w:t>Unidad</w:t>
            </w:r>
          </w:p>
        </w:tc>
        <w:tc>
          <w:tcPr>
            <w:tcW w:w="2053" w:type="dxa"/>
            <w:tcBorders>
              <w:top w:val="single" w:sz="4" w:space="0" w:color="auto"/>
              <w:left w:val="nil"/>
              <w:bottom w:val="single" w:sz="4" w:space="0" w:color="auto"/>
              <w:right w:val="single" w:sz="4" w:space="0" w:color="auto"/>
            </w:tcBorders>
            <w:shd w:val="clear" w:color="000000" w:fill="FFFFFF"/>
            <w:noWrap/>
            <w:vAlign w:val="center"/>
            <w:hideMark/>
          </w:tcPr>
          <w:p w14:paraId="79A0DA3E" w14:textId="77777777" w:rsidR="0034624D" w:rsidRPr="007C1644" w:rsidRDefault="0034624D" w:rsidP="007C1644">
            <w:pPr>
              <w:spacing w:after="0"/>
              <w:jc w:val="right"/>
              <w:rPr>
                <w:rFonts w:ascii="Times New Roman" w:hAnsi="Times New Roman"/>
                <w:color w:val="000000"/>
                <w:lang w:eastAsia="es-DO"/>
              </w:rPr>
            </w:pPr>
            <w:r w:rsidRPr="007C1644">
              <w:rPr>
                <w:rFonts w:ascii="Times New Roman" w:hAnsi="Times New Roman"/>
                <w:color w:val="000000"/>
                <w:lang w:eastAsia="es-DO"/>
              </w:rPr>
              <w:t>9</w:t>
            </w:r>
          </w:p>
        </w:tc>
      </w:tr>
      <w:tr w:rsidR="0034624D" w:rsidRPr="007C1644" w14:paraId="187D80C7" w14:textId="77777777" w:rsidTr="007C1644">
        <w:trPr>
          <w:trHeight w:val="372"/>
          <w:jc w:val="center"/>
        </w:trPr>
        <w:tc>
          <w:tcPr>
            <w:tcW w:w="4278" w:type="dxa"/>
            <w:tcBorders>
              <w:top w:val="single" w:sz="4" w:space="0" w:color="auto"/>
              <w:left w:val="single" w:sz="4" w:space="0" w:color="auto"/>
              <w:bottom w:val="double" w:sz="4" w:space="0" w:color="auto"/>
              <w:right w:val="single" w:sz="4" w:space="0" w:color="auto"/>
            </w:tcBorders>
            <w:shd w:val="clear" w:color="000000" w:fill="FFFFFF"/>
            <w:noWrap/>
            <w:vAlign w:val="bottom"/>
            <w:hideMark/>
          </w:tcPr>
          <w:p w14:paraId="280D56CC" w14:textId="58D3AFD7" w:rsidR="0034624D" w:rsidRPr="007C1644" w:rsidRDefault="0034624D" w:rsidP="00E80B94">
            <w:pPr>
              <w:spacing w:after="0"/>
              <w:rPr>
                <w:rFonts w:ascii="Times New Roman" w:hAnsi="Times New Roman"/>
                <w:color w:val="000000"/>
                <w:lang w:eastAsia="es-DO"/>
              </w:rPr>
            </w:pPr>
            <w:r w:rsidRPr="007C1644">
              <w:rPr>
                <w:rFonts w:ascii="Times New Roman" w:hAnsi="Times New Roman"/>
                <w:color w:val="000000"/>
                <w:lang w:eastAsia="es-DO"/>
              </w:rPr>
              <w:t>Quintales de Ajo Pignorado</w:t>
            </w:r>
          </w:p>
        </w:tc>
        <w:tc>
          <w:tcPr>
            <w:tcW w:w="1711" w:type="dxa"/>
            <w:tcBorders>
              <w:top w:val="single" w:sz="4" w:space="0" w:color="auto"/>
              <w:left w:val="nil"/>
              <w:bottom w:val="double" w:sz="4" w:space="0" w:color="auto"/>
              <w:right w:val="single" w:sz="4" w:space="0" w:color="auto"/>
            </w:tcBorders>
            <w:shd w:val="clear" w:color="000000" w:fill="FFFFFF"/>
            <w:noWrap/>
            <w:vAlign w:val="bottom"/>
            <w:hideMark/>
          </w:tcPr>
          <w:p w14:paraId="22C7A515" w14:textId="77777777" w:rsidR="0034624D" w:rsidRPr="007C1644" w:rsidRDefault="0034624D" w:rsidP="007C1644">
            <w:pPr>
              <w:spacing w:after="0"/>
              <w:jc w:val="center"/>
              <w:rPr>
                <w:rFonts w:ascii="Times New Roman" w:hAnsi="Times New Roman"/>
                <w:color w:val="000000"/>
                <w:lang w:eastAsia="es-DO"/>
              </w:rPr>
            </w:pPr>
            <w:r w:rsidRPr="007C1644">
              <w:rPr>
                <w:rFonts w:ascii="Times New Roman" w:hAnsi="Times New Roman"/>
                <w:color w:val="000000"/>
                <w:lang w:eastAsia="es-DO"/>
              </w:rPr>
              <w:t>Unidad</w:t>
            </w:r>
          </w:p>
        </w:tc>
        <w:tc>
          <w:tcPr>
            <w:tcW w:w="2053" w:type="dxa"/>
            <w:tcBorders>
              <w:top w:val="single" w:sz="4" w:space="0" w:color="auto"/>
              <w:left w:val="nil"/>
              <w:bottom w:val="double" w:sz="4" w:space="0" w:color="auto"/>
              <w:right w:val="single" w:sz="4" w:space="0" w:color="auto"/>
            </w:tcBorders>
            <w:shd w:val="clear" w:color="000000" w:fill="FFFFFF"/>
            <w:noWrap/>
            <w:vAlign w:val="center"/>
            <w:hideMark/>
          </w:tcPr>
          <w:p w14:paraId="6014C95B" w14:textId="397C543A" w:rsidR="0034624D" w:rsidRPr="007C1644" w:rsidRDefault="0034624D" w:rsidP="007C1644">
            <w:pPr>
              <w:spacing w:after="0"/>
              <w:jc w:val="right"/>
              <w:rPr>
                <w:rFonts w:ascii="Times New Roman" w:hAnsi="Times New Roman"/>
                <w:color w:val="000000"/>
                <w:lang w:eastAsia="es-DO"/>
              </w:rPr>
            </w:pPr>
            <w:r w:rsidRPr="007C1644">
              <w:rPr>
                <w:rFonts w:ascii="Times New Roman" w:hAnsi="Times New Roman"/>
                <w:color w:val="000000"/>
                <w:lang w:eastAsia="es-DO"/>
              </w:rPr>
              <w:t>36,620</w:t>
            </w:r>
          </w:p>
        </w:tc>
      </w:tr>
      <w:tr w:rsidR="0034624D" w:rsidRPr="007C1644" w14:paraId="7A6246EF" w14:textId="77777777" w:rsidTr="007C1644">
        <w:trPr>
          <w:trHeight w:val="372"/>
          <w:jc w:val="center"/>
        </w:trPr>
        <w:tc>
          <w:tcPr>
            <w:tcW w:w="4278" w:type="dxa"/>
            <w:tcBorders>
              <w:top w:val="double" w:sz="4" w:space="0" w:color="auto"/>
              <w:left w:val="single" w:sz="4" w:space="0" w:color="auto"/>
              <w:bottom w:val="single" w:sz="4" w:space="0" w:color="auto"/>
              <w:right w:val="single" w:sz="4" w:space="0" w:color="auto"/>
            </w:tcBorders>
            <w:shd w:val="clear" w:color="000000" w:fill="FFFFFF"/>
            <w:noWrap/>
            <w:vAlign w:val="bottom"/>
            <w:hideMark/>
          </w:tcPr>
          <w:p w14:paraId="21C2082B" w14:textId="77777777" w:rsidR="0034624D" w:rsidRPr="007C1644" w:rsidRDefault="0034624D" w:rsidP="0034624D">
            <w:pPr>
              <w:spacing w:after="0"/>
              <w:rPr>
                <w:rFonts w:ascii="Times New Roman" w:hAnsi="Times New Roman"/>
                <w:color w:val="000000"/>
                <w:lang w:eastAsia="es-DO"/>
              </w:rPr>
            </w:pPr>
            <w:r w:rsidRPr="007C1644">
              <w:rPr>
                <w:rFonts w:ascii="Times New Roman" w:hAnsi="Times New Roman"/>
                <w:color w:val="000000"/>
                <w:lang w:eastAsia="es-DO"/>
              </w:rPr>
              <w:t>Préstamos realizados Bancos</w:t>
            </w:r>
          </w:p>
        </w:tc>
        <w:tc>
          <w:tcPr>
            <w:tcW w:w="1711" w:type="dxa"/>
            <w:tcBorders>
              <w:top w:val="double" w:sz="4" w:space="0" w:color="auto"/>
              <w:left w:val="nil"/>
              <w:bottom w:val="single" w:sz="4" w:space="0" w:color="auto"/>
              <w:right w:val="single" w:sz="4" w:space="0" w:color="auto"/>
            </w:tcBorders>
            <w:shd w:val="clear" w:color="000000" w:fill="FFFFFF"/>
            <w:noWrap/>
            <w:vAlign w:val="bottom"/>
            <w:hideMark/>
          </w:tcPr>
          <w:p w14:paraId="2BC0241A" w14:textId="77777777" w:rsidR="0034624D" w:rsidRPr="007C1644" w:rsidRDefault="0034624D" w:rsidP="007C1644">
            <w:pPr>
              <w:spacing w:after="0"/>
              <w:jc w:val="center"/>
              <w:rPr>
                <w:rFonts w:ascii="Times New Roman" w:hAnsi="Times New Roman"/>
                <w:color w:val="000000"/>
                <w:lang w:eastAsia="es-DO"/>
              </w:rPr>
            </w:pPr>
            <w:r w:rsidRPr="007C1644">
              <w:rPr>
                <w:rFonts w:ascii="Times New Roman" w:hAnsi="Times New Roman"/>
                <w:color w:val="000000"/>
                <w:lang w:eastAsia="es-DO"/>
              </w:rPr>
              <w:t>RD$</w:t>
            </w:r>
          </w:p>
        </w:tc>
        <w:tc>
          <w:tcPr>
            <w:tcW w:w="2053" w:type="dxa"/>
            <w:tcBorders>
              <w:top w:val="double" w:sz="4" w:space="0" w:color="auto"/>
              <w:left w:val="nil"/>
              <w:bottom w:val="single" w:sz="4" w:space="0" w:color="auto"/>
              <w:right w:val="single" w:sz="4" w:space="0" w:color="auto"/>
            </w:tcBorders>
            <w:shd w:val="clear" w:color="000000" w:fill="FFFFFF"/>
            <w:noWrap/>
            <w:vAlign w:val="center"/>
            <w:hideMark/>
          </w:tcPr>
          <w:p w14:paraId="0535C20E" w14:textId="39F356EB" w:rsidR="0034624D" w:rsidRPr="007C1644" w:rsidRDefault="0034624D" w:rsidP="0034624D">
            <w:pPr>
              <w:spacing w:after="0"/>
              <w:jc w:val="right"/>
              <w:rPr>
                <w:rFonts w:ascii="Times New Roman" w:hAnsi="Times New Roman"/>
                <w:color w:val="000000"/>
                <w:lang w:eastAsia="es-DO"/>
              </w:rPr>
            </w:pPr>
            <w:r w:rsidRPr="007C1644">
              <w:rPr>
                <w:rFonts w:ascii="Times New Roman" w:hAnsi="Times New Roman"/>
                <w:color w:val="000000"/>
                <w:lang w:eastAsia="es-DO"/>
              </w:rPr>
              <w:t>327,298,001.00</w:t>
            </w:r>
          </w:p>
        </w:tc>
      </w:tr>
      <w:tr w:rsidR="0034624D" w:rsidRPr="007C1644" w14:paraId="3E5E78FF" w14:textId="77777777" w:rsidTr="009B0106">
        <w:trPr>
          <w:trHeight w:val="271"/>
          <w:jc w:val="center"/>
        </w:trPr>
        <w:tc>
          <w:tcPr>
            <w:tcW w:w="427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7483357" w14:textId="77777777" w:rsidR="0034624D" w:rsidRPr="007C1644" w:rsidRDefault="0034624D" w:rsidP="0034624D">
            <w:pPr>
              <w:spacing w:after="0"/>
              <w:rPr>
                <w:rFonts w:ascii="Times New Roman" w:hAnsi="Times New Roman"/>
                <w:color w:val="000000"/>
                <w:lang w:eastAsia="es-DO"/>
              </w:rPr>
            </w:pPr>
            <w:r w:rsidRPr="007C1644">
              <w:rPr>
                <w:rFonts w:ascii="Times New Roman" w:hAnsi="Times New Roman"/>
                <w:color w:val="000000"/>
                <w:lang w:eastAsia="es-DO"/>
              </w:rPr>
              <w:t>Pago de Intereses</w:t>
            </w:r>
          </w:p>
        </w:tc>
        <w:tc>
          <w:tcPr>
            <w:tcW w:w="1711" w:type="dxa"/>
            <w:tcBorders>
              <w:top w:val="single" w:sz="4" w:space="0" w:color="auto"/>
              <w:left w:val="nil"/>
              <w:bottom w:val="single" w:sz="4" w:space="0" w:color="auto"/>
              <w:right w:val="single" w:sz="4" w:space="0" w:color="auto"/>
            </w:tcBorders>
            <w:shd w:val="clear" w:color="000000" w:fill="FFFFFF"/>
            <w:noWrap/>
            <w:vAlign w:val="bottom"/>
            <w:hideMark/>
          </w:tcPr>
          <w:p w14:paraId="17E65578" w14:textId="77777777" w:rsidR="0034624D" w:rsidRPr="007C1644" w:rsidRDefault="0034624D" w:rsidP="007C1644">
            <w:pPr>
              <w:spacing w:after="0"/>
              <w:jc w:val="center"/>
              <w:rPr>
                <w:rFonts w:ascii="Times New Roman" w:hAnsi="Times New Roman"/>
                <w:color w:val="000000"/>
                <w:lang w:eastAsia="es-DO"/>
              </w:rPr>
            </w:pPr>
            <w:r w:rsidRPr="007C1644">
              <w:rPr>
                <w:rFonts w:ascii="Times New Roman" w:hAnsi="Times New Roman"/>
                <w:color w:val="000000"/>
                <w:lang w:eastAsia="es-DO"/>
              </w:rPr>
              <w:t>RD$</w:t>
            </w:r>
          </w:p>
        </w:tc>
        <w:tc>
          <w:tcPr>
            <w:tcW w:w="2053" w:type="dxa"/>
            <w:tcBorders>
              <w:top w:val="single" w:sz="4" w:space="0" w:color="auto"/>
              <w:left w:val="nil"/>
              <w:bottom w:val="single" w:sz="4" w:space="0" w:color="auto"/>
              <w:right w:val="single" w:sz="4" w:space="0" w:color="auto"/>
            </w:tcBorders>
            <w:shd w:val="clear" w:color="000000" w:fill="FFFFFF"/>
            <w:noWrap/>
            <w:vAlign w:val="center"/>
            <w:hideMark/>
          </w:tcPr>
          <w:p w14:paraId="7A698D4B" w14:textId="6B1CC4A3" w:rsidR="0034624D" w:rsidRPr="007C1644" w:rsidRDefault="0034624D" w:rsidP="0034624D">
            <w:pPr>
              <w:spacing w:after="0"/>
              <w:jc w:val="right"/>
              <w:rPr>
                <w:rFonts w:ascii="Times New Roman" w:hAnsi="Times New Roman"/>
                <w:color w:val="000000"/>
                <w:lang w:eastAsia="es-DO"/>
              </w:rPr>
            </w:pPr>
            <w:r w:rsidRPr="007C1644">
              <w:rPr>
                <w:rFonts w:ascii="Times New Roman" w:hAnsi="Times New Roman"/>
                <w:color w:val="000000"/>
                <w:lang w:eastAsia="es-DO"/>
              </w:rPr>
              <w:t>7,158,465.06</w:t>
            </w:r>
          </w:p>
        </w:tc>
      </w:tr>
      <w:tr w:rsidR="0034624D" w:rsidRPr="007C1644" w14:paraId="41A43255" w14:textId="77777777" w:rsidTr="009B0106">
        <w:trPr>
          <w:trHeight w:val="305"/>
          <w:jc w:val="center"/>
        </w:trPr>
        <w:tc>
          <w:tcPr>
            <w:tcW w:w="427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954A720" w14:textId="77777777" w:rsidR="0034624D" w:rsidRPr="007C1644" w:rsidRDefault="0034624D" w:rsidP="0034624D">
            <w:pPr>
              <w:spacing w:after="0"/>
              <w:rPr>
                <w:rFonts w:ascii="Times New Roman" w:hAnsi="Times New Roman"/>
                <w:color w:val="000000"/>
                <w:lang w:eastAsia="es-DO"/>
              </w:rPr>
            </w:pPr>
            <w:r w:rsidRPr="007C1644">
              <w:rPr>
                <w:rFonts w:ascii="Times New Roman" w:hAnsi="Times New Roman"/>
                <w:color w:val="000000"/>
                <w:lang w:eastAsia="es-DO"/>
              </w:rPr>
              <w:t>Pago de Almacenaje y Seguro</w:t>
            </w:r>
          </w:p>
        </w:tc>
        <w:tc>
          <w:tcPr>
            <w:tcW w:w="1711" w:type="dxa"/>
            <w:tcBorders>
              <w:top w:val="single" w:sz="4" w:space="0" w:color="auto"/>
              <w:left w:val="nil"/>
              <w:bottom w:val="single" w:sz="4" w:space="0" w:color="auto"/>
              <w:right w:val="single" w:sz="4" w:space="0" w:color="auto"/>
            </w:tcBorders>
            <w:shd w:val="clear" w:color="000000" w:fill="FFFFFF"/>
            <w:noWrap/>
            <w:vAlign w:val="bottom"/>
            <w:hideMark/>
          </w:tcPr>
          <w:p w14:paraId="4F9C6452" w14:textId="77777777" w:rsidR="0034624D" w:rsidRPr="007C1644" w:rsidRDefault="0034624D" w:rsidP="007C1644">
            <w:pPr>
              <w:spacing w:after="0"/>
              <w:jc w:val="center"/>
              <w:rPr>
                <w:rFonts w:ascii="Times New Roman" w:hAnsi="Times New Roman"/>
                <w:color w:val="000000"/>
                <w:lang w:eastAsia="es-DO"/>
              </w:rPr>
            </w:pPr>
            <w:r w:rsidRPr="007C1644">
              <w:rPr>
                <w:rFonts w:ascii="Times New Roman" w:hAnsi="Times New Roman"/>
                <w:color w:val="000000"/>
                <w:lang w:eastAsia="es-DO"/>
              </w:rPr>
              <w:t>RD$</w:t>
            </w:r>
          </w:p>
        </w:tc>
        <w:tc>
          <w:tcPr>
            <w:tcW w:w="2053" w:type="dxa"/>
            <w:tcBorders>
              <w:top w:val="single" w:sz="4" w:space="0" w:color="auto"/>
              <w:left w:val="nil"/>
              <w:bottom w:val="single" w:sz="4" w:space="0" w:color="auto"/>
              <w:right w:val="single" w:sz="4" w:space="0" w:color="auto"/>
            </w:tcBorders>
            <w:shd w:val="clear" w:color="000000" w:fill="FFFFFF"/>
            <w:noWrap/>
            <w:vAlign w:val="center"/>
            <w:hideMark/>
          </w:tcPr>
          <w:p w14:paraId="3DC174A2" w14:textId="15533878" w:rsidR="0034624D" w:rsidRPr="007C1644" w:rsidRDefault="0034624D" w:rsidP="0034624D">
            <w:pPr>
              <w:spacing w:after="0"/>
              <w:jc w:val="right"/>
              <w:rPr>
                <w:rFonts w:ascii="Times New Roman" w:hAnsi="Times New Roman"/>
                <w:color w:val="000000"/>
                <w:lang w:eastAsia="es-DO"/>
              </w:rPr>
            </w:pPr>
            <w:r w:rsidRPr="007C1644">
              <w:rPr>
                <w:rFonts w:ascii="Times New Roman" w:hAnsi="Times New Roman"/>
                <w:color w:val="000000"/>
                <w:lang w:eastAsia="es-DO"/>
              </w:rPr>
              <w:t>11,136,646.22</w:t>
            </w:r>
          </w:p>
        </w:tc>
      </w:tr>
      <w:tr w:rsidR="0034624D" w:rsidRPr="007C1644" w14:paraId="7DC57CCB" w14:textId="77777777" w:rsidTr="009B0106">
        <w:trPr>
          <w:trHeight w:val="211"/>
          <w:jc w:val="center"/>
        </w:trPr>
        <w:tc>
          <w:tcPr>
            <w:tcW w:w="427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32BCBA8" w14:textId="77777777" w:rsidR="0034624D" w:rsidRPr="007C1644" w:rsidRDefault="0034624D" w:rsidP="0034624D">
            <w:pPr>
              <w:spacing w:after="0"/>
              <w:rPr>
                <w:rFonts w:ascii="Times New Roman" w:hAnsi="Times New Roman"/>
                <w:color w:val="000000"/>
                <w:lang w:eastAsia="es-DO"/>
              </w:rPr>
            </w:pPr>
            <w:r w:rsidRPr="007C1644">
              <w:rPr>
                <w:rFonts w:ascii="Times New Roman" w:hAnsi="Times New Roman"/>
                <w:color w:val="000000"/>
                <w:lang w:eastAsia="es-DO"/>
              </w:rPr>
              <w:t>Proyección a Noviembre 2019</w:t>
            </w:r>
          </w:p>
        </w:tc>
        <w:tc>
          <w:tcPr>
            <w:tcW w:w="1711" w:type="dxa"/>
            <w:tcBorders>
              <w:top w:val="single" w:sz="4" w:space="0" w:color="auto"/>
              <w:left w:val="nil"/>
              <w:bottom w:val="single" w:sz="4" w:space="0" w:color="auto"/>
              <w:right w:val="single" w:sz="4" w:space="0" w:color="auto"/>
            </w:tcBorders>
            <w:shd w:val="clear" w:color="000000" w:fill="FFFFFF"/>
            <w:noWrap/>
            <w:vAlign w:val="bottom"/>
            <w:hideMark/>
          </w:tcPr>
          <w:p w14:paraId="5230D1A2" w14:textId="77777777" w:rsidR="0034624D" w:rsidRPr="007C1644" w:rsidRDefault="0034624D" w:rsidP="007C1644">
            <w:pPr>
              <w:spacing w:after="0"/>
              <w:jc w:val="center"/>
              <w:rPr>
                <w:rFonts w:ascii="Times New Roman" w:hAnsi="Times New Roman"/>
                <w:color w:val="000000"/>
                <w:lang w:eastAsia="es-DO"/>
              </w:rPr>
            </w:pPr>
            <w:r w:rsidRPr="007C1644">
              <w:rPr>
                <w:rFonts w:ascii="Times New Roman" w:hAnsi="Times New Roman"/>
                <w:color w:val="000000"/>
                <w:lang w:eastAsia="es-DO"/>
              </w:rPr>
              <w:t>RD$</w:t>
            </w:r>
          </w:p>
        </w:tc>
        <w:tc>
          <w:tcPr>
            <w:tcW w:w="2053" w:type="dxa"/>
            <w:tcBorders>
              <w:top w:val="single" w:sz="4" w:space="0" w:color="auto"/>
              <w:left w:val="nil"/>
              <w:bottom w:val="single" w:sz="4" w:space="0" w:color="auto"/>
              <w:right w:val="single" w:sz="4" w:space="0" w:color="auto"/>
            </w:tcBorders>
            <w:shd w:val="clear" w:color="000000" w:fill="FFFFFF"/>
            <w:noWrap/>
            <w:vAlign w:val="center"/>
            <w:hideMark/>
          </w:tcPr>
          <w:p w14:paraId="35E71961" w14:textId="7C7BD113" w:rsidR="0034624D" w:rsidRPr="007C1644" w:rsidRDefault="0034624D" w:rsidP="0034624D">
            <w:pPr>
              <w:spacing w:after="0"/>
              <w:jc w:val="right"/>
              <w:rPr>
                <w:rFonts w:ascii="Times New Roman" w:hAnsi="Times New Roman"/>
                <w:color w:val="000000"/>
                <w:lang w:eastAsia="es-DO"/>
              </w:rPr>
            </w:pPr>
            <w:r w:rsidRPr="007C1644">
              <w:rPr>
                <w:rFonts w:ascii="Times New Roman" w:hAnsi="Times New Roman"/>
                <w:color w:val="000000"/>
                <w:lang w:eastAsia="es-DO"/>
              </w:rPr>
              <w:t>1,549,069.95</w:t>
            </w:r>
          </w:p>
        </w:tc>
      </w:tr>
      <w:tr w:rsidR="0034624D" w:rsidRPr="007C1644" w14:paraId="3E36CD2A" w14:textId="77777777" w:rsidTr="007C1644">
        <w:trPr>
          <w:trHeight w:val="388"/>
          <w:jc w:val="center"/>
        </w:trPr>
        <w:tc>
          <w:tcPr>
            <w:tcW w:w="427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C5180CB" w14:textId="77777777" w:rsidR="0034624D" w:rsidRPr="007C1644" w:rsidRDefault="0034624D" w:rsidP="0034624D">
            <w:pPr>
              <w:spacing w:after="0"/>
              <w:rPr>
                <w:rFonts w:ascii="Times New Roman" w:hAnsi="Times New Roman"/>
                <w:color w:val="000000"/>
                <w:lang w:eastAsia="es-DO"/>
              </w:rPr>
            </w:pPr>
            <w:r w:rsidRPr="007C1644">
              <w:rPr>
                <w:rFonts w:ascii="Times New Roman" w:hAnsi="Times New Roman"/>
                <w:color w:val="000000"/>
                <w:lang w:eastAsia="es-DO"/>
              </w:rPr>
              <w:t>Proyección a Diciembre 2019</w:t>
            </w:r>
          </w:p>
        </w:tc>
        <w:tc>
          <w:tcPr>
            <w:tcW w:w="1711" w:type="dxa"/>
            <w:tcBorders>
              <w:top w:val="single" w:sz="4" w:space="0" w:color="auto"/>
              <w:left w:val="nil"/>
              <w:bottom w:val="single" w:sz="4" w:space="0" w:color="auto"/>
              <w:right w:val="single" w:sz="4" w:space="0" w:color="auto"/>
            </w:tcBorders>
            <w:shd w:val="clear" w:color="000000" w:fill="FFFFFF"/>
            <w:noWrap/>
            <w:vAlign w:val="bottom"/>
            <w:hideMark/>
          </w:tcPr>
          <w:p w14:paraId="7DC6A7C3" w14:textId="77777777" w:rsidR="0034624D" w:rsidRPr="007C1644" w:rsidRDefault="0034624D" w:rsidP="007C1644">
            <w:pPr>
              <w:spacing w:after="0"/>
              <w:jc w:val="center"/>
              <w:rPr>
                <w:rFonts w:ascii="Times New Roman" w:hAnsi="Times New Roman"/>
                <w:color w:val="000000"/>
                <w:lang w:eastAsia="es-DO"/>
              </w:rPr>
            </w:pPr>
            <w:r w:rsidRPr="007C1644">
              <w:rPr>
                <w:rFonts w:ascii="Times New Roman" w:hAnsi="Times New Roman"/>
                <w:color w:val="000000"/>
                <w:lang w:eastAsia="es-DO"/>
              </w:rPr>
              <w:t>RD$</w:t>
            </w:r>
          </w:p>
        </w:tc>
        <w:tc>
          <w:tcPr>
            <w:tcW w:w="2053" w:type="dxa"/>
            <w:tcBorders>
              <w:top w:val="single" w:sz="4" w:space="0" w:color="auto"/>
              <w:left w:val="nil"/>
              <w:bottom w:val="single" w:sz="4" w:space="0" w:color="auto"/>
              <w:right w:val="single" w:sz="4" w:space="0" w:color="auto"/>
            </w:tcBorders>
            <w:shd w:val="clear" w:color="000000" w:fill="FFFFFF"/>
            <w:noWrap/>
            <w:vAlign w:val="center"/>
            <w:hideMark/>
          </w:tcPr>
          <w:p w14:paraId="491ED0A3" w14:textId="5F506E58" w:rsidR="0034624D" w:rsidRPr="007C1644" w:rsidRDefault="0034624D" w:rsidP="0034624D">
            <w:pPr>
              <w:spacing w:after="0"/>
              <w:jc w:val="right"/>
              <w:rPr>
                <w:rFonts w:ascii="Times New Roman" w:hAnsi="Times New Roman"/>
                <w:color w:val="000000"/>
                <w:lang w:eastAsia="es-DO"/>
              </w:rPr>
            </w:pPr>
            <w:r w:rsidRPr="007C1644">
              <w:rPr>
                <w:rFonts w:ascii="Times New Roman" w:hAnsi="Times New Roman"/>
                <w:color w:val="000000"/>
                <w:lang w:eastAsia="es-DO"/>
              </w:rPr>
              <w:t>1,549,069.95</w:t>
            </w:r>
          </w:p>
        </w:tc>
      </w:tr>
      <w:tr w:rsidR="0034624D" w:rsidRPr="0034624D" w14:paraId="4971766B" w14:textId="77777777" w:rsidTr="00CA5792">
        <w:trPr>
          <w:trHeight w:val="85"/>
          <w:jc w:val="center"/>
        </w:trPr>
        <w:tc>
          <w:tcPr>
            <w:tcW w:w="5990"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08CC234D" w14:textId="026F337F" w:rsidR="0034624D" w:rsidRPr="00CA5792" w:rsidRDefault="0034624D" w:rsidP="007C1644">
            <w:pPr>
              <w:spacing w:after="0"/>
              <w:jc w:val="right"/>
              <w:rPr>
                <w:rFonts w:ascii="Times New Roman" w:hAnsi="Times New Roman"/>
                <w:b/>
                <w:color w:val="FFFFFF" w:themeColor="background1"/>
                <w:lang w:eastAsia="es-DO"/>
              </w:rPr>
            </w:pPr>
            <w:r w:rsidRPr="00CA5792">
              <w:rPr>
                <w:rFonts w:ascii="Times New Roman" w:hAnsi="Times New Roman"/>
                <w:b/>
                <w:color w:val="FFFFFF" w:themeColor="background1"/>
                <w:lang w:eastAsia="es-DO"/>
              </w:rPr>
              <w:t>Total a Pagar en el año 2019</w:t>
            </w:r>
          </w:p>
        </w:tc>
        <w:tc>
          <w:tcPr>
            <w:tcW w:w="2053"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center"/>
            <w:hideMark/>
          </w:tcPr>
          <w:p w14:paraId="1A73041C" w14:textId="1DD171A7" w:rsidR="0034624D" w:rsidRPr="00CA5792" w:rsidRDefault="0034624D" w:rsidP="0034624D">
            <w:pPr>
              <w:spacing w:after="0"/>
              <w:jc w:val="right"/>
              <w:rPr>
                <w:rFonts w:ascii="Times New Roman" w:hAnsi="Times New Roman"/>
                <w:b/>
                <w:bCs/>
                <w:color w:val="FFFFFF" w:themeColor="background1"/>
                <w:lang w:eastAsia="es-DO"/>
              </w:rPr>
            </w:pPr>
            <w:r w:rsidRPr="00CA5792">
              <w:rPr>
                <w:rFonts w:ascii="Times New Roman" w:hAnsi="Times New Roman"/>
                <w:b/>
                <w:bCs/>
                <w:color w:val="FFFFFF" w:themeColor="background1"/>
                <w:lang w:eastAsia="es-DO"/>
              </w:rPr>
              <w:t>21,393,251.18</w:t>
            </w:r>
          </w:p>
        </w:tc>
      </w:tr>
    </w:tbl>
    <w:p w14:paraId="1B09AED4" w14:textId="77777777" w:rsidR="0034624D" w:rsidRDefault="0034624D" w:rsidP="0034624D">
      <w:pPr>
        <w:rPr>
          <w:rFonts w:ascii="Times New Roman" w:hAnsi="Times New Roman"/>
          <w:lang w:val="es-ES_tradnl"/>
        </w:rPr>
      </w:pPr>
    </w:p>
    <w:p w14:paraId="29FF6C4C" w14:textId="29C83FE1" w:rsidR="00530E9A" w:rsidRPr="0098414F" w:rsidRDefault="00386226" w:rsidP="00954002">
      <w:pPr>
        <w:pStyle w:val="Ttulo2"/>
      </w:pPr>
      <w:bookmarkStart w:id="170" w:name="_Toc440036669"/>
      <w:bookmarkStart w:id="171" w:name="_Toc470523341"/>
      <w:bookmarkStart w:id="172" w:name="_Toc26292059"/>
      <w:bookmarkStart w:id="173" w:name="_Toc27146764"/>
      <w:r w:rsidRPr="0098414F">
        <w:t xml:space="preserve">c) </w:t>
      </w:r>
      <w:bookmarkStart w:id="174" w:name="_Toc254413058"/>
      <w:bookmarkStart w:id="175" w:name="_Toc409040053"/>
      <w:r w:rsidR="00AC65A9">
        <w:t>Impacto</w:t>
      </w:r>
      <w:r w:rsidR="00530E9A" w:rsidRPr="0098414F">
        <w:t xml:space="preserve"> a empleados gubernamentales</w:t>
      </w:r>
      <w:bookmarkEnd w:id="170"/>
      <w:bookmarkEnd w:id="171"/>
      <w:bookmarkEnd w:id="172"/>
      <w:bookmarkEnd w:id="173"/>
      <w:bookmarkEnd w:id="174"/>
      <w:bookmarkEnd w:id="175"/>
    </w:p>
    <w:p w14:paraId="46EA7B79" w14:textId="77777777" w:rsidR="00146250" w:rsidRPr="0098414F" w:rsidRDefault="00146250" w:rsidP="00613843">
      <w:pPr>
        <w:widowControl w:val="0"/>
        <w:tabs>
          <w:tab w:val="left" w:pos="630"/>
        </w:tabs>
        <w:autoSpaceDE w:val="0"/>
        <w:autoSpaceDN w:val="0"/>
        <w:adjustRightInd w:val="0"/>
        <w:spacing w:after="0" w:line="360" w:lineRule="auto"/>
        <w:ind w:left="284" w:firstLine="720"/>
        <w:contextualSpacing/>
        <w:jc w:val="both"/>
        <w:rPr>
          <w:rFonts w:ascii="Times New Roman" w:hAnsi="Times New Roman"/>
          <w:lang w:val="es-ES_tradnl"/>
        </w:rPr>
      </w:pPr>
    </w:p>
    <w:p w14:paraId="2C8F9EF5" w14:textId="77777777" w:rsidR="00146250" w:rsidRPr="00AE65E6" w:rsidRDefault="00530E9A" w:rsidP="00CA5792">
      <w:pPr>
        <w:pStyle w:val="Ttulo3"/>
      </w:pPr>
      <w:bookmarkStart w:id="176" w:name="_Toc26292060"/>
      <w:bookmarkStart w:id="177" w:name="_Toc27146765"/>
      <w:r w:rsidRPr="00AE65E6">
        <w:t>Becas en entidades locales e internaciona</w:t>
      </w:r>
      <w:r w:rsidR="00E6714E" w:rsidRPr="00AE65E6">
        <w:t>les y programas de capacitación.</w:t>
      </w:r>
      <w:bookmarkEnd w:id="176"/>
      <w:bookmarkEnd w:id="177"/>
    </w:p>
    <w:p w14:paraId="76D61FA2" w14:textId="77777777" w:rsidR="00CA5792" w:rsidRDefault="00CA5792"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1CD1FA38" w14:textId="77777777" w:rsidR="00362AAF" w:rsidRDefault="00146250"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7C1644">
        <w:rPr>
          <w:rFonts w:ascii="Times New Roman" w:hAnsi="Times New Roman"/>
          <w:lang w:val="es-ES_tradnl"/>
        </w:rPr>
        <w:t>Fortalecimiento de las capacidades técnicas de</w:t>
      </w:r>
      <w:r w:rsidR="00530E9A" w:rsidRPr="007C1644">
        <w:rPr>
          <w:rFonts w:ascii="Times New Roman" w:hAnsi="Times New Roman"/>
          <w:lang w:val="es-ES_tradnl"/>
        </w:rPr>
        <w:t xml:space="preserve"> las carreras de agronomía, veterinaria, tecn</w:t>
      </w:r>
      <w:r w:rsidRPr="007C1644">
        <w:rPr>
          <w:rFonts w:ascii="Times New Roman" w:hAnsi="Times New Roman"/>
          <w:lang w:val="es-ES_tradnl"/>
        </w:rPr>
        <w:t>ología de los alimentos y otros en el marco del progr</w:t>
      </w:r>
      <w:r w:rsidR="005D65BB" w:rsidRPr="007C1644">
        <w:rPr>
          <w:rFonts w:ascii="Times New Roman" w:hAnsi="Times New Roman"/>
          <w:lang w:val="es-ES_tradnl"/>
        </w:rPr>
        <w:t>ama de cooperación multilateral y</w:t>
      </w:r>
      <w:r w:rsidRPr="007C1644">
        <w:rPr>
          <w:rFonts w:ascii="Times New Roman" w:hAnsi="Times New Roman"/>
          <w:lang w:val="es-ES_tradnl"/>
        </w:rPr>
        <w:t xml:space="preserve"> convenios educativo</w:t>
      </w:r>
      <w:r w:rsidR="005D65BB" w:rsidRPr="007C1644">
        <w:rPr>
          <w:rFonts w:ascii="Times New Roman" w:hAnsi="Times New Roman"/>
          <w:lang w:val="es-ES_tradnl"/>
        </w:rPr>
        <w:t>s</w:t>
      </w:r>
      <w:r w:rsidRPr="007C1644">
        <w:rPr>
          <w:rFonts w:ascii="Times New Roman" w:hAnsi="Times New Roman"/>
          <w:lang w:val="es-ES_tradnl"/>
        </w:rPr>
        <w:t xml:space="preserve"> para el fomento del desarrollo de las investigaciones agroforestales</w:t>
      </w:r>
      <w:r w:rsidR="00A601E3" w:rsidRPr="007C1644">
        <w:rPr>
          <w:rFonts w:ascii="Times New Roman" w:hAnsi="Times New Roman"/>
          <w:lang w:val="es-ES_tradnl"/>
        </w:rPr>
        <w:t>,</w:t>
      </w:r>
      <w:r w:rsidRPr="007C1644">
        <w:rPr>
          <w:rFonts w:ascii="Times New Roman" w:hAnsi="Times New Roman"/>
          <w:lang w:val="es-ES_tradnl"/>
        </w:rPr>
        <w:t xml:space="preserve"> a través del Sistema Nacional de </w:t>
      </w:r>
      <w:r w:rsidR="00A601E3" w:rsidRPr="007C1644">
        <w:rPr>
          <w:rFonts w:ascii="Times New Roman" w:hAnsi="Times New Roman"/>
          <w:lang w:val="es-ES_tradnl"/>
        </w:rPr>
        <w:t>I</w:t>
      </w:r>
      <w:r w:rsidRPr="007C1644">
        <w:rPr>
          <w:rFonts w:ascii="Times New Roman" w:hAnsi="Times New Roman"/>
          <w:lang w:val="es-ES_tradnl"/>
        </w:rPr>
        <w:t>nvestigaciones Agroforestales (SINIAF).</w:t>
      </w:r>
      <w:bookmarkStart w:id="178" w:name="_Toc440036670"/>
    </w:p>
    <w:p w14:paraId="55FBA68C" w14:textId="77777777" w:rsidR="00070F13" w:rsidRDefault="00070F13"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66E990A1" w14:textId="1D8D9865" w:rsidR="00070F13" w:rsidRPr="007C1644" w:rsidRDefault="00070F13" w:rsidP="00070F13">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7C1644">
        <w:rPr>
          <w:rFonts w:ascii="Times New Roman" w:hAnsi="Times New Roman"/>
          <w:lang w:val="es-ES_tradnl"/>
        </w:rPr>
        <w:t xml:space="preserve">La Ley no. 251-12, que instituye el Sistema Nacional de Investigaciones Agropecuarias y Forestales (SINIAF), de manera específica el artículo 7, referente a las atribuciones del CONIAF, en su numeral 14 </w:t>
      </w:r>
      <w:r w:rsidR="007C1644" w:rsidRPr="007C1644">
        <w:rPr>
          <w:rFonts w:ascii="Times New Roman" w:hAnsi="Times New Roman"/>
          <w:lang w:val="es-ES_tradnl"/>
        </w:rPr>
        <w:t>cita:</w:t>
      </w:r>
      <w:r w:rsidRPr="007C1644">
        <w:rPr>
          <w:rFonts w:ascii="Times New Roman" w:hAnsi="Times New Roman"/>
          <w:lang w:val="es-ES_tradnl"/>
        </w:rPr>
        <w:t xml:space="preserve"> “Promover el desarrollo de capacidades nacionales en las universidades e institutos de educación superior, mediante el apoyo a la formación de recursos humanos a nivel de maestría en </w:t>
      </w:r>
      <w:r w:rsidRPr="007C1644">
        <w:rPr>
          <w:rFonts w:ascii="Times New Roman" w:hAnsi="Times New Roman"/>
          <w:lang w:val="es-ES_tradnl"/>
        </w:rPr>
        <w:lastRenderedPageBreak/>
        <w:t>ciencia, doctorado y capacitación en servicio de aquellas becas prioritarias en el sector”.</w:t>
      </w:r>
    </w:p>
    <w:p w14:paraId="0CBA6CB8" w14:textId="77777777" w:rsidR="00070F13" w:rsidRDefault="00070F13"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rPr>
      </w:pPr>
    </w:p>
    <w:p w14:paraId="0945BE34" w14:textId="0A78B0D4" w:rsidR="00070F13" w:rsidRPr="007C1644" w:rsidRDefault="00070F13" w:rsidP="0039014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7C1644">
        <w:rPr>
          <w:rFonts w:ascii="Times New Roman" w:hAnsi="Times New Roman"/>
          <w:lang w:val="es-ES_tradnl"/>
        </w:rPr>
        <w:t xml:space="preserve">El Programa de Formación de Recursos Humanos y Relevo Generacional inicia el año 2019 con 3 beneficiarios vigentes, los cuales al 31 de </w:t>
      </w:r>
      <w:r w:rsidR="006E3242" w:rsidRPr="007C1644">
        <w:rPr>
          <w:rFonts w:ascii="Times New Roman" w:hAnsi="Times New Roman"/>
          <w:lang w:val="es-ES_tradnl"/>
        </w:rPr>
        <w:t>octubre</w:t>
      </w:r>
      <w:r w:rsidRPr="007C1644">
        <w:rPr>
          <w:rFonts w:ascii="Times New Roman" w:hAnsi="Times New Roman"/>
          <w:lang w:val="es-ES_tradnl"/>
        </w:rPr>
        <w:t xml:space="preserve"> han finalizado sus estudios. De ellos queda solo una estudiante que está elaborando su tesis. La inversión total en estos tres estudiantes que se mantenían vigentes a ini</w:t>
      </w:r>
      <w:r w:rsidR="00DC410F">
        <w:rPr>
          <w:rFonts w:ascii="Times New Roman" w:hAnsi="Times New Roman"/>
          <w:lang w:val="es-ES_tradnl"/>
        </w:rPr>
        <w:t>cios de este año asciende a RD$</w:t>
      </w:r>
      <w:r w:rsidRPr="007C1644">
        <w:rPr>
          <w:rFonts w:ascii="Times New Roman" w:hAnsi="Times New Roman"/>
          <w:lang w:val="es-ES_tradnl"/>
        </w:rPr>
        <w:t>3,832,576.15. Estos becarios realizaron sus estudios en universidades extranjeras y en las áreas relacionadas con el sector agropecuario y forestal.</w:t>
      </w:r>
    </w:p>
    <w:p w14:paraId="3E78E852" w14:textId="2B136540" w:rsidR="00193AC5" w:rsidRDefault="00193AC5">
      <w:pPr>
        <w:spacing w:after="0"/>
        <w:rPr>
          <w:rFonts w:ascii="Times New Roman" w:hAnsi="Times New Roman"/>
          <w:lang w:val="es-ES_tradnl"/>
        </w:rPr>
      </w:pPr>
    </w:p>
    <w:p w14:paraId="3F75718C" w14:textId="77777777" w:rsidR="004174A9" w:rsidRPr="00AE65E6" w:rsidRDefault="004174A9" w:rsidP="00CA5792">
      <w:pPr>
        <w:pStyle w:val="Ttulo3"/>
      </w:pPr>
      <w:bookmarkStart w:id="179" w:name="_Toc26292061"/>
      <w:bookmarkStart w:id="180" w:name="_Toc27146766"/>
      <w:bookmarkEnd w:id="178"/>
      <w:r w:rsidRPr="00AE65E6">
        <w:t>Programa de formación de capital humano para el relevo generacional</w:t>
      </w:r>
      <w:bookmarkEnd w:id="179"/>
      <w:bookmarkEnd w:id="180"/>
      <w:r w:rsidRPr="00AE65E6">
        <w:t xml:space="preserve"> </w:t>
      </w:r>
    </w:p>
    <w:p w14:paraId="0F88808B" w14:textId="77777777" w:rsidR="00CA5792" w:rsidRDefault="00CA5792" w:rsidP="004174A9">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1791E6F2" w14:textId="77777777" w:rsidR="004174A9" w:rsidRDefault="004174A9" w:rsidP="004174A9">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7C1644">
        <w:rPr>
          <w:rFonts w:ascii="Times New Roman" w:hAnsi="Times New Roman"/>
          <w:lang w:val="es-ES_tradnl"/>
        </w:rPr>
        <w:t>El programa de Becas para la formación de profesionales agropecuarios que lleva a cabo la Universidad ISA en coordinación con este Ministerio</w:t>
      </w:r>
      <w:r w:rsidR="00A601E3" w:rsidRPr="007C1644">
        <w:rPr>
          <w:rFonts w:ascii="Times New Roman" w:hAnsi="Times New Roman"/>
          <w:lang w:val="es-ES_tradnl"/>
        </w:rPr>
        <w:t>,</w:t>
      </w:r>
      <w:r w:rsidRPr="007C1644">
        <w:rPr>
          <w:rFonts w:ascii="Times New Roman" w:hAnsi="Times New Roman"/>
          <w:lang w:val="es-ES_tradnl"/>
        </w:rPr>
        <w:t xml:space="preserve"> otorgó becas con cobertura desde 50% hasta 100% de gastos a estudiantes sobresalientes.</w:t>
      </w:r>
    </w:p>
    <w:p w14:paraId="535598A5" w14:textId="77777777" w:rsidR="00EC0CEC" w:rsidRDefault="00EC0CEC" w:rsidP="004174A9">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068AA87D" w14:textId="34DDF95B" w:rsidR="00C060B8" w:rsidRPr="007C1644" w:rsidRDefault="008D3335" w:rsidP="00C060B8">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7C1644">
        <w:rPr>
          <w:rFonts w:ascii="Times New Roman" w:hAnsi="Times New Roman"/>
          <w:lang w:val="es-ES_tradnl"/>
        </w:rPr>
        <w:t>Durante</w:t>
      </w:r>
      <w:r w:rsidR="00C060B8" w:rsidRPr="007C1644">
        <w:rPr>
          <w:rFonts w:ascii="Times New Roman" w:hAnsi="Times New Roman"/>
          <w:lang w:val="es-ES_tradnl"/>
        </w:rPr>
        <w:t xml:space="preserve"> el año 2019, s</w:t>
      </w:r>
      <w:r w:rsidR="00E8337B" w:rsidRPr="007C1644">
        <w:rPr>
          <w:rFonts w:ascii="Times New Roman" w:hAnsi="Times New Roman"/>
          <w:lang w:val="es-ES_tradnl"/>
        </w:rPr>
        <w:t>e han</w:t>
      </w:r>
      <w:r w:rsidR="00EC0CEC" w:rsidRPr="007C1644">
        <w:rPr>
          <w:rFonts w:ascii="Times New Roman" w:hAnsi="Times New Roman"/>
          <w:lang w:val="es-ES_tradnl"/>
        </w:rPr>
        <w:t xml:space="preserve"> </w:t>
      </w:r>
      <w:r w:rsidR="00E8337B" w:rsidRPr="007C1644">
        <w:rPr>
          <w:rFonts w:ascii="Times New Roman" w:hAnsi="Times New Roman"/>
          <w:lang w:val="es-ES_tradnl"/>
        </w:rPr>
        <w:t xml:space="preserve">otorgado becas a 106 </w:t>
      </w:r>
      <w:r w:rsidR="00C060B8" w:rsidRPr="007C1644">
        <w:rPr>
          <w:rFonts w:ascii="Times New Roman" w:hAnsi="Times New Roman"/>
          <w:lang w:val="es-ES_tradnl"/>
        </w:rPr>
        <w:t xml:space="preserve">estudiantes de escasos recursos mediante Convenio Ministerio de Agricultura/ISA de diferentes regiones del país en carreras del sector agropecuario y Medio Ambiental, con lo que se eleva a 293 el número de becarios en </w:t>
      </w:r>
      <w:r w:rsidR="009B0106">
        <w:rPr>
          <w:rFonts w:ascii="Times New Roman" w:hAnsi="Times New Roman"/>
          <w:lang w:val="es-ES_tradnl"/>
        </w:rPr>
        <w:t>la Universidad ISA. A</w:t>
      </w:r>
      <w:r w:rsidR="00C060B8" w:rsidRPr="007C1644">
        <w:rPr>
          <w:rFonts w:ascii="Times New Roman" w:hAnsi="Times New Roman"/>
          <w:lang w:val="es-ES_tradnl"/>
        </w:rPr>
        <w:t>dicionalmente se ha</w:t>
      </w:r>
      <w:r w:rsidR="009B0106">
        <w:rPr>
          <w:rFonts w:ascii="Times New Roman" w:hAnsi="Times New Roman"/>
          <w:lang w:val="es-ES_tradnl"/>
        </w:rPr>
        <w:t xml:space="preserve"> graduado </w:t>
      </w:r>
      <w:r w:rsidR="00C060B8" w:rsidRPr="007C1644">
        <w:rPr>
          <w:rFonts w:ascii="Times New Roman" w:hAnsi="Times New Roman"/>
          <w:lang w:val="es-ES_tradnl"/>
        </w:rPr>
        <w:t>un total de 52 nuevos profesionales a través de</w:t>
      </w:r>
      <w:r w:rsidR="009B0106">
        <w:rPr>
          <w:rFonts w:ascii="Times New Roman" w:hAnsi="Times New Roman"/>
          <w:lang w:val="es-ES_tradnl"/>
        </w:rPr>
        <w:t xml:space="preserve"> dicho</w:t>
      </w:r>
      <w:r w:rsidR="00C060B8" w:rsidRPr="007C1644">
        <w:rPr>
          <w:rFonts w:ascii="Times New Roman" w:hAnsi="Times New Roman"/>
          <w:lang w:val="es-ES_tradnl"/>
        </w:rPr>
        <w:t xml:space="preserve"> convenio. </w:t>
      </w:r>
    </w:p>
    <w:p w14:paraId="106E6D86" w14:textId="77777777" w:rsidR="00C060B8" w:rsidRPr="00C060B8" w:rsidRDefault="00C060B8" w:rsidP="00C060B8">
      <w:pPr>
        <w:widowControl w:val="0"/>
        <w:tabs>
          <w:tab w:val="left" w:pos="630"/>
        </w:tabs>
        <w:autoSpaceDE w:val="0"/>
        <w:autoSpaceDN w:val="0"/>
        <w:adjustRightInd w:val="0"/>
        <w:spacing w:after="0" w:line="480" w:lineRule="auto"/>
        <w:ind w:firstLine="720"/>
        <w:contextualSpacing/>
        <w:jc w:val="both"/>
        <w:rPr>
          <w:rFonts w:ascii="Times New Roman" w:hAnsi="Times New Roman"/>
          <w:highlight w:val="yellow"/>
          <w:lang w:val="es-ES_tradnl"/>
        </w:rPr>
      </w:pPr>
    </w:p>
    <w:p w14:paraId="15CDDDC4" w14:textId="4301309F" w:rsidR="00EC0CEC" w:rsidRPr="00D14644" w:rsidRDefault="00C060B8" w:rsidP="00EC0CEC">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D14644">
        <w:rPr>
          <w:rFonts w:ascii="Times New Roman" w:hAnsi="Times New Roman"/>
          <w:lang w:val="es-ES_tradnl"/>
        </w:rPr>
        <w:lastRenderedPageBreak/>
        <w:t>Apoyo a 150 estudiantes de bachillerato del Instituto Tecnológico San Ignacio de Loyola (ITESIL) de Dajabón</w:t>
      </w:r>
      <w:r w:rsidR="00EC0CEC" w:rsidRPr="00D14644">
        <w:rPr>
          <w:rFonts w:ascii="Times New Roman" w:hAnsi="Times New Roman"/>
          <w:lang w:val="es-ES_tradnl"/>
        </w:rPr>
        <w:t xml:space="preserve">. Este importante esfuerzo </w:t>
      </w:r>
      <w:r w:rsidR="00D14644" w:rsidRPr="00D14644">
        <w:rPr>
          <w:rFonts w:ascii="Times New Roman" w:hAnsi="Times New Roman"/>
          <w:lang w:val="es-ES_tradnl"/>
        </w:rPr>
        <w:t>es r</w:t>
      </w:r>
      <w:r w:rsidR="00EC0CEC" w:rsidRPr="00D14644">
        <w:rPr>
          <w:rFonts w:ascii="Times New Roman" w:hAnsi="Times New Roman"/>
          <w:lang w:val="es-ES_tradnl"/>
        </w:rPr>
        <w:t>ealiza</w:t>
      </w:r>
      <w:r w:rsidR="00D14644" w:rsidRPr="00D14644">
        <w:rPr>
          <w:rFonts w:ascii="Times New Roman" w:hAnsi="Times New Roman"/>
          <w:lang w:val="es-ES_tradnl"/>
        </w:rPr>
        <w:t>do por</w:t>
      </w:r>
      <w:r w:rsidR="00EC0CEC" w:rsidRPr="00D14644">
        <w:rPr>
          <w:rFonts w:ascii="Times New Roman" w:hAnsi="Times New Roman"/>
          <w:lang w:val="es-ES_tradnl"/>
        </w:rPr>
        <w:t xml:space="preserve"> el Ministerio para que el país cuente con una masa crítica de profesionales agrope</w:t>
      </w:r>
      <w:r w:rsidRPr="00D14644">
        <w:rPr>
          <w:rFonts w:ascii="Times New Roman" w:hAnsi="Times New Roman"/>
          <w:lang w:val="es-ES_tradnl"/>
        </w:rPr>
        <w:t>cuarios.</w:t>
      </w:r>
    </w:p>
    <w:p w14:paraId="41C5422C" w14:textId="77777777" w:rsidR="00EC0CEC" w:rsidRPr="00D14644" w:rsidRDefault="00EC0CEC" w:rsidP="004174A9">
      <w:pPr>
        <w:widowControl w:val="0"/>
        <w:tabs>
          <w:tab w:val="left" w:pos="630"/>
        </w:tabs>
        <w:autoSpaceDE w:val="0"/>
        <w:autoSpaceDN w:val="0"/>
        <w:adjustRightInd w:val="0"/>
        <w:spacing w:after="0" w:line="480" w:lineRule="auto"/>
        <w:ind w:firstLine="720"/>
        <w:contextualSpacing/>
        <w:jc w:val="both"/>
        <w:rPr>
          <w:rFonts w:ascii="Times New Roman" w:hAnsi="Times New Roman"/>
          <w:color w:val="4F81BD" w:themeColor="accent1"/>
          <w:lang w:val="es-ES_tradnl"/>
        </w:rPr>
      </w:pPr>
    </w:p>
    <w:p w14:paraId="47885EF0" w14:textId="77777777" w:rsidR="004174A9" w:rsidRPr="00D14644" w:rsidRDefault="004174A9" w:rsidP="004174A9">
      <w:pPr>
        <w:widowControl w:val="0"/>
        <w:tabs>
          <w:tab w:val="left" w:pos="0"/>
        </w:tabs>
        <w:autoSpaceDE w:val="0"/>
        <w:autoSpaceDN w:val="0"/>
        <w:adjustRightInd w:val="0"/>
        <w:spacing w:after="0" w:line="480" w:lineRule="auto"/>
        <w:ind w:firstLine="709"/>
        <w:contextualSpacing/>
        <w:jc w:val="both"/>
        <w:rPr>
          <w:rFonts w:ascii="Times New Roman" w:hAnsi="Times New Roman"/>
          <w:b/>
          <w:sz w:val="28"/>
          <w:lang w:val="es-ES_tradnl"/>
        </w:rPr>
      </w:pPr>
      <w:r w:rsidRPr="00D14644">
        <w:rPr>
          <w:rFonts w:ascii="Times New Roman" w:hAnsi="Times New Roman"/>
          <w:b/>
          <w:sz w:val="28"/>
          <w:lang w:val="es-ES_tradnl"/>
        </w:rPr>
        <w:t>Programa de relevo generacional</w:t>
      </w:r>
    </w:p>
    <w:p w14:paraId="03711289" w14:textId="77777777" w:rsidR="00DC410F" w:rsidRDefault="00DC410F" w:rsidP="00F511AB">
      <w:pPr>
        <w:spacing w:after="0" w:line="480" w:lineRule="auto"/>
        <w:ind w:firstLine="720"/>
        <w:jc w:val="both"/>
        <w:rPr>
          <w:rFonts w:ascii="Times New Roman" w:hAnsi="Times New Roman"/>
          <w:lang w:val="es-MX"/>
        </w:rPr>
      </w:pPr>
    </w:p>
    <w:p w14:paraId="55AEE591" w14:textId="1190B1C1" w:rsidR="004174A9" w:rsidRDefault="004174A9" w:rsidP="00F511AB">
      <w:pPr>
        <w:spacing w:after="0" w:line="480" w:lineRule="auto"/>
        <w:ind w:firstLine="720"/>
        <w:jc w:val="both"/>
        <w:rPr>
          <w:rFonts w:ascii="Times New Roman" w:hAnsi="Times New Roman"/>
          <w:lang w:val="es-MX"/>
        </w:rPr>
      </w:pPr>
      <w:r w:rsidRPr="00D14644">
        <w:rPr>
          <w:rFonts w:ascii="Times New Roman" w:hAnsi="Times New Roman"/>
          <w:lang w:val="es-MX"/>
        </w:rPr>
        <w:t xml:space="preserve">El programa de formación de capital humano para el relevo generacional, ejecutado por el Consejo Nacional </w:t>
      </w:r>
      <w:r w:rsidR="000C0296" w:rsidRPr="00D14644">
        <w:rPr>
          <w:rFonts w:ascii="Times New Roman" w:hAnsi="Times New Roman"/>
          <w:lang w:val="es-MX"/>
        </w:rPr>
        <w:t>d</w:t>
      </w:r>
      <w:r w:rsidRPr="00D14644">
        <w:rPr>
          <w:rFonts w:ascii="Times New Roman" w:hAnsi="Times New Roman"/>
          <w:lang w:val="es-MX"/>
        </w:rPr>
        <w:t xml:space="preserve">e Investigaciones Agroforestales, (CONIAF), </w:t>
      </w:r>
      <w:r w:rsidR="000C0296" w:rsidRPr="00D14644">
        <w:rPr>
          <w:rFonts w:ascii="Times New Roman" w:hAnsi="Times New Roman"/>
          <w:lang w:val="es-MX"/>
        </w:rPr>
        <w:t>para el proceso de sucesión de nuevos t</w:t>
      </w:r>
      <w:r w:rsidR="00F511AB" w:rsidRPr="00D14644">
        <w:rPr>
          <w:rFonts w:ascii="Times New Roman" w:hAnsi="Times New Roman"/>
          <w:lang w:val="es-MX"/>
        </w:rPr>
        <w:t xml:space="preserve">écnicos del sector agropecuario, cuenta con becarios formándose en el exterior, según se detalla a </w:t>
      </w:r>
      <w:r w:rsidR="00AC4439" w:rsidRPr="00D14644">
        <w:rPr>
          <w:rFonts w:ascii="Times New Roman" w:hAnsi="Times New Roman"/>
          <w:lang w:val="es-MX"/>
        </w:rPr>
        <w:t>continuación</w:t>
      </w:r>
      <w:r w:rsidR="00F511AB" w:rsidRPr="00D14644">
        <w:rPr>
          <w:rFonts w:ascii="Times New Roman" w:hAnsi="Times New Roman"/>
          <w:lang w:val="es-MX"/>
        </w:rPr>
        <w:t>:</w:t>
      </w:r>
    </w:p>
    <w:p w14:paraId="76FFF0DB" w14:textId="77777777" w:rsidR="008D1984" w:rsidRDefault="008D1984" w:rsidP="00F511AB">
      <w:pPr>
        <w:spacing w:after="0" w:line="480" w:lineRule="auto"/>
        <w:ind w:firstLine="720"/>
        <w:jc w:val="both"/>
        <w:rPr>
          <w:rFonts w:ascii="Times New Roman" w:hAnsi="Times New Roman"/>
          <w:lang w:val="es-MX"/>
        </w:rPr>
      </w:pPr>
    </w:p>
    <w:p w14:paraId="5BB74BD8" w14:textId="6F2FC02F" w:rsidR="006C5E64" w:rsidRPr="00CA5792" w:rsidRDefault="00F511AB" w:rsidP="001C6B1A">
      <w:pPr>
        <w:pStyle w:val="Prrafodelista"/>
        <w:numPr>
          <w:ilvl w:val="0"/>
          <w:numId w:val="9"/>
        </w:numPr>
        <w:spacing w:after="0"/>
        <w:ind w:left="567" w:hanging="567"/>
        <w:rPr>
          <w:rFonts w:ascii="Times New Roman" w:hAnsi="Times New Roman"/>
          <w:sz w:val="24"/>
          <w:lang w:val="es-ES_tradnl"/>
        </w:rPr>
      </w:pPr>
      <w:r w:rsidRPr="0098414F">
        <w:rPr>
          <w:rFonts w:ascii="Times New Roman" w:hAnsi="Times New Roman"/>
          <w:b/>
          <w:sz w:val="24"/>
          <w:lang w:val="es-ES_tradnl"/>
        </w:rPr>
        <w:t xml:space="preserve">Relación de </w:t>
      </w:r>
      <w:r>
        <w:rPr>
          <w:rFonts w:ascii="Times New Roman" w:hAnsi="Times New Roman"/>
          <w:b/>
          <w:sz w:val="24"/>
          <w:lang w:val="es-ES_tradnl"/>
        </w:rPr>
        <w:t>bec</w:t>
      </w:r>
      <w:r w:rsidR="00963A91">
        <w:rPr>
          <w:rFonts w:ascii="Times New Roman" w:hAnsi="Times New Roman"/>
          <w:b/>
          <w:sz w:val="24"/>
          <w:lang w:val="es-ES_tradnl"/>
        </w:rPr>
        <w:t>arios activos a finales del 2019</w:t>
      </w:r>
    </w:p>
    <w:p w14:paraId="1E611421" w14:textId="77777777" w:rsidR="00CA5792" w:rsidRPr="00F511AB" w:rsidRDefault="00CA5792" w:rsidP="00CA5792">
      <w:pPr>
        <w:pStyle w:val="Prrafodelista"/>
        <w:spacing w:after="0"/>
        <w:ind w:left="567"/>
        <w:rPr>
          <w:rFonts w:ascii="Times New Roman" w:hAnsi="Times New Roman"/>
          <w:sz w:val="24"/>
          <w:lang w:val="es-ES_tradnl"/>
        </w:rPr>
      </w:pPr>
    </w:p>
    <w:tbl>
      <w:tblPr>
        <w:tblW w:w="6101" w:type="pct"/>
        <w:jc w:val="center"/>
        <w:tblLayout w:type="fixed"/>
        <w:tblCellMar>
          <w:left w:w="70" w:type="dxa"/>
          <w:right w:w="70" w:type="dxa"/>
        </w:tblCellMar>
        <w:tblLook w:val="04A0" w:firstRow="1" w:lastRow="0" w:firstColumn="1" w:lastColumn="0" w:noHBand="0" w:noVBand="1"/>
      </w:tblPr>
      <w:tblGrid>
        <w:gridCol w:w="502"/>
        <w:gridCol w:w="1482"/>
        <w:gridCol w:w="1560"/>
        <w:gridCol w:w="1845"/>
        <w:gridCol w:w="1560"/>
        <w:gridCol w:w="1417"/>
        <w:gridCol w:w="1274"/>
      </w:tblGrid>
      <w:tr w:rsidR="00454E10" w:rsidRPr="00E17207" w14:paraId="44E85396" w14:textId="77777777" w:rsidTr="00DC410F">
        <w:trPr>
          <w:trHeight w:val="86"/>
          <w:jc w:val="center"/>
        </w:trPr>
        <w:tc>
          <w:tcPr>
            <w:tcW w:w="260" w:type="pct"/>
            <w:tcBorders>
              <w:top w:val="single" w:sz="8" w:space="0" w:color="auto"/>
              <w:left w:val="single" w:sz="8" w:space="0" w:color="auto"/>
              <w:bottom w:val="single" w:sz="8" w:space="0" w:color="auto"/>
              <w:right w:val="single" w:sz="8" w:space="0" w:color="auto"/>
            </w:tcBorders>
            <w:shd w:val="clear" w:color="auto" w:fill="00B050"/>
            <w:noWrap/>
            <w:vAlign w:val="center"/>
            <w:hideMark/>
          </w:tcPr>
          <w:p w14:paraId="21E5877F" w14:textId="77777777" w:rsidR="00F511AB" w:rsidRPr="00E17207" w:rsidRDefault="00F511AB" w:rsidP="00F511AB">
            <w:pPr>
              <w:spacing w:after="0"/>
              <w:jc w:val="center"/>
              <w:rPr>
                <w:rFonts w:ascii="Times New Roman" w:hAnsi="Times New Roman"/>
                <w:b/>
                <w:bCs/>
                <w:color w:val="FFFFFF" w:themeColor="background1"/>
                <w:lang w:eastAsia="es-DO"/>
              </w:rPr>
            </w:pPr>
            <w:r w:rsidRPr="00E17207">
              <w:rPr>
                <w:rFonts w:ascii="Times New Roman" w:hAnsi="Times New Roman"/>
                <w:b/>
                <w:bCs/>
                <w:color w:val="FFFFFF" w:themeColor="background1"/>
                <w:lang w:eastAsia="es-DO"/>
              </w:rPr>
              <w:t>No</w:t>
            </w:r>
            <w:r w:rsidRPr="00E17207">
              <w:rPr>
                <w:rFonts w:ascii="Times New Roman" w:hAnsi="Times New Roman"/>
                <w:color w:val="FFFFFF" w:themeColor="background1"/>
                <w:lang w:eastAsia="es-DO"/>
              </w:rPr>
              <w:t>.</w:t>
            </w:r>
          </w:p>
        </w:tc>
        <w:tc>
          <w:tcPr>
            <w:tcW w:w="768" w:type="pct"/>
            <w:tcBorders>
              <w:top w:val="single" w:sz="8" w:space="0" w:color="auto"/>
              <w:left w:val="nil"/>
              <w:bottom w:val="single" w:sz="8" w:space="0" w:color="auto"/>
              <w:right w:val="single" w:sz="8" w:space="0" w:color="000000"/>
            </w:tcBorders>
            <w:shd w:val="clear" w:color="auto" w:fill="00B050"/>
            <w:noWrap/>
            <w:vAlign w:val="center"/>
            <w:hideMark/>
          </w:tcPr>
          <w:p w14:paraId="7D8BC76F" w14:textId="5929D791" w:rsidR="00F511AB" w:rsidRPr="00E17207" w:rsidRDefault="00F511AB" w:rsidP="00F511AB">
            <w:pPr>
              <w:spacing w:after="0"/>
              <w:jc w:val="center"/>
              <w:rPr>
                <w:rFonts w:ascii="Times New Roman" w:hAnsi="Times New Roman"/>
                <w:b/>
                <w:bCs/>
                <w:color w:val="FFFFFF" w:themeColor="background1"/>
                <w:lang w:eastAsia="es-DO"/>
              </w:rPr>
            </w:pPr>
            <w:r w:rsidRPr="00E17207">
              <w:rPr>
                <w:rFonts w:ascii="Times New Roman" w:hAnsi="Times New Roman"/>
                <w:b/>
                <w:bCs/>
                <w:color w:val="FFFFFF" w:themeColor="background1"/>
                <w:lang w:eastAsia="es-DO"/>
              </w:rPr>
              <w:t>Nombre</w:t>
            </w:r>
            <w:r w:rsidR="00D14644" w:rsidRPr="00E17207">
              <w:rPr>
                <w:rFonts w:ascii="Times New Roman" w:hAnsi="Times New Roman"/>
                <w:b/>
                <w:bCs/>
                <w:color w:val="FFFFFF" w:themeColor="background1"/>
                <w:lang w:eastAsia="es-DO"/>
              </w:rPr>
              <w:t>s</w:t>
            </w:r>
          </w:p>
        </w:tc>
        <w:tc>
          <w:tcPr>
            <w:tcW w:w="809" w:type="pct"/>
            <w:tcBorders>
              <w:top w:val="single" w:sz="8" w:space="0" w:color="auto"/>
              <w:left w:val="nil"/>
              <w:bottom w:val="single" w:sz="8" w:space="0" w:color="auto"/>
              <w:right w:val="single" w:sz="8" w:space="0" w:color="000000"/>
            </w:tcBorders>
            <w:shd w:val="clear" w:color="auto" w:fill="00B050"/>
            <w:noWrap/>
            <w:vAlign w:val="center"/>
            <w:hideMark/>
          </w:tcPr>
          <w:p w14:paraId="766EE548" w14:textId="77777777" w:rsidR="00F511AB" w:rsidRPr="00E17207" w:rsidRDefault="00F511AB" w:rsidP="00F511AB">
            <w:pPr>
              <w:spacing w:after="0"/>
              <w:jc w:val="center"/>
              <w:rPr>
                <w:rFonts w:ascii="Times New Roman" w:hAnsi="Times New Roman"/>
                <w:b/>
                <w:bCs/>
                <w:color w:val="FFFFFF" w:themeColor="background1"/>
                <w:lang w:eastAsia="es-DO"/>
              </w:rPr>
            </w:pPr>
            <w:r w:rsidRPr="00E17207">
              <w:rPr>
                <w:rFonts w:ascii="Times New Roman" w:hAnsi="Times New Roman"/>
                <w:b/>
                <w:bCs/>
                <w:color w:val="FFFFFF" w:themeColor="background1"/>
                <w:lang w:eastAsia="es-DO"/>
              </w:rPr>
              <w:t xml:space="preserve">Nivel de </w:t>
            </w:r>
          </w:p>
          <w:p w14:paraId="175EF405" w14:textId="77777777" w:rsidR="00F511AB" w:rsidRPr="00E17207" w:rsidRDefault="00F511AB" w:rsidP="00F511AB">
            <w:pPr>
              <w:spacing w:after="0"/>
              <w:jc w:val="center"/>
              <w:rPr>
                <w:rFonts w:ascii="Times New Roman" w:hAnsi="Times New Roman"/>
                <w:b/>
                <w:bCs/>
                <w:color w:val="FFFFFF" w:themeColor="background1"/>
                <w:lang w:eastAsia="es-DO"/>
              </w:rPr>
            </w:pPr>
            <w:r w:rsidRPr="00E17207">
              <w:rPr>
                <w:rFonts w:ascii="Times New Roman" w:hAnsi="Times New Roman"/>
                <w:b/>
                <w:bCs/>
                <w:color w:val="FFFFFF" w:themeColor="background1"/>
                <w:lang w:eastAsia="es-DO"/>
              </w:rPr>
              <w:t xml:space="preserve">Estudio </w:t>
            </w:r>
          </w:p>
        </w:tc>
        <w:tc>
          <w:tcPr>
            <w:tcW w:w="957" w:type="pct"/>
            <w:tcBorders>
              <w:top w:val="single" w:sz="8" w:space="0" w:color="auto"/>
              <w:left w:val="nil"/>
              <w:bottom w:val="single" w:sz="8" w:space="0" w:color="auto"/>
              <w:right w:val="single" w:sz="8" w:space="0" w:color="000000"/>
            </w:tcBorders>
            <w:shd w:val="clear" w:color="auto" w:fill="00B050"/>
            <w:noWrap/>
            <w:vAlign w:val="center"/>
            <w:hideMark/>
          </w:tcPr>
          <w:p w14:paraId="30C416D8" w14:textId="77777777" w:rsidR="00F511AB" w:rsidRPr="00E17207" w:rsidRDefault="00F511AB" w:rsidP="00F511AB">
            <w:pPr>
              <w:spacing w:after="0"/>
              <w:jc w:val="center"/>
              <w:rPr>
                <w:rFonts w:ascii="Times New Roman" w:hAnsi="Times New Roman"/>
                <w:b/>
                <w:bCs/>
                <w:color w:val="FFFFFF" w:themeColor="background1"/>
                <w:lang w:eastAsia="es-DO"/>
              </w:rPr>
            </w:pPr>
            <w:r w:rsidRPr="00E17207">
              <w:rPr>
                <w:rFonts w:ascii="Times New Roman" w:hAnsi="Times New Roman"/>
                <w:b/>
                <w:bCs/>
                <w:color w:val="FFFFFF" w:themeColor="background1"/>
                <w:lang w:eastAsia="es-DO"/>
              </w:rPr>
              <w:t>Universidad</w:t>
            </w:r>
          </w:p>
        </w:tc>
        <w:tc>
          <w:tcPr>
            <w:tcW w:w="809" w:type="pct"/>
            <w:tcBorders>
              <w:top w:val="single" w:sz="8" w:space="0" w:color="auto"/>
              <w:left w:val="nil"/>
              <w:bottom w:val="single" w:sz="8" w:space="0" w:color="auto"/>
              <w:right w:val="single" w:sz="8" w:space="0" w:color="000000"/>
            </w:tcBorders>
            <w:shd w:val="clear" w:color="auto" w:fill="00B050"/>
            <w:vAlign w:val="center"/>
            <w:hideMark/>
          </w:tcPr>
          <w:p w14:paraId="6DAD2AB1" w14:textId="30BF8C6E" w:rsidR="00F511AB" w:rsidRPr="00E17207" w:rsidRDefault="000A7D03" w:rsidP="000A7D03">
            <w:pPr>
              <w:spacing w:after="0"/>
              <w:jc w:val="center"/>
              <w:rPr>
                <w:rFonts w:ascii="Times New Roman" w:hAnsi="Times New Roman"/>
                <w:b/>
                <w:bCs/>
                <w:color w:val="FFFFFF" w:themeColor="background1"/>
                <w:lang w:eastAsia="es-DO"/>
              </w:rPr>
            </w:pPr>
            <w:r w:rsidRPr="00E17207">
              <w:rPr>
                <w:rFonts w:ascii="Times New Roman" w:hAnsi="Times New Roman"/>
                <w:b/>
                <w:bCs/>
                <w:color w:val="FFFFFF" w:themeColor="background1"/>
                <w:lang w:eastAsia="es-DO"/>
              </w:rPr>
              <w:t>Monto Aproba</w:t>
            </w:r>
            <w:r w:rsidR="00CA5792">
              <w:rPr>
                <w:rFonts w:ascii="Times New Roman" w:hAnsi="Times New Roman"/>
                <w:b/>
                <w:bCs/>
                <w:color w:val="FFFFFF" w:themeColor="background1"/>
                <w:lang w:eastAsia="es-DO"/>
              </w:rPr>
              <w:t>d</w:t>
            </w:r>
            <w:r w:rsidRPr="00E17207">
              <w:rPr>
                <w:rFonts w:ascii="Times New Roman" w:hAnsi="Times New Roman"/>
                <w:b/>
                <w:bCs/>
                <w:color w:val="FFFFFF" w:themeColor="background1"/>
                <w:lang w:eastAsia="es-DO"/>
              </w:rPr>
              <w:t>o</w:t>
            </w:r>
          </w:p>
        </w:tc>
        <w:tc>
          <w:tcPr>
            <w:tcW w:w="735" w:type="pct"/>
            <w:tcBorders>
              <w:top w:val="single" w:sz="8" w:space="0" w:color="auto"/>
              <w:left w:val="single" w:sz="8" w:space="0" w:color="auto"/>
              <w:bottom w:val="single" w:sz="8" w:space="0" w:color="auto"/>
              <w:right w:val="single" w:sz="8" w:space="0" w:color="auto"/>
            </w:tcBorders>
            <w:shd w:val="clear" w:color="auto" w:fill="00B050"/>
            <w:vAlign w:val="center"/>
            <w:hideMark/>
          </w:tcPr>
          <w:p w14:paraId="274BBA6B" w14:textId="7BD9E5AE" w:rsidR="00F511AB" w:rsidRPr="00E17207" w:rsidRDefault="00F511AB" w:rsidP="00F511AB">
            <w:pPr>
              <w:spacing w:after="0"/>
              <w:jc w:val="center"/>
              <w:rPr>
                <w:rFonts w:ascii="Times New Roman" w:hAnsi="Times New Roman"/>
                <w:b/>
                <w:bCs/>
                <w:color w:val="FFFFFF" w:themeColor="background1"/>
                <w:lang w:eastAsia="es-DO"/>
              </w:rPr>
            </w:pPr>
            <w:r w:rsidRPr="00E17207">
              <w:rPr>
                <w:rFonts w:ascii="Times New Roman" w:hAnsi="Times New Roman"/>
                <w:b/>
                <w:bCs/>
                <w:color w:val="FFFFFF" w:themeColor="background1"/>
                <w:lang w:eastAsia="es-DO"/>
              </w:rPr>
              <w:t>Total Desembol</w:t>
            </w:r>
            <w:r w:rsidR="00E17207">
              <w:rPr>
                <w:rFonts w:ascii="Times New Roman" w:hAnsi="Times New Roman"/>
                <w:b/>
                <w:bCs/>
                <w:color w:val="FFFFFF" w:themeColor="background1"/>
                <w:lang w:eastAsia="es-DO"/>
              </w:rPr>
              <w:t>-</w:t>
            </w:r>
            <w:r w:rsidRPr="00E17207">
              <w:rPr>
                <w:rFonts w:ascii="Times New Roman" w:hAnsi="Times New Roman"/>
                <w:b/>
                <w:bCs/>
                <w:color w:val="FFFFFF" w:themeColor="background1"/>
                <w:lang w:eastAsia="es-DO"/>
              </w:rPr>
              <w:t xml:space="preserve">sado </w:t>
            </w:r>
          </w:p>
        </w:tc>
        <w:tc>
          <w:tcPr>
            <w:tcW w:w="661" w:type="pct"/>
            <w:tcBorders>
              <w:top w:val="single" w:sz="8" w:space="0" w:color="auto"/>
              <w:left w:val="single" w:sz="8" w:space="0" w:color="auto"/>
              <w:bottom w:val="single" w:sz="8" w:space="0" w:color="auto"/>
              <w:right w:val="single" w:sz="8" w:space="0" w:color="auto"/>
            </w:tcBorders>
            <w:shd w:val="clear" w:color="auto" w:fill="00B050"/>
            <w:vAlign w:val="center"/>
          </w:tcPr>
          <w:p w14:paraId="1F3B66ED" w14:textId="714D4C21" w:rsidR="00F511AB" w:rsidRPr="00E17207" w:rsidRDefault="00F511AB" w:rsidP="00F511AB">
            <w:pPr>
              <w:spacing w:after="0"/>
              <w:jc w:val="center"/>
              <w:rPr>
                <w:rFonts w:ascii="Times New Roman" w:hAnsi="Times New Roman"/>
                <w:b/>
                <w:bCs/>
                <w:color w:val="FFFFFF" w:themeColor="background1"/>
                <w:lang w:eastAsia="es-DO"/>
              </w:rPr>
            </w:pPr>
            <w:r w:rsidRPr="00E17207">
              <w:rPr>
                <w:rFonts w:ascii="Times New Roman" w:hAnsi="Times New Roman"/>
                <w:b/>
                <w:bCs/>
                <w:color w:val="FFFFFF" w:themeColor="background1"/>
                <w:lang w:eastAsia="es-DO"/>
              </w:rPr>
              <w:t>Disponibi</w:t>
            </w:r>
            <w:r w:rsidR="00E17207">
              <w:rPr>
                <w:rFonts w:ascii="Times New Roman" w:hAnsi="Times New Roman"/>
                <w:b/>
                <w:bCs/>
                <w:color w:val="FFFFFF" w:themeColor="background1"/>
                <w:lang w:eastAsia="es-DO"/>
              </w:rPr>
              <w:t>-</w:t>
            </w:r>
            <w:r w:rsidRPr="00E17207">
              <w:rPr>
                <w:rFonts w:ascii="Times New Roman" w:hAnsi="Times New Roman"/>
                <w:b/>
                <w:bCs/>
                <w:color w:val="FFFFFF" w:themeColor="background1"/>
                <w:lang w:eastAsia="es-DO"/>
              </w:rPr>
              <w:t>lidad</w:t>
            </w:r>
          </w:p>
        </w:tc>
      </w:tr>
      <w:tr w:rsidR="00454E10" w:rsidRPr="00E17207" w14:paraId="760FD3F5" w14:textId="77777777" w:rsidTr="00DC410F">
        <w:trPr>
          <w:trHeight w:val="780"/>
          <w:jc w:val="center"/>
        </w:trPr>
        <w:tc>
          <w:tcPr>
            <w:tcW w:w="260" w:type="pct"/>
            <w:tcBorders>
              <w:top w:val="nil"/>
              <w:left w:val="single" w:sz="8" w:space="0" w:color="auto"/>
              <w:bottom w:val="single" w:sz="8" w:space="0" w:color="000000"/>
              <w:right w:val="single" w:sz="8" w:space="0" w:color="auto"/>
            </w:tcBorders>
            <w:shd w:val="clear" w:color="000000" w:fill="FFFFFF"/>
            <w:vAlign w:val="center"/>
            <w:hideMark/>
          </w:tcPr>
          <w:p w14:paraId="1FDB71E4" w14:textId="77777777" w:rsidR="00070F13" w:rsidRPr="00E17207" w:rsidRDefault="00070F13" w:rsidP="008D3335">
            <w:pPr>
              <w:spacing w:after="0"/>
              <w:jc w:val="center"/>
              <w:rPr>
                <w:rFonts w:ascii="Times New Roman" w:hAnsi="Times New Roman"/>
                <w:b/>
                <w:bCs/>
                <w:lang w:eastAsia="es-DO"/>
              </w:rPr>
            </w:pPr>
            <w:r w:rsidRPr="00E17207">
              <w:rPr>
                <w:rFonts w:ascii="Times New Roman" w:hAnsi="Times New Roman"/>
                <w:b/>
                <w:bCs/>
                <w:lang w:eastAsia="es-DO"/>
              </w:rPr>
              <w:t>1</w:t>
            </w:r>
          </w:p>
        </w:tc>
        <w:tc>
          <w:tcPr>
            <w:tcW w:w="768" w:type="pct"/>
            <w:tcBorders>
              <w:top w:val="single" w:sz="8" w:space="0" w:color="auto"/>
              <w:left w:val="single" w:sz="8" w:space="0" w:color="auto"/>
              <w:bottom w:val="single" w:sz="8" w:space="0" w:color="000000"/>
              <w:right w:val="single" w:sz="8" w:space="0" w:color="000000"/>
            </w:tcBorders>
            <w:shd w:val="clear" w:color="000000" w:fill="FFFFFF"/>
            <w:vAlign w:val="center"/>
          </w:tcPr>
          <w:p w14:paraId="40AD0DD9" w14:textId="66592244" w:rsidR="00070F13" w:rsidRPr="00E17207" w:rsidRDefault="00070F13" w:rsidP="008D3335">
            <w:pPr>
              <w:spacing w:after="0"/>
              <w:jc w:val="center"/>
              <w:rPr>
                <w:rFonts w:ascii="Times New Roman" w:hAnsi="Times New Roman"/>
                <w:lang w:eastAsia="es-DO"/>
              </w:rPr>
            </w:pPr>
            <w:r w:rsidRPr="00E17207">
              <w:rPr>
                <w:rFonts w:ascii="Times New Roman" w:hAnsi="Times New Roman"/>
                <w:bCs/>
                <w:lang w:eastAsia="es-DO"/>
              </w:rPr>
              <w:t>Laura Glenys Polanco</w:t>
            </w:r>
          </w:p>
        </w:tc>
        <w:tc>
          <w:tcPr>
            <w:tcW w:w="809" w:type="pct"/>
            <w:tcBorders>
              <w:top w:val="single" w:sz="8" w:space="0" w:color="auto"/>
              <w:left w:val="single" w:sz="8" w:space="0" w:color="auto"/>
              <w:bottom w:val="single" w:sz="8" w:space="0" w:color="000000"/>
              <w:right w:val="single" w:sz="8" w:space="0" w:color="000000"/>
            </w:tcBorders>
            <w:shd w:val="clear" w:color="000000" w:fill="FFFFFF"/>
            <w:vAlign w:val="center"/>
          </w:tcPr>
          <w:p w14:paraId="49F90563" w14:textId="28D2C9AC" w:rsidR="00070F13" w:rsidRPr="00E17207" w:rsidRDefault="00070F13" w:rsidP="008D3335">
            <w:pPr>
              <w:spacing w:after="0"/>
              <w:jc w:val="center"/>
              <w:rPr>
                <w:rFonts w:ascii="Times New Roman" w:hAnsi="Times New Roman"/>
                <w:lang w:eastAsia="es-DO"/>
              </w:rPr>
            </w:pPr>
            <w:r w:rsidRPr="00E17207">
              <w:rPr>
                <w:rFonts w:ascii="Times New Roman" w:hAnsi="Times New Roman"/>
                <w:lang w:eastAsia="es-DO"/>
              </w:rPr>
              <w:t>Doctorado</w:t>
            </w:r>
          </w:p>
        </w:tc>
        <w:tc>
          <w:tcPr>
            <w:tcW w:w="957" w:type="pct"/>
            <w:tcBorders>
              <w:top w:val="single" w:sz="8" w:space="0" w:color="auto"/>
              <w:left w:val="single" w:sz="8" w:space="0" w:color="auto"/>
              <w:bottom w:val="single" w:sz="8" w:space="0" w:color="000000"/>
              <w:right w:val="single" w:sz="8" w:space="0" w:color="000000"/>
            </w:tcBorders>
            <w:shd w:val="clear" w:color="000000" w:fill="FFFFFF"/>
            <w:vAlign w:val="center"/>
          </w:tcPr>
          <w:p w14:paraId="715092B6" w14:textId="4FF2B417" w:rsidR="00070F13" w:rsidRPr="00E17207" w:rsidRDefault="00070F13" w:rsidP="008D3335">
            <w:pPr>
              <w:spacing w:after="0"/>
              <w:jc w:val="center"/>
              <w:rPr>
                <w:rFonts w:ascii="Times New Roman" w:hAnsi="Times New Roman"/>
                <w:lang w:eastAsia="es-DO"/>
              </w:rPr>
            </w:pPr>
            <w:r w:rsidRPr="00E17207">
              <w:rPr>
                <w:rFonts w:ascii="Times New Roman" w:hAnsi="Times New Roman"/>
                <w:lang w:eastAsia="es-DO"/>
              </w:rPr>
              <w:t>Universidad Juárez, Autónoma de Tabasco, México.</w:t>
            </w:r>
          </w:p>
        </w:tc>
        <w:tc>
          <w:tcPr>
            <w:tcW w:w="809" w:type="pct"/>
            <w:tcBorders>
              <w:top w:val="single" w:sz="8" w:space="0" w:color="auto"/>
              <w:left w:val="single" w:sz="8" w:space="0" w:color="auto"/>
              <w:bottom w:val="single" w:sz="8" w:space="0" w:color="000000"/>
              <w:right w:val="single" w:sz="8" w:space="0" w:color="000000"/>
            </w:tcBorders>
            <w:shd w:val="clear" w:color="000000" w:fill="FFFFFF"/>
            <w:vAlign w:val="center"/>
          </w:tcPr>
          <w:p w14:paraId="3B193199" w14:textId="2110855C" w:rsidR="00070F13" w:rsidRPr="00E17207" w:rsidRDefault="00070F13" w:rsidP="008D3335">
            <w:pPr>
              <w:spacing w:after="0"/>
              <w:jc w:val="center"/>
              <w:rPr>
                <w:rFonts w:ascii="Times New Roman" w:hAnsi="Times New Roman"/>
                <w:lang w:eastAsia="es-DO"/>
              </w:rPr>
            </w:pPr>
            <w:r w:rsidRPr="00E17207">
              <w:rPr>
                <w:rFonts w:ascii="Times New Roman" w:hAnsi="Times New Roman"/>
                <w:lang w:eastAsia="es-DO"/>
              </w:rPr>
              <w:t>349,737.69</w:t>
            </w:r>
          </w:p>
        </w:tc>
        <w:tc>
          <w:tcPr>
            <w:tcW w:w="735" w:type="pct"/>
            <w:tcBorders>
              <w:top w:val="nil"/>
              <w:left w:val="single" w:sz="8" w:space="0" w:color="auto"/>
              <w:bottom w:val="single" w:sz="8" w:space="0" w:color="000000"/>
              <w:right w:val="single" w:sz="4" w:space="0" w:color="auto"/>
            </w:tcBorders>
            <w:shd w:val="clear" w:color="000000" w:fill="FFFFFF"/>
            <w:vAlign w:val="center"/>
          </w:tcPr>
          <w:p w14:paraId="5090A08F" w14:textId="77419353" w:rsidR="00070F13" w:rsidRPr="00E17207" w:rsidRDefault="00070F13" w:rsidP="008D3335">
            <w:pPr>
              <w:spacing w:after="0"/>
              <w:jc w:val="center"/>
              <w:rPr>
                <w:rFonts w:ascii="Times New Roman" w:hAnsi="Times New Roman"/>
                <w:lang w:eastAsia="es-DO"/>
              </w:rPr>
            </w:pPr>
            <w:r w:rsidRPr="00E17207">
              <w:rPr>
                <w:rFonts w:ascii="Times New Roman" w:hAnsi="Times New Roman"/>
                <w:lang w:eastAsia="es-DO"/>
              </w:rPr>
              <w:t>280,385.03</w:t>
            </w:r>
          </w:p>
        </w:tc>
        <w:tc>
          <w:tcPr>
            <w:tcW w:w="661" w:type="pct"/>
            <w:tcBorders>
              <w:top w:val="nil"/>
              <w:left w:val="single" w:sz="8" w:space="0" w:color="auto"/>
              <w:bottom w:val="single" w:sz="8" w:space="0" w:color="000000"/>
              <w:right w:val="single" w:sz="4" w:space="0" w:color="auto"/>
            </w:tcBorders>
            <w:shd w:val="clear" w:color="000000" w:fill="FFFFFF"/>
            <w:vAlign w:val="center"/>
          </w:tcPr>
          <w:p w14:paraId="576C6FF4" w14:textId="29BDCCB7" w:rsidR="00070F13" w:rsidRPr="00E17207" w:rsidRDefault="00070F13" w:rsidP="008D3335">
            <w:pPr>
              <w:spacing w:after="0"/>
              <w:jc w:val="center"/>
              <w:rPr>
                <w:rFonts w:ascii="Times New Roman" w:hAnsi="Times New Roman"/>
                <w:lang w:eastAsia="es-DO"/>
              </w:rPr>
            </w:pPr>
            <w:r w:rsidRPr="00E17207">
              <w:rPr>
                <w:rFonts w:ascii="Times New Roman" w:hAnsi="Times New Roman"/>
                <w:lang w:eastAsia="es-DO"/>
              </w:rPr>
              <w:t>0.00</w:t>
            </w:r>
          </w:p>
        </w:tc>
      </w:tr>
      <w:tr w:rsidR="00454E10" w:rsidRPr="00E17207" w14:paraId="3D9A8270" w14:textId="77777777" w:rsidTr="00DC410F">
        <w:trPr>
          <w:trHeight w:val="122"/>
          <w:jc w:val="center"/>
        </w:trPr>
        <w:tc>
          <w:tcPr>
            <w:tcW w:w="260" w:type="pct"/>
            <w:tcBorders>
              <w:top w:val="nil"/>
              <w:left w:val="single" w:sz="8" w:space="0" w:color="auto"/>
              <w:bottom w:val="single" w:sz="8" w:space="0" w:color="000000"/>
              <w:right w:val="single" w:sz="8" w:space="0" w:color="auto"/>
            </w:tcBorders>
            <w:shd w:val="clear" w:color="000000" w:fill="FFFFFF"/>
            <w:vAlign w:val="center"/>
            <w:hideMark/>
          </w:tcPr>
          <w:p w14:paraId="5843428E" w14:textId="77777777" w:rsidR="00070F13" w:rsidRPr="00E17207" w:rsidRDefault="00070F13" w:rsidP="008D3335">
            <w:pPr>
              <w:spacing w:after="0"/>
              <w:jc w:val="center"/>
              <w:rPr>
                <w:rFonts w:ascii="Times New Roman" w:hAnsi="Times New Roman"/>
                <w:b/>
                <w:bCs/>
                <w:lang w:eastAsia="es-DO"/>
              </w:rPr>
            </w:pPr>
            <w:r w:rsidRPr="00E17207">
              <w:rPr>
                <w:rFonts w:ascii="Times New Roman" w:hAnsi="Times New Roman"/>
                <w:b/>
                <w:bCs/>
                <w:lang w:eastAsia="es-DO"/>
              </w:rPr>
              <w:t>2</w:t>
            </w:r>
          </w:p>
        </w:tc>
        <w:tc>
          <w:tcPr>
            <w:tcW w:w="768" w:type="pct"/>
            <w:tcBorders>
              <w:top w:val="single" w:sz="8" w:space="0" w:color="auto"/>
              <w:left w:val="single" w:sz="8" w:space="0" w:color="auto"/>
              <w:bottom w:val="single" w:sz="8" w:space="0" w:color="000000"/>
              <w:right w:val="single" w:sz="8" w:space="0" w:color="000000"/>
            </w:tcBorders>
            <w:shd w:val="clear" w:color="000000" w:fill="FFFFFF"/>
          </w:tcPr>
          <w:p w14:paraId="275D38CC" w14:textId="04848A9C" w:rsidR="00070F13" w:rsidRPr="00E17207" w:rsidRDefault="00070F13" w:rsidP="00E17207">
            <w:pPr>
              <w:spacing w:after="0"/>
              <w:jc w:val="center"/>
              <w:rPr>
                <w:rFonts w:ascii="Times New Roman" w:hAnsi="Times New Roman"/>
                <w:lang w:eastAsia="es-DO"/>
              </w:rPr>
            </w:pPr>
            <w:r w:rsidRPr="00E17207">
              <w:rPr>
                <w:rFonts w:ascii="Times New Roman" w:hAnsi="Times New Roman"/>
                <w:bCs/>
                <w:lang w:eastAsia="es-DO"/>
              </w:rPr>
              <w:t>Jenny Rosa E. Rodríguez J.</w:t>
            </w:r>
          </w:p>
        </w:tc>
        <w:tc>
          <w:tcPr>
            <w:tcW w:w="809" w:type="pct"/>
            <w:tcBorders>
              <w:top w:val="single" w:sz="8" w:space="0" w:color="auto"/>
              <w:left w:val="single" w:sz="8" w:space="0" w:color="auto"/>
              <w:bottom w:val="single" w:sz="8" w:space="0" w:color="000000"/>
              <w:right w:val="single" w:sz="8" w:space="0" w:color="000000"/>
            </w:tcBorders>
            <w:shd w:val="clear" w:color="000000" w:fill="FFFFFF"/>
          </w:tcPr>
          <w:p w14:paraId="62E07D0C" w14:textId="77777777" w:rsidR="00070F13" w:rsidRPr="00E17207" w:rsidRDefault="00070F13" w:rsidP="00E17207">
            <w:pPr>
              <w:spacing w:after="0"/>
              <w:jc w:val="center"/>
              <w:rPr>
                <w:rFonts w:ascii="Times New Roman" w:hAnsi="Times New Roman"/>
                <w:lang w:eastAsia="es-DO"/>
              </w:rPr>
            </w:pPr>
            <w:r w:rsidRPr="00E17207">
              <w:rPr>
                <w:rFonts w:ascii="Times New Roman" w:hAnsi="Times New Roman"/>
                <w:lang w:eastAsia="es-DO"/>
              </w:rPr>
              <w:t>Doctorado (Tesis pendiente)</w:t>
            </w:r>
          </w:p>
          <w:p w14:paraId="3E58C393" w14:textId="592A1BDC" w:rsidR="00070F13" w:rsidRPr="00E17207" w:rsidRDefault="00070F13" w:rsidP="00E17207">
            <w:pPr>
              <w:spacing w:after="0"/>
              <w:jc w:val="center"/>
              <w:rPr>
                <w:rFonts w:ascii="Times New Roman" w:hAnsi="Times New Roman"/>
                <w:lang w:eastAsia="es-DO"/>
              </w:rPr>
            </w:pPr>
            <w:r w:rsidRPr="00E17207">
              <w:rPr>
                <w:rFonts w:ascii="Times New Roman" w:hAnsi="Times New Roman"/>
                <w:sz w:val="22"/>
                <w:lang w:eastAsia="es-DO"/>
              </w:rPr>
              <w:t>Estado: Vigente</w:t>
            </w:r>
          </w:p>
        </w:tc>
        <w:tc>
          <w:tcPr>
            <w:tcW w:w="957" w:type="pct"/>
            <w:tcBorders>
              <w:top w:val="single" w:sz="8" w:space="0" w:color="auto"/>
              <w:left w:val="single" w:sz="8" w:space="0" w:color="auto"/>
              <w:bottom w:val="single" w:sz="8" w:space="0" w:color="000000"/>
              <w:right w:val="single" w:sz="8" w:space="0" w:color="000000"/>
            </w:tcBorders>
            <w:shd w:val="clear" w:color="000000" w:fill="FFFFFF"/>
          </w:tcPr>
          <w:p w14:paraId="6E53B398" w14:textId="2CF3C6E6" w:rsidR="00070F13" w:rsidRPr="00E17207" w:rsidRDefault="00070F13" w:rsidP="00E17207">
            <w:pPr>
              <w:spacing w:after="0"/>
              <w:jc w:val="center"/>
              <w:rPr>
                <w:rFonts w:ascii="Times New Roman" w:hAnsi="Times New Roman"/>
                <w:lang w:eastAsia="es-DO"/>
              </w:rPr>
            </w:pPr>
            <w:r w:rsidRPr="00E17207">
              <w:rPr>
                <w:rFonts w:ascii="Times New Roman" w:hAnsi="Times New Roman"/>
                <w:lang w:eastAsia="es-DO"/>
              </w:rPr>
              <w:t>Universidad Autónoma de Nuevo León, México.</w:t>
            </w:r>
          </w:p>
        </w:tc>
        <w:tc>
          <w:tcPr>
            <w:tcW w:w="809" w:type="pct"/>
            <w:tcBorders>
              <w:top w:val="single" w:sz="8" w:space="0" w:color="auto"/>
              <w:left w:val="single" w:sz="8" w:space="0" w:color="auto"/>
              <w:bottom w:val="single" w:sz="8" w:space="0" w:color="000000"/>
              <w:right w:val="single" w:sz="8" w:space="0" w:color="000000"/>
            </w:tcBorders>
            <w:shd w:val="clear" w:color="000000" w:fill="FFFFFF"/>
            <w:vAlign w:val="center"/>
          </w:tcPr>
          <w:p w14:paraId="1C1DBC37" w14:textId="19DFDC9D" w:rsidR="00070F13" w:rsidRPr="00E17207" w:rsidRDefault="00070F13" w:rsidP="008D3335">
            <w:pPr>
              <w:spacing w:after="0"/>
              <w:jc w:val="center"/>
              <w:rPr>
                <w:rFonts w:ascii="Times New Roman" w:hAnsi="Times New Roman"/>
                <w:lang w:eastAsia="es-DO"/>
              </w:rPr>
            </w:pPr>
            <w:r w:rsidRPr="00E17207">
              <w:rPr>
                <w:rFonts w:ascii="Times New Roman" w:hAnsi="Times New Roman"/>
                <w:color w:val="000000"/>
              </w:rPr>
              <w:t>1,405,206.31</w:t>
            </w:r>
          </w:p>
        </w:tc>
        <w:tc>
          <w:tcPr>
            <w:tcW w:w="735" w:type="pct"/>
            <w:tcBorders>
              <w:top w:val="nil"/>
              <w:left w:val="single" w:sz="8" w:space="0" w:color="auto"/>
              <w:bottom w:val="single" w:sz="4" w:space="0" w:color="auto"/>
              <w:right w:val="single" w:sz="4" w:space="0" w:color="auto"/>
            </w:tcBorders>
            <w:shd w:val="clear" w:color="000000" w:fill="FFFFFF"/>
            <w:vAlign w:val="center"/>
          </w:tcPr>
          <w:p w14:paraId="3BCA5655" w14:textId="7B7B7716" w:rsidR="00070F13" w:rsidRPr="00E17207" w:rsidRDefault="00070F13" w:rsidP="008D3335">
            <w:pPr>
              <w:spacing w:after="0"/>
              <w:jc w:val="center"/>
              <w:rPr>
                <w:rFonts w:ascii="Times New Roman" w:hAnsi="Times New Roman"/>
                <w:lang w:eastAsia="es-DO"/>
              </w:rPr>
            </w:pPr>
            <w:r w:rsidRPr="00E17207">
              <w:rPr>
                <w:rFonts w:ascii="Times New Roman" w:hAnsi="Times New Roman"/>
                <w:lang w:eastAsia="es-DO"/>
              </w:rPr>
              <w:t>1,387,388.31</w:t>
            </w:r>
          </w:p>
        </w:tc>
        <w:tc>
          <w:tcPr>
            <w:tcW w:w="661" w:type="pct"/>
            <w:tcBorders>
              <w:top w:val="nil"/>
              <w:left w:val="single" w:sz="8" w:space="0" w:color="auto"/>
              <w:bottom w:val="single" w:sz="4" w:space="0" w:color="auto"/>
              <w:right w:val="single" w:sz="4" w:space="0" w:color="auto"/>
            </w:tcBorders>
            <w:shd w:val="clear" w:color="000000" w:fill="FFFFFF"/>
            <w:vAlign w:val="center"/>
          </w:tcPr>
          <w:p w14:paraId="5C5ED83D" w14:textId="5C7A1058" w:rsidR="00070F13" w:rsidRPr="00E17207" w:rsidRDefault="00070F13" w:rsidP="008D3335">
            <w:pPr>
              <w:spacing w:after="0"/>
              <w:jc w:val="center"/>
              <w:rPr>
                <w:rFonts w:ascii="Times New Roman" w:hAnsi="Times New Roman"/>
                <w:lang w:eastAsia="es-DO"/>
              </w:rPr>
            </w:pPr>
            <w:r w:rsidRPr="00E17207">
              <w:rPr>
                <w:rFonts w:ascii="Times New Roman" w:hAnsi="Times New Roman"/>
                <w:lang w:eastAsia="es-DO"/>
              </w:rPr>
              <w:t>33,103.08</w:t>
            </w:r>
          </w:p>
        </w:tc>
      </w:tr>
      <w:tr w:rsidR="00454E10" w:rsidRPr="00E17207" w14:paraId="1A623FC6" w14:textId="77777777" w:rsidTr="00DC410F">
        <w:trPr>
          <w:trHeight w:val="853"/>
          <w:jc w:val="center"/>
        </w:trPr>
        <w:tc>
          <w:tcPr>
            <w:tcW w:w="260" w:type="pct"/>
            <w:tcBorders>
              <w:top w:val="nil"/>
              <w:left w:val="single" w:sz="8" w:space="0" w:color="auto"/>
              <w:bottom w:val="single" w:sz="8" w:space="0" w:color="000000"/>
              <w:right w:val="single" w:sz="8" w:space="0" w:color="auto"/>
            </w:tcBorders>
            <w:shd w:val="clear" w:color="000000" w:fill="FFFFFF"/>
            <w:vAlign w:val="center"/>
          </w:tcPr>
          <w:p w14:paraId="6B8ADA34" w14:textId="77777777" w:rsidR="00070F13" w:rsidRPr="00E17207" w:rsidRDefault="00070F13" w:rsidP="008D3335">
            <w:pPr>
              <w:spacing w:after="0"/>
              <w:jc w:val="center"/>
              <w:rPr>
                <w:rFonts w:ascii="Times New Roman" w:hAnsi="Times New Roman"/>
                <w:b/>
                <w:bCs/>
                <w:lang w:eastAsia="es-DO"/>
              </w:rPr>
            </w:pPr>
            <w:r w:rsidRPr="00E17207">
              <w:rPr>
                <w:rFonts w:ascii="Times New Roman" w:hAnsi="Times New Roman"/>
                <w:b/>
                <w:bCs/>
                <w:lang w:eastAsia="es-DO"/>
              </w:rPr>
              <w:t>3</w:t>
            </w:r>
          </w:p>
        </w:tc>
        <w:tc>
          <w:tcPr>
            <w:tcW w:w="768" w:type="pct"/>
            <w:tcBorders>
              <w:top w:val="single" w:sz="8" w:space="0" w:color="auto"/>
              <w:left w:val="single" w:sz="8" w:space="0" w:color="auto"/>
              <w:bottom w:val="single" w:sz="8" w:space="0" w:color="000000"/>
              <w:right w:val="single" w:sz="8" w:space="0" w:color="000000"/>
            </w:tcBorders>
            <w:shd w:val="clear" w:color="000000" w:fill="FFFFFF"/>
            <w:vAlign w:val="center"/>
          </w:tcPr>
          <w:p w14:paraId="48E1DCB9" w14:textId="6BC63878" w:rsidR="00070F13" w:rsidRPr="00E17207" w:rsidRDefault="00070F13" w:rsidP="008D3335">
            <w:pPr>
              <w:spacing w:after="0"/>
              <w:jc w:val="center"/>
              <w:rPr>
                <w:rFonts w:ascii="Times New Roman" w:hAnsi="Times New Roman"/>
                <w:lang w:eastAsia="es-DO"/>
              </w:rPr>
            </w:pPr>
            <w:r w:rsidRPr="00E17207">
              <w:rPr>
                <w:rFonts w:ascii="Times New Roman" w:hAnsi="Times New Roman"/>
                <w:lang w:eastAsia="es-DO"/>
              </w:rPr>
              <w:t>Felipe Elmy Peguero</w:t>
            </w:r>
          </w:p>
        </w:tc>
        <w:tc>
          <w:tcPr>
            <w:tcW w:w="809" w:type="pct"/>
            <w:tcBorders>
              <w:top w:val="single" w:sz="8" w:space="0" w:color="auto"/>
              <w:left w:val="single" w:sz="8" w:space="0" w:color="auto"/>
              <w:bottom w:val="single" w:sz="8" w:space="0" w:color="000000"/>
              <w:right w:val="single" w:sz="8" w:space="0" w:color="000000"/>
            </w:tcBorders>
            <w:shd w:val="clear" w:color="000000" w:fill="FFFFFF"/>
            <w:vAlign w:val="center"/>
          </w:tcPr>
          <w:p w14:paraId="1BDD8B56" w14:textId="524B466D" w:rsidR="00070F13" w:rsidRPr="00E17207" w:rsidRDefault="00070F13" w:rsidP="008D3335">
            <w:pPr>
              <w:spacing w:after="0"/>
              <w:jc w:val="center"/>
              <w:rPr>
                <w:rFonts w:ascii="Times New Roman" w:hAnsi="Times New Roman"/>
                <w:lang w:eastAsia="es-DO"/>
              </w:rPr>
            </w:pPr>
            <w:r w:rsidRPr="00E17207">
              <w:rPr>
                <w:rFonts w:ascii="Times New Roman" w:hAnsi="Times New Roman"/>
                <w:lang w:eastAsia="es-DO"/>
              </w:rPr>
              <w:t>Doctorado</w:t>
            </w:r>
          </w:p>
        </w:tc>
        <w:tc>
          <w:tcPr>
            <w:tcW w:w="957" w:type="pct"/>
            <w:tcBorders>
              <w:top w:val="single" w:sz="8" w:space="0" w:color="auto"/>
              <w:left w:val="single" w:sz="8" w:space="0" w:color="auto"/>
              <w:bottom w:val="single" w:sz="8" w:space="0" w:color="000000"/>
              <w:right w:val="single" w:sz="8" w:space="0" w:color="000000"/>
            </w:tcBorders>
            <w:shd w:val="clear" w:color="000000" w:fill="FFFFFF"/>
            <w:vAlign w:val="center"/>
          </w:tcPr>
          <w:p w14:paraId="1D372BD3" w14:textId="2F46C3DC" w:rsidR="00070F13" w:rsidRPr="00E17207" w:rsidRDefault="00070F13" w:rsidP="008D3335">
            <w:pPr>
              <w:spacing w:after="0"/>
              <w:jc w:val="center"/>
              <w:rPr>
                <w:rFonts w:ascii="Times New Roman" w:hAnsi="Times New Roman"/>
                <w:lang w:eastAsia="es-DO"/>
              </w:rPr>
            </w:pPr>
            <w:r w:rsidRPr="00E17207">
              <w:rPr>
                <w:rFonts w:ascii="Times New Roman" w:hAnsi="Times New Roman"/>
                <w:lang w:eastAsia="es-DO"/>
              </w:rPr>
              <w:t>Universidad de Luisiana, EE. UU</w:t>
            </w:r>
            <w:r w:rsidR="00DC410F">
              <w:rPr>
                <w:rFonts w:ascii="Times New Roman" w:hAnsi="Times New Roman"/>
                <w:lang w:eastAsia="es-DO"/>
              </w:rPr>
              <w:t>.</w:t>
            </w:r>
          </w:p>
        </w:tc>
        <w:tc>
          <w:tcPr>
            <w:tcW w:w="809" w:type="pct"/>
            <w:tcBorders>
              <w:top w:val="single" w:sz="8" w:space="0" w:color="auto"/>
              <w:left w:val="single" w:sz="8" w:space="0" w:color="auto"/>
              <w:bottom w:val="single" w:sz="8" w:space="0" w:color="000000"/>
              <w:right w:val="single" w:sz="4" w:space="0" w:color="auto"/>
            </w:tcBorders>
            <w:shd w:val="clear" w:color="000000" w:fill="FFFFFF"/>
            <w:vAlign w:val="center"/>
          </w:tcPr>
          <w:p w14:paraId="6898FF5D" w14:textId="134033D1" w:rsidR="00070F13" w:rsidRPr="00E17207" w:rsidRDefault="00070F13" w:rsidP="008D3335">
            <w:pPr>
              <w:spacing w:after="0"/>
              <w:jc w:val="center"/>
              <w:rPr>
                <w:rFonts w:ascii="Times New Roman" w:hAnsi="Times New Roman"/>
                <w:lang w:eastAsia="es-DO"/>
              </w:rPr>
            </w:pPr>
            <w:r w:rsidRPr="00E17207">
              <w:rPr>
                <w:rFonts w:ascii="Times New Roman" w:hAnsi="Times New Roman"/>
                <w:color w:val="000000"/>
              </w:rPr>
              <w:t>2,077,632.15</w:t>
            </w:r>
          </w:p>
        </w:tc>
        <w:tc>
          <w:tcPr>
            <w:tcW w:w="735" w:type="pct"/>
            <w:tcBorders>
              <w:top w:val="single" w:sz="4" w:space="0" w:color="auto"/>
              <w:left w:val="single" w:sz="4" w:space="0" w:color="auto"/>
              <w:bottom w:val="single" w:sz="4" w:space="0" w:color="auto"/>
              <w:right w:val="single" w:sz="4" w:space="0" w:color="auto"/>
            </w:tcBorders>
            <w:shd w:val="clear" w:color="000000" w:fill="FFFFFF"/>
            <w:vAlign w:val="center"/>
          </w:tcPr>
          <w:p w14:paraId="50897816" w14:textId="7163622B" w:rsidR="00070F13" w:rsidRPr="00E17207" w:rsidRDefault="00070F13" w:rsidP="008D3335">
            <w:pPr>
              <w:spacing w:after="0"/>
              <w:jc w:val="center"/>
              <w:rPr>
                <w:rFonts w:ascii="Times New Roman" w:hAnsi="Times New Roman"/>
                <w:lang w:eastAsia="es-DO"/>
              </w:rPr>
            </w:pPr>
            <w:r w:rsidRPr="00E17207">
              <w:rPr>
                <w:rFonts w:ascii="Times New Roman" w:hAnsi="Times New Roman"/>
              </w:rPr>
              <w:t>2,076,550.45</w:t>
            </w:r>
          </w:p>
        </w:tc>
        <w:tc>
          <w:tcPr>
            <w:tcW w:w="661" w:type="pct"/>
            <w:tcBorders>
              <w:top w:val="single" w:sz="4" w:space="0" w:color="auto"/>
              <w:left w:val="single" w:sz="4" w:space="0" w:color="auto"/>
              <w:bottom w:val="single" w:sz="4" w:space="0" w:color="auto"/>
              <w:right w:val="single" w:sz="4" w:space="0" w:color="auto"/>
            </w:tcBorders>
            <w:shd w:val="clear" w:color="000000" w:fill="FFFFFF"/>
            <w:vAlign w:val="center"/>
          </w:tcPr>
          <w:p w14:paraId="44D0D403" w14:textId="5F512BD4" w:rsidR="00070F13" w:rsidRPr="00E17207" w:rsidRDefault="00070F13" w:rsidP="008D3335">
            <w:pPr>
              <w:spacing w:after="0"/>
              <w:jc w:val="center"/>
              <w:rPr>
                <w:rFonts w:ascii="Times New Roman" w:hAnsi="Times New Roman"/>
                <w:lang w:eastAsia="es-DO"/>
              </w:rPr>
            </w:pPr>
            <w:r w:rsidRPr="00E17207">
              <w:rPr>
                <w:rFonts w:ascii="Times New Roman" w:hAnsi="Times New Roman"/>
                <w:lang w:eastAsia="es-DO"/>
              </w:rPr>
              <w:t>0.00</w:t>
            </w:r>
          </w:p>
        </w:tc>
      </w:tr>
      <w:tr w:rsidR="00E17207" w:rsidRPr="00765634" w14:paraId="2A19CFC4" w14:textId="77777777" w:rsidTr="00DC410F">
        <w:trPr>
          <w:trHeight w:val="264"/>
          <w:jc w:val="center"/>
        </w:trPr>
        <w:tc>
          <w:tcPr>
            <w:tcW w:w="2794" w:type="pct"/>
            <w:gridSpan w:val="4"/>
            <w:tcBorders>
              <w:top w:val="nil"/>
              <w:left w:val="single" w:sz="8" w:space="0" w:color="auto"/>
              <w:bottom w:val="single" w:sz="8" w:space="0" w:color="000000"/>
              <w:right w:val="single" w:sz="8" w:space="0" w:color="000000"/>
            </w:tcBorders>
            <w:shd w:val="clear" w:color="auto" w:fill="808080" w:themeFill="background1" w:themeFillShade="80"/>
            <w:vAlign w:val="center"/>
          </w:tcPr>
          <w:p w14:paraId="463549C0" w14:textId="77777777" w:rsidR="00070F13" w:rsidRPr="00CA5792" w:rsidRDefault="00070F13" w:rsidP="008D3335">
            <w:pPr>
              <w:spacing w:after="0"/>
              <w:jc w:val="center"/>
              <w:rPr>
                <w:rFonts w:ascii="Times New Roman" w:hAnsi="Times New Roman"/>
                <w:b/>
                <w:color w:val="FFFFFF" w:themeColor="background1"/>
                <w:lang w:eastAsia="es-DO"/>
              </w:rPr>
            </w:pPr>
            <w:r w:rsidRPr="00CA5792">
              <w:rPr>
                <w:rFonts w:ascii="Times New Roman" w:hAnsi="Times New Roman"/>
                <w:b/>
                <w:bCs/>
                <w:color w:val="FFFFFF" w:themeColor="background1"/>
                <w:lang w:eastAsia="es-DO"/>
              </w:rPr>
              <w:t>Total</w:t>
            </w:r>
          </w:p>
        </w:tc>
        <w:tc>
          <w:tcPr>
            <w:tcW w:w="809" w:type="pct"/>
            <w:tcBorders>
              <w:top w:val="single" w:sz="8" w:space="0" w:color="auto"/>
              <w:left w:val="single" w:sz="8" w:space="0" w:color="auto"/>
              <w:bottom w:val="single" w:sz="8" w:space="0" w:color="000000"/>
              <w:right w:val="single" w:sz="8" w:space="0" w:color="000000"/>
            </w:tcBorders>
            <w:shd w:val="clear" w:color="auto" w:fill="808080" w:themeFill="background1" w:themeFillShade="80"/>
            <w:vAlign w:val="center"/>
          </w:tcPr>
          <w:p w14:paraId="055B14C8" w14:textId="77777777" w:rsidR="00070F13" w:rsidRPr="00CA5792" w:rsidRDefault="00070F13" w:rsidP="008D3335">
            <w:pPr>
              <w:spacing w:after="0"/>
              <w:jc w:val="center"/>
              <w:rPr>
                <w:rFonts w:ascii="Times New Roman" w:hAnsi="Times New Roman"/>
                <w:b/>
                <w:bCs/>
                <w:color w:val="FFFFFF" w:themeColor="background1"/>
                <w:lang w:eastAsia="es-DO"/>
              </w:rPr>
            </w:pPr>
            <w:r w:rsidRPr="00CA5792">
              <w:rPr>
                <w:rFonts w:ascii="Times New Roman" w:hAnsi="Times New Roman"/>
                <w:b/>
                <w:bCs/>
                <w:color w:val="FFFFFF" w:themeColor="background1"/>
                <w:lang w:eastAsia="es-DO"/>
              </w:rPr>
              <w:t>3,832,576.15</w:t>
            </w:r>
          </w:p>
        </w:tc>
        <w:tc>
          <w:tcPr>
            <w:tcW w:w="735" w:type="pct"/>
            <w:tcBorders>
              <w:top w:val="single" w:sz="4" w:space="0" w:color="auto"/>
              <w:left w:val="single" w:sz="8" w:space="0" w:color="auto"/>
              <w:bottom w:val="single" w:sz="2" w:space="0" w:color="auto"/>
              <w:right w:val="single" w:sz="8" w:space="0" w:color="auto"/>
            </w:tcBorders>
            <w:shd w:val="clear" w:color="auto" w:fill="808080" w:themeFill="background1" w:themeFillShade="80"/>
            <w:vAlign w:val="center"/>
          </w:tcPr>
          <w:p w14:paraId="123901D1" w14:textId="756C80E6" w:rsidR="00070F13" w:rsidRPr="00CA5792" w:rsidRDefault="00070F13" w:rsidP="008D3335">
            <w:pPr>
              <w:spacing w:after="0"/>
              <w:jc w:val="center"/>
              <w:rPr>
                <w:rFonts w:ascii="Times New Roman" w:hAnsi="Times New Roman"/>
                <w:b/>
                <w:bCs/>
                <w:color w:val="FFFFFF" w:themeColor="background1"/>
                <w:lang w:eastAsia="es-DO"/>
              </w:rPr>
            </w:pPr>
            <w:r w:rsidRPr="00CA5792">
              <w:rPr>
                <w:rFonts w:ascii="Times New Roman" w:hAnsi="Times New Roman"/>
                <w:b/>
                <w:bCs/>
                <w:color w:val="FFFFFF" w:themeColor="background1"/>
                <w:lang w:eastAsia="es-DO"/>
              </w:rPr>
              <w:t>3,744,323.79</w:t>
            </w:r>
          </w:p>
        </w:tc>
        <w:tc>
          <w:tcPr>
            <w:tcW w:w="661" w:type="pct"/>
            <w:tcBorders>
              <w:top w:val="single" w:sz="4" w:space="0" w:color="auto"/>
              <w:left w:val="single" w:sz="8" w:space="0" w:color="auto"/>
              <w:bottom w:val="single" w:sz="2" w:space="0" w:color="auto"/>
              <w:right w:val="single" w:sz="8" w:space="0" w:color="auto"/>
            </w:tcBorders>
            <w:shd w:val="clear" w:color="auto" w:fill="808080" w:themeFill="background1" w:themeFillShade="80"/>
            <w:vAlign w:val="center"/>
          </w:tcPr>
          <w:p w14:paraId="30077B81" w14:textId="4F7890A0" w:rsidR="00070F13" w:rsidRPr="00CA5792" w:rsidRDefault="00070F13" w:rsidP="008D3335">
            <w:pPr>
              <w:spacing w:after="0"/>
              <w:jc w:val="center"/>
              <w:rPr>
                <w:rFonts w:ascii="Times New Roman" w:hAnsi="Times New Roman"/>
                <w:b/>
                <w:bCs/>
                <w:color w:val="FFFFFF" w:themeColor="background1"/>
                <w:lang w:eastAsia="es-DO"/>
              </w:rPr>
            </w:pPr>
            <w:r w:rsidRPr="00CA5792">
              <w:rPr>
                <w:rFonts w:ascii="Times New Roman" w:hAnsi="Times New Roman"/>
                <w:b/>
                <w:bCs/>
                <w:color w:val="FFFFFF" w:themeColor="background1"/>
                <w:lang w:eastAsia="es-DO"/>
              </w:rPr>
              <w:t>33,103.08</w:t>
            </w:r>
          </w:p>
        </w:tc>
      </w:tr>
    </w:tbl>
    <w:p w14:paraId="3B446C1E" w14:textId="762F5715" w:rsidR="008D1984" w:rsidRDefault="008D1984" w:rsidP="00193AC5">
      <w:pPr>
        <w:pStyle w:val="Prrafodelista"/>
        <w:ind w:left="567"/>
        <w:rPr>
          <w:rFonts w:ascii="Times New Roman" w:hAnsi="Times New Roman"/>
          <w:sz w:val="24"/>
          <w:lang w:val="es-ES_tradnl"/>
        </w:rPr>
      </w:pPr>
    </w:p>
    <w:p w14:paraId="112CCA80" w14:textId="77777777" w:rsidR="008D1984" w:rsidRDefault="008D1984">
      <w:pPr>
        <w:spacing w:after="0"/>
        <w:rPr>
          <w:rFonts w:ascii="Times New Roman" w:eastAsia="Calibri" w:hAnsi="Times New Roman"/>
          <w:szCs w:val="22"/>
          <w:lang w:val="es-ES_tradnl" w:eastAsia="en-US"/>
        </w:rPr>
      </w:pPr>
      <w:r>
        <w:rPr>
          <w:rFonts w:ascii="Times New Roman" w:hAnsi="Times New Roman"/>
          <w:lang w:val="es-ES_tradnl"/>
        </w:rPr>
        <w:br w:type="page"/>
      </w:r>
    </w:p>
    <w:p w14:paraId="25C8EEEA" w14:textId="77777777" w:rsidR="00530E9A" w:rsidRPr="0098414F" w:rsidRDefault="00530E9A" w:rsidP="007440C2">
      <w:pPr>
        <w:pStyle w:val="Ttulo1"/>
      </w:pPr>
      <w:bookmarkStart w:id="181" w:name="_Toc251777829"/>
      <w:bookmarkStart w:id="182" w:name="_Toc254413066"/>
      <w:bookmarkStart w:id="183" w:name="_Toc409040059"/>
      <w:bookmarkStart w:id="184" w:name="_Toc440036672"/>
      <w:bookmarkStart w:id="185" w:name="_Toc470523343"/>
      <w:bookmarkStart w:id="186" w:name="_Toc26292062"/>
      <w:bookmarkStart w:id="187" w:name="_Toc27146767"/>
      <w:r w:rsidRPr="0098414F">
        <w:lastRenderedPageBreak/>
        <w:t>Ejecuciones no contempladas en Plan Operativo</w:t>
      </w:r>
      <w:bookmarkEnd w:id="181"/>
      <w:bookmarkEnd w:id="182"/>
      <w:bookmarkEnd w:id="183"/>
      <w:bookmarkEnd w:id="184"/>
      <w:bookmarkEnd w:id="185"/>
      <w:bookmarkEnd w:id="186"/>
      <w:bookmarkEnd w:id="187"/>
    </w:p>
    <w:p w14:paraId="28825AB4" w14:textId="77777777" w:rsidR="00E6714E" w:rsidRPr="00193AC5" w:rsidRDefault="00E6714E" w:rsidP="00B01775">
      <w:pPr>
        <w:spacing w:after="0" w:line="360" w:lineRule="auto"/>
        <w:rPr>
          <w:rFonts w:ascii="Times New Roman" w:hAnsi="Times New Roman"/>
          <w:lang w:val="es-ES_tradnl"/>
        </w:rPr>
      </w:pPr>
      <w:bookmarkStart w:id="188" w:name="_Toc440036673"/>
      <w:bookmarkStart w:id="189" w:name="_Toc470523344"/>
    </w:p>
    <w:p w14:paraId="2BDE811C" w14:textId="77777777" w:rsidR="00530E9A" w:rsidRPr="0098414F" w:rsidRDefault="00B06A62" w:rsidP="00954002">
      <w:pPr>
        <w:pStyle w:val="Ttulo2"/>
      </w:pPr>
      <w:bookmarkStart w:id="190" w:name="_Toc26292063"/>
      <w:bookmarkStart w:id="191" w:name="_Toc27146768"/>
      <w:r w:rsidRPr="0098414F">
        <w:t xml:space="preserve">a) </w:t>
      </w:r>
      <w:bookmarkStart w:id="192" w:name="_Toc251777830"/>
      <w:bookmarkStart w:id="193" w:name="_Toc254413067"/>
      <w:bookmarkStart w:id="194" w:name="_Toc409040060"/>
      <w:r w:rsidR="00530E9A" w:rsidRPr="0098414F">
        <w:t>Impacto en ciudadanos</w:t>
      </w:r>
      <w:bookmarkEnd w:id="188"/>
      <w:bookmarkEnd w:id="189"/>
      <w:bookmarkEnd w:id="192"/>
      <w:bookmarkEnd w:id="193"/>
      <w:bookmarkEnd w:id="194"/>
      <w:r w:rsidR="001B1CF7" w:rsidRPr="0098414F">
        <w:t xml:space="preserve"> </w:t>
      </w:r>
      <w:r w:rsidR="005330A4" w:rsidRPr="0098414F">
        <w:t>y ciudadanas</w:t>
      </w:r>
      <w:bookmarkEnd w:id="190"/>
      <w:bookmarkEnd w:id="191"/>
    </w:p>
    <w:p w14:paraId="48D4992D" w14:textId="77777777" w:rsidR="00DC410F" w:rsidRDefault="00DC410F" w:rsidP="00782488">
      <w:pPr>
        <w:spacing w:after="0" w:line="276" w:lineRule="auto"/>
        <w:ind w:firstLine="720"/>
        <w:jc w:val="both"/>
        <w:rPr>
          <w:rFonts w:ascii="Times New Roman" w:hAnsi="Times New Roman"/>
          <w:lang w:val="es-ES_tradnl"/>
        </w:rPr>
      </w:pPr>
    </w:p>
    <w:p w14:paraId="120BE139" w14:textId="364C162C" w:rsidR="00530E9A" w:rsidRPr="001D3727" w:rsidRDefault="00530E9A" w:rsidP="00390148">
      <w:pPr>
        <w:spacing w:after="0" w:line="480" w:lineRule="auto"/>
        <w:ind w:firstLine="720"/>
        <w:jc w:val="both"/>
        <w:rPr>
          <w:rFonts w:ascii="Times New Roman" w:hAnsi="Times New Roman"/>
          <w:lang w:val="es-ES_tradnl"/>
        </w:rPr>
      </w:pPr>
      <w:r w:rsidRPr="001D3727">
        <w:rPr>
          <w:rFonts w:ascii="Times New Roman" w:hAnsi="Times New Roman"/>
          <w:lang w:val="es-ES_tradnl"/>
        </w:rPr>
        <w:t>El Ministerio de Agricultura realizó una serie d</w:t>
      </w:r>
      <w:r w:rsidR="005D65BB" w:rsidRPr="001D3727">
        <w:rPr>
          <w:rFonts w:ascii="Times New Roman" w:hAnsi="Times New Roman"/>
          <w:lang w:val="es-ES_tradnl"/>
        </w:rPr>
        <w:t>e acciones no contempladas en el</w:t>
      </w:r>
      <w:r w:rsidRPr="001D3727">
        <w:rPr>
          <w:rFonts w:ascii="Times New Roman" w:hAnsi="Times New Roman"/>
          <w:lang w:val="es-ES_tradnl"/>
        </w:rPr>
        <w:t xml:space="preserve"> Plan Operativo </w:t>
      </w:r>
      <w:r w:rsidR="005D65BB" w:rsidRPr="001D3727">
        <w:rPr>
          <w:rFonts w:ascii="Times New Roman" w:hAnsi="Times New Roman"/>
          <w:lang w:val="es-ES_tradnl"/>
        </w:rPr>
        <w:t xml:space="preserve">Agropecuario </w:t>
      </w:r>
      <w:r w:rsidR="00EF4229" w:rsidRPr="001D3727">
        <w:rPr>
          <w:rFonts w:ascii="Times New Roman" w:hAnsi="Times New Roman"/>
          <w:lang w:val="es-ES_tradnl"/>
        </w:rPr>
        <w:t>correspondiente a</w:t>
      </w:r>
      <w:r w:rsidR="004865CA" w:rsidRPr="001D3727">
        <w:rPr>
          <w:rFonts w:ascii="Times New Roman" w:hAnsi="Times New Roman"/>
          <w:lang w:val="es-ES_tradnl"/>
        </w:rPr>
        <w:t>l 201</w:t>
      </w:r>
      <w:r w:rsidR="00C060B8" w:rsidRPr="001D3727">
        <w:rPr>
          <w:rFonts w:ascii="Times New Roman" w:hAnsi="Times New Roman"/>
          <w:lang w:val="es-ES_tradnl"/>
        </w:rPr>
        <w:t>9</w:t>
      </w:r>
      <w:r w:rsidR="004865CA" w:rsidRPr="001D3727">
        <w:rPr>
          <w:rFonts w:ascii="Times New Roman" w:hAnsi="Times New Roman"/>
          <w:lang w:val="es-ES_tradnl"/>
        </w:rPr>
        <w:t xml:space="preserve">, </w:t>
      </w:r>
      <w:r w:rsidR="00FF3568" w:rsidRPr="001D3727">
        <w:rPr>
          <w:rFonts w:ascii="Times New Roman" w:hAnsi="Times New Roman"/>
          <w:lang w:val="es-ES_tradnl"/>
        </w:rPr>
        <w:t xml:space="preserve">impactando positivamente </w:t>
      </w:r>
      <w:r w:rsidRPr="001D3727">
        <w:rPr>
          <w:rFonts w:ascii="Times New Roman" w:hAnsi="Times New Roman"/>
          <w:lang w:val="es-ES_tradnl"/>
        </w:rPr>
        <w:t xml:space="preserve">a los ciudadanos, entre </w:t>
      </w:r>
      <w:r w:rsidR="00607DC6" w:rsidRPr="001D3727">
        <w:rPr>
          <w:rFonts w:ascii="Times New Roman" w:hAnsi="Times New Roman"/>
          <w:lang w:val="es-ES_tradnl"/>
        </w:rPr>
        <w:t>é</w:t>
      </w:r>
      <w:r w:rsidR="00FF3568" w:rsidRPr="001D3727">
        <w:rPr>
          <w:rFonts w:ascii="Times New Roman" w:hAnsi="Times New Roman"/>
          <w:lang w:val="es-ES_tradnl"/>
        </w:rPr>
        <w:t>sta</w:t>
      </w:r>
      <w:r w:rsidR="00607DC6" w:rsidRPr="001D3727">
        <w:rPr>
          <w:rFonts w:ascii="Times New Roman" w:hAnsi="Times New Roman"/>
          <w:lang w:val="es-ES_tradnl"/>
        </w:rPr>
        <w:t xml:space="preserve">s </w:t>
      </w:r>
      <w:r w:rsidRPr="001D3727">
        <w:rPr>
          <w:rFonts w:ascii="Times New Roman" w:hAnsi="Times New Roman"/>
          <w:lang w:val="es-ES_tradnl"/>
        </w:rPr>
        <w:t>se encuentran:</w:t>
      </w:r>
    </w:p>
    <w:p w14:paraId="6CCBF736" w14:textId="77777777" w:rsidR="00C21528" w:rsidRPr="001D3727" w:rsidRDefault="00C21528" w:rsidP="00B01775">
      <w:pPr>
        <w:spacing w:after="0" w:line="276" w:lineRule="auto"/>
        <w:rPr>
          <w:rFonts w:ascii="Times New Roman" w:hAnsi="Times New Roman"/>
          <w:lang w:val="es-ES_tradnl"/>
        </w:rPr>
      </w:pPr>
    </w:p>
    <w:p w14:paraId="2BE1D9F2" w14:textId="77777777" w:rsidR="008D3335" w:rsidRPr="001D3727" w:rsidRDefault="008D3335" w:rsidP="00CA5792">
      <w:pPr>
        <w:pStyle w:val="Ttulo3"/>
      </w:pPr>
      <w:bookmarkStart w:id="195" w:name="_Toc16524685"/>
      <w:bookmarkStart w:id="196" w:name="_Toc27146769"/>
      <w:r w:rsidRPr="001D3727">
        <w:t>Apoyo al programa de Visitas Sorpresa</w:t>
      </w:r>
      <w:bookmarkEnd w:id="195"/>
      <w:bookmarkEnd w:id="196"/>
    </w:p>
    <w:p w14:paraId="1F052D6A" w14:textId="77777777" w:rsidR="00DC410F" w:rsidRDefault="00DC410F" w:rsidP="00782488">
      <w:pPr>
        <w:spacing w:after="0" w:line="276" w:lineRule="auto"/>
        <w:ind w:firstLine="720"/>
        <w:jc w:val="both"/>
        <w:rPr>
          <w:rFonts w:ascii="Times New Roman" w:hAnsi="Times New Roman"/>
        </w:rPr>
      </w:pPr>
    </w:p>
    <w:p w14:paraId="1272D6A8" w14:textId="11BADC39" w:rsidR="008D3335" w:rsidRDefault="008D3335" w:rsidP="008D3335">
      <w:pPr>
        <w:spacing w:after="0" w:line="480" w:lineRule="auto"/>
        <w:ind w:firstLine="720"/>
        <w:jc w:val="both"/>
        <w:rPr>
          <w:rFonts w:ascii="Times New Roman" w:hAnsi="Times New Roman"/>
        </w:rPr>
      </w:pPr>
      <w:r w:rsidRPr="001D3727">
        <w:rPr>
          <w:rFonts w:ascii="Times New Roman" w:hAnsi="Times New Roman"/>
        </w:rPr>
        <w:t>El programa de las visitas sorpresa, contribuye a dinamizar la economía del país, especialmente la agropecuaria, llevando a cabo proyectos productivos y financiamientos con tasas de interés bajas</w:t>
      </w:r>
      <w:r w:rsidR="00A115F8" w:rsidRPr="001D3727">
        <w:rPr>
          <w:rFonts w:ascii="Times New Roman" w:hAnsi="Times New Roman"/>
        </w:rPr>
        <w:t>,</w:t>
      </w:r>
      <w:r w:rsidRPr="001D3727">
        <w:rPr>
          <w:rFonts w:ascii="Times New Roman" w:hAnsi="Times New Roman"/>
        </w:rPr>
        <w:t xml:space="preserve"> para impulsar el desarrollo sostenible de la agricultura dominicana. Da</w:t>
      </w:r>
      <w:r w:rsidR="00607DC6" w:rsidRPr="001D3727">
        <w:rPr>
          <w:rFonts w:ascii="Times New Roman" w:hAnsi="Times New Roman"/>
        </w:rPr>
        <w:t>ndo</w:t>
      </w:r>
      <w:r w:rsidRPr="001D3727">
        <w:rPr>
          <w:rFonts w:ascii="Times New Roman" w:hAnsi="Times New Roman"/>
        </w:rPr>
        <w:t xml:space="preserve"> respuesta</w:t>
      </w:r>
      <w:r w:rsidR="00607DC6" w:rsidRPr="001D3727">
        <w:rPr>
          <w:rFonts w:ascii="Times New Roman" w:hAnsi="Times New Roman"/>
        </w:rPr>
        <w:t>s</w:t>
      </w:r>
      <w:r w:rsidRPr="001D3727">
        <w:rPr>
          <w:rFonts w:ascii="Times New Roman" w:hAnsi="Times New Roman"/>
        </w:rPr>
        <w:t xml:space="preserve"> a las necesidades de las zonas rurales </w:t>
      </w:r>
      <w:r w:rsidR="00607DC6" w:rsidRPr="001D3727">
        <w:rPr>
          <w:rFonts w:ascii="Times New Roman" w:hAnsi="Times New Roman"/>
        </w:rPr>
        <w:t xml:space="preserve">para </w:t>
      </w:r>
      <w:r w:rsidRPr="001D3727">
        <w:rPr>
          <w:rFonts w:ascii="Times New Roman" w:hAnsi="Times New Roman"/>
        </w:rPr>
        <w:t>contribu</w:t>
      </w:r>
      <w:r w:rsidR="00607DC6" w:rsidRPr="001D3727">
        <w:rPr>
          <w:rFonts w:ascii="Times New Roman" w:hAnsi="Times New Roman"/>
        </w:rPr>
        <w:t xml:space="preserve">ir </w:t>
      </w:r>
      <w:r w:rsidRPr="001D3727">
        <w:rPr>
          <w:rFonts w:ascii="Times New Roman" w:hAnsi="Times New Roman"/>
        </w:rPr>
        <w:t>a reducir los niveles de pobreza a nivel nacional.</w:t>
      </w:r>
    </w:p>
    <w:p w14:paraId="24ABFBB9" w14:textId="77777777" w:rsidR="00DC410F" w:rsidRPr="001D3727" w:rsidRDefault="00DC410F" w:rsidP="00782488">
      <w:pPr>
        <w:spacing w:after="0" w:line="276" w:lineRule="auto"/>
        <w:ind w:firstLine="720"/>
        <w:jc w:val="both"/>
        <w:rPr>
          <w:rFonts w:ascii="Times New Roman" w:hAnsi="Times New Roman"/>
        </w:rPr>
      </w:pPr>
    </w:p>
    <w:p w14:paraId="3148FD18" w14:textId="32CF1871" w:rsidR="008D3335" w:rsidRPr="008D3335" w:rsidRDefault="008D3335" w:rsidP="001C6B1A">
      <w:pPr>
        <w:pStyle w:val="Prrafodelista"/>
        <w:numPr>
          <w:ilvl w:val="0"/>
          <w:numId w:val="9"/>
        </w:numPr>
        <w:spacing w:after="0"/>
        <w:ind w:left="1418" w:hanging="1418"/>
        <w:rPr>
          <w:rFonts w:ascii="Times New Roman" w:hAnsi="Times New Roman"/>
          <w:sz w:val="24"/>
          <w:lang w:val="es-ES_tradnl"/>
        </w:rPr>
      </w:pPr>
      <w:r>
        <w:rPr>
          <w:rFonts w:ascii="Times New Roman" w:hAnsi="Times New Roman"/>
          <w:b/>
          <w:sz w:val="24"/>
          <w:lang w:val="es-ES_tradnl"/>
        </w:rPr>
        <w:t>Relación de visitas sorpresa gestionadas por el Ministerio de Agricultura</w:t>
      </w:r>
    </w:p>
    <w:p w14:paraId="12C467DD" w14:textId="77777777" w:rsidR="008D3335" w:rsidRPr="008D3335" w:rsidRDefault="008D3335" w:rsidP="00B01775">
      <w:pPr>
        <w:pStyle w:val="Prrafodelista"/>
        <w:spacing w:after="0" w:line="240" w:lineRule="auto"/>
        <w:ind w:left="567"/>
        <w:rPr>
          <w:rFonts w:ascii="Times New Roman" w:hAnsi="Times New Roman"/>
          <w:sz w:val="24"/>
          <w:lang w:val="es-ES_tradnl"/>
        </w:rPr>
      </w:pPr>
    </w:p>
    <w:tbl>
      <w:tblPr>
        <w:tblW w:w="7660" w:type="dxa"/>
        <w:tblCellMar>
          <w:left w:w="70" w:type="dxa"/>
          <w:right w:w="70" w:type="dxa"/>
        </w:tblCellMar>
        <w:tblLook w:val="04A0" w:firstRow="1" w:lastRow="0" w:firstColumn="1" w:lastColumn="0" w:noHBand="0" w:noVBand="1"/>
      </w:tblPr>
      <w:tblGrid>
        <w:gridCol w:w="5500"/>
        <w:gridCol w:w="2160"/>
      </w:tblGrid>
      <w:tr w:rsidR="001103BF" w:rsidRPr="001103BF" w14:paraId="09A96F52" w14:textId="77777777" w:rsidTr="001103BF">
        <w:trPr>
          <w:trHeight w:val="360"/>
        </w:trPr>
        <w:tc>
          <w:tcPr>
            <w:tcW w:w="5500"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1D120ACD" w14:textId="3DC0CC2E" w:rsidR="001103BF" w:rsidRPr="001103BF" w:rsidRDefault="001103BF" w:rsidP="001103BF">
            <w:pPr>
              <w:spacing w:after="0"/>
              <w:jc w:val="center"/>
              <w:rPr>
                <w:rFonts w:ascii="Times New Roman" w:hAnsi="Times New Roman"/>
                <w:b/>
                <w:bCs/>
                <w:color w:val="FFFFFF" w:themeColor="background1"/>
                <w:lang w:eastAsia="es-DO"/>
              </w:rPr>
            </w:pPr>
            <w:bookmarkStart w:id="197" w:name="_Toc26292064"/>
            <w:r w:rsidRPr="001103BF">
              <w:rPr>
                <w:rFonts w:ascii="Times New Roman" w:hAnsi="Times New Roman"/>
                <w:b/>
                <w:bCs/>
                <w:color w:val="FFFFFF" w:themeColor="background1"/>
                <w:lang w:eastAsia="es-DO"/>
              </w:rPr>
              <w:t>Compromisos Presidenciales</w:t>
            </w:r>
          </w:p>
        </w:tc>
        <w:tc>
          <w:tcPr>
            <w:tcW w:w="2160" w:type="dxa"/>
            <w:tcBorders>
              <w:top w:val="single" w:sz="4" w:space="0" w:color="auto"/>
              <w:left w:val="nil"/>
              <w:bottom w:val="single" w:sz="4" w:space="0" w:color="auto"/>
              <w:right w:val="single" w:sz="4" w:space="0" w:color="auto"/>
            </w:tcBorders>
            <w:shd w:val="clear" w:color="auto" w:fill="00B050"/>
            <w:noWrap/>
            <w:vAlign w:val="center"/>
            <w:hideMark/>
          </w:tcPr>
          <w:p w14:paraId="583523C0" w14:textId="689CF614" w:rsidR="001103BF" w:rsidRPr="001103BF" w:rsidRDefault="001103BF" w:rsidP="001103BF">
            <w:pPr>
              <w:spacing w:after="0"/>
              <w:jc w:val="center"/>
              <w:rPr>
                <w:rFonts w:ascii="Times New Roman" w:hAnsi="Times New Roman"/>
                <w:b/>
                <w:bCs/>
                <w:color w:val="FFFFFF" w:themeColor="background1"/>
                <w:lang w:eastAsia="es-DO"/>
              </w:rPr>
            </w:pPr>
            <w:r w:rsidRPr="001103BF">
              <w:rPr>
                <w:rFonts w:ascii="Times New Roman" w:hAnsi="Times New Roman"/>
                <w:b/>
                <w:bCs/>
                <w:color w:val="FFFFFF" w:themeColor="background1"/>
                <w:lang w:eastAsia="es-DO"/>
              </w:rPr>
              <w:t>Cantidad</w:t>
            </w:r>
          </w:p>
        </w:tc>
      </w:tr>
      <w:tr w:rsidR="001103BF" w:rsidRPr="001103BF" w14:paraId="04F64777" w14:textId="77777777" w:rsidTr="001103BF">
        <w:trPr>
          <w:trHeight w:val="7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442045DA" w14:textId="5A062B6B" w:rsidR="001103BF" w:rsidRPr="001103BF" w:rsidRDefault="001103BF" w:rsidP="001103BF">
            <w:pPr>
              <w:spacing w:after="0"/>
              <w:rPr>
                <w:rFonts w:ascii="Times New Roman" w:hAnsi="Times New Roman"/>
                <w:color w:val="000000"/>
                <w:lang w:eastAsia="es-DO"/>
              </w:rPr>
            </w:pPr>
            <w:r w:rsidRPr="001103BF">
              <w:rPr>
                <w:rFonts w:ascii="Times New Roman" w:hAnsi="Times New Roman"/>
                <w:color w:val="000000"/>
                <w:lang w:eastAsia="es-DO"/>
              </w:rPr>
              <w:t>Infraestructura</w:t>
            </w:r>
          </w:p>
        </w:tc>
        <w:tc>
          <w:tcPr>
            <w:tcW w:w="2160" w:type="dxa"/>
            <w:tcBorders>
              <w:top w:val="nil"/>
              <w:left w:val="nil"/>
              <w:bottom w:val="single" w:sz="4" w:space="0" w:color="auto"/>
              <w:right w:val="single" w:sz="4" w:space="0" w:color="auto"/>
            </w:tcBorders>
            <w:shd w:val="clear" w:color="auto" w:fill="auto"/>
            <w:noWrap/>
            <w:vAlign w:val="bottom"/>
            <w:hideMark/>
          </w:tcPr>
          <w:p w14:paraId="2524845A" w14:textId="77777777" w:rsidR="001103BF" w:rsidRPr="001103BF" w:rsidRDefault="001103BF" w:rsidP="001103BF">
            <w:pPr>
              <w:spacing w:after="0"/>
              <w:jc w:val="center"/>
              <w:rPr>
                <w:rFonts w:ascii="Times New Roman" w:hAnsi="Times New Roman"/>
                <w:color w:val="000000"/>
                <w:lang w:eastAsia="es-DO"/>
              </w:rPr>
            </w:pPr>
            <w:r w:rsidRPr="001103BF">
              <w:rPr>
                <w:rFonts w:ascii="Times New Roman" w:hAnsi="Times New Roman"/>
                <w:color w:val="000000"/>
                <w:lang w:eastAsia="es-DO"/>
              </w:rPr>
              <w:t>0</w:t>
            </w:r>
          </w:p>
        </w:tc>
      </w:tr>
      <w:tr w:rsidR="001103BF" w:rsidRPr="001103BF" w14:paraId="2CE9DFF7" w14:textId="77777777" w:rsidTr="001103BF">
        <w:trPr>
          <w:trHeight w:val="7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772060BE" w14:textId="10950B9C" w:rsidR="001103BF" w:rsidRPr="001103BF" w:rsidRDefault="001103BF" w:rsidP="001103BF">
            <w:pPr>
              <w:spacing w:after="0"/>
              <w:rPr>
                <w:rFonts w:ascii="Times New Roman" w:hAnsi="Times New Roman"/>
                <w:color w:val="000000"/>
                <w:lang w:eastAsia="es-DO"/>
              </w:rPr>
            </w:pPr>
            <w:r w:rsidRPr="001103BF">
              <w:rPr>
                <w:rFonts w:ascii="Times New Roman" w:hAnsi="Times New Roman"/>
                <w:color w:val="000000"/>
                <w:lang w:eastAsia="es-DO"/>
              </w:rPr>
              <w:t xml:space="preserve">Personal tecnico </w:t>
            </w:r>
          </w:p>
        </w:tc>
        <w:tc>
          <w:tcPr>
            <w:tcW w:w="2160" w:type="dxa"/>
            <w:tcBorders>
              <w:top w:val="nil"/>
              <w:left w:val="nil"/>
              <w:bottom w:val="single" w:sz="4" w:space="0" w:color="auto"/>
              <w:right w:val="single" w:sz="4" w:space="0" w:color="auto"/>
            </w:tcBorders>
            <w:shd w:val="clear" w:color="auto" w:fill="auto"/>
            <w:noWrap/>
            <w:vAlign w:val="bottom"/>
            <w:hideMark/>
          </w:tcPr>
          <w:p w14:paraId="302C41ED" w14:textId="77777777" w:rsidR="001103BF" w:rsidRPr="001103BF" w:rsidRDefault="001103BF" w:rsidP="001103BF">
            <w:pPr>
              <w:spacing w:after="0"/>
              <w:jc w:val="center"/>
              <w:rPr>
                <w:rFonts w:ascii="Times New Roman" w:hAnsi="Times New Roman"/>
                <w:color w:val="000000"/>
                <w:lang w:eastAsia="es-DO"/>
              </w:rPr>
            </w:pPr>
            <w:r w:rsidRPr="001103BF">
              <w:rPr>
                <w:rFonts w:ascii="Times New Roman" w:hAnsi="Times New Roman"/>
                <w:color w:val="000000"/>
                <w:lang w:eastAsia="es-DO"/>
              </w:rPr>
              <w:t>3</w:t>
            </w:r>
          </w:p>
        </w:tc>
      </w:tr>
      <w:tr w:rsidR="001103BF" w:rsidRPr="001103BF" w14:paraId="7349D94A" w14:textId="77777777" w:rsidTr="001103BF">
        <w:trPr>
          <w:trHeight w:val="7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2341C96B" w14:textId="175E328E" w:rsidR="001103BF" w:rsidRPr="001103BF" w:rsidRDefault="001103BF" w:rsidP="001103BF">
            <w:pPr>
              <w:spacing w:after="0"/>
              <w:rPr>
                <w:rFonts w:ascii="Times New Roman" w:hAnsi="Times New Roman"/>
                <w:color w:val="000000"/>
                <w:lang w:eastAsia="es-DO"/>
              </w:rPr>
            </w:pPr>
            <w:r w:rsidRPr="001103BF">
              <w:rPr>
                <w:rFonts w:ascii="Times New Roman" w:hAnsi="Times New Roman"/>
                <w:color w:val="000000"/>
                <w:lang w:eastAsia="es-DO"/>
              </w:rPr>
              <w:t xml:space="preserve">Viviendas </w:t>
            </w:r>
          </w:p>
        </w:tc>
        <w:tc>
          <w:tcPr>
            <w:tcW w:w="2160" w:type="dxa"/>
            <w:tcBorders>
              <w:top w:val="nil"/>
              <w:left w:val="nil"/>
              <w:bottom w:val="single" w:sz="4" w:space="0" w:color="auto"/>
              <w:right w:val="single" w:sz="4" w:space="0" w:color="auto"/>
            </w:tcBorders>
            <w:shd w:val="clear" w:color="auto" w:fill="auto"/>
            <w:noWrap/>
            <w:vAlign w:val="bottom"/>
            <w:hideMark/>
          </w:tcPr>
          <w:p w14:paraId="2DD8DAAD" w14:textId="77777777" w:rsidR="001103BF" w:rsidRPr="001103BF" w:rsidRDefault="001103BF" w:rsidP="001103BF">
            <w:pPr>
              <w:spacing w:after="0"/>
              <w:jc w:val="center"/>
              <w:rPr>
                <w:rFonts w:ascii="Times New Roman" w:hAnsi="Times New Roman"/>
                <w:color w:val="000000"/>
                <w:lang w:eastAsia="es-DO"/>
              </w:rPr>
            </w:pPr>
            <w:r w:rsidRPr="001103BF">
              <w:rPr>
                <w:rFonts w:ascii="Times New Roman" w:hAnsi="Times New Roman"/>
                <w:color w:val="000000"/>
                <w:lang w:eastAsia="es-DO"/>
              </w:rPr>
              <w:t>3</w:t>
            </w:r>
          </w:p>
        </w:tc>
      </w:tr>
      <w:tr w:rsidR="001103BF" w:rsidRPr="001103BF" w14:paraId="34143206" w14:textId="77777777" w:rsidTr="001103BF">
        <w:trPr>
          <w:trHeight w:val="7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7321DFCB" w14:textId="343240DB" w:rsidR="001103BF" w:rsidRPr="001103BF" w:rsidRDefault="001103BF" w:rsidP="001103BF">
            <w:pPr>
              <w:spacing w:after="0"/>
              <w:rPr>
                <w:rFonts w:ascii="Times New Roman" w:hAnsi="Times New Roman"/>
                <w:color w:val="000000"/>
                <w:lang w:eastAsia="es-DO"/>
              </w:rPr>
            </w:pPr>
            <w:r w:rsidRPr="001103BF">
              <w:rPr>
                <w:rFonts w:ascii="Times New Roman" w:hAnsi="Times New Roman"/>
                <w:color w:val="000000"/>
                <w:lang w:eastAsia="es-DO"/>
              </w:rPr>
              <w:t>Invernaderos</w:t>
            </w:r>
          </w:p>
        </w:tc>
        <w:tc>
          <w:tcPr>
            <w:tcW w:w="2160" w:type="dxa"/>
            <w:tcBorders>
              <w:top w:val="nil"/>
              <w:left w:val="nil"/>
              <w:bottom w:val="single" w:sz="4" w:space="0" w:color="auto"/>
              <w:right w:val="single" w:sz="4" w:space="0" w:color="auto"/>
            </w:tcBorders>
            <w:shd w:val="clear" w:color="auto" w:fill="auto"/>
            <w:noWrap/>
            <w:vAlign w:val="bottom"/>
            <w:hideMark/>
          </w:tcPr>
          <w:p w14:paraId="75936EF2" w14:textId="77777777" w:rsidR="001103BF" w:rsidRPr="001103BF" w:rsidRDefault="001103BF" w:rsidP="001103BF">
            <w:pPr>
              <w:spacing w:after="0"/>
              <w:jc w:val="center"/>
              <w:rPr>
                <w:rFonts w:ascii="Times New Roman" w:hAnsi="Times New Roman"/>
                <w:color w:val="000000"/>
                <w:lang w:eastAsia="es-DO"/>
              </w:rPr>
            </w:pPr>
            <w:r w:rsidRPr="001103BF">
              <w:rPr>
                <w:rFonts w:ascii="Times New Roman" w:hAnsi="Times New Roman"/>
                <w:color w:val="000000"/>
                <w:lang w:eastAsia="es-DO"/>
              </w:rPr>
              <w:t>2</w:t>
            </w:r>
          </w:p>
        </w:tc>
      </w:tr>
      <w:tr w:rsidR="001103BF" w:rsidRPr="001103BF" w14:paraId="00C8622F" w14:textId="77777777" w:rsidTr="001103BF">
        <w:trPr>
          <w:trHeight w:val="7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05CFF09E" w14:textId="1E20490A" w:rsidR="001103BF" w:rsidRPr="001103BF" w:rsidRDefault="001103BF" w:rsidP="001103BF">
            <w:pPr>
              <w:spacing w:after="0"/>
              <w:rPr>
                <w:rFonts w:ascii="Times New Roman" w:hAnsi="Times New Roman"/>
                <w:color w:val="000000"/>
                <w:lang w:eastAsia="es-DO"/>
              </w:rPr>
            </w:pPr>
            <w:r w:rsidRPr="001103BF">
              <w:rPr>
                <w:rFonts w:ascii="Times New Roman" w:hAnsi="Times New Roman"/>
                <w:color w:val="000000"/>
                <w:lang w:eastAsia="es-DO"/>
              </w:rPr>
              <w:t>Salas de ordeño, producción lácteos</w:t>
            </w:r>
          </w:p>
        </w:tc>
        <w:tc>
          <w:tcPr>
            <w:tcW w:w="2160" w:type="dxa"/>
            <w:tcBorders>
              <w:top w:val="nil"/>
              <w:left w:val="nil"/>
              <w:bottom w:val="single" w:sz="4" w:space="0" w:color="auto"/>
              <w:right w:val="single" w:sz="4" w:space="0" w:color="auto"/>
            </w:tcBorders>
            <w:shd w:val="clear" w:color="auto" w:fill="auto"/>
            <w:noWrap/>
            <w:vAlign w:val="bottom"/>
            <w:hideMark/>
          </w:tcPr>
          <w:p w14:paraId="154E881C" w14:textId="77777777" w:rsidR="001103BF" w:rsidRPr="001103BF" w:rsidRDefault="001103BF" w:rsidP="001103BF">
            <w:pPr>
              <w:spacing w:after="0"/>
              <w:jc w:val="center"/>
              <w:rPr>
                <w:rFonts w:ascii="Times New Roman" w:hAnsi="Times New Roman"/>
                <w:color w:val="000000"/>
                <w:lang w:eastAsia="es-DO"/>
              </w:rPr>
            </w:pPr>
            <w:r w:rsidRPr="001103BF">
              <w:rPr>
                <w:rFonts w:ascii="Times New Roman" w:hAnsi="Times New Roman"/>
                <w:color w:val="000000"/>
                <w:lang w:eastAsia="es-DO"/>
              </w:rPr>
              <w:t>1</w:t>
            </w:r>
          </w:p>
        </w:tc>
      </w:tr>
      <w:tr w:rsidR="001103BF" w:rsidRPr="001103BF" w14:paraId="264052E7" w14:textId="77777777" w:rsidTr="001103BF">
        <w:trPr>
          <w:trHeight w:val="7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226B478B" w14:textId="033E022F" w:rsidR="001103BF" w:rsidRPr="001103BF" w:rsidRDefault="001103BF" w:rsidP="001103BF">
            <w:pPr>
              <w:spacing w:after="0"/>
              <w:rPr>
                <w:rFonts w:ascii="Times New Roman" w:hAnsi="Times New Roman"/>
                <w:color w:val="000000"/>
                <w:lang w:eastAsia="es-DO"/>
              </w:rPr>
            </w:pPr>
            <w:r w:rsidRPr="001103BF">
              <w:rPr>
                <w:rFonts w:ascii="Times New Roman" w:hAnsi="Times New Roman"/>
                <w:color w:val="000000"/>
                <w:lang w:eastAsia="es-DO"/>
              </w:rPr>
              <w:t xml:space="preserve">Centros de acopio y secaderos </w:t>
            </w:r>
          </w:p>
        </w:tc>
        <w:tc>
          <w:tcPr>
            <w:tcW w:w="2160" w:type="dxa"/>
            <w:tcBorders>
              <w:top w:val="nil"/>
              <w:left w:val="nil"/>
              <w:bottom w:val="single" w:sz="4" w:space="0" w:color="auto"/>
              <w:right w:val="single" w:sz="4" w:space="0" w:color="auto"/>
            </w:tcBorders>
            <w:shd w:val="clear" w:color="auto" w:fill="auto"/>
            <w:noWrap/>
            <w:vAlign w:val="bottom"/>
            <w:hideMark/>
          </w:tcPr>
          <w:p w14:paraId="08A46842" w14:textId="77777777" w:rsidR="001103BF" w:rsidRPr="001103BF" w:rsidRDefault="001103BF" w:rsidP="001103BF">
            <w:pPr>
              <w:spacing w:after="0"/>
              <w:jc w:val="center"/>
              <w:rPr>
                <w:rFonts w:ascii="Times New Roman" w:hAnsi="Times New Roman"/>
                <w:color w:val="000000"/>
                <w:lang w:eastAsia="es-DO"/>
              </w:rPr>
            </w:pPr>
            <w:r w:rsidRPr="001103BF">
              <w:rPr>
                <w:rFonts w:ascii="Times New Roman" w:hAnsi="Times New Roman"/>
                <w:color w:val="000000"/>
                <w:lang w:eastAsia="es-DO"/>
              </w:rPr>
              <w:t>8</w:t>
            </w:r>
          </w:p>
        </w:tc>
      </w:tr>
      <w:tr w:rsidR="001103BF" w:rsidRPr="001103BF" w14:paraId="142F3EE8" w14:textId="77777777" w:rsidTr="001103BF">
        <w:trPr>
          <w:trHeight w:val="7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0CB93C7A" w14:textId="333AED69" w:rsidR="001103BF" w:rsidRPr="001103BF" w:rsidRDefault="001103BF" w:rsidP="001103BF">
            <w:pPr>
              <w:spacing w:after="0"/>
              <w:rPr>
                <w:rFonts w:ascii="Times New Roman" w:hAnsi="Times New Roman"/>
                <w:color w:val="000000"/>
                <w:lang w:eastAsia="es-DO"/>
              </w:rPr>
            </w:pPr>
            <w:r w:rsidRPr="001103BF">
              <w:rPr>
                <w:rFonts w:ascii="Times New Roman" w:hAnsi="Times New Roman"/>
                <w:color w:val="000000"/>
                <w:lang w:eastAsia="es-DO"/>
              </w:rPr>
              <w:t xml:space="preserve">Maquinarias, equipos e insumos </w:t>
            </w:r>
          </w:p>
        </w:tc>
        <w:tc>
          <w:tcPr>
            <w:tcW w:w="2160" w:type="dxa"/>
            <w:tcBorders>
              <w:top w:val="nil"/>
              <w:left w:val="nil"/>
              <w:bottom w:val="single" w:sz="4" w:space="0" w:color="auto"/>
              <w:right w:val="single" w:sz="4" w:space="0" w:color="auto"/>
            </w:tcBorders>
            <w:shd w:val="clear" w:color="auto" w:fill="auto"/>
            <w:noWrap/>
            <w:vAlign w:val="bottom"/>
            <w:hideMark/>
          </w:tcPr>
          <w:p w14:paraId="3951DA44" w14:textId="77777777" w:rsidR="001103BF" w:rsidRPr="001103BF" w:rsidRDefault="001103BF" w:rsidP="001103BF">
            <w:pPr>
              <w:spacing w:after="0"/>
              <w:jc w:val="center"/>
              <w:rPr>
                <w:rFonts w:ascii="Times New Roman" w:hAnsi="Times New Roman"/>
                <w:color w:val="000000"/>
                <w:lang w:eastAsia="es-DO"/>
              </w:rPr>
            </w:pPr>
            <w:r w:rsidRPr="001103BF">
              <w:rPr>
                <w:rFonts w:ascii="Times New Roman" w:hAnsi="Times New Roman"/>
                <w:color w:val="000000"/>
                <w:lang w:eastAsia="es-DO"/>
              </w:rPr>
              <w:t>3</w:t>
            </w:r>
          </w:p>
        </w:tc>
      </w:tr>
      <w:tr w:rsidR="001103BF" w:rsidRPr="001103BF" w14:paraId="6BFE15B8" w14:textId="77777777" w:rsidTr="001103BF">
        <w:trPr>
          <w:trHeight w:val="7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738CFE21" w14:textId="407F84C1" w:rsidR="001103BF" w:rsidRPr="001103BF" w:rsidRDefault="001103BF" w:rsidP="001103BF">
            <w:pPr>
              <w:spacing w:after="0"/>
              <w:rPr>
                <w:rFonts w:ascii="Times New Roman" w:hAnsi="Times New Roman"/>
                <w:color w:val="000000"/>
                <w:lang w:eastAsia="es-DO"/>
              </w:rPr>
            </w:pPr>
            <w:r w:rsidRPr="001103BF">
              <w:rPr>
                <w:rFonts w:ascii="Times New Roman" w:hAnsi="Times New Roman"/>
                <w:color w:val="000000"/>
                <w:lang w:eastAsia="es-DO"/>
              </w:rPr>
              <w:t xml:space="preserve">Viveros </w:t>
            </w:r>
          </w:p>
        </w:tc>
        <w:tc>
          <w:tcPr>
            <w:tcW w:w="2160" w:type="dxa"/>
            <w:tcBorders>
              <w:top w:val="nil"/>
              <w:left w:val="nil"/>
              <w:bottom w:val="single" w:sz="4" w:space="0" w:color="auto"/>
              <w:right w:val="single" w:sz="4" w:space="0" w:color="auto"/>
            </w:tcBorders>
            <w:shd w:val="clear" w:color="auto" w:fill="auto"/>
            <w:noWrap/>
            <w:vAlign w:val="bottom"/>
            <w:hideMark/>
          </w:tcPr>
          <w:p w14:paraId="02FE2C81" w14:textId="77777777" w:rsidR="001103BF" w:rsidRPr="001103BF" w:rsidRDefault="001103BF" w:rsidP="001103BF">
            <w:pPr>
              <w:spacing w:after="0"/>
              <w:jc w:val="center"/>
              <w:rPr>
                <w:rFonts w:ascii="Times New Roman" w:hAnsi="Times New Roman"/>
                <w:color w:val="000000"/>
                <w:lang w:eastAsia="es-DO"/>
              </w:rPr>
            </w:pPr>
            <w:r w:rsidRPr="001103BF">
              <w:rPr>
                <w:rFonts w:ascii="Times New Roman" w:hAnsi="Times New Roman"/>
                <w:color w:val="000000"/>
                <w:lang w:eastAsia="es-DO"/>
              </w:rPr>
              <w:t>9</w:t>
            </w:r>
          </w:p>
        </w:tc>
      </w:tr>
      <w:tr w:rsidR="001103BF" w:rsidRPr="001103BF" w14:paraId="0DDA5083" w14:textId="77777777" w:rsidTr="001103BF">
        <w:trPr>
          <w:trHeight w:val="7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0D943148" w14:textId="6EFB30A8" w:rsidR="001103BF" w:rsidRPr="001103BF" w:rsidRDefault="001103BF" w:rsidP="001103BF">
            <w:pPr>
              <w:spacing w:after="0"/>
              <w:rPr>
                <w:rFonts w:ascii="Times New Roman" w:hAnsi="Times New Roman"/>
                <w:color w:val="000000"/>
                <w:lang w:eastAsia="es-DO"/>
              </w:rPr>
            </w:pPr>
            <w:r w:rsidRPr="001103BF">
              <w:rPr>
                <w:rFonts w:ascii="Times New Roman" w:hAnsi="Times New Roman"/>
                <w:color w:val="000000"/>
                <w:lang w:eastAsia="es-DO"/>
              </w:rPr>
              <w:t>Pozos, bombas, lagunas, canales, riego</w:t>
            </w:r>
          </w:p>
        </w:tc>
        <w:tc>
          <w:tcPr>
            <w:tcW w:w="2160" w:type="dxa"/>
            <w:tcBorders>
              <w:top w:val="nil"/>
              <w:left w:val="nil"/>
              <w:bottom w:val="single" w:sz="4" w:space="0" w:color="auto"/>
              <w:right w:val="single" w:sz="4" w:space="0" w:color="auto"/>
            </w:tcBorders>
            <w:shd w:val="clear" w:color="auto" w:fill="auto"/>
            <w:noWrap/>
            <w:vAlign w:val="bottom"/>
            <w:hideMark/>
          </w:tcPr>
          <w:p w14:paraId="09333DE6" w14:textId="77777777" w:rsidR="001103BF" w:rsidRPr="001103BF" w:rsidRDefault="001103BF" w:rsidP="001103BF">
            <w:pPr>
              <w:spacing w:after="0"/>
              <w:jc w:val="center"/>
              <w:rPr>
                <w:rFonts w:ascii="Times New Roman" w:hAnsi="Times New Roman"/>
                <w:color w:val="000000"/>
                <w:lang w:eastAsia="es-DO"/>
              </w:rPr>
            </w:pPr>
            <w:r w:rsidRPr="001103BF">
              <w:rPr>
                <w:rFonts w:ascii="Times New Roman" w:hAnsi="Times New Roman"/>
                <w:color w:val="000000"/>
                <w:lang w:eastAsia="es-DO"/>
              </w:rPr>
              <w:t>12</w:t>
            </w:r>
          </w:p>
        </w:tc>
      </w:tr>
      <w:tr w:rsidR="001103BF" w:rsidRPr="001103BF" w14:paraId="34AC663A" w14:textId="77777777" w:rsidTr="001103BF">
        <w:trPr>
          <w:trHeight w:val="7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0B4F6EA9" w14:textId="088FD572" w:rsidR="001103BF" w:rsidRPr="001103BF" w:rsidRDefault="001103BF" w:rsidP="001103BF">
            <w:pPr>
              <w:spacing w:after="0"/>
              <w:rPr>
                <w:rFonts w:ascii="Times New Roman" w:hAnsi="Times New Roman"/>
                <w:color w:val="000000"/>
                <w:lang w:eastAsia="es-DO"/>
              </w:rPr>
            </w:pPr>
            <w:r w:rsidRPr="001103BF">
              <w:rPr>
                <w:rFonts w:ascii="Times New Roman" w:hAnsi="Times New Roman"/>
                <w:color w:val="000000"/>
                <w:lang w:eastAsia="es-DO"/>
              </w:rPr>
              <w:t>Caminos interparcelarios</w:t>
            </w:r>
          </w:p>
        </w:tc>
        <w:tc>
          <w:tcPr>
            <w:tcW w:w="2160" w:type="dxa"/>
            <w:tcBorders>
              <w:top w:val="nil"/>
              <w:left w:val="nil"/>
              <w:bottom w:val="single" w:sz="4" w:space="0" w:color="auto"/>
              <w:right w:val="single" w:sz="4" w:space="0" w:color="auto"/>
            </w:tcBorders>
            <w:shd w:val="clear" w:color="auto" w:fill="auto"/>
            <w:noWrap/>
            <w:vAlign w:val="bottom"/>
            <w:hideMark/>
          </w:tcPr>
          <w:p w14:paraId="0154FE4C" w14:textId="77777777" w:rsidR="001103BF" w:rsidRPr="001103BF" w:rsidRDefault="001103BF" w:rsidP="001103BF">
            <w:pPr>
              <w:spacing w:after="0"/>
              <w:jc w:val="center"/>
              <w:rPr>
                <w:rFonts w:ascii="Times New Roman" w:hAnsi="Times New Roman"/>
                <w:color w:val="000000"/>
                <w:lang w:eastAsia="es-DO"/>
              </w:rPr>
            </w:pPr>
            <w:r w:rsidRPr="001103BF">
              <w:rPr>
                <w:rFonts w:ascii="Times New Roman" w:hAnsi="Times New Roman"/>
                <w:color w:val="000000"/>
                <w:lang w:eastAsia="es-DO"/>
              </w:rPr>
              <w:t>44</w:t>
            </w:r>
          </w:p>
        </w:tc>
      </w:tr>
      <w:tr w:rsidR="001103BF" w:rsidRPr="001103BF" w14:paraId="5B7DB1F4" w14:textId="77777777" w:rsidTr="001103BF">
        <w:trPr>
          <w:trHeight w:val="36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54DA96E3" w14:textId="32871C88" w:rsidR="001103BF" w:rsidRPr="001103BF" w:rsidRDefault="001103BF" w:rsidP="001103BF">
            <w:pPr>
              <w:spacing w:after="0"/>
              <w:rPr>
                <w:rFonts w:ascii="Times New Roman" w:hAnsi="Times New Roman"/>
                <w:color w:val="000000"/>
                <w:lang w:eastAsia="es-DO"/>
              </w:rPr>
            </w:pPr>
            <w:r w:rsidRPr="001103BF">
              <w:rPr>
                <w:rFonts w:ascii="Times New Roman" w:hAnsi="Times New Roman"/>
                <w:color w:val="000000"/>
                <w:lang w:eastAsia="es-DO"/>
              </w:rPr>
              <w:t>Producción de tierra y fomento de cultivo</w:t>
            </w:r>
          </w:p>
        </w:tc>
        <w:tc>
          <w:tcPr>
            <w:tcW w:w="2160" w:type="dxa"/>
            <w:tcBorders>
              <w:top w:val="nil"/>
              <w:left w:val="nil"/>
              <w:bottom w:val="single" w:sz="4" w:space="0" w:color="auto"/>
              <w:right w:val="single" w:sz="4" w:space="0" w:color="auto"/>
            </w:tcBorders>
            <w:shd w:val="clear" w:color="auto" w:fill="auto"/>
            <w:noWrap/>
            <w:vAlign w:val="bottom"/>
            <w:hideMark/>
          </w:tcPr>
          <w:p w14:paraId="60DB634F" w14:textId="77777777" w:rsidR="001103BF" w:rsidRPr="001103BF" w:rsidRDefault="001103BF" w:rsidP="001103BF">
            <w:pPr>
              <w:spacing w:after="0"/>
              <w:jc w:val="center"/>
              <w:rPr>
                <w:rFonts w:ascii="Times New Roman" w:hAnsi="Times New Roman"/>
                <w:color w:val="000000"/>
                <w:lang w:eastAsia="es-DO"/>
              </w:rPr>
            </w:pPr>
            <w:r w:rsidRPr="001103BF">
              <w:rPr>
                <w:rFonts w:ascii="Times New Roman" w:hAnsi="Times New Roman"/>
                <w:color w:val="000000"/>
                <w:lang w:eastAsia="es-DO"/>
              </w:rPr>
              <w:t>31</w:t>
            </w:r>
          </w:p>
        </w:tc>
      </w:tr>
      <w:tr w:rsidR="001103BF" w:rsidRPr="001103BF" w14:paraId="23B2DD7C" w14:textId="77777777" w:rsidTr="001103BF">
        <w:trPr>
          <w:trHeight w:val="70"/>
        </w:trPr>
        <w:tc>
          <w:tcPr>
            <w:tcW w:w="5500" w:type="dxa"/>
            <w:tcBorders>
              <w:top w:val="nil"/>
              <w:left w:val="single" w:sz="4" w:space="0" w:color="auto"/>
              <w:bottom w:val="single" w:sz="4" w:space="0" w:color="auto"/>
              <w:right w:val="single" w:sz="4" w:space="0" w:color="auto"/>
            </w:tcBorders>
            <w:shd w:val="clear" w:color="auto" w:fill="auto"/>
            <w:noWrap/>
            <w:vAlign w:val="bottom"/>
            <w:hideMark/>
          </w:tcPr>
          <w:p w14:paraId="0020B8D5" w14:textId="3172B2AD" w:rsidR="001103BF" w:rsidRPr="001103BF" w:rsidRDefault="001103BF" w:rsidP="001103BF">
            <w:pPr>
              <w:spacing w:after="0"/>
              <w:rPr>
                <w:rFonts w:ascii="Times New Roman" w:hAnsi="Times New Roman"/>
                <w:color w:val="000000"/>
                <w:lang w:eastAsia="es-DO"/>
              </w:rPr>
            </w:pPr>
            <w:r w:rsidRPr="001103BF">
              <w:rPr>
                <w:rFonts w:ascii="Times New Roman" w:hAnsi="Times New Roman"/>
                <w:color w:val="000000"/>
                <w:lang w:eastAsia="es-DO"/>
              </w:rPr>
              <w:t>Otros</w:t>
            </w:r>
          </w:p>
        </w:tc>
        <w:tc>
          <w:tcPr>
            <w:tcW w:w="2160" w:type="dxa"/>
            <w:tcBorders>
              <w:top w:val="nil"/>
              <w:left w:val="nil"/>
              <w:bottom w:val="single" w:sz="4" w:space="0" w:color="auto"/>
              <w:right w:val="single" w:sz="4" w:space="0" w:color="auto"/>
            </w:tcBorders>
            <w:shd w:val="clear" w:color="auto" w:fill="auto"/>
            <w:noWrap/>
            <w:vAlign w:val="bottom"/>
            <w:hideMark/>
          </w:tcPr>
          <w:p w14:paraId="025F7908" w14:textId="77777777" w:rsidR="001103BF" w:rsidRPr="001103BF" w:rsidRDefault="001103BF" w:rsidP="001103BF">
            <w:pPr>
              <w:spacing w:after="0"/>
              <w:jc w:val="center"/>
              <w:rPr>
                <w:rFonts w:ascii="Times New Roman" w:hAnsi="Times New Roman"/>
                <w:color w:val="000000"/>
                <w:lang w:eastAsia="es-DO"/>
              </w:rPr>
            </w:pPr>
            <w:r w:rsidRPr="001103BF">
              <w:rPr>
                <w:rFonts w:ascii="Times New Roman" w:hAnsi="Times New Roman"/>
                <w:color w:val="000000"/>
                <w:lang w:eastAsia="es-DO"/>
              </w:rPr>
              <w:t>1</w:t>
            </w:r>
          </w:p>
        </w:tc>
      </w:tr>
      <w:tr w:rsidR="001103BF" w:rsidRPr="001103BF" w14:paraId="2DC35BA7" w14:textId="77777777" w:rsidTr="001103BF">
        <w:trPr>
          <w:trHeight w:val="70"/>
        </w:trPr>
        <w:tc>
          <w:tcPr>
            <w:tcW w:w="5500" w:type="dxa"/>
            <w:tcBorders>
              <w:top w:val="nil"/>
              <w:left w:val="single" w:sz="4" w:space="0" w:color="auto"/>
              <w:bottom w:val="single" w:sz="4" w:space="0" w:color="auto"/>
              <w:right w:val="single" w:sz="4" w:space="0" w:color="auto"/>
            </w:tcBorders>
            <w:shd w:val="clear" w:color="auto" w:fill="808080" w:themeFill="background1" w:themeFillShade="80"/>
            <w:noWrap/>
            <w:vAlign w:val="bottom"/>
            <w:hideMark/>
          </w:tcPr>
          <w:p w14:paraId="1FE79B07" w14:textId="460D47E9" w:rsidR="001103BF" w:rsidRPr="001103BF" w:rsidRDefault="001103BF" w:rsidP="001103BF">
            <w:pPr>
              <w:spacing w:after="0"/>
              <w:rPr>
                <w:rFonts w:ascii="Times New Roman" w:hAnsi="Times New Roman"/>
                <w:b/>
                <w:bCs/>
                <w:color w:val="FFFFFF" w:themeColor="background1"/>
                <w:lang w:eastAsia="es-DO"/>
              </w:rPr>
            </w:pPr>
            <w:r w:rsidRPr="001103BF">
              <w:rPr>
                <w:rFonts w:ascii="Times New Roman" w:hAnsi="Times New Roman"/>
                <w:b/>
                <w:bCs/>
                <w:color w:val="FFFFFF" w:themeColor="background1"/>
                <w:lang w:eastAsia="es-DO"/>
              </w:rPr>
              <w:t>Cantidad total de compromisos del Ministerio</w:t>
            </w:r>
          </w:p>
        </w:tc>
        <w:tc>
          <w:tcPr>
            <w:tcW w:w="2160" w:type="dxa"/>
            <w:tcBorders>
              <w:top w:val="nil"/>
              <w:left w:val="nil"/>
              <w:bottom w:val="single" w:sz="4" w:space="0" w:color="auto"/>
              <w:right w:val="single" w:sz="4" w:space="0" w:color="auto"/>
            </w:tcBorders>
            <w:shd w:val="clear" w:color="auto" w:fill="808080" w:themeFill="background1" w:themeFillShade="80"/>
            <w:noWrap/>
            <w:vAlign w:val="bottom"/>
            <w:hideMark/>
          </w:tcPr>
          <w:p w14:paraId="13332FF4" w14:textId="77777777" w:rsidR="001103BF" w:rsidRPr="001103BF" w:rsidRDefault="001103BF" w:rsidP="001103BF">
            <w:pPr>
              <w:spacing w:after="0"/>
              <w:jc w:val="center"/>
              <w:rPr>
                <w:rFonts w:ascii="Times New Roman" w:hAnsi="Times New Roman"/>
                <w:b/>
                <w:bCs/>
                <w:color w:val="FFFFFF" w:themeColor="background1"/>
                <w:lang w:eastAsia="es-DO"/>
              </w:rPr>
            </w:pPr>
            <w:r w:rsidRPr="001103BF">
              <w:rPr>
                <w:rFonts w:ascii="Times New Roman" w:hAnsi="Times New Roman"/>
                <w:b/>
                <w:bCs/>
                <w:color w:val="FFFFFF" w:themeColor="background1"/>
                <w:lang w:eastAsia="es-DO"/>
              </w:rPr>
              <w:t>117</w:t>
            </w:r>
          </w:p>
        </w:tc>
      </w:tr>
    </w:tbl>
    <w:p w14:paraId="67D7B299" w14:textId="77777777" w:rsidR="00142499" w:rsidRPr="0098414F" w:rsidRDefault="00142499" w:rsidP="00CA5792">
      <w:pPr>
        <w:pStyle w:val="Ttulo3"/>
      </w:pPr>
      <w:bookmarkStart w:id="198" w:name="_Toc27146770"/>
      <w:r w:rsidRPr="0098414F">
        <w:lastRenderedPageBreak/>
        <w:t>Programa de apoyo directo y acceso a crédito</w:t>
      </w:r>
      <w:bookmarkEnd w:id="197"/>
      <w:bookmarkEnd w:id="198"/>
    </w:p>
    <w:p w14:paraId="77CF9159" w14:textId="77777777" w:rsidR="00CA5792" w:rsidRDefault="00CA5792" w:rsidP="00142499">
      <w:pPr>
        <w:spacing w:after="0" w:line="480" w:lineRule="auto"/>
        <w:ind w:firstLine="720"/>
        <w:jc w:val="both"/>
        <w:rPr>
          <w:rFonts w:ascii="Times New Roman" w:hAnsi="Times New Roman"/>
        </w:rPr>
      </w:pPr>
    </w:p>
    <w:p w14:paraId="58EB8BA5" w14:textId="2421C845" w:rsidR="00142499" w:rsidRDefault="00142499" w:rsidP="00142499">
      <w:pPr>
        <w:spacing w:after="0" w:line="480" w:lineRule="auto"/>
        <w:ind w:firstLine="720"/>
        <w:jc w:val="both"/>
        <w:rPr>
          <w:rFonts w:ascii="Times New Roman" w:hAnsi="Times New Roman"/>
        </w:rPr>
      </w:pPr>
      <w:r w:rsidRPr="00CA7B72">
        <w:rPr>
          <w:rFonts w:ascii="Times New Roman" w:hAnsi="Times New Roman"/>
        </w:rPr>
        <w:t>El apoyo crediticio a la agropecuaria y actividades productivas rurales, constituye un componente fundamental para el logro de la democratización y eficacia del crédito, debido a que se ha</w:t>
      </w:r>
      <w:r w:rsidR="00CA7B72" w:rsidRPr="00CA7B72">
        <w:rPr>
          <w:rFonts w:ascii="Times New Roman" w:hAnsi="Times New Roman"/>
        </w:rPr>
        <w:t>n</w:t>
      </w:r>
      <w:r w:rsidRPr="00CA7B72">
        <w:rPr>
          <w:rFonts w:ascii="Times New Roman" w:hAnsi="Times New Roman"/>
        </w:rPr>
        <w:t xml:space="preserve"> fortalecido los servicios de financiamiento para beneficio de los productores/as, con el impulso de los sectores relacionados a los proyectos productivos para que cumplan su rol y sean sustentables en el tiempo con tasas de interés atractivas y por debajo del umbral del mercado.</w:t>
      </w:r>
    </w:p>
    <w:p w14:paraId="5F5920A4" w14:textId="77777777" w:rsidR="00142499" w:rsidRPr="00A10905" w:rsidRDefault="00142499" w:rsidP="00142499">
      <w:pPr>
        <w:spacing w:after="0" w:line="480" w:lineRule="auto"/>
        <w:ind w:firstLine="720"/>
        <w:jc w:val="both"/>
        <w:rPr>
          <w:rFonts w:ascii="Times New Roman" w:hAnsi="Times New Roman"/>
        </w:rPr>
      </w:pPr>
    </w:p>
    <w:p w14:paraId="6DDF1763" w14:textId="1E7D32AE" w:rsidR="00CA7B72" w:rsidRPr="00CA7B72" w:rsidRDefault="004D173D" w:rsidP="004D173D">
      <w:pPr>
        <w:spacing w:after="0" w:line="480" w:lineRule="auto"/>
        <w:ind w:firstLine="720"/>
        <w:jc w:val="both"/>
        <w:rPr>
          <w:rFonts w:ascii="Times New Roman" w:hAnsi="Times New Roman"/>
        </w:rPr>
      </w:pPr>
      <w:r w:rsidRPr="00CA7B72">
        <w:rPr>
          <w:rFonts w:ascii="Times New Roman" w:hAnsi="Times New Roman"/>
        </w:rPr>
        <w:t xml:space="preserve">Cabe </w:t>
      </w:r>
      <w:r w:rsidR="00CA7B72" w:rsidRPr="00CA7B72">
        <w:rPr>
          <w:rFonts w:ascii="Times New Roman" w:hAnsi="Times New Roman"/>
        </w:rPr>
        <w:t>señalar</w:t>
      </w:r>
      <w:r w:rsidRPr="00CA7B72">
        <w:rPr>
          <w:rFonts w:ascii="Times New Roman" w:hAnsi="Times New Roman"/>
        </w:rPr>
        <w:t xml:space="preserve"> que el apoyo decidido del Gobierno Central en la presente gestión Gubernamental, ha sido primordial en el accionar del Banco en los más de 7 años transcurridos, con aportes de recursos </w:t>
      </w:r>
      <w:r w:rsidR="00CA7B72" w:rsidRPr="00CA7B72">
        <w:rPr>
          <w:rFonts w:ascii="Times New Roman" w:hAnsi="Times New Roman"/>
        </w:rPr>
        <w:t>que exceden los</w:t>
      </w:r>
      <w:r w:rsidRPr="00CA7B72">
        <w:rPr>
          <w:rFonts w:ascii="Times New Roman" w:hAnsi="Times New Roman"/>
        </w:rPr>
        <w:t xml:space="preserve"> RD$8,000.00 millones</w:t>
      </w:r>
      <w:r w:rsidR="00CA7B72" w:rsidRPr="00CA7B72">
        <w:rPr>
          <w:rFonts w:ascii="Times New Roman" w:hAnsi="Times New Roman"/>
        </w:rPr>
        <w:t>. De este monto</w:t>
      </w:r>
      <w:r w:rsidR="008D1984">
        <w:rPr>
          <w:rFonts w:ascii="Times New Roman" w:hAnsi="Times New Roman"/>
        </w:rPr>
        <w:t>,</w:t>
      </w:r>
      <w:r w:rsidRPr="00CA7B72">
        <w:rPr>
          <w:rFonts w:ascii="Times New Roman" w:hAnsi="Times New Roman"/>
        </w:rPr>
        <w:t xml:space="preserve"> </w:t>
      </w:r>
      <w:r w:rsidR="00CA7B72" w:rsidRPr="00CA7B72">
        <w:rPr>
          <w:rFonts w:ascii="Times New Roman" w:hAnsi="Times New Roman"/>
        </w:rPr>
        <w:t>la asignación para el</w:t>
      </w:r>
      <w:r w:rsidRPr="00CA7B72">
        <w:rPr>
          <w:rFonts w:ascii="Times New Roman" w:hAnsi="Times New Roman"/>
        </w:rPr>
        <w:t xml:space="preserve"> presente año sobrepasa los RD$1,000.00 millones. </w:t>
      </w:r>
    </w:p>
    <w:p w14:paraId="36C793FD" w14:textId="77777777" w:rsidR="00CA7B72" w:rsidRDefault="00CA7B72" w:rsidP="004D173D">
      <w:pPr>
        <w:spacing w:after="0" w:line="480" w:lineRule="auto"/>
        <w:ind w:firstLine="720"/>
        <w:jc w:val="both"/>
        <w:rPr>
          <w:rFonts w:ascii="Times New Roman" w:hAnsi="Times New Roman"/>
          <w:highlight w:val="yellow"/>
        </w:rPr>
      </w:pPr>
    </w:p>
    <w:p w14:paraId="7625845A" w14:textId="1AB642CC" w:rsidR="004D173D" w:rsidRPr="00CA7B72" w:rsidRDefault="004D173D" w:rsidP="004D173D">
      <w:pPr>
        <w:spacing w:after="0" w:line="480" w:lineRule="auto"/>
        <w:ind w:firstLine="720"/>
        <w:jc w:val="both"/>
        <w:rPr>
          <w:rFonts w:ascii="Times New Roman" w:hAnsi="Times New Roman"/>
        </w:rPr>
      </w:pPr>
      <w:r w:rsidRPr="00CA7B72">
        <w:rPr>
          <w:rFonts w:ascii="Times New Roman" w:hAnsi="Times New Roman"/>
        </w:rPr>
        <w:t>Estos recursos constituyen un complemento para que la Institución oferte crédito a los productores a una tasa de interés privilegiada, por debajo a la ofertada por las demás entidades del Sistema Financiero Nacional.</w:t>
      </w:r>
    </w:p>
    <w:p w14:paraId="11BC79AE" w14:textId="77777777" w:rsidR="00142499" w:rsidRPr="00CA7B72" w:rsidRDefault="00142499" w:rsidP="00142499">
      <w:pPr>
        <w:spacing w:after="0" w:line="480" w:lineRule="auto"/>
        <w:ind w:firstLine="720"/>
        <w:jc w:val="both"/>
        <w:rPr>
          <w:rFonts w:ascii="Times New Roman" w:hAnsi="Times New Roman"/>
        </w:rPr>
      </w:pPr>
    </w:p>
    <w:p w14:paraId="6A74C42C" w14:textId="22A41FC5" w:rsidR="004D173D" w:rsidRDefault="004D173D" w:rsidP="004D173D">
      <w:pPr>
        <w:spacing w:after="0" w:line="480" w:lineRule="auto"/>
        <w:ind w:firstLine="720"/>
        <w:jc w:val="both"/>
        <w:rPr>
          <w:rFonts w:ascii="Times New Roman" w:hAnsi="Times New Roman"/>
        </w:rPr>
      </w:pPr>
      <w:r w:rsidRPr="00CA7B72">
        <w:rPr>
          <w:rFonts w:ascii="Times New Roman" w:hAnsi="Times New Roman"/>
        </w:rPr>
        <w:t xml:space="preserve">Durante el 2019, se mantuvo la política financiera de expansión de la oferta de cartera de préstamos, otorgando créditos a una tasa de interés activa de un 8% anual, equivalente al 0.66% de interés mensual, para proyectos dirigidos a la producción de alimentos básicos, orientado a reforzar la seguridad alimentaria, la </w:t>
      </w:r>
      <w:r w:rsidRPr="00CA7B72">
        <w:rPr>
          <w:rFonts w:ascii="Times New Roman" w:hAnsi="Times New Roman"/>
        </w:rPr>
        <w:lastRenderedPageBreak/>
        <w:t>cual ha contribuido con el gran dinamismo del Sector, en beneficio de los productores agropecuarios y el campo dominicano en sentido general.</w:t>
      </w:r>
    </w:p>
    <w:p w14:paraId="0D6389D5" w14:textId="77777777" w:rsidR="004D173D" w:rsidRDefault="004D173D" w:rsidP="008D1984">
      <w:pPr>
        <w:spacing w:after="0" w:line="360" w:lineRule="auto"/>
        <w:ind w:firstLine="720"/>
        <w:jc w:val="both"/>
        <w:rPr>
          <w:rFonts w:ascii="Times New Roman" w:hAnsi="Times New Roman"/>
        </w:rPr>
      </w:pPr>
    </w:p>
    <w:p w14:paraId="0694CF2C" w14:textId="77777777" w:rsidR="00142499" w:rsidRDefault="00142499" w:rsidP="00142499">
      <w:pPr>
        <w:spacing w:after="0" w:line="480" w:lineRule="auto"/>
        <w:ind w:firstLine="720"/>
        <w:jc w:val="both"/>
        <w:rPr>
          <w:rFonts w:ascii="Times New Roman" w:hAnsi="Times New Roman"/>
        </w:rPr>
      </w:pPr>
      <w:r w:rsidRPr="007D51B8">
        <w:rPr>
          <w:rFonts w:ascii="Times New Roman" w:hAnsi="Times New Roman"/>
        </w:rPr>
        <w:t>La disminución de la tasa de interés, constituye la más baja del mercado para operaciones crediticias, equivalente 0.17 puntos básicos menos al ser comparada con el año anterior.</w:t>
      </w:r>
      <w:r w:rsidRPr="00A10905">
        <w:rPr>
          <w:rFonts w:ascii="Times New Roman" w:hAnsi="Times New Roman"/>
        </w:rPr>
        <w:t xml:space="preserve"> </w:t>
      </w:r>
    </w:p>
    <w:p w14:paraId="15DC7EFD" w14:textId="77777777" w:rsidR="00142499" w:rsidRDefault="00142499" w:rsidP="008D1984">
      <w:pPr>
        <w:spacing w:after="0" w:line="360" w:lineRule="auto"/>
        <w:ind w:firstLine="720"/>
        <w:jc w:val="both"/>
        <w:rPr>
          <w:rFonts w:ascii="Times New Roman" w:hAnsi="Times New Roman"/>
        </w:rPr>
      </w:pPr>
    </w:p>
    <w:p w14:paraId="470065A2" w14:textId="4B5774A2" w:rsidR="00142499" w:rsidRDefault="00CE1759" w:rsidP="00142499">
      <w:pPr>
        <w:spacing w:after="0" w:line="480" w:lineRule="auto"/>
        <w:ind w:firstLine="720"/>
        <w:jc w:val="both"/>
        <w:rPr>
          <w:rFonts w:ascii="Times New Roman" w:hAnsi="Times New Roman"/>
        </w:rPr>
      </w:pPr>
      <w:r w:rsidRPr="00CE1759">
        <w:rPr>
          <w:rFonts w:ascii="Times New Roman" w:hAnsi="Times New Roman"/>
        </w:rPr>
        <w:t>De igual modo,</w:t>
      </w:r>
      <w:r w:rsidR="00142499" w:rsidRPr="00CE1759">
        <w:rPr>
          <w:rFonts w:ascii="Times New Roman" w:hAnsi="Times New Roman"/>
        </w:rPr>
        <w:t xml:space="preserve"> el mantenimiento de los niveles de agro-negocios y de los proyectos productivos impulsados, así como también la modificación de las tasas de interés pasiva en los diferentes instrumentos financieros, procurando niveles de rentabilidad razonables.</w:t>
      </w:r>
    </w:p>
    <w:p w14:paraId="3775E724" w14:textId="77777777" w:rsidR="00782488" w:rsidRPr="00CE1759" w:rsidRDefault="00782488" w:rsidP="00142499">
      <w:pPr>
        <w:spacing w:after="0" w:line="480" w:lineRule="auto"/>
        <w:ind w:firstLine="720"/>
        <w:jc w:val="both"/>
        <w:rPr>
          <w:rFonts w:ascii="Times New Roman" w:hAnsi="Times New Roman"/>
        </w:rPr>
      </w:pPr>
    </w:p>
    <w:p w14:paraId="60A01553" w14:textId="63719DBF" w:rsidR="00142499" w:rsidRPr="0072439F" w:rsidRDefault="00142499" w:rsidP="00142499">
      <w:pPr>
        <w:spacing w:line="480" w:lineRule="auto"/>
        <w:ind w:right="49" w:firstLine="284"/>
        <w:jc w:val="both"/>
        <w:rPr>
          <w:rFonts w:ascii="Times New Roman" w:hAnsi="Times New Roman"/>
        </w:rPr>
      </w:pPr>
      <w:r w:rsidRPr="0072439F">
        <w:rPr>
          <w:rFonts w:ascii="Times New Roman" w:hAnsi="Times New Roman"/>
        </w:rPr>
        <w:t xml:space="preserve">El Banco aplica otras tasas muy atractivas por debajo de las ofertadas en el mercado actual, </w:t>
      </w:r>
      <w:r w:rsidR="00CE1759" w:rsidRPr="0072439F">
        <w:rPr>
          <w:rFonts w:ascii="Times New Roman" w:hAnsi="Times New Roman"/>
        </w:rPr>
        <w:t>tales como:</w:t>
      </w:r>
    </w:p>
    <w:p w14:paraId="785EEAB0" w14:textId="77777777" w:rsidR="00142499" w:rsidRPr="0072439F" w:rsidRDefault="00142499" w:rsidP="001C6B1A">
      <w:pPr>
        <w:pStyle w:val="Prrafodelista"/>
        <w:numPr>
          <w:ilvl w:val="0"/>
          <w:numId w:val="19"/>
        </w:numPr>
        <w:spacing w:after="0" w:line="480" w:lineRule="auto"/>
        <w:ind w:right="49"/>
        <w:jc w:val="both"/>
        <w:rPr>
          <w:rFonts w:ascii="Times New Roman" w:hAnsi="Times New Roman"/>
          <w:sz w:val="24"/>
          <w:szCs w:val="24"/>
        </w:rPr>
      </w:pPr>
      <w:r w:rsidRPr="0072439F">
        <w:rPr>
          <w:rFonts w:ascii="Times New Roman" w:hAnsi="Times New Roman"/>
          <w:sz w:val="24"/>
          <w:szCs w:val="24"/>
        </w:rPr>
        <w:t>5% para proyectos derivados de las visitas sorpresas</w:t>
      </w:r>
      <w:r w:rsidRPr="0072439F">
        <w:rPr>
          <w:rStyle w:val="Refdenotaalpie"/>
          <w:rFonts w:ascii="Times New Roman" w:hAnsi="Times New Roman"/>
          <w:sz w:val="24"/>
          <w:szCs w:val="24"/>
        </w:rPr>
        <w:footnoteReference w:id="9"/>
      </w:r>
    </w:p>
    <w:p w14:paraId="6C5E6476" w14:textId="77777777" w:rsidR="00142499" w:rsidRPr="0072439F" w:rsidRDefault="00142499" w:rsidP="001C6B1A">
      <w:pPr>
        <w:pStyle w:val="Prrafodelista"/>
        <w:numPr>
          <w:ilvl w:val="0"/>
          <w:numId w:val="19"/>
        </w:numPr>
        <w:spacing w:after="0" w:line="480" w:lineRule="auto"/>
        <w:ind w:right="49"/>
        <w:jc w:val="both"/>
        <w:rPr>
          <w:rFonts w:ascii="Times New Roman" w:hAnsi="Times New Roman"/>
          <w:sz w:val="24"/>
          <w:szCs w:val="24"/>
        </w:rPr>
      </w:pPr>
      <w:r w:rsidRPr="0072439F">
        <w:rPr>
          <w:rFonts w:ascii="Times New Roman" w:hAnsi="Times New Roman"/>
          <w:sz w:val="24"/>
          <w:szCs w:val="24"/>
        </w:rPr>
        <w:t>6% con fondos de CONALECHE</w:t>
      </w:r>
    </w:p>
    <w:p w14:paraId="7C40ECE3" w14:textId="3DD72797" w:rsidR="00142499" w:rsidRPr="0072439F" w:rsidRDefault="00142499" w:rsidP="001C6B1A">
      <w:pPr>
        <w:pStyle w:val="Prrafodelista"/>
        <w:numPr>
          <w:ilvl w:val="0"/>
          <w:numId w:val="19"/>
        </w:numPr>
        <w:spacing w:after="0" w:line="480" w:lineRule="auto"/>
        <w:ind w:right="49"/>
        <w:jc w:val="both"/>
        <w:rPr>
          <w:rFonts w:ascii="Times New Roman" w:hAnsi="Times New Roman"/>
          <w:sz w:val="24"/>
          <w:szCs w:val="24"/>
        </w:rPr>
      </w:pPr>
      <w:r w:rsidRPr="0072439F">
        <w:rPr>
          <w:rFonts w:ascii="Times New Roman" w:hAnsi="Times New Roman"/>
          <w:sz w:val="24"/>
          <w:szCs w:val="24"/>
        </w:rPr>
        <w:t>6% con recursos provenientes del Ban</w:t>
      </w:r>
      <w:r w:rsidR="00CE1759" w:rsidRPr="0072439F">
        <w:rPr>
          <w:rFonts w:ascii="Times New Roman" w:hAnsi="Times New Roman"/>
          <w:sz w:val="24"/>
          <w:szCs w:val="24"/>
        </w:rPr>
        <w:t>co Interamericano de Desarrollo.</w:t>
      </w:r>
      <w:r w:rsidRPr="0072439F">
        <w:rPr>
          <w:rFonts w:ascii="Times New Roman" w:hAnsi="Times New Roman"/>
          <w:sz w:val="24"/>
          <w:szCs w:val="24"/>
        </w:rPr>
        <w:t xml:space="preserve"> exclusivo para la Provincia de San Juan de la Maguana) </w:t>
      </w:r>
    </w:p>
    <w:p w14:paraId="61CCC191" w14:textId="77777777" w:rsidR="00142499" w:rsidRPr="0072439F" w:rsidRDefault="00142499" w:rsidP="001C6B1A">
      <w:pPr>
        <w:pStyle w:val="Prrafodelista"/>
        <w:numPr>
          <w:ilvl w:val="0"/>
          <w:numId w:val="19"/>
        </w:numPr>
        <w:spacing w:after="0" w:line="480" w:lineRule="auto"/>
        <w:ind w:right="49"/>
        <w:jc w:val="both"/>
        <w:rPr>
          <w:rFonts w:ascii="Times New Roman" w:hAnsi="Times New Roman"/>
          <w:sz w:val="24"/>
          <w:szCs w:val="24"/>
        </w:rPr>
      </w:pPr>
      <w:r w:rsidRPr="0072439F">
        <w:rPr>
          <w:rFonts w:ascii="Times New Roman" w:hAnsi="Times New Roman"/>
          <w:sz w:val="24"/>
          <w:szCs w:val="24"/>
        </w:rPr>
        <w:t>9.5% para préstamos factoring, comercialización de productos agropecuarios y pignoraciones.</w:t>
      </w:r>
    </w:p>
    <w:p w14:paraId="072AB052" w14:textId="77777777" w:rsidR="00142499" w:rsidRPr="0072439F" w:rsidRDefault="00142499" w:rsidP="001C6B1A">
      <w:pPr>
        <w:pStyle w:val="Prrafodelista"/>
        <w:numPr>
          <w:ilvl w:val="0"/>
          <w:numId w:val="19"/>
        </w:numPr>
        <w:spacing w:after="0" w:line="480" w:lineRule="auto"/>
        <w:ind w:right="49"/>
        <w:jc w:val="both"/>
        <w:rPr>
          <w:rFonts w:ascii="Times New Roman" w:hAnsi="Times New Roman"/>
          <w:sz w:val="24"/>
          <w:szCs w:val="24"/>
        </w:rPr>
      </w:pPr>
      <w:r w:rsidRPr="0072439F">
        <w:rPr>
          <w:rFonts w:ascii="Times New Roman" w:hAnsi="Times New Roman"/>
          <w:sz w:val="24"/>
          <w:szCs w:val="24"/>
        </w:rPr>
        <w:t>12% para otros tipos de proyectos con características especiales.</w:t>
      </w:r>
    </w:p>
    <w:p w14:paraId="4BA9C3B5" w14:textId="77777777" w:rsidR="002A68D2" w:rsidRDefault="002A68D2" w:rsidP="004D173D">
      <w:pPr>
        <w:spacing w:after="0" w:line="480" w:lineRule="auto"/>
        <w:ind w:firstLine="720"/>
        <w:jc w:val="both"/>
        <w:rPr>
          <w:rFonts w:ascii="Times New Roman" w:hAnsi="Times New Roman"/>
        </w:rPr>
      </w:pPr>
    </w:p>
    <w:p w14:paraId="63C7A990" w14:textId="61E93BD8" w:rsidR="004D173D" w:rsidRDefault="004D173D" w:rsidP="004D173D">
      <w:pPr>
        <w:spacing w:after="0" w:line="480" w:lineRule="auto"/>
        <w:ind w:firstLine="720"/>
        <w:jc w:val="both"/>
        <w:rPr>
          <w:rFonts w:ascii="Times New Roman" w:hAnsi="Times New Roman"/>
        </w:rPr>
      </w:pPr>
      <w:r w:rsidRPr="0072439F">
        <w:rPr>
          <w:rFonts w:ascii="Times New Roman" w:hAnsi="Times New Roman"/>
        </w:rPr>
        <w:lastRenderedPageBreak/>
        <w:t>Todo lo indicado constituyen factores esenciales que han influido para que en el presente año el Banco haya otorgado financiamientos proyectados a diciembre por RD$23,521 millones, contribuyendo estos recursos a que en la presente gestión gubernamental se haya financiado unos RD$129,322.7 millones, cortado al mes de octubre del presente año y se proyecta alcanzar alrededor de RD$134,000 millones a diciembre del año en curso.</w:t>
      </w:r>
    </w:p>
    <w:p w14:paraId="755740A9" w14:textId="77777777" w:rsidR="004D173D" w:rsidRPr="004D173D" w:rsidRDefault="004D173D" w:rsidP="004D173D">
      <w:pPr>
        <w:spacing w:after="0" w:line="480" w:lineRule="auto"/>
        <w:ind w:firstLine="720"/>
        <w:jc w:val="both"/>
        <w:rPr>
          <w:rFonts w:ascii="Times New Roman" w:hAnsi="Times New Roman"/>
        </w:rPr>
      </w:pPr>
    </w:p>
    <w:p w14:paraId="7DC0F444" w14:textId="2AD45056" w:rsidR="004D173D" w:rsidRPr="004D173D" w:rsidRDefault="00CC7EC6" w:rsidP="004D173D">
      <w:pPr>
        <w:spacing w:after="0" w:line="480" w:lineRule="auto"/>
        <w:ind w:firstLine="720"/>
        <w:jc w:val="both"/>
        <w:rPr>
          <w:rFonts w:ascii="Times New Roman" w:hAnsi="Times New Roman"/>
        </w:rPr>
      </w:pPr>
      <w:r w:rsidRPr="00CC7EC6">
        <w:rPr>
          <w:rFonts w:ascii="Times New Roman" w:hAnsi="Times New Roman"/>
        </w:rPr>
        <w:t>Cabe</w:t>
      </w:r>
      <w:r w:rsidR="004D173D" w:rsidRPr="00CC7EC6">
        <w:rPr>
          <w:rFonts w:ascii="Times New Roman" w:hAnsi="Times New Roman"/>
        </w:rPr>
        <w:t xml:space="preserve"> destacar que la actividad </w:t>
      </w:r>
      <w:r w:rsidR="008D1984">
        <w:rPr>
          <w:rFonts w:ascii="Times New Roman" w:hAnsi="Times New Roman"/>
        </w:rPr>
        <w:t>c</w:t>
      </w:r>
      <w:r w:rsidR="004D173D" w:rsidRPr="00CC7EC6">
        <w:rPr>
          <w:rFonts w:ascii="Times New Roman" w:hAnsi="Times New Roman"/>
        </w:rPr>
        <w:t>rediticia a través del Banco Agrícola BAGRICOLA, a la fecha ha cumplido el 100% de la meta asignad</w:t>
      </w:r>
      <w:r w:rsidRPr="00CC7EC6">
        <w:rPr>
          <w:rFonts w:ascii="Times New Roman" w:hAnsi="Times New Roman"/>
        </w:rPr>
        <w:t>a p</w:t>
      </w:r>
      <w:r w:rsidR="004D173D" w:rsidRPr="00CC7EC6">
        <w:rPr>
          <w:rFonts w:ascii="Times New Roman" w:hAnsi="Times New Roman"/>
        </w:rPr>
        <w:t>o</w:t>
      </w:r>
      <w:r w:rsidRPr="00CC7EC6">
        <w:rPr>
          <w:rFonts w:ascii="Times New Roman" w:hAnsi="Times New Roman"/>
        </w:rPr>
        <w:t>r</w:t>
      </w:r>
      <w:r w:rsidR="004D173D" w:rsidRPr="00CC7EC6">
        <w:rPr>
          <w:rFonts w:ascii="Times New Roman" w:hAnsi="Times New Roman"/>
        </w:rPr>
        <w:t xml:space="preserve"> el gobierno de RD$70,000.00 millones para financiar la agropecuaria </w:t>
      </w:r>
      <w:r w:rsidRPr="00CC7EC6">
        <w:rPr>
          <w:rFonts w:ascii="Times New Roman" w:hAnsi="Times New Roman"/>
        </w:rPr>
        <w:t>durante l</w:t>
      </w:r>
      <w:r w:rsidR="004D173D" w:rsidRPr="00CC7EC6">
        <w:rPr>
          <w:rFonts w:ascii="Times New Roman" w:hAnsi="Times New Roman"/>
        </w:rPr>
        <w:t>os cuatro años del segundo periodo, lo que refleja la dimensión del apoyo financiero al sector.</w:t>
      </w:r>
    </w:p>
    <w:p w14:paraId="0BBAE8B3" w14:textId="77777777" w:rsidR="00142499" w:rsidRPr="00A10905" w:rsidRDefault="00142499" w:rsidP="00142499">
      <w:pPr>
        <w:spacing w:after="0" w:line="360" w:lineRule="auto"/>
        <w:ind w:firstLine="720"/>
        <w:jc w:val="both"/>
        <w:rPr>
          <w:rFonts w:ascii="Times New Roman" w:hAnsi="Times New Roman"/>
        </w:rPr>
      </w:pPr>
    </w:p>
    <w:p w14:paraId="1C7DC344" w14:textId="514059AD" w:rsidR="00142499" w:rsidRPr="004D22AE" w:rsidRDefault="00142499" w:rsidP="00142499">
      <w:pPr>
        <w:spacing w:after="0" w:line="480" w:lineRule="auto"/>
        <w:ind w:firstLine="720"/>
        <w:jc w:val="both"/>
        <w:rPr>
          <w:rFonts w:ascii="Times New Roman" w:hAnsi="Times New Roman"/>
        </w:rPr>
      </w:pPr>
      <w:r w:rsidRPr="004D22AE">
        <w:rPr>
          <w:rFonts w:ascii="Times New Roman" w:hAnsi="Times New Roman"/>
        </w:rPr>
        <w:t>En este sentido</w:t>
      </w:r>
      <w:r w:rsidR="008D1984">
        <w:rPr>
          <w:rFonts w:ascii="Times New Roman" w:hAnsi="Times New Roman"/>
        </w:rPr>
        <w:t>,</w:t>
      </w:r>
      <w:r w:rsidRPr="004D22AE">
        <w:rPr>
          <w:rFonts w:ascii="Times New Roman" w:hAnsi="Times New Roman"/>
        </w:rPr>
        <w:t xml:space="preserve"> </w:t>
      </w:r>
      <w:r w:rsidR="004D173D" w:rsidRPr="004D22AE">
        <w:rPr>
          <w:rFonts w:ascii="Times New Roman" w:hAnsi="Times New Roman"/>
        </w:rPr>
        <w:t>el alcance de las metas planteadas se ha</w:t>
      </w:r>
      <w:r w:rsidRPr="004D22AE">
        <w:rPr>
          <w:rFonts w:ascii="Times New Roman" w:hAnsi="Times New Roman"/>
        </w:rPr>
        <w:t xml:space="preserve"> orientado a la colocación de recursos financieros de forma significativa en beneficio del sector agropecuario y zonas rurales del país. </w:t>
      </w:r>
    </w:p>
    <w:p w14:paraId="230683C0" w14:textId="77777777" w:rsidR="004D173D" w:rsidRPr="004D22AE" w:rsidRDefault="004D173D" w:rsidP="00142499">
      <w:pPr>
        <w:spacing w:after="0" w:line="480" w:lineRule="auto"/>
        <w:ind w:firstLine="720"/>
        <w:jc w:val="both"/>
        <w:rPr>
          <w:rFonts w:ascii="Times New Roman" w:hAnsi="Times New Roman"/>
        </w:rPr>
      </w:pPr>
    </w:p>
    <w:p w14:paraId="1FB8CFF0" w14:textId="7B5EC4BA" w:rsidR="00142499" w:rsidRPr="00163B53" w:rsidRDefault="00142499" w:rsidP="00142499">
      <w:pPr>
        <w:spacing w:after="0" w:line="480" w:lineRule="auto"/>
        <w:ind w:firstLine="720"/>
        <w:jc w:val="both"/>
        <w:rPr>
          <w:rFonts w:ascii="Times New Roman" w:hAnsi="Times New Roman"/>
          <w:color w:val="4F81BD" w:themeColor="accent1"/>
        </w:rPr>
      </w:pPr>
      <w:r w:rsidRPr="004D22AE">
        <w:rPr>
          <w:rFonts w:ascii="Times New Roman" w:hAnsi="Times New Roman"/>
        </w:rPr>
        <w:t>Los resultados alcanzados durante el 201</w:t>
      </w:r>
      <w:r w:rsidR="004D173D" w:rsidRPr="004D22AE">
        <w:rPr>
          <w:rFonts w:ascii="Times New Roman" w:hAnsi="Times New Roman"/>
        </w:rPr>
        <w:t>9</w:t>
      </w:r>
      <w:r w:rsidRPr="004D22AE">
        <w:rPr>
          <w:rFonts w:ascii="Times New Roman" w:hAnsi="Times New Roman"/>
        </w:rPr>
        <w:t xml:space="preserve"> y las proyecciones a diciembre, destacan la colocación de RD$2</w:t>
      </w:r>
      <w:r w:rsidR="004D173D" w:rsidRPr="004D22AE">
        <w:rPr>
          <w:rFonts w:ascii="Times New Roman" w:hAnsi="Times New Roman"/>
        </w:rPr>
        <w:t>3</w:t>
      </w:r>
      <w:r w:rsidRPr="004D22AE">
        <w:rPr>
          <w:rFonts w:ascii="Times New Roman" w:hAnsi="Times New Roman"/>
        </w:rPr>
        <w:t>,</w:t>
      </w:r>
      <w:r w:rsidR="004D173D" w:rsidRPr="004D22AE">
        <w:rPr>
          <w:rFonts w:ascii="Times New Roman" w:hAnsi="Times New Roman"/>
        </w:rPr>
        <w:t>521</w:t>
      </w:r>
      <w:r w:rsidRPr="004D22AE">
        <w:rPr>
          <w:rFonts w:ascii="Times New Roman" w:hAnsi="Times New Roman"/>
        </w:rPr>
        <w:t xml:space="preserve"> millones, mientras que en los </w:t>
      </w:r>
      <w:r w:rsidR="004D173D" w:rsidRPr="004D22AE">
        <w:rPr>
          <w:rFonts w:ascii="Times New Roman" w:hAnsi="Times New Roman"/>
        </w:rPr>
        <w:t>siete</w:t>
      </w:r>
      <w:r w:rsidRPr="004D22AE">
        <w:rPr>
          <w:rFonts w:ascii="Times New Roman" w:hAnsi="Times New Roman"/>
        </w:rPr>
        <w:t xml:space="preserve"> años de la presente gestión gubernamental </w:t>
      </w:r>
      <w:r w:rsidR="004D173D" w:rsidRPr="004D22AE">
        <w:rPr>
          <w:rFonts w:ascii="Times New Roman" w:hAnsi="Times New Roman"/>
        </w:rPr>
        <w:t xml:space="preserve">ha </w:t>
      </w:r>
      <w:r w:rsidRPr="004D22AE">
        <w:rPr>
          <w:rFonts w:ascii="Times New Roman" w:hAnsi="Times New Roman"/>
        </w:rPr>
        <w:t xml:space="preserve">llegado a </w:t>
      </w:r>
      <w:r w:rsidRPr="00F352AA">
        <w:rPr>
          <w:rFonts w:ascii="Times New Roman" w:hAnsi="Times New Roman"/>
        </w:rPr>
        <w:t>una cifra re</w:t>
      </w:r>
      <w:r w:rsidR="001E0920" w:rsidRPr="00F352AA">
        <w:rPr>
          <w:rFonts w:ascii="Times New Roman" w:hAnsi="Times New Roman"/>
        </w:rPr>
        <w:t xml:space="preserve">cord de ascendente a </w:t>
      </w:r>
      <w:r w:rsidR="001E0920" w:rsidRPr="004D22AE">
        <w:rPr>
          <w:rFonts w:ascii="Times New Roman" w:hAnsi="Times New Roman"/>
        </w:rPr>
        <w:t>RD$131,411.8</w:t>
      </w:r>
      <w:r w:rsidRPr="004D22AE">
        <w:rPr>
          <w:rFonts w:ascii="Times New Roman" w:hAnsi="Times New Roman"/>
        </w:rPr>
        <w:t xml:space="preserve"> millones, reflejando el mayor aporte </w:t>
      </w:r>
      <w:r w:rsidR="001E0920" w:rsidRPr="004D22AE">
        <w:rPr>
          <w:rFonts w:ascii="Times New Roman" w:hAnsi="Times New Roman"/>
        </w:rPr>
        <w:t>en la</w:t>
      </w:r>
      <w:r w:rsidRPr="004D22AE">
        <w:rPr>
          <w:rFonts w:ascii="Times New Roman" w:hAnsi="Times New Roman"/>
        </w:rPr>
        <w:t xml:space="preserve"> gestión gubernamental en </w:t>
      </w:r>
      <w:r w:rsidRPr="00F352AA">
        <w:rPr>
          <w:rFonts w:ascii="Times New Roman" w:hAnsi="Times New Roman"/>
        </w:rPr>
        <w:t xml:space="preserve">la historia de </w:t>
      </w:r>
      <w:r w:rsidR="001E0920" w:rsidRPr="00F352AA">
        <w:rPr>
          <w:rFonts w:ascii="Times New Roman" w:hAnsi="Times New Roman"/>
        </w:rPr>
        <w:t>la</w:t>
      </w:r>
      <w:r w:rsidR="001E0920" w:rsidRPr="004D22AE">
        <w:rPr>
          <w:rFonts w:ascii="Times New Roman" w:hAnsi="Times New Roman"/>
        </w:rPr>
        <w:t xml:space="preserve"> actividad crediticia del Banco Agrícola</w:t>
      </w:r>
      <w:r w:rsidRPr="004D22AE">
        <w:rPr>
          <w:rFonts w:ascii="Times New Roman" w:hAnsi="Times New Roman"/>
        </w:rPr>
        <w:t>.</w:t>
      </w:r>
    </w:p>
    <w:p w14:paraId="100DE190" w14:textId="0EAB982E" w:rsidR="008D1984" w:rsidRDefault="008D1984">
      <w:pPr>
        <w:spacing w:after="0"/>
        <w:rPr>
          <w:rFonts w:ascii="Times New Roman" w:hAnsi="Times New Roman"/>
        </w:rPr>
      </w:pPr>
      <w:r>
        <w:rPr>
          <w:rFonts w:ascii="Times New Roman" w:hAnsi="Times New Roman"/>
        </w:rPr>
        <w:br w:type="page"/>
      </w:r>
    </w:p>
    <w:p w14:paraId="7F930DB3" w14:textId="682904C1" w:rsidR="00142499" w:rsidRPr="004D173D" w:rsidRDefault="00142499" w:rsidP="001C6B1A">
      <w:pPr>
        <w:pStyle w:val="Prrafodelista"/>
        <w:numPr>
          <w:ilvl w:val="0"/>
          <w:numId w:val="9"/>
        </w:numPr>
        <w:spacing w:after="0" w:line="240" w:lineRule="auto"/>
        <w:ind w:left="567" w:hanging="567"/>
        <w:rPr>
          <w:rFonts w:ascii="Times New Roman" w:hAnsi="Times New Roman"/>
          <w:sz w:val="24"/>
          <w:lang w:val="es-ES_tradnl"/>
        </w:rPr>
      </w:pPr>
      <w:r>
        <w:rPr>
          <w:rFonts w:ascii="Times New Roman" w:hAnsi="Times New Roman"/>
          <w:b/>
          <w:sz w:val="24"/>
          <w:lang w:val="es-ES_tradnl"/>
        </w:rPr>
        <w:lastRenderedPageBreak/>
        <w:t>Actividad crediticia</w:t>
      </w:r>
      <w:r w:rsidRPr="004D173D">
        <w:rPr>
          <w:rFonts w:ascii="Times New Roman" w:hAnsi="Times New Roman"/>
          <w:b/>
          <w:sz w:val="24"/>
          <w:lang w:val="es-ES_tradnl"/>
        </w:rPr>
        <w:t>.</w:t>
      </w:r>
    </w:p>
    <w:p w14:paraId="08A83EFA" w14:textId="77777777" w:rsidR="004D173D" w:rsidRPr="004D173D" w:rsidRDefault="004D173D" w:rsidP="004D173D">
      <w:pPr>
        <w:pStyle w:val="Prrafodelista"/>
        <w:spacing w:after="0" w:line="240" w:lineRule="auto"/>
        <w:ind w:left="567"/>
        <w:rPr>
          <w:rFonts w:ascii="Times New Roman" w:hAnsi="Times New Roman"/>
          <w:sz w:val="24"/>
          <w:lang w:val="es-ES_tradnl"/>
        </w:rPr>
      </w:pPr>
    </w:p>
    <w:tbl>
      <w:tblPr>
        <w:tblW w:w="589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324"/>
        <w:gridCol w:w="1796"/>
        <w:gridCol w:w="1620"/>
        <w:gridCol w:w="1889"/>
      </w:tblGrid>
      <w:tr w:rsidR="004D173D" w:rsidRPr="004D22AE" w14:paraId="474AC9B9" w14:textId="77777777" w:rsidTr="00DC410F">
        <w:trPr>
          <w:trHeight w:val="168"/>
        </w:trPr>
        <w:tc>
          <w:tcPr>
            <w:tcW w:w="1445" w:type="pct"/>
            <w:vMerge w:val="restart"/>
            <w:shd w:val="clear" w:color="auto" w:fill="00B050"/>
            <w:noWrap/>
            <w:vAlign w:val="center"/>
            <w:hideMark/>
          </w:tcPr>
          <w:p w14:paraId="47819BAA" w14:textId="72052E38" w:rsidR="00142499" w:rsidRPr="004D22AE" w:rsidRDefault="00142499" w:rsidP="00DC18EA">
            <w:pPr>
              <w:spacing w:after="0"/>
              <w:jc w:val="center"/>
              <w:rPr>
                <w:rFonts w:ascii="Times New Roman" w:hAnsi="Times New Roman"/>
                <w:b/>
                <w:bCs/>
                <w:iCs/>
                <w:color w:val="FFFFFF" w:themeColor="background1"/>
                <w:lang w:val="en-US" w:eastAsia="en-US"/>
              </w:rPr>
            </w:pPr>
            <w:r w:rsidRPr="004D22AE">
              <w:rPr>
                <w:rFonts w:ascii="Times New Roman" w:hAnsi="Times New Roman"/>
                <w:b/>
                <w:bCs/>
                <w:iCs/>
                <w:color w:val="FFFFFF" w:themeColor="background1"/>
                <w:lang w:val="en-US" w:eastAsia="en-US"/>
              </w:rPr>
              <w:t>C</w:t>
            </w:r>
            <w:r w:rsidR="004D173D" w:rsidRPr="004D22AE">
              <w:rPr>
                <w:rFonts w:ascii="Times New Roman" w:hAnsi="Times New Roman"/>
                <w:b/>
                <w:bCs/>
                <w:iCs/>
                <w:color w:val="FFFFFF" w:themeColor="background1"/>
                <w:lang w:val="en-US" w:eastAsia="en-US"/>
              </w:rPr>
              <w:t>oncepto</w:t>
            </w:r>
          </w:p>
        </w:tc>
        <w:tc>
          <w:tcPr>
            <w:tcW w:w="710" w:type="pct"/>
            <w:vMerge w:val="restart"/>
            <w:shd w:val="clear" w:color="auto" w:fill="00B050"/>
          </w:tcPr>
          <w:p w14:paraId="523DAA8A" w14:textId="77777777" w:rsidR="00142499" w:rsidRPr="004D22AE" w:rsidRDefault="00142499" w:rsidP="00DC18EA">
            <w:pPr>
              <w:spacing w:after="0"/>
              <w:jc w:val="center"/>
              <w:rPr>
                <w:rFonts w:ascii="Times New Roman" w:hAnsi="Times New Roman"/>
                <w:b/>
                <w:bCs/>
                <w:color w:val="FFFFFF" w:themeColor="background1"/>
                <w:lang w:val="en-US" w:eastAsia="en-US"/>
              </w:rPr>
            </w:pPr>
            <w:r w:rsidRPr="004D22AE">
              <w:rPr>
                <w:rFonts w:ascii="Times New Roman" w:hAnsi="Times New Roman"/>
                <w:b/>
                <w:bCs/>
                <w:color w:val="FFFFFF" w:themeColor="background1"/>
                <w:lang w:val="en-US" w:eastAsia="en-US"/>
              </w:rPr>
              <w:t>Unidad de medida</w:t>
            </w:r>
          </w:p>
        </w:tc>
        <w:tc>
          <w:tcPr>
            <w:tcW w:w="963" w:type="pct"/>
            <w:shd w:val="clear" w:color="auto" w:fill="00B050"/>
            <w:noWrap/>
            <w:vAlign w:val="center"/>
            <w:hideMark/>
          </w:tcPr>
          <w:p w14:paraId="22C44B8C" w14:textId="77777777" w:rsidR="00142499" w:rsidRPr="004D22AE" w:rsidRDefault="00142499" w:rsidP="00DC18EA">
            <w:pPr>
              <w:spacing w:after="0"/>
              <w:jc w:val="center"/>
              <w:rPr>
                <w:rFonts w:ascii="Times New Roman" w:hAnsi="Times New Roman"/>
                <w:b/>
                <w:bCs/>
                <w:color w:val="FFFFFF" w:themeColor="background1"/>
                <w:lang w:val="en-US" w:eastAsia="en-US"/>
              </w:rPr>
            </w:pPr>
            <w:r w:rsidRPr="004D22AE">
              <w:rPr>
                <w:rFonts w:ascii="Times New Roman" w:hAnsi="Times New Roman"/>
                <w:b/>
                <w:bCs/>
                <w:color w:val="FFFFFF" w:themeColor="background1"/>
                <w:lang w:val="en-US" w:eastAsia="en-US"/>
              </w:rPr>
              <w:t>Ejecutado</w:t>
            </w:r>
          </w:p>
        </w:tc>
        <w:tc>
          <w:tcPr>
            <w:tcW w:w="869" w:type="pct"/>
            <w:shd w:val="clear" w:color="auto" w:fill="00B050"/>
            <w:noWrap/>
            <w:vAlign w:val="center"/>
            <w:hideMark/>
          </w:tcPr>
          <w:p w14:paraId="5F930469" w14:textId="77777777" w:rsidR="00142499" w:rsidRPr="004D22AE" w:rsidRDefault="00142499" w:rsidP="00DC18EA">
            <w:pPr>
              <w:spacing w:after="0"/>
              <w:jc w:val="center"/>
              <w:rPr>
                <w:rFonts w:ascii="Times New Roman" w:hAnsi="Times New Roman"/>
                <w:b/>
                <w:bCs/>
                <w:color w:val="FFFFFF" w:themeColor="background1"/>
                <w:lang w:val="en-US" w:eastAsia="en-US"/>
              </w:rPr>
            </w:pPr>
            <w:r w:rsidRPr="004D22AE">
              <w:rPr>
                <w:rFonts w:ascii="Times New Roman" w:hAnsi="Times New Roman"/>
                <w:b/>
                <w:bCs/>
                <w:color w:val="FFFFFF" w:themeColor="background1"/>
                <w:lang w:val="en-US" w:eastAsia="en-US"/>
              </w:rPr>
              <w:t>Proyección</w:t>
            </w:r>
          </w:p>
        </w:tc>
        <w:tc>
          <w:tcPr>
            <w:tcW w:w="1014" w:type="pct"/>
            <w:shd w:val="clear" w:color="auto" w:fill="00B050"/>
            <w:noWrap/>
            <w:vAlign w:val="center"/>
            <w:hideMark/>
          </w:tcPr>
          <w:p w14:paraId="261D2615" w14:textId="77777777" w:rsidR="00142499" w:rsidRPr="004D22AE" w:rsidRDefault="00142499" w:rsidP="00DC18EA">
            <w:pPr>
              <w:spacing w:after="0"/>
              <w:jc w:val="center"/>
              <w:rPr>
                <w:rFonts w:ascii="Times New Roman" w:hAnsi="Times New Roman"/>
                <w:b/>
                <w:bCs/>
                <w:iCs/>
                <w:color w:val="FFFFFF" w:themeColor="background1"/>
                <w:lang w:val="en-US" w:eastAsia="en-US"/>
              </w:rPr>
            </w:pPr>
            <w:r w:rsidRPr="004D22AE">
              <w:rPr>
                <w:rFonts w:ascii="Times New Roman" w:hAnsi="Times New Roman"/>
                <w:b/>
                <w:bCs/>
                <w:iCs/>
                <w:color w:val="FFFFFF" w:themeColor="background1"/>
                <w:lang w:val="en-US" w:eastAsia="en-US"/>
              </w:rPr>
              <w:t>Total</w:t>
            </w:r>
          </w:p>
        </w:tc>
      </w:tr>
      <w:tr w:rsidR="004D173D" w:rsidRPr="004D22AE" w14:paraId="3E5D1FA1" w14:textId="77777777" w:rsidTr="00DC410F">
        <w:trPr>
          <w:trHeight w:val="70"/>
        </w:trPr>
        <w:tc>
          <w:tcPr>
            <w:tcW w:w="1445" w:type="pct"/>
            <w:vMerge/>
            <w:shd w:val="clear" w:color="auto" w:fill="00B050"/>
            <w:vAlign w:val="center"/>
            <w:hideMark/>
          </w:tcPr>
          <w:p w14:paraId="1B298CBC" w14:textId="77777777" w:rsidR="00142499" w:rsidRPr="004D22AE" w:rsidRDefault="00142499" w:rsidP="00DC18EA">
            <w:pPr>
              <w:spacing w:after="0"/>
              <w:jc w:val="center"/>
              <w:rPr>
                <w:rFonts w:ascii="Times New Roman" w:hAnsi="Times New Roman"/>
                <w:b/>
                <w:bCs/>
                <w:iCs/>
                <w:color w:val="FFFFFF" w:themeColor="background1"/>
                <w:lang w:val="en-US" w:eastAsia="en-US"/>
              </w:rPr>
            </w:pPr>
          </w:p>
        </w:tc>
        <w:tc>
          <w:tcPr>
            <w:tcW w:w="710" w:type="pct"/>
            <w:vMerge/>
            <w:shd w:val="clear" w:color="auto" w:fill="00B050"/>
          </w:tcPr>
          <w:p w14:paraId="2408C990" w14:textId="77777777" w:rsidR="00142499" w:rsidRPr="004D22AE" w:rsidRDefault="00142499" w:rsidP="00DC18EA">
            <w:pPr>
              <w:spacing w:after="0"/>
              <w:jc w:val="center"/>
              <w:rPr>
                <w:rFonts w:ascii="Times New Roman" w:hAnsi="Times New Roman"/>
                <w:b/>
                <w:bCs/>
                <w:color w:val="FFFFFF" w:themeColor="background1"/>
                <w:lang w:eastAsia="en-US"/>
              </w:rPr>
            </w:pPr>
          </w:p>
        </w:tc>
        <w:tc>
          <w:tcPr>
            <w:tcW w:w="963" w:type="pct"/>
            <w:shd w:val="clear" w:color="auto" w:fill="00B050"/>
            <w:noWrap/>
            <w:vAlign w:val="center"/>
            <w:hideMark/>
          </w:tcPr>
          <w:p w14:paraId="002954CF" w14:textId="77777777" w:rsidR="00142499" w:rsidRPr="004D22AE" w:rsidRDefault="00142499" w:rsidP="00DC18EA">
            <w:pPr>
              <w:spacing w:after="0"/>
              <w:jc w:val="center"/>
              <w:rPr>
                <w:rFonts w:ascii="Times New Roman" w:hAnsi="Times New Roman"/>
                <w:b/>
                <w:bCs/>
                <w:color w:val="FFFFFF" w:themeColor="background1"/>
                <w:lang w:eastAsia="en-US"/>
              </w:rPr>
            </w:pPr>
            <w:r w:rsidRPr="004D22AE">
              <w:rPr>
                <w:rFonts w:ascii="Times New Roman" w:hAnsi="Times New Roman"/>
                <w:b/>
                <w:bCs/>
                <w:color w:val="FFFFFF" w:themeColor="background1"/>
                <w:lang w:eastAsia="en-US"/>
              </w:rPr>
              <w:t>Ene.-Oct.</w:t>
            </w:r>
          </w:p>
        </w:tc>
        <w:tc>
          <w:tcPr>
            <w:tcW w:w="869" w:type="pct"/>
            <w:shd w:val="clear" w:color="auto" w:fill="00B050"/>
            <w:noWrap/>
            <w:vAlign w:val="center"/>
            <w:hideMark/>
          </w:tcPr>
          <w:p w14:paraId="4CA74537" w14:textId="77777777" w:rsidR="00142499" w:rsidRPr="004D22AE" w:rsidRDefault="00142499" w:rsidP="00DC18EA">
            <w:pPr>
              <w:spacing w:after="0"/>
              <w:jc w:val="center"/>
              <w:rPr>
                <w:rFonts w:ascii="Times New Roman" w:hAnsi="Times New Roman"/>
                <w:b/>
                <w:bCs/>
                <w:color w:val="FFFFFF" w:themeColor="background1"/>
                <w:lang w:eastAsia="en-US"/>
              </w:rPr>
            </w:pPr>
            <w:r w:rsidRPr="004D22AE">
              <w:rPr>
                <w:rFonts w:ascii="Times New Roman" w:hAnsi="Times New Roman"/>
                <w:b/>
                <w:bCs/>
                <w:color w:val="FFFFFF" w:themeColor="background1"/>
                <w:lang w:eastAsia="en-US"/>
              </w:rPr>
              <w:t>Nov.-dic.</w:t>
            </w:r>
          </w:p>
        </w:tc>
        <w:tc>
          <w:tcPr>
            <w:tcW w:w="1014" w:type="pct"/>
            <w:shd w:val="clear" w:color="auto" w:fill="00B050"/>
            <w:noWrap/>
            <w:vAlign w:val="center"/>
            <w:hideMark/>
          </w:tcPr>
          <w:p w14:paraId="48173BC7" w14:textId="77777777" w:rsidR="00142499" w:rsidRPr="004D22AE" w:rsidRDefault="00142499" w:rsidP="00DC18EA">
            <w:pPr>
              <w:spacing w:after="0"/>
              <w:jc w:val="center"/>
              <w:rPr>
                <w:rFonts w:ascii="Times New Roman" w:hAnsi="Times New Roman"/>
                <w:b/>
                <w:bCs/>
                <w:iCs/>
                <w:color w:val="FFFFFF" w:themeColor="background1"/>
                <w:lang w:eastAsia="en-US"/>
              </w:rPr>
            </w:pPr>
            <w:r w:rsidRPr="004D22AE">
              <w:rPr>
                <w:rFonts w:ascii="Times New Roman" w:hAnsi="Times New Roman"/>
                <w:b/>
                <w:bCs/>
                <w:iCs/>
                <w:color w:val="FFFFFF" w:themeColor="background1"/>
                <w:lang w:eastAsia="en-US"/>
              </w:rPr>
              <w:t>Proyectado</w:t>
            </w:r>
            <w:r w:rsidRPr="004D22AE">
              <w:rPr>
                <w:rStyle w:val="Refdenotaalpie"/>
                <w:rFonts w:ascii="Times New Roman" w:hAnsi="Times New Roman"/>
                <w:b/>
                <w:bCs/>
                <w:iCs/>
                <w:color w:val="FFFFFF" w:themeColor="background1"/>
                <w:lang w:eastAsia="en-US"/>
              </w:rPr>
              <w:footnoteReference w:id="10"/>
            </w:r>
          </w:p>
        </w:tc>
      </w:tr>
      <w:tr w:rsidR="00142499" w:rsidRPr="004D22AE" w14:paraId="727D57D5" w14:textId="77777777" w:rsidTr="00DC410F">
        <w:trPr>
          <w:trHeight w:val="70"/>
        </w:trPr>
        <w:tc>
          <w:tcPr>
            <w:tcW w:w="1445" w:type="pct"/>
            <w:shd w:val="clear" w:color="auto" w:fill="auto"/>
            <w:noWrap/>
            <w:vAlign w:val="center"/>
            <w:hideMark/>
          </w:tcPr>
          <w:p w14:paraId="15933144" w14:textId="77777777" w:rsidR="00142499" w:rsidRPr="004D22AE" w:rsidRDefault="00142499" w:rsidP="004D173D">
            <w:pPr>
              <w:spacing w:after="0" w:line="276" w:lineRule="auto"/>
              <w:rPr>
                <w:rFonts w:ascii="Times New Roman" w:hAnsi="Times New Roman"/>
                <w:lang w:eastAsia="en-US"/>
              </w:rPr>
            </w:pPr>
            <w:r w:rsidRPr="004D22AE">
              <w:rPr>
                <w:rFonts w:ascii="Times New Roman" w:hAnsi="Times New Roman"/>
                <w:lang w:eastAsia="en-US"/>
              </w:rPr>
              <w:t>Préstamos otorgados</w:t>
            </w:r>
          </w:p>
        </w:tc>
        <w:tc>
          <w:tcPr>
            <w:tcW w:w="710" w:type="pct"/>
            <w:vAlign w:val="center"/>
          </w:tcPr>
          <w:p w14:paraId="4AD5C602" w14:textId="77777777" w:rsidR="00142499" w:rsidRPr="004D22AE" w:rsidRDefault="00142499" w:rsidP="004D173D">
            <w:pPr>
              <w:spacing w:after="0" w:line="276" w:lineRule="auto"/>
              <w:jc w:val="center"/>
              <w:rPr>
                <w:rFonts w:ascii="Times New Roman" w:hAnsi="Times New Roman"/>
                <w:lang w:eastAsia="en-US"/>
              </w:rPr>
            </w:pPr>
            <w:r w:rsidRPr="004D22AE">
              <w:rPr>
                <w:rFonts w:ascii="Times New Roman" w:hAnsi="Times New Roman"/>
                <w:lang w:eastAsia="en-US"/>
              </w:rPr>
              <w:t>Unidad</w:t>
            </w:r>
          </w:p>
        </w:tc>
        <w:tc>
          <w:tcPr>
            <w:tcW w:w="963" w:type="pct"/>
            <w:shd w:val="clear" w:color="auto" w:fill="auto"/>
            <w:noWrap/>
            <w:vAlign w:val="center"/>
            <w:hideMark/>
          </w:tcPr>
          <w:p w14:paraId="061A1F6F" w14:textId="52C1C3D1" w:rsidR="00142499" w:rsidRPr="004D22AE" w:rsidRDefault="004D173D" w:rsidP="004D173D">
            <w:pPr>
              <w:spacing w:after="0" w:line="276" w:lineRule="auto"/>
              <w:jc w:val="right"/>
              <w:rPr>
                <w:rFonts w:ascii="Times New Roman" w:hAnsi="Times New Roman"/>
                <w:lang w:eastAsia="en-US"/>
              </w:rPr>
            </w:pPr>
            <w:r w:rsidRPr="004D22AE">
              <w:rPr>
                <w:rFonts w:ascii="Times New Roman" w:hAnsi="Times New Roman"/>
                <w:lang w:eastAsia="en-US"/>
              </w:rPr>
              <w:t>17,190</w:t>
            </w:r>
          </w:p>
        </w:tc>
        <w:tc>
          <w:tcPr>
            <w:tcW w:w="869" w:type="pct"/>
            <w:shd w:val="clear" w:color="auto" w:fill="auto"/>
            <w:noWrap/>
            <w:vAlign w:val="center"/>
            <w:hideMark/>
          </w:tcPr>
          <w:p w14:paraId="33349D99" w14:textId="1F9EDAD4" w:rsidR="00142499" w:rsidRPr="004D22AE" w:rsidRDefault="004D173D" w:rsidP="004D173D">
            <w:pPr>
              <w:spacing w:after="0" w:line="276" w:lineRule="auto"/>
              <w:jc w:val="right"/>
              <w:rPr>
                <w:rFonts w:ascii="Times New Roman" w:hAnsi="Times New Roman"/>
                <w:lang w:eastAsia="en-US"/>
              </w:rPr>
            </w:pPr>
            <w:r w:rsidRPr="004D22AE">
              <w:rPr>
                <w:rFonts w:ascii="Times New Roman" w:hAnsi="Times New Roman"/>
                <w:lang w:eastAsia="en-US"/>
              </w:rPr>
              <w:t>5,165</w:t>
            </w:r>
          </w:p>
        </w:tc>
        <w:tc>
          <w:tcPr>
            <w:tcW w:w="1014" w:type="pct"/>
            <w:shd w:val="clear" w:color="auto" w:fill="auto"/>
            <w:noWrap/>
            <w:vAlign w:val="center"/>
            <w:hideMark/>
          </w:tcPr>
          <w:p w14:paraId="048EB9DF" w14:textId="4FEDF5EE" w:rsidR="00142499" w:rsidRPr="004D22AE" w:rsidRDefault="004D173D" w:rsidP="004D173D">
            <w:pPr>
              <w:spacing w:after="0" w:line="276" w:lineRule="auto"/>
              <w:jc w:val="right"/>
              <w:rPr>
                <w:rFonts w:ascii="Times New Roman" w:hAnsi="Times New Roman"/>
                <w:lang w:eastAsia="en-US"/>
              </w:rPr>
            </w:pPr>
            <w:r w:rsidRPr="004D22AE">
              <w:rPr>
                <w:rFonts w:ascii="Times New Roman" w:hAnsi="Times New Roman"/>
                <w:lang w:eastAsia="en-US"/>
              </w:rPr>
              <w:t>22,355</w:t>
            </w:r>
          </w:p>
        </w:tc>
      </w:tr>
      <w:tr w:rsidR="004D173D" w:rsidRPr="004D22AE" w14:paraId="69171C57" w14:textId="77777777" w:rsidTr="00DC410F">
        <w:trPr>
          <w:trHeight w:val="70"/>
        </w:trPr>
        <w:tc>
          <w:tcPr>
            <w:tcW w:w="1445" w:type="pct"/>
            <w:shd w:val="clear" w:color="auto" w:fill="auto"/>
            <w:noWrap/>
            <w:vAlign w:val="center"/>
            <w:hideMark/>
          </w:tcPr>
          <w:p w14:paraId="4D9F6C95" w14:textId="77777777" w:rsidR="004D173D" w:rsidRPr="004D22AE" w:rsidRDefault="004D173D" w:rsidP="004D173D">
            <w:pPr>
              <w:spacing w:after="0" w:line="276" w:lineRule="auto"/>
              <w:rPr>
                <w:rFonts w:ascii="Times New Roman" w:hAnsi="Times New Roman"/>
                <w:lang w:eastAsia="en-US"/>
              </w:rPr>
            </w:pPr>
            <w:r w:rsidRPr="004D22AE">
              <w:rPr>
                <w:rFonts w:ascii="Times New Roman" w:hAnsi="Times New Roman"/>
                <w:lang w:eastAsia="en-US"/>
              </w:rPr>
              <w:t>Monto formalizado</w:t>
            </w:r>
          </w:p>
        </w:tc>
        <w:tc>
          <w:tcPr>
            <w:tcW w:w="710" w:type="pct"/>
            <w:vAlign w:val="center"/>
          </w:tcPr>
          <w:p w14:paraId="781560AC" w14:textId="77777777" w:rsidR="004D173D" w:rsidRPr="004D22AE" w:rsidRDefault="004D173D" w:rsidP="004D173D">
            <w:pPr>
              <w:spacing w:after="0" w:line="276" w:lineRule="auto"/>
              <w:jc w:val="center"/>
              <w:rPr>
                <w:rFonts w:ascii="Times New Roman" w:hAnsi="Times New Roman"/>
                <w:lang w:eastAsia="en-US"/>
              </w:rPr>
            </w:pPr>
            <w:r w:rsidRPr="004D22AE">
              <w:rPr>
                <w:rFonts w:ascii="Times New Roman" w:hAnsi="Times New Roman"/>
                <w:lang w:eastAsia="en-US"/>
              </w:rPr>
              <w:t>RD$</w:t>
            </w:r>
          </w:p>
        </w:tc>
        <w:tc>
          <w:tcPr>
            <w:tcW w:w="963" w:type="pct"/>
            <w:shd w:val="clear" w:color="auto" w:fill="auto"/>
            <w:noWrap/>
            <w:vAlign w:val="bottom"/>
            <w:hideMark/>
          </w:tcPr>
          <w:p w14:paraId="672AB0CD" w14:textId="05072A7B" w:rsidR="004D173D" w:rsidRPr="004D22AE" w:rsidRDefault="004D173D" w:rsidP="004D173D">
            <w:pPr>
              <w:spacing w:after="0" w:line="276" w:lineRule="auto"/>
              <w:jc w:val="right"/>
              <w:rPr>
                <w:rFonts w:ascii="Times New Roman" w:hAnsi="Times New Roman"/>
                <w:lang w:eastAsia="en-US"/>
              </w:rPr>
            </w:pPr>
            <w:r w:rsidRPr="004D22AE">
              <w:rPr>
                <w:rFonts w:ascii="Times New Roman" w:hAnsi="Times New Roman"/>
                <w:color w:val="000000"/>
              </w:rPr>
              <w:t>18,452,520,648</w:t>
            </w:r>
          </w:p>
        </w:tc>
        <w:tc>
          <w:tcPr>
            <w:tcW w:w="869" w:type="pct"/>
            <w:shd w:val="clear" w:color="auto" w:fill="auto"/>
            <w:noWrap/>
            <w:vAlign w:val="bottom"/>
            <w:hideMark/>
          </w:tcPr>
          <w:p w14:paraId="6BCD8E4C" w14:textId="10951A9F" w:rsidR="004D173D" w:rsidRPr="004D22AE" w:rsidRDefault="004D173D" w:rsidP="004D173D">
            <w:pPr>
              <w:spacing w:after="0" w:line="276" w:lineRule="auto"/>
              <w:jc w:val="right"/>
              <w:rPr>
                <w:rFonts w:ascii="Times New Roman" w:hAnsi="Times New Roman"/>
                <w:lang w:eastAsia="en-US"/>
              </w:rPr>
            </w:pPr>
            <w:r w:rsidRPr="004D22AE">
              <w:rPr>
                <w:rFonts w:ascii="Times New Roman" w:hAnsi="Times New Roman"/>
                <w:color w:val="000000"/>
              </w:rPr>
              <w:t>5,068,468,176</w:t>
            </w:r>
          </w:p>
        </w:tc>
        <w:tc>
          <w:tcPr>
            <w:tcW w:w="1014" w:type="pct"/>
            <w:shd w:val="clear" w:color="auto" w:fill="auto"/>
            <w:noWrap/>
            <w:vAlign w:val="bottom"/>
            <w:hideMark/>
          </w:tcPr>
          <w:p w14:paraId="47D8F40B" w14:textId="6388A0BE" w:rsidR="004D173D" w:rsidRPr="004D22AE" w:rsidRDefault="004D173D" w:rsidP="004D173D">
            <w:pPr>
              <w:spacing w:after="0" w:line="276" w:lineRule="auto"/>
              <w:jc w:val="right"/>
              <w:rPr>
                <w:rFonts w:ascii="Times New Roman" w:hAnsi="Times New Roman"/>
                <w:lang w:val="en-US" w:eastAsia="en-US"/>
              </w:rPr>
            </w:pPr>
            <w:r w:rsidRPr="004D22AE">
              <w:rPr>
                <w:rFonts w:ascii="Times New Roman" w:hAnsi="Times New Roman"/>
                <w:color w:val="000000"/>
              </w:rPr>
              <w:t>23,520,988,824</w:t>
            </w:r>
          </w:p>
        </w:tc>
      </w:tr>
      <w:tr w:rsidR="004D173D" w:rsidRPr="004D22AE" w14:paraId="4E4658B3" w14:textId="77777777" w:rsidTr="00DC410F">
        <w:trPr>
          <w:trHeight w:val="70"/>
        </w:trPr>
        <w:tc>
          <w:tcPr>
            <w:tcW w:w="1445" w:type="pct"/>
            <w:shd w:val="clear" w:color="auto" w:fill="auto"/>
            <w:noWrap/>
            <w:vAlign w:val="center"/>
            <w:hideMark/>
          </w:tcPr>
          <w:p w14:paraId="36A72759" w14:textId="77777777" w:rsidR="004D173D" w:rsidRPr="004D22AE" w:rsidRDefault="004D173D" w:rsidP="004D173D">
            <w:pPr>
              <w:spacing w:after="0" w:line="276" w:lineRule="auto"/>
              <w:rPr>
                <w:rFonts w:ascii="Times New Roman" w:hAnsi="Times New Roman"/>
                <w:lang w:val="en-US" w:eastAsia="en-US"/>
              </w:rPr>
            </w:pPr>
            <w:r w:rsidRPr="004D22AE">
              <w:rPr>
                <w:rFonts w:ascii="Times New Roman" w:hAnsi="Times New Roman"/>
                <w:lang w:val="en-US" w:eastAsia="en-US"/>
              </w:rPr>
              <w:t>Monto desembolsado</w:t>
            </w:r>
          </w:p>
        </w:tc>
        <w:tc>
          <w:tcPr>
            <w:tcW w:w="710" w:type="pct"/>
            <w:vAlign w:val="center"/>
          </w:tcPr>
          <w:p w14:paraId="459D50D5" w14:textId="77777777" w:rsidR="004D173D" w:rsidRPr="004D22AE" w:rsidRDefault="004D173D" w:rsidP="004D173D">
            <w:pPr>
              <w:spacing w:after="0" w:line="276" w:lineRule="auto"/>
              <w:jc w:val="center"/>
              <w:rPr>
                <w:rFonts w:ascii="Times New Roman" w:hAnsi="Times New Roman"/>
                <w:lang w:val="en-US" w:eastAsia="en-US"/>
              </w:rPr>
            </w:pPr>
            <w:r w:rsidRPr="004D22AE">
              <w:rPr>
                <w:rFonts w:ascii="Times New Roman" w:hAnsi="Times New Roman"/>
                <w:lang w:val="en-US" w:eastAsia="en-US"/>
              </w:rPr>
              <w:t>RD$</w:t>
            </w:r>
          </w:p>
        </w:tc>
        <w:tc>
          <w:tcPr>
            <w:tcW w:w="963" w:type="pct"/>
            <w:shd w:val="clear" w:color="auto" w:fill="auto"/>
            <w:noWrap/>
            <w:hideMark/>
          </w:tcPr>
          <w:p w14:paraId="3F32CA81" w14:textId="4D59C739" w:rsidR="004D173D" w:rsidRPr="004D22AE" w:rsidRDefault="004D173D" w:rsidP="004D173D">
            <w:pPr>
              <w:spacing w:after="0" w:line="276" w:lineRule="auto"/>
              <w:jc w:val="right"/>
              <w:rPr>
                <w:rFonts w:ascii="Times New Roman" w:hAnsi="Times New Roman"/>
                <w:lang w:val="en-US" w:eastAsia="en-US"/>
              </w:rPr>
            </w:pPr>
            <w:r w:rsidRPr="004D22AE">
              <w:rPr>
                <w:rFonts w:ascii="Times New Roman" w:hAnsi="Times New Roman"/>
              </w:rPr>
              <w:t>17,355,657,243</w:t>
            </w:r>
          </w:p>
        </w:tc>
        <w:tc>
          <w:tcPr>
            <w:tcW w:w="869" w:type="pct"/>
            <w:shd w:val="clear" w:color="auto" w:fill="auto"/>
            <w:noWrap/>
            <w:hideMark/>
          </w:tcPr>
          <w:p w14:paraId="1A8F8983" w14:textId="6E3BF328" w:rsidR="004D173D" w:rsidRPr="004D22AE" w:rsidRDefault="004D173D" w:rsidP="004D173D">
            <w:pPr>
              <w:spacing w:after="0" w:line="276" w:lineRule="auto"/>
              <w:jc w:val="right"/>
              <w:rPr>
                <w:rFonts w:ascii="Times New Roman" w:hAnsi="Times New Roman"/>
                <w:lang w:val="en-US" w:eastAsia="en-US"/>
              </w:rPr>
            </w:pPr>
            <w:r w:rsidRPr="004D22AE">
              <w:rPr>
                <w:rFonts w:ascii="Times New Roman" w:hAnsi="Times New Roman"/>
              </w:rPr>
              <w:t xml:space="preserve">4,308,197,949 </w:t>
            </w:r>
          </w:p>
        </w:tc>
        <w:tc>
          <w:tcPr>
            <w:tcW w:w="1014" w:type="pct"/>
            <w:shd w:val="clear" w:color="auto" w:fill="auto"/>
            <w:noWrap/>
            <w:hideMark/>
          </w:tcPr>
          <w:p w14:paraId="0F9B277B" w14:textId="63EA8DE9" w:rsidR="004D173D" w:rsidRPr="004D22AE" w:rsidRDefault="004D173D" w:rsidP="004D173D">
            <w:pPr>
              <w:spacing w:after="0" w:line="276" w:lineRule="auto"/>
              <w:jc w:val="right"/>
              <w:rPr>
                <w:rFonts w:ascii="Times New Roman" w:hAnsi="Times New Roman"/>
                <w:lang w:val="en-US" w:eastAsia="en-US"/>
              </w:rPr>
            </w:pPr>
            <w:r w:rsidRPr="004D22AE">
              <w:rPr>
                <w:rFonts w:ascii="Times New Roman" w:hAnsi="Times New Roman"/>
              </w:rPr>
              <w:t xml:space="preserve">21,663,855,192 </w:t>
            </w:r>
          </w:p>
        </w:tc>
      </w:tr>
      <w:tr w:rsidR="004D173D" w:rsidRPr="004D22AE" w14:paraId="3F76C93D" w14:textId="77777777" w:rsidTr="00DC410F">
        <w:trPr>
          <w:trHeight w:val="70"/>
        </w:trPr>
        <w:tc>
          <w:tcPr>
            <w:tcW w:w="1445" w:type="pct"/>
            <w:shd w:val="clear" w:color="auto" w:fill="auto"/>
            <w:noWrap/>
            <w:vAlign w:val="center"/>
            <w:hideMark/>
          </w:tcPr>
          <w:p w14:paraId="7BC59BA6" w14:textId="77777777" w:rsidR="004D173D" w:rsidRPr="004D22AE" w:rsidRDefault="004D173D" w:rsidP="004D173D">
            <w:pPr>
              <w:spacing w:after="0" w:line="276" w:lineRule="auto"/>
              <w:rPr>
                <w:rFonts w:ascii="Times New Roman" w:hAnsi="Times New Roman"/>
                <w:lang w:val="en-US" w:eastAsia="en-US"/>
              </w:rPr>
            </w:pPr>
            <w:r w:rsidRPr="004D22AE">
              <w:rPr>
                <w:rFonts w:ascii="Times New Roman" w:hAnsi="Times New Roman"/>
                <w:lang w:val="en-US" w:eastAsia="en-US"/>
              </w:rPr>
              <w:t>Monto cobrado</w:t>
            </w:r>
          </w:p>
        </w:tc>
        <w:tc>
          <w:tcPr>
            <w:tcW w:w="710" w:type="pct"/>
            <w:vAlign w:val="center"/>
          </w:tcPr>
          <w:p w14:paraId="66F11A3A" w14:textId="77777777" w:rsidR="004D173D" w:rsidRPr="004D22AE" w:rsidRDefault="004D173D" w:rsidP="004D173D">
            <w:pPr>
              <w:spacing w:after="0" w:line="276" w:lineRule="auto"/>
              <w:jc w:val="center"/>
              <w:rPr>
                <w:rFonts w:ascii="Times New Roman" w:hAnsi="Times New Roman"/>
                <w:lang w:val="en-US" w:eastAsia="en-US"/>
              </w:rPr>
            </w:pPr>
            <w:r w:rsidRPr="004D22AE">
              <w:rPr>
                <w:rFonts w:ascii="Times New Roman" w:hAnsi="Times New Roman"/>
                <w:lang w:val="en-US" w:eastAsia="en-US"/>
              </w:rPr>
              <w:t>RD$</w:t>
            </w:r>
          </w:p>
        </w:tc>
        <w:tc>
          <w:tcPr>
            <w:tcW w:w="963" w:type="pct"/>
            <w:shd w:val="clear" w:color="auto" w:fill="auto"/>
            <w:noWrap/>
            <w:hideMark/>
          </w:tcPr>
          <w:p w14:paraId="4A8804B4" w14:textId="0E6937F7" w:rsidR="004D173D" w:rsidRPr="004D22AE" w:rsidRDefault="004D173D" w:rsidP="004D173D">
            <w:pPr>
              <w:spacing w:after="0" w:line="276" w:lineRule="auto"/>
              <w:jc w:val="right"/>
              <w:rPr>
                <w:rFonts w:ascii="Times New Roman" w:hAnsi="Times New Roman"/>
                <w:lang w:val="en-US" w:eastAsia="en-US"/>
              </w:rPr>
            </w:pPr>
            <w:r w:rsidRPr="004D22AE">
              <w:rPr>
                <w:rFonts w:ascii="Times New Roman" w:hAnsi="Times New Roman"/>
              </w:rPr>
              <w:t>16,353,841,293</w:t>
            </w:r>
          </w:p>
        </w:tc>
        <w:tc>
          <w:tcPr>
            <w:tcW w:w="869" w:type="pct"/>
            <w:shd w:val="clear" w:color="auto" w:fill="auto"/>
            <w:noWrap/>
            <w:hideMark/>
          </w:tcPr>
          <w:p w14:paraId="5F293ADD" w14:textId="3FB937F6" w:rsidR="004D173D" w:rsidRPr="004D22AE" w:rsidRDefault="004D173D" w:rsidP="004D173D">
            <w:pPr>
              <w:spacing w:after="0" w:line="276" w:lineRule="auto"/>
              <w:jc w:val="right"/>
              <w:rPr>
                <w:rFonts w:ascii="Times New Roman" w:hAnsi="Times New Roman"/>
                <w:lang w:val="en-US" w:eastAsia="en-US"/>
              </w:rPr>
            </w:pPr>
            <w:r w:rsidRPr="004D22AE">
              <w:rPr>
                <w:rFonts w:ascii="Times New Roman" w:hAnsi="Times New Roman"/>
              </w:rPr>
              <w:t xml:space="preserve">4,099,011,993 </w:t>
            </w:r>
          </w:p>
        </w:tc>
        <w:tc>
          <w:tcPr>
            <w:tcW w:w="1014" w:type="pct"/>
            <w:shd w:val="clear" w:color="auto" w:fill="auto"/>
            <w:noWrap/>
            <w:hideMark/>
          </w:tcPr>
          <w:p w14:paraId="4BC42972" w14:textId="3BDF059E" w:rsidR="004D173D" w:rsidRPr="004D22AE" w:rsidRDefault="004D173D" w:rsidP="004D173D">
            <w:pPr>
              <w:spacing w:after="0" w:line="276" w:lineRule="auto"/>
              <w:jc w:val="right"/>
              <w:rPr>
                <w:rFonts w:ascii="Times New Roman" w:hAnsi="Times New Roman"/>
                <w:lang w:val="en-US" w:eastAsia="en-US"/>
              </w:rPr>
            </w:pPr>
            <w:r w:rsidRPr="004D22AE">
              <w:rPr>
                <w:rFonts w:ascii="Times New Roman" w:hAnsi="Times New Roman"/>
              </w:rPr>
              <w:t xml:space="preserve">20,452,853,286 </w:t>
            </w:r>
          </w:p>
        </w:tc>
      </w:tr>
      <w:tr w:rsidR="004D173D" w:rsidRPr="004D22AE" w14:paraId="4FBD52E4" w14:textId="77777777" w:rsidTr="00DC410F">
        <w:trPr>
          <w:trHeight w:val="70"/>
        </w:trPr>
        <w:tc>
          <w:tcPr>
            <w:tcW w:w="1445" w:type="pct"/>
            <w:shd w:val="clear" w:color="auto" w:fill="auto"/>
            <w:noWrap/>
            <w:vAlign w:val="center"/>
          </w:tcPr>
          <w:p w14:paraId="4B13064C" w14:textId="77777777" w:rsidR="004D173D" w:rsidRPr="004D22AE" w:rsidRDefault="004D173D" w:rsidP="004D173D">
            <w:pPr>
              <w:spacing w:after="0" w:line="276" w:lineRule="auto"/>
              <w:rPr>
                <w:rFonts w:ascii="Times New Roman" w:hAnsi="Times New Roman"/>
                <w:lang w:val="en-US" w:eastAsia="en-US"/>
              </w:rPr>
            </w:pPr>
            <w:r w:rsidRPr="004D22AE">
              <w:rPr>
                <w:rFonts w:ascii="Times New Roman" w:hAnsi="Times New Roman"/>
                <w:lang w:val="en-US" w:eastAsia="en-US"/>
              </w:rPr>
              <w:t>Superficie financiada</w:t>
            </w:r>
          </w:p>
        </w:tc>
        <w:tc>
          <w:tcPr>
            <w:tcW w:w="710" w:type="pct"/>
            <w:vAlign w:val="center"/>
          </w:tcPr>
          <w:p w14:paraId="33E562FC" w14:textId="77777777" w:rsidR="004D173D" w:rsidRPr="004D22AE" w:rsidRDefault="004D173D" w:rsidP="004D173D">
            <w:pPr>
              <w:spacing w:after="0" w:line="276" w:lineRule="auto"/>
              <w:jc w:val="center"/>
              <w:rPr>
                <w:rFonts w:ascii="Times New Roman" w:hAnsi="Times New Roman"/>
                <w:lang w:val="en-US" w:eastAsia="en-US"/>
              </w:rPr>
            </w:pPr>
            <w:r w:rsidRPr="004D22AE">
              <w:rPr>
                <w:rFonts w:ascii="Times New Roman" w:hAnsi="Times New Roman"/>
                <w:lang w:val="en-US" w:eastAsia="en-US"/>
              </w:rPr>
              <w:t>Tareas</w:t>
            </w:r>
          </w:p>
        </w:tc>
        <w:tc>
          <w:tcPr>
            <w:tcW w:w="963" w:type="pct"/>
            <w:shd w:val="clear" w:color="auto" w:fill="auto"/>
            <w:noWrap/>
          </w:tcPr>
          <w:p w14:paraId="02131B11" w14:textId="75B53141" w:rsidR="004D173D" w:rsidRPr="004D22AE" w:rsidRDefault="004D173D" w:rsidP="004D173D">
            <w:pPr>
              <w:spacing w:after="0" w:line="276" w:lineRule="auto"/>
              <w:jc w:val="right"/>
              <w:rPr>
                <w:rFonts w:ascii="Times New Roman" w:hAnsi="Times New Roman"/>
                <w:lang w:val="en-US" w:eastAsia="en-US"/>
              </w:rPr>
            </w:pPr>
            <w:r w:rsidRPr="004D22AE">
              <w:rPr>
                <w:rFonts w:ascii="Times New Roman" w:hAnsi="Times New Roman"/>
              </w:rPr>
              <w:t>810,882</w:t>
            </w:r>
          </w:p>
        </w:tc>
        <w:tc>
          <w:tcPr>
            <w:tcW w:w="869" w:type="pct"/>
            <w:shd w:val="clear" w:color="auto" w:fill="auto"/>
            <w:noWrap/>
          </w:tcPr>
          <w:p w14:paraId="32021386" w14:textId="0E698E3B" w:rsidR="004D173D" w:rsidRPr="004D22AE" w:rsidRDefault="004D173D" w:rsidP="004D173D">
            <w:pPr>
              <w:spacing w:after="0" w:line="276" w:lineRule="auto"/>
              <w:jc w:val="right"/>
              <w:rPr>
                <w:rFonts w:ascii="Times New Roman" w:hAnsi="Times New Roman"/>
                <w:lang w:val="en-US" w:eastAsia="en-US"/>
              </w:rPr>
            </w:pPr>
            <w:r w:rsidRPr="004D22AE">
              <w:rPr>
                <w:rFonts w:ascii="Times New Roman" w:hAnsi="Times New Roman"/>
              </w:rPr>
              <w:t xml:space="preserve"> 461,497 </w:t>
            </w:r>
          </w:p>
        </w:tc>
        <w:tc>
          <w:tcPr>
            <w:tcW w:w="1014" w:type="pct"/>
            <w:shd w:val="clear" w:color="auto" w:fill="auto"/>
            <w:noWrap/>
          </w:tcPr>
          <w:p w14:paraId="14B3C5F0" w14:textId="550FFDFF" w:rsidR="004D173D" w:rsidRPr="004D22AE" w:rsidRDefault="004D173D" w:rsidP="004D173D">
            <w:pPr>
              <w:spacing w:after="0" w:line="276" w:lineRule="auto"/>
              <w:jc w:val="right"/>
              <w:rPr>
                <w:rFonts w:ascii="Times New Roman" w:hAnsi="Times New Roman"/>
                <w:lang w:val="en-US" w:eastAsia="en-US"/>
              </w:rPr>
            </w:pPr>
            <w:r w:rsidRPr="004D22AE">
              <w:rPr>
                <w:rFonts w:ascii="Times New Roman" w:hAnsi="Times New Roman"/>
              </w:rPr>
              <w:t xml:space="preserve"> 1,272,379 </w:t>
            </w:r>
          </w:p>
        </w:tc>
      </w:tr>
      <w:tr w:rsidR="004D173D" w:rsidRPr="00A10905" w14:paraId="383AABBB" w14:textId="77777777" w:rsidTr="00DC410F">
        <w:trPr>
          <w:trHeight w:val="70"/>
        </w:trPr>
        <w:tc>
          <w:tcPr>
            <w:tcW w:w="1445" w:type="pct"/>
            <w:shd w:val="clear" w:color="auto" w:fill="auto"/>
            <w:noWrap/>
            <w:vAlign w:val="center"/>
            <w:hideMark/>
          </w:tcPr>
          <w:p w14:paraId="2D21D257" w14:textId="4A49949F" w:rsidR="004D173D" w:rsidRPr="004D22AE" w:rsidRDefault="004D22AE" w:rsidP="004D173D">
            <w:pPr>
              <w:spacing w:after="0" w:line="276" w:lineRule="auto"/>
              <w:rPr>
                <w:rFonts w:ascii="Times New Roman" w:hAnsi="Times New Roman"/>
                <w:lang w:val="en-US" w:eastAsia="en-US"/>
              </w:rPr>
            </w:pPr>
            <w:r w:rsidRPr="004D22AE">
              <w:rPr>
                <w:rFonts w:ascii="Times New Roman" w:hAnsi="Times New Roman"/>
                <w:lang w:val="en-US" w:eastAsia="en-US"/>
              </w:rPr>
              <w:t>Productores beneficiados</w:t>
            </w:r>
          </w:p>
        </w:tc>
        <w:tc>
          <w:tcPr>
            <w:tcW w:w="710" w:type="pct"/>
            <w:vAlign w:val="center"/>
          </w:tcPr>
          <w:p w14:paraId="058F2176" w14:textId="77777777" w:rsidR="004D173D" w:rsidRPr="004D22AE" w:rsidRDefault="004D173D" w:rsidP="004D173D">
            <w:pPr>
              <w:spacing w:after="0" w:line="276" w:lineRule="auto"/>
              <w:jc w:val="center"/>
              <w:rPr>
                <w:rFonts w:ascii="Times New Roman" w:hAnsi="Times New Roman"/>
                <w:lang w:val="en-US" w:eastAsia="en-US"/>
              </w:rPr>
            </w:pPr>
            <w:r w:rsidRPr="004D22AE">
              <w:rPr>
                <w:rFonts w:ascii="Times New Roman" w:hAnsi="Times New Roman"/>
                <w:lang w:val="en-US" w:eastAsia="en-US"/>
              </w:rPr>
              <w:t>Unidad</w:t>
            </w:r>
          </w:p>
        </w:tc>
        <w:tc>
          <w:tcPr>
            <w:tcW w:w="963" w:type="pct"/>
            <w:shd w:val="clear" w:color="auto" w:fill="auto"/>
            <w:noWrap/>
            <w:vAlign w:val="center"/>
            <w:hideMark/>
          </w:tcPr>
          <w:p w14:paraId="5F0354C7" w14:textId="4EEC5082" w:rsidR="004D173D" w:rsidRPr="004D22AE" w:rsidRDefault="004D173D" w:rsidP="004D173D">
            <w:pPr>
              <w:spacing w:after="0" w:line="276" w:lineRule="auto"/>
              <w:jc w:val="right"/>
              <w:rPr>
                <w:rFonts w:ascii="Times New Roman" w:hAnsi="Times New Roman"/>
                <w:lang w:val="en-US" w:eastAsia="en-US"/>
              </w:rPr>
            </w:pPr>
            <w:r w:rsidRPr="004D22AE">
              <w:rPr>
                <w:rFonts w:ascii="Times New Roman" w:hAnsi="Times New Roman"/>
                <w:lang w:eastAsia="en-US"/>
              </w:rPr>
              <w:t>18,071</w:t>
            </w:r>
          </w:p>
        </w:tc>
        <w:tc>
          <w:tcPr>
            <w:tcW w:w="869" w:type="pct"/>
            <w:shd w:val="clear" w:color="auto" w:fill="auto"/>
            <w:noWrap/>
            <w:vAlign w:val="center"/>
            <w:hideMark/>
          </w:tcPr>
          <w:p w14:paraId="1DD836E1" w14:textId="63293646" w:rsidR="004D173D" w:rsidRPr="004D22AE" w:rsidRDefault="004D173D" w:rsidP="004D173D">
            <w:pPr>
              <w:spacing w:after="0" w:line="276" w:lineRule="auto"/>
              <w:jc w:val="right"/>
              <w:rPr>
                <w:rFonts w:ascii="Times New Roman" w:hAnsi="Times New Roman"/>
                <w:lang w:val="en-US" w:eastAsia="en-US"/>
              </w:rPr>
            </w:pPr>
            <w:r w:rsidRPr="004D22AE">
              <w:rPr>
                <w:rFonts w:ascii="Times New Roman" w:hAnsi="Times New Roman"/>
                <w:lang w:eastAsia="en-US"/>
              </w:rPr>
              <w:t>5,377</w:t>
            </w:r>
          </w:p>
        </w:tc>
        <w:tc>
          <w:tcPr>
            <w:tcW w:w="1014" w:type="pct"/>
            <w:shd w:val="clear" w:color="auto" w:fill="auto"/>
            <w:noWrap/>
            <w:vAlign w:val="center"/>
            <w:hideMark/>
          </w:tcPr>
          <w:p w14:paraId="0ABE0E63" w14:textId="7F080374" w:rsidR="004D173D" w:rsidRPr="004D22AE" w:rsidRDefault="004D173D" w:rsidP="004D173D">
            <w:pPr>
              <w:spacing w:after="0" w:line="276" w:lineRule="auto"/>
              <w:jc w:val="right"/>
              <w:rPr>
                <w:rFonts w:ascii="Times New Roman" w:hAnsi="Times New Roman"/>
                <w:lang w:val="en-US" w:eastAsia="en-US"/>
              </w:rPr>
            </w:pPr>
            <w:r w:rsidRPr="004D22AE">
              <w:rPr>
                <w:rFonts w:ascii="Times New Roman" w:hAnsi="Times New Roman"/>
                <w:lang w:eastAsia="en-US"/>
              </w:rPr>
              <w:t>23,448</w:t>
            </w:r>
          </w:p>
        </w:tc>
      </w:tr>
    </w:tbl>
    <w:p w14:paraId="3DDAEE83" w14:textId="77777777" w:rsidR="00142499" w:rsidRPr="00A10905" w:rsidRDefault="00142499" w:rsidP="00142499">
      <w:pPr>
        <w:spacing w:after="0" w:line="480" w:lineRule="auto"/>
        <w:ind w:firstLine="720"/>
        <w:jc w:val="both"/>
        <w:rPr>
          <w:rFonts w:ascii="Times New Roman" w:hAnsi="Times New Roman"/>
          <w:lang w:val="es-ES_tradnl"/>
        </w:rPr>
      </w:pPr>
    </w:p>
    <w:p w14:paraId="73A3B1E4" w14:textId="77777777" w:rsidR="00E01BB7" w:rsidRPr="0098414F" w:rsidRDefault="00E01BB7" w:rsidP="00CA5792">
      <w:pPr>
        <w:pStyle w:val="Ttulo3"/>
      </w:pPr>
      <w:bookmarkStart w:id="199" w:name="_Toc26292065"/>
      <w:bookmarkStart w:id="200" w:name="_Toc27146771"/>
      <w:r w:rsidRPr="0098414F">
        <w:t xml:space="preserve">Programa de </w:t>
      </w:r>
      <w:r w:rsidR="00AE65E6">
        <w:t>d</w:t>
      </w:r>
      <w:r w:rsidR="005717DC" w:rsidRPr="0098414F">
        <w:t xml:space="preserve">esarrollo </w:t>
      </w:r>
      <w:r w:rsidR="00AE65E6">
        <w:t>a</w:t>
      </w:r>
      <w:r w:rsidR="005717DC" w:rsidRPr="0098414F">
        <w:t>groforestal</w:t>
      </w:r>
      <w:bookmarkEnd w:id="199"/>
      <w:bookmarkEnd w:id="200"/>
    </w:p>
    <w:p w14:paraId="71E24B8A" w14:textId="77777777" w:rsidR="00DC410F" w:rsidRDefault="00DC410F" w:rsidP="00B40DEB">
      <w:pPr>
        <w:spacing w:after="0" w:line="480" w:lineRule="auto"/>
        <w:ind w:firstLine="720"/>
        <w:jc w:val="both"/>
        <w:rPr>
          <w:rFonts w:ascii="Times New Roman" w:hAnsi="Times New Roman"/>
          <w:lang w:val="es-ES_tradnl"/>
        </w:rPr>
      </w:pPr>
    </w:p>
    <w:p w14:paraId="69EC68BE" w14:textId="77777777" w:rsidR="00E01BB7" w:rsidRPr="00C47D22" w:rsidRDefault="00E01BB7" w:rsidP="00B40DEB">
      <w:pPr>
        <w:spacing w:after="0" w:line="480" w:lineRule="auto"/>
        <w:ind w:firstLine="720"/>
        <w:jc w:val="both"/>
        <w:rPr>
          <w:rFonts w:ascii="Times New Roman" w:hAnsi="Times New Roman"/>
          <w:lang w:val="es-ES_tradnl"/>
        </w:rPr>
      </w:pPr>
      <w:r w:rsidRPr="00C47D22">
        <w:rPr>
          <w:rFonts w:ascii="Times New Roman" w:hAnsi="Times New Roman"/>
          <w:lang w:val="es-ES_tradnl"/>
        </w:rPr>
        <w:t xml:space="preserve">El Programa de Desarrollo Agroforestal del Estado Dominicano aborda </w:t>
      </w:r>
      <w:r w:rsidR="00B40DEB" w:rsidRPr="00C47D22">
        <w:rPr>
          <w:rFonts w:ascii="Times New Roman" w:hAnsi="Times New Roman"/>
          <w:lang w:val="es-ES_tradnl"/>
        </w:rPr>
        <w:t xml:space="preserve">soluciones a </w:t>
      </w:r>
      <w:r w:rsidRPr="00C47D22">
        <w:rPr>
          <w:rFonts w:ascii="Times New Roman" w:hAnsi="Times New Roman"/>
          <w:lang w:val="es-ES_tradnl"/>
        </w:rPr>
        <w:t>los problemas principales de cuencas hidrográfic</w:t>
      </w:r>
      <w:r w:rsidR="00B40DEB" w:rsidRPr="00C47D22">
        <w:rPr>
          <w:rFonts w:ascii="Times New Roman" w:hAnsi="Times New Roman"/>
          <w:lang w:val="es-ES_tradnl"/>
        </w:rPr>
        <w:t>as de importancia para el país.</w:t>
      </w:r>
    </w:p>
    <w:p w14:paraId="2D7B3709" w14:textId="77777777" w:rsidR="00193AC5" w:rsidRPr="00C47D22" w:rsidRDefault="00193AC5" w:rsidP="00B40DEB">
      <w:pPr>
        <w:spacing w:after="0" w:line="480" w:lineRule="auto"/>
        <w:ind w:firstLine="720"/>
        <w:jc w:val="both"/>
        <w:rPr>
          <w:rFonts w:ascii="Times New Roman" w:hAnsi="Times New Roman"/>
        </w:rPr>
      </w:pPr>
    </w:p>
    <w:p w14:paraId="6AFB3154" w14:textId="5C8204D2" w:rsidR="00E01BB7" w:rsidRPr="00C47D22" w:rsidRDefault="00E01BB7" w:rsidP="00613843">
      <w:pPr>
        <w:spacing w:after="0" w:line="480" w:lineRule="auto"/>
        <w:ind w:firstLine="851"/>
        <w:jc w:val="both"/>
        <w:rPr>
          <w:rFonts w:ascii="Times New Roman" w:hAnsi="Times New Roman"/>
          <w:lang w:val="es-ES_tradnl"/>
        </w:rPr>
      </w:pPr>
      <w:r w:rsidRPr="00C47D22">
        <w:rPr>
          <w:rFonts w:ascii="Times New Roman" w:hAnsi="Times New Roman"/>
          <w:lang w:val="es-ES_tradnl"/>
        </w:rPr>
        <w:t>El objetivo general del programa es contribuir al desarrollo sostenible de la producción agropecuaria y el fortalecimiento de las capacidades locales, impactando las siguientes líneas de acción:</w:t>
      </w:r>
    </w:p>
    <w:p w14:paraId="41A05448" w14:textId="77777777" w:rsidR="00E01BB7" w:rsidRPr="00C47D22" w:rsidRDefault="00E01BB7" w:rsidP="00613843">
      <w:pPr>
        <w:spacing w:after="0" w:line="360" w:lineRule="auto"/>
        <w:ind w:firstLine="720"/>
        <w:jc w:val="both"/>
        <w:rPr>
          <w:rFonts w:ascii="Times New Roman" w:hAnsi="Times New Roman"/>
          <w:lang w:val="es-ES_tradnl"/>
        </w:rPr>
      </w:pPr>
    </w:p>
    <w:p w14:paraId="3ECE363B" w14:textId="77777777" w:rsidR="00E01BB7" w:rsidRPr="00C47D22" w:rsidRDefault="00E01BB7" w:rsidP="0020047B">
      <w:pPr>
        <w:pStyle w:val="Prrafodelista"/>
        <w:numPr>
          <w:ilvl w:val="1"/>
          <w:numId w:val="2"/>
        </w:numPr>
        <w:spacing w:after="0" w:line="360" w:lineRule="auto"/>
        <w:ind w:left="1276" w:hanging="425"/>
        <w:jc w:val="both"/>
        <w:rPr>
          <w:rFonts w:ascii="Times New Roman" w:hAnsi="Times New Roman"/>
          <w:sz w:val="24"/>
          <w:szCs w:val="24"/>
        </w:rPr>
      </w:pPr>
      <w:r w:rsidRPr="00C47D22">
        <w:rPr>
          <w:rFonts w:ascii="Times New Roman" w:hAnsi="Times New Roman"/>
          <w:sz w:val="24"/>
          <w:szCs w:val="24"/>
        </w:rPr>
        <w:t>Desarrollo fuentes sostenibles de ingresos a los residentes de las comunidades ubicada</w:t>
      </w:r>
      <w:r w:rsidR="00765634" w:rsidRPr="00C47D22">
        <w:rPr>
          <w:rFonts w:ascii="Times New Roman" w:hAnsi="Times New Roman"/>
          <w:sz w:val="24"/>
          <w:szCs w:val="24"/>
        </w:rPr>
        <w:t>s en las cuencas hidrográficas.</w:t>
      </w:r>
    </w:p>
    <w:p w14:paraId="08035ABE" w14:textId="77777777" w:rsidR="00E01BB7" w:rsidRPr="00C47D22" w:rsidRDefault="00E01BB7" w:rsidP="0020047B">
      <w:pPr>
        <w:pStyle w:val="Prrafodelista"/>
        <w:numPr>
          <w:ilvl w:val="1"/>
          <w:numId w:val="2"/>
        </w:numPr>
        <w:spacing w:after="0" w:line="360" w:lineRule="auto"/>
        <w:ind w:left="1276" w:hanging="425"/>
        <w:jc w:val="both"/>
        <w:rPr>
          <w:rFonts w:ascii="Times New Roman" w:hAnsi="Times New Roman"/>
          <w:sz w:val="24"/>
          <w:szCs w:val="24"/>
        </w:rPr>
      </w:pPr>
      <w:r w:rsidRPr="00C47D22">
        <w:rPr>
          <w:rFonts w:ascii="Times New Roman" w:hAnsi="Times New Roman"/>
          <w:sz w:val="24"/>
          <w:szCs w:val="24"/>
        </w:rPr>
        <w:t>Contribución a capacidades de captación de las cuenc</w:t>
      </w:r>
      <w:r w:rsidR="006667B7" w:rsidRPr="00C47D22">
        <w:rPr>
          <w:rFonts w:ascii="Times New Roman" w:hAnsi="Times New Roman"/>
          <w:sz w:val="24"/>
          <w:szCs w:val="24"/>
        </w:rPr>
        <w:t>as hidrográficas seleccionadas.</w:t>
      </w:r>
    </w:p>
    <w:p w14:paraId="03BCCE52" w14:textId="77777777" w:rsidR="00E01BB7" w:rsidRPr="00C47D22" w:rsidRDefault="00E01BB7" w:rsidP="0020047B">
      <w:pPr>
        <w:pStyle w:val="Prrafodelista"/>
        <w:numPr>
          <w:ilvl w:val="1"/>
          <w:numId w:val="2"/>
        </w:numPr>
        <w:spacing w:after="0" w:line="360" w:lineRule="auto"/>
        <w:ind w:left="1276" w:hanging="425"/>
        <w:jc w:val="both"/>
        <w:rPr>
          <w:rFonts w:ascii="Times New Roman" w:hAnsi="Times New Roman"/>
          <w:sz w:val="24"/>
          <w:szCs w:val="24"/>
        </w:rPr>
      </w:pPr>
      <w:r w:rsidRPr="00C47D22">
        <w:rPr>
          <w:rFonts w:ascii="Times New Roman" w:hAnsi="Times New Roman"/>
          <w:sz w:val="24"/>
          <w:szCs w:val="24"/>
        </w:rPr>
        <w:t>Fortalecimiento de las capacidades locales de producción agropecuaria y manejo sosten</w:t>
      </w:r>
      <w:r w:rsidR="00765634" w:rsidRPr="00C47D22">
        <w:rPr>
          <w:rFonts w:ascii="Times New Roman" w:hAnsi="Times New Roman"/>
          <w:sz w:val="24"/>
          <w:szCs w:val="24"/>
        </w:rPr>
        <w:t>ible de los recursos naturales.</w:t>
      </w:r>
    </w:p>
    <w:p w14:paraId="7D43C21A" w14:textId="77777777" w:rsidR="00E01BB7" w:rsidRPr="00C47D22" w:rsidRDefault="00E01BB7" w:rsidP="0020047B">
      <w:pPr>
        <w:pStyle w:val="Prrafodelista"/>
        <w:numPr>
          <w:ilvl w:val="1"/>
          <w:numId w:val="2"/>
        </w:numPr>
        <w:spacing w:after="0" w:line="360" w:lineRule="auto"/>
        <w:ind w:left="1276" w:hanging="425"/>
        <w:jc w:val="both"/>
        <w:rPr>
          <w:rFonts w:ascii="Times New Roman" w:hAnsi="Times New Roman"/>
          <w:sz w:val="24"/>
          <w:szCs w:val="24"/>
        </w:rPr>
      </w:pPr>
      <w:r w:rsidRPr="00C47D22">
        <w:rPr>
          <w:rFonts w:ascii="Times New Roman" w:hAnsi="Times New Roman"/>
          <w:sz w:val="24"/>
          <w:szCs w:val="24"/>
        </w:rPr>
        <w:t>Desarrollo de una cul</w:t>
      </w:r>
      <w:r w:rsidR="00765634" w:rsidRPr="00C47D22">
        <w:rPr>
          <w:rFonts w:ascii="Times New Roman" w:hAnsi="Times New Roman"/>
          <w:sz w:val="24"/>
          <w:szCs w:val="24"/>
        </w:rPr>
        <w:t>tura agroempresarial sostenible.</w:t>
      </w:r>
      <w:r w:rsidRPr="00C47D22">
        <w:rPr>
          <w:rFonts w:ascii="Times New Roman" w:hAnsi="Times New Roman"/>
          <w:sz w:val="24"/>
          <w:szCs w:val="24"/>
        </w:rPr>
        <w:t xml:space="preserve"> </w:t>
      </w:r>
    </w:p>
    <w:p w14:paraId="2B7A66FE" w14:textId="77777777" w:rsidR="00E01BB7" w:rsidRPr="00C47D22" w:rsidRDefault="00E01BB7" w:rsidP="0020047B">
      <w:pPr>
        <w:pStyle w:val="Prrafodelista"/>
        <w:numPr>
          <w:ilvl w:val="1"/>
          <w:numId w:val="2"/>
        </w:numPr>
        <w:spacing w:after="0" w:line="360" w:lineRule="auto"/>
        <w:ind w:left="1276" w:hanging="425"/>
        <w:jc w:val="both"/>
        <w:rPr>
          <w:rFonts w:ascii="Times New Roman" w:hAnsi="Times New Roman"/>
          <w:sz w:val="24"/>
          <w:szCs w:val="24"/>
        </w:rPr>
      </w:pPr>
      <w:r w:rsidRPr="00C47D22">
        <w:rPr>
          <w:rFonts w:ascii="Times New Roman" w:hAnsi="Times New Roman"/>
          <w:sz w:val="24"/>
          <w:szCs w:val="24"/>
        </w:rPr>
        <w:lastRenderedPageBreak/>
        <w:t>Fortalecimiento de la asociatividad local para generar mayores ingresos en la comercialización.</w:t>
      </w:r>
    </w:p>
    <w:p w14:paraId="11CDE861" w14:textId="77777777" w:rsidR="00142499" w:rsidRPr="00DA2EE3" w:rsidRDefault="00142499" w:rsidP="00142499">
      <w:pPr>
        <w:pStyle w:val="Prrafodelista"/>
        <w:spacing w:after="0" w:line="360" w:lineRule="auto"/>
        <w:ind w:left="1276"/>
        <w:jc w:val="both"/>
        <w:rPr>
          <w:rFonts w:ascii="Times New Roman" w:hAnsi="Times New Roman"/>
          <w:sz w:val="24"/>
          <w:szCs w:val="24"/>
          <w:highlight w:val="yellow"/>
        </w:rPr>
      </w:pPr>
    </w:p>
    <w:p w14:paraId="23589D5E" w14:textId="77777777" w:rsidR="005717DC" w:rsidRPr="00765634" w:rsidRDefault="00B0170C" w:rsidP="005717DC">
      <w:pPr>
        <w:spacing w:after="0" w:line="480" w:lineRule="auto"/>
        <w:ind w:firstLine="851"/>
        <w:jc w:val="both"/>
        <w:rPr>
          <w:rFonts w:ascii="Times New Roman" w:hAnsi="Times New Roman"/>
          <w:lang w:val="es-ES_tradnl"/>
        </w:rPr>
      </w:pPr>
      <w:r w:rsidRPr="00C47D22">
        <w:rPr>
          <w:rFonts w:ascii="Times New Roman" w:hAnsi="Times New Roman"/>
          <w:lang w:val="es-ES_tradnl"/>
        </w:rPr>
        <w:t>Actualmente e</w:t>
      </w:r>
      <w:r w:rsidR="0021485A" w:rsidRPr="00C47D22">
        <w:rPr>
          <w:rFonts w:ascii="Times New Roman" w:hAnsi="Times New Roman"/>
          <w:lang w:val="es-ES_tradnl"/>
        </w:rPr>
        <w:t>l P</w:t>
      </w:r>
      <w:r w:rsidR="00265E8D" w:rsidRPr="00C47D22">
        <w:rPr>
          <w:rFonts w:ascii="Times New Roman" w:hAnsi="Times New Roman"/>
          <w:lang w:val="es-ES_tradnl"/>
        </w:rPr>
        <w:t>rograma cuenta con 7 proyectos locales</w:t>
      </w:r>
      <w:r w:rsidR="00B271C6" w:rsidRPr="00C47D22">
        <w:rPr>
          <w:rFonts w:ascii="Times New Roman" w:hAnsi="Times New Roman"/>
          <w:lang w:val="es-ES_tradnl"/>
        </w:rPr>
        <w:t>.</w:t>
      </w:r>
    </w:p>
    <w:p w14:paraId="1999E79B" w14:textId="646375C6" w:rsidR="00142499" w:rsidRDefault="00142499">
      <w:pPr>
        <w:spacing w:after="0"/>
        <w:rPr>
          <w:rFonts w:ascii="Times New Roman" w:hAnsi="Times New Roman"/>
          <w:lang w:val="es-ES_tradnl"/>
        </w:rPr>
      </w:pPr>
    </w:p>
    <w:p w14:paraId="4056F196" w14:textId="6AC97EC0" w:rsidR="00265E8D" w:rsidRPr="004D173D" w:rsidRDefault="00265E8D" w:rsidP="001C6B1A">
      <w:pPr>
        <w:pStyle w:val="Prrafodelista"/>
        <w:numPr>
          <w:ilvl w:val="0"/>
          <w:numId w:val="9"/>
        </w:numPr>
        <w:spacing w:after="0" w:line="240" w:lineRule="auto"/>
        <w:ind w:left="567" w:hanging="567"/>
        <w:rPr>
          <w:rFonts w:ascii="Times New Roman" w:hAnsi="Times New Roman"/>
          <w:sz w:val="24"/>
          <w:lang w:val="es-ES_tradnl"/>
        </w:rPr>
      </w:pPr>
      <w:r w:rsidRPr="0098414F">
        <w:rPr>
          <w:rFonts w:ascii="Times New Roman" w:hAnsi="Times New Roman"/>
          <w:b/>
          <w:sz w:val="24"/>
          <w:lang w:val="es-ES_tradnl"/>
        </w:rPr>
        <w:t>Relación de Proyectos de Desarrollo Agroforestal</w:t>
      </w:r>
      <w:r w:rsidR="0021485A" w:rsidRPr="0098414F">
        <w:rPr>
          <w:rFonts w:ascii="Times New Roman" w:hAnsi="Times New Roman"/>
          <w:b/>
          <w:sz w:val="24"/>
          <w:lang w:val="es-ES_tradnl"/>
        </w:rPr>
        <w:t>es</w:t>
      </w:r>
    </w:p>
    <w:p w14:paraId="4F107E8A" w14:textId="77777777" w:rsidR="004D173D" w:rsidRPr="0098414F" w:rsidRDefault="004D173D" w:rsidP="004D173D">
      <w:pPr>
        <w:pStyle w:val="Prrafodelista"/>
        <w:spacing w:after="0" w:line="240" w:lineRule="auto"/>
        <w:ind w:left="567"/>
        <w:rPr>
          <w:rFonts w:ascii="Times New Roman" w:hAnsi="Times New Roman"/>
          <w:sz w:val="24"/>
          <w:lang w:val="es-ES_tradnl"/>
        </w:rPr>
      </w:pPr>
    </w:p>
    <w:tbl>
      <w:tblPr>
        <w:tblW w:w="85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5103"/>
        <w:gridCol w:w="1701"/>
      </w:tblGrid>
      <w:tr w:rsidR="0021485A" w:rsidRPr="00C47D22" w14:paraId="000AA0F0" w14:textId="77777777" w:rsidTr="004D173D">
        <w:trPr>
          <w:trHeight w:val="391"/>
        </w:trPr>
        <w:tc>
          <w:tcPr>
            <w:tcW w:w="1702" w:type="dxa"/>
            <w:shd w:val="clear" w:color="auto" w:fill="00B050"/>
            <w:vAlign w:val="center"/>
            <w:hideMark/>
          </w:tcPr>
          <w:p w14:paraId="627EDDE2" w14:textId="77777777" w:rsidR="0021485A" w:rsidRPr="00C47D22" w:rsidRDefault="0021485A" w:rsidP="00765634">
            <w:pPr>
              <w:spacing w:after="0"/>
              <w:jc w:val="center"/>
              <w:rPr>
                <w:rFonts w:ascii="Times New Roman" w:hAnsi="Times New Roman"/>
                <w:b/>
                <w:color w:val="FFFFFF" w:themeColor="background1"/>
              </w:rPr>
            </w:pPr>
            <w:r w:rsidRPr="00C47D22">
              <w:rPr>
                <w:rFonts w:ascii="Times New Roman" w:hAnsi="Times New Roman"/>
                <w:b/>
                <w:color w:val="FFFFFF" w:themeColor="background1"/>
              </w:rPr>
              <w:t>Nombre</w:t>
            </w:r>
            <w:r w:rsidR="00765634" w:rsidRPr="00C47D22">
              <w:rPr>
                <w:rFonts w:ascii="Times New Roman" w:hAnsi="Times New Roman"/>
                <w:b/>
                <w:color w:val="FFFFFF" w:themeColor="background1"/>
              </w:rPr>
              <w:t xml:space="preserve"> </w:t>
            </w:r>
            <w:r w:rsidRPr="00C47D22">
              <w:rPr>
                <w:rFonts w:ascii="Times New Roman" w:hAnsi="Times New Roman"/>
                <w:b/>
                <w:color w:val="FFFFFF" w:themeColor="background1"/>
              </w:rPr>
              <w:t>proyecto</w:t>
            </w:r>
            <w:r w:rsidR="00765634" w:rsidRPr="00C47D22">
              <w:rPr>
                <w:rFonts w:ascii="Times New Roman" w:hAnsi="Times New Roman"/>
                <w:b/>
                <w:color w:val="FFFFFF" w:themeColor="background1"/>
              </w:rPr>
              <w:t>s</w:t>
            </w:r>
          </w:p>
        </w:tc>
        <w:tc>
          <w:tcPr>
            <w:tcW w:w="5103" w:type="dxa"/>
            <w:shd w:val="clear" w:color="auto" w:fill="00B050"/>
            <w:vAlign w:val="center"/>
            <w:hideMark/>
          </w:tcPr>
          <w:p w14:paraId="38131180" w14:textId="77777777" w:rsidR="0021485A" w:rsidRPr="00C47D22" w:rsidRDefault="0021485A" w:rsidP="00265E8D">
            <w:pPr>
              <w:spacing w:after="0"/>
              <w:jc w:val="center"/>
              <w:rPr>
                <w:rFonts w:ascii="Times New Roman" w:hAnsi="Times New Roman"/>
                <w:b/>
                <w:color w:val="FFFFFF" w:themeColor="background1"/>
              </w:rPr>
            </w:pPr>
            <w:r w:rsidRPr="00C47D22">
              <w:rPr>
                <w:rFonts w:ascii="Times New Roman" w:hAnsi="Times New Roman"/>
                <w:b/>
                <w:color w:val="FFFFFF" w:themeColor="background1"/>
              </w:rPr>
              <w:t>Nombre completo proyecto</w:t>
            </w:r>
            <w:r w:rsidR="00765634" w:rsidRPr="00C47D22">
              <w:rPr>
                <w:rFonts w:ascii="Times New Roman" w:hAnsi="Times New Roman"/>
                <w:b/>
                <w:color w:val="FFFFFF" w:themeColor="background1"/>
              </w:rPr>
              <w:t>s</w:t>
            </w:r>
          </w:p>
        </w:tc>
        <w:tc>
          <w:tcPr>
            <w:tcW w:w="1701" w:type="dxa"/>
            <w:shd w:val="clear" w:color="auto" w:fill="00B050"/>
            <w:vAlign w:val="center"/>
          </w:tcPr>
          <w:p w14:paraId="4E9332A4" w14:textId="77777777" w:rsidR="0021485A" w:rsidRPr="00C47D22" w:rsidRDefault="0021485A" w:rsidP="0021485A">
            <w:pPr>
              <w:spacing w:after="0"/>
              <w:jc w:val="center"/>
              <w:rPr>
                <w:rFonts w:ascii="Times New Roman" w:hAnsi="Times New Roman"/>
                <w:b/>
                <w:color w:val="FFFFFF" w:themeColor="background1"/>
              </w:rPr>
            </w:pPr>
            <w:r w:rsidRPr="00C47D22">
              <w:rPr>
                <w:rFonts w:ascii="Times New Roman" w:hAnsi="Times New Roman"/>
                <w:b/>
                <w:color w:val="FFFFFF" w:themeColor="background1"/>
              </w:rPr>
              <w:t>Provincia</w:t>
            </w:r>
            <w:r w:rsidR="00765634" w:rsidRPr="00C47D22">
              <w:rPr>
                <w:rFonts w:ascii="Times New Roman" w:hAnsi="Times New Roman"/>
                <w:b/>
                <w:color w:val="FFFFFF" w:themeColor="background1"/>
              </w:rPr>
              <w:t>s</w:t>
            </w:r>
          </w:p>
        </w:tc>
      </w:tr>
      <w:tr w:rsidR="0021485A" w:rsidRPr="00C47D22" w14:paraId="629BFA74" w14:textId="77777777" w:rsidTr="001C6C13">
        <w:trPr>
          <w:trHeight w:val="77"/>
        </w:trPr>
        <w:tc>
          <w:tcPr>
            <w:tcW w:w="1702" w:type="dxa"/>
            <w:vAlign w:val="center"/>
            <w:hideMark/>
          </w:tcPr>
          <w:p w14:paraId="32CCC51F" w14:textId="77777777" w:rsidR="0021485A" w:rsidRPr="00C47D22" w:rsidRDefault="0021485A" w:rsidP="00265E8D">
            <w:pPr>
              <w:spacing w:after="0"/>
              <w:rPr>
                <w:rFonts w:ascii="Times New Roman" w:hAnsi="Times New Roman"/>
              </w:rPr>
            </w:pPr>
            <w:r w:rsidRPr="00C47D22">
              <w:rPr>
                <w:rFonts w:ascii="Times New Roman" w:hAnsi="Times New Roman"/>
              </w:rPr>
              <w:t>Hondo Valle</w:t>
            </w:r>
          </w:p>
        </w:tc>
        <w:tc>
          <w:tcPr>
            <w:tcW w:w="5103" w:type="dxa"/>
            <w:vAlign w:val="center"/>
            <w:hideMark/>
          </w:tcPr>
          <w:p w14:paraId="74B2F700" w14:textId="77777777" w:rsidR="0021485A" w:rsidRPr="00C47D22" w:rsidRDefault="0021485A" w:rsidP="0021485A">
            <w:pPr>
              <w:spacing w:after="0"/>
              <w:rPr>
                <w:rFonts w:ascii="Times New Roman" w:hAnsi="Times New Roman"/>
              </w:rPr>
            </w:pPr>
            <w:r w:rsidRPr="00C47D22">
              <w:rPr>
                <w:rFonts w:ascii="Times New Roman" w:hAnsi="Times New Roman"/>
              </w:rPr>
              <w:t>Proyecto de Reforestación y Desarrollo Sostenible de Hondo Valle y Juan Santiago</w:t>
            </w:r>
          </w:p>
        </w:tc>
        <w:tc>
          <w:tcPr>
            <w:tcW w:w="1701" w:type="dxa"/>
            <w:vAlign w:val="center"/>
          </w:tcPr>
          <w:p w14:paraId="10BAA015" w14:textId="77777777" w:rsidR="0021485A" w:rsidRPr="00C47D22" w:rsidRDefault="0021485A" w:rsidP="0021485A">
            <w:pPr>
              <w:spacing w:after="0"/>
              <w:jc w:val="center"/>
              <w:rPr>
                <w:rFonts w:ascii="Times New Roman" w:hAnsi="Times New Roman"/>
              </w:rPr>
            </w:pPr>
            <w:r w:rsidRPr="00C47D22">
              <w:rPr>
                <w:rFonts w:ascii="Times New Roman" w:hAnsi="Times New Roman"/>
              </w:rPr>
              <w:t>Elías Piña</w:t>
            </w:r>
          </w:p>
        </w:tc>
      </w:tr>
      <w:tr w:rsidR="0021485A" w:rsidRPr="00C47D22" w14:paraId="1313AF63" w14:textId="77777777" w:rsidTr="001C6C13">
        <w:trPr>
          <w:trHeight w:val="20"/>
        </w:trPr>
        <w:tc>
          <w:tcPr>
            <w:tcW w:w="1702" w:type="dxa"/>
            <w:vAlign w:val="center"/>
            <w:hideMark/>
          </w:tcPr>
          <w:p w14:paraId="14E41028" w14:textId="77777777" w:rsidR="0021485A" w:rsidRPr="00C47D22" w:rsidRDefault="0021485A" w:rsidP="00265E8D">
            <w:pPr>
              <w:spacing w:after="0"/>
              <w:rPr>
                <w:rFonts w:ascii="Times New Roman" w:hAnsi="Times New Roman"/>
              </w:rPr>
            </w:pPr>
            <w:r w:rsidRPr="00C47D22">
              <w:rPr>
                <w:rFonts w:ascii="Times New Roman" w:hAnsi="Times New Roman"/>
              </w:rPr>
              <w:t>Sabaneta</w:t>
            </w:r>
          </w:p>
        </w:tc>
        <w:tc>
          <w:tcPr>
            <w:tcW w:w="5103" w:type="dxa"/>
            <w:vAlign w:val="center"/>
            <w:hideMark/>
          </w:tcPr>
          <w:p w14:paraId="0C4C841C" w14:textId="77777777" w:rsidR="0021485A" w:rsidRPr="00C47D22" w:rsidRDefault="0021485A" w:rsidP="0021485A">
            <w:pPr>
              <w:spacing w:after="0"/>
              <w:rPr>
                <w:rFonts w:ascii="Times New Roman" w:hAnsi="Times New Roman"/>
              </w:rPr>
            </w:pPr>
            <w:r w:rsidRPr="00C47D22">
              <w:rPr>
                <w:rFonts w:ascii="Times New Roman" w:hAnsi="Times New Roman"/>
              </w:rPr>
              <w:t xml:space="preserve">Proyecto de Reforestación y Desarrollo Sostenible del Distrito Municipal Sabaneta </w:t>
            </w:r>
          </w:p>
        </w:tc>
        <w:tc>
          <w:tcPr>
            <w:tcW w:w="1701" w:type="dxa"/>
            <w:vAlign w:val="center"/>
          </w:tcPr>
          <w:p w14:paraId="6E74D4C6" w14:textId="77777777" w:rsidR="0021485A" w:rsidRPr="00C47D22" w:rsidRDefault="0021485A" w:rsidP="0021485A">
            <w:pPr>
              <w:spacing w:after="0"/>
              <w:jc w:val="center"/>
              <w:rPr>
                <w:rFonts w:ascii="Times New Roman" w:hAnsi="Times New Roman"/>
              </w:rPr>
            </w:pPr>
            <w:r w:rsidRPr="00C47D22">
              <w:rPr>
                <w:rFonts w:ascii="Times New Roman" w:hAnsi="Times New Roman"/>
              </w:rPr>
              <w:t>San Juan</w:t>
            </w:r>
          </w:p>
        </w:tc>
      </w:tr>
      <w:tr w:rsidR="0021485A" w:rsidRPr="00C47D22" w14:paraId="2588AEF8" w14:textId="77777777" w:rsidTr="001C6C13">
        <w:trPr>
          <w:trHeight w:val="20"/>
        </w:trPr>
        <w:tc>
          <w:tcPr>
            <w:tcW w:w="1702" w:type="dxa"/>
            <w:vAlign w:val="center"/>
            <w:hideMark/>
          </w:tcPr>
          <w:p w14:paraId="753C1B63" w14:textId="77777777" w:rsidR="0021485A" w:rsidRPr="00C47D22" w:rsidRDefault="0021485A" w:rsidP="00265E8D">
            <w:pPr>
              <w:spacing w:after="0"/>
              <w:rPr>
                <w:rFonts w:ascii="Times New Roman" w:hAnsi="Times New Roman"/>
              </w:rPr>
            </w:pPr>
            <w:r w:rsidRPr="00C47D22">
              <w:rPr>
                <w:rFonts w:ascii="Times New Roman" w:hAnsi="Times New Roman"/>
              </w:rPr>
              <w:t>Sabana Yegua</w:t>
            </w:r>
          </w:p>
        </w:tc>
        <w:tc>
          <w:tcPr>
            <w:tcW w:w="5103" w:type="dxa"/>
            <w:vAlign w:val="center"/>
            <w:hideMark/>
          </w:tcPr>
          <w:p w14:paraId="1DF3AE89" w14:textId="77777777" w:rsidR="0021485A" w:rsidRPr="00C47D22" w:rsidRDefault="0021485A" w:rsidP="00265E8D">
            <w:pPr>
              <w:spacing w:after="0"/>
              <w:rPr>
                <w:rFonts w:ascii="Times New Roman" w:hAnsi="Times New Roman"/>
              </w:rPr>
            </w:pPr>
            <w:r w:rsidRPr="00C47D22">
              <w:rPr>
                <w:rFonts w:ascii="Times New Roman" w:hAnsi="Times New Roman"/>
              </w:rPr>
              <w:t>Proyecto de Desarrollo Sostenible de Las Cañitas, en la Cuenca Alta de la Presa de Sabana Yegua, Padre Las Casas.</w:t>
            </w:r>
          </w:p>
        </w:tc>
        <w:tc>
          <w:tcPr>
            <w:tcW w:w="1701" w:type="dxa"/>
            <w:vAlign w:val="center"/>
          </w:tcPr>
          <w:p w14:paraId="287B8421" w14:textId="77777777" w:rsidR="0021485A" w:rsidRPr="00C47D22" w:rsidRDefault="0021485A" w:rsidP="0021485A">
            <w:pPr>
              <w:spacing w:after="0"/>
              <w:jc w:val="center"/>
              <w:rPr>
                <w:rFonts w:ascii="Times New Roman" w:hAnsi="Times New Roman"/>
              </w:rPr>
            </w:pPr>
            <w:r w:rsidRPr="00C47D22">
              <w:rPr>
                <w:rFonts w:ascii="Times New Roman" w:hAnsi="Times New Roman"/>
              </w:rPr>
              <w:t>Azua</w:t>
            </w:r>
          </w:p>
        </w:tc>
      </w:tr>
      <w:tr w:rsidR="0021485A" w:rsidRPr="00C47D22" w14:paraId="3B49ECC1" w14:textId="77777777" w:rsidTr="001C6C13">
        <w:trPr>
          <w:trHeight w:val="20"/>
        </w:trPr>
        <w:tc>
          <w:tcPr>
            <w:tcW w:w="1702" w:type="dxa"/>
            <w:vAlign w:val="center"/>
            <w:hideMark/>
          </w:tcPr>
          <w:p w14:paraId="07AD36CA" w14:textId="77777777" w:rsidR="0021485A" w:rsidRPr="00C47D22" w:rsidRDefault="0021485A" w:rsidP="00265E8D">
            <w:pPr>
              <w:spacing w:after="0"/>
              <w:rPr>
                <w:rFonts w:ascii="Times New Roman" w:hAnsi="Times New Roman"/>
              </w:rPr>
            </w:pPr>
            <w:r w:rsidRPr="00C47D22">
              <w:rPr>
                <w:rFonts w:ascii="Times New Roman" w:hAnsi="Times New Roman"/>
              </w:rPr>
              <w:t>Independencia</w:t>
            </w:r>
          </w:p>
        </w:tc>
        <w:tc>
          <w:tcPr>
            <w:tcW w:w="5103" w:type="dxa"/>
            <w:vAlign w:val="center"/>
            <w:hideMark/>
          </w:tcPr>
          <w:p w14:paraId="1B1B9CEE" w14:textId="77777777" w:rsidR="0021485A" w:rsidRPr="00C47D22" w:rsidRDefault="0021485A" w:rsidP="0021485A">
            <w:pPr>
              <w:spacing w:after="0"/>
              <w:rPr>
                <w:rFonts w:ascii="Times New Roman" w:hAnsi="Times New Roman"/>
              </w:rPr>
            </w:pPr>
            <w:r w:rsidRPr="00C47D22">
              <w:rPr>
                <w:rFonts w:ascii="Times New Roman" w:hAnsi="Times New Roman"/>
              </w:rPr>
              <w:t>Proyecto de Desarrollo Sostenible en la Sierra de Neyba.</w:t>
            </w:r>
          </w:p>
        </w:tc>
        <w:tc>
          <w:tcPr>
            <w:tcW w:w="1701" w:type="dxa"/>
            <w:vAlign w:val="center"/>
          </w:tcPr>
          <w:p w14:paraId="0D601D1F" w14:textId="77777777" w:rsidR="0021485A" w:rsidRPr="00C47D22" w:rsidRDefault="0021485A" w:rsidP="0021485A">
            <w:pPr>
              <w:spacing w:after="0"/>
              <w:jc w:val="center"/>
              <w:rPr>
                <w:rFonts w:ascii="Times New Roman" w:hAnsi="Times New Roman"/>
              </w:rPr>
            </w:pPr>
            <w:r w:rsidRPr="00C47D22">
              <w:rPr>
                <w:rFonts w:ascii="Times New Roman" w:hAnsi="Times New Roman"/>
              </w:rPr>
              <w:t>Independencia</w:t>
            </w:r>
          </w:p>
        </w:tc>
      </w:tr>
      <w:tr w:rsidR="0021485A" w:rsidRPr="00C47D22" w14:paraId="5DF4503D" w14:textId="77777777" w:rsidTr="001C6C13">
        <w:trPr>
          <w:trHeight w:val="20"/>
        </w:trPr>
        <w:tc>
          <w:tcPr>
            <w:tcW w:w="1702" w:type="dxa"/>
            <w:vAlign w:val="center"/>
            <w:hideMark/>
          </w:tcPr>
          <w:p w14:paraId="1E0C6E53" w14:textId="77777777" w:rsidR="0021485A" w:rsidRPr="00C47D22" w:rsidRDefault="0021485A" w:rsidP="00265E8D">
            <w:pPr>
              <w:spacing w:after="0"/>
              <w:rPr>
                <w:rFonts w:ascii="Times New Roman" w:hAnsi="Times New Roman"/>
              </w:rPr>
            </w:pPr>
            <w:r w:rsidRPr="00C47D22">
              <w:rPr>
                <w:rFonts w:ascii="Times New Roman" w:hAnsi="Times New Roman"/>
              </w:rPr>
              <w:t>Bahoruco</w:t>
            </w:r>
          </w:p>
        </w:tc>
        <w:tc>
          <w:tcPr>
            <w:tcW w:w="5103" w:type="dxa"/>
            <w:vAlign w:val="center"/>
            <w:hideMark/>
          </w:tcPr>
          <w:p w14:paraId="5DF12132" w14:textId="77777777" w:rsidR="0021485A" w:rsidRPr="00C47D22" w:rsidRDefault="0021485A" w:rsidP="0021485A">
            <w:pPr>
              <w:spacing w:after="0"/>
              <w:rPr>
                <w:rFonts w:ascii="Times New Roman" w:hAnsi="Times New Roman"/>
              </w:rPr>
            </w:pPr>
            <w:r w:rsidRPr="00C47D22">
              <w:rPr>
                <w:rFonts w:ascii="Times New Roman" w:hAnsi="Times New Roman"/>
              </w:rPr>
              <w:t>Proyecto de Desarrollo Sostenible en la Sierra de Neyba</w:t>
            </w:r>
          </w:p>
        </w:tc>
        <w:tc>
          <w:tcPr>
            <w:tcW w:w="1701" w:type="dxa"/>
            <w:vAlign w:val="center"/>
          </w:tcPr>
          <w:p w14:paraId="06935A1A" w14:textId="77777777" w:rsidR="0021485A" w:rsidRPr="00C47D22" w:rsidRDefault="0021485A" w:rsidP="0021485A">
            <w:pPr>
              <w:spacing w:after="0"/>
              <w:jc w:val="center"/>
              <w:rPr>
                <w:rFonts w:ascii="Times New Roman" w:hAnsi="Times New Roman"/>
              </w:rPr>
            </w:pPr>
            <w:r w:rsidRPr="00C47D22">
              <w:rPr>
                <w:rFonts w:ascii="Times New Roman" w:hAnsi="Times New Roman"/>
              </w:rPr>
              <w:t>Bahoruco</w:t>
            </w:r>
          </w:p>
        </w:tc>
      </w:tr>
      <w:tr w:rsidR="0021485A" w:rsidRPr="00C47D22" w14:paraId="69063411" w14:textId="77777777" w:rsidTr="001C6C13">
        <w:trPr>
          <w:trHeight w:val="20"/>
        </w:trPr>
        <w:tc>
          <w:tcPr>
            <w:tcW w:w="1702" w:type="dxa"/>
            <w:vAlign w:val="center"/>
            <w:hideMark/>
          </w:tcPr>
          <w:p w14:paraId="00B7283A" w14:textId="77777777" w:rsidR="0021485A" w:rsidRPr="00C47D22" w:rsidRDefault="0021485A" w:rsidP="00265E8D">
            <w:pPr>
              <w:spacing w:after="0"/>
              <w:rPr>
                <w:rFonts w:ascii="Times New Roman" w:hAnsi="Times New Roman"/>
              </w:rPr>
            </w:pPr>
            <w:r w:rsidRPr="00C47D22">
              <w:rPr>
                <w:rFonts w:ascii="Times New Roman" w:hAnsi="Times New Roman"/>
              </w:rPr>
              <w:t>Los Fríos</w:t>
            </w:r>
          </w:p>
        </w:tc>
        <w:tc>
          <w:tcPr>
            <w:tcW w:w="5103" w:type="dxa"/>
            <w:vAlign w:val="center"/>
            <w:hideMark/>
          </w:tcPr>
          <w:p w14:paraId="0D8EFA69" w14:textId="77777777" w:rsidR="0021485A" w:rsidRPr="00C47D22" w:rsidRDefault="0021485A" w:rsidP="0021485A">
            <w:pPr>
              <w:spacing w:after="0"/>
              <w:rPr>
                <w:rFonts w:ascii="Times New Roman" w:hAnsi="Times New Roman"/>
              </w:rPr>
            </w:pPr>
            <w:r w:rsidRPr="00C47D22">
              <w:rPr>
                <w:rFonts w:ascii="Times New Roman" w:hAnsi="Times New Roman"/>
              </w:rPr>
              <w:t>Proyecto de Desarrollo Sostenible en Los Fríos</w:t>
            </w:r>
          </w:p>
        </w:tc>
        <w:tc>
          <w:tcPr>
            <w:tcW w:w="1701" w:type="dxa"/>
            <w:vAlign w:val="center"/>
          </w:tcPr>
          <w:p w14:paraId="4129509B" w14:textId="77777777" w:rsidR="0021485A" w:rsidRPr="00C47D22" w:rsidRDefault="0021485A" w:rsidP="0021485A">
            <w:pPr>
              <w:spacing w:after="0"/>
              <w:jc w:val="center"/>
              <w:rPr>
                <w:rFonts w:ascii="Times New Roman" w:hAnsi="Times New Roman"/>
              </w:rPr>
            </w:pPr>
            <w:r w:rsidRPr="00C47D22">
              <w:rPr>
                <w:rFonts w:ascii="Times New Roman" w:hAnsi="Times New Roman"/>
              </w:rPr>
              <w:t>Azua</w:t>
            </w:r>
          </w:p>
        </w:tc>
      </w:tr>
      <w:tr w:rsidR="0021485A" w:rsidRPr="00DA2EE3" w14:paraId="3D7FB988" w14:textId="77777777" w:rsidTr="001C6C13">
        <w:trPr>
          <w:trHeight w:val="20"/>
        </w:trPr>
        <w:tc>
          <w:tcPr>
            <w:tcW w:w="1702" w:type="dxa"/>
            <w:vAlign w:val="center"/>
          </w:tcPr>
          <w:p w14:paraId="2E086BF5" w14:textId="77777777" w:rsidR="0021485A" w:rsidRPr="00C47D22" w:rsidRDefault="0021485A" w:rsidP="00265E8D">
            <w:pPr>
              <w:spacing w:after="0"/>
              <w:rPr>
                <w:rFonts w:ascii="Times New Roman" w:hAnsi="Times New Roman"/>
              </w:rPr>
            </w:pPr>
            <w:r w:rsidRPr="00C47D22">
              <w:rPr>
                <w:rFonts w:ascii="Times New Roman" w:hAnsi="Times New Roman"/>
              </w:rPr>
              <w:t>Barahona</w:t>
            </w:r>
          </w:p>
        </w:tc>
        <w:tc>
          <w:tcPr>
            <w:tcW w:w="5103" w:type="dxa"/>
            <w:vAlign w:val="center"/>
          </w:tcPr>
          <w:p w14:paraId="1422728B" w14:textId="77777777" w:rsidR="0021485A" w:rsidRPr="00C47D22" w:rsidRDefault="0021485A" w:rsidP="00265E8D">
            <w:pPr>
              <w:spacing w:after="0"/>
              <w:rPr>
                <w:rFonts w:ascii="Times New Roman" w:hAnsi="Times New Roman"/>
              </w:rPr>
            </w:pPr>
            <w:r w:rsidRPr="00C47D22">
              <w:rPr>
                <w:rFonts w:ascii="Times New Roman" w:hAnsi="Times New Roman"/>
              </w:rPr>
              <w:t>Proyecto de Desarrollo Agroforestal en Barahona</w:t>
            </w:r>
          </w:p>
        </w:tc>
        <w:tc>
          <w:tcPr>
            <w:tcW w:w="1701" w:type="dxa"/>
            <w:vAlign w:val="center"/>
          </w:tcPr>
          <w:p w14:paraId="0890FE7D" w14:textId="77777777" w:rsidR="0021485A" w:rsidRPr="00C47D22" w:rsidRDefault="0021485A" w:rsidP="0021485A">
            <w:pPr>
              <w:spacing w:after="0"/>
              <w:jc w:val="center"/>
              <w:rPr>
                <w:rFonts w:ascii="Times New Roman" w:hAnsi="Times New Roman"/>
              </w:rPr>
            </w:pPr>
            <w:r w:rsidRPr="00C47D22">
              <w:rPr>
                <w:rFonts w:ascii="Times New Roman" w:hAnsi="Times New Roman"/>
              </w:rPr>
              <w:t>Barahona</w:t>
            </w:r>
          </w:p>
        </w:tc>
      </w:tr>
    </w:tbl>
    <w:p w14:paraId="67FD721E" w14:textId="77777777" w:rsidR="00265E8D" w:rsidRPr="00DA2EE3" w:rsidRDefault="00265E8D" w:rsidP="00390148">
      <w:pPr>
        <w:spacing w:after="0" w:line="480" w:lineRule="auto"/>
        <w:ind w:firstLine="720"/>
        <w:jc w:val="both"/>
        <w:rPr>
          <w:rFonts w:ascii="Times New Roman" w:hAnsi="Times New Roman"/>
          <w:color w:val="4F81BD" w:themeColor="accent1"/>
          <w:highlight w:val="yellow"/>
        </w:rPr>
      </w:pPr>
    </w:p>
    <w:p w14:paraId="5D2AE6E9" w14:textId="77777777" w:rsidR="00DA2EE3" w:rsidRPr="00C47D22" w:rsidRDefault="00523C87" w:rsidP="00523C87">
      <w:pPr>
        <w:spacing w:after="0" w:line="480" w:lineRule="auto"/>
        <w:ind w:firstLine="720"/>
        <w:jc w:val="both"/>
      </w:pPr>
      <w:r w:rsidRPr="00C47D22">
        <w:rPr>
          <w:rFonts w:ascii="Times New Roman" w:hAnsi="Times New Roman"/>
        </w:rPr>
        <w:t xml:space="preserve">En términos generales, a través de estos proyectos se han sembrado </w:t>
      </w:r>
      <w:r w:rsidR="00DA2EE3" w:rsidRPr="00C47D22">
        <w:rPr>
          <w:rFonts w:ascii="Times New Roman" w:hAnsi="Times New Roman"/>
        </w:rPr>
        <w:t>43,898,116</w:t>
      </w:r>
      <w:r w:rsidRPr="00C47D22">
        <w:rPr>
          <w:rFonts w:ascii="Times New Roman" w:hAnsi="Times New Roman"/>
        </w:rPr>
        <w:t xml:space="preserve"> plantas</w:t>
      </w:r>
      <w:r w:rsidRPr="00C47D22">
        <w:rPr>
          <w:rStyle w:val="Refdenotaalpie"/>
          <w:rFonts w:ascii="Times New Roman" w:hAnsi="Times New Roman"/>
        </w:rPr>
        <w:footnoteReference w:id="11"/>
      </w:r>
      <w:r w:rsidR="00765634" w:rsidRPr="00C47D22">
        <w:rPr>
          <w:rFonts w:ascii="Times New Roman" w:hAnsi="Times New Roman"/>
        </w:rPr>
        <w:t xml:space="preserve"> </w:t>
      </w:r>
      <w:r w:rsidR="00DA2EE3" w:rsidRPr="00C47D22">
        <w:rPr>
          <w:rFonts w:ascii="Times New Roman" w:hAnsi="Times New Roman"/>
        </w:rPr>
        <w:t>café, aguacate, cacao y mango, asimismo, se han establecido 305,222 plantas de guineo y guamas, como cultivo asociado y sombra permanente respectivamente, para un total de 10,272 productores beneficiarios</w:t>
      </w:r>
    </w:p>
    <w:p w14:paraId="028E972D" w14:textId="77777777" w:rsidR="00DA2EE3" w:rsidRPr="00C47D22" w:rsidRDefault="00DA2EE3" w:rsidP="00523C87">
      <w:pPr>
        <w:spacing w:after="0" w:line="480" w:lineRule="auto"/>
        <w:ind w:firstLine="720"/>
        <w:jc w:val="both"/>
      </w:pPr>
    </w:p>
    <w:p w14:paraId="2B4BF9C1" w14:textId="56AA0C9D" w:rsidR="00DA2EE3" w:rsidRPr="00C47D22" w:rsidRDefault="00DA2EE3" w:rsidP="00523C87">
      <w:pPr>
        <w:spacing w:after="0" w:line="480" w:lineRule="auto"/>
        <w:ind w:firstLine="720"/>
        <w:jc w:val="both"/>
        <w:rPr>
          <w:rFonts w:ascii="Times New Roman" w:hAnsi="Times New Roman"/>
        </w:rPr>
      </w:pPr>
      <w:r w:rsidRPr="00C47D22">
        <w:rPr>
          <w:rFonts w:ascii="Times New Roman" w:hAnsi="Times New Roman"/>
        </w:rPr>
        <w:t>Los materiales de siembra distribuido</w:t>
      </w:r>
      <w:r w:rsidR="00D0241B" w:rsidRPr="00C47D22">
        <w:rPr>
          <w:rFonts w:ascii="Times New Roman" w:hAnsi="Times New Roman"/>
        </w:rPr>
        <w:t>s,</w:t>
      </w:r>
      <w:r w:rsidRPr="00C47D22">
        <w:rPr>
          <w:rFonts w:ascii="Times New Roman" w:hAnsi="Times New Roman"/>
        </w:rPr>
        <w:t xml:space="preserve"> corresponden a:</w:t>
      </w:r>
    </w:p>
    <w:p w14:paraId="3E266B00" w14:textId="0DE2AB86" w:rsidR="00DA2EE3" w:rsidRPr="008D1984" w:rsidRDefault="00DA2EE3" w:rsidP="001C6B1A">
      <w:pPr>
        <w:pStyle w:val="Prrafodelista"/>
        <w:numPr>
          <w:ilvl w:val="0"/>
          <w:numId w:val="31"/>
        </w:numPr>
        <w:spacing w:after="0" w:line="480" w:lineRule="auto"/>
        <w:jc w:val="both"/>
        <w:rPr>
          <w:rFonts w:ascii="Times New Roman" w:hAnsi="Times New Roman"/>
          <w:sz w:val="24"/>
        </w:rPr>
      </w:pPr>
      <w:r w:rsidRPr="008D1984">
        <w:rPr>
          <w:rFonts w:ascii="Times New Roman" w:hAnsi="Times New Roman"/>
          <w:sz w:val="24"/>
        </w:rPr>
        <w:t xml:space="preserve">Plantas </w:t>
      </w:r>
      <w:r w:rsidR="00B0170C" w:rsidRPr="008D1984">
        <w:rPr>
          <w:rFonts w:ascii="Times New Roman" w:hAnsi="Times New Roman"/>
          <w:sz w:val="24"/>
        </w:rPr>
        <w:t xml:space="preserve">café tolerantes a la roya, </w:t>
      </w:r>
    </w:p>
    <w:p w14:paraId="0BE5BCE3" w14:textId="77777777" w:rsidR="00DA2EE3" w:rsidRPr="008D1984" w:rsidRDefault="00DA2EE3" w:rsidP="001C6B1A">
      <w:pPr>
        <w:pStyle w:val="Prrafodelista"/>
        <w:numPr>
          <w:ilvl w:val="0"/>
          <w:numId w:val="31"/>
        </w:numPr>
        <w:spacing w:after="0" w:line="480" w:lineRule="auto"/>
        <w:jc w:val="both"/>
        <w:rPr>
          <w:rFonts w:ascii="Times New Roman" w:hAnsi="Times New Roman"/>
          <w:sz w:val="24"/>
        </w:rPr>
      </w:pPr>
      <w:r w:rsidRPr="008D1984">
        <w:rPr>
          <w:rFonts w:ascii="Times New Roman" w:hAnsi="Times New Roman"/>
          <w:sz w:val="24"/>
        </w:rPr>
        <w:t>P</w:t>
      </w:r>
      <w:r w:rsidR="00B0170C" w:rsidRPr="008D1984">
        <w:rPr>
          <w:rFonts w:ascii="Times New Roman" w:hAnsi="Times New Roman"/>
          <w:sz w:val="24"/>
        </w:rPr>
        <w:t xml:space="preserve">lantas de </w:t>
      </w:r>
      <w:r w:rsidR="00372CD1" w:rsidRPr="008D1984">
        <w:rPr>
          <w:rFonts w:ascii="Times New Roman" w:hAnsi="Times New Roman"/>
          <w:sz w:val="24"/>
        </w:rPr>
        <w:t>aguacate</w:t>
      </w:r>
      <w:r w:rsidR="00B0170C" w:rsidRPr="008D1984">
        <w:rPr>
          <w:rFonts w:ascii="Times New Roman" w:hAnsi="Times New Roman"/>
          <w:sz w:val="24"/>
        </w:rPr>
        <w:t xml:space="preserve"> </w:t>
      </w:r>
      <w:r w:rsidRPr="008D1984">
        <w:rPr>
          <w:rFonts w:ascii="Times New Roman" w:hAnsi="Times New Roman"/>
          <w:sz w:val="24"/>
        </w:rPr>
        <w:t>de las variedades Hass y Carla</w:t>
      </w:r>
    </w:p>
    <w:p w14:paraId="785A37FA" w14:textId="4FAF5772" w:rsidR="00DA2EE3" w:rsidRPr="008D1984" w:rsidRDefault="00C47D22" w:rsidP="001C6B1A">
      <w:pPr>
        <w:pStyle w:val="Prrafodelista"/>
        <w:numPr>
          <w:ilvl w:val="0"/>
          <w:numId w:val="31"/>
        </w:numPr>
        <w:spacing w:after="0" w:line="480" w:lineRule="auto"/>
        <w:jc w:val="both"/>
        <w:rPr>
          <w:rFonts w:ascii="Times New Roman" w:hAnsi="Times New Roman"/>
          <w:sz w:val="24"/>
        </w:rPr>
      </w:pPr>
      <w:r w:rsidRPr="008D1984">
        <w:rPr>
          <w:rFonts w:ascii="Times New Roman" w:hAnsi="Times New Roman"/>
          <w:sz w:val="24"/>
        </w:rPr>
        <w:lastRenderedPageBreak/>
        <w:t>P</w:t>
      </w:r>
      <w:r w:rsidR="00765634" w:rsidRPr="008D1984">
        <w:rPr>
          <w:rFonts w:ascii="Times New Roman" w:hAnsi="Times New Roman"/>
          <w:sz w:val="24"/>
        </w:rPr>
        <w:t>lantas de cacao hí</w:t>
      </w:r>
      <w:r w:rsidR="00B0170C" w:rsidRPr="008D1984">
        <w:rPr>
          <w:rFonts w:ascii="Times New Roman" w:hAnsi="Times New Roman"/>
          <w:sz w:val="24"/>
        </w:rPr>
        <w:t>brido</w:t>
      </w:r>
      <w:r w:rsidR="00523C87" w:rsidRPr="008D1984">
        <w:rPr>
          <w:rFonts w:ascii="Times New Roman" w:hAnsi="Times New Roman"/>
          <w:sz w:val="24"/>
        </w:rPr>
        <w:t xml:space="preserve"> </w:t>
      </w:r>
    </w:p>
    <w:p w14:paraId="010FCF54" w14:textId="55C0B57B" w:rsidR="004269EB" w:rsidRPr="008D1984" w:rsidRDefault="00C47D22" w:rsidP="001C6B1A">
      <w:pPr>
        <w:pStyle w:val="Prrafodelista"/>
        <w:numPr>
          <w:ilvl w:val="0"/>
          <w:numId w:val="31"/>
        </w:numPr>
        <w:spacing w:after="0" w:line="480" w:lineRule="auto"/>
        <w:jc w:val="both"/>
        <w:rPr>
          <w:rFonts w:ascii="Times New Roman" w:hAnsi="Times New Roman"/>
          <w:sz w:val="24"/>
        </w:rPr>
      </w:pPr>
      <w:r w:rsidRPr="008D1984">
        <w:rPr>
          <w:rFonts w:ascii="Times New Roman" w:hAnsi="Times New Roman"/>
          <w:sz w:val="24"/>
        </w:rPr>
        <w:t>P</w:t>
      </w:r>
      <w:r w:rsidR="00B0170C" w:rsidRPr="008D1984">
        <w:rPr>
          <w:rFonts w:ascii="Times New Roman" w:hAnsi="Times New Roman"/>
          <w:sz w:val="24"/>
        </w:rPr>
        <w:t>lantas de mango</w:t>
      </w:r>
      <w:r w:rsidR="00B271C6" w:rsidRPr="008D1984">
        <w:rPr>
          <w:rFonts w:ascii="Times New Roman" w:hAnsi="Times New Roman"/>
          <w:sz w:val="24"/>
          <w:lang w:val="es-ES_tradnl"/>
        </w:rPr>
        <w:t>.</w:t>
      </w:r>
    </w:p>
    <w:p w14:paraId="5691889B" w14:textId="77777777" w:rsidR="004269EB" w:rsidRPr="00DA2EE3" w:rsidRDefault="004269EB" w:rsidP="00523C87">
      <w:pPr>
        <w:spacing w:after="0" w:line="480" w:lineRule="auto"/>
        <w:ind w:firstLine="720"/>
        <w:jc w:val="both"/>
        <w:rPr>
          <w:rFonts w:ascii="Times New Roman" w:hAnsi="Times New Roman"/>
          <w:highlight w:val="yellow"/>
        </w:rPr>
      </w:pPr>
    </w:p>
    <w:p w14:paraId="2AC66A4C" w14:textId="76AC1529" w:rsidR="00DA2EE3" w:rsidRPr="00C47D22" w:rsidRDefault="00DA2EE3" w:rsidP="00DA2EE3">
      <w:pPr>
        <w:spacing w:after="0" w:line="480" w:lineRule="auto"/>
        <w:ind w:firstLine="720"/>
        <w:jc w:val="both"/>
        <w:rPr>
          <w:rFonts w:ascii="Times New Roman" w:hAnsi="Times New Roman"/>
        </w:rPr>
      </w:pPr>
      <w:r w:rsidRPr="00C47D22">
        <w:rPr>
          <w:rFonts w:ascii="Times New Roman" w:hAnsi="Times New Roman"/>
        </w:rPr>
        <w:t>En coordinación con el Ministerio de Medio Ambiente y Recursos Naturales, como parte del componente forestal de los proyectos, se han incorporado más de 20 especies, entre las que se destacan</w:t>
      </w:r>
      <w:r w:rsidR="008D1984">
        <w:rPr>
          <w:rFonts w:ascii="Times New Roman" w:hAnsi="Times New Roman"/>
        </w:rPr>
        <w:t>:</w:t>
      </w:r>
      <w:r w:rsidRPr="00C47D22">
        <w:rPr>
          <w:rFonts w:ascii="Times New Roman" w:hAnsi="Times New Roman"/>
        </w:rPr>
        <w:t xml:space="preserve"> Pino Criollo, Cabirma, Guazara, Caoba Criolla, Cedro, Ciprés, Cabima Santa, Roble, Terminalia, Cola, Capa Puerto Rico, Mara, Corazón de Paloma, Caoba Hondureña, entre otras. Para reducir la sedimentación de las zonas bajas y también regular los afluentes de las cuencas hidrográficas de la zona sur.</w:t>
      </w:r>
    </w:p>
    <w:p w14:paraId="34072267" w14:textId="77777777" w:rsidR="00DA2EE3" w:rsidRPr="00DA2EE3" w:rsidRDefault="00DA2EE3" w:rsidP="00DA2EE3">
      <w:pPr>
        <w:spacing w:after="0" w:line="480" w:lineRule="auto"/>
        <w:ind w:firstLine="720"/>
        <w:jc w:val="both"/>
        <w:rPr>
          <w:rFonts w:ascii="Times New Roman" w:hAnsi="Times New Roman"/>
          <w:highlight w:val="yellow"/>
        </w:rPr>
      </w:pPr>
    </w:p>
    <w:p w14:paraId="18E8C226" w14:textId="2BCBC1AF" w:rsidR="00DA2EE3" w:rsidRPr="00D6012A" w:rsidRDefault="00DA2EE3" w:rsidP="00DA2EE3">
      <w:pPr>
        <w:spacing w:after="0" w:line="480" w:lineRule="auto"/>
        <w:ind w:firstLine="720"/>
        <w:jc w:val="both"/>
        <w:rPr>
          <w:rFonts w:ascii="Times New Roman" w:hAnsi="Times New Roman"/>
        </w:rPr>
      </w:pPr>
      <w:r w:rsidRPr="00D6012A">
        <w:rPr>
          <w:rFonts w:ascii="Times New Roman" w:hAnsi="Times New Roman"/>
        </w:rPr>
        <w:t xml:space="preserve">Estos resultados positivos han reverdecido las montañas, recuperando de esa manera las cuencas hidrográficas del sur de nuestro país, la actividad agrícola, la protección del medio ambiente y el desarrollo de los productores beneficiados de los proyectos. </w:t>
      </w:r>
    </w:p>
    <w:p w14:paraId="42D213CA" w14:textId="77777777" w:rsidR="00DA2EE3" w:rsidRPr="00D6012A" w:rsidRDefault="00DA2EE3" w:rsidP="00DA2EE3">
      <w:pPr>
        <w:spacing w:after="0" w:line="480" w:lineRule="auto"/>
        <w:ind w:firstLine="720"/>
        <w:jc w:val="both"/>
        <w:rPr>
          <w:rFonts w:ascii="Times New Roman" w:hAnsi="Times New Roman"/>
        </w:rPr>
      </w:pPr>
    </w:p>
    <w:p w14:paraId="346CEBCB" w14:textId="654121A7" w:rsidR="00DA2EE3" w:rsidRPr="00D6012A" w:rsidRDefault="00DA2EE3" w:rsidP="00DA2EE3">
      <w:pPr>
        <w:spacing w:after="0" w:line="480" w:lineRule="auto"/>
        <w:ind w:firstLine="720"/>
        <w:jc w:val="both"/>
        <w:rPr>
          <w:rFonts w:ascii="Times New Roman" w:hAnsi="Times New Roman"/>
        </w:rPr>
      </w:pPr>
      <w:r w:rsidRPr="00D6012A">
        <w:rPr>
          <w:rFonts w:ascii="Times New Roman" w:hAnsi="Times New Roman"/>
        </w:rPr>
        <w:t xml:space="preserve">En el ámbito de la apicultura se han instalado más de 4,000 mil unidades de cuerpos o cajas de abejas, velos, escobillas, colmenas, en las provincias de Barahona, Bahoruco, Independencia, Los fríos y Sabaneta. De esa misma manera </w:t>
      </w:r>
      <w:r w:rsidR="00D6012A" w:rsidRPr="00D6012A">
        <w:rPr>
          <w:rFonts w:ascii="Times New Roman" w:hAnsi="Times New Roman"/>
        </w:rPr>
        <w:t>se ha brindado capacitació</w:t>
      </w:r>
      <w:r w:rsidRPr="00D6012A">
        <w:rPr>
          <w:rFonts w:ascii="Times New Roman" w:hAnsi="Times New Roman"/>
        </w:rPr>
        <w:t>n</w:t>
      </w:r>
      <w:r w:rsidR="00D6012A" w:rsidRPr="00D6012A">
        <w:rPr>
          <w:rFonts w:ascii="Times New Roman" w:hAnsi="Times New Roman"/>
        </w:rPr>
        <w:t xml:space="preserve"> a los productores que llevará</w:t>
      </w:r>
      <w:r w:rsidRPr="00D6012A">
        <w:rPr>
          <w:rFonts w:ascii="Times New Roman" w:hAnsi="Times New Roman"/>
        </w:rPr>
        <w:t>n a cabo este proceso apícola.</w:t>
      </w:r>
    </w:p>
    <w:p w14:paraId="040FE31B" w14:textId="77777777" w:rsidR="00DA2EE3" w:rsidRPr="00D6012A" w:rsidRDefault="00DA2EE3" w:rsidP="00DA2EE3">
      <w:pPr>
        <w:spacing w:after="0" w:line="480" w:lineRule="auto"/>
        <w:ind w:firstLine="720"/>
        <w:jc w:val="both"/>
        <w:rPr>
          <w:rFonts w:ascii="Times New Roman" w:hAnsi="Times New Roman"/>
        </w:rPr>
      </w:pPr>
    </w:p>
    <w:p w14:paraId="519EA93B" w14:textId="29662ED3" w:rsidR="00DA2EE3" w:rsidRPr="00D6012A" w:rsidRDefault="00DA2EE3" w:rsidP="00DA2EE3">
      <w:pPr>
        <w:spacing w:after="0" w:line="480" w:lineRule="auto"/>
        <w:ind w:firstLine="720"/>
        <w:jc w:val="both"/>
        <w:rPr>
          <w:rFonts w:ascii="Times New Roman" w:hAnsi="Times New Roman"/>
        </w:rPr>
      </w:pPr>
      <w:r w:rsidRPr="00D6012A">
        <w:rPr>
          <w:rFonts w:ascii="Times New Roman" w:hAnsi="Times New Roman"/>
        </w:rPr>
        <w:lastRenderedPageBreak/>
        <w:t>Por medio de la Empresa de Generación Hidroeléctrica Dominicana (EGEHID), se construyó en l</w:t>
      </w:r>
      <w:r w:rsidR="00D6012A" w:rsidRPr="00D6012A">
        <w:rPr>
          <w:rFonts w:ascii="Times New Roman" w:hAnsi="Times New Roman"/>
        </w:rPr>
        <w:t>a presa del distrito municipal S</w:t>
      </w:r>
      <w:r w:rsidRPr="00D6012A">
        <w:rPr>
          <w:rFonts w:ascii="Times New Roman" w:hAnsi="Times New Roman"/>
        </w:rPr>
        <w:t>abaneta, dos plataformas de 40 metros de largo y 10 de ancho, con 12 jaulas, e</w:t>
      </w:r>
      <w:r w:rsidR="00D6012A" w:rsidRPr="00D6012A">
        <w:rPr>
          <w:rFonts w:ascii="Times New Roman" w:hAnsi="Times New Roman"/>
        </w:rPr>
        <w:t xml:space="preserve">n </w:t>
      </w:r>
      <w:r w:rsidRPr="00D6012A">
        <w:rPr>
          <w:rFonts w:ascii="Times New Roman" w:hAnsi="Times New Roman"/>
        </w:rPr>
        <w:t>benefici</w:t>
      </w:r>
      <w:r w:rsidR="00D6012A" w:rsidRPr="00D6012A">
        <w:rPr>
          <w:rFonts w:ascii="Times New Roman" w:hAnsi="Times New Roman"/>
        </w:rPr>
        <w:t>o directo</w:t>
      </w:r>
      <w:r w:rsidRPr="00D6012A">
        <w:rPr>
          <w:rFonts w:ascii="Times New Roman" w:hAnsi="Times New Roman"/>
        </w:rPr>
        <w:t xml:space="preserve"> a los pescadores y productores. </w:t>
      </w:r>
    </w:p>
    <w:p w14:paraId="54B2BB26" w14:textId="77777777" w:rsidR="00D0241B" w:rsidRPr="00D6012A" w:rsidRDefault="00D0241B" w:rsidP="00DA2EE3">
      <w:pPr>
        <w:spacing w:after="0" w:line="480" w:lineRule="auto"/>
        <w:ind w:firstLine="720"/>
        <w:jc w:val="both"/>
        <w:rPr>
          <w:rFonts w:ascii="Times New Roman" w:hAnsi="Times New Roman"/>
        </w:rPr>
      </w:pPr>
    </w:p>
    <w:p w14:paraId="2D0E3266" w14:textId="6E76C018" w:rsidR="00DA2EE3" w:rsidRPr="00D6012A" w:rsidRDefault="00DA2EE3" w:rsidP="00DA2EE3">
      <w:pPr>
        <w:spacing w:after="0" w:line="480" w:lineRule="auto"/>
        <w:ind w:firstLine="720"/>
        <w:jc w:val="both"/>
        <w:rPr>
          <w:rFonts w:ascii="Times New Roman" w:hAnsi="Times New Roman"/>
        </w:rPr>
      </w:pPr>
      <w:r w:rsidRPr="00D6012A">
        <w:rPr>
          <w:rFonts w:ascii="Times New Roman" w:hAnsi="Times New Roman"/>
        </w:rPr>
        <w:t>Respecto al componente agrícola</w:t>
      </w:r>
      <w:r w:rsidR="00D6012A" w:rsidRPr="00D6012A">
        <w:rPr>
          <w:rFonts w:ascii="Times New Roman" w:hAnsi="Times New Roman"/>
        </w:rPr>
        <w:t>,</w:t>
      </w:r>
      <w:r w:rsidRPr="00D6012A">
        <w:rPr>
          <w:rFonts w:ascii="Times New Roman" w:hAnsi="Times New Roman"/>
        </w:rPr>
        <w:t xml:space="preserve"> se invirtió un monto ascendente a RD$836,168,089.61, mediante fuente directa desde el Ministerio Administrativo de la Presidencia. Dentro de este componente se ejecuta un mecanismo de incentivo para la inserción a las labores agroforestales a razón de RD$5,000 per cápita, para proveer una fuente de ingreso a los productores/as por la transición de conuquismo al desarrollo productivo sostenible, beneficiando un total de 7,003 productores, de los cuales 1,619 son </w:t>
      </w:r>
      <w:r w:rsidR="00C60138">
        <w:rPr>
          <w:rFonts w:ascii="Times New Roman" w:hAnsi="Times New Roman"/>
        </w:rPr>
        <w:t>mujeres</w:t>
      </w:r>
      <w:r w:rsidRPr="00D6012A">
        <w:rPr>
          <w:rFonts w:ascii="Times New Roman" w:hAnsi="Times New Roman"/>
        </w:rPr>
        <w:t xml:space="preserve"> y 5,384 </w:t>
      </w:r>
      <w:r w:rsidR="00C60138">
        <w:rPr>
          <w:rFonts w:ascii="Times New Roman" w:hAnsi="Times New Roman"/>
        </w:rPr>
        <w:t>hombres</w:t>
      </w:r>
      <w:r w:rsidRPr="00D6012A">
        <w:rPr>
          <w:rFonts w:ascii="Times New Roman" w:hAnsi="Times New Roman"/>
        </w:rPr>
        <w:t>, equivalente al 23% y 77% respectivamente.</w:t>
      </w:r>
    </w:p>
    <w:p w14:paraId="1EF17835" w14:textId="5D6193D5" w:rsidR="00E01BB7" w:rsidRPr="00D6012A" w:rsidRDefault="00E01BB7" w:rsidP="00523C87">
      <w:pPr>
        <w:spacing w:after="0" w:line="480" w:lineRule="auto"/>
        <w:jc w:val="both"/>
        <w:rPr>
          <w:rFonts w:ascii="Times New Roman" w:hAnsi="Times New Roman"/>
        </w:rPr>
      </w:pPr>
    </w:p>
    <w:p w14:paraId="45EBC3AD" w14:textId="1B232B1D" w:rsidR="004D173D" w:rsidRPr="00D6012A" w:rsidRDefault="004D173D" w:rsidP="00FF1B4E">
      <w:pPr>
        <w:pStyle w:val="Prrafodelista"/>
        <w:spacing w:line="480" w:lineRule="auto"/>
        <w:ind w:left="-450" w:firstLine="450"/>
        <w:jc w:val="both"/>
        <w:rPr>
          <w:rFonts w:ascii="Times New Roman" w:hAnsi="Times New Roman"/>
          <w:b/>
          <w:sz w:val="28"/>
          <w:szCs w:val="28"/>
        </w:rPr>
      </w:pPr>
      <w:r w:rsidRPr="00D6012A">
        <w:rPr>
          <w:rFonts w:ascii="Times New Roman" w:hAnsi="Times New Roman"/>
          <w:b/>
          <w:sz w:val="28"/>
          <w:szCs w:val="28"/>
        </w:rPr>
        <w:t xml:space="preserve">Apoyo al </w:t>
      </w:r>
      <w:r w:rsidR="00D6012A" w:rsidRPr="00D6012A">
        <w:rPr>
          <w:rFonts w:ascii="Times New Roman" w:hAnsi="Times New Roman"/>
          <w:b/>
          <w:sz w:val="28"/>
          <w:szCs w:val="28"/>
        </w:rPr>
        <w:t>Proyecto A</w:t>
      </w:r>
      <w:r w:rsidR="00FF1B4E" w:rsidRPr="00D6012A">
        <w:rPr>
          <w:rFonts w:ascii="Times New Roman" w:hAnsi="Times New Roman"/>
          <w:b/>
          <w:sz w:val="28"/>
          <w:szCs w:val="28"/>
        </w:rPr>
        <w:t>groforestal de la zona montañosa de la provinc</w:t>
      </w:r>
      <w:r w:rsidRPr="00D6012A">
        <w:rPr>
          <w:rFonts w:ascii="Times New Roman" w:hAnsi="Times New Roman"/>
          <w:b/>
          <w:sz w:val="28"/>
          <w:szCs w:val="28"/>
        </w:rPr>
        <w:t>ia Hermanas Mirabal.</w:t>
      </w:r>
    </w:p>
    <w:p w14:paraId="00BE8C3C" w14:textId="77777777" w:rsidR="004D173D" w:rsidRPr="00D6012A" w:rsidRDefault="004D173D" w:rsidP="004D173D">
      <w:pPr>
        <w:pStyle w:val="Prrafodelista"/>
        <w:jc w:val="both"/>
        <w:rPr>
          <w:rFonts w:ascii="Times New Roman" w:hAnsi="Times New Roman"/>
          <w:sz w:val="24"/>
          <w:szCs w:val="24"/>
        </w:rPr>
      </w:pPr>
    </w:p>
    <w:p w14:paraId="291678BE" w14:textId="54482DE8" w:rsidR="004D173D" w:rsidRPr="00D6012A" w:rsidRDefault="00D6012A" w:rsidP="001C6B1A">
      <w:pPr>
        <w:pStyle w:val="Prrafodelista"/>
        <w:numPr>
          <w:ilvl w:val="0"/>
          <w:numId w:val="30"/>
        </w:numPr>
        <w:spacing w:after="0" w:line="480" w:lineRule="auto"/>
        <w:ind w:left="360"/>
        <w:jc w:val="both"/>
        <w:rPr>
          <w:rFonts w:ascii="Times New Roman" w:hAnsi="Times New Roman"/>
          <w:sz w:val="24"/>
        </w:rPr>
      </w:pPr>
      <w:r w:rsidRPr="00D6012A">
        <w:rPr>
          <w:rFonts w:ascii="Times New Roman" w:hAnsi="Times New Roman"/>
          <w:sz w:val="24"/>
        </w:rPr>
        <w:t xml:space="preserve">Aporte de RD$ 85,000 mil </w:t>
      </w:r>
      <w:r w:rsidR="004D173D" w:rsidRPr="00D6012A">
        <w:rPr>
          <w:rFonts w:ascii="Times New Roman" w:hAnsi="Times New Roman"/>
          <w:sz w:val="24"/>
        </w:rPr>
        <w:t xml:space="preserve">pesos para la compra de cepas de plátanos y guineo como sombra provisional de café. </w:t>
      </w:r>
    </w:p>
    <w:p w14:paraId="5E22EB89" w14:textId="77777777" w:rsidR="004D173D" w:rsidRPr="00D6012A" w:rsidRDefault="004D173D" w:rsidP="00FF1B4E">
      <w:pPr>
        <w:spacing w:after="0" w:line="480" w:lineRule="auto"/>
        <w:ind w:left="-1080" w:firstLine="720"/>
        <w:jc w:val="both"/>
        <w:rPr>
          <w:rFonts w:ascii="Times New Roman" w:hAnsi="Times New Roman"/>
          <w:sz w:val="28"/>
        </w:rPr>
      </w:pPr>
    </w:p>
    <w:p w14:paraId="7CB2DC4B" w14:textId="2489850B" w:rsidR="004D173D" w:rsidRPr="00D6012A" w:rsidRDefault="004D173D" w:rsidP="001C6B1A">
      <w:pPr>
        <w:pStyle w:val="Prrafodelista"/>
        <w:numPr>
          <w:ilvl w:val="0"/>
          <w:numId w:val="30"/>
        </w:numPr>
        <w:spacing w:after="0" w:line="480" w:lineRule="auto"/>
        <w:ind w:left="360"/>
        <w:jc w:val="both"/>
        <w:rPr>
          <w:rFonts w:ascii="Times New Roman" w:hAnsi="Times New Roman"/>
          <w:sz w:val="24"/>
        </w:rPr>
      </w:pPr>
      <w:r w:rsidRPr="00D6012A">
        <w:rPr>
          <w:rFonts w:ascii="Times New Roman" w:hAnsi="Times New Roman"/>
          <w:sz w:val="24"/>
        </w:rPr>
        <w:t>Aporte de 120,000 mil pesos para la compra de plantas de cacao, Provincia Hermanas Mirabal.</w:t>
      </w:r>
    </w:p>
    <w:p w14:paraId="74BA1298" w14:textId="77777777" w:rsidR="004D173D" w:rsidRPr="00D6012A" w:rsidRDefault="004D173D" w:rsidP="00FF1B4E">
      <w:pPr>
        <w:spacing w:after="0" w:line="480" w:lineRule="auto"/>
        <w:ind w:left="-1080" w:firstLine="720"/>
        <w:jc w:val="both"/>
        <w:rPr>
          <w:rFonts w:ascii="Times New Roman" w:hAnsi="Times New Roman"/>
          <w:sz w:val="28"/>
        </w:rPr>
      </w:pPr>
    </w:p>
    <w:p w14:paraId="21683A0C" w14:textId="30F7B252" w:rsidR="004D173D" w:rsidRPr="00D6012A" w:rsidRDefault="004D173D" w:rsidP="001C6B1A">
      <w:pPr>
        <w:pStyle w:val="Prrafodelista"/>
        <w:numPr>
          <w:ilvl w:val="0"/>
          <w:numId w:val="30"/>
        </w:numPr>
        <w:spacing w:after="0" w:line="480" w:lineRule="auto"/>
        <w:ind w:left="360"/>
        <w:jc w:val="both"/>
        <w:rPr>
          <w:rFonts w:ascii="Times New Roman" w:hAnsi="Times New Roman"/>
          <w:sz w:val="24"/>
        </w:rPr>
      </w:pPr>
      <w:r w:rsidRPr="00D6012A">
        <w:rPr>
          <w:rFonts w:ascii="Times New Roman" w:hAnsi="Times New Roman"/>
          <w:sz w:val="24"/>
        </w:rPr>
        <w:lastRenderedPageBreak/>
        <w:t>Aporte de 330,000 mil pesos para la compra de 10 vacas a mujeres agricultoras familiares y 96 vacas más entregadas por la Presidencia de la Republica, en la Provincia Hermanas Mirabal.</w:t>
      </w:r>
    </w:p>
    <w:p w14:paraId="03714699" w14:textId="2F6DBF59" w:rsidR="00DA2EE3" w:rsidRDefault="00DA2EE3">
      <w:pPr>
        <w:spacing w:after="0"/>
        <w:rPr>
          <w:rFonts w:ascii="Times New Roman" w:hAnsi="Times New Roman"/>
        </w:rPr>
      </w:pPr>
    </w:p>
    <w:p w14:paraId="309D3B88" w14:textId="78325AAC" w:rsidR="00856650" w:rsidRPr="004D173D" w:rsidRDefault="00856650" w:rsidP="001C6B1A">
      <w:pPr>
        <w:pStyle w:val="Prrafodelista"/>
        <w:numPr>
          <w:ilvl w:val="0"/>
          <w:numId w:val="9"/>
        </w:numPr>
        <w:spacing w:after="0"/>
        <w:ind w:left="567" w:hanging="567"/>
        <w:rPr>
          <w:rFonts w:ascii="Times New Roman" w:hAnsi="Times New Roman"/>
          <w:sz w:val="24"/>
          <w:lang w:val="es-ES_tradnl"/>
        </w:rPr>
      </w:pPr>
      <w:r w:rsidRPr="00A10905">
        <w:rPr>
          <w:rFonts w:ascii="Times New Roman" w:hAnsi="Times New Roman"/>
          <w:b/>
          <w:sz w:val="24"/>
          <w:lang w:val="es-ES_tradnl"/>
        </w:rPr>
        <w:t>Avances en la Siembra por cultivo</w:t>
      </w:r>
    </w:p>
    <w:p w14:paraId="3ECD76BD" w14:textId="6EF951DF" w:rsidR="004D173D" w:rsidRDefault="004D173D" w:rsidP="004D173D">
      <w:pPr>
        <w:pStyle w:val="Prrafodelista"/>
        <w:spacing w:after="0"/>
        <w:ind w:left="567"/>
        <w:rPr>
          <w:rFonts w:ascii="Times New Roman" w:hAnsi="Times New Roman"/>
          <w:sz w:val="24"/>
          <w:lang w:val="es-ES_tradnl"/>
        </w:rPr>
      </w:pPr>
    </w:p>
    <w:tbl>
      <w:tblPr>
        <w:tblStyle w:val="Tablaconcuadrcula"/>
        <w:tblW w:w="9158" w:type="dxa"/>
        <w:jc w:val="center"/>
        <w:tblLook w:val="04A0" w:firstRow="1" w:lastRow="0" w:firstColumn="1" w:lastColumn="0" w:noHBand="0" w:noVBand="1"/>
      </w:tblPr>
      <w:tblGrid>
        <w:gridCol w:w="1123"/>
        <w:gridCol w:w="1202"/>
        <w:gridCol w:w="1403"/>
        <w:gridCol w:w="1443"/>
        <w:gridCol w:w="1514"/>
        <w:gridCol w:w="1550"/>
        <w:gridCol w:w="923"/>
      </w:tblGrid>
      <w:tr w:rsidR="00C007DD" w:rsidRPr="00D6012A" w14:paraId="3C680F18" w14:textId="77777777" w:rsidTr="00385228">
        <w:trPr>
          <w:trHeight w:val="96"/>
          <w:jc w:val="center"/>
        </w:trPr>
        <w:tc>
          <w:tcPr>
            <w:tcW w:w="1123" w:type="dxa"/>
            <w:shd w:val="clear" w:color="auto" w:fill="00B050"/>
            <w:vAlign w:val="center"/>
          </w:tcPr>
          <w:p w14:paraId="0F4FE82D" w14:textId="77DF510D" w:rsidR="003E07CF" w:rsidRPr="00D6012A" w:rsidRDefault="00C007DD" w:rsidP="003E07CF">
            <w:pPr>
              <w:spacing w:after="0"/>
              <w:jc w:val="center"/>
              <w:rPr>
                <w:rFonts w:ascii="Times New Roman" w:hAnsi="Times New Roman"/>
                <w:b/>
                <w:color w:val="FFFFFF" w:themeColor="background1"/>
              </w:rPr>
            </w:pPr>
            <w:r w:rsidRPr="00D6012A">
              <w:rPr>
                <w:rFonts w:ascii="Times New Roman" w:hAnsi="Times New Roman"/>
                <w:b/>
                <w:color w:val="FFFFFF" w:themeColor="background1"/>
              </w:rPr>
              <w:t>Cultivos</w:t>
            </w:r>
          </w:p>
        </w:tc>
        <w:tc>
          <w:tcPr>
            <w:tcW w:w="1202" w:type="dxa"/>
            <w:shd w:val="clear" w:color="auto" w:fill="00B050"/>
            <w:vAlign w:val="center"/>
          </w:tcPr>
          <w:p w14:paraId="078AC1FF" w14:textId="1F98AF01" w:rsidR="003E07CF" w:rsidRPr="00D6012A" w:rsidRDefault="003E07CF" w:rsidP="003E07CF">
            <w:pPr>
              <w:spacing w:after="0"/>
              <w:jc w:val="center"/>
              <w:rPr>
                <w:rFonts w:ascii="Times New Roman" w:hAnsi="Times New Roman"/>
                <w:b/>
                <w:color w:val="FFFFFF" w:themeColor="background1"/>
              </w:rPr>
            </w:pPr>
            <w:r w:rsidRPr="00D6012A">
              <w:rPr>
                <w:rFonts w:ascii="Times New Roman" w:hAnsi="Times New Roman"/>
                <w:b/>
                <w:color w:val="FFFFFF" w:themeColor="background1"/>
              </w:rPr>
              <w:t>Meta 2019</w:t>
            </w:r>
          </w:p>
        </w:tc>
        <w:tc>
          <w:tcPr>
            <w:tcW w:w="1403" w:type="dxa"/>
            <w:shd w:val="clear" w:color="auto" w:fill="00B050"/>
            <w:vAlign w:val="center"/>
          </w:tcPr>
          <w:p w14:paraId="7140F73A" w14:textId="3FE6EC2B" w:rsidR="003E07CF" w:rsidRPr="00D6012A" w:rsidRDefault="003E07CF" w:rsidP="003E07CF">
            <w:pPr>
              <w:spacing w:after="0"/>
              <w:jc w:val="center"/>
              <w:rPr>
                <w:rFonts w:ascii="Times New Roman" w:hAnsi="Times New Roman"/>
                <w:b/>
                <w:color w:val="FFFFFF" w:themeColor="background1"/>
              </w:rPr>
            </w:pPr>
            <w:r w:rsidRPr="00D6012A">
              <w:rPr>
                <w:rFonts w:ascii="Times New Roman" w:hAnsi="Times New Roman"/>
                <w:b/>
                <w:color w:val="FFFFFF" w:themeColor="background1"/>
              </w:rPr>
              <w:t>Meta alcanzada</w:t>
            </w:r>
            <w:r w:rsidRPr="00D6012A">
              <w:rPr>
                <w:rStyle w:val="Refdenotaalpie"/>
                <w:rFonts w:ascii="Times New Roman" w:hAnsi="Times New Roman"/>
                <w:b/>
                <w:color w:val="FFFFFF" w:themeColor="background1"/>
              </w:rPr>
              <w:footnoteReference w:id="12"/>
            </w:r>
            <w:r w:rsidRPr="00D6012A">
              <w:rPr>
                <w:rFonts w:ascii="Times New Roman" w:hAnsi="Times New Roman"/>
                <w:b/>
                <w:color w:val="FFFFFF" w:themeColor="background1"/>
              </w:rPr>
              <w:t xml:space="preserve"> </w:t>
            </w:r>
          </w:p>
        </w:tc>
        <w:tc>
          <w:tcPr>
            <w:tcW w:w="1443" w:type="dxa"/>
            <w:shd w:val="clear" w:color="auto" w:fill="00B050"/>
            <w:vAlign w:val="center"/>
          </w:tcPr>
          <w:p w14:paraId="6459509F" w14:textId="355CBBAC" w:rsidR="003E07CF" w:rsidRPr="00D6012A" w:rsidRDefault="00C007DD" w:rsidP="00C007DD">
            <w:pPr>
              <w:spacing w:after="0"/>
              <w:jc w:val="center"/>
              <w:rPr>
                <w:rFonts w:ascii="Times New Roman" w:hAnsi="Times New Roman"/>
                <w:b/>
                <w:color w:val="FFFFFF" w:themeColor="background1"/>
              </w:rPr>
            </w:pPr>
            <w:r w:rsidRPr="00D6012A">
              <w:rPr>
                <w:rFonts w:ascii="Times New Roman" w:hAnsi="Times New Roman"/>
                <w:b/>
                <w:color w:val="FFFFFF" w:themeColor="background1"/>
              </w:rPr>
              <w:t>Plantas Sembradas</w:t>
            </w:r>
          </w:p>
        </w:tc>
        <w:tc>
          <w:tcPr>
            <w:tcW w:w="1514" w:type="dxa"/>
            <w:shd w:val="clear" w:color="auto" w:fill="00B050"/>
            <w:vAlign w:val="center"/>
          </w:tcPr>
          <w:p w14:paraId="5176DAF9" w14:textId="72BCEE5B" w:rsidR="003E07CF" w:rsidRPr="00D6012A" w:rsidRDefault="003E07CF" w:rsidP="00C007DD">
            <w:pPr>
              <w:spacing w:after="0"/>
              <w:jc w:val="center"/>
              <w:rPr>
                <w:rFonts w:ascii="Times New Roman" w:hAnsi="Times New Roman"/>
                <w:b/>
                <w:color w:val="FFFFFF" w:themeColor="background1"/>
              </w:rPr>
            </w:pPr>
            <w:r w:rsidRPr="00D6012A">
              <w:rPr>
                <w:rFonts w:ascii="Times New Roman" w:hAnsi="Times New Roman"/>
                <w:b/>
                <w:color w:val="FFFFFF" w:themeColor="background1"/>
              </w:rPr>
              <w:t xml:space="preserve">Tareas Intervenidas </w:t>
            </w:r>
          </w:p>
        </w:tc>
        <w:tc>
          <w:tcPr>
            <w:tcW w:w="1550" w:type="dxa"/>
            <w:shd w:val="clear" w:color="auto" w:fill="00B050"/>
            <w:vAlign w:val="center"/>
          </w:tcPr>
          <w:p w14:paraId="57BB5BEC" w14:textId="77777777" w:rsidR="003E07CF" w:rsidRPr="00D6012A" w:rsidRDefault="003E07CF" w:rsidP="003E07CF">
            <w:pPr>
              <w:spacing w:after="0"/>
              <w:jc w:val="center"/>
              <w:rPr>
                <w:rFonts w:ascii="Times New Roman" w:hAnsi="Times New Roman"/>
                <w:b/>
                <w:color w:val="FFFFFF" w:themeColor="background1"/>
              </w:rPr>
            </w:pPr>
            <w:r w:rsidRPr="00D6012A">
              <w:rPr>
                <w:rFonts w:ascii="Times New Roman" w:hAnsi="Times New Roman"/>
                <w:b/>
                <w:color w:val="FFFFFF" w:themeColor="background1"/>
              </w:rPr>
              <w:t>Beneficiarios por cultivo</w:t>
            </w:r>
          </w:p>
        </w:tc>
        <w:tc>
          <w:tcPr>
            <w:tcW w:w="923" w:type="dxa"/>
            <w:shd w:val="clear" w:color="auto" w:fill="00B050"/>
            <w:vAlign w:val="center"/>
          </w:tcPr>
          <w:p w14:paraId="6255AAB3" w14:textId="77777777" w:rsidR="00C007DD" w:rsidRPr="00D6012A" w:rsidRDefault="003E07CF" w:rsidP="003E07CF">
            <w:pPr>
              <w:spacing w:after="0"/>
              <w:jc w:val="center"/>
              <w:rPr>
                <w:rFonts w:ascii="Times New Roman" w:hAnsi="Times New Roman"/>
                <w:b/>
                <w:color w:val="FFFFFF" w:themeColor="background1"/>
              </w:rPr>
            </w:pPr>
            <w:r w:rsidRPr="00D6012A">
              <w:rPr>
                <w:rFonts w:ascii="Times New Roman" w:hAnsi="Times New Roman"/>
                <w:b/>
                <w:color w:val="FFFFFF" w:themeColor="background1"/>
              </w:rPr>
              <w:t xml:space="preserve">% </w:t>
            </w:r>
          </w:p>
          <w:p w14:paraId="49C241ED" w14:textId="1A87AF1D" w:rsidR="003E07CF" w:rsidRPr="00D6012A" w:rsidRDefault="003E07CF" w:rsidP="003E07CF">
            <w:pPr>
              <w:spacing w:after="0"/>
              <w:jc w:val="center"/>
              <w:rPr>
                <w:rFonts w:ascii="Times New Roman" w:hAnsi="Times New Roman"/>
                <w:b/>
                <w:color w:val="FFFFFF" w:themeColor="background1"/>
              </w:rPr>
            </w:pPr>
            <w:r w:rsidRPr="00D6012A">
              <w:rPr>
                <w:rFonts w:ascii="Times New Roman" w:hAnsi="Times New Roman"/>
                <w:b/>
                <w:color w:val="FFFFFF" w:themeColor="background1"/>
              </w:rPr>
              <w:t>avance</w:t>
            </w:r>
          </w:p>
        </w:tc>
      </w:tr>
      <w:tr w:rsidR="00C007DD" w:rsidRPr="00D6012A" w14:paraId="1F0412CB" w14:textId="77777777" w:rsidTr="00385228">
        <w:trPr>
          <w:trHeight w:val="263"/>
          <w:jc w:val="center"/>
        </w:trPr>
        <w:tc>
          <w:tcPr>
            <w:tcW w:w="1123" w:type="dxa"/>
            <w:vAlign w:val="center"/>
          </w:tcPr>
          <w:p w14:paraId="7F17D811" w14:textId="75496DA3" w:rsidR="003E07CF" w:rsidRPr="00D6012A" w:rsidRDefault="003E07CF" w:rsidP="003E07CF">
            <w:pPr>
              <w:spacing w:after="0"/>
              <w:jc w:val="center"/>
              <w:rPr>
                <w:rFonts w:ascii="Times New Roman" w:hAnsi="Times New Roman"/>
              </w:rPr>
            </w:pPr>
            <w:r w:rsidRPr="00D6012A">
              <w:rPr>
                <w:rFonts w:ascii="Times New Roman" w:hAnsi="Times New Roman"/>
              </w:rPr>
              <w:t>Café</w:t>
            </w:r>
          </w:p>
        </w:tc>
        <w:tc>
          <w:tcPr>
            <w:tcW w:w="1202" w:type="dxa"/>
            <w:vAlign w:val="center"/>
          </w:tcPr>
          <w:p w14:paraId="50C907E6" w14:textId="77777777" w:rsidR="003E07CF" w:rsidRPr="00D6012A" w:rsidRDefault="003E07CF" w:rsidP="003E07CF">
            <w:pPr>
              <w:spacing w:after="0"/>
              <w:jc w:val="center"/>
              <w:rPr>
                <w:rFonts w:ascii="Times New Roman" w:hAnsi="Times New Roman"/>
              </w:rPr>
            </w:pPr>
            <w:r w:rsidRPr="00D6012A">
              <w:rPr>
                <w:rFonts w:ascii="Times New Roman" w:hAnsi="Times New Roman"/>
              </w:rPr>
              <w:t>62,381</w:t>
            </w:r>
          </w:p>
        </w:tc>
        <w:tc>
          <w:tcPr>
            <w:tcW w:w="1403" w:type="dxa"/>
            <w:vAlign w:val="center"/>
          </w:tcPr>
          <w:p w14:paraId="4B40E8FB" w14:textId="77777777" w:rsidR="003E07CF" w:rsidRPr="00D6012A" w:rsidRDefault="003E07CF" w:rsidP="003E07CF">
            <w:pPr>
              <w:spacing w:after="0"/>
              <w:jc w:val="center"/>
              <w:rPr>
                <w:rFonts w:ascii="Times New Roman" w:hAnsi="Times New Roman"/>
              </w:rPr>
            </w:pPr>
            <w:r w:rsidRPr="00D6012A">
              <w:rPr>
                <w:rFonts w:ascii="Times New Roman" w:hAnsi="Times New Roman"/>
              </w:rPr>
              <w:t>62,404</w:t>
            </w:r>
          </w:p>
        </w:tc>
        <w:tc>
          <w:tcPr>
            <w:tcW w:w="1443" w:type="dxa"/>
            <w:vAlign w:val="center"/>
          </w:tcPr>
          <w:p w14:paraId="1436CAA4" w14:textId="77777777" w:rsidR="003E07CF" w:rsidRPr="00D6012A" w:rsidRDefault="003E07CF" w:rsidP="003E07CF">
            <w:pPr>
              <w:spacing w:after="0"/>
              <w:jc w:val="center"/>
              <w:rPr>
                <w:rFonts w:ascii="Times New Roman" w:hAnsi="Times New Roman"/>
              </w:rPr>
            </w:pPr>
            <w:r w:rsidRPr="00D6012A">
              <w:rPr>
                <w:rFonts w:ascii="Times New Roman" w:hAnsi="Times New Roman"/>
              </w:rPr>
              <w:t>43,043,448</w:t>
            </w:r>
          </w:p>
        </w:tc>
        <w:tc>
          <w:tcPr>
            <w:tcW w:w="1514" w:type="dxa"/>
            <w:vAlign w:val="center"/>
          </w:tcPr>
          <w:p w14:paraId="1508A6CF" w14:textId="77777777" w:rsidR="003E07CF" w:rsidRPr="00D6012A" w:rsidRDefault="003E07CF" w:rsidP="003E07CF">
            <w:pPr>
              <w:spacing w:after="0"/>
              <w:jc w:val="center"/>
              <w:rPr>
                <w:rFonts w:ascii="Times New Roman" w:hAnsi="Times New Roman"/>
                <w:color w:val="000000"/>
              </w:rPr>
            </w:pPr>
            <w:r w:rsidRPr="00D6012A">
              <w:rPr>
                <w:rFonts w:ascii="Times New Roman" w:hAnsi="Times New Roman"/>
                <w:color w:val="000000"/>
              </w:rPr>
              <w:t>179,517</w:t>
            </w:r>
          </w:p>
        </w:tc>
        <w:tc>
          <w:tcPr>
            <w:tcW w:w="1550" w:type="dxa"/>
            <w:vAlign w:val="center"/>
          </w:tcPr>
          <w:p w14:paraId="07F413A4" w14:textId="77777777" w:rsidR="003E07CF" w:rsidRPr="00D6012A" w:rsidRDefault="003E07CF" w:rsidP="003E07CF">
            <w:pPr>
              <w:spacing w:after="0"/>
              <w:jc w:val="center"/>
              <w:rPr>
                <w:rFonts w:ascii="Times New Roman" w:hAnsi="Times New Roman"/>
                <w:color w:val="000000"/>
              </w:rPr>
            </w:pPr>
            <w:r w:rsidRPr="00D6012A">
              <w:rPr>
                <w:rFonts w:ascii="Times New Roman" w:hAnsi="Times New Roman"/>
                <w:color w:val="000000"/>
              </w:rPr>
              <w:t>7,123</w:t>
            </w:r>
          </w:p>
        </w:tc>
        <w:tc>
          <w:tcPr>
            <w:tcW w:w="923" w:type="dxa"/>
            <w:vAlign w:val="center"/>
          </w:tcPr>
          <w:p w14:paraId="39A23626" w14:textId="77777777" w:rsidR="003E07CF" w:rsidRPr="00D6012A" w:rsidRDefault="003E07CF" w:rsidP="003E07CF">
            <w:pPr>
              <w:spacing w:after="0"/>
              <w:jc w:val="center"/>
              <w:rPr>
                <w:rFonts w:ascii="Times New Roman" w:hAnsi="Times New Roman"/>
                <w:color w:val="000000"/>
              </w:rPr>
            </w:pPr>
            <w:r w:rsidRPr="00D6012A">
              <w:rPr>
                <w:rFonts w:ascii="Times New Roman" w:hAnsi="Times New Roman"/>
                <w:color w:val="000000"/>
              </w:rPr>
              <w:t>100%</w:t>
            </w:r>
          </w:p>
        </w:tc>
      </w:tr>
      <w:tr w:rsidR="00C007DD" w:rsidRPr="00D6012A" w14:paraId="617B64DB" w14:textId="77777777" w:rsidTr="00385228">
        <w:trPr>
          <w:trHeight w:val="263"/>
          <w:jc w:val="center"/>
        </w:trPr>
        <w:tc>
          <w:tcPr>
            <w:tcW w:w="1123" w:type="dxa"/>
            <w:vAlign w:val="center"/>
          </w:tcPr>
          <w:p w14:paraId="7A51B80E" w14:textId="77777777" w:rsidR="003E07CF" w:rsidRPr="00D6012A" w:rsidRDefault="003E07CF" w:rsidP="003E07CF">
            <w:pPr>
              <w:spacing w:after="0"/>
              <w:jc w:val="center"/>
              <w:rPr>
                <w:rFonts w:ascii="Times New Roman" w:hAnsi="Times New Roman"/>
              </w:rPr>
            </w:pPr>
            <w:r w:rsidRPr="00D6012A">
              <w:rPr>
                <w:rFonts w:ascii="Times New Roman" w:hAnsi="Times New Roman"/>
              </w:rPr>
              <w:t>Aguacate</w:t>
            </w:r>
          </w:p>
        </w:tc>
        <w:tc>
          <w:tcPr>
            <w:tcW w:w="1202" w:type="dxa"/>
            <w:vAlign w:val="center"/>
          </w:tcPr>
          <w:p w14:paraId="2C0EE7C6" w14:textId="77777777" w:rsidR="003E07CF" w:rsidRPr="00D6012A" w:rsidRDefault="003E07CF" w:rsidP="003E07CF">
            <w:pPr>
              <w:spacing w:after="0"/>
              <w:jc w:val="center"/>
              <w:rPr>
                <w:rFonts w:ascii="Times New Roman" w:hAnsi="Times New Roman"/>
              </w:rPr>
            </w:pPr>
            <w:r w:rsidRPr="00D6012A">
              <w:rPr>
                <w:rFonts w:ascii="Times New Roman" w:hAnsi="Times New Roman"/>
              </w:rPr>
              <w:t>28,464</w:t>
            </w:r>
          </w:p>
        </w:tc>
        <w:tc>
          <w:tcPr>
            <w:tcW w:w="1403" w:type="dxa"/>
            <w:vAlign w:val="center"/>
          </w:tcPr>
          <w:p w14:paraId="52DE65FA" w14:textId="77777777" w:rsidR="003E07CF" w:rsidRPr="00D6012A" w:rsidRDefault="003E07CF" w:rsidP="003E07CF">
            <w:pPr>
              <w:spacing w:after="0"/>
              <w:jc w:val="center"/>
              <w:rPr>
                <w:rFonts w:ascii="Times New Roman" w:hAnsi="Times New Roman"/>
              </w:rPr>
            </w:pPr>
            <w:r w:rsidRPr="00D6012A">
              <w:rPr>
                <w:rFonts w:ascii="Times New Roman" w:hAnsi="Times New Roman"/>
              </w:rPr>
              <w:t>14,945</w:t>
            </w:r>
          </w:p>
        </w:tc>
        <w:tc>
          <w:tcPr>
            <w:tcW w:w="1443" w:type="dxa"/>
            <w:vAlign w:val="center"/>
          </w:tcPr>
          <w:p w14:paraId="38FB19DD" w14:textId="77777777" w:rsidR="003E07CF" w:rsidRPr="00D6012A" w:rsidRDefault="003E07CF" w:rsidP="003E07CF">
            <w:pPr>
              <w:spacing w:after="0"/>
              <w:jc w:val="center"/>
              <w:rPr>
                <w:rFonts w:ascii="Times New Roman" w:hAnsi="Times New Roman"/>
              </w:rPr>
            </w:pPr>
            <w:r w:rsidRPr="00D6012A">
              <w:rPr>
                <w:rFonts w:ascii="Times New Roman" w:hAnsi="Times New Roman"/>
              </w:rPr>
              <w:t>838,627</w:t>
            </w:r>
          </w:p>
        </w:tc>
        <w:tc>
          <w:tcPr>
            <w:tcW w:w="1514" w:type="dxa"/>
            <w:vAlign w:val="center"/>
          </w:tcPr>
          <w:p w14:paraId="141BF84C" w14:textId="77777777" w:rsidR="003E07CF" w:rsidRPr="00D6012A" w:rsidRDefault="003E07CF" w:rsidP="003E07CF">
            <w:pPr>
              <w:spacing w:after="0"/>
              <w:jc w:val="center"/>
              <w:rPr>
                <w:rFonts w:ascii="Times New Roman" w:hAnsi="Times New Roman"/>
                <w:color w:val="000000"/>
              </w:rPr>
            </w:pPr>
            <w:r w:rsidRPr="00D6012A">
              <w:rPr>
                <w:rFonts w:ascii="Times New Roman" w:hAnsi="Times New Roman"/>
                <w:color w:val="000000"/>
              </w:rPr>
              <w:t>55,908</w:t>
            </w:r>
          </w:p>
        </w:tc>
        <w:tc>
          <w:tcPr>
            <w:tcW w:w="1550" w:type="dxa"/>
            <w:vAlign w:val="center"/>
          </w:tcPr>
          <w:p w14:paraId="10113A41" w14:textId="77777777" w:rsidR="003E07CF" w:rsidRPr="00D6012A" w:rsidRDefault="003E07CF" w:rsidP="003E07CF">
            <w:pPr>
              <w:spacing w:after="0"/>
              <w:jc w:val="center"/>
              <w:rPr>
                <w:rFonts w:ascii="Times New Roman" w:hAnsi="Times New Roman"/>
                <w:color w:val="000000"/>
              </w:rPr>
            </w:pPr>
            <w:r w:rsidRPr="00D6012A">
              <w:rPr>
                <w:rFonts w:ascii="Times New Roman" w:hAnsi="Times New Roman"/>
                <w:color w:val="000000"/>
              </w:rPr>
              <w:t>2,771</w:t>
            </w:r>
          </w:p>
        </w:tc>
        <w:tc>
          <w:tcPr>
            <w:tcW w:w="923" w:type="dxa"/>
            <w:vAlign w:val="center"/>
          </w:tcPr>
          <w:p w14:paraId="7FF47D64" w14:textId="77777777" w:rsidR="003E07CF" w:rsidRPr="00D6012A" w:rsidRDefault="003E07CF" w:rsidP="003E07CF">
            <w:pPr>
              <w:spacing w:after="0"/>
              <w:jc w:val="center"/>
              <w:rPr>
                <w:rFonts w:ascii="Times New Roman" w:hAnsi="Times New Roman"/>
                <w:color w:val="000000"/>
              </w:rPr>
            </w:pPr>
            <w:r w:rsidRPr="00D6012A">
              <w:rPr>
                <w:rFonts w:ascii="Times New Roman" w:hAnsi="Times New Roman"/>
                <w:color w:val="000000"/>
              </w:rPr>
              <w:t>52%</w:t>
            </w:r>
          </w:p>
        </w:tc>
      </w:tr>
      <w:tr w:rsidR="00C007DD" w:rsidRPr="00D6012A" w14:paraId="51442313" w14:textId="77777777" w:rsidTr="00385228">
        <w:trPr>
          <w:trHeight w:val="273"/>
          <w:jc w:val="center"/>
        </w:trPr>
        <w:tc>
          <w:tcPr>
            <w:tcW w:w="1123" w:type="dxa"/>
            <w:vAlign w:val="center"/>
          </w:tcPr>
          <w:p w14:paraId="55D90564" w14:textId="77777777" w:rsidR="003E07CF" w:rsidRPr="00D6012A" w:rsidRDefault="003E07CF" w:rsidP="003E07CF">
            <w:pPr>
              <w:spacing w:after="0"/>
              <w:jc w:val="center"/>
              <w:rPr>
                <w:rFonts w:ascii="Times New Roman" w:hAnsi="Times New Roman"/>
              </w:rPr>
            </w:pPr>
            <w:r w:rsidRPr="00D6012A">
              <w:rPr>
                <w:rFonts w:ascii="Times New Roman" w:hAnsi="Times New Roman"/>
              </w:rPr>
              <w:t>Cacao</w:t>
            </w:r>
          </w:p>
        </w:tc>
        <w:tc>
          <w:tcPr>
            <w:tcW w:w="1202" w:type="dxa"/>
            <w:vAlign w:val="center"/>
          </w:tcPr>
          <w:p w14:paraId="01B0B362" w14:textId="77777777" w:rsidR="003E07CF" w:rsidRPr="00D6012A" w:rsidRDefault="003E07CF" w:rsidP="003E07CF">
            <w:pPr>
              <w:spacing w:after="0"/>
              <w:jc w:val="center"/>
              <w:rPr>
                <w:rFonts w:ascii="Times New Roman" w:hAnsi="Times New Roman"/>
              </w:rPr>
            </w:pPr>
            <w:r w:rsidRPr="00D6012A">
              <w:rPr>
                <w:rFonts w:ascii="Times New Roman" w:hAnsi="Times New Roman"/>
              </w:rPr>
              <w:t>14,076</w:t>
            </w:r>
          </w:p>
        </w:tc>
        <w:tc>
          <w:tcPr>
            <w:tcW w:w="1403" w:type="dxa"/>
            <w:vAlign w:val="center"/>
          </w:tcPr>
          <w:p w14:paraId="72DE7936" w14:textId="77777777" w:rsidR="003E07CF" w:rsidRPr="00D6012A" w:rsidRDefault="003E07CF" w:rsidP="003E07CF">
            <w:pPr>
              <w:spacing w:after="0"/>
              <w:jc w:val="center"/>
              <w:rPr>
                <w:rFonts w:ascii="Times New Roman" w:hAnsi="Times New Roman"/>
              </w:rPr>
            </w:pPr>
            <w:r w:rsidRPr="00D6012A">
              <w:rPr>
                <w:rFonts w:ascii="Times New Roman" w:hAnsi="Times New Roman"/>
              </w:rPr>
              <w:t>5,493</w:t>
            </w:r>
          </w:p>
        </w:tc>
        <w:tc>
          <w:tcPr>
            <w:tcW w:w="1443" w:type="dxa"/>
            <w:vAlign w:val="center"/>
          </w:tcPr>
          <w:p w14:paraId="5BDCF8D1" w14:textId="77777777" w:rsidR="003E07CF" w:rsidRPr="00D6012A" w:rsidRDefault="003E07CF" w:rsidP="003E07CF">
            <w:pPr>
              <w:spacing w:after="0"/>
              <w:jc w:val="center"/>
              <w:rPr>
                <w:rFonts w:ascii="Times New Roman" w:hAnsi="Times New Roman"/>
                <w:color w:val="000000"/>
              </w:rPr>
            </w:pPr>
            <w:r w:rsidRPr="00D6012A">
              <w:rPr>
                <w:rFonts w:ascii="Times New Roman" w:hAnsi="Times New Roman"/>
                <w:color w:val="000000"/>
              </w:rPr>
              <w:t>330,906</w:t>
            </w:r>
          </w:p>
        </w:tc>
        <w:tc>
          <w:tcPr>
            <w:tcW w:w="1514" w:type="dxa"/>
            <w:vAlign w:val="center"/>
          </w:tcPr>
          <w:p w14:paraId="47423F92" w14:textId="77777777" w:rsidR="003E07CF" w:rsidRPr="00D6012A" w:rsidRDefault="003E07CF" w:rsidP="003E07CF">
            <w:pPr>
              <w:spacing w:after="0"/>
              <w:jc w:val="center"/>
              <w:rPr>
                <w:rFonts w:ascii="Times New Roman" w:hAnsi="Times New Roman"/>
                <w:color w:val="000000"/>
              </w:rPr>
            </w:pPr>
            <w:r w:rsidRPr="00D6012A">
              <w:rPr>
                <w:rFonts w:ascii="Times New Roman" w:hAnsi="Times New Roman"/>
                <w:color w:val="000000"/>
              </w:rPr>
              <w:t>6,594</w:t>
            </w:r>
          </w:p>
        </w:tc>
        <w:tc>
          <w:tcPr>
            <w:tcW w:w="1550" w:type="dxa"/>
            <w:vAlign w:val="center"/>
          </w:tcPr>
          <w:p w14:paraId="538D8F1E" w14:textId="77777777" w:rsidR="003E07CF" w:rsidRPr="00D6012A" w:rsidRDefault="003E07CF" w:rsidP="003E07CF">
            <w:pPr>
              <w:spacing w:after="0"/>
              <w:jc w:val="center"/>
              <w:rPr>
                <w:rFonts w:ascii="Times New Roman" w:hAnsi="Times New Roman"/>
                <w:color w:val="000000"/>
              </w:rPr>
            </w:pPr>
            <w:r w:rsidRPr="00D6012A">
              <w:rPr>
                <w:rFonts w:ascii="Times New Roman" w:hAnsi="Times New Roman"/>
                <w:color w:val="000000"/>
              </w:rPr>
              <w:t>381</w:t>
            </w:r>
          </w:p>
        </w:tc>
        <w:tc>
          <w:tcPr>
            <w:tcW w:w="923" w:type="dxa"/>
            <w:vAlign w:val="center"/>
          </w:tcPr>
          <w:p w14:paraId="78B84BE2" w14:textId="77777777" w:rsidR="003E07CF" w:rsidRPr="00D6012A" w:rsidRDefault="003E07CF" w:rsidP="003E07CF">
            <w:pPr>
              <w:spacing w:after="0"/>
              <w:jc w:val="center"/>
              <w:rPr>
                <w:rFonts w:ascii="Times New Roman" w:hAnsi="Times New Roman"/>
                <w:color w:val="000000"/>
              </w:rPr>
            </w:pPr>
            <w:r w:rsidRPr="00D6012A">
              <w:rPr>
                <w:rFonts w:ascii="Times New Roman" w:hAnsi="Times New Roman"/>
                <w:color w:val="000000"/>
              </w:rPr>
              <w:t>39%</w:t>
            </w:r>
          </w:p>
        </w:tc>
      </w:tr>
      <w:tr w:rsidR="00C007DD" w:rsidRPr="00D6012A" w14:paraId="70DDB25F" w14:textId="77777777" w:rsidTr="00385228">
        <w:trPr>
          <w:trHeight w:val="273"/>
          <w:jc w:val="center"/>
        </w:trPr>
        <w:tc>
          <w:tcPr>
            <w:tcW w:w="1123" w:type="dxa"/>
            <w:vAlign w:val="center"/>
          </w:tcPr>
          <w:p w14:paraId="3E02610D" w14:textId="77777777" w:rsidR="003E07CF" w:rsidRPr="00D6012A" w:rsidRDefault="003E07CF" w:rsidP="003E07CF">
            <w:pPr>
              <w:spacing w:after="0"/>
              <w:jc w:val="center"/>
              <w:rPr>
                <w:rFonts w:ascii="Times New Roman" w:hAnsi="Times New Roman"/>
              </w:rPr>
            </w:pPr>
            <w:r w:rsidRPr="00D6012A">
              <w:rPr>
                <w:rFonts w:ascii="Times New Roman" w:hAnsi="Times New Roman"/>
              </w:rPr>
              <w:t>Mango</w:t>
            </w:r>
          </w:p>
        </w:tc>
        <w:tc>
          <w:tcPr>
            <w:tcW w:w="1202" w:type="dxa"/>
            <w:vAlign w:val="center"/>
          </w:tcPr>
          <w:p w14:paraId="7C51FEB2" w14:textId="77777777" w:rsidR="003E07CF" w:rsidRPr="00D6012A" w:rsidRDefault="003E07CF" w:rsidP="003E07CF">
            <w:pPr>
              <w:spacing w:after="0"/>
              <w:jc w:val="center"/>
              <w:rPr>
                <w:rFonts w:ascii="Times New Roman" w:hAnsi="Times New Roman"/>
              </w:rPr>
            </w:pPr>
            <w:r w:rsidRPr="00D6012A">
              <w:rPr>
                <w:rFonts w:ascii="Times New Roman" w:hAnsi="Times New Roman"/>
              </w:rPr>
              <w:t>600</w:t>
            </w:r>
          </w:p>
        </w:tc>
        <w:tc>
          <w:tcPr>
            <w:tcW w:w="1403" w:type="dxa"/>
            <w:vAlign w:val="center"/>
          </w:tcPr>
          <w:p w14:paraId="70A4DDBC" w14:textId="77777777" w:rsidR="003E07CF" w:rsidRPr="00D6012A" w:rsidRDefault="003E07CF" w:rsidP="003E07CF">
            <w:pPr>
              <w:spacing w:after="0"/>
              <w:jc w:val="center"/>
              <w:rPr>
                <w:rFonts w:ascii="Times New Roman" w:hAnsi="Times New Roman"/>
              </w:rPr>
            </w:pPr>
            <w:r w:rsidRPr="00D6012A">
              <w:rPr>
                <w:rFonts w:ascii="Times New Roman" w:hAnsi="Times New Roman"/>
              </w:rPr>
              <w:t>144</w:t>
            </w:r>
          </w:p>
        </w:tc>
        <w:tc>
          <w:tcPr>
            <w:tcW w:w="1443" w:type="dxa"/>
            <w:vAlign w:val="center"/>
          </w:tcPr>
          <w:p w14:paraId="7FDB64DD" w14:textId="77777777" w:rsidR="003E07CF" w:rsidRPr="00D6012A" w:rsidRDefault="003E07CF" w:rsidP="003E07CF">
            <w:pPr>
              <w:spacing w:after="0"/>
              <w:jc w:val="center"/>
              <w:rPr>
                <w:rFonts w:ascii="Times New Roman" w:hAnsi="Times New Roman"/>
              </w:rPr>
            </w:pPr>
            <w:r w:rsidRPr="00D6012A">
              <w:rPr>
                <w:rFonts w:ascii="Times New Roman" w:hAnsi="Times New Roman"/>
              </w:rPr>
              <w:t>16,143</w:t>
            </w:r>
          </w:p>
        </w:tc>
        <w:tc>
          <w:tcPr>
            <w:tcW w:w="1514" w:type="dxa"/>
            <w:vAlign w:val="center"/>
          </w:tcPr>
          <w:p w14:paraId="1EB95DF6" w14:textId="77777777" w:rsidR="003E07CF" w:rsidRPr="00D6012A" w:rsidRDefault="003E07CF" w:rsidP="003E07CF">
            <w:pPr>
              <w:spacing w:after="0"/>
              <w:jc w:val="center"/>
              <w:rPr>
                <w:rFonts w:ascii="Times New Roman" w:hAnsi="Times New Roman"/>
              </w:rPr>
            </w:pPr>
            <w:r w:rsidRPr="00D6012A">
              <w:rPr>
                <w:rFonts w:ascii="Times New Roman" w:hAnsi="Times New Roman"/>
              </w:rPr>
              <w:t>950</w:t>
            </w:r>
          </w:p>
        </w:tc>
        <w:tc>
          <w:tcPr>
            <w:tcW w:w="1550" w:type="dxa"/>
            <w:vAlign w:val="center"/>
          </w:tcPr>
          <w:p w14:paraId="48565A98" w14:textId="77777777" w:rsidR="003E07CF" w:rsidRPr="00D6012A" w:rsidRDefault="003E07CF" w:rsidP="003E07CF">
            <w:pPr>
              <w:spacing w:after="0"/>
              <w:jc w:val="center"/>
              <w:rPr>
                <w:rFonts w:ascii="Times New Roman" w:hAnsi="Times New Roman"/>
              </w:rPr>
            </w:pPr>
            <w:r w:rsidRPr="00D6012A">
              <w:rPr>
                <w:rFonts w:ascii="Times New Roman" w:hAnsi="Times New Roman"/>
              </w:rPr>
              <w:t>63</w:t>
            </w:r>
          </w:p>
        </w:tc>
        <w:tc>
          <w:tcPr>
            <w:tcW w:w="923" w:type="dxa"/>
            <w:vAlign w:val="center"/>
          </w:tcPr>
          <w:p w14:paraId="33DE43D9" w14:textId="77777777" w:rsidR="003E07CF" w:rsidRPr="00D6012A" w:rsidRDefault="003E07CF" w:rsidP="003E07CF">
            <w:pPr>
              <w:spacing w:after="0"/>
              <w:jc w:val="center"/>
              <w:rPr>
                <w:rFonts w:ascii="Times New Roman" w:hAnsi="Times New Roman"/>
                <w:color w:val="000000"/>
              </w:rPr>
            </w:pPr>
            <w:r w:rsidRPr="00D6012A">
              <w:rPr>
                <w:rFonts w:ascii="Times New Roman" w:hAnsi="Times New Roman"/>
              </w:rPr>
              <w:t>24%</w:t>
            </w:r>
          </w:p>
        </w:tc>
      </w:tr>
      <w:tr w:rsidR="00C007DD" w14:paraId="068B8233" w14:textId="77777777" w:rsidTr="00385228">
        <w:trPr>
          <w:trHeight w:val="96"/>
          <w:jc w:val="center"/>
        </w:trPr>
        <w:tc>
          <w:tcPr>
            <w:tcW w:w="1123" w:type="dxa"/>
            <w:shd w:val="clear" w:color="auto" w:fill="808080" w:themeFill="background1" w:themeFillShade="80"/>
            <w:vAlign w:val="center"/>
          </w:tcPr>
          <w:p w14:paraId="1641F9E2" w14:textId="2CE517F2" w:rsidR="003E07CF" w:rsidRPr="00CA5792" w:rsidRDefault="003E07CF" w:rsidP="003E07CF">
            <w:pPr>
              <w:spacing w:after="0"/>
              <w:jc w:val="center"/>
              <w:rPr>
                <w:rFonts w:ascii="Times New Roman" w:hAnsi="Times New Roman"/>
                <w:b/>
                <w:color w:val="FFFFFF" w:themeColor="background1"/>
              </w:rPr>
            </w:pPr>
            <w:r w:rsidRPr="00CA5792">
              <w:rPr>
                <w:rFonts w:ascii="Times New Roman" w:hAnsi="Times New Roman"/>
                <w:b/>
                <w:color w:val="FFFFFF" w:themeColor="background1"/>
              </w:rPr>
              <w:t>Total</w:t>
            </w:r>
          </w:p>
        </w:tc>
        <w:tc>
          <w:tcPr>
            <w:tcW w:w="1202" w:type="dxa"/>
            <w:shd w:val="clear" w:color="auto" w:fill="808080" w:themeFill="background1" w:themeFillShade="80"/>
            <w:vAlign w:val="center"/>
          </w:tcPr>
          <w:p w14:paraId="5DD5A3AA" w14:textId="77777777" w:rsidR="003E07CF" w:rsidRPr="00CA5792" w:rsidRDefault="003E07CF" w:rsidP="003E07CF">
            <w:pPr>
              <w:spacing w:after="0"/>
              <w:jc w:val="center"/>
              <w:rPr>
                <w:rFonts w:ascii="Times New Roman" w:hAnsi="Times New Roman"/>
                <w:b/>
                <w:bCs/>
                <w:color w:val="FFFFFF" w:themeColor="background1"/>
              </w:rPr>
            </w:pPr>
            <w:r w:rsidRPr="00CA5792">
              <w:rPr>
                <w:rFonts w:ascii="Times New Roman" w:hAnsi="Times New Roman"/>
                <w:b/>
                <w:bCs/>
                <w:color w:val="FFFFFF" w:themeColor="background1"/>
              </w:rPr>
              <w:t>105,521</w:t>
            </w:r>
          </w:p>
        </w:tc>
        <w:tc>
          <w:tcPr>
            <w:tcW w:w="1403" w:type="dxa"/>
            <w:shd w:val="clear" w:color="auto" w:fill="808080" w:themeFill="background1" w:themeFillShade="80"/>
            <w:vAlign w:val="center"/>
          </w:tcPr>
          <w:p w14:paraId="2D250DDB" w14:textId="77777777" w:rsidR="003E07CF" w:rsidRPr="00CA5792" w:rsidRDefault="003E07CF" w:rsidP="003E07CF">
            <w:pPr>
              <w:spacing w:after="0"/>
              <w:jc w:val="center"/>
              <w:rPr>
                <w:rFonts w:ascii="Times New Roman" w:hAnsi="Times New Roman"/>
                <w:b/>
                <w:bCs/>
                <w:color w:val="FFFFFF" w:themeColor="background1"/>
              </w:rPr>
            </w:pPr>
            <w:r w:rsidRPr="00CA5792">
              <w:rPr>
                <w:rFonts w:ascii="Times New Roman" w:hAnsi="Times New Roman"/>
                <w:b/>
                <w:bCs/>
                <w:color w:val="FFFFFF" w:themeColor="background1"/>
              </w:rPr>
              <w:t>82,986</w:t>
            </w:r>
          </w:p>
        </w:tc>
        <w:tc>
          <w:tcPr>
            <w:tcW w:w="1443" w:type="dxa"/>
            <w:shd w:val="clear" w:color="auto" w:fill="808080" w:themeFill="background1" w:themeFillShade="80"/>
            <w:vAlign w:val="center"/>
          </w:tcPr>
          <w:p w14:paraId="410D7701" w14:textId="77777777" w:rsidR="003E07CF" w:rsidRPr="00CA5792" w:rsidRDefault="003E07CF" w:rsidP="003E07CF">
            <w:pPr>
              <w:spacing w:after="0"/>
              <w:jc w:val="center"/>
              <w:rPr>
                <w:rFonts w:ascii="Times New Roman" w:hAnsi="Times New Roman"/>
                <w:b/>
                <w:color w:val="FFFFFF" w:themeColor="background1"/>
              </w:rPr>
            </w:pPr>
            <w:r w:rsidRPr="00CA5792">
              <w:rPr>
                <w:rFonts w:ascii="Times New Roman" w:hAnsi="Times New Roman"/>
                <w:b/>
                <w:bCs/>
                <w:color w:val="FFFFFF" w:themeColor="background1"/>
              </w:rPr>
              <w:t>44,229,124</w:t>
            </w:r>
          </w:p>
        </w:tc>
        <w:tc>
          <w:tcPr>
            <w:tcW w:w="1514" w:type="dxa"/>
            <w:shd w:val="clear" w:color="auto" w:fill="808080" w:themeFill="background1" w:themeFillShade="80"/>
            <w:vAlign w:val="center"/>
          </w:tcPr>
          <w:p w14:paraId="2971E015" w14:textId="77777777" w:rsidR="003E07CF" w:rsidRPr="00CA5792" w:rsidRDefault="003E07CF" w:rsidP="003E07CF">
            <w:pPr>
              <w:spacing w:after="0"/>
              <w:jc w:val="center"/>
              <w:rPr>
                <w:rFonts w:ascii="Times New Roman" w:hAnsi="Times New Roman"/>
                <w:b/>
                <w:color w:val="FFFFFF" w:themeColor="background1"/>
              </w:rPr>
            </w:pPr>
            <w:r w:rsidRPr="00CA5792">
              <w:rPr>
                <w:rFonts w:ascii="Times New Roman" w:hAnsi="Times New Roman"/>
                <w:b/>
                <w:bCs/>
                <w:color w:val="FFFFFF" w:themeColor="background1"/>
              </w:rPr>
              <w:t>242,968</w:t>
            </w:r>
          </w:p>
        </w:tc>
        <w:tc>
          <w:tcPr>
            <w:tcW w:w="1550" w:type="dxa"/>
            <w:shd w:val="clear" w:color="auto" w:fill="808080" w:themeFill="background1" w:themeFillShade="80"/>
            <w:vAlign w:val="center"/>
          </w:tcPr>
          <w:p w14:paraId="08895EB3" w14:textId="77777777" w:rsidR="003E07CF" w:rsidRPr="00CA5792" w:rsidRDefault="003E07CF" w:rsidP="003E07CF">
            <w:pPr>
              <w:spacing w:after="0"/>
              <w:jc w:val="center"/>
              <w:rPr>
                <w:rFonts w:ascii="Times New Roman" w:hAnsi="Times New Roman"/>
                <w:b/>
                <w:color w:val="FFFFFF" w:themeColor="background1"/>
              </w:rPr>
            </w:pPr>
            <w:r w:rsidRPr="00CA5792">
              <w:rPr>
                <w:rFonts w:ascii="Times New Roman" w:hAnsi="Times New Roman"/>
                <w:b/>
                <w:bCs/>
                <w:color w:val="FFFFFF" w:themeColor="background1"/>
              </w:rPr>
              <w:t>10,338</w:t>
            </w:r>
          </w:p>
        </w:tc>
        <w:tc>
          <w:tcPr>
            <w:tcW w:w="923" w:type="dxa"/>
            <w:shd w:val="clear" w:color="auto" w:fill="808080" w:themeFill="background1" w:themeFillShade="80"/>
            <w:vAlign w:val="center"/>
          </w:tcPr>
          <w:p w14:paraId="140E6027" w14:textId="77777777" w:rsidR="003E07CF" w:rsidRPr="00CA5792" w:rsidRDefault="003E07CF" w:rsidP="003E07CF">
            <w:pPr>
              <w:spacing w:after="0"/>
              <w:jc w:val="center"/>
              <w:rPr>
                <w:rFonts w:ascii="Times New Roman" w:hAnsi="Times New Roman"/>
                <w:b/>
                <w:color w:val="FFFFFF" w:themeColor="background1"/>
              </w:rPr>
            </w:pPr>
            <w:r w:rsidRPr="00CA5792">
              <w:rPr>
                <w:rFonts w:ascii="Times New Roman" w:hAnsi="Times New Roman"/>
                <w:b/>
                <w:color w:val="FFFFFF" w:themeColor="background1"/>
              </w:rPr>
              <w:t>78%</w:t>
            </w:r>
          </w:p>
        </w:tc>
      </w:tr>
    </w:tbl>
    <w:p w14:paraId="1BB59ABD" w14:textId="026C7384" w:rsidR="00D6012A" w:rsidRDefault="00D6012A" w:rsidP="00680D76">
      <w:pPr>
        <w:spacing w:after="0" w:line="480" w:lineRule="auto"/>
        <w:rPr>
          <w:rFonts w:ascii="Times New Roman" w:hAnsi="Times New Roman"/>
        </w:rPr>
      </w:pPr>
    </w:p>
    <w:p w14:paraId="4C7EC364" w14:textId="774BD6E2" w:rsidR="00DA6BC8" w:rsidRDefault="00DA6BC8" w:rsidP="00DA6BC8">
      <w:pPr>
        <w:pStyle w:val="Ttulo3"/>
      </w:pPr>
      <w:bookmarkStart w:id="201" w:name="_Toc27146772"/>
      <w:r>
        <w:t>Apoyo a la producción sostenible de cultivos de vocación exportadora</w:t>
      </w:r>
      <w:bookmarkEnd w:id="201"/>
      <w:r>
        <w:t xml:space="preserve"> </w:t>
      </w:r>
    </w:p>
    <w:p w14:paraId="605420BC" w14:textId="15E6F858" w:rsidR="00DA6BC8" w:rsidRDefault="00DA6BC8" w:rsidP="00DA6BC8">
      <w:pPr>
        <w:spacing w:after="0" w:line="480" w:lineRule="auto"/>
        <w:ind w:left="284" w:firstLine="720"/>
        <w:jc w:val="both"/>
        <w:rPr>
          <w:rFonts w:ascii="Times New Roman" w:hAnsi="Times New Roman"/>
        </w:rPr>
      </w:pPr>
      <w:r>
        <w:rPr>
          <w:rFonts w:ascii="Times New Roman" w:hAnsi="Times New Roman"/>
        </w:rPr>
        <w:t>El Ministerio de agricultura, contribuye a dinamización la diversificación agropecuaria con vocación exportadora para incrementar la disponibilidad de alimentos, así como también los cultivos asociados beneficiosos al cultivo principal.</w:t>
      </w:r>
    </w:p>
    <w:p w14:paraId="58D20050" w14:textId="568C815B" w:rsidR="00DA6BC8" w:rsidRDefault="00DA6BC8" w:rsidP="00DA6BC8">
      <w:pPr>
        <w:spacing w:after="0" w:line="480" w:lineRule="auto"/>
        <w:ind w:left="284" w:firstLine="720"/>
        <w:jc w:val="both"/>
        <w:rPr>
          <w:rFonts w:ascii="Times New Roman" w:hAnsi="Times New Roman"/>
        </w:rPr>
      </w:pPr>
    </w:p>
    <w:p w14:paraId="674B649C" w14:textId="14A93274" w:rsidR="00DA6BC8" w:rsidRDefault="00DA6BC8" w:rsidP="00DA6BC8">
      <w:pPr>
        <w:spacing w:after="0" w:line="480" w:lineRule="auto"/>
        <w:ind w:left="284" w:firstLine="720"/>
        <w:jc w:val="both"/>
        <w:rPr>
          <w:rFonts w:ascii="Times New Roman" w:hAnsi="Times New Roman"/>
        </w:rPr>
      </w:pPr>
      <w:r>
        <w:rPr>
          <w:rFonts w:ascii="Times New Roman" w:hAnsi="Times New Roman"/>
        </w:rPr>
        <w:t>La producción de macadamia en el país es de alta calidad nutritiva y beneficiosa para la salud debido a que reduce las posibilidades de ataques cardiacos, en términos comerciales el cultivo es altamente rentable al aplicarse manejo de postcosecha</w:t>
      </w:r>
      <w:r w:rsidR="00086E60">
        <w:rPr>
          <w:rFonts w:ascii="Times New Roman" w:hAnsi="Times New Roman"/>
        </w:rPr>
        <w:t xml:space="preserve">, </w:t>
      </w:r>
      <w:r w:rsidR="00086E60" w:rsidRPr="00086E60">
        <w:rPr>
          <w:rFonts w:ascii="Times New Roman" w:hAnsi="Times New Roman"/>
        </w:rPr>
        <w:t>el caso particular de la Republica Dominicana, la pro</w:t>
      </w:r>
      <w:r w:rsidR="00086E60">
        <w:rPr>
          <w:rFonts w:ascii="Times New Roman" w:hAnsi="Times New Roman"/>
        </w:rPr>
        <w:t xml:space="preserve">ducción nacional </w:t>
      </w:r>
      <w:r w:rsidR="00086E60" w:rsidRPr="00086E60">
        <w:rPr>
          <w:rFonts w:ascii="Times New Roman" w:hAnsi="Times New Roman"/>
        </w:rPr>
        <w:t xml:space="preserve">hasta 2015 se sostenía de unos tres mil árboles que </w:t>
      </w:r>
      <w:r w:rsidR="00086E60" w:rsidRPr="00086E60">
        <w:rPr>
          <w:rFonts w:ascii="Times New Roman" w:hAnsi="Times New Roman"/>
        </w:rPr>
        <w:lastRenderedPageBreak/>
        <w:t>producían alrededor de 27,300 kilogramos en concha, equivalentes a 6,300 kilogramos de almendra</w:t>
      </w:r>
      <w:r w:rsidR="00086E60">
        <w:rPr>
          <w:rFonts w:ascii="Times New Roman" w:hAnsi="Times New Roman"/>
        </w:rPr>
        <w:t>.</w:t>
      </w:r>
    </w:p>
    <w:p w14:paraId="3A015605" w14:textId="08552450" w:rsidR="00086E60" w:rsidRDefault="00086E60" w:rsidP="00DA6BC8">
      <w:pPr>
        <w:spacing w:after="0" w:line="480" w:lineRule="auto"/>
        <w:ind w:left="284" w:firstLine="720"/>
        <w:jc w:val="both"/>
        <w:rPr>
          <w:rFonts w:ascii="Times New Roman" w:hAnsi="Times New Roman"/>
        </w:rPr>
      </w:pPr>
    </w:p>
    <w:p w14:paraId="455EC6F0" w14:textId="52AA97F6" w:rsidR="00086E60" w:rsidRDefault="00086E60" w:rsidP="00DA6BC8">
      <w:pPr>
        <w:spacing w:after="0" w:line="480" w:lineRule="auto"/>
        <w:ind w:left="284" w:firstLine="720"/>
        <w:jc w:val="both"/>
        <w:rPr>
          <w:rFonts w:ascii="Times New Roman" w:hAnsi="Times New Roman"/>
        </w:rPr>
      </w:pPr>
      <w:r>
        <w:rPr>
          <w:rFonts w:ascii="Times New Roman" w:hAnsi="Times New Roman"/>
        </w:rPr>
        <w:t>Sin embargo, el crecimiento de los mercados a incrementado proporcionalmente la demanda de la Macadamia y actualmente supera la demanda en la industria alimenticia, importando cantidad significativas.</w:t>
      </w:r>
    </w:p>
    <w:p w14:paraId="3A0EC752" w14:textId="0DE14DF9" w:rsidR="00086E60" w:rsidRDefault="00086E60" w:rsidP="00DA6BC8">
      <w:pPr>
        <w:spacing w:after="0" w:line="480" w:lineRule="auto"/>
        <w:ind w:left="284" w:firstLine="720"/>
        <w:jc w:val="both"/>
        <w:rPr>
          <w:rFonts w:ascii="Times New Roman" w:hAnsi="Times New Roman"/>
        </w:rPr>
      </w:pPr>
    </w:p>
    <w:p w14:paraId="589AAD45" w14:textId="3AFE079A" w:rsidR="00086E60" w:rsidRDefault="00086E60" w:rsidP="007F3EEF">
      <w:pPr>
        <w:spacing w:after="0" w:line="480" w:lineRule="auto"/>
        <w:ind w:left="284" w:firstLine="720"/>
        <w:jc w:val="both"/>
        <w:rPr>
          <w:rFonts w:ascii="Times New Roman" w:hAnsi="Times New Roman"/>
        </w:rPr>
      </w:pPr>
      <w:r>
        <w:rPr>
          <w:rFonts w:ascii="Times New Roman" w:hAnsi="Times New Roman"/>
        </w:rPr>
        <w:t xml:space="preserve">El Ministerio Brinda asistencia técnica y transferencias de </w:t>
      </w:r>
      <w:r w:rsidR="007F3EEF">
        <w:rPr>
          <w:rFonts w:ascii="Times New Roman" w:hAnsi="Times New Roman"/>
        </w:rPr>
        <w:t>tecnologías</w:t>
      </w:r>
      <w:r>
        <w:rPr>
          <w:rFonts w:ascii="Times New Roman" w:hAnsi="Times New Roman"/>
        </w:rPr>
        <w:t xml:space="preserve"> a la asociación de productores de Macadamia y cultivos asociados, ASOPROM, asi como también con el desarrollo de plantaciones tecnificadas y con la asignación de técnicos dedicados a la superficie dedicada al cultivo. Actualmente la asociación</w:t>
      </w:r>
      <w:r w:rsidR="007F3EEF">
        <w:rPr>
          <w:rFonts w:ascii="Times New Roman" w:hAnsi="Times New Roman"/>
        </w:rPr>
        <w:t>, empresas que industrializan el cultivo y productores al margen de la zona de siembra</w:t>
      </w:r>
      <w:r>
        <w:rPr>
          <w:rFonts w:ascii="Times New Roman" w:hAnsi="Times New Roman"/>
        </w:rPr>
        <w:t xml:space="preserve"> ha</w:t>
      </w:r>
      <w:r w:rsidR="007F3EEF">
        <w:rPr>
          <w:rFonts w:ascii="Times New Roman" w:hAnsi="Times New Roman"/>
        </w:rPr>
        <w:t>n</w:t>
      </w:r>
      <w:r>
        <w:rPr>
          <w:rFonts w:ascii="Times New Roman" w:hAnsi="Times New Roman"/>
        </w:rPr>
        <w:t xml:space="preserve"> ocupado más de 6,900 tareas</w:t>
      </w:r>
      <w:r w:rsidR="007F3EEF">
        <w:rPr>
          <w:rFonts w:ascii="Times New Roman" w:hAnsi="Times New Roman"/>
        </w:rPr>
        <w:t>.</w:t>
      </w:r>
    </w:p>
    <w:p w14:paraId="2E16471E" w14:textId="77777777" w:rsidR="00DA6BC8" w:rsidRDefault="00DA6BC8" w:rsidP="00680D76">
      <w:pPr>
        <w:spacing w:after="0" w:line="480" w:lineRule="auto"/>
        <w:rPr>
          <w:rFonts w:ascii="Times New Roman" w:hAnsi="Times New Roman"/>
        </w:rPr>
      </w:pPr>
    </w:p>
    <w:p w14:paraId="393940C8" w14:textId="22AC2C7F" w:rsidR="00D97BE5" w:rsidRPr="001971A4" w:rsidRDefault="00D97BE5" w:rsidP="00CA5792">
      <w:pPr>
        <w:pStyle w:val="Ttulo3"/>
      </w:pPr>
      <w:bookmarkStart w:id="202" w:name="_Toc26292066"/>
      <w:bookmarkStart w:id="203" w:name="_Toc27146773"/>
      <w:r>
        <w:t>Pro</w:t>
      </w:r>
      <w:r w:rsidR="002C75E0">
        <w:t>grama</w:t>
      </w:r>
      <w:r>
        <w:t xml:space="preserve"> registro </w:t>
      </w:r>
      <w:r w:rsidR="00555FA4">
        <w:t xml:space="preserve">georeferenciado de </w:t>
      </w:r>
      <w:r w:rsidR="00AB36F6">
        <w:t>predios</w:t>
      </w:r>
      <w:r w:rsidR="00555FA4">
        <w:t xml:space="preserve"> y productores agropecuarios </w:t>
      </w:r>
      <w:r w:rsidRPr="001971A4">
        <w:t>(</w:t>
      </w:r>
      <w:r>
        <w:t>R</w:t>
      </w:r>
      <w:r w:rsidR="00555FA4">
        <w:t>EGEA</w:t>
      </w:r>
      <w:r w:rsidRPr="001971A4">
        <w:t>)</w:t>
      </w:r>
      <w:bookmarkEnd w:id="202"/>
      <w:bookmarkEnd w:id="203"/>
    </w:p>
    <w:p w14:paraId="02FFDC50" w14:textId="77777777" w:rsidR="00CA5792" w:rsidRDefault="00CA5792" w:rsidP="00D97BE5">
      <w:pPr>
        <w:spacing w:after="0" w:line="480" w:lineRule="auto"/>
        <w:ind w:left="284" w:firstLine="720"/>
        <w:jc w:val="both"/>
        <w:rPr>
          <w:rFonts w:ascii="Times New Roman" w:hAnsi="Times New Roman"/>
        </w:rPr>
      </w:pPr>
    </w:p>
    <w:p w14:paraId="647716C4" w14:textId="1E9571DF" w:rsidR="00D97BE5" w:rsidRPr="00D6012A" w:rsidRDefault="00555FA4" w:rsidP="00D97BE5">
      <w:pPr>
        <w:spacing w:after="0" w:line="480" w:lineRule="auto"/>
        <w:ind w:left="284" w:firstLine="720"/>
        <w:jc w:val="both"/>
        <w:rPr>
          <w:rFonts w:ascii="Times New Roman" w:hAnsi="Times New Roman"/>
        </w:rPr>
      </w:pPr>
      <w:r w:rsidRPr="00D6012A">
        <w:rPr>
          <w:rFonts w:ascii="Times New Roman" w:hAnsi="Times New Roman"/>
        </w:rPr>
        <w:t xml:space="preserve">Este proyecto </w:t>
      </w:r>
      <w:r w:rsidR="00D97BE5" w:rsidRPr="00D6012A">
        <w:rPr>
          <w:rFonts w:ascii="Times New Roman" w:hAnsi="Times New Roman"/>
        </w:rPr>
        <w:t>tiene como propósito crear una base de datos que acopie informaciones de todos los actores que participan en la producción agropecuaria nacional, para mejorar el diseño de las políticas públicas y disponer de un sistema de información y gestión de los recursos destinados al fomento y desarrollo del sector agropecuario.</w:t>
      </w:r>
    </w:p>
    <w:p w14:paraId="47B13C70" w14:textId="77777777" w:rsidR="00D97BE5" w:rsidRPr="00D6012A" w:rsidRDefault="00D97BE5" w:rsidP="00D97BE5">
      <w:pPr>
        <w:spacing w:after="0" w:line="480" w:lineRule="auto"/>
        <w:ind w:left="284" w:firstLine="720"/>
        <w:jc w:val="both"/>
        <w:rPr>
          <w:rFonts w:ascii="Times New Roman" w:hAnsi="Times New Roman"/>
        </w:rPr>
      </w:pPr>
    </w:p>
    <w:p w14:paraId="7568695B" w14:textId="77777777" w:rsidR="00D97BE5" w:rsidRPr="00D6012A" w:rsidRDefault="00D97BE5" w:rsidP="00D97BE5">
      <w:pPr>
        <w:spacing w:after="0" w:line="480" w:lineRule="auto"/>
        <w:ind w:left="284" w:firstLine="720"/>
        <w:jc w:val="both"/>
        <w:rPr>
          <w:rFonts w:ascii="Times New Roman" w:hAnsi="Times New Roman"/>
        </w:rPr>
      </w:pPr>
      <w:r w:rsidRPr="00D6012A">
        <w:rPr>
          <w:rFonts w:ascii="Times New Roman" w:hAnsi="Times New Roman"/>
        </w:rPr>
        <w:lastRenderedPageBreak/>
        <w:t>El proyecto tiene tres objetivos específicos: i) Registrar la totalidad de los productores en una base de datos corporativa; ii) Georreferenciar las fincas de los productores; y iii) Desarrollar una plataforma informática WEB en ambiente GIS para el manejo de la base de datos geográfica.</w:t>
      </w:r>
    </w:p>
    <w:p w14:paraId="419EABA3" w14:textId="77777777" w:rsidR="00D97BE5" w:rsidRPr="00D6012A" w:rsidRDefault="00D97BE5" w:rsidP="00D97BE5">
      <w:pPr>
        <w:spacing w:after="0" w:line="480" w:lineRule="auto"/>
        <w:ind w:left="284" w:firstLine="720"/>
        <w:jc w:val="both"/>
        <w:rPr>
          <w:rFonts w:ascii="Times New Roman" w:hAnsi="Times New Roman"/>
        </w:rPr>
      </w:pPr>
    </w:p>
    <w:p w14:paraId="56FF9024" w14:textId="77777777" w:rsidR="00D97BE5" w:rsidRPr="00BF2915" w:rsidRDefault="00D97BE5" w:rsidP="00D97BE5">
      <w:pPr>
        <w:spacing w:after="0" w:line="480" w:lineRule="auto"/>
        <w:ind w:left="284" w:firstLine="720"/>
        <w:jc w:val="both"/>
        <w:rPr>
          <w:rFonts w:ascii="Times New Roman" w:hAnsi="Times New Roman"/>
        </w:rPr>
      </w:pPr>
      <w:r w:rsidRPr="00D6012A">
        <w:rPr>
          <w:rFonts w:ascii="Times New Roman" w:hAnsi="Times New Roman"/>
        </w:rPr>
        <w:t>El trabajo de campo realizado por estos técnicos consistió en convocar a los productores a sus fincas para llenar la ficha de empadronamiento que contiene datos del productor, datos de la finca e informaciones agronómicas; e inmediatamente realizar la georreferenciación utilizando equipos de GPS para capturar las coordenadas del punto de entrada el predio y el perímetro de la finca.</w:t>
      </w:r>
    </w:p>
    <w:p w14:paraId="25498EB2" w14:textId="59B4E49C" w:rsidR="00D97BE5" w:rsidRDefault="00D97BE5" w:rsidP="00D97BE5">
      <w:pPr>
        <w:spacing w:after="0" w:line="480" w:lineRule="auto"/>
        <w:ind w:left="284" w:firstLine="720"/>
        <w:jc w:val="both"/>
        <w:rPr>
          <w:rFonts w:ascii="Times New Roman" w:hAnsi="Times New Roman"/>
        </w:rPr>
      </w:pPr>
    </w:p>
    <w:p w14:paraId="0BB31D33" w14:textId="1AF4E3F4" w:rsidR="00BA2381" w:rsidRPr="00BF2915" w:rsidRDefault="00BA2381" w:rsidP="00D97BE5">
      <w:pPr>
        <w:spacing w:after="0" w:line="480" w:lineRule="auto"/>
        <w:ind w:left="284" w:firstLine="720"/>
        <w:jc w:val="both"/>
        <w:rPr>
          <w:rFonts w:ascii="Times New Roman" w:hAnsi="Times New Roman"/>
        </w:rPr>
      </w:pPr>
      <w:r>
        <w:rPr>
          <w:rFonts w:ascii="Times New Roman" w:hAnsi="Times New Roman"/>
        </w:rPr>
        <w:t xml:space="preserve">Hasta la feche se ha logrado registrar un total de </w:t>
      </w:r>
      <w:r w:rsidRPr="00BA2381">
        <w:rPr>
          <w:rFonts w:ascii="Times New Roman" w:hAnsi="Times New Roman"/>
        </w:rPr>
        <w:t>154,004 productores en la base de datos web y 60,000 productores adicionales en una base de datos provisional, los cuales están en proceso de migración para totalizar 214,004 productores;</w:t>
      </w:r>
      <w:r>
        <w:rPr>
          <w:rFonts w:ascii="Times New Roman" w:hAnsi="Times New Roman"/>
        </w:rPr>
        <w:t xml:space="preserve"> </w:t>
      </w:r>
      <w:r w:rsidRPr="00BA2381">
        <w:rPr>
          <w:rFonts w:ascii="Times New Roman" w:hAnsi="Times New Roman"/>
        </w:rPr>
        <w:t>Estos registros corresponden a las 29 zonas agropecuarias que componen el Ministerio de Agricultura</w:t>
      </w:r>
      <w:r>
        <w:rPr>
          <w:rFonts w:ascii="Times New Roman" w:hAnsi="Times New Roman"/>
        </w:rPr>
        <w:t>, equivalente</w:t>
      </w:r>
      <w:r w:rsidRPr="00BA2381">
        <w:rPr>
          <w:rFonts w:ascii="Times New Roman" w:hAnsi="Times New Roman"/>
        </w:rPr>
        <w:t xml:space="preserve"> un 82% de cumplimiento de la meta trazada</w:t>
      </w:r>
      <w:r>
        <w:rPr>
          <w:rFonts w:ascii="Times New Roman" w:hAnsi="Times New Roman"/>
        </w:rPr>
        <w:t>.</w:t>
      </w:r>
    </w:p>
    <w:p w14:paraId="517C48AC" w14:textId="7AF994AD" w:rsidR="00C21528" w:rsidRDefault="00C21528">
      <w:pPr>
        <w:spacing w:after="0"/>
        <w:rPr>
          <w:rFonts w:ascii="Times New Roman" w:hAnsi="Times New Roman"/>
          <w:lang w:val="es-ES"/>
        </w:rPr>
      </w:pPr>
    </w:p>
    <w:p w14:paraId="27FCE16D" w14:textId="3BA578B0" w:rsidR="00C21528" w:rsidRDefault="00C21528" w:rsidP="001C6B1A">
      <w:pPr>
        <w:pStyle w:val="Prrafodelista"/>
        <w:numPr>
          <w:ilvl w:val="0"/>
          <w:numId w:val="9"/>
        </w:numPr>
        <w:spacing w:after="0"/>
        <w:ind w:left="567" w:hanging="567"/>
        <w:rPr>
          <w:rFonts w:ascii="Times New Roman" w:hAnsi="Times New Roman"/>
          <w:b/>
          <w:sz w:val="24"/>
          <w:lang w:val="es-ES"/>
        </w:rPr>
      </w:pPr>
      <w:r w:rsidRPr="00C21528">
        <w:rPr>
          <w:rFonts w:ascii="Times New Roman" w:hAnsi="Times New Roman"/>
          <w:b/>
          <w:sz w:val="24"/>
          <w:lang w:val="es-ES"/>
        </w:rPr>
        <w:t>Cantidad de productores y fincas identificadas</w:t>
      </w:r>
    </w:p>
    <w:p w14:paraId="2CB38B62" w14:textId="77777777" w:rsidR="00CA5792" w:rsidRPr="00C21528" w:rsidRDefault="00CA5792" w:rsidP="00CA5792">
      <w:pPr>
        <w:pStyle w:val="Prrafodelista"/>
        <w:spacing w:after="0"/>
        <w:ind w:left="567"/>
        <w:rPr>
          <w:rFonts w:ascii="Times New Roman" w:hAnsi="Times New Roman"/>
          <w:b/>
          <w:sz w:val="24"/>
          <w:lang w:val="es-ES"/>
        </w:rPr>
      </w:pPr>
    </w:p>
    <w:tbl>
      <w:tblPr>
        <w:tblW w:w="6867" w:type="dxa"/>
        <w:jc w:val="center"/>
        <w:tblLook w:val="04A0" w:firstRow="1" w:lastRow="0" w:firstColumn="1" w:lastColumn="0" w:noHBand="0" w:noVBand="1"/>
      </w:tblPr>
      <w:tblGrid>
        <w:gridCol w:w="5690"/>
        <w:gridCol w:w="1177"/>
      </w:tblGrid>
      <w:tr w:rsidR="00CA5792" w:rsidRPr="00C21528" w14:paraId="7EB9EBA6" w14:textId="77777777" w:rsidTr="004B3EB6">
        <w:trPr>
          <w:trHeight w:val="300"/>
          <w:jc w:val="center"/>
        </w:trPr>
        <w:tc>
          <w:tcPr>
            <w:tcW w:w="5690"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2B60DE80" w14:textId="6165B544" w:rsidR="00CA5792" w:rsidRPr="004245EB" w:rsidRDefault="00CA5792" w:rsidP="00C21528">
            <w:pPr>
              <w:spacing w:after="0"/>
              <w:rPr>
                <w:rFonts w:ascii="Times New Roman" w:hAnsi="Times New Roman"/>
                <w:b/>
                <w:bCs/>
                <w:color w:val="FFFFFF" w:themeColor="background1"/>
                <w:lang w:val="en-US" w:eastAsia="en-US"/>
              </w:rPr>
            </w:pPr>
            <w:r w:rsidRPr="004245EB">
              <w:rPr>
                <w:rFonts w:ascii="Times New Roman" w:hAnsi="Times New Roman"/>
                <w:b/>
                <w:bCs/>
                <w:color w:val="FFFFFF" w:themeColor="background1"/>
                <w:lang w:val="en-US" w:eastAsia="en-US"/>
              </w:rPr>
              <w:t>Variables</w:t>
            </w:r>
          </w:p>
        </w:tc>
        <w:tc>
          <w:tcPr>
            <w:tcW w:w="1177" w:type="dxa"/>
            <w:tcBorders>
              <w:top w:val="single" w:sz="4" w:space="0" w:color="auto"/>
              <w:left w:val="nil"/>
              <w:bottom w:val="single" w:sz="4" w:space="0" w:color="auto"/>
              <w:right w:val="single" w:sz="4" w:space="0" w:color="auto"/>
            </w:tcBorders>
            <w:shd w:val="clear" w:color="auto" w:fill="00B050"/>
            <w:noWrap/>
            <w:vAlign w:val="bottom"/>
            <w:hideMark/>
          </w:tcPr>
          <w:p w14:paraId="3E44AE6A" w14:textId="764FED35" w:rsidR="00CA5792" w:rsidRPr="004245EB" w:rsidRDefault="004A2905" w:rsidP="00C21528">
            <w:pPr>
              <w:spacing w:after="0"/>
              <w:rPr>
                <w:rFonts w:ascii="Times New Roman" w:hAnsi="Times New Roman"/>
                <w:b/>
                <w:bCs/>
                <w:color w:val="FFFFFF" w:themeColor="background1"/>
                <w:lang w:val="en-US" w:eastAsia="en-US"/>
              </w:rPr>
            </w:pPr>
            <w:r w:rsidRPr="004245EB">
              <w:rPr>
                <w:rFonts w:ascii="Times New Roman" w:hAnsi="Times New Roman"/>
                <w:b/>
                <w:bCs/>
                <w:color w:val="FFFFFF" w:themeColor="background1"/>
                <w:lang w:val="en-US" w:eastAsia="en-US"/>
              </w:rPr>
              <w:t>Cantidad</w:t>
            </w:r>
          </w:p>
        </w:tc>
      </w:tr>
      <w:tr w:rsidR="006E3242" w:rsidRPr="00C21528" w14:paraId="3B965472" w14:textId="77777777" w:rsidTr="004B3EB6">
        <w:trPr>
          <w:trHeight w:val="300"/>
          <w:jc w:val="center"/>
        </w:trPr>
        <w:tc>
          <w:tcPr>
            <w:tcW w:w="5690" w:type="dxa"/>
            <w:tcBorders>
              <w:top w:val="nil"/>
              <w:left w:val="single" w:sz="4" w:space="0" w:color="auto"/>
              <w:bottom w:val="single" w:sz="4" w:space="0" w:color="auto"/>
              <w:right w:val="single" w:sz="4" w:space="0" w:color="auto"/>
            </w:tcBorders>
            <w:shd w:val="clear" w:color="auto" w:fill="auto"/>
            <w:noWrap/>
            <w:vAlign w:val="bottom"/>
          </w:tcPr>
          <w:p w14:paraId="0D81A5C8" w14:textId="3B3242E9" w:rsidR="006E3242" w:rsidRPr="004B3EB6" w:rsidRDefault="004B3EB6" w:rsidP="00C21528">
            <w:pPr>
              <w:spacing w:after="0"/>
              <w:rPr>
                <w:rFonts w:ascii="Times New Roman" w:hAnsi="Times New Roman"/>
                <w:color w:val="000000"/>
                <w:lang w:eastAsia="en-US"/>
              </w:rPr>
            </w:pPr>
            <w:r w:rsidRPr="004B3EB6">
              <w:rPr>
                <w:rFonts w:ascii="Times New Roman" w:hAnsi="Times New Roman"/>
                <w:color w:val="000000"/>
                <w:lang w:eastAsia="en-US"/>
              </w:rPr>
              <w:t>Productores registrados en Base d</w:t>
            </w:r>
            <w:r>
              <w:rPr>
                <w:rFonts w:ascii="Times New Roman" w:hAnsi="Times New Roman"/>
                <w:color w:val="000000"/>
                <w:lang w:eastAsia="en-US"/>
              </w:rPr>
              <w:t>e Datos, ambiente web</w:t>
            </w:r>
          </w:p>
        </w:tc>
        <w:tc>
          <w:tcPr>
            <w:tcW w:w="1177" w:type="dxa"/>
            <w:tcBorders>
              <w:top w:val="nil"/>
              <w:left w:val="nil"/>
              <w:bottom w:val="single" w:sz="4" w:space="0" w:color="auto"/>
              <w:right w:val="single" w:sz="4" w:space="0" w:color="auto"/>
            </w:tcBorders>
            <w:shd w:val="clear" w:color="auto" w:fill="auto"/>
            <w:noWrap/>
            <w:vAlign w:val="bottom"/>
          </w:tcPr>
          <w:p w14:paraId="41C19C4F" w14:textId="58766B08" w:rsidR="006E3242" w:rsidRDefault="006E3242" w:rsidP="00C21528">
            <w:pPr>
              <w:spacing w:after="0"/>
              <w:jc w:val="center"/>
              <w:rPr>
                <w:rFonts w:ascii="Times New Roman" w:hAnsi="Times New Roman"/>
                <w:color w:val="000000"/>
                <w:lang w:val="en-US" w:eastAsia="en-US"/>
              </w:rPr>
            </w:pPr>
            <w:r w:rsidRPr="00BA2381">
              <w:rPr>
                <w:rFonts w:ascii="Times New Roman" w:hAnsi="Times New Roman"/>
              </w:rPr>
              <w:t>154,004</w:t>
            </w:r>
          </w:p>
        </w:tc>
      </w:tr>
      <w:tr w:rsidR="006E3242" w:rsidRPr="00C21528" w14:paraId="22F53692" w14:textId="77777777" w:rsidTr="004B3EB6">
        <w:trPr>
          <w:trHeight w:val="300"/>
          <w:jc w:val="center"/>
        </w:trPr>
        <w:tc>
          <w:tcPr>
            <w:tcW w:w="5690" w:type="dxa"/>
            <w:tcBorders>
              <w:top w:val="nil"/>
              <w:left w:val="single" w:sz="4" w:space="0" w:color="auto"/>
              <w:bottom w:val="single" w:sz="4" w:space="0" w:color="auto"/>
              <w:right w:val="single" w:sz="4" w:space="0" w:color="auto"/>
            </w:tcBorders>
            <w:shd w:val="clear" w:color="auto" w:fill="auto"/>
            <w:noWrap/>
            <w:vAlign w:val="bottom"/>
          </w:tcPr>
          <w:p w14:paraId="126624F9" w14:textId="466FC5D7" w:rsidR="006E3242" w:rsidRDefault="004B3EB6" w:rsidP="00C21528">
            <w:pPr>
              <w:spacing w:after="0"/>
              <w:rPr>
                <w:rFonts w:ascii="Times New Roman" w:hAnsi="Times New Roman"/>
                <w:color w:val="000000"/>
                <w:lang w:val="en-US" w:eastAsia="en-US"/>
              </w:rPr>
            </w:pPr>
            <w:r>
              <w:rPr>
                <w:rFonts w:ascii="Times New Roman" w:hAnsi="Times New Roman"/>
                <w:color w:val="000000"/>
                <w:lang w:val="en-US" w:eastAsia="en-US"/>
              </w:rPr>
              <w:t>Productores registrados provisionalmente</w:t>
            </w:r>
          </w:p>
        </w:tc>
        <w:tc>
          <w:tcPr>
            <w:tcW w:w="1177" w:type="dxa"/>
            <w:tcBorders>
              <w:top w:val="nil"/>
              <w:left w:val="nil"/>
              <w:bottom w:val="single" w:sz="4" w:space="0" w:color="auto"/>
              <w:right w:val="single" w:sz="4" w:space="0" w:color="auto"/>
            </w:tcBorders>
            <w:shd w:val="clear" w:color="auto" w:fill="auto"/>
            <w:noWrap/>
            <w:vAlign w:val="bottom"/>
          </w:tcPr>
          <w:p w14:paraId="73A52E7C" w14:textId="582CBEDE" w:rsidR="006E3242" w:rsidRDefault="006E3242" w:rsidP="00C21528">
            <w:pPr>
              <w:spacing w:after="0"/>
              <w:jc w:val="center"/>
              <w:rPr>
                <w:rFonts w:ascii="Times New Roman" w:hAnsi="Times New Roman"/>
                <w:color w:val="000000"/>
                <w:lang w:val="en-US" w:eastAsia="en-US"/>
              </w:rPr>
            </w:pPr>
            <w:r w:rsidRPr="00BA2381">
              <w:rPr>
                <w:rFonts w:ascii="Times New Roman" w:hAnsi="Times New Roman"/>
              </w:rPr>
              <w:t>60,000</w:t>
            </w:r>
          </w:p>
        </w:tc>
      </w:tr>
      <w:tr w:rsidR="00CA5792" w:rsidRPr="00C21528" w14:paraId="5F56DD3B" w14:textId="77777777" w:rsidTr="004B3EB6">
        <w:trPr>
          <w:trHeight w:val="300"/>
          <w:jc w:val="center"/>
        </w:trPr>
        <w:tc>
          <w:tcPr>
            <w:tcW w:w="5690" w:type="dxa"/>
            <w:tcBorders>
              <w:top w:val="nil"/>
              <w:left w:val="single" w:sz="4" w:space="0" w:color="auto"/>
              <w:bottom w:val="single" w:sz="4" w:space="0" w:color="auto"/>
              <w:right w:val="single" w:sz="4" w:space="0" w:color="auto"/>
            </w:tcBorders>
            <w:shd w:val="clear" w:color="auto" w:fill="808080" w:themeFill="background1" w:themeFillShade="80"/>
            <w:noWrap/>
            <w:vAlign w:val="bottom"/>
            <w:hideMark/>
          </w:tcPr>
          <w:p w14:paraId="3D923BD6" w14:textId="1CCFE451" w:rsidR="00CA5792" w:rsidRPr="004B3EB6" w:rsidRDefault="006E3242" w:rsidP="00C21528">
            <w:pPr>
              <w:spacing w:after="0"/>
              <w:rPr>
                <w:rFonts w:ascii="Times New Roman" w:hAnsi="Times New Roman"/>
                <w:b/>
                <w:bCs/>
                <w:color w:val="FFFFFF" w:themeColor="background1"/>
                <w:lang w:val="en-US" w:eastAsia="en-US"/>
              </w:rPr>
            </w:pPr>
            <w:r w:rsidRPr="004B3EB6">
              <w:rPr>
                <w:rFonts w:ascii="Times New Roman" w:hAnsi="Times New Roman"/>
                <w:b/>
                <w:bCs/>
                <w:color w:val="FFFFFF" w:themeColor="background1"/>
                <w:lang w:val="en-US" w:eastAsia="en-US"/>
              </w:rPr>
              <w:t xml:space="preserve">Total </w:t>
            </w:r>
            <w:r w:rsidR="00CA5792" w:rsidRPr="004B3EB6">
              <w:rPr>
                <w:rFonts w:ascii="Times New Roman" w:hAnsi="Times New Roman"/>
                <w:b/>
                <w:bCs/>
                <w:color w:val="FFFFFF" w:themeColor="background1"/>
                <w:lang w:val="en-US" w:eastAsia="en-US"/>
              </w:rPr>
              <w:t>Producto</w:t>
            </w:r>
            <w:r w:rsidRPr="004B3EB6">
              <w:rPr>
                <w:rFonts w:ascii="Times New Roman" w:hAnsi="Times New Roman"/>
                <w:b/>
                <w:bCs/>
                <w:color w:val="FFFFFF" w:themeColor="background1"/>
                <w:lang w:val="en-US" w:eastAsia="en-US"/>
              </w:rPr>
              <w:t>r</w:t>
            </w:r>
            <w:r w:rsidR="00CA5792" w:rsidRPr="004B3EB6">
              <w:rPr>
                <w:rFonts w:ascii="Times New Roman" w:hAnsi="Times New Roman"/>
                <w:b/>
                <w:bCs/>
                <w:color w:val="FFFFFF" w:themeColor="background1"/>
                <w:lang w:val="en-US" w:eastAsia="en-US"/>
              </w:rPr>
              <w:t>es registrados</w:t>
            </w:r>
          </w:p>
        </w:tc>
        <w:tc>
          <w:tcPr>
            <w:tcW w:w="1177" w:type="dxa"/>
            <w:tcBorders>
              <w:top w:val="nil"/>
              <w:left w:val="nil"/>
              <w:bottom w:val="single" w:sz="4" w:space="0" w:color="auto"/>
              <w:right w:val="single" w:sz="4" w:space="0" w:color="auto"/>
            </w:tcBorders>
            <w:shd w:val="clear" w:color="auto" w:fill="808080" w:themeFill="background1" w:themeFillShade="80"/>
            <w:noWrap/>
            <w:vAlign w:val="bottom"/>
            <w:hideMark/>
          </w:tcPr>
          <w:p w14:paraId="2E0E5663" w14:textId="0F496AFB" w:rsidR="00CA5792" w:rsidRPr="004B3EB6" w:rsidRDefault="00BA2381" w:rsidP="00C21528">
            <w:pPr>
              <w:spacing w:after="0"/>
              <w:jc w:val="center"/>
              <w:rPr>
                <w:rFonts w:ascii="Times New Roman" w:hAnsi="Times New Roman"/>
                <w:b/>
                <w:bCs/>
                <w:color w:val="FFFFFF" w:themeColor="background1"/>
                <w:lang w:val="en-US" w:eastAsia="en-US"/>
              </w:rPr>
            </w:pPr>
            <w:r w:rsidRPr="004B3EB6">
              <w:rPr>
                <w:rFonts w:ascii="Times New Roman" w:hAnsi="Times New Roman"/>
                <w:b/>
                <w:bCs/>
                <w:color w:val="FFFFFF" w:themeColor="background1"/>
                <w:lang w:val="en-US" w:eastAsia="en-US"/>
              </w:rPr>
              <w:t>214,004</w:t>
            </w:r>
          </w:p>
        </w:tc>
      </w:tr>
    </w:tbl>
    <w:p w14:paraId="6E4825E9" w14:textId="449136AD" w:rsidR="007F3EEF" w:rsidRDefault="007F3EEF" w:rsidP="00A2090C">
      <w:bookmarkStart w:id="204" w:name="_Toc440036687"/>
      <w:bookmarkStart w:id="205" w:name="_Toc470523356"/>
      <w:bookmarkStart w:id="206" w:name="_Toc26292067"/>
    </w:p>
    <w:p w14:paraId="11EB6E21" w14:textId="77777777" w:rsidR="007F3EEF" w:rsidRDefault="007F3EEF">
      <w:pPr>
        <w:spacing w:after="0"/>
      </w:pPr>
      <w:r>
        <w:br w:type="page"/>
      </w:r>
    </w:p>
    <w:p w14:paraId="09FF2EA3" w14:textId="7D581F87" w:rsidR="00AB36F6" w:rsidRPr="00AB36F6" w:rsidRDefault="00AB36F6" w:rsidP="00AB36F6">
      <w:pPr>
        <w:spacing w:after="0" w:line="480" w:lineRule="auto"/>
        <w:ind w:left="284" w:firstLine="720"/>
        <w:jc w:val="both"/>
        <w:rPr>
          <w:rFonts w:ascii="Times New Roman" w:hAnsi="Times New Roman"/>
          <w:b/>
          <w:bCs/>
          <w:sz w:val="28"/>
          <w:szCs w:val="28"/>
        </w:rPr>
      </w:pPr>
      <w:r w:rsidRPr="00AB36F6">
        <w:rPr>
          <w:rFonts w:ascii="Times New Roman" w:hAnsi="Times New Roman"/>
          <w:b/>
          <w:bCs/>
          <w:sz w:val="28"/>
          <w:szCs w:val="28"/>
        </w:rPr>
        <w:lastRenderedPageBreak/>
        <w:t>Caracterización y clasificación de productores</w:t>
      </w:r>
    </w:p>
    <w:p w14:paraId="38BE872A" w14:textId="10FF3895" w:rsidR="00AB36F6" w:rsidRDefault="00AB36F6" w:rsidP="00AB36F6">
      <w:pPr>
        <w:spacing w:after="0" w:line="480" w:lineRule="auto"/>
        <w:ind w:left="284" w:firstLine="720"/>
        <w:jc w:val="both"/>
        <w:rPr>
          <w:rFonts w:ascii="Times New Roman" w:hAnsi="Times New Roman"/>
        </w:rPr>
      </w:pPr>
      <w:r>
        <w:rPr>
          <w:rFonts w:ascii="Times New Roman" w:hAnsi="Times New Roman"/>
        </w:rPr>
        <w:t>Implementación</w:t>
      </w:r>
      <w:r w:rsidRPr="00AB36F6">
        <w:rPr>
          <w:rFonts w:ascii="Times New Roman" w:hAnsi="Times New Roman"/>
        </w:rPr>
        <w:t xml:space="preserve"> </w:t>
      </w:r>
      <w:r>
        <w:rPr>
          <w:rFonts w:ascii="Times New Roman" w:hAnsi="Times New Roman"/>
        </w:rPr>
        <w:t>d</w:t>
      </w:r>
      <w:r w:rsidRPr="00AB36F6">
        <w:rPr>
          <w:rFonts w:ascii="Times New Roman" w:hAnsi="Times New Roman"/>
        </w:rPr>
        <w:t xml:space="preserve">el sistema de clasificación de los productores beneficiarios del </w:t>
      </w:r>
      <w:r>
        <w:rPr>
          <w:rFonts w:ascii="Times New Roman" w:hAnsi="Times New Roman"/>
        </w:rPr>
        <w:t>D</w:t>
      </w:r>
      <w:r w:rsidRPr="00AB36F6">
        <w:rPr>
          <w:rFonts w:ascii="Times New Roman" w:hAnsi="Times New Roman"/>
        </w:rPr>
        <w:t xml:space="preserve">ecreto </w:t>
      </w:r>
      <w:r>
        <w:rPr>
          <w:rFonts w:ascii="Times New Roman" w:hAnsi="Times New Roman"/>
        </w:rPr>
        <w:t xml:space="preserve">no. </w:t>
      </w:r>
      <w:r w:rsidRPr="00AB36F6">
        <w:rPr>
          <w:rFonts w:ascii="Times New Roman" w:hAnsi="Times New Roman"/>
        </w:rPr>
        <w:t xml:space="preserve">168-19, acorde a la clasificación que dicta la resolución </w:t>
      </w:r>
      <w:r>
        <w:rPr>
          <w:rFonts w:ascii="Times New Roman" w:hAnsi="Times New Roman"/>
        </w:rPr>
        <w:t xml:space="preserve">no. </w:t>
      </w:r>
      <w:r w:rsidRPr="00AB36F6">
        <w:rPr>
          <w:rFonts w:ascii="Times New Roman" w:hAnsi="Times New Roman"/>
        </w:rPr>
        <w:t>39-19 del Ministro de Agricultura</w:t>
      </w:r>
      <w:r>
        <w:rPr>
          <w:rFonts w:ascii="Times New Roman" w:hAnsi="Times New Roman"/>
        </w:rPr>
        <w:t>.</w:t>
      </w:r>
    </w:p>
    <w:p w14:paraId="2A2A6EAB" w14:textId="77777777" w:rsidR="007F3EEF" w:rsidRDefault="007F3EEF" w:rsidP="00AB36F6">
      <w:pPr>
        <w:spacing w:after="0" w:line="480" w:lineRule="auto"/>
        <w:ind w:left="284" w:firstLine="720"/>
        <w:jc w:val="both"/>
        <w:rPr>
          <w:rFonts w:ascii="Times New Roman" w:hAnsi="Times New Roman"/>
        </w:rPr>
      </w:pPr>
    </w:p>
    <w:p w14:paraId="35CD2025" w14:textId="2A667725" w:rsidR="00BA2381" w:rsidRPr="00BA2381" w:rsidRDefault="00BA2381" w:rsidP="00BA2381">
      <w:pPr>
        <w:spacing w:after="0" w:line="480" w:lineRule="auto"/>
        <w:ind w:left="284" w:firstLine="720"/>
        <w:jc w:val="both"/>
        <w:rPr>
          <w:rFonts w:ascii="Times New Roman" w:hAnsi="Times New Roman"/>
          <w:b/>
          <w:bCs/>
          <w:sz w:val="28"/>
          <w:szCs w:val="28"/>
        </w:rPr>
      </w:pPr>
      <w:r w:rsidRPr="00BA2381">
        <w:rPr>
          <w:rFonts w:ascii="Times New Roman" w:hAnsi="Times New Roman"/>
          <w:b/>
          <w:bCs/>
          <w:sz w:val="28"/>
          <w:szCs w:val="28"/>
        </w:rPr>
        <w:t>Integración de las sectoriales del ministerio de agricultura y otras organizaciones</w:t>
      </w:r>
    </w:p>
    <w:p w14:paraId="39C3392D" w14:textId="77777777" w:rsidR="006E3242" w:rsidRDefault="006E3242" w:rsidP="00BA2381">
      <w:pPr>
        <w:spacing w:after="0" w:line="480" w:lineRule="auto"/>
        <w:ind w:left="284" w:firstLine="720"/>
        <w:jc w:val="both"/>
        <w:rPr>
          <w:rFonts w:ascii="Times New Roman" w:hAnsi="Times New Roman"/>
        </w:rPr>
      </w:pPr>
    </w:p>
    <w:p w14:paraId="1957079B" w14:textId="53247C59" w:rsidR="00BA2381" w:rsidRPr="00BA2381" w:rsidRDefault="00BA2381" w:rsidP="00BA2381">
      <w:pPr>
        <w:spacing w:after="0" w:line="480" w:lineRule="auto"/>
        <w:ind w:left="284" w:firstLine="720"/>
        <w:jc w:val="both"/>
        <w:rPr>
          <w:rFonts w:ascii="Times New Roman" w:hAnsi="Times New Roman"/>
        </w:rPr>
      </w:pPr>
      <w:r w:rsidRPr="00BA2381">
        <w:rPr>
          <w:rFonts w:ascii="Times New Roman" w:hAnsi="Times New Roman"/>
        </w:rPr>
        <w:t xml:space="preserve">El REGEA está integrando las bases de datos de las diferentes sectoriales en la plataforma del registro. Para esto se produjeron encuentros con directores ejecutivos y técnicos de las áreas de informáticas del Banco Agrícola, Instituto Agrario Dominicano, Dirección General de Ganadería, INDOCAFE, INUVA, entre otras. Asimismo, se sostuvieron reuniones con las juntas de regantes y asociaciones de productores. </w:t>
      </w:r>
    </w:p>
    <w:p w14:paraId="035E1A51" w14:textId="77777777" w:rsidR="00AB36F6" w:rsidRDefault="00AB36F6" w:rsidP="00A2090C"/>
    <w:p w14:paraId="0B1B0CAB" w14:textId="29F6708A" w:rsidR="005330A4" w:rsidRPr="0098414F" w:rsidRDefault="00AC4439" w:rsidP="00CA5792">
      <w:pPr>
        <w:pStyle w:val="Ttulo3"/>
      </w:pPr>
      <w:bookmarkStart w:id="207" w:name="_Toc27146774"/>
      <w:r>
        <w:t xml:space="preserve">Otros </w:t>
      </w:r>
      <w:r w:rsidR="00AE65E6">
        <w:t>p</w:t>
      </w:r>
      <w:r w:rsidR="005330A4" w:rsidRPr="0098414F">
        <w:t>rograma</w:t>
      </w:r>
      <w:r w:rsidR="00AE65E6">
        <w:t>s</w:t>
      </w:r>
      <w:r w:rsidR="005330A4" w:rsidRPr="0098414F">
        <w:t xml:space="preserve"> </w:t>
      </w:r>
      <w:r>
        <w:t>para el</w:t>
      </w:r>
      <w:r w:rsidR="005330A4" w:rsidRPr="0098414F">
        <w:t xml:space="preserve"> </w:t>
      </w:r>
      <w:r w:rsidR="00AE65E6">
        <w:t>a</w:t>
      </w:r>
      <w:r w:rsidR="005330A4" w:rsidRPr="0098414F">
        <w:t xml:space="preserve">poyo </w:t>
      </w:r>
      <w:r w:rsidR="00523C87">
        <w:t xml:space="preserve">al </w:t>
      </w:r>
      <w:r w:rsidR="00AE65E6">
        <w:t>m</w:t>
      </w:r>
      <w:r w:rsidR="00523C87">
        <w:t xml:space="preserve">ejoramiento de la </w:t>
      </w:r>
      <w:r w:rsidR="00AE65E6">
        <w:t>p</w:t>
      </w:r>
      <w:r w:rsidR="004A6369" w:rsidRPr="0098414F">
        <w:t xml:space="preserve">roductividad y </w:t>
      </w:r>
      <w:r w:rsidR="00AE65E6">
        <w:t>c</w:t>
      </w:r>
      <w:r w:rsidR="004A6369" w:rsidRPr="0098414F">
        <w:t xml:space="preserve">ompetitividad del </w:t>
      </w:r>
      <w:r w:rsidR="00AE65E6">
        <w:t>s</w:t>
      </w:r>
      <w:r w:rsidR="004A6369" w:rsidRPr="0098414F">
        <w:t xml:space="preserve">ector </w:t>
      </w:r>
      <w:r w:rsidR="00AE65E6">
        <w:t>a</w:t>
      </w:r>
      <w:r w:rsidR="004A6369" w:rsidRPr="0098414F">
        <w:t>gropecuario</w:t>
      </w:r>
      <w:bookmarkEnd w:id="204"/>
      <w:bookmarkEnd w:id="205"/>
      <w:bookmarkEnd w:id="206"/>
      <w:bookmarkEnd w:id="207"/>
    </w:p>
    <w:p w14:paraId="54F0E8EF" w14:textId="77777777" w:rsidR="004A2905" w:rsidRDefault="004A2905" w:rsidP="001C76C4">
      <w:pPr>
        <w:spacing w:after="0" w:line="480" w:lineRule="auto"/>
        <w:ind w:left="284" w:firstLine="720"/>
        <w:jc w:val="both"/>
        <w:rPr>
          <w:rFonts w:ascii="Times New Roman" w:hAnsi="Times New Roman"/>
        </w:rPr>
      </w:pPr>
    </w:p>
    <w:p w14:paraId="27C1C481" w14:textId="77777777" w:rsidR="001C76C4" w:rsidRPr="00D6012A" w:rsidRDefault="004E5C46" w:rsidP="001C76C4">
      <w:pPr>
        <w:spacing w:after="0" w:line="480" w:lineRule="auto"/>
        <w:ind w:left="284" w:firstLine="720"/>
        <w:jc w:val="both"/>
        <w:rPr>
          <w:rFonts w:ascii="Times New Roman" w:hAnsi="Times New Roman"/>
        </w:rPr>
      </w:pPr>
      <w:r w:rsidRPr="00D6012A">
        <w:rPr>
          <w:rFonts w:ascii="Times New Roman" w:hAnsi="Times New Roman"/>
        </w:rPr>
        <w:t xml:space="preserve">Con </w:t>
      </w:r>
      <w:r w:rsidR="001C76C4" w:rsidRPr="00D6012A">
        <w:rPr>
          <w:rFonts w:ascii="Times New Roman" w:hAnsi="Times New Roman"/>
        </w:rPr>
        <w:t xml:space="preserve">el apoyo de las </w:t>
      </w:r>
      <w:r w:rsidR="00AC4439" w:rsidRPr="00D6012A">
        <w:rPr>
          <w:rFonts w:ascii="Times New Roman" w:hAnsi="Times New Roman"/>
        </w:rPr>
        <w:t>Instituciones adscritas a</w:t>
      </w:r>
      <w:r w:rsidRPr="00D6012A">
        <w:rPr>
          <w:rFonts w:ascii="Times New Roman" w:hAnsi="Times New Roman"/>
        </w:rPr>
        <w:t xml:space="preserve">l Ministerio de Agricultura </w:t>
      </w:r>
      <w:r w:rsidR="00AC4439" w:rsidRPr="00D6012A">
        <w:rPr>
          <w:rFonts w:ascii="Times New Roman" w:hAnsi="Times New Roman"/>
        </w:rPr>
        <w:t>se ejecuta una serie de programas y proyectos</w:t>
      </w:r>
      <w:r w:rsidR="001C76C4" w:rsidRPr="00D6012A">
        <w:rPr>
          <w:rFonts w:ascii="Times New Roman" w:hAnsi="Times New Roman"/>
        </w:rPr>
        <w:t xml:space="preserve">, </w:t>
      </w:r>
      <w:r w:rsidRPr="00D6012A">
        <w:rPr>
          <w:rFonts w:ascii="Times New Roman" w:hAnsi="Times New Roman"/>
        </w:rPr>
        <w:t>enmarcados dentro de las Metas del P</w:t>
      </w:r>
      <w:r w:rsidR="001C76C4" w:rsidRPr="00D6012A">
        <w:rPr>
          <w:rFonts w:ascii="Times New Roman" w:hAnsi="Times New Roman"/>
        </w:rPr>
        <w:t xml:space="preserve">residente </w:t>
      </w:r>
      <w:r w:rsidRPr="00D6012A">
        <w:rPr>
          <w:rFonts w:ascii="Times New Roman" w:hAnsi="Times New Roman"/>
        </w:rPr>
        <w:t xml:space="preserve">Lic. </w:t>
      </w:r>
      <w:r w:rsidR="001C76C4" w:rsidRPr="00D6012A">
        <w:rPr>
          <w:rFonts w:ascii="Times New Roman" w:hAnsi="Times New Roman"/>
        </w:rPr>
        <w:t xml:space="preserve">Danilo Medina </w:t>
      </w:r>
      <w:r w:rsidRPr="00D6012A">
        <w:rPr>
          <w:rFonts w:ascii="Times New Roman" w:hAnsi="Times New Roman"/>
        </w:rPr>
        <w:t xml:space="preserve">Sánchez </w:t>
      </w:r>
      <w:r w:rsidR="00064F45" w:rsidRPr="00D6012A">
        <w:rPr>
          <w:rFonts w:ascii="Times New Roman" w:hAnsi="Times New Roman"/>
        </w:rPr>
        <w:t>para</w:t>
      </w:r>
      <w:r w:rsidR="001C76C4" w:rsidRPr="00D6012A">
        <w:rPr>
          <w:rFonts w:ascii="Times New Roman" w:hAnsi="Times New Roman"/>
        </w:rPr>
        <w:t xml:space="preserve"> incrementar las exportaciones y abrir nuevos merc</w:t>
      </w:r>
      <w:r w:rsidR="00AC4439" w:rsidRPr="00D6012A">
        <w:rPr>
          <w:rFonts w:ascii="Times New Roman" w:hAnsi="Times New Roman"/>
        </w:rPr>
        <w:t xml:space="preserve">ados a los productos nacionales, mejorar la productividad y </w:t>
      </w:r>
      <w:r w:rsidR="00AC4439" w:rsidRPr="00D6012A">
        <w:rPr>
          <w:rFonts w:ascii="Times New Roman" w:hAnsi="Times New Roman"/>
        </w:rPr>
        <w:lastRenderedPageBreak/>
        <w:t xml:space="preserve">competitividad del sector, así como también garantizar alimentos inocuos para el pueblo </w:t>
      </w:r>
      <w:r w:rsidR="00693520" w:rsidRPr="00D6012A">
        <w:rPr>
          <w:rFonts w:ascii="Times New Roman" w:hAnsi="Times New Roman"/>
        </w:rPr>
        <w:t>dominicano</w:t>
      </w:r>
      <w:r w:rsidR="00AC4439" w:rsidRPr="00D6012A">
        <w:rPr>
          <w:rFonts w:ascii="Times New Roman" w:hAnsi="Times New Roman"/>
        </w:rPr>
        <w:t>.</w:t>
      </w:r>
    </w:p>
    <w:p w14:paraId="4F9C4E2C" w14:textId="77777777" w:rsidR="001C76C4" w:rsidRPr="00D6012A" w:rsidRDefault="001C76C4" w:rsidP="001C76C4">
      <w:pPr>
        <w:spacing w:after="0" w:line="480" w:lineRule="auto"/>
        <w:ind w:left="284" w:firstLine="720"/>
        <w:jc w:val="both"/>
        <w:rPr>
          <w:rFonts w:ascii="Times New Roman" w:hAnsi="Times New Roman"/>
        </w:rPr>
      </w:pPr>
    </w:p>
    <w:p w14:paraId="3A6FC880" w14:textId="0F775107" w:rsidR="001C76C4" w:rsidRPr="00D6012A" w:rsidRDefault="001C76C4" w:rsidP="001C76C4">
      <w:pPr>
        <w:spacing w:after="0" w:line="480" w:lineRule="auto"/>
        <w:ind w:left="284" w:firstLine="720"/>
        <w:jc w:val="both"/>
        <w:rPr>
          <w:rFonts w:ascii="Times New Roman" w:hAnsi="Times New Roman"/>
        </w:rPr>
      </w:pPr>
      <w:r w:rsidRPr="00D6012A">
        <w:rPr>
          <w:rFonts w:ascii="Times New Roman" w:hAnsi="Times New Roman"/>
        </w:rPr>
        <w:t xml:space="preserve">Con </w:t>
      </w:r>
      <w:r w:rsidR="00064F45" w:rsidRPr="00D6012A">
        <w:rPr>
          <w:rFonts w:ascii="Times New Roman" w:hAnsi="Times New Roman"/>
        </w:rPr>
        <w:t xml:space="preserve">estos proyectos, </w:t>
      </w:r>
      <w:r w:rsidR="00AC4439" w:rsidRPr="00D6012A">
        <w:rPr>
          <w:rFonts w:ascii="Times New Roman" w:hAnsi="Times New Roman"/>
        </w:rPr>
        <w:t>el Sector Agropecuario</w:t>
      </w:r>
      <w:r w:rsidRPr="00D6012A">
        <w:rPr>
          <w:rFonts w:ascii="Times New Roman" w:hAnsi="Times New Roman"/>
        </w:rPr>
        <w:t xml:space="preserve"> </w:t>
      </w:r>
      <w:r w:rsidR="00AC4439" w:rsidRPr="00D6012A">
        <w:rPr>
          <w:rFonts w:ascii="Times New Roman" w:hAnsi="Times New Roman"/>
        </w:rPr>
        <w:t xml:space="preserve">junto </w:t>
      </w:r>
      <w:r w:rsidR="002741DB" w:rsidRPr="00D6012A">
        <w:rPr>
          <w:rFonts w:ascii="Times New Roman" w:hAnsi="Times New Roman"/>
        </w:rPr>
        <w:t>al</w:t>
      </w:r>
      <w:r w:rsidR="00AC4439" w:rsidRPr="00D6012A">
        <w:rPr>
          <w:rFonts w:ascii="Times New Roman" w:hAnsi="Times New Roman"/>
        </w:rPr>
        <w:t xml:space="preserve"> Gobierno Central y Organismos Internacionales</w:t>
      </w:r>
      <w:r w:rsidRPr="00D6012A">
        <w:rPr>
          <w:rFonts w:ascii="Times New Roman" w:hAnsi="Times New Roman"/>
        </w:rPr>
        <w:t>, busca</w:t>
      </w:r>
      <w:r w:rsidR="00AC4439" w:rsidRPr="00D6012A">
        <w:rPr>
          <w:rFonts w:ascii="Times New Roman" w:hAnsi="Times New Roman"/>
        </w:rPr>
        <w:t>n</w:t>
      </w:r>
      <w:r w:rsidRPr="00D6012A">
        <w:rPr>
          <w:rFonts w:ascii="Times New Roman" w:hAnsi="Times New Roman"/>
        </w:rPr>
        <w:t xml:space="preserve"> mejorar las áreas de </w:t>
      </w:r>
      <w:r w:rsidR="00693520" w:rsidRPr="00D6012A">
        <w:rPr>
          <w:rFonts w:ascii="Times New Roman" w:hAnsi="Times New Roman"/>
        </w:rPr>
        <w:t>Inocuidad y S</w:t>
      </w:r>
      <w:r w:rsidRPr="00D6012A">
        <w:rPr>
          <w:rFonts w:ascii="Times New Roman" w:hAnsi="Times New Roman"/>
        </w:rPr>
        <w:t xml:space="preserve">anidad </w:t>
      </w:r>
      <w:r w:rsidR="00053A55" w:rsidRPr="00D6012A">
        <w:rPr>
          <w:rFonts w:ascii="Times New Roman" w:hAnsi="Times New Roman"/>
        </w:rPr>
        <w:t xml:space="preserve">vegetal y animal, </w:t>
      </w:r>
      <w:r w:rsidR="00693520" w:rsidRPr="00D6012A">
        <w:rPr>
          <w:rFonts w:ascii="Times New Roman" w:hAnsi="Times New Roman"/>
        </w:rPr>
        <w:t>Fortalecimiento de las capacidades de análisis de los laboratorios, apoyo a la competitividad para incrementar la capacidad productiva local, así como el fomento y fortalecimiento de los rubros de vocación exportadora.</w:t>
      </w:r>
    </w:p>
    <w:p w14:paraId="3925053F" w14:textId="09887042" w:rsidR="004245EB" w:rsidRDefault="004245EB" w:rsidP="00680D76">
      <w:pPr>
        <w:spacing w:after="0" w:line="480" w:lineRule="auto"/>
        <w:rPr>
          <w:rFonts w:ascii="Times New Roman" w:hAnsi="Times New Roman"/>
        </w:rPr>
      </w:pPr>
    </w:p>
    <w:p w14:paraId="5405F18F" w14:textId="77777777" w:rsidR="00693520" w:rsidRPr="00D6012A" w:rsidRDefault="00693520" w:rsidP="00CA5792">
      <w:pPr>
        <w:pStyle w:val="Ttulo3"/>
      </w:pPr>
      <w:bookmarkStart w:id="208" w:name="_Toc467682181"/>
      <w:bookmarkStart w:id="209" w:name="_Toc26292068"/>
      <w:bookmarkStart w:id="210" w:name="_Toc27146775"/>
      <w:r w:rsidRPr="00D6012A">
        <w:t xml:space="preserve">Laboratorio de </w:t>
      </w:r>
      <w:r w:rsidR="00D97BE5" w:rsidRPr="00D6012A">
        <w:t>b</w:t>
      </w:r>
      <w:r w:rsidRPr="00D6012A">
        <w:t xml:space="preserve">iotecnología </w:t>
      </w:r>
      <w:r w:rsidR="00D97BE5" w:rsidRPr="00D6012A">
        <w:t>r</w:t>
      </w:r>
      <w:r w:rsidRPr="00D6012A">
        <w:t xml:space="preserve">eproductiva </w:t>
      </w:r>
      <w:r w:rsidR="00D97BE5" w:rsidRPr="00D6012A">
        <w:t>a</w:t>
      </w:r>
      <w:r w:rsidR="00142499" w:rsidRPr="00D6012A">
        <w:t>nimal, VITROGAN</w:t>
      </w:r>
      <w:bookmarkEnd w:id="208"/>
      <w:r w:rsidRPr="00D6012A">
        <w:rPr>
          <w:rStyle w:val="Refdenotaalpie"/>
        </w:rPr>
        <w:t xml:space="preserve"> </w:t>
      </w:r>
      <w:r w:rsidRPr="00D6012A">
        <w:rPr>
          <w:rStyle w:val="Refdenotaalpie"/>
          <w:b w:val="0"/>
        </w:rPr>
        <w:footnoteReference w:id="13"/>
      </w:r>
      <w:bookmarkEnd w:id="209"/>
      <w:bookmarkEnd w:id="210"/>
    </w:p>
    <w:p w14:paraId="5C47155B" w14:textId="77777777" w:rsidR="004A2905" w:rsidRDefault="004A2905" w:rsidP="00005830">
      <w:pPr>
        <w:spacing w:after="0" w:line="480" w:lineRule="auto"/>
        <w:ind w:firstLine="720"/>
        <w:jc w:val="both"/>
        <w:rPr>
          <w:rFonts w:ascii="Times New Roman" w:hAnsi="Times New Roman"/>
          <w:lang w:val="es-ES_tradnl"/>
        </w:rPr>
      </w:pPr>
    </w:p>
    <w:p w14:paraId="7AB42522" w14:textId="2292043E" w:rsidR="00005830" w:rsidRPr="00D6012A" w:rsidRDefault="00005830" w:rsidP="00005830">
      <w:pPr>
        <w:spacing w:after="0" w:line="480" w:lineRule="auto"/>
        <w:ind w:firstLine="720"/>
        <w:jc w:val="both"/>
        <w:rPr>
          <w:rFonts w:ascii="Times New Roman" w:hAnsi="Times New Roman"/>
          <w:lang w:val="es-MX"/>
        </w:rPr>
      </w:pPr>
      <w:r w:rsidRPr="00D6012A">
        <w:rPr>
          <w:rFonts w:ascii="Times New Roman" w:hAnsi="Times New Roman"/>
          <w:lang w:val="es-MX"/>
        </w:rPr>
        <w:t>VITROGAN es el primer laboratorio biotecnológico de reproducción animal estatal que produce embriones mediante Fertilización in Vitro con medios hechos en el país. Se cuenta con la asesoría de la empresa brasileña Apoyar Biotech, encargada de brindar el entrenamiento adecuado en las diversas áreas de trabajo del laboratorio y la producción de medios utilizados en la fertilización in vitro.</w:t>
      </w:r>
    </w:p>
    <w:p w14:paraId="044E8522" w14:textId="77777777" w:rsidR="00005830" w:rsidRPr="00D6012A" w:rsidRDefault="00005830" w:rsidP="00005830">
      <w:pPr>
        <w:spacing w:after="0" w:line="480" w:lineRule="auto"/>
        <w:ind w:firstLine="720"/>
        <w:jc w:val="both"/>
        <w:rPr>
          <w:rFonts w:ascii="Times New Roman" w:hAnsi="Times New Roman"/>
          <w:lang w:val="es-MX"/>
        </w:rPr>
      </w:pPr>
    </w:p>
    <w:p w14:paraId="5E305932" w14:textId="77777777" w:rsidR="00005830" w:rsidRDefault="00005830" w:rsidP="00005830">
      <w:pPr>
        <w:spacing w:after="0" w:line="480" w:lineRule="auto"/>
        <w:ind w:firstLine="720"/>
        <w:jc w:val="both"/>
        <w:rPr>
          <w:rFonts w:ascii="Times New Roman" w:hAnsi="Times New Roman"/>
          <w:lang w:val="es-MX"/>
        </w:rPr>
      </w:pPr>
      <w:r w:rsidRPr="00D6012A">
        <w:rPr>
          <w:rFonts w:ascii="Times New Roman" w:hAnsi="Times New Roman"/>
          <w:lang w:val="es-MX"/>
        </w:rPr>
        <w:t>Desde hace 4 años, el laboratorio ha desarrollado en el país la producción de embriones de alta calidad genética para mejorar las razas bovinas del país, a fin de aumentar la productividad y competitividad del subsector pecuario.</w:t>
      </w:r>
    </w:p>
    <w:p w14:paraId="5A261549" w14:textId="77777777" w:rsidR="00693520" w:rsidRPr="00BF2915" w:rsidRDefault="00693520" w:rsidP="00693520">
      <w:pPr>
        <w:spacing w:after="0" w:line="480" w:lineRule="auto"/>
        <w:ind w:firstLine="720"/>
        <w:jc w:val="both"/>
        <w:rPr>
          <w:rFonts w:ascii="Times New Roman" w:hAnsi="Times New Roman"/>
          <w:lang w:val="es-MX"/>
        </w:rPr>
      </w:pPr>
      <w:r w:rsidRPr="00D6012A">
        <w:rPr>
          <w:rFonts w:ascii="Times New Roman" w:hAnsi="Times New Roman"/>
          <w:lang w:val="es-MX"/>
        </w:rPr>
        <w:lastRenderedPageBreak/>
        <w:t xml:space="preserve">El mejoramiento genético en la producción de animales de calidad, permite al país ser más productivo al </w:t>
      </w:r>
      <w:r w:rsidR="001E3361" w:rsidRPr="00D6012A">
        <w:rPr>
          <w:rFonts w:ascii="Times New Roman" w:hAnsi="Times New Roman"/>
          <w:lang w:val="es-MX"/>
        </w:rPr>
        <w:t>tiempo de</w:t>
      </w:r>
      <w:r w:rsidRPr="00D6012A">
        <w:rPr>
          <w:rFonts w:ascii="Times New Roman" w:hAnsi="Times New Roman"/>
          <w:lang w:val="es-MX"/>
        </w:rPr>
        <w:t xml:space="preserve"> garantizar la adquisición de animales de mejor raza para la apertura de mercados de exportación de carnes a Estados Unidos y otros destinos.</w:t>
      </w:r>
    </w:p>
    <w:p w14:paraId="020B74A7" w14:textId="77777777" w:rsidR="00693520" w:rsidRPr="00BF2915" w:rsidRDefault="00693520" w:rsidP="00693520">
      <w:pPr>
        <w:spacing w:after="0" w:line="480" w:lineRule="auto"/>
        <w:ind w:firstLine="720"/>
        <w:jc w:val="both"/>
        <w:rPr>
          <w:rFonts w:ascii="Times New Roman" w:hAnsi="Times New Roman"/>
          <w:lang w:val="es-MX"/>
        </w:rPr>
      </w:pPr>
    </w:p>
    <w:p w14:paraId="0C86EA10" w14:textId="30A9F804" w:rsidR="00693520" w:rsidRPr="00BF2915" w:rsidRDefault="00693520" w:rsidP="0020047B">
      <w:pPr>
        <w:pStyle w:val="Sinespaciado"/>
        <w:numPr>
          <w:ilvl w:val="0"/>
          <w:numId w:val="7"/>
        </w:numPr>
        <w:spacing w:line="480" w:lineRule="auto"/>
        <w:rPr>
          <w:rFonts w:ascii="Times New Roman" w:hAnsi="Times New Roman"/>
          <w:b/>
          <w:bCs/>
          <w:sz w:val="28"/>
        </w:rPr>
      </w:pPr>
      <w:r w:rsidRPr="00BF2915">
        <w:rPr>
          <w:rFonts w:ascii="Times New Roman" w:hAnsi="Times New Roman"/>
          <w:b/>
        </w:rPr>
        <w:t>Logros</w:t>
      </w:r>
      <w:r w:rsidR="00005830">
        <w:rPr>
          <w:rFonts w:ascii="Times New Roman" w:hAnsi="Times New Roman"/>
          <w:b/>
        </w:rPr>
        <w:t xml:space="preserve"> 2019</w:t>
      </w:r>
    </w:p>
    <w:p w14:paraId="658C4A41" w14:textId="77777777" w:rsidR="00005830" w:rsidRPr="00D6012A" w:rsidRDefault="00005830" w:rsidP="0020047B">
      <w:pPr>
        <w:pStyle w:val="Prrafodelista"/>
        <w:numPr>
          <w:ilvl w:val="1"/>
          <w:numId w:val="7"/>
        </w:numPr>
        <w:spacing w:after="0" w:line="480" w:lineRule="auto"/>
        <w:ind w:left="1276" w:firstLine="0"/>
        <w:jc w:val="both"/>
        <w:rPr>
          <w:rFonts w:ascii="Times New Roman" w:hAnsi="Times New Roman"/>
          <w:sz w:val="24"/>
          <w:szCs w:val="24"/>
        </w:rPr>
      </w:pPr>
      <w:bookmarkStart w:id="211" w:name="_Toc430672787"/>
      <w:bookmarkStart w:id="212" w:name="_Toc467682180"/>
      <w:r w:rsidRPr="00D6012A">
        <w:rPr>
          <w:rFonts w:ascii="Times New Roman" w:hAnsi="Times New Roman"/>
          <w:sz w:val="24"/>
          <w:szCs w:val="24"/>
        </w:rPr>
        <w:t>178 embriones producidos in vitro.</w:t>
      </w:r>
    </w:p>
    <w:p w14:paraId="520996D3" w14:textId="77777777" w:rsidR="00005830" w:rsidRPr="00D6012A" w:rsidRDefault="00005830" w:rsidP="0020047B">
      <w:pPr>
        <w:pStyle w:val="Prrafodelista"/>
        <w:numPr>
          <w:ilvl w:val="1"/>
          <w:numId w:val="7"/>
        </w:numPr>
        <w:spacing w:after="0" w:line="480" w:lineRule="auto"/>
        <w:ind w:left="1276" w:firstLine="0"/>
        <w:jc w:val="both"/>
        <w:rPr>
          <w:rFonts w:ascii="Times New Roman" w:hAnsi="Times New Roman"/>
          <w:sz w:val="24"/>
          <w:szCs w:val="24"/>
        </w:rPr>
      </w:pPr>
      <w:r w:rsidRPr="00D6012A">
        <w:rPr>
          <w:rFonts w:ascii="Times New Roman" w:hAnsi="Times New Roman"/>
          <w:sz w:val="24"/>
          <w:szCs w:val="24"/>
        </w:rPr>
        <w:t>99 embriones transferidos.</w:t>
      </w:r>
    </w:p>
    <w:p w14:paraId="54EBF61E" w14:textId="77777777" w:rsidR="00005830" w:rsidRPr="00D6012A" w:rsidRDefault="00005830" w:rsidP="0020047B">
      <w:pPr>
        <w:pStyle w:val="Prrafodelista"/>
        <w:numPr>
          <w:ilvl w:val="1"/>
          <w:numId w:val="7"/>
        </w:numPr>
        <w:spacing w:after="0" w:line="480" w:lineRule="auto"/>
        <w:ind w:left="1276" w:firstLine="0"/>
        <w:jc w:val="both"/>
        <w:rPr>
          <w:rFonts w:ascii="Times New Roman" w:hAnsi="Times New Roman"/>
          <w:sz w:val="24"/>
          <w:szCs w:val="24"/>
        </w:rPr>
      </w:pPr>
      <w:r w:rsidRPr="00D6012A">
        <w:rPr>
          <w:rFonts w:ascii="Times New Roman" w:hAnsi="Times New Roman"/>
          <w:sz w:val="24"/>
          <w:szCs w:val="24"/>
        </w:rPr>
        <w:t>854 inseminaciones.</w:t>
      </w:r>
    </w:p>
    <w:p w14:paraId="7B4DB217" w14:textId="77777777" w:rsidR="00005830" w:rsidRPr="00D6012A" w:rsidRDefault="00005830" w:rsidP="0020047B">
      <w:pPr>
        <w:pStyle w:val="Prrafodelista"/>
        <w:numPr>
          <w:ilvl w:val="1"/>
          <w:numId w:val="7"/>
        </w:numPr>
        <w:spacing w:after="0" w:line="480" w:lineRule="auto"/>
        <w:ind w:left="1276" w:firstLine="0"/>
        <w:jc w:val="both"/>
        <w:rPr>
          <w:rFonts w:ascii="Times New Roman" w:hAnsi="Times New Roman"/>
          <w:sz w:val="24"/>
          <w:szCs w:val="24"/>
        </w:rPr>
      </w:pPr>
      <w:r w:rsidRPr="00D6012A">
        <w:rPr>
          <w:rFonts w:ascii="Times New Roman" w:hAnsi="Times New Roman"/>
          <w:sz w:val="24"/>
          <w:szCs w:val="24"/>
        </w:rPr>
        <w:t>274 de preñeces confirmadas y entregadas.</w:t>
      </w:r>
    </w:p>
    <w:p w14:paraId="6EB60A59" w14:textId="7AD17E44" w:rsidR="00005830" w:rsidRPr="00D6012A" w:rsidRDefault="00005830" w:rsidP="0020047B">
      <w:pPr>
        <w:pStyle w:val="Prrafodelista"/>
        <w:numPr>
          <w:ilvl w:val="1"/>
          <w:numId w:val="7"/>
        </w:numPr>
        <w:spacing w:after="0" w:line="480" w:lineRule="auto"/>
        <w:ind w:left="1276" w:firstLine="0"/>
        <w:jc w:val="both"/>
        <w:rPr>
          <w:rFonts w:ascii="Times New Roman" w:hAnsi="Times New Roman"/>
          <w:sz w:val="24"/>
          <w:szCs w:val="24"/>
        </w:rPr>
      </w:pPr>
      <w:r w:rsidRPr="00D6012A">
        <w:rPr>
          <w:rFonts w:ascii="Times New Roman" w:hAnsi="Times New Roman"/>
          <w:sz w:val="24"/>
          <w:szCs w:val="24"/>
        </w:rPr>
        <w:t>2,194 vacunaciones de animales: 222 en la regional Este, 16</w:t>
      </w:r>
      <w:r w:rsidR="00680D76">
        <w:rPr>
          <w:rFonts w:ascii="Times New Roman" w:hAnsi="Times New Roman"/>
          <w:sz w:val="24"/>
          <w:szCs w:val="24"/>
        </w:rPr>
        <w:t xml:space="preserve">1 en la regional Norte y 1,781 </w:t>
      </w:r>
      <w:r w:rsidRPr="00D6012A">
        <w:rPr>
          <w:rFonts w:ascii="Times New Roman" w:hAnsi="Times New Roman"/>
          <w:sz w:val="24"/>
          <w:szCs w:val="24"/>
        </w:rPr>
        <w:t>en la regional Sur</w:t>
      </w:r>
    </w:p>
    <w:p w14:paraId="58B7EB0C" w14:textId="77777777" w:rsidR="00005830" w:rsidRPr="00D6012A" w:rsidRDefault="00005830" w:rsidP="004A2905">
      <w:pPr>
        <w:pStyle w:val="Prrafodelista"/>
        <w:numPr>
          <w:ilvl w:val="1"/>
          <w:numId w:val="7"/>
        </w:numPr>
        <w:spacing w:after="0" w:line="480" w:lineRule="auto"/>
        <w:ind w:left="1276" w:firstLine="0"/>
        <w:jc w:val="both"/>
        <w:rPr>
          <w:rFonts w:ascii="Times New Roman" w:hAnsi="Times New Roman"/>
          <w:sz w:val="24"/>
          <w:szCs w:val="24"/>
        </w:rPr>
      </w:pPr>
      <w:r w:rsidRPr="00D6012A">
        <w:rPr>
          <w:rFonts w:ascii="Times New Roman" w:hAnsi="Times New Roman"/>
          <w:sz w:val="24"/>
          <w:szCs w:val="24"/>
        </w:rPr>
        <w:t>824 Sincronizaciones de celo para inseminación artificial a tiempo fijo.</w:t>
      </w:r>
    </w:p>
    <w:p w14:paraId="22C108CC" w14:textId="77777777" w:rsidR="00005830" w:rsidRPr="00D6012A" w:rsidRDefault="00005830" w:rsidP="004A2905">
      <w:pPr>
        <w:pStyle w:val="Prrafodelista"/>
        <w:numPr>
          <w:ilvl w:val="1"/>
          <w:numId w:val="7"/>
        </w:numPr>
        <w:spacing w:after="0" w:line="480" w:lineRule="auto"/>
        <w:ind w:left="1276" w:firstLine="0"/>
        <w:jc w:val="both"/>
        <w:rPr>
          <w:rFonts w:ascii="Times New Roman" w:hAnsi="Times New Roman"/>
          <w:sz w:val="24"/>
          <w:szCs w:val="24"/>
        </w:rPr>
      </w:pPr>
      <w:r w:rsidRPr="00D6012A">
        <w:rPr>
          <w:rFonts w:ascii="Times New Roman" w:hAnsi="Times New Roman"/>
          <w:sz w:val="24"/>
          <w:szCs w:val="24"/>
        </w:rPr>
        <w:t>874 inseminaciones artificiales a tiempo fijo.</w:t>
      </w:r>
    </w:p>
    <w:p w14:paraId="330F67DF" w14:textId="77777777" w:rsidR="000902E8" w:rsidRDefault="000902E8" w:rsidP="004A2905">
      <w:pPr>
        <w:spacing w:after="0" w:line="480" w:lineRule="auto"/>
        <w:rPr>
          <w:rFonts w:ascii="Times New Roman" w:eastAsia="Calibri" w:hAnsi="Times New Roman"/>
          <w:color w:val="4F81BD" w:themeColor="accent1"/>
          <w:lang w:eastAsia="en-US"/>
        </w:rPr>
      </w:pPr>
    </w:p>
    <w:p w14:paraId="7110921A" w14:textId="77777777" w:rsidR="00693520" w:rsidRPr="00D6012A" w:rsidRDefault="00693520" w:rsidP="004A2905">
      <w:pPr>
        <w:pStyle w:val="Ttulo3"/>
      </w:pPr>
      <w:bookmarkStart w:id="213" w:name="_Toc26292069"/>
      <w:bookmarkStart w:id="214" w:name="_Toc27146776"/>
      <w:r w:rsidRPr="00D6012A">
        <w:t xml:space="preserve">Laboratorio de </w:t>
      </w:r>
      <w:r w:rsidR="00D97BE5" w:rsidRPr="00D6012A">
        <w:t>m</w:t>
      </w:r>
      <w:r w:rsidRPr="00D6012A">
        <w:t xml:space="preserve">icropropagación de </w:t>
      </w:r>
      <w:r w:rsidR="00D97BE5" w:rsidRPr="00D6012A">
        <w:t>p</w:t>
      </w:r>
      <w:r w:rsidRPr="00D6012A">
        <w:t xml:space="preserve">lantas </w:t>
      </w:r>
      <w:r w:rsidR="00D97BE5" w:rsidRPr="00D6012A">
        <w:t>i</w:t>
      </w:r>
      <w:r w:rsidRPr="00D6012A">
        <w:t xml:space="preserve">n </w:t>
      </w:r>
      <w:r w:rsidR="00D97BE5" w:rsidRPr="00D6012A">
        <w:t>v</w:t>
      </w:r>
      <w:r w:rsidRPr="00D6012A">
        <w:t>itro</w:t>
      </w:r>
      <w:r w:rsidR="00142499" w:rsidRPr="00D6012A">
        <w:t>,</w:t>
      </w:r>
      <w:r w:rsidRPr="00D6012A">
        <w:t xml:space="preserve"> BIOVEGA</w:t>
      </w:r>
      <w:bookmarkEnd w:id="211"/>
      <w:bookmarkEnd w:id="212"/>
      <w:r w:rsidRPr="00D6012A">
        <w:rPr>
          <w:rStyle w:val="Refdenotaalpie"/>
          <w:b w:val="0"/>
        </w:rPr>
        <w:footnoteReference w:id="14"/>
      </w:r>
      <w:bookmarkEnd w:id="213"/>
      <w:bookmarkEnd w:id="214"/>
    </w:p>
    <w:p w14:paraId="2E0B2B3C" w14:textId="77777777" w:rsidR="004A2905" w:rsidRDefault="004A2905" w:rsidP="000902E8">
      <w:pPr>
        <w:spacing w:after="0" w:line="480" w:lineRule="auto"/>
        <w:ind w:firstLine="720"/>
        <w:jc w:val="both"/>
        <w:rPr>
          <w:rFonts w:ascii="Times New Roman" w:hAnsi="Times New Roman"/>
          <w:lang w:val="es-MX"/>
        </w:rPr>
      </w:pPr>
    </w:p>
    <w:p w14:paraId="23C1E336" w14:textId="77777777" w:rsidR="00665623" w:rsidRDefault="00693520" w:rsidP="000902E8">
      <w:pPr>
        <w:spacing w:after="0" w:line="480" w:lineRule="auto"/>
        <w:ind w:firstLine="720"/>
        <w:jc w:val="both"/>
        <w:rPr>
          <w:rFonts w:ascii="Times New Roman" w:hAnsi="Times New Roman"/>
          <w:lang w:val="es-MX"/>
        </w:rPr>
      </w:pPr>
      <w:r w:rsidRPr="00D6012A">
        <w:rPr>
          <w:rFonts w:ascii="Times New Roman" w:hAnsi="Times New Roman"/>
          <w:lang w:val="es-MX"/>
        </w:rPr>
        <w:t xml:space="preserve">Tiene como finalidad apoyar las políticas, los programas y proyectos de seguridad alimentaria, agro exportación y conservación de recursos fitogenéticos </w:t>
      </w:r>
      <w:r w:rsidRPr="00D6012A">
        <w:rPr>
          <w:rFonts w:ascii="Times New Roman" w:hAnsi="Times New Roman"/>
          <w:lang w:val="es-MX"/>
        </w:rPr>
        <w:lastRenderedPageBreak/>
        <w:t xml:space="preserve">del Estado Dominicano, asegurando la disponibilidad de material vegetativo de siembra </w:t>
      </w:r>
      <w:r w:rsidR="000902E8" w:rsidRPr="00D6012A">
        <w:rPr>
          <w:rFonts w:ascii="Times New Roman" w:hAnsi="Times New Roman"/>
          <w:lang w:val="es-MX"/>
        </w:rPr>
        <w:t>de ca</w:t>
      </w:r>
      <w:r w:rsidR="00665623" w:rsidRPr="00D6012A">
        <w:rPr>
          <w:rFonts w:ascii="Times New Roman" w:hAnsi="Times New Roman"/>
          <w:lang w:val="es-MX"/>
        </w:rPr>
        <w:t>lidad y alto potencial genético.</w:t>
      </w:r>
    </w:p>
    <w:p w14:paraId="60365A85" w14:textId="77777777" w:rsidR="00665623" w:rsidRDefault="00665623" w:rsidP="000902E8">
      <w:pPr>
        <w:spacing w:after="0" w:line="480" w:lineRule="auto"/>
        <w:ind w:firstLine="720"/>
        <w:jc w:val="both"/>
        <w:rPr>
          <w:rFonts w:ascii="Times New Roman" w:hAnsi="Times New Roman"/>
          <w:lang w:val="es-MX"/>
        </w:rPr>
      </w:pPr>
    </w:p>
    <w:p w14:paraId="203B7A3C" w14:textId="77777777" w:rsidR="00693520" w:rsidRPr="00D6012A" w:rsidRDefault="00665623" w:rsidP="000902E8">
      <w:pPr>
        <w:spacing w:after="0" w:line="480" w:lineRule="auto"/>
        <w:ind w:firstLine="720"/>
        <w:jc w:val="both"/>
        <w:rPr>
          <w:rFonts w:ascii="Times New Roman" w:hAnsi="Times New Roman"/>
          <w:lang w:val="es-MX"/>
        </w:rPr>
      </w:pPr>
      <w:r w:rsidRPr="00D6012A">
        <w:rPr>
          <w:rFonts w:ascii="Times New Roman" w:hAnsi="Times New Roman"/>
          <w:lang w:val="es-MX"/>
        </w:rPr>
        <w:t>Así como fomentar</w:t>
      </w:r>
      <w:r w:rsidR="00693520" w:rsidRPr="00D6012A">
        <w:rPr>
          <w:rFonts w:ascii="Times New Roman" w:hAnsi="Times New Roman"/>
          <w:lang w:val="es-MX"/>
        </w:rPr>
        <w:t xml:space="preserve"> la innovación tecn</w:t>
      </w:r>
      <w:r w:rsidR="000902E8" w:rsidRPr="00D6012A">
        <w:rPr>
          <w:rFonts w:ascii="Times New Roman" w:hAnsi="Times New Roman"/>
          <w:lang w:val="es-MX"/>
        </w:rPr>
        <w:t>ológica del sector agropecuario, mediante la utilización de técnicas biotecnológicas de Micropropagación in vitro de plantas, como son: el cultivo de células y tejidos vegetales y el uso de Biorreactores de Inmersión Temporal (BIT).</w:t>
      </w:r>
    </w:p>
    <w:p w14:paraId="41161CD0" w14:textId="6139E22E" w:rsidR="00680D76" w:rsidRPr="00D6012A" w:rsidRDefault="00680D76" w:rsidP="00680D76">
      <w:pPr>
        <w:spacing w:after="0" w:line="480" w:lineRule="auto"/>
        <w:jc w:val="both"/>
        <w:rPr>
          <w:rFonts w:ascii="Times New Roman" w:hAnsi="Times New Roman"/>
          <w:lang w:val="es-MX"/>
        </w:rPr>
      </w:pPr>
    </w:p>
    <w:p w14:paraId="67D5682B" w14:textId="77777777" w:rsidR="00693520" w:rsidRPr="00D6012A" w:rsidRDefault="00693520" w:rsidP="0020047B">
      <w:pPr>
        <w:pStyle w:val="Sinespaciado"/>
        <w:numPr>
          <w:ilvl w:val="0"/>
          <w:numId w:val="7"/>
        </w:numPr>
        <w:spacing w:line="480" w:lineRule="auto"/>
        <w:rPr>
          <w:rFonts w:ascii="Times New Roman" w:hAnsi="Times New Roman"/>
          <w:b/>
          <w:bCs/>
          <w:sz w:val="28"/>
        </w:rPr>
      </w:pPr>
      <w:r w:rsidRPr="00D6012A">
        <w:rPr>
          <w:rFonts w:ascii="Times New Roman" w:hAnsi="Times New Roman"/>
          <w:b/>
        </w:rPr>
        <w:t>Logros</w:t>
      </w:r>
    </w:p>
    <w:p w14:paraId="010A2E97" w14:textId="1370ED72" w:rsidR="00693520" w:rsidRPr="00D6012A" w:rsidRDefault="008C43BF" w:rsidP="0020047B">
      <w:pPr>
        <w:pStyle w:val="Prrafodelista"/>
        <w:numPr>
          <w:ilvl w:val="1"/>
          <w:numId w:val="2"/>
        </w:numPr>
        <w:spacing w:after="0" w:line="480" w:lineRule="auto"/>
        <w:ind w:left="1276" w:firstLine="0"/>
        <w:jc w:val="both"/>
        <w:rPr>
          <w:rFonts w:ascii="Times New Roman" w:hAnsi="Times New Roman"/>
          <w:sz w:val="24"/>
          <w:szCs w:val="24"/>
        </w:rPr>
      </w:pPr>
      <w:r w:rsidRPr="00D6012A">
        <w:rPr>
          <w:rFonts w:ascii="Times New Roman" w:hAnsi="Times New Roman"/>
          <w:sz w:val="24"/>
          <w:szCs w:val="24"/>
        </w:rPr>
        <w:t>486,597</w:t>
      </w:r>
      <w:r w:rsidR="00693520" w:rsidRPr="00D6012A">
        <w:rPr>
          <w:rFonts w:ascii="Times New Roman" w:hAnsi="Times New Roman"/>
          <w:sz w:val="24"/>
          <w:szCs w:val="24"/>
        </w:rPr>
        <w:t xml:space="preserve"> unidades explantes de plátano, guineo, yuca, café y otros rubros producidos.</w:t>
      </w:r>
    </w:p>
    <w:p w14:paraId="7EA9F8B8" w14:textId="77777777" w:rsidR="00693520" w:rsidRPr="00D6012A" w:rsidRDefault="000902E8" w:rsidP="0020047B">
      <w:pPr>
        <w:pStyle w:val="Prrafodelista"/>
        <w:numPr>
          <w:ilvl w:val="1"/>
          <w:numId w:val="2"/>
        </w:numPr>
        <w:spacing w:after="0" w:line="480" w:lineRule="auto"/>
        <w:ind w:left="1276" w:firstLine="0"/>
        <w:jc w:val="both"/>
        <w:rPr>
          <w:rFonts w:ascii="Times New Roman" w:hAnsi="Times New Roman"/>
          <w:sz w:val="24"/>
          <w:szCs w:val="24"/>
        </w:rPr>
      </w:pPr>
      <w:r w:rsidRPr="00D6012A">
        <w:rPr>
          <w:rFonts w:ascii="Times New Roman" w:hAnsi="Times New Roman"/>
          <w:sz w:val="24"/>
          <w:szCs w:val="24"/>
        </w:rPr>
        <w:t>707,697</w:t>
      </w:r>
      <w:r w:rsidR="00693520" w:rsidRPr="00D6012A">
        <w:rPr>
          <w:rFonts w:ascii="Times New Roman" w:hAnsi="Times New Roman"/>
          <w:sz w:val="24"/>
          <w:szCs w:val="24"/>
        </w:rPr>
        <w:t xml:space="preserve"> vitroplantas de plátano, guineo y yuca distribuidos para la siembra.</w:t>
      </w:r>
    </w:p>
    <w:p w14:paraId="799847B5" w14:textId="77777777" w:rsidR="007F3EEF" w:rsidRDefault="007F3EEF">
      <w:pPr>
        <w:spacing w:after="0"/>
        <w:rPr>
          <w:rFonts w:ascii="Times New Roman" w:eastAsia="Calibri" w:hAnsi="Times New Roman"/>
          <w:lang w:eastAsia="en-US"/>
        </w:rPr>
      </w:pPr>
    </w:p>
    <w:p w14:paraId="76BF41EB" w14:textId="4A440126" w:rsidR="001C6C13" w:rsidRPr="00BF2915" w:rsidRDefault="00B74B7C" w:rsidP="001C6B1A">
      <w:pPr>
        <w:pStyle w:val="Prrafodelista"/>
        <w:numPr>
          <w:ilvl w:val="0"/>
          <w:numId w:val="9"/>
        </w:numPr>
        <w:spacing w:after="0" w:line="480" w:lineRule="auto"/>
        <w:ind w:left="567" w:hanging="567"/>
        <w:rPr>
          <w:rFonts w:ascii="Times New Roman" w:hAnsi="Times New Roman"/>
          <w:b/>
          <w:sz w:val="24"/>
          <w:lang w:val="es-ES_tradnl"/>
        </w:rPr>
      </w:pPr>
      <w:r w:rsidRPr="00BF2915">
        <w:rPr>
          <w:rFonts w:ascii="Times New Roman" w:hAnsi="Times New Roman"/>
          <w:b/>
          <w:sz w:val="24"/>
          <w:lang w:val="es-ES_tradnl"/>
        </w:rPr>
        <w:t>Producción</w:t>
      </w:r>
      <w:r w:rsidR="0098249D" w:rsidRPr="00BF2915">
        <w:rPr>
          <w:rFonts w:ascii="Times New Roman" w:hAnsi="Times New Roman"/>
          <w:b/>
          <w:sz w:val="24"/>
          <w:lang w:val="es-ES_tradnl"/>
        </w:rPr>
        <w:t xml:space="preserve"> de e</w:t>
      </w:r>
      <w:r w:rsidR="001C6A76" w:rsidRPr="00BF2915">
        <w:rPr>
          <w:rFonts w:ascii="Times New Roman" w:hAnsi="Times New Roman"/>
          <w:b/>
          <w:sz w:val="24"/>
          <w:lang w:val="es-ES_tradnl"/>
        </w:rPr>
        <w:t>xplantes</w:t>
      </w:r>
      <w:r w:rsidRPr="00BF2915">
        <w:rPr>
          <w:rFonts w:ascii="Times New Roman" w:hAnsi="Times New Roman"/>
          <w:b/>
          <w:sz w:val="24"/>
          <w:lang w:val="es-ES_tradnl"/>
        </w:rPr>
        <w:t xml:space="preserve"> </w:t>
      </w:r>
      <w:r w:rsidR="0098249D" w:rsidRPr="00BF2915">
        <w:rPr>
          <w:rFonts w:ascii="Times New Roman" w:hAnsi="Times New Roman"/>
          <w:b/>
          <w:sz w:val="24"/>
          <w:lang w:val="es-ES_tradnl"/>
        </w:rPr>
        <w:t>enero-octubre</w:t>
      </w:r>
      <w:r w:rsidR="008C43BF">
        <w:rPr>
          <w:rFonts w:ascii="Times New Roman" w:hAnsi="Times New Roman"/>
          <w:b/>
          <w:sz w:val="24"/>
          <w:lang w:val="es-ES_tradnl"/>
        </w:rPr>
        <w:t xml:space="preserve"> 2019</w:t>
      </w:r>
    </w:p>
    <w:tbl>
      <w:tblPr>
        <w:tblW w:w="5362" w:type="pct"/>
        <w:tblInd w:w="-572" w:type="dxa"/>
        <w:tblCellMar>
          <w:left w:w="70" w:type="dxa"/>
          <w:right w:w="70" w:type="dxa"/>
        </w:tblCellMar>
        <w:tblLook w:val="04A0" w:firstRow="1" w:lastRow="0" w:firstColumn="1" w:lastColumn="0" w:noHBand="0" w:noVBand="1"/>
      </w:tblPr>
      <w:tblGrid>
        <w:gridCol w:w="1087"/>
        <w:gridCol w:w="800"/>
        <w:gridCol w:w="800"/>
        <w:gridCol w:w="800"/>
        <w:gridCol w:w="800"/>
        <w:gridCol w:w="800"/>
        <w:gridCol w:w="800"/>
        <w:gridCol w:w="800"/>
        <w:gridCol w:w="800"/>
        <w:gridCol w:w="800"/>
        <w:gridCol w:w="800"/>
        <w:gridCol w:w="920"/>
      </w:tblGrid>
      <w:tr w:rsidR="008C43BF" w:rsidRPr="00E41A7F" w14:paraId="53407AC5" w14:textId="77777777" w:rsidTr="008C43BF">
        <w:trPr>
          <w:trHeight w:val="300"/>
        </w:trPr>
        <w:tc>
          <w:tcPr>
            <w:tcW w:w="795"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41CE5CB4" w14:textId="77777777" w:rsidR="008C43BF" w:rsidRPr="00E41A7F" w:rsidRDefault="008C43BF" w:rsidP="008C43BF">
            <w:pPr>
              <w:spacing w:after="0"/>
              <w:jc w:val="center"/>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Genotipo</w:t>
            </w:r>
          </w:p>
        </w:tc>
        <w:tc>
          <w:tcPr>
            <w:tcW w:w="344" w:type="pct"/>
            <w:tcBorders>
              <w:top w:val="single" w:sz="4" w:space="0" w:color="auto"/>
              <w:left w:val="nil"/>
              <w:bottom w:val="single" w:sz="4" w:space="0" w:color="auto"/>
              <w:right w:val="single" w:sz="4" w:space="0" w:color="auto"/>
            </w:tcBorders>
            <w:shd w:val="clear" w:color="auto" w:fill="00B050"/>
            <w:noWrap/>
            <w:vAlign w:val="center"/>
            <w:hideMark/>
          </w:tcPr>
          <w:p w14:paraId="24C731BF" w14:textId="08D8E06D" w:rsidR="008C43BF" w:rsidRPr="00E41A7F" w:rsidRDefault="008C43BF" w:rsidP="008C43BF">
            <w:pPr>
              <w:spacing w:after="0"/>
              <w:jc w:val="center"/>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Ene.</w:t>
            </w:r>
          </w:p>
        </w:tc>
        <w:tc>
          <w:tcPr>
            <w:tcW w:w="410" w:type="pct"/>
            <w:tcBorders>
              <w:top w:val="single" w:sz="4" w:space="0" w:color="auto"/>
              <w:left w:val="nil"/>
              <w:bottom w:val="single" w:sz="4" w:space="0" w:color="auto"/>
              <w:right w:val="single" w:sz="4" w:space="0" w:color="auto"/>
            </w:tcBorders>
            <w:shd w:val="clear" w:color="auto" w:fill="00B050"/>
            <w:noWrap/>
            <w:vAlign w:val="center"/>
            <w:hideMark/>
          </w:tcPr>
          <w:p w14:paraId="08CC2363" w14:textId="6860E2C0" w:rsidR="008C43BF" w:rsidRPr="00E41A7F" w:rsidRDefault="008C43BF" w:rsidP="008C43BF">
            <w:pPr>
              <w:spacing w:after="0"/>
              <w:jc w:val="center"/>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Feb.</w:t>
            </w:r>
          </w:p>
        </w:tc>
        <w:tc>
          <w:tcPr>
            <w:tcW w:w="352" w:type="pct"/>
            <w:tcBorders>
              <w:top w:val="single" w:sz="4" w:space="0" w:color="auto"/>
              <w:left w:val="nil"/>
              <w:bottom w:val="single" w:sz="4" w:space="0" w:color="auto"/>
              <w:right w:val="single" w:sz="4" w:space="0" w:color="auto"/>
            </w:tcBorders>
            <w:shd w:val="clear" w:color="auto" w:fill="00B050"/>
            <w:noWrap/>
            <w:vAlign w:val="center"/>
            <w:hideMark/>
          </w:tcPr>
          <w:p w14:paraId="1A764CE2" w14:textId="224E2CC9" w:rsidR="008C43BF" w:rsidRPr="00E41A7F" w:rsidRDefault="008C43BF" w:rsidP="008C43BF">
            <w:pPr>
              <w:spacing w:after="0"/>
              <w:jc w:val="center"/>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Mar.</w:t>
            </w:r>
          </w:p>
        </w:tc>
        <w:tc>
          <w:tcPr>
            <w:tcW w:w="344" w:type="pct"/>
            <w:tcBorders>
              <w:top w:val="single" w:sz="4" w:space="0" w:color="auto"/>
              <w:left w:val="nil"/>
              <w:bottom w:val="single" w:sz="4" w:space="0" w:color="auto"/>
              <w:right w:val="single" w:sz="4" w:space="0" w:color="auto"/>
            </w:tcBorders>
            <w:shd w:val="clear" w:color="auto" w:fill="00B050"/>
            <w:noWrap/>
            <w:vAlign w:val="center"/>
            <w:hideMark/>
          </w:tcPr>
          <w:p w14:paraId="47702B41" w14:textId="1C56AF43" w:rsidR="008C43BF" w:rsidRPr="00E41A7F" w:rsidRDefault="008C43BF" w:rsidP="008C43BF">
            <w:pPr>
              <w:spacing w:after="0"/>
              <w:jc w:val="center"/>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Abr.</w:t>
            </w:r>
          </w:p>
        </w:tc>
        <w:tc>
          <w:tcPr>
            <w:tcW w:w="344" w:type="pct"/>
            <w:tcBorders>
              <w:top w:val="single" w:sz="4" w:space="0" w:color="auto"/>
              <w:left w:val="nil"/>
              <w:bottom w:val="single" w:sz="4" w:space="0" w:color="auto"/>
              <w:right w:val="single" w:sz="4" w:space="0" w:color="auto"/>
            </w:tcBorders>
            <w:shd w:val="clear" w:color="auto" w:fill="00B050"/>
            <w:noWrap/>
            <w:vAlign w:val="center"/>
            <w:hideMark/>
          </w:tcPr>
          <w:p w14:paraId="35383C73" w14:textId="5A7D2D4C" w:rsidR="008C43BF" w:rsidRPr="00E41A7F" w:rsidRDefault="008C43BF" w:rsidP="008C43BF">
            <w:pPr>
              <w:spacing w:after="0"/>
              <w:jc w:val="center"/>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May.</w:t>
            </w:r>
          </w:p>
        </w:tc>
        <w:tc>
          <w:tcPr>
            <w:tcW w:w="344" w:type="pct"/>
            <w:tcBorders>
              <w:top w:val="single" w:sz="4" w:space="0" w:color="auto"/>
              <w:left w:val="nil"/>
              <w:bottom w:val="single" w:sz="4" w:space="0" w:color="auto"/>
              <w:right w:val="single" w:sz="4" w:space="0" w:color="auto"/>
            </w:tcBorders>
            <w:shd w:val="clear" w:color="auto" w:fill="00B050"/>
            <w:noWrap/>
            <w:vAlign w:val="center"/>
            <w:hideMark/>
          </w:tcPr>
          <w:p w14:paraId="4973C777" w14:textId="0C1D7BB1" w:rsidR="008C43BF" w:rsidRPr="00E41A7F" w:rsidRDefault="008C43BF" w:rsidP="008C43BF">
            <w:pPr>
              <w:spacing w:after="0"/>
              <w:jc w:val="center"/>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Jun.</w:t>
            </w:r>
          </w:p>
        </w:tc>
        <w:tc>
          <w:tcPr>
            <w:tcW w:w="344" w:type="pct"/>
            <w:tcBorders>
              <w:top w:val="single" w:sz="4" w:space="0" w:color="auto"/>
              <w:left w:val="nil"/>
              <w:bottom w:val="single" w:sz="4" w:space="0" w:color="auto"/>
              <w:right w:val="single" w:sz="4" w:space="0" w:color="auto"/>
            </w:tcBorders>
            <w:shd w:val="clear" w:color="auto" w:fill="00B050"/>
            <w:noWrap/>
            <w:vAlign w:val="center"/>
            <w:hideMark/>
          </w:tcPr>
          <w:p w14:paraId="79B80934" w14:textId="61B80394" w:rsidR="008C43BF" w:rsidRPr="00E41A7F" w:rsidRDefault="008C43BF" w:rsidP="008C43BF">
            <w:pPr>
              <w:spacing w:after="0"/>
              <w:jc w:val="center"/>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Jul.</w:t>
            </w:r>
          </w:p>
        </w:tc>
        <w:tc>
          <w:tcPr>
            <w:tcW w:w="363" w:type="pct"/>
            <w:tcBorders>
              <w:top w:val="single" w:sz="4" w:space="0" w:color="auto"/>
              <w:left w:val="nil"/>
              <w:bottom w:val="single" w:sz="4" w:space="0" w:color="auto"/>
              <w:right w:val="single" w:sz="4" w:space="0" w:color="auto"/>
            </w:tcBorders>
            <w:shd w:val="clear" w:color="auto" w:fill="00B050"/>
            <w:noWrap/>
            <w:vAlign w:val="center"/>
            <w:hideMark/>
          </w:tcPr>
          <w:p w14:paraId="2445FC17" w14:textId="6A534B43" w:rsidR="008C43BF" w:rsidRPr="00E41A7F" w:rsidRDefault="008C43BF" w:rsidP="008C43BF">
            <w:pPr>
              <w:spacing w:after="0"/>
              <w:jc w:val="center"/>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Ago.</w:t>
            </w:r>
          </w:p>
        </w:tc>
        <w:tc>
          <w:tcPr>
            <w:tcW w:w="548" w:type="pct"/>
            <w:tcBorders>
              <w:top w:val="single" w:sz="4" w:space="0" w:color="auto"/>
              <w:left w:val="nil"/>
              <w:bottom w:val="single" w:sz="4" w:space="0" w:color="auto"/>
              <w:right w:val="single" w:sz="4" w:space="0" w:color="auto"/>
            </w:tcBorders>
            <w:shd w:val="clear" w:color="auto" w:fill="00B050"/>
            <w:noWrap/>
            <w:vAlign w:val="center"/>
            <w:hideMark/>
          </w:tcPr>
          <w:p w14:paraId="2BE4BCEC" w14:textId="3AB6AB82" w:rsidR="008C43BF" w:rsidRPr="00E41A7F" w:rsidRDefault="008C43BF" w:rsidP="008C43BF">
            <w:pPr>
              <w:spacing w:after="0"/>
              <w:jc w:val="center"/>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Sep.</w:t>
            </w:r>
          </w:p>
        </w:tc>
        <w:tc>
          <w:tcPr>
            <w:tcW w:w="421" w:type="pct"/>
            <w:tcBorders>
              <w:top w:val="single" w:sz="4" w:space="0" w:color="auto"/>
              <w:left w:val="nil"/>
              <w:bottom w:val="single" w:sz="4" w:space="0" w:color="auto"/>
              <w:right w:val="single" w:sz="4" w:space="0" w:color="auto"/>
            </w:tcBorders>
            <w:shd w:val="clear" w:color="auto" w:fill="00B050"/>
            <w:noWrap/>
            <w:vAlign w:val="center"/>
            <w:hideMark/>
          </w:tcPr>
          <w:p w14:paraId="013076EA" w14:textId="31616179" w:rsidR="008C43BF" w:rsidRPr="00E41A7F" w:rsidRDefault="008C43BF" w:rsidP="008C43BF">
            <w:pPr>
              <w:spacing w:after="0"/>
              <w:jc w:val="center"/>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Oct.</w:t>
            </w:r>
          </w:p>
        </w:tc>
        <w:tc>
          <w:tcPr>
            <w:tcW w:w="391" w:type="pct"/>
            <w:tcBorders>
              <w:top w:val="single" w:sz="4" w:space="0" w:color="auto"/>
              <w:left w:val="nil"/>
              <w:bottom w:val="single" w:sz="4" w:space="0" w:color="auto"/>
              <w:right w:val="single" w:sz="4" w:space="0" w:color="auto"/>
            </w:tcBorders>
            <w:shd w:val="clear" w:color="auto" w:fill="00B050"/>
            <w:noWrap/>
            <w:vAlign w:val="center"/>
            <w:hideMark/>
          </w:tcPr>
          <w:p w14:paraId="3B4EA5EE" w14:textId="77777777" w:rsidR="008C43BF" w:rsidRPr="00E41A7F" w:rsidRDefault="008C43BF" w:rsidP="008C43BF">
            <w:pPr>
              <w:spacing w:after="0"/>
              <w:jc w:val="center"/>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Total</w:t>
            </w:r>
          </w:p>
        </w:tc>
      </w:tr>
      <w:tr w:rsidR="008C43BF" w:rsidRPr="00E41A7F" w14:paraId="19F0DB48" w14:textId="77777777" w:rsidTr="008C43BF">
        <w:trPr>
          <w:trHeight w:val="300"/>
        </w:trPr>
        <w:tc>
          <w:tcPr>
            <w:tcW w:w="795" w:type="pct"/>
            <w:tcBorders>
              <w:top w:val="nil"/>
              <w:left w:val="single" w:sz="4" w:space="0" w:color="auto"/>
              <w:bottom w:val="single" w:sz="4" w:space="0" w:color="auto"/>
              <w:right w:val="single" w:sz="4" w:space="0" w:color="auto"/>
            </w:tcBorders>
            <w:shd w:val="clear" w:color="auto" w:fill="auto"/>
            <w:noWrap/>
            <w:vAlign w:val="bottom"/>
            <w:hideMark/>
          </w:tcPr>
          <w:p w14:paraId="6BB2BEAA" w14:textId="77777777" w:rsidR="008C43BF" w:rsidRPr="00E41A7F" w:rsidRDefault="008C43BF" w:rsidP="008C43BF">
            <w:pPr>
              <w:spacing w:after="0"/>
              <w:jc w:val="center"/>
              <w:rPr>
                <w:rFonts w:ascii="Times New Roman" w:hAnsi="Times New Roman"/>
                <w:bCs/>
                <w:color w:val="000000"/>
                <w:lang w:eastAsia="es-DO"/>
              </w:rPr>
            </w:pPr>
            <w:r w:rsidRPr="00E41A7F">
              <w:rPr>
                <w:rFonts w:ascii="Times New Roman" w:hAnsi="Times New Roman"/>
                <w:bCs/>
                <w:color w:val="000000"/>
                <w:lang w:eastAsia="es-DO"/>
              </w:rPr>
              <w:t>Yautia</w:t>
            </w:r>
          </w:p>
        </w:tc>
        <w:tc>
          <w:tcPr>
            <w:tcW w:w="344" w:type="pct"/>
            <w:tcBorders>
              <w:top w:val="nil"/>
              <w:left w:val="nil"/>
              <w:bottom w:val="single" w:sz="4" w:space="0" w:color="auto"/>
              <w:right w:val="single" w:sz="4" w:space="0" w:color="auto"/>
            </w:tcBorders>
            <w:shd w:val="clear" w:color="auto" w:fill="auto"/>
            <w:noWrap/>
            <w:vAlign w:val="bottom"/>
            <w:hideMark/>
          </w:tcPr>
          <w:p w14:paraId="43497D90"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410" w:type="pct"/>
            <w:tcBorders>
              <w:top w:val="nil"/>
              <w:left w:val="nil"/>
              <w:bottom w:val="single" w:sz="4" w:space="0" w:color="auto"/>
              <w:right w:val="single" w:sz="4" w:space="0" w:color="auto"/>
            </w:tcBorders>
            <w:shd w:val="clear" w:color="auto" w:fill="auto"/>
            <w:noWrap/>
            <w:vAlign w:val="bottom"/>
            <w:hideMark/>
          </w:tcPr>
          <w:p w14:paraId="7562D640"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52" w:type="pct"/>
            <w:tcBorders>
              <w:top w:val="nil"/>
              <w:left w:val="nil"/>
              <w:bottom w:val="single" w:sz="4" w:space="0" w:color="auto"/>
              <w:right w:val="single" w:sz="4" w:space="0" w:color="auto"/>
            </w:tcBorders>
            <w:shd w:val="clear" w:color="auto" w:fill="auto"/>
            <w:noWrap/>
            <w:vAlign w:val="bottom"/>
            <w:hideMark/>
          </w:tcPr>
          <w:p w14:paraId="6BC24664"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44" w:type="pct"/>
            <w:tcBorders>
              <w:top w:val="nil"/>
              <w:left w:val="nil"/>
              <w:bottom w:val="single" w:sz="4" w:space="0" w:color="auto"/>
              <w:right w:val="single" w:sz="4" w:space="0" w:color="auto"/>
            </w:tcBorders>
            <w:shd w:val="clear" w:color="auto" w:fill="auto"/>
            <w:noWrap/>
            <w:vAlign w:val="bottom"/>
            <w:hideMark/>
          </w:tcPr>
          <w:p w14:paraId="17134EF6"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666</w:t>
            </w:r>
          </w:p>
        </w:tc>
        <w:tc>
          <w:tcPr>
            <w:tcW w:w="344" w:type="pct"/>
            <w:tcBorders>
              <w:top w:val="nil"/>
              <w:left w:val="nil"/>
              <w:bottom w:val="single" w:sz="4" w:space="0" w:color="auto"/>
              <w:right w:val="single" w:sz="4" w:space="0" w:color="auto"/>
            </w:tcBorders>
            <w:shd w:val="clear" w:color="auto" w:fill="auto"/>
            <w:noWrap/>
            <w:vAlign w:val="bottom"/>
            <w:hideMark/>
          </w:tcPr>
          <w:p w14:paraId="5AC8E4BE"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810</w:t>
            </w:r>
          </w:p>
        </w:tc>
        <w:tc>
          <w:tcPr>
            <w:tcW w:w="344" w:type="pct"/>
            <w:tcBorders>
              <w:top w:val="nil"/>
              <w:left w:val="nil"/>
              <w:bottom w:val="single" w:sz="4" w:space="0" w:color="auto"/>
              <w:right w:val="single" w:sz="4" w:space="0" w:color="auto"/>
            </w:tcBorders>
            <w:shd w:val="clear" w:color="auto" w:fill="auto"/>
            <w:noWrap/>
            <w:vAlign w:val="bottom"/>
            <w:hideMark/>
          </w:tcPr>
          <w:p w14:paraId="67FC41C2"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1,743</w:t>
            </w:r>
          </w:p>
        </w:tc>
        <w:tc>
          <w:tcPr>
            <w:tcW w:w="344" w:type="pct"/>
            <w:tcBorders>
              <w:top w:val="nil"/>
              <w:left w:val="nil"/>
              <w:bottom w:val="single" w:sz="4" w:space="0" w:color="auto"/>
              <w:right w:val="single" w:sz="4" w:space="0" w:color="auto"/>
            </w:tcBorders>
            <w:shd w:val="clear" w:color="auto" w:fill="auto"/>
            <w:noWrap/>
            <w:vAlign w:val="bottom"/>
            <w:hideMark/>
          </w:tcPr>
          <w:p w14:paraId="5373AF87"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2,922</w:t>
            </w:r>
          </w:p>
        </w:tc>
        <w:tc>
          <w:tcPr>
            <w:tcW w:w="363" w:type="pct"/>
            <w:tcBorders>
              <w:top w:val="nil"/>
              <w:left w:val="nil"/>
              <w:bottom w:val="single" w:sz="4" w:space="0" w:color="auto"/>
              <w:right w:val="single" w:sz="4" w:space="0" w:color="auto"/>
            </w:tcBorders>
            <w:shd w:val="clear" w:color="auto" w:fill="auto"/>
            <w:noWrap/>
            <w:vAlign w:val="bottom"/>
            <w:hideMark/>
          </w:tcPr>
          <w:p w14:paraId="1821B825"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4,719</w:t>
            </w:r>
          </w:p>
        </w:tc>
        <w:tc>
          <w:tcPr>
            <w:tcW w:w="548" w:type="pct"/>
            <w:tcBorders>
              <w:top w:val="nil"/>
              <w:left w:val="nil"/>
              <w:bottom w:val="single" w:sz="4" w:space="0" w:color="auto"/>
              <w:right w:val="single" w:sz="4" w:space="0" w:color="auto"/>
            </w:tcBorders>
            <w:shd w:val="clear" w:color="auto" w:fill="auto"/>
            <w:noWrap/>
            <w:vAlign w:val="bottom"/>
            <w:hideMark/>
          </w:tcPr>
          <w:p w14:paraId="60A21EB5"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8,093</w:t>
            </w:r>
          </w:p>
        </w:tc>
        <w:tc>
          <w:tcPr>
            <w:tcW w:w="421" w:type="pct"/>
            <w:tcBorders>
              <w:top w:val="nil"/>
              <w:left w:val="nil"/>
              <w:bottom w:val="single" w:sz="4" w:space="0" w:color="auto"/>
              <w:right w:val="single" w:sz="4" w:space="0" w:color="auto"/>
            </w:tcBorders>
            <w:shd w:val="clear" w:color="auto" w:fill="auto"/>
            <w:noWrap/>
            <w:vAlign w:val="bottom"/>
            <w:hideMark/>
          </w:tcPr>
          <w:p w14:paraId="4680F998"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14,910</w:t>
            </w:r>
          </w:p>
        </w:tc>
        <w:tc>
          <w:tcPr>
            <w:tcW w:w="391" w:type="pct"/>
            <w:tcBorders>
              <w:top w:val="nil"/>
              <w:left w:val="nil"/>
              <w:bottom w:val="single" w:sz="4" w:space="0" w:color="auto"/>
              <w:right w:val="single" w:sz="4" w:space="0" w:color="auto"/>
            </w:tcBorders>
            <w:shd w:val="clear" w:color="auto" w:fill="auto"/>
            <w:noWrap/>
            <w:vAlign w:val="bottom"/>
            <w:hideMark/>
          </w:tcPr>
          <w:p w14:paraId="5CF40F03" w14:textId="77777777" w:rsidR="008C43BF" w:rsidRPr="00E41A7F" w:rsidRDefault="008C43BF" w:rsidP="008C43BF">
            <w:pPr>
              <w:spacing w:after="0"/>
              <w:jc w:val="right"/>
              <w:rPr>
                <w:rFonts w:ascii="Times New Roman" w:hAnsi="Times New Roman"/>
                <w:bCs/>
                <w:color w:val="000000"/>
                <w:lang w:eastAsia="es-DO"/>
              </w:rPr>
            </w:pPr>
            <w:r w:rsidRPr="00E41A7F">
              <w:rPr>
                <w:rFonts w:ascii="Times New Roman" w:hAnsi="Times New Roman"/>
                <w:bCs/>
                <w:color w:val="000000"/>
                <w:lang w:eastAsia="es-DO"/>
              </w:rPr>
              <w:t>33,863</w:t>
            </w:r>
          </w:p>
        </w:tc>
      </w:tr>
      <w:tr w:rsidR="008C43BF" w:rsidRPr="00E41A7F" w14:paraId="59556AA1" w14:textId="77777777" w:rsidTr="008C43BF">
        <w:trPr>
          <w:trHeight w:val="300"/>
        </w:trPr>
        <w:tc>
          <w:tcPr>
            <w:tcW w:w="795" w:type="pct"/>
            <w:tcBorders>
              <w:top w:val="nil"/>
              <w:left w:val="single" w:sz="4" w:space="0" w:color="auto"/>
              <w:bottom w:val="single" w:sz="4" w:space="0" w:color="auto"/>
              <w:right w:val="single" w:sz="4" w:space="0" w:color="auto"/>
            </w:tcBorders>
            <w:shd w:val="clear" w:color="auto" w:fill="auto"/>
            <w:noWrap/>
            <w:vAlign w:val="bottom"/>
            <w:hideMark/>
          </w:tcPr>
          <w:p w14:paraId="48190FEE" w14:textId="77777777" w:rsidR="008C43BF" w:rsidRPr="00E41A7F" w:rsidRDefault="008C43BF" w:rsidP="008C43BF">
            <w:pPr>
              <w:spacing w:after="0"/>
              <w:jc w:val="center"/>
              <w:rPr>
                <w:rFonts w:ascii="Times New Roman" w:hAnsi="Times New Roman"/>
                <w:bCs/>
                <w:color w:val="000000"/>
                <w:lang w:eastAsia="es-DO"/>
              </w:rPr>
            </w:pPr>
            <w:r w:rsidRPr="00E41A7F">
              <w:rPr>
                <w:rFonts w:ascii="Times New Roman" w:hAnsi="Times New Roman"/>
                <w:bCs/>
                <w:color w:val="000000"/>
                <w:lang w:eastAsia="es-DO"/>
              </w:rPr>
              <w:t>GW</w:t>
            </w:r>
          </w:p>
        </w:tc>
        <w:tc>
          <w:tcPr>
            <w:tcW w:w="344" w:type="pct"/>
            <w:tcBorders>
              <w:top w:val="nil"/>
              <w:left w:val="nil"/>
              <w:bottom w:val="single" w:sz="4" w:space="0" w:color="auto"/>
              <w:right w:val="single" w:sz="4" w:space="0" w:color="auto"/>
            </w:tcBorders>
            <w:shd w:val="clear" w:color="auto" w:fill="auto"/>
            <w:noWrap/>
            <w:vAlign w:val="bottom"/>
            <w:hideMark/>
          </w:tcPr>
          <w:p w14:paraId="0484EED6"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5,610</w:t>
            </w:r>
          </w:p>
        </w:tc>
        <w:tc>
          <w:tcPr>
            <w:tcW w:w="410" w:type="pct"/>
            <w:tcBorders>
              <w:top w:val="nil"/>
              <w:left w:val="nil"/>
              <w:bottom w:val="single" w:sz="4" w:space="0" w:color="auto"/>
              <w:right w:val="single" w:sz="4" w:space="0" w:color="auto"/>
            </w:tcBorders>
            <w:shd w:val="clear" w:color="auto" w:fill="auto"/>
            <w:noWrap/>
            <w:vAlign w:val="bottom"/>
            <w:hideMark/>
          </w:tcPr>
          <w:p w14:paraId="7ACB4541"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2,873</w:t>
            </w:r>
          </w:p>
        </w:tc>
        <w:tc>
          <w:tcPr>
            <w:tcW w:w="352" w:type="pct"/>
            <w:tcBorders>
              <w:top w:val="nil"/>
              <w:left w:val="nil"/>
              <w:bottom w:val="single" w:sz="4" w:space="0" w:color="auto"/>
              <w:right w:val="single" w:sz="4" w:space="0" w:color="auto"/>
            </w:tcBorders>
            <w:shd w:val="clear" w:color="auto" w:fill="auto"/>
            <w:noWrap/>
            <w:vAlign w:val="bottom"/>
            <w:hideMark/>
          </w:tcPr>
          <w:p w14:paraId="632CD3AF"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7,879</w:t>
            </w:r>
          </w:p>
        </w:tc>
        <w:tc>
          <w:tcPr>
            <w:tcW w:w="344" w:type="pct"/>
            <w:tcBorders>
              <w:top w:val="nil"/>
              <w:left w:val="nil"/>
              <w:bottom w:val="single" w:sz="4" w:space="0" w:color="auto"/>
              <w:right w:val="single" w:sz="4" w:space="0" w:color="auto"/>
            </w:tcBorders>
            <w:shd w:val="clear" w:color="auto" w:fill="auto"/>
            <w:noWrap/>
            <w:vAlign w:val="bottom"/>
            <w:hideMark/>
          </w:tcPr>
          <w:p w14:paraId="49C1D131"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30,604</w:t>
            </w:r>
          </w:p>
        </w:tc>
        <w:tc>
          <w:tcPr>
            <w:tcW w:w="344" w:type="pct"/>
            <w:tcBorders>
              <w:top w:val="nil"/>
              <w:left w:val="nil"/>
              <w:bottom w:val="single" w:sz="4" w:space="0" w:color="auto"/>
              <w:right w:val="single" w:sz="4" w:space="0" w:color="auto"/>
            </w:tcBorders>
            <w:shd w:val="clear" w:color="auto" w:fill="auto"/>
            <w:noWrap/>
            <w:vAlign w:val="bottom"/>
            <w:hideMark/>
          </w:tcPr>
          <w:p w14:paraId="2B831EDE"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5,254</w:t>
            </w:r>
          </w:p>
        </w:tc>
        <w:tc>
          <w:tcPr>
            <w:tcW w:w="344" w:type="pct"/>
            <w:tcBorders>
              <w:top w:val="nil"/>
              <w:left w:val="nil"/>
              <w:bottom w:val="single" w:sz="4" w:space="0" w:color="auto"/>
              <w:right w:val="single" w:sz="4" w:space="0" w:color="auto"/>
            </w:tcBorders>
            <w:shd w:val="clear" w:color="auto" w:fill="auto"/>
            <w:noWrap/>
            <w:vAlign w:val="bottom"/>
            <w:hideMark/>
          </w:tcPr>
          <w:p w14:paraId="6043EADC"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38,203</w:t>
            </w:r>
          </w:p>
        </w:tc>
        <w:tc>
          <w:tcPr>
            <w:tcW w:w="344" w:type="pct"/>
            <w:tcBorders>
              <w:top w:val="nil"/>
              <w:left w:val="nil"/>
              <w:bottom w:val="single" w:sz="4" w:space="0" w:color="auto"/>
              <w:right w:val="single" w:sz="4" w:space="0" w:color="auto"/>
            </w:tcBorders>
            <w:shd w:val="clear" w:color="auto" w:fill="auto"/>
            <w:noWrap/>
            <w:vAlign w:val="bottom"/>
            <w:hideMark/>
          </w:tcPr>
          <w:p w14:paraId="2895ED50"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63" w:type="pct"/>
            <w:tcBorders>
              <w:top w:val="nil"/>
              <w:left w:val="nil"/>
              <w:bottom w:val="single" w:sz="4" w:space="0" w:color="auto"/>
              <w:right w:val="single" w:sz="4" w:space="0" w:color="auto"/>
            </w:tcBorders>
            <w:shd w:val="clear" w:color="auto" w:fill="auto"/>
            <w:noWrap/>
            <w:vAlign w:val="bottom"/>
            <w:hideMark/>
          </w:tcPr>
          <w:p w14:paraId="1ABDE56A"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3,917</w:t>
            </w:r>
          </w:p>
        </w:tc>
        <w:tc>
          <w:tcPr>
            <w:tcW w:w="548" w:type="pct"/>
            <w:tcBorders>
              <w:top w:val="nil"/>
              <w:left w:val="nil"/>
              <w:bottom w:val="single" w:sz="4" w:space="0" w:color="auto"/>
              <w:right w:val="single" w:sz="4" w:space="0" w:color="auto"/>
            </w:tcBorders>
            <w:shd w:val="clear" w:color="auto" w:fill="auto"/>
            <w:noWrap/>
            <w:vAlign w:val="bottom"/>
            <w:hideMark/>
          </w:tcPr>
          <w:p w14:paraId="0216D4B3"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421" w:type="pct"/>
            <w:tcBorders>
              <w:top w:val="nil"/>
              <w:left w:val="nil"/>
              <w:bottom w:val="single" w:sz="4" w:space="0" w:color="auto"/>
              <w:right w:val="single" w:sz="4" w:space="0" w:color="auto"/>
            </w:tcBorders>
            <w:shd w:val="clear" w:color="auto" w:fill="auto"/>
            <w:noWrap/>
            <w:vAlign w:val="bottom"/>
            <w:hideMark/>
          </w:tcPr>
          <w:p w14:paraId="40EA8B8D"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91" w:type="pct"/>
            <w:tcBorders>
              <w:top w:val="nil"/>
              <w:left w:val="nil"/>
              <w:bottom w:val="single" w:sz="4" w:space="0" w:color="auto"/>
              <w:right w:val="single" w:sz="4" w:space="0" w:color="auto"/>
            </w:tcBorders>
            <w:shd w:val="clear" w:color="auto" w:fill="auto"/>
            <w:noWrap/>
            <w:vAlign w:val="bottom"/>
            <w:hideMark/>
          </w:tcPr>
          <w:p w14:paraId="00F886BB" w14:textId="77777777" w:rsidR="008C43BF" w:rsidRPr="00E41A7F" w:rsidRDefault="008C43BF" w:rsidP="008C43BF">
            <w:pPr>
              <w:spacing w:after="0"/>
              <w:jc w:val="right"/>
              <w:rPr>
                <w:rFonts w:ascii="Times New Roman" w:hAnsi="Times New Roman"/>
                <w:bCs/>
                <w:color w:val="000000"/>
                <w:lang w:eastAsia="es-DO"/>
              </w:rPr>
            </w:pPr>
            <w:r w:rsidRPr="00E41A7F">
              <w:rPr>
                <w:rFonts w:ascii="Times New Roman" w:hAnsi="Times New Roman"/>
                <w:bCs/>
                <w:color w:val="000000"/>
                <w:lang w:eastAsia="es-DO"/>
              </w:rPr>
              <w:t>94,340</w:t>
            </w:r>
          </w:p>
        </w:tc>
      </w:tr>
      <w:tr w:rsidR="008C43BF" w:rsidRPr="00E41A7F" w14:paraId="63C94031" w14:textId="77777777" w:rsidTr="008C43BF">
        <w:trPr>
          <w:trHeight w:val="300"/>
        </w:trPr>
        <w:tc>
          <w:tcPr>
            <w:tcW w:w="795" w:type="pct"/>
            <w:tcBorders>
              <w:top w:val="nil"/>
              <w:left w:val="single" w:sz="4" w:space="0" w:color="auto"/>
              <w:bottom w:val="single" w:sz="4" w:space="0" w:color="auto"/>
              <w:right w:val="single" w:sz="4" w:space="0" w:color="auto"/>
            </w:tcBorders>
            <w:shd w:val="clear" w:color="auto" w:fill="auto"/>
            <w:noWrap/>
            <w:vAlign w:val="bottom"/>
            <w:hideMark/>
          </w:tcPr>
          <w:p w14:paraId="3CE89342" w14:textId="77777777" w:rsidR="008C43BF" w:rsidRPr="00E41A7F" w:rsidRDefault="008C43BF" w:rsidP="008C43BF">
            <w:pPr>
              <w:spacing w:after="0"/>
              <w:jc w:val="center"/>
              <w:rPr>
                <w:rFonts w:ascii="Times New Roman" w:hAnsi="Times New Roman"/>
                <w:bCs/>
                <w:color w:val="000000"/>
                <w:lang w:eastAsia="es-DO"/>
              </w:rPr>
            </w:pPr>
            <w:r w:rsidRPr="00E41A7F">
              <w:rPr>
                <w:rFonts w:ascii="Times New Roman" w:hAnsi="Times New Roman"/>
                <w:bCs/>
                <w:color w:val="000000"/>
                <w:lang w:eastAsia="es-DO"/>
              </w:rPr>
              <w:t>GE</w:t>
            </w:r>
          </w:p>
        </w:tc>
        <w:tc>
          <w:tcPr>
            <w:tcW w:w="344" w:type="pct"/>
            <w:tcBorders>
              <w:top w:val="nil"/>
              <w:left w:val="nil"/>
              <w:bottom w:val="single" w:sz="4" w:space="0" w:color="auto"/>
              <w:right w:val="single" w:sz="4" w:space="0" w:color="auto"/>
            </w:tcBorders>
            <w:shd w:val="clear" w:color="auto" w:fill="auto"/>
            <w:noWrap/>
            <w:vAlign w:val="bottom"/>
            <w:hideMark/>
          </w:tcPr>
          <w:p w14:paraId="41661814"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17,946</w:t>
            </w:r>
          </w:p>
        </w:tc>
        <w:tc>
          <w:tcPr>
            <w:tcW w:w="410" w:type="pct"/>
            <w:tcBorders>
              <w:top w:val="nil"/>
              <w:left w:val="nil"/>
              <w:bottom w:val="single" w:sz="4" w:space="0" w:color="auto"/>
              <w:right w:val="single" w:sz="4" w:space="0" w:color="auto"/>
            </w:tcBorders>
            <w:shd w:val="clear" w:color="auto" w:fill="auto"/>
            <w:noWrap/>
            <w:vAlign w:val="bottom"/>
            <w:hideMark/>
          </w:tcPr>
          <w:p w14:paraId="04B68D96"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13,203</w:t>
            </w:r>
          </w:p>
        </w:tc>
        <w:tc>
          <w:tcPr>
            <w:tcW w:w="352" w:type="pct"/>
            <w:tcBorders>
              <w:top w:val="nil"/>
              <w:left w:val="nil"/>
              <w:bottom w:val="single" w:sz="4" w:space="0" w:color="auto"/>
              <w:right w:val="single" w:sz="4" w:space="0" w:color="auto"/>
            </w:tcBorders>
            <w:shd w:val="clear" w:color="auto" w:fill="auto"/>
            <w:noWrap/>
            <w:vAlign w:val="bottom"/>
            <w:hideMark/>
          </w:tcPr>
          <w:p w14:paraId="6A62708E"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26,220</w:t>
            </w:r>
          </w:p>
        </w:tc>
        <w:tc>
          <w:tcPr>
            <w:tcW w:w="344" w:type="pct"/>
            <w:tcBorders>
              <w:top w:val="nil"/>
              <w:left w:val="nil"/>
              <w:bottom w:val="single" w:sz="4" w:space="0" w:color="auto"/>
              <w:right w:val="single" w:sz="4" w:space="0" w:color="auto"/>
            </w:tcBorders>
            <w:shd w:val="clear" w:color="auto" w:fill="auto"/>
            <w:noWrap/>
            <w:vAlign w:val="bottom"/>
            <w:hideMark/>
          </w:tcPr>
          <w:p w14:paraId="5D84F936"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19,456</w:t>
            </w:r>
          </w:p>
        </w:tc>
        <w:tc>
          <w:tcPr>
            <w:tcW w:w="344" w:type="pct"/>
            <w:tcBorders>
              <w:top w:val="nil"/>
              <w:left w:val="nil"/>
              <w:bottom w:val="single" w:sz="4" w:space="0" w:color="auto"/>
              <w:right w:val="single" w:sz="4" w:space="0" w:color="auto"/>
            </w:tcBorders>
            <w:shd w:val="clear" w:color="auto" w:fill="auto"/>
            <w:noWrap/>
            <w:vAlign w:val="bottom"/>
            <w:hideMark/>
          </w:tcPr>
          <w:p w14:paraId="51596F99"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5,346</w:t>
            </w:r>
          </w:p>
        </w:tc>
        <w:tc>
          <w:tcPr>
            <w:tcW w:w="344" w:type="pct"/>
            <w:tcBorders>
              <w:top w:val="nil"/>
              <w:left w:val="nil"/>
              <w:bottom w:val="single" w:sz="4" w:space="0" w:color="auto"/>
              <w:right w:val="single" w:sz="4" w:space="0" w:color="auto"/>
            </w:tcBorders>
            <w:shd w:val="clear" w:color="auto" w:fill="auto"/>
            <w:noWrap/>
            <w:vAlign w:val="bottom"/>
            <w:hideMark/>
          </w:tcPr>
          <w:p w14:paraId="6F1B1865"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44" w:type="pct"/>
            <w:tcBorders>
              <w:top w:val="nil"/>
              <w:left w:val="nil"/>
              <w:bottom w:val="single" w:sz="4" w:space="0" w:color="auto"/>
              <w:right w:val="single" w:sz="4" w:space="0" w:color="auto"/>
            </w:tcBorders>
            <w:shd w:val="clear" w:color="auto" w:fill="auto"/>
            <w:noWrap/>
            <w:vAlign w:val="bottom"/>
            <w:hideMark/>
          </w:tcPr>
          <w:p w14:paraId="7D83D665"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13,476</w:t>
            </w:r>
          </w:p>
        </w:tc>
        <w:tc>
          <w:tcPr>
            <w:tcW w:w="363" w:type="pct"/>
            <w:tcBorders>
              <w:top w:val="nil"/>
              <w:left w:val="nil"/>
              <w:bottom w:val="single" w:sz="4" w:space="0" w:color="auto"/>
              <w:right w:val="single" w:sz="4" w:space="0" w:color="auto"/>
            </w:tcBorders>
            <w:shd w:val="clear" w:color="auto" w:fill="auto"/>
            <w:noWrap/>
            <w:vAlign w:val="bottom"/>
            <w:hideMark/>
          </w:tcPr>
          <w:p w14:paraId="45C4DCB3"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548" w:type="pct"/>
            <w:tcBorders>
              <w:top w:val="nil"/>
              <w:left w:val="nil"/>
              <w:bottom w:val="single" w:sz="4" w:space="0" w:color="auto"/>
              <w:right w:val="single" w:sz="4" w:space="0" w:color="auto"/>
            </w:tcBorders>
            <w:shd w:val="clear" w:color="auto" w:fill="auto"/>
            <w:noWrap/>
            <w:vAlign w:val="bottom"/>
            <w:hideMark/>
          </w:tcPr>
          <w:p w14:paraId="2C538A2F"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6,830</w:t>
            </w:r>
          </w:p>
        </w:tc>
        <w:tc>
          <w:tcPr>
            <w:tcW w:w="421" w:type="pct"/>
            <w:tcBorders>
              <w:top w:val="nil"/>
              <w:left w:val="nil"/>
              <w:bottom w:val="single" w:sz="4" w:space="0" w:color="auto"/>
              <w:right w:val="single" w:sz="4" w:space="0" w:color="auto"/>
            </w:tcBorders>
            <w:shd w:val="clear" w:color="auto" w:fill="auto"/>
            <w:noWrap/>
            <w:vAlign w:val="bottom"/>
            <w:hideMark/>
          </w:tcPr>
          <w:p w14:paraId="1BE8E7AC"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91" w:type="pct"/>
            <w:tcBorders>
              <w:top w:val="nil"/>
              <w:left w:val="nil"/>
              <w:bottom w:val="single" w:sz="4" w:space="0" w:color="auto"/>
              <w:right w:val="single" w:sz="4" w:space="0" w:color="auto"/>
            </w:tcBorders>
            <w:shd w:val="clear" w:color="auto" w:fill="auto"/>
            <w:noWrap/>
            <w:vAlign w:val="bottom"/>
            <w:hideMark/>
          </w:tcPr>
          <w:p w14:paraId="510C669C" w14:textId="77777777" w:rsidR="008C43BF" w:rsidRPr="00E41A7F" w:rsidRDefault="008C43BF" w:rsidP="008C43BF">
            <w:pPr>
              <w:spacing w:after="0"/>
              <w:jc w:val="right"/>
              <w:rPr>
                <w:rFonts w:ascii="Times New Roman" w:hAnsi="Times New Roman"/>
                <w:bCs/>
                <w:color w:val="000000"/>
                <w:lang w:eastAsia="es-DO"/>
              </w:rPr>
            </w:pPr>
            <w:r w:rsidRPr="00E41A7F">
              <w:rPr>
                <w:rFonts w:ascii="Times New Roman" w:hAnsi="Times New Roman"/>
                <w:bCs/>
                <w:color w:val="000000"/>
                <w:lang w:eastAsia="es-DO"/>
              </w:rPr>
              <w:t>102,477</w:t>
            </w:r>
          </w:p>
        </w:tc>
      </w:tr>
      <w:tr w:rsidR="008C43BF" w:rsidRPr="00E41A7F" w14:paraId="2D6E03E4" w14:textId="77777777" w:rsidTr="008C43BF">
        <w:trPr>
          <w:trHeight w:val="300"/>
        </w:trPr>
        <w:tc>
          <w:tcPr>
            <w:tcW w:w="795" w:type="pct"/>
            <w:tcBorders>
              <w:top w:val="nil"/>
              <w:left w:val="single" w:sz="4" w:space="0" w:color="auto"/>
              <w:bottom w:val="single" w:sz="4" w:space="0" w:color="auto"/>
              <w:right w:val="single" w:sz="4" w:space="0" w:color="auto"/>
            </w:tcBorders>
            <w:shd w:val="clear" w:color="auto" w:fill="auto"/>
            <w:noWrap/>
            <w:vAlign w:val="bottom"/>
            <w:hideMark/>
          </w:tcPr>
          <w:p w14:paraId="3AB0899E" w14:textId="77777777" w:rsidR="008C43BF" w:rsidRPr="00E41A7F" w:rsidRDefault="008C43BF" w:rsidP="008C43BF">
            <w:pPr>
              <w:spacing w:after="0"/>
              <w:jc w:val="center"/>
              <w:rPr>
                <w:rFonts w:ascii="Times New Roman" w:hAnsi="Times New Roman"/>
                <w:bCs/>
                <w:color w:val="000000"/>
                <w:lang w:eastAsia="es-DO"/>
              </w:rPr>
            </w:pPr>
            <w:r w:rsidRPr="00E41A7F">
              <w:rPr>
                <w:rFonts w:ascii="Times New Roman" w:hAnsi="Times New Roman"/>
                <w:bCs/>
                <w:color w:val="000000"/>
                <w:lang w:eastAsia="es-DO"/>
              </w:rPr>
              <w:t>F-20</w:t>
            </w:r>
          </w:p>
        </w:tc>
        <w:tc>
          <w:tcPr>
            <w:tcW w:w="344" w:type="pct"/>
            <w:tcBorders>
              <w:top w:val="nil"/>
              <w:left w:val="nil"/>
              <w:bottom w:val="single" w:sz="4" w:space="0" w:color="auto"/>
              <w:right w:val="single" w:sz="4" w:space="0" w:color="auto"/>
            </w:tcBorders>
            <w:shd w:val="clear" w:color="auto" w:fill="auto"/>
            <w:noWrap/>
            <w:vAlign w:val="bottom"/>
            <w:hideMark/>
          </w:tcPr>
          <w:p w14:paraId="219C48DE"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38,052</w:t>
            </w:r>
          </w:p>
        </w:tc>
        <w:tc>
          <w:tcPr>
            <w:tcW w:w="410" w:type="pct"/>
            <w:tcBorders>
              <w:top w:val="nil"/>
              <w:left w:val="nil"/>
              <w:bottom w:val="single" w:sz="4" w:space="0" w:color="auto"/>
              <w:right w:val="single" w:sz="4" w:space="0" w:color="auto"/>
            </w:tcBorders>
            <w:shd w:val="clear" w:color="auto" w:fill="auto"/>
            <w:noWrap/>
            <w:vAlign w:val="bottom"/>
            <w:hideMark/>
          </w:tcPr>
          <w:p w14:paraId="03A437A8"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52" w:type="pct"/>
            <w:tcBorders>
              <w:top w:val="nil"/>
              <w:left w:val="nil"/>
              <w:bottom w:val="single" w:sz="4" w:space="0" w:color="auto"/>
              <w:right w:val="single" w:sz="4" w:space="0" w:color="auto"/>
            </w:tcBorders>
            <w:shd w:val="clear" w:color="auto" w:fill="auto"/>
            <w:noWrap/>
            <w:vAlign w:val="bottom"/>
            <w:hideMark/>
          </w:tcPr>
          <w:p w14:paraId="4DF7D4B0"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1,575</w:t>
            </w:r>
          </w:p>
        </w:tc>
        <w:tc>
          <w:tcPr>
            <w:tcW w:w="344" w:type="pct"/>
            <w:tcBorders>
              <w:top w:val="nil"/>
              <w:left w:val="nil"/>
              <w:bottom w:val="single" w:sz="4" w:space="0" w:color="auto"/>
              <w:right w:val="single" w:sz="4" w:space="0" w:color="auto"/>
            </w:tcBorders>
            <w:shd w:val="clear" w:color="auto" w:fill="auto"/>
            <w:noWrap/>
            <w:vAlign w:val="bottom"/>
            <w:hideMark/>
          </w:tcPr>
          <w:p w14:paraId="37A747AB"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44" w:type="pct"/>
            <w:tcBorders>
              <w:top w:val="nil"/>
              <w:left w:val="nil"/>
              <w:bottom w:val="single" w:sz="4" w:space="0" w:color="auto"/>
              <w:right w:val="single" w:sz="4" w:space="0" w:color="auto"/>
            </w:tcBorders>
            <w:shd w:val="clear" w:color="auto" w:fill="auto"/>
            <w:noWrap/>
            <w:vAlign w:val="bottom"/>
            <w:hideMark/>
          </w:tcPr>
          <w:p w14:paraId="27753BE5"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41,913</w:t>
            </w:r>
          </w:p>
        </w:tc>
        <w:tc>
          <w:tcPr>
            <w:tcW w:w="344" w:type="pct"/>
            <w:tcBorders>
              <w:top w:val="nil"/>
              <w:left w:val="nil"/>
              <w:bottom w:val="single" w:sz="4" w:space="0" w:color="auto"/>
              <w:right w:val="single" w:sz="4" w:space="0" w:color="auto"/>
            </w:tcBorders>
            <w:shd w:val="clear" w:color="auto" w:fill="auto"/>
            <w:noWrap/>
            <w:vAlign w:val="bottom"/>
            <w:hideMark/>
          </w:tcPr>
          <w:p w14:paraId="578792B0"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42,836</w:t>
            </w:r>
          </w:p>
        </w:tc>
        <w:tc>
          <w:tcPr>
            <w:tcW w:w="344" w:type="pct"/>
            <w:tcBorders>
              <w:top w:val="nil"/>
              <w:left w:val="nil"/>
              <w:bottom w:val="single" w:sz="4" w:space="0" w:color="auto"/>
              <w:right w:val="single" w:sz="4" w:space="0" w:color="auto"/>
            </w:tcBorders>
            <w:shd w:val="clear" w:color="auto" w:fill="auto"/>
            <w:noWrap/>
            <w:vAlign w:val="bottom"/>
            <w:hideMark/>
          </w:tcPr>
          <w:p w14:paraId="07134341"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60,844</w:t>
            </w:r>
          </w:p>
        </w:tc>
        <w:tc>
          <w:tcPr>
            <w:tcW w:w="363" w:type="pct"/>
            <w:tcBorders>
              <w:top w:val="nil"/>
              <w:left w:val="nil"/>
              <w:bottom w:val="single" w:sz="4" w:space="0" w:color="auto"/>
              <w:right w:val="single" w:sz="4" w:space="0" w:color="auto"/>
            </w:tcBorders>
            <w:shd w:val="clear" w:color="auto" w:fill="auto"/>
            <w:noWrap/>
            <w:vAlign w:val="bottom"/>
            <w:hideMark/>
          </w:tcPr>
          <w:p w14:paraId="0907DBE0"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17,582</w:t>
            </w:r>
          </w:p>
        </w:tc>
        <w:tc>
          <w:tcPr>
            <w:tcW w:w="548" w:type="pct"/>
            <w:tcBorders>
              <w:top w:val="nil"/>
              <w:left w:val="nil"/>
              <w:bottom w:val="single" w:sz="4" w:space="0" w:color="auto"/>
              <w:right w:val="single" w:sz="4" w:space="0" w:color="auto"/>
            </w:tcBorders>
            <w:shd w:val="clear" w:color="auto" w:fill="auto"/>
            <w:noWrap/>
            <w:vAlign w:val="bottom"/>
            <w:hideMark/>
          </w:tcPr>
          <w:p w14:paraId="0D8AC9E4"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27,778</w:t>
            </w:r>
          </w:p>
        </w:tc>
        <w:tc>
          <w:tcPr>
            <w:tcW w:w="421" w:type="pct"/>
            <w:tcBorders>
              <w:top w:val="nil"/>
              <w:left w:val="nil"/>
              <w:bottom w:val="single" w:sz="4" w:space="0" w:color="auto"/>
              <w:right w:val="single" w:sz="4" w:space="0" w:color="auto"/>
            </w:tcBorders>
            <w:shd w:val="clear" w:color="auto" w:fill="auto"/>
            <w:noWrap/>
            <w:vAlign w:val="bottom"/>
            <w:hideMark/>
          </w:tcPr>
          <w:p w14:paraId="206FD512"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91" w:type="pct"/>
            <w:tcBorders>
              <w:top w:val="nil"/>
              <w:left w:val="nil"/>
              <w:bottom w:val="single" w:sz="4" w:space="0" w:color="auto"/>
              <w:right w:val="single" w:sz="4" w:space="0" w:color="auto"/>
            </w:tcBorders>
            <w:shd w:val="clear" w:color="auto" w:fill="auto"/>
            <w:noWrap/>
            <w:vAlign w:val="bottom"/>
            <w:hideMark/>
          </w:tcPr>
          <w:p w14:paraId="7D4DD194" w14:textId="77777777" w:rsidR="008C43BF" w:rsidRPr="00E41A7F" w:rsidRDefault="008C43BF" w:rsidP="008C43BF">
            <w:pPr>
              <w:spacing w:after="0"/>
              <w:jc w:val="right"/>
              <w:rPr>
                <w:rFonts w:ascii="Times New Roman" w:hAnsi="Times New Roman"/>
                <w:bCs/>
                <w:color w:val="000000"/>
                <w:lang w:eastAsia="es-DO"/>
              </w:rPr>
            </w:pPr>
            <w:r w:rsidRPr="00E41A7F">
              <w:rPr>
                <w:rFonts w:ascii="Times New Roman" w:hAnsi="Times New Roman"/>
                <w:bCs/>
                <w:color w:val="000000"/>
                <w:lang w:eastAsia="es-DO"/>
              </w:rPr>
              <w:t>230,580</w:t>
            </w:r>
          </w:p>
        </w:tc>
      </w:tr>
      <w:tr w:rsidR="008C43BF" w:rsidRPr="00E41A7F" w14:paraId="48E16632" w14:textId="77777777" w:rsidTr="008C43BF">
        <w:trPr>
          <w:trHeight w:val="300"/>
        </w:trPr>
        <w:tc>
          <w:tcPr>
            <w:tcW w:w="795" w:type="pct"/>
            <w:tcBorders>
              <w:top w:val="nil"/>
              <w:left w:val="single" w:sz="4" w:space="0" w:color="auto"/>
              <w:bottom w:val="single" w:sz="4" w:space="0" w:color="auto"/>
              <w:right w:val="single" w:sz="4" w:space="0" w:color="auto"/>
            </w:tcBorders>
            <w:shd w:val="clear" w:color="auto" w:fill="auto"/>
            <w:noWrap/>
            <w:vAlign w:val="bottom"/>
            <w:hideMark/>
          </w:tcPr>
          <w:p w14:paraId="709815AC" w14:textId="77777777" w:rsidR="008C43BF" w:rsidRPr="00E41A7F" w:rsidRDefault="008C43BF" w:rsidP="008C43BF">
            <w:pPr>
              <w:spacing w:after="0"/>
              <w:jc w:val="center"/>
              <w:rPr>
                <w:rFonts w:ascii="Times New Roman" w:hAnsi="Times New Roman"/>
                <w:bCs/>
                <w:color w:val="000000"/>
                <w:lang w:eastAsia="es-DO"/>
              </w:rPr>
            </w:pPr>
            <w:r w:rsidRPr="00E41A7F">
              <w:rPr>
                <w:rFonts w:ascii="Times New Roman" w:hAnsi="Times New Roman"/>
                <w:bCs/>
                <w:color w:val="000000"/>
                <w:lang w:eastAsia="es-DO"/>
              </w:rPr>
              <w:t>MxH-V</w:t>
            </w:r>
          </w:p>
        </w:tc>
        <w:tc>
          <w:tcPr>
            <w:tcW w:w="344" w:type="pct"/>
            <w:tcBorders>
              <w:top w:val="nil"/>
              <w:left w:val="nil"/>
              <w:bottom w:val="single" w:sz="4" w:space="0" w:color="auto"/>
              <w:right w:val="single" w:sz="4" w:space="0" w:color="auto"/>
            </w:tcBorders>
            <w:shd w:val="clear" w:color="auto" w:fill="auto"/>
            <w:noWrap/>
            <w:vAlign w:val="bottom"/>
            <w:hideMark/>
          </w:tcPr>
          <w:p w14:paraId="15844B24"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184</w:t>
            </w:r>
          </w:p>
        </w:tc>
        <w:tc>
          <w:tcPr>
            <w:tcW w:w="410" w:type="pct"/>
            <w:tcBorders>
              <w:top w:val="nil"/>
              <w:left w:val="nil"/>
              <w:bottom w:val="single" w:sz="4" w:space="0" w:color="auto"/>
              <w:right w:val="single" w:sz="4" w:space="0" w:color="auto"/>
            </w:tcBorders>
            <w:shd w:val="clear" w:color="auto" w:fill="auto"/>
            <w:noWrap/>
            <w:vAlign w:val="bottom"/>
            <w:hideMark/>
          </w:tcPr>
          <w:p w14:paraId="0F436E09"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224</w:t>
            </w:r>
          </w:p>
        </w:tc>
        <w:tc>
          <w:tcPr>
            <w:tcW w:w="352" w:type="pct"/>
            <w:tcBorders>
              <w:top w:val="nil"/>
              <w:left w:val="nil"/>
              <w:bottom w:val="single" w:sz="4" w:space="0" w:color="auto"/>
              <w:right w:val="single" w:sz="4" w:space="0" w:color="auto"/>
            </w:tcBorders>
            <w:shd w:val="clear" w:color="auto" w:fill="auto"/>
            <w:noWrap/>
            <w:vAlign w:val="bottom"/>
            <w:hideMark/>
          </w:tcPr>
          <w:p w14:paraId="28E10D76"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432</w:t>
            </w:r>
          </w:p>
        </w:tc>
        <w:tc>
          <w:tcPr>
            <w:tcW w:w="344" w:type="pct"/>
            <w:tcBorders>
              <w:top w:val="nil"/>
              <w:left w:val="nil"/>
              <w:bottom w:val="single" w:sz="4" w:space="0" w:color="auto"/>
              <w:right w:val="single" w:sz="4" w:space="0" w:color="auto"/>
            </w:tcBorders>
            <w:shd w:val="clear" w:color="auto" w:fill="auto"/>
            <w:noWrap/>
            <w:vAlign w:val="bottom"/>
            <w:hideMark/>
          </w:tcPr>
          <w:p w14:paraId="5CCE3890"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434</w:t>
            </w:r>
          </w:p>
        </w:tc>
        <w:tc>
          <w:tcPr>
            <w:tcW w:w="344" w:type="pct"/>
            <w:tcBorders>
              <w:top w:val="nil"/>
              <w:left w:val="nil"/>
              <w:bottom w:val="single" w:sz="4" w:space="0" w:color="auto"/>
              <w:right w:val="single" w:sz="4" w:space="0" w:color="auto"/>
            </w:tcBorders>
            <w:shd w:val="clear" w:color="auto" w:fill="auto"/>
            <w:noWrap/>
            <w:vAlign w:val="bottom"/>
            <w:hideMark/>
          </w:tcPr>
          <w:p w14:paraId="6E5CDE33"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828</w:t>
            </w:r>
          </w:p>
        </w:tc>
        <w:tc>
          <w:tcPr>
            <w:tcW w:w="344" w:type="pct"/>
            <w:tcBorders>
              <w:top w:val="nil"/>
              <w:left w:val="nil"/>
              <w:bottom w:val="single" w:sz="4" w:space="0" w:color="auto"/>
              <w:right w:val="single" w:sz="4" w:space="0" w:color="auto"/>
            </w:tcBorders>
            <w:shd w:val="clear" w:color="auto" w:fill="auto"/>
            <w:noWrap/>
            <w:vAlign w:val="bottom"/>
            <w:hideMark/>
          </w:tcPr>
          <w:p w14:paraId="7BC54E53"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1,499</w:t>
            </w:r>
          </w:p>
        </w:tc>
        <w:tc>
          <w:tcPr>
            <w:tcW w:w="344" w:type="pct"/>
            <w:tcBorders>
              <w:top w:val="nil"/>
              <w:left w:val="nil"/>
              <w:bottom w:val="single" w:sz="4" w:space="0" w:color="auto"/>
              <w:right w:val="single" w:sz="4" w:space="0" w:color="auto"/>
            </w:tcBorders>
            <w:shd w:val="clear" w:color="auto" w:fill="auto"/>
            <w:noWrap/>
            <w:vAlign w:val="bottom"/>
            <w:hideMark/>
          </w:tcPr>
          <w:p w14:paraId="5B5AB379"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2,527</w:t>
            </w:r>
          </w:p>
        </w:tc>
        <w:tc>
          <w:tcPr>
            <w:tcW w:w="363" w:type="pct"/>
            <w:tcBorders>
              <w:top w:val="nil"/>
              <w:left w:val="nil"/>
              <w:bottom w:val="single" w:sz="4" w:space="0" w:color="auto"/>
              <w:right w:val="single" w:sz="4" w:space="0" w:color="auto"/>
            </w:tcBorders>
            <w:shd w:val="clear" w:color="auto" w:fill="auto"/>
            <w:noWrap/>
            <w:vAlign w:val="bottom"/>
            <w:hideMark/>
          </w:tcPr>
          <w:p w14:paraId="41A40365"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3,514</w:t>
            </w:r>
          </w:p>
        </w:tc>
        <w:tc>
          <w:tcPr>
            <w:tcW w:w="548" w:type="pct"/>
            <w:tcBorders>
              <w:top w:val="nil"/>
              <w:left w:val="nil"/>
              <w:bottom w:val="single" w:sz="4" w:space="0" w:color="auto"/>
              <w:right w:val="single" w:sz="4" w:space="0" w:color="auto"/>
            </w:tcBorders>
            <w:shd w:val="clear" w:color="auto" w:fill="auto"/>
            <w:noWrap/>
            <w:vAlign w:val="bottom"/>
            <w:hideMark/>
          </w:tcPr>
          <w:p w14:paraId="4C231CBF"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5,544</w:t>
            </w:r>
          </w:p>
        </w:tc>
        <w:tc>
          <w:tcPr>
            <w:tcW w:w="421" w:type="pct"/>
            <w:tcBorders>
              <w:top w:val="nil"/>
              <w:left w:val="nil"/>
              <w:bottom w:val="single" w:sz="4" w:space="0" w:color="auto"/>
              <w:right w:val="single" w:sz="4" w:space="0" w:color="auto"/>
            </w:tcBorders>
            <w:shd w:val="clear" w:color="auto" w:fill="auto"/>
            <w:noWrap/>
            <w:vAlign w:val="bottom"/>
            <w:hideMark/>
          </w:tcPr>
          <w:p w14:paraId="7A12AA2B"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91" w:type="pct"/>
            <w:tcBorders>
              <w:top w:val="nil"/>
              <w:left w:val="nil"/>
              <w:bottom w:val="single" w:sz="4" w:space="0" w:color="auto"/>
              <w:right w:val="single" w:sz="4" w:space="0" w:color="auto"/>
            </w:tcBorders>
            <w:shd w:val="clear" w:color="auto" w:fill="auto"/>
            <w:noWrap/>
            <w:vAlign w:val="bottom"/>
            <w:hideMark/>
          </w:tcPr>
          <w:p w14:paraId="39172B35" w14:textId="77777777" w:rsidR="008C43BF" w:rsidRPr="00E41A7F" w:rsidRDefault="008C43BF" w:rsidP="008C43BF">
            <w:pPr>
              <w:spacing w:after="0"/>
              <w:jc w:val="right"/>
              <w:rPr>
                <w:rFonts w:ascii="Times New Roman" w:hAnsi="Times New Roman"/>
                <w:bCs/>
                <w:color w:val="000000"/>
                <w:lang w:eastAsia="es-DO"/>
              </w:rPr>
            </w:pPr>
            <w:r w:rsidRPr="00E41A7F">
              <w:rPr>
                <w:rFonts w:ascii="Times New Roman" w:hAnsi="Times New Roman"/>
                <w:bCs/>
                <w:color w:val="000000"/>
                <w:lang w:eastAsia="es-DO"/>
              </w:rPr>
              <w:t>15,186</w:t>
            </w:r>
          </w:p>
        </w:tc>
      </w:tr>
      <w:tr w:rsidR="008C43BF" w:rsidRPr="00E41A7F" w14:paraId="0235E182" w14:textId="77777777" w:rsidTr="008C43BF">
        <w:trPr>
          <w:trHeight w:val="300"/>
        </w:trPr>
        <w:tc>
          <w:tcPr>
            <w:tcW w:w="795" w:type="pct"/>
            <w:tcBorders>
              <w:top w:val="nil"/>
              <w:left w:val="single" w:sz="4" w:space="0" w:color="auto"/>
              <w:bottom w:val="single" w:sz="4" w:space="0" w:color="auto"/>
              <w:right w:val="single" w:sz="4" w:space="0" w:color="auto"/>
            </w:tcBorders>
            <w:shd w:val="clear" w:color="auto" w:fill="auto"/>
            <w:noWrap/>
            <w:vAlign w:val="bottom"/>
            <w:hideMark/>
          </w:tcPr>
          <w:p w14:paraId="0A1A731F" w14:textId="77777777" w:rsidR="008C43BF" w:rsidRPr="00E41A7F" w:rsidRDefault="008C43BF" w:rsidP="008C43BF">
            <w:pPr>
              <w:spacing w:after="0"/>
              <w:jc w:val="center"/>
              <w:rPr>
                <w:rFonts w:ascii="Times New Roman" w:hAnsi="Times New Roman"/>
                <w:bCs/>
                <w:color w:val="000000"/>
                <w:lang w:eastAsia="es-DO"/>
              </w:rPr>
            </w:pPr>
            <w:r w:rsidRPr="00E41A7F">
              <w:rPr>
                <w:rFonts w:ascii="Times New Roman" w:hAnsi="Times New Roman"/>
                <w:bCs/>
                <w:color w:val="000000"/>
                <w:lang w:eastAsia="es-DO"/>
              </w:rPr>
              <w:t>MxH-M</w:t>
            </w:r>
          </w:p>
        </w:tc>
        <w:tc>
          <w:tcPr>
            <w:tcW w:w="344" w:type="pct"/>
            <w:tcBorders>
              <w:top w:val="nil"/>
              <w:left w:val="nil"/>
              <w:bottom w:val="single" w:sz="4" w:space="0" w:color="auto"/>
              <w:right w:val="single" w:sz="4" w:space="0" w:color="auto"/>
            </w:tcBorders>
            <w:shd w:val="clear" w:color="auto" w:fill="auto"/>
            <w:noWrap/>
            <w:vAlign w:val="bottom"/>
            <w:hideMark/>
          </w:tcPr>
          <w:p w14:paraId="33BF0F67"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20</w:t>
            </w:r>
          </w:p>
        </w:tc>
        <w:tc>
          <w:tcPr>
            <w:tcW w:w="410" w:type="pct"/>
            <w:tcBorders>
              <w:top w:val="nil"/>
              <w:left w:val="nil"/>
              <w:bottom w:val="single" w:sz="4" w:space="0" w:color="auto"/>
              <w:right w:val="single" w:sz="4" w:space="0" w:color="auto"/>
            </w:tcBorders>
            <w:shd w:val="clear" w:color="auto" w:fill="auto"/>
            <w:noWrap/>
            <w:vAlign w:val="bottom"/>
            <w:hideMark/>
          </w:tcPr>
          <w:p w14:paraId="43BEC386"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52" w:type="pct"/>
            <w:tcBorders>
              <w:top w:val="nil"/>
              <w:left w:val="nil"/>
              <w:bottom w:val="single" w:sz="4" w:space="0" w:color="auto"/>
              <w:right w:val="single" w:sz="4" w:space="0" w:color="auto"/>
            </w:tcBorders>
            <w:shd w:val="clear" w:color="auto" w:fill="auto"/>
            <w:noWrap/>
            <w:vAlign w:val="bottom"/>
            <w:hideMark/>
          </w:tcPr>
          <w:p w14:paraId="085FD51C"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10</w:t>
            </w:r>
          </w:p>
        </w:tc>
        <w:tc>
          <w:tcPr>
            <w:tcW w:w="344" w:type="pct"/>
            <w:tcBorders>
              <w:top w:val="nil"/>
              <w:left w:val="nil"/>
              <w:bottom w:val="single" w:sz="4" w:space="0" w:color="auto"/>
              <w:right w:val="single" w:sz="4" w:space="0" w:color="auto"/>
            </w:tcBorders>
            <w:shd w:val="clear" w:color="auto" w:fill="auto"/>
            <w:noWrap/>
            <w:vAlign w:val="bottom"/>
            <w:hideMark/>
          </w:tcPr>
          <w:p w14:paraId="5F7F3616"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15</w:t>
            </w:r>
          </w:p>
        </w:tc>
        <w:tc>
          <w:tcPr>
            <w:tcW w:w="344" w:type="pct"/>
            <w:tcBorders>
              <w:top w:val="nil"/>
              <w:left w:val="nil"/>
              <w:bottom w:val="single" w:sz="4" w:space="0" w:color="auto"/>
              <w:right w:val="single" w:sz="4" w:space="0" w:color="auto"/>
            </w:tcBorders>
            <w:shd w:val="clear" w:color="auto" w:fill="auto"/>
            <w:noWrap/>
            <w:vAlign w:val="bottom"/>
            <w:hideMark/>
          </w:tcPr>
          <w:p w14:paraId="2E4ADC8F"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55</w:t>
            </w:r>
          </w:p>
        </w:tc>
        <w:tc>
          <w:tcPr>
            <w:tcW w:w="344" w:type="pct"/>
            <w:tcBorders>
              <w:top w:val="nil"/>
              <w:left w:val="nil"/>
              <w:bottom w:val="single" w:sz="4" w:space="0" w:color="auto"/>
              <w:right w:val="single" w:sz="4" w:space="0" w:color="auto"/>
            </w:tcBorders>
            <w:shd w:val="clear" w:color="auto" w:fill="auto"/>
            <w:noWrap/>
            <w:vAlign w:val="bottom"/>
            <w:hideMark/>
          </w:tcPr>
          <w:p w14:paraId="08FC2960"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15</w:t>
            </w:r>
          </w:p>
        </w:tc>
        <w:tc>
          <w:tcPr>
            <w:tcW w:w="344" w:type="pct"/>
            <w:tcBorders>
              <w:top w:val="nil"/>
              <w:left w:val="nil"/>
              <w:bottom w:val="single" w:sz="4" w:space="0" w:color="auto"/>
              <w:right w:val="single" w:sz="4" w:space="0" w:color="auto"/>
            </w:tcBorders>
            <w:shd w:val="clear" w:color="auto" w:fill="auto"/>
            <w:noWrap/>
            <w:vAlign w:val="bottom"/>
            <w:hideMark/>
          </w:tcPr>
          <w:p w14:paraId="4CCC1008"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121</w:t>
            </w:r>
          </w:p>
        </w:tc>
        <w:tc>
          <w:tcPr>
            <w:tcW w:w="363" w:type="pct"/>
            <w:tcBorders>
              <w:top w:val="nil"/>
              <w:left w:val="nil"/>
              <w:bottom w:val="single" w:sz="4" w:space="0" w:color="auto"/>
              <w:right w:val="single" w:sz="4" w:space="0" w:color="auto"/>
            </w:tcBorders>
            <w:shd w:val="clear" w:color="auto" w:fill="auto"/>
            <w:noWrap/>
            <w:vAlign w:val="bottom"/>
            <w:hideMark/>
          </w:tcPr>
          <w:p w14:paraId="4B8FD9AC"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58</w:t>
            </w:r>
          </w:p>
        </w:tc>
        <w:tc>
          <w:tcPr>
            <w:tcW w:w="548" w:type="pct"/>
            <w:tcBorders>
              <w:top w:val="nil"/>
              <w:left w:val="nil"/>
              <w:bottom w:val="single" w:sz="4" w:space="0" w:color="auto"/>
              <w:right w:val="single" w:sz="4" w:space="0" w:color="auto"/>
            </w:tcBorders>
            <w:shd w:val="clear" w:color="auto" w:fill="auto"/>
            <w:noWrap/>
            <w:vAlign w:val="bottom"/>
            <w:hideMark/>
          </w:tcPr>
          <w:p w14:paraId="689E825C"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421" w:type="pct"/>
            <w:tcBorders>
              <w:top w:val="nil"/>
              <w:left w:val="nil"/>
              <w:bottom w:val="single" w:sz="4" w:space="0" w:color="auto"/>
              <w:right w:val="single" w:sz="4" w:space="0" w:color="auto"/>
            </w:tcBorders>
            <w:shd w:val="clear" w:color="auto" w:fill="auto"/>
            <w:noWrap/>
            <w:vAlign w:val="bottom"/>
            <w:hideMark/>
          </w:tcPr>
          <w:p w14:paraId="23FBEC53"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4</w:t>
            </w:r>
          </w:p>
        </w:tc>
        <w:tc>
          <w:tcPr>
            <w:tcW w:w="391" w:type="pct"/>
            <w:tcBorders>
              <w:top w:val="nil"/>
              <w:left w:val="nil"/>
              <w:bottom w:val="single" w:sz="4" w:space="0" w:color="auto"/>
              <w:right w:val="single" w:sz="4" w:space="0" w:color="auto"/>
            </w:tcBorders>
            <w:shd w:val="clear" w:color="auto" w:fill="auto"/>
            <w:noWrap/>
            <w:vAlign w:val="bottom"/>
            <w:hideMark/>
          </w:tcPr>
          <w:p w14:paraId="12A5EB05" w14:textId="77777777" w:rsidR="008C43BF" w:rsidRPr="00E41A7F" w:rsidRDefault="008C43BF" w:rsidP="008C43BF">
            <w:pPr>
              <w:spacing w:after="0"/>
              <w:jc w:val="right"/>
              <w:rPr>
                <w:rFonts w:ascii="Times New Roman" w:hAnsi="Times New Roman"/>
                <w:bCs/>
                <w:color w:val="000000"/>
                <w:lang w:eastAsia="es-DO"/>
              </w:rPr>
            </w:pPr>
            <w:r w:rsidRPr="00E41A7F">
              <w:rPr>
                <w:rFonts w:ascii="Times New Roman" w:hAnsi="Times New Roman"/>
                <w:bCs/>
                <w:color w:val="000000"/>
                <w:lang w:eastAsia="es-DO"/>
              </w:rPr>
              <w:t>298</w:t>
            </w:r>
          </w:p>
        </w:tc>
      </w:tr>
      <w:tr w:rsidR="008C43BF" w:rsidRPr="00E41A7F" w14:paraId="5FEEF898" w14:textId="77777777" w:rsidTr="008C43BF">
        <w:trPr>
          <w:trHeight w:val="300"/>
        </w:trPr>
        <w:tc>
          <w:tcPr>
            <w:tcW w:w="795" w:type="pct"/>
            <w:tcBorders>
              <w:top w:val="nil"/>
              <w:left w:val="single" w:sz="4" w:space="0" w:color="auto"/>
              <w:bottom w:val="single" w:sz="4" w:space="0" w:color="auto"/>
              <w:right w:val="single" w:sz="4" w:space="0" w:color="auto"/>
            </w:tcBorders>
            <w:shd w:val="clear" w:color="auto" w:fill="auto"/>
            <w:noWrap/>
            <w:vAlign w:val="bottom"/>
            <w:hideMark/>
          </w:tcPr>
          <w:p w14:paraId="6818DEAA" w14:textId="77777777" w:rsidR="008C43BF" w:rsidRPr="00E41A7F" w:rsidRDefault="008C43BF" w:rsidP="008C43BF">
            <w:pPr>
              <w:spacing w:after="0"/>
              <w:jc w:val="center"/>
              <w:rPr>
                <w:rFonts w:ascii="Times New Roman" w:hAnsi="Times New Roman"/>
                <w:bCs/>
                <w:color w:val="000000"/>
                <w:lang w:eastAsia="es-DO"/>
              </w:rPr>
            </w:pPr>
            <w:r w:rsidRPr="00E41A7F">
              <w:rPr>
                <w:rFonts w:ascii="Times New Roman" w:hAnsi="Times New Roman"/>
                <w:bCs/>
                <w:color w:val="000000"/>
                <w:lang w:eastAsia="es-DO"/>
              </w:rPr>
              <w:t>Filipino</w:t>
            </w:r>
          </w:p>
        </w:tc>
        <w:tc>
          <w:tcPr>
            <w:tcW w:w="344" w:type="pct"/>
            <w:tcBorders>
              <w:top w:val="nil"/>
              <w:left w:val="nil"/>
              <w:bottom w:val="single" w:sz="4" w:space="0" w:color="auto"/>
              <w:right w:val="single" w:sz="4" w:space="0" w:color="auto"/>
            </w:tcBorders>
            <w:shd w:val="clear" w:color="auto" w:fill="auto"/>
            <w:noWrap/>
            <w:vAlign w:val="bottom"/>
            <w:hideMark/>
          </w:tcPr>
          <w:p w14:paraId="1D230092"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145</w:t>
            </w:r>
          </w:p>
        </w:tc>
        <w:tc>
          <w:tcPr>
            <w:tcW w:w="410" w:type="pct"/>
            <w:tcBorders>
              <w:top w:val="nil"/>
              <w:left w:val="nil"/>
              <w:bottom w:val="single" w:sz="4" w:space="0" w:color="auto"/>
              <w:right w:val="single" w:sz="4" w:space="0" w:color="auto"/>
            </w:tcBorders>
            <w:shd w:val="clear" w:color="auto" w:fill="auto"/>
            <w:noWrap/>
            <w:vAlign w:val="bottom"/>
            <w:hideMark/>
          </w:tcPr>
          <w:p w14:paraId="62D99F3A"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229</w:t>
            </w:r>
          </w:p>
        </w:tc>
        <w:tc>
          <w:tcPr>
            <w:tcW w:w="352" w:type="pct"/>
            <w:tcBorders>
              <w:top w:val="nil"/>
              <w:left w:val="nil"/>
              <w:bottom w:val="single" w:sz="4" w:space="0" w:color="auto"/>
              <w:right w:val="single" w:sz="4" w:space="0" w:color="auto"/>
            </w:tcBorders>
            <w:shd w:val="clear" w:color="auto" w:fill="auto"/>
            <w:noWrap/>
            <w:vAlign w:val="bottom"/>
            <w:hideMark/>
          </w:tcPr>
          <w:p w14:paraId="51BE6B21"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534</w:t>
            </w:r>
          </w:p>
        </w:tc>
        <w:tc>
          <w:tcPr>
            <w:tcW w:w="344" w:type="pct"/>
            <w:tcBorders>
              <w:top w:val="nil"/>
              <w:left w:val="nil"/>
              <w:bottom w:val="single" w:sz="4" w:space="0" w:color="auto"/>
              <w:right w:val="single" w:sz="4" w:space="0" w:color="auto"/>
            </w:tcBorders>
            <w:shd w:val="clear" w:color="auto" w:fill="auto"/>
            <w:noWrap/>
            <w:vAlign w:val="bottom"/>
            <w:hideMark/>
          </w:tcPr>
          <w:p w14:paraId="1120C2E2"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44" w:type="pct"/>
            <w:tcBorders>
              <w:top w:val="nil"/>
              <w:left w:val="nil"/>
              <w:bottom w:val="single" w:sz="4" w:space="0" w:color="auto"/>
              <w:right w:val="single" w:sz="4" w:space="0" w:color="auto"/>
            </w:tcBorders>
            <w:shd w:val="clear" w:color="auto" w:fill="auto"/>
            <w:noWrap/>
            <w:vAlign w:val="bottom"/>
            <w:hideMark/>
          </w:tcPr>
          <w:p w14:paraId="30E10F2D"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920</w:t>
            </w:r>
          </w:p>
        </w:tc>
        <w:tc>
          <w:tcPr>
            <w:tcW w:w="344" w:type="pct"/>
            <w:tcBorders>
              <w:top w:val="nil"/>
              <w:left w:val="nil"/>
              <w:bottom w:val="single" w:sz="4" w:space="0" w:color="auto"/>
              <w:right w:val="single" w:sz="4" w:space="0" w:color="auto"/>
            </w:tcBorders>
            <w:shd w:val="clear" w:color="auto" w:fill="auto"/>
            <w:noWrap/>
            <w:vAlign w:val="bottom"/>
            <w:hideMark/>
          </w:tcPr>
          <w:p w14:paraId="450FF83B"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581</w:t>
            </w:r>
          </w:p>
        </w:tc>
        <w:tc>
          <w:tcPr>
            <w:tcW w:w="344" w:type="pct"/>
            <w:tcBorders>
              <w:top w:val="nil"/>
              <w:left w:val="nil"/>
              <w:bottom w:val="single" w:sz="4" w:space="0" w:color="auto"/>
              <w:right w:val="single" w:sz="4" w:space="0" w:color="auto"/>
            </w:tcBorders>
            <w:shd w:val="clear" w:color="auto" w:fill="auto"/>
            <w:noWrap/>
            <w:vAlign w:val="bottom"/>
            <w:hideMark/>
          </w:tcPr>
          <w:p w14:paraId="10B2C2D5"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1,228</w:t>
            </w:r>
          </w:p>
        </w:tc>
        <w:tc>
          <w:tcPr>
            <w:tcW w:w="363" w:type="pct"/>
            <w:tcBorders>
              <w:top w:val="nil"/>
              <w:left w:val="nil"/>
              <w:bottom w:val="single" w:sz="4" w:space="0" w:color="auto"/>
              <w:right w:val="single" w:sz="4" w:space="0" w:color="auto"/>
            </w:tcBorders>
            <w:shd w:val="clear" w:color="auto" w:fill="auto"/>
            <w:noWrap/>
            <w:vAlign w:val="bottom"/>
            <w:hideMark/>
          </w:tcPr>
          <w:p w14:paraId="34E91F39"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548" w:type="pct"/>
            <w:tcBorders>
              <w:top w:val="nil"/>
              <w:left w:val="nil"/>
              <w:bottom w:val="single" w:sz="4" w:space="0" w:color="auto"/>
              <w:right w:val="single" w:sz="4" w:space="0" w:color="auto"/>
            </w:tcBorders>
            <w:shd w:val="clear" w:color="auto" w:fill="auto"/>
            <w:noWrap/>
            <w:vAlign w:val="bottom"/>
            <w:hideMark/>
          </w:tcPr>
          <w:p w14:paraId="6E5FB03C"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421" w:type="pct"/>
            <w:tcBorders>
              <w:top w:val="nil"/>
              <w:left w:val="nil"/>
              <w:bottom w:val="single" w:sz="4" w:space="0" w:color="auto"/>
              <w:right w:val="single" w:sz="4" w:space="0" w:color="auto"/>
            </w:tcBorders>
            <w:shd w:val="clear" w:color="auto" w:fill="auto"/>
            <w:noWrap/>
            <w:vAlign w:val="bottom"/>
            <w:hideMark/>
          </w:tcPr>
          <w:p w14:paraId="67F8E887"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91" w:type="pct"/>
            <w:tcBorders>
              <w:top w:val="nil"/>
              <w:left w:val="nil"/>
              <w:bottom w:val="single" w:sz="4" w:space="0" w:color="auto"/>
              <w:right w:val="single" w:sz="4" w:space="0" w:color="auto"/>
            </w:tcBorders>
            <w:shd w:val="clear" w:color="auto" w:fill="auto"/>
            <w:noWrap/>
            <w:vAlign w:val="bottom"/>
            <w:hideMark/>
          </w:tcPr>
          <w:p w14:paraId="52FD7143" w14:textId="77777777" w:rsidR="008C43BF" w:rsidRPr="00E41A7F" w:rsidRDefault="008C43BF" w:rsidP="008C43BF">
            <w:pPr>
              <w:spacing w:after="0"/>
              <w:jc w:val="right"/>
              <w:rPr>
                <w:rFonts w:ascii="Times New Roman" w:hAnsi="Times New Roman"/>
                <w:bCs/>
                <w:color w:val="000000"/>
                <w:lang w:eastAsia="es-DO"/>
              </w:rPr>
            </w:pPr>
            <w:r w:rsidRPr="00E41A7F">
              <w:rPr>
                <w:rFonts w:ascii="Times New Roman" w:hAnsi="Times New Roman"/>
                <w:bCs/>
                <w:color w:val="000000"/>
                <w:lang w:eastAsia="es-DO"/>
              </w:rPr>
              <w:t>3,637</w:t>
            </w:r>
          </w:p>
        </w:tc>
      </w:tr>
      <w:tr w:rsidR="008C43BF" w:rsidRPr="00E41A7F" w14:paraId="632EA0EA" w14:textId="77777777" w:rsidTr="008C43BF">
        <w:trPr>
          <w:trHeight w:val="300"/>
        </w:trPr>
        <w:tc>
          <w:tcPr>
            <w:tcW w:w="795" w:type="pct"/>
            <w:tcBorders>
              <w:top w:val="nil"/>
              <w:left w:val="single" w:sz="4" w:space="0" w:color="auto"/>
              <w:bottom w:val="single" w:sz="4" w:space="0" w:color="auto"/>
              <w:right w:val="single" w:sz="4" w:space="0" w:color="auto"/>
            </w:tcBorders>
            <w:shd w:val="clear" w:color="auto" w:fill="auto"/>
            <w:noWrap/>
            <w:vAlign w:val="bottom"/>
            <w:hideMark/>
          </w:tcPr>
          <w:p w14:paraId="6DC3D694" w14:textId="77777777" w:rsidR="008C43BF" w:rsidRPr="00E41A7F" w:rsidRDefault="008C43BF" w:rsidP="008C43BF">
            <w:pPr>
              <w:spacing w:after="0"/>
              <w:jc w:val="center"/>
              <w:rPr>
                <w:rFonts w:ascii="Times New Roman" w:hAnsi="Times New Roman"/>
                <w:bCs/>
                <w:color w:val="000000"/>
                <w:lang w:eastAsia="es-DO"/>
              </w:rPr>
            </w:pPr>
            <w:r w:rsidRPr="00E41A7F">
              <w:rPr>
                <w:rFonts w:ascii="Times New Roman" w:hAnsi="Times New Roman"/>
                <w:bCs/>
                <w:color w:val="000000"/>
                <w:lang w:eastAsia="es-DO"/>
              </w:rPr>
              <w:t>Papa</w:t>
            </w:r>
          </w:p>
        </w:tc>
        <w:tc>
          <w:tcPr>
            <w:tcW w:w="344" w:type="pct"/>
            <w:tcBorders>
              <w:top w:val="nil"/>
              <w:left w:val="nil"/>
              <w:bottom w:val="single" w:sz="4" w:space="0" w:color="auto"/>
              <w:right w:val="single" w:sz="4" w:space="0" w:color="auto"/>
            </w:tcBorders>
            <w:shd w:val="clear" w:color="auto" w:fill="auto"/>
            <w:noWrap/>
            <w:vAlign w:val="bottom"/>
            <w:hideMark/>
          </w:tcPr>
          <w:p w14:paraId="0D0BD32C"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410" w:type="pct"/>
            <w:tcBorders>
              <w:top w:val="nil"/>
              <w:left w:val="nil"/>
              <w:bottom w:val="single" w:sz="4" w:space="0" w:color="auto"/>
              <w:right w:val="single" w:sz="4" w:space="0" w:color="auto"/>
            </w:tcBorders>
            <w:shd w:val="clear" w:color="auto" w:fill="auto"/>
            <w:noWrap/>
            <w:vAlign w:val="bottom"/>
            <w:hideMark/>
          </w:tcPr>
          <w:p w14:paraId="19B0E593"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2,440</w:t>
            </w:r>
          </w:p>
        </w:tc>
        <w:tc>
          <w:tcPr>
            <w:tcW w:w="352" w:type="pct"/>
            <w:tcBorders>
              <w:top w:val="nil"/>
              <w:left w:val="nil"/>
              <w:bottom w:val="single" w:sz="4" w:space="0" w:color="auto"/>
              <w:right w:val="single" w:sz="4" w:space="0" w:color="auto"/>
            </w:tcBorders>
            <w:shd w:val="clear" w:color="auto" w:fill="auto"/>
            <w:noWrap/>
            <w:vAlign w:val="bottom"/>
            <w:hideMark/>
          </w:tcPr>
          <w:p w14:paraId="326400C9"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51</w:t>
            </w:r>
          </w:p>
        </w:tc>
        <w:tc>
          <w:tcPr>
            <w:tcW w:w="344" w:type="pct"/>
            <w:tcBorders>
              <w:top w:val="nil"/>
              <w:left w:val="nil"/>
              <w:bottom w:val="single" w:sz="4" w:space="0" w:color="auto"/>
              <w:right w:val="single" w:sz="4" w:space="0" w:color="auto"/>
            </w:tcBorders>
            <w:shd w:val="clear" w:color="auto" w:fill="auto"/>
            <w:noWrap/>
            <w:vAlign w:val="bottom"/>
            <w:hideMark/>
          </w:tcPr>
          <w:p w14:paraId="417EE454"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1,796</w:t>
            </w:r>
          </w:p>
        </w:tc>
        <w:tc>
          <w:tcPr>
            <w:tcW w:w="344" w:type="pct"/>
            <w:tcBorders>
              <w:top w:val="nil"/>
              <w:left w:val="nil"/>
              <w:bottom w:val="single" w:sz="4" w:space="0" w:color="auto"/>
              <w:right w:val="single" w:sz="4" w:space="0" w:color="auto"/>
            </w:tcBorders>
            <w:shd w:val="clear" w:color="auto" w:fill="auto"/>
            <w:noWrap/>
            <w:vAlign w:val="bottom"/>
            <w:hideMark/>
          </w:tcPr>
          <w:p w14:paraId="3C0A4508"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44" w:type="pct"/>
            <w:tcBorders>
              <w:top w:val="nil"/>
              <w:left w:val="nil"/>
              <w:bottom w:val="single" w:sz="4" w:space="0" w:color="auto"/>
              <w:right w:val="single" w:sz="4" w:space="0" w:color="auto"/>
            </w:tcBorders>
            <w:shd w:val="clear" w:color="auto" w:fill="auto"/>
            <w:noWrap/>
            <w:vAlign w:val="bottom"/>
            <w:hideMark/>
          </w:tcPr>
          <w:p w14:paraId="71070790"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44" w:type="pct"/>
            <w:tcBorders>
              <w:top w:val="nil"/>
              <w:left w:val="nil"/>
              <w:bottom w:val="single" w:sz="4" w:space="0" w:color="auto"/>
              <w:right w:val="single" w:sz="4" w:space="0" w:color="auto"/>
            </w:tcBorders>
            <w:shd w:val="clear" w:color="auto" w:fill="auto"/>
            <w:noWrap/>
            <w:vAlign w:val="bottom"/>
            <w:hideMark/>
          </w:tcPr>
          <w:p w14:paraId="35BA2057"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63" w:type="pct"/>
            <w:tcBorders>
              <w:top w:val="nil"/>
              <w:left w:val="nil"/>
              <w:bottom w:val="single" w:sz="4" w:space="0" w:color="auto"/>
              <w:right w:val="single" w:sz="4" w:space="0" w:color="auto"/>
            </w:tcBorders>
            <w:shd w:val="clear" w:color="auto" w:fill="auto"/>
            <w:noWrap/>
            <w:vAlign w:val="bottom"/>
            <w:hideMark/>
          </w:tcPr>
          <w:p w14:paraId="40777B5A"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548" w:type="pct"/>
            <w:tcBorders>
              <w:top w:val="nil"/>
              <w:left w:val="nil"/>
              <w:bottom w:val="single" w:sz="4" w:space="0" w:color="auto"/>
              <w:right w:val="single" w:sz="4" w:space="0" w:color="auto"/>
            </w:tcBorders>
            <w:shd w:val="clear" w:color="auto" w:fill="auto"/>
            <w:noWrap/>
            <w:vAlign w:val="bottom"/>
            <w:hideMark/>
          </w:tcPr>
          <w:p w14:paraId="42C40C0E"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421" w:type="pct"/>
            <w:tcBorders>
              <w:top w:val="nil"/>
              <w:left w:val="nil"/>
              <w:bottom w:val="single" w:sz="4" w:space="0" w:color="auto"/>
              <w:right w:val="single" w:sz="4" w:space="0" w:color="auto"/>
            </w:tcBorders>
            <w:shd w:val="clear" w:color="auto" w:fill="auto"/>
            <w:noWrap/>
            <w:vAlign w:val="bottom"/>
            <w:hideMark/>
          </w:tcPr>
          <w:p w14:paraId="760F3F30"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91" w:type="pct"/>
            <w:tcBorders>
              <w:top w:val="nil"/>
              <w:left w:val="nil"/>
              <w:bottom w:val="single" w:sz="4" w:space="0" w:color="auto"/>
              <w:right w:val="single" w:sz="4" w:space="0" w:color="auto"/>
            </w:tcBorders>
            <w:shd w:val="clear" w:color="auto" w:fill="auto"/>
            <w:noWrap/>
            <w:vAlign w:val="bottom"/>
            <w:hideMark/>
          </w:tcPr>
          <w:p w14:paraId="41F806EE" w14:textId="77777777" w:rsidR="008C43BF" w:rsidRPr="00E41A7F" w:rsidRDefault="008C43BF" w:rsidP="008C43BF">
            <w:pPr>
              <w:spacing w:after="0"/>
              <w:jc w:val="right"/>
              <w:rPr>
                <w:rFonts w:ascii="Times New Roman" w:hAnsi="Times New Roman"/>
                <w:bCs/>
                <w:color w:val="000000"/>
                <w:lang w:eastAsia="es-DO"/>
              </w:rPr>
            </w:pPr>
            <w:r w:rsidRPr="00E41A7F">
              <w:rPr>
                <w:rFonts w:ascii="Times New Roman" w:hAnsi="Times New Roman"/>
                <w:bCs/>
                <w:color w:val="000000"/>
                <w:lang w:eastAsia="es-DO"/>
              </w:rPr>
              <w:t>4,287</w:t>
            </w:r>
          </w:p>
        </w:tc>
      </w:tr>
      <w:tr w:rsidR="008C43BF" w:rsidRPr="00E41A7F" w14:paraId="6CB52082" w14:textId="77777777" w:rsidTr="008C43BF">
        <w:trPr>
          <w:trHeight w:val="300"/>
        </w:trPr>
        <w:tc>
          <w:tcPr>
            <w:tcW w:w="795" w:type="pct"/>
            <w:tcBorders>
              <w:top w:val="nil"/>
              <w:left w:val="single" w:sz="4" w:space="0" w:color="auto"/>
              <w:bottom w:val="single" w:sz="4" w:space="0" w:color="auto"/>
              <w:right w:val="single" w:sz="4" w:space="0" w:color="auto"/>
            </w:tcBorders>
            <w:shd w:val="clear" w:color="auto" w:fill="auto"/>
            <w:noWrap/>
            <w:vAlign w:val="bottom"/>
            <w:hideMark/>
          </w:tcPr>
          <w:p w14:paraId="0EE023A7" w14:textId="77777777" w:rsidR="008C43BF" w:rsidRPr="00E41A7F" w:rsidRDefault="008C43BF" w:rsidP="008C43BF">
            <w:pPr>
              <w:spacing w:after="0"/>
              <w:jc w:val="center"/>
              <w:rPr>
                <w:rFonts w:ascii="Times New Roman" w:hAnsi="Times New Roman"/>
                <w:bCs/>
                <w:color w:val="000000"/>
                <w:lang w:eastAsia="es-DO"/>
              </w:rPr>
            </w:pPr>
            <w:r w:rsidRPr="00E41A7F">
              <w:rPr>
                <w:rFonts w:ascii="Times New Roman" w:hAnsi="Times New Roman"/>
                <w:bCs/>
                <w:color w:val="000000"/>
                <w:lang w:eastAsia="es-DO"/>
              </w:rPr>
              <w:t>Fresa</w:t>
            </w:r>
          </w:p>
        </w:tc>
        <w:tc>
          <w:tcPr>
            <w:tcW w:w="344" w:type="pct"/>
            <w:tcBorders>
              <w:top w:val="nil"/>
              <w:left w:val="nil"/>
              <w:bottom w:val="single" w:sz="4" w:space="0" w:color="auto"/>
              <w:right w:val="single" w:sz="4" w:space="0" w:color="auto"/>
            </w:tcBorders>
            <w:shd w:val="clear" w:color="auto" w:fill="auto"/>
            <w:noWrap/>
            <w:vAlign w:val="bottom"/>
            <w:hideMark/>
          </w:tcPr>
          <w:p w14:paraId="47C46DB2"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410" w:type="pct"/>
            <w:tcBorders>
              <w:top w:val="nil"/>
              <w:left w:val="nil"/>
              <w:bottom w:val="single" w:sz="4" w:space="0" w:color="auto"/>
              <w:right w:val="single" w:sz="4" w:space="0" w:color="auto"/>
            </w:tcBorders>
            <w:shd w:val="clear" w:color="auto" w:fill="auto"/>
            <w:noWrap/>
            <w:vAlign w:val="bottom"/>
            <w:hideMark/>
          </w:tcPr>
          <w:p w14:paraId="55B13010"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52" w:type="pct"/>
            <w:tcBorders>
              <w:top w:val="nil"/>
              <w:left w:val="nil"/>
              <w:bottom w:val="single" w:sz="4" w:space="0" w:color="auto"/>
              <w:right w:val="single" w:sz="4" w:space="0" w:color="auto"/>
            </w:tcBorders>
            <w:shd w:val="clear" w:color="auto" w:fill="auto"/>
            <w:noWrap/>
            <w:vAlign w:val="bottom"/>
            <w:hideMark/>
          </w:tcPr>
          <w:p w14:paraId="098DACF5"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44" w:type="pct"/>
            <w:tcBorders>
              <w:top w:val="nil"/>
              <w:left w:val="nil"/>
              <w:bottom w:val="single" w:sz="4" w:space="0" w:color="auto"/>
              <w:right w:val="single" w:sz="4" w:space="0" w:color="auto"/>
            </w:tcBorders>
            <w:shd w:val="clear" w:color="auto" w:fill="auto"/>
            <w:noWrap/>
            <w:vAlign w:val="bottom"/>
            <w:hideMark/>
          </w:tcPr>
          <w:p w14:paraId="1B30F000"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44" w:type="pct"/>
            <w:tcBorders>
              <w:top w:val="nil"/>
              <w:left w:val="nil"/>
              <w:bottom w:val="single" w:sz="4" w:space="0" w:color="auto"/>
              <w:right w:val="single" w:sz="4" w:space="0" w:color="auto"/>
            </w:tcBorders>
            <w:shd w:val="clear" w:color="auto" w:fill="auto"/>
            <w:noWrap/>
            <w:vAlign w:val="bottom"/>
            <w:hideMark/>
          </w:tcPr>
          <w:p w14:paraId="3F73DDEE"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200</w:t>
            </w:r>
          </w:p>
        </w:tc>
        <w:tc>
          <w:tcPr>
            <w:tcW w:w="344" w:type="pct"/>
            <w:tcBorders>
              <w:top w:val="nil"/>
              <w:left w:val="nil"/>
              <w:bottom w:val="single" w:sz="4" w:space="0" w:color="auto"/>
              <w:right w:val="single" w:sz="4" w:space="0" w:color="auto"/>
            </w:tcBorders>
            <w:shd w:val="clear" w:color="auto" w:fill="auto"/>
            <w:noWrap/>
            <w:vAlign w:val="bottom"/>
            <w:hideMark/>
          </w:tcPr>
          <w:p w14:paraId="5B15DA90"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170</w:t>
            </w:r>
          </w:p>
        </w:tc>
        <w:tc>
          <w:tcPr>
            <w:tcW w:w="344" w:type="pct"/>
            <w:tcBorders>
              <w:top w:val="nil"/>
              <w:left w:val="nil"/>
              <w:bottom w:val="single" w:sz="4" w:space="0" w:color="auto"/>
              <w:right w:val="single" w:sz="4" w:space="0" w:color="auto"/>
            </w:tcBorders>
            <w:shd w:val="clear" w:color="auto" w:fill="auto"/>
            <w:noWrap/>
            <w:vAlign w:val="bottom"/>
            <w:hideMark/>
          </w:tcPr>
          <w:p w14:paraId="706E9DC0"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610</w:t>
            </w:r>
          </w:p>
        </w:tc>
        <w:tc>
          <w:tcPr>
            <w:tcW w:w="363" w:type="pct"/>
            <w:tcBorders>
              <w:top w:val="nil"/>
              <w:left w:val="nil"/>
              <w:bottom w:val="single" w:sz="4" w:space="0" w:color="auto"/>
              <w:right w:val="single" w:sz="4" w:space="0" w:color="auto"/>
            </w:tcBorders>
            <w:shd w:val="clear" w:color="auto" w:fill="auto"/>
            <w:noWrap/>
            <w:vAlign w:val="bottom"/>
            <w:hideMark/>
          </w:tcPr>
          <w:p w14:paraId="5EA6CDFA"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548" w:type="pct"/>
            <w:tcBorders>
              <w:top w:val="nil"/>
              <w:left w:val="nil"/>
              <w:bottom w:val="single" w:sz="4" w:space="0" w:color="auto"/>
              <w:right w:val="single" w:sz="4" w:space="0" w:color="auto"/>
            </w:tcBorders>
            <w:shd w:val="clear" w:color="auto" w:fill="auto"/>
            <w:noWrap/>
            <w:vAlign w:val="bottom"/>
            <w:hideMark/>
          </w:tcPr>
          <w:p w14:paraId="4038DA25"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949</w:t>
            </w:r>
          </w:p>
        </w:tc>
        <w:tc>
          <w:tcPr>
            <w:tcW w:w="421" w:type="pct"/>
            <w:tcBorders>
              <w:top w:val="nil"/>
              <w:left w:val="nil"/>
              <w:bottom w:val="single" w:sz="4" w:space="0" w:color="auto"/>
              <w:right w:val="single" w:sz="4" w:space="0" w:color="auto"/>
            </w:tcBorders>
            <w:shd w:val="clear" w:color="auto" w:fill="auto"/>
            <w:noWrap/>
            <w:vAlign w:val="bottom"/>
            <w:hideMark/>
          </w:tcPr>
          <w:p w14:paraId="60158D9D"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 </w:t>
            </w:r>
          </w:p>
        </w:tc>
        <w:tc>
          <w:tcPr>
            <w:tcW w:w="391" w:type="pct"/>
            <w:tcBorders>
              <w:top w:val="nil"/>
              <w:left w:val="nil"/>
              <w:bottom w:val="single" w:sz="4" w:space="0" w:color="auto"/>
              <w:right w:val="single" w:sz="4" w:space="0" w:color="auto"/>
            </w:tcBorders>
            <w:shd w:val="clear" w:color="auto" w:fill="auto"/>
            <w:noWrap/>
            <w:vAlign w:val="bottom"/>
            <w:hideMark/>
          </w:tcPr>
          <w:p w14:paraId="35E6A783" w14:textId="77777777" w:rsidR="008C43BF" w:rsidRPr="00E41A7F" w:rsidRDefault="008C43BF" w:rsidP="008C43BF">
            <w:pPr>
              <w:spacing w:after="0"/>
              <w:jc w:val="right"/>
              <w:rPr>
                <w:rFonts w:ascii="Times New Roman" w:hAnsi="Times New Roman"/>
                <w:bCs/>
                <w:color w:val="000000"/>
                <w:lang w:eastAsia="es-DO"/>
              </w:rPr>
            </w:pPr>
            <w:r w:rsidRPr="00E41A7F">
              <w:rPr>
                <w:rFonts w:ascii="Times New Roman" w:hAnsi="Times New Roman"/>
                <w:bCs/>
                <w:color w:val="000000"/>
                <w:lang w:eastAsia="es-DO"/>
              </w:rPr>
              <w:t>1,929</w:t>
            </w:r>
          </w:p>
        </w:tc>
      </w:tr>
      <w:tr w:rsidR="008C43BF" w:rsidRPr="008C43BF" w14:paraId="0D0A1F26" w14:textId="77777777" w:rsidTr="008C43BF">
        <w:trPr>
          <w:trHeight w:val="300"/>
        </w:trPr>
        <w:tc>
          <w:tcPr>
            <w:tcW w:w="795" w:type="pct"/>
            <w:tcBorders>
              <w:top w:val="nil"/>
              <w:left w:val="single" w:sz="4" w:space="0" w:color="auto"/>
              <w:bottom w:val="single" w:sz="4" w:space="0" w:color="auto"/>
              <w:right w:val="single" w:sz="4" w:space="0" w:color="auto"/>
            </w:tcBorders>
            <w:shd w:val="clear" w:color="auto" w:fill="808080" w:themeFill="background1" w:themeFillShade="80"/>
            <w:noWrap/>
            <w:vAlign w:val="bottom"/>
            <w:hideMark/>
          </w:tcPr>
          <w:p w14:paraId="7BAD05D9" w14:textId="77777777" w:rsidR="008C43BF" w:rsidRPr="00E41A7F" w:rsidRDefault="008C43BF" w:rsidP="008C43BF">
            <w:pPr>
              <w:spacing w:after="0"/>
              <w:jc w:val="center"/>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Total</w:t>
            </w:r>
          </w:p>
        </w:tc>
        <w:tc>
          <w:tcPr>
            <w:tcW w:w="344" w:type="pct"/>
            <w:tcBorders>
              <w:top w:val="nil"/>
              <w:left w:val="nil"/>
              <w:bottom w:val="single" w:sz="4" w:space="0" w:color="auto"/>
              <w:right w:val="single" w:sz="4" w:space="0" w:color="auto"/>
            </w:tcBorders>
            <w:shd w:val="clear" w:color="auto" w:fill="808080" w:themeFill="background1" w:themeFillShade="80"/>
            <w:noWrap/>
            <w:vAlign w:val="bottom"/>
            <w:hideMark/>
          </w:tcPr>
          <w:p w14:paraId="37C641F4" w14:textId="77777777" w:rsidR="008C43BF" w:rsidRPr="00E41A7F" w:rsidRDefault="008C43BF" w:rsidP="008C43BF">
            <w:pPr>
              <w:spacing w:after="0"/>
              <w:jc w:val="right"/>
              <w:rPr>
                <w:rFonts w:ascii="Times New Roman" w:hAnsi="Times New Roman"/>
                <w:b/>
                <w:color w:val="FFFFFF" w:themeColor="background1"/>
                <w:lang w:eastAsia="es-DO"/>
              </w:rPr>
            </w:pPr>
            <w:r w:rsidRPr="00E41A7F">
              <w:rPr>
                <w:rFonts w:ascii="Times New Roman" w:hAnsi="Times New Roman"/>
                <w:b/>
                <w:color w:val="FFFFFF" w:themeColor="background1"/>
                <w:lang w:eastAsia="es-DO"/>
              </w:rPr>
              <w:t>61,957</w:t>
            </w:r>
          </w:p>
        </w:tc>
        <w:tc>
          <w:tcPr>
            <w:tcW w:w="410" w:type="pct"/>
            <w:tcBorders>
              <w:top w:val="nil"/>
              <w:left w:val="nil"/>
              <w:bottom w:val="single" w:sz="4" w:space="0" w:color="auto"/>
              <w:right w:val="single" w:sz="4" w:space="0" w:color="auto"/>
            </w:tcBorders>
            <w:shd w:val="clear" w:color="auto" w:fill="808080" w:themeFill="background1" w:themeFillShade="80"/>
            <w:noWrap/>
            <w:vAlign w:val="bottom"/>
            <w:hideMark/>
          </w:tcPr>
          <w:p w14:paraId="4BDD0BAD" w14:textId="77777777" w:rsidR="008C43BF" w:rsidRPr="00E41A7F" w:rsidRDefault="008C43BF" w:rsidP="008C43BF">
            <w:pPr>
              <w:spacing w:after="0"/>
              <w:jc w:val="right"/>
              <w:rPr>
                <w:rFonts w:ascii="Times New Roman" w:hAnsi="Times New Roman"/>
                <w:b/>
                <w:color w:val="FFFFFF" w:themeColor="background1"/>
                <w:lang w:eastAsia="es-DO"/>
              </w:rPr>
            </w:pPr>
            <w:r w:rsidRPr="00E41A7F">
              <w:rPr>
                <w:rFonts w:ascii="Times New Roman" w:hAnsi="Times New Roman"/>
                <w:b/>
                <w:color w:val="FFFFFF" w:themeColor="background1"/>
                <w:lang w:eastAsia="es-DO"/>
              </w:rPr>
              <w:t>18,969</w:t>
            </w:r>
          </w:p>
        </w:tc>
        <w:tc>
          <w:tcPr>
            <w:tcW w:w="352" w:type="pct"/>
            <w:tcBorders>
              <w:top w:val="nil"/>
              <w:left w:val="nil"/>
              <w:bottom w:val="single" w:sz="4" w:space="0" w:color="auto"/>
              <w:right w:val="single" w:sz="4" w:space="0" w:color="auto"/>
            </w:tcBorders>
            <w:shd w:val="clear" w:color="auto" w:fill="808080" w:themeFill="background1" w:themeFillShade="80"/>
            <w:noWrap/>
            <w:vAlign w:val="bottom"/>
            <w:hideMark/>
          </w:tcPr>
          <w:p w14:paraId="7A15C41C" w14:textId="77777777" w:rsidR="008C43BF" w:rsidRPr="00E41A7F" w:rsidRDefault="008C43BF" w:rsidP="008C43BF">
            <w:pPr>
              <w:spacing w:after="0"/>
              <w:jc w:val="right"/>
              <w:rPr>
                <w:rFonts w:ascii="Times New Roman" w:hAnsi="Times New Roman"/>
                <w:b/>
                <w:color w:val="FFFFFF" w:themeColor="background1"/>
                <w:lang w:eastAsia="es-DO"/>
              </w:rPr>
            </w:pPr>
            <w:r w:rsidRPr="00E41A7F">
              <w:rPr>
                <w:rFonts w:ascii="Times New Roman" w:hAnsi="Times New Roman"/>
                <w:b/>
                <w:color w:val="FFFFFF" w:themeColor="background1"/>
                <w:lang w:eastAsia="es-DO"/>
              </w:rPr>
              <w:t>36,701</w:t>
            </w:r>
          </w:p>
        </w:tc>
        <w:tc>
          <w:tcPr>
            <w:tcW w:w="344" w:type="pct"/>
            <w:tcBorders>
              <w:top w:val="nil"/>
              <w:left w:val="nil"/>
              <w:bottom w:val="single" w:sz="4" w:space="0" w:color="auto"/>
              <w:right w:val="single" w:sz="4" w:space="0" w:color="auto"/>
            </w:tcBorders>
            <w:shd w:val="clear" w:color="auto" w:fill="808080" w:themeFill="background1" w:themeFillShade="80"/>
            <w:noWrap/>
            <w:vAlign w:val="bottom"/>
            <w:hideMark/>
          </w:tcPr>
          <w:p w14:paraId="30116554" w14:textId="77777777" w:rsidR="008C43BF" w:rsidRPr="00E41A7F" w:rsidRDefault="008C43BF" w:rsidP="008C43BF">
            <w:pPr>
              <w:spacing w:after="0"/>
              <w:jc w:val="right"/>
              <w:rPr>
                <w:rFonts w:ascii="Times New Roman" w:hAnsi="Times New Roman"/>
                <w:b/>
                <w:color w:val="FFFFFF" w:themeColor="background1"/>
                <w:lang w:eastAsia="es-DO"/>
              </w:rPr>
            </w:pPr>
            <w:r w:rsidRPr="00E41A7F">
              <w:rPr>
                <w:rFonts w:ascii="Times New Roman" w:hAnsi="Times New Roman"/>
                <w:b/>
                <w:color w:val="FFFFFF" w:themeColor="background1"/>
                <w:lang w:eastAsia="es-DO"/>
              </w:rPr>
              <w:t>52,971</w:t>
            </w:r>
          </w:p>
        </w:tc>
        <w:tc>
          <w:tcPr>
            <w:tcW w:w="344" w:type="pct"/>
            <w:tcBorders>
              <w:top w:val="nil"/>
              <w:left w:val="nil"/>
              <w:bottom w:val="single" w:sz="4" w:space="0" w:color="auto"/>
              <w:right w:val="single" w:sz="4" w:space="0" w:color="auto"/>
            </w:tcBorders>
            <w:shd w:val="clear" w:color="auto" w:fill="808080" w:themeFill="background1" w:themeFillShade="80"/>
            <w:noWrap/>
            <w:vAlign w:val="bottom"/>
            <w:hideMark/>
          </w:tcPr>
          <w:p w14:paraId="2669046F" w14:textId="77777777" w:rsidR="008C43BF" w:rsidRPr="00E41A7F" w:rsidRDefault="008C43BF" w:rsidP="008C43BF">
            <w:pPr>
              <w:spacing w:after="0"/>
              <w:jc w:val="right"/>
              <w:rPr>
                <w:rFonts w:ascii="Times New Roman" w:hAnsi="Times New Roman"/>
                <w:b/>
                <w:color w:val="FFFFFF" w:themeColor="background1"/>
                <w:lang w:eastAsia="es-DO"/>
              </w:rPr>
            </w:pPr>
            <w:r w:rsidRPr="00E41A7F">
              <w:rPr>
                <w:rFonts w:ascii="Times New Roman" w:hAnsi="Times New Roman"/>
                <w:b/>
                <w:color w:val="FFFFFF" w:themeColor="background1"/>
                <w:lang w:eastAsia="es-DO"/>
              </w:rPr>
              <w:t>55,326</w:t>
            </w:r>
          </w:p>
        </w:tc>
        <w:tc>
          <w:tcPr>
            <w:tcW w:w="344" w:type="pct"/>
            <w:tcBorders>
              <w:top w:val="nil"/>
              <w:left w:val="nil"/>
              <w:bottom w:val="single" w:sz="4" w:space="0" w:color="auto"/>
              <w:right w:val="single" w:sz="4" w:space="0" w:color="auto"/>
            </w:tcBorders>
            <w:shd w:val="clear" w:color="auto" w:fill="808080" w:themeFill="background1" w:themeFillShade="80"/>
            <w:noWrap/>
            <w:vAlign w:val="bottom"/>
            <w:hideMark/>
          </w:tcPr>
          <w:p w14:paraId="25DBE3A7" w14:textId="77777777" w:rsidR="008C43BF" w:rsidRPr="00E41A7F" w:rsidRDefault="008C43BF" w:rsidP="008C43BF">
            <w:pPr>
              <w:spacing w:after="0"/>
              <w:jc w:val="right"/>
              <w:rPr>
                <w:rFonts w:ascii="Times New Roman" w:hAnsi="Times New Roman"/>
                <w:b/>
                <w:color w:val="FFFFFF" w:themeColor="background1"/>
                <w:lang w:eastAsia="es-DO"/>
              </w:rPr>
            </w:pPr>
            <w:r w:rsidRPr="00E41A7F">
              <w:rPr>
                <w:rFonts w:ascii="Times New Roman" w:hAnsi="Times New Roman"/>
                <w:b/>
                <w:color w:val="FFFFFF" w:themeColor="background1"/>
                <w:lang w:eastAsia="es-DO"/>
              </w:rPr>
              <w:t>85,047</w:t>
            </w:r>
          </w:p>
        </w:tc>
        <w:tc>
          <w:tcPr>
            <w:tcW w:w="344" w:type="pct"/>
            <w:tcBorders>
              <w:top w:val="nil"/>
              <w:left w:val="nil"/>
              <w:bottom w:val="single" w:sz="4" w:space="0" w:color="auto"/>
              <w:right w:val="single" w:sz="4" w:space="0" w:color="auto"/>
            </w:tcBorders>
            <w:shd w:val="clear" w:color="auto" w:fill="808080" w:themeFill="background1" w:themeFillShade="80"/>
            <w:noWrap/>
            <w:vAlign w:val="bottom"/>
            <w:hideMark/>
          </w:tcPr>
          <w:p w14:paraId="7FB94286" w14:textId="77777777" w:rsidR="008C43BF" w:rsidRPr="00E41A7F" w:rsidRDefault="008C43BF" w:rsidP="008C43BF">
            <w:pPr>
              <w:spacing w:after="0"/>
              <w:jc w:val="right"/>
              <w:rPr>
                <w:rFonts w:ascii="Times New Roman" w:hAnsi="Times New Roman"/>
                <w:b/>
                <w:color w:val="FFFFFF" w:themeColor="background1"/>
                <w:lang w:eastAsia="es-DO"/>
              </w:rPr>
            </w:pPr>
            <w:r w:rsidRPr="00E41A7F">
              <w:rPr>
                <w:rFonts w:ascii="Times New Roman" w:hAnsi="Times New Roman"/>
                <w:b/>
                <w:color w:val="FFFFFF" w:themeColor="background1"/>
                <w:lang w:eastAsia="es-DO"/>
              </w:rPr>
              <w:t>81,728</w:t>
            </w:r>
          </w:p>
        </w:tc>
        <w:tc>
          <w:tcPr>
            <w:tcW w:w="363" w:type="pct"/>
            <w:tcBorders>
              <w:top w:val="nil"/>
              <w:left w:val="nil"/>
              <w:bottom w:val="single" w:sz="4" w:space="0" w:color="auto"/>
              <w:right w:val="single" w:sz="4" w:space="0" w:color="auto"/>
            </w:tcBorders>
            <w:shd w:val="clear" w:color="auto" w:fill="808080" w:themeFill="background1" w:themeFillShade="80"/>
            <w:noWrap/>
            <w:vAlign w:val="bottom"/>
            <w:hideMark/>
          </w:tcPr>
          <w:p w14:paraId="013A0C1D" w14:textId="77777777" w:rsidR="008C43BF" w:rsidRPr="00E41A7F" w:rsidRDefault="008C43BF" w:rsidP="008C43BF">
            <w:pPr>
              <w:spacing w:after="0"/>
              <w:jc w:val="right"/>
              <w:rPr>
                <w:rFonts w:ascii="Times New Roman" w:hAnsi="Times New Roman"/>
                <w:b/>
                <w:color w:val="FFFFFF" w:themeColor="background1"/>
                <w:lang w:eastAsia="es-DO"/>
              </w:rPr>
            </w:pPr>
            <w:r w:rsidRPr="00E41A7F">
              <w:rPr>
                <w:rFonts w:ascii="Times New Roman" w:hAnsi="Times New Roman"/>
                <w:b/>
                <w:color w:val="FFFFFF" w:themeColor="background1"/>
                <w:lang w:eastAsia="es-DO"/>
              </w:rPr>
              <w:t>29,790</w:t>
            </w:r>
          </w:p>
        </w:tc>
        <w:tc>
          <w:tcPr>
            <w:tcW w:w="548" w:type="pct"/>
            <w:tcBorders>
              <w:top w:val="nil"/>
              <w:left w:val="nil"/>
              <w:bottom w:val="single" w:sz="4" w:space="0" w:color="auto"/>
              <w:right w:val="single" w:sz="4" w:space="0" w:color="auto"/>
            </w:tcBorders>
            <w:shd w:val="clear" w:color="auto" w:fill="808080" w:themeFill="background1" w:themeFillShade="80"/>
            <w:noWrap/>
            <w:vAlign w:val="bottom"/>
            <w:hideMark/>
          </w:tcPr>
          <w:p w14:paraId="2AEF6AB6" w14:textId="77777777" w:rsidR="008C43BF" w:rsidRPr="00E41A7F" w:rsidRDefault="008C43BF" w:rsidP="008C43BF">
            <w:pPr>
              <w:spacing w:after="0"/>
              <w:jc w:val="right"/>
              <w:rPr>
                <w:rFonts w:ascii="Times New Roman" w:hAnsi="Times New Roman"/>
                <w:b/>
                <w:color w:val="FFFFFF" w:themeColor="background1"/>
                <w:lang w:eastAsia="es-DO"/>
              </w:rPr>
            </w:pPr>
            <w:r w:rsidRPr="00E41A7F">
              <w:rPr>
                <w:rFonts w:ascii="Times New Roman" w:hAnsi="Times New Roman"/>
                <w:b/>
                <w:color w:val="FFFFFF" w:themeColor="background1"/>
                <w:lang w:eastAsia="es-DO"/>
              </w:rPr>
              <w:t>49,194</w:t>
            </w:r>
          </w:p>
        </w:tc>
        <w:tc>
          <w:tcPr>
            <w:tcW w:w="421" w:type="pct"/>
            <w:tcBorders>
              <w:top w:val="nil"/>
              <w:left w:val="nil"/>
              <w:bottom w:val="single" w:sz="4" w:space="0" w:color="auto"/>
              <w:right w:val="single" w:sz="4" w:space="0" w:color="auto"/>
            </w:tcBorders>
            <w:shd w:val="clear" w:color="auto" w:fill="808080" w:themeFill="background1" w:themeFillShade="80"/>
            <w:noWrap/>
            <w:vAlign w:val="bottom"/>
            <w:hideMark/>
          </w:tcPr>
          <w:p w14:paraId="3DDD881C" w14:textId="77777777" w:rsidR="008C43BF" w:rsidRPr="00E41A7F" w:rsidRDefault="008C43BF" w:rsidP="008C43BF">
            <w:pPr>
              <w:spacing w:after="0"/>
              <w:jc w:val="right"/>
              <w:rPr>
                <w:rFonts w:ascii="Times New Roman" w:hAnsi="Times New Roman"/>
                <w:b/>
                <w:color w:val="FFFFFF" w:themeColor="background1"/>
                <w:lang w:eastAsia="es-DO"/>
              </w:rPr>
            </w:pPr>
            <w:r w:rsidRPr="00E41A7F">
              <w:rPr>
                <w:rFonts w:ascii="Times New Roman" w:hAnsi="Times New Roman"/>
                <w:b/>
                <w:color w:val="FFFFFF" w:themeColor="background1"/>
                <w:lang w:eastAsia="es-DO"/>
              </w:rPr>
              <w:t>14,914</w:t>
            </w:r>
          </w:p>
        </w:tc>
        <w:tc>
          <w:tcPr>
            <w:tcW w:w="391" w:type="pct"/>
            <w:tcBorders>
              <w:top w:val="nil"/>
              <w:left w:val="nil"/>
              <w:bottom w:val="single" w:sz="4" w:space="0" w:color="auto"/>
              <w:right w:val="single" w:sz="4" w:space="0" w:color="auto"/>
            </w:tcBorders>
            <w:shd w:val="clear" w:color="auto" w:fill="808080" w:themeFill="background1" w:themeFillShade="80"/>
            <w:noWrap/>
            <w:vAlign w:val="bottom"/>
            <w:hideMark/>
          </w:tcPr>
          <w:p w14:paraId="76BB5DCB" w14:textId="77777777" w:rsidR="008C43BF" w:rsidRPr="008C43BF" w:rsidRDefault="008C43BF" w:rsidP="008C43BF">
            <w:pPr>
              <w:spacing w:after="0"/>
              <w:jc w:val="right"/>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486,597</w:t>
            </w:r>
          </w:p>
        </w:tc>
      </w:tr>
    </w:tbl>
    <w:p w14:paraId="47FDCA60" w14:textId="38B1166C" w:rsidR="00680D76" w:rsidRDefault="00680D76" w:rsidP="00417865">
      <w:pPr>
        <w:pStyle w:val="Prrafodelista"/>
        <w:ind w:left="644"/>
        <w:rPr>
          <w:rFonts w:ascii="Times New Roman" w:hAnsi="Times New Roman"/>
          <w:b/>
          <w:color w:val="4F81BD" w:themeColor="accent1"/>
          <w:sz w:val="24"/>
          <w:lang w:val="es-ES_tradnl"/>
        </w:rPr>
      </w:pPr>
    </w:p>
    <w:p w14:paraId="7CB5EF05" w14:textId="2AC6344C" w:rsidR="007F3EEF" w:rsidRDefault="007F3EEF" w:rsidP="00417865">
      <w:pPr>
        <w:pStyle w:val="Prrafodelista"/>
        <w:ind w:left="644"/>
        <w:rPr>
          <w:rFonts w:ascii="Times New Roman" w:hAnsi="Times New Roman"/>
          <w:b/>
          <w:color w:val="4F81BD" w:themeColor="accent1"/>
          <w:sz w:val="24"/>
          <w:lang w:val="es-ES_tradnl"/>
        </w:rPr>
      </w:pPr>
    </w:p>
    <w:p w14:paraId="6C446910" w14:textId="77777777" w:rsidR="00782488" w:rsidRDefault="00782488" w:rsidP="00417865">
      <w:pPr>
        <w:pStyle w:val="Prrafodelista"/>
        <w:ind w:left="644"/>
        <w:rPr>
          <w:rFonts w:ascii="Times New Roman" w:hAnsi="Times New Roman"/>
          <w:b/>
          <w:color w:val="4F81BD" w:themeColor="accent1"/>
          <w:sz w:val="24"/>
          <w:lang w:val="es-ES_tradnl"/>
        </w:rPr>
      </w:pPr>
    </w:p>
    <w:p w14:paraId="10D11550" w14:textId="77777777" w:rsidR="007F3EEF" w:rsidRDefault="007F3EEF" w:rsidP="00417865">
      <w:pPr>
        <w:pStyle w:val="Prrafodelista"/>
        <w:ind w:left="644"/>
        <w:rPr>
          <w:rFonts w:ascii="Times New Roman" w:hAnsi="Times New Roman"/>
          <w:b/>
          <w:color w:val="4F81BD" w:themeColor="accent1"/>
          <w:sz w:val="24"/>
          <w:lang w:val="es-ES_tradnl"/>
        </w:rPr>
      </w:pPr>
    </w:p>
    <w:p w14:paraId="6E49A8FA" w14:textId="23CCF13C" w:rsidR="0098249D" w:rsidRPr="00417865" w:rsidRDefault="00A359FE" w:rsidP="001C6B1A">
      <w:pPr>
        <w:pStyle w:val="Prrafodelista"/>
        <w:numPr>
          <w:ilvl w:val="0"/>
          <w:numId w:val="9"/>
        </w:numPr>
        <w:spacing w:after="0" w:line="480" w:lineRule="auto"/>
        <w:rPr>
          <w:rFonts w:ascii="Times New Roman" w:hAnsi="Times New Roman"/>
          <w:b/>
          <w:sz w:val="24"/>
          <w:lang w:val="es-ES_tradnl"/>
        </w:rPr>
      </w:pPr>
      <w:r>
        <w:rPr>
          <w:rFonts w:ascii="Times New Roman" w:hAnsi="Times New Roman"/>
          <w:b/>
          <w:sz w:val="24"/>
          <w:lang w:val="es-ES_tradnl"/>
        </w:rPr>
        <w:lastRenderedPageBreak/>
        <w:t>Producción s</w:t>
      </w:r>
      <w:r w:rsidR="0098249D" w:rsidRPr="00417865">
        <w:rPr>
          <w:rFonts w:ascii="Times New Roman" w:hAnsi="Times New Roman"/>
          <w:b/>
          <w:sz w:val="24"/>
          <w:lang w:val="es-ES_tradnl"/>
        </w:rPr>
        <w:t xml:space="preserve">alida a </w:t>
      </w:r>
      <w:r>
        <w:rPr>
          <w:rFonts w:ascii="Times New Roman" w:hAnsi="Times New Roman"/>
          <w:b/>
          <w:sz w:val="24"/>
          <w:lang w:val="es-ES_tradnl"/>
        </w:rPr>
        <w:t>v</w:t>
      </w:r>
      <w:r w:rsidR="0098249D" w:rsidRPr="00417865">
        <w:rPr>
          <w:rFonts w:ascii="Times New Roman" w:hAnsi="Times New Roman"/>
          <w:b/>
          <w:sz w:val="24"/>
          <w:lang w:val="es-ES_tradnl"/>
        </w:rPr>
        <w:t>ivero enero-</w:t>
      </w:r>
      <w:r w:rsidR="008C43BF">
        <w:rPr>
          <w:rFonts w:ascii="Times New Roman" w:hAnsi="Times New Roman"/>
          <w:b/>
          <w:sz w:val="24"/>
          <w:lang w:val="es-ES_tradnl"/>
        </w:rPr>
        <w:t>octubre 2019</w:t>
      </w:r>
    </w:p>
    <w:tbl>
      <w:tblPr>
        <w:tblW w:w="5362" w:type="pct"/>
        <w:tblInd w:w="-572" w:type="dxa"/>
        <w:tblCellMar>
          <w:left w:w="70" w:type="dxa"/>
          <w:right w:w="70" w:type="dxa"/>
        </w:tblCellMar>
        <w:tblLook w:val="04A0" w:firstRow="1" w:lastRow="0" w:firstColumn="1" w:lastColumn="0" w:noHBand="0" w:noVBand="1"/>
      </w:tblPr>
      <w:tblGrid>
        <w:gridCol w:w="1087"/>
        <w:gridCol w:w="800"/>
        <w:gridCol w:w="800"/>
        <w:gridCol w:w="800"/>
        <w:gridCol w:w="680"/>
        <w:gridCol w:w="800"/>
        <w:gridCol w:w="800"/>
        <w:gridCol w:w="800"/>
        <w:gridCol w:w="800"/>
        <w:gridCol w:w="800"/>
        <w:gridCol w:w="800"/>
        <w:gridCol w:w="920"/>
      </w:tblGrid>
      <w:tr w:rsidR="008C43BF" w:rsidRPr="00E41A7F" w14:paraId="5816DF56" w14:textId="77777777" w:rsidTr="008C43BF">
        <w:trPr>
          <w:trHeight w:val="300"/>
        </w:trPr>
        <w:tc>
          <w:tcPr>
            <w:tcW w:w="844"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626E43E1" w14:textId="2E422C96" w:rsidR="008C43BF" w:rsidRPr="00E41A7F" w:rsidRDefault="008C43BF" w:rsidP="008C43BF">
            <w:pPr>
              <w:spacing w:after="0"/>
              <w:jc w:val="center"/>
              <w:rPr>
                <w:rFonts w:ascii="Times New Roman" w:hAnsi="Times New Roman"/>
                <w:b/>
                <w:bCs/>
                <w:color w:val="000000"/>
                <w:lang w:eastAsia="es-DO"/>
              </w:rPr>
            </w:pPr>
            <w:r w:rsidRPr="00E41A7F">
              <w:rPr>
                <w:rFonts w:ascii="Times New Roman" w:hAnsi="Times New Roman"/>
                <w:b/>
                <w:bCs/>
                <w:color w:val="FFFFFF" w:themeColor="background1"/>
                <w:lang w:eastAsia="es-DO"/>
              </w:rPr>
              <w:t>Genotipo</w:t>
            </w:r>
          </w:p>
        </w:tc>
        <w:tc>
          <w:tcPr>
            <w:tcW w:w="378" w:type="pct"/>
            <w:tcBorders>
              <w:top w:val="single" w:sz="4" w:space="0" w:color="auto"/>
              <w:left w:val="nil"/>
              <w:bottom w:val="single" w:sz="4" w:space="0" w:color="auto"/>
              <w:right w:val="single" w:sz="4" w:space="0" w:color="auto"/>
            </w:tcBorders>
            <w:shd w:val="clear" w:color="auto" w:fill="00B050"/>
            <w:noWrap/>
            <w:vAlign w:val="center"/>
            <w:hideMark/>
          </w:tcPr>
          <w:p w14:paraId="3B2EE9A0" w14:textId="314B72EE" w:rsidR="008C43BF" w:rsidRPr="00E41A7F" w:rsidRDefault="008C43BF" w:rsidP="008C43BF">
            <w:pPr>
              <w:spacing w:after="0"/>
              <w:jc w:val="center"/>
              <w:rPr>
                <w:rFonts w:ascii="Times New Roman" w:hAnsi="Times New Roman"/>
                <w:b/>
                <w:bCs/>
                <w:color w:val="000000"/>
                <w:lang w:eastAsia="es-DO"/>
              </w:rPr>
            </w:pPr>
            <w:r w:rsidRPr="00E41A7F">
              <w:rPr>
                <w:rFonts w:ascii="Times New Roman" w:hAnsi="Times New Roman"/>
                <w:b/>
                <w:bCs/>
                <w:color w:val="FFFFFF" w:themeColor="background1"/>
                <w:lang w:eastAsia="es-DO"/>
              </w:rPr>
              <w:t>Ene.</w:t>
            </w:r>
          </w:p>
        </w:tc>
        <w:tc>
          <w:tcPr>
            <w:tcW w:w="378" w:type="pct"/>
            <w:tcBorders>
              <w:top w:val="single" w:sz="4" w:space="0" w:color="auto"/>
              <w:left w:val="nil"/>
              <w:bottom w:val="single" w:sz="4" w:space="0" w:color="auto"/>
              <w:right w:val="single" w:sz="4" w:space="0" w:color="auto"/>
            </w:tcBorders>
            <w:shd w:val="clear" w:color="auto" w:fill="00B050"/>
            <w:noWrap/>
            <w:vAlign w:val="center"/>
            <w:hideMark/>
          </w:tcPr>
          <w:p w14:paraId="11C585A1" w14:textId="21CE5324" w:rsidR="008C43BF" w:rsidRPr="00E41A7F" w:rsidRDefault="008C43BF" w:rsidP="008C43BF">
            <w:pPr>
              <w:spacing w:after="0"/>
              <w:jc w:val="center"/>
              <w:rPr>
                <w:rFonts w:ascii="Times New Roman" w:hAnsi="Times New Roman"/>
                <w:b/>
                <w:bCs/>
                <w:color w:val="000000"/>
                <w:lang w:eastAsia="es-DO"/>
              </w:rPr>
            </w:pPr>
            <w:r w:rsidRPr="00E41A7F">
              <w:rPr>
                <w:rFonts w:ascii="Times New Roman" w:hAnsi="Times New Roman"/>
                <w:b/>
                <w:bCs/>
                <w:color w:val="FFFFFF" w:themeColor="background1"/>
                <w:lang w:eastAsia="es-DO"/>
              </w:rPr>
              <w:t>Feb.</w:t>
            </w:r>
          </w:p>
        </w:tc>
        <w:tc>
          <w:tcPr>
            <w:tcW w:w="378" w:type="pct"/>
            <w:tcBorders>
              <w:top w:val="single" w:sz="4" w:space="0" w:color="auto"/>
              <w:left w:val="nil"/>
              <w:bottom w:val="single" w:sz="4" w:space="0" w:color="auto"/>
              <w:right w:val="single" w:sz="4" w:space="0" w:color="auto"/>
            </w:tcBorders>
            <w:shd w:val="clear" w:color="auto" w:fill="00B050"/>
            <w:noWrap/>
            <w:vAlign w:val="center"/>
            <w:hideMark/>
          </w:tcPr>
          <w:p w14:paraId="61A4378B" w14:textId="7033E696" w:rsidR="008C43BF" w:rsidRPr="00E41A7F" w:rsidRDefault="008C43BF" w:rsidP="008C43BF">
            <w:pPr>
              <w:spacing w:after="0"/>
              <w:jc w:val="center"/>
              <w:rPr>
                <w:rFonts w:ascii="Times New Roman" w:hAnsi="Times New Roman"/>
                <w:b/>
                <w:bCs/>
                <w:color w:val="000000"/>
                <w:lang w:eastAsia="es-DO"/>
              </w:rPr>
            </w:pPr>
            <w:r w:rsidRPr="00E41A7F">
              <w:rPr>
                <w:rFonts w:ascii="Times New Roman" w:hAnsi="Times New Roman"/>
                <w:b/>
                <w:bCs/>
                <w:color w:val="FFFFFF" w:themeColor="background1"/>
                <w:lang w:eastAsia="es-DO"/>
              </w:rPr>
              <w:t>Mar.</w:t>
            </w:r>
          </w:p>
        </w:tc>
        <w:tc>
          <w:tcPr>
            <w:tcW w:w="324" w:type="pct"/>
            <w:tcBorders>
              <w:top w:val="single" w:sz="4" w:space="0" w:color="auto"/>
              <w:left w:val="nil"/>
              <w:bottom w:val="single" w:sz="4" w:space="0" w:color="auto"/>
              <w:right w:val="single" w:sz="4" w:space="0" w:color="auto"/>
            </w:tcBorders>
            <w:shd w:val="clear" w:color="auto" w:fill="00B050"/>
            <w:noWrap/>
            <w:vAlign w:val="center"/>
            <w:hideMark/>
          </w:tcPr>
          <w:p w14:paraId="73F3C954" w14:textId="3B4D6D86" w:rsidR="008C43BF" w:rsidRPr="00E41A7F" w:rsidRDefault="008C43BF" w:rsidP="008C43BF">
            <w:pPr>
              <w:spacing w:after="0"/>
              <w:jc w:val="center"/>
              <w:rPr>
                <w:rFonts w:ascii="Times New Roman" w:hAnsi="Times New Roman"/>
                <w:b/>
                <w:bCs/>
                <w:color w:val="000000"/>
                <w:lang w:eastAsia="es-DO"/>
              </w:rPr>
            </w:pPr>
            <w:r w:rsidRPr="00E41A7F">
              <w:rPr>
                <w:rFonts w:ascii="Times New Roman" w:hAnsi="Times New Roman"/>
                <w:b/>
                <w:bCs/>
                <w:color w:val="FFFFFF" w:themeColor="background1"/>
                <w:lang w:eastAsia="es-DO"/>
              </w:rPr>
              <w:t>Abr.</w:t>
            </w:r>
          </w:p>
        </w:tc>
        <w:tc>
          <w:tcPr>
            <w:tcW w:w="378" w:type="pct"/>
            <w:tcBorders>
              <w:top w:val="single" w:sz="4" w:space="0" w:color="auto"/>
              <w:left w:val="nil"/>
              <w:bottom w:val="single" w:sz="4" w:space="0" w:color="auto"/>
              <w:right w:val="single" w:sz="4" w:space="0" w:color="auto"/>
            </w:tcBorders>
            <w:shd w:val="clear" w:color="auto" w:fill="00B050"/>
            <w:noWrap/>
            <w:vAlign w:val="center"/>
            <w:hideMark/>
          </w:tcPr>
          <w:p w14:paraId="6A7F82B1" w14:textId="630589A3" w:rsidR="008C43BF" w:rsidRPr="00E41A7F" w:rsidRDefault="008C43BF" w:rsidP="008C43BF">
            <w:pPr>
              <w:spacing w:after="0"/>
              <w:jc w:val="center"/>
              <w:rPr>
                <w:rFonts w:ascii="Times New Roman" w:hAnsi="Times New Roman"/>
                <w:b/>
                <w:bCs/>
                <w:color w:val="000000"/>
                <w:lang w:eastAsia="es-DO"/>
              </w:rPr>
            </w:pPr>
            <w:r w:rsidRPr="00E41A7F">
              <w:rPr>
                <w:rFonts w:ascii="Times New Roman" w:hAnsi="Times New Roman"/>
                <w:b/>
                <w:bCs/>
                <w:color w:val="FFFFFF" w:themeColor="background1"/>
                <w:lang w:eastAsia="es-DO"/>
              </w:rPr>
              <w:t>May.</w:t>
            </w:r>
          </w:p>
        </w:tc>
        <w:tc>
          <w:tcPr>
            <w:tcW w:w="378" w:type="pct"/>
            <w:tcBorders>
              <w:top w:val="single" w:sz="4" w:space="0" w:color="auto"/>
              <w:left w:val="nil"/>
              <w:bottom w:val="single" w:sz="4" w:space="0" w:color="auto"/>
              <w:right w:val="single" w:sz="4" w:space="0" w:color="auto"/>
            </w:tcBorders>
            <w:shd w:val="clear" w:color="auto" w:fill="00B050"/>
            <w:noWrap/>
            <w:vAlign w:val="center"/>
            <w:hideMark/>
          </w:tcPr>
          <w:p w14:paraId="38C59EC9" w14:textId="0F338925" w:rsidR="008C43BF" w:rsidRPr="00E41A7F" w:rsidRDefault="008C43BF" w:rsidP="008C43BF">
            <w:pPr>
              <w:spacing w:after="0"/>
              <w:jc w:val="center"/>
              <w:rPr>
                <w:rFonts w:ascii="Times New Roman" w:hAnsi="Times New Roman"/>
                <w:b/>
                <w:bCs/>
                <w:color w:val="000000"/>
                <w:lang w:eastAsia="es-DO"/>
              </w:rPr>
            </w:pPr>
            <w:r w:rsidRPr="00E41A7F">
              <w:rPr>
                <w:rFonts w:ascii="Times New Roman" w:hAnsi="Times New Roman"/>
                <w:b/>
                <w:bCs/>
                <w:color w:val="FFFFFF" w:themeColor="background1"/>
                <w:lang w:eastAsia="es-DO"/>
              </w:rPr>
              <w:t>Jun.</w:t>
            </w:r>
          </w:p>
        </w:tc>
        <w:tc>
          <w:tcPr>
            <w:tcW w:w="378" w:type="pct"/>
            <w:tcBorders>
              <w:top w:val="single" w:sz="4" w:space="0" w:color="auto"/>
              <w:left w:val="nil"/>
              <w:bottom w:val="single" w:sz="4" w:space="0" w:color="auto"/>
              <w:right w:val="single" w:sz="4" w:space="0" w:color="auto"/>
            </w:tcBorders>
            <w:shd w:val="clear" w:color="auto" w:fill="00B050"/>
            <w:noWrap/>
            <w:vAlign w:val="center"/>
            <w:hideMark/>
          </w:tcPr>
          <w:p w14:paraId="106960BC" w14:textId="5ADC264E" w:rsidR="008C43BF" w:rsidRPr="00E41A7F" w:rsidRDefault="008C43BF" w:rsidP="008C43BF">
            <w:pPr>
              <w:spacing w:after="0"/>
              <w:jc w:val="center"/>
              <w:rPr>
                <w:rFonts w:ascii="Times New Roman" w:hAnsi="Times New Roman"/>
                <w:b/>
                <w:bCs/>
                <w:color w:val="000000"/>
                <w:lang w:eastAsia="es-DO"/>
              </w:rPr>
            </w:pPr>
            <w:r w:rsidRPr="00E41A7F">
              <w:rPr>
                <w:rFonts w:ascii="Times New Roman" w:hAnsi="Times New Roman"/>
                <w:b/>
                <w:bCs/>
                <w:color w:val="FFFFFF" w:themeColor="background1"/>
                <w:lang w:eastAsia="es-DO"/>
              </w:rPr>
              <w:t>Jul.</w:t>
            </w:r>
          </w:p>
        </w:tc>
        <w:tc>
          <w:tcPr>
            <w:tcW w:w="378" w:type="pct"/>
            <w:tcBorders>
              <w:top w:val="single" w:sz="4" w:space="0" w:color="auto"/>
              <w:left w:val="nil"/>
              <w:bottom w:val="single" w:sz="4" w:space="0" w:color="auto"/>
              <w:right w:val="single" w:sz="4" w:space="0" w:color="auto"/>
            </w:tcBorders>
            <w:shd w:val="clear" w:color="auto" w:fill="00B050"/>
            <w:noWrap/>
            <w:vAlign w:val="center"/>
            <w:hideMark/>
          </w:tcPr>
          <w:p w14:paraId="35B0CC5D" w14:textId="53E53F8A" w:rsidR="008C43BF" w:rsidRPr="00E41A7F" w:rsidRDefault="008C43BF" w:rsidP="008C43BF">
            <w:pPr>
              <w:spacing w:after="0"/>
              <w:jc w:val="center"/>
              <w:rPr>
                <w:rFonts w:ascii="Times New Roman" w:hAnsi="Times New Roman"/>
                <w:b/>
                <w:bCs/>
                <w:color w:val="000000"/>
                <w:lang w:eastAsia="es-DO"/>
              </w:rPr>
            </w:pPr>
            <w:r w:rsidRPr="00E41A7F">
              <w:rPr>
                <w:rFonts w:ascii="Times New Roman" w:hAnsi="Times New Roman"/>
                <w:b/>
                <w:bCs/>
                <w:color w:val="FFFFFF" w:themeColor="background1"/>
                <w:lang w:eastAsia="es-DO"/>
              </w:rPr>
              <w:t>Ago.</w:t>
            </w:r>
          </w:p>
        </w:tc>
        <w:tc>
          <w:tcPr>
            <w:tcW w:w="378" w:type="pct"/>
            <w:tcBorders>
              <w:top w:val="single" w:sz="4" w:space="0" w:color="auto"/>
              <w:left w:val="nil"/>
              <w:bottom w:val="single" w:sz="4" w:space="0" w:color="auto"/>
              <w:right w:val="single" w:sz="4" w:space="0" w:color="auto"/>
            </w:tcBorders>
            <w:shd w:val="clear" w:color="auto" w:fill="00B050"/>
            <w:noWrap/>
            <w:vAlign w:val="center"/>
            <w:hideMark/>
          </w:tcPr>
          <w:p w14:paraId="5A9CCAE0" w14:textId="12052BF3" w:rsidR="008C43BF" w:rsidRPr="00E41A7F" w:rsidRDefault="008C43BF" w:rsidP="008C43BF">
            <w:pPr>
              <w:spacing w:after="0"/>
              <w:jc w:val="center"/>
              <w:rPr>
                <w:rFonts w:ascii="Times New Roman" w:hAnsi="Times New Roman"/>
                <w:b/>
                <w:bCs/>
                <w:color w:val="000000"/>
                <w:lang w:eastAsia="es-DO"/>
              </w:rPr>
            </w:pPr>
            <w:r w:rsidRPr="00E41A7F">
              <w:rPr>
                <w:rFonts w:ascii="Times New Roman" w:hAnsi="Times New Roman"/>
                <w:b/>
                <w:bCs/>
                <w:color w:val="FFFFFF" w:themeColor="background1"/>
                <w:lang w:eastAsia="es-DO"/>
              </w:rPr>
              <w:t>Sep.</w:t>
            </w:r>
          </w:p>
        </w:tc>
        <w:tc>
          <w:tcPr>
            <w:tcW w:w="378" w:type="pct"/>
            <w:tcBorders>
              <w:top w:val="single" w:sz="4" w:space="0" w:color="auto"/>
              <w:left w:val="nil"/>
              <w:bottom w:val="single" w:sz="4" w:space="0" w:color="auto"/>
              <w:right w:val="single" w:sz="4" w:space="0" w:color="auto"/>
            </w:tcBorders>
            <w:shd w:val="clear" w:color="auto" w:fill="00B050"/>
            <w:noWrap/>
            <w:vAlign w:val="center"/>
            <w:hideMark/>
          </w:tcPr>
          <w:p w14:paraId="4C1FCAF7" w14:textId="518A7061" w:rsidR="008C43BF" w:rsidRPr="00E41A7F" w:rsidRDefault="008C43BF" w:rsidP="008C43BF">
            <w:pPr>
              <w:spacing w:after="0"/>
              <w:jc w:val="center"/>
              <w:rPr>
                <w:rFonts w:ascii="Times New Roman" w:hAnsi="Times New Roman"/>
                <w:b/>
                <w:bCs/>
                <w:color w:val="000000"/>
                <w:lang w:eastAsia="es-DO"/>
              </w:rPr>
            </w:pPr>
            <w:r w:rsidRPr="00E41A7F">
              <w:rPr>
                <w:rFonts w:ascii="Times New Roman" w:hAnsi="Times New Roman"/>
                <w:b/>
                <w:bCs/>
                <w:color w:val="FFFFFF" w:themeColor="background1"/>
                <w:lang w:eastAsia="es-DO"/>
              </w:rPr>
              <w:t>Oct.</w:t>
            </w:r>
          </w:p>
        </w:tc>
        <w:tc>
          <w:tcPr>
            <w:tcW w:w="432" w:type="pct"/>
            <w:tcBorders>
              <w:top w:val="single" w:sz="4" w:space="0" w:color="auto"/>
              <w:left w:val="nil"/>
              <w:bottom w:val="single" w:sz="4" w:space="0" w:color="auto"/>
              <w:right w:val="single" w:sz="4" w:space="0" w:color="auto"/>
            </w:tcBorders>
            <w:shd w:val="clear" w:color="auto" w:fill="00B050"/>
            <w:noWrap/>
            <w:vAlign w:val="center"/>
            <w:hideMark/>
          </w:tcPr>
          <w:p w14:paraId="7ABA4C87" w14:textId="51C898E6" w:rsidR="008C43BF" w:rsidRPr="00E41A7F" w:rsidRDefault="008C43BF" w:rsidP="008C43BF">
            <w:pPr>
              <w:spacing w:after="0"/>
              <w:rPr>
                <w:rFonts w:ascii="Times New Roman" w:hAnsi="Times New Roman"/>
                <w:b/>
                <w:bCs/>
                <w:color w:val="000000"/>
                <w:lang w:eastAsia="es-DO"/>
              </w:rPr>
            </w:pPr>
            <w:r w:rsidRPr="00E41A7F">
              <w:rPr>
                <w:rFonts w:ascii="Times New Roman" w:hAnsi="Times New Roman"/>
                <w:b/>
                <w:bCs/>
                <w:color w:val="FFFFFF" w:themeColor="background1"/>
                <w:lang w:eastAsia="es-DO"/>
              </w:rPr>
              <w:t>Total</w:t>
            </w:r>
          </w:p>
        </w:tc>
      </w:tr>
      <w:tr w:rsidR="008C43BF" w:rsidRPr="00E41A7F" w14:paraId="6650A77D" w14:textId="77777777" w:rsidTr="008C43BF">
        <w:trPr>
          <w:trHeight w:val="300"/>
        </w:trPr>
        <w:tc>
          <w:tcPr>
            <w:tcW w:w="844" w:type="pct"/>
            <w:tcBorders>
              <w:top w:val="nil"/>
              <w:left w:val="single" w:sz="4" w:space="0" w:color="auto"/>
              <w:bottom w:val="single" w:sz="4" w:space="0" w:color="auto"/>
              <w:right w:val="single" w:sz="4" w:space="0" w:color="auto"/>
            </w:tcBorders>
            <w:shd w:val="clear" w:color="auto" w:fill="auto"/>
            <w:noWrap/>
            <w:vAlign w:val="bottom"/>
            <w:hideMark/>
          </w:tcPr>
          <w:p w14:paraId="0082CFAC" w14:textId="77777777" w:rsidR="008C43BF" w:rsidRPr="00E41A7F" w:rsidRDefault="008C43BF" w:rsidP="008C43BF">
            <w:pPr>
              <w:spacing w:after="0"/>
              <w:jc w:val="center"/>
              <w:rPr>
                <w:rFonts w:ascii="Times New Roman" w:hAnsi="Times New Roman"/>
                <w:bCs/>
                <w:color w:val="000000"/>
                <w:lang w:eastAsia="es-DO"/>
              </w:rPr>
            </w:pPr>
            <w:r w:rsidRPr="00E41A7F">
              <w:rPr>
                <w:rFonts w:ascii="Times New Roman" w:hAnsi="Times New Roman"/>
                <w:bCs/>
                <w:color w:val="000000"/>
                <w:lang w:eastAsia="es-DO"/>
              </w:rPr>
              <w:t>GW</w:t>
            </w:r>
          </w:p>
        </w:tc>
        <w:tc>
          <w:tcPr>
            <w:tcW w:w="378" w:type="pct"/>
            <w:tcBorders>
              <w:top w:val="nil"/>
              <w:left w:val="nil"/>
              <w:bottom w:val="single" w:sz="4" w:space="0" w:color="auto"/>
              <w:right w:val="single" w:sz="4" w:space="0" w:color="auto"/>
            </w:tcBorders>
            <w:shd w:val="clear" w:color="auto" w:fill="auto"/>
            <w:noWrap/>
            <w:vAlign w:val="bottom"/>
            <w:hideMark/>
          </w:tcPr>
          <w:p w14:paraId="35659C67"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2,002</w:t>
            </w:r>
          </w:p>
        </w:tc>
        <w:tc>
          <w:tcPr>
            <w:tcW w:w="378" w:type="pct"/>
            <w:tcBorders>
              <w:top w:val="nil"/>
              <w:left w:val="nil"/>
              <w:bottom w:val="single" w:sz="4" w:space="0" w:color="auto"/>
              <w:right w:val="single" w:sz="4" w:space="0" w:color="auto"/>
            </w:tcBorders>
            <w:shd w:val="clear" w:color="auto" w:fill="auto"/>
            <w:noWrap/>
            <w:vAlign w:val="bottom"/>
            <w:hideMark/>
          </w:tcPr>
          <w:p w14:paraId="162DE7A0"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4</w:t>
            </w:r>
          </w:p>
        </w:tc>
        <w:tc>
          <w:tcPr>
            <w:tcW w:w="378" w:type="pct"/>
            <w:tcBorders>
              <w:top w:val="nil"/>
              <w:left w:val="nil"/>
              <w:bottom w:val="single" w:sz="4" w:space="0" w:color="auto"/>
              <w:right w:val="single" w:sz="4" w:space="0" w:color="auto"/>
            </w:tcBorders>
            <w:shd w:val="clear" w:color="auto" w:fill="auto"/>
            <w:noWrap/>
            <w:vAlign w:val="bottom"/>
            <w:hideMark/>
          </w:tcPr>
          <w:p w14:paraId="7A1B99A6"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24" w:type="pct"/>
            <w:tcBorders>
              <w:top w:val="nil"/>
              <w:left w:val="nil"/>
              <w:bottom w:val="single" w:sz="4" w:space="0" w:color="auto"/>
              <w:right w:val="single" w:sz="4" w:space="0" w:color="auto"/>
            </w:tcBorders>
            <w:shd w:val="clear" w:color="auto" w:fill="auto"/>
            <w:noWrap/>
            <w:vAlign w:val="bottom"/>
            <w:hideMark/>
          </w:tcPr>
          <w:p w14:paraId="0FE25BCF"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244</w:t>
            </w:r>
          </w:p>
        </w:tc>
        <w:tc>
          <w:tcPr>
            <w:tcW w:w="378" w:type="pct"/>
            <w:tcBorders>
              <w:top w:val="nil"/>
              <w:left w:val="nil"/>
              <w:bottom w:val="single" w:sz="4" w:space="0" w:color="auto"/>
              <w:right w:val="single" w:sz="4" w:space="0" w:color="auto"/>
            </w:tcBorders>
            <w:shd w:val="clear" w:color="auto" w:fill="auto"/>
            <w:noWrap/>
            <w:vAlign w:val="bottom"/>
            <w:hideMark/>
          </w:tcPr>
          <w:p w14:paraId="79E8DA41"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561</w:t>
            </w:r>
          </w:p>
        </w:tc>
        <w:tc>
          <w:tcPr>
            <w:tcW w:w="378" w:type="pct"/>
            <w:tcBorders>
              <w:top w:val="nil"/>
              <w:left w:val="nil"/>
              <w:bottom w:val="single" w:sz="4" w:space="0" w:color="auto"/>
              <w:right w:val="single" w:sz="4" w:space="0" w:color="auto"/>
            </w:tcBorders>
            <w:shd w:val="clear" w:color="auto" w:fill="auto"/>
            <w:noWrap/>
            <w:vAlign w:val="bottom"/>
            <w:hideMark/>
          </w:tcPr>
          <w:p w14:paraId="7509E972"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5,938</w:t>
            </w:r>
          </w:p>
        </w:tc>
        <w:tc>
          <w:tcPr>
            <w:tcW w:w="378" w:type="pct"/>
            <w:tcBorders>
              <w:top w:val="nil"/>
              <w:left w:val="nil"/>
              <w:bottom w:val="single" w:sz="4" w:space="0" w:color="auto"/>
              <w:right w:val="single" w:sz="4" w:space="0" w:color="auto"/>
            </w:tcBorders>
            <w:shd w:val="clear" w:color="auto" w:fill="auto"/>
            <w:noWrap/>
            <w:vAlign w:val="bottom"/>
            <w:hideMark/>
          </w:tcPr>
          <w:p w14:paraId="184DA1BE"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20,422</w:t>
            </w:r>
          </w:p>
        </w:tc>
        <w:tc>
          <w:tcPr>
            <w:tcW w:w="378" w:type="pct"/>
            <w:tcBorders>
              <w:top w:val="nil"/>
              <w:left w:val="nil"/>
              <w:bottom w:val="single" w:sz="4" w:space="0" w:color="auto"/>
              <w:right w:val="single" w:sz="4" w:space="0" w:color="auto"/>
            </w:tcBorders>
            <w:shd w:val="clear" w:color="auto" w:fill="auto"/>
            <w:noWrap/>
            <w:vAlign w:val="bottom"/>
            <w:hideMark/>
          </w:tcPr>
          <w:p w14:paraId="7542BC14"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28,596</w:t>
            </w:r>
          </w:p>
        </w:tc>
        <w:tc>
          <w:tcPr>
            <w:tcW w:w="378" w:type="pct"/>
            <w:tcBorders>
              <w:top w:val="nil"/>
              <w:left w:val="nil"/>
              <w:bottom w:val="single" w:sz="4" w:space="0" w:color="auto"/>
              <w:right w:val="single" w:sz="4" w:space="0" w:color="auto"/>
            </w:tcBorders>
            <w:shd w:val="clear" w:color="auto" w:fill="auto"/>
            <w:noWrap/>
            <w:vAlign w:val="bottom"/>
            <w:hideMark/>
          </w:tcPr>
          <w:p w14:paraId="1C36451A"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672</w:t>
            </w:r>
          </w:p>
        </w:tc>
        <w:tc>
          <w:tcPr>
            <w:tcW w:w="378" w:type="pct"/>
            <w:tcBorders>
              <w:top w:val="nil"/>
              <w:left w:val="nil"/>
              <w:bottom w:val="single" w:sz="4" w:space="0" w:color="auto"/>
              <w:right w:val="single" w:sz="4" w:space="0" w:color="auto"/>
            </w:tcBorders>
            <w:shd w:val="clear" w:color="auto" w:fill="auto"/>
            <w:noWrap/>
            <w:vAlign w:val="bottom"/>
            <w:hideMark/>
          </w:tcPr>
          <w:p w14:paraId="6905B768"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2,496</w:t>
            </w:r>
          </w:p>
        </w:tc>
        <w:tc>
          <w:tcPr>
            <w:tcW w:w="432" w:type="pct"/>
            <w:tcBorders>
              <w:top w:val="nil"/>
              <w:left w:val="nil"/>
              <w:bottom w:val="single" w:sz="4" w:space="0" w:color="auto"/>
              <w:right w:val="single" w:sz="4" w:space="0" w:color="auto"/>
            </w:tcBorders>
            <w:shd w:val="clear" w:color="auto" w:fill="auto"/>
            <w:noWrap/>
            <w:vAlign w:val="bottom"/>
            <w:hideMark/>
          </w:tcPr>
          <w:p w14:paraId="1B59FD21" w14:textId="77777777" w:rsidR="008C43BF" w:rsidRPr="00E41A7F" w:rsidRDefault="008C43BF" w:rsidP="008C43BF">
            <w:pPr>
              <w:spacing w:after="0"/>
              <w:jc w:val="right"/>
              <w:rPr>
                <w:rFonts w:ascii="Times New Roman" w:hAnsi="Times New Roman"/>
                <w:bCs/>
                <w:color w:val="000000"/>
                <w:lang w:eastAsia="es-DO"/>
              </w:rPr>
            </w:pPr>
            <w:r w:rsidRPr="00E41A7F">
              <w:rPr>
                <w:rFonts w:ascii="Times New Roman" w:hAnsi="Times New Roman"/>
                <w:bCs/>
                <w:color w:val="000000"/>
                <w:lang w:eastAsia="es-DO"/>
              </w:rPr>
              <w:t>60,935</w:t>
            </w:r>
          </w:p>
        </w:tc>
      </w:tr>
      <w:tr w:rsidR="008C43BF" w:rsidRPr="00E41A7F" w14:paraId="58923916" w14:textId="77777777" w:rsidTr="008C43BF">
        <w:trPr>
          <w:trHeight w:val="300"/>
        </w:trPr>
        <w:tc>
          <w:tcPr>
            <w:tcW w:w="844" w:type="pct"/>
            <w:tcBorders>
              <w:top w:val="nil"/>
              <w:left w:val="single" w:sz="4" w:space="0" w:color="auto"/>
              <w:bottom w:val="single" w:sz="4" w:space="0" w:color="auto"/>
              <w:right w:val="single" w:sz="4" w:space="0" w:color="auto"/>
            </w:tcBorders>
            <w:shd w:val="clear" w:color="auto" w:fill="auto"/>
            <w:noWrap/>
            <w:vAlign w:val="bottom"/>
            <w:hideMark/>
          </w:tcPr>
          <w:p w14:paraId="3F3651B5" w14:textId="77777777" w:rsidR="008C43BF" w:rsidRPr="00E41A7F" w:rsidRDefault="008C43BF" w:rsidP="008C43BF">
            <w:pPr>
              <w:spacing w:after="0"/>
              <w:jc w:val="center"/>
              <w:rPr>
                <w:rFonts w:ascii="Times New Roman" w:hAnsi="Times New Roman"/>
                <w:bCs/>
                <w:color w:val="000000"/>
                <w:lang w:eastAsia="es-DO"/>
              </w:rPr>
            </w:pPr>
            <w:r w:rsidRPr="00E41A7F">
              <w:rPr>
                <w:rFonts w:ascii="Times New Roman" w:hAnsi="Times New Roman"/>
                <w:bCs/>
                <w:color w:val="000000"/>
                <w:lang w:eastAsia="es-DO"/>
              </w:rPr>
              <w:t>GE</w:t>
            </w:r>
          </w:p>
        </w:tc>
        <w:tc>
          <w:tcPr>
            <w:tcW w:w="378" w:type="pct"/>
            <w:tcBorders>
              <w:top w:val="nil"/>
              <w:left w:val="nil"/>
              <w:bottom w:val="single" w:sz="4" w:space="0" w:color="auto"/>
              <w:right w:val="single" w:sz="4" w:space="0" w:color="auto"/>
            </w:tcBorders>
            <w:shd w:val="clear" w:color="auto" w:fill="auto"/>
            <w:noWrap/>
            <w:vAlign w:val="bottom"/>
            <w:hideMark/>
          </w:tcPr>
          <w:p w14:paraId="21E96ACB"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9,149</w:t>
            </w:r>
          </w:p>
        </w:tc>
        <w:tc>
          <w:tcPr>
            <w:tcW w:w="378" w:type="pct"/>
            <w:tcBorders>
              <w:top w:val="nil"/>
              <w:left w:val="nil"/>
              <w:bottom w:val="single" w:sz="4" w:space="0" w:color="auto"/>
              <w:right w:val="single" w:sz="4" w:space="0" w:color="auto"/>
            </w:tcBorders>
            <w:shd w:val="clear" w:color="auto" w:fill="auto"/>
            <w:noWrap/>
            <w:vAlign w:val="bottom"/>
            <w:hideMark/>
          </w:tcPr>
          <w:p w14:paraId="12B29FA7"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6,833</w:t>
            </w:r>
          </w:p>
        </w:tc>
        <w:tc>
          <w:tcPr>
            <w:tcW w:w="378" w:type="pct"/>
            <w:tcBorders>
              <w:top w:val="nil"/>
              <w:left w:val="nil"/>
              <w:bottom w:val="single" w:sz="4" w:space="0" w:color="auto"/>
              <w:right w:val="single" w:sz="4" w:space="0" w:color="auto"/>
            </w:tcBorders>
            <w:shd w:val="clear" w:color="auto" w:fill="auto"/>
            <w:noWrap/>
            <w:vAlign w:val="bottom"/>
            <w:hideMark/>
          </w:tcPr>
          <w:p w14:paraId="69A37C18"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8,996</w:t>
            </w:r>
          </w:p>
        </w:tc>
        <w:tc>
          <w:tcPr>
            <w:tcW w:w="324" w:type="pct"/>
            <w:tcBorders>
              <w:top w:val="nil"/>
              <w:left w:val="nil"/>
              <w:bottom w:val="single" w:sz="4" w:space="0" w:color="auto"/>
              <w:right w:val="single" w:sz="4" w:space="0" w:color="auto"/>
            </w:tcBorders>
            <w:shd w:val="clear" w:color="auto" w:fill="auto"/>
            <w:noWrap/>
            <w:vAlign w:val="bottom"/>
            <w:hideMark/>
          </w:tcPr>
          <w:p w14:paraId="3FDC87ED"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3,525</w:t>
            </w:r>
          </w:p>
        </w:tc>
        <w:tc>
          <w:tcPr>
            <w:tcW w:w="378" w:type="pct"/>
            <w:tcBorders>
              <w:top w:val="nil"/>
              <w:left w:val="nil"/>
              <w:bottom w:val="single" w:sz="4" w:space="0" w:color="auto"/>
              <w:right w:val="single" w:sz="4" w:space="0" w:color="auto"/>
            </w:tcBorders>
            <w:shd w:val="clear" w:color="auto" w:fill="auto"/>
            <w:noWrap/>
            <w:vAlign w:val="bottom"/>
            <w:hideMark/>
          </w:tcPr>
          <w:p w14:paraId="0A575575"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34,294</w:t>
            </w:r>
          </w:p>
        </w:tc>
        <w:tc>
          <w:tcPr>
            <w:tcW w:w="378" w:type="pct"/>
            <w:tcBorders>
              <w:top w:val="nil"/>
              <w:left w:val="nil"/>
              <w:bottom w:val="single" w:sz="4" w:space="0" w:color="auto"/>
              <w:right w:val="single" w:sz="4" w:space="0" w:color="auto"/>
            </w:tcBorders>
            <w:shd w:val="clear" w:color="auto" w:fill="auto"/>
            <w:noWrap/>
            <w:vAlign w:val="bottom"/>
            <w:hideMark/>
          </w:tcPr>
          <w:p w14:paraId="5376327C"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13,596</w:t>
            </w:r>
          </w:p>
        </w:tc>
        <w:tc>
          <w:tcPr>
            <w:tcW w:w="378" w:type="pct"/>
            <w:tcBorders>
              <w:top w:val="nil"/>
              <w:left w:val="nil"/>
              <w:bottom w:val="single" w:sz="4" w:space="0" w:color="auto"/>
              <w:right w:val="single" w:sz="4" w:space="0" w:color="auto"/>
            </w:tcBorders>
            <w:shd w:val="clear" w:color="auto" w:fill="auto"/>
            <w:noWrap/>
            <w:vAlign w:val="bottom"/>
            <w:hideMark/>
          </w:tcPr>
          <w:p w14:paraId="787B95BC"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5,169</w:t>
            </w:r>
          </w:p>
        </w:tc>
        <w:tc>
          <w:tcPr>
            <w:tcW w:w="378" w:type="pct"/>
            <w:tcBorders>
              <w:top w:val="nil"/>
              <w:left w:val="nil"/>
              <w:bottom w:val="single" w:sz="4" w:space="0" w:color="auto"/>
              <w:right w:val="single" w:sz="4" w:space="0" w:color="auto"/>
            </w:tcBorders>
            <w:shd w:val="clear" w:color="auto" w:fill="auto"/>
            <w:noWrap/>
            <w:vAlign w:val="bottom"/>
            <w:hideMark/>
          </w:tcPr>
          <w:p w14:paraId="382C5392"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6,578</w:t>
            </w:r>
          </w:p>
        </w:tc>
        <w:tc>
          <w:tcPr>
            <w:tcW w:w="378" w:type="pct"/>
            <w:tcBorders>
              <w:top w:val="nil"/>
              <w:left w:val="nil"/>
              <w:bottom w:val="single" w:sz="4" w:space="0" w:color="auto"/>
              <w:right w:val="single" w:sz="4" w:space="0" w:color="auto"/>
            </w:tcBorders>
            <w:shd w:val="clear" w:color="auto" w:fill="auto"/>
            <w:noWrap/>
            <w:vAlign w:val="bottom"/>
            <w:hideMark/>
          </w:tcPr>
          <w:p w14:paraId="178ECEB3"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1,632</w:t>
            </w:r>
          </w:p>
        </w:tc>
        <w:tc>
          <w:tcPr>
            <w:tcW w:w="378" w:type="pct"/>
            <w:tcBorders>
              <w:top w:val="nil"/>
              <w:left w:val="nil"/>
              <w:bottom w:val="single" w:sz="4" w:space="0" w:color="auto"/>
              <w:right w:val="single" w:sz="4" w:space="0" w:color="auto"/>
            </w:tcBorders>
            <w:shd w:val="clear" w:color="auto" w:fill="auto"/>
            <w:noWrap/>
            <w:vAlign w:val="bottom"/>
            <w:hideMark/>
          </w:tcPr>
          <w:p w14:paraId="5C9C6784"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4,156</w:t>
            </w:r>
          </w:p>
        </w:tc>
        <w:tc>
          <w:tcPr>
            <w:tcW w:w="432" w:type="pct"/>
            <w:tcBorders>
              <w:top w:val="nil"/>
              <w:left w:val="nil"/>
              <w:bottom w:val="single" w:sz="4" w:space="0" w:color="auto"/>
              <w:right w:val="single" w:sz="4" w:space="0" w:color="auto"/>
            </w:tcBorders>
            <w:shd w:val="clear" w:color="auto" w:fill="auto"/>
            <w:noWrap/>
            <w:vAlign w:val="bottom"/>
            <w:hideMark/>
          </w:tcPr>
          <w:p w14:paraId="773C1F85" w14:textId="77777777" w:rsidR="008C43BF" w:rsidRPr="00E41A7F" w:rsidRDefault="008C43BF" w:rsidP="008C43BF">
            <w:pPr>
              <w:spacing w:after="0"/>
              <w:jc w:val="right"/>
              <w:rPr>
                <w:rFonts w:ascii="Times New Roman" w:hAnsi="Times New Roman"/>
                <w:bCs/>
                <w:color w:val="000000"/>
                <w:lang w:eastAsia="es-DO"/>
              </w:rPr>
            </w:pPr>
            <w:r w:rsidRPr="00E41A7F">
              <w:rPr>
                <w:rFonts w:ascii="Times New Roman" w:hAnsi="Times New Roman"/>
                <w:bCs/>
                <w:color w:val="000000"/>
                <w:lang w:eastAsia="es-DO"/>
              </w:rPr>
              <w:t>93,928</w:t>
            </w:r>
          </w:p>
        </w:tc>
      </w:tr>
      <w:tr w:rsidR="008C43BF" w:rsidRPr="00E41A7F" w14:paraId="07C46443" w14:textId="77777777" w:rsidTr="008C43BF">
        <w:trPr>
          <w:trHeight w:val="300"/>
        </w:trPr>
        <w:tc>
          <w:tcPr>
            <w:tcW w:w="844" w:type="pct"/>
            <w:tcBorders>
              <w:top w:val="nil"/>
              <w:left w:val="single" w:sz="4" w:space="0" w:color="auto"/>
              <w:bottom w:val="single" w:sz="4" w:space="0" w:color="auto"/>
              <w:right w:val="single" w:sz="4" w:space="0" w:color="auto"/>
            </w:tcBorders>
            <w:shd w:val="clear" w:color="auto" w:fill="auto"/>
            <w:noWrap/>
            <w:vAlign w:val="bottom"/>
            <w:hideMark/>
          </w:tcPr>
          <w:p w14:paraId="7CA4DFEC" w14:textId="77777777" w:rsidR="008C43BF" w:rsidRPr="00E41A7F" w:rsidRDefault="008C43BF" w:rsidP="008C43BF">
            <w:pPr>
              <w:spacing w:after="0"/>
              <w:jc w:val="center"/>
              <w:rPr>
                <w:rFonts w:ascii="Times New Roman" w:hAnsi="Times New Roman"/>
                <w:bCs/>
                <w:color w:val="000000"/>
                <w:lang w:eastAsia="es-DO"/>
              </w:rPr>
            </w:pPr>
            <w:r w:rsidRPr="00E41A7F">
              <w:rPr>
                <w:rFonts w:ascii="Times New Roman" w:hAnsi="Times New Roman"/>
                <w:bCs/>
                <w:color w:val="000000"/>
                <w:lang w:eastAsia="es-DO"/>
              </w:rPr>
              <w:t>FHIA-20</w:t>
            </w:r>
          </w:p>
        </w:tc>
        <w:tc>
          <w:tcPr>
            <w:tcW w:w="378" w:type="pct"/>
            <w:tcBorders>
              <w:top w:val="nil"/>
              <w:left w:val="nil"/>
              <w:bottom w:val="single" w:sz="4" w:space="0" w:color="auto"/>
              <w:right w:val="single" w:sz="4" w:space="0" w:color="auto"/>
            </w:tcBorders>
            <w:shd w:val="clear" w:color="auto" w:fill="auto"/>
            <w:noWrap/>
            <w:vAlign w:val="bottom"/>
            <w:hideMark/>
          </w:tcPr>
          <w:p w14:paraId="5C2F6641"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15,508</w:t>
            </w:r>
          </w:p>
        </w:tc>
        <w:tc>
          <w:tcPr>
            <w:tcW w:w="378" w:type="pct"/>
            <w:tcBorders>
              <w:top w:val="nil"/>
              <w:left w:val="nil"/>
              <w:bottom w:val="single" w:sz="4" w:space="0" w:color="auto"/>
              <w:right w:val="single" w:sz="4" w:space="0" w:color="auto"/>
            </w:tcBorders>
            <w:shd w:val="clear" w:color="auto" w:fill="auto"/>
            <w:noWrap/>
            <w:vAlign w:val="bottom"/>
            <w:hideMark/>
          </w:tcPr>
          <w:p w14:paraId="2172BFD4"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14,239</w:t>
            </w:r>
          </w:p>
        </w:tc>
        <w:tc>
          <w:tcPr>
            <w:tcW w:w="378" w:type="pct"/>
            <w:tcBorders>
              <w:top w:val="nil"/>
              <w:left w:val="nil"/>
              <w:bottom w:val="single" w:sz="4" w:space="0" w:color="auto"/>
              <w:right w:val="single" w:sz="4" w:space="0" w:color="auto"/>
            </w:tcBorders>
            <w:shd w:val="clear" w:color="auto" w:fill="auto"/>
            <w:noWrap/>
            <w:vAlign w:val="bottom"/>
            <w:hideMark/>
          </w:tcPr>
          <w:p w14:paraId="4A35F74A"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24,296</w:t>
            </w:r>
          </w:p>
        </w:tc>
        <w:tc>
          <w:tcPr>
            <w:tcW w:w="324" w:type="pct"/>
            <w:tcBorders>
              <w:top w:val="nil"/>
              <w:left w:val="nil"/>
              <w:bottom w:val="single" w:sz="4" w:space="0" w:color="auto"/>
              <w:right w:val="single" w:sz="4" w:space="0" w:color="auto"/>
            </w:tcBorders>
            <w:shd w:val="clear" w:color="auto" w:fill="auto"/>
            <w:noWrap/>
            <w:vAlign w:val="bottom"/>
            <w:hideMark/>
          </w:tcPr>
          <w:p w14:paraId="135CB278"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66375E3D"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1,000</w:t>
            </w:r>
          </w:p>
        </w:tc>
        <w:tc>
          <w:tcPr>
            <w:tcW w:w="378" w:type="pct"/>
            <w:tcBorders>
              <w:top w:val="nil"/>
              <w:left w:val="nil"/>
              <w:bottom w:val="single" w:sz="4" w:space="0" w:color="auto"/>
              <w:right w:val="single" w:sz="4" w:space="0" w:color="auto"/>
            </w:tcBorders>
            <w:shd w:val="clear" w:color="auto" w:fill="auto"/>
            <w:noWrap/>
            <w:vAlign w:val="bottom"/>
            <w:hideMark/>
          </w:tcPr>
          <w:p w14:paraId="75273049"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4,627</w:t>
            </w:r>
          </w:p>
        </w:tc>
        <w:tc>
          <w:tcPr>
            <w:tcW w:w="378" w:type="pct"/>
            <w:tcBorders>
              <w:top w:val="nil"/>
              <w:left w:val="nil"/>
              <w:bottom w:val="single" w:sz="4" w:space="0" w:color="auto"/>
              <w:right w:val="single" w:sz="4" w:space="0" w:color="auto"/>
            </w:tcBorders>
            <w:shd w:val="clear" w:color="auto" w:fill="auto"/>
            <w:noWrap/>
            <w:vAlign w:val="bottom"/>
            <w:hideMark/>
          </w:tcPr>
          <w:p w14:paraId="7B745076"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22,531</w:t>
            </w:r>
          </w:p>
        </w:tc>
        <w:tc>
          <w:tcPr>
            <w:tcW w:w="378" w:type="pct"/>
            <w:tcBorders>
              <w:top w:val="nil"/>
              <w:left w:val="nil"/>
              <w:bottom w:val="single" w:sz="4" w:space="0" w:color="auto"/>
              <w:right w:val="single" w:sz="4" w:space="0" w:color="auto"/>
            </w:tcBorders>
            <w:shd w:val="clear" w:color="auto" w:fill="auto"/>
            <w:noWrap/>
            <w:vAlign w:val="bottom"/>
            <w:hideMark/>
          </w:tcPr>
          <w:p w14:paraId="383FA718"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30,759</w:t>
            </w:r>
          </w:p>
        </w:tc>
        <w:tc>
          <w:tcPr>
            <w:tcW w:w="378" w:type="pct"/>
            <w:tcBorders>
              <w:top w:val="nil"/>
              <w:left w:val="nil"/>
              <w:bottom w:val="single" w:sz="4" w:space="0" w:color="auto"/>
              <w:right w:val="single" w:sz="4" w:space="0" w:color="auto"/>
            </w:tcBorders>
            <w:shd w:val="clear" w:color="auto" w:fill="auto"/>
            <w:noWrap/>
            <w:vAlign w:val="bottom"/>
            <w:hideMark/>
          </w:tcPr>
          <w:p w14:paraId="7CFA10AB"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10,960</w:t>
            </w:r>
          </w:p>
        </w:tc>
        <w:tc>
          <w:tcPr>
            <w:tcW w:w="378" w:type="pct"/>
            <w:tcBorders>
              <w:top w:val="nil"/>
              <w:left w:val="nil"/>
              <w:bottom w:val="single" w:sz="4" w:space="0" w:color="auto"/>
              <w:right w:val="single" w:sz="4" w:space="0" w:color="auto"/>
            </w:tcBorders>
            <w:shd w:val="clear" w:color="auto" w:fill="auto"/>
            <w:noWrap/>
            <w:vAlign w:val="bottom"/>
            <w:hideMark/>
          </w:tcPr>
          <w:p w14:paraId="205E5EDE"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32,042</w:t>
            </w:r>
          </w:p>
        </w:tc>
        <w:tc>
          <w:tcPr>
            <w:tcW w:w="432" w:type="pct"/>
            <w:tcBorders>
              <w:top w:val="nil"/>
              <w:left w:val="nil"/>
              <w:bottom w:val="single" w:sz="4" w:space="0" w:color="auto"/>
              <w:right w:val="single" w:sz="4" w:space="0" w:color="auto"/>
            </w:tcBorders>
            <w:shd w:val="clear" w:color="auto" w:fill="auto"/>
            <w:noWrap/>
            <w:vAlign w:val="bottom"/>
            <w:hideMark/>
          </w:tcPr>
          <w:p w14:paraId="5F6A301B" w14:textId="77777777" w:rsidR="008C43BF" w:rsidRPr="00E41A7F" w:rsidRDefault="008C43BF" w:rsidP="008C43BF">
            <w:pPr>
              <w:spacing w:after="0"/>
              <w:jc w:val="right"/>
              <w:rPr>
                <w:rFonts w:ascii="Times New Roman" w:hAnsi="Times New Roman"/>
                <w:bCs/>
                <w:color w:val="000000"/>
                <w:lang w:eastAsia="es-DO"/>
              </w:rPr>
            </w:pPr>
            <w:r w:rsidRPr="00E41A7F">
              <w:rPr>
                <w:rFonts w:ascii="Times New Roman" w:hAnsi="Times New Roman"/>
                <w:bCs/>
                <w:color w:val="000000"/>
                <w:lang w:eastAsia="es-DO"/>
              </w:rPr>
              <w:t>155,962</w:t>
            </w:r>
          </w:p>
        </w:tc>
      </w:tr>
      <w:tr w:rsidR="008C43BF" w:rsidRPr="00E41A7F" w14:paraId="2A6825A1" w14:textId="77777777" w:rsidTr="008C43BF">
        <w:trPr>
          <w:trHeight w:val="300"/>
        </w:trPr>
        <w:tc>
          <w:tcPr>
            <w:tcW w:w="844" w:type="pct"/>
            <w:tcBorders>
              <w:top w:val="nil"/>
              <w:left w:val="single" w:sz="4" w:space="0" w:color="auto"/>
              <w:bottom w:val="single" w:sz="4" w:space="0" w:color="auto"/>
              <w:right w:val="single" w:sz="4" w:space="0" w:color="auto"/>
            </w:tcBorders>
            <w:shd w:val="clear" w:color="auto" w:fill="auto"/>
            <w:noWrap/>
            <w:vAlign w:val="bottom"/>
            <w:hideMark/>
          </w:tcPr>
          <w:p w14:paraId="144719C3" w14:textId="77777777" w:rsidR="008C43BF" w:rsidRPr="00E41A7F" w:rsidRDefault="008C43BF" w:rsidP="008C43BF">
            <w:pPr>
              <w:spacing w:after="0"/>
              <w:jc w:val="center"/>
              <w:rPr>
                <w:rFonts w:ascii="Times New Roman" w:hAnsi="Times New Roman"/>
                <w:bCs/>
                <w:color w:val="000000"/>
                <w:lang w:eastAsia="es-DO"/>
              </w:rPr>
            </w:pPr>
            <w:r w:rsidRPr="00E41A7F">
              <w:rPr>
                <w:rFonts w:ascii="Times New Roman" w:hAnsi="Times New Roman"/>
                <w:bCs/>
                <w:color w:val="000000"/>
                <w:lang w:eastAsia="es-DO"/>
              </w:rPr>
              <w:t>MxH-V</w:t>
            </w:r>
          </w:p>
        </w:tc>
        <w:tc>
          <w:tcPr>
            <w:tcW w:w="378" w:type="pct"/>
            <w:tcBorders>
              <w:top w:val="nil"/>
              <w:left w:val="nil"/>
              <w:bottom w:val="single" w:sz="4" w:space="0" w:color="auto"/>
              <w:right w:val="single" w:sz="4" w:space="0" w:color="auto"/>
            </w:tcBorders>
            <w:shd w:val="clear" w:color="auto" w:fill="auto"/>
            <w:noWrap/>
            <w:vAlign w:val="bottom"/>
            <w:hideMark/>
          </w:tcPr>
          <w:p w14:paraId="06B402E5"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42DFAF62"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1A58122E"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37</w:t>
            </w:r>
          </w:p>
        </w:tc>
        <w:tc>
          <w:tcPr>
            <w:tcW w:w="324" w:type="pct"/>
            <w:tcBorders>
              <w:top w:val="nil"/>
              <w:left w:val="nil"/>
              <w:bottom w:val="single" w:sz="4" w:space="0" w:color="auto"/>
              <w:right w:val="single" w:sz="4" w:space="0" w:color="auto"/>
            </w:tcBorders>
            <w:shd w:val="clear" w:color="auto" w:fill="auto"/>
            <w:noWrap/>
            <w:vAlign w:val="bottom"/>
            <w:hideMark/>
          </w:tcPr>
          <w:p w14:paraId="3FBE1E71"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7BA2A393"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296A2608"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6841BC79"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3CE8574F"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1,235</w:t>
            </w:r>
          </w:p>
        </w:tc>
        <w:tc>
          <w:tcPr>
            <w:tcW w:w="378" w:type="pct"/>
            <w:tcBorders>
              <w:top w:val="nil"/>
              <w:left w:val="nil"/>
              <w:bottom w:val="single" w:sz="4" w:space="0" w:color="auto"/>
              <w:right w:val="single" w:sz="4" w:space="0" w:color="auto"/>
            </w:tcBorders>
            <w:shd w:val="clear" w:color="auto" w:fill="auto"/>
            <w:noWrap/>
            <w:vAlign w:val="bottom"/>
            <w:hideMark/>
          </w:tcPr>
          <w:p w14:paraId="386A3403"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64</w:t>
            </w:r>
          </w:p>
        </w:tc>
        <w:tc>
          <w:tcPr>
            <w:tcW w:w="378" w:type="pct"/>
            <w:tcBorders>
              <w:top w:val="nil"/>
              <w:left w:val="nil"/>
              <w:bottom w:val="single" w:sz="4" w:space="0" w:color="auto"/>
              <w:right w:val="single" w:sz="4" w:space="0" w:color="auto"/>
            </w:tcBorders>
            <w:shd w:val="clear" w:color="auto" w:fill="auto"/>
            <w:noWrap/>
            <w:vAlign w:val="bottom"/>
            <w:hideMark/>
          </w:tcPr>
          <w:p w14:paraId="5D5A2769"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3,517</w:t>
            </w:r>
          </w:p>
        </w:tc>
        <w:tc>
          <w:tcPr>
            <w:tcW w:w="432" w:type="pct"/>
            <w:tcBorders>
              <w:top w:val="nil"/>
              <w:left w:val="nil"/>
              <w:bottom w:val="single" w:sz="4" w:space="0" w:color="auto"/>
              <w:right w:val="single" w:sz="4" w:space="0" w:color="auto"/>
            </w:tcBorders>
            <w:shd w:val="clear" w:color="auto" w:fill="auto"/>
            <w:noWrap/>
            <w:vAlign w:val="bottom"/>
            <w:hideMark/>
          </w:tcPr>
          <w:p w14:paraId="66A6DC8E" w14:textId="77777777" w:rsidR="008C43BF" w:rsidRPr="00E41A7F" w:rsidRDefault="008C43BF" w:rsidP="008C43BF">
            <w:pPr>
              <w:spacing w:after="0"/>
              <w:jc w:val="right"/>
              <w:rPr>
                <w:rFonts w:ascii="Times New Roman" w:hAnsi="Times New Roman"/>
                <w:bCs/>
                <w:color w:val="000000"/>
                <w:lang w:eastAsia="es-DO"/>
              </w:rPr>
            </w:pPr>
            <w:r w:rsidRPr="00E41A7F">
              <w:rPr>
                <w:rFonts w:ascii="Times New Roman" w:hAnsi="Times New Roman"/>
                <w:bCs/>
                <w:color w:val="000000"/>
                <w:lang w:eastAsia="es-DO"/>
              </w:rPr>
              <w:t>4,853</w:t>
            </w:r>
          </w:p>
        </w:tc>
      </w:tr>
      <w:tr w:rsidR="008C43BF" w:rsidRPr="00E41A7F" w14:paraId="220ED812" w14:textId="77777777" w:rsidTr="008C43BF">
        <w:trPr>
          <w:trHeight w:val="300"/>
        </w:trPr>
        <w:tc>
          <w:tcPr>
            <w:tcW w:w="844" w:type="pct"/>
            <w:tcBorders>
              <w:top w:val="nil"/>
              <w:left w:val="single" w:sz="4" w:space="0" w:color="auto"/>
              <w:bottom w:val="single" w:sz="4" w:space="0" w:color="auto"/>
              <w:right w:val="single" w:sz="4" w:space="0" w:color="auto"/>
            </w:tcBorders>
            <w:shd w:val="clear" w:color="auto" w:fill="auto"/>
            <w:noWrap/>
            <w:vAlign w:val="bottom"/>
            <w:hideMark/>
          </w:tcPr>
          <w:p w14:paraId="7878567E" w14:textId="77777777" w:rsidR="008C43BF" w:rsidRPr="00E41A7F" w:rsidRDefault="008C43BF" w:rsidP="008C43BF">
            <w:pPr>
              <w:spacing w:after="0"/>
              <w:jc w:val="center"/>
              <w:rPr>
                <w:rFonts w:ascii="Times New Roman" w:hAnsi="Times New Roman"/>
                <w:bCs/>
                <w:color w:val="000000"/>
                <w:lang w:eastAsia="es-DO"/>
              </w:rPr>
            </w:pPr>
            <w:r w:rsidRPr="00E41A7F">
              <w:rPr>
                <w:rFonts w:ascii="Times New Roman" w:hAnsi="Times New Roman"/>
                <w:bCs/>
                <w:color w:val="000000"/>
                <w:lang w:eastAsia="es-DO"/>
              </w:rPr>
              <w:t>MxH-M</w:t>
            </w:r>
          </w:p>
        </w:tc>
        <w:tc>
          <w:tcPr>
            <w:tcW w:w="378" w:type="pct"/>
            <w:tcBorders>
              <w:top w:val="nil"/>
              <w:left w:val="nil"/>
              <w:bottom w:val="single" w:sz="4" w:space="0" w:color="auto"/>
              <w:right w:val="single" w:sz="4" w:space="0" w:color="auto"/>
            </w:tcBorders>
            <w:shd w:val="clear" w:color="auto" w:fill="auto"/>
            <w:noWrap/>
            <w:vAlign w:val="bottom"/>
            <w:hideMark/>
          </w:tcPr>
          <w:p w14:paraId="3B9B2B24"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4AD2D839"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15BDDBE0"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24" w:type="pct"/>
            <w:tcBorders>
              <w:top w:val="nil"/>
              <w:left w:val="nil"/>
              <w:bottom w:val="single" w:sz="4" w:space="0" w:color="auto"/>
              <w:right w:val="single" w:sz="4" w:space="0" w:color="auto"/>
            </w:tcBorders>
            <w:shd w:val="clear" w:color="auto" w:fill="auto"/>
            <w:noWrap/>
            <w:vAlign w:val="bottom"/>
            <w:hideMark/>
          </w:tcPr>
          <w:p w14:paraId="2FA8D9B2"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7BB459C7"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50E51882"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7FEA1EBF"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53AA7853"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4DD6FA91"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4B577487"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120</w:t>
            </w:r>
          </w:p>
        </w:tc>
        <w:tc>
          <w:tcPr>
            <w:tcW w:w="432" w:type="pct"/>
            <w:tcBorders>
              <w:top w:val="nil"/>
              <w:left w:val="nil"/>
              <w:bottom w:val="single" w:sz="4" w:space="0" w:color="auto"/>
              <w:right w:val="single" w:sz="4" w:space="0" w:color="auto"/>
            </w:tcBorders>
            <w:shd w:val="clear" w:color="auto" w:fill="auto"/>
            <w:noWrap/>
            <w:vAlign w:val="bottom"/>
            <w:hideMark/>
          </w:tcPr>
          <w:p w14:paraId="751E2F70" w14:textId="77777777" w:rsidR="008C43BF" w:rsidRPr="00E41A7F" w:rsidRDefault="008C43BF" w:rsidP="008C43BF">
            <w:pPr>
              <w:spacing w:after="0"/>
              <w:jc w:val="right"/>
              <w:rPr>
                <w:rFonts w:ascii="Times New Roman" w:hAnsi="Times New Roman"/>
                <w:bCs/>
                <w:color w:val="000000"/>
                <w:lang w:eastAsia="es-DO"/>
              </w:rPr>
            </w:pPr>
            <w:r w:rsidRPr="00E41A7F">
              <w:rPr>
                <w:rFonts w:ascii="Times New Roman" w:hAnsi="Times New Roman"/>
                <w:bCs/>
                <w:color w:val="000000"/>
                <w:lang w:eastAsia="es-DO"/>
              </w:rPr>
              <w:t>120</w:t>
            </w:r>
          </w:p>
        </w:tc>
      </w:tr>
      <w:tr w:rsidR="008C43BF" w:rsidRPr="00E41A7F" w14:paraId="6243CEC0" w14:textId="77777777" w:rsidTr="008C43BF">
        <w:trPr>
          <w:trHeight w:val="300"/>
        </w:trPr>
        <w:tc>
          <w:tcPr>
            <w:tcW w:w="844" w:type="pct"/>
            <w:tcBorders>
              <w:top w:val="nil"/>
              <w:left w:val="single" w:sz="4" w:space="0" w:color="auto"/>
              <w:bottom w:val="single" w:sz="4" w:space="0" w:color="auto"/>
              <w:right w:val="single" w:sz="4" w:space="0" w:color="auto"/>
            </w:tcBorders>
            <w:shd w:val="clear" w:color="auto" w:fill="auto"/>
            <w:noWrap/>
            <w:vAlign w:val="bottom"/>
            <w:hideMark/>
          </w:tcPr>
          <w:p w14:paraId="2E83F219" w14:textId="77777777" w:rsidR="008C43BF" w:rsidRPr="00E41A7F" w:rsidRDefault="008C43BF" w:rsidP="008C43BF">
            <w:pPr>
              <w:spacing w:after="0"/>
              <w:jc w:val="center"/>
              <w:rPr>
                <w:rFonts w:ascii="Times New Roman" w:hAnsi="Times New Roman"/>
                <w:bCs/>
                <w:color w:val="000000"/>
                <w:lang w:eastAsia="es-DO"/>
              </w:rPr>
            </w:pPr>
            <w:r w:rsidRPr="00E41A7F">
              <w:rPr>
                <w:rFonts w:ascii="Times New Roman" w:hAnsi="Times New Roman"/>
                <w:bCs/>
                <w:color w:val="000000"/>
                <w:lang w:eastAsia="es-DO"/>
              </w:rPr>
              <w:t>Felepina</w:t>
            </w:r>
          </w:p>
        </w:tc>
        <w:tc>
          <w:tcPr>
            <w:tcW w:w="378" w:type="pct"/>
            <w:tcBorders>
              <w:top w:val="nil"/>
              <w:left w:val="nil"/>
              <w:bottom w:val="single" w:sz="4" w:space="0" w:color="auto"/>
              <w:right w:val="single" w:sz="4" w:space="0" w:color="auto"/>
            </w:tcBorders>
            <w:shd w:val="clear" w:color="auto" w:fill="auto"/>
            <w:noWrap/>
            <w:vAlign w:val="bottom"/>
            <w:hideMark/>
          </w:tcPr>
          <w:p w14:paraId="16EB6E78"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60F9ACB6"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6563A805"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24" w:type="pct"/>
            <w:tcBorders>
              <w:top w:val="nil"/>
              <w:left w:val="nil"/>
              <w:bottom w:val="single" w:sz="4" w:space="0" w:color="auto"/>
              <w:right w:val="single" w:sz="4" w:space="0" w:color="auto"/>
            </w:tcBorders>
            <w:shd w:val="clear" w:color="auto" w:fill="auto"/>
            <w:noWrap/>
            <w:vAlign w:val="bottom"/>
            <w:hideMark/>
          </w:tcPr>
          <w:p w14:paraId="3B31A2DB"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7A4179A1"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3CE42008"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16ADA734"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1EF436A2"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2,022</w:t>
            </w:r>
          </w:p>
        </w:tc>
        <w:tc>
          <w:tcPr>
            <w:tcW w:w="378" w:type="pct"/>
            <w:tcBorders>
              <w:top w:val="nil"/>
              <w:left w:val="nil"/>
              <w:bottom w:val="single" w:sz="4" w:space="0" w:color="auto"/>
              <w:right w:val="single" w:sz="4" w:space="0" w:color="auto"/>
            </w:tcBorders>
            <w:shd w:val="clear" w:color="auto" w:fill="auto"/>
            <w:noWrap/>
            <w:vAlign w:val="bottom"/>
            <w:hideMark/>
          </w:tcPr>
          <w:p w14:paraId="19E095EF"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57E4A453"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432" w:type="pct"/>
            <w:tcBorders>
              <w:top w:val="nil"/>
              <w:left w:val="nil"/>
              <w:bottom w:val="single" w:sz="4" w:space="0" w:color="auto"/>
              <w:right w:val="single" w:sz="4" w:space="0" w:color="auto"/>
            </w:tcBorders>
            <w:shd w:val="clear" w:color="auto" w:fill="auto"/>
            <w:noWrap/>
            <w:vAlign w:val="bottom"/>
            <w:hideMark/>
          </w:tcPr>
          <w:p w14:paraId="7980EE53" w14:textId="77777777" w:rsidR="008C43BF" w:rsidRPr="00E41A7F" w:rsidRDefault="008C43BF" w:rsidP="008C43BF">
            <w:pPr>
              <w:spacing w:after="0"/>
              <w:jc w:val="right"/>
              <w:rPr>
                <w:rFonts w:ascii="Times New Roman" w:hAnsi="Times New Roman"/>
                <w:bCs/>
                <w:color w:val="000000"/>
                <w:lang w:eastAsia="es-DO"/>
              </w:rPr>
            </w:pPr>
            <w:r w:rsidRPr="00E41A7F">
              <w:rPr>
                <w:rFonts w:ascii="Times New Roman" w:hAnsi="Times New Roman"/>
                <w:bCs/>
                <w:color w:val="000000"/>
                <w:lang w:eastAsia="es-DO"/>
              </w:rPr>
              <w:t>2,022</w:t>
            </w:r>
          </w:p>
        </w:tc>
      </w:tr>
      <w:tr w:rsidR="008C43BF" w:rsidRPr="00E41A7F" w14:paraId="33B8CF28" w14:textId="77777777" w:rsidTr="008C43BF">
        <w:trPr>
          <w:trHeight w:val="300"/>
        </w:trPr>
        <w:tc>
          <w:tcPr>
            <w:tcW w:w="844" w:type="pct"/>
            <w:tcBorders>
              <w:top w:val="nil"/>
              <w:left w:val="single" w:sz="4" w:space="0" w:color="auto"/>
              <w:bottom w:val="single" w:sz="4" w:space="0" w:color="auto"/>
              <w:right w:val="single" w:sz="4" w:space="0" w:color="auto"/>
            </w:tcBorders>
            <w:shd w:val="clear" w:color="auto" w:fill="auto"/>
            <w:noWrap/>
            <w:vAlign w:val="bottom"/>
            <w:hideMark/>
          </w:tcPr>
          <w:p w14:paraId="5E5F8B77" w14:textId="2610CF6B" w:rsidR="008C43BF" w:rsidRPr="00E41A7F" w:rsidRDefault="00680D76" w:rsidP="008C43BF">
            <w:pPr>
              <w:spacing w:after="0"/>
              <w:jc w:val="center"/>
              <w:rPr>
                <w:rFonts w:ascii="Times New Roman" w:hAnsi="Times New Roman"/>
                <w:bCs/>
                <w:color w:val="000000"/>
                <w:lang w:eastAsia="es-DO"/>
              </w:rPr>
            </w:pPr>
            <w:r w:rsidRPr="00E41A7F">
              <w:rPr>
                <w:rFonts w:ascii="Times New Roman" w:hAnsi="Times New Roman"/>
                <w:bCs/>
                <w:color w:val="000000"/>
                <w:lang w:eastAsia="es-DO"/>
              </w:rPr>
              <w:t>Yautía</w:t>
            </w:r>
          </w:p>
        </w:tc>
        <w:tc>
          <w:tcPr>
            <w:tcW w:w="378" w:type="pct"/>
            <w:tcBorders>
              <w:top w:val="nil"/>
              <w:left w:val="nil"/>
              <w:bottom w:val="single" w:sz="4" w:space="0" w:color="auto"/>
              <w:right w:val="single" w:sz="4" w:space="0" w:color="auto"/>
            </w:tcBorders>
            <w:shd w:val="clear" w:color="auto" w:fill="auto"/>
            <w:noWrap/>
            <w:vAlign w:val="bottom"/>
            <w:hideMark/>
          </w:tcPr>
          <w:p w14:paraId="12764DC4"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5F922381"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0468FAC3"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24" w:type="pct"/>
            <w:tcBorders>
              <w:top w:val="nil"/>
              <w:left w:val="nil"/>
              <w:bottom w:val="single" w:sz="4" w:space="0" w:color="auto"/>
              <w:right w:val="single" w:sz="4" w:space="0" w:color="auto"/>
            </w:tcBorders>
            <w:shd w:val="clear" w:color="auto" w:fill="auto"/>
            <w:noWrap/>
            <w:vAlign w:val="bottom"/>
            <w:hideMark/>
          </w:tcPr>
          <w:p w14:paraId="4A68B7B9"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2E5D067B"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41CE6118"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256FA957"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47C03D5B"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34FEA23A"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10,348</w:t>
            </w:r>
          </w:p>
        </w:tc>
        <w:tc>
          <w:tcPr>
            <w:tcW w:w="378" w:type="pct"/>
            <w:tcBorders>
              <w:top w:val="nil"/>
              <w:left w:val="nil"/>
              <w:bottom w:val="single" w:sz="4" w:space="0" w:color="auto"/>
              <w:right w:val="single" w:sz="4" w:space="0" w:color="auto"/>
            </w:tcBorders>
            <w:shd w:val="clear" w:color="auto" w:fill="auto"/>
            <w:noWrap/>
            <w:vAlign w:val="bottom"/>
            <w:hideMark/>
          </w:tcPr>
          <w:p w14:paraId="27A26091"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16,374</w:t>
            </w:r>
          </w:p>
        </w:tc>
        <w:tc>
          <w:tcPr>
            <w:tcW w:w="432" w:type="pct"/>
            <w:tcBorders>
              <w:top w:val="nil"/>
              <w:left w:val="nil"/>
              <w:bottom w:val="single" w:sz="4" w:space="0" w:color="auto"/>
              <w:right w:val="single" w:sz="4" w:space="0" w:color="auto"/>
            </w:tcBorders>
            <w:shd w:val="clear" w:color="auto" w:fill="auto"/>
            <w:noWrap/>
            <w:vAlign w:val="bottom"/>
            <w:hideMark/>
          </w:tcPr>
          <w:p w14:paraId="1B5F57D2" w14:textId="77777777" w:rsidR="008C43BF" w:rsidRPr="00E41A7F" w:rsidRDefault="008C43BF" w:rsidP="008C43BF">
            <w:pPr>
              <w:spacing w:after="0"/>
              <w:jc w:val="right"/>
              <w:rPr>
                <w:rFonts w:ascii="Times New Roman" w:hAnsi="Times New Roman"/>
                <w:bCs/>
                <w:color w:val="000000"/>
                <w:lang w:eastAsia="es-DO"/>
              </w:rPr>
            </w:pPr>
            <w:r w:rsidRPr="00E41A7F">
              <w:rPr>
                <w:rFonts w:ascii="Times New Roman" w:hAnsi="Times New Roman"/>
                <w:bCs/>
                <w:color w:val="000000"/>
                <w:lang w:eastAsia="es-DO"/>
              </w:rPr>
              <w:t>26,722</w:t>
            </w:r>
          </w:p>
        </w:tc>
      </w:tr>
      <w:tr w:rsidR="008C43BF" w:rsidRPr="00E41A7F" w14:paraId="610A9BBD" w14:textId="77777777" w:rsidTr="008C43BF">
        <w:trPr>
          <w:trHeight w:val="300"/>
        </w:trPr>
        <w:tc>
          <w:tcPr>
            <w:tcW w:w="844" w:type="pct"/>
            <w:tcBorders>
              <w:top w:val="nil"/>
              <w:left w:val="single" w:sz="4" w:space="0" w:color="auto"/>
              <w:bottom w:val="single" w:sz="4" w:space="0" w:color="auto"/>
              <w:right w:val="single" w:sz="4" w:space="0" w:color="auto"/>
            </w:tcBorders>
            <w:shd w:val="clear" w:color="auto" w:fill="auto"/>
            <w:noWrap/>
            <w:vAlign w:val="bottom"/>
            <w:hideMark/>
          </w:tcPr>
          <w:p w14:paraId="53F01064" w14:textId="77777777" w:rsidR="008C43BF" w:rsidRPr="00E41A7F" w:rsidRDefault="008C43BF" w:rsidP="008C43BF">
            <w:pPr>
              <w:spacing w:after="0"/>
              <w:jc w:val="center"/>
              <w:rPr>
                <w:rFonts w:ascii="Times New Roman" w:hAnsi="Times New Roman"/>
                <w:bCs/>
                <w:color w:val="000000"/>
                <w:lang w:eastAsia="es-DO"/>
              </w:rPr>
            </w:pPr>
            <w:r w:rsidRPr="00E41A7F">
              <w:rPr>
                <w:rFonts w:ascii="Times New Roman" w:hAnsi="Times New Roman"/>
                <w:bCs/>
                <w:color w:val="000000"/>
                <w:lang w:eastAsia="es-DO"/>
              </w:rPr>
              <w:t>Fresa</w:t>
            </w:r>
          </w:p>
        </w:tc>
        <w:tc>
          <w:tcPr>
            <w:tcW w:w="378" w:type="pct"/>
            <w:tcBorders>
              <w:top w:val="nil"/>
              <w:left w:val="nil"/>
              <w:bottom w:val="single" w:sz="4" w:space="0" w:color="auto"/>
              <w:right w:val="single" w:sz="4" w:space="0" w:color="auto"/>
            </w:tcBorders>
            <w:shd w:val="clear" w:color="auto" w:fill="auto"/>
            <w:noWrap/>
            <w:vAlign w:val="bottom"/>
            <w:hideMark/>
          </w:tcPr>
          <w:p w14:paraId="3BB1A485"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29015424"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3305AA0B"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24" w:type="pct"/>
            <w:tcBorders>
              <w:top w:val="nil"/>
              <w:left w:val="nil"/>
              <w:bottom w:val="single" w:sz="4" w:space="0" w:color="auto"/>
              <w:right w:val="single" w:sz="4" w:space="0" w:color="auto"/>
            </w:tcBorders>
            <w:shd w:val="clear" w:color="auto" w:fill="auto"/>
            <w:noWrap/>
            <w:vAlign w:val="bottom"/>
            <w:hideMark/>
          </w:tcPr>
          <w:p w14:paraId="7B592DFA"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2745C2B0"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3A4A9EF2"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5BC08EEB"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0537A185"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0</w:t>
            </w:r>
          </w:p>
        </w:tc>
        <w:tc>
          <w:tcPr>
            <w:tcW w:w="378" w:type="pct"/>
            <w:tcBorders>
              <w:top w:val="nil"/>
              <w:left w:val="nil"/>
              <w:bottom w:val="single" w:sz="4" w:space="0" w:color="auto"/>
              <w:right w:val="single" w:sz="4" w:space="0" w:color="auto"/>
            </w:tcBorders>
            <w:shd w:val="clear" w:color="auto" w:fill="auto"/>
            <w:noWrap/>
            <w:vAlign w:val="bottom"/>
            <w:hideMark/>
          </w:tcPr>
          <w:p w14:paraId="423C1E1E"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1,000</w:t>
            </w:r>
          </w:p>
        </w:tc>
        <w:tc>
          <w:tcPr>
            <w:tcW w:w="378" w:type="pct"/>
            <w:tcBorders>
              <w:top w:val="nil"/>
              <w:left w:val="nil"/>
              <w:bottom w:val="single" w:sz="4" w:space="0" w:color="auto"/>
              <w:right w:val="single" w:sz="4" w:space="0" w:color="auto"/>
            </w:tcBorders>
            <w:shd w:val="clear" w:color="auto" w:fill="auto"/>
            <w:noWrap/>
            <w:vAlign w:val="bottom"/>
            <w:hideMark/>
          </w:tcPr>
          <w:p w14:paraId="175C4496" w14:textId="77777777" w:rsidR="008C43BF" w:rsidRPr="00E41A7F" w:rsidRDefault="008C43BF" w:rsidP="008C43BF">
            <w:pPr>
              <w:spacing w:after="0"/>
              <w:jc w:val="right"/>
              <w:rPr>
                <w:rFonts w:ascii="Times New Roman" w:hAnsi="Times New Roman"/>
                <w:color w:val="000000"/>
                <w:lang w:eastAsia="es-DO"/>
              </w:rPr>
            </w:pPr>
            <w:r w:rsidRPr="00E41A7F">
              <w:rPr>
                <w:rFonts w:ascii="Times New Roman" w:hAnsi="Times New Roman"/>
                <w:color w:val="000000"/>
                <w:lang w:eastAsia="es-DO"/>
              </w:rPr>
              <w:t>1,390</w:t>
            </w:r>
          </w:p>
        </w:tc>
        <w:tc>
          <w:tcPr>
            <w:tcW w:w="432" w:type="pct"/>
            <w:tcBorders>
              <w:top w:val="nil"/>
              <w:left w:val="nil"/>
              <w:bottom w:val="single" w:sz="4" w:space="0" w:color="auto"/>
              <w:right w:val="single" w:sz="4" w:space="0" w:color="auto"/>
            </w:tcBorders>
            <w:shd w:val="clear" w:color="auto" w:fill="auto"/>
            <w:noWrap/>
            <w:vAlign w:val="bottom"/>
            <w:hideMark/>
          </w:tcPr>
          <w:p w14:paraId="49BFE03F" w14:textId="77777777" w:rsidR="008C43BF" w:rsidRPr="00E41A7F" w:rsidRDefault="008C43BF" w:rsidP="008C43BF">
            <w:pPr>
              <w:spacing w:after="0"/>
              <w:jc w:val="right"/>
              <w:rPr>
                <w:rFonts w:ascii="Times New Roman" w:hAnsi="Times New Roman"/>
                <w:bCs/>
                <w:color w:val="000000"/>
                <w:lang w:eastAsia="es-DO"/>
              </w:rPr>
            </w:pPr>
            <w:r w:rsidRPr="00E41A7F">
              <w:rPr>
                <w:rFonts w:ascii="Times New Roman" w:hAnsi="Times New Roman"/>
                <w:bCs/>
                <w:color w:val="000000"/>
                <w:lang w:eastAsia="es-DO"/>
              </w:rPr>
              <w:t>2,390</w:t>
            </w:r>
          </w:p>
        </w:tc>
      </w:tr>
      <w:tr w:rsidR="008C43BF" w:rsidRPr="008C43BF" w14:paraId="1C5CEB22" w14:textId="77777777" w:rsidTr="008C43BF">
        <w:trPr>
          <w:trHeight w:val="300"/>
        </w:trPr>
        <w:tc>
          <w:tcPr>
            <w:tcW w:w="844" w:type="pct"/>
            <w:tcBorders>
              <w:top w:val="nil"/>
              <w:left w:val="single" w:sz="4" w:space="0" w:color="auto"/>
              <w:bottom w:val="single" w:sz="4" w:space="0" w:color="auto"/>
              <w:right w:val="single" w:sz="4" w:space="0" w:color="auto"/>
            </w:tcBorders>
            <w:shd w:val="clear" w:color="auto" w:fill="808080" w:themeFill="background1" w:themeFillShade="80"/>
            <w:noWrap/>
            <w:vAlign w:val="bottom"/>
            <w:hideMark/>
          </w:tcPr>
          <w:p w14:paraId="6F058D1B" w14:textId="77777777" w:rsidR="008C43BF" w:rsidRPr="00E41A7F" w:rsidRDefault="008C43BF" w:rsidP="008C43BF">
            <w:pPr>
              <w:spacing w:after="0"/>
              <w:jc w:val="center"/>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Total</w:t>
            </w:r>
          </w:p>
        </w:tc>
        <w:tc>
          <w:tcPr>
            <w:tcW w:w="378" w:type="pct"/>
            <w:tcBorders>
              <w:top w:val="nil"/>
              <w:left w:val="nil"/>
              <w:bottom w:val="single" w:sz="4" w:space="0" w:color="auto"/>
              <w:right w:val="single" w:sz="4" w:space="0" w:color="auto"/>
            </w:tcBorders>
            <w:shd w:val="clear" w:color="auto" w:fill="808080" w:themeFill="background1" w:themeFillShade="80"/>
            <w:noWrap/>
            <w:vAlign w:val="bottom"/>
            <w:hideMark/>
          </w:tcPr>
          <w:p w14:paraId="430330C8" w14:textId="77777777" w:rsidR="008C43BF" w:rsidRPr="00E41A7F" w:rsidRDefault="008C43BF" w:rsidP="008C43BF">
            <w:pPr>
              <w:spacing w:after="0"/>
              <w:jc w:val="right"/>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26,659</w:t>
            </w:r>
          </w:p>
        </w:tc>
        <w:tc>
          <w:tcPr>
            <w:tcW w:w="378" w:type="pct"/>
            <w:tcBorders>
              <w:top w:val="nil"/>
              <w:left w:val="nil"/>
              <w:bottom w:val="single" w:sz="4" w:space="0" w:color="auto"/>
              <w:right w:val="single" w:sz="4" w:space="0" w:color="auto"/>
            </w:tcBorders>
            <w:shd w:val="clear" w:color="auto" w:fill="808080" w:themeFill="background1" w:themeFillShade="80"/>
            <w:noWrap/>
            <w:vAlign w:val="bottom"/>
            <w:hideMark/>
          </w:tcPr>
          <w:p w14:paraId="6C7338C1" w14:textId="77777777" w:rsidR="008C43BF" w:rsidRPr="00E41A7F" w:rsidRDefault="008C43BF" w:rsidP="008C43BF">
            <w:pPr>
              <w:spacing w:after="0"/>
              <w:jc w:val="right"/>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21,076</w:t>
            </w:r>
          </w:p>
        </w:tc>
        <w:tc>
          <w:tcPr>
            <w:tcW w:w="378" w:type="pct"/>
            <w:tcBorders>
              <w:top w:val="nil"/>
              <w:left w:val="nil"/>
              <w:bottom w:val="single" w:sz="4" w:space="0" w:color="auto"/>
              <w:right w:val="single" w:sz="4" w:space="0" w:color="auto"/>
            </w:tcBorders>
            <w:shd w:val="clear" w:color="auto" w:fill="808080" w:themeFill="background1" w:themeFillShade="80"/>
            <w:noWrap/>
            <w:vAlign w:val="bottom"/>
            <w:hideMark/>
          </w:tcPr>
          <w:p w14:paraId="1B5524A0" w14:textId="77777777" w:rsidR="008C43BF" w:rsidRPr="00E41A7F" w:rsidRDefault="008C43BF" w:rsidP="008C43BF">
            <w:pPr>
              <w:spacing w:after="0"/>
              <w:jc w:val="right"/>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33,329</w:t>
            </w:r>
          </w:p>
        </w:tc>
        <w:tc>
          <w:tcPr>
            <w:tcW w:w="324" w:type="pct"/>
            <w:tcBorders>
              <w:top w:val="nil"/>
              <w:left w:val="nil"/>
              <w:bottom w:val="single" w:sz="4" w:space="0" w:color="auto"/>
              <w:right w:val="single" w:sz="4" w:space="0" w:color="auto"/>
            </w:tcBorders>
            <w:shd w:val="clear" w:color="auto" w:fill="808080" w:themeFill="background1" w:themeFillShade="80"/>
            <w:noWrap/>
            <w:vAlign w:val="bottom"/>
            <w:hideMark/>
          </w:tcPr>
          <w:p w14:paraId="2C6ABFCE" w14:textId="77777777" w:rsidR="008C43BF" w:rsidRPr="00E41A7F" w:rsidRDefault="008C43BF" w:rsidP="008C43BF">
            <w:pPr>
              <w:spacing w:after="0"/>
              <w:jc w:val="right"/>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3,769</w:t>
            </w:r>
          </w:p>
        </w:tc>
        <w:tc>
          <w:tcPr>
            <w:tcW w:w="378" w:type="pct"/>
            <w:tcBorders>
              <w:top w:val="nil"/>
              <w:left w:val="nil"/>
              <w:bottom w:val="single" w:sz="4" w:space="0" w:color="auto"/>
              <w:right w:val="single" w:sz="4" w:space="0" w:color="auto"/>
            </w:tcBorders>
            <w:shd w:val="clear" w:color="auto" w:fill="808080" w:themeFill="background1" w:themeFillShade="80"/>
            <w:noWrap/>
            <w:vAlign w:val="bottom"/>
            <w:hideMark/>
          </w:tcPr>
          <w:p w14:paraId="164D05B9" w14:textId="77777777" w:rsidR="008C43BF" w:rsidRPr="00E41A7F" w:rsidRDefault="008C43BF" w:rsidP="008C43BF">
            <w:pPr>
              <w:spacing w:after="0"/>
              <w:jc w:val="right"/>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35,855</w:t>
            </w:r>
          </w:p>
        </w:tc>
        <w:tc>
          <w:tcPr>
            <w:tcW w:w="378" w:type="pct"/>
            <w:tcBorders>
              <w:top w:val="nil"/>
              <w:left w:val="nil"/>
              <w:bottom w:val="single" w:sz="4" w:space="0" w:color="auto"/>
              <w:right w:val="single" w:sz="4" w:space="0" w:color="auto"/>
            </w:tcBorders>
            <w:shd w:val="clear" w:color="auto" w:fill="808080" w:themeFill="background1" w:themeFillShade="80"/>
            <w:noWrap/>
            <w:vAlign w:val="bottom"/>
            <w:hideMark/>
          </w:tcPr>
          <w:p w14:paraId="23E1536A" w14:textId="77777777" w:rsidR="008C43BF" w:rsidRPr="00E41A7F" w:rsidRDefault="008C43BF" w:rsidP="008C43BF">
            <w:pPr>
              <w:spacing w:after="0"/>
              <w:jc w:val="right"/>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24,161</w:t>
            </w:r>
          </w:p>
        </w:tc>
        <w:tc>
          <w:tcPr>
            <w:tcW w:w="378" w:type="pct"/>
            <w:tcBorders>
              <w:top w:val="nil"/>
              <w:left w:val="nil"/>
              <w:bottom w:val="single" w:sz="4" w:space="0" w:color="auto"/>
              <w:right w:val="single" w:sz="4" w:space="0" w:color="auto"/>
            </w:tcBorders>
            <w:shd w:val="clear" w:color="auto" w:fill="808080" w:themeFill="background1" w:themeFillShade="80"/>
            <w:noWrap/>
            <w:vAlign w:val="bottom"/>
            <w:hideMark/>
          </w:tcPr>
          <w:p w14:paraId="1649CEBF" w14:textId="77777777" w:rsidR="008C43BF" w:rsidRPr="00E41A7F" w:rsidRDefault="008C43BF" w:rsidP="008C43BF">
            <w:pPr>
              <w:spacing w:after="0"/>
              <w:jc w:val="right"/>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48,122</w:t>
            </w:r>
          </w:p>
        </w:tc>
        <w:tc>
          <w:tcPr>
            <w:tcW w:w="378" w:type="pct"/>
            <w:tcBorders>
              <w:top w:val="nil"/>
              <w:left w:val="nil"/>
              <w:bottom w:val="single" w:sz="4" w:space="0" w:color="auto"/>
              <w:right w:val="single" w:sz="4" w:space="0" w:color="auto"/>
            </w:tcBorders>
            <w:shd w:val="clear" w:color="auto" w:fill="808080" w:themeFill="background1" w:themeFillShade="80"/>
            <w:noWrap/>
            <w:vAlign w:val="bottom"/>
            <w:hideMark/>
          </w:tcPr>
          <w:p w14:paraId="288D2292" w14:textId="77777777" w:rsidR="008C43BF" w:rsidRPr="00E41A7F" w:rsidRDefault="008C43BF" w:rsidP="008C43BF">
            <w:pPr>
              <w:spacing w:after="0"/>
              <w:jc w:val="right"/>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69,190</w:t>
            </w:r>
          </w:p>
        </w:tc>
        <w:tc>
          <w:tcPr>
            <w:tcW w:w="378" w:type="pct"/>
            <w:tcBorders>
              <w:top w:val="nil"/>
              <w:left w:val="nil"/>
              <w:bottom w:val="single" w:sz="4" w:space="0" w:color="auto"/>
              <w:right w:val="single" w:sz="4" w:space="0" w:color="auto"/>
            </w:tcBorders>
            <w:shd w:val="clear" w:color="auto" w:fill="808080" w:themeFill="background1" w:themeFillShade="80"/>
            <w:noWrap/>
            <w:vAlign w:val="bottom"/>
            <w:hideMark/>
          </w:tcPr>
          <w:p w14:paraId="497402D2" w14:textId="77777777" w:rsidR="008C43BF" w:rsidRPr="00E41A7F" w:rsidRDefault="008C43BF" w:rsidP="008C43BF">
            <w:pPr>
              <w:spacing w:after="0"/>
              <w:jc w:val="right"/>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24,676</w:t>
            </w:r>
          </w:p>
        </w:tc>
        <w:tc>
          <w:tcPr>
            <w:tcW w:w="378" w:type="pct"/>
            <w:tcBorders>
              <w:top w:val="nil"/>
              <w:left w:val="nil"/>
              <w:bottom w:val="single" w:sz="4" w:space="0" w:color="auto"/>
              <w:right w:val="single" w:sz="4" w:space="0" w:color="auto"/>
            </w:tcBorders>
            <w:shd w:val="clear" w:color="auto" w:fill="808080" w:themeFill="background1" w:themeFillShade="80"/>
            <w:noWrap/>
            <w:vAlign w:val="bottom"/>
            <w:hideMark/>
          </w:tcPr>
          <w:p w14:paraId="029D0C95" w14:textId="77777777" w:rsidR="008C43BF" w:rsidRPr="00E41A7F" w:rsidRDefault="008C43BF" w:rsidP="008C43BF">
            <w:pPr>
              <w:spacing w:after="0"/>
              <w:jc w:val="right"/>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60,095</w:t>
            </w:r>
          </w:p>
        </w:tc>
        <w:tc>
          <w:tcPr>
            <w:tcW w:w="432" w:type="pct"/>
            <w:tcBorders>
              <w:top w:val="nil"/>
              <w:left w:val="nil"/>
              <w:bottom w:val="single" w:sz="4" w:space="0" w:color="auto"/>
              <w:right w:val="single" w:sz="4" w:space="0" w:color="auto"/>
            </w:tcBorders>
            <w:shd w:val="clear" w:color="auto" w:fill="808080" w:themeFill="background1" w:themeFillShade="80"/>
            <w:noWrap/>
            <w:vAlign w:val="bottom"/>
            <w:hideMark/>
          </w:tcPr>
          <w:p w14:paraId="5DF85EE2" w14:textId="77777777" w:rsidR="008C43BF" w:rsidRPr="008C43BF" w:rsidRDefault="008C43BF" w:rsidP="008C43BF">
            <w:pPr>
              <w:spacing w:after="0"/>
              <w:jc w:val="right"/>
              <w:rPr>
                <w:rFonts w:ascii="Times New Roman" w:hAnsi="Times New Roman"/>
                <w:b/>
                <w:bCs/>
                <w:color w:val="FFFFFF" w:themeColor="background1"/>
                <w:lang w:eastAsia="es-DO"/>
              </w:rPr>
            </w:pPr>
            <w:r w:rsidRPr="00E41A7F">
              <w:rPr>
                <w:rFonts w:ascii="Times New Roman" w:hAnsi="Times New Roman"/>
                <w:b/>
                <w:bCs/>
                <w:color w:val="FFFFFF" w:themeColor="background1"/>
                <w:lang w:eastAsia="es-DO"/>
              </w:rPr>
              <w:t>346,932</w:t>
            </w:r>
          </w:p>
        </w:tc>
      </w:tr>
    </w:tbl>
    <w:p w14:paraId="177F7537" w14:textId="77777777" w:rsidR="00782488" w:rsidRDefault="00782488" w:rsidP="00CE5462">
      <w:pPr>
        <w:spacing w:after="0" w:line="480" w:lineRule="auto"/>
        <w:ind w:firstLine="720"/>
        <w:jc w:val="both"/>
        <w:rPr>
          <w:rFonts w:ascii="Times New Roman" w:hAnsi="Times New Roman"/>
          <w:lang w:val="es-MX"/>
        </w:rPr>
      </w:pPr>
    </w:p>
    <w:p w14:paraId="6EA0245C" w14:textId="01F92E54" w:rsidR="00CE5462" w:rsidRPr="004B3EB6" w:rsidRDefault="00CE5462" w:rsidP="00CE5462">
      <w:pPr>
        <w:spacing w:after="0" w:line="480" w:lineRule="auto"/>
        <w:ind w:firstLine="720"/>
        <w:jc w:val="both"/>
        <w:rPr>
          <w:rFonts w:ascii="Times New Roman" w:hAnsi="Times New Roman"/>
          <w:lang w:val="es-MX"/>
        </w:rPr>
      </w:pPr>
      <w:r w:rsidRPr="004B3EB6">
        <w:rPr>
          <w:rFonts w:ascii="Times New Roman" w:hAnsi="Times New Roman"/>
          <w:lang w:val="es-MX"/>
        </w:rPr>
        <w:t xml:space="preserve">Durante el periodo, BIOVEGA ha realizado una venta de 236,343 plántulas de plátano, guineo y fresa, con un valor neto de recaudación de RD$1,596,864.00, la cantidad de plantas vendidas durante este período duplicaron las ventas durante ese período del año 2019, beneficiando a 72 productores con el material de siembra de alta calidad </w:t>
      </w:r>
      <w:r w:rsidR="00A359FE" w:rsidRPr="004B3EB6">
        <w:rPr>
          <w:rFonts w:ascii="Times New Roman" w:hAnsi="Times New Roman"/>
          <w:lang w:val="es-MX"/>
        </w:rPr>
        <w:t>genética</w:t>
      </w:r>
      <w:r w:rsidRPr="004B3EB6">
        <w:rPr>
          <w:rFonts w:ascii="Times New Roman" w:hAnsi="Times New Roman"/>
          <w:lang w:val="es-MX"/>
        </w:rPr>
        <w:t>-</w:t>
      </w:r>
    </w:p>
    <w:p w14:paraId="0CDA5B6C" w14:textId="77777777" w:rsidR="00B3745D" w:rsidRPr="004B3EB6" w:rsidRDefault="00B3745D" w:rsidP="00417865">
      <w:pPr>
        <w:spacing w:after="0" w:line="480" w:lineRule="auto"/>
        <w:rPr>
          <w:rFonts w:ascii="Times New Roman" w:hAnsi="Times New Roman"/>
        </w:rPr>
      </w:pPr>
    </w:p>
    <w:p w14:paraId="633D134A" w14:textId="323E85CF" w:rsidR="00A359FE" w:rsidRPr="004B3EB6" w:rsidRDefault="00A359FE" w:rsidP="001C6B1A">
      <w:pPr>
        <w:pStyle w:val="Prrafodelista"/>
        <w:numPr>
          <w:ilvl w:val="0"/>
          <w:numId w:val="9"/>
        </w:numPr>
        <w:spacing w:after="0" w:line="240" w:lineRule="auto"/>
        <w:rPr>
          <w:rFonts w:ascii="Times New Roman" w:hAnsi="Times New Roman"/>
          <w:b/>
          <w:sz w:val="24"/>
          <w:lang w:val="es-ES_tradnl"/>
        </w:rPr>
      </w:pPr>
      <w:r w:rsidRPr="004B3EB6">
        <w:rPr>
          <w:rFonts w:ascii="Times New Roman" w:hAnsi="Times New Roman"/>
          <w:b/>
          <w:sz w:val="24"/>
          <w:lang w:val="es-ES_tradnl"/>
        </w:rPr>
        <w:t>Monto recaudado por venta de plantas</w:t>
      </w:r>
    </w:p>
    <w:p w14:paraId="7AB8C809" w14:textId="77777777" w:rsidR="00A359FE" w:rsidRPr="004B3EB6" w:rsidRDefault="00A359FE" w:rsidP="004A2905">
      <w:pPr>
        <w:spacing w:after="0" w:line="360" w:lineRule="auto"/>
        <w:rPr>
          <w:rFonts w:ascii="Times New Roman" w:hAnsi="Times New Roman"/>
          <w:lang w:val="es-ES_tradnl"/>
        </w:rPr>
      </w:pPr>
    </w:p>
    <w:tbl>
      <w:tblPr>
        <w:tblW w:w="5673" w:type="pct"/>
        <w:tblInd w:w="-572" w:type="dxa"/>
        <w:tblLayout w:type="fixed"/>
        <w:tblCellMar>
          <w:left w:w="70" w:type="dxa"/>
          <w:right w:w="70" w:type="dxa"/>
        </w:tblCellMar>
        <w:tblLook w:val="04A0" w:firstRow="1" w:lastRow="0" w:firstColumn="1" w:lastColumn="0" w:noHBand="0" w:noVBand="1"/>
      </w:tblPr>
      <w:tblGrid>
        <w:gridCol w:w="1234"/>
        <w:gridCol w:w="1220"/>
        <w:gridCol w:w="1221"/>
        <w:gridCol w:w="801"/>
        <w:gridCol w:w="729"/>
        <w:gridCol w:w="729"/>
        <w:gridCol w:w="1583"/>
        <w:gridCol w:w="1458"/>
      </w:tblGrid>
      <w:tr w:rsidR="0028192D" w:rsidRPr="009A5289" w14:paraId="7F656F4C" w14:textId="77777777" w:rsidTr="0028192D">
        <w:trPr>
          <w:trHeight w:val="300"/>
        </w:trPr>
        <w:tc>
          <w:tcPr>
            <w:tcW w:w="688" w:type="pct"/>
            <w:vMerge w:val="restart"/>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7B4931A9" w14:textId="77777777" w:rsidR="00A359FE" w:rsidRPr="009A5289" w:rsidRDefault="00A359FE" w:rsidP="00A359FE">
            <w:pPr>
              <w:spacing w:after="0"/>
              <w:jc w:val="center"/>
              <w:rPr>
                <w:rFonts w:ascii="Times New Roman" w:hAnsi="Times New Roman"/>
                <w:b/>
                <w:color w:val="FFFFFF" w:themeColor="background1"/>
                <w:lang w:eastAsia="es-DO"/>
              </w:rPr>
            </w:pPr>
            <w:r w:rsidRPr="009A5289">
              <w:rPr>
                <w:rFonts w:ascii="Times New Roman" w:hAnsi="Times New Roman"/>
                <w:b/>
                <w:color w:val="FFFFFF" w:themeColor="background1"/>
                <w:lang w:eastAsia="es-DO"/>
              </w:rPr>
              <w:t>Mes</w:t>
            </w:r>
          </w:p>
        </w:tc>
        <w:tc>
          <w:tcPr>
            <w:tcW w:w="2616" w:type="pct"/>
            <w:gridSpan w:val="5"/>
            <w:tcBorders>
              <w:top w:val="single" w:sz="4" w:space="0" w:color="auto"/>
              <w:left w:val="nil"/>
              <w:bottom w:val="single" w:sz="4" w:space="0" w:color="auto"/>
              <w:right w:val="single" w:sz="4" w:space="0" w:color="auto"/>
            </w:tcBorders>
            <w:shd w:val="clear" w:color="auto" w:fill="00B050"/>
            <w:noWrap/>
            <w:vAlign w:val="center"/>
            <w:hideMark/>
          </w:tcPr>
          <w:p w14:paraId="42032BFC" w14:textId="77777777" w:rsidR="00A359FE" w:rsidRPr="009A5289" w:rsidRDefault="00A359FE" w:rsidP="00A359FE">
            <w:pPr>
              <w:spacing w:after="0"/>
              <w:jc w:val="center"/>
              <w:rPr>
                <w:rFonts w:ascii="Times New Roman" w:hAnsi="Times New Roman"/>
                <w:b/>
                <w:color w:val="FFFFFF" w:themeColor="background1"/>
                <w:lang w:eastAsia="es-DO"/>
              </w:rPr>
            </w:pPr>
            <w:r w:rsidRPr="009A5289">
              <w:rPr>
                <w:rFonts w:ascii="Times New Roman" w:hAnsi="Times New Roman"/>
                <w:b/>
                <w:color w:val="FFFFFF" w:themeColor="background1"/>
                <w:lang w:eastAsia="es-DO"/>
              </w:rPr>
              <w:t>Precio de venta de planta</w:t>
            </w:r>
          </w:p>
        </w:tc>
        <w:tc>
          <w:tcPr>
            <w:tcW w:w="882" w:type="pct"/>
            <w:vMerge w:val="restart"/>
            <w:tcBorders>
              <w:top w:val="single" w:sz="4" w:space="0" w:color="auto"/>
              <w:left w:val="single" w:sz="4" w:space="0" w:color="auto"/>
              <w:bottom w:val="single" w:sz="4" w:space="0" w:color="000000"/>
              <w:right w:val="single" w:sz="4" w:space="0" w:color="auto"/>
            </w:tcBorders>
            <w:shd w:val="clear" w:color="auto" w:fill="00B050"/>
            <w:noWrap/>
            <w:vAlign w:val="center"/>
            <w:hideMark/>
          </w:tcPr>
          <w:p w14:paraId="599AF12B" w14:textId="77777777" w:rsidR="00A359FE" w:rsidRPr="009A5289" w:rsidRDefault="00A359FE" w:rsidP="00A359FE">
            <w:pPr>
              <w:spacing w:after="0"/>
              <w:jc w:val="center"/>
              <w:rPr>
                <w:rFonts w:ascii="Times New Roman" w:hAnsi="Times New Roman"/>
                <w:b/>
                <w:bCs/>
                <w:color w:val="FFFFFF" w:themeColor="background1"/>
                <w:lang w:eastAsia="es-DO"/>
              </w:rPr>
            </w:pPr>
            <w:r w:rsidRPr="009A5289">
              <w:rPr>
                <w:rFonts w:ascii="Times New Roman" w:hAnsi="Times New Roman"/>
                <w:b/>
                <w:bCs/>
                <w:color w:val="FFFFFF" w:themeColor="background1"/>
                <w:lang w:eastAsia="es-DO"/>
              </w:rPr>
              <w:t xml:space="preserve">Total </w:t>
            </w:r>
          </w:p>
          <w:p w14:paraId="0EBB4BAD" w14:textId="2822F5E9" w:rsidR="00A359FE" w:rsidRPr="009A5289" w:rsidRDefault="00A359FE" w:rsidP="00A359FE">
            <w:pPr>
              <w:spacing w:after="0"/>
              <w:jc w:val="center"/>
              <w:rPr>
                <w:rFonts w:ascii="Times New Roman" w:hAnsi="Times New Roman"/>
                <w:b/>
                <w:bCs/>
                <w:color w:val="FFFFFF" w:themeColor="background1"/>
                <w:lang w:eastAsia="es-DO"/>
              </w:rPr>
            </w:pPr>
            <w:r w:rsidRPr="009A5289">
              <w:rPr>
                <w:rFonts w:ascii="Times New Roman" w:hAnsi="Times New Roman"/>
                <w:b/>
                <w:bCs/>
                <w:color w:val="FFFFFF" w:themeColor="background1"/>
                <w:lang w:eastAsia="es-DO"/>
              </w:rPr>
              <w:t>RD$</w:t>
            </w:r>
          </w:p>
        </w:tc>
        <w:tc>
          <w:tcPr>
            <w:tcW w:w="814" w:type="pct"/>
            <w:vMerge w:val="restart"/>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4252D941" w14:textId="77777777" w:rsidR="00A359FE" w:rsidRPr="009A5289" w:rsidRDefault="00A359FE" w:rsidP="00A359FE">
            <w:pPr>
              <w:spacing w:after="0"/>
              <w:jc w:val="center"/>
              <w:rPr>
                <w:rFonts w:ascii="Times New Roman" w:hAnsi="Times New Roman"/>
                <w:b/>
                <w:bCs/>
                <w:color w:val="FFFFFF" w:themeColor="background1"/>
                <w:lang w:eastAsia="es-DO"/>
              </w:rPr>
            </w:pPr>
            <w:r w:rsidRPr="009A5289">
              <w:rPr>
                <w:rFonts w:ascii="Times New Roman" w:hAnsi="Times New Roman"/>
                <w:b/>
                <w:bCs/>
                <w:color w:val="FFFFFF" w:themeColor="background1"/>
                <w:lang w:eastAsia="es-DO"/>
              </w:rPr>
              <w:t>Total de Beneficiario</w:t>
            </w:r>
          </w:p>
        </w:tc>
      </w:tr>
      <w:tr w:rsidR="00A359FE" w:rsidRPr="009A5289" w14:paraId="3CBA4389" w14:textId="77777777" w:rsidTr="0028192D">
        <w:trPr>
          <w:trHeight w:val="300"/>
        </w:trPr>
        <w:tc>
          <w:tcPr>
            <w:tcW w:w="688" w:type="pct"/>
            <w:vMerge/>
            <w:tcBorders>
              <w:top w:val="single" w:sz="4" w:space="0" w:color="auto"/>
              <w:left w:val="single" w:sz="4" w:space="0" w:color="auto"/>
              <w:bottom w:val="single" w:sz="4" w:space="0" w:color="auto"/>
              <w:right w:val="single" w:sz="4" w:space="0" w:color="auto"/>
            </w:tcBorders>
            <w:vAlign w:val="center"/>
            <w:hideMark/>
          </w:tcPr>
          <w:p w14:paraId="716BAAE5" w14:textId="77777777" w:rsidR="00A359FE" w:rsidRPr="009A5289" w:rsidRDefault="00A359FE" w:rsidP="00A359FE">
            <w:pPr>
              <w:spacing w:after="0"/>
              <w:rPr>
                <w:rFonts w:ascii="Times New Roman" w:hAnsi="Times New Roman"/>
                <w:color w:val="000000"/>
                <w:lang w:eastAsia="es-DO"/>
              </w:rPr>
            </w:pPr>
          </w:p>
        </w:tc>
        <w:tc>
          <w:tcPr>
            <w:tcW w:w="680" w:type="pct"/>
            <w:tcBorders>
              <w:top w:val="nil"/>
              <w:left w:val="nil"/>
              <w:bottom w:val="single" w:sz="4" w:space="0" w:color="auto"/>
              <w:right w:val="single" w:sz="4" w:space="0" w:color="auto"/>
            </w:tcBorders>
            <w:shd w:val="clear" w:color="auto" w:fill="00B050"/>
            <w:noWrap/>
            <w:vAlign w:val="bottom"/>
            <w:hideMark/>
          </w:tcPr>
          <w:p w14:paraId="4A880FCC" w14:textId="12F1450B" w:rsidR="00A359FE" w:rsidRPr="009A5289" w:rsidRDefault="00A359FE" w:rsidP="00A359FE">
            <w:pPr>
              <w:spacing w:after="0"/>
              <w:jc w:val="center"/>
              <w:rPr>
                <w:rFonts w:ascii="Times New Roman" w:hAnsi="Times New Roman"/>
                <w:b/>
                <w:color w:val="FFFFFF" w:themeColor="background1"/>
                <w:lang w:eastAsia="es-DO"/>
              </w:rPr>
            </w:pPr>
            <w:r w:rsidRPr="009A5289">
              <w:rPr>
                <w:rFonts w:ascii="Times New Roman" w:hAnsi="Times New Roman"/>
                <w:b/>
                <w:color w:val="FFFFFF" w:themeColor="background1"/>
                <w:lang w:eastAsia="es-DO"/>
              </w:rPr>
              <w:t>RD$12</w:t>
            </w:r>
          </w:p>
        </w:tc>
        <w:tc>
          <w:tcPr>
            <w:tcW w:w="680" w:type="pct"/>
            <w:tcBorders>
              <w:top w:val="nil"/>
              <w:left w:val="nil"/>
              <w:bottom w:val="single" w:sz="4" w:space="0" w:color="auto"/>
              <w:right w:val="single" w:sz="4" w:space="0" w:color="auto"/>
            </w:tcBorders>
            <w:shd w:val="clear" w:color="auto" w:fill="00B050"/>
            <w:noWrap/>
            <w:vAlign w:val="bottom"/>
            <w:hideMark/>
          </w:tcPr>
          <w:p w14:paraId="60D2E1A5" w14:textId="776026F8" w:rsidR="00A359FE" w:rsidRPr="009A5289" w:rsidRDefault="00A359FE" w:rsidP="00A359FE">
            <w:pPr>
              <w:spacing w:after="0"/>
              <w:jc w:val="center"/>
              <w:rPr>
                <w:rFonts w:ascii="Times New Roman" w:hAnsi="Times New Roman"/>
                <w:b/>
                <w:color w:val="FFFFFF" w:themeColor="background1"/>
                <w:lang w:eastAsia="es-DO"/>
              </w:rPr>
            </w:pPr>
            <w:r w:rsidRPr="009A5289">
              <w:rPr>
                <w:rFonts w:ascii="Times New Roman" w:hAnsi="Times New Roman"/>
                <w:b/>
                <w:color w:val="FFFFFF" w:themeColor="background1"/>
                <w:lang w:eastAsia="es-DO"/>
              </w:rPr>
              <w:t>RD$4</w:t>
            </w:r>
          </w:p>
        </w:tc>
        <w:tc>
          <w:tcPr>
            <w:tcW w:w="446" w:type="pct"/>
            <w:tcBorders>
              <w:top w:val="nil"/>
              <w:left w:val="nil"/>
              <w:bottom w:val="single" w:sz="4" w:space="0" w:color="auto"/>
              <w:right w:val="single" w:sz="4" w:space="0" w:color="auto"/>
            </w:tcBorders>
            <w:shd w:val="clear" w:color="auto" w:fill="00B050"/>
            <w:noWrap/>
            <w:vAlign w:val="bottom"/>
            <w:hideMark/>
          </w:tcPr>
          <w:p w14:paraId="15275D4C" w14:textId="3A3793B9" w:rsidR="00A359FE" w:rsidRPr="009A5289" w:rsidRDefault="00A359FE" w:rsidP="00A359FE">
            <w:pPr>
              <w:spacing w:after="0"/>
              <w:jc w:val="center"/>
              <w:rPr>
                <w:rFonts w:ascii="Times New Roman" w:hAnsi="Times New Roman"/>
                <w:b/>
                <w:color w:val="FFFFFF" w:themeColor="background1"/>
                <w:lang w:eastAsia="es-DO"/>
              </w:rPr>
            </w:pPr>
            <w:r w:rsidRPr="009A5289">
              <w:rPr>
                <w:rFonts w:ascii="Times New Roman" w:hAnsi="Times New Roman"/>
                <w:b/>
                <w:color w:val="FFFFFF" w:themeColor="background1"/>
                <w:lang w:eastAsia="es-DO"/>
              </w:rPr>
              <w:t>RD$5</w:t>
            </w:r>
          </w:p>
        </w:tc>
        <w:tc>
          <w:tcPr>
            <w:tcW w:w="406" w:type="pct"/>
            <w:tcBorders>
              <w:top w:val="nil"/>
              <w:left w:val="nil"/>
              <w:bottom w:val="single" w:sz="4" w:space="0" w:color="auto"/>
              <w:right w:val="single" w:sz="4" w:space="0" w:color="auto"/>
            </w:tcBorders>
            <w:shd w:val="clear" w:color="auto" w:fill="00B050"/>
            <w:noWrap/>
            <w:vAlign w:val="bottom"/>
            <w:hideMark/>
          </w:tcPr>
          <w:p w14:paraId="2232E4BC" w14:textId="366AADA3" w:rsidR="00A359FE" w:rsidRPr="009A5289" w:rsidRDefault="00A359FE" w:rsidP="00A359FE">
            <w:pPr>
              <w:spacing w:after="0"/>
              <w:jc w:val="center"/>
              <w:rPr>
                <w:rFonts w:ascii="Times New Roman" w:hAnsi="Times New Roman"/>
                <w:b/>
                <w:color w:val="FFFFFF" w:themeColor="background1"/>
                <w:lang w:eastAsia="es-DO"/>
              </w:rPr>
            </w:pPr>
            <w:r w:rsidRPr="009A5289">
              <w:rPr>
                <w:rFonts w:ascii="Times New Roman" w:hAnsi="Times New Roman"/>
                <w:b/>
                <w:color w:val="FFFFFF" w:themeColor="background1"/>
                <w:lang w:eastAsia="es-DO"/>
              </w:rPr>
              <w:t>RD$6</w:t>
            </w:r>
          </w:p>
        </w:tc>
        <w:tc>
          <w:tcPr>
            <w:tcW w:w="406" w:type="pct"/>
            <w:tcBorders>
              <w:top w:val="nil"/>
              <w:left w:val="nil"/>
              <w:bottom w:val="single" w:sz="4" w:space="0" w:color="auto"/>
              <w:right w:val="single" w:sz="4" w:space="0" w:color="auto"/>
            </w:tcBorders>
            <w:shd w:val="clear" w:color="auto" w:fill="00B050"/>
            <w:noWrap/>
            <w:vAlign w:val="bottom"/>
            <w:hideMark/>
          </w:tcPr>
          <w:p w14:paraId="157DB5A6" w14:textId="78AC8377" w:rsidR="00A359FE" w:rsidRPr="009A5289" w:rsidRDefault="00A359FE" w:rsidP="00A359FE">
            <w:pPr>
              <w:spacing w:after="0"/>
              <w:jc w:val="center"/>
              <w:rPr>
                <w:rFonts w:ascii="Times New Roman" w:hAnsi="Times New Roman"/>
                <w:b/>
                <w:color w:val="FFFFFF" w:themeColor="background1"/>
                <w:lang w:eastAsia="es-DO"/>
              </w:rPr>
            </w:pPr>
            <w:r w:rsidRPr="009A5289">
              <w:rPr>
                <w:rFonts w:ascii="Times New Roman" w:hAnsi="Times New Roman"/>
                <w:b/>
                <w:color w:val="FFFFFF" w:themeColor="background1"/>
                <w:lang w:eastAsia="es-DO"/>
              </w:rPr>
              <w:t>RD$7</w:t>
            </w:r>
          </w:p>
        </w:tc>
        <w:tc>
          <w:tcPr>
            <w:tcW w:w="882" w:type="pct"/>
            <w:vMerge/>
            <w:tcBorders>
              <w:top w:val="single" w:sz="4" w:space="0" w:color="auto"/>
              <w:left w:val="single" w:sz="4" w:space="0" w:color="auto"/>
              <w:bottom w:val="single" w:sz="4" w:space="0" w:color="000000"/>
              <w:right w:val="single" w:sz="4" w:space="0" w:color="auto"/>
            </w:tcBorders>
            <w:vAlign w:val="center"/>
            <w:hideMark/>
          </w:tcPr>
          <w:p w14:paraId="12AE615F" w14:textId="77777777" w:rsidR="00A359FE" w:rsidRPr="009A5289" w:rsidRDefault="00A359FE" w:rsidP="00A359FE">
            <w:pPr>
              <w:spacing w:after="0"/>
              <w:rPr>
                <w:rFonts w:ascii="Times New Roman" w:hAnsi="Times New Roman"/>
                <w:b/>
                <w:bCs/>
                <w:color w:val="000000"/>
                <w:lang w:eastAsia="es-DO"/>
              </w:rPr>
            </w:pPr>
          </w:p>
        </w:tc>
        <w:tc>
          <w:tcPr>
            <w:tcW w:w="814" w:type="pct"/>
            <w:vMerge/>
            <w:tcBorders>
              <w:top w:val="single" w:sz="4" w:space="0" w:color="auto"/>
              <w:left w:val="single" w:sz="4" w:space="0" w:color="auto"/>
              <w:bottom w:val="single" w:sz="4" w:space="0" w:color="auto"/>
              <w:right w:val="single" w:sz="4" w:space="0" w:color="auto"/>
            </w:tcBorders>
            <w:vAlign w:val="center"/>
            <w:hideMark/>
          </w:tcPr>
          <w:p w14:paraId="46DA389A" w14:textId="77777777" w:rsidR="00A359FE" w:rsidRPr="009A5289" w:rsidRDefault="00A359FE" w:rsidP="00A359FE">
            <w:pPr>
              <w:spacing w:after="0"/>
              <w:rPr>
                <w:rFonts w:ascii="Times New Roman" w:hAnsi="Times New Roman"/>
                <w:b/>
                <w:bCs/>
                <w:color w:val="000000"/>
                <w:lang w:eastAsia="es-DO"/>
              </w:rPr>
            </w:pPr>
          </w:p>
        </w:tc>
      </w:tr>
      <w:tr w:rsidR="00A359FE" w:rsidRPr="009A5289" w14:paraId="5228894C" w14:textId="77777777" w:rsidTr="0028192D">
        <w:trPr>
          <w:trHeight w:val="300"/>
        </w:trPr>
        <w:tc>
          <w:tcPr>
            <w:tcW w:w="688" w:type="pct"/>
            <w:tcBorders>
              <w:top w:val="nil"/>
              <w:left w:val="single" w:sz="4" w:space="0" w:color="auto"/>
              <w:bottom w:val="single" w:sz="4" w:space="0" w:color="auto"/>
              <w:right w:val="single" w:sz="4" w:space="0" w:color="auto"/>
            </w:tcBorders>
            <w:shd w:val="clear" w:color="auto" w:fill="auto"/>
            <w:noWrap/>
            <w:vAlign w:val="bottom"/>
            <w:hideMark/>
          </w:tcPr>
          <w:p w14:paraId="50BDC592"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Enero</w:t>
            </w:r>
          </w:p>
        </w:tc>
        <w:tc>
          <w:tcPr>
            <w:tcW w:w="680" w:type="pct"/>
            <w:tcBorders>
              <w:top w:val="nil"/>
              <w:left w:val="nil"/>
              <w:bottom w:val="single" w:sz="4" w:space="0" w:color="auto"/>
              <w:right w:val="single" w:sz="4" w:space="0" w:color="auto"/>
            </w:tcBorders>
            <w:shd w:val="clear" w:color="auto" w:fill="auto"/>
            <w:noWrap/>
            <w:vAlign w:val="bottom"/>
            <w:hideMark/>
          </w:tcPr>
          <w:p w14:paraId="1B5153F9" w14:textId="77777777" w:rsidR="00A359FE" w:rsidRPr="009A5289" w:rsidRDefault="00A359FE" w:rsidP="00A359FE">
            <w:pPr>
              <w:spacing w:after="0"/>
              <w:jc w:val="right"/>
              <w:rPr>
                <w:rFonts w:ascii="Times New Roman" w:hAnsi="Times New Roman"/>
                <w:color w:val="000000"/>
                <w:lang w:eastAsia="es-DO"/>
              </w:rPr>
            </w:pPr>
            <w:r w:rsidRPr="009A5289">
              <w:rPr>
                <w:rFonts w:ascii="Times New Roman" w:hAnsi="Times New Roman"/>
                <w:color w:val="000000"/>
                <w:lang w:eastAsia="es-DO"/>
              </w:rPr>
              <w:t>19,704.00</w:t>
            </w:r>
          </w:p>
        </w:tc>
        <w:tc>
          <w:tcPr>
            <w:tcW w:w="680" w:type="pct"/>
            <w:tcBorders>
              <w:top w:val="nil"/>
              <w:left w:val="nil"/>
              <w:bottom w:val="single" w:sz="4" w:space="0" w:color="auto"/>
              <w:right w:val="single" w:sz="4" w:space="0" w:color="auto"/>
            </w:tcBorders>
            <w:shd w:val="clear" w:color="auto" w:fill="auto"/>
            <w:noWrap/>
            <w:vAlign w:val="bottom"/>
            <w:hideMark/>
          </w:tcPr>
          <w:p w14:paraId="1A0F3A72"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46" w:type="pct"/>
            <w:tcBorders>
              <w:top w:val="nil"/>
              <w:left w:val="nil"/>
              <w:bottom w:val="single" w:sz="4" w:space="0" w:color="auto"/>
              <w:right w:val="single" w:sz="4" w:space="0" w:color="auto"/>
            </w:tcBorders>
            <w:shd w:val="clear" w:color="auto" w:fill="auto"/>
            <w:noWrap/>
            <w:vAlign w:val="bottom"/>
            <w:hideMark/>
          </w:tcPr>
          <w:p w14:paraId="5541E9BA"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06" w:type="pct"/>
            <w:tcBorders>
              <w:top w:val="nil"/>
              <w:left w:val="nil"/>
              <w:bottom w:val="single" w:sz="4" w:space="0" w:color="auto"/>
              <w:right w:val="single" w:sz="4" w:space="0" w:color="auto"/>
            </w:tcBorders>
            <w:shd w:val="clear" w:color="auto" w:fill="auto"/>
            <w:noWrap/>
            <w:vAlign w:val="bottom"/>
            <w:hideMark/>
          </w:tcPr>
          <w:p w14:paraId="5CB054E4"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06" w:type="pct"/>
            <w:tcBorders>
              <w:top w:val="nil"/>
              <w:left w:val="nil"/>
              <w:bottom w:val="single" w:sz="4" w:space="0" w:color="auto"/>
              <w:right w:val="single" w:sz="4" w:space="0" w:color="auto"/>
            </w:tcBorders>
            <w:shd w:val="clear" w:color="auto" w:fill="auto"/>
            <w:noWrap/>
            <w:vAlign w:val="bottom"/>
            <w:hideMark/>
          </w:tcPr>
          <w:p w14:paraId="73B5A43D"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882" w:type="pct"/>
            <w:tcBorders>
              <w:top w:val="nil"/>
              <w:left w:val="nil"/>
              <w:bottom w:val="single" w:sz="4" w:space="0" w:color="auto"/>
              <w:right w:val="single" w:sz="4" w:space="0" w:color="auto"/>
            </w:tcBorders>
            <w:shd w:val="clear" w:color="auto" w:fill="auto"/>
            <w:noWrap/>
            <w:vAlign w:val="bottom"/>
            <w:hideMark/>
          </w:tcPr>
          <w:p w14:paraId="1A6AAA34" w14:textId="77777777" w:rsidR="00A359FE" w:rsidRPr="009A5289" w:rsidRDefault="00A359FE" w:rsidP="00A359FE">
            <w:pPr>
              <w:spacing w:after="0"/>
              <w:jc w:val="right"/>
              <w:rPr>
                <w:rFonts w:ascii="Times New Roman" w:hAnsi="Times New Roman"/>
                <w:bCs/>
                <w:color w:val="000000"/>
                <w:lang w:eastAsia="es-DO"/>
              </w:rPr>
            </w:pPr>
            <w:r w:rsidRPr="009A5289">
              <w:rPr>
                <w:rFonts w:ascii="Times New Roman" w:hAnsi="Times New Roman"/>
                <w:bCs/>
                <w:color w:val="000000"/>
                <w:lang w:eastAsia="es-DO"/>
              </w:rPr>
              <w:t>19,704.00</w:t>
            </w:r>
          </w:p>
        </w:tc>
        <w:tc>
          <w:tcPr>
            <w:tcW w:w="814" w:type="pct"/>
            <w:tcBorders>
              <w:top w:val="nil"/>
              <w:left w:val="nil"/>
              <w:bottom w:val="single" w:sz="4" w:space="0" w:color="auto"/>
              <w:right w:val="single" w:sz="4" w:space="0" w:color="auto"/>
            </w:tcBorders>
            <w:shd w:val="clear" w:color="auto" w:fill="auto"/>
            <w:noWrap/>
            <w:vAlign w:val="bottom"/>
            <w:hideMark/>
          </w:tcPr>
          <w:p w14:paraId="0910520E" w14:textId="77777777" w:rsidR="00A359FE" w:rsidRPr="009A5289" w:rsidRDefault="00A359FE" w:rsidP="00A359FE">
            <w:pPr>
              <w:spacing w:after="0"/>
              <w:jc w:val="center"/>
              <w:rPr>
                <w:rFonts w:ascii="Times New Roman" w:hAnsi="Times New Roman"/>
                <w:bCs/>
                <w:color w:val="000000"/>
                <w:lang w:eastAsia="es-DO"/>
              </w:rPr>
            </w:pPr>
            <w:r w:rsidRPr="009A5289">
              <w:rPr>
                <w:rFonts w:ascii="Times New Roman" w:hAnsi="Times New Roman"/>
                <w:bCs/>
                <w:color w:val="000000"/>
                <w:lang w:eastAsia="es-DO"/>
              </w:rPr>
              <w:t>3</w:t>
            </w:r>
          </w:p>
        </w:tc>
      </w:tr>
      <w:tr w:rsidR="00A359FE" w:rsidRPr="009A5289" w14:paraId="0E8CF8D8" w14:textId="77777777" w:rsidTr="0028192D">
        <w:trPr>
          <w:trHeight w:val="300"/>
        </w:trPr>
        <w:tc>
          <w:tcPr>
            <w:tcW w:w="688" w:type="pct"/>
            <w:tcBorders>
              <w:top w:val="nil"/>
              <w:left w:val="single" w:sz="4" w:space="0" w:color="auto"/>
              <w:bottom w:val="single" w:sz="4" w:space="0" w:color="auto"/>
              <w:right w:val="single" w:sz="4" w:space="0" w:color="auto"/>
            </w:tcBorders>
            <w:shd w:val="clear" w:color="auto" w:fill="auto"/>
            <w:noWrap/>
            <w:vAlign w:val="bottom"/>
            <w:hideMark/>
          </w:tcPr>
          <w:p w14:paraId="78281ADF"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Febrero</w:t>
            </w:r>
          </w:p>
        </w:tc>
        <w:tc>
          <w:tcPr>
            <w:tcW w:w="680" w:type="pct"/>
            <w:tcBorders>
              <w:top w:val="nil"/>
              <w:left w:val="nil"/>
              <w:bottom w:val="single" w:sz="4" w:space="0" w:color="auto"/>
              <w:right w:val="single" w:sz="4" w:space="0" w:color="auto"/>
            </w:tcBorders>
            <w:shd w:val="clear" w:color="auto" w:fill="auto"/>
            <w:noWrap/>
            <w:vAlign w:val="bottom"/>
            <w:hideMark/>
          </w:tcPr>
          <w:p w14:paraId="359BDD4A" w14:textId="77777777" w:rsidR="00A359FE" w:rsidRPr="009A5289" w:rsidRDefault="00A359FE" w:rsidP="00A359FE">
            <w:pPr>
              <w:spacing w:after="0"/>
              <w:jc w:val="right"/>
              <w:rPr>
                <w:rFonts w:ascii="Times New Roman" w:hAnsi="Times New Roman"/>
                <w:color w:val="000000"/>
                <w:lang w:eastAsia="es-DO"/>
              </w:rPr>
            </w:pPr>
            <w:r w:rsidRPr="009A5289">
              <w:rPr>
                <w:rFonts w:ascii="Times New Roman" w:hAnsi="Times New Roman"/>
                <w:color w:val="000000"/>
                <w:lang w:eastAsia="es-DO"/>
              </w:rPr>
              <w:t>238,512.00</w:t>
            </w:r>
          </w:p>
        </w:tc>
        <w:tc>
          <w:tcPr>
            <w:tcW w:w="680" w:type="pct"/>
            <w:tcBorders>
              <w:top w:val="nil"/>
              <w:left w:val="nil"/>
              <w:bottom w:val="single" w:sz="4" w:space="0" w:color="auto"/>
              <w:right w:val="single" w:sz="4" w:space="0" w:color="auto"/>
            </w:tcBorders>
            <w:shd w:val="clear" w:color="auto" w:fill="auto"/>
            <w:noWrap/>
            <w:vAlign w:val="bottom"/>
            <w:hideMark/>
          </w:tcPr>
          <w:p w14:paraId="37853886"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46" w:type="pct"/>
            <w:tcBorders>
              <w:top w:val="nil"/>
              <w:left w:val="nil"/>
              <w:bottom w:val="single" w:sz="4" w:space="0" w:color="auto"/>
              <w:right w:val="single" w:sz="4" w:space="0" w:color="auto"/>
            </w:tcBorders>
            <w:shd w:val="clear" w:color="auto" w:fill="auto"/>
            <w:noWrap/>
            <w:vAlign w:val="bottom"/>
            <w:hideMark/>
          </w:tcPr>
          <w:p w14:paraId="0CD641F4"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06" w:type="pct"/>
            <w:tcBorders>
              <w:top w:val="nil"/>
              <w:left w:val="nil"/>
              <w:bottom w:val="single" w:sz="4" w:space="0" w:color="auto"/>
              <w:right w:val="single" w:sz="4" w:space="0" w:color="auto"/>
            </w:tcBorders>
            <w:shd w:val="clear" w:color="auto" w:fill="auto"/>
            <w:noWrap/>
            <w:vAlign w:val="bottom"/>
            <w:hideMark/>
          </w:tcPr>
          <w:p w14:paraId="12ACD5E1"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06" w:type="pct"/>
            <w:tcBorders>
              <w:top w:val="nil"/>
              <w:left w:val="nil"/>
              <w:bottom w:val="single" w:sz="4" w:space="0" w:color="auto"/>
              <w:right w:val="single" w:sz="4" w:space="0" w:color="auto"/>
            </w:tcBorders>
            <w:shd w:val="clear" w:color="auto" w:fill="auto"/>
            <w:noWrap/>
            <w:vAlign w:val="bottom"/>
            <w:hideMark/>
          </w:tcPr>
          <w:p w14:paraId="0B95E0F9"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882" w:type="pct"/>
            <w:tcBorders>
              <w:top w:val="nil"/>
              <w:left w:val="nil"/>
              <w:bottom w:val="single" w:sz="4" w:space="0" w:color="auto"/>
              <w:right w:val="single" w:sz="4" w:space="0" w:color="auto"/>
            </w:tcBorders>
            <w:shd w:val="clear" w:color="auto" w:fill="auto"/>
            <w:noWrap/>
            <w:vAlign w:val="bottom"/>
            <w:hideMark/>
          </w:tcPr>
          <w:p w14:paraId="0FE467D5" w14:textId="77777777" w:rsidR="00A359FE" w:rsidRPr="009A5289" w:rsidRDefault="00A359FE" w:rsidP="00A359FE">
            <w:pPr>
              <w:spacing w:after="0"/>
              <w:jc w:val="right"/>
              <w:rPr>
                <w:rFonts w:ascii="Times New Roman" w:hAnsi="Times New Roman"/>
                <w:bCs/>
                <w:color w:val="000000"/>
                <w:lang w:eastAsia="es-DO"/>
              </w:rPr>
            </w:pPr>
            <w:r w:rsidRPr="009A5289">
              <w:rPr>
                <w:rFonts w:ascii="Times New Roman" w:hAnsi="Times New Roman"/>
                <w:bCs/>
                <w:color w:val="000000"/>
                <w:lang w:eastAsia="es-DO"/>
              </w:rPr>
              <w:t>238,512.00</w:t>
            </w:r>
          </w:p>
        </w:tc>
        <w:tc>
          <w:tcPr>
            <w:tcW w:w="814" w:type="pct"/>
            <w:tcBorders>
              <w:top w:val="nil"/>
              <w:left w:val="nil"/>
              <w:bottom w:val="single" w:sz="4" w:space="0" w:color="auto"/>
              <w:right w:val="single" w:sz="4" w:space="0" w:color="auto"/>
            </w:tcBorders>
            <w:shd w:val="clear" w:color="auto" w:fill="auto"/>
            <w:noWrap/>
            <w:vAlign w:val="bottom"/>
            <w:hideMark/>
          </w:tcPr>
          <w:p w14:paraId="487012C5" w14:textId="77777777" w:rsidR="00A359FE" w:rsidRPr="009A5289" w:rsidRDefault="00A359FE" w:rsidP="00A359FE">
            <w:pPr>
              <w:spacing w:after="0"/>
              <w:jc w:val="center"/>
              <w:rPr>
                <w:rFonts w:ascii="Times New Roman" w:hAnsi="Times New Roman"/>
                <w:bCs/>
                <w:color w:val="000000"/>
                <w:lang w:eastAsia="es-DO"/>
              </w:rPr>
            </w:pPr>
            <w:r w:rsidRPr="009A5289">
              <w:rPr>
                <w:rFonts w:ascii="Times New Roman" w:hAnsi="Times New Roman"/>
                <w:bCs/>
                <w:color w:val="000000"/>
                <w:lang w:eastAsia="es-DO"/>
              </w:rPr>
              <w:t>6</w:t>
            </w:r>
          </w:p>
        </w:tc>
      </w:tr>
      <w:tr w:rsidR="00A359FE" w:rsidRPr="009A5289" w14:paraId="0BD89665" w14:textId="77777777" w:rsidTr="0028192D">
        <w:trPr>
          <w:trHeight w:val="300"/>
        </w:trPr>
        <w:tc>
          <w:tcPr>
            <w:tcW w:w="688" w:type="pct"/>
            <w:tcBorders>
              <w:top w:val="nil"/>
              <w:left w:val="single" w:sz="4" w:space="0" w:color="auto"/>
              <w:bottom w:val="single" w:sz="4" w:space="0" w:color="auto"/>
              <w:right w:val="single" w:sz="4" w:space="0" w:color="auto"/>
            </w:tcBorders>
            <w:shd w:val="clear" w:color="auto" w:fill="auto"/>
            <w:noWrap/>
            <w:vAlign w:val="bottom"/>
            <w:hideMark/>
          </w:tcPr>
          <w:p w14:paraId="513331D0"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Marzo</w:t>
            </w:r>
          </w:p>
        </w:tc>
        <w:tc>
          <w:tcPr>
            <w:tcW w:w="680" w:type="pct"/>
            <w:tcBorders>
              <w:top w:val="nil"/>
              <w:left w:val="nil"/>
              <w:bottom w:val="single" w:sz="4" w:space="0" w:color="auto"/>
              <w:right w:val="single" w:sz="4" w:space="0" w:color="auto"/>
            </w:tcBorders>
            <w:shd w:val="clear" w:color="auto" w:fill="auto"/>
            <w:noWrap/>
            <w:vAlign w:val="bottom"/>
            <w:hideMark/>
          </w:tcPr>
          <w:p w14:paraId="340ACD02" w14:textId="77777777" w:rsidR="00A359FE" w:rsidRPr="009A5289" w:rsidRDefault="00A359FE" w:rsidP="00A359FE">
            <w:pPr>
              <w:spacing w:after="0"/>
              <w:jc w:val="right"/>
              <w:rPr>
                <w:rFonts w:ascii="Times New Roman" w:hAnsi="Times New Roman"/>
                <w:color w:val="000000"/>
                <w:lang w:eastAsia="es-DO"/>
              </w:rPr>
            </w:pPr>
            <w:r w:rsidRPr="009A5289">
              <w:rPr>
                <w:rFonts w:ascii="Times New Roman" w:hAnsi="Times New Roman"/>
                <w:color w:val="000000"/>
                <w:lang w:eastAsia="es-DO"/>
              </w:rPr>
              <w:t>324,240.00</w:t>
            </w:r>
          </w:p>
        </w:tc>
        <w:tc>
          <w:tcPr>
            <w:tcW w:w="680" w:type="pct"/>
            <w:tcBorders>
              <w:top w:val="nil"/>
              <w:left w:val="nil"/>
              <w:bottom w:val="single" w:sz="4" w:space="0" w:color="auto"/>
              <w:right w:val="single" w:sz="4" w:space="0" w:color="auto"/>
            </w:tcBorders>
            <w:shd w:val="clear" w:color="auto" w:fill="auto"/>
            <w:noWrap/>
            <w:vAlign w:val="bottom"/>
            <w:hideMark/>
          </w:tcPr>
          <w:p w14:paraId="1D679467"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46" w:type="pct"/>
            <w:tcBorders>
              <w:top w:val="nil"/>
              <w:left w:val="nil"/>
              <w:bottom w:val="single" w:sz="4" w:space="0" w:color="auto"/>
              <w:right w:val="single" w:sz="4" w:space="0" w:color="auto"/>
            </w:tcBorders>
            <w:shd w:val="clear" w:color="auto" w:fill="auto"/>
            <w:noWrap/>
            <w:vAlign w:val="bottom"/>
            <w:hideMark/>
          </w:tcPr>
          <w:p w14:paraId="29B5029E"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06" w:type="pct"/>
            <w:tcBorders>
              <w:top w:val="nil"/>
              <w:left w:val="nil"/>
              <w:bottom w:val="single" w:sz="4" w:space="0" w:color="auto"/>
              <w:right w:val="single" w:sz="4" w:space="0" w:color="auto"/>
            </w:tcBorders>
            <w:shd w:val="clear" w:color="auto" w:fill="auto"/>
            <w:noWrap/>
            <w:vAlign w:val="bottom"/>
            <w:hideMark/>
          </w:tcPr>
          <w:p w14:paraId="20324104"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06" w:type="pct"/>
            <w:tcBorders>
              <w:top w:val="nil"/>
              <w:left w:val="nil"/>
              <w:bottom w:val="single" w:sz="4" w:space="0" w:color="auto"/>
              <w:right w:val="single" w:sz="4" w:space="0" w:color="auto"/>
            </w:tcBorders>
            <w:shd w:val="clear" w:color="auto" w:fill="auto"/>
            <w:noWrap/>
            <w:vAlign w:val="bottom"/>
            <w:hideMark/>
          </w:tcPr>
          <w:p w14:paraId="42F4F338"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882" w:type="pct"/>
            <w:tcBorders>
              <w:top w:val="nil"/>
              <w:left w:val="nil"/>
              <w:bottom w:val="single" w:sz="4" w:space="0" w:color="auto"/>
              <w:right w:val="single" w:sz="4" w:space="0" w:color="auto"/>
            </w:tcBorders>
            <w:shd w:val="clear" w:color="auto" w:fill="auto"/>
            <w:noWrap/>
            <w:vAlign w:val="bottom"/>
            <w:hideMark/>
          </w:tcPr>
          <w:p w14:paraId="4A239119" w14:textId="77777777" w:rsidR="00A359FE" w:rsidRPr="009A5289" w:rsidRDefault="00A359FE" w:rsidP="00A359FE">
            <w:pPr>
              <w:spacing w:after="0"/>
              <w:jc w:val="right"/>
              <w:rPr>
                <w:rFonts w:ascii="Times New Roman" w:hAnsi="Times New Roman"/>
                <w:bCs/>
                <w:color w:val="000000"/>
                <w:lang w:eastAsia="es-DO"/>
              </w:rPr>
            </w:pPr>
            <w:r w:rsidRPr="009A5289">
              <w:rPr>
                <w:rFonts w:ascii="Times New Roman" w:hAnsi="Times New Roman"/>
                <w:bCs/>
                <w:color w:val="000000"/>
                <w:lang w:eastAsia="es-DO"/>
              </w:rPr>
              <w:t>324,240.00</w:t>
            </w:r>
          </w:p>
        </w:tc>
        <w:tc>
          <w:tcPr>
            <w:tcW w:w="814" w:type="pct"/>
            <w:tcBorders>
              <w:top w:val="nil"/>
              <w:left w:val="nil"/>
              <w:bottom w:val="single" w:sz="4" w:space="0" w:color="auto"/>
              <w:right w:val="single" w:sz="4" w:space="0" w:color="auto"/>
            </w:tcBorders>
            <w:shd w:val="clear" w:color="auto" w:fill="auto"/>
            <w:noWrap/>
            <w:vAlign w:val="bottom"/>
            <w:hideMark/>
          </w:tcPr>
          <w:p w14:paraId="5182392F" w14:textId="77777777" w:rsidR="00A359FE" w:rsidRPr="009A5289" w:rsidRDefault="00A359FE" w:rsidP="00A359FE">
            <w:pPr>
              <w:spacing w:after="0"/>
              <w:jc w:val="center"/>
              <w:rPr>
                <w:rFonts w:ascii="Times New Roman" w:hAnsi="Times New Roman"/>
                <w:bCs/>
                <w:color w:val="000000"/>
                <w:lang w:eastAsia="es-DO"/>
              </w:rPr>
            </w:pPr>
            <w:r w:rsidRPr="009A5289">
              <w:rPr>
                <w:rFonts w:ascii="Times New Roman" w:hAnsi="Times New Roman"/>
                <w:bCs/>
                <w:color w:val="000000"/>
                <w:lang w:eastAsia="es-DO"/>
              </w:rPr>
              <w:t>5</w:t>
            </w:r>
          </w:p>
        </w:tc>
      </w:tr>
      <w:tr w:rsidR="00A359FE" w:rsidRPr="009A5289" w14:paraId="17FC0FD7" w14:textId="77777777" w:rsidTr="0028192D">
        <w:trPr>
          <w:trHeight w:val="300"/>
        </w:trPr>
        <w:tc>
          <w:tcPr>
            <w:tcW w:w="688" w:type="pct"/>
            <w:tcBorders>
              <w:top w:val="nil"/>
              <w:left w:val="single" w:sz="4" w:space="0" w:color="auto"/>
              <w:bottom w:val="single" w:sz="4" w:space="0" w:color="auto"/>
              <w:right w:val="single" w:sz="4" w:space="0" w:color="auto"/>
            </w:tcBorders>
            <w:shd w:val="clear" w:color="auto" w:fill="auto"/>
            <w:noWrap/>
            <w:vAlign w:val="bottom"/>
            <w:hideMark/>
          </w:tcPr>
          <w:p w14:paraId="0F0E5DC3"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Abril</w:t>
            </w:r>
          </w:p>
        </w:tc>
        <w:tc>
          <w:tcPr>
            <w:tcW w:w="680" w:type="pct"/>
            <w:tcBorders>
              <w:top w:val="nil"/>
              <w:left w:val="nil"/>
              <w:bottom w:val="single" w:sz="4" w:space="0" w:color="auto"/>
              <w:right w:val="single" w:sz="4" w:space="0" w:color="auto"/>
            </w:tcBorders>
            <w:shd w:val="clear" w:color="auto" w:fill="auto"/>
            <w:noWrap/>
            <w:vAlign w:val="bottom"/>
            <w:hideMark/>
          </w:tcPr>
          <w:p w14:paraId="352FB6BD" w14:textId="77777777" w:rsidR="00A359FE" w:rsidRPr="009A5289" w:rsidRDefault="00A359FE" w:rsidP="00A359FE">
            <w:pPr>
              <w:spacing w:after="0"/>
              <w:jc w:val="right"/>
              <w:rPr>
                <w:rFonts w:ascii="Times New Roman" w:hAnsi="Times New Roman"/>
                <w:color w:val="000000"/>
                <w:lang w:eastAsia="es-DO"/>
              </w:rPr>
            </w:pPr>
            <w:r w:rsidRPr="009A5289">
              <w:rPr>
                <w:rFonts w:ascii="Times New Roman" w:hAnsi="Times New Roman"/>
                <w:color w:val="000000"/>
                <w:lang w:eastAsia="es-DO"/>
              </w:rPr>
              <w:t>7,440.00</w:t>
            </w:r>
          </w:p>
        </w:tc>
        <w:tc>
          <w:tcPr>
            <w:tcW w:w="680" w:type="pct"/>
            <w:tcBorders>
              <w:top w:val="nil"/>
              <w:left w:val="nil"/>
              <w:bottom w:val="single" w:sz="4" w:space="0" w:color="auto"/>
              <w:right w:val="single" w:sz="4" w:space="0" w:color="auto"/>
            </w:tcBorders>
            <w:shd w:val="clear" w:color="auto" w:fill="auto"/>
            <w:noWrap/>
            <w:vAlign w:val="bottom"/>
            <w:hideMark/>
          </w:tcPr>
          <w:p w14:paraId="028253A5"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46" w:type="pct"/>
            <w:tcBorders>
              <w:top w:val="nil"/>
              <w:left w:val="nil"/>
              <w:bottom w:val="single" w:sz="4" w:space="0" w:color="auto"/>
              <w:right w:val="single" w:sz="4" w:space="0" w:color="auto"/>
            </w:tcBorders>
            <w:shd w:val="clear" w:color="auto" w:fill="auto"/>
            <w:noWrap/>
            <w:vAlign w:val="bottom"/>
            <w:hideMark/>
          </w:tcPr>
          <w:p w14:paraId="5CCF9265"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06" w:type="pct"/>
            <w:tcBorders>
              <w:top w:val="nil"/>
              <w:left w:val="nil"/>
              <w:bottom w:val="single" w:sz="4" w:space="0" w:color="auto"/>
              <w:right w:val="single" w:sz="4" w:space="0" w:color="auto"/>
            </w:tcBorders>
            <w:shd w:val="clear" w:color="auto" w:fill="auto"/>
            <w:noWrap/>
            <w:vAlign w:val="bottom"/>
            <w:hideMark/>
          </w:tcPr>
          <w:p w14:paraId="2230020A"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06" w:type="pct"/>
            <w:tcBorders>
              <w:top w:val="nil"/>
              <w:left w:val="nil"/>
              <w:bottom w:val="single" w:sz="4" w:space="0" w:color="auto"/>
              <w:right w:val="single" w:sz="4" w:space="0" w:color="auto"/>
            </w:tcBorders>
            <w:shd w:val="clear" w:color="auto" w:fill="auto"/>
            <w:noWrap/>
            <w:vAlign w:val="bottom"/>
            <w:hideMark/>
          </w:tcPr>
          <w:p w14:paraId="26CAFFD8"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882" w:type="pct"/>
            <w:tcBorders>
              <w:top w:val="nil"/>
              <w:left w:val="nil"/>
              <w:bottom w:val="single" w:sz="4" w:space="0" w:color="auto"/>
              <w:right w:val="single" w:sz="4" w:space="0" w:color="auto"/>
            </w:tcBorders>
            <w:shd w:val="clear" w:color="auto" w:fill="auto"/>
            <w:noWrap/>
            <w:vAlign w:val="bottom"/>
            <w:hideMark/>
          </w:tcPr>
          <w:p w14:paraId="54C5BC83" w14:textId="77777777" w:rsidR="00A359FE" w:rsidRPr="009A5289" w:rsidRDefault="00A359FE" w:rsidP="00A359FE">
            <w:pPr>
              <w:spacing w:after="0"/>
              <w:jc w:val="right"/>
              <w:rPr>
                <w:rFonts w:ascii="Times New Roman" w:hAnsi="Times New Roman"/>
                <w:bCs/>
                <w:color w:val="000000"/>
                <w:lang w:eastAsia="es-DO"/>
              </w:rPr>
            </w:pPr>
            <w:r w:rsidRPr="009A5289">
              <w:rPr>
                <w:rFonts w:ascii="Times New Roman" w:hAnsi="Times New Roman"/>
                <w:bCs/>
                <w:color w:val="000000"/>
                <w:lang w:eastAsia="es-DO"/>
              </w:rPr>
              <w:t>7,440.00</w:t>
            </w:r>
          </w:p>
        </w:tc>
        <w:tc>
          <w:tcPr>
            <w:tcW w:w="814" w:type="pct"/>
            <w:tcBorders>
              <w:top w:val="nil"/>
              <w:left w:val="nil"/>
              <w:bottom w:val="single" w:sz="4" w:space="0" w:color="auto"/>
              <w:right w:val="single" w:sz="4" w:space="0" w:color="auto"/>
            </w:tcBorders>
            <w:shd w:val="clear" w:color="auto" w:fill="auto"/>
            <w:noWrap/>
            <w:vAlign w:val="bottom"/>
            <w:hideMark/>
          </w:tcPr>
          <w:p w14:paraId="40DDCC86" w14:textId="77777777" w:rsidR="00A359FE" w:rsidRPr="009A5289" w:rsidRDefault="00A359FE" w:rsidP="00A359FE">
            <w:pPr>
              <w:spacing w:after="0"/>
              <w:jc w:val="center"/>
              <w:rPr>
                <w:rFonts w:ascii="Times New Roman" w:hAnsi="Times New Roman"/>
                <w:bCs/>
                <w:color w:val="000000"/>
                <w:lang w:eastAsia="es-DO"/>
              </w:rPr>
            </w:pPr>
            <w:r w:rsidRPr="009A5289">
              <w:rPr>
                <w:rFonts w:ascii="Times New Roman" w:hAnsi="Times New Roman"/>
                <w:bCs/>
                <w:color w:val="000000"/>
                <w:lang w:eastAsia="es-DO"/>
              </w:rPr>
              <w:t>2</w:t>
            </w:r>
          </w:p>
        </w:tc>
      </w:tr>
      <w:tr w:rsidR="00A359FE" w:rsidRPr="009A5289" w14:paraId="742775A5" w14:textId="77777777" w:rsidTr="0028192D">
        <w:trPr>
          <w:trHeight w:val="300"/>
        </w:trPr>
        <w:tc>
          <w:tcPr>
            <w:tcW w:w="688" w:type="pct"/>
            <w:tcBorders>
              <w:top w:val="nil"/>
              <w:left w:val="single" w:sz="4" w:space="0" w:color="auto"/>
              <w:bottom w:val="single" w:sz="4" w:space="0" w:color="auto"/>
              <w:right w:val="single" w:sz="4" w:space="0" w:color="auto"/>
            </w:tcBorders>
            <w:shd w:val="clear" w:color="auto" w:fill="auto"/>
            <w:noWrap/>
            <w:vAlign w:val="bottom"/>
            <w:hideMark/>
          </w:tcPr>
          <w:p w14:paraId="3BF878CF"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Mayo</w:t>
            </w:r>
          </w:p>
        </w:tc>
        <w:tc>
          <w:tcPr>
            <w:tcW w:w="680" w:type="pct"/>
            <w:tcBorders>
              <w:top w:val="nil"/>
              <w:left w:val="nil"/>
              <w:bottom w:val="single" w:sz="4" w:space="0" w:color="auto"/>
              <w:right w:val="single" w:sz="4" w:space="0" w:color="auto"/>
            </w:tcBorders>
            <w:shd w:val="clear" w:color="auto" w:fill="auto"/>
            <w:noWrap/>
            <w:vAlign w:val="bottom"/>
            <w:hideMark/>
          </w:tcPr>
          <w:p w14:paraId="463F5E89" w14:textId="77777777" w:rsidR="00A359FE" w:rsidRPr="009A5289" w:rsidRDefault="00A359FE" w:rsidP="00A359FE">
            <w:pPr>
              <w:spacing w:after="0"/>
              <w:jc w:val="right"/>
              <w:rPr>
                <w:rFonts w:ascii="Times New Roman" w:hAnsi="Times New Roman"/>
                <w:color w:val="000000"/>
                <w:lang w:eastAsia="es-DO"/>
              </w:rPr>
            </w:pPr>
            <w:r w:rsidRPr="009A5289">
              <w:rPr>
                <w:rFonts w:ascii="Times New Roman" w:hAnsi="Times New Roman"/>
                <w:color w:val="000000"/>
                <w:lang w:eastAsia="es-DO"/>
              </w:rPr>
              <w:t>170,700.00</w:t>
            </w:r>
          </w:p>
        </w:tc>
        <w:tc>
          <w:tcPr>
            <w:tcW w:w="680" w:type="pct"/>
            <w:tcBorders>
              <w:top w:val="nil"/>
              <w:left w:val="nil"/>
              <w:bottom w:val="single" w:sz="4" w:space="0" w:color="auto"/>
              <w:right w:val="single" w:sz="4" w:space="0" w:color="auto"/>
            </w:tcBorders>
            <w:shd w:val="clear" w:color="auto" w:fill="auto"/>
            <w:noWrap/>
            <w:vAlign w:val="bottom"/>
            <w:hideMark/>
          </w:tcPr>
          <w:p w14:paraId="081A9699"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46" w:type="pct"/>
            <w:tcBorders>
              <w:top w:val="nil"/>
              <w:left w:val="nil"/>
              <w:bottom w:val="single" w:sz="4" w:space="0" w:color="auto"/>
              <w:right w:val="single" w:sz="4" w:space="0" w:color="auto"/>
            </w:tcBorders>
            <w:shd w:val="clear" w:color="auto" w:fill="auto"/>
            <w:noWrap/>
            <w:vAlign w:val="bottom"/>
            <w:hideMark/>
          </w:tcPr>
          <w:p w14:paraId="7F10237A" w14:textId="6040A5B6" w:rsidR="00A359FE" w:rsidRPr="009A5289" w:rsidRDefault="00A359FE" w:rsidP="00A359FE">
            <w:pPr>
              <w:spacing w:after="0"/>
              <w:jc w:val="right"/>
              <w:rPr>
                <w:rFonts w:ascii="Times New Roman" w:hAnsi="Times New Roman"/>
                <w:color w:val="000000"/>
                <w:lang w:eastAsia="es-DO"/>
              </w:rPr>
            </w:pPr>
            <w:r w:rsidRPr="009A5289">
              <w:rPr>
                <w:rFonts w:ascii="Times New Roman" w:hAnsi="Times New Roman"/>
                <w:color w:val="000000"/>
                <w:lang w:eastAsia="es-DO"/>
              </w:rPr>
              <w:t>18,310</w:t>
            </w:r>
          </w:p>
        </w:tc>
        <w:tc>
          <w:tcPr>
            <w:tcW w:w="406" w:type="pct"/>
            <w:tcBorders>
              <w:top w:val="nil"/>
              <w:left w:val="nil"/>
              <w:bottom w:val="single" w:sz="4" w:space="0" w:color="auto"/>
              <w:right w:val="single" w:sz="4" w:space="0" w:color="auto"/>
            </w:tcBorders>
            <w:shd w:val="clear" w:color="auto" w:fill="auto"/>
            <w:noWrap/>
            <w:vAlign w:val="bottom"/>
            <w:hideMark/>
          </w:tcPr>
          <w:p w14:paraId="292DEC7E"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06" w:type="pct"/>
            <w:tcBorders>
              <w:top w:val="nil"/>
              <w:left w:val="nil"/>
              <w:bottom w:val="single" w:sz="4" w:space="0" w:color="auto"/>
              <w:right w:val="single" w:sz="4" w:space="0" w:color="auto"/>
            </w:tcBorders>
            <w:shd w:val="clear" w:color="auto" w:fill="auto"/>
            <w:noWrap/>
            <w:vAlign w:val="bottom"/>
            <w:hideMark/>
          </w:tcPr>
          <w:p w14:paraId="61D66A46"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882" w:type="pct"/>
            <w:tcBorders>
              <w:top w:val="nil"/>
              <w:left w:val="nil"/>
              <w:bottom w:val="single" w:sz="4" w:space="0" w:color="auto"/>
              <w:right w:val="single" w:sz="4" w:space="0" w:color="auto"/>
            </w:tcBorders>
            <w:shd w:val="clear" w:color="auto" w:fill="auto"/>
            <w:noWrap/>
            <w:vAlign w:val="bottom"/>
            <w:hideMark/>
          </w:tcPr>
          <w:p w14:paraId="79B7EAB9" w14:textId="77777777" w:rsidR="00A359FE" w:rsidRPr="009A5289" w:rsidRDefault="00A359FE" w:rsidP="00A359FE">
            <w:pPr>
              <w:spacing w:after="0"/>
              <w:jc w:val="right"/>
              <w:rPr>
                <w:rFonts w:ascii="Times New Roman" w:hAnsi="Times New Roman"/>
                <w:bCs/>
                <w:color w:val="000000"/>
                <w:lang w:eastAsia="es-DO"/>
              </w:rPr>
            </w:pPr>
            <w:r w:rsidRPr="009A5289">
              <w:rPr>
                <w:rFonts w:ascii="Times New Roman" w:hAnsi="Times New Roman"/>
                <w:bCs/>
                <w:color w:val="000000"/>
                <w:lang w:eastAsia="es-DO"/>
              </w:rPr>
              <w:t>189,010.00</w:t>
            </w:r>
          </w:p>
        </w:tc>
        <w:tc>
          <w:tcPr>
            <w:tcW w:w="814" w:type="pct"/>
            <w:tcBorders>
              <w:top w:val="nil"/>
              <w:left w:val="nil"/>
              <w:bottom w:val="single" w:sz="4" w:space="0" w:color="auto"/>
              <w:right w:val="single" w:sz="4" w:space="0" w:color="auto"/>
            </w:tcBorders>
            <w:shd w:val="clear" w:color="auto" w:fill="auto"/>
            <w:noWrap/>
            <w:vAlign w:val="bottom"/>
            <w:hideMark/>
          </w:tcPr>
          <w:p w14:paraId="1FB4BF9C" w14:textId="77777777" w:rsidR="00A359FE" w:rsidRPr="009A5289" w:rsidRDefault="00A359FE" w:rsidP="00A359FE">
            <w:pPr>
              <w:spacing w:after="0"/>
              <w:jc w:val="center"/>
              <w:rPr>
                <w:rFonts w:ascii="Times New Roman" w:hAnsi="Times New Roman"/>
                <w:bCs/>
                <w:color w:val="000000"/>
                <w:lang w:eastAsia="es-DO"/>
              </w:rPr>
            </w:pPr>
            <w:r w:rsidRPr="009A5289">
              <w:rPr>
                <w:rFonts w:ascii="Times New Roman" w:hAnsi="Times New Roman"/>
                <w:bCs/>
                <w:color w:val="000000"/>
                <w:lang w:eastAsia="es-DO"/>
              </w:rPr>
              <w:t>6</w:t>
            </w:r>
          </w:p>
        </w:tc>
      </w:tr>
      <w:tr w:rsidR="00A359FE" w:rsidRPr="009A5289" w14:paraId="0E3772A6" w14:textId="77777777" w:rsidTr="0028192D">
        <w:trPr>
          <w:trHeight w:val="300"/>
        </w:trPr>
        <w:tc>
          <w:tcPr>
            <w:tcW w:w="688" w:type="pct"/>
            <w:tcBorders>
              <w:top w:val="nil"/>
              <w:left w:val="single" w:sz="4" w:space="0" w:color="auto"/>
              <w:bottom w:val="single" w:sz="4" w:space="0" w:color="auto"/>
              <w:right w:val="single" w:sz="4" w:space="0" w:color="auto"/>
            </w:tcBorders>
            <w:shd w:val="clear" w:color="auto" w:fill="auto"/>
            <w:noWrap/>
            <w:vAlign w:val="bottom"/>
            <w:hideMark/>
          </w:tcPr>
          <w:p w14:paraId="28D94111"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Junio</w:t>
            </w:r>
          </w:p>
        </w:tc>
        <w:tc>
          <w:tcPr>
            <w:tcW w:w="680" w:type="pct"/>
            <w:tcBorders>
              <w:top w:val="nil"/>
              <w:left w:val="nil"/>
              <w:bottom w:val="single" w:sz="4" w:space="0" w:color="auto"/>
              <w:right w:val="single" w:sz="4" w:space="0" w:color="auto"/>
            </w:tcBorders>
            <w:shd w:val="clear" w:color="auto" w:fill="auto"/>
            <w:noWrap/>
            <w:vAlign w:val="bottom"/>
            <w:hideMark/>
          </w:tcPr>
          <w:p w14:paraId="31A1E20C" w14:textId="77777777" w:rsidR="00A359FE" w:rsidRPr="009A5289" w:rsidRDefault="00A359FE" w:rsidP="00A359FE">
            <w:pPr>
              <w:spacing w:after="0"/>
              <w:jc w:val="right"/>
              <w:rPr>
                <w:rFonts w:ascii="Times New Roman" w:hAnsi="Times New Roman"/>
                <w:color w:val="000000"/>
                <w:lang w:eastAsia="es-DO"/>
              </w:rPr>
            </w:pPr>
            <w:r w:rsidRPr="009A5289">
              <w:rPr>
                <w:rFonts w:ascii="Times New Roman" w:hAnsi="Times New Roman"/>
                <w:color w:val="000000"/>
                <w:lang w:eastAsia="es-DO"/>
              </w:rPr>
              <w:t>132,660.00</w:t>
            </w:r>
          </w:p>
        </w:tc>
        <w:tc>
          <w:tcPr>
            <w:tcW w:w="680" w:type="pct"/>
            <w:tcBorders>
              <w:top w:val="nil"/>
              <w:left w:val="nil"/>
              <w:bottom w:val="single" w:sz="4" w:space="0" w:color="auto"/>
              <w:right w:val="single" w:sz="4" w:space="0" w:color="auto"/>
            </w:tcBorders>
            <w:shd w:val="clear" w:color="auto" w:fill="auto"/>
            <w:noWrap/>
            <w:vAlign w:val="bottom"/>
            <w:hideMark/>
          </w:tcPr>
          <w:p w14:paraId="2A69BB08"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46" w:type="pct"/>
            <w:tcBorders>
              <w:top w:val="nil"/>
              <w:left w:val="nil"/>
              <w:bottom w:val="single" w:sz="4" w:space="0" w:color="auto"/>
              <w:right w:val="single" w:sz="4" w:space="0" w:color="auto"/>
            </w:tcBorders>
            <w:shd w:val="clear" w:color="auto" w:fill="auto"/>
            <w:noWrap/>
            <w:vAlign w:val="bottom"/>
            <w:hideMark/>
          </w:tcPr>
          <w:p w14:paraId="3538DF20" w14:textId="2B222E8E" w:rsidR="00A359FE" w:rsidRPr="009A5289" w:rsidRDefault="00A359FE" w:rsidP="00A359FE">
            <w:pPr>
              <w:spacing w:after="0"/>
              <w:jc w:val="right"/>
              <w:rPr>
                <w:rFonts w:ascii="Times New Roman" w:hAnsi="Times New Roman"/>
                <w:color w:val="000000"/>
                <w:lang w:eastAsia="es-DO"/>
              </w:rPr>
            </w:pPr>
            <w:r w:rsidRPr="009A5289">
              <w:rPr>
                <w:rFonts w:ascii="Times New Roman" w:hAnsi="Times New Roman"/>
                <w:color w:val="000000"/>
                <w:lang w:eastAsia="es-DO"/>
              </w:rPr>
              <w:t>6,250</w:t>
            </w:r>
          </w:p>
        </w:tc>
        <w:tc>
          <w:tcPr>
            <w:tcW w:w="406" w:type="pct"/>
            <w:tcBorders>
              <w:top w:val="nil"/>
              <w:left w:val="nil"/>
              <w:bottom w:val="single" w:sz="4" w:space="0" w:color="auto"/>
              <w:right w:val="single" w:sz="4" w:space="0" w:color="auto"/>
            </w:tcBorders>
            <w:shd w:val="clear" w:color="auto" w:fill="auto"/>
            <w:noWrap/>
            <w:vAlign w:val="bottom"/>
            <w:hideMark/>
          </w:tcPr>
          <w:p w14:paraId="61D49176"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06" w:type="pct"/>
            <w:tcBorders>
              <w:top w:val="nil"/>
              <w:left w:val="nil"/>
              <w:bottom w:val="single" w:sz="4" w:space="0" w:color="auto"/>
              <w:right w:val="single" w:sz="4" w:space="0" w:color="auto"/>
            </w:tcBorders>
            <w:shd w:val="clear" w:color="auto" w:fill="auto"/>
            <w:noWrap/>
            <w:vAlign w:val="bottom"/>
            <w:hideMark/>
          </w:tcPr>
          <w:p w14:paraId="32DD369B"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882" w:type="pct"/>
            <w:tcBorders>
              <w:top w:val="nil"/>
              <w:left w:val="nil"/>
              <w:bottom w:val="single" w:sz="4" w:space="0" w:color="auto"/>
              <w:right w:val="single" w:sz="4" w:space="0" w:color="auto"/>
            </w:tcBorders>
            <w:shd w:val="clear" w:color="auto" w:fill="auto"/>
            <w:noWrap/>
            <w:vAlign w:val="bottom"/>
            <w:hideMark/>
          </w:tcPr>
          <w:p w14:paraId="6B84B0DF" w14:textId="77777777" w:rsidR="00A359FE" w:rsidRPr="009A5289" w:rsidRDefault="00A359FE" w:rsidP="00A359FE">
            <w:pPr>
              <w:spacing w:after="0"/>
              <w:jc w:val="right"/>
              <w:rPr>
                <w:rFonts w:ascii="Times New Roman" w:hAnsi="Times New Roman"/>
                <w:bCs/>
                <w:color w:val="000000"/>
                <w:lang w:eastAsia="es-DO"/>
              </w:rPr>
            </w:pPr>
            <w:r w:rsidRPr="009A5289">
              <w:rPr>
                <w:rFonts w:ascii="Times New Roman" w:hAnsi="Times New Roman"/>
                <w:bCs/>
                <w:color w:val="000000"/>
                <w:lang w:eastAsia="es-DO"/>
              </w:rPr>
              <w:t>138,910.00</w:t>
            </w:r>
          </w:p>
        </w:tc>
        <w:tc>
          <w:tcPr>
            <w:tcW w:w="814" w:type="pct"/>
            <w:tcBorders>
              <w:top w:val="nil"/>
              <w:left w:val="nil"/>
              <w:bottom w:val="single" w:sz="4" w:space="0" w:color="auto"/>
              <w:right w:val="single" w:sz="4" w:space="0" w:color="auto"/>
            </w:tcBorders>
            <w:shd w:val="clear" w:color="auto" w:fill="auto"/>
            <w:noWrap/>
            <w:vAlign w:val="bottom"/>
            <w:hideMark/>
          </w:tcPr>
          <w:p w14:paraId="5C824FAC" w14:textId="77777777" w:rsidR="00A359FE" w:rsidRPr="009A5289" w:rsidRDefault="00A359FE" w:rsidP="00A359FE">
            <w:pPr>
              <w:spacing w:after="0"/>
              <w:jc w:val="center"/>
              <w:rPr>
                <w:rFonts w:ascii="Times New Roman" w:hAnsi="Times New Roman"/>
                <w:bCs/>
                <w:color w:val="000000"/>
                <w:lang w:eastAsia="es-DO"/>
              </w:rPr>
            </w:pPr>
            <w:r w:rsidRPr="009A5289">
              <w:rPr>
                <w:rFonts w:ascii="Times New Roman" w:hAnsi="Times New Roman"/>
                <w:bCs/>
                <w:color w:val="000000"/>
                <w:lang w:eastAsia="es-DO"/>
              </w:rPr>
              <w:t>6</w:t>
            </w:r>
          </w:p>
        </w:tc>
      </w:tr>
      <w:tr w:rsidR="00A359FE" w:rsidRPr="009A5289" w14:paraId="600258F6" w14:textId="77777777" w:rsidTr="0028192D">
        <w:trPr>
          <w:trHeight w:val="300"/>
        </w:trPr>
        <w:tc>
          <w:tcPr>
            <w:tcW w:w="688" w:type="pct"/>
            <w:tcBorders>
              <w:top w:val="nil"/>
              <w:left w:val="single" w:sz="4" w:space="0" w:color="auto"/>
              <w:bottom w:val="single" w:sz="4" w:space="0" w:color="auto"/>
              <w:right w:val="single" w:sz="4" w:space="0" w:color="auto"/>
            </w:tcBorders>
            <w:shd w:val="clear" w:color="auto" w:fill="auto"/>
            <w:noWrap/>
            <w:vAlign w:val="bottom"/>
            <w:hideMark/>
          </w:tcPr>
          <w:p w14:paraId="0035F2C5"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Julio</w:t>
            </w:r>
          </w:p>
        </w:tc>
        <w:tc>
          <w:tcPr>
            <w:tcW w:w="680" w:type="pct"/>
            <w:tcBorders>
              <w:top w:val="nil"/>
              <w:left w:val="nil"/>
              <w:bottom w:val="single" w:sz="4" w:space="0" w:color="auto"/>
              <w:right w:val="single" w:sz="4" w:space="0" w:color="auto"/>
            </w:tcBorders>
            <w:shd w:val="clear" w:color="auto" w:fill="auto"/>
            <w:noWrap/>
            <w:vAlign w:val="bottom"/>
            <w:hideMark/>
          </w:tcPr>
          <w:p w14:paraId="30AF2657" w14:textId="77777777" w:rsidR="00A359FE" w:rsidRPr="009A5289" w:rsidRDefault="00A359FE" w:rsidP="00A359FE">
            <w:pPr>
              <w:spacing w:after="0"/>
              <w:jc w:val="right"/>
              <w:rPr>
                <w:rFonts w:ascii="Times New Roman" w:hAnsi="Times New Roman"/>
                <w:color w:val="000000"/>
                <w:lang w:eastAsia="es-DO"/>
              </w:rPr>
            </w:pPr>
            <w:r w:rsidRPr="009A5289">
              <w:rPr>
                <w:rFonts w:ascii="Times New Roman" w:hAnsi="Times New Roman"/>
                <w:color w:val="000000"/>
                <w:lang w:eastAsia="es-DO"/>
              </w:rPr>
              <w:t>41,520.00</w:t>
            </w:r>
          </w:p>
        </w:tc>
        <w:tc>
          <w:tcPr>
            <w:tcW w:w="680" w:type="pct"/>
            <w:tcBorders>
              <w:top w:val="nil"/>
              <w:left w:val="nil"/>
              <w:bottom w:val="single" w:sz="4" w:space="0" w:color="auto"/>
              <w:right w:val="single" w:sz="4" w:space="0" w:color="auto"/>
            </w:tcBorders>
            <w:shd w:val="clear" w:color="auto" w:fill="auto"/>
            <w:noWrap/>
            <w:vAlign w:val="bottom"/>
            <w:hideMark/>
          </w:tcPr>
          <w:p w14:paraId="4A5EA8FB"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46" w:type="pct"/>
            <w:tcBorders>
              <w:top w:val="nil"/>
              <w:left w:val="nil"/>
              <w:bottom w:val="single" w:sz="4" w:space="0" w:color="auto"/>
              <w:right w:val="single" w:sz="4" w:space="0" w:color="auto"/>
            </w:tcBorders>
            <w:shd w:val="clear" w:color="auto" w:fill="auto"/>
            <w:noWrap/>
            <w:vAlign w:val="bottom"/>
            <w:hideMark/>
          </w:tcPr>
          <w:p w14:paraId="2C857116" w14:textId="5960C597" w:rsidR="00A359FE" w:rsidRPr="009A5289" w:rsidRDefault="00A359FE" w:rsidP="00A359FE">
            <w:pPr>
              <w:spacing w:after="0"/>
              <w:jc w:val="right"/>
              <w:rPr>
                <w:rFonts w:ascii="Times New Roman" w:hAnsi="Times New Roman"/>
                <w:color w:val="000000"/>
                <w:lang w:eastAsia="es-DO"/>
              </w:rPr>
            </w:pPr>
            <w:r w:rsidRPr="009A5289">
              <w:rPr>
                <w:rFonts w:ascii="Times New Roman" w:hAnsi="Times New Roman"/>
                <w:color w:val="000000"/>
                <w:lang w:eastAsia="es-DO"/>
              </w:rPr>
              <w:t>1,700</w:t>
            </w:r>
          </w:p>
        </w:tc>
        <w:tc>
          <w:tcPr>
            <w:tcW w:w="406" w:type="pct"/>
            <w:tcBorders>
              <w:top w:val="nil"/>
              <w:left w:val="nil"/>
              <w:bottom w:val="single" w:sz="4" w:space="0" w:color="auto"/>
              <w:right w:val="single" w:sz="4" w:space="0" w:color="auto"/>
            </w:tcBorders>
            <w:shd w:val="clear" w:color="auto" w:fill="auto"/>
            <w:noWrap/>
            <w:vAlign w:val="bottom"/>
            <w:hideMark/>
          </w:tcPr>
          <w:p w14:paraId="165032E9" w14:textId="7089210C" w:rsidR="00A359FE" w:rsidRPr="009A5289" w:rsidRDefault="00A359FE" w:rsidP="00A359FE">
            <w:pPr>
              <w:spacing w:after="0"/>
              <w:jc w:val="right"/>
              <w:rPr>
                <w:rFonts w:ascii="Times New Roman" w:hAnsi="Times New Roman"/>
                <w:color w:val="000000"/>
                <w:lang w:eastAsia="es-DO"/>
              </w:rPr>
            </w:pPr>
            <w:r w:rsidRPr="009A5289">
              <w:rPr>
                <w:rFonts w:ascii="Times New Roman" w:hAnsi="Times New Roman"/>
                <w:color w:val="000000"/>
                <w:lang w:eastAsia="es-DO"/>
              </w:rPr>
              <w:t>8,400</w:t>
            </w:r>
          </w:p>
        </w:tc>
        <w:tc>
          <w:tcPr>
            <w:tcW w:w="406" w:type="pct"/>
            <w:tcBorders>
              <w:top w:val="nil"/>
              <w:left w:val="nil"/>
              <w:bottom w:val="single" w:sz="4" w:space="0" w:color="auto"/>
              <w:right w:val="single" w:sz="4" w:space="0" w:color="auto"/>
            </w:tcBorders>
            <w:shd w:val="clear" w:color="auto" w:fill="auto"/>
            <w:noWrap/>
            <w:vAlign w:val="bottom"/>
            <w:hideMark/>
          </w:tcPr>
          <w:p w14:paraId="1DBDC6ED"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882" w:type="pct"/>
            <w:tcBorders>
              <w:top w:val="nil"/>
              <w:left w:val="nil"/>
              <w:bottom w:val="single" w:sz="4" w:space="0" w:color="auto"/>
              <w:right w:val="single" w:sz="4" w:space="0" w:color="auto"/>
            </w:tcBorders>
            <w:shd w:val="clear" w:color="auto" w:fill="auto"/>
            <w:noWrap/>
            <w:vAlign w:val="bottom"/>
            <w:hideMark/>
          </w:tcPr>
          <w:p w14:paraId="14852101" w14:textId="77777777" w:rsidR="00A359FE" w:rsidRPr="009A5289" w:rsidRDefault="00A359FE" w:rsidP="00A359FE">
            <w:pPr>
              <w:spacing w:after="0"/>
              <w:jc w:val="right"/>
              <w:rPr>
                <w:rFonts w:ascii="Times New Roman" w:hAnsi="Times New Roman"/>
                <w:bCs/>
                <w:color w:val="000000"/>
                <w:lang w:eastAsia="es-DO"/>
              </w:rPr>
            </w:pPr>
            <w:r w:rsidRPr="009A5289">
              <w:rPr>
                <w:rFonts w:ascii="Times New Roman" w:hAnsi="Times New Roman"/>
                <w:bCs/>
                <w:color w:val="000000"/>
                <w:lang w:eastAsia="es-DO"/>
              </w:rPr>
              <w:t>51,620.00</w:t>
            </w:r>
          </w:p>
        </w:tc>
        <w:tc>
          <w:tcPr>
            <w:tcW w:w="814" w:type="pct"/>
            <w:tcBorders>
              <w:top w:val="nil"/>
              <w:left w:val="nil"/>
              <w:bottom w:val="single" w:sz="4" w:space="0" w:color="auto"/>
              <w:right w:val="single" w:sz="4" w:space="0" w:color="auto"/>
            </w:tcBorders>
            <w:shd w:val="clear" w:color="auto" w:fill="auto"/>
            <w:noWrap/>
            <w:vAlign w:val="bottom"/>
            <w:hideMark/>
          </w:tcPr>
          <w:p w14:paraId="524FF1F6" w14:textId="77777777" w:rsidR="00A359FE" w:rsidRPr="009A5289" w:rsidRDefault="00A359FE" w:rsidP="00A359FE">
            <w:pPr>
              <w:spacing w:after="0"/>
              <w:jc w:val="center"/>
              <w:rPr>
                <w:rFonts w:ascii="Times New Roman" w:hAnsi="Times New Roman"/>
                <w:bCs/>
                <w:color w:val="000000"/>
                <w:lang w:eastAsia="es-DO"/>
              </w:rPr>
            </w:pPr>
            <w:r w:rsidRPr="009A5289">
              <w:rPr>
                <w:rFonts w:ascii="Times New Roman" w:hAnsi="Times New Roman"/>
                <w:bCs/>
                <w:color w:val="000000"/>
                <w:lang w:eastAsia="es-DO"/>
              </w:rPr>
              <w:t>5</w:t>
            </w:r>
          </w:p>
        </w:tc>
      </w:tr>
      <w:tr w:rsidR="00A359FE" w:rsidRPr="009A5289" w14:paraId="17945A3F" w14:textId="77777777" w:rsidTr="0028192D">
        <w:trPr>
          <w:trHeight w:val="300"/>
        </w:trPr>
        <w:tc>
          <w:tcPr>
            <w:tcW w:w="688" w:type="pct"/>
            <w:tcBorders>
              <w:top w:val="nil"/>
              <w:left w:val="single" w:sz="4" w:space="0" w:color="auto"/>
              <w:bottom w:val="single" w:sz="4" w:space="0" w:color="auto"/>
              <w:right w:val="single" w:sz="4" w:space="0" w:color="auto"/>
            </w:tcBorders>
            <w:shd w:val="clear" w:color="auto" w:fill="auto"/>
            <w:noWrap/>
            <w:vAlign w:val="bottom"/>
            <w:hideMark/>
          </w:tcPr>
          <w:p w14:paraId="551BB31A"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Agosto</w:t>
            </w:r>
          </w:p>
        </w:tc>
        <w:tc>
          <w:tcPr>
            <w:tcW w:w="680" w:type="pct"/>
            <w:tcBorders>
              <w:top w:val="nil"/>
              <w:left w:val="nil"/>
              <w:bottom w:val="single" w:sz="4" w:space="0" w:color="auto"/>
              <w:right w:val="single" w:sz="4" w:space="0" w:color="auto"/>
            </w:tcBorders>
            <w:shd w:val="clear" w:color="auto" w:fill="auto"/>
            <w:noWrap/>
            <w:vAlign w:val="bottom"/>
            <w:hideMark/>
          </w:tcPr>
          <w:p w14:paraId="22B2CF34" w14:textId="77777777" w:rsidR="00A359FE" w:rsidRPr="009A5289" w:rsidRDefault="00A359FE" w:rsidP="00A359FE">
            <w:pPr>
              <w:spacing w:after="0"/>
              <w:jc w:val="right"/>
              <w:rPr>
                <w:rFonts w:ascii="Times New Roman" w:hAnsi="Times New Roman"/>
                <w:color w:val="000000"/>
                <w:lang w:eastAsia="es-DO"/>
              </w:rPr>
            </w:pPr>
            <w:r w:rsidRPr="009A5289">
              <w:rPr>
                <w:rFonts w:ascii="Times New Roman" w:hAnsi="Times New Roman"/>
                <w:color w:val="000000"/>
                <w:lang w:eastAsia="es-DO"/>
              </w:rPr>
              <w:t>24,480.00</w:t>
            </w:r>
          </w:p>
        </w:tc>
        <w:tc>
          <w:tcPr>
            <w:tcW w:w="680" w:type="pct"/>
            <w:tcBorders>
              <w:top w:val="nil"/>
              <w:left w:val="nil"/>
              <w:bottom w:val="single" w:sz="4" w:space="0" w:color="auto"/>
              <w:right w:val="single" w:sz="4" w:space="0" w:color="auto"/>
            </w:tcBorders>
            <w:shd w:val="clear" w:color="auto" w:fill="auto"/>
            <w:noWrap/>
            <w:vAlign w:val="bottom"/>
            <w:hideMark/>
          </w:tcPr>
          <w:p w14:paraId="40C3C0CD" w14:textId="77777777" w:rsidR="00A359FE" w:rsidRPr="009A5289" w:rsidRDefault="00A359FE" w:rsidP="00A359FE">
            <w:pPr>
              <w:spacing w:after="0"/>
              <w:jc w:val="right"/>
              <w:rPr>
                <w:rFonts w:ascii="Times New Roman" w:hAnsi="Times New Roman"/>
                <w:color w:val="000000"/>
                <w:lang w:eastAsia="es-DO"/>
              </w:rPr>
            </w:pPr>
            <w:r w:rsidRPr="009A5289">
              <w:rPr>
                <w:rFonts w:ascii="Times New Roman" w:hAnsi="Times New Roman"/>
                <w:color w:val="000000"/>
                <w:lang w:eastAsia="es-DO"/>
              </w:rPr>
              <w:t>155,600.00</w:t>
            </w:r>
          </w:p>
        </w:tc>
        <w:tc>
          <w:tcPr>
            <w:tcW w:w="446" w:type="pct"/>
            <w:tcBorders>
              <w:top w:val="nil"/>
              <w:left w:val="nil"/>
              <w:bottom w:val="single" w:sz="4" w:space="0" w:color="auto"/>
              <w:right w:val="single" w:sz="4" w:space="0" w:color="auto"/>
            </w:tcBorders>
            <w:shd w:val="clear" w:color="auto" w:fill="auto"/>
            <w:noWrap/>
            <w:vAlign w:val="bottom"/>
            <w:hideMark/>
          </w:tcPr>
          <w:p w14:paraId="30C85A2E"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06" w:type="pct"/>
            <w:tcBorders>
              <w:top w:val="nil"/>
              <w:left w:val="nil"/>
              <w:bottom w:val="single" w:sz="4" w:space="0" w:color="auto"/>
              <w:right w:val="single" w:sz="4" w:space="0" w:color="auto"/>
            </w:tcBorders>
            <w:shd w:val="clear" w:color="auto" w:fill="auto"/>
            <w:noWrap/>
            <w:vAlign w:val="bottom"/>
            <w:hideMark/>
          </w:tcPr>
          <w:p w14:paraId="11386B29"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06" w:type="pct"/>
            <w:tcBorders>
              <w:top w:val="nil"/>
              <w:left w:val="nil"/>
              <w:bottom w:val="single" w:sz="4" w:space="0" w:color="auto"/>
              <w:right w:val="single" w:sz="4" w:space="0" w:color="auto"/>
            </w:tcBorders>
            <w:shd w:val="clear" w:color="auto" w:fill="auto"/>
            <w:noWrap/>
            <w:vAlign w:val="bottom"/>
            <w:hideMark/>
          </w:tcPr>
          <w:p w14:paraId="3C73AC35"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882" w:type="pct"/>
            <w:tcBorders>
              <w:top w:val="nil"/>
              <w:left w:val="nil"/>
              <w:bottom w:val="single" w:sz="4" w:space="0" w:color="auto"/>
              <w:right w:val="single" w:sz="4" w:space="0" w:color="auto"/>
            </w:tcBorders>
            <w:shd w:val="clear" w:color="auto" w:fill="auto"/>
            <w:noWrap/>
            <w:vAlign w:val="bottom"/>
            <w:hideMark/>
          </w:tcPr>
          <w:p w14:paraId="3CA23C74" w14:textId="77777777" w:rsidR="00A359FE" w:rsidRPr="009A5289" w:rsidRDefault="00A359FE" w:rsidP="00A359FE">
            <w:pPr>
              <w:spacing w:after="0"/>
              <w:jc w:val="right"/>
              <w:rPr>
                <w:rFonts w:ascii="Times New Roman" w:hAnsi="Times New Roman"/>
                <w:bCs/>
                <w:color w:val="000000"/>
                <w:lang w:eastAsia="es-DO"/>
              </w:rPr>
            </w:pPr>
            <w:r w:rsidRPr="009A5289">
              <w:rPr>
                <w:rFonts w:ascii="Times New Roman" w:hAnsi="Times New Roman"/>
                <w:bCs/>
                <w:color w:val="000000"/>
                <w:lang w:eastAsia="es-DO"/>
              </w:rPr>
              <w:t>180,080.00</w:t>
            </w:r>
          </w:p>
        </w:tc>
        <w:tc>
          <w:tcPr>
            <w:tcW w:w="814" w:type="pct"/>
            <w:tcBorders>
              <w:top w:val="nil"/>
              <w:left w:val="nil"/>
              <w:bottom w:val="single" w:sz="4" w:space="0" w:color="auto"/>
              <w:right w:val="single" w:sz="4" w:space="0" w:color="auto"/>
            </w:tcBorders>
            <w:shd w:val="clear" w:color="auto" w:fill="auto"/>
            <w:noWrap/>
            <w:vAlign w:val="bottom"/>
            <w:hideMark/>
          </w:tcPr>
          <w:p w14:paraId="36F607C1" w14:textId="77777777" w:rsidR="00A359FE" w:rsidRPr="009A5289" w:rsidRDefault="00A359FE" w:rsidP="00A359FE">
            <w:pPr>
              <w:spacing w:after="0"/>
              <w:jc w:val="center"/>
              <w:rPr>
                <w:rFonts w:ascii="Times New Roman" w:hAnsi="Times New Roman"/>
                <w:bCs/>
                <w:color w:val="000000"/>
                <w:lang w:eastAsia="es-DO"/>
              </w:rPr>
            </w:pPr>
            <w:r w:rsidRPr="009A5289">
              <w:rPr>
                <w:rFonts w:ascii="Times New Roman" w:hAnsi="Times New Roman"/>
                <w:bCs/>
                <w:color w:val="000000"/>
                <w:lang w:eastAsia="es-DO"/>
              </w:rPr>
              <w:t>10</w:t>
            </w:r>
          </w:p>
        </w:tc>
      </w:tr>
      <w:tr w:rsidR="00A359FE" w:rsidRPr="009A5289" w14:paraId="2C2E9E23" w14:textId="77777777" w:rsidTr="0028192D">
        <w:trPr>
          <w:trHeight w:val="300"/>
        </w:trPr>
        <w:tc>
          <w:tcPr>
            <w:tcW w:w="688" w:type="pct"/>
            <w:tcBorders>
              <w:top w:val="nil"/>
              <w:left w:val="single" w:sz="4" w:space="0" w:color="auto"/>
              <w:bottom w:val="single" w:sz="4" w:space="0" w:color="auto"/>
              <w:right w:val="single" w:sz="4" w:space="0" w:color="auto"/>
            </w:tcBorders>
            <w:shd w:val="clear" w:color="auto" w:fill="auto"/>
            <w:noWrap/>
            <w:vAlign w:val="bottom"/>
            <w:hideMark/>
          </w:tcPr>
          <w:p w14:paraId="3156E247"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Septiembre</w:t>
            </w:r>
          </w:p>
        </w:tc>
        <w:tc>
          <w:tcPr>
            <w:tcW w:w="680" w:type="pct"/>
            <w:tcBorders>
              <w:top w:val="nil"/>
              <w:left w:val="nil"/>
              <w:bottom w:val="single" w:sz="4" w:space="0" w:color="auto"/>
              <w:right w:val="single" w:sz="4" w:space="0" w:color="auto"/>
            </w:tcBorders>
            <w:shd w:val="clear" w:color="auto" w:fill="auto"/>
            <w:noWrap/>
            <w:vAlign w:val="bottom"/>
            <w:hideMark/>
          </w:tcPr>
          <w:p w14:paraId="6D338AE4"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680" w:type="pct"/>
            <w:tcBorders>
              <w:top w:val="nil"/>
              <w:left w:val="nil"/>
              <w:bottom w:val="single" w:sz="4" w:space="0" w:color="auto"/>
              <w:right w:val="single" w:sz="4" w:space="0" w:color="auto"/>
            </w:tcBorders>
            <w:shd w:val="clear" w:color="auto" w:fill="auto"/>
            <w:noWrap/>
            <w:vAlign w:val="bottom"/>
            <w:hideMark/>
          </w:tcPr>
          <w:p w14:paraId="6D644982" w14:textId="77777777" w:rsidR="00A359FE" w:rsidRPr="009A5289" w:rsidRDefault="00A359FE" w:rsidP="00A359FE">
            <w:pPr>
              <w:spacing w:after="0"/>
              <w:jc w:val="right"/>
              <w:rPr>
                <w:rFonts w:ascii="Times New Roman" w:hAnsi="Times New Roman"/>
                <w:color w:val="000000"/>
                <w:lang w:eastAsia="es-DO"/>
              </w:rPr>
            </w:pPr>
            <w:r w:rsidRPr="009A5289">
              <w:rPr>
                <w:rFonts w:ascii="Times New Roman" w:hAnsi="Times New Roman"/>
                <w:color w:val="000000"/>
                <w:lang w:eastAsia="es-DO"/>
              </w:rPr>
              <w:t>340,080.00</w:t>
            </w:r>
          </w:p>
        </w:tc>
        <w:tc>
          <w:tcPr>
            <w:tcW w:w="446" w:type="pct"/>
            <w:tcBorders>
              <w:top w:val="nil"/>
              <w:left w:val="nil"/>
              <w:bottom w:val="single" w:sz="4" w:space="0" w:color="auto"/>
              <w:right w:val="single" w:sz="4" w:space="0" w:color="auto"/>
            </w:tcBorders>
            <w:shd w:val="clear" w:color="auto" w:fill="auto"/>
            <w:noWrap/>
            <w:vAlign w:val="bottom"/>
            <w:hideMark/>
          </w:tcPr>
          <w:p w14:paraId="3B64E3A8"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06" w:type="pct"/>
            <w:tcBorders>
              <w:top w:val="nil"/>
              <w:left w:val="nil"/>
              <w:bottom w:val="single" w:sz="4" w:space="0" w:color="auto"/>
              <w:right w:val="single" w:sz="4" w:space="0" w:color="auto"/>
            </w:tcBorders>
            <w:shd w:val="clear" w:color="auto" w:fill="auto"/>
            <w:noWrap/>
            <w:vAlign w:val="bottom"/>
            <w:hideMark/>
          </w:tcPr>
          <w:p w14:paraId="287E7F5F"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06" w:type="pct"/>
            <w:tcBorders>
              <w:top w:val="nil"/>
              <w:left w:val="nil"/>
              <w:bottom w:val="single" w:sz="4" w:space="0" w:color="auto"/>
              <w:right w:val="single" w:sz="4" w:space="0" w:color="auto"/>
            </w:tcBorders>
            <w:shd w:val="clear" w:color="auto" w:fill="auto"/>
            <w:noWrap/>
            <w:vAlign w:val="bottom"/>
            <w:hideMark/>
          </w:tcPr>
          <w:p w14:paraId="17E9231A"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882" w:type="pct"/>
            <w:tcBorders>
              <w:top w:val="nil"/>
              <w:left w:val="nil"/>
              <w:bottom w:val="single" w:sz="4" w:space="0" w:color="auto"/>
              <w:right w:val="single" w:sz="4" w:space="0" w:color="auto"/>
            </w:tcBorders>
            <w:shd w:val="clear" w:color="auto" w:fill="auto"/>
            <w:noWrap/>
            <w:vAlign w:val="bottom"/>
            <w:hideMark/>
          </w:tcPr>
          <w:p w14:paraId="65F449C6" w14:textId="77777777" w:rsidR="00A359FE" w:rsidRPr="009A5289" w:rsidRDefault="00A359FE" w:rsidP="00A359FE">
            <w:pPr>
              <w:spacing w:after="0"/>
              <w:jc w:val="right"/>
              <w:rPr>
                <w:rFonts w:ascii="Times New Roman" w:hAnsi="Times New Roman"/>
                <w:bCs/>
                <w:color w:val="000000"/>
                <w:lang w:eastAsia="es-DO"/>
              </w:rPr>
            </w:pPr>
            <w:r w:rsidRPr="009A5289">
              <w:rPr>
                <w:rFonts w:ascii="Times New Roman" w:hAnsi="Times New Roman"/>
                <w:bCs/>
                <w:color w:val="000000"/>
                <w:lang w:eastAsia="es-DO"/>
              </w:rPr>
              <w:t>340,080.00</w:t>
            </w:r>
          </w:p>
        </w:tc>
        <w:tc>
          <w:tcPr>
            <w:tcW w:w="814" w:type="pct"/>
            <w:tcBorders>
              <w:top w:val="nil"/>
              <w:left w:val="nil"/>
              <w:bottom w:val="single" w:sz="4" w:space="0" w:color="auto"/>
              <w:right w:val="single" w:sz="4" w:space="0" w:color="auto"/>
            </w:tcBorders>
            <w:shd w:val="clear" w:color="auto" w:fill="auto"/>
            <w:noWrap/>
            <w:vAlign w:val="bottom"/>
            <w:hideMark/>
          </w:tcPr>
          <w:p w14:paraId="67BF2D02" w14:textId="77777777" w:rsidR="00A359FE" w:rsidRPr="009A5289" w:rsidRDefault="00A359FE" w:rsidP="00A359FE">
            <w:pPr>
              <w:spacing w:after="0"/>
              <w:jc w:val="center"/>
              <w:rPr>
                <w:rFonts w:ascii="Times New Roman" w:hAnsi="Times New Roman"/>
                <w:bCs/>
                <w:color w:val="000000"/>
                <w:lang w:eastAsia="es-DO"/>
              </w:rPr>
            </w:pPr>
            <w:r w:rsidRPr="009A5289">
              <w:rPr>
                <w:rFonts w:ascii="Times New Roman" w:hAnsi="Times New Roman"/>
                <w:bCs/>
                <w:color w:val="000000"/>
                <w:lang w:eastAsia="es-DO"/>
              </w:rPr>
              <w:t>18</w:t>
            </w:r>
          </w:p>
        </w:tc>
      </w:tr>
      <w:tr w:rsidR="00A359FE" w:rsidRPr="009A5289" w14:paraId="73D99884" w14:textId="77777777" w:rsidTr="0028192D">
        <w:trPr>
          <w:trHeight w:val="300"/>
        </w:trPr>
        <w:tc>
          <w:tcPr>
            <w:tcW w:w="688" w:type="pct"/>
            <w:tcBorders>
              <w:top w:val="nil"/>
              <w:left w:val="single" w:sz="4" w:space="0" w:color="auto"/>
              <w:bottom w:val="single" w:sz="4" w:space="0" w:color="auto"/>
              <w:right w:val="single" w:sz="4" w:space="0" w:color="auto"/>
            </w:tcBorders>
            <w:shd w:val="clear" w:color="auto" w:fill="auto"/>
            <w:noWrap/>
            <w:vAlign w:val="bottom"/>
            <w:hideMark/>
          </w:tcPr>
          <w:p w14:paraId="13757A96"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Octubre</w:t>
            </w:r>
          </w:p>
        </w:tc>
        <w:tc>
          <w:tcPr>
            <w:tcW w:w="680" w:type="pct"/>
            <w:tcBorders>
              <w:top w:val="nil"/>
              <w:left w:val="nil"/>
              <w:bottom w:val="single" w:sz="4" w:space="0" w:color="auto"/>
              <w:right w:val="single" w:sz="4" w:space="0" w:color="auto"/>
            </w:tcBorders>
            <w:shd w:val="clear" w:color="auto" w:fill="auto"/>
            <w:noWrap/>
            <w:vAlign w:val="bottom"/>
            <w:hideMark/>
          </w:tcPr>
          <w:p w14:paraId="1CEC861D" w14:textId="77777777" w:rsidR="00A359FE" w:rsidRPr="009A5289" w:rsidRDefault="00A359FE" w:rsidP="00A359FE">
            <w:pPr>
              <w:spacing w:after="0"/>
              <w:jc w:val="right"/>
              <w:rPr>
                <w:rFonts w:ascii="Times New Roman" w:hAnsi="Times New Roman"/>
                <w:color w:val="000000"/>
                <w:lang w:eastAsia="es-DO"/>
              </w:rPr>
            </w:pPr>
            <w:r w:rsidRPr="009A5289">
              <w:rPr>
                <w:rFonts w:ascii="Times New Roman" w:hAnsi="Times New Roman"/>
                <w:color w:val="000000"/>
                <w:lang w:eastAsia="es-DO"/>
              </w:rPr>
              <w:t>2,160.00</w:t>
            </w:r>
          </w:p>
        </w:tc>
        <w:tc>
          <w:tcPr>
            <w:tcW w:w="680" w:type="pct"/>
            <w:tcBorders>
              <w:top w:val="nil"/>
              <w:left w:val="nil"/>
              <w:bottom w:val="single" w:sz="4" w:space="0" w:color="auto"/>
              <w:right w:val="single" w:sz="4" w:space="0" w:color="auto"/>
            </w:tcBorders>
            <w:shd w:val="clear" w:color="auto" w:fill="auto"/>
            <w:noWrap/>
            <w:vAlign w:val="bottom"/>
            <w:hideMark/>
          </w:tcPr>
          <w:p w14:paraId="38E1D429" w14:textId="77777777" w:rsidR="00A359FE" w:rsidRPr="009A5289" w:rsidRDefault="00A359FE" w:rsidP="00A359FE">
            <w:pPr>
              <w:spacing w:after="0"/>
              <w:jc w:val="right"/>
              <w:rPr>
                <w:rFonts w:ascii="Times New Roman" w:hAnsi="Times New Roman"/>
                <w:color w:val="000000"/>
                <w:lang w:eastAsia="es-DO"/>
              </w:rPr>
            </w:pPr>
            <w:r w:rsidRPr="009A5289">
              <w:rPr>
                <w:rFonts w:ascii="Times New Roman" w:hAnsi="Times New Roman"/>
                <w:color w:val="000000"/>
                <w:lang w:eastAsia="es-DO"/>
              </w:rPr>
              <w:t>99,284.00</w:t>
            </w:r>
          </w:p>
        </w:tc>
        <w:tc>
          <w:tcPr>
            <w:tcW w:w="446" w:type="pct"/>
            <w:tcBorders>
              <w:top w:val="nil"/>
              <w:left w:val="nil"/>
              <w:bottom w:val="single" w:sz="4" w:space="0" w:color="auto"/>
              <w:right w:val="single" w:sz="4" w:space="0" w:color="auto"/>
            </w:tcBorders>
            <w:shd w:val="clear" w:color="auto" w:fill="auto"/>
            <w:noWrap/>
            <w:vAlign w:val="bottom"/>
            <w:hideMark/>
          </w:tcPr>
          <w:p w14:paraId="4A9509A0"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06" w:type="pct"/>
            <w:tcBorders>
              <w:top w:val="nil"/>
              <w:left w:val="nil"/>
              <w:bottom w:val="single" w:sz="4" w:space="0" w:color="auto"/>
              <w:right w:val="single" w:sz="4" w:space="0" w:color="auto"/>
            </w:tcBorders>
            <w:shd w:val="clear" w:color="auto" w:fill="auto"/>
            <w:noWrap/>
            <w:vAlign w:val="bottom"/>
            <w:hideMark/>
          </w:tcPr>
          <w:p w14:paraId="529F2C12" w14:textId="77777777" w:rsidR="00A359FE" w:rsidRPr="009A5289" w:rsidRDefault="00A359FE" w:rsidP="00A359FE">
            <w:pPr>
              <w:spacing w:after="0"/>
              <w:rPr>
                <w:rFonts w:ascii="Times New Roman" w:hAnsi="Times New Roman"/>
                <w:color w:val="000000"/>
                <w:lang w:eastAsia="es-DO"/>
              </w:rPr>
            </w:pPr>
            <w:r w:rsidRPr="009A5289">
              <w:rPr>
                <w:rFonts w:ascii="Times New Roman" w:hAnsi="Times New Roman"/>
                <w:color w:val="000000"/>
                <w:lang w:eastAsia="es-DO"/>
              </w:rPr>
              <w:t> </w:t>
            </w:r>
          </w:p>
        </w:tc>
        <w:tc>
          <w:tcPr>
            <w:tcW w:w="406" w:type="pct"/>
            <w:tcBorders>
              <w:top w:val="nil"/>
              <w:left w:val="nil"/>
              <w:bottom w:val="single" w:sz="4" w:space="0" w:color="auto"/>
              <w:right w:val="single" w:sz="4" w:space="0" w:color="auto"/>
            </w:tcBorders>
            <w:shd w:val="clear" w:color="auto" w:fill="auto"/>
            <w:noWrap/>
            <w:vAlign w:val="bottom"/>
            <w:hideMark/>
          </w:tcPr>
          <w:p w14:paraId="3F6A8C6D" w14:textId="57C5B87A" w:rsidR="00A359FE" w:rsidRPr="009A5289" w:rsidRDefault="00A359FE" w:rsidP="00A359FE">
            <w:pPr>
              <w:spacing w:after="0"/>
              <w:jc w:val="right"/>
              <w:rPr>
                <w:rFonts w:ascii="Times New Roman" w:hAnsi="Times New Roman"/>
                <w:color w:val="000000"/>
                <w:lang w:eastAsia="es-DO"/>
              </w:rPr>
            </w:pPr>
            <w:r w:rsidRPr="009A5289">
              <w:rPr>
                <w:rFonts w:ascii="Times New Roman" w:hAnsi="Times New Roman"/>
                <w:color w:val="000000"/>
                <w:lang w:eastAsia="es-DO"/>
              </w:rPr>
              <w:t>5,824</w:t>
            </w:r>
          </w:p>
        </w:tc>
        <w:tc>
          <w:tcPr>
            <w:tcW w:w="882" w:type="pct"/>
            <w:tcBorders>
              <w:top w:val="nil"/>
              <w:left w:val="nil"/>
              <w:bottom w:val="single" w:sz="4" w:space="0" w:color="auto"/>
              <w:right w:val="single" w:sz="4" w:space="0" w:color="auto"/>
            </w:tcBorders>
            <w:shd w:val="clear" w:color="auto" w:fill="auto"/>
            <w:noWrap/>
            <w:vAlign w:val="bottom"/>
            <w:hideMark/>
          </w:tcPr>
          <w:p w14:paraId="7599FBEC" w14:textId="77777777" w:rsidR="00A359FE" w:rsidRPr="009A5289" w:rsidRDefault="00A359FE" w:rsidP="00A359FE">
            <w:pPr>
              <w:spacing w:after="0"/>
              <w:jc w:val="right"/>
              <w:rPr>
                <w:rFonts w:ascii="Times New Roman" w:hAnsi="Times New Roman"/>
                <w:bCs/>
                <w:color w:val="000000"/>
                <w:lang w:eastAsia="es-DO"/>
              </w:rPr>
            </w:pPr>
            <w:r w:rsidRPr="009A5289">
              <w:rPr>
                <w:rFonts w:ascii="Times New Roman" w:hAnsi="Times New Roman"/>
                <w:bCs/>
                <w:color w:val="000000"/>
                <w:lang w:eastAsia="es-DO"/>
              </w:rPr>
              <w:t>107,268.00</w:t>
            </w:r>
          </w:p>
        </w:tc>
        <w:tc>
          <w:tcPr>
            <w:tcW w:w="814" w:type="pct"/>
            <w:tcBorders>
              <w:top w:val="nil"/>
              <w:left w:val="nil"/>
              <w:bottom w:val="single" w:sz="4" w:space="0" w:color="auto"/>
              <w:right w:val="single" w:sz="4" w:space="0" w:color="auto"/>
            </w:tcBorders>
            <w:shd w:val="clear" w:color="auto" w:fill="auto"/>
            <w:noWrap/>
            <w:vAlign w:val="bottom"/>
            <w:hideMark/>
          </w:tcPr>
          <w:p w14:paraId="2F629422" w14:textId="77777777" w:rsidR="00A359FE" w:rsidRPr="009A5289" w:rsidRDefault="00A359FE" w:rsidP="00A359FE">
            <w:pPr>
              <w:spacing w:after="0"/>
              <w:jc w:val="center"/>
              <w:rPr>
                <w:rFonts w:ascii="Times New Roman" w:hAnsi="Times New Roman"/>
                <w:bCs/>
                <w:color w:val="000000"/>
                <w:lang w:eastAsia="es-DO"/>
              </w:rPr>
            </w:pPr>
            <w:r w:rsidRPr="009A5289">
              <w:rPr>
                <w:rFonts w:ascii="Times New Roman" w:hAnsi="Times New Roman"/>
                <w:bCs/>
                <w:color w:val="000000"/>
                <w:lang w:eastAsia="es-DO"/>
              </w:rPr>
              <w:t>11</w:t>
            </w:r>
          </w:p>
        </w:tc>
      </w:tr>
      <w:tr w:rsidR="00A359FE" w:rsidRPr="009A5289" w14:paraId="5FC2513B" w14:textId="77777777" w:rsidTr="0028192D">
        <w:trPr>
          <w:trHeight w:val="300"/>
        </w:trPr>
        <w:tc>
          <w:tcPr>
            <w:tcW w:w="3304" w:type="pct"/>
            <w:gridSpan w:val="6"/>
            <w:tcBorders>
              <w:top w:val="single" w:sz="4" w:space="0" w:color="auto"/>
              <w:left w:val="single" w:sz="4" w:space="0" w:color="auto"/>
              <w:bottom w:val="single" w:sz="4" w:space="0" w:color="auto"/>
              <w:right w:val="single" w:sz="4" w:space="0" w:color="000000"/>
            </w:tcBorders>
            <w:shd w:val="clear" w:color="auto" w:fill="808080" w:themeFill="background1" w:themeFillShade="80"/>
            <w:noWrap/>
            <w:vAlign w:val="bottom"/>
            <w:hideMark/>
          </w:tcPr>
          <w:p w14:paraId="7DBCFAAF" w14:textId="77777777" w:rsidR="00A359FE" w:rsidRPr="004B3EB6" w:rsidRDefault="00A359FE" w:rsidP="00A359FE">
            <w:pPr>
              <w:spacing w:after="0"/>
              <w:jc w:val="center"/>
              <w:rPr>
                <w:rFonts w:ascii="Times New Roman" w:hAnsi="Times New Roman"/>
                <w:b/>
                <w:color w:val="FFFFFF" w:themeColor="background1"/>
                <w:lang w:eastAsia="es-DO"/>
              </w:rPr>
            </w:pPr>
            <w:r w:rsidRPr="004B3EB6">
              <w:rPr>
                <w:rFonts w:ascii="Times New Roman" w:hAnsi="Times New Roman"/>
                <w:b/>
                <w:color w:val="FFFFFF" w:themeColor="background1"/>
                <w:lang w:eastAsia="es-DO"/>
              </w:rPr>
              <w:t>Total General</w:t>
            </w:r>
          </w:p>
        </w:tc>
        <w:tc>
          <w:tcPr>
            <w:tcW w:w="882" w:type="pct"/>
            <w:tcBorders>
              <w:top w:val="nil"/>
              <w:left w:val="nil"/>
              <w:bottom w:val="single" w:sz="4" w:space="0" w:color="auto"/>
              <w:right w:val="single" w:sz="4" w:space="0" w:color="auto"/>
            </w:tcBorders>
            <w:shd w:val="clear" w:color="auto" w:fill="808080" w:themeFill="background1" w:themeFillShade="80"/>
            <w:noWrap/>
            <w:vAlign w:val="bottom"/>
            <w:hideMark/>
          </w:tcPr>
          <w:p w14:paraId="55E9F9CB" w14:textId="77777777" w:rsidR="00A359FE" w:rsidRPr="004B3EB6" w:rsidRDefault="00A359FE" w:rsidP="00A359FE">
            <w:pPr>
              <w:spacing w:after="0"/>
              <w:jc w:val="right"/>
              <w:rPr>
                <w:rFonts w:ascii="Times New Roman" w:hAnsi="Times New Roman"/>
                <w:b/>
                <w:color w:val="FFFFFF" w:themeColor="background1"/>
                <w:lang w:eastAsia="es-DO"/>
              </w:rPr>
            </w:pPr>
            <w:r w:rsidRPr="004B3EB6">
              <w:rPr>
                <w:rFonts w:ascii="Times New Roman" w:hAnsi="Times New Roman"/>
                <w:b/>
                <w:color w:val="FFFFFF" w:themeColor="background1"/>
                <w:lang w:eastAsia="es-DO"/>
              </w:rPr>
              <w:t>1,596,864.00</w:t>
            </w:r>
          </w:p>
        </w:tc>
        <w:tc>
          <w:tcPr>
            <w:tcW w:w="814" w:type="pct"/>
            <w:tcBorders>
              <w:top w:val="nil"/>
              <w:left w:val="nil"/>
              <w:bottom w:val="single" w:sz="4" w:space="0" w:color="auto"/>
              <w:right w:val="single" w:sz="4" w:space="0" w:color="auto"/>
            </w:tcBorders>
            <w:shd w:val="clear" w:color="auto" w:fill="808080" w:themeFill="background1" w:themeFillShade="80"/>
            <w:noWrap/>
            <w:vAlign w:val="bottom"/>
            <w:hideMark/>
          </w:tcPr>
          <w:p w14:paraId="0C20C215" w14:textId="77777777" w:rsidR="00A359FE" w:rsidRPr="004B3EB6" w:rsidRDefault="00A359FE" w:rsidP="00A359FE">
            <w:pPr>
              <w:spacing w:after="0"/>
              <w:jc w:val="center"/>
              <w:rPr>
                <w:rFonts w:ascii="Times New Roman" w:hAnsi="Times New Roman"/>
                <w:b/>
                <w:color w:val="FFFFFF" w:themeColor="background1"/>
                <w:lang w:eastAsia="es-DO"/>
              </w:rPr>
            </w:pPr>
            <w:r w:rsidRPr="004B3EB6">
              <w:rPr>
                <w:rFonts w:ascii="Times New Roman" w:hAnsi="Times New Roman"/>
                <w:b/>
                <w:color w:val="FFFFFF" w:themeColor="background1"/>
                <w:lang w:eastAsia="es-DO"/>
              </w:rPr>
              <w:t>72</w:t>
            </w:r>
          </w:p>
        </w:tc>
      </w:tr>
    </w:tbl>
    <w:p w14:paraId="29B65511" w14:textId="0B654B49" w:rsidR="00142499" w:rsidRPr="009A5289" w:rsidRDefault="00142499" w:rsidP="0028192D">
      <w:pPr>
        <w:spacing w:after="0" w:line="480" w:lineRule="auto"/>
        <w:rPr>
          <w:rFonts w:ascii="Times New Roman" w:hAnsi="Times New Roman"/>
          <w:color w:val="FF0000"/>
          <w:lang w:val="es-MX"/>
        </w:rPr>
      </w:pPr>
    </w:p>
    <w:p w14:paraId="52EA448B" w14:textId="77777777" w:rsidR="00693520" w:rsidRPr="009A5289" w:rsidRDefault="00693520" w:rsidP="00CA5792">
      <w:pPr>
        <w:pStyle w:val="Ttulo3"/>
      </w:pPr>
      <w:bookmarkStart w:id="215" w:name="_Toc26292070"/>
      <w:bookmarkStart w:id="216" w:name="_Toc27146777"/>
      <w:r w:rsidRPr="009A5289">
        <w:lastRenderedPageBreak/>
        <w:t>Producción de material vegetal, híbridos de arroz de alta calidad</w:t>
      </w:r>
      <w:r w:rsidR="00142499" w:rsidRPr="009A5289">
        <w:t>,</w:t>
      </w:r>
      <w:r w:rsidRPr="009A5289">
        <w:t xml:space="preserve"> BIO-ARROZ</w:t>
      </w:r>
      <w:r w:rsidRPr="009A5289">
        <w:rPr>
          <w:vertAlign w:val="superscript"/>
        </w:rPr>
        <w:footnoteReference w:id="15"/>
      </w:r>
      <w:bookmarkEnd w:id="215"/>
      <w:bookmarkEnd w:id="216"/>
    </w:p>
    <w:p w14:paraId="43188040" w14:textId="77777777" w:rsidR="004A2905" w:rsidRDefault="004A2905" w:rsidP="00693520">
      <w:pPr>
        <w:spacing w:after="0" w:line="480" w:lineRule="auto"/>
        <w:ind w:firstLine="720"/>
        <w:jc w:val="both"/>
        <w:rPr>
          <w:rFonts w:ascii="Times New Roman" w:hAnsi="Times New Roman"/>
          <w:lang w:val="es-MX"/>
        </w:rPr>
      </w:pPr>
    </w:p>
    <w:p w14:paraId="00545A66" w14:textId="77777777" w:rsidR="00665623" w:rsidRPr="009A5289" w:rsidRDefault="00693520" w:rsidP="00693520">
      <w:pPr>
        <w:spacing w:after="0" w:line="480" w:lineRule="auto"/>
        <w:ind w:firstLine="720"/>
        <w:jc w:val="both"/>
        <w:rPr>
          <w:rFonts w:ascii="Times New Roman" w:hAnsi="Times New Roman"/>
          <w:lang w:val="es-MX"/>
        </w:rPr>
      </w:pPr>
      <w:r w:rsidRPr="009A5289">
        <w:rPr>
          <w:rFonts w:ascii="Times New Roman" w:hAnsi="Times New Roman"/>
          <w:lang w:val="es-MX"/>
        </w:rPr>
        <w:t>Bio-Arroz es la plataforma creada por el Ministerio de Agricultura que agrupa todos los esfuerzos que se ejecutan en beneficio del cultivo de arroz y las instituciones descentralizadas que lo componen; Departamento de Fomento Arrocero, Centro Nacional de Capacitación Arrocera (CENACA) y los centros de investigación del Instituto Dominicano de Investigaciones Agro</w:t>
      </w:r>
      <w:r w:rsidR="00665623" w:rsidRPr="009A5289">
        <w:rPr>
          <w:rFonts w:ascii="Times New Roman" w:hAnsi="Times New Roman"/>
          <w:lang w:val="es-MX"/>
        </w:rPr>
        <w:t>pecuarias y Forestales (IDIAF).</w:t>
      </w:r>
    </w:p>
    <w:p w14:paraId="3F1C9C9F" w14:textId="77777777" w:rsidR="00665623" w:rsidRPr="009A5289" w:rsidRDefault="00665623" w:rsidP="00693520">
      <w:pPr>
        <w:spacing w:after="0" w:line="480" w:lineRule="auto"/>
        <w:ind w:firstLine="720"/>
        <w:jc w:val="both"/>
        <w:rPr>
          <w:rFonts w:ascii="Times New Roman" w:hAnsi="Times New Roman"/>
          <w:lang w:val="es-MX"/>
        </w:rPr>
      </w:pPr>
    </w:p>
    <w:p w14:paraId="47B167FD" w14:textId="77777777" w:rsidR="00693520" w:rsidRPr="009A5289" w:rsidRDefault="00665623" w:rsidP="00693520">
      <w:pPr>
        <w:spacing w:after="0" w:line="480" w:lineRule="auto"/>
        <w:ind w:firstLine="720"/>
        <w:jc w:val="both"/>
        <w:rPr>
          <w:rFonts w:ascii="Times New Roman" w:hAnsi="Times New Roman"/>
          <w:lang w:val="es-MX"/>
        </w:rPr>
      </w:pPr>
      <w:r w:rsidRPr="009A5289">
        <w:rPr>
          <w:rFonts w:ascii="Times New Roman" w:hAnsi="Times New Roman"/>
          <w:lang w:val="es-MX"/>
        </w:rPr>
        <w:t xml:space="preserve">Estas instituciones focalizas los esfuerzos </w:t>
      </w:r>
      <w:r w:rsidR="00693520" w:rsidRPr="009A5289">
        <w:rPr>
          <w:rFonts w:ascii="Times New Roman" w:hAnsi="Times New Roman"/>
          <w:lang w:val="es-MX"/>
        </w:rPr>
        <w:t>al cultivo del arroz, como es la Estación Experimental de Juma en Bonao, así como las Fincas Experimentales de Pozo de Nagua, Esperanza en Valverde y Sabaneta en la Vega, además lo compone la unidad certificadora de semillas de arroz el cual apoya continuamente con el marco normativo.</w:t>
      </w:r>
    </w:p>
    <w:p w14:paraId="7BEF302B" w14:textId="77777777" w:rsidR="00693520" w:rsidRPr="009A5289" w:rsidRDefault="00693520" w:rsidP="00693520">
      <w:pPr>
        <w:spacing w:after="0" w:line="480" w:lineRule="auto"/>
        <w:ind w:firstLine="720"/>
        <w:jc w:val="both"/>
        <w:rPr>
          <w:rFonts w:ascii="Times New Roman" w:hAnsi="Times New Roman"/>
          <w:lang w:val="es-MX"/>
        </w:rPr>
      </w:pPr>
    </w:p>
    <w:p w14:paraId="2217EAF8" w14:textId="77777777" w:rsidR="00693520" w:rsidRPr="009A5289" w:rsidRDefault="00693520" w:rsidP="0020047B">
      <w:pPr>
        <w:pStyle w:val="Sinespaciado"/>
        <w:numPr>
          <w:ilvl w:val="0"/>
          <w:numId w:val="7"/>
        </w:numPr>
        <w:spacing w:line="480" w:lineRule="auto"/>
        <w:rPr>
          <w:rFonts w:ascii="Times New Roman" w:hAnsi="Times New Roman"/>
          <w:b/>
        </w:rPr>
      </w:pPr>
      <w:r w:rsidRPr="009A5289">
        <w:rPr>
          <w:rFonts w:ascii="Times New Roman" w:hAnsi="Times New Roman"/>
          <w:b/>
        </w:rPr>
        <w:t>Logros</w:t>
      </w:r>
    </w:p>
    <w:p w14:paraId="0A9DDDA0" w14:textId="77777777" w:rsidR="00693520" w:rsidRPr="009A5289" w:rsidRDefault="00693520" w:rsidP="0020047B">
      <w:pPr>
        <w:pStyle w:val="Prrafodelista"/>
        <w:numPr>
          <w:ilvl w:val="0"/>
          <w:numId w:val="6"/>
        </w:numPr>
        <w:spacing w:after="0" w:line="480" w:lineRule="auto"/>
        <w:ind w:left="284" w:hanging="142"/>
        <w:jc w:val="both"/>
        <w:rPr>
          <w:rFonts w:ascii="Times New Roman" w:hAnsi="Times New Roman"/>
          <w:b/>
          <w:sz w:val="24"/>
          <w:szCs w:val="24"/>
        </w:rPr>
      </w:pPr>
      <w:r w:rsidRPr="009A5289">
        <w:rPr>
          <w:rFonts w:ascii="Times New Roman" w:hAnsi="Times New Roman"/>
          <w:b/>
          <w:sz w:val="24"/>
          <w:szCs w:val="24"/>
        </w:rPr>
        <w:t>Mejoramiento genético</w:t>
      </w:r>
    </w:p>
    <w:p w14:paraId="6242E4BC" w14:textId="4398CCDE" w:rsidR="008D38EE" w:rsidRPr="004245EB" w:rsidRDefault="008D38EE" w:rsidP="004245EB">
      <w:pPr>
        <w:spacing w:after="0" w:line="480" w:lineRule="auto"/>
        <w:ind w:firstLine="720"/>
        <w:jc w:val="both"/>
        <w:rPr>
          <w:rFonts w:ascii="Times New Roman" w:hAnsi="Times New Roman"/>
          <w:lang w:val="es-MX"/>
        </w:rPr>
      </w:pPr>
      <w:r w:rsidRPr="004245EB">
        <w:rPr>
          <w:rFonts w:ascii="Times New Roman" w:hAnsi="Times New Roman"/>
          <w:lang w:val="es-MX"/>
        </w:rPr>
        <w:t>Lanzamiento de una Nueva Variedad Pública “LRC JUMA 69-20”, desarrollada para limpiar los campos de arroces indeseables y otras malezas gramíneas manteniendo la productividad y la calidad que demanda el Mercado.</w:t>
      </w:r>
    </w:p>
    <w:p w14:paraId="654BF912" w14:textId="4A55A18B" w:rsidR="00693520" w:rsidRPr="004245EB" w:rsidRDefault="008D38EE" w:rsidP="004245EB">
      <w:pPr>
        <w:spacing w:after="0" w:line="480" w:lineRule="auto"/>
        <w:ind w:firstLine="720"/>
        <w:jc w:val="both"/>
        <w:rPr>
          <w:rFonts w:ascii="Times New Roman" w:hAnsi="Times New Roman"/>
          <w:lang w:val="es-MX"/>
        </w:rPr>
      </w:pPr>
      <w:r w:rsidRPr="004245EB">
        <w:rPr>
          <w:rFonts w:ascii="Times New Roman" w:hAnsi="Times New Roman"/>
          <w:lang w:val="es-MX"/>
        </w:rPr>
        <w:lastRenderedPageBreak/>
        <w:t xml:space="preserve">Mejoramiento genético de la </w:t>
      </w:r>
      <w:r w:rsidR="00693520" w:rsidRPr="004245EB">
        <w:rPr>
          <w:rFonts w:ascii="Times New Roman" w:hAnsi="Times New Roman"/>
          <w:lang w:val="es-MX"/>
        </w:rPr>
        <w:t>variedad juma 68-18, derivada de la var</w:t>
      </w:r>
      <w:r w:rsidR="001971A4" w:rsidRPr="004245EB">
        <w:rPr>
          <w:rFonts w:ascii="Times New Roman" w:hAnsi="Times New Roman"/>
          <w:lang w:val="es-MX"/>
        </w:rPr>
        <w:t>iedad ámbar, durante al año 2015.</w:t>
      </w:r>
    </w:p>
    <w:p w14:paraId="000016F3" w14:textId="77777777" w:rsidR="008D38EE" w:rsidRPr="009A5289" w:rsidRDefault="008D38EE" w:rsidP="008D38EE">
      <w:pPr>
        <w:pStyle w:val="Prrafodelista"/>
        <w:rPr>
          <w:rFonts w:ascii="Times New Roman" w:hAnsi="Times New Roman"/>
          <w:sz w:val="24"/>
          <w:szCs w:val="24"/>
        </w:rPr>
      </w:pPr>
    </w:p>
    <w:p w14:paraId="2E9F1F5A" w14:textId="77777777" w:rsidR="00693520" w:rsidRPr="004245EB" w:rsidRDefault="00693520" w:rsidP="004245EB">
      <w:pPr>
        <w:spacing w:after="0" w:line="480" w:lineRule="auto"/>
        <w:ind w:firstLine="720"/>
        <w:jc w:val="both"/>
        <w:rPr>
          <w:rFonts w:ascii="Times New Roman" w:hAnsi="Times New Roman"/>
          <w:lang w:val="es-MX"/>
        </w:rPr>
      </w:pPr>
      <w:r w:rsidRPr="004245EB">
        <w:rPr>
          <w:rFonts w:ascii="Times New Roman" w:hAnsi="Times New Roman"/>
          <w:lang w:val="es-MX"/>
        </w:rPr>
        <w:t>Reproducción de plantas de arroz en calidad de material de siembra.</w:t>
      </w:r>
    </w:p>
    <w:p w14:paraId="1F0A3311" w14:textId="77777777" w:rsidR="008D38EE" w:rsidRPr="009A5289" w:rsidRDefault="008D38EE" w:rsidP="008D38EE">
      <w:pPr>
        <w:pStyle w:val="Prrafodelista"/>
        <w:rPr>
          <w:rFonts w:ascii="Times New Roman" w:hAnsi="Times New Roman"/>
          <w:sz w:val="24"/>
          <w:szCs w:val="24"/>
        </w:rPr>
      </w:pPr>
    </w:p>
    <w:p w14:paraId="2982842E" w14:textId="77777777" w:rsidR="00693520" w:rsidRPr="004245EB" w:rsidRDefault="00693520" w:rsidP="004245EB">
      <w:pPr>
        <w:spacing w:after="0" w:line="480" w:lineRule="auto"/>
        <w:ind w:firstLine="720"/>
        <w:jc w:val="both"/>
        <w:rPr>
          <w:rFonts w:ascii="Times New Roman" w:hAnsi="Times New Roman"/>
          <w:lang w:val="es-MX"/>
        </w:rPr>
      </w:pPr>
      <w:r w:rsidRPr="004245EB">
        <w:rPr>
          <w:rFonts w:ascii="Times New Roman" w:hAnsi="Times New Roman"/>
          <w:lang w:val="es-MX"/>
        </w:rPr>
        <w:t>Implementación de la mutagénesis mediante la técnica de inmersión en reactivos químicos.</w:t>
      </w:r>
    </w:p>
    <w:p w14:paraId="2A62E43D" w14:textId="77777777" w:rsidR="008D38EE" w:rsidRDefault="008D38EE" w:rsidP="004245EB">
      <w:pPr>
        <w:pStyle w:val="Prrafodelista"/>
        <w:spacing w:after="0" w:line="480" w:lineRule="auto"/>
        <w:rPr>
          <w:rFonts w:ascii="Times New Roman" w:hAnsi="Times New Roman"/>
          <w:sz w:val="24"/>
          <w:szCs w:val="24"/>
        </w:rPr>
      </w:pPr>
    </w:p>
    <w:p w14:paraId="6AB1662E" w14:textId="1F6CA871" w:rsidR="004245EB" w:rsidRPr="004245EB" w:rsidRDefault="00693520" w:rsidP="002F0F07">
      <w:pPr>
        <w:pStyle w:val="Prrafodelista"/>
        <w:numPr>
          <w:ilvl w:val="0"/>
          <w:numId w:val="6"/>
        </w:numPr>
        <w:spacing w:after="0" w:line="480" w:lineRule="auto"/>
        <w:ind w:left="284" w:hanging="142"/>
        <w:jc w:val="both"/>
        <w:rPr>
          <w:rFonts w:ascii="Times New Roman" w:hAnsi="Times New Roman"/>
          <w:sz w:val="24"/>
          <w:szCs w:val="24"/>
        </w:rPr>
      </w:pPr>
      <w:r w:rsidRPr="004245EB">
        <w:rPr>
          <w:rFonts w:ascii="Times New Roman" w:hAnsi="Times New Roman"/>
          <w:b/>
          <w:sz w:val="24"/>
          <w:szCs w:val="24"/>
        </w:rPr>
        <w:t>Apoyo a la producción</w:t>
      </w:r>
      <w:r w:rsidR="004245EB" w:rsidRPr="004245EB">
        <w:rPr>
          <w:rFonts w:ascii="Times New Roman" w:hAnsi="Times New Roman"/>
          <w:b/>
          <w:sz w:val="24"/>
          <w:szCs w:val="24"/>
        </w:rPr>
        <w:t xml:space="preserve">, </w:t>
      </w:r>
      <w:r w:rsidR="004245EB">
        <w:rPr>
          <w:rFonts w:ascii="Times New Roman" w:hAnsi="Times New Roman"/>
          <w:b/>
          <w:sz w:val="24"/>
          <w:szCs w:val="24"/>
        </w:rPr>
        <w:t>p</w:t>
      </w:r>
      <w:r w:rsidR="004245EB" w:rsidRPr="004245EB">
        <w:rPr>
          <w:rFonts w:ascii="Times New Roman" w:hAnsi="Times New Roman"/>
          <w:b/>
          <w:sz w:val="24"/>
          <w:szCs w:val="24"/>
        </w:rPr>
        <w:t>rograma de rotación de cultivos</w:t>
      </w:r>
    </w:p>
    <w:p w14:paraId="3D45CDEF" w14:textId="1C705506" w:rsidR="008D38EE" w:rsidRPr="004245EB" w:rsidRDefault="004245EB" w:rsidP="004245EB">
      <w:pPr>
        <w:spacing w:after="0" w:line="480" w:lineRule="auto"/>
        <w:ind w:firstLine="720"/>
        <w:jc w:val="both"/>
        <w:rPr>
          <w:rFonts w:ascii="Times New Roman" w:hAnsi="Times New Roman"/>
          <w:lang w:val="es-MX"/>
        </w:rPr>
      </w:pPr>
      <w:r w:rsidRPr="004245EB">
        <w:rPr>
          <w:rFonts w:ascii="Times New Roman" w:hAnsi="Times New Roman"/>
          <w:lang w:val="es-MX"/>
        </w:rPr>
        <w:t>S</w:t>
      </w:r>
      <w:r w:rsidR="000A5E4C" w:rsidRPr="004245EB">
        <w:rPr>
          <w:rFonts w:ascii="Times New Roman" w:hAnsi="Times New Roman"/>
          <w:lang w:val="es-MX"/>
        </w:rPr>
        <w:t>e</w:t>
      </w:r>
      <w:r w:rsidRPr="004245EB">
        <w:rPr>
          <w:rFonts w:ascii="Times New Roman" w:hAnsi="Times New Roman"/>
          <w:lang w:val="es-MX"/>
        </w:rPr>
        <w:t xml:space="preserve"> produjeron</w:t>
      </w:r>
      <w:r w:rsidR="008D38EE" w:rsidRPr="004245EB">
        <w:rPr>
          <w:rFonts w:ascii="Times New Roman" w:hAnsi="Times New Roman"/>
          <w:lang w:val="es-MX"/>
        </w:rPr>
        <w:t xml:space="preserve"> 22,300 silo-bolsas de forraje de maíz, las cuales ayudaron </w:t>
      </w:r>
      <w:r w:rsidR="000A5E4C" w:rsidRPr="004245EB">
        <w:rPr>
          <w:rFonts w:ascii="Times New Roman" w:hAnsi="Times New Roman"/>
          <w:lang w:val="es-MX"/>
        </w:rPr>
        <w:t>en gran manera</w:t>
      </w:r>
      <w:r w:rsidR="008D38EE" w:rsidRPr="004245EB">
        <w:rPr>
          <w:rFonts w:ascii="Times New Roman" w:hAnsi="Times New Roman"/>
          <w:lang w:val="es-MX"/>
        </w:rPr>
        <w:t xml:space="preserve"> a mitigar la sequía que</w:t>
      </w:r>
      <w:r w:rsidR="000A5E4C" w:rsidRPr="004245EB">
        <w:rPr>
          <w:rFonts w:ascii="Times New Roman" w:hAnsi="Times New Roman"/>
          <w:lang w:val="es-MX"/>
        </w:rPr>
        <w:t xml:space="preserve"> afectó </w:t>
      </w:r>
      <w:r w:rsidR="008D38EE" w:rsidRPr="004245EB">
        <w:rPr>
          <w:rFonts w:ascii="Times New Roman" w:hAnsi="Times New Roman"/>
          <w:lang w:val="es-MX"/>
        </w:rPr>
        <w:t>el país, principalmente en la zona de la Costa Norte, desde Manzanillo hasta Gaspar Hernández.</w:t>
      </w:r>
    </w:p>
    <w:p w14:paraId="4FF1587B" w14:textId="77777777" w:rsidR="008D38EE" w:rsidRPr="009A5289" w:rsidRDefault="008D38EE" w:rsidP="008D38EE">
      <w:pPr>
        <w:pStyle w:val="Prrafodelista"/>
        <w:spacing w:after="0" w:line="480" w:lineRule="auto"/>
        <w:ind w:left="426"/>
        <w:jc w:val="both"/>
        <w:rPr>
          <w:rFonts w:ascii="Times New Roman" w:hAnsi="Times New Roman"/>
          <w:sz w:val="24"/>
          <w:szCs w:val="24"/>
        </w:rPr>
      </w:pPr>
    </w:p>
    <w:p w14:paraId="1C7A77BD" w14:textId="77777777" w:rsidR="004245EB" w:rsidRPr="004245EB" w:rsidRDefault="00CA1BD1" w:rsidP="004245EB">
      <w:pPr>
        <w:pStyle w:val="Prrafodelista"/>
        <w:numPr>
          <w:ilvl w:val="0"/>
          <w:numId w:val="6"/>
        </w:numPr>
        <w:spacing w:after="0" w:line="480" w:lineRule="auto"/>
        <w:ind w:left="284" w:hanging="142"/>
        <w:jc w:val="both"/>
        <w:rPr>
          <w:rFonts w:ascii="Times New Roman" w:hAnsi="Times New Roman"/>
          <w:sz w:val="24"/>
          <w:szCs w:val="24"/>
        </w:rPr>
      </w:pPr>
      <w:r w:rsidRPr="009A5289">
        <w:rPr>
          <w:rFonts w:ascii="Times New Roman" w:hAnsi="Times New Roman"/>
          <w:b/>
          <w:sz w:val="24"/>
          <w:szCs w:val="24"/>
        </w:rPr>
        <w:t xml:space="preserve">Multiplicación de semillas: </w:t>
      </w:r>
    </w:p>
    <w:p w14:paraId="1EE3FD32" w14:textId="77777777" w:rsidR="004245EB" w:rsidRPr="004245EB" w:rsidRDefault="004245EB" w:rsidP="004245EB">
      <w:pPr>
        <w:pStyle w:val="Prrafodelista"/>
        <w:rPr>
          <w:rFonts w:ascii="Times New Roman" w:hAnsi="Times New Roman"/>
          <w:sz w:val="24"/>
          <w:szCs w:val="24"/>
        </w:rPr>
      </w:pPr>
    </w:p>
    <w:p w14:paraId="67A06D96" w14:textId="21504140" w:rsidR="00CA1BD1" w:rsidRPr="004245EB" w:rsidRDefault="001C2F9B" w:rsidP="004245EB">
      <w:pPr>
        <w:spacing w:after="0" w:line="480" w:lineRule="auto"/>
        <w:ind w:firstLine="720"/>
        <w:jc w:val="both"/>
        <w:rPr>
          <w:rFonts w:ascii="Times New Roman" w:hAnsi="Times New Roman"/>
          <w:lang w:val="es-MX"/>
        </w:rPr>
      </w:pPr>
      <w:r w:rsidRPr="004245EB">
        <w:rPr>
          <w:rFonts w:ascii="Times New Roman" w:hAnsi="Times New Roman"/>
          <w:lang w:val="es-MX"/>
        </w:rPr>
        <w:t>Durante el presente</w:t>
      </w:r>
      <w:r w:rsidR="00CA1BD1" w:rsidRPr="004245EB">
        <w:rPr>
          <w:rFonts w:ascii="Times New Roman" w:hAnsi="Times New Roman"/>
          <w:lang w:val="es-MX"/>
        </w:rPr>
        <w:t xml:space="preserve"> año </w:t>
      </w:r>
      <w:r w:rsidRPr="004245EB">
        <w:rPr>
          <w:rFonts w:ascii="Times New Roman" w:hAnsi="Times New Roman"/>
          <w:lang w:val="es-MX"/>
        </w:rPr>
        <w:t xml:space="preserve">hasta el mes de octubre </w:t>
      </w:r>
      <w:r w:rsidR="00CA1BD1" w:rsidRPr="004245EB">
        <w:rPr>
          <w:rFonts w:ascii="Times New Roman" w:hAnsi="Times New Roman"/>
          <w:lang w:val="es-MX"/>
        </w:rPr>
        <w:t>se han vendido 1,770 quintales de semillas de las variedades</w:t>
      </w:r>
      <w:r w:rsidRPr="004245EB">
        <w:rPr>
          <w:rFonts w:ascii="Times New Roman" w:hAnsi="Times New Roman"/>
          <w:lang w:val="es-MX"/>
        </w:rPr>
        <w:t xml:space="preserve"> públicas Juma 67 y Juma 68-18. A</w:t>
      </w:r>
      <w:r w:rsidR="00CA1BD1" w:rsidRPr="004245EB">
        <w:rPr>
          <w:rFonts w:ascii="Times New Roman" w:hAnsi="Times New Roman"/>
          <w:lang w:val="es-MX"/>
        </w:rPr>
        <w:t xml:space="preserve">l cierre del año 2019 se proyecta </w:t>
      </w:r>
      <w:r w:rsidRPr="004245EB">
        <w:rPr>
          <w:rFonts w:ascii="Times New Roman" w:hAnsi="Times New Roman"/>
          <w:lang w:val="es-MX"/>
        </w:rPr>
        <w:t xml:space="preserve">la venta durante </w:t>
      </w:r>
      <w:r w:rsidR="00CA1BD1" w:rsidRPr="004245EB">
        <w:rPr>
          <w:rFonts w:ascii="Times New Roman" w:hAnsi="Times New Roman"/>
          <w:lang w:val="es-MX"/>
        </w:rPr>
        <w:t xml:space="preserve">los meses de noviembre y diciembre </w:t>
      </w:r>
      <w:r w:rsidRPr="004245EB">
        <w:rPr>
          <w:rFonts w:ascii="Times New Roman" w:hAnsi="Times New Roman"/>
          <w:lang w:val="es-MX"/>
        </w:rPr>
        <w:t xml:space="preserve">de </w:t>
      </w:r>
      <w:r w:rsidR="00CA1BD1" w:rsidRPr="004245EB">
        <w:rPr>
          <w:rFonts w:ascii="Times New Roman" w:hAnsi="Times New Roman"/>
          <w:lang w:val="es-MX"/>
        </w:rPr>
        <w:t>3,000</w:t>
      </w:r>
      <w:r w:rsidRPr="004245EB">
        <w:rPr>
          <w:rFonts w:ascii="Times New Roman" w:hAnsi="Times New Roman"/>
          <w:lang w:val="es-MX"/>
        </w:rPr>
        <w:t xml:space="preserve"> </w:t>
      </w:r>
      <w:r w:rsidR="00CA1BD1" w:rsidRPr="004245EB">
        <w:rPr>
          <w:rFonts w:ascii="Times New Roman" w:hAnsi="Times New Roman"/>
          <w:lang w:val="es-MX"/>
        </w:rPr>
        <w:t>para totalizar 4,770 quintales.</w:t>
      </w:r>
    </w:p>
    <w:p w14:paraId="622ACB6C" w14:textId="04060DE4" w:rsidR="00680D76" w:rsidRDefault="00680D76">
      <w:pPr>
        <w:spacing w:after="0"/>
        <w:rPr>
          <w:rFonts w:ascii="Times New Roman" w:eastAsia="Calibri" w:hAnsi="Times New Roman"/>
          <w:lang w:val="es-ES_tradnl" w:eastAsia="en-US"/>
        </w:rPr>
      </w:pPr>
    </w:p>
    <w:p w14:paraId="03D6093E" w14:textId="77777777" w:rsidR="004245EB" w:rsidRPr="004245EB" w:rsidRDefault="00CA1BD1" w:rsidP="004245EB">
      <w:pPr>
        <w:pStyle w:val="Prrafodelista"/>
        <w:numPr>
          <w:ilvl w:val="0"/>
          <w:numId w:val="6"/>
        </w:numPr>
        <w:spacing w:after="0" w:line="480" w:lineRule="auto"/>
        <w:ind w:left="284" w:hanging="142"/>
        <w:jc w:val="both"/>
        <w:rPr>
          <w:rFonts w:ascii="Times New Roman" w:hAnsi="Times New Roman"/>
          <w:sz w:val="24"/>
          <w:szCs w:val="24"/>
        </w:rPr>
      </w:pPr>
      <w:r w:rsidRPr="009A5289">
        <w:rPr>
          <w:rFonts w:ascii="Times New Roman" w:hAnsi="Times New Roman"/>
          <w:b/>
          <w:sz w:val="24"/>
          <w:szCs w:val="24"/>
        </w:rPr>
        <w:t>Programa de Promoción para uso de s</w:t>
      </w:r>
      <w:r w:rsidR="004245EB">
        <w:rPr>
          <w:rFonts w:ascii="Times New Roman" w:hAnsi="Times New Roman"/>
          <w:b/>
          <w:sz w:val="24"/>
          <w:szCs w:val="24"/>
        </w:rPr>
        <w:t>emillas certificada</w:t>
      </w:r>
    </w:p>
    <w:p w14:paraId="744ACA5A" w14:textId="77777777" w:rsidR="004245EB" w:rsidRPr="004245EB" w:rsidRDefault="004245EB" w:rsidP="004245EB">
      <w:pPr>
        <w:pStyle w:val="Prrafodelista"/>
        <w:rPr>
          <w:rFonts w:ascii="Times New Roman" w:hAnsi="Times New Roman"/>
          <w:sz w:val="24"/>
          <w:szCs w:val="24"/>
        </w:rPr>
      </w:pPr>
    </w:p>
    <w:p w14:paraId="1FC6381F" w14:textId="452D4206" w:rsidR="00CA1BD1" w:rsidRPr="004245EB" w:rsidRDefault="009A5289" w:rsidP="004245EB">
      <w:pPr>
        <w:spacing w:after="0" w:line="480" w:lineRule="auto"/>
        <w:ind w:firstLine="720"/>
        <w:jc w:val="both"/>
        <w:rPr>
          <w:rFonts w:ascii="Times New Roman" w:hAnsi="Times New Roman"/>
          <w:lang w:val="es-MX"/>
        </w:rPr>
      </w:pPr>
      <w:r w:rsidRPr="004245EB">
        <w:rPr>
          <w:rFonts w:ascii="Times New Roman" w:hAnsi="Times New Roman"/>
          <w:lang w:val="es-MX"/>
        </w:rPr>
        <w:lastRenderedPageBreak/>
        <w:t>Este programa r</w:t>
      </w:r>
      <w:r w:rsidR="00CA1BD1" w:rsidRPr="004245EB">
        <w:rPr>
          <w:rFonts w:ascii="Times New Roman" w:hAnsi="Times New Roman"/>
          <w:lang w:val="es-MX"/>
        </w:rPr>
        <w:t>ealizó un acuerdo para el uso de semilla</w:t>
      </w:r>
      <w:r w:rsidRPr="004245EB">
        <w:rPr>
          <w:rFonts w:ascii="Times New Roman" w:hAnsi="Times New Roman"/>
          <w:lang w:val="es-MX"/>
        </w:rPr>
        <w:t>s</w:t>
      </w:r>
      <w:r w:rsidR="00CA1BD1" w:rsidRPr="004245EB">
        <w:rPr>
          <w:rFonts w:ascii="Times New Roman" w:hAnsi="Times New Roman"/>
          <w:lang w:val="es-MX"/>
        </w:rPr>
        <w:t xml:space="preserve"> certificada</w:t>
      </w:r>
      <w:r w:rsidRPr="004245EB">
        <w:rPr>
          <w:rFonts w:ascii="Times New Roman" w:hAnsi="Times New Roman"/>
          <w:lang w:val="es-MX"/>
        </w:rPr>
        <w:t>s,</w:t>
      </w:r>
      <w:r w:rsidR="00CA1BD1" w:rsidRPr="004245EB">
        <w:rPr>
          <w:rFonts w:ascii="Times New Roman" w:hAnsi="Times New Roman"/>
          <w:lang w:val="es-MX"/>
        </w:rPr>
        <w:t xml:space="preserve"> con las empresas de semillas propietarias de variedades, en total unos 15,000 quintales participaron este año 2019, beneficiando unos 1,875 productores.</w:t>
      </w:r>
    </w:p>
    <w:p w14:paraId="2D879FBD" w14:textId="77777777" w:rsidR="008D38EE" w:rsidRPr="009A5289" w:rsidRDefault="008D38EE" w:rsidP="008D38EE">
      <w:pPr>
        <w:pStyle w:val="Prrafodelista"/>
        <w:spacing w:after="0" w:line="480" w:lineRule="auto"/>
        <w:ind w:left="426"/>
        <w:jc w:val="both"/>
        <w:rPr>
          <w:rFonts w:ascii="Times New Roman" w:hAnsi="Times New Roman"/>
          <w:sz w:val="24"/>
          <w:szCs w:val="24"/>
        </w:rPr>
      </w:pPr>
    </w:p>
    <w:p w14:paraId="000F9CD9" w14:textId="40714A89" w:rsidR="00CA1BD1" w:rsidRPr="004245EB" w:rsidRDefault="00CA1BD1" w:rsidP="004245EB">
      <w:pPr>
        <w:spacing w:after="0" w:line="480" w:lineRule="auto"/>
        <w:ind w:firstLine="720"/>
        <w:jc w:val="both"/>
        <w:rPr>
          <w:rFonts w:ascii="Times New Roman" w:hAnsi="Times New Roman"/>
          <w:lang w:val="es-MX"/>
        </w:rPr>
      </w:pPr>
      <w:r w:rsidRPr="004245EB">
        <w:rPr>
          <w:rFonts w:ascii="Times New Roman" w:hAnsi="Times New Roman"/>
          <w:lang w:val="es-MX"/>
        </w:rPr>
        <w:t>Instalación de 10 Parcelas Demostrativas con una extensión de 1,500 tareas, con miras al desarrollo y capacitación en la siembra de la nueva variedad LRC Juma 69-20, la cual es resistente a la familia de los graminicidas totales del grupo de las ACCasa.</w:t>
      </w:r>
    </w:p>
    <w:p w14:paraId="5CCF13A9" w14:textId="77777777" w:rsidR="00CA1BD1" w:rsidRPr="009A5289" w:rsidRDefault="00CA1BD1" w:rsidP="00CA1BD1">
      <w:pPr>
        <w:pStyle w:val="Prrafodelista"/>
        <w:rPr>
          <w:rFonts w:ascii="Times New Roman" w:hAnsi="Times New Roman"/>
          <w:sz w:val="24"/>
          <w:szCs w:val="24"/>
        </w:rPr>
      </w:pPr>
    </w:p>
    <w:p w14:paraId="65A24E98" w14:textId="77777777" w:rsidR="00CA1BD1" w:rsidRPr="004245EB" w:rsidRDefault="00CA1BD1" w:rsidP="004245EB">
      <w:pPr>
        <w:spacing w:after="0" w:line="480" w:lineRule="auto"/>
        <w:ind w:firstLine="720"/>
        <w:jc w:val="both"/>
        <w:rPr>
          <w:rFonts w:ascii="Times New Roman" w:hAnsi="Times New Roman"/>
          <w:lang w:val="es-MX"/>
        </w:rPr>
      </w:pPr>
      <w:r w:rsidRPr="004245EB">
        <w:rPr>
          <w:rFonts w:ascii="Times New Roman" w:hAnsi="Times New Roman"/>
          <w:lang w:val="es-MX"/>
        </w:rPr>
        <w:t xml:space="preserve">Producción de 600 quintales de semillas básicas de la nueva variedad LRC JUMA 69-20 para la multiplicación de semillas certificadas y campos demostrativos. </w:t>
      </w:r>
    </w:p>
    <w:p w14:paraId="406C2A6C" w14:textId="77777777" w:rsidR="00417865" w:rsidRPr="009A5289" w:rsidRDefault="00417865" w:rsidP="00314384"/>
    <w:p w14:paraId="10A43D37" w14:textId="77777777" w:rsidR="001C76C4" w:rsidRPr="009A5289" w:rsidRDefault="007258E5" w:rsidP="00CA5792">
      <w:pPr>
        <w:pStyle w:val="Ttulo3"/>
      </w:pPr>
      <w:bookmarkStart w:id="217" w:name="_Toc26292071"/>
      <w:bookmarkStart w:id="218" w:name="_Toc27146778"/>
      <w:r w:rsidRPr="009A5289">
        <w:t>Programa de r</w:t>
      </w:r>
      <w:r w:rsidR="00B15233" w:rsidRPr="009A5289">
        <w:t xml:space="preserve">astreabilidad y fortalecimiento del sistema de inspección animal para </w:t>
      </w:r>
      <w:r w:rsidR="00BF35F6" w:rsidRPr="009A5289">
        <w:t>e</w:t>
      </w:r>
      <w:r w:rsidR="001C76C4" w:rsidRPr="009A5289">
        <w:t xml:space="preserve">xportación de </w:t>
      </w:r>
      <w:r w:rsidR="00BF35F6" w:rsidRPr="009A5289">
        <w:t>c</w:t>
      </w:r>
      <w:r w:rsidR="001C76C4" w:rsidRPr="009A5289">
        <w:t>arnes</w:t>
      </w:r>
      <w:r w:rsidR="00B15233" w:rsidRPr="009A5289">
        <w:t>.</w:t>
      </w:r>
      <w:bookmarkEnd w:id="217"/>
      <w:bookmarkEnd w:id="218"/>
    </w:p>
    <w:p w14:paraId="07CD2181" w14:textId="77777777" w:rsidR="001C76C4" w:rsidRPr="009A5289" w:rsidRDefault="001C76C4" w:rsidP="00017F86">
      <w:pPr>
        <w:pStyle w:val="Sinespaciado"/>
        <w:jc w:val="both"/>
        <w:rPr>
          <w:rFonts w:ascii="Times New Roman" w:hAnsi="Times New Roman"/>
        </w:rPr>
      </w:pPr>
    </w:p>
    <w:p w14:paraId="638B0004" w14:textId="77777777" w:rsidR="001C76C4" w:rsidRPr="009A5289" w:rsidRDefault="00BE28CE" w:rsidP="0020047B">
      <w:pPr>
        <w:pStyle w:val="Sinespaciado"/>
        <w:numPr>
          <w:ilvl w:val="0"/>
          <w:numId w:val="7"/>
        </w:numPr>
        <w:spacing w:line="480" w:lineRule="auto"/>
        <w:rPr>
          <w:rFonts w:ascii="Times New Roman" w:hAnsi="Times New Roman"/>
          <w:b/>
        </w:rPr>
      </w:pPr>
      <w:r w:rsidRPr="009A5289">
        <w:rPr>
          <w:rFonts w:ascii="Times New Roman" w:hAnsi="Times New Roman"/>
          <w:b/>
        </w:rPr>
        <w:t>Logros</w:t>
      </w:r>
    </w:p>
    <w:p w14:paraId="668C9575" w14:textId="77777777" w:rsidR="001C76C4" w:rsidRPr="009A5289" w:rsidRDefault="00F46641" w:rsidP="0020047B">
      <w:pPr>
        <w:pStyle w:val="Prrafodelista"/>
        <w:numPr>
          <w:ilvl w:val="0"/>
          <w:numId w:val="6"/>
        </w:numPr>
        <w:spacing w:after="0" w:line="480" w:lineRule="auto"/>
        <w:ind w:left="284" w:hanging="142"/>
        <w:jc w:val="both"/>
        <w:rPr>
          <w:rFonts w:ascii="Times New Roman" w:hAnsi="Times New Roman"/>
          <w:b/>
          <w:color w:val="000000" w:themeColor="text1"/>
          <w:sz w:val="24"/>
          <w:szCs w:val="24"/>
        </w:rPr>
      </w:pPr>
      <w:r w:rsidRPr="009A5289">
        <w:rPr>
          <w:rFonts w:ascii="Times New Roman" w:hAnsi="Times New Roman"/>
          <w:b/>
          <w:color w:val="000000" w:themeColor="text1"/>
          <w:sz w:val="24"/>
          <w:szCs w:val="24"/>
        </w:rPr>
        <w:t>Trazabilidad Bovina</w:t>
      </w:r>
      <w:r w:rsidR="00D91DD6" w:rsidRPr="009A5289">
        <w:rPr>
          <w:rStyle w:val="Refdenotaalpie"/>
          <w:rFonts w:ascii="Times New Roman" w:hAnsi="Times New Roman"/>
          <w:b/>
          <w:color w:val="000000" w:themeColor="text1"/>
          <w:sz w:val="24"/>
          <w:szCs w:val="24"/>
        </w:rPr>
        <w:footnoteReference w:id="16"/>
      </w:r>
    </w:p>
    <w:p w14:paraId="3A4E9AF2" w14:textId="6EC64371" w:rsidR="001C76C4" w:rsidRPr="009A5289" w:rsidRDefault="00993008" w:rsidP="0020047B">
      <w:pPr>
        <w:pStyle w:val="Prrafodelista"/>
        <w:numPr>
          <w:ilvl w:val="1"/>
          <w:numId w:val="7"/>
        </w:numPr>
        <w:spacing w:after="0" w:line="480" w:lineRule="auto"/>
        <w:jc w:val="both"/>
        <w:rPr>
          <w:rFonts w:ascii="Times New Roman" w:hAnsi="Times New Roman"/>
          <w:sz w:val="24"/>
          <w:szCs w:val="24"/>
        </w:rPr>
      </w:pPr>
      <w:r w:rsidRPr="009A5289">
        <w:rPr>
          <w:rFonts w:ascii="Times New Roman" w:hAnsi="Times New Roman"/>
          <w:sz w:val="24"/>
          <w:szCs w:val="24"/>
        </w:rPr>
        <w:t xml:space="preserve">Más de </w:t>
      </w:r>
      <w:r w:rsidR="001E3361" w:rsidRPr="009A5289">
        <w:rPr>
          <w:rFonts w:ascii="Times New Roman" w:hAnsi="Times New Roman"/>
          <w:sz w:val="24"/>
          <w:szCs w:val="24"/>
        </w:rPr>
        <w:t>1,8</w:t>
      </w:r>
      <w:r w:rsidRPr="009A5289">
        <w:rPr>
          <w:rFonts w:ascii="Times New Roman" w:hAnsi="Times New Roman"/>
          <w:sz w:val="24"/>
          <w:szCs w:val="24"/>
        </w:rPr>
        <w:t>00</w:t>
      </w:r>
      <w:r w:rsidR="001C76C4" w:rsidRPr="009A5289">
        <w:rPr>
          <w:rFonts w:ascii="Times New Roman" w:hAnsi="Times New Roman"/>
          <w:sz w:val="24"/>
          <w:szCs w:val="24"/>
        </w:rPr>
        <w:t xml:space="preserve"> </w:t>
      </w:r>
      <w:r w:rsidR="001E3361" w:rsidRPr="009A5289">
        <w:rPr>
          <w:rFonts w:ascii="Times New Roman" w:hAnsi="Times New Roman"/>
          <w:sz w:val="24"/>
          <w:szCs w:val="24"/>
        </w:rPr>
        <w:t>establecimientos</w:t>
      </w:r>
      <w:r w:rsidR="001C76C4" w:rsidRPr="009A5289">
        <w:rPr>
          <w:rFonts w:ascii="Times New Roman" w:hAnsi="Times New Roman"/>
          <w:sz w:val="24"/>
          <w:szCs w:val="24"/>
        </w:rPr>
        <w:t xml:space="preserve"> registrados</w:t>
      </w:r>
      <w:r w:rsidR="00F46641" w:rsidRPr="009A5289">
        <w:rPr>
          <w:rFonts w:ascii="Times New Roman" w:hAnsi="Times New Roman"/>
          <w:sz w:val="24"/>
          <w:szCs w:val="24"/>
        </w:rPr>
        <w:t>.</w:t>
      </w:r>
    </w:p>
    <w:p w14:paraId="749B0FE6" w14:textId="58DC3048" w:rsidR="001C76C4" w:rsidRPr="009A5289" w:rsidRDefault="004468DA" w:rsidP="0020047B">
      <w:pPr>
        <w:pStyle w:val="Prrafodelista"/>
        <w:numPr>
          <w:ilvl w:val="1"/>
          <w:numId w:val="7"/>
        </w:numPr>
        <w:spacing w:after="0" w:line="480" w:lineRule="auto"/>
        <w:jc w:val="both"/>
        <w:rPr>
          <w:rFonts w:ascii="Times New Roman" w:hAnsi="Times New Roman"/>
          <w:sz w:val="24"/>
          <w:szCs w:val="24"/>
        </w:rPr>
      </w:pPr>
      <w:r>
        <w:rPr>
          <w:rFonts w:ascii="Times New Roman" w:hAnsi="Times New Roman"/>
          <w:sz w:val="24"/>
          <w:szCs w:val="24"/>
        </w:rPr>
        <w:t xml:space="preserve">Más de 600,000 </w:t>
      </w:r>
      <w:r w:rsidR="001C76C4" w:rsidRPr="009A5289">
        <w:rPr>
          <w:rFonts w:ascii="Times New Roman" w:hAnsi="Times New Roman"/>
          <w:sz w:val="24"/>
          <w:szCs w:val="24"/>
        </w:rPr>
        <w:t xml:space="preserve">bovinos </w:t>
      </w:r>
      <w:r w:rsidR="001E3361" w:rsidRPr="009A5289">
        <w:rPr>
          <w:rFonts w:ascii="Times New Roman" w:hAnsi="Times New Roman"/>
          <w:sz w:val="24"/>
          <w:szCs w:val="24"/>
        </w:rPr>
        <w:t xml:space="preserve">areteados e </w:t>
      </w:r>
      <w:r w:rsidR="001C76C4" w:rsidRPr="009A5289">
        <w:rPr>
          <w:rFonts w:ascii="Times New Roman" w:hAnsi="Times New Roman"/>
          <w:sz w:val="24"/>
          <w:szCs w:val="24"/>
        </w:rPr>
        <w:t>identificados</w:t>
      </w:r>
      <w:r>
        <w:rPr>
          <w:rFonts w:ascii="Times New Roman" w:hAnsi="Times New Roman"/>
          <w:sz w:val="24"/>
          <w:szCs w:val="24"/>
        </w:rPr>
        <w:t xml:space="preserve"> durante el periodo</w:t>
      </w:r>
    </w:p>
    <w:p w14:paraId="7BBDF086" w14:textId="266384D7" w:rsidR="004B536B" w:rsidRPr="009A5289" w:rsidRDefault="00993008" w:rsidP="0020047B">
      <w:pPr>
        <w:pStyle w:val="Prrafodelista"/>
        <w:numPr>
          <w:ilvl w:val="1"/>
          <w:numId w:val="7"/>
        </w:numPr>
        <w:spacing w:after="0" w:line="480" w:lineRule="auto"/>
        <w:jc w:val="both"/>
        <w:rPr>
          <w:rFonts w:ascii="Times New Roman" w:hAnsi="Times New Roman"/>
          <w:sz w:val="24"/>
          <w:szCs w:val="24"/>
        </w:rPr>
      </w:pPr>
      <w:r w:rsidRPr="009A5289">
        <w:rPr>
          <w:rFonts w:ascii="Times New Roman" w:hAnsi="Times New Roman"/>
          <w:sz w:val="24"/>
          <w:szCs w:val="24"/>
        </w:rPr>
        <w:t xml:space="preserve">Más de </w:t>
      </w:r>
      <w:r w:rsidR="004B536B" w:rsidRPr="009A5289">
        <w:rPr>
          <w:rFonts w:ascii="Times New Roman" w:hAnsi="Times New Roman"/>
          <w:sz w:val="24"/>
          <w:szCs w:val="24"/>
        </w:rPr>
        <w:t>1,9</w:t>
      </w:r>
      <w:r w:rsidRPr="009A5289">
        <w:rPr>
          <w:rFonts w:ascii="Times New Roman" w:hAnsi="Times New Roman"/>
          <w:sz w:val="24"/>
          <w:szCs w:val="24"/>
        </w:rPr>
        <w:t>00</w:t>
      </w:r>
      <w:r w:rsidR="004B536B" w:rsidRPr="009A5289">
        <w:rPr>
          <w:rFonts w:ascii="Times New Roman" w:hAnsi="Times New Roman"/>
          <w:sz w:val="24"/>
          <w:szCs w:val="24"/>
        </w:rPr>
        <w:t xml:space="preserve"> productores beneficiados.</w:t>
      </w:r>
    </w:p>
    <w:p w14:paraId="40C13C31" w14:textId="77777777" w:rsidR="00553D9A" w:rsidRPr="001E3361" w:rsidRDefault="00553D9A" w:rsidP="007A13FD">
      <w:pPr>
        <w:spacing w:after="0" w:line="360" w:lineRule="auto"/>
        <w:ind w:left="1276"/>
        <w:jc w:val="both"/>
        <w:rPr>
          <w:rFonts w:ascii="Times New Roman" w:hAnsi="Times New Roman"/>
        </w:rPr>
      </w:pPr>
    </w:p>
    <w:p w14:paraId="502EF2D9" w14:textId="77777777" w:rsidR="004678D0" w:rsidRPr="0098414F" w:rsidRDefault="00433B99" w:rsidP="001C6B1A">
      <w:pPr>
        <w:pStyle w:val="Prrafodelista"/>
        <w:numPr>
          <w:ilvl w:val="0"/>
          <w:numId w:val="8"/>
        </w:numPr>
        <w:spacing w:after="0"/>
        <w:rPr>
          <w:rFonts w:ascii="Times New Roman" w:hAnsi="Times New Roman"/>
          <w:b/>
          <w:sz w:val="24"/>
          <w:lang w:val="es-ES"/>
        </w:rPr>
      </w:pPr>
      <w:r w:rsidRPr="0098414F">
        <w:rPr>
          <w:rFonts w:ascii="Times New Roman" w:hAnsi="Times New Roman"/>
          <w:b/>
          <w:sz w:val="24"/>
          <w:lang w:val="es-ES"/>
        </w:rPr>
        <w:lastRenderedPageBreak/>
        <w:t>B</w:t>
      </w:r>
      <w:r w:rsidR="00417865">
        <w:rPr>
          <w:rFonts w:ascii="Times New Roman" w:hAnsi="Times New Roman"/>
          <w:b/>
          <w:sz w:val="24"/>
          <w:lang w:val="es-ES"/>
        </w:rPr>
        <w:t>ovinos</w:t>
      </w:r>
      <w:r w:rsidRPr="0098414F">
        <w:rPr>
          <w:rFonts w:ascii="Times New Roman" w:hAnsi="Times New Roman"/>
          <w:b/>
          <w:sz w:val="24"/>
          <w:lang w:val="es-ES"/>
        </w:rPr>
        <w:t xml:space="preserve"> areteados</w:t>
      </w:r>
    </w:p>
    <w:p w14:paraId="342760E0" w14:textId="49BE48AC" w:rsidR="004678D0" w:rsidRDefault="00993008" w:rsidP="004678D0">
      <w:pPr>
        <w:spacing w:after="0" w:line="480" w:lineRule="auto"/>
        <w:rPr>
          <w:rFonts w:ascii="Times New Roman" w:hAnsi="Times New Roman"/>
        </w:rPr>
      </w:pPr>
      <w:r>
        <w:rPr>
          <w:noProof/>
          <w:lang w:eastAsia="es-DO"/>
        </w:rPr>
        <w:drawing>
          <wp:inline distT="0" distB="0" distL="0" distR="0" wp14:anchorId="23F6C002" wp14:editId="2C9A2C1B">
            <wp:extent cx="5415148" cy="2827655"/>
            <wp:effectExtent l="0" t="0" r="0" b="0"/>
            <wp:docPr id="192" name="Gráfico 19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65BC3662" w14:textId="77777777" w:rsidR="001C76C4" w:rsidRPr="009A5289" w:rsidRDefault="001C76C4" w:rsidP="0020047B">
      <w:pPr>
        <w:pStyle w:val="Prrafodelista"/>
        <w:numPr>
          <w:ilvl w:val="0"/>
          <w:numId w:val="6"/>
        </w:numPr>
        <w:spacing w:after="0" w:line="480" w:lineRule="auto"/>
        <w:ind w:left="284" w:hanging="142"/>
        <w:jc w:val="both"/>
        <w:rPr>
          <w:rFonts w:ascii="Times New Roman" w:hAnsi="Times New Roman"/>
          <w:b/>
          <w:sz w:val="24"/>
          <w:szCs w:val="24"/>
        </w:rPr>
      </w:pPr>
      <w:r w:rsidRPr="009A5289">
        <w:rPr>
          <w:rFonts w:ascii="Times New Roman" w:hAnsi="Times New Roman"/>
          <w:b/>
          <w:sz w:val="24"/>
          <w:szCs w:val="24"/>
        </w:rPr>
        <w:t>Vigilancia de Encefalopatía Espongiforme Bovina</w:t>
      </w:r>
    </w:p>
    <w:p w14:paraId="007F329C" w14:textId="66013F2C" w:rsidR="001E3361" w:rsidRPr="009A5289" w:rsidRDefault="004468DA" w:rsidP="0020047B">
      <w:pPr>
        <w:pStyle w:val="Prrafodelista"/>
        <w:numPr>
          <w:ilvl w:val="1"/>
          <w:numId w:val="7"/>
        </w:numPr>
        <w:spacing w:after="0" w:line="48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18,477</w:t>
      </w:r>
      <w:r w:rsidR="001E3361" w:rsidRPr="009A5289">
        <w:rPr>
          <w:rFonts w:ascii="Times New Roman" w:hAnsi="Times New Roman"/>
          <w:color w:val="000000" w:themeColor="text1"/>
          <w:sz w:val="24"/>
          <w:szCs w:val="24"/>
        </w:rPr>
        <w:t xml:space="preserve"> puntos obtenidos en el muestro de animales</w:t>
      </w:r>
    </w:p>
    <w:p w14:paraId="2AC53874" w14:textId="0ECAE94B" w:rsidR="001C76C4" w:rsidRPr="009A5289" w:rsidRDefault="00741AC4" w:rsidP="0020047B">
      <w:pPr>
        <w:pStyle w:val="Prrafodelista"/>
        <w:numPr>
          <w:ilvl w:val="1"/>
          <w:numId w:val="7"/>
        </w:numPr>
        <w:spacing w:after="0" w:line="480" w:lineRule="auto"/>
        <w:jc w:val="both"/>
        <w:rPr>
          <w:rFonts w:ascii="Times New Roman" w:hAnsi="Times New Roman"/>
          <w:color w:val="000000" w:themeColor="text1"/>
          <w:sz w:val="24"/>
          <w:szCs w:val="24"/>
        </w:rPr>
      </w:pPr>
      <w:r w:rsidRPr="009A5289">
        <w:rPr>
          <w:rFonts w:ascii="Times New Roman" w:hAnsi="Times New Roman"/>
          <w:color w:val="000000" w:themeColor="text1"/>
          <w:sz w:val="24"/>
          <w:szCs w:val="24"/>
        </w:rPr>
        <w:t xml:space="preserve">Más de </w:t>
      </w:r>
      <w:r w:rsidR="00506EE9" w:rsidRPr="009A5289">
        <w:rPr>
          <w:rFonts w:ascii="Times New Roman" w:hAnsi="Times New Roman"/>
          <w:color w:val="000000" w:themeColor="text1"/>
          <w:sz w:val="24"/>
          <w:szCs w:val="24"/>
        </w:rPr>
        <w:t>18</w:t>
      </w:r>
      <w:r w:rsidR="00993008" w:rsidRPr="009A5289">
        <w:rPr>
          <w:rFonts w:ascii="Times New Roman" w:hAnsi="Times New Roman"/>
          <w:color w:val="000000" w:themeColor="text1"/>
          <w:sz w:val="24"/>
          <w:szCs w:val="24"/>
        </w:rPr>
        <w:t>0</w:t>
      </w:r>
      <w:r w:rsidR="00506EE9" w:rsidRPr="009A5289">
        <w:rPr>
          <w:rFonts w:ascii="Times New Roman" w:hAnsi="Times New Roman"/>
          <w:color w:val="000000" w:themeColor="text1"/>
          <w:sz w:val="24"/>
          <w:szCs w:val="24"/>
        </w:rPr>
        <w:t xml:space="preserve"> técnicos capacitados</w:t>
      </w:r>
      <w:r w:rsidRPr="009A5289">
        <w:rPr>
          <w:rFonts w:ascii="Times New Roman" w:hAnsi="Times New Roman"/>
          <w:color w:val="000000" w:themeColor="text1"/>
          <w:sz w:val="24"/>
          <w:szCs w:val="24"/>
        </w:rPr>
        <w:t xml:space="preserve"> para el control y vigilancia.</w:t>
      </w:r>
    </w:p>
    <w:p w14:paraId="7E6129B9" w14:textId="319AE3AC" w:rsidR="004A2905" w:rsidRDefault="004A2905">
      <w:pPr>
        <w:spacing w:after="0"/>
        <w:rPr>
          <w:rFonts w:ascii="Times New Roman" w:eastAsia="Calibri" w:hAnsi="Times New Roman"/>
          <w:lang w:eastAsia="en-US"/>
        </w:rPr>
      </w:pPr>
    </w:p>
    <w:p w14:paraId="69070285" w14:textId="77777777" w:rsidR="001C76C4" w:rsidRPr="009A5289" w:rsidRDefault="001C76C4" w:rsidP="004A2905">
      <w:pPr>
        <w:pStyle w:val="Prrafodelista"/>
        <w:numPr>
          <w:ilvl w:val="0"/>
          <w:numId w:val="6"/>
        </w:numPr>
        <w:spacing w:after="0" w:line="480" w:lineRule="auto"/>
        <w:ind w:left="284" w:hanging="142"/>
        <w:jc w:val="both"/>
        <w:rPr>
          <w:rFonts w:ascii="Times New Roman" w:hAnsi="Times New Roman"/>
          <w:b/>
          <w:sz w:val="24"/>
          <w:szCs w:val="24"/>
        </w:rPr>
      </w:pPr>
      <w:r w:rsidRPr="0098414F">
        <w:rPr>
          <w:rFonts w:ascii="Times New Roman" w:hAnsi="Times New Roman"/>
          <w:b/>
          <w:sz w:val="24"/>
          <w:szCs w:val="24"/>
        </w:rPr>
        <w:t xml:space="preserve">Fortalecimiento </w:t>
      </w:r>
      <w:r w:rsidR="00F46641" w:rsidRPr="0098414F">
        <w:rPr>
          <w:rFonts w:ascii="Times New Roman" w:hAnsi="Times New Roman"/>
          <w:b/>
          <w:sz w:val="24"/>
          <w:szCs w:val="24"/>
        </w:rPr>
        <w:t xml:space="preserve">de Capacidades </w:t>
      </w:r>
      <w:r w:rsidRPr="0098414F">
        <w:rPr>
          <w:rFonts w:ascii="Times New Roman" w:hAnsi="Times New Roman"/>
          <w:b/>
          <w:sz w:val="24"/>
          <w:szCs w:val="24"/>
        </w:rPr>
        <w:t xml:space="preserve">del Sistema de Inspección de Carnes y </w:t>
      </w:r>
      <w:r w:rsidRPr="009A5289">
        <w:rPr>
          <w:rFonts w:ascii="Times New Roman" w:hAnsi="Times New Roman"/>
          <w:b/>
          <w:sz w:val="24"/>
          <w:szCs w:val="24"/>
        </w:rPr>
        <w:t>Derivados</w:t>
      </w:r>
    </w:p>
    <w:p w14:paraId="4CF88F31" w14:textId="77777777" w:rsidR="001C76C4" w:rsidRPr="009A5289" w:rsidRDefault="001E3361" w:rsidP="004A2905">
      <w:pPr>
        <w:pStyle w:val="Prrafodelista"/>
        <w:numPr>
          <w:ilvl w:val="1"/>
          <w:numId w:val="7"/>
        </w:numPr>
        <w:spacing w:after="0" w:line="480" w:lineRule="auto"/>
        <w:jc w:val="both"/>
        <w:rPr>
          <w:rFonts w:ascii="Times New Roman" w:hAnsi="Times New Roman"/>
          <w:color w:val="000000" w:themeColor="text1"/>
          <w:sz w:val="24"/>
          <w:szCs w:val="24"/>
        </w:rPr>
      </w:pPr>
      <w:r w:rsidRPr="009A5289">
        <w:rPr>
          <w:rFonts w:ascii="Times New Roman" w:hAnsi="Times New Roman"/>
          <w:color w:val="000000" w:themeColor="text1"/>
          <w:sz w:val="24"/>
          <w:szCs w:val="24"/>
        </w:rPr>
        <w:t xml:space="preserve">Más de </w:t>
      </w:r>
      <w:r w:rsidR="001C76C4" w:rsidRPr="009A5289">
        <w:rPr>
          <w:rFonts w:ascii="Times New Roman" w:hAnsi="Times New Roman"/>
          <w:color w:val="000000" w:themeColor="text1"/>
          <w:sz w:val="24"/>
          <w:szCs w:val="24"/>
        </w:rPr>
        <w:t xml:space="preserve">30 </w:t>
      </w:r>
      <w:r w:rsidR="005D65BB" w:rsidRPr="009A5289">
        <w:rPr>
          <w:rFonts w:ascii="Times New Roman" w:hAnsi="Times New Roman"/>
          <w:color w:val="000000" w:themeColor="text1"/>
          <w:sz w:val="24"/>
          <w:szCs w:val="24"/>
        </w:rPr>
        <w:t>t</w:t>
      </w:r>
      <w:r w:rsidR="001C76C4" w:rsidRPr="009A5289">
        <w:rPr>
          <w:rFonts w:ascii="Times New Roman" w:hAnsi="Times New Roman"/>
          <w:color w:val="000000" w:themeColor="text1"/>
          <w:sz w:val="24"/>
          <w:szCs w:val="24"/>
        </w:rPr>
        <w:t>écnicos y operadores de mataderos capacitados</w:t>
      </w:r>
      <w:r w:rsidR="005D65BB" w:rsidRPr="009A5289">
        <w:rPr>
          <w:rFonts w:ascii="Times New Roman" w:hAnsi="Times New Roman"/>
          <w:color w:val="000000" w:themeColor="text1"/>
          <w:sz w:val="24"/>
          <w:szCs w:val="24"/>
        </w:rPr>
        <w:t xml:space="preserve"> para fiscalización y análisis de productos pecuarios.</w:t>
      </w:r>
    </w:p>
    <w:p w14:paraId="3AA749D9" w14:textId="774F8432" w:rsidR="00680D76" w:rsidRDefault="00680D76">
      <w:pPr>
        <w:spacing w:after="0"/>
        <w:rPr>
          <w:rFonts w:ascii="Times New Roman" w:hAnsi="Times New Roman"/>
          <w:sz w:val="28"/>
        </w:rPr>
      </w:pPr>
    </w:p>
    <w:p w14:paraId="618D89BC" w14:textId="1EA6A419" w:rsidR="001C76C4" w:rsidRPr="007258E5" w:rsidRDefault="008240D0" w:rsidP="004A2905">
      <w:pPr>
        <w:pStyle w:val="Ttulo3"/>
      </w:pPr>
      <w:bookmarkStart w:id="219" w:name="_Toc26292073"/>
      <w:bookmarkStart w:id="220" w:name="_Toc27146779"/>
      <w:r w:rsidRPr="007258E5">
        <w:t>Programa prevención, c</w:t>
      </w:r>
      <w:r w:rsidR="001C76C4" w:rsidRPr="007258E5">
        <w:t xml:space="preserve">ontrol </w:t>
      </w:r>
      <w:r w:rsidR="008558BA" w:rsidRPr="007258E5">
        <w:t xml:space="preserve">de enfermedades y fortalecimiento </w:t>
      </w:r>
      <w:r w:rsidR="001C76C4" w:rsidRPr="007258E5">
        <w:t xml:space="preserve">de la </w:t>
      </w:r>
      <w:r w:rsidR="002C75E0">
        <w:t>s</w:t>
      </w:r>
      <w:r w:rsidR="008558BA" w:rsidRPr="007258E5">
        <w:t xml:space="preserve">anidad </w:t>
      </w:r>
      <w:r w:rsidR="002C75E0">
        <w:t>a</w:t>
      </w:r>
      <w:r w:rsidR="008558BA" w:rsidRPr="007258E5">
        <w:t xml:space="preserve">nimal </w:t>
      </w:r>
      <w:r w:rsidR="001C76C4" w:rsidRPr="007258E5">
        <w:t>en</w:t>
      </w:r>
      <w:r w:rsidR="008558BA" w:rsidRPr="007258E5">
        <w:t xml:space="preserve"> la</w:t>
      </w:r>
      <w:r w:rsidR="001C76C4" w:rsidRPr="007258E5">
        <w:t xml:space="preserve"> República Dominicana.</w:t>
      </w:r>
      <w:bookmarkEnd w:id="219"/>
      <w:bookmarkEnd w:id="220"/>
    </w:p>
    <w:p w14:paraId="31B20E1C" w14:textId="77777777" w:rsidR="004A2905" w:rsidRDefault="004A2905" w:rsidP="004B3EB6">
      <w:pPr>
        <w:spacing w:after="0" w:line="360" w:lineRule="auto"/>
        <w:ind w:left="284" w:firstLine="720"/>
        <w:jc w:val="both"/>
        <w:rPr>
          <w:rFonts w:ascii="Times New Roman" w:hAnsi="Times New Roman"/>
          <w:color w:val="000000" w:themeColor="text1"/>
        </w:rPr>
      </w:pPr>
    </w:p>
    <w:p w14:paraId="0DE9EB6F" w14:textId="77777777" w:rsidR="001C76C4" w:rsidRPr="00BF2915" w:rsidRDefault="00AC10D4" w:rsidP="004A2905">
      <w:pPr>
        <w:spacing w:after="0" w:line="480" w:lineRule="auto"/>
        <w:ind w:left="284" w:firstLine="720"/>
        <w:jc w:val="both"/>
        <w:rPr>
          <w:rFonts w:ascii="Times New Roman" w:hAnsi="Times New Roman"/>
          <w:color w:val="000000" w:themeColor="text1"/>
        </w:rPr>
      </w:pPr>
      <w:r w:rsidRPr="009A5289">
        <w:rPr>
          <w:rFonts w:ascii="Times New Roman" w:hAnsi="Times New Roman"/>
          <w:color w:val="000000" w:themeColor="text1"/>
        </w:rPr>
        <w:t xml:space="preserve">El Ministerio de Agricultura, a través de la DIGEGA ha desarrollado importantes acciones dirigidas a fortalecer el programa sanitario animal del país </w:t>
      </w:r>
      <w:r w:rsidRPr="009A5289">
        <w:rPr>
          <w:rFonts w:ascii="Times New Roman" w:hAnsi="Times New Roman"/>
          <w:color w:val="000000" w:themeColor="text1"/>
        </w:rPr>
        <w:lastRenderedPageBreak/>
        <w:t>para la prevención y control de las principales enfermedades de importancia económica que afecta la pecuaria nacional.</w:t>
      </w:r>
    </w:p>
    <w:p w14:paraId="61F9B7A5" w14:textId="77777777" w:rsidR="00AC10D4" w:rsidRPr="0098414F" w:rsidRDefault="00AC10D4" w:rsidP="00782488">
      <w:pPr>
        <w:spacing w:after="0" w:line="276" w:lineRule="auto"/>
        <w:ind w:left="284" w:firstLine="720"/>
        <w:jc w:val="both"/>
        <w:rPr>
          <w:rFonts w:ascii="Times New Roman" w:hAnsi="Times New Roman"/>
        </w:rPr>
      </w:pPr>
    </w:p>
    <w:p w14:paraId="4407293B" w14:textId="77777777" w:rsidR="001C76C4" w:rsidRPr="009A5289" w:rsidRDefault="00F46641" w:rsidP="004A2905">
      <w:pPr>
        <w:pStyle w:val="Sinespaciado"/>
        <w:numPr>
          <w:ilvl w:val="0"/>
          <w:numId w:val="7"/>
        </w:numPr>
        <w:spacing w:line="480" w:lineRule="auto"/>
        <w:rPr>
          <w:rFonts w:ascii="Times New Roman" w:hAnsi="Times New Roman"/>
          <w:b/>
        </w:rPr>
      </w:pPr>
      <w:r w:rsidRPr="0098414F">
        <w:rPr>
          <w:rFonts w:ascii="Times New Roman" w:hAnsi="Times New Roman"/>
          <w:b/>
        </w:rPr>
        <w:t>Logros</w:t>
      </w:r>
      <w:r w:rsidR="00433B99" w:rsidRPr="0098414F">
        <w:rPr>
          <w:rFonts w:ascii="Times New Roman" w:hAnsi="Times New Roman"/>
          <w:b/>
        </w:rPr>
        <w:t xml:space="preserve"> </w:t>
      </w:r>
      <w:r w:rsidR="00433B99" w:rsidRPr="009A5289">
        <w:rPr>
          <w:rFonts w:ascii="Times New Roman" w:hAnsi="Times New Roman"/>
          <w:b/>
        </w:rPr>
        <w:t>contra tuberculosis bovina</w:t>
      </w:r>
    </w:p>
    <w:p w14:paraId="61C592AD" w14:textId="5C0BECF0" w:rsidR="001C76C4" w:rsidRPr="009A5289" w:rsidRDefault="00993008" w:rsidP="004A2905">
      <w:pPr>
        <w:pStyle w:val="Prrafodelista"/>
        <w:numPr>
          <w:ilvl w:val="1"/>
          <w:numId w:val="7"/>
        </w:numPr>
        <w:spacing w:after="0" w:line="480" w:lineRule="auto"/>
        <w:jc w:val="both"/>
        <w:rPr>
          <w:rFonts w:ascii="Times New Roman" w:hAnsi="Times New Roman"/>
          <w:color w:val="000000" w:themeColor="text1"/>
          <w:sz w:val="24"/>
          <w:szCs w:val="24"/>
        </w:rPr>
      </w:pPr>
      <w:r w:rsidRPr="009A5289">
        <w:rPr>
          <w:rFonts w:ascii="Times New Roman" w:hAnsi="Times New Roman"/>
          <w:color w:val="000000" w:themeColor="text1"/>
          <w:sz w:val="24"/>
          <w:szCs w:val="24"/>
        </w:rPr>
        <w:t>269,900</w:t>
      </w:r>
      <w:r w:rsidR="00BF2915" w:rsidRPr="009A5289">
        <w:rPr>
          <w:rFonts w:ascii="Times New Roman" w:hAnsi="Times New Roman"/>
          <w:color w:val="000000" w:themeColor="text1"/>
          <w:sz w:val="24"/>
          <w:szCs w:val="24"/>
        </w:rPr>
        <w:t xml:space="preserve"> pruebas de tuberculosis</w:t>
      </w:r>
      <w:r w:rsidR="001C76C4" w:rsidRPr="009A5289">
        <w:rPr>
          <w:rFonts w:ascii="Times New Roman" w:hAnsi="Times New Roman"/>
          <w:color w:val="000000" w:themeColor="text1"/>
          <w:sz w:val="24"/>
          <w:szCs w:val="24"/>
        </w:rPr>
        <w:t xml:space="preserve"> realizadas</w:t>
      </w:r>
      <w:r w:rsidR="00506EE9" w:rsidRPr="009A5289">
        <w:rPr>
          <w:rFonts w:ascii="Times New Roman" w:hAnsi="Times New Roman"/>
          <w:color w:val="000000" w:themeColor="text1"/>
          <w:sz w:val="24"/>
          <w:szCs w:val="24"/>
        </w:rPr>
        <w:t>.</w:t>
      </w:r>
      <w:r w:rsidR="00486514" w:rsidRPr="009A5289">
        <w:rPr>
          <w:rFonts w:ascii="Times New Roman" w:hAnsi="Times New Roman"/>
          <w:color w:val="000000" w:themeColor="text1"/>
          <w:sz w:val="20"/>
          <w:szCs w:val="20"/>
          <w:vertAlign w:val="superscript"/>
        </w:rPr>
        <w:footnoteReference w:id="17"/>
      </w:r>
    </w:p>
    <w:p w14:paraId="7398D34E" w14:textId="48BDF56A" w:rsidR="001C76C4" w:rsidRPr="009A5289" w:rsidRDefault="00993008" w:rsidP="004A2905">
      <w:pPr>
        <w:pStyle w:val="Prrafodelista"/>
        <w:numPr>
          <w:ilvl w:val="1"/>
          <w:numId w:val="7"/>
        </w:numPr>
        <w:spacing w:after="0" w:line="480" w:lineRule="auto"/>
        <w:jc w:val="both"/>
        <w:rPr>
          <w:rFonts w:ascii="Times New Roman" w:hAnsi="Times New Roman"/>
          <w:color w:val="000000" w:themeColor="text1"/>
          <w:sz w:val="24"/>
          <w:szCs w:val="24"/>
        </w:rPr>
      </w:pPr>
      <w:r w:rsidRPr="009A5289">
        <w:rPr>
          <w:rFonts w:ascii="Times New Roman" w:hAnsi="Times New Roman"/>
          <w:color w:val="000000" w:themeColor="text1"/>
          <w:sz w:val="24"/>
          <w:szCs w:val="24"/>
        </w:rPr>
        <w:t xml:space="preserve">Más de </w:t>
      </w:r>
      <w:r w:rsidR="00741AC4" w:rsidRPr="009A5289">
        <w:rPr>
          <w:rFonts w:ascii="Times New Roman" w:hAnsi="Times New Roman"/>
          <w:color w:val="000000" w:themeColor="text1"/>
          <w:sz w:val="24"/>
          <w:szCs w:val="24"/>
        </w:rPr>
        <w:t>3,6</w:t>
      </w:r>
      <w:r w:rsidRPr="009A5289">
        <w:rPr>
          <w:rFonts w:ascii="Times New Roman" w:hAnsi="Times New Roman"/>
          <w:color w:val="000000" w:themeColor="text1"/>
          <w:sz w:val="24"/>
          <w:szCs w:val="24"/>
        </w:rPr>
        <w:t>00</w:t>
      </w:r>
      <w:r w:rsidR="001C76C4" w:rsidRPr="009A5289">
        <w:rPr>
          <w:rFonts w:ascii="Times New Roman" w:hAnsi="Times New Roman"/>
          <w:color w:val="000000" w:themeColor="text1"/>
          <w:sz w:val="24"/>
          <w:szCs w:val="24"/>
        </w:rPr>
        <w:t xml:space="preserve"> </w:t>
      </w:r>
      <w:r w:rsidR="00D91DD6" w:rsidRPr="009A5289">
        <w:rPr>
          <w:rFonts w:ascii="Times New Roman" w:hAnsi="Times New Roman"/>
          <w:color w:val="000000" w:themeColor="text1"/>
          <w:sz w:val="24"/>
          <w:szCs w:val="24"/>
        </w:rPr>
        <w:t>fincas totalmente saneadas</w:t>
      </w:r>
      <w:r w:rsidR="007A13FD" w:rsidRPr="009A5289">
        <w:rPr>
          <w:rFonts w:ascii="Times New Roman" w:hAnsi="Times New Roman"/>
          <w:color w:val="000000" w:themeColor="text1"/>
          <w:sz w:val="24"/>
          <w:szCs w:val="24"/>
        </w:rPr>
        <w:t xml:space="preserve"> </w:t>
      </w:r>
      <w:r w:rsidR="00741AC4" w:rsidRPr="009A5289">
        <w:rPr>
          <w:rFonts w:ascii="Times New Roman" w:hAnsi="Times New Roman"/>
          <w:color w:val="000000" w:themeColor="text1"/>
          <w:sz w:val="24"/>
          <w:szCs w:val="24"/>
        </w:rPr>
        <w:t xml:space="preserve">e </w:t>
      </w:r>
      <w:r w:rsidR="007A13FD" w:rsidRPr="009A5289">
        <w:rPr>
          <w:rFonts w:ascii="Times New Roman" w:hAnsi="Times New Roman"/>
          <w:color w:val="000000" w:themeColor="text1"/>
          <w:sz w:val="24"/>
          <w:szCs w:val="24"/>
        </w:rPr>
        <w:t>incorporadas</w:t>
      </w:r>
    </w:p>
    <w:p w14:paraId="48EF5D15" w14:textId="1CA354EA" w:rsidR="001C76C4" w:rsidRPr="009A5289" w:rsidRDefault="009A5289" w:rsidP="004A2905">
      <w:pPr>
        <w:pStyle w:val="Prrafodelista"/>
        <w:numPr>
          <w:ilvl w:val="1"/>
          <w:numId w:val="7"/>
        </w:numPr>
        <w:spacing w:after="0" w:line="480" w:lineRule="auto"/>
        <w:jc w:val="both"/>
        <w:rPr>
          <w:rFonts w:ascii="Times New Roman" w:hAnsi="Times New Roman"/>
          <w:color w:val="000000" w:themeColor="text1"/>
          <w:sz w:val="24"/>
          <w:szCs w:val="24"/>
        </w:rPr>
      </w:pPr>
      <w:r w:rsidRPr="009A5289">
        <w:rPr>
          <w:rFonts w:ascii="Times New Roman" w:hAnsi="Times New Roman"/>
          <w:color w:val="000000" w:themeColor="text1"/>
          <w:sz w:val="24"/>
          <w:szCs w:val="24"/>
        </w:rPr>
        <w:t>Más</w:t>
      </w:r>
      <w:r w:rsidR="00993008" w:rsidRPr="009A5289">
        <w:rPr>
          <w:rFonts w:ascii="Times New Roman" w:hAnsi="Times New Roman"/>
          <w:color w:val="000000" w:themeColor="text1"/>
          <w:sz w:val="24"/>
          <w:szCs w:val="24"/>
        </w:rPr>
        <w:t xml:space="preserve"> de </w:t>
      </w:r>
      <w:r w:rsidR="00741AC4" w:rsidRPr="009A5289">
        <w:rPr>
          <w:rFonts w:ascii="Times New Roman" w:hAnsi="Times New Roman"/>
          <w:color w:val="000000" w:themeColor="text1"/>
          <w:sz w:val="24"/>
          <w:szCs w:val="24"/>
        </w:rPr>
        <w:t>6,0</w:t>
      </w:r>
      <w:r w:rsidR="00993008" w:rsidRPr="009A5289">
        <w:rPr>
          <w:rFonts w:ascii="Times New Roman" w:hAnsi="Times New Roman"/>
          <w:color w:val="000000" w:themeColor="text1"/>
          <w:sz w:val="24"/>
          <w:szCs w:val="24"/>
        </w:rPr>
        <w:t>00</w:t>
      </w:r>
      <w:r w:rsidR="00741AC4" w:rsidRPr="009A5289">
        <w:rPr>
          <w:rFonts w:ascii="Times New Roman" w:hAnsi="Times New Roman"/>
          <w:color w:val="000000" w:themeColor="text1"/>
          <w:sz w:val="24"/>
          <w:szCs w:val="24"/>
        </w:rPr>
        <w:t xml:space="preserve"> visitas realizadas a fincas</w:t>
      </w:r>
      <w:r w:rsidR="00506EE9" w:rsidRPr="009A5289">
        <w:rPr>
          <w:rFonts w:ascii="Times New Roman" w:hAnsi="Times New Roman"/>
          <w:color w:val="000000" w:themeColor="text1"/>
          <w:sz w:val="24"/>
          <w:szCs w:val="24"/>
        </w:rPr>
        <w:t>.</w:t>
      </w:r>
    </w:p>
    <w:p w14:paraId="21D2D150" w14:textId="53FFDE9C" w:rsidR="004B536B" w:rsidRPr="009A5289" w:rsidRDefault="009A5289" w:rsidP="004A2905">
      <w:pPr>
        <w:pStyle w:val="Prrafodelista"/>
        <w:numPr>
          <w:ilvl w:val="1"/>
          <w:numId w:val="7"/>
        </w:numPr>
        <w:spacing w:after="0" w:line="480" w:lineRule="auto"/>
        <w:jc w:val="both"/>
        <w:rPr>
          <w:rFonts w:ascii="Times New Roman" w:hAnsi="Times New Roman"/>
          <w:color w:val="000000" w:themeColor="text1"/>
          <w:sz w:val="24"/>
          <w:szCs w:val="24"/>
        </w:rPr>
      </w:pPr>
      <w:r w:rsidRPr="009A5289">
        <w:rPr>
          <w:rFonts w:ascii="Times New Roman" w:hAnsi="Times New Roman"/>
          <w:color w:val="000000" w:themeColor="text1"/>
          <w:sz w:val="24"/>
          <w:szCs w:val="24"/>
        </w:rPr>
        <w:t>Más</w:t>
      </w:r>
      <w:r w:rsidR="00993008" w:rsidRPr="009A5289">
        <w:rPr>
          <w:rFonts w:ascii="Times New Roman" w:hAnsi="Times New Roman"/>
          <w:color w:val="000000" w:themeColor="text1"/>
          <w:sz w:val="24"/>
          <w:szCs w:val="24"/>
        </w:rPr>
        <w:t xml:space="preserve"> de </w:t>
      </w:r>
      <w:r w:rsidR="004B536B" w:rsidRPr="009A5289">
        <w:rPr>
          <w:rFonts w:ascii="Times New Roman" w:hAnsi="Times New Roman"/>
          <w:color w:val="000000" w:themeColor="text1"/>
          <w:sz w:val="24"/>
          <w:szCs w:val="24"/>
        </w:rPr>
        <w:t>4,7</w:t>
      </w:r>
      <w:r w:rsidR="00993008" w:rsidRPr="009A5289">
        <w:rPr>
          <w:rFonts w:ascii="Times New Roman" w:hAnsi="Times New Roman"/>
          <w:color w:val="000000" w:themeColor="text1"/>
          <w:sz w:val="24"/>
          <w:szCs w:val="24"/>
        </w:rPr>
        <w:t>00</w:t>
      </w:r>
      <w:r w:rsidR="004B536B" w:rsidRPr="009A5289">
        <w:rPr>
          <w:rFonts w:ascii="Times New Roman" w:hAnsi="Times New Roman"/>
          <w:color w:val="000000" w:themeColor="text1"/>
          <w:sz w:val="24"/>
          <w:szCs w:val="24"/>
        </w:rPr>
        <w:t xml:space="preserve"> productores beneficiados.</w:t>
      </w:r>
    </w:p>
    <w:p w14:paraId="7E4829FE" w14:textId="77777777" w:rsidR="00782488" w:rsidRDefault="00782488" w:rsidP="004A2905">
      <w:pPr>
        <w:spacing w:after="0" w:line="480" w:lineRule="auto"/>
        <w:ind w:left="284" w:firstLine="720"/>
        <w:jc w:val="both"/>
        <w:rPr>
          <w:rFonts w:ascii="Times New Roman" w:hAnsi="Times New Roman"/>
          <w:color w:val="000000" w:themeColor="text1"/>
        </w:rPr>
      </w:pPr>
    </w:p>
    <w:p w14:paraId="40515A31" w14:textId="77777777" w:rsidR="00433B99" w:rsidRPr="004B536B" w:rsidRDefault="00AC10D4" w:rsidP="004A2905">
      <w:pPr>
        <w:spacing w:after="0" w:line="480" w:lineRule="auto"/>
        <w:ind w:left="284" w:firstLine="720"/>
        <w:jc w:val="both"/>
        <w:rPr>
          <w:rFonts w:ascii="Times New Roman" w:hAnsi="Times New Roman"/>
          <w:color w:val="4F81BD" w:themeColor="accent1"/>
        </w:rPr>
      </w:pPr>
      <w:r w:rsidRPr="009A5289">
        <w:rPr>
          <w:rFonts w:ascii="Times New Roman" w:hAnsi="Times New Roman"/>
          <w:color w:val="000000" w:themeColor="text1"/>
        </w:rPr>
        <w:t xml:space="preserve">Este proyecto es ejecutado en las regionales Norte, Central y Nordeste del país, abarcando </w:t>
      </w:r>
      <w:r w:rsidR="00741AC4" w:rsidRPr="009A5289">
        <w:rPr>
          <w:rFonts w:ascii="Times New Roman" w:hAnsi="Times New Roman"/>
          <w:color w:val="000000" w:themeColor="text1"/>
        </w:rPr>
        <w:t xml:space="preserve">la </w:t>
      </w:r>
      <w:r w:rsidRPr="009A5289">
        <w:rPr>
          <w:rFonts w:ascii="Times New Roman" w:hAnsi="Times New Roman"/>
          <w:color w:val="000000" w:themeColor="text1"/>
        </w:rPr>
        <w:t xml:space="preserve">población de bovinos, inspección de fincas </w:t>
      </w:r>
      <w:r w:rsidR="00741AC4" w:rsidRPr="009A5289">
        <w:rPr>
          <w:rFonts w:ascii="Times New Roman" w:hAnsi="Times New Roman"/>
          <w:color w:val="000000" w:themeColor="text1"/>
        </w:rPr>
        <w:t xml:space="preserve">y actividades de inspección en </w:t>
      </w:r>
      <w:r w:rsidRPr="009A5289">
        <w:rPr>
          <w:rFonts w:ascii="Times New Roman" w:hAnsi="Times New Roman"/>
          <w:color w:val="000000" w:themeColor="text1"/>
        </w:rPr>
        <w:t>animales para su saneamiento, se realizaron pruebas de tuberculina para el saneamiento de fincas, trabajadas en diferentes zonas donde se ejecuta el proyecto.</w:t>
      </w:r>
    </w:p>
    <w:p w14:paraId="0BFDDDE0" w14:textId="317FDE19" w:rsidR="00782488" w:rsidRDefault="00782488">
      <w:pPr>
        <w:spacing w:after="0"/>
        <w:rPr>
          <w:rFonts w:ascii="Times New Roman" w:hAnsi="Times New Roman"/>
        </w:rPr>
      </w:pPr>
      <w:r>
        <w:rPr>
          <w:rFonts w:ascii="Times New Roman" w:hAnsi="Times New Roman"/>
        </w:rPr>
        <w:br w:type="page"/>
      </w:r>
    </w:p>
    <w:p w14:paraId="25358636" w14:textId="3935FA5C" w:rsidR="00433B99" w:rsidRDefault="00433B99" w:rsidP="001C6B1A">
      <w:pPr>
        <w:pStyle w:val="Prrafodelista"/>
        <w:numPr>
          <w:ilvl w:val="0"/>
          <w:numId w:val="8"/>
        </w:numPr>
        <w:spacing w:after="0"/>
        <w:rPr>
          <w:rFonts w:ascii="Times New Roman" w:hAnsi="Times New Roman"/>
          <w:b/>
          <w:sz w:val="24"/>
          <w:lang w:val="es-ES"/>
        </w:rPr>
      </w:pPr>
      <w:r w:rsidRPr="0098414F">
        <w:rPr>
          <w:rFonts w:ascii="Times New Roman" w:hAnsi="Times New Roman"/>
          <w:b/>
          <w:sz w:val="24"/>
          <w:lang w:val="es-ES"/>
        </w:rPr>
        <w:lastRenderedPageBreak/>
        <w:t xml:space="preserve">Prueba contra tuberculosis </w:t>
      </w:r>
      <w:r w:rsidR="001F5481">
        <w:rPr>
          <w:rFonts w:ascii="Times New Roman" w:hAnsi="Times New Roman"/>
          <w:b/>
          <w:sz w:val="24"/>
          <w:lang w:val="es-ES"/>
        </w:rPr>
        <w:t>aplicadas a bovinos</w:t>
      </w:r>
    </w:p>
    <w:p w14:paraId="116A8310" w14:textId="3FCF99DA" w:rsidR="001C76C4" w:rsidRPr="0098414F" w:rsidRDefault="00993008" w:rsidP="001C76C4">
      <w:pPr>
        <w:jc w:val="both"/>
        <w:rPr>
          <w:rFonts w:ascii="Times New Roman" w:hAnsi="Times New Roman"/>
        </w:rPr>
      </w:pPr>
      <w:r>
        <w:rPr>
          <w:noProof/>
          <w:lang w:eastAsia="es-DO"/>
        </w:rPr>
        <w:drawing>
          <wp:inline distT="0" distB="0" distL="0" distR="0" wp14:anchorId="1A4E24C0" wp14:editId="5A15C532">
            <wp:extent cx="5486400" cy="2785731"/>
            <wp:effectExtent l="0" t="0" r="0" b="0"/>
            <wp:docPr id="196" name="Gráfico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E32AE31" w14:textId="77777777" w:rsidR="008240D0" w:rsidRPr="0098414F" w:rsidRDefault="008240D0" w:rsidP="007A13FD">
      <w:pPr>
        <w:spacing w:after="0"/>
        <w:jc w:val="both"/>
        <w:rPr>
          <w:rFonts w:ascii="Times New Roman" w:hAnsi="Times New Roman"/>
        </w:rPr>
      </w:pPr>
    </w:p>
    <w:p w14:paraId="39515C2D" w14:textId="77777777" w:rsidR="008558BA" w:rsidRPr="0098414F" w:rsidRDefault="008558BA" w:rsidP="004A2905">
      <w:pPr>
        <w:pStyle w:val="Sinespaciado"/>
        <w:numPr>
          <w:ilvl w:val="0"/>
          <w:numId w:val="7"/>
        </w:numPr>
        <w:spacing w:line="480" w:lineRule="auto"/>
        <w:rPr>
          <w:rFonts w:ascii="Times New Roman" w:hAnsi="Times New Roman"/>
          <w:b/>
        </w:rPr>
      </w:pPr>
      <w:r w:rsidRPr="0098414F">
        <w:rPr>
          <w:rFonts w:ascii="Times New Roman" w:hAnsi="Times New Roman"/>
          <w:b/>
        </w:rPr>
        <w:t>Logros contra brucelosis bovina</w:t>
      </w:r>
    </w:p>
    <w:p w14:paraId="0480A1E5" w14:textId="77777777" w:rsidR="001F5481" w:rsidRPr="00BE1488" w:rsidRDefault="001F5481" w:rsidP="004A2905">
      <w:pPr>
        <w:pStyle w:val="Prrafodelista"/>
        <w:numPr>
          <w:ilvl w:val="1"/>
          <w:numId w:val="7"/>
        </w:numPr>
        <w:spacing w:after="0" w:line="480" w:lineRule="auto"/>
        <w:jc w:val="both"/>
        <w:rPr>
          <w:rFonts w:ascii="Times New Roman" w:hAnsi="Times New Roman"/>
          <w:color w:val="000000" w:themeColor="text1"/>
          <w:sz w:val="24"/>
          <w:szCs w:val="24"/>
        </w:rPr>
      </w:pPr>
      <w:r w:rsidRPr="00BE1488">
        <w:rPr>
          <w:rFonts w:ascii="Times New Roman" w:hAnsi="Times New Roman"/>
          <w:color w:val="000000" w:themeColor="text1"/>
          <w:sz w:val="24"/>
          <w:szCs w:val="24"/>
        </w:rPr>
        <w:t>70,369 bovinos vacunados.</w:t>
      </w:r>
    </w:p>
    <w:p w14:paraId="014A040A" w14:textId="19C91F62" w:rsidR="008558BA" w:rsidRPr="00BE1488" w:rsidRDefault="00BE1488" w:rsidP="004A2905">
      <w:pPr>
        <w:pStyle w:val="Prrafodelista"/>
        <w:numPr>
          <w:ilvl w:val="1"/>
          <w:numId w:val="7"/>
        </w:numPr>
        <w:spacing w:after="0" w:line="480" w:lineRule="auto"/>
        <w:jc w:val="both"/>
        <w:rPr>
          <w:rFonts w:ascii="Times New Roman" w:hAnsi="Times New Roman"/>
          <w:color w:val="000000" w:themeColor="text1"/>
          <w:sz w:val="24"/>
          <w:szCs w:val="24"/>
        </w:rPr>
      </w:pPr>
      <w:r w:rsidRPr="00BE1488">
        <w:rPr>
          <w:rFonts w:ascii="Times New Roman" w:hAnsi="Times New Roman"/>
          <w:color w:val="000000" w:themeColor="text1"/>
          <w:sz w:val="24"/>
          <w:szCs w:val="24"/>
        </w:rPr>
        <w:t>Más</w:t>
      </w:r>
      <w:r w:rsidR="001F5481" w:rsidRPr="00BE1488">
        <w:rPr>
          <w:rFonts w:ascii="Times New Roman" w:hAnsi="Times New Roman"/>
          <w:color w:val="000000" w:themeColor="text1"/>
          <w:sz w:val="24"/>
          <w:szCs w:val="24"/>
        </w:rPr>
        <w:t xml:space="preserve"> de 200,000</w:t>
      </w:r>
      <w:r w:rsidR="00741AC4" w:rsidRPr="00BE1488">
        <w:rPr>
          <w:rFonts w:ascii="Times New Roman" w:hAnsi="Times New Roman"/>
          <w:color w:val="000000" w:themeColor="text1"/>
          <w:sz w:val="24"/>
          <w:szCs w:val="24"/>
        </w:rPr>
        <w:t xml:space="preserve"> sangrías realizadas a bovinos</w:t>
      </w:r>
      <w:r w:rsidR="00506EE9" w:rsidRPr="00BE1488">
        <w:rPr>
          <w:rFonts w:ascii="Times New Roman" w:hAnsi="Times New Roman"/>
          <w:color w:val="000000" w:themeColor="text1"/>
          <w:sz w:val="24"/>
          <w:szCs w:val="24"/>
        </w:rPr>
        <w:t>.</w:t>
      </w:r>
      <w:r w:rsidR="00486514" w:rsidRPr="00BE1488">
        <w:rPr>
          <w:rStyle w:val="Refdenotaalpie"/>
          <w:rFonts w:ascii="Times New Roman" w:hAnsi="Times New Roman"/>
          <w:b/>
          <w:color w:val="000000" w:themeColor="text1"/>
        </w:rPr>
        <w:footnoteReference w:id="18"/>
      </w:r>
    </w:p>
    <w:p w14:paraId="314C72C8" w14:textId="60CEBB72" w:rsidR="00741AC4" w:rsidRPr="00BE1488" w:rsidRDefault="00BE1488" w:rsidP="004A2905">
      <w:pPr>
        <w:pStyle w:val="Prrafodelista"/>
        <w:numPr>
          <w:ilvl w:val="1"/>
          <w:numId w:val="7"/>
        </w:numPr>
        <w:spacing w:after="0" w:line="480" w:lineRule="auto"/>
        <w:jc w:val="both"/>
        <w:rPr>
          <w:rFonts w:ascii="Times New Roman" w:hAnsi="Times New Roman"/>
          <w:color w:val="000000" w:themeColor="text1"/>
          <w:sz w:val="24"/>
          <w:szCs w:val="24"/>
        </w:rPr>
      </w:pPr>
      <w:r w:rsidRPr="00BE1488">
        <w:rPr>
          <w:rFonts w:ascii="Times New Roman" w:hAnsi="Times New Roman"/>
          <w:color w:val="000000" w:themeColor="text1"/>
          <w:sz w:val="24"/>
          <w:szCs w:val="24"/>
        </w:rPr>
        <w:t>Más</w:t>
      </w:r>
      <w:r w:rsidR="001F5481" w:rsidRPr="00BE1488">
        <w:rPr>
          <w:rFonts w:ascii="Times New Roman" w:hAnsi="Times New Roman"/>
          <w:color w:val="000000" w:themeColor="text1"/>
          <w:sz w:val="24"/>
          <w:szCs w:val="24"/>
        </w:rPr>
        <w:t xml:space="preserve"> de </w:t>
      </w:r>
      <w:r w:rsidR="00741AC4" w:rsidRPr="00BE1488">
        <w:rPr>
          <w:rFonts w:ascii="Times New Roman" w:hAnsi="Times New Roman"/>
          <w:color w:val="000000" w:themeColor="text1"/>
          <w:sz w:val="24"/>
          <w:szCs w:val="24"/>
        </w:rPr>
        <w:t>6,</w:t>
      </w:r>
      <w:r w:rsidR="001F5481" w:rsidRPr="00BE1488">
        <w:rPr>
          <w:rFonts w:ascii="Times New Roman" w:hAnsi="Times New Roman"/>
          <w:color w:val="000000" w:themeColor="text1"/>
          <w:sz w:val="24"/>
          <w:szCs w:val="24"/>
        </w:rPr>
        <w:t>000</w:t>
      </w:r>
      <w:r w:rsidR="00741AC4" w:rsidRPr="00BE1488">
        <w:rPr>
          <w:rFonts w:ascii="Times New Roman" w:hAnsi="Times New Roman"/>
          <w:color w:val="000000" w:themeColor="text1"/>
          <w:sz w:val="24"/>
          <w:szCs w:val="24"/>
        </w:rPr>
        <w:t xml:space="preserve"> visitas realizadas</w:t>
      </w:r>
      <w:r w:rsidR="004B536B" w:rsidRPr="00BE1488">
        <w:rPr>
          <w:rFonts w:ascii="Times New Roman" w:hAnsi="Times New Roman"/>
          <w:color w:val="000000" w:themeColor="text1"/>
          <w:sz w:val="24"/>
          <w:szCs w:val="24"/>
        </w:rPr>
        <w:t xml:space="preserve"> en finca</w:t>
      </w:r>
      <w:r w:rsidR="00741AC4" w:rsidRPr="00BE1488">
        <w:rPr>
          <w:rFonts w:ascii="Times New Roman" w:hAnsi="Times New Roman"/>
          <w:color w:val="000000" w:themeColor="text1"/>
          <w:sz w:val="24"/>
          <w:szCs w:val="24"/>
        </w:rPr>
        <w:t>.</w:t>
      </w:r>
    </w:p>
    <w:p w14:paraId="5CDC3BA2" w14:textId="0E518F78" w:rsidR="004B536B" w:rsidRPr="00BE1488" w:rsidRDefault="00BE1488" w:rsidP="004A2905">
      <w:pPr>
        <w:pStyle w:val="Prrafodelista"/>
        <w:numPr>
          <w:ilvl w:val="1"/>
          <w:numId w:val="7"/>
        </w:numPr>
        <w:spacing w:after="0" w:line="480" w:lineRule="auto"/>
        <w:jc w:val="both"/>
        <w:rPr>
          <w:rFonts w:ascii="Times New Roman" w:hAnsi="Times New Roman"/>
          <w:color w:val="000000" w:themeColor="text1"/>
          <w:sz w:val="24"/>
          <w:szCs w:val="24"/>
        </w:rPr>
      </w:pPr>
      <w:r w:rsidRPr="00BE1488">
        <w:rPr>
          <w:rFonts w:ascii="Times New Roman" w:hAnsi="Times New Roman"/>
          <w:color w:val="000000" w:themeColor="text1"/>
          <w:sz w:val="24"/>
          <w:szCs w:val="24"/>
        </w:rPr>
        <w:t>Más</w:t>
      </w:r>
      <w:r w:rsidR="001F5481" w:rsidRPr="00BE1488">
        <w:rPr>
          <w:rFonts w:ascii="Times New Roman" w:hAnsi="Times New Roman"/>
          <w:color w:val="000000" w:themeColor="text1"/>
          <w:sz w:val="24"/>
          <w:szCs w:val="24"/>
        </w:rPr>
        <w:t xml:space="preserve"> de </w:t>
      </w:r>
      <w:r w:rsidR="004B536B" w:rsidRPr="00BE1488">
        <w:rPr>
          <w:rFonts w:ascii="Times New Roman" w:hAnsi="Times New Roman"/>
          <w:color w:val="000000" w:themeColor="text1"/>
          <w:sz w:val="24"/>
          <w:szCs w:val="24"/>
        </w:rPr>
        <w:t>4,7</w:t>
      </w:r>
      <w:r w:rsidR="001F5481" w:rsidRPr="00BE1488">
        <w:rPr>
          <w:rFonts w:ascii="Times New Roman" w:hAnsi="Times New Roman"/>
          <w:color w:val="000000" w:themeColor="text1"/>
          <w:sz w:val="24"/>
          <w:szCs w:val="24"/>
        </w:rPr>
        <w:t>00</w:t>
      </w:r>
      <w:r w:rsidR="004B536B" w:rsidRPr="00BE1488">
        <w:rPr>
          <w:rFonts w:ascii="Times New Roman" w:hAnsi="Times New Roman"/>
          <w:color w:val="000000" w:themeColor="text1"/>
          <w:sz w:val="24"/>
          <w:szCs w:val="24"/>
        </w:rPr>
        <w:t xml:space="preserve"> productores beneficiados.</w:t>
      </w:r>
    </w:p>
    <w:p w14:paraId="07E8974D" w14:textId="2C18314F" w:rsidR="004B3EB6" w:rsidRDefault="004B3EB6">
      <w:pPr>
        <w:spacing w:after="0"/>
        <w:rPr>
          <w:rFonts w:ascii="Times New Roman" w:eastAsia="Calibri" w:hAnsi="Times New Roman"/>
          <w:lang w:eastAsia="en-US"/>
        </w:rPr>
      </w:pPr>
      <w:r>
        <w:rPr>
          <w:rFonts w:ascii="Times New Roman" w:eastAsia="Calibri" w:hAnsi="Times New Roman"/>
          <w:lang w:eastAsia="en-US"/>
        </w:rPr>
        <w:br w:type="page"/>
      </w:r>
    </w:p>
    <w:p w14:paraId="01010DE3" w14:textId="77777777" w:rsidR="008558BA" w:rsidRDefault="00741AC4" w:rsidP="001C6B1A">
      <w:pPr>
        <w:pStyle w:val="Prrafodelista"/>
        <w:numPr>
          <w:ilvl w:val="0"/>
          <w:numId w:val="8"/>
        </w:numPr>
        <w:spacing w:after="0" w:line="240" w:lineRule="auto"/>
        <w:rPr>
          <w:rFonts w:ascii="Times New Roman" w:hAnsi="Times New Roman"/>
          <w:b/>
          <w:sz w:val="24"/>
          <w:lang w:val="es-ES"/>
        </w:rPr>
      </w:pPr>
      <w:r>
        <w:rPr>
          <w:rFonts w:ascii="Times New Roman" w:hAnsi="Times New Roman"/>
          <w:b/>
          <w:sz w:val="24"/>
          <w:lang w:val="es-ES"/>
        </w:rPr>
        <w:lastRenderedPageBreak/>
        <w:t>Vacunas aplicadas contra brucelosis</w:t>
      </w:r>
    </w:p>
    <w:p w14:paraId="207E77B0" w14:textId="4212517E" w:rsidR="008558BA" w:rsidRDefault="001F5481" w:rsidP="001C76C4">
      <w:pPr>
        <w:jc w:val="both"/>
        <w:rPr>
          <w:rFonts w:ascii="Times New Roman" w:hAnsi="Times New Roman"/>
        </w:rPr>
      </w:pPr>
      <w:r>
        <w:rPr>
          <w:noProof/>
          <w:lang w:eastAsia="es-DO"/>
        </w:rPr>
        <w:drawing>
          <wp:inline distT="0" distB="0" distL="0" distR="0" wp14:anchorId="53CD3859" wp14:editId="6FD1FF25">
            <wp:extent cx="5294630" cy="2815390"/>
            <wp:effectExtent l="0" t="0" r="1270" b="4445"/>
            <wp:docPr id="197" name="Gráfico 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2EC25396" w14:textId="77777777" w:rsidR="00DF0FA3" w:rsidRPr="0098414F" w:rsidRDefault="00DF0FA3" w:rsidP="001C76C4">
      <w:pPr>
        <w:jc w:val="both"/>
        <w:rPr>
          <w:rFonts w:ascii="Times New Roman" w:hAnsi="Times New Roman"/>
        </w:rPr>
      </w:pPr>
    </w:p>
    <w:p w14:paraId="700D6CC1" w14:textId="77777777" w:rsidR="001C76C4" w:rsidRPr="00BE1488" w:rsidRDefault="001C76C4" w:rsidP="0020047B">
      <w:pPr>
        <w:pStyle w:val="Sinespaciado"/>
        <w:numPr>
          <w:ilvl w:val="0"/>
          <w:numId w:val="7"/>
        </w:numPr>
        <w:spacing w:line="480" w:lineRule="auto"/>
        <w:rPr>
          <w:rFonts w:ascii="Times New Roman" w:hAnsi="Times New Roman"/>
          <w:b/>
          <w:sz w:val="28"/>
        </w:rPr>
      </w:pPr>
      <w:r w:rsidRPr="00BE1488">
        <w:rPr>
          <w:rFonts w:ascii="Times New Roman" w:hAnsi="Times New Roman"/>
          <w:b/>
        </w:rPr>
        <w:t>Logros</w:t>
      </w:r>
      <w:r w:rsidR="008558BA" w:rsidRPr="00BE1488">
        <w:rPr>
          <w:rFonts w:ascii="Times New Roman" w:hAnsi="Times New Roman"/>
          <w:b/>
        </w:rPr>
        <w:t xml:space="preserve"> contra </w:t>
      </w:r>
      <w:r w:rsidR="00486514" w:rsidRPr="00BE1488">
        <w:rPr>
          <w:rFonts w:ascii="Times New Roman" w:hAnsi="Times New Roman"/>
          <w:b/>
        </w:rPr>
        <w:t>P</w:t>
      </w:r>
      <w:r w:rsidR="008558BA" w:rsidRPr="00BE1488">
        <w:rPr>
          <w:rFonts w:ascii="Times New Roman" w:hAnsi="Times New Roman"/>
          <w:b/>
        </w:rPr>
        <w:t xml:space="preserve">este </w:t>
      </w:r>
      <w:r w:rsidR="00486514" w:rsidRPr="00BE1488">
        <w:rPr>
          <w:rFonts w:ascii="Times New Roman" w:hAnsi="Times New Roman"/>
          <w:b/>
        </w:rPr>
        <w:t>P</w:t>
      </w:r>
      <w:r w:rsidR="008558BA" w:rsidRPr="00BE1488">
        <w:rPr>
          <w:rFonts w:ascii="Times New Roman" w:hAnsi="Times New Roman"/>
          <w:b/>
        </w:rPr>
        <w:t xml:space="preserve">orcina </w:t>
      </w:r>
      <w:r w:rsidR="00486514" w:rsidRPr="00BE1488">
        <w:rPr>
          <w:rFonts w:ascii="Times New Roman" w:hAnsi="Times New Roman"/>
          <w:b/>
        </w:rPr>
        <w:t>C</w:t>
      </w:r>
      <w:r w:rsidR="008558BA" w:rsidRPr="00BE1488">
        <w:rPr>
          <w:rFonts w:ascii="Times New Roman" w:hAnsi="Times New Roman"/>
          <w:b/>
        </w:rPr>
        <w:t xml:space="preserve">lásica </w:t>
      </w:r>
      <w:r w:rsidR="00486514" w:rsidRPr="00BE1488">
        <w:rPr>
          <w:rFonts w:ascii="Times New Roman" w:hAnsi="Times New Roman"/>
          <w:b/>
        </w:rPr>
        <w:t xml:space="preserve">(PPC) </w:t>
      </w:r>
      <w:r w:rsidR="008558BA" w:rsidRPr="00BE1488">
        <w:rPr>
          <w:rFonts w:ascii="Times New Roman" w:hAnsi="Times New Roman"/>
          <w:b/>
        </w:rPr>
        <w:t>y teschen</w:t>
      </w:r>
      <w:r w:rsidR="00486514" w:rsidRPr="00BE1488">
        <w:rPr>
          <w:rStyle w:val="Refdenotaalpie"/>
          <w:rFonts w:ascii="Times New Roman" w:hAnsi="Times New Roman"/>
          <w:b/>
        </w:rPr>
        <w:footnoteReference w:id="19"/>
      </w:r>
    </w:p>
    <w:p w14:paraId="476FF77D" w14:textId="77777777" w:rsidR="001F5481" w:rsidRPr="00BE1488" w:rsidRDefault="001F5481" w:rsidP="001F5481">
      <w:pPr>
        <w:pStyle w:val="Prrafodelista"/>
        <w:numPr>
          <w:ilvl w:val="1"/>
          <w:numId w:val="7"/>
        </w:numPr>
        <w:spacing w:after="0" w:line="480" w:lineRule="auto"/>
        <w:jc w:val="both"/>
        <w:rPr>
          <w:rFonts w:ascii="Times New Roman" w:hAnsi="Times New Roman"/>
          <w:color w:val="000000" w:themeColor="text1"/>
          <w:sz w:val="24"/>
          <w:szCs w:val="24"/>
        </w:rPr>
      </w:pPr>
      <w:r w:rsidRPr="00BE1488">
        <w:rPr>
          <w:rFonts w:ascii="Times New Roman" w:hAnsi="Times New Roman"/>
          <w:color w:val="000000" w:themeColor="text1"/>
          <w:sz w:val="24"/>
          <w:szCs w:val="24"/>
        </w:rPr>
        <w:t>445,243 cerdos vacunados contra Peste Porcina Clásica (PPC).</w:t>
      </w:r>
    </w:p>
    <w:p w14:paraId="4E1226B4" w14:textId="77777777" w:rsidR="001C76C4" w:rsidRPr="00BE1488" w:rsidRDefault="004B536B" w:rsidP="0020047B">
      <w:pPr>
        <w:pStyle w:val="Prrafodelista"/>
        <w:numPr>
          <w:ilvl w:val="1"/>
          <w:numId w:val="7"/>
        </w:numPr>
        <w:spacing w:after="0" w:line="480" w:lineRule="auto"/>
        <w:jc w:val="both"/>
        <w:rPr>
          <w:rFonts w:ascii="Times New Roman" w:hAnsi="Times New Roman"/>
          <w:color w:val="000000" w:themeColor="text1"/>
          <w:sz w:val="24"/>
          <w:szCs w:val="24"/>
        </w:rPr>
      </w:pPr>
      <w:r w:rsidRPr="00BE1488">
        <w:rPr>
          <w:rFonts w:ascii="Times New Roman" w:hAnsi="Times New Roman"/>
          <w:color w:val="000000" w:themeColor="text1"/>
          <w:sz w:val="24"/>
          <w:szCs w:val="24"/>
        </w:rPr>
        <w:t xml:space="preserve">Más de </w:t>
      </w:r>
      <w:r w:rsidR="001C76C4" w:rsidRPr="00BE1488">
        <w:rPr>
          <w:rFonts w:ascii="Times New Roman" w:hAnsi="Times New Roman"/>
          <w:color w:val="000000" w:themeColor="text1"/>
          <w:sz w:val="24"/>
          <w:szCs w:val="24"/>
        </w:rPr>
        <w:t>59 veterinarios capacitados</w:t>
      </w:r>
      <w:r w:rsidR="00506EE9" w:rsidRPr="00BE1488">
        <w:rPr>
          <w:rFonts w:ascii="Times New Roman" w:hAnsi="Times New Roman"/>
          <w:color w:val="000000" w:themeColor="text1"/>
          <w:sz w:val="24"/>
          <w:szCs w:val="24"/>
        </w:rPr>
        <w:t>.</w:t>
      </w:r>
    </w:p>
    <w:p w14:paraId="70608CC1" w14:textId="77777777" w:rsidR="001C76C4" w:rsidRPr="00BE1488" w:rsidRDefault="004B536B" w:rsidP="0020047B">
      <w:pPr>
        <w:pStyle w:val="Prrafodelista"/>
        <w:numPr>
          <w:ilvl w:val="1"/>
          <w:numId w:val="7"/>
        </w:numPr>
        <w:spacing w:after="0" w:line="480" w:lineRule="auto"/>
        <w:jc w:val="both"/>
        <w:rPr>
          <w:rFonts w:ascii="Times New Roman" w:hAnsi="Times New Roman"/>
          <w:color w:val="000000" w:themeColor="text1"/>
          <w:sz w:val="24"/>
          <w:szCs w:val="24"/>
        </w:rPr>
      </w:pPr>
      <w:r w:rsidRPr="00BE1488">
        <w:rPr>
          <w:rFonts w:ascii="Times New Roman" w:hAnsi="Times New Roman"/>
          <w:color w:val="000000" w:themeColor="text1"/>
          <w:sz w:val="24"/>
          <w:szCs w:val="24"/>
        </w:rPr>
        <w:t>Formación de</w:t>
      </w:r>
      <w:r w:rsidR="001C76C4" w:rsidRPr="00BE1488">
        <w:rPr>
          <w:rFonts w:ascii="Times New Roman" w:hAnsi="Times New Roman"/>
          <w:color w:val="000000" w:themeColor="text1"/>
          <w:sz w:val="24"/>
          <w:szCs w:val="24"/>
        </w:rPr>
        <w:t xml:space="preserve"> grupos de defensa sanitario</w:t>
      </w:r>
      <w:r w:rsidR="00506EE9" w:rsidRPr="00BE1488">
        <w:rPr>
          <w:rFonts w:ascii="Times New Roman" w:hAnsi="Times New Roman"/>
          <w:color w:val="000000" w:themeColor="text1"/>
          <w:sz w:val="24"/>
          <w:szCs w:val="24"/>
        </w:rPr>
        <w:t>.</w:t>
      </w:r>
    </w:p>
    <w:p w14:paraId="4304C5C5" w14:textId="4C7E9268" w:rsidR="001C76C4" w:rsidRPr="00BE1488" w:rsidRDefault="001F5481" w:rsidP="0020047B">
      <w:pPr>
        <w:pStyle w:val="Prrafodelista"/>
        <w:numPr>
          <w:ilvl w:val="1"/>
          <w:numId w:val="7"/>
        </w:numPr>
        <w:spacing w:after="0" w:line="480" w:lineRule="auto"/>
        <w:jc w:val="both"/>
        <w:rPr>
          <w:rFonts w:ascii="Times New Roman" w:hAnsi="Times New Roman"/>
          <w:color w:val="000000" w:themeColor="text1"/>
          <w:sz w:val="24"/>
          <w:szCs w:val="24"/>
        </w:rPr>
      </w:pPr>
      <w:r w:rsidRPr="00BE1488">
        <w:rPr>
          <w:rFonts w:ascii="Times New Roman" w:hAnsi="Times New Roman"/>
          <w:color w:val="000000" w:themeColor="text1"/>
          <w:sz w:val="24"/>
          <w:szCs w:val="24"/>
        </w:rPr>
        <w:t xml:space="preserve">Más de </w:t>
      </w:r>
      <w:r w:rsidR="004B536B" w:rsidRPr="00BE1488">
        <w:rPr>
          <w:rFonts w:ascii="Times New Roman" w:hAnsi="Times New Roman"/>
          <w:color w:val="000000" w:themeColor="text1"/>
          <w:sz w:val="24"/>
          <w:szCs w:val="24"/>
        </w:rPr>
        <w:t>34,</w:t>
      </w:r>
      <w:r w:rsidRPr="00BE1488">
        <w:rPr>
          <w:rFonts w:ascii="Times New Roman" w:hAnsi="Times New Roman"/>
          <w:color w:val="000000" w:themeColor="text1"/>
          <w:sz w:val="24"/>
          <w:szCs w:val="24"/>
        </w:rPr>
        <w:t>000</w:t>
      </w:r>
      <w:r w:rsidR="004B536B" w:rsidRPr="00BE1488">
        <w:rPr>
          <w:rFonts w:ascii="Times New Roman" w:hAnsi="Times New Roman"/>
          <w:color w:val="000000" w:themeColor="text1"/>
          <w:sz w:val="24"/>
          <w:szCs w:val="24"/>
        </w:rPr>
        <w:t xml:space="preserve"> visitas realizadas en finca.</w:t>
      </w:r>
    </w:p>
    <w:p w14:paraId="6091710F" w14:textId="77777777" w:rsidR="007A13FD" w:rsidRPr="00BF2915" w:rsidRDefault="00AC10D4" w:rsidP="00523C87">
      <w:pPr>
        <w:spacing w:after="0" w:line="480" w:lineRule="auto"/>
        <w:ind w:left="284" w:firstLine="720"/>
        <w:jc w:val="both"/>
        <w:rPr>
          <w:rFonts w:ascii="Times New Roman" w:hAnsi="Times New Roman"/>
          <w:color w:val="000000" w:themeColor="text1"/>
        </w:rPr>
      </w:pPr>
      <w:r w:rsidRPr="00BE1488">
        <w:rPr>
          <w:rFonts w:ascii="Times New Roman" w:hAnsi="Times New Roman"/>
          <w:color w:val="000000" w:themeColor="text1"/>
        </w:rPr>
        <w:t xml:space="preserve">El proyecto se ejecuta en </w:t>
      </w:r>
      <w:r w:rsidR="00A10AA1" w:rsidRPr="00BE1488">
        <w:rPr>
          <w:rFonts w:ascii="Times New Roman" w:hAnsi="Times New Roman"/>
          <w:color w:val="000000" w:themeColor="text1"/>
        </w:rPr>
        <w:t xml:space="preserve">la </w:t>
      </w:r>
      <w:r w:rsidRPr="00BE1488">
        <w:rPr>
          <w:rFonts w:ascii="Times New Roman" w:hAnsi="Times New Roman"/>
          <w:color w:val="000000" w:themeColor="text1"/>
        </w:rPr>
        <w:t xml:space="preserve">zona fronteriza y a nivel nacional para la mitigación, control y erradicación </w:t>
      </w:r>
      <w:r w:rsidR="00A10AA1" w:rsidRPr="00BE1488">
        <w:rPr>
          <w:rFonts w:ascii="Times New Roman" w:hAnsi="Times New Roman"/>
          <w:color w:val="000000" w:themeColor="text1"/>
        </w:rPr>
        <w:t>de la PPC y Teschen en cerdos ubicados en</w:t>
      </w:r>
      <w:r w:rsidRPr="00BE1488">
        <w:rPr>
          <w:rFonts w:ascii="Times New Roman" w:hAnsi="Times New Roman"/>
          <w:color w:val="000000" w:themeColor="text1"/>
        </w:rPr>
        <w:t xml:space="preserve"> granjas, naves industriales y traspatio.</w:t>
      </w:r>
    </w:p>
    <w:p w14:paraId="46AB302E" w14:textId="13788FFD" w:rsidR="00E540ED" w:rsidRDefault="00E540ED">
      <w:pPr>
        <w:spacing w:after="0"/>
        <w:rPr>
          <w:rFonts w:ascii="Times New Roman" w:hAnsi="Times New Roman"/>
          <w:color w:val="4F81BD" w:themeColor="accent1"/>
        </w:rPr>
      </w:pPr>
      <w:r>
        <w:rPr>
          <w:rFonts w:ascii="Times New Roman" w:hAnsi="Times New Roman"/>
          <w:color w:val="4F81BD" w:themeColor="accent1"/>
        </w:rPr>
        <w:br w:type="page"/>
      </w:r>
    </w:p>
    <w:p w14:paraId="3064257C" w14:textId="77777777" w:rsidR="008558BA" w:rsidRDefault="008558BA" w:rsidP="001C6B1A">
      <w:pPr>
        <w:pStyle w:val="Prrafodelista"/>
        <w:numPr>
          <w:ilvl w:val="0"/>
          <w:numId w:val="8"/>
        </w:numPr>
        <w:spacing w:after="0"/>
        <w:rPr>
          <w:rFonts w:ascii="Times New Roman" w:hAnsi="Times New Roman"/>
          <w:b/>
          <w:sz w:val="24"/>
          <w:lang w:val="es-ES"/>
        </w:rPr>
      </w:pPr>
      <w:r w:rsidRPr="0098414F">
        <w:rPr>
          <w:rFonts w:ascii="Times New Roman" w:hAnsi="Times New Roman"/>
          <w:b/>
          <w:sz w:val="24"/>
          <w:lang w:val="es-ES"/>
        </w:rPr>
        <w:lastRenderedPageBreak/>
        <w:t>Cerdos vacunados contra PPC</w:t>
      </w:r>
    </w:p>
    <w:p w14:paraId="0CFED88C" w14:textId="2A1B28DB" w:rsidR="008558BA" w:rsidRDefault="001F5481" w:rsidP="001C76C4">
      <w:pPr>
        <w:jc w:val="both"/>
        <w:rPr>
          <w:rFonts w:ascii="Times New Roman" w:hAnsi="Times New Roman"/>
        </w:rPr>
      </w:pPr>
      <w:r>
        <w:rPr>
          <w:noProof/>
          <w:lang w:eastAsia="es-DO"/>
        </w:rPr>
        <w:drawing>
          <wp:inline distT="0" distB="0" distL="0" distR="0" wp14:anchorId="6EFB2B27" wp14:editId="738891C4">
            <wp:extent cx="5369442" cy="2782570"/>
            <wp:effectExtent l="0" t="0" r="3175" b="0"/>
            <wp:docPr id="198" name="Gráfico 198">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27C625D0" w14:textId="77777777" w:rsidR="00170FE5" w:rsidRDefault="00170FE5" w:rsidP="001C76C4">
      <w:pPr>
        <w:jc w:val="both"/>
        <w:rPr>
          <w:rFonts w:ascii="Times New Roman" w:hAnsi="Times New Roman"/>
        </w:rPr>
      </w:pPr>
    </w:p>
    <w:p w14:paraId="77A563D1" w14:textId="77777777" w:rsidR="00A26FF2" w:rsidRPr="00BE1488" w:rsidRDefault="00A26FF2" w:rsidP="0020047B">
      <w:pPr>
        <w:pStyle w:val="Sinespaciado"/>
        <w:numPr>
          <w:ilvl w:val="0"/>
          <w:numId w:val="7"/>
        </w:numPr>
        <w:spacing w:line="480" w:lineRule="auto"/>
        <w:rPr>
          <w:rFonts w:ascii="Times New Roman" w:hAnsi="Times New Roman"/>
          <w:b/>
          <w:color w:val="000000" w:themeColor="text1"/>
        </w:rPr>
      </w:pPr>
      <w:r w:rsidRPr="00BE1488">
        <w:rPr>
          <w:rFonts w:ascii="Times New Roman" w:hAnsi="Times New Roman"/>
          <w:b/>
          <w:color w:val="000000" w:themeColor="text1"/>
        </w:rPr>
        <w:t>Logros contra Newcastle</w:t>
      </w:r>
    </w:p>
    <w:p w14:paraId="1EF33F2A" w14:textId="4F447354" w:rsidR="00A26FF2" w:rsidRPr="00BE1488" w:rsidRDefault="001F5481" w:rsidP="0020047B">
      <w:pPr>
        <w:pStyle w:val="Prrafodelista"/>
        <w:numPr>
          <w:ilvl w:val="1"/>
          <w:numId w:val="7"/>
        </w:numPr>
        <w:spacing w:after="0" w:line="480" w:lineRule="auto"/>
        <w:jc w:val="both"/>
        <w:rPr>
          <w:rFonts w:ascii="Times New Roman" w:hAnsi="Times New Roman"/>
          <w:color w:val="000000" w:themeColor="text1"/>
          <w:sz w:val="24"/>
          <w:szCs w:val="24"/>
        </w:rPr>
      </w:pPr>
      <w:r w:rsidRPr="00BE1488">
        <w:rPr>
          <w:rFonts w:ascii="Times New Roman" w:hAnsi="Times New Roman"/>
          <w:color w:val="000000" w:themeColor="text1"/>
          <w:sz w:val="24"/>
          <w:szCs w:val="24"/>
        </w:rPr>
        <w:t>215,017</w:t>
      </w:r>
      <w:r w:rsidR="004B536B" w:rsidRPr="00BE1488">
        <w:rPr>
          <w:rFonts w:ascii="Times New Roman" w:hAnsi="Times New Roman"/>
          <w:color w:val="000000" w:themeColor="text1"/>
          <w:sz w:val="24"/>
          <w:szCs w:val="24"/>
        </w:rPr>
        <w:t xml:space="preserve"> </w:t>
      </w:r>
      <w:r w:rsidR="00A26FF2" w:rsidRPr="00BE1488">
        <w:rPr>
          <w:rFonts w:ascii="Times New Roman" w:hAnsi="Times New Roman"/>
          <w:color w:val="000000" w:themeColor="text1"/>
          <w:sz w:val="24"/>
          <w:szCs w:val="24"/>
        </w:rPr>
        <w:t>pollos vacunados</w:t>
      </w:r>
      <w:r w:rsidR="004B536B" w:rsidRPr="00BE1488">
        <w:rPr>
          <w:rFonts w:ascii="Times New Roman" w:hAnsi="Times New Roman"/>
          <w:color w:val="000000" w:themeColor="text1"/>
          <w:sz w:val="24"/>
          <w:szCs w:val="24"/>
        </w:rPr>
        <w:t xml:space="preserve"> contra Newcastle</w:t>
      </w:r>
      <w:r w:rsidR="00506EE9" w:rsidRPr="00BE1488">
        <w:rPr>
          <w:rFonts w:ascii="Times New Roman" w:hAnsi="Times New Roman"/>
          <w:color w:val="000000" w:themeColor="text1"/>
          <w:sz w:val="24"/>
          <w:szCs w:val="24"/>
        </w:rPr>
        <w:t>.</w:t>
      </w:r>
    </w:p>
    <w:p w14:paraId="74CAFA02" w14:textId="019EAFC5" w:rsidR="00A26FF2" w:rsidRPr="00BE1488" w:rsidRDefault="001F5481" w:rsidP="0020047B">
      <w:pPr>
        <w:pStyle w:val="Prrafodelista"/>
        <w:numPr>
          <w:ilvl w:val="1"/>
          <w:numId w:val="7"/>
        </w:numPr>
        <w:spacing w:after="0" w:line="480" w:lineRule="auto"/>
        <w:jc w:val="both"/>
        <w:rPr>
          <w:rFonts w:ascii="Times New Roman" w:hAnsi="Times New Roman"/>
          <w:color w:val="000000" w:themeColor="text1"/>
          <w:sz w:val="24"/>
          <w:szCs w:val="24"/>
        </w:rPr>
      </w:pPr>
      <w:r w:rsidRPr="00BE1488">
        <w:rPr>
          <w:rFonts w:ascii="Times New Roman" w:hAnsi="Times New Roman"/>
          <w:color w:val="000000" w:themeColor="text1"/>
          <w:sz w:val="24"/>
          <w:szCs w:val="24"/>
        </w:rPr>
        <w:t xml:space="preserve">Más de </w:t>
      </w:r>
      <w:r w:rsidR="004B536B" w:rsidRPr="00BE1488">
        <w:rPr>
          <w:rFonts w:ascii="Times New Roman" w:hAnsi="Times New Roman"/>
          <w:color w:val="000000" w:themeColor="text1"/>
          <w:sz w:val="24"/>
          <w:szCs w:val="24"/>
        </w:rPr>
        <w:t>2,8</w:t>
      </w:r>
      <w:r w:rsidRPr="00BE1488">
        <w:rPr>
          <w:rFonts w:ascii="Times New Roman" w:hAnsi="Times New Roman"/>
          <w:color w:val="000000" w:themeColor="text1"/>
          <w:sz w:val="24"/>
          <w:szCs w:val="24"/>
        </w:rPr>
        <w:t>00</w:t>
      </w:r>
      <w:r w:rsidR="004B536B" w:rsidRPr="00BE1488">
        <w:rPr>
          <w:rFonts w:ascii="Times New Roman" w:hAnsi="Times New Roman"/>
          <w:color w:val="000000" w:themeColor="text1"/>
          <w:sz w:val="24"/>
          <w:szCs w:val="24"/>
        </w:rPr>
        <w:t xml:space="preserve"> visitas realiza</w:t>
      </w:r>
      <w:r w:rsidR="005A35DE" w:rsidRPr="00BE1488">
        <w:rPr>
          <w:rFonts w:ascii="Times New Roman" w:hAnsi="Times New Roman"/>
          <w:color w:val="000000" w:themeColor="text1"/>
          <w:sz w:val="24"/>
          <w:szCs w:val="24"/>
        </w:rPr>
        <w:t>da</w:t>
      </w:r>
      <w:r w:rsidR="004B536B" w:rsidRPr="00BE1488">
        <w:rPr>
          <w:rFonts w:ascii="Times New Roman" w:hAnsi="Times New Roman"/>
          <w:color w:val="000000" w:themeColor="text1"/>
          <w:sz w:val="24"/>
          <w:szCs w:val="24"/>
        </w:rPr>
        <w:t>s en granjas.</w:t>
      </w:r>
    </w:p>
    <w:p w14:paraId="29E61112" w14:textId="492ADADB" w:rsidR="004245EB" w:rsidRDefault="004245EB">
      <w:pPr>
        <w:spacing w:after="0"/>
        <w:rPr>
          <w:rFonts w:ascii="Times New Roman" w:eastAsia="Calibri" w:hAnsi="Times New Roman"/>
          <w:lang w:eastAsia="en-US"/>
        </w:rPr>
      </w:pPr>
    </w:p>
    <w:p w14:paraId="7A299A34" w14:textId="77777777" w:rsidR="00A26FF2" w:rsidRDefault="00A26FF2" w:rsidP="001C6B1A">
      <w:pPr>
        <w:pStyle w:val="Prrafodelista"/>
        <w:numPr>
          <w:ilvl w:val="0"/>
          <w:numId w:val="8"/>
        </w:numPr>
        <w:spacing w:after="0"/>
        <w:rPr>
          <w:rFonts w:ascii="Times New Roman" w:hAnsi="Times New Roman"/>
          <w:b/>
          <w:sz w:val="24"/>
          <w:lang w:val="es-ES"/>
        </w:rPr>
      </w:pPr>
      <w:r w:rsidRPr="0098414F">
        <w:rPr>
          <w:rFonts w:ascii="Times New Roman" w:hAnsi="Times New Roman"/>
          <w:b/>
          <w:sz w:val="24"/>
          <w:lang w:val="es-ES"/>
        </w:rPr>
        <w:t>Pollos vacunados contra Newcastle</w:t>
      </w:r>
    </w:p>
    <w:p w14:paraId="290DC5B6" w14:textId="17C64CBA" w:rsidR="00A26FF2" w:rsidRPr="0098414F" w:rsidRDefault="001F5481" w:rsidP="001C76C4">
      <w:pPr>
        <w:jc w:val="both"/>
        <w:rPr>
          <w:rFonts w:ascii="Times New Roman" w:hAnsi="Times New Roman"/>
        </w:rPr>
      </w:pPr>
      <w:r w:rsidRPr="001F5481">
        <w:rPr>
          <w:rFonts w:ascii="Times New Roman" w:hAnsi="Times New Roman"/>
          <w:noProof/>
          <w:sz w:val="22"/>
          <w:szCs w:val="22"/>
          <w:lang w:eastAsia="es-DO"/>
        </w:rPr>
        <w:drawing>
          <wp:inline distT="0" distB="0" distL="0" distR="0" wp14:anchorId="2D7A3CFC" wp14:editId="787F89F6">
            <wp:extent cx="5592445" cy="2915920"/>
            <wp:effectExtent l="0" t="0" r="8255" b="0"/>
            <wp:docPr id="199" name="Gráfico 199">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0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87BBAFA" w14:textId="77777777" w:rsidR="008D3335" w:rsidRDefault="008D3335" w:rsidP="008D3335">
      <w:pPr>
        <w:spacing w:after="0" w:line="480" w:lineRule="auto"/>
        <w:rPr>
          <w:rFonts w:ascii="Times New Roman" w:hAnsi="Times New Roman"/>
          <w:b/>
          <w:bCs/>
        </w:rPr>
      </w:pPr>
    </w:p>
    <w:p w14:paraId="4CC80DE2" w14:textId="77777777" w:rsidR="00D25F2C" w:rsidRPr="007258E5" w:rsidRDefault="00693520" w:rsidP="00CA5792">
      <w:pPr>
        <w:pStyle w:val="Ttulo3"/>
      </w:pPr>
      <w:bookmarkStart w:id="221" w:name="_Toc26292074"/>
      <w:bookmarkStart w:id="222" w:name="_Toc27146780"/>
      <w:r w:rsidRPr="007258E5">
        <w:lastRenderedPageBreak/>
        <w:t>P</w:t>
      </w:r>
      <w:r w:rsidR="00D25F2C" w:rsidRPr="007258E5">
        <w:t>royectos en ejecución</w:t>
      </w:r>
      <w:r w:rsidR="004B536B" w:rsidRPr="007258E5">
        <w:t xml:space="preserve"> a través del Sistema Nacional de Inversión Pública.</w:t>
      </w:r>
      <w:bookmarkEnd w:id="221"/>
      <w:bookmarkEnd w:id="222"/>
    </w:p>
    <w:p w14:paraId="31C9882B" w14:textId="77777777" w:rsidR="00792ADF" w:rsidRPr="00017F86" w:rsidRDefault="00792ADF" w:rsidP="007258E5">
      <w:pPr>
        <w:spacing w:after="0" w:line="360" w:lineRule="auto"/>
        <w:jc w:val="both"/>
        <w:rPr>
          <w:rFonts w:ascii="Times New Roman" w:hAnsi="Times New Roman"/>
          <w:sz w:val="22"/>
        </w:rPr>
      </w:pPr>
    </w:p>
    <w:p w14:paraId="1B79B722" w14:textId="77777777" w:rsidR="00792ADF" w:rsidRPr="0098414F" w:rsidRDefault="007258E5" w:rsidP="007258E5">
      <w:pPr>
        <w:spacing w:line="360" w:lineRule="auto"/>
        <w:jc w:val="both"/>
        <w:rPr>
          <w:rFonts w:ascii="Times New Roman" w:hAnsi="Times New Roman"/>
          <w:b/>
        </w:rPr>
      </w:pPr>
      <w:r>
        <w:rPr>
          <w:rFonts w:ascii="Times New Roman" w:hAnsi="Times New Roman"/>
          <w:b/>
          <w:sz w:val="28"/>
          <w:lang w:bidi="en-US"/>
        </w:rPr>
        <w:t>Proyecto</w:t>
      </w:r>
      <w:r w:rsidR="002C1F2C" w:rsidRPr="0098414F">
        <w:rPr>
          <w:rFonts w:ascii="Times New Roman" w:hAnsi="Times New Roman"/>
          <w:b/>
          <w:sz w:val="28"/>
          <w:lang w:bidi="en-US"/>
        </w:rPr>
        <w:t xml:space="preserve"> de </w:t>
      </w:r>
      <w:r w:rsidR="00D97BE5">
        <w:rPr>
          <w:rFonts w:ascii="Times New Roman" w:hAnsi="Times New Roman"/>
          <w:b/>
          <w:sz w:val="28"/>
          <w:lang w:bidi="en-US"/>
        </w:rPr>
        <w:t>c</w:t>
      </w:r>
      <w:r w:rsidR="005F262D" w:rsidRPr="0098414F">
        <w:rPr>
          <w:rFonts w:ascii="Times New Roman" w:hAnsi="Times New Roman"/>
          <w:b/>
          <w:sz w:val="28"/>
          <w:lang w:bidi="en-US"/>
        </w:rPr>
        <w:t xml:space="preserve">onstrucción </w:t>
      </w:r>
      <w:r w:rsidR="00D97BE5">
        <w:rPr>
          <w:rFonts w:ascii="Times New Roman" w:hAnsi="Times New Roman"/>
          <w:b/>
          <w:sz w:val="28"/>
          <w:lang w:bidi="en-US"/>
        </w:rPr>
        <w:t>s</w:t>
      </w:r>
      <w:r w:rsidR="005F262D" w:rsidRPr="0098414F">
        <w:rPr>
          <w:rFonts w:ascii="Times New Roman" w:hAnsi="Times New Roman"/>
          <w:b/>
          <w:sz w:val="28"/>
          <w:lang w:bidi="en-US"/>
        </w:rPr>
        <w:t>istema</w:t>
      </w:r>
      <w:r w:rsidR="00792ADF" w:rsidRPr="0098414F">
        <w:rPr>
          <w:rFonts w:ascii="Times New Roman" w:hAnsi="Times New Roman"/>
          <w:b/>
          <w:sz w:val="28"/>
          <w:lang w:bidi="en-US"/>
        </w:rPr>
        <w:t xml:space="preserve">s de </w:t>
      </w:r>
      <w:r w:rsidR="00D97BE5">
        <w:rPr>
          <w:rFonts w:ascii="Times New Roman" w:hAnsi="Times New Roman"/>
          <w:b/>
          <w:sz w:val="28"/>
          <w:lang w:bidi="en-US"/>
        </w:rPr>
        <w:t>p</w:t>
      </w:r>
      <w:r w:rsidR="005F262D" w:rsidRPr="0098414F">
        <w:rPr>
          <w:rFonts w:ascii="Times New Roman" w:hAnsi="Times New Roman"/>
          <w:b/>
          <w:sz w:val="28"/>
          <w:lang w:bidi="en-US"/>
        </w:rPr>
        <w:t xml:space="preserve">roducción </w:t>
      </w:r>
      <w:r w:rsidR="00792ADF" w:rsidRPr="0098414F">
        <w:rPr>
          <w:rFonts w:ascii="Times New Roman" w:hAnsi="Times New Roman"/>
          <w:b/>
          <w:sz w:val="28"/>
          <w:lang w:bidi="en-US"/>
        </w:rPr>
        <w:t xml:space="preserve">para la </w:t>
      </w:r>
      <w:r w:rsidR="00D97BE5">
        <w:rPr>
          <w:rFonts w:ascii="Times New Roman" w:hAnsi="Times New Roman"/>
          <w:b/>
          <w:sz w:val="28"/>
          <w:lang w:bidi="en-US"/>
        </w:rPr>
        <w:t>r</w:t>
      </w:r>
      <w:r w:rsidR="005F262D" w:rsidRPr="0098414F">
        <w:rPr>
          <w:rFonts w:ascii="Times New Roman" w:hAnsi="Times New Roman"/>
          <w:b/>
          <w:sz w:val="28"/>
          <w:lang w:bidi="en-US"/>
        </w:rPr>
        <w:t xml:space="preserve">econversión </w:t>
      </w:r>
      <w:r w:rsidR="00D97BE5">
        <w:rPr>
          <w:rFonts w:ascii="Times New Roman" w:hAnsi="Times New Roman"/>
          <w:b/>
          <w:sz w:val="28"/>
          <w:lang w:bidi="en-US"/>
        </w:rPr>
        <w:t>a</w:t>
      </w:r>
      <w:r w:rsidR="005F262D" w:rsidRPr="0098414F">
        <w:rPr>
          <w:rFonts w:ascii="Times New Roman" w:hAnsi="Times New Roman"/>
          <w:b/>
          <w:sz w:val="28"/>
          <w:lang w:bidi="en-US"/>
        </w:rPr>
        <w:t>g</w:t>
      </w:r>
      <w:r w:rsidR="00792ADF" w:rsidRPr="0098414F">
        <w:rPr>
          <w:rFonts w:ascii="Times New Roman" w:hAnsi="Times New Roman"/>
          <w:b/>
          <w:sz w:val="28"/>
          <w:lang w:bidi="en-US"/>
        </w:rPr>
        <w:t>rícola de San Juan de la Maguana (Reconversión San Juan)</w:t>
      </w:r>
      <w:r w:rsidR="00792ADF" w:rsidRPr="0098414F">
        <w:rPr>
          <w:rFonts w:ascii="Times New Roman" w:hAnsi="Times New Roman"/>
        </w:rPr>
        <w:t xml:space="preserve"> </w:t>
      </w:r>
      <w:r w:rsidR="00792ADF" w:rsidRPr="0098414F">
        <w:rPr>
          <w:rFonts w:ascii="Times New Roman" w:hAnsi="Times New Roman"/>
          <w:vertAlign w:val="superscript"/>
        </w:rPr>
        <w:footnoteReference w:id="20"/>
      </w:r>
    </w:p>
    <w:p w14:paraId="4FDCAD0F" w14:textId="77777777" w:rsidR="004A2905" w:rsidRDefault="004A2905" w:rsidP="00792ADF">
      <w:pPr>
        <w:spacing w:line="480" w:lineRule="auto"/>
        <w:ind w:firstLine="720"/>
        <w:jc w:val="both"/>
        <w:rPr>
          <w:rFonts w:ascii="Times New Roman" w:hAnsi="Times New Roman"/>
          <w:color w:val="000000" w:themeColor="text1"/>
          <w:lang w:val="es-MX"/>
        </w:rPr>
      </w:pPr>
    </w:p>
    <w:p w14:paraId="27736134" w14:textId="77777777" w:rsidR="00F148DE" w:rsidRPr="00BE1488" w:rsidRDefault="00383B88" w:rsidP="00792ADF">
      <w:pPr>
        <w:spacing w:line="480" w:lineRule="auto"/>
        <w:ind w:firstLine="720"/>
        <w:jc w:val="both"/>
        <w:rPr>
          <w:rFonts w:ascii="Times New Roman" w:hAnsi="Times New Roman"/>
          <w:color w:val="000000" w:themeColor="text1"/>
          <w:lang w:val="es-MX"/>
        </w:rPr>
      </w:pPr>
      <w:r w:rsidRPr="00BE1488">
        <w:rPr>
          <w:rFonts w:ascii="Times New Roman" w:hAnsi="Times New Roman"/>
          <w:color w:val="000000" w:themeColor="text1"/>
          <w:lang w:val="es-MX"/>
        </w:rPr>
        <w:t xml:space="preserve">El programa contribuye al desarrollo productivo y la capacidad exportadora de la provincia de San Juan a partir del mejoramiento de las condiciones de acceso a crédito de productores y empresas; el mejoramiento de </w:t>
      </w:r>
      <w:r w:rsidR="0087051C" w:rsidRPr="00BE1488">
        <w:rPr>
          <w:rFonts w:ascii="Times New Roman" w:hAnsi="Times New Roman"/>
          <w:color w:val="000000" w:themeColor="text1"/>
          <w:lang w:val="es-MX"/>
        </w:rPr>
        <w:t>la</w:t>
      </w:r>
      <w:r w:rsidRPr="00BE1488">
        <w:rPr>
          <w:rFonts w:ascii="Times New Roman" w:hAnsi="Times New Roman"/>
          <w:color w:val="000000" w:themeColor="text1"/>
          <w:lang w:val="es-MX"/>
        </w:rPr>
        <w:t xml:space="preserve"> accesibilidad a mercados, la reducción de los costos de transporte y la optimización del uso de los recursos hídricos disponibles</w:t>
      </w:r>
      <w:r w:rsidR="00556444" w:rsidRPr="00BE1488">
        <w:rPr>
          <w:rFonts w:ascii="Times New Roman" w:hAnsi="Times New Roman"/>
          <w:color w:val="000000" w:themeColor="text1"/>
          <w:lang w:val="es-MX"/>
        </w:rPr>
        <w:t>, (Ver anexo, E).</w:t>
      </w:r>
    </w:p>
    <w:p w14:paraId="1064D72B" w14:textId="77777777" w:rsidR="00F148DE" w:rsidRPr="00BE1488" w:rsidRDefault="00F148DE" w:rsidP="00792ADF">
      <w:pPr>
        <w:spacing w:line="480" w:lineRule="auto"/>
        <w:ind w:firstLine="720"/>
        <w:jc w:val="both"/>
        <w:rPr>
          <w:rFonts w:ascii="Times New Roman" w:hAnsi="Times New Roman"/>
          <w:color w:val="000000" w:themeColor="text1"/>
          <w:lang w:val="es-MX"/>
        </w:rPr>
      </w:pPr>
    </w:p>
    <w:p w14:paraId="079F46D8" w14:textId="77777777" w:rsidR="00792ADF" w:rsidRPr="00666AB3" w:rsidRDefault="00F843EB" w:rsidP="00792ADF">
      <w:pPr>
        <w:spacing w:line="480" w:lineRule="auto"/>
        <w:ind w:firstLine="720"/>
        <w:jc w:val="both"/>
        <w:rPr>
          <w:rFonts w:ascii="Times New Roman" w:hAnsi="Times New Roman"/>
          <w:color w:val="4F81BD" w:themeColor="accent1"/>
          <w:lang w:val="es-MX"/>
        </w:rPr>
      </w:pPr>
      <w:r w:rsidRPr="00BE1488">
        <w:rPr>
          <w:rFonts w:ascii="Times New Roman" w:hAnsi="Times New Roman"/>
          <w:color w:val="000000" w:themeColor="text1"/>
          <w:lang w:val="es-MX"/>
        </w:rPr>
        <w:t>D</w:t>
      </w:r>
      <w:r w:rsidR="0087051C" w:rsidRPr="00BE1488">
        <w:rPr>
          <w:rFonts w:ascii="Times New Roman" w:hAnsi="Times New Roman"/>
          <w:color w:val="000000" w:themeColor="text1"/>
          <w:lang w:val="es-MX"/>
        </w:rPr>
        <w:t xml:space="preserve">icho </w:t>
      </w:r>
      <w:r w:rsidR="0039543C" w:rsidRPr="00BE1488">
        <w:rPr>
          <w:rFonts w:ascii="Times New Roman" w:hAnsi="Times New Roman"/>
          <w:color w:val="000000" w:themeColor="text1"/>
          <w:lang w:val="es-MX"/>
        </w:rPr>
        <w:t>programa es financiado por Banco I</w:t>
      </w:r>
      <w:r w:rsidR="0087051C" w:rsidRPr="00BE1488">
        <w:rPr>
          <w:rFonts w:ascii="Times New Roman" w:hAnsi="Times New Roman"/>
          <w:color w:val="000000" w:themeColor="text1"/>
          <w:lang w:val="es-MX"/>
        </w:rPr>
        <w:t>nteramericano de Desarrollo (BID) con un monto ascendente a US$35.0 millones y US$3.3 millones de fondos de contrapartida.</w:t>
      </w:r>
    </w:p>
    <w:p w14:paraId="046D851E" w14:textId="77777777" w:rsidR="00F148DE" w:rsidRDefault="00F148DE">
      <w:pPr>
        <w:spacing w:after="0"/>
        <w:rPr>
          <w:rFonts w:ascii="Times New Roman" w:hAnsi="Times New Roman"/>
          <w:color w:val="4F81BD" w:themeColor="accent1"/>
          <w:lang w:val="es-MX"/>
        </w:rPr>
      </w:pPr>
    </w:p>
    <w:p w14:paraId="78988FA9" w14:textId="77777777" w:rsidR="0087051C" w:rsidRPr="005A35DE" w:rsidRDefault="0087051C" w:rsidP="0020047B">
      <w:pPr>
        <w:pStyle w:val="Sinespaciado"/>
        <w:numPr>
          <w:ilvl w:val="0"/>
          <w:numId w:val="7"/>
        </w:numPr>
        <w:spacing w:line="480" w:lineRule="auto"/>
        <w:rPr>
          <w:rFonts w:ascii="Times New Roman" w:hAnsi="Times New Roman"/>
          <w:b/>
          <w:bCs/>
          <w:color w:val="000000" w:themeColor="text1"/>
          <w:sz w:val="28"/>
        </w:rPr>
      </w:pPr>
      <w:r w:rsidRPr="005A35DE">
        <w:rPr>
          <w:rFonts w:ascii="Times New Roman" w:hAnsi="Times New Roman"/>
          <w:b/>
          <w:color w:val="000000" w:themeColor="text1"/>
        </w:rPr>
        <w:t>Logros</w:t>
      </w:r>
      <w:r w:rsidR="0010505D" w:rsidRPr="005A35DE">
        <w:rPr>
          <w:rFonts w:ascii="Times New Roman" w:hAnsi="Times New Roman"/>
          <w:b/>
          <w:color w:val="000000" w:themeColor="text1"/>
        </w:rPr>
        <w:t xml:space="preserve"> por componentes:</w:t>
      </w:r>
    </w:p>
    <w:p w14:paraId="0FCC3657" w14:textId="77777777" w:rsidR="0087051C" w:rsidRPr="005A35DE" w:rsidRDefault="0087051C" w:rsidP="0020047B">
      <w:pPr>
        <w:pStyle w:val="Sinespaciado"/>
        <w:numPr>
          <w:ilvl w:val="1"/>
          <w:numId w:val="7"/>
        </w:numPr>
        <w:spacing w:line="480" w:lineRule="auto"/>
        <w:rPr>
          <w:rFonts w:ascii="Times New Roman" w:hAnsi="Times New Roman"/>
          <w:b/>
          <w:bCs/>
          <w:color w:val="000000" w:themeColor="text1"/>
        </w:rPr>
      </w:pPr>
      <w:r w:rsidRPr="005A35DE">
        <w:rPr>
          <w:rFonts w:ascii="Times New Roman" w:hAnsi="Times New Roman"/>
          <w:b/>
          <w:bCs/>
          <w:color w:val="000000" w:themeColor="text1"/>
        </w:rPr>
        <w:t>Componente de acceso a crédito</w:t>
      </w:r>
      <w:r w:rsidR="00D47F53" w:rsidRPr="005A35DE">
        <w:rPr>
          <w:rFonts w:ascii="Times New Roman" w:hAnsi="Times New Roman"/>
          <w:b/>
          <w:bCs/>
          <w:color w:val="000000" w:themeColor="text1"/>
        </w:rPr>
        <w:t xml:space="preserve"> (Subastas)</w:t>
      </w:r>
    </w:p>
    <w:p w14:paraId="66218A15" w14:textId="322BBE0F" w:rsidR="00506AE8" w:rsidRPr="00BE1488" w:rsidRDefault="00BE1488" w:rsidP="006241A9">
      <w:pPr>
        <w:spacing w:line="480" w:lineRule="auto"/>
        <w:ind w:firstLine="720"/>
        <w:jc w:val="both"/>
        <w:rPr>
          <w:rFonts w:ascii="Times New Roman" w:hAnsi="Times New Roman"/>
          <w:color w:val="000000" w:themeColor="text1"/>
          <w:lang w:val="es-MX"/>
        </w:rPr>
      </w:pPr>
      <w:r w:rsidRPr="00BE1488">
        <w:rPr>
          <w:rFonts w:ascii="Times New Roman" w:hAnsi="Times New Roman"/>
          <w:color w:val="000000" w:themeColor="text1"/>
          <w:lang w:val="es-MX"/>
        </w:rPr>
        <w:lastRenderedPageBreak/>
        <w:t>C</w:t>
      </w:r>
      <w:r w:rsidR="00506AE8" w:rsidRPr="00BE1488">
        <w:rPr>
          <w:rFonts w:ascii="Times New Roman" w:hAnsi="Times New Roman"/>
          <w:color w:val="000000" w:themeColor="text1"/>
          <w:lang w:val="es-MX"/>
        </w:rPr>
        <w:t>inco (5) subastas, con la participación de seis (6) entidades de Intermediación Financiera (EIF), con un monto de RD$ 1,170.0 millones y RD$1,103 millones adjudicados, subastados a una tasa de interés promedio de 6.7%.</w:t>
      </w:r>
    </w:p>
    <w:p w14:paraId="2FBB3972" w14:textId="77777777" w:rsidR="00506AE8" w:rsidRPr="00BE1488" w:rsidRDefault="00506AE8" w:rsidP="006241A9">
      <w:pPr>
        <w:spacing w:line="480" w:lineRule="auto"/>
        <w:ind w:firstLine="720"/>
        <w:jc w:val="both"/>
        <w:rPr>
          <w:rFonts w:ascii="Times New Roman" w:hAnsi="Times New Roman"/>
          <w:color w:val="000000" w:themeColor="text1"/>
          <w:lang w:val="es-MX"/>
        </w:rPr>
      </w:pPr>
    </w:p>
    <w:p w14:paraId="3C97A0E2" w14:textId="47180115" w:rsidR="00506AE8" w:rsidRPr="00BE1488" w:rsidRDefault="00506AE8" w:rsidP="006241A9">
      <w:pPr>
        <w:spacing w:line="480" w:lineRule="auto"/>
        <w:ind w:firstLine="720"/>
        <w:jc w:val="both"/>
        <w:rPr>
          <w:rFonts w:ascii="Times New Roman" w:hAnsi="Times New Roman"/>
          <w:color w:val="000000" w:themeColor="text1"/>
        </w:rPr>
      </w:pPr>
      <w:r w:rsidRPr="00BE1488">
        <w:rPr>
          <w:rFonts w:ascii="Times New Roman" w:hAnsi="Times New Roman"/>
          <w:color w:val="000000" w:themeColor="text1"/>
          <w:lang w:val="es-MX"/>
        </w:rPr>
        <w:t>El monto total de los recursos subastados, supera a la inversión total con Fondo BHD</w:t>
      </w:r>
      <w:r w:rsidRPr="00BE1488">
        <w:rPr>
          <w:rFonts w:ascii="Times New Roman" w:hAnsi="Times New Roman"/>
          <w:color w:val="000000" w:themeColor="text1"/>
        </w:rPr>
        <w:t xml:space="preserve">, debido a que aproximadamente RD$260.00 millones de amortizaciones de los préstamos otorgados, fueron </w:t>
      </w:r>
      <w:r w:rsidR="00465C26" w:rsidRPr="00BE1488">
        <w:rPr>
          <w:rFonts w:ascii="Times New Roman" w:hAnsi="Times New Roman"/>
          <w:color w:val="000000" w:themeColor="text1"/>
        </w:rPr>
        <w:t>utilizados</w:t>
      </w:r>
      <w:r w:rsidRPr="00BE1488">
        <w:rPr>
          <w:rFonts w:ascii="Times New Roman" w:hAnsi="Times New Roman"/>
          <w:color w:val="000000" w:themeColor="text1"/>
        </w:rPr>
        <w:t xml:space="preserve"> en la segunda y tercera subasta. </w:t>
      </w:r>
    </w:p>
    <w:p w14:paraId="2003C91B" w14:textId="6C8386A7" w:rsidR="00506AE8" w:rsidRPr="00D77799" w:rsidRDefault="00506AE8" w:rsidP="006241A9">
      <w:pPr>
        <w:spacing w:line="480" w:lineRule="auto"/>
        <w:ind w:firstLine="720"/>
        <w:jc w:val="both"/>
        <w:rPr>
          <w:rFonts w:ascii="Times New Roman" w:hAnsi="Times New Roman"/>
          <w:color w:val="000000" w:themeColor="text1"/>
          <w:lang w:val="es-MX"/>
        </w:rPr>
      </w:pPr>
    </w:p>
    <w:p w14:paraId="4C46E3D4" w14:textId="77777777" w:rsidR="00506AE8" w:rsidRPr="004A2905" w:rsidRDefault="00506AE8" w:rsidP="004A2905">
      <w:pPr>
        <w:pStyle w:val="Prrafodelista"/>
        <w:numPr>
          <w:ilvl w:val="0"/>
          <w:numId w:val="7"/>
        </w:numPr>
        <w:spacing w:after="0" w:line="360" w:lineRule="auto"/>
        <w:ind w:left="360"/>
        <w:jc w:val="both"/>
        <w:rPr>
          <w:rFonts w:ascii="Times New Roman" w:hAnsi="Times New Roman"/>
          <w:color w:val="000000" w:themeColor="text1"/>
          <w:sz w:val="24"/>
          <w:lang w:val="es-MX"/>
        </w:rPr>
      </w:pPr>
      <w:r w:rsidRPr="004A2905">
        <w:rPr>
          <w:rFonts w:ascii="Times New Roman" w:hAnsi="Times New Roman"/>
          <w:color w:val="000000" w:themeColor="text1"/>
          <w:sz w:val="24"/>
          <w:lang w:val="es-MX"/>
        </w:rPr>
        <w:t>199 préstamos emitidos, beneficiando a igual cantidad de productores.</w:t>
      </w:r>
    </w:p>
    <w:p w14:paraId="569F1FBE" w14:textId="77777777" w:rsidR="00506AE8" w:rsidRPr="004A2905" w:rsidRDefault="00506AE8" w:rsidP="004A2905">
      <w:pPr>
        <w:spacing w:after="0" w:line="360" w:lineRule="auto"/>
        <w:ind w:left="65" w:firstLine="720"/>
        <w:jc w:val="both"/>
        <w:rPr>
          <w:rFonts w:ascii="Times New Roman" w:hAnsi="Times New Roman"/>
          <w:color w:val="000000" w:themeColor="text1"/>
          <w:sz w:val="28"/>
          <w:lang w:val="es-MX"/>
        </w:rPr>
      </w:pPr>
    </w:p>
    <w:p w14:paraId="3191B329" w14:textId="77777777" w:rsidR="00506AE8" w:rsidRPr="004A2905" w:rsidRDefault="00506AE8" w:rsidP="004A2905">
      <w:pPr>
        <w:pStyle w:val="Prrafodelista"/>
        <w:numPr>
          <w:ilvl w:val="0"/>
          <w:numId w:val="7"/>
        </w:numPr>
        <w:spacing w:after="0" w:line="360" w:lineRule="auto"/>
        <w:ind w:left="360"/>
        <w:jc w:val="both"/>
        <w:rPr>
          <w:rFonts w:ascii="Times New Roman" w:hAnsi="Times New Roman"/>
          <w:color w:val="000000" w:themeColor="text1"/>
          <w:sz w:val="24"/>
          <w:lang w:val="es-MX"/>
        </w:rPr>
      </w:pPr>
      <w:r w:rsidRPr="004A2905">
        <w:rPr>
          <w:rFonts w:ascii="Times New Roman" w:hAnsi="Times New Roman"/>
          <w:color w:val="000000" w:themeColor="text1"/>
          <w:sz w:val="24"/>
          <w:lang w:val="es-MX"/>
        </w:rPr>
        <w:t>196 actividades de asistencia técnica, beneficiando a 10,927 productores.</w:t>
      </w:r>
    </w:p>
    <w:p w14:paraId="4B361BA4" w14:textId="77777777" w:rsidR="00506AE8" w:rsidRPr="004A2905" w:rsidRDefault="00506AE8" w:rsidP="004A2905">
      <w:pPr>
        <w:pStyle w:val="Prrafodelista"/>
        <w:numPr>
          <w:ilvl w:val="0"/>
          <w:numId w:val="7"/>
        </w:numPr>
        <w:spacing w:after="0" w:line="360" w:lineRule="auto"/>
        <w:ind w:left="360"/>
        <w:jc w:val="both"/>
        <w:rPr>
          <w:rFonts w:ascii="Times New Roman" w:hAnsi="Times New Roman"/>
          <w:color w:val="000000" w:themeColor="text1"/>
          <w:sz w:val="24"/>
          <w:lang w:val="es-MX"/>
        </w:rPr>
      </w:pPr>
      <w:r w:rsidRPr="004A2905">
        <w:rPr>
          <w:rFonts w:ascii="Times New Roman" w:hAnsi="Times New Roman"/>
          <w:color w:val="000000" w:themeColor="text1"/>
          <w:sz w:val="24"/>
          <w:lang w:val="es-MX"/>
        </w:rPr>
        <w:t>Realización de 27 talleres, beneficiando a 709 productores.</w:t>
      </w:r>
    </w:p>
    <w:p w14:paraId="75CF5032" w14:textId="77777777" w:rsidR="00506AE8" w:rsidRPr="004A2905" w:rsidRDefault="00506AE8" w:rsidP="004A2905">
      <w:pPr>
        <w:spacing w:after="0" w:line="360" w:lineRule="auto"/>
        <w:ind w:left="65" w:firstLine="720"/>
        <w:jc w:val="both"/>
        <w:rPr>
          <w:rFonts w:ascii="Times New Roman" w:hAnsi="Times New Roman"/>
          <w:color w:val="000000" w:themeColor="text1"/>
          <w:sz w:val="28"/>
          <w:lang w:val="es-MX"/>
        </w:rPr>
      </w:pPr>
    </w:p>
    <w:p w14:paraId="2D448467" w14:textId="6B36329D" w:rsidR="00506AE8" w:rsidRPr="004A2905" w:rsidRDefault="00506AE8" w:rsidP="004A2905">
      <w:pPr>
        <w:pStyle w:val="Prrafodelista"/>
        <w:numPr>
          <w:ilvl w:val="0"/>
          <w:numId w:val="7"/>
        </w:numPr>
        <w:spacing w:after="0" w:line="360" w:lineRule="auto"/>
        <w:ind w:left="360"/>
        <w:jc w:val="both"/>
        <w:rPr>
          <w:rFonts w:ascii="Times New Roman" w:hAnsi="Times New Roman"/>
          <w:color w:val="000000" w:themeColor="text1"/>
          <w:sz w:val="24"/>
          <w:lang w:val="es-MX"/>
        </w:rPr>
      </w:pPr>
      <w:r w:rsidRPr="004A2905">
        <w:rPr>
          <w:rFonts w:ascii="Times New Roman" w:hAnsi="Times New Roman"/>
          <w:color w:val="000000" w:themeColor="text1"/>
          <w:sz w:val="24"/>
          <w:lang w:val="es-MX"/>
        </w:rPr>
        <w:t>Elaboración de 6 planes de negocios, 25 formulaciones de proyectos, beneficiando a 1400 y 8,070 productores, respectivamente.</w:t>
      </w:r>
    </w:p>
    <w:p w14:paraId="38982F2C" w14:textId="77777777" w:rsidR="00506AE8" w:rsidRPr="004A2905" w:rsidRDefault="00506AE8" w:rsidP="004A2905">
      <w:pPr>
        <w:spacing w:after="0" w:line="360" w:lineRule="auto"/>
        <w:ind w:left="65" w:firstLine="720"/>
        <w:jc w:val="both"/>
        <w:rPr>
          <w:rFonts w:ascii="Times New Roman" w:hAnsi="Times New Roman"/>
          <w:color w:val="000000" w:themeColor="text1"/>
          <w:sz w:val="28"/>
          <w:lang w:val="es-MX"/>
        </w:rPr>
      </w:pPr>
    </w:p>
    <w:p w14:paraId="415676F6" w14:textId="77777777" w:rsidR="00506AE8" w:rsidRPr="004A2905" w:rsidRDefault="00506AE8" w:rsidP="004A2905">
      <w:pPr>
        <w:pStyle w:val="Prrafodelista"/>
        <w:numPr>
          <w:ilvl w:val="0"/>
          <w:numId w:val="7"/>
        </w:numPr>
        <w:spacing w:after="0" w:line="360" w:lineRule="auto"/>
        <w:ind w:left="360"/>
        <w:jc w:val="both"/>
        <w:rPr>
          <w:rFonts w:ascii="Times New Roman" w:hAnsi="Times New Roman"/>
          <w:color w:val="000000" w:themeColor="text1"/>
          <w:sz w:val="24"/>
          <w:lang w:val="es-MX"/>
        </w:rPr>
      </w:pPr>
      <w:r w:rsidRPr="004A2905">
        <w:rPr>
          <w:rFonts w:ascii="Times New Roman" w:hAnsi="Times New Roman"/>
          <w:color w:val="000000" w:themeColor="text1"/>
          <w:sz w:val="24"/>
          <w:lang w:val="es-MX"/>
        </w:rPr>
        <w:t>Se brindaron 75 asesorías técnicas y 65 supervisiones, las cuales favorecieron a 683 y 65 productores, respectivamente.</w:t>
      </w:r>
    </w:p>
    <w:p w14:paraId="6321BCA6" w14:textId="77777777" w:rsidR="004A2905" w:rsidRPr="005A35DE" w:rsidRDefault="004A2905" w:rsidP="00666AB3">
      <w:pPr>
        <w:pStyle w:val="Prrafodelista"/>
        <w:spacing w:after="0" w:line="480" w:lineRule="auto"/>
        <w:ind w:left="1276"/>
        <w:jc w:val="both"/>
        <w:rPr>
          <w:rFonts w:ascii="Times New Roman" w:hAnsi="Times New Roman"/>
          <w:color w:val="000000" w:themeColor="text1"/>
          <w:sz w:val="24"/>
          <w:szCs w:val="24"/>
        </w:rPr>
      </w:pPr>
    </w:p>
    <w:p w14:paraId="4FCD56A1" w14:textId="77777777" w:rsidR="00666AB3" w:rsidRPr="005A35DE" w:rsidRDefault="00666AB3" w:rsidP="0020047B">
      <w:pPr>
        <w:pStyle w:val="Sinespaciado"/>
        <w:numPr>
          <w:ilvl w:val="1"/>
          <w:numId w:val="7"/>
        </w:numPr>
        <w:spacing w:line="480" w:lineRule="auto"/>
        <w:rPr>
          <w:rFonts w:ascii="Times New Roman" w:hAnsi="Times New Roman"/>
          <w:b/>
          <w:color w:val="000000" w:themeColor="text1"/>
        </w:rPr>
      </w:pPr>
      <w:r w:rsidRPr="005A35DE">
        <w:rPr>
          <w:rFonts w:ascii="Times New Roman" w:hAnsi="Times New Roman"/>
          <w:b/>
          <w:color w:val="000000" w:themeColor="text1"/>
        </w:rPr>
        <w:t>Resultado e Impacto del Componente de Acceso a Crédito.</w:t>
      </w:r>
    </w:p>
    <w:p w14:paraId="1AE305F0" w14:textId="77777777" w:rsidR="00506AE8" w:rsidRPr="003B72D3" w:rsidRDefault="00506AE8" w:rsidP="006241A9">
      <w:pPr>
        <w:spacing w:line="480" w:lineRule="auto"/>
        <w:ind w:firstLine="720"/>
        <w:jc w:val="both"/>
        <w:rPr>
          <w:rFonts w:ascii="Times New Roman" w:hAnsi="Times New Roman"/>
          <w:color w:val="000000" w:themeColor="text1"/>
          <w:lang w:val="es-MX"/>
        </w:rPr>
      </w:pPr>
      <w:r w:rsidRPr="003B72D3">
        <w:rPr>
          <w:rFonts w:ascii="Times New Roman" w:hAnsi="Times New Roman"/>
          <w:color w:val="000000" w:themeColor="text1"/>
          <w:lang w:val="es-MX"/>
        </w:rPr>
        <w:t>De 190 créditos programados para ejecutarse en un período de cuatro años, se realizaron 380; para una ejecución acumulada de 200%.</w:t>
      </w:r>
    </w:p>
    <w:p w14:paraId="2A80D215" w14:textId="64F613F5" w:rsidR="00506AE8" w:rsidRPr="003B72D3" w:rsidRDefault="00506AE8" w:rsidP="006241A9">
      <w:pPr>
        <w:spacing w:line="480" w:lineRule="auto"/>
        <w:ind w:firstLine="720"/>
        <w:jc w:val="both"/>
        <w:rPr>
          <w:rFonts w:ascii="Times New Roman" w:hAnsi="Times New Roman"/>
          <w:color w:val="000000" w:themeColor="text1"/>
          <w:lang w:val="es-MX"/>
        </w:rPr>
      </w:pPr>
      <w:r w:rsidRPr="003B72D3">
        <w:rPr>
          <w:rFonts w:ascii="Times New Roman" w:hAnsi="Times New Roman"/>
          <w:color w:val="000000" w:themeColor="text1"/>
          <w:lang w:val="es-MX"/>
        </w:rPr>
        <w:lastRenderedPageBreak/>
        <w:t xml:space="preserve">En lo que respecta al impacto de los préstamos otorgados, las ventas consolidadas de los beneficiarios que reportaron información se incrementaron porcentualmente en un 55.9%. De igual manera, en lo relativo a empleos, los beneficiarios; </w:t>
      </w:r>
      <w:r w:rsidR="00D77799" w:rsidRPr="003B72D3">
        <w:rPr>
          <w:rFonts w:ascii="Times New Roman" w:hAnsi="Times New Roman"/>
          <w:color w:val="000000" w:themeColor="text1"/>
          <w:lang w:val="es-MX"/>
        </w:rPr>
        <w:t xml:space="preserve">observaron </w:t>
      </w:r>
      <w:r w:rsidRPr="003B72D3">
        <w:rPr>
          <w:rFonts w:ascii="Times New Roman" w:hAnsi="Times New Roman"/>
          <w:color w:val="000000" w:themeColor="text1"/>
          <w:lang w:val="es-MX"/>
        </w:rPr>
        <w:t>aument</w:t>
      </w:r>
      <w:r w:rsidR="00D77799" w:rsidRPr="003B72D3">
        <w:rPr>
          <w:rFonts w:ascii="Times New Roman" w:hAnsi="Times New Roman"/>
          <w:color w:val="000000" w:themeColor="text1"/>
          <w:lang w:val="es-MX"/>
        </w:rPr>
        <w:t>os</w:t>
      </w:r>
      <w:r w:rsidRPr="003B72D3">
        <w:rPr>
          <w:rFonts w:ascii="Times New Roman" w:hAnsi="Times New Roman"/>
          <w:color w:val="000000" w:themeColor="text1"/>
          <w:lang w:val="es-MX"/>
        </w:rPr>
        <w:t xml:space="preserve"> de manera porcentual en 44.2%.</w:t>
      </w:r>
    </w:p>
    <w:p w14:paraId="2B08353D" w14:textId="77777777" w:rsidR="00506AE8" w:rsidRPr="003B72D3" w:rsidRDefault="00506AE8" w:rsidP="00506AE8">
      <w:pPr>
        <w:pStyle w:val="Sinespaciado"/>
        <w:spacing w:line="480" w:lineRule="auto"/>
        <w:ind w:left="1015"/>
        <w:rPr>
          <w:rFonts w:ascii="Times New Roman" w:hAnsi="Times New Roman"/>
          <w:b/>
          <w:color w:val="000000" w:themeColor="text1"/>
        </w:rPr>
      </w:pPr>
    </w:p>
    <w:p w14:paraId="21BE0D7D" w14:textId="1CCDDDF6" w:rsidR="00160F7D" w:rsidRPr="003B72D3" w:rsidRDefault="00160F7D" w:rsidP="004A2905">
      <w:pPr>
        <w:pStyle w:val="Sinespaciado"/>
        <w:numPr>
          <w:ilvl w:val="1"/>
          <w:numId w:val="7"/>
        </w:numPr>
        <w:spacing w:line="480" w:lineRule="auto"/>
        <w:rPr>
          <w:rFonts w:ascii="Times New Roman" w:hAnsi="Times New Roman"/>
          <w:b/>
          <w:bCs/>
        </w:rPr>
      </w:pPr>
      <w:r w:rsidRPr="003B72D3">
        <w:rPr>
          <w:rFonts w:ascii="Times New Roman" w:hAnsi="Times New Roman"/>
          <w:b/>
          <w:bCs/>
        </w:rPr>
        <w:t>Componente de adecuación y mante</w:t>
      </w:r>
      <w:r w:rsidR="00506AE8" w:rsidRPr="003B72D3">
        <w:rPr>
          <w:rFonts w:ascii="Times New Roman" w:hAnsi="Times New Roman"/>
          <w:b/>
          <w:bCs/>
        </w:rPr>
        <w:t>nimiento de caminos productivos</w:t>
      </w:r>
    </w:p>
    <w:p w14:paraId="43130290" w14:textId="77777777" w:rsidR="00506AE8" w:rsidRPr="003B72D3" w:rsidRDefault="00506AE8" w:rsidP="004A2905">
      <w:pPr>
        <w:spacing w:after="0" w:line="480" w:lineRule="auto"/>
        <w:ind w:firstLine="720"/>
        <w:jc w:val="both"/>
        <w:rPr>
          <w:rFonts w:ascii="Times New Roman" w:hAnsi="Times New Roman"/>
          <w:color w:val="000000" w:themeColor="text1"/>
          <w:lang w:val="es-MX"/>
        </w:rPr>
      </w:pPr>
      <w:r w:rsidRPr="003B72D3">
        <w:rPr>
          <w:rFonts w:ascii="Times New Roman" w:hAnsi="Times New Roman"/>
          <w:color w:val="000000" w:themeColor="text1"/>
          <w:lang w:val="es-MX"/>
        </w:rPr>
        <w:t xml:space="preserve">Rehabilitación de 103 kilómetros de bermas y canales, 25 kilómetros programados para este periodo. </w:t>
      </w:r>
    </w:p>
    <w:p w14:paraId="1C76364B" w14:textId="77777777" w:rsidR="00C8546D" w:rsidRPr="003B72D3" w:rsidRDefault="00C8546D" w:rsidP="004A2905">
      <w:pPr>
        <w:spacing w:after="0" w:line="480" w:lineRule="auto"/>
        <w:ind w:firstLine="720"/>
        <w:jc w:val="both"/>
        <w:rPr>
          <w:rFonts w:ascii="Times New Roman" w:hAnsi="Times New Roman"/>
          <w:color w:val="000000" w:themeColor="text1"/>
          <w:lang w:val="es-MX"/>
        </w:rPr>
      </w:pPr>
    </w:p>
    <w:p w14:paraId="4B5627B4" w14:textId="610970D3" w:rsidR="00506AE8" w:rsidRPr="003B72D3" w:rsidRDefault="003B72D3" w:rsidP="004A2905">
      <w:pPr>
        <w:spacing w:after="0" w:line="480" w:lineRule="auto"/>
        <w:ind w:firstLine="720"/>
        <w:jc w:val="both"/>
        <w:rPr>
          <w:rFonts w:ascii="Times New Roman" w:hAnsi="Times New Roman"/>
          <w:color w:val="000000" w:themeColor="text1"/>
          <w:lang w:val="es-MX"/>
        </w:rPr>
      </w:pPr>
      <w:r w:rsidRPr="003B72D3">
        <w:rPr>
          <w:rFonts w:ascii="Times New Roman" w:hAnsi="Times New Roman"/>
          <w:color w:val="000000" w:themeColor="text1"/>
          <w:lang w:val="es-MX"/>
        </w:rPr>
        <w:t>S</w:t>
      </w:r>
      <w:r w:rsidR="00506AE8" w:rsidRPr="003B72D3">
        <w:rPr>
          <w:rFonts w:ascii="Times New Roman" w:hAnsi="Times New Roman"/>
          <w:color w:val="000000" w:themeColor="text1"/>
          <w:lang w:val="es-MX"/>
        </w:rPr>
        <w:t xml:space="preserve">e </w:t>
      </w:r>
      <w:r w:rsidRPr="003B72D3">
        <w:rPr>
          <w:rFonts w:ascii="Times New Roman" w:hAnsi="Times New Roman"/>
          <w:color w:val="000000" w:themeColor="text1"/>
          <w:lang w:val="es-MX"/>
        </w:rPr>
        <w:t>inició</w:t>
      </w:r>
      <w:r w:rsidR="00506AE8" w:rsidRPr="003B72D3">
        <w:rPr>
          <w:rFonts w:ascii="Times New Roman" w:hAnsi="Times New Roman"/>
          <w:color w:val="000000" w:themeColor="text1"/>
          <w:lang w:val="es-MX"/>
        </w:rPr>
        <w:t xml:space="preserve"> el proceso de adquisición, mediante Licitación Pública Internacional, </w:t>
      </w:r>
      <w:r w:rsidRPr="003B72D3">
        <w:rPr>
          <w:rFonts w:ascii="Times New Roman" w:hAnsi="Times New Roman"/>
          <w:color w:val="000000" w:themeColor="text1"/>
          <w:lang w:val="es-MX"/>
        </w:rPr>
        <w:t xml:space="preserve">de </w:t>
      </w:r>
      <w:r w:rsidR="00506AE8" w:rsidRPr="003B72D3">
        <w:rPr>
          <w:rFonts w:ascii="Times New Roman" w:hAnsi="Times New Roman"/>
          <w:color w:val="000000" w:themeColor="text1"/>
          <w:lang w:val="es-MX"/>
        </w:rPr>
        <w:t>19 equipos y maquinarias pesadas, con el objetivo de establecer y desarrollar planes de mantenimiento a los canales, bermas y caminos productivos rehabilitados por el Ministro de Agricultura</w:t>
      </w:r>
      <w:r w:rsidRPr="003B72D3">
        <w:rPr>
          <w:rFonts w:ascii="Times New Roman" w:hAnsi="Times New Roman"/>
          <w:color w:val="000000" w:themeColor="text1"/>
          <w:lang w:val="es-MX"/>
        </w:rPr>
        <w:t>,</w:t>
      </w:r>
      <w:r w:rsidR="00506AE8" w:rsidRPr="003B72D3">
        <w:rPr>
          <w:rFonts w:ascii="Times New Roman" w:hAnsi="Times New Roman"/>
          <w:color w:val="000000" w:themeColor="text1"/>
          <w:lang w:val="es-MX"/>
        </w:rPr>
        <w:t xml:space="preserve"> a través del programa y mejorar la</w:t>
      </w:r>
      <w:r w:rsidR="00C8546D" w:rsidRPr="003B72D3">
        <w:rPr>
          <w:rFonts w:ascii="Times New Roman" w:hAnsi="Times New Roman"/>
          <w:color w:val="000000" w:themeColor="text1"/>
          <w:lang w:val="es-MX"/>
        </w:rPr>
        <w:t>s</w:t>
      </w:r>
      <w:r w:rsidR="00506AE8" w:rsidRPr="003B72D3">
        <w:rPr>
          <w:rFonts w:ascii="Times New Roman" w:hAnsi="Times New Roman"/>
          <w:color w:val="000000" w:themeColor="text1"/>
          <w:lang w:val="es-MX"/>
        </w:rPr>
        <w:t xml:space="preserve"> condiciones de 289 kilómetros de canales que posee el sistema administrado por la Junta de regantes del Valle de San Juan.</w:t>
      </w:r>
    </w:p>
    <w:p w14:paraId="6A3474D9" w14:textId="77777777" w:rsidR="00C8546D" w:rsidRPr="003B72D3" w:rsidRDefault="00C8546D" w:rsidP="004A2905">
      <w:pPr>
        <w:pStyle w:val="Prrafodelista"/>
        <w:spacing w:after="0" w:line="480" w:lineRule="auto"/>
        <w:rPr>
          <w:rFonts w:ascii="Times New Roman" w:hAnsi="Times New Roman"/>
        </w:rPr>
      </w:pPr>
    </w:p>
    <w:p w14:paraId="433DF29E" w14:textId="04D1465D" w:rsidR="00506AE8" w:rsidRPr="003B72D3" w:rsidRDefault="00E540ED" w:rsidP="004A2905">
      <w:pPr>
        <w:spacing w:after="0" w:line="480" w:lineRule="auto"/>
        <w:ind w:firstLine="720"/>
        <w:jc w:val="both"/>
        <w:rPr>
          <w:rFonts w:ascii="Times New Roman" w:hAnsi="Times New Roman"/>
          <w:color w:val="000000" w:themeColor="text1"/>
          <w:lang w:val="es-MX"/>
        </w:rPr>
      </w:pPr>
      <w:r w:rsidRPr="003B72D3">
        <w:rPr>
          <w:rFonts w:ascii="Times New Roman" w:hAnsi="Times New Roman"/>
          <w:color w:val="000000" w:themeColor="text1"/>
          <w:lang w:val="es-MX"/>
        </w:rPr>
        <w:t>Ademá</w:t>
      </w:r>
      <w:r>
        <w:rPr>
          <w:rFonts w:ascii="Times New Roman" w:hAnsi="Times New Roman"/>
          <w:color w:val="000000" w:themeColor="text1"/>
          <w:lang w:val="es-MX"/>
        </w:rPr>
        <w:t>s</w:t>
      </w:r>
      <w:r w:rsidR="00506AE8" w:rsidRPr="003B72D3">
        <w:rPr>
          <w:rFonts w:ascii="Times New Roman" w:hAnsi="Times New Roman"/>
          <w:color w:val="000000" w:themeColor="text1"/>
          <w:lang w:val="es-MX"/>
        </w:rPr>
        <w:t xml:space="preserve">, se programó en </w:t>
      </w:r>
      <w:r w:rsidR="00782488" w:rsidRPr="003B72D3">
        <w:rPr>
          <w:rFonts w:ascii="Times New Roman" w:hAnsi="Times New Roman"/>
          <w:color w:val="000000" w:themeColor="text1"/>
          <w:lang w:val="es-MX"/>
        </w:rPr>
        <w:t>este periodo la construcción de ocho (8) reservorios y seis proyectos Piloto de Producción Agrícola con Sistemas de Riego Presurizados en varias comunidades rurales de San Juan, con fuente hídricas permanente</w:t>
      </w:r>
      <w:r w:rsidR="00506AE8" w:rsidRPr="003B72D3">
        <w:rPr>
          <w:rFonts w:ascii="Times New Roman" w:hAnsi="Times New Roman"/>
          <w:color w:val="000000" w:themeColor="text1"/>
          <w:lang w:val="es-MX"/>
        </w:rPr>
        <w:t xml:space="preserve">, </w:t>
      </w:r>
      <w:bookmarkStart w:id="223" w:name="_Hlk25046795"/>
      <w:r w:rsidR="003B72D3" w:rsidRPr="003B72D3">
        <w:rPr>
          <w:rFonts w:ascii="Times New Roman" w:hAnsi="Times New Roman"/>
          <w:color w:val="000000" w:themeColor="text1"/>
          <w:lang w:val="es-MX"/>
        </w:rPr>
        <w:t>para</w:t>
      </w:r>
      <w:r w:rsidR="00506AE8" w:rsidRPr="003B72D3">
        <w:rPr>
          <w:rFonts w:ascii="Times New Roman" w:hAnsi="Times New Roman"/>
          <w:color w:val="000000" w:themeColor="text1"/>
          <w:lang w:val="es-MX"/>
        </w:rPr>
        <w:t xml:space="preserve"> irrigar 2,054 tareas de terreno con potencial agrícola, </w:t>
      </w:r>
      <w:r w:rsidR="003B72D3" w:rsidRPr="003B72D3">
        <w:rPr>
          <w:rFonts w:ascii="Times New Roman" w:hAnsi="Times New Roman"/>
          <w:color w:val="000000" w:themeColor="text1"/>
          <w:lang w:val="es-MX"/>
        </w:rPr>
        <w:t>en</w:t>
      </w:r>
      <w:r w:rsidR="00506AE8" w:rsidRPr="003B72D3">
        <w:rPr>
          <w:rFonts w:ascii="Times New Roman" w:hAnsi="Times New Roman"/>
          <w:color w:val="000000" w:themeColor="text1"/>
          <w:lang w:val="es-MX"/>
        </w:rPr>
        <w:t xml:space="preserve"> beneficio de 256 pequeños productores de laderas.</w:t>
      </w:r>
    </w:p>
    <w:bookmarkEnd w:id="223"/>
    <w:p w14:paraId="6AE7E821" w14:textId="77777777" w:rsidR="002A7822" w:rsidRDefault="003B72D3" w:rsidP="00073148">
      <w:pPr>
        <w:spacing w:after="0" w:line="480" w:lineRule="auto"/>
        <w:ind w:firstLine="720"/>
        <w:jc w:val="both"/>
        <w:rPr>
          <w:rFonts w:ascii="Times New Roman" w:hAnsi="Times New Roman"/>
          <w:color w:val="000000" w:themeColor="text1"/>
          <w:lang w:val="es-MX"/>
        </w:rPr>
      </w:pPr>
      <w:r>
        <w:rPr>
          <w:rFonts w:ascii="Times New Roman" w:hAnsi="Times New Roman"/>
          <w:color w:val="000000" w:themeColor="text1"/>
          <w:lang w:val="es-MX"/>
        </w:rPr>
        <w:lastRenderedPageBreak/>
        <w:t>Se ha</w:t>
      </w:r>
      <w:r w:rsidR="00506AE8" w:rsidRPr="003B72D3">
        <w:rPr>
          <w:rFonts w:ascii="Times New Roman" w:hAnsi="Times New Roman"/>
          <w:color w:val="000000" w:themeColor="text1"/>
          <w:lang w:val="es-MX"/>
        </w:rPr>
        <w:t xml:space="preserve"> invertido, RD$ 190.5 millones en esta actividad</w:t>
      </w:r>
      <w:r w:rsidR="00506AE8" w:rsidRPr="00385228">
        <w:rPr>
          <w:rFonts w:ascii="Times New Roman" w:hAnsi="Times New Roman"/>
          <w:color w:val="000000" w:themeColor="text1"/>
          <w:lang w:val="es-MX"/>
        </w:rPr>
        <w:t>. La meta inicia</w:t>
      </w:r>
      <w:r w:rsidR="00385228" w:rsidRPr="00385228">
        <w:rPr>
          <w:rFonts w:ascii="Times New Roman" w:hAnsi="Times New Roman"/>
          <w:color w:val="000000" w:themeColor="text1"/>
          <w:lang w:val="es-MX"/>
        </w:rPr>
        <w:t xml:space="preserve">l </w:t>
      </w:r>
      <w:r w:rsidR="00506AE8" w:rsidRPr="00385228">
        <w:rPr>
          <w:rFonts w:ascii="Times New Roman" w:hAnsi="Times New Roman"/>
          <w:color w:val="000000" w:themeColor="text1"/>
          <w:lang w:val="es-MX"/>
        </w:rPr>
        <w:t xml:space="preserve">prevista para la rehabilitación de caminos es de 75.77 kilómetros. Finalmente, </w:t>
      </w:r>
      <w:r w:rsidR="002A7822">
        <w:rPr>
          <w:rFonts w:ascii="Times New Roman" w:hAnsi="Times New Roman"/>
          <w:color w:val="000000" w:themeColor="text1"/>
          <w:lang w:val="es-MX"/>
        </w:rPr>
        <w:t>se incluyeron</w:t>
      </w:r>
      <w:r w:rsidR="00506AE8" w:rsidRPr="00385228">
        <w:rPr>
          <w:rFonts w:ascii="Times New Roman" w:hAnsi="Times New Roman"/>
          <w:color w:val="000000" w:themeColor="text1"/>
          <w:lang w:val="es-MX"/>
        </w:rPr>
        <w:t xml:space="preserve"> 24.91 kilómetros correspondiente</w:t>
      </w:r>
      <w:r w:rsidR="002A7822">
        <w:rPr>
          <w:rFonts w:ascii="Times New Roman" w:hAnsi="Times New Roman"/>
          <w:color w:val="000000" w:themeColor="text1"/>
          <w:lang w:val="es-MX"/>
        </w:rPr>
        <w:t>s</w:t>
      </w:r>
      <w:r w:rsidR="00506AE8" w:rsidRPr="00385228">
        <w:rPr>
          <w:rFonts w:ascii="Times New Roman" w:hAnsi="Times New Roman"/>
          <w:color w:val="000000" w:themeColor="text1"/>
          <w:lang w:val="es-MX"/>
        </w:rPr>
        <w:t xml:space="preserve"> a 6 ca</w:t>
      </w:r>
      <w:r w:rsidRPr="00385228">
        <w:rPr>
          <w:rFonts w:ascii="Times New Roman" w:hAnsi="Times New Roman"/>
          <w:color w:val="000000" w:themeColor="text1"/>
          <w:lang w:val="es-MX"/>
        </w:rPr>
        <w:t>minos rehabilitados</w:t>
      </w:r>
      <w:r w:rsidR="002A7822">
        <w:rPr>
          <w:rFonts w:ascii="Times New Roman" w:hAnsi="Times New Roman"/>
          <w:color w:val="000000" w:themeColor="text1"/>
          <w:lang w:val="es-MX"/>
        </w:rPr>
        <w:t xml:space="preserve"> por OISOE.</w:t>
      </w:r>
    </w:p>
    <w:p w14:paraId="75700A0D" w14:textId="77777777" w:rsidR="004245EB" w:rsidRDefault="004245EB" w:rsidP="00073148">
      <w:pPr>
        <w:spacing w:after="0" w:line="480" w:lineRule="auto"/>
        <w:ind w:firstLine="720"/>
        <w:jc w:val="both"/>
        <w:rPr>
          <w:rFonts w:ascii="Times New Roman" w:hAnsi="Times New Roman"/>
          <w:color w:val="000000" w:themeColor="text1"/>
          <w:lang w:val="es-MX"/>
        </w:rPr>
      </w:pPr>
    </w:p>
    <w:p w14:paraId="76959B24" w14:textId="4E26D148" w:rsidR="00506AE8" w:rsidRPr="003B72D3" w:rsidRDefault="002A7822" w:rsidP="00073148">
      <w:pPr>
        <w:spacing w:after="0" w:line="480" w:lineRule="auto"/>
        <w:ind w:firstLine="720"/>
        <w:jc w:val="both"/>
        <w:rPr>
          <w:rFonts w:ascii="Times New Roman" w:hAnsi="Times New Roman"/>
          <w:color w:val="000000" w:themeColor="text1"/>
          <w:lang w:val="es-MX"/>
        </w:rPr>
      </w:pPr>
      <w:r>
        <w:rPr>
          <w:rFonts w:ascii="Times New Roman" w:hAnsi="Times New Roman"/>
          <w:color w:val="000000" w:themeColor="text1"/>
          <w:lang w:val="es-MX"/>
        </w:rPr>
        <w:t>S</w:t>
      </w:r>
      <w:r w:rsidR="00506AE8" w:rsidRPr="003B72D3">
        <w:rPr>
          <w:rFonts w:ascii="Times New Roman" w:hAnsi="Times New Roman"/>
          <w:color w:val="000000" w:themeColor="text1"/>
          <w:lang w:val="es-MX"/>
        </w:rPr>
        <w:t>e logr</w:t>
      </w:r>
      <w:r w:rsidR="003B72D3" w:rsidRPr="003B72D3">
        <w:rPr>
          <w:rFonts w:ascii="Times New Roman" w:hAnsi="Times New Roman"/>
          <w:color w:val="000000" w:themeColor="text1"/>
          <w:lang w:val="es-MX"/>
        </w:rPr>
        <w:t>ó</w:t>
      </w:r>
      <w:r w:rsidR="00506AE8" w:rsidRPr="003B72D3">
        <w:rPr>
          <w:rFonts w:ascii="Times New Roman" w:hAnsi="Times New Roman"/>
          <w:color w:val="000000" w:themeColor="text1"/>
          <w:lang w:val="es-MX"/>
        </w:rPr>
        <w:t xml:space="preserve"> rehabilitar 79.14 kilómetros, inclu</w:t>
      </w:r>
      <w:r>
        <w:rPr>
          <w:rFonts w:ascii="Times New Roman" w:hAnsi="Times New Roman"/>
          <w:color w:val="000000" w:themeColor="text1"/>
          <w:lang w:val="es-MX"/>
        </w:rPr>
        <w:t>sive</w:t>
      </w:r>
      <w:r w:rsidR="00506AE8" w:rsidRPr="003B72D3">
        <w:rPr>
          <w:rFonts w:ascii="Times New Roman" w:hAnsi="Times New Roman"/>
          <w:color w:val="000000" w:themeColor="text1"/>
          <w:lang w:val="es-MX"/>
        </w:rPr>
        <w:t xml:space="preserve"> imprimación asfáltica con emulsión, obras de drenaje con construcción o reparación de cunetas encachadas, construcción y reparación alcantarillas, muros de gaviones, reparación muros Canal Mijo, losas reforzadas sobre cruce rigolas en la vía y construcción/ampliación de puentes y badenes tubulares.</w:t>
      </w:r>
    </w:p>
    <w:p w14:paraId="7A416B92" w14:textId="79751E28" w:rsidR="00E540ED" w:rsidRDefault="00E540ED" w:rsidP="00073148">
      <w:pPr>
        <w:spacing w:after="0" w:line="480" w:lineRule="auto"/>
        <w:rPr>
          <w:rFonts w:ascii="Times New Roman" w:eastAsia="Calibri" w:hAnsi="Times New Roman"/>
          <w:sz w:val="22"/>
          <w:szCs w:val="22"/>
          <w:highlight w:val="yellow"/>
          <w:lang w:eastAsia="en-US"/>
        </w:rPr>
      </w:pPr>
    </w:p>
    <w:p w14:paraId="0EEAF371" w14:textId="77777777" w:rsidR="00C8546D" w:rsidRDefault="00C8546D" w:rsidP="00073148">
      <w:pPr>
        <w:pStyle w:val="Prrafodelista"/>
        <w:autoSpaceDE w:val="0"/>
        <w:autoSpaceDN w:val="0"/>
        <w:adjustRightInd w:val="0"/>
        <w:spacing w:after="0" w:line="480" w:lineRule="auto"/>
        <w:ind w:left="1134"/>
        <w:jc w:val="both"/>
        <w:rPr>
          <w:rFonts w:ascii="Times New Roman" w:hAnsi="Times New Roman"/>
          <w:highlight w:val="yellow"/>
        </w:rPr>
      </w:pPr>
      <w:r w:rsidRPr="002802FB">
        <w:rPr>
          <w:rFonts w:ascii="Times New Roman" w:hAnsi="Times New Roman"/>
          <w:b/>
          <w:sz w:val="24"/>
          <w:szCs w:val="24"/>
        </w:rPr>
        <w:t>Mantenimiento Rutinario</w:t>
      </w:r>
    </w:p>
    <w:p w14:paraId="6689F18B" w14:textId="04E7DAE5" w:rsidR="00C8546D" w:rsidRPr="0032633C" w:rsidRDefault="00C8546D" w:rsidP="00073148">
      <w:pPr>
        <w:spacing w:after="0" w:line="480" w:lineRule="auto"/>
        <w:ind w:firstLine="720"/>
        <w:jc w:val="both"/>
        <w:rPr>
          <w:rFonts w:ascii="Times New Roman" w:hAnsi="Times New Roman"/>
          <w:color w:val="000000" w:themeColor="text1"/>
          <w:lang w:val="es-MX"/>
        </w:rPr>
      </w:pPr>
      <w:r w:rsidRPr="0032633C">
        <w:rPr>
          <w:rFonts w:ascii="Times New Roman" w:hAnsi="Times New Roman"/>
          <w:color w:val="000000" w:themeColor="text1"/>
          <w:lang w:val="es-MX"/>
        </w:rPr>
        <w:t xml:space="preserve">Los trabajos de mantenimiento rutinario a los 54.23 kilómetros rehabilitados </w:t>
      </w:r>
      <w:r w:rsidR="003B72D3" w:rsidRPr="0032633C">
        <w:rPr>
          <w:rFonts w:ascii="Times New Roman" w:hAnsi="Times New Roman"/>
          <w:color w:val="000000" w:themeColor="text1"/>
          <w:lang w:val="es-MX"/>
        </w:rPr>
        <w:t>por MOPC</w:t>
      </w:r>
      <w:r w:rsidRPr="0032633C">
        <w:rPr>
          <w:rFonts w:ascii="Times New Roman" w:hAnsi="Times New Roman"/>
          <w:color w:val="000000" w:themeColor="text1"/>
          <w:lang w:val="es-MX"/>
        </w:rPr>
        <w:t xml:space="preserve"> a través del Programa</w:t>
      </w:r>
      <w:r w:rsidR="003B72D3" w:rsidRPr="0032633C">
        <w:rPr>
          <w:rFonts w:ascii="Times New Roman" w:hAnsi="Times New Roman"/>
          <w:color w:val="000000" w:themeColor="text1"/>
          <w:lang w:val="es-MX"/>
        </w:rPr>
        <w:t>,</w:t>
      </w:r>
      <w:r w:rsidRPr="0032633C">
        <w:rPr>
          <w:rFonts w:ascii="Times New Roman" w:hAnsi="Times New Roman"/>
          <w:color w:val="000000" w:themeColor="text1"/>
          <w:lang w:val="es-MX"/>
        </w:rPr>
        <w:t xml:space="preserve"> se ha completado en un primer ciclo y se está en la fase de inicio de un segundo ciclo de mantenimiento de los mismos.</w:t>
      </w:r>
    </w:p>
    <w:p w14:paraId="550443E0" w14:textId="77777777" w:rsidR="00C8546D" w:rsidRPr="0032633C" w:rsidRDefault="00C8546D" w:rsidP="00073148">
      <w:pPr>
        <w:spacing w:after="0" w:line="480" w:lineRule="auto"/>
        <w:ind w:firstLine="720"/>
        <w:jc w:val="both"/>
        <w:rPr>
          <w:rFonts w:ascii="Times New Roman" w:hAnsi="Times New Roman"/>
          <w:color w:val="000000" w:themeColor="text1"/>
          <w:lang w:val="es-MX"/>
        </w:rPr>
      </w:pPr>
    </w:p>
    <w:p w14:paraId="1FACD52C" w14:textId="4DC54651" w:rsidR="00C8546D" w:rsidRPr="0032633C" w:rsidRDefault="00C8546D" w:rsidP="004A2905">
      <w:pPr>
        <w:spacing w:after="0" w:line="480" w:lineRule="auto"/>
        <w:ind w:firstLine="720"/>
        <w:jc w:val="both"/>
        <w:rPr>
          <w:rFonts w:ascii="Times New Roman" w:hAnsi="Times New Roman"/>
          <w:color w:val="000000" w:themeColor="text1"/>
          <w:lang w:val="es-MX"/>
        </w:rPr>
      </w:pPr>
      <w:r w:rsidRPr="0032633C">
        <w:rPr>
          <w:rFonts w:ascii="Times New Roman" w:hAnsi="Times New Roman"/>
          <w:color w:val="000000" w:themeColor="text1"/>
          <w:lang w:val="es-MX"/>
        </w:rPr>
        <w:t>De 75.77 kilómetros de caminos productivos programados para rehabilitarse, se rehabilitaron 79.14; para una ejecución acu</w:t>
      </w:r>
      <w:r w:rsidR="003B72D3" w:rsidRPr="0032633C">
        <w:rPr>
          <w:rFonts w:ascii="Times New Roman" w:hAnsi="Times New Roman"/>
          <w:color w:val="000000" w:themeColor="text1"/>
          <w:lang w:val="es-MX"/>
        </w:rPr>
        <w:t>mu</w:t>
      </w:r>
      <w:r w:rsidRPr="0032633C">
        <w:rPr>
          <w:rFonts w:ascii="Times New Roman" w:hAnsi="Times New Roman"/>
          <w:color w:val="000000" w:themeColor="text1"/>
          <w:lang w:val="es-MX"/>
        </w:rPr>
        <w:t>lada de 104.45 %.</w:t>
      </w:r>
    </w:p>
    <w:p w14:paraId="0C6488DE" w14:textId="77777777" w:rsidR="00C8546D" w:rsidRPr="0032633C" w:rsidRDefault="00C8546D" w:rsidP="004A2905">
      <w:pPr>
        <w:spacing w:after="0" w:line="480" w:lineRule="auto"/>
        <w:ind w:firstLine="720"/>
        <w:jc w:val="both"/>
        <w:rPr>
          <w:rFonts w:ascii="Times New Roman" w:hAnsi="Times New Roman"/>
          <w:color w:val="000000" w:themeColor="text1"/>
          <w:lang w:val="es-MX"/>
        </w:rPr>
      </w:pPr>
    </w:p>
    <w:p w14:paraId="447AC8EF" w14:textId="77777777" w:rsidR="00C8546D" w:rsidRPr="0032633C" w:rsidRDefault="00C8546D" w:rsidP="004A2905">
      <w:pPr>
        <w:spacing w:after="0" w:line="480" w:lineRule="auto"/>
        <w:ind w:firstLine="720"/>
        <w:jc w:val="both"/>
        <w:rPr>
          <w:rFonts w:ascii="Times New Roman" w:hAnsi="Times New Roman"/>
          <w:color w:val="000000" w:themeColor="text1"/>
          <w:lang w:val="es-MX"/>
        </w:rPr>
      </w:pPr>
      <w:r w:rsidRPr="0032633C">
        <w:rPr>
          <w:rFonts w:ascii="Times New Roman" w:hAnsi="Times New Roman"/>
          <w:color w:val="000000" w:themeColor="text1"/>
          <w:lang w:val="es-MX"/>
        </w:rPr>
        <w:t>De 55 kilómetros de bermas y canales de riego programados para rehabilitarse, se rehabilitaron 103 kilómetros, para una ejecución acumulada de 187.27 %.</w:t>
      </w:r>
    </w:p>
    <w:p w14:paraId="17CFDDA1" w14:textId="77885419" w:rsidR="00C8546D" w:rsidRDefault="00C8546D" w:rsidP="004A2905">
      <w:pPr>
        <w:spacing w:after="0" w:line="480" w:lineRule="auto"/>
        <w:ind w:firstLine="720"/>
        <w:jc w:val="both"/>
        <w:rPr>
          <w:rFonts w:ascii="Times New Roman" w:hAnsi="Times New Roman"/>
          <w:color w:val="000000" w:themeColor="text1"/>
          <w:highlight w:val="yellow"/>
          <w:lang w:val="es-MX"/>
        </w:rPr>
      </w:pPr>
    </w:p>
    <w:p w14:paraId="440F2803" w14:textId="77777777" w:rsidR="00073148" w:rsidRPr="006241A9" w:rsidRDefault="00073148" w:rsidP="004A2905">
      <w:pPr>
        <w:spacing w:after="0" w:line="480" w:lineRule="auto"/>
        <w:ind w:firstLine="720"/>
        <w:jc w:val="both"/>
        <w:rPr>
          <w:rFonts w:ascii="Times New Roman" w:hAnsi="Times New Roman"/>
          <w:color w:val="000000" w:themeColor="text1"/>
          <w:highlight w:val="yellow"/>
          <w:lang w:val="es-MX"/>
        </w:rPr>
      </w:pPr>
    </w:p>
    <w:p w14:paraId="3FCB0AF1" w14:textId="77777777" w:rsidR="00D6075D" w:rsidRPr="005A35DE" w:rsidRDefault="00D6075D" w:rsidP="004A2905">
      <w:pPr>
        <w:pStyle w:val="Sinespaciado"/>
        <w:numPr>
          <w:ilvl w:val="1"/>
          <w:numId w:val="7"/>
        </w:numPr>
        <w:spacing w:line="480" w:lineRule="auto"/>
        <w:rPr>
          <w:rFonts w:ascii="Times New Roman" w:hAnsi="Times New Roman"/>
          <w:b/>
          <w:bCs/>
          <w:color w:val="000000" w:themeColor="text1"/>
        </w:rPr>
      </w:pPr>
      <w:r w:rsidRPr="005A35DE">
        <w:rPr>
          <w:rFonts w:ascii="Times New Roman" w:hAnsi="Times New Roman"/>
          <w:b/>
          <w:bCs/>
          <w:color w:val="000000" w:themeColor="text1"/>
        </w:rPr>
        <w:lastRenderedPageBreak/>
        <w:t>Componente de optimización de los recursos hídricos</w:t>
      </w:r>
    </w:p>
    <w:p w14:paraId="26D1BF6B" w14:textId="48423D40" w:rsidR="003B4A29" w:rsidRPr="002A7822" w:rsidRDefault="002A7822" w:rsidP="004A2905">
      <w:pPr>
        <w:spacing w:after="0" w:line="480" w:lineRule="auto"/>
        <w:ind w:firstLine="720"/>
        <w:jc w:val="both"/>
        <w:rPr>
          <w:rFonts w:ascii="Times New Roman" w:hAnsi="Times New Roman"/>
          <w:color w:val="000000" w:themeColor="text1"/>
          <w:lang w:val="es-MX"/>
        </w:rPr>
      </w:pPr>
      <w:r w:rsidRPr="002A7822">
        <w:rPr>
          <w:rFonts w:ascii="Times New Roman" w:hAnsi="Times New Roman"/>
          <w:color w:val="000000" w:themeColor="text1"/>
          <w:lang w:val="es-MX"/>
        </w:rPr>
        <w:t>R</w:t>
      </w:r>
      <w:r w:rsidR="003B4A29" w:rsidRPr="002A7822">
        <w:rPr>
          <w:rFonts w:ascii="Times New Roman" w:hAnsi="Times New Roman"/>
          <w:color w:val="000000" w:themeColor="text1"/>
          <w:lang w:val="es-MX"/>
        </w:rPr>
        <w:t xml:space="preserve">ehabilitado 90 kilómetros de bermas, 13 kilómetros de canales y 49 compuertas en las Juntas de Regantes del Valle de San Juan, por un </w:t>
      </w:r>
      <w:r w:rsidRPr="002A7822">
        <w:rPr>
          <w:rFonts w:ascii="Times New Roman" w:hAnsi="Times New Roman"/>
          <w:color w:val="000000" w:themeColor="text1"/>
          <w:lang w:val="es-MX"/>
        </w:rPr>
        <w:t>monto ascendente a</w:t>
      </w:r>
      <w:r w:rsidR="003B4A29" w:rsidRPr="002A7822">
        <w:rPr>
          <w:rFonts w:ascii="Times New Roman" w:hAnsi="Times New Roman"/>
          <w:color w:val="000000" w:themeColor="text1"/>
          <w:lang w:val="es-MX"/>
        </w:rPr>
        <w:t xml:space="preserve"> RD$ 135.0 millones; con la intención de mejorar la eficiencia de los sistemas de riego de ambas juntas.</w:t>
      </w:r>
    </w:p>
    <w:p w14:paraId="79412DC2" w14:textId="77777777" w:rsidR="00696728" w:rsidRPr="005A35DE" w:rsidRDefault="00696728" w:rsidP="004A2905">
      <w:pPr>
        <w:pStyle w:val="Prrafodelista"/>
        <w:spacing w:after="0" w:line="480" w:lineRule="auto"/>
        <w:ind w:left="1276"/>
        <w:jc w:val="both"/>
        <w:rPr>
          <w:rFonts w:ascii="Times New Roman" w:hAnsi="Times New Roman"/>
          <w:color w:val="000000" w:themeColor="text1"/>
          <w:sz w:val="24"/>
          <w:szCs w:val="24"/>
        </w:rPr>
      </w:pPr>
    </w:p>
    <w:p w14:paraId="54855C8B" w14:textId="77777777" w:rsidR="00D6075D" w:rsidRPr="005A35DE" w:rsidRDefault="00D6075D" w:rsidP="004A2905">
      <w:pPr>
        <w:pStyle w:val="Sinespaciado"/>
        <w:numPr>
          <w:ilvl w:val="1"/>
          <w:numId w:val="7"/>
        </w:numPr>
        <w:spacing w:line="480" w:lineRule="auto"/>
        <w:rPr>
          <w:rFonts w:ascii="Times New Roman" w:hAnsi="Times New Roman"/>
          <w:b/>
          <w:bCs/>
          <w:color w:val="000000" w:themeColor="text1"/>
        </w:rPr>
      </w:pPr>
      <w:r w:rsidRPr="005A35DE">
        <w:rPr>
          <w:rFonts w:ascii="Times New Roman" w:hAnsi="Times New Roman"/>
          <w:b/>
          <w:bCs/>
          <w:color w:val="000000" w:themeColor="text1"/>
        </w:rPr>
        <w:t xml:space="preserve">Componente de nivelación de suelo con tecnología de precisión </w:t>
      </w:r>
    </w:p>
    <w:p w14:paraId="1B3C1E16" w14:textId="77EFD382" w:rsidR="00141452" w:rsidRDefault="00D45AA9" w:rsidP="004A2905">
      <w:pPr>
        <w:spacing w:after="0" w:line="480" w:lineRule="auto"/>
        <w:ind w:firstLine="720"/>
        <w:jc w:val="both"/>
        <w:rPr>
          <w:rFonts w:ascii="Times New Roman" w:hAnsi="Times New Roman"/>
          <w:color w:val="000000" w:themeColor="text1"/>
          <w:lang w:val="es-MX"/>
        </w:rPr>
      </w:pPr>
      <w:r w:rsidRPr="002A7822">
        <w:rPr>
          <w:rFonts w:ascii="Times New Roman" w:hAnsi="Times New Roman"/>
          <w:color w:val="000000" w:themeColor="text1"/>
          <w:lang w:val="es-MX"/>
        </w:rPr>
        <w:t>La actividad de nivelación de suelo</w:t>
      </w:r>
      <w:r w:rsidR="002A7822" w:rsidRPr="002A7822">
        <w:rPr>
          <w:rFonts w:ascii="Times New Roman" w:hAnsi="Times New Roman"/>
          <w:color w:val="000000" w:themeColor="text1"/>
          <w:lang w:val="es-MX"/>
        </w:rPr>
        <w:t>s</w:t>
      </w:r>
      <w:r w:rsidRPr="002A7822">
        <w:rPr>
          <w:rFonts w:ascii="Times New Roman" w:hAnsi="Times New Roman"/>
          <w:color w:val="000000" w:themeColor="text1"/>
          <w:lang w:val="es-MX"/>
        </w:rPr>
        <w:t xml:space="preserve"> cumplió con la meta inicialmente programada, con la nivelación de 60,310 tareas</w:t>
      </w:r>
      <w:r w:rsidR="002A7822" w:rsidRPr="002A7822">
        <w:rPr>
          <w:rFonts w:ascii="Times New Roman" w:hAnsi="Times New Roman"/>
          <w:color w:val="000000" w:themeColor="text1"/>
          <w:lang w:val="es-MX"/>
        </w:rPr>
        <w:t>. L</w:t>
      </w:r>
      <w:r w:rsidRPr="002A7822">
        <w:rPr>
          <w:rFonts w:ascii="Times New Roman" w:hAnsi="Times New Roman"/>
          <w:color w:val="000000" w:themeColor="text1"/>
          <w:lang w:val="es-MX"/>
        </w:rPr>
        <w:t xml:space="preserve">os equipos (tractores, GPS y todo el sistema) se </w:t>
      </w:r>
      <w:r w:rsidR="002A7822" w:rsidRPr="002A7822">
        <w:rPr>
          <w:rFonts w:ascii="Times New Roman" w:hAnsi="Times New Roman"/>
          <w:color w:val="000000" w:themeColor="text1"/>
          <w:lang w:val="es-MX"/>
        </w:rPr>
        <w:t xml:space="preserve">encuentran en mantenimiento, en </w:t>
      </w:r>
      <w:r w:rsidR="00160F7D" w:rsidRPr="002A7822">
        <w:rPr>
          <w:rFonts w:ascii="Times New Roman" w:hAnsi="Times New Roman"/>
          <w:color w:val="000000" w:themeColor="text1"/>
          <w:lang w:val="es-MX"/>
        </w:rPr>
        <w:t>beneficio</w:t>
      </w:r>
      <w:r w:rsidR="002A7822" w:rsidRPr="002A7822">
        <w:rPr>
          <w:rFonts w:ascii="Times New Roman" w:hAnsi="Times New Roman"/>
          <w:color w:val="000000" w:themeColor="text1"/>
          <w:lang w:val="es-MX"/>
        </w:rPr>
        <w:t xml:space="preserve"> de</w:t>
      </w:r>
      <w:r w:rsidR="00160F7D" w:rsidRPr="002A7822">
        <w:rPr>
          <w:rFonts w:ascii="Times New Roman" w:hAnsi="Times New Roman"/>
          <w:color w:val="000000" w:themeColor="text1"/>
          <w:lang w:val="es-MX"/>
        </w:rPr>
        <w:t xml:space="preserve"> </w:t>
      </w:r>
      <w:r w:rsidR="006C5B88" w:rsidRPr="002A7822">
        <w:rPr>
          <w:rFonts w:ascii="Times New Roman" w:hAnsi="Times New Roman"/>
          <w:color w:val="000000" w:themeColor="text1"/>
          <w:lang w:val="es-MX"/>
        </w:rPr>
        <w:t xml:space="preserve">más de </w:t>
      </w:r>
      <w:r w:rsidR="00160F7D" w:rsidRPr="002A7822">
        <w:rPr>
          <w:rFonts w:ascii="Times New Roman" w:hAnsi="Times New Roman"/>
          <w:color w:val="000000" w:themeColor="text1"/>
          <w:lang w:val="es-MX"/>
        </w:rPr>
        <w:t>1,</w:t>
      </w:r>
      <w:r w:rsidR="006C5B88" w:rsidRPr="002A7822">
        <w:rPr>
          <w:rFonts w:ascii="Times New Roman" w:hAnsi="Times New Roman"/>
          <w:color w:val="000000" w:themeColor="text1"/>
          <w:lang w:val="es-MX"/>
        </w:rPr>
        <w:t>400</w:t>
      </w:r>
      <w:r w:rsidR="00D6075D" w:rsidRPr="002A7822">
        <w:rPr>
          <w:rFonts w:ascii="Times New Roman" w:hAnsi="Times New Roman"/>
          <w:color w:val="000000" w:themeColor="text1"/>
          <w:lang w:val="es-MX"/>
        </w:rPr>
        <w:t xml:space="preserve"> productores agrícolas de los cultivos de habichuela, arroz, cebolla y maíz </w:t>
      </w:r>
      <w:r w:rsidR="0006556E" w:rsidRPr="002A7822">
        <w:rPr>
          <w:rFonts w:ascii="Times New Roman" w:hAnsi="Times New Roman"/>
          <w:color w:val="000000" w:themeColor="text1"/>
          <w:lang w:val="es-MX"/>
        </w:rPr>
        <w:t>híbrido</w:t>
      </w:r>
      <w:r w:rsidR="00D6075D" w:rsidRPr="002A7822">
        <w:rPr>
          <w:rFonts w:ascii="Times New Roman" w:hAnsi="Times New Roman"/>
          <w:color w:val="000000" w:themeColor="text1"/>
          <w:lang w:val="es-MX"/>
        </w:rPr>
        <w:t>.</w:t>
      </w:r>
    </w:p>
    <w:p w14:paraId="46921E9C" w14:textId="77777777" w:rsidR="00073148" w:rsidRPr="002A7822" w:rsidRDefault="00073148" w:rsidP="004A2905">
      <w:pPr>
        <w:spacing w:after="0" w:line="480" w:lineRule="auto"/>
        <w:ind w:firstLine="720"/>
        <w:jc w:val="both"/>
        <w:rPr>
          <w:rFonts w:ascii="Times New Roman" w:hAnsi="Times New Roman"/>
          <w:color w:val="000000" w:themeColor="text1"/>
          <w:lang w:val="es-MX"/>
        </w:rPr>
      </w:pPr>
    </w:p>
    <w:p w14:paraId="756166ED" w14:textId="77777777" w:rsidR="00D6075D" w:rsidRPr="002A7822" w:rsidRDefault="00D6075D" w:rsidP="004A2905">
      <w:pPr>
        <w:pStyle w:val="Sinespaciado"/>
        <w:numPr>
          <w:ilvl w:val="1"/>
          <w:numId w:val="7"/>
        </w:numPr>
        <w:spacing w:line="480" w:lineRule="auto"/>
        <w:rPr>
          <w:rFonts w:ascii="Times New Roman" w:hAnsi="Times New Roman"/>
          <w:b/>
          <w:bCs/>
          <w:color w:val="000000" w:themeColor="text1"/>
        </w:rPr>
      </w:pPr>
      <w:r w:rsidRPr="002A7822">
        <w:rPr>
          <w:rFonts w:ascii="Times New Roman" w:hAnsi="Times New Roman"/>
          <w:b/>
          <w:bCs/>
          <w:color w:val="000000" w:themeColor="text1"/>
        </w:rPr>
        <w:t xml:space="preserve">Componente manejo de </w:t>
      </w:r>
      <w:r w:rsidR="0039543C" w:rsidRPr="002A7822">
        <w:rPr>
          <w:rFonts w:ascii="Times New Roman" w:hAnsi="Times New Roman"/>
          <w:b/>
          <w:bCs/>
          <w:color w:val="000000" w:themeColor="text1"/>
        </w:rPr>
        <w:t>postcosecha</w:t>
      </w:r>
    </w:p>
    <w:p w14:paraId="34B6997E" w14:textId="20B51420" w:rsidR="00D6075D" w:rsidRPr="002A7822" w:rsidRDefault="00D6075D" w:rsidP="004A2905">
      <w:pPr>
        <w:spacing w:after="0" w:line="480" w:lineRule="auto"/>
        <w:ind w:firstLine="720"/>
        <w:jc w:val="both"/>
        <w:rPr>
          <w:rFonts w:ascii="Times New Roman" w:hAnsi="Times New Roman"/>
          <w:color w:val="000000" w:themeColor="text1"/>
          <w:lang w:val="es-MX"/>
        </w:rPr>
      </w:pPr>
      <w:r w:rsidRPr="002A7822">
        <w:rPr>
          <w:rFonts w:ascii="Times New Roman" w:hAnsi="Times New Roman"/>
          <w:color w:val="000000" w:themeColor="text1"/>
          <w:lang w:val="es-MX"/>
        </w:rPr>
        <w:t>Instalación de dos centros de acopio y secado en los municipios de San Juan y Vallejuelo</w:t>
      </w:r>
      <w:r w:rsidR="006C5B88" w:rsidRPr="002A7822">
        <w:rPr>
          <w:rFonts w:ascii="Times New Roman" w:hAnsi="Times New Roman"/>
          <w:color w:val="000000" w:themeColor="text1"/>
          <w:lang w:val="es-MX"/>
        </w:rPr>
        <w:t>, inaugurados</w:t>
      </w:r>
      <w:r w:rsidR="00160F7D" w:rsidRPr="002A7822">
        <w:rPr>
          <w:rFonts w:ascii="Times New Roman" w:hAnsi="Times New Roman"/>
          <w:color w:val="000000" w:themeColor="text1"/>
          <w:lang w:val="es-MX"/>
        </w:rPr>
        <w:t xml:space="preserve"> a mediados de diciembre 2018.</w:t>
      </w:r>
    </w:p>
    <w:p w14:paraId="5C2B594E" w14:textId="77777777" w:rsidR="00696728" w:rsidRPr="002A7822" w:rsidRDefault="00696728" w:rsidP="004A2905">
      <w:pPr>
        <w:pStyle w:val="Prrafodelista"/>
        <w:spacing w:after="0" w:line="480" w:lineRule="auto"/>
        <w:ind w:left="1276"/>
        <w:jc w:val="both"/>
        <w:rPr>
          <w:rFonts w:ascii="Times New Roman" w:hAnsi="Times New Roman"/>
          <w:color w:val="000000" w:themeColor="text1"/>
          <w:sz w:val="24"/>
          <w:szCs w:val="24"/>
        </w:rPr>
      </w:pPr>
    </w:p>
    <w:p w14:paraId="060DD9B6" w14:textId="77777777" w:rsidR="0010505D" w:rsidRPr="002A7822" w:rsidRDefault="0010505D" w:rsidP="004A2905">
      <w:pPr>
        <w:pStyle w:val="Sinespaciado"/>
        <w:numPr>
          <w:ilvl w:val="1"/>
          <w:numId w:val="7"/>
        </w:numPr>
        <w:spacing w:line="480" w:lineRule="auto"/>
        <w:rPr>
          <w:rFonts w:ascii="Times New Roman" w:hAnsi="Times New Roman"/>
          <w:b/>
          <w:bCs/>
          <w:color w:val="000000" w:themeColor="text1"/>
        </w:rPr>
      </w:pPr>
      <w:r w:rsidRPr="002A7822">
        <w:rPr>
          <w:rFonts w:ascii="Times New Roman" w:hAnsi="Times New Roman"/>
          <w:b/>
          <w:bCs/>
          <w:color w:val="000000" w:themeColor="text1"/>
        </w:rPr>
        <w:t>Componente de introducción de tecnología</w:t>
      </w:r>
    </w:p>
    <w:p w14:paraId="5C65BC75" w14:textId="47890E5D" w:rsidR="00160F7D" w:rsidRDefault="006241A9" w:rsidP="004A2905">
      <w:pPr>
        <w:spacing w:after="0" w:line="480" w:lineRule="auto"/>
        <w:ind w:firstLine="720"/>
        <w:jc w:val="both"/>
        <w:rPr>
          <w:rFonts w:ascii="Times New Roman" w:hAnsi="Times New Roman"/>
          <w:color w:val="000000" w:themeColor="text1"/>
          <w:lang w:val="es-MX"/>
        </w:rPr>
      </w:pPr>
      <w:r w:rsidRPr="002A7822">
        <w:rPr>
          <w:rFonts w:ascii="Times New Roman" w:hAnsi="Times New Roman"/>
          <w:color w:val="000000" w:themeColor="text1"/>
          <w:lang w:val="es-MX"/>
        </w:rPr>
        <w:t xml:space="preserve">Siembra de </w:t>
      </w:r>
      <w:r w:rsidR="00160F7D" w:rsidRPr="002A7822">
        <w:rPr>
          <w:rFonts w:ascii="Times New Roman" w:hAnsi="Times New Roman"/>
          <w:color w:val="000000" w:themeColor="text1"/>
          <w:lang w:val="es-MX"/>
        </w:rPr>
        <w:t>maíz híbrido de al</w:t>
      </w:r>
      <w:r w:rsidRPr="002A7822">
        <w:rPr>
          <w:rFonts w:ascii="Times New Roman" w:hAnsi="Times New Roman"/>
          <w:color w:val="000000" w:themeColor="text1"/>
          <w:lang w:val="es-MX"/>
        </w:rPr>
        <w:t>to rendimiento (30F35 y P-4226), para mitigar los efectos de sequía y el uso de forraje para animales rumiantes.</w:t>
      </w:r>
    </w:p>
    <w:p w14:paraId="663E869D" w14:textId="408461C0" w:rsidR="00073148" w:rsidRDefault="00073148">
      <w:pPr>
        <w:spacing w:after="0"/>
        <w:rPr>
          <w:rFonts w:ascii="Times New Roman" w:hAnsi="Times New Roman"/>
          <w:color w:val="000000" w:themeColor="text1"/>
          <w:lang w:val="es-MX"/>
        </w:rPr>
      </w:pPr>
      <w:r>
        <w:rPr>
          <w:rFonts w:ascii="Times New Roman" w:hAnsi="Times New Roman"/>
          <w:color w:val="000000" w:themeColor="text1"/>
          <w:lang w:val="es-MX"/>
        </w:rPr>
        <w:br w:type="page"/>
      </w:r>
    </w:p>
    <w:p w14:paraId="04FCEF96" w14:textId="77777777" w:rsidR="006715B1" w:rsidRPr="002A7822" w:rsidRDefault="007258E5" w:rsidP="00170FE5">
      <w:pPr>
        <w:spacing w:after="0" w:line="480" w:lineRule="auto"/>
        <w:rPr>
          <w:rFonts w:ascii="Times New Roman" w:hAnsi="Times New Roman"/>
          <w:b/>
          <w:sz w:val="28"/>
          <w:lang w:bidi="en-US"/>
        </w:rPr>
      </w:pPr>
      <w:r w:rsidRPr="002A7822">
        <w:rPr>
          <w:rFonts w:ascii="Times New Roman" w:hAnsi="Times New Roman"/>
          <w:b/>
          <w:sz w:val="28"/>
          <w:lang w:bidi="en-US"/>
        </w:rPr>
        <w:lastRenderedPageBreak/>
        <w:t xml:space="preserve">Proyecto </w:t>
      </w:r>
      <w:r w:rsidR="002B5D68" w:rsidRPr="002A7822">
        <w:rPr>
          <w:rFonts w:ascii="Times New Roman" w:hAnsi="Times New Roman"/>
          <w:b/>
          <w:sz w:val="28"/>
          <w:lang w:bidi="en-US"/>
        </w:rPr>
        <w:t xml:space="preserve">habilitación de </w:t>
      </w:r>
      <w:r w:rsidRPr="002A7822">
        <w:rPr>
          <w:rFonts w:ascii="Times New Roman" w:hAnsi="Times New Roman"/>
          <w:b/>
          <w:sz w:val="28"/>
          <w:lang w:bidi="en-US"/>
        </w:rPr>
        <w:t xml:space="preserve">la industria del </w:t>
      </w:r>
      <w:r w:rsidR="005A35DE" w:rsidRPr="002A7822">
        <w:rPr>
          <w:rFonts w:ascii="Times New Roman" w:hAnsi="Times New Roman"/>
          <w:b/>
          <w:sz w:val="28"/>
          <w:lang w:bidi="en-US"/>
        </w:rPr>
        <w:t>Bambú</w:t>
      </w:r>
    </w:p>
    <w:p w14:paraId="1242C7E4" w14:textId="77777777" w:rsidR="004A2905" w:rsidRDefault="004A2905" w:rsidP="002B5D68">
      <w:pPr>
        <w:spacing w:after="0" w:line="480" w:lineRule="auto"/>
        <w:ind w:firstLine="720"/>
        <w:jc w:val="both"/>
        <w:rPr>
          <w:rFonts w:ascii="Times New Roman" w:hAnsi="Times New Roman"/>
          <w:color w:val="000000" w:themeColor="text1"/>
        </w:rPr>
      </w:pPr>
    </w:p>
    <w:p w14:paraId="767FFA5F" w14:textId="77777777" w:rsidR="002B5D68" w:rsidRPr="002A7822" w:rsidRDefault="002B5D68" w:rsidP="002B5D68">
      <w:pPr>
        <w:spacing w:after="0" w:line="480" w:lineRule="auto"/>
        <w:ind w:firstLine="720"/>
        <w:jc w:val="both"/>
        <w:rPr>
          <w:rFonts w:ascii="Times New Roman" w:hAnsi="Times New Roman"/>
          <w:color w:val="000000" w:themeColor="text1"/>
          <w:lang w:val="es-ES_tradnl"/>
        </w:rPr>
      </w:pPr>
      <w:r w:rsidRPr="002A7822">
        <w:rPr>
          <w:rFonts w:ascii="Times New Roman" w:hAnsi="Times New Roman"/>
          <w:color w:val="000000" w:themeColor="text1"/>
          <w:lang w:val="es-ES_tradnl"/>
        </w:rPr>
        <w:t>Este proyecto persigue como objetivo desarrollar de manera sostenible la industria del bambú a través del programa de Capacitación, extensión y fomento para el procesamiento y transformación de la materia prima.</w:t>
      </w:r>
    </w:p>
    <w:p w14:paraId="26B50726" w14:textId="77777777" w:rsidR="002B5D68" w:rsidRPr="002A7822" w:rsidRDefault="002B5D68" w:rsidP="002B5D68">
      <w:pPr>
        <w:spacing w:after="0" w:line="480" w:lineRule="auto"/>
        <w:ind w:firstLine="720"/>
        <w:jc w:val="both"/>
        <w:rPr>
          <w:rFonts w:ascii="Times New Roman" w:hAnsi="Times New Roman"/>
          <w:color w:val="4F81BD" w:themeColor="accent1"/>
          <w:lang w:val="es-ES_tradnl"/>
        </w:rPr>
      </w:pPr>
    </w:p>
    <w:p w14:paraId="09E0015E" w14:textId="77777777" w:rsidR="002B5D68" w:rsidRPr="002A7822" w:rsidRDefault="002B5D68" w:rsidP="002B5D68">
      <w:pPr>
        <w:spacing w:after="0" w:line="480" w:lineRule="auto"/>
        <w:ind w:firstLine="720"/>
        <w:jc w:val="both"/>
        <w:rPr>
          <w:rFonts w:ascii="Times New Roman" w:hAnsi="Times New Roman"/>
          <w:color w:val="000000" w:themeColor="text1"/>
          <w:lang w:val="es-ES_tradnl"/>
        </w:rPr>
      </w:pPr>
      <w:r w:rsidRPr="002A7822">
        <w:rPr>
          <w:rFonts w:ascii="Times New Roman" w:hAnsi="Times New Roman"/>
          <w:color w:val="000000" w:themeColor="text1"/>
          <w:lang w:val="es-ES_tradnl"/>
        </w:rPr>
        <w:t xml:space="preserve">El mismo estaba siendo ejecutado mediante un acuerdo de cooperación técnico-financiera establecido en fecha 29 de abril del año 2015 entre los gobiernos de la </w:t>
      </w:r>
      <w:r w:rsidR="00567DE5" w:rsidRPr="002A7822">
        <w:rPr>
          <w:rFonts w:ascii="Times New Roman" w:hAnsi="Times New Roman"/>
          <w:color w:val="000000" w:themeColor="text1"/>
          <w:lang w:val="es-ES_tradnl"/>
        </w:rPr>
        <w:t xml:space="preserve">República </w:t>
      </w:r>
      <w:r w:rsidR="005A35DE" w:rsidRPr="002A7822">
        <w:rPr>
          <w:rFonts w:ascii="Times New Roman" w:hAnsi="Times New Roman"/>
          <w:color w:val="000000" w:themeColor="text1"/>
          <w:lang w:val="es-ES_tradnl"/>
        </w:rPr>
        <w:t>Taiwán</w:t>
      </w:r>
      <w:r w:rsidR="00567DE5" w:rsidRPr="002A7822">
        <w:rPr>
          <w:rFonts w:ascii="Times New Roman" w:hAnsi="Times New Roman"/>
          <w:color w:val="000000" w:themeColor="text1"/>
          <w:lang w:val="es-ES_tradnl"/>
        </w:rPr>
        <w:t xml:space="preserve"> y el de la República</w:t>
      </w:r>
      <w:r w:rsidRPr="002A7822">
        <w:rPr>
          <w:rFonts w:ascii="Times New Roman" w:hAnsi="Times New Roman"/>
          <w:color w:val="000000" w:themeColor="text1"/>
          <w:lang w:val="es-ES_tradnl"/>
        </w:rPr>
        <w:t xml:space="preserve"> Dominicana, pero a raíz del cese de las relaciones comerciales y diplomáticas entre ambos países, los fondos destinados a este proyecto a partir del 2018 provienen en su totalidad de recursos aportados por el FEDA.</w:t>
      </w:r>
    </w:p>
    <w:p w14:paraId="71A12E57" w14:textId="77777777" w:rsidR="002B5D68" w:rsidRPr="002A7822" w:rsidRDefault="002B5D68" w:rsidP="002B5D68">
      <w:pPr>
        <w:spacing w:after="0" w:line="480" w:lineRule="auto"/>
        <w:ind w:firstLine="720"/>
        <w:jc w:val="both"/>
        <w:rPr>
          <w:rFonts w:ascii="Times New Roman" w:hAnsi="Times New Roman"/>
          <w:color w:val="000000" w:themeColor="text1"/>
          <w:lang w:val="es-ES_tradnl"/>
        </w:rPr>
      </w:pPr>
    </w:p>
    <w:p w14:paraId="4F7BAC7A" w14:textId="3981AD1B" w:rsidR="002B5D68" w:rsidRPr="002A7822" w:rsidRDefault="002B5D68" w:rsidP="002B5D68">
      <w:pPr>
        <w:spacing w:after="0" w:line="480" w:lineRule="auto"/>
        <w:ind w:firstLine="720"/>
        <w:jc w:val="both"/>
        <w:rPr>
          <w:rFonts w:ascii="Times New Roman" w:hAnsi="Times New Roman"/>
          <w:color w:val="000000" w:themeColor="text1"/>
          <w:lang w:val="es-ES_tradnl"/>
        </w:rPr>
      </w:pPr>
      <w:r w:rsidRPr="002A7822">
        <w:rPr>
          <w:rFonts w:ascii="Times New Roman" w:hAnsi="Times New Roman"/>
          <w:color w:val="000000" w:themeColor="text1"/>
          <w:lang w:val="es-ES_tradnl"/>
        </w:rPr>
        <w:t>Entre las Actividades desarrolladas por Pro-</w:t>
      </w:r>
      <w:r w:rsidR="005A35DE" w:rsidRPr="002A7822">
        <w:rPr>
          <w:rFonts w:ascii="Times New Roman" w:hAnsi="Times New Roman"/>
          <w:color w:val="000000" w:themeColor="text1"/>
          <w:lang w:val="es-ES_tradnl"/>
        </w:rPr>
        <w:t>Bambú</w:t>
      </w:r>
      <w:r w:rsidRPr="002A7822">
        <w:rPr>
          <w:rFonts w:ascii="Times New Roman" w:hAnsi="Times New Roman"/>
          <w:color w:val="000000" w:themeColor="text1"/>
          <w:lang w:val="es-ES_tradnl"/>
        </w:rPr>
        <w:t xml:space="preserve"> durante el año 201</w:t>
      </w:r>
      <w:r w:rsidR="00092192" w:rsidRPr="002A7822">
        <w:rPr>
          <w:rFonts w:ascii="Times New Roman" w:hAnsi="Times New Roman"/>
          <w:color w:val="000000" w:themeColor="text1"/>
          <w:lang w:val="es-ES_tradnl"/>
        </w:rPr>
        <w:t>9</w:t>
      </w:r>
      <w:r w:rsidRPr="002A7822">
        <w:rPr>
          <w:rFonts w:ascii="Times New Roman" w:hAnsi="Times New Roman"/>
          <w:color w:val="000000" w:themeColor="text1"/>
          <w:lang w:val="es-ES_tradnl"/>
        </w:rPr>
        <w:t xml:space="preserve"> se destacan las siguientes:</w:t>
      </w:r>
    </w:p>
    <w:p w14:paraId="56949B50" w14:textId="71ED605F" w:rsidR="002B5D68" w:rsidRPr="002A7822" w:rsidRDefault="002B5D68" w:rsidP="0020047B">
      <w:pPr>
        <w:pStyle w:val="Prrafodelista"/>
        <w:numPr>
          <w:ilvl w:val="1"/>
          <w:numId w:val="2"/>
        </w:numPr>
        <w:spacing w:after="0" w:line="480" w:lineRule="auto"/>
        <w:ind w:left="993" w:hanging="142"/>
        <w:jc w:val="both"/>
        <w:rPr>
          <w:rFonts w:ascii="Times New Roman" w:hAnsi="Times New Roman"/>
          <w:sz w:val="24"/>
          <w:szCs w:val="24"/>
          <w:lang w:val="es-ES_tradnl"/>
        </w:rPr>
      </w:pPr>
      <w:r w:rsidRPr="002A7822">
        <w:rPr>
          <w:rFonts w:ascii="Times New Roman" w:hAnsi="Times New Roman"/>
          <w:sz w:val="24"/>
          <w:szCs w:val="24"/>
          <w:lang w:val="es-ES_tradnl"/>
        </w:rPr>
        <w:t>Producción bates de bambú.</w:t>
      </w:r>
    </w:p>
    <w:p w14:paraId="1E17217C" w14:textId="77777777" w:rsidR="00F148DE" w:rsidRPr="002A7822" w:rsidRDefault="00F148DE" w:rsidP="00E540ED">
      <w:pPr>
        <w:pStyle w:val="Prrafodelista"/>
        <w:spacing w:after="0" w:line="360" w:lineRule="auto"/>
        <w:ind w:left="993"/>
        <w:jc w:val="both"/>
        <w:rPr>
          <w:rFonts w:ascii="Times New Roman" w:hAnsi="Times New Roman"/>
          <w:sz w:val="24"/>
          <w:szCs w:val="24"/>
          <w:lang w:val="es-ES_tradnl"/>
        </w:rPr>
      </w:pPr>
    </w:p>
    <w:p w14:paraId="786C4838" w14:textId="3A9705A3" w:rsidR="00F148DE" w:rsidRPr="002A7822" w:rsidRDefault="002B5D68" w:rsidP="0020047B">
      <w:pPr>
        <w:pStyle w:val="Prrafodelista"/>
        <w:numPr>
          <w:ilvl w:val="1"/>
          <w:numId w:val="2"/>
        </w:numPr>
        <w:spacing w:after="0" w:line="480" w:lineRule="auto"/>
        <w:ind w:left="993" w:hanging="142"/>
        <w:jc w:val="both"/>
        <w:rPr>
          <w:rFonts w:ascii="Times New Roman" w:hAnsi="Times New Roman"/>
          <w:color w:val="000000" w:themeColor="text1"/>
          <w:sz w:val="24"/>
          <w:szCs w:val="24"/>
          <w:lang w:val="es-ES_tradnl"/>
        </w:rPr>
      </w:pPr>
      <w:r w:rsidRPr="002A7822">
        <w:rPr>
          <w:rFonts w:ascii="Times New Roman" w:hAnsi="Times New Roman"/>
          <w:color w:val="000000" w:themeColor="text1"/>
          <w:sz w:val="24"/>
          <w:szCs w:val="24"/>
          <w:lang w:val="es-ES_tradnl"/>
        </w:rPr>
        <w:t>Talleres de capacitación con la participación de estudiantes de centros educativos de la provincia Monseñor Nouel.</w:t>
      </w:r>
    </w:p>
    <w:p w14:paraId="6D1B72B2" w14:textId="77777777" w:rsidR="00F148DE" w:rsidRPr="002A7822" w:rsidRDefault="00F148DE" w:rsidP="00E540ED">
      <w:pPr>
        <w:pStyle w:val="Prrafodelista"/>
        <w:spacing w:line="360" w:lineRule="auto"/>
        <w:rPr>
          <w:rFonts w:ascii="Times New Roman" w:hAnsi="Times New Roman"/>
          <w:color w:val="000000" w:themeColor="text1"/>
          <w:sz w:val="24"/>
          <w:szCs w:val="24"/>
          <w:lang w:val="es-ES_tradnl"/>
        </w:rPr>
      </w:pPr>
    </w:p>
    <w:p w14:paraId="510BF54C" w14:textId="5D8A42BC" w:rsidR="002B5D68" w:rsidRPr="002A7822" w:rsidRDefault="002A7822" w:rsidP="0020047B">
      <w:pPr>
        <w:pStyle w:val="Prrafodelista"/>
        <w:numPr>
          <w:ilvl w:val="1"/>
          <w:numId w:val="2"/>
        </w:numPr>
        <w:spacing w:after="0" w:line="480" w:lineRule="auto"/>
        <w:ind w:left="993" w:hanging="142"/>
        <w:jc w:val="both"/>
        <w:rPr>
          <w:rFonts w:ascii="Times New Roman" w:hAnsi="Times New Roman"/>
          <w:color w:val="000000" w:themeColor="text1"/>
          <w:sz w:val="24"/>
          <w:szCs w:val="24"/>
          <w:lang w:val="es-ES_tradnl"/>
        </w:rPr>
      </w:pPr>
      <w:r w:rsidRPr="002A7822">
        <w:rPr>
          <w:rFonts w:ascii="Times New Roman" w:hAnsi="Times New Roman"/>
          <w:sz w:val="24"/>
          <w:szCs w:val="24"/>
          <w:lang w:val="es-ES_tradnl"/>
        </w:rPr>
        <w:t>Gestión</w:t>
      </w:r>
      <w:r w:rsidR="002B5D68" w:rsidRPr="002A7822">
        <w:rPr>
          <w:rFonts w:ascii="Times New Roman" w:hAnsi="Times New Roman"/>
          <w:color w:val="000000" w:themeColor="text1"/>
          <w:sz w:val="24"/>
          <w:szCs w:val="24"/>
          <w:lang w:val="es-ES_tradnl"/>
        </w:rPr>
        <w:t xml:space="preserve"> en el </w:t>
      </w:r>
      <w:r w:rsidRPr="002A7822">
        <w:rPr>
          <w:rFonts w:ascii="Times New Roman" w:hAnsi="Times New Roman"/>
          <w:color w:val="000000" w:themeColor="text1"/>
          <w:sz w:val="24"/>
          <w:szCs w:val="24"/>
          <w:lang w:val="es-ES_tradnl"/>
        </w:rPr>
        <w:t>M</w:t>
      </w:r>
      <w:r w:rsidR="002B5D68" w:rsidRPr="002A7822">
        <w:rPr>
          <w:rFonts w:ascii="Times New Roman" w:hAnsi="Times New Roman"/>
          <w:color w:val="000000" w:themeColor="text1"/>
          <w:sz w:val="24"/>
          <w:szCs w:val="24"/>
          <w:lang w:val="es-ES_tradnl"/>
        </w:rPr>
        <w:t>inisterio de Medio Ambiente la donación de 200 tareas de terrenos para ser utilizados en la siembra de bambú.</w:t>
      </w:r>
    </w:p>
    <w:p w14:paraId="52CE4E55" w14:textId="77777777" w:rsidR="00F148DE" w:rsidRPr="002A7822" w:rsidRDefault="00F148DE" w:rsidP="00F148DE">
      <w:pPr>
        <w:pStyle w:val="Prrafodelista"/>
        <w:rPr>
          <w:rFonts w:ascii="Times New Roman" w:hAnsi="Times New Roman"/>
          <w:color w:val="000000" w:themeColor="text1"/>
          <w:sz w:val="24"/>
          <w:szCs w:val="24"/>
          <w:lang w:val="es-ES_tradnl"/>
        </w:rPr>
      </w:pPr>
    </w:p>
    <w:p w14:paraId="4F9FF808" w14:textId="20EAB569" w:rsidR="002B5D68" w:rsidRPr="002A7822" w:rsidRDefault="00092192" w:rsidP="0020047B">
      <w:pPr>
        <w:pStyle w:val="Prrafodelista"/>
        <w:numPr>
          <w:ilvl w:val="1"/>
          <w:numId w:val="2"/>
        </w:numPr>
        <w:spacing w:after="0" w:line="480" w:lineRule="auto"/>
        <w:ind w:left="993" w:hanging="142"/>
        <w:jc w:val="both"/>
        <w:rPr>
          <w:rFonts w:ascii="Times New Roman" w:hAnsi="Times New Roman"/>
          <w:color w:val="000000" w:themeColor="text1"/>
          <w:sz w:val="24"/>
          <w:szCs w:val="24"/>
          <w:lang w:val="es-ES_tradnl"/>
        </w:rPr>
      </w:pPr>
      <w:r w:rsidRPr="002A7822">
        <w:rPr>
          <w:rFonts w:ascii="Times New Roman" w:hAnsi="Times New Roman"/>
          <w:sz w:val="24"/>
          <w:szCs w:val="24"/>
          <w:lang w:val="es-ES_tradnl"/>
        </w:rPr>
        <w:lastRenderedPageBreak/>
        <w:t xml:space="preserve">Avance </w:t>
      </w:r>
      <w:r w:rsidR="002B5D68" w:rsidRPr="002A7822">
        <w:rPr>
          <w:rFonts w:ascii="Times New Roman" w:hAnsi="Times New Roman"/>
          <w:color w:val="000000" w:themeColor="text1"/>
          <w:sz w:val="24"/>
          <w:szCs w:val="24"/>
          <w:lang w:val="es-ES_tradnl"/>
        </w:rPr>
        <w:t>en la construcción del centro de innovación para el diseño de productos de bambú.</w:t>
      </w:r>
    </w:p>
    <w:p w14:paraId="46FB2CFD" w14:textId="77777777" w:rsidR="00F148DE" w:rsidRPr="002A7822" w:rsidRDefault="00F148DE" w:rsidP="00F148DE">
      <w:pPr>
        <w:pStyle w:val="Prrafodelista"/>
        <w:rPr>
          <w:rFonts w:ascii="Times New Roman" w:hAnsi="Times New Roman"/>
          <w:color w:val="000000" w:themeColor="text1"/>
          <w:sz w:val="24"/>
          <w:szCs w:val="24"/>
          <w:lang w:val="es-ES_tradnl"/>
        </w:rPr>
      </w:pPr>
    </w:p>
    <w:p w14:paraId="2CF9B6D6" w14:textId="3591D910" w:rsidR="002B5D68" w:rsidRPr="002A7822" w:rsidRDefault="002A7822" w:rsidP="0020047B">
      <w:pPr>
        <w:pStyle w:val="Prrafodelista"/>
        <w:numPr>
          <w:ilvl w:val="1"/>
          <w:numId w:val="2"/>
        </w:numPr>
        <w:spacing w:after="0" w:line="480" w:lineRule="auto"/>
        <w:ind w:left="993" w:hanging="142"/>
        <w:jc w:val="both"/>
        <w:rPr>
          <w:rFonts w:ascii="Times New Roman" w:hAnsi="Times New Roman"/>
          <w:color w:val="4F81BD" w:themeColor="accent1"/>
          <w:lang w:val="es-ES_tradnl"/>
        </w:rPr>
      </w:pPr>
      <w:r w:rsidRPr="002A7822">
        <w:rPr>
          <w:rFonts w:ascii="Times New Roman" w:hAnsi="Times New Roman"/>
          <w:color w:val="000000" w:themeColor="text1"/>
          <w:sz w:val="24"/>
          <w:szCs w:val="24"/>
          <w:lang w:val="es-ES_tradnl"/>
        </w:rPr>
        <w:t>Contribución</w:t>
      </w:r>
      <w:r w:rsidR="002B5D68" w:rsidRPr="002A7822">
        <w:rPr>
          <w:rFonts w:ascii="Times New Roman" w:hAnsi="Times New Roman"/>
          <w:color w:val="000000" w:themeColor="text1"/>
          <w:sz w:val="24"/>
          <w:szCs w:val="24"/>
          <w:lang w:val="es-ES_tradnl"/>
        </w:rPr>
        <w:t xml:space="preserve"> </w:t>
      </w:r>
      <w:r w:rsidRPr="002A7822">
        <w:rPr>
          <w:rFonts w:ascii="Times New Roman" w:hAnsi="Times New Roman"/>
          <w:color w:val="000000" w:themeColor="text1"/>
          <w:sz w:val="24"/>
          <w:szCs w:val="24"/>
          <w:lang w:val="es-ES_tradnl"/>
        </w:rPr>
        <w:t>a</w:t>
      </w:r>
      <w:r w:rsidR="002B5D68" w:rsidRPr="002A7822">
        <w:rPr>
          <w:rFonts w:ascii="Times New Roman" w:hAnsi="Times New Roman"/>
          <w:color w:val="000000" w:themeColor="text1"/>
          <w:sz w:val="24"/>
          <w:szCs w:val="24"/>
          <w:lang w:val="es-ES_tradnl"/>
        </w:rPr>
        <w:t>l mantenimiento del cultivo de bambú de la especie Dendrocalamus Asper en la finca Mamey</w:t>
      </w:r>
      <w:r w:rsidRPr="002A7822">
        <w:rPr>
          <w:rFonts w:ascii="Times New Roman" w:hAnsi="Times New Roman"/>
          <w:color w:val="000000" w:themeColor="text1"/>
          <w:sz w:val="24"/>
          <w:szCs w:val="24"/>
          <w:lang w:val="es-ES_tradnl"/>
        </w:rPr>
        <w:t>, en el municipio de G</w:t>
      </w:r>
      <w:r w:rsidR="002B5D68" w:rsidRPr="002A7822">
        <w:rPr>
          <w:rFonts w:ascii="Times New Roman" w:hAnsi="Times New Roman"/>
          <w:color w:val="000000" w:themeColor="text1"/>
          <w:sz w:val="24"/>
          <w:szCs w:val="24"/>
          <w:lang w:val="es-ES_tradnl"/>
        </w:rPr>
        <w:t>uerra provincia Monte Plata y la Finca Susú en San Francisco de Macorís, las cuales tienen una superficie de 16.09 y 14.18 hectáreas, respectivamente</w:t>
      </w:r>
      <w:r w:rsidR="002B5D68" w:rsidRPr="002A7822">
        <w:rPr>
          <w:rFonts w:ascii="Times New Roman" w:hAnsi="Times New Roman"/>
          <w:color w:val="000000" w:themeColor="text1"/>
          <w:lang w:val="es-ES_tradnl"/>
        </w:rPr>
        <w:t>.</w:t>
      </w:r>
    </w:p>
    <w:p w14:paraId="02E7E9D1" w14:textId="3DDF5419" w:rsidR="002B5D68" w:rsidRPr="00932C6C" w:rsidRDefault="002B5D68" w:rsidP="002B5D68">
      <w:pPr>
        <w:spacing w:after="0" w:line="480" w:lineRule="auto"/>
        <w:ind w:firstLine="720"/>
        <w:jc w:val="both"/>
        <w:rPr>
          <w:rFonts w:ascii="Times New Roman" w:hAnsi="Times New Roman"/>
          <w:color w:val="000000" w:themeColor="text1"/>
          <w:lang w:val="es-ES_tradnl"/>
        </w:rPr>
      </w:pPr>
    </w:p>
    <w:p w14:paraId="3BAA14FB" w14:textId="1B1D3969" w:rsidR="00932C6C" w:rsidRPr="000D378F" w:rsidRDefault="000D378F" w:rsidP="000D378F">
      <w:pPr>
        <w:pStyle w:val="Ttulo3"/>
      </w:pPr>
      <w:bookmarkStart w:id="224" w:name="_Toc27146781"/>
      <w:r w:rsidRPr="000D378F">
        <w:t>Realización del primer censo nacional pesquero artesanal</w:t>
      </w:r>
      <w:bookmarkEnd w:id="224"/>
    </w:p>
    <w:p w14:paraId="620F17F9" w14:textId="364EF05B" w:rsidR="00932C6C" w:rsidRDefault="00932C6C" w:rsidP="002B5D68">
      <w:pPr>
        <w:spacing w:after="0" w:line="480" w:lineRule="auto"/>
        <w:ind w:firstLine="720"/>
        <w:jc w:val="both"/>
        <w:rPr>
          <w:rFonts w:ascii="Times New Roman" w:hAnsi="Times New Roman"/>
          <w:color w:val="000000" w:themeColor="text1"/>
          <w:lang w:val="es-ES_tradnl"/>
        </w:rPr>
      </w:pPr>
    </w:p>
    <w:p w14:paraId="0D67A64F" w14:textId="135D4AD0" w:rsidR="000D378F" w:rsidRDefault="000D378F" w:rsidP="002B5D68">
      <w:pPr>
        <w:spacing w:after="0" w:line="480" w:lineRule="auto"/>
        <w:ind w:firstLine="720"/>
        <w:jc w:val="both"/>
        <w:rPr>
          <w:rFonts w:ascii="Times New Roman" w:hAnsi="Times New Roman"/>
          <w:color w:val="000000" w:themeColor="text1"/>
          <w:lang w:val="es-ES_tradnl"/>
        </w:rPr>
      </w:pPr>
      <w:r>
        <w:rPr>
          <w:rFonts w:ascii="Times New Roman" w:hAnsi="Times New Roman"/>
          <w:color w:val="000000" w:themeColor="text1"/>
          <w:lang w:val="es-ES_tradnl"/>
        </w:rPr>
        <w:t xml:space="preserve">Mediante la firma del convenio de Cooperación interinstitucional entre La Oficina Nacional de Estadísticas, ONE, </w:t>
      </w:r>
      <w:r w:rsidRPr="000D378F">
        <w:rPr>
          <w:rFonts w:ascii="Times New Roman" w:hAnsi="Times New Roman"/>
          <w:color w:val="000000" w:themeColor="text1"/>
          <w:lang w:val="es-ES_tradnl"/>
        </w:rPr>
        <w:t>Consejo Do</w:t>
      </w:r>
      <w:r>
        <w:rPr>
          <w:rFonts w:ascii="Times New Roman" w:hAnsi="Times New Roman"/>
          <w:color w:val="000000" w:themeColor="text1"/>
          <w:lang w:val="es-ES_tradnl"/>
        </w:rPr>
        <w:t xml:space="preserve">minicano de Pesca y Acuicultura, </w:t>
      </w:r>
      <w:r w:rsidRPr="000D378F">
        <w:rPr>
          <w:rFonts w:ascii="Times New Roman" w:hAnsi="Times New Roman"/>
          <w:color w:val="000000" w:themeColor="text1"/>
          <w:lang w:val="es-ES_tradnl"/>
        </w:rPr>
        <w:t>CODOPESCA</w:t>
      </w:r>
      <w:r>
        <w:rPr>
          <w:rFonts w:ascii="Times New Roman" w:hAnsi="Times New Roman"/>
          <w:color w:val="000000" w:themeColor="text1"/>
          <w:lang w:val="es-ES_tradnl"/>
        </w:rPr>
        <w:t>, se concluyó las etapas de levantamiento metodológico del 1er censo nacional pesquero del País, con el apoyo la cooperación internacional del Banco Interamericano de Desarrollo, BID.</w:t>
      </w:r>
    </w:p>
    <w:p w14:paraId="7D0BD6C4" w14:textId="01198777" w:rsidR="000D378F" w:rsidRDefault="000D378F" w:rsidP="002B5D68">
      <w:pPr>
        <w:spacing w:after="0" w:line="480" w:lineRule="auto"/>
        <w:ind w:firstLine="720"/>
        <w:jc w:val="both"/>
        <w:rPr>
          <w:rFonts w:ascii="Times New Roman" w:hAnsi="Times New Roman"/>
          <w:color w:val="000000" w:themeColor="text1"/>
          <w:lang w:val="es-ES_tradnl"/>
        </w:rPr>
      </w:pPr>
    </w:p>
    <w:p w14:paraId="4B6E9222" w14:textId="5D33E80D" w:rsidR="000D378F" w:rsidRDefault="000D378F" w:rsidP="000D378F">
      <w:pPr>
        <w:spacing w:after="0" w:line="480" w:lineRule="auto"/>
        <w:ind w:firstLine="720"/>
        <w:jc w:val="both"/>
        <w:rPr>
          <w:rFonts w:ascii="Times New Roman" w:hAnsi="Times New Roman"/>
          <w:color w:val="000000" w:themeColor="text1"/>
          <w:lang w:val="es-ES_tradnl"/>
        </w:rPr>
      </w:pPr>
      <w:r w:rsidRPr="000D378F">
        <w:rPr>
          <w:rFonts w:ascii="Times New Roman" w:hAnsi="Times New Roman"/>
          <w:color w:val="000000" w:themeColor="text1"/>
          <w:lang w:val="es-ES_tradnl"/>
        </w:rPr>
        <w:t>De acuerdo a los resultados preliminares del primer Censo Nacional de Pesc</w:t>
      </w:r>
      <w:r>
        <w:rPr>
          <w:rFonts w:ascii="Times New Roman" w:hAnsi="Times New Roman"/>
          <w:color w:val="000000" w:themeColor="text1"/>
          <w:lang w:val="es-ES_tradnl"/>
        </w:rPr>
        <w:t xml:space="preserve">adores Costeras, </w:t>
      </w:r>
      <w:r w:rsidRPr="000D378F">
        <w:rPr>
          <w:rFonts w:ascii="Times New Roman" w:hAnsi="Times New Roman"/>
          <w:color w:val="000000" w:themeColor="text1"/>
          <w:lang w:val="es-ES_tradnl"/>
        </w:rPr>
        <w:t xml:space="preserve">existen </w:t>
      </w:r>
      <w:r>
        <w:rPr>
          <w:rFonts w:ascii="Times New Roman" w:hAnsi="Times New Roman"/>
          <w:color w:val="000000" w:themeColor="text1"/>
          <w:lang w:val="es-ES_tradnl"/>
        </w:rPr>
        <w:t>más de 14,</w:t>
      </w:r>
      <w:r w:rsidRPr="000D378F">
        <w:rPr>
          <w:rFonts w:ascii="Times New Roman" w:hAnsi="Times New Roman"/>
          <w:color w:val="000000" w:themeColor="text1"/>
          <w:lang w:val="es-ES_tradnl"/>
        </w:rPr>
        <w:t>404 pescadores dedicados a la pesca marino-costera faenando en unas 4,700 embarcaciones entre barcos, botes, yolas y cayucos, distribuidos en alrededor de 184 sitios de desembarco en toda la costa, desde Montecristi hasta Pedernales y aguas interiores.</w:t>
      </w:r>
    </w:p>
    <w:p w14:paraId="49F0EDF1" w14:textId="7B7D3E33" w:rsidR="000D378F" w:rsidRDefault="000D378F" w:rsidP="002B5D68">
      <w:pPr>
        <w:spacing w:after="0" w:line="480" w:lineRule="auto"/>
        <w:ind w:firstLine="720"/>
        <w:jc w:val="both"/>
        <w:rPr>
          <w:rFonts w:ascii="Times New Roman" w:hAnsi="Times New Roman"/>
          <w:color w:val="000000" w:themeColor="text1"/>
          <w:lang w:val="es-ES_tradnl"/>
        </w:rPr>
      </w:pPr>
    </w:p>
    <w:p w14:paraId="4A0F6120" w14:textId="2410888A" w:rsidR="000D378F" w:rsidRDefault="000D378F" w:rsidP="000D378F">
      <w:pPr>
        <w:spacing w:after="0" w:line="480" w:lineRule="auto"/>
        <w:ind w:firstLine="720"/>
        <w:jc w:val="both"/>
        <w:rPr>
          <w:rFonts w:ascii="Times New Roman" w:hAnsi="Times New Roman"/>
          <w:color w:val="000000" w:themeColor="text1"/>
          <w:lang w:val="es-ES_tradnl"/>
        </w:rPr>
      </w:pPr>
      <w:r w:rsidRPr="000D378F">
        <w:rPr>
          <w:rFonts w:ascii="Times New Roman" w:hAnsi="Times New Roman"/>
          <w:color w:val="000000" w:themeColor="text1"/>
          <w:lang w:val="es-ES_tradnl"/>
        </w:rPr>
        <w:t xml:space="preserve">Se realizaron visitas y recorridos conjuntos entre personal de la ONE y de CODOPESCA, en los diversos lugares de desembarco pesquero del litoral, para </w:t>
      </w:r>
      <w:r w:rsidRPr="000D378F">
        <w:rPr>
          <w:rFonts w:ascii="Times New Roman" w:hAnsi="Times New Roman"/>
          <w:color w:val="000000" w:themeColor="text1"/>
          <w:lang w:val="es-ES_tradnl"/>
        </w:rPr>
        <w:lastRenderedPageBreak/>
        <w:t>hacer contactos con informantes claves, previo al trabajo de c</w:t>
      </w:r>
      <w:r>
        <w:rPr>
          <w:rFonts w:ascii="Times New Roman" w:hAnsi="Times New Roman"/>
          <w:color w:val="000000" w:themeColor="text1"/>
          <w:lang w:val="es-ES_tradnl"/>
        </w:rPr>
        <w:t>ampo e implementación del censo, a</w:t>
      </w:r>
      <w:r w:rsidRPr="000D378F">
        <w:rPr>
          <w:rFonts w:ascii="Times New Roman" w:hAnsi="Times New Roman"/>
          <w:color w:val="000000" w:themeColor="text1"/>
          <w:lang w:val="es-ES_tradnl"/>
        </w:rPr>
        <w:t xml:space="preserve"> continuación, se muestran un avance del número de pescadores empadronados:</w:t>
      </w:r>
    </w:p>
    <w:p w14:paraId="2952EAE1" w14:textId="77777777" w:rsidR="004A0E5D" w:rsidRPr="000D378F" w:rsidRDefault="004A0E5D" w:rsidP="000D378F">
      <w:pPr>
        <w:spacing w:after="0" w:line="480" w:lineRule="auto"/>
        <w:ind w:firstLine="720"/>
        <w:jc w:val="both"/>
        <w:rPr>
          <w:rFonts w:ascii="Times New Roman" w:hAnsi="Times New Roman"/>
          <w:color w:val="000000" w:themeColor="text1"/>
          <w:lang w:val="es-ES_tradnl"/>
        </w:rPr>
      </w:pPr>
    </w:p>
    <w:p w14:paraId="072BBE84" w14:textId="2BB6F9D7" w:rsidR="001C3D61" w:rsidRPr="001C3D61" w:rsidRDefault="001C3D61" w:rsidP="001C3D61">
      <w:pPr>
        <w:pStyle w:val="Prrafodelista"/>
        <w:numPr>
          <w:ilvl w:val="0"/>
          <w:numId w:val="9"/>
        </w:numPr>
        <w:spacing w:after="0" w:line="240" w:lineRule="auto"/>
        <w:ind w:hanging="644"/>
        <w:rPr>
          <w:rFonts w:ascii="Times New Roman" w:hAnsi="Times New Roman"/>
          <w:b/>
          <w:sz w:val="24"/>
          <w:lang w:val="es-ES_tradnl"/>
        </w:rPr>
      </w:pPr>
      <w:r w:rsidRPr="001C3D61">
        <w:rPr>
          <w:rFonts w:ascii="Times New Roman" w:hAnsi="Times New Roman"/>
          <w:b/>
          <w:sz w:val="24"/>
          <w:lang w:val="es-ES_tradnl"/>
        </w:rPr>
        <w:t>Pescadores empadronados por provincia.</w:t>
      </w:r>
    </w:p>
    <w:p w14:paraId="1100642D" w14:textId="4D8C2418" w:rsidR="000D378F" w:rsidRDefault="000D378F" w:rsidP="000D378F">
      <w:pPr>
        <w:spacing w:after="0" w:line="480" w:lineRule="auto"/>
        <w:ind w:firstLine="720"/>
        <w:jc w:val="both"/>
        <w:rPr>
          <w:rFonts w:ascii="Times New Roman" w:hAnsi="Times New Roman"/>
          <w:color w:val="000000" w:themeColor="text1"/>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6"/>
        <w:gridCol w:w="1710"/>
      </w:tblGrid>
      <w:tr w:rsidR="000D378F" w:rsidRPr="000D378F" w14:paraId="123E6F8B" w14:textId="77777777" w:rsidTr="000D378F">
        <w:trPr>
          <w:jc w:val="center"/>
        </w:trPr>
        <w:tc>
          <w:tcPr>
            <w:tcW w:w="0" w:type="auto"/>
            <w:vMerge w:val="restart"/>
            <w:shd w:val="clear" w:color="auto" w:fill="00B050"/>
            <w:vAlign w:val="center"/>
          </w:tcPr>
          <w:p w14:paraId="7FC4427B" w14:textId="77777777" w:rsidR="000D378F" w:rsidRPr="000D378F" w:rsidRDefault="000D378F" w:rsidP="000D378F">
            <w:pPr>
              <w:spacing w:after="0"/>
              <w:jc w:val="center"/>
              <w:rPr>
                <w:rFonts w:ascii="Times New Roman" w:hAnsi="Times New Roman"/>
                <w:b/>
                <w:color w:val="FFFFFF" w:themeColor="background1"/>
                <w:sz w:val="28"/>
                <w:szCs w:val="22"/>
              </w:rPr>
            </w:pPr>
            <w:r w:rsidRPr="000D378F">
              <w:rPr>
                <w:rFonts w:ascii="Times New Roman" w:hAnsi="Times New Roman"/>
                <w:b/>
                <w:color w:val="FFFFFF" w:themeColor="background1"/>
                <w:sz w:val="28"/>
                <w:szCs w:val="22"/>
              </w:rPr>
              <w:t>Provincias</w:t>
            </w:r>
          </w:p>
        </w:tc>
        <w:tc>
          <w:tcPr>
            <w:tcW w:w="0" w:type="auto"/>
            <w:shd w:val="clear" w:color="auto" w:fill="00B050"/>
          </w:tcPr>
          <w:p w14:paraId="27375ED9" w14:textId="77777777" w:rsidR="000D378F" w:rsidRPr="000D378F" w:rsidRDefault="000D378F" w:rsidP="000D378F">
            <w:pPr>
              <w:spacing w:after="0"/>
              <w:jc w:val="center"/>
              <w:rPr>
                <w:rFonts w:ascii="Times New Roman" w:hAnsi="Times New Roman"/>
                <w:b/>
                <w:color w:val="FFFFFF" w:themeColor="background1"/>
                <w:sz w:val="28"/>
                <w:szCs w:val="22"/>
              </w:rPr>
            </w:pPr>
            <w:r w:rsidRPr="000D378F">
              <w:rPr>
                <w:rFonts w:ascii="Times New Roman" w:hAnsi="Times New Roman"/>
                <w:b/>
                <w:color w:val="FFFFFF" w:themeColor="background1"/>
                <w:sz w:val="28"/>
                <w:szCs w:val="22"/>
              </w:rPr>
              <w:t>Pescadores</w:t>
            </w:r>
          </w:p>
        </w:tc>
      </w:tr>
      <w:tr w:rsidR="000D378F" w:rsidRPr="000D378F" w14:paraId="50BFD9C8" w14:textId="77777777" w:rsidTr="000D378F">
        <w:trPr>
          <w:jc w:val="center"/>
        </w:trPr>
        <w:tc>
          <w:tcPr>
            <w:tcW w:w="0" w:type="auto"/>
            <w:vMerge/>
            <w:shd w:val="clear" w:color="auto" w:fill="00B050"/>
          </w:tcPr>
          <w:p w14:paraId="0049F0A1" w14:textId="77777777" w:rsidR="000D378F" w:rsidRPr="000D378F" w:rsidRDefault="000D378F" w:rsidP="000D378F">
            <w:pPr>
              <w:spacing w:after="0"/>
              <w:jc w:val="both"/>
              <w:rPr>
                <w:rFonts w:ascii="Times New Roman" w:hAnsi="Times New Roman"/>
                <w:b/>
                <w:color w:val="FFFFFF" w:themeColor="background1"/>
                <w:sz w:val="28"/>
                <w:szCs w:val="22"/>
              </w:rPr>
            </w:pPr>
          </w:p>
        </w:tc>
        <w:tc>
          <w:tcPr>
            <w:tcW w:w="0" w:type="auto"/>
            <w:shd w:val="clear" w:color="auto" w:fill="00B050"/>
          </w:tcPr>
          <w:p w14:paraId="2FA10EC1" w14:textId="77777777" w:rsidR="000D378F" w:rsidRPr="000D378F" w:rsidRDefault="000D378F" w:rsidP="000D378F">
            <w:pPr>
              <w:spacing w:after="0"/>
              <w:jc w:val="center"/>
              <w:rPr>
                <w:rFonts w:ascii="Times New Roman" w:hAnsi="Times New Roman"/>
                <w:b/>
                <w:color w:val="FFFFFF" w:themeColor="background1"/>
                <w:sz w:val="28"/>
                <w:szCs w:val="22"/>
              </w:rPr>
            </w:pPr>
            <w:r w:rsidRPr="000D378F">
              <w:rPr>
                <w:rFonts w:ascii="Times New Roman" w:hAnsi="Times New Roman"/>
                <w:b/>
                <w:color w:val="FFFFFF" w:themeColor="background1"/>
                <w:sz w:val="28"/>
                <w:szCs w:val="22"/>
              </w:rPr>
              <w:t>Encuestados</w:t>
            </w:r>
          </w:p>
        </w:tc>
      </w:tr>
      <w:tr w:rsidR="000D378F" w:rsidRPr="000D378F" w14:paraId="5D097C7E" w14:textId="77777777" w:rsidTr="000D378F">
        <w:trPr>
          <w:jc w:val="center"/>
        </w:trPr>
        <w:tc>
          <w:tcPr>
            <w:tcW w:w="0" w:type="auto"/>
            <w:shd w:val="clear" w:color="auto" w:fill="auto"/>
          </w:tcPr>
          <w:p w14:paraId="6B12A372" w14:textId="04E74C7D" w:rsidR="000D378F" w:rsidRPr="000D378F" w:rsidRDefault="000D378F" w:rsidP="000D378F">
            <w:pPr>
              <w:spacing w:after="0"/>
              <w:jc w:val="both"/>
              <w:rPr>
                <w:rFonts w:ascii="Times New Roman" w:hAnsi="Times New Roman"/>
                <w:sz w:val="28"/>
                <w:szCs w:val="22"/>
              </w:rPr>
            </w:pPr>
            <w:r w:rsidRPr="000D378F">
              <w:rPr>
                <w:rFonts w:ascii="Times New Roman" w:hAnsi="Times New Roman"/>
                <w:sz w:val="28"/>
                <w:szCs w:val="22"/>
              </w:rPr>
              <w:t>Sto. Dgo., D</w:t>
            </w:r>
            <w:r>
              <w:rPr>
                <w:rFonts w:ascii="Times New Roman" w:hAnsi="Times New Roman"/>
                <w:sz w:val="28"/>
                <w:szCs w:val="22"/>
              </w:rPr>
              <w:t>.</w:t>
            </w:r>
            <w:r w:rsidRPr="000D378F">
              <w:rPr>
                <w:rFonts w:ascii="Times New Roman" w:hAnsi="Times New Roman"/>
                <w:sz w:val="28"/>
                <w:szCs w:val="22"/>
              </w:rPr>
              <w:t>N</w:t>
            </w:r>
            <w:r>
              <w:rPr>
                <w:rFonts w:ascii="Times New Roman" w:hAnsi="Times New Roman"/>
                <w:sz w:val="28"/>
                <w:szCs w:val="22"/>
              </w:rPr>
              <w:t>.</w:t>
            </w:r>
            <w:r w:rsidRPr="000D378F">
              <w:rPr>
                <w:rFonts w:ascii="Times New Roman" w:hAnsi="Times New Roman"/>
                <w:sz w:val="28"/>
                <w:szCs w:val="22"/>
              </w:rPr>
              <w:t xml:space="preserve"> y San Cristóbal</w:t>
            </w:r>
          </w:p>
        </w:tc>
        <w:tc>
          <w:tcPr>
            <w:tcW w:w="0" w:type="auto"/>
            <w:shd w:val="clear" w:color="auto" w:fill="auto"/>
          </w:tcPr>
          <w:p w14:paraId="45154BCB" w14:textId="77777777" w:rsidR="000D378F" w:rsidRPr="000D378F" w:rsidRDefault="000D378F" w:rsidP="000D378F">
            <w:pPr>
              <w:spacing w:after="0"/>
              <w:jc w:val="right"/>
              <w:rPr>
                <w:rFonts w:ascii="Times New Roman" w:hAnsi="Times New Roman"/>
                <w:sz w:val="28"/>
                <w:szCs w:val="22"/>
              </w:rPr>
            </w:pPr>
            <w:r w:rsidRPr="000D378F">
              <w:rPr>
                <w:rFonts w:ascii="Times New Roman" w:hAnsi="Times New Roman"/>
                <w:sz w:val="28"/>
                <w:szCs w:val="22"/>
              </w:rPr>
              <w:t>761</w:t>
            </w:r>
          </w:p>
        </w:tc>
      </w:tr>
      <w:tr w:rsidR="000D378F" w:rsidRPr="000D378F" w14:paraId="02622CA3" w14:textId="77777777" w:rsidTr="000D378F">
        <w:trPr>
          <w:jc w:val="center"/>
        </w:trPr>
        <w:tc>
          <w:tcPr>
            <w:tcW w:w="0" w:type="auto"/>
            <w:shd w:val="clear" w:color="auto" w:fill="auto"/>
          </w:tcPr>
          <w:p w14:paraId="4FF9CE21" w14:textId="77777777" w:rsidR="000D378F" w:rsidRPr="000D378F" w:rsidRDefault="000D378F" w:rsidP="000D378F">
            <w:pPr>
              <w:spacing w:after="0"/>
              <w:jc w:val="both"/>
              <w:rPr>
                <w:rFonts w:ascii="Times New Roman" w:hAnsi="Times New Roman"/>
                <w:sz w:val="28"/>
                <w:szCs w:val="22"/>
              </w:rPr>
            </w:pPr>
            <w:r w:rsidRPr="000D378F">
              <w:rPr>
                <w:rFonts w:ascii="Times New Roman" w:hAnsi="Times New Roman"/>
                <w:sz w:val="28"/>
                <w:szCs w:val="22"/>
              </w:rPr>
              <w:t>Azua y Peravia</w:t>
            </w:r>
          </w:p>
        </w:tc>
        <w:tc>
          <w:tcPr>
            <w:tcW w:w="0" w:type="auto"/>
            <w:shd w:val="clear" w:color="auto" w:fill="auto"/>
          </w:tcPr>
          <w:p w14:paraId="3D65B875" w14:textId="77777777" w:rsidR="000D378F" w:rsidRPr="000D378F" w:rsidRDefault="000D378F" w:rsidP="000D378F">
            <w:pPr>
              <w:spacing w:after="0"/>
              <w:jc w:val="right"/>
              <w:rPr>
                <w:rFonts w:ascii="Times New Roman" w:hAnsi="Times New Roman"/>
                <w:sz w:val="28"/>
                <w:szCs w:val="22"/>
              </w:rPr>
            </w:pPr>
            <w:r w:rsidRPr="000D378F">
              <w:rPr>
                <w:rFonts w:ascii="Times New Roman" w:hAnsi="Times New Roman"/>
                <w:sz w:val="28"/>
                <w:szCs w:val="22"/>
              </w:rPr>
              <w:t>940</w:t>
            </w:r>
          </w:p>
        </w:tc>
      </w:tr>
      <w:tr w:rsidR="000D378F" w:rsidRPr="000D378F" w14:paraId="7AA7E134" w14:textId="77777777" w:rsidTr="000D378F">
        <w:trPr>
          <w:jc w:val="center"/>
        </w:trPr>
        <w:tc>
          <w:tcPr>
            <w:tcW w:w="0" w:type="auto"/>
            <w:shd w:val="clear" w:color="auto" w:fill="auto"/>
          </w:tcPr>
          <w:p w14:paraId="0B570B50" w14:textId="77777777" w:rsidR="000D378F" w:rsidRPr="000D378F" w:rsidRDefault="000D378F" w:rsidP="000D378F">
            <w:pPr>
              <w:spacing w:after="0"/>
              <w:jc w:val="both"/>
              <w:rPr>
                <w:rFonts w:ascii="Times New Roman" w:hAnsi="Times New Roman"/>
                <w:sz w:val="28"/>
                <w:szCs w:val="22"/>
              </w:rPr>
            </w:pPr>
            <w:r w:rsidRPr="000D378F">
              <w:rPr>
                <w:rFonts w:ascii="Times New Roman" w:hAnsi="Times New Roman"/>
                <w:sz w:val="28"/>
                <w:szCs w:val="22"/>
              </w:rPr>
              <w:t>Pedernales</w:t>
            </w:r>
          </w:p>
        </w:tc>
        <w:tc>
          <w:tcPr>
            <w:tcW w:w="0" w:type="auto"/>
            <w:shd w:val="clear" w:color="auto" w:fill="auto"/>
          </w:tcPr>
          <w:p w14:paraId="2559A1FB" w14:textId="79E03125" w:rsidR="000D378F" w:rsidRPr="000D378F" w:rsidRDefault="000D378F" w:rsidP="000D378F">
            <w:pPr>
              <w:spacing w:after="0"/>
              <w:jc w:val="right"/>
              <w:rPr>
                <w:rFonts w:ascii="Times New Roman" w:hAnsi="Times New Roman"/>
                <w:sz w:val="28"/>
                <w:szCs w:val="22"/>
              </w:rPr>
            </w:pPr>
            <w:r w:rsidRPr="000D378F">
              <w:rPr>
                <w:rFonts w:ascii="Times New Roman" w:hAnsi="Times New Roman"/>
                <w:sz w:val="28"/>
                <w:szCs w:val="22"/>
              </w:rPr>
              <w:t>1</w:t>
            </w:r>
            <w:r>
              <w:rPr>
                <w:rFonts w:ascii="Times New Roman" w:hAnsi="Times New Roman"/>
                <w:sz w:val="28"/>
                <w:szCs w:val="22"/>
              </w:rPr>
              <w:t>,</w:t>
            </w:r>
            <w:r w:rsidRPr="000D378F">
              <w:rPr>
                <w:rFonts w:ascii="Times New Roman" w:hAnsi="Times New Roman"/>
                <w:sz w:val="28"/>
                <w:szCs w:val="22"/>
              </w:rPr>
              <w:t>083</w:t>
            </w:r>
          </w:p>
        </w:tc>
      </w:tr>
      <w:tr w:rsidR="000D378F" w:rsidRPr="000D378F" w14:paraId="5C99BFF8" w14:textId="77777777" w:rsidTr="000D378F">
        <w:trPr>
          <w:jc w:val="center"/>
        </w:trPr>
        <w:tc>
          <w:tcPr>
            <w:tcW w:w="0" w:type="auto"/>
            <w:shd w:val="clear" w:color="auto" w:fill="auto"/>
          </w:tcPr>
          <w:p w14:paraId="15778057" w14:textId="77777777" w:rsidR="000D378F" w:rsidRPr="000D378F" w:rsidRDefault="000D378F" w:rsidP="000D378F">
            <w:pPr>
              <w:spacing w:after="0"/>
              <w:jc w:val="both"/>
              <w:rPr>
                <w:rFonts w:ascii="Times New Roman" w:hAnsi="Times New Roman"/>
                <w:sz w:val="28"/>
                <w:szCs w:val="22"/>
              </w:rPr>
            </w:pPr>
            <w:r w:rsidRPr="000D378F">
              <w:rPr>
                <w:rFonts w:ascii="Times New Roman" w:hAnsi="Times New Roman"/>
                <w:sz w:val="28"/>
                <w:szCs w:val="22"/>
              </w:rPr>
              <w:t>El Seibo y Hato Mayor</w:t>
            </w:r>
          </w:p>
        </w:tc>
        <w:tc>
          <w:tcPr>
            <w:tcW w:w="0" w:type="auto"/>
            <w:shd w:val="clear" w:color="auto" w:fill="auto"/>
          </w:tcPr>
          <w:p w14:paraId="24834FD1" w14:textId="7176CA04" w:rsidR="000D378F" w:rsidRPr="000D378F" w:rsidRDefault="000D378F" w:rsidP="000D378F">
            <w:pPr>
              <w:spacing w:after="0"/>
              <w:jc w:val="right"/>
              <w:rPr>
                <w:rFonts w:ascii="Times New Roman" w:hAnsi="Times New Roman"/>
                <w:sz w:val="28"/>
                <w:szCs w:val="22"/>
              </w:rPr>
            </w:pPr>
            <w:r w:rsidRPr="000D378F">
              <w:rPr>
                <w:rFonts w:ascii="Times New Roman" w:hAnsi="Times New Roman"/>
                <w:sz w:val="28"/>
                <w:szCs w:val="22"/>
              </w:rPr>
              <w:t>1</w:t>
            </w:r>
            <w:r>
              <w:rPr>
                <w:rFonts w:ascii="Times New Roman" w:hAnsi="Times New Roman"/>
                <w:sz w:val="28"/>
                <w:szCs w:val="22"/>
              </w:rPr>
              <w:t>,</w:t>
            </w:r>
            <w:r w:rsidRPr="000D378F">
              <w:rPr>
                <w:rFonts w:ascii="Times New Roman" w:hAnsi="Times New Roman"/>
                <w:sz w:val="28"/>
                <w:szCs w:val="22"/>
              </w:rPr>
              <w:t>489</w:t>
            </w:r>
          </w:p>
        </w:tc>
      </w:tr>
      <w:tr w:rsidR="000D378F" w:rsidRPr="000D378F" w14:paraId="5B3EF217" w14:textId="77777777" w:rsidTr="000D378F">
        <w:trPr>
          <w:jc w:val="center"/>
        </w:trPr>
        <w:tc>
          <w:tcPr>
            <w:tcW w:w="0" w:type="auto"/>
            <w:shd w:val="clear" w:color="auto" w:fill="auto"/>
          </w:tcPr>
          <w:p w14:paraId="11666C08" w14:textId="1FDA3FB4" w:rsidR="000D378F" w:rsidRPr="000D378F" w:rsidRDefault="000D378F" w:rsidP="000D378F">
            <w:pPr>
              <w:spacing w:after="0"/>
              <w:jc w:val="both"/>
              <w:rPr>
                <w:rFonts w:ascii="Times New Roman" w:hAnsi="Times New Roman"/>
                <w:sz w:val="28"/>
                <w:szCs w:val="22"/>
              </w:rPr>
            </w:pPr>
            <w:r w:rsidRPr="000D378F">
              <w:rPr>
                <w:rFonts w:ascii="Times New Roman" w:hAnsi="Times New Roman"/>
                <w:sz w:val="28"/>
                <w:szCs w:val="22"/>
              </w:rPr>
              <w:t>M</w:t>
            </w:r>
            <w:r>
              <w:rPr>
                <w:rFonts w:ascii="Times New Roman" w:hAnsi="Times New Roman"/>
                <w:sz w:val="28"/>
                <w:szCs w:val="22"/>
              </w:rPr>
              <w:t>a</w:t>
            </w:r>
            <w:r w:rsidRPr="000D378F">
              <w:rPr>
                <w:rFonts w:ascii="Times New Roman" w:hAnsi="Times New Roman"/>
                <w:sz w:val="28"/>
                <w:szCs w:val="22"/>
              </w:rPr>
              <w:t>. T</w:t>
            </w:r>
            <w:r>
              <w:rPr>
                <w:rFonts w:ascii="Times New Roman" w:hAnsi="Times New Roman"/>
                <w:sz w:val="28"/>
                <w:szCs w:val="22"/>
              </w:rPr>
              <w:t>rinidad</w:t>
            </w:r>
            <w:r w:rsidRPr="000D378F">
              <w:rPr>
                <w:rFonts w:ascii="Times New Roman" w:hAnsi="Times New Roman"/>
                <w:sz w:val="28"/>
                <w:szCs w:val="22"/>
              </w:rPr>
              <w:t xml:space="preserve"> Sánchez y Espaillat</w:t>
            </w:r>
          </w:p>
        </w:tc>
        <w:tc>
          <w:tcPr>
            <w:tcW w:w="0" w:type="auto"/>
            <w:shd w:val="clear" w:color="auto" w:fill="auto"/>
          </w:tcPr>
          <w:p w14:paraId="214B27B4" w14:textId="04BCDC82" w:rsidR="000D378F" w:rsidRPr="000D378F" w:rsidRDefault="000D378F" w:rsidP="000D378F">
            <w:pPr>
              <w:spacing w:after="0"/>
              <w:jc w:val="right"/>
              <w:rPr>
                <w:rFonts w:ascii="Times New Roman" w:hAnsi="Times New Roman"/>
                <w:sz w:val="28"/>
                <w:szCs w:val="22"/>
              </w:rPr>
            </w:pPr>
            <w:r w:rsidRPr="000D378F">
              <w:rPr>
                <w:rFonts w:ascii="Times New Roman" w:hAnsi="Times New Roman"/>
                <w:sz w:val="28"/>
                <w:szCs w:val="22"/>
              </w:rPr>
              <w:t>1</w:t>
            </w:r>
            <w:r>
              <w:rPr>
                <w:rFonts w:ascii="Times New Roman" w:hAnsi="Times New Roman"/>
                <w:sz w:val="28"/>
                <w:szCs w:val="22"/>
              </w:rPr>
              <w:t>,</w:t>
            </w:r>
            <w:r w:rsidRPr="000D378F">
              <w:rPr>
                <w:rFonts w:ascii="Times New Roman" w:hAnsi="Times New Roman"/>
                <w:sz w:val="28"/>
                <w:szCs w:val="22"/>
              </w:rPr>
              <w:t>875</w:t>
            </w:r>
          </w:p>
        </w:tc>
      </w:tr>
      <w:tr w:rsidR="000D378F" w:rsidRPr="000D378F" w14:paraId="0FC44EC9" w14:textId="77777777" w:rsidTr="000D378F">
        <w:trPr>
          <w:trHeight w:val="360"/>
          <w:jc w:val="center"/>
        </w:trPr>
        <w:tc>
          <w:tcPr>
            <w:tcW w:w="0" w:type="auto"/>
            <w:shd w:val="clear" w:color="auto" w:fill="auto"/>
          </w:tcPr>
          <w:p w14:paraId="0871B5EA" w14:textId="05661E4A" w:rsidR="000D378F" w:rsidRPr="000D378F" w:rsidRDefault="000D378F" w:rsidP="000D378F">
            <w:pPr>
              <w:spacing w:after="0"/>
              <w:jc w:val="both"/>
              <w:rPr>
                <w:rFonts w:ascii="Times New Roman" w:hAnsi="Times New Roman"/>
                <w:sz w:val="28"/>
                <w:szCs w:val="22"/>
              </w:rPr>
            </w:pPr>
            <w:r w:rsidRPr="000D378F">
              <w:rPr>
                <w:rFonts w:ascii="Times New Roman" w:hAnsi="Times New Roman"/>
                <w:sz w:val="28"/>
                <w:szCs w:val="22"/>
              </w:rPr>
              <w:t>Sa</w:t>
            </w:r>
            <w:r>
              <w:rPr>
                <w:rFonts w:ascii="Times New Roman" w:hAnsi="Times New Roman"/>
                <w:sz w:val="28"/>
                <w:szCs w:val="22"/>
              </w:rPr>
              <w:t>n Pedro-La Romana-La Altagracia</w:t>
            </w:r>
          </w:p>
        </w:tc>
        <w:tc>
          <w:tcPr>
            <w:tcW w:w="0" w:type="auto"/>
            <w:shd w:val="clear" w:color="auto" w:fill="auto"/>
          </w:tcPr>
          <w:p w14:paraId="32235017" w14:textId="6837CD0C" w:rsidR="000D378F" w:rsidRPr="000D378F" w:rsidRDefault="000D378F" w:rsidP="000D378F">
            <w:pPr>
              <w:spacing w:after="0"/>
              <w:jc w:val="right"/>
              <w:rPr>
                <w:rFonts w:ascii="Times New Roman" w:hAnsi="Times New Roman"/>
                <w:sz w:val="28"/>
                <w:szCs w:val="22"/>
              </w:rPr>
            </w:pPr>
            <w:r w:rsidRPr="000D378F">
              <w:rPr>
                <w:rFonts w:ascii="Times New Roman" w:hAnsi="Times New Roman"/>
                <w:sz w:val="28"/>
                <w:szCs w:val="22"/>
              </w:rPr>
              <w:t>1</w:t>
            </w:r>
            <w:r>
              <w:rPr>
                <w:rFonts w:ascii="Times New Roman" w:hAnsi="Times New Roman"/>
                <w:sz w:val="28"/>
                <w:szCs w:val="22"/>
              </w:rPr>
              <w:t>,363</w:t>
            </w:r>
          </w:p>
        </w:tc>
      </w:tr>
      <w:tr w:rsidR="000D378F" w:rsidRPr="000D378F" w14:paraId="4F313D91" w14:textId="77777777" w:rsidTr="000D378F">
        <w:trPr>
          <w:trHeight w:val="360"/>
          <w:jc w:val="center"/>
        </w:trPr>
        <w:tc>
          <w:tcPr>
            <w:tcW w:w="0" w:type="auto"/>
            <w:shd w:val="clear" w:color="auto" w:fill="auto"/>
          </w:tcPr>
          <w:p w14:paraId="230192F1" w14:textId="420AF0CE" w:rsidR="000D378F" w:rsidRPr="000D378F" w:rsidRDefault="000D378F" w:rsidP="000D378F">
            <w:pPr>
              <w:spacing w:after="0"/>
              <w:jc w:val="both"/>
              <w:rPr>
                <w:rFonts w:ascii="Times New Roman" w:hAnsi="Times New Roman"/>
                <w:sz w:val="28"/>
                <w:szCs w:val="22"/>
              </w:rPr>
            </w:pPr>
            <w:r w:rsidRPr="000D378F">
              <w:rPr>
                <w:rFonts w:ascii="Times New Roman" w:hAnsi="Times New Roman"/>
                <w:sz w:val="28"/>
                <w:szCs w:val="22"/>
              </w:rPr>
              <w:t>Montecristi</w:t>
            </w:r>
          </w:p>
        </w:tc>
        <w:tc>
          <w:tcPr>
            <w:tcW w:w="0" w:type="auto"/>
            <w:shd w:val="clear" w:color="auto" w:fill="auto"/>
          </w:tcPr>
          <w:p w14:paraId="0E6EE419" w14:textId="6C6EEBDB" w:rsidR="000D378F" w:rsidRPr="000D378F" w:rsidRDefault="000D378F" w:rsidP="000D378F">
            <w:pPr>
              <w:spacing w:after="0"/>
              <w:jc w:val="right"/>
              <w:rPr>
                <w:rFonts w:ascii="Times New Roman" w:hAnsi="Times New Roman"/>
                <w:sz w:val="28"/>
                <w:szCs w:val="22"/>
              </w:rPr>
            </w:pPr>
            <w:r>
              <w:rPr>
                <w:rFonts w:ascii="Times New Roman" w:hAnsi="Times New Roman"/>
                <w:sz w:val="28"/>
                <w:szCs w:val="22"/>
              </w:rPr>
              <w:t>851</w:t>
            </w:r>
          </w:p>
        </w:tc>
      </w:tr>
      <w:tr w:rsidR="000D378F" w:rsidRPr="000D378F" w14:paraId="42E212D3" w14:textId="77777777" w:rsidTr="000D378F">
        <w:trPr>
          <w:trHeight w:val="360"/>
          <w:jc w:val="center"/>
        </w:trPr>
        <w:tc>
          <w:tcPr>
            <w:tcW w:w="0" w:type="auto"/>
            <w:shd w:val="clear" w:color="auto" w:fill="auto"/>
          </w:tcPr>
          <w:p w14:paraId="5723CFB4" w14:textId="08B93F58" w:rsidR="000D378F" w:rsidRPr="000D378F" w:rsidRDefault="000D378F" w:rsidP="000D378F">
            <w:pPr>
              <w:spacing w:after="0"/>
              <w:jc w:val="both"/>
              <w:rPr>
                <w:rFonts w:ascii="Times New Roman" w:hAnsi="Times New Roman"/>
                <w:sz w:val="28"/>
                <w:szCs w:val="22"/>
              </w:rPr>
            </w:pPr>
            <w:r>
              <w:rPr>
                <w:rFonts w:ascii="Times New Roman" w:hAnsi="Times New Roman"/>
                <w:sz w:val="28"/>
                <w:szCs w:val="22"/>
              </w:rPr>
              <w:t>Puerto Plata</w:t>
            </w:r>
          </w:p>
        </w:tc>
        <w:tc>
          <w:tcPr>
            <w:tcW w:w="0" w:type="auto"/>
            <w:shd w:val="clear" w:color="auto" w:fill="auto"/>
          </w:tcPr>
          <w:p w14:paraId="2D8ADA36" w14:textId="20829717" w:rsidR="000D378F" w:rsidRPr="000D378F" w:rsidRDefault="000D378F" w:rsidP="000D378F">
            <w:pPr>
              <w:spacing w:after="0"/>
              <w:jc w:val="right"/>
              <w:rPr>
                <w:rFonts w:ascii="Times New Roman" w:hAnsi="Times New Roman"/>
                <w:sz w:val="28"/>
                <w:szCs w:val="22"/>
              </w:rPr>
            </w:pPr>
            <w:r w:rsidRPr="000D378F">
              <w:rPr>
                <w:rFonts w:ascii="Times New Roman" w:hAnsi="Times New Roman"/>
                <w:sz w:val="28"/>
                <w:szCs w:val="22"/>
              </w:rPr>
              <w:t>2</w:t>
            </w:r>
            <w:r>
              <w:rPr>
                <w:rFonts w:ascii="Times New Roman" w:hAnsi="Times New Roman"/>
                <w:sz w:val="28"/>
                <w:szCs w:val="22"/>
              </w:rPr>
              <w:t>,637</w:t>
            </w:r>
          </w:p>
        </w:tc>
      </w:tr>
      <w:tr w:rsidR="000D378F" w:rsidRPr="000D378F" w14:paraId="1C057AC3" w14:textId="77777777" w:rsidTr="000D378F">
        <w:trPr>
          <w:trHeight w:val="360"/>
          <w:jc w:val="center"/>
        </w:trPr>
        <w:tc>
          <w:tcPr>
            <w:tcW w:w="0" w:type="auto"/>
            <w:shd w:val="clear" w:color="auto" w:fill="auto"/>
          </w:tcPr>
          <w:p w14:paraId="28434A65" w14:textId="1AB2EAD7" w:rsidR="000D378F" w:rsidRPr="000D378F" w:rsidRDefault="000D378F" w:rsidP="000D378F">
            <w:pPr>
              <w:spacing w:after="0"/>
              <w:jc w:val="both"/>
              <w:rPr>
                <w:rFonts w:ascii="Times New Roman" w:hAnsi="Times New Roman"/>
                <w:sz w:val="28"/>
                <w:szCs w:val="22"/>
              </w:rPr>
            </w:pPr>
            <w:r w:rsidRPr="000D378F">
              <w:rPr>
                <w:rFonts w:ascii="Times New Roman" w:hAnsi="Times New Roman"/>
                <w:sz w:val="28"/>
                <w:szCs w:val="22"/>
              </w:rPr>
              <w:t>Samaná</w:t>
            </w:r>
          </w:p>
        </w:tc>
        <w:tc>
          <w:tcPr>
            <w:tcW w:w="0" w:type="auto"/>
            <w:shd w:val="clear" w:color="auto" w:fill="auto"/>
          </w:tcPr>
          <w:p w14:paraId="3889DD8F" w14:textId="4153ECC3" w:rsidR="000D378F" w:rsidRPr="000D378F" w:rsidRDefault="000D378F" w:rsidP="000D378F">
            <w:pPr>
              <w:spacing w:after="0"/>
              <w:jc w:val="right"/>
              <w:rPr>
                <w:rFonts w:ascii="Times New Roman" w:hAnsi="Times New Roman"/>
                <w:sz w:val="28"/>
                <w:szCs w:val="22"/>
              </w:rPr>
            </w:pPr>
            <w:r w:rsidRPr="000D378F">
              <w:rPr>
                <w:rFonts w:ascii="Times New Roman" w:hAnsi="Times New Roman"/>
                <w:sz w:val="28"/>
                <w:szCs w:val="22"/>
              </w:rPr>
              <w:t>3</w:t>
            </w:r>
            <w:r>
              <w:rPr>
                <w:rFonts w:ascii="Times New Roman" w:hAnsi="Times New Roman"/>
                <w:sz w:val="28"/>
                <w:szCs w:val="22"/>
              </w:rPr>
              <w:t>,</w:t>
            </w:r>
            <w:r w:rsidRPr="000D378F">
              <w:rPr>
                <w:rFonts w:ascii="Times New Roman" w:hAnsi="Times New Roman"/>
                <w:sz w:val="28"/>
                <w:szCs w:val="22"/>
              </w:rPr>
              <w:t>402</w:t>
            </w:r>
          </w:p>
        </w:tc>
      </w:tr>
      <w:tr w:rsidR="000D378F" w:rsidRPr="000D378F" w14:paraId="298CC7F3" w14:textId="77777777" w:rsidTr="000D378F">
        <w:trPr>
          <w:jc w:val="center"/>
        </w:trPr>
        <w:tc>
          <w:tcPr>
            <w:tcW w:w="0" w:type="auto"/>
            <w:shd w:val="clear" w:color="auto" w:fill="808080" w:themeFill="background1" w:themeFillShade="80"/>
          </w:tcPr>
          <w:p w14:paraId="75F8EDE2" w14:textId="77777777" w:rsidR="000D378F" w:rsidRPr="000D378F" w:rsidRDefault="000D378F" w:rsidP="000D378F">
            <w:pPr>
              <w:spacing w:after="0"/>
              <w:jc w:val="both"/>
              <w:rPr>
                <w:rFonts w:ascii="Times New Roman" w:hAnsi="Times New Roman"/>
                <w:b/>
                <w:color w:val="FFFFFF" w:themeColor="background1"/>
                <w:sz w:val="28"/>
                <w:szCs w:val="22"/>
              </w:rPr>
            </w:pPr>
            <w:r w:rsidRPr="000D378F">
              <w:rPr>
                <w:rFonts w:ascii="Times New Roman" w:hAnsi="Times New Roman"/>
                <w:b/>
                <w:color w:val="FFFFFF" w:themeColor="background1"/>
                <w:sz w:val="28"/>
                <w:szCs w:val="22"/>
              </w:rPr>
              <w:t>Total censado</w:t>
            </w:r>
          </w:p>
        </w:tc>
        <w:tc>
          <w:tcPr>
            <w:tcW w:w="0" w:type="auto"/>
            <w:shd w:val="clear" w:color="auto" w:fill="808080" w:themeFill="background1" w:themeFillShade="80"/>
          </w:tcPr>
          <w:p w14:paraId="69CAF102" w14:textId="77777777" w:rsidR="000D378F" w:rsidRPr="000D378F" w:rsidRDefault="000D378F" w:rsidP="000D378F">
            <w:pPr>
              <w:spacing w:after="0"/>
              <w:jc w:val="right"/>
              <w:rPr>
                <w:rFonts w:ascii="Times New Roman" w:hAnsi="Times New Roman"/>
                <w:b/>
                <w:color w:val="FFFFFF" w:themeColor="background1"/>
                <w:sz w:val="28"/>
                <w:szCs w:val="22"/>
              </w:rPr>
            </w:pPr>
            <w:r w:rsidRPr="000D378F">
              <w:rPr>
                <w:rFonts w:ascii="Times New Roman" w:hAnsi="Times New Roman"/>
                <w:b/>
                <w:color w:val="FFFFFF" w:themeColor="background1"/>
                <w:sz w:val="28"/>
                <w:szCs w:val="22"/>
              </w:rPr>
              <w:t>14,402</w:t>
            </w:r>
          </w:p>
        </w:tc>
      </w:tr>
    </w:tbl>
    <w:p w14:paraId="0EC82B08" w14:textId="3C030280" w:rsidR="000D378F" w:rsidRDefault="000D378F" w:rsidP="002B5D68">
      <w:pPr>
        <w:spacing w:after="0" w:line="480" w:lineRule="auto"/>
        <w:ind w:firstLine="720"/>
        <w:jc w:val="both"/>
        <w:rPr>
          <w:rFonts w:ascii="Times New Roman" w:hAnsi="Times New Roman"/>
          <w:color w:val="000000" w:themeColor="text1"/>
        </w:rPr>
      </w:pPr>
    </w:p>
    <w:p w14:paraId="5A83AD5C" w14:textId="439A955F" w:rsidR="006C4609" w:rsidRPr="006C4609" w:rsidRDefault="006C4609" w:rsidP="006C4609">
      <w:pPr>
        <w:pStyle w:val="Ttulo3"/>
      </w:pPr>
      <w:bookmarkStart w:id="225" w:name="_Toc27146782"/>
      <w:r w:rsidRPr="006C4609">
        <w:t>Realización del inventario nacional de aves, gallinas ponedoras y reproductivas livianas</w:t>
      </w:r>
      <w:bookmarkEnd w:id="225"/>
    </w:p>
    <w:p w14:paraId="1B3B450B" w14:textId="0836E3DC" w:rsidR="006C4609" w:rsidRDefault="006C4609" w:rsidP="006C4609">
      <w:pPr>
        <w:spacing w:after="0" w:line="480" w:lineRule="auto"/>
        <w:ind w:firstLine="720"/>
        <w:jc w:val="both"/>
        <w:rPr>
          <w:rFonts w:ascii="Times New Roman" w:hAnsi="Times New Roman"/>
          <w:color w:val="000000" w:themeColor="text1"/>
          <w:lang w:val="es-ES_tradnl"/>
        </w:rPr>
      </w:pPr>
      <w:r>
        <w:rPr>
          <w:rFonts w:ascii="Times New Roman" w:hAnsi="Times New Roman"/>
          <w:color w:val="000000" w:themeColor="text1"/>
          <w:lang w:val="es-ES_tradnl"/>
        </w:rPr>
        <w:t xml:space="preserve">Durante el mes de enero de 2019, </w:t>
      </w:r>
      <w:r w:rsidRPr="006C4609">
        <w:rPr>
          <w:rFonts w:ascii="Times New Roman" w:hAnsi="Times New Roman"/>
          <w:color w:val="000000" w:themeColor="text1"/>
          <w:lang w:val="es-ES_tradnl"/>
        </w:rPr>
        <w:t>Se dio a conocer a las autoridades del Sector Agropecuario, a productores y público en general, el inventario de reproductoras livianas y gallinas ponedoras, realizado en todo el país</w:t>
      </w:r>
      <w:r>
        <w:rPr>
          <w:rFonts w:ascii="Times New Roman" w:hAnsi="Times New Roman"/>
          <w:color w:val="000000" w:themeColor="text1"/>
          <w:lang w:val="es-ES_tradnl"/>
        </w:rPr>
        <w:t xml:space="preserve"> durante los meses de octubre-</w:t>
      </w:r>
      <w:r w:rsidRPr="006C4609">
        <w:rPr>
          <w:rFonts w:ascii="Times New Roman" w:hAnsi="Times New Roman"/>
          <w:color w:val="000000" w:themeColor="text1"/>
          <w:lang w:val="es-ES_tradnl"/>
        </w:rPr>
        <w:t xml:space="preserve">noviembre del 2018. </w:t>
      </w:r>
    </w:p>
    <w:p w14:paraId="3CD030DC" w14:textId="77777777" w:rsidR="006C4609" w:rsidRPr="006C4609" w:rsidRDefault="006C4609" w:rsidP="006C4609">
      <w:pPr>
        <w:spacing w:after="0" w:line="480" w:lineRule="auto"/>
        <w:ind w:firstLine="720"/>
        <w:jc w:val="both"/>
        <w:rPr>
          <w:rFonts w:ascii="Times New Roman" w:hAnsi="Times New Roman"/>
          <w:color w:val="000000" w:themeColor="text1"/>
          <w:lang w:val="es-ES_tradnl"/>
        </w:rPr>
      </w:pPr>
    </w:p>
    <w:p w14:paraId="4BD4776F" w14:textId="6A669F7C" w:rsidR="006C4609" w:rsidRDefault="006C4609" w:rsidP="006C4609">
      <w:pPr>
        <w:spacing w:after="0" w:line="480" w:lineRule="auto"/>
        <w:ind w:firstLine="720"/>
        <w:jc w:val="both"/>
        <w:rPr>
          <w:rFonts w:ascii="Times New Roman" w:hAnsi="Times New Roman"/>
          <w:color w:val="000000" w:themeColor="text1"/>
          <w:lang w:val="es-ES_tradnl"/>
        </w:rPr>
      </w:pPr>
      <w:r>
        <w:rPr>
          <w:rFonts w:ascii="Times New Roman" w:hAnsi="Times New Roman"/>
          <w:color w:val="000000" w:themeColor="text1"/>
          <w:lang w:val="es-ES_tradnl"/>
        </w:rPr>
        <w:t xml:space="preserve">El </w:t>
      </w:r>
      <w:r w:rsidRPr="006C4609">
        <w:rPr>
          <w:rFonts w:ascii="Times New Roman" w:hAnsi="Times New Roman"/>
          <w:color w:val="000000" w:themeColor="text1"/>
          <w:lang w:val="es-ES_tradnl"/>
        </w:rPr>
        <w:t>inventario arrojó la cantidad de 63</w:t>
      </w:r>
      <w:r>
        <w:rPr>
          <w:rFonts w:ascii="Times New Roman" w:hAnsi="Times New Roman"/>
          <w:color w:val="000000" w:themeColor="text1"/>
          <w:lang w:val="es-ES_tradnl"/>
        </w:rPr>
        <w:t>,281</w:t>
      </w:r>
      <w:r w:rsidRPr="006C4609">
        <w:rPr>
          <w:rFonts w:ascii="Times New Roman" w:hAnsi="Times New Roman"/>
          <w:color w:val="000000" w:themeColor="text1"/>
          <w:lang w:val="es-ES_tradnl"/>
        </w:rPr>
        <w:t xml:space="preserve"> gallinas reproductoras en pro</w:t>
      </w:r>
      <w:r>
        <w:rPr>
          <w:rFonts w:ascii="Times New Roman" w:hAnsi="Times New Roman"/>
          <w:color w:val="000000" w:themeColor="text1"/>
          <w:lang w:val="es-ES_tradnl"/>
        </w:rPr>
        <w:t>ducción de una población de 108,911 unidades, administradas</w:t>
      </w:r>
      <w:r w:rsidRPr="006C4609">
        <w:rPr>
          <w:rFonts w:ascii="Times New Roman" w:hAnsi="Times New Roman"/>
          <w:color w:val="000000" w:themeColor="text1"/>
          <w:lang w:val="es-ES_tradnl"/>
        </w:rPr>
        <w:t xml:space="preserve"> por 18 empresas </w:t>
      </w:r>
      <w:r w:rsidRPr="006C4609">
        <w:rPr>
          <w:rFonts w:ascii="Times New Roman" w:hAnsi="Times New Roman"/>
          <w:color w:val="000000" w:themeColor="text1"/>
          <w:lang w:val="es-ES_tradnl"/>
        </w:rPr>
        <w:lastRenderedPageBreak/>
        <w:t xml:space="preserve">en 12 planteles. Mientras que en relación a las gallinas ponedoras </w:t>
      </w:r>
      <w:r>
        <w:rPr>
          <w:rFonts w:ascii="Times New Roman" w:hAnsi="Times New Roman"/>
          <w:color w:val="000000" w:themeColor="text1"/>
          <w:lang w:val="es-ES_tradnl"/>
        </w:rPr>
        <w:t>resultó la cantidad de 7,202,</w:t>
      </w:r>
      <w:r w:rsidRPr="006C4609">
        <w:rPr>
          <w:rFonts w:ascii="Times New Roman" w:hAnsi="Times New Roman"/>
          <w:color w:val="000000" w:themeColor="text1"/>
          <w:lang w:val="es-ES_tradnl"/>
        </w:rPr>
        <w:t>553 unidades de gallinas en producción, las cuales</w:t>
      </w:r>
      <w:r>
        <w:rPr>
          <w:rFonts w:ascii="Times New Roman" w:hAnsi="Times New Roman"/>
          <w:color w:val="000000" w:themeColor="text1"/>
          <w:lang w:val="es-ES_tradnl"/>
        </w:rPr>
        <w:t xml:space="preserve"> producen 6,</w:t>
      </w:r>
      <w:r w:rsidRPr="006C4609">
        <w:rPr>
          <w:rFonts w:ascii="Times New Roman" w:hAnsi="Times New Roman"/>
          <w:color w:val="000000" w:themeColor="text1"/>
          <w:lang w:val="es-ES_tradnl"/>
        </w:rPr>
        <w:t>3</w:t>
      </w:r>
      <w:r>
        <w:rPr>
          <w:rFonts w:ascii="Times New Roman" w:hAnsi="Times New Roman"/>
          <w:color w:val="000000" w:themeColor="text1"/>
          <w:lang w:val="es-ES_tradnl"/>
        </w:rPr>
        <w:t>00,</w:t>
      </w:r>
      <w:r w:rsidRPr="006C4609">
        <w:rPr>
          <w:rFonts w:ascii="Times New Roman" w:hAnsi="Times New Roman"/>
          <w:color w:val="000000" w:themeColor="text1"/>
          <w:lang w:val="es-ES_tradnl"/>
        </w:rPr>
        <w:t>334 huevos al día, en la que participan 235 empresas entre pequeñas, medianas y grandes.</w:t>
      </w:r>
    </w:p>
    <w:p w14:paraId="7E0157F2" w14:textId="77777777" w:rsidR="006C4609" w:rsidRPr="006C4609" w:rsidRDefault="006C4609" w:rsidP="006C4609">
      <w:pPr>
        <w:spacing w:after="0" w:line="480" w:lineRule="auto"/>
        <w:ind w:firstLine="720"/>
        <w:jc w:val="both"/>
        <w:rPr>
          <w:rFonts w:ascii="Times New Roman" w:hAnsi="Times New Roman"/>
          <w:color w:val="000000" w:themeColor="text1"/>
          <w:lang w:val="es-ES_tradnl"/>
        </w:rPr>
      </w:pPr>
    </w:p>
    <w:p w14:paraId="30F6BF42" w14:textId="4756930A" w:rsidR="006C4609" w:rsidRPr="006C4609" w:rsidRDefault="006C4609" w:rsidP="006C4609">
      <w:pPr>
        <w:spacing w:after="0" w:line="480" w:lineRule="auto"/>
        <w:ind w:firstLine="720"/>
        <w:jc w:val="both"/>
        <w:rPr>
          <w:rFonts w:ascii="Times New Roman" w:hAnsi="Times New Roman"/>
          <w:color w:val="000000" w:themeColor="text1"/>
          <w:lang w:val="es-ES_tradnl"/>
        </w:rPr>
      </w:pPr>
      <w:r w:rsidRPr="006C4609">
        <w:rPr>
          <w:rFonts w:ascii="Times New Roman" w:hAnsi="Times New Roman"/>
          <w:color w:val="000000" w:themeColor="text1"/>
          <w:lang w:val="es-ES_tradnl"/>
        </w:rPr>
        <w:t xml:space="preserve">Según los inventarios de los huevos incubados para la producción de las gallinas que realizan cada dos semanas los técnicos del Consejo </w:t>
      </w:r>
      <w:r>
        <w:rPr>
          <w:rFonts w:ascii="Times New Roman" w:hAnsi="Times New Roman"/>
          <w:color w:val="000000" w:themeColor="text1"/>
          <w:lang w:val="es-ES_tradnl"/>
        </w:rPr>
        <w:t xml:space="preserve">Nacional de Producción Pecuaria, </w:t>
      </w:r>
      <w:r w:rsidRPr="006C4609">
        <w:rPr>
          <w:rFonts w:ascii="Times New Roman" w:hAnsi="Times New Roman"/>
          <w:color w:val="000000" w:themeColor="text1"/>
          <w:lang w:val="es-ES_tradnl"/>
        </w:rPr>
        <w:t>CONAPROPE</w:t>
      </w:r>
      <w:r>
        <w:rPr>
          <w:rFonts w:ascii="Times New Roman" w:hAnsi="Times New Roman"/>
          <w:color w:val="000000" w:themeColor="text1"/>
          <w:lang w:val="es-ES_tradnl"/>
        </w:rPr>
        <w:t>,</w:t>
      </w:r>
      <w:r w:rsidRPr="006C4609">
        <w:rPr>
          <w:rFonts w:ascii="Times New Roman" w:hAnsi="Times New Roman"/>
          <w:color w:val="000000" w:themeColor="text1"/>
          <w:lang w:val="es-ES_tradnl"/>
        </w:rPr>
        <w:t xml:space="preserve"> junto a la</w:t>
      </w:r>
      <w:r>
        <w:rPr>
          <w:rFonts w:ascii="Times New Roman" w:hAnsi="Times New Roman"/>
          <w:color w:val="000000" w:themeColor="text1"/>
          <w:lang w:val="es-ES_tradnl"/>
        </w:rPr>
        <w:t xml:space="preserve"> Dirección General de Ganadería,</w:t>
      </w:r>
      <w:r w:rsidRPr="006C4609">
        <w:rPr>
          <w:rFonts w:ascii="Times New Roman" w:hAnsi="Times New Roman"/>
          <w:color w:val="000000" w:themeColor="text1"/>
          <w:lang w:val="es-ES_tradnl"/>
        </w:rPr>
        <w:t xml:space="preserve"> DIGEGA y repr</w:t>
      </w:r>
      <w:r>
        <w:rPr>
          <w:rFonts w:ascii="Times New Roman" w:hAnsi="Times New Roman"/>
          <w:color w:val="000000" w:themeColor="text1"/>
          <w:lang w:val="es-ES_tradnl"/>
        </w:rPr>
        <w:t xml:space="preserve">esentantes del sector avícola, </w:t>
      </w:r>
      <w:r w:rsidRPr="006C4609">
        <w:rPr>
          <w:rFonts w:ascii="Times New Roman" w:hAnsi="Times New Roman"/>
          <w:color w:val="000000" w:themeColor="text1"/>
          <w:lang w:val="es-ES_tradnl"/>
        </w:rPr>
        <w:t>se estima la producción actual de huevos de mesa o consumo por encima de los 210 millones de unidades mensual.</w:t>
      </w:r>
    </w:p>
    <w:p w14:paraId="72C3E092" w14:textId="741D7A2F" w:rsidR="006C4609" w:rsidRPr="006C4609" w:rsidRDefault="006C4609" w:rsidP="002B5D68">
      <w:pPr>
        <w:spacing w:after="0" w:line="480" w:lineRule="auto"/>
        <w:ind w:firstLine="720"/>
        <w:jc w:val="both"/>
        <w:rPr>
          <w:rFonts w:ascii="Times New Roman" w:hAnsi="Times New Roman"/>
          <w:color w:val="000000" w:themeColor="text1"/>
          <w:lang w:val="es-ES"/>
        </w:rPr>
      </w:pPr>
    </w:p>
    <w:p w14:paraId="179C148B" w14:textId="77777777" w:rsidR="00014B28" w:rsidRPr="0098414F" w:rsidRDefault="00014B28" w:rsidP="00CA5792">
      <w:pPr>
        <w:pStyle w:val="Ttulo3"/>
      </w:pPr>
      <w:bookmarkStart w:id="226" w:name="_Toc26292075"/>
      <w:bookmarkStart w:id="227" w:name="_Toc27146783"/>
      <w:r>
        <w:t>Programa de subvenciones a asociaciones sin fines de lucro</w:t>
      </w:r>
      <w:bookmarkEnd w:id="226"/>
      <w:bookmarkEnd w:id="227"/>
    </w:p>
    <w:p w14:paraId="07BF1279" w14:textId="77777777" w:rsidR="004245EB" w:rsidRDefault="004245EB" w:rsidP="00560B2C">
      <w:pPr>
        <w:spacing w:after="0" w:line="480" w:lineRule="auto"/>
        <w:ind w:firstLine="720"/>
        <w:jc w:val="both"/>
        <w:rPr>
          <w:rFonts w:ascii="Times New Roman" w:hAnsi="Times New Roman"/>
          <w:color w:val="000000" w:themeColor="text1"/>
          <w:lang w:val="es-ES_tradnl"/>
        </w:rPr>
      </w:pPr>
    </w:p>
    <w:p w14:paraId="59CCD82F" w14:textId="77777777" w:rsidR="00EF074A" w:rsidRPr="009837AE" w:rsidRDefault="00EF074A" w:rsidP="00560B2C">
      <w:pPr>
        <w:spacing w:after="0" w:line="480" w:lineRule="auto"/>
        <w:ind w:firstLine="720"/>
        <w:jc w:val="both"/>
        <w:rPr>
          <w:rFonts w:ascii="Times New Roman" w:hAnsi="Times New Roman"/>
          <w:color w:val="000000" w:themeColor="text1"/>
          <w:lang w:val="es-ES_tradnl"/>
        </w:rPr>
      </w:pPr>
      <w:r w:rsidRPr="009837AE">
        <w:rPr>
          <w:rFonts w:ascii="Times New Roman" w:hAnsi="Times New Roman"/>
          <w:color w:val="000000" w:themeColor="text1"/>
          <w:lang w:val="es-ES_tradnl"/>
        </w:rPr>
        <w:t xml:space="preserve">En cumplimiento de las disposiciones de la </w:t>
      </w:r>
      <w:r w:rsidR="00560B2C" w:rsidRPr="009837AE">
        <w:rPr>
          <w:rFonts w:ascii="Times New Roman" w:hAnsi="Times New Roman"/>
          <w:color w:val="000000" w:themeColor="text1"/>
          <w:lang w:val="es-ES_tradnl"/>
        </w:rPr>
        <w:t>Ley No. 122-05 sobre Instituciones</w:t>
      </w:r>
      <w:r w:rsidRPr="009837AE">
        <w:rPr>
          <w:rFonts w:ascii="Times New Roman" w:hAnsi="Times New Roman"/>
          <w:color w:val="000000" w:themeColor="text1"/>
          <w:lang w:val="es-ES_tradnl"/>
        </w:rPr>
        <w:t xml:space="preserve"> y Asociaciones</w:t>
      </w:r>
      <w:r w:rsidR="00560B2C" w:rsidRPr="009837AE">
        <w:rPr>
          <w:rFonts w:ascii="Times New Roman" w:hAnsi="Times New Roman"/>
          <w:color w:val="000000" w:themeColor="text1"/>
          <w:lang w:val="es-ES_tradnl"/>
        </w:rPr>
        <w:t xml:space="preserve"> sin Fines de Lucro </w:t>
      </w:r>
      <w:r w:rsidRPr="009837AE">
        <w:rPr>
          <w:rFonts w:ascii="Times New Roman" w:hAnsi="Times New Roman"/>
          <w:color w:val="000000" w:themeColor="text1"/>
          <w:lang w:val="es-ES_tradnl"/>
        </w:rPr>
        <w:t xml:space="preserve">(ASFL) </w:t>
      </w:r>
      <w:r w:rsidR="00560B2C" w:rsidRPr="009837AE">
        <w:rPr>
          <w:rFonts w:ascii="Times New Roman" w:hAnsi="Times New Roman"/>
          <w:color w:val="000000" w:themeColor="text1"/>
          <w:lang w:val="es-ES_tradnl"/>
        </w:rPr>
        <w:t xml:space="preserve">y el Reglamento de Aplicación No. 40-08, entre otras normativas </w:t>
      </w:r>
      <w:r w:rsidR="00D56F82" w:rsidRPr="009837AE">
        <w:rPr>
          <w:rFonts w:ascii="Times New Roman" w:hAnsi="Times New Roman"/>
          <w:color w:val="000000" w:themeColor="text1"/>
          <w:lang w:val="es-ES_tradnl"/>
        </w:rPr>
        <w:t xml:space="preserve">de fomento y la promoción, </w:t>
      </w:r>
      <w:r w:rsidR="00560B2C" w:rsidRPr="009837AE">
        <w:rPr>
          <w:rFonts w:ascii="Times New Roman" w:hAnsi="Times New Roman"/>
          <w:color w:val="000000" w:themeColor="text1"/>
          <w:lang w:val="es-ES_tradnl"/>
        </w:rPr>
        <w:t>regidas por la Dirección General de Impuestos Internos</w:t>
      </w:r>
      <w:r w:rsidRPr="009837AE">
        <w:rPr>
          <w:rFonts w:ascii="Times New Roman" w:hAnsi="Times New Roman"/>
          <w:color w:val="000000" w:themeColor="text1"/>
          <w:lang w:val="es-ES_tradnl"/>
        </w:rPr>
        <w:t xml:space="preserve"> (DGII).</w:t>
      </w:r>
    </w:p>
    <w:p w14:paraId="228E6C0D" w14:textId="77777777" w:rsidR="00EF074A" w:rsidRPr="009837AE" w:rsidRDefault="00EF074A" w:rsidP="00560B2C">
      <w:pPr>
        <w:spacing w:after="0" w:line="480" w:lineRule="auto"/>
        <w:ind w:firstLine="720"/>
        <w:jc w:val="both"/>
        <w:rPr>
          <w:rFonts w:ascii="Times New Roman" w:hAnsi="Times New Roman"/>
          <w:color w:val="000000" w:themeColor="text1"/>
          <w:lang w:val="es-ES_tradnl"/>
        </w:rPr>
      </w:pPr>
    </w:p>
    <w:p w14:paraId="4CD3F48E" w14:textId="32ECAB47" w:rsidR="00014B28" w:rsidRDefault="00EF074A" w:rsidP="00560B2C">
      <w:pPr>
        <w:spacing w:after="0" w:line="480" w:lineRule="auto"/>
        <w:ind w:firstLine="720"/>
        <w:jc w:val="both"/>
        <w:rPr>
          <w:rFonts w:ascii="Times New Roman" w:hAnsi="Times New Roman"/>
          <w:color w:val="000000" w:themeColor="text1"/>
          <w:lang w:val="es-ES_tradnl"/>
        </w:rPr>
      </w:pPr>
      <w:r w:rsidRPr="009837AE">
        <w:rPr>
          <w:rFonts w:ascii="Times New Roman" w:hAnsi="Times New Roman"/>
          <w:color w:val="000000" w:themeColor="text1"/>
          <w:lang w:val="es-ES_tradnl"/>
        </w:rPr>
        <w:t>E</w:t>
      </w:r>
      <w:r w:rsidR="00560B2C" w:rsidRPr="009837AE">
        <w:rPr>
          <w:rFonts w:ascii="Times New Roman" w:hAnsi="Times New Roman"/>
          <w:color w:val="000000" w:themeColor="text1"/>
          <w:lang w:val="es-ES_tradnl"/>
        </w:rPr>
        <w:t>l Ministerio de Agricultura apoya financieramente a las ASFL</w:t>
      </w:r>
      <w:r w:rsidR="007905FE" w:rsidRPr="009837AE">
        <w:rPr>
          <w:rFonts w:ascii="Times New Roman" w:hAnsi="Times New Roman"/>
          <w:color w:val="000000" w:themeColor="text1"/>
          <w:lang w:val="es-ES_tradnl"/>
        </w:rPr>
        <w:t>,</w:t>
      </w:r>
      <w:r w:rsidR="00560B2C" w:rsidRPr="009837AE">
        <w:rPr>
          <w:rFonts w:ascii="Times New Roman" w:hAnsi="Times New Roman"/>
          <w:color w:val="000000" w:themeColor="text1"/>
          <w:lang w:val="es-ES_tradnl"/>
        </w:rPr>
        <w:t xml:space="preserve"> cuyo accionar se alinea con los ejes estratégicos del Ministerio para impulsar la implementación de políticas públicas en el Sector Agropecuario, desarrollando actividades de interés común, así como la ejecución bienes y servicios públicos atendiendo a la población objetivo, pequeños y medianos productores.</w:t>
      </w:r>
    </w:p>
    <w:p w14:paraId="5B1A406C" w14:textId="0E483E9C" w:rsidR="00073148" w:rsidRDefault="004A0E5D" w:rsidP="004A0E5D">
      <w:pPr>
        <w:spacing w:after="0" w:line="480" w:lineRule="auto"/>
        <w:ind w:firstLine="720"/>
        <w:jc w:val="both"/>
        <w:rPr>
          <w:rFonts w:ascii="Times New Roman" w:hAnsi="Times New Roman"/>
          <w:color w:val="000000" w:themeColor="text1"/>
          <w:lang w:val="es-ES_tradnl"/>
        </w:rPr>
      </w:pPr>
      <w:r>
        <w:rPr>
          <w:rFonts w:ascii="Times New Roman" w:hAnsi="Times New Roman"/>
          <w:color w:val="000000" w:themeColor="text1"/>
          <w:lang w:val="es-ES_tradnl"/>
        </w:rPr>
        <w:lastRenderedPageBreak/>
        <w:t>Las Asociaciones Sin Fines de Lucro,</w:t>
      </w:r>
      <w:r w:rsidRPr="004A0E5D">
        <w:rPr>
          <w:rFonts w:ascii="Times New Roman" w:hAnsi="Times New Roman"/>
          <w:color w:val="000000" w:themeColor="text1"/>
          <w:lang w:val="es-ES_tradnl"/>
        </w:rPr>
        <w:t xml:space="preserve"> presentaron sus propuestas presupuestarias para optar por la subvención de fondos </w:t>
      </w:r>
      <w:r>
        <w:rPr>
          <w:rFonts w:ascii="Times New Roman" w:hAnsi="Times New Roman"/>
          <w:color w:val="000000" w:themeColor="text1"/>
          <w:lang w:val="es-ES_tradnl"/>
        </w:rPr>
        <w:t>relacionadas a actividades agropecuarias</w:t>
      </w:r>
      <w:r w:rsidRPr="004A0E5D">
        <w:rPr>
          <w:rFonts w:ascii="Times New Roman" w:hAnsi="Times New Roman"/>
          <w:color w:val="000000" w:themeColor="text1"/>
          <w:lang w:val="es-ES_tradnl"/>
        </w:rPr>
        <w:t xml:space="preserve">, de las cuales 34 asociación fueron aprobadas para transferencia de fondos por un monto total </w:t>
      </w:r>
      <w:r>
        <w:rPr>
          <w:rFonts w:ascii="Times New Roman" w:hAnsi="Times New Roman"/>
          <w:color w:val="000000" w:themeColor="text1"/>
          <w:lang w:val="es-ES_tradnl"/>
        </w:rPr>
        <w:t>de RD$</w:t>
      </w:r>
      <w:r w:rsidRPr="004A0E5D">
        <w:rPr>
          <w:rFonts w:ascii="Times New Roman" w:hAnsi="Times New Roman"/>
          <w:color w:val="000000" w:themeColor="text1"/>
          <w:lang w:val="es-ES_tradnl"/>
        </w:rPr>
        <w:t>81,606,000</w:t>
      </w:r>
      <w:r>
        <w:rPr>
          <w:rFonts w:ascii="Times New Roman" w:hAnsi="Times New Roman"/>
          <w:color w:val="000000" w:themeColor="text1"/>
          <w:lang w:val="es-ES_tradnl"/>
        </w:rPr>
        <w:t>.00</w:t>
      </w:r>
      <w:r w:rsidRPr="004A0E5D">
        <w:rPr>
          <w:rFonts w:ascii="Times New Roman" w:hAnsi="Times New Roman"/>
          <w:color w:val="000000" w:themeColor="text1"/>
          <w:lang w:val="es-ES_tradnl"/>
        </w:rPr>
        <w:t xml:space="preserve"> </w:t>
      </w:r>
      <w:r>
        <w:rPr>
          <w:rFonts w:ascii="Times New Roman" w:hAnsi="Times New Roman"/>
          <w:color w:val="000000" w:themeColor="text1"/>
          <w:lang w:val="es-ES_tradnl"/>
        </w:rPr>
        <w:t>de los cuales se han transferido un monto ascendente a RD$</w:t>
      </w:r>
      <w:r w:rsidRPr="004A0E5D">
        <w:rPr>
          <w:rFonts w:ascii="Times New Roman" w:hAnsi="Times New Roman"/>
          <w:color w:val="000000" w:themeColor="text1"/>
          <w:lang w:val="es-ES_tradnl"/>
        </w:rPr>
        <w:t>74,671,499.98</w:t>
      </w:r>
    </w:p>
    <w:p w14:paraId="3B5637B3" w14:textId="368EFA08" w:rsidR="004A0E5D" w:rsidRDefault="004A0E5D" w:rsidP="004A0E5D">
      <w:pPr>
        <w:spacing w:after="0" w:line="480" w:lineRule="auto"/>
        <w:ind w:firstLine="720"/>
        <w:jc w:val="both"/>
        <w:rPr>
          <w:rFonts w:ascii="Times New Roman" w:hAnsi="Times New Roman"/>
          <w:color w:val="000000" w:themeColor="text1"/>
          <w:lang w:val="es-ES_tradnl"/>
        </w:rPr>
      </w:pPr>
    </w:p>
    <w:p w14:paraId="261ADFA5" w14:textId="0227C4F4" w:rsidR="004A0E5D" w:rsidRDefault="004A0E5D" w:rsidP="004A0E5D">
      <w:pPr>
        <w:spacing w:after="0" w:line="480" w:lineRule="auto"/>
        <w:ind w:firstLine="720"/>
        <w:jc w:val="both"/>
        <w:rPr>
          <w:rFonts w:ascii="Times New Roman" w:hAnsi="Times New Roman"/>
          <w:color w:val="000000" w:themeColor="text1"/>
          <w:lang w:val="es-ES_tradnl"/>
        </w:rPr>
      </w:pPr>
      <w:r>
        <w:rPr>
          <w:rFonts w:ascii="Times New Roman" w:hAnsi="Times New Roman"/>
          <w:color w:val="000000" w:themeColor="text1"/>
          <w:lang w:val="es-ES_tradnl"/>
        </w:rPr>
        <w:t xml:space="preserve">Adicionalmente, se entregaron 10 </w:t>
      </w:r>
      <w:r w:rsidRPr="004A0E5D">
        <w:rPr>
          <w:rFonts w:ascii="Times New Roman" w:hAnsi="Times New Roman"/>
          <w:color w:val="000000" w:themeColor="text1"/>
          <w:lang w:val="es-ES_tradnl"/>
        </w:rPr>
        <w:t>certificaciones provisionales a las asociaciones que solicitaron habilitación y participar en el proceso de subvención presupuestaria</w:t>
      </w:r>
      <w:r>
        <w:rPr>
          <w:rFonts w:ascii="Times New Roman" w:hAnsi="Times New Roman"/>
          <w:color w:val="000000" w:themeColor="text1"/>
          <w:lang w:val="es-ES_tradnl"/>
        </w:rPr>
        <w:t>.</w:t>
      </w:r>
    </w:p>
    <w:p w14:paraId="3C650F2C" w14:textId="77777777" w:rsidR="004A0E5D" w:rsidRDefault="004A0E5D" w:rsidP="004A0E5D">
      <w:pPr>
        <w:spacing w:after="0" w:line="480" w:lineRule="auto"/>
        <w:ind w:firstLine="720"/>
        <w:jc w:val="both"/>
        <w:rPr>
          <w:rFonts w:ascii="Times New Roman" w:hAnsi="Times New Roman"/>
          <w:color w:val="000000" w:themeColor="text1"/>
          <w:lang w:val="es-ES_tradnl"/>
        </w:rPr>
      </w:pPr>
    </w:p>
    <w:p w14:paraId="0F5F4185" w14:textId="77777777" w:rsidR="00530E9A" w:rsidRPr="0098414F" w:rsidRDefault="00B06A62" w:rsidP="00954002">
      <w:pPr>
        <w:pStyle w:val="Ttulo2"/>
      </w:pPr>
      <w:bookmarkStart w:id="228" w:name="_Toc251777831"/>
      <w:bookmarkStart w:id="229" w:name="_Toc254413068"/>
      <w:bookmarkStart w:id="230" w:name="_Toc409040061"/>
      <w:bookmarkStart w:id="231" w:name="_Toc440036686"/>
      <w:bookmarkStart w:id="232" w:name="_Toc470523355"/>
      <w:bookmarkStart w:id="233" w:name="_Toc26292076"/>
      <w:bookmarkStart w:id="234" w:name="_Toc27146784"/>
      <w:r w:rsidRPr="0098414F">
        <w:t xml:space="preserve">b) </w:t>
      </w:r>
      <w:r w:rsidR="00530E9A" w:rsidRPr="0098414F">
        <w:t>Impacto en empresas</w:t>
      </w:r>
      <w:bookmarkEnd w:id="228"/>
      <w:bookmarkEnd w:id="229"/>
      <w:bookmarkEnd w:id="230"/>
      <w:bookmarkEnd w:id="231"/>
      <w:bookmarkEnd w:id="232"/>
      <w:bookmarkEnd w:id="233"/>
      <w:bookmarkEnd w:id="234"/>
    </w:p>
    <w:p w14:paraId="335538A0" w14:textId="77777777" w:rsidR="004A2905" w:rsidRDefault="004A2905" w:rsidP="00390148">
      <w:pPr>
        <w:spacing w:after="0" w:line="480" w:lineRule="auto"/>
        <w:ind w:firstLine="720"/>
        <w:jc w:val="both"/>
        <w:rPr>
          <w:rFonts w:ascii="Times New Roman" w:hAnsi="Times New Roman"/>
          <w:color w:val="000000" w:themeColor="text1"/>
          <w:lang w:val="es-ES_tradnl"/>
        </w:rPr>
      </w:pPr>
    </w:p>
    <w:p w14:paraId="54614BD4" w14:textId="77777777" w:rsidR="00530E9A" w:rsidRPr="000B2598" w:rsidRDefault="00530E9A" w:rsidP="00390148">
      <w:pPr>
        <w:spacing w:after="0" w:line="480" w:lineRule="auto"/>
        <w:ind w:firstLine="720"/>
        <w:jc w:val="both"/>
        <w:rPr>
          <w:rFonts w:ascii="Times New Roman" w:hAnsi="Times New Roman"/>
          <w:color w:val="000000" w:themeColor="text1"/>
          <w:lang w:val="es-ES_tradnl"/>
        </w:rPr>
      </w:pPr>
      <w:r w:rsidRPr="000B2598">
        <w:rPr>
          <w:rFonts w:ascii="Times New Roman" w:hAnsi="Times New Roman"/>
          <w:color w:val="000000" w:themeColor="text1"/>
          <w:lang w:val="es-ES_tradnl"/>
        </w:rPr>
        <w:t>Otras ejecuciones no contempladas en el Plan Operativo, que tuvieron impacto en las empresas</w:t>
      </w:r>
      <w:r w:rsidR="00C710AD" w:rsidRPr="000B2598">
        <w:rPr>
          <w:rFonts w:ascii="Times New Roman" w:hAnsi="Times New Roman"/>
          <w:color w:val="000000" w:themeColor="text1"/>
          <w:lang w:val="es-ES_tradnl"/>
        </w:rPr>
        <w:t>,</w:t>
      </w:r>
      <w:r w:rsidRPr="000B2598">
        <w:rPr>
          <w:rFonts w:ascii="Times New Roman" w:hAnsi="Times New Roman"/>
          <w:color w:val="000000" w:themeColor="text1"/>
          <w:lang w:val="es-ES_tradnl"/>
        </w:rPr>
        <w:t xml:space="preserve"> fueron las siguientes:</w:t>
      </w:r>
    </w:p>
    <w:p w14:paraId="33A6ECEB" w14:textId="77777777" w:rsidR="00697AD0" w:rsidRPr="0098414F" w:rsidRDefault="00697AD0" w:rsidP="00697AD0">
      <w:pPr>
        <w:spacing w:after="0" w:line="360" w:lineRule="auto"/>
        <w:ind w:firstLine="720"/>
        <w:jc w:val="both"/>
        <w:rPr>
          <w:rFonts w:ascii="Times New Roman" w:hAnsi="Times New Roman"/>
          <w:lang w:val="es-ES_tradnl"/>
        </w:rPr>
      </w:pPr>
    </w:p>
    <w:p w14:paraId="25DBB23D" w14:textId="0D5C16E7" w:rsidR="008E5AB6" w:rsidRPr="0098414F" w:rsidRDefault="00DA2EE3" w:rsidP="00CA5792">
      <w:pPr>
        <w:pStyle w:val="Ttulo3"/>
      </w:pPr>
      <w:bookmarkStart w:id="235" w:name="_Toc26292077"/>
      <w:bookmarkStart w:id="236" w:name="_Toc27146785"/>
      <w:r>
        <w:t>Administración de c</w:t>
      </w:r>
      <w:r w:rsidR="008E5AB6" w:rsidRPr="0098414F">
        <w:t>ontingentes arancelarios (Productos de la Rectificación Técnica).</w:t>
      </w:r>
      <w:bookmarkEnd w:id="235"/>
      <w:bookmarkEnd w:id="236"/>
    </w:p>
    <w:p w14:paraId="676A278B" w14:textId="77777777" w:rsidR="004A2905" w:rsidRDefault="004A2905" w:rsidP="00D14D5A">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p>
    <w:p w14:paraId="785190D8" w14:textId="77777777" w:rsidR="00EF074A" w:rsidRPr="002A7822" w:rsidRDefault="00D14D5A" w:rsidP="00D14D5A">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r w:rsidRPr="002A7822">
        <w:rPr>
          <w:rFonts w:ascii="Times New Roman" w:hAnsi="Times New Roman"/>
          <w:color w:val="000000" w:themeColor="text1"/>
          <w:lang w:val="es-ES_tradnl"/>
        </w:rPr>
        <w:t xml:space="preserve">En el marco de la Organización Mundial del Comercio (OMC), el País cuenta con una cartera de mercancías cuyas importaciones pueden ingresar al territorio con aranceles preferenciales y/o tasa cero, pero bajo contingentes arancelarios. </w:t>
      </w:r>
    </w:p>
    <w:p w14:paraId="6C2EA1A2" w14:textId="77777777" w:rsidR="00EF074A" w:rsidRPr="002A7822" w:rsidRDefault="00EF074A" w:rsidP="00D14D5A">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p>
    <w:p w14:paraId="53FBA4BC" w14:textId="12EFA71D" w:rsidR="00B9440F" w:rsidRDefault="00D14D5A" w:rsidP="00D14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r w:rsidRPr="002A7822">
        <w:rPr>
          <w:rFonts w:ascii="Times New Roman" w:hAnsi="Times New Roman"/>
          <w:color w:val="000000" w:themeColor="text1"/>
          <w:lang w:val="es-ES_tradnl"/>
        </w:rPr>
        <w:t xml:space="preserve">A partir del mes de agosto del 2012, mediante el Decreto No. 569-12, se </w:t>
      </w:r>
      <w:bookmarkStart w:id="237" w:name="_GoBack"/>
      <w:bookmarkEnd w:id="237"/>
      <w:r w:rsidRPr="002A7822">
        <w:rPr>
          <w:rFonts w:ascii="Times New Roman" w:hAnsi="Times New Roman"/>
          <w:color w:val="000000" w:themeColor="text1"/>
          <w:lang w:val="es-ES_tradnl"/>
        </w:rPr>
        <w:lastRenderedPageBreak/>
        <w:t xml:space="preserve">dispuso el cambio del método de la administración de los contingentes arancelarios de los productos incluidos en la Rectificación Técnica de la lista XXIII de la </w:t>
      </w:r>
      <w:r w:rsidRPr="002A7822">
        <w:rPr>
          <w:rFonts w:ascii="Times New Roman" w:hAnsi="Times New Roman"/>
          <w:lang w:val="es-ES_tradnl"/>
        </w:rPr>
        <w:t>República Dominicana.</w:t>
      </w:r>
    </w:p>
    <w:p w14:paraId="0EEACBEB" w14:textId="748E733D" w:rsidR="00DA2EE3" w:rsidRDefault="00DA2EE3" w:rsidP="00D14D5A">
      <w:pPr>
        <w:widowControl w:val="0"/>
        <w:tabs>
          <w:tab w:val="left" w:pos="630"/>
        </w:tabs>
        <w:autoSpaceDE w:val="0"/>
        <w:autoSpaceDN w:val="0"/>
        <w:adjustRightInd w:val="0"/>
        <w:spacing w:after="0" w:line="480" w:lineRule="auto"/>
        <w:ind w:firstLine="720"/>
        <w:contextualSpacing/>
        <w:jc w:val="both"/>
        <w:rPr>
          <w:rFonts w:ascii="Times New Roman" w:hAnsi="Times New Roman"/>
          <w:lang w:val="es-ES_tradnl"/>
        </w:rPr>
      </w:pPr>
    </w:p>
    <w:p w14:paraId="03D21894" w14:textId="4817D54C" w:rsidR="00DA2EE3" w:rsidRDefault="00DA2EE3" w:rsidP="00DA2EE3">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r w:rsidRPr="002A7822">
        <w:rPr>
          <w:rFonts w:ascii="Times New Roman" w:hAnsi="Times New Roman"/>
          <w:color w:val="000000" w:themeColor="text1"/>
          <w:lang w:val="es-ES_tradnl"/>
        </w:rPr>
        <w:t xml:space="preserve">En el marco </w:t>
      </w:r>
      <w:r w:rsidR="009C1704" w:rsidRPr="002A7822">
        <w:rPr>
          <w:rFonts w:ascii="Times New Roman" w:hAnsi="Times New Roman"/>
          <w:color w:val="000000" w:themeColor="text1"/>
          <w:lang w:val="es-ES_tradnl"/>
        </w:rPr>
        <w:t>del referido Decreto,</w:t>
      </w:r>
      <w:r w:rsidRPr="002A7822">
        <w:rPr>
          <w:rFonts w:ascii="Times New Roman" w:hAnsi="Times New Roman"/>
          <w:color w:val="000000" w:themeColor="text1"/>
          <w:lang w:val="es-ES_tradnl"/>
        </w:rPr>
        <w:t xml:space="preserve"> se elaboró 8 resoluciones en el periodo enero-octubre 2019, para la colocación en pública subasta de los siguientes productos: cebolla amarilla, cebolla roja, habichuela roja, habichuela negra y ajo. Dichas subastas fueron organizadas por la Bolsa Agroempresarial de la República Dominicana.</w:t>
      </w:r>
    </w:p>
    <w:p w14:paraId="555E9AC7" w14:textId="77777777" w:rsidR="004B3EB6" w:rsidRPr="002A7822" w:rsidRDefault="004B3EB6" w:rsidP="00DA2EE3">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p>
    <w:p w14:paraId="75DB90A1" w14:textId="77777777" w:rsidR="009C1704" w:rsidRPr="002A7822" w:rsidRDefault="009C1704" w:rsidP="001C6B1A">
      <w:pPr>
        <w:pStyle w:val="Prrafodelista"/>
        <w:numPr>
          <w:ilvl w:val="0"/>
          <w:numId w:val="9"/>
        </w:numPr>
        <w:spacing w:after="0" w:line="240" w:lineRule="auto"/>
        <w:ind w:hanging="644"/>
        <w:rPr>
          <w:rFonts w:ascii="Times New Roman" w:hAnsi="Times New Roman"/>
          <w:b/>
          <w:sz w:val="24"/>
          <w:lang w:val="es-ES_tradnl"/>
        </w:rPr>
      </w:pPr>
      <w:r w:rsidRPr="002A7822">
        <w:rPr>
          <w:rFonts w:ascii="Times New Roman" w:hAnsi="Times New Roman"/>
          <w:b/>
          <w:sz w:val="24"/>
          <w:lang w:val="es-ES_tradnl"/>
        </w:rPr>
        <w:t>Productos de contingentes rectificación técnica de la OMC</w:t>
      </w:r>
    </w:p>
    <w:p w14:paraId="0348695A" w14:textId="77777777" w:rsidR="009C1704" w:rsidRPr="002A7822" w:rsidRDefault="009C1704" w:rsidP="009C1704">
      <w:pPr>
        <w:pStyle w:val="Prrafodelista"/>
        <w:spacing w:after="0" w:line="240" w:lineRule="auto"/>
        <w:ind w:left="644"/>
        <w:rPr>
          <w:rFonts w:ascii="Times New Roman" w:hAnsi="Times New Roman"/>
          <w:b/>
          <w:sz w:val="24"/>
          <w:lang w:val="es-ES_tradnl"/>
        </w:rPr>
      </w:pPr>
    </w:p>
    <w:tbl>
      <w:tblPr>
        <w:tblW w:w="95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1"/>
        <w:gridCol w:w="1900"/>
        <w:gridCol w:w="1900"/>
        <w:gridCol w:w="1180"/>
        <w:gridCol w:w="1794"/>
        <w:gridCol w:w="1540"/>
      </w:tblGrid>
      <w:tr w:rsidR="009C1704" w:rsidRPr="002A7822" w14:paraId="0B0E25E7" w14:textId="77777777" w:rsidTr="00F63455">
        <w:trPr>
          <w:trHeight w:val="60"/>
        </w:trPr>
        <w:tc>
          <w:tcPr>
            <w:tcW w:w="1261" w:type="dxa"/>
            <w:shd w:val="clear" w:color="auto" w:fill="00B050"/>
            <w:vAlign w:val="center"/>
            <w:hideMark/>
          </w:tcPr>
          <w:p w14:paraId="0BFE54BA" w14:textId="77777777" w:rsidR="009C1704" w:rsidRPr="002A7822" w:rsidRDefault="009C1704" w:rsidP="00F63455">
            <w:pPr>
              <w:spacing w:after="0"/>
              <w:jc w:val="center"/>
              <w:rPr>
                <w:rFonts w:ascii="Times New Roman" w:hAnsi="Times New Roman"/>
                <w:b/>
                <w:bCs/>
                <w:color w:val="FFFFFF" w:themeColor="background1"/>
                <w:lang w:eastAsia="es-DO"/>
              </w:rPr>
            </w:pPr>
            <w:r w:rsidRPr="002A7822">
              <w:rPr>
                <w:rFonts w:ascii="Times New Roman" w:hAnsi="Times New Roman"/>
                <w:b/>
                <w:bCs/>
                <w:color w:val="FFFFFF" w:themeColor="background1"/>
                <w:lang w:eastAsia="es-DO"/>
              </w:rPr>
              <w:t>Resolución</w:t>
            </w:r>
          </w:p>
        </w:tc>
        <w:tc>
          <w:tcPr>
            <w:tcW w:w="1900" w:type="dxa"/>
            <w:shd w:val="clear" w:color="auto" w:fill="00B050"/>
            <w:vAlign w:val="center"/>
            <w:hideMark/>
          </w:tcPr>
          <w:p w14:paraId="37050B6F" w14:textId="77777777" w:rsidR="009C1704" w:rsidRPr="002A7822" w:rsidRDefault="009C1704" w:rsidP="00F63455">
            <w:pPr>
              <w:spacing w:after="0"/>
              <w:jc w:val="center"/>
              <w:rPr>
                <w:rFonts w:ascii="Times New Roman" w:hAnsi="Times New Roman"/>
                <w:b/>
                <w:bCs/>
                <w:color w:val="FFFFFF" w:themeColor="background1"/>
                <w:lang w:eastAsia="es-DO"/>
              </w:rPr>
            </w:pPr>
            <w:r w:rsidRPr="002A7822">
              <w:rPr>
                <w:rFonts w:ascii="Times New Roman" w:hAnsi="Times New Roman"/>
                <w:b/>
                <w:bCs/>
                <w:color w:val="FFFFFF" w:themeColor="background1"/>
                <w:lang w:eastAsia="es-DO"/>
              </w:rPr>
              <w:t>Producto</w:t>
            </w:r>
          </w:p>
        </w:tc>
        <w:tc>
          <w:tcPr>
            <w:tcW w:w="1900" w:type="dxa"/>
            <w:shd w:val="clear" w:color="auto" w:fill="00B050"/>
            <w:vAlign w:val="center"/>
            <w:hideMark/>
          </w:tcPr>
          <w:p w14:paraId="57948412" w14:textId="77777777" w:rsidR="009C1704" w:rsidRPr="002A7822" w:rsidRDefault="009C1704" w:rsidP="00F63455">
            <w:pPr>
              <w:spacing w:after="0"/>
              <w:jc w:val="center"/>
              <w:rPr>
                <w:rFonts w:ascii="Times New Roman" w:hAnsi="Times New Roman"/>
                <w:b/>
                <w:bCs/>
                <w:color w:val="FFFFFF" w:themeColor="background1"/>
                <w:lang w:eastAsia="es-DO"/>
              </w:rPr>
            </w:pPr>
            <w:r w:rsidRPr="002A7822">
              <w:rPr>
                <w:rFonts w:ascii="Times New Roman" w:hAnsi="Times New Roman"/>
                <w:b/>
                <w:bCs/>
                <w:color w:val="FFFFFF" w:themeColor="background1"/>
                <w:lang w:eastAsia="es-DO"/>
              </w:rPr>
              <w:t>Volumen puesto a disposición (QQs.)</w:t>
            </w:r>
          </w:p>
        </w:tc>
        <w:tc>
          <w:tcPr>
            <w:tcW w:w="1180" w:type="dxa"/>
            <w:shd w:val="clear" w:color="auto" w:fill="00B050"/>
            <w:vAlign w:val="center"/>
            <w:hideMark/>
          </w:tcPr>
          <w:p w14:paraId="779B8086" w14:textId="77777777" w:rsidR="009C1704" w:rsidRPr="002A7822" w:rsidRDefault="009C1704" w:rsidP="00F63455">
            <w:pPr>
              <w:spacing w:after="0"/>
              <w:jc w:val="center"/>
              <w:rPr>
                <w:rFonts w:ascii="Times New Roman" w:hAnsi="Times New Roman"/>
                <w:b/>
                <w:bCs/>
                <w:color w:val="FFFFFF" w:themeColor="background1"/>
                <w:lang w:eastAsia="es-DO"/>
              </w:rPr>
            </w:pPr>
            <w:r w:rsidRPr="002A7822">
              <w:rPr>
                <w:rFonts w:ascii="Times New Roman" w:hAnsi="Times New Roman"/>
                <w:b/>
                <w:bCs/>
                <w:color w:val="FFFFFF" w:themeColor="background1"/>
                <w:lang w:eastAsia="es-DO"/>
              </w:rPr>
              <w:t xml:space="preserve">Volumen </w:t>
            </w:r>
            <w:r w:rsidRPr="002A7822">
              <w:rPr>
                <w:rFonts w:ascii="Times New Roman" w:hAnsi="Times New Roman"/>
                <w:b/>
                <w:bCs/>
                <w:color w:val="FFFFFF" w:themeColor="background1"/>
                <w:lang w:eastAsia="es-DO"/>
              </w:rPr>
              <w:br/>
              <w:t>subastado (QQs.)</w:t>
            </w:r>
          </w:p>
        </w:tc>
        <w:tc>
          <w:tcPr>
            <w:tcW w:w="1794" w:type="dxa"/>
            <w:shd w:val="clear" w:color="auto" w:fill="00B050"/>
            <w:vAlign w:val="center"/>
            <w:hideMark/>
          </w:tcPr>
          <w:p w14:paraId="239E9AA7" w14:textId="77777777" w:rsidR="009C1704" w:rsidRPr="002A7822" w:rsidRDefault="009C1704" w:rsidP="00F63455">
            <w:pPr>
              <w:spacing w:after="0"/>
              <w:jc w:val="center"/>
              <w:rPr>
                <w:rFonts w:ascii="Times New Roman" w:hAnsi="Times New Roman"/>
                <w:b/>
                <w:bCs/>
                <w:color w:val="FFFFFF" w:themeColor="background1"/>
                <w:lang w:eastAsia="es-DO"/>
              </w:rPr>
            </w:pPr>
            <w:r w:rsidRPr="002A7822">
              <w:rPr>
                <w:rFonts w:ascii="Times New Roman" w:hAnsi="Times New Roman"/>
                <w:b/>
                <w:bCs/>
                <w:color w:val="FFFFFF" w:themeColor="background1"/>
                <w:lang w:eastAsia="es-DO"/>
              </w:rPr>
              <w:t>Monto total (RD$)</w:t>
            </w:r>
          </w:p>
        </w:tc>
        <w:tc>
          <w:tcPr>
            <w:tcW w:w="1505" w:type="dxa"/>
            <w:shd w:val="clear" w:color="auto" w:fill="00B050"/>
            <w:vAlign w:val="center"/>
            <w:hideMark/>
          </w:tcPr>
          <w:p w14:paraId="169FC9D1" w14:textId="5BA5B21F" w:rsidR="009C1704" w:rsidRPr="002A7822" w:rsidRDefault="00F63455" w:rsidP="00F63455">
            <w:pPr>
              <w:spacing w:after="0"/>
              <w:jc w:val="center"/>
              <w:rPr>
                <w:rFonts w:ascii="Times New Roman" w:hAnsi="Times New Roman"/>
                <w:b/>
                <w:bCs/>
                <w:color w:val="FFFFFF" w:themeColor="background1"/>
                <w:lang w:eastAsia="es-DO"/>
              </w:rPr>
            </w:pPr>
            <w:r w:rsidRPr="002A7822">
              <w:rPr>
                <w:rFonts w:ascii="Times New Roman" w:hAnsi="Times New Roman"/>
                <w:b/>
                <w:bCs/>
                <w:color w:val="FFFFFF" w:themeColor="background1"/>
                <w:lang w:eastAsia="es-DO"/>
              </w:rPr>
              <w:t>B</w:t>
            </w:r>
            <w:r w:rsidR="009C1704" w:rsidRPr="002A7822">
              <w:rPr>
                <w:rFonts w:ascii="Times New Roman" w:hAnsi="Times New Roman"/>
                <w:b/>
                <w:bCs/>
                <w:color w:val="FFFFFF" w:themeColor="background1"/>
                <w:lang w:eastAsia="es-DO"/>
              </w:rPr>
              <w:t>eneficiario</w:t>
            </w:r>
            <w:r w:rsidR="009C1704" w:rsidRPr="002A7822">
              <w:rPr>
                <w:rStyle w:val="Refdenotaalpie"/>
                <w:rFonts w:ascii="Times New Roman" w:hAnsi="Times New Roman"/>
                <w:b/>
                <w:bCs/>
                <w:color w:val="FFFFFF" w:themeColor="background1"/>
                <w:lang w:eastAsia="es-DO"/>
              </w:rPr>
              <w:footnoteReference w:id="21"/>
            </w:r>
          </w:p>
        </w:tc>
      </w:tr>
      <w:tr w:rsidR="009C1704" w:rsidRPr="002A7822" w14:paraId="65489794" w14:textId="77777777" w:rsidTr="00F63455">
        <w:trPr>
          <w:trHeight w:val="300"/>
        </w:trPr>
        <w:tc>
          <w:tcPr>
            <w:tcW w:w="1261" w:type="dxa"/>
            <w:shd w:val="clear" w:color="auto" w:fill="auto"/>
            <w:noWrap/>
            <w:vAlign w:val="bottom"/>
            <w:hideMark/>
          </w:tcPr>
          <w:p w14:paraId="38D0D3A1" w14:textId="77777777" w:rsidR="009C1704" w:rsidRPr="002A7822" w:rsidRDefault="009C1704" w:rsidP="00F63455">
            <w:pPr>
              <w:jc w:val="center"/>
              <w:rPr>
                <w:rFonts w:ascii="Times New Roman" w:hAnsi="Times New Roman"/>
                <w:color w:val="000000"/>
                <w:lang w:eastAsia="es-DO"/>
              </w:rPr>
            </w:pPr>
            <w:r w:rsidRPr="002A7822">
              <w:rPr>
                <w:rFonts w:ascii="Times New Roman" w:hAnsi="Times New Roman"/>
                <w:color w:val="000000"/>
                <w:lang w:eastAsia="es-DO"/>
              </w:rPr>
              <w:t>1</w:t>
            </w:r>
          </w:p>
        </w:tc>
        <w:tc>
          <w:tcPr>
            <w:tcW w:w="1900" w:type="dxa"/>
            <w:shd w:val="clear" w:color="auto" w:fill="auto"/>
            <w:noWrap/>
            <w:vAlign w:val="bottom"/>
            <w:hideMark/>
          </w:tcPr>
          <w:p w14:paraId="3E53909E" w14:textId="77777777" w:rsidR="009C1704" w:rsidRPr="002A7822" w:rsidRDefault="009C1704" w:rsidP="00F63455">
            <w:pPr>
              <w:jc w:val="center"/>
              <w:rPr>
                <w:rFonts w:ascii="Times New Roman" w:hAnsi="Times New Roman"/>
                <w:color w:val="000000"/>
                <w:lang w:eastAsia="es-DO"/>
              </w:rPr>
            </w:pPr>
            <w:r w:rsidRPr="002A7822">
              <w:rPr>
                <w:rFonts w:ascii="Times New Roman" w:hAnsi="Times New Roman"/>
                <w:color w:val="000000"/>
                <w:lang w:eastAsia="es-DO"/>
              </w:rPr>
              <w:t>Cebolla amarilla</w:t>
            </w:r>
          </w:p>
        </w:tc>
        <w:tc>
          <w:tcPr>
            <w:tcW w:w="1900" w:type="dxa"/>
            <w:shd w:val="clear" w:color="auto" w:fill="auto"/>
            <w:noWrap/>
            <w:vAlign w:val="bottom"/>
            <w:hideMark/>
          </w:tcPr>
          <w:p w14:paraId="26DFE207" w14:textId="77777777" w:rsidR="009C1704" w:rsidRPr="002A7822" w:rsidRDefault="009C1704" w:rsidP="00F63455">
            <w:pPr>
              <w:jc w:val="right"/>
              <w:rPr>
                <w:rFonts w:ascii="Times New Roman" w:hAnsi="Times New Roman"/>
                <w:color w:val="000000"/>
                <w:lang w:eastAsia="es-DO"/>
              </w:rPr>
            </w:pPr>
            <w:r w:rsidRPr="002A7822">
              <w:rPr>
                <w:rFonts w:ascii="Times New Roman" w:hAnsi="Times New Roman"/>
                <w:color w:val="000000"/>
                <w:lang w:eastAsia="es-DO"/>
              </w:rPr>
              <w:t xml:space="preserve">30,000 </w:t>
            </w:r>
          </w:p>
        </w:tc>
        <w:tc>
          <w:tcPr>
            <w:tcW w:w="1180" w:type="dxa"/>
            <w:shd w:val="clear" w:color="auto" w:fill="auto"/>
            <w:noWrap/>
            <w:vAlign w:val="bottom"/>
            <w:hideMark/>
          </w:tcPr>
          <w:p w14:paraId="75EEFE35" w14:textId="77777777" w:rsidR="009C1704" w:rsidRPr="002A7822" w:rsidRDefault="009C1704" w:rsidP="00F63455">
            <w:pPr>
              <w:jc w:val="right"/>
              <w:rPr>
                <w:rFonts w:ascii="Times New Roman" w:hAnsi="Times New Roman"/>
                <w:color w:val="000000"/>
                <w:lang w:eastAsia="es-DO"/>
              </w:rPr>
            </w:pPr>
            <w:r w:rsidRPr="002A7822">
              <w:rPr>
                <w:rFonts w:ascii="Times New Roman" w:hAnsi="Times New Roman"/>
                <w:color w:val="000000"/>
                <w:lang w:eastAsia="es-DO"/>
              </w:rPr>
              <w:t xml:space="preserve">30,000 </w:t>
            </w:r>
          </w:p>
        </w:tc>
        <w:tc>
          <w:tcPr>
            <w:tcW w:w="1794" w:type="dxa"/>
            <w:shd w:val="clear" w:color="auto" w:fill="auto"/>
            <w:noWrap/>
            <w:vAlign w:val="bottom"/>
            <w:hideMark/>
          </w:tcPr>
          <w:p w14:paraId="6C9B2505" w14:textId="77777777" w:rsidR="009C1704" w:rsidRPr="002A7822" w:rsidRDefault="009C1704" w:rsidP="00F63455">
            <w:pPr>
              <w:jc w:val="right"/>
              <w:rPr>
                <w:rFonts w:ascii="Times New Roman" w:hAnsi="Times New Roman"/>
                <w:color w:val="000000"/>
                <w:lang w:eastAsia="es-DO"/>
              </w:rPr>
            </w:pPr>
            <w:r w:rsidRPr="002A7822">
              <w:rPr>
                <w:rFonts w:ascii="Times New Roman" w:hAnsi="Times New Roman"/>
                <w:color w:val="000000"/>
                <w:lang w:eastAsia="es-DO"/>
              </w:rPr>
              <w:t>11,847,465</w:t>
            </w:r>
          </w:p>
        </w:tc>
        <w:tc>
          <w:tcPr>
            <w:tcW w:w="1505" w:type="dxa"/>
            <w:shd w:val="clear" w:color="auto" w:fill="auto"/>
            <w:noWrap/>
            <w:vAlign w:val="bottom"/>
            <w:hideMark/>
          </w:tcPr>
          <w:p w14:paraId="16E83511" w14:textId="77777777" w:rsidR="009C1704" w:rsidRPr="002A7822" w:rsidRDefault="009C1704" w:rsidP="00F63455">
            <w:pPr>
              <w:jc w:val="center"/>
              <w:rPr>
                <w:rFonts w:ascii="Times New Roman" w:hAnsi="Times New Roman"/>
                <w:color w:val="000000"/>
                <w:lang w:eastAsia="es-DO"/>
              </w:rPr>
            </w:pPr>
            <w:r w:rsidRPr="002A7822">
              <w:rPr>
                <w:rFonts w:ascii="Times New Roman" w:hAnsi="Times New Roman"/>
                <w:color w:val="000000"/>
                <w:lang w:eastAsia="es-DO"/>
              </w:rPr>
              <w:t>48</w:t>
            </w:r>
          </w:p>
        </w:tc>
      </w:tr>
      <w:tr w:rsidR="009C1704" w:rsidRPr="002A7822" w14:paraId="5A7156B8" w14:textId="77777777" w:rsidTr="00F63455">
        <w:trPr>
          <w:trHeight w:val="300"/>
        </w:trPr>
        <w:tc>
          <w:tcPr>
            <w:tcW w:w="1261" w:type="dxa"/>
            <w:shd w:val="clear" w:color="auto" w:fill="auto"/>
            <w:noWrap/>
            <w:vAlign w:val="bottom"/>
            <w:hideMark/>
          </w:tcPr>
          <w:p w14:paraId="2CEBF0C5" w14:textId="77777777" w:rsidR="009C1704" w:rsidRPr="002A7822" w:rsidRDefault="009C1704" w:rsidP="00F63455">
            <w:pPr>
              <w:jc w:val="center"/>
              <w:rPr>
                <w:rFonts w:ascii="Times New Roman" w:hAnsi="Times New Roman"/>
                <w:color w:val="000000"/>
                <w:lang w:eastAsia="es-DO"/>
              </w:rPr>
            </w:pPr>
            <w:r w:rsidRPr="002A7822">
              <w:rPr>
                <w:rFonts w:ascii="Times New Roman" w:hAnsi="Times New Roman"/>
                <w:color w:val="000000"/>
                <w:lang w:eastAsia="es-DO"/>
              </w:rPr>
              <w:t>2</w:t>
            </w:r>
          </w:p>
        </w:tc>
        <w:tc>
          <w:tcPr>
            <w:tcW w:w="1900" w:type="dxa"/>
            <w:shd w:val="clear" w:color="auto" w:fill="auto"/>
            <w:noWrap/>
            <w:vAlign w:val="bottom"/>
            <w:hideMark/>
          </w:tcPr>
          <w:p w14:paraId="72806D89" w14:textId="77777777" w:rsidR="009C1704" w:rsidRPr="002A7822" w:rsidRDefault="009C1704" w:rsidP="00F63455">
            <w:pPr>
              <w:jc w:val="center"/>
              <w:rPr>
                <w:rFonts w:ascii="Times New Roman" w:hAnsi="Times New Roman"/>
                <w:color w:val="000000"/>
                <w:lang w:eastAsia="es-DO"/>
              </w:rPr>
            </w:pPr>
            <w:r w:rsidRPr="002A7822">
              <w:rPr>
                <w:rFonts w:ascii="Times New Roman" w:hAnsi="Times New Roman"/>
                <w:color w:val="000000"/>
                <w:lang w:eastAsia="es-DO"/>
              </w:rPr>
              <w:t>Cebolla roja</w:t>
            </w:r>
          </w:p>
        </w:tc>
        <w:tc>
          <w:tcPr>
            <w:tcW w:w="1900" w:type="dxa"/>
            <w:shd w:val="clear" w:color="auto" w:fill="auto"/>
            <w:noWrap/>
            <w:vAlign w:val="bottom"/>
            <w:hideMark/>
          </w:tcPr>
          <w:p w14:paraId="43F714E9" w14:textId="77777777" w:rsidR="009C1704" w:rsidRPr="002A7822" w:rsidRDefault="009C1704" w:rsidP="00F63455">
            <w:pPr>
              <w:jc w:val="right"/>
              <w:rPr>
                <w:rFonts w:ascii="Times New Roman" w:hAnsi="Times New Roman"/>
                <w:color w:val="000000"/>
                <w:lang w:eastAsia="es-DO"/>
              </w:rPr>
            </w:pPr>
            <w:r w:rsidRPr="002A7822">
              <w:rPr>
                <w:rFonts w:ascii="Times New Roman" w:hAnsi="Times New Roman"/>
                <w:color w:val="000000"/>
                <w:lang w:eastAsia="es-DO"/>
              </w:rPr>
              <w:t xml:space="preserve">50,400 </w:t>
            </w:r>
          </w:p>
        </w:tc>
        <w:tc>
          <w:tcPr>
            <w:tcW w:w="1180" w:type="dxa"/>
            <w:shd w:val="clear" w:color="auto" w:fill="auto"/>
            <w:noWrap/>
            <w:vAlign w:val="bottom"/>
            <w:hideMark/>
          </w:tcPr>
          <w:p w14:paraId="78E9F719" w14:textId="77777777" w:rsidR="009C1704" w:rsidRPr="002A7822" w:rsidRDefault="009C1704" w:rsidP="00F63455">
            <w:pPr>
              <w:jc w:val="right"/>
              <w:rPr>
                <w:rFonts w:ascii="Times New Roman" w:hAnsi="Times New Roman"/>
                <w:color w:val="000000"/>
                <w:lang w:eastAsia="es-DO"/>
              </w:rPr>
            </w:pPr>
            <w:r w:rsidRPr="002A7822">
              <w:rPr>
                <w:rFonts w:ascii="Times New Roman" w:hAnsi="Times New Roman"/>
                <w:color w:val="000000"/>
                <w:lang w:eastAsia="es-DO"/>
              </w:rPr>
              <w:t xml:space="preserve">50,400 </w:t>
            </w:r>
          </w:p>
        </w:tc>
        <w:tc>
          <w:tcPr>
            <w:tcW w:w="1794" w:type="dxa"/>
            <w:shd w:val="clear" w:color="000000" w:fill="FFFFFF"/>
            <w:noWrap/>
            <w:vAlign w:val="bottom"/>
            <w:hideMark/>
          </w:tcPr>
          <w:p w14:paraId="42B96CB9" w14:textId="77777777" w:rsidR="009C1704" w:rsidRPr="002A7822" w:rsidRDefault="009C1704" w:rsidP="00F63455">
            <w:pPr>
              <w:jc w:val="right"/>
              <w:rPr>
                <w:rFonts w:ascii="Times New Roman" w:hAnsi="Times New Roman"/>
                <w:color w:val="000000"/>
                <w:lang w:eastAsia="es-DO"/>
              </w:rPr>
            </w:pPr>
            <w:r w:rsidRPr="002A7822">
              <w:rPr>
                <w:rFonts w:ascii="Times New Roman" w:hAnsi="Times New Roman"/>
                <w:color w:val="000000"/>
                <w:lang w:eastAsia="es-DO"/>
              </w:rPr>
              <w:t>45,423,000</w:t>
            </w:r>
          </w:p>
        </w:tc>
        <w:tc>
          <w:tcPr>
            <w:tcW w:w="1505" w:type="dxa"/>
            <w:shd w:val="clear" w:color="auto" w:fill="auto"/>
            <w:noWrap/>
            <w:vAlign w:val="bottom"/>
            <w:hideMark/>
          </w:tcPr>
          <w:p w14:paraId="5E8CCBBF" w14:textId="77777777" w:rsidR="009C1704" w:rsidRPr="002A7822" w:rsidRDefault="009C1704" w:rsidP="00F63455">
            <w:pPr>
              <w:jc w:val="center"/>
              <w:rPr>
                <w:rFonts w:ascii="Times New Roman" w:hAnsi="Times New Roman"/>
                <w:color w:val="000000"/>
                <w:lang w:eastAsia="es-DO"/>
              </w:rPr>
            </w:pPr>
            <w:r w:rsidRPr="002A7822">
              <w:rPr>
                <w:rFonts w:ascii="Times New Roman" w:hAnsi="Times New Roman"/>
                <w:color w:val="000000"/>
                <w:lang w:eastAsia="es-DO"/>
              </w:rPr>
              <w:t>44</w:t>
            </w:r>
          </w:p>
        </w:tc>
      </w:tr>
      <w:tr w:rsidR="009C1704" w:rsidRPr="002A7822" w14:paraId="727F9BDD" w14:textId="77777777" w:rsidTr="00F63455">
        <w:trPr>
          <w:trHeight w:val="300"/>
        </w:trPr>
        <w:tc>
          <w:tcPr>
            <w:tcW w:w="1261" w:type="dxa"/>
            <w:shd w:val="clear" w:color="auto" w:fill="auto"/>
            <w:noWrap/>
            <w:vAlign w:val="bottom"/>
            <w:hideMark/>
          </w:tcPr>
          <w:p w14:paraId="4918C61B" w14:textId="77777777" w:rsidR="009C1704" w:rsidRPr="002A7822" w:rsidRDefault="009C1704" w:rsidP="00F63455">
            <w:pPr>
              <w:jc w:val="center"/>
              <w:rPr>
                <w:rFonts w:ascii="Times New Roman" w:hAnsi="Times New Roman"/>
                <w:color w:val="000000"/>
                <w:lang w:eastAsia="es-DO"/>
              </w:rPr>
            </w:pPr>
            <w:r w:rsidRPr="002A7822">
              <w:rPr>
                <w:rFonts w:ascii="Times New Roman" w:hAnsi="Times New Roman"/>
                <w:color w:val="000000"/>
                <w:lang w:eastAsia="es-DO"/>
              </w:rPr>
              <w:t>5</w:t>
            </w:r>
          </w:p>
        </w:tc>
        <w:tc>
          <w:tcPr>
            <w:tcW w:w="1900" w:type="dxa"/>
            <w:shd w:val="clear" w:color="auto" w:fill="auto"/>
            <w:noWrap/>
            <w:vAlign w:val="bottom"/>
            <w:hideMark/>
          </w:tcPr>
          <w:p w14:paraId="5674DDE9" w14:textId="77777777" w:rsidR="009C1704" w:rsidRPr="002A7822" w:rsidRDefault="009C1704" w:rsidP="00F63455">
            <w:pPr>
              <w:jc w:val="center"/>
              <w:rPr>
                <w:rFonts w:ascii="Times New Roman" w:hAnsi="Times New Roman"/>
                <w:color w:val="000000"/>
                <w:lang w:eastAsia="es-DO"/>
              </w:rPr>
            </w:pPr>
            <w:r w:rsidRPr="002A7822">
              <w:rPr>
                <w:rFonts w:ascii="Times New Roman" w:hAnsi="Times New Roman"/>
                <w:color w:val="000000"/>
                <w:lang w:eastAsia="es-DO"/>
              </w:rPr>
              <w:t>Ajo</w:t>
            </w:r>
          </w:p>
        </w:tc>
        <w:tc>
          <w:tcPr>
            <w:tcW w:w="1900" w:type="dxa"/>
            <w:shd w:val="clear" w:color="auto" w:fill="auto"/>
            <w:noWrap/>
            <w:vAlign w:val="bottom"/>
            <w:hideMark/>
          </w:tcPr>
          <w:p w14:paraId="5C722742" w14:textId="77777777" w:rsidR="009C1704" w:rsidRPr="002A7822" w:rsidRDefault="009C1704" w:rsidP="00F63455">
            <w:pPr>
              <w:jc w:val="right"/>
              <w:rPr>
                <w:rFonts w:ascii="Times New Roman" w:hAnsi="Times New Roman"/>
                <w:color w:val="000000"/>
                <w:lang w:eastAsia="es-DO"/>
              </w:rPr>
            </w:pPr>
            <w:r w:rsidRPr="002A7822">
              <w:rPr>
                <w:rFonts w:ascii="Times New Roman" w:hAnsi="Times New Roman"/>
                <w:color w:val="000000"/>
                <w:lang w:eastAsia="es-DO"/>
              </w:rPr>
              <w:t xml:space="preserve">150,304 </w:t>
            </w:r>
          </w:p>
        </w:tc>
        <w:tc>
          <w:tcPr>
            <w:tcW w:w="1180" w:type="dxa"/>
            <w:shd w:val="clear" w:color="auto" w:fill="auto"/>
            <w:noWrap/>
            <w:vAlign w:val="bottom"/>
            <w:hideMark/>
          </w:tcPr>
          <w:p w14:paraId="2258F33C" w14:textId="77777777" w:rsidR="009C1704" w:rsidRPr="002A7822" w:rsidRDefault="009C1704" w:rsidP="00F63455">
            <w:pPr>
              <w:jc w:val="right"/>
              <w:rPr>
                <w:rFonts w:ascii="Times New Roman" w:hAnsi="Times New Roman"/>
                <w:color w:val="000000"/>
                <w:lang w:eastAsia="es-DO"/>
              </w:rPr>
            </w:pPr>
            <w:r w:rsidRPr="002A7822">
              <w:rPr>
                <w:rFonts w:ascii="Times New Roman" w:hAnsi="Times New Roman"/>
                <w:color w:val="000000"/>
                <w:lang w:eastAsia="es-DO"/>
              </w:rPr>
              <w:t xml:space="preserve">150,304 </w:t>
            </w:r>
          </w:p>
        </w:tc>
        <w:tc>
          <w:tcPr>
            <w:tcW w:w="1794" w:type="dxa"/>
            <w:shd w:val="clear" w:color="auto" w:fill="auto"/>
            <w:noWrap/>
            <w:vAlign w:val="bottom"/>
            <w:hideMark/>
          </w:tcPr>
          <w:p w14:paraId="4977F99F" w14:textId="77777777" w:rsidR="009C1704" w:rsidRPr="002A7822" w:rsidRDefault="009C1704" w:rsidP="00F63455">
            <w:pPr>
              <w:jc w:val="right"/>
              <w:rPr>
                <w:rFonts w:ascii="Times New Roman" w:hAnsi="Times New Roman"/>
                <w:color w:val="000000"/>
                <w:lang w:eastAsia="es-DO"/>
              </w:rPr>
            </w:pPr>
            <w:r w:rsidRPr="002A7822">
              <w:rPr>
                <w:rFonts w:ascii="Times New Roman" w:hAnsi="Times New Roman"/>
                <w:color w:val="000000"/>
                <w:lang w:eastAsia="es-DO"/>
              </w:rPr>
              <w:t>753,676,000</w:t>
            </w:r>
          </w:p>
        </w:tc>
        <w:tc>
          <w:tcPr>
            <w:tcW w:w="1505" w:type="dxa"/>
            <w:shd w:val="clear" w:color="auto" w:fill="auto"/>
            <w:noWrap/>
            <w:vAlign w:val="bottom"/>
            <w:hideMark/>
          </w:tcPr>
          <w:p w14:paraId="1AB024C7" w14:textId="77777777" w:rsidR="009C1704" w:rsidRPr="002A7822" w:rsidRDefault="009C1704" w:rsidP="00F63455">
            <w:pPr>
              <w:jc w:val="center"/>
              <w:rPr>
                <w:rFonts w:ascii="Times New Roman" w:hAnsi="Times New Roman"/>
                <w:color w:val="000000"/>
                <w:lang w:eastAsia="es-DO"/>
              </w:rPr>
            </w:pPr>
            <w:r w:rsidRPr="002A7822">
              <w:rPr>
                <w:rFonts w:ascii="Times New Roman" w:hAnsi="Times New Roman"/>
                <w:color w:val="000000"/>
                <w:lang w:eastAsia="es-DO"/>
              </w:rPr>
              <w:t>43</w:t>
            </w:r>
          </w:p>
        </w:tc>
      </w:tr>
      <w:tr w:rsidR="009C1704" w:rsidRPr="002A7822" w14:paraId="54DF053A" w14:textId="77777777" w:rsidTr="00F63455">
        <w:trPr>
          <w:trHeight w:val="900"/>
        </w:trPr>
        <w:tc>
          <w:tcPr>
            <w:tcW w:w="1261" w:type="dxa"/>
            <w:shd w:val="clear" w:color="auto" w:fill="auto"/>
            <w:noWrap/>
            <w:vAlign w:val="center"/>
            <w:hideMark/>
          </w:tcPr>
          <w:p w14:paraId="248B689E" w14:textId="77777777" w:rsidR="009C1704" w:rsidRPr="002A7822" w:rsidRDefault="009C1704" w:rsidP="00F63455">
            <w:pPr>
              <w:jc w:val="center"/>
              <w:rPr>
                <w:rFonts w:ascii="Times New Roman" w:hAnsi="Times New Roman"/>
                <w:color w:val="000000"/>
                <w:lang w:eastAsia="es-DO"/>
              </w:rPr>
            </w:pPr>
            <w:r w:rsidRPr="002A7822">
              <w:rPr>
                <w:rFonts w:ascii="Times New Roman" w:hAnsi="Times New Roman"/>
                <w:color w:val="000000"/>
                <w:lang w:eastAsia="es-DO"/>
              </w:rPr>
              <w:t>6 &amp; 9</w:t>
            </w:r>
          </w:p>
        </w:tc>
        <w:tc>
          <w:tcPr>
            <w:tcW w:w="1900" w:type="dxa"/>
            <w:shd w:val="clear" w:color="auto" w:fill="auto"/>
            <w:vAlign w:val="center"/>
            <w:hideMark/>
          </w:tcPr>
          <w:p w14:paraId="13394EA4" w14:textId="77777777" w:rsidR="009C1704" w:rsidRPr="002A7822" w:rsidRDefault="009C1704" w:rsidP="00F63455">
            <w:pPr>
              <w:jc w:val="center"/>
              <w:rPr>
                <w:rFonts w:ascii="Times New Roman" w:hAnsi="Times New Roman"/>
                <w:color w:val="000000"/>
                <w:lang w:eastAsia="es-DO"/>
              </w:rPr>
            </w:pPr>
            <w:r w:rsidRPr="002A7822">
              <w:rPr>
                <w:rFonts w:ascii="Times New Roman" w:hAnsi="Times New Roman"/>
                <w:color w:val="000000"/>
                <w:lang w:eastAsia="es-DO"/>
              </w:rPr>
              <w:t>Habichuelas pintas</w:t>
            </w:r>
            <w:r w:rsidRPr="002A7822">
              <w:rPr>
                <w:rFonts w:ascii="Times New Roman" w:hAnsi="Times New Roman"/>
                <w:color w:val="000000"/>
                <w:lang w:eastAsia="es-DO"/>
              </w:rPr>
              <w:br/>
            </w:r>
            <w:r w:rsidRPr="002A7822">
              <w:rPr>
                <w:rFonts w:ascii="Times New Roman" w:hAnsi="Times New Roman"/>
                <w:color w:val="000000"/>
                <w:lang w:eastAsia="es-DO"/>
              </w:rPr>
              <w:br/>
              <w:t>Habichuelas negras</w:t>
            </w:r>
          </w:p>
        </w:tc>
        <w:tc>
          <w:tcPr>
            <w:tcW w:w="1900" w:type="dxa"/>
            <w:shd w:val="clear" w:color="auto" w:fill="auto"/>
            <w:vAlign w:val="center"/>
            <w:hideMark/>
          </w:tcPr>
          <w:p w14:paraId="188AA9DF" w14:textId="77777777" w:rsidR="009C1704" w:rsidRPr="002A7822" w:rsidRDefault="009C1704" w:rsidP="00F63455">
            <w:pPr>
              <w:jc w:val="right"/>
              <w:rPr>
                <w:rFonts w:ascii="Times New Roman" w:hAnsi="Times New Roman"/>
                <w:color w:val="000000"/>
                <w:lang w:eastAsia="es-DO"/>
              </w:rPr>
            </w:pPr>
            <w:r w:rsidRPr="002A7822">
              <w:rPr>
                <w:rFonts w:ascii="Times New Roman" w:hAnsi="Times New Roman"/>
                <w:color w:val="000000"/>
                <w:lang w:eastAsia="es-DO"/>
              </w:rPr>
              <w:t>200,000</w:t>
            </w:r>
            <w:r w:rsidRPr="002A7822">
              <w:rPr>
                <w:rFonts w:ascii="Times New Roman" w:hAnsi="Times New Roman"/>
                <w:color w:val="000000"/>
                <w:lang w:eastAsia="es-DO"/>
              </w:rPr>
              <w:br/>
              <w:t xml:space="preserve"> </w:t>
            </w:r>
            <w:r w:rsidRPr="002A7822">
              <w:rPr>
                <w:rFonts w:ascii="Times New Roman" w:hAnsi="Times New Roman"/>
                <w:color w:val="000000"/>
                <w:lang w:eastAsia="es-DO"/>
              </w:rPr>
              <w:br/>
              <w:t xml:space="preserve">65,000 </w:t>
            </w:r>
          </w:p>
        </w:tc>
        <w:tc>
          <w:tcPr>
            <w:tcW w:w="1180" w:type="dxa"/>
            <w:shd w:val="clear" w:color="auto" w:fill="auto"/>
            <w:vAlign w:val="center"/>
            <w:hideMark/>
          </w:tcPr>
          <w:p w14:paraId="1AA37DA5" w14:textId="77777777" w:rsidR="009C1704" w:rsidRPr="002A7822" w:rsidRDefault="009C1704" w:rsidP="00F63455">
            <w:pPr>
              <w:jc w:val="right"/>
              <w:rPr>
                <w:rFonts w:ascii="Times New Roman" w:hAnsi="Times New Roman"/>
                <w:color w:val="000000"/>
                <w:lang w:eastAsia="es-DO"/>
              </w:rPr>
            </w:pPr>
            <w:r w:rsidRPr="002A7822">
              <w:rPr>
                <w:rFonts w:ascii="Times New Roman" w:hAnsi="Times New Roman"/>
                <w:color w:val="000000"/>
                <w:lang w:eastAsia="es-DO"/>
              </w:rPr>
              <w:t>200,000</w:t>
            </w:r>
            <w:r w:rsidRPr="002A7822">
              <w:rPr>
                <w:rFonts w:ascii="Times New Roman" w:hAnsi="Times New Roman"/>
                <w:color w:val="000000"/>
                <w:lang w:eastAsia="es-DO"/>
              </w:rPr>
              <w:br/>
            </w:r>
            <w:r w:rsidRPr="002A7822">
              <w:rPr>
                <w:rFonts w:ascii="Times New Roman" w:hAnsi="Times New Roman"/>
                <w:color w:val="000000"/>
                <w:lang w:eastAsia="es-DO"/>
              </w:rPr>
              <w:br/>
              <w:t xml:space="preserve"> 65,000 </w:t>
            </w:r>
          </w:p>
        </w:tc>
        <w:tc>
          <w:tcPr>
            <w:tcW w:w="1794" w:type="dxa"/>
            <w:shd w:val="clear" w:color="000000" w:fill="FFFFFF"/>
            <w:vAlign w:val="center"/>
            <w:hideMark/>
          </w:tcPr>
          <w:p w14:paraId="0D17EE2C" w14:textId="77777777" w:rsidR="009C1704" w:rsidRPr="002A7822" w:rsidRDefault="009C1704" w:rsidP="00F63455">
            <w:pPr>
              <w:jc w:val="right"/>
              <w:rPr>
                <w:rFonts w:ascii="Times New Roman" w:hAnsi="Times New Roman"/>
                <w:color w:val="000000"/>
                <w:lang w:eastAsia="es-DO"/>
              </w:rPr>
            </w:pPr>
            <w:r w:rsidRPr="002A7822">
              <w:rPr>
                <w:rFonts w:ascii="Times New Roman" w:hAnsi="Times New Roman"/>
                <w:color w:val="000000"/>
                <w:lang w:eastAsia="es-DO"/>
              </w:rPr>
              <w:t>101,075,000</w:t>
            </w:r>
            <w:r w:rsidRPr="002A7822">
              <w:rPr>
                <w:rFonts w:ascii="Times New Roman" w:hAnsi="Times New Roman"/>
                <w:color w:val="000000"/>
                <w:lang w:eastAsia="es-DO"/>
              </w:rPr>
              <w:br/>
            </w:r>
            <w:r w:rsidRPr="002A7822">
              <w:rPr>
                <w:rFonts w:ascii="Times New Roman" w:hAnsi="Times New Roman"/>
                <w:color w:val="000000"/>
                <w:lang w:eastAsia="es-DO"/>
              </w:rPr>
              <w:br/>
              <w:t>13,275,000</w:t>
            </w:r>
          </w:p>
        </w:tc>
        <w:tc>
          <w:tcPr>
            <w:tcW w:w="1505" w:type="dxa"/>
            <w:shd w:val="clear" w:color="auto" w:fill="auto"/>
            <w:vAlign w:val="center"/>
            <w:hideMark/>
          </w:tcPr>
          <w:p w14:paraId="6A18CF8B" w14:textId="77777777" w:rsidR="009C1704" w:rsidRPr="002A7822" w:rsidRDefault="009C1704" w:rsidP="00F63455">
            <w:pPr>
              <w:jc w:val="center"/>
              <w:rPr>
                <w:rFonts w:ascii="Times New Roman" w:hAnsi="Times New Roman"/>
                <w:color w:val="000000"/>
                <w:lang w:eastAsia="es-DO"/>
              </w:rPr>
            </w:pPr>
            <w:r w:rsidRPr="002A7822">
              <w:rPr>
                <w:rFonts w:ascii="Times New Roman" w:hAnsi="Times New Roman"/>
                <w:color w:val="000000"/>
                <w:lang w:eastAsia="es-DO"/>
              </w:rPr>
              <w:t>36</w:t>
            </w:r>
            <w:r w:rsidRPr="002A7822">
              <w:rPr>
                <w:rFonts w:ascii="Times New Roman" w:hAnsi="Times New Roman"/>
                <w:color w:val="000000"/>
                <w:lang w:eastAsia="es-DO"/>
              </w:rPr>
              <w:br/>
            </w:r>
            <w:r w:rsidRPr="002A7822">
              <w:rPr>
                <w:rFonts w:ascii="Times New Roman" w:hAnsi="Times New Roman"/>
                <w:color w:val="000000"/>
                <w:lang w:eastAsia="es-DO"/>
              </w:rPr>
              <w:br/>
              <w:t>25</w:t>
            </w:r>
          </w:p>
        </w:tc>
      </w:tr>
      <w:tr w:rsidR="009C1704" w:rsidRPr="002A7822" w14:paraId="7B16C1A0" w14:textId="77777777" w:rsidTr="00F63455">
        <w:trPr>
          <w:trHeight w:val="600"/>
        </w:trPr>
        <w:tc>
          <w:tcPr>
            <w:tcW w:w="1261" w:type="dxa"/>
            <w:shd w:val="clear" w:color="auto" w:fill="auto"/>
            <w:vAlign w:val="bottom"/>
            <w:hideMark/>
          </w:tcPr>
          <w:p w14:paraId="0AD853F8" w14:textId="77777777" w:rsidR="009C1704" w:rsidRPr="002A7822" w:rsidRDefault="009C1704" w:rsidP="00F63455">
            <w:pPr>
              <w:jc w:val="center"/>
              <w:rPr>
                <w:rFonts w:ascii="Times New Roman" w:hAnsi="Times New Roman"/>
                <w:color w:val="000000"/>
                <w:lang w:eastAsia="es-DO"/>
              </w:rPr>
            </w:pPr>
            <w:r w:rsidRPr="002A7822">
              <w:rPr>
                <w:rFonts w:ascii="Times New Roman" w:hAnsi="Times New Roman"/>
                <w:color w:val="000000"/>
                <w:lang w:eastAsia="es-DO"/>
              </w:rPr>
              <w:t>8</w:t>
            </w:r>
            <w:r w:rsidRPr="002A7822">
              <w:rPr>
                <w:rFonts w:ascii="Times New Roman" w:hAnsi="Times New Roman"/>
                <w:color w:val="000000"/>
                <w:lang w:eastAsia="es-DO"/>
              </w:rPr>
              <w:br/>
            </w:r>
            <w:r w:rsidRPr="002A7822">
              <w:rPr>
                <w:rFonts w:ascii="Times New Roman" w:hAnsi="Times New Roman"/>
                <w:color w:val="000000"/>
                <w:lang w:eastAsia="es-DO"/>
              </w:rPr>
              <w:br/>
              <w:t>10</w:t>
            </w:r>
          </w:p>
        </w:tc>
        <w:tc>
          <w:tcPr>
            <w:tcW w:w="1900" w:type="dxa"/>
            <w:shd w:val="clear" w:color="auto" w:fill="auto"/>
            <w:vAlign w:val="bottom"/>
            <w:hideMark/>
          </w:tcPr>
          <w:p w14:paraId="281A1907" w14:textId="77777777" w:rsidR="009C1704" w:rsidRPr="002A7822" w:rsidRDefault="009C1704" w:rsidP="00F63455">
            <w:pPr>
              <w:jc w:val="center"/>
              <w:rPr>
                <w:rFonts w:ascii="Times New Roman" w:hAnsi="Times New Roman"/>
                <w:color w:val="000000"/>
                <w:lang w:eastAsia="es-DO"/>
              </w:rPr>
            </w:pPr>
            <w:r w:rsidRPr="002A7822">
              <w:rPr>
                <w:rFonts w:ascii="Times New Roman" w:hAnsi="Times New Roman"/>
                <w:color w:val="000000"/>
                <w:lang w:eastAsia="es-DO"/>
              </w:rPr>
              <w:t>Cebolla amarilla</w:t>
            </w:r>
            <w:r w:rsidRPr="002A7822">
              <w:rPr>
                <w:rFonts w:ascii="Times New Roman" w:hAnsi="Times New Roman"/>
                <w:color w:val="000000"/>
                <w:lang w:eastAsia="es-DO"/>
              </w:rPr>
              <w:br/>
            </w:r>
            <w:r w:rsidRPr="002A7822">
              <w:rPr>
                <w:rFonts w:ascii="Times New Roman" w:hAnsi="Times New Roman"/>
                <w:color w:val="000000"/>
                <w:lang w:eastAsia="es-DO"/>
              </w:rPr>
              <w:br/>
              <w:t>Cebolla roja</w:t>
            </w:r>
          </w:p>
        </w:tc>
        <w:tc>
          <w:tcPr>
            <w:tcW w:w="1900" w:type="dxa"/>
            <w:shd w:val="clear" w:color="auto" w:fill="auto"/>
            <w:vAlign w:val="bottom"/>
            <w:hideMark/>
          </w:tcPr>
          <w:p w14:paraId="0C3EE369" w14:textId="77777777" w:rsidR="009C1704" w:rsidRPr="002A7822" w:rsidRDefault="009C1704" w:rsidP="00F63455">
            <w:pPr>
              <w:jc w:val="right"/>
              <w:rPr>
                <w:rFonts w:ascii="Times New Roman" w:hAnsi="Times New Roman"/>
                <w:color w:val="000000"/>
                <w:lang w:eastAsia="es-DO"/>
              </w:rPr>
            </w:pPr>
            <w:r w:rsidRPr="002A7822">
              <w:rPr>
                <w:rFonts w:ascii="Times New Roman" w:hAnsi="Times New Roman"/>
                <w:color w:val="000000"/>
                <w:lang w:eastAsia="es-DO"/>
              </w:rPr>
              <w:t>29,610</w:t>
            </w:r>
            <w:r w:rsidRPr="002A7822">
              <w:rPr>
                <w:rFonts w:ascii="Times New Roman" w:hAnsi="Times New Roman"/>
                <w:color w:val="000000"/>
                <w:lang w:eastAsia="es-DO"/>
              </w:rPr>
              <w:br/>
              <w:t xml:space="preserve"> </w:t>
            </w:r>
            <w:r w:rsidRPr="002A7822">
              <w:rPr>
                <w:rFonts w:ascii="Times New Roman" w:hAnsi="Times New Roman"/>
                <w:color w:val="000000"/>
                <w:lang w:eastAsia="es-DO"/>
              </w:rPr>
              <w:br/>
              <w:t xml:space="preserve">59,850 </w:t>
            </w:r>
          </w:p>
        </w:tc>
        <w:tc>
          <w:tcPr>
            <w:tcW w:w="1180" w:type="dxa"/>
            <w:shd w:val="clear" w:color="auto" w:fill="auto"/>
            <w:vAlign w:val="bottom"/>
            <w:hideMark/>
          </w:tcPr>
          <w:p w14:paraId="63A6D9A8" w14:textId="77777777" w:rsidR="009C1704" w:rsidRPr="002A7822" w:rsidRDefault="009C1704" w:rsidP="00F63455">
            <w:pPr>
              <w:jc w:val="right"/>
              <w:rPr>
                <w:rFonts w:ascii="Times New Roman" w:hAnsi="Times New Roman"/>
                <w:color w:val="000000"/>
                <w:lang w:eastAsia="es-DO"/>
              </w:rPr>
            </w:pPr>
            <w:r w:rsidRPr="002A7822">
              <w:rPr>
                <w:rFonts w:ascii="Times New Roman" w:hAnsi="Times New Roman"/>
                <w:color w:val="000000"/>
                <w:lang w:eastAsia="es-DO"/>
              </w:rPr>
              <w:t>29,610</w:t>
            </w:r>
            <w:r w:rsidRPr="002A7822">
              <w:rPr>
                <w:rFonts w:ascii="Times New Roman" w:hAnsi="Times New Roman"/>
                <w:color w:val="000000"/>
                <w:lang w:eastAsia="es-DO"/>
              </w:rPr>
              <w:br/>
              <w:t xml:space="preserve"> </w:t>
            </w:r>
            <w:r w:rsidRPr="002A7822">
              <w:rPr>
                <w:rFonts w:ascii="Times New Roman" w:hAnsi="Times New Roman"/>
                <w:color w:val="000000"/>
                <w:lang w:eastAsia="es-DO"/>
              </w:rPr>
              <w:br/>
              <w:t xml:space="preserve">59,850 </w:t>
            </w:r>
          </w:p>
        </w:tc>
        <w:tc>
          <w:tcPr>
            <w:tcW w:w="1794" w:type="dxa"/>
            <w:shd w:val="clear" w:color="auto" w:fill="auto"/>
            <w:vAlign w:val="bottom"/>
            <w:hideMark/>
          </w:tcPr>
          <w:p w14:paraId="12F8E9CF" w14:textId="77777777" w:rsidR="009C1704" w:rsidRPr="002A7822" w:rsidRDefault="009C1704" w:rsidP="00F63455">
            <w:pPr>
              <w:jc w:val="right"/>
              <w:rPr>
                <w:rFonts w:ascii="Times New Roman" w:hAnsi="Times New Roman"/>
                <w:color w:val="000000"/>
                <w:lang w:eastAsia="es-DO"/>
              </w:rPr>
            </w:pPr>
            <w:r w:rsidRPr="002A7822">
              <w:rPr>
                <w:rFonts w:ascii="Times New Roman" w:hAnsi="Times New Roman"/>
                <w:color w:val="000000"/>
                <w:lang w:eastAsia="es-DO"/>
              </w:rPr>
              <w:t>RD$49,833,000</w:t>
            </w:r>
            <w:r w:rsidRPr="002A7822">
              <w:rPr>
                <w:rFonts w:ascii="Times New Roman" w:hAnsi="Times New Roman"/>
                <w:color w:val="000000"/>
                <w:lang w:eastAsia="es-DO"/>
              </w:rPr>
              <w:br/>
            </w:r>
            <w:r w:rsidRPr="002A7822">
              <w:rPr>
                <w:rFonts w:ascii="Times New Roman" w:hAnsi="Times New Roman"/>
                <w:color w:val="000000"/>
                <w:lang w:eastAsia="es-DO"/>
              </w:rPr>
              <w:br/>
              <w:t>RD$163,926,000</w:t>
            </w:r>
          </w:p>
        </w:tc>
        <w:tc>
          <w:tcPr>
            <w:tcW w:w="1505" w:type="dxa"/>
            <w:shd w:val="clear" w:color="auto" w:fill="auto"/>
            <w:vAlign w:val="bottom"/>
            <w:hideMark/>
          </w:tcPr>
          <w:p w14:paraId="722E73A0" w14:textId="77777777" w:rsidR="009C1704" w:rsidRPr="002A7822" w:rsidRDefault="009C1704" w:rsidP="00F63455">
            <w:pPr>
              <w:jc w:val="center"/>
              <w:rPr>
                <w:rFonts w:ascii="Times New Roman" w:hAnsi="Times New Roman"/>
                <w:color w:val="000000"/>
                <w:lang w:eastAsia="es-DO"/>
              </w:rPr>
            </w:pPr>
            <w:r w:rsidRPr="002A7822">
              <w:rPr>
                <w:rFonts w:ascii="Times New Roman" w:hAnsi="Times New Roman"/>
                <w:color w:val="000000"/>
                <w:lang w:eastAsia="es-DO"/>
              </w:rPr>
              <w:t>34</w:t>
            </w:r>
            <w:r w:rsidRPr="002A7822">
              <w:rPr>
                <w:rFonts w:ascii="Times New Roman" w:hAnsi="Times New Roman"/>
                <w:color w:val="000000"/>
                <w:lang w:eastAsia="es-DO"/>
              </w:rPr>
              <w:br/>
            </w:r>
            <w:r w:rsidRPr="002A7822">
              <w:rPr>
                <w:rFonts w:ascii="Times New Roman" w:hAnsi="Times New Roman"/>
                <w:color w:val="000000"/>
                <w:lang w:eastAsia="es-DO"/>
              </w:rPr>
              <w:br/>
              <w:t>28</w:t>
            </w:r>
          </w:p>
        </w:tc>
      </w:tr>
    </w:tbl>
    <w:p w14:paraId="330F04BF" w14:textId="77777777" w:rsidR="009C1704" w:rsidRPr="002A7822" w:rsidRDefault="009C1704" w:rsidP="009C1704">
      <w:pPr>
        <w:pStyle w:val="Prrafodelista"/>
        <w:spacing w:after="0" w:line="480" w:lineRule="auto"/>
        <w:ind w:left="644"/>
        <w:rPr>
          <w:rFonts w:ascii="Times New Roman" w:hAnsi="Times New Roman"/>
          <w:b/>
          <w:sz w:val="24"/>
        </w:rPr>
      </w:pPr>
    </w:p>
    <w:p w14:paraId="7E207F12" w14:textId="1BB254BE" w:rsidR="00BF17C8" w:rsidRPr="002A7822" w:rsidRDefault="00BF17C8" w:rsidP="00CA5792">
      <w:pPr>
        <w:pStyle w:val="Ttulo3"/>
      </w:pPr>
      <w:bookmarkStart w:id="238" w:name="_Toc26292078"/>
      <w:bookmarkStart w:id="239" w:name="_Toc27146786"/>
      <w:r w:rsidRPr="002A7822">
        <w:lastRenderedPageBreak/>
        <w:t xml:space="preserve">Administración del </w:t>
      </w:r>
      <w:r w:rsidR="002C75E0" w:rsidRPr="002A7822">
        <w:t xml:space="preserve">acuerdo </w:t>
      </w:r>
      <w:r w:rsidRPr="002A7822">
        <w:t xml:space="preserve">sobre </w:t>
      </w:r>
      <w:r w:rsidR="002C75E0" w:rsidRPr="002A7822">
        <w:t>medidas sanitarias y fitosanitarias</w:t>
      </w:r>
      <w:bookmarkEnd w:id="238"/>
      <w:bookmarkEnd w:id="239"/>
    </w:p>
    <w:p w14:paraId="6E7BDC08" w14:textId="77777777" w:rsidR="004A2905" w:rsidRDefault="004A2905"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p>
    <w:p w14:paraId="08004943" w14:textId="4ED94205" w:rsidR="00BF17C8" w:rsidRPr="002A7822" w:rsidRDefault="00BF17C8"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r w:rsidRPr="002A7822">
        <w:rPr>
          <w:rFonts w:ascii="Times New Roman" w:hAnsi="Times New Roman"/>
          <w:color w:val="000000" w:themeColor="text1"/>
          <w:lang w:val="es-ES_tradnl"/>
        </w:rPr>
        <w:t xml:space="preserve">El Comité Nacional para la Aplicación de Medidas Sanitarias y Fitosanitarias (CNMSF) tiene por finalidad coordinar la aplicación de los acuerdos en materia de medidas sanitarias y fitosanitarias, y representar el país en el marco del Comité de Medidas Sanitarias y Fitosanitarias de la OMC (Comité MSF-OMC), así como en otros organismos internacionales y en los acuerdos de comercio vigentes y futuros, bilaterales y multilaterales, de los cuales la República Dominicana forma parte. </w:t>
      </w:r>
    </w:p>
    <w:p w14:paraId="0E0735DB" w14:textId="77777777" w:rsidR="00BF17C8" w:rsidRPr="002A7822" w:rsidRDefault="00BF17C8"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p>
    <w:p w14:paraId="6C359E9A" w14:textId="5B97939C" w:rsidR="00BF17C8" w:rsidRPr="002A7822" w:rsidRDefault="00BF17C8"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r w:rsidRPr="004A2905">
        <w:rPr>
          <w:rFonts w:ascii="Times New Roman" w:hAnsi="Times New Roman"/>
          <w:color w:val="000000" w:themeColor="text1"/>
          <w:lang w:val="es-ES_tradnl"/>
        </w:rPr>
        <w:t>Notificaciones relacionadas con el Acuerdo sobre Medidas Sanitarias y Fitosanitarias. Como Punto de Contacto/Servicio Nacional de Información, la Secretaría del CNMSF es la encargada de notificar todas las regulaciones concernientes a medidas sanitarias y fitosanitarias que puedan repercutir en el comercio internacional de bienes agropecuarios. A noviembre 201</w:t>
      </w:r>
      <w:r w:rsidR="004A2905" w:rsidRPr="004A2905">
        <w:rPr>
          <w:rFonts w:ascii="Times New Roman" w:hAnsi="Times New Roman"/>
          <w:color w:val="000000" w:themeColor="text1"/>
          <w:lang w:val="es-ES_tradnl"/>
        </w:rPr>
        <w:t>9</w:t>
      </w:r>
      <w:r w:rsidRPr="004A2905">
        <w:rPr>
          <w:rFonts w:ascii="Times New Roman" w:hAnsi="Times New Roman"/>
          <w:color w:val="000000" w:themeColor="text1"/>
          <w:lang w:val="es-ES_tradnl"/>
        </w:rPr>
        <w:t xml:space="preserve"> han sido notificadas las siguientes medidas:</w:t>
      </w:r>
    </w:p>
    <w:p w14:paraId="18D946C9" w14:textId="77777777" w:rsidR="00BF17C8" w:rsidRPr="00BF17C8" w:rsidRDefault="00BF17C8"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highlight w:val="yellow"/>
          <w:lang w:val="es-ES_tradnl"/>
        </w:rPr>
      </w:pPr>
    </w:p>
    <w:p w14:paraId="31FE22C1" w14:textId="77777777" w:rsidR="00BF17C8" w:rsidRPr="004A2905" w:rsidRDefault="0083125C" w:rsidP="001C6B1A">
      <w:pPr>
        <w:pStyle w:val="Prrafodelista"/>
        <w:widowControl w:val="0"/>
        <w:numPr>
          <w:ilvl w:val="0"/>
          <w:numId w:val="32"/>
        </w:numPr>
        <w:tabs>
          <w:tab w:val="left" w:pos="630"/>
        </w:tabs>
        <w:autoSpaceDE w:val="0"/>
        <w:autoSpaceDN w:val="0"/>
        <w:adjustRightInd w:val="0"/>
        <w:spacing w:after="0" w:line="480" w:lineRule="auto"/>
        <w:jc w:val="both"/>
        <w:rPr>
          <w:rFonts w:ascii="Times New Roman" w:hAnsi="Times New Roman"/>
          <w:color w:val="000000" w:themeColor="text1"/>
          <w:sz w:val="24"/>
          <w:szCs w:val="24"/>
          <w:lang w:val="es-ES_tradnl"/>
        </w:rPr>
      </w:pPr>
      <w:hyperlink r:id="rId74" w:history="1">
        <w:r w:rsidR="00BF17C8" w:rsidRPr="004A2905">
          <w:rPr>
            <w:rFonts w:ascii="Times New Roman" w:hAnsi="Times New Roman"/>
            <w:color w:val="000000" w:themeColor="text1"/>
            <w:sz w:val="24"/>
            <w:szCs w:val="24"/>
            <w:lang w:val="es-ES_tradnl"/>
          </w:rPr>
          <w:t>G/SPS/N/DOM/72</w:t>
        </w:r>
      </w:hyperlink>
      <w:r w:rsidR="00BF17C8" w:rsidRPr="004A2905">
        <w:rPr>
          <w:rFonts w:ascii="Times New Roman" w:hAnsi="Times New Roman"/>
          <w:color w:val="000000" w:themeColor="text1"/>
          <w:sz w:val="24"/>
          <w:szCs w:val="24"/>
          <w:lang w:val="es-ES_tradnl"/>
        </w:rPr>
        <w:t>, Sobre control de la plaga Marchitez de las musáceas (Fusarium oxysporum f.sp. cubense raza 4 Tropical).</w:t>
      </w:r>
    </w:p>
    <w:p w14:paraId="5D48FC42" w14:textId="77777777" w:rsidR="00BF17C8" w:rsidRDefault="00BF17C8"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highlight w:val="yellow"/>
          <w:lang w:val="es-ES_tradnl"/>
        </w:rPr>
      </w:pPr>
    </w:p>
    <w:p w14:paraId="17425426" w14:textId="5B800304" w:rsidR="00BF17C8" w:rsidRPr="00BF17C8" w:rsidRDefault="00BF17C8" w:rsidP="00CA5792">
      <w:pPr>
        <w:pStyle w:val="Ttulo3"/>
      </w:pPr>
      <w:bookmarkStart w:id="240" w:name="_Toc26292079"/>
      <w:bookmarkStart w:id="241" w:name="_Toc27146787"/>
      <w:r w:rsidRPr="00BF17C8">
        <w:t>Proceso de</w:t>
      </w:r>
      <w:r w:rsidR="00034782">
        <w:t xml:space="preserve"> acceso al mercado chino en aspectos sanitarios.</w:t>
      </w:r>
      <w:bookmarkEnd w:id="240"/>
      <w:bookmarkEnd w:id="241"/>
    </w:p>
    <w:p w14:paraId="322B6282" w14:textId="77777777" w:rsidR="004A2905" w:rsidRDefault="004A2905"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p>
    <w:p w14:paraId="13C887EC" w14:textId="6A376C16" w:rsidR="00BF17C8" w:rsidRPr="002A7822" w:rsidRDefault="00BF17C8"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r w:rsidRPr="002A7822">
        <w:rPr>
          <w:rFonts w:ascii="Times New Roman" w:hAnsi="Times New Roman"/>
          <w:color w:val="000000" w:themeColor="text1"/>
          <w:lang w:val="es-ES_tradnl"/>
        </w:rPr>
        <w:lastRenderedPageBreak/>
        <w:t>Tras la firma del Acuerdo Parcial con la República Popular de China y el país, y luego de la identificación de los 5 primeros productos agropecuarios de interés para el mercado chino (aguacate Hass, cacao, banano, mango y pi</w:t>
      </w:r>
      <w:r w:rsidRPr="002A7822">
        <w:rPr>
          <w:rFonts w:ascii="Times New Roman" w:hAnsi="Times New Roman" w:hint="eastAsia"/>
          <w:color w:val="000000" w:themeColor="text1"/>
          <w:lang w:val="es-ES_tradnl"/>
        </w:rPr>
        <w:t>ñ</w:t>
      </w:r>
      <w:r w:rsidRPr="002A7822">
        <w:rPr>
          <w:rFonts w:ascii="Times New Roman" w:hAnsi="Times New Roman"/>
          <w:color w:val="000000" w:themeColor="text1"/>
          <w:lang w:val="es-ES_tradnl"/>
        </w:rPr>
        <w:t xml:space="preserve">a), la OTCA coordinó y participó en los trabajos técnicos de Análisis de Riesgo en colaboración con el Departamento de Sanidad Vegetal y el programa AGROEXPORTA. </w:t>
      </w:r>
    </w:p>
    <w:p w14:paraId="0F131D56" w14:textId="77777777" w:rsidR="00BF17C8" w:rsidRPr="002A7822" w:rsidRDefault="00BF17C8"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p>
    <w:p w14:paraId="6B593359" w14:textId="77777777" w:rsidR="00BF17C8" w:rsidRPr="009837AE" w:rsidRDefault="00BF17C8"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r w:rsidRPr="002A7822">
        <w:rPr>
          <w:rFonts w:ascii="Times New Roman" w:hAnsi="Times New Roman"/>
          <w:color w:val="000000" w:themeColor="text1"/>
          <w:lang w:val="es-ES_tradnl"/>
        </w:rPr>
        <w:t xml:space="preserve">Posterior a los trabajos técnicos se recibió una delegación de expertos desde </w:t>
      </w:r>
      <w:r w:rsidRPr="009837AE">
        <w:rPr>
          <w:rFonts w:ascii="Times New Roman" w:hAnsi="Times New Roman"/>
          <w:color w:val="000000" w:themeColor="text1"/>
          <w:lang w:val="es-ES_tradnl"/>
        </w:rPr>
        <w:t>la República Popular de China con la finalidad de evaluar las empresas productoras y exportadoras del primer producto de interés para los chinos: el aguacate Hass dominicano. Dentro del proceso de evaluación de las potenciales empresas de aguacate Hass se les convocó a todos los exportadores habituales, de los cuales mostraron interés en participar en el programa piloto las dos principales empresas exportadoras y productoras de aguacate Hass.</w:t>
      </w:r>
    </w:p>
    <w:p w14:paraId="5813C5A2" w14:textId="77777777" w:rsidR="00BF17C8" w:rsidRPr="009837AE" w:rsidRDefault="00BF17C8"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p>
    <w:p w14:paraId="0991ABB3" w14:textId="2C959F89" w:rsidR="00BF17C8" w:rsidRPr="009837AE" w:rsidRDefault="002A7822"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r w:rsidRPr="009837AE">
        <w:rPr>
          <w:rFonts w:ascii="Times New Roman" w:hAnsi="Times New Roman"/>
          <w:color w:val="000000" w:themeColor="text1"/>
          <w:lang w:val="es-ES_tradnl"/>
        </w:rPr>
        <w:t>Producto de lo</w:t>
      </w:r>
      <w:r w:rsidR="00BF17C8" w:rsidRPr="009837AE">
        <w:rPr>
          <w:rFonts w:ascii="Times New Roman" w:hAnsi="Times New Roman"/>
          <w:color w:val="000000" w:themeColor="text1"/>
          <w:lang w:val="es-ES_tradnl"/>
        </w:rPr>
        <w:t>s trabajos técnicos y la visita de la delegación, se espera para el 2019 la apertura del mercado chino para los productos frescos: aguacate Hass, cacao, banano mango y piña hacia el mercado chino.</w:t>
      </w:r>
    </w:p>
    <w:p w14:paraId="3474AF52" w14:textId="77777777" w:rsidR="00BF17C8" w:rsidRPr="009837AE" w:rsidRDefault="00BF17C8"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p>
    <w:p w14:paraId="7B76A697" w14:textId="483472D7" w:rsidR="00BF17C8" w:rsidRPr="009837AE" w:rsidRDefault="00BF17C8"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r w:rsidRPr="009837AE">
        <w:rPr>
          <w:rFonts w:ascii="Times New Roman" w:hAnsi="Times New Roman"/>
          <w:color w:val="000000" w:themeColor="text1"/>
          <w:lang w:val="es-ES_tradnl"/>
        </w:rPr>
        <w:t>Habilitación de acceso a mercado de un listado de productos pre</w:t>
      </w:r>
      <w:r w:rsidR="004245EB">
        <w:rPr>
          <w:rFonts w:ascii="Times New Roman" w:hAnsi="Times New Roman"/>
          <w:color w:val="000000" w:themeColor="text1"/>
          <w:lang w:val="es-ES_tradnl"/>
        </w:rPr>
        <w:t>-</w:t>
      </w:r>
      <w:r w:rsidRPr="009837AE">
        <w:rPr>
          <w:rFonts w:ascii="Times New Roman" w:hAnsi="Times New Roman"/>
          <w:color w:val="000000" w:themeColor="text1"/>
          <w:lang w:val="es-ES_tradnl"/>
        </w:rPr>
        <w:t xml:space="preserve">envasados en la mayoría de nuestra oferta exportable, cumpliendo los requisitos estándares del mercado internacional. </w:t>
      </w:r>
    </w:p>
    <w:p w14:paraId="11E1EBD7" w14:textId="77777777" w:rsidR="00BF17C8" w:rsidRPr="00BF17C8" w:rsidRDefault="00BF17C8"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highlight w:val="yellow"/>
          <w:lang w:val="es-ES_tradnl"/>
        </w:rPr>
      </w:pPr>
      <w:r w:rsidRPr="00BF17C8">
        <w:rPr>
          <w:rFonts w:ascii="Times New Roman" w:hAnsi="Times New Roman"/>
          <w:color w:val="000000" w:themeColor="text1"/>
          <w:highlight w:val="yellow"/>
          <w:lang w:val="es-ES_tradnl"/>
        </w:rPr>
        <w:t xml:space="preserve"> </w:t>
      </w:r>
    </w:p>
    <w:p w14:paraId="4DF60E38" w14:textId="77777777" w:rsidR="00BF17C8" w:rsidRPr="00BF17C8" w:rsidRDefault="00BF17C8" w:rsidP="00CA5792">
      <w:pPr>
        <w:pStyle w:val="Ttulo3"/>
      </w:pPr>
      <w:bookmarkStart w:id="242" w:name="_Toc26292080"/>
      <w:bookmarkStart w:id="243" w:name="_Toc27146788"/>
      <w:r w:rsidRPr="00BF17C8">
        <w:lastRenderedPageBreak/>
        <w:t>Sistema de mantenimiento de cadena de frio de los productos frescos y procesados.</w:t>
      </w:r>
      <w:bookmarkEnd w:id="242"/>
      <w:bookmarkEnd w:id="243"/>
      <w:r w:rsidRPr="00BF17C8">
        <w:t xml:space="preserve"> </w:t>
      </w:r>
    </w:p>
    <w:p w14:paraId="456ED48A" w14:textId="77777777" w:rsidR="004A2905" w:rsidRDefault="004A2905"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highlight w:val="yellow"/>
          <w:lang w:val="es-ES_tradnl"/>
        </w:rPr>
      </w:pPr>
    </w:p>
    <w:p w14:paraId="61E6262C" w14:textId="498D54AB" w:rsidR="00BF17C8" w:rsidRPr="004A2905" w:rsidRDefault="00BF17C8"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r w:rsidRPr="004A2905">
        <w:rPr>
          <w:rFonts w:ascii="Times New Roman" w:hAnsi="Times New Roman"/>
          <w:color w:val="000000" w:themeColor="text1"/>
          <w:lang w:val="es-ES_tradnl"/>
        </w:rPr>
        <w:t xml:space="preserve">Tras la publicación del decreto 346-19, el cual establece la elaboración de un sistema para el mantenimiento de la cadena de frío en el comercio, el Ministerio se avocó a elaborar un manual de aplicación de este sistema en la exportación, importación y comercio local. El objetivo de éste es elevar la calidad del proceso y de los productos de exportación, importación y producción local de productos agropecuarios en el país. Además de evitar los rechazos de productos dominicanos en mercados internacionales. </w:t>
      </w:r>
    </w:p>
    <w:p w14:paraId="55535613" w14:textId="77777777" w:rsidR="00BF17C8" w:rsidRPr="00BF17C8" w:rsidRDefault="00BF17C8"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highlight w:val="yellow"/>
          <w:lang w:val="es-ES_tradnl"/>
        </w:rPr>
      </w:pPr>
    </w:p>
    <w:p w14:paraId="138D2054" w14:textId="5F336D3C" w:rsidR="00BF17C8" w:rsidRPr="00BF17C8" w:rsidRDefault="00BF17C8" w:rsidP="00CA5792">
      <w:pPr>
        <w:pStyle w:val="Ttulo3"/>
      </w:pPr>
      <w:bookmarkStart w:id="244" w:name="_Toc26292081"/>
      <w:bookmarkStart w:id="245" w:name="_Toc27146789"/>
      <w:r w:rsidRPr="00BF17C8">
        <w:t xml:space="preserve">Depuración </w:t>
      </w:r>
      <w:r w:rsidR="002C75E0" w:rsidRPr="00BF17C8">
        <w:t xml:space="preserve">operadores </w:t>
      </w:r>
      <w:r w:rsidR="002C75E0">
        <w:t>e</w:t>
      </w:r>
      <w:r w:rsidRPr="00BF17C8">
        <w:t xml:space="preserve">conómicos </w:t>
      </w:r>
      <w:r w:rsidR="002C75E0">
        <w:t>a</w:t>
      </w:r>
      <w:r w:rsidRPr="00BF17C8">
        <w:t>utorizados.</w:t>
      </w:r>
      <w:bookmarkEnd w:id="244"/>
      <w:bookmarkEnd w:id="245"/>
      <w:r w:rsidRPr="00BF17C8">
        <w:t xml:space="preserve"> </w:t>
      </w:r>
    </w:p>
    <w:p w14:paraId="1F267581" w14:textId="77777777" w:rsidR="004245EB" w:rsidRDefault="004245EB"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p>
    <w:p w14:paraId="791A0CE9" w14:textId="69E416DB" w:rsidR="00BF17C8" w:rsidRPr="00FD5F87" w:rsidRDefault="00BF17C8"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r w:rsidRPr="00FD5F87">
        <w:rPr>
          <w:rFonts w:ascii="Times New Roman" w:hAnsi="Times New Roman"/>
          <w:color w:val="000000" w:themeColor="text1"/>
          <w:lang w:val="es-ES_tradnl"/>
        </w:rPr>
        <w:t>Se realizó un total de 59 depuraciones de empresas dominicanas con el fin de que estas pudieran obtener la Certificación de Operador Económico Autorizado. Esta certificación permite que el importador </w:t>
      </w:r>
      <w:r w:rsidR="00FD5F87" w:rsidRPr="00FD5F87">
        <w:rPr>
          <w:rFonts w:ascii="Times New Roman" w:hAnsi="Times New Roman"/>
          <w:color w:val="000000" w:themeColor="text1"/>
          <w:lang w:val="es-ES_tradnl"/>
        </w:rPr>
        <w:t>obtenga</w:t>
      </w:r>
      <w:r w:rsidRPr="00FD5F87">
        <w:rPr>
          <w:rFonts w:ascii="Times New Roman" w:hAnsi="Times New Roman"/>
          <w:color w:val="000000" w:themeColor="text1"/>
          <w:lang w:val="es-ES_tradnl"/>
        </w:rPr>
        <w:t xml:space="preserve"> ventajas aduaneras y sea considerado como seguro frente a todos los actores de la cadena logística de comercio internacional.</w:t>
      </w:r>
    </w:p>
    <w:p w14:paraId="776E4A11" w14:textId="77777777" w:rsidR="00BF17C8" w:rsidRPr="00BF17C8" w:rsidRDefault="00BF17C8"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highlight w:val="yellow"/>
          <w:lang w:val="es-ES_tradnl"/>
        </w:rPr>
      </w:pPr>
    </w:p>
    <w:p w14:paraId="5D1C5F17" w14:textId="77777777" w:rsidR="00BF17C8" w:rsidRPr="00636E73" w:rsidRDefault="00BF17C8"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r w:rsidRPr="00636E73">
        <w:rPr>
          <w:rFonts w:ascii="Times New Roman" w:hAnsi="Times New Roman"/>
          <w:color w:val="000000" w:themeColor="text1"/>
          <w:lang w:val="es-ES_tradnl"/>
        </w:rPr>
        <w:t>Perfiles Macroeconómicos de Mercados Extranjeros. Estos perfiles fueron elaborados con el propósito de conocer las variables macroeconómicas e interioridades de nuestros mercados competidores.</w:t>
      </w:r>
    </w:p>
    <w:p w14:paraId="2478EB5F" w14:textId="77777777" w:rsidR="00BF17C8" w:rsidRPr="00636E73" w:rsidRDefault="00BF17C8"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p>
    <w:p w14:paraId="4DEA5235" w14:textId="6C986B95" w:rsidR="004C1EAE" w:rsidRDefault="00BF17C8" w:rsidP="00BF17C8">
      <w:pPr>
        <w:widowControl w:val="0"/>
        <w:tabs>
          <w:tab w:val="left" w:pos="630"/>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r w:rsidRPr="00636E73">
        <w:rPr>
          <w:rFonts w:ascii="Times New Roman" w:hAnsi="Times New Roman"/>
          <w:color w:val="000000" w:themeColor="text1"/>
          <w:lang w:val="es-ES_tradnl"/>
        </w:rPr>
        <w:lastRenderedPageBreak/>
        <w:t>Plantilla de Inteligencia Comercial. En colaboración con el Ministerio de Relaciones Exteriores (MIREX), se elaboró una plantilla de inteligencia comercial con el objetivo de que las Embajadas Dominicanas en los diferentes destinos procuren capturar datos de comercio exterior, los cuales serán</w:t>
      </w:r>
      <w:r w:rsidR="00636E73" w:rsidRPr="00636E73">
        <w:rPr>
          <w:rFonts w:ascii="Times New Roman" w:hAnsi="Times New Roman"/>
          <w:color w:val="000000" w:themeColor="text1"/>
          <w:lang w:val="es-ES_tradnl"/>
        </w:rPr>
        <w:t xml:space="preserve"> de utilidad </w:t>
      </w:r>
      <w:r w:rsidRPr="00636E73">
        <w:rPr>
          <w:rFonts w:ascii="Times New Roman" w:hAnsi="Times New Roman"/>
          <w:color w:val="000000" w:themeColor="text1"/>
          <w:lang w:val="es-ES_tradnl"/>
        </w:rPr>
        <w:t>para la estrat</w:t>
      </w:r>
      <w:r w:rsidR="00636E73">
        <w:rPr>
          <w:rFonts w:ascii="Times New Roman" w:hAnsi="Times New Roman"/>
          <w:color w:val="000000" w:themeColor="text1"/>
          <w:lang w:val="es-ES_tradnl"/>
        </w:rPr>
        <w:t>egia exportadora del Ministerio.</w:t>
      </w:r>
      <w:r w:rsidRPr="00636E73">
        <w:rPr>
          <w:rFonts w:ascii="Times New Roman" w:hAnsi="Times New Roman"/>
          <w:color w:val="000000" w:themeColor="text1"/>
          <w:lang w:val="es-ES_tradnl"/>
        </w:rPr>
        <w:t xml:space="preserve"> </w:t>
      </w:r>
    </w:p>
    <w:p w14:paraId="2E642B2A" w14:textId="6B850379" w:rsidR="004C1EAE" w:rsidRDefault="004C1EAE">
      <w:pPr>
        <w:spacing w:after="0"/>
        <w:rPr>
          <w:rFonts w:ascii="Times New Roman" w:hAnsi="Times New Roman"/>
          <w:color w:val="000000" w:themeColor="text1"/>
          <w:lang w:val="es-ES_tradnl"/>
        </w:rPr>
      </w:pPr>
    </w:p>
    <w:p w14:paraId="5C1494D5" w14:textId="77777777" w:rsidR="00BF17C8" w:rsidRPr="00636E73" w:rsidRDefault="00BF17C8" w:rsidP="00CA5792">
      <w:pPr>
        <w:pStyle w:val="Ttulo3"/>
      </w:pPr>
      <w:bookmarkStart w:id="246" w:name="_Toc26292082"/>
      <w:bookmarkStart w:id="247" w:name="_Toc27146790"/>
      <w:r w:rsidRPr="00BF17C8">
        <w:t>Oficina de Registro de Variedades y O</w:t>
      </w:r>
      <w:r>
        <w:t xml:space="preserve">btenciones Vegetales </w:t>
      </w:r>
      <w:r w:rsidRPr="00636E73">
        <w:t>(OREVADO).</w:t>
      </w:r>
      <w:bookmarkEnd w:id="246"/>
      <w:bookmarkEnd w:id="247"/>
    </w:p>
    <w:p w14:paraId="100BBFF3" w14:textId="77777777" w:rsidR="00BF17C8" w:rsidRPr="00636E73" w:rsidRDefault="00BF17C8" w:rsidP="00BF17C8">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38D9A2FD" w14:textId="7487FC1E" w:rsidR="00BF17C8" w:rsidRPr="00636E73" w:rsidRDefault="00BF17C8" w:rsidP="00BF17C8">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636E73">
        <w:rPr>
          <w:rFonts w:ascii="Times New Roman" w:hAnsi="Times New Roman"/>
          <w:lang w:val="es-ES_tradnl"/>
        </w:rPr>
        <w:t xml:space="preserve">A raíz de la incorporación de la República Dominicana como Miembro de la Unión Internacional para la Protección de las Obtenciones Vegetales (UPOV), se creó la OREVADO mediante la Ley </w:t>
      </w:r>
      <w:r w:rsidR="00DF7A53" w:rsidRPr="00636E73">
        <w:rPr>
          <w:rFonts w:ascii="Times New Roman" w:hAnsi="Times New Roman"/>
          <w:lang w:val="es-ES_tradnl"/>
        </w:rPr>
        <w:t xml:space="preserve">no. </w:t>
      </w:r>
      <w:r w:rsidRPr="00636E73">
        <w:rPr>
          <w:rFonts w:ascii="Times New Roman" w:hAnsi="Times New Roman"/>
          <w:lang w:val="es-ES_tradnl"/>
        </w:rPr>
        <w:t>450-06, cuyas actividades han sido fuertemente impulsadas, a fin aplica</w:t>
      </w:r>
      <w:r w:rsidR="00636E73" w:rsidRPr="00636E73">
        <w:rPr>
          <w:rFonts w:ascii="Times New Roman" w:hAnsi="Times New Roman"/>
          <w:lang w:val="es-ES_tradnl"/>
        </w:rPr>
        <w:t>r</w:t>
      </w:r>
      <w:r w:rsidRPr="00636E73">
        <w:rPr>
          <w:rFonts w:ascii="Times New Roman" w:hAnsi="Times New Roman"/>
          <w:lang w:val="es-ES_tradnl"/>
        </w:rPr>
        <w:t xml:space="preserve"> las disposiciones contempladas en la legislación. Entre las actividades realizadas en 2019</w:t>
      </w:r>
      <w:r w:rsidR="00636E73" w:rsidRPr="00636E73">
        <w:rPr>
          <w:rFonts w:ascii="Times New Roman" w:hAnsi="Times New Roman"/>
          <w:lang w:val="es-ES_tradnl"/>
        </w:rPr>
        <w:t>,</w:t>
      </w:r>
      <w:r w:rsidRPr="00636E73">
        <w:rPr>
          <w:rFonts w:ascii="Times New Roman" w:hAnsi="Times New Roman"/>
          <w:lang w:val="es-ES_tradnl"/>
        </w:rPr>
        <w:t xml:space="preserve"> </w:t>
      </w:r>
      <w:r w:rsidR="00636E73" w:rsidRPr="00636E73">
        <w:rPr>
          <w:rFonts w:ascii="Times New Roman" w:hAnsi="Times New Roman"/>
          <w:lang w:val="es-ES_tradnl"/>
        </w:rPr>
        <w:t>cabe</w:t>
      </w:r>
      <w:r w:rsidRPr="00636E73">
        <w:rPr>
          <w:rFonts w:ascii="Times New Roman" w:hAnsi="Times New Roman"/>
          <w:lang w:val="es-ES_tradnl"/>
        </w:rPr>
        <w:t xml:space="preserve"> resaltar:</w:t>
      </w:r>
    </w:p>
    <w:p w14:paraId="335CF38C" w14:textId="77777777" w:rsidR="00BF17C8" w:rsidRPr="00636E73" w:rsidRDefault="00BF17C8" w:rsidP="00BF17C8">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61D66FF6" w14:textId="3BD1F5D3" w:rsidR="00BF17C8" w:rsidRPr="00636E73" w:rsidRDefault="00636E73" w:rsidP="00BF17C8">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636E73">
        <w:rPr>
          <w:rFonts w:ascii="Times New Roman" w:hAnsi="Times New Roman"/>
          <w:lang w:val="es-ES_tradnl"/>
        </w:rPr>
        <w:t>Trámite de</w:t>
      </w:r>
      <w:r w:rsidR="00BF17C8" w:rsidRPr="00636E73">
        <w:rPr>
          <w:rFonts w:ascii="Times New Roman" w:hAnsi="Times New Roman"/>
          <w:lang w:val="es-ES_tradnl"/>
        </w:rPr>
        <w:t xml:space="preserve"> 20 solicitudes de registro de variedades del sector privado </w:t>
      </w:r>
      <w:r w:rsidR="00DF7A53" w:rsidRPr="00636E73">
        <w:rPr>
          <w:rFonts w:ascii="Times New Roman" w:hAnsi="Times New Roman"/>
          <w:lang w:val="es-ES_tradnl"/>
        </w:rPr>
        <w:t xml:space="preserve">y del Ministerio de Agricultura y </w:t>
      </w:r>
      <w:r w:rsidRPr="00636E73">
        <w:rPr>
          <w:rFonts w:ascii="Times New Roman" w:hAnsi="Times New Roman"/>
          <w:lang w:val="es-ES_tradnl"/>
        </w:rPr>
        <w:t>h</w:t>
      </w:r>
      <w:r w:rsidR="00BF17C8" w:rsidRPr="00636E73">
        <w:rPr>
          <w:rFonts w:ascii="Times New Roman" w:hAnsi="Times New Roman"/>
          <w:lang w:val="es-ES_tradnl"/>
        </w:rPr>
        <w:t>abilitación del Portal para las solicitudes en línea de la OREVADO, auspiciado por la UPOV.</w:t>
      </w:r>
    </w:p>
    <w:p w14:paraId="297E13A3" w14:textId="33557E5F" w:rsidR="00BF17C8" w:rsidRDefault="00BF17C8" w:rsidP="00BF17C8">
      <w:pPr>
        <w:spacing w:after="0" w:line="480" w:lineRule="auto"/>
        <w:rPr>
          <w:rFonts w:ascii="Times New Roman" w:hAnsi="Times New Roman"/>
        </w:rPr>
      </w:pPr>
    </w:p>
    <w:p w14:paraId="43ABB8F1" w14:textId="77777777" w:rsidR="00073148" w:rsidRPr="004732F0" w:rsidRDefault="00073148" w:rsidP="00073148">
      <w:pPr>
        <w:pStyle w:val="Ttulo3"/>
      </w:pPr>
      <w:bookmarkStart w:id="248" w:name="_Toc27146791"/>
      <w:r w:rsidRPr="004732F0">
        <w:t>Salvaguarda agrícola especial del DR-CAFTA.</w:t>
      </w:r>
      <w:bookmarkEnd w:id="248"/>
      <w:r w:rsidRPr="004732F0">
        <w:t xml:space="preserve"> </w:t>
      </w:r>
    </w:p>
    <w:p w14:paraId="2DE2C25B" w14:textId="77777777" w:rsidR="00073148" w:rsidRDefault="00073148" w:rsidP="00073148">
      <w:pPr>
        <w:widowControl w:val="0"/>
        <w:tabs>
          <w:tab w:val="left" w:pos="630"/>
        </w:tabs>
        <w:autoSpaceDE w:val="0"/>
        <w:autoSpaceDN w:val="0"/>
        <w:adjustRightInd w:val="0"/>
        <w:spacing w:after="0" w:line="480" w:lineRule="auto"/>
        <w:ind w:left="142" w:firstLine="720"/>
        <w:contextualSpacing/>
        <w:jc w:val="both"/>
        <w:rPr>
          <w:rFonts w:ascii="Times New Roman" w:hAnsi="Times New Roman"/>
          <w:lang w:val="es-ES_tradnl"/>
        </w:rPr>
      </w:pPr>
    </w:p>
    <w:p w14:paraId="6F46D780" w14:textId="77777777" w:rsidR="00073148" w:rsidRPr="004732F0" w:rsidRDefault="00073148" w:rsidP="00073148">
      <w:pPr>
        <w:widowControl w:val="0"/>
        <w:tabs>
          <w:tab w:val="left" w:pos="630"/>
        </w:tabs>
        <w:autoSpaceDE w:val="0"/>
        <w:autoSpaceDN w:val="0"/>
        <w:adjustRightInd w:val="0"/>
        <w:spacing w:after="0" w:line="480" w:lineRule="auto"/>
        <w:ind w:left="142" w:firstLine="720"/>
        <w:contextualSpacing/>
        <w:jc w:val="both"/>
        <w:rPr>
          <w:rFonts w:ascii="Times New Roman" w:hAnsi="Times New Roman"/>
          <w:lang w:val="es-ES_tradnl"/>
        </w:rPr>
      </w:pPr>
      <w:r w:rsidRPr="004732F0">
        <w:rPr>
          <w:rFonts w:ascii="Times New Roman" w:hAnsi="Times New Roman"/>
          <w:lang w:val="es-ES_tradnl"/>
        </w:rPr>
        <w:t xml:space="preserve">La Salvaguarda Agrícola Especial (SAE), es el mecanismo de protección aplicable en los </w:t>
      </w:r>
      <w:r w:rsidRPr="004732F0">
        <w:rPr>
          <w:rFonts w:ascii="Times New Roman" w:hAnsi="Times New Roman"/>
          <w:color w:val="000000" w:themeColor="text1"/>
          <w:lang w:val="es-ES_tradnl"/>
        </w:rPr>
        <w:t xml:space="preserve">puertos de entrada de forma transitoria de naturaleza arancelaria, </w:t>
      </w:r>
      <w:r w:rsidRPr="004732F0">
        <w:rPr>
          <w:rFonts w:ascii="Times New Roman" w:hAnsi="Times New Roman"/>
          <w:color w:val="000000" w:themeColor="text1"/>
          <w:lang w:val="es-ES_tradnl"/>
        </w:rPr>
        <w:lastRenderedPageBreak/>
        <w:t xml:space="preserve">dada el incremento temporal del impuesto a pagar para contrarrestar el aumento </w:t>
      </w:r>
      <w:r w:rsidRPr="004732F0">
        <w:rPr>
          <w:rFonts w:ascii="Times New Roman" w:hAnsi="Times New Roman"/>
          <w:lang w:val="es-ES_tradnl"/>
        </w:rPr>
        <w:t xml:space="preserve">de las importaciones o caída de los precios de los productos agrícolas sensibles a este. Su objetivo es proporcionar tiempo al producto afectado para formalizar un proceso de ajuste. </w:t>
      </w:r>
    </w:p>
    <w:p w14:paraId="0BC63D6B" w14:textId="47FDD1E9" w:rsidR="00073148" w:rsidRDefault="00073148" w:rsidP="00073148">
      <w:pPr>
        <w:widowControl w:val="0"/>
        <w:tabs>
          <w:tab w:val="left" w:pos="630"/>
        </w:tabs>
        <w:autoSpaceDE w:val="0"/>
        <w:autoSpaceDN w:val="0"/>
        <w:adjustRightInd w:val="0"/>
        <w:spacing w:after="0" w:line="360" w:lineRule="auto"/>
        <w:ind w:left="142" w:firstLine="720"/>
        <w:contextualSpacing/>
        <w:jc w:val="both"/>
        <w:rPr>
          <w:rFonts w:ascii="Times New Roman" w:hAnsi="Times New Roman"/>
          <w:lang w:val="es-ES_tradnl"/>
        </w:rPr>
      </w:pPr>
    </w:p>
    <w:p w14:paraId="4F2EE559" w14:textId="77777777" w:rsidR="00073148" w:rsidRPr="004732F0" w:rsidRDefault="00073148" w:rsidP="00073148">
      <w:pPr>
        <w:widowControl w:val="0"/>
        <w:tabs>
          <w:tab w:val="left" w:pos="630"/>
        </w:tabs>
        <w:autoSpaceDE w:val="0"/>
        <w:autoSpaceDN w:val="0"/>
        <w:adjustRightInd w:val="0"/>
        <w:spacing w:after="0" w:line="480" w:lineRule="auto"/>
        <w:ind w:left="142" w:firstLine="720"/>
        <w:contextualSpacing/>
        <w:jc w:val="both"/>
        <w:rPr>
          <w:rFonts w:ascii="Times New Roman" w:hAnsi="Times New Roman"/>
          <w:lang w:val="es-ES_tradnl"/>
        </w:rPr>
      </w:pPr>
      <w:r w:rsidRPr="004732F0">
        <w:rPr>
          <w:rFonts w:ascii="Times New Roman" w:hAnsi="Times New Roman"/>
          <w:lang w:val="es-ES_tradnl"/>
        </w:rPr>
        <w:t>El establecimiento de la SAE, mediante el Decreto no. 535-06, para la implementación del monitoreo de las importaciones de los productos originarios de EE.UU. que pueden alcanzar el nivel de activación de la SAE son los siguientes: cortes de cerdo, queso mozzarella, queso cheddar y frijoles, para las negociaciones en el marco del DR-CAFTA, tal como se percibe en la tabla no. 2</w:t>
      </w:r>
      <w:r>
        <w:rPr>
          <w:rFonts w:ascii="Times New Roman" w:hAnsi="Times New Roman"/>
          <w:lang w:val="es-ES_tradnl"/>
        </w:rPr>
        <w:t>1</w:t>
      </w:r>
    </w:p>
    <w:p w14:paraId="55215901" w14:textId="77777777" w:rsidR="00073148" w:rsidRPr="004732F0" w:rsidRDefault="00073148" w:rsidP="00073148">
      <w:pPr>
        <w:spacing w:after="0" w:line="360" w:lineRule="auto"/>
        <w:rPr>
          <w:rFonts w:ascii="Times New Roman" w:hAnsi="Times New Roman"/>
          <w:lang w:val="es-ES_tradnl"/>
        </w:rPr>
      </w:pPr>
    </w:p>
    <w:p w14:paraId="7B6054C0" w14:textId="5B98A72A" w:rsidR="00073148" w:rsidRPr="00073148" w:rsidRDefault="00073148" w:rsidP="001C6B1A">
      <w:pPr>
        <w:pStyle w:val="Prrafodelista"/>
        <w:numPr>
          <w:ilvl w:val="0"/>
          <w:numId w:val="9"/>
        </w:numPr>
        <w:spacing w:after="0"/>
        <w:ind w:left="567" w:hanging="567"/>
        <w:rPr>
          <w:rFonts w:ascii="Times New Roman" w:hAnsi="Times New Roman"/>
          <w:sz w:val="24"/>
          <w:lang w:val="es-ES_tradnl"/>
        </w:rPr>
      </w:pPr>
      <w:r w:rsidRPr="00C935BD">
        <w:rPr>
          <w:rFonts w:ascii="Times New Roman" w:hAnsi="Times New Roman"/>
          <w:b/>
          <w:sz w:val="24"/>
          <w:lang w:val="es-ES_tradnl"/>
        </w:rPr>
        <w:t>Tabla de productos para la salvaguarda agrícola especial</w:t>
      </w:r>
    </w:p>
    <w:p w14:paraId="0A51E707" w14:textId="77777777" w:rsidR="00073148" w:rsidRPr="00C935BD" w:rsidRDefault="00073148" w:rsidP="00073148">
      <w:pPr>
        <w:pStyle w:val="Prrafodelista"/>
        <w:spacing w:after="0"/>
        <w:ind w:left="567"/>
        <w:rPr>
          <w:rFonts w:ascii="Times New Roman" w:hAnsi="Times New Roman"/>
          <w:sz w:val="24"/>
          <w:lang w:val="es-ES_tradnl"/>
        </w:rPr>
      </w:pPr>
    </w:p>
    <w:tbl>
      <w:tblPr>
        <w:tblW w:w="5528" w:type="dxa"/>
        <w:jc w:val="center"/>
        <w:tblLook w:val="04A0" w:firstRow="1" w:lastRow="0" w:firstColumn="1" w:lastColumn="0" w:noHBand="0" w:noVBand="1"/>
      </w:tblPr>
      <w:tblGrid>
        <w:gridCol w:w="2452"/>
        <w:gridCol w:w="1660"/>
        <w:gridCol w:w="1416"/>
      </w:tblGrid>
      <w:tr w:rsidR="00073148" w:rsidRPr="00C935BD" w14:paraId="14FCBDF1" w14:textId="77777777" w:rsidTr="003642F4">
        <w:trPr>
          <w:trHeight w:val="630"/>
          <w:jc w:val="center"/>
        </w:trPr>
        <w:tc>
          <w:tcPr>
            <w:tcW w:w="2452"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39A03E57" w14:textId="77777777" w:rsidR="00073148" w:rsidRPr="00C935BD" w:rsidRDefault="00073148" w:rsidP="003642F4">
            <w:pPr>
              <w:spacing w:after="0"/>
              <w:jc w:val="center"/>
              <w:rPr>
                <w:rFonts w:ascii="Times New Roman" w:hAnsi="Times New Roman"/>
                <w:b/>
                <w:bCs/>
                <w:color w:val="FFFFFF" w:themeColor="background1"/>
                <w:lang w:val="en-US" w:eastAsia="en-US"/>
              </w:rPr>
            </w:pPr>
            <w:r w:rsidRPr="00C935BD">
              <w:rPr>
                <w:rFonts w:ascii="Times New Roman" w:hAnsi="Times New Roman"/>
                <w:b/>
                <w:bCs/>
                <w:color w:val="FFFFFF" w:themeColor="background1"/>
                <w:lang w:eastAsia="es-DO"/>
              </w:rPr>
              <w:t>Producto</w:t>
            </w:r>
          </w:p>
        </w:tc>
        <w:tc>
          <w:tcPr>
            <w:tcW w:w="1660" w:type="dxa"/>
            <w:tcBorders>
              <w:top w:val="single" w:sz="4" w:space="0" w:color="auto"/>
              <w:left w:val="nil"/>
              <w:bottom w:val="single" w:sz="4" w:space="0" w:color="auto"/>
              <w:right w:val="single" w:sz="4" w:space="0" w:color="auto"/>
            </w:tcBorders>
            <w:shd w:val="clear" w:color="auto" w:fill="00B050"/>
            <w:vAlign w:val="center"/>
            <w:hideMark/>
          </w:tcPr>
          <w:p w14:paraId="53845B5B" w14:textId="77777777" w:rsidR="00073148" w:rsidRPr="00C935BD" w:rsidRDefault="00073148" w:rsidP="003642F4">
            <w:pPr>
              <w:spacing w:after="0"/>
              <w:jc w:val="center"/>
              <w:rPr>
                <w:rFonts w:ascii="Times New Roman" w:hAnsi="Times New Roman"/>
                <w:b/>
                <w:bCs/>
                <w:color w:val="FFFFFF" w:themeColor="background1"/>
                <w:lang w:val="en-US" w:eastAsia="en-US"/>
              </w:rPr>
            </w:pPr>
            <w:r w:rsidRPr="00C935BD">
              <w:rPr>
                <w:rFonts w:ascii="Times New Roman" w:hAnsi="Times New Roman"/>
                <w:b/>
                <w:bCs/>
                <w:color w:val="FFFFFF" w:themeColor="background1"/>
                <w:lang w:eastAsia="es-DO"/>
              </w:rPr>
              <w:t>Subpartida arancelaria</w:t>
            </w:r>
          </w:p>
        </w:tc>
        <w:tc>
          <w:tcPr>
            <w:tcW w:w="1416" w:type="dxa"/>
            <w:tcBorders>
              <w:top w:val="single" w:sz="4" w:space="0" w:color="auto"/>
              <w:left w:val="nil"/>
              <w:bottom w:val="single" w:sz="4" w:space="0" w:color="auto"/>
              <w:right w:val="single" w:sz="4" w:space="0" w:color="auto"/>
            </w:tcBorders>
            <w:shd w:val="clear" w:color="auto" w:fill="00B050"/>
            <w:vAlign w:val="center"/>
            <w:hideMark/>
          </w:tcPr>
          <w:p w14:paraId="17B1A467" w14:textId="77777777" w:rsidR="00073148" w:rsidRPr="00C935BD" w:rsidRDefault="00073148" w:rsidP="003642F4">
            <w:pPr>
              <w:spacing w:after="0"/>
              <w:jc w:val="center"/>
              <w:rPr>
                <w:rFonts w:ascii="Times New Roman" w:hAnsi="Times New Roman"/>
                <w:b/>
                <w:bCs/>
                <w:color w:val="FFFFFF" w:themeColor="background1"/>
                <w:lang w:eastAsia="es-DO"/>
              </w:rPr>
            </w:pPr>
            <w:r w:rsidRPr="00C935BD">
              <w:rPr>
                <w:rFonts w:ascii="Times New Roman" w:hAnsi="Times New Roman"/>
                <w:b/>
                <w:bCs/>
                <w:color w:val="FFFFFF" w:themeColor="background1"/>
                <w:lang w:eastAsia="es-DO"/>
              </w:rPr>
              <w:t>Arancel de activación</w:t>
            </w:r>
            <w:r w:rsidRPr="00C935BD">
              <w:rPr>
                <w:rStyle w:val="Refdenotaalpie"/>
                <w:rFonts w:ascii="Times New Roman" w:hAnsi="Times New Roman"/>
                <w:color w:val="FFFFFF" w:themeColor="background1"/>
                <w:lang w:eastAsia="es-DO"/>
              </w:rPr>
              <w:footnoteReference w:id="22"/>
            </w:r>
          </w:p>
        </w:tc>
      </w:tr>
      <w:tr w:rsidR="00073148" w:rsidRPr="00C935BD" w14:paraId="266AD758" w14:textId="77777777" w:rsidTr="003642F4">
        <w:trPr>
          <w:trHeight w:val="315"/>
          <w:jc w:val="center"/>
        </w:trPr>
        <w:tc>
          <w:tcPr>
            <w:tcW w:w="2452" w:type="dxa"/>
            <w:tcBorders>
              <w:top w:val="nil"/>
              <w:left w:val="single" w:sz="4" w:space="0" w:color="auto"/>
              <w:bottom w:val="single" w:sz="4" w:space="0" w:color="auto"/>
              <w:right w:val="single" w:sz="4" w:space="0" w:color="auto"/>
            </w:tcBorders>
            <w:shd w:val="clear" w:color="auto" w:fill="auto"/>
            <w:vAlign w:val="center"/>
          </w:tcPr>
          <w:p w14:paraId="3F0F74B5" w14:textId="77777777" w:rsidR="00073148" w:rsidRPr="00C935BD" w:rsidRDefault="00073148" w:rsidP="003642F4">
            <w:pPr>
              <w:spacing w:after="0"/>
              <w:rPr>
                <w:rFonts w:ascii="Times New Roman" w:hAnsi="Times New Roman"/>
                <w:color w:val="000000"/>
                <w:lang w:eastAsia="es-DO"/>
              </w:rPr>
            </w:pPr>
            <w:r w:rsidRPr="00C935BD">
              <w:rPr>
                <w:rFonts w:ascii="Times New Roman" w:hAnsi="Times New Roman"/>
                <w:color w:val="000000"/>
                <w:lang w:eastAsia="es-DO"/>
              </w:rPr>
              <w:t>Queso Cheddar</w:t>
            </w:r>
          </w:p>
        </w:tc>
        <w:tc>
          <w:tcPr>
            <w:tcW w:w="1660" w:type="dxa"/>
            <w:tcBorders>
              <w:top w:val="nil"/>
              <w:left w:val="nil"/>
              <w:bottom w:val="single" w:sz="4" w:space="0" w:color="auto"/>
              <w:right w:val="single" w:sz="4" w:space="0" w:color="auto"/>
            </w:tcBorders>
            <w:shd w:val="clear" w:color="auto" w:fill="auto"/>
            <w:noWrap/>
            <w:vAlign w:val="center"/>
          </w:tcPr>
          <w:p w14:paraId="4EFD1965" w14:textId="77777777" w:rsidR="00073148" w:rsidRPr="00C935BD" w:rsidRDefault="00073148" w:rsidP="003642F4">
            <w:pPr>
              <w:spacing w:after="0"/>
              <w:jc w:val="center"/>
              <w:rPr>
                <w:rFonts w:ascii="Times New Roman" w:hAnsi="Times New Roman"/>
                <w:color w:val="000000"/>
                <w:lang w:eastAsia="en-US"/>
              </w:rPr>
            </w:pPr>
            <w:r w:rsidRPr="00C935BD">
              <w:rPr>
                <w:rFonts w:ascii="Times New Roman" w:hAnsi="Times New Roman"/>
                <w:color w:val="000000"/>
                <w:lang w:eastAsia="en-US"/>
              </w:rPr>
              <w:t>04069020</w:t>
            </w:r>
          </w:p>
        </w:tc>
        <w:tc>
          <w:tcPr>
            <w:tcW w:w="1416" w:type="dxa"/>
            <w:tcBorders>
              <w:top w:val="nil"/>
              <w:left w:val="single" w:sz="4" w:space="0" w:color="auto"/>
              <w:bottom w:val="single" w:sz="4" w:space="0" w:color="auto"/>
              <w:right w:val="single" w:sz="4" w:space="0" w:color="auto"/>
            </w:tcBorders>
            <w:shd w:val="clear" w:color="auto" w:fill="auto"/>
            <w:noWrap/>
            <w:vAlign w:val="center"/>
          </w:tcPr>
          <w:p w14:paraId="5EC42922" w14:textId="77777777" w:rsidR="00073148" w:rsidRPr="00C935BD" w:rsidRDefault="00073148" w:rsidP="003642F4">
            <w:pPr>
              <w:spacing w:after="0"/>
              <w:jc w:val="center"/>
              <w:rPr>
                <w:rFonts w:ascii="Times New Roman" w:hAnsi="Times New Roman"/>
                <w:color w:val="000000"/>
                <w:lang w:eastAsia="es-DO"/>
              </w:rPr>
            </w:pPr>
            <w:r w:rsidRPr="00C935BD">
              <w:rPr>
                <w:rFonts w:ascii="Times New Roman" w:hAnsi="Times New Roman"/>
                <w:color w:val="000000"/>
                <w:lang w:eastAsia="es-DO"/>
              </w:rPr>
              <w:t>10.67%</w:t>
            </w:r>
          </w:p>
        </w:tc>
      </w:tr>
      <w:tr w:rsidR="00073148" w:rsidRPr="00C935BD" w14:paraId="1E074350" w14:textId="77777777" w:rsidTr="003642F4">
        <w:trPr>
          <w:trHeight w:val="315"/>
          <w:jc w:val="center"/>
        </w:trPr>
        <w:tc>
          <w:tcPr>
            <w:tcW w:w="2452" w:type="dxa"/>
            <w:tcBorders>
              <w:top w:val="nil"/>
              <w:left w:val="single" w:sz="4" w:space="0" w:color="auto"/>
              <w:bottom w:val="single" w:sz="4" w:space="0" w:color="auto"/>
              <w:right w:val="single" w:sz="4" w:space="0" w:color="auto"/>
            </w:tcBorders>
            <w:shd w:val="clear" w:color="auto" w:fill="auto"/>
            <w:vAlign w:val="center"/>
          </w:tcPr>
          <w:p w14:paraId="6BD40436" w14:textId="77777777" w:rsidR="00073148" w:rsidRPr="00C935BD" w:rsidRDefault="00073148" w:rsidP="003642F4">
            <w:pPr>
              <w:spacing w:after="0"/>
              <w:rPr>
                <w:rFonts w:ascii="Times New Roman" w:hAnsi="Times New Roman"/>
                <w:color w:val="000000"/>
                <w:lang w:eastAsia="es-DO"/>
              </w:rPr>
            </w:pPr>
            <w:r w:rsidRPr="00C935BD">
              <w:rPr>
                <w:rFonts w:ascii="Times New Roman" w:hAnsi="Times New Roman"/>
                <w:color w:val="000000"/>
                <w:lang w:eastAsia="es-DO"/>
              </w:rPr>
              <w:t>Queso Mozarella</w:t>
            </w:r>
          </w:p>
        </w:tc>
        <w:tc>
          <w:tcPr>
            <w:tcW w:w="1660" w:type="dxa"/>
            <w:tcBorders>
              <w:top w:val="nil"/>
              <w:left w:val="nil"/>
              <w:bottom w:val="single" w:sz="4" w:space="0" w:color="auto"/>
              <w:right w:val="single" w:sz="4" w:space="0" w:color="auto"/>
            </w:tcBorders>
            <w:shd w:val="clear" w:color="auto" w:fill="auto"/>
            <w:noWrap/>
            <w:vAlign w:val="center"/>
          </w:tcPr>
          <w:p w14:paraId="3FB28321" w14:textId="77777777" w:rsidR="00073148" w:rsidRPr="00C935BD" w:rsidRDefault="00073148" w:rsidP="003642F4">
            <w:pPr>
              <w:spacing w:after="0"/>
              <w:jc w:val="center"/>
              <w:rPr>
                <w:rFonts w:ascii="Times New Roman" w:hAnsi="Times New Roman"/>
                <w:color w:val="000000"/>
                <w:lang w:eastAsia="en-US"/>
              </w:rPr>
            </w:pPr>
            <w:r w:rsidRPr="00C935BD">
              <w:rPr>
                <w:rFonts w:ascii="Times New Roman" w:hAnsi="Times New Roman"/>
                <w:color w:val="000000"/>
                <w:lang w:eastAsia="en-US"/>
              </w:rPr>
              <w:t>04061010</w:t>
            </w:r>
          </w:p>
        </w:tc>
        <w:tc>
          <w:tcPr>
            <w:tcW w:w="1416" w:type="dxa"/>
            <w:tcBorders>
              <w:top w:val="nil"/>
              <w:left w:val="single" w:sz="4" w:space="0" w:color="auto"/>
              <w:bottom w:val="single" w:sz="4" w:space="0" w:color="auto"/>
              <w:right w:val="single" w:sz="4" w:space="0" w:color="auto"/>
            </w:tcBorders>
            <w:shd w:val="clear" w:color="auto" w:fill="auto"/>
            <w:noWrap/>
            <w:vAlign w:val="center"/>
          </w:tcPr>
          <w:p w14:paraId="3E5D580A" w14:textId="77777777" w:rsidR="00073148" w:rsidRPr="00C935BD" w:rsidRDefault="00073148" w:rsidP="003642F4">
            <w:pPr>
              <w:spacing w:after="0"/>
              <w:jc w:val="center"/>
              <w:rPr>
                <w:rFonts w:ascii="Times New Roman" w:hAnsi="Times New Roman"/>
                <w:color w:val="000000"/>
                <w:lang w:eastAsia="es-DO"/>
              </w:rPr>
            </w:pPr>
            <w:r w:rsidRPr="00C935BD">
              <w:rPr>
                <w:rFonts w:ascii="Times New Roman" w:hAnsi="Times New Roman"/>
                <w:color w:val="000000"/>
                <w:lang w:eastAsia="es-DO"/>
              </w:rPr>
              <w:t>20%</w:t>
            </w:r>
          </w:p>
        </w:tc>
      </w:tr>
      <w:tr w:rsidR="00073148" w:rsidRPr="00C935BD" w14:paraId="74F680BD" w14:textId="77777777" w:rsidTr="003642F4">
        <w:trPr>
          <w:trHeight w:val="315"/>
          <w:jc w:val="center"/>
        </w:trPr>
        <w:tc>
          <w:tcPr>
            <w:tcW w:w="2452" w:type="dxa"/>
            <w:vMerge w:val="restart"/>
            <w:tcBorders>
              <w:top w:val="nil"/>
              <w:left w:val="single" w:sz="4" w:space="0" w:color="auto"/>
              <w:bottom w:val="single" w:sz="4" w:space="0" w:color="auto"/>
              <w:right w:val="single" w:sz="4" w:space="0" w:color="auto"/>
            </w:tcBorders>
            <w:shd w:val="clear" w:color="auto" w:fill="auto"/>
            <w:vAlign w:val="center"/>
            <w:hideMark/>
          </w:tcPr>
          <w:p w14:paraId="17AE1913" w14:textId="77777777" w:rsidR="00073148" w:rsidRPr="00C935BD" w:rsidRDefault="00073148" w:rsidP="003642F4">
            <w:pPr>
              <w:spacing w:after="0"/>
              <w:rPr>
                <w:rFonts w:ascii="Times New Roman" w:hAnsi="Times New Roman"/>
                <w:color w:val="000000"/>
                <w:lang w:val="en-US" w:eastAsia="en-US"/>
              </w:rPr>
            </w:pPr>
            <w:r w:rsidRPr="00C935BD">
              <w:rPr>
                <w:rFonts w:ascii="Times New Roman" w:hAnsi="Times New Roman"/>
                <w:color w:val="000000"/>
                <w:lang w:eastAsia="es-DO"/>
              </w:rPr>
              <w:t>Cortes de cerdo</w:t>
            </w:r>
          </w:p>
        </w:tc>
        <w:tc>
          <w:tcPr>
            <w:tcW w:w="1660" w:type="dxa"/>
            <w:tcBorders>
              <w:top w:val="nil"/>
              <w:left w:val="nil"/>
              <w:bottom w:val="single" w:sz="4" w:space="0" w:color="auto"/>
              <w:right w:val="single" w:sz="4" w:space="0" w:color="auto"/>
            </w:tcBorders>
            <w:shd w:val="clear" w:color="auto" w:fill="auto"/>
            <w:noWrap/>
            <w:vAlign w:val="center"/>
            <w:hideMark/>
          </w:tcPr>
          <w:p w14:paraId="0D04AC8C" w14:textId="77777777" w:rsidR="00073148" w:rsidRPr="00C935BD" w:rsidRDefault="00073148" w:rsidP="003642F4">
            <w:pPr>
              <w:spacing w:after="0"/>
              <w:jc w:val="center"/>
              <w:rPr>
                <w:rFonts w:ascii="Times New Roman" w:hAnsi="Times New Roman"/>
                <w:color w:val="000000"/>
                <w:lang w:val="en-US" w:eastAsia="en-US"/>
              </w:rPr>
            </w:pPr>
            <w:r w:rsidRPr="00C935BD">
              <w:rPr>
                <w:rFonts w:ascii="Times New Roman" w:hAnsi="Times New Roman"/>
                <w:color w:val="000000"/>
                <w:lang w:eastAsia="en-US"/>
              </w:rPr>
              <w:t>2031100</w:t>
            </w:r>
          </w:p>
        </w:tc>
        <w:tc>
          <w:tcPr>
            <w:tcW w:w="14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5C24A5" w14:textId="77777777" w:rsidR="00073148" w:rsidRPr="00C935BD" w:rsidRDefault="00073148" w:rsidP="003642F4">
            <w:pPr>
              <w:spacing w:after="0"/>
              <w:jc w:val="center"/>
              <w:rPr>
                <w:rFonts w:ascii="Times New Roman" w:hAnsi="Times New Roman"/>
                <w:color w:val="000000"/>
                <w:lang w:val="en-US" w:eastAsia="en-US"/>
              </w:rPr>
            </w:pPr>
            <w:r w:rsidRPr="00C935BD">
              <w:rPr>
                <w:rFonts w:ascii="Times New Roman" w:hAnsi="Times New Roman"/>
                <w:color w:val="000000"/>
                <w:lang w:eastAsia="es-DO"/>
              </w:rPr>
              <w:t>14%</w:t>
            </w:r>
          </w:p>
        </w:tc>
      </w:tr>
      <w:tr w:rsidR="00073148" w:rsidRPr="00C935BD" w14:paraId="6924DB9F" w14:textId="77777777" w:rsidTr="003642F4">
        <w:trPr>
          <w:trHeight w:val="315"/>
          <w:jc w:val="center"/>
        </w:trPr>
        <w:tc>
          <w:tcPr>
            <w:tcW w:w="2452" w:type="dxa"/>
            <w:vMerge/>
            <w:tcBorders>
              <w:top w:val="nil"/>
              <w:left w:val="single" w:sz="4" w:space="0" w:color="auto"/>
              <w:bottom w:val="single" w:sz="4" w:space="0" w:color="auto"/>
              <w:right w:val="single" w:sz="4" w:space="0" w:color="auto"/>
            </w:tcBorders>
            <w:vAlign w:val="center"/>
            <w:hideMark/>
          </w:tcPr>
          <w:p w14:paraId="2FB5D8B5" w14:textId="77777777" w:rsidR="00073148" w:rsidRPr="00C935BD" w:rsidRDefault="00073148" w:rsidP="003642F4">
            <w:pPr>
              <w:spacing w:after="0"/>
              <w:rPr>
                <w:rFonts w:ascii="Times New Roman" w:hAnsi="Times New Roman"/>
                <w:color w:val="000000"/>
                <w:lang w:val="en-US" w:eastAsia="en-US"/>
              </w:rPr>
            </w:pPr>
          </w:p>
        </w:tc>
        <w:tc>
          <w:tcPr>
            <w:tcW w:w="1660" w:type="dxa"/>
            <w:tcBorders>
              <w:top w:val="nil"/>
              <w:left w:val="nil"/>
              <w:bottom w:val="single" w:sz="4" w:space="0" w:color="auto"/>
              <w:right w:val="single" w:sz="4" w:space="0" w:color="auto"/>
            </w:tcBorders>
            <w:shd w:val="clear" w:color="auto" w:fill="auto"/>
            <w:noWrap/>
            <w:vAlign w:val="center"/>
            <w:hideMark/>
          </w:tcPr>
          <w:p w14:paraId="6E476FF1" w14:textId="77777777" w:rsidR="00073148" w:rsidRPr="00C935BD" w:rsidRDefault="00073148" w:rsidP="003642F4">
            <w:pPr>
              <w:spacing w:after="0"/>
              <w:jc w:val="center"/>
              <w:rPr>
                <w:rFonts w:ascii="Times New Roman" w:hAnsi="Times New Roman"/>
                <w:color w:val="000000"/>
                <w:lang w:val="en-US" w:eastAsia="en-US"/>
              </w:rPr>
            </w:pPr>
            <w:r w:rsidRPr="00C935BD">
              <w:rPr>
                <w:rFonts w:ascii="Times New Roman" w:hAnsi="Times New Roman"/>
                <w:color w:val="000000"/>
                <w:lang w:eastAsia="en-US"/>
              </w:rPr>
              <w:t>2031200</w:t>
            </w:r>
          </w:p>
        </w:tc>
        <w:tc>
          <w:tcPr>
            <w:tcW w:w="1416" w:type="dxa"/>
            <w:vMerge/>
            <w:tcBorders>
              <w:top w:val="nil"/>
              <w:left w:val="single" w:sz="4" w:space="0" w:color="auto"/>
              <w:bottom w:val="single" w:sz="4" w:space="0" w:color="auto"/>
              <w:right w:val="single" w:sz="4" w:space="0" w:color="auto"/>
            </w:tcBorders>
            <w:vAlign w:val="center"/>
            <w:hideMark/>
          </w:tcPr>
          <w:p w14:paraId="459E68BC" w14:textId="77777777" w:rsidR="00073148" w:rsidRPr="00C935BD" w:rsidRDefault="00073148" w:rsidP="003642F4">
            <w:pPr>
              <w:spacing w:after="0"/>
              <w:rPr>
                <w:rFonts w:ascii="Times New Roman" w:hAnsi="Times New Roman"/>
                <w:color w:val="000000"/>
                <w:lang w:val="en-US" w:eastAsia="en-US"/>
              </w:rPr>
            </w:pPr>
          </w:p>
        </w:tc>
      </w:tr>
      <w:tr w:rsidR="00073148" w:rsidRPr="00C935BD" w14:paraId="0D481CB2" w14:textId="77777777" w:rsidTr="003642F4">
        <w:trPr>
          <w:trHeight w:val="315"/>
          <w:jc w:val="center"/>
        </w:trPr>
        <w:tc>
          <w:tcPr>
            <w:tcW w:w="2452" w:type="dxa"/>
            <w:vMerge/>
            <w:tcBorders>
              <w:top w:val="nil"/>
              <w:left w:val="single" w:sz="4" w:space="0" w:color="auto"/>
              <w:bottom w:val="single" w:sz="4" w:space="0" w:color="auto"/>
              <w:right w:val="single" w:sz="4" w:space="0" w:color="auto"/>
            </w:tcBorders>
            <w:vAlign w:val="center"/>
            <w:hideMark/>
          </w:tcPr>
          <w:p w14:paraId="460A4F1C" w14:textId="77777777" w:rsidR="00073148" w:rsidRPr="00C935BD" w:rsidRDefault="00073148" w:rsidP="003642F4">
            <w:pPr>
              <w:spacing w:after="0"/>
              <w:rPr>
                <w:rFonts w:ascii="Times New Roman" w:hAnsi="Times New Roman"/>
                <w:color w:val="000000"/>
                <w:lang w:val="en-US" w:eastAsia="en-US"/>
              </w:rPr>
            </w:pPr>
          </w:p>
        </w:tc>
        <w:tc>
          <w:tcPr>
            <w:tcW w:w="1660" w:type="dxa"/>
            <w:tcBorders>
              <w:top w:val="nil"/>
              <w:left w:val="nil"/>
              <w:bottom w:val="single" w:sz="4" w:space="0" w:color="auto"/>
              <w:right w:val="single" w:sz="4" w:space="0" w:color="auto"/>
            </w:tcBorders>
            <w:shd w:val="clear" w:color="auto" w:fill="auto"/>
            <w:noWrap/>
            <w:vAlign w:val="center"/>
            <w:hideMark/>
          </w:tcPr>
          <w:p w14:paraId="1489B1AD" w14:textId="77777777" w:rsidR="00073148" w:rsidRPr="00C935BD" w:rsidRDefault="00073148" w:rsidP="003642F4">
            <w:pPr>
              <w:spacing w:after="0"/>
              <w:jc w:val="center"/>
              <w:rPr>
                <w:rFonts w:ascii="Times New Roman" w:hAnsi="Times New Roman"/>
                <w:color w:val="000000"/>
                <w:lang w:val="en-US" w:eastAsia="en-US"/>
              </w:rPr>
            </w:pPr>
            <w:r w:rsidRPr="00C935BD">
              <w:rPr>
                <w:rFonts w:ascii="Times New Roman" w:hAnsi="Times New Roman"/>
                <w:color w:val="000000"/>
                <w:lang w:eastAsia="en-US"/>
              </w:rPr>
              <w:t>2031900</w:t>
            </w:r>
          </w:p>
        </w:tc>
        <w:tc>
          <w:tcPr>
            <w:tcW w:w="1416" w:type="dxa"/>
            <w:vMerge/>
            <w:tcBorders>
              <w:top w:val="nil"/>
              <w:left w:val="single" w:sz="4" w:space="0" w:color="auto"/>
              <w:bottom w:val="single" w:sz="4" w:space="0" w:color="auto"/>
              <w:right w:val="single" w:sz="4" w:space="0" w:color="auto"/>
            </w:tcBorders>
            <w:vAlign w:val="center"/>
            <w:hideMark/>
          </w:tcPr>
          <w:p w14:paraId="0171FEC9" w14:textId="77777777" w:rsidR="00073148" w:rsidRPr="00C935BD" w:rsidRDefault="00073148" w:rsidP="003642F4">
            <w:pPr>
              <w:spacing w:after="0"/>
              <w:rPr>
                <w:rFonts w:ascii="Times New Roman" w:hAnsi="Times New Roman"/>
                <w:color w:val="000000"/>
                <w:lang w:val="en-US" w:eastAsia="en-US"/>
              </w:rPr>
            </w:pPr>
          </w:p>
        </w:tc>
      </w:tr>
      <w:tr w:rsidR="00073148" w:rsidRPr="00C935BD" w14:paraId="43D30239" w14:textId="77777777" w:rsidTr="003642F4">
        <w:trPr>
          <w:trHeight w:val="315"/>
          <w:jc w:val="center"/>
        </w:trPr>
        <w:tc>
          <w:tcPr>
            <w:tcW w:w="2452" w:type="dxa"/>
            <w:vMerge/>
            <w:tcBorders>
              <w:top w:val="nil"/>
              <w:left w:val="single" w:sz="4" w:space="0" w:color="auto"/>
              <w:bottom w:val="single" w:sz="4" w:space="0" w:color="auto"/>
              <w:right w:val="single" w:sz="4" w:space="0" w:color="auto"/>
            </w:tcBorders>
            <w:vAlign w:val="center"/>
            <w:hideMark/>
          </w:tcPr>
          <w:p w14:paraId="22818A92" w14:textId="77777777" w:rsidR="00073148" w:rsidRPr="00C935BD" w:rsidRDefault="00073148" w:rsidP="003642F4">
            <w:pPr>
              <w:spacing w:after="0"/>
              <w:rPr>
                <w:rFonts w:ascii="Times New Roman" w:hAnsi="Times New Roman"/>
                <w:color w:val="000000"/>
                <w:lang w:val="en-US" w:eastAsia="en-US"/>
              </w:rPr>
            </w:pPr>
          </w:p>
        </w:tc>
        <w:tc>
          <w:tcPr>
            <w:tcW w:w="1660" w:type="dxa"/>
            <w:tcBorders>
              <w:top w:val="nil"/>
              <w:left w:val="nil"/>
              <w:bottom w:val="single" w:sz="4" w:space="0" w:color="auto"/>
              <w:right w:val="single" w:sz="4" w:space="0" w:color="auto"/>
            </w:tcBorders>
            <w:shd w:val="clear" w:color="auto" w:fill="auto"/>
            <w:noWrap/>
            <w:vAlign w:val="center"/>
            <w:hideMark/>
          </w:tcPr>
          <w:p w14:paraId="5EADC0F7" w14:textId="77777777" w:rsidR="00073148" w:rsidRPr="00C935BD" w:rsidRDefault="00073148" w:rsidP="003642F4">
            <w:pPr>
              <w:spacing w:after="0"/>
              <w:jc w:val="center"/>
              <w:rPr>
                <w:rFonts w:ascii="Times New Roman" w:hAnsi="Times New Roman"/>
                <w:color w:val="000000"/>
                <w:lang w:val="en-US" w:eastAsia="en-US"/>
              </w:rPr>
            </w:pPr>
            <w:r w:rsidRPr="00C935BD">
              <w:rPr>
                <w:rFonts w:ascii="Times New Roman" w:hAnsi="Times New Roman"/>
                <w:color w:val="000000"/>
                <w:lang w:eastAsia="en-US"/>
              </w:rPr>
              <w:t>2032100</w:t>
            </w:r>
          </w:p>
        </w:tc>
        <w:tc>
          <w:tcPr>
            <w:tcW w:w="1416" w:type="dxa"/>
            <w:vMerge/>
            <w:tcBorders>
              <w:top w:val="nil"/>
              <w:left w:val="single" w:sz="4" w:space="0" w:color="auto"/>
              <w:bottom w:val="single" w:sz="4" w:space="0" w:color="auto"/>
              <w:right w:val="single" w:sz="4" w:space="0" w:color="auto"/>
            </w:tcBorders>
            <w:vAlign w:val="center"/>
            <w:hideMark/>
          </w:tcPr>
          <w:p w14:paraId="4AD0B595" w14:textId="77777777" w:rsidR="00073148" w:rsidRPr="00C935BD" w:rsidRDefault="00073148" w:rsidP="003642F4">
            <w:pPr>
              <w:spacing w:after="0"/>
              <w:rPr>
                <w:rFonts w:ascii="Times New Roman" w:hAnsi="Times New Roman"/>
                <w:color w:val="000000"/>
                <w:lang w:val="en-US" w:eastAsia="en-US"/>
              </w:rPr>
            </w:pPr>
          </w:p>
        </w:tc>
      </w:tr>
      <w:tr w:rsidR="00073148" w:rsidRPr="00C935BD" w14:paraId="20276500" w14:textId="77777777" w:rsidTr="003642F4">
        <w:trPr>
          <w:trHeight w:val="315"/>
          <w:jc w:val="center"/>
        </w:trPr>
        <w:tc>
          <w:tcPr>
            <w:tcW w:w="2452" w:type="dxa"/>
            <w:vMerge/>
            <w:tcBorders>
              <w:top w:val="nil"/>
              <w:left w:val="single" w:sz="4" w:space="0" w:color="auto"/>
              <w:bottom w:val="single" w:sz="4" w:space="0" w:color="auto"/>
              <w:right w:val="single" w:sz="4" w:space="0" w:color="auto"/>
            </w:tcBorders>
            <w:vAlign w:val="center"/>
            <w:hideMark/>
          </w:tcPr>
          <w:p w14:paraId="11093088" w14:textId="77777777" w:rsidR="00073148" w:rsidRPr="00C935BD" w:rsidRDefault="00073148" w:rsidP="003642F4">
            <w:pPr>
              <w:spacing w:after="0"/>
              <w:rPr>
                <w:rFonts w:ascii="Times New Roman" w:hAnsi="Times New Roman"/>
                <w:color w:val="000000"/>
                <w:lang w:val="en-US" w:eastAsia="en-US"/>
              </w:rPr>
            </w:pPr>
          </w:p>
        </w:tc>
        <w:tc>
          <w:tcPr>
            <w:tcW w:w="1660" w:type="dxa"/>
            <w:tcBorders>
              <w:top w:val="nil"/>
              <w:left w:val="nil"/>
              <w:bottom w:val="single" w:sz="4" w:space="0" w:color="auto"/>
              <w:right w:val="single" w:sz="4" w:space="0" w:color="auto"/>
            </w:tcBorders>
            <w:shd w:val="clear" w:color="auto" w:fill="auto"/>
            <w:noWrap/>
            <w:vAlign w:val="center"/>
            <w:hideMark/>
          </w:tcPr>
          <w:p w14:paraId="2897937F" w14:textId="77777777" w:rsidR="00073148" w:rsidRPr="00C935BD" w:rsidRDefault="00073148" w:rsidP="003642F4">
            <w:pPr>
              <w:spacing w:after="0"/>
              <w:jc w:val="center"/>
              <w:rPr>
                <w:rFonts w:ascii="Times New Roman" w:hAnsi="Times New Roman"/>
                <w:color w:val="000000"/>
                <w:lang w:val="en-US" w:eastAsia="en-US"/>
              </w:rPr>
            </w:pPr>
            <w:r w:rsidRPr="00C935BD">
              <w:rPr>
                <w:rFonts w:ascii="Times New Roman" w:hAnsi="Times New Roman"/>
                <w:color w:val="000000"/>
                <w:lang w:eastAsia="en-US"/>
              </w:rPr>
              <w:t>2032200</w:t>
            </w:r>
          </w:p>
        </w:tc>
        <w:tc>
          <w:tcPr>
            <w:tcW w:w="1416" w:type="dxa"/>
            <w:vMerge/>
            <w:tcBorders>
              <w:top w:val="nil"/>
              <w:left w:val="single" w:sz="4" w:space="0" w:color="auto"/>
              <w:bottom w:val="single" w:sz="4" w:space="0" w:color="auto"/>
              <w:right w:val="single" w:sz="4" w:space="0" w:color="auto"/>
            </w:tcBorders>
            <w:vAlign w:val="center"/>
            <w:hideMark/>
          </w:tcPr>
          <w:p w14:paraId="5A022A8E" w14:textId="77777777" w:rsidR="00073148" w:rsidRPr="00C935BD" w:rsidRDefault="00073148" w:rsidP="003642F4">
            <w:pPr>
              <w:spacing w:after="0"/>
              <w:rPr>
                <w:rFonts w:ascii="Times New Roman" w:hAnsi="Times New Roman"/>
                <w:color w:val="000000"/>
                <w:lang w:val="en-US" w:eastAsia="en-US"/>
              </w:rPr>
            </w:pPr>
          </w:p>
        </w:tc>
      </w:tr>
      <w:tr w:rsidR="00073148" w:rsidRPr="00C935BD" w14:paraId="20CF0070" w14:textId="77777777" w:rsidTr="003642F4">
        <w:trPr>
          <w:trHeight w:val="315"/>
          <w:jc w:val="center"/>
        </w:trPr>
        <w:tc>
          <w:tcPr>
            <w:tcW w:w="2452" w:type="dxa"/>
            <w:vMerge/>
            <w:tcBorders>
              <w:top w:val="nil"/>
              <w:left w:val="single" w:sz="4" w:space="0" w:color="auto"/>
              <w:bottom w:val="single" w:sz="4" w:space="0" w:color="auto"/>
              <w:right w:val="single" w:sz="4" w:space="0" w:color="auto"/>
            </w:tcBorders>
            <w:vAlign w:val="center"/>
            <w:hideMark/>
          </w:tcPr>
          <w:p w14:paraId="225A7B8E" w14:textId="77777777" w:rsidR="00073148" w:rsidRPr="00C935BD" w:rsidRDefault="00073148" w:rsidP="003642F4">
            <w:pPr>
              <w:spacing w:after="0"/>
              <w:rPr>
                <w:rFonts w:ascii="Times New Roman" w:hAnsi="Times New Roman"/>
                <w:color w:val="000000"/>
                <w:lang w:val="en-US" w:eastAsia="en-US"/>
              </w:rPr>
            </w:pPr>
          </w:p>
        </w:tc>
        <w:tc>
          <w:tcPr>
            <w:tcW w:w="1660" w:type="dxa"/>
            <w:tcBorders>
              <w:top w:val="nil"/>
              <w:left w:val="nil"/>
              <w:bottom w:val="single" w:sz="4" w:space="0" w:color="auto"/>
              <w:right w:val="single" w:sz="4" w:space="0" w:color="auto"/>
            </w:tcBorders>
            <w:shd w:val="clear" w:color="auto" w:fill="auto"/>
            <w:noWrap/>
            <w:vAlign w:val="center"/>
            <w:hideMark/>
          </w:tcPr>
          <w:p w14:paraId="0442C62A" w14:textId="77777777" w:rsidR="00073148" w:rsidRPr="00C935BD" w:rsidRDefault="00073148" w:rsidP="003642F4">
            <w:pPr>
              <w:spacing w:after="0"/>
              <w:jc w:val="center"/>
              <w:rPr>
                <w:rFonts w:ascii="Times New Roman" w:hAnsi="Times New Roman"/>
                <w:color w:val="000000"/>
                <w:lang w:val="en-US" w:eastAsia="en-US"/>
              </w:rPr>
            </w:pPr>
            <w:r w:rsidRPr="00C935BD">
              <w:rPr>
                <w:rFonts w:ascii="Times New Roman" w:hAnsi="Times New Roman"/>
                <w:color w:val="000000"/>
                <w:lang w:eastAsia="en-US"/>
              </w:rPr>
              <w:t>2032910</w:t>
            </w:r>
          </w:p>
        </w:tc>
        <w:tc>
          <w:tcPr>
            <w:tcW w:w="1416" w:type="dxa"/>
            <w:vMerge/>
            <w:tcBorders>
              <w:top w:val="nil"/>
              <w:left w:val="single" w:sz="4" w:space="0" w:color="auto"/>
              <w:bottom w:val="single" w:sz="4" w:space="0" w:color="auto"/>
              <w:right w:val="single" w:sz="4" w:space="0" w:color="auto"/>
            </w:tcBorders>
            <w:vAlign w:val="center"/>
            <w:hideMark/>
          </w:tcPr>
          <w:p w14:paraId="10B8E8FE" w14:textId="77777777" w:rsidR="00073148" w:rsidRPr="00C935BD" w:rsidRDefault="00073148" w:rsidP="003642F4">
            <w:pPr>
              <w:spacing w:after="0"/>
              <w:rPr>
                <w:rFonts w:ascii="Times New Roman" w:hAnsi="Times New Roman"/>
                <w:color w:val="000000"/>
                <w:lang w:val="en-US" w:eastAsia="en-US"/>
              </w:rPr>
            </w:pPr>
          </w:p>
        </w:tc>
      </w:tr>
      <w:tr w:rsidR="00073148" w:rsidRPr="00C935BD" w14:paraId="26381DCE" w14:textId="77777777" w:rsidTr="003642F4">
        <w:trPr>
          <w:trHeight w:val="315"/>
          <w:jc w:val="center"/>
        </w:trPr>
        <w:tc>
          <w:tcPr>
            <w:tcW w:w="2452" w:type="dxa"/>
            <w:vMerge/>
            <w:tcBorders>
              <w:top w:val="nil"/>
              <w:left w:val="single" w:sz="4" w:space="0" w:color="auto"/>
              <w:bottom w:val="single" w:sz="4" w:space="0" w:color="auto"/>
              <w:right w:val="single" w:sz="4" w:space="0" w:color="auto"/>
            </w:tcBorders>
            <w:vAlign w:val="center"/>
            <w:hideMark/>
          </w:tcPr>
          <w:p w14:paraId="405089F3" w14:textId="77777777" w:rsidR="00073148" w:rsidRPr="00C935BD" w:rsidRDefault="00073148" w:rsidP="003642F4">
            <w:pPr>
              <w:spacing w:after="0"/>
              <w:rPr>
                <w:rFonts w:ascii="Times New Roman" w:hAnsi="Times New Roman"/>
                <w:color w:val="000000"/>
                <w:lang w:val="en-US" w:eastAsia="en-US"/>
              </w:rPr>
            </w:pPr>
          </w:p>
        </w:tc>
        <w:tc>
          <w:tcPr>
            <w:tcW w:w="1660" w:type="dxa"/>
            <w:tcBorders>
              <w:top w:val="nil"/>
              <w:left w:val="nil"/>
              <w:bottom w:val="single" w:sz="4" w:space="0" w:color="auto"/>
              <w:right w:val="single" w:sz="4" w:space="0" w:color="auto"/>
            </w:tcBorders>
            <w:shd w:val="clear" w:color="auto" w:fill="auto"/>
            <w:noWrap/>
            <w:vAlign w:val="center"/>
            <w:hideMark/>
          </w:tcPr>
          <w:p w14:paraId="6CC91122" w14:textId="77777777" w:rsidR="00073148" w:rsidRPr="00C935BD" w:rsidRDefault="00073148" w:rsidP="003642F4">
            <w:pPr>
              <w:spacing w:after="0"/>
              <w:jc w:val="center"/>
              <w:rPr>
                <w:rFonts w:ascii="Times New Roman" w:hAnsi="Times New Roman"/>
                <w:color w:val="000000"/>
                <w:lang w:val="en-US" w:eastAsia="en-US"/>
              </w:rPr>
            </w:pPr>
            <w:r w:rsidRPr="00C935BD">
              <w:rPr>
                <w:rFonts w:ascii="Times New Roman" w:hAnsi="Times New Roman"/>
                <w:color w:val="000000"/>
                <w:lang w:eastAsia="en-US"/>
              </w:rPr>
              <w:t>2032990</w:t>
            </w:r>
          </w:p>
        </w:tc>
        <w:tc>
          <w:tcPr>
            <w:tcW w:w="1416" w:type="dxa"/>
            <w:vMerge/>
            <w:tcBorders>
              <w:top w:val="nil"/>
              <w:left w:val="single" w:sz="4" w:space="0" w:color="auto"/>
              <w:bottom w:val="single" w:sz="4" w:space="0" w:color="auto"/>
              <w:right w:val="single" w:sz="4" w:space="0" w:color="auto"/>
            </w:tcBorders>
            <w:vAlign w:val="center"/>
            <w:hideMark/>
          </w:tcPr>
          <w:p w14:paraId="78A327BB" w14:textId="77777777" w:rsidR="00073148" w:rsidRPr="00C935BD" w:rsidRDefault="00073148" w:rsidP="003642F4">
            <w:pPr>
              <w:spacing w:after="0"/>
              <w:rPr>
                <w:rFonts w:ascii="Times New Roman" w:hAnsi="Times New Roman"/>
                <w:color w:val="000000"/>
                <w:lang w:val="en-US" w:eastAsia="en-US"/>
              </w:rPr>
            </w:pPr>
          </w:p>
        </w:tc>
      </w:tr>
      <w:tr w:rsidR="00073148" w:rsidRPr="00C935BD" w14:paraId="430CC446" w14:textId="77777777" w:rsidTr="003642F4">
        <w:trPr>
          <w:trHeight w:val="315"/>
          <w:jc w:val="center"/>
        </w:trPr>
        <w:tc>
          <w:tcPr>
            <w:tcW w:w="2452" w:type="dxa"/>
            <w:tcBorders>
              <w:top w:val="nil"/>
              <w:left w:val="single" w:sz="4" w:space="0" w:color="auto"/>
              <w:bottom w:val="single" w:sz="4" w:space="0" w:color="auto"/>
              <w:right w:val="single" w:sz="4" w:space="0" w:color="auto"/>
            </w:tcBorders>
            <w:shd w:val="clear" w:color="auto" w:fill="auto"/>
            <w:vAlign w:val="center"/>
            <w:hideMark/>
          </w:tcPr>
          <w:p w14:paraId="51DC3ED4" w14:textId="77777777" w:rsidR="00073148" w:rsidRPr="00C935BD" w:rsidRDefault="00073148" w:rsidP="003642F4">
            <w:pPr>
              <w:spacing w:after="0"/>
              <w:rPr>
                <w:rFonts w:ascii="Times New Roman" w:hAnsi="Times New Roman"/>
                <w:color w:val="000000"/>
                <w:lang w:val="en-US" w:eastAsia="en-US"/>
              </w:rPr>
            </w:pPr>
            <w:r w:rsidRPr="00C935BD">
              <w:rPr>
                <w:rFonts w:ascii="Times New Roman" w:hAnsi="Times New Roman"/>
                <w:color w:val="000000"/>
                <w:lang w:eastAsia="es-DO"/>
              </w:rPr>
              <w:t>Arroz semiblanqueado</w:t>
            </w:r>
          </w:p>
        </w:tc>
        <w:tc>
          <w:tcPr>
            <w:tcW w:w="1660" w:type="dxa"/>
            <w:tcBorders>
              <w:top w:val="nil"/>
              <w:left w:val="nil"/>
              <w:bottom w:val="single" w:sz="4" w:space="0" w:color="auto"/>
              <w:right w:val="single" w:sz="4" w:space="0" w:color="auto"/>
            </w:tcBorders>
            <w:shd w:val="clear" w:color="auto" w:fill="auto"/>
            <w:noWrap/>
            <w:vAlign w:val="center"/>
            <w:hideMark/>
          </w:tcPr>
          <w:p w14:paraId="09632070" w14:textId="77777777" w:rsidR="00073148" w:rsidRPr="00C935BD" w:rsidRDefault="00073148" w:rsidP="003642F4">
            <w:pPr>
              <w:spacing w:after="0"/>
              <w:jc w:val="center"/>
              <w:rPr>
                <w:rFonts w:ascii="Times New Roman" w:hAnsi="Times New Roman"/>
                <w:color w:val="000000"/>
                <w:lang w:val="en-US" w:eastAsia="en-US"/>
              </w:rPr>
            </w:pPr>
            <w:r w:rsidRPr="00C935BD">
              <w:rPr>
                <w:rFonts w:ascii="Times New Roman" w:hAnsi="Times New Roman"/>
                <w:color w:val="000000"/>
                <w:lang w:eastAsia="en-US"/>
              </w:rPr>
              <w:t>10063000</w:t>
            </w:r>
          </w:p>
        </w:tc>
        <w:tc>
          <w:tcPr>
            <w:tcW w:w="1416" w:type="dxa"/>
            <w:tcBorders>
              <w:top w:val="nil"/>
              <w:left w:val="nil"/>
              <w:bottom w:val="single" w:sz="4" w:space="0" w:color="auto"/>
              <w:right w:val="single" w:sz="4" w:space="0" w:color="auto"/>
            </w:tcBorders>
            <w:shd w:val="clear" w:color="auto" w:fill="auto"/>
            <w:noWrap/>
            <w:vAlign w:val="center"/>
            <w:hideMark/>
          </w:tcPr>
          <w:p w14:paraId="3AE01EDC" w14:textId="77777777" w:rsidR="00073148" w:rsidRPr="00C935BD" w:rsidRDefault="00073148" w:rsidP="003642F4">
            <w:pPr>
              <w:spacing w:after="0"/>
              <w:jc w:val="center"/>
              <w:rPr>
                <w:rFonts w:ascii="Times New Roman" w:hAnsi="Times New Roman"/>
                <w:color w:val="000000"/>
                <w:lang w:val="en-US" w:eastAsia="en-US"/>
              </w:rPr>
            </w:pPr>
            <w:r w:rsidRPr="00C935BD">
              <w:rPr>
                <w:rFonts w:ascii="Times New Roman" w:hAnsi="Times New Roman"/>
                <w:color w:val="000000"/>
                <w:lang w:eastAsia="es-DO"/>
              </w:rPr>
              <w:t>99%</w:t>
            </w:r>
          </w:p>
        </w:tc>
      </w:tr>
      <w:tr w:rsidR="00073148" w:rsidRPr="00C935BD" w14:paraId="70724884" w14:textId="77777777" w:rsidTr="003642F4">
        <w:trPr>
          <w:trHeight w:val="315"/>
          <w:jc w:val="center"/>
        </w:trPr>
        <w:tc>
          <w:tcPr>
            <w:tcW w:w="2452" w:type="dxa"/>
            <w:vMerge w:val="restart"/>
            <w:tcBorders>
              <w:top w:val="nil"/>
              <w:left w:val="single" w:sz="4" w:space="0" w:color="auto"/>
              <w:bottom w:val="single" w:sz="4" w:space="0" w:color="auto"/>
              <w:right w:val="single" w:sz="4" w:space="0" w:color="auto"/>
            </w:tcBorders>
            <w:shd w:val="clear" w:color="auto" w:fill="auto"/>
            <w:vAlign w:val="center"/>
            <w:hideMark/>
          </w:tcPr>
          <w:p w14:paraId="5BD28FEA" w14:textId="77777777" w:rsidR="00073148" w:rsidRPr="00C935BD" w:rsidRDefault="00073148" w:rsidP="003642F4">
            <w:pPr>
              <w:spacing w:after="0"/>
              <w:rPr>
                <w:rFonts w:ascii="Times New Roman" w:hAnsi="Times New Roman"/>
                <w:color w:val="000000"/>
                <w:lang w:val="en-US" w:eastAsia="en-US"/>
              </w:rPr>
            </w:pPr>
            <w:r w:rsidRPr="00C935BD">
              <w:rPr>
                <w:rFonts w:ascii="Times New Roman" w:hAnsi="Times New Roman"/>
                <w:color w:val="000000"/>
                <w:lang w:eastAsia="es-DO"/>
              </w:rPr>
              <w:t>Frijoles</w:t>
            </w:r>
          </w:p>
        </w:tc>
        <w:tc>
          <w:tcPr>
            <w:tcW w:w="1660" w:type="dxa"/>
            <w:tcBorders>
              <w:top w:val="nil"/>
              <w:left w:val="nil"/>
              <w:bottom w:val="single" w:sz="4" w:space="0" w:color="auto"/>
              <w:right w:val="single" w:sz="4" w:space="0" w:color="auto"/>
            </w:tcBorders>
            <w:shd w:val="clear" w:color="auto" w:fill="auto"/>
            <w:noWrap/>
            <w:vAlign w:val="center"/>
            <w:hideMark/>
          </w:tcPr>
          <w:p w14:paraId="37E7DFB9" w14:textId="77777777" w:rsidR="00073148" w:rsidRPr="00C935BD" w:rsidRDefault="00073148" w:rsidP="003642F4">
            <w:pPr>
              <w:spacing w:after="0"/>
              <w:jc w:val="center"/>
              <w:rPr>
                <w:rFonts w:ascii="Times New Roman" w:hAnsi="Times New Roman"/>
                <w:color w:val="000000"/>
                <w:lang w:val="en-US" w:eastAsia="en-US"/>
              </w:rPr>
            </w:pPr>
            <w:r w:rsidRPr="00C935BD">
              <w:rPr>
                <w:rFonts w:ascii="Times New Roman" w:hAnsi="Times New Roman"/>
                <w:color w:val="000000"/>
                <w:lang w:eastAsia="en-US"/>
              </w:rPr>
              <w:t>7133100</w:t>
            </w:r>
          </w:p>
        </w:tc>
        <w:tc>
          <w:tcPr>
            <w:tcW w:w="14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7E7C45" w14:textId="77777777" w:rsidR="00073148" w:rsidRPr="00C935BD" w:rsidRDefault="00073148" w:rsidP="003642F4">
            <w:pPr>
              <w:spacing w:after="0"/>
              <w:jc w:val="center"/>
              <w:rPr>
                <w:rFonts w:ascii="Times New Roman" w:hAnsi="Times New Roman"/>
                <w:color w:val="000000"/>
                <w:lang w:val="en-US" w:eastAsia="en-US"/>
              </w:rPr>
            </w:pPr>
            <w:r w:rsidRPr="00C935BD">
              <w:rPr>
                <w:rFonts w:ascii="Times New Roman" w:hAnsi="Times New Roman"/>
                <w:color w:val="000000"/>
                <w:lang w:eastAsia="es-DO"/>
              </w:rPr>
              <w:t>47%</w:t>
            </w:r>
          </w:p>
        </w:tc>
      </w:tr>
      <w:tr w:rsidR="00073148" w:rsidRPr="00C935BD" w14:paraId="26C51010" w14:textId="77777777" w:rsidTr="003642F4">
        <w:trPr>
          <w:trHeight w:val="315"/>
          <w:jc w:val="center"/>
        </w:trPr>
        <w:tc>
          <w:tcPr>
            <w:tcW w:w="2452" w:type="dxa"/>
            <w:vMerge/>
            <w:tcBorders>
              <w:top w:val="nil"/>
              <w:left w:val="single" w:sz="4" w:space="0" w:color="auto"/>
              <w:bottom w:val="single" w:sz="4" w:space="0" w:color="auto"/>
              <w:right w:val="single" w:sz="4" w:space="0" w:color="auto"/>
            </w:tcBorders>
            <w:vAlign w:val="center"/>
            <w:hideMark/>
          </w:tcPr>
          <w:p w14:paraId="6B54EDE8" w14:textId="77777777" w:rsidR="00073148" w:rsidRPr="00C935BD" w:rsidRDefault="00073148" w:rsidP="003642F4">
            <w:pPr>
              <w:spacing w:after="0"/>
              <w:rPr>
                <w:rFonts w:ascii="Times New Roman" w:hAnsi="Times New Roman"/>
                <w:color w:val="000000"/>
                <w:lang w:val="en-US" w:eastAsia="en-US"/>
              </w:rPr>
            </w:pPr>
          </w:p>
        </w:tc>
        <w:tc>
          <w:tcPr>
            <w:tcW w:w="1660" w:type="dxa"/>
            <w:tcBorders>
              <w:top w:val="nil"/>
              <w:left w:val="nil"/>
              <w:bottom w:val="single" w:sz="4" w:space="0" w:color="auto"/>
              <w:right w:val="single" w:sz="4" w:space="0" w:color="auto"/>
            </w:tcBorders>
            <w:shd w:val="clear" w:color="auto" w:fill="auto"/>
            <w:noWrap/>
            <w:vAlign w:val="center"/>
            <w:hideMark/>
          </w:tcPr>
          <w:p w14:paraId="3437C429" w14:textId="77777777" w:rsidR="00073148" w:rsidRPr="00C935BD" w:rsidRDefault="00073148" w:rsidP="003642F4">
            <w:pPr>
              <w:spacing w:after="0"/>
              <w:jc w:val="center"/>
              <w:rPr>
                <w:rFonts w:ascii="Times New Roman" w:hAnsi="Times New Roman"/>
                <w:color w:val="000000"/>
                <w:lang w:val="en-US" w:eastAsia="en-US"/>
              </w:rPr>
            </w:pPr>
            <w:r w:rsidRPr="00C935BD">
              <w:rPr>
                <w:rFonts w:ascii="Times New Roman" w:hAnsi="Times New Roman"/>
                <w:color w:val="000000"/>
                <w:lang w:eastAsia="en-US"/>
              </w:rPr>
              <w:t>7133200</w:t>
            </w:r>
          </w:p>
        </w:tc>
        <w:tc>
          <w:tcPr>
            <w:tcW w:w="1416" w:type="dxa"/>
            <w:vMerge/>
            <w:tcBorders>
              <w:top w:val="nil"/>
              <w:left w:val="single" w:sz="4" w:space="0" w:color="auto"/>
              <w:bottom w:val="single" w:sz="4" w:space="0" w:color="auto"/>
              <w:right w:val="single" w:sz="4" w:space="0" w:color="auto"/>
            </w:tcBorders>
            <w:vAlign w:val="center"/>
            <w:hideMark/>
          </w:tcPr>
          <w:p w14:paraId="5A6D1B81" w14:textId="77777777" w:rsidR="00073148" w:rsidRPr="00C935BD" w:rsidRDefault="00073148" w:rsidP="003642F4">
            <w:pPr>
              <w:spacing w:after="0"/>
              <w:rPr>
                <w:rFonts w:ascii="Times New Roman" w:hAnsi="Times New Roman"/>
                <w:color w:val="000000"/>
                <w:lang w:val="en-US" w:eastAsia="en-US"/>
              </w:rPr>
            </w:pPr>
          </w:p>
        </w:tc>
      </w:tr>
      <w:tr w:rsidR="00073148" w:rsidRPr="00C935BD" w14:paraId="51AEB7CC" w14:textId="77777777" w:rsidTr="003642F4">
        <w:trPr>
          <w:trHeight w:val="315"/>
          <w:jc w:val="center"/>
        </w:trPr>
        <w:tc>
          <w:tcPr>
            <w:tcW w:w="2452" w:type="dxa"/>
            <w:vMerge/>
            <w:tcBorders>
              <w:top w:val="nil"/>
              <w:left w:val="single" w:sz="4" w:space="0" w:color="auto"/>
              <w:bottom w:val="single" w:sz="4" w:space="0" w:color="auto"/>
              <w:right w:val="single" w:sz="4" w:space="0" w:color="auto"/>
            </w:tcBorders>
            <w:vAlign w:val="center"/>
            <w:hideMark/>
          </w:tcPr>
          <w:p w14:paraId="7105F460" w14:textId="77777777" w:rsidR="00073148" w:rsidRPr="00C935BD" w:rsidRDefault="00073148" w:rsidP="003642F4">
            <w:pPr>
              <w:spacing w:after="0"/>
              <w:rPr>
                <w:rFonts w:ascii="Times New Roman" w:hAnsi="Times New Roman"/>
                <w:color w:val="000000"/>
                <w:lang w:val="en-US" w:eastAsia="en-US"/>
              </w:rPr>
            </w:pPr>
          </w:p>
        </w:tc>
        <w:tc>
          <w:tcPr>
            <w:tcW w:w="1660" w:type="dxa"/>
            <w:tcBorders>
              <w:top w:val="nil"/>
              <w:left w:val="nil"/>
              <w:bottom w:val="single" w:sz="4" w:space="0" w:color="auto"/>
              <w:right w:val="single" w:sz="4" w:space="0" w:color="auto"/>
            </w:tcBorders>
            <w:shd w:val="clear" w:color="auto" w:fill="auto"/>
            <w:noWrap/>
            <w:vAlign w:val="center"/>
            <w:hideMark/>
          </w:tcPr>
          <w:p w14:paraId="0C7CFA6B" w14:textId="77777777" w:rsidR="00073148" w:rsidRPr="00C935BD" w:rsidRDefault="00073148" w:rsidP="003642F4">
            <w:pPr>
              <w:spacing w:after="0"/>
              <w:jc w:val="center"/>
              <w:rPr>
                <w:rFonts w:ascii="Times New Roman" w:hAnsi="Times New Roman"/>
                <w:color w:val="000000"/>
                <w:lang w:val="en-US" w:eastAsia="en-US"/>
              </w:rPr>
            </w:pPr>
            <w:r w:rsidRPr="00C935BD">
              <w:rPr>
                <w:rFonts w:ascii="Times New Roman" w:hAnsi="Times New Roman"/>
                <w:color w:val="000000"/>
                <w:lang w:eastAsia="en-US"/>
              </w:rPr>
              <w:t>7133300</w:t>
            </w:r>
          </w:p>
        </w:tc>
        <w:tc>
          <w:tcPr>
            <w:tcW w:w="1416" w:type="dxa"/>
            <w:vMerge/>
            <w:tcBorders>
              <w:top w:val="nil"/>
              <w:left w:val="single" w:sz="4" w:space="0" w:color="auto"/>
              <w:bottom w:val="single" w:sz="4" w:space="0" w:color="auto"/>
              <w:right w:val="single" w:sz="4" w:space="0" w:color="auto"/>
            </w:tcBorders>
            <w:vAlign w:val="center"/>
            <w:hideMark/>
          </w:tcPr>
          <w:p w14:paraId="319F91F2" w14:textId="77777777" w:rsidR="00073148" w:rsidRPr="00C935BD" w:rsidRDefault="00073148" w:rsidP="003642F4">
            <w:pPr>
              <w:spacing w:after="0"/>
              <w:rPr>
                <w:rFonts w:ascii="Times New Roman" w:hAnsi="Times New Roman"/>
                <w:color w:val="000000"/>
                <w:lang w:val="en-US" w:eastAsia="en-US"/>
              </w:rPr>
            </w:pPr>
          </w:p>
        </w:tc>
      </w:tr>
    </w:tbl>
    <w:p w14:paraId="36CDE081" w14:textId="77777777" w:rsidR="00073148" w:rsidRPr="00C935BD" w:rsidRDefault="00073148" w:rsidP="00073148">
      <w:pPr>
        <w:spacing w:after="0" w:line="480" w:lineRule="auto"/>
        <w:rPr>
          <w:rFonts w:ascii="Times New Roman" w:hAnsi="Times New Roman"/>
          <w:lang w:val="es-ES_tradnl"/>
        </w:rPr>
      </w:pPr>
    </w:p>
    <w:p w14:paraId="23BBCB71" w14:textId="77777777" w:rsidR="00F541A4" w:rsidRPr="00636E73" w:rsidRDefault="00A13404" w:rsidP="00CA5792">
      <w:pPr>
        <w:pStyle w:val="Ttulo3"/>
      </w:pPr>
      <w:bookmarkStart w:id="249" w:name="_Toc26292084"/>
      <w:bookmarkStart w:id="250" w:name="_Toc27146792"/>
      <w:r w:rsidRPr="00636E73">
        <w:lastRenderedPageBreak/>
        <w:t>Servicios de a</w:t>
      </w:r>
      <w:r w:rsidR="00F541A4" w:rsidRPr="00636E73">
        <w:t>signación de contingentes arancelarios (DR-CAFTA)</w:t>
      </w:r>
      <w:bookmarkEnd w:id="249"/>
      <w:bookmarkEnd w:id="250"/>
    </w:p>
    <w:p w14:paraId="21768FB6" w14:textId="77777777" w:rsidR="004245EB" w:rsidRDefault="004245EB" w:rsidP="00D14D5A">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76787501" w14:textId="77777777" w:rsidR="00EF074A" w:rsidRPr="00636E73" w:rsidRDefault="00D14D5A" w:rsidP="00D14D5A">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r w:rsidRPr="00636E73">
        <w:rPr>
          <w:rFonts w:ascii="Times New Roman" w:hAnsi="Times New Roman"/>
          <w:lang w:val="es-ES_tradnl"/>
        </w:rPr>
        <w:t xml:space="preserve">En el marco del Tratado de Libre Comercio (TLC), suscrito con Centroamérica </w:t>
      </w:r>
      <w:r w:rsidRPr="00636E73">
        <w:rPr>
          <w:rFonts w:ascii="Times New Roman" w:hAnsi="Times New Roman"/>
          <w:color w:val="000000" w:themeColor="text1"/>
          <w:lang w:val="es-ES_tradnl"/>
        </w:rPr>
        <w:t xml:space="preserve">y los Estados Unidos (DR-CAFTA por sus siglas en inglés), la República Dominicana posee una lista de mercancías cuyas importaciones pueden ingresar al territorio </w:t>
      </w:r>
      <w:r w:rsidR="000B2598" w:rsidRPr="00636E73">
        <w:rPr>
          <w:rFonts w:ascii="Times New Roman" w:hAnsi="Times New Roman"/>
          <w:color w:val="000000" w:themeColor="text1"/>
          <w:lang w:val="es-ES_tradnl"/>
        </w:rPr>
        <w:t>dominicano</w:t>
      </w:r>
      <w:r w:rsidRPr="00636E73">
        <w:rPr>
          <w:rFonts w:ascii="Times New Roman" w:hAnsi="Times New Roman"/>
          <w:color w:val="000000" w:themeColor="text1"/>
          <w:lang w:val="es-ES_tradnl"/>
        </w:rPr>
        <w:t xml:space="preserve"> libre de arancel, pero bajo contingentes arancelarios. </w:t>
      </w:r>
    </w:p>
    <w:p w14:paraId="062DA818" w14:textId="77777777" w:rsidR="00EF074A" w:rsidRPr="00636E73" w:rsidRDefault="00EF074A" w:rsidP="00D14D5A">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color w:val="000000" w:themeColor="text1"/>
          <w:lang w:val="es-ES_tradnl"/>
        </w:rPr>
      </w:pPr>
    </w:p>
    <w:p w14:paraId="20965698" w14:textId="4FCDA4DA" w:rsidR="00D14D5A" w:rsidRPr="00144923" w:rsidRDefault="00D14D5A" w:rsidP="00D14D5A">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color w:val="4F81BD" w:themeColor="accent1"/>
          <w:lang w:val="es-ES_tradnl"/>
        </w:rPr>
      </w:pPr>
      <w:r w:rsidRPr="00636E73">
        <w:rPr>
          <w:rFonts w:ascii="Times New Roman" w:hAnsi="Times New Roman"/>
          <w:color w:val="000000" w:themeColor="text1"/>
          <w:lang w:val="es-ES_tradnl"/>
        </w:rPr>
        <w:t xml:space="preserve">Dichos contingentes arancelarios </w:t>
      </w:r>
      <w:r w:rsidR="00636E73" w:rsidRPr="00636E73">
        <w:rPr>
          <w:rFonts w:ascii="Times New Roman" w:hAnsi="Times New Roman"/>
          <w:color w:val="000000" w:themeColor="text1"/>
          <w:lang w:val="es-ES_tradnl"/>
        </w:rPr>
        <w:t xml:space="preserve">son distribuidos </w:t>
      </w:r>
      <w:r w:rsidRPr="00636E73">
        <w:rPr>
          <w:rFonts w:ascii="Times New Roman" w:hAnsi="Times New Roman"/>
          <w:color w:val="000000" w:themeColor="text1"/>
          <w:lang w:val="es-ES_tradnl"/>
        </w:rPr>
        <w:t>con base en el récord histórico de importación del solicitante y de las cantidades disponibles para importadores tradicionales e importadores nuevos, en el año calendario correspondiente. En el caso de un remanente, el mismo se reasigna a personas físicas o jurídicas que lo soliciten y cumplan con los requisitos de elegibilidad previstos en el Reglamento no. 505-10.</w:t>
      </w:r>
    </w:p>
    <w:p w14:paraId="4284CFB3" w14:textId="77777777" w:rsidR="00D14D5A" w:rsidRPr="00144923" w:rsidRDefault="00D14D5A" w:rsidP="00D14D5A">
      <w:pPr>
        <w:spacing w:after="0" w:line="360" w:lineRule="auto"/>
        <w:jc w:val="both"/>
        <w:rPr>
          <w:rFonts w:ascii="Times New Roman" w:hAnsi="Times New Roman"/>
          <w:color w:val="4F81BD" w:themeColor="accent1"/>
          <w:lang w:val="es-ES_tradnl"/>
        </w:rPr>
      </w:pPr>
    </w:p>
    <w:p w14:paraId="7C20CEA1" w14:textId="77777777" w:rsidR="00EF074A" w:rsidRPr="004732F0" w:rsidRDefault="00D14D5A" w:rsidP="00D14D5A">
      <w:pPr>
        <w:spacing w:after="0" w:line="480" w:lineRule="auto"/>
        <w:ind w:firstLine="720"/>
        <w:jc w:val="both"/>
        <w:rPr>
          <w:rFonts w:ascii="Times New Roman" w:hAnsi="Times New Roman"/>
          <w:color w:val="000000" w:themeColor="text1"/>
          <w:lang w:val="es-ES_tradnl"/>
        </w:rPr>
      </w:pPr>
      <w:r w:rsidRPr="004732F0">
        <w:rPr>
          <w:rFonts w:ascii="Times New Roman" w:hAnsi="Times New Roman"/>
          <w:color w:val="000000" w:themeColor="text1"/>
          <w:lang w:val="es-ES_tradnl"/>
        </w:rPr>
        <w:t>Las asignaciones de importaciones de productos agropecuarios dentro de los contingentes arancelarios incluidos en el tratado de Libre Comercio de la República Dominicana con Centroamérica y</w:t>
      </w:r>
      <w:r w:rsidR="00EF074A" w:rsidRPr="004732F0">
        <w:rPr>
          <w:rFonts w:ascii="Times New Roman" w:hAnsi="Times New Roman"/>
          <w:color w:val="000000" w:themeColor="text1"/>
          <w:lang w:val="es-ES_tradnl"/>
        </w:rPr>
        <w:t xml:space="preserve"> los Estados Unidos (DR-CAFTA).</w:t>
      </w:r>
    </w:p>
    <w:p w14:paraId="11A3F712" w14:textId="77777777" w:rsidR="00EF074A" w:rsidRPr="004732F0" w:rsidRDefault="00EF074A" w:rsidP="00D14D5A">
      <w:pPr>
        <w:spacing w:after="0" w:line="480" w:lineRule="auto"/>
        <w:ind w:firstLine="720"/>
        <w:jc w:val="both"/>
        <w:rPr>
          <w:rFonts w:ascii="Times New Roman" w:hAnsi="Times New Roman"/>
          <w:color w:val="000000" w:themeColor="text1"/>
          <w:lang w:val="es-ES_tradnl"/>
        </w:rPr>
      </w:pPr>
    </w:p>
    <w:p w14:paraId="5A4A1553" w14:textId="5051A01E" w:rsidR="00EF074A" w:rsidRPr="004732F0" w:rsidRDefault="00EF074A" w:rsidP="00D14D5A">
      <w:pPr>
        <w:spacing w:after="0" w:line="480" w:lineRule="auto"/>
        <w:ind w:firstLine="720"/>
        <w:jc w:val="both"/>
        <w:rPr>
          <w:rFonts w:ascii="Times New Roman" w:hAnsi="Times New Roman"/>
          <w:color w:val="000000" w:themeColor="text1"/>
          <w:lang w:val="es-ES_tradnl"/>
        </w:rPr>
      </w:pPr>
      <w:r w:rsidRPr="004732F0">
        <w:rPr>
          <w:rFonts w:ascii="Times New Roman" w:hAnsi="Times New Roman"/>
          <w:color w:val="000000" w:themeColor="text1"/>
          <w:lang w:val="es-ES_tradnl"/>
        </w:rPr>
        <w:t>S</w:t>
      </w:r>
      <w:r w:rsidR="00D14D5A" w:rsidRPr="004732F0">
        <w:rPr>
          <w:rFonts w:ascii="Times New Roman" w:hAnsi="Times New Roman"/>
          <w:color w:val="000000" w:themeColor="text1"/>
          <w:lang w:val="es-ES_tradnl"/>
        </w:rPr>
        <w:t xml:space="preserve">e adjudicó un volumen de </w:t>
      </w:r>
      <w:r w:rsidR="006A3E58" w:rsidRPr="004732F0">
        <w:rPr>
          <w:rFonts w:ascii="Times New Roman" w:hAnsi="Times New Roman"/>
          <w:color w:val="000000" w:themeColor="text1"/>
          <w:lang w:val="es-ES_tradnl"/>
        </w:rPr>
        <w:t>63,418</w:t>
      </w:r>
      <w:r w:rsidR="00D14D5A" w:rsidRPr="004732F0">
        <w:rPr>
          <w:rFonts w:ascii="Times New Roman" w:hAnsi="Times New Roman"/>
          <w:color w:val="000000" w:themeColor="text1"/>
          <w:lang w:val="es-ES_tradnl"/>
        </w:rPr>
        <w:t xml:space="preserve"> toneladas métricas de productos agrícolas,</w:t>
      </w:r>
      <w:r w:rsidR="006A3E58" w:rsidRPr="004732F0">
        <w:rPr>
          <w:rFonts w:ascii="Times New Roman" w:hAnsi="Times New Roman"/>
          <w:color w:val="000000" w:themeColor="text1"/>
          <w:lang w:val="es-ES_tradnl"/>
        </w:rPr>
        <w:t xml:space="preserve"> derivados lácteos, y cárnicos</w:t>
      </w:r>
      <w:r w:rsidR="00D14D5A" w:rsidRPr="004732F0">
        <w:rPr>
          <w:rFonts w:ascii="Times New Roman" w:hAnsi="Times New Roman"/>
          <w:color w:val="000000" w:themeColor="text1"/>
          <w:lang w:val="es-ES_tradnl"/>
        </w:rPr>
        <w:t xml:space="preserve">, beneficiando directamente a empresas privadas </w:t>
      </w:r>
      <w:r w:rsidR="006A3E58" w:rsidRPr="004732F0">
        <w:rPr>
          <w:rFonts w:ascii="Times New Roman" w:hAnsi="Times New Roman"/>
          <w:color w:val="000000" w:themeColor="text1"/>
          <w:lang w:val="es-ES_tradnl"/>
        </w:rPr>
        <w:t xml:space="preserve">y/o personas físicas con </w:t>
      </w:r>
      <w:r w:rsidR="00D14D5A" w:rsidRPr="004732F0">
        <w:rPr>
          <w:rFonts w:ascii="Times New Roman" w:hAnsi="Times New Roman"/>
          <w:color w:val="000000" w:themeColor="text1"/>
          <w:lang w:val="es-ES_tradnl"/>
        </w:rPr>
        <w:t>los 17 productos colocados a disposi</w:t>
      </w:r>
      <w:r w:rsidRPr="004732F0">
        <w:rPr>
          <w:rFonts w:ascii="Times New Roman" w:hAnsi="Times New Roman"/>
          <w:color w:val="000000" w:themeColor="text1"/>
          <w:lang w:val="es-ES_tradnl"/>
        </w:rPr>
        <w:t>ción de la comunidad comercial.</w:t>
      </w:r>
    </w:p>
    <w:p w14:paraId="6720FC4C" w14:textId="77777777" w:rsidR="00EF074A" w:rsidRPr="004732F0" w:rsidRDefault="00EF074A" w:rsidP="00D14D5A">
      <w:pPr>
        <w:spacing w:after="0" w:line="480" w:lineRule="auto"/>
        <w:ind w:firstLine="720"/>
        <w:jc w:val="both"/>
        <w:rPr>
          <w:rFonts w:ascii="Times New Roman" w:hAnsi="Times New Roman"/>
          <w:color w:val="000000" w:themeColor="text1"/>
          <w:lang w:val="es-ES_tradnl"/>
        </w:rPr>
      </w:pPr>
    </w:p>
    <w:p w14:paraId="777BE611" w14:textId="0BF60AB0" w:rsidR="00D14D5A" w:rsidRDefault="00EF074A" w:rsidP="00D14D5A">
      <w:pPr>
        <w:spacing w:after="0" w:line="480" w:lineRule="auto"/>
        <w:ind w:firstLine="720"/>
        <w:jc w:val="both"/>
        <w:rPr>
          <w:rFonts w:ascii="Times New Roman" w:hAnsi="Times New Roman"/>
          <w:lang w:val="es-ES_tradnl"/>
        </w:rPr>
      </w:pPr>
      <w:r w:rsidRPr="004732F0">
        <w:rPr>
          <w:rFonts w:ascii="Times New Roman" w:hAnsi="Times New Roman"/>
          <w:color w:val="000000" w:themeColor="text1"/>
          <w:lang w:val="es-ES_tradnl"/>
        </w:rPr>
        <w:lastRenderedPageBreak/>
        <w:t xml:space="preserve">Con estas asignaciones </w:t>
      </w:r>
      <w:r w:rsidR="00D14D5A" w:rsidRPr="004732F0">
        <w:rPr>
          <w:rFonts w:ascii="Times New Roman" w:hAnsi="Times New Roman"/>
          <w:color w:val="000000" w:themeColor="text1"/>
          <w:lang w:val="es-ES_tradnl"/>
        </w:rPr>
        <w:t xml:space="preserve">se </w:t>
      </w:r>
      <w:r w:rsidRPr="004732F0">
        <w:rPr>
          <w:rFonts w:ascii="Times New Roman" w:hAnsi="Times New Roman"/>
          <w:color w:val="000000" w:themeColor="text1"/>
          <w:lang w:val="es-ES_tradnl"/>
        </w:rPr>
        <w:t>logró importar</w:t>
      </w:r>
      <w:r w:rsidR="00D14D5A" w:rsidRPr="004732F0">
        <w:rPr>
          <w:rFonts w:ascii="Times New Roman" w:hAnsi="Times New Roman"/>
          <w:color w:val="000000" w:themeColor="text1"/>
          <w:lang w:val="es-ES_tradnl"/>
        </w:rPr>
        <w:t xml:space="preserve"> un volumen total de </w:t>
      </w:r>
      <w:r w:rsidR="006A3E58" w:rsidRPr="004732F0">
        <w:rPr>
          <w:rFonts w:ascii="Times New Roman" w:hAnsi="Times New Roman"/>
          <w:color w:val="000000" w:themeColor="text1"/>
          <w:lang w:val="es-ES_tradnl"/>
        </w:rPr>
        <w:t>38,749</w:t>
      </w:r>
      <w:r w:rsidR="00D14D5A" w:rsidRPr="004732F0">
        <w:rPr>
          <w:rFonts w:ascii="Times New Roman" w:hAnsi="Times New Roman"/>
          <w:color w:val="000000" w:themeColor="text1"/>
          <w:lang w:val="es-ES_tradnl"/>
        </w:rPr>
        <w:t xml:space="preserve"> Toneladas Métricas, desde Estados Unidos, Costa Rica y Nicaragua equivalente a una tasa </w:t>
      </w:r>
      <w:r w:rsidR="00D14D5A" w:rsidRPr="004732F0">
        <w:rPr>
          <w:rFonts w:ascii="Times New Roman" w:hAnsi="Times New Roman"/>
          <w:lang w:val="es-ES_tradnl"/>
        </w:rPr>
        <w:t xml:space="preserve">de utilización del </w:t>
      </w:r>
      <w:r w:rsidR="006A3E58" w:rsidRPr="004732F0">
        <w:rPr>
          <w:rFonts w:ascii="Times New Roman" w:hAnsi="Times New Roman"/>
          <w:lang w:val="es-ES_tradnl"/>
        </w:rPr>
        <w:t>61.10</w:t>
      </w:r>
      <w:r w:rsidR="00D14D5A" w:rsidRPr="004732F0">
        <w:rPr>
          <w:rFonts w:ascii="Times New Roman" w:hAnsi="Times New Roman"/>
          <w:lang w:val="es-ES_tradnl"/>
        </w:rPr>
        <w:t xml:space="preserve">%, según tabla no. </w:t>
      </w:r>
      <w:r w:rsidR="004732F0" w:rsidRPr="004732F0">
        <w:rPr>
          <w:rFonts w:ascii="Times New Roman" w:hAnsi="Times New Roman"/>
          <w:lang w:val="es-ES_tradnl"/>
        </w:rPr>
        <w:t>21</w:t>
      </w:r>
      <w:r w:rsidR="00D14D5A" w:rsidRPr="004732F0">
        <w:rPr>
          <w:rFonts w:ascii="Times New Roman" w:hAnsi="Times New Roman"/>
          <w:lang w:val="es-ES_tradnl"/>
        </w:rPr>
        <w:t>.</w:t>
      </w:r>
    </w:p>
    <w:p w14:paraId="6736210B" w14:textId="68E320CE" w:rsidR="004245EB" w:rsidRDefault="004245EB">
      <w:pPr>
        <w:spacing w:after="0"/>
        <w:rPr>
          <w:rFonts w:ascii="Times New Roman" w:hAnsi="Times New Roman"/>
          <w:lang w:val="es-ES_tradnl"/>
        </w:rPr>
      </w:pPr>
    </w:p>
    <w:p w14:paraId="229EA167" w14:textId="01721AF5" w:rsidR="00AF1106" w:rsidRDefault="00AF1106" w:rsidP="001C6B1A">
      <w:pPr>
        <w:pStyle w:val="Prrafodelista"/>
        <w:numPr>
          <w:ilvl w:val="0"/>
          <w:numId w:val="9"/>
        </w:numPr>
        <w:spacing w:after="0"/>
        <w:ind w:left="567" w:hanging="567"/>
        <w:rPr>
          <w:rFonts w:ascii="Times New Roman" w:hAnsi="Times New Roman"/>
          <w:b/>
          <w:color w:val="000000" w:themeColor="text1"/>
          <w:sz w:val="24"/>
          <w:lang w:val="es-ES_tradnl"/>
        </w:rPr>
      </w:pPr>
      <w:r w:rsidRPr="00004AE2">
        <w:rPr>
          <w:rFonts w:ascii="Times New Roman" w:hAnsi="Times New Roman"/>
          <w:b/>
          <w:color w:val="000000" w:themeColor="text1"/>
          <w:sz w:val="24"/>
          <w:lang w:val="es-ES_tradnl"/>
        </w:rPr>
        <w:t>Administración de contingentes arancelarios del DR-CAFTA</w:t>
      </w:r>
      <w:r w:rsidR="006A13E0" w:rsidRPr="00004AE2">
        <w:rPr>
          <w:rFonts w:ascii="Times New Roman" w:hAnsi="Times New Roman"/>
          <w:b/>
          <w:color w:val="000000" w:themeColor="text1"/>
          <w:sz w:val="24"/>
          <w:lang w:val="es-ES_tradnl"/>
        </w:rPr>
        <w:t xml:space="preserve"> </w:t>
      </w:r>
    </w:p>
    <w:p w14:paraId="1180D6CA" w14:textId="77777777" w:rsidR="00073148" w:rsidRDefault="00073148" w:rsidP="00073148">
      <w:pPr>
        <w:pStyle w:val="Prrafodelista"/>
        <w:spacing w:after="0"/>
        <w:ind w:left="567"/>
        <w:rPr>
          <w:rFonts w:ascii="Times New Roman" w:hAnsi="Times New Roman"/>
          <w:b/>
          <w:color w:val="000000" w:themeColor="text1"/>
          <w:sz w:val="24"/>
          <w:lang w:val="es-ES_tradnl"/>
        </w:rPr>
      </w:pPr>
    </w:p>
    <w:tbl>
      <w:tblPr>
        <w:tblW w:w="9796" w:type="dxa"/>
        <w:jc w:val="center"/>
        <w:tblCellMar>
          <w:left w:w="70" w:type="dxa"/>
          <w:right w:w="70" w:type="dxa"/>
        </w:tblCellMar>
        <w:tblLook w:val="04A0" w:firstRow="1" w:lastRow="0" w:firstColumn="1" w:lastColumn="0" w:noHBand="0" w:noVBand="1"/>
      </w:tblPr>
      <w:tblGrid>
        <w:gridCol w:w="2625"/>
        <w:gridCol w:w="1559"/>
        <w:gridCol w:w="1418"/>
        <w:gridCol w:w="1407"/>
        <w:gridCol w:w="1247"/>
        <w:gridCol w:w="1540"/>
      </w:tblGrid>
      <w:tr w:rsidR="00C064DD" w:rsidRPr="004732F0" w14:paraId="55776485" w14:textId="3624F73F" w:rsidTr="004245EB">
        <w:trPr>
          <w:trHeight w:val="510"/>
          <w:jc w:val="center"/>
        </w:trPr>
        <w:tc>
          <w:tcPr>
            <w:tcW w:w="2625"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3AA2B04E" w14:textId="77777777" w:rsidR="00C064DD" w:rsidRPr="004732F0" w:rsidRDefault="00C064DD" w:rsidP="0081324D">
            <w:pPr>
              <w:spacing w:after="0"/>
              <w:jc w:val="center"/>
              <w:rPr>
                <w:rFonts w:ascii="Times New Roman" w:hAnsi="Times New Roman"/>
                <w:b/>
                <w:bCs/>
                <w:color w:val="FFFFFF" w:themeColor="background1"/>
                <w:lang w:eastAsia="es-DO"/>
              </w:rPr>
            </w:pPr>
            <w:r w:rsidRPr="004732F0">
              <w:rPr>
                <w:rFonts w:ascii="Times New Roman" w:hAnsi="Times New Roman"/>
                <w:b/>
                <w:bCs/>
                <w:color w:val="FFFFFF" w:themeColor="background1"/>
                <w:lang w:eastAsia="es-DO"/>
              </w:rPr>
              <w:t>Designación de la mercancía</w:t>
            </w:r>
            <w:r w:rsidRPr="004732F0">
              <w:rPr>
                <w:rStyle w:val="Refdenotaalpie"/>
                <w:rFonts w:ascii="Times New Roman" w:hAnsi="Times New Roman"/>
                <w:b/>
                <w:bCs/>
                <w:color w:val="FFFFFF" w:themeColor="background1"/>
                <w:lang w:eastAsia="es-DO"/>
              </w:rPr>
              <w:footnoteReference w:id="23"/>
            </w:r>
          </w:p>
        </w:tc>
        <w:tc>
          <w:tcPr>
            <w:tcW w:w="1559" w:type="dxa"/>
            <w:tcBorders>
              <w:top w:val="single" w:sz="4" w:space="0" w:color="auto"/>
              <w:left w:val="nil"/>
              <w:bottom w:val="single" w:sz="4" w:space="0" w:color="auto"/>
              <w:right w:val="single" w:sz="4" w:space="0" w:color="auto"/>
            </w:tcBorders>
            <w:shd w:val="clear" w:color="auto" w:fill="00B050"/>
            <w:vAlign w:val="center"/>
            <w:hideMark/>
          </w:tcPr>
          <w:p w14:paraId="0E52698B" w14:textId="77777777" w:rsidR="00C064DD" w:rsidRPr="004732F0" w:rsidRDefault="00C064DD" w:rsidP="0081324D">
            <w:pPr>
              <w:spacing w:after="0"/>
              <w:jc w:val="center"/>
              <w:rPr>
                <w:rFonts w:ascii="Times New Roman" w:hAnsi="Times New Roman"/>
                <w:b/>
                <w:bCs/>
                <w:color w:val="FFFFFF" w:themeColor="background1"/>
                <w:lang w:eastAsia="es-DO"/>
              </w:rPr>
            </w:pPr>
            <w:r w:rsidRPr="004732F0">
              <w:rPr>
                <w:rFonts w:ascii="Times New Roman" w:hAnsi="Times New Roman"/>
                <w:b/>
                <w:bCs/>
                <w:color w:val="FFFFFF" w:themeColor="background1"/>
                <w:lang w:eastAsia="es-DO"/>
              </w:rPr>
              <w:t>País de procedencia</w:t>
            </w:r>
          </w:p>
        </w:tc>
        <w:tc>
          <w:tcPr>
            <w:tcW w:w="1418" w:type="dxa"/>
            <w:tcBorders>
              <w:top w:val="single" w:sz="4" w:space="0" w:color="auto"/>
              <w:left w:val="nil"/>
              <w:bottom w:val="single" w:sz="4" w:space="0" w:color="auto"/>
              <w:right w:val="single" w:sz="4" w:space="0" w:color="auto"/>
            </w:tcBorders>
            <w:shd w:val="clear" w:color="auto" w:fill="00B050"/>
            <w:vAlign w:val="center"/>
            <w:hideMark/>
          </w:tcPr>
          <w:p w14:paraId="0AA7BEBC" w14:textId="77777777" w:rsidR="00C064DD" w:rsidRPr="004732F0" w:rsidRDefault="00C064DD" w:rsidP="0081324D">
            <w:pPr>
              <w:spacing w:after="0"/>
              <w:jc w:val="center"/>
              <w:rPr>
                <w:rFonts w:ascii="Times New Roman" w:hAnsi="Times New Roman"/>
                <w:b/>
                <w:bCs/>
                <w:color w:val="FFFFFF" w:themeColor="background1"/>
                <w:lang w:eastAsia="es-DO"/>
              </w:rPr>
            </w:pPr>
            <w:r w:rsidRPr="004732F0">
              <w:rPr>
                <w:rFonts w:ascii="Times New Roman" w:hAnsi="Times New Roman"/>
                <w:b/>
                <w:bCs/>
                <w:color w:val="FFFFFF" w:themeColor="background1"/>
                <w:lang w:eastAsia="es-DO"/>
              </w:rPr>
              <w:t>Volumen Permitido</w:t>
            </w:r>
            <w:r w:rsidRPr="004732F0">
              <w:rPr>
                <w:rStyle w:val="Refdenotaalpie"/>
                <w:rFonts w:ascii="Times New Roman" w:hAnsi="Times New Roman"/>
                <w:color w:val="FFFFFF" w:themeColor="background1"/>
                <w:lang w:eastAsia="es-DO"/>
              </w:rPr>
              <w:footnoteReference w:id="24"/>
            </w:r>
          </w:p>
        </w:tc>
        <w:tc>
          <w:tcPr>
            <w:tcW w:w="1407" w:type="dxa"/>
            <w:tcBorders>
              <w:top w:val="single" w:sz="4" w:space="0" w:color="auto"/>
              <w:left w:val="nil"/>
              <w:bottom w:val="single" w:sz="4" w:space="0" w:color="auto"/>
              <w:right w:val="single" w:sz="4" w:space="0" w:color="auto"/>
            </w:tcBorders>
            <w:shd w:val="clear" w:color="auto" w:fill="00B050"/>
            <w:vAlign w:val="center"/>
            <w:hideMark/>
          </w:tcPr>
          <w:p w14:paraId="604CDF7A" w14:textId="77777777" w:rsidR="00C064DD" w:rsidRPr="004732F0" w:rsidRDefault="00C064DD" w:rsidP="0081324D">
            <w:pPr>
              <w:spacing w:after="0"/>
              <w:jc w:val="center"/>
              <w:rPr>
                <w:rFonts w:ascii="Times New Roman" w:hAnsi="Times New Roman"/>
                <w:b/>
                <w:bCs/>
                <w:color w:val="FFFFFF" w:themeColor="background1"/>
                <w:lang w:eastAsia="es-DO"/>
              </w:rPr>
            </w:pPr>
            <w:r w:rsidRPr="004732F0">
              <w:rPr>
                <w:rFonts w:ascii="Times New Roman" w:hAnsi="Times New Roman"/>
                <w:b/>
                <w:bCs/>
                <w:color w:val="FFFFFF" w:themeColor="background1"/>
                <w:lang w:eastAsia="es-DO"/>
              </w:rPr>
              <w:t>Volumen Importado</w:t>
            </w:r>
          </w:p>
        </w:tc>
        <w:tc>
          <w:tcPr>
            <w:tcW w:w="1247" w:type="dxa"/>
            <w:tcBorders>
              <w:top w:val="single" w:sz="4" w:space="0" w:color="auto"/>
              <w:left w:val="nil"/>
              <w:bottom w:val="single" w:sz="4" w:space="0" w:color="auto"/>
              <w:right w:val="single" w:sz="4" w:space="0" w:color="auto"/>
            </w:tcBorders>
            <w:shd w:val="clear" w:color="auto" w:fill="00B050"/>
          </w:tcPr>
          <w:p w14:paraId="00263978" w14:textId="77777777" w:rsidR="00C064DD" w:rsidRPr="004732F0" w:rsidRDefault="00C064DD" w:rsidP="0081324D">
            <w:pPr>
              <w:spacing w:after="0"/>
              <w:jc w:val="center"/>
              <w:rPr>
                <w:rFonts w:ascii="Times New Roman" w:hAnsi="Times New Roman"/>
                <w:b/>
                <w:bCs/>
                <w:color w:val="FFFFFF" w:themeColor="background1"/>
                <w:lang w:eastAsia="es-DO"/>
              </w:rPr>
            </w:pPr>
            <w:r w:rsidRPr="004732F0">
              <w:rPr>
                <w:rFonts w:ascii="Times New Roman" w:hAnsi="Times New Roman"/>
                <w:b/>
                <w:bCs/>
                <w:color w:val="FFFFFF" w:themeColor="background1"/>
                <w:lang w:eastAsia="es-DO"/>
              </w:rPr>
              <w:t>Tasa de Utilización</w:t>
            </w:r>
          </w:p>
        </w:tc>
        <w:tc>
          <w:tcPr>
            <w:tcW w:w="1540" w:type="dxa"/>
            <w:tcBorders>
              <w:top w:val="single" w:sz="4" w:space="0" w:color="auto"/>
              <w:left w:val="nil"/>
              <w:bottom w:val="single" w:sz="4" w:space="0" w:color="auto"/>
              <w:right w:val="single" w:sz="4" w:space="0" w:color="auto"/>
            </w:tcBorders>
            <w:shd w:val="clear" w:color="auto" w:fill="00B050"/>
            <w:vAlign w:val="center"/>
          </w:tcPr>
          <w:p w14:paraId="432E0115" w14:textId="025537F3" w:rsidR="00C064DD" w:rsidRPr="004732F0" w:rsidRDefault="00C064DD" w:rsidP="00C064DD">
            <w:pPr>
              <w:spacing w:after="0"/>
              <w:jc w:val="center"/>
              <w:rPr>
                <w:rFonts w:ascii="Times New Roman" w:hAnsi="Times New Roman"/>
                <w:b/>
                <w:bCs/>
                <w:color w:val="FFFFFF" w:themeColor="background1"/>
                <w:lang w:eastAsia="es-DO"/>
              </w:rPr>
            </w:pPr>
            <w:r w:rsidRPr="004732F0">
              <w:rPr>
                <w:rFonts w:ascii="Times New Roman" w:hAnsi="Times New Roman"/>
                <w:b/>
                <w:bCs/>
                <w:color w:val="FFFFFF" w:themeColor="background1"/>
                <w:lang w:eastAsia="es-DO"/>
              </w:rPr>
              <w:t>Beneficiario</w:t>
            </w:r>
            <w:r w:rsidRPr="004732F0">
              <w:rPr>
                <w:rStyle w:val="Refdenotaalpie"/>
                <w:rFonts w:ascii="Times New Roman" w:hAnsi="Times New Roman"/>
                <w:b/>
                <w:bCs/>
                <w:color w:val="FFFFFF" w:themeColor="background1"/>
                <w:lang w:eastAsia="es-DO"/>
              </w:rPr>
              <w:footnoteReference w:id="25"/>
            </w:r>
          </w:p>
        </w:tc>
      </w:tr>
      <w:tr w:rsidR="00C064DD" w:rsidRPr="004732F0" w14:paraId="6C3E8A09" w14:textId="56EC4A42" w:rsidTr="004245EB">
        <w:trPr>
          <w:trHeight w:val="70"/>
          <w:jc w:val="center"/>
        </w:trPr>
        <w:tc>
          <w:tcPr>
            <w:tcW w:w="4184" w:type="dxa"/>
            <w:gridSpan w:val="2"/>
            <w:tcBorders>
              <w:top w:val="single" w:sz="4" w:space="0" w:color="auto"/>
              <w:left w:val="single" w:sz="4" w:space="0" w:color="auto"/>
              <w:bottom w:val="single" w:sz="4" w:space="0" w:color="auto"/>
              <w:right w:val="nil"/>
            </w:tcBorders>
            <w:shd w:val="clear" w:color="auto" w:fill="808080" w:themeFill="background1" w:themeFillShade="80"/>
            <w:vAlign w:val="center"/>
            <w:hideMark/>
          </w:tcPr>
          <w:p w14:paraId="6058176F" w14:textId="77777777" w:rsidR="00C064DD" w:rsidRPr="004732F0" w:rsidRDefault="00C064DD" w:rsidP="0081324D">
            <w:pPr>
              <w:spacing w:after="0"/>
              <w:rPr>
                <w:rFonts w:ascii="Times New Roman" w:hAnsi="Times New Roman"/>
                <w:b/>
                <w:bCs/>
                <w:color w:val="FFFFFF" w:themeColor="background1"/>
                <w:lang w:eastAsia="es-DO"/>
              </w:rPr>
            </w:pPr>
            <w:r w:rsidRPr="004732F0">
              <w:rPr>
                <w:rFonts w:ascii="Times New Roman" w:hAnsi="Times New Roman"/>
                <w:b/>
                <w:bCs/>
                <w:color w:val="FFFFFF" w:themeColor="background1"/>
                <w:lang w:eastAsia="es-DO"/>
              </w:rPr>
              <w:t>Total General</w:t>
            </w:r>
          </w:p>
        </w:tc>
        <w:tc>
          <w:tcPr>
            <w:tcW w:w="1418"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2E87F2BD" w14:textId="2EA679A9" w:rsidR="00C064DD" w:rsidRPr="004732F0" w:rsidRDefault="00C064DD" w:rsidP="0081324D">
            <w:pPr>
              <w:spacing w:after="0"/>
              <w:jc w:val="center"/>
              <w:rPr>
                <w:rFonts w:ascii="Times New Roman" w:hAnsi="Times New Roman"/>
                <w:b/>
                <w:bCs/>
                <w:color w:val="FFFFFF" w:themeColor="background1"/>
                <w:lang w:eastAsia="es-DO"/>
              </w:rPr>
            </w:pPr>
            <w:r w:rsidRPr="004732F0">
              <w:rPr>
                <w:rFonts w:ascii="Times New Roman" w:hAnsi="Times New Roman"/>
                <w:b/>
                <w:bCs/>
                <w:color w:val="FFFFFF" w:themeColor="background1"/>
                <w:lang w:eastAsia="es-DO"/>
              </w:rPr>
              <w:t>63,418</w:t>
            </w:r>
          </w:p>
        </w:tc>
        <w:tc>
          <w:tcPr>
            <w:tcW w:w="1407"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30780857" w14:textId="134E1F9B" w:rsidR="00C064DD" w:rsidRPr="004732F0" w:rsidRDefault="00C064DD" w:rsidP="0081324D">
            <w:pPr>
              <w:spacing w:after="0"/>
              <w:jc w:val="center"/>
              <w:rPr>
                <w:rFonts w:ascii="Times New Roman" w:hAnsi="Times New Roman"/>
                <w:b/>
                <w:bCs/>
                <w:color w:val="FFFFFF" w:themeColor="background1"/>
              </w:rPr>
            </w:pPr>
            <w:r w:rsidRPr="004732F0">
              <w:rPr>
                <w:rFonts w:ascii="Times New Roman" w:hAnsi="Times New Roman"/>
                <w:b/>
                <w:bCs/>
                <w:color w:val="FFFFFF" w:themeColor="background1"/>
              </w:rPr>
              <w:t>38,749</w:t>
            </w:r>
          </w:p>
        </w:tc>
        <w:tc>
          <w:tcPr>
            <w:tcW w:w="124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07E4B69E" w14:textId="08A7ADA7" w:rsidR="00C064DD" w:rsidRPr="004732F0" w:rsidRDefault="00C064DD" w:rsidP="0081324D">
            <w:pPr>
              <w:spacing w:after="0"/>
              <w:jc w:val="center"/>
              <w:rPr>
                <w:rFonts w:ascii="Times New Roman" w:hAnsi="Times New Roman"/>
                <w:b/>
                <w:bCs/>
                <w:color w:val="FFFFFF" w:themeColor="background1"/>
              </w:rPr>
            </w:pPr>
            <w:r w:rsidRPr="004732F0">
              <w:rPr>
                <w:rFonts w:ascii="Times New Roman" w:hAnsi="Times New Roman"/>
                <w:b/>
                <w:bCs/>
                <w:color w:val="FFFFFF" w:themeColor="background1"/>
              </w:rPr>
              <w:t>61.10%</w:t>
            </w:r>
          </w:p>
        </w:tc>
        <w:tc>
          <w:tcPr>
            <w:tcW w:w="1540" w:type="dxa"/>
            <w:tcBorders>
              <w:top w:val="single" w:sz="4" w:space="0" w:color="auto"/>
              <w:left w:val="nil"/>
              <w:bottom w:val="single" w:sz="4" w:space="0" w:color="auto"/>
              <w:right w:val="single" w:sz="4" w:space="0" w:color="auto"/>
            </w:tcBorders>
            <w:shd w:val="clear" w:color="auto" w:fill="808080" w:themeFill="background1" w:themeFillShade="80"/>
          </w:tcPr>
          <w:p w14:paraId="41E9B8B1" w14:textId="6BAEE0CE" w:rsidR="00C064DD" w:rsidRPr="004732F0" w:rsidRDefault="00C064DD" w:rsidP="0081324D">
            <w:pPr>
              <w:spacing w:after="0"/>
              <w:jc w:val="center"/>
              <w:rPr>
                <w:rFonts w:ascii="Times New Roman" w:hAnsi="Times New Roman"/>
                <w:b/>
                <w:bCs/>
                <w:color w:val="FFFFFF" w:themeColor="background1"/>
              </w:rPr>
            </w:pPr>
            <w:r w:rsidRPr="004732F0">
              <w:rPr>
                <w:rFonts w:ascii="Times New Roman" w:hAnsi="Times New Roman"/>
                <w:b/>
                <w:bCs/>
                <w:color w:val="FFFFFF" w:themeColor="background1"/>
              </w:rPr>
              <w:t>604</w:t>
            </w:r>
          </w:p>
        </w:tc>
      </w:tr>
      <w:tr w:rsidR="00C064DD" w:rsidRPr="004732F0" w14:paraId="19181A82" w14:textId="3E5F3BA9" w:rsidTr="004245EB">
        <w:trPr>
          <w:trHeight w:val="70"/>
          <w:jc w:val="center"/>
        </w:trPr>
        <w:tc>
          <w:tcPr>
            <w:tcW w:w="26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4275C7" w14:textId="77777777" w:rsidR="00C064DD" w:rsidRPr="004732F0" w:rsidRDefault="00C064DD" w:rsidP="00C064DD">
            <w:pPr>
              <w:spacing w:after="0"/>
              <w:rPr>
                <w:rFonts w:ascii="Times New Roman" w:hAnsi="Times New Roman"/>
                <w:color w:val="000000"/>
                <w:lang w:eastAsia="es-DO"/>
              </w:rPr>
            </w:pPr>
            <w:r w:rsidRPr="004732F0">
              <w:rPr>
                <w:rFonts w:ascii="Times New Roman" w:hAnsi="Times New Roman"/>
                <w:color w:val="000000"/>
                <w:lang w:eastAsia="es-DO"/>
              </w:rPr>
              <w:t>Carne Bovina (Cortes finos y selectos)</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AD2C89" w14:textId="77777777" w:rsidR="00C064DD" w:rsidRPr="004732F0" w:rsidRDefault="00C064DD" w:rsidP="00C064DD">
            <w:pPr>
              <w:spacing w:after="0"/>
              <w:jc w:val="center"/>
              <w:rPr>
                <w:rFonts w:ascii="Times New Roman" w:hAnsi="Times New Roman"/>
                <w:color w:val="000000"/>
                <w:lang w:eastAsia="es-DO"/>
              </w:rPr>
            </w:pPr>
            <w:r w:rsidRPr="004732F0">
              <w:rPr>
                <w:rFonts w:ascii="Times New Roman" w:hAnsi="Times New Roman"/>
                <w:color w:val="000000"/>
                <w:lang w:eastAsia="es-DO"/>
              </w:rPr>
              <w:t>Estados Unidos</w:t>
            </w:r>
          </w:p>
        </w:tc>
        <w:tc>
          <w:tcPr>
            <w:tcW w:w="1418" w:type="dxa"/>
            <w:tcBorders>
              <w:top w:val="nil"/>
              <w:left w:val="nil"/>
              <w:bottom w:val="single" w:sz="4" w:space="0" w:color="auto"/>
              <w:right w:val="single" w:sz="4" w:space="0" w:color="auto"/>
            </w:tcBorders>
            <w:shd w:val="clear" w:color="auto" w:fill="auto"/>
            <w:noWrap/>
            <w:vAlign w:val="center"/>
          </w:tcPr>
          <w:p w14:paraId="4492440F" w14:textId="55E4B4F5"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2,400</w:t>
            </w:r>
          </w:p>
        </w:tc>
        <w:tc>
          <w:tcPr>
            <w:tcW w:w="1407" w:type="dxa"/>
            <w:tcBorders>
              <w:top w:val="single" w:sz="4" w:space="0" w:color="auto"/>
              <w:left w:val="nil"/>
              <w:bottom w:val="single" w:sz="4" w:space="0" w:color="auto"/>
              <w:right w:val="single" w:sz="4" w:space="0" w:color="auto"/>
            </w:tcBorders>
            <w:shd w:val="clear" w:color="auto" w:fill="auto"/>
            <w:noWrap/>
            <w:vAlign w:val="center"/>
          </w:tcPr>
          <w:p w14:paraId="3A49C772" w14:textId="00F0B065"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1,304</w:t>
            </w:r>
          </w:p>
        </w:tc>
        <w:tc>
          <w:tcPr>
            <w:tcW w:w="1247" w:type="dxa"/>
            <w:tcBorders>
              <w:top w:val="single" w:sz="4" w:space="0" w:color="auto"/>
              <w:left w:val="nil"/>
              <w:bottom w:val="single" w:sz="4" w:space="0" w:color="auto"/>
              <w:right w:val="single" w:sz="4" w:space="0" w:color="auto"/>
            </w:tcBorders>
            <w:vAlign w:val="center"/>
          </w:tcPr>
          <w:p w14:paraId="3B752BA5" w14:textId="5262EDE0"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54.33%</w:t>
            </w:r>
          </w:p>
        </w:tc>
        <w:tc>
          <w:tcPr>
            <w:tcW w:w="1540" w:type="dxa"/>
            <w:tcBorders>
              <w:top w:val="single" w:sz="4" w:space="0" w:color="auto"/>
              <w:left w:val="nil"/>
              <w:bottom w:val="single" w:sz="4" w:space="0" w:color="auto"/>
              <w:right w:val="single" w:sz="4" w:space="0" w:color="auto"/>
            </w:tcBorders>
            <w:vAlign w:val="center"/>
          </w:tcPr>
          <w:p w14:paraId="6680A8AB" w14:textId="67095622"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44</w:t>
            </w:r>
          </w:p>
        </w:tc>
      </w:tr>
      <w:tr w:rsidR="00C064DD" w:rsidRPr="004732F0" w14:paraId="44174BE2" w14:textId="70D3A5FF" w:rsidTr="004245EB">
        <w:trPr>
          <w:trHeight w:val="70"/>
          <w:jc w:val="center"/>
        </w:trPr>
        <w:tc>
          <w:tcPr>
            <w:tcW w:w="26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D9E3B" w14:textId="77777777" w:rsidR="00C064DD" w:rsidRPr="004732F0" w:rsidRDefault="00C064DD" w:rsidP="00C064DD">
            <w:pPr>
              <w:spacing w:after="0"/>
              <w:rPr>
                <w:rFonts w:ascii="Times New Roman" w:hAnsi="Times New Roman"/>
                <w:color w:val="000000"/>
                <w:lang w:eastAsia="es-DO"/>
              </w:rPr>
            </w:pPr>
            <w:r w:rsidRPr="004732F0">
              <w:rPr>
                <w:rFonts w:ascii="Times New Roman" w:hAnsi="Times New Roman"/>
                <w:color w:val="000000"/>
                <w:lang w:eastAsia="es-DO"/>
              </w:rPr>
              <w:t>Trimming de Carne Bovina</w:t>
            </w:r>
          </w:p>
        </w:tc>
        <w:tc>
          <w:tcPr>
            <w:tcW w:w="1559" w:type="dxa"/>
            <w:vMerge/>
            <w:tcBorders>
              <w:top w:val="nil"/>
              <w:left w:val="single" w:sz="4" w:space="0" w:color="auto"/>
              <w:bottom w:val="single" w:sz="4" w:space="0" w:color="auto"/>
              <w:right w:val="single" w:sz="4" w:space="0" w:color="auto"/>
            </w:tcBorders>
            <w:vAlign w:val="center"/>
            <w:hideMark/>
          </w:tcPr>
          <w:p w14:paraId="216C0F55" w14:textId="77777777" w:rsidR="00C064DD" w:rsidRPr="004732F0" w:rsidRDefault="00C064DD" w:rsidP="00C064D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tcPr>
          <w:p w14:paraId="4994F7CF" w14:textId="700ED117"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480</w:t>
            </w:r>
          </w:p>
        </w:tc>
        <w:tc>
          <w:tcPr>
            <w:tcW w:w="1407" w:type="dxa"/>
            <w:tcBorders>
              <w:top w:val="single" w:sz="4" w:space="0" w:color="auto"/>
              <w:left w:val="nil"/>
              <w:bottom w:val="single" w:sz="4" w:space="0" w:color="auto"/>
              <w:right w:val="single" w:sz="4" w:space="0" w:color="auto"/>
            </w:tcBorders>
            <w:shd w:val="clear" w:color="auto" w:fill="auto"/>
            <w:noWrap/>
            <w:vAlign w:val="center"/>
          </w:tcPr>
          <w:p w14:paraId="72F3A86C" w14:textId="384C854D"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335</w:t>
            </w:r>
          </w:p>
        </w:tc>
        <w:tc>
          <w:tcPr>
            <w:tcW w:w="1247" w:type="dxa"/>
            <w:tcBorders>
              <w:top w:val="single" w:sz="4" w:space="0" w:color="auto"/>
              <w:left w:val="nil"/>
              <w:bottom w:val="single" w:sz="4" w:space="0" w:color="auto"/>
              <w:right w:val="single" w:sz="4" w:space="0" w:color="auto"/>
            </w:tcBorders>
            <w:vAlign w:val="center"/>
          </w:tcPr>
          <w:p w14:paraId="08912A7A" w14:textId="7E898689"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69.79%</w:t>
            </w:r>
          </w:p>
        </w:tc>
        <w:tc>
          <w:tcPr>
            <w:tcW w:w="1540" w:type="dxa"/>
            <w:tcBorders>
              <w:top w:val="single" w:sz="4" w:space="0" w:color="auto"/>
              <w:left w:val="nil"/>
              <w:bottom w:val="single" w:sz="4" w:space="0" w:color="auto"/>
              <w:right w:val="single" w:sz="4" w:space="0" w:color="auto"/>
            </w:tcBorders>
            <w:vAlign w:val="center"/>
          </w:tcPr>
          <w:p w14:paraId="02942DD6" w14:textId="6C3A31D6"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21</w:t>
            </w:r>
          </w:p>
        </w:tc>
      </w:tr>
      <w:tr w:rsidR="00C064DD" w:rsidRPr="004732F0" w14:paraId="4286EE35" w14:textId="09AF2A83" w:rsidTr="004245EB">
        <w:trPr>
          <w:trHeight w:val="70"/>
          <w:jc w:val="center"/>
        </w:trPr>
        <w:tc>
          <w:tcPr>
            <w:tcW w:w="26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6F478" w14:textId="77777777" w:rsidR="00C064DD" w:rsidRPr="004732F0" w:rsidRDefault="00C064DD" w:rsidP="00C064DD">
            <w:pPr>
              <w:spacing w:after="0"/>
              <w:rPr>
                <w:rFonts w:ascii="Times New Roman" w:hAnsi="Times New Roman"/>
                <w:color w:val="000000"/>
                <w:lang w:eastAsia="es-DO"/>
              </w:rPr>
            </w:pPr>
            <w:r w:rsidRPr="004732F0">
              <w:rPr>
                <w:rFonts w:ascii="Times New Roman" w:hAnsi="Times New Roman"/>
                <w:color w:val="000000"/>
                <w:lang w:eastAsia="es-DO"/>
              </w:rPr>
              <w:t>Cortes de Cerdo</w:t>
            </w:r>
          </w:p>
        </w:tc>
        <w:tc>
          <w:tcPr>
            <w:tcW w:w="1559" w:type="dxa"/>
            <w:vMerge/>
            <w:tcBorders>
              <w:top w:val="nil"/>
              <w:left w:val="single" w:sz="4" w:space="0" w:color="auto"/>
              <w:bottom w:val="single" w:sz="4" w:space="0" w:color="auto"/>
              <w:right w:val="single" w:sz="4" w:space="0" w:color="auto"/>
            </w:tcBorders>
            <w:vAlign w:val="center"/>
            <w:hideMark/>
          </w:tcPr>
          <w:p w14:paraId="079D717F" w14:textId="77777777" w:rsidR="00C064DD" w:rsidRPr="004732F0" w:rsidRDefault="00C064DD" w:rsidP="00C064D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tcPr>
          <w:p w14:paraId="3E17B6B4" w14:textId="3B41AAC5"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9,500</w:t>
            </w:r>
          </w:p>
        </w:tc>
        <w:tc>
          <w:tcPr>
            <w:tcW w:w="1407" w:type="dxa"/>
            <w:tcBorders>
              <w:top w:val="single" w:sz="4" w:space="0" w:color="auto"/>
              <w:left w:val="nil"/>
              <w:bottom w:val="single" w:sz="4" w:space="0" w:color="auto"/>
              <w:right w:val="single" w:sz="4" w:space="0" w:color="auto"/>
            </w:tcBorders>
            <w:shd w:val="clear" w:color="auto" w:fill="auto"/>
            <w:noWrap/>
            <w:vAlign w:val="center"/>
          </w:tcPr>
          <w:p w14:paraId="2EC8FF9E" w14:textId="7CFB1EAA"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4,608</w:t>
            </w:r>
          </w:p>
        </w:tc>
        <w:tc>
          <w:tcPr>
            <w:tcW w:w="1247" w:type="dxa"/>
            <w:tcBorders>
              <w:top w:val="single" w:sz="4" w:space="0" w:color="auto"/>
              <w:left w:val="nil"/>
              <w:bottom w:val="single" w:sz="4" w:space="0" w:color="auto"/>
              <w:right w:val="single" w:sz="4" w:space="0" w:color="auto"/>
            </w:tcBorders>
            <w:vAlign w:val="center"/>
          </w:tcPr>
          <w:p w14:paraId="70031D46" w14:textId="18271E76"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48.51%</w:t>
            </w:r>
          </w:p>
        </w:tc>
        <w:tc>
          <w:tcPr>
            <w:tcW w:w="1540" w:type="dxa"/>
            <w:tcBorders>
              <w:top w:val="single" w:sz="4" w:space="0" w:color="auto"/>
              <w:left w:val="nil"/>
              <w:bottom w:val="single" w:sz="4" w:space="0" w:color="auto"/>
              <w:right w:val="single" w:sz="4" w:space="0" w:color="auto"/>
            </w:tcBorders>
            <w:vAlign w:val="center"/>
          </w:tcPr>
          <w:p w14:paraId="1FFE86D0" w14:textId="0F96D6A1"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105</w:t>
            </w:r>
          </w:p>
        </w:tc>
      </w:tr>
      <w:tr w:rsidR="00C064DD" w:rsidRPr="004732F0" w14:paraId="64D04882" w14:textId="02868BE9" w:rsidTr="004245EB">
        <w:trPr>
          <w:trHeight w:val="70"/>
          <w:jc w:val="center"/>
        </w:trPr>
        <w:tc>
          <w:tcPr>
            <w:tcW w:w="26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D30C2" w14:textId="77777777" w:rsidR="00C064DD" w:rsidRPr="004732F0" w:rsidRDefault="00C064DD" w:rsidP="00C064DD">
            <w:pPr>
              <w:spacing w:after="0"/>
              <w:rPr>
                <w:rFonts w:ascii="Times New Roman" w:hAnsi="Times New Roman"/>
                <w:color w:val="000000"/>
                <w:lang w:eastAsia="es-DO"/>
              </w:rPr>
            </w:pPr>
            <w:r w:rsidRPr="004732F0">
              <w:rPr>
                <w:rFonts w:ascii="Times New Roman" w:hAnsi="Times New Roman"/>
                <w:color w:val="000000"/>
                <w:lang w:eastAsia="es-DO"/>
              </w:rPr>
              <w:t>Muslos de Pollo</w:t>
            </w:r>
          </w:p>
        </w:tc>
        <w:tc>
          <w:tcPr>
            <w:tcW w:w="1559" w:type="dxa"/>
            <w:vMerge/>
            <w:tcBorders>
              <w:top w:val="nil"/>
              <w:left w:val="single" w:sz="4" w:space="0" w:color="auto"/>
              <w:bottom w:val="single" w:sz="4" w:space="0" w:color="auto"/>
              <w:right w:val="single" w:sz="4" w:space="0" w:color="auto"/>
            </w:tcBorders>
            <w:vAlign w:val="center"/>
            <w:hideMark/>
          </w:tcPr>
          <w:p w14:paraId="70F46395" w14:textId="77777777" w:rsidR="00C064DD" w:rsidRPr="004732F0" w:rsidRDefault="00C064DD" w:rsidP="00C064D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tcPr>
          <w:p w14:paraId="6A9D348D" w14:textId="1944149F"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1,200</w:t>
            </w:r>
          </w:p>
        </w:tc>
        <w:tc>
          <w:tcPr>
            <w:tcW w:w="1407" w:type="dxa"/>
            <w:tcBorders>
              <w:top w:val="single" w:sz="4" w:space="0" w:color="auto"/>
              <w:left w:val="nil"/>
              <w:bottom w:val="single" w:sz="4" w:space="0" w:color="auto"/>
              <w:right w:val="single" w:sz="4" w:space="0" w:color="auto"/>
            </w:tcBorders>
            <w:shd w:val="clear" w:color="auto" w:fill="auto"/>
            <w:noWrap/>
            <w:vAlign w:val="center"/>
          </w:tcPr>
          <w:p w14:paraId="2BF5F4F1" w14:textId="2FC84246"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650</w:t>
            </w:r>
          </w:p>
        </w:tc>
        <w:tc>
          <w:tcPr>
            <w:tcW w:w="1247" w:type="dxa"/>
            <w:tcBorders>
              <w:top w:val="single" w:sz="4" w:space="0" w:color="auto"/>
              <w:left w:val="nil"/>
              <w:bottom w:val="single" w:sz="4" w:space="0" w:color="auto"/>
              <w:right w:val="single" w:sz="4" w:space="0" w:color="auto"/>
            </w:tcBorders>
            <w:vAlign w:val="center"/>
          </w:tcPr>
          <w:p w14:paraId="15C294B9" w14:textId="04DED0D4"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54.17%</w:t>
            </w:r>
          </w:p>
        </w:tc>
        <w:tc>
          <w:tcPr>
            <w:tcW w:w="1540" w:type="dxa"/>
            <w:tcBorders>
              <w:top w:val="single" w:sz="4" w:space="0" w:color="auto"/>
              <w:left w:val="nil"/>
              <w:bottom w:val="single" w:sz="4" w:space="0" w:color="auto"/>
              <w:right w:val="single" w:sz="4" w:space="0" w:color="auto"/>
            </w:tcBorders>
            <w:vAlign w:val="center"/>
          </w:tcPr>
          <w:p w14:paraId="7EB21044" w14:textId="28B4A9F1"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28</w:t>
            </w:r>
          </w:p>
        </w:tc>
      </w:tr>
      <w:tr w:rsidR="00C064DD" w:rsidRPr="004732F0" w14:paraId="4E67AA74" w14:textId="1027061E" w:rsidTr="004245EB">
        <w:trPr>
          <w:trHeight w:val="70"/>
          <w:jc w:val="center"/>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A921F" w14:textId="77777777" w:rsidR="00C064DD" w:rsidRPr="004732F0" w:rsidRDefault="00C064DD" w:rsidP="00C064DD">
            <w:pPr>
              <w:spacing w:after="0"/>
              <w:rPr>
                <w:rFonts w:ascii="Times New Roman" w:hAnsi="Times New Roman"/>
                <w:color w:val="000000"/>
                <w:lang w:eastAsia="es-DO"/>
              </w:rPr>
            </w:pPr>
            <w:r w:rsidRPr="004732F0">
              <w:rPr>
                <w:rFonts w:ascii="Times New Roman" w:hAnsi="Times New Roman"/>
                <w:color w:val="000000"/>
                <w:lang w:eastAsia="es-DO"/>
              </w:rPr>
              <w:t>Leche en Polvo</w:t>
            </w:r>
          </w:p>
        </w:tc>
        <w:tc>
          <w:tcPr>
            <w:tcW w:w="1559" w:type="dxa"/>
            <w:vMerge/>
            <w:tcBorders>
              <w:top w:val="nil"/>
              <w:left w:val="single" w:sz="4" w:space="0" w:color="auto"/>
              <w:bottom w:val="single" w:sz="4" w:space="0" w:color="auto"/>
              <w:right w:val="single" w:sz="4" w:space="0" w:color="auto"/>
            </w:tcBorders>
            <w:vAlign w:val="center"/>
            <w:hideMark/>
          </w:tcPr>
          <w:p w14:paraId="6A448281" w14:textId="77777777" w:rsidR="00C064DD" w:rsidRPr="004732F0" w:rsidRDefault="00C064DD" w:rsidP="00C064D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tcPr>
          <w:p w14:paraId="614F877F" w14:textId="6B00F949"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6,480</w:t>
            </w:r>
          </w:p>
        </w:tc>
        <w:tc>
          <w:tcPr>
            <w:tcW w:w="1407" w:type="dxa"/>
            <w:tcBorders>
              <w:top w:val="single" w:sz="4" w:space="0" w:color="auto"/>
              <w:left w:val="nil"/>
              <w:bottom w:val="single" w:sz="4" w:space="0" w:color="auto"/>
              <w:right w:val="single" w:sz="4" w:space="0" w:color="auto"/>
            </w:tcBorders>
            <w:shd w:val="clear" w:color="auto" w:fill="auto"/>
            <w:noWrap/>
            <w:vAlign w:val="center"/>
          </w:tcPr>
          <w:p w14:paraId="430DFDE9" w14:textId="72FE04E4"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5,689</w:t>
            </w:r>
          </w:p>
        </w:tc>
        <w:tc>
          <w:tcPr>
            <w:tcW w:w="1247" w:type="dxa"/>
            <w:tcBorders>
              <w:top w:val="single" w:sz="4" w:space="0" w:color="auto"/>
              <w:left w:val="nil"/>
              <w:bottom w:val="single" w:sz="4" w:space="0" w:color="auto"/>
              <w:right w:val="single" w:sz="4" w:space="0" w:color="auto"/>
            </w:tcBorders>
            <w:vAlign w:val="center"/>
          </w:tcPr>
          <w:p w14:paraId="0AD2A745" w14:textId="4A5C6334"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87.79%</w:t>
            </w:r>
          </w:p>
        </w:tc>
        <w:tc>
          <w:tcPr>
            <w:tcW w:w="1540" w:type="dxa"/>
            <w:tcBorders>
              <w:top w:val="single" w:sz="4" w:space="0" w:color="auto"/>
              <w:left w:val="nil"/>
              <w:bottom w:val="single" w:sz="4" w:space="0" w:color="auto"/>
              <w:right w:val="single" w:sz="4" w:space="0" w:color="auto"/>
            </w:tcBorders>
            <w:vAlign w:val="center"/>
          </w:tcPr>
          <w:p w14:paraId="44227401" w14:textId="35E85905"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59</w:t>
            </w:r>
          </w:p>
        </w:tc>
      </w:tr>
      <w:tr w:rsidR="00C064DD" w:rsidRPr="004732F0" w14:paraId="07F8EC2B" w14:textId="78C932A9" w:rsidTr="004245EB">
        <w:trPr>
          <w:trHeight w:val="182"/>
          <w:jc w:val="center"/>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2FA4E" w14:textId="77777777" w:rsidR="00C064DD" w:rsidRPr="004732F0" w:rsidRDefault="00C064DD" w:rsidP="00C064DD">
            <w:pPr>
              <w:spacing w:after="0"/>
              <w:rPr>
                <w:rFonts w:ascii="Times New Roman" w:hAnsi="Times New Roman"/>
                <w:color w:val="000000"/>
                <w:lang w:eastAsia="es-DO"/>
              </w:rPr>
            </w:pPr>
            <w:r w:rsidRPr="004732F0">
              <w:rPr>
                <w:rFonts w:ascii="Times New Roman" w:hAnsi="Times New Roman"/>
                <w:color w:val="000000"/>
                <w:lang w:eastAsia="es-DO"/>
              </w:rPr>
              <w:t>Queso Mozzarella</w:t>
            </w:r>
          </w:p>
        </w:tc>
        <w:tc>
          <w:tcPr>
            <w:tcW w:w="1559" w:type="dxa"/>
            <w:vMerge/>
            <w:tcBorders>
              <w:top w:val="nil"/>
              <w:left w:val="single" w:sz="4" w:space="0" w:color="auto"/>
              <w:bottom w:val="single" w:sz="4" w:space="0" w:color="auto"/>
              <w:right w:val="single" w:sz="4" w:space="0" w:color="auto"/>
            </w:tcBorders>
            <w:vAlign w:val="center"/>
            <w:hideMark/>
          </w:tcPr>
          <w:p w14:paraId="5F497E31" w14:textId="77777777" w:rsidR="00C064DD" w:rsidRPr="004732F0" w:rsidRDefault="00C064DD" w:rsidP="00C064D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tcPr>
          <w:p w14:paraId="217B0162" w14:textId="7DF19721"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300</w:t>
            </w:r>
          </w:p>
        </w:tc>
        <w:tc>
          <w:tcPr>
            <w:tcW w:w="1407" w:type="dxa"/>
            <w:tcBorders>
              <w:top w:val="single" w:sz="4" w:space="0" w:color="auto"/>
              <w:left w:val="nil"/>
              <w:bottom w:val="single" w:sz="4" w:space="0" w:color="auto"/>
              <w:right w:val="single" w:sz="4" w:space="0" w:color="auto"/>
            </w:tcBorders>
            <w:shd w:val="clear" w:color="auto" w:fill="auto"/>
            <w:noWrap/>
            <w:vAlign w:val="center"/>
          </w:tcPr>
          <w:p w14:paraId="06F0CF71" w14:textId="55568C12"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165</w:t>
            </w:r>
          </w:p>
        </w:tc>
        <w:tc>
          <w:tcPr>
            <w:tcW w:w="1247" w:type="dxa"/>
            <w:tcBorders>
              <w:top w:val="single" w:sz="4" w:space="0" w:color="auto"/>
              <w:left w:val="nil"/>
              <w:bottom w:val="single" w:sz="4" w:space="0" w:color="auto"/>
              <w:right w:val="single" w:sz="4" w:space="0" w:color="auto"/>
            </w:tcBorders>
            <w:vAlign w:val="center"/>
          </w:tcPr>
          <w:p w14:paraId="5F52D66D" w14:textId="17D66E8D"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55.00%</w:t>
            </w:r>
          </w:p>
        </w:tc>
        <w:tc>
          <w:tcPr>
            <w:tcW w:w="1540" w:type="dxa"/>
            <w:tcBorders>
              <w:top w:val="single" w:sz="4" w:space="0" w:color="auto"/>
              <w:left w:val="nil"/>
              <w:bottom w:val="single" w:sz="4" w:space="0" w:color="auto"/>
              <w:right w:val="single" w:sz="4" w:space="0" w:color="auto"/>
            </w:tcBorders>
            <w:vAlign w:val="center"/>
          </w:tcPr>
          <w:p w14:paraId="59A9779A" w14:textId="2DABDFD2"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27</w:t>
            </w:r>
          </w:p>
        </w:tc>
      </w:tr>
      <w:tr w:rsidR="00C064DD" w:rsidRPr="004732F0" w14:paraId="22DC758F" w14:textId="555E32AD" w:rsidTr="004245EB">
        <w:trPr>
          <w:trHeight w:val="70"/>
          <w:jc w:val="center"/>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8D58E" w14:textId="77777777" w:rsidR="00C064DD" w:rsidRPr="004732F0" w:rsidRDefault="00C064DD" w:rsidP="00C064DD">
            <w:pPr>
              <w:spacing w:after="0"/>
              <w:rPr>
                <w:rFonts w:ascii="Times New Roman" w:hAnsi="Times New Roman"/>
                <w:color w:val="000000"/>
                <w:lang w:eastAsia="es-DO"/>
              </w:rPr>
            </w:pPr>
            <w:r w:rsidRPr="004732F0">
              <w:rPr>
                <w:rFonts w:ascii="Times New Roman" w:hAnsi="Times New Roman"/>
                <w:color w:val="000000"/>
                <w:lang w:eastAsia="es-DO"/>
              </w:rPr>
              <w:t>Queso Cheddar</w:t>
            </w:r>
          </w:p>
        </w:tc>
        <w:tc>
          <w:tcPr>
            <w:tcW w:w="1559" w:type="dxa"/>
            <w:vMerge/>
            <w:tcBorders>
              <w:top w:val="nil"/>
              <w:left w:val="single" w:sz="4" w:space="0" w:color="auto"/>
              <w:bottom w:val="single" w:sz="4" w:space="0" w:color="auto"/>
              <w:right w:val="single" w:sz="4" w:space="0" w:color="auto"/>
            </w:tcBorders>
            <w:vAlign w:val="center"/>
            <w:hideMark/>
          </w:tcPr>
          <w:p w14:paraId="6375A1AB" w14:textId="77777777" w:rsidR="00C064DD" w:rsidRPr="004732F0" w:rsidRDefault="00C064DD" w:rsidP="00C064D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tcPr>
          <w:p w14:paraId="32C80B57" w14:textId="7F7C677A"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300</w:t>
            </w:r>
          </w:p>
        </w:tc>
        <w:tc>
          <w:tcPr>
            <w:tcW w:w="1407" w:type="dxa"/>
            <w:tcBorders>
              <w:top w:val="single" w:sz="4" w:space="0" w:color="auto"/>
              <w:left w:val="nil"/>
              <w:bottom w:val="single" w:sz="4" w:space="0" w:color="auto"/>
              <w:right w:val="single" w:sz="4" w:space="0" w:color="auto"/>
            </w:tcBorders>
            <w:shd w:val="clear" w:color="auto" w:fill="auto"/>
            <w:noWrap/>
            <w:vAlign w:val="center"/>
          </w:tcPr>
          <w:p w14:paraId="3F67E9DD" w14:textId="185BE3E1"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173</w:t>
            </w:r>
          </w:p>
        </w:tc>
        <w:tc>
          <w:tcPr>
            <w:tcW w:w="1247" w:type="dxa"/>
            <w:tcBorders>
              <w:top w:val="single" w:sz="4" w:space="0" w:color="auto"/>
              <w:left w:val="nil"/>
              <w:bottom w:val="single" w:sz="4" w:space="0" w:color="auto"/>
              <w:right w:val="single" w:sz="4" w:space="0" w:color="auto"/>
            </w:tcBorders>
            <w:vAlign w:val="center"/>
          </w:tcPr>
          <w:p w14:paraId="10839449" w14:textId="3184D5AE"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57.67%</w:t>
            </w:r>
          </w:p>
        </w:tc>
        <w:tc>
          <w:tcPr>
            <w:tcW w:w="1540" w:type="dxa"/>
            <w:tcBorders>
              <w:top w:val="single" w:sz="4" w:space="0" w:color="auto"/>
              <w:left w:val="nil"/>
              <w:bottom w:val="single" w:sz="4" w:space="0" w:color="auto"/>
              <w:right w:val="single" w:sz="4" w:space="0" w:color="auto"/>
            </w:tcBorders>
            <w:vAlign w:val="center"/>
          </w:tcPr>
          <w:p w14:paraId="19CAE79F" w14:textId="35B64E50"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25</w:t>
            </w:r>
          </w:p>
        </w:tc>
      </w:tr>
      <w:tr w:rsidR="00C064DD" w:rsidRPr="004732F0" w14:paraId="5DDE4666" w14:textId="18249143" w:rsidTr="004245EB">
        <w:trPr>
          <w:trHeight w:val="70"/>
          <w:jc w:val="center"/>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6BBE6" w14:textId="77777777" w:rsidR="00C064DD" w:rsidRPr="004732F0" w:rsidRDefault="00C064DD" w:rsidP="00C064DD">
            <w:pPr>
              <w:spacing w:after="0"/>
              <w:rPr>
                <w:rFonts w:ascii="Times New Roman" w:hAnsi="Times New Roman"/>
                <w:color w:val="000000"/>
                <w:lang w:eastAsia="es-DO"/>
              </w:rPr>
            </w:pPr>
            <w:r w:rsidRPr="004732F0">
              <w:rPr>
                <w:rFonts w:ascii="Times New Roman" w:hAnsi="Times New Roman"/>
                <w:color w:val="000000"/>
                <w:lang w:eastAsia="es-DO"/>
              </w:rPr>
              <w:t>Yogurt</w:t>
            </w:r>
          </w:p>
        </w:tc>
        <w:tc>
          <w:tcPr>
            <w:tcW w:w="1559" w:type="dxa"/>
            <w:vMerge/>
            <w:tcBorders>
              <w:top w:val="nil"/>
              <w:left w:val="single" w:sz="4" w:space="0" w:color="auto"/>
              <w:bottom w:val="single" w:sz="4" w:space="0" w:color="auto"/>
              <w:right w:val="single" w:sz="4" w:space="0" w:color="auto"/>
            </w:tcBorders>
            <w:vAlign w:val="center"/>
            <w:hideMark/>
          </w:tcPr>
          <w:p w14:paraId="77B3554C" w14:textId="77777777" w:rsidR="00C064DD" w:rsidRPr="004732F0" w:rsidRDefault="00C064DD" w:rsidP="00C064D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tcPr>
          <w:p w14:paraId="35DC306F" w14:textId="63B50FB3"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230</w:t>
            </w:r>
          </w:p>
        </w:tc>
        <w:tc>
          <w:tcPr>
            <w:tcW w:w="1407" w:type="dxa"/>
            <w:tcBorders>
              <w:top w:val="single" w:sz="4" w:space="0" w:color="auto"/>
              <w:left w:val="nil"/>
              <w:bottom w:val="single" w:sz="4" w:space="0" w:color="auto"/>
              <w:right w:val="single" w:sz="4" w:space="0" w:color="auto"/>
            </w:tcBorders>
            <w:shd w:val="clear" w:color="auto" w:fill="auto"/>
            <w:noWrap/>
            <w:vAlign w:val="center"/>
          </w:tcPr>
          <w:p w14:paraId="5B3AD47C" w14:textId="50064D3A"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133</w:t>
            </w:r>
          </w:p>
        </w:tc>
        <w:tc>
          <w:tcPr>
            <w:tcW w:w="1247" w:type="dxa"/>
            <w:tcBorders>
              <w:top w:val="single" w:sz="4" w:space="0" w:color="auto"/>
              <w:left w:val="nil"/>
              <w:bottom w:val="single" w:sz="4" w:space="0" w:color="auto"/>
              <w:right w:val="single" w:sz="4" w:space="0" w:color="auto"/>
            </w:tcBorders>
            <w:vAlign w:val="center"/>
          </w:tcPr>
          <w:p w14:paraId="7AF681CB" w14:textId="1213E149"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57.83%</w:t>
            </w:r>
          </w:p>
        </w:tc>
        <w:tc>
          <w:tcPr>
            <w:tcW w:w="1540" w:type="dxa"/>
            <w:tcBorders>
              <w:top w:val="single" w:sz="4" w:space="0" w:color="auto"/>
              <w:left w:val="nil"/>
              <w:bottom w:val="single" w:sz="4" w:space="0" w:color="auto"/>
              <w:right w:val="single" w:sz="4" w:space="0" w:color="auto"/>
            </w:tcBorders>
            <w:vAlign w:val="center"/>
          </w:tcPr>
          <w:p w14:paraId="4DE56A4A" w14:textId="2DE7106E"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18</w:t>
            </w:r>
          </w:p>
        </w:tc>
      </w:tr>
      <w:tr w:rsidR="00C064DD" w:rsidRPr="004732F0" w14:paraId="6BB155A1" w14:textId="752B8680" w:rsidTr="004245EB">
        <w:trPr>
          <w:trHeight w:val="70"/>
          <w:jc w:val="center"/>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FA86C" w14:textId="77777777" w:rsidR="00C064DD" w:rsidRPr="004732F0" w:rsidRDefault="00C064DD" w:rsidP="00C064DD">
            <w:pPr>
              <w:spacing w:after="0"/>
              <w:rPr>
                <w:rFonts w:ascii="Times New Roman" w:hAnsi="Times New Roman"/>
                <w:color w:val="000000"/>
                <w:lang w:eastAsia="es-DO"/>
              </w:rPr>
            </w:pPr>
            <w:r w:rsidRPr="004732F0">
              <w:rPr>
                <w:rFonts w:ascii="Times New Roman" w:hAnsi="Times New Roman"/>
                <w:color w:val="000000"/>
                <w:lang w:eastAsia="es-DO"/>
              </w:rPr>
              <w:t>Arroz Descascarillado (arroz pardo)</w:t>
            </w:r>
          </w:p>
        </w:tc>
        <w:tc>
          <w:tcPr>
            <w:tcW w:w="1559" w:type="dxa"/>
            <w:vMerge/>
            <w:tcBorders>
              <w:top w:val="nil"/>
              <w:left w:val="single" w:sz="4" w:space="0" w:color="auto"/>
              <w:bottom w:val="single" w:sz="4" w:space="0" w:color="auto"/>
              <w:right w:val="single" w:sz="4" w:space="0" w:color="auto"/>
            </w:tcBorders>
            <w:vAlign w:val="center"/>
            <w:hideMark/>
          </w:tcPr>
          <w:p w14:paraId="2C2D0A42" w14:textId="77777777" w:rsidR="00C064DD" w:rsidRPr="004732F0" w:rsidRDefault="00C064DD" w:rsidP="00C064D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tcPr>
          <w:p w14:paraId="56EF4357" w14:textId="0360ED8E"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3,960</w:t>
            </w:r>
          </w:p>
        </w:tc>
        <w:tc>
          <w:tcPr>
            <w:tcW w:w="1407" w:type="dxa"/>
            <w:tcBorders>
              <w:top w:val="single" w:sz="4" w:space="0" w:color="auto"/>
              <w:left w:val="nil"/>
              <w:bottom w:val="single" w:sz="4" w:space="0" w:color="auto"/>
              <w:right w:val="single" w:sz="4" w:space="0" w:color="auto"/>
            </w:tcBorders>
            <w:shd w:val="clear" w:color="auto" w:fill="auto"/>
            <w:noWrap/>
            <w:vAlign w:val="center"/>
          </w:tcPr>
          <w:p w14:paraId="33F757BE" w14:textId="1FB677A0"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0</w:t>
            </w:r>
          </w:p>
        </w:tc>
        <w:tc>
          <w:tcPr>
            <w:tcW w:w="1247" w:type="dxa"/>
            <w:tcBorders>
              <w:top w:val="single" w:sz="4" w:space="0" w:color="auto"/>
              <w:left w:val="nil"/>
              <w:bottom w:val="single" w:sz="4" w:space="0" w:color="auto"/>
              <w:right w:val="single" w:sz="4" w:space="0" w:color="auto"/>
            </w:tcBorders>
            <w:vAlign w:val="center"/>
          </w:tcPr>
          <w:p w14:paraId="32EDE685" w14:textId="51F4E311"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0.00%</w:t>
            </w:r>
          </w:p>
        </w:tc>
        <w:tc>
          <w:tcPr>
            <w:tcW w:w="1540" w:type="dxa"/>
            <w:tcBorders>
              <w:top w:val="single" w:sz="4" w:space="0" w:color="auto"/>
              <w:left w:val="nil"/>
              <w:bottom w:val="single" w:sz="4" w:space="0" w:color="auto"/>
              <w:right w:val="single" w:sz="4" w:space="0" w:color="auto"/>
            </w:tcBorders>
            <w:vAlign w:val="center"/>
          </w:tcPr>
          <w:p w14:paraId="21D3D2BD" w14:textId="146E1CBD"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12</w:t>
            </w:r>
          </w:p>
        </w:tc>
      </w:tr>
      <w:tr w:rsidR="00C064DD" w:rsidRPr="004732F0" w14:paraId="11FC8871" w14:textId="56486869" w:rsidTr="004245EB">
        <w:trPr>
          <w:trHeight w:val="70"/>
          <w:jc w:val="center"/>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EEF1D" w14:textId="75EA369F" w:rsidR="00C064DD" w:rsidRPr="004732F0" w:rsidRDefault="00C064DD" w:rsidP="00C064DD">
            <w:pPr>
              <w:spacing w:after="0"/>
              <w:rPr>
                <w:rFonts w:ascii="Times New Roman" w:hAnsi="Times New Roman"/>
                <w:color w:val="000000"/>
                <w:lang w:eastAsia="es-DO"/>
              </w:rPr>
            </w:pPr>
            <w:r w:rsidRPr="004732F0">
              <w:rPr>
                <w:rFonts w:ascii="Times New Roman" w:hAnsi="Times New Roman"/>
                <w:color w:val="000000"/>
                <w:lang w:eastAsia="es-DO"/>
              </w:rPr>
              <w:t>Arroz Semiblanqueado o blanqueado</w:t>
            </w:r>
            <w:r w:rsidRPr="004732F0">
              <w:rPr>
                <w:rStyle w:val="Refdenotaalpie"/>
                <w:rFonts w:ascii="Times New Roman" w:hAnsi="Times New Roman"/>
                <w:color w:val="000000"/>
                <w:lang w:eastAsia="es-DO"/>
              </w:rPr>
              <w:footnoteReference w:id="26"/>
            </w:r>
          </w:p>
        </w:tc>
        <w:tc>
          <w:tcPr>
            <w:tcW w:w="1559" w:type="dxa"/>
            <w:vMerge/>
            <w:tcBorders>
              <w:top w:val="nil"/>
              <w:left w:val="single" w:sz="4" w:space="0" w:color="auto"/>
              <w:bottom w:val="single" w:sz="4" w:space="0" w:color="auto"/>
              <w:right w:val="single" w:sz="4" w:space="0" w:color="auto"/>
            </w:tcBorders>
            <w:vAlign w:val="center"/>
            <w:hideMark/>
          </w:tcPr>
          <w:p w14:paraId="5C97D51E" w14:textId="77777777" w:rsidR="00C064DD" w:rsidRPr="004732F0" w:rsidRDefault="00C064DD" w:rsidP="00C064D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tcPr>
          <w:p w14:paraId="47D7D8D5" w14:textId="0BF5CD64"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15,840</w:t>
            </w:r>
          </w:p>
        </w:tc>
        <w:tc>
          <w:tcPr>
            <w:tcW w:w="1407" w:type="dxa"/>
            <w:tcBorders>
              <w:top w:val="single" w:sz="4" w:space="0" w:color="auto"/>
              <w:left w:val="nil"/>
              <w:bottom w:val="single" w:sz="4" w:space="0" w:color="auto"/>
              <w:right w:val="single" w:sz="4" w:space="0" w:color="auto"/>
            </w:tcBorders>
            <w:shd w:val="clear" w:color="auto" w:fill="auto"/>
            <w:noWrap/>
            <w:vAlign w:val="center"/>
          </w:tcPr>
          <w:p w14:paraId="3EA643AA" w14:textId="3AB7F5D1"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15,840</w:t>
            </w:r>
          </w:p>
        </w:tc>
        <w:tc>
          <w:tcPr>
            <w:tcW w:w="1247" w:type="dxa"/>
            <w:tcBorders>
              <w:top w:val="single" w:sz="4" w:space="0" w:color="auto"/>
              <w:left w:val="nil"/>
              <w:bottom w:val="single" w:sz="4" w:space="0" w:color="auto"/>
              <w:right w:val="single" w:sz="4" w:space="0" w:color="auto"/>
            </w:tcBorders>
            <w:vAlign w:val="center"/>
          </w:tcPr>
          <w:p w14:paraId="0B7E93E6" w14:textId="3D63F2D3"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100.00%</w:t>
            </w:r>
          </w:p>
        </w:tc>
        <w:tc>
          <w:tcPr>
            <w:tcW w:w="1540" w:type="dxa"/>
            <w:tcBorders>
              <w:top w:val="single" w:sz="4" w:space="0" w:color="auto"/>
              <w:left w:val="nil"/>
              <w:bottom w:val="single" w:sz="4" w:space="0" w:color="auto"/>
              <w:right w:val="single" w:sz="4" w:space="0" w:color="auto"/>
            </w:tcBorders>
            <w:vAlign w:val="center"/>
          </w:tcPr>
          <w:p w14:paraId="32DA767C" w14:textId="5F512ACB"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99</w:t>
            </w:r>
          </w:p>
        </w:tc>
      </w:tr>
      <w:tr w:rsidR="00C064DD" w:rsidRPr="004732F0" w14:paraId="57EBB741" w14:textId="020053EF" w:rsidTr="004245EB">
        <w:trPr>
          <w:trHeight w:val="70"/>
          <w:jc w:val="center"/>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B1F22" w14:textId="77777777" w:rsidR="00C064DD" w:rsidRPr="004732F0" w:rsidRDefault="00C064DD" w:rsidP="00C064DD">
            <w:pPr>
              <w:spacing w:after="0"/>
              <w:rPr>
                <w:rFonts w:ascii="Times New Roman" w:hAnsi="Times New Roman"/>
                <w:color w:val="000000"/>
                <w:lang w:eastAsia="es-DO"/>
              </w:rPr>
            </w:pPr>
            <w:r w:rsidRPr="004732F0">
              <w:rPr>
                <w:rFonts w:ascii="Times New Roman" w:hAnsi="Times New Roman"/>
                <w:color w:val="000000"/>
                <w:lang w:eastAsia="es-DO"/>
              </w:rPr>
              <w:t>Frijoles</w:t>
            </w:r>
          </w:p>
        </w:tc>
        <w:tc>
          <w:tcPr>
            <w:tcW w:w="1559" w:type="dxa"/>
            <w:vMerge/>
            <w:tcBorders>
              <w:top w:val="nil"/>
              <w:left w:val="single" w:sz="4" w:space="0" w:color="auto"/>
              <w:bottom w:val="single" w:sz="4" w:space="0" w:color="auto"/>
              <w:right w:val="single" w:sz="4" w:space="0" w:color="auto"/>
            </w:tcBorders>
            <w:vAlign w:val="center"/>
            <w:hideMark/>
          </w:tcPr>
          <w:p w14:paraId="65B62B26" w14:textId="77777777" w:rsidR="00C064DD" w:rsidRPr="004732F0" w:rsidRDefault="00C064DD" w:rsidP="00C064D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tcPr>
          <w:p w14:paraId="18A23BCE" w14:textId="61264603"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15,840</w:t>
            </w:r>
          </w:p>
        </w:tc>
        <w:tc>
          <w:tcPr>
            <w:tcW w:w="1407" w:type="dxa"/>
            <w:tcBorders>
              <w:top w:val="single" w:sz="4" w:space="0" w:color="auto"/>
              <w:left w:val="nil"/>
              <w:bottom w:val="single" w:sz="4" w:space="0" w:color="auto"/>
              <w:right w:val="single" w:sz="4" w:space="0" w:color="auto"/>
            </w:tcBorders>
            <w:shd w:val="clear" w:color="auto" w:fill="auto"/>
            <w:noWrap/>
            <w:vAlign w:val="center"/>
          </w:tcPr>
          <w:p w14:paraId="22DD1000" w14:textId="3E675FCB"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8,883</w:t>
            </w:r>
          </w:p>
        </w:tc>
        <w:tc>
          <w:tcPr>
            <w:tcW w:w="1247" w:type="dxa"/>
            <w:tcBorders>
              <w:top w:val="single" w:sz="4" w:space="0" w:color="auto"/>
              <w:left w:val="nil"/>
              <w:bottom w:val="single" w:sz="4" w:space="0" w:color="auto"/>
              <w:right w:val="single" w:sz="4" w:space="0" w:color="auto"/>
            </w:tcBorders>
            <w:vAlign w:val="center"/>
          </w:tcPr>
          <w:p w14:paraId="15BB9264" w14:textId="18D303BE"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56.08%</w:t>
            </w:r>
          </w:p>
        </w:tc>
        <w:tc>
          <w:tcPr>
            <w:tcW w:w="1540" w:type="dxa"/>
            <w:tcBorders>
              <w:top w:val="single" w:sz="4" w:space="0" w:color="auto"/>
              <w:left w:val="nil"/>
              <w:bottom w:val="single" w:sz="4" w:space="0" w:color="auto"/>
              <w:right w:val="single" w:sz="4" w:space="0" w:color="auto"/>
            </w:tcBorders>
            <w:vAlign w:val="center"/>
          </w:tcPr>
          <w:p w14:paraId="61A0A5FA" w14:textId="47E3870F"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88</w:t>
            </w:r>
          </w:p>
        </w:tc>
      </w:tr>
      <w:tr w:rsidR="00C064DD" w:rsidRPr="004732F0" w14:paraId="59795DE5" w14:textId="6B0C63D4" w:rsidTr="004245EB">
        <w:trPr>
          <w:trHeight w:val="70"/>
          <w:jc w:val="center"/>
        </w:trPr>
        <w:tc>
          <w:tcPr>
            <w:tcW w:w="4184" w:type="dxa"/>
            <w:gridSpan w:val="2"/>
            <w:tcBorders>
              <w:top w:val="single" w:sz="4" w:space="0" w:color="auto"/>
              <w:left w:val="single" w:sz="4" w:space="0" w:color="auto"/>
              <w:bottom w:val="single" w:sz="4" w:space="0" w:color="auto"/>
              <w:right w:val="nil"/>
            </w:tcBorders>
            <w:shd w:val="clear" w:color="auto" w:fill="808080" w:themeFill="background1" w:themeFillShade="80"/>
            <w:vAlign w:val="center"/>
            <w:hideMark/>
          </w:tcPr>
          <w:p w14:paraId="08E229E9" w14:textId="77777777" w:rsidR="00C064DD" w:rsidRPr="004732F0" w:rsidRDefault="00C064DD" w:rsidP="0081324D">
            <w:pPr>
              <w:spacing w:after="0"/>
              <w:rPr>
                <w:rFonts w:ascii="Times New Roman" w:hAnsi="Times New Roman"/>
                <w:b/>
                <w:bCs/>
                <w:color w:val="FFFFFF" w:themeColor="background1"/>
                <w:lang w:eastAsia="es-DO"/>
              </w:rPr>
            </w:pPr>
            <w:r w:rsidRPr="004732F0">
              <w:rPr>
                <w:rFonts w:ascii="Times New Roman" w:hAnsi="Times New Roman"/>
                <w:b/>
                <w:bCs/>
                <w:color w:val="FFFFFF" w:themeColor="background1"/>
                <w:lang w:eastAsia="es-DO"/>
              </w:rPr>
              <w:t>Subtotal Estados Unidos</w:t>
            </w:r>
          </w:p>
        </w:tc>
        <w:tc>
          <w:tcPr>
            <w:tcW w:w="1418" w:type="dxa"/>
            <w:tcBorders>
              <w:top w:val="nil"/>
              <w:left w:val="single" w:sz="4" w:space="0" w:color="auto"/>
              <w:bottom w:val="single" w:sz="4" w:space="0" w:color="auto"/>
              <w:right w:val="single" w:sz="4" w:space="0" w:color="auto"/>
            </w:tcBorders>
            <w:shd w:val="clear" w:color="auto" w:fill="808080" w:themeFill="background1" w:themeFillShade="80"/>
            <w:noWrap/>
            <w:vAlign w:val="center"/>
            <w:hideMark/>
          </w:tcPr>
          <w:p w14:paraId="676E7555" w14:textId="5947E506" w:rsidR="00C064DD" w:rsidRPr="004732F0" w:rsidRDefault="00C064DD" w:rsidP="0081324D">
            <w:pPr>
              <w:spacing w:after="0"/>
              <w:jc w:val="center"/>
              <w:rPr>
                <w:rFonts w:ascii="Times New Roman" w:hAnsi="Times New Roman"/>
                <w:b/>
                <w:bCs/>
                <w:color w:val="FFFFFF" w:themeColor="background1"/>
                <w:lang w:eastAsia="es-DO"/>
              </w:rPr>
            </w:pPr>
            <w:r w:rsidRPr="004732F0">
              <w:rPr>
                <w:rFonts w:ascii="Times New Roman" w:hAnsi="Times New Roman"/>
                <w:b/>
                <w:bCs/>
                <w:color w:val="FFFFFF" w:themeColor="background1"/>
                <w:lang w:eastAsia="es-DO"/>
              </w:rPr>
              <w:t>56,530</w:t>
            </w:r>
          </w:p>
        </w:tc>
        <w:tc>
          <w:tcPr>
            <w:tcW w:w="1407" w:type="dxa"/>
            <w:tcBorders>
              <w:top w:val="single" w:sz="4" w:space="0" w:color="auto"/>
              <w:left w:val="nil"/>
              <w:bottom w:val="single" w:sz="4" w:space="0" w:color="auto"/>
              <w:right w:val="single" w:sz="4" w:space="0" w:color="auto"/>
            </w:tcBorders>
            <w:shd w:val="clear" w:color="auto" w:fill="808080" w:themeFill="background1" w:themeFillShade="80"/>
            <w:noWrap/>
            <w:vAlign w:val="center"/>
            <w:hideMark/>
          </w:tcPr>
          <w:p w14:paraId="139825BC" w14:textId="3243E2CD" w:rsidR="00C064DD" w:rsidRPr="004732F0" w:rsidRDefault="00C064DD" w:rsidP="00C064DD">
            <w:pPr>
              <w:spacing w:after="0"/>
              <w:jc w:val="center"/>
              <w:rPr>
                <w:rFonts w:ascii="Times New Roman" w:hAnsi="Times New Roman"/>
                <w:b/>
                <w:bCs/>
                <w:color w:val="FFFFFF" w:themeColor="background1"/>
              </w:rPr>
            </w:pPr>
            <w:r w:rsidRPr="004732F0">
              <w:rPr>
                <w:rFonts w:ascii="Times New Roman" w:hAnsi="Times New Roman"/>
                <w:b/>
                <w:bCs/>
                <w:color w:val="FFFFFF" w:themeColor="background1"/>
              </w:rPr>
              <w:t>37,780</w:t>
            </w:r>
          </w:p>
        </w:tc>
        <w:tc>
          <w:tcPr>
            <w:tcW w:w="124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EEC4755" w14:textId="448B8302" w:rsidR="00C064DD" w:rsidRPr="004732F0" w:rsidRDefault="00C064DD" w:rsidP="00C064DD">
            <w:pPr>
              <w:spacing w:after="0"/>
              <w:jc w:val="center"/>
              <w:rPr>
                <w:rFonts w:ascii="Times New Roman" w:hAnsi="Times New Roman"/>
                <w:b/>
                <w:bCs/>
                <w:color w:val="FFFFFF" w:themeColor="background1"/>
              </w:rPr>
            </w:pPr>
            <w:r w:rsidRPr="004732F0">
              <w:rPr>
                <w:rFonts w:ascii="Times New Roman" w:hAnsi="Times New Roman"/>
                <w:b/>
                <w:bCs/>
                <w:color w:val="FFFFFF" w:themeColor="background1"/>
              </w:rPr>
              <w:t>66.83%</w:t>
            </w:r>
          </w:p>
        </w:tc>
        <w:tc>
          <w:tcPr>
            <w:tcW w:w="1540" w:type="dxa"/>
            <w:tcBorders>
              <w:top w:val="single" w:sz="4" w:space="0" w:color="auto"/>
              <w:left w:val="nil"/>
              <w:bottom w:val="single" w:sz="4" w:space="0" w:color="auto"/>
              <w:right w:val="single" w:sz="4" w:space="0" w:color="auto"/>
            </w:tcBorders>
            <w:shd w:val="clear" w:color="auto" w:fill="808080" w:themeFill="background1" w:themeFillShade="80"/>
          </w:tcPr>
          <w:p w14:paraId="555E9E19" w14:textId="53124CAB" w:rsidR="00C064DD" w:rsidRPr="004732F0" w:rsidRDefault="00C064DD" w:rsidP="00C064DD">
            <w:pPr>
              <w:spacing w:after="0"/>
              <w:jc w:val="center"/>
              <w:rPr>
                <w:rFonts w:ascii="Times New Roman" w:hAnsi="Times New Roman"/>
                <w:b/>
                <w:bCs/>
                <w:color w:val="FFFFFF" w:themeColor="background1"/>
              </w:rPr>
            </w:pPr>
            <w:r w:rsidRPr="004732F0">
              <w:rPr>
                <w:rFonts w:ascii="Times New Roman" w:hAnsi="Times New Roman"/>
                <w:b/>
                <w:bCs/>
                <w:color w:val="FFFFFF" w:themeColor="background1"/>
              </w:rPr>
              <w:t>526</w:t>
            </w:r>
          </w:p>
        </w:tc>
      </w:tr>
      <w:tr w:rsidR="00C064DD" w:rsidRPr="004732F0" w14:paraId="6788CB56" w14:textId="29E3F615" w:rsidTr="004245EB">
        <w:trPr>
          <w:trHeight w:val="70"/>
          <w:jc w:val="center"/>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4081D" w14:textId="77777777" w:rsidR="00C064DD" w:rsidRPr="004732F0" w:rsidRDefault="00C064DD" w:rsidP="00C064DD">
            <w:pPr>
              <w:spacing w:after="0"/>
              <w:rPr>
                <w:rFonts w:ascii="Times New Roman" w:hAnsi="Times New Roman"/>
                <w:color w:val="000000"/>
                <w:lang w:eastAsia="es-DO"/>
              </w:rPr>
            </w:pPr>
            <w:r w:rsidRPr="004732F0">
              <w:rPr>
                <w:rFonts w:ascii="Times New Roman" w:hAnsi="Times New Roman"/>
                <w:color w:val="000000"/>
                <w:lang w:eastAsia="es-DO"/>
              </w:rPr>
              <w:t>Pechugas de Pollo</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805EB" w14:textId="77777777" w:rsidR="00C064DD" w:rsidRPr="004732F0" w:rsidRDefault="00C064DD" w:rsidP="00C064DD">
            <w:pPr>
              <w:spacing w:after="0"/>
              <w:jc w:val="center"/>
              <w:rPr>
                <w:rFonts w:ascii="Times New Roman" w:hAnsi="Times New Roman"/>
                <w:color w:val="000000"/>
                <w:lang w:eastAsia="es-DO"/>
              </w:rPr>
            </w:pPr>
            <w:r w:rsidRPr="004732F0">
              <w:rPr>
                <w:rFonts w:ascii="Times New Roman" w:hAnsi="Times New Roman"/>
                <w:color w:val="000000"/>
                <w:lang w:eastAsia="es-DO"/>
              </w:rPr>
              <w:t>Costa Rica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C57E9DA" w14:textId="77777777"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2,070</w:t>
            </w:r>
          </w:p>
        </w:tc>
        <w:tc>
          <w:tcPr>
            <w:tcW w:w="1407" w:type="dxa"/>
            <w:tcBorders>
              <w:top w:val="single" w:sz="4" w:space="0" w:color="auto"/>
              <w:left w:val="nil"/>
              <w:bottom w:val="single" w:sz="4" w:space="0" w:color="auto"/>
              <w:right w:val="single" w:sz="4" w:space="0" w:color="auto"/>
            </w:tcBorders>
            <w:shd w:val="clear" w:color="auto" w:fill="auto"/>
            <w:noWrap/>
            <w:vAlign w:val="center"/>
          </w:tcPr>
          <w:p w14:paraId="03B3361A" w14:textId="690C53A6"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0</w:t>
            </w:r>
          </w:p>
        </w:tc>
        <w:tc>
          <w:tcPr>
            <w:tcW w:w="1247" w:type="dxa"/>
            <w:tcBorders>
              <w:top w:val="single" w:sz="4" w:space="0" w:color="auto"/>
              <w:left w:val="nil"/>
              <w:bottom w:val="single" w:sz="4" w:space="0" w:color="auto"/>
              <w:right w:val="single" w:sz="4" w:space="0" w:color="auto"/>
            </w:tcBorders>
            <w:vAlign w:val="center"/>
          </w:tcPr>
          <w:p w14:paraId="0D2F3820" w14:textId="18F1E352"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0.00%</w:t>
            </w:r>
          </w:p>
        </w:tc>
        <w:tc>
          <w:tcPr>
            <w:tcW w:w="1540" w:type="dxa"/>
            <w:tcBorders>
              <w:top w:val="single" w:sz="4" w:space="0" w:color="auto"/>
              <w:left w:val="nil"/>
              <w:bottom w:val="single" w:sz="4" w:space="0" w:color="auto"/>
              <w:right w:val="single" w:sz="4" w:space="0" w:color="auto"/>
            </w:tcBorders>
            <w:vAlign w:val="center"/>
          </w:tcPr>
          <w:p w14:paraId="296444AB" w14:textId="12AA765E"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9</w:t>
            </w:r>
          </w:p>
        </w:tc>
      </w:tr>
      <w:tr w:rsidR="00C064DD" w:rsidRPr="004732F0" w14:paraId="73BD5188" w14:textId="06AB2114" w:rsidTr="004245EB">
        <w:trPr>
          <w:trHeight w:val="70"/>
          <w:jc w:val="center"/>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D866D" w14:textId="62988B17" w:rsidR="00C064DD" w:rsidRPr="004732F0" w:rsidRDefault="00C064DD" w:rsidP="00C064DD">
            <w:pPr>
              <w:spacing w:after="0"/>
              <w:rPr>
                <w:rFonts w:ascii="Times New Roman" w:hAnsi="Times New Roman"/>
                <w:color w:val="000000"/>
                <w:lang w:eastAsia="es-DO"/>
              </w:rPr>
            </w:pPr>
            <w:r w:rsidRPr="004732F0">
              <w:rPr>
                <w:rFonts w:ascii="Times New Roman" w:hAnsi="Times New Roman"/>
                <w:color w:val="000000"/>
                <w:lang w:eastAsia="es-DO"/>
              </w:rPr>
              <w:t>Cebollas y Chalotes</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44AB175" w14:textId="77777777" w:rsidR="00C064DD" w:rsidRPr="004732F0" w:rsidRDefault="00C064DD" w:rsidP="00C064DD">
            <w:pPr>
              <w:spacing w:after="0"/>
              <w:rPr>
                <w:rFonts w:ascii="Times New Roman" w:hAnsi="Times New Roman"/>
                <w:color w:val="000000"/>
                <w:lang w:eastAsia="es-DO"/>
              </w:rPr>
            </w:pP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0868F46" w14:textId="77777777"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2,200</w:t>
            </w:r>
          </w:p>
        </w:tc>
        <w:tc>
          <w:tcPr>
            <w:tcW w:w="1407" w:type="dxa"/>
            <w:tcBorders>
              <w:top w:val="single" w:sz="4" w:space="0" w:color="auto"/>
              <w:left w:val="nil"/>
              <w:bottom w:val="single" w:sz="4" w:space="0" w:color="auto"/>
              <w:right w:val="single" w:sz="4" w:space="0" w:color="auto"/>
            </w:tcBorders>
            <w:shd w:val="clear" w:color="auto" w:fill="auto"/>
            <w:noWrap/>
            <w:vAlign w:val="center"/>
          </w:tcPr>
          <w:p w14:paraId="05334BFF" w14:textId="308BA2C1"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734</w:t>
            </w:r>
          </w:p>
        </w:tc>
        <w:tc>
          <w:tcPr>
            <w:tcW w:w="1247" w:type="dxa"/>
            <w:tcBorders>
              <w:top w:val="single" w:sz="4" w:space="0" w:color="auto"/>
              <w:left w:val="nil"/>
              <w:bottom w:val="single" w:sz="4" w:space="0" w:color="auto"/>
              <w:right w:val="single" w:sz="4" w:space="0" w:color="auto"/>
            </w:tcBorders>
            <w:vAlign w:val="center"/>
          </w:tcPr>
          <w:p w14:paraId="1BF727C4" w14:textId="77EF9F33"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33.36%</w:t>
            </w:r>
          </w:p>
        </w:tc>
        <w:tc>
          <w:tcPr>
            <w:tcW w:w="1540" w:type="dxa"/>
            <w:tcBorders>
              <w:top w:val="single" w:sz="4" w:space="0" w:color="auto"/>
              <w:left w:val="nil"/>
              <w:bottom w:val="single" w:sz="4" w:space="0" w:color="auto"/>
              <w:right w:val="single" w:sz="4" w:space="0" w:color="auto"/>
            </w:tcBorders>
            <w:vAlign w:val="center"/>
          </w:tcPr>
          <w:p w14:paraId="6E209E48" w14:textId="3EBB669B"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8</w:t>
            </w:r>
          </w:p>
        </w:tc>
      </w:tr>
      <w:tr w:rsidR="00C064DD" w:rsidRPr="004732F0" w14:paraId="0C4B293F" w14:textId="74651BD3" w:rsidTr="004245EB">
        <w:trPr>
          <w:trHeight w:val="70"/>
          <w:jc w:val="center"/>
        </w:trPr>
        <w:tc>
          <w:tcPr>
            <w:tcW w:w="4184" w:type="dxa"/>
            <w:gridSpan w:val="2"/>
            <w:tcBorders>
              <w:top w:val="single" w:sz="4" w:space="0" w:color="auto"/>
              <w:left w:val="single" w:sz="4" w:space="0" w:color="auto"/>
              <w:bottom w:val="single" w:sz="4" w:space="0" w:color="auto"/>
              <w:right w:val="nil"/>
            </w:tcBorders>
            <w:shd w:val="clear" w:color="auto" w:fill="808080" w:themeFill="background1" w:themeFillShade="80"/>
            <w:vAlign w:val="center"/>
            <w:hideMark/>
          </w:tcPr>
          <w:p w14:paraId="40EDCB9D" w14:textId="77777777" w:rsidR="00C064DD" w:rsidRPr="004732F0" w:rsidRDefault="00C064DD" w:rsidP="0081324D">
            <w:pPr>
              <w:spacing w:after="0"/>
              <w:rPr>
                <w:rFonts w:ascii="Times New Roman" w:hAnsi="Times New Roman"/>
                <w:b/>
                <w:bCs/>
                <w:color w:val="FFFFFF" w:themeColor="background1"/>
                <w:lang w:eastAsia="es-DO"/>
              </w:rPr>
            </w:pPr>
            <w:r w:rsidRPr="004732F0">
              <w:rPr>
                <w:rFonts w:ascii="Times New Roman" w:hAnsi="Times New Roman"/>
                <w:b/>
                <w:bCs/>
                <w:color w:val="FFFFFF" w:themeColor="background1"/>
                <w:lang w:eastAsia="es-DO"/>
              </w:rPr>
              <w:t>Subtotal Costa Rica</w:t>
            </w:r>
          </w:p>
        </w:tc>
        <w:tc>
          <w:tcPr>
            <w:tcW w:w="1418" w:type="dxa"/>
            <w:tcBorders>
              <w:top w:val="nil"/>
              <w:left w:val="single" w:sz="4" w:space="0" w:color="auto"/>
              <w:bottom w:val="single" w:sz="4" w:space="0" w:color="auto"/>
              <w:right w:val="single" w:sz="4" w:space="0" w:color="auto"/>
            </w:tcBorders>
            <w:shd w:val="clear" w:color="auto" w:fill="808080" w:themeFill="background1" w:themeFillShade="80"/>
            <w:noWrap/>
            <w:vAlign w:val="center"/>
            <w:hideMark/>
          </w:tcPr>
          <w:p w14:paraId="7DA90D97" w14:textId="77777777" w:rsidR="00C064DD" w:rsidRPr="004732F0" w:rsidRDefault="00C064DD" w:rsidP="0081324D">
            <w:pPr>
              <w:spacing w:after="0"/>
              <w:jc w:val="center"/>
              <w:rPr>
                <w:rFonts w:ascii="Times New Roman" w:hAnsi="Times New Roman"/>
                <w:b/>
                <w:bCs/>
                <w:color w:val="FFFFFF" w:themeColor="background1"/>
                <w:lang w:eastAsia="es-DO"/>
              </w:rPr>
            </w:pPr>
            <w:r w:rsidRPr="004732F0">
              <w:rPr>
                <w:rFonts w:ascii="Times New Roman" w:hAnsi="Times New Roman"/>
                <w:b/>
                <w:bCs/>
                <w:color w:val="FFFFFF" w:themeColor="background1"/>
                <w:lang w:eastAsia="es-DO"/>
              </w:rPr>
              <w:t>4,270</w:t>
            </w:r>
          </w:p>
        </w:tc>
        <w:tc>
          <w:tcPr>
            <w:tcW w:w="1407"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597B459A" w14:textId="174E55D9" w:rsidR="00C064DD" w:rsidRPr="004732F0" w:rsidRDefault="00C064DD" w:rsidP="00C064DD">
            <w:pPr>
              <w:spacing w:after="0"/>
              <w:jc w:val="center"/>
              <w:rPr>
                <w:rFonts w:ascii="Times New Roman" w:hAnsi="Times New Roman"/>
                <w:b/>
                <w:bCs/>
                <w:color w:val="FFFFFF" w:themeColor="background1"/>
              </w:rPr>
            </w:pPr>
            <w:r w:rsidRPr="004732F0">
              <w:rPr>
                <w:rFonts w:ascii="Times New Roman" w:hAnsi="Times New Roman"/>
                <w:b/>
                <w:bCs/>
                <w:color w:val="FFFFFF" w:themeColor="background1"/>
              </w:rPr>
              <w:t>734</w:t>
            </w:r>
          </w:p>
        </w:tc>
        <w:tc>
          <w:tcPr>
            <w:tcW w:w="124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692A0693" w14:textId="0683697A" w:rsidR="00C064DD" w:rsidRPr="004732F0" w:rsidRDefault="00C064DD" w:rsidP="00C064DD">
            <w:pPr>
              <w:spacing w:after="0"/>
              <w:jc w:val="center"/>
              <w:rPr>
                <w:rFonts w:ascii="Times New Roman" w:hAnsi="Times New Roman"/>
                <w:b/>
                <w:bCs/>
                <w:color w:val="FFFFFF" w:themeColor="background1"/>
              </w:rPr>
            </w:pPr>
            <w:r w:rsidRPr="004732F0">
              <w:rPr>
                <w:rFonts w:ascii="Times New Roman" w:hAnsi="Times New Roman"/>
                <w:b/>
                <w:bCs/>
                <w:color w:val="FFFFFF" w:themeColor="background1"/>
              </w:rPr>
              <w:t>17.19%</w:t>
            </w:r>
          </w:p>
        </w:tc>
        <w:tc>
          <w:tcPr>
            <w:tcW w:w="1540" w:type="dxa"/>
            <w:tcBorders>
              <w:top w:val="single" w:sz="4" w:space="0" w:color="auto"/>
              <w:left w:val="nil"/>
              <w:bottom w:val="single" w:sz="4" w:space="0" w:color="auto"/>
              <w:right w:val="single" w:sz="4" w:space="0" w:color="auto"/>
            </w:tcBorders>
            <w:shd w:val="clear" w:color="auto" w:fill="808080" w:themeFill="background1" w:themeFillShade="80"/>
          </w:tcPr>
          <w:p w14:paraId="65E96E9A" w14:textId="0D0B243B" w:rsidR="00C064DD" w:rsidRPr="004732F0" w:rsidRDefault="00C064DD" w:rsidP="00C064DD">
            <w:pPr>
              <w:spacing w:after="0"/>
              <w:jc w:val="center"/>
              <w:rPr>
                <w:rFonts w:ascii="Times New Roman" w:hAnsi="Times New Roman"/>
                <w:b/>
                <w:bCs/>
                <w:color w:val="FFFFFF" w:themeColor="background1"/>
              </w:rPr>
            </w:pPr>
            <w:r w:rsidRPr="004732F0">
              <w:rPr>
                <w:rFonts w:ascii="Times New Roman" w:hAnsi="Times New Roman"/>
                <w:b/>
                <w:bCs/>
                <w:color w:val="FFFFFF" w:themeColor="background1"/>
              </w:rPr>
              <w:t>17</w:t>
            </w:r>
          </w:p>
        </w:tc>
      </w:tr>
      <w:tr w:rsidR="00C064DD" w:rsidRPr="004732F0" w14:paraId="7226C4C9" w14:textId="4744FB03" w:rsidTr="004245EB">
        <w:trPr>
          <w:trHeight w:val="70"/>
          <w:jc w:val="center"/>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A0252" w14:textId="77777777" w:rsidR="00C064DD" w:rsidRPr="004732F0" w:rsidRDefault="00C064DD" w:rsidP="00C064DD">
            <w:pPr>
              <w:spacing w:after="0"/>
              <w:rPr>
                <w:rFonts w:ascii="Times New Roman" w:hAnsi="Times New Roman"/>
                <w:color w:val="000000"/>
                <w:lang w:eastAsia="es-DO"/>
              </w:rPr>
            </w:pPr>
            <w:r w:rsidRPr="004732F0">
              <w:rPr>
                <w:rFonts w:ascii="Times New Roman" w:hAnsi="Times New Roman"/>
                <w:color w:val="000000"/>
                <w:lang w:eastAsia="es-DO"/>
              </w:rPr>
              <w:t>Pechugas de Pollo</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B7D29C" w14:textId="77777777" w:rsidR="00C064DD" w:rsidRPr="004732F0" w:rsidRDefault="00C064DD" w:rsidP="00C064DD">
            <w:pPr>
              <w:spacing w:after="0"/>
              <w:jc w:val="center"/>
              <w:rPr>
                <w:rFonts w:ascii="Times New Roman" w:hAnsi="Times New Roman"/>
                <w:color w:val="000000"/>
                <w:lang w:eastAsia="es-DO"/>
              </w:rPr>
            </w:pPr>
            <w:r w:rsidRPr="004732F0">
              <w:rPr>
                <w:rFonts w:ascii="Times New Roman" w:hAnsi="Times New Roman"/>
                <w:color w:val="000000"/>
                <w:lang w:eastAsia="es-DO"/>
              </w:rPr>
              <w:t>Nicaragua</w:t>
            </w:r>
          </w:p>
        </w:tc>
        <w:tc>
          <w:tcPr>
            <w:tcW w:w="1418" w:type="dxa"/>
            <w:tcBorders>
              <w:top w:val="nil"/>
              <w:left w:val="nil"/>
              <w:bottom w:val="single" w:sz="4" w:space="0" w:color="auto"/>
              <w:right w:val="single" w:sz="4" w:space="0" w:color="auto"/>
            </w:tcBorders>
            <w:shd w:val="clear" w:color="auto" w:fill="auto"/>
            <w:noWrap/>
            <w:vAlign w:val="center"/>
            <w:hideMark/>
          </w:tcPr>
          <w:p w14:paraId="2817AE2C" w14:textId="77777777"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443</w:t>
            </w:r>
          </w:p>
        </w:tc>
        <w:tc>
          <w:tcPr>
            <w:tcW w:w="1407" w:type="dxa"/>
            <w:tcBorders>
              <w:top w:val="single" w:sz="4" w:space="0" w:color="auto"/>
              <w:left w:val="nil"/>
              <w:bottom w:val="single" w:sz="4" w:space="0" w:color="auto"/>
              <w:right w:val="single" w:sz="4" w:space="0" w:color="auto"/>
            </w:tcBorders>
            <w:shd w:val="clear" w:color="auto" w:fill="auto"/>
            <w:noWrap/>
            <w:vAlign w:val="center"/>
          </w:tcPr>
          <w:p w14:paraId="2F819F6F" w14:textId="52CF9AF0"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0</w:t>
            </w:r>
          </w:p>
        </w:tc>
        <w:tc>
          <w:tcPr>
            <w:tcW w:w="1247" w:type="dxa"/>
            <w:tcBorders>
              <w:top w:val="single" w:sz="4" w:space="0" w:color="auto"/>
              <w:left w:val="nil"/>
              <w:bottom w:val="single" w:sz="4" w:space="0" w:color="auto"/>
              <w:right w:val="single" w:sz="4" w:space="0" w:color="auto"/>
            </w:tcBorders>
            <w:vAlign w:val="center"/>
          </w:tcPr>
          <w:p w14:paraId="1ACE29D0" w14:textId="6C592001"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0.00%</w:t>
            </w:r>
          </w:p>
        </w:tc>
        <w:tc>
          <w:tcPr>
            <w:tcW w:w="1540" w:type="dxa"/>
            <w:tcBorders>
              <w:top w:val="single" w:sz="4" w:space="0" w:color="auto"/>
              <w:left w:val="nil"/>
              <w:bottom w:val="single" w:sz="4" w:space="0" w:color="auto"/>
              <w:right w:val="single" w:sz="4" w:space="0" w:color="auto"/>
            </w:tcBorders>
            <w:vAlign w:val="center"/>
          </w:tcPr>
          <w:p w14:paraId="3C5E7F9A" w14:textId="322DAE71"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13</w:t>
            </w:r>
          </w:p>
        </w:tc>
      </w:tr>
      <w:tr w:rsidR="00C064DD" w:rsidRPr="004732F0" w14:paraId="70E5CEC4" w14:textId="105204CD" w:rsidTr="004245EB">
        <w:trPr>
          <w:trHeight w:val="70"/>
          <w:jc w:val="center"/>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84403" w14:textId="77777777" w:rsidR="00C064DD" w:rsidRPr="004732F0" w:rsidRDefault="00C064DD" w:rsidP="00C064DD">
            <w:pPr>
              <w:spacing w:after="0"/>
              <w:rPr>
                <w:rFonts w:ascii="Times New Roman" w:hAnsi="Times New Roman"/>
                <w:color w:val="000000"/>
                <w:lang w:eastAsia="es-DO"/>
              </w:rPr>
            </w:pPr>
            <w:r w:rsidRPr="004732F0">
              <w:rPr>
                <w:rFonts w:ascii="Times New Roman" w:hAnsi="Times New Roman"/>
                <w:color w:val="000000"/>
                <w:lang w:eastAsia="es-DO"/>
              </w:rPr>
              <w:t>Cebollas y chalotes</w:t>
            </w:r>
          </w:p>
        </w:tc>
        <w:tc>
          <w:tcPr>
            <w:tcW w:w="1559" w:type="dxa"/>
            <w:vMerge/>
            <w:tcBorders>
              <w:top w:val="nil"/>
              <w:left w:val="single" w:sz="4" w:space="0" w:color="auto"/>
              <w:bottom w:val="single" w:sz="4" w:space="0" w:color="auto"/>
              <w:right w:val="single" w:sz="4" w:space="0" w:color="auto"/>
            </w:tcBorders>
            <w:shd w:val="clear" w:color="auto" w:fill="auto"/>
            <w:vAlign w:val="center"/>
            <w:hideMark/>
          </w:tcPr>
          <w:p w14:paraId="5935FDA1" w14:textId="77777777" w:rsidR="00C064DD" w:rsidRPr="004732F0" w:rsidRDefault="00C064DD" w:rsidP="00C064D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hideMark/>
          </w:tcPr>
          <w:p w14:paraId="075001D4" w14:textId="77777777"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375</w:t>
            </w:r>
          </w:p>
        </w:tc>
        <w:tc>
          <w:tcPr>
            <w:tcW w:w="1407" w:type="dxa"/>
            <w:tcBorders>
              <w:top w:val="single" w:sz="4" w:space="0" w:color="auto"/>
              <w:left w:val="nil"/>
              <w:bottom w:val="single" w:sz="4" w:space="0" w:color="auto"/>
              <w:right w:val="single" w:sz="4" w:space="0" w:color="auto"/>
            </w:tcBorders>
            <w:shd w:val="clear" w:color="auto" w:fill="auto"/>
            <w:noWrap/>
            <w:vAlign w:val="center"/>
          </w:tcPr>
          <w:p w14:paraId="2362CA8E" w14:textId="1D89EF9B"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135</w:t>
            </w:r>
          </w:p>
        </w:tc>
        <w:tc>
          <w:tcPr>
            <w:tcW w:w="1247" w:type="dxa"/>
            <w:tcBorders>
              <w:top w:val="single" w:sz="4" w:space="0" w:color="auto"/>
              <w:left w:val="nil"/>
              <w:bottom w:val="single" w:sz="4" w:space="0" w:color="auto"/>
              <w:right w:val="single" w:sz="4" w:space="0" w:color="auto"/>
            </w:tcBorders>
            <w:vAlign w:val="center"/>
          </w:tcPr>
          <w:p w14:paraId="20016754" w14:textId="285BA032"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36.00%</w:t>
            </w:r>
          </w:p>
        </w:tc>
        <w:tc>
          <w:tcPr>
            <w:tcW w:w="1540" w:type="dxa"/>
            <w:tcBorders>
              <w:top w:val="single" w:sz="4" w:space="0" w:color="auto"/>
              <w:left w:val="nil"/>
              <w:bottom w:val="single" w:sz="4" w:space="0" w:color="auto"/>
              <w:right w:val="single" w:sz="4" w:space="0" w:color="auto"/>
            </w:tcBorders>
            <w:vAlign w:val="center"/>
          </w:tcPr>
          <w:p w14:paraId="358ED562" w14:textId="5E1D6CB0"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13</w:t>
            </w:r>
          </w:p>
        </w:tc>
      </w:tr>
      <w:tr w:rsidR="00C064DD" w:rsidRPr="004732F0" w14:paraId="3669F8EC" w14:textId="439CF12F" w:rsidTr="004245EB">
        <w:trPr>
          <w:trHeight w:val="70"/>
          <w:jc w:val="center"/>
        </w:trPr>
        <w:tc>
          <w:tcPr>
            <w:tcW w:w="2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A1975" w14:textId="77777777" w:rsidR="00C064DD" w:rsidRPr="004732F0" w:rsidRDefault="00C064DD" w:rsidP="00C064DD">
            <w:pPr>
              <w:spacing w:after="0"/>
              <w:rPr>
                <w:rFonts w:ascii="Times New Roman" w:hAnsi="Times New Roman"/>
                <w:color w:val="000000"/>
                <w:lang w:eastAsia="es-DO"/>
              </w:rPr>
            </w:pPr>
            <w:r w:rsidRPr="004732F0">
              <w:rPr>
                <w:rFonts w:ascii="Times New Roman" w:hAnsi="Times New Roman"/>
                <w:color w:val="000000"/>
                <w:lang w:eastAsia="es-DO"/>
              </w:rPr>
              <w:t>Frijoles</w:t>
            </w:r>
          </w:p>
        </w:tc>
        <w:tc>
          <w:tcPr>
            <w:tcW w:w="1559" w:type="dxa"/>
            <w:vMerge/>
            <w:tcBorders>
              <w:top w:val="nil"/>
              <w:left w:val="single" w:sz="4" w:space="0" w:color="auto"/>
              <w:bottom w:val="single" w:sz="4" w:space="0" w:color="auto"/>
              <w:right w:val="single" w:sz="4" w:space="0" w:color="auto"/>
            </w:tcBorders>
            <w:shd w:val="clear" w:color="auto" w:fill="auto"/>
            <w:vAlign w:val="center"/>
            <w:hideMark/>
          </w:tcPr>
          <w:p w14:paraId="3EEF78D8" w14:textId="77777777" w:rsidR="00C064DD" w:rsidRPr="004732F0" w:rsidRDefault="00C064DD" w:rsidP="00C064DD">
            <w:pPr>
              <w:spacing w:after="0"/>
              <w:rPr>
                <w:rFonts w:ascii="Times New Roman" w:hAnsi="Times New Roman"/>
                <w:color w:val="000000"/>
                <w:lang w:eastAsia="es-DO"/>
              </w:rPr>
            </w:pPr>
          </w:p>
        </w:tc>
        <w:tc>
          <w:tcPr>
            <w:tcW w:w="1418" w:type="dxa"/>
            <w:tcBorders>
              <w:top w:val="nil"/>
              <w:left w:val="nil"/>
              <w:bottom w:val="single" w:sz="4" w:space="0" w:color="auto"/>
              <w:right w:val="single" w:sz="4" w:space="0" w:color="auto"/>
            </w:tcBorders>
            <w:shd w:val="clear" w:color="auto" w:fill="auto"/>
            <w:noWrap/>
            <w:vAlign w:val="center"/>
            <w:hideMark/>
          </w:tcPr>
          <w:p w14:paraId="03FBBA0F" w14:textId="77777777"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1,800</w:t>
            </w:r>
          </w:p>
        </w:tc>
        <w:tc>
          <w:tcPr>
            <w:tcW w:w="1407" w:type="dxa"/>
            <w:tcBorders>
              <w:top w:val="single" w:sz="4" w:space="0" w:color="auto"/>
              <w:left w:val="nil"/>
              <w:bottom w:val="single" w:sz="4" w:space="0" w:color="auto"/>
              <w:right w:val="single" w:sz="4" w:space="0" w:color="auto"/>
            </w:tcBorders>
            <w:shd w:val="clear" w:color="auto" w:fill="auto"/>
            <w:noWrap/>
            <w:vAlign w:val="center"/>
          </w:tcPr>
          <w:p w14:paraId="6B1D7EC7" w14:textId="29DF8391"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100</w:t>
            </w:r>
          </w:p>
        </w:tc>
        <w:tc>
          <w:tcPr>
            <w:tcW w:w="1247" w:type="dxa"/>
            <w:tcBorders>
              <w:top w:val="single" w:sz="4" w:space="0" w:color="auto"/>
              <w:left w:val="nil"/>
              <w:bottom w:val="single" w:sz="4" w:space="0" w:color="auto"/>
              <w:right w:val="single" w:sz="4" w:space="0" w:color="auto"/>
            </w:tcBorders>
            <w:vAlign w:val="center"/>
          </w:tcPr>
          <w:p w14:paraId="6595945F" w14:textId="35510D01"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5.56%</w:t>
            </w:r>
          </w:p>
        </w:tc>
        <w:tc>
          <w:tcPr>
            <w:tcW w:w="1540" w:type="dxa"/>
            <w:tcBorders>
              <w:top w:val="single" w:sz="4" w:space="0" w:color="auto"/>
              <w:left w:val="nil"/>
              <w:bottom w:val="single" w:sz="4" w:space="0" w:color="auto"/>
              <w:right w:val="single" w:sz="4" w:space="0" w:color="auto"/>
            </w:tcBorders>
            <w:vAlign w:val="center"/>
          </w:tcPr>
          <w:p w14:paraId="76DD7715" w14:textId="016CA5E0" w:rsidR="00C064DD" w:rsidRPr="004732F0" w:rsidRDefault="00C064DD" w:rsidP="00C064DD">
            <w:pPr>
              <w:spacing w:after="0"/>
              <w:jc w:val="center"/>
              <w:rPr>
                <w:rFonts w:ascii="Times New Roman" w:hAnsi="Times New Roman"/>
                <w:color w:val="000000"/>
              </w:rPr>
            </w:pPr>
            <w:r w:rsidRPr="004732F0">
              <w:rPr>
                <w:rFonts w:ascii="Times New Roman" w:hAnsi="Times New Roman"/>
                <w:color w:val="000000"/>
              </w:rPr>
              <w:t>35</w:t>
            </w:r>
          </w:p>
        </w:tc>
      </w:tr>
      <w:tr w:rsidR="00C064DD" w:rsidRPr="004732F0" w14:paraId="1FDBD428" w14:textId="292E46C2" w:rsidTr="004245EB">
        <w:trPr>
          <w:trHeight w:val="300"/>
          <w:jc w:val="center"/>
        </w:trPr>
        <w:tc>
          <w:tcPr>
            <w:tcW w:w="4184" w:type="dxa"/>
            <w:gridSpan w:val="2"/>
            <w:tcBorders>
              <w:top w:val="single" w:sz="4" w:space="0" w:color="auto"/>
              <w:left w:val="single" w:sz="4" w:space="0" w:color="auto"/>
              <w:bottom w:val="single" w:sz="4" w:space="0" w:color="auto"/>
              <w:right w:val="nil"/>
            </w:tcBorders>
            <w:shd w:val="clear" w:color="auto" w:fill="808080" w:themeFill="background1" w:themeFillShade="80"/>
            <w:vAlign w:val="center"/>
            <w:hideMark/>
          </w:tcPr>
          <w:p w14:paraId="1A7F4B9B" w14:textId="77777777" w:rsidR="00C064DD" w:rsidRPr="004732F0" w:rsidRDefault="00C064DD" w:rsidP="0081324D">
            <w:pPr>
              <w:spacing w:after="0"/>
              <w:rPr>
                <w:rFonts w:ascii="Times New Roman" w:hAnsi="Times New Roman"/>
                <w:b/>
                <w:bCs/>
                <w:color w:val="FFFFFF" w:themeColor="background1"/>
                <w:lang w:eastAsia="es-DO"/>
              </w:rPr>
            </w:pPr>
            <w:r w:rsidRPr="004732F0">
              <w:rPr>
                <w:rFonts w:ascii="Times New Roman" w:hAnsi="Times New Roman"/>
                <w:b/>
                <w:bCs/>
                <w:color w:val="FFFFFF" w:themeColor="background1"/>
                <w:lang w:eastAsia="es-DO"/>
              </w:rPr>
              <w:t>Subtotal Nicaragua</w:t>
            </w:r>
          </w:p>
        </w:tc>
        <w:tc>
          <w:tcPr>
            <w:tcW w:w="1418" w:type="dxa"/>
            <w:tcBorders>
              <w:top w:val="nil"/>
              <w:left w:val="single" w:sz="4" w:space="0" w:color="auto"/>
              <w:bottom w:val="single" w:sz="4" w:space="0" w:color="auto"/>
              <w:right w:val="single" w:sz="4" w:space="0" w:color="auto"/>
            </w:tcBorders>
            <w:shd w:val="clear" w:color="auto" w:fill="808080" w:themeFill="background1" w:themeFillShade="80"/>
            <w:noWrap/>
            <w:vAlign w:val="center"/>
            <w:hideMark/>
          </w:tcPr>
          <w:p w14:paraId="208432EE" w14:textId="77777777" w:rsidR="00C064DD" w:rsidRPr="004732F0" w:rsidRDefault="00C064DD" w:rsidP="0081324D">
            <w:pPr>
              <w:spacing w:after="0"/>
              <w:jc w:val="center"/>
              <w:rPr>
                <w:rFonts w:ascii="Times New Roman" w:hAnsi="Times New Roman"/>
                <w:b/>
                <w:bCs/>
                <w:color w:val="FFFFFF" w:themeColor="background1"/>
                <w:lang w:eastAsia="es-DO"/>
              </w:rPr>
            </w:pPr>
            <w:r w:rsidRPr="004732F0">
              <w:rPr>
                <w:rFonts w:ascii="Times New Roman" w:hAnsi="Times New Roman"/>
                <w:b/>
                <w:bCs/>
                <w:color w:val="FFFFFF" w:themeColor="background1"/>
                <w:lang w:eastAsia="es-DO"/>
              </w:rPr>
              <w:t>2,618</w:t>
            </w:r>
          </w:p>
        </w:tc>
        <w:tc>
          <w:tcPr>
            <w:tcW w:w="1407"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0AA2A217" w14:textId="5FE9F2D4" w:rsidR="00C064DD" w:rsidRPr="004732F0" w:rsidRDefault="00C064DD" w:rsidP="00C064DD">
            <w:pPr>
              <w:spacing w:after="0"/>
              <w:jc w:val="center"/>
              <w:rPr>
                <w:rFonts w:ascii="Times New Roman" w:hAnsi="Times New Roman"/>
                <w:b/>
                <w:bCs/>
                <w:color w:val="FFFFFF" w:themeColor="background1"/>
              </w:rPr>
            </w:pPr>
            <w:r w:rsidRPr="004732F0">
              <w:rPr>
                <w:rFonts w:ascii="Times New Roman" w:hAnsi="Times New Roman"/>
                <w:b/>
                <w:bCs/>
                <w:color w:val="FFFFFF" w:themeColor="background1"/>
              </w:rPr>
              <w:t>235</w:t>
            </w:r>
          </w:p>
        </w:tc>
        <w:tc>
          <w:tcPr>
            <w:tcW w:w="1247"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1C3106BA" w14:textId="61DD0490" w:rsidR="00C064DD" w:rsidRPr="004732F0" w:rsidRDefault="00C064DD" w:rsidP="00C064DD">
            <w:pPr>
              <w:spacing w:after="0"/>
              <w:jc w:val="center"/>
              <w:rPr>
                <w:rFonts w:ascii="Times New Roman" w:hAnsi="Times New Roman"/>
                <w:b/>
                <w:bCs/>
                <w:color w:val="FFFFFF" w:themeColor="background1"/>
              </w:rPr>
            </w:pPr>
            <w:r w:rsidRPr="004732F0">
              <w:rPr>
                <w:rFonts w:ascii="Times New Roman" w:hAnsi="Times New Roman"/>
                <w:b/>
                <w:bCs/>
                <w:color w:val="FFFFFF" w:themeColor="background1"/>
              </w:rPr>
              <w:t>8.98%</w:t>
            </w:r>
          </w:p>
        </w:tc>
        <w:tc>
          <w:tcPr>
            <w:tcW w:w="1540" w:type="dxa"/>
            <w:tcBorders>
              <w:top w:val="single" w:sz="4" w:space="0" w:color="auto"/>
              <w:left w:val="nil"/>
              <w:bottom w:val="single" w:sz="4" w:space="0" w:color="auto"/>
              <w:right w:val="single" w:sz="4" w:space="0" w:color="auto"/>
            </w:tcBorders>
            <w:shd w:val="clear" w:color="auto" w:fill="808080" w:themeFill="background1" w:themeFillShade="80"/>
          </w:tcPr>
          <w:p w14:paraId="6F5D4A21" w14:textId="75AC8EC4" w:rsidR="00C064DD" w:rsidRPr="004732F0" w:rsidRDefault="00C064DD" w:rsidP="00C064DD">
            <w:pPr>
              <w:spacing w:after="0"/>
              <w:jc w:val="center"/>
              <w:rPr>
                <w:rFonts w:ascii="Times New Roman" w:hAnsi="Times New Roman"/>
                <w:b/>
                <w:bCs/>
                <w:color w:val="FFFFFF" w:themeColor="background1"/>
              </w:rPr>
            </w:pPr>
            <w:r w:rsidRPr="004732F0">
              <w:rPr>
                <w:rFonts w:ascii="Times New Roman" w:hAnsi="Times New Roman"/>
                <w:b/>
                <w:bCs/>
                <w:color w:val="FFFFFF" w:themeColor="background1"/>
              </w:rPr>
              <w:t>61</w:t>
            </w:r>
          </w:p>
        </w:tc>
      </w:tr>
    </w:tbl>
    <w:p w14:paraId="3BCB10AC" w14:textId="6C6E75BF" w:rsidR="0084690D" w:rsidRDefault="0084690D">
      <w:pPr>
        <w:spacing w:after="0"/>
        <w:rPr>
          <w:rFonts w:ascii="Times New Roman" w:eastAsiaTheme="majorEastAsia" w:hAnsi="Times New Roman"/>
          <w:b/>
          <w:sz w:val="28"/>
          <w:lang w:val="es-ES_tradnl" w:eastAsia="en-US" w:bidi="en-US"/>
        </w:rPr>
      </w:pPr>
      <w:bookmarkStart w:id="251" w:name="_Toc26292085"/>
    </w:p>
    <w:p w14:paraId="4802383A" w14:textId="456CB65E" w:rsidR="002C75E0" w:rsidRPr="00C935BD" w:rsidRDefault="002C75E0" w:rsidP="00CA5792">
      <w:pPr>
        <w:pStyle w:val="Ttulo3"/>
      </w:pPr>
      <w:bookmarkStart w:id="252" w:name="_Toc26292083"/>
      <w:bookmarkStart w:id="253" w:name="_Toc27146793"/>
      <w:bookmarkEnd w:id="251"/>
      <w:r w:rsidRPr="00C935BD">
        <w:lastRenderedPageBreak/>
        <w:t>Programa para el fomento de las exportaciones agropecuarias (AGROEXPORTA).</w:t>
      </w:r>
      <w:bookmarkEnd w:id="252"/>
      <w:bookmarkEnd w:id="253"/>
      <w:r w:rsidRPr="00C935BD">
        <w:t xml:space="preserve"> </w:t>
      </w:r>
    </w:p>
    <w:p w14:paraId="2EC3334C" w14:textId="77777777" w:rsidR="004245EB" w:rsidRDefault="004245EB" w:rsidP="00DE69E9">
      <w:pPr>
        <w:widowControl w:val="0"/>
        <w:tabs>
          <w:tab w:val="left" w:pos="630"/>
        </w:tabs>
        <w:autoSpaceDE w:val="0"/>
        <w:autoSpaceDN w:val="0"/>
        <w:adjustRightInd w:val="0"/>
        <w:spacing w:after="0" w:line="480" w:lineRule="auto"/>
        <w:ind w:left="142" w:firstLine="720"/>
        <w:contextualSpacing/>
        <w:jc w:val="both"/>
        <w:rPr>
          <w:rFonts w:ascii="Times New Roman" w:hAnsi="Times New Roman"/>
          <w:lang w:val="es-ES_tradnl"/>
        </w:rPr>
      </w:pPr>
    </w:p>
    <w:p w14:paraId="6052C824" w14:textId="6209AEF7" w:rsidR="00DE69E9" w:rsidRPr="00C935BD" w:rsidRDefault="00DE69E9" w:rsidP="00DE69E9">
      <w:pPr>
        <w:widowControl w:val="0"/>
        <w:tabs>
          <w:tab w:val="left" w:pos="630"/>
        </w:tabs>
        <w:autoSpaceDE w:val="0"/>
        <w:autoSpaceDN w:val="0"/>
        <w:adjustRightInd w:val="0"/>
        <w:spacing w:after="0" w:line="480" w:lineRule="auto"/>
        <w:ind w:left="142" w:firstLine="720"/>
        <w:contextualSpacing/>
        <w:jc w:val="both"/>
        <w:rPr>
          <w:rFonts w:ascii="Times New Roman" w:hAnsi="Times New Roman"/>
          <w:lang w:val="es-ES_tradnl"/>
        </w:rPr>
      </w:pPr>
      <w:r w:rsidRPr="00C935BD">
        <w:rPr>
          <w:rFonts w:ascii="Times New Roman" w:hAnsi="Times New Roman"/>
          <w:lang w:val="es-ES_tradnl"/>
        </w:rPr>
        <w:t>Fortalecimiento de las exportaciones agropecuarias de origen dominicano con la creación del Programa de Apoyo a las Exportaciones Agropecuarias (AGROEXPORTA) con la finalidad de desarrollar y apoyar el sector exportador de productos agropecuarios de la República Dominicana.</w:t>
      </w:r>
    </w:p>
    <w:p w14:paraId="44743ECD" w14:textId="77777777" w:rsidR="00DE69E9" w:rsidRPr="00C935BD" w:rsidRDefault="00DE69E9" w:rsidP="00DE69E9">
      <w:pPr>
        <w:widowControl w:val="0"/>
        <w:tabs>
          <w:tab w:val="left" w:pos="630"/>
        </w:tabs>
        <w:autoSpaceDE w:val="0"/>
        <w:autoSpaceDN w:val="0"/>
        <w:adjustRightInd w:val="0"/>
        <w:spacing w:after="0" w:line="480" w:lineRule="auto"/>
        <w:ind w:left="142" w:firstLine="720"/>
        <w:contextualSpacing/>
        <w:jc w:val="both"/>
        <w:rPr>
          <w:rFonts w:ascii="Times New Roman" w:hAnsi="Times New Roman"/>
          <w:lang w:val="es-ES_tradnl"/>
        </w:rPr>
      </w:pPr>
    </w:p>
    <w:p w14:paraId="45F99758" w14:textId="77777777" w:rsidR="00DE69E9" w:rsidRPr="00C935BD" w:rsidRDefault="00DE69E9" w:rsidP="00DE69E9">
      <w:pPr>
        <w:widowControl w:val="0"/>
        <w:tabs>
          <w:tab w:val="left" w:pos="630"/>
        </w:tabs>
        <w:autoSpaceDE w:val="0"/>
        <w:autoSpaceDN w:val="0"/>
        <w:adjustRightInd w:val="0"/>
        <w:spacing w:after="0" w:line="480" w:lineRule="auto"/>
        <w:ind w:left="142" w:firstLine="720"/>
        <w:contextualSpacing/>
        <w:jc w:val="both"/>
        <w:rPr>
          <w:rFonts w:ascii="Times New Roman" w:hAnsi="Times New Roman"/>
          <w:lang w:val="es-ES_tradnl"/>
        </w:rPr>
      </w:pPr>
      <w:r w:rsidRPr="00C935BD">
        <w:rPr>
          <w:rFonts w:ascii="Times New Roman" w:hAnsi="Times New Roman"/>
          <w:lang w:val="es-ES_tradnl"/>
        </w:rPr>
        <w:t xml:space="preserve">En el marco de la mesa para el fomento y desarrollo de las agroexportaciones convocada por la Presidencia de la República vía el Consejo Nacional de Competitividad. Se ha logrado la puesta en marcha de 13 propuestas de apoyo a los fines de impulsar el sector exportador agropecuario. </w:t>
      </w:r>
    </w:p>
    <w:p w14:paraId="132FECAE" w14:textId="77777777" w:rsidR="00DE69E9" w:rsidRPr="00C935BD" w:rsidRDefault="00DE69E9" w:rsidP="00DE69E9">
      <w:pPr>
        <w:pStyle w:val="Prrafodelista"/>
        <w:spacing w:after="0"/>
        <w:ind w:left="993"/>
        <w:jc w:val="both"/>
        <w:rPr>
          <w:rFonts w:ascii="Century Gothic" w:hAnsi="Century Gothic"/>
          <w:sz w:val="24"/>
          <w:szCs w:val="24"/>
        </w:rPr>
      </w:pPr>
    </w:p>
    <w:p w14:paraId="30977D4B" w14:textId="233D9CB3" w:rsidR="00DE69E9" w:rsidRPr="00C935BD" w:rsidRDefault="00DE69E9" w:rsidP="001C6B1A">
      <w:pPr>
        <w:pStyle w:val="Prrafodelista"/>
        <w:numPr>
          <w:ilvl w:val="0"/>
          <w:numId w:val="37"/>
        </w:numPr>
        <w:spacing w:after="0" w:line="480" w:lineRule="auto"/>
        <w:ind w:left="426" w:hanging="284"/>
        <w:jc w:val="both"/>
        <w:rPr>
          <w:rFonts w:ascii="Times New Roman" w:hAnsi="Times New Roman"/>
          <w:sz w:val="24"/>
          <w:szCs w:val="24"/>
        </w:rPr>
      </w:pPr>
      <w:r w:rsidRPr="00C935BD">
        <w:rPr>
          <w:rFonts w:ascii="Times New Roman" w:hAnsi="Times New Roman"/>
          <w:sz w:val="24"/>
          <w:szCs w:val="24"/>
        </w:rPr>
        <w:t xml:space="preserve">Emisión Resolución del Ministerio declarando de prioridad nacional la promoción de las exportaciones de 30 productos, priorizando los primeros 10 de acuerdo a los planes de exportación: Aguacate, Banano, Pinna, Mango, Vegetales en Invernaderos, Vegetales Asiáticos, Carnes, Yuca, Coco y Cacao. </w:t>
      </w:r>
    </w:p>
    <w:p w14:paraId="648352A9" w14:textId="77777777" w:rsidR="00DE69E9" w:rsidRPr="00C935BD" w:rsidRDefault="00DE69E9" w:rsidP="00DE69E9">
      <w:pPr>
        <w:pStyle w:val="Prrafodelista"/>
        <w:spacing w:after="0" w:line="360" w:lineRule="auto"/>
        <w:ind w:left="993"/>
        <w:jc w:val="both"/>
        <w:rPr>
          <w:rFonts w:ascii="Times New Roman" w:hAnsi="Times New Roman"/>
          <w:sz w:val="24"/>
          <w:szCs w:val="24"/>
        </w:rPr>
      </w:pPr>
    </w:p>
    <w:p w14:paraId="3EAE74EC" w14:textId="0DB143D1" w:rsidR="00DE69E9" w:rsidRPr="00C935BD" w:rsidRDefault="00DE69E9" w:rsidP="001C6B1A">
      <w:pPr>
        <w:pStyle w:val="Prrafodelista"/>
        <w:numPr>
          <w:ilvl w:val="0"/>
          <w:numId w:val="37"/>
        </w:numPr>
        <w:spacing w:after="0" w:line="480" w:lineRule="auto"/>
        <w:ind w:left="426" w:hanging="284"/>
        <w:jc w:val="both"/>
        <w:rPr>
          <w:rFonts w:ascii="Times New Roman" w:hAnsi="Times New Roman"/>
          <w:sz w:val="24"/>
          <w:szCs w:val="24"/>
        </w:rPr>
      </w:pPr>
      <w:r w:rsidRPr="00C935BD">
        <w:rPr>
          <w:rFonts w:ascii="Times New Roman" w:hAnsi="Times New Roman"/>
          <w:sz w:val="24"/>
          <w:szCs w:val="24"/>
        </w:rPr>
        <w:t>Ampliación de la cobertura del seguro agrícola para los productos con vocación exportadora.</w:t>
      </w:r>
    </w:p>
    <w:p w14:paraId="3D12C741" w14:textId="77777777" w:rsidR="00DE69E9" w:rsidRPr="00C935BD" w:rsidRDefault="00DE69E9" w:rsidP="0084690D">
      <w:pPr>
        <w:pStyle w:val="Prrafodelista"/>
        <w:spacing w:line="480" w:lineRule="auto"/>
        <w:rPr>
          <w:rFonts w:ascii="Times New Roman" w:hAnsi="Times New Roman"/>
          <w:sz w:val="24"/>
          <w:szCs w:val="24"/>
        </w:rPr>
      </w:pPr>
    </w:p>
    <w:p w14:paraId="45C850EF" w14:textId="45FB1A06" w:rsidR="00DE69E9" w:rsidRPr="00C935BD" w:rsidRDefault="00DE69E9" w:rsidP="001C6B1A">
      <w:pPr>
        <w:pStyle w:val="Prrafodelista"/>
        <w:numPr>
          <w:ilvl w:val="0"/>
          <w:numId w:val="37"/>
        </w:numPr>
        <w:spacing w:after="0" w:line="480" w:lineRule="auto"/>
        <w:ind w:left="426" w:hanging="284"/>
        <w:jc w:val="both"/>
        <w:rPr>
          <w:rFonts w:ascii="Times New Roman" w:hAnsi="Times New Roman"/>
          <w:sz w:val="24"/>
          <w:szCs w:val="24"/>
        </w:rPr>
      </w:pPr>
      <w:r w:rsidRPr="00C935BD">
        <w:rPr>
          <w:rFonts w:ascii="Times New Roman" w:hAnsi="Times New Roman"/>
          <w:sz w:val="24"/>
          <w:szCs w:val="24"/>
        </w:rPr>
        <w:t>Coordina</w:t>
      </w:r>
      <w:r w:rsidR="004732F0" w:rsidRPr="00C935BD">
        <w:rPr>
          <w:rFonts w:ascii="Times New Roman" w:hAnsi="Times New Roman"/>
          <w:sz w:val="24"/>
          <w:szCs w:val="24"/>
        </w:rPr>
        <w:t xml:space="preserve">ción de </w:t>
      </w:r>
      <w:r w:rsidRPr="00C935BD">
        <w:rPr>
          <w:rFonts w:ascii="Times New Roman" w:hAnsi="Times New Roman"/>
          <w:sz w:val="24"/>
          <w:szCs w:val="24"/>
        </w:rPr>
        <w:t>un programa de promoción de las exportaciones con el CEI-RD y el MIREX para los productos de vocación exportadora.</w:t>
      </w:r>
    </w:p>
    <w:p w14:paraId="5A542F2C" w14:textId="77777777" w:rsidR="00DE69E9" w:rsidRPr="00C935BD" w:rsidRDefault="00DE69E9" w:rsidP="00DE69E9">
      <w:pPr>
        <w:pStyle w:val="Prrafodelista"/>
        <w:rPr>
          <w:rFonts w:ascii="Times New Roman" w:hAnsi="Times New Roman"/>
          <w:sz w:val="24"/>
          <w:szCs w:val="24"/>
        </w:rPr>
      </w:pPr>
    </w:p>
    <w:p w14:paraId="30D5BA71" w14:textId="402EC52A" w:rsidR="00DE69E9" w:rsidRPr="00C935BD" w:rsidRDefault="00DE69E9" w:rsidP="001C6B1A">
      <w:pPr>
        <w:pStyle w:val="Prrafodelista"/>
        <w:numPr>
          <w:ilvl w:val="0"/>
          <w:numId w:val="37"/>
        </w:numPr>
        <w:spacing w:after="0" w:line="480" w:lineRule="auto"/>
        <w:ind w:left="426" w:hanging="284"/>
        <w:jc w:val="both"/>
        <w:rPr>
          <w:rFonts w:ascii="Times New Roman" w:hAnsi="Times New Roman"/>
          <w:sz w:val="24"/>
          <w:szCs w:val="24"/>
        </w:rPr>
      </w:pPr>
      <w:r w:rsidRPr="00C935BD">
        <w:rPr>
          <w:rFonts w:ascii="Times New Roman" w:hAnsi="Times New Roman"/>
          <w:sz w:val="24"/>
          <w:szCs w:val="24"/>
        </w:rPr>
        <w:lastRenderedPageBreak/>
        <w:t>Ampliación del Programa de Manejo Integrado de Plagas (MIP).</w:t>
      </w:r>
    </w:p>
    <w:p w14:paraId="726E41A1" w14:textId="77777777" w:rsidR="00DE69E9" w:rsidRPr="00C935BD" w:rsidRDefault="00DE69E9" w:rsidP="0084690D">
      <w:pPr>
        <w:pStyle w:val="Prrafodelista"/>
        <w:spacing w:line="480" w:lineRule="auto"/>
        <w:rPr>
          <w:rFonts w:ascii="Times New Roman" w:hAnsi="Times New Roman"/>
          <w:sz w:val="24"/>
          <w:szCs w:val="24"/>
        </w:rPr>
      </w:pPr>
    </w:p>
    <w:p w14:paraId="125E3DD2" w14:textId="5D4EC348" w:rsidR="00DE69E9" w:rsidRPr="00C935BD" w:rsidRDefault="00DE69E9" w:rsidP="001C6B1A">
      <w:pPr>
        <w:pStyle w:val="Prrafodelista"/>
        <w:numPr>
          <w:ilvl w:val="0"/>
          <w:numId w:val="37"/>
        </w:numPr>
        <w:spacing w:after="0" w:line="480" w:lineRule="auto"/>
        <w:ind w:left="426" w:hanging="284"/>
        <w:jc w:val="both"/>
        <w:rPr>
          <w:rFonts w:ascii="Times New Roman" w:hAnsi="Times New Roman"/>
          <w:sz w:val="24"/>
          <w:szCs w:val="24"/>
        </w:rPr>
      </w:pPr>
      <w:r w:rsidRPr="00C935BD">
        <w:rPr>
          <w:rFonts w:ascii="Times New Roman" w:hAnsi="Times New Roman"/>
          <w:sz w:val="24"/>
          <w:szCs w:val="24"/>
        </w:rPr>
        <w:t>Fortalecimiento y aplicación a nivel nacional e internacional del régimen de consecuencias para los controles sanitarios, de inocuidad y trazabilidad.</w:t>
      </w:r>
    </w:p>
    <w:p w14:paraId="0C03E7A5" w14:textId="77777777" w:rsidR="00DE69E9" w:rsidRPr="00C935BD" w:rsidRDefault="00DE69E9" w:rsidP="0084690D">
      <w:pPr>
        <w:pStyle w:val="Prrafodelista"/>
        <w:spacing w:line="480" w:lineRule="auto"/>
        <w:rPr>
          <w:rFonts w:ascii="Times New Roman" w:hAnsi="Times New Roman"/>
          <w:sz w:val="24"/>
          <w:szCs w:val="24"/>
        </w:rPr>
      </w:pPr>
    </w:p>
    <w:p w14:paraId="447660AE" w14:textId="4FA5EAB6" w:rsidR="00DE69E9" w:rsidRPr="00C935BD" w:rsidRDefault="00DE69E9" w:rsidP="001C6B1A">
      <w:pPr>
        <w:pStyle w:val="Prrafodelista"/>
        <w:numPr>
          <w:ilvl w:val="0"/>
          <w:numId w:val="37"/>
        </w:numPr>
        <w:spacing w:after="0" w:line="480" w:lineRule="auto"/>
        <w:ind w:left="426" w:hanging="284"/>
        <w:jc w:val="both"/>
        <w:rPr>
          <w:rFonts w:ascii="Times New Roman" w:hAnsi="Times New Roman"/>
          <w:sz w:val="24"/>
          <w:szCs w:val="24"/>
        </w:rPr>
      </w:pPr>
      <w:r w:rsidRPr="00C935BD">
        <w:rPr>
          <w:rFonts w:ascii="Times New Roman" w:hAnsi="Times New Roman"/>
          <w:sz w:val="24"/>
          <w:szCs w:val="24"/>
        </w:rPr>
        <w:t>Fortalec</w:t>
      </w:r>
      <w:r w:rsidR="004732F0" w:rsidRPr="00C935BD">
        <w:rPr>
          <w:rFonts w:ascii="Times New Roman" w:hAnsi="Times New Roman"/>
          <w:sz w:val="24"/>
          <w:szCs w:val="24"/>
        </w:rPr>
        <w:t xml:space="preserve">imiento de </w:t>
      </w:r>
      <w:r w:rsidRPr="00C935BD">
        <w:rPr>
          <w:rFonts w:ascii="Times New Roman" w:hAnsi="Times New Roman"/>
          <w:sz w:val="24"/>
          <w:szCs w:val="24"/>
        </w:rPr>
        <w:t xml:space="preserve">las estructuras de las asociaciones con vocación de exportación en equipamiento de pre-enfriado y logística de transporte. </w:t>
      </w:r>
    </w:p>
    <w:p w14:paraId="30AE3592" w14:textId="77777777" w:rsidR="00DE69E9" w:rsidRPr="00C935BD" w:rsidRDefault="00DE69E9" w:rsidP="0084690D">
      <w:pPr>
        <w:pStyle w:val="Prrafodelista"/>
        <w:spacing w:line="480" w:lineRule="auto"/>
        <w:rPr>
          <w:rFonts w:ascii="Times New Roman" w:hAnsi="Times New Roman"/>
          <w:sz w:val="24"/>
          <w:szCs w:val="24"/>
        </w:rPr>
      </w:pPr>
    </w:p>
    <w:p w14:paraId="0C67C051" w14:textId="5F21C842" w:rsidR="00DE69E9" w:rsidRPr="00C935BD" w:rsidRDefault="00DE69E9" w:rsidP="001C6B1A">
      <w:pPr>
        <w:pStyle w:val="Prrafodelista"/>
        <w:numPr>
          <w:ilvl w:val="0"/>
          <w:numId w:val="37"/>
        </w:numPr>
        <w:spacing w:after="0" w:line="480" w:lineRule="auto"/>
        <w:ind w:left="426" w:hanging="284"/>
        <w:jc w:val="both"/>
        <w:rPr>
          <w:rFonts w:ascii="Times New Roman" w:hAnsi="Times New Roman"/>
          <w:sz w:val="24"/>
          <w:szCs w:val="24"/>
        </w:rPr>
      </w:pPr>
      <w:r w:rsidRPr="00C935BD">
        <w:rPr>
          <w:rFonts w:ascii="Times New Roman" w:hAnsi="Times New Roman"/>
          <w:sz w:val="24"/>
          <w:szCs w:val="24"/>
        </w:rPr>
        <w:t>Establecimiento de áreas de inspección en ambiente controlado en puertos y aeropuertos.</w:t>
      </w:r>
    </w:p>
    <w:p w14:paraId="3283B111" w14:textId="77777777" w:rsidR="00DE69E9" w:rsidRPr="00C935BD" w:rsidRDefault="00DE69E9" w:rsidP="00DE69E9">
      <w:pPr>
        <w:pStyle w:val="Prrafodelista"/>
        <w:rPr>
          <w:rFonts w:ascii="Times New Roman" w:hAnsi="Times New Roman"/>
          <w:sz w:val="24"/>
          <w:szCs w:val="24"/>
        </w:rPr>
      </w:pPr>
    </w:p>
    <w:p w14:paraId="03499362" w14:textId="576C0970" w:rsidR="00DE69E9" w:rsidRPr="00C935BD" w:rsidRDefault="004732F0" w:rsidP="001C6B1A">
      <w:pPr>
        <w:pStyle w:val="Prrafodelista"/>
        <w:numPr>
          <w:ilvl w:val="0"/>
          <w:numId w:val="37"/>
        </w:numPr>
        <w:spacing w:after="0" w:line="480" w:lineRule="auto"/>
        <w:ind w:left="426" w:hanging="284"/>
        <w:jc w:val="both"/>
        <w:rPr>
          <w:rFonts w:ascii="Times New Roman" w:hAnsi="Times New Roman"/>
          <w:sz w:val="24"/>
          <w:szCs w:val="24"/>
        </w:rPr>
      </w:pPr>
      <w:r w:rsidRPr="00C935BD">
        <w:rPr>
          <w:rFonts w:ascii="Times New Roman" w:hAnsi="Times New Roman"/>
          <w:sz w:val="24"/>
          <w:szCs w:val="24"/>
        </w:rPr>
        <w:t>Gestión ante el</w:t>
      </w:r>
      <w:r w:rsidR="00DE69E9" w:rsidRPr="00C935BD">
        <w:rPr>
          <w:rFonts w:ascii="Times New Roman" w:hAnsi="Times New Roman"/>
          <w:sz w:val="24"/>
          <w:szCs w:val="24"/>
        </w:rPr>
        <w:t xml:space="preserve"> Congreso Nacional </w:t>
      </w:r>
      <w:r w:rsidRPr="00C935BD">
        <w:rPr>
          <w:rFonts w:ascii="Times New Roman" w:hAnsi="Times New Roman"/>
          <w:sz w:val="24"/>
          <w:szCs w:val="24"/>
        </w:rPr>
        <w:t xml:space="preserve">de </w:t>
      </w:r>
      <w:r w:rsidR="00DE69E9" w:rsidRPr="00C935BD">
        <w:rPr>
          <w:rFonts w:ascii="Times New Roman" w:hAnsi="Times New Roman"/>
          <w:sz w:val="24"/>
          <w:szCs w:val="24"/>
        </w:rPr>
        <w:t>la aprobación del Proyecto de Ley de Fondo de Garantías Recíprocas del Banco Central, para facilitar a la banca comercial la disposición de estos fondos para el sector exportador.</w:t>
      </w:r>
    </w:p>
    <w:p w14:paraId="6CE7D9F4" w14:textId="77777777" w:rsidR="00DE69E9" w:rsidRPr="00C935BD" w:rsidRDefault="00DE69E9" w:rsidP="0084690D">
      <w:pPr>
        <w:pStyle w:val="Prrafodelista"/>
        <w:spacing w:line="480" w:lineRule="auto"/>
        <w:rPr>
          <w:rFonts w:ascii="Times New Roman" w:hAnsi="Times New Roman"/>
          <w:sz w:val="24"/>
          <w:szCs w:val="24"/>
        </w:rPr>
      </w:pPr>
    </w:p>
    <w:p w14:paraId="38A7D3AB" w14:textId="2F0F190D" w:rsidR="00DE69E9" w:rsidRPr="00C935BD" w:rsidRDefault="00DE69E9" w:rsidP="001C6B1A">
      <w:pPr>
        <w:pStyle w:val="Prrafodelista"/>
        <w:numPr>
          <w:ilvl w:val="0"/>
          <w:numId w:val="37"/>
        </w:numPr>
        <w:spacing w:after="0" w:line="480" w:lineRule="auto"/>
        <w:ind w:left="426" w:hanging="284"/>
        <w:jc w:val="both"/>
        <w:rPr>
          <w:rFonts w:ascii="Times New Roman" w:hAnsi="Times New Roman"/>
          <w:sz w:val="24"/>
          <w:szCs w:val="24"/>
        </w:rPr>
      </w:pPr>
      <w:r w:rsidRPr="00C935BD">
        <w:rPr>
          <w:rFonts w:ascii="Times New Roman" w:hAnsi="Times New Roman"/>
          <w:sz w:val="24"/>
          <w:szCs w:val="24"/>
        </w:rPr>
        <w:t>Diseño e implementación de un plan de acreditación para laboratorios.</w:t>
      </w:r>
    </w:p>
    <w:p w14:paraId="02092AD3" w14:textId="77777777" w:rsidR="00DE69E9" w:rsidRPr="00C935BD" w:rsidRDefault="00DE69E9" w:rsidP="0084690D">
      <w:pPr>
        <w:pStyle w:val="Prrafodelista"/>
        <w:spacing w:line="480" w:lineRule="auto"/>
        <w:rPr>
          <w:rFonts w:ascii="Times New Roman" w:hAnsi="Times New Roman"/>
          <w:sz w:val="24"/>
          <w:szCs w:val="24"/>
        </w:rPr>
      </w:pPr>
    </w:p>
    <w:p w14:paraId="19702264" w14:textId="46D2D4F2" w:rsidR="00DE69E9" w:rsidRPr="00C935BD" w:rsidRDefault="00DE69E9" w:rsidP="001C6B1A">
      <w:pPr>
        <w:pStyle w:val="Prrafodelista"/>
        <w:numPr>
          <w:ilvl w:val="0"/>
          <w:numId w:val="37"/>
        </w:numPr>
        <w:spacing w:after="0" w:line="480" w:lineRule="auto"/>
        <w:ind w:left="426" w:hanging="284"/>
        <w:jc w:val="both"/>
        <w:rPr>
          <w:rFonts w:ascii="Times New Roman" w:hAnsi="Times New Roman"/>
          <w:sz w:val="24"/>
          <w:szCs w:val="24"/>
        </w:rPr>
      </w:pPr>
      <w:r w:rsidRPr="00C935BD">
        <w:rPr>
          <w:rFonts w:ascii="Times New Roman" w:hAnsi="Times New Roman"/>
          <w:sz w:val="24"/>
          <w:szCs w:val="24"/>
        </w:rPr>
        <w:t>Diseño de un plan para promo</w:t>
      </w:r>
      <w:r w:rsidR="004732F0" w:rsidRPr="00C935BD">
        <w:rPr>
          <w:rFonts w:ascii="Times New Roman" w:hAnsi="Times New Roman"/>
          <w:sz w:val="24"/>
          <w:szCs w:val="24"/>
        </w:rPr>
        <w:t xml:space="preserve">ción </w:t>
      </w:r>
      <w:r w:rsidRPr="00C935BD">
        <w:rPr>
          <w:rFonts w:ascii="Times New Roman" w:hAnsi="Times New Roman"/>
          <w:sz w:val="24"/>
          <w:szCs w:val="24"/>
        </w:rPr>
        <w:t>dentro de las empresas con vocación exportadora la certificación OEA, Fair Trade, HACCP, COOL.</w:t>
      </w:r>
    </w:p>
    <w:p w14:paraId="5AE212F4" w14:textId="77777777" w:rsidR="00DE69E9" w:rsidRPr="00C935BD" w:rsidRDefault="00DE69E9" w:rsidP="0084690D">
      <w:pPr>
        <w:pStyle w:val="Prrafodelista"/>
        <w:spacing w:after="0" w:line="480" w:lineRule="auto"/>
        <w:ind w:left="993"/>
        <w:jc w:val="both"/>
        <w:rPr>
          <w:rFonts w:ascii="Times New Roman" w:hAnsi="Times New Roman"/>
          <w:sz w:val="24"/>
          <w:szCs w:val="24"/>
        </w:rPr>
      </w:pPr>
    </w:p>
    <w:p w14:paraId="7DE40395" w14:textId="73DDB6FF" w:rsidR="00DE69E9" w:rsidRPr="00C935BD" w:rsidRDefault="00DE69E9" w:rsidP="001C6B1A">
      <w:pPr>
        <w:pStyle w:val="Prrafodelista"/>
        <w:numPr>
          <w:ilvl w:val="0"/>
          <w:numId w:val="37"/>
        </w:numPr>
        <w:spacing w:after="0" w:line="480" w:lineRule="auto"/>
        <w:ind w:left="426" w:hanging="284"/>
        <w:jc w:val="both"/>
        <w:rPr>
          <w:rFonts w:ascii="Times New Roman" w:hAnsi="Times New Roman"/>
          <w:sz w:val="24"/>
          <w:szCs w:val="24"/>
        </w:rPr>
      </w:pPr>
      <w:r w:rsidRPr="00C935BD">
        <w:rPr>
          <w:rFonts w:ascii="Times New Roman" w:hAnsi="Times New Roman"/>
          <w:sz w:val="24"/>
          <w:szCs w:val="24"/>
        </w:rPr>
        <w:t xml:space="preserve">Diseño e implementación de un plan de capacitación del sector agropecuario con vocación exportadora, en técnicas de producción agrícola, gerencia de empaque y producción en finca. </w:t>
      </w:r>
    </w:p>
    <w:p w14:paraId="3589B22C" w14:textId="77777777" w:rsidR="00DE69E9" w:rsidRPr="00C935BD" w:rsidRDefault="00DE69E9" w:rsidP="00DE69E9">
      <w:pPr>
        <w:pStyle w:val="Prrafodelista"/>
        <w:rPr>
          <w:rFonts w:ascii="Times New Roman" w:hAnsi="Times New Roman"/>
          <w:sz w:val="24"/>
          <w:szCs w:val="24"/>
        </w:rPr>
      </w:pPr>
    </w:p>
    <w:p w14:paraId="2F6A603E" w14:textId="0AA19BFD" w:rsidR="00DE69E9" w:rsidRPr="00C935BD" w:rsidRDefault="004732F0" w:rsidP="001C6B1A">
      <w:pPr>
        <w:pStyle w:val="Prrafodelista"/>
        <w:numPr>
          <w:ilvl w:val="0"/>
          <w:numId w:val="37"/>
        </w:numPr>
        <w:spacing w:after="0" w:line="480" w:lineRule="auto"/>
        <w:ind w:left="426" w:hanging="284"/>
        <w:jc w:val="both"/>
        <w:rPr>
          <w:rFonts w:ascii="Times New Roman" w:hAnsi="Times New Roman"/>
          <w:sz w:val="24"/>
          <w:szCs w:val="24"/>
        </w:rPr>
      </w:pPr>
      <w:r w:rsidRPr="00C935BD">
        <w:rPr>
          <w:rFonts w:ascii="Times New Roman" w:hAnsi="Times New Roman"/>
          <w:sz w:val="24"/>
          <w:szCs w:val="24"/>
        </w:rPr>
        <w:lastRenderedPageBreak/>
        <w:t xml:space="preserve">Creación de un </w:t>
      </w:r>
      <w:r w:rsidR="00DE69E9" w:rsidRPr="00C935BD">
        <w:rPr>
          <w:rFonts w:ascii="Times New Roman" w:hAnsi="Times New Roman"/>
          <w:sz w:val="24"/>
          <w:szCs w:val="24"/>
        </w:rPr>
        <w:t>Plan de acceso a las TIC’s para llevar la trazabilidad desde la producción hasta los mercados internacionales.</w:t>
      </w:r>
    </w:p>
    <w:p w14:paraId="507DF38B" w14:textId="77777777" w:rsidR="00DE69E9" w:rsidRPr="00C935BD" w:rsidRDefault="00DE69E9" w:rsidP="0084690D">
      <w:pPr>
        <w:pStyle w:val="Prrafodelista"/>
        <w:spacing w:line="480" w:lineRule="auto"/>
        <w:rPr>
          <w:rFonts w:ascii="Times New Roman" w:hAnsi="Times New Roman"/>
          <w:sz w:val="24"/>
          <w:szCs w:val="24"/>
        </w:rPr>
      </w:pPr>
    </w:p>
    <w:p w14:paraId="1EFB00C5" w14:textId="22D39252" w:rsidR="00DE69E9" w:rsidRPr="00C935BD" w:rsidRDefault="00DE69E9" w:rsidP="001C6B1A">
      <w:pPr>
        <w:pStyle w:val="Prrafodelista"/>
        <w:numPr>
          <w:ilvl w:val="0"/>
          <w:numId w:val="37"/>
        </w:numPr>
        <w:spacing w:after="0" w:line="480" w:lineRule="auto"/>
        <w:ind w:left="426" w:hanging="284"/>
        <w:jc w:val="both"/>
        <w:rPr>
          <w:rFonts w:ascii="Times New Roman" w:hAnsi="Times New Roman"/>
          <w:sz w:val="24"/>
          <w:szCs w:val="24"/>
        </w:rPr>
      </w:pPr>
      <w:r w:rsidRPr="00C935BD">
        <w:rPr>
          <w:rFonts w:ascii="Times New Roman" w:hAnsi="Times New Roman"/>
          <w:sz w:val="24"/>
          <w:szCs w:val="24"/>
        </w:rPr>
        <w:t>Ampliación del programa de pre-inspección e inocuidad.</w:t>
      </w:r>
    </w:p>
    <w:p w14:paraId="3A9A213B" w14:textId="77777777" w:rsidR="00DE69E9" w:rsidRPr="00C935BD" w:rsidRDefault="00DE69E9" w:rsidP="0084690D">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rPr>
      </w:pPr>
    </w:p>
    <w:p w14:paraId="1833DABF" w14:textId="732C7DC8" w:rsidR="002C75E0" w:rsidRPr="00C935BD" w:rsidRDefault="004732F0" w:rsidP="0084690D">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 xml:space="preserve">El Ministerio a </w:t>
      </w:r>
      <w:r w:rsidR="0046604F" w:rsidRPr="00C935BD">
        <w:rPr>
          <w:rFonts w:ascii="Times New Roman" w:hAnsi="Times New Roman"/>
          <w:lang w:val="es-ES_tradnl"/>
        </w:rPr>
        <w:t>tra</w:t>
      </w:r>
      <w:r w:rsidR="0046604F">
        <w:rPr>
          <w:rFonts w:ascii="Times New Roman" w:hAnsi="Times New Roman"/>
          <w:lang w:val="es-ES_tradnl"/>
        </w:rPr>
        <w:t>v</w:t>
      </w:r>
      <w:r w:rsidR="0046604F" w:rsidRPr="00C935BD">
        <w:rPr>
          <w:rFonts w:ascii="Times New Roman" w:hAnsi="Times New Roman"/>
          <w:lang w:val="es-ES_tradnl"/>
        </w:rPr>
        <w:t>és</w:t>
      </w:r>
      <w:r w:rsidRPr="00C935BD">
        <w:rPr>
          <w:rFonts w:ascii="Times New Roman" w:hAnsi="Times New Roman"/>
          <w:lang w:val="es-ES_tradnl"/>
        </w:rPr>
        <w:t xml:space="preserve"> de l</w:t>
      </w:r>
      <w:r w:rsidR="002C75E0" w:rsidRPr="00C935BD">
        <w:rPr>
          <w:rFonts w:ascii="Times New Roman" w:hAnsi="Times New Roman"/>
          <w:lang w:val="es-ES_tradnl"/>
        </w:rPr>
        <w:t>a OTCA formuló y desarrolló la estrategia 2019-2021 para la implementación del programa de fomento de las agroexportaciones, según la resolución 2018-78.</w:t>
      </w:r>
    </w:p>
    <w:p w14:paraId="185B846A" w14:textId="68003FC6" w:rsidR="002C75E0"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6C9B889C" w14:textId="7F3FF6F1" w:rsidR="0046604F" w:rsidRPr="0046604F" w:rsidRDefault="0046604F"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b/>
          <w:bCs/>
          <w:sz w:val="28"/>
          <w:szCs w:val="28"/>
          <w:lang w:val="es-ES_tradnl"/>
        </w:rPr>
      </w:pPr>
      <w:r w:rsidRPr="0046604F">
        <w:rPr>
          <w:rFonts w:ascii="Times New Roman" w:hAnsi="Times New Roman"/>
          <w:b/>
          <w:bCs/>
          <w:sz w:val="28"/>
          <w:szCs w:val="28"/>
          <w:lang w:val="es-ES_tradnl"/>
        </w:rPr>
        <w:t>Coordinación de mesas técnicas para la promoción de las exportaciones para productos de vocación exportadora</w:t>
      </w:r>
    </w:p>
    <w:p w14:paraId="53F18531" w14:textId="738F9C90" w:rsidR="0046604F" w:rsidRDefault="0046604F"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707B411A" w14:textId="643C5D28" w:rsidR="009D47CE" w:rsidRDefault="0046604F" w:rsidP="001C6B1A">
      <w:pPr>
        <w:pStyle w:val="Prrafodelista"/>
        <w:widowControl w:val="0"/>
        <w:numPr>
          <w:ilvl w:val="0"/>
          <w:numId w:val="51"/>
        </w:numPr>
        <w:tabs>
          <w:tab w:val="left" w:pos="630"/>
          <w:tab w:val="left" w:pos="3544"/>
        </w:tabs>
        <w:autoSpaceDE w:val="0"/>
        <w:autoSpaceDN w:val="0"/>
        <w:adjustRightInd w:val="0"/>
        <w:spacing w:after="0" w:line="480" w:lineRule="auto"/>
        <w:jc w:val="both"/>
        <w:rPr>
          <w:rFonts w:ascii="Times New Roman" w:hAnsi="Times New Roman"/>
          <w:sz w:val="24"/>
          <w:szCs w:val="24"/>
          <w:lang w:val="es-ES_tradnl"/>
        </w:rPr>
      </w:pPr>
      <w:r w:rsidRPr="0046604F">
        <w:rPr>
          <w:rFonts w:ascii="Times New Roman" w:hAnsi="Times New Roman"/>
          <w:sz w:val="24"/>
          <w:szCs w:val="24"/>
          <w:lang w:val="es-ES_tradnl"/>
        </w:rPr>
        <w:t>Coordinación con el CEI</w:t>
      </w:r>
      <w:r>
        <w:rPr>
          <w:rFonts w:ascii="Times New Roman" w:hAnsi="Times New Roman"/>
          <w:sz w:val="24"/>
          <w:szCs w:val="24"/>
          <w:lang w:val="es-ES_tradnl"/>
        </w:rPr>
        <w:t>-RD</w:t>
      </w:r>
      <w:r w:rsidRPr="0046604F">
        <w:rPr>
          <w:rFonts w:ascii="Times New Roman" w:hAnsi="Times New Roman"/>
          <w:sz w:val="24"/>
          <w:szCs w:val="24"/>
          <w:lang w:val="es-ES_tradnl"/>
        </w:rPr>
        <w:t xml:space="preserve"> de una Estrategia de capacitación para exportadores de productos frescos con casos de detenciones o devoluciones de mercancías por motivos fitosanitarios.</w:t>
      </w:r>
    </w:p>
    <w:p w14:paraId="5214AD6A" w14:textId="77777777" w:rsidR="009D47CE" w:rsidRPr="009D47CE" w:rsidRDefault="009D47CE" w:rsidP="001C6B1A">
      <w:pPr>
        <w:pStyle w:val="Prrafodelista"/>
        <w:widowControl w:val="0"/>
        <w:numPr>
          <w:ilvl w:val="0"/>
          <w:numId w:val="51"/>
        </w:numPr>
        <w:tabs>
          <w:tab w:val="left" w:pos="630"/>
          <w:tab w:val="left" w:pos="3544"/>
        </w:tabs>
        <w:autoSpaceDE w:val="0"/>
        <w:autoSpaceDN w:val="0"/>
        <w:adjustRightInd w:val="0"/>
        <w:spacing w:after="0" w:line="480" w:lineRule="auto"/>
        <w:jc w:val="both"/>
        <w:rPr>
          <w:rFonts w:ascii="Times New Roman" w:hAnsi="Times New Roman"/>
          <w:sz w:val="24"/>
          <w:szCs w:val="24"/>
          <w:lang w:val="es-ES_tradnl"/>
        </w:rPr>
      </w:pPr>
      <w:r w:rsidRPr="009D47CE">
        <w:rPr>
          <w:rFonts w:ascii="Times New Roman" w:hAnsi="Times New Roman"/>
          <w:sz w:val="24"/>
          <w:szCs w:val="24"/>
          <w:lang w:val="es-ES_tradnl"/>
        </w:rPr>
        <w:t xml:space="preserve">Coordinación </w:t>
      </w:r>
      <w:r w:rsidR="0046604F" w:rsidRPr="009D47CE">
        <w:rPr>
          <w:rFonts w:ascii="Times New Roman" w:hAnsi="Times New Roman"/>
          <w:sz w:val="24"/>
          <w:szCs w:val="24"/>
          <w:lang w:val="es-ES_tradnl"/>
        </w:rPr>
        <w:t xml:space="preserve">con el MIREX, CEIRD y </w:t>
      </w:r>
      <w:r w:rsidRPr="009D47CE">
        <w:rPr>
          <w:rFonts w:ascii="Times New Roman" w:hAnsi="Times New Roman"/>
          <w:sz w:val="24"/>
          <w:szCs w:val="24"/>
          <w:lang w:val="es-ES_tradnl"/>
        </w:rPr>
        <w:t>el Ministerio de la</w:t>
      </w:r>
      <w:r w:rsidR="0046604F" w:rsidRPr="009D47CE">
        <w:rPr>
          <w:rFonts w:ascii="Times New Roman" w:hAnsi="Times New Roman"/>
          <w:sz w:val="24"/>
          <w:szCs w:val="24"/>
          <w:lang w:val="es-ES_tradnl"/>
        </w:rPr>
        <w:t xml:space="preserve"> Presidencia se ha trabajado el Protocolo comercial y fitosanitario para la exportación de aguacate y otros productos agrícolas hacia la República China.</w:t>
      </w:r>
    </w:p>
    <w:p w14:paraId="33830E72" w14:textId="37B5BCB1" w:rsidR="0046604F" w:rsidRPr="009D47CE" w:rsidRDefault="0046604F" w:rsidP="001C6B1A">
      <w:pPr>
        <w:pStyle w:val="Prrafodelista"/>
        <w:widowControl w:val="0"/>
        <w:numPr>
          <w:ilvl w:val="0"/>
          <w:numId w:val="51"/>
        </w:numPr>
        <w:tabs>
          <w:tab w:val="left" w:pos="630"/>
          <w:tab w:val="left" w:pos="3544"/>
        </w:tabs>
        <w:autoSpaceDE w:val="0"/>
        <w:autoSpaceDN w:val="0"/>
        <w:adjustRightInd w:val="0"/>
        <w:spacing w:after="0" w:line="480" w:lineRule="auto"/>
        <w:jc w:val="both"/>
        <w:rPr>
          <w:rFonts w:ascii="Times New Roman" w:hAnsi="Times New Roman"/>
          <w:sz w:val="24"/>
          <w:szCs w:val="24"/>
          <w:lang w:val="es-ES_tradnl"/>
        </w:rPr>
      </w:pPr>
      <w:r w:rsidRPr="009D47CE">
        <w:rPr>
          <w:rFonts w:ascii="Times New Roman" w:hAnsi="Times New Roman"/>
          <w:sz w:val="24"/>
          <w:szCs w:val="24"/>
          <w:lang w:val="es-ES_tradnl"/>
        </w:rPr>
        <w:t>Financiamiento conjunto con el CEIRD de participación de Productores Agrícolas en ferias internacionales de Productos Frescos.</w:t>
      </w:r>
    </w:p>
    <w:p w14:paraId="45CDFF55" w14:textId="5A611E76" w:rsidR="0046604F" w:rsidRPr="009D47CE" w:rsidRDefault="0046604F" w:rsidP="001C6B1A">
      <w:pPr>
        <w:pStyle w:val="Prrafodelista"/>
        <w:widowControl w:val="0"/>
        <w:numPr>
          <w:ilvl w:val="0"/>
          <w:numId w:val="51"/>
        </w:numPr>
        <w:tabs>
          <w:tab w:val="left" w:pos="630"/>
          <w:tab w:val="left" w:pos="3544"/>
        </w:tabs>
        <w:autoSpaceDE w:val="0"/>
        <w:autoSpaceDN w:val="0"/>
        <w:adjustRightInd w:val="0"/>
        <w:spacing w:after="0" w:line="480" w:lineRule="auto"/>
        <w:jc w:val="both"/>
        <w:rPr>
          <w:rFonts w:ascii="Times New Roman" w:hAnsi="Times New Roman"/>
          <w:sz w:val="24"/>
          <w:szCs w:val="24"/>
          <w:lang w:val="es-ES_tradnl"/>
        </w:rPr>
      </w:pPr>
      <w:r w:rsidRPr="009D47CE">
        <w:rPr>
          <w:rFonts w:ascii="Times New Roman" w:hAnsi="Times New Roman"/>
          <w:sz w:val="24"/>
          <w:szCs w:val="24"/>
          <w:lang w:val="es-ES_tradnl"/>
        </w:rPr>
        <w:t>Planilla de Captura de datos de Inteligencia comercial en los principales países importadores de productos frescos, trabajo conjunto con el MIREX</w:t>
      </w:r>
      <w:r w:rsidR="009D47CE">
        <w:rPr>
          <w:rFonts w:ascii="Times New Roman" w:hAnsi="Times New Roman"/>
          <w:sz w:val="24"/>
          <w:szCs w:val="24"/>
          <w:lang w:val="es-ES_tradnl"/>
        </w:rPr>
        <w:t>.</w:t>
      </w:r>
    </w:p>
    <w:p w14:paraId="67763280" w14:textId="5ADA8E1A" w:rsidR="0046604F" w:rsidRPr="009D47CE" w:rsidRDefault="0046604F" w:rsidP="001C6B1A">
      <w:pPr>
        <w:pStyle w:val="Prrafodelista"/>
        <w:widowControl w:val="0"/>
        <w:numPr>
          <w:ilvl w:val="0"/>
          <w:numId w:val="51"/>
        </w:numPr>
        <w:tabs>
          <w:tab w:val="left" w:pos="630"/>
          <w:tab w:val="left" w:pos="3544"/>
        </w:tabs>
        <w:autoSpaceDE w:val="0"/>
        <w:autoSpaceDN w:val="0"/>
        <w:adjustRightInd w:val="0"/>
        <w:spacing w:after="0" w:line="480" w:lineRule="auto"/>
        <w:jc w:val="both"/>
        <w:rPr>
          <w:rFonts w:ascii="Times New Roman" w:hAnsi="Times New Roman"/>
          <w:sz w:val="24"/>
          <w:szCs w:val="24"/>
          <w:lang w:val="es-ES_tradnl"/>
        </w:rPr>
      </w:pPr>
      <w:r w:rsidRPr="009D47CE">
        <w:rPr>
          <w:rFonts w:ascii="Times New Roman" w:hAnsi="Times New Roman"/>
          <w:sz w:val="24"/>
          <w:szCs w:val="24"/>
          <w:lang w:val="es-ES_tradnl"/>
        </w:rPr>
        <w:lastRenderedPageBreak/>
        <w:t>En coordinación con el CEI-RD. Recepción de técnicos chinos para analizar las condiciones de producción de aguacate Hass en República Dominicana. Técnicos del área fitosanitaria trabajaron junto a técnicos del Ministerio de Agricultura, analizando condiciones de suelo entre otros a los fines de iniciar la negociación del RPC (acuerdo fitosanitario) entre la Republica Dominicana y la República Popular China.</w:t>
      </w:r>
    </w:p>
    <w:p w14:paraId="6F140C27" w14:textId="0D8A513E" w:rsidR="0046604F" w:rsidRDefault="0046604F"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0E5B6A2E" w14:textId="4EFEA95B" w:rsidR="009D47CE" w:rsidRDefault="009D47CE"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9D47CE">
        <w:rPr>
          <w:rFonts w:ascii="Times New Roman" w:hAnsi="Times New Roman"/>
          <w:b/>
          <w:bCs/>
          <w:sz w:val="28"/>
          <w:szCs w:val="28"/>
          <w:lang w:val="es-ES_tradnl"/>
        </w:rPr>
        <w:t>Apoyo a las asociaciones con vocación de exportación con equipos de pre-enfriado y logística</w:t>
      </w:r>
    </w:p>
    <w:p w14:paraId="31940314" w14:textId="704F39CF" w:rsidR="009D47CE" w:rsidRDefault="009D47CE"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38B4F6A5" w14:textId="368149E1" w:rsidR="009D47CE" w:rsidRDefault="009D47CE" w:rsidP="009D47CE">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9D47CE">
        <w:rPr>
          <w:rFonts w:ascii="Times New Roman" w:hAnsi="Times New Roman"/>
          <w:lang w:val="es-ES_tradnl"/>
        </w:rPr>
        <w:t>El Ministerio de Agricultura mediante acuerdos y donaciones, ha fortalecido las asociaciones con vocación de exportación de frutas y vegetales frescos con cuartos fríos y otros equipos que permitan preservar la cadena de frio de productos perecederos.</w:t>
      </w:r>
    </w:p>
    <w:p w14:paraId="18FC0F89" w14:textId="77777777" w:rsidR="009D47CE" w:rsidRPr="009D47CE" w:rsidRDefault="009D47CE" w:rsidP="009D47CE">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2A69AC94" w14:textId="18ECC999" w:rsidR="009D47CE" w:rsidRDefault="009D47CE" w:rsidP="009D47CE">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9D47CE">
        <w:rPr>
          <w:rFonts w:ascii="Times New Roman" w:hAnsi="Times New Roman"/>
          <w:lang w:val="es-ES_tradnl"/>
        </w:rPr>
        <w:t xml:space="preserve"> Por medio de las donaciones directas de fondos el Ministerio de Agricultura ha dotado de equipos de Pre-enfriado y Logística a la Unión Nacional de Productores del Valle de Constanza (UNAPROVA).</w:t>
      </w:r>
    </w:p>
    <w:p w14:paraId="1B5A3FD3" w14:textId="1AB3D96F" w:rsidR="009D47CE" w:rsidRDefault="009D47CE"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1E8DC2DC" w14:textId="77777777" w:rsidR="009D47CE" w:rsidRPr="009D47CE" w:rsidRDefault="009D47CE" w:rsidP="009D47CE">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b/>
          <w:bCs/>
          <w:sz w:val="28"/>
          <w:szCs w:val="28"/>
          <w:lang w:val="es-ES_tradnl"/>
        </w:rPr>
      </w:pPr>
      <w:r w:rsidRPr="009D47CE">
        <w:rPr>
          <w:rFonts w:ascii="Times New Roman" w:hAnsi="Times New Roman"/>
          <w:b/>
          <w:bCs/>
          <w:sz w:val="28"/>
          <w:szCs w:val="28"/>
          <w:lang w:val="es-ES_tradnl"/>
        </w:rPr>
        <w:t>Diseño e implementación de un plan de capacitación del sector agropecuario con vocación exportadora.</w:t>
      </w:r>
    </w:p>
    <w:p w14:paraId="00FF840F" w14:textId="77777777" w:rsidR="009D47CE" w:rsidRDefault="009D47CE" w:rsidP="009D47CE">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52FF92DB" w14:textId="534E6181" w:rsidR="009D47CE" w:rsidRPr="009D47CE" w:rsidRDefault="009D47CE" w:rsidP="009D47CE">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9D47CE">
        <w:rPr>
          <w:rFonts w:ascii="Times New Roman" w:hAnsi="Times New Roman"/>
          <w:lang w:val="es-ES_tradnl"/>
        </w:rPr>
        <w:t xml:space="preserve">En conjunto con las Direcciones de Frutales y Sanidad Vegetal hemos </w:t>
      </w:r>
      <w:r w:rsidRPr="009D47CE">
        <w:rPr>
          <w:rFonts w:ascii="Times New Roman" w:hAnsi="Times New Roman"/>
          <w:lang w:val="es-ES_tradnl"/>
        </w:rPr>
        <w:lastRenderedPageBreak/>
        <w:t xml:space="preserve">participado en el diseño de curso sobre buenas prácticas para prevención del Fusarium </w:t>
      </w:r>
    </w:p>
    <w:p w14:paraId="31B1BC5E" w14:textId="77777777" w:rsidR="009D47CE" w:rsidRPr="009D47CE" w:rsidRDefault="009D47CE" w:rsidP="009D47CE">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71F6BFCA" w14:textId="77777777" w:rsidR="009D47CE" w:rsidRPr="009D47CE" w:rsidRDefault="009D47CE" w:rsidP="009D47CE">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9D47CE">
        <w:rPr>
          <w:rFonts w:ascii="Times New Roman" w:hAnsi="Times New Roman"/>
          <w:lang w:val="es-ES_tradnl"/>
        </w:rPr>
        <w:t xml:space="preserve">En conjunto con las Direcciones de Frutales y Sanidad Vegetal hemos participado en el diseño de curso sobre mosca caribeña de la fruta y manejo a nivel de campo de la plaga para los diferentes cultivos. </w:t>
      </w:r>
    </w:p>
    <w:p w14:paraId="0F946FAC" w14:textId="77777777" w:rsidR="009D47CE" w:rsidRDefault="009D47CE" w:rsidP="009D47CE">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22289974" w14:textId="4C8CD37A" w:rsidR="009D47CE" w:rsidRPr="009D47CE" w:rsidRDefault="009D47CE" w:rsidP="009D47CE">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9D47CE">
        <w:rPr>
          <w:rFonts w:ascii="Times New Roman" w:hAnsi="Times New Roman"/>
          <w:lang w:val="es-ES_tradnl"/>
        </w:rPr>
        <w:t xml:space="preserve">Asistencia en capacitación y divulgación de información relevante sobre Tuta Absoluta. </w:t>
      </w:r>
    </w:p>
    <w:p w14:paraId="172B1483" w14:textId="77777777" w:rsidR="009D47CE" w:rsidRDefault="009D47CE" w:rsidP="009D47CE">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0A93AE5E" w14:textId="5199DFC9" w:rsidR="009D47CE" w:rsidRPr="009D47CE" w:rsidRDefault="009D47CE" w:rsidP="009D47CE">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9D47CE">
        <w:rPr>
          <w:rFonts w:ascii="Times New Roman" w:hAnsi="Times New Roman"/>
          <w:lang w:val="es-ES_tradnl"/>
        </w:rPr>
        <w:t>Divulgación al Sector exportador del Protocolo para manejo de mangos y cítricos, donde se establece el protocolo sanitario y fitosanitario para exportar cítricos hacia la unión europea.</w:t>
      </w:r>
    </w:p>
    <w:p w14:paraId="00A934D8" w14:textId="765CFAD0" w:rsidR="009D47CE" w:rsidRPr="009D47CE" w:rsidRDefault="009D47CE"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
        </w:rPr>
      </w:pPr>
    </w:p>
    <w:p w14:paraId="09F3A4BD" w14:textId="77777777" w:rsidR="002C75E0" w:rsidRPr="00C935BD" w:rsidRDefault="002C75E0" w:rsidP="002C75E0">
      <w:pPr>
        <w:pStyle w:val="Prrafodelista"/>
        <w:widowControl w:val="0"/>
        <w:tabs>
          <w:tab w:val="left" w:pos="938"/>
        </w:tabs>
        <w:autoSpaceDE w:val="0"/>
        <w:autoSpaceDN w:val="0"/>
        <w:spacing w:after="0" w:line="480" w:lineRule="auto"/>
        <w:ind w:left="937" w:right="454"/>
        <w:contextualSpacing w:val="0"/>
        <w:jc w:val="both"/>
        <w:outlineLvl w:val="3"/>
        <w:rPr>
          <w:rFonts w:ascii="Times New Roman" w:hAnsi="Times New Roman"/>
          <w:b/>
          <w:sz w:val="24"/>
          <w:szCs w:val="24"/>
        </w:rPr>
      </w:pPr>
      <w:bookmarkStart w:id="254" w:name="_Toc522712891"/>
      <w:bookmarkStart w:id="255" w:name="_Toc27146794"/>
      <w:r w:rsidRPr="00C935BD">
        <w:rPr>
          <w:rFonts w:ascii="Times New Roman" w:hAnsi="Times New Roman"/>
          <w:b/>
          <w:sz w:val="24"/>
          <w:szCs w:val="24"/>
        </w:rPr>
        <w:t>Políticas de fomento</w:t>
      </w:r>
      <w:bookmarkEnd w:id="254"/>
      <w:bookmarkEnd w:id="255"/>
      <w:r w:rsidRPr="00C935BD">
        <w:rPr>
          <w:rFonts w:ascii="Times New Roman" w:hAnsi="Times New Roman"/>
          <w:b/>
          <w:sz w:val="24"/>
          <w:szCs w:val="24"/>
        </w:rPr>
        <w:t xml:space="preserve"> </w:t>
      </w:r>
    </w:p>
    <w:p w14:paraId="63038C0C" w14:textId="70542F31"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 xml:space="preserve">El Ministerio de Agricultura, dispuso un Dossier de iniciativas y programas para fomentar las exportaciones y </w:t>
      </w:r>
      <w:r w:rsidR="00C935BD" w:rsidRPr="00C935BD">
        <w:rPr>
          <w:rFonts w:ascii="Times New Roman" w:hAnsi="Times New Roman"/>
          <w:lang w:val="es-ES_tradnl"/>
        </w:rPr>
        <w:t>establecer</w:t>
      </w:r>
      <w:r w:rsidRPr="00C935BD">
        <w:rPr>
          <w:rFonts w:ascii="Times New Roman" w:hAnsi="Times New Roman"/>
          <w:lang w:val="es-ES_tradnl"/>
        </w:rPr>
        <w:t xml:space="preserve"> las condiciones para incrementar tanto el volumen de exportació</w:t>
      </w:r>
      <w:r w:rsidR="00C935BD" w:rsidRPr="00C935BD">
        <w:rPr>
          <w:rFonts w:ascii="Times New Roman" w:hAnsi="Times New Roman"/>
          <w:lang w:val="es-ES_tradnl"/>
        </w:rPr>
        <w:t xml:space="preserve">n como la generación de divisas. En </w:t>
      </w:r>
      <w:r w:rsidRPr="00C935BD">
        <w:rPr>
          <w:rFonts w:ascii="Times New Roman" w:hAnsi="Times New Roman"/>
          <w:lang w:val="es-ES_tradnl"/>
        </w:rPr>
        <w:t>ese sentido se detalla a continuación las medidas de políticas para el fomento de las exportaciones de los rubros con alto valor de vocación exportadora</w:t>
      </w:r>
      <w:r w:rsidR="00C935BD" w:rsidRPr="00C935BD">
        <w:rPr>
          <w:rFonts w:ascii="Times New Roman" w:hAnsi="Times New Roman"/>
          <w:lang w:val="es-ES_tradnl"/>
        </w:rPr>
        <w:t>,</w:t>
      </w:r>
      <w:r w:rsidRPr="00C935BD">
        <w:rPr>
          <w:rFonts w:ascii="Times New Roman" w:hAnsi="Times New Roman"/>
          <w:lang w:val="es-ES_tradnl"/>
        </w:rPr>
        <w:t xml:space="preserve"> de los diferente</w:t>
      </w:r>
      <w:r w:rsidR="00C935BD" w:rsidRPr="00C935BD">
        <w:rPr>
          <w:rFonts w:ascii="Times New Roman" w:hAnsi="Times New Roman"/>
          <w:lang w:val="es-ES_tradnl"/>
        </w:rPr>
        <w:t>s</w:t>
      </w:r>
      <w:r w:rsidRPr="00C935BD">
        <w:rPr>
          <w:rFonts w:ascii="Times New Roman" w:hAnsi="Times New Roman"/>
          <w:lang w:val="es-ES_tradnl"/>
        </w:rPr>
        <w:t xml:space="preserve"> sub-sectores que componen la agropecuaria nacional dominicana:</w:t>
      </w:r>
    </w:p>
    <w:p w14:paraId="1A209AB4" w14:textId="73E19AFA" w:rsidR="0084690D" w:rsidRDefault="0084690D">
      <w:pPr>
        <w:spacing w:after="0"/>
        <w:rPr>
          <w:rFonts w:ascii="Times New Roman" w:hAnsi="Times New Roman"/>
          <w:lang w:val="es"/>
        </w:rPr>
      </w:pPr>
    </w:p>
    <w:p w14:paraId="6FDBA5E8" w14:textId="77777777" w:rsidR="002C75E0" w:rsidRPr="00C935BD" w:rsidRDefault="002C75E0" w:rsidP="002C75E0">
      <w:pPr>
        <w:pStyle w:val="Prrafodelista"/>
        <w:widowControl w:val="0"/>
        <w:tabs>
          <w:tab w:val="left" w:pos="426"/>
        </w:tabs>
        <w:autoSpaceDE w:val="0"/>
        <w:autoSpaceDN w:val="0"/>
        <w:spacing w:after="0" w:line="480" w:lineRule="auto"/>
        <w:ind w:left="142" w:right="454" w:firstLine="992"/>
        <w:contextualSpacing w:val="0"/>
        <w:jc w:val="both"/>
        <w:rPr>
          <w:rFonts w:ascii="Times New Roman" w:hAnsi="Times New Roman"/>
          <w:b/>
          <w:sz w:val="24"/>
          <w:szCs w:val="24"/>
        </w:rPr>
      </w:pPr>
      <w:r w:rsidRPr="00C935BD">
        <w:rPr>
          <w:rFonts w:ascii="Times New Roman" w:hAnsi="Times New Roman"/>
          <w:b/>
          <w:sz w:val="24"/>
          <w:szCs w:val="24"/>
        </w:rPr>
        <w:t xml:space="preserve">Apoyar el desarrollo productivo local a través de servicios financieros que faciliten la capitalización, tecnificación y manejo de </w:t>
      </w:r>
      <w:r w:rsidRPr="00C935BD">
        <w:rPr>
          <w:rFonts w:ascii="Times New Roman" w:hAnsi="Times New Roman"/>
          <w:b/>
          <w:sz w:val="24"/>
          <w:szCs w:val="24"/>
        </w:rPr>
        <w:lastRenderedPageBreak/>
        <w:t>riesgos de las unidades de producción agropecuaria.</w:t>
      </w:r>
    </w:p>
    <w:p w14:paraId="5878B02A" w14:textId="77777777" w:rsidR="002C75E0" w:rsidRDefault="002C75E0" w:rsidP="002C75E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jc w:val="both"/>
        <w:rPr>
          <w:rFonts w:ascii="Times New Roman" w:hAnsi="Times New Roman"/>
          <w:lang w:val="es"/>
        </w:rPr>
      </w:pPr>
    </w:p>
    <w:p w14:paraId="290B10E7"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Canalización crédito al Fomento y Diversificación de la Producción Agropecuaria y actividades del Medio Rural.</w:t>
      </w:r>
    </w:p>
    <w:p w14:paraId="289438FF"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595B68A0"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Trazado y saneamiento de la totalidad del ganado vacuno nacional.</w:t>
      </w:r>
    </w:p>
    <w:p w14:paraId="22C9A1BC"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2C4E7A72"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Programa de Sanidad Agropecuaria, PATCA III.</w:t>
      </w:r>
    </w:p>
    <w:p w14:paraId="59BC3663"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247F5F0A"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Producción de material genético de alta calidad tanto vegetal como animal.</w:t>
      </w:r>
    </w:p>
    <w:p w14:paraId="456DCBC3" w14:textId="77777777" w:rsidR="002C75E0" w:rsidRPr="00C935BD" w:rsidRDefault="002C75E0" w:rsidP="002C75E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jc w:val="both"/>
        <w:rPr>
          <w:rFonts w:ascii="Times New Roman" w:hAnsi="Times New Roman"/>
        </w:rPr>
      </w:pPr>
    </w:p>
    <w:p w14:paraId="202EDC79" w14:textId="77777777" w:rsidR="002C75E0" w:rsidRPr="00C935BD" w:rsidRDefault="002C75E0" w:rsidP="002C75E0">
      <w:pPr>
        <w:pStyle w:val="Prrafodelista"/>
        <w:widowControl w:val="0"/>
        <w:tabs>
          <w:tab w:val="left" w:pos="426"/>
        </w:tabs>
        <w:autoSpaceDE w:val="0"/>
        <w:autoSpaceDN w:val="0"/>
        <w:spacing w:after="0" w:line="480" w:lineRule="auto"/>
        <w:ind w:left="142" w:right="454" w:firstLine="992"/>
        <w:contextualSpacing w:val="0"/>
        <w:jc w:val="both"/>
        <w:rPr>
          <w:rFonts w:ascii="Times New Roman" w:hAnsi="Times New Roman"/>
          <w:b/>
          <w:sz w:val="24"/>
          <w:szCs w:val="24"/>
        </w:rPr>
      </w:pPr>
      <w:r w:rsidRPr="00C935BD">
        <w:rPr>
          <w:rFonts w:ascii="Times New Roman" w:hAnsi="Times New Roman"/>
          <w:b/>
          <w:sz w:val="24"/>
          <w:szCs w:val="24"/>
        </w:rPr>
        <w:t>Desarrollar programas de titulación definitiva a los parceleros y captación y distribución de tierras para la siembra de rubros con vocación exportadora.</w:t>
      </w:r>
    </w:p>
    <w:p w14:paraId="40CCBF43" w14:textId="77777777" w:rsidR="002C75E0" w:rsidRPr="00C935BD" w:rsidRDefault="002C75E0" w:rsidP="00C935B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Times New Roman" w:hAnsi="Times New Roman"/>
        </w:rPr>
      </w:pPr>
    </w:p>
    <w:p w14:paraId="09D234C0"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Programa de titulación definitiva de los terrenos de reforma agraria.</w:t>
      </w:r>
    </w:p>
    <w:p w14:paraId="5423A4E3"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Fomento y fortalecimiento de la Estructura Social en los Asentamientos Campesinos de Reforma Agraria.</w:t>
      </w:r>
    </w:p>
    <w:p w14:paraId="151BEAE1" w14:textId="133B3118" w:rsidR="002C75E0" w:rsidRPr="00E84CB1" w:rsidRDefault="002C75E0" w:rsidP="00DA1ACF">
      <w:pPr>
        <w:spacing w:after="0"/>
        <w:rPr>
          <w:rFonts w:ascii="Times New Roman" w:hAnsi="Times New Roman"/>
          <w:color w:val="000000"/>
        </w:rPr>
      </w:pPr>
    </w:p>
    <w:p w14:paraId="2DD4F87B" w14:textId="77777777" w:rsidR="002C75E0" w:rsidRPr="005933A1" w:rsidRDefault="002C75E0" w:rsidP="005933A1">
      <w:pPr>
        <w:pStyle w:val="Prrafodelista"/>
        <w:widowControl w:val="0"/>
        <w:tabs>
          <w:tab w:val="left" w:pos="938"/>
        </w:tabs>
        <w:autoSpaceDE w:val="0"/>
        <w:autoSpaceDN w:val="0"/>
        <w:spacing w:after="0" w:line="480" w:lineRule="auto"/>
        <w:ind w:right="454"/>
        <w:contextualSpacing w:val="0"/>
        <w:jc w:val="both"/>
        <w:outlineLvl w:val="3"/>
        <w:rPr>
          <w:rFonts w:ascii="Times New Roman" w:hAnsi="Times New Roman"/>
          <w:b/>
          <w:sz w:val="24"/>
          <w:szCs w:val="24"/>
        </w:rPr>
      </w:pPr>
      <w:bookmarkStart w:id="256" w:name="_Toc522712892"/>
      <w:bookmarkStart w:id="257" w:name="_Toc27146795"/>
      <w:r w:rsidRPr="005933A1">
        <w:rPr>
          <w:rFonts w:ascii="Times New Roman" w:hAnsi="Times New Roman"/>
          <w:b/>
          <w:sz w:val="24"/>
          <w:szCs w:val="24"/>
        </w:rPr>
        <w:t>Políticas de fortalecimiento</w:t>
      </w:r>
      <w:bookmarkEnd w:id="256"/>
      <w:bookmarkEnd w:id="257"/>
      <w:r w:rsidRPr="005933A1">
        <w:rPr>
          <w:rFonts w:ascii="Times New Roman" w:hAnsi="Times New Roman"/>
          <w:b/>
          <w:sz w:val="24"/>
          <w:szCs w:val="24"/>
        </w:rPr>
        <w:t xml:space="preserve"> </w:t>
      </w:r>
    </w:p>
    <w:p w14:paraId="5E4D57AE" w14:textId="77777777" w:rsidR="002C75E0" w:rsidRPr="00E84CB1" w:rsidRDefault="002C75E0" w:rsidP="002C75E0">
      <w:pPr>
        <w:spacing w:after="0" w:line="480" w:lineRule="auto"/>
        <w:jc w:val="both"/>
        <w:rPr>
          <w:rFonts w:ascii="Times New Roman" w:hAnsi="Times New Roman"/>
          <w:color w:val="000000"/>
        </w:rPr>
      </w:pPr>
    </w:p>
    <w:p w14:paraId="5829959C" w14:textId="77777777" w:rsidR="002C75E0" w:rsidRPr="00597399" w:rsidRDefault="002C75E0" w:rsidP="002C75E0">
      <w:pPr>
        <w:pStyle w:val="Prrafodelista"/>
        <w:widowControl w:val="0"/>
        <w:tabs>
          <w:tab w:val="left" w:pos="426"/>
        </w:tabs>
        <w:autoSpaceDE w:val="0"/>
        <w:autoSpaceDN w:val="0"/>
        <w:spacing w:after="0" w:line="480" w:lineRule="auto"/>
        <w:ind w:left="142" w:right="454" w:firstLine="992"/>
        <w:contextualSpacing w:val="0"/>
        <w:jc w:val="both"/>
        <w:rPr>
          <w:rFonts w:ascii="Times New Roman" w:hAnsi="Times New Roman"/>
          <w:b/>
          <w:sz w:val="24"/>
          <w:szCs w:val="24"/>
        </w:rPr>
      </w:pPr>
      <w:r w:rsidRPr="00597399">
        <w:rPr>
          <w:rFonts w:ascii="Times New Roman" w:hAnsi="Times New Roman"/>
          <w:b/>
          <w:sz w:val="24"/>
          <w:szCs w:val="24"/>
        </w:rPr>
        <w:t xml:space="preserve">Desarrollar eficientemente los programas de servicios de sanidad e inocuidad agroalimentaria que involucren a todos los actores de la cadena productiva para la exportación de los rubros con vocación </w:t>
      </w:r>
      <w:r w:rsidRPr="00597399">
        <w:rPr>
          <w:rFonts w:ascii="Times New Roman" w:hAnsi="Times New Roman"/>
          <w:b/>
          <w:sz w:val="24"/>
          <w:szCs w:val="24"/>
        </w:rPr>
        <w:lastRenderedPageBreak/>
        <w:t>exportadora:</w:t>
      </w:r>
    </w:p>
    <w:p w14:paraId="725DD64A"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Prevención y control Tuberculosis Brucelosis y Bovina así como la Encefalopatía Espongiforme.</w:t>
      </w:r>
    </w:p>
    <w:p w14:paraId="14F2C08F"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3FD1E22D"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Reconocimiento del país con estatus de riesgo controlado de Encefalopatía Espongiforme Bovina ante la OIE.</w:t>
      </w:r>
    </w:p>
    <w:p w14:paraId="71DEA2F9"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051F275E"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Fortalecimiento del sistema de sanidad y trazabilidad.</w:t>
      </w:r>
    </w:p>
    <w:p w14:paraId="1735ECD6" w14:textId="77777777" w:rsidR="002C75E0" w:rsidRPr="00E84CB1" w:rsidRDefault="002C75E0" w:rsidP="002C75E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jc w:val="both"/>
        <w:rPr>
          <w:rFonts w:ascii="Times New Roman" w:hAnsi="Times New Roman"/>
          <w:color w:val="000000"/>
        </w:rPr>
      </w:pPr>
    </w:p>
    <w:p w14:paraId="0ACB7D40" w14:textId="77777777" w:rsidR="002C75E0" w:rsidRPr="00597399" w:rsidRDefault="002C75E0" w:rsidP="002C75E0">
      <w:pPr>
        <w:pStyle w:val="Prrafodelista"/>
        <w:widowControl w:val="0"/>
        <w:tabs>
          <w:tab w:val="left" w:pos="426"/>
        </w:tabs>
        <w:autoSpaceDE w:val="0"/>
        <w:autoSpaceDN w:val="0"/>
        <w:spacing w:after="0" w:line="480" w:lineRule="auto"/>
        <w:ind w:left="142" w:right="454" w:firstLine="992"/>
        <w:contextualSpacing w:val="0"/>
        <w:jc w:val="both"/>
        <w:rPr>
          <w:rFonts w:ascii="Times New Roman" w:hAnsi="Times New Roman"/>
          <w:b/>
          <w:sz w:val="24"/>
          <w:szCs w:val="24"/>
        </w:rPr>
      </w:pPr>
      <w:r w:rsidRPr="00597399">
        <w:rPr>
          <w:rFonts w:ascii="Times New Roman" w:hAnsi="Times New Roman"/>
          <w:b/>
          <w:sz w:val="24"/>
          <w:szCs w:val="24"/>
        </w:rPr>
        <w:t>Desarrollar programas de apoyo a las exportaciones de productos agropecuarios y forestales en los principales mercados de Europa, Estados Unidos, el Caribe insular y Haití.</w:t>
      </w:r>
    </w:p>
    <w:p w14:paraId="3B90B9DF" w14:textId="77777777" w:rsidR="002C75E0" w:rsidRPr="00E84CB1" w:rsidRDefault="002C75E0" w:rsidP="002C75E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jc w:val="both"/>
        <w:rPr>
          <w:rFonts w:ascii="Times New Roman" w:hAnsi="Times New Roman"/>
          <w:color w:val="000000"/>
        </w:rPr>
      </w:pPr>
    </w:p>
    <w:p w14:paraId="7B75E6F2" w14:textId="0BCCD3BD"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Adecuar los Sistema de Sanidad Vegetal bajo los requerimientos APHIS -USDA.</w:t>
      </w:r>
    </w:p>
    <w:p w14:paraId="7529BEDB"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Registrar la totalidad de productores agropecuarios del país en un sistema único y válido para todas las iniciativas de las instituciones del Sector Agropecuario</w:t>
      </w:r>
    </w:p>
    <w:p w14:paraId="5D8BDBF5"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59821E58"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Reducir las notificaciones por intercepciones de plagas y residuos de plaguicidas en las agro exportaciones dominicanas.</w:t>
      </w:r>
    </w:p>
    <w:p w14:paraId="6FD2F5B9"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0B29BFA8"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Mantener la condición de país libre de plagas y enfermedades extranjeras, especialmente del Mal de Panamá en musáceas y Moniliasis en cacao.</w:t>
      </w:r>
    </w:p>
    <w:p w14:paraId="5BAA56D6"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lastRenderedPageBreak/>
        <w:t>Construcción de Sistemas de Producción para la Reconversión Agrícola de San Juan de la Maguana.</w:t>
      </w:r>
    </w:p>
    <w:p w14:paraId="30D24289"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0D4F3FBD"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Fortalecer la Producción Sostenible de Frutales.</w:t>
      </w:r>
    </w:p>
    <w:p w14:paraId="06D7C709" w14:textId="77777777" w:rsidR="002C75E0" w:rsidRPr="00597399" w:rsidRDefault="002C75E0" w:rsidP="002C75E0">
      <w:pPr>
        <w:pStyle w:val="Prrafodelista"/>
        <w:widowControl w:val="0"/>
        <w:tabs>
          <w:tab w:val="left" w:pos="426"/>
        </w:tabs>
        <w:autoSpaceDE w:val="0"/>
        <w:autoSpaceDN w:val="0"/>
        <w:spacing w:after="0" w:line="480" w:lineRule="auto"/>
        <w:ind w:left="142" w:right="454" w:firstLine="992"/>
        <w:contextualSpacing w:val="0"/>
        <w:jc w:val="both"/>
        <w:rPr>
          <w:rFonts w:ascii="Times New Roman" w:hAnsi="Times New Roman"/>
          <w:b/>
          <w:sz w:val="24"/>
          <w:szCs w:val="24"/>
        </w:rPr>
      </w:pPr>
      <w:r w:rsidRPr="00597399">
        <w:rPr>
          <w:rFonts w:ascii="Times New Roman" w:hAnsi="Times New Roman"/>
          <w:b/>
          <w:sz w:val="24"/>
          <w:szCs w:val="24"/>
        </w:rPr>
        <w:t>Implementar programas de sostenibilidad ambiental</w:t>
      </w:r>
    </w:p>
    <w:p w14:paraId="1EFB5A38" w14:textId="77777777" w:rsidR="002C75E0" w:rsidRPr="00E84CB1" w:rsidRDefault="002C75E0" w:rsidP="002C75E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jc w:val="both"/>
        <w:rPr>
          <w:rFonts w:ascii="Times New Roman" w:hAnsi="Times New Roman"/>
          <w:color w:val="000000"/>
        </w:rPr>
      </w:pPr>
    </w:p>
    <w:p w14:paraId="2BC0E7CB"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Desarrollar programas de reforestación y desarrollo sostenible en áreas fuertemente deprimidas.</w:t>
      </w:r>
    </w:p>
    <w:p w14:paraId="22891B3C"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00E68107"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Programa de Generación y Validación de Tecnologías Agropecuarias.</w:t>
      </w:r>
    </w:p>
    <w:p w14:paraId="25F08DCF"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187D14BF"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Programa de Transferencia de Tecnologías.</w:t>
      </w:r>
    </w:p>
    <w:p w14:paraId="11919A80"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19E0D7B0"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Programa de Investigación, innovación y desarrollo tecnológico para mejorar la productividad y competitividad de los rubros de importancia para la agricultura dominicana.</w:t>
      </w:r>
    </w:p>
    <w:p w14:paraId="7FFE07BF" w14:textId="77777777" w:rsidR="002C75E0" w:rsidRPr="00597399" w:rsidRDefault="002C75E0" w:rsidP="002C75E0">
      <w:pPr>
        <w:pStyle w:val="Prrafodelista"/>
        <w:widowControl w:val="0"/>
        <w:tabs>
          <w:tab w:val="left" w:pos="426"/>
        </w:tabs>
        <w:autoSpaceDE w:val="0"/>
        <w:autoSpaceDN w:val="0"/>
        <w:spacing w:after="0" w:line="480" w:lineRule="auto"/>
        <w:ind w:left="142" w:right="454" w:firstLine="992"/>
        <w:contextualSpacing w:val="0"/>
        <w:jc w:val="both"/>
        <w:rPr>
          <w:rFonts w:ascii="Times New Roman" w:hAnsi="Times New Roman"/>
          <w:b/>
          <w:sz w:val="24"/>
          <w:szCs w:val="24"/>
        </w:rPr>
      </w:pPr>
      <w:r w:rsidRPr="00597399">
        <w:rPr>
          <w:rFonts w:ascii="Times New Roman" w:hAnsi="Times New Roman"/>
          <w:b/>
          <w:sz w:val="24"/>
          <w:szCs w:val="24"/>
        </w:rPr>
        <w:t>Implementar la zonificación de cultivos conforme a las características de los recursos agro-productivos, condiciones medioambientales y de riesgo.</w:t>
      </w:r>
    </w:p>
    <w:p w14:paraId="4F7C318F" w14:textId="77777777" w:rsidR="002C75E0" w:rsidRDefault="002C75E0" w:rsidP="002C75E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jc w:val="both"/>
        <w:rPr>
          <w:rFonts w:ascii="Times New Roman" w:hAnsi="Times New Roman"/>
          <w:lang w:val="es"/>
        </w:rPr>
      </w:pPr>
    </w:p>
    <w:p w14:paraId="6A86087F"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Fomento de la producción de Invernaderos para la producción de rubros vocación exportadora.</w:t>
      </w:r>
    </w:p>
    <w:p w14:paraId="3300F044"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460E2B68"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lastRenderedPageBreak/>
        <w:t>Programa Apoyo Productivo a Pequeños productores de Café, Cacao y Tabaco.</w:t>
      </w:r>
    </w:p>
    <w:p w14:paraId="28A4124B"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395E9519"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Distribución y entrega de materiales de siembra de alta calidad genética y resistente a las enfermedades prevalecientes en los cultivos con peso específico en la canasta básica alimenticia.</w:t>
      </w:r>
    </w:p>
    <w:p w14:paraId="7C8AAF5A"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6F7616A3"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Fortalecimiento de las Asociaciones de Productores de la Rep. Dom.</w:t>
      </w:r>
    </w:p>
    <w:p w14:paraId="204F70AA"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p>
    <w:p w14:paraId="22A1F091"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Organización y Capacitación de los productores y asociaciones pecuarias.</w:t>
      </w:r>
    </w:p>
    <w:p w14:paraId="3996B71A" w14:textId="77777777" w:rsidR="002C75E0" w:rsidRDefault="002C75E0" w:rsidP="002C75E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jc w:val="both"/>
        <w:rPr>
          <w:rFonts w:ascii="Times New Roman" w:hAnsi="Times New Roman"/>
          <w:lang w:val="es"/>
        </w:rPr>
      </w:pPr>
    </w:p>
    <w:p w14:paraId="65FB44C6" w14:textId="77777777" w:rsidR="002C75E0" w:rsidRPr="00597399" w:rsidRDefault="002C75E0" w:rsidP="002C75E0">
      <w:pPr>
        <w:pStyle w:val="Prrafodelista"/>
        <w:widowControl w:val="0"/>
        <w:tabs>
          <w:tab w:val="left" w:pos="426"/>
        </w:tabs>
        <w:autoSpaceDE w:val="0"/>
        <w:autoSpaceDN w:val="0"/>
        <w:spacing w:after="0" w:line="480" w:lineRule="auto"/>
        <w:ind w:left="142" w:right="454" w:firstLine="992"/>
        <w:contextualSpacing w:val="0"/>
        <w:jc w:val="both"/>
        <w:rPr>
          <w:rFonts w:ascii="Times New Roman" w:hAnsi="Times New Roman"/>
          <w:b/>
          <w:sz w:val="24"/>
          <w:szCs w:val="24"/>
        </w:rPr>
      </w:pPr>
      <w:r w:rsidRPr="00597399">
        <w:rPr>
          <w:rFonts w:ascii="Times New Roman" w:hAnsi="Times New Roman"/>
          <w:b/>
          <w:sz w:val="24"/>
          <w:szCs w:val="24"/>
        </w:rPr>
        <w:t>Desarrollar programas para la gestión y la regularización de los mercados agropecuarios.</w:t>
      </w:r>
    </w:p>
    <w:p w14:paraId="738A4215" w14:textId="77777777" w:rsidR="002C75E0" w:rsidRPr="00E84CB1" w:rsidRDefault="002C75E0" w:rsidP="002C75E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jc w:val="both"/>
        <w:rPr>
          <w:rFonts w:ascii="Times New Roman" w:hAnsi="Times New Roman"/>
          <w:lang w:val="es"/>
        </w:rPr>
      </w:pPr>
    </w:p>
    <w:p w14:paraId="1A161DE3" w14:textId="77777777" w:rsidR="002C75E0" w:rsidRPr="00C935BD" w:rsidRDefault="002C75E0" w:rsidP="002C75E0">
      <w:pPr>
        <w:widowControl w:val="0"/>
        <w:tabs>
          <w:tab w:val="left" w:pos="630"/>
          <w:tab w:val="left" w:pos="3544"/>
        </w:tabs>
        <w:autoSpaceDE w:val="0"/>
        <w:autoSpaceDN w:val="0"/>
        <w:adjustRightInd w:val="0"/>
        <w:spacing w:after="0" w:line="480" w:lineRule="auto"/>
        <w:ind w:firstLine="720"/>
        <w:contextualSpacing/>
        <w:jc w:val="both"/>
        <w:rPr>
          <w:rFonts w:ascii="Times New Roman" w:hAnsi="Times New Roman"/>
          <w:lang w:val="es-ES_tradnl"/>
        </w:rPr>
      </w:pPr>
      <w:r w:rsidRPr="00C935BD">
        <w:rPr>
          <w:rFonts w:ascii="Times New Roman" w:hAnsi="Times New Roman"/>
          <w:lang w:val="es-ES_tradnl"/>
        </w:rPr>
        <w:t>Gestión y regularización de los mercados agropecuarios, funcionamiento operativo de empacadoras regionales y local para el fortalecimiento de la logística de exportación.</w:t>
      </w:r>
    </w:p>
    <w:p w14:paraId="6751CBBE" w14:textId="06BA8959" w:rsidR="00954002" w:rsidRDefault="00954002">
      <w:pPr>
        <w:spacing w:after="0"/>
        <w:rPr>
          <w:rFonts w:ascii="Times New Roman" w:hAnsi="Times New Roman"/>
          <w:lang w:val="es-ES_tradnl"/>
        </w:rPr>
      </w:pPr>
    </w:p>
    <w:p w14:paraId="1B44C663" w14:textId="77777777" w:rsidR="00A94E3B" w:rsidRPr="00004AE2" w:rsidRDefault="00A94E3B" w:rsidP="00A94E3B">
      <w:pPr>
        <w:pStyle w:val="Ttulo1"/>
      </w:pPr>
      <w:bookmarkStart w:id="258" w:name="_Toc26292086"/>
      <w:bookmarkStart w:id="259" w:name="_Toc27146796"/>
      <w:r>
        <w:t>Gestión del riesgo y cambio climático</w:t>
      </w:r>
      <w:bookmarkEnd w:id="258"/>
      <w:bookmarkEnd w:id="259"/>
    </w:p>
    <w:p w14:paraId="387B8873" w14:textId="77777777" w:rsidR="00A94E3B" w:rsidRDefault="00A94E3B" w:rsidP="00A94E3B">
      <w:pPr>
        <w:spacing w:after="0" w:line="480" w:lineRule="auto"/>
        <w:rPr>
          <w:rFonts w:ascii="Times New Roman" w:hAnsi="Times New Roman"/>
          <w:lang w:val="es-ES_tradnl" w:eastAsia="en-US"/>
        </w:rPr>
      </w:pPr>
    </w:p>
    <w:p w14:paraId="76C1D5F7" w14:textId="71449E3E" w:rsidR="00A94E3B" w:rsidRPr="00C935BD" w:rsidRDefault="00A94E3B" w:rsidP="00954002">
      <w:pPr>
        <w:pStyle w:val="Ttulo2"/>
      </w:pPr>
      <w:bookmarkStart w:id="260" w:name="_Toc26292087"/>
      <w:bookmarkStart w:id="261" w:name="_Toc27146797"/>
      <w:r w:rsidRPr="00C935BD">
        <w:t>a) Plan de contingencia del sector agropecuario</w:t>
      </w:r>
      <w:bookmarkEnd w:id="260"/>
      <w:bookmarkEnd w:id="261"/>
    </w:p>
    <w:p w14:paraId="6A6EBDC5" w14:textId="77777777" w:rsidR="004245EB" w:rsidRDefault="004245EB" w:rsidP="00A94E3B">
      <w:pPr>
        <w:spacing w:after="0" w:line="480" w:lineRule="auto"/>
        <w:ind w:firstLine="720"/>
        <w:jc w:val="both"/>
        <w:rPr>
          <w:rFonts w:ascii="Times New Roman" w:hAnsi="Times New Roman"/>
          <w:lang w:val="es-ES_tradnl"/>
        </w:rPr>
      </w:pPr>
    </w:p>
    <w:p w14:paraId="053A51C1" w14:textId="5D01DEF5" w:rsidR="00A94E3B" w:rsidRPr="00C935BD" w:rsidRDefault="00D823BB" w:rsidP="00A94E3B">
      <w:pPr>
        <w:spacing w:after="0" w:line="480" w:lineRule="auto"/>
        <w:ind w:firstLine="720"/>
        <w:jc w:val="both"/>
        <w:rPr>
          <w:rFonts w:ascii="Times New Roman" w:hAnsi="Times New Roman"/>
          <w:lang w:val="es-ES_tradnl"/>
        </w:rPr>
      </w:pPr>
      <w:r w:rsidRPr="00C935BD">
        <w:rPr>
          <w:rFonts w:ascii="Times New Roman" w:hAnsi="Times New Roman"/>
          <w:lang w:val="es-ES_tradnl"/>
        </w:rPr>
        <w:t xml:space="preserve">Con el objetivo de contribuir a la reducción del riesgo y asegurar una respuesta oportuna; atendiendo y controlando los daños al Sector Agropecuario, a </w:t>
      </w:r>
      <w:r w:rsidRPr="00C935BD">
        <w:rPr>
          <w:rFonts w:ascii="Times New Roman" w:hAnsi="Times New Roman"/>
          <w:lang w:val="es-ES_tradnl"/>
        </w:rPr>
        <w:lastRenderedPageBreak/>
        <w:t>los productores y familiares, los servicios y la seguridad alimentaria, propiciando la rehabilitación de los productores afectados en las regionales, fruto de los efectos de tormentas tropicales y posibles huracanes, en el marco de la variabilidad climática y la adaptación al cambio climático.</w:t>
      </w:r>
    </w:p>
    <w:p w14:paraId="4324601F" w14:textId="59705FBC" w:rsidR="00E06897" w:rsidRPr="00C935BD" w:rsidRDefault="00E06897" w:rsidP="00E06897">
      <w:pPr>
        <w:spacing w:after="0" w:line="480" w:lineRule="auto"/>
        <w:ind w:firstLine="720"/>
        <w:jc w:val="both"/>
        <w:rPr>
          <w:rFonts w:ascii="Times New Roman" w:hAnsi="Times New Roman"/>
          <w:lang w:val="es-ES_tradnl"/>
        </w:rPr>
      </w:pPr>
      <w:r w:rsidRPr="00C935BD">
        <w:rPr>
          <w:rFonts w:ascii="Times New Roman" w:hAnsi="Times New Roman"/>
          <w:lang w:val="es-ES_tradnl"/>
        </w:rPr>
        <w:t>Realización de simulacro para concientizar a las personas sobre las acciones a ejecutar en caso de que ocurra un evento, con el propósito de practicar las medidas de seguridad, de orden, de priorización para que en el caso de que ocurra una catástrofe todas las personas involucradas sepan qué hacer ordenadamente y sin entrar en pánico, lo que permitirá prevenir pérdida de vidas.</w:t>
      </w:r>
    </w:p>
    <w:p w14:paraId="1CE7E79A" w14:textId="0B7AB7CB" w:rsidR="00E06897" w:rsidRPr="00C935BD" w:rsidRDefault="00E06897" w:rsidP="00E06897">
      <w:pPr>
        <w:spacing w:after="0" w:line="480" w:lineRule="auto"/>
        <w:ind w:firstLine="720"/>
        <w:jc w:val="both"/>
        <w:rPr>
          <w:rFonts w:ascii="Times New Roman" w:hAnsi="Times New Roman"/>
          <w:lang w:val="es-ES_tradnl"/>
        </w:rPr>
      </w:pPr>
    </w:p>
    <w:p w14:paraId="7DE9A89B" w14:textId="1D846CB8" w:rsidR="00E06897" w:rsidRPr="00C935BD" w:rsidRDefault="00E06897" w:rsidP="00E06897">
      <w:pPr>
        <w:spacing w:after="0" w:line="480" w:lineRule="auto"/>
        <w:ind w:firstLine="720"/>
        <w:jc w:val="both"/>
        <w:rPr>
          <w:rFonts w:ascii="Times New Roman" w:hAnsi="Times New Roman"/>
          <w:lang w:val="es-ES_tradnl"/>
        </w:rPr>
      </w:pPr>
      <w:r w:rsidRPr="00C935BD">
        <w:rPr>
          <w:rFonts w:ascii="Times New Roman" w:hAnsi="Times New Roman"/>
          <w:lang w:val="es-ES_tradnl"/>
        </w:rPr>
        <w:t>La institución en su compromiso voluntario con el Objetivo Desarrollo Sostenible no. 14, específicamente el Objetivo 14.1: Prevenir y reducir de manera significativa la contaminación marina de todo tipo, de manera que se pueda mejorar las prácticas agrícolas en las cuencas para controlar las descargas de agroquímicos al agua que van a parar al mar, En ese sentido se realizó de campaña de sen</w:t>
      </w:r>
      <w:r w:rsidR="00DA1ACF">
        <w:rPr>
          <w:rFonts w:ascii="Times New Roman" w:hAnsi="Times New Roman"/>
          <w:lang w:val="es-ES_tradnl"/>
        </w:rPr>
        <w:t>si</w:t>
      </w:r>
      <w:r w:rsidRPr="00C935BD">
        <w:rPr>
          <w:rFonts w:ascii="Times New Roman" w:hAnsi="Times New Roman"/>
          <w:lang w:val="es-ES_tradnl"/>
        </w:rPr>
        <w:t>bilización, sobre la necesidad de reducir la cantidad de residuos sólidos, implementando prácticas que contribuyen a la reducción de la contaminación medioambiental.</w:t>
      </w:r>
    </w:p>
    <w:p w14:paraId="295F17AE" w14:textId="77777777" w:rsidR="00A94E3B" w:rsidRDefault="00A94E3B" w:rsidP="00A94E3B">
      <w:pPr>
        <w:spacing w:after="0" w:line="480" w:lineRule="auto"/>
        <w:rPr>
          <w:rFonts w:ascii="Times New Roman" w:hAnsi="Times New Roman"/>
          <w:highlight w:val="red"/>
        </w:rPr>
      </w:pPr>
    </w:p>
    <w:p w14:paraId="401C3B63" w14:textId="2433A926" w:rsidR="00A94E3B" w:rsidRPr="00D15FBF" w:rsidRDefault="00E06897" w:rsidP="00954002">
      <w:pPr>
        <w:pStyle w:val="Ttulo2"/>
      </w:pPr>
      <w:bookmarkStart w:id="262" w:name="_Toc26292088"/>
      <w:bookmarkStart w:id="263" w:name="_Toc27146798"/>
      <w:r w:rsidRPr="00D15FBF">
        <w:t>b</w:t>
      </w:r>
      <w:r w:rsidR="00A94E3B" w:rsidRPr="00D15FBF">
        <w:t xml:space="preserve">) Plan </w:t>
      </w:r>
      <w:r w:rsidR="001E4B3F" w:rsidRPr="00D15FBF">
        <w:t xml:space="preserve">nacional de </w:t>
      </w:r>
      <w:r w:rsidR="00DC18EA" w:rsidRPr="00D15FBF">
        <w:t xml:space="preserve">mitigación </w:t>
      </w:r>
      <w:r w:rsidR="001E4B3F" w:rsidRPr="00D15FBF">
        <w:t>sequía</w:t>
      </w:r>
      <w:bookmarkEnd w:id="262"/>
      <w:bookmarkEnd w:id="263"/>
    </w:p>
    <w:p w14:paraId="35731C1D" w14:textId="77777777" w:rsidR="004245EB" w:rsidRDefault="004245EB" w:rsidP="00A94E3B">
      <w:pPr>
        <w:spacing w:after="0" w:line="480" w:lineRule="auto"/>
        <w:ind w:firstLine="720"/>
        <w:jc w:val="both"/>
        <w:rPr>
          <w:rFonts w:ascii="Times New Roman" w:hAnsi="Times New Roman"/>
          <w:lang w:val="es-ES_tradnl"/>
        </w:rPr>
      </w:pPr>
    </w:p>
    <w:p w14:paraId="161F2241" w14:textId="77777777" w:rsidR="00A94E3B" w:rsidRPr="00C935BD" w:rsidRDefault="00A94E3B" w:rsidP="00A94E3B">
      <w:pPr>
        <w:spacing w:after="0" w:line="480" w:lineRule="auto"/>
        <w:ind w:firstLine="720"/>
        <w:jc w:val="both"/>
        <w:rPr>
          <w:rFonts w:ascii="Times New Roman" w:hAnsi="Times New Roman"/>
          <w:lang w:val="es-ES_tradnl"/>
        </w:rPr>
      </w:pPr>
      <w:r w:rsidRPr="00C935BD">
        <w:rPr>
          <w:rFonts w:ascii="Times New Roman" w:hAnsi="Times New Roman"/>
          <w:lang w:val="es-ES_tradnl"/>
        </w:rPr>
        <w:t>Contribución para minimizar los impactos sociales, económicos y ambientales, de eventuales situaciones de sequía en el m</w:t>
      </w:r>
      <w:r w:rsidR="001E4B3F" w:rsidRPr="00C935BD">
        <w:rPr>
          <w:rFonts w:ascii="Times New Roman" w:hAnsi="Times New Roman"/>
          <w:lang w:val="es-ES_tradnl"/>
        </w:rPr>
        <w:t>arco territorial agropecuario del país</w:t>
      </w:r>
      <w:r w:rsidRPr="00C935BD">
        <w:rPr>
          <w:rFonts w:ascii="Times New Roman" w:hAnsi="Times New Roman"/>
          <w:lang w:val="es-ES_tradnl"/>
        </w:rPr>
        <w:t xml:space="preserve">, mediante planes regionales que establecen los </w:t>
      </w:r>
      <w:r w:rsidRPr="00C935BD">
        <w:rPr>
          <w:rFonts w:ascii="Times New Roman" w:hAnsi="Times New Roman"/>
          <w:lang w:val="es-ES_tradnl"/>
        </w:rPr>
        <w:lastRenderedPageBreak/>
        <w:t xml:space="preserve">procedimientos, para de manera preventiva enfrentar las sequías en el entorno rural, proponiendo una serie de medidas estratégicas de mitigación y de respuesta a este fenómeno, que permitan mediante una gestión apropiada reducir sus efectos </w:t>
      </w:r>
      <w:r w:rsidR="001E4B3F" w:rsidRPr="00C935BD">
        <w:rPr>
          <w:rFonts w:ascii="Times New Roman" w:hAnsi="Times New Roman"/>
          <w:lang w:val="es-ES_tradnl"/>
        </w:rPr>
        <w:t>en la producción y la economía</w:t>
      </w:r>
      <w:r w:rsidRPr="00C935BD">
        <w:rPr>
          <w:rFonts w:ascii="Times New Roman" w:hAnsi="Times New Roman"/>
          <w:lang w:val="es-ES_tradnl"/>
        </w:rPr>
        <w:t xml:space="preserve"> del país.</w:t>
      </w:r>
    </w:p>
    <w:p w14:paraId="4371D08F" w14:textId="77777777" w:rsidR="00A94E3B" w:rsidRPr="00C935BD" w:rsidRDefault="00A94E3B" w:rsidP="00A94E3B">
      <w:pPr>
        <w:spacing w:after="0" w:line="480" w:lineRule="auto"/>
        <w:ind w:firstLine="720"/>
        <w:jc w:val="both"/>
        <w:rPr>
          <w:rFonts w:ascii="Times New Roman" w:hAnsi="Times New Roman"/>
          <w:lang w:val="es-ES_tradnl"/>
        </w:rPr>
      </w:pPr>
    </w:p>
    <w:p w14:paraId="76C809DA" w14:textId="467CE47D" w:rsidR="001E4B3F" w:rsidRPr="00C935BD" w:rsidRDefault="001E4B3F" w:rsidP="00A94E3B">
      <w:pPr>
        <w:spacing w:after="0" w:line="480" w:lineRule="auto"/>
        <w:ind w:firstLine="720"/>
        <w:jc w:val="both"/>
        <w:rPr>
          <w:rFonts w:ascii="Times New Roman" w:hAnsi="Times New Roman"/>
          <w:lang w:val="es-ES_tradnl"/>
        </w:rPr>
      </w:pPr>
      <w:r w:rsidRPr="00C935BD">
        <w:rPr>
          <w:rFonts w:ascii="Times New Roman" w:hAnsi="Times New Roman"/>
          <w:lang w:val="es-ES_tradnl"/>
        </w:rPr>
        <w:t>En ese sentido</w:t>
      </w:r>
      <w:r w:rsidR="00142499" w:rsidRPr="00C935BD">
        <w:rPr>
          <w:rFonts w:ascii="Times New Roman" w:hAnsi="Times New Roman"/>
          <w:lang w:val="es-ES_tradnl"/>
        </w:rPr>
        <w:t>, durante el 201</w:t>
      </w:r>
      <w:r w:rsidR="005C7A52" w:rsidRPr="00C935BD">
        <w:rPr>
          <w:rFonts w:ascii="Times New Roman" w:hAnsi="Times New Roman"/>
          <w:lang w:val="es-ES_tradnl"/>
        </w:rPr>
        <w:t>9</w:t>
      </w:r>
      <w:r w:rsidR="00142499" w:rsidRPr="00C935BD">
        <w:rPr>
          <w:rFonts w:ascii="Times New Roman" w:hAnsi="Times New Roman"/>
          <w:lang w:val="es-ES_tradnl"/>
        </w:rPr>
        <w:t xml:space="preserve">, </w:t>
      </w:r>
      <w:r w:rsidRPr="00C935BD">
        <w:rPr>
          <w:rFonts w:ascii="Times New Roman" w:hAnsi="Times New Roman"/>
          <w:lang w:val="es-ES_tradnl"/>
        </w:rPr>
        <w:t xml:space="preserve">se han distribuido unas </w:t>
      </w:r>
      <w:r w:rsidR="00846321" w:rsidRPr="00C935BD">
        <w:rPr>
          <w:rFonts w:ascii="Times New Roman" w:hAnsi="Times New Roman"/>
          <w:lang w:val="es-ES_tradnl"/>
        </w:rPr>
        <w:t>87,019</w:t>
      </w:r>
      <w:r w:rsidRPr="00C935BD">
        <w:rPr>
          <w:rFonts w:ascii="Times New Roman" w:hAnsi="Times New Roman"/>
          <w:lang w:val="es-ES_tradnl"/>
        </w:rPr>
        <w:t xml:space="preserve"> pacas de heno en la línea noroeste</w:t>
      </w:r>
      <w:r w:rsidR="00A610B6" w:rsidRPr="00C935BD">
        <w:rPr>
          <w:rFonts w:ascii="Times New Roman" w:hAnsi="Times New Roman"/>
          <w:lang w:val="es-ES_tradnl"/>
        </w:rPr>
        <w:t>, zona norte y sur</w:t>
      </w:r>
      <w:r w:rsidRPr="00C935BD">
        <w:rPr>
          <w:rFonts w:ascii="Times New Roman" w:hAnsi="Times New Roman"/>
          <w:lang w:val="es-ES_tradnl"/>
        </w:rPr>
        <w:t xml:space="preserve"> para mitigar los efectos de la sequía experimentada en la región permitiendo mediante una gestión rápida y apropiada reducir el efecto en la producción pecuaria.</w:t>
      </w:r>
    </w:p>
    <w:p w14:paraId="200B0401" w14:textId="77777777" w:rsidR="00D66275" w:rsidRPr="00C935BD" w:rsidRDefault="00D66275" w:rsidP="00A94E3B">
      <w:pPr>
        <w:spacing w:after="0" w:line="480" w:lineRule="auto"/>
        <w:ind w:firstLine="720"/>
        <w:jc w:val="both"/>
        <w:rPr>
          <w:rFonts w:ascii="Times New Roman" w:hAnsi="Times New Roman"/>
          <w:lang w:val="es-ES_tradnl"/>
        </w:rPr>
      </w:pPr>
    </w:p>
    <w:p w14:paraId="56EFDFEC" w14:textId="1CD81E4A" w:rsidR="005C7A52" w:rsidRPr="00C935BD" w:rsidRDefault="00D66275" w:rsidP="005C7A52">
      <w:pPr>
        <w:spacing w:after="0" w:line="480" w:lineRule="auto"/>
        <w:ind w:firstLine="720"/>
        <w:jc w:val="both"/>
        <w:rPr>
          <w:rFonts w:ascii="Times New Roman" w:hAnsi="Times New Roman"/>
          <w:lang w:val="es-ES_tradnl"/>
        </w:rPr>
      </w:pPr>
      <w:r w:rsidRPr="00C935BD">
        <w:rPr>
          <w:rFonts w:ascii="Times New Roman" w:hAnsi="Times New Roman"/>
          <w:lang w:val="es-ES_tradnl"/>
        </w:rPr>
        <w:t xml:space="preserve">En coordinación con el programa de pignoración se </w:t>
      </w:r>
      <w:r w:rsidR="00B6203F">
        <w:rPr>
          <w:rFonts w:ascii="Times New Roman" w:hAnsi="Times New Roman"/>
          <w:lang w:val="es-ES_tradnl"/>
        </w:rPr>
        <w:t>realizaron</w:t>
      </w:r>
      <w:r w:rsidR="005C7A52" w:rsidRPr="00C935BD">
        <w:rPr>
          <w:rFonts w:ascii="Times New Roman" w:hAnsi="Times New Roman"/>
          <w:lang w:val="es-ES_tradnl"/>
        </w:rPr>
        <w:t>:</w:t>
      </w:r>
    </w:p>
    <w:p w14:paraId="6E5BF4FE" w14:textId="77777777" w:rsidR="005C7A52" w:rsidRPr="00C935BD" w:rsidRDefault="005C7A52" w:rsidP="001C6B1A">
      <w:pPr>
        <w:pStyle w:val="Prrafodelista"/>
        <w:numPr>
          <w:ilvl w:val="0"/>
          <w:numId w:val="32"/>
        </w:numPr>
        <w:spacing w:after="0" w:line="480" w:lineRule="auto"/>
        <w:jc w:val="both"/>
        <w:rPr>
          <w:rFonts w:ascii="Times New Roman" w:hAnsi="Times New Roman"/>
          <w:sz w:val="24"/>
          <w:lang w:val="es-ES_tradnl"/>
        </w:rPr>
      </w:pPr>
      <w:r w:rsidRPr="00C935BD">
        <w:rPr>
          <w:rFonts w:ascii="Times New Roman" w:hAnsi="Times New Roman"/>
          <w:sz w:val="24"/>
          <w:lang w:val="es-ES_tradnl"/>
        </w:rPr>
        <w:t>L</w:t>
      </w:r>
      <w:r w:rsidR="00D66275" w:rsidRPr="00C935BD">
        <w:rPr>
          <w:rFonts w:ascii="Times New Roman" w:hAnsi="Times New Roman"/>
          <w:sz w:val="24"/>
          <w:lang w:val="es-ES_tradnl"/>
        </w:rPr>
        <w:t xml:space="preserve">impiezas de más de 2,600 Kms. de canales y drenajes de riego, </w:t>
      </w:r>
    </w:p>
    <w:p w14:paraId="236F93BC" w14:textId="77777777" w:rsidR="005C7A52" w:rsidRPr="00C935BD" w:rsidRDefault="005C7A52" w:rsidP="001C6B1A">
      <w:pPr>
        <w:pStyle w:val="Prrafodelista"/>
        <w:numPr>
          <w:ilvl w:val="0"/>
          <w:numId w:val="32"/>
        </w:numPr>
        <w:spacing w:after="0" w:line="480" w:lineRule="auto"/>
        <w:jc w:val="both"/>
        <w:rPr>
          <w:rFonts w:ascii="Times New Roman" w:hAnsi="Times New Roman"/>
          <w:sz w:val="24"/>
          <w:lang w:val="es-ES_tradnl"/>
        </w:rPr>
      </w:pPr>
      <w:r w:rsidRPr="00C935BD">
        <w:rPr>
          <w:rFonts w:ascii="Times New Roman" w:hAnsi="Times New Roman"/>
          <w:sz w:val="24"/>
          <w:lang w:val="es-ES_tradnl"/>
        </w:rPr>
        <w:t>R</w:t>
      </w:r>
      <w:r w:rsidR="00D66275" w:rsidRPr="00C935BD">
        <w:rPr>
          <w:rFonts w:ascii="Times New Roman" w:hAnsi="Times New Roman"/>
          <w:sz w:val="24"/>
          <w:lang w:val="es-ES_tradnl"/>
        </w:rPr>
        <w:t xml:space="preserve">eparación de bombas de agua para favorecer más de 120,000 tareas, </w:t>
      </w:r>
    </w:p>
    <w:p w14:paraId="2BC0DF1A" w14:textId="77777777" w:rsidR="005C7A52" w:rsidRPr="00C935BD" w:rsidRDefault="005C7A52" w:rsidP="001C6B1A">
      <w:pPr>
        <w:pStyle w:val="Prrafodelista"/>
        <w:numPr>
          <w:ilvl w:val="0"/>
          <w:numId w:val="32"/>
        </w:numPr>
        <w:spacing w:after="0" w:line="480" w:lineRule="auto"/>
        <w:jc w:val="both"/>
        <w:rPr>
          <w:rFonts w:ascii="Times New Roman" w:hAnsi="Times New Roman"/>
          <w:sz w:val="24"/>
          <w:lang w:val="es-ES_tradnl"/>
        </w:rPr>
      </w:pPr>
      <w:r w:rsidRPr="00C935BD">
        <w:rPr>
          <w:rFonts w:ascii="Times New Roman" w:hAnsi="Times New Roman"/>
          <w:sz w:val="24"/>
          <w:lang w:val="es-ES_tradnl"/>
        </w:rPr>
        <w:t>P</w:t>
      </w:r>
      <w:r w:rsidR="00D66275" w:rsidRPr="00C935BD">
        <w:rPr>
          <w:rFonts w:ascii="Times New Roman" w:hAnsi="Times New Roman"/>
          <w:sz w:val="24"/>
          <w:lang w:val="es-ES_tradnl"/>
        </w:rPr>
        <w:t xml:space="preserve">ago de compensación a rubros afectados, </w:t>
      </w:r>
    </w:p>
    <w:p w14:paraId="3C3059D8" w14:textId="77777777" w:rsidR="005C7A52" w:rsidRPr="00C935BD" w:rsidRDefault="005C7A52" w:rsidP="001C6B1A">
      <w:pPr>
        <w:pStyle w:val="Prrafodelista"/>
        <w:numPr>
          <w:ilvl w:val="0"/>
          <w:numId w:val="32"/>
        </w:numPr>
        <w:spacing w:after="0" w:line="480" w:lineRule="auto"/>
        <w:jc w:val="both"/>
        <w:rPr>
          <w:rFonts w:ascii="Times New Roman" w:hAnsi="Times New Roman"/>
          <w:sz w:val="24"/>
          <w:lang w:val="es-ES_tradnl"/>
        </w:rPr>
      </w:pPr>
      <w:r w:rsidRPr="00C935BD">
        <w:rPr>
          <w:rFonts w:ascii="Times New Roman" w:hAnsi="Times New Roman"/>
          <w:sz w:val="24"/>
          <w:lang w:val="es-ES_tradnl"/>
        </w:rPr>
        <w:t xml:space="preserve">Construyeron 108 lagunas, </w:t>
      </w:r>
    </w:p>
    <w:p w14:paraId="1152AFC1" w14:textId="7282FEF6" w:rsidR="005C7A52" w:rsidRPr="00C935BD" w:rsidRDefault="005C7A52" w:rsidP="001C6B1A">
      <w:pPr>
        <w:pStyle w:val="Prrafodelista"/>
        <w:numPr>
          <w:ilvl w:val="0"/>
          <w:numId w:val="32"/>
        </w:numPr>
        <w:spacing w:after="0" w:line="480" w:lineRule="auto"/>
        <w:jc w:val="both"/>
        <w:rPr>
          <w:rFonts w:ascii="Times New Roman" w:hAnsi="Times New Roman"/>
          <w:sz w:val="24"/>
          <w:lang w:val="es-ES_tradnl"/>
        </w:rPr>
      </w:pPr>
      <w:r w:rsidRPr="00C935BD">
        <w:rPr>
          <w:rFonts w:ascii="Times New Roman" w:hAnsi="Times New Roman"/>
          <w:sz w:val="24"/>
          <w:lang w:val="es-ES_tradnl"/>
        </w:rPr>
        <w:t xml:space="preserve">60 lagunas en Sánchez (Batey Hormiga, Arroyo Chico, Lodo Blandito, Los Cocos, La Guazara) </w:t>
      </w:r>
    </w:p>
    <w:p w14:paraId="61A54AC4" w14:textId="3FCCACFF" w:rsidR="00D66275" w:rsidRPr="00C935BD" w:rsidRDefault="005C7A52" w:rsidP="001C6B1A">
      <w:pPr>
        <w:pStyle w:val="Prrafodelista"/>
        <w:numPr>
          <w:ilvl w:val="0"/>
          <w:numId w:val="32"/>
        </w:numPr>
        <w:spacing w:after="0" w:line="480" w:lineRule="auto"/>
        <w:jc w:val="both"/>
        <w:rPr>
          <w:rFonts w:ascii="Times New Roman" w:hAnsi="Times New Roman"/>
          <w:sz w:val="24"/>
          <w:lang w:val="es-ES_tradnl"/>
        </w:rPr>
      </w:pPr>
      <w:r w:rsidRPr="00C935BD">
        <w:rPr>
          <w:rFonts w:ascii="Times New Roman" w:hAnsi="Times New Roman"/>
          <w:sz w:val="24"/>
          <w:lang w:val="es-ES_tradnl"/>
        </w:rPr>
        <w:t xml:space="preserve">48 lagunas en Las Galeras, Provincia Samaná, </w:t>
      </w:r>
    </w:p>
    <w:p w14:paraId="1C0A4D71" w14:textId="77777777" w:rsidR="004245EB" w:rsidRDefault="004245EB" w:rsidP="00A94E3B">
      <w:pPr>
        <w:spacing w:after="0" w:line="480" w:lineRule="auto"/>
        <w:ind w:firstLine="720"/>
        <w:jc w:val="both"/>
        <w:rPr>
          <w:rFonts w:ascii="Times New Roman" w:hAnsi="Times New Roman"/>
          <w:lang w:val="es-ES_tradnl"/>
        </w:rPr>
      </w:pPr>
    </w:p>
    <w:p w14:paraId="732ED5CC" w14:textId="655D678E" w:rsidR="00A94E3B" w:rsidRPr="00C935BD" w:rsidRDefault="005C7A52" w:rsidP="00A94E3B">
      <w:pPr>
        <w:spacing w:after="0" w:line="480" w:lineRule="auto"/>
        <w:ind w:firstLine="720"/>
        <w:jc w:val="both"/>
        <w:rPr>
          <w:rFonts w:ascii="Times New Roman" w:hAnsi="Times New Roman"/>
          <w:lang w:val="es-ES_tradnl"/>
        </w:rPr>
      </w:pPr>
      <w:r w:rsidRPr="00C935BD">
        <w:rPr>
          <w:rFonts w:ascii="Times New Roman" w:hAnsi="Times New Roman"/>
          <w:lang w:val="es-ES_tradnl"/>
        </w:rPr>
        <w:t>Este programa ha logrado invertir un monto ascendente RD$31.42 millones, ejecutado con los fondos administrativos del Ministro de Agricultura.</w:t>
      </w:r>
    </w:p>
    <w:p w14:paraId="3A9598D7" w14:textId="77777777" w:rsidR="006241A9" w:rsidRPr="00C935BD" w:rsidRDefault="006241A9" w:rsidP="00A94E3B">
      <w:pPr>
        <w:spacing w:after="0" w:line="480" w:lineRule="auto"/>
        <w:ind w:firstLine="720"/>
        <w:jc w:val="both"/>
        <w:rPr>
          <w:rFonts w:ascii="Times New Roman" w:hAnsi="Times New Roman"/>
          <w:lang w:val="es-ES_tradnl"/>
        </w:rPr>
      </w:pPr>
    </w:p>
    <w:p w14:paraId="64E09AD4" w14:textId="2F31EAAE" w:rsidR="005C7A52" w:rsidRDefault="00AF7DE6" w:rsidP="00AF7DE6">
      <w:pPr>
        <w:spacing w:after="0" w:line="480" w:lineRule="auto"/>
        <w:ind w:firstLine="720"/>
        <w:jc w:val="both"/>
        <w:rPr>
          <w:rFonts w:ascii="Times New Roman" w:hAnsi="Times New Roman"/>
          <w:lang w:val="es-ES_tradnl"/>
        </w:rPr>
      </w:pPr>
      <w:r w:rsidRPr="00C935BD">
        <w:rPr>
          <w:rFonts w:ascii="Times New Roman" w:hAnsi="Times New Roman"/>
          <w:lang w:val="es-ES_tradnl"/>
        </w:rPr>
        <w:lastRenderedPageBreak/>
        <w:t xml:space="preserve">En apoyo a las actividades productivas </w:t>
      </w:r>
      <w:r w:rsidR="00C935BD" w:rsidRPr="00C935BD">
        <w:rPr>
          <w:rFonts w:ascii="Times New Roman" w:hAnsi="Times New Roman"/>
          <w:lang w:val="es-ES_tradnl"/>
        </w:rPr>
        <w:t>desarrolladas</w:t>
      </w:r>
      <w:r w:rsidRPr="00C935BD">
        <w:rPr>
          <w:rFonts w:ascii="Times New Roman" w:hAnsi="Times New Roman"/>
          <w:lang w:val="es-ES_tradnl"/>
        </w:rPr>
        <w:t xml:space="preserve"> por parceleros de la Reforma Agraria fueron realizadas obras de infraestructura para mitigar los efectos de la sequía, tales como: </w:t>
      </w:r>
    </w:p>
    <w:p w14:paraId="2904E83C" w14:textId="77777777" w:rsidR="00C935BD" w:rsidRPr="00C935BD" w:rsidRDefault="00C935BD" w:rsidP="00C935BD">
      <w:pPr>
        <w:spacing w:after="0" w:line="360" w:lineRule="auto"/>
        <w:ind w:firstLine="720"/>
        <w:jc w:val="both"/>
        <w:rPr>
          <w:rFonts w:ascii="Times New Roman" w:hAnsi="Times New Roman"/>
          <w:lang w:val="es-ES_tradnl"/>
        </w:rPr>
      </w:pPr>
    </w:p>
    <w:p w14:paraId="3F2E576E" w14:textId="10013C83" w:rsidR="00AF7DE6" w:rsidRPr="00C935BD" w:rsidRDefault="00846321" w:rsidP="001C6B1A">
      <w:pPr>
        <w:pStyle w:val="Prrafodelista"/>
        <w:numPr>
          <w:ilvl w:val="0"/>
          <w:numId w:val="32"/>
        </w:numPr>
        <w:spacing w:after="0" w:line="480" w:lineRule="auto"/>
        <w:jc w:val="both"/>
        <w:rPr>
          <w:rFonts w:ascii="Times New Roman" w:hAnsi="Times New Roman"/>
          <w:sz w:val="24"/>
          <w:lang w:val="es-ES_tradnl"/>
        </w:rPr>
      </w:pPr>
      <w:r w:rsidRPr="00C935BD">
        <w:rPr>
          <w:rFonts w:ascii="Times New Roman" w:hAnsi="Times New Roman"/>
          <w:sz w:val="24"/>
          <w:lang w:val="es-ES_tradnl"/>
        </w:rPr>
        <w:t>K</w:t>
      </w:r>
      <w:r w:rsidR="00AF7DE6" w:rsidRPr="00C935BD">
        <w:rPr>
          <w:rFonts w:ascii="Times New Roman" w:hAnsi="Times New Roman"/>
          <w:sz w:val="24"/>
          <w:lang w:val="es-ES_tradnl"/>
        </w:rPr>
        <w:t xml:space="preserve">ilómetros de canales de riego, drenaje y bermas, dragado de 20 kilómetros de ríos y arroyos, construcción y rehabilitación de 187 lagunas, </w:t>
      </w:r>
      <w:r w:rsidR="00AF7DE6" w:rsidRPr="00C935BD">
        <w:rPr>
          <w:rFonts w:ascii="Times New Roman" w:hAnsi="Times New Roman"/>
          <w:sz w:val="24"/>
        </w:rPr>
        <w:t>ampliación de 6 kilómetros de Canales de riego en varias comunidades</w:t>
      </w:r>
      <w:r w:rsidR="00AF7DE6" w:rsidRPr="00C935BD">
        <w:rPr>
          <w:rFonts w:ascii="Times New Roman" w:hAnsi="Times New Roman"/>
          <w:sz w:val="24"/>
          <w:lang w:val="es-ES_tradnl"/>
        </w:rPr>
        <w:t>. Asimismo, fueron instalados y rep</w:t>
      </w:r>
      <w:r w:rsidR="00716FE8" w:rsidRPr="00C935BD">
        <w:rPr>
          <w:rFonts w:ascii="Times New Roman" w:hAnsi="Times New Roman"/>
          <w:sz w:val="24"/>
          <w:lang w:val="es-ES_tradnl"/>
        </w:rPr>
        <w:t>arados 19 sistemas de bombeos, e</w:t>
      </w:r>
      <w:r w:rsidR="00AF7DE6" w:rsidRPr="00C935BD">
        <w:rPr>
          <w:rFonts w:ascii="Times New Roman" w:hAnsi="Times New Roman"/>
          <w:sz w:val="24"/>
          <w:lang w:val="es-ES_tradnl"/>
        </w:rPr>
        <w:t>stas acciones fueron ejecutadas con una inversión de RD$117.94 millones y beneficiaron 13,855 productores de Reforma Agraria.</w:t>
      </w:r>
    </w:p>
    <w:p w14:paraId="69D4D4A3" w14:textId="6F293243" w:rsidR="00B6203F" w:rsidRDefault="00B6203F">
      <w:pPr>
        <w:spacing w:after="0"/>
        <w:rPr>
          <w:rFonts w:ascii="Times New Roman" w:hAnsi="Times New Roman"/>
          <w:lang w:val="es-ES_tradnl"/>
        </w:rPr>
      </w:pPr>
    </w:p>
    <w:p w14:paraId="398C8D24" w14:textId="62AE0F57" w:rsidR="002D328F" w:rsidRPr="00073148" w:rsidRDefault="002D328F" w:rsidP="001C6B1A">
      <w:pPr>
        <w:pStyle w:val="Prrafodelista"/>
        <w:numPr>
          <w:ilvl w:val="0"/>
          <w:numId w:val="9"/>
        </w:numPr>
        <w:spacing w:after="0" w:line="240" w:lineRule="auto"/>
        <w:ind w:left="567" w:hanging="567"/>
        <w:rPr>
          <w:rFonts w:ascii="Times New Roman" w:hAnsi="Times New Roman"/>
          <w:sz w:val="24"/>
          <w:lang w:val="es-ES_tradnl"/>
        </w:rPr>
      </w:pPr>
      <w:r w:rsidRPr="00C935BD">
        <w:rPr>
          <w:rFonts w:ascii="Times New Roman" w:hAnsi="Times New Roman"/>
          <w:b/>
          <w:sz w:val="24"/>
          <w:lang w:val="es-ES_tradnl"/>
        </w:rPr>
        <w:t xml:space="preserve">Relación de ejecutorias del </w:t>
      </w:r>
      <w:r w:rsidR="006241A9" w:rsidRPr="00C935BD">
        <w:rPr>
          <w:rFonts w:ascii="Times New Roman" w:hAnsi="Times New Roman"/>
          <w:b/>
          <w:sz w:val="24"/>
          <w:lang w:val="es-ES_tradnl"/>
        </w:rPr>
        <w:t>p</w:t>
      </w:r>
      <w:r w:rsidRPr="00C935BD">
        <w:rPr>
          <w:rFonts w:ascii="Times New Roman" w:hAnsi="Times New Roman"/>
          <w:b/>
          <w:sz w:val="24"/>
          <w:lang w:val="es-ES_tradnl"/>
        </w:rPr>
        <w:t xml:space="preserve">rograma de mitigación de sequía </w:t>
      </w:r>
    </w:p>
    <w:p w14:paraId="4A8F5D30" w14:textId="77777777" w:rsidR="00073148" w:rsidRPr="00C935BD" w:rsidRDefault="00073148" w:rsidP="00073148">
      <w:pPr>
        <w:pStyle w:val="Prrafodelista"/>
        <w:spacing w:after="0" w:line="240" w:lineRule="auto"/>
        <w:ind w:left="567"/>
        <w:rPr>
          <w:rFonts w:ascii="Times New Roman" w:hAnsi="Times New Roman"/>
          <w:sz w:val="24"/>
          <w:lang w:val="es-ES_tradnl"/>
        </w:rPr>
      </w:pPr>
    </w:p>
    <w:tbl>
      <w:tblPr>
        <w:tblW w:w="9553" w:type="dxa"/>
        <w:tblInd w:w="-730" w:type="dxa"/>
        <w:tblLayout w:type="fixed"/>
        <w:tblCellMar>
          <w:left w:w="70" w:type="dxa"/>
          <w:right w:w="70" w:type="dxa"/>
        </w:tblCellMar>
        <w:tblLook w:val="04A0" w:firstRow="1" w:lastRow="0" w:firstColumn="1" w:lastColumn="0" w:noHBand="0" w:noVBand="1"/>
      </w:tblPr>
      <w:tblGrid>
        <w:gridCol w:w="710"/>
        <w:gridCol w:w="5186"/>
        <w:gridCol w:w="1134"/>
        <w:gridCol w:w="993"/>
        <w:gridCol w:w="1530"/>
      </w:tblGrid>
      <w:tr w:rsidR="002D328F" w:rsidRPr="00C935BD" w14:paraId="12A12CB1" w14:textId="77777777" w:rsidTr="004245EB">
        <w:trPr>
          <w:trHeight w:val="419"/>
        </w:trPr>
        <w:tc>
          <w:tcPr>
            <w:tcW w:w="710"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39BF7426" w14:textId="77777777" w:rsidR="002D328F" w:rsidRPr="00C935BD" w:rsidRDefault="002D328F" w:rsidP="00443141">
            <w:pPr>
              <w:spacing w:after="0"/>
              <w:jc w:val="center"/>
              <w:rPr>
                <w:rFonts w:ascii="Times New Roman" w:hAnsi="Times New Roman"/>
                <w:b/>
                <w:bCs/>
                <w:color w:val="FFFFFF" w:themeColor="background1"/>
                <w:szCs w:val="20"/>
                <w:lang w:eastAsia="es-DO"/>
              </w:rPr>
            </w:pPr>
            <w:r w:rsidRPr="00C935BD">
              <w:rPr>
                <w:rFonts w:ascii="Times New Roman" w:hAnsi="Times New Roman"/>
                <w:b/>
                <w:bCs/>
                <w:color w:val="FFFFFF" w:themeColor="background1"/>
                <w:szCs w:val="20"/>
                <w:lang w:eastAsia="es-DO"/>
              </w:rPr>
              <w:t>No.</w:t>
            </w:r>
          </w:p>
        </w:tc>
        <w:tc>
          <w:tcPr>
            <w:tcW w:w="5186" w:type="dxa"/>
            <w:tcBorders>
              <w:top w:val="single" w:sz="4" w:space="0" w:color="auto"/>
              <w:left w:val="nil"/>
              <w:bottom w:val="single" w:sz="4" w:space="0" w:color="auto"/>
              <w:right w:val="single" w:sz="4" w:space="0" w:color="auto"/>
            </w:tcBorders>
            <w:shd w:val="clear" w:color="auto" w:fill="00B050"/>
            <w:noWrap/>
            <w:vAlign w:val="center"/>
            <w:hideMark/>
          </w:tcPr>
          <w:p w14:paraId="00D797E5" w14:textId="77777777" w:rsidR="002D328F" w:rsidRPr="00C935BD" w:rsidRDefault="002D328F" w:rsidP="00443141">
            <w:pPr>
              <w:spacing w:after="0"/>
              <w:jc w:val="center"/>
              <w:rPr>
                <w:rFonts w:ascii="Times New Roman" w:hAnsi="Times New Roman"/>
                <w:b/>
                <w:bCs/>
                <w:color w:val="FFFFFF" w:themeColor="background1"/>
                <w:szCs w:val="20"/>
                <w:lang w:eastAsia="es-DO"/>
              </w:rPr>
            </w:pPr>
            <w:r w:rsidRPr="00C935BD">
              <w:rPr>
                <w:rFonts w:ascii="Times New Roman" w:hAnsi="Times New Roman"/>
                <w:b/>
                <w:bCs/>
                <w:color w:val="FFFFFF" w:themeColor="background1"/>
                <w:szCs w:val="20"/>
                <w:lang w:eastAsia="es-DO"/>
              </w:rPr>
              <w:t>Descripción</w:t>
            </w:r>
          </w:p>
        </w:tc>
        <w:tc>
          <w:tcPr>
            <w:tcW w:w="1134" w:type="dxa"/>
            <w:tcBorders>
              <w:top w:val="single" w:sz="4" w:space="0" w:color="auto"/>
              <w:left w:val="nil"/>
              <w:bottom w:val="single" w:sz="4" w:space="0" w:color="auto"/>
              <w:right w:val="single" w:sz="4" w:space="0" w:color="auto"/>
            </w:tcBorders>
            <w:shd w:val="clear" w:color="auto" w:fill="00B050"/>
            <w:noWrap/>
            <w:vAlign w:val="center"/>
            <w:hideMark/>
          </w:tcPr>
          <w:p w14:paraId="69EAE79B" w14:textId="77777777" w:rsidR="002D328F" w:rsidRPr="00C935BD" w:rsidRDefault="002D328F" w:rsidP="00443141">
            <w:pPr>
              <w:spacing w:after="0"/>
              <w:jc w:val="center"/>
              <w:rPr>
                <w:rFonts w:ascii="Times New Roman" w:hAnsi="Times New Roman"/>
                <w:b/>
                <w:bCs/>
                <w:color w:val="FFFFFF" w:themeColor="background1"/>
                <w:szCs w:val="20"/>
                <w:lang w:eastAsia="es-DO"/>
              </w:rPr>
            </w:pPr>
            <w:r w:rsidRPr="00C935BD">
              <w:rPr>
                <w:rFonts w:ascii="Times New Roman" w:hAnsi="Times New Roman"/>
                <w:b/>
                <w:bCs/>
                <w:color w:val="FFFFFF" w:themeColor="background1"/>
                <w:szCs w:val="20"/>
                <w:lang w:eastAsia="es-DO"/>
              </w:rPr>
              <w:t>Cantidad</w:t>
            </w:r>
          </w:p>
        </w:tc>
        <w:tc>
          <w:tcPr>
            <w:tcW w:w="993" w:type="dxa"/>
            <w:tcBorders>
              <w:top w:val="single" w:sz="4" w:space="0" w:color="auto"/>
              <w:left w:val="nil"/>
              <w:bottom w:val="single" w:sz="4" w:space="0" w:color="auto"/>
              <w:right w:val="single" w:sz="4" w:space="0" w:color="auto"/>
            </w:tcBorders>
            <w:shd w:val="clear" w:color="auto" w:fill="00B050"/>
            <w:noWrap/>
            <w:vAlign w:val="center"/>
            <w:hideMark/>
          </w:tcPr>
          <w:p w14:paraId="73C42715" w14:textId="77777777" w:rsidR="002D328F" w:rsidRPr="00C935BD" w:rsidRDefault="002D328F" w:rsidP="00443141">
            <w:pPr>
              <w:spacing w:after="0"/>
              <w:jc w:val="center"/>
              <w:rPr>
                <w:rFonts w:ascii="Times New Roman" w:hAnsi="Times New Roman"/>
                <w:b/>
                <w:bCs/>
                <w:color w:val="FFFFFF" w:themeColor="background1"/>
                <w:szCs w:val="20"/>
                <w:lang w:eastAsia="es-DO"/>
              </w:rPr>
            </w:pPr>
            <w:r w:rsidRPr="00C935BD">
              <w:rPr>
                <w:rFonts w:ascii="Times New Roman" w:hAnsi="Times New Roman"/>
                <w:b/>
                <w:bCs/>
                <w:color w:val="FFFFFF" w:themeColor="background1"/>
                <w:szCs w:val="20"/>
                <w:lang w:eastAsia="es-DO"/>
              </w:rPr>
              <w:t>Unidad</w:t>
            </w:r>
          </w:p>
        </w:tc>
        <w:tc>
          <w:tcPr>
            <w:tcW w:w="1530" w:type="dxa"/>
            <w:tcBorders>
              <w:top w:val="single" w:sz="4" w:space="0" w:color="auto"/>
              <w:left w:val="nil"/>
              <w:bottom w:val="single" w:sz="4" w:space="0" w:color="auto"/>
              <w:right w:val="single" w:sz="4" w:space="0" w:color="auto"/>
            </w:tcBorders>
            <w:shd w:val="clear" w:color="auto" w:fill="00B050"/>
            <w:noWrap/>
            <w:vAlign w:val="center"/>
            <w:hideMark/>
          </w:tcPr>
          <w:p w14:paraId="23C333A6" w14:textId="77777777" w:rsidR="002D328F" w:rsidRPr="00C935BD" w:rsidRDefault="002D328F" w:rsidP="00443141">
            <w:pPr>
              <w:spacing w:after="0"/>
              <w:jc w:val="center"/>
              <w:rPr>
                <w:rFonts w:ascii="Times New Roman" w:hAnsi="Times New Roman"/>
                <w:b/>
                <w:bCs/>
                <w:color w:val="FFFFFF" w:themeColor="background1"/>
                <w:szCs w:val="20"/>
                <w:lang w:eastAsia="es-DO"/>
              </w:rPr>
            </w:pPr>
            <w:r w:rsidRPr="00C935BD">
              <w:rPr>
                <w:rFonts w:ascii="Times New Roman" w:hAnsi="Times New Roman"/>
                <w:b/>
                <w:bCs/>
                <w:color w:val="FFFFFF" w:themeColor="background1"/>
                <w:szCs w:val="20"/>
                <w:lang w:eastAsia="es-DO"/>
              </w:rPr>
              <w:t>RD$</w:t>
            </w:r>
          </w:p>
        </w:tc>
      </w:tr>
      <w:tr w:rsidR="002D328F" w:rsidRPr="00C935BD" w14:paraId="52C6A7EB" w14:textId="77777777" w:rsidTr="00D823BB">
        <w:trPr>
          <w:trHeight w:val="56"/>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7443B4" w14:textId="5249B7C6" w:rsidR="002D328F" w:rsidRPr="00C935BD" w:rsidRDefault="004245EB" w:rsidP="00443141">
            <w:pPr>
              <w:spacing w:after="0"/>
              <w:jc w:val="center"/>
              <w:rPr>
                <w:rFonts w:ascii="Times New Roman" w:hAnsi="Times New Roman"/>
                <w:b/>
                <w:color w:val="000000"/>
                <w:szCs w:val="20"/>
                <w:lang w:eastAsia="es-DO"/>
              </w:rPr>
            </w:pPr>
            <w:r>
              <w:rPr>
                <w:rFonts w:ascii="Times New Roman" w:hAnsi="Times New Roman"/>
                <w:b/>
                <w:color w:val="000000"/>
                <w:szCs w:val="20"/>
                <w:lang w:eastAsia="es-DO"/>
              </w:rPr>
              <w:t>1</w:t>
            </w:r>
          </w:p>
        </w:tc>
        <w:tc>
          <w:tcPr>
            <w:tcW w:w="5186" w:type="dxa"/>
            <w:tcBorders>
              <w:top w:val="single" w:sz="4" w:space="0" w:color="auto"/>
              <w:left w:val="nil"/>
              <w:bottom w:val="single" w:sz="4" w:space="0" w:color="auto"/>
              <w:right w:val="single" w:sz="4" w:space="0" w:color="auto"/>
            </w:tcBorders>
            <w:shd w:val="clear" w:color="auto" w:fill="808080" w:themeFill="background1" w:themeFillShade="80"/>
            <w:noWrap/>
            <w:vAlign w:val="bottom"/>
          </w:tcPr>
          <w:p w14:paraId="555617F2" w14:textId="71DF89A7" w:rsidR="002D328F" w:rsidRPr="00C935BD" w:rsidRDefault="002D328F" w:rsidP="00443141">
            <w:pPr>
              <w:spacing w:after="0"/>
              <w:rPr>
                <w:rFonts w:ascii="Times New Roman" w:hAnsi="Times New Roman"/>
                <w:b/>
                <w:color w:val="FFFFFF" w:themeColor="background1"/>
                <w:szCs w:val="20"/>
                <w:lang w:eastAsia="es-DO"/>
              </w:rPr>
            </w:pPr>
            <w:r w:rsidRPr="00C935BD">
              <w:rPr>
                <w:rFonts w:ascii="Times New Roman" w:hAnsi="Times New Roman"/>
                <w:b/>
                <w:color w:val="FFFFFF" w:themeColor="background1"/>
                <w:szCs w:val="20"/>
                <w:lang w:eastAsia="es-DO"/>
              </w:rPr>
              <w:t>Limpieza y construcción de lagunas</w:t>
            </w:r>
          </w:p>
        </w:tc>
        <w:tc>
          <w:tcPr>
            <w:tcW w:w="1134"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62E18AA9" w14:textId="77777777" w:rsidR="002D328F" w:rsidRPr="00C935BD" w:rsidRDefault="002D328F" w:rsidP="00443141">
            <w:pPr>
              <w:spacing w:after="0"/>
              <w:jc w:val="center"/>
              <w:rPr>
                <w:rFonts w:ascii="Times New Roman" w:hAnsi="Times New Roman"/>
                <w:color w:val="FFFFFF" w:themeColor="background1"/>
                <w:szCs w:val="20"/>
                <w:lang w:eastAsia="es-DO"/>
              </w:rPr>
            </w:pPr>
          </w:p>
        </w:tc>
        <w:tc>
          <w:tcPr>
            <w:tcW w:w="993"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019156E1" w14:textId="77777777" w:rsidR="002D328F" w:rsidRPr="00C935BD" w:rsidRDefault="002D328F" w:rsidP="00443141">
            <w:pPr>
              <w:spacing w:after="0"/>
              <w:jc w:val="center"/>
              <w:rPr>
                <w:rFonts w:ascii="Times New Roman" w:hAnsi="Times New Roman"/>
                <w:color w:val="FFFFFF" w:themeColor="background1"/>
                <w:szCs w:val="20"/>
                <w:lang w:eastAsia="es-DO"/>
              </w:rPr>
            </w:pPr>
          </w:p>
        </w:tc>
        <w:tc>
          <w:tcPr>
            <w:tcW w:w="1530" w:type="dxa"/>
            <w:tcBorders>
              <w:top w:val="single" w:sz="4" w:space="0" w:color="auto"/>
              <w:left w:val="nil"/>
              <w:bottom w:val="single" w:sz="4" w:space="0" w:color="auto"/>
              <w:right w:val="single" w:sz="4" w:space="0" w:color="auto"/>
            </w:tcBorders>
            <w:shd w:val="clear" w:color="auto" w:fill="808080" w:themeFill="background1" w:themeFillShade="80"/>
            <w:noWrap/>
            <w:vAlign w:val="center"/>
          </w:tcPr>
          <w:p w14:paraId="123D3FD6" w14:textId="77777777" w:rsidR="002D328F" w:rsidRPr="00C935BD" w:rsidRDefault="002D328F" w:rsidP="00443141">
            <w:pPr>
              <w:spacing w:after="0"/>
              <w:jc w:val="right"/>
              <w:rPr>
                <w:rFonts w:ascii="Times New Roman" w:hAnsi="Times New Roman"/>
                <w:color w:val="FFFFFF" w:themeColor="background1"/>
                <w:szCs w:val="20"/>
                <w:lang w:eastAsia="es-DO"/>
              </w:rPr>
            </w:pPr>
          </w:p>
        </w:tc>
      </w:tr>
      <w:tr w:rsidR="002D328F" w:rsidRPr="00C935BD" w14:paraId="180D8870" w14:textId="77777777" w:rsidTr="00D823BB">
        <w:trPr>
          <w:trHeight w:val="56"/>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14:paraId="4C3C3D6B" w14:textId="711C0AF5" w:rsidR="002D328F" w:rsidRPr="00C935BD" w:rsidRDefault="002D328F" w:rsidP="00443141">
            <w:pPr>
              <w:spacing w:after="0"/>
              <w:jc w:val="center"/>
              <w:rPr>
                <w:rFonts w:ascii="Times New Roman" w:hAnsi="Times New Roman"/>
                <w:b/>
                <w:color w:val="000000"/>
                <w:szCs w:val="20"/>
                <w:lang w:eastAsia="es-DO"/>
              </w:rPr>
            </w:pPr>
          </w:p>
        </w:tc>
        <w:tc>
          <w:tcPr>
            <w:tcW w:w="5186" w:type="dxa"/>
            <w:tcBorders>
              <w:top w:val="nil"/>
              <w:left w:val="nil"/>
              <w:bottom w:val="single" w:sz="4" w:space="0" w:color="auto"/>
              <w:right w:val="single" w:sz="4" w:space="0" w:color="auto"/>
            </w:tcBorders>
            <w:shd w:val="clear" w:color="auto" w:fill="auto"/>
            <w:noWrap/>
            <w:vAlign w:val="bottom"/>
            <w:hideMark/>
          </w:tcPr>
          <w:p w14:paraId="3E0D17C6" w14:textId="02BCCA95" w:rsidR="002D328F" w:rsidRPr="00C935BD" w:rsidRDefault="002D328F" w:rsidP="00D823BB">
            <w:pPr>
              <w:spacing w:after="0"/>
              <w:rPr>
                <w:rFonts w:ascii="Times New Roman" w:hAnsi="Times New Roman"/>
                <w:color w:val="000000"/>
                <w:szCs w:val="20"/>
                <w:lang w:eastAsia="es-DO"/>
              </w:rPr>
            </w:pPr>
            <w:r w:rsidRPr="00C935BD">
              <w:rPr>
                <w:rFonts w:ascii="Times New Roman" w:hAnsi="Times New Roman"/>
                <w:color w:val="000000"/>
                <w:szCs w:val="20"/>
                <w:lang w:eastAsia="es-DO"/>
              </w:rPr>
              <w:t>Limpieza y construcción de lagunas</w:t>
            </w:r>
          </w:p>
        </w:tc>
        <w:tc>
          <w:tcPr>
            <w:tcW w:w="1134" w:type="dxa"/>
            <w:tcBorders>
              <w:top w:val="nil"/>
              <w:left w:val="nil"/>
              <w:bottom w:val="single" w:sz="4" w:space="0" w:color="auto"/>
              <w:right w:val="single" w:sz="4" w:space="0" w:color="auto"/>
            </w:tcBorders>
            <w:shd w:val="clear" w:color="auto" w:fill="auto"/>
            <w:noWrap/>
            <w:vAlign w:val="center"/>
            <w:hideMark/>
          </w:tcPr>
          <w:p w14:paraId="1755E1F8" w14:textId="438309CA" w:rsidR="002D328F" w:rsidRPr="00C935BD" w:rsidRDefault="002D328F" w:rsidP="006241A9">
            <w:pPr>
              <w:spacing w:after="0"/>
              <w:jc w:val="center"/>
              <w:rPr>
                <w:rFonts w:ascii="Times New Roman" w:hAnsi="Times New Roman"/>
                <w:color w:val="000000"/>
                <w:szCs w:val="20"/>
                <w:lang w:eastAsia="es-DO"/>
              </w:rPr>
            </w:pPr>
            <w:r w:rsidRPr="00C935BD">
              <w:rPr>
                <w:rFonts w:ascii="Times New Roman" w:hAnsi="Times New Roman"/>
                <w:color w:val="000000"/>
                <w:szCs w:val="20"/>
                <w:lang w:eastAsia="es-DO"/>
              </w:rPr>
              <w:t>1</w:t>
            </w:r>
            <w:r w:rsidR="006241A9" w:rsidRPr="00C935BD">
              <w:rPr>
                <w:rFonts w:ascii="Times New Roman" w:hAnsi="Times New Roman"/>
                <w:color w:val="000000"/>
                <w:szCs w:val="20"/>
                <w:lang w:eastAsia="es-DO"/>
              </w:rPr>
              <w:t>87</w:t>
            </w:r>
          </w:p>
        </w:tc>
        <w:tc>
          <w:tcPr>
            <w:tcW w:w="993" w:type="dxa"/>
            <w:tcBorders>
              <w:top w:val="nil"/>
              <w:left w:val="nil"/>
              <w:bottom w:val="single" w:sz="4" w:space="0" w:color="auto"/>
              <w:right w:val="single" w:sz="4" w:space="0" w:color="auto"/>
            </w:tcBorders>
            <w:shd w:val="clear" w:color="auto" w:fill="auto"/>
            <w:noWrap/>
            <w:vAlign w:val="center"/>
            <w:hideMark/>
          </w:tcPr>
          <w:p w14:paraId="54CAB52B" w14:textId="77777777" w:rsidR="002D328F" w:rsidRPr="00C935BD" w:rsidRDefault="002D328F" w:rsidP="00443141">
            <w:pPr>
              <w:spacing w:after="0"/>
              <w:jc w:val="center"/>
              <w:rPr>
                <w:rFonts w:ascii="Times New Roman" w:hAnsi="Times New Roman"/>
                <w:color w:val="000000"/>
                <w:szCs w:val="20"/>
                <w:lang w:eastAsia="es-DO"/>
              </w:rPr>
            </w:pPr>
            <w:r w:rsidRPr="00C935BD">
              <w:rPr>
                <w:rFonts w:ascii="Times New Roman" w:hAnsi="Times New Roman"/>
                <w:color w:val="000000"/>
                <w:szCs w:val="20"/>
                <w:lang w:eastAsia="es-DO"/>
              </w:rPr>
              <w:t>Lagunas</w:t>
            </w:r>
          </w:p>
        </w:tc>
        <w:tc>
          <w:tcPr>
            <w:tcW w:w="1530" w:type="dxa"/>
            <w:tcBorders>
              <w:top w:val="nil"/>
              <w:left w:val="nil"/>
              <w:bottom w:val="single" w:sz="4" w:space="0" w:color="auto"/>
              <w:right w:val="single" w:sz="8" w:space="0" w:color="auto"/>
            </w:tcBorders>
            <w:shd w:val="clear" w:color="auto" w:fill="auto"/>
            <w:noWrap/>
            <w:vAlign w:val="center"/>
            <w:hideMark/>
          </w:tcPr>
          <w:p w14:paraId="15988AB2" w14:textId="77777777" w:rsidR="002D328F" w:rsidRPr="00C935BD" w:rsidRDefault="002D328F" w:rsidP="00443141">
            <w:pPr>
              <w:spacing w:after="0"/>
              <w:jc w:val="right"/>
              <w:rPr>
                <w:rFonts w:ascii="Times New Roman" w:hAnsi="Times New Roman"/>
                <w:color w:val="000000"/>
                <w:szCs w:val="20"/>
                <w:lang w:eastAsia="es-DO"/>
              </w:rPr>
            </w:pPr>
            <w:r w:rsidRPr="00C935BD">
              <w:rPr>
                <w:rFonts w:ascii="Times New Roman" w:hAnsi="Times New Roman"/>
                <w:color w:val="000000"/>
                <w:szCs w:val="20"/>
                <w:lang w:eastAsia="es-DO"/>
              </w:rPr>
              <w:t>2,550,000.00</w:t>
            </w:r>
          </w:p>
        </w:tc>
      </w:tr>
      <w:tr w:rsidR="002D328F" w:rsidRPr="00C935BD" w14:paraId="7559B3E6" w14:textId="77777777" w:rsidTr="00D823BB">
        <w:trPr>
          <w:trHeight w:val="56"/>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14:paraId="5A37E5E3" w14:textId="77777777" w:rsidR="002D328F" w:rsidRPr="00C935BD" w:rsidRDefault="002D328F" w:rsidP="00443141">
            <w:pPr>
              <w:spacing w:after="0"/>
              <w:jc w:val="center"/>
              <w:rPr>
                <w:rFonts w:ascii="Times New Roman" w:hAnsi="Times New Roman"/>
                <w:b/>
                <w:color w:val="000000"/>
                <w:szCs w:val="20"/>
                <w:lang w:eastAsia="es-DO"/>
              </w:rPr>
            </w:pPr>
            <w:r w:rsidRPr="00C935BD">
              <w:rPr>
                <w:rFonts w:ascii="Times New Roman" w:hAnsi="Times New Roman"/>
                <w:b/>
                <w:color w:val="000000"/>
                <w:szCs w:val="20"/>
                <w:lang w:eastAsia="es-DO"/>
              </w:rPr>
              <w:t>2</w:t>
            </w:r>
          </w:p>
        </w:tc>
        <w:tc>
          <w:tcPr>
            <w:tcW w:w="5186" w:type="dxa"/>
            <w:tcBorders>
              <w:top w:val="nil"/>
              <w:left w:val="nil"/>
              <w:bottom w:val="single" w:sz="4" w:space="0" w:color="auto"/>
              <w:right w:val="single" w:sz="4" w:space="0" w:color="auto"/>
            </w:tcBorders>
            <w:shd w:val="clear" w:color="auto" w:fill="808080" w:themeFill="background1" w:themeFillShade="80"/>
            <w:noWrap/>
            <w:vAlign w:val="bottom"/>
            <w:hideMark/>
          </w:tcPr>
          <w:p w14:paraId="2D7B0DF5" w14:textId="189025A4" w:rsidR="002D328F" w:rsidRPr="00C935BD" w:rsidRDefault="002D328F" w:rsidP="00D823BB">
            <w:pPr>
              <w:spacing w:after="0"/>
              <w:rPr>
                <w:rFonts w:ascii="Times New Roman" w:hAnsi="Times New Roman"/>
                <w:b/>
                <w:color w:val="FFFFFF" w:themeColor="background1"/>
                <w:szCs w:val="20"/>
                <w:lang w:eastAsia="es-DO"/>
              </w:rPr>
            </w:pPr>
            <w:r w:rsidRPr="00C935BD">
              <w:rPr>
                <w:rFonts w:ascii="Times New Roman" w:hAnsi="Times New Roman"/>
                <w:b/>
                <w:color w:val="FFFFFF" w:themeColor="background1"/>
                <w:szCs w:val="20"/>
                <w:lang w:eastAsia="es-DO"/>
              </w:rPr>
              <w:t>Roturación de suelo</w:t>
            </w:r>
          </w:p>
        </w:tc>
        <w:tc>
          <w:tcPr>
            <w:tcW w:w="1134" w:type="dxa"/>
            <w:tcBorders>
              <w:top w:val="nil"/>
              <w:left w:val="nil"/>
              <w:bottom w:val="single" w:sz="4" w:space="0" w:color="auto"/>
              <w:right w:val="single" w:sz="4" w:space="0" w:color="auto"/>
            </w:tcBorders>
            <w:shd w:val="clear" w:color="auto" w:fill="808080" w:themeFill="background1" w:themeFillShade="80"/>
            <w:noWrap/>
            <w:vAlign w:val="center"/>
            <w:hideMark/>
          </w:tcPr>
          <w:p w14:paraId="64D33755" w14:textId="77777777" w:rsidR="002D328F" w:rsidRPr="00C935BD" w:rsidRDefault="002D328F" w:rsidP="00443141">
            <w:pPr>
              <w:spacing w:after="0"/>
              <w:jc w:val="center"/>
              <w:rPr>
                <w:rFonts w:ascii="Times New Roman" w:hAnsi="Times New Roman"/>
                <w:color w:val="FFFFFF" w:themeColor="background1"/>
                <w:szCs w:val="20"/>
                <w:lang w:eastAsia="es-DO"/>
              </w:rPr>
            </w:pPr>
          </w:p>
        </w:tc>
        <w:tc>
          <w:tcPr>
            <w:tcW w:w="993" w:type="dxa"/>
            <w:tcBorders>
              <w:top w:val="nil"/>
              <w:left w:val="nil"/>
              <w:bottom w:val="single" w:sz="4" w:space="0" w:color="auto"/>
              <w:right w:val="single" w:sz="4" w:space="0" w:color="auto"/>
            </w:tcBorders>
            <w:shd w:val="clear" w:color="auto" w:fill="808080" w:themeFill="background1" w:themeFillShade="80"/>
            <w:noWrap/>
            <w:vAlign w:val="center"/>
            <w:hideMark/>
          </w:tcPr>
          <w:p w14:paraId="15FEB516" w14:textId="77777777" w:rsidR="002D328F" w:rsidRPr="00C935BD" w:rsidRDefault="002D328F" w:rsidP="00443141">
            <w:pPr>
              <w:spacing w:after="0"/>
              <w:jc w:val="center"/>
              <w:rPr>
                <w:rFonts w:ascii="Times New Roman" w:hAnsi="Times New Roman"/>
                <w:color w:val="FFFFFF" w:themeColor="background1"/>
                <w:szCs w:val="20"/>
                <w:lang w:eastAsia="es-DO"/>
              </w:rPr>
            </w:pPr>
          </w:p>
        </w:tc>
        <w:tc>
          <w:tcPr>
            <w:tcW w:w="1530" w:type="dxa"/>
            <w:tcBorders>
              <w:top w:val="nil"/>
              <w:left w:val="nil"/>
              <w:bottom w:val="single" w:sz="4" w:space="0" w:color="auto"/>
              <w:right w:val="single" w:sz="8" w:space="0" w:color="auto"/>
            </w:tcBorders>
            <w:shd w:val="clear" w:color="auto" w:fill="808080" w:themeFill="background1" w:themeFillShade="80"/>
            <w:noWrap/>
            <w:vAlign w:val="center"/>
            <w:hideMark/>
          </w:tcPr>
          <w:p w14:paraId="2E650ABD" w14:textId="77777777" w:rsidR="002D328F" w:rsidRPr="00C935BD" w:rsidRDefault="002D328F" w:rsidP="00443141">
            <w:pPr>
              <w:spacing w:after="0"/>
              <w:jc w:val="right"/>
              <w:rPr>
                <w:rFonts w:ascii="Times New Roman" w:hAnsi="Times New Roman"/>
                <w:color w:val="FFFFFF" w:themeColor="background1"/>
                <w:szCs w:val="20"/>
                <w:lang w:eastAsia="es-DO"/>
              </w:rPr>
            </w:pPr>
          </w:p>
        </w:tc>
      </w:tr>
      <w:tr w:rsidR="002D328F" w:rsidRPr="00C935BD" w14:paraId="17901F8F" w14:textId="77777777" w:rsidTr="00D823BB">
        <w:trPr>
          <w:trHeight w:val="56"/>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14:paraId="0D576416" w14:textId="77777777" w:rsidR="002D328F" w:rsidRPr="00C935BD" w:rsidRDefault="002D328F" w:rsidP="00443141">
            <w:pPr>
              <w:spacing w:after="0"/>
              <w:jc w:val="center"/>
              <w:rPr>
                <w:rFonts w:ascii="Times New Roman" w:hAnsi="Times New Roman"/>
                <w:b/>
                <w:color w:val="000000"/>
                <w:szCs w:val="20"/>
                <w:lang w:eastAsia="es-DO"/>
              </w:rPr>
            </w:pPr>
          </w:p>
        </w:tc>
        <w:tc>
          <w:tcPr>
            <w:tcW w:w="5186" w:type="dxa"/>
            <w:tcBorders>
              <w:top w:val="nil"/>
              <w:left w:val="nil"/>
              <w:bottom w:val="single" w:sz="4" w:space="0" w:color="auto"/>
              <w:right w:val="single" w:sz="4" w:space="0" w:color="auto"/>
            </w:tcBorders>
            <w:shd w:val="clear" w:color="auto" w:fill="auto"/>
            <w:noWrap/>
            <w:vAlign w:val="bottom"/>
            <w:hideMark/>
          </w:tcPr>
          <w:p w14:paraId="6CA75843" w14:textId="0EA727F7" w:rsidR="002D328F" w:rsidRPr="00C935BD" w:rsidRDefault="002D328F" w:rsidP="00D823BB">
            <w:pPr>
              <w:spacing w:after="0"/>
              <w:rPr>
                <w:rFonts w:ascii="Times New Roman" w:hAnsi="Times New Roman"/>
                <w:color w:val="000000"/>
                <w:szCs w:val="20"/>
                <w:lang w:eastAsia="es-DO"/>
              </w:rPr>
            </w:pPr>
            <w:r w:rsidRPr="00C935BD">
              <w:rPr>
                <w:rFonts w:ascii="Times New Roman" w:hAnsi="Times New Roman"/>
                <w:color w:val="000000"/>
                <w:szCs w:val="20"/>
                <w:lang w:eastAsia="es-DO"/>
              </w:rPr>
              <w:t xml:space="preserve">Línea noroeste </w:t>
            </w:r>
          </w:p>
        </w:tc>
        <w:tc>
          <w:tcPr>
            <w:tcW w:w="1134" w:type="dxa"/>
            <w:tcBorders>
              <w:top w:val="nil"/>
              <w:left w:val="nil"/>
              <w:bottom w:val="single" w:sz="4" w:space="0" w:color="auto"/>
              <w:right w:val="single" w:sz="4" w:space="0" w:color="auto"/>
            </w:tcBorders>
            <w:shd w:val="clear" w:color="auto" w:fill="auto"/>
            <w:noWrap/>
            <w:vAlign w:val="center"/>
            <w:hideMark/>
          </w:tcPr>
          <w:p w14:paraId="6AF1EBFD" w14:textId="77777777" w:rsidR="002D328F" w:rsidRPr="00C935BD" w:rsidRDefault="002D328F" w:rsidP="00443141">
            <w:pPr>
              <w:spacing w:after="0"/>
              <w:jc w:val="center"/>
              <w:rPr>
                <w:rFonts w:ascii="Times New Roman" w:hAnsi="Times New Roman"/>
                <w:color w:val="000000"/>
                <w:szCs w:val="20"/>
                <w:lang w:eastAsia="es-DO"/>
              </w:rPr>
            </w:pPr>
            <w:r w:rsidRPr="00C935BD">
              <w:rPr>
                <w:rFonts w:ascii="Times New Roman" w:hAnsi="Times New Roman"/>
                <w:color w:val="000000"/>
                <w:szCs w:val="20"/>
                <w:lang w:eastAsia="es-DO"/>
              </w:rPr>
              <w:t>8,000</w:t>
            </w:r>
          </w:p>
        </w:tc>
        <w:tc>
          <w:tcPr>
            <w:tcW w:w="993" w:type="dxa"/>
            <w:tcBorders>
              <w:top w:val="nil"/>
              <w:left w:val="nil"/>
              <w:bottom w:val="single" w:sz="4" w:space="0" w:color="auto"/>
              <w:right w:val="single" w:sz="4" w:space="0" w:color="auto"/>
            </w:tcBorders>
            <w:shd w:val="clear" w:color="auto" w:fill="auto"/>
            <w:noWrap/>
            <w:vAlign w:val="center"/>
            <w:hideMark/>
          </w:tcPr>
          <w:p w14:paraId="5DF7273E" w14:textId="77777777" w:rsidR="002D328F" w:rsidRPr="00C935BD" w:rsidRDefault="002D328F" w:rsidP="00443141">
            <w:pPr>
              <w:spacing w:after="0"/>
              <w:jc w:val="center"/>
              <w:rPr>
                <w:rFonts w:ascii="Times New Roman" w:hAnsi="Times New Roman"/>
                <w:color w:val="000000"/>
                <w:szCs w:val="20"/>
                <w:lang w:eastAsia="es-DO"/>
              </w:rPr>
            </w:pPr>
            <w:r w:rsidRPr="00C935BD">
              <w:rPr>
                <w:rFonts w:ascii="Times New Roman" w:hAnsi="Times New Roman"/>
                <w:color w:val="000000"/>
                <w:szCs w:val="20"/>
                <w:lang w:eastAsia="es-DO"/>
              </w:rPr>
              <w:t>Tas.</w:t>
            </w:r>
          </w:p>
        </w:tc>
        <w:tc>
          <w:tcPr>
            <w:tcW w:w="1530" w:type="dxa"/>
            <w:tcBorders>
              <w:top w:val="nil"/>
              <w:left w:val="nil"/>
              <w:bottom w:val="single" w:sz="4" w:space="0" w:color="auto"/>
              <w:right w:val="single" w:sz="8" w:space="0" w:color="auto"/>
            </w:tcBorders>
            <w:shd w:val="clear" w:color="auto" w:fill="auto"/>
            <w:noWrap/>
            <w:vAlign w:val="center"/>
            <w:hideMark/>
          </w:tcPr>
          <w:p w14:paraId="174A46F0" w14:textId="77777777" w:rsidR="002D328F" w:rsidRPr="00C935BD" w:rsidRDefault="002D328F" w:rsidP="00443141">
            <w:pPr>
              <w:spacing w:after="0"/>
              <w:jc w:val="right"/>
              <w:rPr>
                <w:rFonts w:ascii="Times New Roman" w:hAnsi="Times New Roman"/>
                <w:color w:val="000000"/>
                <w:szCs w:val="20"/>
                <w:lang w:eastAsia="es-DO"/>
              </w:rPr>
            </w:pPr>
            <w:r w:rsidRPr="00C935BD">
              <w:rPr>
                <w:rFonts w:ascii="Times New Roman" w:hAnsi="Times New Roman"/>
                <w:color w:val="000000"/>
                <w:szCs w:val="20"/>
                <w:lang w:eastAsia="es-DO"/>
              </w:rPr>
              <w:t>4,504,000.00</w:t>
            </w:r>
          </w:p>
        </w:tc>
      </w:tr>
      <w:tr w:rsidR="002D328F" w:rsidRPr="00C935BD" w14:paraId="4900CE5A" w14:textId="77777777" w:rsidTr="00D823BB">
        <w:trPr>
          <w:trHeight w:val="56"/>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14:paraId="0F177789" w14:textId="77777777" w:rsidR="002D328F" w:rsidRPr="00C935BD" w:rsidRDefault="002D328F" w:rsidP="00443141">
            <w:pPr>
              <w:spacing w:after="0"/>
              <w:jc w:val="center"/>
              <w:rPr>
                <w:rFonts w:ascii="Times New Roman" w:hAnsi="Times New Roman"/>
                <w:b/>
                <w:color w:val="000000"/>
                <w:szCs w:val="20"/>
                <w:lang w:eastAsia="es-DO"/>
              </w:rPr>
            </w:pPr>
          </w:p>
        </w:tc>
        <w:tc>
          <w:tcPr>
            <w:tcW w:w="5186" w:type="dxa"/>
            <w:tcBorders>
              <w:top w:val="nil"/>
              <w:left w:val="nil"/>
              <w:bottom w:val="single" w:sz="4" w:space="0" w:color="auto"/>
              <w:right w:val="single" w:sz="4" w:space="0" w:color="auto"/>
            </w:tcBorders>
            <w:shd w:val="clear" w:color="auto" w:fill="auto"/>
            <w:noWrap/>
            <w:vAlign w:val="bottom"/>
            <w:hideMark/>
          </w:tcPr>
          <w:p w14:paraId="12517A4B" w14:textId="51CE8D51" w:rsidR="002D328F" w:rsidRPr="00C935BD" w:rsidRDefault="002D328F" w:rsidP="00D823BB">
            <w:pPr>
              <w:spacing w:after="0"/>
              <w:rPr>
                <w:rFonts w:ascii="Times New Roman" w:hAnsi="Times New Roman"/>
                <w:color w:val="000000"/>
                <w:szCs w:val="20"/>
                <w:lang w:eastAsia="es-DO"/>
              </w:rPr>
            </w:pPr>
            <w:r w:rsidRPr="00C935BD">
              <w:rPr>
                <w:rFonts w:ascii="Times New Roman" w:hAnsi="Times New Roman"/>
                <w:color w:val="000000"/>
                <w:szCs w:val="20"/>
                <w:lang w:eastAsia="es-DO"/>
              </w:rPr>
              <w:t xml:space="preserve">Costa norte </w:t>
            </w:r>
          </w:p>
        </w:tc>
        <w:tc>
          <w:tcPr>
            <w:tcW w:w="1134" w:type="dxa"/>
            <w:tcBorders>
              <w:top w:val="nil"/>
              <w:left w:val="nil"/>
              <w:bottom w:val="single" w:sz="4" w:space="0" w:color="auto"/>
              <w:right w:val="single" w:sz="4" w:space="0" w:color="auto"/>
            </w:tcBorders>
            <w:shd w:val="clear" w:color="auto" w:fill="auto"/>
            <w:noWrap/>
            <w:vAlign w:val="center"/>
            <w:hideMark/>
          </w:tcPr>
          <w:p w14:paraId="5ACD5993" w14:textId="77777777" w:rsidR="002D328F" w:rsidRPr="00C935BD" w:rsidRDefault="002D328F" w:rsidP="00443141">
            <w:pPr>
              <w:spacing w:after="0"/>
              <w:jc w:val="center"/>
              <w:rPr>
                <w:rFonts w:ascii="Times New Roman" w:hAnsi="Times New Roman"/>
                <w:color w:val="000000"/>
                <w:szCs w:val="20"/>
                <w:lang w:eastAsia="es-DO"/>
              </w:rPr>
            </w:pPr>
            <w:r w:rsidRPr="00C935BD">
              <w:rPr>
                <w:rFonts w:ascii="Times New Roman" w:hAnsi="Times New Roman"/>
                <w:color w:val="000000"/>
                <w:szCs w:val="20"/>
                <w:lang w:eastAsia="es-DO"/>
              </w:rPr>
              <w:t>2,000</w:t>
            </w:r>
          </w:p>
        </w:tc>
        <w:tc>
          <w:tcPr>
            <w:tcW w:w="993" w:type="dxa"/>
            <w:tcBorders>
              <w:top w:val="nil"/>
              <w:left w:val="nil"/>
              <w:bottom w:val="single" w:sz="4" w:space="0" w:color="auto"/>
              <w:right w:val="single" w:sz="4" w:space="0" w:color="auto"/>
            </w:tcBorders>
            <w:shd w:val="clear" w:color="auto" w:fill="auto"/>
            <w:noWrap/>
            <w:vAlign w:val="center"/>
            <w:hideMark/>
          </w:tcPr>
          <w:p w14:paraId="12F23D70" w14:textId="77777777" w:rsidR="002D328F" w:rsidRPr="00C935BD" w:rsidRDefault="002D328F" w:rsidP="00443141">
            <w:pPr>
              <w:spacing w:after="0"/>
              <w:jc w:val="center"/>
              <w:rPr>
                <w:rFonts w:ascii="Times New Roman" w:hAnsi="Times New Roman"/>
                <w:color w:val="000000"/>
                <w:szCs w:val="20"/>
                <w:lang w:eastAsia="es-DO"/>
              </w:rPr>
            </w:pPr>
            <w:r w:rsidRPr="00C935BD">
              <w:rPr>
                <w:rFonts w:ascii="Times New Roman" w:hAnsi="Times New Roman"/>
                <w:color w:val="000000"/>
                <w:szCs w:val="20"/>
                <w:lang w:eastAsia="es-DO"/>
              </w:rPr>
              <w:t>Tas.</w:t>
            </w:r>
          </w:p>
        </w:tc>
        <w:tc>
          <w:tcPr>
            <w:tcW w:w="1530" w:type="dxa"/>
            <w:tcBorders>
              <w:top w:val="nil"/>
              <w:left w:val="nil"/>
              <w:bottom w:val="single" w:sz="4" w:space="0" w:color="auto"/>
              <w:right w:val="single" w:sz="8" w:space="0" w:color="auto"/>
            </w:tcBorders>
            <w:shd w:val="clear" w:color="auto" w:fill="auto"/>
            <w:noWrap/>
            <w:vAlign w:val="center"/>
            <w:hideMark/>
          </w:tcPr>
          <w:p w14:paraId="10B69F0F" w14:textId="77777777" w:rsidR="002D328F" w:rsidRPr="00C935BD" w:rsidRDefault="002D328F" w:rsidP="00443141">
            <w:pPr>
              <w:spacing w:after="0"/>
              <w:jc w:val="right"/>
              <w:rPr>
                <w:rFonts w:ascii="Times New Roman" w:hAnsi="Times New Roman"/>
                <w:color w:val="000000"/>
                <w:szCs w:val="20"/>
                <w:lang w:eastAsia="es-DO"/>
              </w:rPr>
            </w:pPr>
            <w:r w:rsidRPr="00C935BD">
              <w:rPr>
                <w:rFonts w:ascii="Times New Roman" w:hAnsi="Times New Roman"/>
                <w:color w:val="000000"/>
                <w:szCs w:val="20"/>
                <w:lang w:eastAsia="es-DO"/>
              </w:rPr>
              <w:t>112,600.00</w:t>
            </w:r>
          </w:p>
        </w:tc>
      </w:tr>
      <w:tr w:rsidR="002D328F" w:rsidRPr="00C935BD" w14:paraId="17321243" w14:textId="77777777" w:rsidTr="00D823BB">
        <w:trPr>
          <w:trHeight w:val="56"/>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14:paraId="3EF92C9C" w14:textId="77777777" w:rsidR="002D328F" w:rsidRPr="00C935BD" w:rsidRDefault="002D328F" w:rsidP="00443141">
            <w:pPr>
              <w:spacing w:after="0"/>
              <w:jc w:val="center"/>
              <w:rPr>
                <w:rFonts w:ascii="Times New Roman" w:hAnsi="Times New Roman"/>
                <w:b/>
                <w:color w:val="000000"/>
                <w:szCs w:val="20"/>
                <w:lang w:eastAsia="es-DO"/>
              </w:rPr>
            </w:pPr>
          </w:p>
        </w:tc>
        <w:tc>
          <w:tcPr>
            <w:tcW w:w="5186" w:type="dxa"/>
            <w:tcBorders>
              <w:top w:val="nil"/>
              <w:left w:val="nil"/>
              <w:bottom w:val="single" w:sz="4" w:space="0" w:color="auto"/>
              <w:right w:val="single" w:sz="4" w:space="0" w:color="auto"/>
            </w:tcBorders>
            <w:shd w:val="clear" w:color="auto" w:fill="auto"/>
            <w:noWrap/>
            <w:vAlign w:val="bottom"/>
            <w:hideMark/>
          </w:tcPr>
          <w:p w14:paraId="7831354F" w14:textId="5370AA19" w:rsidR="002D328F" w:rsidRPr="00C935BD" w:rsidRDefault="002D328F" w:rsidP="00D823BB">
            <w:pPr>
              <w:spacing w:after="0"/>
              <w:rPr>
                <w:rFonts w:ascii="Times New Roman" w:hAnsi="Times New Roman"/>
                <w:color w:val="000000"/>
                <w:szCs w:val="20"/>
                <w:lang w:eastAsia="es-DO"/>
              </w:rPr>
            </w:pPr>
            <w:r w:rsidRPr="00C935BD">
              <w:rPr>
                <w:rFonts w:ascii="Times New Roman" w:hAnsi="Times New Roman"/>
                <w:color w:val="000000"/>
                <w:szCs w:val="20"/>
                <w:lang w:eastAsia="es-DO"/>
              </w:rPr>
              <w:t xml:space="preserve">Zona sur </w:t>
            </w:r>
          </w:p>
        </w:tc>
        <w:tc>
          <w:tcPr>
            <w:tcW w:w="1134" w:type="dxa"/>
            <w:tcBorders>
              <w:top w:val="nil"/>
              <w:left w:val="nil"/>
              <w:bottom w:val="single" w:sz="4" w:space="0" w:color="auto"/>
              <w:right w:val="single" w:sz="4" w:space="0" w:color="auto"/>
            </w:tcBorders>
            <w:shd w:val="clear" w:color="auto" w:fill="auto"/>
            <w:noWrap/>
            <w:vAlign w:val="center"/>
            <w:hideMark/>
          </w:tcPr>
          <w:p w14:paraId="12D71356" w14:textId="77777777" w:rsidR="002D328F" w:rsidRPr="00C935BD" w:rsidRDefault="002D328F" w:rsidP="00443141">
            <w:pPr>
              <w:spacing w:after="0"/>
              <w:jc w:val="center"/>
              <w:rPr>
                <w:rFonts w:ascii="Times New Roman" w:hAnsi="Times New Roman"/>
                <w:color w:val="000000"/>
                <w:szCs w:val="20"/>
                <w:lang w:eastAsia="es-DO"/>
              </w:rPr>
            </w:pPr>
            <w:r w:rsidRPr="00C935BD">
              <w:rPr>
                <w:rFonts w:ascii="Times New Roman" w:hAnsi="Times New Roman"/>
                <w:color w:val="000000"/>
                <w:szCs w:val="20"/>
                <w:lang w:eastAsia="es-DO"/>
              </w:rPr>
              <w:t>2,000</w:t>
            </w:r>
          </w:p>
        </w:tc>
        <w:tc>
          <w:tcPr>
            <w:tcW w:w="993" w:type="dxa"/>
            <w:tcBorders>
              <w:top w:val="nil"/>
              <w:left w:val="nil"/>
              <w:bottom w:val="single" w:sz="4" w:space="0" w:color="auto"/>
              <w:right w:val="single" w:sz="4" w:space="0" w:color="auto"/>
            </w:tcBorders>
            <w:shd w:val="clear" w:color="auto" w:fill="auto"/>
            <w:noWrap/>
            <w:vAlign w:val="center"/>
            <w:hideMark/>
          </w:tcPr>
          <w:p w14:paraId="600D72A0" w14:textId="77777777" w:rsidR="002D328F" w:rsidRPr="00C935BD" w:rsidRDefault="002D328F" w:rsidP="00443141">
            <w:pPr>
              <w:spacing w:after="0"/>
              <w:jc w:val="center"/>
              <w:rPr>
                <w:rFonts w:ascii="Times New Roman" w:hAnsi="Times New Roman"/>
                <w:color w:val="000000"/>
                <w:szCs w:val="20"/>
                <w:lang w:eastAsia="es-DO"/>
              </w:rPr>
            </w:pPr>
            <w:r w:rsidRPr="00C935BD">
              <w:rPr>
                <w:rFonts w:ascii="Times New Roman" w:hAnsi="Times New Roman"/>
                <w:color w:val="000000"/>
                <w:szCs w:val="20"/>
                <w:lang w:eastAsia="es-DO"/>
              </w:rPr>
              <w:t>Tas.</w:t>
            </w:r>
          </w:p>
        </w:tc>
        <w:tc>
          <w:tcPr>
            <w:tcW w:w="1530" w:type="dxa"/>
            <w:tcBorders>
              <w:top w:val="nil"/>
              <w:left w:val="nil"/>
              <w:bottom w:val="single" w:sz="4" w:space="0" w:color="auto"/>
              <w:right w:val="single" w:sz="8" w:space="0" w:color="auto"/>
            </w:tcBorders>
            <w:shd w:val="clear" w:color="auto" w:fill="auto"/>
            <w:noWrap/>
            <w:vAlign w:val="center"/>
            <w:hideMark/>
          </w:tcPr>
          <w:p w14:paraId="59CFE286" w14:textId="77777777" w:rsidR="002D328F" w:rsidRPr="00C935BD" w:rsidRDefault="002D328F" w:rsidP="00443141">
            <w:pPr>
              <w:spacing w:after="0"/>
              <w:jc w:val="right"/>
              <w:rPr>
                <w:rFonts w:ascii="Times New Roman" w:hAnsi="Times New Roman"/>
                <w:color w:val="000000"/>
                <w:szCs w:val="20"/>
                <w:lang w:eastAsia="es-DO"/>
              </w:rPr>
            </w:pPr>
            <w:r w:rsidRPr="00C935BD">
              <w:rPr>
                <w:rFonts w:ascii="Times New Roman" w:hAnsi="Times New Roman"/>
                <w:color w:val="000000"/>
                <w:szCs w:val="20"/>
                <w:lang w:eastAsia="es-DO"/>
              </w:rPr>
              <w:t>112,600.00</w:t>
            </w:r>
          </w:p>
        </w:tc>
      </w:tr>
      <w:tr w:rsidR="002D328F" w:rsidRPr="00C935BD" w14:paraId="690EE2E4" w14:textId="77777777" w:rsidTr="00D823BB">
        <w:trPr>
          <w:trHeight w:val="56"/>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14:paraId="76F3572C" w14:textId="77777777" w:rsidR="002D328F" w:rsidRPr="00C935BD" w:rsidRDefault="002D328F" w:rsidP="00443141">
            <w:pPr>
              <w:spacing w:after="0"/>
              <w:jc w:val="center"/>
              <w:rPr>
                <w:rFonts w:ascii="Times New Roman" w:hAnsi="Times New Roman"/>
                <w:b/>
                <w:color w:val="000000"/>
                <w:szCs w:val="20"/>
                <w:lang w:eastAsia="es-DO"/>
              </w:rPr>
            </w:pPr>
          </w:p>
        </w:tc>
        <w:tc>
          <w:tcPr>
            <w:tcW w:w="5186" w:type="dxa"/>
            <w:tcBorders>
              <w:top w:val="nil"/>
              <w:left w:val="nil"/>
              <w:bottom w:val="single" w:sz="4" w:space="0" w:color="auto"/>
              <w:right w:val="single" w:sz="4" w:space="0" w:color="auto"/>
            </w:tcBorders>
            <w:shd w:val="clear" w:color="auto" w:fill="auto"/>
            <w:noWrap/>
            <w:vAlign w:val="bottom"/>
            <w:hideMark/>
          </w:tcPr>
          <w:p w14:paraId="70643415" w14:textId="77777777" w:rsidR="002D328F" w:rsidRPr="00C935BD" w:rsidRDefault="002D328F" w:rsidP="00443141">
            <w:pPr>
              <w:spacing w:after="0"/>
              <w:rPr>
                <w:rFonts w:ascii="Times New Roman" w:hAnsi="Times New Roman"/>
                <w:b/>
                <w:bCs/>
                <w:color w:val="000000"/>
                <w:szCs w:val="20"/>
                <w:lang w:eastAsia="es-DO"/>
              </w:rPr>
            </w:pPr>
            <w:r w:rsidRPr="00C935BD">
              <w:rPr>
                <w:rFonts w:ascii="Times New Roman" w:hAnsi="Times New Roman"/>
                <w:b/>
                <w:bCs/>
                <w:color w:val="000000"/>
                <w:szCs w:val="20"/>
                <w:lang w:eastAsia="es-DO"/>
              </w:rPr>
              <w:t>Sub-total de tareas</w:t>
            </w:r>
          </w:p>
        </w:tc>
        <w:tc>
          <w:tcPr>
            <w:tcW w:w="1134" w:type="dxa"/>
            <w:tcBorders>
              <w:top w:val="nil"/>
              <w:left w:val="nil"/>
              <w:bottom w:val="single" w:sz="4" w:space="0" w:color="auto"/>
              <w:right w:val="single" w:sz="4" w:space="0" w:color="auto"/>
            </w:tcBorders>
            <w:shd w:val="clear" w:color="auto" w:fill="auto"/>
            <w:noWrap/>
            <w:vAlign w:val="center"/>
            <w:hideMark/>
          </w:tcPr>
          <w:p w14:paraId="4F2F08A2" w14:textId="77777777" w:rsidR="002D328F" w:rsidRPr="00C935BD" w:rsidRDefault="002D328F" w:rsidP="00443141">
            <w:pPr>
              <w:spacing w:after="0"/>
              <w:jc w:val="center"/>
              <w:rPr>
                <w:rFonts w:ascii="Times New Roman" w:hAnsi="Times New Roman"/>
                <w:b/>
                <w:i/>
                <w:color w:val="000000"/>
                <w:szCs w:val="20"/>
                <w:lang w:eastAsia="es-DO"/>
              </w:rPr>
            </w:pPr>
            <w:r w:rsidRPr="00C935BD">
              <w:rPr>
                <w:rFonts w:ascii="Times New Roman" w:hAnsi="Times New Roman"/>
                <w:b/>
                <w:i/>
                <w:color w:val="000000"/>
                <w:szCs w:val="20"/>
                <w:lang w:eastAsia="es-DO"/>
              </w:rPr>
              <w:t>12,000</w:t>
            </w:r>
          </w:p>
        </w:tc>
        <w:tc>
          <w:tcPr>
            <w:tcW w:w="993" w:type="dxa"/>
            <w:tcBorders>
              <w:top w:val="nil"/>
              <w:left w:val="nil"/>
              <w:bottom w:val="single" w:sz="4" w:space="0" w:color="auto"/>
              <w:right w:val="single" w:sz="4" w:space="0" w:color="auto"/>
            </w:tcBorders>
            <w:shd w:val="clear" w:color="auto" w:fill="auto"/>
            <w:noWrap/>
            <w:vAlign w:val="center"/>
            <w:hideMark/>
          </w:tcPr>
          <w:p w14:paraId="5A6B0432" w14:textId="77777777" w:rsidR="002D328F" w:rsidRPr="00C935BD" w:rsidRDefault="002D328F" w:rsidP="00443141">
            <w:pPr>
              <w:spacing w:after="0"/>
              <w:jc w:val="center"/>
              <w:rPr>
                <w:rFonts w:ascii="Times New Roman" w:hAnsi="Times New Roman"/>
                <w:color w:val="000000"/>
                <w:szCs w:val="20"/>
                <w:lang w:eastAsia="es-DO"/>
              </w:rPr>
            </w:pPr>
          </w:p>
        </w:tc>
        <w:tc>
          <w:tcPr>
            <w:tcW w:w="1530" w:type="dxa"/>
            <w:tcBorders>
              <w:top w:val="nil"/>
              <w:left w:val="nil"/>
              <w:bottom w:val="single" w:sz="4" w:space="0" w:color="auto"/>
              <w:right w:val="single" w:sz="8" w:space="0" w:color="auto"/>
            </w:tcBorders>
            <w:shd w:val="clear" w:color="auto" w:fill="auto"/>
            <w:noWrap/>
            <w:vAlign w:val="center"/>
            <w:hideMark/>
          </w:tcPr>
          <w:p w14:paraId="71D73B67" w14:textId="77777777" w:rsidR="002D328F" w:rsidRPr="00C935BD" w:rsidRDefault="002D328F" w:rsidP="00443141">
            <w:pPr>
              <w:spacing w:after="0"/>
              <w:jc w:val="right"/>
              <w:rPr>
                <w:rFonts w:ascii="Times New Roman" w:hAnsi="Times New Roman"/>
                <w:color w:val="000000"/>
                <w:szCs w:val="20"/>
                <w:lang w:eastAsia="es-DO"/>
              </w:rPr>
            </w:pPr>
          </w:p>
        </w:tc>
      </w:tr>
      <w:tr w:rsidR="002D328F" w:rsidRPr="00C935BD" w14:paraId="3D558302" w14:textId="77777777" w:rsidTr="00D823BB">
        <w:trPr>
          <w:trHeight w:val="56"/>
        </w:trPr>
        <w:tc>
          <w:tcPr>
            <w:tcW w:w="710" w:type="dxa"/>
            <w:tcBorders>
              <w:top w:val="nil"/>
              <w:left w:val="single" w:sz="8" w:space="0" w:color="auto"/>
              <w:bottom w:val="single" w:sz="4" w:space="0" w:color="auto"/>
              <w:right w:val="single" w:sz="4" w:space="0" w:color="auto"/>
            </w:tcBorders>
            <w:shd w:val="clear" w:color="auto" w:fill="auto"/>
            <w:noWrap/>
            <w:vAlign w:val="center"/>
          </w:tcPr>
          <w:p w14:paraId="52412539" w14:textId="1EF5648D" w:rsidR="002D328F" w:rsidRPr="00C935BD" w:rsidRDefault="002D328F" w:rsidP="002D328F">
            <w:pPr>
              <w:spacing w:after="0"/>
              <w:jc w:val="center"/>
              <w:rPr>
                <w:rFonts w:ascii="Times New Roman" w:hAnsi="Times New Roman"/>
                <w:b/>
                <w:color w:val="000000"/>
                <w:szCs w:val="20"/>
                <w:lang w:eastAsia="es-DO"/>
              </w:rPr>
            </w:pPr>
            <w:r w:rsidRPr="00C935BD">
              <w:rPr>
                <w:rFonts w:ascii="Times New Roman" w:hAnsi="Times New Roman"/>
                <w:b/>
                <w:color w:val="000000"/>
                <w:szCs w:val="20"/>
                <w:lang w:eastAsia="es-DO"/>
              </w:rPr>
              <w:t>3</w:t>
            </w:r>
          </w:p>
        </w:tc>
        <w:tc>
          <w:tcPr>
            <w:tcW w:w="8843" w:type="dxa"/>
            <w:gridSpan w:val="4"/>
            <w:tcBorders>
              <w:top w:val="nil"/>
              <w:left w:val="nil"/>
              <w:bottom w:val="single" w:sz="4" w:space="0" w:color="auto"/>
              <w:right w:val="single" w:sz="8" w:space="0" w:color="auto"/>
            </w:tcBorders>
            <w:shd w:val="clear" w:color="auto" w:fill="808080" w:themeFill="background1" w:themeFillShade="80"/>
            <w:noWrap/>
            <w:vAlign w:val="bottom"/>
          </w:tcPr>
          <w:p w14:paraId="55085FF1" w14:textId="5668928B" w:rsidR="002D328F" w:rsidRPr="00C935BD" w:rsidRDefault="002D328F" w:rsidP="002D328F">
            <w:pPr>
              <w:spacing w:after="0"/>
              <w:rPr>
                <w:rFonts w:ascii="Times New Roman" w:hAnsi="Times New Roman"/>
                <w:b/>
                <w:color w:val="000000"/>
                <w:szCs w:val="20"/>
                <w:lang w:eastAsia="es-DO"/>
              </w:rPr>
            </w:pPr>
            <w:r w:rsidRPr="00C935BD">
              <w:rPr>
                <w:rFonts w:ascii="Times New Roman" w:hAnsi="Times New Roman"/>
                <w:b/>
                <w:color w:val="FFFFFF" w:themeColor="background1"/>
                <w:szCs w:val="20"/>
                <w:lang w:eastAsia="es-DO"/>
              </w:rPr>
              <w:t>Entrega de fertilizantes, pesticidas y alambres</w:t>
            </w:r>
          </w:p>
        </w:tc>
      </w:tr>
      <w:tr w:rsidR="002D328F" w:rsidRPr="00C935BD" w14:paraId="00BE3C9A" w14:textId="77777777" w:rsidTr="00D823BB">
        <w:trPr>
          <w:trHeight w:val="56"/>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14:paraId="2FFD9EB6" w14:textId="77777777" w:rsidR="002D328F" w:rsidRPr="00C935BD" w:rsidRDefault="002D328F" w:rsidP="002D328F">
            <w:pPr>
              <w:spacing w:after="0"/>
              <w:jc w:val="center"/>
              <w:rPr>
                <w:rFonts w:ascii="Times New Roman" w:hAnsi="Times New Roman"/>
                <w:b/>
                <w:color w:val="000000"/>
                <w:szCs w:val="20"/>
                <w:lang w:eastAsia="es-DO"/>
              </w:rPr>
            </w:pPr>
          </w:p>
        </w:tc>
        <w:tc>
          <w:tcPr>
            <w:tcW w:w="5186" w:type="dxa"/>
            <w:tcBorders>
              <w:top w:val="nil"/>
              <w:left w:val="nil"/>
              <w:bottom w:val="single" w:sz="4" w:space="0" w:color="auto"/>
              <w:right w:val="single" w:sz="4" w:space="0" w:color="auto"/>
            </w:tcBorders>
            <w:shd w:val="clear" w:color="auto" w:fill="auto"/>
            <w:noWrap/>
            <w:vAlign w:val="bottom"/>
            <w:hideMark/>
          </w:tcPr>
          <w:p w14:paraId="2FBE77B9" w14:textId="77777777" w:rsidR="002D328F" w:rsidRPr="00C935BD" w:rsidRDefault="002D328F" w:rsidP="002D328F">
            <w:pPr>
              <w:spacing w:after="0"/>
              <w:rPr>
                <w:rFonts w:ascii="Times New Roman" w:hAnsi="Times New Roman"/>
                <w:color w:val="000000"/>
                <w:szCs w:val="20"/>
                <w:lang w:eastAsia="es-DO"/>
              </w:rPr>
            </w:pPr>
            <w:r w:rsidRPr="00C935BD">
              <w:rPr>
                <w:rFonts w:ascii="Times New Roman" w:hAnsi="Times New Roman"/>
                <w:color w:val="000000"/>
                <w:szCs w:val="20"/>
                <w:lang w:eastAsia="es-DO"/>
              </w:rPr>
              <w:t>Fertilizantes</w:t>
            </w:r>
          </w:p>
        </w:tc>
        <w:tc>
          <w:tcPr>
            <w:tcW w:w="1134" w:type="dxa"/>
            <w:tcBorders>
              <w:top w:val="nil"/>
              <w:left w:val="nil"/>
              <w:bottom w:val="single" w:sz="4" w:space="0" w:color="auto"/>
              <w:right w:val="single" w:sz="4" w:space="0" w:color="auto"/>
            </w:tcBorders>
            <w:shd w:val="clear" w:color="auto" w:fill="auto"/>
            <w:noWrap/>
            <w:vAlign w:val="center"/>
            <w:hideMark/>
          </w:tcPr>
          <w:p w14:paraId="3903B240" w14:textId="77777777" w:rsidR="002D328F" w:rsidRPr="00C935BD" w:rsidRDefault="002D328F" w:rsidP="002D328F">
            <w:pPr>
              <w:spacing w:after="0"/>
              <w:jc w:val="center"/>
              <w:rPr>
                <w:rFonts w:ascii="Times New Roman" w:hAnsi="Times New Roman"/>
                <w:color w:val="000000"/>
                <w:szCs w:val="20"/>
                <w:lang w:eastAsia="es-DO"/>
              </w:rPr>
            </w:pPr>
            <w:r w:rsidRPr="00C935BD">
              <w:rPr>
                <w:rFonts w:ascii="Times New Roman" w:hAnsi="Times New Roman"/>
                <w:color w:val="000000"/>
                <w:szCs w:val="20"/>
                <w:lang w:eastAsia="es-DO"/>
              </w:rPr>
              <w:t>999</w:t>
            </w:r>
          </w:p>
        </w:tc>
        <w:tc>
          <w:tcPr>
            <w:tcW w:w="993" w:type="dxa"/>
            <w:tcBorders>
              <w:top w:val="nil"/>
              <w:left w:val="nil"/>
              <w:bottom w:val="single" w:sz="4" w:space="0" w:color="auto"/>
              <w:right w:val="single" w:sz="4" w:space="0" w:color="auto"/>
            </w:tcBorders>
            <w:shd w:val="clear" w:color="auto" w:fill="auto"/>
            <w:noWrap/>
            <w:vAlign w:val="center"/>
            <w:hideMark/>
          </w:tcPr>
          <w:p w14:paraId="5DDA0402" w14:textId="77777777" w:rsidR="002D328F" w:rsidRPr="00C935BD" w:rsidRDefault="002D328F" w:rsidP="002D328F">
            <w:pPr>
              <w:spacing w:after="0"/>
              <w:jc w:val="center"/>
              <w:rPr>
                <w:rFonts w:ascii="Times New Roman" w:hAnsi="Times New Roman"/>
                <w:color w:val="000000"/>
                <w:szCs w:val="20"/>
                <w:lang w:eastAsia="es-DO"/>
              </w:rPr>
            </w:pPr>
            <w:r w:rsidRPr="00C935BD">
              <w:rPr>
                <w:rFonts w:ascii="Times New Roman" w:hAnsi="Times New Roman"/>
                <w:color w:val="000000"/>
                <w:szCs w:val="20"/>
                <w:lang w:eastAsia="es-DO"/>
              </w:rPr>
              <w:t>Qqs.</w:t>
            </w:r>
          </w:p>
        </w:tc>
        <w:tc>
          <w:tcPr>
            <w:tcW w:w="1530" w:type="dxa"/>
            <w:tcBorders>
              <w:top w:val="nil"/>
              <w:left w:val="nil"/>
              <w:bottom w:val="single" w:sz="4" w:space="0" w:color="auto"/>
              <w:right w:val="single" w:sz="8" w:space="0" w:color="auto"/>
            </w:tcBorders>
            <w:shd w:val="clear" w:color="auto" w:fill="auto"/>
            <w:noWrap/>
            <w:vAlign w:val="center"/>
            <w:hideMark/>
          </w:tcPr>
          <w:p w14:paraId="0885669D" w14:textId="77777777" w:rsidR="002D328F" w:rsidRPr="00C935BD" w:rsidRDefault="002D328F" w:rsidP="002D328F">
            <w:pPr>
              <w:spacing w:after="0"/>
              <w:jc w:val="right"/>
              <w:rPr>
                <w:rFonts w:ascii="Times New Roman" w:hAnsi="Times New Roman"/>
                <w:color w:val="000000"/>
                <w:szCs w:val="20"/>
                <w:lang w:eastAsia="es-DO"/>
              </w:rPr>
            </w:pPr>
            <w:r w:rsidRPr="00C935BD">
              <w:rPr>
                <w:rFonts w:ascii="Times New Roman" w:hAnsi="Times New Roman"/>
                <w:color w:val="000000"/>
                <w:szCs w:val="20"/>
                <w:lang w:eastAsia="es-DO"/>
              </w:rPr>
              <w:t>198,900.00</w:t>
            </w:r>
          </w:p>
        </w:tc>
      </w:tr>
      <w:tr w:rsidR="002D328F" w:rsidRPr="00C935BD" w14:paraId="01FE14A7" w14:textId="77777777" w:rsidTr="00D823BB">
        <w:trPr>
          <w:trHeight w:val="56"/>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14:paraId="1D278FD4" w14:textId="77777777" w:rsidR="002D328F" w:rsidRPr="00C935BD" w:rsidRDefault="002D328F" w:rsidP="002D328F">
            <w:pPr>
              <w:spacing w:after="0"/>
              <w:jc w:val="center"/>
              <w:rPr>
                <w:rFonts w:ascii="Times New Roman" w:hAnsi="Times New Roman"/>
                <w:b/>
                <w:color w:val="000000"/>
                <w:szCs w:val="20"/>
                <w:lang w:eastAsia="es-DO"/>
              </w:rPr>
            </w:pPr>
          </w:p>
        </w:tc>
        <w:tc>
          <w:tcPr>
            <w:tcW w:w="5186" w:type="dxa"/>
            <w:tcBorders>
              <w:top w:val="nil"/>
              <w:left w:val="nil"/>
              <w:bottom w:val="single" w:sz="4" w:space="0" w:color="auto"/>
              <w:right w:val="single" w:sz="4" w:space="0" w:color="auto"/>
            </w:tcBorders>
            <w:shd w:val="clear" w:color="auto" w:fill="auto"/>
            <w:noWrap/>
            <w:vAlign w:val="bottom"/>
            <w:hideMark/>
          </w:tcPr>
          <w:p w14:paraId="11C56E1E" w14:textId="77777777" w:rsidR="002D328F" w:rsidRPr="00C935BD" w:rsidRDefault="002D328F" w:rsidP="002D328F">
            <w:pPr>
              <w:spacing w:after="0"/>
              <w:rPr>
                <w:rFonts w:ascii="Times New Roman" w:hAnsi="Times New Roman"/>
                <w:color w:val="000000"/>
                <w:szCs w:val="20"/>
                <w:lang w:eastAsia="es-DO"/>
              </w:rPr>
            </w:pPr>
            <w:r w:rsidRPr="00C935BD">
              <w:rPr>
                <w:rFonts w:ascii="Times New Roman" w:hAnsi="Times New Roman"/>
                <w:color w:val="000000"/>
                <w:szCs w:val="20"/>
                <w:lang w:eastAsia="es-DO"/>
              </w:rPr>
              <w:t>Pesticidas</w:t>
            </w:r>
          </w:p>
        </w:tc>
        <w:tc>
          <w:tcPr>
            <w:tcW w:w="1134" w:type="dxa"/>
            <w:tcBorders>
              <w:top w:val="nil"/>
              <w:left w:val="nil"/>
              <w:bottom w:val="single" w:sz="4" w:space="0" w:color="auto"/>
              <w:right w:val="single" w:sz="4" w:space="0" w:color="auto"/>
            </w:tcBorders>
            <w:shd w:val="clear" w:color="auto" w:fill="auto"/>
            <w:noWrap/>
            <w:vAlign w:val="center"/>
            <w:hideMark/>
          </w:tcPr>
          <w:p w14:paraId="5E1E396B" w14:textId="77777777" w:rsidR="002D328F" w:rsidRPr="00C935BD" w:rsidRDefault="002D328F" w:rsidP="002D328F">
            <w:pPr>
              <w:spacing w:after="0"/>
              <w:jc w:val="center"/>
              <w:rPr>
                <w:rFonts w:ascii="Times New Roman" w:hAnsi="Times New Roman"/>
                <w:color w:val="000000"/>
                <w:szCs w:val="20"/>
                <w:lang w:eastAsia="es-DO"/>
              </w:rPr>
            </w:pPr>
            <w:r w:rsidRPr="00C935BD">
              <w:rPr>
                <w:rFonts w:ascii="Times New Roman" w:hAnsi="Times New Roman"/>
                <w:color w:val="000000"/>
                <w:szCs w:val="20"/>
                <w:lang w:eastAsia="es-DO"/>
              </w:rPr>
              <w:t>330</w:t>
            </w:r>
          </w:p>
        </w:tc>
        <w:tc>
          <w:tcPr>
            <w:tcW w:w="993" w:type="dxa"/>
            <w:tcBorders>
              <w:top w:val="nil"/>
              <w:left w:val="nil"/>
              <w:bottom w:val="single" w:sz="4" w:space="0" w:color="auto"/>
              <w:right w:val="single" w:sz="4" w:space="0" w:color="auto"/>
            </w:tcBorders>
            <w:shd w:val="clear" w:color="auto" w:fill="auto"/>
            <w:noWrap/>
            <w:vAlign w:val="center"/>
            <w:hideMark/>
          </w:tcPr>
          <w:p w14:paraId="488DAF20" w14:textId="77777777" w:rsidR="002D328F" w:rsidRPr="00C935BD" w:rsidRDefault="002D328F" w:rsidP="002D328F">
            <w:pPr>
              <w:spacing w:after="0"/>
              <w:jc w:val="center"/>
              <w:rPr>
                <w:rFonts w:ascii="Times New Roman" w:hAnsi="Times New Roman"/>
                <w:color w:val="000000"/>
                <w:szCs w:val="20"/>
                <w:lang w:eastAsia="es-DO"/>
              </w:rPr>
            </w:pPr>
            <w:r w:rsidRPr="00C935BD">
              <w:rPr>
                <w:rFonts w:ascii="Times New Roman" w:hAnsi="Times New Roman"/>
                <w:color w:val="000000"/>
                <w:szCs w:val="20"/>
                <w:lang w:eastAsia="es-DO"/>
              </w:rPr>
              <w:t>Lts.</w:t>
            </w:r>
          </w:p>
        </w:tc>
        <w:tc>
          <w:tcPr>
            <w:tcW w:w="1530" w:type="dxa"/>
            <w:tcBorders>
              <w:top w:val="nil"/>
              <w:left w:val="nil"/>
              <w:bottom w:val="single" w:sz="4" w:space="0" w:color="auto"/>
              <w:right w:val="single" w:sz="8" w:space="0" w:color="auto"/>
            </w:tcBorders>
            <w:shd w:val="clear" w:color="auto" w:fill="auto"/>
            <w:noWrap/>
            <w:vAlign w:val="center"/>
            <w:hideMark/>
          </w:tcPr>
          <w:p w14:paraId="31BEDBAC" w14:textId="77777777" w:rsidR="002D328F" w:rsidRPr="00C935BD" w:rsidRDefault="002D328F" w:rsidP="002D328F">
            <w:pPr>
              <w:spacing w:after="0"/>
              <w:jc w:val="right"/>
              <w:rPr>
                <w:rFonts w:ascii="Times New Roman" w:hAnsi="Times New Roman"/>
                <w:color w:val="000000"/>
                <w:szCs w:val="20"/>
                <w:lang w:eastAsia="es-DO"/>
              </w:rPr>
            </w:pPr>
            <w:r w:rsidRPr="00C935BD">
              <w:rPr>
                <w:rFonts w:ascii="Times New Roman" w:hAnsi="Times New Roman"/>
                <w:color w:val="000000"/>
                <w:szCs w:val="20"/>
                <w:lang w:eastAsia="es-DO"/>
              </w:rPr>
              <w:t>181,500.00</w:t>
            </w:r>
          </w:p>
        </w:tc>
      </w:tr>
      <w:tr w:rsidR="002D328F" w:rsidRPr="00C935BD" w14:paraId="20B31DEC" w14:textId="77777777" w:rsidTr="00D823BB">
        <w:trPr>
          <w:trHeight w:val="56"/>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14:paraId="0B6B02DE" w14:textId="77777777" w:rsidR="002D328F" w:rsidRPr="00C935BD" w:rsidRDefault="002D328F" w:rsidP="002D328F">
            <w:pPr>
              <w:spacing w:after="0"/>
              <w:jc w:val="center"/>
              <w:rPr>
                <w:rFonts w:ascii="Times New Roman" w:hAnsi="Times New Roman"/>
                <w:b/>
                <w:color w:val="000000"/>
                <w:szCs w:val="20"/>
                <w:lang w:eastAsia="es-DO"/>
              </w:rPr>
            </w:pPr>
          </w:p>
        </w:tc>
        <w:tc>
          <w:tcPr>
            <w:tcW w:w="5186" w:type="dxa"/>
            <w:tcBorders>
              <w:top w:val="nil"/>
              <w:left w:val="nil"/>
              <w:bottom w:val="single" w:sz="4" w:space="0" w:color="auto"/>
              <w:right w:val="single" w:sz="4" w:space="0" w:color="auto"/>
            </w:tcBorders>
            <w:shd w:val="clear" w:color="auto" w:fill="auto"/>
            <w:noWrap/>
            <w:vAlign w:val="bottom"/>
            <w:hideMark/>
          </w:tcPr>
          <w:p w14:paraId="2359BAF8" w14:textId="77777777" w:rsidR="002D328F" w:rsidRPr="00C935BD" w:rsidRDefault="002D328F" w:rsidP="002D328F">
            <w:pPr>
              <w:spacing w:after="0"/>
              <w:rPr>
                <w:rFonts w:ascii="Times New Roman" w:hAnsi="Times New Roman"/>
                <w:color w:val="000000"/>
                <w:szCs w:val="20"/>
                <w:lang w:eastAsia="es-DO"/>
              </w:rPr>
            </w:pPr>
            <w:r w:rsidRPr="00C935BD">
              <w:rPr>
                <w:rFonts w:ascii="Times New Roman" w:hAnsi="Times New Roman"/>
                <w:color w:val="000000"/>
                <w:szCs w:val="20"/>
                <w:lang w:eastAsia="es-DO"/>
              </w:rPr>
              <w:t>Alambres</w:t>
            </w:r>
          </w:p>
        </w:tc>
        <w:tc>
          <w:tcPr>
            <w:tcW w:w="1134" w:type="dxa"/>
            <w:tcBorders>
              <w:top w:val="nil"/>
              <w:left w:val="nil"/>
              <w:bottom w:val="single" w:sz="4" w:space="0" w:color="auto"/>
              <w:right w:val="single" w:sz="4" w:space="0" w:color="auto"/>
            </w:tcBorders>
            <w:shd w:val="clear" w:color="auto" w:fill="auto"/>
            <w:noWrap/>
            <w:vAlign w:val="center"/>
            <w:hideMark/>
          </w:tcPr>
          <w:p w14:paraId="44668F08" w14:textId="080C83D9" w:rsidR="002D328F" w:rsidRPr="00C935BD" w:rsidRDefault="00D823BB" w:rsidP="00D823BB">
            <w:pPr>
              <w:spacing w:after="0"/>
              <w:jc w:val="center"/>
              <w:rPr>
                <w:rFonts w:ascii="Times New Roman" w:hAnsi="Times New Roman"/>
                <w:color w:val="000000"/>
                <w:szCs w:val="20"/>
                <w:lang w:eastAsia="es-DO"/>
              </w:rPr>
            </w:pPr>
            <w:r w:rsidRPr="00C935BD">
              <w:rPr>
                <w:rFonts w:ascii="Times New Roman" w:hAnsi="Times New Roman"/>
                <w:color w:val="000000"/>
                <w:szCs w:val="20"/>
                <w:lang w:eastAsia="es-DO"/>
              </w:rPr>
              <w:t>980</w:t>
            </w:r>
          </w:p>
        </w:tc>
        <w:tc>
          <w:tcPr>
            <w:tcW w:w="993" w:type="dxa"/>
            <w:tcBorders>
              <w:top w:val="nil"/>
              <w:left w:val="nil"/>
              <w:bottom w:val="single" w:sz="4" w:space="0" w:color="auto"/>
              <w:right w:val="single" w:sz="4" w:space="0" w:color="auto"/>
            </w:tcBorders>
            <w:shd w:val="clear" w:color="auto" w:fill="auto"/>
            <w:noWrap/>
            <w:vAlign w:val="center"/>
            <w:hideMark/>
          </w:tcPr>
          <w:p w14:paraId="2D89F36C" w14:textId="77777777" w:rsidR="002D328F" w:rsidRPr="00C935BD" w:rsidRDefault="002D328F" w:rsidP="002D328F">
            <w:pPr>
              <w:spacing w:after="0"/>
              <w:jc w:val="center"/>
              <w:rPr>
                <w:rFonts w:ascii="Times New Roman" w:hAnsi="Times New Roman"/>
                <w:color w:val="000000"/>
                <w:szCs w:val="20"/>
                <w:lang w:eastAsia="es-DO"/>
              </w:rPr>
            </w:pPr>
            <w:r w:rsidRPr="00C935BD">
              <w:rPr>
                <w:rFonts w:ascii="Times New Roman" w:hAnsi="Times New Roman"/>
                <w:color w:val="000000"/>
                <w:szCs w:val="20"/>
                <w:lang w:eastAsia="es-DO"/>
              </w:rPr>
              <w:t>Rollos</w:t>
            </w:r>
          </w:p>
        </w:tc>
        <w:tc>
          <w:tcPr>
            <w:tcW w:w="1530" w:type="dxa"/>
            <w:tcBorders>
              <w:top w:val="nil"/>
              <w:left w:val="nil"/>
              <w:bottom w:val="single" w:sz="4" w:space="0" w:color="auto"/>
              <w:right w:val="single" w:sz="8" w:space="0" w:color="auto"/>
            </w:tcBorders>
            <w:shd w:val="clear" w:color="auto" w:fill="auto"/>
            <w:noWrap/>
            <w:vAlign w:val="center"/>
            <w:hideMark/>
          </w:tcPr>
          <w:p w14:paraId="2741C1C3" w14:textId="77777777" w:rsidR="002D328F" w:rsidRPr="00C935BD" w:rsidRDefault="002D328F" w:rsidP="002D328F">
            <w:pPr>
              <w:spacing w:after="0"/>
              <w:jc w:val="right"/>
              <w:rPr>
                <w:rFonts w:ascii="Times New Roman" w:hAnsi="Times New Roman"/>
                <w:color w:val="000000"/>
                <w:szCs w:val="20"/>
                <w:lang w:eastAsia="es-DO"/>
              </w:rPr>
            </w:pPr>
            <w:r w:rsidRPr="00C935BD">
              <w:rPr>
                <w:rFonts w:ascii="Times New Roman" w:hAnsi="Times New Roman"/>
                <w:color w:val="000000"/>
                <w:szCs w:val="20"/>
                <w:lang w:eastAsia="es-DO"/>
              </w:rPr>
              <w:t>550,000.00</w:t>
            </w:r>
          </w:p>
        </w:tc>
      </w:tr>
      <w:tr w:rsidR="002D328F" w:rsidRPr="00C935BD" w14:paraId="0BD6B1E8" w14:textId="77777777" w:rsidTr="00D823BB">
        <w:trPr>
          <w:trHeight w:val="56"/>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14:paraId="128FB689" w14:textId="77777777" w:rsidR="002D328F" w:rsidRPr="00C935BD" w:rsidRDefault="002D328F" w:rsidP="002D328F">
            <w:pPr>
              <w:spacing w:after="0"/>
              <w:jc w:val="center"/>
              <w:rPr>
                <w:rFonts w:ascii="Times New Roman" w:hAnsi="Times New Roman"/>
                <w:b/>
                <w:color w:val="000000"/>
                <w:szCs w:val="20"/>
                <w:lang w:eastAsia="es-DO"/>
              </w:rPr>
            </w:pPr>
            <w:r w:rsidRPr="00C935BD">
              <w:rPr>
                <w:rFonts w:ascii="Times New Roman" w:hAnsi="Times New Roman"/>
                <w:b/>
                <w:color w:val="000000"/>
                <w:szCs w:val="20"/>
                <w:lang w:eastAsia="es-DO"/>
              </w:rPr>
              <w:t>4</w:t>
            </w:r>
          </w:p>
        </w:tc>
        <w:tc>
          <w:tcPr>
            <w:tcW w:w="5186" w:type="dxa"/>
            <w:tcBorders>
              <w:top w:val="nil"/>
              <w:left w:val="nil"/>
              <w:bottom w:val="single" w:sz="4" w:space="0" w:color="auto"/>
              <w:right w:val="single" w:sz="4" w:space="0" w:color="auto"/>
            </w:tcBorders>
            <w:shd w:val="clear" w:color="auto" w:fill="auto"/>
            <w:noWrap/>
            <w:vAlign w:val="bottom"/>
            <w:hideMark/>
          </w:tcPr>
          <w:p w14:paraId="2E5A6A68" w14:textId="79229E89" w:rsidR="002D328F" w:rsidRPr="00C935BD" w:rsidRDefault="002D328F" w:rsidP="00D823BB">
            <w:pPr>
              <w:spacing w:after="0"/>
              <w:rPr>
                <w:rFonts w:ascii="Times New Roman" w:hAnsi="Times New Roman"/>
                <w:color w:val="000000"/>
                <w:szCs w:val="20"/>
                <w:lang w:eastAsia="es-DO"/>
              </w:rPr>
            </w:pPr>
            <w:r w:rsidRPr="00C935BD">
              <w:rPr>
                <w:rFonts w:ascii="Times New Roman" w:hAnsi="Times New Roman"/>
                <w:color w:val="000000"/>
                <w:szCs w:val="20"/>
                <w:lang w:eastAsia="es-DO"/>
              </w:rPr>
              <w:t>Entrega de pacas</w:t>
            </w:r>
          </w:p>
        </w:tc>
        <w:tc>
          <w:tcPr>
            <w:tcW w:w="1134" w:type="dxa"/>
            <w:tcBorders>
              <w:top w:val="nil"/>
              <w:left w:val="nil"/>
              <w:bottom w:val="single" w:sz="4" w:space="0" w:color="auto"/>
              <w:right w:val="single" w:sz="4" w:space="0" w:color="auto"/>
            </w:tcBorders>
            <w:shd w:val="clear" w:color="auto" w:fill="auto"/>
            <w:noWrap/>
            <w:vAlign w:val="center"/>
            <w:hideMark/>
          </w:tcPr>
          <w:p w14:paraId="5DB0D9F1" w14:textId="77777777" w:rsidR="002D328F" w:rsidRPr="00C935BD" w:rsidRDefault="002D328F" w:rsidP="002D328F">
            <w:pPr>
              <w:spacing w:after="0"/>
              <w:jc w:val="center"/>
              <w:rPr>
                <w:rFonts w:ascii="Times New Roman" w:hAnsi="Times New Roman"/>
                <w:color w:val="000000"/>
                <w:szCs w:val="20"/>
                <w:lang w:eastAsia="es-DO"/>
              </w:rPr>
            </w:pPr>
            <w:r w:rsidRPr="00C935BD">
              <w:rPr>
                <w:rFonts w:ascii="Times New Roman" w:hAnsi="Times New Roman"/>
                <w:color w:val="000000"/>
                <w:szCs w:val="20"/>
                <w:lang w:eastAsia="es-DO"/>
              </w:rPr>
              <w:t>107,252</w:t>
            </w:r>
          </w:p>
        </w:tc>
        <w:tc>
          <w:tcPr>
            <w:tcW w:w="993" w:type="dxa"/>
            <w:tcBorders>
              <w:top w:val="nil"/>
              <w:left w:val="nil"/>
              <w:bottom w:val="single" w:sz="4" w:space="0" w:color="auto"/>
              <w:right w:val="single" w:sz="4" w:space="0" w:color="auto"/>
            </w:tcBorders>
            <w:shd w:val="clear" w:color="auto" w:fill="auto"/>
            <w:noWrap/>
            <w:vAlign w:val="center"/>
            <w:hideMark/>
          </w:tcPr>
          <w:p w14:paraId="64A5DB4C" w14:textId="77777777" w:rsidR="002D328F" w:rsidRPr="00C935BD" w:rsidRDefault="002D328F" w:rsidP="002D328F">
            <w:pPr>
              <w:spacing w:after="0"/>
              <w:jc w:val="center"/>
              <w:rPr>
                <w:rFonts w:ascii="Times New Roman" w:hAnsi="Times New Roman"/>
                <w:color w:val="000000"/>
                <w:szCs w:val="20"/>
                <w:lang w:eastAsia="es-DO"/>
              </w:rPr>
            </w:pPr>
            <w:r w:rsidRPr="00C935BD">
              <w:rPr>
                <w:rFonts w:ascii="Times New Roman" w:hAnsi="Times New Roman"/>
                <w:color w:val="000000"/>
                <w:szCs w:val="20"/>
                <w:lang w:eastAsia="es-DO"/>
              </w:rPr>
              <w:t>Pacas</w:t>
            </w:r>
          </w:p>
        </w:tc>
        <w:tc>
          <w:tcPr>
            <w:tcW w:w="1530" w:type="dxa"/>
            <w:tcBorders>
              <w:top w:val="nil"/>
              <w:left w:val="nil"/>
              <w:bottom w:val="single" w:sz="4" w:space="0" w:color="auto"/>
              <w:right w:val="single" w:sz="8" w:space="0" w:color="auto"/>
            </w:tcBorders>
            <w:shd w:val="clear" w:color="auto" w:fill="auto"/>
            <w:noWrap/>
            <w:vAlign w:val="center"/>
            <w:hideMark/>
          </w:tcPr>
          <w:p w14:paraId="6F402BA1" w14:textId="77777777" w:rsidR="002D328F" w:rsidRPr="00C935BD" w:rsidRDefault="002D328F" w:rsidP="002D328F">
            <w:pPr>
              <w:spacing w:after="0"/>
              <w:jc w:val="right"/>
              <w:rPr>
                <w:rFonts w:ascii="Times New Roman" w:hAnsi="Times New Roman"/>
                <w:color w:val="000000"/>
                <w:szCs w:val="20"/>
                <w:lang w:eastAsia="es-DO"/>
              </w:rPr>
            </w:pPr>
            <w:r w:rsidRPr="00C935BD">
              <w:rPr>
                <w:rFonts w:ascii="Times New Roman" w:hAnsi="Times New Roman"/>
                <w:color w:val="000000"/>
                <w:szCs w:val="20"/>
                <w:lang w:eastAsia="es-DO"/>
              </w:rPr>
              <w:t>8,043,900.00</w:t>
            </w:r>
          </w:p>
        </w:tc>
      </w:tr>
      <w:tr w:rsidR="002D328F" w:rsidRPr="002D328F" w14:paraId="5105FC3A" w14:textId="77777777" w:rsidTr="00D823BB">
        <w:trPr>
          <w:trHeight w:val="56"/>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14:paraId="4673D2D8" w14:textId="77777777" w:rsidR="002D328F" w:rsidRPr="00C935BD" w:rsidRDefault="002D328F" w:rsidP="002D328F">
            <w:pPr>
              <w:spacing w:after="0"/>
              <w:jc w:val="center"/>
              <w:rPr>
                <w:rFonts w:ascii="Times New Roman" w:hAnsi="Times New Roman"/>
                <w:b/>
                <w:color w:val="000000"/>
                <w:szCs w:val="20"/>
                <w:lang w:eastAsia="es-DO"/>
              </w:rPr>
            </w:pPr>
            <w:r w:rsidRPr="00C935BD">
              <w:rPr>
                <w:rFonts w:ascii="Times New Roman" w:hAnsi="Times New Roman"/>
                <w:b/>
                <w:color w:val="000000"/>
                <w:szCs w:val="20"/>
                <w:lang w:eastAsia="es-DO"/>
              </w:rPr>
              <w:t>5</w:t>
            </w:r>
          </w:p>
        </w:tc>
        <w:tc>
          <w:tcPr>
            <w:tcW w:w="5186" w:type="dxa"/>
            <w:tcBorders>
              <w:top w:val="nil"/>
              <w:left w:val="nil"/>
              <w:bottom w:val="single" w:sz="4" w:space="0" w:color="auto"/>
              <w:right w:val="single" w:sz="4" w:space="0" w:color="auto"/>
            </w:tcBorders>
            <w:shd w:val="clear" w:color="auto" w:fill="auto"/>
            <w:noWrap/>
            <w:vAlign w:val="bottom"/>
            <w:hideMark/>
          </w:tcPr>
          <w:p w14:paraId="646C7FD5" w14:textId="77777777" w:rsidR="002D328F" w:rsidRPr="00C935BD" w:rsidRDefault="002D328F" w:rsidP="002D328F">
            <w:pPr>
              <w:spacing w:after="0"/>
              <w:rPr>
                <w:rFonts w:ascii="Times New Roman" w:hAnsi="Times New Roman"/>
                <w:color w:val="000000"/>
                <w:szCs w:val="20"/>
                <w:lang w:eastAsia="es-DO"/>
              </w:rPr>
            </w:pPr>
            <w:r w:rsidRPr="00C935BD">
              <w:rPr>
                <w:rFonts w:ascii="Times New Roman" w:hAnsi="Times New Roman"/>
                <w:color w:val="000000"/>
                <w:szCs w:val="20"/>
                <w:lang w:eastAsia="es-DO"/>
              </w:rPr>
              <w:t>Entrega silos bolsas</w:t>
            </w:r>
          </w:p>
        </w:tc>
        <w:tc>
          <w:tcPr>
            <w:tcW w:w="1134" w:type="dxa"/>
            <w:tcBorders>
              <w:top w:val="nil"/>
              <w:left w:val="nil"/>
              <w:bottom w:val="single" w:sz="4" w:space="0" w:color="auto"/>
              <w:right w:val="single" w:sz="4" w:space="0" w:color="auto"/>
            </w:tcBorders>
            <w:shd w:val="clear" w:color="auto" w:fill="auto"/>
            <w:noWrap/>
            <w:vAlign w:val="center"/>
            <w:hideMark/>
          </w:tcPr>
          <w:p w14:paraId="317106A4" w14:textId="357B2AB6" w:rsidR="002D328F" w:rsidRPr="00C935BD" w:rsidRDefault="002D328F" w:rsidP="002D328F">
            <w:pPr>
              <w:spacing w:after="0"/>
              <w:jc w:val="center"/>
              <w:rPr>
                <w:rFonts w:ascii="Times New Roman" w:hAnsi="Times New Roman"/>
                <w:color w:val="000000"/>
                <w:szCs w:val="20"/>
                <w:lang w:eastAsia="es-DO"/>
              </w:rPr>
            </w:pPr>
            <w:r w:rsidRPr="00C935BD">
              <w:rPr>
                <w:rFonts w:ascii="Times New Roman" w:hAnsi="Times New Roman"/>
                <w:color w:val="000000"/>
                <w:szCs w:val="20"/>
                <w:lang w:eastAsia="es-DO"/>
              </w:rPr>
              <w:t>6</w:t>
            </w:r>
            <w:r w:rsidR="00D823BB" w:rsidRPr="00C935BD">
              <w:rPr>
                <w:rFonts w:ascii="Times New Roman" w:hAnsi="Times New Roman"/>
                <w:color w:val="000000"/>
                <w:szCs w:val="20"/>
                <w:lang w:eastAsia="es-DO"/>
              </w:rPr>
              <w:t>,</w:t>
            </w:r>
            <w:r w:rsidRPr="00C935BD">
              <w:rPr>
                <w:rFonts w:ascii="Times New Roman" w:hAnsi="Times New Roman"/>
                <w:color w:val="000000"/>
                <w:szCs w:val="20"/>
                <w:lang w:eastAsia="es-DO"/>
              </w:rPr>
              <w:t>444</w:t>
            </w:r>
          </w:p>
        </w:tc>
        <w:tc>
          <w:tcPr>
            <w:tcW w:w="993" w:type="dxa"/>
            <w:tcBorders>
              <w:top w:val="nil"/>
              <w:left w:val="nil"/>
              <w:bottom w:val="single" w:sz="4" w:space="0" w:color="auto"/>
              <w:right w:val="single" w:sz="4" w:space="0" w:color="auto"/>
            </w:tcBorders>
            <w:shd w:val="clear" w:color="auto" w:fill="auto"/>
            <w:noWrap/>
            <w:vAlign w:val="center"/>
            <w:hideMark/>
          </w:tcPr>
          <w:p w14:paraId="58188982" w14:textId="77777777" w:rsidR="002D328F" w:rsidRPr="00C935BD" w:rsidRDefault="002D328F" w:rsidP="002D328F">
            <w:pPr>
              <w:spacing w:after="0"/>
              <w:jc w:val="center"/>
              <w:rPr>
                <w:rFonts w:ascii="Times New Roman" w:hAnsi="Times New Roman"/>
                <w:color w:val="000000"/>
                <w:szCs w:val="20"/>
                <w:lang w:eastAsia="es-DO"/>
              </w:rPr>
            </w:pPr>
            <w:r w:rsidRPr="00C935BD">
              <w:rPr>
                <w:rFonts w:ascii="Times New Roman" w:hAnsi="Times New Roman"/>
                <w:color w:val="000000"/>
                <w:szCs w:val="20"/>
                <w:lang w:eastAsia="es-DO"/>
              </w:rPr>
              <w:t>Fundas</w:t>
            </w:r>
          </w:p>
        </w:tc>
        <w:tc>
          <w:tcPr>
            <w:tcW w:w="1530" w:type="dxa"/>
            <w:tcBorders>
              <w:top w:val="nil"/>
              <w:left w:val="nil"/>
              <w:bottom w:val="single" w:sz="4" w:space="0" w:color="auto"/>
              <w:right w:val="single" w:sz="8" w:space="0" w:color="auto"/>
            </w:tcBorders>
            <w:shd w:val="clear" w:color="auto" w:fill="auto"/>
            <w:noWrap/>
            <w:vAlign w:val="center"/>
            <w:hideMark/>
          </w:tcPr>
          <w:p w14:paraId="43FCB704" w14:textId="77777777" w:rsidR="002D328F" w:rsidRPr="00C935BD" w:rsidRDefault="002D328F" w:rsidP="002D328F">
            <w:pPr>
              <w:spacing w:after="0"/>
              <w:jc w:val="right"/>
              <w:rPr>
                <w:rFonts w:ascii="Times New Roman" w:hAnsi="Times New Roman"/>
                <w:color w:val="000000"/>
                <w:szCs w:val="20"/>
                <w:lang w:eastAsia="es-DO"/>
              </w:rPr>
            </w:pPr>
            <w:r w:rsidRPr="00C935BD">
              <w:rPr>
                <w:rFonts w:ascii="Times New Roman" w:hAnsi="Times New Roman"/>
                <w:color w:val="000000"/>
                <w:szCs w:val="20"/>
                <w:lang w:eastAsia="es-DO"/>
              </w:rPr>
              <w:t>1,933,200.00</w:t>
            </w:r>
          </w:p>
        </w:tc>
      </w:tr>
      <w:tr w:rsidR="002D328F" w:rsidRPr="002D328F" w14:paraId="0C7D3980" w14:textId="77777777" w:rsidTr="00D823BB">
        <w:trPr>
          <w:trHeight w:val="56"/>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14:paraId="6DAA2CDC" w14:textId="77777777" w:rsidR="002D328F" w:rsidRPr="002D328F" w:rsidRDefault="002D328F" w:rsidP="002D328F">
            <w:pPr>
              <w:spacing w:after="0"/>
              <w:jc w:val="center"/>
              <w:rPr>
                <w:rFonts w:ascii="Times New Roman" w:hAnsi="Times New Roman"/>
                <w:b/>
                <w:color w:val="000000"/>
                <w:szCs w:val="20"/>
                <w:lang w:eastAsia="es-DO"/>
              </w:rPr>
            </w:pPr>
            <w:r w:rsidRPr="002D328F">
              <w:rPr>
                <w:rFonts w:ascii="Times New Roman" w:hAnsi="Times New Roman"/>
                <w:b/>
                <w:color w:val="000000"/>
                <w:szCs w:val="20"/>
                <w:lang w:eastAsia="es-DO"/>
              </w:rPr>
              <w:t>6</w:t>
            </w:r>
          </w:p>
        </w:tc>
        <w:tc>
          <w:tcPr>
            <w:tcW w:w="5186" w:type="dxa"/>
            <w:tcBorders>
              <w:top w:val="nil"/>
              <w:left w:val="nil"/>
              <w:bottom w:val="single" w:sz="4" w:space="0" w:color="auto"/>
              <w:right w:val="single" w:sz="4" w:space="0" w:color="auto"/>
            </w:tcBorders>
            <w:shd w:val="clear" w:color="auto" w:fill="auto"/>
            <w:noWrap/>
            <w:vAlign w:val="bottom"/>
            <w:hideMark/>
          </w:tcPr>
          <w:p w14:paraId="3487F46D" w14:textId="77777777" w:rsidR="002D328F" w:rsidRPr="004245EB" w:rsidRDefault="002D328F" w:rsidP="002D328F">
            <w:pPr>
              <w:spacing w:after="0"/>
              <w:rPr>
                <w:rFonts w:ascii="Times New Roman" w:hAnsi="Times New Roman"/>
                <w:color w:val="000000"/>
                <w:szCs w:val="20"/>
                <w:lang w:eastAsia="es-DO"/>
              </w:rPr>
            </w:pPr>
            <w:r w:rsidRPr="004245EB">
              <w:rPr>
                <w:rFonts w:ascii="Times New Roman" w:hAnsi="Times New Roman"/>
                <w:color w:val="000000"/>
                <w:szCs w:val="20"/>
                <w:lang w:eastAsia="es-DO"/>
              </w:rPr>
              <w:t>Entrega de afrecho incluyendo el transporte</w:t>
            </w:r>
            <w:r w:rsidRPr="004245EB">
              <w:rPr>
                <w:rStyle w:val="Refdenotaalpie"/>
                <w:rFonts w:ascii="Times New Roman" w:hAnsi="Times New Roman"/>
                <w:color w:val="000000"/>
                <w:szCs w:val="20"/>
                <w:lang w:eastAsia="es-DO"/>
              </w:rPr>
              <w:footnoteReference w:id="27"/>
            </w:r>
          </w:p>
        </w:tc>
        <w:tc>
          <w:tcPr>
            <w:tcW w:w="1134" w:type="dxa"/>
            <w:tcBorders>
              <w:top w:val="nil"/>
              <w:left w:val="nil"/>
              <w:bottom w:val="single" w:sz="4" w:space="0" w:color="auto"/>
              <w:right w:val="single" w:sz="4" w:space="0" w:color="auto"/>
            </w:tcBorders>
            <w:shd w:val="clear" w:color="auto" w:fill="auto"/>
            <w:noWrap/>
            <w:vAlign w:val="center"/>
            <w:hideMark/>
          </w:tcPr>
          <w:p w14:paraId="5EB8C0DA" w14:textId="77777777" w:rsidR="002D328F" w:rsidRPr="004245EB" w:rsidRDefault="002D328F" w:rsidP="002D328F">
            <w:pPr>
              <w:spacing w:after="0"/>
              <w:jc w:val="center"/>
              <w:rPr>
                <w:rFonts w:ascii="Times New Roman" w:hAnsi="Times New Roman"/>
                <w:color w:val="000000"/>
                <w:szCs w:val="20"/>
                <w:lang w:eastAsia="es-DO"/>
              </w:rPr>
            </w:pPr>
            <w:r w:rsidRPr="004245EB">
              <w:rPr>
                <w:rFonts w:ascii="Times New Roman" w:hAnsi="Times New Roman"/>
                <w:color w:val="000000"/>
                <w:szCs w:val="20"/>
                <w:lang w:eastAsia="es-DO"/>
              </w:rPr>
              <w:t>40,000</w:t>
            </w:r>
          </w:p>
        </w:tc>
        <w:tc>
          <w:tcPr>
            <w:tcW w:w="993" w:type="dxa"/>
            <w:tcBorders>
              <w:top w:val="nil"/>
              <w:left w:val="nil"/>
              <w:bottom w:val="single" w:sz="4" w:space="0" w:color="auto"/>
              <w:right w:val="single" w:sz="4" w:space="0" w:color="auto"/>
            </w:tcBorders>
            <w:shd w:val="clear" w:color="auto" w:fill="auto"/>
            <w:noWrap/>
            <w:vAlign w:val="center"/>
            <w:hideMark/>
          </w:tcPr>
          <w:p w14:paraId="70CB616E" w14:textId="77777777" w:rsidR="002D328F" w:rsidRPr="004245EB" w:rsidRDefault="002D328F" w:rsidP="002D328F">
            <w:pPr>
              <w:spacing w:after="0"/>
              <w:jc w:val="center"/>
              <w:rPr>
                <w:rFonts w:ascii="Times New Roman" w:hAnsi="Times New Roman"/>
                <w:color w:val="000000"/>
                <w:szCs w:val="20"/>
                <w:lang w:eastAsia="es-DO"/>
              </w:rPr>
            </w:pPr>
            <w:r w:rsidRPr="004245EB">
              <w:rPr>
                <w:rFonts w:ascii="Times New Roman" w:hAnsi="Times New Roman"/>
                <w:color w:val="000000"/>
                <w:szCs w:val="20"/>
                <w:lang w:eastAsia="es-DO"/>
              </w:rPr>
              <w:t>Qqs.</w:t>
            </w:r>
          </w:p>
        </w:tc>
        <w:tc>
          <w:tcPr>
            <w:tcW w:w="1530" w:type="dxa"/>
            <w:tcBorders>
              <w:top w:val="nil"/>
              <w:left w:val="nil"/>
              <w:bottom w:val="single" w:sz="4" w:space="0" w:color="auto"/>
              <w:right w:val="single" w:sz="8" w:space="0" w:color="auto"/>
            </w:tcBorders>
            <w:shd w:val="clear" w:color="auto" w:fill="auto"/>
            <w:noWrap/>
            <w:vAlign w:val="center"/>
            <w:hideMark/>
          </w:tcPr>
          <w:p w14:paraId="685B2A93" w14:textId="77777777" w:rsidR="002D328F" w:rsidRPr="004245EB" w:rsidRDefault="002D328F" w:rsidP="002D328F">
            <w:pPr>
              <w:spacing w:after="0"/>
              <w:jc w:val="right"/>
              <w:rPr>
                <w:rFonts w:ascii="Times New Roman" w:hAnsi="Times New Roman"/>
                <w:color w:val="000000"/>
                <w:szCs w:val="20"/>
                <w:lang w:eastAsia="es-DO"/>
              </w:rPr>
            </w:pPr>
            <w:r w:rsidRPr="004245EB">
              <w:rPr>
                <w:rFonts w:ascii="Times New Roman" w:hAnsi="Times New Roman"/>
                <w:color w:val="000000"/>
                <w:szCs w:val="20"/>
                <w:lang w:eastAsia="es-DO"/>
              </w:rPr>
              <w:t>22,400,000.00</w:t>
            </w:r>
          </w:p>
        </w:tc>
      </w:tr>
      <w:tr w:rsidR="002D328F" w:rsidRPr="002D328F" w14:paraId="239021DC" w14:textId="77777777" w:rsidTr="00D823BB">
        <w:trPr>
          <w:trHeight w:val="56"/>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14:paraId="3B138CC9" w14:textId="77777777" w:rsidR="002D328F" w:rsidRPr="002D328F" w:rsidRDefault="002D328F" w:rsidP="002D328F">
            <w:pPr>
              <w:spacing w:after="0"/>
              <w:jc w:val="center"/>
              <w:rPr>
                <w:rFonts w:ascii="Times New Roman" w:hAnsi="Times New Roman"/>
                <w:b/>
                <w:color w:val="000000"/>
                <w:szCs w:val="20"/>
                <w:lang w:eastAsia="es-DO"/>
              </w:rPr>
            </w:pPr>
            <w:r w:rsidRPr="002D328F">
              <w:rPr>
                <w:rFonts w:ascii="Times New Roman" w:hAnsi="Times New Roman"/>
                <w:b/>
                <w:color w:val="000000"/>
                <w:szCs w:val="20"/>
                <w:lang w:eastAsia="es-DO"/>
              </w:rPr>
              <w:t>7</w:t>
            </w:r>
          </w:p>
        </w:tc>
        <w:tc>
          <w:tcPr>
            <w:tcW w:w="5186" w:type="dxa"/>
            <w:tcBorders>
              <w:top w:val="nil"/>
              <w:left w:val="nil"/>
              <w:bottom w:val="single" w:sz="4" w:space="0" w:color="auto"/>
              <w:right w:val="single" w:sz="4" w:space="0" w:color="auto"/>
            </w:tcBorders>
            <w:shd w:val="clear" w:color="auto" w:fill="auto"/>
            <w:noWrap/>
            <w:vAlign w:val="bottom"/>
            <w:hideMark/>
          </w:tcPr>
          <w:p w14:paraId="780CD814" w14:textId="77777777" w:rsidR="002D328F" w:rsidRPr="004245EB" w:rsidRDefault="002D328F" w:rsidP="002D328F">
            <w:pPr>
              <w:spacing w:after="0"/>
              <w:rPr>
                <w:rFonts w:ascii="Times New Roman" w:hAnsi="Times New Roman"/>
                <w:color w:val="000000"/>
                <w:szCs w:val="20"/>
                <w:lang w:eastAsia="es-DO"/>
              </w:rPr>
            </w:pPr>
            <w:r w:rsidRPr="004245EB">
              <w:rPr>
                <w:rFonts w:ascii="Times New Roman" w:hAnsi="Times New Roman"/>
                <w:color w:val="000000"/>
                <w:szCs w:val="20"/>
                <w:lang w:eastAsia="es-DO"/>
              </w:rPr>
              <w:t>Entrega de camionadas de cañas por CONALECHE</w:t>
            </w:r>
          </w:p>
        </w:tc>
        <w:tc>
          <w:tcPr>
            <w:tcW w:w="1134" w:type="dxa"/>
            <w:tcBorders>
              <w:top w:val="nil"/>
              <w:left w:val="nil"/>
              <w:bottom w:val="single" w:sz="4" w:space="0" w:color="auto"/>
              <w:right w:val="single" w:sz="4" w:space="0" w:color="auto"/>
            </w:tcBorders>
            <w:shd w:val="clear" w:color="auto" w:fill="auto"/>
            <w:noWrap/>
            <w:vAlign w:val="center"/>
            <w:hideMark/>
          </w:tcPr>
          <w:p w14:paraId="1FCA6809" w14:textId="77777777" w:rsidR="002D328F" w:rsidRPr="004245EB" w:rsidRDefault="002D328F" w:rsidP="002D328F">
            <w:pPr>
              <w:spacing w:after="0"/>
              <w:jc w:val="center"/>
              <w:rPr>
                <w:rFonts w:ascii="Times New Roman" w:hAnsi="Times New Roman"/>
                <w:color w:val="000000"/>
                <w:szCs w:val="20"/>
                <w:lang w:eastAsia="es-DO"/>
              </w:rPr>
            </w:pPr>
            <w:r w:rsidRPr="004245EB">
              <w:rPr>
                <w:rFonts w:ascii="Times New Roman" w:hAnsi="Times New Roman"/>
                <w:color w:val="000000"/>
                <w:szCs w:val="20"/>
                <w:lang w:eastAsia="es-DO"/>
              </w:rPr>
              <w:t>63</w:t>
            </w:r>
          </w:p>
        </w:tc>
        <w:tc>
          <w:tcPr>
            <w:tcW w:w="993" w:type="dxa"/>
            <w:tcBorders>
              <w:top w:val="nil"/>
              <w:left w:val="nil"/>
              <w:bottom w:val="single" w:sz="4" w:space="0" w:color="auto"/>
              <w:right w:val="single" w:sz="4" w:space="0" w:color="auto"/>
            </w:tcBorders>
            <w:shd w:val="clear" w:color="auto" w:fill="auto"/>
            <w:noWrap/>
            <w:vAlign w:val="center"/>
            <w:hideMark/>
          </w:tcPr>
          <w:p w14:paraId="3305E2FC" w14:textId="77777777" w:rsidR="002D328F" w:rsidRPr="004245EB" w:rsidRDefault="002D328F" w:rsidP="002D328F">
            <w:pPr>
              <w:spacing w:after="0"/>
              <w:jc w:val="center"/>
              <w:rPr>
                <w:rFonts w:ascii="Times New Roman" w:hAnsi="Times New Roman"/>
                <w:color w:val="000000"/>
                <w:szCs w:val="20"/>
                <w:lang w:eastAsia="es-DO"/>
              </w:rPr>
            </w:pPr>
          </w:p>
        </w:tc>
        <w:tc>
          <w:tcPr>
            <w:tcW w:w="1530" w:type="dxa"/>
            <w:tcBorders>
              <w:top w:val="nil"/>
              <w:left w:val="nil"/>
              <w:bottom w:val="single" w:sz="4" w:space="0" w:color="auto"/>
              <w:right w:val="single" w:sz="8" w:space="0" w:color="auto"/>
            </w:tcBorders>
            <w:shd w:val="clear" w:color="auto" w:fill="auto"/>
            <w:noWrap/>
            <w:vAlign w:val="center"/>
            <w:hideMark/>
          </w:tcPr>
          <w:p w14:paraId="013D3112" w14:textId="77777777" w:rsidR="002D328F" w:rsidRPr="004245EB" w:rsidRDefault="002D328F" w:rsidP="002D328F">
            <w:pPr>
              <w:spacing w:after="0"/>
              <w:jc w:val="right"/>
              <w:rPr>
                <w:rFonts w:ascii="Times New Roman" w:hAnsi="Times New Roman"/>
                <w:color w:val="000000"/>
                <w:szCs w:val="20"/>
                <w:lang w:eastAsia="es-DO"/>
              </w:rPr>
            </w:pPr>
            <w:r w:rsidRPr="004245EB">
              <w:rPr>
                <w:rFonts w:ascii="Times New Roman" w:hAnsi="Times New Roman"/>
                <w:color w:val="000000"/>
                <w:szCs w:val="20"/>
                <w:lang w:eastAsia="es-DO"/>
              </w:rPr>
              <w:t>126,000.00</w:t>
            </w:r>
          </w:p>
        </w:tc>
      </w:tr>
      <w:tr w:rsidR="006241A9" w:rsidRPr="002D328F" w14:paraId="0EAB46F3" w14:textId="77777777" w:rsidTr="006241A9">
        <w:trPr>
          <w:trHeight w:val="56"/>
        </w:trPr>
        <w:tc>
          <w:tcPr>
            <w:tcW w:w="8023" w:type="dxa"/>
            <w:gridSpan w:val="4"/>
            <w:tcBorders>
              <w:top w:val="nil"/>
              <w:left w:val="single" w:sz="8" w:space="0" w:color="auto"/>
              <w:bottom w:val="single" w:sz="8" w:space="0" w:color="auto"/>
              <w:right w:val="single" w:sz="4" w:space="0" w:color="auto"/>
            </w:tcBorders>
            <w:shd w:val="clear" w:color="auto" w:fill="808080" w:themeFill="background1" w:themeFillShade="80"/>
            <w:noWrap/>
            <w:vAlign w:val="bottom"/>
            <w:hideMark/>
          </w:tcPr>
          <w:p w14:paraId="216DD79E" w14:textId="62BF4708" w:rsidR="006241A9" w:rsidRPr="002D328F" w:rsidRDefault="006241A9" w:rsidP="006241A9">
            <w:pPr>
              <w:spacing w:after="0"/>
              <w:jc w:val="center"/>
              <w:rPr>
                <w:rFonts w:ascii="Times New Roman" w:hAnsi="Times New Roman"/>
                <w:b/>
                <w:bCs/>
                <w:color w:val="FFFFFF" w:themeColor="background1"/>
                <w:szCs w:val="20"/>
                <w:lang w:eastAsia="es-DO"/>
              </w:rPr>
            </w:pPr>
            <w:r w:rsidRPr="006241A9">
              <w:rPr>
                <w:rFonts w:ascii="Times New Roman" w:hAnsi="Times New Roman"/>
                <w:color w:val="FFFFFF" w:themeColor="background1"/>
                <w:szCs w:val="20"/>
                <w:lang w:eastAsia="es-DO"/>
              </w:rPr>
              <w:t>Total</w:t>
            </w:r>
          </w:p>
        </w:tc>
        <w:tc>
          <w:tcPr>
            <w:tcW w:w="1530" w:type="dxa"/>
            <w:tcBorders>
              <w:top w:val="nil"/>
              <w:left w:val="nil"/>
              <w:bottom w:val="single" w:sz="8" w:space="0" w:color="auto"/>
              <w:right w:val="single" w:sz="8" w:space="0" w:color="auto"/>
            </w:tcBorders>
            <w:shd w:val="clear" w:color="auto" w:fill="808080" w:themeFill="background1" w:themeFillShade="80"/>
            <w:noWrap/>
            <w:vAlign w:val="center"/>
            <w:hideMark/>
          </w:tcPr>
          <w:p w14:paraId="20FC6B40" w14:textId="68890F6D" w:rsidR="006241A9" w:rsidRPr="006241A9" w:rsidRDefault="006241A9" w:rsidP="002D328F">
            <w:pPr>
              <w:spacing w:after="0"/>
              <w:jc w:val="center"/>
              <w:rPr>
                <w:rFonts w:ascii="Times New Roman" w:hAnsi="Times New Roman"/>
                <w:bCs/>
                <w:color w:val="FFFFFF" w:themeColor="background1"/>
                <w:szCs w:val="20"/>
                <w:lang w:eastAsia="es-DO"/>
              </w:rPr>
            </w:pPr>
            <w:r w:rsidRPr="006241A9">
              <w:rPr>
                <w:rFonts w:ascii="Times New Roman" w:hAnsi="Times New Roman"/>
                <w:bCs/>
                <w:color w:val="FFFFFF" w:themeColor="background1"/>
                <w:szCs w:val="20"/>
                <w:lang w:eastAsia="es-DO"/>
              </w:rPr>
              <w:t xml:space="preserve">40,712,700.00 </w:t>
            </w:r>
          </w:p>
        </w:tc>
      </w:tr>
    </w:tbl>
    <w:p w14:paraId="2FB3C14C" w14:textId="35C344A8" w:rsidR="00AF7DE6" w:rsidRPr="00AF7DE6" w:rsidRDefault="00AF7DE6" w:rsidP="00A94E3B">
      <w:pPr>
        <w:spacing w:after="0" w:line="480" w:lineRule="auto"/>
        <w:ind w:firstLine="720"/>
        <w:jc w:val="both"/>
        <w:rPr>
          <w:rFonts w:ascii="Times New Roman" w:hAnsi="Times New Roman"/>
        </w:rPr>
      </w:pPr>
    </w:p>
    <w:p w14:paraId="66CCD8A3" w14:textId="09A46104" w:rsidR="00A94E3B" w:rsidRPr="00A94E3B" w:rsidRDefault="00E06897" w:rsidP="00954002">
      <w:pPr>
        <w:pStyle w:val="Ttulo2"/>
      </w:pPr>
      <w:bookmarkStart w:id="264" w:name="_Toc26292089"/>
      <w:bookmarkStart w:id="265" w:name="_Toc27146799"/>
      <w:r w:rsidRPr="004245EB">
        <w:lastRenderedPageBreak/>
        <w:t>c</w:t>
      </w:r>
      <w:r w:rsidR="00A94E3B" w:rsidRPr="004245EB">
        <w:t xml:space="preserve">) </w:t>
      </w:r>
      <w:r w:rsidR="00392CAF" w:rsidRPr="004245EB">
        <w:t>Comportamiento de las precipitaciones y vol</w:t>
      </w:r>
      <w:r w:rsidR="00DC18EA" w:rsidRPr="004245EB">
        <w:t>umen útil</w:t>
      </w:r>
      <w:r w:rsidR="00392CAF" w:rsidRPr="004245EB">
        <w:t xml:space="preserve"> en </w:t>
      </w:r>
      <w:r w:rsidR="00DC18EA" w:rsidRPr="004245EB">
        <w:t xml:space="preserve">los principales </w:t>
      </w:r>
      <w:r w:rsidR="00392CAF" w:rsidRPr="004245EB">
        <w:t>embalses a nivel nacion</w:t>
      </w:r>
      <w:bookmarkEnd w:id="264"/>
      <w:r w:rsidR="004245EB" w:rsidRPr="004245EB">
        <w:t>al</w:t>
      </w:r>
      <w:bookmarkEnd w:id="265"/>
    </w:p>
    <w:p w14:paraId="4B05F49D" w14:textId="77777777" w:rsidR="004245EB" w:rsidRDefault="004245EB" w:rsidP="00DC18EA">
      <w:pPr>
        <w:spacing w:after="0" w:line="480" w:lineRule="auto"/>
        <w:ind w:firstLine="720"/>
        <w:jc w:val="both"/>
        <w:rPr>
          <w:rFonts w:ascii="Times New Roman" w:hAnsi="Times New Roman"/>
          <w:highlight w:val="yellow"/>
          <w:lang w:val="es-ES_tradnl"/>
        </w:rPr>
      </w:pPr>
    </w:p>
    <w:p w14:paraId="066B53DB" w14:textId="77777777" w:rsidR="004245EB" w:rsidRPr="00DC18EA" w:rsidRDefault="004245EB" w:rsidP="004245EB">
      <w:pPr>
        <w:spacing w:after="0" w:line="480" w:lineRule="auto"/>
        <w:ind w:firstLine="720"/>
        <w:jc w:val="both"/>
        <w:rPr>
          <w:rFonts w:ascii="Times New Roman" w:hAnsi="Times New Roman"/>
          <w:lang w:val="es-ES_tradnl"/>
        </w:rPr>
      </w:pPr>
      <w:r w:rsidRPr="00DC18EA">
        <w:rPr>
          <w:rFonts w:ascii="Times New Roman" w:hAnsi="Times New Roman"/>
          <w:lang w:val="es-ES_tradnl"/>
        </w:rPr>
        <w:t>El año 201</w:t>
      </w:r>
      <w:r>
        <w:rPr>
          <w:rFonts w:ascii="Times New Roman" w:hAnsi="Times New Roman"/>
          <w:lang w:val="es-ES_tradnl"/>
        </w:rPr>
        <w:t>9</w:t>
      </w:r>
      <w:r w:rsidRPr="00DC18EA">
        <w:rPr>
          <w:rFonts w:ascii="Times New Roman" w:hAnsi="Times New Roman"/>
          <w:lang w:val="es-ES_tradnl"/>
        </w:rPr>
        <w:t xml:space="preserve"> se ha caracterizado a nivel nacional por el predominio de un déficit de lluvias comparada frente a la normal (1971/2000), en los primeros once (11) meses del año en las 396 punto/mes (36 estaciones analizadas en 11 meses), resumiéndose de la siguiente manera:</w:t>
      </w:r>
    </w:p>
    <w:p w14:paraId="5E7CBF84" w14:textId="77777777" w:rsidR="004245EB" w:rsidRPr="00DC18EA" w:rsidRDefault="004245EB" w:rsidP="004245EB">
      <w:pPr>
        <w:spacing w:after="0" w:line="480" w:lineRule="auto"/>
        <w:ind w:firstLine="720"/>
        <w:jc w:val="both"/>
        <w:rPr>
          <w:rFonts w:ascii="Times New Roman" w:hAnsi="Times New Roman"/>
          <w:lang w:val="es-ES_tradnl"/>
        </w:rPr>
      </w:pPr>
    </w:p>
    <w:p w14:paraId="72CC0550" w14:textId="77777777" w:rsidR="004245EB" w:rsidRPr="00DC18EA" w:rsidRDefault="004245EB" w:rsidP="004245EB">
      <w:pPr>
        <w:spacing w:after="0" w:line="480" w:lineRule="auto"/>
        <w:ind w:firstLine="720"/>
        <w:jc w:val="both"/>
        <w:rPr>
          <w:rFonts w:ascii="Times New Roman" w:hAnsi="Times New Roman"/>
          <w:lang w:val="es-ES_tradnl"/>
        </w:rPr>
      </w:pPr>
      <w:r w:rsidRPr="00DC18EA">
        <w:rPr>
          <w:rFonts w:ascii="Times New Roman" w:hAnsi="Times New Roman"/>
          <w:lang w:val="es-ES_tradnl"/>
        </w:rPr>
        <w:t>Por debajo de la normal 2</w:t>
      </w:r>
      <w:r>
        <w:rPr>
          <w:rFonts w:ascii="Times New Roman" w:hAnsi="Times New Roman"/>
          <w:lang w:val="es-ES_tradnl"/>
        </w:rPr>
        <w:t>46</w:t>
      </w:r>
      <w:r w:rsidRPr="00DC18EA">
        <w:rPr>
          <w:rFonts w:ascii="Times New Roman" w:hAnsi="Times New Roman"/>
          <w:lang w:val="es-ES_tradnl"/>
        </w:rPr>
        <w:t xml:space="preserve"> punto/mes para un </w:t>
      </w:r>
      <w:r>
        <w:rPr>
          <w:rFonts w:ascii="Times New Roman" w:hAnsi="Times New Roman"/>
          <w:lang w:val="es-ES_tradnl"/>
        </w:rPr>
        <w:t xml:space="preserve">62.2 </w:t>
      </w:r>
      <w:r w:rsidRPr="00DC18EA">
        <w:rPr>
          <w:rFonts w:ascii="Times New Roman" w:hAnsi="Times New Roman"/>
          <w:lang w:val="es-ES_tradnl"/>
        </w:rPr>
        <w:t>% de las estaciones a nivel nacional en donde 11</w:t>
      </w:r>
      <w:r>
        <w:rPr>
          <w:rFonts w:ascii="Times New Roman" w:hAnsi="Times New Roman"/>
          <w:lang w:val="es-ES_tradnl"/>
        </w:rPr>
        <w:t>9</w:t>
      </w:r>
      <w:r w:rsidRPr="00DC18EA">
        <w:rPr>
          <w:rFonts w:ascii="Times New Roman" w:hAnsi="Times New Roman"/>
          <w:lang w:val="es-ES_tradnl"/>
        </w:rPr>
        <w:t xml:space="preserve"> corresponden a la zona sur (</w:t>
      </w:r>
      <w:r>
        <w:rPr>
          <w:rFonts w:ascii="Times New Roman" w:hAnsi="Times New Roman"/>
          <w:lang w:val="es-ES_tradnl"/>
        </w:rPr>
        <w:t>D</w:t>
      </w:r>
      <w:r w:rsidRPr="00DC18EA">
        <w:rPr>
          <w:rFonts w:ascii="Times New Roman" w:hAnsi="Times New Roman"/>
          <w:lang w:val="es-ES_tradnl"/>
        </w:rPr>
        <w:t xml:space="preserve">irecciones </w:t>
      </w:r>
      <w:r>
        <w:rPr>
          <w:rFonts w:ascii="Times New Roman" w:hAnsi="Times New Roman"/>
          <w:lang w:val="es-ES_tradnl"/>
        </w:rPr>
        <w:t>R</w:t>
      </w:r>
      <w:r w:rsidRPr="00DC18EA">
        <w:rPr>
          <w:rFonts w:ascii="Times New Roman" w:hAnsi="Times New Roman"/>
          <w:lang w:val="es-ES_tradnl"/>
        </w:rPr>
        <w:t>egionales este, central, sur y suroeste) y 1</w:t>
      </w:r>
      <w:r>
        <w:rPr>
          <w:rFonts w:ascii="Times New Roman" w:hAnsi="Times New Roman"/>
          <w:lang w:val="es-ES_tradnl"/>
        </w:rPr>
        <w:t>27</w:t>
      </w:r>
      <w:r w:rsidRPr="00DC18EA">
        <w:rPr>
          <w:rFonts w:ascii="Times New Roman" w:hAnsi="Times New Roman"/>
          <w:lang w:val="es-ES_tradnl"/>
        </w:rPr>
        <w:t xml:space="preserve"> en la zona norte (Direcciones Regionales Norcentral, Nordeste, Norte y Noroeste). Se entiende por debajo de la normal donde se registra una desviación de las precipitaciones menores de (-) </w:t>
      </w:r>
      <w:r>
        <w:rPr>
          <w:rFonts w:ascii="Times New Roman" w:hAnsi="Times New Roman"/>
          <w:lang w:val="es-ES_tradnl"/>
        </w:rPr>
        <w:t>2</w:t>
      </w:r>
      <w:r w:rsidRPr="00DC18EA">
        <w:rPr>
          <w:rFonts w:ascii="Times New Roman" w:hAnsi="Times New Roman"/>
          <w:lang w:val="es-ES_tradnl"/>
        </w:rPr>
        <w:t>0 %.</w:t>
      </w:r>
    </w:p>
    <w:p w14:paraId="17F4D084" w14:textId="77777777" w:rsidR="004245EB" w:rsidRPr="00DC18EA" w:rsidRDefault="004245EB" w:rsidP="004245EB">
      <w:pPr>
        <w:spacing w:after="0" w:line="480" w:lineRule="auto"/>
        <w:ind w:firstLine="720"/>
        <w:jc w:val="both"/>
        <w:rPr>
          <w:rFonts w:ascii="Times New Roman" w:hAnsi="Times New Roman"/>
          <w:lang w:val="es-ES_tradnl"/>
        </w:rPr>
      </w:pPr>
    </w:p>
    <w:p w14:paraId="25F01492" w14:textId="77777777" w:rsidR="004245EB" w:rsidRPr="00DC18EA" w:rsidRDefault="004245EB" w:rsidP="004245EB">
      <w:pPr>
        <w:spacing w:after="0" w:line="480" w:lineRule="auto"/>
        <w:ind w:firstLine="720"/>
        <w:jc w:val="both"/>
        <w:rPr>
          <w:rFonts w:ascii="Times New Roman" w:hAnsi="Times New Roman"/>
          <w:lang w:val="es-ES_tradnl"/>
        </w:rPr>
      </w:pPr>
      <w:r w:rsidRPr="00DC18EA">
        <w:rPr>
          <w:rFonts w:ascii="Times New Roman" w:hAnsi="Times New Roman"/>
          <w:lang w:val="es-ES_tradnl"/>
        </w:rPr>
        <w:t xml:space="preserve">Por encima de la normal </w:t>
      </w:r>
      <w:r>
        <w:rPr>
          <w:rFonts w:ascii="Times New Roman" w:hAnsi="Times New Roman"/>
          <w:lang w:val="es-ES_tradnl"/>
        </w:rPr>
        <w:t>85</w:t>
      </w:r>
      <w:r w:rsidRPr="00DC18EA">
        <w:rPr>
          <w:rFonts w:ascii="Times New Roman" w:hAnsi="Times New Roman"/>
          <w:lang w:val="es-ES_tradnl"/>
        </w:rPr>
        <w:t xml:space="preserve"> punto/mes, que representa el </w:t>
      </w:r>
      <w:r>
        <w:rPr>
          <w:rFonts w:ascii="Times New Roman" w:hAnsi="Times New Roman"/>
          <w:lang w:val="es-ES_tradnl"/>
        </w:rPr>
        <w:t xml:space="preserve">21.4 </w:t>
      </w:r>
      <w:r w:rsidRPr="00DC18EA">
        <w:rPr>
          <w:rFonts w:ascii="Times New Roman" w:hAnsi="Times New Roman"/>
          <w:lang w:val="es-ES_tradnl"/>
        </w:rPr>
        <w:t xml:space="preserve">% de las observaciones, de las cuales </w:t>
      </w:r>
      <w:r>
        <w:rPr>
          <w:rFonts w:ascii="Times New Roman" w:hAnsi="Times New Roman"/>
          <w:lang w:val="es-ES_tradnl"/>
        </w:rPr>
        <w:t>45</w:t>
      </w:r>
      <w:r w:rsidRPr="00DC18EA">
        <w:rPr>
          <w:rFonts w:ascii="Times New Roman" w:hAnsi="Times New Roman"/>
          <w:lang w:val="es-ES_tradnl"/>
        </w:rPr>
        <w:t xml:space="preserve"> se encuentran en la zona sur y </w:t>
      </w:r>
      <w:r>
        <w:rPr>
          <w:rFonts w:ascii="Times New Roman" w:hAnsi="Times New Roman"/>
          <w:lang w:val="es-ES_tradnl"/>
        </w:rPr>
        <w:t>40</w:t>
      </w:r>
      <w:r w:rsidRPr="00DC18EA">
        <w:rPr>
          <w:rFonts w:ascii="Times New Roman" w:hAnsi="Times New Roman"/>
          <w:lang w:val="es-ES_tradnl"/>
        </w:rPr>
        <w:t xml:space="preserve"> en la zona norte. Se entiende por debajo de la normal donde se registra una desviación de las precipitaciones superiores a (+) </w:t>
      </w:r>
      <w:r>
        <w:rPr>
          <w:rFonts w:ascii="Times New Roman" w:hAnsi="Times New Roman"/>
          <w:lang w:val="es-ES_tradnl"/>
        </w:rPr>
        <w:t>2</w:t>
      </w:r>
      <w:r w:rsidRPr="00DC18EA">
        <w:rPr>
          <w:rFonts w:ascii="Times New Roman" w:hAnsi="Times New Roman"/>
          <w:lang w:val="es-ES_tradnl"/>
        </w:rPr>
        <w:t>0 %.</w:t>
      </w:r>
      <w:r>
        <w:rPr>
          <w:rFonts w:ascii="Times New Roman" w:hAnsi="Times New Roman"/>
          <w:lang w:val="es-ES_tradnl"/>
        </w:rPr>
        <w:t xml:space="preserve"> </w:t>
      </w:r>
      <w:r w:rsidRPr="009101F9">
        <w:rPr>
          <w:rFonts w:ascii="Times New Roman" w:hAnsi="Times New Roman"/>
          <w:lang w:val="es-ES_tradnl"/>
        </w:rPr>
        <w:t>(Ver anexo</w:t>
      </w:r>
      <w:r>
        <w:rPr>
          <w:rFonts w:ascii="Times New Roman" w:hAnsi="Times New Roman"/>
          <w:lang w:val="es-ES_tradnl"/>
        </w:rPr>
        <w:t>,</w:t>
      </w:r>
      <w:r w:rsidRPr="009101F9">
        <w:rPr>
          <w:rFonts w:ascii="Times New Roman" w:hAnsi="Times New Roman"/>
          <w:lang w:val="es-ES_tradnl"/>
        </w:rPr>
        <w:t xml:space="preserve"> </w:t>
      </w:r>
      <w:r>
        <w:rPr>
          <w:rFonts w:ascii="Times New Roman" w:hAnsi="Times New Roman"/>
          <w:lang w:val="es-ES_tradnl"/>
        </w:rPr>
        <w:t>I)</w:t>
      </w:r>
    </w:p>
    <w:p w14:paraId="0651FCDC" w14:textId="77777777" w:rsidR="004245EB" w:rsidRPr="00DC18EA" w:rsidRDefault="004245EB" w:rsidP="004245EB">
      <w:pPr>
        <w:spacing w:after="0" w:line="480" w:lineRule="auto"/>
        <w:ind w:firstLine="720"/>
        <w:jc w:val="both"/>
        <w:rPr>
          <w:rFonts w:ascii="Times New Roman" w:hAnsi="Times New Roman"/>
          <w:lang w:val="es-ES_tradnl"/>
        </w:rPr>
      </w:pPr>
    </w:p>
    <w:p w14:paraId="125E32E8" w14:textId="77777777" w:rsidR="004245EB" w:rsidRPr="00DC18EA" w:rsidRDefault="004245EB" w:rsidP="004245EB">
      <w:pPr>
        <w:spacing w:after="0" w:line="480" w:lineRule="auto"/>
        <w:ind w:firstLine="720"/>
        <w:jc w:val="both"/>
        <w:rPr>
          <w:rFonts w:ascii="Times New Roman" w:hAnsi="Times New Roman"/>
          <w:lang w:val="es-ES_tradnl"/>
        </w:rPr>
      </w:pPr>
      <w:r w:rsidRPr="00DC18EA">
        <w:rPr>
          <w:rFonts w:ascii="Times New Roman" w:hAnsi="Times New Roman"/>
          <w:lang w:val="es-ES_tradnl"/>
        </w:rPr>
        <w:t xml:space="preserve">A nivel nacional apenas un </w:t>
      </w:r>
      <w:r>
        <w:rPr>
          <w:rFonts w:ascii="Times New Roman" w:hAnsi="Times New Roman"/>
          <w:lang w:val="es-ES_tradnl"/>
        </w:rPr>
        <w:t xml:space="preserve">16.4 </w:t>
      </w:r>
      <w:r w:rsidRPr="00DC18EA">
        <w:rPr>
          <w:rFonts w:ascii="Times New Roman" w:hAnsi="Times New Roman"/>
          <w:lang w:val="es-ES_tradnl"/>
        </w:rPr>
        <w:t>% tuvo un comportamiento normal durante el año. Normal es aquella estación donde se registra una desviación de las precipitaciones un más/menos (+/-) 10 %.</w:t>
      </w:r>
    </w:p>
    <w:p w14:paraId="42D39D7C" w14:textId="77777777" w:rsidR="004245EB" w:rsidRPr="00DC18EA" w:rsidRDefault="004245EB" w:rsidP="004245EB">
      <w:pPr>
        <w:spacing w:after="0" w:line="480" w:lineRule="auto"/>
        <w:ind w:firstLine="720"/>
        <w:jc w:val="both"/>
        <w:rPr>
          <w:rFonts w:ascii="Times New Roman" w:hAnsi="Times New Roman"/>
          <w:lang w:val="es-ES_tradnl"/>
        </w:rPr>
      </w:pPr>
    </w:p>
    <w:p w14:paraId="4B4D8885" w14:textId="77777777" w:rsidR="004245EB" w:rsidRPr="00DC18EA" w:rsidRDefault="004245EB" w:rsidP="004245EB">
      <w:pPr>
        <w:spacing w:after="0" w:line="480" w:lineRule="auto"/>
        <w:ind w:firstLine="720"/>
        <w:jc w:val="both"/>
        <w:rPr>
          <w:rFonts w:ascii="Times New Roman" w:hAnsi="Times New Roman"/>
          <w:lang w:val="es-ES_tradnl"/>
        </w:rPr>
      </w:pPr>
      <w:r w:rsidRPr="00DC18EA">
        <w:rPr>
          <w:rFonts w:ascii="Times New Roman" w:hAnsi="Times New Roman"/>
          <w:lang w:val="es-ES_tradnl"/>
        </w:rPr>
        <w:lastRenderedPageBreak/>
        <w:t xml:space="preserve">La información del presente informe corresponde a 36 estaciones que se monitorea mensualmente con datos extraídos del boletín mensual del departamento de agrometeorología de la Oficina Nacional de Meteorología (ONAMET), distribuidas en las 8 regiones agropecuarias del Ministerio de Agricultura, </w:t>
      </w:r>
      <w:r>
        <w:rPr>
          <w:rFonts w:ascii="Times New Roman" w:hAnsi="Times New Roman"/>
          <w:lang w:val="es-ES_tradnl"/>
        </w:rPr>
        <w:t xml:space="preserve">así como el nivel del volumen útil a nivel nacional, </w:t>
      </w:r>
      <w:r w:rsidRPr="009101F9">
        <w:rPr>
          <w:rFonts w:ascii="Times New Roman" w:hAnsi="Times New Roman"/>
          <w:lang w:val="es-ES_tradnl"/>
        </w:rPr>
        <w:t>(Ver anexo</w:t>
      </w:r>
      <w:r>
        <w:rPr>
          <w:rFonts w:ascii="Times New Roman" w:hAnsi="Times New Roman"/>
          <w:lang w:val="es-ES_tradnl"/>
        </w:rPr>
        <w:t>,</w:t>
      </w:r>
      <w:r w:rsidRPr="009101F9">
        <w:rPr>
          <w:rFonts w:ascii="Times New Roman" w:hAnsi="Times New Roman"/>
          <w:lang w:val="es-ES_tradnl"/>
        </w:rPr>
        <w:t xml:space="preserve"> </w:t>
      </w:r>
      <w:r>
        <w:rPr>
          <w:rFonts w:ascii="Times New Roman" w:hAnsi="Times New Roman"/>
          <w:lang w:val="es-ES_tradnl"/>
        </w:rPr>
        <w:t xml:space="preserve">J) </w:t>
      </w:r>
      <w:r w:rsidRPr="00DC18EA">
        <w:rPr>
          <w:rFonts w:ascii="Times New Roman" w:hAnsi="Times New Roman"/>
          <w:lang w:val="es-ES_tradnl"/>
        </w:rPr>
        <w:t>a continuación se detallan de la desviación de las precipitaciones:</w:t>
      </w:r>
    </w:p>
    <w:p w14:paraId="787B346C" w14:textId="77777777" w:rsidR="004245EB" w:rsidRPr="00DC18EA" w:rsidRDefault="004245EB" w:rsidP="004245EB">
      <w:pPr>
        <w:spacing w:after="0" w:line="480" w:lineRule="auto"/>
        <w:ind w:firstLine="720"/>
        <w:jc w:val="both"/>
        <w:rPr>
          <w:rFonts w:ascii="Times New Roman" w:hAnsi="Times New Roman"/>
          <w:lang w:val="es-ES_tradnl"/>
        </w:rPr>
      </w:pPr>
    </w:p>
    <w:p w14:paraId="299718D5" w14:textId="77777777" w:rsidR="004245EB" w:rsidRPr="00DC18EA" w:rsidRDefault="004245EB" w:rsidP="004245EB">
      <w:pPr>
        <w:spacing w:after="0" w:line="480" w:lineRule="auto"/>
        <w:ind w:firstLine="720"/>
        <w:jc w:val="both"/>
        <w:rPr>
          <w:rFonts w:ascii="Times New Roman" w:hAnsi="Times New Roman"/>
          <w:lang w:val="es-ES_tradnl"/>
        </w:rPr>
      </w:pPr>
      <w:r w:rsidRPr="00DC18EA">
        <w:rPr>
          <w:rFonts w:ascii="Times New Roman" w:hAnsi="Times New Roman"/>
          <w:lang w:val="es-ES_tradnl"/>
        </w:rPr>
        <w:t>1)</w:t>
      </w:r>
      <w:r w:rsidRPr="00DC18EA">
        <w:rPr>
          <w:rFonts w:ascii="Times New Roman" w:hAnsi="Times New Roman"/>
          <w:lang w:val="es-ES_tradnl"/>
        </w:rPr>
        <w:tab/>
        <w:t>El promedio de las lluvias caídas (hasta noviembre) en la zona sur en las 18 estaciones monitoreadas es de 1,</w:t>
      </w:r>
      <w:r>
        <w:rPr>
          <w:rFonts w:ascii="Times New Roman" w:hAnsi="Times New Roman"/>
          <w:lang w:val="es-ES_tradnl"/>
        </w:rPr>
        <w:t>030</w:t>
      </w:r>
      <w:r w:rsidRPr="00DC18EA">
        <w:rPr>
          <w:rFonts w:ascii="Times New Roman" w:hAnsi="Times New Roman"/>
          <w:lang w:val="es-ES_tradnl"/>
        </w:rPr>
        <w:t>.</w:t>
      </w:r>
      <w:r>
        <w:rPr>
          <w:rFonts w:ascii="Times New Roman" w:hAnsi="Times New Roman"/>
          <w:lang w:val="es-ES_tradnl"/>
        </w:rPr>
        <w:t>0</w:t>
      </w:r>
      <w:r w:rsidRPr="00DC18EA">
        <w:rPr>
          <w:rFonts w:ascii="Times New Roman" w:hAnsi="Times New Roman"/>
          <w:lang w:val="es-ES_tradnl"/>
        </w:rPr>
        <w:t>mm frente a la normal en igual periodo que asciende a 1,244.8mm para una desviación negativa de las precipitaciones de -1</w:t>
      </w:r>
      <w:r>
        <w:rPr>
          <w:rFonts w:ascii="Times New Roman" w:hAnsi="Times New Roman"/>
          <w:lang w:val="es-ES_tradnl"/>
        </w:rPr>
        <w:t>7</w:t>
      </w:r>
      <w:r w:rsidRPr="00DC18EA">
        <w:rPr>
          <w:rFonts w:ascii="Times New Roman" w:hAnsi="Times New Roman"/>
          <w:lang w:val="es-ES_tradnl"/>
        </w:rPr>
        <w:t>.</w:t>
      </w:r>
      <w:r>
        <w:rPr>
          <w:rFonts w:ascii="Times New Roman" w:hAnsi="Times New Roman"/>
          <w:lang w:val="es-ES_tradnl"/>
        </w:rPr>
        <w:t>26</w:t>
      </w:r>
      <w:r w:rsidRPr="00DC18EA">
        <w:rPr>
          <w:rFonts w:ascii="Times New Roman" w:hAnsi="Times New Roman"/>
          <w:lang w:val="es-ES_tradnl"/>
        </w:rPr>
        <w:t>, (La zona sur comprende las Direcciones Regionales: Este, Central, Sur y Suroeste).</w:t>
      </w:r>
    </w:p>
    <w:p w14:paraId="24A07820" w14:textId="77777777" w:rsidR="004245EB" w:rsidRPr="00DC18EA" w:rsidRDefault="004245EB" w:rsidP="004245EB">
      <w:pPr>
        <w:spacing w:after="0" w:line="480" w:lineRule="auto"/>
        <w:ind w:firstLine="720"/>
        <w:jc w:val="both"/>
        <w:rPr>
          <w:rFonts w:ascii="Times New Roman" w:hAnsi="Times New Roman"/>
          <w:lang w:val="es-ES_tradnl"/>
        </w:rPr>
      </w:pPr>
    </w:p>
    <w:p w14:paraId="3B2D27CF" w14:textId="523B6352" w:rsidR="004245EB" w:rsidRPr="00DC18EA" w:rsidRDefault="004245EB" w:rsidP="004245EB">
      <w:pPr>
        <w:spacing w:after="0" w:line="480" w:lineRule="auto"/>
        <w:ind w:firstLine="720"/>
        <w:jc w:val="both"/>
        <w:rPr>
          <w:rFonts w:ascii="Times New Roman" w:hAnsi="Times New Roman"/>
          <w:lang w:val="es-ES_tradnl"/>
        </w:rPr>
      </w:pPr>
      <w:r w:rsidRPr="00DC18EA">
        <w:rPr>
          <w:rFonts w:ascii="Times New Roman" w:hAnsi="Times New Roman"/>
          <w:lang w:val="es-ES_tradnl"/>
        </w:rPr>
        <w:t>2)</w:t>
      </w:r>
      <w:r w:rsidRPr="00DC18EA">
        <w:rPr>
          <w:rFonts w:ascii="Times New Roman" w:hAnsi="Times New Roman"/>
          <w:lang w:val="es-ES_tradnl"/>
        </w:rPr>
        <w:tab/>
        <w:t xml:space="preserve">El promedio de las lluvias caídas en la zona norte en las 18 </w:t>
      </w:r>
      <w:r>
        <w:rPr>
          <w:rFonts w:ascii="Times New Roman" w:hAnsi="Times New Roman"/>
          <w:lang w:val="es-ES_tradnl"/>
        </w:rPr>
        <w:t>estaciones monitoreadas es de 953.8</w:t>
      </w:r>
      <w:r w:rsidRPr="00DC18EA">
        <w:rPr>
          <w:rFonts w:ascii="Times New Roman" w:hAnsi="Times New Roman"/>
          <w:lang w:val="es-ES_tradnl"/>
        </w:rPr>
        <w:t>mm frente a la normal en igual periodo que asciende a 1,251.7mm para una desviación posi</w:t>
      </w:r>
      <w:r>
        <w:rPr>
          <w:rFonts w:ascii="Times New Roman" w:hAnsi="Times New Roman"/>
          <w:lang w:val="es-ES_tradnl"/>
        </w:rPr>
        <w:t>tiva de las precipitaciones de -23</w:t>
      </w:r>
      <w:r w:rsidRPr="00DC18EA">
        <w:rPr>
          <w:rFonts w:ascii="Times New Roman" w:hAnsi="Times New Roman"/>
          <w:lang w:val="es-ES_tradnl"/>
        </w:rPr>
        <w:t>.</w:t>
      </w:r>
      <w:r>
        <w:rPr>
          <w:rFonts w:ascii="Times New Roman" w:hAnsi="Times New Roman"/>
          <w:lang w:val="es-ES_tradnl"/>
        </w:rPr>
        <w:t>82 %</w:t>
      </w:r>
      <w:r w:rsidRPr="00DC18EA">
        <w:rPr>
          <w:rFonts w:ascii="Times New Roman" w:hAnsi="Times New Roman"/>
          <w:lang w:val="es-ES_tradnl"/>
        </w:rPr>
        <w:t xml:space="preserve"> (La zona norte comprende las Direcciones Regionales: Nordeste, Norte, Noroeste y Norcentral).</w:t>
      </w:r>
    </w:p>
    <w:p w14:paraId="4E5D1547" w14:textId="3BB9C06B" w:rsidR="004B3EB6" w:rsidRDefault="004B3EB6">
      <w:pPr>
        <w:spacing w:after="0"/>
        <w:rPr>
          <w:rFonts w:ascii="Times New Roman" w:hAnsi="Times New Roman"/>
          <w:lang w:val="es-ES_tradnl"/>
        </w:rPr>
      </w:pPr>
      <w:r>
        <w:rPr>
          <w:rFonts w:ascii="Times New Roman" w:hAnsi="Times New Roman"/>
          <w:lang w:val="es-ES_tradnl"/>
        </w:rPr>
        <w:br w:type="page"/>
      </w:r>
    </w:p>
    <w:p w14:paraId="64061FE7" w14:textId="77777777" w:rsidR="004245EB" w:rsidRDefault="004245EB" w:rsidP="004245EB">
      <w:pPr>
        <w:spacing w:after="0" w:line="480" w:lineRule="auto"/>
        <w:ind w:firstLine="720"/>
        <w:jc w:val="both"/>
        <w:rPr>
          <w:rFonts w:ascii="Times New Roman" w:hAnsi="Times New Roman"/>
          <w:b/>
          <w:sz w:val="28"/>
          <w:lang w:val="es-ES_tradnl"/>
        </w:rPr>
      </w:pPr>
      <w:r>
        <w:rPr>
          <w:rFonts w:ascii="Times New Roman" w:hAnsi="Times New Roman"/>
          <w:b/>
          <w:sz w:val="28"/>
          <w:lang w:val="es-ES_tradnl"/>
        </w:rPr>
        <w:lastRenderedPageBreak/>
        <w:t>Comportamiento de las precipitaciones por regionales:</w:t>
      </w:r>
    </w:p>
    <w:p w14:paraId="5A02DC53" w14:textId="77777777" w:rsidR="004245EB" w:rsidRPr="00073148" w:rsidRDefault="004245EB" w:rsidP="004245EB">
      <w:pPr>
        <w:spacing w:after="0" w:line="480" w:lineRule="auto"/>
        <w:ind w:firstLine="720"/>
        <w:jc w:val="both"/>
        <w:rPr>
          <w:rFonts w:ascii="Times New Roman" w:hAnsi="Times New Roman"/>
          <w:sz w:val="28"/>
          <w:lang w:val="es-ES_tradnl"/>
        </w:rPr>
      </w:pPr>
    </w:p>
    <w:p w14:paraId="3ACB3C36" w14:textId="77777777" w:rsidR="004245EB" w:rsidRPr="00DC18EA" w:rsidRDefault="004245EB" w:rsidP="004245EB">
      <w:pPr>
        <w:spacing w:after="0" w:line="480" w:lineRule="auto"/>
        <w:ind w:firstLine="720"/>
        <w:jc w:val="both"/>
        <w:rPr>
          <w:rFonts w:ascii="Times New Roman" w:hAnsi="Times New Roman"/>
          <w:b/>
          <w:sz w:val="28"/>
          <w:lang w:val="es-ES_tradnl"/>
        </w:rPr>
      </w:pPr>
      <w:r w:rsidRPr="00DC18EA">
        <w:rPr>
          <w:rFonts w:ascii="Times New Roman" w:hAnsi="Times New Roman"/>
          <w:b/>
          <w:sz w:val="28"/>
          <w:lang w:val="es-ES_tradnl"/>
        </w:rPr>
        <w:t xml:space="preserve">Regional </w:t>
      </w:r>
      <w:r>
        <w:rPr>
          <w:rFonts w:ascii="Times New Roman" w:hAnsi="Times New Roman"/>
          <w:b/>
          <w:sz w:val="28"/>
          <w:lang w:val="es-ES_tradnl"/>
        </w:rPr>
        <w:t>e</w:t>
      </w:r>
      <w:r w:rsidRPr="00DC18EA">
        <w:rPr>
          <w:rFonts w:ascii="Times New Roman" w:hAnsi="Times New Roman"/>
          <w:b/>
          <w:sz w:val="28"/>
          <w:lang w:val="es-ES_tradnl"/>
        </w:rPr>
        <w:t xml:space="preserve">ste </w:t>
      </w:r>
    </w:p>
    <w:p w14:paraId="21D1B837" w14:textId="2C1EF508" w:rsidR="004245EB" w:rsidRPr="00DC18EA" w:rsidRDefault="00B6203F" w:rsidP="004245EB">
      <w:pPr>
        <w:spacing w:after="0" w:line="480" w:lineRule="auto"/>
        <w:ind w:firstLine="720"/>
        <w:jc w:val="both"/>
        <w:rPr>
          <w:rFonts w:ascii="Times New Roman" w:hAnsi="Times New Roman"/>
          <w:lang w:val="es-ES_tradnl"/>
        </w:rPr>
      </w:pPr>
      <w:r>
        <w:rPr>
          <w:rFonts w:ascii="Times New Roman" w:hAnsi="Times New Roman"/>
          <w:lang w:val="es-ES_tradnl"/>
        </w:rPr>
        <w:t>L</w:t>
      </w:r>
      <w:r w:rsidRPr="00DC18EA">
        <w:rPr>
          <w:rFonts w:ascii="Times New Roman" w:hAnsi="Times New Roman"/>
          <w:lang w:val="es-ES_tradnl"/>
        </w:rPr>
        <w:t>as desviaciones de las precipitaciones se destacan</w:t>
      </w:r>
      <w:r w:rsidR="004245EB">
        <w:rPr>
          <w:rFonts w:ascii="Times New Roman" w:hAnsi="Times New Roman"/>
          <w:lang w:val="es-ES_tradnl"/>
        </w:rPr>
        <w:t>: Hato Mayor (+9</w:t>
      </w:r>
      <w:r w:rsidR="004245EB" w:rsidRPr="00DC18EA">
        <w:rPr>
          <w:rFonts w:ascii="Times New Roman" w:hAnsi="Times New Roman"/>
          <w:lang w:val="es-ES_tradnl"/>
        </w:rPr>
        <w:t>.</w:t>
      </w:r>
      <w:r w:rsidR="004245EB">
        <w:rPr>
          <w:rFonts w:ascii="Times New Roman" w:hAnsi="Times New Roman"/>
          <w:lang w:val="es-ES_tradnl"/>
        </w:rPr>
        <w:t>69</w:t>
      </w:r>
      <w:r w:rsidR="004245EB" w:rsidRPr="00DC18EA">
        <w:rPr>
          <w:rFonts w:ascii="Times New Roman" w:hAnsi="Times New Roman"/>
          <w:lang w:val="es-ES_tradnl"/>
        </w:rPr>
        <w:t xml:space="preserve"> %), Higüey (-</w:t>
      </w:r>
      <w:r w:rsidR="004245EB">
        <w:rPr>
          <w:rFonts w:ascii="Times New Roman" w:hAnsi="Times New Roman"/>
          <w:lang w:val="es-ES_tradnl"/>
        </w:rPr>
        <w:t>33</w:t>
      </w:r>
      <w:r w:rsidR="004245EB" w:rsidRPr="00DC18EA">
        <w:rPr>
          <w:rFonts w:ascii="Times New Roman" w:hAnsi="Times New Roman"/>
          <w:lang w:val="es-ES_tradnl"/>
        </w:rPr>
        <w:t>.</w:t>
      </w:r>
      <w:r w:rsidR="004245EB">
        <w:rPr>
          <w:rFonts w:ascii="Times New Roman" w:hAnsi="Times New Roman"/>
          <w:lang w:val="es-ES_tradnl"/>
        </w:rPr>
        <w:t xml:space="preserve">60 </w:t>
      </w:r>
      <w:r w:rsidR="004245EB" w:rsidRPr="00DC18EA">
        <w:rPr>
          <w:rFonts w:ascii="Times New Roman" w:hAnsi="Times New Roman"/>
          <w:lang w:val="es-ES_tradnl"/>
        </w:rPr>
        <w:t>%), La Romana (+</w:t>
      </w:r>
      <w:r w:rsidR="004245EB">
        <w:rPr>
          <w:rFonts w:ascii="Times New Roman" w:hAnsi="Times New Roman"/>
          <w:lang w:val="es-ES_tradnl"/>
        </w:rPr>
        <w:t>24</w:t>
      </w:r>
      <w:r w:rsidR="004245EB" w:rsidRPr="00DC18EA">
        <w:rPr>
          <w:rFonts w:ascii="Times New Roman" w:hAnsi="Times New Roman"/>
          <w:lang w:val="es-ES_tradnl"/>
        </w:rPr>
        <w:t>.</w:t>
      </w:r>
      <w:r w:rsidR="004245EB">
        <w:rPr>
          <w:rFonts w:ascii="Times New Roman" w:hAnsi="Times New Roman"/>
          <w:lang w:val="es-ES_tradnl"/>
        </w:rPr>
        <w:t>1</w:t>
      </w:r>
      <w:r w:rsidR="004245EB" w:rsidRPr="00DC18EA">
        <w:rPr>
          <w:rFonts w:ascii="Times New Roman" w:hAnsi="Times New Roman"/>
          <w:lang w:val="es-ES_tradnl"/>
        </w:rPr>
        <w:t>6</w:t>
      </w:r>
      <w:r w:rsidR="004245EB">
        <w:rPr>
          <w:rFonts w:ascii="Times New Roman" w:hAnsi="Times New Roman"/>
          <w:lang w:val="es-ES_tradnl"/>
        </w:rPr>
        <w:t xml:space="preserve"> </w:t>
      </w:r>
      <w:r w:rsidR="004245EB" w:rsidRPr="00DC18EA">
        <w:rPr>
          <w:rFonts w:ascii="Times New Roman" w:hAnsi="Times New Roman"/>
          <w:lang w:val="es-ES_tradnl"/>
        </w:rPr>
        <w:t xml:space="preserve">%), San </w:t>
      </w:r>
      <w:r w:rsidRPr="00DC18EA">
        <w:rPr>
          <w:rFonts w:ascii="Times New Roman" w:hAnsi="Times New Roman"/>
          <w:lang w:val="es-ES_tradnl"/>
        </w:rPr>
        <w:t>José</w:t>
      </w:r>
      <w:r w:rsidR="004245EB" w:rsidRPr="00DC18EA">
        <w:rPr>
          <w:rFonts w:ascii="Times New Roman" w:hAnsi="Times New Roman"/>
          <w:lang w:val="es-ES_tradnl"/>
        </w:rPr>
        <w:t xml:space="preserve"> de los llanos (-</w:t>
      </w:r>
      <w:r w:rsidR="004245EB">
        <w:rPr>
          <w:rFonts w:ascii="Times New Roman" w:hAnsi="Times New Roman"/>
          <w:lang w:val="es-ES_tradnl"/>
        </w:rPr>
        <w:t>24</w:t>
      </w:r>
      <w:r w:rsidR="004245EB" w:rsidRPr="00DC18EA">
        <w:rPr>
          <w:rFonts w:ascii="Times New Roman" w:hAnsi="Times New Roman"/>
          <w:lang w:val="es-ES_tradnl"/>
        </w:rPr>
        <w:t>.</w:t>
      </w:r>
      <w:r w:rsidR="004245EB">
        <w:rPr>
          <w:rFonts w:ascii="Times New Roman" w:hAnsi="Times New Roman"/>
          <w:lang w:val="es-ES_tradnl"/>
        </w:rPr>
        <w:t xml:space="preserve">19 </w:t>
      </w:r>
      <w:r w:rsidR="004245EB" w:rsidRPr="00DC18EA">
        <w:rPr>
          <w:rFonts w:ascii="Times New Roman" w:hAnsi="Times New Roman"/>
          <w:lang w:val="es-ES_tradnl"/>
        </w:rPr>
        <w:t>%).</w:t>
      </w:r>
    </w:p>
    <w:p w14:paraId="0594CC3C" w14:textId="541B708D" w:rsidR="00073148" w:rsidRDefault="00073148">
      <w:pPr>
        <w:spacing w:after="0"/>
        <w:rPr>
          <w:rFonts w:ascii="Times New Roman" w:hAnsi="Times New Roman"/>
          <w:lang w:val="es-ES_tradnl"/>
        </w:rPr>
      </w:pPr>
    </w:p>
    <w:p w14:paraId="386BBA64" w14:textId="77777777" w:rsidR="004245EB" w:rsidRPr="00DC18EA" w:rsidRDefault="004245EB" w:rsidP="004245EB">
      <w:pPr>
        <w:spacing w:after="0" w:line="480" w:lineRule="auto"/>
        <w:ind w:firstLine="720"/>
        <w:jc w:val="both"/>
        <w:rPr>
          <w:rFonts w:ascii="Times New Roman" w:hAnsi="Times New Roman"/>
          <w:b/>
          <w:sz w:val="28"/>
          <w:lang w:val="es-ES_tradnl"/>
        </w:rPr>
      </w:pPr>
      <w:r>
        <w:rPr>
          <w:rFonts w:ascii="Times New Roman" w:hAnsi="Times New Roman"/>
          <w:b/>
          <w:sz w:val="28"/>
          <w:lang w:val="es-ES_tradnl"/>
        </w:rPr>
        <w:t>Regional central</w:t>
      </w:r>
    </w:p>
    <w:p w14:paraId="17DA68B2" w14:textId="4C94A985" w:rsidR="004245EB" w:rsidRPr="00DC18EA" w:rsidRDefault="004245EB" w:rsidP="004245EB">
      <w:pPr>
        <w:spacing w:after="0" w:line="480" w:lineRule="auto"/>
        <w:ind w:firstLine="720"/>
        <w:jc w:val="both"/>
        <w:rPr>
          <w:rFonts w:ascii="Times New Roman" w:hAnsi="Times New Roman"/>
          <w:lang w:val="es-ES_tradnl"/>
        </w:rPr>
      </w:pPr>
      <w:r w:rsidRPr="00DC18EA">
        <w:rPr>
          <w:rFonts w:ascii="Times New Roman" w:hAnsi="Times New Roman"/>
          <w:lang w:val="es-ES_tradnl"/>
        </w:rPr>
        <w:t>La</w:t>
      </w:r>
      <w:r w:rsidR="00B6203F">
        <w:rPr>
          <w:rFonts w:ascii="Times New Roman" w:hAnsi="Times New Roman"/>
          <w:lang w:val="es-ES_tradnl"/>
        </w:rPr>
        <w:t>s desviaciones</w:t>
      </w:r>
      <w:r w:rsidRPr="00DC18EA">
        <w:rPr>
          <w:rFonts w:ascii="Times New Roman" w:hAnsi="Times New Roman"/>
          <w:lang w:val="es-ES_tradnl"/>
        </w:rPr>
        <w:t xml:space="preserve"> de las precipita</w:t>
      </w:r>
      <w:r>
        <w:rPr>
          <w:rFonts w:ascii="Times New Roman" w:hAnsi="Times New Roman"/>
          <w:lang w:val="es-ES_tradnl"/>
        </w:rPr>
        <w:t>ciones ha</w:t>
      </w:r>
      <w:r w:rsidR="00B6203F">
        <w:rPr>
          <w:rFonts w:ascii="Times New Roman" w:hAnsi="Times New Roman"/>
          <w:lang w:val="es-ES_tradnl"/>
        </w:rPr>
        <w:t>n</w:t>
      </w:r>
      <w:r>
        <w:rPr>
          <w:rFonts w:ascii="Times New Roman" w:hAnsi="Times New Roman"/>
          <w:lang w:val="es-ES_tradnl"/>
        </w:rPr>
        <w:t xml:space="preserve"> sido: Santo Domingo (-55</w:t>
      </w:r>
      <w:r w:rsidRPr="00DC18EA">
        <w:rPr>
          <w:rFonts w:ascii="Times New Roman" w:hAnsi="Times New Roman"/>
          <w:lang w:val="es-ES_tradnl"/>
        </w:rPr>
        <w:t>.</w:t>
      </w:r>
      <w:r>
        <w:rPr>
          <w:rFonts w:ascii="Times New Roman" w:hAnsi="Times New Roman"/>
          <w:lang w:val="es-ES_tradnl"/>
        </w:rPr>
        <w:t>59 %), San Cristóbal (-32</w:t>
      </w:r>
      <w:r w:rsidRPr="00DC18EA">
        <w:rPr>
          <w:rFonts w:ascii="Times New Roman" w:hAnsi="Times New Roman"/>
          <w:lang w:val="es-ES_tradnl"/>
        </w:rPr>
        <w:t>.</w:t>
      </w:r>
      <w:r>
        <w:rPr>
          <w:rFonts w:ascii="Times New Roman" w:hAnsi="Times New Roman"/>
          <w:lang w:val="es-ES_tradnl"/>
        </w:rPr>
        <w:t xml:space="preserve">60 </w:t>
      </w:r>
      <w:r w:rsidRPr="00DC18EA">
        <w:rPr>
          <w:rFonts w:ascii="Times New Roman" w:hAnsi="Times New Roman"/>
          <w:lang w:val="es-ES_tradnl"/>
        </w:rPr>
        <w:t xml:space="preserve">%), San </w:t>
      </w:r>
      <w:r w:rsidR="00B6203F" w:rsidRPr="00DC18EA">
        <w:rPr>
          <w:rFonts w:ascii="Times New Roman" w:hAnsi="Times New Roman"/>
          <w:lang w:val="es-ES_tradnl"/>
        </w:rPr>
        <w:t>José</w:t>
      </w:r>
      <w:r w:rsidRPr="00DC18EA">
        <w:rPr>
          <w:rFonts w:ascii="Times New Roman" w:hAnsi="Times New Roman"/>
          <w:lang w:val="es-ES_tradnl"/>
        </w:rPr>
        <w:t xml:space="preserve"> de Ocoa (</w:t>
      </w:r>
      <w:r>
        <w:rPr>
          <w:rFonts w:ascii="Times New Roman" w:hAnsi="Times New Roman"/>
          <w:lang w:val="es-ES_tradnl"/>
        </w:rPr>
        <w:t>+2</w:t>
      </w:r>
      <w:r w:rsidRPr="00DC18EA">
        <w:rPr>
          <w:rFonts w:ascii="Times New Roman" w:hAnsi="Times New Roman"/>
          <w:lang w:val="es-ES_tradnl"/>
        </w:rPr>
        <w:t>.</w:t>
      </w:r>
      <w:r>
        <w:rPr>
          <w:rFonts w:ascii="Times New Roman" w:hAnsi="Times New Roman"/>
          <w:lang w:val="es-ES_tradnl"/>
        </w:rPr>
        <w:t xml:space="preserve">91 </w:t>
      </w:r>
      <w:r w:rsidRPr="00DC18EA">
        <w:rPr>
          <w:rFonts w:ascii="Times New Roman" w:hAnsi="Times New Roman"/>
          <w:lang w:val="es-ES_tradnl"/>
        </w:rPr>
        <w:t>%), Monte Plata (-3</w:t>
      </w:r>
      <w:r>
        <w:rPr>
          <w:rFonts w:ascii="Times New Roman" w:hAnsi="Times New Roman"/>
          <w:lang w:val="es-ES_tradnl"/>
        </w:rPr>
        <w:t>5</w:t>
      </w:r>
      <w:r w:rsidRPr="00DC18EA">
        <w:rPr>
          <w:rFonts w:ascii="Times New Roman" w:hAnsi="Times New Roman"/>
          <w:lang w:val="es-ES_tradnl"/>
        </w:rPr>
        <w:t>.</w:t>
      </w:r>
      <w:r>
        <w:rPr>
          <w:rFonts w:ascii="Times New Roman" w:hAnsi="Times New Roman"/>
          <w:lang w:val="es-ES_tradnl"/>
        </w:rPr>
        <w:t xml:space="preserve">07 </w:t>
      </w:r>
      <w:r w:rsidRPr="00DC18EA">
        <w:rPr>
          <w:rFonts w:ascii="Times New Roman" w:hAnsi="Times New Roman"/>
          <w:lang w:val="es-ES_tradnl"/>
        </w:rPr>
        <w:t>%) y Villa Altagracia (+</w:t>
      </w:r>
      <w:r>
        <w:rPr>
          <w:rFonts w:ascii="Times New Roman" w:hAnsi="Times New Roman"/>
          <w:lang w:val="es-ES_tradnl"/>
        </w:rPr>
        <w:t>5</w:t>
      </w:r>
      <w:r w:rsidRPr="00DC18EA">
        <w:rPr>
          <w:rFonts w:ascii="Times New Roman" w:hAnsi="Times New Roman"/>
          <w:lang w:val="es-ES_tradnl"/>
        </w:rPr>
        <w:t>.</w:t>
      </w:r>
      <w:r>
        <w:rPr>
          <w:rFonts w:ascii="Times New Roman" w:hAnsi="Times New Roman"/>
          <w:lang w:val="es-ES_tradnl"/>
        </w:rPr>
        <w:t xml:space="preserve">90 </w:t>
      </w:r>
      <w:r w:rsidRPr="00DC18EA">
        <w:rPr>
          <w:rFonts w:ascii="Times New Roman" w:hAnsi="Times New Roman"/>
          <w:lang w:val="es-ES_tradnl"/>
        </w:rPr>
        <w:t>%).</w:t>
      </w:r>
    </w:p>
    <w:p w14:paraId="30EF2A64" w14:textId="7DB78781" w:rsidR="00B6203F" w:rsidRDefault="00B6203F">
      <w:pPr>
        <w:spacing w:after="0"/>
        <w:rPr>
          <w:rFonts w:ascii="Times New Roman" w:hAnsi="Times New Roman"/>
          <w:lang w:val="es-ES_tradnl"/>
        </w:rPr>
      </w:pPr>
    </w:p>
    <w:p w14:paraId="6239FADE" w14:textId="77777777" w:rsidR="004245EB" w:rsidRPr="00DC18EA" w:rsidRDefault="004245EB" w:rsidP="004245EB">
      <w:pPr>
        <w:spacing w:after="0" w:line="480" w:lineRule="auto"/>
        <w:ind w:firstLine="720"/>
        <w:jc w:val="both"/>
        <w:rPr>
          <w:rFonts w:ascii="Times New Roman" w:hAnsi="Times New Roman"/>
          <w:b/>
          <w:sz w:val="28"/>
          <w:lang w:val="es-ES_tradnl"/>
        </w:rPr>
      </w:pPr>
      <w:r w:rsidRPr="00DC18EA">
        <w:rPr>
          <w:rFonts w:ascii="Times New Roman" w:hAnsi="Times New Roman"/>
          <w:b/>
          <w:sz w:val="28"/>
          <w:lang w:val="es-ES_tradnl"/>
        </w:rPr>
        <w:t xml:space="preserve">Regional </w:t>
      </w:r>
      <w:r>
        <w:rPr>
          <w:rFonts w:ascii="Times New Roman" w:hAnsi="Times New Roman"/>
          <w:b/>
          <w:sz w:val="28"/>
          <w:lang w:val="es-ES_tradnl"/>
        </w:rPr>
        <w:t>s</w:t>
      </w:r>
      <w:r w:rsidRPr="00DC18EA">
        <w:rPr>
          <w:rFonts w:ascii="Times New Roman" w:hAnsi="Times New Roman"/>
          <w:b/>
          <w:sz w:val="28"/>
          <w:lang w:val="es-ES_tradnl"/>
        </w:rPr>
        <w:t>uroeste</w:t>
      </w:r>
    </w:p>
    <w:p w14:paraId="655A0DDB" w14:textId="77777777" w:rsidR="004245EB" w:rsidRDefault="004245EB" w:rsidP="004245EB">
      <w:pPr>
        <w:spacing w:after="0" w:line="480" w:lineRule="auto"/>
        <w:ind w:firstLine="720"/>
        <w:jc w:val="both"/>
        <w:rPr>
          <w:rFonts w:ascii="Times New Roman" w:hAnsi="Times New Roman"/>
          <w:lang w:val="es-ES_tradnl"/>
        </w:rPr>
      </w:pPr>
      <w:r w:rsidRPr="00DC18EA">
        <w:rPr>
          <w:rFonts w:ascii="Times New Roman" w:hAnsi="Times New Roman"/>
          <w:lang w:val="es-ES_tradnl"/>
        </w:rPr>
        <w:t>La desviación de las precipitaciones ha</w:t>
      </w:r>
      <w:r>
        <w:rPr>
          <w:rFonts w:ascii="Times New Roman" w:hAnsi="Times New Roman"/>
          <w:lang w:val="es-ES_tradnl"/>
        </w:rPr>
        <w:t xml:space="preserve"> sido: San Juan de la Maguana (-42.53 </w:t>
      </w:r>
      <w:r w:rsidRPr="00DC18EA">
        <w:rPr>
          <w:rFonts w:ascii="Times New Roman" w:hAnsi="Times New Roman"/>
          <w:lang w:val="es-ES_tradnl"/>
        </w:rPr>
        <w:t>%), Azua (-4</w:t>
      </w:r>
      <w:r>
        <w:rPr>
          <w:rFonts w:ascii="Times New Roman" w:hAnsi="Times New Roman"/>
          <w:lang w:val="es-ES_tradnl"/>
        </w:rPr>
        <w:t>7</w:t>
      </w:r>
      <w:r w:rsidRPr="00DC18EA">
        <w:rPr>
          <w:rFonts w:ascii="Times New Roman" w:hAnsi="Times New Roman"/>
          <w:lang w:val="es-ES_tradnl"/>
        </w:rPr>
        <w:t>.</w:t>
      </w:r>
      <w:r>
        <w:rPr>
          <w:rFonts w:ascii="Times New Roman" w:hAnsi="Times New Roman"/>
          <w:lang w:val="es-ES_tradnl"/>
        </w:rPr>
        <w:t>88</w:t>
      </w:r>
      <w:r w:rsidRPr="00DC18EA">
        <w:rPr>
          <w:rFonts w:ascii="Times New Roman" w:hAnsi="Times New Roman"/>
          <w:lang w:val="es-ES_tradnl"/>
        </w:rPr>
        <w:t>%), Elías Piña (-</w:t>
      </w:r>
      <w:r>
        <w:rPr>
          <w:rFonts w:ascii="Times New Roman" w:hAnsi="Times New Roman"/>
          <w:lang w:val="es-ES_tradnl"/>
        </w:rPr>
        <w:t>50</w:t>
      </w:r>
      <w:r w:rsidRPr="00DC18EA">
        <w:rPr>
          <w:rFonts w:ascii="Times New Roman" w:hAnsi="Times New Roman"/>
          <w:lang w:val="es-ES_tradnl"/>
        </w:rPr>
        <w:t>.</w:t>
      </w:r>
      <w:r>
        <w:rPr>
          <w:rFonts w:ascii="Times New Roman" w:hAnsi="Times New Roman"/>
          <w:lang w:val="es-ES_tradnl"/>
        </w:rPr>
        <w:t>86</w:t>
      </w:r>
      <w:r w:rsidRPr="00DC18EA">
        <w:rPr>
          <w:rFonts w:ascii="Times New Roman" w:hAnsi="Times New Roman"/>
          <w:lang w:val="es-ES_tradnl"/>
        </w:rPr>
        <w:t>%), Padre las Casas (-</w:t>
      </w:r>
      <w:r>
        <w:rPr>
          <w:rFonts w:ascii="Times New Roman" w:hAnsi="Times New Roman"/>
          <w:lang w:val="es-ES_tradnl"/>
        </w:rPr>
        <w:t>24</w:t>
      </w:r>
      <w:r w:rsidRPr="00DC18EA">
        <w:rPr>
          <w:rFonts w:ascii="Times New Roman" w:hAnsi="Times New Roman"/>
          <w:lang w:val="es-ES_tradnl"/>
        </w:rPr>
        <w:t>.</w:t>
      </w:r>
      <w:r>
        <w:rPr>
          <w:rFonts w:ascii="Times New Roman" w:hAnsi="Times New Roman"/>
          <w:lang w:val="es-ES_tradnl"/>
        </w:rPr>
        <w:t>69 %), El Cercado (+34</w:t>
      </w:r>
      <w:r w:rsidRPr="00DC18EA">
        <w:rPr>
          <w:rFonts w:ascii="Times New Roman" w:hAnsi="Times New Roman"/>
          <w:lang w:val="es-ES_tradnl"/>
        </w:rPr>
        <w:t>.</w:t>
      </w:r>
      <w:r>
        <w:rPr>
          <w:rFonts w:ascii="Times New Roman" w:hAnsi="Times New Roman"/>
          <w:lang w:val="es-ES_tradnl"/>
        </w:rPr>
        <w:t xml:space="preserve">19 </w:t>
      </w:r>
      <w:r w:rsidRPr="00DC18EA">
        <w:rPr>
          <w:rFonts w:ascii="Times New Roman" w:hAnsi="Times New Roman"/>
          <w:lang w:val="es-ES_tradnl"/>
        </w:rPr>
        <w:t>%).</w:t>
      </w:r>
    </w:p>
    <w:p w14:paraId="4AD28A63" w14:textId="77777777" w:rsidR="004245EB" w:rsidRPr="00DC18EA" w:rsidRDefault="004245EB" w:rsidP="004245EB">
      <w:pPr>
        <w:spacing w:after="0" w:line="480" w:lineRule="auto"/>
        <w:ind w:firstLine="720"/>
        <w:jc w:val="both"/>
        <w:rPr>
          <w:rFonts w:ascii="Times New Roman" w:hAnsi="Times New Roman"/>
          <w:lang w:val="es-ES_tradnl"/>
        </w:rPr>
      </w:pPr>
    </w:p>
    <w:p w14:paraId="0A13CD29" w14:textId="77777777" w:rsidR="004245EB" w:rsidRPr="00DC18EA" w:rsidRDefault="004245EB" w:rsidP="004245EB">
      <w:pPr>
        <w:spacing w:after="0" w:line="480" w:lineRule="auto"/>
        <w:ind w:firstLine="720"/>
        <w:jc w:val="both"/>
        <w:rPr>
          <w:rFonts w:ascii="Times New Roman" w:hAnsi="Times New Roman"/>
          <w:b/>
          <w:sz w:val="28"/>
          <w:lang w:val="es-ES_tradnl"/>
        </w:rPr>
      </w:pPr>
      <w:r w:rsidRPr="00DC18EA">
        <w:rPr>
          <w:rFonts w:ascii="Times New Roman" w:hAnsi="Times New Roman"/>
          <w:b/>
          <w:sz w:val="28"/>
          <w:lang w:val="es-ES_tradnl"/>
        </w:rPr>
        <w:t>Regional sur</w:t>
      </w:r>
    </w:p>
    <w:p w14:paraId="34B26587" w14:textId="125A9E45" w:rsidR="004245EB" w:rsidRPr="00DC18EA" w:rsidRDefault="00B6203F" w:rsidP="004245EB">
      <w:pPr>
        <w:spacing w:after="0" w:line="480" w:lineRule="auto"/>
        <w:ind w:firstLine="720"/>
        <w:jc w:val="both"/>
        <w:rPr>
          <w:rFonts w:ascii="Times New Roman" w:hAnsi="Times New Roman"/>
          <w:lang w:val="es-ES_tradnl"/>
        </w:rPr>
      </w:pPr>
      <w:r>
        <w:rPr>
          <w:rFonts w:ascii="Times New Roman" w:hAnsi="Times New Roman"/>
          <w:lang w:val="es-ES_tradnl"/>
        </w:rPr>
        <w:t>La desviaci</w:t>
      </w:r>
      <w:r w:rsidRPr="00DC18EA">
        <w:rPr>
          <w:rFonts w:ascii="Times New Roman" w:hAnsi="Times New Roman"/>
          <w:lang w:val="es-ES_tradnl"/>
        </w:rPr>
        <w:t>ón</w:t>
      </w:r>
      <w:r w:rsidR="004245EB" w:rsidRPr="00DC18EA">
        <w:rPr>
          <w:rFonts w:ascii="Times New Roman" w:hAnsi="Times New Roman"/>
          <w:lang w:val="es-ES_tradnl"/>
        </w:rPr>
        <w:t xml:space="preserve"> de las precipitaciones h</w:t>
      </w:r>
      <w:r w:rsidR="004245EB">
        <w:rPr>
          <w:rFonts w:ascii="Times New Roman" w:hAnsi="Times New Roman"/>
          <w:lang w:val="es-ES_tradnl"/>
        </w:rPr>
        <w:t>a sido la siguiente: Barahona (+1.25 %), Neyba (-1</w:t>
      </w:r>
      <w:r w:rsidR="004245EB" w:rsidRPr="00DC18EA">
        <w:rPr>
          <w:rFonts w:ascii="Times New Roman" w:hAnsi="Times New Roman"/>
          <w:lang w:val="es-ES_tradnl"/>
        </w:rPr>
        <w:t>.</w:t>
      </w:r>
      <w:r w:rsidR="004245EB">
        <w:rPr>
          <w:rFonts w:ascii="Times New Roman" w:hAnsi="Times New Roman"/>
          <w:lang w:val="es-ES_tradnl"/>
        </w:rPr>
        <w:t>62</w:t>
      </w:r>
      <w:r w:rsidR="004245EB" w:rsidRPr="00DC18EA">
        <w:rPr>
          <w:rFonts w:ascii="Times New Roman" w:hAnsi="Times New Roman"/>
          <w:lang w:val="es-ES_tradnl"/>
        </w:rPr>
        <w:t xml:space="preserve"> %), </w:t>
      </w:r>
      <w:r w:rsidRPr="00DC18EA">
        <w:rPr>
          <w:rFonts w:ascii="Times New Roman" w:hAnsi="Times New Roman"/>
          <w:lang w:val="es-ES_tradnl"/>
        </w:rPr>
        <w:t>Jiman</w:t>
      </w:r>
      <w:r>
        <w:rPr>
          <w:rFonts w:ascii="Times New Roman" w:hAnsi="Times New Roman"/>
          <w:lang w:val="es-ES_tradnl"/>
        </w:rPr>
        <w:t>í</w:t>
      </w:r>
      <w:r w:rsidR="004245EB" w:rsidRPr="00DC18EA">
        <w:rPr>
          <w:rFonts w:ascii="Times New Roman" w:hAnsi="Times New Roman"/>
          <w:lang w:val="es-ES_tradnl"/>
        </w:rPr>
        <w:t xml:space="preserve"> (-1</w:t>
      </w:r>
      <w:r w:rsidR="004245EB">
        <w:rPr>
          <w:rFonts w:ascii="Times New Roman" w:hAnsi="Times New Roman"/>
          <w:lang w:val="es-ES_tradnl"/>
        </w:rPr>
        <w:t>6</w:t>
      </w:r>
      <w:r w:rsidR="004245EB" w:rsidRPr="00DC18EA">
        <w:rPr>
          <w:rFonts w:ascii="Times New Roman" w:hAnsi="Times New Roman"/>
          <w:lang w:val="es-ES_tradnl"/>
        </w:rPr>
        <w:t>.</w:t>
      </w:r>
      <w:r w:rsidR="004245EB">
        <w:rPr>
          <w:rFonts w:ascii="Times New Roman" w:hAnsi="Times New Roman"/>
          <w:lang w:val="es-ES_tradnl"/>
        </w:rPr>
        <w:t>06 %), Polo (+</w:t>
      </w:r>
      <w:r w:rsidR="004245EB" w:rsidRPr="00DC18EA">
        <w:rPr>
          <w:rFonts w:ascii="Times New Roman" w:hAnsi="Times New Roman"/>
          <w:lang w:val="es-ES_tradnl"/>
        </w:rPr>
        <w:t>5.</w:t>
      </w:r>
      <w:r w:rsidR="004245EB">
        <w:rPr>
          <w:rFonts w:ascii="Times New Roman" w:hAnsi="Times New Roman"/>
          <w:lang w:val="es-ES_tradnl"/>
        </w:rPr>
        <w:t>89</w:t>
      </w:r>
      <w:r w:rsidR="004245EB" w:rsidRPr="00DC18EA">
        <w:rPr>
          <w:rFonts w:ascii="Times New Roman" w:hAnsi="Times New Roman"/>
          <w:lang w:val="es-ES_tradnl"/>
        </w:rPr>
        <w:t xml:space="preserve"> %).</w:t>
      </w:r>
    </w:p>
    <w:p w14:paraId="3AEDB865" w14:textId="3CCF2145" w:rsidR="00782488" w:rsidRDefault="00782488">
      <w:pPr>
        <w:spacing w:after="0"/>
        <w:rPr>
          <w:rFonts w:ascii="Times New Roman" w:hAnsi="Times New Roman"/>
          <w:lang w:val="es-ES_tradnl"/>
        </w:rPr>
      </w:pPr>
      <w:r>
        <w:rPr>
          <w:rFonts w:ascii="Times New Roman" w:hAnsi="Times New Roman"/>
          <w:lang w:val="es-ES_tradnl"/>
        </w:rPr>
        <w:br w:type="page"/>
      </w:r>
    </w:p>
    <w:p w14:paraId="4CC7D80D" w14:textId="63C5217B" w:rsidR="004245EB" w:rsidRPr="00DC18EA" w:rsidRDefault="004245EB" w:rsidP="004245EB">
      <w:pPr>
        <w:spacing w:after="0" w:line="480" w:lineRule="auto"/>
        <w:ind w:firstLine="720"/>
        <w:jc w:val="both"/>
        <w:rPr>
          <w:rFonts w:ascii="Times New Roman" w:hAnsi="Times New Roman"/>
          <w:b/>
          <w:sz w:val="28"/>
          <w:lang w:val="es-ES_tradnl"/>
        </w:rPr>
      </w:pPr>
      <w:r w:rsidRPr="00DC18EA">
        <w:rPr>
          <w:rFonts w:ascii="Times New Roman" w:hAnsi="Times New Roman"/>
          <w:b/>
          <w:sz w:val="28"/>
          <w:lang w:val="es-ES_tradnl"/>
        </w:rPr>
        <w:lastRenderedPageBreak/>
        <w:t xml:space="preserve">Regional </w:t>
      </w:r>
      <w:r w:rsidR="00B6203F" w:rsidRPr="00DC18EA">
        <w:rPr>
          <w:rFonts w:ascii="Times New Roman" w:hAnsi="Times New Roman"/>
          <w:b/>
          <w:sz w:val="28"/>
          <w:lang w:val="es-ES_tradnl"/>
        </w:rPr>
        <w:t>Norcentral</w:t>
      </w:r>
    </w:p>
    <w:p w14:paraId="29B85100" w14:textId="77777777" w:rsidR="004245EB" w:rsidRPr="00DC18EA" w:rsidRDefault="004245EB" w:rsidP="004245EB">
      <w:pPr>
        <w:spacing w:after="0" w:line="480" w:lineRule="auto"/>
        <w:ind w:firstLine="720"/>
        <w:jc w:val="both"/>
        <w:rPr>
          <w:rFonts w:ascii="Times New Roman" w:hAnsi="Times New Roman"/>
          <w:lang w:val="es-ES_tradnl"/>
        </w:rPr>
      </w:pPr>
      <w:r w:rsidRPr="00DC18EA">
        <w:rPr>
          <w:rFonts w:ascii="Times New Roman" w:hAnsi="Times New Roman"/>
          <w:lang w:val="es-ES_tradnl"/>
        </w:rPr>
        <w:t>La desviación de las precipi</w:t>
      </w:r>
      <w:r>
        <w:rPr>
          <w:rFonts w:ascii="Times New Roman" w:hAnsi="Times New Roman"/>
          <w:lang w:val="es-ES_tradnl"/>
        </w:rPr>
        <w:t>taciones ha sido el siguiente: La Vega (-26.15 %), Salcedo (-1</w:t>
      </w:r>
      <w:r w:rsidRPr="00DC18EA">
        <w:rPr>
          <w:rFonts w:ascii="Times New Roman" w:hAnsi="Times New Roman"/>
          <w:lang w:val="es-ES_tradnl"/>
        </w:rPr>
        <w:t>.</w:t>
      </w:r>
      <w:r>
        <w:rPr>
          <w:rFonts w:ascii="Times New Roman" w:hAnsi="Times New Roman"/>
          <w:lang w:val="es-ES_tradnl"/>
        </w:rPr>
        <w:t>2</w:t>
      </w:r>
      <w:r w:rsidRPr="00DC18EA">
        <w:rPr>
          <w:rFonts w:ascii="Times New Roman" w:hAnsi="Times New Roman"/>
          <w:lang w:val="es-ES_tradnl"/>
        </w:rPr>
        <w:t>4</w:t>
      </w:r>
      <w:r>
        <w:rPr>
          <w:rFonts w:ascii="Times New Roman" w:hAnsi="Times New Roman"/>
          <w:lang w:val="es-ES_tradnl"/>
        </w:rPr>
        <w:t xml:space="preserve"> </w:t>
      </w:r>
      <w:r w:rsidRPr="00DC18EA">
        <w:rPr>
          <w:rFonts w:ascii="Times New Roman" w:hAnsi="Times New Roman"/>
          <w:lang w:val="es-ES_tradnl"/>
        </w:rPr>
        <w:t>%), Juma (</w:t>
      </w:r>
      <w:r>
        <w:rPr>
          <w:rFonts w:ascii="Times New Roman" w:hAnsi="Times New Roman"/>
          <w:lang w:val="es-ES_tradnl"/>
        </w:rPr>
        <w:t xml:space="preserve">-24.93 </w:t>
      </w:r>
      <w:r w:rsidRPr="00DC18EA">
        <w:rPr>
          <w:rFonts w:ascii="Times New Roman" w:hAnsi="Times New Roman"/>
          <w:lang w:val="es-ES_tradnl"/>
        </w:rPr>
        <w:t>%), Constanza (-</w:t>
      </w:r>
      <w:r>
        <w:rPr>
          <w:rFonts w:ascii="Times New Roman" w:hAnsi="Times New Roman"/>
          <w:lang w:val="es-ES_tradnl"/>
        </w:rPr>
        <w:t>1</w:t>
      </w:r>
      <w:r w:rsidRPr="00DC18EA">
        <w:rPr>
          <w:rFonts w:ascii="Times New Roman" w:hAnsi="Times New Roman"/>
          <w:lang w:val="es-ES_tradnl"/>
        </w:rPr>
        <w:t>4.</w:t>
      </w:r>
      <w:r>
        <w:rPr>
          <w:rFonts w:ascii="Times New Roman" w:hAnsi="Times New Roman"/>
          <w:lang w:val="es-ES_tradnl"/>
        </w:rPr>
        <w:t xml:space="preserve">52 </w:t>
      </w:r>
      <w:r w:rsidRPr="00DC18EA">
        <w:rPr>
          <w:rFonts w:ascii="Times New Roman" w:hAnsi="Times New Roman"/>
          <w:lang w:val="es-ES_tradnl"/>
        </w:rPr>
        <w:t>%) y Jarabacoa (-</w:t>
      </w:r>
      <w:r>
        <w:rPr>
          <w:rFonts w:ascii="Times New Roman" w:hAnsi="Times New Roman"/>
          <w:lang w:val="es-ES_tradnl"/>
        </w:rPr>
        <w:t>31</w:t>
      </w:r>
      <w:r w:rsidRPr="00DC18EA">
        <w:rPr>
          <w:rFonts w:ascii="Times New Roman" w:hAnsi="Times New Roman"/>
          <w:lang w:val="es-ES_tradnl"/>
        </w:rPr>
        <w:t>.</w:t>
      </w:r>
      <w:r>
        <w:rPr>
          <w:rFonts w:ascii="Times New Roman" w:hAnsi="Times New Roman"/>
          <w:lang w:val="es-ES_tradnl"/>
        </w:rPr>
        <w:t>92</w:t>
      </w:r>
      <w:r w:rsidRPr="00DC18EA">
        <w:rPr>
          <w:rFonts w:ascii="Times New Roman" w:hAnsi="Times New Roman"/>
          <w:lang w:val="es-ES_tradnl"/>
        </w:rPr>
        <w:t>%).</w:t>
      </w:r>
    </w:p>
    <w:p w14:paraId="1F084485" w14:textId="77777777" w:rsidR="004245EB" w:rsidRPr="00DC18EA" w:rsidRDefault="004245EB" w:rsidP="004245EB">
      <w:pPr>
        <w:spacing w:after="0" w:line="480" w:lineRule="auto"/>
        <w:ind w:firstLine="720"/>
        <w:jc w:val="both"/>
        <w:rPr>
          <w:rFonts w:ascii="Times New Roman" w:hAnsi="Times New Roman"/>
          <w:lang w:val="es-ES_tradnl"/>
        </w:rPr>
      </w:pPr>
    </w:p>
    <w:p w14:paraId="1B395BCA" w14:textId="77777777" w:rsidR="004245EB" w:rsidRPr="00DC18EA" w:rsidRDefault="004245EB" w:rsidP="004245EB">
      <w:pPr>
        <w:spacing w:after="0" w:line="480" w:lineRule="auto"/>
        <w:ind w:firstLine="720"/>
        <w:jc w:val="both"/>
        <w:rPr>
          <w:rFonts w:ascii="Times New Roman" w:hAnsi="Times New Roman"/>
          <w:b/>
          <w:sz w:val="28"/>
          <w:lang w:val="es-ES_tradnl"/>
        </w:rPr>
      </w:pPr>
      <w:r w:rsidRPr="00DC18EA">
        <w:rPr>
          <w:rFonts w:ascii="Times New Roman" w:hAnsi="Times New Roman"/>
          <w:b/>
          <w:sz w:val="28"/>
          <w:lang w:val="es-ES_tradnl"/>
        </w:rPr>
        <w:t>Regional noreste</w:t>
      </w:r>
    </w:p>
    <w:p w14:paraId="02831413" w14:textId="77777777" w:rsidR="004245EB" w:rsidRPr="00DC18EA" w:rsidRDefault="004245EB" w:rsidP="004245EB">
      <w:pPr>
        <w:spacing w:after="0" w:line="480" w:lineRule="auto"/>
        <w:ind w:firstLine="720"/>
        <w:jc w:val="both"/>
        <w:rPr>
          <w:rFonts w:ascii="Times New Roman" w:hAnsi="Times New Roman"/>
          <w:lang w:val="es-ES_tradnl"/>
        </w:rPr>
      </w:pPr>
      <w:r w:rsidRPr="00DC18EA">
        <w:rPr>
          <w:rFonts w:ascii="Times New Roman" w:hAnsi="Times New Roman"/>
          <w:lang w:val="es-ES_tradnl"/>
        </w:rPr>
        <w:t>La desviación de las precipitaciones ha sido el siguien</w:t>
      </w:r>
      <w:r>
        <w:rPr>
          <w:rFonts w:ascii="Times New Roman" w:hAnsi="Times New Roman"/>
          <w:lang w:val="es-ES_tradnl"/>
        </w:rPr>
        <w:t>te: Samaná (-40</w:t>
      </w:r>
      <w:r w:rsidRPr="00DC18EA">
        <w:rPr>
          <w:rFonts w:ascii="Times New Roman" w:hAnsi="Times New Roman"/>
          <w:lang w:val="es-ES_tradnl"/>
        </w:rPr>
        <w:t>.1</w:t>
      </w:r>
      <w:r>
        <w:rPr>
          <w:rFonts w:ascii="Times New Roman" w:hAnsi="Times New Roman"/>
          <w:lang w:val="es-ES_tradnl"/>
        </w:rPr>
        <w:t xml:space="preserve">8 </w:t>
      </w:r>
      <w:r w:rsidRPr="00DC18EA">
        <w:rPr>
          <w:rFonts w:ascii="Times New Roman" w:hAnsi="Times New Roman"/>
          <w:lang w:val="es-ES_tradnl"/>
        </w:rPr>
        <w:t>%),</w:t>
      </w:r>
      <w:r>
        <w:rPr>
          <w:rFonts w:ascii="Times New Roman" w:hAnsi="Times New Roman"/>
          <w:lang w:val="es-ES_tradnl"/>
        </w:rPr>
        <w:t xml:space="preserve"> Cabrera (-18</w:t>
      </w:r>
      <w:r w:rsidRPr="00DC18EA">
        <w:rPr>
          <w:rFonts w:ascii="Times New Roman" w:hAnsi="Times New Roman"/>
          <w:lang w:val="es-ES_tradnl"/>
        </w:rPr>
        <w:t>.</w:t>
      </w:r>
      <w:r>
        <w:rPr>
          <w:rFonts w:ascii="Times New Roman" w:hAnsi="Times New Roman"/>
          <w:lang w:val="es-ES_tradnl"/>
        </w:rPr>
        <w:t xml:space="preserve">92 </w:t>
      </w:r>
      <w:r w:rsidRPr="00DC18EA">
        <w:rPr>
          <w:rFonts w:ascii="Times New Roman" w:hAnsi="Times New Roman"/>
          <w:lang w:val="es-ES_tradnl"/>
        </w:rPr>
        <w:t>%) y Villa Riva (</w:t>
      </w:r>
      <w:r>
        <w:rPr>
          <w:rFonts w:ascii="Times New Roman" w:hAnsi="Times New Roman"/>
          <w:lang w:val="es-ES_tradnl"/>
        </w:rPr>
        <w:t>-28</w:t>
      </w:r>
      <w:r w:rsidRPr="00DC18EA">
        <w:rPr>
          <w:rFonts w:ascii="Times New Roman" w:hAnsi="Times New Roman"/>
          <w:lang w:val="es-ES_tradnl"/>
        </w:rPr>
        <w:t>.</w:t>
      </w:r>
      <w:r>
        <w:rPr>
          <w:rFonts w:ascii="Times New Roman" w:hAnsi="Times New Roman"/>
          <w:lang w:val="es-ES_tradnl"/>
        </w:rPr>
        <w:t xml:space="preserve">34 </w:t>
      </w:r>
      <w:r w:rsidRPr="00DC18EA">
        <w:rPr>
          <w:rFonts w:ascii="Times New Roman" w:hAnsi="Times New Roman"/>
          <w:lang w:val="es-ES_tradnl"/>
        </w:rPr>
        <w:t>%).</w:t>
      </w:r>
    </w:p>
    <w:p w14:paraId="79A5DF83" w14:textId="77777777" w:rsidR="004245EB" w:rsidRPr="00DC18EA" w:rsidRDefault="004245EB" w:rsidP="004245EB">
      <w:pPr>
        <w:spacing w:after="0" w:line="480" w:lineRule="auto"/>
        <w:ind w:firstLine="720"/>
        <w:jc w:val="both"/>
        <w:rPr>
          <w:rFonts w:ascii="Times New Roman" w:hAnsi="Times New Roman"/>
          <w:lang w:val="es-ES_tradnl"/>
        </w:rPr>
      </w:pPr>
    </w:p>
    <w:p w14:paraId="6B7C90C9" w14:textId="77777777" w:rsidR="004245EB" w:rsidRPr="00DC18EA" w:rsidRDefault="004245EB" w:rsidP="004245EB">
      <w:pPr>
        <w:spacing w:after="0" w:line="480" w:lineRule="auto"/>
        <w:ind w:firstLine="720"/>
        <w:jc w:val="both"/>
        <w:rPr>
          <w:rFonts w:ascii="Times New Roman" w:hAnsi="Times New Roman"/>
          <w:b/>
          <w:sz w:val="28"/>
          <w:lang w:val="es-ES_tradnl"/>
        </w:rPr>
      </w:pPr>
      <w:r w:rsidRPr="00DC18EA">
        <w:rPr>
          <w:rFonts w:ascii="Times New Roman" w:hAnsi="Times New Roman"/>
          <w:b/>
          <w:sz w:val="28"/>
          <w:lang w:val="es-ES_tradnl"/>
        </w:rPr>
        <w:t>Regional norte</w:t>
      </w:r>
    </w:p>
    <w:p w14:paraId="24CB6B07" w14:textId="77777777" w:rsidR="004245EB" w:rsidRPr="00DC18EA" w:rsidRDefault="004245EB" w:rsidP="004245EB">
      <w:pPr>
        <w:spacing w:after="0" w:line="480" w:lineRule="auto"/>
        <w:ind w:firstLine="720"/>
        <w:jc w:val="both"/>
        <w:rPr>
          <w:rFonts w:ascii="Times New Roman" w:hAnsi="Times New Roman"/>
          <w:lang w:val="es-ES_tradnl"/>
        </w:rPr>
      </w:pPr>
      <w:r w:rsidRPr="00DC18EA">
        <w:rPr>
          <w:rFonts w:ascii="Times New Roman" w:hAnsi="Times New Roman"/>
          <w:lang w:val="es-ES_tradnl"/>
        </w:rPr>
        <w:t>La desviación de las precipitaciones ha sido el siguiente: Santiago/Licey (-</w:t>
      </w:r>
      <w:r>
        <w:rPr>
          <w:rFonts w:ascii="Times New Roman" w:hAnsi="Times New Roman"/>
          <w:lang w:val="es-ES_tradnl"/>
        </w:rPr>
        <w:t>11</w:t>
      </w:r>
      <w:r w:rsidRPr="00DC18EA">
        <w:rPr>
          <w:rFonts w:ascii="Times New Roman" w:hAnsi="Times New Roman"/>
          <w:lang w:val="es-ES_tradnl"/>
        </w:rPr>
        <w:t>.</w:t>
      </w:r>
      <w:r>
        <w:rPr>
          <w:rFonts w:ascii="Times New Roman" w:hAnsi="Times New Roman"/>
          <w:lang w:val="es-ES_tradnl"/>
        </w:rPr>
        <w:t>4</w:t>
      </w:r>
      <w:r w:rsidRPr="00DC18EA">
        <w:rPr>
          <w:rFonts w:ascii="Times New Roman" w:hAnsi="Times New Roman"/>
          <w:lang w:val="es-ES_tradnl"/>
        </w:rPr>
        <w:t>3</w:t>
      </w:r>
      <w:r>
        <w:rPr>
          <w:rFonts w:ascii="Times New Roman" w:hAnsi="Times New Roman"/>
          <w:lang w:val="es-ES_tradnl"/>
        </w:rPr>
        <w:t xml:space="preserve"> </w:t>
      </w:r>
      <w:r w:rsidRPr="00DC18EA">
        <w:rPr>
          <w:rFonts w:ascii="Times New Roman" w:hAnsi="Times New Roman"/>
          <w:lang w:val="es-ES_tradnl"/>
        </w:rPr>
        <w:t>%), Moca (-2</w:t>
      </w:r>
      <w:r>
        <w:rPr>
          <w:rFonts w:ascii="Times New Roman" w:hAnsi="Times New Roman"/>
          <w:lang w:val="es-ES_tradnl"/>
        </w:rPr>
        <w:t>4</w:t>
      </w:r>
      <w:r w:rsidRPr="00DC18EA">
        <w:rPr>
          <w:rFonts w:ascii="Times New Roman" w:hAnsi="Times New Roman"/>
          <w:lang w:val="es-ES_tradnl"/>
        </w:rPr>
        <w:t>.</w:t>
      </w:r>
      <w:r>
        <w:rPr>
          <w:rFonts w:ascii="Times New Roman" w:hAnsi="Times New Roman"/>
          <w:lang w:val="es-ES_tradnl"/>
        </w:rPr>
        <w:t>01 %), La Unión/Puerto Plata (-4</w:t>
      </w:r>
      <w:r w:rsidRPr="00DC18EA">
        <w:rPr>
          <w:rFonts w:ascii="Times New Roman" w:hAnsi="Times New Roman"/>
          <w:lang w:val="es-ES_tradnl"/>
        </w:rPr>
        <w:t>7.</w:t>
      </w:r>
      <w:r>
        <w:rPr>
          <w:rFonts w:ascii="Times New Roman" w:hAnsi="Times New Roman"/>
          <w:lang w:val="es-ES_tradnl"/>
        </w:rPr>
        <w:t xml:space="preserve">69 </w:t>
      </w:r>
      <w:r w:rsidRPr="00DC18EA">
        <w:rPr>
          <w:rFonts w:ascii="Times New Roman" w:hAnsi="Times New Roman"/>
          <w:lang w:val="es-ES_tradnl"/>
        </w:rPr>
        <w:t>%), Luperón (-</w:t>
      </w:r>
      <w:r>
        <w:rPr>
          <w:rFonts w:ascii="Times New Roman" w:hAnsi="Times New Roman"/>
          <w:lang w:val="es-ES_tradnl"/>
        </w:rPr>
        <w:t>83</w:t>
      </w:r>
      <w:r w:rsidRPr="00DC18EA">
        <w:rPr>
          <w:rFonts w:ascii="Times New Roman" w:hAnsi="Times New Roman"/>
          <w:lang w:val="es-ES_tradnl"/>
        </w:rPr>
        <w:t>.</w:t>
      </w:r>
      <w:r>
        <w:rPr>
          <w:rFonts w:ascii="Times New Roman" w:hAnsi="Times New Roman"/>
          <w:lang w:val="es-ES_tradnl"/>
        </w:rPr>
        <w:t xml:space="preserve">07 </w:t>
      </w:r>
      <w:r w:rsidRPr="00DC18EA">
        <w:rPr>
          <w:rFonts w:ascii="Times New Roman" w:hAnsi="Times New Roman"/>
          <w:lang w:val="es-ES_tradnl"/>
        </w:rPr>
        <w:t>%) y Gaspar Hernández (-</w:t>
      </w:r>
      <w:r>
        <w:rPr>
          <w:rFonts w:ascii="Times New Roman" w:hAnsi="Times New Roman"/>
          <w:lang w:val="es-ES_tradnl"/>
        </w:rPr>
        <w:t>56</w:t>
      </w:r>
      <w:r w:rsidRPr="00DC18EA">
        <w:rPr>
          <w:rFonts w:ascii="Times New Roman" w:hAnsi="Times New Roman"/>
          <w:lang w:val="es-ES_tradnl"/>
        </w:rPr>
        <w:t>.4</w:t>
      </w:r>
      <w:r>
        <w:rPr>
          <w:rFonts w:ascii="Times New Roman" w:hAnsi="Times New Roman"/>
          <w:lang w:val="es-ES_tradnl"/>
        </w:rPr>
        <w:t xml:space="preserve">6 </w:t>
      </w:r>
      <w:r w:rsidRPr="00DC18EA">
        <w:rPr>
          <w:rFonts w:ascii="Times New Roman" w:hAnsi="Times New Roman"/>
          <w:lang w:val="es-ES_tradnl"/>
        </w:rPr>
        <w:t>%).</w:t>
      </w:r>
    </w:p>
    <w:p w14:paraId="2AD5B6B3" w14:textId="77777777" w:rsidR="004245EB" w:rsidRPr="00DC18EA" w:rsidRDefault="004245EB" w:rsidP="004245EB">
      <w:pPr>
        <w:spacing w:after="0" w:line="480" w:lineRule="auto"/>
        <w:ind w:firstLine="720"/>
        <w:jc w:val="both"/>
        <w:rPr>
          <w:rFonts w:ascii="Times New Roman" w:hAnsi="Times New Roman"/>
          <w:lang w:val="es-ES_tradnl"/>
        </w:rPr>
      </w:pPr>
    </w:p>
    <w:p w14:paraId="63CEAB9F" w14:textId="77777777" w:rsidR="004245EB" w:rsidRPr="00DC18EA" w:rsidRDefault="004245EB" w:rsidP="004245EB">
      <w:pPr>
        <w:spacing w:after="0" w:line="480" w:lineRule="auto"/>
        <w:ind w:firstLine="720"/>
        <w:jc w:val="both"/>
        <w:rPr>
          <w:rFonts w:ascii="Times New Roman" w:hAnsi="Times New Roman"/>
          <w:b/>
          <w:sz w:val="28"/>
          <w:lang w:val="es-ES_tradnl"/>
        </w:rPr>
      </w:pPr>
      <w:r w:rsidRPr="00DC18EA">
        <w:rPr>
          <w:rFonts w:ascii="Times New Roman" w:hAnsi="Times New Roman"/>
          <w:b/>
          <w:sz w:val="28"/>
          <w:lang w:val="es-ES_tradnl"/>
        </w:rPr>
        <w:t>Regional noroeste</w:t>
      </w:r>
    </w:p>
    <w:p w14:paraId="0A9ACE41" w14:textId="6CE17754" w:rsidR="004245EB" w:rsidRDefault="004245EB" w:rsidP="004245EB">
      <w:pPr>
        <w:spacing w:after="0" w:line="480" w:lineRule="auto"/>
        <w:ind w:firstLine="720"/>
        <w:jc w:val="both"/>
        <w:rPr>
          <w:lang w:val="es-ES_tradnl"/>
        </w:rPr>
      </w:pPr>
      <w:r w:rsidRPr="00DC18EA">
        <w:rPr>
          <w:rFonts w:ascii="Times New Roman" w:hAnsi="Times New Roman"/>
          <w:lang w:val="es-ES_tradnl"/>
        </w:rPr>
        <w:t>La desviación de las precipitaciones ha sido el siguiente: Mao (-</w:t>
      </w:r>
      <w:r>
        <w:rPr>
          <w:rFonts w:ascii="Times New Roman" w:hAnsi="Times New Roman"/>
          <w:lang w:val="es-ES_tradnl"/>
        </w:rPr>
        <w:t>40</w:t>
      </w:r>
      <w:r w:rsidRPr="00DC18EA">
        <w:rPr>
          <w:rFonts w:ascii="Times New Roman" w:hAnsi="Times New Roman"/>
          <w:lang w:val="es-ES_tradnl"/>
        </w:rPr>
        <w:t>.5</w:t>
      </w:r>
      <w:r>
        <w:rPr>
          <w:rFonts w:ascii="Times New Roman" w:hAnsi="Times New Roman"/>
          <w:lang w:val="es-ES_tradnl"/>
        </w:rPr>
        <w:t>7 %), Santiago Rodríguez (+47</w:t>
      </w:r>
      <w:r w:rsidRPr="00DC18EA">
        <w:rPr>
          <w:rFonts w:ascii="Times New Roman" w:hAnsi="Times New Roman"/>
          <w:lang w:val="es-ES_tradnl"/>
        </w:rPr>
        <w:t>.</w:t>
      </w:r>
      <w:r>
        <w:rPr>
          <w:rFonts w:ascii="Times New Roman" w:hAnsi="Times New Roman"/>
          <w:lang w:val="es-ES_tradnl"/>
        </w:rPr>
        <w:t xml:space="preserve">77 %), Villa </w:t>
      </w:r>
      <w:r w:rsidR="00B6203F">
        <w:rPr>
          <w:rFonts w:ascii="Times New Roman" w:hAnsi="Times New Roman"/>
          <w:lang w:val="es-ES_tradnl"/>
        </w:rPr>
        <w:t>Vásquez</w:t>
      </w:r>
      <w:r>
        <w:rPr>
          <w:rFonts w:ascii="Times New Roman" w:hAnsi="Times New Roman"/>
          <w:lang w:val="es-ES_tradnl"/>
        </w:rPr>
        <w:t xml:space="preserve"> (-</w:t>
      </w:r>
      <w:r w:rsidRPr="00DC18EA">
        <w:rPr>
          <w:rFonts w:ascii="Times New Roman" w:hAnsi="Times New Roman"/>
          <w:lang w:val="es-ES_tradnl"/>
        </w:rPr>
        <w:t>2</w:t>
      </w:r>
      <w:r>
        <w:rPr>
          <w:rFonts w:ascii="Times New Roman" w:hAnsi="Times New Roman"/>
          <w:lang w:val="es-ES_tradnl"/>
        </w:rPr>
        <w:t>6</w:t>
      </w:r>
      <w:r w:rsidRPr="00DC18EA">
        <w:rPr>
          <w:rFonts w:ascii="Times New Roman" w:hAnsi="Times New Roman"/>
          <w:lang w:val="es-ES_tradnl"/>
        </w:rPr>
        <w:t>.</w:t>
      </w:r>
      <w:r>
        <w:rPr>
          <w:rFonts w:ascii="Times New Roman" w:hAnsi="Times New Roman"/>
          <w:lang w:val="es-ES_tradnl"/>
        </w:rPr>
        <w:t>1</w:t>
      </w:r>
      <w:r w:rsidRPr="00DC18EA">
        <w:rPr>
          <w:rFonts w:ascii="Times New Roman" w:hAnsi="Times New Roman"/>
          <w:lang w:val="es-ES_tradnl"/>
        </w:rPr>
        <w:t>4%), Monte Cristi (-2</w:t>
      </w:r>
      <w:r>
        <w:rPr>
          <w:rFonts w:ascii="Times New Roman" w:hAnsi="Times New Roman"/>
          <w:lang w:val="es-ES_tradnl"/>
        </w:rPr>
        <w:t>9</w:t>
      </w:r>
      <w:r w:rsidRPr="00DC18EA">
        <w:rPr>
          <w:rFonts w:ascii="Times New Roman" w:hAnsi="Times New Roman"/>
          <w:lang w:val="es-ES_tradnl"/>
        </w:rPr>
        <w:t>.</w:t>
      </w:r>
      <w:r>
        <w:rPr>
          <w:rFonts w:ascii="Times New Roman" w:hAnsi="Times New Roman"/>
          <w:lang w:val="es-ES_tradnl"/>
        </w:rPr>
        <w:t>21</w:t>
      </w:r>
      <w:r w:rsidRPr="00DC18EA">
        <w:rPr>
          <w:rFonts w:ascii="Times New Roman" w:hAnsi="Times New Roman"/>
          <w:lang w:val="es-ES_tradnl"/>
        </w:rPr>
        <w:t>%) y Loma de Cabrera (+</w:t>
      </w:r>
      <w:r>
        <w:rPr>
          <w:rFonts w:ascii="Times New Roman" w:hAnsi="Times New Roman"/>
          <w:lang w:val="es-ES_tradnl"/>
        </w:rPr>
        <w:t>42</w:t>
      </w:r>
      <w:r w:rsidRPr="00DC18EA">
        <w:rPr>
          <w:rFonts w:ascii="Times New Roman" w:hAnsi="Times New Roman"/>
          <w:lang w:val="es-ES_tradnl"/>
        </w:rPr>
        <w:t>.</w:t>
      </w:r>
      <w:r>
        <w:rPr>
          <w:rFonts w:ascii="Times New Roman" w:hAnsi="Times New Roman"/>
          <w:lang w:val="es-ES_tradnl"/>
        </w:rPr>
        <w:t>32</w:t>
      </w:r>
      <w:r w:rsidRPr="00DC18EA">
        <w:rPr>
          <w:rFonts w:ascii="Times New Roman" w:hAnsi="Times New Roman"/>
          <w:lang w:val="es-ES_tradnl"/>
        </w:rPr>
        <w:t>%)</w:t>
      </w:r>
    </w:p>
    <w:p w14:paraId="6FE73EC5" w14:textId="653C2351" w:rsidR="00F432E9" w:rsidRDefault="00F432E9">
      <w:pPr>
        <w:spacing w:after="0"/>
        <w:rPr>
          <w:lang w:val="es-ES_tradnl"/>
        </w:rPr>
      </w:pPr>
      <w:r>
        <w:rPr>
          <w:lang w:val="es-ES_tradnl"/>
        </w:rPr>
        <w:br w:type="page"/>
      </w:r>
    </w:p>
    <w:p w14:paraId="3152CB71" w14:textId="19AC4390" w:rsidR="002C75E0" w:rsidRDefault="002C75E0" w:rsidP="002C75E0">
      <w:pPr>
        <w:pStyle w:val="Ttulo1"/>
      </w:pPr>
      <w:bookmarkStart w:id="266" w:name="_Toc27146800"/>
      <w:bookmarkStart w:id="267" w:name="_Toc26292090"/>
      <w:bookmarkStart w:id="268" w:name="_Toc251777827"/>
      <w:bookmarkStart w:id="269" w:name="_Toc254413064"/>
      <w:bookmarkStart w:id="270" w:name="_Toc409040068"/>
      <w:bookmarkStart w:id="271" w:name="_Toc440036708"/>
      <w:bookmarkStart w:id="272" w:name="_Toc470523359"/>
      <w:r>
        <w:lastRenderedPageBreak/>
        <w:t xml:space="preserve">Reforma, </w:t>
      </w:r>
      <w:r w:rsidR="008354C5">
        <w:t>modernización</w:t>
      </w:r>
      <w:r>
        <w:t xml:space="preserve"> y fortalecimiento institucional</w:t>
      </w:r>
      <w:bookmarkEnd w:id="266"/>
    </w:p>
    <w:p w14:paraId="6B5BA191" w14:textId="77777777" w:rsidR="002C75E0" w:rsidRDefault="002C75E0" w:rsidP="002C75E0">
      <w:pPr>
        <w:spacing w:line="480" w:lineRule="auto"/>
        <w:rPr>
          <w:rFonts w:ascii="Times New Roman" w:hAnsi="Times New Roman"/>
          <w:lang w:val="es-ES_tradnl" w:eastAsia="en-US"/>
        </w:rPr>
      </w:pPr>
    </w:p>
    <w:p w14:paraId="4EDE497D" w14:textId="27069144" w:rsidR="002C75E0" w:rsidRPr="004245EB" w:rsidRDefault="002C75E0" w:rsidP="00954002">
      <w:pPr>
        <w:pStyle w:val="Ttulo2"/>
      </w:pPr>
      <w:bookmarkStart w:id="273" w:name="_Toc27146801"/>
      <w:r w:rsidRPr="004245EB">
        <w:t>Adquisición de frente de equipos pesados</w:t>
      </w:r>
      <w:r w:rsidR="008354C5" w:rsidRPr="004245EB">
        <w:t xml:space="preserve"> y livianos</w:t>
      </w:r>
      <w:bookmarkEnd w:id="273"/>
    </w:p>
    <w:p w14:paraId="055EF5C1" w14:textId="77777777" w:rsidR="008354C5" w:rsidRPr="004245EB" w:rsidRDefault="008354C5" w:rsidP="008354C5">
      <w:pPr>
        <w:rPr>
          <w:rFonts w:ascii="Times New Roman" w:hAnsi="Times New Roman"/>
          <w:lang w:val="es-ES_tradnl" w:eastAsia="en-US" w:bidi="en-US"/>
        </w:rPr>
      </w:pPr>
    </w:p>
    <w:p w14:paraId="41FFA5FB" w14:textId="078F6B79" w:rsidR="008354C5" w:rsidRPr="004245EB" w:rsidRDefault="008354C5" w:rsidP="00BB7F45">
      <w:pPr>
        <w:rPr>
          <w:rFonts w:ascii="Times New Roman" w:hAnsi="Times New Roman"/>
          <w:b/>
        </w:rPr>
      </w:pPr>
      <w:r w:rsidRPr="004245EB">
        <w:rPr>
          <w:rFonts w:ascii="Times New Roman" w:hAnsi="Times New Roman"/>
          <w:b/>
        </w:rPr>
        <w:t>Equipos Pesados</w:t>
      </w:r>
    </w:p>
    <w:p w14:paraId="5540E7EE" w14:textId="77777777" w:rsidR="002C75E0" w:rsidRPr="00B6203F" w:rsidRDefault="002C75E0" w:rsidP="008354C5">
      <w:pPr>
        <w:spacing w:after="0" w:line="480" w:lineRule="auto"/>
        <w:ind w:firstLine="720"/>
        <w:jc w:val="both"/>
        <w:rPr>
          <w:rFonts w:ascii="Times New Roman" w:hAnsi="Times New Roman"/>
          <w:lang w:val="es-ES_tradnl"/>
        </w:rPr>
      </w:pPr>
      <w:r w:rsidRPr="00B6203F">
        <w:rPr>
          <w:rFonts w:ascii="Times New Roman" w:hAnsi="Times New Roman"/>
          <w:lang w:val="es-ES_tradnl"/>
        </w:rPr>
        <w:t>Fortalecimiento de los servicios de apoyo a la producción agropecuaria, tales como mecanización y roturación de terrenos, limpieza de drenajes, construcción de caminos interparcelarios.</w:t>
      </w:r>
    </w:p>
    <w:p w14:paraId="40B6106F" w14:textId="29D84E95" w:rsidR="00073148" w:rsidRDefault="00073148">
      <w:pPr>
        <w:spacing w:after="0"/>
        <w:rPr>
          <w:rFonts w:ascii="Times New Roman" w:hAnsi="Times New Roman"/>
          <w:lang w:eastAsia="en-US"/>
        </w:rPr>
      </w:pPr>
    </w:p>
    <w:p w14:paraId="1209C3F3" w14:textId="32D8C1FB" w:rsidR="002C75E0" w:rsidRPr="004245EB" w:rsidRDefault="008354C5" w:rsidP="001C6B1A">
      <w:pPr>
        <w:pStyle w:val="Prrafodelista"/>
        <w:numPr>
          <w:ilvl w:val="0"/>
          <w:numId w:val="9"/>
        </w:numPr>
        <w:ind w:left="1260" w:hanging="1260"/>
        <w:rPr>
          <w:rFonts w:ascii="Times New Roman" w:hAnsi="Times New Roman"/>
          <w:b/>
          <w:sz w:val="24"/>
          <w:lang w:val="es-ES_tradnl"/>
        </w:rPr>
      </w:pPr>
      <w:r w:rsidRPr="004245EB">
        <w:rPr>
          <w:rFonts w:ascii="Times New Roman" w:hAnsi="Times New Roman"/>
          <w:b/>
          <w:sz w:val="24"/>
          <w:lang w:val="es-ES_tradnl"/>
        </w:rPr>
        <w:t>Relación</w:t>
      </w:r>
      <w:r w:rsidR="002C75E0" w:rsidRPr="004245EB">
        <w:rPr>
          <w:rFonts w:ascii="Times New Roman" w:hAnsi="Times New Roman"/>
          <w:b/>
          <w:sz w:val="24"/>
          <w:lang w:val="es-ES_tradnl"/>
        </w:rPr>
        <w:t xml:space="preserve"> de </w:t>
      </w:r>
      <w:r w:rsidRPr="004245EB">
        <w:rPr>
          <w:rFonts w:ascii="Times New Roman" w:hAnsi="Times New Roman"/>
          <w:b/>
          <w:sz w:val="24"/>
          <w:lang w:val="es-ES_tradnl"/>
        </w:rPr>
        <w:t>f</w:t>
      </w:r>
      <w:r w:rsidR="002C75E0" w:rsidRPr="004245EB">
        <w:rPr>
          <w:rFonts w:ascii="Times New Roman" w:hAnsi="Times New Roman"/>
          <w:b/>
          <w:sz w:val="24"/>
          <w:lang w:val="es-ES_tradnl"/>
        </w:rPr>
        <w:t xml:space="preserve">rente de equipos </w:t>
      </w:r>
      <w:r w:rsidRPr="004245EB">
        <w:rPr>
          <w:rFonts w:ascii="Times New Roman" w:hAnsi="Times New Roman"/>
          <w:b/>
          <w:sz w:val="24"/>
          <w:lang w:val="es-ES_tradnl"/>
        </w:rPr>
        <w:t xml:space="preserve">pesados </w:t>
      </w:r>
      <w:r w:rsidR="002C75E0" w:rsidRPr="004245EB">
        <w:rPr>
          <w:rFonts w:ascii="Times New Roman" w:hAnsi="Times New Roman"/>
          <w:b/>
          <w:sz w:val="24"/>
          <w:lang w:val="es-ES_tradnl"/>
        </w:rPr>
        <w:t>adquiridos</w:t>
      </w:r>
    </w:p>
    <w:p w14:paraId="3CC45524" w14:textId="77777777" w:rsidR="008354C5" w:rsidRPr="004245EB" w:rsidRDefault="008354C5" w:rsidP="00B6203F">
      <w:pPr>
        <w:pStyle w:val="Prrafodelista"/>
        <w:spacing w:after="0"/>
        <w:ind w:left="1260"/>
        <w:rPr>
          <w:rFonts w:ascii="Times New Roman" w:hAnsi="Times New Roman"/>
          <w:b/>
          <w:sz w:val="24"/>
          <w:lang w:val="es-ES_tradnl"/>
        </w:rPr>
      </w:pP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1276"/>
        <w:gridCol w:w="1842"/>
      </w:tblGrid>
      <w:tr w:rsidR="002C75E0" w:rsidRPr="004245EB" w14:paraId="67B5C84A" w14:textId="77777777" w:rsidTr="008354C5">
        <w:trPr>
          <w:trHeight w:val="315"/>
          <w:jc w:val="center"/>
        </w:trPr>
        <w:tc>
          <w:tcPr>
            <w:tcW w:w="4815" w:type="dxa"/>
            <w:shd w:val="clear" w:color="000000" w:fill="00B050"/>
            <w:noWrap/>
            <w:vAlign w:val="center"/>
            <w:hideMark/>
          </w:tcPr>
          <w:p w14:paraId="1158A16E" w14:textId="77777777" w:rsidR="002C75E0" w:rsidRPr="004245EB" w:rsidRDefault="002C75E0" w:rsidP="008354C5">
            <w:pPr>
              <w:spacing w:after="0"/>
              <w:jc w:val="center"/>
              <w:rPr>
                <w:rFonts w:ascii="Times New Roman" w:hAnsi="Times New Roman"/>
                <w:b/>
                <w:bCs/>
                <w:color w:val="FFFFFF"/>
              </w:rPr>
            </w:pPr>
            <w:r w:rsidRPr="004245EB">
              <w:rPr>
                <w:rFonts w:ascii="Times New Roman" w:hAnsi="Times New Roman"/>
                <w:b/>
                <w:bCs/>
                <w:color w:val="FFFFFF"/>
              </w:rPr>
              <w:t xml:space="preserve">Frente de Equipos Pesados </w:t>
            </w:r>
          </w:p>
        </w:tc>
        <w:tc>
          <w:tcPr>
            <w:tcW w:w="1276" w:type="dxa"/>
            <w:shd w:val="clear" w:color="000000" w:fill="00B050"/>
            <w:noWrap/>
            <w:vAlign w:val="center"/>
            <w:hideMark/>
          </w:tcPr>
          <w:p w14:paraId="1035C577" w14:textId="77777777" w:rsidR="002C75E0" w:rsidRPr="004245EB" w:rsidRDefault="002C75E0" w:rsidP="008354C5">
            <w:pPr>
              <w:spacing w:after="0"/>
              <w:jc w:val="center"/>
              <w:rPr>
                <w:rFonts w:ascii="Times New Roman" w:hAnsi="Times New Roman"/>
                <w:b/>
                <w:bCs/>
                <w:color w:val="FFFFFF"/>
              </w:rPr>
            </w:pPr>
            <w:r w:rsidRPr="004245EB">
              <w:rPr>
                <w:rFonts w:ascii="Times New Roman" w:hAnsi="Times New Roman"/>
                <w:b/>
                <w:bCs/>
                <w:color w:val="FFFFFF"/>
              </w:rPr>
              <w:t>Cantidad</w:t>
            </w:r>
          </w:p>
        </w:tc>
        <w:tc>
          <w:tcPr>
            <w:tcW w:w="1842" w:type="dxa"/>
            <w:shd w:val="clear" w:color="000000" w:fill="00B050"/>
            <w:noWrap/>
            <w:vAlign w:val="center"/>
            <w:hideMark/>
          </w:tcPr>
          <w:p w14:paraId="79E52B29" w14:textId="77777777" w:rsidR="002C75E0" w:rsidRPr="004245EB" w:rsidRDefault="002C75E0" w:rsidP="008354C5">
            <w:pPr>
              <w:spacing w:after="0"/>
              <w:jc w:val="center"/>
              <w:rPr>
                <w:rFonts w:ascii="Times New Roman" w:hAnsi="Times New Roman"/>
                <w:b/>
                <w:bCs/>
                <w:color w:val="FFFFFF"/>
              </w:rPr>
            </w:pPr>
            <w:r w:rsidRPr="004245EB">
              <w:rPr>
                <w:rFonts w:ascii="Times New Roman" w:hAnsi="Times New Roman"/>
                <w:b/>
                <w:bCs/>
                <w:color w:val="FFFFFF"/>
              </w:rPr>
              <w:t>Monta Total</w:t>
            </w:r>
          </w:p>
        </w:tc>
      </w:tr>
      <w:tr w:rsidR="002C75E0" w:rsidRPr="004245EB" w14:paraId="4BBAE2F9" w14:textId="77777777" w:rsidTr="008354C5">
        <w:trPr>
          <w:trHeight w:val="315"/>
          <w:jc w:val="center"/>
        </w:trPr>
        <w:tc>
          <w:tcPr>
            <w:tcW w:w="4815" w:type="dxa"/>
            <w:shd w:val="clear" w:color="auto" w:fill="auto"/>
            <w:noWrap/>
            <w:vAlign w:val="center"/>
            <w:hideMark/>
          </w:tcPr>
          <w:p w14:paraId="43D1BD96" w14:textId="77777777" w:rsidR="002C75E0" w:rsidRPr="004245EB" w:rsidRDefault="002C75E0" w:rsidP="008354C5">
            <w:pPr>
              <w:spacing w:after="0"/>
              <w:rPr>
                <w:rFonts w:ascii="Times New Roman" w:hAnsi="Times New Roman"/>
                <w:bCs/>
                <w:color w:val="000000"/>
              </w:rPr>
            </w:pPr>
            <w:r w:rsidRPr="004245EB">
              <w:rPr>
                <w:rFonts w:ascii="Times New Roman" w:hAnsi="Times New Roman"/>
                <w:bCs/>
                <w:color w:val="000000"/>
              </w:rPr>
              <w:t xml:space="preserve">Camión remolque (cabezote) </w:t>
            </w:r>
          </w:p>
        </w:tc>
        <w:tc>
          <w:tcPr>
            <w:tcW w:w="1276" w:type="dxa"/>
            <w:shd w:val="clear" w:color="auto" w:fill="auto"/>
            <w:noWrap/>
            <w:vAlign w:val="center"/>
            <w:hideMark/>
          </w:tcPr>
          <w:p w14:paraId="60630340" w14:textId="77777777" w:rsidR="002C75E0" w:rsidRPr="004245EB" w:rsidRDefault="002C75E0" w:rsidP="008354C5">
            <w:pPr>
              <w:spacing w:after="0"/>
              <w:jc w:val="center"/>
              <w:rPr>
                <w:rFonts w:ascii="Times New Roman" w:hAnsi="Times New Roman"/>
                <w:bCs/>
                <w:color w:val="000000"/>
              </w:rPr>
            </w:pPr>
            <w:r w:rsidRPr="004245EB">
              <w:rPr>
                <w:rFonts w:ascii="Times New Roman" w:hAnsi="Times New Roman"/>
                <w:bCs/>
                <w:color w:val="000000"/>
              </w:rPr>
              <w:t>5</w:t>
            </w:r>
          </w:p>
        </w:tc>
        <w:tc>
          <w:tcPr>
            <w:tcW w:w="1842" w:type="dxa"/>
            <w:shd w:val="clear" w:color="auto" w:fill="auto"/>
            <w:noWrap/>
            <w:vAlign w:val="center"/>
            <w:hideMark/>
          </w:tcPr>
          <w:p w14:paraId="51808D55" w14:textId="77777777" w:rsidR="002C75E0" w:rsidRPr="004245EB" w:rsidRDefault="002C75E0" w:rsidP="008354C5">
            <w:pPr>
              <w:spacing w:after="0"/>
              <w:jc w:val="right"/>
              <w:rPr>
                <w:rFonts w:ascii="Times New Roman" w:hAnsi="Times New Roman"/>
                <w:bCs/>
                <w:color w:val="000000"/>
              </w:rPr>
            </w:pPr>
            <w:r w:rsidRPr="004245EB">
              <w:rPr>
                <w:rFonts w:ascii="Times New Roman" w:hAnsi="Times New Roman"/>
                <w:bCs/>
                <w:color w:val="000000"/>
              </w:rPr>
              <w:t>32,573,470.50</w:t>
            </w:r>
          </w:p>
        </w:tc>
      </w:tr>
      <w:tr w:rsidR="002C75E0" w:rsidRPr="004245EB" w14:paraId="57E321D2" w14:textId="77777777" w:rsidTr="008354C5">
        <w:trPr>
          <w:trHeight w:val="315"/>
          <w:jc w:val="center"/>
        </w:trPr>
        <w:tc>
          <w:tcPr>
            <w:tcW w:w="4815" w:type="dxa"/>
            <w:shd w:val="clear" w:color="auto" w:fill="auto"/>
            <w:noWrap/>
            <w:vAlign w:val="center"/>
            <w:hideMark/>
          </w:tcPr>
          <w:p w14:paraId="5BA25647" w14:textId="77777777" w:rsidR="002C75E0" w:rsidRPr="004245EB" w:rsidRDefault="002C75E0" w:rsidP="008354C5">
            <w:pPr>
              <w:spacing w:after="0"/>
              <w:rPr>
                <w:rFonts w:ascii="Times New Roman" w:hAnsi="Times New Roman"/>
                <w:bCs/>
                <w:color w:val="000000"/>
              </w:rPr>
            </w:pPr>
            <w:r w:rsidRPr="004245EB">
              <w:rPr>
                <w:rFonts w:ascii="Times New Roman" w:hAnsi="Times New Roman"/>
                <w:bCs/>
                <w:color w:val="000000"/>
              </w:rPr>
              <w:t>Camión cama corta</w:t>
            </w:r>
          </w:p>
        </w:tc>
        <w:tc>
          <w:tcPr>
            <w:tcW w:w="1276" w:type="dxa"/>
            <w:shd w:val="clear" w:color="auto" w:fill="auto"/>
            <w:noWrap/>
            <w:vAlign w:val="center"/>
            <w:hideMark/>
          </w:tcPr>
          <w:p w14:paraId="7DD4CA3D" w14:textId="77777777" w:rsidR="002C75E0" w:rsidRPr="004245EB" w:rsidRDefault="002C75E0" w:rsidP="008354C5">
            <w:pPr>
              <w:spacing w:after="0"/>
              <w:jc w:val="center"/>
              <w:rPr>
                <w:rFonts w:ascii="Times New Roman" w:hAnsi="Times New Roman"/>
                <w:bCs/>
                <w:color w:val="000000"/>
              </w:rPr>
            </w:pPr>
            <w:r w:rsidRPr="004245EB">
              <w:rPr>
                <w:rFonts w:ascii="Times New Roman" w:hAnsi="Times New Roman"/>
                <w:bCs/>
                <w:color w:val="000000"/>
              </w:rPr>
              <w:t>20</w:t>
            </w:r>
          </w:p>
        </w:tc>
        <w:tc>
          <w:tcPr>
            <w:tcW w:w="1842" w:type="dxa"/>
            <w:shd w:val="clear" w:color="auto" w:fill="auto"/>
            <w:noWrap/>
            <w:vAlign w:val="center"/>
            <w:hideMark/>
          </w:tcPr>
          <w:p w14:paraId="675F8E4E" w14:textId="77777777" w:rsidR="002C75E0" w:rsidRPr="004245EB" w:rsidRDefault="002C75E0" w:rsidP="008354C5">
            <w:pPr>
              <w:spacing w:after="0"/>
              <w:jc w:val="right"/>
              <w:rPr>
                <w:rFonts w:ascii="Times New Roman" w:hAnsi="Times New Roman"/>
                <w:bCs/>
                <w:color w:val="000000"/>
              </w:rPr>
            </w:pPr>
            <w:r w:rsidRPr="004245EB">
              <w:rPr>
                <w:rFonts w:ascii="Times New Roman" w:hAnsi="Times New Roman"/>
                <w:bCs/>
                <w:color w:val="000000"/>
              </w:rPr>
              <w:t>39,066,000.00</w:t>
            </w:r>
          </w:p>
        </w:tc>
      </w:tr>
      <w:tr w:rsidR="002C75E0" w:rsidRPr="004245EB" w14:paraId="28A6308E" w14:textId="77777777" w:rsidTr="008354C5">
        <w:trPr>
          <w:trHeight w:val="315"/>
          <w:jc w:val="center"/>
        </w:trPr>
        <w:tc>
          <w:tcPr>
            <w:tcW w:w="4815" w:type="dxa"/>
            <w:shd w:val="clear" w:color="auto" w:fill="auto"/>
            <w:noWrap/>
            <w:vAlign w:val="center"/>
            <w:hideMark/>
          </w:tcPr>
          <w:p w14:paraId="3F956D2D" w14:textId="77777777" w:rsidR="002C75E0" w:rsidRPr="004245EB" w:rsidRDefault="002C75E0" w:rsidP="008354C5">
            <w:pPr>
              <w:spacing w:after="0"/>
              <w:rPr>
                <w:rFonts w:ascii="Times New Roman" w:hAnsi="Times New Roman"/>
                <w:bCs/>
                <w:color w:val="000000"/>
              </w:rPr>
            </w:pPr>
            <w:r w:rsidRPr="004245EB">
              <w:rPr>
                <w:rFonts w:ascii="Times New Roman" w:hAnsi="Times New Roman"/>
                <w:bCs/>
                <w:color w:val="000000"/>
              </w:rPr>
              <w:t>Camión volteo 6 mts3</w:t>
            </w:r>
          </w:p>
        </w:tc>
        <w:tc>
          <w:tcPr>
            <w:tcW w:w="1276" w:type="dxa"/>
            <w:shd w:val="clear" w:color="auto" w:fill="auto"/>
            <w:noWrap/>
            <w:vAlign w:val="center"/>
            <w:hideMark/>
          </w:tcPr>
          <w:p w14:paraId="628A22CC" w14:textId="77777777" w:rsidR="002C75E0" w:rsidRPr="004245EB" w:rsidRDefault="002C75E0" w:rsidP="008354C5">
            <w:pPr>
              <w:spacing w:after="0"/>
              <w:jc w:val="center"/>
              <w:rPr>
                <w:rFonts w:ascii="Times New Roman" w:hAnsi="Times New Roman"/>
                <w:bCs/>
                <w:color w:val="000000"/>
              </w:rPr>
            </w:pPr>
            <w:r w:rsidRPr="004245EB">
              <w:rPr>
                <w:rFonts w:ascii="Times New Roman" w:hAnsi="Times New Roman"/>
                <w:bCs/>
                <w:color w:val="000000"/>
              </w:rPr>
              <w:t>10</w:t>
            </w:r>
          </w:p>
        </w:tc>
        <w:tc>
          <w:tcPr>
            <w:tcW w:w="1842" w:type="dxa"/>
            <w:shd w:val="clear" w:color="auto" w:fill="auto"/>
            <w:noWrap/>
            <w:vAlign w:val="center"/>
            <w:hideMark/>
          </w:tcPr>
          <w:p w14:paraId="6865E8F0" w14:textId="77777777" w:rsidR="002C75E0" w:rsidRPr="004245EB" w:rsidRDefault="002C75E0" w:rsidP="008354C5">
            <w:pPr>
              <w:spacing w:after="0"/>
              <w:jc w:val="right"/>
              <w:rPr>
                <w:rFonts w:ascii="Times New Roman" w:hAnsi="Times New Roman"/>
                <w:bCs/>
                <w:color w:val="000000"/>
              </w:rPr>
            </w:pPr>
            <w:r w:rsidRPr="004245EB">
              <w:rPr>
                <w:rFonts w:ascii="Times New Roman" w:hAnsi="Times New Roman"/>
                <w:bCs/>
                <w:color w:val="000000"/>
              </w:rPr>
              <w:t>45,901,994.10</w:t>
            </w:r>
          </w:p>
        </w:tc>
      </w:tr>
      <w:tr w:rsidR="002C75E0" w:rsidRPr="004245EB" w14:paraId="11A8B86E" w14:textId="77777777" w:rsidTr="008354C5">
        <w:trPr>
          <w:trHeight w:val="315"/>
          <w:jc w:val="center"/>
        </w:trPr>
        <w:tc>
          <w:tcPr>
            <w:tcW w:w="4815" w:type="dxa"/>
            <w:shd w:val="clear" w:color="auto" w:fill="auto"/>
            <w:noWrap/>
            <w:vAlign w:val="center"/>
            <w:hideMark/>
          </w:tcPr>
          <w:p w14:paraId="0AA18A9C" w14:textId="77777777" w:rsidR="002C75E0" w:rsidRPr="004245EB" w:rsidRDefault="002C75E0" w:rsidP="008354C5">
            <w:pPr>
              <w:spacing w:after="0"/>
              <w:rPr>
                <w:rFonts w:ascii="Times New Roman" w:hAnsi="Times New Roman"/>
                <w:bCs/>
                <w:color w:val="000000"/>
              </w:rPr>
            </w:pPr>
            <w:r w:rsidRPr="004245EB">
              <w:rPr>
                <w:rFonts w:ascii="Times New Roman" w:hAnsi="Times New Roman"/>
                <w:bCs/>
                <w:color w:val="000000"/>
              </w:rPr>
              <w:t>Camión volteo 10 mts3</w:t>
            </w:r>
          </w:p>
        </w:tc>
        <w:tc>
          <w:tcPr>
            <w:tcW w:w="1276" w:type="dxa"/>
            <w:shd w:val="clear" w:color="auto" w:fill="auto"/>
            <w:noWrap/>
            <w:vAlign w:val="center"/>
            <w:hideMark/>
          </w:tcPr>
          <w:p w14:paraId="724F4009" w14:textId="77777777" w:rsidR="002C75E0" w:rsidRPr="004245EB" w:rsidRDefault="002C75E0" w:rsidP="008354C5">
            <w:pPr>
              <w:spacing w:after="0"/>
              <w:jc w:val="center"/>
              <w:rPr>
                <w:rFonts w:ascii="Times New Roman" w:hAnsi="Times New Roman"/>
                <w:bCs/>
                <w:color w:val="000000"/>
              </w:rPr>
            </w:pPr>
            <w:r w:rsidRPr="004245EB">
              <w:rPr>
                <w:rFonts w:ascii="Times New Roman" w:hAnsi="Times New Roman"/>
                <w:bCs/>
                <w:color w:val="000000"/>
              </w:rPr>
              <w:t>5</w:t>
            </w:r>
          </w:p>
        </w:tc>
        <w:tc>
          <w:tcPr>
            <w:tcW w:w="1842" w:type="dxa"/>
            <w:shd w:val="clear" w:color="auto" w:fill="auto"/>
            <w:noWrap/>
            <w:vAlign w:val="center"/>
            <w:hideMark/>
          </w:tcPr>
          <w:p w14:paraId="65589067" w14:textId="77777777" w:rsidR="002C75E0" w:rsidRPr="004245EB" w:rsidRDefault="002C75E0" w:rsidP="008354C5">
            <w:pPr>
              <w:spacing w:after="0"/>
              <w:jc w:val="right"/>
              <w:rPr>
                <w:rFonts w:ascii="Times New Roman" w:hAnsi="Times New Roman"/>
                <w:bCs/>
                <w:color w:val="000000"/>
              </w:rPr>
            </w:pPr>
            <w:r w:rsidRPr="004245EB">
              <w:rPr>
                <w:rFonts w:ascii="Times New Roman" w:hAnsi="Times New Roman"/>
                <w:bCs/>
                <w:color w:val="000000"/>
              </w:rPr>
              <w:t>37,226,994.10</w:t>
            </w:r>
          </w:p>
        </w:tc>
      </w:tr>
      <w:tr w:rsidR="002C75E0" w:rsidRPr="004245EB" w14:paraId="1F40F516" w14:textId="77777777" w:rsidTr="008354C5">
        <w:trPr>
          <w:trHeight w:val="315"/>
          <w:jc w:val="center"/>
        </w:trPr>
        <w:tc>
          <w:tcPr>
            <w:tcW w:w="4815" w:type="dxa"/>
            <w:shd w:val="clear" w:color="auto" w:fill="auto"/>
            <w:noWrap/>
            <w:vAlign w:val="center"/>
            <w:hideMark/>
          </w:tcPr>
          <w:p w14:paraId="10B814DA" w14:textId="77777777" w:rsidR="002C75E0" w:rsidRPr="004245EB" w:rsidRDefault="002C75E0" w:rsidP="008354C5">
            <w:pPr>
              <w:spacing w:after="0"/>
              <w:rPr>
                <w:rFonts w:ascii="Times New Roman" w:hAnsi="Times New Roman"/>
                <w:bCs/>
                <w:color w:val="000000"/>
              </w:rPr>
            </w:pPr>
            <w:r w:rsidRPr="004245EB">
              <w:rPr>
                <w:rFonts w:ascii="Times New Roman" w:hAnsi="Times New Roman"/>
                <w:bCs/>
                <w:color w:val="000000"/>
              </w:rPr>
              <w:t>Camión volteo 8 mts3</w:t>
            </w:r>
          </w:p>
        </w:tc>
        <w:tc>
          <w:tcPr>
            <w:tcW w:w="1276" w:type="dxa"/>
            <w:shd w:val="clear" w:color="auto" w:fill="auto"/>
            <w:noWrap/>
            <w:vAlign w:val="center"/>
            <w:hideMark/>
          </w:tcPr>
          <w:p w14:paraId="0104AE37" w14:textId="77777777" w:rsidR="002C75E0" w:rsidRPr="004245EB" w:rsidRDefault="002C75E0" w:rsidP="008354C5">
            <w:pPr>
              <w:spacing w:after="0"/>
              <w:jc w:val="center"/>
              <w:rPr>
                <w:rFonts w:ascii="Times New Roman" w:hAnsi="Times New Roman"/>
                <w:bCs/>
                <w:color w:val="000000"/>
              </w:rPr>
            </w:pPr>
            <w:r w:rsidRPr="004245EB">
              <w:rPr>
                <w:rFonts w:ascii="Times New Roman" w:hAnsi="Times New Roman"/>
                <w:bCs/>
                <w:color w:val="000000"/>
              </w:rPr>
              <w:t>5</w:t>
            </w:r>
          </w:p>
        </w:tc>
        <w:tc>
          <w:tcPr>
            <w:tcW w:w="1842" w:type="dxa"/>
            <w:shd w:val="clear" w:color="auto" w:fill="auto"/>
            <w:noWrap/>
            <w:vAlign w:val="center"/>
            <w:hideMark/>
          </w:tcPr>
          <w:p w14:paraId="2B9C1E3E" w14:textId="77777777" w:rsidR="002C75E0" w:rsidRPr="004245EB" w:rsidRDefault="002C75E0" w:rsidP="008354C5">
            <w:pPr>
              <w:spacing w:after="0"/>
              <w:jc w:val="right"/>
              <w:rPr>
                <w:rFonts w:ascii="Times New Roman" w:hAnsi="Times New Roman"/>
                <w:bCs/>
                <w:color w:val="000000"/>
              </w:rPr>
            </w:pPr>
            <w:r w:rsidRPr="004245EB">
              <w:rPr>
                <w:rFonts w:ascii="Times New Roman" w:hAnsi="Times New Roman"/>
                <w:bCs/>
                <w:color w:val="000000"/>
              </w:rPr>
              <w:t>30,091,994.10</w:t>
            </w:r>
          </w:p>
        </w:tc>
      </w:tr>
      <w:tr w:rsidR="002C75E0" w:rsidRPr="004245EB" w14:paraId="618C59F4" w14:textId="77777777" w:rsidTr="008354C5">
        <w:trPr>
          <w:trHeight w:val="315"/>
          <w:jc w:val="center"/>
        </w:trPr>
        <w:tc>
          <w:tcPr>
            <w:tcW w:w="4815" w:type="dxa"/>
            <w:shd w:val="clear" w:color="auto" w:fill="auto"/>
            <w:noWrap/>
            <w:vAlign w:val="center"/>
            <w:hideMark/>
          </w:tcPr>
          <w:p w14:paraId="1A0713B1" w14:textId="77777777" w:rsidR="002C75E0" w:rsidRPr="004245EB" w:rsidRDefault="002C75E0" w:rsidP="008354C5">
            <w:pPr>
              <w:spacing w:after="0"/>
              <w:rPr>
                <w:rFonts w:ascii="Times New Roman" w:hAnsi="Times New Roman"/>
                <w:bCs/>
                <w:color w:val="000000"/>
              </w:rPr>
            </w:pPr>
            <w:r w:rsidRPr="004245EB">
              <w:rPr>
                <w:rFonts w:ascii="Times New Roman" w:hAnsi="Times New Roman"/>
                <w:bCs/>
                <w:color w:val="000000"/>
              </w:rPr>
              <w:t>Compactador (rodillo)</w:t>
            </w:r>
          </w:p>
        </w:tc>
        <w:tc>
          <w:tcPr>
            <w:tcW w:w="1276" w:type="dxa"/>
            <w:shd w:val="clear" w:color="auto" w:fill="auto"/>
            <w:noWrap/>
            <w:vAlign w:val="center"/>
            <w:hideMark/>
          </w:tcPr>
          <w:p w14:paraId="1C8B1C19" w14:textId="77777777" w:rsidR="002C75E0" w:rsidRPr="004245EB" w:rsidRDefault="002C75E0" w:rsidP="008354C5">
            <w:pPr>
              <w:spacing w:after="0"/>
              <w:jc w:val="center"/>
              <w:rPr>
                <w:rFonts w:ascii="Times New Roman" w:hAnsi="Times New Roman"/>
                <w:bCs/>
                <w:color w:val="000000"/>
              </w:rPr>
            </w:pPr>
            <w:r w:rsidRPr="004245EB">
              <w:rPr>
                <w:rFonts w:ascii="Times New Roman" w:hAnsi="Times New Roman"/>
                <w:bCs/>
                <w:color w:val="000000"/>
              </w:rPr>
              <w:t>5</w:t>
            </w:r>
          </w:p>
        </w:tc>
        <w:tc>
          <w:tcPr>
            <w:tcW w:w="1842" w:type="dxa"/>
            <w:shd w:val="clear" w:color="auto" w:fill="auto"/>
            <w:noWrap/>
            <w:vAlign w:val="center"/>
            <w:hideMark/>
          </w:tcPr>
          <w:p w14:paraId="1FC19C0D" w14:textId="77777777" w:rsidR="002C75E0" w:rsidRPr="004245EB" w:rsidRDefault="002C75E0" w:rsidP="008354C5">
            <w:pPr>
              <w:spacing w:after="0"/>
              <w:jc w:val="right"/>
              <w:rPr>
                <w:rFonts w:ascii="Times New Roman" w:hAnsi="Times New Roman"/>
                <w:bCs/>
                <w:color w:val="000000"/>
              </w:rPr>
            </w:pPr>
            <w:r w:rsidRPr="004245EB">
              <w:rPr>
                <w:rFonts w:ascii="Times New Roman" w:hAnsi="Times New Roman"/>
                <w:bCs/>
                <w:color w:val="000000"/>
              </w:rPr>
              <w:t>34,678,992.40</w:t>
            </w:r>
          </w:p>
        </w:tc>
      </w:tr>
      <w:tr w:rsidR="002C75E0" w:rsidRPr="004245EB" w14:paraId="57B9CD27" w14:textId="77777777" w:rsidTr="008354C5">
        <w:trPr>
          <w:trHeight w:val="315"/>
          <w:jc w:val="center"/>
        </w:trPr>
        <w:tc>
          <w:tcPr>
            <w:tcW w:w="4815" w:type="dxa"/>
            <w:shd w:val="clear" w:color="auto" w:fill="auto"/>
            <w:noWrap/>
            <w:vAlign w:val="center"/>
            <w:hideMark/>
          </w:tcPr>
          <w:p w14:paraId="6063C2D0" w14:textId="77777777" w:rsidR="002C75E0" w:rsidRPr="004245EB" w:rsidRDefault="002C75E0" w:rsidP="008354C5">
            <w:pPr>
              <w:spacing w:after="0"/>
              <w:rPr>
                <w:rFonts w:ascii="Times New Roman" w:hAnsi="Times New Roman"/>
                <w:bCs/>
                <w:color w:val="000000"/>
              </w:rPr>
            </w:pPr>
            <w:r w:rsidRPr="004245EB">
              <w:rPr>
                <w:rFonts w:ascii="Times New Roman" w:hAnsi="Times New Roman"/>
                <w:bCs/>
                <w:color w:val="000000"/>
              </w:rPr>
              <w:t>Excavadora hidráulica</w:t>
            </w:r>
          </w:p>
        </w:tc>
        <w:tc>
          <w:tcPr>
            <w:tcW w:w="1276" w:type="dxa"/>
            <w:shd w:val="clear" w:color="auto" w:fill="auto"/>
            <w:noWrap/>
            <w:vAlign w:val="center"/>
            <w:hideMark/>
          </w:tcPr>
          <w:p w14:paraId="6E358D8F" w14:textId="77777777" w:rsidR="002C75E0" w:rsidRPr="004245EB" w:rsidRDefault="002C75E0" w:rsidP="008354C5">
            <w:pPr>
              <w:spacing w:after="0"/>
              <w:jc w:val="center"/>
              <w:rPr>
                <w:rFonts w:ascii="Times New Roman" w:hAnsi="Times New Roman"/>
                <w:bCs/>
                <w:color w:val="000000"/>
              </w:rPr>
            </w:pPr>
            <w:r w:rsidRPr="004245EB">
              <w:rPr>
                <w:rFonts w:ascii="Times New Roman" w:hAnsi="Times New Roman"/>
                <w:bCs/>
                <w:color w:val="000000"/>
              </w:rPr>
              <w:t>5</w:t>
            </w:r>
          </w:p>
        </w:tc>
        <w:tc>
          <w:tcPr>
            <w:tcW w:w="1842" w:type="dxa"/>
            <w:shd w:val="clear" w:color="auto" w:fill="auto"/>
            <w:noWrap/>
            <w:vAlign w:val="center"/>
            <w:hideMark/>
          </w:tcPr>
          <w:p w14:paraId="1784ABA6" w14:textId="77777777" w:rsidR="002C75E0" w:rsidRPr="004245EB" w:rsidRDefault="002C75E0" w:rsidP="008354C5">
            <w:pPr>
              <w:spacing w:after="0"/>
              <w:jc w:val="right"/>
              <w:rPr>
                <w:rFonts w:ascii="Times New Roman" w:hAnsi="Times New Roman"/>
                <w:bCs/>
                <w:color w:val="000000"/>
              </w:rPr>
            </w:pPr>
            <w:r w:rsidRPr="004245EB">
              <w:rPr>
                <w:rFonts w:ascii="Times New Roman" w:hAnsi="Times New Roman"/>
                <w:bCs/>
                <w:color w:val="000000"/>
              </w:rPr>
              <w:t>60,300,263.85</w:t>
            </w:r>
          </w:p>
        </w:tc>
      </w:tr>
      <w:tr w:rsidR="002C75E0" w:rsidRPr="004245EB" w14:paraId="1005DDDE" w14:textId="77777777" w:rsidTr="008354C5">
        <w:trPr>
          <w:trHeight w:val="315"/>
          <w:jc w:val="center"/>
        </w:trPr>
        <w:tc>
          <w:tcPr>
            <w:tcW w:w="4815" w:type="dxa"/>
            <w:shd w:val="clear" w:color="auto" w:fill="auto"/>
            <w:noWrap/>
            <w:vAlign w:val="center"/>
            <w:hideMark/>
          </w:tcPr>
          <w:p w14:paraId="0E0046CF" w14:textId="77777777" w:rsidR="002C75E0" w:rsidRPr="004245EB" w:rsidRDefault="002C75E0" w:rsidP="008354C5">
            <w:pPr>
              <w:spacing w:after="0"/>
              <w:rPr>
                <w:rFonts w:ascii="Times New Roman" w:hAnsi="Times New Roman"/>
                <w:bCs/>
                <w:color w:val="000000"/>
              </w:rPr>
            </w:pPr>
            <w:r w:rsidRPr="004245EB">
              <w:rPr>
                <w:rFonts w:ascii="Times New Roman" w:hAnsi="Times New Roman"/>
                <w:bCs/>
                <w:color w:val="000000"/>
              </w:rPr>
              <w:t>Motoniveladora (gredar)</w:t>
            </w:r>
          </w:p>
        </w:tc>
        <w:tc>
          <w:tcPr>
            <w:tcW w:w="1276" w:type="dxa"/>
            <w:shd w:val="clear" w:color="auto" w:fill="auto"/>
            <w:noWrap/>
            <w:vAlign w:val="center"/>
            <w:hideMark/>
          </w:tcPr>
          <w:p w14:paraId="3BA92D6B" w14:textId="77777777" w:rsidR="002C75E0" w:rsidRPr="004245EB" w:rsidRDefault="002C75E0" w:rsidP="008354C5">
            <w:pPr>
              <w:spacing w:after="0"/>
              <w:jc w:val="center"/>
              <w:rPr>
                <w:rFonts w:ascii="Times New Roman" w:hAnsi="Times New Roman"/>
                <w:bCs/>
                <w:color w:val="000000"/>
              </w:rPr>
            </w:pPr>
            <w:r w:rsidRPr="004245EB">
              <w:rPr>
                <w:rFonts w:ascii="Times New Roman" w:hAnsi="Times New Roman"/>
                <w:bCs/>
                <w:color w:val="000000"/>
              </w:rPr>
              <w:t>5</w:t>
            </w:r>
          </w:p>
        </w:tc>
        <w:tc>
          <w:tcPr>
            <w:tcW w:w="1842" w:type="dxa"/>
            <w:shd w:val="clear" w:color="auto" w:fill="auto"/>
            <w:noWrap/>
            <w:vAlign w:val="center"/>
            <w:hideMark/>
          </w:tcPr>
          <w:p w14:paraId="644040E1" w14:textId="77777777" w:rsidR="002C75E0" w:rsidRPr="004245EB" w:rsidRDefault="002C75E0" w:rsidP="008354C5">
            <w:pPr>
              <w:spacing w:after="0"/>
              <w:jc w:val="right"/>
              <w:rPr>
                <w:rFonts w:ascii="Times New Roman" w:hAnsi="Times New Roman"/>
                <w:bCs/>
                <w:color w:val="000000"/>
              </w:rPr>
            </w:pPr>
            <w:r w:rsidRPr="004245EB">
              <w:rPr>
                <w:rFonts w:ascii="Times New Roman" w:hAnsi="Times New Roman"/>
                <w:bCs/>
                <w:color w:val="000000"/>
              </w:rPr>
              <w:t>61,446,495.75</w:t>
            </w:r>
          </w:p>
        </w:tc>
      </w:tr>
      <w:tr w:rsidR="002C75E0" w:rsidRPr="004245EB" w14:paraId="27F0ED0B" w14:textId="77777777" w:rsidTr="008354C5">
        <w:trPr>
          <w:trHeight w:val="315"/>
          <w:jc w:val="center"/>
        </w:trPr>
        <w:tc>
          <w:tcPr>
            <w:tcW w:w="4815" w:type="dxa"/>
            <w:shd w:val="clear" w:color="auto" w:fill="auto"/>
            <w:noWrap/>
            <w:vAlign w:val="center"/>
            <w:hideMark/>
          </w:tcPr>
          <w:p w14:paraId="4C1D573A" w14:textId="77777777" w:rsidR="002C75E0" w:rsidRPr="004245EB" w:rsidRDefault="002C75E0" w:rsidP="008354C5">
            <w:pPr>
              <w:spacing w:after="0"/>
              <w:rPr>
                <w:rFonts w:ascii="Times New Roman" w:hAnsi="Times New Roman"/>
                <w:bCs/>
                <w:color w:val="000000"/>
              </w:rPr>
            </w:pPr>
            <w:r w:rsidRPr="004245EB">
              <w:rPr>
                <w:rFonts w:ascii="Times New Roman" w:hAnsi="Times New Roman"/>
                <w:bCs/>
                <w:color w:val="000000"/>
              </w:rPr>
              <w:t>Pala mecánica</w:t>
            </w:r>
          </w:p>
        </w:tc>
        <w:tc>
          <w:tcPr>
            <w:tcW w:w="1276" w:type="dxa"/>
            <w:shd w:val="clear" w:color="auto" w:fill="auto"/>
            <w:noWrap/>
            <w:vAlign w:val="center"/>
            <w:hideMark/>
          </w:tcPr>
          <w:p w14:paraId="1CA83426" w14:textId="77777777" w:rsidR="002C75E0" w:rsidRPr="004245EB" w:rsidRDefault="002C75E0" w:rsidP="008354C5">
            <w:pPr>
              <w:spacing w:after="0"/>
              <w:jc w:val="center"/>
              <w:rPr>
                <w:rFonts w:ascii="Times New Roman" w:hAnsi="Times New Roman"/>
                <w:bCs/>
                <w:color w:val="000000"/>
              </w:rPr>
            </w:pPr>
            <w:r w:rsidRPr="004245EB">
              <w:rPr>
                <w:rFonts w:ascii="Times New Roman" w:hAnsi="Times New Roman"/>
                <w:bCs/>
                <w:color w:val="000000"/>
              </w:rPr>
              <w:t>5</w:t>
            </w:r>
          </w:p>
        </w:tc>
        <w:tc>
          <w:tcPr>
            <w:tcW w:w="1842" w:type="dxa"/>
            <w:shd w:val="clear" w:color="auto" w:fill="auto"/>
            <w:noWrap/>
            <w:vAlign w:val="center"/>
            <w:hideMark/>
          </w:tcPr>
          <w:p w14:paraId="7BE554BE" w14:textId="77777777" w:rsidR="002C75E0" w:rsidRPr="004245EB" w:rsidRDefault="002C75E0" w:rsidP="008354C5">
            <w:pPr>
              <w:spacing w:after="0"/>
              <w:jc w:val="right"/>
              <w:rPr>
                <w:rFonts w:ascii="Times New Roman" w:hAnsi="Times New Roman"/>
                <w:bCs/>
                <w:color w:val="000000"/>
              </w:rPr>
            </w:pPr>
            <w:r w:rsidRPr="004245EB">
              <w:rPr>
                <w:rFonts w:ascii="Times New Roman" w:hAnsi="Times New Roman"/>
                <w:bCs/>
                <w:color w:val="000000"/>
              </w:rPr>
              <w:t>60,867,700.59</w:t>
            </w:r>
          </w:p>
        </w:tc>
      </w:tr>
      <w:tr w:rsidR="002C75E0" w:rsidRPr="004245EB" w14:paraId="51CBF98C" w14:textId="77777777" w:rsidTr="008354C5">
        <w:trPr>
          <w:trHeight w:val="315"/>
          <w:jc w:val="center"/>
        </w:trPr>
        <w:tc>
          <w:tcPr>
            <w:tcW w:w="4815" w:type="dxa"/>
            <w:shd w:val="clear" w:color="auto" w:fill="auto"/>
            <w:noWrap/>
            <w:vAlign w:val="center"/>
            <w:hideMark/>
          </w:tcPr>
          <w:p w14:paraId="60C287C0" w14:textId="77777777" w:rsidR="002C75E0" w:rsidRPr="004245EB" w:rsidRDefault="002C75E0" w:rsidP="008354C5">
            <w:pPr>
              <w:spacing w:after="0"/>
              <w:rPr>
                <w:rFonts w:ascii="Times New Roman" w:hAnsi="Times New Roman"/>
                <w:bCs/>
                <w:color w:val="000000"/>
              </w:rPr>
            </w:pPr>
            <w:r w:rsidRPr="004245EB">
              <w:rPr>
                <w:rFonts w:ascii="Times New Roman" w:hAnsi="Times New Roman"/>
                <w:bCs/>
                <w:color w:val="000000"/>
              </w:rPr>
              <w:t>Plataforma para transporte de equipos (low boy)</w:t>
            </w:r>
          </w:p>
        </w:tc>
        <w:tc>
          <w:tcPr>
            <w:tcW w:w="1276" w:type="dxa"/>
            <w:shd w:val="clear" w:color="auto" w:fill="auto"/>
            <w:noWrap/>
            <w:vAlign w:val="center"/>
            <w:hideMark/>
          </w:tcPr>
          <w:p w14:paraId="21DEB8E7" w14:textId="77777777" w:rsidR="002C75E0" w:rsidRPr="004245EB" w:rsidRDefault="002C75E0" w:rsidP="008354C5">
            <w:pPr>
              <w:spacing w:after="0"/>
              <w:jc w:val="center"/>
              <w:rPr>
                <w:rFonts w:ascii="Times New Roman" w:hAnsi="Times New Roman"/>
                <w:bCs/>
                <w:color w:val="000000"/>
              </w:rPr>
            </w:pPr>
            <w:r w:rsidRPr="004245EB">
              <w:rPr>
                <w:rFonts w:ascii="Times New Roman" w:hAnsi="Times New Roman"/>
                <w:bCs/>
                <w:color w:val="000000"/>
              </w:rPr>
              <w:t>5</w:t>
            </w:r>
          </w:p>
        </w:tc>
        <w:tc>
          <w:tcPr>
            <w:tcW w:w="1842" w:type="dxa"/>
            <w:shd w:val="clear" w:color="auto" w:fill="auto"/>
            <w:noWrap/>
            <w:vAlign w:val="center"/>
            <w:hideMark/>
          </w:tcPr>
          <w:p w14:paraId="78683BD3" w14:textId="77777777" w:rsidR="002C75E0" w:rsidRPr="004245EB" w:rsidRDefault="002C75E0" w:rsidP="008354C5">
            <w:pPr>
              <w:spacing w:after="0"/>
              <w:jc w:val="right"/>
              <w:rPr>
                <w:rFonts w:ascii="Times New Roman" w:hAnsi="Times New Roman"/>
                <w:bCs/>
                <w:color w:val="000000"/>
              </w:rPr>
            </w:pPr>
            <w:r w:rsidRPr="004245EB">
              <w:rPr>
                <w:rFonts w:ascii="Times New Roman" w:hAnsi="Times New Roman"/>
                <w:bCs/>
                <w:color w:val="000000"/>
              </w:rPr>
              <w:t>39,258,364.00</w:t>
            </w:r>
          </w:p>
        </w:tc>
      </w:tr>
      <w:tr w:rsidR="002C75E0" w:rsidRPr="004245EB" w14:paraId="2E1ABE7F" w14:textId="77777777" w:rsidTr="008354C5">
        <w:trPr>
          <w:trHeight w:val="315"/>
          <w:jc w:val="center"/>
        </w:trPr>
        <w:tc>
          <w:tcPr>
            <w:tcW w:w="4815" w:type="dxa"/>
            <w:shd w:val="clear" w:color="auto" w:fill="auto"/>
            <w:noWrap/>
            <w:vAlign w:val="center"/>
            <w:hideMark/>
          </w:tcPr>
          <w:p w14:paraId="19315F48" w14:textId="77777777" w:rsidR="002C75E0" w:rsidRPr="004245EB" w:rsidRDefault="002C75E0" w:rsidP="008354C5">
            <w:pPr>
              <w:spacing w:after="0"/>
              <w:rPr>
                <w:rFonts w:ascii="Times New Roman" w:hAnsi="Times New Roman"/>
                <w:bCs/>
                <w:color w:val="000000"/>
              </w:rPr>
            </w:pPr>
            <w:r w:rsidRPr="004245EB">
              <w:rPr>
                <w:rFonts w:ascii="Times New Roman" w:hAnsi="Times New Roman"/>
                <w:bCs/>
                <w:color w:val="000000"/>
              </w:rPr>
              <w:t>Tractor de oruga (bulldozer)</w:t>
            </w:r>
          </w:p>
        </w:tc>
        <w:tc>
          <w:tcPr>
            <w:tcW w:w="1276" w:type="dxa"/>
            <w:shd w:val="clear" w:color="auto" w:fill="auto"/>
            <w:noWrap/>
            <w:vAlign w:val="center"/>
            <w:hideMark/>
          </w:tcPr>
          <w:p w14:paraId="16210475" w14:textId="77777777" w:rsidR="002C75E0" w:rsidRPr="004245EB" w:rsidRDefault="002C75E0" w:rsidP="008354C5">
            <w:pPr>
              <w:spacing w:after="0"/>
              <w:jc w:val="center"/>
              <w:rPr>
                <w:rFonts w:ascii="Times New Roman" w:hAnsi="Times New Roman"/>
                <w:bCs/>
                <w:color w:val="000000"/>
              </w:rPr>
            </w:pPr>
            <w:r w:rsidRPr="004245EB">
              <w:rPr>
                <w:rFonts w:ascii="Times New Roman" w:hAnsi="Times New Roman"/>
                <w:bCs/>
                <w:color w:val="000000"/>
              </w:rPr>
              <w:t>5</w:t>
            </w:r>
          </w:p>
        </w:tc>
        <w:tc>
          <w:tcPr>
            <w:tcW w:w="1842" w:type="dxa"/>
            <w:shd w:val="clear" w:color="auto" w:fill="auto"/>
            <w:noWrap/>
            <w:vAlign w:val="center"/>
            <w:hideMark/>
          </w:tcPr>
          <w:p w14:paraId="0BB4B1EE" w14:textId="77777777" w:rsidR="002C75E0" w:rsidRPr="004245EB" w:rsidRDefault="002C75E0" w:rsidP="008354C5">
            <w:pPr>
              <w:spacing w:after="0"/>
              <w:jc w:val="right"/>
              <w:rPr>
                <w:rFonts w:ascii="Times New Roman" w:hAnsi="Times New Roman"/>
                <w:bCs/>
                <w:color w:val="000000"/>
              </w:rPr>
            </w:pPr>
            <w:r w:rsidRPr="004245EB">
              <w:rPr>
                <w:rFonts w:ascii="Times New Roman" w:hAnsi="Times New Roman"/>
                <w:bCs/>
                <w:color w:val="000000"/>
              </w:rPr>
              <w:t>83,263,356.10</w:t>
            </w:r>
          </w:p>
        </w:tc>
      </w:tr>
      <w:tr w:rsidR="002C75E0" w:rsidRPr="004245EB" w14:paraId="16DBFFF2" w14:textId="77777777" w:rsidTr="008354C5">
        <w:trPr>
          <w:trHeight w:val="315"/>
          <w:jc w:val="center"/>
        </w:trPr>
        <w:tc>
          <w:tcPr>
            <w:tcW w:w="4815" w:type="dxa"/>
            <w:shd w:val="clear" w:color="auto" w:fill="auto"/>
            <w:noWrap/>
            <w:vAlign w:val="center"/>
            <w:hideMark/>
          </w:tcPr>
          <w:p w14:paraId="530AC91B" w14:textId="77777777" w:rsidR="002C75E0" w:rsidRPr="004245EB" w:rsidRDefault="002C75E0" w:rsidP="008354C5">
            <w:pPr>
              <w:spacing w:after="0"/>
              <w:rPr>
                <w:rFonts w:ascii="Times New Roman" w:hAnsi="Times New Roman"/>
                <w:bCs/>
                <w:color w:val="000000"/>
              </w:rPr>
            </w:pPr>
            <w:r w:rsidRPr="004245EB">
              <w:rPr>
                <w:rFonts w:ascii="Times New Roman" w:hAnsi="Times New Roman"/>
                <w:bCs/>
                <w:color w:val="000000"/>
              </w:rPr>
              <w:t>Tractor con rastras de 16x24 discos</w:t>
            </w:r>
          </w:p>
        </w:tc>
        <w:tc>
          <w:tcPr>
            <w:tcW w:w="1276" w:type="dxa"/>
            <w:shd w:val="clear" w:color="auto" w:fill="auto"/>
            <w:noWrap/>
            <w:vAlign w:val="center"/>
            <w:hideMark/>
          </w:tcPr>
          <w:p w14:paraId="5FD1E8C6" w14:textId="77777777" w:rsidR="002C75E0" w:rsidRPr="004245EB" w:rsidRDefault="002C75E0" w:rsidP="008354C5">
            <w:pPr>
              <w:spacing w:after="0"/>
              <w:jc w:val="center"/>
              <w:rPr>
                <w:rFonts w:ascii="Times New Roman" w:hAnsi="Times New Roman"/>
                <w:bCs/>
                <w:color w:val="000000"/>
              </w:rPr>
            </w:pPr>
            <w:r w:rsidRPr="004245EB">
              <w:rPr>
                <w:rFonts w:ascii="Times New Roman" w:hAnsi="Times New Roman"/>
                <w:bCs/>
                <w:color w:val="000000"/>
              </w:rPr>
              <w:t>81</w:t>
            </w:r>
          </w:p>
        </w:tc>
        <w:tc>
          <w:tcPr>
            <w:tcW w:w="1842" w:type="dxa"/>
            <w:shd w:val="clear" w:color="auto" w:fill="auto"/>
            <w:noWrap/>
            <w:vAlign w:val="center"/>
            <w:hideMark/>
          </w:tcPr>
          <w:p w14:paraId="12DBD736" w14:textId="77777777" w:rsidR="002C75E0" w:rsidRPr="004245EB" w:rsidRDefault="002C75E0" w:rsidP="008354C5">
            <w:pPr>
              <w:spacing w:after="0"/>
              <w:jc w:val="right"/>
              <w:rPr>
                <w:rFonts w:ascii="Times New Roman" w:hAnsi="Times New Roman"/>
                <w:bCs/>
                <w:color w:val="000000"/>
              </w:rPr>
            </w:pPr>
            <w:r w:rsidRPr="004245EB">
              <w:rPr>
                <w:rFonts w:ascii="Times New Roman" w:hAnsi="Times New Roman"/>
                <w:bCs/>
                <w:color w:val="000000"/>
              </w:rPr>
              <w:t>168,543,348.72</w:t>
            </w:r>
          </w:p>
        </w:tc>
      </w:tr>
      <w:tr w:rsidR="002C75E0" w:rsidRPr="004245EB" w14:paraId="41310E98" w14:textId="77777777" w:rsidTr="008354C5">
        <w:trPr>
          <w:trHeight w:val="300"/>
          <w:jc w:val="center"/>
        </w:trPr>
        <w:tc>
          <w:tcPr>
            <w:tcW w:w="4815" w:type="dxa"/>
            <w:shd w:val="clear" w:color="auto" w:fill="808080" w:themeFill="background1" w:themeFillShade="80"/>
            <w:noWrap/>
            <w:vAlign w:val="center"/>
            <w:hideMark/>
          </w:tcPr>
          <w:p w14:paraId="10F6ABC7" w14:textId="77777777" w:rsidR="002C75E0" w:rsidRPr="004245EB" w:rsidRDefault="002C75E0" w:rsidP="008354C5">
            <w:pPr>
              <w:spacing w:after="0"/>
              <w:jc w:val="center"/>
              <w:rPr>
                <w:rFonts w:ascii="Times New Roman" w:hAnsi="Times New Roman"/>
                <w:b/>
                <w:bCs/>
                <w:color w:val="FFFFFF" w:themeColor="background1"/>
              </w:rPr>
            </w:pPr>
            <w:r w:rsidRPr="004245EB">
              <w:rPr>
                <w:rFonts w:ascii="Times New Roman" w:hAnsi="Times New Roman"/>
                <w:b/>
                <w:bCs/>
                <w:color w:val="FFFFFF" w:themeColor="background1"/>
              </w:rPr>
              <w:t>Total general</w:t>
            </w:r>
          </w:p>
        </w:tc>
        <w:tc>
          <w:tcPr>
            <w:tcW w:w="1276" w:type="dxa"/>
            <w:shd w:val="clear" w:color="auto" w:fill="808080" w:themeFill="background1" w:themeFillShade="80"/>
            <w:noWrap/>
            <w:vAlign w:val="center"/>
            <w:hideMark/>
          </w:tcPr>
          <w:p w14:paraId="6228A1FF" w14:textId="77777777" w:rsidR="002C75E0" w:rsidRPr="004245EB" w:rsidRDefault="002C75E0" w:rsidP="008354C5">
            <w:pPr>
              <w:spacing w:after="0"/>
              <w:jc w:val="center"/>
              <w:rPr>
                <w:rFonts w:ascii="Times New Roman" w:hAnsi="Times New Roman"/>
                <w:b/>
                <w:bCs/>
                <w:color w:val="FFFFFF" w:themeColor="background1"/>
              </w:rPr>
            </w:pPr>
            <w:r w:rsidRPr="004245EB">
              <w:rPr>
                <w:rFonts w:ascii="Times New Roman" w:hAnsi="Times New Roman"/>
                <w:b/>
                <w:bCs/>
                <w:color w:val="FFFFFF" w:themeColor="background1"/>
              </w:rPr>
              <w:t>156</w:t>
            </w:r>
          </w:p>
        </w:tc>
        <w:tc>
          <w:tcPr>
            <w:tcW w:w="1842" w:type="dxa"/>
            <w:shd w:val="clear" w:color="auto" w:fill="808080" w:themeFill="background1" w:themeFillShade="80"/>
            <w:noWrap/>
            <w:vAlign w:val="center"/>
            <w:hideMark/>
          </w:tcPr>
          <w:p w14:paraId="4BDB9006" w14:textId="77777777" w:rsidR="002C75E0" w:rsidRPr="004245EB" w:rsidRDefault="002C75E0" w:rsidP="008354C5">
            <w:pPr>
              <w:spacing w:after="0"/>
              <w:jc w:val="center"/>
              <w:rPr>
                <w:rFonts w:ascii="Times New Roman" w:hAnsi="Times New Roman"/>
                <w:b/>
                <w:bCs/>
                <w:color w:val="FFFFFF" w:themeColor="background1"/>
              </w:rPr>
            </w:pPr>
            <w:r w:rsidRPr="004245EB">
              <w:rPr>
                <w:rFonts w:ascii="Times New Roman" w:hAnsi="Times New Roman"/>
                <w:b/>
                <w:bCs/>
                <w:color w:val="FFFFFF" w:themeColor="background1"/>
              </w:rPr>
              <w:t>693,218,974.21</w:t>
            </w:r>
          </w:p>
        </w:tc>
      </w:tr>
    </w:tbl>
    <w:p w14:paraId="4D61AFD3" w14:textId="77777777" w:rsidR="00073148" w:rsidRDefault="00073148" w:rsidP="00073148">
      <w:pPr>
        <w:rPr>
          <w:rFonts w:ascii="Times New Roman" w:hAnsi="Times New Roman"/>
          <w:b/>
        </w:rPr>
      </w:pPr>
    </w:p>
    <w:p w14:paraId="241AB9E8" w14:textId="731A2746" w:rsidR="008354C5" w:rsidRPr="004245EB" w:rsidRDefault="008354C5" w:rsidP="00CE5C42">
      <w:pPr>
        <w:ind w:left="720" w:hanging="720"/>
        <w:rPr>
          <w:rFonts w:ascii="Times New Roman" w:hAnsi="Times New Roman"/>
          <w:b/>
        </w:rPr>
      </w:pPr>
      <w:r w:rsidRPr="004245EB">
        <w:rPr>
          <w:rFonts w:ascii="Times New Roman" w:hAnsi="Times New Roman"/>
          <w:b/>
        </w:rPr>
        <w:t>Equipos livianos</w:t>
      </w:r>
    </w:p>
    <w:p w14:paraId="49286D79" w14:textId="77777777" w:rsidR="008354C5" w:rsidRPr="004245EB" w:rsidRDefault="008354C5" w:rsidP="008354C5">
      <w:pPr>
        <w:spacing w:after="0" w:line="480" w:lineRule="auto"/>
        <w:ind w:firstLine="720"/>
        <w:jc w:val="both"/>
        <w:rPr>
          <w:rFonts w:ascii="Times New Roman" w:hAnsi="Times New Roman"/>
          <w:lang w:val="es-ES_tradnl"/>
        </w:rPr>
      </w:pPr>
      <w:r w:rsidRPr="004245EB">
        <w:rPr>
          <w:rFonts w:ascii="Times New Roman" w:hAnsi="Times New Roman"/>
          <w:lang w:val="es-ES_tradnl"/>
        </w:rPr>
        <w:t>Fortalecimiento de los servicios de Asistencia Técnica, Sanidad Vegetal con la distribución de motores y camionetas para facilitar la movilidad de los técnicos a las fincas agropecuarias y poder realizar el acompañamiento técnico.</w:t>
      </w:r>
    </w:p>
    <w:p w14:paraId="35523807" w14:textId="77777777" w:rsidR="002C75E0" w:rsidRPr="004245EB" w:rsidRDefault="002C75E0" w:rsidP="002C75E0">
      <w:pPr>
        <w:spacing w:line="480" w:lineRule="auto"/>
        <w:rPr>
          <w:rFonts w:ascii="Times New Roman" w:hAnsi="Times New Roman"/>
          <w:lang w:val="es-ES_tradnl" w:eastAsia="en-US"/>
        </w:rPr>
      </w:pPr>
    </w:p>
    <w:p w14:paraId="2D55FB5B" w14:textId="2E38823F" w:rsidR="008354C5" w:rsidRPr="004245EB" w:rsidRDefault="008354C5" w:rsidP="001C6B1A">
      <w:pPr>
        <w:pStyle w:val="Prrafodelista"/>
        <w:numPr>
          <w:ilvl w:val="0"/>
          <w:numId w:val="9"/>
        </w:numPr>
        <w:ind w:left="1260" w:hanging="1260"/>
        <w:rPr>
          <w:rFonts w:ascii="Times New Roman" w:hAnsi="Times New Roman"/>
          <w:b/>
          <w:sz w:val="24"/>
          <w:lang w:val="es-ES_tradnl"/>
        </w:rPr>
      </w:pPr>
      <w:r w:rsidRPr="004245EB">
        <w:rPr>
          <w:rFonts w:ascii="Times New Roman" w:hAnsi="Times New Roman"/>
          <w:b/>
          <w:sz w:val="24"/>
          <w:lang w:val="es-ES_tradnl"/>
        </w:rPr>
        <w:lastRenderedPageBreak/>
        <w:t>Relación de equipos livianos adquiridos</w:t>
      </w:r>
    </w:p>
    <w:tbl>
      <w:tblPr>
        <w:tblW w:w="6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83"/>
        <w:gridCol w:w="1240"/>
        <w:gridCol w:w="1820"/>
      </w:tblGrid>
      <w:tr w:rsidR="008354C5" w:rsidRPr="004245EB" w14:paraId="241D48D5" w14:textId="77777777" w:rsidTr="008354C5">
        <w:trPr>
          <w:trHeight w:val="315"/>
          <w:jc w:val="center"/>
        </w:trPr>
        <w:tc>
          <w:tcPr>
            <w:tcW w:w="3383" w:type="dxa"/>
            <w:shd w:val="clear" w:color="000000" w:fill="00B050"/>
            <w:noWrap/>
            <w:vAlign w:val="center"/>
            <w:hideMark/>
          </w:tcPr>
          <w:p w14:paraId="7158B8BE" w14:textId="00DBDB7A" w:rsidR="008354C5" w:rsidRPr="004245EB" w:rsidRDefault="008354C5" w:rsidP="008354C5">
            <w:pPr>
              <w:spacing w:after="0"/>
              <w:jc w:val="center"/>
              <w:rPr>
                <w:rFonts w:ascii="Times New Roman" w:hAnsi="Times New Roman"/>
                <w:b/>
                <w:bCs/>
                <w:color w:val="FFFFFF"/>
              </w:rPr>
            </w:pPr>
            <w:r w:rsidRPr="004245EB">
              <w:rPr>
                <w:rFonts w:ascii="Times New Roman" w:hAnsi="Times New Roman"/>
                <w:b/>
                <w:bCs/>
                <w:color w:val="FFFFFF"/>
              </w:rPr>
              <w:t>Equipos livianos</w:t>
            </w:r>
          </w:p>
        </w:tc>
        <w:tc>
          <w:tcPr>
            <w:tcW w:w="1240" w:type="dxa"/>
            <w:shd w:val="clear" w:color="000000" w:fill="00B050"/>
            <w:noWrap/>
            <w:vAlign w:val="center"/>
            <w:hideMark/>
          </w:tcPr>
          <w:p w14:paraId="73B45711" w14:textId="77777777" w:rsidR="008354C5" w:rsidRPr="004245EB" w:rsidRDefault="008354C5" w:rsidP="008354C5">
            <w:pPr>
              <w:spacing w:after="0"/>
              <w:jc w:val="center"/>
              <w:rPr>
                <w:rFonts w:ascii="Times New Roman" w:hAnsi="Times New Roman"/>
                <w:b/>
                <w:bCs/>
                <w:color w:val="FFFFFF"/>
              </w:rPr>
            </w:pPr>
            <w:r w:rsidRPr="004245EB">
              <w:rPr>
                <w:rFonts w:ascii="Times New Roman" w:hAnsi="Times New Roman"/>
                <w:b/>
                <w:bCs/>
                <w:color w:val="FFFFFF"/>
              </w:rPr>
              <w:t>Cantidad</w:t>
            </w:r>
          </w:p>
        </w:tc>
        <w:tc>
          <w:tcPr>
            <w:tcW w:w="1820" w:type="dxa"/>
            <w:shd w:val="clear" w:color="000000" w:fill="00B050"/>
            <w:noWrap/>
            <w:vAlign w:val="center"/>
            <w:hideMark/>
          </w:tcPr>
          <w:p w14:paraId="687D25BA" w14:textId="77777777" w:rsidR="008354C5" w:rsidRPr="004245EB" w:rsidRDefault="008354C5" w:rsidP="008354C5">
            <w:pPr>
              <w:spacing w:after="0"/>
              <w:jc w:val="center"/>
              <w:rPr>
                <w:rFonts w:ascii="Times New Roman" w:hAnsi="Times New Roman"/>
                <w:b/>
                <w:bCs/>
                <w:color w:val="FFFFFF"/>
              </w:rPr>
            </w:pPr>
            <w:r w:rsidRPr="004245EB">
              <w:rPr>
                <w:rFonts w:ascii="Times New Roman" w:hAnsi="Times New Roman"/>
                <w:b/>
                <w:bCs/>
                <w:color w:val="FFFFFF"/>
              </w:rPr>
              <w:t>Monta Total</w:t>
            </w:r>
          </w:p>
        </w:tc>
      </w:tr>
      <w:tr w:rsidR="008354C5" w:rsidRPr="004245EB" w14:paraId="34E9BD3C" w14:textId="77777777" w:rsidTr="008354C5">
        <w:trPr>
          <w:trHeight w:val="315"/>
          <w:jc w:val="center"/>
        </w:trPr>
        <w:tc>
          <w:tcPr>
            <w:tcW w:w="3383" w:type="dxa"/>
            <w:shd w:val="clear" w:color="auto" w:fill="auto"/>
            <w:noWrap/>
            <w:vAlign w:val="center"/>
            <w:hideMark/>
          </w:tcPr>
          <w:p w14:paraId="127FDB50" w14:textId="77777777" w:rsidR="008354C5" w:rsidRPr="004245EB" w:rsidRDefault="008354C5" w:rsidP="008354C5">
            <w:pPr>
              <w:spacing w:after="0"/>
              <w:rPr>
                <w:rFonts w:ascii="Times New Roman" w:hAnsi="Times New Roman"/>
                <w:bCs/>
                <w:color w:val="000000"/>
              </w:rPr>
            </w:pPr>
            <w:r w:rsidRPr="004245EB">
              <w:rPr>
                <w:rFonts w:ascii="Times New Roman" w:hAnsi="Times New Roman"/>
                <w:bCs/>
                <w:color w:val="000000"/>
              </w:rPr>
              <w:t>Camioneta</w:t>
            </w:r>
          </w:p>
        </w:tc>
        <w:tc>
          <w:tcPr>
            <w:tcW w:w="1240" w:type="dxa"/>
            <w:shd w:val="clear" w:color="auto" w:fill="auto"/>
            <w:noWrap/>
            <w:vAlign w:val="center"/>
            <w:hideMark/>
          </w:tcPr>
          <w:p w14:paraId="4E0D4DED" w14:textId="77777777" w:rsidR="008354C5" w:rsidRPr="004245EB" w:rsidRDefault="008354C5" w:rsidP="008354C5">
            <w:pPr>
              <w:spacing w:after="0"/>
              <w:jc w:val="center"/>
              <w:rPr>
                <w:rFonts w:ascii="Times New Roman" w:hAnsi="Times New Roman"/>
                <w:bCs/>
                <w:color w:val="000000"/>
              </w:rPr>
            </w:pPr>
            <w:r w:rsidRPr="004245EB">
              <w:rPr>
                <w:rFonts w:ascii="Times New Roman" w:hAnsi="Times New Roman"/>
                <w:bCs/>
                <w:color w:val="000000"/>
              </w:rPr>
              <w:t>80</w:t>
            </w:r>
          </w:p>
        </w:tc>
        <w:tc>
          <w:tcPr>
            <w:tcW w:w="1820" w:type="dxa"/>
            <w:shd w:val="clear" w:color="auto" w:fill="auto"/>
            <w:noWrap/>
            <w:vAlign w:val="center"/>
            <w:hideMark/>
          </w:tcPr>
          <w:p w14:paraId="6F7349F9" w14:textId="77777777" w:rsidR="008354C5" w:rsidRPr="004245EB" w:rsidRDefault="008354C5" w:rsidP="008354C5">
            <w:pPr>
              <w:spacing w:after="0"/>
              <w:jc w:val="right"/>
              <w:rPr>
                <w:rFonts w:ascii="Times New Roman" w:hAnsi="Times New Roman"/>
                <w:bCs/>
                <w:color w:val="000000"/>
              </w:rPr>
            </w:pPr>
            <w:r w:rsidRPr="004245EB">
              <w:rPr>
                <w:rFonts w:ascii="Times New Roman" w:hAnsi="Times New Roman"/>
                <w:bCs/>
                <w:color w:val="000000"/>
              </w:rPr>
              <w:t>168,720,900.00</w:t>
            </w:r>
          </w:p>
        </w:tc>
      </w:tr>
      <w:tr w:rsidR="008354C5" w:rsidRPr="004245EB" w14:paraId="5C4CCA94" w14:textId="77777777" w:rsidTr="008354C5">
        <w:trPr>
          <w:trHeight w:val="315"/>
          <w:jc w:val="center"/>
        </w:trPr>
        <w:tc>
          <w:tcPr>
            <w:tcW w:w="3383" w:type="dxa"/>
            <w:shd w:val="clear" w:color="auto" w:fill="auto"/>
            <w:noWrap/>
            <w:vAlign w:val="center"/>
            <w:hideMark/>
          </w:tcPr>
          <w:p w14:paraId="060D704E" w14:textId="77777777" w:rsidR="008354C5" w:rsidRPr="004245EB" w:rsidRDefault="008354C5" w:rsidP="008354C5">
            <w:pPr>
              <w:spacing w:after="0"/>
              <w:rPr>
                <w:rFonts w:ascii="Times New Roman" w:hAnsi="Times New Roman"/>
                <w:bCs/>
                <w:color w:val="000000"/>
              </w:rPr>
            </w:pPr>
            <w:r w:rsidRPr="004245EB">
              <w:rPr>
                <w:rFonts w:ascii="Times New Roman" w:hAnsi="Times New Roman"/>
                <w:bCs/>
                <w:color w:val="000000"/>
              </w:rPr>
              <w:t>Motocicleta</w:t>
            </w:r>
          </w:p>
        </w:tc>
        <w:tc>
          <w:tcPr>
            <w:tcW w:w="1240" w:type="dxa"/>
            <w:shd w:val="clear" w:color="auto" w:fill="auto"/>
            <w:noWrap/>
            <w:vAlign w:val="center"/>
            <w:hideMark/>
          </w:tcPr>
          <w:p w14:paraId="4C9A1B14" w14:textId="77777777" w:rsidR="008354C5" w:rsidRPr="004245EB" w:rsidRDefault="008354C5" w:rsidP="008354C5">
            <w:pPr>
              <w:spacing w:after="0"/>
              <w:jc w:val="center"/>
              <w:rPr>
                <w:rFonts w:ascii="Times New Roman" w:hAnsi="Times New Roman"/>
                <w:bCs/>
                <w:color w:val="000000"/>
              </w:rPr>
            </w:pPr>
            <w:r w:rsidRPr="004245EB">
              <w:rPr>
                <w:rFonts w:ascii="Times New Roman" w:hAnsi="Times New Roman"/>
                <w:bCs/>
                <w:color w:val="000000"/>
              </w:rPr>
              <w:t>260</w:t>
            </w:r>
          </w:p>
        </w:tc>
        <w:tc>
          <w:tcPr>
            <w:tcW w:w="1820" w:type="dxa"/>
            <w:shd w:val="clear" w:color="auto" w:fill="auto"/>
            <w:noWrap/>
            <w:vAlign w:val="center"/>
            <w:hideMark/>
          </w:tcPr>
          <w:p w14:paraId="4F0DB7B0" w14:textId="77777777" w:rsidR="008354C5" w:rsidRPr="004245EB" w:rsidRDefault="008354C5" w:rsidP="008354C5">
            <w:pPr>
              <w:spacing w:after="0"/>
              <w:jc w:val="right"/>
              <w:rPr>
                <w:rFonts w:ascii="Times New Roman" w:hAnsi="Times New Roman"/>
                <w:bCs/>
                <w:color w:val="000000"/>
              </w:rPr>
            </w:pPr>
            <w:r w:rsidRPr="004245EB">
              <w:rPr>
                <w:rFonts w:ascii="Times New Roman" w:hAnsi="Times New Roman"/>
                <w:bCs/>
                <w:color w:val="000000"/>
              </w:rPr>
              <w:t>22,321,000.00</w:t>
            </w:r>
          </w:p>
        </w:tc>
      </w:tr>
      <w:tr w:rsidR="008354C5" w:rsidRPr="004245EB" w14:paraId="04E4C68B" w14:textId="77777777" w:rsidTr="008354C5">
        <w:trPr>
          <w:trHeight w:val="300"/>
          <w:jc w:val="center"/>
        </w:trPr>
        <w:tc>
          <w:tcPr>
            <w:tcW w:w="3383" w:type="dxa"/>
            <w:shd w:val="clear" w:color="auto" w:fill="808080" w:themeFill="background1" w:themeFillShade="80"/>
            <w:noWrap/>
            <w:vAlign w:val="center"/>
            <w:hideMark/>
          </w:tcPr>
          <w:p w14:paraId="09048256" w14:textId="77777777" w:rsidR="008354C5" w:rsidRPr="004245EB" w:rsidRDefault="008354C5" w:rsidP="008354C5">
            <w:pPr>
              <w:spacing w:after="0"/>
              <w:jc w:val="center"/>
              <w:rPr>
                <w:rFonts w:ascii="Times New Roman" w:hAnsi="Times New Roman"/>
                <w:b/>
                <w:bCs/>
                <w:color w:val="FFFFFF" w:themeColor="background1"/>
              </w:rPr>
            </w:pPr>
            <w:r w:rsidRPr="004245EB">
              <w:rPr>
                <w:rFonts w:ascii="Times New Roman" w:hAnsi="Times New Roman"/>
                <w:b/>
                <w:bCs/>
                <w:color w:val="FFFFFF" w:themeColor="background1"/>
              </w:rPr>
              <w:t>Total general</w:t>
            </w:r>
          </w:p>
        </w:tc>
        <w:tc>
          <w:tcPr>
            <w:tcW w:w="1240" w:type="dxa"/>
            <w:shd w:val="clear" w:color="auto" w:fill="808080" w:themeFill="background1" w:themeFillShade="80"/>
            <w:noWrap/>
            <w:vAlign w:val="center"/>
            <w:hideMark/>
          </w:tcPr>
          <w:p w14:paraId="0D08C64E" w14:textId="77777777" w:rsidR="008354C5" w:rsidRPr="004245EB" w:rsidRDefault="008354C5" w:rsidP="008354C5">
            <w:pPr>
              <w:spacing w:after="0"/>
              <w:jc w:val="center"/>
              <w:rPr>
                <w:rFonts w:ascii="Times New Roman" w:hAnsi="Times New Roman"/>
                <w:b/>
                <w:bCs/>
                <w:color w:val="FFFFFF" w:themeColor="background1"/>
              </w:rPr>
            </w:pPr>
            <w:r w:rsidRPr="004245EB">
              <w:rPr>
                <w:rFonts w:ascii="Times New Roman" w:hAnsi="Times New Roman"/>
                <w:b/>
                <w:bCs/>
                <w:color w:val="FFFFFF" w:themeColor="background1"/>
              </w:rPr>
              <w:t>340</w:t>
            </w:r>
          </w:p>
        </w:tc>
        <w:tc>
          <w:tcPr>
            <w:tcW w:w="1820" w:type="dxa"/>
            <w:shd w:val="clear" w:color="auto" w:fill="808080" w:themeFill="background1" w:themeFillShade="80"/>
            <w:noWrap/>
            <w:vAlign w:val="center"/>
            <w:hideMark/>
          </w:tcPr>
          <w:p w14:paraId="24AC667E" w14:textId="77777777" w:rsidR="008354C5" w:rsidRPr="004245EB" w:rsidRDefault="008354C5" w:rsidP="008354C5">
            <w:pPr>
              <w:spacing w:after="0"/>
              <w:jc w:val="center"/>
              <w:rPr>
                <w:rFonts w:ascii="Times New Roman" w:hAnsi="Times New Roman"/>
                <w:b/>
                <w:bCs/>
                <w:color w:val="FFFFFF" w:themeColor="background1"/>
              </w:rPr>
            </w:pPr>
            <w:r w:rsidRPr="004245EB">
              <w:rPr>
                <w:rFonts w:ascii="Times New Roman" w:hAnsi="Times New Roman"/>
                <w:b/>
                <w:bCs/>
                <w:color w:val="FFFFFF" w:themeColor="background1"/>
              </w:rPr>
              <w:t>191,041,900.00</w:t>
            </w:r>
          </w:p>
        </w:tc>
      </w:tr>
    </w:tbl>
    <w:p w14:paraId="16986AE0" w14:textId="6A4B6625" w:rsidR="00EC67CB" w:rsidRDefault="00EC67CB">
      <w:pPr>
        <w:spacing w:after="0"/>
        <w:rPr>
          <w:rFonts w:ascii="Times New Roman" w:hAnsi="Times New Roman"/>
          <w:lang w:val="es-ES_tradnl" w:eastAsia="en-US"/>
        </w:rPr>
      </w:pPr>
    </w:p>
    <w:p w14:paraId="256E841B" w14:textId="54C48596" w:rsidR="008354C5" w:rsidRPr="004245EB" w:rsidRDefault="008354C5" w:rsidP="00954002">
      <w:pPr>
        <w:pStyle w:val="Ttulo2"/>
      </w:pPr>
      <w:bookmarkStart w:id="274" w:name="_Toc27146802"/>
      <w:r w:rsidRPr="004245EB">
        <w:t xml:space="preserve">Administración </w:t>
      </w:r>
      <w:r w:rsidR="00DE69E9" w:rsidRPr="004245EB">
        <w:t>pública, r</w:t>
      </w:r>
      <w:r w:rsidRPr="004245EB">
        <w:t>elevo generacional</w:t>
      </w:r>
      <w:bookmarkEnd w:id="274"/>
    </w:p>
    <w:p w14:paraId="5E3197EF" w14:textId="77777777" w:rsidR="008354C5" w:rsidRPr="004245EB" w:rsidRDefault="008354C5" w:rsidP="002C75E0">
      <w:pPr>
        <w:spacing w:line="480" w:lineRule="auto"/>
        <w:rPr>
          <w:rFonts w:ascii="Times New Roman" w:hAnsi="Times New Roman"/>
          <w:lang w:val="es-ES_tradnl" w:eastAsia="en-US"/>
        </w:rPr>
      </w:pPr>
    </w:p>
    <w:p w14:paraId="35558FCA" w14:textId="77777777" w:rsidR="008354C5" w:rsidRPr="004245EB" w:rsidRDefault="008354C5" w:rsidP="00BB7F45">
      <w:pPr>
        <w:rPr>
          <w:rFonts w:ascii="Times New Roman" w:hAnsi="Times New Roman"/>
          <w:b/>
        </w:rPr>
      </w:pPr>
      <w:bookmarkStart w:id="275" w:name="_Toc16524705"/>
      <w:r w:rsidRPr="004245EB">
        <w:rPr>
          <w:rFonts w:ascii="Times New Roman" w:hAnsi="Times New Roman"/>
          <w:b/>
        </w:rPr>
        <w:t>Contratación de personal calificado</w:t>
      </w:r>
      <w:bookmarkEnd w:id="275"/>
    </w:p>
    <w:p w14:paraId="15F598A3" w14:textId="77777777" w:rsidR="00EC67CB" w:rsidRDefault="00EC67CB" w:rsidP="008354C5">
      <w:pPr>
        <w:spacing w:after="0" w:line="480" w:lineRule="auto"/>
        <w:ind w:firstLine="720"/>
        <w:jc w:val="both"/>
        <w:rPr>
          <w:rFonts w:ascii="Times New Roman" w:hAnsi="Times New Roman"/>
        </w:rPr>
      </w:pPr>
    </w:p>
    <w:p w14:paraId="1B7EAD5D" w14:textId="107FE80B" w:rsidR="008354C5" w:rsidRPr="004245EB" w:rsidRDefault="008354C5" w:rsidP="008354C5">
      <w:pPr>
        <w:spacing w:after="0" w:line="480" w:lineRule="auto"/>
        <w:ind w:firstLine="720"/>
        <w:jc w:val="both"/>
        <w:rPr>
          <w:rFonts w:ascii="Times New Roman" w:hAnsi="Times New Roman"/>
          <w:lang w:val="es-ES_tradnl"/>
        </w:rPr>
      </w:pPr>
      <w:r w:rsidRPr="004245EB">
        <w:rPr>
          <w:rFonts w:ascii="Times New Roman" w:hAnsi="Times New Roman"/>
          <w:lang w:val="es-ES_tradnl"/>
        </w:rPr>
        <w:t>Fortalecimiento del servicio de extensión y creación de capacidades a nivel nacional, con la contratación de 150 nuevos agrónomos designados en las regionales del Ministerio.</w:t>
      </w:r>
    </w:p>
    <w:p w14:paraId="65CD9A88" w14:textId="77777777" w:rsidR="008354C5" w:rsidRPr="004245EB" w:rsidRDefault="008354C5" w:rsidP="008354C5">
      <w:pPr>
        <w:pStyle w:val="Prrafodelista"/>
        <w:jc w:val="both"/>
        <w:rPr>
          <w:rFonts w:ascii="Times New Roman" w:hAnsi="Times New Roman"/>
          <w:sz w:val="24"/>
          <w:szCs w:val="24"/>
        </w:rPr>
      </w:pPr>
    </w:p>
    <w:p w14:paraId="1BAE33C4" w14:textId="77777777" w:rsidR="008354C5" w:rsidRPr="004245EB" w:rsidRDefault="008354C5" w:rsidP="00BB7F45">
      <w:pPr>
        <w:rPr>
          <w:rFonts w:ascii="Times New Roman" w:hAnsi="Times New Roman"/>
          <w:b/>
        </w:rPr>
      </w:pPr>
      <w:bookmarkStart w:id="276" w:name="_Toc16524706"/>
      <w:r w:rsidRPr="004245EB">
        <w:rPr>
          <w:rFonts w:ascii="Times New Roman" w:hAnsi="Times New Roman"/>
          <w:b/>
        </w:rPr>
        <w:t>Programa de relevo generacional</w:t>
      </w:r>
      <w:bookmarkEnd w:id="276"/>
    </w:p>
    <w:p w14:paraId="0504B050" w14:textId="77777777" w:rsidR="008354C5" w:rsidRPr="004245EB" w:rsidRDefault="008354C5" w:rsidP="008354C5">
      <w:pPr>
        <w:spacing w:after="0"/>
        <w:jc w:val="both"/>
        <w:rPr>
          <w:rFonts w:ascii="Times New Roman" w:hAnsi="Times New Roman"/>
        </w:rPr>
      </w:pPr>
    </w:p>
    <w:p w14:paraId="1FEC92D4" w14:textId="77777777" w:rsidR="008354C5" w:rsidRPr="004245EB" w:rsidRDefault="008354C5" w:rsidP="008354C5">
      <w:pPr>
        <w:spacing w:after="0" w:line="480" w:lineRule="auto"/>
        <w:ind w:firstLine="720"/>
        <w:jc w:val="both"/>
        <w:rPr>
          <w:rFonts w:ascii="Times New Roman" w:hAnsi="Times New Roman"/>
          <w:lang w:val="es-ES_tradnl"/>
        </w:rPr>
      </w:pPr>
      <w:r w:rsidRPr="004245EB">
        <w:rPr>
          <w:rFonts w:ascii="Times New Roman" w:hAnsi="Times New Roman"/>
          <w:lang w:val="es-ES_tradnl"/>
        </w:rPr>
        <w:t>Fomento de relevo generacional a través de becas completas para estudiar ciencias agronómicas y forestales en la Universidad ISA, beneficiando un total de 72 becarios durante el periodo.</w:t>
      </w:r>
    </w:p>
    <w:p w14:paraId="51C99778" w14:textId="77777777" w:rsidR="008354C5" w:rsidRDefault="008354C5" w:rsidP="008354C5">
      <w:pPr>
        <w:rPr>
          <w:rFonts w:ascii="Times New Roman" w:hAnsi="Times New Roman"/>
        </w:rPr>
      </w:pPr>
    </w:p>
    <w:p w14:paraId="3DC4C93C" w14:textId="77777777" w:rsidR="008354C5" w:rsidRPr="004245EB" w:rsidRDefault="008354C5" w:rsidP="00BB7F45">
      <w:pPr>
        <w:rPr>
          <w:rFonts w:ascii="Times New Roman" w:hAnsi="Times New Roman"/>
          <w:b/>
        </w:rPr>
      </w:pPr>
      <w:bookmarkStart w:id="277" w:name="_Toc16524707"/>
      <w:r w:rsidRPr="004245EB">
        <w:rPr>
          <w:rFonts w:ascii="Times New Roman" w:hAnsi="Times New Roman"/>
          <w:b/>
        </w:rPr>
        <w:t>Categorización de los profesionales del sector agropecuario</w:t>
      </w:r>
      <w:bookmarkEnd w:id="277"/>
    </w:p>
    <w:p w14:paraId="4168D930" w14:textId="77777777" w:rsidR="008354C5" w:rsidRPr="004245EB" w:rsidRDefault="008354C5" w:rsidP="008354C5">
      <w:pPr>
        <w:rPr>
          <w:rFonts w:ascii="Times New Roman" w:hAnsi="Times New Roman"/>
          <w:highlight w:val="yellow"/>
        </w:rPr>
      </w:pPr>
    </w:p>
    <w:p w14:paraId="6E60F0D5" w14:textId="77777777" w:rsidR="008354C5" w:rsidRPr="004245EB" w:rsidRDefault="008354C5" w:rsidP="008354C5">
      <w:pPr>
        <w:spacing w:after="0" w:line="480" w:lineRule="auto"/>
        <w:ind w:firstLine="720"/>
        <w:jc w:val="both"/>
        <w:rPr>
          <w:rFonts w:ascii="Times New Roman" w:hAnsi="Times New Roman"/>
          <w:lang w:val="es-ES_tradnl"/>
        </w:rPr>
      </w:pPr>
      <w:r w:rsidRPr="004245EB">
        <w:rPr>
          <w:rFonts w:ascii="Times New Roman" w:hAnsi="Times New Roman"/>
          <w:lang w:val="es-ES_tradnl"/>
        </w:rPr>
        <w:t>Aplicación de la categorización mediante la valorización, estandarización e incremento del salario base de los profesionales de la agropecuaria, por el orden de RD$35,000 mensual, bajo los criterios de trayectoria, estudios y dedicación, representando una inversión ascendente a RD$21,790,616.14, beneficiando un total de 1,705 profesionales del sector agropecuario.</w:t>
      </w:r>
    </w:p>
    <w:p w14:paraId="5480DDB5" w14:textId="29574C5E" w:rsidR="008354C5" w:rsidRPr="004245EB" w:rsidRDefault="008354C5" w:rsidP="001C6B1A">
      <w:pPr>
        <w:pStyle w:val="Prrafodelista"/>
        <w:numPr>
          <w:ilvl w:val="0"/>
          <w:numId w:val="9"/>
        </w:numPr>
        <w:ind w:left="1260" w:hanging="1260"/>
        <w:rPr>
          <w:rFonts w:ascii="Times New Roman" w:hAnsi="Times New Roman"/>
          <w:b/>
          <w:sz w:val="24"/>
          <w:lang w:val="es-ES_tradnl"/>
        </w:rPr>
      </w:pPr>
      <w:r w:rsidRPr="004245EB">
        <w:rPr>
          <w:rFonts w:ascii="Times New Roman" w:hAnsi="Times New Roman"/>
          <w:b/>
          <w:sz w:val="24"/>
          <w:lang w:val="es-ES_tradnl"/>
        </w:rPr>
        <w:lastRenderedPageBreak/>
        <w:t>Relación de categorización</w:t>
      </w:r>
    </w:p>
    <w:p w14:paraId="180418E3" w14:textId="77777777" w:rsidR="008354C5" w:rsidRPr="004245EB" w:rsidRDefault="008354C5" w:rsidP="008354C5">
      <w:pPr>
        <w:pStyle w:val="Prrafodelista"/>
        <w:jc w:val="both"/>
        <w:rPr>
          <w:rFonts w:ascii="Times New Roman" w:hAnsi="Times New Roman"/>
          <w:sz w:val="24"/>
          <w:szCs w:val="24"/>
          <w:highlight w:val="yellow"/>
        </w:rPr>
      </w:pPr>
    </w:p>
    <w:tbl>
      <w:tblPr>
        <w:tblStyle w:val="Tablaconcuadrcula"/>
        <w:tblW w:w="0" w:type="auto"/>
        <w:jc w:val="center"/>
        <w:tblLook w:val="04A0" w:firstRow="1" w:lastRow="0" w:firstColumn="1" w:lastColumn="0" w:noHBand="0" w:noVBand="1"/>
      </w:tblPr>
      <w:tblGrid>
        <w:gridCol w:w="2972"/>
        <w:gridCol w:w="1177"/>
        <w:gridCol w:w="1596"/>
      </w:tblGrid>
      <w:tr w:rsidR="008354C5" w:rsidRPr="004245EB" w14:paraId="2C9B8D01" w14:textId="77777777" w:rsidTr="008354C5">
        <w:trPr>
          <w:jc w:val="center"/>
        </w:trPr>
        <w:tc>
          <w:tcPr>
            <w:tcW w:w="2972" w:type="dxa"/>
            <w:shd w:val="clear" w:color="auto" w:fill="00B050"/>
          </w:tcPr>
          <w:p w14:paraId="703B7987" w14:textId="77777777" w:rsidR="008354C5" w:rsidRPr="004245EB" w:rsidRDefault="008354C5" w:rsidP="008354C5">
            <w:pPr>
              <w:tabs>
                <w:tab w:val="left" w:pos="2180"/>
              </w:tabs>
              <w:spacing w:after="0"/>
              <w:jc w:val="center"/>
              <w:rPr>
                <w:rFonts w:ascii="Times New Roman" w:hAnsi="Times New Roman"/>
                <w:b/>
                <w:color w:val="FFFFFF" w:themeColor="background1"/>
                <w:szCs w:val="26"/>
              </w:rPr>
            </w:pPr>
            <w:r w:rsidRPr="004245EB">
              <w:rPr>
                <w:rFonts w:ascii="Times New Roman" w:hAnsi="Times New Roman"/>
                <w:b/>
                <w:color w:val="FFFFFF" w:themeColor="background1"/>
                <w:szCs w:val="26"/>
              </w:rPr>
              <w:t>Ocupaciones</w:t>
            </w:r>
          </w:p>
        </w:tc>
        <w:tc>
          <w:tcPr>
            <w:tcW w:w="1177" w:type="dxa"/>
            <w:shd w:val="clear" w:color="auto" w:fill="00B050"/>
          </w:tcPr>
          <w:p w14:paraId="34B231AC" w14:textId="77777777" w:rsidR="008354C5" w:rsidRPr="004245EB" w:rsidRDefault="008354C5" w:rsidP="008354C5">
            <w:pPr>
              <w:tabs>
                <w:tab w:val="left" w:pos="2180"/>
              </w:tabs>
              <w:spacing w:after="0"/>
              <w:jc w:val="center"/>
              <w:rPr>
                <w:rFonts w:ascii="Times New Roman" w:hAnsi="Times New Roman"/>
                <w:b/>
                <w:color w:val="FFFFFF" w:themeColor="background1"/>
                <w:szCs w:val="26"/>
              </w:rPr>
            </w:pPr>
            <w:r w:rsidRPr="004245EB">
              <w:rPr>
                <w:rFonts w:ascii="Times New Roman" w:hAnsi="Times New Roman"/>
                <w:b/>
                <w:color w:val="FFFFFF" w:themeColor="background1"/>
                <w:szCs w:val="26"/>
              </w:rPr>
              <w:t>Cantidad</w:t>
            </w:r>
          </w:p>
        </w:tc>
        <w:tc>
          <w:tcPr>
            <w:tcW w:w="1596" w:type="dxa"/>
            <w:shd w:val="clear" w:color="auto" w:fill="00B050"/>
          </w:tcPr>
          <w:p w14:paraId="33285041" w14:textId="77777777" w:rsidR="008354C5" w:rsidRPr="004245EB" w:rsidRDefault="008354C5" w:rsidP="008354C5">
            <w:pPr>
              <w:tabs>
                <w:tab w:val="left" w:pos="2180"/>
              </w:tabs>
              <w:spacing w:after="0"/>
              <w:jc w:val="center"/>
              <w:rPr>
                <w:rFonts w:ascii="Times New Roman" w:hAnsi="Times New Roman"/>
                <w:b/>
                <w:color w:val="FFFFFF" w:themeColor="background1"/>
                <w:szCs w:val="26"/>
              </w:rPr>
            </w:pPr>
            <w:r w:rsidRPr="004245EB">
              <w:rPr>
                <w:rFonts w:ascii="Times New Roman" w:hAnsi="Times New Roman"/>
                <w:b/>
                <w:color w:val="FFFFFF" w:themeColor="background1"/>
                <w:szCs w:val="26"/>
              </w:rPr>
              <w:t>Monto RD$</w:t>
            </w:r>
          </w:p>
        </w:tc>
      </w:tr>
      <w:tr w:rsidR="008354C5" w:rsidRPr="004245EB" w14:paraId="107EB739" w14:textId="77777777" w:rsidTr="008354C5">
        <w:trPr>
          <w:jc w:val="center"/>
        </w:trPr>
        <w:tc>
          <w:tcPr>
            <w:tcW w:w="2972" w:type="dxa"/>
          </w:tcPr>
          <w:p w14:paraId="667D2C76" w14:textId="77777777" w:rsidR="008354C5" w:rsidRPr="004245EB" w:rsidRDefault="008354C5" w:rsidP="008354C5">
            <w:pPr>
              <w:tabs>
                <w:tab w:val="left" w:pos="2180"/>
              </w:tabs>
              <w:spacing w:after="0"/>
              <w:jc w:val="both"/>
              <w:rPr>
                <w:rFonts w:ascii="Times New Roman" w:hAnsi="Times New Roman"/>
                <w:szCs w:val="26"/>
              </w:rPr>
            </w:pPr>
            <w:r w:rsidRPr="004245EB">
              <w:rPr>
                <w:rFonts w:ascii="Times New Roman" w:hAnsi="Times New Roman"/>
                <w:szCs w:val="26"/>
              </w:rPr>
              <w:t>Profesionales agropecuarios</w:t>
            </w:r>
          </w:p>
        </w:tc>
        <w:tc>
          <w:tcPr>
            <w:tcW w:w="1177" w:type="dxa"/>
          </w:tcPr>
          <w:p w14:paraId="6B1FA78C" w14:textId="77777777" w:rsidR="008354C5" w:rsidRPr="004245EB" w:rsidRDefault="008354C5" w:rsidP="008354C5">
            <w:pPr>
              <w:tabs>
                <w:tab w:val="left" w:pos="2180"/>
              </w:tabs>
              <w:spacing w:after="0"/>
              <w:jc w:val="right"/>
              <w:rPr>
                <w:rFonts w:ascii="Times New Roman" w:hAnsi="Times New Roman"/>
                <w:szCs w:val="26"/>
              </w:rPr>
            </w:pPr>
            <w:r w:rsidRPr="004245EB">
              <w:rPr>
                <w:rFonts w:ascii="Times New Roman" w:hAnsi="Times New Roman"/>
                <w:szCs w:val="26"/>
              </w:rPr>
              <w:t>1,405</w:t>
            </w:r>
          </w:p>
        </w:tc>
        <w:tc>
          <w:tcPr>
            <w:tcW w:w="1596" w:type="dxa"/>
          </w:tcPr>
          <w:p w14:paraId="386B894A" w14:textId="77777777" w:rsidR="008354C5" w:rsidRPr="004245EB" w:rsidRDefault="008354C5" w:rsidP="008354C5">
            <w:pPr>
              <w:tabs>
                <w:tab w:val="left" w:pos="2180"/>
              </w:tabs>
              <w:spacing w:after="0"/>
              <w:jc w:val="right"/>
              <w:rPr>
                <w:rFonts w:ascii="Times New Roman" w:hAnsi="Times New Roman"/>
                <w:szCs w:val="26"/>
              </w:rPr>
            </w:pPr>
            <w:r w:rsidRPr="004245EB">
              <w:rPr>
                <w:rFonts w:ascii="Times New Roman" w:hAnsi="Times New Roman"/>
                <w:szCs w:val="26"/>
              </w:rPr>
              <w:t>19,153,029.80</w:t>
            </w:r>
          </w:p>
        </w:tc>
      </w:tr>
      <w:tr w:rsidR="008354C5" w:rsidRPr="004245EB" w14:paraId="0314ED1E" w14:textId="77777777" w:rsidTr="008354C5">
        <w:trPr>
          <w:jc w:val="center"/>
        </w:trPr>
        <w:tc>
          <w:tcPr>
            <w:tcW w:w="2972" w:type="dxa"/>
          </w:tcPr>
          <w:p w14:paraId="6847C94A" w14:textId="77777777" w:rsidR="008354C5" w:rsidRPr="004245EB" w:rsidRDefault="008354C5" w:rsidP="008354C5">
            <w:pPr>
              <w:tabs>
                <w:tab w:val="left" w:pos="2180"/>
              </w:tabs>
              <w:spacing w:after="0"/>
              <w:jc w:val="both"/>
              <w:rPr>
                <w:rFonts w:ascii="Times New Roman" w:hAnsi="Times New Roman"/>
                <w:szCs w:val="26"/>
              </w:rPr>
            </w:pPr>
            <w:r w:rsidRPr="004245EB">
              <w:rPr>
                <w:rFonts w:ascii="Times New Roman" w:hAnsi="Times New Roman"/>
                <w:szCs w:val="26"/>
              </w:rPr>
              <w:t>Técnicos agropecuarios</w:t>
            </w:r>
          </w:p>
        </w:tc>
        <w:tc>
          <w:tcPr>
            <w:tcW w:w="1177" w:type="dxa"/>
          </w:tcPr>
          <w:p w14:paraId="250215F1" w14:textId="77777777" w:rsidR="008354C5" w:rsidRPr="004245EB" w:rsidRDefault="008354C5" w:rsidP="008354C5">
            <w:pPr>
              <w:tabs>
                <w:tab w:val="left" w:pos="2180"/>
              </w:tabs>
              <w:spacing w:after="0"/>
              <w:jc w:val="right"/>
              <w:rPr>
                <w:rFonts w:ascii="Times New Roman" w:hAnsi="Times New Roman"/>
                <w:szCs w:val="26"/>
              </w:rPr>
            </w:pPr>
            <w:r w:rsidRPr="004245EB">
              <w:rPr>
                <w:rFonts w:ascii="Times New Roman" w:hAnsi="Times New Roman"/>
                <w:szCs w:val="26"/>
              </w:rPr>
              <w:t>300</w:t>
            </w:r>
          </w:p>
        </w:tc>
        <w:tc>
          <w:tcPr>
            <w:tcW w:w="1596" w:type="dxa"/>
          </w:tcPr>
          <w:p w14:paraId="5C109444" w14:textId="77777777" w:rsidR="008354C5" w:rsidRPr="004245EB" w:rsidRDefault="008354C5" w:rsidP="008354C5">
            <w:pPr>
              <w:tabs>
                <w:tab w:val="left" w:pos="2180"/>
              </w:tabs>
              <w:spacing w:after="0"/>
              <w:jc w:val="right"/>
              <w:rPr>
                <w:rFonts w:ascii="Times New Roman" w:hAnsi="Times New Roman"/>
                <w:szCs w:val="26"/>
              </w:rPr>
            </w:pPr>
            <w:r w:rsidRPr="004245EB">
              <w:rPr>
                <w:rFonts w:ascii="Times New Roman" w:hAnsi="Times New Roman"/>
                <w:szCs w:val="26"/>
              </w:rPr>
              <w:t>2,637,586.34</w:t>
            </w:r>
          </w:p>
        </w:tc>
      </w:tr>
      <w:tr w:rsidR="008354C5" w:rsidRPr="004245EB" w14:paraId="36149207" w14:textId="77777777" w:rsidTr="00954002">
        <w:trPr>
          <w:jc w:val="center"/>
        </w:trPr>
        <w:tc>
          <w:tcPr>
            <w:tcW w:w="2972" w:type="dxa"/>
            <w:shd w:val="clear" w:color="auto" w:fill="808080" w:themeFill="background1" w:themeFillShade="80"/>
          </w:tcPr>
          <w:p w14:paraId="54D94767" w14:textId="77777777" w:rsidR="008354C5" w:rsidRPr="004245EB" w:rsidRDefault="008354C5" w:rsidP="008354C5">
            <w:pPr>
              <w:tabs>
                <w:tab w:val="left" w:pos="2180"/>
              </w:tabs>
              <w:spacing w:after="0"/>
              <w:jc w:val="both"/>
              <w:rPr>
                <w:rFonts w:ascii="Times New Roman" w:hAnsi="Times New Roman"/>
                <w:b/>
                <w:color w:val="FFFFFF" w:themeColor="background1"/>
                <w:szCs w:val="26"/>
              </w:rPr>
            </w:pPr>
            <w:r w:rsidRPr="004245EB">
              <w:rPr>
                <w:rFonts w:ascii="Times New Roman" w:hAnsi="Times New Roman"/>
                <w:b/>
                <w:color w:val="FFFFFF" w:themeColor="background1"/>
                <w:szCs w:val="26"/>
              </w:rPr>
              <w:t>Total</w:t>
            </w:r>
          </w:p>
        </w:tc>
        <w:tc>
          <w:tcPr>
            <w:tcW w:w="1177" w:type="dxa"/>
            <w:shd w:val="clear" w:color="auto" w:fill="808080" w:themeFill="background1" w:themeFillShade="80"/>
          </w:tcPr>
          <w:p w14:paraId="2E951A68" w14:textId="77777777" w:rsidR="008354C5" w:rsidRPr="004245EB" w:rsidRDefault="008354C5" w:rsidP="008354C5">
            <w:pPr>
              <w:tabs>
                <w:tab w:val="left" w:pos="2180"/>
              </w:tabs>
              <w:spacing w:after="0"/>
              <w:jc w:val="right"/>
              <w:rPr>
                <w:rFonts w:ascii="Times New Roman" w:hAnsi="Times New Roman"/>
                <w:b/>
                <w:color w:val="FFFFFF" w:themeColor="background1"/>
                <w:szCs w:val="26"/>
              </w:rPr>
            </w:pPr>
            <w:r w:rsidRPr="004245EB">
              <w:rPr>
                <w:rFonts w:ascii="Times New Roman" w:hAnsi="Times New Roman"/>
                <w:b/>
                <w:color w:val="FFFFFF" w:themeColor="background1"/>
                <w:szCs w:val="26"/>
              </w:rPr>
              <w:t>1,705</w:t>
            </w:r>
          </w:p>
        </w:tc>
        <w:tc>
          <w:tcPr>
            <w:tcW w:w="1596" w:type="dxa"/>
            <w:shd w:val="clear" w:color="auto" w:fill="808080" w:themeFill="background1" w:themeFillShade="80"/>
          </w:tcPr>
          <w:p w14:paraId="2922C60C" w14:textId="77777777" w:rsidR="008354C5" w:rsidRPr="004245EB" w:rsidRDefault="008354C5" w:rsidP="008354C5">
            <w:pPr>
              <w:tabs>
                <w:tab w:val="left" w:pos="2180"/>
              </w:tabs>
              <w:spacing w:after="0"/>
              <w:jc w:val="right"/>
              <w:rPr>
                <w:rFonts w:ascii="Times New Roman" w:hAnsi="Times New Roman"/>
                <w:b/>
                <w:color w:val="FFFFFF" w:themeColor="background1"/>
                <w:szCs w:val="26"/>
              </w:rPr>
            </w:pPr>
            <w:r w:rsidRPr="004245EB">
              <w:rPr>
                <w:rFonts w:ascii="Times New Roman" w:hAnsi="Times New Roman"/>
                <w:b/>
                <w:color w:val="FFFFFF" w:themeColor="background1"/>
                <w:szCs w:val="26"/>
              </w:rPr>
              <w:t>21,790,616.14</w:t>
            </w:r>
          </w:p>
        </w:tc>
      </w:tr>
    </w:tbl>
    <w:p w14:paraId="4E32DDF3" w14:textId="77777777" w:rsidR="008354C5" w:rsidRPr="004245EB" w:rsidRDefault="008354C5" w:rsidP="004245EB">
      <w:pPr>
        <w:tabs>
          <w:tab w:val="left" w:pos="2180"/>
        </w:tabs>
        <w:spacing w:after="0" w:line="480" w:lineRule="auto"/>
        <w:ind w:left="720"/>
        <w:jc w:val="both"/>
        <w:rPr>
          <w:rFonts w:ascii="Times New Roman" w:hAnsi="Times New Roman"/>
          <w:sz w:val="26"/>
          <w:szCs w:val="26"/>
          <w:highlight w:val="yellow"/>
        </w:rPr>
      </w:pPr>
    </w:p>
    <w:p w14:paraId="10799117" w14:textId="77777777" w:rsidR="008354C5" w:rsidRPr="004245EB" w:rsidRDefault="008354C5" w:rsidP="00BB7F45">
      <w:pPr>
        <w:rPr>
          <w:rFonts w:ascii="Times New Roman" w:hAnsi="Times New Roman"/>
          <w:b/>
        </w:rPr>
      </w:pPr>
      <w:bookmarkStart w:id="278" w:name="_Toc16524708"/>
      <w:r w:rsidRPr="004245EB">
        <w:rPr>
          <w:rFonts w:ascii="Times New Roman" w:hAnsi="Times New Roman"/>
          <w:b/>
        </w:rPr>
        <w:t>Tramitación de pensiones con seguro</w:t>
      </w:r>
      <w:bookmarkEnd w:id="278"/>
    </w:p>
    <w:p w14:paraId="22BFE2B8" w14:textId="77777777" w:rsidR="008354C5" w:rsidRPr="004245EB" w:rsidRDefault="008354C5" w:rsidP="008354C5">
      <w:pPr>
        <w:rPr>
          <w:rFonts w:ascii="Times New Roman" w:hAnsi="Times New Roman"/>
          <w:highlight w:val="yellow"/>
        </w:rPr>
      </w:pPr>
    </w:p>
    <w:p w14:paraId="36696BA2" w14:textId="77777777" w:rsidR="008354C5" w:rsidRPr="004245EB" w:rsidRDefault="008354C5" w:rsidP="008354C5">
      <w:pPr>
        <w:spacing w:after="0" w:line="480" w:lineRule="auto"/>
        <w:ind w:firstLine="720"/>
        <w:jc w:val="both"/>
        <w:rPr>
          <w:rFonts w:ascii="Times New Roman" w:hAnsi="Times New Roman"/>
          <w:lang w:val="es-ES_tradnl"/>
        </w:rPr>
      </w:pPr>
      <w:r w:rsidRPr="004245EB">
        <w:rPr>
          <w:rFonts w:ascii="Times New Roman" w:hAnsi="Times New Roman"/>
          <w:lang w:val="es-ES_tradnl"/>
        </w:rPr>
        <w:t>Disposición de pensiones contenidas en el decreto 348-18, con la tramitación de cuarenta y cuatro (44) servidores públicos puestos en retiro a través del Ministerio de Hacienda.</w:t>
      </w:r>
    </w:p>
    <w:p w14:paraId="2F896D14" w14:textId="77777777" w:rsidR="008354C5" w:rsidRPr="004245EB" w:rsidRDefault="008354C5" w:rsidP="008354C5">
      <w:pPr>
        <w:spacing w:after="0" w:line="480" w:lineRule="auto"/>
        <w:ind w:firstLine="720"/>
        <w:jc w:val="both"/>
        <w:rPr>
          <w:rFonts w:ascii="Times New Roman" w:hAnsi="Times New Roman"/>
          <w:lang w:val="es-ES_tradnl"/>
        </w:rPr>
      </w:pPr>
    </w:p>
    <w:p w14:paraId="055307F0" w14:textId="77777777" w:rsidR="008354C5" w:rsidRPr="004245EB" w:rsidRDefault="008354C5" w:rsidP="008354C5">
      <w:pPr>
        <w:spacing w:after="0" w:line="480" w:lineRule="auto"/>
        <w:ind w:firstLine="720"/>
        <w:jc w:val="both"/>
        <w:rPr>
          <w:rFonts w:ascii="Times New Roman" w:hAnsi="Times New Roman"/>
          <w:lang w:val="es-ES_tradnl"/>
        </w:rPr>
      </w:pPr>
      <w:r w:rsidRPr="004245EB">
        <w:rPr>
          <w:rFonts w:ascii="Times New Roman" w:hAnsi="Times New Roman"/>
          <w:lang w:val="es-ES_tradnl"/>
        </w:rPr>
        <w:t>Exclusión de nómina de ciento veintiséis (126) servidores públicos de este Ministerio en los meses comprendidos entre mayo de 2018 y abril 2019, los cuales fueron beneficiados con sus respectivos decretos de jubilación otorgados por el poder ejecutivo, siendo el mayor logro alcanzado por esta gestión en materia de gestión y administración de personal.</w:t>
      </w:r>
    </w:p>
    <w:p w14:paraId="49AF0466" w14:textId="77777777" w:rsidR="008354C5" w:rsidRPr="004245EB" w:rsidRDefault="008354C5" w:rsidP="008354C5">
      <w:pPr>
        <w:spacing w:after="0" w:line="480" w:lineRule="auto"/>
        <w:ind w:firstLine="720"/>
        <w:jc w:val="both"/>
        <w:rPr>
          <w:rFonts w:ascii="Times New Roman" w:hAnsi="Times New Roman"/>
          <w:lang w:val="es-ES_tradnl"/>
        </w:rPr>
      </w:pPr>
    </w:p>
    <w:p w14:paraId="5D642CBF" w14:textId="77777777" w:rsidR="008354C5" w:rsidRPr="004245EB" w:rsidRDefault="008354C5" w:rsidP="008354C5">
      <w:pPr>
        <w:spacing w:after="0" w:line="480" w:lineRule="auto"/>
        <w:ind w:firstLine="720"/>
        <w:jc w:val="both"/>
        <w:rPr>
          <w:rFonts w:ascii="Times New Roman" w:hAnsi="Times New Roman"/>
          <w:lang w:val="es-ES_tradnl"/>
        </w:rPr>
      </w:pPr>
      <w:r w:rsidRPr="004245EB">
        <w:rPr>
          <w:rFonts w:ascii="Times New Roman" w:hAnsi="Times New Roman"/>
          <w:lang w:val="es-ES_tradnl"/>
        </w:rPr>
        <w:t>La jubilación de doscientos (200) profesionales agrónomos y carreras afines, de los cuales ciento veinticuatro (124) pertenecen a este Ministerio de Agricultura y setenta y seis (76) correspondiente a otras instituciones del sector agropecuario.</w:t>
      </w:r>
    </w:p>
    <w:p w14:paraId="5A48A25B" w14:textId="77777777" w:rsidR="008354C5" w:rsidRPr="004245EB" w:rsidRDefault="008354C5" w:rsidP="008354C5">
      <w:pPr>
        <w:spacing w:after="0" w:line="480" w:lineRule="auto"/>
        <w:ind w:firstLine="720"/>
        <w:jc w:val="both"/>
        <w:rPr>
          <w:rFonts w:ascii="Times New Roman" w:hAnsi="Times New Roman"/>
          <w:lang w:val="es-ES_tradnl"/>
        </w:rPr>
      </w:pPr>
    </w:p>
    <w:p w14:paraId="67157BD1" w14:textId="77777777" w:rsidR="008354C5" w:rsidRPr="004245EB" w:rsidRDefault="008354C5" w:rsidP="008354C5">
      <w:pPr>
        <w:spacing w:after="0" w:line="480" w:lineRule="auto"/>
        <w:ind w:firstLine="720"/>
        <w:jc w:val="both"/>
        <w:rPr>
          <w:rFonts w:ascii="Times New Roman" w:hAnsi="Times New Roman"/>
          <w:lang w:val="es-ES_tradnl"/>
        </w:rPr>
      </w:pPr>
      <w:r w:rsidRPr="004245EB">
        <w:rPr>
          <w:rFonts w:ascii="Times New Roman" w:hAnsi="Times New Roman"/>
          <w:lang w:val="es-ES_tradnl"/>
        </w:rPr>
        <w:t>Más de RD$4.5 millones liberados en fondos de nómina por concepto de jubilaciones, tramitados al Ministerio de Hacienda.</w:t>
      </w:r>
    </w:p>
    <w:p w14:paraId="1DB3CFCB" w14:textId="663FDCB3" w:rsidR="008354C5" w:rsidRPr="004245EB" w:rsidRDefault="008354C5" w:rsidP="00BB7F45">
      <w:pPr>
        <w:rPr>
          <w:rFonts w:ascii="Times New Roman" w:hAnsi="Times New Roman"/>
          <w:b/>
        </w:rPr>
      </w:pPr>
      <w:bookmarkStart w:id="279" w:name="_Toc16524709"/>
      <w:r w:rsidRPr="004245EB">
        <w:rPr>
          <w:rFonts w:ascii="Times New Roman" w:hAnsi="Times New Roman"/>
          <w:b/>
        </w:rPr>
        <w:lastRenderedPageBreak/>
        <w:t>Pago de Bono de desempeño a servidores públicos</w:t>
      </w:r>
      <w:bookmarkEnd w:id="279"/>
    </w:p>
    <w:p w14:paraId="16376794" w14:textId="77777777" w:rsidR="008354C5" w:rsidRPr="004245EB" w:rsidRDefault="008354C5" w:rsidP="008354C5">
      <w:pPr>
        <w:spacing w:after="0"/>
        <w:jc w:val="both"/>
        <w:rPr>
          <w:rFonts w:ascii="Times New Roman" w:hAnsi="Times New Roman"/>
        </w:rPr>
      </w:pPr>
    </w:p>
    <w:p w14:paraId="668D6185" w14:textId="77777777" w:rsidR="008354C5" w:rsidRPr="004245EB" w:rsidRDefault="008354C5" w:rsidP="008354C5">
      <w:pPr>
        <w:spacing w:after="0" w:line="480" w:lineRule="auto"/>
        <w:ind w:firstLine="720"/>
        <w:jc w:val="both"/>
        <w:rPr>
          <w:rFonts w:ascii="Times New Roman" w:hAnsi="Times New Roman"/>
          <w:lang w:val="es-ES_tradnl"/>
        </w:rPr>
      </w:pPr>
      <w:r w:rsidRPr="004245EB">
        <w:rPr>
          <w:rFonts w:ascii="Times New Roman" w:hAnsi="Times New Roman"/>
          <w:lang w:val="es-ES_tradnl"/>
        </w:rPr>
        <w:t>Liquidación del bono por desempeño de los años 2015 y 2016, proporcional al sueldo mensual que devengan los servidores públicos, sobre la base del porcentaje obtenido en la evaluación de desempeño por factores, conforme a las disposiciones de la Ley No. 41-08 de Función Pública y el Reglamente No. 523-09 de Relaciones Laborales.</w:t>
      </w:r>
    </w:p>
    <w:p w14:paraId="04619461" w14:textId="77777777" w:rsidR="008354C5" w:rsidRPr="004245EB" w:rsidRDefault="008354C5" w:rsidP="002C75E0">
      <w:pPr>
        <w:spacing w:line="480" w:lineRule="auto"/>
        <w:rPr>
          <w:rFonts w:ascii="Times New Roman" w:hAnsi="Times New Roman"/>
          <w:lang w:eastAsia="en-US"/>
        </w:rPr>
      </w:pPr>
    </w:p>
    <w:p w14:paraId="701C2F3A" w14:textId="77777777" w:rsidR="008354C5" w:rsidRPr="004245EB" w:rsidRDefault="008354C5" w:rsidP="00954002">
      <w:pPr>
        <w:pStyle w:val="Ttulo2"/>
      </w:pPr>
      <w:bookmarkStart w:id="280" w:name="_Toc16524710"/>
      <w:bookmarkStart w:id="281" w:name="_Toc27146803"/>
      <w:r w:rsidRPr="004245EB">
        <w:t>Fortalecimiento e implementación de Tecnologías de la Información y Comunicación</w:t>
      </w:r>
      <w:bookmarkEnd w:id="280"/>
      <w:bookmarkEnd w:id="281"/>
    </w:p>
    <w:p w14:paraId="044CBFB5" w14:textId="77777777" w:rsidR="008354C5" w:rsidRPr="004245EB" w:rsidRDefault="008354C5" w:rsidP="008354C5">
      <w:pPr>
        <w:pStyle w:val="Prrafodelista"/>
        <w:jc w:val="both"/>
        <w:rPr>
          <w:rFonts w:ascii="Times New Roman" w:hAnsi="Times New Roman"/>
          <w:sz w:val="24"/>
          <w:szCs w:val="24"/>
          <w:highlight w:val="yellow"/>
        </w:rPr>
      </w:pPr>
    </w:p>
    <w:p w14:paraId="0F632B25" w14:textId="77777777" w:rsidR="008354C5" w:rsidRPr="004245EB" w:rsidRDefault="008354C5" w:rsidP="008354C5">
      <w:pPr>
        <w:spacing w:after="0" w:line="480" w:lineRule="auto"/>
        <w:ind w:firstLine="720"/>
        <w:jc w:val="both"/>
        <w:rPr>
          <w:rFonts w:ascii="Times New Roman" w:hAnsi="Times New Roman"/>
          <w:lang w:val="es-ES_tradnl"/>
        </w:rPr>
      </w:pPr>
      <w:r w:rsidRPr="004245EB">
        <w:rPr>
          <w:rFonts w:ascii="Times New Roman" w:hAnsi="Times New Roman"/>
          <w:lang w:val="es-ES_tradnl"/>
        </w:rPr>
        <w:t>Adquisición de Licencias de Microsoft: La adquisición de estas licencias, permitirá una mayor fluidez en los trabajos de Interconexión de las Oficinas Regionales con la SEDE Central de este Ministerio.</w:t>
      </w:r>
    </w:p>
    <w:p w14:paraId="6A7ADA3E" w14:textId="77777777" w:rsidR="008354C5" w:rsidRPr="004245EB" w:rsidRDefault="008354C5" w:rsidP="008354C5">
      <w:pPr>
        <w:spacing w:after="0" w:line="480" w:lineRule="auto"/>
        <w:ind w:firstLine="720"/>
        <w:jc w:val="both"/>
        <w:rPr>
          <w:rFonts w:ascii="Times New Roman" w:hAnsi="Times New Roman"/>
          <w:highlight w:val="yellow"/>
          <w:lang w:val="es-ES_tradnl"/>
        </w:rPr>
      </w:pPr>
    </w:p>
    <w:p w14:paraId="06137862" w14:textId="77777777" w:rsidR="008354C5" w:rsidRPr="004245EB" w:rsidRDefault="008354C5" w:rsidP="008354C5">
      <w:pPr>
        <w:spacing w:after="0" w:line="480" w:lineRule="auto"/>
        <w:ind w:firstLine="720"/>
        <w:jc w:val="both"/>
        <w:rPr>
          <w:rFonts w:ascii="Times New Roman" w:hAnsi="Times New Roman"/>
          <w:lang w:val="es-ES_tradnl"/>
        </w:rPr>
      </w:pPr>
      <w:r w:rsidRPr="004245EB">
        <w:rPr>
          <w:rFonts w:ascii="Times New Roman" w:hAnsi="Times New Roman"/>
          <w:lang w:val="es-ES_tradnl"/>
        </w:rPr>
        <w:t>Sistema de Alerta Climática Temprana para las zonas de Producción Agropecuaria de la República Dominicana", plataforma digital que cuenta con una inversión que supera los 71 millones de pesos. La misma está implementada sobre tecnología de Microsoft y permitirá informar en tiempo real sobre más de 200 variables meteorológicas y su evolución con 72 horas de antelación en todas las zonas productivas del país.</w:t>
      </w:r>
    </w:p>
    <w:p w14:paraId="33FE04BE" w14:textId="77777777" w:rsidR="008354C5" w:rsidRPr="004245EB" w:rsidRDefault="008354C5" w:rsidP="008354C5">
      <w:pPr>
        <w:spacing w:after="0" w:line="480" w:lineRule="auto"/>
        <w:ind w:firstLine="720"/>
        <w:jc w:val="both"/>
        <w:rPr>
          <w:rFonts w:ascii="Times New Roman" w:hAnsi="Times New Roman"/>
          <w:highlight w:val="yellow"/>
          <w:lang w:val="es-ES_tradnl"/>
        </w:rPr>
      </w:pPr>
    </w:p>
    <w:p w14:paraId="453FD96B" w14:textId="70D92424" w:rsidR="008354C5" w:rsidRPr="004245EB" w:rsidRDefault="008354C5" w:rsidP="008354C5">
      <w:pPr>
        <w:spacing w:after="0" w:line="480" w:lineRule="auto"/>
        <w:ind w:firstLine="720"/>
        <w:jc w:val="both"/>
        <w:rPr>
          <w:rFonts w:ascii="Times New Roman" w:hAnsi="Times New Roman"/>
          <w:lang w:val="es-ES_tradnl"/>
        </w:rPr>
      </w:pPr>
      <w:r w:rsidRPr="004245EB">
        <w:rPr>
          <w:rFonts w:ascii="Times New Roman" w:hAnsi="Times New Roman"/>
          <w:lang w:val="es-ES_tradnl"/>
        </w:rPr>
        <w:t>Lanzamiento Sistema Alerta Climática Temprana.</w:t>
      </w:r>
    </w:p>
    <w:p w14:paraId="2E860D27" w14:textId="77777777" w:rsidR="008354C5" w:rsidRPr="004245EB" w:rsidRDefault="008354C5" w:rsidP="008354C5">
      <w:pPr>
        <w:spacing w:after="0" w:line="480" w:lineRule="auto"/>
        <w:ind w:firstLine="720"/>
        <w:jc w:val="both"/>
        <w:rPr>
          <w:rFonts w:ascii="Times New Roman" w:hAnsi="Times New Roman"/>
          <w:highlight w:val="yellow"/>
          <w:lang w:val="es-ES_tradnl"/>
        </w:rPr>
      </w:pPr>
    </w:p>
    <w:p w14:paraId="527CA6D4" w14:textId="53AADC73" w:rsidR="008354C5" w:rsidRPr="004245EB" w:rsidRDefault="008354C5" w:rsidP="00954002">
      <w:pPr>
        <w:pStyle w:val="Ttulo2"/>
      </w:pPr>
      <w:bookmarkStart w:id="282" w:name="_Toc16524715"/>
      <w:bookmarkStart w:id="283" w:name="_Toc27146804"/>
      <w:r w:rsidRPr="004245EB">
        <w:lastRenderedPageBreak/>
        <w:t xml:space="preserve">Construcción </w:t>
      </w:r>
      <w:r w:rsidR="00DE69E9" w:rsidRPr="004245EB">
        <w:t xml:space="preserve">y reconstrucción </w:t>
      </w:r>
      <w:r w:rsidRPr="004245EB">
        <w:t xml:space="preserve">de las </w:t>
      </w:r>
      <w:r w:rsidR="00DE69E9" w:rsidRPr="004245EB">
        <w:t>oficinas</w:t>
      </w:r>
      <w:r w:rsidRPr="004245EB">
        <w:t xml:space="preserve"> </w:t>
      </w:r>
      <w:r w:rsidR="00DE69E9" w:rsidRPr="004245EB">
        <w:t>r</w:t>
      </w:r>
      <w:r w:rsidRPr="004245EB">
        <w:t>egionales Administrativas</w:t>
      </w:r>
      <w:bookmarkEnd w:id="282"/>
      <w:bookmarkEnd w:id="283"/>
    </w:p>
    <w:p w14:paraId="20109375" w14:textId="77777777" w:rsidR="008354C5" w:rsidRPr="004245EB" w:rsidRDefault="008354C5" w:rsidP="008354C5">
      <w:pPr>
        <w:rPr>
          <w:rFonts w:ascii="Times New Roman" w:hAnsi="Times New Roman"/>
          <w:b/>
        </w:rPr>
      </w:pPr>
    </w:p>
    <w:p w14:paraId="36F5A59A" w14:textId="60924EC3" w:rsidR="004245EB" w:rsidRDefault="008354C5" w:rsidP="00DE69E9">
      <w:pPr>
        <w:spacing w:after="0" w:line="480" w:lineRule="auto"/>
        <w:ind w:firstLine="720"/>
        <w:jc w:val="both"/>
        <w:rPr>
          <w:rFonts w:ascii="Times New Roman" w:hAnsi="Times New Roman"/>
          <w:lang w:val="es-ES_tradnl"/>
        </w:rPr>
      </w:pPr>
      <w:r w:rsidRPr="00F050E3">
        <w:rPr>
          <w:rFonts w:ascii="Times New Roman" w:hAnsi="Times New Roman"/>
          <w:lang w:val="es-ES_tradnl"/>
        </w:rPr>
        <w:t>Reconstrucción, construcción de las oficinas regionales a nivel nacional, con el propósito de garantizar un ambiente de trabajo propicio tanto los técnicos profesionales y agrónomos como para el acceso adecuado de los productores para que reciban eficientemente los servicios en general que dispone el Ministerio de Agricultura.</w:t>
      </w:r>
    </w:p>
    <w:p w14:paraId="67E46E4C" w14:textId="4BD3E842" w:rsidR="004245EB" w:rsidRDefault="004245EB" w:rsidP="00EC67CB">
      <w:pPr>
        <w:spacing w:after="0" w:line="480" w:lineRule="auto"/>
        <w:rPr>
          <w:rFonts w:ascii="Times New Roman" w:hAnsi="Times New Roman"/>
          <w:lang w:val="es-ES_tradnl"/>
        </w:rPr>
      </w:pPr>
    </w:p>
    <w:p w14:paraId="1BE7173C" w14:textId="77777777" w:rsidR="00530E9A" w:rsidRPr="00004AE2" w:rsidRDefault="00FF2D87" w:rsidP="007440C2">
      <w:pPr>
        <w:pStyle w:val="Ttulo1"/>
      </w:pPr>
      <w:bookmarkStart w:id="284" w:name="_Toc27146805"/>
      <w:r w:rsidRPr="00004AE2">
        <w:t>Indicadores de Desempeño de la Gestión Pública</w:t>
      </w:r>
      <w:bookmarkEnd w:id="267"/>
      <w:bookmarkEnd w:id="284"/>
      <w:r w:rsidRPr="00004AE2">
        <w:t xml:space="preserve"> </w:t>
      </w:r>
      <w:bookmarkEnd w:id="268"/>
      <w:bookmarkEnd w:id="269"/>
      <w:bookmarkEnd w:id="270"/>
      <w:bookmarkEnd w:id="271"/>
      <w:bookmarkEnd w:id="272"/>
    </w:p>
    <w:p w14:paraId="0B732288" w14:textId="77777777" w:rsidR="004A1C9D" w:rsidRDefault="004A1C9D" w:rsidP="00EC67CB">
      <w:pPr>
        <w:spacing w:after="0" w:line="360" w:lineRule="auto"/>
        <w:rPr>
          <w:rFonts w:ascii="Times New Roman" w:hAnsi="Times New Roman"/>
          <w:lang w:val="es-ES_tradnl" w:eastAsia="en-US"/>
        </w:rPr>
      </w:pPr>
    </w:p>
    <w:tbl>
      <w:tblPr>
        <w:tblW w:w="10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3"/>
        <w:gridCol w:w="852"/>
        <w:gridCol w:w="830"/>
        <w:gridCol w:w="896"/>
        <w:gridCol w:w="863"/>
        <w:gridCol w:w="941"/>
        <w:gridCol w:w="770"/>
        <w:gridCol w:w="770"/>
        <w:gridCol w:w="1452"/>
        <w:gridCol w:w="2018"/>
      </w:tblGrid>
      <w:tr w:rsidR="00365EDF" w:rsidRPr="00365EDF" w14:paraId="6F1A9BE1" w14:textId="77777777" w:rsidTr="004C2370">
        <w:trPr>
          <w:trHeight w:val="85"/>
          <w:jc w:val="center"/>
        </w:trPr>
        <w:tc>
          <w:tcPr>
            <w:tcW w:w="1421" w:type="dxa"/>
            <w:shd w:val="clear" w:color="auto" w:fill="00B050"/>
            <w:vAlign w:val="center"/>
            <w:hideMark/>
          </w:tcPr>
          <w:p w14:paraId="669C15C2" w14:textId="686FC5CC" w:rsidR="00365EDF" w:rsidRPr="00365EDF" w:rsidRDefault="00365EDF" w:rsidP="004C2370">
            <w:pPr>
              <w:spacing w:after="0"/>
              <w:jc w:val="center"/>
              <w:rPr>
                <w:rFonts w:ascii="Times New Roman" w:hAnsi="Times New Roman"/>
                <w:b/>
                <w:bCs/>
                <w:color w:val="FFFFFF" w:themeColor="background1"/>
                <w:sz w:val="20"/>
                <w:szCs w:val="16"/>
                <w:lang w:eastAsia="es-DO"/>
              </w:rPr>
            </w:pPr>
            <w:r w:rsidRPr="00365EDF">
              <w:rPr>
                <w:rFonts w:ascii="Times New Roman" w:hAnsi="Times New Roman"/>
                <w:b/>
                <w:bCs/>
                <w:color w:val="FFFFFF" w:themeColor="background1"/>
                <w:sz w:val="20"/>
                <w:szCs w:val="16"/>
                <w:lang w:val="en-US" w:eastAsia="es-DO"/>
              </w:rPr>
              <w:t>PROMEDIO</w:t>
            </w:r>
            <w:r w:rsidR="004C2370">
              <w:rPr>
                <w:rStyle w:val="Refdenotaalpie"/>
                <w:rFonts w:ascii="Times New Roman" w:hAnsi="Times New Roman"/>
                <w:b/>
                <w:bCs/>
                <w:color w:val="FFFFFF" w:themeColor="background1"/>
                <w:sz w:val="20"/>
                <w:szCs w:val="16"/>
                <w:lang w:val="en-US" w:eastAsia="es-DO"/>
              </w:rPr>
              <w:footnoteReference w:id="28"/>
            </w:r>
            <w:r w:rsidR="004C2370">
              <w:rPr>
                <w:rFonts w:ascii="Times New Roman" w:hAnsi="Times New Roman"/>
                <w:b/>
                <w:bCs/>
                <w:color w:val="FFFFFF" w:themeColor="background1"/>
                <w:sz w:val="20"/>
                <w:szCs w:val="16"/>
                <w:lang w:val="en-US" w:eastAsia="es-DO"/>
              </w:rPr>
              <w:t xml:space="preserve"> </w:t>
            </w:r>
            <w:r w:rsidRPr="004C2370">
              <w:rPr>
                <w:rFonts w:ascii="Times New Roman" w:hAnsi="Times New Roman"/>
                <w:b/>
                <w:bCs/>
                <w:color w:val="FFFFFF" w:themeColor="background1"/>
                <w:sz w:val="20"/>
                <w:szCs w:val="16"/>
                <w:lang w:val="en-US" w:eastAsia="es-DO"/>
              </w:rPr>
              <w:t>INDICADORES</w:t>
            </w:r>
          </w:p>
        </w:tc>
        <w:tc>
          <w:tcPr>
            <w:tcW w:w="781" w:type="dxa"/>
            <w:shd w:val="clear" w:color="auto" w:fill="95B3D7" w:themeFill="accent1" w:themeFillTint="99"/>
            <w:vAlign w:val="center"/>
            <w:hideMark/>
          </w:tcPr>
          <w:p w14:paraId="0CFB8E5E" w14:textId="77777777" w:rsidR="00365EDF" w:rsidRPr="00365EDF" w:rsidRDefault="00365EDF" w:rsidP="00365EDF">
            <w:pPr>
              <w:spacing w:after="0"/>
              <w:jc w:val="center"/>
              <w:rPr>
                <w:rFonts w:ascii="Times New Roman" w:hAnsi="Times New Roman"/>
                <w:b/>
                <w:bCs/>
                <w:color w:val="FFFFFF" w:themeColor="background1"/>
                <w:sz w:val="20"/>
                <w:szCs w:val="16"/>
                <w:lang w:eastAsia="es-DO"/>
              </w:rPr>
            </w:pPr>
            <w:r w:rsidRPr="00365EDF">
              <w:rPr>
                <w:rFonts w:ascii="Times New Roman" w:hAnsi="Times New Roman"/>
                <w:b/>
                <w:bCs/>
                <w:color w:val="FFFFFF" w:themeColor="background1"/>
                <w:sz w:val="20"/>
                <w:szCs w:val="16"/>
                <w:lang w:val="en-US" w:eastAsia="es-DO"/>
              </w:rPr>
              <w:t>METAS</w:t>
            </w:r>
          </w:p>
        </w:tc>
        <w:tc>
          <w:tcPr>
            <w:tcW w:w="770" w:type="dxa"/>
            <w:shd w:val="clear" w:color="auto" w:fill="95B3D7" w:themeFill="accent1" w:themeFillTint="99"/>
            <w:vAlign w:val="center"/>
            <w:hideMark/>
          </w:tcPr>
          <w:p w14:paraId="29916C4A" w14:textId="77777777" w:rsidR="00365EDF" w:rsidRPr="00365EDF" w:rsidRDefault="00365EDF" w:rsidP="00365EDF">
            <w:pPr>
              <w:spacing w:after="0"/>
              <w:jc w:val="center"/>
              <w:rPr>
                <w:rFonts w:ascii="Times New Roman" w:hAnsi="Times New Roman"/>
                <w:b/>
                <w:bCs/>
                <w:color w:val="FFFFFF" w:themeColor="background1"/>
                <w:sz w:val="20"/>
                <w:szCs w:val="16"/>
                <w:lang w:eastAsia="es-DO"/>
              </w:rPr>
            </w:pPr>
            <w:r w:rsidRPr="00365EDF">
              <w:rPr>
                <w:rFonts w:ascii="Times New Roman" w:hAnsi="Times New Roman"/>
                <w:b/>
                <w:bCs/>
                <w:color w:val="FFFFFF" w:themeColor="background1"/>
                <w:sz w:val="20"/>
                <w:szCs w:val="16"/>
                <w:lang w:val="en-US" w:eastAsia="es-DO"/>
              </w:rPr>
              <w:t>OBRAS</w:t>
            </w:r>
          </w:p>
        </w:tc>
        <w:tc>
          <w:tcPr>
            <w:tcW w:w="821" w:type="dxa"/>
            <w:shd w:val="clear" w:color="auto" w:fill="FABF8F" w:themeFill="accent6" w:themeFillTint="99"/>
            <w:vAlign w:val="center"/>
            <w:hideMark/>
          </w:tcPr>
          <w:p w14:paraId="4AF418F1" w14:textId="77777777" w:rsidR="00365EDF" w:rsidRPr="00365EDF" w:rsidRDefault="00365EDF" w:rsidP="00365EDF">
            <w:pPr>
              <w:spacing w:after="0"/>
              <w:jc w:val="center"/>
              <w:rPr>
                <w:rFonts w:ascii="Times New Roman" w:hAnsi="Times New Roman"/>
                <w:b/>
                <w:bCs/>
                <w:color w:val="FFFFFF" w:themeColor="background1"/>
                <w:sz w:val="20"/>
                <w:szCs w:val="16"/>
                <w:lang w:eastAsia="es-DO"/>
              </w:rPr>
            </w:pPr>
            <w:r w:rsidRPr="00365EDF">
              <w:rPr>
                <w:rFonts w:ascii="Times New Roman" w:hAnsi="Times New Roman"/>
                <w:b/>
                <w:bCs/>
                <w:color w:val="FFFFFF" w:themeColor="background1"/>
                <w:sz w:val="20"/>
                <w:szCs w:val="16"/>
                <w:lang w:val="en-US" w:eastAsia="es-DO"/>
              </w:rPr>
              <w:t>SISMAP</w:t>
            </w:r>
          </w:p>
        </w:tc>
        <w:tc>
          <w:tcPr>
            <w:tcW w:w="791" w:type="dxa"/>
            <w:shd w:val="clear" w:color="auto" w:fill="FABF8F" w:themeFill="accent6" w:themeFillTint="99"/>
            <w:vAlign w:val="center"/>
            <w:hideMark/>
          </w:tcPr>
          <w:p w14:paraId="116DA906" w14:textId="77777777" w:rsidR="00365EDF" w:rsidRPr="00365EDF" w:rsidRDefault="00365EDF" w:rsidP="00365EDF">
            <w:pPr>
              <w:spacing w:after="0"/>
              <w:jc w:val="center"/>
              <w:rPr>
                <w:rFonts w:ascii="Times New Roman" w:hAnsi="Times New Roman"/>
                <w:b/>
                <w:bCs/>
                <w:color w:val="FFFFFF" w:themeColor="background1"/>
                <w:sz w:val="20"/>
                <w:szCs w:val="16"/>
                <w:lang w:eastAsia="es-DO"/>
              </w:rPr>
            </w:pPr>
            <w:r w:rsidRPr="00365EDF">
              <w:rPr>
                <w:rFonts w:ascii="Times New Roman" w:hAnsi="Times New Roman"/>
                <w:b/>
                <w:bCs/>
                <w:color w:val="FFFFFF" w:themeColor="background1"/>
                <w:sz w:val="20"/>
                <w:szCs w:val="16"/>
                <w:lang w:val="en-US" w:eastAsia="es-DO"/>
              </w:rPr>
              <w:t>ITICGE</w:t>
            </w:r>
          </w:p>
        </w:tc>
        <w:tc>
          <w:tcPr>
            <w:tcW w:w="861" w:type="dxa"/>
            <w:shd w:val="clear" w:color="auto" w:fill="FABF8F" w:themeFill="accent6" w:themeFillTint="99"/>
            <w:vAlign w:val="center"/>
            <w:hideMark/>
          </w:tcPr>
          <w:p w14:paraId="36FA0BFE" w14:textId="77777777" w:rsidR="00365EDF" w:rsidRPr="00365EDF" w:rsidRDefault="00365EDF" w:rsidP="00365EDF">
            <w:pPr>
              <w:spacing w:after="0"/>
              <w:jc w:val="center"/>
              <w:rPr>
                <w:rFonts w:ascii="Times New Roman" w:hAnsi="Times New Roman"/>
                <w:b/>
                <w:bCs/>
                <w:color w:val="FFFFFF" w:themeColor="background1"/>
                <w:sz w:val="20"/>
                <w:szCs w:val="16"/>
                <w:lang w:eastAsia="es-DO"/>
              </w:rPr>
            </w:pPr>
            <w:r w:rsidRPr="00365EDF">
              <w:rPr>
                <w:rFonts w:ascii="Times New Roman" w:hAnsi="Times New Roman"/>
                <w:b/>
                <w:bCs/>
                <w:color w:val="FFFFFF" w:themeColor="background1"/>
                <w:sz w:val="20"/>
                <w:szCs w:val="16"/>
                <w:lang w:val="en-US" w:eastAsia="es-DO"/>
              </w:rPr>
              <w:t>NOBACI</w:t>
            </w:r>
          </w:p>
        </w:tc>
        <w:tc>
          <w:tcPr>
            <w:tcW w:w="770" w:type="dxa"/>
            <w:shd w:val="clear" w:color="auto" w:fill="FABF8F" w:themeFill="accent6" w:themeFillTint="99"/>
            <w:vAlign w:val="center"/>
            <w:hideMark/>
          </w:tcPr>
          <w:p w14:paraId="31AAEDAF" w14:textId="5D8CC8B0" w:rsidR="00365EDF" w:rsidRPr="00365EDF" w:rsidRDefault="004C2370" w:rsidP="004C2370">
            <w:pPr>
              <w:spacing w:after="0"/>
              <w:jc w:val="center"/>
              <w:rPr>
                <w:rFonts w:ascii="Times New Roman" w:hAnsi="Times New Roman"/>
                <w:b/>
                <w:bCs/>
                <w:color w:val="FFFFFF" w:themeColor="background1"/>
                <w:sz w:val="20"/>
                <w:szCs w:val="16"/>
                <w:lang w:eastAsia="es-DO"/>
              </w:rPr>
            </w:pPr>
            <w:r>
              <w:rPr>
                <w:rFonts w:ascii="Times New Roman" w:hAnsi="Times New Roman"/>
                <w:b/>
                <w:bCs/>
                <w:color w:val="FFFFFF" w:themeColor="background1"/>
                <w:sz w:val="20"/>
                <w:szCs w:val="16"/>
                <w:lang w:val="en-US" w:eastAsia="es-DO"/>
              </w:rPr>
              <w:t xml:space="preserve">LEY </w:t>
            </w:r>
            <w:r w:rsidR="00365EDF" w:rsidRPr="00365EDF">
              <w:rPr>
                <w:rFonts w:ascii="Times New Roman" w:hAnsi="Times New Roman"/>
                <w:b/>
                <w:bCs/>
                <w:color w:val="FFFFFF" w:themeColor="background1"/>
                <w:sz w:val="20"/>
                <w:szCs w:val="16"/>
                <w:lang w:val="en-US" w:eastAsia="es-DO"/>
              </w:rPr>
              <w:t xml:space="preserve"> 200-04</w:t>
            </w:r>
          </w:p>
        </w:tc>
        <w:tc>
          <w:tcPr>
            <w:tcW w:w="770" w:type="dxa"/>
            <w:shd w:val="clear" w:color="auto" w:fill="FABF8F" w:themeFill="accent6" w:themeFillTint="99"/>
            <w:vAlign w:val="center"/>
            <w:hideMark/>
          </w:tcPr>
          <w:p w14:paraId="056D2752" w14:textId="77777777" w:rsidR="00365EDF" w:rsidRPr="00365EDF" w:rsidRDefault="00365EDF" w:rsidP="00365EDF">
            <w:pPr>
              <w:spacing w:after="0"/>
              <w:jc w:val="center"/>
              <w:rPr>
                <w:rFonts w:ascii="Times New Roman" w:hAnsi="Times New Roman"/>
                <w:b/>
                <w:bCs/>
                <w:color w:val="FFFFFF" w:themeColor="background1"/>
                <w:sz w:val="20"/>
                <w:szCs w:val="16"/>
                <w:lang w:eastAsia="es-DO"/>
              </w:rPr>
            </w:pPr>
            <w:r w:rsidRPr="00365EDF">
              <w:rPr>
                <w:rFonts w:ascii="Times New Roman" w:hAnsi="Times New Roman"/>
                <w:b/>
                <w:bCs/>
                <w:color w:val="FFFFFF" w:themeColor="background1"/>
                <w:sz w:val="20"/>
                <w:szCs w:val="16"/>
                <w:lang w:val="en-US" w:eastAsia="es-DO"/>
              </w:rPr>
              <w:t>IGP</w:t>
            </w:r>
          </w:p>
        </w:tc>
        <w:tc>
          <w:tcPr>
            <w:tcW w:w="1321" w:type="dxa"/>
            <w:shd w:val="clear" w:color="auto" w:fill="FABF8F" w:themeFill="accent6" w:themeFillTint="99"/>
            <w:vAlign w:val="center"/>
            <w:hideMark/>
          </w:tcPr>
          <w:p w14:paraId="478A38F9" w14:textId="607ECA97" w:rsidR="00365EDF" w:rsidRPr="00365EDF" w:rsidRDefault="00365EDF" w:rsidP="00365EDF">
            <w:pPr>
              <w:spacing w:after="0"/>
              <w:jc w:val="center"/>
              <w:rPr>
                <w:rFonts w:ascii="Times New Roman" w:hAnsi="Times New Roman"/>
                <w:b/>
                <w:bCs/>
                <w:color w:val="FFFFFF" w:themeColor="background1"/>
                <w:sz w:val="20"/>
                <w:szCs w:val="16"/>
                <w:lang w:eastAsia="es-DO"/>
              </w:rPr>
            </w:pPr>
            <w:r w:rsidRPr="00365EDF">
              <w:rPr>
                <w:rFonts w:ascii="Times New Roman" w:hAnsi="Times New Roman"/>
                <w:b/>
                <w:bCs/>
                <w:color w:val="FFFFFF" w:themeColor="background1"/>
                <w:sz w:val="20"/>
                <w:szCs w:val="16"/>
                <w:lang w:val="en-US" w:eastAsia="es-DO"/>
              </w:rPr>
              <w:t>SISCOMPRAS</w:t>
            </w:r>
          </w:p>
        </w:tc>
        <w:tc>
          <w:tcPr>
            <w:tcW w:w="1831" w:type="dxa"/>
            <w:shd w:val="clear" w:color="auto" w:fill="FABF8F" w:themeFill="accent6" w:themeFillTint="99"/>
            <w:vAlign w:val="center"/>
            <w:hideMark/>
          </w:tcPr>
          <w:p w14:paraId="1CB88D8A" w14:textId="77777777" w:rsidR="00365EDF" w:rsidRPr="00365EDF" w:rsidRDefault="00365EDF" w:rsidP="00365EDF">
            <w:pPr>
              <w:spacing w:after="0"/>
              <w:jc w:val="center"/>
              <w:rPr>
                <w:rFonts w:ascii="Times New Roman" w:hAnsi="Times New Roman"/>
                <w:b/>
                <w:bCs/>
                <w:color w:val="FFFFFF" w:themeColor="background1"/>
                <w:sz w:val="20"/>
                <w:szCs w:val="16"/>
                <w:lang w:eastAsia="es-DO"/>
              </w:rPr>
            </w:pPr>
            <w:r w:rsidRPr="00365EDF">
              <w:rPr>
                <w:rFonts w:ascii="Times New Roman" w:hAnsi="Times New Roman"/>
                <w:b/>
                <w:bCs/>
                <w:color w:val="FFFFFF" w:themeColor="background1"/>
                <w:sz w:val="20"/>
                <w:szCs w:val="16"/>
                <w:lang w:val="en-US" w:eastAsia="es-DO"/>
              </w:rPr>
              <w:t>TRANSPARENCIA GUBERNAMENTAL</w:t>
            </w:r>
          </w:p>
        </w:tc>
      </w:tr>
      <w:tr w:rsidR="00365EDF" w:rsidRPr="00365EDF" w14:paraId="07D43E1B" w14:textId="77777777" w:rsidTr="004C2370">
        <w:trPr>
          <w:trHeight w:val="315"/>
          <w:jc w:val="center"/>
        </w:trPr>
        <w:tc>
          <w:tcPr>
            <w:tcW w:w="1421" w:type="dxa"/>
            <w:shd w:val="clear" w:color="auto" w:fill="92D050"/>
            <w:noWrap/>
            <w:vAlign w:val="center"/>
            <w:hideMark/>
          </w:tcPr>
          <w:p w14:paraId="6EEE2592" w14:textId="56E28854" w:rsidR="00365EDF" w:rsidRPr="00365EDF" w:rsidRDefault="00640B50" w:rsidP="00365EDF">
            <w:pPr>
              <w:spacing w:after="0"/>
              <w:jc w:val="center"/>
              <w:rPr>
                <w:rFonts w:ascii="Times New Roman" w:hAnsi="Times New Roman"/>
                <w:color w:val="000000"/>
                <w:sz w:val="28"/>
                <w:szCs w:val="20"/>
                <w:lang w:eastAsia="es-DO"/>
              </w:rPr>
            </w:pPr>
            <w:r>
              <w:rPr>
                <w:rFonts w:ascii="Times New Roman" w:hAnsi="Times New Roman"/>
                <w:color w:val="000000"/>
                <w:sz w:val="28"/>
                <w:szCs w:val="20"/>
                <w:lang w:eastAsia="es-DO"/>
              </w:rPr>
              <w:t>89.69</w:t>
            </w:r>
          </w:p>
        </w:tc>
        <w:tc>
          <w:tcPr>
            <w:tcW w:w="781" w:type="dxa"/>
            <w:shd w:val="clear" w:color="auto" w:fill="92D050"/>
            <w:noWrap/>
            <w:vAlign w:val="center"/>
            <w:hideMark/>
          </w:tcPr>
          <w:p w14:paraId="4124540A" w14:textId="77777777" w:rsidR="00365EDF" w:rsidRPr="00365EDF" w:rsidRDefault="00365EDF" w:rsidP="00365EDF">
            <w:pPr>
              <w:spacing w:after="0"/>
              <w:jc w:val="center"/>
              <w:rPr>
                <w:rFonts w:ascii="Times New Roman" w:hAnsi="Times New Roman"/>
                <w:color w:val="000000"/>
                <w:sz w:val="28"/>
                <w:szCs w:val="20"/>
                <w:lang w:eastAsia="es-DO"/>
              </w:rPr>
            </w:pPr>
            <w:r w:rsidRPr="00365EDF">
              <w:rPr>
                <w:rFonts w:ascii="Times New Roman" w:hAnsi="Times New Roman"/>
                <w:color w:val="000000"/>
                <w:sz w:val="28"/>
                <w:szCs w:val="20"/>
                <w:lang w:val="en-US" w:eastAsia="es-DO"/>
              </w:rPr>
              <w:t>100</w:t>
            </w:r>
          </w:p>
        </w:tc>
        <w:tc>
          <w:tcPr>
            <w:tcW w:w="770" w:type="dxa"/>
            <w:shd w:val="clear" w:color="auto" w:fill="BFBFBF" w:themeFill="background1" w:themeFillShade="BF"/>
            <w:noWrap/>
            <w:vAlign w:val="center"/>
            <w:hideMark/>
          </w:tcPr>
          <w:p w14:paraId="29B8E32B" w14:textId="77777777" w:rsidR="00365EDF" w:rsidRPr="00365EDF" w:rsidRDefault="00365EDF" w:rsidP="00365EDF">
            <w:pPr>
              <w:spacing w:after="0"/>
              <w:jc w:val="center"/>
              <w:rPr>
                <w:rFonts w:ascii="Times New Roman" w:hAnsi="Times New Roman"/>
                <w:color w:val="000000"/>
                <w:sz w:val="28"/>
                <w:szCs w:val="20"/>
                <w:lang w:eastAsia="es-DO"/>
              </w:rPr>
            </w:pPr>
            <w:r w:rsidRPr="00365EDF">
              <w:rPr>
                <w:rFonts w:ascii="Times New Roman" w:hAnsi="Times New Roman"/>
                <w:color w:val="000000"/>
                <w:sz w:val="28"/>
                <w:szCs w:val="20"/>
                <w:lang w:val="en-US" w:eastAsia="es-DO"/>
              </w:rPr>
              <w:t>n/e</w:t>
            </w:r>
          </w:p>
        </w:tc>
        <w:tc>
          <w:tcPr>
            <w:tcW w:w="821" w:type="dxa"/>
            <w:shd w:val="clear" w:color="000000" w:fill="E2EFD9"/>
            <w:noWrap/>
            <w:vAlign w:val="center"/>
            <w:hideMark/>
          </w:tcPr>
          <w:p w14:paraId="34EFB2CD" w14:textId="77777777" w:rsidR="00365EDF" w:rsidRPr="00365EDF" w:rsidRDefault="00365EDF" w:rsidP="00365EDF">
            <w:pPr>
              <w:spacing w:after="0"/>
              <w:jc w:val="center"/>
              <w:rPr>
                <w:rFonts w:ascii="Times New Roman" w:hAnsi="Times New Roman"/>
                <w:color w:val="000000"/>
                <w:sz w:val="28"/>
                <w:szCs w:val="20"/>
                <w:lang w:eastAsia="es-DO"/>
              </w:rPr>
            </w:pPr>
            <w:r w:rsidRPr="00365EDF">
              <w:rPr>
                <w:rFonts w:ascii="Times New Roman" w:hAnsi="Times New Roman"/>
                <w:color w:val="000000"/>
                <w:sz w:val="28"/>
                <w:szCs w:val="20"/>
                <w:lang w:val="en-US" w:eastAsia="es-DO"/>
              </w:rPr>
              <w:t>89.28</w:t>
            </w:r>
          </w:p>
        </w:tc>
        <w:tc>
          <w:tcPr>
            <w:tcW w:w="791" w:type="dxa"/>
            <w:shd w:val="clear" w:color="auto" w:fill="FFFF00"/>
            <w:noWrap/>
            <w:vAlign w:val="center"/>
            <w:hideMark/>
          </w:tcPr>
          <w:p w14:paraId="6AAB3591" w14:textId="77777777" w:rsidR="00365EDF" w:rsidRPr="00365EDF" w:rsidRDefault="00365EDF" w:rsidP="00365EDF">
            <w:pPr>
              <w:spacing w:after="0"/>
              <w:jc w:val="center"/>
              <w:rPr>
                <w:rFonts w:ascii="Times New Roman" w:hAnsi="Times New Roman"/>
                <w:color w:val="000000"/>
                <w:sz w:val="28"/>
                <w:szCs w:val="20"/>
                <w:lang w:eastAsia="es-DO"/>
              </w:rPr>
            </w:pPr>
            <w:r w:rsidRPr="00365EDF">
              <w:rPr>
                <w:rFonts w:ascii="Times New Roman" w:hAnsi="Times New Roman"/>
                <w:color w:val="000000"/>
                <w:sz w:val="28"/>
                <w:szCs w:val="20"/>
                <w:lang w:val="en-US" w:eastAsia="es-DO"/>
              </w:rPr>
              <w:t>76.15</w:t>
            </w:r>
          </w:p>
        </w:tc>
        <w:tc>
          <w:tcPr>
            <w:tcW w:w="861" w:type="dxa"/>
            <w:shd w:val="clear" w:color="auto" w:fill="92D050"/>
            <w:noWrap/>
            <w:vAlign w:val="center"/>
            <w:hideMark/>
          </w:tcPr>
          <w:p w14:paraId="4532E660" w14:textId="77777777" w:rsidR="00365EDF" w:rsidRPr="00365EDF" w:rsidRDefault="00365EDF" w:rsidP="00365EDF">
            <w:pPr>
              <w:spacing w:after="0"/>
              <w:jc w:val="center"/>
              <w:rPr>
                <w:rFonts w:ascii="Times New Roman" w:hAnsi="Times New Roman"/>
                <w:color w:val="000000"/>
                <w:sz w:val="28"/>
                <w:szCs w:val="20"/>
                <w:lang w:eastAsia="es-DO"/>
              </w:rPr>
            </w:pPr>
            <w:r w:rsidRPr="00365EDF">
              <w:rPr>
                <w:rFonts w:ascii="Times New Roman" w:hAnsi="Times New Roman"/>
                <w:color w:val="000000"/>
                <w:sz w:val="28"/>
                <w:szCs w:val="20"/>
                <w:lang w:val="en-US" w:eastAsia="es-DO"/>
              </w:rPr>
              <w:t>95.93</w:t>
            </w:r>
          </w:p>
        </w:tc>
        <w:tc>
          <w:tcPr>
            <w:tcW w:w="770" w:type="dxa"/>
            <w:shd w:val="clear" w:color="auto" w:fill="92D050"/>
            <w:noWrap/>
            <w:vAlign w:val="center"/>
            <w:hideMark/>
          </w:tcPr>
          <w:p w14:paraId="4CBCBD87" w14:textId="77777777" w:rsidR="00365EDF" w:rsidRPr="00365EDF" w:rsidRDefault="00365EDF" w:rsidP="00365EDF">
            <w:pPr>
              <w:spacing w:after="0"/>
              <w:jc w:val="center"/>
              <w:rPr>
                <w:rFonts w:ascii="Times New Roman" w:hAnsi="Times New Roman"/>
                <w:color w:val="000000"/>
                <w:sz w:val="28"/>
                <w:szCs w:val="20"/>
                <w:lang w:eastAsia="es-DO"/>
              </w:rPr>
            </w:pPr>
            <w:r w:rsidRPr="00365EDF">
              <w:rPr>
                <w:rFonts w:ascii="Times New Roman" w:hAnsi="Times New Roman"/>
                <w:color w:val="000000"/>
                <w:sz w:val="28"/>
                <w:szCs w:val="20"/>
                <w:lang w:val="en-US" w:eastAsia="es-DO"/>
              </w:rPr>
              <w:t>94.00</w:t>
            </w:r>
          </w:p>
        </w:tc>
        <w:tc>
          <w:tcPr>
            <w:tcW w:w="770" w:type="dxa"/>
            <w:shd w:val="clear" w:color="auto" w:fill="92D050"/>
            <w:noWrap/>
            <w:vAlign w:val="center"/>
            <w:hideMark/>
          </w:tcPr>
          <w:p w14:paraId="7FBFB6E9" w14:textId="5D8D89DD" w:rsidR="00365EDF" w:rsidRPr="00365EDF" w:rsidRDefault="00365EDF" w:rsidP="0045254A">
            <w:pPr>
              <w:spacing w:after="0"/>
              <w:jc w:val="center"/>
              <w:rPr>
                <w:rFonts w:ascii="Times New Roman" w:hAnsi="Times New Roman"/>
                <w:color w:val="000000"/>
                <w:sz w:val="28"/>
                <w:szCs w:val="20"/>
                <w:lang w:eastAsia="es-DO"/>
              </w:rPr>
            </w:pPr>
            <w:r w:rsidRPr="00365EDF">
              <w:rPr>
                <w:rFonts w:ascii="Times New Roman" w:hAnsi="Times New Roman"/>
                <w:color w:val="000000"/>
                <w:sz w:val="28"/>
                <w:szCs w:val="20"/>
                <w:lang w:val="en-US" w:eastAsia="es-DO"/>
              </w:rPr>
              <w:t>95.</w:t>
            </w:r>
            <w:r w:rsidR="003A6CAF">
              <w:rPr>
                <w:rFonts w:ascii="Times New Roman" w:hAnsi="Times New Roman"/>
                <w:color w:val="000000"/>
                <w:sz w:val="28"/>
                <w:szCs w:val="20"/>
                <w:lang w:val="en-US" w:eastAsia="es-DO"/>
              </w:rPr>
              <w:t>0</w:t>
            </w:r>
            <w:r w:rsidR="0045254A">
              <w:rPr>
                <w:rFonts w:ascii="Times New Roman" w:hAnsi="Times New Roman"/>
                <w:color w:val="000000"/>
                <w:sz w:val="28"/>
                <w:szCs w:val="20"/>
                <w:lang w:val="en-US" w:eastAsia="es-DO"/>
              </w:rPr>
              <w:t>5</w:t>
            </w:r>
          </w:p>
        </w:tc>
        <w:tc>
          <w:tcPr>
            <w:tcW w:w="1321" w:type="dxa"/>
            <w:shd w:val="clear" w:color="auto" w:fill="92D050"/>
            <w:noWrap/>
            <w:vAlign w:val="center"/>
            <w:hideMark/>
          </w:tcPr>
          <w:p w14:paraId="78D904CC" w14:textId="77777777" w:rsidR="00365EDF" w:rsidRPr="00365EDF" w:rsidRDefault="00365EDF" w:rsidP="00365EDF">
            <w:pPr>
              <w:spacing w:after="0"/>
              <w:jc w:val="center"/>
              <w:rPr>
                <w:rFonts w:ascii="Times New Roman" w:hAnsi="Times New Roman"/>
                <w:color w:val="000000"/>
                <w:sz w:val="28"/>
                <w:szCs w:val="20"/>
                <w:lang w:eastAsia="es-DO"/>
              </w:rPr>
            </w:pPr>
            <w:r w:rsidRPr="00365EDF">
              <w:rPr>
                <w:rFonts w:ascii="Times New Roman" w:hAnsi="Times New Roman"/>
                <w:color w:val="000000"/>
                <w:sz w:val="28"/>
                <w:szCs w:val="20"/>
                <w:lang w:val="en-US" w:eastAsia="es-DO"/>
              </w:rPr>
              <w:t>86.00</w:t>
            </w:r>
          </w:p>
        </w:tc>
        <w:tc>
          <w:tcPr>
            <w:tcW w:w="1831" w:type="dxa"/>
            <w:shd w:val="clear" w:color="auto" w:fill="92D050"/>
            <w:noWrap/>
            <w:vAlign w:val="center"/>
            <w:hideMark/>
          </w:tcPr>
          <w:p w14:paraId="389A0590" w14:textId="77777777" w:rsidR="00365EDF" w:rsidRPr="00365EDF" w:rsidRDefault="00365EDF" w:rsidP="00365EDF">
            <w:pPr>
              <w:spacing w:after="0"/>
              <w:jc w:val="center"/>
              <w:rPr>
                <w:rFonts w:ascii="Times New Roman" w:hAnsi="Times New Roman"/>
                <w:color w:val="000000"/>
                <w:sz w:val="28"/>
                <w:szCs w:val="20"/>
                <w:lang w:eastAsia="es-DO"/>
              </w:rPr>
            </w:pPr>
            <w:r w:rsidRPr="00365EDF">
              <w:rPr>
                <w:rFonts w:ascii="Times New Roman" w:hAnsi="Times New Roman"/>
                <w:color w:val="000000"/>
                <w:sz w:val="28"/>
                <w:szCs w:val="20"/>
                <w:lang w:val="en-US" w:eastAsia="es-DO"/>
              </w:rPr>
              <w:t>91.41</w:t>
            </w:r>
          </w:p>
        </w:tc>
      </w:tr>
    </w:tbl>
    <w:p w14:paraId="49DC7B95" w14:textId="77777777" w:rsidR="00365EDF" w:rsidRPr="00004AE2" w:rsidRDefault="00365EDF" w:rsidP="00390148">
      <w:pPr>
        <w:spacing w:after="0" w:line="480" w:lineRule="auto"/>
        <w:rPr>
          <w:rFonts w:ascii="Times New Roman" w:hAnsi="Times New Roman"/>
          <w:lang w:val="es-ES_tradnl" w:eastAsia="en-US"/>
        </w:rPr>
      </w:pPr>
    </w:p>
    <w:p w14:paraId="5B0064B1" w14:textId="73F239A9" w:rsidR="00366DEE" w:rsidRPr="00F050E3" w:rsidRDefault="00366DEE" w:rsidP="00954002">
      <w:pPr>
        <w:pStyle w:val="Ttulo2"/>
      </w:pPr>
      <w:bookmarkStart w:id="285" w:name="_Toc440036709"/>
      <w:bookmarkStart w:id="286" w:name="_Toc470523360"/>
      <w:bookmarkStart w:id="287" w:name="_Toc26292091"/>
      <w:bookmarkStart w:id="288" w:name="_Toc27146806"/>
      <w:r w:rsidRPr="00F050E3">
        <w:t xml:space="preserve">a) </w:t>
      </w:r>
      <w:bookmarkStart w:id="289" w:name="_Toc254413065"/>
      <w:bookmarkStart w:id="290" w:name="_Toc409040069"/>
      <w:bookmarkStart w:id="291" w:name="_Toc251777828"/>
      <w:r w:rsidR="00646828" w:rsidRPr="00F050E3">
        <w:t xml:space="preserve">Indicador sobre el cumplimiento de </w:t>
      </w:r>
      <w:r w:rsidRPr="00F050E3">
        <w:t>Metas Presidenciales</w:t>
      </w:r>
      <w:bookmarkEnd w:id="285"/>
      <w:bookmarkEnd w:id="286"/>
      <w:bookmarkEnd w:id="287"/>
      <w:bookmarkEnd w:id="288"/>
      <w:bookmarkEnd w:id="289"/>
      <w:bookmarkEnd w:id="290"/>
      <w:r w:rsidRPr="00F050E3">
        <w:t xml:space="preserve"> </w:t>
      </w:r>
      <w:bookmarkEnd w:id="291"/>
    </w:p>
    <w:p w14:paraId="118EB595" w14:textId="77777777" w:rsidR="002F0F07" w:rsidRDefault="002F0F07" w:rsidP="00EC67CB">
      <w:pPr>
        <w:spacing w:after="0" w:line="360" w:lineRule="auto"/>
        <w:ind w:firstLine="720"/>
        <w:jc w:val="both"/>
        <w:rPr>
          <w:rFonts w:ascii="Times New Roman" w:hAnsi="Times New Roman"/>
          <w:lang w:val="es-ES_tradnl"/>
        </w:rPr>
      </w:pPr>
    </w:p>
    <w:p w14:paraId="3923B75D" w14:textId="23C2A8AA" w:rsidR="00366DEE" w:rsidRPr="00004AE2" w:rsidRDefault="00366DEE" w:rsidP="00366DEE">
      <w:pPr>
        <w:spacing w:after="0" w:line="480" w:lineRule="auto"/>
        <w:ind w:firstLine="720"/>
        <w:jc w:val="both"/>
        <w:rPr>
          <w:rFonts w:ascii="Times New Roman" w:hAnsi="Times New Roman"/>
          <w:lang w:val="es-ES_tradnl"/>
        </w:rPr>
      </w:pPr>
      <w:r w:rsidRPr="00F050E3">
        <w:rPr>
          <w:rFonts w:ascii="Times New Roman" w:hAnsi="Times New Roman"/>
          <w:lang w:val="es-ES_tradnl"/>
        </w:rPr>
        <w:t>El programa de Gobierno del Presidente, Lic. Danilo Medina Sánchez, definió 112 metas presidenciales, distribuidas entre los distintos Ministerios, Direcciones Generales Gubernamentales e Instituc</w:t>
      </w:r>
      <w:r w:rsidR="00556444" w:rsidRPr="00F050E3">
        <w:rPr>
          <w:rFonts w:ascii="Times New Roman" w:hAnsi="Times New Roman"/>
          <w:lang w:val="es-ES_tradnl"/>
        </w:rPr>
        <w:t>iones Públicas descentralizadas, (Ver anexos, F y G)</w:t>
      </w:r>
      <w:r w:rsidR="00F471C3" w:rsidRPr="00F050E3">
        <w:rPr>
          <w:rFonts w:ascii="Times New Roman" w:hAnsi="Times New Roman"/>
          <w:lang w:val="es-ES_tradnl"/>
        </w:rPr>
        <w:t>.</w:t>
      </w:r>
    </w:p>
    <w:p w14:paraId="2A3E3531" w14:textId="77777777" w:rsidR="00366DEE" w:rsidRPr="00004AE2" w:rsidRDefault="00366DEE" w:rsidP="00EC67CB">
      <w:pPr>
        <w:spacing w:after="0" w:line="360" w:lineRule="auto"/>
        <w:ind w:firstLine="720"/>
        <w:jc w:val="both"/>
        <w:rPr>
          <w:rFonts w:ascii="Times New Roman" w:hAnsi="Times New Roman"/>
          <w:lang w:val="es-ES_tradnl"/>
        </w:rPr>
      </w:pPr>
    </w:p>
    <w:p w14:paraId="2F8B5A70" w14:textId="77777777" w:rsidR="00366DEE" w:rsidRPr="00F050E3" w:rsidRDefault="00366DEE" w:rsidP="00366DEE">
      <w:pPr>
        <w:spacing w:after="0" w:line="480" w:lineRule="auto"/>
        <w:ind w:firstLine="720"/>
        <w:jc w:val="both"/>
        <w:rPr>
          <w:rFonts w:ascii="Times New Roman" w:hAnsi="Times New Roman"/>
          <w:lang w:val="es-ES_tradnl"/>
        </w:rPr>
      </w:pPr>
      <w:r w:rsidRPr="00F050E3">
        <w:rPr>
          <w:rFonts w:ascii="Times New Roman" w:hAnsi="Times New Roman"/>
          <w:lang w:val="es-ES_tradnl"/>
        </w:rPr>
        <w:t xml:space="preserve">El logro de las metas se traduce en resultados concretos programas, proyectos y construcción de obras civiles que impactan la ciudadanía dominicana </w:t>
      </w:r>
      <w:r w:rsidRPr="00F050E3">
        <w:rPr>
          <w:rFonts w:ascii="Times New Roman" w:hAnsi="Times New Roman"/>
          <w:lang w:val="es-ES_tradnl"/>
        </w:rPr>
        <w:lastRenderedPageBreak/>
        <w:t>en sus aspectos más relevantes y sensibles, con un horizonte plurianual de 4 años comprendidos desde el 2016 hasta el 2020.</w:t>
      </w:r>
    </w:p>
    <w:p w14:paraId="10195907" w14:textId="77777777" w:rsidR="00366DEE" w:rsidRPr="00F050E3" w:rsidRDefault="00366DEE" w:rsidP="00EC67CB">
      <w:pPr>
        <w:spacing w:after="0" w:line="360" w:lineRule="auto"/>
        <w:ind w:firstLine="720"/>
        <w:jc w:val="both"/>
        <w:rPr>
          <w:rFonts w:ascii="Times New Roman" w:hAnsi="Times New Roman"/>
          <w:lang w:val="es-ES_tradnl"/>
        </w:rPr>
      </w:pPr>
    </w:p>
    <w:p w14:paraId="377908F5" w14:textId="5D01DB10" w:rsidR="00366DEE" w:rsidRDefault="00366DEE" w:rsidP="00366DEE">
      <w:pPr>
        <w:spacing w:after="0" w:line="480" w:lineRule="auto"/>
        <w:ind w:firstLine="720"/>
        <w:jc w:val="both"/>
        <w:rPr>
          <w:rFonts w:ascii="Times New Roman" w:hAnsi="Times New Roman"/>
          <w:lang w:val="es-ES_tradnl"/>
        </w:rPr>
      </w:pPr>
      <w:r w:rsidRPr="00F050E3">
        <w:rPr>
          <w:rFonts w:ascii="Times New Roman" w:hAnsi="Times New Roman"/>
          <w:lang w:val="es-ES_tradnl"/>
        </w:rPr>
        <w:t>En sentido general al cierre del 201</w:t>
      </w:r>
      <w:r w:rsidR="005A3ECD" w:rsidRPr="00F050E3">
        <w:rPr>
          <w:rFonts w:ascii="Times New Roman" w:hAnsi="Times New Roman"/>
          <w:lang w:val="es-ES_tradnl"/>
        </w:rPr>
        <w:t>9</w:t>
      </w:r>
      <w:r w:rsidRPr="00F050E3">
        <w:rPr>
          <w:rFonts w:ascii="Times New Roman" w:hAnsi="Times New Roman"/>
          <w:lang w:val="es-ES_tradnl"/>
        </w:rPr>
        <w:t xml:space="preserve">, </w:t>
      </w:r>
      <w:r w:rsidR="005A3ECD" w:rsidRPr="00F050E3">
        <w:rPr>
          <w:rFonts w:ascii="Times New Roman" w:hAnsi="Times New Roman"/>
          <w:lang w:val="es-ES_tradnl"/>
        </w:rPr>
        <w:t xml:space="preserve">el indicador de Metas Presidenciales obtuvo un puntaje de </w:t>
      </w:r>
      <w:r w:rsidRPr="00F050E3">
        <w:rPr>
          <w:rFonts w:ascii="Times New Roman" w:hAnsi="Times New Roman"/>
          <w:lang w:val="es-ES_tradnl"/>
        </w:rPr>
        <w:t xml:space="preserve">un </w:t>
      </w:r>
      <w:r w:rsidR="005A3ECD" w:rsidRPr="00F050E3">
        <w:rPr>
          <w:rFonts w:ascii="Times New Roman" w:hAnsi="Times New Roman"/>
          <w:lang w:val="es-ES_tradnl"/>
        </w:rPr>
        <w:t>100</w:t>
      </w:r>
      <w:r w:rsidRPr="00F050E3">
        <w:rPr>
          <w:rFonts w:ascii="Times New Roman" w:hAnsi="Times New Roman"/>
          <w:lang w:val="es-ES_tradnl"/>
        </w:rPr>
        <w:t>% en la implementación y ejecución de las Metas Presidenciales asignadas a este Ministerio, concebidas a partir del mes de agosto del 2016; actualmente se están ejecutando a través de programas y proyectos productivos vigentes, además de unidades ejecutoras según la estructura programática del Ministerio, tal como se aprecia en el anexo H.</w:t>
      </w:r>
    </w:p>
    <w:p w14:paraId="2B3DCF67" w14:textId="77777777" w:rsidR="00EC67CB" w:rsidRPr="00F050E3" w:rsidRDefault="00EC67CB" w:rsidP="00EC67CB">
      <w:pPr>
        <w:spacing w:after="0" w:line="360" w:lineRule="auto"/>
        <w:ind w:firstLine="720"/>
        <w:jc w:val="both"/>
        <w:rPr>
          <w:rFonts w:ascii="Times New Roman" w:hAnsi="Times New Roman"/>
          <w:lang w:val="es-ES_tradnl"/>
        </w:rPr>
      </w:pPr>
    </w:p>
    <w:p w14:paraId="3959674F" w14:textId="769AF0C9" w:rsidR="00366DEE" w:rsidRPr="00F050E3" w:rsidRDefault="005A3ECD" w:rsidP="00366DEE">
      <w:pPr>
        <w:spacing w:after="0" w:line="480" w:lineRule="auto"/>
        <w:ind w:firstLine="720"/>
        <w:jc w:val="both"/>
        <w:rPr>
          <w:rFonts w:ascii="Times New Roman" w:hAnsi="Times New Roman"/>
          <w:lang w:val="es-ES_tradnl"/>
        </w:rPr>
      </w:pPr>
      <w:r w:rsidRPr="00F050E3">
        <w:rPr>
          <w:rFonts w:ascii="Times New Roman" w:hAnsi="Times New Roman"/>
          <w:lang w:val="es-ES_tradnl"/>
        </w:rPr>
        <w:t>Metas Presidenciales en gestión atrasada por restricción presupuestaria, bajo la responsabilidad de Instituciones sectoriales</w:t>
      </w:r>
      <w:r w:rsidR="00366DEE" w:rsidRPr="00F050E3">
        <w:rPr>
          <w:rFonts w:ascii="Times New Roman" w:hAnsi="Times New Roman"/>
          <w:lang w:val="es-ES_tradnl"/>
        </w:rPr>
        <w:t xml:space="preserve"> en su ejecución:</w:t>
      </w:r>
    </w:p>
    <w:p w14:paraId="1F340D89" w14:textId="12BC8806" w:rsidR="00F366F2" w:rsidRPr="00F050E3" w:rsidRDefault="00F366F2" w:rsidP="00EC67CB">
      <w:pPr>
        <w:spacing w:after="0" w:line="276" w:lineRule="auto"/>
        <w:rPr>
          <w:rFonts w:ascii="Times New Roman" w:hAnsi="Times New Roman"/>
          <w:color w:val="4F81BD" w:themeColor="accent1"/>
          <w:lang w:val="es-ES_tradnl"/>
        </w:rPr>
      </w:pPr>
    </w:p>
    <w:p w14:paraId="2AF7FBB4" w14:textId="4E778AC3" w:rsidR="002B05F3" w:rsidRDefault="002B05F3" w:rsidP="001C6B1A">
      <w:pPr>
        <w:pStyle w:val="Prrafodelista"/>
        <w:numPr>
          <w:ilvl w:val="0"/>
          <w:numId w:val="9"/>
        </w:numPr>
        <w:spacing w:after="0" w:line="480" w:lineRule="auto"/>
        <w:ind w:left="1260" w:hanging="1260"/>
        <w:rPr>
          <w:rFonts w:ascii="Times New Roman" w:hAnsi="Times New Roman"/>
          <w:b/>
          <w:sz w:val="24"/>
          <w:lang w:val="es-ES_tradnl"/>
        </w:rPr>
      </w:pPr>
      <w:r w:rsidRPr="00F050E3">
        <w:rPr>
          <w:rFonts w:ascii="Times New Roman" w:hAnsi="Times New Roman"/>
          <w:b/>
          <w:sz w:val="24"/>
          <w:lang w:val="es-ES_tradnl"/>
        </w:rPr>
        <w:t>Resultado del Indicador de Metas Presidenciales</w:t>
      </w:r>
      <w:r w:rsidR="00CE6CBA" w:rsidRPr="00F050E3">
        <w:rPr>
          <w:rFonts w:ascii="Times New Roman" w:hAnsi="Times New Roman"/>
          <w:b/>
          <w:sz w:val="24"/>
          <w:lang w:val="es-ES_tradnl"/>
        </w:rPr>
        <w:t xml:space="preserve">, </w:t>
      </w:r>
      <w:r w:rsidR="005A3ECD" w:rsidRPr="00F050E3">
        <w:rPr>
          <w:rFonts w:ascii="Times New Roman" w:hAnsi="Times New Roman"/>
          <w:b/>
          <w:sz w:val="24"/>
          <w:lang w:val="es-ES_tradnl"/>
        </w:rPr>
        <w:t>Ministerio de Agricultura.</w:t>
      </w:r>
    </w:p>
    <w:p w14:paraId="0CDF1E1A" w14:textId="77777777" w:rsidR="002F0F07" w:rsidRPr="00F050E3" w:rsidRDefault="002F0F07" w:rsidP="00EC67CB">
      <w:pPr>
        <w:pStyle w:val="Prrafodelista"/>
        <w:spacing w:after="0"/>
        <w:ind w:left="1260"/>
        <w:rPr>
          <w:rFonts w:ascii="Times New Roman" w:hAnsi="Times New Roman"/>
          <w:b/>
          <w:sz w:val="24"/>
          <w:lang w:val="es-ES_tradnl"/>
        </w:rPr>
      </w:pPr>
    </w:p>
    <w:tbl>
      <w:tblPr>
        <w:tblW w:w="6273" w:type="pct"/>
        <w:tblInd w:w="-553" w:type="dxa"/>
        <w:tblCellMar>
          <w:left w:w="70" w:type="dxa"/>
          <w:right w:w="70" w:type="dxa"/>
        </w:tblCellMar>
        <w:tblLook w:val="04A0" w:firstRow="1" w:lastRow="0" w:firstColumn="1" w:lastColumn="0" w:noHBand="0" w:noVBand="1"/>
      </w:tblPr>
      <w:tblGrid>
        <w:gridCol w:w="495"/>
        <w:gridCol w:w="2334"/>
        <w:gridCol w:w="4472"/>
        <w:gridCol w:w="1434"/>
        <w:gridCol w:w="1189"/>
      </w:tblGrid>
      <w:tr w:rsidR="00456BDF" w:rsidRPr="00F050E3" w14:paraId="7AEBF6B5" w14:textId="77777777" w:rsidTr="00542984">
        <w:trPr>
          <w:trHeight w:val="315"/>
        </w:trPr>
        <w:tc>
          <w:tcPr>
            <w:tcW w:w="249" w:type="pct"/>
            <w:tcBorders>
              <w:top w:val="single" w:sz="4" w:space="0" w:color="auto"/>
              <w:left w:val="single" w:sz="4" w:space="0" w:color="auto"/>
              <w:bottom w:val="single" w:sz="4" w:space="0" w:color="auto"/>
              <w:right w:val="single" w:sz="4" w:space="0" w:color="auto"/>
            </w:tcBorders>
            <w:shd w:val="clear" w:color="auto" w:fill="00B050"/>
            <w:vAlign w:val="center"/>
            <w:hideMark/>
          </w:tcPr>
          <w:p w14:paraId="067FE9B2" w14:textId="77777777" w:rsidR="00456BDF" w:rsidRPr="00F050E3" w:rsidRDefault="00456BDF" w:rsidP="00B0170C">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No.</w:t>
            </w:r>
          </w:p>
        </w:tc>
        <w:tc>
          <w:tcPr>
            <w:tcW w:w="1176" w:type="pct"/>
            <w:tcBorders>
              <w:top w:val="single" w:sz="4" w:space="0" w:color="auto"/>
              <w:left w:val="nil"/>
              <w:bottom w:val="single" w:sz="4" w:space="0" w:color="auto"/>
              <w:right w:val="single" w:sz="4" w:space="0" w:color="auto"/>
            </w:tcBorders>
            <w:shd w:val="clear" w:color="auto" w:fill="00B050"/>
            <w:vAlign w:val="center"/>
            <w:hideMark/>
          </w:tcPr>
          <w:p w14:paraId="7434FD75" w14:textId="77777777" w:rsidR="00456BDF" w:rsidRPr="00F050E3" w:rsidRDefault="00456BDF" w:rsidP="00B0170C">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Sub-Indicador</w:t>
            </w:r>
          </w:p>
        </w:tc>
        <w:tc>
          <w:tcPr>
            <w:tcW w:w="2253" w:type="pct"/>
            <w:tcBorders>
              <w:top w:val="single" w:sz="4" w:space="0" w:color="auto"/>
              <w:left w:val="nil"/>
              <w:bottom w:val="single" w:sz="4" w:space="0" w:color="auto"/>
              <w:right w:val="single" w:sz="4" w:space="0" w:color="auto"/>
            </w:tcBorders>
            <w:shd w:val="clear" w:color="auto" w:fill="00B050"/>
            <w:vAlign w:val="center"/>
            <w:hideMark/>
          </w:tcPr>
          <w:p w14:paraId="2FEC6502" w14:textId="77777777" w:rsidR="00456BDF" w:rsidRPr="00F050E3" w:rsidRDefault="00456BDF" w:rsidP="00B0170C">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Descripción</w:t>
            </w:r>
          </w:p>
        </w:tc>
        <w:tc>
          <w:tcPr>
            <w:tcW w:w="722" w:type="pct"/>
            <w:tcBorders>
              <w:top w:val="single" w:sz="4" w:space="0" w:color="auto"/>
              <w:left w:val="nil"/>
              <w:bottom w:val="single" w:sz="4" w:space="0" w:color="auto"/>
              <w:right w:val="single" w:sz="4" w:space="0" w:color="auto"/>
            </w:tcBorders>
            <w:shd w:val="clear" w:color="auto" w:fill="00B050"/>
            <w:vAlign w:val="center"/>
            <w:hideMark/>
          </w:tcPr>
          <w:p w14:paraId="1AEBC463" w14:textId="77777777" w:rsidR="00456BDF" w:rsidRPr="00F050E3" w:rsidRDefault="00456BDF" w:rsidP="00B0170C">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 xml:space="preserve">Ponderación </w:t>
            </w:r>
          </w:p>
        </w:tc>
        <w:tc>
          <w:tcPr>
            <w:tcW w:w="599" w:type="pct"/>
            <w:tcBorders>
              <w:top w:val="single" w:sz="4" w:space="0" w:color="auto"/>
              <w:left w:val="nil"/>
              <w:bottom w:val="single" w:sz="4" w:space="0" w:color="auto"/>
              <w:right w:val="single" w:sz="4" w:space="0" w:color="auto"/>
            </w:tcBorders>
            <w:shd w:val="clear" w:color="auto" w:fill="00B050"/>
            <w:vAlign w:val="center"/>
            <w:hideMark/>
          </w:tcPr>
          <w:p w14:paraId="61D9C874" w14:textId="77777777" w:rsidR="00456BDF" w:rsidRPr="00F050E3" w:rsidRDefault="00456BDF" w:rsidP="00B0170C">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Resultado</w:t>
            </w:r>
          </w:p>
        </w:tc>
      </w:tr>
      <w:tr w:rsidR="00456BDF" w:rsidRPr="00F050E3" w14:paraId="7DC5C23D" w14:textId="77777777" w:rsidTr="00542984">
        <w:trPr>
          <w:trHeight w:val="630"/>
        </w:trPr>
        <w:tc>
          <w:tcPr>
            <w:tcW w:w="249" w:type="pct"/>
            <w:tcBorders>
              <w:top w:val="nil"/>
              <w:left w:val="single" w:sz="4" w:space="0" w:color="auto"/>
              <w:bottom w:val="single" w:sz="4" w:space="0" w:color="auto"/>
              <w:right w:val="single" w:sz="4" w:space="0" w:color="auto"/>
            </w:tcBorders>
            <w:shd w:val="clear" w:color="auto" w:fill="auto"/>
            <w:vAlign w:val="center"/>
            <w:hideMark/>
          </w:tcPr>
          <w:p w14:paraId="49648586" w14:textId="77777777" w:rsidR="00456BDF" w:rsidRPr="00F050E3" w:rsidRDefault="00456BDF" w:rsidP="00B0170C">
            <w:pPr>
              <w:spacing w:after="0"/>
              <w:jc w:val="center"/>
              <w:rPr>
                <w:rFonts w:ascii="Times New Roman" w:hAnsi="Times New Roman"/>
                <w:color w:val="000000"/>
                <w:lang w:eastAsia="es-DO"/>
              </w:rPr>
            </w:pPr>
            <w:r w:rsidRPr="00F050E3">
              <w:rPr>
                <w:rFonts w:ascii="Times New Roman" w:hAnsi="Times New Roman"/>
                <w:color w:val="000000"/>
                <w:lang w:eastAsia="es-DO"/>
              </w:rPr>
              <w:t>1</w:t>
            </w:r>
          </w:p>
        </w:tc>
        <w:tc>
          <w:tcPr>
            <w:tcW w:w="1176" w:type="pct"/>
            <w:tcBorders>
              <w:top w:val="nil"/>
              <w:left w:val="nil"/>
              <w:bottom w:val="single" w:sz="4" w:space="0" w:color="auto"/>
              <w:right w:val="single" w:sz="4" w:space="0" w:color="auto"/>
            </w:tcBorders>
            <w:shd w:val="clear" w:color="auto" w:fill="auto"/>
            <w:vAlign w:val="center"/>
            <w:hideMark/>
          </w:tcPr>
          <w:p w14:paraId="3063449D" w14:textId="77777777" w:rsidR="00456BDF" w:rsidRPr="00F050E3" w:rsidRDefault="00456BDF" w:rsidP="00B0170C">
            <w:pPr>
              <w:spacing w:after="0"/>
              <w:rPr>
                <w:rFonts w:ascii="Times New Roman" w:hAnsi="Times New Roman"/>
                <w:color w:val="000000"/>
                <w:lang w:eastAsia="es-DO"/>
              </w:rPr>
            </w:pPr>
            <w:r w:rsidRPr="00F050E3">
              <w:rPr>
                <w:rFonts w:ascii="Times New Roman" w:hAnsi="Times New Roman"/>
                <w:color w:val="000000"/>
                <w:lang w:eastAsia="es-DO"/>
              </w:rPr>
              <w:t>Total de Metas en gestión</w:t>
            </w:r>
          </w:p>
        </w:tc>
        <w:tc>
          <w:tcPr>
            <w:tcW w:w="2253" w:type="pct"/>
            <w:tcBorders>
              <w:top w:val="nil"/>
              <w:left w:val="nil"/>
              <w:bottom w:val="single" w:sz="4" w:space="0" w:color="auto"/>
              <w:right w:val="single" w:sz="4" w:space="0" w:color="auto"/>
            </w:tcBorders>
            <w:shd w:val="clear" w:color="auto" w:fill="auto"/>
            <w:vAlign w:val="center"/>
            <w:hideMark/>
          </w:tcPr>
          <w:p w14:paraId="6B4C1A31" w14:textId="77777777" w:rsidR="00456BDF" w:rsidRPr="00F050E3" w:rsidRDefault="00456BDF" w:rsidP="00B0170C">
            <w:pPr>
              <w:spacing w:after="0"/>
              <w:jc w:val="both"/>
              <w:rPr>
                <w:rFonts w:ascii="Times New Roman" w:hAnsi="Times New Roman"/>
                <w:color w:val="000000"/>
                <w:lang w:eastAsia="es-DO"/>
              </w:rPr>
            </w:pPr>
            <w:r w:rsidRPr="00F050E3">
              <w:rPr>
                <w:rFonts w:ascii="Times New Roman" w:hAnsi="Times New Roman"/>
                <w:color w:val="000000"/>
                <w:lang w:eastAsia="es-DO"/>
              </w:rPr>
              <w:t>Indica la cantidad de metas que están gestionándose en la actualidad, no se toman en cuenta las metas ya finalizadas</w:t>
            </w:r>
          </w:p>
        </w:tc>
        <w:tc>
          <w:tcPr>
            <w:tcW w:w="722" w:type="pct"/>
            <w:tcBorders>
              <w:top w:val="nil"/>
              <w:left w:val="nil"/>
              <w:bottom w:val="single" w:sz="4" w:space="0" w:color="auto"/>
              <w:right w:val="single" w:sz="4" w:space="0" w:color="auto"/>
            </w:tcBorders>
            <w:shd w:val="clear" w:color="auto" w:fill="auto"/>
            <w:vAlign w:val="center"/>
            <w:hideMark/>
          </w:tcPr>
          <w:p w14:paraId="6195BDDD" w14:textId="3BE22FFB" w:rsidR="00456BDF" w:rsidRPr="00F050E3" w:rsidRDefault="00CE6CBA" w:rsidP="00B0170C">
            <w:pPr>
              <w:spacing w:after="0"/>
              <w:jc w:val="center"/>
              <w:rPr>
                <w:rFonts w:ascii="Times New Roman" w:hAnsi="Times New Roman"/>
                <w:color w:val="000000"/>
                <w:lang w:eastAsia="es-DO"/>
              </w:rPr>
            </w:pPr>
            <w:r w:rsidRPr="00F050E3">
              <w:rPr>
                <w:rFonts w:ascii="Times New Roman" w:hAnsi="Times New Roman"/>
                <w:color w:val="000000"/>
                <w:lang w:eastAsia="es-DO"/>
              </w:rPr>
              <w:t>17</w:t>
            </w:r>
          </w:p>
        </w:tc>
        <w:tc>
          <w:tcPr>
            <w:tcW w:w="599" w:type="pct"/>
            <w:tcBorders>
              <w:top w:val="nil"/>
              <w:left w:val="nil"/>
              <w:bottom w:val="single" w:sz="4" w:space="0" w:color="auto"/>
              <w:right w:val="single" w:sz="4" w:space="0" w:color="auto"/>
            </w:tcBorders>
            <w:shd w:val="clear" w:color="auto" w:fill="auto"/>
            <w:vAlign w:val="center"/>
            <w:hideMark/>
          </w:tcPr>
          <w:p w14:paraId="48A1AF10" w14:textId="00E50229" w:rsidR="00456BDF" w:rsidRPr="00F050E3" w:rsidRDefault="00CE6CBA" w:rsidP="00B0170C">
            <w:pPr>
              <w:spacing w:after="0"/>
              <w:jc w:val="center"/>
              <w:rPr>
                <w:rFonts w:ascii="Times New Roman" w:hAnsi="Times New Roman"/>
                <w:color w:val="000000"/>
                <w:lang w:eastAsia="es-DO"/>
              </w:rPr>
            </w:pPr>
            <w:r w:rsidRPr="00F050E3">
              <w:rPr>
                <w:rFonts w:ascii="Times New Roman" w:hAnsi="Times New Roman"/>
                <w:color w:val="000000"/>
                <w:lang w:eastAsia="es-DO"/>
              </w:rPr>
              <w:t>17</w:t>
            </w:r>
          </w:p>
        </w:tc>
      </w:tr>
      <w:tr w:rsidR="00456BDF" w:rsidRPr="00F050E3" w14:paraId="6FF2A00A" w14:textId="77777777" w:rsidTr="00542984">
        <w:trPr>
          <w:trHeight w:val="945"/>
        </w:trPr>
        <w:tc>
          <w:tcPr>
            <w:tcW w:w="249" w:type="pct"/>
            <w:tcBorders>
              <w:top w:val="nil"/>
              <w:left w:val="single" w:sz="4" w:space="0" w:color="auto"/>
              <w:bottom w:val="single" w:sz="4" w:space="0" w:color="auto"/>
              <w:right w:val="single" w:sz="4" w:space="0" w:color="auto"/>
            </w:tcBorders>
            <w:shd w:val="clear" w:color="auto" w:fill="auto"/>
            <w:vAlign w:val="center"/>
            <w:hideMark/>
          </w:tcPr>
          <w:p w14:paraId="26B99EAA" w14:textId="77777777" w:rsidR="00456BDF" w:rsidRPr="00F050E3" w:rsidRDefault="00456BDF" w:rsidP="00B0170C">
            <w:pPr>
              <w:spacing w:after="0"/>
              <w:jc w:val="center"/>
              <w:rPr>
                <w:rFonts w:ascii="Times New Roman" w:hAnsi="Times New Roman"/>
                <w:color w:val="000000"/>
                <w:lang w:eastAsia="es-DO"/>
              </w:rPr>
            </w:pPr>
            <w:r w:rsidRPr="00F050E3">
              <w:rPr>
                <w:rFonts w:ascii="Times New Roman" w:hAnsi="Times New Roman"/>
                <w:color w:val="000000"/>
                <w:lang w:eastAsia="es-DO"/>
              </w:rPr>
              <w:t>2</w:t>
            </w:r>
          </w:p>
        </w:tc>
        <w:tc>
          <w:tcPr>
            <w:tcW w:w="1176" w:type="pct"/>
            <w:tcBorders>
              <w:top w:val="nil"/>
              <w:left w:val="nil"/>
              <w:bottom w:val="single" w:sz="4" w:space="0" w:color="auto"/>
              <w:right w:val="single" w:sz="4" w:space="0" w:color="auto"/>
            </w:tcBorders>
            <w:shd w:val="clear" w:color="auto" w:fill="auto"/>
            <w:vAlign w:val="center"/>
            <w:hideMark/>
          </w:tcPr>
          <w:p w14:paraId="3A08A704" w14:textId="77777777" w:rsidR="00456BDF" w:rsidRPr="00F050E3" w:rsidRDefault="00456BDF" w:rsidP="00B0170C">
            <w:pPr>
              <w:spacing w:after="0"/>
              <w:rPr>
                <w:rFonts w:ascii="Times New Roman" w:hAnsi="Times New Roman"/>
                <w:color w:val="000000"/>
                <w:lang w:eastAsia="es-DO"/>
              </w:rPr>
            </w:pPr>
            <w:r w:rsidRPr="00F050E3">
              <w:rPr>
                <w:rFonts w:ascii="Times New Roman" w:hAnsi="Times New Roman"/>
                <w:color w:val="000000"/>
                <w:lang w:eastAsia="es-DO"/>
              </w:rPr>
              <w:t>Total de Metas en verde, normal</w:t>
            </w:r>
          </w:p>
        </w:tc>
        <w:tc>
          <w:tcPr>
            <w:tcW w:w="2253" w:type="pct"/>
            <w:tcBorders>
              <w:top w:val="nil"/>
              <w:left w:val="nil"/>
              <w:bottom w:val="single" w:sz="4" w:space="0" w:color="auto"/>
              <w:right w:val="single" w:sz="4" w:space="0" w:color="auto"/>
            </w:tcBorders>
            <w:shd w:val="clear" w:color="auto" w:fill="auto"/>
            <w:vAlign w:val="center"/>
            <w:hideMark/>
          </w:tcPr>
          <w:p w14:paraId="78FC1453" w14:textId="77777777" w:rsidR="00456BDF" w:rsidRPr="00F050E3" w:rsidRDefault="00456BDF" w:rsidP="00B0170C">
            <w:pPr>
              <w:spacing w:after="0"/>
              <w:rPr>
                <w:rFonts w:ascii="Times New Roman" w:hAnsi="Times New Roman"/>
                <w:color w:val="000000"/>
                <w:lang w:eastAsia="es-DO"/>
              </w:rPr>
            </w:pPr>
            <w:r w:rsidRPr="00F050E3">
              <w:rPr>
                <w:rFonts w:ascii="Times New Roman" w:hAnsi="Times New Roman"/>
                <w:color w:val="000000"/>
                <w:lang w:eastAsia="es-DO"/>
              </w:rPr>
              <w:t>Indica la cantidad de metas que están gestionándose y cuya gestión se encuentra sin problemas ni retrasos y por lo tanto están con el semáforo en color verde.</w:t>
            </w:r>
          </w:p>
        </w:tc>
        <w:tc>
          <w:tcPr>
            <w:tcW w:w="722" w:type="pct"/>
            <w:tcBorders>
              <w:top w:val="nil"/>
              <w:left w:val="nil"/>
              <w:bottom w:val="single" w:sz="4" w:space="0" w:color="auto"/>
              <w:right w:val="single" w:sz="4" w:space="0" w:color="auto"/>
            </w:tcBorders>
            <w:shd w:val="clear" w:color="auto" w:fill="auto"/>
            <w:vAlign w:val="center"/>
            <w:hideMark/>
          </w:tcPr>
          <w:p w14:paraId="79A4A61D" w14:textId="6968BD81" w:rsidR="00456BDF" w:rsidRPr="00F050E3" w:rsidRDefault="00CE6CBA" w:rsidP="00B0170C">
            <w:pPr>
              <w:spacing w:after="0"/>
              <w:jc w:val="center"/>
              <w:rPr>
                <w:rFonts w:ascii="Times New Roman" w:hAnsi="Times New Roman"/>
                <w:color w:val="000000"/>
                <w:lang w:eastAsia="es-DO"/>
              </w:rPr>
            </w:pPr>
            <w:r w:rsidRPr="00F050E3">
              <w:rPr>
                <w:rFonts w:ascii="Times New Roman" w:hAnsi="Times New Roman"/>
                <w:color w:val="000000"/>
                <w:lang w:eastAsia="es-DO"/>
              </w:rPr>
              <w:t>17</w:t>
            </w:r>
          </w:p>
        </w:tc>
        <w:tc>
          <w:tcPr>
            <w:tcW w:w="599" w:type="pct"/>
            <w:tcBorders>
              <w:top w:val="nil"/>
              <w:left w:val="nil"/>
              <w:bottom w:val="single" w:sz="4" w:space="0" w:color="auto"/>
              <w:right w:val="single" w:sz="4" w:space="0" w:color="auto"/>
            </w:tcBorders>
            <w:shd w:val="clear" w:color="auto" w:fill="auto"/>
            <w:vAlign w:val="center"/>
            <w:hideMark/>
          </w:tcPr>
          <w:p w14:paraId="3C85B161" w14:textId="77777777" w:rsidR="00456BDF" w:rsidRPr="00F050E3" w:rsidRDefault="00456BDF" w:rsidP="00B0170C">
            <w:pPr>
              <w:spacing w:after="0"/>
              <w:jc w:val="center"/>
              <w:rPr>
                <w:rFonts w:ascii="Times New Roman" w:hAnsi="Times New Roman"/>
                <w:color w:val="000000"/>
                <w:lang w:eastAsia="es-DO"/>
              </w:rPr>
            </w:pPr>
            <w:r w:rsidRPr="00F050E3">
              <w:rPr>
                <w:rFonts w:ascii="Times New Roman" w:hAnsi="Times New Roman"/>
                <w:color w:val="000000"/>
                <w:lang w:eastAsia="es-DO"/>
              </w:rPr>
              <w:t>16</w:t>
            </w:r>
          </w:p>
        </w:tc>
      </w:tr>
      <w:tr w:rsidR="00456BDF" w:rsidRPr="00F050E3" w14:paraId="2D318CCC" w14:textId="77777777" w:rsidTr="00542984">
        <w:trPr>
          <w:trHeight w:val="945"/>
        </w:trPr>
        <w:tc>
          <w:tcPr>
            <w:tcW w:w="249" w:type="pct"/>
            <w:tcBorders>
              <w:top w:val="nil"/>
              <w:left w:val="single" w:sz="4" w:space="0" w:color="auto"/>
              <w:bottom w:val="single" w:sz="4" w:space="0" w:color="auto"/>
              <w:right w:val="single" w:sz="4" w:space="0" w:color="auto"/>
            </w:tcBorders>
            <w:shd w:val="clear" w:color="auto" w:fill="auto"/>
            <w:vAlign w:val="center"/>
            <w:hideMark/>
          </w:tcPr>
          <w:p w14:paraId="49F29C9D" w14:textId="77777777" w:rsidR="00456BDF" w:rsidRPr="00F050E3" w:rsidRDefault="00456BDF" w:rsidP="00B0170C">
            <w:pPr>
              <w:spacing w:after="0"/>
              <w:jc w:val="center"/>
              <w:rPr>
                <w:rFonts w:ascii="Times New Roman" w:hAnsi="Times New Roman"/>
                <w:color w:val="000000"/>
                <w:lang w:eastAsia="es-DO"/>
              </w:rPr>
            </w:pPr>
            <w:r w:rsidRPr="00F050E3">
              <w:rPr>
                <w:rFonts w:ascii="Times New Roman" w:hAnsi="Times New Roman"/>
                <w:color w:val="000000"/>
                <w:lang w:eastAsia="es-DO"/>
              </w:rPr>
              <w:t>3</w:t>
            </w:r>
          </w:p>
        </w:tc>
        <w:tc>
          <w:tcPr>
            <w:tcW w:w="1176" w:type="pct"/>
            <w:tcBorders>
              <w:top w:val="nil"/>
              <w:left w:val="nil"/>
              <w:bottom w:val="single" w:sz="4" w:space="0" w:color="auto"/>
              <w:right w:val="single" w:sz="4" w:space="0" w:color="auto"/>
            </w:tcBorders>
            <w:shd w:val="clear" w:color="auto" w:fill="auto"/>
            <w:vAlign w:val="center"/>
            <w:hideMark/>
          </w:tcPr>
          <w:p w14:paraId="7B6F0BF9" w14:textId="77777777" w:rsidR="00456BDF" w:rsidRPr="00F050E3" w:rsidRDefault="00456BDF" w:rsidP="00B0170C">
            <w:pPr>
              <w:spacing w:after="0"/>
              <w:rPr>
                <w:rFonts w:ascii="Times New Roman" w:hAnsi="Times New Roman"/>
                <w:color w:val="000000"/>
                <w:lang w:eastAsia="es-DO"/>
              </w:rPr>
            </w:pPr>
            <w:r w:rsidRPr="00F050E3">
              <w:rPr>
                <w:rFonts w:ascii="Times New Roman" w:hAnsi="Times New Roman"/>
                <w:color w:val="000000"/>
                <w:lang w:eastAsia="es-DO"/>
              </w:rPr>
              <w:t>Total de Metas en amarillo, con alertas</w:t>
            </w:r>
          </w:p>
        </w:tc>
        <w:tc>
          <w:tcPr>
            <w:tcW w:w="2253" w:type="pct"/>
            <w:tcBorders>
              <w:top w:val="nil"/>
              <w:left w:val="nil"/>
              <w:bottom w:val="single" w:sz="4" w:space="0" w:color="auto"/>
              <w:right w:val="single" w:sz="4" w:space="0" w:color="auto"/>
            </w:tcBorders>
            <w:shd w:val="clear" w:color="auto" w:fill="auto"/>
            <w:vAlign w:val="center"/>
            <w:hideMark/>
          </w:tcPr>
          <w:p w14:paraId="6E2B4099" w14:textId="77777777" w:rsidR="00456BDF" w:rsidRPr="00F050E3" w:rsidRDefault="00456BDF" w:rsidP="00B0170C">
            <w:pPr>
              <w:spacing w:after="0"/>
              <w:rPr>
                <w:rFonts w:ascii="Times New Roman" w:hAnsi="Times New Roman"/>
                <w:color w:val="000000"/>
                <w:lang w:eastAsia="es-DO"/>
              </w:rPr>
            </w:pPr>
            <w:r w:rsidRPr="00F050E3">
              <w:rPr>
                <w:rFonts w:ascii="Times New Roman" w:hAnsi="Times New Roman"/>
                <w:color w:val="000000"/>
                <w:lang w:eastAsia="es-DO"/>
              </w:rPr>
              <w:t>Indica la cantidad de metas que están gestionándose y cuya gestión se encuentra con alguna dificultad y por lo tanto están con el semáforo en color amarillo.</w:t>
            </w:r>
          </w:p>
        </w:tc>
        <w:tc>
          <w:tcPr>
            <w:tcW w:w="722" w:type="pct"/>
            <w:tcBorders>
              <w:top w:val="nil"/>
              <w:left w:val="nil"/>
              <w:bottom w:val="single" w:sz="4" w:space="0" w:color="auto"/>
              <w:right w:val="single" w:sz="4" w:space="0" w:color="auto"/>
            </w:tcBorders>
            <w:shd w:val="clear" w:color="auto" w:fill="auto"/>
            <w:vAlign w:val="center"/>
            <w:hideMark/>
          </w:tcPr>
          <w:p w14:paraId="0C5A1237" w14:textId="77777777" w:rsidR="00456BDF" w:rsidRPr="00F050E3" w:rsidRDefault="00456BDF" w:rsidP="00B0170C">
            <w:pPr>
              <w:spacing w:after="0"/>
              <w:jc w:val="center"/>
              <w:rPr>
                <w:rFonts w:ascii="Times New Roman" w:hAnsi="Times New Roman"/>
                <w:color w:val="000000"/>
                <w:lang w:eastAsia="es-DO"/>
              </w:rPr>
            </w:pPr>
            <w:r w:rsidRPr="00F050E3">
              <w:rPr>
                <w:rFonts w:ascii="Times New Roman" w:hAnsi="Times New Roman"/>
                <w:color w:val="000000"/>
                <w:lang w:eastAsia="es-DO"/>
              </w:rPr>
              <w:t>0</w:t>
            </w:r>
          </w:p>
        </w:tc>
        <w:tc>
          <w:tcPr>
            <w:tcW w:w="599" w:type="pct"/>
            <w:tcBorders>
              <w:top w:val="nil"/>
              <w:left w:val="nil"/>
              <w:bottom w:val="single" w:sz="4" w:space="0" w:color="auto"/>
              <w:right w:val="single" w:sz="4" w:space="0" w:color="auto"/>
            </w:tcBorders>
            <w:shd w:val="clear" w:color="auto" w:fill="auto"/>
            <w:vAlign w:val="center"/>
            <w:hideMark/>
          </w:tcPr>
          <w:p w14:paraId="7679795B" w14:textId="77777777" w:rsidR="00456BDF" w:rsidRPr="00F050E3" w:rsidRDefault="00456BDF" w:rsidP="00B0170C">
            <w:pPr>
              <w:spacing w:after="0"/>
              <w:jc w:val="center"/>
              <w:rPr>
                <w:rFonts w:ascii="Times New Roman" w:hAnsi="Times New Roman"/>
                <w:color w:val="000000"/>
                <w:lang w:eastAsia="es-DO"/>
              </w:rPr>
            </w:pPr>
            <w:r w:rsidRPr="00F050E3">
              <w:rPr>
                <w:rFonts w:ascii="Times New Roman" w:hAnsi="Times New Roman"/>
                <w:color w:val="000000"/>
                <w:lang w:eastAsia="es-DO"/>
              </w:rPr>
              <w:t>1</w:t>
            </w:r>
          </w:p>
        </w:tc>
      </w:tr>
      <w:tr w:rsidR="00456BDF" w:rsidRPr="00F050E3" w14:paraId="4FDF4ECE" w14:textId="77777777" w:rsidTr="00EC67CB">
        <w:trPr>
          <w:trHeight w:val="130"/>
        </w:trPr>
        <w:tc>
          <w:tcPr>
            <w:tcW w:w="249" w:type="pct"/>
            <w:tcBorders>
              <w:top w:val="nil"/>
              <w:left w:val="single" w:sz="4" w:space="0" w:color="auto"/>
              <w:bottom w:val="single" w:sz="4" w:space="0" w:color="auto"/>
              <w:right w:val="single" w:sz="4" w:space="0" w:color="auto"/>
            </w:tcBorders>
            <w:shd w:val="clear" w:color="auto" w:fill="auto"/>
            <w:vAlign w:val="center"/>
            <w:hideMark/>
          </w:tcPr>
          <w:p w14:paraId="60F347F2" w14:textId="77777777" w:rsidR="00456BDF" w:rsidRPr="00F050E3" w:rsidRDefault="00456BDF" w:rsidP="00B0170C">
            <w:pPr>
              <w:spacing w:after="0"/>
              <w:jc w:val="center"/>
              <w:rPr>
                <w:rFonts w:ascii="Times New Roman" w:hAnsi="Times New Roman"/>
                <w:color w:val="000000"/>
                <w:lang w:eastAsia="es-DO"/>
              </w:rPr>
            </w:pPr>
            <w:r w:rsidRPr="00F050E3">
              <w:rPr>
                <w:rFonts w:ascii="Times New Roman" w:hAnsi="Times New Roman"/>
                <w:color w:val="000000"/>
                <w:lang w:eastAsia="es-DO"/>
              </w:rPr>
              <w:t>4</w:t>
            </w:r>
          </w:p>
        </w:tc>
        <w:tc>
          <w:tcPr>
            <w:tcW w:w="1176" w:type="pct"/>
            <w:tcBorders>
              <w:top w:val="nil"/>
              <w:left w:val="nil"/>
              <w:bottom w:val="single" w:sz="4" w:space="0" w:color="auto"/>
              <w:right w:val="single" w:sz="4" w:space="0" w:color="auto"/>
            </w:tcBorders>
            <w:shd w:val="clear" w:color="auto" w:fill="auto"/>
            <w:vAlign w:val="center"/>
            <w:hideMark/>
          </w:tcPr>
          <w:p w14:paraId="701C06F2" w14:textId="77777777" w:rsidR="00456BDF" w:rsidRPr="00F050E3" w:rsidRDefault="00456BDF" w:rsidP="00B0170C">
            <w:pPr>
              <w:spacing w:after="0"/>
              <w:rPr>
                <w:rFonts w:ascii="Times New Roman" w:hAnsi="Times New Roman"/>
                <w:color w:val="000000"/>
                <w:lang w:eastAsia="es-DO"/>
              </w:rPr>
            </w:pPr>
            <w:r w:rsidRPr="00F050E3">
              <w:rPr>
                <w:rFonts w:ascii="Times New Roman" w:hAnsi="Times New Roman"/>
                <w:color w:val="000000"/>
                <w:lang w:eastAsia="es-DO"/>
              </w:rPr>
              <w:t>Total de Metas en rojo (con reestricciones)</w:t>
            </w:r>
          </w:p>
        </w:tc>
        <w:tc>
          <w:tcPr>
            <w:tcW w:w="2253" w:type="pct"/>
            <w:tcBorders>
              <w:top w:val="nil"/>
              <w:left w:val="nil"/>
              <w:bottom w:val="single" w:sz="4" w:space="0" w:color="auto"/>
              <w:right w:val="single" w:sz="4" w:space="0" w:color="auto"/>
            </w:tcBorders>
            <w:shd w:val="clear" w:color="auto" w:fill="auto"/>
            <w:vAlign w:val="center"/>
            <w:hideMark/>
          </w:tcPr>
          <w:p w14:paraId="7E4371AA" w14:textId="77777777" w:rsidR="00456BDF" w:rsidRPr="00F050E3" w:rsidRDefault="00456BDF" w:rsidP="00B0170C">
            <w:pPr>
              <w:spacing w:after="0"/>
              <w:jc w:val="both"/>
              <w:rPr>
                <w:rFonts w:ascii="Times New Roman" w:hAnsi="Times New Roman"/>
                <w:color w:val="000000"/>
                <w:lang w:eastAsia="es-DO"/>
              </w:rPr>
            </w:pPr>
            <w:r w:rsidRPr="00F050E3">
              <w:rPr>
                <w:rFonts w:ascii="Times New Roman" w:hAnsi="Times New Roman"/>
                <w:color w:val="000000"/>
                <w:lang w:eastAsia="es-DO"/>
              </w:rPr>
              <w:t>Indica la cantidad de metas que están gestionándose y cuya gestión se encuentra con problemas y/o retrasos y por lo tanto están con el semáforo en color rojo.</w:t>
            </w:r>
          </w:p>
        </w:tc>
        <w:tc>
          <w:tcPr>
            <w:tcW w:w="722" w:type="pct"/>
            <w:tcBorders>
              <w:top w:val="nil"/>
              <w:left w:val="nil"/>
              <w:bottom w:val="single" w:sz="4" w:space="0" w:color="auto"/>
              <w:right w:val="single" w:sz="4" w:space="0" w:color="auto"/>
            </w:tcBorders>
            <w:shd w:val="clear" w:color="auto" w:fill="auto"/>
            <w:vAlign w:val="center"/>
            <w:hideMark/>
          </w:tcPr>
          <w:p w14:paraId="7C6C7B6B" w14:textId="77777777" w:rsidR="00456BDF" w:rsidRPr="00F050E3" w:rsidRDefault="00456BDF" w:rsidP="00B0170C">
            <w:pPr>
              <w:spacing w:after="0"/>
              <w:jc w:val="center"/>
              <w:rPr>
                <w:rFonts w:ascii="Times New Roman" w:hAnsi="Times New Roman"/>
                <w:color w:val="000000"/>
                <w:lang w:eastAsia="es-DO"/>
              </w:rPr>
            </w:pPr>
            <w:r w:rsidRPr="00F050E3">
              <w:rPr>
                <w:rFonts w:ascii="Times New Roman" w:hAnsi="Times New Roman"/>
                <w:color w:val="000000"/>
                <w:lang w:eastAsia="es-DO"/>
              </w:rPr>
              <w:t>0</w:t>
            </w:r>
          </w:p>
        </w:tc>
        <w:tc>
          <w:tcPr>
            <w:tcW w:w="599" w:type="pct"/>
            <w:tcBorders>
              <w:top w:val="nil"/>
              <w:left w:val="nil"/>
              <w:bottom w:val="single" w:sz="4" w:space="0" w:color="auto"/>
              <w:right w:val="single" w:sz="4" w:space="0" w:color="auto"/>
            </w:tcBorders>
            <w:shd w:val="clear" w:color="auto" w:fill="auto"/>
            <w:vAlign w:val="center"/>
            <w:hideMark/>
          </w:tcPr>
          <w:p w14:paraId="68C7B107" w14:textId="6EAF76F9" w:rsidR="00456BDF" w:rsidRPr="00F050E3" w:rsidRDefault="00CE6CBA" w:rsidP="00B0170C">
            <w:pPr>
              <w:spacing w:after="0"/>
              <w:jc w:val="center"/>
              <w:rPr>
                <w:rFonts w:ascii="Times New Roman" w:hAnsi="Times New Roman"/>
                <w:color w:val="000000"/>
                <w:lang w:eastAsia="es-DO"/>
              </w:rPr>
            </w:pPr>
            <w:r w:rsidRPr="00F050E3">
              <w:rPr>
                <w:rFonts w:ascii="Times New Roman" w:hAnsi="Times New Roman"/>
                <w:color w:val="000000"/>
                <w:lang w:eastAsia="es-DO"/>
              </w:rPr>
              <w:t>0</w:t>
            </w:r>
          </w:p>
        </w:tc>
      </w:tr>
      <w:tr w:rsidR="00456BDF" w:rsidRPr="00F050E3" w14:paraId="6A6D98C1" w14:textId="77777777" w:rsidTr="00542984">
        <w:trPr>
          <w:trHeight w:val="315"/>
        </w:trPr>
        <w:tc>
          <w:tcPr>
            <w:tcW w:w="3678" w:type="pct"/>
            <w:gridSpan w:val="3"/>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44DF18F1" w14:textId="77777777" w:rsidR="00456BDF" w:rsidRPr="00F050E3" w:rsidRDefault="00456BDF" w:rsidP="00B10A65">
            <w:pPr>
              <w:spacing w:after="0"/>
              <w:ind w:firstLineChars="100" w:firstLine="241"/>
              <w:jc w:val="right"/>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Total</w:t>
            </w:r>
          </w:p>
        </w:tc>
        <w:tc>
          <w:tcPr>
            <w:tcW w:w="722" w:type="pct"/>
            <w:tcBorders>
              <w:top w:val="nil"/>
              <w:left w:val="nil"/>
              <w:bottom w:val="single" w:sz="4" w:space="0" w:color="auto"/>
              <w:right w:val="single" w:sz="4" w:space="0" w:color="auto"/>
            </w:tcBorders>
            <w:shd w:val="clear" w:color="auto" w:fill="808080" w:themeFill="background1" w:themeFillShade="80"/>
            <w:vAlign w:val="center"/>
            <w:hideMark/>
          </w:tcPr>
          <w:p w14:paraId="3DCCA2CD" w14:textId="77777777" w:rsidR="00456BDF" w:rsidRPr="00F050E3" w:rsidRDefault="00456BDF" w:rsidP="00B0170C">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100%</w:t>
            </w:r>
          </w:p>
        </w:tc>
        <w:tc>
          <w:tcPr>
            <w:tcW w:w="599" w:type="pct"/>
            <w:tcBorders>
              <w:top w:val="nil"/>
              <w:left w:val="nil"/>
              <w:bottom w:val="single" w:sz="4" w:space="0" w:color="auto"/>
              <w:right w:val="single" w:sz="4" w:space="0" w:color="auto"/>
            </w:tcBorders>
            <w:shd w:val="clear" w:color="auto" w:fill="808080" w:themeFill="background1" w:themeFillShade="80"/>
            <w:vAlign w:val="center"/>
            <w:hideMark/>
          </w:tcPr>
          <w:p w14:paraId="6E8E76B9" w14:textId="612E50D8" w:rsidR="00456BDF" w:rsidRPr="00F050E3" w:rsidRDefault="00CE6CBA" w:rsidP="00B0170C">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100</w:t>
            </w:r>
            <w:r w:rsidR="00456BDF" w:rsidRPr="00F050E3">
              <w:rPr>
                <w:rFonts w:ascii="Times New Roman" w:hAnsi="Times New Roman"/>
                <w:b/>
                <w:bCs/>
                <w:color w:val="FFFFFF" w:themeColor="background1"/>
                <w:lang w:eastAsia="es-DO"/>
              </w:rPr>
              <w:t>%</w:t>
            </w:r>
          </w:p>
        </w:tc>
      </w:tr>
    </w:tbl>
    <w:p w14:paraId="0572E5FD" w14:textId="7A41B693" w:rsidR="00F471C3" w:rsidRPr="00F050E3" w:rsidRDefault="00F471C3" w:rsidP="001C6B1A">
      <w:pPr>
        <w:pStyle w:val="Prrafodelista"/>
        <w:numPr>
          <w:ilvl w:val="0"/>
          <w:numId w:val="8"/>
        </w:numPr>
        <w:spacing w:after="0" w:line="360" w:lineRule="auto"/>
        <w:ind w:left="1783" w:hanging="1499"/>
        <w:rPr>
          <w:rFonts w:ascii="Times New Roman" w:hAnsi="Times New Roman"/>
          <w:b/>
          <w:bCs/>
          <w:sz w:val="24"/>
        </w:rPr>
      </w:pPr>
      <w:bookmarkStart w:id="292" w:name="_Toc440036710"/>
      <w:bookmarkStart w:id="293" w:name="_Toc470523361"/>
      <w:r w:rsidRPr="00F050E3">
        <w:rPr>
          <w:rFonts w:ascii="Times New Roman" w:hAnsi="Times New Roman"/>
          <w:b/>
          <w:bCs/>
          <w:sz w:val="24"/>
        </w:rPr>
        <w:lastRenderedPageBreak/>
        <w:t>Resultado indicador de Metas Presidenciales, por trimestres 2019</w:t>
      </w:r>
    </w:p>
    <w:p w14:paraId="3B02FDCE" w14:textId="1EB15816" w:rsidR="00AA26DB" w:rsidRDefault="00AA26DB" w:rsidP="00F366F2">
      <w:pPr>
        <w:spacing w:after="0" w:line="480" w:lineRule="auto"/>
      </w:pPr>
      <w:r w:rsidRPr="00F050E3">
        <w:rPr>
          <w:noProof/>
          <w:lang w:eastAsia="es-DO"/>
        </w:rPr>
        <w:drawing>
          <wp:inline distT="0" distB="0" distL="0" distR="0" wp14:anchorId="148D0F13" wp14:editId="3902B31A">
            <wp:extent cx="5427023" cy="2968625"/>
            <wp:effectExtent l="0" t="0" r="2540" b="3175"/>
            <wp:docPr id="164" name="Gráfico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06301A45" w14:textId="77777777" w:rsidR="00F471C3" w:rsidRDefault="00F471C3" w:rsidP="00F366F2">
      <w:pPr>
        <w:spacing w:after="0" w:line="480" w:lineRule="auto"/>
      </w:pPr>
    </w:p>
    <w:p w14:paraId="65BB0879" w14:textId="1CB2F865" w:rsidR="001D0673" w:rsidRDefault="001D0673" w:rsidP="00CA5792">
      <w:pPr>
        <w:pStyle w:val="Ttulo3"/>
      </w:pPr>
      <w:bookmarkStart w:id="294" w:name="_Toc27146807"/>
      <w:r>
        <w:t>Gestión de Metas Presidenciales en ejecución</w:t>
      </w:r>
      <w:bookmarkEnd w:id="294"/>
    </w:p>
    <w:p w14:paraId="401F3A9B" w14:textId="77777777" w:rsidR="001D0673" w:rsidRDefault="001D0673" w:rsidP="00F366F2">
      <w:pPr>
        <w:spacing w:after="0" w:line="480" w:lineRule="auto"/>
      </w:pPr>
    </w:p>
    <w:p w14:paraId="48D78FD4" w14:textId="6EA5EAD6" w:rsidR="001D0673" w:rsidRDefault="001D0673" w:rsidP="00CA5792">
      <w:pPr>
        <w:pStyle w:val="Ttulo4"/>
      </w:pPr>
      <w:bookmarkStart w:id="295" w:name="_Toc27146808"/>
      <w:r>
        <w:t>Gestión normal</w:t>
      </w:r>
      <w:bookmarkEnd w:id="295"/>
    </w:p>
    <w:p w14:paraId="42E6659E" w14:textId="77777777" w:rsidR="00702C0D" w:rsidRPr="00702C0D" w:rsidRDefault="00702C0D" w:rsidP="001C6B1A">
      <w:pPr>
        <w:pStyle w:val="Prrafodelista"/>
        <w:numPr>
          <w:ilvl w:val="0"/>
          <w:numId w:val="43"/>
        </w:numPr>
        <w:spacing w:after="0" w:line="480" w:lineRule="auto"/>
        <w:rPr>
          <w:rFonts w:ascii="Times New Roman" w:hAnsi="Times New Roman"/>
          <w:sz w:val="24"/>
          <w:szCs w:val="24"/>
        </w:rPr>
      </w:pPr>
      <w:r w:rsidRPr="00702C0D">
        <w:rPr>
          <w:rFonts w:ascii="Times New Roman" w:hAnsi="Times New Roman"/>
          <w:sz w:val="24"/>
          <w:szCs w:val="24"/>
        </w:rPr>
        <w:t>Ampliación de la Cobertura del Seguro Agropecuario.</w:t>
      </w:r>
    </w:p>
    <w:p w14:paraId="1BD528F4" w14:textId="77777777" w:rsidR="00702C0D" w:rsidRPr="00702C0D" w:rsidRDefault="00702C0D" w:rsidP="001C6B1A">
      <w:pPr>
        <w:pStyle w:val="Prrafodelista"/>
        <w:numPr>
          <w:ilvl w:val="0"/>
          <w:numId w:val="43"/>
        </w:numPr>
        <w:spacing w:after="0" w:line="480" w:lineRule="auto"/>
        <w:rPr>
          <w:rFonts w:ascii="Times New Roman" w:hAnsi="Times New Roman"/>
          <w:sz w:val="24"/>
          <w:szCs w:val="24"/>
        </w:rPr>
      </w:pPr>
      <w:r w:rsidRPr="00702C0D">
        <w:rPr>
          <w:rFonts w:ascii="Times New Roman" w:hAnsi="Times New Roman"/>
          <w:sz w:val="24"/>
          <w:szCs w:val="24"/>
        </w:rPr>
        <w:t>Construcción y Reconstrucción de Caminos Rurales.</w:t>
      </w:r>
    </w:p>
    <w:p w14:paraId="5B90E837" w14:textId="77777777" w:rsidR="00702C0D" w:rsidRPr="00702C0D" w:rsidRDefault="00702C0D" w:rsidP="001C6B1A">
      <w:pPr>
        <w:pStyle w:val="Prrafodelista"/>
        <w:numPr>
          <w:ilvl w:val="0"/>
          <w:numId w:val="43"/>
        </w:numPr>
        <w:spacing w:after="0" w:line="480" w:lineRule="auto"/>
        <w:rPr>
          <w:rFonts w:ascii="Times New Roman" w:hAnsi="Times New Roman"/>
          <w:sz w:val="24"/>
          <w:szCs w:val="24"/>
        </w:rPr>
      </w:pPr>
      <w:r w:rsidRPr="00702C0D">
        <w:rPr>
          <w:rFonts w:ascii="Times New Roman" w:hAnsi="Times New Roman"/>
          <w:sz w:val="24"/>
          <w:szCs w:val="24"/>
        </w:rPr>
        <w:t>Fortalecer el Programa de Inocuidad Agroalimentaria.</w:t>
      </w:r>
    </w:p>
    <w:p w14:paraId="61295C12" w14:textId="77777777" w:rsidR="00702C0D" w:rsidRPr="00702C0D" w:rsidRDefault="00702C0D" w:rsidP="001C6B1A">
      <w:pPr>
        <w:pStyle w:val="Prrafodelista"/>
        <w:numPr>
          <w:ilvl w:val="0"/>
          <w:numId w:val="43"/>
        </w:numPr>
        <w:spacing w:after="0" w:line="480" w:lineRule="auto"/>
        <w:rPr>
          <w:rFonts w:ascii="Times New Roman" w:hAnsi="Times New Roman"/>
          <w:sz w:val="24"/>
          <w:szCs w:val="24"/>
        </w:rPr>
      </w:pPr>
      <w:r w:rsidRPr="00702C0D">
        <w:rPr>
          <w:rFonts w:ascii="Times New Roman" w:hAnsi="Times New Roman"/>
          <w:sz w:val="24"/>
          <w:szCs w:val="24"/>
        </w:rPr>
        <w:t>Fortalecer el Programa de Sanidad Vegetal.</w:t>
      </w:r>
    </w:p>
    <w:p w14:paraId="0ABE136E" w14:textId="77777777" w:rsidR="00702C0D" w:rsidRPr="00702C0D" w:rsidRDefault="00702C0D" w:rsidP="001C6B1A">
      <w:pPr>
        <w:pStyle w:val="Prrafodelista"/>
        <w:numPr>
          <w:ilvl w:val="0"/>
          <w:numId w:val="43"/>
        </w:numPr>
        <w:spacing w:after="0" w:line="480" w:lineRule="auto"/>
        <w:rPr>
          <w:rFonts w:ascii="Times New Roman" w:hAnsi="Times New Roman"/>
          <w:sz w:val="24"/>
          <w:szCs w:val="24"/>
        </w:rPr>
      </w:pPr>
      <w:r w:rsidRPr="00702C0D">
        <w:rPr>
          <w:rFonts w:ascii="Times New Roman" w:hAnsi="Times New Roman"/>
          <w:sz w:val="24"/>
          <w:szCs w:val="24"/>
        </w:rPr>
        <w:t>Fortalecer la Capacidad de Producción de Plantas de Cacao a nivel Nacional.</w:t>
      </w:r>
    </w:p>
    <w:p w14:paraId="38FC2439" w14:textId="77777777" w:rsidR="00702C0D" w:rsidRPr="00702C0D" w:rsidRDefault="00702C0D" w:rsidP="001C6B1A">
      <w:pPr>
        <w:pStyle w:val="Prrafodelista"/>
        <w:numPr>
          <w:ilvl w:val="0"/>
          <w:numId w:val="43"/>
        </w:numPr>
        <w:spacing w:after="0" w:line="480" w:lineRule="auto"/>
        <w:rPr>
          <w:rFonts w:ascii="Times New Roman" w:hAnsi="Times New Roman"/>
          <w:sz w:val="24"/>
          <w:szCs w:val="24"/>
        </w:rPr>
      </w:pPr>
      <w:r w:rsidRPr="00702C0D">
        <w:rPr>
          <w:rFonts w:ascii="Times New Roman" w:hAnsi="Times New Roman"/>
          <w:sz w:val="24"/>
          <w:szCs w:val="24"/>
        </w:rPr>
        <w:t>Fortalecer la Producción Sostenible de Frutales.</w:t>
      </w:r>
    </w:p>
    <w:p w14:paraId="3C068090" w14:textId="185CD8E4" w:rsidR="00702C0D" w:rsidRPr="00702C0D" w:rsidRDefault="00702C0D" w:rsidP="001C6B1A">
      <w:pPr>
        <w:pStyle w:val="Prrafodelista"/>
        <w:numPr>
          <w:ilvl w:val="0"/>
          <w:numId w:val="43"/>
        </w:numPr>
        <w:spacing w:after="0" w:line="480" w:lineRule="auto"/>
        <w:rPr>
          <w:rFonts w:ascii="Times New Roman" w:hAnsi="Times New Roman"/>
          <w:sz w:val="24"/>
          <w:szCs w:val="24"/>
        </w:rPr>
      </w:pPr>
      <w:r w:rsidRPr="00702C0D">
        <w:rPr>
          <w:rFonts w:ascii="Times New Roman" w:hAnsi="Times New Roman"/>
          <w:sz w:val="24"/>
          <w:szCs w:val="24"/>
        </w:rPr>
        <w:t>Fort</w:t>
      </w:r>
      <w:r>
        <w:rPr>
          <w:rFonts w:ascii="Times New Roman" w:hAnsi="Times New Roman"/>
          <w:sz w:val="24"/>
          <w:szCs w:val="24"/>
        </w:rPr>
        <w:t xml:space="preserve">alecimiento Institucional de </w:t>
      </w:r>
      <w:r w:rsidRPr="00702C0D">
        <w:rPr>
          <w:rFonts w:ascii="Times New Roman" w:hAnsi="Times New Roman"/>
          <w:sz w:val="24"/>
          <w:szCs w:val="24"/>
        </w:rPr>
        <w:t>Asociaciones Rurales.</w:t>
      </w:r>
    </w:p>
    <w:p w14:paraId="607EF6B1" w14:textId="77777777" w:rsidR="00702C0D" w:rsidRPr="00702C0D" w:rsidRDefault="00702C0D" w:rsidP="001C6B1A">
      <w:pPr>
        <w:pStyle w:val="Prrafodelista"/>
        <w:numPr>
          <w:ilvl w:val="0"/>
          <w:numId w:val="43"/>
        </w:numPr>
        <w:spacing w:after="0" w:line="480" w:lineRule="auto"/>
        <w:rPr>
          <w:rFonts w:ascii="Times New Roman" w:hAnsi="Times New Roman"/>
          <w:sz w:val="24"/>
          <w:szCs w:val="24"/>
        </w:rPr>
      </w:pPr>
      <w:r w:rsidRPr="00702C0D">
        <w:rPr>
          <w:rFonts w:ascii="Times New Roman" w:hAnsi="Times New Roman"/>
          <w:sz w:val="24"/>
          <w:szCs w:val="24"/>
        </w:rPr>
        <w:t>Implementar el Programa de Huertos Familiares.</w:t>
      </w:r>
    </w:p>
    <w:p w14:paraId="01CAD11A" w14:textId="77777777" w:rsidR="00702C0D" w:rsidRPr="00702C0D" w:rsidRDefault="00702C0D" w:rsidP="001C6B1A">
      <w:pPr>
        <w:pStyle w:val="Prrafodelista"/>
        <w:numPr>
          <w:ilvl w:val="0"/>
          <w:numId w:val="43"/>
        </w:numPr>
        <w:spacing w:after="0" w:line="480" w:lineRule="auto"/>
        <w:rPr>
          <w:rFonts w:ascii="Times New Roman" w:hAnsi="Times New Roman"/>
          <w:sz w:val="24"/>
          <w:szCs w:val="24"/>
        </w:rPr>
      </w:pPr>
      <w:r w:rsidRPr="00702C0D">
        <w:rPr>
          <w:rFonts w:ascii="Times New Roman" w:hAnsi="Times New Roman"/>
          <w:sz w:val="24"/>
          <w:szCs w:val="24"/>
        </w:rPr>
        <w:lastRenderedPageBreak/>
        <w:t>Incrementar la Producción de alimentos y Agroexportaciones.</w:t>
      </w:r>
    </w:p>
    <w:p w14:paraId="5CC47C07" w14:textId="77777777" w:rsidR="00702C0D" w:rsidRPr="00702C0D" w:rsidRDefault="00702C0D" w:rsidP="001C6B1A">
      <w:pPr>
        <w:pStyle w:val="Prrafodelista"/>
        <w:numPr>
          <w:ilvl w:val="0"/>
          <w:numId w:val="43"/>
        </w:numPr>
        <w:spacing w:after="0" w:line="480" w:lineRule="auto"/>
        <w:rPr>
          <w:rFonts w:ascii="Times New Roman" w:hAnsi="Times New Roman"/>
          <w:sz w:val="24"/>
          <w:szCs w:val="24"/>
        </w:rPr>
      </w:pPr>
      <w:r w:rsidRPr="00702C0D">
        <w:rPr>
          <w:rFonts w:ascii="Times New Roman" w:hAnsi="Times New Roman"/>
          <w:sz w:val="24"/>
          <w:szCs w:val="24"/>
        </w:rPr>
        <w:t>Mejorar las Variedades de Arroz Propiedad del Estado.</w:t>
      </w:r>
    </w:p>
    <w:p w14:paraId="46A146CA" w14:textId="77777777" w:rsidR="00702C0D" w:rsidRPr="00702C0D" w:rsidRDefault="00702C0D" w:rsidP="001C6B1A">
      <w:pPr>
        <w:pStyle w:val="Prrafodelista"/>
        <w:numPr>
          <w:ilvl w:val="0"/>
          <w:numId w:val="43"/>
        </w:numPr>
        <w:spacing w:after="0" w:line="480" w:lineRule="auto"/>
        <w:rPr>
          <w:rFonts w:ascii="Times New Roman" w:hAnsi="Times New Roman"/>
          <w:sz w:val="24"/>
          <w:szCs w:val="24"/>
        </w:rPr>
      </w:pPr>
      <w:r w:rsidRPr="00702C0D">
        <w:rPr>
          <w:rFonts w:ascii="Times New Roman" w:hAnsi="Times New Roman"/>
          <w:sz w:val="24"/>
          <w:szCs w:val="24"/>
        </w:rPr>
        <w:t>Producir Material Genético de Alta Calidad Vegetal InVitro.</w:t>
      </w:r>
    </w:p>
    <w:p w14:paraId="78D7117A" w14:textId="77777777" w:rsidR="00702C0D" w:rsidRPr="00702C0D" w:rsidRDefault="00702C0D" w:rsidP="001C6B1A">
      <w:pPr>
        <w:pStyle w:val="Prrafodelista"/>
        <w:numPr>
          <w:ilvl w:val="0"/>
          <w:numId w:val="43"/>
        </w:numPr>
        <w:spacing w:after="0" w:line="480" w:lineRule="auto"/>
        <w:rPr>
          <w:rFonts w:ascii="Times New Roman" w:hAnsi="Times New Roman"/>
          <w:sz w:val="24"/>
          <w:szCs w:val="24"/>
        </w:rPr>
      </w:pPr>
      <w:r w:rsidRPr="00702C0D">
        <w:rPr>
          <w:rFonts w:ascii="Times New Roman" w:hAnsi="Times New Roman"/>
          <w:sz w:val="24"/>
          <w:szCs w:val="24"/>
        </w:rPr>
        <w:t>Producción de Tabaco Criollo en las Zonas de la Isabela Guayabin y Villa Vásquez.</w:t>
      </w:r>
    </w:p>
    <w:p w14:paraId="704156BD" w14:textId="48589DD7" w:rsidR="00702C0D" w:rsidRPr="00702C0D" w:rsidRDefault="00702C0D" w:rsidP="001C6B1A">
      <w:pPr>
        <w:pStyle w:val="Prrafodelista"/>
        <w:numPr>
          <w:ilvl w:val="0"/>
          <w:numId w:val="43"/>
        </w:numPr>
        <w:spacing w:after="0" w:line="480" w:lineRule="auto"/>
        <w:rPr>
          <w:rFonts w:ascii="Times New Roman" w:hAnsi="Times New Roman"/>
          <w:sz w:val="24"/>
          <w:szCs w:val="24"/>
        </w:rPr>
      </w:pPr>
      <w:r>
        <w:rPr>
          <w:rFonts w:ascii="Times New Roman" w:hAnsi="Times New Roman"/>
          <w:sz w:val="24"/>
          <w:szCs w:val="24"/>
        </w:rPr>
        <w:t xml:space="preserve">Programa </w:t>
      </w:r>
      <w:r w:rsidRPr="00702C0D">
        <w:rPr>
          <w:rFonts w:ascii="Times New Roman" w:hAnsi="Times New Roman"/>
          <w:sz w:val="24"/>
          <w:szCs w:val="24"/>
        </w:rPr>
        <w:t>de Acceso al Crédito a Productores de San Juan.</w:t>
      </w:r>
    </w:p>
    <w:p w14:paraId="15A9882C" w14:textId="07590A2D" w:rsidR="00702C0D" w:rsidRPr="00702C0D" w:rsidRDefault="00702C0D" w:rsidP="001C6B1A">
      <w:pPr>
        <w:pStyle w:val="Prrafodelista"/>
        <w:numPr>
          <w:ilvl w:val="0"/>
          <w:numId w:val="43"/>
        </w:numPr>
        <w:spacing w:after="0" w:line="480" w:lineRule="auto"/>
        <w:rPr>
          <w:rFonts w:ascii="Times New Roman" w:hAnsi="Times New Roman"/>
          <w:sz w:val="24"/>
          <w:szCs w:val="24"/>
        </w:rPr>
      </w:pPr>
      <w:r w:rsidRPr="00702C0D">
        <w:rPr>
          <w:rFonts w:ascii="Times New Roman" w:hAnsi="Times New Roman"/>
          <w:sz w:val="24"/>
          <w:szCs w:val="24"/>
        </w:rPr>
        <w:t>Prog</w:t>
      </w:r>
      <w:r>
        <w:rPr>
          <w:rFonts w:ascii="Times New Roman" w:hAnsi="Times New Roman"/>
          <w:sz w:val="24"/>
          <w:szCs w:val="24"/>
        </w:rPr>
        <w:t>rama de Desarrollo Productivo y</w:t>
      </w:r>
      <w:r w:rsidRPr="00702C0D">
        <w:rPr>
          <w:rFonts w:ascii="Times New Roman" w:hAnsi="Times New Roman"/>
          <w:sz w:val="24"/>
          <w:szCs w:val="24"/>
        </w:rPr>
        <w:t xml:space="preserve"> de Competitividad de la Provincia de San Juan.</w:t>
      </w:r>
    </w:p>
    <w:p w14:paraId="23D9CF09" w14:textId="45DE372C" w:rsidR="00702C0D" w:rsidRPr="00702C0D" w:rsidRDefault="00702C0D" w:rsidP="001C6B1A">
      <w:pPr>
        <w:pStyle w:val="Prrafodelista"/>
        <w:numPr>
          <w:ilvl w:val="0"/>
          <w:numId w:val="43"/>
        </w:numPr>
        <w:spacing w:after="0" w:line="480" w:lineRule="auto"/>
        <w:rPr>
          <w:rFonts w:ascii="Times New Roman" w:hAnsi="Times New Roman"/>
          <w:sz w:val="24"/>
          <w:szCs w:val="24"/>
        </w:rPr>
      </w:pPr>
      <w:r w:rsidRPr="00702C0D">
        <w:rPr>
          <w:rFonts w:ascii="Times New Roman" w:hAnsi="Times New Roman"/>
          <w:sz w:val="24"/>
          <w:szCs w:val="24"/>
        </w:rPr>
        <w:t xml:space="preserve">Registro </w:t>
      </w:r>
      <w:r>
        <w:rPr>
          <w:rFonts w:ascii="Times New Roman" w:hAnsi="Times New Roman"/>
          <w:sz w:val="24"/>
          <w:szCs w:val="24"/>
        </w:rPr>
        <w:t>Georeferenciado de fincas y productores agropecuarias, REGEA</w:t>
      </w:r>
      <w:r w:rsidRPr="00702C0D">
        <w:rPr>
          <w:rFonts w:ascii="Times New Roman" w:hAnsi="Times New Roman"/>
          <w:sz w:val="24"/>
          <w:szCs w:val="24"/>
        </w:rPr>
        <w:t>.</w:t>
      </w:r>
    </w:p>
    <w:p w14:paraId="75E857F2" w14:textId="77777777" w:rsidR="00702C0D" w:rsidRPr="00702C0D" w:rsidRDefault="00702C0D" w:rsidP="001C6B1A">
      <w:pPr>
        <w:pStyle w:val="Prrafodelista"/>
        <w:numPr>
          <w:ilvl w:val="0"/>
          <w:numId w:val="43"/>
        </w:numPr>
        <w:spacing w:after="0" w:line="480" w:lineRule="auto"/>
        <w:rPr>
          <w:rFonts w:ascii="Times New Roman" w:hAnsi="Times New Roman"/>
          <w:sz w:val="24"/>
          <w:szCs w:val="24"/>
        </w:rPr>
      </w:pPr>
      <w:r w:rsidRPr="00702C0D">
        <w:rPr>
          <w:rFonts w:ascii="Times New Roman" w:hAnsi="Times New Roman"/>
          <w:sz w:val="24"/>
          <w:szCs w:val="24"/>
        </w:rPr>
        <w:t>Renovación del Servicio de Extensión y Capacitación Agropecuaria.</w:t>
      </w:r>
    </w:p>
    <w:p w14:paraId="0E944182" w14:textId="77777777" w:rsidR="00F807C4" w:rsidRDefault="00F807C4" w:rsidP="00F366F2">
      <w:pPr>
        <w:spacing w:after="0" w:line="480" w:lineRule="auto"/>
      </w:pPr>
    </w:p>
    <w:p w14:paraId="0710FD2B" w14:textId="1255F609" w:rsidR="001D0673" w:rsidRDefault="001D0673" w:rsidP="00CA5792">
      <w:pPr>
        <w:pStyle w:val="Ttulo4"/>
      </w:pPr>
      <w:bookmarkStart w:id="296" w:name="_Toc27146809"/>
      <w:r>
        <w:t>Gestión de alertas</w:t>
      </w:r>
      <w:bookmarkEnd w:id="296"/>
    </w:p>
    <w:p w14:paraId="1FE3F2AA" w14:textId="77777777" w:rsidR="00702C0D" w:rsidRPr="00702C0D" w:rsidRDefault="00702C0D" w:rsidP="001C6B1A">
      <w:pPr>
        <w:pStyle w:val="Prrafodelista"/>
        <w:numPr>
          <w:ilvl w:val="0"/>
          <w:numId w:val="44"/>
        </w:numPr>
        <w:spacing w:after="0" w:line="480" w:lineRule="auto"/>
        <w:rPr>
          <w:rFonts w:ascii="Times New Roman" w:hAnsi="Times New Roman"/>
          <w:sz w:val="24"/>
          <w:szCs w:val="24"/>
        </w:rPr>
      </w:pPr>
      <w:r w:rsidRPr="00702C0D">
        <w:rPr>
          <w:rFonts w:ascii="Times New Roman" w:hAnsi="Times New Roman"/>
          <w:sz w:val="24"/>
          <w:szCs w:val="24"/>
        </w:rPr>
        <w:t>Producción de Material Genético Animal de Alta Calidad.</w:t>
      </w:r>
    </w:p>
    <w:p w14:paraId="10B58113" w14:textId="77777777" w:rsidR="001D0673" w:rsidRDefault="001D0673" w:rsidP="00F366F2">
      <w:pPr>
        <w:spacing w:after="0" w:line="480" w:lineRule="auto"/>
      </w:pPr>
    </w:p>
    <w:p w14:paraId="18EFF177" w14:textId="3FCE5492" w:rsidR="001D0673" w:rsidRDefault="001D0673" w:rsidP="00CA5792">
      <w:pPr>
        <w:pStyle w:val="Ttulo4"/>
      </w:pPr>
      <w:bookmarkStart w:id="297" w:name="_Toc27146810"/>
      <w:r>
        <w:t>Gestión atrasada</w:t>
      </w:r>
      <w:bookmarkEnd w:id="297"/>
    </w:p>
    <w:p w14:paraId="5B1FC79D" w14:textId="02B74713" w:rsidR="00F050E3" w:rsidRDefault="00F050E3">
      <w:pPr>
        <w:spacing w:after="0"/>
        <w:rPr>
          <w:rFonts w:ascii="Times New Roman" w:hAnsi="Times New Roman"/>
          <w:color w:val="4F81BD" w:themeColor="accent1"/>
          <w:lang w:val="es-ES_tradnl"/>
        </w:rPr>
      </w:pPr>
    </w:p>
    <w:p w14:paraId="5EB9FAE6" w14:textId="77777777" w:rsidR="001D0673" w:rsidRDefault="001D0673" w:rsidP="001C6B1A">
      <w:pPr>
        <w:pStyle w:val="Prrafodelista"/>
        <w:numPr>
          <w:ilvl w:val="0"/>
          <w:numId w:val="9"/>
        </w:numPr>
        <w:spacing w:after="0" w:line="480" w:lineRule="auto"/>
        <w:ind w:left="1260" w:hanging="1260"/>
        <w:rPr>
          <w:rFonts w:ascii="Times New Roman" w:hAnsi="Times New Roman"/>
          <w:b/>
          <w:sz w:val="24"/>
          <w:lang w:val="es-ES_tradnl"/>
        </w:rPr>
      </w:pPr>
      <w:r>
        <w:rPr>
          <w:rFonts w:ascii="Times New Roman" w:hAnsi="Times New Roman"/>
          <w:b/>
          <w:sz w:val="24"/>
          <w:lang w:val="es-ES_tradnl"/>
        </w:rPr>
        <w:t>Metas Presidenciales bajo la responsabilidad de Instituciones Sectoriales, con restricciones presupuestarias</w:t>
      </w:r>
    </w:p>
    <w:p w14:paraId="3621B961" w14:textId="77777777" w:rsidR="002F0F07" w:rsidRPr="002B05F3" w:rsidRDefault="002F0F07" w:rsidP="002F0F07">
      <w:pPr>
        <w:pStyle w:val="Prrafodelista"/>
        <w:spacing w:after="0" w:line="480" w:lineRule="auto"/>
        <w:ind w:left="1260"/>
        <w:rPr>
          <w:rFonts w:ascii="Times New Roman" w:hAnsi="Times New Roman"/>
          <w:b/>
          <w:sz w:val="24"/>
          <w:lang w:val="es-ES_tradnl"/>
        </w:rPr>
      </w:pPr>
    </w:p>
    <w:tbl>
      <w:tblPr>
        <w:tblW w:w="9923" w:type="dxa"/>
        <w:jc w:val="center"/>
        <w:tblLook w:val="04A0" w:firstRow="1" w:lastRow="0" w:firstColumn="1" w:lastColumn="0" w:noHBand="0" w:noVBand="1"/>
      </w:tblPr>
      <w:tblGrid>
        <w:gridCol w:w="570"/>
        <w:gridCol w:w="7710"/>
        <w:gridCol w:w="1643"/>
      </w:tblGrid>
      <w:tr w:rsidR="001D0673" w:rsidRPr="00F050E3" w14:paraId="43E8BEC4" w14:textId="77777777" w:rsidTr="008354C5">
        <w:trPr>
          <w:trHeight w:val="375"/>
          <w:jc w:val="center"/>
        </w:trPr>
        <w:tc>
          <w:tcPr>
            <w:tcW w:w="570"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1FDB38E7" w14:textId="77777777" w:rsidR="001D0673" w:rsidRPr="00F050E3" w:rsidRDefault="001D0673" w:rsidP="008354C5">
            <w:pPr>
              <w:spacing w:after="0"/>
              <w:jc w:val="center"/>
              <w:rPr>
                <w:rFonts w:ascii="Times New Roman" w:hAnsi="Times New Roman"/>
                <w:b/>
                <w:color w:val="FFFFFF" w:themeColor="background1"/>
                <w:lang w:val="en-US" w:eastAsia="en-US"/>
              </w:rPr>
            </w:pPr>
            <w:r w:rsidRPr="00F050E3">
              <w:rPr>
                <w:rFonts w:ascii="Times New Roman" w:hAnsi="Times New Roman"/>
                <w:b/>
                <w:color w:val="FFFFFF" w:themeColor="background1"/>
                <w:lang w:val="en-US" w:eastAsia="en-US"/>
              </w:rPr>
              <w:t>No.</w:t>
            </w:r>
          </w:p>
        </w:tc>
        <w:tc>
          <w:tcPr>
            <w:tcW w:w="7710" w:type="dxa"/>
            <w:tcBorders>
              <w:top w:val="single" w:sz="4" w:space="0" w:color="auto"/>
              <w:left w:val="nil"/>
              <w:bottom w:val="single" w:sz="4" w:space="0" w:color="auto"/>
              <w:right w:val="single" w:sz="4" w:space="0" w:color="auto"/>
            </w:tcBorders>
            <w:shd w:val="clear" w:color="auto" w:fill="00B050"/>
            <w:vAlign w:val="center"/>
            <w:hideMark/>
          </w:tcPr>
          <w:p w14:paraId="3822A63F" w14:textId="77777777" w:rsidR="001D0673" w:rsidRPr="00F050E3" w:rsidRDefault="001D0673" w:rsidP="008354C5">
            <w:pPr>
              <w:spacing w:after="0"/>
              <w:jc w:val="center"/>
              <w:rPr>
                <w:rFonts w:ascii="Times New Roman" w:hAnsi="Times New Roman"/>
                <w:b/>
                <w:color w:val="FFFFFF" w:themeColor="background1"/>
                <w:lang w:val="en-US" w:eastAsia="en-US"/>
              </w:rPr>
            </w:pPr>
            <w:r w:rsidRPr="00F050E3">
              <w:rPr>
                <w:rFonts w:ascii="Times New Roman" w:hAnsi="Times New Roman"/>
                <w:b/>
                <w:color w:val="FFFFFF" w:themeColor="background1"/>
                <w:lang w:val="en-US" w:eastAsia="en-US"/>
              </w:rPr>
              <w:t>Meta</w:t>
            </w:r>
          </w:p>
        </w:tc>
        <w:tc>
          <w:tcPr>
            <w:tcW w:w="1643" w:type="dxa"/>
            <w:tcBorders>
              <w:top w:val="single" w:sz="4" w:space="0" w:color="auto"/>
              <w:left w:val="nil"/>
              <w:bottom w:val="single" w:sz="4" w:space="0" w:color="auto"/>
              <w:right w:val="single" w:sz="4" w:space="0" w:color="auto"/>
            </w:tcBorders>
            <w:shd w:val="clear" w:color="auto" w:fill="00B050"/>
            <w:noWrap/>
            <w:vAlign w:val="center"/>
            <w:hideMark/>
          </w:tcPr>
          <w:p w14:paraId="24509ECC" w14:textId="77777777" w:rsidR="001D0673" w:rsidRPr="00F050E3" w:rsidRDefault="001D0673" w:rsidP="008354C5">
            <w:pPr>
              <w:spacing w:after="0"/>
              <w:jc w:val="center"/>
              <w:rPr>
                <w:rFonts w:ascii="Times New Roman" w:hAnsi="Times New Roman"/>
                <w:b/>
                <w:color w:val="FFFFFF" w:themeColor="background1"/>
                <w:lang w:val="en-US" w:eastAsia="en-US"/>
              </w:rPr>
            </w:pPr>
            <w:r w:rsidRPr="00F050E3">
              <w:rPr>
                <w:rFonts w:ascii="Times New Roman" w:hAnsi="Times New Roman"/>
                <w:b/>
                <w:color w:val="FFFFFF" w:themeColor="background1"/>
                <w:lang w:val="en-US" w:eastAsia="en-US"/>
              </w:rPr>
              <w:t>Institución</w:t>
            </w:r>
          </w:p>
        </w:tc>
      </w:tr>
      <w:tr w:rsidR="001D0673" w:rsidRPr="00F050E3" w14:paraId="1CE91CA0" w14:textId="77777777" w:rsidTr="008354C5">
        <w:trPr>
          <w:trHeight w:val="7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52EB4A0E" w14:textId="77777777" w:rsidR="001D0673" w:rsidRPr="00F050E3" w:rsidRDefault="001D0673" w:rsidP="008354C5">
            <w:pPr>
              <w:spacing w:after="0"/>
              <w:jc w:val="center"/>
              <w:rPr>
                <w:rFonts w:ascii="Times New Roman" w:hAnsi="Times New Roman"/>
                <w:color w:val="000000"/>
                <w:lang w:val="en-US" w:eastAsia="en-US"/>
              </w:rPr>
            </w:pPr>
            <w:r w:rsidRPr="00F050E3">
              <w:rPr>
                <w:rFonts w:ascii="Times New Roman" w:hAnsi="Times New Roman"/>
                <w:color w:val="000000"/>
                <w:lang w:val="en-US" w:eastAsia="en-US"/>
              </w:rPr>
              <w:t>1</w:t>
            </w:r>
          </w:p>
        </w:tc>
        <w:tc>
          <w:tcPr>
            <w:tcW w:w="7710" w:type="dxa"/>
            <w:tcBorders>
              <w:top w:val="single" w:sz="4" w:space="0" w:color="auto"/>
              <w:left w:val="nil"/>
              <w:bottom w:val="single" w:sz="4" w:space="0" w:color="auto"/>
              <w:right w:val="single" w:sz="4" w:space="0" w:color="auto"/>
            </w:tcBorders>
            <w:shd w:val="clear" w:color="auto" w:fill="auto"/>
            <w:vAlign w:val="center"/>
            <w:hideMark/>
          </w:tcPr>
          <w:p w14:paraId="2784E7A9" w14:textId="77777777" w:rsidR="001D0673" w:rsidRPr="00F050E3" w:rsidRDefault="001D0673" w:rsidP="008354C5">
            <w:pPr>
              <w:spacing w:after="0"/>
              <w:rPr>
                <w:rFonts w:ascii="Times New Roman" w:hAnsi="Times New Roman"/>
                <w:bCs/>
                <w:color w:val="000000"/>
                <w:lang w:eastAsia="en-US"/>
              </w:rPr>
            </w:pPr>
            <w:r w:rsidRPr="00F050E3">
              <w:rPr>
                <w:rFonts w:ascii="Times New Roman" w:hAnsi="Times New Roman"/>
                <w:bCs/>
                <w:color w:val="000000"/>
                <w:lang w:eastAsia="en-US"/>
              </w:rPr>
              <w:t>Fortalecer el Programa de Sanidad Animal</w:t>
            </w:r>
            <w:r w:rsidRPr="00F050E3">
              <w:rPr>
                <w:rFonts w:ascii="Times New Roman" w:hAnsi="Times New Roman"/>
                <w:color w:val="000000"/>
                <w:lang w:eastAsia="en-US"/>
              </w:rPr>
              <w:t>.</w:t>
            </w:r>
          </w:p>
        </w:tc>
        <w:tc>
          <w:tcPr>
            <w:tcW w:w="1643" w:type="dxa"/>
            <w:vMerge w:val="restart"/>
            <w:tcBorders>
              <w:top w:val="nil"/>
              <w:left w:val="nil"/>
              <w:right w:val="single" w:sz="4" w:space="0" w:color="auto"/>
            </w:tcBorders>
            <w:shd w:val="clear" w:color="auto" w:fill="auto"/>
            <w:noWrap/>
            <w:vAlign w:val="center"/>
            <w:hideMark/>
          </w:tcPr>
          <w:p w14:paraId="30B7F970" w14:textId="77777777" w:rsidR="001D0673" w:rsidRPr="00F050E3" w:rsidRDefault="001D0673" w:rsidP="008354C5">
            <w:pPr>
              <w:spacing w:after="0"/>
              <w:jc w:val="both"/>
              <w:rPr>
                <w:rFonts w:ascii="Times New Roman" w:hAnsi="Times New Roman"/>
                <w:color w:val="000000"/>
                <w:lang w:val="en-US" w:eastAsia="en-US"/>
              </w:rPr>
            </w:pPr>
            <w:r w:rsidRPr="00F050E3">
              <w:rPr>
                <w:rFonts w:ascii="Times New Roman" w:hAnsi="Times New Roman"/>
                <w:color w:val="000000"/>
                <w:lang w:val="en-US" w:eastAsia="en-US"/>
              </w:rPr>
              <w:t>DIGEGA</w:t>
            </w:r>
          </w:p>
        </w:tc>
      </w:tr>
      <w:tr w:rsidR="001D0673" w:rsidRPr="00F050E3" w14:paraId="22310A02" w14:textId="77777777" w:rsidTr="008354C5">
        <w:trPr>
          <w:trHeight w:val="115"/>
          <w:jc w:val="center"/>
        </w:trPr>
        <w:tc>
          <w:tcPr>
            <w:tcW w:w="570" w:type="dxa"/>
            <w:tcBorders>
              <w:top w:val="nil"/>
              <w:left w:val="single" w:sz="4" w:space="0" w:color="auto"/>
              <w:bottom w:val="single" w:sz="4" w:space="0" w:color="auto"/>
              <w:right w:val="single" w:sz="4" w:space="0" w:color="auto"/>
            </w:tcBorders>
            <w:shd w:val="clear" w:color="auto" w:fill="auto"/>
            <w:noWrap/>
            <w:vAlign w:val="center"/>
          </w:tcPr>
          <w:p w14:paraId="35FBDEEC" w14:textId="77777777" w:rsidR="001D0673" w:rsidRPr="00F050E3" w:rsidRDefault="001D0673" w:rsidP="008354C5">
            <w:pPr>
              <w:spacing w:after="0"/>
              <w:jc w:val="center"/>
              <w:rPr>
                <w:rFonts w:ascii="Times New Roman" w:hAnsi="Times New Roman"/>
                <w:color w:val="000000"/>
                <w:lang w:val="en-US" w:eastAsia="en-US"/>
              </w:rPr>
            </w:pPr>
            <w:r w:rsidRPr="00F050E3">
              <w:rPr>
                <w:rFonts w:ascii="Times New Roman" w:hAnsi="Times New Roman"/>
                <w:color w:val="000000"/>
                <w:lang w:val="en-US" w:eastAsia="en-US"/>
              </w:rPr>
              <w:t>2</w:t>
            </w:r>
          </w:p>
        </w:tc>
        <w:tc>
          <w:tcPr>
            <w:tcW w:w="7710" w:type="dxa"/>
            <w:tcBorders>
              <w:top w:val="nil"/>
              <w:left w:val="nil"/>
              <w:bottom w:val="single" w:sz="4" w:space="0" w:color="auto"/>
              <w:right w:val="single" w:sz="4" w:space="0" w:color="auto"/>
            </w:tcBorders>
            <w:shd w:val="clear" w:color="auto" w:fill="auto"/>
            <w:vAlign w:val="center"/>
          </w:tcPr>
          <w:p w14:paraId="1AA3D170" w14:textId="77777777" w:rsidR="001D0673" w:rsidRPr="00F050E3" w:rsidRDefault="001D0673" w:rsidP="008354C5">
            <w:pPr>
              <w:spacing w:after="0"/>
              <w:rPr>
                <w:rFonts w:ascii="Times New Roman" w:hAnsi="Times New Roman"/>
                <w:bCs/>
                <w:color w:val="000000"/>
                <w:lang w:eastAsia="en-US"/>
              </w:rPr>
            </w:pPr>
            <w:r w:rsidRPr="00F050E3">
              <w:rPr>
                <w:rFonts w:ascii="Times New Roman" w:hAnsi="Times New Roman"/>
                <w:bCs/>
                <w:color w:val="000000"/>
                <w:lang w:eastAsia="en-US"/>
              </w:rPr>
              <w:t>Desarrollar el Programa de Trazabilidad Bovina</w:t>
            </w:r>
            <w:r w:rsidRPr="00F050E3">
              <w:rPr>
                <w:rFonts w:ascii="Times New Roman" w:hAnsi="Times New Roman"/>
                <w:color w:val="000000"/>
                <w:lang w:eastAsia="en-US"/>
              </w:rPr>
              <w:t>.</w:t>
            </w:r>
          </w:p>
        </w:tc>
        <w:tc>
          <w:tcPr>
            <w:tcW w:w="1643" w:type="dxa"/>
            <w:vMerge/>
            <w:tcBorders>
              <w:left w:val="nil"/>
              <w:bottom w:val="single" w:sz="4" w:space="0" w:color="auto"/>
              <w:right w:val="single" w:sz="4" w:space="0" w:color="auto"/>
            </w:tcBorders>
            <w:shd w:val="clear" w:color="auto" w:fill="auto"/>
            <w:noWrap/>
            <w:vAlign w:val="center"/>
          </w:tcPr>
          <w:p w14:paraId="19A67707" w14:textId="77777777" w:rsidR="001D0673" w:rsidRPr="00F050E3" w:rsidRDefault="001D0673" w:rsidP="008354C5">
            <w:pPr>
              <w:spacing w:after="0"/>
              <w:jc w:val="both"/>
              <w:rPr>
                <w:rFonts w:ascii="Times New Roman" w:hAnsi="Times New Roman"/>
                <w:color w:val="000000"/>
                <w:lang w:eastAsia="en-US"/>
              </w:rPr>
            </w:pPr>
          </w:p>
        </w:tc>
      </w:tr>
      <w:tr w:rsidR="001D0673" w:rsidRPr="00F050E3" w14:paraId="48188294" w14:textId="77777777" w:rsidTr="008354C5">
        <w:trPr>
          <w:trHeight w:val="70"/>
          <w:jc w:val="center"/>
        </w:trPr>
        <w:tc>
          <w:tcPr>
            <w:tcW w:w="570" w:type="dxa"/>
            <w:tcBorders>
              <w:top w:val="nil"/>
              <w:left w:val="single" w:sz="4" w:space="0" w:color="auto"/>
              <w:bottom w:val="single" w:sz="4" w:space="0" w:color="000000"/>
              <w:right w:val="single" w:sz="4" w:space="0" w:color="auto"/>
            </w:tcBorders>
            <w:shd w:val="clear" w:color="auto" w:fill="auto"/>
            <w:noWrap/>
            <w:vAlign w:val="center"/>
          </w:tcPr>
          <w:p w14:paraId="4E59A69F" w14:textId="77777777" w:rsidR="001D0673" w:rsidRPr="00F050E3" w:rsidRDefault="001D0673" w:rsidP="008354C5">
            <w:pPr>
              <w:spacing w:after="0"/>
              <w:jc w:val="center"/>
              <w:rPr>
                <w:rFonts w:ascii="Times New Roman" w:hAnsi="Times New Roman"/>
                <w:color w:val="000000"/>
                <w:lang w:val="en-US" w:eastAsia="en-US"/>
              </w:rPr>
            </w:pPr>
            <w:r w:rsidRPr="00F050E3">
              <w:rPr>
                <w:rFonts w:ascii="Times New Roman" w:hAnsi="Times New Roman"/>
                <w:color w:val="000000"/>
                <w:lang w:val="en-US" w:eastAsia="en-US"/>
              </w:rPr>
              <w:t>3</w:t>
            </w:r>
          </w:p>
        </w:tc>
        <w:tc>
          <w:tcPr>
            <w:tcW w:w="7710" w:type="dxa"/>
            <w:tcBorders>
              <w:top w:val="nil"/>
              <w:left w:val="single" w:sz="4" w:space="0" w:color="auto"/>
              <w:bottom w:val="single" w:sz="4" w:space="0" w:color="auto"/>
              <w:right w:val="single" w:sz="4" w:space="0" w:color="auto"/>
            </w:tcBorders>
            <w:shd w:val="clear" w:color="auto" w:fill="auto"/>
            <w:vAlign w:val="center"/>
          </w:tcPr>
          <w:p w14:paraId="605A0EEE" w14:textId="77777777" w:rsidR="001D0673" w:rsidRPr="00F050E3" w:rsidRDefault="001D0673" w:rsidP="008354C5">
            <w:pPr>
              <w:spacing w:after="0"/>
              <w:rPr>
                <w:rFonts w:ascii="Times New Roman" w:hAnsi="Times New Roman"/>
                <w:bCs/>
                <w:color w:val="000000"/>
                <w:lang w:eastAsia="en-US"/>
              </w:rPr>
            </w:pPr>
            <w:r w:rsidRPr="00F050E3">
              <w:rPr>
                <w:rFonts w:ascii="Times New Roman" w:hAnsi="Times New Roman"/>
                <w:bCs/>
                <w:color w:val="000000"/>
                <w:lang w:eastAsia="en-US"/>
              </w:rPr>
              <w:t>Fomentar la Producción Acuícola en Jaulas Flotantes</w:t>
            </w:r>
            <w:r w:rsidRPr="00F050E3">
              <w:rPr>
                <w:rFonts w:ascii="Times New Roman" w:hAnsi="Times New Roman"/>
                <w:color w:val="000000"/>
                <w:lang w:eastAsia="en-US"/>
              </w:rPr>
              <w:t>.</w:t>
            </w:r>
          </w:p>
        </w:tc>
        <w:tc>
          <w:tcPr>
            <w:tcW w:w="1643" w:type="dxa"/>
            <w:tcBorders>
              <w:top w:val="nil"/>
              <w:left w:val="single" w:sz="4" w:space="0" w:color="auto"/>
              <w:bottom w:val="single" w:sz="4" w:space="0" w:color="000000"/>
              <w:right w:val="single" w:sz="4" w:space="0" w:color="auto"/>
            </w:tcBorders>
            <w:shd w:val="clear" w:color="auto" w:fill="auto"/>
            <w:noWrap/>
            <w:vAlign w:val="center"/>
          </w:tcPr>
          <w:p w14:paraId="79FBB33F" w14:textId="77777777" w:rsidR="001D0673" w:rsidRPr="00F050E3" w:rsidRDefault="001D0673" w:rsidP="008354C5">
            <w:pPr>
              <w:spacing w:after="0"/>
              <w:jc w:val="both"/>
              <w:rPr>
                <w:rFonts w:ascii="Times New Roman" w:hAnsi="Times New Roman"/>
                <w:color w:val="000000"/>
                <w:lang w:val="en-US" w:eastAsia="en-US"/>
              </w:rPr>
            </w:pPr>
            <w:r w:rsidRPr="00F050E3">
              <w:rPr>
                <w:rFonts w:ascii="Times New Roman" w:hAnsi="Times New Roman"/>
                <w:color w:val="000000"/>
                <w:lang w:val="en-US" w:eastAsia="en-US"/>
              </w:rPr>
              <w:t>CODOPESCA</w:t>
            </w:r>
          </w:p>
        </w:tc>
      </w:tr>
      <w:tr w:rsidR="001D0673" w:rsidRPr="00F050E3" w14:paraId="2E477214" w14:textId="77777777" w:rsidTr="008354C5">
        <w:trPr>
          <w:trHeight w:val="7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6F5649FE" w14:textId="77777777" w:rsidR="001D0673" w:rsidRPr="00F050E3" w:rsidRDefault="001D0673" w:rsidP="008354C5">
            <w:pPr>
              <w:spacing w:after="0"/>
              <w:jc w:val="center"/>
              <w:rPr>
                <w:rFonts w:ascii="Times New Roman" w:hAnsi="Times New Roman"/>
                <w:color w:val="000000"/>
                <w:lang w:val="en-US" w:eastAsia="en-US"/>
              </w:rPr>
            </w:pPr>
            <w:r w:rsidRPr="00F050E3">
              <w:rPr>
                <w:rFonts w:ascii="Times New Roman" w:hAnsi="Times New Roman"/>
                <w:color w:val="000000"/>
                <w:lang w:val="en-US" w:eastAsia="en-US"/>
              </w:rPr>
              <w:t>4</w:t>
            </w:r>
          </w:p>
        </w:tc>
        <w:tc>
          <w:tcPr>
            <w:tcW w:w="7710" w:type="dxa"/>
            <w:tcBorders>
              <w:top w:val="nil"/>
              <w:left w:val="nil"/>
              <w:bottom w:val="single" w:sz="4" w:space="0" w:color="auto"/>
              <w:right w:val="single" w:sz="4" w:space="0" w:color="auto"/>
            </w:tcBorders>
            <w:shd w:val="clear" w:color="auto" w:fill="auto"/>
            <w:vAlign w:val="center"/>
            <w:hideMark/>
          </w:tcPr>
          <w:p w14:paraId="5C619A7F" w14:textId="77777777" w:rsidR="001D0673" w:rsidRPr="00F050E3" w:rsidRDefault="001D0673" w:rsidP="008354C5">
            <w:pPr>
              <w:spacing w:after="0"/>
              <w:rPr>
                <w:rFonts w:ascii="Times New Roman" w:hAnsi="Times New Roman"/>
                <w:bCs/>
                <w:color w:val="000000"/>
                <w:lang w:eastAsia="en-US"/>
              </w:rPr>
            </w:pPr>
            <w:r w:rsidRPr="00F050E3">
              <w:rPr>
                <w:rFonts w:ascii="Times New Roman" w:hAnsi="Times New Roman"/>
                <w:bCs/>
                <w:color w:val="000000"/>
                <w:lang w:eastAsia="en-US"/>
              </w:rPr>
              <w:t>Renovación de cafetales con adaptación al Cambio Climático y uso de suelos.</w:t>
            </w:r>
          </w:p>
        </w:tc>
        <w:tc>
          <w:tcPr>
            <w:tcW w:w="1643" w:type="dxa"/>
            <w:vMerge w:val="restart"/>
            <w:tcBorders>
              <w:top w:val="nil"/>
              <w:left w:val="nil"/>
              <w:right w:val="single" w:sz="4" w:space="0" w:color="auto"/>
            </w:tcBorders>
            <w:shd w:val="clear" w:color="auto" w:fill="auto"/>
            <w:noWrap/>
            <w:vAlign w:val="center"/>
            <w:hideMark/>
          </w:tcPr>
          <w:p w14:paraId="2770D27B" w14:textId="77777777" w:rsidR="001D0673" w:rsidRPr="00F050E3" w:rsidRDefault="001D0673" w:rsidP="008354C5">
            <w:pPr>
              <w:spacing w:after="0"/>
              <w:jc w:val="both"/>
              <w:rPr>
                <w:rFonts w:ascii="Times New Roman" w:hAnsi="Times New Roman"/>
                <w:color w:val="000000"/>
                <w:lang w:val="en-US" w:eastAsia="en-US"/>
              </w:rPr>
            </w:pPr>
            <w:r w:rsidRPr="00F050E3">
              <w:rPr>
                <w:rFonts w:ascii="Times New Roman" w:hAnsi="Times New Roman"/>
                <w:color w:val="000000"/>
                <w:lang w:val="en-US" w:eastAsia="en-US"/>
              </w:rPr>
              <w:t>INDOCAFE</w:t>
            </w:r>
          </w:p>
        </w:tc>
      </w:tr>
      <w:tr w:rsidR="001D0673" w:rsidRPr="00F050E3" w14:paraId="226A9166" w14:textId="77777777" w:rsidTr="008354C5">
        <w:trPr>
          <w:trHeight w:val="7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05F0485A" w14:textId="77777777" w:rsidR="001D0673" w:rsidRPr="00F050E3" w:rsidRDefault="001D0673" w:rsidP="008354C5">
            <w:pPr>
              <w:spacing w:after="0"/>
              <w:jc w:val="center"/>
              <w:rPr>
                <w:rFonts w:ascii="Times New Roman" w:hAnsi="Times New Roman"/>
                <w:color w:val="000000"/>
                <w:lang w:val="en-US" w:eastAsia="en-US"/>
              </w:rPr>
            </w:pPr>
            <w:r w:rsidRPr="00F050E3">
              <w:rPr>
                <w:rFonts w:ascii="Times New Roman" w:hAnsi="Times New Roman"/>
                <w:color w:val="000000"/>
                <w:lang w:val="en-US" w:eastAsia="en-US"/>
              </w:rPr>
              <w:t>5</w:t>
            </w:r>
          </w:p>
        </w:tc>
        <w:tc>
          <w:tcPr>
            <w:tcW w:w="7710" w:type="dxa"/>
            <w:tcBorders>
              <w:top w:val="nil"/>
              <w:left w:val="nil"/>
              <w:bottom w:val="single" w:sz="4" w:space="0" w:color="auto"/>
              <w:right w:val="single" w:sz="4" w:space="0" w:color="auto"/>
            </w:tcBorders>
            <w:shd w:val="clear" w:color="auto" w:fill="auto"/>
            <w:vAlign w:val="center"/>
            <w:hideMark/>
          </w:tcPr>
          <w:p w14:paraId="6E146B6D" w14:textId="77777777" w:rsidR="001D0673" w:rsidRPr="00F050E3" w:rsidRDefault="001D0673" w:rsidP="008354C5">
            <w:pPr>
              <w:spacing w:after="0"/>
              <w:rPr>
                <w:rFonts w:ascii="Times New Roman" w:hAnsi="Times New Roman"/>
                <w:bCs/>
                <w:color w:val="000000"/>
                <w:lang w:eastAsia="en-US"/>
              </w:rPr>
            </w:pPr>
            <w:r w:rsidRPr="00F050E3">
              <w:rPr>
                <w:rFonts w:ascii="Times New Roman" w:hAnsi="Times New Roman"/>
                <w:bCs/>
                <w:color w:val="000000"/>
                <w:lang w:eastAsia="en-US"/>
              </w:rPr>
              <w:t>Creación de capacidades para el desarrollo sostenible de la caficultura</w:t>
            </w:r>
            <w:r w:rsidRPr="00F050E3">
              <w:rPr>
                <w:rFonts w:ascii="Times New Roman" w:hAnsi="Times New Roman"/>
                <w:color w:val="000000"/>
                <w:lang w:eastAsia="en-US"/>
              </w:rPr>
              <w:t>.</w:t>
            </w:r>
          </w:p>
        </w:tc>
        <w:tc>
          <w:tcPr>
            <w:tcW w:w="1643" w:type="dxa"/>
            <w:vMerge/>
            <w:tcBorders>
              <w:left w:val="nil"/>
              <w:bottom w:val="single" w:sz="4" w:space="0" w:color="auto"/>
              <w:right w:val="single" w:sz="4" w:space="0" w:color="auto"/>
            </w:tcBorders>
            <w:shd w:val="clear" w:color="auto" w:fill="auto"/>
            <w:noWrap/>
            <w:vAlign w:val="center"/>
            <w:hideMark/>
          </w:tcPr>
          <w:p w14:paraId="206A206C" w14:textId="77777777" w:rsidR="001D0673" w:rsidRPr="00F050E3" w:rsidRDefault="001D0673" w:rsidP="008354C5">
            <w:pPr>
              <w:spacing w:after="0"/>
              <w:jc w:val="both"/>
              <w:rPr>
                <w:rFonts w:ascii="Times New Roman" w:hAnsi="Times New Roman"/>
                <w:color w:val="000000"/>
                <w:lang w:eastAsia="en-US"/>
              </w:rPr>
            </w:pPr>
          </w:p>
        </w:tc>
      </w:tr>
      <w:tr w:rsidR="001D0673" w:rsidRPr="00EB61C9" w14:paraId="68C8038D" w14:textId="77777777" w:rsidTr="008354C5">
        <w:trPr>
          <w:trHeight w:val="7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14:paraId="6D58B870" w14:textId="77777777" w:rsidR="001D0673" w:rsidRPr="00F050E3" w:rsidRDefault="001D0673" w:rsidP="008354C5">
            <w:pPr>
              <w:spacing w:after="0"/>
              <w:jc w:val="center"/>
              <w:rPr>
                <w:rFonts w:ascii="Times New Roman" w:hAnsi="Times New Roman"/>
                <w:color w:val="000000"/>
                <w:lang w:val="en-US" w:eastAsia="en-US"/>
              </w:rPr>
            </w:pPr>
            <w:r w:rsidRPr="00F050E3">
              <w:rPr>
                <w:rFonts w:ascii="Times New Roman" w:hAnsi="Times New Roman"/>
                <w:color w:val="000000"/>
                <w:lang w:val="en-US" w:eastAsia="en-US"/>
              </w:rPr>
              <w:t>6</w:t>
            </w:r>
          </w:p>
        </w:tc>
        <w:tc>
          <w:tcPr>
            <w:tcW w:w="7710" w:type="dxa"/>
            <w:tcBorders>
              <w:top w:val="nil"/>
              <w:left w:val="nil"/>
              <w:bottom w:val="single" w:sz="4" w:space="0" w:color="auto"/>
              <w:right w:val="single" w:sz="4" w:space="0" w:color="auto"/>
            </w:tcBorders>
            <w:shd w:val="clear" w:color="auto" w:fill="auto"/>
            <w:vAlign w:val="center"/>
            <w:hideMark/>
          </w:tcPr>
          <w:p w14:paraId="7FA89E57" w14:textId="77777777" w:rsidR="001D0673" w:rsidRPr="00F050E3" w:rsidRDefault="001D0673" w:rsidP="008354C5">
            <w:pPr>
              <w:spacing w:after="0"/>
              <w:rPr>
                <w:rFonts w:ascii="Times New Roman" w:hAnsi="Times New Roman"/>
                <w:bCs/>
                <w:color w:val="000000"/>
                <w:lang w:eastAsia="en-US"/>
              </w:rPr>
            </w:pPr>
            <w:r w:rsidRPr="00F050E3">
              <w:rPr>
                <w:rFonts w:ascii="Times New Roman" w:hAnsi="Times New Roman"/>
                <w:bCs/>
                <w:color w:val="000000"/>
                <w:lang w:eastAsia="en-US"/>
              </w:rPr>
              <w:t>Fortalecer las Estructuras de Comercialización Agropecuaria</w:t>
            </w:r>
            <w:r w:rsidRPr="00F050E3">
              <w:rPr>
                <w:rFonts w:ascii="Times New Roman" w:hAnsi="Times New Roman"/>
                <w:color w:val="000000"/>
                <w:lang w:eastAsia="en-US"/>
              </w:rPr>
              <w:t>.</w:t>
            </w:r>
          </w:p>
        </w:tc>
        <w:tc>
          <w:tcPr>
            <w:tcW w:w="1643" w:type="dxa"/>
            <w:tcBorders>
              <w:top w:val="nil"/>
              <w:left w:val="nil"/>
              <w:bottom w:val="single" w:sz="4" w:space="0" w:color="auto"/>
              <w:right w:val="single" w:sz="4" w:space="0" w:color="auto"/>
            </w:tcBorders>
            <w:shd w:val="clear" w:color="auto" w:fill="auto"/>
            <w:noWrap/>
            <w:vAlign w:val="center"/>
            <w:hideMark/>
          </w:tcPr>
          <w:p w14:paraId="02CF60FA" w14:textId="77777777" w:rsidR="001D0673" w:rsidRPr="00F050E3" w:rsidRDefault="001D0673" w:rsidP="008354C5">
            <w:pPr>
              <w:spacing w:after="0"/>
              <w:jc w:val="both"/>
              <w:rPr>
                <w:rFonts w:ascii="Times New Roman" w:hAnsi="Times New Roman"/>
                <w:color w:val="000000"/>
                <w:lang w:val="en-US" w:eastAsia="en-US"/>
              </w:rPr>
            </w:pPr>
            <w:r w:rsidRPr="00F050E3">
              <w:rPr>
                <w:rFonts w:ascii="Times New Roman" w:hAnsi="Times New Roman"/>
                <w:color w:val="000000"/>
                <w:lang w:val="en-US" w:eastAsia="en-US"/>
              </w:rPr>
              <w:t>MERCADOM</w:t>
            </w:r>
          </w:p>
        </w:tc>
      </w:tr>
    </w:tbl>
    <w:p w14:paraId="5C3D22EC" w14:textId="77777777" w:rsidR="001D0673" w:rsidRDefault="001D0673" w:rsidP="00F366F2">
      <w:pPr>
        <w:spacing w:after="0" w:line="480" w:lineRule="auto"/>
      </w:pPr>
    </w:p>
    <w:p w14:paraId="13F64539" w14:textId="64D152ED" w:rsidR="00366DEE" w:rsidRPr="0098414F" w:rsidRDefault="00366DEE" w:rsidP="00954002">
      <w:pPr>
        <w:pStyle w:val="Ttulo2"/>
      </w:pPr>
      <w:bookmarkStart w:id="298" w:name="_Toc26292092"/>
      <w:bookmarkStart w:id="299" w:name="_Toc27146811"/>
      <w:r w:rsidRPr="0098414F">
        <w:lastRenderedPageBreak/>
        <w:t xml:space="preserve">b) </w:t>
      </w:r>
      <w:bookmarkEnd w:id="292"/>
      <w:bookmarkEnd w:id="293"/>
      <w:r w:rsidR="00646828">
        <w:t xml:space="preserve">Indicador sobre el cumplimiento de </w:t>
      </w:r>
      <w:r>
        <w:t>O</w:t>
      </w:r>
      <w:r w:rsidRPr="0098414F">
        <w:t xml:space="preserve">bras </w:t>
      </w:r>
      <w:r>
        <w:t>C</w:t>
      </w:r>
      <w:r w:rsidRPr="0098414F">
        <w:t>iviles</w:t>
      </w:r>
      <w:bookmarkEnd w:id="298"/>
      <w:bookmarkEnd w:id="299"/>
      <w:r w:rsidRPr="0098414F">
        <w:t xml:space="preserve"> </w:t>
      </w:r>
    </w:p>
    <w:p w14:paraId="46D185A5" w14:textId="77777777" w:rsidR="002F0F07" w:rsidRDefault="002F0F07" w:rsidP="00366DEE">
      <w:pPr>
        <w:spacing w:after="0" w:line="480" w:lineRule="auto"/>
        <w:ind w:firstLine="720"/>
        <w:jc w:val="both"/>
        <w:rPr>
          <w:rFonts w:ascii="Times New Roman" w:hAnsi="Times New Roman"/>
          <w:lang w:val="es-ES_tradnl"/>
        </w:rPr>
      </w:pPr>
    </w:p>
    <w:p w14:paraId="14F5D50A" w14:textId="77777777" w:rsidR="00702C0D" w:rsidRPr="00F050E3" w:rsidRDefault="00366DEE" w:rsidP="00366DEE">
      <w:pPr>
        <w:spacing w:after="0" w:line="480" w:lineRule="auto"/>
        <w:ind w:firstLine="720"/>
        <w:jc w:val="both"/>
        <w:rPr>
          <w:rFonts w:ascii="Times New Roman" w:hAnsi="Times New Roman"/>
          <w:lang w:eastAsia="es-DO"/>
        </w:rPr>
      </w:pPr>
      <w:r w:rsidRPr="00F050E3">
        <w:rPr>
          <w:rFonts w:ascii="Times New Roman" w:hAnsi="Times New Roman"/>
          <w:lang w:val="es-ES_tradnl"/>
        </w:rPr>
        <w:t xml:space="preserve">Atendiendo a los compromisos presidenciales en materia de construcción de infraestructuras, el Ministerio de Agricultura encausa las medidas de políticas con mecanismos de cohesión territorial a través de </w:t>
      </w:r>
      <w:r w:rsidRPr="00F050E3">
        <w:rPr>
          <w:rFonts w:ascii="Times New Roman" w:hAnsi="Times New Roman"/>
          <w:lang w:eastAsia="es-DO"/>
        </w:rPr>
        <w:t>estructuras productivas articuladas territorialmente, el cual permite el aprovechamiento y las oportunidades del mercado local e integración competitiva de los pequeños y medianos productores a través de la construcción, rehabilitación y mantenimiento de cami</w:t>
      </w:r>
      <w:r w:rsidR="00702C0D" w:rsidRPr="00F050E3">
        <w:rPr>
          <w:rFonts w:ascii="Times New Roman" w:hAnsi="Times New Roman"/>
          <w:lang w:eastAsia="es-DO"/>
        </w:rPr>
        <w:t>nos rurales e interparcelarios.</w:t>
      </w:r>
    </w:p>
    <w:p w14:paraId="6CEABB7C" w14:textId="77777777" w:rsidR="00702C0D" w:rsidRPr="00F050E3" w:rsidRDefault="00702C0D" w:rsidP="00366DEE">
      <w:pPr>
        <w:spacing w:after="0" w:line="480" w:lineRule="auto"/>
        <w:ind w:firstLine="720"/>
        <w:jc w:val="both"/>
        <w:rPr>
          <w:rFonts w:ascii="Times New Roman" w:hAnsi="Times New Roman"/>
          <w:lang w:eastAsia="es-DO"/>
        </w:rPr>
      </w:pPr>
    </w:p>
    <w:p w14:paraId="42EDC388" w14:textId="1E270121" w:rsidR="00702C0D" w:rsidRPr="00F050E3" w:rsidRDefault="00702C0D" w:rsidP="00366DEE">
      <w:pPr>
        <w:spacing w:after="0" w:line="480" w:lineRule="auto"/>
        <w:ind w:firstLine="720"/>
        <w:jc w:val="both"/>
        <w:rPr>
          <w:rFonts w:ascii="Times New Roman" w:hAnsi="Times New Roman"/>
          <w:lang w:eastAsia="es-DO"/>
        </w:rPr>
      </w:pPr>
      <w:r w:rsidRPr="00F050E3">
        <w:rPr>
          <w:rFonts w:ascii="Times New Roman" w:hAnsi="Times New Roman"/>
          <w:lang w:eastAsia="es-DO"/>
        </w:rPr>
        <w:t>Cabe destacar que el indicador de obras e infraestructuras productivas actualmente no está siendo evaluado en el sistema de medición y monitoreo de la gestión pública, SMMGP.</w:t>
      </w:r>
    </w:p>
    <w:p w14:paraId="0FF39F45" w14:textId="759902E4" w:rsidR="000620FA" w:rsidRDefault="000620FA">
      <w:pPr>
        <w:spacing w:after="0"/>
        <w:rPr>
          <w:rFonts w:ascii="Times New Roman" w:hAnsi="Times New Roman"/>
          <w:color w:val="4F81BD" w:themeColor="accent1"/>
          <w:lang w:val="es-ES_tradnl"/>
        </w:rPr>
      </w:pPr>
    </w:p>
    <w:p w14:paraId="237BF062" w14:textId="576C61D6" w:rsidR="00366DEE" w:rsidRDefault="00366DEE" w:rsidP="00954002">
      <w:pPr>
        <w:pStyle w:val="Ttulo2"/>
      </w:pPr>
      <w:bookmarkStart w:id="300" w:name="_Toc26292093"/>
      <w:bookmarkStart w:id="301" w:name="_Toc27146812"/>
      <w:r>
        <w:t>c</w:t>
      </w:r>
      <w:r w:rsidRPr="0098414F">
        <w:t xml:space="preserve">) </w:t>
      </w:r>
      <w:r w:rsidR="00646828">
        <w:t>Indicador sobre el c</w:t>
      </w:r>
      <w:r>
        <w:t>umplimiento del Sistema de Monitoreo de la Administración Pública, SISMAP</w:t>
      </w:r>
      <w:bookmarkEnd w:id="300"/>
      <w:bookmarkEnd w:id="301"/>
      <w:r w:rsidRPr="0098414F">
        <w:t xml:space="preserve"> </w:t>
      </w:r>
    </w:p>
    <w:p w14:paraId="6F00E8C0" w14:textId="77777777" w:rsidR="002F0F07" w:rsidRDefault="002F0F07" w:rsidP="00366DEE">
      <w:pPr>
        <w:spacing w:after="0" w:line="480" w:lineRule="auto"/>
        <w:ind w:firstLine="720"/>
        <w:jc w:val="both"/>
        <w:rPr>
          <w:rFonts w:ascii="Times New Roman" w:hAnsi="Times New Roman"/>
          <w:lang w:val="es-ES_tradnl"/>
        </w:rPr>
      </w:pPr>
    </w:p>
    <w:p w14:paraId="64C1B731" w14:textId="7830C1AE" w:rsidR="00366DEE" w:rsidRDefault="00366DEE" w:rsidP="00366DEE">
      <w:pPr>
        <w:spacing w:after="0" w:line="480" w:lineRule="auto"/>
        <w:ind w:firstLine="720"/>
        <w:jc w:val="both"/>
        <w:rPr>
          <w:rFonts w:ascii="Times New Roman" w:hAnsi="Times New Roman"/>
          <w:lang w:eastAsia="es-DO"/>
        </w:rPr>
      </w:pPr>
      <w:r w:rsidRPr="00F050E3">
        <w:rPr>
          <w:rFonts w:ascii="Times New Roman" w:hAnsi="Times New Roman"/>
          <w:lang w:val="es-ES_tradnl"/>
        </w:rPr>
        <w:t>Atendiendo a los compromisos presidenciales el SISMAP es un sistema orientado a monitorear la gestión de los órganos del poder ejecutivo, el sistema de monitoreo se ha convertido en un sistema dinámico, reforzado en la calidad técnica, de sus indicadores y que fomenta la sana competencia entre los entes y órganos de la administración publica en mostrar sus niveles de d</w:t>
      </w:r>
      <w:r w:rsidR="00211B2F" w:rsidRPr="00F050E3">
        <w:rPr>
          <w:rFonts w:ascii="Times New Roman" w:hAnsi="Times New Roman"/>
          <w:lang w:val="es-ES_tradnl"/>
        </w:rPr>
        <w:t>esarrollo en materia de gestión</w:t>
      </w:r>
      <w:r w:rsidRPr="00F050E3">
        <w:rPr>
          <w:rFonts w:ascii="Times New Roman" w:hAnsi="Times New Roman"/>
          <w:lang w:val="es-ES_tradnl"/>
        </w:rPr>
        <w:t xml:space="preserve"> y fortalecimiento institucional,</w:t>
      </w:r>
      <w:r w:rsidRPr="00F050E3">
        <w:rPr>
          <w:rFonts w:ascii="Times New Roman" w:hAnsi="Times New Roman"/>
          <w:lang w:eastAsia="es-DO"/>
        </w:rPr>
        <w:t xml:space="preserve"> en ese sentido se logró avanzar en un </w:t>
      </w:r>
      <w:r w:rsidR="00E635F0" w:rsidRPr="00F050E3">
        <w:rPr>
          <w:rFonts w:ascii="Times New Roman" w:hAnsi="Times New Roman"/>
          <w:lang w:eastAsia="es-DO"/>
        </w:rPr>
        <w:t>89.28</w:t>
      </w:r>
      <w:r w:rsidRPr="00F050E3">
        <w:rPr>
          <w:rFonts w:ascii="Times New Roman" w:hAnsi="Times New Roman"/>
          <w:lang w:eastAsia="es-DO"/>
        </w:rPr>
        <w:t>% en este indicador.</w:t>
      </w:r>
    </w:p>
    <w:p w14:paraId="769DB999" w14:textId="3C964878" w:rsidR="00366DEE" w:rsidRPr="00CE6CBA" w:rsidRDefault="002B05F3" w:rsidP="001C6B1A">
      <w:pPr>
        <w:pStyle w:val="Prrafodelista"/>
        <w:numPr>
          <w:ilvl w:val="0"/>
          <w:numId w:val="9"/>
        </w:numPr>
        <w:spacing w:after="0" w:line="240" w:lineRule="auto"/>
        <w:ind w:left="567" w:hanging="567"/>
        <w:rPr>
          <w:rFonts w:ascii="Times New Roman" w:hAnsi="Times New Roman"/>
          <w:lang w:val="es-ES_tradnl"/>
        </w:rPr>
      </w:pPr>
      <w:r w:rsidRPr="00004AE2">
        <w:rPr>
          <w:rFonts w:ascii="Times New Roman" w:hAnsi="Times New Roman"/>
          <w:b/>
          <w:sz w:val="24"/>
          <w:lang w:val="es-ES_tradnl"/>
        </w:rPr>
        <w:lastRenderedPageBreak/>
        <w:t>Resultado del Indicador SISMAP</w:t>
      </w:r>
    </w:p>
    <w:p w14:paraId="6C66E860" w14:textId="77777777" w:rsidR="00CE6CBA" w:rsidRPr="00004AE2" w:rsidRDefault="00CE6CBA" w:rsidP="00CE6CBA">
      <w:pPr>
        <w:pStyle w:val="Prrafodelista"/>
        <w:spacing w:after="0" w:line="240" w:lineRule="auto"/>
        <w:ind w:left="567"/>
        <w:rPr>
          <w:rFonts w:ascii="Times New Roman" w:hAnsi="Times New Roman"/>
          <w:lang w:val="es-ES_tradnl"/>
        </w:rPr>
      </w:pPr>
    </w:p>
    <w:tbl>
      <w:tblPr>
        <w:tblW w:w="6046" w:type="pct"/>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20" w:firstRow="1" w:lastRow="0" w:firstColumn="0" w:lastColumn="0" w:noHBand="0" w:noVBand="1"/>
      </w:tblPr>
      <w:tblGrid>
        <w:gridCol w:w="669"/>
        <w:gridCol w:w="1768"/>
        <w:gridCol w:w="4526"/>
        <w:gridCol w:w="1435"/>
        <w:gridCol w:w="1167"/>
      </w:tblGrid>
      <w:tr w:rsidR="003957D2" w:rsidRPr="00F050E3" w14:paraId="730D5205" w14:textId="77777777" w:rsidTr="00443141">
        <w:trPr>
          <w:trHeight w:val="435"/>
        </w:trPr>
        <w:tc>
          <w:tcPr>
            <w:tcW w:w="350" w:type="pct"/>
            <w:shd w:val="clear" w:color="auto" w:fill="00B050"/>
            <w:vAlign w:val="center"/>
            <w:hideMark/>
          </w:tcPr>
          <w:p w14:paraId="5E55F282" w14:textId="77777777" w:rsidR="003957D2" w:rsidRPr="00F050E3" w:rsidRDefault="003957D2" w:rsidP="00443141">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 xml:space="preserve">No. </w:t>
            </w:r>
          </w:p>
        </w:tc>
        <w:tc>
          <w:tcPr>
            <w:tcW w:w="924" w:type="pct"/>
            <w:shd w:val="clear" w:color="auto" w:fill="00B050"/>
            <w:vAlign w:val="center"/>
            <w:hideMark/>
          </w:tcPr>
          <w:p w14:paraId="22455A91" w14:textId="77777777" w:rsidR="003957D2" w:rsidRPr="00F050E3" w:rsidRDefault="003957D2" w:rsidP="00443141">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Sub-Indicador</w:t>
            </w:r>
          </w:p>
        </w:tc>
        <w:tc>
          <w:tcPr>
            <w:tcW w:w="2366" w:type="pct"/>
            <w:shd w:val="clear" w:color="auto" w:fill="00B050"/>
            <w:vAlign w:val="center"/>
            <w:hideMark/>
          </w:tcPr>
          <w:p w14:paraId="59B03CD9" w14:textId="77777777" w:rsidR="003957D2" w:rsidRPr="00F050E3" w:rsidRDefault="003957D2" w:rsidP="00443141">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Descripción</w:t>
            </w:r>
          </w:p>
        </w:tc>
        <w:tc>
          <w:tcPr>
            <w:tcW w:w="750" w:type="pct"/>
            <w:shd w:val="clear" w:color="auto" w:fill="00B050"/>
            <w:vAlign w:val="center"/>
            <w:hideMark/>
          </w:tcPr>
          <w:p w14:paraId="591B384F" w14:textId="77777777" w:rsidR="003957D2" w:rsidRPr="00F050E3" w:rsidRDefault="003957D2" w:rsidP="00443141">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Ponderación</w:t>
            </w:r>
          </w:p>
        </w:tc>
        <w:tc>
          <w:tcPr>
            <w:tcW w:w="610" w:type="pct"/>
            <w:shd w:val="clear" w:color="auto" w:fill="00B050"/>
            <w:vAlign w:val="center"/>
            <w:hideMark/>
          </w:tcPr>
          <w:p w14:paraId="044C029F" w14:textId="77777777" w:rsidR="003957D2" w:rsidRPr="00F050E3" w:rsidRDefault="003957D2" w:rsidP="00443141">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Resultado</w:t>
            </w:r>
          </w:p>
        </w:tc>
      </w:tr>
      <w:tr w:rsidR="003957D2" w:rsidRPr="00F050E3" w14:paraId="6D3DA868" w14:textId="77777777" w:rsidTr="00443141">
        <w:trPr>
          <w:trHeight w:val="1275"/>
        </w:trPr>
        <w:tc>
          <w:tcPr>
            <w:tcW w:w="350" w:type="pct"/>
            <w:shd w:val="clear" w:color="auto" w:fill="FFFFFF"/>
            <w:vAlign w:val="center"/>
            <w:hideMark/>
          </w:tcPr>
          <w:p w14:paraId="611075DC" w14:textId="77777777" w:rsidR="003957D2" w:rsidRPr="00F050E3" w:rsidRDefault="003957D2" w:rsidP="00443141">
            <w:pPr>
              <w:spacing w:after="0"/>
              <w:jc w:val="center"/>
              <w:rPr>
                <w:rFonts w:ascii="Times New Roman" w:hAnsi="Times New Roman"/>
                <w:lang w:eastAsia="es-DO"/>
              </w:rPr>
            </w:pPr>
            <w:r w:rsidRPr="00F050E3">
              <w:rPr>
                <w:rFonts w:ascii="Times New Roman" w:hAnsi="Times New Roman"/>
                <w:lang w:eastAsia="es-DO"/>
              </w:rPr>
              <w:t>1</w:t>
            </w:r>
          </w:p>
        </w:tc>
        <w:tc>
          <w:tcPr>
            <w:tcW w:w="924" w:type="pct"/>
            <w:shd w:val="clear" w:color="auto" w:fill="FFFFFF"/>
            <w:vAlign w:val="center"/>
            <w:hideMark/>
          </w:tcPr>
          <w:p w14:paraId="4F86766D" w14:textId="77777777" w:rsidR="003957D2" w:rsidRPr="00F050E3" w:rsidRDefault="003957D2" w:rsidP="00443141">
            <w:pPr>
              <w:spacing w:after="0"/>
              <w:rPr>
                <w:rFonts w:ascii="Times New Roman" w:hAnsi="Times New Roman"/>
                <w:lang w:eastAsia="es-DO"/>
              </w:rPr>
            </w:pPr>
            <w:r w:rsidRPr="00F050E3">
              <w:rPr>
                <w:rFonts w:ascii="Times New Roman" w:hAnsi="Times New Roman"/>
                <w:lang w:eastAsia="es-DO"/>
              </w:rPr>
              <w:t>Calidad y Servicios</w:t>
            </w:r>
          </w:p>
        </w:tc>
        <w:tc>
          <w:tcPr>
            <w:tcW w:w="2366" w:type="pct"/>
            <w:shd w:val="clear" w:color="auto" w:fill="FFFFFF"/>
            <w:vAlign w:val="center"/>
            <w:hideMark/>
          </w:tcPr>
          <w:p w14:paraId="747A16F3" w14:textId="77777777" w:rsidR="003957D2" w:rsidRPr="00F050E3" w:rsidRDefault="003957D2" w:rsidP="00443141">
            <w:pPr>
              <w:spacing w:after="0"/>
              <w:rPr>
                <w:rFonts w:ascii="Times New Roman" w:hAnsi="Times New Roman"/>
                <w:lang w:eastAsia="es-DO"/>
              </w:rPr>
            </w:pPr>
            <w:r w:rsidRPr="00F050E3">
              <w:rPr>
                <w:rFonts w:ascii="Times New Roman" w:hAnsi="Times New Roman"/>
                <w:lang w:eastAsia="es-DO"/>
              </w:rPr>
              <w:t>Mide los avances de implementación de herramientas de calidad para la mejora continua de la gestión y los Servicios Públicos.</w:t>
            </w:r>
          </w:p>
        </w:tc>
        <w:tc>
          <w:tcPr>
            <w:tcW w:w="750" w:type="pct"/>
            <w:shd w:val="clear" w:color="auto" w:fill="FFFFFF"/>
            <w:vAlign w:val="center"/>
            <w:hideMark/>
          </w:tcPr>
          <w:p w14:paraId="0ACF62F0" w14:textId="77777777" w:rsidR="003957D2" w:rsidRPr="00F050E3" w:rsidRDefault="003957D2" w:rsidP="00443141">
            <w:pPr>
              <w:jc w:val="center"/>
              <w:rPr>
                <w:rFonts w:ascii="Times New Roman" w:hAnsi="Times New Roman"/>
              </w:rPr>
            </w:pPr>
            <w:r w:rsidRPr="00F050E3">
              <w:rPr>
                <w:rFonts w:ascii="Times New Roman" w:hAnsi="Times New Roman"/>
              </w:rPr>
              <w:t>20%</w:t>
            </w:r>
          </w:p>
        </w:tc>
        <w:tc>
          <w:tcPr>
            <w:tcW w:w="610" w:type="pct"/>
            <w:shd w:val="clear" w:color="auto" w:fill="FFFFFF"/>
            <w:vAlign w:val="center"/>
            <w:hideMark/>
          </w:tcPr>
          <w:p w14:paraId="51135200" w14:textId="77777777" w:rsidR="003957D2" w:rsidRPr="00F050E3" w:rsidRDefault="003957D2" w:rsidP="00443141">
            <w:pPr>
              <w:jc w:val="center"/>
              <w:rPr>
                <w:rFonts w:ascii="Times New Roman" w:hAnsi="Times New Roman"/>
                <w:bCs/>
                <w:color w:val="000000"/>
              </w:rPr>
            </w:pPr>
            <w:r w:rsidRPr="00F050E3">
              <w:rPr>
                <w:rFonts w:ascii="Times New Roman" w:hAnsi="Times New Roman"/>
                <w:bCs/>
                <w:color w:val="000000"/>
              </w:rPr>
              <w:t>17.40%</w:t>
            </w:r>
          </w:p>
        </w:tc>
      </w:tr>
      <w:tr w:rsidR="003957D2" w:rsidRPr="00F050E3" w14:paraId="3C88A93C" w14:textId="77777777" w:rsidTr="00443141">
        <w:trPr>
          <w:trHeight w:val="77"/>
        </w:trPr>
        <w:tc>
          <w:tcPr>
            <w:tcW w:w="350" w:type="pct"/>
            <w:shd w:val="clear" w:color="auto" w:fill="FFFFFF"/>
            <w:vAlign w:val="center"/>
            <w:hideMark/>
          </w:tcPr>
          <w:p w14:paraId="717298E3" w14:textId="77777777" w:rsidR="003957D2" w:rsidRPr="00F050E3" w:rsidRDefault="003957D2" w:rsidP="00443141">
            <w:pPr>
              <w:spacing w:after="0"/>
              <w:jc w:val="center"/>
              <w:rPr>
                <w:rFonts w:ascii="Times New Roman" w:hAnsi="Times New Roman"/>
                <w:lang w:eastAsia="es-DO"/>
              </w:rPr>
            </w:pPr>
            <w:r w:rsidRPr="00F050E3">
              <w:rPr>
                <w:rFonts w:ascii="Times New Roman" w:hAnsi="Times New Roman"/>
                <w:lang w:eastAsia="es-DO"/>
              </w:rPr>
              <w:t>2</w:t>
            </w:r>
          </w:p>
        </w:tc>
        <w:tc>
          <w:tcPr>
            <w:tcW w:w="924" w:type="pct"/>
            <w:shd w:val="clear" w:color="auto" w:fill="FFFFFF"/>
            <w:vAlign w:val="center"/>
            <w:hideMark/>
          </w:tcPr>
          <w:p w14:paraId="54602716" w14:textId="77777777" w:rsidR="003957D2" w:rsidRPr="00F050E3" w:rsidRDefault="003957D2" w:rsidP="00443141">
            <w:pPr>
              <w:spacing w:after="0"/>
              <w:rPr>
                <w:rFonts w:ascii="Times New Roman" w:hAnsi="Times New Roman"/>
                <w:lang w:eastAsia="es-DO"/>
              </w:rPr>
            </w:pPr>
            <w:r w:rsidRPr="00F050E3">
              <w:rPr>
                <w:rFonts w:ascii="Times New Roman" w:hAnsi="Times New Roman"/>
                <w:lang w:eastAsia="es-DO"/>
              </w:rPr>
              <w:t>Organización RR.HH.</w:t>
            </w:r>
          </w:p>
        </w:tc>
        <w:tc>
          <w:tcPr>
            <w:tcW w:w="2366" w:type="pct"/>
            <w:shd w:val="clear" w:color="auto" w:fill="FFFFFF"/>
            <w:vAlign w:val="center"/>
            <w:hideMark/>
          </w:tcPr>
          <w:p w14:paraId="07C8631E" w14:textId="77777777" w:rsidR="003957D2" w:rsidRPr="00F050E3" w:rsidRDefault="003957D2" w:rsidP="00443141">
            <w:pPr>
              <w:spacing w:after="0"/>
              <w:rPr>
                <w:rFonts w:ascii="Times New Roman" w:hAnsi="Times New Roman"/>
                <w:lang w:eastAsia="es-DO"/>
              </w:rPr>
            </w:pPr>
            <w:r w:rsidRPr="00F050E3">
              <w:rPr>
                <w:rFonts w:ascii="Times New Roman" w:hAnsi="Times New Roman"/>
                <w:lang w:eastAsia="es-DO"/>
              </w:rPr>
              <w:t>Estrategia organizativa, responsabilización en la gestión del personal.</w:t>
            </w:r>
          </w:p>
        </w:tc>
        <w:tc>
          <w:tcPr>
            <w:tcW w:w="750" w:type="pct"/>
            <w:shd w:val="clear" w:color="auto" w:fill="FFFFFF"/>
            <w:vAlign w:val="center"/>
            <w:hideMark/>
          </w:tcPr>
          <w:p w14:paraId="2D8F2D7F" w14:textId="77777777" w:rsidR="003957D2" w:rsidRPr="00F050E3" w:rsidRDefault="003957D2" w:rsidP="00443141">
            <w:pPr>
              <w:jc w:val="center"/>
              <w:rPr>
                <w:rFonts w:ascii="Times New Roman" w:hAnsi="Times New Roman"/>
              </w:rPr>
            </w:pPr>
            <w:r w:rsidRPr="00F050E3">
              <w:rPr>
                <w:rFonts w:ascii="Times New Roman" w:hAnsi="Times New Roman"/>
              </w:rPr>
              <w:t>8%</w:t>
            </w:r>
          </w:p>
        </w:tc>
        <w:tc>
          <w:tcPr>
            <w:tcW w:w="610" w:type="pct"/>
            <w:shd w:val="clear" w:color="auto" w:fill="FFFFFF"/>
            <w:vAlign w:val="center"/>
            <w:hideMark/>
          </w:tcPr>
          <w:p w14:paraId="68D1326F" w14:textId="77777777" w:rsidR="003957D2" w:rsidRPr="00F050E3" w:rsidRDefault="003957D2" w:rsidP="00443141">
            <w:pPr>
              <w:jc w:val="center"/>
              <w:rPr>
                <w:rFonts w:ascii="Times New Roman" w:hAnsi="Times New Roman"/>
                <w:bCs/>
                <w:color w:val="000000"/>
              </w:rPr>
            </w:pPr>
            <w:r w:rsidRPr="00F050E3">
              <w:rPr>
                <w:rFonts w:ascii="Times New Roman" w:hAnsi="Times New Roman"/>
                <w:bCs/>
                <w:color w:val="000000"/>
              </w:rPr>
              <w:t>7.08%</w:t>
            </w:r>
          </w:p>
        </w:tc>
      </w:tr>
      <w:tr w:rsidR="003957D2" w:rsidRPr="00F050E3" w14:paraId="1E5228AF" w14:textId="77777777" w:rsidTr="00443141">
        <w:trPr>
          <w:trHeight w:val="87"/>
        </w:trPr>
        <w:tc>
          <w:tcPr>
            <w:tcW w:w="350" w:type="pct"/>
            <w:shd w:val="clear" w:color="auto" w:fill="FFFFFF"/>
            <w:vAlign w:val="center"/>
            <w:hideMark/>
          </w:tcPr>
          <w:p w14:paraId="61D145A0" w14:textId="77777777" w:rsidR="003957D2" w:rsidRPr="00F050E3" w:rsidRDefault="003957D2" w:rsidP="00443141">
            <w:pPr>
              <w:spacing w:after="0"/>
              <w:jc w:val="center"/>
              <w:rPr>
                <w:rFonts w:ascii="Times New Roman" w:hAnsi="Times New Roman"/>
                <w:lang w:eastAsia="es-DO"/>
              </w:rPr>
            </w:pPr>
            <w:r w:rsidRPr="00F050E3">
              <w:rPr>
                <w:rFonts w:ascii="Times New Roman" w:hAnsi="Times New Roman"/>
                <w:lang w:eastAsia="es-DO"/>
              </w:rPr>
              <w:t>3</w:t>
            </w:r>
          </w:p>
        </w:tc>
        <w:tc>
          <w:tcPr>
            <w:tcW w:w="924" w:type="pct"/>
            <w:shd w:val="clear" w:color="auto" w:fill="FFFFFF"/>
            <w:vAlign w:val="center"/>
            <w:hideMark/>
          </w:tcPr>
          <w:p w14:paraId="3468FB5E" w14:textId="77777777" w:rsidR="003957D2" w:rsidRPr="00F050E3" w:rsidRDefault="003957D2" w:rsidP="00443141">
            <w:pPr>
              <w:spacing w:after="0"/>
              <w:rPr>
                <w:rFonts w:ascii="Times New Roman" w:hAnsi="Times New Roman"/>
                <w:lang w:eastAsia="es-DO"/>
              </w:rPr>
            </w:pPr>
            <w:r w:rsidRPr="00F050E3">
              <w:rPr>
                <w:rFonts w:ascii="Times New Roman" w:hAnsi="Times New Roman"/>
                <w:lang w:eastAsia="es-DO"/>
              </w:rPr>
              <w:t>Planificación de Recursos Humanos</w:t>
            </w:r>
          </w:p>
        </w:tc>
        <w:tc>
          <w:tcPr>
            <w:tcW w:w="2366" w:type="pct"/>
            <w:shd w:val="clear" w:color="auto" w:fill="FFFFFF"/>
            <w:vAlign w:val="center"/>
            <w:hideMark/>
          </w:tcPr>
          <w:p w14:paraId="3A8022BC" w14:textId="77777777" w:rsidR="003957D2" w:rsidRPr="00F050E3" w:rsidRDefault="003957D2" w:rsidP="00443141">
            <w:pPr>
              <w:spacing w:after="0"/>
              <w:rPr>
                <w:rFonts w:ascii="Times New Roman" w:hAnsi="Times New Roman"/>
                <w:lang w:eastAsia="es-DO"/>
              </w:rPr>
            </w:pPr>
            <w:r w:rsidRPr="00F050E3">
              <w:rPr>
                <w:rFonts w:ascii="Times New Roman" w:hAnsi="Times New Roman"/>
                <w:lang w:eastAsia="es-DO"/>
              </w:rPr>
              <w:t>Evalúa si la organización planifica sus necesidades cuantitativas y cualitativas de recursos humanos a corto, medio y largo plazo</w:t>
            </w:r>
          </w:p>
        </w:tc>
        <w:tc>
          <w:tcPr>
            <w:tcW w:w="750" w:type="pct"/>
            <w:shd w:val="clear" w:color="auto" w:fill="FFFFFF"/>
            <w:vAlign w:val="center"/>
            <w:hideMark/>
          </w:tcPr>
          <w:p w14:paraId="60C15B1D" w14:textId="77777777" w:rsidR="003957D2" w:rsidRPr="00F050E3" w:rsidRDefault="003957D2" w:rsidP="00443141">
            <w:pPr>
              <w:jc w:val="center"/>
              <w:rPr>
                <w:rFonts w:ascii="Times New Roman" w:hAnsi="Times New Roman"/>
              </w:rPr>
            </w:pPr>
            <w:r w:rsidRPr="00F050E3">
              <w:rPr>
                <w:rFonts w:ascii="Times New Roman" w:hAnsi="Times New Roman"/>
              </w:rPr>
              <w:t>4%</w:t>
            </w:r>
          </w:p>
        </w:tc>
        <w:tc>
          <w:tcPr>
            <w:tcW w:w="610" w:type="pct"/>
            <w:shd w:val="clear" w:color="auto" w:fill="FFFFFF"/>
            <w:vAlign w:val="center"/>
            <w:hideMark/>
          </w:tcPr>
          <w:p w14:paraId="74D1590C" w14:textId="77777777" w:rsidR="003957D2" w:rsidRPr="00F050E3" w:rsidRDefault="003957D2" w:rsidP="00443141">
            <w:pPr>
              <w:jc w:val="center"/>
              <w:rPr>
                <w:rFonts w:ascii="Times New Roman" w:hAnsi="Times New Roman"/>
                <w:bCs/>
                <w:color w:val="000000"/>
              </w:rPr>
            </w:pPr>
            <w:r w:rsidRPr="00F050E3">
              <w:rPr>
                <w:rFonts w:ascii="Times New Roman" w:hAnsi="Times New Roman"/>
                <w:bCs/>
                <w:color w:val="000000"/>
              </w:rPr>
              <w:t>4.00%</w:t>
            </w:r>
          </w:p>
        </w:tc>
      </w:tr>
      <w:tr w:rsidR="003957D2" w:rsidRPr="00F050E3" w14:paraId="4A6D23CB" w14:textId="77777777" w:rsidTr="00443141">
        <w:trPr>
          <w:trHeight w:val="77"/>
        </w:trPr>
        <w:tc>
          <w:tcPr>
            <w:tcW w:w="350" w:type="pct"/>
            <w:shd w:val="clear" w:color="auto" w:fill="FFFFFF"/>
            <w:vAlign w:val="center"/>
            <w:hideMark/>
          </w:tcPr>
          <w:p w14:paraId="50EF76D9" w14:textId="77777777" w:rsidR="003957D2" w:rsidRPr="00F050E3" w:rsidRDefault="003957D2" w:rsidP="00443141">
            <w:pPr>
              <w:spacing w:after="0"/>
              <w:jc w:val="center"/>
              <w:rPr>
                <w:rFonts w:ascii="Times New Roman" w:hAnsi="Times New Roman"/>
                <w:lang w:eastAsia="es-DO"/>
              </w:rPr>
            </w:pPr>
            <w:r w:rsidRPr="00F050E3">
              <w:rPr>
                <w:rFonts w:ascii="Times New Roman" w:hAnsi="Times New Roman"/>
                <w:lang w:eastAsia="es-DO"/>
              </w:rPr>
              <w:t>4</w:t>
            </w:r>
          </w:p>
        </w:tc>
        <w:tc>
          <w:tcPr>
            <w:tcW w:w="924" w:type="pct"/>
            <w:shd w:val="clear" w:color="auto" w:fill="FFFFFF"/>
            <w:vAlign w:val="center"/>
            <w:hideMark/>
          </w:tcPr>
          <w:p w14:paraId="0DAF424B" w14:textId="77777777" w:rsidR="003957D2" w:rsidRPr="00F050E3" w:rsidRDefault="003957D2" w:rsidP="00443141">
            <w:pPr>
              <w:spacing w:after="0"/>
              <w:rPr>
                <w:rFonts w:ascii="Times New Roman" w:hAnsi="Times New Roman"/>
                <w:lang w:eastAsia="es-DO"/>
              </w:rPr>
            </w:pPr>
            <w:r w:rsidRPr="00F050E3">
              <w:rPr>
                <w:rFonts w:ascii="Times New Roman" w:hAnsi="Times New Roman"/>
                <w:lang w:eastAsia="es-DO"/>
              </w:rPr>
              <w:t>Organización Trabajo</w:t>
            </w:r>
          </w:p>
        </w:tc>
        <w:tc>
          <w:tcPr>
            <w:tcW w:w="2366" w:type="pct"/>
            <w:shd w:val="clear" w:color="auto" w:fill="FFFFFF"/>
            <w:vAlign w:val="center"/>
            <w:hideMark/>
          </w:tcPr>
          <w:p w14:paraId="178EFA76" w14:textId="77777777" w:rsidR="003957D2" w:rsidRPr="00F050E3" w:rsidRDefault="003957D2" w:rsidP="00443141">
            <w:pPr>
              <w:spacing w:after="0"/>
              <w:rPr>
                <w:rFonts w:ascii="Times New Roman" w:hAnsi="Times New Roman"/>
                <w:lang w:eastAsia="es-DO"/>
              </w:rPr>
            </w:pPr>
            <w:r w:rsidRPr="00F050E3">
              <w:rPr>
                <w:rFonts w:ascii="Times New Roman" w:hAnsi="Times New Roman"/>
                <w:lang w:eastAsia="es-DO"/>
              </w:rPr>
              <w:t>Mide los avances del sistema de medición eficaz para la gestión</w:t>
            </w:r>
          </w:p>
        </w:tc>
        <w:tc>
          <w:tcPr>
            <w:tcW w:w="750" w:type="pct"/>
            <w:shd w:val="clear" w:color="auto" w:fill="FFFFFF"/>
            <w:vAlign w:val="center"/>
            <w:hideMark/>
          </w:tcPr>
          <w:p w14:paraId="632B31B8" w14:textId="77777777" w:rsidR="003957D2" w:rsidRPr="00F050E3" w:rsidRDefault="003957D2" w:rsidP="00443141">
            <w:pPr>
              <w:jc w:val="center"/>
              <w:rPr>
                <w:rFonts w:ascii="Times New Roman" w:hAnsi="Times New Roman"/>
              </w:rPr>
            </w:pPr>
            <w:r w:rsidRPr="00F050E3">
              <w:rPr>
                <w:rFonts w:ascii="Times New Roman" w:hAnsi="Times New Roman"/>
              </w:rPr>
              <w:t>12%</w:t>
            </w:r>
          </w:p>
        </w:tc>
        <w:tc>
          <w:tcPr>
            <w:tcW w:w="610" w:type="pct"/>
            <w:shd w:val="clear" w:color="auto" w:fill="FFFFFF"/>
            <w:vAlign w:val="center"/>
            <w:hideMark/>
          </w:tcPr>
          <w:p w14:paraId="0B1F4A2C" w14:textId="77777777" w:rsidR="003957D2" w:rsidRPr="00F050E3" w:rsidRDefault="003957D2" w:rsidP="00443141">
            <w:pPr>
              <w:jc w:val="center"/>
              <w:rPr>
                <w:rFonts w:ascii="Times New Roman" w:hAnsi="Times New Roman"/>
                <w:bCs/>
                <w:color w:val="000000"/>
              </w:rPr>
            </w:pPr>
            <w:r w:rsidRPr="00F050E3">
              <w:rPr>
                <w:rFonts w:ascii="Times New Roman" w:hAnsi="Times New Roman"/>
                <w:bCs/>
                <w:color w:val="000000"/>
              </w:rPr>
              <w:t>10.80%</w:t>
            </w:r>
          </w:p>
        </w:tc>
      </w:tr>
      <w:tr w:rsidR="003957D2" w:rsidRPr="00F050E3" w14:paraId="464B44A9" w14:textId="77777777" w:rsidTr="00443141">
        <w:trPr>
          <w:trHeight w:val="77"/>
        </w:trPr>
        <w:tc>
          <w:tcPr>
            <w:tcW w:w="350" w:type="pct"/>
            <w:shd w:val="clear" w:color="auto" w:fill="FFFFFF"/>
            <w:vAlign w:val="center"/>
            <w:hideMark/>
          </w:tcPr>
          <w:p w14:paraId="58030A39" w14:textId="77777777" w:rsidR="003957D2" w:rsidRPr="00F050E3" w:rsidRDefault="003957D2" w:rsidP="00443141">
            <w:pPr>
              <w:spacing w:after="0"/>
              <w:jc w:val="center"/>
              <w:rPr>
                <w:rFonts w:ascii="Times New Roman" w:hAnsi="Times New Roman"/>
                <w:lang w:eastAsia="es-DO"/>
              </w:rPr>
            </w:pPr>
            <w:r w:rsidRPr="00F050E3">
              <w:rPr>
                <w:rFonts w:ascii="Times New Roman" w:hAnsi="Times New Roman"/>
                <w:lang w:eastAsia="es-DO"/>
              </w:rPr>
              <w:t>5</w:t>
            </w:r>
          </w:p>
        </w:tc>
        <w:tc>
          <w:tcPr>
            <w:tcW w:w="924" w:type="pct"/>
            <w:shd w:val="clear" w:color="auto" w:fill="FFFFFF"/>
            <w:vAlign w:val="center"/>
            <w:hideMark/>
          </w:tcPr>
          <w:p w14:paraId="07AC00A1" w14:textId="77777777" w:rsidR="003957D2" w:rsidRPr="00F050E3" w:rsidRDefault="003957D2" w:rsidP="00443141">
            <w:pPr>
              <w:spacing w:after="0"/>
              <w:rPr>
                <w:rFonts w:ascii="Times New Roman" w:hAnsi="Times New Roman"/>
                <w:lang w:eastAsia="es-DO"/>
              </w:rPr>
            </w:pPr>
            <w:r w:rsidRPr="00F050E3">
              <w:rPr>
                <w:rFonts w:ascii="Times New Roman" w:hAnsi="Times New Roman"/>
                <w:lang w:eastAsia="es-DO"/>
              </w:rPr>
              <w:t>Gestión del Empleo</w:t>
            </w:r>
          </w:p>
        </w:tc>
        <w:tc>
          <w:tcPr>
            <w:tcW w:w="2366" w:type="pct"/>
            <w:shd w:val="clear" w:color="auto" w:fill="FFFFFF"/>
            <w:vAlign w:val="center"/>
            <w:hideMark/>
          </w:tcPr>
          <w:p w14:paraId="6CA0E4BF" w14:textId="77777777" w:rsidR="003957D2" w:rsidRPr="00F050E3" w:rsidRDefault="003957D2" w:rsidP="00443141">
            <w:pPr>
              <w:spacing w:after="0"/>
              <w:rPr>
                <w:rFonts w:ascii="Times New Roman" w:hAnsi="Times New Roman"/>
                <w:lang w:eastAsia="es-DO"/>
              </w:rPr>
            </w:pPr>
            <w:r w:rsidRPr="00F050E3">
              <w:rPr>
                <w:rFonts w:ascii="Times New Roman" w:hAnsi="Times New Roman"/>
                <w:lang w:eastAsia="es-DO"/>
              </w:rPr>
              <w:t>Mide los avances en garantizar el acceso al servicio público.</w:t>
            </w:r>
          </w:p>
        </w:tc>
        <w:tc>
          <w:tcPr>
            <w:tcW w:w="750" w:type="pct"/>
            <w:shd w:val="clear" w:color="auto" w:fill="FFFFFF"/>
            <w:vAlign w:val="center"/>
            <w:hideMark/>
          </w:tcPr>
          <w:p w14:paraId="73745F6E" w14:textId="77777777" w:rsidR="003957D2" w:rsidRPr="00F050E3" w:rsidRDefault="003957D2" w:rsidP="00443141">
            <w:pPr>
              <w:jc w:val="center"/>
              <w:rPr>
                <w:rFonts w:ascii="Times New Roman" w:hAnsi="Times New Roman"/>
              </w:rPr>
            </w:pPr>
            <w:r w:rsidRPr="00F050E3">
              <w:rPr>
                <w:rFonts w:ascii="Times New Roman" w:hAnsi="Times New Roman"/>
              </w:rPr>
              <w:t>20%</w:t>
            </w:r>
          </w:p>
        </w:tc>
        <w:tc>
          <w:tcPr>
            <w:tcW w:w="610" w:type="pct"/>
            <w:shd w:val="clear" w:color="auto" w:fill="FFFFFF"/>
            <w:vAlign w:val="center"/>
            <w:hideMark/>
          </w:tcPr>
          <w:p w14:paraId="527DFC77" w14:textId="77777777" w:rsidR="003957D2" w:rsidRPr="00F050E3" w:rsidRDefault="003957D2" w:rsidP="00443141">
            <w:pPr>
              <w:jc w:val="center"/>
              <w:rPr>
                <w:rFonts w:ascii="Times New Roman" w:hAnsi="Times New Roman"/>
                <w:bCs/>
                <w:color w:val="000000"/>
              </w:rPr>
            </w:pPr>
            <w:r w:rsidRPr="00F050E3">
              <w:rPr>
                <w:rFonts w:ascii="Times New Roman" w:hAnsi="Times New Roman"/>
                <w:bCs/>
                <w:color w:val="000000"/>
              </w:rPr>
              <w:t>20.00%</w:t>
            </w:r>
          </w:p>
        </w:tc>
      </w:tr>
      <w:tr w:rsidR="003957D2" w:rsidRPr="00F050E3" w14:paraId="3BE480C6" w14:textId="77777777" w:rsidTr="00443141">
        <w:trPr>
          <w:trHeight w:val="77"/>
        </w:trPr>
        <w:tc>
          <w:tcPr>
            <w:tcW w:w="350" w:type="pct"/>
            <w:shd w:val="clear" w:color="auto" w:fill="FFFFFF"/>
            <w:vAlign w:val="center"/>
            <w:hideMark/>
          </w:tcPr>
          <w:p w14:paraId="5095E2A8" w14:textId="77777777" w:rsidR="003957D2" w:rsidRPr="00F050E3" w:rsidRDefault="003957D2" w:rsidP="00443141">
            <w:pPr>
              <w:spacing w:after="0"/>
              <w:jc w:val="center"/>
              <w:rPr>
                <w:rFonts w:ascii="Times New Roman" w:hAnsi="Times New Roman"/>
                <w:lang w:eastAsia="es-DO"/>
              </w:rPr>
            </w:pPr>
            <w:r w:rsidRPr="00F050E3">
              <w:rPr>
                <w:rFonts w:ascii="Times New Roman" w:hAnsi="Times New Roman"/>
                <w:lang w:eastAsia="es-DO"/>
              </w:rPr>
              <w:t>6</w:t>
            </w:r>
          </w:p>
        </w:tc>
        <w:tc>
          <w:tcPr>
            <w:tcW w:w="924" w:type="pct"/>
            <w:shd w:val="clear" w:color="auto" w:fill="FFFFFF"/>
            <w:vAlign w:val="center"/>
            <w:hideMark/>
          </w:tcPr>
          <w:p w14:paraId="21252A04" w14:textId="77777777" w:rsidR="003957D2" w:rsidRPr="00F050E3" w:rsidRDefault="003957D2" w:rsidP="00443141">
            <w:pPr>
              <w:spacing w:after="0"/>
              <w:rPr>
                <w:rFonts w:ascii="Times New Roman" w:hAnsi="Times New Roman"/>
                <w:lang w:eastAsia="es-DO"/>
              </w:rPr>
            </w:pPr>
            <w:r w:rsidRPr="00F050E3">
              <w:rPr>
                <w:rFonts w:ascii="Times New Roman" w:hAnsi="Times New Roman"/>
                <w:lang w:eastAsia="es-DO"/>
              </w:rPr>
              <w:t>Compensaciones</w:t>
            </w:r>
          </w:p>
        </w:tc>
        <w:tc>
          <w:tcPr>
            <w:tcW w:w="2366" w:type="pct"/>
            <w:shd w:val="clear" w:color="auto" w:fill="FFFFFF"/>
            <w:vAlign w:val="center"/>
            <w:hideMark/>
          </w:tcPr>
          <w:p w14:paraId="29C98CE8" w14:textId="77777777" w:rsidR="003957D2" w:rsidRPr="00F050E3" w:rsidRDefault="003957D2" w:rsidP="00443141">
            <w:pPr>
              <w:spacing w:after="0"/>
              <w:rPr>
                <w:rFonts w:ascii="Times New Roman" w:hAnsi="Times New Roman"/>
                <w:lang w:eastAsia="es-DO"/>
              </w:rPr>
            </w:pPr>
            <w:r w:rsidRPr="00F050E3">
              <w:rPr>
                <w:rFonts w:ascii="Times New Roman" w:hAnsi="Times New Roman"/>
                <w:lang w:eastAsia="es-DO"/>
              </w:rPr>
              <w:t>Mide los avances en la aplicación de las políticas de retribución</w:t>
            </w:r>
          </w:p>
        </w:tc>
        <w:tc>
          <w:tcPr>
            <w:tcW w:w="750" w:type="pct"/>
            <w:shd w:val="clear" w:color="auto" w:fill="FFFFFF"/>
            <w:vAlign w:val="center"/>
            <w:hideMark/>
          </w:tcPr>
          <w:p w14:paraId="342F75A0" w14:textId="77777777" w:rsidR="003957D2" w:rsidRPr="00F050E3" w:rsidRDefault="003957D2" w:rsidP="00443141">
            <w:pPr>
              <w:jc w:val="center"/>
              <w:rPr>
                <w:rFonts w:ascii="Times New Roman" w:hAnsi="Times New Roman"/>
              </w:rPr>
            </w:pPr>
            <w:r w:rsidRPr="00F050E3">
              <w:rPr>
                <w:rFonts w:ascii="Times New Roman" w:hAnsi="Times New Roman"/>
              </w:rPr>
              <w:t>4%</w:t>
            </w:r>
          </w:p>
        </w:tc>
        <w:tc>
          <w:tcPr>
            <w:tcW w:w="610" w:type="pct"/>
            <w:shd w:val="clear" w:color="auto" w:fill="FFFFFF"/>
            <w:vAlign w:val="center"/>
            <w:hideMark/>
          </w:tcPr>
          <w:p w14:paraId="1BC050B2" w14:textId="77777777" w:rsidR="003957D2" w:rsidRPr="00F050E3" w:rsidRDefault="003957D2" w:rsidP="00443141">
            <w:pPr>
              <w:jc w:val="center"/>
              <w:rPr>
                <w:rFonts w:ascii="Times New Roman" w:hAnsi="Times New Roman"/>
                <w:bCs/>
                <w:color w:val="000000"/>
              </w:rPr>
            </w:pPr>
            <w:r w:rsidRPr="00F050E3">
              <w:rPr>
                <w:rFonts w:ascii="Times New Roman" w:hAnsi="Times New Roman"/>
                <w:bCs/>
                <w:color w:val="000000"/>
              </w:rPr>
              <w:t>4.00%</w:t>
            </w:r>
          </w:p>
        </w:tc>
      </w:tr>
      <w:tr w:rsidR="003957D2" w:rsidRPr="00F050E3" w14:paraId="52645659" w14:textId="77777777" w:rsidTr="00443141">
        <w:trPr>
          <w:trHeight w:val="77"/>
        </w:trPr>
        <w:tc>
          <w:tcPr>
            <w:tcW w:w="350" w:type="pct"/>
            <w:shd w:val="clear" w:color="auto" w:fill="FFFFFF"/>
            <w:vAlign w:val="center"/>
            <w:hideMark/>
          </w:tcPr>
          <w:p w14:paraId="482D0A0A" w14:textId="77777777" w:rsidR="003957D2" w:rsidRPr="00F050E3" w:rsidRDefault="003957D2" w:rsidP="00443141">
            <w:pPr>
              <w:spacing w:after="0"/>
              <w:jc w:val="center"/>
              <w:rPr>
                <w:rFonts w:ascii="Times New Roman" w:hAnsi="Times New Roman"/>
                <w:lang w:eastAsia="es-DO"/>
              </w:rPr>
            </w:pPr>
            <w:r w:rsidRPr="00F050E3">
              <w:rPr>
                <w:rFonts w:ascii="Times New Roman" w:hAnsi="Times New Roman"/>
                <w:lang w:eastAsia="es-DO"/>
              </w:rPr>
              <w:t>7</w:t>
            </w:r>
          </w:p>
        </w:tc>
        <w:tc>
          <w:tcPr>
            <w:tcW w:w="924" w:type="pct"/>
            <w:shd w:val="clear" w:color="auto" w:fill="FFFFFF"/>
            <w:vAlign w:val="center"/>
            <w:hideMark/>
          </w:tcPr>
          <w:p w14:paraId="02E700DF" w14:textId="77777777" w:rsidR="003957D2" w:rsidRPr="00F050E3" w:rsidRDefault="003957D2" w:rsidP="00443141">
            <w:pPr>
              <w:spacing w:after="0"/>
              <w:rPr>
                <w:rFonts w:ascii="Times New Roman" w:hAnsi="Times New Roman"/>
                <w:lang w:eastAsia="es-DO"/>
              </w:rPr>
            </w:pPr>
            <w:r w:rsidRPr="00F050E3">
              <w:rPr>
                <w:rFonts w:ascii="Times New Roman" w:hAnsi="Times New Roman"/>
                <w:lang w:eastAsia="es-DO"/>
              </w:rPr>
              <w:t>Gestión del Rendimiento</w:t>
            </w:r>
          </w:p>
        </w:tc>
        <w:tc>
          <w:tcPr>
            <w:tcW w:w="2366" w:type="pct"/>
            <w:shd w:val="clear" w:color="auto" w:fill="FFFFFF"/>
            <w:vAlign w:val="center"/>
            <w:hideMark/>
          </w:tcPr>
          <w:p w14:paraId="73191951" w14:textId="77777777" w:rsidR="003957D2" w:rsidRPr="00F050E3" w:rsidRDefault="003957D2" w:rsidP="00443141">
            <w:pPr>
              <w:spacing w:after="0"/>
              <w:rPr>
                <w:rFonts w:ascii="Times New Roman" w:hAnsi="Times New Roman"/>
                <w:lang w:eastAsia="es-DO"/>
              </w:rPr>
            </w:pPr>
            <w:r w:rsidRPr="00F050E3">
              <w:rPr>
                <w:rFonts w:ascii="Times New Roman" w:hAnsi="Times New Roman"/>
                <w:lang w:eastAsia="es-DO"/>
              </w:rPr>
              <w:t>Mide los avances en la aplicación de instrumentos para medir el rendimiento laboral y la conducta de las personas</w:t>
            </w:r>
          </w:p>
        </w:tc>
        <w:tc>
          <w:tcPr>
            <w:tcW w:w="750" w:type="pct"/>
            <w:shd w:val="clear" w:color="auto" w:fill="FFFFFF"/>
            <w:vAlign w:val="center"/>
            <w:hideMark/>
          </w:tcPr>
          <w:p w14:paraId="24ED1C03" w14:textId="77777777" w:rsidR="003957D2" w:rsidRPr="00F050E3" w:rsidRDefault="003957D2" w:rsidP="00443141">
            <w:pPr>
              <w:jc w:val="center"/>
              <w:rPr>
                <w:rFonts w:ascii="Times New Roman" w:hAnsi="Times New Roman"/>
              </w:rPr>
            </w:pPr>
            <w:r w:rsidRPr="00F050E3">
              <w:rPr>
                <w:rFonts w:ascii="Times New Roman" w:hAnsi="Times New Roman"/>
              </w:rPr>
              <w:t>8%</w:t>
            </w:r>
          </w:p>
        </w:tc>
        <w:tc>
          <w:tcPr>
            <w:tcW w:w="610" w:type="pct"/>
            <w:shd w:val="clear" w:color="auto" w:fill="FFFFFF"/>
            <w:vAlign w:val="center"/>
            <w:hideMark/>
          </w:tcPr>
          <w:p w14:paraId="37585291" w14:textId="77777777" w:rsidR="003957D2" w:rsidRPr="00F050E3" w:rsidRDefault="003957D2" w:rsidP="00443141">
            <w:pPr>
              <w:jc w:val="center"/>
              <w:rPr>
                <w:rFonts w:ascii="Times New Roman" w:hAnsi="Times New Roman"/>
                <w:bCs/>
                <w:color w:val="000000"/>
              </w:rPr>
            </w:pPr>
            <w:r w:rsidRPr="00F050E3">
              <w:rPr>
                <w:rFonts w:ascii="Times New Roman" w:hAnsi="Times New Roman"/>
                <w:bCs/>
                <w:color w:val="000000"/>
              </w:rPr>
              <w:t>3.80%</w:t>
            </w:r>
          </w:p>
        </w:tc>
      </w:tr>
      <w:tr w:rsidR="003957D2" w:rsidRPr="00F050E3" w14:paraId="2729B24D" w14:textId="77777777" w:rsidTr="00443141">
        <w:trPr>
          <w:trHeight w:val="77"/>
        </w:trPr>
        <w:tc>
          <w:tcPr>
            <w:tcW w:w="350" w:type="pct"/>
            <w:shd w:val="clear" w:color="auto" w:fill="FFFFFF"/>
            <w:vAlign w:val="center"/>
            <w:hideMark/>
          </w:tcPr>
          <w:p w14:paraId="6E516DB8" w14:textId="77777777" w:rsidR="003957D2" w:rsidRPr="00F050E3" w:rsidRDefault="003957D2" w:rsidP="00443141">
            <w:pPr>
              <w:spacing w:after="0"/>
              <w:jc w:val="center"/>
              <w:rPr>
                <w:rFonts w:ascii="Times New Roman" w:hAnsi="Times New Roman"/>
                <w:lang w:eastAsia="es-DO"/>
              </w:rPr>
            </w:pPr>
            <w:r w:rsidRPr="00F050E3">
              <w:rPr>
                <w:rFonts w:ascii="Times New Roman" w:hAnsi="Times New Roman"/>
                <w:lang w:eastAsia="es-DO"/>
              </w:rPr>
              <w:t>8</w:t>
            </w:r>
          </w:p>
        </w:tc>
        <w:tc>
          <w:tcPr>
            <w:tcW w:w="924" w:type="pct"/>
            <w:shd w:val="clear" w:color="auto" w:fill="FFFFFF"/>
            <w:vAlign w:val="center"/>
            <w:hideMark/>
          </w:tcPr>
          <w:p w14:paraId="44EB206F" w14:textId="77777777" w:rsidR="003957D2" w:rsidRPr="00F050E3" w:rsidRDefault="003957D2" w:rsidP="00443141">
            <w:pPr>
              <w:spacing w:after="0"/>
              <w:rPr>
                <w:rFonts w:ascii="Times New Roman" w:hAnsi="Times New Roman"/>
                <w:lang w:eastAsia="es-DO"/>
              </w:rPr>
            </w:pPr>
            <w:r w:rsidRPr="00F050E3">
              <w:rPr>
                <w:rFonts w:ascii="Times New Roman" w:hAnsi="Times New Roman"/>
                <w:lang w:eastAsia="es-DO"/>
              </w:rPr>
              <w:t>Gestión Desarrollo</w:t>
            </w:r>
          </w:p>
        </w:tc>
        <w:tc>
          <w:tcPr>
            <w:tcW w:w="2366" w:type="pct"/>
            <w:shd w:val="clear" w:color="auto" w:fill="FFFFFF"/>
            <w:vAlign w:val="center"/>
            <w:hideMark/>
          </w:tcPr>
          <w:p w14:paraId="0B480E15" w14:textId="77777777" w:rsidR="003957D2" w:rsidRPr="00F050E3" w:rsidRDefault="003957D2" w:rsidP="00443141">
            <w:pPr>
              <w:spacing w:after="0"/>
              <w:rPr>
                <w:rFonts w:ascii="Times New Roman" w:hAnsi="Times New Roman"/>
                <w:lang w:eastAsia="es-DO"/>
              </w:rPr>
            </w:pPr>
            <w:r w:rsidRPr="00F050E3">
              <w:rPr>
                <w:rFonts w:ascii="Times New Roman" w:hAnsi="Times New Roman"/>
                <w:lang w:eastAsia="es-DO"/>
              </w:rPr>
              <w:t>Mide los avances en aplicar los mecanismos, que en forma objetiva estimulan el crecimiento profesional de los servidores</w:t>
            </w:r>
          </w:p>
        </w:tc>
        <w:tc>
          <w:tcPr>
            <w:tcW w:w="750" w:type="pct"/>
            <w:shd w:val="clear" w:color="auto" w:fill="FFFFFF"/>
            <w:vAlign w:val="center"/>
            <w:hideMark/>
          </w:tcPr>
          <w:p w14:paraId="6650E13E" w14:textId="77777777" w:rsidR="003957D2" w:rsidRPr="00F050E3" w:rsidRDefault="003957D2" w:rsidP="00443141">
            <w:pPr>
              <w:jc w:val="center"/>
              <w:rPr>
                <w:rFonts w:ascii="Times New Roman" w:hAnsi="Times New Roman"/>
              </w:rPr>
            </w:pPr>
            <w:r w:rsidRPr="00F050E3">
              <w:rPr>
                <w:rFonts w:ascii="Times New Roman" w:hAnsi="Times New Roman"/>
              </w:rPr>
              <w:t>4%</w:t>
            </w:r>
          </w:p>
        </w:tc>
        <w:tc>
          <w:tcPr>
            <w:tcW w:w="610" w:type="pct"/>
            <w:shd w:val="clear" w:color="auto" w:fill="FFFFFF"/>
            <w:vAlign w:val="center"/>
            <w:hideMark/>
          </w:tcPr>
          <w:p w14:paraId="47DDE868" w14:textId="77777777" w:rsidR="003957D2" w:rsidRPr="00F050E3" w:rsidRDefault="003957D2" w:rsidP="00443141">
            <w:pPr>
              <w:jc w:val="center"/>
              <w:rPr>
                <w:rFonts w:ascii="Times New Roman" w:hAnsi="Times New Roman"/>
                <w:bCs/>
                <w:color w:val="000000"/>
              </w:rPr>
            </w:pPr>
            <w:r w:rsidRPr="00F050E3">
              <w:rPr>
                <w:rFonts w:ascii="Times New Roman" w:hAnsi="Times New Roman"/>
                <w:bCs/>
                <w:color w:val="000000"/>
              </w:rPr>
              <w:t>4.00%</w:t>
            </w:r>
          </w:p>
        </w:tc>
      </w:tr>
      <w:tr w:rsidR="003957D2" w:rsidRPr="00F050E3" w14:paraId="5AF0DBCE" w14:textId="77777777" w:rsidTr="00443141">
        <w:trPr>
          <w:trHeight w:val="77"/>
        </w:trPr>
        <w:tc>
          <w:tcPr>
            <w:tcW w:w="350" w:type="pct"/>
            <w:shd w:val="clear" w:color="auto" w:fill="FFFFFF"/>
            <w:vAlign w:val="center"/>
            <w:hideMark/>
          </w:tcPr>
          <w:p w14:paraId="05AA099F" w14:textId="77777777" w:rsidR="003957D2" w:rsidRPr="00F050E3" w:rsidRDefault="003957D2" w:rsidP="00443141">
            <w:pPr>
              <w:spacing w:after="0"/>
              <w:jc w:val="center"/>
              <w:rPr>
                <w:rFonts w:ascii="Times New Roman" w:hAnsi="Times New Roman"/>
                <w:lang w:eastAsia="es-DO"/>
              </w:rPr>
            </w:pPr>
            <w:r w:rsidRPr="00F050E3">
              <w:rPr>
                <w:rFonts w:ascii="Times New Roman" w:hAnsi="Times New Roman"/>
                <w:lang w:eastAsia="es-DO"/>
              </w:rPr>
              <w:t>9</w:t>
            </w:r>
          </w:p>
        </w:tc>
        <w:tc>
          <w:tcPr>
            <w:tcW w:w="924" w:type="pct"/>
            <w:shd w:val="clear" w:color="auto" w:fill="FFFFFF"/>
            <w:vAlign w:val="center"/>
            <w:hideMark/>
          </w:tcPr>
          <w:p w14:paraId="673FBD79" w14:textId="77777777" w:rsidR="003957D2" w:rsidRPr="00F050E3" w:rsidRDefault="003957D2" w:rsidP="00443141">
            <w:pPr>
              <w:spacing w:after="0"/>
              <w:rPr>
                <w:rFonts w:ascii="Times New Roman" w:hAnsi="Times New Roman"/>
                <w:lang w:eastAsia="es-DO"/>
              </w:rPr>
            </w:pPr>
            <w:r w:rsidRPr="00F050E3">
              <w:rPr>
                <w:rFonts w:ascii="Times New Roman" w:hAnsi="Times New Roman"/>
                <w:lang w:eastAsia="es-DO"/>
              </w:rPr>
              <w:t>Gestión de Relaciones  Laborales</w:t>
            </w:r>
          </w:p>
        </w:tc>
        <w:tc>
          <w:tcPr>
            <w:tcW w:w="2366" w:type="pct"/>
            <w:shd w:val="clear" w:color="auto" w:fill="FFFFFF"/>
            <w:vAlign w:val="center"/>
            <w:hideMark/>
          </w:tcPr>
          <w:p w14:paraId="1354CB50" w14:textId="77777777" w:rsidR="003957D2" w:rsidRPr="00F050E3" w:rsidRDefault="003957D2" w:rsidP="00443141">
            <w:pPr>
              <w:spacing w:after="0"/>
              <w:rPr>
                <w:rFonts w:ascii="Times New Roman" w:hAnsi="Times New Roman"/>
                <w:lang w:eastAsia="es-DO"/>
              </w:rPr>
            </w:pPr>
            <w:r w:rsidRPr="00F050E3">
              <w:rPr>
                <w:rFonts w:ascii="Times New Roman" w:hAnsi="Times New Roman"/>
                <w:lang w:eastAsia="es-DO"/>
              </w:rPr>
              <w:t>Mide los avances de las instituciones en aplicar los mecanismos que orientan las relaciones laborales hacia el derecho de las partes</w:t>
            </w:r>
          </w:p>
        </w:tc>
        <w:tc>
          <w:tcPr>
            <w:tcW w:w="750" w:type="pct"/>
            <w:shd w:val="clear" w:color="auto" w:fill="FFFFFF"/>
            <w:vAlign w:val="center"/>
            <w:hideMark/>
          </w:tcPr>
          <w:p w14:paraId="3708754F" w14:textId="77777777" w:rsidR="003957D2" w:rsidRPr="00F050E3" w:rsidRDefault="003957D2" w:rsidP="00443141">
            <w:pPr>
              <w:jc w:val="center"/>
              <w:rPr>
                <w:rFonts w:ascii="Times New Roman" w:hAnsi="Times New Roman"/>
              </w:rPr>
            </w:pPr>
            <w:r w:rsidRPr="00F050E3">
              <w:rPr>
                <w:rFonts w:ascii="Times New Roman" w:hAnsi="Times New Roman"/>
              </w:rPr>
              <w:t>20%</w:t>
            </w:r>
          </w:p>
        </w:tc>
        <w:tc>
          <w:tcPr>
            <w:tcW w:w="610" w:type="pct"/>
            <w:shd w:val="clear" w:color="auto" w:fill="FFFFFF"/>
            <w:vAlign w:val="center"/>
            <w:hideMark/>
          </w:tcPr>
          <w:p w14:paraId="5A8928D8" w14:textId="77777777" w:rsidR="003957D2" w:rsidRPr="00F050E3" w:rsidRDefault="003957D2" w:rsidP="00443141">
            <w:pPr>
              <w:jc w:val="center"/>
              <w:rPr>
                <w:rFonts w:ascii="Times New Roman" w:hAnsi="Times New Roman"/>
                <w:bCs/>
                <w:color w:val="000000"/>
              </w:rPr>
            </w:pPr>
            <w:r w:rsidRPr="00F050E3">
              <w:rPr>
                <w:rFonts w:ascii="Times New Roman" w:hAnsi="Times New Roman"/>
                <w:bCs/>
                <w:color w:val="000000"/>
              </w:rPr>
              <w:t>18.20%</w:t>
            </w:r>
          </w:p>
        </w:tc>
      </w:tr>
      <w:tr w:rsidR="003957D2" w:rsidRPr="008F7191" w14:paraId="5635D89D" w14:textId="77777777" w:rsidTr="00443141">
        <w:trPr>
          <w:trHeight w:val="64"/>
        </w:trPr>
        <w:tc>
          <w:tcPr>
            <w:tcW w:w="3640" w:type="pct"/>
            <w:gridSpan w:val="3"/>
            <w:shd w:val="clear" w:color="auto" w:fill="808080" w:themeFill="background1" w:themeFillShade="80"/>
            <w:vAlign w:val="center"/>
            <w:hideMark/>
          </w:tcPr>
          <w:p w14:paraId="652D58E8" w14:textId="77777777" w:rsidR="003957D2" w:rsidRPr="00F050E3" w:rsidRDefault="003957D2" w:rsidP="00443141">
            <w:pPr>
              <w:spacing w:after="0"/>
              <w:ind w:firstLineChars="100" w:firstLine="241"/>
              <w:jc w:val="right"/>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Total</w:t>
            </w:r>
          </w:p>
        </w:tc>
        <w:tc>
          <w:tcPr>
            <w:tcW w:w="750" w:type="pct"/>
            <w:shd w:val="clear" w:color="auto" w:fill="808080" w:themeFill="background1" w:themeFillShade="80"/>
            <w:vAlign w:val="center"/>
            <w:hideMark/>
          </w:tcPr>
          <w:p w14:paraId="17B8ABC7" w14:textId="77777777" w:rsidR="003957D2" w:rsidRPr="00F050E3" w:rsidRDefault="003957D2" w:rsidP="00443141">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100%</w:t>
            </w:r>
          </w:p>
        </w:tc>
        <w:tc>
          <w:tcPr>
            <w:tcW w:w="610" w:type="pct"/>
            <w:shd w:val="clear" w:color="auto" w:fill="808080" w:themeFill="background1" w:themeFillShade="80"/>
            <w:vAlign w:val="center"/>
            <w:hideMark/>
          </w:tcPr>
          <w:p w14:paraId="22A2AF8F" w14:textId="77777777" w:rsidR="003957D2" w:rsidRPr="001D72DA" w:rsidRDefault="003957D2" w:rsidP="00443141">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89.28%</w:t>
            </w:r>
          </w:p>
        </w:tc>
      </w:tr>
    </w:tbl>
    <w:p w14:paraId="0CDEEE04" w14:textId="7DBCB654" w:rsidR="004C2370" w:rsidRDefault="004C2370" w:rsidP="000620FA">
      <w:pPr>
        <w:spacing w:after="0" w:line="360" w:lineRule="auto"/>
        <w:rPr>
          <w:b/>
        </w:rPr>
      </w:pPr>
    </w:p>
    <w:p w14:paraId="4BABA00A" w14:textId="77777777" w:rsidR="004C2370" w:rsidRDefault="004C2370">
      <w:pPr>
        <w:spacing w:after="0"/>
        <w:rPr>
          <w:b/>
        </w:rPr>
      </w:pPr>
      <w:r>
        <w:rPr>
          <w:b/>
        </w:rPr>
        <w:br w:type="page"/>
      </w:r>
    </w:p>
    <w:p w14:paraId="40F25606" w14:textId="30AD0FBE" w:rsidR="00F471C3" w:rsidRDefault="00F471C3" w:rsidP="001C6B1A">
      <w:pPr>
        <w:pStyle w:val="Prrafodelista"/>
        <w:numPr>
          <w:ilvl w:val="0"/>
          <w:numId w:val="8"/>
        </w:numPr>
        <w:spacing w:after="0" w:line="360" w:lineRule="auto"/>
        <w:ind w:left="1783" w:hanging="1499"/>
        <w:jc w:val="both"/>
        <w:rPr>
          <w:rFonts w:ascii="Times New Roman" w:hAnsi="Times New Roman"/>
          <w:b/>
          <w:bCs/>
        </w:rPr>
      </w:pPr>
      <w:r w:rsidRPr="00F471C3">
        <w:rPr>
          <w:rFonts w:ascii="Times New Roman" w:hAnsi="Times New Roman"/>
          <w:b/>
          <w:sz w:val="24"/>
        </w:rPr>
        <w:lastRenderedPageBreak/>
        <w:t>Resultado</w:t>
      </w:r>
      <w:r>
        <w:rPr>
          <w:rFonts w:ascii="Times New Roman" w:hAnsi="Times New Roman"/>
          <w:b/>
          <w:bCs/>
          <w:sz w:val="24"/>
        </w:rPr>
        <w:t xml:space="preserve"> i</w:t>
      </w:r>
      <w:r w:rsidRPr="003957D2">
        <w:rPr>
          <w:rFonts w:ascii="Times New Roman" w:hAnsi="Times New Roman"/>
          <w:b/>
          <w:bCs/>
          <w:sz w:val="24"/>
        </w:rPr>
        <w:t>ndicador del Sistema de Monitoreo</w:t>
      </w:r>
      <w:r>
        <w:rPr>
          <w:rFonts w:ascii="Times New Roman" w:hAnsi="Times New Roman"/>
          <w:b/>
          <w:bCs/>
          <w:sz w:val="24"/>
        </w:rPr>
        <w:t xml:space="preserve"> de la Administración Pública, </w:t>
      </w:r>
      <w:r w:rsidRPr="003957D2">
        <w:rPr>
          <w:rFonts w:ascii="Times New Roman" w:hAnsi="Times New Roman"/>
          <w:b/>
          <w:bCs/>
          <w:sz w:val="24"/>
        </w:rPr>
        <w:t>SISMAP</w:t>
      </w:r>
      <w:r>
        <w:rPr>
          <w:rFonts w:ascii="Times New Roman" w:hAnsi="Times New Roman"/>
          <w:b/>
          <w:bCs/>
          <w:sz w:val="24"/>
        </w:rPr>
        <w:t>, por trimestres 2019</w:t>
      </w:r>
    </w:p>
    <w:p w14:paraId="488CAB37" w14:textId="4635C1AE" w:rsidR="00F471C3" w:rsidRDefault="004C2370" w:rsidP="000620FA">
      <w:pPr>
        <w:spacing w:after="0" w:line="360" w:lineRule="auto"/>
        <w:rPr>
          <w:b/>
        </w:rPr>
      </w:pPr>
      <w:r w:rsidRPr="002F0F07">
        <w:rPr>
          <w:rFonts w:ascii="Times New Roman" w:hAnsi="Times New Roman"/>
          <w:noProof/>
          <w:sz w:val="22"/>
          <w:szCs w:val="22"/>
          <w:lang w:eastAsia="es-DO"/>
        </w:rPr>
        <w:drawing>
          <wp:inline distT="0" distB="0" distL="0" distR="0" wp14:anchorId="72ACC762" wp14:editId="56669D6A">
            <wp:extent cx="5355590" cy="3011214"/>
            <wp:effectExtent l="0" t="0" r="0" b="0"/>
            <wp:docPr id="190" name="Gráfico 190"/>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1DA7CB47" w14:textId="77777777" w:rsidR="00F471C3" w:rsidRDefault="00F471C3" w:rsidP="000620FA">
      <w:pPr>
        <w:spacing w:after="0" w:line="360" w:lineRule="auto"/>
        <w:rPr>
          <w:b/>
        </w:rPr>
      </w:pPr>
    </w:p>
    <w:p w14:paraId="3FFF469F" w14:textId="2D8CF7A8" w:rsidR="00F471C3" w:rsidRPr="00F471C3" w:rsidRDefault="00F471C3" w:rsidP="001C6B1A">
      <w:pPr>
        <w:pStyle w:val="Prrafodelista"/>
        <w:numPr>
          <w:ilvl w:val="0"/>
          <w:numId w:val="8"/>
        </w:numPr>
        <w:spacing w:after="0" w:line="360" w:lineRule="auto"/>
        <w:rPr>
          <w:b/>
        </w:rPr>
      </w:pPr>
      <w:r>
        <w:rPr>
          <w:rFonts w:ascii="Times New Roman" w:hAnsi="Times New Roman"/>
          <w:b/>
          <w:sz w:val="24"/>
        </w:rPr>
        <w:t>Resultados SISMAP por componentes</w:t>
      </w:r>
    </w:p>
    <w:p w14:paraId="033C3AAA" w14:textId="71BA3AA8" w:rsidR="00F471C3" w:rsidRDefault="00F471C3" w:rsidP="00F471C3">
      <w:pPr>
        <w:pStyle w:val="Prrafodelista"/>
        <w:spacing w:after="0" w:line="360" w:lineRule="auto"/>
        <w:ind w:left="644"/>
        <w:rPr>
          <w:b/>
        </w:rPr>
      </w:pPr>
      <w:r>
        <w:rPr>
          <w:noProof/>
          <w:lang w:eastAsia="es-DO"/>
        </w:rPr>
        <w:drawing>
          <wp:inline distT="0" distB="0" distL="0" distR="0" wp14:anchorId="10692310" wp14:editId="11626758">
            <wp:extent cx="5029200" cy="3442136"/>
            <wp:effectExtent l="0" t="0" r="0" b="63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39B1DB4D" w14:textId="77777777" w:rsidR="003A6CAF" w:rsidRDefault="003A6CAF" w:rsidP="003A6CAF">
      <w:pPr>
        <w:pStyle w:val="Prrafodelista"/>
        <w:spacing w:after="0" w:line="480" w:lineRule="auto"/>
        <w:ind w:left="644"/>
        <w:rPr>
          <w:b/>
        </w:rPr>
      </w:pPr>
    </w:p>
    <w:p w14:paraId="7736F31C" w14:textId="77777777" w:rsidR="003A6CAF" w:rsidRDefault="003A6CAF" w:rsidP="003A6CAF">
      <w:pPr>
        <w:pStyle w:val="Prrafodelista"/>
        <w:spacing w:after="0" w:line="480" w:lineRule="auto"/>
        <w:ind w:left="644"/>
        <w:rPr>
          <w:b/>
        </w:rPr>
      </w:pPr>
    </w:p>
    <w:p w14:paraId="16770706" w14:textId="77777777" w:rsidR="00646828" w:rsidRPr="00F050E3" w:rsidRDefault="00646828" w:rsidP="00CA5792">
      <w:pPr>
        <w:pStyle w:val="Ttulo3"/>
      </w:pPr>
      <w:bookmarkStart w:id="302" w:name="_Toc251777872"/>
      <w:bookmarkStart w:id="303" w:name="_Toc254413092"/>
      <w:bookmarkStart w:id="304" w:name="_Toc409040092"/>
      <w:bookmarkStart w:id="305" w:name="_Toc440036747"/>
      <w:bookmarkStart w:id="306" w:name="_Toc470523404"/>
      <w:bookmarkStart w:id="307" w:name="_Toc26292122"/>
      <w:bookmarkStart w:id="308" w:name="_Toc27146813"/>
      <w:r w:rsidRPr="00F050E3">
        <w:lastRenderedPageBreak/>
        <w:t>Gestión de la Administración Pública (SISMAP)</w:t>
      </w:r>
      <w:bookmarkEnd w:id="302"/>
      <w:bookmarkEnd w:id="303"/>
      <w:bookmarkEnd w:id="304"/>
      <w:bookmarkEnd w:id="305"/>
      <w:bookmarkEnd w:id="306"/>
      <w:bookmarkEnd w:id="307"/>
      <w:bookmarkEnd w:id="308"/>
    </w:p>
    <w:p w14:paraId="6F553450" w14:textId="77777777" w:rsidR="00646828" w:rsidRPr="00F050E3" w:rsidRDefault="00646828" w:rsidP="00646828">
      <w:pPr>
        <w:spacing w:after="0" w:line="480" w:lineRule="auto"/>
        <w:ind w:firstLine="720"/>
        <w:jc w:val="both"/>
        <w:rPr>
          <w:rFonts w:ascii="Times New Roman" w:hAnsi="Times New Roman"/>
          <w:lang w:val="es-ES_tradnl"/>
        </w:rPr>
      </w:pPr>
      <w:bookmarkStart w:id="309" w:name="_Toc251777873"/>
    </w:p>
    <w:p w14:paraId="32C4D7AD" w14:textId="77777777" w:rsidR="00646828" w:rsidRPr="00F050E3" w:rsidRDefault="00646828" w:rsidP="00646828">
      <w:pPr>
        <w:spacing w:after="0" w:line="480" w:lineRule="auto"/>
        <w:ind w:firstLine="720"/>
        <w:jc w:val="both"/>
        <w:rPr>
          <w:rFonts w:ascii="Times New Roman" w:hAnsi="Times New Roman"/>
          <w:lang w:val="es-ES_tradnl"/>
        </w:rPr>
      </w:pPr>
      <w:r w:rsidRPr="00F050E3">
        <w:rPr>
          <w:rFonts w:ascii="Times New Roman" w:hAnsi="Times New Roman"/>
          <w:lang w:val="es-ES_tradnl"/>
        </w:rPr>
        <w:t>El Ministerio de Agricultura, en lo referente al área de Recursos Humanos, se ha enmarcado en los criterios del Sistema de Monitoreo de la Administración Pública (SISMAP), para implementar y desarrollar un sistema que permita administrar eficientemente la gestión de la administración de los servidores públicos de cara a las disposiciones de la Ley no. 41-08 de Función Pública.</w:t>
      </w:r>
    </w:p>
    <w:p w14:paraId="4492D001" w14:textId="77777777" w:rsidR="00646828" w:rsidRPr="00F050E3" w:rsidRDefault="00646828" w:rsidP="00646828">
      <w:pPr>
        <w:spacing w:after="0" w:line="480" w:lineRule="auto"/>
        <w:ind w:firstLine="720"/>
        <w:jc w:val="both"/>
        <w:rPr>
          <w:rFonts w:ascii="Times New Roman" w:hAnsi="Times New Roman"/>
          <w:lang w:val="es-ES_tradnl"/>
        </w:rPr>
      </w:pPr>
    </w:p>
    <w:p w14:paraId="4F428D21" w14:textId="77777777" w:rsidR="00646828" w:rsidRPr="00F050E3" w:rsidRDefault="00646828" w:rsidP="00646828">
      <w:pPr>
        <w:spacing w:after="0" w:line="480" w:lineRule="auto"/>
        <w:ind w:firstLine="720"/>
        <w:jc w:val="both"/>
        <w:rPr>
          <w:rFonts w:ascii="Times New Roman" w:hAnsi="Times New Roman"/>
          <w:color w:val="4F81BD" w:themeColor="accent1"/>
          <w:lang w:val="es-ES_tradnl"/>
        </w:rPr>
      </w:pPr>
      <w:r w:rsidRPr="00F050E3">
        <w:rPr>
          <w:rFonts w:ascii="Times New Roman" w:hAnsi="Times New Roman"/>
          <w:lang w:val="es-ES_tradnl"/>
        </w:rPr>
        <w:t>En cumplimiento de los reglamentos de aplicación realizados de acuerdo a los indicador</w:t>
      </w:r>
      <w:bookmarkStart w:id="310" w:name="_Toc254413093"/>
      <w:bookmarkStart w:id="311" w:name="_Toc409040093"/>
      <w:r w:rsidRPr="00F050E3">
        <w:rPr>
          <w:rFonts w:ascii="Times New Roman" w:hAnsi="Times New Roman"/>
          <w:lang w:val="es-ES_tradnl"/>
        </w:rPr>
        <w:t>es propuestos de los distintos sub-indicadores y subsistemas de gestión y evaluación, así como velar por el cumplimiento de los procedimientos establecidos en los Reglamentos de reclutamiento y selección de personal no. 251-15; de relaciones laborales no. 523-09; de evaluación del desempeño no. 525-09; estructura organizativa, cargos y política salarial no. 527-09.</w:t>
      </w:r>
    </w:p>
    <w:p w14:paraId="472D11DD" w14:textId="77777777" w:rsidR="00646828" w:rsidRPr="00F050E3" w:rsidRDefault="00646828" w:rsidP="00646828">
      <w:pPr>
        <w:spacing w:after="0" w:line="480" w:lineRule="auto"/>
        <w:ind w:firstLine="720"/>
        <w:jc w:val="both"/>
        <w:rPr>
          <w:rFonts w:ascii="Times New Roman" w:hAnsi="Times New Roman"/>
          <w:lang w:val="es-ES_tradnl"/>
        </w:rPr>
      </w:pPr>
    </w:p>
    <w:p w14:paraId="27133430" w14:textId="77777777" w:rsidR="00646828" w:rsidRPr="00F050E3" w:rsidRDefault="00646828" w:rsidP="00646828">
      <w:pPr>
        <w:spacing w:after="0" w:line="480" w:lineRule="auto"/>
        <w:ind w:firstLine="720"/>
        <w:jc w:val="both"/>
        <w:rPr>
          <w:rFonts w:ascii="Times New Roman" w:hAnsi="Times New Roman"/>
          <w:lang w:val="es-ES_tradnl"/>
        </w:rPr>
      </w:pPr>
      <w:r w:rsidRPr="00F050E3">
        <w:rPr>
          <w:rFonts w:ascii="Times New Roman" w:hAnsi="Times New Roman"/>
          <w:lang w:val="es-ES_tradnl"/>
        </w:rPr>
        <w:t>En función de la clasificación barométrica del indicador general de cumplimiento e implementación del SISMAP, se presentan los resultados de los sub-indicadores de desempeño, según componentes:</w:t>
      </w:r>
    </w:p>
    <w:p w14:paraId="26C5D44E" w14:textId="77777777" w:rsidR="00646828" w:rsidRPr="00F050E3" w:rsidRDefault="00646828" w:rsidP="00646828">
      <w:pPr>
        <w:spacing w:after="0" w:line="480" w:lineRule="auto"/>
        <w:ind w:firstLine="720"/>
        <w:jc w:val="both"/>
        <w:rPr>
          <w:rFonts w:ascii="Times New Roman" w:hAnsi="Times New Roman"/>
          <w:lang w:val="es-ES_tradnl"/>
        </w:rPr>
      </w:pPr>
    </w:p>
    <w:p w14:paraId="0E6E7707" w14:textId="73E8F52C" w:rsidR="00646828" w:rsidRPr="00F050E3" w:rsidRDefault="00646828" w:rsidP="00CA5792">
      <w:pPr>
        <w:pStyle w:val="Ttulo4"/>
      </w:pPr>
      <w:bookmarkStart w:id="312" w:name="_Toc440036748"/>
      <w:bookmarkStart w:id="313" w:name="_Toc470523405"/>
      <w:bookmarkStart w:id="314" w:name="_Toc26292123"/>
      <w:bookmarkStart w:id="315" w:name="_Toc27146814"/>
      <w:r w:rsidRPr="00F050E3">
        <w:t>Planificación de RR.HH</w:t>
      </w:r>
      <w:bookmarkEnd w:id="309"/>
      <w:bookmarkEnd w:id="310"/>
      <w:bookmarkEnd w:id="311"/>
      <w:r w:rsidRPr="00F050E3">
        <w:t>.</w:t>
      </w:r>
      <w:bookmarkEnd w:id="312"/>
      <w:bookmarkEnd w:id="313"/>
      <w:bookmarkEnd w:id="314"/>
      <w:bookmarkEnd w:id="315"/>
    </w:p>
    <w:p w14:paraId="04234881" w14:textId="77777777" w:rsidR="002F0F07" w:rsidRDefault="002F0F07" w:rsidP="00646828">
      <w:pPr>
        <w:spacing w:after="0" w:line="480" w:lineRule="auto"/>
        <w:ind w:firstLine="720"/>
        <w:jc w:val="both"/>
        <w:rPr>
          <w:rFonts w:ascii="Times New Roman" w:hAnsi="Times New Roman"/>
        </w:rPr>
      </w:pPr>
    </w:p>
    <w:p w14:paraId="3ED8EDFB" w14:textId="77777777" w:rsidR="00646828" w:rsidRPr="00F050E3" w:rsidRDefault="00646828" w:rsidP="00646828">
      <w:pPr>
        <w:spacing w:after="0" w:line="480" w:lineRule="auto"/>
        <w:ind w:firstLine="720"/>
        <w:jc w:val="both"/>
        <w:rPr>
          <w:rFonts w:ascii="Times New Roman" w:hAnsi="Times New Roman"/>
          <w:lang w:val="es-ES_tradnl"/>
        </w:rPr>
      </w:pPr>
      <w:r w:rsidRPr="00F050E3">
        <w:rPr>
          <w:rFonts w:ascii="Times New Roman" w:hAnsi="Times New Roman"/>
        </w:rPr>
        <w:t>C</w:t>
      </w:r>
      <w:r w:rsidRPr="00F050E3">
        <w:rPr>
          <w:rFonts w:ascii="Times New Roman" w:hAnsi="Times New Roman"/>
          <w:lang w:val="es-ES_tradnl"/>
        </w:rPr>
        <w:t xml:space="preserve">on el propósito de contar con las herramientas técnicas para realizar el proceso de dotación del capital humano, comportamiento y evolución en el corto, </w:t>
      </w:r>
      <w:r w:rsidRPr="00F050E3">
        <w:rPr>
          <w:rFonts w:ascii="Times New Roman" w:hAnsi="Times New Roman"/>
          <w:lang w:val="es-ES_tradnl"/>
        </w:rPr>
        <w:lastRenderedPageBreak/>
        <w:t>mediano y largo plazo de manera que se pueda medir el barómetro y la planificación metodológica de la Institución, lo que permitirá detectar de manera objetiva de la situación actual, identificación de las necesidades por unidades ejecutoras según la estructura orgánica.</w:t>
      </w:r>
    </w:p>
    <w:p w14:paraId="232E96FE" w14:textId="77777777" w:rsidR="00646828" w:rsidRPr="00F050E3" w:rsidRDefault="00646828" w:rsidP="00646828">
      <w:pPr>
        <w:spacing w:after="0" w:line="480" w:lineRule="auto"/>
        <w:ind w:firstLine="720"/>
        <w:jc w:val="both"/>
        <w:rPr>
          <w:rFonts w:ascii="Times New Roman" w:hAnsi="Times New Roman"/>
          <w:lang w:val="es-ES_tradnl"/>
        </w:rPr>
      </w:pPr>
    </w:p>
    <w:p w14:paraId="4D635BD3" w14:textId="77777777" w:rsidR="00646828" w:rsidRPr="00F050E3" w:rsidRDefault="00646828" w:rsidP="00646828">
      <w:pPr>
        <w:spacing w:after="0" w:line="480" w:lineRule="auto"/>
        <w:ind w:firstLine="720"/>
        <w:jc w:val="both"/>
        <w:rPr>
          <w:rFonts w:ascii="Times New Roman" w:hAnsi="Times New Roman"/>
          <w:lang w:val="es-ES_tradnl"/>
        </w:rPr>
      </w:pPr>
      <w:r w:rsidRPr="00F050E3">
        <w:rPr>
          <w:rFonts w:ascii="Times New Roman" w:hAnsi="Times New Roman"/>
          <w:lang w:val="es-ES_tradnl"/>
        </w:rPr>
        <w:t>En términos generales se destaca un total de 396 plazas proyectadas e ingreso de 313, equivalente a 79% de ejecución.</w:t>
      </w:r>
    </w:p>
    <w:p w14:paraId="77C6876A" w14:textId="77777777" w:rsidR="00646828" w:rsidRPr="00F050E3" w:rsidRDefault="00646828" w:rsidP="00646828">
      <w:pPr>
        <w:spacing w:after="0" w:line="480" w:lineRule="auto"/>
        <w:ind w:firstLine="720"/>
        <w:jc w:val="both"/>
        <w:rPr>
          <w:rFonts w:ascii="Times New Roman" w:hAnsi="Times New Roman"/>
          <w:lang w:val="es-ES_tradnl"/>
        </w:rPr>
      </w:pPr>
    </w:p>
    <w:p w14:paraId="1645DE94" w14:textId="736272B1" w:rsidR="00646828" w:rsidRPr="00F050E3" w:rsidRDefault="00646828" w:rsidP="00646828">
      <w:pPr>
        <w:spacing w:after="0" w:line="480" w:lineRule="auto"/>
        <w:ind w:firstLine="720"/>
        <w:jc w:val="both"/>
        <w:rPr>
          <w:rFonts w:ascii="Times New Roman" w:hAnsi="Times New Roman"/>
          <w:lang w:val="es-ES_tradnl"/>
        </w:rPr>
      </w:pPr>
      <w:r w:rsidRPr="00F050E3">
        <w:rPr>
          <w:rFonts w:ascii="Times New Roman" w:hAnsi="Times New Roman"/>
          <w:lang w:val="es-ES_tradnl"/>
        </w:rPr>
        <w:t xml:space="preserve">Actualmente, se destacan los siguientes ítems logrados, en función de la planificación estratégica institucional; diagnostico o situación actual de recursos humanos, creación de cargos y vacantes y el plan anual de capacitación, a continuación, se presentan el resumen de la planificación según formulario DATR/PRH-004 en coordinación con el Ministerio de la Administración </w:t>
      </w:r>
      <w:r w:rsidR="00BD4360" w:rsidRPr="00F050E3">
        <w:rPr>
          <w:rFonts w:ascii="Times New Roman" w:hAnsi="Times New Roman"/>
          <w:lang w:val="es-ES_tradnl"/>
        </w:rPr>
        <w:t>Pública</w:t>
      </w:r>
      <w:r w:rsidRPr="00F050E3">
        <w:rPr>
          <w:rFonts w:ascii="Times New Roman" w:hAnsi="Times New Roman"/>
          <w:lang w:val="es-ES_tradnl"/>
        </w:rPr>
        <w:t>, MAP.</w:t>
      </w:r>
    </w:p>
    <w:p w14:paraId="11788AFE" w14:textId="77777777" w:rsidR="00646828" w:rsidRPr="00F050E3" w:rsidRDefault="00646828" w:rsidP="00646828">
      <w:pPr>
        <w:spacing w:after="0"/>
        <w:rPr>
          <w:rFonts w:ascii="Times New Roman" w:hAnsi="Times New Roman"/>
          <w:lang w:val="es-ES_tradnl"/>
        </w:rPr>
      </w:pPr>
    </w:p>
    <w:p w14:paraId="5878E0BA" w14:textId="77777777" w:rsidR="00646828" w:rsidRPr="00F050E3" w:rsidRDefault="00646828" w:rsidP="001C6B1A">
      <w:pPr>
        <w:pStyle w:val="Prrafodelista"/>
        <w:numPr>
          <w:ilvl w:val="0"/>
          <w:numId w:val="9"/>
        </w:numPr>
        <w:spacing w:after="0" w:line="240" w:lineRule="auto"/>
        <w:ind w:left="567" w:hanging="567"/>
        <w:rPr>
          <w:rFonts w:ascii="Times New Roman" w:hAnsi="Times New Roman"/>
          <w:b/>
          <w:sz w:val="24"/>
          <w:szCs w:val="28"/>
        </w:rPr>
      </w:pPr>
      <w:r w:rsidRPr="00F050E3">
        <w:rPr>
          <w:rFonts w:ascii="Times New Roman" w:hAnsi="Times New Roman"/>
          <w:b/>
          <w:sz w:val="24"/>
          <w:szCs w:val="28"/>
        </w:rPr>
        <w:t>Resumen planificación Recursos Humanos</w:t>
      </w:r>
    </w:p>
    <w:p w14:paraId="30523117" w14:textId="77777777" w:rsidR="00646828" w:rsidRPr="00F050E3" w:rsidRDefault="00646828" w:rsidP="00646828">
      <w:pPr>
        <w:pStyle w:val="Prrafodelista"/>
        <w:spacing w:after="0" w:line="240" w:lineRule="auto"/>
        <w:ind w:left="567"/>
        <w:rPr>
          <w:rFonts w:ascii="Times New Roman" w:hAnsi="Times New Roman"/>
          <w:b/>
          <w:sz w:val="24"/>
          <w:szCs w:val="28"/>
        </w:rPr>
      </w:pPr>
    </w:p>
    <w:tbl>
      <w:tblPr>
        <w:tblW w:w="8200" w:type="dxa"/>
        <w:tblLook w:val="04A0" w:firstRow="1" w:lastRow="0" w:firstColumn="1" w:lastColumn="0" w:noHBand="0" w:noVBand="1"/>
      </w:tblPr>
      <w:tblGrid>
        <w:gridCol w:w="4540"/>
        <w:gridCol w:w="1740"/>
        <w:gridCol w:w="1920"/>
      </w:tblGrid>
      <w:tr w:rsidR="00646828" w:rsidRPr="00F050E3" w14:paraId="309F2DA6" w14:textId="77777777" w:rsidTr="003A6CAF">
        <w:trPr>
          <w:trHeight w:val="315"/>
        </w:trPr>
        <w:tc>
          <w:tcPr>
            <w:tcW w:w="4540"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5C31F9F3" w14:textId="77777777" w:rsidR="00646828" w:rsidRPr="00F050E3" w:rsidRDefault="00646828" w:rsidP="008354C5">
            <w:pPr>
              <w:spacing w:after="0"/>
              <w:jc w:val="center"/>
              <w:rPr>
                <w:rFonts w:ascii="Times New Roman" w:hAnsi="Times New Roman"/>
                <w:b/>
                <w:bCs/>
                <w:color w:val="FFFFFF" w:themeColor="background1"/>
                <w:lang w:val="en-US" w:eastAsia="en-US"/>
              </w:rPr>
            </w:pPr>
            <w:r w:rsidRPr="00F050E3">
              <w:rPr>
                <w:rFonts w:ascii="Times New Roman" w:hAnsi="Times New Roman"/>
                <w:b/>
                <w:bCs/>
                <w:color w:val="FFFFFF" w:themeColor="background1"/>
                <w:lang w:val="en-US" w:eastAsia="en-US"/>
              </w:rPr>
              <w:t>Nombre de cuenta</w:t>
            </w:r>
          </w:p>
        </w:tc>
        <w:tc>
          <w:tcPr>
            <w:tcW w:w="1740" w:type="dxa"/>
            <w:tcBorders>
              <w:top w:val="single" w:sz="4" w:space="0" w:color="auto"/>
              <w:left w:val="nil"/>
              <w:bottom w:val="single" w:sz="4" w:space="0" w:color="auto"/>
              <w:right w:val="single" w:sz="4" w:space="0" w:color="auto"/>
            </w:tcBorders>
            <w:shd w:val="clear" w:color="auto" w:fill="00B050"/>
            <w:vAlign w:val="center"/>
            <w:hideMark/>
          </w:tcPr>
          <w:p w14:paraId="044EBAC5" w14:textId="77777777" w:rsidR="00646828" w:rsidRPr="00F050E3" w:rsidRDefault="00646828" w:rsidP="008354C5">
            <w:pPr>
              <w:spacing w:after="0"/>
              <w:jc w:val="center"/>
              <w:rPr>
                <w:rFonts w:ascii="Times New Roman" w:hAnsi="Times New Roman"/>
                <w:b/>
                <w:bCs/>
                <w:color w:val="FFFFFF" w:themeColor="background1"/>
                <w:lang w:val="en-US" w:eastAsia="en-US"/>
              </w:rPr>
            </w:pPr>
            <w:r w:rsidRPr="00F050E3">
              <w:rPr>
                <w:rFonts w:ascii="Times New Roman" w:hAnsi="Times New Roman"/>
                <w:b/>
                <w:bCs/>
                <w:color w:val="FFFFFF" w:themeColor="background1"/>
                <w:lang w:val="en-US" w:eastAsia="en-US"/>
              </w:rPr>
              <w:t>Monto Mensual RD$</w:t>
            </w:r>
          </w:p>
        </w:tc>
        <w:tc>
          <w:tcPr>
            <w:tcW w:w="1920" w:type="dxa"/>
            <w:tcBorders>
              <w:top w:val="single" w:sz="4" w:space="0" w:color="auto"/>
              <w:left w:val="nil"/>
              <w:bottom w:val="single" w:sz="4" w:space="0" w:color="auto"/>
              <w:right w:val="single" w:sz="4" w:space="0" w:color="auto"/>
            </w:tcBorders>
            <w:shd w:val="clear" w:color="auto" w:fill="00B050"/>
            <w:vAlign w:val="center"/>
            <w:hideMark/>
          </w:tcPr>
          <w:p w14:paraId="5B5FC2B9" w14:textId="77777777" w:rsidR="00646828" w:rsidRPr="00F050E3" w:rsidRDefault="00646828" w:rsidP="008354C5">
            <w:pPr>
              <w:spacing w:after="0"/>
              <w:jc w:val="center"/>
              <w:rPr>
                <w:rFonts w:ascii="Times New Roman" w:hAnsi="Times New Roman"/>
                <w:b/>
                <w:bCs/>
                <w:color w:val="FFFFFF" w:themeColor="background1"/>
                <w:lang w:val="en-US" w:eastAsia="en-US"/>
              </w:rPr>
            </w:pPr>
            <w:r w:rsidRPr="00F050E3">
              <w:rPr>
                <w:rFonts w:ascii="Times New Roman" w:hAnsi="Times New Roman"/>
                <w:b/>
                <w:bCs/>
                <w:color w:val="FFFFFF" w:themeColor="background1"/>
                <w:lang w:val="en-US" w:eastAsia="en-US"/>
              </w:rPr>
              <w:t xml:space="preserve">Monto </w:t>
            </w:r>
          </w:p>
          <w:p w14:paraId="03BE2507" w14:textId="77777777" w:rsidR="00646828" w:rsidRPr="00F050E3" w:rsidRDefault="00646828" w:rsidP="008354C5">
            <w:pPr>
              <w:spacing w:after="0"/>
              <w:jc w:val="center"/>
              <w:rPr>
                <w:rFonts w:ascii="Times New Roman" w:hAnsi="Times New Roman"/>
                <w:b/>
                <w:bCs/>
                <w:color w:val="FFFFFF" w:themeColor="background1"/>
                <w:lang w:val="en-US" w:eastAsia="en-US"/>
              </w:rPr>
            </w:pPr>
            <w:r w:rsidRPr="00F050E3">
              <w:rPr>
                <w:rFonts w:ascii="Times New Roman" w:hAnsi="Times New Roman"/>
                <w:b/>
                <w:bCs/>
                <w:color w:val="FFFFFF" w:themeColor="background1"/>
                <w:lang w:val="en-US" w:eastAsia="en-US"/>
              </w:rPr>
              <w:t>Annual RD$</w:t>
            </w:r>
          </w:p>
        </w:tc>
      </w:tr>
      <w:tr w:rsidR="00646828" w:rsidRPr="00F050E3" w14:paraId="4FDE7B2D" w14:textId="77777777" w:rsidTr="003A6CAF">
        <w:trPr>
          <w:trHeight w:val="315"/>
        </w:trPr>
        <w:tc>
          <w:tcPr>
            <w:tcW w:w="4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7044E" w14:textId="77777777" w:rsidR="00646828" w:rsidRPr="00F050E3" w:rsidRDefault="00646828" w:rsidP="008354C5">
            <w:pPr>
              <w:spacing w:after="0"/>
              <w:rPr>
                <w:rFonts w:ascii="Times New Roman" w:hAnsi="Times New Roman"/>
                <w:color w:val="000000"/>
                <w:lang w:val="en-US" w:eastAsia="en-US"/>
              </w:rPr>
            </w:pPr>
            <w:r w:rsidRPr="00F050E3">
              <w:rPr>
                <w:rFonts w:ascii="Times New Roman" w:hAnsi="Times New Roman"/>
                <w:color w:val="000000"/>
                <w:lang w:val="en-US" w:eastAsia="en-US"/>
              </w:rPr>
              <w:t>Sueldos fijos</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14:paraId="535D1DB8" w14:textId="77777777" w:rsidR="00646828" w:rsidRPr="00F050E3" w:rsidRDefault="00646828" w:rsidP="008354C5">
            <w:pPr>
              <w:spacing w:after="0"/>
              <w:jc w:val="right"/>
              <w:rPr>
                <w:rFonts w:ascii="Times New Roman" w:hAnsi="Times New Roman"/>
                <w:color w:val="000000"/>
                <w:lang w:val="en-US" w:eastAsia="en-US"/>
              </w:rPr>
            </w:pPr>
            <w:r w:rsidRPr="00F050E3">
              <w:rPr>
                <w:rFonts w:ascii="Times New Roman" w:hAnsi="Times New Roman"/>
                <w:color w:val="000000"/>
                <w:lang w:val="en-US" w:eastAsia="en-US"/>
              </w:rPr>
              <w:t>156,023,119.39</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3649FF93" w14:textId="77777777" w:rsidR="00646828" w:rsidRPr="00F050E3" w:rsidRDefault="00646828" w:rsidP="008354C5">
            <w:pPr>
              <w:spacing w:after="0"/>
              <w:jc w:val="right"/>
              <w:rPr>
                <w:rFonts w:ascii="Times New Roman" w:hAnsi="Times New Roman"/>
                <w:color w:val="000000"/>
                <w:lang w:val="en-US" w:eastAsia="en-US"/>
              </w:rPr>
            </w:pPr>
            <w:r w:rsidRPr="00F050E3">
              <w:rPr>
                <w:rFonts w:ascii="Times New Roman" w:hAnsi="Times New Roman"/>
                <w:color w:val="000000"/>
                <w:lang w:val="en-US" w:eastAsia="en-US"/>
              </w:rPr>
              <w:t>1,872,277,432.68</w:t>
            </w:r>
          </w:p>
        </w:tc>
      </w:tr>
      <w:tr w:rsidR="00646828" w:rsidRPr="00F050E3" w14:paraId="30ED6BAB" w14:textId="77777777" w:rsidTr="008354C5">
        <w:trPr>
          <w:trHeight w:val="315"/>
        </w:trPr>
        <w:tc>
          <w:tcPr>
            <w:tcW w:w="4540" w:type="dxa"/>
            <w:tcBorders>
              <w:top w:val="nil"/>
              <w:left w:val="single" w:sz="4" w:space="0" w:color="auto"/>
              <w:bottom w:val="single" w:sz="4" w:space="0" w:color="auto"/>
              <w:right w:val="single" w:sz="4" w:space="0" w:color="auto"/>
            </w:tcBorders>
            <w:shd w:val="clear" w:color="auto" w:fill="auto"/>
            <w:vAlign w:val="center"/>
            <w:hideMark/>
          </w:tcPr>
          <w:p w14:paraId="25283FD8" w14:textId="77777777" w:rsidR="00646828" w:rsidRPr="00F050E3" w:rsidRDefault="00646828" w:rsidP="008354C5">
            <w:pPr>
              <w:spacing w:after="0"/>
              <w:rPr>
                <w:rFonts w:ascii="Times New Roman" w:hAnsi="Times New Roman"/>
                <w:color w:val="000000"/>
                <w:lang w:val="en-US" w:eastAsia="en-US"/>
              </w:rPr>
            </w:pPr>
            <w:r w:rsidRPr="00F050E3">
              <w:rPr>
                <w:rFonts w:ascii="Times New Roman" w:hAnsi="Times New Roman"/>
                <w:color w:val="000000"/>
                <w:lang w:val="en-US" w:eastAsia="en-US"/>
              </w:rPr>
              <w:t>Sueldo personal contratado</w:t>
            </w:r>
          </w:p>
        </w:tc>
        <w:tc>
          <w:tcPr>
            <w:tcW w:w="1740" w:type="dxa"/>
            <w:tcBorders>
              <w:top w:val="nil"/>
              <w:left w:val="nil"/>
              <w:bottom w:val="single" w:sz="4" w:space="0" w:color="auto"/>
              <w:right w:val="single" w:sz="4" w:space="0" w:color="auto"/>
            </w:tcBorders>
            <w:shd w:val="clear" w:color="auto" w:fill="auto"/>
            <w:vAlign w:val="center"/>
            <w:hideMark/>
          </w:tcPr>
          <w:p w14:paraId="14261AC9" w14:textId="77777777" w:rsidR="00646828" w:rsidRPr="00F050E3" w:rsidRDefault="00646828" w:rsidP="008354C5">
            <w:pPr>
              <w:spacing w:after="0"/>
              <w:jc w:val="right"/>
              <w:rPr>
                <w:rFonts w:ascii="Times New Roman" w:hAnsi="Times New Roman"/>
                <w:color w:val="000000"/>
                <w:lang w:val="en-US" w:eastAsia="en-US"/>
              </w:rPr>
            </w:pPr>
            <w:r w:rsidRPr="00F050E3">
              <w:rPr>
                <w:rFonts w:ascii="Times New Roman" w:hAnsi="Times New Roman"/>
                <w:color w:val="000000"/>
                <w:lang w:val="en-US" w:eastAsia="en-US"/>
              </w:rPr>
              <w:t>574,000.00</w:t>
            </w:r>
          </w:p>
        </w:tc>
        <w:tc>
          <w:tcPr>
            <w:tcW w:w="1920" w:type="dxa"/>
            <w:tcBorders>
              <w:top w:val="nil"/>
              <w:left w:val="nil"/>
              <w:bottom w:val="single" w:sz="4" w:space="0" w:color="auto"/>
              <w:right w:val="single" w:sz="4" w:space="0" w:color="auto"/>
            </w:tcBorders>
            <w:shd w:val="clear" w:color="auto" w:fill="auto"/>
            <w:vAlign w:val="center"/>
            <w:hideMark/>
          </w:tcPr>
          <w:p w14:paraId="14DE5848" w14:textId="77777777" w:rsidR="00646828" w:rsidRPr="00F050E3" w:rsidRDefault="00646828" w:rsidP="008354C5">
            <w:pPr>
              <w:spacing w:after="0"/>
              <w:jc w:val="right"/>
              <w:rPr>
                <w:rFonts w:ascii="Times New Roman" w:hAnsi="Times New Roman"/>
                <w:color w:val="000000"/>
                <w:lang w:val="en-US" w:eastAsia="en-US"/>
              </w:rPr>
            </w:pPr>
            <w:r w:rsidRPr="00F050E3">
              <w:rPr>
                <w:rFonts w:ascii="Times New Roman" w:hAnsi="Times New Roman"/>
                <w:color w:val="000000"/>
                <w:lang w:val="en-US" w:eastAsia="en-US"/>
              </w:rPr>
              <w:t>6,888,000.00</w:t>
            </w:r>
          </w:p>
        </w:tc>
      </w:tr>
      <w:tr w:rsidR="00646828" w:rsidRPr="00F050E3" w14:paraId="6035A1E1" w14:textId="77777777" w:rsidTr="008354C5">
        <w:trPr>
          <w:trHeight w:val="315"/>
        </w:trPr>
        <w:tc>
          <w:tcPr>
            <w:tcW w:w="4540" w:type="dxa"/>
            <w:tcBorders>
              <w:top w:val="nil"/>
              <w:left w:val="single" w:sz="4" w:space="0" w:color="auto"/>
              <w:bottom w:val="single" w:sz="4" w:space="0" w:color="auto"/>
              <w:right w:val="single" w:sz="4" w:space="0" w:color="auto"/>
            </w:tcBorders>
            <w:shd w:val="clear" w:color="auto" w:fill="auto"/>
            <w:vAlign w:val="center"/>
            <w:hideMark/>
          </w:tcPr>
          <w:p w14:paraId="1F484ABA" w14:textId="77777777" w:rsidR="00646828" w:rsidRPr="00F050E3" w:rsidRDefault="00646828" w:rsidP="008354C5">
            <w:pPr>
              <w:spacing w:after="0"/>
              <w:rPr>
                <w:rFonts w:ascii="Times New Roman" w:hAnsi="Times New Roman"/>
                <w:color w:val="000000"/>
                <w:lang w:val="en-US" w:eastAsia="en-US"/>
              </w:rPr>
            </w:pPr>
            <w:r w:rsidRPr="00F050E3">
              <w:rPr>
                <w:rFonts w:ascii="Times New Roman" w:hAnsi="Times New Roman"/>
                <w:color w:val="000000"/>
                <w:lang w:val="en-US" w:eastAsia="en-US"/>
              </w:rPr>
              <w:t>Sueldo personal periodo probatorio</w:t>
            </w:r>
          </w:p>
        </w:tc>
        <w:tc>
          <w:tcPr>
            <w:tcW w:w="1740" w:type="dxa"/>
            <w:tcBorders>
              <w:top w:val="nil"/>
              <w:left w:val="nil"/>
              <w:bottom w:val="single" w:sz="4" w:space="0" w:color="auto"/>
              <w:right w:val="single" w:sz="4" w:space="0" w:color="auto"/>
            </w:tcBorders>
            <w:shd w:val="clear" w:color="auto" w:fill="auto"/>
            <w:vAlign w:val="center"/>
            <w:hideMark/>
          </w:tcPr>
          <w:p w14:paraId="33677F9D" w14:textId="77777777" w:rsidR="00646828" w:rsidRPr="00F050E3" w:rsidRDefault="00646828" w:rsidP="008354C5">
            <w:pPr>
              <w:spacing w:after="0"/>
              <w:jc w:val="right"/>
              <w:rPr>
                <w:rFonts w:ascii="Times New Roman" w:hAnsi="Times New Roman"/>
                <w:color w:val="000000"/>
                <w:lang w:val="en-US" w:eastAsia="en-US"/>
              </w:rPr>
            </w:pPr>
            <w:r w:rsidRPr="00F050E3">
              <w:rPr>
                <w:rFonts w:ascii="Times New Roman" w:hAnsi="Times New Roman"/>
                <w:color w:val="000000"/>
                <w:lang w:val="en-US" w:eastAsia="en-US"/>
              </w:rPr>
              <w:t>-</w:t>
            </w:r>
          </w:p>
        </w:tc>
        <w:tc>
          <w:tcPr>
            <w:tcW w:w="1920" w:type="dxa"/>
            <w:tcBorders>
              <w:top w:val="nil"/>
              <w:left w:val="nil"/>
              <w:bottom w:val="single" w:sz="4" w:space="0" w:color="auto"/>
              <w:right w:val="single" w:sz="4" w:space="0" w:color="auto"/>
            </w:tcBorders>
            <w:shd w:val="clear" w:color="auto" w:fill="auto"/>
            <w:vAlign w:val="center"/>
            <w:hideMark/>
          </w:tcPr>
          <w:p w14:paraId="24976CCC" w14:textId="77777777" w:rsidR="00646828" w:rsidRPr="00F050E3" w:rsidRDefault="00646828" w:rsidP="008354C5">
            <w:pPr>
              <w:spacing w:after="0"/>
              <w:jc w:val="right"/>
              <w:rPr>
                <w:rFonts w:ascii="Times New Roman" w:hAnsi="Times New Roman"/>
                <w:color w:val="000000"/>
                <w:lang w:val="en-US" w:eastAsia="en-US"/>
              </w:rPr>
            </w:pPr>
            <w:r w:rsidRPr="00F050E3">
              <w:rPr>
                <w:rFonts w:ascii="Times New Roman" w:hAnsi="Times New Roman"/>
                <w:color w:val="000000"/>
                <w:lang w:val="en-US" w:eastAsia="en-US"/>
              </w:rPr>
              <w:t>-</w:t>
            </w:r>
          </w:p>
        </w:tc>
      </w:tr>
      <w:tr w:rsidR="00646828" w:rsidRPr="00F050E3" w14:paraId="69B10C32" w14:textId="77777777" w:rsidTr="008354C5">
        <w:trPr>
          <w:trHeight w:val="315"/>
        </w:trPr>
        <w:tc>
          <w:tcPr>
            <w:tcW w:w="4540" w:type="dxa"/>
            <w:tcBorders>
              <w:top w:val="nil"/>
              <w:left w:val="single" w:sz="4" w:space="0" w:color="auto"/>
              <w:bottom w:val="single" w:sz="4" w:space="0" w:color="auto"/>
              <w:right w:val="single" w:sz="4" w:space="0" w:color="auto"/>
            </w:tcBorders>
            <w:shd w:val="clear" w:color="auto" w:fill="auto"/>
            <w:vAlign w:val="center"/>
            <w:hideMark/>
          </w:tcPr>
          <w:p w14:paraId="0490116E" w14:textId="77777777" w:rsidR="00646828" w:rsidRPr="00F050E3" w:rsidRDefault="00646828" w:rsidP="008354C5">
            <w:pPr>
              <w:spacing w:after="0"/>
              <w:rPr>
                <w:rFonts w:ascii="Times New Roman" w:hAnsi="Times New Roman"/>
                <w:color w:val="000000"/>
                <w:lang w:val="en-US" w:eastAsia="en-US"/>
              </w:rPr>
            </w:pPr>
            <w:r w:rsidRPr="00F050E3">
              <w:rPr>
                <w:rFonts w:ascii="Times New Roman" w:hAnsi="Times New Roman"/>
                <w:color w:val="000000"/>
                <w:lang w:val="en-US" w:eastAsia="en-US"/>
              </w:rPr>
              <w:t>Sueldo pernal de suplencias</w:t>
            </w:r>
          </w:p>
        </w:tc>
        <w:tc>
          <w:tcPr>
            <w:tcW w:w="1740" w:type="dxa"/>
            <w:tcBorders>
              <w:top w:val="nil"/>
              <w:left w:val="nil"/>
              <w:bottom w:val="single" w:sz="4" w:space="0" w:color="auto"/>
              <w:right w:val="single" w:sz="4" w:space="0" w:color="auto"/>
            </w:tcBorders>
            <w:shd w:val="clear" w:color="auto" w:fill="auto"/>
            <w:vAlign w:val="center"/>
            <w:hideMark/>
          </w:tcPr>
          <w:p w14:paraId="25F95086" w14:textId="77777777" w:rsidR="00646828" w:rsidRPr="00F050E3" w:rsidRDefault="00646828" w:rsidP="008354C5">
            <w:pPr>
              <w:spacing w:after="0"/>
              <w:jc w:val="right"/>
              <w:rPr>
                <w:rFonts w:ascii="Times New Roman" w:hAnsi="Times New Roman"/>
                <w:color w:val="000000"/>
                <w:lang w:val="en-US" w:eastAsia="en-US"/>
              </w:rPr>
            </w:pPr>
            <w:r w:rsidRPr="00F050E3">
              <w:rPr>
                <w:rFonts w:ascii="Times New Roman" w:hAnsi="Times New Roman"/>
                <w:color w:val="000000"/>
                <w:lang w:val="en-US" w:eastAsia="en-US"/>
              </w:rPr>
              <w:t>-</w:t>
            </w:r>
          </w:p>
        </w:tc>
        <w:tc>
          <w:tcPr>
            <w:tcW w:w="1920" w:type="dxa"/>
            <w:tcBorders>
              <w:top w:val="nil"/>
              <w:left w:val="nil"/>
              <w:bottom w:val="single" w:sz="4" w:space="0" w:color="auto"/>
              <w:right w:val="single" w:sz="4" w:space="0" w:color="auto"/>
            </w:tcBorders>
            <w:shd w:val="clear" w:color="auto" w:fill="auto"/>
            <w:vAlign w:val="center"/>
            <w:hideMark/>
          </w:tcPr>
          <w:p w14:paraId="6892FAEC" w14:textId="77777777" w:rsidR="00646828" w:rsidRPr="00F050E3" w:rsidRDefault="00646828" w:rsidP="008354C5">
            <w:pPr>
              <w:spacing w:after="0"/>
              <w:jc w:val="right"/>
              <w:rPr>
                <w:rFonts w:ascii="Times New Roman" w:hAnsi="Times New Roman"/>
                <w:color w:val="000000"/>
                <w:lang w:val="en-US" w:eastAsia="en-US"/>
              </w:rPr>
            </w:pPr>
            <w:r w:rsidRPr="00F050E3">
              <w:rPr>
                <w:rFonts w:ascii="Times New Roman" w:hAnsi="Times New Roman"/>
                <w:color w:val="000000"/>
                <w:lang w:val="en-US" w:eastAsia="en-US"/>
              </w:rPr>
              <w:t>-</w:t>
            </w:r>
          </w:p>
        </w:tc>
      </w:tr>
      <w:tr w:rsidR="00646828" w:rsidRPr="00F050E3" w14:paraId="5094B6A0" w14:textId="77777777" w:rsidTr="008354C5">
        <w:trPr>
          <w:trHeight w:val="315"/>
        </w:trPr>
        <w:tc>
          <w:tcPr>
            <w:tcW w:w="4540" w:type="dxa"/>
            <w:tcBorders>
              <w:top w:val="nil"/>
              <w:left w:val="single" w:sz="4" w:space="0" w:color="auto"/>
              <w:bottom w:val="single" w:sz="4" w:space="0" w:color="auto"/>
              <w:right w:val="single" w:sz="4" w:space="0" w:color="auto"/>
            </w:tcBorders>
            <w:shd w:val="clear" w:color="auto" w:fill="auto"/>
            <w:vAlign w:val="center"/>
            <w:hideMark/>
          </w:tcPr>
          <w:p w14:paraId="482DB98C" w14:textId="77777777" w:rsidR="00646828" w:rsidRPr="00F050E3" w:rsidRDefault="00646828" w:rsidP="008354C5">
            <w:pPr>
              <w:spacing w:after="0"/>
              <w:rPr>
                <w:rFonts w:ascii="Times New Roman" w:hAnsi="Times New Roman"/>
                <w:color w:val="000000"/>
                <w:lang w:eastAsia="en-US"/>
              </w:rPr>
            </w:pPr>
            <w:r w:rsidRPr="00F050E3">
              <w:rPr>
                <w:rFonts w:ascii="Times New Roman" w:hAnsi="Times New Roman"/>
                <w:color w:val="000000"/>
                <w:lang w:eastAsia="en-US"/>
              </w:rPr>
              <w:t>Compensación por servicios de seguridad</w:t>
            </w:r>
          </w:p>
        </w:tc>
        <w:tc>
          <w:tcPr>
            <w:tcW w:w="1740" w:type="dxa"/>
            <w:tcBorders>
              <w:top w:val="nil"/>
              <w:left w:val="nil"/>
              <w:bottom w:val="single" w:sz="4" w:space="0" w:color="auto"/>
              <w:right w:val="single" w:sz="4" w:space="0" w:color="auto"/>
            </w:tcBorders>
            <w:shd w:val="clear" w:color="auto" w:fill="auto"/>
            <w:vAlign w:val="center"/>
            <w:hideMark/>
          </w:tcPr>
          <w:p w14:paraId="1D341278" w14:textId="77777777" w:rsidR="00646828" w:rsidRPr="00F050E3" w:rsidRDefault="00646828" w:rsidP="008354C5">
            <w:pPr>
              <w:spacing w:after="0"/>
              <w:jc w:val="right"/>
              <w:rPr>
                <w:rFonts w:ascii="Times New Roman" w:hAnsi="Times New Roman"/>
                <w:color w:val="000000"/>
                <w:lang w:val="en-US" w:eastAsia="en-US"/>
              </w:rPr>
            </w:pPr>
            <w:r w:rsidRPr="00F050E3">
              <w:rPr>
                <w:rFonts w:ascii="Times New Roman" w:hAnsi="Times New Roman"/>
                <w:color w:val="000000"/>
                <w:lang w:val="en-US" w:eastAsia="en-US"/>
              </w:rPr>
              <w:t>976,858.83</w:t>
            </w:r>
          </w:p>
        </w:tc>
        <w:tc>
          <w:tcPr>
            <w:tcW w:w="1920" w:type="dxa"/>
            <w:tcBorders>
              <w:top w:val="nil"/>
              <w:left w:val="nil"/>
              <w:bottom w:val="single" w:sz="4" w:space="0" w:color="auto"/>
              <w:right w:val="single" w:sz="4" w:space="0" w:color="auto"/>
            </w:tcBorders>
            <w:shd w:val="clear" w:color="auto" w:fill="auto"/>
            <w:vAlign w:val="center"/>
            <w:hideMark/>
          </w:tcPr>
          <w:p w14:paraId="71B53A91" w14:textId="77777777" w:rsidR="00646828" w:rsidRPr="00F050E3" w:rsidRDefault="00646828" w:rsidP="008354C5">
            <w:pPr>
              <w:spacing w:after="0"/>
              <w:jc w:val="right"/>
              <w:rPr>
                <w:rFonts w:ascii="Times New Roman" w:hAnsi="Times New Roman"/>
                <w:color w:val="000000"/>
                <w:lang w:val="en-US" w:eastAsia="en-US"/>
              </w:rPr>
            </w:pPr>
            <w:r w:rsidRPr="00F050E3">
              <w:rPr>
                <w:rFonts w:ascii="Times New Roman" w:hAnsi="Times New Roman"/>
                <w:color w:val="000000"/>
                <w:lang w:val="en-US" w:eastAsia="en-US"/>
              </w:rPr>
              <w:t>11,722,305.96</w:t>
            </w:r>
          </w:p>
        </w:tc>
      </w:tr>
      <w:tr w:rsidR="00646828" w:rsidRPr="00F050E3" w14:paraId="42E29CF2" w14:textId="77777777" w:rsidTr="008354C5">
        <w:trPr>
          <w:trHeight w:val="315"/>
        </w:trPr>
        <w:tc>
          <w:tcPr>
            <w:tcW w:w="4540" w:type="dxa"/>
            <w:tcBorders>
              <w:top w:val="nil"/>
              <w:left w:val="single" w:sz="4" w:space="0" w:color="auto"/>
              <w:bottom w:val="single" w:sz="4" w:space="0" w:color="auto"/>
              <w:right w:val="single" w:sz="4" w:space="0" w:color="auto"/>
            </w:tcBorders>
            <w:shd w:val="clear" w:color="auto" w:fill="auto"/>
            <w:vAlign w:val="center"/>
            <w:hideMark/>
          </w:tcPr>
          <w:p w14:paraId="742EEBF8" w14:textId="77777777" w:rsidR="00646828" w:rsidRPr="00F050E3" w:rsidRDefault="00646828" w:rsidP="008354C5">
            <w:pPr>
              <w:spacing w:after="0"/>
              <w:rPr>
                <w:rFonts w:ascii="Times New Roman" w:hAnsi="Times New Roman"/>
                <w:color w:val="000000"/>
                <w:lang w:val="en-US" w:eastAsia="en-US"/>
              </w:rPr>
            </w:pPr>
            <w:r w:rsidRPr="00F050E3">
              <w:rPr>
                <w:rFonts w:ascii="Times New Roman" w:hAnsi="Times New Roman"/>
                <w:color w:val="000000"/>
                <w:lang w:val="en-US" w:eastAsia="en-US"/>
              </w:rPr>
              <w:t>Salario de navidad</w:t>
            </w:r>
          </w:p>
        </w:tc>
        <w:tc>
          <w:tcPr>
            <w:tcW w:w="1740" w:type="dxa"/>
            <w:tcBorders>
              <w:top w:val="nil"/>
              <w:left w:val="nil"/>
              <w:bottom w:val="single" w:sz="4" w:space="0" w:color="auto"/>
              <w:right w:val="single" w:sz="4" w:space="0" w:color="auto"/>
            </w:tcBorders>
            <w:shd w:val="clear" w:color="auto" w:fill="auto"/>
            <w:vAlign w:val="center"/>
            <w:hideMark/>
          </w:tcPr>
          <w:p w14:paraId="471F6CC0" w14:textId="77777777" w:rsidR="00646828" w:rsidRPr="00F050E3" w:rsidRDefault="00646828" w:rsidP="008354C5">
            <w:pPr>
              <w:spacing w:after="0"/>
              <w:jc w:val="right"/>
              <w:rPr>
                <w:rFonts w:ascii="Times New Roman" w:hAnsi="Times New Roman"/>
                <w:color w:val="000000"/>
                <w:lang w:val="en-US" w:eastAsia="en-US"/>
              </w:rPr>
            </w:pPr>
            <w:r w:rsidRPr="00F050E3">
              <w:rPr>
                <w:rFonts w:ascii="Times New Roman" w:hAnsi="Times New Roman"/>
                <w:color w:val="000000"/>
                <w:lang w:val="en-US" w:eastAsia="en-US"/>
              </w:rPr>
              <w:t>-</w:t>
            </w:r>
          </w:p>
        </w:tc>
        <w:tc>
          <w:tcPr>
            <w:tcW w:w="1920" w:type="dxa"/>
            <w:tcBorders>
              <w:top w:val="nil"/>
              <w:left w:val="nil"/>
              <w:bottom w:val="single" w:sz="4" w:space="0" w:color="auto"/>
              <w:right w:val="single" w:sz="4" w:space="0" w:color="auto"/>
            </w:tcBorders>
            <w:shd w:val="clear" w:color="auto" w:fill="auto"/>
            <w:vAlign w:val="center"/>
            <w:hideMark/>
          </w:tcPr>
          <w:p w14:paraId="1B9BCBB5" w14:textId="77777777" w:rsidR="00646828" w:rsidRPr="00F050E3" w:rsidRDefault="00646828" w:rsidP="008354C5">
            <w:pPr>
              <w:spacing w:after="0"/>
              <w:jc w:val="right"/>
              <w:rPr>
                <w:rFonts w:ascii="Times New Roman" w:hAnsi="Times New Roman"/>
                <w:color w:val="000000"/>
                <w:lang w:val="en-US" w:eastAsia="en-US"/>
              </w:rPr>
            </w:pPr>
            <w:r w:rsidRPr="00F050E3">
              <w:rPr>
                <w:rFonts w:ascii="Times New Roman" w:hAnsi="Times New Roman"/>
                <w:color w:val="000000"/>
                <w:lang w:val="en-US" w:eastAsia="en-US"/>
              </w:rPr>
              <w:t>156,597,119.39</w:t>
            </w:r>
          </w:p>
        </w:tc>
      </w:tr>
      <w:tr w:rsidR="00646828" w:rsidRPr="00F050E3" w14:paraId="04DBBBB6" w14:textId="77777777" w:rsidTr="008354C5">
        <w:trPr>
          <w:trHeight w:val="315"/>
        </w:trPr>
        <w:tc>
          <w:tcPr>
            <w:tcW w:w="4540" w:type="dxa"/>
            <w:tcBorders>
              <w:top w:val="nil"/>
              <w:left w:val="single" w:sz="4" w:space="0" w:color="auto"/>
              <w:bottom w:val="single" w:sz="4" w:space="0" w:color="auto"/>
              <w:right w:val="single" w:sz="4" w:space="0" w:color="auto"/>
            </w:tcBorders>
            <w:shd w:val="clear" w:color="auto" w:fill="auto"/>
            <w:vAlign w:val="center"/>
            <w:hideMark/>
          </w:tcPr>
          <w:p w14:paraId="0AABC09E" w14:textId="77777777" w:rsidR="00646828" w:rsidRPr="00F050E3" w:rsidRDefault="00646828" w:rsidP="008354C5">
            <w:pPr>
              <w:spacing w:after="0"/>
              <w:rPr>
                <w:rFonts w:ascii="Times New Roman" w:hAnsi="Times New Roman"/>
                <w:color w:val="000000"/>
                <w:lang w:val="en-US" w:eastAsia="en-US"/>
              </w:rPr>
            </w:pPr>
            <w:r w:rsidRPr="00F050E3">
              <w:rPr>
                <w:rFonts w:ascii="Times New Roman" w:hAnsi="Times New Roman"/>
                <w:color w:val="000000"/>
                <w:lang w:val="en-US" w:eastAsia="en-US"/>
              </w:rPr>
              <w:t>Indemnizaciones</w:t>
            </w:r>
          </w:p>
        </w:tc>
        <w:tc>
          <w:tcPr>
            <w:tcW w:w="1740" w:type="dxa"/>
            <w:tcBorders>
              <w:top w:val="nil"/>
              <w:left w:val="nil"/>
              <w:bottom w:val="single" w:sz="4" w:space="0" w:color="auto"/>
              <w:right w:val="single" w:sz="4" w:space="0" w:color="auto"/>
            </w:tcBorders>
            <w:shd w:val="clear" w:color="auto" w:fill="auto"/>
            <w:vAlign w:val="center"/>
            <w:hideMark/>
          </w:tcPr>
          <w:p w14:paraId="7A09128F" w14:textId="77777777" w:rsidR="00646828" w:rsidRPr="00F050E3" w:rsidRDefault="00646828" w:rsidP="008354C5">
            <w:pPr>
              <w:spacing w:after="0"/>
              <w:jc w:val="right"/>
              <w:rPr>
                <w:rFonts w:ascii="Times New Roman" w:hAnsi="Times New Roman"/>
                <w:color w:val="000000"/>
                <w:lang w:val="en-US" w:eastAsia="en-US"/>
              </w:rPr>
            </w:pPr>
            <w:r w:rsidRPr="00F050E3">
              <w:rPr>
                <w:rFonts w:ascii="Times New Roman" w:hAnsi="Times New Roman"/>
                <w:color w:val="000000"/>
                <w:lang w:val="en-US" w:eastAsia="en-US"/>
              </w:rPr>
              <w:t>-</w:t>
            </w:r>
          </w:p>
        </w:tc>
        <w:tc>
          <w:tcPr>
            <w:tcW w:w="1920" w:type="dxa"/>
            <w:tcBorders>
              <w:top w:val="nil"/>
              <w:left w:val="nil"/>
              <w:bottom w:val="single" w:sz="4" w:space="0" w:color="auto"/>
              <w:right w:val="single" w:sz="4" w:space="0" w:color="auto"/>
            </w:tcBorders>
            <w:shd w:val="clear" w:color="auto" w:fill="auto"/>
            <w:vAlign w:val="center"/>
            <w:hideMark/>
          </w:tcPr>
          <w:p w14:paraId="4919FBBF" w14:textId="77777777" w:rsidR="00646828" w:rsidRPr="00F050E3" w:rsidRDefault="00646828" w:rsidP="008354C5">
            <w:pPr>
              <w:spacing w:after="0"/>
              <w:jc w:val="right"/>
              <w:rPr>
                <w:rFonts w:ascii="Times New Roman" w:hAnsi="Times New Roman"/>
                <w:color w:val="000000"/>
                <w:lang w:val="en-US" w:eastAsia="en-US"/>
              </w:rPr>
            </w:pPr>
            <w:r w:rsidRPr="00F050E3">
              <w:rPr>
                <w:rFonts w:ascii="Times New Roman" w:hAnsi="Times New Roman"/>
                <w:color w:val="000000"/>
                <w:lang w:val="en-US" w:eastAsia="en-US"/>
              </w:rPr>
              <w:t>4,000,000.00</w:t>
            </w:r>
          </w:p>
        </w:tc>
      </w:tr>
      <w:tr w:rsidR="00646828" w:rsidRPr="00F050E3" w14:paraId="47F597EF" w14:textId="77777777" w:rsidTr="008354C5">
        <w:trPr>
          <w:trHeight w:val="315"/>
        </w:trPr>
        <w:tc>
          <w:tcPr>
            <w:tcW w:w="4540" w:type="dxa"/>
            <w:tcBorders>
              <w:top w:val="nil"/>
              <w:left w:val="single" w:sz="4" w:space="0" w:color="auto"/>
              <w:bottom w:val="single" w:sz="4" w:space="0" w:color="auto"/>
              <w:right w:val="single" w:sz="4" w:space="0" w:color="auto"/>
            </w:tcBorders>
            <w:shd w:val="clear" w:color="auto" w:fill="auto"/>
            <w:vAlign w:val="center"/>
            <w:hideMark/>
          </w:tcPr>
          <w:p w14:paraId="7CBCE91D" w14:textId="77777777" w:rsidR="00646828" w:rsidRPr="00F050E3" w:rsidRDefault="00646828" w:rsidP="008354C5">
            <w:pPr>
              <w:spacing w:after="0"/>
              <w:rPr>
                <w:rFonts w:ascii="Times New Roman" w:hAnsi="Times New Roman"/>
                <w:color w:val="000000"/>
                <w:lang w:val="en-US" w:eastAsia="en-US"/>
              </w:rPr>
            </w:pPr>
            <w:r w:rsidRPr="00F050E3">
              <w:rPr>
                <w:rFonts w:ascii="Times New Roman" w:hAnsi="Times New Roman"/>
                <w:color w:val="000000"/>
                <w:lang w:val="en-US" w:eastAsia="en-US"/>
              </w:rPr>
              <w:t>Bono por desempeño</w:t>
            </w:r>
          </w:p>
        </w:tc>
        <w:tc>
          <w:tcPr>
            <w:tcW w:w="1740" w:type="dxa"/>
            <w:tcBorders>
              <w:top w:val="nil"/>
              <w:left w:val="nil"/>
              <w:bottom w:val="single" w:sz="4" w:space="0" w:color="auto"/>
              <w:right w:val="single" w:sz="4" w:space="0" w:color="auto"/>
            </w:tcBorders>
            <w:shd w:val="clear" w:color="auto" w:fill="auto"/>
            <w:vAlign w:val="center"/>
            <w:hideMark/>
          </w:tcPr>
          <w:p w14:paraId="7647FFFB" w14:textId="77777777" w:rsidR="00646828" w:rsidRPr="00F050E3" w:rsidRDefault="00646828" w:rsidP="008354C5">
            <w:pPr>
              <w:spacing w:after="0"/>
              <w:jc w:val="right"/>
              <w:rPr>
                <w:rFonts w:ascii="Times New Roman" w:hAnsi="Times New Roman"/>
                <w:color w:val="000000"/>
                <w:lang w:val="en-US" w:eastAsia="en-US"/>
              </w:rPr>
            </w:pPr>
            <w:r w:rsidRPr="00F050E3">
              <w:rPr>
                <w:rFonts w:ascii="Times New Roman" w:hAnsi="Times New Roman"/>
                <w:color w:val="000000"/>
                <w:lang w:val="en-US" w:eastAsia="en-US"/>
              </w:rPr>
              <w:t>4,000,000.00</w:t>
            </w:r>
          </w:p>
        </w:tc>
        <w:tc>
          <w:tcPr>
            <w:tcW w:w="1920" w:type="dxa"/>
            <w:tcBorders>
              <w:top w:val="nil"/>
              <w:left w:val="nil"/>
              <w:bottom w:val="single" w:sz="4" w:space="0" w:color="auto"/>
              <w:right w:val="single" w:sz="4" w:space="0" w:color="auto"/>
            </w:tcBorders>
            <w:shd w:val="clear" w:color="auto" w:fill="auto"/>
            <w:vAlign w:val="center"/>
            <w:hideMark/>
          </w:tcPr>
          <w:p w14:paraId="43344987" w14:textId="77777777" w:rsidR="00646828" w:rsidRPr="00F050E3" w:rsidRDefault="00646828" w:rsidP="008354C5">
            <w:pPr>
              <w:spacing w:after="0"/>
              <w:jc w:val="right"/>
              <w:rPr>
                <w:rFonts w:ascii="Times New Roman" w:hAnsi="Times New Roman"/>
                <w:color w:val="000000"/>
                <w:lang w:val="en-US" w:eastAsia="en-US"/>
              </w:rPr>
            </w:pPr>
            <w:r w:rsidRPr="00F050E3">
              <w:rPr>
                <w:rFonts w:ascii="Times New Roman" w:hAnsi="Times New Roman"/>
                <w:color w:val="000000"/>
                <w:lang w:val="en-US" w:eastAsia="en-US"/>
              </w:rPr>
              <w:t>48,000,000.00</w:t>
            </w:r>
          </w:p>
        </w:tc>
      </w:tr>
      <w:tr w:rsidR="00646828" w:rsidRPr="00F050E3" w14:paraId="61AAFE9C" w14:textId="77777777" w:rsidTr="008354C5">
        <w:trPr>
          <w:trHeight w:val="315"/>
        </w:trPr>
        <w:tc>
          <w:tcPr>
            <w:tcW w:w="4540" w:type="dxa"/>
            <w:tcBorders>
              <w:top w:val="nil"/>
              <w:left w:val="single" w:sz="4" w:space="0" w:color="auto"/>
              <w:bottom w:val="single" w:sz="4" w:space="0" w:color="auto"/>
              <w:right w:val="single" w:sz="4" w:space="0" w:color="auto"/>
            </w:tcBorders>
            <w:shd w:val="clear" w:color="auto" w:fill="auto"/>
            <w:vAlign w:val="center"/>
            <w:hideMark/>
          </w:tcPr>
          <w:p w14:paraId="33D28823" w14:textId="77777777" w:rsidR="00646828" w:rsidRPr="00F050E3" w:rsidRDefault="00646828" w:rsidP="008354C5">
            <w:pPr>
              <w:spacing w:after="0"/>
              <w:rPr>
                <w:rFonts w:ascii="Times New Roman" w:hAnsi="Times New Roman"/>
                <w:color w:val="000000"/>
                <w:lang w:val="en-US" w:eastAsia="en-US"/>
              </w:rPr>
            </w:pPr>
            <w:r w:rsidRPr="00F050E3">
              <w:rPr>
                <w:rFonts w:ascii="Times New Roman" w:hAnsi="Times New Roman"/>
                <w:color w:val="000000"/>
                <w:lang w:val="en-US" w:eastAsia="en-US"/>
              </w:rPr>
              <w:t>Otros beneficios (Vacaciones cancelados)</w:t>
            </w:r>
          </w:p>
        </w:tc>
        <w:tc>
          <w:tcPr>
            <w:tcW w:w="1740" w:type="dxa"/>
            <w:tcBorders>
              <w:top w:val="nil"/>
              <w:left w:val="nil"/>
              <w:bottom w:val="single" w:sz="4" w:space="0" w:color="auto"/>
              <w:right w:val="single" w:sz="4" w:space="0" w:color="auto"/>
            </w:tcBorders>
            <w:shd w:val="clear" w:color="auto" w:fill="auto"/>
            <w:vAlign w:val="center"/>
            <w:hideMark/>
          </w:tcPr>
          <w:p w14:paraId="2EBD782A" w14:textId="77777777" w:rsidR="00646828" w:rsidRPr="00F050E3" w:rsidRDefault="00646828" w:rsidP="008354C5">
            <w:pPr>
              <w:spacing w:after="0"/>
              <w:jc w:val="right"/>
              <w:rPr>
                <w:rFonts w:ascii="Times New Roman" w:hAnsi="Times New Roman"/>
                <w:color w:val="000000"/>
                <w:lang w:val="en-US" w:eastAsia="en-US"/>
              </w:rPr>
            </w:pPr>
            <w:r w:rsidRPr="00F050E3">
              <w:rPr>
                <w:rFonts w:ascii="Times New Roman" w:hAnsi="Times New Roman"/>
                <w:color w:val="000000"/>
                <w:lang w:val="en-US" w:eastAsia="en-US"/>
              </w:rPr>
              <w:t>172,537.76</w:t>
            </w:r>
          </w:p>
        </w:tc>
        <w:tc>
          <w:tcPr>
            <w:tcW w:w="1920" w:type="dxa"/>
            <w:tcBorders>
              <w:top w:val="nil"/>
              <w:left w:val="nil"/>
              <w:bottom w:val="single" w:sz="4" w:space="0" w:color="auto"/>
              <w:right w:val="single" w:sz="4" w:space="0" w:color="auto"/>
            </w:tcBorders>
            <w:shd w:val="clear" w:color="auto" w:fill="auto"/>
            <w:vAlign w:val="center"/>
            <w:hideMark/>
          </w:tcPr>
          <w:p w14:paraId="35B7A7BE" w14:textId="77777777" w:rsidR="00646828" w:rsidRPr="00F050E3" w:rsidRDefault="00646828" w:rsidP="008354C5">
            <w:pPr>
              <w:spacing w:after="0"/>
              <w:jc w:val="right"/>
              <w:rPr>
                <w:rFonts w:ascii="Times New Roman" w:hAnsi="Times New Roman"/>
                <w:color w:val="000000"/>
                <w:lang w:val="en-US" w:eastAsia="en-US"/>
              </w:rPr>
            </w:pPr>
            <w:r w:rsidRPr="00F050E3">
              <w:rPr>
                <w:rFonts w:ascii="Times New Roman" w:hAnsi="Times New Roman"/>
                <w:color w:val="000000"/>
                <w:lang w:val="en-US" w:eastAsia="en-US"/>
              </w:rPr>
              <w:t>2,070,453.07</w:t>
            </w:r>
          </w:p>
        </w:tc>
      </w:tr>
      <w:tr w:rsidR="00646828" w:rsidRPr="00F050E3" w14:paraId="4D7CC4AF" w14:textId="77777777" w:rsidTr="003A6CAF">
        <w:trPr>
          <w:trHeight w:val="315"/>
        </w:trPr>
        <w:tc>
          <w:tcPr>
            <w:tcW w:w="4540" w:type="dxa"/>
            <w:tcBorders>
              <w:top w:val="nil"/>
              <w:left w:val="single" w:sz="4" w:space="0" w:color="auto"/>
              <w:bottom w:val="single" w:sz="4" w:space="0" w:color="auto"/>
              <w:right w:val="single" w:sz="4" w:space="0" w:color="auto"/>
            </w:tcBorders>
            <w:shd w:val="clear" w:color="auto" w:fill="auto"/>
            <w:vAlign w:val="center"/>
            <w:hideMark/>
          </w:tcPr>
          <w:p w14:paraId="77F697A9" w14:textId="77777777" w:rsidR="00646828" w:rsidRPr="00F050E3" w:rsidRDefault="00646828" w:rsidP="008354C5">
            <w:pPr>
              <w:spacing w:after="0"/>
              <w:rPr>
                <w:rFonts w:ascii="Times New Roman" w:hAnsi="Times New Roman"/>
                <w:color w:val="000000"/>
                <w:lang w:val="en-US" w:eastAsia="en-US"/>
              </w:rPr>
            </w:pPr>
            <w:r w:rsidRPr="00F050E3">
              <w:rPr>
                <w:rFonts w:ascii="Times New Roman" w:hAnsi="Times New Roman"/>
                <w:color w:val="000000"/>
                <w:lang w:val="en-US" w:eastAsia="en-US"/>
              </w:rPr>
              <w:t>Labores extraodinarias</w:t>
            </w:r>
          </w:p>
        </w:tc>
        <w:tc>
          <w:tcPr>
            <w:tcW w:w="1740" w:type="dxa"/>
            <w:tcBorders>
              <w:top w:val="nil"/>
              <w:left w:val="nil"/>
              <w:bottom w:val="single" w:sz="4" w:space="0" w:color="auto"/>
              <w:right w:val="single" w:sz="4" w:space="0" w:color="auto"/>
            </w:tcBorders>
            <w:shd w:val="clear" w:color="auto" w:fill="auto"/>
            <w:vAlign w:val="center"/>
            <w:hideMark/>
          </w:tcPr>
          <w:p w14:paraId="4A252B4D" w14:textId="77777777" w:rsidR="00646828" w:rsidRPr="00F050E3" w:rsidRDefault="00646828" w:rsidP="008354C5">
            <w:pPr>
              <w:spacing w:after="0"/>
              <w:jc w:val="right"/>
              <w:rPr>
                <w:rFonts w:ascii="Times New Roman" w:hAnsi="Times New Roman"/>
                <w:color w:val="000000"/>
                <w:lang w:val="en-US" w:eastAsia="en-US"/>
              </w:rPr>
            </w:pPr>
            <w:r w:rsidRPr="00F050E3">
              <w:rPr>
                <w:rFonts w:ascii="Times New Roman" w:hAnsi="Times New Roman"/>
                <w:color w:val="000000"/>
                <w:lang w:val="en-US" w:eastAsia="en-US"/>
              </w:rPr>
              <w:t>346,000.00</w:t>
            </w:r>
          </w:p>
        </w:tc>
        <w:tc>
          <w:tcPr>
            <w:tcW w:w="1920" w:type="dxa"/>
            <w:tcBorders>
              <w:top w:val="nil"/>
              <w:left w:val="nil"/>
              <w:bottom w:val="single" w:sz="4" w:space="0" w:color="auto"/>
              <w:right w:val="single" w:sz="4" w:space="0" w:color="auto"/>
            </w:tcBorders>
            <w:shd w:val="clear" w:color="auto" w:fill="auto"/>
            <w:vAlign w:val="center"/>
            <w:hideMark/>
          </w:tcPr>
          <w:p w14:paraId="0EFAFB06" w14:textId="77777777" w:rsidR="00646828" w:rsidRPr="00F050E3" w:rsidRDefault="00646828" w:rsidP="008354C5">
            <w:pPr>
              <w:spacing w:after="0"/>
              <w:jc w:val="right"/>
              <w:rPr>
                <w:rFonts w:ascii="Times New Roman" w:hAnsi="Times New Roman"/>
                <w:color w:val="000000"/>
                <w:lang w:val="en-US" w:eastAsia="en-US"/>
              </w:rPr>
            </w:pPr>
            <w:r w:rsidRPr="00F050E3">
              <w:rPr>
                <w:rFonts w:ascii="Times New Roman" w:hAnsi="Times New Roman"/>
                <w:color w:val="000000"/>
                <w:lang w:val="en-US" w:eastAsia="en-US"/>
              </w:rPr>
              <w:t>10,152,000.00</w:t>
            </w:r>
          </w:p>
        </w:tc>
      </w:tr>
      <w:tr w:rsidR="00646828" w:rsidRPr="00F050E3" w14:paraId="61A3215F" w14:textId="77777777" w:rsidTr="003A6CAF">
        <w:trPr>
          <w:trHeight w:val="315"/>
        </w:trPr>
        <w:tc>
          <w:tcPr>
            <w:tcW w:w="454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46924D8F" w14:textId="77777777" w:rsidR="00646828" w:rsidRPr="00F050E3" w:rsidRDefault="00646828" w:rsidP="008354C5">
            <w:pPr>
              <w:spacing w:after="0"/>
              <w:rPr>
                <w:rFonts w:ascii="Times New Roman" w:hAnsi="Times New Roman"/>
                <w:b/>
                <w:bCs/>
                <w:color w:val="FFFFFF" w:themeColor="background1"/>
                <w:lang w:val="en-US" w:eastAsia="en-US"/>
              </w:rPr>
            </w:pPr>
            <w:r w:rsidRPr="00F050E3">
              <w:rPr>
                <w:rFonts w:ascii="Times New Roman" w:hAnsi="Times New Roman"/>
                <w:b/>
                <w:bCs/>
                <w:color w:val="FFFFFF" w:themeColor="background1"/>
                <w:lang w:val="en-US" w:eastAsia="en-US"/>
              </w:rPr>
              <w:t>Total General</w:t>
            </w:r>
          </w:p>
        </w:tc>
        <w:tc>
          <w:tcPr>
            <w:tcW w:w="174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75B63492" w14:textId="77777777" w:rsidR="00646828" w:rsidRPr="00F050E3" w:rsidRDefault="00646828" w:rsidP="008354C5">
            <w:pPr>
              <w:spacing w:after="0"/>
              <w:jc w:val="right"/>
              <w:rPr>
                <w:rFonts w:ascii="Times New Roman" w:hAnsi="Times New Roman"/>
                <w:b/>
                <w:bCs/>
                <w:color w:val="FFFFFF" w:themeColor="background1"/>
                <w:lang w:val="en-US" w:eastAsia="en-US"/>
              </w:rPr>
            </w:pPr>
            <w:r w:rsidRPr="00F050E3">
              <w:rPr>
                <w:rFonts w:ascii="Times New Roman" w:hAnsi="Times New Roman"/>
                <w:b/>
                <w:bCs/>
                <w:color w:val="FFFFFF" w:themeColor="background1"/>
                <w:lang w:val="en-US" w:eastAsia="en-US"/>
              </w:rPr>
              <w:t>162,092,515.98</w:t>
            </w:r>
          </w:p>
        </w:tc>
        <w:tc>
          <w:tcPr>
            <w:tcW w:w="192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6A0BCC22" w14:textId="77777777" w:rsidR="00646828" w:rsidRPr="00F050E3" w:rsidRDefault="00646828" w:rsidP="008354C5">
            <w:pPr>
              <w:spacing w:after="0"/>
              <w:jc w:val="right"/>
              <w:rPr>
                <w:rFonts w:ascii="Times New Roman" w:hAnsi="Times New Roman"/>
                <w:b/>
                <w:bCs/>
                <w:color w:val="FFFFFF" w:themeColor="background1"/>
                <w:lang w:val="en-US" w:eastAsia="en-US"/>
              </w:rPr>
            </w:pPr>
            <w:r w:rsidRPr="00F050E3">
              <w:rPr>
                <w:rFonts w:ascii="Times New Roman" w:hAnsi="Times New Roman"/>
                <w:b/>
                <w:bCs/>
                <w:color w:val="FFFFFF" w:themeColor="background1"/>
                <w:lang w:val="en-US" w:eastAsia="en-US"/>
              </w:rPr>
              <w:t>2,111,707,311.10</w:t>
            </w:r>
          </w:p>
        </w:tc>
      </w:tr>
    </w:tbl>
    <w:p w14:paraId="324DC25B" w14:textId="7F8B5616" w:rsidR="00646828" w:rsidRPr="00F050E3" w:rsidRDefault="00646828" w:rsidP="00CA5792">
      <w:pPr>
        <w:pStyle w:val="Ttulo4"/>
      </w:pPr>
      <w:bookmarkStart w:id="316" w:name="_Toc26292124"/>
      <w:bookmarkStart w:id="317" w:name="_Toc251777874"/>
      <w:bookmarkStart w:id="318" w:name="_Toc254413094"/>
      <w:bookmarkStart w:id="319" w:name="_Toc409040094"/>
      <w:bookmarkStart w:id="320" w:name="_Toc440036749"/>
      <w:bookmarkStart w:id="321" w:name="_Toc470523406"/>
      <w:bookmarkStart w:id="322" w:name="_Toc27146815"/>
      <w:r w:rsidRPr="00F050E3">
        <w:lastRenderedPageBreak/>
        <w:t>Organización del Trabajo</w:t>
      </w:r>
      <w:bookmarkEnd w:id="316"/>
      <w:bookmarkEnd w:id="317"/>
      <w:bookmarkEnd w:id="318"/>
      <w:bookmarkEnd w:id="319"/>
      <w:bookmarkEnd w:id="320"/>
      <w:bookmarkEnd w:id="321"/>
      <w:bookmarkEnd w:id="322"/>
    </w:p>
    <w:p w14:paraId="3CE4B2F7" w14:textId="77777777" w:rsidR="002F0F07" w:rsidRDefault="002F0F07" w:rsidP="00A452A8">
      <w:pPr>
        <w:spacing w:after="0" w:line="480" w:lineRule="auto"/>
        <w:ind w:firstLine="720"/>
        <w:jc w:val="both"/>
        <w:rPr>
          <w:rFonts w:ascii="Times New Roman" w:hAnsi="Times New Roman"/>
          <w:b/>
        </w:rPr>
      </w:pPr>
    </w:p>
    <w:p w14:paraId="0C906F37" w14:textId="77777777" w:rsidR="00A452A8" w:rsidRPr="002F0F07" w:rsidRDefault="00A452A8" w:rsidP="00A452A8">
      <w:pPr>
        <w:spacing w:after="0" w:line="480" w:lineRule="auto"/>
        <w:ind w:firstLine="720"/>
        <w:jc w:val="both"/>
        <w:rPr>
          <w:rFonts w:ascii="Times New Roman" w:hAnsi="Times New Roman"/>
          <w:b/>
          <w:sz w:val="28"/>
        </w:rPr>
      </w:pPr>
      <w:r w:rsidRPr="002F0F07">
        <w:rPr>
          <w:rFonts w:ascii="Times New Roman" w:hAnsi="Times New Roman"/>
          <w:b/>
          <w:sz w:val="28"/>
        </w:rPr>
        <w:t>Manual de Cargos</w:t>
      </w:r>
    </w:p>
    <w:p w14:paraId="1C075564" w14:textId="4A6E1763" w:rsidR="00A452A8" w:rsidRPr="00F050E3" w:rsidRDefault="00A452A8" w:rsidP="00A452A8">
      <w:pPr>
        <w:pStyle w:val="Prrafodelista"/>
        <w:spacing w:after="0" w:line="480" w:lineRule="auto"/>
        <w:ind w:left="74" w:firstLine="646"/>
        <w:jc w:val="both"/>
        <w:rPr>
          <w:rFonts w:ascii="Times New Roman" w:eastAsia="Times New Roman" w:hAnsi="Times New Roman"/>
          <w:sz w:val="24"/>
          <w:szCs w:val="24"/>
          <w:lang w:val="es-ES_tradnl" w:eastAsia="ja-JP"/>
        </w:rPr>
      </w:pPr>
      <w:r w:rsidRPr="00F050E3">
        <w:rPr>
          <w:rFonts w:ascii="Times New Roman" w:eastAsia="Times New Roman" w:hAnsi="Times New Roman"/>
          <w:sz w:val="24"/>
          <w:szCs w:val="24"/>
          <w:lang w:val="es-ES_tradnl" w:eastAsia="ja-JP"/>
        </w:rPr>
        <w:t xml:space="preserve">La ley 41-08 de Función Pública en su Reglamento no. 251-15 de Reclutamiento y Selección de Personal para ocupar cargos de Carrera Administrativa, en su artículo 9, letra b) establece que </w:t>
      </w:r>
      <w:r w:rsidR="00BD4360" w:rsidRPr="00F050E3">
        <w:rPr>
          <w:rFonts w:ascii="Times New Roman" w:eastAsia="Times New Roman" w:hAnsi="Times New Roman"/>
          <w:sz w:val="24"/>
          <w:szCs w:val="24"/>
          <w:lang w:val="es-ES_tradnl" w:eastAsia="ja-JP"/>
        </w:rPr>
        <w:t>la oficina</w:t>
      </w:r>
      <w:r w:rsidRPr="00F050E3">
        <w:rPr>
          <w:rFonts w:ascii="Times New Roman" w:eastAsia="Times New Roman" w:hAnsi="Times New Roman"/>
          <w:sz w:val="24"/>
          <w:szCs w:val="24"/>
          <w:lang w:val="es-ES_tradnl" w:eastAsia="ja-JP"/>
        </w:rPr>
        <w:t xml:space="preserve"> de Recursos Humanos debe: “Coordinar con todas las áreas de la Institución, los procesos de actualización de la estructura organizativa y del manual de cargos clasificados”, en consideración a lo establecido en dicho reglamento, dicha Dirección se encuentra en la fase final de actualización del Manual de cargos. Una vez culminado el proceso, tendrá la responsabilidad de socialización y distribución de ejemplares a las diferentes áreas.</w:t>
      </w:r>
    </w:p>
    <w:p w14:paraId="6C25FE77" w14:textId="77777777" w:rsidR="00646828" w:rsidRPr="00F050E3" w:rsidRDefault="00646828" w:rsidP="00646828">
      <w:pPr>
        <w:spacing w:after="0"/>
        <w:rPr>
          <w:rFonts w:ascii="Times New Roman" w:eastAsia="Calibri" w:hAnsi="Times New Roman"/>
          <w:szCs w:val="22"/>
          <w:lang w:eastAsia="en-US"/>
        </w:rPr>
      </w:pPr>
    </w:p>
    <w:p w14:paraId="089FFA2B" w14:textId="77777777" w:rsidR="00646828" w:rsidRPr="002F0F07" w:rsidRDefault="00646828" w:rsidP="00646828">
      <w:pPr>
        <w:spacing w:after="0" w:line="480" w:lineRule="auto"/>
        <w:ind w:firstLine="720"/>
        <w:jc w:val="both"/>
        <w:rPr>
          <w:rFonts w:ascii="Times New Roman" w:hAnsi="Times New Roman"/>
          <w:b/>
          <w:sz w:val="28"/>
        </w:rPr>
      </w:pPr>
      <w:r w:rsidRPr="002F0F07">
        <w:rPr>
          <w:rFonts w:ascii="Times New Roman" w:hAnsi="Times New Roman"/>
          <w:b/>
          <w:sz w:val="28"/>
        </w:rPr>
        <w:t>Estructura de cargos</w:t>
      </w:r>
    </w:p>
    <w:p w14:paraId="7C4CFC7D" w14:textId="77777777" w:rsidR="00646828" w:rsidRPr="00F050E3" w:rsidRDefault="00646828" w:rsidP="00646828">
      <w:pPr>
        <w:pStyle w:val="Prrafodelista"/>
        <w:spacing w:after="0" w:line="480" w:lineRule="auto"/>
        <w:ind w:left="74" w:firstLine="646"/>
        <w:jc w:val="both"/>
        <w:rPr>
          <w:rFonts w:ascii="Times New Roman" w:eastAsia="Times New Roman" w:hAnsi="Times New Roman"/>
          <w:sz w:val="24"/>
          <w:szCs w:val="24"/>
          <w:lang w:val="es-ES_tradnl" w:eastAsia="ja-JP"/>
        </w:rPr>
      </w:pPr>
      <w:r w:rsidRPr="00F050E3">
        <w:rPr>
          <w:rFonts w:ascii="Times New Roman" w:eastAsia="Times New Roman" w:hAnsi="Times New Roman"/>
          <w:sz w:val="24"/>
          <w:szCs w:val="24"/>
          <w:lang w:val="es-ES_tradnl" w:eastAsia="ja-JP"/>
        </w:rPr>
        <w:t xml:space="preserve">Con el propósito de optimizar y prestar un mejor servicio a los usuarios, se ha procedido a alinear la estructura organizativa del Ministerio con la plataforma del Sistema de Servidores Públicos (SASP) para viabilizar y transparentar los movimientos de personal y al mismo tiempo determinar el ámbito de competencia y autoridad de las diferentes unidades, </w:t>
      </w:r>
    </w:p>
    <w:p w14:paraId="307F4272" w14:textId="77777777" w:rsidR="00646828" w:rsidRPr="00F050E3" w:rsidRDefault="00646828" w:rsidP="00646828">
      <w:pPr>
        <w:pStyle w:val="Prrafodelista"/>
        <w:spacing w:after="0" w:line="480" w:lineRule="auto"/>
        <w:ind w:left="74" w:firstLine="646"/>
        <w:jc w:val="both"/>
        <w:rPr>
          <w:rFonts w:ascii="Times New Roman" w:eastAsia="Times New Roman" w:hAnsi="Times New Roman"/>
          <w:sz w:val="24"/>
          <w:szCs w:val="24"/>
          <w:lang w:val="es-ES_tradnl" w:eastAsia="ja-JP"/>
        </w:rPr>
      </w:pPr>
    </w:p>
    <w:p w14:paraId="1D24CCC8" w14:textId="77777777" w:rsidR="00646828" w:rsidRPr="00F050E3" w:rsidRDefault="00646828" w:rsidP="00646828">
      <w:pPr>
        <w:pStyle w:val="Prrafodelista"/>
        <w:spacing w:after="0" w:line="480" w:lineRule="auto"/>
        <w:ind w:left="74" w:firstLine="646"/>
        <w:jc w:val="both"/>
        <w:rPr>
          <w:rFonts w:ascii="Times New Roman" w:eastAsia="Times New Roman" w:hAnsi="Times New Roman"/>
          <w:sz w:val="24"/>
          <w:szCs w:val="24"/>
          <w:lang w:val="es-ES_tradnl" w:eastAsia="ja-JP"/>
        </w:rPr>
      </w:pPr>
      <w:r w:rsidRPr="00F050E3">
        <w:rPr>
          <w:rFonts w:ascii="Times New Roman" w:eastAsia="Times New Roman" w:hAnsi="Times New Roman"/>
          <w:sz w:val="24"/>
          <w:szCs w:val="24"/>
          <w:lang w:val="es-ES_tradnl" w:eastAsia="ja-JP"/>
        </w:rPr>
        <w:t xml:space="preserve">El sistema permite simplificar y dinamizar el funcionamiento Institucional con miras a lograr un nivel de eficiencia y productividad en la gestión, logrando </w:t>
      </w:r>
      <w:r w:rsidRPr="00F050E3">
        <w:rPr>
          <w:rFonts w:ascii="Times New Roman" w:eastAsia="Times New Roman" w:hAnsi="Times New Roman"/>
          <w:sz w:val="24"/>
          <w:szCs w:val="24"/>
          <w:lang w:val="es-ES_tradnl" w:eastAsia="ja-JP"/>
        </w:rPr>
        <w:lastRenderedPageBreak/>
        <w:t>así la aprobación de la estructura organizativa mediante Resolución no. RES-MA-2017-8, de fecha 3 de julio 2017.</w:t>
      </w:r>
    </w:p>
    <w:p w14:paraId="27D0E56E" w14:textId="77777777" w:rsidR="00646828" w:rsidRPr="00F050E3" w:rsidRDefault="00646828" w:rsidP="00646828">
      <w:pPr>
        <w:spacing w:after="0"/>
        <w:rPr>
          <w:rFonts w:ascii="Times New Roman" w:eastAsia="Calibri" w:hAnsi="Times New Roman"/>
          <w:sz w:val="22"/>
          <w:szCs w:val="22"/>
          <w:lang w:val="es-ES_tradnl" w:eastAsia="en-US"/>
        </w:rPr>
      </w:pPr>
    </w:p>
    <w:p w14:paraId="13FE7F76" w14:textId="77777777" w:rsidR="00646828" w:rsidRPr="00F050E3" w:rsidRDefault="00646828" w:rsidP="00646828">
      <w:pPr>
        <w:pStyle w:val="Prrafodelista"/>
        <w:spacing w:after="0" w:line="480" w:lineRule="auto"/>
        <w:ind w:left="0" w:firstLine="720"/>
        <w:jc w:val="both"/>
        <w:rPr>
          <w:rFonts w:ascii="Times New Roman" w:hAnsi="Times New Roman"/>
          <w:b/>
          <w:sz w:val="28"/>
        </w:rPr>
      </w:pPr>
      <w:r w:rsidRPr="00F050E3">
        <w:rPr>
          <w:rFonts w:ascii="Times New Roman" w:hAnsi="Times New Roman"/>
          <w:b/>
          <w:sz w:val="28"/>
        </w:rPr>
        <w:t>Organigrama</w:t>
      </w:r>
    </w:p>
    <w:p w14:paraId="256C84D2" w14:textId="7777777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t>El Ministerio finalizó el proceso de actualización y adecuación de la estructura orgánica con la finalidad de validar los productos, bienes y servicios con el objetivo de alcanzar las metas propuestas en función a la misión y visión institucional, actualmente el organigrama se encuentra en fase de revisión de la última actualización de la a los fines de refrendar áreas y complementar direcciones departamentales.</w:t>
      </w:r>
    </w:p>
    <w:p w14:paraId="4F30338C" w14:textId="77777777" w:rsidR="00646828" w:rsidRPr="00F050E3" w:rsidRDefault="00646828" w:rsidP="00646828">
      <w:pPr>
        <w:spacing w:after="0" w:line="480" w:lineRule="auto"/>
        <w:ind w:firstLine="720"/>
        <w:jc w:val="both"/>
        <w:rPr>
          <w:rFonts w:ascii="Times New Roman" w:hAnsi="Times New Roman"/>
        </w:rPr>
      </w:pPr>
    </w:p>
    <w:p w14:paraId="073651BD" w14:textId="77777777" w:rsidR="00646828" w:rsidRPr="00F050E3" w:rsidRDefault="00646828" w:rsidP="00646828">
      <w:pPr>
        <w:pStyle w:val="Prrafodelista"/>
        <w:spacing w:after="0" w:line="480" w:lineRule="auto"/>
        <w:ind w:left="0" w:firstLine="720"/>
        <w:jc w:val="both"/>
        <w:rPr>
          <w:rFonts w:ascii="Times New Roman" w:eastAsia="Times New Roman" w:hAnsi="Times New Roman"/>
          <w:spacing w:val="-3"/>
          <w:sz w:val="24"/>
          <w:szCs w:val="24"/>
          <w:lang w:eastAsia="es-ES"/>
        </w:rPr>
      </w:pPr>
      <w:r w:rsidRPr="00F050E3">
        <w:rPr>
          <w:rFonts w:ascii="Times New Roman" w:eastAsia="Times New Roman" w:hAnsi="Times New Roman"/>
          <w:spacing w:val="-3"/>
          <w:sz w:val="24"/>
          <w:szCs w:val="24"/>
          <w:lang w:eastAsia="es-ES"/>
        </w:rPr>
        <w:t>El Organigrama del Ministerio, fue aprobado en fecha 3 de julio, 2017, mediante Resolución No. RES-MAP-2017-8 y cargado a la plataforma del Sistema de Administración de los Servidores Públicos (SASP).</w:t>
      </w:r>
    </w:p>
    <w:p w14:paraId="49EA64E6" w14:textId="77777777" w:rsidR="00646828" w:rsidRPr="00F050E3" w:rsidRDefault="00646828" w:rsidP="00646828">
      <w:pPr>
        <w:spacing w:after="0" w:line="480" w:lineRule="auto"/>
        <w:ind w:firstLine="720"/>
        <w:jc w:val="both"/>
        <w:rPr>
          <w:rFonts w:ascii="Times New Roman" w:hAnsi="Times New Roman"/>
        </w:rPr>
      </w:pPr>
    </w:p>
    <w:p w14:paraId="402DAFF5" w14:textId="77777777" w:rsidR="00646828" w:rsidRPr="00F050E3" w:rsidRDefault="00646828" w:rsidP="00646828">
      <w:pPr>
        <w:pStyle w:val="Prrafodelista"/>
        <w:spacing w:after="0" w:line="480" w:lineRule="auto"/>
        <w:ind w:left="0" w:firstLine="720"/>
        <w:jc w:val="both"/>
        <w:rPr>
          <w:rFonts w:ascii="Times New Roman" w:hAnsi="Times New Roman"/>
          <w:b/>
          <w:sz w:val="28"/>
        </w:rPr>
      </w:pPr>
      <w:r w:rsidRPr="00F050E3">
        <w:rPr>
          <w:rFonts w:ascii="Times New Roman" w:hAnsi="Times New Roman"/>
          <w:b/>
          <w:sz w:val="28"/>
        </w:rPr>
        <w:t>Manual de funciones</w:t>
      </w:r>
    </w:p>
    <w:p w14:paraId="33C43321" w14:textId="26982F08" w:rsidR="00646828" w:rsidRPr="00F050E3" w:rsidRDefault="00646828" w:rsidP="00646828">
      <w:pPr>
        <w:pStyle w:val="Prrafodelista"/>
        <w:spacing w:after="0" w:line="480" w:lineRule="auto"/>
        <w:ind w:left="0" w:firstLine="720"/>
        <w:jc w:val="both"/>
        <w:rPr>
          <w:rFonts w:ascii="Times New Roman" w:eastAsia="Times New Roman" w:hAnsi="Times New Roman"/>
          <w:spacing w:val="-3"/>
          <w:sz w:val="24"/>
          <w:szCs w:val="24"/>
          <w:lang w:eastAsia="es-ES"/>
        </w:rPr>
      </w:pPr>
      <w:r w:rsidRPr="00F050E3">
        <w:rPr>
          <w:rFonts w:ascii="Times New Roman" w:eastAsia="Times New Roman" w:hAnsi="Times New Roman"/>
          <w:spacing w:val="-3"/>
          <w:sz w:val="24"/>
          <w:szCs w:val="24"/>
          <w:lang w:eastAsia="es-ES"/>
        </w:rPr>
        <w:t xml:space="preserve">Con el propósito de consolidar la estructura organizacional del Ministerio, se elaboró el manual de funciones, aprobado y puesto en ejecución mediante Resolución no. RES-MA-2019-8 emitida por el MAP. </w:t>
      </w:r>
    </w:p>
    <w:p w14:paraId="08EA4CC3" w14:textId="77777777" w:rsidR="00646828" w:rsidRPr="00F050E3" w:rsidRDefault="00646828" w:rsidP="00646828">
      <w:pPr>
        <w:pStyle w:val="Prrafodelista"/>
        <w:spacing w:after="0" w:line="480" w:lineRule="auto"/>
        <w:ind w:left="0" w:firstLine="720"/>
        <w:jc w:val="both"/>
        <w:rPr>
          <w:rFonts w:ascii="Times New Roman" w:eastAsia="Times New Roman" w:hAnsi="Times New Roman"/>
          <w:spacing w:val="-3"/>
          <w:sz w:val="24"/>
          <w:szCs w:val="24"/>
          <w:lang w:eastAsia="es-ES"/>
        </w:rPr>
      </w:pPr>
    </w:p>
    <w:p w14:paraId="1F8F8B2A" w14:textId="77777777" w:rsidR="00646828" w:rsidRPr="00F050E3" w:rsidRDefault="00646828" w:rsidP="00646828">
      <w:pPr>
        <w:pStyle w:val="Prrafodelista"/>
        <w:spacing w:after="0" w:line="480" w:lineRule="auto"/>
        <w:ind w:left="0" w:firstLine="720"/>
        <w:jc w:val="both"/>
        <w:rPr>
          <w:rFonts w:ascii="Times New Roman" w:hAnsi="Times New Roman"/>
          <w:b/>
          <w:sz w:val="28"/>
        </w:rPr>
      </w:pPr>
      <w:r w:rsidRPr="00F050E3">
        <w:rPr>
          <w:rFonts w:ascii="Times New Roman" w:hAnsi="Times New Roman"/>
          <w:b/>
          <w:sz w:val="28"/>
        </w:rPr>
        <w:t>Mapa de procesos</w:t>
      </w:r>
    </w:p>
    <w:p w14:paraId="60DA982E" w14:textId="77777777" w:rsidR="00646828" w:rsidRPr="0044226E" w:rsidRDefault="00646828" w:rsidP="00646828">
      <w:pPr>
        <w:spacing w:after="0" w:line="480" w:lineRule="auto"/>
        <w:ind w:firstLine="720"/>
        <w:jc w:val="both"/>
        <w:rPr>
          <w:rFonts w:ascii="Times New Roman" w:hAnsi="Times New Roman"/>
        </w:rPr>
      </w:pPr>
      <w:r w:rsidRPr="00F050E3">
        <w:rPr>
          <w:rFonts w:ascii="Times New Roman" w:hAnsi="Times New Roman"/>
        </w:rPr>
        <w:t xml:space="preserve">Establecimiento y definición de las actividades a desarrollar con el propósito de elaborar el Mapa de procesos del Ministerio, el cual permitirá ofrecer al usuario un servicio adecuado en función a sus necesidades, actualmente se está </w:t>
      </w:r>
      <w:r w:rsidRPr="00F050E3">
        <w:rPr>
          <w:rFonts w:ascii="Times New Roman" w:hAnsi="Times New Roman"/>
        </w:rPr>
        <w:lastRenderedPageBreak/>
        <w:t>levantando las informaciones para la elaboración del mismo, permitiendo ofrecer al cliente y/o ciudadano un servicio adecuado en función a sus necesidades.</w:t>
      </w:r>
    </w:p>
    <w:p w14:paraId="3D0D1951" w14:textId="77777777" w:rsidR="00646828" w:rsidRDefault="00646828" w:rsidP="00646828">
      <w:pPr>
        <w:spacing w:after="0" w:line="480" w:lineRule="auto"/>
        <w:ind w:firstLine="720"/>
        <w:jc w:val="both"/>
        <w:rPr>
          <w:rFonts w:ascii="Times New Roman" w:hAnsi="Times New Roman"/>
        </w:rPr>
      </w:pPr>
    </w:p>
    <w:p w14:paraId="3A9114E3" w14:textId="3CEE4310" w:rsidR="00646828" w:rsidRPr="00F050E3" w:rsidRDefault="00646828" w:rsidP="00646828">
      <w:pPr>
        <w:spacing w:after="0" w:line="480" w:lineRule="auto"/>
        <w:ind w:firstLine="720"/>
        <w:jc w:val="both"/>
        <w:rPr>
          <w:rFonts w:ascii="Times New Roman" w:hAnsi="Times New Roman"/>
          <w:spacing w:val="-3"/>
          <w:lang w:eastAsia="es-ES"/>
        </w:rPr>
      </w:pPr>
      <w:r w:rsidRPr="00F050E3">
        <w:rPr>
          <w:rFonts w:ascii="Times New Roman" w:hAnsi="Times New Roman"/>
        </w:rPr>
        <w:t xml:space="preserve">El </w:t>
      </w:r>
      <w:r w:rsidRPr="00F050E3">
        <w:rPr>
          <w:rFonts w:ascii="Times New Roman" w:hAnsi="Times New Roman"/>
          <w:spacing w:val="-3"/>
          <w:lang w:eastAsia="es-ES"/>
        </w:rPr>
        <w:t>Mapa de Procesos, fue elaborado y aprobado en fecha 15 de febrero del 2019. En</w:t>
      </w:r>
      <w:r w:rsidR="00A452A8" w:rsidRPr="00F050E3">
        <w:rPr>
          <w:rFonts w:ascii="Times New Roman" w:hAnsi="Times New Roman"/>
          <w:spacing w:val="-3"/>
          <w:lang w:eastAsia="es-ES"/>
        </w:rPr>
        <w:t xml:space="preserve"> la actualidad dicho mapa está </w:t>
      </w:r>
      <w:r w:rsidRPr="00F050E3">
        <w:rPr>
          <w:rFonts w:ascii="Times New Roman" w:hAnsi="Times New Roman"/>
          <w:spacing w:val="-3"/>
          <w:lang w:eastAsia="es-ES"/>
        </w:rPr>
        <w:t>en el proceso de entrega y socialización permanente a servidores y usuarios del Ministerio.</w:t>
      </w:r>
    </w:p>
    <w:p w14:paraId="6ADB27D9" w14:textId="77777777" w:rsidR="00646828" w:rsidRPr="00F050E3" w:rsidRDefault="00646828" w:rsidP="00646828">
      <w:pPr>
        <w:spacing w:after="0" w:line="480" w:lineRule="auto"/>
        <w:rPr>
          <w:rFonts w:ascii="Times New Roman" w:eastAsia="Calibri" w:hAnsi="Times New Roman"/>
          <w:szCs w:val="28"/>
          <w:lang w:eastAsia="en-US"/>
        </w:rPr>
      </w:pPr>
    </w:p>
    <w:p w14:paraId="7494926F" w14:textId="4F4FCA02" w:rsidR="00646828" w:rsidRPr="00F050E3" w:rsidRDefault="00646828" w:rsidP="00CA5792">
      <w:pPr>
        <w:pStyle w:val="Ttulo4"/>
      </w:pPr>
      <w:bookmarkStart w:id="323" w:name="_Toc26292125"/>
      <w:bookmarkStart w:id="324" w:name="_Toc251777875"/>
      <w:bookmarkStart w:id="325" w:name="_Toc254413095"/>
      <w:bookmarkStart w:id="326" w:name="_Toc409040095"/>
      <w:bookmarkStart w:id="327" w:name="_Toc440036750"/>
      <w:bookmarkStart w:id="328" w:name="_Toc470523407"/>
      <w:bookmarkStart w:id="329" w:name="_Toc27146816"/>
      <w:r w:rsidRPr="00F050E3">
        <w:t>Gestión del Empleo</w:t>
      </w:r>
      <w:bookmarkEnd w:id="323"/>
      <w:bookmarkEnd w:id="324"/>
      <w:bookmarkEnd w:id="325"/>
      <w:bookmarkEnd w:id="326"/>
      <w:bookmarkEnd w:id="327"/>
      <w:bookmarkEnd w:id="328"/>
      <w:bookmarkEnd w:id="329"/>
    </w:p>
    <w:p w14:paraId="02C2AE07" w14:textId="77777777" w:rsidR="00646828" w:rsidRPr="00F050E3" w:rsidRDefault="00646828" w:rsidP="00646828">
      <w:pPr>
        <w:spacing w:after="0" w:line="480" w:lineRule="auto"/>
        <w:ind w:firstLine="720"/>
        <w:jc w:val="both"/>
        <w:rPr>
          <w:rFonts w:ascii="Times New Roman" w:hAnsi="Times New Roman"/>
        </w:rPr>
      </w:pPr>
      <w:bookmarkStart w:id="330" w:name="_Toc251777876"/>
      <w:bookmarkStart w:id="331" w:name="_Toc254413096"/>
      <w:bookmarkStart w:id="332" w:name="_Toc409040096"/>
      <w:r w:rsidRPr="00F050E3">
        <w:rPr>
          <w:rFonts w:ascii="Times New Roman" w:hAnsi="Times New Roman"/>
        </w:rPr>
        <w:t>Este barómetro está compuesto por los indicadores señalados a continuación:</w:t>
      </w:r>
    </w:p>
    <w:p w14:paraId="019B0635" w14:textId="77777777" w:rsidR="00646828" w:rsidRPr="00F050E3" w:rsidRDefault="00646828" w:rsidP="00646828">
      <w:pPr>
        <w:spacing w:after="0"/>
        <w:rPr>
          <w:rFonts w:ascii="Times New Roman" w:eastAsia="Calibri" w:hAnsi="Times New Roman"/>
          <w:lang w:eastAsia="en-US"/>
        </w:rPr>
      </w:pPr>
    </w:p>
    <w:p w14:paraId="3349D38F" w14:textId="77777777" w:rsidR="00646828" w:rsidRPr="00F050E3" w:rsidRDefault="00646828" w:rsidP="00646828">
      <w:pPr>
        <w:pStyle w:val="Prrafodelista"/>
        <w:spacing w:after="0" w:line="480" w:lineRule="auto"/>
        <w:ind w:left="0" w:firstLine="720"/>
        <w:jc w:val="both"/>
        <w:rPr>
          <w:rFonts w:ascii="Times New Roman" w:hAnsi="Times New Roman"/>
          <w:b/>
          <w:sz w:val="28"/>
        </w:rPr>
      </w:pPr>
      <w:r w:rsidRPr="00F050E3">
        <w:rPr>
          <w:rFonts w:ascii="Times New Roman" w:hAnsi="Times New Roman"/>
          <w:b/>
          <w:sz w:val="28"/>
        </w:rPr>
        <w:t>Sistema de Administración de Servidores Públicos-SASP – Registro y Control.</w:t>
      </w:r>
    </w:p>
    <w:p w14:paraId="3245D72E" w14:textId="77777777" w:rsidR="00646828" w:rsidRPr="00F050E3" w:rsidRDefault="00646828" w:rsidP="00646828">
      <w:pPr>
        <w:spacing w:after="0" w:line="480" w:lineRule="auto"/>
        <w:ind w:firstLine="720"/>
        <w:jc w:val="both"/>
        <w:rPr>
          <w:rFonts w:ascii="Times New Roman" w:hAnsi="Times New Roman"/>
        </w:rPr>
      </w:pPr>
    </w:p>
    <w:p w14:paraId="3C5CDC49" w14:textId="7777777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t>El Ministerio de Agricultura ha implementado el Sistema de Administración de Servidores Públicos (SASP), desde el 2011. A partir del momento se ha realizado a través de dicho sistema todos los trámites relacionados con el personal, tales como: vacaciones, permisos, licencias u otros movimientos del personal que tienden a modificar el status en la nómina de pagos.</w:t>
      </w:r>
    </w:p>
    <w:p w14:paraId="517BB32C" w14:textId="77777777" w:rsidR="00646828" w:rsidRPr="00F050E3" w:rsidRDefault="00646828" w:rsidP="00646828">
      <w:pPr>
        <w:tabs>
          <w:tab w:val="left" w:pos="2955"/>
        </w:tabs>
        <w:spacing w:after="0" w:line="480" w:lineRule="auto"/>
        <w:ind w:firstLine="720"/>
        <w:jc w:val="both"/>
        <w:rPr>
          <w:rFonts w:ascii="Times New Roman" w:hAnsi="Times New Roman"/>
        </w:rPr>
      </w:pPr>
    </w:p>
    <w:p w14:paraId="11958EA1" w14:textId="77777777" w:rsidR="00646828" w:rsidRPr="0044226E" w:rsidRDefault="00646828" w:rsidP="00646828">
      <w:pPr>
        <w:spacing w:after="0" w:line="480" w:lineRule="auto"/>
        <w:ind w:firstLine="720"/>
        <w:jc w:val="both"/>
        <w:rPr>
          <w:rFonts w:ascii="Times New Roman" w:hAnsi="Times New Roman"/>
        </w:rPr>
      </w:pPr>
      <w:r w:rsidRPr="00F050E3">
        <w:rPr>
          <w:rFonts w:ascii="Times New Roman" w:hAnsi="Times New Roman"/>
        </w:rPr>
        <w:t>En otro orden, se procedió realizar movimientos de personal arrojando como resultado los siguientes logros:</w:t>
      </w:r>
    </w:p>
    <w:p w14:paraId="318D82B1" w14:textId="77777777" w:rsidR="00646828" w:rsidRDefault="00646828" w:rsidP="00646828">
      <w:pPr>
        <w:spacing w:after="0"/>
        <w:rPr>
          <w:rFonts w:ascii="Times New Roman" w:hAnsi="Times New Roman"/>
        </w:rPr>
      </w:pPr>
    </w:p>
    <w:p w14:paraId="78D83076" w14:textId="4AB6C355" w:rsidR="00F050E3" w:rsidRDefault="00F050E3">
      <w:pPr>
        <w:spacing w:after="0"/>
        <w:rPr>
          <w:rFonts w:ascii="Times New Roman" w:hAnsi="Times New Roman"/>
        </w:rPr>
      </w:pPr>
      <w:r>
        <w:rPr>
          <w:rFonts w:ascii="Times New Roman" w:hAnsi="Times New Roman"/>
        </w:rPr>
        <w:br w:type="page"/>
      </w:r>
    </w:p>
    <w:p w14:paraId="1CDB8FBA" w14:textId="77777777" w:rsidR="00646828" w:rsidRDefault="00646828" w:rsidP="001C6B1A">
      <w:pPr>
        <w:pStyle w:val="Prrafodelista"/>
        <w:numPr>
          <w:ilvl w:val="0"/>
          <w:numId w:val="9"/>
        </w:numPr>
        <w:spacing w:after="0" w:line="240" w:lineRule="auto"/>
        <w:ind w:left="567" w:hanging="567"/>
        <w:rPr>
          <w:rFonts w:ascii="Times New Roman" w:hAnsi="Times New Roman"/>
          <w:b/>
          <w:sz w:val="24"/>
          <w:szCs w:val="28"/>
        </w:rPr>
      </w:pPr>
      <w:r w:rsidRPr="0098414F">
        <w:rPr>
          <w:rFonts w:ascii="Times New Roman" w:hAnsi="Times New Roman"/>
          <w:b/>
          <w:sz w:val="24"/>
          <w:szCs w:val="28"/>
        </w:rPr>
        <w:lastRenderedPageBreak/>
        <w:t>Acción de personal por tipo de movimientos</w:t>
      </w:r>
    </w:p>
    <w:p w14:paraId="2E259ABA" w14:textId="77777777" w:rsidR="00646828" w:rsidRDefault="00646828" w:rsidP="00646828">
      <w:pPr>
        <w:pStyle w:val="Prrafodelista"/>
        <w:spacing w:after="0" w:line="240" w:lineRule="auto"/>
        <w:ind w:left="567"/>
        <w:rPr>
          <w:rFonts w:ascii="Times New Roman" w:hAnsi="Times New Roman"/>
          <w:b/>
          <w:sz w:val="24"/>
          <w:szCs w:val="28"/>
        </w:rPr>
      </w:pPr>
    </w:p>
    <w:tbl>
      <w:tblPr>
        <w:tblW w:w="7256" w:type="dxa"/>
        <w:jc w:val="center"/>
        <w:tblCellMar>
          <w:left w:w="70" w:type="dxa"/>
          <w:right w:w="70" w:type="dxa"/>
        </w:tblCellMar>
        <w:tblLook w:val="04A0" w:firstRow="1" w:lastRow="0" w:firstColumn="1" w:lastColumn="0" w:noHBand="0" w:noVBand="1"/>
      </w:tblPr>
      <w:tblGrid>
        <w:gridCol w:w="4120"/>
        <w:gridCol w:w="1568"/>
        <w:gridCol w:w="1568"/>
      </w:tblGrid>
      <w:tr w:rsidR="00646828" w:rsidRPr="00F050E3" w14:paraId="72D0A435" w14:textId="77777777" w:rsidTr="008354C5">
        <w:trPr>
          <w:trHeight w:val="315"/>
          <w:jc w:val="center"/>
        </w:trPr>
        <w:tc>
          <w:tcPr>
            <w:tcW w:w="4120"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73ADA856" w14:textId="77777777" w:rsidR="00646828" w:rsidRPr="00F050E3" w:rsidRDefault="00646828" w:rsidP="008354C5">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Tipos de movimientos</w:t>
            </w:r>
          </w:p>
        </w:tc>
        <w:tc>
          <w:tcPr>
            <w:tcW w:w="1568" w:type="dxa"/>
            <w:tcBorders>
              <w:top w:val="single" w:sz="4" w:space="0" w:color="auto"/>
              <w:left w:val="nil"/>
              <w:bottom w:val="single" w:sz="4" w:space="0" w:color="auto"/>
              <w:right w:val="single" w:sz="4" w:space="0" w:color="auto"/>
            </w:tcBorders>
            <w:shd w:val="clear" w:color="auto" w:fill="00B050"/>
          </w:tcPr>
          <w:p w14:paraId="681FD21E" w14:textId="77777777" w:rsidR="00646828" w:rsidRPr="00F050E3" w:rsidRDefault="00646828" w:rsidP="008354C5">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Sede Central</w:t>
            </w:r>
          </w:p>
        </w:tc>
        <w:tc>
          <w:tcPr>
            <w:tcW w:w="1568"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27CCB1E0" w14:textId="77777777" w:rsidR="00646828" w:rsidRPr="00F050E3" w:rsidRDefault="00646828" w:rsidP="008354C5">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Regional</w:t>
            </w:r>
            <w:r w:rsidRPr="00F050E3">
              <w:rPr>
                <w:rStyle w:val="Refdenotaalpie"/>
                <w:rFonts w:ascii="Times New Roman" w:hAnsi="Times New Roman"/>
                <w:bCs/>
                <w:color w:val="FFFFFF" w:themeColor="background1"/>
                <w:lang w:eastAsia="es-DO"/>
              </w:rPr>
              <w:footnoteReference w:id="29"/>
            </w:r>
          </w:p>
        </w:tc>
      </w:tr>
      <w:tr w:rsidR="00646828" w:rsidRPr="00F050E3" w14:paraId="25BE9EF9" w14:textId="77777777" w:rsidTr="008354C5">
        <w:trPr>
          <w:trHeight w:val="77"/>
          <w:jc w:val="center"/>
        </w:trPr>
        <w:tc>
          <w:tcPr>
            <w:tcW w:w="4120" w:type="dxa"/>
            <w:tcBorders>
              <w:top w:val="single" w:sz="4" w:space="0" w:color="auto"/>
              <w:left w:val="single" w:sz="4" w:space="0" w:color="auto"/>
              <w:bottom w:val="single" w:sz="4" w:space="0" w:color="auto"/>
              <w:right w:val="single" w:sz="4" w:space="0" w:color="auto"/>
            </w:tcBorders>
            <w:shd w:val="clear" w:color="auto" w:fill="auto"/>
            <w:noWrap/>
          </w:tcPr>
          <w:p w14:paraId="49386A2F" w14:textId="77777777" w:rsidR="00646828" w:rsidRPr="00F050E3" w:rsidRDefault="00646828" w:rsidP="008354C5">
            <w:pPr>
              <w:spacing w:after="0"/>
              <w:jc w:val="both"/>
              <w:rPr>
                <w:rFonts w:ascii="Times New Roman" w:hAnsi="Times New Roman"/>
                <w:lang w:eastAsia="es-DO"/>
              </w:rPr>
            </w:pPr>
            <w:r w:rsidRPr="00F050E3">
              <w:t>Designaciones</w:t>
            </w:r>
          </w:p>
        </w:tc>
        <w:tc>
          <w:tcPr>
            <w:tcW w:w="1568" w:type="dxa"/>
            <w:tcBorders>
              <w:top w:val="single" w:sz="4" w:space="0" w:color="auto"/>
              <w:left w:val="single" w:sz="4" w:space="0" w:color="auto"/>
              <w:bottom w:val="single" w:sz="4" w:space="0" w:color="auto"/>
              <w:right w:val="single" w:sz="4" w:space="0" w:color="auto"/>
            </w:tcBorders>
          </w:tcPr>
          <w:p w14:paraId="144E5A54" w14:textId="77777777" w:rsidR="00646828" w:rsidRPr="00F050E3" w:rsidRDefault="00646828" w:rsidP="008354C5">
            <w:pPr>
              <w:spacing w:after="0"/>
              <w:jc w:val="center"/>
              <w:rPr>
                <w:rFonts w:ascii="Times New Roman" w:hAnsi="Times New Roman"/>
                <w:lang w:eastAsia="es-DO"/>
              </w:rPr>
            </w:pPr>
            <w:r w:rsidRPr="00F050E3">
              <w:t>103</w:t>
            </w:r>
          </w:p>
        </w:tc>
        <w:tc>
          <w:tcPr>
            <w:tcW w:w="1568" w:type="dxa"/>
            <w:tcBorders>
              <w:top w:val="single" w:sz="4" w:space="0" w:color="auto"/>
              <w:left w:val="single" w:sz="4" w:space="0" w:color="auto"/>
              <w:bottom w:val="single" w:sz="4" w:space="0" w:color="auto"/>
              <w:right w:val="single" w:sz="4" w:space="0" w:color="auto"/>
            </w:tcBorders>
            <w:shd w:val="clear" w:color="auto" w:fill="auto"/>
            <w:noWrap/>
          </w:tcPr>
          <w:p w14:paraId="1CEC0669" w14:textId="77777777" w:rsidR="00646828" w:rsidRPr="00F050E3" w:rsidRDefault="00646828" w:rsidP="008354C5">
            <w:pPr>
              <w:spacing w:after="0"/>
              <w:jc w:val="center"/>
              <w:rPr>
                <w:rFonts w:ascii="Times New Roman" w:hAnsi="Times New Roman"/>
                <w:lang w:eastAsia="es-DO"/>
              </w:rPr>
            </w:pPr>
          </w:p>
        </w:tc>
      </w:tr>
      <w:tr w:rsidR="00646828" w:rsidRPr="00F050E3" w14:paraId="050D1B27" w14:textId="77777777" w:rsidTr="008354C5">
        <w:trPr>
          <w:trHeight w:val="315"/>
          <w:jc w:val="center"/>
        </w:trPr>
        <w:tc>
          <w:tcPr>
            <w:tcW w:w="4120" w:type="dxa"/>
            <w:tcBorders>
              <w:top w:val="single" w:sz="4" w:space="0" w:color="auto"/>
              <w:left w:val="single" w:sz="4" w:space="0" w:color="auto"/>
              <w:bottom w:val="single" w:sz="4" w:space="0" w:color="auto"/>
              <w:right w:val="single" w:sz="4" w:space="0" w:color="auto"/>
            </w:tcBorders>
            <w:shd w:val="clear" w:color="auto" w:fill="auto"/>
            <w:noWrap/>
          </w:tcPr>
          <w:p w14:paraId="1CE56C1C" w14:textId="77777777" w:rsidR="00646828" w:rsidRPr="00F050E3" w:rsidRDefault="00646828" w:rsidP="008354C5">
            <w:pPr>
              <w:spacing w:after="0"/>
              <w:jc w:val="both"/>
              <w:rPr>
                <w:rFonts w:ascii="Times New Roman" w:hAnsi="Times New Roman"/>
                <w:lang w:eastAsia="es-DO"/>
              </w:rPr>
            </w:pPr>
            <w:r w:rsidRPr="00F050E3">
              <w:t>Reajustes de Sueldos</w:t>
            </w:r>
          </w:p>
        </w:tc>
        <w:tc>
          <w:tcPr>
            <w:tcW w:w="1568" w:type="dxa"/>
            <w:tcBorders>
              <w:top w:val="single" w:sz="4" w:space="0" w:color="auto"/>
              <w:left w:val="single" w:sz="4" w:space="0" w:color="auto"/>
              <w:bottom w:val="single" w:sz="4" w:space="0" w:color="auto"/>
              <w:right w:val="single" w:sz="4" w:space="0" w:color="auto"/>
            </w:tcBorders>
          </w:tcPr>
          <w:p w14:paraId="287123BF" w14:textId="77777777" w:rsidR="00646828" w:rsidRPr="00F050E3" w:rsidRDefault="00646828" w:rsidP="008354C5">
            <w:pPr>
              <w:spacing w:after="0"/>
              <w:jc w:val="center"/>
              <w:rPr>
                <w:rFonts w:ascii="Times New Roman" w:hAnsi="Times New Roman"/>
                <w:lang w:eastAsia="es-DO"/>
              </w:rPr>
            </w:pPr>
            <w:r w:rsidRPr="00F050E3">
              <w:t>2,456</w:t>
            </w:r>
          </w:p>
        </w:tc>
        <w:tc>
          <w:tcPr>
            <w:tcW w:w="1568" w:type="dxa"/>
            <w:tcBorders>
              <w:top w:val="single" w:sz="4" w:space="0" w:color="auto"/>
              <w:left w:val="single" w:sz="4" w:space="0" w:color="auto"/>
              <w:bottom w:val="single" w:sz="4" w:space="0" w:color="auto"/>
              <w:right w:val="single" w:sz="4" w:space="0" w:color="auto"/>
            </w:tcBorders>
            <w:shd w:val="clear" w:color="auto" w:fill="auto"/>
            <w:noWrap/>
          </w:tcPr>
          <w:p w14:paraId="17752B5C" w14:textId="77777777" w:rsidR="00646828" w:rsidRPr="00F050E3" w:rsidRDefault="00646828" w:rsidP="008354C5">
            <w:pPr>
              <w:spacing w:after="0"/>
              <w:jc w:val="center"/>
              <w:rPr>
                <w:rFonts w:ascii="Times New Roman" w:hAnsi="Times New Roman"/>
                <w:lang w:eastAsia="es-DO"/>
              </w:rPr>
            </w:pPr>
          </w:p>
        </w:tc>
      </w:tr>
      <w:tr w:rsidR="00646828" w:rsidRPr="00F050E3" w14:paraId="43B935EE" w14:textId="77777777" w:rsidTr="008354C5">
        <w:trPr>
          <w:trHeight w:val="315"/>
          <w:jc w:val="center"/>
        </w:trPr>
        <w:tc>
          <w:tcPr>
            <w:tcW w:w="4120" w:type="dxa"/>
            <w:tcBorders>
              <w:top w:val="single" w:sz="4" w:space="0" w:color="auto"/>
              <w:left w:val="single" w:sz="4" w:space="0" w:color="auto"/>
              <w:bottom w:val="single" w:sz="4" w:space="0" w:color="auto"/>
              <w:right w:val="single" w:sz="4" w:space="0" w:color="auto"/>
            </w:tcBorders>
            <w:shd w:val="clear" w:color="auto" w:fill="auto"/>
            <w:noWrap/>
          </w:tcPr>
          <w:p w14:paraId="62D75985" w14:textId="77777777" w:rsidR="00646828" w:rsidRPr="00F050E3" w:rsidRDefault="00646828" w:rsidP="008354C5">
            <w:pPr>
              <w:spacing w:after="0"/>
              <w:jc w:val="both"/>
              <w:rPr>
                <w:rFonts w:ascii="Times New Roman" w:hAnsi="Times New Roman"/>
                <w:lang w:eastAsia="es-DO"/>
              </w:rPr>
            </w:pPr>
            <w:r w:rsidRPr="00F050E3">
              <w:t>Exclusiones</w:t>
            </w:r>
          </w:p>
        </w:tc>
        <w:tc>
          <w:tcPr>
            <w:tcW w:w="1568" w:type="dxa"/>
            <w:tcBorders>
              <w:top w:val="single" w:sz="4" w:space="0" w:color="auto"/>
              <w:left w:val="single" w:sz="4" w:space="0" w:color="auto"/>
              <w:bottom w:val="single" w:sz="4" w:space="0" w:color="auto"/>
              <w:right w:val="single" w:sz="4" w:space="0" w:color="auto"/>
            </w:tcBorders>
          </w:tcPr>
          <w:p w14:paraId="7A921F8D" w14:textId="77777777" w:rsidR="00646828" w:rsidRPr="00F050E3" w:rsidRDefault="00646828" w:rsidP="008354C5">
            <w:pPr>
              <w:spacing w:after="0"/>
              <w:jc w:val="center"/>
              <w:rPr>
                <w:rFonts w:ascii="Times New Roman" w:hAnsi="Times New Roman"/>
                <w:lang w:eastAsia="es-DO"/>
              </w:rPr>
            </w:pPr>
            <w:r w:rsidRPr="00F050E3">
              <w:t>228</w:t>
            </w:r>
          </w:p>
        </w:tc>
        <w:tc>
          <w:tcPr>
            <w:tcW w:w="1568" w:type="dxa"/>
            <w:tcBorders>
              <w:top w:val="single" w:sz="4" w:space="0" w:color="auto"/>
              <w:left w:val="single" w:sz="4" w:space="0" w:color="auto"/>
              <w:bottom w:val="single" w:sz="4" w:space="0" w:color="auto"/>
              <w:right w:val="single" w:sz="4" w:space="0" w:color="auto"/>
            </w:tcBorders>
            <w:shd w:val="clear" w:color="auto" w:fill="auto"/>
            <w:noWrap/>
          </w:tcPr>
          <w:p w14:paraId="52D15510" w14:textId="77777777" w:rsidR="00646828" w:rsidRPr="00F050E3" w:rsidRDefault="00646828" w:rsidP="008354C5">
            <w:pPr>
              <w:spacing w:after="0"/>
              <w:jc w:val="center"/>
              <w:rPr>
                <w:rFonts w:ascii="Calibri" w:hAnsi="Calibri"/>
                <w:lang w:eastAsia="es-DO"/>
              </w:rPr>
            </w:pPr>
          </w:p>
        </w:tc>
      </w:tr>
      <w:tr w:rsidR="00646828" w:rsidRPr="00F050E3" w14:paraId="516A14D5" w14:textId="77777777" w:rsidTr="008354C5">
        <w:trPr>
          <w:trHeight w:val="315"/>
          <w:jc w:val="center"/>
        </w:trPr>
        <w:tc>
          <w:tcPr>
            <w:tcW w:w="4120" w:type="dxa"/>
            <w:tcBorders>
              <w:top w:val="single" w:sz="4" w:space="0" w:color="auto"/>
              <w:left w:val="single" w:sz="4" w:space="0" w:color="auto"/>
              <w:bottom w:val="single" w:sz="4" w:space="0" w:color="auto"/>
              <w:right w:val="single" w:sz="4" w:space="0" w:color="auto"/>
            </w:tcBorders>
            <w:shd w:val="clear" w:color="auto" w:fill="auto"/>
            <w:noWrap/>
          </w:tcPr>
          <w:p w14:paraId="3356D39D" w14:textId="77777777" w:rsidR="00646828" w:rsidRPr="00F050E3" w:rsidRDefault="00646828" w:rsidP="008354C5">
            <w:pPr>
              <w:spacing w:after="0"/>
              <w:jc w:val="both"/>
              <w:rPr>
                <w:rFonts w:ascii="Times New Roman" w:hAnsi="Times New Roman"/>
                <w:lang w:eastAsia="es-DO"/>
              </w:rPr>
            </w:pPr>
            <w:r w:rsidRPr="00F050E3">
              <w:t>Personal Contratado</w:t>
            </w:r>
          </w:p>
        </w:tc>
        <w:tc>
          <w:tcPr>
            <w:tcW w:w="1568" w:type="dxa"/>
            <w:tcBorders>
              <w:top w:val="single" w:sz="4" w:space="0" w:color="auto"/>
              <w:left w:val="single" w:sz="4" w:space="0" w:color="auto"/>
              <w:bottom w:val="single" w:sz="4" w:space="0" w:color="auto"/>
              <w:right w:val="single" w:sz="4" w:space="0" w:color="auto"/>
            </w:tcBorders>
          </w:tcPr>
          <w:p w14:paraId="2500F3F2" w14:textId="77777777" w:rsidR="00646828" w:rsidRPr="00F050E3" w:rsidRDefault="00646828" w:rsidP="008354C5">
            <w:pPr>
              <w:spacing w:after="0"/>
              <w:jc w:val="center"/>
              <w:rPr>
                <w:rFonts w:ascii="Times New Roman" w:hAnsi="Times New Roman"/>
                <w:lang w:eastAsia="es-DO"/>
              </w:rPr>
            </w:pPr>
            <w:r w:rsidRPr="00F050E3">
              <w:t>210</w:t>
            </w:r>
          </w:p>
        </w:tc>
        <w:tc>
          <w:tcPr>
            <w:tcW w:w="1568" w:type="dxa"/>
            <w:tcBorders>
              <w:top w:val="single" w:sz="4" w:space="0" w:color="auto"/>
              <w:left w:val="single" w:sz="4" w:space="0" w:color="auto"/>
              <w:bottom w:val="single" w:sz="4" w:space="0" w:color="auto"/>
              <w:right w:val="single" w:sz="4" w:space="0" w:color="auto"/>
            </w:tcBorders>
            <w:shd w:val="clear" w:color="auto" w:fill="auto"/>
            <w:noWrap/>
          </w:tcPr>
          <w:p w14:paraId="309B5073" w14:textId="77777777" w:rsidR="00646828" w:rsidRPr="00F050E3" w:rsidRDefault="00646828" w:rsidP="008354C5">
            <w:pPr>
              <w:spacing w:after="0"/>
              <w:jc w:val="center"/>
              <w:rPr>
                <w:rFonts w:ascii="Calibri" w:hAnsi="Calibri"/>
                <w:lang w:eastAsia="es-DO"/>
              </w:rPr>
            </w:pPr>
          </w:p>
        </w:tc>
      </w:tr>
      <w:tr w:rsidR="00646828" w:rsidRPr="00F050E3" w14:paraId="532603E8" w14:textId="77777777" w:rsidTr="008354C5">
        <w:trPr>
          <w:trHeight w:val="315"/>
          <w:jc w:val="center"/>
        </w:trPr>
        <w:tc>
          <w:tcPr>
            <w:tcW w:w="4120" w:type="dxa"/>
            <w:tcBorders>
              <w:top w:val="single" w:sz="4" w:space="0" w:color="auto"/>
              <w:left w:val="single" w:sz="4" w:space="0" w:color="auto"/>
              <w:bottom w:val="single" w:sz="4" w:space="0" w:color="auto"/>
              <w:right w:val="single" w:sz="4" w:space="0" w:color="auto"/>
            </w:tcBorders>
            <w:shd w:val="clear" w:color="auto" w:fill="auto"/>
            <w:noWrap/>
          </w:tcPr>
          <w:p w14:paraId="6DAE0D09" w14:textId="77777777" w:rsidR="00646828" w:rsidRPr="00F050E3" w:rsidRDefault="00646828" w:rsidP="008354C5">
            <w:pPr>
              <w:spacing w:after="0"/>
              <w:jc w:val="both"/>
              <w:rPr>
                <w:rFonts w:ascii="Times New Roman" w:hAnsi="Times New Roman"/>
                <w:lang w:eastAsia="es-DO"/>
              </w:rPr>
            </w:pPr>
            <w:r w:rsidRPr="00F050E3">
              <w:t>Traslados</w:t>
            </w:r>
          </w:p>
        </w:tc>
        <w:tc>
          <w:tcPr>
            <w:tcW w:w="1568" w:type="dxa"/>
            <w:tcBorders>
              <w:top w:val="single" w:sz="4" w:space="0" w:color="auto"/>
              <w:left w:val="single" w:sz="4" w:space="0" w:color="auto"/>
              <w:bottom w:val="single" w:sz="4" w:space="0" w:color="auto"/>
              <w:right w:val="single" w:sz="4" w:space="0" w:color="auto"/>
            </w:tcBorders>
          </w:tcPr>
          <w:p w14:paraId="4937146B" w14:textId="77777777" w:rsidR="00646828" w:rsidRPr="00F050E3" w:rsidRDefault="00646828" w:rsidP="008354C5">
            <w:pPr>
              <w:spacing w:after="0"/>
              <w:jc w:val="center"/>
              <w:rPr>
                <w:rFonts w:ascii="Times New Roman" w:hAnsi="Times New Roman"/>
                <w:lang w:eastAsia="es-DO"/>
              </w:rPr>
            </w:pPr>
            <w:r w:rsidRPr="00F050E3">
              <w:t>65</w:t>
            </w:r>
          </w:p>
        </w:tc>
        <w:tc>
          <w:tcPr>
            <w:tcW w:w="1568" w:type="dxa"/>
            <w:tcBorders>
              <w:top w:val="single" w:sz="4" w:space="0" w:color="auto"/>
              <w:left w:val="single" w:sz="4" w:space="0" w:color="auto"/>
              <w:bottom w:val="single" w:sz="4" w:space="0" w:color="auto"/>
              <w:right w:val="single" w:sz="4" w:space="0" w:color="auto"/>
            </w:tcBorders>
            <w:shd w:val="clear" w:color="auto" w:fill="auto"/>
            <w:noWrap/>
          </w:tcPr>
          <w:p w14:paraId="61173A57" w14:textId="77777777" w:rsidR="00646828" w:rsidRPr="00F050E3" w:rsidRDefault="00646828" w:rsidP="008354C5">
            <w:pPr>
              <w:spacing w:after="0"/>
              <w:jc w:val="center"/>
              <w:rPr>
                <w:rFonts w:ascii="Times New Roman" w:hAnsi="Times New Roman"/>
                <w:lang w:eastAsia="es-DO"/>
              </w:rPr>
            </w:pPr>
          </w:p>
        </w:tc>
      </w:tr>
      <w:tr w:rsidR="00646828" w:rsidRPr="00F050E3" w14:paraId="5E9AACB9" w14:textId="77777777" w:rsidTr="008354C5">
        <w:trPr>
          <w:trHeight w:val="315"/>
          <w:jc w:val="center"/>
        </w:trPr>
        <w:tc>
          <w:tcPr>
            <w:tcW w:w="4120" w:type="dxa"/>
            <w:tcBorders>
              <w:top w:val="single" w:sz="4" w:space="0" w:color="auto"/>
              <w:left w:val="single" w:sz="4" w:space="0" w:color="auto"/>
              <w:bottom w:val="single" w:sz="4" w:space="0" w:color="auto"/>
              <w:right w:val="single" w:sz="4" w:space="0" w:color="auto"/>
            </w:tcBorders>
            <w:shd w:val="clear" w:color="auto" w:fill="auto"/>
            <w:noWrap/>
          </w:tcPr>
          <w:p w14:paraId="7470AF20" w14:textId="77777777" w:rsidR="00646828" w:rsidRPr="00F050E3" w:rsidRDefault="00646828" w:rsidP="008354C5">
            <w:pPr>
              <w:spacing w:after="0"/>
              <w:jc w:val="both"/>
              <w:rPr>
                <w:rFonts w:ascii="Times New Roman" w:hAnsi="Times New Roman"/>
                <w:lang w:eastAsia="es-DO"/>
              </w:rPr>
            </w:pPr>
            <w:r w:rsidRPr="00F050E3">
              <w:t>Cambios de Cargo</w:t>
            </w:r>
          </w:p>
        </w:tc>
        <w:tc>
          <w:tcPr>
            <w:tcW w:w="1568" w:type="dxa"/>
            <w:tcBorders>
              <w:top w:val="single" w:sz="4" w:space="0" w:color="auto"/>
              <w:left w:val="single" w:sz="4" w:space="0" w:color="auto"/>
              <w:bottom w:val="single" w:sz="4" w:space="0" w:color="auto"/>
              <w:right w:val="single" w:sz="4" w:space="0" w:color="auto"/>
            </w:tcBorders>
          </w:tcPr>
          <w:p w14:paraId="21FB4248" w14:textId="77777777" w:rsidR="00646828" w:rsidRPr="00F050E3" w:rsidRDefault="00646828" w:rsidP="008354C5">
            <w:pPr>
              <w:spacing w:after="0"/>
              <w:jc w:val="center"/>
              <w:rPr>
                <w:rFonts w:ascii="Times New Roman" w:hAnsi="Times New Roman"/>
                <w:lang w:eastAsia="es-DO"/>
              </w:rPr>
            </w:pPr>
            <w:r w:rsidRPr="00F050E3">
              <w:t>41</w:t>
            </w:r>
          </w:p>
        </w:tc>
        <w:tc>
          <w:tcPr>
            <w:tcW w:w="1568" w:type="dxa"/>
            <w:tcBorders>
              <w:top w:val="single" w:sz="4" w:space="0" w:color="auto"/>
              <w:left w:val="single" w:sz="4" w:space="0" w:color="auto"/>
              <w:bottom w:val="single" w:sz="4" w:space="0" w:color="auto"/>
              <w:right w:val="single" w:sz="4" w:space="0" w:color="auto"/>
            </w:tcBorders>
            <w:shd w:val="clear" w:color="auto" w:fill="auto"/>
            <w:noWrap/>
          </w:tcPr>
          <w:p w14:paraId="3F2A8E1C" w14:textId="77777777" w:rsidR="00646828" w:rsidRPr="00F050E3" w:rsidRDefault="00646828" w:rsidP="008354C5">
            <w:pPr>
              <w:spacing w:after="0"/>
              <w:jc w:val="center"/>
              <w:rPr>
                <w:rFonts w:ascii="Times New Roman" w:hAnsi="Times New Roman"/>
                <w:lang w:eastAsia="es-DO"/>
              </w:rPr>
            </w:pPr>
          </w:p>
        </w:tc>
      </w:tr>
      <w:tr w:rsidR="00646828" w:rsidRPr="00F050E3" w14:paraId="517A15EA" w14:textId="77777777" w:rsidTr="008354C5">
        <w:trPr>
          <w:trHeight w:val="315"/>
          <w:jc w:val="center"/>
        </w:trPr>
        <w:tc>
          <w:tcPr>
            <w:tcW w:w="4120" w:type="dxa"/>
            <w:tcBorders>
              <w:top w:val="single" w:sz="4" w:space="0" w:color="auto"/>
              <w:left w:val="single" w:sz="4" w:space="0" w:color="auto"/>
              <w:bottom w:val="single" w:sz="4" w:space="0" w:color="auto"/>
              <w:right w:val="single" w:sz="4" w:space="0" w:color="auto"/>
            </w:tcBorders>
            <w:shd w:val="clear" w:color="auto" w:fill="auto"/>
            <w:noWrap/>
          </w:tcPr>
          <w:p w14:paraId="6EE12C44" w14:textId="77777777" w:rsidR="00646828" w:rsidRPr="00F050E3" w:rsidRDefault="00646828" w:rsidP="008354C5">
            <w:pPr>
              <w:spacing w:after="0"/>
              <w:jc w:val="both"/>
              <w:rPr>
                <w:rFonts w:ascii="Times New Roman" w:hAnsi="Times New Roman"/>
                <w:lang w:eastAsia="es-DO"/>
              </w:rPr>
            </w:pPr>
            <w:r w:rsidRPr="00F050E3">
              <w:t>Licencias médicas</w:t>
            </w:r>
          </w:p>
        </w:tc>
        <w:tc>
          <w:tcPr>
            <w:tcW w:w="1568" w:type="dxa"/>
            <w:tcBorders>
              <w:top w:val="single" w:sz="4" w:space="0" w:color="auto"/>
              <w:left w:val="single" w:sz="4" w:space="0" w:color="auto"/>
              <w:bottom w:val="single" w:sz="4" w:space="0" w:color="auto"/>
              <w:right w:val="single" w:sz="4" w:space="0" w:color="auto"/>
            </w:tcBorders>
          </w:tcPr>
          <w:p w14:paraId="4F6C1E98" w14:textId="77777777" w:rsidR="00646828" w:rsidRPr="00F050E3" w:rsidRDefault="00646828" w:rsidP="008354C5">
            <w:pPr>
              <w:spacing w:after="0"/>
              <w:jc w:val="center"/>
              <w:rPr>
                <w:rFonts w:ascii="Times New Roman" w:hAnsi="Times New Roman"/>
                <w:lang w:eastAsia="es-DO"/>
              </w:rPr>
            </w:pPr>
            <w:r w:rsidRPr="00F050E3">
              <w:t>619</w:t>
            </w:r>
          </w:p>
        </w:tc>
        <w:tc>
          <w:tcPr>
            <w:tcW w:w="1568" w:type="dxa"/>
            <w:tcBorders>
              <w:top w:val="single" w:sz="4" w:space="0" w:color="auto"/>
              <w:left w:val="single" w:sz="4" w:space="0" w:color="auto"/>
              <w:bottom w:val="single" w:sz="4" w:space="0" w:color="auto"/>
              <w:right w:val="single" w:sz="4" w:space="0" w:color="auto"/>
            </w:tcBorders>
            <w:shd w:val="clear" w:color="auto" w:fill="auto"/>
            <w:noWrap/>
          </w:tcPr>
          <w:p w14:paraId="01DE8AA9" w14:textId="77777777" w:rsidR="00646828" w:rsidRPr="00F050E3" w:rsidRDefault="00646828" w:rsidP="008354C5">
            <w:pPr>
              <w:spacing w:after="0"/>
              <w:jc w:val="center"/>
              <w:rPr>
                <w:rFonts w:ascii="Times New Roman" w:hAnsi="Times New Roman"/>
                <w:lang w:eastAsia="es-DO"/>
              </w:rPr>
            </w:pPr>
            <w:r w:rsidRPr="00F050E3">
              <w:t>634</w:t>
            </w:r>
          </w:p>
        </w:tc>
      </w:tr>
      <w:tr w:rsidR="00646828" w:rsidRPr="00F050E3" w14:paraId="705D89D5" w14:textId="77777777" w:rsidTr="008354C5">
        <w:trPr>
          <w:trHeight w:val="315"/>
          <w:jc w:val="center"/>
        </w:trPr>
        <w:tc>
          <w:tcPr>
            <w:tcW w:w="4120" w:type="dxa"/>
            <w:tcBorders>
              <w:top w:val="single" w:sz="4" w:space="0" w:color="auto"/>
              <w:left w:val="single" w:sz="4" w:space="0" w:color="auto"/>
              <w:bottom w:val="single" w:sz="4" w:space="0" w:color="auto"/>
              <w:right w:val="single" w:sz="4" w:space="0" w:color="auto"/>
            </w:tcBorders>
            <w:shd w:val="clear" w:color="auto" w:fill="auto"/>
            <w:noWrap/>
          </w:tcPr>
          <w:p w14:paraId="53A78568" w14:textId="77777777" w:rsidR="00646828" w:rsidRPr="00F050E3" w:rsidRDefault="00646828" w:rsidP="008354C5">
            <w:pPr>
              <w:spacing w:after="0"/>
              <w:jc w:val="both"/>
              <w:rPr>
                <w:rFonts w:ascii="Times New Roman" w:hAnsi="Times New Roman"/>
                <w:lang w:eastAsia="es-DO"/>
              </w:rPr>
            </w:pPr>
            <w:r w:rsidRPr="00F050E3">
              <w:t>Vacaciones</w:t>
            </w:r>
          </w:p>
        </w:tc>
        <w:tc>
          <w:tcPr>
            <w:tcW w:w="1568" w:type="dxa"/>
            <w:tcBorders>
              <w:top w:val="single" w:sz="4" w:space="0" w:color="auto"/>
              <w:left w:val="single" w:sz="4" w:space="0" w:color="auto"/>
              <w:bottom w:val="single" w:sz="4" w:space="0" w:color="auto"/>
              <w:right w:val="single" w:sz="4" w:space="0" w:color="auto"/>
            </w:tcBorders>
          </w:tcPr>
          <w:p w14:paraId="5CB5B7A1" w14:textId="77777777" w:rsidR="00646828" w:rsidRPr="00F050E3" w:rsidRDefault="00646828" w:rsidP="008354C5">
            <w:pPr>
              <w:spacing w:after="0"/>
              <w:jc w:val="center"/>
              <w:rPr>
                <w:rFonts w:ascii="Times New Roman" w:hAnsi="Times New Roman"/>
                <w:lang w:eastAsia="es-DO"/>
              </w:rPr>
            </w:pPr>
            <w:r w:rsidRPr="00F050E3">
              <w:t>1,238</w:t>
            </w:r>
          </w:p>
        </w:tc>
        <w:tc>
          <w:tcPr>
            <w:tcW w:w="1568" w:type="dxa"/>
            <w:tcBorders>
              <w:top w:val="single" w:sz="4" w:space="0" w:color="auto"/>
              <w:left w:val="single" w:sz="4" w:space="0" w:color="auto"/>
              <w:bottom w:val="single" w:sz="4" w:space="0" w:color="auto"/>
              <w:right w:val="single" w:sz="4" w:space="0" w:color="auto"/>
            </w:tcBorders>
            <w:shd w:val="clear" w:color="auto" w:fill="auto"/>
            <w:noWrap/>
          </w:tcPr>
          <w:p w14:paraId="425274F4" w14:textId="77777777" w:rsidR="00646828" w:rsidRPr="00F050E3" w:rsidRDefault="00646828" w:rsidP="008354C5">
            <w:pPr>
              <w:spacing w:after="0"/>
              <w:jc w:val="center"/>
              <w:rPr>
                <w:rFonts w:ascii="Times New Roman" w:hAnsi="Times New Roman"/>
                <w:lang w:eastAsia="es-DO"/>
              </w:rPr>
            </w:pPr>
            <w:r w:rsidRPr="00F050E3">
              <w:t>1,013</w:t>
            </w:r>
          </w:p>
        </w:tc>
      </w:tr>
      <w:tr w:rsidR="00646828" w:rsidRPr="00F050E3" w14:paraId="7AF4F53C" w14:textId="77777777" w:rsidTr="008354C5">
        <w:trPr>
          <w:trHeight w:val="315"/>
          <w:jc w:val="center"/>
        </w:trPr>
        <w:tc>
          <w:tcPr>
            <w:tcW w:w="4120" w:type="dxa"/>
            <w:tcBorders>
              <w:top w:val="single" w:sz="4" w:space="0" w:color="auto"/>
              <w:left w:val="single" w:sz="4" w:space="0" w:color="auto"/>
              <w:bottom w:val="single" w:sz="4" w:space="0" w:color="auto"/>
              <w:right w:val="single" w:sz="4" w:space="0" w:color="auto"/>
            </w:tcBorders>
            <w:shd w:val="clear" w:color="auto" w:fill="auto"/>
            <w:noWrap/>
          </w:tcPr>
          <w:p w14:paraId="4F7D9E5F" w14:textId="77777777" w:rsidR="00646828" w:rsidRPr="00F050E3" w:rsidRDefault="00646828" w:rsidP="008354C5">
            <w:pPr>
              <w:spacing w:after="0"/>
              <w:jc w:val="both"/>
              <w:rPr>
                <w:rFonts w:ascii="Times New Roman" w:hAnsi="Times New Roman"/>
                <w:lang w:eastAsia="es-DO"/>
              </w:rPr>
            </w:pPr>
            <w:r w:rsidRPr="00F050E3">
              <w:t>Permisos</w:t>
            </w:r>
          </w:p>
        </w:tc>
        <w:tc>
          <w:tcPr>
            <w:tcW w:w="1568" w:type="dxa"/>
            <w:tcBorders>
              <w:top w:val="single" w:sz="4" w:space="0" w:color="auto"/>
              <w:left w:val="single" w:sz="4" w:space="0" w:color="auto"/>
              <w:bottom w:val="single" w:sz="4" w:space="0" w:color="auto"/>
              <w:right w:val="single" w:sz="4" w:space="0" w:color="auto"/>
            </w:tcBorders>
          </w:tcPr>
          <w:p w14:paraId="2131953B" w14:textId="77777777" w:rsidR="00646828" w:rsidRPr="00F050E3" w:rsidRDefault="00646828" w:rsidP="008354C5">
            <w:pPr>
              <w:spacing w:after="0"/>
              <w:jc w:val="center"/>
              <w:rPr>
                <w:rFonts w:ascii="Times New Roman" w:hAnsi="Times New Roman"/>
                <w:lang w:eastAsia="es-DO"/>
              </w:rPr>
            </w:pPr>
            <w:r w:rsidRPr="00F050E3">
              <w:t>816</w:t>
            </w:r>
          </w:p>
        </w:tc>
        <w:tc>
          <w:tcPr>
            <w:tcW w:w="1568" w:type="dxa"/>
            <w:tcBorders>
              <w:top w:val="single" w:sz="4" w:space="0" w:color="auto"/>
              <w:left w:val="single" w:sz="4" w:space="0" w:color="auto"/>
              <w:bottom w:val="single" w:sz="4" w:space="0" w:color="auto"/>
              <w:right w:val="single" w:sz="4" w:space="0" w:color="auto"/>
            </w:tcBorders>
            <w:shd w:val="clear" w:color="auto" w:fill="auto"/>
            <w:noWrap/>
          </w:tcPr>
          <w:p w14:paraId="0636AF6F" w14:textId="77777777" w:rsidR="00646828" w:rsidRPr="00F050E3" w:rsidRDefault="00646828" w:rsidP="008354C5">
            <w:pPr>
              <w:spacing w:after="0"/>
              <w:jc w:val="center"/>
              <w:rPr>
                <w:rFonts w:ascii="Times New Roman" w:hAnsi="Times New Roman"/>
                <w:lang w:eastAsia="es-DO"/>
              </w:rPr>
            </w:pPr>
            <w:r w:rsidRPr="00F050E3">
              <w:t xml:space="preserve"> -</w:t>
            </w:r>
          </w:p>
        </w:tc>
      </w:tr>
      <w:tr w:rsidR="00646828" w:rsidRPr="00F050E3" w14:paraId="105C8051" w14:textId="77777777" w:rsidTr="008354C5">
        <w:trPr>
          <w:trHeight w:val="315"/>
          <w:jc w:val="center"/>
        </w:trPr>
        <w:tc>
          <w:tcPr>
            <w:tcW w:w="4120" w:type="dxa"/>
            <w:tcBorders>
              <w:top w:val="single" w:sz="4" w:space="0" w:color="auto"/>
              <w:left w:val="single" w:sz="4" w:space="0" w:color="auto"/>
              <w:bottom w:val="single" w:sz="4" w:space="0" w:color="auto"/>
              <w:right w:val="single" w:sz="4" w:space="0" w:color="auto"/>
            </w:tcBorders>
            <w:shd w:val="clear" w:color="auto" w:fill="auto"/>
            <w:noWrap/>
          </w:tcPr>
          <w:p w14:paraId="2270FCAE" w14:textId="77777777" w:rsidR="00646828" w:rsidRPr="00F050E3" w:rsidRDefault="00646828" w:rsidP="008354C5">
            <w:pPr>
              <w:spacing w:after="0"/>
              <w:jc w:val="both"/>
              <w:rPr>
                <w:rFonts w:ascii="Times New Roman" w:hAnsi="Times New Roman"/>
                <w:lang w:eastAsia="es-DO"/>
              </w:rPr>
            </w:pPr>
            <w:r w:rsidRPr="00F050E3">
              <w:t>Permisos de Estudios</w:t>
            </w:r>
          </w:p>
        </w:tc>
        <w:tc>
          <w:tcPr>
            <w:tcW w:w="1568" w:type="dxa"/>
            <w:tcBorders>
              <w:top w:val="single" w:sz="4" w:space="0" w:color="auto"/>
              <w:left w:val="single" w:sz="4" w:space="0" w:color="auto"/>
              <w:bottom w:val="single" w:sz="4" w:space="0" w:color="auto"/>
              <w:right w:val="single" w:sz="4" w:space="0" w:color="auto"/>
            </w:tcBorders>
          </w:tcPr>
          <w:p w14:paraId="639A58AE" w14:textId="77777777" w:rsidR="00646828" w:rsidRPr="00F050E3" w:rsidRDefault="00646828" w:rsidP="008354C5">
            <w:pPr>
              <w:spacing w:after="0"/>
              <w:jc w:val="center"/>
              <w:rPr>
                <w:rFonts w:ascii="Times New Roman" w:hAnsi="Times New Roman"/>
                <w:lang w:eastAsia="es-DO"/>
              </w:rPr>
            </w:pPr>
            <w:r w:rsidRPr="00F050E3">
              <w:t>65</w:t>
            </w:r>
          </w:p>
        </w:tc>
        <w:tc>
          <w:tcPr>
            <w:tcW w:w="1568" w:type="dxa"/>
            <w:tcBorders>
              <w:top w:val="single" w:sz="4" w:space="0" w:color="auto"/>
              <w:left w:val="single" w:sz="4" w:space="0" w:color="auto"/>
              <w:bottom w:val="single" w:sz="4" w:space="0" w:color="auto"/>
              <w:right w:val="single" w:sz="4" w:space="0" w:color="auto"/>
            </w:tcBorders>
            <w:shd w:val="clear" w:color="auto" w:fill="auto"/>
            <w:noWrap/>
          </w:tcPr>
          <w:p w14:paraId="3348F144" w14:textId="77777777" w:rsidR="00646828" w:rsidRPr="00F050E3" w:rsidRDefault="00646828" w:rsidP="008354C5">
            <w:pPr>
              <w:spacing w:after="0"/>
              <w:jc w:val="center"/>
              <w:rPr>
                <w:rFonts w:ascii="Times New Roman" w:hAnsi="Times New Roman"/>
                <w:lang w:eastAsia="es-DO"/>
              </w:rPr>
            </w:pPr>
            <w:r w:rsidRPr="00F050E3">
              <w:t xml:space="preserve"> -</w:t>
            </w:r>
          </w:p>
        </w:tc>
      </w:tr>
      <w:tr w:rsidR="00646828" w:rsidRPr="00F050E3" w14:paraId="750027C9" w14:textId="77777777" w:rsidTr="008354C5">
        <w:trPr>
          <w:trHeight w:val="315"/>
          <w:jc w:val="center"/>
        </w:trPr>
        <w:tc>
          <w:tcPr>
            <w:tcW w:w="4120" w:type="dxa"/>
            <w:tcBorders>
              <w:top w:val="single" w:sz="4" w:space="0" w:color="auto"/>
              <w:left w:val="single" w:sz="4" w:space="0" w:color="auto"/>
              <w:bottom w:val="single" w:sz="4" w:space="0" w:color="auto"/>
              <w:right w:val="single" w:sz="4" w:space="0" w:color="auto"/>
            </w:tcBorders>
            <w:shd w:val="clear" w:color="auto" w:fill="auto"/>
            <w:noWrap/>
          </w:tcPr>
          <w:p w14:paraId="47B36942" w14:textId="77777777" w:rsidR="00646828" w:rsidRPr="00F050E3" w:rsidRDefault="00646828" w:rsidP="008354C5">
            <w:pPr>
              <w:spacing w:after="0"/>
              <w:jc w:val="both"/>
              <w:rPr>
                <w:rFonts w:ascii="Times New Roman" w:hAnsi="Times New Roman"/>
                <w:lang w:eastAsia="es-DO"/>
              </w:rPr>
            </w:pPr>
            <w:r w:rsidRPr="00F050E3">
              <w:t>Licencias de Estudios</w:t>
            </w:r>
          </w:p>
        </w:tc>
        <w:tc>
          <w:tcPr>
            <w:tcW w:w="1568" w:type="dxa"/>
            <w:tcBorders>
              <w:top w:val="single" w:sz="4" w:space="0" w:color="auto"/>
              <w:left w:val="single" w:sz="4" w:space="0" w:color="auto"/>
              <w:bottom w:val="single" w:sz="4" w:space="0" w:color="auto"/>
              <w:right w:val="single" w:sz="4" w:space="0" w:color="auto"/>
            </w:tcBorders>
          </w:tcPr>
          <w:p w14:paraId="48D9EDE8" w14:textId="77777777" w:rsidR="00646828" w:rsidRPr="00F050E3" w:rsidRDefault="00646828" w:rsidP="008354C5">
            <w:pPr>
              <w:spacing w:after="0"/>
              <w:jc w:val="center"/>
              <w:rPr>
                <w:rFonts w:ascii="Times New Roman" w:hAnsi="Times New Roman"/>
                <w:lang w:eastAsia="es-DO"/>
              </w:rPr>
            </w:pPr>
            <w:r w:rsidRPr="00F050E3">
              <w:t>02</w:t>
            </w:r>
          </w:p>
        </w:tc>
        <w:tc>
          <w:tcPr>
            <w:tcW w:w="1568" w:type="dxa"/>
            <w:tcBorders>
              <w:top w:val="single" w:sz="4" w:space="0" w:color="auto"/>
              <w:left w:val="single" w:sz="4" w:space="0" w:color="auto"/>
              <w:bottom w:val="single" w:sz="4" w:space="0" w:color="auto"/>
              <w:right w:val="single" w:sz="4" w:space="0" w:color="auto"/>
            </w:tcBorders>
            <w:shd w:val="clear" w:color="auto" w:fill="auto"/>
            <w:noWrap/>
          </w:tcPr>
          <w:p w14:paraId="6B88AA74" w14:textId="77777777" w:rsidR="00646828" w:rsidRPr="00F050E3" w:rsidRDefault="00646828" w:rsidP="008354C5">
            <w:pPr>
              <w:spacing w:after="0"/>
              <w:jc w:val="center"/>
              <w:rPr>
                <w:rFonts w:ascii="Times New Roman" w:hAnsi="Times New Roman"/>
                <w:lang w:eastAsia="es-DO"/>
              </w:rPr>
            </w:pPr>
          </w:p>
        </w:tc>
      </w:tr>
      <w:tr w:rsidR="00646828" w:rsidRPr="00F050E3" w14:paraId="4D8ACF9C" w14:textId="77777777" w:rsidTr="008354C5">
        <w:trPr>
          <w:trHeight w:val="315"/>
          <w:jc w:val="center"/>
        </w:trPr>
        <w:tc>
          <w:tcPr>
            <w:tcW w:w="4120" w:type="dxa"/>
            <w:tcBorders>
              <w:top w:val="single" w:sz="4" w:space="0" w:color="auto"/>
              <w:left w:val="single" w:sz="4" w:space="0" w:color="auto"/>
              <w:bottom w:val="single" w:sz="4" w:space="0" w:color="auto"/>
              <w:right w:val="single" w:sz="4" w:space="0" w:color="auto"/>
            </w:tcBorders>
            <w:shd w:val="clear" w:color="auto" w:fill="auto"/>
            <w:noWrap/>
          </w:tcPr>
          <w:p w14:paraId="22034FC5" w14:textId="77777777" w:rsidR="00646828" w:rsidRPr="00F050E3" w:rsidRDefault="00646828" w:rsidP="008354C5">
            <w:pPr>
              <w:spacing w:after="0"/>
              <w:jc w:val="both"/>
              <w:rPr>
                <w:rFonts w:ascii="Times New Roman" w:hAnsi="Times New Roman"/>
                <w:lang w:eastAsia="es-DO"/>
              </w:rPr>
            </w:pPr>
            <w:r w:rsidRPr="00F050E3">
              <w:t>Licencia Pre y Post Natal</w:t>
            </w:r>
          </w:p>
        </w:tc>
        <w:tc>
          <w:tcPr>
            <w:tcW w:w="1568" w:type="dxa"/>
            <w:tcBorders>
              <w:top w:val="single" w:sz="4" w:space="0" w:color="auto"/>
              <w:left w:val="single" w:sz="4" w:space="0" w:color="auto"/>
              <w:bottom w:val="single" w:sz="4" w:space="0" w:color="auto"/>
              <w:right w:val="single" w:sz="4" w:space="0" w:color="auto"/>
            </w:tcBorders>
          </w:tcPr>
          <w:p w14:paraId="7417F4E1" w14:textId="77777777" w:rsidR="00646828" w:rsidRPr="00F050E3" w:rsidRDefault="00646828" w:rsidP="008354C5">
            <w:pPr>
              <w:spacing w:after="0"/>
              <w:jc w:val="center"/>
              <w:rPr>
                <w:rFonts w:ascii="Times New Roman" w:hAnsi="Times New Roman"/>
                <w:lang w:eastAsia="es-DO"/>
              </w:rPr>
            </w:pPr>
            <w:r w:rsidRPr="00F050E3">
              <w:t>09</w:t>
            </w:r>
          </w:p>
        </w:tc>
        <w:tc>
          <w:tcPr>
            <w:tcW w:w="1568" w:type="dxa"/>
            <w:tcBorders>
              <w:top w:val="single" w:sz="4" w:space="0" w:color="auto"/>
              <w:left w:val="single" w:sz="4" w:space="0" w:color="auto"/>
              <w:bottom w:val="single" w:sz="4" w:space="0" w:color="auto"/>
              <w:right w:val="single" w:sz="4" w:space="0" w:color="auto"/>
            </w:tcBorders>
            <w:shd w:val="clear" w:color="auto" w:fill="auto"/>
            <w:noWrap/>
          </w:tcPr>
          <w:p w14:paraId="561A6468" w14:textId="77777777" w:rsidR="00646828" w:rsidRPr="00F050E3" w:rsidRDefault="00646828" w:rsidP="008354C5">
            <w:pPr>
              <w:spacing w:after="0"/>
              <w:jc w:val="center"/>
              <w:rPr>
                <w:rFonts w:ascii="Times New Roman" w:hAnsi="Times New Roman"/>
                <w:lang w:eastAsia="es-DO"/>
              </w:rPr>
            </w:pPr>
          </w:p>
        </w:tc>
      </w:tr>
      <w:tr w:rsidR="00646828" w:rsidRPr="00F050E3" w14:paraId="1339978C" w14:textId="77777777" w:rsidTr="008354C5">
        <w:trPr>
          <w:trHeight w:val="315"/>
          <w:jc w:val="center"/>
        </w:trPr>
        <w:tc>
          <w:tcPr>
            <w:tcW w:w="4120" w:type="dxa"/>
            <w:tcBorders>
              <w:top w:val="single" w:sz="4" w:space="0" w:color="auto"/>
              <w:left w:val="single" w:sz="4" w:space="0" w:color="auto"/>
              <w:bottom w:val="single" w:sz="4" w:space="0" w:color="auto"/>
              <w:right w:val="single" w:sz="4" w:space="0" w:color="auto"/>
            </w:tcBorders>
            <w:shd w:val="clear" w:color="auto" w:fill="auto"/>
            <w:noWrap/>
          </w:tcPr>
          <w:p w14:paraId="614B67BD" w14:textId="77777777" w:rsidR="00646828" w:rsidRPr="00F050E3" w:rsidRDefault="00646828" w:rsidP="008354C5">
            <w:pPr>
              <w:spacing w:after="0"/>
              <w:jc w:val="both"/>
              <w:rPr>
                <w:rFonts w:ascii="Times New Roman" w:hAnsi="Times New Roman"/>
                <w:lang w:eastAsia="es-DO"/>
              </w:rPr>
            </w:pPr>
            <w:r w:rsidRPr="00F050E3">
              <w:t>Comisiones de servicios</w:t>
            </w:r>
          </w:p>
        </w:tc>
        <w:tc>
          <w:tcPr>
            <w:tcW w:w="1568" w:type="dxa"/>
            <w:tcBorders>
              <w:top w:val="single" w:sz="4" w:space="0" w:color="auto"/>
              <w:left w:val="single" w:sz="4" w:space="0" w:color="auto"/>
              <w:bottom w:val="single" w:sz="4" w:space="0" w:color="auto"/>
              <w:right w:val="single" w:sz="4" w:space="0" w:color="auto"/>
            </w:tcBorders>
          </w:tcPr>
          <w:p w14:paraId="24D7B639" w14:textId="77777777" w:rsidR="00646828" w:rsidRPr="00F050E3" w:rsidRDefault="00646828" w:rsidP="008354C5">
            <w:pPr>
              <w:spacing w:after="0"/>
              <w:jc w:val="center"/>
              <w:rPr>
                <w:rFonts w:ascii="Times New Roman" w:hAnsi="Times New Roman"/>
                <w:lang w:eastAsia="es-DO"/>
              </w:rPr>
            </w:pPr>
            <w:r w:rsidRPr="00F050E3">
              <w:t>0</w:t>
            </w:r>
          </w:p>
        </w:tc>
        <w:tc>
          <w:tcPr>
            <w:tcW w:w="1568" w:type="dxa"/>
            <w:tcBorders>
              <w:top w:val="single" w:sz="4" w:space="0" w:color="auto"/>
              <w:left w:val="single" w:sz="4" w:space="0" w:color="auto"/>
              <w:bottom w:val="single" w:sz="4" w:space="0" w:color="auto"/>
              <w:right w:val="single" w:sz="4" w:space="0" w:color="auto"/>
            </w:tcBorders>
            <w:shd w:val="clear" w:color="auto" w:fill="auto"/>
            <w:noWrap/>
          </w:tcPr>
          <w:p w14:paraId="02766627" w14:textId="77777777" w:rsidR="00646828" w:rsidRPr="00F050E3" w:rsidRDefault="00646828" w:rsidP="008354C5">
            <w:pPr>
              <w:spacing w:after="0"/>
              <w:jc w:val="center"/>
              <w:rPr>
                <w:rFonts w:ascii="Times New Roman" w:hAnsi="Times New Roman"/>
                <w:lang w:eastAsia="es-DO"/>
              </w:rPr>
            </w:pPr>
            <w:r w:rsidRPr="00F050E3">
              <w:t>1</w:t>
            </w:r>
          </w:p>
        </w:tc>
      </w:tr>
      <w:tr w:rsidR="00646828" w:rsidRPr="0044226E" w14:paraId="03258F83" w14:textId="77777777" w:rsidTr="008354C5">
        <w:trPr>
          <w:trHeight w:val="315"/>
          <w:jc w:val="center"/>
        </w:trPr>
        <w:tc>
          <w:tcPr>
            <w:tcW w:w="41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77A43D" w14:textId="77777777" w:rsidR="00646828" w:rsidRPr="00F050E3" w:rsidRDefault="00646828" w:rsidP="008354C5">
            <w:pPr>
              <w:spacing w:after="0"/>
              <w:jc w:val="both"/>
              <w:rPr>
                <w:rFonts w:ascii="Times New Roman" w:hAnsi="Times New Roman"/>
                <w:lang w:eastAsia="es-DO"/>
              </w:rPr>
            </w:pPr>
            <w:r w:rsidRPr="00F050E3">
              <w:rPr>
                <w:rFonts w:ascii="Times New Roman" w:hAnsi="Times New Roman"/>
                <w:lang w:val="pt-BR" w:eastAsia="es-DO"/>
              </w:rPr>
              <w:t>Licencia sin disfrute de sueldo</w:t>
            </w:r>
          </w:p>
        </w:tc>
        <w:tc>
          <w:tcPr>
            <w:tcW w:w="1568" w:type="dxa"/>
            <w:tcBorders>
              <w:top w:val="single" w:sz="4" w:space="0" w:color="auto"/>
              <w:left w:val="single" w:sz="4" w:space="0" w:color="auto"/>
              <w:bottom w:val="single" w:sz="4" w:space="0" w:color="auto"/>
              <w:right w:val="single" w:sz="4" w:space="0" w:color="auto"/>
            </w:tcBorders>
            <w:vAlign w:val="center"/>
          </w:tcPr>
          <w:p w14:paraId="3FE4827D" w14:textId="77777777" w:rsidR="00646828" w:rsidRPr="00F050E3" w:rsidRDefault="00646828" w:rsidP="008354C5">
            <w:pPr>
              <w:spacing w:after="0"/>
              <w:jc w:val="center"/>
              <w:rPr>
                <w:rFonts w:ascii="Times New Roman" w:hAnsi="Times New Roman"/>
                <w:lang w:eastAsia="es-DO"/>
              </w:rPr>
            </w:pPr>
            <w:r w:rsidRPr="00F050E3">
              <w:rPr>
                <w:rFonts w:ascii="Times New Roman" w:hAnsi="Times New Roman"/>
                <w:lang w:eastAsia="es-DO"/>
              </w:rPr>
              <w:t>2</w:t>
            </w:r>
          </w:p>
        </w:tc>
        <w:tc>
          <w:tcPr>
            <w:tcW w:w="1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6ED671" w14:textId="77777777" w:rsidR="00646828" w:rsidRPr="00F050E3" w:rsidRDefault="00646828" w:rsidP="008354C5">
            <w:pPr>
              <w:spacing w:after="0"/>
              <w:jc w:val="center"/>
              <w:rPr>
                <w:rFonts w:ascii="Times New Roman" w:hAnsi="Times New Roman"/>
                <w:lang w:eastAsia="es-DO"/>
              </w:rPr>
            </w:pPr>
            <w:r w:rsidRPr="00F050E3">
              <w:rPr>
                <w:rFonts w:ascii="Times New Roman" w:hAnsi="Times New Roman"/>
                <w:lang w:eastAsia="es-DO"/>
              </w:rPr>
              <w:t>1</w:t>
            </w:r>
          </w:p>
        </w:tc>
      </w:tr>
    </w:tbl>
    <w:p w14:paraId="52FF3BA0" w14:textId="77777777" w:rsidR="00646828" w:rsidRDefault="00646828" w:rsidP="00646828">
      <w:pPr>
        <w:spacing w:after="0" w:line="480" w:lineRule="auto"/>
        <w:ind w:firstLine="720"/>
        <w:jc w:val="both"/>
        <w:rPr>
          <w:rFonts w:ascii="Times New Roman" w:hAnsi="Times New Roman"/>
        </w:rPr>
      </w:pPr>
    </w:p>
    <w:p w14:paraId="249F5B52" w14:textId="7777777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t>En otro orden, la Institución se encuentra en la fase final de reajuste y adecuación de la estructura organizativa del sistema AVACOMP, lo que permitirá, acceder a las demás áreas administrativas de la institución y al control de almuerzos mediante identificación de las huellas dactilares, en beneficio de empleados del MA.</w:t>
      </w:r>
    </w:p>
    <w:p w14:paraId="107F1C61" w14:textId="77777777" w:rsidR="00646828" w:rsidRPr="00F050E3" w:rsidRDefault="00646828" w:rsidP="00646828">
      <w:pPr>
        <w:spacing w:after="0" w:line="480" w:lineRule="auto"/>
        <w:ind w:firstLine="720"/>
        <w:jc w:val="both"/>
        <w:rPr>
          <w:rFonts w:ascii="Times New Roman" w:hAnsi="Times New Roman"/>
        </w:rPr>
      </w:pPr>
    </w:p>
    <w:p w14:paraId="77706291" w14:textId="77777777" w:rsidR="00646828" w:rsidRPr="00F050E3" w:rsidRDefault="00646828" w:rsidP="00646828">
      <w:pPr>
        <w:pStyle w:val="Prrafodelista"/>
        <w:spacing w:after="0" w:line="480" w:lineRule="auto"/>
        <w:ind w:left="0" w:firstLine="720"/>
        <w:jc w:val="both"/>
        <w:rPr>
          <w:rFonts w:ascii="Times New Roman" w:hAnsi="Times New Roman"/>
          <w:b/>
          <w:sz w:val="28"/>
        </w:rPr>
      </w:pPr>
      <w:r w:rsidRPr="00F050E3">
        <w:rPr>
          <w:rFonts w:ascii="Times New Roman" w:hAnsi="Times New Roman"/>
          <w:b/>
          <w:sz w:val="28"/>
        </w:rPr>
        <w:t>Concursos públicos</w:t>
      </w:r>
    </w:p>
    <w:p w14:paraId="2D8250C2" w14:textId="7777777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t>La Ley no. 41-08 de Función Pública, en su Reglamento No. 251-15 de Reclutamiento y Selección de Personal para ocupar cargos de Carrera Administrativa en la Administración Pública Dominicana.</w:t>
      </w:r>
    </w:p>
    <w:p w14:paraId="7B60F485" w14:textId="77777777" w:rsidR="00646828" w:rsidRPr="00F050E3" w:rsidRDefault="00646828" w:rsidP="00646828">
      <w:pPr>
        <w:spacing w:after="0" w:line="480" w:lineRule="auto"/>
        <w:ind w:firstLine="720"/>
        <w:jc w:val="both"/>
        <w:rPr>
          <w:rFonts w:ascii="Times New Roman" w:hAnsi="Times New Roman"/>
        </w:rPr>
      </w:pPr>
    </w:p>
    <w:p w14:paraId="51918E8C" w14:textId="7777777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lastRenderedPageBreak/>
        <w:t xml:space="preserve">Tomando en consideración los requerimientos señalados Art. No. 8, cabe destacar que el reglamento No. 524-09, de la Ley No. 41-08 de Función Pública, ofrece los lineamientos que deben darse en la Administración Pública, para implementar el subsistema de reclutamiento y selección de personal, para procurar atraer y captar ciudadanos con vocación de servicio, capacidad e idoneidad, con el propósito de que puedan brindar servicios públicos de calidad que permitan satisfacer las demandas de los usuarios. </w:t>
      </w:r>
    </w:p>
    <w:p w14:paraId="581670FE" w14:textId="77777777" w:rsidR="00646828" w:rsidRPr="00F050E3" w:rsidRDefault="00646828" w:rsidP="00646828">
      <w:pPr>
        <w:spacing w:after="0" w:line="480" w:lineRule="auto"/>
        <w:ind w:firstLine="720"/>
        <w:jc w:val="both"/>
        <w:rPr>
          <w:rFonts w:ascii="Times New Roman" w:hAnsi="Times New Roman"/>
        </w:rPr>
      </w:pPr>
    </w:p>
    <w:p w14:paraId="6FF99BD5" w14:textId="77777777" w:rsidR="00646828" w:rsidRDefault="00646828" w:rsidP="00646828">
      <w:pPr>
        <w:spacing w:after="0" w:line="480" w:lineRule="auto"/>
        <w:ind w:firstLine="720"/>
        <w:jc w:val="both"/>
        <w:rPr>
          <w:rFonts w:ascii="Times New Roman" w:hAnsi="Times New Roman"/>
        </w:rPr>
      </w:pPr>
      <w:r w:rsidRPr="00F050E3">
        <w:rPr>
          <w:rFonts w:ascii="Times New Roman" w:hAnsi="Times New Roman"/>
        </w:rPr>
        <w:t>A partir del mes de febrero del presente año se iniciaron los concursos internos tomando en consideración todas las exigencias en término de políticas y procedimientos para tales fines se procedió a realizar el concurso público referente a los cargos detallados a continuación, de los cuales fueron seleccionados 15 personas, tomando consideración cuatro (4) posiciones, correspondiente a los grupos ocupacionales III, IV y V.</w:t>
      </w:r>
    </w:p>
    <w:p w14:paraId="55DC393B" w14:textId="77777777" w:rsidR="00646828" w:rsidRDefault="00646828" w:rsidP="00646828">
      <w:pPr>
        <w:spacing w:after="0" w:line="480" w:lineRule="auto"/>
        <w:ind w:firstLine="720"/>
        <w:jc w:val="both"/>
        <w:rPr>
          <w:rFonts w:ascii="Times New Roman" w:hAnsi="Times New Roman"/>
        </w:rPr>
      </w:pPr>
    </w:p>
    <w:p w14:paraId="7C8C7A33" w14:textId="77777777" w:rsidR="00646828" w:rsidRDefault="00646828" w:rsidP="001C6B1A">
      <w:pPr>
        <w:pStyle w:val="Prrafodelista"/>
        <w:numPr>
          <w:ilvl w:val="0"/>
          <w:numId w:val="9"/>
        </w:numPr>
        <w:spacing w:after="0" w:line="240" w:lineRule="auto"/>
        <w:ind w:left="567" w:hanging="567"/>
        <w:rPr>
          <w:rFonts w:ascii="Times New Roman" w:hAnsi="Times New Roman"/>
          <w:b/>
          <w:sz w:val="24"/>
          <w:szCs w:val="28"/>
        </w:rPr>
      </w:pPr>
      <w:r>
        <w:rPr>
          <w:rFonts w:ascii="Times New Roman" w:hAnsi="Times New Roman"/>
          <w:b/>
          <w:sz w:val="24"/>
          <w:szCs w:val="28"/>
        </w:rPr>
        <w:t>Relación de posiciones vacantes.</w:t>
      </w:r>
    </w:p>
    <w:p w14:paraId="3438FAB4" w14:textId="77777777" w:rsidR="00646828" w:rsidRDefault="00646828" w:rsidP="00646828">
      <w:pPr>
        <w:pStyle w:val="Prrafodelista"/>
        <w:spacing w:after="0" w:line="240" w:lineRule="auto"/>
        <w:ind w:left="567"/>
        <w:rPr>
          <w:rFonts w:ascii="Times New Roman" w:hAnsi="Times New Roman"/>
          <w:b/>
          <w:sz w:val="24"/>
          <w:szCs w:val="28"/>
        </w:rPr>
      </w:pPr>
    </w:p>
    <w:tbl>
      <w:tblPr>
        <w:tblStyle w:val="Tablaconcuadrcula"/>
        <w:tblW w:w="0" w:type="auto"/>
        <w:jc w:val="center"/>
        <w:tblLook w:val="04A0" w:firstRow="1" w:lastRow="0" w:firstColumn="1" w:lastColumn="0" w:noHBand="0" w:noVBand="1"/>
      </w:tblPr>
      <w:tblGrid>
        <w:gridCol w:w="4082"/>
        <w:gridCol w:w="1863"/>
      </w:tblGrid>
      <w:tr w:rsidR="00646828" w:rsidRPr="00D352E9" w14:paraId="2AF9C000" w14:textId="77777777" w:rsidTr="008354C5">
        <w:trPr>
          <w:trHeight w:val="262"/>
          <w:jc w:val="center"/>
        </w:trPr>
        <w:tc>
          <w:tcPr>
            <w:tcW w:w="0" w:type="auto"/>
            <w:shd w:val="clear" w:color="auto" w:fill="00B050"/>
          </w:tcPr>
          <w:p w14:paraId="08F68EC1" w14:textId="77777777" w:rsidR="00646828" w:rsidRPr="00803F65" w:rsidRDefault="00646828" w:rsidP="008354C5">
            <w:pPr>
              <w:spacing w:after="0"/>
              <w:jc w:val="center"/>
              <w:rPr>
                <w:rFonts w:ascii="Times New Roman" w:eastAsia="Calibri" w:hAnsi="Times New Roman"/>
                <w:b/>
                <w:color w:val="FFFFFF" w:themeColor="background1"/>
                <w:lang w:eastAsia="en-US"/>
              </w:rPr>
            </w:pPr>
            <w:r w:rsidRPr="00803F65">
              <w:rPr>
                <w:rFonts w:ascii="Times New Roman" w:eastAsia="Calibri" w:hAnsi="Times New Roman"/>
                <w:b/>
                <w:color w:val="FFFFFF" w:themeColor="background1"/>
                <w:lang w:eastAsia="en-US"/>
              </w:rPr>
              <w:t>Cargos</w:t>
            </w:r>
          </w:p>
        </w:tc>
        <w:tc>
          <w:tcPr>
            <w:tcW w:w="0" w:type="auto"/>
            <w:shd w:val="clear" w:color="auto" w:fill="00B050"/>
          </w:tcPr>
          <w:p w14:paraId="75CF40E6" w14:textId="77777777" w:rsidR="00646828" w:rsidRPr="00803F65" w:rsidRDefault="00646828" w:rsidP="008354C5">
            <w:pPr>
              <w:spacing w:after="0"/>
              <w:jc w:val="center"/>
              <w:rPr>
                <w:rFonts w:ascii="Times New Roman" w:eastAsia="Calibri" w:hAnsi="Times New Roman"/>
                <w:b/>
                <w:color w:val="FFFFFF" w:themeColor="background1"/>
                <w:lang w:eastAsia="en-US"/>
              </w:rPr>
            </w:pPr>
            <w:r w:rsidRPr="00803F65">
              <w:rPr>
                <w:rFonts w:ascii="Times New Roman" w:eastAsia="Calibri" w:hAnsi="Times New Roman"/>
                <w:b/>
                <w:color w:val="FFFFFF" w:themeColor="background1"/>
                <w:lang w:eastAsia="en-US"/>
              </w:rPr>
              <w:t>Plazas Vacantes</w:t>
            </w:r>
          </w:p>
        </w:tc>
      </w:tr>
      <w:tr w:rsidR="00646828" w:rsidRPr="00D352E9" w14:paraId="2A944296" w14:textId="77777777" w:rsidTr="008354C5">
        <w:trPr>
          <w:trHeight w:val="391"/>
          <w:jc w:val="center"/>
        </w:trPr>
        <w:tc>
          <w:tcPr>
            <w:tcW w:w="0" w:type="auto"/>
          </w:tcPr>
          <w:p w14:paraId="4A4790FF" w14:textId="77777777" w:rsidR="00646828" w:rsidRPr="00D352E9" w:rsidRDefault="00646828" w:rsidP="008354C5">
            <w:pPr>
              <w:spacing w:after="0"/>
              <w:jc w:val="both"/>
              <w:rPr>
                <w:rFonts w:ascii="Times New Roman" w:eastAsia="Calibri" w:hAnsi="Times New Roman"/>
                <w:lang w:eastAsia="en-US"/>
              </w:rPr>
            </w:pPr>
            <w:r w:rsidRPr="00D352E9">
              <w:rPr>
                <w:rFonts w:ascii="Times New Roman" w:eastAsia="Calibri" w:hAnsi="Times New Roman"/>
                <w:lang w:val="es-ES" w:eastAsia="en-US"/>
              </w:rPr>
              <w:t>Analista de Laboratorio de Entomología</w:t>
            </w:r>
          </w:p>
        </w:tc>
        <w:tc>
          <w:tcPr>
            <w:tcW w:w="0" w:type="auto"/>
          </w:tcPr>
          <w:p w14:paraId="36926E0A" w14:textId="77777777" w:rsidR="00646828" w:rsidRPr="00D352E9" w:rsidRDefault="00646828" w:rsidP="008354C5">
            <w:pPr>
              <w:spacing w:after="0"/>
              <w:jc w:val="center"/>
              <w:rPr>
                <w:rFonts w:ascii="Times New Roman" w:eastAsia="Calibri" w:hAnsi="Times New Roman"/>
                <w:lang w:eastAsia="en-US"/>
              </w:rPr>
            </w:pPr>
            <w:r w:rsidRPr="00D352E9">
              <w:rPr>
                <w:rFonts w:ascii="Times New Roman" w:eastAsia="Calibri" w:hAnsi="Times New Roman"/>
                <w:lang w:val="es-ES" w:eastAsia="en-US"/>
              </w:rPr>
              <w:t>10 vacantes</w:t>
            </w:r>
          </w:p>
        </w:tc>
      </w:tr>
      <w:tr w:rsidR="00646828" w:rsidRPr="00D352E9" w14:paraId="7E9E6E16" w14:textId="77777777" w:rsidTr="008354C5">
        <w:trPr>
          <w:trHeight w:val="391"/>
          <w:jc w:val="center"/>
        </w:trPr>
        <w:tc>
          <w:tcPr>
            <w:tcW w:w="0" w:type="auto"/>
          </w:tcPr>
          <w:p w14:paraId="14CB3CE0" w14:textId="77777777" w:rsidR="00646828" w:rsidRPr="00D352E9" w:rsidRDefault="00646828" w:rsidP="008354C5">
            <w:pPr>
              <w:spacing w:after="0"/>
              <w:jc w:val="both"/>
              <w:rPr>
                <w:rFonts w:ascii="Times New Roman" w:eastAsia="Calibri" w:hAnsi="Times New Roman"/>
                <w:lang w:eastAsia="en-US"/>
              </w:rPr>
            </w:pPr>
            <w:r w:rsidRPr="00D352E9">
              <w:rPr>
                <w:rFonts w:ascii="Times New Roman" w:eastAsia="Calibri" w:hAnsi="Times New Roman"/>
                <w:lang w:val="es-ES" w:eastAsia="en-US"/>
              </w:rPr>
              <w:t>Analista Laboratorio de Fitopatología</w:t>
            </w:r>
          </w:p>
        </w:tc>
        <w:tc>
          <w:tcPr>
            <w:tcW w:w="0" w:type="auto"/>
          </w:tcPr>
          <w:p w14:paraId="53EB22AF" w14:textId="77777777" w:rsidR="00646828" w:rsidRPr="00D352E9" w:rsidRDefault="00646828" w:rsidP="008354C5">
            <w:pPr>
              <w:spacing w:after="0"/>
              <w:jc w:val="center"/>
              <w:rPr>
                <w:rFonts w:ascii="Times New Roman" w:eastAsia="Calibri" w:hAnsi="Times New Roman"/>
                <w:lang w:eastAsia="en-US"/>
              </w:rPr>
            </w:pPr>
            <w:r w:rsidRPr="00D352E9">
              <w:rPr>
                <w:rFonts w:ascii="Times New Roman" w:eastAsia="Calibri" w:hAnsi="Times New Roman"/>
                <w:lang w:val="es-ES" w:eastAsia="en-US"/>
              </w:rPr>
              <w:t>9 vacantes</w:t>
            </w:r>
          </w:p>
        </w:tc>
      </w:tr>
      <w:tr w:rsidR="00646828" w:rsidRPr="00D352E9" w14:paraId="58CFE05D" w14:textId="77777777" w:rsidTr="008354C5">
        <w:trPr>
          <w:trHeight w:val="391"/>
          <w:jc w:val="center"/>
        </w:trPr>
        <w:tc>
          <w:tcPr>
            <w:tcW w:w="0" w:type="auto"/>
          </w:tcPr>
          <w:p w14:paraId="1EF22C05" w14:textId="77777777" w:rsidR="00646828" w:rsidRPr="00D352E9" w:rsidRDefault="00646828" w:rsidP="008354C5">
            <w:pPr>
              <w:spacing w:after="0"/>
              <w:jc w:val="both"/>
              <w:rPr>
                <w:rFonts w:ascii="Times New Roman" w:eastAsia="Calibri" w:hAnsi="Times New Roman"/>
                <w:lang w:eastAsia="en-US"/>
              </w:rPr>
            </w:pPr>
            <w:r w:rsidRPr="00D352E9">
              <w:rPr>
                <w:rFonts w:ascii="Times New Roman" w:eastAsia="Calibri" w:hAnsi="Times New Roman"/>
                <w:lang w:val="es-ES" w:eastAsia="en-US"/>
              </w:rPr>
              <w:t>Analista Laboratorio de Nematología</w:t>
            </w:r>
          </w:p>
        </w:tc>
        <w:tc>
          <w:tcPr>
            <w:tcW w:w="0" w:type="auto"/>
          </w:tcPr>
          <w:p w14:paraId="4B8F7031" w14:textId="77777777" w:rsidR="00646828" w:rsidRPr="00D352E9" w:rsidRDefault="00646828" w:rsidP="008354C5">
            <w:pPr>
              <w:spacing w:after="0"/>
              <w:jc w:val="center"/>
              <w:rPr>
                <w:rFonts w:ascii="Times New Roman" w:eastAsia="Calibri" w:hAnsi="Times New Roman"/>
                <w:lang w:eastAsia="en-US"/>
              </w:rPr>
            </w:pPr>
            <w:r w:rsidRPr="00D352E9">
              <w:rPr>
                <w:rFonts w:ascii="Times New Roman" w:eastAsia="Calibri" w:hAnsi="Times New Roman"/>
                <w:lang w:val="es-ES" w:eastAsia="en-US"/>
              </w:rPr>
              <w:t>9 vacantes</w:t>
            </w:r>
          </w:p>
        </w:tc>
      </w:tr>
      <w:tr w:rsidR="00646828" w:rsidRPr="00D352E9" w14:paraId="6C9F705B" w14:textId="77777777" w:rsidTr="008354C5">
        <w:trPr>
          <w:trHeight w:val="325"/>
          <w:jc w:val="center"/>
        </w:trPr>
        <w:tc>
          <w:tcPr>
            <w:tcW w:w="0" w:type="auto"/>
          </w:tcPr>
          <w:p w14:paraId="39DF4473" w14:textId="77777777" w:rsidR="00646828" w:rsidRPr="00D352E9" w:rsidRDefault="00646828" w:rsidP="008354C5">
            <w:pPr>
              <w:spacing w:after="0"/>
              <w:jc w:val="both"/>
              <w:rPr>
                <w:rFonts w:ascii="Times New Roman" w:eastAsia="Calibri" w:hAnsi="Times New Roman"/>
                <w:lang w:eastAsia="en-US"/>
              </w:rPr>
            </w:pPr>
            <w:r w:rsidRPr="00D352E9">
              <w:rPr>
                <w:rFonts w:ascii="Times New Roman" w:eastAsia="Calibri" w:hAnsi="Times New Roman"/>
                <w:lang w:val="es-ES" w:eastAsia="en-US"/>
              </w:rPr>
              <w:t>Analista de Riesgo de Plagas</w:t>
            </w:r>
          </w:p>
        </w:tc>
        <w:tc>
          <w:tcPr>
            <w:tcW w:w="0" w:type="auto"/>
          </w:tcPr>
          <w:p w14:paraId="4551C280" w14:textId="77777777" w:rsidR="00646828" w:rsidRPr="00D352E9" w:rsidRDefault="00646828" w:rsidP="008354C5">
            <w:pPr>
              <w:spacing w:after="0"/>
              <w:jc w:val="center"/>
              <w:rPr>
                <w:rFonts w:ascii="Times New Roman" w:eastAsia="Calibri" w:hAnsi="Times New Roman"/>
                <w:lang w:eastAsia="en-US"/>
              </w:rPr>
            </w:pPr>
            <w:r w:rsidRPr="00D352E9">
              <w:rPr>
                <w:rFonts w:ascii="Times New Roman" w:eastAsia="Calibri" w:hAnsi="Times New Roman"/>
                <w:lang w:val="es-ES" w:eastAsia="en-US"/>
              </w:rPr>
              <w:t>9 vacantes</w:t>
            </w:r>
          </w:p>
        </w:tc>
      </w:tr>
    </w:tbl>
    <w:p w14:paraId="3BA63451" w14:textId="77777777" w:rsidR="00646828" w:rsidRDefault="00646828" w:rsidP="00646828">
      <w:pPr>
        <w:spacing w:after="0" w:line="480" w:lineRule="auto"/>
        <w:ind w:firstLine="720"/>
        <w:jc w:val="both"/>
        <w:rPr>
          <w:rFonts w:ascii="Times New Roman" w:hAnsi="Times New Roman"/>
        </w:rPr>
      </w:pPr>
    </w:p>
    <w:p w14:paraId="7231D892" w14:textId="77777777" w:rsidR="00646828" w:rsidRDefault="00646828" w:rsidP="00646828">
      <w:pPr>
        <w:spacing w:after="0" w:line="480" w:lineRule="auto"/>
        <w:ind w:firstLine="720"/>
        <w:jc w:val="both"/>
        <w:rPr>
          <w:rFonts w:ascii="Times New Roman" w:hAnsi="Times New Roman"/>
        </w:rPr>
      </w:pPr>
      <w:r w:rsidRPr="00F050E3">
        <w:rPr>
          <w:rFonts w:ascii="Times New Roman" w:hAnsi="Times New Roman"/>
        </w:rPr>
        <w:t>Se proyecta realizar concursos antes de finalizar el presente año para suplir otras oportunidades de vacantes.</w:t>
      </w:r>
    </w:p>
    <w:p w14:paraId="7D4E4E60" w14:textId="77777777" w:rsidR="00646828" w:rsidRPr="0098414F" w:rsidRDefault="00646828" w:rsidP="00646828">
      <w:pPr>
        <w:spacing w:after="0" w:line="480" w:lineRule="auto"/>
        <w:ind w:firstLine="720"/>
        <w:jc w:val="both"/>
        <w:rPr>
          <w:rFonts w:ascii="Times New Roman" w:hAnsi="Times New Roman"/>
        </w:rPr>
      </w:pPr>
    </w:p>
    <w:p w14:paraId="4021A419" w14:textId="77777777" w:rsidR="00646828" w:rsidRPr="0098414F" w:rsidRDefault="00646828" w:rsidP="00646828">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lastRenderedPageBreak/>
        <w:t>Pruebas técnicas</w:t>
      </w:r>
    </w:p>
    <w:p w14:paraId="65A12A39" w14:textId="7777777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t>De la misma manera, durante el año se aplicaron las siguientes pruebas técnicas: pruebas psicométricas 16 FP (de personalidad) y Wonderlic (inteligencia) a 241 candidatos, teniendo como resultado el nombramiento de 59 personas.</w:t>
      </w:r>
    </w:p>
    <w:p w14:paraId="72DDB00F" w14:textId="77777777" w:rsidR="00646828" w:rsidRPr="00F050E3" w:rsidRDefault="00646828" w:rsidP="00646828">
      <w:pPr>
        <w:spacing w:after="0"/>
        <w:ind w:firstLine="720"/>
        <w:jc w:val="both"/>
        <w:rPr>
          <w:rFonts w:ascii="Times New Roman" w:hAnsi="Times New Roman"/>
        </w:rPr>
      </w:pPr>
    </w:p>
    <w:p w14:paraId="3DB82A1B" w14:textId="77777777" w:rsidR="00646828" w:rsidRPr="00F050E3" w:rsidRDefault="00646828" w:rsidP="00646828">
      <w:pPr>
        <w:pStyle w:val="Prrafodelista"/>
        <w:spacing w:after="0" w:line="480" w:lineRule="auto"/>
        <w:ind w:left="0" w:firstLine="720"/>
        <w:jc w:val="both"/>
        <w:rPr>
          <w:rFonts w:ascii="Times New Roman" w:hAnsi="Times New Roman"/>
          <w:b/>
          <w:sz w:val="28"/>
        </w:rPr>
      </w:pPr>
      <w:r w:rsidRPr="00F050E3">
        <w:rPr>
          <w:rFonts w:ascii="Times New Roman" w:hAnsi="Times New Roman"/>
          <w:b/>
          <w:sz w:val="28"/>
        </w:rPr>
        <w:t>Absentismo</w:t>
      </w:r>
    </w:p>
    <w:p w14:paraId="5D3434FC" w14:textId="7777777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t xml:space="preserve">En relación con el absentismo, se utilizó la metodología socializada por el MAP en el año 2018 arrojando un porcentaje promedio de 51.06: </w:t>
      </w:r>
    </w:p>
    <w:p w14:paraId="36E185F5" w14:textId="77777777" w:rsidR="00646828" w:rsidRPr="0044226E" w:rsidRDefault="0083125C" w:rsidP="00646828">
      <w:pPr>
        <w:pStyle w:val="Prrafodelista"/>
        <w:spacing w:after="0"/>
        <w:ind w:left="0" w:firstLine="720"/>
        <w:jc w:val="both"/>
        <w:rPr>
          <w:rFonts w:ascii="Times New Roman" w:hAnsi="Times New Roman"/>
          <w:sz w:val="24"/>
          <w:szCs w:val="24"/>
        </w:rPr>
      </w:pPr>
      <m:oMathPara>
        <m:oMath>
          <m:d>
            <m:dPr>
              <m:ctrlPr>
                <w:rPr>
                  <w:rFonts w:ascii="Cambria Math" w:hAnsi="Cambria Math"/>
                  <w:i/>
                </w:rPr>
              </m:ctrlPr>
            </m:dPr>
            <m:e>
              <m:r>
                <w:rPr>
                  <w:rFonts w:ascii="Cambria Math" w:hAnsi="Cambria Math"/>
                </w:rPr>
                <m:t>100</m:t>
              </m:r>
            </m:e>
          </m:d>
          <m:r>
            <w:rPr>
              <w:rFonts w:ascii="Cambria Math" w:hAnsi="Cambria Math"/>
            </w:rPr>
            <m:t>-</m:t>
          </m:r>
          <m:f>
            <m:fPr>
              <m:type m:val="skw"/>
              <m:ctrlPr>
                <w:rPr>
                  <w:rFonts w:ascii="Cambria Math" w:hAnsi="Cambria Math"/>
                  <w:i/>
                </w:rPr>
              </m:ctrlPr>
            </m:fPr>
            <m:num>
              <m:r>
                <w:rPr>
                  <w:rFonts w:ascii="Cambria Math" w:hAnsi="Cambria Math"/>
                </w:rPr>
                <m:t>Cantidad de permisos × 100</m:t>
              </m:r>
            </m:num>
            <m:den>
              <m:r>
                <w:rPr>
                  <w:rFonts w:ascii="Cambria Math" w:hAnsi="Cambria Math"/>
                </w:rPr>
                <m:t>Total empleados × días laborables</m:t>
              </m:r>
            </m:den>
          </m:f>
        </m:oMath>
      </m:oMathPara>
    </w:p>
    <w:p w14:paraId="04DCDCC0" w14:textId="77777777" w:rsidR="00646828" w:rsidRPr="0044226E" w:rsidRDefault="00646828" w:rsidP="00646828">
      <w:pPr>
        <w:spacing w:after="0" w:line="480" w:lineRule="auto"/>
        <w:rPr>
          <w:rFonts w:ascii="Times New Roman" w:eastAsia="Calibri" w:hAnsi="Times New Roman"/>
          <w:sz w:val="22"/>
          <w:szCs w:val="22"/>
          <w:lang w:eastAsia="en-US"/>
        </w:rPr>
      </w:pPr>
    </w:p>
    <w:p w14:paraId="280D75F0" w14:textId="77777777" w:rsidR="00646828" w:rsidRDefault="00646828" w:rsidP="001C6B1A">
      <w:pPr>
        <w:pStyle w:val="Prrafodelista"/>
        <w:numPr>
          <w:ilvl w:val="0"/>
          <w:numId w:val="9"/>
        </w:numPr>
        <w:spacing w:after="0" w:line="240" w:lineRule="auto"/>
        <w:ind w:left="567" w:hanging="567"/>
        <w:rPr>
          <w:rFonts w:ascii="Times New Roman" w:hAnsi="Times New Roman"/>
          <w:b/>
          <w:sz w:val="24"/>
          <w:szCs w:val="28"/>
        </w:rPr>
      </w:pPr>
      <w:r>
        <w:rPr>
          <w:rFonts w:ascii="Times New Roman" w:hAnsi="Times New Roman"/>
          <w:b/>
          <w:sz w:val="24"/>
          <w:szCs w:val="28"/>
        </w:rPr>
        <w:t>Nivel de absentismo</w:t>
      </w:r>
    </w:p>
    <w:p w14:paraId="7D85D974" w14:textId="77777777" w:rsidR="00A452A8" w:rsidRDefault="00A452A8" w:rsidP="00A452A8">
      <w:pPr>
        <w:pStyle w:val="Prrafodelista"/>
        <w:spacing w:after="0" w:line="240" w:lineRule="auto"/>
        <w:ind w:left="567"/>
        <w:rPr>
          <w:rFonts w:ascii="Times New Roman" w:hAnsi="Times New Roman"/>
          <w:b/>
          <w:sz w:val="24"/>
          <w:szCs w:val="28"/>
        </w:rPr>
      </w:pPr>
    </w:p>
    <w:tbl>
      <w:tblPr>
        <w:tblW w:w="10506" w:type="dxa"/>
        <w:tblInd w:w="-1003" w:type="dxa"/>
        <w:tblCellMar>
          <w:left w:w="70" w:type="dxa"/>
          <w:right w:w="70" w:type="dxa"/>
        </w:tblCellMar>
        <w:tblLook w:val="04A0" w:firstRow="1" w:lastRow="0" w:firstColumn="1" w:lastColumn="0" w:noHBand="0" w:noVBand="1"/>
      </w:tblPr>
      <w:tblGrid>
        <w:gridCol w:w="943"/>
        <w:gridCol w:w="1276"/>
        <w:gridCol w:w="994"/>
        <w:gridCol w:w="1540"/>
        <w:gridCol w:w="2144"/>
        <w:gridCol w:w="2268"/>
        <w:gridCol w:w="1341"/>
      </w:tblGrid>
      <w:tr w:rsidR="00646828" w:rsidRPr="00F050E3" w14:paraId="5BF68AE4" w14:textId="77777777" w:rsidTr="008354C5">
        <w:trPr>
          <w:trHeight w:val="610"/>
        </w:trPr>
        <w:tc>
          <w:tcPr>
            <w:tcW w:w="943"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277236E8" w14:textId="77777777" w:rsidR="00646828" w:rsidRPr="00F050E3" w:rsidRDefault="00646828" w:rsidP="008354C5">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Meses</w:t>
            </w:r>
          </w:p>
        </w:tc>
        <w:tc>
          <w:tcPr>
            <w:tcW w:w="1276"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63B11707" w14:textId="77777777" w:rsidR="00646828" w:rsidRPr="00F050E3" w:rsidRDefault="00646828" w:rsidP="008354C5">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Horas Perdidas</w:t>
            </w:r>
          </w:p>
        </w:tc>
        <w:tc>
          <w:tcPr>
            <w:tcW w:w="994"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1BCD62F4" w14:textId="77777777" w:rsidR="00646828" w:rsidRPr="00F050E3" w:rsidRDefault="00646828" w:rsidP="008354C5">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Jornada Laboral</w:t>
            </w:r>
          </w:p>
        </w:tc>
        <w:tc>
          <w:tcPr>
            <w:tcW w:w="1540"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3159E456" w14:textId="77777777" w:rsidR="00646828" w:rsidRPr="00F050E3" w:rsidRDefault="00646828" w:rsidP="008354C5">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Total de Trabajadores</w:t>
            </w:r>
          </w:p>
        </w:tc>
        <w:tc>
          <w:tcPr>
            <w:tcW w:w="2144"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60998BD6" w14:textId="77777777" w:rsidR="00646828" w:rsidRPr="00F050E3" w:rsidRDefault="00646828" w:rsidP="008354C5">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Resultados de Jornada laboral x total de trabajadores</w:t>
            </w:r>
          </w:p>
        </w:tc>
        <w:tc>
          <w:tcPr>
            <w:tcW w:w="2268"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7D966D5A" w14:textId="77777777" w:rsidR="00646828" w:rsidRPr="00F050E3" w:rsidRDefault="00646828" w:rsidP="008354C5">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Resultados de Horas Perdidas de Jornada laboral x Total de trabajadores</w:t>
            </w:r>
          </w:p>
        </w:tc>
        <w:tc>
          <w:tcPr>
            <w:tcW w:w="1341"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0EEE0305" w14:textId="77777777" w:rsidR="00646828" w:rsidRPr="00F050E3" w:rsidRDefault="00646828" w:rsidP="008354C5">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Nivel Ausentismo</w:t>
            </w:r>
          </w:p>
        </w:tc>
      </w:tr>
      <w:tr w:rsidR="00646828" w:rsidRPr="00F050E3" w14:paraId="34C133FA" w14:textId="77777777" w:rsidTr="008354C5">
        <w:trPr>
          <w:trHeight w:val="284"/>
        </w:trPr>
        <w:tc>
          <w:tcPr>
            <w:tcW w:w="94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C3B2FE3" w14:textId="77777777" w:rsidR="00646828" w:rsidRPr="00F050E3" w:rsidRDefault="00646828" w:rsidP="008354C5">
            <w:pPr>
              <w:spacing w:after="0"/>
              <w:rPr>
                <w:rFonts w:ascii="Times New Roman" w:hAnsi="Times New Roman"/>
                <w:color w:val="000000"/>
                <w:lang w:eastAsia="es-DO"/>
              </w:rPr>
            </w:pPr>
            <w:r w:rsidRPr="00F050E3">
              <w:rPr>
                <w:rFonts w:ascii="Times New Roman" w:hAnsi="Times New Roman"/>
                <w:color w:val="000000"/>
                <w:lang w:eastAsia="es-DO"/>
              </w:rPr>
              <w:t>Ene.</w:t>
            </w:r>
          </w:p>
        </w:tc>
        <w:tc>
          <w:tcPr>
            <w:tcW w:w="1276" w:type="dxa"/>
            <w:tcBorders>
              <w:top w:val="single" w:sz="4" w:space="0" w:color="auto"/>
              <w:left w:val="nil"/>
              <w:bottom w:val="single" w:sz="8" w:space="0" w:color="auto"/>
              <w:right w:val="single" w:sz="8" w:space="0" w:color="auto"/>
            </w:tcBorders>
            <w:shd w:val="clear" w:color="auto" w:fill="auto"/>
            <w:noWrap/>
            <w:vAlign w:val="bottom"/>
            <w:hideMark/>
          </w:tcPr>
          <w:p w14:paraId="25A8CFE3"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67604</w:t>
            </w:r>
          </w:p>
        </w:tc>
        <w:tc>
          <w:tcPr>
            <w:tcW w:w="994" w:type="dxa"/>
            <w:tcBorders>
              <w:top w:val="single" w:sz="4" w:space="0" w:color="auto"/>
              <w:left w:val="nil"/>
              <w:bottom w:val="single" w:sz="8" w:space="0" w:color="auto"/>
              <w:right w:val="single" w:sz="8" w:space="0" w:color="auto"/>
            </w:tcBorders>
            <w:shd w:val="clear" w:color="auto" w:fill="auto"/>
            <w:noWrap/>
            <w:vAlign w:val="bottom"/>
            <w:hideMark/>
          </w:tcPr>
          <w:p w14:paraId="583C08B0"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176</w:t>
            </w:r>
          </w:p>
        </w:tc>
        <w:tc>
          <w:tcPr>
            <w:tcW w:w="1540" w:type="dxa"/>
            <w:tcBorders>
              <w:top w:val="single" w:sz="4" w:space="0" w:color="auto"/>
              <w:left w:val="nil"/>
              <w:bottom w:val="single" w:sz="8" w:space="0" w:color="auto"/>
              <w:right w:val="nil"/>
            </w:tcBorders>
            <w:shd w:val="clear" w:color="auto" w:fill="auto"/>
            <w:noWrap/>
            <w:vAlign w:val="bottom"/>
            <w:hideMark/>
          </w:tcPr>
          <w:p w14:paraId="12261DE2"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7202</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527B0"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1267552</w:t>
            </w:r>
          </w:p>
        </w:tc>
        <w:tc>
          <w:tcPr>
            <w:tcW w:w="2268" w:type="dxa"/>
            <w:tcBorders>
              <w:top w:val="single" w:sz="4" w:space="0" w:color="auto"/>
              <w:left w:val="nil"/>
              <w:bottom w:val="single" w:sz="8" w:space="0" w:color="auto"/>
              <w:right w:val="single" w:sz="8" w:space="0" w:color="auto"/>
            </w:tcBorders>
            <w:shd w:val="clear" w:color="auto" w:fill="auto"/>
            <w:noWrap/>
            <w:vAlign w:val="bottom"/>
            <w:hideMark/>
          </w:tcPr>
          <w:p w14:paraId="6CE07ACE"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0.053334301</w:t>
            </w:r>
          </w:p>
        </w:tc>
        <w:tc>
          <w:tcPr>
            <w:tcW w:w="1341" w:type="dxa"/>
            <w:tcBorders>
              <w:top w:val="single" w:sz="4" w:space="0" w:color="auto"/>
              <w:left w:val="nil"/>
              <w:bottom w:val="single" w:sz="8" w:space="0" w:color="auto"/>
              <w:right w:val="single" w:sz="8" w:space="0" w:color="auto"/>
            </w:tcBorders>
            <w:shd w:val="clear" w:color="auto" w:fill="auto"/>
            <w:noWrap/>
            <w:vAlign w:val="bottom"/>
            <w:hideMark/>
          </w:tcPr>
          <w:p w14:paraId="7AD411F1"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5.33</w:t>
            </w:r>
          </w:p>
        </w:tc>
      </w:tr>
      <w:tr w:rsidR="00646828" w:rsidRPr="00F050E3" w14:paraId="6A9859E3" w14:textId="77777777" w:rsidTr="008354C5">
        <w:trPr>
          <w:trHeight w:val="284"/>
        </w:trPr>
        <w:tc>
          <w:tcPr>
            <w:tcW w:w="943" w:type="dxa"/>
            <w:tcBorders>
              <w:top w:val="nil"/>
              <w:left w:val="single" w:sz="8" w:space="0" w:color="auto"/>
              <w:bottom w:val="single" w:sz="8" w:space="0" w:color="auto"/>
              <w:right w:val="single" w:sz="8" w:space="0" w:color="auto"/>
            </w:tcBorders>
            <w:shd w:val="clear" w:color="auto" w:fill="auto"/>
            <w:noWrap/>
            <w:vAlign w:val="center"/>
            <w:hideMark/>
          </w:tcPr>
          <w:p w14:paraId="72F3C72C" w14:textId="77777777" w:rsidR="00646828" w:rsidRPr="00F050E3" w:rsidRDefault="00646828" w:rsidP="008354C5">
            <w:pPr>
              <w:spacing w:after="0"/>
              <w:rPr>
                <w:rFonts w:ascii="Times New Roman" w:hAnsi="Times New Roman"/>
                <w:color w:val="000000"/>
                <w:lang w:eastAsia="es-DO"/>
              </w:rPr>
            </w:pPr>
            <w:r w:rsidRPr="00F050E3">
              <w:rPr>
                <w:rFonts w:ascii="Times New Roman" w:hAnsi="Times New Roman"/>
                <w:color w:val="000000"/>
                <w:lang w:eastAsia="es-DO"/>
              </w:rPr>
              <w:t>Feb.</w:t>
            </w:r>
          </w:p>
        </w:tc>
        <w:tc>
          <w:tcPr>
            <w:tcW w:w="1276" w:type="dxa"/>
            <w:tcBorders>
              <w:top w:val="nil"/>
              <w:left w:val="nil"/>
              <w:bottom w:val="single" w:sz="8" w:space="0" w:color="auto"/>
              <w:right w:val="single" w:sz="8" w:space="0" w:color="auto"/>
            </w:tcBorders>
            <w:shd w:val="clear" w:color="auto" w:fill="auto"/>
            <w:noWrap/>
            <w:vAlign w:val="bottom"/>
            <w:hideMark/>
          </w:tcPr>
          <w:p w14:paraId="0D2CDC86"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44242</w:t>
            </w:r>
          </w:p>
        </w:tc>
        <w:tc>
          <w:tcPr>
            <w:tcW w:w="994" w:type="dxa"/>
            <w:tcBorders>
              <w:top w:val="nil"/>
              <w:left w:val="nil"/>
              <w:bottom w:val="single" w:sz="8" w:space="0" w:color="auto"/>
              <w:right w:val="single" w:sz="8" w:space="0" w:color="auto"/>
            </w:tcBorders>
            <w:shd w:val="clear" w:color="auto" w:fill="auto"/>
            <w:noWrap/>
            <w:vAlign w:val="bottom"/>
            <w:hideMark/>
          </w:tcPr>
          <w:p w14:paraId="0D14A5C6"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152</w:t>
            </w:r>
          </w:p>
        </w:tc>
        <w:tc>
          <w:tcPr>
            <w:tcW w:w="1540" w:type="dxa"/>
            <w:tcBorders>
              <w:top w:val="nil"/>
              <w:left w:val="nil"/>
              <w:bottom w:val="single" w:sz="8" w:space="0" w:color="auto"/>
              <w:right w:val="nil"/>
            </w:tcBorders>
            <w:shd w:val="clear" w:color="auto" w:fill="auto"/>
            <w:noWrap/>
            <w:vAlign w:val="bottom"/>
            <w:hideMark/>
          </w:tcPr>
          <w:p w14:paraId="6C284D08"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7217</w:t>
            </w:r>
          </w:p>
        </w:tc>
        <w:tc>
          <w:tcPr>
            <w:tcW w:w="2144" w:type="dxa"/>
            <w:tcBorders>
              <w:top w:val="nil"/>
              <w:left w:val="single" w:sz="4" w:space="0" w:color="auto"/>
              <w:bottom w:val="single" w:sz="4" w:space="0" w:color="auto"/>
              <w:right w:val="single" w:sz="4" w:space="0" w:color="auto"/>
            </w:tcBorders>
            <w:shd w:val="clear" w:color="auto" w:fill="auto"/>
            <w:noWrap/>
            <w:vAlign w:val="bottom"/>
            <w:hideMark/>
          </w:tcPr>
          <w:p w14:paraId="61201D45"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1096984</w:t>
            </w:r>
          </w:p>
        </w:tc>
        <w:tc>
          <w:tcPr>
            <w:tcW w:w="2268" w:type="dxa"/>
            <w:tcBorders>
              <w:top w:val="nil"/>
              <w:left w:val="nil"/>
              <w:bottom w:val="single" w:sz="8" w:space="0" w:color="auto"/>
              <w:right w:val="single" w:sz="8" w:space="0" w:color="auto"/>
            </w:tcBorders>
            <w:shd w:val="clear" w:color="auto" w:fill="auto"/>
            <w:noWrap/>
            <w:vAlign w:val="bottom"/>
            <w:hideMark/>
          </w:tcPr>
          <w:p w14:paraId="280FD987"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0.040330579</w:t>
            </w:r>
          </w:p>
        </w:tc>
        <w:tc>
          <w:tcPr>
            <w:tcW w:w="1341" w:type="dxa"/>
            <w:tcBorders>
              <w:top w:val="nil"/>
              <w:left w:val="nil"/>
              <w:bottom w:val="single" w:sz="8" w:space="0" w:color="auto"/>
              <w:right w:val="single" w:sz="8" w:space="0" w:color="auto"/>
            </w:tcBorders>
            <w:shd w:val="clear" w:color="auto" w:fill="auto"/>
            <w:noWrap/>
            <w:vAlign w:val="bottom"/>
            <w:hideMark/>
          </w:tcPr>
          <w:p w14:paraId="0318D462"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4.03</w:t>
            </w:r>
          </w:p>
        </w:tc>
      </w:tr>
      <w:tr w:rsidR="00646828" w:rsidRPr="00F050E3" w14:paraId="191B54E5" w14:textId="77777777" w:rsidTr="008354C5">
        <w:trPr>
          <w:trHeight w:val="284"/>
        </w:trPr>
        <w:tc>
          <w:tcPr>
            <w:tcW w:w="943" w:type="dxa"/>
            <w:tcBorders>
              <w:top w:val="nil"/>
              <w:left w:val="single" w:sz="8" w:space="0" w:color="auto"/>
              <w:bottom w:val="single" w:sz="8" w:space="0" w:color="auto"/>
              <w:right w:val="single" w:sz="8" w:space="0" w:color="auto"/>
            </w:tcBorders>
            <w:shd w:val="clear" w:color="auto" w:fill="auto"/>
            <w:noWrap/>
            <w:vAlign w:val="center"/>
            <w:hideMark/>
          </w:tcPr>
          <w:p w14:paraId="71BD52B3" w14:textId="77777777" w:rsidR="00646828" w:rsidRPr="00F050E3" w:rsidRDefault="00646828" w:rsidP="008354C5">
            <w:pPr>
              <w:spacing w:after="0"/>
              <w:rPr>
                <w:rFonts w:ascii="Times New Roman" w:hAnsi="Times New Roman"/>
                <w:color w:val="000000"/>
                <w:lang w:eastAsia="es-DO"/>
              </w:rPr>
            </w:pPr>
            <w:r w:rsidRPr="00F050E3">
              <w:rPr>
                <w:rFonts w:ascii="Times New Roman" w:hAnsi="Times New Roman"/>
                <w:color w:val="000000"/>
                <w:lang w:eastAsia="es-DO"/>
              </w:rPr>
              <w:t>Mar.</w:t>
            </w:r>
          </w:p>
        </w:tc>
        <w:tc>
          <w:tcPr>
            <w:tcW w:w="1276" w:type="dxa"/>
            <w:tcBorders>
              <w:top w:val="nil"/>
              <w:left w:val="nil"/>
              <w:bottom w:val="single" w:sz="8" w:space="0" w:color="auto"/>
              <w:right w:val="single" w:sz="8" w:space="0" w:color="auto"/>
            </w:tcBorders>
            <w:shd w:val="clear" w:color="auto" w:fill="auto"/>
            <w:noWrap/>
            <w:vAlign w:val="bottom"/>
            <w:hideMark/>
          </w:tcPr>
          <w:p w14:paraId="071A89D4"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61952</w:t>
            </w:r>
          </w:p>
        </w:tc>
        <w:tc>
          <w:tcPr>
            <w:tcW w:w="994" w:type="dxa"/>
            <w:tcBorders>
              <w:top w:val="nil"/>
              <w:left w:val="nil"/>
              <w:bottom w:val="single" w:sz="8" w:space="0" w:color="auto"/>
              <w:right w:val="single" w:sz="8" w:space="0" w:color="auto"/>
            </w:tcBorders>
            <w:shd w:val="clear" w:color="auto" w:fill="auto"/>
            <w:noWrap/>
            <w:vAlign w:val="bottom"/>
            <w:hideMark/>
          </w:tcPr>
          <w:p w14:paraId="2026339A"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168</w:t>
            </w:r>
          </w:p>
        </w:tc>
        <w:tc>
          <w:tcPr>
            <w:tcW w:w="1540" w:type="dxa"/>
            <w:tcBorders>
              <w:top w:val="nil"/>
              <w:left w:val="nil"/>
              <w:bottom w:val="single" w:sz="8" w:space="0" w:color="auto"/>
              <w:right w:val="nil"/>
            </w:tcBorders>
            <w:shd w:val="clear" w:color="auto" w:fill="auto"/>
            <w:noWrap/>
            <w:vAlign w:val="bottom"/>
            <w:hideMark/>
          </w:tcPr>
          <w:p w14:paraId="74966D83"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7207</w:t>
            </w:r>
          </w:p>
        </w:tc>
        <w:tc>
          <w:tcPr>
            <w:tcW w:w="2144" w:type="dxa"/>
            <w:tcBorders>
              <w:top w:val="nil"/>
              <w:left w:val="single" w:sz="4" w:space="0" w:color="auto"/>
              <w:bottom w:val="single" w:sz="4" w:space="0" w:color="auto"/>
              <w:right w:val="single" w:sz="4" w:space="0" w:color="auto"/>
            </w:tcBorders>
            <w:shd w:val="clear" w:color="auto" w:fill="auto"/>
            <w:noWrap/>
            <w:vAlign w:val="bottom"/>
            <w:hideMark/>
          </w:tcPr>
          <w:p w14:paraId="49F4413C"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1210776</w:t>
            </w:r>
          </w:p>
        </w:tc>
        <w:tc>
          <w:tcPr>
            <w:tcW w:w="2268" w:type="dxa"/>
            <w:tcBorders>
              <w:top w:val="nil"/>
              <w:left w:val="nil"/>
              <w:bottom w:val="single" w:sz="8" w:space="0" w:color="auto"/>
              <w:right w:val="single" w:sz="8" w:space="0" w:color="auto"/>
            </w:tcBorders>
            <w:shd w:val="clear" w:color="auto" w:fill="auto"/>
            <w:noWrap/>
            <w:vAlign w:val="bottom"/>
            <w:hideMark/>
          </w:tcPr>
          <w:p w14:paraId="3A77845F"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0.051167185</w:t>
            </w:r>
          </w:p>
        </w:tc>
        <w:tc>
          <w:tcPr>
            <w:tcW w:w="1341" w:type="dxa"/>
            <w:tcBorders>
              <w:top w:val="nil"/>
              <w:left w:val="nil"/>
              <w:bottom w:val="single" w:sz="8" w:space="0" w:color="auto"/>
              <w:right w:val="single" w:sz="8" w:space="0" w:color="auto"/>
            </w:tcBorders>
            <w:shd w:val="clear" w:color="auto" w:fill="auto"/>
            <w:noWrap/>
            <w:vAlign w:val="bottom"/>
            <w:hideMark/>
          </w:tcPr>
          <w:p w14:paraId="161E07BB"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5.12</w:t>
            </w:r>
          </w:p>
        </w:tc>
      </w:tr>
      <w:tr w:rsidR="00646828" w:rsidRPr="00F050E3" w14:paraId="293FF4FD" w14:textId="77777777" w:rsidTr="008354C5">
        <w:trPr>
          <w:trHeight w:val="284"/>
        </w:trPr>
        <w:tc>
          <w:tcPr>
            <w:tcW w:w="943" w:type="dxa"/>
            <w:tcBorders>
              <w:top w:val="nil"/>
              <w:left w:val="single" w:sz="8" w:space="0" w:color="auto"/>
              <w:bottom w:val="single" w:sz="8" w:space="0" w:color="auto"/>
              <w:right w:val="single" w:sz="8" w:space="0" w:color="auto"/>
            </w:tcBorders>
            <w:shd w:val="clear" w:color="auto" w:fill="auto"/>
            <w:noWrap/>
            <w:vAlign w:val="center"/>
            <w:hideMark/>
          </w:tcPr>
          <w:p w14:paraId="4894A55D" w14:textId="77777777" w:rsidR="00646828" w:rsidRPr="00F050E3" w:rsidRDefault="00646828" w:rsidP="008354C5">
            <w:pPr>
              <w:spacing w:after="0"/>
              <w:rPr>
                <w:rFonts w:ascii="Times New Roman" w:hAnsi="Times New Roman"/>
                <w:color w:val="000000"/>
                <w:lang w:eastAsia="es-DO"/>
              </w:rPr>
            </w:pPr>
            <w:r w:rsidRPr="00F050E3">
              <w:rPr>
                <w:rFonts w:ascii="Times New Roman" w:hAnsi="Times New Roman"/>
                <w:color w:val="000000"/>
                <w:lang w:eastAsia="es-DO"/>
              </w:rPr>
              <w:t>Abr.</w:t>
            </w:r>
          </w:p>
        </w:tc>
        <w:tc>
          <w:tcPr>
            <w:tcW w:w="1276" w:type="dxa"/>
            <w:tcBorders>
              <w:top w:val="nil"/>
              <w:left w:val="nil"/>
              <w:bottom w:val="single" w:sz="8" w:space="0" w:color="auto"/>
              <w:right w:val="single" w:sz="8" w:space="0" w:color="auto"/>
            </w:tcBorders>
            <w:shd w:val="clear" w:color="auto" w:fill="auto"/>
            <w:noWrap/>
            <w:vAlign w:val="bottom"/>
            <w:hideMark/>
          </w:tcPr>
          <w:p w14:paraId="0998C844"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90784</w:t>
            </w:r>
          </w:p>
        </w:tc>
        <w:tc>
          <w:tcPr>
            <w:tcW w:w="994" w:type="dxa"/>
            <w:tcBorders>
              <w:top w:val="nil"/>
              <w:left w:val="nil"/>
              <w:bottom w:val="single" w:sz="8" w:space="0" w:color="auto"/>
              <w:right w:val="single" w:sz="8" w:space="0" w:color="auto"/>
            </w:tcBorders>
            <w:shd w:val="clear" w:color="auto" w:fill="auto"/>
            <w:noWrap/>
            <w:vAlign w:val="bottom"/>
            <w:hideMark/>
          </w:tcPr>
          <w:p w14:paraId="45478642"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168</w:t>
            </w:r>
          </w:p>
        </w:tc>
        <w:tc>
          <w:tcPr>
            <w:tcW w:w="1540" w:type="dxa"/>
            <w:tcBorders>
              <w:top w:val="nil"/>
              <w:left w:val="nil"/>
              <w:bottom w:val="single" w:sz="8" w:space="0" w:color="auto"/>
              <w:right w:val="nil"/>
            </w:tcBorders>
            <w:shd w:val="clear" w:color="auto" w:fill="auto"/>
            <w:noWrap/>
            <w:vAlign w:val="bottom"/>
            <w:hideMark/>
          </w:tcPr>
          <w:p w14:paraId="63F67C99"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7055</w:t>
            </w:r>
          </w:p>
        </w:tc>
        <w:tc>
          <w:tcPr>
            <w:tcW w:w="2144" w:type="dxa"/>
            <w:tcBorders>
              <w:top w:val="nil"/>
              <w:left w:val="single" w:sz="4" w:space="0" w:color="auto"/>
              <w:bottom w:val="single" w:sz="4" w:space="0" w:color="auto"/>
              <w:right w:val="single" w:sz="4" w:space="0" w:color="auto"/>
            </w:tcBorders>
            <w:shd w:val="clear" w:color="auto" w:fill="auto"/>
            <w:noWrap/>
            <w:vAlign w:val="bottom"/>
            <w:hideMark/>
          </w:tcPr>
          <w:p w14:paraId="0216E5A2"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1185240</w:t>
            </w:r>
          </w:p>
        </w:tc>
        <w:tc>
          <w:tcPr>
            <w:tcW w:w="2268" w:type="dxa"/>
            <w:tcBorders>
              <w:top w:val="nil"/>
              <w:left w:val="nil"/>
              <w:bottom w:val="single" w:sz="8" w:space="0" w:color="auto"/>
              <w:right w:val="single" w:sz="8" w:space="0" w:color="auto"/>
            </w:tcBorders>
            <w:shd w:val="clear" w:color="auto" w:fill="auto"/>
            <w:noWrap/>
            <w:vAlign w:val="bottom"/>
            <w:hideMark/>
          </w:tcPr>
          <w:p w14:paraId="4374287B"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0.076595457</w:t>
            </w:r>
          </w:p>
        </w:tc>
        <w:tc>
          <w:tcPr>
            <w:tcW w:w="1341" w:type="dxa"/>
            <w:tcBorders>
              <w:top w:val="nil"/>
              <w:left w:val="nil"/>
              <w:bottom w:val="single" w:sz="8" w:space="0" w:color="auto"/>
              <w:right w:val="single" w:sz="8" w:space="0" w:color="auto"/>
            </w:tcBorders>
            <w:shd w:val="clear" w:color="auto" w:fill="auto"/>
            <w:noWrap/>
            <w:vAlign w:val="bottom"/>
            <w:hideMark/>
          </w:tcPr>
          <w:p w14:paraId="5A41CC1A"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7.66</w:t>
            </w:r>
          </w:p>
        </w:tc>
      </w:tr>
      <w:tr w:rsidR="00646828" w:rsidRPr="00F050E3" w14:paraId="781229FD" w14:textId="77777777" w:rsidTr="008354C5">
        <w:trPr>
          <w:trHeight w:val="284"/>
        </w:trPr>
        <w:tc>
          <w:tcPr>
            <w:tcW w:w="943" w:type="dxa"/>
            <w:tcBorders>
              <w:top w:val="nil"/>
              <w:left w:val="single" w:sz="8" w:space="0" w:color="auto"/>
              <w:bottom w:val="single" w:sz="8" w:space="0" w:color="auto"/>
              <w:right w:val="single" w:sz="8" w:space="0" w:color="auto"/>
            </w:tcBorders>
            <w:shd w:val="clear" w:color="auto" w:fill="auto"/>
            <w:noWrap/>
            <w:vAlign w:val="center"/>
            <w:hideMark/>
          </w:tcPr>
          <w:p w14:paraId="15A644D6" w14:textId="77777777" w:rsidR="00646828" w:rsidRPr="00F050E3" w:rsidRDefault="00646828" w:rsidP="008354C5">
            <w:pPr>
              <w:spacing w:after="0"/>
              <w:rPr>
                <w:rFonts w:ascii="Times New Roman" w:hAnsi="Times New Roman"/>
                <w:color w:val="000000"/>
                <w:lang w:eastAsia="es-DO"/>
              </w:rPr>
            </w:pPr>
            <w:r w:rsidRPr="00F050E3">
              <w:rPr>
                <w:rFonts w:ascii="Times New Roman" w:hAnsi="Times New Roman"/>
                <w:color w:val="000000"/>
                <w:lang w:eastAsia="es-DO"/>
              </w:rPr>
              <w:t>May.</w:t>
            </w:r>
          </w:p>
        </w:tc>
        <w:tc>
          <w:tcPr>
            <w:tcW w:w="1276" w:type="dxa"/>
            <w:tcBorders>
              <w:top w:val="nil"/>
              <w:left w:val="nil"/>
              <w:bottom w:val="single" w:sz="8" w:space="0" w:color="auto"/>
              <w:right w:val="single" w:sz="8" w:space="0" w:color="auto"/>
            </w:tcBorders>
            <w:shd w:val="clear" w:color="auto" w:fill="auto"/>
            <w:noWrap/>
            <w:vAlign w:val="bottom"/>
            <w:hideMark/>
          </w:tcPr>
          <w:p w14:paraId="26AB7EB1"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50112</w:t>
            </w:r>
          </w:p>
        </w:tc>
        <w:tc>
          <w:tcPr>
            <w:tcW w:w="994" w:type="dxa"/>
            <w:tcBorders>
              <w:top w:val="nil"/>
              <w:left w:val="nil"/>
              <w:bottom w:val="single" w:sz="8" w:space="0" w:color="auto"/>
              <w:right w:val="single" w:sz="8" w:space="0" w:color="auto"/>
            </w:tcBorders>
            <w:shd w:val="clear" w:color="auto" w:fill="auto"/>
            <w:noWrap/>
            <w:vAlign w:val="bottom"/>
            <w:hideMark/>
          </w:tcPr>
          <w:p w14:paraId="1C280194"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184</w:t>
            </w:r>
          </w:p>
        </w:tc>
        <w:tc>
          <w:tcPr>
            <w:tcW w:w="1540" w:type="dxa"/>
            <w:tcBorders>
              <w:top w:val="nil"/>
              <w:left w:val="nil"/>
              <w:bottom w:val="single" w:sz="8" w:space="0" w:color="auto"/>
              <w:right w:val="nil"/>
            </w:tcBorders>
            <w:shd w:val="clear" w:color="auto" w:fill="auto"/>
            <w:noWrap/>
            <w:vAlign w:val="bottom"/>
            <w:hideMark/>
          </w:tcPr>
          <w:p w14:paraId="45D143DC"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7047</w:t>
            </w:r>
          </w:p>
        </w:tc>
        <w:tc>
          <w:tcPr>
            <w:tcW w:w="2144" w:type="dxa"/>
            <w:tcBorders>
              <w:top w:val="nil"/>
              <w:left w:val="single" w:sz="4" w:space="0" w:color="auto"/>
              <w:bottom w:val="single" w:sz="4" w:space="0" w:color="auto"/>
              <w:right w:val="single" w:sz="4" w:space="0" w:color="auto"/>
            </w:tcBorders>
            <w:shd w:val="clear" w:color="auto" w:fill="auto"/>
            <w:noWrap/>
            <w:vAlign w:val="bottom"/>
            <w:hideMark/>
          </w:tcPr>
          <w:p w14:paraId="08253880"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1296648</w:t>
            </w:r>
          </w:p>
        </w:tc>
        <w:tc>
          <w:tcPr>
            <w:tcW w:w="2268" w:type="dxa"/>
            <w:tcBorders>
              <w:top w:val="nil"/>
              <w:left w:val="nil"/>
              <w:bottom w:val="single" w:sz="8" w:space="0" w:color="auto"/>
              <w:right w:val="single" w:sz="8" w:space="0" w:color="auto"/>
            </w:tcBorders>
            <w:shd w:val="clear" w:color="auto" w:fill="auto"/>
            <w:noWrap/>
            <w:vAlign w:val="bottom"/>
            <w:hideMark/>
          </w:tcPr>
          <w:p w14:paraId="16F5375B"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0.038647343</w:t>
            </w:r>
          </w:p>
        </w:tc>
        <w:tc>
          <w:tcPr>
            <w:tcW w:w="1341" w:type="dxa"/>
            <w:tcBorders>
              <w:top w:val="nil"/>
              <w:left w:val="nil"/>
              <w:bottom w:val="single" w:sz="8" w:space="0" w:color="auto"/>
              <w:right w:val="single" w:sz="8" w:space="0" w:color="auto"/>
            </w:tcBorders>
            <w:shd w:val="clear" w:color="auto" w:fill="auto"/>
            <w:noWrap/>
            <w:vAlign w:val="bottom"/>
            <w:hideMark/>
          </w:tcPr>
          <w:p w14:paraId="58596204"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3.86</w:t>
            </w:r>
          </w:p>
        </w:tc>
      </w:tr>
      <w:tr w:rsidR="00646828" w:rsidRPr="00F050E3" w14:paraId="17263839" w14:textId="77777777" w:rsidTr="008354C5">
        <w:trPr>
          <w:trHeight w:val="284"/>
        </w:trPr>
        <w:tc>
          <w:tcPr>
            <w:tcW w:w="943" w:type="dxa"/>
            <w:tcBorders>
              <w:top w:val="nil"/>
              <w:left w:val="single" w:sz="8" w:space="0" w:color="auto"/>
              <w:bottom w:val="single" w:sz="8" w:space="0" w:color="auto"/>
              <w:right w:val="single" w:sz="8" w:space="0" w:color="auto"/>
            </w:tcBorders>
            <w:shd w:val="clear" w:color="auto" w:fill="auto"/>
            <w:noWrap/>
            <w:vAlign w:val="center"/>
            <w:hideMark/>
          </w:tcPr>
          <w:p w14:paraId="6BE1B662" w14:textId="77777777" w:rsidR="00646828" w:rsidRPr="00F050E3" w:rsidRDefault="00646828" w:rsidP="008354C5">
            <w:pPr>
              <w:spacing w:after="0"/>
              <w:rPr>
                <w:rFonts w:ascii="Times New Roman" w:hAnsi="Times New Roman"/>
                <w:color w:val="000000"/>
                <w:lang w:eastAsia="es-DO"/>
              </w:rPr>
            </w:pPr>
            <w:r w:rsidRPr="00F050E3">
              <w:rPr>
                <w:rFonts w:ascii="Times New Roman" w:hAnsi="Times New Roman"/>
                <w:color w:val="000000"/>
                <w:lang w:eastAsia="es-DO"/>
              </w:rPr>
              <w:t>Jun.</w:t>
            </w:r>
          </w:p>
        </w:tc>
        <w:tc>
          <w:tcPr>
            <w:tcW w:w="1276" w:type="dxa"/>
            <w:tcBorders>
              <w:top w:val="nil"/>
              <w:left w:val="nil"/>
              <w:bottom w:val="single" w:sz="8" w:space="0" w:color="auto"/>
              <w:right w:val="single" w:sz="8" w:space="0" w:color="auto"/>
            </w:tcBorders>
            <w:shd w:val="clear" w:color="auto" w:fill="auto"/>
            <w:noWrap/>
            <w:vAlign w:val="bottom"/>
            <w:hideMark/>
          </w:tcPr>
          <w:p w14:paraId="4D1EC7F6"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68504</w:t>
            </w:r>
          </w:p>
        </w:tc>
        <w:tc>
          <w:tcPr>
            <w:tcW w:w="994" w:type="dxa"/>
            <w:tcBorders>
              <w:top w:val="nil"/>
              <w:left w:val="nil"/>
              <w:bottom w:val="single" w:sz="8" w:space="0" w:color="auto"/>
              <w:right w:val="single" w:sz="8" w:space="0" w:color="auto"/>
            </w:tcBorders>
            <w:shd w:val="clear" w:color="auto" w:fill="auto"/>
            <w:noWrap/>
            <w:vAlign w:val="bottom"/>
            <w:hideMark/>
          </w:tcPr>
          <w:p w14:paraId="30E9F3AC"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152</w:t>
            </w:r>
          </w:p>
        </w:tc>
        <w:tc>
          <w:tcPr>
            <w:tcW w:w="1540" w:type="dxa"/>
            <w:tcBorders>
              <w:top w:val="nil"/>
              <w:left w:val="nil"/>
              <w:bottom w:val="single" w:sz="8" w:space="0" w:color="auto"/>
              <w:right w:val="nil"/>
            </w:tcBorders>
            <w:shd w:val="clear" w:color="auto" w:fill="auto"/>
            <w:noWrap/>
            <w:vAlign w:val="bottom"/>
            <w:hideMark/>
          </w:tcPr>
          <w:p w14:paraId="1A35D605"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7038</w:t>
            </w:r>
          </w:p>
        </w:tc>
        <w:tc>
          <w:tcPr>
            <w:tcW w:w="2144" w:type="dxa"/>
            <w:tcBorders>
              <w:top w:val="nil"/>
              <w:left w:val="single" w:sz="4" w:space="0" w:color="auto"/>
              <w:bottom w:val="single" w:sz="4" w:space="0" w:color="auto"/>
              <w:right w:val="single" w:sz="4" w:space="0" w:color="auto"/>
            </w:tcBorders>
            <w:shd w:val="clear" w:color="auto" w:fill="auto"/>
            <w:noWrap/>
            <w:vAlign w:val="bottom"/>
            <w:hideMark/>
          </w:tcPr>
          <w:p w14:paraId="1E602AB3"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1069776</w:t>
            </w:r>
          </w:p>
        </w:tc>
        <w:tc>
          <w:tcPr>
            <w:tcW w:w="2268" w:type="dxa"/>
            <w:tcBorders>
              <w:top w:val="nil"/>
              <w:left w:val="nil"/>
              <w:bottom w:val="single" w:sz="8" w:space="0" w:color="auto"/>
              <w:right w:val="single" w:sz="8" w:space="0" w:color="auto"/>
            </w:tcBorders>
            <w:shd w:val="clear" w:color="auto" w:fill="auto"/>
            <w:noWrap/>
            <w:vAlign w:val="bottom"/>
            <w:hideMark/>
          </w:tcPr>
          <w:p w14:paraId="6A52E74C"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0.064035836</w:t>
            </w:r>
          </w:p>
        </w:tc>
        <w:tc>
          <w:tcPr>
            <w:tcW w:w="1341" w:type="dxa"/>
            <w:tcBorders>
              <w:top w:val="nil"/>
              <w:left w:val="nil"/>
              <w:bottom w:val="single" w:sz="8" w:space="0" w:color="auto"/>
              <w:right w:val="single" w:sz="8" w:space="0" w:color="auto"/>
            </w:tcBorders>
            <w:shd w:val="clear" w:color="auto" w:fill="auto"/>
            <w:noWrap/>
            <w:vAlign w:val="bottom"/>
            <w:hideMark/>
          </w:tcPr>
          <w:p w14:paraId="09803963"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6.40</w:t>
            </w:r>
          </w:p>
        </w:tc>
      </w:tr>
      <w:tr w:rsidR="00646828" w:rsidRPr="00F050E3" w14:paraId="3FF1E045" w14:textId="77777777" w:rsidTr="008354C5">
        <w:trPr>
          <w:trHeight w:val="284"/>
        </w:trPr>
        <w:tc>
          <w:tcPr>
            <w:tcW w:w="943" w:type="dxa"/>
            <w:tcBorders>
              <w:top w:val="nil"/>
              <w:left w:val="single" w:sz="8" w:space="0" w:color="auto"/>
              <w:bottom w:val="single" w:sz="8" w:space="0" w:color="auto"/>
              <w:right w:val="single" w:sz="8" w:space="0" w:color="auto"/>
            </w:tcBorders>
            <w:shd w:val="clear" w:color="auto" w:fill="auto"/>
            <w:noWrap/>
            <w:vAlign w:val="center"/>
            <w:hideMark/>
          </w:tcPr>
          <w:p w14:paraId="3047B175" w14:textId="77777777" w:rsidR="00646828" w:rsidRPr="00F050E3" w:rsidRDefault="00646828" w:rsidP="008354C5">
            <w:pPr>
              <w:spacing w:after="0"/>
              <w:rPr>
                <w:rFonts w:ascii="Times New Roman" w:hAnsi="Times New Roman"/>
                <w:color w:val="000000"/>
                <w:lang w:eastAsia="es-DO"/>
              </w:rPr>
            </w:pPr>
            <w:r w:rsidRPr="00F050E3">
              <w:rPr>
                <w:rFonts w:ascii="Times New Roman" w:hAnsi="Times New Roman"/>
                <w:color w:val="000000"/>
                <w:lang w:eastAsia="es-DO"/>
              </w:rPr>
              <w:t>Jul.</w:t>
            </w:r>
          </w:p>
        </w:tc>
        <w:tc>
          <w:tcPr>
            <w:tcW w:w="1276" w:type="dxa"/>
            <w:tcBorders>
              <w:top w:val="nil"/>
              <w:left w:val="nil"/>
              <w:bottom w:val="single" w:sz="8" w:space="0" w:color="auto"/>
              <w:right w:val="single" w:sz="8" w:space="0" w:color="auto"/>
            </w:tcBorders>
            <w:shd w:val="clear" w:color="auto" w:fill="auto"/>
            <w:noWrap/>
            <w:vAlign w:val="bottom"/>
            <w:hideMark/>
          </w:tcPr>
          <w:p w14:paraId="496FABAC"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104194</w:t>
            </w:r>
          </w:p>
        </w:tc>
        <w:tc>
          <w:tcPr>
            <w:tcW w:w="994" w:type="dxa"/>
            <w:tcBorders>
              <w:top w:val="nil"/>
              <w:left w:val="nil"/>
              <w:bottom w:val="single" w:sz="8" w:space="0" w:color="auto"/>
              <w:right w:val="single" w:sz="8" w:space="0" w:color="auto"/>
            </w:tcBorders>
            <w:shd w:val="clear" w:color="auto" w:fill="auto"/>
            <w:noWrap/>
            <w:vAlign w:val="bottom"/>
            <w:hideMark/>
          </w:tcPr>
          <w:p w14:paraId="5C19BAFA"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184</w:t>
            </w:r>
          </w:p>
        </w:tc>
        <w:tc>
          <w:tcPr>
            <w:tcW w:w="1540" w:type="dxa"/>
            <w:tcBorders>
              <w:top w:val="nil"/>
              <w:left w:val="nil"/>
              <w:bottom w:val="single" w:sz="8" w:space="0" w:color="auto"/>
              <w:right w:val="nil"/>
            </w:tcBorders>
            <w:shd w:val="clear" w:color="auto" w:fill="auto"/>
            <w:noWrap/>
            <w:vAlign w:val="bottom"/>
            <w:hideMark/>
          </w:tcPr>
          <w:p w14:paraId="6226EC53"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7185</w:t>
            </w:r>
          </w:p>
        </w:tc>
        <w:tc>
          <w:tcPr>
            <w:tcW w:w="2144" w:type="dxa"/>
            <w:tcBorders>
              <w:top w:val="nil"/>
              <w:left w:val="single" w:sz="4" w:space="0" w:color="auto"/>
              <w:bottom w:val="single" w:sz="4" w:space="0" w:color="auto"/>
              <w:right w:val="single" w:sz="4" w:space="0" w:color="auto"/>
            </w:tcBorders>
            <w:shd w:val="clear" w:color="auto" w:fill="auto"/>
            <w:noWrap/>
            <w:vAlign w:val="bottom"/>
            <w:hideMark/>
          </w:tcPr>
          <w:p w14:paraId="0A450E63"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1322040</w:t>
            </w:r>
          </w:p>
        </w:tc>
        <w:tc>
          <w:tcPr>
            <w:tcW w:w="2268" w:type="dxa"/>
            <w:tcBorders>
              <w:top w:val="nil"/>
              <w:left w:val="nil"/>
              <w:bottom w:val="single" w:sz="8" w:space="0" w:color="auto"/>
              <w:right w:val="single" w:sz="8" w:space="0" w:color="auto"/>
            </w:tcBorders>
            <w:shd w:val="clear" w:color="auto" w:fill="auto"/>
            <w:noWrap/>
            <w:vAlign w:val="bottom"/>
            <w:hideMark/>
          </w:tcPr>
          <w:p w14:paraId="1645A477"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0.078813047</w:t>
            </w:r>
          </w:p>
        </w:tc>
        <w:tc>
          <w:tcPr>
            <w:tcW w:w="1341" w:type="dxa"/>
            <w:tcBorders>
              <w:top w:val="nil"/>
              <w:left w:val="nil"/>
              <w:bottom w:val="single" w:sz="8" w:space="0" w:color="auto"/>
              <w:right w:val="single" w:sz="8" w:space="0" w:color="auto"/>
            </w:tcBorders>
            <w:shd w:val="clear" w:color="auto" w:fill="auto"/>
            <w:noWrap/>
            <w:vAlign w:val="bottom"/>
            <w:hideMark/>
          </w:tcPr>
          <w:p w14:paraId="08C31B10"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7.88</w:t>
            </w:r>
          </w:p>
        </w:tc>
      </w:tr>
      <w:tr w:rsidR="00646828" w:rsidRPr="00F050E3" w14:paraId="4D84B6E4" w14:textId="77777777" w:rsidTr="008354C5">
        <w:trPr>
          <w:trHeight w:val="284"/>
        </w:trPr>
        <w:tc>
          <w:tcPr>
            <w:tcW w:w="943" w:type="dxa"/>
            <w:tcBorders>
              <w:top w:val="nil"/>
              <w:left w:val="single" w:sz="8" w:space="0" w:color="auto"/>
              <w:bottom w:val="single" w:sz="8" w:space="0" w:color="auto"/>
              <w:right w:val="single" w:sz="8" w:space="0" w:color="auto"/>
            </w:tcBorders>
            <w:shd w:val="clear" w:color="auto" w:fill="auto"/>
            <w:noWrap/>
            <w:vAlign w:val="center"/>
            <w:hideMark/>
          </w:tcPr>
          <w:p w14:paraId="3D359E65" w14:textId="77777777" w:rsidR="00646828" w:rsidRPr="00F050E3" w:rsidRDefault="00646828" w:rsidP="008354C5">
            <w:pPr>
              <w:spacing w:after="0"/>
              <w:rPr>
                <w:rFonts w:ascii="Times New Roman" w:hAnsi="Times New Roman"/>
                <w:color w:val="000000"/>
                <w:lang w:eastAsia="es-DO"/>
              </w:rPr>
            </w:pPr>
            <w:r w:rsidRPr="00F050E3">
              <w:rPr>
                <w:rFonts w:ascii="Times New Roman" w:hAnsi="Times New Roman"/>
                <w:color w:val="000000"/>
                <w:lang w:eastAsia="es-DO"/>
              </w:rPr>
              <w:t>Ago.</w:t>
            </w:r>
          </w:p>
        </w:tc>
        <w:tc>
          <w:tcPr>
            <w:tcW w:w="1276" w:type="dxa"/>
            <w:tcBorders>
              <w:top w:val="nil"/>
              <w:left w:val="nil"/>
              <w:bottom w:val="single" w:sz="8" w:space="0" w:color="auto"/>
              <w:right w:val="single" w:sz="8" w:space="0" w:color="auto"/>
            </w:tcBorders>
            <w:shd w:val="clear" w:color="auto" w:fill="auto"/>
            <w:noWrap/>
            <w:vAlign w:val="bottom"/>
            <w:hideMark/>
          </w:tcPr>
          <w:p w14:paraId="4D0A4EAD"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48576</w:t>
            </w:r>
          </w:p>
        </w:tc>
        <w:tc>
          <w:tcPr>
            <w:tcW w:w="994" w:type="dxa"/>
            <w:tcBorders>
              <w:top w:val="nil"/>
              <w:left w:val="nil"/>
              <w:bottom w:val="single" w:sz="8" w:space="0" w:color="auto"/>
              <w:right w:val="single" w:sz="8" w:space="0" w:color="auto"/>
            </w:tcBorders>
            <w:shd w:val="clear" w:color="auto" w:fill="auto"/>
            <w:noWrap/>
            <w:vAlign w:val="bottom"/>
            <w:hideMark/>
          </w:tcPr>
          <w:p w14:paraId="1F790F5A"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168</w:t>
            </w:r>
          </w:p>
        </w:tc>
        <w:tc>
          <w:tcPr>
            <w:tcW w:w="1540" w:type="dxa"/>
            <w:tcBorders>
              <w:top w:val="nil"/>
              <w:left w:val="nil"/>
              <w:bottom w:val="single" w:sz="8" w:space="0" w:color="auto"/>
              <w:right w:val="nil"/>
            </w:tcBorders>
            <w:shd w:val="clear" w:color="auto" w:fill="auto"/>
            <w:noWrap/>
            <w:vAlign w:val="bottom"/>
            <w:hideMark/>
          </w:tcPr>
          <w:p w14:paraId="024EB4A2"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6919</w:t>
            </w:r>
          </w:p>
        </w:tc>
        <w:tc>
          <w:tcPr>
            <w:tcW w:w="2144" w:type="dxa"/>
            <w:tcBorders>
              <w:top w:val="nil"/>
              <w:left w:val="single" w:sz="4" w:space="0" w:color="auto"/>
              <w:bottom w:val="single" w:sz="4" w:space="0" w:color="auto"/>
              <w:right w:val="single" w:sz="4" w:space="0" w:color="auto"/>
            </w:tcBorders>
            <w:shd w:val="clear" w:color="auto" w:fill="auto"/>
            <w:noWrap/>
            <w:vAlign w:val="bottom"/>
            <w:hideMark/>
          </w:tcPr>
          <w:p w14:paraId="20746287"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1162392</w:t>
            </w:r>
          </w:p>
        </w:tc>
        <w:tc>
          <w:tcPr>
            <w:tcW w:w="2268" w:type="dxa"/>
            <w:tcBorders>
              <w:top w:val="nil"/>
              <w:left w:val="nil"/>
              <w:bottom w:val="single" w:sz="8" w:space="0" w:color="auto"/>
              <w:right w:val="single" w:sz="8" w:space="0" w:color="auto"/>
            </w:tcBorders>
            <w:shd w:val="clear" w:color="auto" w:fill="auto"/>
            <w:noWrap/>
            <w:vAlign w:val="bottom"/>
            <w:hideMark/>
          </w:tcPr>
          <w:p w14:paraId="2BF486F3"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0.041789689</w:t>
            </w:r>
          </w:p>
        </w:tc>
        <w:tc>
          <w:tcPr>
            <w:tcW w:w="1341" w:type="dxa"/>
            <w:tcBorders>
              <w:top w:val="nil"/>
              <w:left w:val="nil"/>
              <w:bottom w:val="single" w:sz="8" w:space="0" w:color="auto"/>
              <w:right w:val="single" w:sz="8" w:space="0" w:color="auto"/>
            </w:tcBorders>
            <w:shd w:val="clear" w:color="auto" w:fill="auto"/>
            <w:noWrap/>
            <w:vAlign w:val="bottom"/>
            <w:hideMark/>
          </w:tcPr>
          <w:p w14:paraId="5EE9E1B5"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4.18</w:t>
            </w:r>
          </w:p>
        </w:tc>
      </w:tr>
      <w:tr w:rsidR="00646828" w:rsidRPr="00F050E3" w14:paraId="3543B431" w14:textId="77777777" w:rsidTr="008354C5">
        <w:trPr>
          <w:trHeight w:val="284"/>
        </w:trPr>
        <w:tc>
          <w:tcPr>
            <w:tcW w:w="943" w:type="dxa"/>
            <w:tcBorders>
              <w:top w:val="nil"/>
              <w:left w:val="single" w:sz="8" w:space="0" w:color="auto"/>
              <w:bottom w:val="single" w:sz="8" w:space="0" w:color="auto"/>
              <w:right w:val="single" w:sz="8" w:space="0" w:color="auto"/>
            </w:tcBorders>
            <w:shd w:val="clear" w:color="auto" w:fill="auto"/>
            <w:noWrap/>
            <w:vAlign w:val="center"/>
            <w:hideMark/>
          </w:tcPr>
          <w:p w14:paraId="7769365F" w14:textId="77777777" w:rsidR="00646828" w:rsidRPr="00F050E3" w:rsidRDefault="00646828" w:rsidP="008354C5">
            <w:pPr>
              <w:spacing w:after="0"/>
              <w:rPr>
                <w:rFonts w:ascii="Times New Roman" w:hAnsi="Times New Roman"/>
                <w:color w:val="000000"/>
                <w:lang w:eastAsia="es-DO"/>
              </w:rPr>
            </w:pPr>
            <w:r w:rsidRPr="00F050E3">
              <w:rPr>
                <w:rFonts w:ascii="Times New Roman" w:hAnsi="Times New Roman"/>
                <w:color w:val="000000"/>
                <w:lang w:eastAsia="es-DO"/>
              </w:rPr>
              <w:t>Sep.</w:t>
            </w:r>
          </w:p>
        </w:tc>
        <w:tc>
          <w:tcPr>
            <w:tcW w:w="1276" w:type="dxa"/>
            <w:tcBorders>
              <w:top w:val="nil"/>
              <w:left w:val="nil"/>
              <w:bottom w:val="single" w:sz="8" w:space="0" w:color="auto"/>
              <w:right w:val="single" w:sz="8" w:space="0" w:color="auto"/>
            </w:tcBorders>
            <w:shd w:val="clear" w:color="auto" w:fill="auto"/>
            <w:noWrap/>
            <w:vAlign w:val="bottom"/>
            <w:hideMark/>
          </w:tcPr>
          <w:p w14:paraId="1A57C9C8"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31112</w:t>
            </w:r>
          </w:p>
        </w:tc>
        <w:tc>
          <w:tcPr>
            <w:tcW w:w="994" w:type="dxa"/>
            <w:tcBorders>
              <w:top w:val="nil"/>
              <w:left w:val="nil"/>
              <w:bottom w:val="single" w:sz="8" w:space="0" w:color="auto"/>
              <w:right w:val="single" w:sz="8" w:space="0" w:color="auto"/>
            </w:tcBorders>
            <w:shd w:val="clear" w:color="auto" w:fill="auto"/>
            <w:noWrap/>
            <w:vAlign w:val="bottom"/>
            <w:hideMark/>
          </w:tcPr>
          <w:p w14:paraId="34E4CD75"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160</w:t>
            </w:r>
          </w:p>
        </w:tc>
        <w:tc>
          <w:tcPr>
            <w:tcW w:w="1540" w:type="dxa"/>
            <w:tcBorders>
              <w:top w:val="nil"/>
              <w:left w:val="nil"/>
              <w:bottom w:val="single" w:sz="8" w:space="0" w:color="auto"/>
              <w:right w:val="nil"/>
            </w:tcBorders>
            <w:shd w:val="clear" w:color="auto" w:fill="auto"/>
            <w:noWrap/>
            <w:vAlign w:val="bottom"/>
            <w:hideMark/>
          </w:tcPr>
          <w:p w14:paraId="48AAC623"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6919</w:t>
            </w:r>
          </w:p>
        </w:tc>
        <w:tc>
          <w:tcPr>
            <w:tcW w:w="2144" w:type="dxa"/>
            <w:tcBorders>
              <w:top w:val="nil"/>
              <w:left w:val="single" w:sz="4" w:space="0" w:color="auto"/>
              <w:bottom w:val="single" w:sz="4" w:space="0" w:color="auto"/>
              <w:right w:val="single" w:sz="4" w:space="0" w:color="auto"/>
            </w:tcBorders>
            <w:shd w:val="clear" w:color="auto" w:fill="auto"/>
            <w:noWrap/>
            <w:vAlign w:val="bottom"/>
            <w:hideMark/>
          </w:tcPr>
          <w:p w14:paraId="5A80153D"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1107040</w:t>
            </w:r>
          </w:p>
        </w:tc>
        <w:tc>
          <w:tcPr>
            <w:tcW w:w="2268" w:type="dxa"/>
            <w:tcBorders>
              <w:top w:val="nil"/>
              <w:left w:val="nil"/>
              <w:bottom w:val="single" w:sz="8" w:space="0" w:color="auto"/>
              <w:right w:val="single" w:sz="8" w:space="0" w:color="auto"/>
            </w:tcBorders>
            <w:shd w:val="clear" w:color="auto" w:fill="auto"/>
            <w:noWrap/>
            <w:vAlign w:val="bottom"/>
            <w:hideMark/>
          </w:tcPr>
          <w:p w14:paraId="7EBBADE8"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0.028103772</w:t>
            </w:r>
          </w:p>
        </w:tc>
        <w:tc>
          <w:tcPr>
            <w:tcW w:w="1341" w:type="dxa"/>
            <w:tcBorders>
              <w:top w:val="nil"/>
              <w:left w:val="nil"/>
              <w:bottom w:val="single" w:sz="8" w:space="0" w:color="auto"/>
              <w:right w:val="single" w:sz="8" w:space="0" w:color="auto"/>
            </w:tcBorders>
            <w:shd w:val="clear" w:color="auto" w:fill="auto"/>
            <w:noWrap/>
            <w:vAlign w:val="bottom"/>
            <w:hideMark/>
          </w:tcPr>
          <w:p w14:paraId="010B9AF1"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2.81</w:t>
            </w:r>
          </w:p>
        </w:tc>
      </w:tr>
      <w:tr w:rsidR="00646828" w:rsidRPr="00F050E3" w14:paraId="1D74739A" w14:textId="77777777" w:rsidTr="008354C5">
        <w:trPr>
          <w:trHeight w:val="361"/>
        </w:trPr>
        <w:tc>
          <w:tcPr>
            <w:tcW w:w="943" w:type="dxa"/>
            <w:tcBorders>
              <w:top w:val="nil"/>
              <w:left w:val="single" w:sz="8" w:space="0" w:color="auto"/>
              <w:bottom w:val="nil"/>
              <w:right w:val="single" w:sz="8" w:space="0" w:color="auto"/>
            </w:tcBorders>
            <w:shd w:val="clear" w:color="auto" w:fill="auto"/>
            <w:noWrap/>
            <w:vAlign w:val="center"/>
            <w:hideMark/>
          </w:tcPr>
          <w:p w14:paraId="01648ED4" w14:textId="77777777" w:rsidR="00646828" w:rsidRPr="00F050E3" w:rsidRDefault="00646828" w:rsidP="008354C5">
            <w:pPr>
              <w:spacing w:after="0"/>
              <w:rPr>
                <w:rFonts w:ascii="Times New Roman" w:hAnsi="Times New Roman"/>
                <w:color w:val="000000"/>
                <w:lang w:eastAsia="es-DO"/>
              </w:rPr>
            </w:pPr>
            <w:r w:rsidRPr="00F050E3">
              <w:rPr>
                <w:rFonts w:ascii="Times New Roman" w:hAnsi="Times New Roman"/>
                <w:color w:val="000000"/>
                <w:lang w:eastAsia="es-DO"/>
              </w:rPr>
              <w:t>Oct.</w:t>
            </w:r>
          </w:p>
        </w:tc>
        <w:tc>
          <w:tcPr>
            <w:tcW w:w="1276" w:type="dxa"/>
            <w:tcBorders>
              <w:top w:val="nil"/>
              <w:left w:val="nil"/>
              <w:bottom w:val="nil"/>
              <w:right w:val="single" w:sz="8" w:space="0" w:color="auto"/>
            </w:tcBorders>
            <w:shd w:val="clear" w:color="auto" w:fill="auto"/>
            <w:noWrap/>
            <w:vAlign w:val="bottom"/>
            <w:hideMark/>
          </w:tcPr>
          <w:p w14:paraId="09C7FD86"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48500</w:t>
            </w:r>
          </w:p>
        </w:tc>
        <w:tc>
          <w:tcPr>
            <w:tcW w:w="994" w:type="dxa"/>
            <w:tcBorders>
              <w:top w:val="nil"/>
              <w:left w:val="nil"/>
              <w:bottom w:val="nil"/>
              <w:right w:val="single" w:sz="8" w:space="0" w:color="auto"/>
            </w:tcBorders>
            <w:shd w:val="clear" w:color="auto" w:fill="auto"/>
            <w:noWrap/>
            <w:vAlign w:val="bottom"/>
            <w:hideMark/>
          </w:tcPr>
          <w:p w14:paraId="5855B6BD"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184</w:t>
            </w:r>
          </w:p>
        </w:tc>
        <w:tc>
          <w:tcPr>
            <w:tcW w:w="1540" w:type="dxa"/>
            <w:tcBorders>
              <w:top w:val="nil"/>
              <w:left w:val="nil"/>
              <w:bottom w:val="nil"/>
              <w:right w:val="nil"/>
            </w:tcBorders>
            <w:shd w:val="clear" w:color="auto" w:fill="auto"/>
            <w:noWrap/>
            <w:vAlign w:val="bottom"/>
            <w:hideMark/>
          </w:tcPr>
          <w:p w14:paraId="6B504F11"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6963</w:t>
            </w:r>
          </w:p>
        </w:tc>
        <w:tc>
          <w:tcPr>
            <w:tcW w:w="2144" w:type="dxa"/>
            <w:tcBorders>
              <w:top w:val="nil"/>
              <w:left w:val="single" w:sz="4" w:space="0" w:color="auto"/>
              <w:bottom w:val="nil"/>
              <w:right w:val="single" w:sz="4" w:space="0" w:color="auto"/>
            </w:tcBorders>
            <w:shd w:val="clear" w:color="auto" w:fill="auto"/>
            <w:noWrap/>
            <w:vAlign w:val="bottom"/>
            <w:hideMark/>
          </w:tcPr>
          <w:p w14:paraId="02F63A49"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1281192</w:t>
            </w:r>
          </w:p>
        </w:tc>
        <w:tc>
          <w:tcPr>
            <w:tcW w:w="2268" w:type="dxa"/>
            <w:tcBorders>
              <w:top w:val="nil"/>
              <w:left w:val="nil"/>
              <w:bottom w:val="nil"/>
              <w:right w:val="single" w:sz="8" w:space="0" w:color="auto"/>
            </w:tcBorders>
            <w:shd w:val="clear" w:color="auto" w:fill="auto"/>
            <w:noWrap/>
            <w:vAlign w:val="bottom"/>
            <w:hideMark/>
          </w:tcPr>
          <w:p w14:paraId="3B26C6C8"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0.037855372</w:t>
            </w:r>
          </w:p>
        </w:tc>
        <w:tc>
          <w:tcPr>
            <w:tcW w:w="1341" w:type="dxa"/>
            <w:tcBorders>
              <w:top w:val="nil"/>
              <w:left w:val="nil"/>
              <w:bottom w:val="nil"/>
              <w:right w:val="single" w:sz="8" w:space="0" w:color="auto"/>
            </w:tcBorders>
            <w:shd w:val="clear" w:color="auto" w:fill="auto"/>
            <w:noWrap/>
            <w:vAlign w:val="bottom"/>
            <w:hideMark/>
          </w:tcPr>
          <w:p w14:paraId="59A4AC57" w14:textId="77777777" w:rsidR="00646828" w:rsidRPr="00F050E3" w:rsidRDefault="00646828" w:rsidP="008354C5">
            <w:pPr>
              <w:spacing w:after="0"/>
              <w:jc w:val="center"/>
              <w:rPr>
                <w:rFonts w:ascii="Times New Roman" w:hAnsi="Times New Roman"/>
                <w:color w:val="000000"/>
                <w:lang w:eastAsia="es-DO"/>
              </w:rPr>
            </w:pPr>
            <w:r w:rsidRPr="00F050E3">
              <w:rPr>
                <w:rFonts w:ascii="Times New Roman" w:hAnsi="Times New Roman"/>
                <w:color w:val="000000"/>
                <w:lang w:eastAsia="es-DO"/>
              </w:rPr>
              <w:t>3.79</w:t>
            </w:r>
          </w:p>
        </w:tc>
      </w:tr>
      <w:tr w:rsidR="00646828" w:rsidRPr="00674BE8" w14:paraId="4E2A6F5F" w14:textId="77777777" w:rsidTr="002F0F07">
        <w:trPr>
          <w:trHeight w:val="86"/>
        </w:trPr>
        <w:tc>
          <w:tcPr>
            <w:tcW w:w="9165" w:type="dxa"/>
            <w:gridSpan w:val="6"/>
            <w:tcBorders>
              <w:top w:val="single" w:sz="8" w:space="0" w:color="auto"/>
              <w:left w:val="single" w:sz="8" w:space="0" w:color="auto"/>
              <w:bottom w:val="single" w:sz="8" w:space="0" w:color="auto"/>
              <w:right w:val="single" w:sz="8" w:space="0" w:color="auto"/>
            </w:tcBorders>
            <w:shd w:val="clear" w:color="auto" w:fill="808080" w:themeFill="background1" w:themeFillShade="80"/>
            <w:vAlign w:val="center"/>
            <w:hideMark/>
          </w:tcPr>
          <w:p w14:paraId="1783A74D" w14:textId="77777777" w:rsidR="00646828" w:rsidRPr="002F0F07" w:rsidRDefault="00646828" w:rsidP="008354C5">
            <w:pPr>
              <w:spacing w:after="0"/>
              <w:jc w:val="right"/>
              <w:rPr>
                <w:rFonts w:ascii="Times New Roman" w:hAnsi="Times New Roman"/>
                <w:color w:val="FFFFFF" w:themeColor="background1"/>
                <w:lang w:eastAsia="es-DO"/>
              </w:rPr>
            </w:pPr>
            <w:r w:rsidRPr="002F0F07">
              <w:rPr>
                <w:rFonts w:ascii="Times New Roman" w:hAnsi="Times New Roman"/>
                <w:b/>
                <w:bCs/>
                <w:color w:val="FFFFFF" w:themeColor="background1"/>
                <w:lang w:eastAsia="es-DO"/>
              </w:rPr>
              <w:t>Total General</w:t>
            </w:r>
            <w:r w:rsidRPr="002F0F07">
              <w:rPr>
                <w:rFonts w:ascii="Times New Roman" w:hAnsi="Times New Roman"/>
                <w:color w:val="FFFFFF" w:themeColor="background1"/>
                <w:lang w:eastAsia="es-DO"/>
              </w:rPr>
              <w:t> </w:t>
            </w:r>
          </w:p>
        </w:tc>
        <w:tc>
          <w:tcPr>
            <w:tcW w:w="1341" w:type="dxa"/>
            <w:tcBorders>
              <w:top w:val="single" w:sz="8" w:space="0" w:color="auto"/>
              <w:left w:val="single" w:sz="8" w:space="0" w:color="auto"/>
              <w:bottom w:val="single" w:sz="8" w:space="0" w:color="auto"/>
              <w:right w:val="single" w:sz="8" w:space="0" w:color="auto"/>
            </w:tcBorders>
            <w:shd w:val="clear" w:color="auto" w:fill="808080" w:themeFill="background1" w:themeFillShade="80"/>
            <w:noWrap/>
            <w:vAlign w:val="center"/>
            <w:hideMark/>
          </w:tcPr>
          <w:p w14:paraId="30B5EBF9" w14:textId="77777777" w:rsidR="00646828" w:rsidRPr="002F0F07" w:rsidRDefault="00646828" w:rsidP="008354C5">
            <w:pPr>
              <w:spacing w:after="0"/>
              <w:jc w:val="center"/>
              <w:rPr>
                <w:rFonts w:ascii="Times New Roman" w:hAnsi="Times New Roman"/>
                <w:b/>
                <w:bCs/>
                <w:color w:val="FFFFFF" w:themeColor="background1"/>
                <w:lang w:eastAsia="es-DO"/>
              </w:rPr>
            </w:pPr>
            <w:r w:rsidRPr="002F0F07">
              <w:rPr>
                <w:rFonts w:ascii="Times New Roman" w:hAnsi="Times New Roman"/>
                <w:b/>
                <w:bCs/>
                <w:color w:val="FFFFFF" w:themeColor="background1"/>
                <w:lang w:eastAsia="es-DO"/>
              </w:rPr>
              <w:t>51.06</w:t>
            </w:r>
          </w:p>
        </w:tc>
      </w:tr>
    </w:tbl>
    <w:p w14:paraId="4CFF6707" w14:textId="3F79FBE3" w:rsidR="00BB7F45" w:rsidRDefault="00BB7F45" w:rsidP="00646828">
      <w:pPr>
        <w:spacing w:after="0" w:line="480" w:lineRule="auto"/>
        <w:ind w:firstLine="720"/>
        <w:jc w:val="both"/>
        <w:rPr>
          <w:rFonts w:ascii="Times New Roman" w:hAnsi="Times New Roman"/>
        </w:rPr>
      </w:pPr>
    </w:p>
    <w:p w14:paraId="45C0FF5E" w14:textId="77777777" w:rsidR="00BB7F45" w:rsidRDefault="00BB7F45">
      <w:pPr>
        <w:spacing w:after="0"/>
        <w:rPr>
          <w:rFonts w:ascii="Times New Roman" w:hAnsi="Times New Roman"/>
        </w:rPr>
      </w:pPr>
      <w:r>
        <w:rPr>
          <w:rFonts w:ascii="Times New Roman" w:hAnsi="Times New Roman"/>
        </w:rPr>
        <w:br w:type="page"/>
      </w:r>
    </w:p>
    <w:p w14:paraId="3B08327A" w14:textId="7D5B6FF1" w:rsidR="00646828" w:rsidRDefault="00646828" w:rsidP="00CA5792">
      <w:pPr>
        <w:pStyle w:val="Ttulo4"/>
      </w:pPr>
      <w:bookmarkStart w:id="333" w:name="_Toc440036751"/>
      <w:bookmarkStart w:id="334" w:name="_Toc470523408"/>
      <w:bookmarkStart w:id="335" w:name="_Toc26292126"/>
      <w:bookmarkStart w:id="336" w:name="_Toc27146817"/>
      <w:r w:rsidRPr="0098414F">
        <w:lastRenderedPageBreak/>
        <w:t>Gestión del Rendimiento</w:t>
      </w:r>
      <w:bookmarkEnd w:id="330"/>
      <w:bookmarkEnd w:id="331"/>
      <w:bookmarkEnd w:id="332"/>
      <w:bookmarkEnd w:id="333"/>
      <w:bookmarkEnd w:id="334"/>
      <w:bookmarkEnd w:id="335"/>
      <w:bookmarkEnd w:id="336"/>
    </w:p>
    <w:p w14:paraId="44854F02" w14:textId="77777777" w:rsidR="00646828" w:rsidRPr="00E77723" w:rsidRDefault="00646828" w:rsidP="00646828">
      <w:pPr>
        <w:rPr>
          <w:lang w:val="es-ES_tradnl" w:eastAsia="en-US" w:bidi="en-US"/>
        </w:rPr>
      </w:pPr>
    </w:p>
    <w:p w14:paraId="4934CDA7" w14:textId="77777777" w:rsidR="00646828" w:rsidRPr="0098414F" w:rsidRDefault="00646828" w:rsidP="00646828">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Evaluación del desempeño</w:t>
      </w:r>
    </w:p>
    <w:p w14:paraId="09C255EA" w14:textId="7777777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t>En función a lo establece el reglamento No. 525-09 de evaluación del desempeño y promoción de los servidores y funcionarios de la administración pública, de la Ley no. 41-08 de Función Pública; este Ministerio ha cumplido con los lineamientos establecidos en dicho reglamento en todo lo relativo a la aplicación de las técnicas, procedimientos, metodologías e instrumentos.</w:t>
      </w:r>
    </w:p>
    <w:p w14:paraId="7F66A81A" w14:textId="77777777" w:rsidR="00646828" w:rsidRPr="00F050E3" w:rsidRDefault="00646828" w:rsidP="00646828">
      <w:pPr>
        <w:spacing w:after="0" w:line="480" w:lineRule="auto"/>
        <w:ind w:firstLine="720"/>
        <w:jc w:val="both"/>
        <w:rPr>
          <w:rFonts w:ascii="Times New Roman" w:hAnsi="Times New Roman"/>
        </w:rPr>
      </w:pPr>
    </w:p>
    <w:p w14:paraId="6B424BC1" w14:textId="77777777" w:rsidR="00A452A8" w:rsidRPr="00F050E3" w:rsidRDefault="00A452A8" w:rsidP="00A452A8">
      <w:pPr>
        <w:rPr>
          <w:rFonts w:ascii="Times New Roman" w:hAnsi="Times New Roman"/>
          <w:b/>
          <w:sz w:val="28"/>
        </w:rPr>
      </w:pPr>
      <w:r w:rsidRPr="00F050E3">
        <w:rPr>
          <w:rFonts w:ascii="Times New Roman" w:hAnsi="Times New Roman"/>
          <w:b/>
          <w:sz w:val="28"/>
        </w:rPr>
        <w:t>Escala Salarial</w:t>
      </w:r>
    </w:p>
    <w:p w14:paraId="1CBD817C" w14:textId="77777777" w:rsidR="00646828" w:rsidRPr="00F050E3" w:rsidRDefault="00646828" w:rsidP="00646828">
      <w:pPr>
        <w:spacing w:after="0" w:line="480" w:lineRule="auto"/>
        <w:ind w:firstLine="720"/>
        <w:jc w:val="both"/>
        <w:rPr>
          <w:rFonts w:ascii="Times New Roman" w:hAnsi="Times New Roman"/>
        </w:rPr>
      </w:pPr>
    </w:p>
    <w:p w14:paraId="1079AEBC" w14:textId="77777777" w:rsidR="00646828" w:rsidRPr="00F050E3" w:rsidRDefault="00646828" w:rsidP="00646828">
      <w:pPr>
        <w:pStyle w:val="Prrafodelista"/>
        <w:spacing w:after="0" w:line="480" w:lineRule="auto"/>
        <w:ind w:left="0" w:firstLine="720"/>
        <w:jc w:val="both"/>
        <w:rPr>
          <w:rFonts w:ascii="Times New Roman" w:hAnsi="Times New Roman"/>
          <w:b/>
          <w:sz w:val="28"/>
        </w:rPr>
      </w:pPr>
      <w:r w:rsidRPr="00F050E3">
        <w:rPr>
          <w:rFonts w:ascii="Times New Roman" w:hAnsi="Times New Roman"/>
          <w:b/>
          <w:sz w:val="28"/>
        </w:rPr>
        <w:t>Galardón con medalla al mérito.</w:t>
      </w:r>
    </w:p>
    <w:p w14:paraId="27310E22" w14:textId="77777777" w:rsidR="00646828" w:rsidRPr="00F050E3" w:rsidRDefault="00646828" w:rsidP="00646828">
      <w:pPr>
        <w:pStyle w:val="Prrafodelista"/>
        <w:spacing w:after="0" w:line="480" w:lineRule="auto"/>
        <w:ind w:left="0" w:firstLine="720"/>
        <w:jc w:val="both"/>
        <w:rPr>
          <w:rFonts w:ascii="Times New Roman" w:hAnsi="Times New Roman"/>
          <w:sz w:val="24"/>
          <w:szCs w:val="24"/>
        </w:rPr>
      </w:pPr>
      <w:r w:rsidRPr="00F050E3">
        <w:rPr>
          <w:rFonts w:ascii="Times New Roman" w:hAnsi="Times New Roman"/>
          <w:sz w:val="24"/>
          <w:szCs w:val="24"/>
        </w:rPr>
        <w:t>Anualmente el Ministerio de Administración Pública (MAP), reconoce los méritos de los servidores público que ha laborado en el Estado Dominicano por más de 25 años sirviendo con lealtad, honradez y eficiencia.</w:t>
      </w:r>
    </w:p>
    <w:p w14:paraId="1FF7EBCC" w14:textId="77777777" w:rsidR="00646828" w:rsidRPr="00F050E3" w:rsidRDefault="00646828" w:rsidP="00646828">
      <w:pPr>
        <w:pStyle w:val="Prrafodelista"/>
        <w:spacing w:after="0" w:line="480" w:lineRule="auto"/>
        <w:ind w:left="0" w:firstLine="720"/>
        <w:jc w:val="both"/>
        <w:rPr>
          <w:rFonts w:ascii="Times New Roman" w:hAnsi="Times New Roman"/>
          <w:sz w:val="24"/>
          <w:szCs w:val="24"/>
        </w:rPr>
      </w:pPr>
    </w:p>
    <w:p w14:paraId="5CEF63C9" w14:textId="6C9830A7" w:rsidR="00646828" w:rsidRPr="00F050E3" w:rsidRDefault="00646828" w:rsidP="00CA5792">
      <w:pPr>
        <w:pStyle w:val="Ttulo4"/>
      </w:pPr>
      <w:bookmarkStart w:id="337" w:name="_Toc440036752"/>
      <w:bookmarkStart w:id="338" w:name="_Toc470523409"/>
      <w:bookmarkStart w:id="339" w:name="_Toc26292127"/>
      <w:bookmarkStart w:id="340" w:name="_Toc27146818"/>
      <w:r w:rsidRPr="00F050E3">
        <w:t>Gestión de Compensación</w:t>
      </w:r>
      <w:bookmarkEnd w:id="337"/>
      <w:bookmarkEnd w:id="338"/>
      <w:bookmarkEnd w:id="339"/>
      <w:bookmarkEnd w:id="340"/>
    </w:p>
    <w:p w14:paraId="66D3EFB5" w14:textId="77777777" w:rsidR="00646828" w:rsidRPr="00F050E3" w:rsidRDefault="00646828" w:rsidP="00646828">
      <w:pPr>
        <w:pStyle w:val="Prrafodelista"/>
        <w:spacing w:after="0" w:line="360" w:lineRule="auto"/>
        <w:ind w:left="0" w:firstLine="720"/>
        <w:jc w:val="both"/>
        <w:rPr>
          <w:rFonts w:ascii="Times New Roman" w:hAnsi="Times New Roman"/>
          <w:b/>
          <w:sz w:val="24"/>
        </w:rPr>
      </w:pPr>
    </w:p>
    <w:p w14:paraId="6B9FDCDA" w14:textId="77777777" w:rsidR="00646828" w:rsidRPr="00F050E3" w:rsidRDefault="00646828" w:rsidP="00646828">
      <w:pPr>
        <w:pStyle w:val="Prrafodelista"/>
        <w:spacing w:after="0" w:line="480" w:lineRule="auto"/>
        <w:ind w:left="0" w:firstLine="720"/>
        <w:jc w:val="both"/>
        <w:rPr>
          <w:rFonts w:ascii="Times New Roman" w:hAnsi="Times New Roman"/>
          <w:b/>
          <w:sz w:val="28"/>
        </w:rPr>
      </w:pPr>
      <w:r w:rsidRPr="00F050E3">
        <w:rPr>
          <w:rFonts w:ascii="Times New Roman" w:hAnsi="Times New Roman"/>
          <w:b/>
          <w:sz w:val="28"/>
        </w:rPr>
        <w:t>Escala salarial</w:t>
      </w:r>
    </w:p>
    <w:p w14:paraId="6EE878D3" w14:textId="7777777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t xml:space="preserve">La Ley no. 105-13 sobre Regulación Salarial del Estado Dominicano, tiene como objeto establecer un marco regulador común de la política salarial para todo el sector público dominicano, con la finalidad de proporcionar una remuneración </w:t>
      </w:r>
      <w:r w:rsidRPr="00F050E3">
        <w:rPr>
          <w:rFonts w:ascii="Times New Roman" w:hAnsi="Times New Roman"/>
        </w:rPr>
        <w:lastRenderedPageBreak/>
        <w:t>equitativa que sirva de estímulo a los servidores públicos para alcanzar, los niveles de rendimiento y productividad.</w:t>
      </w:r>
    </w:p>
    <w:p w14:paraId="67702A90" w14:textId="77777777" w:rsidR="00646828" w:rsidRPr="00F050E3" w:rsidRDefault="00646828" w:rsidP="00646828">
      <w:pPr>
        <w:spacing w:after="0" w:line="480" w:lineRule="auto"/>
        <w:ind w:firstLine="720"/>
        <w:jc w:val="both"/>
        <w:rPr>
          <w:rFonts w:ascii="Times New Roman" w:hAnsi="Times New Roman"/>
        </w:rPr>
      </w:pPr>
    </w:p>
    <w:p w14:paraId="764B8AF3" w14:textId="77777777" w:rsidR="00A452A8" w:rsidRPr="00F050E3" w:rsidRDefault="00A452A8" w:rsidP="00A452A8">
      <w:pPr>
        <w:spacing w:after="0" w:line="480" w:lineRule="auto"/>
        <w:ind w:firstLine="720"/>
        <w:jc w:val="both"/>
        <w:rPr>
          <w:rFonts w:ascii="Times New Roman" w:hAnsi="Times New Roman"/>
        </w:rPr>
      </w:pPr>
      <w:r w:rsidRPr="00F050E3">
        <w:rPr>
          <w:rFonts w:ascii="Times New Roman" w:hAnsi="Times New Roman"/>
        </w:rPr>
        <w:t xml:space="preserve">Mediante la comunicación no.007451 de fecha 14 de agosto del 2019, el Ministerio de Administración Pública (MAP) aprobó la escala salarial del Ministerio, clasificada por grupos ocupacionales en cumplimiento de lo establecido en la ley 105-13, en términos de que exista una regulación salarial, cuyo propósito esté encaminado a una remuneración equitativa, que estimule los servidores públicos para alcanzar los niveles de rendimiento y productividad. </w:t>
      </w:r>
    </w:p>
    <w:p w14:paraId="4E258C41" w14:textId="77777777" w:rsidR="00646828" w:rsidRPr="00F050E3" w:rsidRDefault="00646828" w:rsidP="00646828">
      <w:pPr>
        <w:spacing w:after="0"/>
        <w:rPr>
          <w:rFonts w:ascii="Times New Roman" w:eastAsia="Calibri" w:hAnsi="Times New Roman"/>
          <w:lang w:eastAsia="en-US"/>
        </w:rPr>
      </w:pPr>
      <w:bookmarkStart w:id="341" w:name="_Toc251777878"/>
      <w:bookmarkStart w:id="342" w:name="_Toc254413098"/>
      <w:bookmarkStart w:id="343" w:name="_Toc409040097"/>
      <w:bookmarkStart w:id="344" w:name="_Toc440036753"/>
      <w:bookmarkStart w:id="345" w:name="_Toc470523410"/>
    </w:p>
    <w:p w14:paraId="11826C56" w14:textId="08ABF2CE" w:rsidR="00646828" w:rsidRPr="00F050E3" w:rsidRDefault="00646828" w:rsidP="00CA5792">
      <w:pPr>
        <w:pStyle w:val="Ttulo4"/>
      </w:pPr>
      <w:bookmarkStart w:id="346" w:name="_Toc26292128"/>
      <w:bookmarkStart w:id="347" w:name="_Toc27146819"/>
      <w:r w:rsidRPr="00F050E3">
        <w:t>Gestión del Desarrollo</w:t>
      </w:r>
      <w:bookmarkEnd w:id="341"/>
      <w:bookmarkEnd w:id="342"/>
      <w:bookmarkEnd w:id="343"/>
      <w:bookmarkEnd w:id="344"/>
      <w:bookmarkEnd w:id="345"/>
      <w:bookmarkEnd w:id="346"/>
      <w:bookmarkEnd w:id="347"/>
    </w:p>
    <w:p w14:paraId="5382E719" w14:textId="77777777" w:rsidR="00646828" w:rsidRPr="00F050E3" w:rsidRDefault="00646828" w:rsidP="00646828">
      <w:pPr>
        <w:spacing w:after="0" w:line="276" w:lineRule="auto"/>
        <w:ind w:firstLine="720"/>
        <w:jc w:val="both"/>
        <w:rPr>
          <w:rFonts w:ascii="Times New Roman" w:hAnsi="Times New Roman"/>
        </w:rPr>
      </w:pPr>
    </w:p>
    <w:p w14:paraId="5FE88B56" w14:textId="77777777" w:rsidR="00646828" w:rsidRPr="00F050E3" w:rsidRDefault="00646828" w:rsidP="00646828">
      <w:pPr>
        <w:pStyle w:val="Prrafodelista"/>
        <w:spacing w:after="0" w:line="480" w:lineRule="auto"/>
        <w:ind w:left="0" w:firstLine="720"/>
        <w:jc w:val="both"/>
        <w:rPr>
          <w:rFonts w:ascii="Times New Roman" w:hAnsi="Times New Roman"/>
          <w:b/>
          <w:sz w:val="28"/>
        </w:rPr>
      </w:pPr>
      <w:r w:rsidRPr="00F050E3">
        <w:rPr>
          <w:rFonts w:ascii="Times New Roman" w:hAnsi="Times New Roman"/>
          <w:b/>
          <w:sz w:val="28"/>
        </w:rPr>
        <w:t>Número de incorporados a la Carrera Administrativa</w:t>
      </w:r>
    </w:p>
    <w:p w14:paraId="7736599A" w14:textId="7777777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t>De acuerdo a lo establecido en el Art. 37 de la Ley no. 41-08 de Función Pública, para ingreso a la carrera administrativa es necesario cumplir con los requisitos establecidos en dicho artículo.</w:t>
      </w:r>
    </w:p>
    <w:p w14:paraId="7B185058" w14:textId="77777777" w:rsidR="00646828" w:rsidRPr="00F050E3" w:rsidRDefault="00646828" w:rsidP="00646828">
      <w:pPr>
        <w:spacing w:after="0" w:line="480" w:lineRule="auto"/>
        <w:ind w:firstLine="720"/>
        <w:jc w:val="both"/>
        <w:rPr>
          <w:rFonts w:ascii="Times New Roman" w:hAnsi="Times New Roman"/>
        </w:rPr>
      </w:pPr>
    </w:p>
    <w:p w14:paraId="32E7871B" w14:textId="31EBC9C5" w:rsidR="00A452A8" w:rsidRPr="00F050E3" w:rsidRDefault="00A452A8" w:rsidP="00A452A8">
      <w:pPr>
        <w:spacing w:after="0" w:line="480" w:lineRule="auto"/>
        <w:ind w:firstLine="720"/>
        <w:jc w:val="both"/>
        <w:rPr>
          <w:rFonts w:ascii="Times New Roman" w:hAnsi="Times New Roman"/>
        </w:rPr>
      </w:pPr>
      <w:r w:rsidRPr="00F050E3">
        <w:rPr>
          <w:rFonts w:ascii="Times New Roman" w:hAnsi="Times New Roman"/>
        </w:rPr>
        <w:t>La siguiente tabla, muestra la distribución de los servidores por grupo ocupacional, contemplando los servidores de carrera administrativa de la Sede Central.</w:t>
      </w:r>
    </w:p>
    <w:p w14:paraId="1DEF3FFA" w14:textId="3A1AAD09" w:rsidR="00A452A8" w:rsidRDefault="00A452A8">
      <w:pPr>
        <w:spacing w:after="0"/>
        <w:rPr>
          <w:rFonts w:ascii="Times New Roman" w:hAnsi="Times New Roman"/>
        </w:rPr>
      </w:pPr>
      <w:r>
        <w:rPr>
          <w:rFonts w:ascii="Times New Roman" w:hAnsi="Times New Roman"/>
        </w:rPr>
        <w:br w:type="page"/>
      </w:r>
    </w:p>
    <w:p w14:paraId="3D77C2AA" w14:textId="7B61129E" w:rsidR="00A452A8" w:rsidRDefault="00A452A8" w:rsidP="001C6B1A">
      <w:pPr>
        <w:pStyle w:val="Prrafodelista"/>
        <w:numPr>
          <w:ilvl w:val="0"/>
          <w:numId w:val="9"/>
        </w:numPr>
        <w:spacing w:after="0" w:line="240" w:lineRule="auto"/>
        <w:ind w:left="567" w:hanging="567"/>
        <w:rPr>
          <w:rFonts w:ascii="Times New Roman" w:hAnsi="Times New Roman"/>
          <w:b/>
          <w:sz w:val="24"/>
          <w:szCs w:val="28"/>
        </w:rPr>
      </w:pPr>
      <w:r>
        <w:rPr>
          <w:rFonts w:ascii="Times New Roman" w:hAnsi="Times New Roman"/>
          <w:b/>
          <w:sz w:val="24"/>
          <w:szCs w:val="28"/>
        </w:rPr>
        <w:lastRenderedPageBreak/>
        <w:t>Distribución de servidores públicos por grupo ocupacional</w:t>
      </w:r>
    </w:p>
    <w:tbl>
      <w:tblPr>
        <w:tblStyle w:val="Tablaconcuadrcula"/>
        <w:tblpPr w:leftFromText="141" w:rightFromText="141" w:vertAnchor="text" w:horzAnchor="margin" w:tblpXSpec="center" w:tblpY="323"/>
        <w:tblW w:w="6180" w:type="pct"/>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ayout w:type="fixed"/>
        <w:tblLook w:val="04A0" w:firstRow="1" w:lastRow="0" w:firstColumn="1" w:lastColumn="0" w:noHBand="0" w:noVBand="1"/>
      </w:tblPr>
      <w:tblGrid>
        <w:gridCol w:w="1369"/>
        <w:gridCol w:w="919"/>
        <w:gridCol w:w="915"/>
        <w:gridCol w:w="1005"/>
        <w:gridCol w:w="923"/>
        <w:gridCol w:w="1072"/>
        <w:gridCol w:w="880"/>
        <w:gridCol w:w="1134"/>
        <w:gridCol w:w="1560"/>
      </w:tblGrid>
      <w:tr w:rsidR="00A452A8" w:rsidRPr="00A452A8" w14:paraId="14684C63" w14:textId="77777777" w:rsidTr="00BB7F45">
        <w:trPr>
          <w:trHeight w:val="318"/>
        </w:trPr>
        <w:tc>
          <w:tcPr>
            <w:tcW w:w="5000" w:type="pct"/>
            <w:gridSpan w:val="9"/>
            <w:tcBorders>
              <w:top w:val="single" w:sz="4" w:space="0" w:color="auto"/>
              <w:left w:val="single" w:sz="4" w:space="0" w:color="auto"/>
              <w:bottom w:val="single" w:sz="4" w:space="0" w:color="auto"/>
              <w:right w:val="single" w:sz="4" w:space="0" w:color="auto"/>
            </w:tcBorders>
            <w:shd w:val="clear" w:color="auto" w:fill="00B050"/>
            <w:vAlign w:val="center"/>
          </w:tcPr>
          <w:p w14:paraId="4AE37E12" w14:textId="77777777" w:rsidR="00A452A8" w:rsidRPr="00A452A8" w:rsidRDefault="00A452A8" w:rsidP="001C6B1A">
            <w:pPr>
              <w:pStyle w:val="Prrafodelista"/>
              <w:numPr>
                <w:ilvl w:val="0"/>
                <w:numId w:val="38"/>
              </w:numPr>
              <w:spacing w:after="0" w:line="240" w:lineRule="auto"/>
              <w:ind w:left="313" w:hanging="295"/>
              <w:jc w:val="center"/>
              <w:rPr>
                <w:rFonts w:ascii="Times New Roman" w:hAnsi="Times New Roman"/>
                <w:b/>
                <w:color w:val="FFFFFF" w:themeColor="background1"/>
                <w:sz w:val="18"/>
                <w:szCs w:val="20"/>
              </w:rPr>
            </w:pPr>
            <w:r w:rsidRPr="00A452A8">
              <w:rPr>
                <w:rFonts w:ascii="Times New Roman" w:hAnsi="Times New Roman"/>
                <w:b/>
                <w:color w:val="FFFFFF" w:themeColor="background1"/>
                <w:sz w:val="18"/>
                <w:szCs w:val="20"/>
              </w:rPr>
              <w:t>Datos generales de la institución.</w:t>
            </w:r>
          </w:p>
        </w:tc>
      </w:tr>
      <w:tr w:rsidR="00A452A8" w:rsidRPr="00A452A8" w14:paraId="75C0FB71" w14:textId="77777777" w:rsidTr="00A452A8">
        <w:trPr>
          <w:trHeight w:val="131"/>
        </w:trPr>
        <w:tc>
          <w:tcPr>
            <w:tcW w:w="70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472F43" w14:textId="77777777" w:rsidR="00A452A8" w:rsidRPr="00A452A8" w:rsidRDefault="00A452A8" w:rsidP="00A452A8">
            <w:pPr>
              <w:spacing w:after="0"/>
              <w:jc w:val="center"/>
              <w:rPr>
                <w:rFonts w:ascii="Times New Roman" w:hAnsi="Times New Roman"/>
                <w:b/>
                <w:color w:val="404040" w:themeColor="text1" w:themeTint="BF"/>
                <w:sz w:val="18"/>
                <w:szCs w:val="20"/>
              </w:rPr>
            </w:pPr>
            <w:r w:rsidRPr="00A452A8">
              <w:rPr>
                <w:rFonts w:ascii="Times New Roman" w:hAnsi="Times New Roman"/>
                <w:b/>
                <w:color w:val="404040" w:themeColor="text1" w:themeTint="BF"/>
                <w:sz w:val="18"/>
                <w:szCs w:val="20"/>
              </w:rPr>
              <w:t>Institución:</w:t>
            </w:r>
          </w:p>
        </w:tc>
        <w:tc>
          <w:tcPr>
            <w:tcW w:w="938" w:type="pct"/>
            <w:gridSpan w:val="2"/>
            <w:tcBorders>
              <w:top w:val="single" w:sz="4" w:space="0" w:color="auto"/>
              <w:left w:val="single" w:sz="4" w:space="0" w:color="auto"/>
              <w:bottom w:val="single" w:sz="4" w:space="0" w:color="auto"/>
              <w:right w:val="single" w:sz="4" w:space="0" w:color="auto"/>
            </w:tcBorders>
            <w:vAlign w:val="center"/>
          </w:tcPr>
          <w:p w14:paraId="45ECC0C8" w14:textId="77777777" w:rsidR="00A452A8" w:rsidRPr="00A452A8" w:rsidRDefault="00A452A8" w:rsidP="00A452A8">
            <w:pPr>
              <w:spacing w:after="0"/>
              <w:jc w:val="center"/>
              <w:rPr>
                <w:rFonts w:ascii="Times New Roman" w:hAnsi="Times New Roman"/>
                <w:b/>
                <w:bCs/>
                <w:sz w:val="18"/>
                <w:szCs w:val="20"/>
              </w:rPr>
            </w:pPr>
            <w:r w:rsidRPr="00A452A8">
              <w:rPr>
                <w:rFonts w:ascii="Times New Roman" w:hAnsi="Times New Roman"/>
                <w:b/>
                <w:bCs/>
                <w:sz w:val="18"/>
                <w:szCs w:val="20"/>
              </w:rPr>
              <w:t>Ministerio De Agricultura</w:t>
            </w:r>
          </w:p>
        </w:tc>
        <w:tc>
          <w:tcPr>
            <w:tcW w:w="98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AC8F47" w14:textId="77777777" w:rsidR="00A452A8" w:rsidRPr="00A452A8" w:rsidRDefault="00A452A8" w:rsidP="00A452A8">
            <w:pPr>
              <w:spacing w:after="0"/>
              <w:jc w:val="center"/>
              <w:rPr>
                <w:rFonts w:ascii="Times New Roman" w:hAnsi="Times New Roman"/>
                <w:b/>
                <w:color w:val="404040" w:themeColor="text1" w:themeTint="BF"/>
                <w:sz w:val="18"/>
                <w:szCs w:val="20"/>
              </w:rPr>
            </w:pPr>
            <w:r w:rsidRPr="00A452A8">
              <w:rPr>
                <w:rFonts w:ascii="Times New Roman" w:hAnsi="Times New Roman"/>
                <w:b/>
                <w:color w:val="404040" w:themeColor="text1" w:themeTint="BF"/>
                <w:sz w:val="18"/>
                <w:szCs w:val="20"/>
              </w:rPr>
              <w:t>Dependencia:</w:t>
            </w:r>
          </w:p>
        </w:tc>
        <w:tc>
          <w:tcPr>
            <w:tcW w:w="548" w:type="pct"/>
            <w:tcBorders>
              <w:top w:val="single" w:sz="4" w:space="0" w:color="auto"/>
              <w:left w:val="single" w:sz="4" w:space="0" w:color="auto"/>
              <w:bottom w:val="single" w:sz="4" w:space="0" w:color="auto"/>
              <w:right w:val="single" w:sz="4" w:space="0" w:color="auto"/>
            </w:tcBorders>
            <w:vAlign w:val="center"/>
          </w:tcPr>
          <w:p w14:paraId="450157C1" w14:textId="77777777" w:rsidR="00A452A8" w:rsidRPr="00A452A8" w:rsidRDefault="00A452A8" w:rsidP="00A452A8">
            <w:pPr>
              <w:spacing w:after="0"/>
              <w:rPr>
                <w:rFonts w:ascii="Times New Roman" w:hAnsi="Times New Roman"/>
                <w:b/>
                <w:bCs/>
                <w:sz w:val="18"/>
                <w:szCs w:val="20"/>
              </w:rPr>
            </w:pPr>
            <w:r w:rsidRPr="00A452A8">
              <w:rPr>
                <w:rFonts w:ascii="Times New Roman" w:hAnsi="Times New Roman"/>
                <w:b/>
                <w:bCs/>
                <w:sz w:val="18"/>
                <w:szCs w:val="20"/>
              </w:rPr>
              <w:t>Poder Ejecutivo</w:t>
            </w:r>
          </w:p>
        </w:tc>
        <w:tc>
          <w:tcPr>
            <w:tcW w:w="45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907375" w14:textId="77777777" w:rsidR="00A452A8" w:rsidRPr="00A452A8" w:rsidRDefault="00A452A8" w:rsidP="00A452A8">
            <w:pPr>
              <w:spacing w:after="0"/>
              <w:jc w:val="center"/>
              <w:rPr>
                <w:rFonts w:ascii="Times New Roman" w:hAnsi="Times New Roman"/>
                <w:b/>
                <w:color w:val="404040" w:themeColor="text1" w:themeTint="BF"/>
                <w:sz w:val="18"/>
                <w:szCs w:val="20"/>
              </w:rPr>
            </w:pPr>
            <w:r w:rsidRPr="00A452A8">
              <w:rPr>
                <w:rFonts w:ascii="Times New Roman" w:hAnsi="Times New Roman"/>
                <w:b/>
                <w:color w:val="404040" w:themeColor="text1" w:themeTint="BF"/>
                <w:sz w:val="18"/>
                <w:szCs w:val="20"/>
              </w:rPr>
              <w:t>Sector:</w:t>
            </w:r>
          </w:p>
        </w:tc>
        <w:tc>
          <w:tcPr>
            <w:tcW w:w="1378" w:type="pct"/>
            <w:gridSpan w:val="2"/>
            <w:tcBorders>
              <w:top w:val="single" w:sz="4" w:space="0" w:color="auto"/>
              <w:left w:val="single" w:sz="4" w:space="0" w:color="auto"/>
              <w:bottom w:val="single" w:sz="4" w:space="0" w:color="auto"/>
              <w:right w:val="single" w:sz="4" w:space="0" w:color="auto"/>
            </w:tcBorders>
            <w:vAlign w:val="center"/>
          </w:tcPr>
          <w:p w14:paraId="43AA425E" w14:textId="77777777" w:rsidR="00A452A8" w:rsidRPr="00A452A8" w:rsidRDefault="00A452A8" w:rsidP="00A452A8">
            <w:pPr>
              <w:spacing w:after="0"/>
              <w:jc w:val="center"/>
              <w:rPr>
                <w:rFonts w:ascii="Times New Roman" w:hAnsi="Times New Roman"/>
                <w:b/>
                <w:bCs/>
                <w:sz w:val="18"/>
                <w:szCs w:val="20"/>
              </w:rPr>
            </w:pPr>
            <w:r w:rsidRPr="00A452A8">
              <w:rPr>
                <w:rFonts w:ascii="Times New Roman" w:hAnsi="Times New Roman"/>
                <w:b/>
                <w:bCs/>
                <w:sz w:val="18"/>
                <w:szCs w:val="20"/>
              </w:rPr>
              <w:t>Agropecuario</w:t>
            </w:r>
          </w:p>
        </w:tc>
      </w:tr>
      <w:tr w:rsidR="00A452A8" w:rsidRPr="00A452A8" w14:paraId="19E56E1F" w14:textId="77777777" w:rsidTr="00BB7F45">
        <w:trPr>
          <w:trHeight w:val="271"/>
        </w:trPr>
        <w:tc>
          <w:tcPr>
            <w:tcW w:w="5000" w:type="pct"/>
            <w:gridSpan w:val="9"/>
            <w:tcBorders>
              <w:top w:val="single" w:sz="4" w:space="0" w:color="auto"/>
              <w:left w:val="single" w:sz="4" w:space="0" w:color="auto"/>
              <w:bottom w:val="single" w:sz="4" w:space="0" w:color="auto"/>
              <w:right w:val="single" w:sz="4" w:space="0" w:color="auto"/>
            </w:tcBorders>
            <w:shd w:val="clear" w:color="auto" w:fill="00B050"/>
            <w:vAlign w:val="center"/>
          </w:tcPr>
          <w:p w14:paraId="077B2274" w14:textId="77777777" w:rsidR="00A452A8" w:rsidRPr="00A452A8" w:rsidRDefault="00A452A8" w:rsidP="001C6B1A">
            <w:pPr>
              <w:pStyle w:val="Prrafodelista"/>
              <w:numPr>
                <w:ilvl w:val="0"/>
                <w:numId w:val="38"/>
              </w:numPr>
              <w:spacing w:after="0" w:line="240" w:lineRule="auto"/>
              <w:ind w:left="313" w:hanging="313"/>
              <w:jc w:val="center"/>
              <w:rPr>
                <w:rFonts w:ascii="Times New Roman" w:hAnsi="Times New Roman"/>
                <w:b/>
                <w:color w:val="FFFFFF" w:themeColor="background1"/>
                <w:sz w:val="18"/>
                <w:szCs w:val="20"/>
              </w:rPr>
            </w:pPr>
            <w:r w:rsidRPr="00A452A8">
              <w:rPr>
                <w:rFonts w:ascii="Times New Roman" w:hAnsi="Times New Roman"/>
                <w:b/>
                <w:color w:val="FFFFFF" w:themeColor="background1"/>
                <w:sz w:val="18"/>
                <w:szCs w:val="20"/>
              </w:rPr>
              <w:t>Servidores de carrera y cargos concursables</w:t>
            </w:r>
          </w:p>
        </w:tc>
      </w:tr>
      <w:tr w:rsidR="00A452A8" w:rsidRPr="00A452A8" w14:paraId="06FA94E9" w14:textId="77777777" w:rsidTr="00A452A8">
        <w:trPr>
          <w:trHeight w:val="293"/>
        </w:trPr>
        <w:tc>
          <w:tcPr>
            <w:tcW w:w="700" w:type="pct"/>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1BE54A9" w14:textId="77777777" w:rsidR="00A452A8" w:rsidRPr="00A452A8" w:rsidRDefault="00A452A8" w:rsidP="00A452A8">
            <w:pPr>
              <w:spacing w:after="0"/>
              <w:jc w:val="center"/>
              <w:rPr>
                <w:rFonts w:ascii="Times New Roman" w:hAnsi="Times New Roman"/>
                <w:b/>
                <w:sz w:val="18"/>
                <w:szCs w:val="20"/>
              </w:rPr>
            </w:pPr>
            <w:r w:rsidRPr="00A452A8">
              <w:rPr>
                <w:rFonts w:ascii="Times New Roman" w:hAnsi="Times New Roman"/>
                <w:sz w:val="18"/>
                <w:szCs w:val="20"/>
              </w:rPr>
              <w:t>Total de servidores, según nómina al 01/08/2019</w:t>
            </w:r>
          </w:p>
        </w:tc>
        <w:tc>
          <w:tcPr>
            <w:tcW w:w="470" w:type="pct"/>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DC2901D"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Cantidad de Funcionarios de libre nombramiento</w:t>
            </w:r>
          </w:p>
        </w:tc>
        <w:tc>
          <w:tcPr>
            <w:tcW w:w="468" w:type="pct"/>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C1F95A2"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Funcionarios de confianza</w:t>
            </w:r>
          </w:p>
        </w:tc>
        <w:tc>
          <w:tcPr>
            <w:tcW w:w="514" w:type="pct"/>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2BC2D50"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Servidores Estatuto Simplificado (incl. G. O. 3)</w:t>
            </w:r>
          </w:p>
        </w:tc>
        <w:tc>
          <w:tcPr>
            <w:tcW w:w="472" w:type="pct"/>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8231827"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Servidores Grupo Ocupacional 2</w:t>
            </w:r>
          </w:p>
        </w:tc>
        <w:tc>
          <w:tcPr>
            <w:tcW w:w="2376" w:type="pct"/>
            <w:gridSpan w:val="4"/>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5624B96" w14:textId="77777777" w:rsidR="00A452A8" w:rsidRPr="00A452A8" w:rsidRDefault="00A452A8" w:rsidP="00A452A8">
            <w:pPr>
              <w:spacing w:after="0"/>
              <w:jc w:val="center"/>
              <w:rPr>
                <w:rFonts w:ascii="Times New Roman" w:hAnsi="Times New Roman"/>
                <w:b/>
                <w:sz w:val="18"/>
                <w:szCs w:val="20"/>
              </w:rPr>
            </w:pPr>
            <w:r w:rsidRPr="00A452A8">
              <w:rPr>
                <w:rFonts w:ascii="Times New Roman" w:hAnsi="Times New Roman"/>
                <w:b/>
                <w:sz w:val="18"/>
                <w:szCs w:val="20"/>
              </w:rPr>
              <w:t>Servidores identificados en nómina en los G.O. 3, 4 y 5</w:t>
            </w:r>
          </w:p>
        </w:tc>
      </w:tr>
      <w:tr w:rsidR="00A452A8" w:rsidRPr="00A452A8" w14:paraId="3382012A" w14:textId="77777777" w:rsidTr="00A452A8">
        <w:trPr>
          <w:trHeight w:val="239"/>
        </w:trPr>
        <w:tc>
          <w:tcPr>
            <w:tcW w:w="700"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62F52D5" w14:textId="77777777" w:rsidR="00A452A8" w:rsidRPr="00A452A8" w:rsidRDefault="00A452A8" w:rsidP="00A452A8">
            <w:pPr>
              <w:spacing w:after="0"/>
              <w:jc w:val="center"/>
              <w:rPr>
                <w:rFonts w:ascii="Times New Roman" w:hAnsi="Times New Roman"/>
                <w:sz w:val="18"/>
                <w:szCs w:val="20"/>
              </w:rPr>
            </w:pPr>
          </w:p>
        </w:tc>
        <w:tc>
          <w:tcPr>
            <w:tcW w:w="470"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089AB50" w14:textId="77777777" w:rsidR="00A452A8" w:rsidRPr="00A452A8" w:rsidRDefault="00A452A8" w:rsidP="00A452A8">
            <w:pPr>
              <w:spacing w:after="0"/>
              <w:jc w:val="center"/>
              <w:rPr>
                <w:rFonts w:ascii="Times New Roman" w:hAnsi="Times New Roman"/>
                <w:sz w:val="18"/>
                <w:szCs w:val="20"/>
              </w:rPr>
            </w:pPr>
          </w:p>
        </w:tc>
        <w:tc>
          <w:tcPr>
            <w:tcW w:w="468"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C7E1884" w14:textId="77777777" w:rsidR="00A452A8" w:rsidRPr="00A452A8" w:rsidRDefault="00A452A8" w:rsidP="00A452A8">
            <w:pPr>
              <w:spacing w:after="0"/>
              <w:jc w:val="center"/>
              <w:rPr>
                <w:rFonts w:ascii="Times New Roman" w:hAnsi="Times New Roman"/>
                <w:sz w:val="18"/>
                <w:szCs w:val="20"/>
              </w:rPr>
            </w:pPr>
          </w:p>
        </w:tc>
        <w:tc>
          <w:tcPr>
            <w:tcW w:w="514"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C7F74EB" w14:textId="77777777" w:rsidR="00A452A8" w:rsidRPr="00A452A8" w:rsidRDefault="00A452A8" w:rsidP="00A452A8">
            <w:pPr>
              <w:spacing w:after="0"/>
              <w:jc w:val="center"/>
              <w:rPr>
                <w:rFonts w:ascii="Times New Roman" w:hAnsi="Times New Roman"/>
                <w:sz w:val="18"/>
                <w:szCs w:val="20"/>
              </w:rPr>
            </w:pPr>
          </w:p>
        </w:tc>
        <w:tc>
          <w:tcPr>
            <w:tcW w:w="472"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0B523AE" w14:textId="77777777" w:rsidR="00A452A8" w:rsidRPr="00A452A8" w:rsidRDefault="00A452A8" w:rsidP="00A452A8">
            <w:pPr>
              <w:spacing w:after="0"/>
              <w:jc w:val="center"/>
              <w:rPr>
                <w:rFonts w:ascii="Times New Roman" w:hAnsi="Times New Roman"/>
                <w:sz w:val="18"/>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026888D"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Servidores Grupo Ocupacional 3</w:t>
            </w:r>
          </w:p>
        </w:tc>
        <w:tc>
          <w:tcPr>
            <w:tcW w:w="450"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15167DC"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Servidores Grupo Ocupacional 4</w:t>
            </w:r>
          </w:p>
        </w:tc>
        <w:tc>
          <w:tcPr>
            <w:tcW w:w="580"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B0A31AC"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Servidores Grupo Ocupacional 5</w:t>
            </w:r>
          </w:p>
        </w:tc>
        <w:tc>
          <w:tcPr>
            <w:tcW w:w="798"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12069A6" w14:textId="77777777" w:rsidR="00A452A8" w:rsidRPr="00A452A8" w:rsidRDefault="00A452A8" w:rsidP="00A452A8">
            <w:pPr>
              <w:spacing w:after="0"/>
              <w:rPr>
                <w:rFonts w:ascii="Times New Roman" w:hAnsi="Times New Roman"/>
                <w:sz w:val="18"/>
                <w:szCs w:val="20"/>
              </w:rPr>
            </w:pPr>
            <w:r w:rsidRPr="00A452A8">
              <w:rPr>
                <w:rFonts w:ascii="Times New Roman" w:hAnsi="Times New Roman"/>
                <w:sz w:val="18"/>
                <w:szCs w:val="20"/>
              </w:rPr>
              <w:t xml:space="preserve">Servidores de Carrera especial de </w:t>
            </w:r>
            <w:r w:rsidRPr="00A452A8">
              <w:rPr>
                <w:rFonts w:ascii="Times New Roman" w:hAnsi="Times New Roman"/>
                <w:b/>
                <w:sz w:val="18"/>
                <w:szCs w:val="20"/>
              </w:rPr>
              <w:t>_________________</w:t>
            </w:r>
          </w:p>
        </w:tc>
      </w:tr>
      <w:tr w:rsidR="00A452A8" w:rsidRPr="00A452A8" w14:paraId="2FE9491C" w14:textId="77777777" w:rsidTr="00A452A8">
        <w:trPr>
          <w:trHeight w:val="230"/>
        </w:trPr>
        <w:tc>
          <w:tcPr>
            <w:tcW w:w="700" w:type="pct"/>
            <w:tcBorders>
              <w:top w:val="single" w:sz="4" w:space="0" w:color="auto"/>
              <w:left w:val="single" w:sz="4" w:space="0" w:color="auto"/>
              <w:bottom w:val="single" w:sz="4" w:space="0" w:color="auto"/>
              <w:right w:val="single" w:sz="4" w:space="0" w:color="auto"/>
            </w:tcBorders>
            <w:vAlign w:val="center"/>
          </w:tcPr>
          <w:p w14:paraId="1D736567"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7187</w:t>
            </w:r>
          </w:p>
        </w:tc>
        <w:tc>
          <w:tcPr>
            <w:tcW w:w="470" w:type="pct"/>
            <w:tcBorders>
              <w:top w:val="single" w:sz="4" w:space="0" w:color="auto"/>
              <w:left w:val="single" w:sz="4" w:space="0" w:color="auto"/>
              <w:bottom w:val="single" w:sz="4" w:space="0" w:color="auto"/>
              <w:right w:val="single" w:sz="4" w:space="0" w:color="auto"/>
            </w:tcBorders>
            <w:vAlign w:val="center"/>
          </w:tcPr>
          <w:p w14:paraId="6F05DC48"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7</w:t>
            </w:r>
          </w:p>
        </w:tc>
        <w:tc>
          <w:tcPr>
            <w:tcW w:w="468" w:type="pct"/>
            <w:tcBorders>
              <w:top w:val="single" w:sz="4" w:space="0" w:color="auto"/>
              <w:left w:val="single" w:sz="4" w:space="0" w:color="auto"/>
              <w:bottom w:val="single" w:sz="4" w:space="0" w:color="auto"/>
              <w:right w:val="single" w:sz="4" w:space="0" w:color="auto"/>
            </w:tcBorders>
            <w:vAlign w:val="center"/>
          </w:tcPr>
          <w:p w14:paraId="4EE0BB61"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46</w:t>
            </w:r>
          </w:p>
        </w:tc>
        <w:tc>
          <w:tcPr>
            <w:tcW w:w="514" w:type="pct"/>
            <w:tcBorders>
              <w:top w:val="single" w:sz="4" w:space="0" w:color="auto"/>
              <w:left w:val="single" w:sz="4" w:space="0" w:color="auto"/>
              <w:bottom w:val="single" w:sz="4" w:space="0" w:color="auto"/>
              <w:right w:val="single" w:sz="4" w:space="0" w:color="auto"/>
            </w:tcBorders>
            <w:vAlign w:val="center"/>
          </w:tcPr>
          <w:p w14:paraId="1E815095"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2062</w:t>
            </w:r>
          </w:p>
        </w:tc>
        <w:tc>
          <w:tcPr>
            <w:tcW w:w="472" w:type="pct"/>
            <w:tcBorders>
              <w:top w:val="single" w:sz="4" w:space="0" w:color="auto"/>
              <w:left w:val="single" w:sz="4" w:space="0" w:color="auto"/>
              <w:bottom w:val="single" w:sz="4" w:space="0" w:color="auto"/>
              <w:right w:val="single" w:sz="4" w:space="0" w:color="auto"/>
            </w:tcBorders>
            <w:vAlign w:val="center"/>
          </w:tcPr>
          <w:p w14:paraId="61FD1D86"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2019</w:t>
            </w:r>
          </w:p>
        </w:tc>
        <w:tc>
          <w:tcPr>
            <w:tcW w:w="548" w:type="pct"/>
            <w:tcBorders>
              <w:top w:val="single" w:sz="4" w:space="0" w:color="auto"/>
              <w:left w:val="single" w:sz="4" w:space="0" w:color="auto"/>
              <w:bottom w:val="single" w:sz="4" w:space="0" w:color="auto"/>
              <w:right w:val="single" w:sz="4" w:space="0" w:color="auto"/>
            </w:tcBorders>
            <w:vAlign w:val="center"/>
          </w:tcPr>
          <w:p w14:paraId="46627CC3"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537</w:t>
            </w:r>
          </w:p>
        </w:tc>
        <w:tc>
          <w:tcPr>
            <w:tcW w:w="450" w:type="pct"/>
            <w:tcBorders>
              <w:top w:val="single" w:sz="4" w:space="0" w:color="auto"/>
              <w:left w:val="single" w:sz="4" w:space="0" w:color="auto"/>
              <w:bottom w:val="single" w:sz="4" w:space="0" w:color="auto"/>
              <w:right w:val="single" w:sz="4" w:space="0" w:color="auto"/>
            </w:tcBorders>
            <w:vAlign w:val="center"/>
          </w:tcPr>
          <w:p w14:paraId="4B5931EF"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1776</w:t>
            </w:r>
          </w:p>
        </w:tc>
        <w:tc>
          <w:tcPr>
            <w:tcW w:w="580" w:type="pct"/>
            <w:tcBorders>
              <w:top w:val="single" w:sz="4" w:space="0" w:color="auto"/>
              <w:left w:val="single" w:sz="4" w:space="0" w:color="auto"/>
              <w:bottom w:val="single" w:sz="4" w:space="0" w:color="auto"/>
              <w:right w:val="single" w:sz="4" w:space="0" w:color="auto"/>
            </w:tcBorders>
            <w:vAlign w:val="center"/>
          </w:tcPr>
          <w:p w14:paraId="37DD89A6"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740</w:t>
            </w:r>
          </w:p>
        </w:tc>
        <w:tc>
          <w:tcPr>
            <w:tcW w:w="798" w:type="pct"/>
            <w:tcBorders>
              <w:top w:val="single" w:sz="4" w:space="0" w:color="auto"/>
              <w:left w:val="single" w:sz="4" w:space="0" w:color="auto"/>
              <w:bottom w:val="single" w:sz="4" w:space="0" w:color="auto"/>
              <w:right w:val="single" w:sz="4" w:space="0" w:color="auto"/>
            </w:tcBorders>
            <w:vAlign w:val="center"/>
          </w:tcPr>
          <w:p w14:paraId="48F66764"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0</w:t>
            </w:r>
          </w:p>
        </w:tc>
      </w:tr>
      <w:tr w:rsidR="00A452A8" w:rsidRPr="00A452A8" w14:paraId="34BA91E6" w14:textId="77777777" w:rsidTr="00A452A8">
        <w:trPr>
          <w:trHeight w:val="1232"/>
        </w:trPr>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23A69296" w14:textId="77777777" w:rsidR="00A452A8" w:rsidRPr="00A452A8" w:rsidRDefault="00A452A8" w:rsidP="00A452A8">
            <w:pPr>
              <w:shd w:val="clear" w:color="auto" w:fill="C2D69B" w:themeFill="accent3" w:themeFillTint="99"/>
              <w:spacing w:after="0"/>
              <w:jc w:val="center"/>
              <w:rPr>
                <w:rFonts w:ascii="Times New Roman" w:hAnsi="Times New Roman"/>
                <w:b/>
                <w:sz w:val="18"/>
                <w:szCs w:val="20"/>
              </w:rPr>
            </w:pPr>
            <w:r w:rsidRPr="00A452A8">
              <w:rPr>
                <w:rFonts w:ascii="Times New Roman" w:hAnsi="Times New Roman"/>
                <w:b/>
                <w:sz w:val="18"/>
                <w:szCs w:val="20"/>
              </w:rPr>
              <w:t>% de servidores de carrera activos en relación al total de incorporados en el órgano o ente</w:t>
            </w:r>
          </w:p>
          <w:p w14:paraId="48524F0C" w14:textId="77777777" w:rsidR="00A452A8" w:rsidRPr="00A452A8" w:rsidRDefault="00A452A8" w:rsidP="00A452A8">
            <w:pPr>
              <w:shd w:val="clear" w:color="auto" w:fill="C2D69B" w:themeFill="accent3" w:themeFillTint="99"/>
              <w:spacing w:after="0"/>
              <w:jc w:val="center"/>
              <w:rPr>
                <w:rFonts w:ascii="Times New Roman" w:hAnsi="Times New Roman"/>
                <w:b/>
                <w:sz w:val="18"/>
                <w:szCs w:val="20"/>
              </w:rPr>
            </w:pPr>
            <w:r w:rsidRPr="00A452A8">
              <w:rPr>
                <w:rFonts w:ascii="Times New Roman" w:hAnsi="Times New Roman"/>
                <w:b/>
                <w:sz w:val="18"/>
                <w:szCs w:val="20"/>
              </w:rPr>
              <w:t xml:space="preserve"> (un 30% requerido)</w:t>
            </w:r>
          </w:p>
        </w:tc>
        <w:tc>
          <w:tcPr>
            <w:tcW w:w="3502"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8AF4EF0" w14:textId="77777777" w:rsidR="00A452A8" w:rsidRPr="00A452A8" w:rsidRDefault="00A452A8" w:rsidP="00A452A8">
            <w:pPr>
              <w:spacing w:after="0"/>
              <w:jc w:val="center"/>
              <w:rPr>
                <w:rFonts w:ascii="Times New Roman" w:hAnsi="Times New Roman"/>
                <w:b/>
                <w:sz w:val="18"/>
                <w:szCs w:val="20"/>
              </w:rPr>
            </w:pPr>
            <w:r w:rsidRPr="00A452A8">
              <w:rPr>
                <w:rFonts w:ascii="Times New Roman" w:hAnsi="Times New Roman"/>
                <w:b/>
                <w:sz w:val="18"/>
                <w:szCs w:val="20"/>
              </w:rPr>
              <w:t>De los cuales son servidores de carrera:</w:t>
            </w:r>
          </w:p>
        </w:tc>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14:paraId="1873FCEB" w14:textId="77777777" w:rsidR="00A452A8" w:rsidRPr="00A452A8" w:rsidRDefault="00A452A8" w:rsidP="00A452A8">
            <w:pPr>
              <w:spacing w:after="0"/>
              <w:jc w:val="center"/>
              <w:rPr>
                <w:rFonts w:ascii="Times New Roman" w:hAnsi="Times New Roman"/>
                <w:b/>
                <w:sz w:val="18"/>
                <w:szCs w:val="20"/>
              </w:rPr>
            </w:pPr>
            <w:r w:rsidRPr="00A452A8">
              <w:rPr>
                <w:rFonts w:ascii="Times New Roman" w:hAnsi="Times New Roman"/>
                <w:b/>
                <w:sz w:val="18"/>
                <w:szCs w:val="20"/>
              </w:rPr>
              <w:t>Total de plazas de carrera identificadas en nómina</w:t>
            </w:r>
          </w:p>
        </w:tc>
      </w:tr>
      <w:tr w:rsidR="00A452A8" w:rsidRPr="00A452A8" w14:paraId="094DE1FB" w14:textId="77777777" w:rsidTr="00A452A8">
        <w:trPr>
          <w:trHeight w:val="342"/>
        </w:trPr>
        <w:tc>
          <w:tcPr>
            <w:tcW w:w="700" w:type="pct"/>
            <w:tcBorders>
              <w:top w:val="single" w:sz="4" w:space="0" w:color="auto"/>
              <w:left w:val="single" w:sz="4" w:space="0" w:color="auto"/>
              <w:bottom w:val="single" w:sz="4" w:space="0" w:color="auto"/>
              <w:right w:val="single" w:sz="4" w:space="0" w:color="auto"/>
            </w:tcBorders>
            <w:shd w:val="clear" w:color="auto" w:fill="auto"/>
            <w:vAlign w:val="center"/>
          </w:tcPr>
          <w:p w14:paraId="747BE5D0" w14:textId="77777777" w:rsidR="00A452A8" w:rsidRPr="00A452A8" w:rsidRDefault="00A452A8" w:rsidP="00A452A8">
            <w:pPr>
              <w:spacing w:after="0"/>
              <w:jc w:val="center"/>
              <w:rPr>
                <w:rFonts w:ascii="Times New Roman" w:hAnsi="Times New Roman"/>
                <w:bCs/>
                <w:sz w:val="18"/>
                <w:szCs w:val="20"/>
              </w:rPr>
            </w:pPr>
            <w:r w:rsidRPr="00A452A8">
              <w:rPr>
                <w:rFonts w:ascii="Times New Roman" w:hAnsi="Times New Roman"/>
                <w:bCs/>
                <w:sz w:val="18"/>
                <w:szCs w:val="20"/>
              </w:rPr>
              <w:t>55.6%</w:t>
            </w:r>
          </w:p>
        </w:tc>
        <w:tc>
          <w:tcPr>
            <w:tcW w:w="470" w:type="pct"/>
            <w:tcBorders>
              <w:top w:val="single" w:sz="4" w:space="0" w:color="auto"/>
              <w:left w:val="single" w:sz="4" w:space="0" w:color="auto"/>
              <w:bottom w:val="single" w:sz="4" w:space="0" w:color="auto"/>
              <w:right w:val="single" w:sz="4" w:space="0" w:color="auto"/>
            </w:tcBorders>
            <w:vAlign w:val="center"/>
          </w:tcPr>
          <w:p w14:paraId="502C64C8"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0</w:t>
            </w:r>
          </w:p>
        </w:tc>
        <w:tc>
          <w:tcPr>
            <w:tcW w:w="468" w:type="pct"/>
            <w:tcBorders>
              <w:top w:val="single" w:sz="4" w:space="0" w:color="auto"/>
              <w:left w:val="single" w:sz="4" w:space="0" w:color="auto"/>
              <w:bottom w:val="single" w:sz="4" w:space="0" w:color="auto"/>
              <w:right w:val="single" w:sz="4" w:space="0" w:color="auto"/>
            </w:tcBorders>
            <w:vAlign w:val="center"/>
          </w:tcPr>
          <w:p w14:paraId="52232F30"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8</w:t>
            </w:r>
          </w:p>
        </w:tc>
        <w:tc>
          <w:tcPr>
            <w:tcW w:w="514" w:type="pct"/>
            <w:tcBorders>
              <w:top w:val="single" w:sz="4" w:space="0" w:color="auto"/>
              <w:left w:val="single" w:sz="4" w:space="0" w:color="auto"/>
              <w:bottom w:val="single" w:sz="4" w:space="0" w:color="auto"/>
              <w:right w:val="single" w:sz="4" w:space="0" w:color="auto"/>
            </w:tcBorders>
            <w:vAlign w:val="center"/>
          </w:tcPr>
          <w:p w14:paraId="2AD618CF"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84</w:t>
            </w:r>
          </w:p>
        </w:tc>
        <w:tc>
          <w:tcPr>
            <w:tcW w:w="472" w:type="pct"/>
            <w:tcBorders>
              <w:top w:val="single" w:sz="4" w:space="0" w:color="auto"/>
              <w:left w:val="single" w:sz="4" w:space="0" w:color="auto"/>
              <w:bottom w:val="single" w:sz="4" w:space="0" w:color="auto"/>
              <w:right w:val="single" w:sz="4" w:space="0" w:color="auto"/>
            </w:tcBorders>
            <w:vAlign w:val="center"/>
          </w:tcPr>
          <w:p w14:paraId="728284E7" w14:textId="77777777" w:rsidR="00A452A8" w:rsidRPr="00A452A8" w:rsidRDefault="00A452A8" w:rsidP="00A452A8">
            <w:pPr>
              <w:spacing w:after="0"/>
              <w:jc w:val="center"/>
              <w:rPr>
                <w:rFonts w:ascii="Times New Roman" w:hAnsi="Times New Roman"/>
                <w:sz w:val="18"/>
                <w:szCs w:val="20"/>
                <w:lang w:val="en-US"/>
              </w:rPr>
            </w:pPr>
            <w:r w:rsidRPr="00A452A8">
              <w:rPr>
                <w:rFonts w:ascii="Times New Roman" w:hAnsi="Times New Roman"/>
                <w:sz w:val="18"/>
                <w:szCs w:val="20"/>
              </w:rPr>
              <w:t>324</w:t>
            </w:r>
          </w:p>
        </w:tc>
        <w:tc>
          <w:tcPr>
            <w:tcW w:w="548" w:type="pct"/>
            <w:tcBorders>
              <w:top w:val="single" w:sz="4" w:space="0" w:color="auto"/>
              <w:left w:val="single" w:sz="4" w:space="0" w:color="auto"/>
              <w:bottom w:val="single" w:sz="4" w:space="0" w:color="auto"/>
              <w:right w:val="single" w:sz="4" w:space="0" w:color="auto"/>
            </w:tcBorders>
            <w:vAlign w:val="center"/>
          </w:tcPr>
          <w:p w14:paraId="14318B9B"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46</w:t>
            </w:r>
          </w:p>
        </w:tc>
        <w:tc>
          <w:tcPr>
            <w:tcW w:w="450" w:type="pct"/>
            <w:tcBorders>
              <w:top w:val="single" w:sz="4" w:space="0" w:color="auto"/>
              <w:left w:val="single" w:sz="4" w:space="0" w:color="auto"/>
              <w:bottom w:val="single" w:sz="4" w:space="0" w:color="auto"/>
              <w:right w:val="single" w:sz="4" w:space="0" w:color="auto"/>
            </w:tcBorders>
            <w:vAlign w:val="center"/>
          </w:tcPr>
          <w:p w14:paraId="4BC56C2F"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356</w:t>
            </w:r>
          </w:p>
        </w:tc>
        <w:tc>
          <w:tcPr>
            <w:tcW w:w="580" w:type="pct"/>
            <w:tcBorders>
              <w:top w:val="single" w:sz="4" w:space="0" w:color="auto"/>
              <w:left w:val="single" w:sz="4" w:space="0" w:color="auto"/>
              <w:bottom w:val="single" w:sz="4" w:space="0" w:color="auto"/>
              <w:right w:val="single" w:sz="4" w:space="0" w:color="auto"/>
            </w:tcBorders>
            <w:vAlign w:val="center"/>
          </w:tcPr>
          <w:p w14:paraId="6FD42DB9"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166</w:t>
            </w:r>
          </w:p>
        </w:tc>
        <w:tc>
          <w:tcPr>
            <w:tcW w:w="798" w:type="pct"/>
            <w:tcBorders>
              <w:top w:val="single" w:sz="4" w:space="0" w:color="auto"/>
              <w:left w:val="single" w:sz="4" w:space="0" w:color="auto"/>
              <w:bottom w:val="single" w:sz="4" w:space="0" w:color="auto"/>
              <w:right w:val="single" w:sz="4" w:space="0" w:color="auto"/>
            </w:tcBorders>
            <w:vAlign w:val="center"/>
          </w:tcPr>
          <w:p w14:paraId="39EB0C91" w14:textId="77777777" w:rsidR="00A452A8" w:rsidRPr="00A452A8" w:rsidRDefault="00A452A8" w:rsidP="00A452A8">
            <w:pPr>
              <w:spacing w:after="0"/>
              <w:jc w:val="center"/>
              <w:rPr>
                <w:rFonts w:ascii="Times New Roman" w:hAnsi="Times New Roman"/>
                <w:bCs/>
                <w:sz w:val="18"/>
                <w:szCs w:val="20"/>
              </w:rPr>
            </w:pPr>
            <w:r w:rsidRPr="00A452A8">
              <w:rPr>
                <w:rFonts w:ascii="Times New Roman" w:hAnsi="Times New Roman"/>
                <w:bCs/>
                <w:sz w:val="18"/>
                <w:szCs w:val="20"/>
              </w:rPr>
              <w:t>3053</w:t>
            </w:r>
          </w:p>
        </w:tc>
      </w:tr>
      <w:tr w:rsidR="00A452A8" w:rsidRPr="00A452A8" w14:paraId="415790E1" w14:textId="77777777" w:rsidTr="00A452A8">
        <w:trPr>
          <w:trHeight w:val="315"/>
        </w:trPr>
        <w:tc>
          <w:tcPr>
            <w:tcW w:w="2624" w:type="pct"/>
            <w:gridSpan w:val="5"/>
            <w:vMerge w:val="restart"/>
            <w:tcBorders>
              <w:top w:val="single" w:sz="4" w:space="0" w:color="auto"/>
              <w:left w:val="single" w:sz="4" w:space="0" w:color="auto"/>
              <w:right w:val="single" w:sz="4" w:space="0" w:color="auto"/>
            </w:tcBorders>
            <w:shd w:val="clear" w:color="auto" w:fill="C2D69B" w:themeFill="accent3" w:themeFillTint="99"/>
            <w:vAlign w:val="center"/>
          </w:tcPr>
          <w:p w14:paraId="0BE322B8" w14:textId="77777777" w:rsidR="00A452A8" w:rsidRPr="00A452A8" w:rsidRDefault="00A452A8" w:rsidP="00A452A8">
            <w:pPr>
              <w:spacing w:after="0"/>
              <w:jc w:val="center"/>
              <w:rPr>
                <w:rFonts w:ascii="Times New Roman" w:hAnsi="Times New Roman"/>
                <w:b/>
                <w:sz w:val="18"/>
                <w:szCs w:val="20"/>
              </w:rPr>
            </w:pPr>
            <w:r w:rsidRPr="00A452A8">
              <w:rPr>
                <w:rFonts w:ascii="Times New Roman" w:hAnsi="Times New Roman"/>
                <w:b/>
                <w:sz w:val="18"/>
                <w:szCs w:val="20"/>
              </w:rPr>
              <w:t>Los servidores de carrera están distribuidos de la siguiente manera:</w:t>
            </w:r>
          </w:p>
        </w:tc>
        <w:tc>
          <w:tcPr>
            <w:tcW w:w="1578" w:type="pct"/>
            <w:gridSpan w:val="3"/>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23B799BA" w14:textId="77777777" w:rsidR="00A452A8" w:rsidRPr="00A452A8" w:rsidRDefault="00A452A8" w:rsidP="00A452A8">
            <w:pPr>
              <w:spacing w:after="0"/>
              <w:ind w:right="-90"/>
              <w:jc w:val="center"/>
              <w:rPr>
                <w:rFonts w:ascii="Times New Roman" w:hAnsi="Times New Roman"/>
                <w:b/>
                <w:sz w:val="18"/>
                <w:szCs w:val="18"/>
              </w:rPr>
            </w:pPr>
            <w:r w:rsidRPr="00A452A8">
              <w:rPr>
                <w:rFonts w:ascii="Times New Roman" w:hAnsi="Times New Roman"/>
                <w:b/>
                <w:sz w:val="18"/>
                <w:szCs w:val="18"/>
              </w:rPr>
              <w:t>Plazas concursables: diferencia entre el total de servidores en nómina en los grupos 3, 4 y 5 menos los servidores de carrera de esos grupos</w:t>
            </w:r>
          </w:p>
        </w:tc>
        <w:tc>
          <w:tcPr>
            <w:tcW w:w="798" w:type="pc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559146D7" w14:textId="77777777" w:rsidR="00A452A8" w:rsidRPr="00A452A8" w:rsidRDefault="00A452A8" w:rsidP="00A452A8">
            <w:pPr>
              <w:spacing w:after="0"/>
              <w:jc w:val="center"/>
              <w:rPr>
                <w:rFonts w:ascii="Times New Roman" w:hAnsi="Times New Roman"/>
                <w:b/>
                <w:sz w:val="18"/>
                <w:szCs w:val="20"/>
              </w:rPr>
            </w:pPr>
            <w:r w:rsidRPr="00A452A8">
              <w:rPr>
                <w:rFonts w:ascii="Times New Roman" w:hAnsi="Times New Roman"/>
                <w:b/>
                <w:sz w:val="18"/>
                <w:szCs w:val="20"/>
              </w:rPr>
              <w:t xml:space="preserve">Total de plazas concursables </w:t>
            </w:r>
          </w:p>
        </w:tc>
      </w:tr>
      <w:tr w:rsidR="00A452A8" w:rsidRPr="00A452A8" w14:paraId="1E5EC9CA" w14:textId="77777777" w:rsidTr="00A452A8">
        <w:trPr>
          <w:trHeight w:val="257"/>
        </w:trPr>
        <w:tc>
          <w:tcPr>
            <w:tcW w:w="2624" w:type="pct"/>
            <w:gridSpan w:val="5"/>
            <w:vMerge/>
            <w:tcBorders>
              <w:left w:val="single" w:sz="4" w:space="0" w:color="auto"/>
              <w:right w:val="single" w:sz="4" w:space="0" w:color="auto"/>
            </w:tcBorders>
            <w:shd w:val="clear" w:color="auto" w:fill="C2D69B" w:themeFill="accent3" w:themeFillTint="99"/>
            <w:vAlign w:val="center"/>
          </w:tcPr>
          <w:p w14:paraId="575DDB5B" w14:textId="77777777" w:rsidR="00A452A8" w:rsidRPr="00A452A8" w:rsidRDefault="00A452A8" w:rsidP="00A452A8">
            <w:pPr>
              <w:spacing w:after="0"/>
              <w:jc w:val="center"/>
              <w:rPr>
                <w:rFonts w:ascii="Times New Roman" w:hAnsi="Times New Roman"/>
                <w:b/>
                <w:sz w:val="18"/>
                <w:szCs w:val="20"/>
              </w:rPr>
            </w:pPr>
          </w:p>
        </w:tc>
        <w:tc>
          <w:tcPr>
            <w:tcW w:w="548" w:type="pct"/>
            <w:tcBorders>
              <w:top w:val="single" w:sz="4" w:space="0" w:color="auto"/>
              <w:left w:val="single" w:sz="4" w:space="0" w:color="auto"/>
              <w:bottom w:val="single" w:sz="4" w:space="0" w:color="auto"/>
              <w:right w:val="single" w:sz="4" w:space="0" w:color="auto"/>
            </w:tcBorders>
            <w:vAlign w:val="center"/>
          </w:tcPr>
          <w:p w14:paraId="46B5272C" w14:textId="77777777" w:rsidR="00A452A8" w:rsidRPr="00A452A8" w:rsidRDefault="00A452A8" w:rsidP="00A452A8">
            <w:pPr>
              <w:spacing w:after="0"/>
              <w:jc w:val="center"/>
              <w:rPr>
                <w:rFonts w:ascii="Times New Roman" w:hAnsi="Times New Roman"/>
                <w:bCs/>
                <w:sz w:val="18"/>
                <w:szCs w:val="20"/>
              </w:rPr>
            </w:pPr>
            <w:r w:rsidRPr="00A452A8">
              <w:rPr>
                <w:rFonts w:ascii="Times New Roman" w:hAnsi="Times New Roman"/>
                <w:bCs/>
                <w:sz w:val="18"/>
                <w:szCs w:val="20"/>
              </w:rPr>
              <w:t>491</w:t>
            </w:r>
          </w:p>
        </w:tc>
        <w:tc>
          <w:tcPr>
            <w:tcW w:w="450" w:type="pct"/>
            <w:tcBorders>
              <w:top w:val="single" w:sz="4" w:space="0" w:color="auto"/>
              <w:left w:val="single" w:sz="4" w:space="0" w:color="auto"/>
              <w:bottom w:val="single" w:sz="4" w:space="0" w:color="auto"/>
              <w:right w:val="single" w:sz="4" w:space="0" w:color="auto"/>
            </w:tcBorders>
            <w:vAlign w:val="center"/>
          </w:tcPr>
          <w:p w14:paraId="2EAC9927" w14:textId="77777777" w:rsidR="00A452A8" w:rsidRPr="00A452A8" w:rsidRDefault="00A452A8" w:rsidP="00A452A8">
            <w:pPr>
              <w:spacing w:after="0"/>
              <w:jc w:val="center"/>
              <w:rPr>
                <w:rFonts w:ascii="Times New Roman" w:hAnsi="Times New Roman"/>
                <w:bCs/>
                <w:sz w:val="18"/>
                <w:szCs w:val="20"/>
              </w:rPr>
            </w:pPr>
            <w:r w:rsidRPr="00A452A8">
              <w:rPr>
                <w:rFonts w:ascii="Times New Roman" w:hAnsi="Times New Roman"/>
                <w:bCs/>
                <w:sz w:val="18"/>
                <w:szCs w:val="20"/>
              </w:rPr>
              <w:t>1420</w:t>
            </w:r>
          </w:p>
        </w:tc>
        <w:tc>
          <w:tcPr>
            <w:tcW w:w="580" w:type="pct"/>
            <w:tcBorders>
              <w:top w:val="single" w:sz="4" w:space="0" w:color="auto"/>
              <w:left w:val="single" w:sz="4" w:space="0" w:color="auto"/>
              <w:bottom w:val="single" w:sz="4" w:space="0" w:color="auto"/>
              <w:right w:val="single" w:sz="4" w:space="0" w:color="auto"/>
            </w:tcBorders>
            <w:vAlign w:val="center"/>
          </w:tcPr>
          <w:p w14:paraId="2E7C42AA" w14:textId="77777777" w:rsidR="00A452A8" w:rsidRPr="00A452A8" w:rsidRDefault="00A452A8" w:rsidP="00A452A8">
            <w:pPr>
              <w:spacing w:after="0"/>
              <w:jc w:val="center"/>
              <w:rPr>
                <w:rFonts w:ascii="Times New Roman" w:hAnsi="Times New Roman"/>
                <w:bCs/>
                <w:sz w:val="18"/>
                <w:szCs w:val="20"/>
              </w:rPr>
            </w:pPr>
            <w:r w:rsidRPr="00A452A8">
              <w:rPr>
                <w:rFonts w:ascii="Times New Roman" w:hAnsi="Times New Roman"/>
                <w:bCs/>
                <w:sz w:val="18"/>
                <w:szCs w:val="20"/>
              </w:rPr>
              <w:t>574</w:t>
            </w:r>
          </w:p>
        </w:tc>
        <w:tc>
          <w:tcPr>
            <w:tcW w:w="798" w:type="pct"/>
            <w:tcBorders>
              <w:top w:val="single" w:sz="4" w:space="0" w:color="auto"/>
              <w:left w:val="single" w:sz="4" w:space="0" w:color="auto"/>
              <w:bottom w:val="single" w:sz="4" w:space="0" w:color="auto"/>
              <w:right w:val="single" w:sz="4" w:space="0" w:color="auto"/>
            </w:tcBorders>
            <w:vAlign w:val="center"/>
          </w:tcPr>
          <w:p w14:paraId="701630E6" w14:textId="77777777" w:rsidR="00A452A8" w:rsidRPr="00A452A8" w:rsidRDefault="00A452A8" w:rsidP="00A452A8">
            <w:pPr>
              <w:spacing w:after="0"/>
              <w:jc w:val="center"/>
              <w:rPr>
                <w:rFonts w:ascii="Times New Roman" w:hAnsi="Times New Roman"/>
                <w:bCs/>
                <w:sz w:val="18"/>
                <w:szCs w:val="20"/>
              </w:rPr>
            </w:pPr>
            <w:r w:rsidRPr="00A452A8">
              <w:rPr>
                <w:rFonts w:ascii="Times New Roman" w:hAnsi="Times New Roman"/>
                <w:bCs/>
                <w:sz w:val="18"/>
                <w:szCs w:val="20"/>
              </w:rPr>
              <w:t>2485</w:t>
            </w:r>
          </w:p>
        </w:tc>
      </w:tr>
      <w:tr w:rsidR="00A452A8" w:rsidRPr="00A452A8" w14:paraId="5C1F4866" w14:textId="77777777" w:rsidTr="00A452A8">
        <w:trPr>
          <w:trHeight w:val="316"/>
        </w:trPr>
        <w:tc>
          <w:tcPr>
            <w:tcW w:w="2624" w:type="pct"/>
            <w:gridSpan w:val="5"/>
            <w:vMerge/>
            <w:tcBorders>
              <w:left w:val="single" w:sz="4" w:space="0" w:color="auto"/>
              <w:right w:val="single" w:sz="4" w:space="0" w:color="auto"/>
            </w:tcBorders>
            <w:shd w:val="clear" w:color="auto" w:fill="C2D69B" w:themeFill="accent3" w:themeFillTint="99"/>
            <w:vAlign w:val="center"/>
          </w:tcPr>
          <w:p w14:paraId="357002F4" w14:textId="77777777" w:rsidR="00A452A8" w:rsidRPr="00A452A8" w:rsidRDefault="00A452A8" w:rsidP="00A452A8">
            <w:pPr>
              <w:spacing w:after="0"/>
              <w:jc w:val="center"/>
              <w:rPr>
                <w:rFonts w:ascii="Times New Roman" w:hAnsi="Times New Roman"/>
                <w:b/>
                <w:sz w:val="18"/>
                <w:szCs w:val="20"/>
              </w:rPr>
            </w:pPr>
          </w:p>
        </w:tc>
        <w:tc>
          <w:tcPr>
            <w:tcW w:w="998" w:type="pct"/>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252E29CD" w14:textId="77777777" w:rsidR="00A452A8" w:rsidRPr="00A452A8" w:rsidRDefault="00A452A8" w:rsidP="00A452A8">
            <w:pPr>
              <w:spacing w:after="0"/>
              <w:jc w:val="center"/>
              <w:rPr>
                <w:rFonts w:ascii="Times New Roman" w:hAnsi="Times New Roman"/>
                <w:b/>
                <w:sz w:val="18"/>
                <w:szCs w:val="18"/>
              </w:rPr>
            </w:pPr>
            <w:r w:rsidRPr="00A452A8">
              <w:rPr>
                <w:rFonts w:ascii="Times New Roman" w:hAnsi="Times New Roman"/>
                <w:b/>
                <w:sz w:val="18"/>
                <w:szCs w:val="18"/>
              </w:rPr>
              <w:t>Estimación de plazas a incorporar (un 5% de las plazas concursables)</w:t>
            </w:r>
          </w:p>
        </w:tc>
        <w:tc>
          <w:tcPr>
            <w:tcW w:w="1378" w:type="pct"/>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77066B2C" w14:textId="77777777" w:rsidR="00A452A8" w:rsidRPr="00A452A8" w:rsidRDefault="00A452A8" w:rsidP="00A452A8">
            <w:pPr>
              <w:spacing w:after="0"/>
              <w:jc w:val="center"/>
              <w:rPr>
                <w:rFonts w:ascii="Times New Roman" w:hAnsi="Times New Roman"/>
                <w:b/>
                <w:sz w:val="18"/>
                <w:szCs w:val="18"/>
              </w:rPr>
            </w:pPr>
            <w:r w:rsidRPr="00A452A8">
              <w:rPr>
                <w:rFonts w:ascii="Times New Roman" w:hAnsi="Times New Roman"/>
                <w:b/>
                <w:sz w:val="18"/>
                <w:szCs w:val="18"/>
              </w:rPr>
              <w:t xml:space="preserve">Estimación de plazas a </w:t>
            </w:r>
          </w:p>
          <w:p w14:paraId="4C4A5EAF" w14:textId="77777777" w:rsidR="00A452A8" w:rsidRPr="00A452A8" w:rsidRDefault="00A452A8" w:rsidP="00A452A8">
            <w:pPr>
              <w:spacing w:after="0"/>
              <w:jc w:val="center"/>
              <w:rPr>
                <w:rFonts w:ascii="Times New Roman" w:hAnsi="Times New Roman"/>
                <w:b/>
                <w:sz w:val="18"/>
                <w:szCs w:val="18"/>
              </w:rPr>
            </w:pPr>
            <w:r w:rsidRPr="00A452A8">
              <w:rPr>
                <w:rFonts w:ascii="Times New Roman" w:hAnsi="Times New Roman"/>
                <w:b/>
                <w:sz w:val="18"/>
                <w:szCs w:val="18"/>
              </w:rPr>
              <w:t>incorporar (un 10% de las plazas concursables)%</w:t>
            </w:r>
          </w:p>
        </w:tc>
      </w:tr>
      <w:tr w:rsidR="00A452A8" w:rsidRPr="00A452A8" w14:paraId="65D41609" w14:textId="77777777" w:rsidTr="00A452A8">
        <w:trPr>
          <w:trHeight w:val="201"/>
        </w:trPr>
        <w:tc>
          <w:tcPr>
            <w:tcW w:w="2624" w:type="pct"/>
            <w:gridSpan w:val="5"/>
            <w:vMerge/>
            <w:tcBorders>
              <w:left w:val="single" w:sz="4" w:space="0" w:color="auto"/>
              <w:right w:val="single" w:sz="4" w:space="0" w:color="auto"/>
            </w:tcBorders>
            <w:shd w:val="clear" w:color="auto" w:fill="C2D69B" w:themeFill="accent3" w:themeFillTint="99"/>
            <w:vAlign w:val="center"/>
          </w:tcPr>
          <w:p w14:paraId="37294F51" w14:textId="77777777" w:rsidR="00A452A8" w:rsidRPr="00A452A8" w:rsidRDefault="00A452A8" w:rsidP="00A452A8">
            <w:pPr>
              <w:spacing w:after="0"/>
              <w:jc w:val="center"/>
              <w:rPr>
                <w:rFonts w:ascii="Times New Roman" w:hAnsi="Times New Roman"/>
                <w:b/>
                <w:sz w:val="18"/>
                <w:szCs w:val="20"/>
              </w:rPr>
            </w:pPr>
          </w:p>
        </w:tc>
        <w:tc>
          <w:tcPr>
            <w:tcW w:w="998" w:type="pct"/>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46D49D3C" w14:textId="77777777" w:rsidR="00A452A8" w:rsidRPr="00A452A8" w:rsidRDefault="00A452A8" w:rsidP="00A452A8">
            <w:pPr>
              <w:spacing w:after="0"/>
              <w:jc w:val="center"/>
              <w:rPr>
                <w:rFonts w:ascii="Times New Roman" w:hAnsi="Times New Roman"/>
                <w:bCs/>
                <w:sz w:val="18"/>
                <w:szCs w:val="20"/>
              </w:rPr>
            </w:pPr>
            <w:r w:rsidRPr="00A452A8">
              <w:rPr>
                <w:rFonts w:ascii="Times New Roman" w:hAnsi="Times New Roman"/>
                <w:bCs/>
                <w:sz w:val="18"/>
                <w:szCs w:val="20"/>
              </w:rPr>
              <w:t>124</w:t>
            </w:r>
          </w:p>
        </w:tc>
        <w:tc>
          <w:tcPr>
            <w:tcW w:w="1378" w:type="pct"/>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65A0D339" w14:textId="77777777" w:rsidR="00A452A8" w:rsidRPr="00A452A8" w:rsidRDefault="00A452A8" w:rsidP="00A452A8">
            <w:pPr>
              <w:spacing w:after="0"/>
              <w:jc w:val="center"/>
              <w:rPr>
                <w:rFonts w:ascii="Times New Roman" w:hAnsi="Times New Roman"/>
                <w:bCs/>
                <w:sz w:val="18"/>
                <w:szCs w:val="20"/>
              </w:rPr>
            </w:pPr>
            <w:r w:rsidRPr="00A452A8">
              <w:rPr>
                <w:rFonts w:ascii="Times New Roman" w:hAnsi="Times New Roman"/>
                <w:bCs/>
                <w:sz w:val="18"/>
                <w:szCs w:val="20"/>
              </w:rPr>
              <w:t>248.5</w:t>
            </w:r>
          </w:p>
        </w:tc>
      </w:tr>
      <w:tr w:rsidR="00A452A8" w:rsidRPr="00A452A8" w14:paraId="5E76B1B8" w14:textId="77777777" w:rsidTr="00A452A8">
        <w:trPr>
          <w:trHeight w:val="660"/>
        </w:trPr>
        <w:tc>
          <w:tcPr>
            <w:tcW w:w="2624" w:type="pct"/>
            <w:gridSpan w:val="5"/>
            <w:vMerge/>
            <w:tcBorders>
              <w:left w:val="single" w:sz="4" w:space="0" w:color="auto"/>
              <w:bottom w:val="single" w:sz="4" w:space="0" w:color="auto"/>
              <w:right w:val="single" w:sz="4" w:space="0" w:color="auto"/>
            </w:tcBorders>
            <w:shd w:val="clear" w:color="auto" w:fill="C2D69B" w:themeFill="accent3" w:themeFillTint="99"/>
            <w:vAlign w:val="center"/>
          </w:tcPr>
          <w:p w14:paraId="145E396E" w14:textId="77777777" w:rsidR="00A452A8" w:rsidRPr="00A452A8" w:rsidRDefault="00A452A8" w:rsidP="00A452A8">
            <w:pPr>
              <w:spacing w:after="0"/>
              <w:jc w:val="center"/>
              <w:rPr>
                <w:rFonts w:ascii="Times New Roman" w:hAnsi="Times New Roman"/>
                <w:b/>
                <w:sz w:val="18"/>
                <w:szCs w:val="20"/>
              </w:rPr>
            </w:pPr>
          </w:p>
        </w:tc>
        <w:tc>
          <w:tcPr>
            <w:tcW w:w="2376" w:type="pct"/>
            <w:gridSpan w:val="4"/>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14:paraId="7DCDE27C" w14:textId="77777777" w:rsidR="00A452A8" w:rsidRPr="00A452A8" w:rsidRDefault="00A452A8" w:rsidP="00A452A8">
            <w:pPr>
              <w:spacing w:after="0"/>
              <w:jc w:val="center"/>
              <w:rPr>
                <w:rFonts w:ascii="Times New Roman" w:hAnsi="Times New Roman"/>
                <w:b/>
                <w:sz w:val="18"/>
                <w:szCs w:val="20"/>
              </w:rPr>
            </w:pPr>
            <w:r w:rsidRPr="00A452A8">
              <w:rPr>
                <w:rFonts w:ascii="Times New Roman" w:hAnsi="Times New Roman"/>
                <w:b/>
                <w:sz w:val="18"/>
                <w:szCs w:val="20"/>
              </w:rPr>
              <w:t>Total de plazas incorporadas por vía de concurso, desde el 01/08/2018 hasta el 01/08/2019 (en el último año)</w:t>
            </w:r>
          </w:p>
        </w:tc>
      </w:tr>
      <w:tr w:rsidR="00A452A8" w:rsidRPr="00A452A8" w14:paraId="26C7EA87" w14:textId="77777777" w:rsidTr="00A452A8">
        <w:trPr>
          <w:trHeight w:val="232"/>
        </w:trPr>
        <w:tc>
          <w:tcPr>
            <w:tcW w:w="700" w:type="pct"/>
            <w:vMerge w:val="restart"/>
            <w:tcBorders>
              <w:top w:val="single" w:sz="4" w:space="0" w:color="auto"/>
              <w:left w:val="single" w:sz="4" w:space="0" w:color="auto"/>
              <w:right w:val="single" w:sz="4" w:space="0" w:color="auto"/>
            </w:tcBorders>
            <w:shd w:val="clear" w:color="auto" w:fill="EAF1DD" w:themeFill="accent3" w:themeFillTint="33"/>
            <w:vAlign w:val="center"/>
          </w:tcPr>
          <w:p w14:paraId="0A8CD7A8"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Servidores de carrera incorporados por evaluación interna a enero, 2016</w:t>
            </w:r>
          </w:p>
          <w:p w14:paraId="583A0C84" w14:textId="77777777" w:rsidR="00A452A8" w:rsidRPr="00A452A8" w:rsidRDefault="00A452A8" w:rsidP="00A452A8">
            <w:pPr>
              <w:spacing w:after="0"/>
              <w:jc w:val="center"/>
              <w:rPr>
                <w:rFonts w:ascii="Times New Roman" w:hAnsi="Times New Roman"/>
                <w:sz w:val="18"/>
                <w:szCs w:val="20"/>
              </w:rPr>
            </w:pPr>
          </w:p>
          <w:p w14:paraId="45FEFE8B" w14:textId="77777777" w:rsidR="00A452A8" w:rsidRPr="00A452A8" w:rsidRDefault="00A452A8" w:rsidP="00A452A8">
            <w:pPr>
              <w:spacing w:after="0"/>
              <w:jc w:val="center"/>
              <w:rPr>
                <w:rFonts w:ascii="Times New Roman" w:hAnsi="Times New Roman"/>
                <w:sz w:val="18"/>
                <w:szCs w:val="20"/>
              </w:rPr>
            </w:pPr>
          </w:p>
        </w:tc>
        <w:tc>
          <w:tcPr>
            <w:tcW w:w="470" w:type="pct"/>
            <w:vMerge w:val="restart"/>
            <w:tcBorders>
              <w:top w:val="single" w:sz="4" w:space="0" w:color="auto"/>
              <w:left w:val="single" w:sz="4" w:space="0" w:color="auto"/>
              <w:right w:val="single" w:sz="4" w:space="0" w:color="auto"/>
            </w:tcBorders>
            <w:shd w:val="clear" w:color="auto" w:fill="EAF1DD" w:themeFill="accent3" w:themeFillTint="33"/>
            <w:vAlign w:val="center"/>
          </w:tcPr>
          <w:p w14:paraId="6277E51F"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Servidores de carrera incorporados por concurso a la fecha</w:t>
            </w:r>
          </w:p>
          <w:p w14:paraId="2C9DD32B" w14:textId="77777777" w:rsidR="00A452A8" w:rsidRPr="00A452A8" w:rsidRDefault="00A452A8" w:rsidP="00A452A8">
            <w:pPr>
              <w:spacing w:after="0"/>
              <w:jc w:val="center"/>
              <w:rPr>
                <w:rFonts w:ascii="Times New Roman" w:hAnsi="Times New Roman"/>
                <w:sz w:val="18"/>
                <w:szCs w:val="20"/>
              </w:rPr>
            </w:pPr>
          </w:p>
        </w:tc>
        <w:tc>
          <w:tcPr>
            <w:tcW w:w="468" w:type="pct"/>
            <w:vMerge w:val="restart"/>
            <w:tcBorders>
              <w:top w:val="single" w:sz="4" w:space="0" w:color="auto"/>
              <w:left w:val="single" w:sz="4" w:space="0" w:color="auto"/>
              <w:right w:val="single" w:sz="4" w:space="0" w:color="auto"/>
            </w:tcBorders>
            <w:shd w:val="clear" w:color="auto" w:fill="EAF1DD" w:themeFill="accent3" w:themeFillTint="33"/>
            <w:vAlign w:val="center"/>
          </w:tcPr>
          <w:p w14:paraId="3DBAEA98"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Servidores de carrera activos en institución:</w:t>
            </w:r>
          </w:p>
          <w:p w14:paraId="46C6981E" w14:textId="77777777" w:rsidR="00A452A8" w:rsidRPr="00A452A8" w:rsidRDefault="00A452A8" w:rsidP="00A452A8">
            <w:pPr>
              <w:spacing w:after="0"/>
              <w:jc w:val="center"/>
              <w:rPr>
                <w:rFonts w:ascii="Times New Roman" w:hAnsi="Times New Roman"/>
                <w:sz w:val="18"/>
                <w:szCs w:val="20"/>
              </w:rPr>
            </w:pPr>
          </w:p>
          <w:p w14:paraId="4BC69B01" w14:textId="77777777" w:rsidR="00A452A8" w:rsidRPr="00A452A8" w:rsidRDefault="00A452A8" w:rsidP="00A452A8">
            <w:pPr>
              <w:spacing w:after="0"/>
              <w:jc w:val="center"/>
              <w:rPr>
                <w:rFonts w:ascii="Times New Roman" w:hAnsi="Times New Roman"/>
                <w:sz w:val="18"/>
                <w:szCs w:val="20"/>
              </w:rPr>
            </w:pPr>
          </w:p>
        </w:tc>
        <w:tc>
          <w:tcPr>
            <w:tcW w:w="514" w:type="pct"/>
            <w:vMerge w:val="restart"/>
            <w:tcBorders>
              <w:top w:val="single" w:sz="4" w:space="0" w:color="auto"/>
              <w:left w:val="single" w:sz="4" w:space="0" w:color="auto"/>
              <w:right w:val="single" w:sz="4" w:space="0" w:color="auto"/>
            </w:tcBorders>
            <w:shd w:val="clear" w:color="auto" w:fill="EAF1DD" w:themeFill="accent3" w:themeFillTint="33"/>
            <w:vAlign w:val="center"/>
          </w:tcPr>
          <w:p w14:paraId="1D35429E" w14:textId="77777777" w:rsidR="00A452A8" w:rsidRPr="00A452A8" w:rsidRDefault="00A452A8" w:rsidP="00A452A8">
            <w:pPr>
              <w:spacing w:after="0"/>
              <w:ind w:left="-110" w:right="-105"/>
              <w:jc w:val="center"/>
              <w:rPr>
                <w:rFonts w:ascii="Times New Roman" w:hAnsi="Times New Roman"/>
                <w:sz w:val="18"/>
                <w:szCs w:val="20"/>
              </w:rPr>
            </w:pPr>
            <w:r w:rsidRPr="00A452A8">
              <w:rPr>
                <w:rFonts w:ascii="Times New Roman" w:hAnsi="Times New Roman"/>
                <w:sz w:val="18"/>
                <w:szCs w:val="20"/>
              </w:rPr>
              <w:t>Total general de incorporados a carrera, por concurso y por evaluación interna</w:t>
            </w:r>
          </w:p>
          <w:p w14:paraId="1F49654B" w14:textId="77777777" w:rsidR="00A452A8" w:rsidRPr="00A452A8" w:rsidRDefault="00A452A8" w:rsidP="00A452A8">
            <w:pPr>
              <w:spacing w:after="0"/>
              <w:ind w:left="-110" w:right="-105"/>
              <w:jc w:val="center"/>
              <w:rPr>
                <w:rFonts w:ascii="Times New Roman" w:hAnsi="Times New Roman"/>
                <w:sz w:val="18"/>
                <w:szCs w:val="20"/>
              </w:rPr>
            </w:pPr>
          </w:p>
        </w:tc>
        <w:tc>
          <w:tcPr>
            <w:tcW w:w="472" w:type="pct"/>
            <w:vMerge w:val="restart"/>
            <w:tcBorders>
              <w:top w:val="single" w:sz="4" w:space="0" w:color="auto"/>
              <w:left w:val="single" w:sz="4" w:space="0" w:color="auto"/>
              <w:right w:val="single" w:sz="4" w:space="0" w:color="auto"/>
            </w:tcBorders>
            <w:shd w:val="clear" w:color="auto" w:fill="EAF1DD" w:themeFill="accent3" w:themeFillTint="33"/>
            <w:vAlign w:val="center"/>
          </w:tcPr>
          <w:p w14:paraId="5DBFA312" w14:textId="77777777" w:rsidR="00A452A8" w:rsidRPr="00A452A8" w:rsidRDefault="00A452A8" w:rsidP="00A452A8">
            <w:pPr>
              <w:spacing w:after="0"/>
              <w:jc w:val="center"/>
              <w:rPr>
                <w:rFonts w:ascii="Times New Roman" w:hAnsi="Times New Roman"/>
                <w:sz w:val="18"/>
                <w:szCs w:val="20"/>
              </w:rPr>
            </w:pPr>
            <w:r w:rsidRPr="00A452A8">
              <w:rPr>
                <w:rFonts w:ascii="Times New Roman" w:hAnsi="Times New Roman"/>
                <w:sz w:val="18"/>
                <w:szCs w:val="20"/>
              </w:rPr>
              <w:t>Servidores de carrera inactivos en institución</w:t>
            </w:r>
          </w:p>
          <w:p w14:paraId="1BDFC58E" w14:textId="77777777" w:rsidR="00A452A8" w:rsidRPr="00A452A8" w:rsidRDefault="00A452A8" w:rsidP="00A452A8">
            <w:pPr>
              <w:spacing w:after="0"/>
              <w:jc w:val="center"/>
              <w:rPr>
                <w:rFonts w:ascii="Times New Roman" w:hAnsi="Times New Roman"/>
                <w:sz w:val="18"/>
                <w:szCs w:val="20"/>
              </w:rPr>
            </w:pPr>
          </w:p>
          <w:p w14:paraId="72AA8E28" w14:textId="77777777" w:rsidR="00A452A8" w:rsidRPr="00A452A8" w:rsidRDefault="00A452A8" w:rsidP="00A452A8">
            <w:pPr>
              <w:spacing w:after="0"/>
              <w:jc w:val="center"/>
              <w:rPr>
                <w:rFonts w:ascii="Times New Roman" w:hAnsi="Times New Roman"/>
                <w:sz w:val="18"/>
                <w:szCs w:val="20"/>
              </w:rPr>
            </w:pPr>
          </w:p>
        </w:tc>
        <w:tc>
          <w:tcPr>
            <w:tcW w:w="2376"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1C8FDE" w14:textId="77777777" w:rsidR="00A452A8" w:rsidRPr="00A452A8" w:rsidRDefault="00A452A8" w:rsidP="00A452A8">
            <w:pPr>
              <w:spacing w:after="0"/>
              <w:jc w:val="center"/>
              <w:rPr>
                <w:rFonts w:ascii="Times New Roman" w:hAnsi="Times New Roman"/>
                <w:bCs/>
                <w:sz w:val="18"/>
                <w:szCs w:val="20"/>
              </w:rPr>
            </w:pPr>
            <w:r w:rsidRPr="00A452A8">
              <w:rPr>
                <w:rFonts w:ascii="Times New Roman" w:hAnsi="Times New Roman"/>
                <w:bCs/>
                <w:sz w:val="18"/>
                <w:szCs w:val="20"/>
              </w:rPr>
              <w:t>0</w:t>
            </w:r>
          </w:p>
        </w:tc>
      </w:tr>
      <w:tr w:rsidR="00A452A8" w:rsidRPr="00A452A8" w14:paraId="19414D10" w14:textId="77777777" w:rsidTr="00A452A8">
        <w:trPr>
          <w:trHeight w:val="647"/>
        </w:trPr>
        <w:tc>
          <w:tcPr>
            <w:tcW w:w="700" w:type="pct"/>
            <w:vMerge/>
            <w:tcBorders>
              <w:left w:val="single" w:sz="4" w:space="0" w:color="auto"/>
              <w:bottom w:val="single" w:sz="4" w:space="0" w:color="auto"/>
              <w:right w:val="single" w:sz="4" w:space="0" w:color="auto"/>
            </w:tcBorders>
            <w:shd w:val="clear" w:color="auto" w:fill="EAF1DD" w:themeFill="accent3" w:themeFillTint="33"/>
            <w:vAlign w:val="center"/>
          </w:tcPr>
          <w:p w14:paraId="5E7CFD54" w14:textId="77777777" w:rsidR="00A452A8" w:rsidRPr="00A452A8" w:rsidRDefault="00A452A8" w:rsidP="00A452A8">
            <w:pPr>
              <w:spacing w:after="0"/>
              <w:jc w:val="center"/>
              <w:rPr>
                <w:rFonts w:ascii="Times New Roman" w:hAnsi="Times New Roman"/>
                <w:sz w:val="18"/>
                <w:szCs w:val="20"/>
              </w:rPr>
            </w:pPr>
          </w:p>
        </w:tc>
        <w:tc>
          <w:tcPr>
            <w:tcW w:w="470" w:type="pct"/>
            <w:vMerge/>
            <w:tcBorders>
              <w:left w:val="single" w:sz="4" w:space="0" w:color="auto"/>
              <w:bottom w:val="single" w:sz="4" w:space="0" w:color="auto"/>
              <w:right w:val="single" w:sz="4" w:space="0" w:color="auto"/>
            </w:tcBorders>
            <w:shd w:val="clear" w:color="auto" w:fill="EAF1DD" w:themeFill="accent3" w:themeFillTint="33"/>
            <w:vAlign w:val="center"/>
          </w:tcPr>
          <w:p w14:paraId="7C0F79DF" w14:textId="77777777" w:rsidR="00A452A8" w:rsidRPr="00A452A8" w:rsidRDefault="00A452A8" w:rsidP="00A452A8">
            <w:pPr>
              <w:spacing w:after="0"/>
              <w:jc w:val="center"/>
              <w:rPr>
                <w:rFonts w:ascii="Times New Roman" w:hAnsi="Times New Roman"/>
                <w:sz w:val="18"/>
                <w:szCs w:val="20"/>
              </w:rPr>
            </w:pPr>
          </w:p>
        </w:tc>
        <w:tc>
          <w:tcPr>
            <w:tcW w:w="468" w:type="pct"/>
            <w:vMerge/>
            <w:tcBorders>
              <w:left w:val="single" w:sz="4" w:space="0" w:color="auto"/>
              <w:bottom w:val="single" w:sz="4" w:space="0" w:color="auto"/>
              <w:right w:val="single" w:sz="4" w:space="0" w:color="auto"/>
            </w:tcBorders>
            <w:shd w:val="clear" w:color="auto" w:fill="EAF1DD" w:themeFill="accent3" w:themeFillTint="33"/>
            <w:vAlign w:val="center"/>
          </w:tcPr>
          <w:p w14:paraId="78C3519A" w14:textId="77777777" w:rsidR="00A452A8" w:rsidRPr="00A452A8" w:rsidRDefault="00A452A8" w:rsidP="00A452A8">
            <w:pPr>
              <w:spacing w:after="0"/>
              <w:rPr>
                <w:rFonts w:ascii="Times New Roman" w:hAnsi="Times New Roman"/>
                <w:sz w:val="18"/>
                <w:szCs w:val="20"/>
              </w:rPr>
            </w:pPr>
          </w:p>
        </w:tc>
        <w:tc>
          <w:tcPr>
            <w:tcW w:w="514" w:type="pct"/>
            <w:vMerge/>
            <w:tcBorders>
              <w:left w:val="single" w:sz="4" w:space="0" w:color="auto"/>
              <w:bottom w:val="single" w:sz="4" w:space="0" w:color="auto"/>
              <w:right w:val="single" w:sz="4" w:space="0" w:color="auto"/>
            </w:tcBorders>
            <w:shd w:val="clear" w:color="auto" w:fill="EAF1DD" w:themeFill="accent3" w:themeFillTint="33"/>
            <w:vAlign w:val="center"/>
          </w:tcPr>
          <w:p w14:paraId="781E68DE" w14:textId="77777777" w:rsidR="00A452A8" w:rsidRPr="00A452A8" w:rsidRDefault="00A452A8" w:rsidP="00A452A8">
            <w:pPr>
              <w:spacing w:after="0"/>
              <w:ind w:left="-110" w:right="-105"/>
              <w:jc w:val="center"/>
              <w:rPr>
                <w:rFonts w:ascii="Times New Roman" w:hAnsi="Times New Roman"/>
                <w:sz w:val="18"/>
                <w:szCs w:val="20"/>
              </w:rPr>
            </w:pPr>
          </w:p>
        </w:tc>
        <w:tc>
          <w:tcPr>
            <w:tcW w:w="472" w:type="pct"/>
            <w:vMerge/>
            <w:tcBorders>
              <w:left w:val="single" w:sz="4" w:space="0" w:color="auto"/>
              <w:bottom w:val="single" w:sz="4" w:space="0" w:color="auto"/>
              <w:right w:val="single" w:sz="4" w:space="0" w:color="auto"/>
            </w:tcBorders>
            <w:shd w:val="clear" w:color="auto" w:fill="EAF1DD" w:themeFill="accent3" w:themeFillTint="33"/>
            <w:vAlign w:val="center"/>
          </w:tcPr>
          <w:p w14:paraId="41AA0A74" w14:textId="77777777" w:rsidR="00A452A8" w:rsidRPr="00A452A8" w:rsidRDefault="00A452A8" w:rsidP="00A452A8">
            <w:pPr>
              <w:spacing w:after="0"/>
              <w:jc w:val="center"/>
              <w:rPr>
                <w:rFonts w:ascii="Times New Roman" w:hAnsi="Times New Roman"/>
                <w:sz w:val="18"/>
                <w:szCs w:val="20"/>
              </w:rPr>
            </w:pPr>
          </w:p>
        </w:tc>
        <w:tc>
          <w:tcPr>
            <w:tcW w:w="2376" w:type="pct"/>
            <w:gridSpan w:val="4"/>
            <w:vMerge w:val="restart"/>
            <w:tcBorders>
              <w:top w:val="single" w:sz="4" w:space="0" w:color="auto"/>
              <w:left w:val="single" w:sz="4" w:space="0" w:color="auto"/>
              <w:right w:val="single" w:sz="4" w:space="0" w:color="auto"/>
            </w:tcBorders>
            <w:shd w:val="clear" w:color="auto" w:fill="C2D69B" w:themeFill="accent3" w:themeFillTint="99"/>
            <w:vAlign w:val="center"/>
          </w:tcPr>
          <w:p w14:paraId="335FDD15" w14:textId="77777777" w:rsidR="00A452A8" w:rsidRPr="00A452A8" w:rsidRDefault="00A452A8" w:rsidP="00A452A8">
            <w:pPr>
              <w:spacing w:after="0"/>
              <w:jc w:val="center"/>
              <w:rPr>
                <w:rFonts w:ascii="Times New Roman" w:hAnsi="Times New Roman"/>
                <w:b/>
                <w:sz w:val="18"/>
                <w:szCs w:val="20"/>
              </w:rPr>
            </w:pPr>
            <w:r w:rsidRPr="00A452A8">
              <w:rPr>
                <w:rFonts w:ascii="Times New Roman" w:hAnsi="Times New Roman"/>
                <w:b/>
                <w:sz w:val="18"/>
                <w:szCs w:val="20"/>
              </w:rPr>
              <w:t>% de Plazas de carrera cubiertas por concurso (en último año)</w:t>
            </w:r>
          </w:p>
          <w:p w14:paraId="7FB13967" w14:textId="77777777" w:rsidR="00A452A8" w:rsidRPr="00A452A8" w:rsidRDefault="00A452A8" w:rsidP="00A452A8">
            <w:pPr>
              <w:spacing w:after="0"/>
              <w:jc w:val="center"/>
              <w:rPr>
                <w:rFonts w:ascii="Times New Roman" w:hAnsi="Times New Roman"/>
                <w:b/>
                <w:sz w:val="18"/>
                <w:szCs w:val="20"/>
              </w:rPr>
            </w:pPr>
            <w:r w:rsidRPr="00A452A8">
              <w:rPr>
                <w:rFonts w:ascii="Times New Roman" w:hAnsi="Times New Roman"/>
                <w:b/>
                <w:sz w:val="18"/>
                <w:szCs w:val="20"/>
              </w:rPr>
              <w:t xml:space="preserve">Mínimo requerido por el SISMAP: un 5%  </w:t>
            </w:r>
          </w:p>
          <w:p w14:paraId="4CF42F42" w14:textId="77777777" w:rsidR="00A452A8" w:rsidRPr="00A452A8" w:rsidRDefault="00A452A8" w:rsidP="00A452A8">
            <w:pPr>
              <w:spacing w:after="0"/>
              <w:jc w:val="center"/>
              <w:rPr>
                <w:rFonts w:ascii="Times New Roman" w:hAnsi="Times New Roman"/>
                <w:b/>
                <w:sz w:val="18"/>
                <w:szCs w:val="16"/>
                <w:u w:val="single"/>
              </w:rPr>
            </w:pPr>
            <w:r w:rsidRPr="00A452A8">
              <w:rPr>
                <w:rFonts w:ascii="Times New Roman" w:hAnsi="Times New Roman"/>
                <w:b/>
                <w:sz w:val="18"/>
                <w:szCs w:val="16"/>
              </w:rPr>
              <w:t xml:space="preserve">(calcular: </w:t>
            </w:r>
            <w:r w:rsidRPr="00A452A8">
              <w:rPr>
                <w:rFonts w:ascii="Times New Roman" w:hAnsi="Times New Roman"/>
                <w:b/>
                <w:sz w:val="18"/>
                <w:szCs w:val="16"/>
                <w:u w:val="single"/>
              </w:rPr>
              <w:t>cantidad de plazas incorporadas vía concursos dividida entre</w:t>
            </w:r>
          </w:p>
          <w:p w14:paraId="4EC5E725" w14:textId="77777777" w:rsidR="00A452A8" w:rsidRPr="00A452A8" w:rsidRDefault="00A452A8" w:rsidP="00A452A8">
            <w:pPr>
              <w:spacing w:after="0"/>
              <w:jc w:val="center"/>
              <w:rPr>
                <w:rFonts w:ascii="Times New Roman" w:hAnsi="Times New Roman"/>
                <w:b/>
                <w:sz w:val="18"/>
                <w:szCs w:val="16"/>
              </w:rPr>
            </w:pPr>
            <w:r w:rsidRPr="00A452A8">
              <w:rPr>
                <w:rFonts w:ascii="Times New Roman" w:hAnsi="Times New Roman"/>
                <w:b/>
                <w:sz w:val="18"/>
                <w:szCs w:val="16"/>
                <w:u w:val="single"/>
              </w:rPr>
              <w:t>la sumatoria de plazas concursables y plazas incorporadas vía concurso x 100</w:t>
            </w:r>
            <w:r w:rsidRPr="00A452A8">
              <w:rPr>
                <w:rFonts w:ascii="Times New Roman" w:hAnsi="Times New Roman"/>
                <w:b/>
                <w:sz w:val="18"/>
                <w:szCs w:val="16"/>
              </w:rPr>
              <w:t>)</w:t>
            </w:r>
          </w:p>
        </w:tc>
      </w:tr>
      <w:tr w:rsidR="00A452A8" w:rsidRPr="00A452A8" w14:paraId="31B19E5C" w14:textId="77777777" w:rsidTr="00BB7F45">
        <w:trPr>
          <w:trHeight w:val="407"/>
        </w:trPr>
        <w:tc>
          <w:tcPr>
            <w:tcW w:w="700" w:type="pct"/>
            <w:vMerge w:val="restart"/>
            <w:tcBorders>
              <w:top w:val="single" w:sz="4" w:space="0" w:color="auto"/>
              <w:left w:val="single" w:sz="4" w:space="0" w:color="auto"/>
              <w:right w:val="single" w:sz="4" w:space="0" w:color="auto"/>
            </w:tcBorders>
            <w:shd w:val="clear" w:color="auto" w:fill="808080" w:themeFill="background1" w:themeFillShade="80"/>
            <w:vAlign w:val="center"/>
          </w:tcPr>
          <w:p w14:paraId="79361163" w14:textId="77777777" w:rsidR="00A452A8" w:rsidRPr="00BB7F45" w:rsidRDefault="00A452A8" w:rsidP="00A452A8">
            <w:pPr>
              <w:spacing w:after="0"/>
              <w:jc w:val="center"/>
              <w:rPr>
                <w:rFonts w:ascii="Times New Roman" w:hAnsi="Times New Roman"/>
                <w:bCs/>
                <w:color w:val="FFFFFF" w:themeColor="background1"/>
                <w:sz w:val="18"/>
                <w:szCs w:val="20"/>
              </w:rPr>
            </w:pPr>
            <w:r w:rsidRPr="00BB7F45">
              <w:rPr>
                <w:rFonts w:ascii="Times New Roman" w:hAnsi="Times New Roman"/>
                <w:bCs/>
                <w:color w:val="FFFFFF" w:themeColor="background1"/>
                <w:sz w:val="18"/>
                <w:szCs w:val="20"/>
              </w:rPr>
              <w:t>1767</w:t>
            </w:r>
          </w:p>
        </w:tc>
        <w:tc>
          <w:tcPr>
            <w:tcW w:w="470" w:type="pct"/>
            <w:vMerge w:val="restart"/>
            <w:tcBorders>
              <w:top w:val="single" w:sz="4" w:space="0" w:color="auto"/>
              <w:left w:val="single" w:sz="4" w:space="0" w:color="auto"/>
              <w:right w:val="single" w:sz="4" w:space="0" w:color="auto"/>
            </w:tcBorders>
            <w:shd w:val="clear" w:color="auto" w:fill="808080" w:themeFill="background1" w:themeFillShade="80"/>
            <w:vAlign w:val="center"/>
          </w:tcPr>
          <w:p w14:paraId="2A45F41C" w14:textId="77777777" w:rsidR="00A452A8" w:rsidRPr="00BB7F45" w:rsidRDefault="00A452A8" w:rsidP="00A452A8">
            <w:pPr>
              <w:spacing w:after="0"/>
              <w:jc w:val="center"/>
              <w:rPr>
                <w:rFonts w:ascii="Times New Roman" w:hAnsi="Times New Roman"/>
                <w:bCs/>
                <w:color w:val="FFFFFF" w:themeColor="background1"/>
                <w:sz w:val="18"/>
                <w:szCs w:val="20"/>
              </w:rPr>
            </w:pPr>
            <w:r w:rsidRPr="00BB7F45">
              <w:rPr>
                <w:rFonts w:ascii="Times New Roman" w:hAnsi="Times New Roman"/>
                <w:bCs/>
                <w:color w:val="FFFFFF" w:themeColor="background1"/>
                <w:sz w:val="18"/>
                <w:szCs w:val="20"/>
              </w:rPr>
              <w:t>0</w:t>
            </w:r>
          </w:p>
        </w:tc>
        <w:tc>
          <w:tcPr>
            <w:tcW w:w="468" w:type="pct"/>
            <w:vMerge w:val="restart"/>
            <w:tcBorders>
              <w:top w:val="single" w:sz="4" w:space="0" w:color="auto"/>
              <w:left w:val="single" w:sz="4" w:space="0" w:color="auto"/>
              <w:right w:val="single" w:sz="4" w:space="0" w:color="auto"/>
            </w:tcBorders>
            <w:shd w:val="clear" w:color="auto" w:fill="808080" w:themeFill="background1" w:themeFillShade="80"/>
            <w:vAlign w:val="center"/>
          </w:tcPr>
          <w:p w14:paraId="58B29470" w14:textId="77777777" w:rsidR="00A452A8" w:rsidRPr="00BB7F45" w:rsidRDefault="00A452A8" w:rsidP="00A452A8">
            <w:pPr>
              <w:spacing w:after="0"/>
              <w:jc w:val="center"/>
              <w:rPr>
                <w:rFonts w:ascii="Times New Roman" w:hAnsi="Times New Roman"/>
                <w:bCs/>
                <w:color w:val="FFFFFF" w:themeColor="background1"/>
                <w:sz w:val="18"/>
                <w:szCs w:val="20"/>
              </w:rPr>
            </w:pPr>
            <w:r w:rsidRPr="00BB7F45">
              <w:rPr>
                <w:rFonts w:ascii="Times New Roman" w:hAnsi="Times New Roman"/>
                <w:bCs/>
                <w:color w:val="FFFFFF" w:themeColor="background1"/>
                <w:sz w:val="18"/>
                <w:szCs w:val="20"/>
              </w:rPr>
              <w:t>984</w:t>
            </w:r>
          </w:p>
        </w:tc>
        <w:tc>
          <w:tcPr>
            <w:tcW w:w="514" w:type="pct"/>
            <w:vMerge w:val="restart"/>
            <w:tcBorders>
              <w:top w:val="single" w:sz="4" w:space="0" w:color="auto"/>
              <w:left w:val="single" w:sz="4" w:space="0" w:color="auto"/>
              <w:right w:val="single" w:sz="4" w:space="0" w:color="auto"/>
            </w:tcBorders>
            <w:shd w:val="clear" w:color="auto" w:fill="808080" w:themeFill="background1" w:themeFillShade="80"/>
            <w:vAlign w:val="center"/>
          </w:tcPr>
          <w:p w14:paraId="55F5645A" w14:textId="77777777" w:rsidR="00A452A8" w:rsidRPr="00BB7F45" w:rsidRDefault="00A452A8" w:rsidP="00A452A8">
            <w:pPr>
              <w:spacing w:after="0"/>
              <w:jc w:val="center"/>
              <w:rPr>
                <w:rFonts w:ascii="Times New Roman" w:hAnsi="Times New Roman"/>
                <w:bCs/>
                <w:color w:val="FFFFFF" w:themeColor="background1"/>
                <w:sz w:val="18"/>
                <w:szCs w:val="20"/>
              </w:rPr>
            </w:pPr>
            <w:r w:rsidRPr="00BB7F45">
              <w:rPr>
                <w:rFonts w:ascii="Times New Roman" w:hAnsi="Times New Roman"/>
                <w:bCs/>
                <w:color w:val="FFFFFF" w:themeColor="background1"/>
                <w:sz w:val="18"/>
                <w:szCs w:val="20"/>
              </w:rPr>
              <w:t>1767</w:t>
            </w:r>
          </w:p>
        </w:tc>
        <w:tc>
          <w:tcPr>
            <w:tcW w:w="472" w:type="pct"/>
            <w:vMerge w:val="restart"/>
            <w:tcBorders>
              <w:top w:val="single" w:sz="4" w:space="0" w:color="auto"/>
              <w:left w:val="single" w:sz="4" w:space="0" w:color="auto"/>
              <w:right w:val="single" w:sz="4" w:space="0" w:color="auto"/>
            </w:tcBorders>
            <w:shd w:val="clear" w:color="auto" w:fill="808080" w:themeFill="background1" w:themeFillShade="80"/>
            <w:vAlign w:val="center"/>
          </w:tcPr>
          <w:p w14:paraId="4217BE77" w14:textId="77777777" w:rsidR="00A452A8" w:rsidRPr="00BB7F45" w:rsidRDefault="00A452A8" w:rsidP="00A452A8">
            <w:pPr>
              <w:spacing w:after="0"/>
              <w:jc w:val="center"/>
              <w:rPr>
                <w:rFonts w:ascii="Times New Roman" w:hAnsi="Times New Roman"/>
                <w:bCs/>
                <w:color w:val="FFFFFF" w:themeColor="background1"/>
                <w:sz w:val="18"/>
                <w:szCs w:val="20"/>
              </w:rPr>
            </w:pPr>
            <w:r w:rsidRPr="00BB7F45">
              <w:rPr>
                <w:rFonts w:ascii="Times New Roman" w:hAnsi="Times New Roman"/>
                <w:bCs/>
                <w:color w:val="FFFFFF" w:themeColor="background1"/>
                <w:sz w:val="18"/>
                <w:szCs w:val="20"/>
              </w:rPr>
              <w:t>94</w:t>
            </w:r>
          </w:p>
        </w:tc>
        <w:tc>
          <w:tcPr>
            <w:tcW w:w="2376" w:type="pct"/>
            <w:gridSpan w:val="4"/>
            <w:vMerge/>
            <w:tcBorders>
              <w:left w:val="single" w:sz="4" w:space="0" w:color="auto"/>
              <w:bottom w:val="single" w:sz="4" w:space="0" w:color="auto"/>
              <w:right w:val="single" w:sz="4" w:space="0" w:color="auto"/>
            </w:tcBorders>
            <w:shd w:val="clear" w:color="auto" w:fill="C2D69B" w:themeFill="accent3" w:themeFillTint="99"/>
            <w:vAlign w:val="center"/>
          </w:tcPr>
          <w:p w14:paraId="23F2B90B" w14:textId="77777777" w:rsidR="00A452A8" w:rsidRPr="00A452A8" w:rsidRDefault="00A452A8" w:rsidP="00A452A8">
            <w:pPr>
              <w:spacing w:after="0"/>
              <w:jc w:val="center"/>
              <w:rPr>
                <w:rFonts w:ascii="Times New Roman" w:hAnsi="Times New Roman"/>
                <w:b/>
                <w:sz w:val="18"/>
                <w:szCs w:val="20"/>
              </w:rPr>
            </w:pPr>
          </w:p>
        </w:tc>
      </w:tr>
      <w:tr w:rsidR="00A452A8" w:rsidRPr="003133FA" w14:paraId="7EF36807" w14:textId="77777777" w:rsidTr="00BB7F45">
        <w:trPr>
          <w:trHeight w:val="35"/>
        </w:trPr>
        <w:tc>
          <w:tcPr>
            <w:tcW w:w="700"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0614EE37" w14:textId="77777777" w:rsidR="00A452A8" w:rsidRPr="00A452A8" w:rsidRDefault="00A452A8" w:rsidP="00A452A8">
            <w:pPr>
              <w:spacing w:after="0"/>
              <w:jc w:val="center"/>
              <w:rPr>
                <w:rFonts w:ascii="Times New Roman" w:hAnsi="Times New Roman"/>
                <w:sz w:val="18"/>
                <w:szCs w:val="20"/>
              </w:rPr>
            </w:pPr>
          </w:p>
        </w:tc>
        <w:tc>
          <w:tcPr>
            <w:tcW w:w="470"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6C036FB2" w14:textId="77777777" w:rsidR="00A452A8" w:rsidRPr="00A452A8" w:rsidRDefault="00A452A8" w:rsidP="00A452A8">
            <w:pPr>
              <w:spacing w:after="0"/>
              <w:jc w:val="center"/>
              <w:rPr>
                <w:rFonts w:ascii="Times New Roman" w:hAnsi="Times New Roman"/>
                <w:sz w:val="18"/>
                <w:szCs w:val="20"/>
              </w:rPr>
            </w:pPr>
          </w:p>
        </w:tc>
        <w:tc>
          <w:tcPr>
            <w:tcW w:w="468"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5AE0F6F3" w14:textId="77777777" w:rsidR="00A452A8" w:rsidRPr="00A452A8" w:rsidRDefault="00A452A8" w:rsidP="00A452A8">
            <w:pPr>
              <w:spacing w:after="0"/>
              <w:jc w:val="center"/>
              <w:rPr>
                <w:rFonts w:ascii="Times New Roman" w:hAnsi="Times New Roman"/>
                <w:sz w:val="18"/>
                <w:szCs w:val="20"/>
              </w:rPr>
            </w:pPr>
          </w:p>
        </w:tc>
        <w:tc>
          <w:tcPr>
            <w:tcW w:w="514"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036EA8B7" w14:textId="77777777" w:rsidR="00A452A8" w:rsidRPr="00A452A8" w:rsidRDefault="00A452A8" w:rsidP="00A452A8">
            <w:pPr>
              <w:spacing w:after="0"/>
              <w:jc w:val="center"/>
              <w:rPr>
                <w:rFonts w:ascii="Times New Roman" w:hAnsi="Times New Roman"/>
                <w:sz w:val="18"/>
                <w:szCs w:val="20"/>
              </w:rPr>
            </w:pPr>
          </w:p>
        </w:tc>
        <w:tc>
          <w:tcPr>
            <w:tcW w:w="472" w:type="pct"/>
            <w:vMerge/>
            <w:tcBorders>
              <w:left w:val="single" w:sz="4" w:space="0" w:color="auto"/>
              <w:bottom w:val="single" w:sz="4" w:space="0" w:color="auto"/>
              <w:right w:val="single" w:sz="4" w:space="0" w:color="auto"/>
            </w:tcBorders>
            <w:shd w:val="clear" w:color="auto" w:fill="808080" w:themeFill="background1" w:themeFillShade="80"/>
            <w:vAlign w:val="center"/>
          </w:tcPr>
          <w:p w14:paraId="474B1F31" w14:textId="77777777" w:rsidR="00A452A8" w:rsidRPr="00A452A8" w:rsidRDefault="00A452A8" w:rsidP="00A452A8">
            <w:pPr>
              <w:spacing w:after="0"/>
              <w:jc w:val="center"/>
              <w:rPr>
                <w:rFonts w:ascii="Times New Roman" w:hAnsi="Times New Roman"/>
                <w:sz w:val="18"/>
                <w:szCs w:val="20"/>
              </w:rPr>
            </w:pPr>
          </w:p>
        </w:tc>
        <w:tc>
          <w:tcPr>
            <w:tcW w:w="237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7F862CF" w14:textId="77777777" w:rsidR="00A452A8" w:rsidRPr="00A452A8" w:rsidRDefault="00A452A8" w:rsidP="00A452A8">
            <w:pPr>
              <w:spacing w:after="0"/>
              <w:jc w:val="center"/>
              <w:rPr>
                <w:rFonts w:ascii="Times New Roman" w:hAnsi="Times New Roman"/>
                <w:bCs/>
                <w:sz w:val="18"/>
                <w:szCs w:val="20"/>
              </w:rPr>
            </w:pPr>
            <w:r w:rsidRPr="00A452A8">
              <w:rPr>
                <w:rFonts w:ascii="Times New Roman" w:hAnsi="Times New Roman"/>
                <w:bCs/>
                <w:sz w:val="18"/>
                <w:szCs w:val="20"/>
              </w:rPr>
              <w:t>0</w:t>
            </w:r>
          </w:p>
        </w:tc>
      </w:tr>
    </w:tbl>
    <w:p w14:paraId="3DA85306" w14:textId="77777777" w:rsidR="00A452A8" w:rsidRDefault="00A452A8">
      <w:pPr>
        <w:spacing w:after="0"/>
        <w:rPr>
          <w:rFonts w:ascii="Times New Roman" w:eastAsia="Calibri" w:hAnsi="Times New Roman"/>
          <w:lang w:eastAsia="en-US"/>
        </w:rPr>
      </w:pPr>
    </w:p>
    <w:p w14:paraId="2C6D1853" w14:textId="2514CCD1" w:rsidR="00A452A8" w:rsidRDefault="00A452A8">
      <w:pPr>
        <w:spacing w:after="0"/>
        <w:rPr>
          <w:rFonts w:ascii="Times New Roman" w:eastAsia="Calibri" w:hAnsi="Times New Roman"/>
          <w:lang w:eastAsia="en-US"/>
        </w:rPr>
      </w:pPr>
      <w:r>
        <w:rPr>
          <w:rFonts w:ascii="Times New Roman" w:hAnsi="Times New Roman"/>
        </w:rPr>
        <w:br w:type="page"/>
      </w:r>
    </w:p>
    <w:p w14:paraId="7E76262B" w14:textId="77777777" w:rsidR="00646828" w:rsidRPr="0098414F" w:rsidRDefault="00646828" w:rsidP="00646828">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lastRenderedPageBreak/>
        <w:t>Número de incorporados a la carrera por la vía de concurso</w:t>
      </w:r>
    </w:p>
    <w:p w14:paraId="15A34359" w14:textId="77777777" w:rsidR="00646828" w:rsidRPr="00F050E3" w:rsidRDefault="00646828" w:rsidP="00646828">
      <w:pPr>
        <w:pStyle w:val="Prrafodelista"/>
        <w:tabs>
          <w:tab w:val="left" w:pos="0"/>
          <w:tab w:val="left" w:pos="4111"/>
        </w:tabs>
        <w:spacing w:after="0" w:line="480" w:lineRule="auto"/>
        <w:ind w:left="0" w:firstLine="709"/>
        <w:jc w:val="both"/>
        <w:rPr>
          <w:rFonts w:ascii="Times New Roman" w:eastAsia="Times New Roman" w:hAnsi="Times New Roman"/>
          <w:sz w:val="24"/>
          <w:szCs w:val="24"/>
          <w:lang w:eastAsia="ja-JP"/>
        </w:rPr>
      </w:pPr>
      <w:r w:rsidRPr="00F050E3">
        <w:rPr>
          <w:rFonts w:ascii="Times New Roman" w:eastAsia="Times New Roman" w:hAnsi="Times New Roman"/>
          <w:sz w:val="24"/>
          <w:szCs w:val="24"/>
          <w:lang w:eastAsia="ja-JP"/>
        </w:rPr>
        <w:t>El art. No. 38 de la Ley no. 41-08 de Función Pública, establece que las vacantes que se produzcan en los cargos de carrera serán cubiertas en primer lugar mediante concursos internos para ascensos organizados de todo funcionario público.</w:t>
      </w:r>
    </w:p>
    <w:p w14:paraId="335B6D66" w14:textId="77777777" w:rsidR="00646828" w:rsidRPr="00F050E3" w:rsidRDefault="00646828" w:rsidP="00646828">
      <w:pPr>
        <w:pStyle w:val="Prrafodelista"/>
        <w:tabs>
          <w:tab w:val="left" w:pos="0"/>
          <w:tab w:val="left" w:pos="4111"/>
        </w:tabs>
        <w:spacing w:after="0" w:line="480" w:lineRule="auto"/>
        <w:ind w:left="0" w:firstLine="709"/>
        <w:jc w:val="both"/>
        <w:rPr>
          <w:rFonts w:ascii="Times New Roman" w:eastAsia="Times New Roman" w:hAnsi="Times New Roman"/>
          <w:sz w:val="24"/>
          <w:szCs w:val="24"/>
          <w:lang w:eastAsia="ja-JP"/>
        </w:rPr>
      </w:pPr>
    </w:p>
    <w:p w14:paraId="5580A125" w14:textId="77777777" w:rsidR="00646828" w:rsidRPr="00F050E3" w:rsidRDefault="00646828" w:rsidP="00646828">
      <w:pPr>
        <w:pStyle w:val="Prrafodelista"/>
        <w:tabs>
          <w:tab w:val="left" w:pos="0"/>
          <w:tab w:val="left" w:pos="4111"/>
        </w:tabs>
        <w:spacing w:after="0" w:line="480" w:lineRule="auto"/>
        <w:ind w:left="0" w:firstLine="709"/>
        <w:jc w:val="both"/>
        <w:rPr>
          <w:rFonts w:ascii="Times New Roman" w:eastAsia="Times New Roman" w:hAnsi="Times New Roman"/>
          <w:sz w:val="24"/>
          <w:szCs w:val="24"/>
          <w:lang w:eastAsia="ja-JP"/>
        </w:rPr>
      </w:pPr>
      <w:r w:rsidRPr="00F050E3">
        <w:rPr>
          <w:rFonts w:ascii="Times New Roman" w:eastAsia="Times New Roman" w:hAnsi="Times New Roman"/>
          <w:sz w:val="24"/>
          <w:szCs w:val="24"/>
          <w:lang w:eastAsia="ja-JP"/>
        </w:rPr>
        <w:t>En ese sentido, durante el 2019 ingresó al Ministerio 15 empleados, vía concurso, luego de expuesta su competencia durante su periodo de prueba, se procederá al proceso para ser incluidos como personal de carrera., hasta el momento se encuentra pendiente un total de 2485, la cual podrá ser ingresada mediante concursos en el próximo año tomando en consideración lo establecido la ley 41-08 de Función Pública, en su Art. 38 que dice: ¨las vacantes que se produzcan en los cargos de carrera: ¨ serán cubiertas en primer lugar mediante concurso interno¨.</w:t>
      </w:r>
    </w:p>
    <w:p w14:paraId="42B2E008" w14:textId="77777777" w:rsidR="00646828" w:rsidRPr="00F050E3" w:rsidRDefault="00646828" w:rsidP="00646828">
      <w:pPr>
        <w:pStyle w:val="Prrafodelista"/>
        <w:tabs>
          <w:tab w:val="left" w:pos="0"/>
          <w:tab w:val="left" w:pos="4111"/>
        </w:tabs>
        <w:spacing w:after="0" w:line="480" w:lineRule="auto"/>
        <w:ind w:left="0" w:firstLine="709"/>
        <w:jc w:val="both"/>
        <w:rPr>
          <w:rFonts w:ascii="Times New Roman" w:eastAsia="Times New Roman" w:hAnsi="Times New Roman"/>
          <w:sz w:val="24"/>
          <w:szCs w:val="24"/>
          <w:lang w:eastAsia="ja-JP"/>
        </w:rPr>
      </w:pPr>
    </w:p>
    <w:p w14:paraId="62DA80EC" w14:textId="77777777" w:rsidR="00646828" w:rsidRPr="00F050E3" w:rsidRDefault="00646828" w:rsidP="00646828">
      <w:pPr>
        <w:pStyle w:val="Prrafodelista"/>
        <w:spacing w:after="0" w:line="480" w:lineRule="auto"/>
        <w:ind w:left="0" w:firstLine="720"/>
        <w:jc w:val="both"/>
        <w:rPr>
          <w:rFonts w:ascii="Times New Roman" w:hAnsi="Times New Roman"/>
          <w:b/>
          <w:sz w:val="28"/>
        </w:rPr>
      </w:pPr>
      <w:r w:rsidRPr="00F050E3">
        <w:rPr>
          <w:rFonts w:ascii="Times New Roman" w:hAnsi="Times New Roman"/>
          <w:b/>
          <w:sz w:val="28"/>
        </w:rPr>
        <w:t>Número de incorporados a la carrera administrativa por evaluación.</w:t>
      </w:r>
    </w:p>
    <w:p w14:paraId="1F478DC8" w14:textId="77777777" w:rsidR="002F0F07" w:rsidRDefault="002F0F07" w:rsidP="00646828">
      <w:pPr>
        <w:spacing w:after="0" w:line="480" w:lineRule="auto"/>
        <w:ind w:firstLine="720"/>
        <w:jc w:val="both"/>
        <w:rPr>
          <w:rFonts w:ascii="Times New Roman" w:hAnsi="Times New Roman"/>
        </w:rPr>
      </w:pPr>
    </w:p>
    <w:p w14:paraId="7390C668" w14:textId="7777777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t>De acuerdo a lo establecido en el Art. 37 de la Ley no. 41-08 de Función Pública, para ingreso a la carrera administrativa es necesario cumplir con los requisitos establecidos en dicho artículo.</w:t>
      </w:r>
    </w:p>
    <w:p w14:paraId="14187A78" w14:textId="77777777" w:rsidR="00646828" w:rsidRPr="00F050E3" w:rsidRDefault="00646828" w:rsidP="00646828">
      <w:pPr>
        <w:spacing w:after="0" w:line="480" w:lineRule="auto"/>
        <w:ind w:firstLine="720"/>
        <w:jc w:val="both"/>
        <w:rPr>
          <w:rFonts w:ascii="Times New Roman" w:hAnsi="Times New Roman"/>
        </w:rPr>
      </w:pPr>
    </w:p>
    <w:p w14:paraId="0A1F1CA6" w14:textId="7777777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t xml:space="preserve">A partir del 2012, el Ministerio de la Presidencia conjuntamente con el Ministerio de Administración Pública suspendió de manera temporal dicho proceso </w:t>
      </w:r>
      <w:r w:rsidRPr="00F050E3">
        <w:rPr>
          <w:rFonts w:ascii="Times New Roman" w:hAnsi="Times New Roman"/>
        </w:rPr>
        <w:lastRenderedPageBreak/>
        <w:t>para la incorporación a la Carrera Administrativa, en este caso el Ministerio se ha visto impedido hacer el proceso.</w:t>
      </w:r>
    </w:p>
    <w:p w14:paraId="669AB19E" w14:textId="77777777" w:rsidR="00646828" w:rsidRPr="00F050E3" w:rsidRDefault="00646828" w:rsidP="00646828">
      <w:pPr>
        <w:spacing w:after="0" w:line="480" w:lineRule="auto"/>
        <w:ind w:firstLine="720"/>
        <w:jc w:val="both"/>
        <w:rPr>
          <w:rFonts w:ascii="Times New Roman" w:hAnsi="Times New Roman"/>
        </w:rPr>
      </w:pPr>
    </w:p>
    <w:p w14:paraId="579CE5C5" w14:textId="15FC213A" w:rsidR="00646828" w:rsidRPr="002F0F07" w:rsidRDefault="00A452A8" w:rsidP="00646828">
      <w:pPr>
        <w:pStyle w:val="Prrafodelista"/>
        <w:spacing w:after="0" w:line="480" w:lineRule="auto"/>
        <w:ind w:left="0" w:firstLine="720"/>
        <w:jc w:val="both"/>
        <w:rPr>
          <w:rFonts w:ascii="Times New Roman" w:hAnsi="Times New Roman"/>
          <w:b/>
          <w:sz w:val="28"/>
        </w:rPr>
      </w:pPr>
      <w:r w:rsidRPr="002F0F07">
        <w:rPr>
          <w:rFonts w:ascii="Times New Roman" w:hAnsi="Times New Roman"/>
          <w:b/>
          <w:sz w:val="28"/>
        </w:rPr>
        <w:t>Inducción</w:t>
      </w:r>
    </w:p>
    <w:p w14:paraId="666AA22E" w14:textId="77777777" w:rsidR="00A452A8" w:rsidRPr="00F050E3" w:rsidRDefault="00A452A8" w:rsidP="00A452A8">
      <w:pPr>
        <w:pStyle w:val="Prrafodelista"/>
        <w:spacing w:after="0" w:line="480" w:lineRule="auto"/>
        <w:ind w:left="0" w:firstLine="720"/>
        <w:jc w:val="both"/>
        <w:rPr>
          <w:rFonts w:ascii="Times New Roman" w:hAnsi="Times New Roman"/>
          <w:sz w:val="24"/>
          <w:szCs w:val="24"/>
        </w:rPr>
      </w:pPr>
      <w:r w:rsidRPr="00F050E3">
        <w:rPr>
          <w:rFonts w:ascii="Times New Roman" w:hAnsi="Times New Roman"/>
          <w:sz w:val="24"/>
          <w:szCs w:val="24"/>
        </w:rPr>
        <w:t>El artículo 32 de la ley 41-08 de Función Pública, establece: “Toda persona tendrá derecho a acceder al servicio público, en condiciones de igualdad sin más requisitos que los establecidos en dicha ley”.</w:t>
      </w:r>
    </w:p>
    <w:p w14:paraId="04936705" w14:textId="77777777" w:rsidR="00A452A8" w:rsidRPr="00F050E3" w:rsidRDefault="00A452A8" w:rsidP="00A452A8">
      <w:pPr>
        <w:pStyle w:val="Prrafodelista"/>
        <w:spacing w:after="0" w:line="480" w:lineRule="auto"/>
        <w:ind w:left="0" w:firstLine="720"/>
        <w:jc w:val="both"/>
        <w:rPr>
          <w:rFonts w:ascii="Times New Roman" w:hAnsi="Times New Roman"/>
          <w:sz w:val="24"/>
          <w:szCs w:val="24"/>
        </w:rPr>
      </w:pPr>
    </w:p>
    <w:p w14:paraId="23DCA5AA" w14:textId="77777777" w:rsidR="00A452A8" w:rsidRPr="00F050E3" w:rsidRDefault="00A452A8" w:rsidP="00A452A8">
      <w:pPr>
        <w:pStyle w:val="Prrafodelista"/>
        <w:spacing w:after="0" w:line="480" w:lineRule="auto"/>
        <w:ind w:left="0" w:firstLine="720"/>
        <w:jc w:val="both"/>
        <w:rPr>
          <w:rFonts w:ascii="Times New Roman" w:hAnsi="Times New Roman"/>
          <w:sz w:val="24"/>
          <w:szCs w:val="24"/>
        </w:rPr>
      </w:pPr>
      <w:r w:rsidRPr="00F050E3">
        <w:rPr>
          <w:rFonts w:ascii="Times New Roman" w:hAnsi="Times New Roman"/>
          <w:sz w:val="24"/>
          <w:szCs w:val="24"/>
        </w:rPr>
        <w:t>El artículo 59 párrafo único, del Reglamento no. 251-15 de Reclutamiento y Selección de Personal para ocupar cargos de carrera Administrativa en la Administración Pública dominicana expresa: “Es obligatorio para todo el servidor público de nuevo ingreso realizar el proceso de inducción”.</w:t>
      </w:r>
    </w:p>
    <w:p w14:paraId="25E3E018" w14:textId="77777777" w:rsidR="00A452A8" w:rsidRPr="00F050E3" w:rsidRDefault="00A452A8" w:rsidP="00A452A8">
      <w:pPr>
        <w:pStyle w:val="Prrafodelista"/>
        <w:spacing w:after="0" w:line="480" w:lineRule="auto"/>
        <w:ind w:left="0" w:firstLine="720"/>
        <w:jc w:val="both"/>
        <w:rPr>
          <w:rFonts w:ascii="Times New Roman" w:hAnsi="Times New Roman"/>
          <w:sz w:val="24"/>
          <w:szCs w:val="24"/>
        </w:rPr>
      </w:pPr>
    </w:p>
    <w:p w14:paraId="62CC3443" w14:textId="77777777" w:rsidR="00A452A8" w:rsidRPr="00F050E3" w:rsidRDefault="00A452A8" w:rsidP="00A452A8">
      <w:pPr>
        <w:pStyle w:val="Prrafodelista"/>
        <w:spacing w:after="0" w:line="480" w:lineRule="auto"/>
        <w:ind w:left="0" w:firstLine="720"/>
        <w:jc w:val="both"/>
        <w:rPr>
          <w:rFonts w:ascii="Times New Roman" w:hAnsi="Times New Roman"/>
          <w:sz w:val="24"/>
          <w:szCs w:val="24"/>
        </w:rPr>
      </w:pPr>
      <w:r w:rsidRPr="00F050E3">
        <w:rPr>
          <w:rFonts w:ascii="Times New Roman" w:hAnsi="Times New Roman"/>
          <w:sz w:val="24"/>
          <w:szCs w:val="24"/>
        </w:rPr>
        <w:t>El artículo 60 establece: “El servidor público en período de prueba será sometido a un proceso de inducción, el cual consta de tres (3) etapas:</w:t>
      </w:r>
    </w:p>
    <w:p w14:paraId="168D650F" w14:textId="77777777" w:rsidR="00610B59" w:rsidRPr="00F050E3" w:rsidRDefault="00610B59" w:rsidP="00A452A8">
      <w:pPr>
        <w:pStyle w:val="Prrafodelista"/>
        <w:spacing w:after="0" w:line="480" w:lineRule="auto"/>
        <w:ind w:left="0" w:firstLine="720"/>
        <w:jc w:val="both"/>
        <w:rPr>
          <w:rFonts w:ascii="Times New Roman" w:hAnsi="Times New Roman"/>
          <w:sz w:val="24"/>
          <w:szCs w:val="24"/>
        </w:rPr>
      </w:pPr>
    </w:p>
    <w:p w14:paraId="4EFDCF72" w14:textId="77777777" w:rsidR="00A452A8" w:rsidRPr="00F050E3" w:rsidRDefault="00A452A8" w:rsidP="001C6B1A">
      <w:pPr>
        <w:numPr>
          <w:ilvl w:val="0"/>
          <w:numId w:val="39"/>
        </w:numPr>
        <w:autoSpaceDE w:val="0"/>
        <w:autoSpaceDN w:val="0"/>
        <w:adjustRightInd w:val="0"/>
        <w:spacing w:before="120" w:after="0" w:line="480" w:lineRule="auto"/>
        <w:jc w:val="both"/>
        <w:rPr>
          <w:rFonts w:ascii="Times New Roman" w:hAnsi="Times New Roman"/>
          <w:lang w:val="es-ES" w:eastAsia="es-ES"/>
        </w:rPr>
      </w:pPr>
      <w:r w:rsidRPr="00F050E3">
        <w:rPr>
          <w:rFonts w:ascii="Times New Roman" w:hAnsi="Times New Roman"/>
          <w:lang w:val="es-ES" w:eastAsia="es-ES"/>
        </w:rPr>
        <w:t>1ra etapa: Proceso de inducción interna o inducción a la institución.</w:t>
      </w:r>
    </w:p>
    <w:p w14:paraId="7A0C31D6" w14:textId="77777777" w:rsidR="00A452A8" w:rsidRPr="00F050E3" w:rsidRDefault="00A452A8" w:rsidP="001C6B1A">
      <w:pPr>
        <w:numPr>
          <w:ilvl w:val="0"/>
          <w:numId w:val="39"/>
        </w:numPr>
        <w:autoSpaceDE w:val="0"/>
        <w:autoSpaceDN w:val="0"/>
        <w:adjustRightInd w:val="0"/>
        <w:spacing w:before="120" w:after="0" w:line="480" w:lineRule="auto"/>
        <w:jc w:val="both"/>
        <w:rPr>
          <w:rFonts w:ascii="Times New Roman" w:hAnsi="Times New Roman"/>
          <w:lang w:val="es-ES" w:eastAsia="es-ES"/>
        </w:rPr>
      </w:pPr>
      <w:r w:rsidRPr="00F050E3">
        <w:rPr>
          <w:rFonts w:ascii="Times New Roman" w:hAnsi="Times New Roman"/>
          <w:lang w:val="es-ES" w:eastAsia="es-ES"/>
        </w:rPr>
        <w:t>2da etapa: Proceso de inducción especifica al cargo y al área de trabajo, por parte del supervisor inmediato.</w:t>
      </w:r>
    </w:p>
    <w:p w14:paraId="40E0CE63" w14:textId="77777777" w:rsidR="00A452A8" w:rsidRPr="00F050E3" w:rsidRDefault="00A452A8" w:rsidP="001C6B1A">
      <w:pPr>
        <w:pStyle w:val="Prrafodelista"/>
        <w:numPr>
          <w:ilvl w:val="0"/>
          <w:numId w:val="39"/>
        </w:numPr>
        <w:tabs>
          <w:tab w:val="left" w:pos="709"/>
          <w:tab w:val="left" w:pos="4111"/>
        </w:tabs>
        <w:spacing w:after="0" w:line="480" w:lineRule="auto"/>
        <w:ind w:left="357" w:firstLine="0"/>
        <w:jc w:val="both"/>
        <w:rPr>
          <w:rFonts w:ascii="Times New Roman" w:hAnsi="Times New Roman"/>
          <w:sz w:val="24"/>
          <w:szCs w:val="24"/>
          <w:lang w:val="es-ES" w:eastAsia="es-ES"/>
        </w:rPr>
      </w:pPr>
      <w:r w:rsidRPr="00F050E3">
        <w:rPr>
          <w:rFonts w:ascii="Times New Roman" w:hAnsi="Times New Roman"/>
          <w:sz w:val="24"/>
          <w:szCs w:val="24"/>
          <w:lang w:val="es-ES" w:eastAsia="es-ES"/>
        </w:rPr>
        <w:t>3ra etapa: Proceso de inducción externa o inducción a la Administración pública con el Instituto Nacional de Administración Pública (INAP).</w:t>
      </w:r>
    </w:p>
    <w:p w14:paraId="2DE6FBD8" w14:textId="70ADC0FC" w:rsidR="00F050E3" w:rsidRDefault="00F050E3">
      <w:pPr>
        <w:spacing w:after="0"/>
        <w:rPr>
          <w:rFonts w:ascii="Times New Roman" w:eastAsia="Calibri" w:hAnsi="Times New Roman"/>
          <w:szCs w:val="22"/>
          <w:lang w:eastAsia="en-US"/>
        </w:rPr>
      </w:pPr>
      <w:r>
        <w:rPr>
          <w:rFonts w:ascii="Times New Roman" w:eastAsia="Calibri" w:hAnsi="Times New Roman"/>
          <w:szCs w:val="22"/>
          <w:lang w:eastAsia="en-US"/>
        </w:rPr>
        <w:br w:type="page"/>
      </w:r>
    </w:p>
    <w:p w14:paraId="11586596" w14:textId="77777777" w:rsidR="00646828" w:rsidRPr="0098414F" w:rsidRDefault="00646828" w:rsidP="00646828">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lastRenderedPageBreak/>
        <w:t>Diplomados, cursos y talleres</w:t>
      </w:r>
    </w:p>
    <w:p w14:paraId="1D967A2B" w14:textId="587AE881" w:rsidR="00646828" w:rsidRPr="0098414F" w:rsidRDefault="00646828" w:rsidP="00CA5792">
      <w:pPr>
        <w:pStyle w:val="Ttulo4"/>
      </w:pPr>
      <w:bookmarkStart w:id="348" w:name="_Toc26292129"/>
      <w:bookmarkStart w:id="349" w:name="_Toc251777879"/>
      <w:bookmarkStart w:id="350" w:name="_Toc254413099"/>
      <w:bookmarkStart w:id="351" w:name="_Toc440036754"/>
      <w:bookmarkStart w:id="352" w:name="_Toc470523411"/>
      <w:bookmarkStart w:id="353" w:name="_Toc27146820"/>
      <w:r w:rsidRPr="0098414F">
        <w:t>Gestión de Relaciones Humanas y Sociales</w:t>
      </w:r>
      <w:bookmarkEnd w:id="348"/>
      <w:bookmarkEnd w:id="349"/>
      <w:bookmarkEnd w:id="350"/>
      <w:bookmarkEnd w:id="351"/>
      <w:bookmarkEnd w:id="352"/>
      <w:bookmarkEnd w:id="353"/>
    </w:p>
    <w:p w14:paraId="30D9754D" w14:textId="77777777" w:rsidR="00646828" w:rsidRPr="00E83D42" w:rsidRDefault="00646828" w:rsidP="00646828">
      <w:pPr>
        <w:spacing w:after="0"/>
        <w:rPr>
          <w:rFonts w:ascii="Times New Roman" w:eastAsia="Calibri" w:hAnsi="Times New Roman"/>
          <w:szCs w:val="22"/>
          <w:lang w:val="es-ES_tradnl" w:eastAsia="en-US"/>
        </w:rPr>
      </w:pPr>
    </w:p>
    <w:p w14:paraId="2175CEDC" w14:textId="77777777" w:rsidR="00646828" w:rsidRPr="0098414F" w:rsidRDefault="00646828" w:rsidP="00646828">
      <w:pPr>
        <w:pStyle w:val="Prrafodelista"/>
        <w:spacing w:after="0" w:line="480" w:lineRule="auto"/>
        <w:ind w:left="0" w:firstLine="720"/>
        <w:jc w:val="both"/>
        <w:rPr>
          <w:rFonts w:ascii="Times New Roman" w:hAnsi="Times New Roman"/>
          <w:b/>
          <w:sz w:val="28"/>
        </w:rPr>
      </w:pPr>
      <w:r w:rsidRPr="0098414F">
        <w:rPr>
          <w:rFonts w:ascii="Times New Roman" w:hAnsi="Times New Roman"/>
          <w:b/>
          <w:sz w:val="28"/>
        </w:rPr>
        <w:t>Representación de la comisión de personal</w:t>
      </w:r>
    </w:p>
    <w:p w14:paraId="3F8D9721" w14:textId="1716FB1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t xml:space="preserve">La comisión de personal </w:t>
      </w:r>
      <w:r w:rsidRPr="00F050E3">
        <w:rPr>
          <w:rFonts w:ascii="Times New Roman" w:hAnsi="Times New Roman"/>
          <w:i/>
        </w:rPr>
        <w:t xml:space="preserve">ad hoc </w:t>
      </w:r>
      <w:r w:rsidRPr="00F050E3">
        <w:rPr>
          <w:rFonts w:ascii="Times New Roman" w:hAnsi="Times New Roman"/>
        </w:rPr>
        <w:t>del Ministerio está conformada por un representante del Sr. Ministro, el consultor jurídico o un representante, el/la responsable del área de gestión humana o su representante, el empleado interesado o su representante, según lo establecido en el Art. no. 15 de la Ley no. 41-08 de Función Pública, para tales fines la Licda. Sandra Montero Paulino, Encargada de la División de Litigios del Departamento Jurídico como representante ante la comisión de personal en coordinación con el MAP</w:t>
      </w:r>
    </w:p>
    <w:p w14:paraId="35EB9239" w14:textId="77777777" w:rsidR="00646828" w:rsidRPr="00F050E3" w:rsidRDefault="00646828" w:rsidP="00646828">
      <w:pPr>
        <w:spacing w:after="0"/>
        <w:rPr>
          <w:rFonts w:ascii="Times New Roman" w:hAnsi="Times New Roman"/>
        </w:rPr>
      </w:pPr>
    </w:p>
    <w:p w14:paraId="29556841" w14:textId="77777777" w:rsidR="00646828" w:rsidRPr="00F050E3" w:rsidRDefault="00646828" w:rsidP="00646828">
      <w:pPr>
        <w:pStyle w:val="Prrafodelista"/>
        <w:spacing w:after="0" w:line="480" w:lineRule="auto"/>
        <w:ind w:left="0" w:firstLine="720"/>
        <w:jc w:val="both"/>
        <w:rPr>
          <w:rFonts w:ascii="Times New Roman" w:hAnsi="Times New Roman"/>
          <w:b/>
          <w:sz w:val="28"/>
        </w:rPr>
      </w:pPr>
      <w:r w:rsidRPr="00F050E3">
        <w:rPr>
          <w:rFonts w:ascii="Times New Roman" w:hAnsi="Times New Roman"/>
          <w:b/>
          <w:sz w:val="28"/>
        </w:rPr>
        <w:t>Asociación de empleados-ASP</w:t>
      </w:r>
    </w:p>
    <w:p w14:paraId="4C8D4D65" w14:textId="7777777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t>La Asociación de Servidores Públicos del Ministerio fue creada en 2011, Dicha asociación está conformada por 601 empleados, según las disposiciones establecidas del Art. No. 67, de la Ley no. 41-08 de Función Pública.</w:t>
      </w:r>
    </w:p>
    <w:p w14:paraId="63DEF5FA" w14:textId="77777777" w:rsidR="00646828" w:rsidRPr="00F050E3" w:rsidRDefault="00646828" w:rsidP="00646828">
      <w:pPr>
        <w:spacing w:after="0" w:line="360" w:lineRule="auto"/>
        <w:ind w:firstLine="720"/>
        <w:jc w:val="both"/>
        <w:rPr>
          <w:rFonts w:ascii="Times New Roman" w:hAnsi="Times New Roman"/>
        </w:rPr>
      </w:pPr>
    </w:p>
    <w:p w14:paraId="7B8F734C" w14:textId="77777777" w:rsidR="00646828" w:rsidRPr="00F050E3" w:rsidRDefault="00646828" w:rsidP="00646828">
      <w:pPr>
        <w:pStyle w:val="Prrafodelista"/>
        <w:spacing w:after="0" w:line="480" w:lineRule="auto"/>
        <w:ind w:left="0" w:firstLine="720"/>
        <w:jc w:val="both"/>
        <w:rPr>
          <w:rFonts w:ascii="Times New Roman" w:hAnsi="Times New Roman"/>
          <w:b/>
          <w:sz w:val="28"/>
        </w:rPr>
      </w:pPr>
      <w:r w:rsidRPr="00F050E3">
        <w:rPr>
          <w:rFonts w:ascii="Times New Roman" w:hAnsi="Times New Roman"/>
          <w:b/>
          <w:sz w:val="28"/>
        </w:rPr>
        <w:t>Pagos de beneficios laborales</w:t>
      </w:r>
    </w:p>
    <w:p w14:paraId="49473800" w14:textId="7777777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t>Durante el año 2019, el Ministerio ha realizado los pagos por concepto de beneficios laborales conforme a lo establecido en la Ley no. 41-08 de Función Pública. En función a solicitudes recibidas se ha procedido a realizar los siguientes pagos:</w:t>
      </w:r>
    </w:p>
    <w:p w14:paraId="55D34BF1" w14:textId="7FA52616" w:rsidR="00BB7F45" w:rsidRPr="00F050E3" w:rsidRDefault="00BB7F45">
      <w:pPr>
        <w:spacing w:after="0"/>
        <w:rPr>
          <w:rFonts w:ascii="Times New Roman" w:hAnsi="Times New Roman"/>
        </w:rPr>
      </w:pPr>
      <w:r w:rsidRPr="00F050E3">
        <w:rPr>
          <w:rFonts w:ascii="Times New Roman" w:hAnsi="Times New Roman"/>
        </w:rPr>
        <w:br w:type="page"/>
      </w:r>
    </w:p>
    <w:p w14:paraId="64601A06" w14:textId="77777777" w:rsidR="00610B59" w:rsidRPr="00F050E3" w:rsidRDefault="00610B59" w:rsidP="001C6B1A">
      <w:pPr>
        <w:pStyle w:val="Prrafodelista"/>
        <w:numPr>
          <w:ilvl w:val="0"/>
          <w:numId w:val="9"/>
        </w:numPr>
        <w:spacing w:after="0" w:line="240" w:lineRule="auto"/>
        <w:ind w:left="567" w:hanging="567"/>
        <w:rPr>
          <w:rFonts w:ascii="Times New Roman" w:hAnsi="Times New Roman"/>
          <w:b/>
          <w:sz w:val="24"/>
          <w:szCs w:val="28"/>
        </w:rPr>
      </w:pPr>
      <w:r w:rsidRPr="00F050E3">
        <w:rPr>
          <w:rFonts w:ascii="Times New Roman" w:hAnsi="Times New Roman"/>
          <w:b/>
          <w:sz w:val="24"/>
          <w:szCs w:val="28"/>
        </w:rPr>
        <w:lastRenderedPageBreak/>
        <w:t>Relación de pago de Beneficios Laborales</w:t>
      </w:r>
    </w:p>
    <w:p w14:paraId="70983539" w14:textId="77777777" w:rsidR="00610B59" w:rsidRPr="00F050E3" w:rsidRDefault="00610B59" w:rsidP="00610B59">
      <w:pPr>
        <w:spacing w:after="0"/>
        <w:ind w:firstLine="720"/>
        <w:jc w:val="both"/>
        <w:rPr>
          <w:rFonts w:ascii="Times New Roman" w:hAnsi="Times New Roman"/>
        </w:rPr>
      </w:pPr>
    </w:p>
    <w:tbl>
      <w:tblPr>
        <w:tblStyle w:val="Tablaconcuadrcula"/>
        <w:tblW w:w="0" w:type="auto"/>
        <w:jc w:val="right"/>
        <w:tblLook w:val="04A0" w:firstRow="1" w:lastRow="0" w:firstColumn="1" w:lastColumn="0" w:noHBand="0" w:noVBand="1"/>
      </w:tblPr>
      <w:tblGrid>
        <w:gridCol w:w="3681"/>
        <w:gridCol w:w="1592"/>
        <w:gridCol w:w="1952"/>
      </w:tblGrid>
      <w:tr w:rsidR="00610B59" w:rsidRPr="00F050E3" w14:paraId="136DF28A" w14:textId="77777777" w:rsidTr="00610B59">
        <w:trPr>
          <w:jc w:val="right"/>
        </w:trPr>
        <w:tc>
          <w:tcPr>
            <w:tcW w:w="3681" w:type="dxa"/>
            <w:shd w:val="clear" w:color="auto" w:fill="00B050"/>
            <w:vAlign w:val="center"/>
          </w:tcPr>
          <w:p w14:paraId="7F2356CD" w14:textId="77777777" w:rsidR="00610B59" w:rsidRPr="00F050E3" w:rsidRDefault="00610B59" w:rsidP="00610B59">
            <w:pPr>
              <w:pStyle w:val="Prrafodelista"/>
              <w:spacing w:after="0" w:line="240" w:lineRule="auto"/>
              <w:ind w:left="0"/>
              <w:jc w:val="center"/>
              <w:rPr>
                <w:rFonts w:ascii="Times New Roman" w:hAnsi="Times New Roman"/>
                <w:color w:val="FFFFFF" w:themeColor="background1"/>
                <w:sz w:val="24"/>
                <w:szCs w:val="24"/>
              </w:rPr>
            </w:pPr>
            <w:r w:rsidRPr="00F050E3">
              <w:rPr>
                <w:rFonts w:ascii="Times New Roman" w:hAnsi="Times New Roman"/>
                <w:b/>
                <w:color w:val="FFFFFF" w:themeColor="background1"/>
                <w:sz w:val="24"/>
                <w:szCs w:val="24"/>
              </w:rPr>
              <w:t>Concepto</w:t>
            </w:r>
          </w:p>
        </w:tc>
        <w:tc>
          <w:tcPr>
            <w:tcW w:w="1592" w:type="dxa"/>
            <w:shd w:val="clear" w:color="auto" w:fill="00B050"/>
            <w:vAlign w:val="center"/>
          </w:tcPr>
          <w:p w14:paraId="09C5F8DA" w14:textId="77777777" w:rsidR="00610B59" w:rsidRPr="00F050E3" w:rsidRDefault="00610B59" w:rsidP="00610B59">
            <w:pPr>
              <w:pStyle w:val="Prrafodelista"/>
              <w:spacing w:after="0" w:line="240" w:lineRule="auto"/>
              <w:ind w:left="0"/>
              <w:jc w:val="center"/>
              <w:rPr>
                <w:rFonts w:ascii="Times New Roman" w:hAnsi="Times New Roman"/>
                <w:color w:val="FFFFFF" w:themeColor="background1"/>
                <w:sz w:val="24"/>
                <w:szCs w:val="24"/>
              </w:rPr>
            </w:pPr>
            <w:r w:rsidRPr="00F050E3">
              <w:rPr>
                <w:rFonts w:ascii="Times New Roman" w:hAnsi="Times New Roman"/>
                <w:b/>
                <w:color w:val="FFFFFF" w:themeColor="background1"/>
                <w:sz w:val="24"/>
                <w:szCs w:val="24"/>
              </w:rPr>
              <w:t>Cantidad de Empleados</w:t>
            </w:r>
          </w:p>
        </w:tc>
        <w:tc>
          <w:tcPr>
            <w:tcW w:w="1952" w:type="dxa"/>
            <w:shd w:val="clear" w:color="auto" w:fill="00B050"/>
            <w:vAlign w:val="center"/>
          </w:tcPr>
          <w:p w14:paraId="0AE878C6" w14:textId="77777777" w:rsidR="00610B59" w:rsidRPr="00F050E3" w:rsidRDefault="00610B59" w:rsidP="00610B59">
            <w:pPr>
              <w:pStyle w:val="Prrafodelista"/>
              <w:spacing w:after="0" w:line="240" w:lineRule="auto"/>
              <w:ind w:left="0"/>
              <w:jc w:val="center"/>
              <w:rPr>
                <w:rFonts w:ascii="Times New Roman" w:hAnsi="Times New Roman"/>
                <w:color w:val="FFFFFF" w:themeColor="background1"/>
                <w:sz w:val="24"/>
                <w:szCs w:val="24"/>
              </w:rPr>
            </w:pPr>
            <w:r w:rsidRPr="00F050E3">
              <w:rPr>
                <w:rFonts w:ascii="Times New Roman" w:hAnsi="Times New Roman"/>
                <w:b/>
                <w:color w:val="FFFFFF" w:themeColor="background1"/>
                <w:sz w:val="24"/>
                <w:szCs w:val="24"/>
              </w:rPr>
              <w:t>Monto</w:t>
            </w:r>
          </w:p>
        </w:tc>
      </w:tr>
      <w:tr w:rsidR="00610B59" w:rsidRPr="00F050E3" w14:paraId="6DCF739E" w14:textId="77777777" w:rsidTr="00610B59">
        <w:trPr>
          <w:jc w:val="right"/>
        </w:trPr>
        <w:tc>
          <w:tcPr>
            <w:tcW w:w="3681" w:type="dxa"/>
          </w:tcPr>
          <w:p w14:paraId="7BFE4ADB" w14:textId="77777777" w:rsidR="00610B59" w:rsidRPr="00F050E3" w:rsidRDefault="00610B59" w:rsidP="00610B59">
            <w:pPr>
              <w:pStyle w:val="Prrafodelista"/>
              <w:spacing w:after="0" w:line="240" w:lineRule="auto"/>
              <w:ind w:left="0"/>
              <w:jc w:val="both"/>
              <w:rPr>
                <w:rFonts w:ascii="Times New Roman" w:hAnsi="Times New Roman"/>
                <w:sz w:val="24"/>
                <w:szCs w:val="24"/>
              </w:rPr>
            </w:pPr>
            <w:r w:rsidRPr="00F050E3">
              <w:rPr>
                <w:rFonts w:ascii="Times New Roman" w:hAnsi="Times New Roman"/>
                <w:sz w:val="24"/>
                <w:szCs w:val="24"/>
              </w:rPr>
              <w:t xml:space="preserve">Vacaciones No disfrutadas </w:t>
            </w:r>
          </w:p>
        </w:tc>
        <w:tc>
          <w:tcPr>
            <w:tcW w:w="1592" w:type="dxa"/>
          </w:tcPr>
          <w:p w14:paraId="658AB2A3" w14:textId="77777777" w:rsidR="00610B59" w:rsidRPr="00F050E3" w:rsidRDefault="00610B59" w:rsidP="00610B59">
            <w:pPr>
              <w:pStyle w:val="Prrafodelista"/>
              <w:spacing w:after="0" w:line="240" w:lineRule="auto"/>
              <w:ind w:left="0"/>
              <w:jc w:val="center"/>
              <w:rPr>
                <w:rFonts w:ascii="Times New Roman" w:hAnsi="Times New Roman"/>
                <w:sz w:val="24"/>
                <w:szCs w:val="24"/>
              </w:rPr>
            </w:pPr>
            <w:r w:rsidRPr="00F050E3">
              <w:rPr>
                <w:rFonts w:ascii="Times New Roman" w:hAnsi="Times New Roman"/>
                <w:sz w:val="24"/>
                <w:szCs w:val="24"/>
              </w:rPr>
              <w:t>64</w:t>
            </w:r>
          </w:p>
        </w:tc>
        <w:tc>
          <w:tcPr>
            <w:tcW w:w="1952" w:type="dxa"/>
          </w:tcPr>
          <w:p w14:paraId="14F3F374" w14:textId="77777777" w:rsidR="00610B59" w:rsidRPr="00F050E3" w:rsidRDefault="00610B59" w:rsidP="00610B59">
            <w:pPr>
              <w:pStyle w:val="Prrafodelista"/>
              <w:spacing w:after="0" w:line="240" w:lineRule="auto"/>
              <w:ind w:left="0"/>
              <w:jc w:val="right"/>
              <w:rPr>
                <w:rFonts w:ascii="Times New Roman" w:hAnsi="Times New Roman"/>
                <w:sz w:val="24"/>
                <w:szCs w:val="24"/>
              </w:rPr>
            </w:pPr>
            <w:r w:rsidRPr="00F050E3">
              <w:rPr>
                <w:rFonts w:ascii="Times New Roman" w:hAnsi="Times New Roman"/>
                <w:sz w:val="24"/>
                <w:szCs w:val="24"/>
              </w:rPr>
              <w:t>RD$3,410,153.60</w:t>
            </w:r>
          </w:p>
        </w:tc>
      </w:tr>
      <w:tr w:rsidR="00610B59" w:rsidRPr="00F050E3" w14:paraId="48CB2DDD" w14:textId="77777777" w:rsidTr="00610B59">
        <w:trPr>
          <w:jc w:val="right"/>
        </w:trPr>
        <w:tc>
          <w:tcPr>
            <w:tcW w:w="3681" w:type="dxa"/>
          </w:tcPr>
          <w:p w14:paraId="4A93635E" w14:textId="77777777" w:rsidR="00610B59" w:rsidRPr="00F050E3" w:rsidRDefault="00610B59" w:rsidP="00610B59">
            <w:pPr>
              <w:pStyle w:val="Prrafodelista"/>
              <w:spacing w:after="0" w:line="240" w:lineRule="auto"/>
              <w:ind w:left="0"/>
              <w:jc w:val="both"/>
              <w:rPr>
                <w:rFonts w:ascii="Times New Roman" w:hAnsi="Times New Roman"/>
                <w:sz w:val="24"/>
                <w:szCs w:val="24"/>
              </w:rPr>
            </w:pPr>
            <w:r w:rsidRPr="00F050E3">
              <w:rPr>
                <w:rFonts w:ascii="Times New Roman" w:hAnsi="Times New Roman"/>
                <w:sz w:val="24"/>
                <w:szCs w:val="24"/>
              </w:rPr>
              <w:t xml:space="preserve">Ayudas Económicas </w:t>
            </w:r>
          </w:p>
        </w:tc>
        <w:tc>
          <w:tcPr>
            <w:tcW w:w="1592" w:type="dxa"/>
          </w:tcPr>
          <w:p w14:paraId="1357E771" w14:textId="77777777" w:rsidR="00610B59" w:rsidRPr="00F050E3" w:rsidRDefault="00610B59" w:rsidP="00610B59">
            <w:pPr>
              <w:pStyle w:val="Prrafodelista"/>
              <w:spacing w:after="0" w:line="240" w:lineRule="auto"/>
              <w:ind w:left="0"/>
              <w:jc w:val="center"/>
              <w:rPr>
                <w:rFonts w:ascii="Times New Roman" w:hAnsi="Times New Roman"/>
                <w:sz w:val="24"/>
                <w:szCs w:val="24"/>
              </w:rPr>
            </w:pPr>
            <w:r w:rsidRPr="00F050E3">
              <w:rPr>
                <w:rFonts w:ascii="Times New Roman" w:hAnsi="Times New Roman"/>
                <w:sz w:val="24"/>
                <w:szCs w:val="24"/>
              </w:rPr>
              <w:t>11</w:t>
            </w:r>
          </w:p>
        </w:tc>
        <w:tc>
          <w:tcPr>
            <w:tcW w:w="1952" w:type="dxa"/>
          </w:tcPr>
          <w:p w14:paraId="2E5688CF" w14:textId="77777777" w:rsidR="00610B59" w:rsidRPr="00F050E3" w:rsidRDefault="00610B59" w:rsidP="00610B59">
            <w:pPr>
              <w:pStyle w:val="Prrafodelista"/>
              <w:spacing w:after="0" w:line="240" w:lineRule="auto"/>
              <w:ind w:left="0"/>
              <w:jc w:val="right"/>
              <w:rPr>
                <w:rFonts w:ascii="Times New Roman" w:hAnsi="Times New Roman"/>
                <w:sz w:val="24"/>
                <w:szCs w:val="24"/>
              </w:rPr>
            </w:pPr>
            <w:r w:rsidRPr="00F050E3">
              <w:rPr>
                <w:rFonts w:ascii="Times New Roman" w:hAnsi="Times New Roman"/>
                <w:sz w:val="24"/>
                <w:szCs w:val="24"/>
              </w:rPr>
              <w:t>RD$160,000.00</w:t>
            </w:r>
          </w:p>
        </w:tc>
      </w:tr>
      <w:tr w:rsidR="00610B59" w:rsidRPr="00F050E3" w14:paraId="7B03A7E0" w14:textId="77777777" w:rsidTr="00610B59">
        <w:trPr>
          <w:jc w:val="right"/>
        </w:trPr>
        <w:tc>
          <w:tcPr>
            <w:tcW w:w="3681" w:type="dxa"/>
          </w:tcPr>
          <w:p w14:paraId="35AB47C2" w14:textId="77777777" w:rsidR="00610B59" w:rsidRPr="00F050E3" w:rsidRDefault="00610B59" w:rsidP="00610B59">
            <w:pPr>
              <w:pStyle w:val="Prrafodelista"/>
              <w:spacing w:after="0" w:line="240" w:lineRule="auto"/>
              <w:ind w:left="0"/>
              <w:jc w:val="both"/>
              <w:rPr>
                <w:rFonts w:ascii="Times New Roman" w:hAnsi="Times New Roman"/>
                <w:sz w:val="24"/>
                <w:szCs w:val="24"/>
              </w:rPr>
            </w:pPr>
            <w:r w:rsidRPr="00F050E3">
              <w:rPr>
                <w:rFonts w:ascii="Times New Roman" w:hAnsi="Times New Roman"/>
                <w:sz w:val="24"/>
                <w:szCs w:val="24"/>
              </w:rPr>
              <w:t xml:space="preserve">Indemnización (Desvinculado) </w:t>
            </w:r>
          </w:p>
        </w:tc>
        <w:tc>
          <w:tcPr>
            <w:tcW w:w="1592" w:type="dxa"/>
          </w:tcPr>
          <w:p w14:paraId="06ECBA77" w14:textId="77777777" w:rsidR="00610B59" w:rsidRPr="00F050E3" w:rsidRDefault="00610B59" w:rsidP="00610B59">
            <w:pPr>
              <w:pStyle w:val="Prrafodelista"/>
              <w:spacing w:after="0" w:line="240" w:lineRule="auto"/>
              <w:ind w:left="0"/>
              <w:jc w:val="center"/>
              <w:rPr>
                <w:rFonts w:ascii="Times New Roman" w:hAnsi="Times New Roman"/>
                <w:sz w:val="24"/>
                <w:szCs w:val="24"/>
              </w:rPr>
            </w:pPr>
            <w:r w:rsidRPr="00F050E3">
              <w:rPr>
                <w:rFonts w:ascii="Times New Roman" w:hAnsi="Times New Roman"/>
                <w:sz w:val="24"/>
                <w:szCs w:val="24"/>
              </w:rPr>
              <w:t>2</w:t>
            </w:r>
          </w:p>
        </w:tc>
        <w:tc>
          <w:tcPr>
            <w:tcW w:w="1952" w:type="dxa"/>
          </w:tcPr>
          <w:p w14:paraId="42BA2AAB" w14:textId="77777777" w:rsidR="00610B59" w:rsidRPr="00F050E3" w:rsidRDefault="00610B59" w:rsidP="00610B59">
            <w:pPr>
              <w:pStyle w:val="Prrafodelista"/>
              <w:spacing w:after="0" w:line="240" w:lineRule="auto"/>
              <w:ind w:left="0"/>
              <w:jc w:val="right"/>
              <w:rPr>
                <w:rFonts w:ascii="Times New Roman" w:hAnsi="Times New Roman"/>
                <w:sz w:val="24"/>
                <w:szCs w:val="24"/>
              </w:rPr>
            </w:pPr>
            <w:r w:rsidRPr="00F050E3">
              <w:rPr>
                <w:rFonts w:ascii="Times New Roman" w:hAnsi="Times New Roman"/>
                <w:sz w:val="24"/>
                <w:szCs w:val="24"/>
              </w:rPr>
              <w:t>RD$162,092.10</w:t>
            </w:r>
          </w:p>
        </w:tc>
      </w:tr>
      <w:tr w:rsidR="00610B59" w:rsidRPr="00F050E3" w14:paraId="04EC196E" w14:textId="77777777" w:rsidTr="00610B59">
        <w:trPr>
          <w:jc w:val="right"/>
        </w:trPr>
        <w:tc>
          <w:tcPr>
            <w:tcW w:w="3681" w:type="dxa"/>
            <w:shd w:val="clear" w:color="auto" w:fill="808080" w:themeFill="background1" w:themeFillShade="80"/>
          </w:tcPr>
          <w:p w14:paraId="564C40B3" w14:textId="77777777" w:rsidR="00610B59" w:rsidRPr="00F050E3" w:rsidRDefault="00610B59" w:rsidP="00610B59">
            <w:pPr>
              <w:pStyle w:val="Prrafodelista"/>
              <w:spacing w:after="0" w:line="240" w:lineRule="auto"/>
              <w:ind w:left="0"/>
              <w:jc w:val="both"/>
              <w:rPr>
                <w:rFonts w:ascii="Times New Roman" w:hAnsi="Times New Roman"/>
                <w:color w:val="FFFFFF" w:themeColor="background1"/>
                <w:sz w:val="24"/>
                <w:szCs w:val="24"/>
              </w:rPr>
            </w:pPr>
            <w:r w:rsidRPr="00F050E3">
              <w:rPr>
                <w:rFonts w:ascii="Times New Roman" w:hAnsi="Times New Roman"/>
                <w:color w:val="FFFFFF" w:themeColor="background1"/>
                <w:sz w:val="24"/>
                <w:szCs w:val="24"/>
              </w:rPr>
              <w:t>Total</w:t>
            </w:r>
          </w:p>
        </w:tc>
        <w:tc>
          <w:tcPr>
            <w:tcW w:w="1592" w:type="dxa"/>
            <w:shd w:val="clear" w:color="auto" w:fill="808080" w:themeFill="background1" w:themeFillShade="80"/>
          </w:tcPr>
          <w:p w14:paraId="465AE479" w14:textId="77777777" w:rsidR="00610B59" w:rsidRPr="00F050E3" w:rsidRDefault="00610B59" w:rsidP="00610B59">
            <w:pPr>
              <w:pStyle w:val="Prrafodelista"/>
              <w:spacing w:after="0" w:line="240" w:lineRule="auto"/>
              <w:ind w:left="0"/>
              <w:jc w:val="center"/>
              <w:rPr>
                <w:rFonts w:ascii="Times New Roman" w:hAnsi="Times New Roman"/>
                <w:color w:val="FFFFFF" w:themeColor="background1"/>
                <w:sz w:val="24"/>
                <w:szCs w:val="24"/>
              </w:rPr>
            </w:pPr>
            <w:r w:rsidRPr="00F050E3">
              <w:rPr>
                <w:rFonts w:ascii="Times New Roman" w:hAnsi="Times New Roman"/>
                <w:color w:val="FFFFFF" w:themeColor="background1"/>
                <w:sz w:val="24"/>
                <w:szCs w:val="24"/>
              </w:rPr>
              <w:t>77</w:t>
            </w:r>
          </w:p>
        </w:tc>
        <w:tc>
          <w:tcPr>
            <w:tcW w:w="1952" w:type="dxa"/>
            <w:shd w:val="clear" w:color="auto" w:fill="808080" w:themeFill="background1" w:themeFillShade="80"/>
          </w:tcPr>
          <w:p w14:paraId="27FBE0CE" w14:textId="77777777" w:rsidR="00610B59" w:rsidRPr="00F050E3" w:rsidRDefault="00610B59" w:rsidP="00610B59">
            <w:pPr>
              <w:pStyle w:val="Prrafodelista"/>
              <w:spacing w:after="0" w:line="240" w:lineRule="auto"/>
              <w:ind w:left="0"/>
              <w:jc w:val="right"/>
              <w:rPr>
                <w:rFonts w:ascii="Times New Roman" w:hAnsi="Times New Roman"/>
                <w:color w:val="FFFFFF" w:themeColor="background1"/>
                <w:sz w:val="24"/>
                <w:szCs w:val="24"/>
              </w:rPr>
            </w:pPr>
            <w:r w:rsidRPr="00F050E3">
              <w:rPr>
                <w:rFonts w:ascii="Times New Roman" w:hAnsi="Times New Roman"/>
                <w:color w:val="FFFFFF" w:themeColor="background1"/>
                <w:sz w:val="24"/>
                <w:szCs w:val="24"/>
              </w:rPr>
              <w:t>RD$3,732,245.7</w:t>
            </w:r>
          </w:p>
        </w:tc>
      </w:tr>
    </w:tbl>
    <w:p w14:paraId="1219B437" w14:textId="77777777" w:rsidR="00610B59" w:rsidRPr="00F050E3" w:rsidRDefault="00610B59" w:rsidP="00610B59">
      <w:pPr>
        <w:spacing w:after="0" w:line="480" w:lineRule="auto"/>
        <w:rPr>
          <w:rFonts w:ascii="Times New Roman" w:hAnsi="Times New Roman"/>
        </w:rPr>
      </w:pPr>
    </w:p>
    <w:p w14:paraId="3B81990D" w14:textId="77777777" w:rsidR="00646828" w:rsidRPr="00F050E3" w:rsidRDefault="00646828" w:rsidP="00646828">
      <w:pPr>
        <w:pStyle w:val="Prrafodelista"/>
        <w:spacing w:after="0" w:line="480" w:lineRule="auto"/>
        <w:ind w:left="0" w:firstLine="720"/>
        <w:jc w:val="both"/>
        <w:rPr>
          <w:rFonts w:ascii="Times New Roman" w:hAnsi="Times New Roman"/>
          <w:b/>
          <w:sz w:val="28"/>
        </w:rPr>
      </w:pPr>
      <w:r w:rsidRPr="00F050E3">
        <w:rPr>
          <w:rFonts w:ascii="Times New Roman" w:hAnsi="Times New Roman"/>
          <w:b/>
          <w:sz w:val="28"/>
        </w:rPr>
        <w:t>Taller de relaciones laborales</w:t>
      </w:r>
    </w:p>
    <w:p w14:paraId="75D9653B" w14:textId="7777777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t>El personal llamado a realizar el proceso recibió la formación de lugar para tales fines, durante el mes de marzo se realizó dicho Taller en coordinación con el Ministerio de Administración Pública, para actualizar metodologías, conocimientos y compartir experiencias.</w:t>
      </w:r>
    </w:p>
    <w:p w14:paraId="300D7CA6" w14:textId="77777777" w:rsidR="00646828" w:rsidRPr="00F050E3" w:rsidRDefault="00646828" w:rsidP="00646828">
      <w:pPr>
        <w:spacing w:after="0" w:line="480" w:lineRule="auto"/>
        <w:rPr>
          <w:rFonts w:ascii="Times New Roman" w:hAnsi="Times New Roman"/>
        </w:rPr>
      </w:pPr>
    </w:p>
    <w:p w14:paraId="1073BBA8" w14:textId="77777777" w:rsidR="00646828" w:rsidRPr="00F050E3" w:rsidRDefault="00646828" w:rsidP="00646828">
      <w:pPr>
        <w:pStyle w:val="Prrafodelista"/>
        <w:spacing w:after="0" w:line="480" w:lineRule="auto"/>
        <w:ind w:left="0" w:firstLine="720"/>
        <w:jc w:val="both"/>
        <w:rPr>
          <w:rFonts w:ascii="Times New Roman" w:hAnsi="Times New Roman"/>
          <w:b/>
          <w:sz w:val="28"/>
        </w:rPr>
      </w:pPr>
      <w:bookmarkStart w:id="354" w:name="_Toc440036755"/>
      <w:r w:rsidRPr="00F050E3">
        <w:rPr>
          <w:rFonts w:ascii="Times New Roman" w:hAnsi="Times New Roman"/>
          <w:b/>
          <w:sz w:val="28"/>
        </w:rPr>
        <w:t xml:space="preserve">Subsistema de seguridad, salud </w:t>
      </w:r>
      <w:bookmarkEnd w:id="354"/>
      <w:r w:rsidRPr="00F050E3">
        <w:rPr>
          <w:rFonts w:ascii="Times New Roman" w:hAnsi="Times New Roman"/>
          <w:b/>
          <w:sz w:val="28"/>
        </w:rPr>
        <w:t>ocupacional y Riesgo Laboral</w:t>
      </w:r>
    </w:p>
    <w:p w14:paraId="42F2DD38" w14:textId="7777777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t xml:space="preserve">El Ministerio de Administración Pública mediante Resolución no. 113-2011 del 19 de noviembre 2011, creó el subsistema de Seguridad y Salud en el Trabajo (SISTAP) con el propósito de establecer actividades que garanticen condiciones de salud. En ese sentido, cabe señalar que este Ministerio ya tenía la estructura conformada, representada por una Unidad Médica, conformada por 23 personas, dentro de éstos operan catorce (14) profesionales de la salud. </w:t>
      </w:r>
    </w:p>
    <w:p w14:paraId="7A1D883B" w14:textId="77777777" w:rsidR="00646828" w:rsidRPr="00F050E3" w:rsidRDefault="00646828" w:rsidP="00646828">
      <w:pPr>
        <w:spacing w:after="0" w:line="480" w:lineRule="auto"/>
        <w:ind w:firstLine="720"/>
        <w:jc w:val="both"/>
        <w:rPr>
          <w:rFonts w:ascii="Times New Roman" w:hAnsi="Times New Roman"/>
        </w:rPr>
      </w:pPr>
    </w:p>
    <w:p w14:paraId="5A0025EF" w14:textId="7777777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t>En la actualidad, este Ministerio se encuentra en la fase de realizar un diagnóstico el cual permitirá:</w:t>
      </w:r>
    </w:p>
    <w:p w14:paraId="52BC2E3F" w14:textId="77777777" w:rsidR="00646828" w:rsidRPr="00F050E3" w:rsidRDefault="00646828" w:rsidP="001C6B1A">
      <w:pPr>
        <w:pStyle w:val="Prrafodelista"/>
        <w:numPr>
          <w:ilvl w:val="0"/>
          <w:numId w:val="17"/>
        </w:numPr>
        <w:spacing w:after="0" w:line="480" w:lineRule="auto"/>
        <w:jc w:val="both"/>
        <w:rPr>
          <w:rFonts w:ascii="Times New Roman" w:hAnsi="Times New Roman"/>
          <w:sz w:val="24"/>
          <w:szCs w:val="24"/>
        </w:rPr>
      </w:pPr>
      <w:r w:rsidRPr="00F050E3">
        <w:rPr>
          <w:rFonts w:ascii="Times New Roman" w:hAnsi="Times New Roman"/>
          <w:sz w:val="24"/>
          <w:szCs w:val="24"/>
        </w:rPr>
        <w:t>Identificar los peligros existentes en las áreas</w:t>
      </w:r>
    </w:p>
    <w:p w14:paraId="1846FA5C" w14:textId="77777777" w:rsidR="00646828" w:rsidRPr="00F050E3" w:rsidRDefault="00646828" w:rsidP="001C6B1A">
      <w:pPr>
        <w:pStyle w:val="Prrafodelista"/>
        <w:numPr>
          <w:ilvl w:val="0"/>
          <w:numId w:val="17"/>
        </w:numPr>
        <w:spacing w:after="0" w:line="480" w:lineRule="auto"/>
        <w:jc w:val="both"/>
        <w:rPr>
          <w:rFonts w:ascii="Times New Roman" w:hAnsi="Times New Roman"/>
          <w:sz w:val="24"/>
          <w:szCs w:val="24"/>
        </w:rPr>
      </w:pPr>
      <w:r w:rsidRPr="00F050E3">
        <w:rPr>
          <w:rFonts w:ascii="Times New Roman" w:hAnsi="Times New Roman"/>
          <w:sz w:val="24"/>
          <w:szCs w:val="24"/>
        </w:rPr>
        <w:lastRenderedPageBreak/>
        <w:t>Evaluar los Riesgos</w:t>
      </w:r>
    </w:p>
    <w:p w14:paraId="75FF5C3B" w14:textId="77777777" w:rsidR="00646828" w:rsidRPr="00F050E3" w:rsidRDefault="00646828" w:rsidP="001C6B1A">
      <w:pPr>
        <w:pStyle w:val="Prrafodelista"/>
        <w:numPr>
          <w:ilvl w:val="0"/>
          <w:numId w:val="17"/>
        </w:numPr>
        <w:spacing w:after="0" w:line="480" w:lineRule="auto"/>
        <w:jc w:val="both"/>
        <w:rPr>
          <w:rFonts w:ascii="Times New Roman" w:hAnsi="Times New Roman"/>
          <w:sz w:val="24"/>
          <w:szCs w:val="24"/>
        </w:rPr>
      </w:pPr>
      <w:r w:rsidRPr="00F050E3">
        <w:rPr>
          <w:rFonts w:ascii="Times New Roman" w:hAnsi="Times New Roman"/>
          <w:sz w:val="24"/>
          <w:szCs w:val="24"/>
        </w:rPr>
        <w:t>Revisar los procedimientos existentes</w:t>
      </w:r>
    </w:p>
    <w:p w14:paraId="60824834" w14:textId="77777777" w:rsidR="00646828" w:rsidRPr="00F050E3" w:rsidRDefault="00646828" w:rsidP="001C6B1A">
      <w:pPr>
        <w:pStyle w:val="Prrafodelista"/>
        <w:numPr>
          <w:ilvl w:val="0"/>
          <w:numId w:val="17"/>
        </w:numPr>
        <w:spacing w:after="0" w:line="480" w:lineRule="auto"/>
        <w:jc w:val="both"/>
        <w:rPr>
          <w:rFonts w:ascii="Times New Roman" w:hAnsi="Times New Roman"/>
          <w:sz w:val="24"/>
          <w:szCs w:val="24"/>
        </w:rPr>
      </w:pPr>
      <w:r w:rsidRPr="00F050E3">
        <w:rPr>
          <w:rFonts w:ascii="Times New Roman" w:hAnsi="Times New Roman"/>
          <w:sz w:val="24"/>
          <w:szCs w:val="24"/>
        </w:rPr>
        <w:t>Identificar los puntos débiles y fuertes del ministerio.</w:t>
      </w:r>
    </w:p>
    <w:p w14:paraId="3BFCCD4F" w14:textId="77777777" w:rsidR="00610B59" w:rsidRPr="00F050E3" w:rsidRDefault="00610B59" w:rsidP="00610B59"/>
    <w:p w14:paraId="09A957E6" w14:textId="77777777" w:rsidR="00610B59" w:rsidRPr="002F0F07" w:rsidRDefault="00610B59" w:rsidP="00610B59">
      <w:pPr>
        <w:rPr>
          <w:rFonts w:ascii="Times New Roman" w:hAnsi="Times New Roman"/>
          <w:b/>
          <w:sz w:val="28"/>
          <w:szCs w:val="28"/>
        </w:rPr>
      </w:pPr>
      <w:r w:rsidRPr="002F0F07">
        <w:rPr>
          <w:rFonts w:ascii="Times New Roman" w:hAnsi="Times New Roman"/>
          <w:b/>
          <w:sz w:val="28"/>
          <w:szCs w:val="28"/>
        </w:rPr>
        <w:t>Salud Ocupacional</w:t>
      </w:r>
    </w:p>
    <w:p w14:paraId="409DCCD9" w14:textId="77777777" w:rsidR="00610B59" w:rsidRPr="00F050E3" w:rsidRDefault="00610B59" w:rsidP="00610B59">
      <w:pPr>
        <w:spacing w:after="0" w:line="480" w:lineRule="auto"/>
        <w:ind w:firstLine="720"/>
        <w:jc w:val="both"/>
        <w:rPr>
          <w:rFonts w:ascii="Times New Roman" w:hAnsi="Times New Roman"/>
        </w:rPr>
      </w:pPr>
      <w:r w:rsidRPr="00F050E3">
        <w:rPr>
          <w:rFonts w:ascii="Times New Roman" w:hAnsi="Times New Roman"/>
        </w:rPr>
        <w:t>Mediante la Resolución no. RES-MA-2019-48, se estableció de manera formal el Comité Mixto de Gestión de Riesgo, Seguridad y Salud, este comité tiene como propósito ejecutar políticas, planes, programas, proyectos y acciones referentes a la gestión de riesgo, seguridad y salud, que contribuya a la prevención de riesgos y desastres de las personas. Asimismo, se ocupará de alcanzar la socialización y empoderamiento de estas acciones para mitigar los efectos de inseguridad y salud.</w:t>
      </w:r>
    </w:p>
    <w:p w14:paraId="6C5D2F0B" w14:textId="77777777" w:rsidR="00610B59" w:rsidRPr="00F050E3" w:rsidRDefault="00610B59" w:rsidP="00610B59">
      <w:pPr>
        <w:spacing w:line="480" w:lineRule="auto"/>
        <w:ind w:firstLine="708"/>
        <w:jc w:val="both"/>
        <w:rPr>
          <w:rFonts w:ascii="Times New Roman" w:hAnsi="Times New Roman"/>
        </w:rPr>
      </w:pPr>
    </w:p>
    <w:p w14:paraId="00C886D0" w14:textId="77777777" w:rsidR="00610B59" w:rsidRPr="00F050E3" w:rsidRDefault="00610B59" w:rsidP="00610B59">
      <w:pPr>
        <w:spacing w:after="0" w:line="480" w:lineRule="auto"/>
        <w:ind w:firstLine="720"/>
        <w:jc w:val="both"/>
        <w:rPr>
          <w:rFonts w:ascii="Times New Roman" w:hAnsi="Times New Roman"/>
        </w:rPr>
      </w:pPr>
      <w:r w:rsidRPr="00F050E3">
        <w:rPr>
          <w:rFonts w:ascii="Times New Roman" w:hAnsi="Times New Roman"/>
        </w:rPr>
        <w:t xml:space="preserve">Actualmente, el Ministerio está en proceso de crear subcomités regionales en función a lo establecido mediante Resolución 113/2011 y el Art.6.5 del Reglamento 522-06, sobre Seguridad y Salud en el Trabajo. </w:t>
      </w:r>
    </w:p>
    <w:p w14:paraId="05142A5D" w14:textId="77777777" w:rsidR="00F050E3" w:rsidRPr="00F050E3" w:rsidRDefault="00F050E3" w:rsidP="00610B59">
      <w:pPr>
        <w:spacing w:after="0" w:line="480" w:lineRule="auto"/>
        <w:ind w:firstLine="720"/>
        <w:jc w:val="both"/>
        <w:rPr>
          <w:rFonts w:ascii="Times New Roman" w:hAnsi="Times New Roman"/>
        </w:rPr>
      </w:pPr>
    </w:p>
    <w:p w14:paraId="27E89535" w14:textId="77777777" w:rsidR="00610B59" w:rsidRPr="00F050E3" w:rsidRDefault="00610B59" w:rsidP="00610B59">
      <w:pPr>
        <w:spacing w:after="0" w:line="480" w:lineRule="auto"/>
        <w:ind w:firstLine="720"/>
        <w:jc w:val="both"/>
        <w:rPr>
          <w:rFonts w:ascii="Times New Roman" w:hAnsi="Times New Roman"/>
        </w:rPr>
      </w:pPr>
      <w:r w:rsidRPr="00F050E3">
        <w:rPr>
          <w:rFonts w:ascii="Times New Roman" w:hAnsi="Times New Roman"/>
        </w:rPr>
        <w:t xml:space="preserve">Como parte integral, dicho Comité posee una Unidad médica compuesta por profesionales y técnicos de las diferentes áreas, que atendiendo a los requerimientos de los servidores de la Institución procedieron a brindar los siguientes servicios: </w:t>
      </w:r>
    </w:p>
    <w:p w14:paraId="0118EE01" w14:textId="77777777" w:rsidR="00646828" w:rsidRPr="00F050E3" w:rsidRDefault="00646828" w:rsidP="00610B59">
      <w:pPr>
        <w:spacing w:after="0" w:line="480" w:lineRule="auto"/>
        <w:ind w:firstLine="720"/>
        <w:jc w:val="both"/>
        <w:rPr>
          <w:rFonts w:ascii="Times New Roman" w:hAnsi="Times New Roman"/>
        </w:rPr>
      </w:pPr>
    </w:p>
    <w:p w14:paraId="346F3A30" w14:textId="7777777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lastRenderedPageBreak/>
        <w:t>Durante el periodo enero-octubre 2019, se han registrado en la Unidad Médica:</w:t>
      </w:r>
    </w:p>
    <w:p w14:paraId="2A180228" w14:textId="77777777" w:rsidR="00646828" w:rsidRPr="00F050E3" w:rsidRDefault="00646828" w:rsidP="00646828">
      <w:pPr>
        <w:spacing w:after="0" w:line="480" w:lineRule="auto"/>
        <w:ind w:firstLine="720"/>
        <w:jc w:val="both"/>
        <w:rPr>
          <w:rFonts w:ascii="Times New Roman" w:hAnsi="Times New Roman"/>
        </w:rPr>
      </w:pPr>
    </w:p>
    <w:p w14:paraId="761778C7" w14:textId="77777777" w:rsidR="00646828" w:rsidRPr="00F050E3" w:rsidRDefault="00646828" w:rsidP="001C6B1A">
      <w:pPr>
        <w:pStyle w:val="Prrafodelista"/>
        <w:numPr>
          <w:ilvl w:val="0"/>
          <w:numId w:val="9"/>
        </w:numPr>
        <w:spacing w:after="0" w:line="240" w:lineRule="auto"/>
        <w:ind w:left="567" w:hanging="567"/>
        <w:rPr>
          <w:rFonts w:ascii="Times New Roman" w:hAnsi="Times New Roman"/>
          <w:b/>
          <w:sz w:val="24"/>
          <w:szCs w:val="24"/>
          <w:lang w:val="es-ES_tradnl"/>
        </w:rPr>
      </w:pPr>
      <w:r w:rsidRPr="00F050E3">
        <w:rPr>
          <w:rFonts w:ascii="Times New Roman" w:hAnsi="Times New Roman"/>
          <w:b/>
          <w:sz w:val="24"/>
          <w:szCs w:val="24"/>
          <w:lang w:val="es-ES_tradnl"/>
        </w:rPr>
        <w:t>Actividades realizadas de consulta médica y psicológica</w:t>
      </w:r>
    </w:p>
    <w:p w14:paraId="7D817458" w14:textId="77777777" w:rsidR="00646828" w:rsidRPr="00F050E3" w:rsidRDefault="00646828" w:rsidP="00646828">
      <w:pPr>
        <w:pStyle w:val="Prrafodelista"/>
        <w:spacing w:after="0" w:line="240" w:lineRule="auto"/>
        <w:ind w:left="567"/>
        <w:rPr>
          <w:rFonts w:ascii="Times New Roman" w:hAnsi="Times New Roman"/>
          <w:b/>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419"/>
        <w:gridCol w:w="1230"/>
        <w:gridCol w:w="1363"/>
      </w:tblGrid>
      <w:tr w:rsidR="00646828" w:rsidRPr="00F050E3" w14:paraId="3B0CDC9A" w14:textId="77777777" w:rsidTr="008354C5">
        <w:trPr>
          <w:jc w:val="center"/>
        </w:trPr>
        <w:tc>
          <w:tcPr>
            <w:tcW w:w="2405" w:type="dxa"/>
            <w:vMerge w:val="restart"/>
            <w:shd w:val="clear" w:color="auto" w:fill="00B050"/>
          </w:tcPr>
          <w:p w14:paraId="6A595AEA" w14:textId="77777777" w:rsidR="00646828" w:rsidRPr="00F050E3" w:rsidRDefault="00646828" w:rsidP="008354C5">
            <w:pPr>
              <w:spacing w:after="0"/>
              <w:jc w:val="center"/>
              <w:rPr>
                <w:rFonts w:ascii="Times New Roman" w:hAnsi="Times New Roman"/>
                <w:b/>
                <w:color w:val="FFFFFF" w:themeColor="background1"/>
                <w:lang w:val="es-ES_tradnl"/>
              </w:rPr>
            </w:pPr>
            <w:r w:rsidRPr="00F050E3">
              <w:rPr>
                <w:rFonts w:ascii="Times New Roman" w:hAnsi="Times New Roman"/>
                <w:b/>
                <w:color w:val="FFFFFF" w:themeColor="background1"/>
                <w:lang w:eastAsia="es-DO"/>
              </w:rPr>
              <w:t>Consulta Unidad Médica</w:t>
            </w:r>
          </w:p>
        </w:tc>
        <w:tc>
          <w:tcPr>
            <w:tcW w:w="2649" w:type="dxa"/>
            <w:gridSpan w:val="2"/>
            <w:shd w:val="clear" w:color="auto" w:fill="00B050"/>
            <w:vAlign w:val="center"/>
          </w:tcPr>
          <w:p w14:paraId="0101A219" w14:textId="77777777" w:rsidR="00646828" w:rsidRPr="00F050E3" w:rsidRDefault="00646828" w:rsidP="008354C5">
            <w:pPr>
              <w:spacing w:after="0"/>
              <w:jc w:val="center"/>
              <w:rPr>
                <w:rFonts w:ascii="Times New Roman" w:hAnsi="Times New Roman"/>
                <w:b/>
                <w:color w:val="FFFFFF" w:themeColor="background1"/>
                <w:lang w:eastAsia="es-DO"/>
              </w:rPr>
            </w:pPr>
            <w:r w:rsidRPr="00F050E3">
              <w:rPr>
                <w:rFonts w:ascii="Times New Roman" w:hAnsi="Times New Roman"/>
                <w:b/>
                <w:color w:val="FFFFFF" w:themeColor="background1"/>
                <w:lang w:eastAsia="es-DO"/>
              </w:rPr>
              <w:t>Género</w:t>
            </w:r>
          </w:p>
        </w:tc>
        <w:tc>
          <w:tcPr>
            <w:tcW w:w="1363" w:type="dxa"/>
            <w:vMerge w:val="restart"/>
            <w:shd w:val="clear" w:color="auto" w:fill="00B050"/>
          </w:tcPr>
          <w:p w14:paraId="36B43974" w14:textId="77777777" w:rsidR="00646828" w:rsidRPr="00F050E3" w:rsidRDefault="00646828" w:rsidP="008354C5">
            <w:pPr>
              <w:spacing w:after="0"/>
              <w:jc w:val="center"/>
              <w:rPr>
                <w:rFonts w:ascii="Times New Roman" w:hAnsi="Times New Roman"/>
                <w:b/>
                <w:color w:val="FFFFFF" w:themeColor="background1"/>
                <w:lang w:val="es-ES_tradnl"/>
              </w:rPr>
            </w:pPr>
            <w:r w:rsidRPr="00F050E3">
              <w:rPr>
                <w:rFonts w:ascii="Times New Roman" w:hAnsi="Times New Roman"/>
                <w:b/>
                <w:color w:val="FFFFFF" w:themeColor="background1"/>
                <w:lang w:eastAsia="es-DO"/>
              </w:rPr>
              <w:t>Evaluación General</w:t>
            </w:r>
          </w:p>
        </w:tc>
      </w:tr>
      <w:tr w:rsidR="00646828" w:rsidRPr="00F050E3" w14:paraId="74EFD60F" w14:textId="77777777" w:rsidTr="008354C5">
        <w:trPr>
          <w:jc w:val="center"/>
        </w:trPr>
        <w:tc>
          <w:tcPr>
            <w:tcW w:w="2405" w:type="dxa"/>
            <w:vMerge/>
            <w:shd w:val="clear" w:color="auto" w:fill="DBE5F1" w:themeFill="accent1" w:themeFillTint="33"/>
          </w:tcPr>
          <w:p w14:paraId="7777CD7E" w14:textId="77777777" w:rsidR="00646828" w:rsidRPr="00F050E3" w:rsidRDefault="00646828" w:rsidP="008354C5">
            <w:pPr>
              <w:spacing w:after="0" w:line="480" w:lineRule="auto"/>
              <w:jc w:val="center"/>
              <w:rPr>
                <w:rFonts w:ascii="Times New Roman" w:hAnsi="Times New Roman"/>
                <w:lang w:val="es-ES_tradnl"/>
              </w:rPr>
            </w:pPr>
          </w:p>
        </w:tc>
        <w:tc>
          <w:tcPr>
            <w:tcW w:w="1419" w:type="dxa"/>
            <w:shd w:val="clear" w:color="auto" w:fill="00B050"/>
            <w:vAlign w:val="center"/>
          </w:tcPr>
          <w:p w14:paraId="4A135AE7" w14:textId="77777777" w:rsidR="00646828" w:rsidRPr="00F050E3" w:rsidRDefault="00646828" w:rsidP="008354C5">
            <w:pPr>
              <w:spacing w:after="0"/>
              <w:jc w:val="center"/>
              <w:rPr>
                <w:rFonts w:ascii="Times New Roman" w:hAnsi="Times New Roman"/>
                <w:b/>
                <w:color w:val="FFFFFF" w:themeColor="background1"/>
                <w:lang w:eastAsia="es-DO"/>
              </w:rPr>
            </w:pPr>
            <w:r w:rsidRPr="00F050E3">
              <w:rPr>
                <w:rFonts w:ascii="Times New Roman" w:hAnsi="Times New Roman"/>
                <w:b/>
                <w:color w:val="FFFFFF" w:themeColor="background1"/>
                <w:lang w:eastAsia="es-DO"/>
              </w:rPr>
              <w:t>Masculino</w:t>
            </w:r>
          </w:p>
        </w:tc>
        <w:tc>
          <w:tcPr>
            <w:tcW w:w="1230" w:type="dxa"/>
            <w:shd w:val="clear" w:color="auto" w:fill="00B050"/>
            <w:vAlign w:val="center"/>
          </w:tcPr>
          <w:p w14:paraId="63931AC5" w14:textId="77777777" w:rsidR="00646828" w:rsidRPr="00F050E3" w:rsidRDefault="00646828" w:rsidP="008354C5">
            <w:pPr>
              <w:spacing w:after="0"/>
              <w:jc w:val="center"/>
              <w:rPr>
                <w:rFonts w:ascii="Times New Roman" w:hAnsi="Times New Roman"/>
                <w:b/>
                <w:color w:val="FFFFFF" w:themeColor="background1"/>
                <w:lang w:eastAsia="es-DO"/>
              </w:rPr>
            </w:pPr>
            <w:r w:rsidRPr="00F050E3">
              <w:rPr>
                <w:rFonts w:ascii="Times New Roman" w:hAnsi="Times New Roman"/>
                <w:b/>
                <w:color w:val="FFFFFF" w:themeColor="background1"/>
                <w:lang w:eastAsia="es-DO"/>
              </w:rPr>
              <w:t>Femenino</w:t>
            </w:r>
          </w:p>
        </w:tc>
        <w:tc>
          <w:tcPr>
            <w:tcW w:w="1363" w:type="dxa"/>
            <w:vMerge/>
            <w:shd w:val="clear" w:color="auto" w:fill="DBE5F1" w:themeFill="accent1" w:themeFillTint="33"/>
          </w:tcPr>
          <w:p w14:paraId="1D76E304" w14:textId="77777777" w:rsidR="00646828" w:rsidRPr="00F050E3" w:rsidRDefault="00646828" w:rsidP="008354C5">
            <w:pPr>
              <w:spacing w:after="0" w:line="480" w:lineRule="auto"/>
              <w:jc w:val="both"/>
              <w:rPr>
                <w:rFonts w:ascii="Times New Roman" w:hAnsi="Times New Roman"/>
                <w:lang w:val="es-ES_tradnl"/>
              </w:rPr>
            </w:pPr>
          </w:p>
        </w:tc>
      </w:tr>
      <w:tr w:rsidR="00646828" w:rsidRPr="00F050E3" w14:paraId="3DA65FB3" w14:textId="77777777" w:rsidTr="008354C5">
        <w:trPr>
          <w:jc w:val="center"/>
        </w:trPr>
        <w:tc>
          <w:tcPr>
            <w:tcW w:w="2405" w:type="dxa"/>
            <w:vAlign w:val="center"/>
          </w:tcPr>
          <w:p w14:paraId="2FF3F3D6" w14:textId="77777777" w:rsidR="00646828" w:rsidRPr="00F050E3" w:rsidRDefault="00646828" w:rsidP="008354C5">
            <w:pPr>
              <w:spacing w:after="0"/>
              <w:rPr>
                <w:rFonts w:ascii="Times New Roman" w:hAnsi="Times New Roman"/>
                <w:lang w:eastAsia="es-DO"/>
              </w:rPr>
            </w:pPr>
            <w:r w:rsidRPr="00F050E3">
              <w:rPr>
                <w:rFonts w:ascii="Times New Roman" w:hAnsi="Times New Roman"/>
                <w:lang w:eastAsia="es-DO"/>
              </w:rPr>
              <w:t xml:space="preserve">Consulta General </w:t>
            </w:r>
          </w:p>
        </w:tc>
        <w:tc>
          <w:tcPr>
            <w:tcW w:w="1419" w:type="dxa"/>
            <w:vAlign w:val="center"/>
          </w:tcPr>
          <w:p w14:paraId="3CDE3248" w14:textId="77777777" w:rsidR="00646828" w:rsidRPr="00F050E3" w:rsidRDefault="00646828" w:rsidP="008354C5">
            <w:pPr>
              <w:spacing w:after="0"/>
              <w:jc w:val="center"/>
              <w:rPr>
                <w:rFonts w:ascii="Times New Roman" w:hAnsi="Times New Roman"/>
                <w:lang w:eastAsia="es-DO"/>
              </w:rPr>
            </w:pPr>
            <w:r w:rsidRPr="00F050E3">
              <w:rPr>
                <w:rFonts w:ascii="Times New Roman" w:hAnsi="Times New Roman"/>
                <w:lang w:eastAsia="es-DO"/>
              </w:rPr>
              <w:t>930</w:t>
            </w:r>
          </w:p>
        </w:tc>
        <w:tc>
          <w:tcPr>
            <w:tcW w:w="1230" w:type="dxa"/>
            <w:vAlign w:val="center"/>
          </w:tcPr>
          <w:p w14:paraId="333BD052" w14:textId="77777777" w:rsidR="00646828" w:rsidRPr="00F050E3" w:rsidRDefault="00646828" w:rsidP="008354C5">
            <w:pPr>
              <w:spacing w:after="0"/>
              <w:jc w:val="center"/>
              <w:rPr>
                <w:rFonts w:ascii="Times New Roman" w:hAnsi="Times New Roman"/>
                <w:lang w:eastAsia="es-DO"/>
              </w:rPr>
            </w:pPr>
            <w:r w:rsidRPr="00F050E3">
              <w:rPr>
                <w:rFonts w:ascii="Times New Roman" w:hAnsi="Times New Roman"/>
                <w:lang w:eastAsia="es-DO"/>
              </w:rPr>
              <w:t>1,050</w:t>
            </w:r>
          </w:p>
        </w:tc>
        <w:tc>
          <w:tcPr>
            <w:tcW w:w="1363" w:type="dxa"/>
            <w:vAlign w:val="center"/>
          </w:tcPr>
          <w:p w14:paraId="18B39D4D" w14:textId="77777777" w:rsidR="00646828" w:rsidRPr="00F050E3" w:rsidRDefault="00646828" w:rsidP="008354C5">
            <w:pPr>
              <w:spacing w:after="0"/>
              <w:jc w:val="center"/>
              <w:rPr>
                <w:rFonts w:ascii="Times New Roman" w:hAnsi="Times New Roman"/>
                <w:lang w:eastAsia="es-DO"/>
              </w:rPr>
            </w:pPr>
            <w:r w:rsidRPr="00F050E3">
              <w:rPr>
                <w:rFonts w:ascii="Times New Roman" w:hAnsi="Times New Roman"/>
                <w:lang w:eastAsia="es-DO"/>
              </w:rPr>
              <w:t>1,980</w:t>
            </w:r>
          </w:p>
        </w:tc>
      </w:tr>
      <w:tr w:rsidR="00646828" w:rsidRPr="00F050E3" w14:paraId="6FD294CF" w14:textId="77777777" w:rsidTr="008354C5">
        <w:trPr>
          <w:jc w:val="center"/>
        </w:trPr>
        <w:tc>
          <w:tcPr>
            <w:tcW w:w="2405" w:type="dxa"/>
            <w:vAlign w:val="center"/>
          </w:tcPr>
          <w:p w14:paraId="32B22FDE" w14:textId="77777777" w:rsidR="00646828" w:rsidRPr="00F050E3" w:rsidRDefault="00646828" w:rsidP="008354C5">
            <w:pPr>
              <w:spacing w:after="0"/>
              <w:rPr>
                <w:rFonts w:ascii="Times New Roman" w:hAnsi="Times New Roman"/>
                <w:lang w:eastAsia="es-DO"/>
              </w:rPr>
            </w:pPr>
            <w:r w:rsidRPr="00F050E3">
              <w:rPr>
                <w:rFonts w:ascii="Times New Roman" w:hAnsi="Times New Roman"/>
                <w:lang w:eastAsia="es-DO"/>
              </w:rPr>
              <w:t xml:space="preserve">Psicología </w:t>
            </w:r>
          </w:p>
        </w:tc>
        <w:tc>
          <w:tcPr>
            <w:tcW w:w="1419" w:type="dxa"/>
            <w:vAlign w:val="center"/>
          </w:tcPr>
          <w:p w14:paraId="78E32951" w14:textId="77777777" w:rsidR="00646828" w:rsidRPr="00F050E3" w:rsidRDefault="00646828" w:rsidP="008354C5">
            <w:pPr>
              <w:spacing w:after="0"/>
              <w:jc w:val="center"/>
              <w:rPr>
                <w:rFonts w:ascii="Times New Roman" w:hAnsi="Times New Roman"/>
                <w:lang w:eastAsia="es-DO"/>
              </w:rPr>
            </w:pPr>
            <w:r w:rsidRPr="00F050E3">
              <w:rPr>
                <w:rFonts w:ascii="Times New Roman" w:hAnsi="Times New Roman"/>
                <w:lang w:eastAsia="es-DO"/>
              </w:rPr>
              <w:t>55</w:t>
            </w:r>
          </w:p>
        </w:tc>
        <w:tc>
          <w:tcPr>
            <w:tcW w:w="1230" w:type="dxa"/>
            <w:vAlign w:val="center"/>
          </w:tcPr>
          <w:p w14:paraId="3DB5082E" w14:textId="77777777" w:rsidR="00646828" w:rsidRPr="00F050E3" w:rsidRDefault="00646828" w:rsidP="008354C5">
            <w:pPr>
              <w:spacing w:after="0"/>
              <w:jc w:val="center"/>
              <w:rPr>
                <w:rFonts w:ascii="Times New Roman" w:hAnsi="Times New Roman"/>
                <w:lang w:eastAsia="es-DO"/>
              </w:rPr>
            </w:pPr>
            <w:r w:rsidRPr="00F050E3">
              <w:rPr>
                <w:rFonts w:ascii="Times New Roman" w:hAnsi="Times New Roman"/>
                <w:lang w:eastAsia="es-DO"/>
              </w:rPr>
              <w:t>106</w:t>
            </w:r>
          </w:p>
        </w:tc>
        <w:tc>
          <w:tcPr>
            <w:tcW w:w="1363" w:type="dxa"/>
            <w:vAlign w:val="center"/>
          </w:tcPr>
          <w:p w14:paraId="65079B02" w14:textId="77777777" w:rsidR="00646828" w:rsidRPr="00F050E3" w:rsidRDefault="00646828" w:rsidP="008354C5">
            <w:pPr>
              <w:spacing w:after="0"/>
              <w:jc w:val="center"/>
              <w:rPr>
                <w:rFonts w:ascii="Times New Roman" w:hAnsi="Times New Roman"/>
                <w:lang w:eastAsia="es-DO"/>
              </w:rPr>
            </w:pPr>
            <w:r w:rsidRPr="00F050E3">
              <w:rPr>
                <w:rFonts w:ascii="Times New Roman" w:hAnsi="Times New Roman"/>
                <w:lang w:eastAsia="es-DO"/>
              </w:rPr>
              <w:t>161</w:t>
            </w:r>
          </w:p>
        </w:tc>
      </w:tr>
      <w:tr w:rsidR="00646828" w:rsidRPr="00F050E3" w14:paraId="0B3CFE54" w14:textId="77777777" w:rsidTr="008354C5">
        <w:trPr>
          <w:jc w:val="center"/>
        </w:trPr>
        <w:tc>
          <w:tcPr>
            <w:tcW w:w="2405" w:type="dxa"/>
            <w:vAlign w:val="center"/>
          </w:tcPr>
          <w:p w14:paraId="7CA3B76A" w14:textId="77777777" w:rsidR="00646828" w:rsidRPr="00F050E3" w:rsidRDefault="00646828" w:rsidP="008354C5">
            <w:pPr>
              <w:spacing w:after="0"/>
              <w:rPr>
                <w:rFonts w:ascii="Times New Roman" w:hAnsi="Times New Roman"/>
                <w:b/>
                <w:lang w:eastAsia="es-DO"/>
              </w:rPr>
            </w:pPr>
            <w:r w:rsidRPr="00F050E3">
              <w:rPr>
                <w:rFonts w:ascii="Times New Roman" w:hAnsi="Times New Roman"/>
                <w:b/>
                <w:lang w:eastAsia="es-DO"/>
              </w:rPr>
              <w:t xml:space="preserve">Total de Consulta </w:t>
            </w:r>
          </w:p>
        </w:tc>
        <w:tc>
          <w:tcPr>
            <w:tcW w:w="1419" w:type="dxa"/>
            <w:vAlign w:val="center"/>
          </w:tcPr>
          <w:p w14:paraId="2FC06534" w14:textId="77777777" w:rsidR="00646828" w:rsidRPr="00F050E3" w:rsidRDefault="00646828" w:rsidP="008354C5">
            <w:pPr>
              <w:spacing w:after="0"/>
              <w:jc w:val="center"/>
              <w:rPr>
                <w:rFonts w:ascii="Times New Roman" w:hAnsi="Times New Roman"/>
                <w:b/>
                <w:lang w:eastAsia="es-DO"/>
              </w:rPr>
            </w:pPr>
            <w:r w:rsidRPr="00F050E3">
              <w:rPr>
                <w:rFonts w:ascii="Times New Roman" w:hAnsi="Times New Roman"/>
                <w:b/>
                <w:lang w:eastAsia="es-DO"/>
              </w:rPr>
              <w:t>985</w:t>
            </w:r>
          </w:p>
        </w:tc>
        <w:tc>
          <w:tcPr>
            <w:tcW w:w="1230" w:type="dxa"/>
            <w:vAlign w:val="center"/>
          </w:tcPr>
          <w:p w14:paraId="02F753EF" w14:textId="77777777" w:rsidR="00646828" w:rsidRPr="00F050E3" w:rsidRDefault="00646828" w:rsidP="008354C5">
            <w:pPr>
              <w:spacing w:after="0"/>
              <w:jc w:val="center"/>
              <w:rPr>
                <w:rFonts w:ascii="Times New Roman" w:hAnsi="Times New Roman"/>
                <w:b/>
                <w:lang w:eastAsia="es-DO"/>
              </w:rPr>
            </w:pPr>
            <w:r w:rsidRPr="00F050E3">
              <w:rPr>
                <w:rFonts w:ascii="Times New Roman" w:hAnsi="Times New Roman"/>
                <w:b/>
                <w:lang w:eastAsia="es-DO"/>
              </w:rPr>
              <w:t>1,156</w:t>
            </w:r>
          </w:p>
        </w:tc>
        <w:tc>
          <w:tcPr>
            <w:tcW w:w="1363" w:type="dxa"/>
            <w:vAlign w:val="center"/>
          </w:tcPr>
          <w:p w14:paraId="655BBBB5" w14:textId="77777777" w:rsidR="00646828" w:rsidRPr="00F050E3" w:rsidRDefault="00646828" w:rsidP="008354C5">
            <w:pPr>
              <w:spacing w:after="0"/>
              <w:jc w:val="center"/>
              <w:rPr>
                <w:rFonts w:ascii="Times New Roman" w:hAnsi="Times New Roman"/>
                <w:b/>
                <w:lang w:eastAsia="es-DO"/>
              </w:rPr>
            </w:pPr>
            <w:r w:rsidRPr="00F050E3">
              <w:rPr>
                <w:rFonts w:ascii="Times New Roman" w:hAnsi="Times New Roman"/>
                <w:b/>
                <w:lang w:eastAsia="es-DO"/>
              </w:rPr>
              <w:t>2,141</w:t>
            </w:r>
          </w:p>
        </w:tc>
      </w:tr>
    </w:tbl>
    <w:p w14:paraId="3DF59264" w14:textId="77777777" w:rsidR="00646828" w:rsidRPr="00F050E3" w:rsidRDefault="00646828" w:rsidP="00646828">
      <w:pPr>
        <w:spacing w:after="0" w:line="480" w:lineRule="auto"/>
        <w:ind w:firstLine="720"/>
        <w:jc w:val="both"/>
        <w:rPr>
          <w:rFonts w:ascii="Times New Roman" w:hAnsi="Times New Roman"/>
        </w:rPr>
      </w:pPr>
    </w:p>
    <w:p w14:paraId="10FDD0CF" w14:textId="7777777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t>Durante el periodo enero-octubre 2019, se han aplicado las siguientes cantidades de vacunas, mediante jornadas masivas.</w:t>
      </w:r>
    </w:p>
    <w:p w14:paraId="74405DCD" w14:textId="77777777" w:rsidR="00646828" w:rsidRPr="00F050E3" w:rsidRDefault="00646828" w:rsidP="001C6B1A">
      <w:pPr>
        <w:pStyle w:val="Prrafodelista"/>
        <w:numPr>
          <w:ilvl w:val="0"/>
          <w:numId w:val="9"/>
        </w:numPr>
        <w:spacing w:after="0" w:line="240" w:lineRule="auto"/>
        <w:ind w:left="567" w:hanging="567"/>
        <w:rPr>
          <w:rFonts w:ascii="Times New Roman" w:hAnsi="Times New Roman"/>
          <w:b/>
          <w:sz w:val="24"/>
          <w:szCs w:val="24"/>
          <w:lang w:val="es-ES_tradnl"/>
        </w:rPr>
      </w:pPr>
      <w:r w:rsidRPr="00F050E3">
        <w:rPr>
          <w:rFonts w:ascii="Times New Roman" w:hAnsi="Times New Roman"/>
          <w:b/>
          <w:sz w:val="24"/>
          <w:szCs w:val="24"/>
          <w:lang w:val="es-ES_tradnl"/>
        </w:rPr>
        <w:t xml:space="preserve">Vacunas aplicadas en la unidad médica durante el período </w:t>
      </w:r>
    </w:p>
    <w:p w14:paraId="645B820C" w14:textId="77777777" w:rsidR="00646828" w:rsidRPr="00F050E3" w:rsidRDefault="00646828" w:rsidP="00646828">
      <w:pPr>
        <w:pStyle w:val="Prrafodelista"/>
        <w:spacing w:after="0" w:line="240" w:lineRule="auto"/>
        <w:ind w:left="567"/>
        <w:rPr>
          <w:rFonts w:ascii="Times New Roman" w:hAnsi="Times New Roman"/>
          <w:b/>
          <w:sz w:val="24"/>
          <w:szCs w:val="24"/>
          <w:lang w:val="es-ES_tradnl"/>
        </w:rPr>
      </w:pPr>
    </w:p>
    <w:tbl>
      <w:tblPr>
        <w:tblW w:w="6260" w:type="pct"/>
        <w:jc w:val="center"/>
        <w:tblLook w:val="04A0" w:firstRow="1" w:lastRow="0" w:firstColumn="1" w:lastColumn="0" w:noHBand="0" w:noVBand="1"/>
      </w:tblPr>
      <w:tblGrid>
        <w:gridCol w:w="1831"/>
        <w:gridCol w:w="5289"/>
        <w:gridCol w:w="803"/>
        <w:gridCol w:w="1017"/>
        <w:gridCol w:w="963"/>
      </w:tblGrid>
      <w:tr w:rsidR="00646828" w:rsidRPr="00F050E3" w14:paraId="62AE6CCD" w14:textId="77777777" w:rsidTr="008354C5">
        <w:trPr>
          <w:trHeight w:val="96"/>
          <w:jc w:val="center"/>
        </w:trPr>
        <w:tc>
          <w:tcPr>
            <w:tcW w:w="925" w:type="pct"/>
            <w:tcBorders>
              <w:top w:val="single" w:sz="4" w:space="0" w:color="auto"/>
              <w:left w:val="single" w:sz="4" w:space="0" w:color="auto"/>
              <w:bottom w:val="single" w:sz="4" w:space="0" w:color="auto"/>
              <w:right w:val="single" w:sz="4" w:space="0" w:color="auto"/>
            </w:tcBorders>
            <w:shd w:val="clear" w:color="auto" w:fill="00B050"/>
            <w:vAlign w:val="center"/>
            <w:hideMark/>
          </w:tcPr>
          <w:p w14:paraId="2598FAE0" w14:textId="77777777" w:rsidR="00646828" w:rsidRPr="00F050E3" w:rsidRDefault="00646828" w:rsidP="008354C5">
            <w:pPr>
              <w:spacing w:after="0"/>
              <w:jc w:val="center"/>
              <w:rPr>
                <w:rFonts w:ascii="Times New Roman" w:hAnsi="Times New Roman"/>
                <w:b/>
                <w:bCs/>
                <w:color w:val="FFFFFF" w:themeColor="background1"/>
                <w:lang w:val="en-US" w:eastAsia="en-US"/>
              </w:rPr>
            </w:pPr>
            <w:r w:rsidRPr="00F050E3">
              <w:rPr>
                <w:rFonts w:ascii="Times New Roman" w:hAnsi="Times New Roman"/>
                <w:b/>
                <w:bCs/>
                <w:color w:val="FFFFFF" w:themeColor="background1"/>
                <w:lang w:eastAsia="en-US"/>
              </w:rPr>
              <w:t>Nombre de Vacunas</w:t>
            </w:r>
          </w:p>
        </w:tc>
        <w:tc>
          <w:tcPr>
            <w:tcW w:w="2669" w:type="pct"/>
            <w:tcBorders>
              <w:top w:val="single" w:sz="4" w:space="0" w:color="auto"/>
              <w:left w:val="nil"/>
              <w:bottom w:val="single" w:sz="4" w:space="0" w:color="auto"/>
              <w:right w:val="single" w:sz="4" w:space="0" w:color="auto"/>
            </w:tcBorders>
            <w:shd w:val="clear" w:color="auto" w:fill="00B050"/>
            <w:vAlign w:val="center"/>
            <w:hideMark/>
          </w:tcPr>
          <w:p w14:paraId="78DD2828" w14:textId="77777777" w:rsidR="00646828" w:rsidRPr="00F050E3" w:rsidRDefault="00646828" w:rsidP="008354C5">
            <w:pPr>
              <w:spacing w:after="0"/>
              <w:jc w:val="center"/>
              <w:rPr>
                <w:rFonts w:ascii="Times New Roman" w:hAnsi="Times New Roman"/>
                <w:b/>
                <w:bCs/>
                <w:color w:val="FFFFFF" w:themeColor="background1"/>
                <w:lang w:val="en-US" w:eastAsia="en-US"/>
              </w:rPr>
            </w:pPr>
            <w:r w:rsidRPr="00F050E3">
              <w:rPr>
                <w:rFonts w:ascii="Times New Roman" w:hAnsi="Times New Roman"/>
                <w:b/>
                <w:bCs/>
                <w:color w:val="FFFFFF" w:themeColor="background1"/>
                <w:lang w:eastAsia="en-US"/>
              </w:rPr>
              <w:t>Enfermedad que previene</w:t>
            </w:r>
          </w:p>
        </w:tc>
        <w:tc>
          <w:tcPr>
            <w:tcW w:w="405" w:type="pct"/>
            <w:tcBorders>
              <w:top w:val="single" w:sz="4" w:space="0" w:color="auto"/>
              <w:left w:val="nil"/>
              <w:bottom w:val="single" w:sz="4" w:space="0" w:color="auto"/>
              <w:right w:val="single" w:sz="4" w:space="0" w:color="auto"/>
            </w:tcBorders>
            <w:shd w:val="clear" w:color="auto" w:fill="00B050"/>
            <w:vAlign w:val="center"/>
            <w:hideMark/>
          </w:tcPr>
          <w:p w14:paraId="575A7CFE" w14:textId="77777777" w:rsidR="00646828" w:rsidRPr="00F050E3" w:rsidRDefault="00646828" w:rsidP="008354C5">
            <w:pPr>
              <w:spacing w:after="0"/>
              <w:jc w:val="center"/>
              <w:rPr>
                <w:rFonts w:ascii="Times New Roman" w:hAnsi="Times New Roman"/>
                <w:b/>
                <w:bCs/>
                <w:color w:val="FFFFFF" w:themeColor="background1"/>
                <w:lang w:val="en-US" w:eastAsia="en-US"/>
              </w:rPr>
            </w:pPr>
            <w:r w:rsidRPr="00F050E3">
              <w:rPr>
                <w:rFonts w:ascii="Times New Roman" w:hAnsi="Times New Roman"/>
                <w:b/>
                <w:bCs/>
                <w:color w:val="FFFFFF" w:themeColor="background1"/>
                <w:lang w:eastAsia="en-US"/>
              </w:rPr>
              <w:t>Niños</w:t>
            </w:r>
          </w:p>
        </w:tc>
        <w:tc>
          <w:tcPr>
            <w:tcW w:w="513" w:type="pct"/>
            <w:tcBorders>
              <w:top w:val="single" w:sz="4" w:space="0" w:color="auto"/>
              <w:left w:val="nil"/>
              <w:bottom w:val="single" w:sz="4" w:space="0" w:color="auto"/>
              <w:right w:val="single" w:sz="4" w:space="0" w:color="auto"/>
            </w:tcBorders>
            <w:shd w:val="clear" w:color="auto" w:fill="00B050"/>
            <w:vAlign w:val="center"/>
            <w:hideMark/>
          </w:tcPr>
          <w:p w14:paraId="4579FCDB" w14:textId="77777777" w:rsidR="00646828" w:rsidRPr="00F050E3" w:rsidRDefault="00646828" w:rsidP="008354C5">
            <w:pPr>
              <w:spacing w:after="0"/>
              <w:jc w:val="center"/>
              <w:rPr>
                <w:rFonts w:ascii="Times New Roman" w:hAnsi="Times New Roman"/>
                <w:b/>
                <w:bCs/>
                <w:color w:val="FFFFFF" w:themeColor="background1"/>
                <w:lang w:val="en-US" w:eastAsia="en-US"/>
              </w:rPr>
            </w:pPr>
            <w:r w:rsidRPr="00F050E3">
              <w:rPr>
                <w:rFonts w:ascii="Times New Roman" w:hAnsi="Times New Roman"/>
                <w:b/>
                <w:bCs/>
                <w:color w:val="FFFFFF" w:themeColor="background1"/>
                <w:lang w:eastAsia="en-US"/>
              </w:rPr>
              <w:t>Adultos</w:t>
            </w:r>
          </w:p>
        </w:tc>
        <w:tc>
          <w:tcPr>
            <w:tcW w:w="486" w:type="pct"/>
            <w:tcBorders>
              <w:top w:val="single" w:sz="4" w:space="0" w:color="auto"/>
              <w:left w:val="nil"/>
              <w:bottom w:val="single" w:sz="4" w:space="0" w:color="auto"/>
              <w:right w:val="single" w:sz="4" w:space="0" w:color="auto"/>
            </w:tcBorders>
            <w:shd w:val="clear" w:color="auto" w:fill="00B050"/>
            <w:vAlign w:val="center"/>
            <w:hideMark/>
          </w:tcPr>
          <w:p w14:paraId="73E63C91" w14:textId="77777777" w:rsidR="00646828" w:rsidRPr="00F050E3" w:rsidRDefault="00646828" w:rsidP="008354C5">
            <w:pPr>
              <w:spacing w:after="0"/>
              <w:jc w:val="center"/>
              <w:rPr>
                <w:rFonts w:ascii="Times New Roman" w:hAnsi="Times New Roman"/>
                <w:b/>
                <w:bCs/>
                <w:color w:val="FFFFFF" w:themeColor="background1"/>
                <w:lang w:val="en-US" w:eastAsia="en-US"/>
              </w:rPr>
            </w:pPr>
            <w:r w:rsidRPr="00F050E3">
              <w:rPr>
                <w:rFonts w:ascii="Times New Roman" w:hAnsi="Times New Roman"/>
                <w:b/>
                <w:bCs/>
                <w:color w:val="FFFFFF" w:themeColor="background1"/>
                <w:lang w:eastAsia="en-US"/>
              </w:rPr>
              <w:t>Totales</w:t>
            </w:r>
          </w:p>
        </w:tc>
      </w:tr>
      <w:tr w:rsidR="00646828" w:rsidRPr="00F050E3" w14:paraId="738B115F" w14:textId="77777777" w:rsidTr="008354C5">
        <w:trPr>
          <w:trHeight w:val="77"/>
          <w:jc w:val="center"/>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5890E47D" w14:textId="77777777" w:rsidR="00646828" w:rsidRPr="00F050E3" w:rsidRDefault="00646828" w:rsidP="008354C5">
            <w:pPr>
              <w:spacing w:after="0"/>
              <w:jc w:val="both"/>
              <w:rPr>
                <w:rFonts w:ascii="Times New Roman" w:hAnsi="Times New Roman"/>
                <w:lang w:val="en-US" w:eastAsia="en-US"/>
              </w:rPr>
            </w:pPr>
            <w:r w:rsidRPr="00F050E3">
              <w:rPr>
                <w:rFonts w:ascii="Times New Roman" w:hAnsi="Times New Roman"/>
                <w:lang w:eastAsia="en-US"/>
              </w:rPr>
              <w:t>DPT</w:t>
            </w:r>
          </w:p>
        </w:tc>
        <w:tc>
          <w:tcPr>
            <w:tcW w:w="2669" w:type="pct"/>
            <w:tcBorders>
              <w:top w:val="nil"/>
              <w:left w:val="nil"/>
              <w:bottom w:val="single" w:sz="4" w:space="0" w:color="auto"/>
              <w:right w:val="single" w:sz="4" w:space="0" w:color="auto"/>
            </w:tcBorders>
            <w:shd w:val="clear" w:color="auto" w:fill="auto"/>
            <w:vAlign w:val="center"/>
            <w:hideMark/>
          </w:tcPr>
          <w:p w14:paraId="499A7E74" w14:textId="77777777" w:rsidR="00646828" w:rsidRPr="00F050E3" w:rsidRDefault="00646828" w:rsidP="008354C5">
            <w:pPr>
              <w:spacing w:after="0"/>
              <w:rPr>
                <w:rFonts w:ascii="Times New Roman" w:hAnsi="Times New Roman"/>
                <w:lang w:val="en-US" w:eastAsia="en-US"/>
              </w:rPr>
            </w:pPr>
            <w:r w:rsidRPr="00F050E3">
              <w:rPr>
                <w:rFonts w:ascii="Times New Roman" w:hAnsi="Times New Roman"/>
                <w:lang w:eastAsia="en-US"/>
              </w:rPr>
              <w:t xml:space="preserve">Difteria, Tétano  Tosferina </w:t>
            </w:r>
          </w:p>
        </w:tc>
        <w:tc>
          <w:tcPr>
            <w:tcW w:w="405" w:type="pct"/>
            <w:tcBorders>
              <w:top w:val="nil"/>
              <w:left w:val="nil"/>
              <w:bottom w:val="single" w:sz="4" w:space="0" w:color="auto"/>
              <w:right w:val="single" w:sz="4" w:space="0" w:color="auto"/>
            </w:tcBorders>
            <w:shd w:val="clear" w:color="auto" w:fill="auto"/>
            <w:hideMark/>
          </w:tcPr>
          <w:p w14:paraId="46F20953"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val="en-GB" w:eastAsia="es-ES"/>
              </w:rPr>
              <w:t>232</w:t>
            </w:r>
          </w:p>
        </w:tc>
        <w:tc>
          <w:tcPr>
            <w:tcW w:w="513" w:type="pct"/>
            <w:tcBorders>
              <w:top w:val="nil"/>
              <w:left w:val="nil"/>
              <w:bottom w:val="single" w:sz="4" w:space="0" w:color="auto"/>
              <w:right w:val="single" w:sz="4" w:space="0" w:color="auto"/>
            </w:tcBorders>
            <w:shd w:val="clear" w:color="auto" w:fill="auto"/>
            <w:vAlign w:val="center"/>
            <w:hideMark/>
          </w:tcPr>
          <w:p w14:paraId="4E5C7F2E"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val="en-GB" w:eastAsia="en-US"/>
              </w:rPr>
              <w:t>0</w:t>
            </w:r>
          </w:p>
        </w:tc>
        <w:tc>
          <w:tcPr>
            <w:tcW w:w="486" w:type="pct"/>
            <w:tcBorders>
              <w:top w:val="nil"/>
              <w:left w:val="nil"/>
              <w:bottom w:val="single" w:sz="4" w:space="0" w:color="auto"/>
              <w:right w:val="single" w:sz="4" w:space="0" w:color="auto"/>
            </w:tcBorders>
            <w:shd w:val="clear" w:color="auto" w:fill="auto"/>
            <w:hideMark/>
          </w:tcPr>
          <w:p w14:paraId="4D87F33C"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val="en-GB" w:eastAsia="es-ES"/>
              </w:rPr>
              <w:t>232</w:t>
            </w:r>
          </w:p>
        </w:tc>
      </w:tr>
      <w:tr w:rsidR="00646828" w:rsidRPr="00F050E3" w14:paraId="39447232" w14:textId="77777777" w:rsidTr="008354C5">
        <w:trPr>
          <w:trHeight w:val="77"/>
          <w:jc w:val="center"/>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39265BC7" w14:textId="77777777" w:rsidR="00646828" w:rsidRPr="00F050E3" w:rsidRDefault="00646828" w:rsidP="008354C5">
            <w:pPr>
              <w:spacing w:after="0"/>
              <w:rPr>
                <w:rFonts w:ascii="Times New Roman" w:hAnsi="Times New Roman"/>
                <w:lang w:val="en-US" w:eastAsia="en-US"/>
              </w:rPr>
            </w:pPr>
            <w:r w:rsidRPr="00F050E3">
              <w:rPr>
                <w:rFonts w:ascii="Times New Roman" w:hAnsi="Times New Roman"/>
                <w:lang w:val="en-GB" w:eastAsia="en-US"/>
              </w:rPr>
              <w:t xml:space="preserve">Rotavirus </w:t>
            </w:r>
          </w:p>
        </w:tc>
        <w:tc>
          <w:tcPr>
            <w:tcW w:w="2669" w:type="pct"/>
            <w:tcBorders>
              <w:top w:val="nil"/>
              <w:left w:val="nil"/>
              <w:bottom w:val="single" w:sz="4" w:space="0" w:color="auto"/>
              <w:right w:val="single" w:sz="4" w:space="0" w:color="auto"/>
            </w:tcBorders>
            <w:shd w:val="clear" w:color="auto" w:fill="auto"/>
            <w:vAlign w:val="center"/>
            <w:hideMark/>
          </w:tcPr>
          <w:p w14:paraId="0F9BBB49" w14:textId="77777777" w:rsidR="00646828" w:rsidRPr="00F050E3" w:rsidRDefault="00646828" w:rsidP="008354C5">
            <w:pPr>
              <w:spacing w:after="0"/>
              <w:rPr>
                <w:rFonts w:ascii="Times New Roman" w:hAnsi="Times New Roman"/>
                <w:lang w:val="en-US" w:eastAsia="en-US"/>
              </w:rPr>
            </w:pPr>
            <w:r w:rsidRPr="00F050E3">
              <w:rPr>
                <w:rFonts w:ascii="Times New Roman" w:hAnsi="Times New Roman"/>
                <w:lang w:val="en-GB" w:eastAsia="en-US"/>
              </w:rPr>
              <w:t>Rotavirus</w:t>
            </w:r>
          </w:p>
        </w:tc>
        <w:tc>
          <w:tcPr>
            <w:tcW w:w="405" w:type="pct"/>
            <w:tcBorders>
              <w:top w:val="nil"/>
              <w:left w:val="nil"/>
              <w:bottom w:val="single" w:sz="4" w:space="0" w:color="auto"/>
              <w:right w:val="single" w:sz="4" w:space="0" w:color="auto"/>
            </w:tcBorders>
            <w:shd w:val="clear" w:color="auto" w:fill="auto"/>
            <w:hideMark/>
          </w:tcPr>
          <w:p w14:paraId="646C98C3"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val="en-GB" w:eastAsia="es-ES"/>
              </w:rPr>
              <w:t>64</w:t>
            </w:r>
          </w:p>
        </w:tc>
        <w:tc>
          <w:tcPr>
            <w:tcW w:w="513" w:type="pct"/>
            <w:tcBorders>
              <w:top w:val="nil"/>
              <w:left w:val="nil"/>
              <w:bottom w:val="single" w:sz="4" w:space="0" w:color="auto"/>
              <w:right w:val="single" w:sz="4" w:space="0" w:color="auto"/>
            </w:tcBorders>
            <w:shd w:val="clear" w:color="auto" w:fill="auto"/>
            <w:vAlign w:val="center"/>
            <w:hideMark/>
          </w:tcPr>
          <w:p w14:paraId="352D685A"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val="en-GB" w:eastAsia="en-US"/>
              </w:rPr>
              <w:t>0</w:t>
            </w:r>
          </w:p>
        </w:tc>
        <w:tc>
          <w:tcPr>
            <w:tcW w:w="486" w:type="pct"/>
            <w:tcBorders>
              <w:top w:val="nil"/>
              <w:left w:val="nil"/>
              <w:bottom w:val="single" w:sz="4" w:space="0" w:color="auto"/>
              <w:right w:val="single" w:sz="4" w:space="0" w:color="auto"/>
            </w:tcBorders>
            <w:shd w:val="clear" w:color="auto" w:fill="auto"/>
            <w:hideMark/>
          </w:tcPr>
          <w:p w14:paraId="2A0913AC"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val="en-GB" w:eastAsia="es-ES"/>
              </w:rPr>
              <w:t>64</w:t>
            </w:r>
          </w:p>
        </w:tc>
      </w:tr>
      <w:tr w:rsidR="00646828" w:rsidRPr="00F050E3" w14:paraId="5072D002" w14:textId="77777777" w:rsidTr="008354C5">
        <w:trPr>
          <w:trHeight w:val="77"/>
          <w:jc w:val="center"/>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11DDB14C" w14:textId="77777777" w:rsidR="00646828" w:rsidRPr="00F050E3" w:rsidRDefault="00646828" w:rsidP="008354C5">
            <w:pPr>
              <w:spacing w:after="0"/>
              <w:jc w:val="both"/>
              <w:rPr>
                <w:rFonts w:ascii="Times New Roman" w:hAnsi="Times New Roman"/>
                <w:lang w:val="en-US" w:eastAsia="en-US"/>
              </w:rPr>
            </w:pPr>
            <w:r w:rsidRPr="00F050E3">
              <w:rPr>
                <w:rFonts w:ascii="Times New Roman" w:hAnsi="Times New Roman"/>
                <w:lang w:val="en-GB" w:eastAsia="en-US"/>
              </w:rPr>
              <w:t xml:space="preserve">Neumococo </w:t>
            </w:r>
          </w:p>
        </w:tc>
        <w:tc>
          <w:tcPr>
            <w:tcW w:w="2669" w:type="pct"/>
            <w:tcBorders>
              <w:top w:val="nil"/>
              <w:left w:val="nil"/>
              <w:bottom w:val="single" w:sz="4" w:space="0" w:color="auto"/>
              <w:right w:val="single" w:sz="4" w:space="0" w:color="auto"/>
            </w:tcBorders>
            <w:shd w:val="clear" w:color="auto" w:fill="auto"/>
            <w:vAlign w:val="center"/>
            <w:hideMark/>
          </w:tcPr>
          <w:p w14:paraId="00E76EE1" w14:textId="77777777" w:rsidR="00646828" w:rsidRPr="00F050E3" w:rsidRDefault="00646828" w:rsidP="008354C5">
            <w:pPr>
              <w:spacing w:after="0"/>
              <w:rPr>
                <w:rFonts w:ascii="Times New Roman" w:hAnsi="Times New Roman"/>
                <w:lang w:val="en-US" w:eastAsia="en-US"/>
              </w:rPr>
            </w:pPr>
            <w:r w:rsidRPr="00F050E3">
              <w:rPr>
                <w:rFonts w:ascii="Times New Roman" w:hAnsi="Times New Roman"/>
                <w:lang w:val="en-GB" w:eastAsia="en-US"/>
              </w:rPr>
              <w:t xml:space="preserve">Prevención enfermedad de pulmón </w:t>
            </w:r>
          </w:p>
        </w:tc>
        <w:tc>
          <w:tcPr>
            <w:tcW w:w="405" w:type="pct"/>
            <w:tcBorders>
              <w:top w:val="nil"/>
              <w:left w:val="nil"/>
              <w:bottom w:val="single" w:sz="4" w:space="0" w:color="auto"/>
              <w:right w:val="single" w:sz="4" w:space="0" w:color="auto"/>
            </w:tcBorders>
            <w:shd w:val="clear" w:color="auto" w:fill="auto"/>
            <w:hideMark/>
          </w:tcPr>
          <w:p w14:paraId="49955F0A"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val="en-GB" w:eastAsia="es-ES"/>
              </w:rPr>
              <w:t>145</w:t>
            </w:r>
          </w:p>
        </w:tc>
        <w:tc>
          <w:tcPr>
            <w:tcW w:w="513" w:type="pct"/>
            <w:tcBorders>
              <w:top w:val="nil"/>
              <w:left w:val="nil"/>
              <w:bottom w:val="single" w:sz="4" w:space="0" w:color="auto"/>
              <w:right w:val="single" w:sz="4" w:space="0" w:color="auto"/>
            </w:tcBorders>
            <w:shd w:val="clear" w:color="auto" w:fill="auto"/>
            <w:vAlign w:val="center"/>
            <w:hideMark/>
          </w:tcPr>
          <w:p w14:paraId="026BF068"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val="en-GB" w:eastAsia="en-US"/>
              </w:rPr>
              <w:t>0</w:t>
            </w:r>
          </w:p>
        </w:tc>
        <w:tc>
          <w:tcPr>
            <w:tcW w:w="486" w:type="pct"/>
            <w:tcBorders>
              <w:top w:val="nil"/>
              <w:left w:val="nil"/>
              <w:bottom w:val="single" w:sz="4" w:space="0" w:color="auto"/>
              <w:right w:val="single" w:sz="4" w:space="0" w:color="auto"/>
            </w:tcBorders>
            <w:shd w:val="clear" w:color="auto" w:fill="auto"/>
            <w:hideMark/>
          </w:tcPr>
          <w:p w14:paraId="01F288B2"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val="en-GB" w:eastAsia="es-ES"/>
              </w:rPr>
              <w:t>145</w:t>
            </w:r>
          </w:p>
        </w:tc>
      </w:tr>
      <w:tr w:rsidR="00646828" w:rsidRPr="00F050E3" w14:paraId="602CCBFD" w14:textId="77777777" w:rsidTr="008354C5">
        <w:trPr>
          <w:trHeight w:val="77"/>
          <w:jc w:val="center"/>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5FA2C82B" w14:textId="77777777" w:rsidR="00646828" w:rsidRPr="00F050E3" w:rsidRDefault="00646828" w:rsidP="008354C5">
            <w:pPr>
              <w:spacing w:after="0"/>
              <w:jc w:val="both"/>
              <w:rPr>
                <w:rFonts w:ascii="Times New Roman" w:hAnsi="Times New Roman"/>
                <w:lang w:val="en-US" w:eastAsia="en-US"/>
              </w:rPr>
            </w:pPr>
            <w:r w:rsidRPr="00F050E3">
              <w:rPr>
                <w:rFonts w:ascii="Times New Roman" w:hAnsi="Times New Roman"/>
                <w:lang w:val="en-GB" w:eastAsia="en-US"/>
              </w:rPr>
              <w:t>Vitamina A</w:t>
            </w:r>
          </w:p>
        </w:tc>
        <w:tc>
          <w:tcPr>
            <w:tcW w:w="2669" w:type="pct"/>
            <w:tcBorders>
              <w:top w:val="nil"/>
              <w:left w:val="nil"/>
              <w:bottom w:val="single" w:sz="4" w:space="0" w:color="auto"/>
              <w:right w:val="single" w:sz="4" w:space="0" w:color="auto"/>
            </w:tcBorders>
            <w:shd w:val="clear" w:color="auto" w:fill="auto"/>
            <w:vAlign w:val="center"/>
            <w:hideMark/>
          </w:tcPr>
          <w:p w14:paraId="02E5FDF4" w14:textId="77777777" w:rsidR="00646828" w:rsidRPr="00F050E3" w:rsidRDefault="00646828" w:rsidP="008354C5">
            <w:pPr>
              <w:spacing w:after="0"/>
              <w:rPr>
                <w:rFonts w:ascii="Times New Roman" w:hAnsi="Times New Roman"/>
                <w:lang w:eastAsia="en-US"/>
              </w:rPr>
            </w:pPr>
            <w:r w:rsidRPr="00F050E3">
              <w:rPr>
                <w:rFonts w:ascii="Times New Roman" w:hAnsi="Times New Roman"/>
                <w:lang w:eastAsia="en-US"/>
              </w:rPr>
              <w:t xml:space="preserve">Prevenir la ceguera y el desarrollo del crecimiento </w:t>
            </w:r>
          </w:p>
        </w:tc>
        <w:tc>
          <w:tcPr>
            <w:tcW w:w="405" w:type="pct"/>
            <w:tcBorders>
              <w:top w:val="nil"/>
              <w:left w:val="nil"/>
              <w:bottom w:val="single" w:sz="4" w:space="0" w:color="auto"/>
              <w:right w:val="single" w:sz="4" w:space="0" w:color="auto"/>
            </w:tcBorders>
            <w:shd w:val="clear" w:color="auto" w:fill="auto"/>
            <w:hideMark/>
          </w:tcPr>
          <w:p w14:paraId="4C4C356F"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s-ES"/>
              </w:rPr>
              <w:t>0</w:t>
            </w:r>
          </w:p>
        </w:tc>
        <w:tc>
          <w:tcPr>
            <w:tcW w:w="513" w:type="pct"/>
            <w:tcBorders>
              <w:top w:val="nil"/>
              <w:left w:val="nil"/>
              <w:bottom w:val="single" w:sz="4" w:space="0" w:color="auto"/>
              <w:right w:val="single" w:sz="4" w:space="0" w:color="auto"/>
            </w:tcBorders>
            <w:shd w:val="clear" w:color="auto" w:fill="auto"/>
            <w:vAlign w:val="center"/>
            <w:hideMark/>
          </w:tcPr>
          <w:p w14:paraId="22AABB38"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n-US"/>
              </w:rPr>
              <w:t>0</w:t>
            </w:r>
          </w:p>
        </w:tc>
        <w:tc>
          <w:tcPr>
            <w:tcW w:w="486" w:type="pct"/>
            <w:tcBorders>
              <w:top w:val="nil"/>
              <w:left w:val="nil"/>
              <w:bottom w:val="single" w:sz="4" w:space="0" w:color="auto"/>
              <w:right w:val="single" w:sz="4" w:space="0" w:color="auto"/>
            </w:tcBorders>
            <w:shd w:val="clear" w:color="auto" w:fill="auto"/>
            <w:hideMark/>
          </w:tcPr>
          <w:p w14:paraId="0ADD204C"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s-ES"/>
              </w:rPr>
              <w:t>0</w:t>
            </w:r>
          </w:p>
        </w:tc>
      </w:tr>
      <w:tr w:rsidR="00646828" w:rsidRPr="00F050E3" w14:paraId="2EFE347D" w14:textId="77777777" w:rsidTr="008354C5">
        <w:trPr>
          <w:trHeight w:val="77"/>
          <w:jc w:val="center"/>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319A9495" w14:textId="77777777" w:rsidR="00646828" w:rsidRPr="00F050E3" w:rsidRDefault="00646828" w:rsidP="008354C5">
            <w:pPr>
              <w:spacing w:after="0"/>
              <w:jc w:val="both"/>
              <w:rPr>
                <w:rFonts w:ascii="Times New Roman" w:hAnsi="Times New Roman"/>
                <w:lang w:val="en-US" w:eastAsia="en-US"/>
              </w:rPr>
            </w:pPr>
            <w:r w:rsidRPr="00F050E3">
              <w:rPr>
                <w:rFonts w:ascii="Times New Roman" w:hAnsi="Times New Roman"/>
                <w:lang w:eastAsia="en-US"/>
              </w:rPr>
              <w:t>Pentavalente</w:t>
            </w:r>
          </w:p>
        </w:tc>
        <w:tc>
          <w:tcPr>
            <w:tcW w:w="2669" w:type="pct"/>
            <w:tcBorders>
              <w:top w:val="nil"/>
              <w:left w:val="nil"/>
              <w:bottom w:val="single" w:sz="4" w:space="0" w:color="auto"/>
              <w:right w:val="single" w:sz="4" w:space="0" w:color="auto"/>
            </w:tcBorders>
            <w:shd w:val="clear" w:color="auto" w:fill="auto"/>
            <w:vAlign w:val="center"/>
            <w:hideMark/>
          </w:tcPr>
          <w:p w14:paraId="1242F2A5" w14:textId="77777777" w:rsidR="00646828" w:rsidRPr="00F050E3" w:rsidRDefault="00646828" w:rsidP="008354C5">
            <w:pPr>
              <w:spacing w:after="0"/>
              <w:rPr>
                <w:rFonts w:ascii="Times New Roman" w:hAnsi="Times New Roman"/>
                <w:lang w:eastAsia="en-US"/>
              </w:rPr>
            </w:pPr>
            <w:r w:rsidRPr="00F050E3">
              <w:rPr>
                <w:rFonts w:ascii="Times New Roman" w:hAnsi="Times New Roman"/>
                <w:lang w:eastAsia="en-US"/>
              </w:rPr>
              <w:t>Se aplica como DPT, HB, HIB</w:t>
            </w:r>
          </w:p>
        </w:tc>
        <w:tc>
          <w:tcPr>
            <w:tcW w:w="405" w:type="pct"/>
            <w:tcBorders>
              <w:top w:val="nil"/>
              <w:left w:val="nil"/>
              <w:bottom w:val="single" w:sz="4" w:space="0" w:color="auto"/>
              <w:right w:val="single" w:sz="4" w:space="0" w:color="auto"/>
            </w:tcBorders>
            <w:shd w:val="clear" w:color="auto" w:fill="auto"/>
            <w:hideMark/>
          </w:tcPr>
          <w:p w14:paraId="2D63679A"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s-ES"/>
              </w:rPr>
              <w:t>178</w:t>
            </w:r>
          </w:p>
        </w:tc>
        <w:tc>
          <w:tcPr>
            <w:tcW w:w="513" w:type="pct"/>
            <w:tcBorders>
              <w:top w:val="nil"/>
              <w:left w:val="nil"/>
              <w:bottom w:val="single" w:sz="4" w:space="0" w:color="auto"/>
              <w:right w:val="single" w:sz="4" w:space="0" w:color="auto"/>
            </w:tcBorders>
            <w:shd w:val="clear" w:color="auto" w:fill="auto"/>
            <w:vAlign w:val="center"/>
            <w:hideMark/>
          </w:tcPr>
          <w:p w14:paraId="598A599B"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n-US"/>
              </w:rPr>
              <w:t>0</w:t>
            </w:r>
          </w:p>
        </w:tc>
        <w:tc>
          <w:tcPr>
            <w:tcW w:w="486" w:type="pct"/>
            <w:tcBorders>
              <w:top w:val="nil"/>
              <w:left w:val="nil"/>
              <w:bottom w:val="single" w:sz="4" w:space="0" w:color="auto"/>
              <w:right w:val="single" w:sz="4" w:space="0" w:color="auto"/>
            </w:tcBorders>
            <w:shd w:val="clear" w:color="auto" w:fill="auto"/>
            <w:hideMark/>
          </w:tcPr>
          <w:p w14:paraId="2B9C8745"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s-ES"/>
              </w:rPr>
              <w:t>178</w:t>
            </w:r>
          </w:p>
        </w:tc>
      </w:tr>
      <w:tr w:rsidR="00646828" w:rsidRPr="00F050E3" w14:paraId="3D478AE8" w14:textId="77777777" w:rsidTr="008354C5">
        <w:trPr>
          <w:trHeight w:val="300"/>
          <w:jc w:val="center"/>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693071C1" w14:textId="77777777" w:rsidR="00646828" w:rsidRPr="00F050E3" w:rsidRDefault="00646828" w:rsidP="008354C5">
            <w:pPr>
              <w:spacing w:after="0"/>
              <w:rPr>
                <w:rFonts w:ascii="Times New Roman" w:hAnsi="Times New Roman"/>
                <w:lang w:val="en-US" w:eastAsia="en-US"/>
              </w:rPr>
            </w:pPr>
            <w:r w:rsidRPr="00F050E3">
              <w:rPr>
                <w:rFonts w:ascii="Times New Roman" w:hAnsi="Times New Roman"/>
                <w:lang w:eastAsia="en-US"/>
              </w:rPr>
              <w:t xml:space="preserve">Antipolio </w:t>
            </w:r>
          </w:p>
        </w:tc>
        <w:tc>
          <w:tcPr>
            <w:tcW w:w="2669" w:type="pct"/>
            <w:tcBorders>
              <w:top w:val="nil"/>
              <w:left w:val="nil"/>
              <w:bottom w:val="single" w:sz="4" w:space="0" w:color="auto"/>
              <w:right w:val="single" w:sz="4" w:space="0" w:color="auto"/>
            </w:tcBorders>
            <w:shd w:val="clear" w:color="auto" w:fill="auto"/>
            <w:vAlign w:val="center"/>
            <w:hideMark/>
          </w:tcPr>
          <w:p w14:paraId="0288EADC" w14:textId="77777777" w:rsidR="00646828" w:rsidRPr="00F050E3" w:rsidRDefault="00646828" w:rsidP="008354C5">
            <w:pPr>
              <w:spacing w:after="0"/>
              <w:rPr>
                <w:rFonts w:ascii="Times New Roman" w:hAnsi="Times New Roman"/>
                <w:lang w:val="en-US" w:eastAsia="en-US"/>
              </w:rPr>
            </w:pPr>
            <w:r w:rsidRPr="00F050E3">
              <w:rPr>
                <w:rFonts w:ascii="Times New Roman" w:hAnsi="Times New Roman"/>
                <w:lang w:val="fr-FR" w:eastAsia="en-US"/>
              </w:rPr>
              <w:t xml:space="preserve">Poliomelitis </w:t>
            </w:r>
          </w:p>
        </w:tc>
        <w:tc>
          <w:tcPr>
            <w:tcW w:w="405" w:type="pct"/>
            <w:tcBorders>
              <w:top w:val="nil"/>
              <w:left w:val="nil"/>
              <w:bottom w:val="single" w:sz="4" w:space="0" w:color="auto"/>
              <w:right w:val="single" w:sz="4" w:space="0" w:color="auto"/>
            </w:tcBorders>
            <w:shd w:val="clear" w:color="auto" w:fill="auto"/>
            <w:hideMark/>
          </w:tcPr>
          <w:p w14:paraId="59A6A30E"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s-ES"/>
              </w:rPr>
              <w:t>348</w:t>
            </w:r>
          </w:p>
        </w:tc>
        <w:tc>
          <w:tcPr>
            <w:tcW w:w="513" w:type="pct"/>
            <w:tcBorders>
              <w:top w:val="nil"/>
              <w:left w:val="nil"/>
              <w:bottom w:val="single" w:sz="4" w:space="0" w:color="auto"/>
              <w:right w:val="single" w:sz="4" w:space="0" w:color="auto"/>
            </w:tcBorders>
            <w:shd w:val="clear" w:color="auto" w:fill="auto"/>
            <w:vAlign w:val="center"/>
            <w:hideMark/>
          </w:tcPr>
          <w:p w14:paraId="68CA4593"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n-US"/>
              </w:rPr>
              <w:t>0</w:t>
            </w:r>
          </w:p>
        </w:tc>
        <w:tc>
          <w:tcPr>
            <w:tcW w:w="486" w:type="pct"/>
            <w:tcBorders>
              <w:top w:val="nil"/>
              <w:left w:val="nil"/>
              <w:bottom w:val="single" w:sz="4" w:space="0" w:color="auto"/>
              <w:right w:val="single" w:sz="4" w:space="0" w:color="auto"/>
            </w:tcBorders>
            <w:shd w:val="clear" w:color="auto" w:fill="auto"/>
            <w:hideMark/>
          </w:tcPr>
          <w:p w14:paraId="32DC020D"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s-ES"/>
              </w:rPr>
              <w:t>348</w:t>
            </w:r>
          </w:p>
        </w:tc>
      </w:tr>
      <w:tr w:rsidR="00646828" w:rsidRPr="00F050E3" w14:paraId="423A6F5C" w14:textId="77777777" w:rsidTr="008354C5">
        <w:trPr>
          <w:trHeight w:val="77"/>
          <w:jc w:val="center"/>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7CA8CC7B" w14:textId="77777777" w:rsidR="00646828" w:rsidRPr="00F050E3" w:rsidRDefault="00646828" w:rsidP="008354C5">
            <w:pPr>
              <w:spacing w:after="0"/>
              <w:jc w:val="both"/>
              <w:rPr>
                <w:rFonts w:ascii="Times New Roman" w:hAnsi="Times New Roman"/>
                <w:lang w:val="en-US" w:eastAsia="en-US"/>
              </w:rPr>
            </w:pPr>
            <w:r w:rsidRPr="00F050E3">
              <w:rPr>
                <w:rFonts w:ascii="Times New Roman" w:hAnsi="Times New Roman"/>
                <w:lang w:eastAsia="en-US"/>
              </w:rPr>
              <w:t>SRP</w:t>
            </w:r>
          </w:p>
        </w:tc>
        <w:tc>
          <w:tcPr>
            <w:tcW w:w="2669" w:type="pct"/>
            <w:tcBorders>
              <w:top w:val="nil"/>
              <w:left w:val="nil"/>
              <w:bottom w:val="single" w:sz="4" w:space="0" w:color="auto"/>
              <w:right w:val="single" w:sz="4" w:space="0" w:color="auto"/>
            </w:tcBorders>
            <w:shd w:val="clear" w:color="auto" w:fill="auto"/>
            <w:vAlign w:val="center"/>
            <w:hideMark/>
          </w:tcPr>
          <w:p w14:paraId="72B98198" w14:textId="77777777" w:rsidR="00646828" w:rsidRPr="00F050E3" w:rsidRDefault="00646828" w:rsidP="008354C5">
            <w:pPr>
              <w:spacing w:after="0"/>
              <w:rPr>
                <w:rFonts w:ascii="Times New Roman" w:hAnsi="Times New Roman"/>
                <w:lang w:val="en-US" w:eastAsia="en-US"/>
              </w:rPr>
            </w:pPr>
            <w:r w:rsidRPr="00F050E3">
              <w:rPr>
                <w:rFonts w:ascii="Times New Roman" w:hAnsi="Times New Roman"/>
                <w:lang w:val="fr-FR" w:eastAsia="en-US"/>
              </w:rPr>
              <w:t>Sarampión, rubéola y papera</w:t>
            </w:r>
          </w:p>
        </w:tc>
        <w:tc>
          <w:tcPr>
            <w:tcW w:w="405" w:type="pct"/>
            <w:tcBorders>
              <w:top w:val="nil"/>
              <w:left w:val="nil"/>
              <w:bottom w:val="single" w:sz="4" w:space="0" w:color="auto"/>
              <w:right w:val="single" w:sz="4" w:space="0" w:color="auto"/>
            </w:tcBorders>
            <w:shd w:val="clear" w:color="auto" w:fill="auto"/>
            <w:hideMark/>
          </w:tcPr>
          <w:p w14:paraId="51AD883F"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s-ES"/>
              </w:rPr>
              <w:t>171</w:t>
            </w:r>
          </w:p>
        </w:tc>
        <w:tc>
          <w:tcPr>
            <w:tcW w:w="513" w:type="pct"/>
            <w:tcBorders>
              <w:top w:val="nil"/>
              <w:left w:val="nil"/>
              <w:bottom w:val="single" w:sz="4" w:space="0" w:color="auto"/>
              <w:right w:val="single" w:sz="4" w:space="0" w:color="auto"/>
            </w:tcBorders>
            <w:shd w:val="clear" w:color="auto" w:fill="auto"/>
            <w:vAlign w:val="center"/>
            <w:hideMark/>
          </w:tcPr>
          <w:p w14:paraId="0950C59D"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n-US"/>
              </w:rPr>
              <w:t>0</w:t>
            </w:r>
          </w:p>
        </w:tc>
        <w:tc>
          <w:tcPr>
            <w:tcW w:w="486" w:type="pct"/>
            <w:tcBorders>
              <w:top w:val="nil"/>
              <w:left w:val="nil"/>
              <w:bottom w:val="single" w:sz="4" w:space="0" w:color="auto"/>
              <w:right w:val="single" w:sz="4" w:space="0" w:color="auto"/>
            </w:tcBorders>
            <w:shd w:val="clear" w:color="auto" w:fill="auto"/>
            <w:hideMark/>
          </w:tcPr>
          <w:p w14:paraId="7AB9BAA6"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s-ES"/>
              </w:rPr>
              <w:t>171</w:t>
            </w:r>
          </w:p>
        </w:tc>
      </w:tr>
      <w:tr w:rsidR="00646828" w:rsidRPr="00F050E3" w14:paraId="4D1A935C" w14:textId="77777777" w:rsidTr="008354C5">
        <w:trPr>
          <w:trHeight w:val="315"/>
          <w:jc w:val="center"/>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56CEFC67" w14:textId="77777777" w:rsidR="00646828" w:rsidRPr="00F050E3" w:rsidRDefault="00646828" w:rsidP="008354C5">
            <w:pPr>
              <w:spacing w:after="0"/>
              <w:jc w:val="both"/>
              <w:rPr>
                <w:rFonts w:ascii="Times New Roman" w:hAnsi="Times New Roman"/>
                <w:lang w:val="en-US" w:eastAsia="en-US"/>
              </w:rPr>
            </w:pPr>
            <w:r w:rsidRPr="00F050E3">
              <w:rPr>
                <w:rFonts w:ascii="Times New Roman" w:hAnsi="Times New Roman"/>
                <w:lang w:eastAsia="en-US"/>
              </w:rPr>
              <w:t>SR</w:t>
            </w:r>
          </w:p>
        </w:tc>
        <w:tc>
          <w:tcPr>
            <w:tcW w:w="2669" w:type="pct"/>
            <w:tcBorders>
              <w:top w:val="nil"/>
              <w:left w:val="nil"/>
              <w:bottom w:val="single" w:sz="4" w:space="0" w:color="auto"/>
              <w:right w:val="single" w:sz="4" w:space="0" w:color="auto"/>
            </w:tcBorders>
            <w:shd w:val="clear" w:color="auto" w:fill="auto"/>
            <w:vAlign w:val="center"/>
            <w:hideMark/>
          </w:tcPr>
          <w:p w14:paraId="5DB5EF68" w14:textId="77777777" w:rsidR="00646828" w:rsidRPr="00F050E3" w:rsidRDefault="00646828" w:rsidP="008354C5">
            <w:pPr>
              <w:spacing w:after="0"/>
              <w:rPr>
                <w:rFonts w:ascii="Times New Roman" w:hAnsi="Times New Roman"/>
                <w:lang w:val="en-US" w:eastAsia="en-US"/>
              </w:rPr>
            </w:pPr>
            <w:r w:rsidRPr="00F050E3">
              <w:rPr>
                <w:rFonts w:ascii="Times New Roman" w:hAnsi="Times New Roman"/>
                <w:lang w:val="fr-FR" w:eastAsia="en-US"/>
              </w:rPr>
              <w:t xml:space="preserve">Sarampión y rubeola </w:t>
            </w:r>
          </w:p>
        </w:tc>
        <w:tc>
          <w:tcPr>
            <w:tcW w:w="405" w:type="pct"/>
            <w:tcBorders>
              <w:top w:val="nil"/>
              <w:left w:val="nil"/>
              <w:bottom w:val="single" w:sz="4" w:space="0" w:color="auto"/>
              <w:right w:val="single" w:sz="4" w:space="0" w:color="auto"/>
            </w:tcBorders>
            <w:shd w:val="clear" w:color="auto" w:fill="auto"/>
            <w:hideMark/>
          </w:tcPr>
          <w:p w14:paraId="27AE4984"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s-ES"/>
              </w:rPr>
              <w:t>83</w:t>
            </w:r>
          </w:p>
        </w:tc>
        <w:tc>
          <w:tcPr>
            <w:tcW w:w="513" w:type="pct"/>
            <w:tcBorders>
              <w:top w:val="nil"/>
              <w:left w:val="nil"/>
              <w:bottom w:val="single" w:sz="4" w:space="0" w:color="auto"/>
              <w:right w:val="single" w:sz="4" w:space="0" w:color="auto"/>
            </w:tcBorders>
            <w:shd w:val="clear" w:color="auto" w:fill="auto"/>
            <w:vAlign w:val="center"/>
            <w:hideMark/>
          </w:tcPr>
          <w:p w14:paraId="64471389"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n-US"/>
              </w:rPr>
              <w:t>0</w:t>
            </w:r>
          </w:p>
        </w:tc>
        <w:tc>
          <w:tcPr>
            <w:tcW w:w="486" w:type="pct"/>
            <w:tcBorders>
              <w:top w:val="nil"/>
              <w:left w:val="nil"/>
              <w:bottom w:val="single" w:sz="4" w:space="0" w:color="auto"/>
              <w:right w:val="single" w:sz="4" w:space="0" w:color="auto"/>
            </w:tcBorders>
            <w:shd w:val="clear" w:color="auto" w:fill="auto"/>
            <w:hideMark/>
          </w:tcPr>
          <w:p w14:paraId="15C54CA8"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s-ES"/>
              </w:rPr>
              <w:t>83</w:t>
            </w:r>
          </w:p>
        </w:tc>
      </w:tr>
      <w:tr w:rsidR="00646828" w:rsidRPr="00F050E3" w14:paraId="23D5C00D" w14:textId="77777777" w:rsidTr="008354C5">
        <w:trPr>
          <w:trHeight w:val="300"/>
          <w:jc w:val="center"/>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0F941175" w14:textId="77777777" w:rsidR="00646828" w:rsidRPr="00F050E3" w:rsidRDefault="00646828" w:rsidP="008354C5">
            <w:pPr>
              <w:spacing w:after="0"/>
              <w:rPr>
                <w:rFonts w:ascii="Times New Roman" w:hAnsi="Times New Roman"/>
                <w:lang w:val="en-US" w:eastAsia="en-US"/>
              </w:rPr>
            </w:pPr>
            <w:r w:rsidRPr="00F050E3">
              <w:rPr>
                <w:rFonts w:ascii="Times New Roman" w:hAnsi="Times New Roman"/>
                <w:lang w:eastAsia="en-US"/>
              </w:rPr>
              <w:t>DT Adulto</w:t>
            </w:r>
          </w:p>
        </w:tc>
        <w:tc>
          <w:tcPr>
            <w:tcW w:w="2669" w:type="pct"/>
            <w:tcBorders>
              <w:top w:val="nil"/>
              <w:left w:val="nil"/>
              <w:bottom w:val="single" w:sz="4" w:space="0" w:color="auto"/>
              <w:right w:val="single" w:sz="4" w:space="0" w:color="auto"/>
            </w:tcBorders>
            <w:shd w:val="clear" w:color="auto" w:fill="auto"/>
            <w:vAlign w:val="center"/>
            <w:hideMark/>
          </w:tcPr>
          <w:p w14:paraId="3E6E7199" w14:textId="77777777" w:rsidR="00646828" w:rsidRPr="00F050E3" w:rsidRDefault="00646828" w:rsidP="008354C5">
            <w:pPr>
              <w:spacing w:after="0"/>
              <w:rPr>
                <w:rFonts w:ascii="Times New Roman" w:hAnsi="Times New Roman"/>
                <w:lang w:val="en-US" w:eastAsia="en-US"/>
              </w:rPr>
            </w:pPr>
            <w:r w:rsidRPr="00F050E3">
              <w:rPr>
                <w:rFonts w:ascii="Times New Roman" w:hAnsi="Times New Roman"/>
                <w:lang w:eastAsia="en-US"/>
              </w:rPr>
              <w:t xml:space="preserve">Tétanos, Difteria </w:t>
            </w:r>
          </w:p>
        </w:tc>
        <w:tc>
          <w:tcPr>
            <w:tcW w:w="405" w:type="pct"/>
            <w:tcBorders>
              <w:top w:val="nil"/>
              <w:left w:val="nil"/>
              <w:bottom w:val="single" w:sz="4" w:space="0" w:color="auto"/>
              <w:right w:val="single" w:sz="4" w:space="0" w:color="auto"/>
            </w:tcBorders>
            <w:shd w:val="clear" w:color="auto" w:fill="auto"/>
            <w:hideMark/>
          </w:tcPr>
          <w:p w14:paraId="2E08C7FC"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val="en-US" w:eastAsia="en-US"/>
              </w:rPr>
              <w:t>0</w:t>
            </w:r>
          </w:p>
        </w:tc>
        <w:tc>
          <w:tcPr>
            <w:tcW w:w="513" w:type="pct"/>
            <w:tcBorders>
              <w:top w:val="nil"/>
              <w:left w:val="nil"/>
              <w:bottom w:val="single" w:sz="4" w:space="0" w:color="auto"/>
              <w:right w:val="single" w:sz="4" w:space="0" w:color="auto"/>
            </w:tcBorders>
            <w:shd w:val="clear" w:color="auto" w:fill="auto"/>
            <w:vAlign w:val="center"/>
            <w:hideMark/>
          </w:tcPr>
          <w:p w14:paraId="21ECDA60"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n-US"/>
              </w:rPr>
              <w:t>1,040</w:t>
            </w:r>
          </w:p>
        </w:tc>
        <w:tc>
          <w:tcPr>
            <w:tcW w:w="486" w:type="pct"/>
            <w:tcBorders>
              <w:top w:val="nil"/>
              <w:left w:val="nil"/>
              <w:bottom w:val="single" w:sz="4" w:space="0" w:color="auto"/>
              <w:right w:val="single" w:sz="4" w:space="0" w:color="auto"/>
            </w:tcBorders>
            <w:shd w:val="clear" w:color="auto" w:fill="auto"/>
            <w:hideMark/>
          </w:tcPr>
          <w:p w14:paraId="168267D3"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val="en-US" w:eastAsia="en-US"/>
              </w:rPr>
              <w:t>1,040</w:t>
            </w:r>
          </w:p>
        </w:tc>
      </w:tr>
      <w:tr w:rsidR="00646828" w:rsidRPr="00F050E3" w14:paraId="23B1563C" w14:textId="77777777" w:rsidTr="008354C5">
        <w:trPr>
          <w:trHeight w:val="84"/>
          <w:jc w:val="center"/>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5A35879D" w14:textId="77777777" w:rsidR="00646828" w:rsidRPr="00F050E3" w:rsidRDefault="00646828" w:rsidP="008354C5">
            <w:pPr>
              <w:spacing w:after="0"/>
              <w:rPr>
                <w:rFonts w:ascii="Times New Roman" w:hAnsi="Times New Roman"/>
                <w:lang w:eastAsia="en-US"/>
              </w:rPr>
            </w:pPr>
            <w:r w:rsidRPr="00F050E3">
              <w:rPr>
                <w:rFonts w:ascii="Times New Roman" w:hAnsi="Times New Roman"/>
                <w:lang w:eastAsia="en-US"/>
              </w:rPr>
              <w:t xml:space="preserve">DT niños </w:t>
            </w:r>
            <w:r w:rsidRPr="00F050E3">
              <w:rPr>
                <w:rStyle w:val="Refdenotaalpie"/>
                <w:rFonts w:ascii="Times New Roman" w:hAnsi="Times New Roman"/>
                <w:lang w:eastAsia="es-DO"/>
              </w:rPr>
              <w:footnoteReference w:id="30"/>
            </w:r>
          </w:p>
        </w:tc>
        <w:tc>
          <w:tcPr>
            <w:tcW w:w="2669" w:type="pct"/>
            <w:tcBorders>
              <w:top w:val="nil"/>
              <w:left w:val="nil"/>
              <w:bottom w:val="single" w:sz="4" w:space="0" w:color="auto"/>
              <w:right w:val="single" w:sz="4" w:space="0" w:color="auto"/>
            </w:tcBorders>
            <w:shd w:val="clear" w:color="auto" w:fill="auto"/>
            <w:vAlign w:val="center"/>
            <w:hideMark/>
          </w:tcPr>
          <w:p w14:paraId="52A08A85" w14:textId="77777777" w:rsidR="00646828" w:rsidRPr="00F050E3" w:rsidRDefault="00646828" w:rsidP="008354C5">
            <w:pPr>
              <w:spacing w:after="0"/>
              <w:rPr>
                <w:rFonts w:ascii="Times New Roman" w:hAnsi="Times New Roman"/>
                <w:lang w:val="en-US" w:eastAsia="en-US"/>
              </w:rPr>
            </w:pPr>
            <w:r w:rsidRPr="00F050E3">
              <w:rPr>
                <w:rFonts w:ascii="Times New Roman" w:hAnsi="Times New Roman"/>
                <w:lang w:eastAsia="en-US"/>
              </w:rPr>
              <w:t>Tétanos, Difteria</w:t>
            </w:r>
          </w:p>
        </w:tc>
        <w:tc>
          <w:tcPr>
            <w:tcW w:w="405" w:type="pct"/>
            <w:tcBorders>
              <w:top w:val="nil"/>
              <w:left w:val="nil"/>
              <w:bottom w:val="single" w:sz="4" w:space="0" w:color="auto"/>
              <w:right w:val="single" w:sz="4" w:space="0" w:color="auto"/>
            </w:tcBorders>
            <w:shd w:val="clear" w:color="auto" w:fill="auto"/>
            <w:hideMark/>
          </w:tcPr>
          <w:p w14:paraId="73EEED26"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s-ES"/>
              </w:rPr>
              <w:t>73</w:t>
            </w:r>
          </w:p>
        </w:tc>
        <w:tc>
          <w:tcPr>
            <w:tcW w:w="513" w:type="pct"/>
            <w:tcBorders>
              <w:top w:val="nil"/>
              <w:left w:val="nil"/>
              <w:bottom w:val="single" w:sz="4" w:space="0" w:color="auto"/>
              <w:right w:val="single" w:sz="4" w:space="0" w:color="auto"/>
            </w:tcBorders>
            <w:shd w:val="clear" w:color="auto" w:fill="auto"/>
            <w:vAlign w:val="center"/>
            <w:hideMark/>
          </w:tcPr>
          <w:p w14:paraId="300CCD08"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n-US"/>
              </w:rPr>
              <w:t>0</w:t>
            </w:r>
          </w:p>
        </w:tc>
        <w:tc>
          <w:tcPr>
            <w:tcW w:w="486" w:type="pct"/>
            <w:tcBorders>
              <w:top w:val="nil"/>
              <w:left w:val="nil"/>
              <w:bottom w:val="single" w:sz="4" w:space="0" w:color="auto"/>
              <w:right w:val="single" w:sz="4" w:space="0" w:color="auto"/>
            </w:tcBorders>
            <w:shd w:val="clear" w:color="auto" w:fill="auto"/>
            <w:hideMark/>
          </w:tcPr>
          <w:p w14:paraId="76227A0E"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s-ES"/>
              </w:rPr>
              <w:t>73</w:t>
            </w:r>
          </w:p>
        </w:tc>
      </w:tr>
      <w:tr w:rsidR="00646828" w:rsidRPr="00F050E3" w14:paraId="7BCA3CE1" w14:textId="77777777" w:rsidTr="008354C5">
        <w:trPr>
          <w:trHeight w:val="315"/>
          <w:jc w:val="center"/>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65460C0B" w14:textId="77777777" w:rsidR="00646828" w:rsidRPr="00F050E3" w:rsidRDefault="00646828" w:rsidP="008354C5">
            <w:pPr>
              <w:spacing w:after="0"/>
              <w:jc w:val="both"/>
              <w:rPr>
                <w:rFonts w:ascii="Times New Roman" w:hAnsi="Times New Roman"/>
                <w:lang w:val="en-US" w:eastAsia="en-US"/>
              </w:rPr>
            </w:pPr>
            <w:r w:rsidRPr="00F050E3">
              <w:rPr>
                <w:rFonts w:ascii="Times New Roman" w:hAnsi="Times New Roman"/>
                <w:lang w:eastAsia="en-US"/>
              </w:rPr>
              <w:t>IPV</w:t>
            </w:r>
          </w:p>
        </w:tc>
        <w:tc>
          <w:tcPr>
            <w:tcW w:w="2669" w:type="pct"/>
            <w:tcBorders>
              <w:top w:val="nil"/>
              <w:left w:val="nil"/>
              <w:bottom w:val="single" w:sz="4" w:space="0" w:color="auto"/>
              <w:right w:val="single" w:sz="4" w:space="0" w:color="auto"/>
            </w:tcBorders>
            <w:shd w:val="clear" w:color="auto" w:fill="auto"/>
            <w:vAlign w:val="center"/>
            <w:hideMark/>
          </w:tcPr>
          <w:p w14:paraId="4B48F071" w14:textId="77777777" w:rsidR="00646828" w:rsidRPr="00F050E3" w:rsidRDefault="00646828" w:rsidP="008354C5">
            <w:pPr>
              <w:spacing w:after="0"/>
              <w:rPr>
                <w:rFonts w:ascii="Times New Roman" w:hAnsi="Times New Roman"/>
                <w:lang w:val="en-US" w:eastAsia="en-US"/>
              </w:rPr>
            </w:pPr>
            <w:r w:rsidRPr="00F050E3">
              <w:rPr>
                <w:rFonts w:ascii="Times New Roman" w:hAnsi="Times New Roman"/>
                <w:lang w:eastAsia="en-US"/>
              </w:rPr>
              <w:t> </w:t>
            </w:r>
          </w:p>
        </w:tc>
        <w:tc>
          <w:tcPr>
            <w:tcW w:w="405" w:type="pct"/>
            <w:tcBorders>
              <w:top w:val="nil"/>
              <w:left w:val="nil"/>
              <w:bottom w:val="single" w:sz="4" w:space="0" w:color="auto"/>
              <w:right w:val="single" w:sz="4" w:space="0" w:color="auto"/>
            </w:tcBorders>
            <w:shd w:val="clear" w:color="auto" w:fill="auto"/>
            <w:hideMark/>
          </w:tcPr>
          <w:p w14:paraId="483CEED9"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s-ES"/>
              </w:rPr>
              <w:t>31</w:t>
            </w:r>
          </w:p>
        </w:tc>
        <w:tc>
          <w:tcPr>
            <w:tcW w:w="513" w:type="pct"/>
            <w:tcBorders>
              <w:top w:val="nil"/>
              <w:left w:val="nil"/>
              <w:bottom w:val="single" w:sz="4" w:space="0" w:color="auto"/>
              <w:right w:val="single" w:sz="4" w:space="0" w:color="auto"/>
            </w:tcBorders>
            <w:shd w:val="clear" w:color="auto" w:fill="auto"/>
            <w:vAlign w:val="center"/>
            <w:hideMark/>
          </w:tcPr>
          <w:p w14:paraId="64A3E5D4"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n-US"/>
              </w:rPr>
              <w:t>0</w:t>
            </w:r>
          </w:p>
        </w:tc>
        <w:tc>
          <w:tcPr>
            <w:tcW w:w="486" w:type="pct"/>
            <w:tcBorders>
              <w:top w:val="nil"/>
              <w:left w:val="nil"/>
              <w:bottom w:val="single" w:sz="4" w:space="0" w:color="auto"/>
              <w:right w:val="single" w:sz="4" w:space="0" w:color="auto"/>
            </w:tcBorders>
            <w:shd w:val="clear" w:color="auto" w:fill="auto"/>
            <w:hideMark/>
          </w:tcPr>
          <w:p w14:paraId="7EB4DE89"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s-ES"/>
              </w:rPr>
              <w:t>31</w:t>
            </w:r>
          </w:p>
        </w:tc>
      </w:tr>
      <w:tr w:rsidR="00646828" w:rsidRPr="00F050E3" w14:paraId="1AD7917C" w14:textId="77777777" w:rsidTr="008354C5">
        <w:trPr>
          <w:trHeight w:val="300"/>
          <w:jc w:val="center"/>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188E818C" w14:textId="77777777" w:rsidR="00646828" w:rsidRPr="00F050E3" w:rsidRDefault="00646828" w:rsidP="008354C5">
            <w:pPr>
              <w:spacing w:after="0"/>
              <w:rPr>
                <w:rFonts w:ascii="Times New Roman" w:hAnsi="Times New Roman"/>
                <w:lang w:val="en-US" w:eastAsia="en-US"/>
              </w:rPr>
            </w:pPr>
            <w:r w:rsidRPr="00F050E3">
              <w:rPr>
                <w:rFonts w:ascii="Times New Roman" w:hAnsi="Times New Roman"/>
                <w:lang w:eastAsia="en-US"/>
              </w:rPr>
              <w:t xml:space="preserve">Influenza </w:t>
            </w:r>
          </w:p>
        </w:tc>
        <w:tc>
          <w:tcPr>
            <w:tcW w:w="2669" w:type="pct"/>
            <w:tcBorders>
              <w:top w:val="nil"/>
              <w:left w:val="nil"/>
              <w:bottom w:val="single" w:sz="4" w:space="0" w:color="auto"/>
              <w:right w:val="single" w:sz="4" w:space="0" w:color="auto"/>
            </w:tcBorders>
            <w:shd w:val="clear" w:color="auto" w:fill="auto"/>
            <w:vAlign w:val="center"/>
            <w:hideMark/>
          </w:tcPr>
          <w:p w14:paraId="2E0C8A70" w14:textId="77777777" w:rsidR="00646828" w:rsidRPr="00F050E3" w:rsidRDefault="00646828" w:rsidP="008354C5">
            <w:pPr>
              <w:spacing w:after="0"/>
              <w:rPr>
                <w:rFonts w:ascii="Times New Roman" w:hAnsi="Times New Roman"/>
                <w:lang w:val="en-US" w:eastAsia="en-US"/>
              </w:rPr>
            </w:pPr>
            <w:r w:rsidRPr="00F050E3">
              <w:rPr>
                <w:rFonts w:ascii="Times New Roman" w:hAnsi="Times New Roman"/>
                <w:lang w:eastAsia="en-US"/>
              </w:rPr>
              <w:t xml:space="preserve">Influenza </w:t>
            </w:r>
          </w:p>
        </w:tc>
        <w:tc>
          <w:tcPr>
            <w:tcW w:w="405" w:type="pct"/>
            <w:tcBorders>
              <w:top w:val="nil"/>
              <w:left w:val="nil"/>
              <w:bottom w:val="single" w:sz="4" w:space="0" w:color="auto"/>
              <w:right w:val="single" w:sz="4" w:space="0" w:color="auto"/>
            </w:tcBorders>
            <w:shd w:val="clear" w:color="auto" w:fill="auto"/>
            <w:hideMark/>
          </w:tcPr>
          <w:p w14:paraId="3227B578"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s-ES"/>
              </w:rPr>
              <w:t>150</w:t>
            </w:r>
          </w:p>
        </w:tc>
        <w:tc>
          <w:tcPr>
            <w:tcW w:w="513" w:type="pct"/>
            <w:tcBorders>
              <w:top w:val="nil"/>
              <w:left w:val="nil"/>
              <w:bottom w:val="single" w:sz="4" w:space="0" w:color="auto"/>
              <w:right w:val="single" w:sz="4" w:space="0" w:color="auto"/>
            </w:tcBorders>
            <w:shd w:val="clear" w:color="auto" w:fill="auto"/>
            <w:vAlign w:val="center"/>
            <w:hideMark/>
          </w:tcPr>
          <w:p w14:paraId="38697AB6"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n-US"/>
              </w:rPr>
              <w:t>0</w:t>
            </w:r>
          </w:p>
        </w:tc>
        <w:tc>
          <w:tcPr>
            <w:tcW w:w="486" w:type="pct"/>
            <w:tcBorders>
              <w:top w:val="nil"/>
              <w:left w:val="nil"/>
              <w:bottom w:val="single" w:sz="4" w:space="0" w:color="auto"/>
              <w:right w:val="single" w:sz="4" w:space="0" w:color="auto"/>
            </w:tcBorders>
            <w:shd w:val="clear" w:color="auto" w:fill="auto"/>
            <w:hideMark/>
          </w:tcPr>
          <w:p w14:paraId="419561D9"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s-ES"/>
              </w:rPr>
              <w:t>150</w:t>
            </w:r>
          </w:p>
        </w:tc>
      </w:tr>
      <w:tr w:rsidR="00646828" w:rsidRPr="00F050E3" w14:paraId="0A255F56" w14:textId="77777777" w:rsidTr="008354C5">
        <w:trPr>
          <w:trHeight w:val="77"/>
          <w:jc w:val="center"/>
        </w:trPr>
        <w:tc>
          <w:tcPr>
            <w:tcW w:w="925" w:type="pct"/>
            <w:tcBorders>
              <w:top w:val="nil"/>
              <w:left w:val="single" w:sz="4" w:space="0" w:color="auto"/>
              <w:bottom w:val="single" w:sz="4" w:space="0" w:color="auto"/>
              <w:right w:val="single" w:sz="4" w:space="0" w:color="auto"/>
            </w:tcBorders>
            <w:shd w:val="clear" w:color="auto" w:fill="auto"/>
            <w:vAlign w:val="center"/>
            <w:hideMark/>
          </w:tcPr>
          <w:p w14:paraId="5AF4F8BE" w14:textId="77777777" w:rsidR="00646828" w:rsidRPr="00F050E3" w:rsidRDefault="00646828" w:rsidP="008354C5">
            <w:pPr>
              <w:spacing w:after="0"/>
              <w:jc w:val="both"/>
              <w:rPr>
                <w:rFonts w:ascii="Times New Roman" w:hAnsi="Times New Roman"/>
                <w:lang w:val="en-US" w:eastAsia="en-US"/>
              </w:rPr>
            </w:pPr>
            <w:r w:rsidRPr="00F050E3">
              <w:rPr>
                <w:rFonts w:ascii="Times New Roman" w:hAnsi="Times New Roman"/>
                <w:lang w:eastAsia="en-US"/>
              </w:rPr>
              <w:t>Vph</w:t>
            </w:r>
          </w:p>
        </w:tc>
        <w:tc>
          <w:tcPr>
            <w:tcW w:w="2669" w:type="pct"/>
            <w:tcBorders>
              <w:top w:val="nil"/>
              <w:left w:val="nil"/>
              <w:bottom w:val="single" w:sz="4" w:space="0" w:color="auto"/>
              <w:right w:val="single" w:sz="4" w:space="0" w:color="auto"/>
            </w:tcBorders>
            <w:shd w:val="clear" w:color="auto" w:fill="auto"/>
            <w:vAlign w:val="center"/>
            <w:hideMark/>
          </w:tcPr>
          <w:p w14:paraId="02F781CB" w14:textId="77777777" w:rsidR="00646828" w:rsidRPr="00F050E3" w:rsidRDefault="00646828" w:rsidP="008354C5">
            <w:pPr>
              <w:spacing w:after="0"/>
              <w:rPr>
                <w:rFonts w:ascii="Times New Roman" w:hAnsi="Times New Roman"/>
                <w:lang w:val="en-US" w:eastAsia="en-US"/>
              </w:rPr>
            </w:pPr>
            <w:r w:rsidRPr="00F050E3">
              <w:rPr>
                <w:rFonts w:ascii="Times New Roman" w:hAnsi="Times New Roman"/>
                <w:lang w:eastAsia="en-US"/>
              </w:rPr>
              <w:t>Virus del papiloma Humano</w:t>
            </w:r>
          </w:p>
        </w:tc>
        <w:tc>
          <w:tcPr>
            <w:tcW w:w="405" w:type="pct"/>
            <w:tcBorders>
              <w:top w:val="nil"/>
              <w:left w:val="nil"/>
              <w:bottom w:val="single" w:sz="4" w:space="0" w:color="auto"/>
              <w:right w:val="single" w:sz="4" w:space="0" w:color="auto"/>
            </w:tcBorders>
            <w:shd w:val="clear" w:color="auto" w:fill="auto"/>
            <w:hideMark/>
          </w:tcPr>
          <w:p w14:paraId="6C3B0A62"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s-ES"/>
              </w:rPr>
              <w:t>0</w:t>
            </w:r>
          </w:p>
        </w:tc>
        <w:tc>
          <w:tcPr>
            <w:tcW w:w="513" w:type="pct"/>
            <w:tcBorders>
              <w:top w:val="nil"/>
              <w:left w:val="nil"/>
              <w:bottom w:val="single" w:sz="4" w:space="0" w:color="auto"/>
              <w:right w:val="single" w:sz="4" w:space="0" w:color="auto"/>
            </w:tcBorders>
            <w:shd w:val="clear" w:color="auto" w:fill="auto"/>
            <w:vAlign w:val="center"/>
            <w:hideMark/>
          </w:tcPr>
          <w:p w14:paraId="300A2FF1"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n-US"/>
              </w:rPr>
              <w:t>0</w:t>
            </w:r>
          </w:p>
        </w:tc>
        <w:tc>
          <w:tcPr>
            <w:tcW w:w="486" w:type="pct"/>
            <w:tcBorders>
              <w:top w:val="nil"/>
              <w:left w:val="nil"/>
              <w:bottom w:val="single" w:sz="4" w:space="0" w:color="auto"/>
              <w:right w:val="single" w:sz="4" w:space="0" w:color="auto"/>
            </w:tcBorders>
            <w:shd w:val="clear" w:color="auto" w:fill="auto"/>
            <w:hideMark/>
          </w:tcPr>
          <w:p w14:paraId="11DDEEF8" w14:textId="77777777" w:rsidR="00646828" w:rsidRPr="00F050E3" w:rsidRDefault="00646828" w:rsidP="008354C5">
            <w:pPr>
              <w:spacing w:after="0"/>
              <w:jc w:val="center"/>
              <w:rPr>
                <w:rFonts w:ascii="Times New Roman" w:hAnsi="Times New Roman"/>
                <w:lang w:val="en-US" w:eastAsia="en-US"/>
              </w:rPr>
            </w:pPr>
            <w:r w:rsidRPr="00F050E3">
              <w:rPr>
                <w:rFonts w:ascii="Times New Roman" w:hAnsi="Times New Roman"/>
                <w:lang w:eastAsia="es-ES"/>
              </w:rPr>
              <w:t>0</w:t>
            </w:r>
          </w:p>
        </w:tc>
      </w:tr>
      <w:tr w:rsidR="00646828" w:rsidRPr="00F050E3" w14:paraId="713C937A" w14:textId="77777777" w:rsidTr="00610B59">
        <w:trPr>
          <w:trHeight w:val="300"/>
          <w:jc w:val="center"/>
        </w:trPr>
        <w:tc>
          <w:tcPr>
            <w:tcW w:w="3595" w:type="pct"/>
            <w:gridSpan w:val="2"/>
            <w:tcBorders>
              <w:top w:val="single" w:sz="4" w:space="0" w:color="auto"/>
              <w:left w:val="single" w:sz="4" w:space="0" w:color="auto"/>
              <w:bottom w:val="single" w:sz="4" w:space="0" w:color="auto"/>
              <w:right w:val="single" w:sz="4" w:space="0" w:color="000000"/>
            </w:tcBorders>
            <w:shd w:val="clear" w:color="auto" w:fill="808080" w:themeFill="background1" w:themeFillShade="80"/>
            <w:vAlign w:val="center"/>
            <w:hideMark/>
          </w:tcPr>
          <w:p w14:paraId="56C72568" w14:textId="77777777" w:rsidR="00646828" w:rsidRPr="00F050E3" w:rsidRDefault="00646828" w:rsidP="008354C5">
            <w:pPr>
              <w:spacing w:after="0"/>
              <w:jc w:val="right"/>
              <w:rPr>
                <w:rFonts w:ascii="Times New Roman" w:hAnsi="Times New Roman"/>
                <w:b/>
                <w:bCs/>
                <w:color w:val="FFFFFF" w:themeColor="background1"/>
                <w:lang w:val="en-US" w:eastAsia="en-US"/>
              </w:rPr>
            </w:pPr>
            <w:r w:rsidRPr="00F050E3">
              <w:rPr>
                <w:rFonts w:ascii="Times New Roman" w:hAnsi="Times New Roman"/>
                <w:b/>
                <w:bCs/>
                <w:color w:val="FFFFFF" w:themeColor="background1"/>
                <w:lang w:eastAsia="en-US"/>
              </w:rPr>
              <w:t>Totales</w:t>
            </w:r>
          </w:p>
        </w:tc>
        <w:tc>
          <w:tcPr>
            <w:tcW w:w="405" w:type="pct"/>
            <w:tcBorders>
              <w:top w:val="nil"/>
              <w:left w:val="nil"/>
              <w:bottom w:val="single" w:sz="4" w:space="0" w:color="auto"/>
              <w:right w:val="single" w:sz="4" w:space="0" w:color="auto"/>
            </w:tcBorders>
            <w:shd w:val="clear" w:color="auto" w:fill="808080" w:themeFill="background1" w:themeFillShade="80"/>
            <w:vAlign w:val="center"/>
            <w:hideMark/>
          </w:tcPr>
          <w:p w14:paraId="30F2E558" w14:textId="77777777" w:rsidR="00646828" w:rsidRPr="00F050E3" w:rsidRDefault="00646828" w:rsidP="008354C5">
            <w:pPr>
              <w:spacing w:after="0"/>
              <w:jc w:val="center"/>
              <w:rPr>
                <w:rFonts w:ascii="Times New Roman" w:hAnsi="Times New Roman"/>
                <w:b/>
                <w:color w:val="FFFFFF" w:themeColor="background1"/>
                <w:lang w:val="en-US" w:eastAsia="en-US"/>
              </w:rPr>
            </w:pPr>
            <w:r w:rsidRPr="00F050E3">
              <w:rPr>
                <w:rFonts w:ascii="Times New Roman" w:hAnsi="Times New Roman"/>
                <w:b/>
                <w:color w:val="FFFFFF" w:themeColor="background1"/>
                <w:lang w:eastAsia="en-US"/>
              </w:rPr>
              <w:t>1,475</w:t>
            </w:r>
          </w:p>
        </w:tc>
        <w:tc>
          <w:tcPr>
            <w:tcW w:w="513" w:type="pct"/>
            <w:tcBorders>
              <w:top w:val="nil"/>
              <w:left w:val="nil"/>
              <w:bottom w:val="single" w:sz="4" w:space="0" w:color="auto"/>
              <w:right w:val="single" w:sz="4" w:space="0" w:color="auto"/>
            </w:tcBorders>
            <w:shd w:val="clear" w:color="auto" w:fill="808080" w:themeFill="background1" w:themeFillShade="80"/>
            <w:vAlign w:val="center"/>
            <w:hideMark/>
          </w:tcPr>
          <w:p w14:paraId="71551D49" w14:textId="77777777" w:rsidR="00646828" w:rsidRPr="00F050E3" w:rsidRDefault="00646828" w:rsidP="008354C5">
            <w:pPr>
              <w:spacing w:after="0"/>
              <w:jc w:val="center"/>
              <w:rPr>
                <w:rFonts w:ascii="Times New Roman" w:hAnsi="Times New Roman"/>
                <w:b/>
                <w:color w:val="FFFFFF" w:themeColor="background1"/>
                <w:lang w:val="en-US" w:eastAsia="en-US"/>
              </w:rPr>
            </w:pPr>
            <w:r w:rsidRPr="00F050E3">
              <w:rPr>
                <w:rFonts w:ascii="Times New Roman" w:hAnsi="Times New Roman"/>
                <w:b/>
                <w:color w:val="FFFFFF" w:themeColor="background1"/>
                <w:lang w:eastAsia="en-US"/>
              </w:rPr>
              <w:t>1,040</w:t>
            </w:r>
          </w:p>
        </w:tc>
        <w:tc>
          <w:tcPr>
            <w:tcW w:w="486" w:type="pct"/>
            <w:tcBorders>
              <w:top w:val="nil"/>
              <w:left w:val="nil"/>
              <w:bottom w:val="single" w:sz="4" w:space="0" w:color="auto"/>
              <w:right w:val="single" w:sz="4" w:space="0" w:color="auto"/>
            </w:tcBorders>
            <w:shd w:val="clear" w:color="auto" w:fill="808080" w:themeFill="background1" w:themeFillShade="80"/>
            <w:vAlign w:val="center"/>
            <w:hideMark/>
          </w:tcPr>
          <w:p w14:paraId="69515BD3" w14:textId="77777777" w:rsidR="00646828" w:rsidRPr="00F050E3" w:rsidRDefault="00646828" w:rsidP="008354C5">
            <w:pPr>
              <w:spacing w:after="0"/>
              <w:jc w:val="center"/>
              <w:rPr>
                <w:rFonts w:ascii="Times New Roman" w:hAnsi="Times New Roman"/>
                <w:b/>
                <w:color w:val="FFFFFF" w:themeColor="background1"/>
                <w:lang w:val="en-US" w:eastAsia="en-US"/>
              </w:rPr>
            </w:pPr>
            <w:r w:rsidRPr="00F050E3">
              <w:rPr>
                <w:rFonts w:ascii="Times New Roman" w:hAnsi="Times New Roman"/>
                <w:b/>
                <w:color w:val="FFFFFF" w:themeColor="background1"/>
                <w:lang w:eastAsia="en-US"/>
              </w:rPr>
              <w:t>2,515</w:t>
            </w:r>
          </w:p>
        </w:tc>
      </w:tr>
    </w:tbl>
    <w:p w14:paraId="3BF2A9C1" w14:textId="77777777" w:rsidR="00646828" w:rsidRPr="00F050E3" w:rsidRDefault="00646828" w:rsidP="00646828">
      <w:pPr>
        <w:spacing w:after="0" w:line="480" w:lineRule="auto"/>
        <w:ind w:firstLine="709"/>
        <w:jc w:val="both"/>
        <w:rPr>
          <w:rFonts w:ascii="Times New Roman" w:hAnsi="Times New Roman"/>
        </w:rPr>
      </w:pPr>
      <w:bookmarkStart w:id="355" w:name="_Toc440036756"/>
    </w:p>
    <w:p w14:paraId="67672375" w14:textId="77777777" w:rsidR="00646828" w:rsidRPr="00F050E3" w:rsidRDefault="00646828" w:rsidP="00646828">
      <w:pPr>
        <w:spacing w:after="0" w:line="480" w:lineRule="auto"/>
        <w:ind w:firstLine="709"/>
        <w:jc w:val="both"/>
        <w:rPr>
          <w:rFonts w:ascii="Times New Roman" w:hAnsi="Times New Roman"/>
        </w:rPr>
      </w:pPr>
      <w:r w:rsidRPr="00F050E3">
        <w:rPr>
          <w:rFonts w:ascii="Times New Roman" w:hAnsi="Times New Roman"/>
        </w:rPr>
        <w:t xml:space="preserve">Estas jornadas reciben el apoyo logístico, monitoreo, supervisión y fiscalización del Ministerio de Salud Pública y Asistencia Social, adicionalmente, </w:t>
      </w:r>
      <w:r w:rsidRPr="00F050E3">
        <w:rPr>
          <w:rFonts w:ascii="Times New Roman" w:hAnsi="Times New Roman"/>
        </w:rPr>
        <w:lastRenderedPageBreak/>
        <w:t>se hizo un operativo para hacer entrega a la comunidad de medicamentos colchones y pañales desechables a niños y adultos.</w:t>
      </w:r>
    </w:p>
    <w:p w14:paraId="2AECDA1D" w14:textId="77777777" w:rsidR="00610B59" w:rsidRPr="00F050E3" w:rsidRDefault="00610B59" w:rsidP="00646828">
      <w:pPr>
        <w:spacing w:after="0" w:line="480" w:lineRule="auto"/>
        <w:ind w:firstLine="709"/>
        <w:jc w:val="both"/>
        <w:rPr>
          <w:rFonts w:ascii="Times New Roman" w:hAnsi="Times New Roman"/>
        </w:rPr>
      </w:pPr>
    </w:p>
    <w:p w14:paraId="511FF218" w14:textId="77777777" w:rsidR="00610B59" w:rsidRPr="00F050E3" w:rsidRDefault="00610B59" w:rsidP="00610B59">
      <w:pPr>
        <w:rPr>
          <w:rFonts w:ascii="Times New Roman" w:hAnsi="Times New Roman"/>
          <w:bCs/>
          <w:lang w:eastAsia="es-ES"/>
        </w:rPr>
      </w:pPr>
      <w:r w:rsidRPr="00F050E3">
        <w:rPr>
          <w:rFonts w:ascii="Times New Roman" w:hAnsi="Times New Roman"/>
          <w:bCs/>
          <w:lang w:eastAsia="es-ES"/>
        </w:rPr>
        <w:t>Adicional a los servicios antes mencionados fueron ofrecidas:</w:t>
      </w:r>
    </w:p>
    <w:p w14:paraId="51975A76" w14:textId="77777777" w:rsidR="00610B59" w:rsidRPr="00F050E3" w:rsidRDefault="00610B59" w:rsidP="00610B59">
      <w:pPr>
        <w:spacing w:after="0"/>
        <w:jc w:val="center"/>
        <w:rPr>
          <w:rFonts w:ascii="Times New Roman" w:hAnsi="Times New Roman"/>
          <w:lang w:eastAsia="es-ES"/>
        </w:rPr>
      </w:pPr>
    </w:p>
    <w:p w14:paraId="36762F3E" w14:textId="77777777" w:rsidR="00610B59" w:rsidRPr="00F050E3" w:rsidRDefault="00610B59" w:rsidP="001C6B1A">
      <w:pPr>
        <w:numPr>
          <w:ilvl w:val="0"/>
          <w:numId w:val="40"/>
        </w:numPr>
        <w:spacing w:after="0"/>
        <w:jc w:val="both"/>
        <w:rPr>
          <w:rFonts w:ascii="Times New Roman" w:hAnsi="Times New Roman"/>
          <w:lang w:eastAsia="es-ES"/>
        </w:rPr>
      </w:pPr>
      <w:r w:rsidRPr="00F050E3">
        <w:rPr>
          <w:rFonts w:ascii="Times New Roman" w:hAnsi="Times New Roman"/>
          <w:lang w:eastAsia="es-ES"/>
        </w:rPr>
        <w:t>950 Licencias médicas a empleados a nivel nacional.</w:t>
      </w:r>
    </w:p>
    <w:p w14:paraId="6EFF3736" w14:textId="77777777" w:rsidR="00610B59" w:rsidRPr="00F050E3" w:rsidRDefault="00610B59" w:rsidP="00610B59">
      <w:pPr>
        <w:spacing w:after="0"/>
        <w:ind w:left="360"/>
        <w:jc w:val="both"/>
        <w:rPr>
          <w:rFonts w:ascii="Times New Roman" w:hAnsi="Times New Roman"/>
          <w:lang w:eastAsia="es-ES"/>
        </w:rPr>
      </w:pPr>
    </w:p>
    <w:p w14:paraId="4FF5FCB7" w14:textId="77777777" w:rsidR="00610B59" w:rsidRPr="00F050E3" w:rsidRDefault="00610B59" w:rsidP="001C6B1A">
      <w:pPr>
        <w:numPr>
          <w:ilvl w:val="0"/>
          <w:numId w:val="40"/>
        </w:numPr>
        <w:spacing w:after="0"/>
        <w:jc w:val="both"/>
        <w:rPr>
          <w:rFonts w:ascii="Times New Roman" w:hAnsi="Times New Roman"/>
          <w:color w:val="FF0000"/>
          <w:sz w:val="28"/>
          <w:lang w:eastAsia="es-ES"/>
        </w:rPr>
      </w:pPr>
      <w:r w:rsidRPr="00F050E3">
        <w:rPr>
          <w:rFonts w:ascii="Times New Roman" w:hAnsi="Times New Roman"/>
          <w:lang w:eastAsia="es-ES"/>
        </w:rPr>
        <w:t xml:space="preserve"> 650 emisiones de certificados médicos a escolares. </w:t>
      </w:r>
    </w:p>
    <w:p w14:paraId="7AC8313E" w14:textId="77777777" w:rsidR="00646828" w:rsidRPr="00F050E3" w:rsidRDefault="00646828" w:rsidP="002F0F07">
      <w:pPr>
        <w:pStyle w:val="Prrafodelista"/>
        <w:spacing w:after="0" w:line="480" w:lineRule="auto"/>
        <w:ind w:left="0" w:firstLine="720"/>
        <w:jc w:val="both"/>
        <w:rPr>
          <w:rFonts w:ascii="Times New Roman" w:hAnsi="Times New Roman"/>
          <w:b/>
          <w:sz w:val="24"/>
        </w:rPr>
      </w:pPr>
    </w:p>
    <w:p w14:paraId="00A9B948" w14:textId="029F3350" w:rsidR="00646828" w:rsidRPr="00F050E3" w:rsidRDefault="00646828" w:rsidP="00CA5792">
      <w:pPr>
        <w:pStyle w:val="Ttulo4"/>
      </w:pPr>
      <w:bookmarkStart w:id="356" w:name="_Toc26292130"/>
      <w:bookmarkStart w:id="357" w:name="_Toc440036757"/>
      <w:bookmarkStart w:id="358" w:name="_Toc470523412"/>
      <w:bookmarkStart w:id="359" w:name="_Toc27146821"/>
      <w:bookmarkEnd w:id="355"/>
      <w:r w:rsidRPr="00F050E3">
        <w:t>Organización de la Función de Recursos Humanos</w:t>
      </w:r>
      <w:bookmarkEnd w:id="356"/>
      <w:bookmarkEnd w:id="357"/>
      <w:bookmarkEnd w:id="358"/>
      <w:bookmarkEnd w:id="359"/>
    </w:p>
    <w:p w14:paraId="0A35A7FF" w14:textId="77777777" w:rsidR="00646828" w:rsidRPr="00F050E3" w:rsidRDefault="00646828" w:rsidP="00646828">
      <w:pPr>
        <w:spacing w:after="0" w:line="480" w:lineRule="auto"/>
        <w:ind w:firstLine="720"/>
        <w:jc w:val="both"/>
        <w:rPr>
          <w:rFonts w:ascii="Times New Roman" w:hAnsi="Times New Roman"/>
        </w:rPr>
      </w:pPr>
    </w:p>
    <w:p w14:paraId="477A94E4" w14:textId="7777777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t>Producto de la Auditoria de Gestión realizada por el Ministerio de Administración Pública, (MAP), durante el mes de octubre del presente año, se presentan los resultados de los señalamientos de dicha auditoria:</w:t>
      </w:r>
    </w:p>
    <w:p w14:paraId="44AEB719" w14:textId="77777777" w:rsidR="00646828" w:rsidRPr="00F050E3" w:rsidRDefault="00646828" w:rsidP="00646828">
      <w:pPr>
        <w:spacing w:after="0" w:line="480" w:lineRule="auto"/>
        <w:ind w:firstLine="720"/>
        <w:jc w:val="both"/>
        <w:rPr>
          <w:rFonts w:ascii="Times New Roman" w:hAnsi="Times New Roman"/>
        </w:rPr>
      </w:pPr>
    </w:p>
    <w:p w14:paraId="7DB30827" w14:textId="77777777" w:rsidR="00646828" w:rsidRPr="00F050E3" w:rsidRDefault="00646828" w:rsidP="001C6B1A">
      <w:pPr>
        <w:pStyle w:val="Prrafodelista"/>
        <w:numPr>
          <w:ilvl w:val="1"/>
          <w:numId w:val="12"/>
        </w:numPr>
        <w:tabs>
          <w:tab w:val="clear" w:pos="2008"/>
          <w:tab w:val="left" w:pos="709"/>
          <w:tab w:val="num" w:pos="1069"/>
          <w:tab w:val="left" w:pos="4111"/>
        </w:tabs>
        <w:spacing w:line="480" w:lineRule="auto"/>
        <w:ind w:left="1069"/>
        <w:jc w:val="both"/>
        <w:rPr>
          <w:rFonts w:ascii="Times New Roman" w:hAnsi="Times New Roman"/>
          <w:sz w:val="24"/>
          <w:szCs w:val="24"/>
        </w:rPr>
      </w:pPr>
      <w:r w:rsidRPr="00F050E3">
        <w:rPr>
          <w:rFonts w:ascii="Times New Roman" w:hAnsi="Times New Roman"/>
          <w:sz w:val="24"/>
          <w:szCs w:val="24"/>
        </w:rPr>
        <w:t>Establecer como política el proceso de Planificación de Recursos Humanos.</w:t>
      </w:r>
    </w:p>
    <w:p w14:paraId="584CCAB6" w14:textId="77777777" w:rsidR="00646828" w:rsidRPr="00F050E3" w:rsidRDefault="00646828" w:rsidP="001C6B1A">
      <w:pPr>
        <w:pStyle w:val="Prrafodelista"/>
        <w:numPr>
          <w:ilvl w:val="1"/>
          <w:numId w:val="12"/>
        </w:numPr>
        <w:tabs>
          <w:tab w:val="clear" w:pos="2008"/>
          <w:tab w:val="left" w:pos="709"/>
          <w:tab w:val="num" w:pos="1069"/>
          <w:tab w:val="left" w:pos="4111"/>
        </w:tabs>
        <w:spacing w:line="480" w:lineRule="auto"/>
        <w:ind w:left="1069"/>
        <w:jc w:val="both"/>
        <w:rPr>
          <w:rFonts w:ascii="Times New Roman" w:hAnsi="Times New Roman"/>
          <w:sz w:val="24"/>
          <w:szCs w:val="24"/>
        </w:rPr>
      </w:pPr>
      <w:r w:rsidRPr="00F050E3">
        <w:rPr>
          <w:rFonts w:ascii="Times New Roman" w:hAnsi="Times New Roman"/>
          <w:sz w:val="24"/>
          <w:szCs w:val="24"/>
        </w:rPr>
        <w:t>Implementar la Estructura de cargo aprobada por el MAP.</w:t>
      </w:r>
    </w:p>
    <w:p w14:paraId="15097C6A" w14:textId="77777777" w:rsidR="00646828" w:rsidRPr="00F050E3" w:rsidRDefault="00646828" w:rsidP="001C6B1A">
      <w:pPr>
        <w:pStyle w:val="Prrafodelista"/>
        <w:numPr>
          <w:ilvl w:val="1"/>
          <w:numId w:val="12"/>
        </w:numPr>
        <w:tabs>
          <w:tab w:val="clear" w:pos="2008"/>
          <w:tab w:val="left" w:pos="709"/>
          <w:tab w:val="num" w:pos="1069"/>
          <w:tab w:val="left" w:pos="4111"/>
        </w:tabs>
        <w:spacing w:line="480" w:lineRule="auto"/>
        <w:ind w:left="1069"/>
        <w:jc w:val="both"/>
        <w:rPr>
          <w:rFonts w:ascii="Times New Roman" w:hAnsi="Times New Roman"/>
          <w:sz w:val="24"/>
          <w:szCs w:val="24"/>
        </w:rPr>
      </w:pPr>
      <w:r w:rsidRPr="00F050E3">
        <w:rPr>
          <w:rFonts w:ascii="Times New Roman" w:hAnsi="Times New Roman"/>
          <w:sz w:val="24"/>
          <w:szCs w:val="24"/>
        </w:rPr>
        <w:t>Revisión final y gestionar aprobación e implementar el Manual de Funciones.</w:t>
      </w:r>
    </w:p>
    <w:p w14:paraId="27F6AF3F" w14:textId="77777777" w:rsidR="00646828" w:rsidRPr="00F050E3" w:rsidRDefault="00646828" w:rsidP="001C6B1A">
      <w:pPr>
        <w:pStyle w:val="Prrafodelista"/>
        <w:numPr>
          <w:ilvl w:val="1"/>
          <w:numId w:val="12"/>
        </w:numPr>
        <w:tabs>
          <w:tab w:val="clear" w:pos="2008"/>
          <w:tab w:val="left" w:pos="709"/>
          <w:tab w:val="num" w:pos="1069"/>
          <w:tab w:val="left" w:pos="4111"/>
        </w:tabs>
        <w:spacing w:line="480" w:lineRule="auto"/>
        <w:ind w:left="1069"/>
        <w:jc w:val="both"/>
        <w:rPr>
          <w:rFonts w:ascii="Times New Roman" w:hAnsi="Times New Roman"/>
          <w:sz w:val="24"/>
          <w:szCs w:val="24"/>
        </w:rPr>
      </w:pPr>
      <w:r w:rsidRPr="00F050E3">
        <w:rPr>
          <w:rFonts w:ascii="Times New Roman" w:hAnsi="Times New Roman"/>
          <w:sz w:val="24"/>
          <w:szCs w:val="24"/>
        </w:rPr>
        <w:t>Levantar información para la elaboración del mapa de procesos.</w:t>
      </w:r>
    </w:p>
    <w:p w14:paraId="3DADDB54" w14:textId="77777777" w:rsidR="00646828" w:rsidRPr="00F050E3" w:rsidRDefault="00646828" w:rsidP="001C6B1A">
      <w:pPr>
        <w:pStyle w:val="Prrafodelista"/>
        <w:numPr>
          <w:ilvl w:val="1"/>
          <w:numId w:val="12"/>
        </w:numPr>
        <w:tabs>
          <w:tab w:val="clear" w:pos="2008"/>
          <w:tab w:val="left" w:pos="709"/>
          <w:tab w:val="num" w:pos="1069"/>
          <w:tab w:val="left" w:pos="4111"/>
        </w:tabs>
        <w:spacing w:line="480" w:lineRule="auto"/>
        <w:ind w:left="1069"/>
        <w:jc w:val="both"/>
        <w:rPr>
          <w:rFonts w:ascii="Times New Roman" w:hAnsi="Times New Roman"/>
          <w:sz w:val="24"/>
          <w:szCs w:val="24"/>
        </w:rPr>
      </w:pPr>
      <w:r w:rsidRPr="00F050E3">
        <w:rPr>
          <w:rFonts w:ascii="Times New Roman" w:hAnsi="Times New Roman"/>
          <w:sz w:val="24"/>
          <w:szCs w:val="24"/>
        </w:rPr>
        <w:t>Llevar a cabo el procedimiento técnico de Reclutamiento y selección de personal.</w:t>
      </w:r>
    </w:p>
    <w:p w14:paraId="51C3FE61" w14:textId="77777777" w:rsidR="00646828" w:rsidRPr="00F050E3" w:rsidRDefault="00646828" w:rsidP="001C6B1A">
      <w:pPr>
        <w:pStyle w:val="Prrafodelista"/>
        <w:numPr>
          <w:ilvl w:val="1"/>
          <w:numId w:val="12"/>
        </w:numPr>
        <w:tabs>
          <w:tab w:val="clear" w:pos="2008"/>
          <w:tab w:val="left" w:pos="709"/>
          <w:tab w:val="num" w:pos="1069"/>
          <w:tab w:val="left" w:pos="4111"/>
        </w:tabs>
        <w:spacing w:line="480" w:lineRule="auto"/>
        <w:ind w:left="1069"/>
        <w:jc w:val="both"/>
        <w:rPr>
          <w:rFonts w:ascii="Times New Roman" w:hAnsi="Times New Roman"/>
          <w:sz w:val="24"/>
          <w:szCs w:val="24"/>
        </w:rPr>
      </w:pPr>
      <w:r w:rsidRPr="00F050E3">
        <w:rPr>
          <w:rFonts w:ascii="Times New Roman" w:hAnsi="Times New Roman"/>
          <w:sz w:val="24"/>
          <w:szCs w:val="24"/>
        </w:rPr>
        <w:t>Dar seguimiento al proyecto piloto de Evaluación del desempeño.</w:t>
      </w:r>
    </w:p>
    <w:p w14:paraId="6702B969" w14:textId="77777777" w:rsidR="00646828" w:rsidRPr="00F050E3" w:rsidRDefault="00646828" w:rsidP="001C6B1A">
      <w:pPr>
        <w:pStyle w:val="Prrafodelista"/>
        <w:numPr>
          <w:ilvl w:val="1"/>
          <w:numId w:val="12"/>
        </w:numPr>
        <w:tabs>
          <w:tab w:val="clear" w:pos="2008"/>
          <w:tab w:val="left" w:pos="709"/>
          <w:tab w:val="num" w:pos="1069"/>
          <w:tab w:val="left" w:pos="4111"/>
        </w:tabs>
        <w:spacing w:line="480" w:lineRule="auto"/>
        <w:ind w:left="1069"/>
        <w:jc w:val="both"/>
        <w:rPr>
          <w:rFonts w:ascii="Times New Roman" w:hAnsi="Times New Roman"/>
          <w:sz w:val="24"/>
          <w:szCs w:val="24"/>
        </w:rPr>
      </w:pPr>
      <w:r w:rsidRPr="00F050E3">
        <w:rPr>
          <w:rFonts w:ascii="Times New Roman" w:hAnsi="Times New Roman"/>
          <w:sz w:val="24"/>
          <w:szCs w:val="24"/>
        </w:rPr>
        <w:t>Elaborar e implementar una escala salarial.</w:t>
      </w:r>
    </w:p>
    <w:p w14:paraId="6E8FD9BE" w14:textId="77777777" w:rsidR="00646828" w:rsidRPr="00F050E3" w:rsidRDefault="00646828" w:rsidP="001C6B1A">
      <w:pPr>
        <w:pStyle w:val="Prrafodelista"/>
        <w:numPr>
          <w:ilvl w:val="1"/>
          <w:numId w:val="12"/>
        </w:numPr>
        <w:tabs>
          <w:tab w:val="clear" w:pos="2008"/>
          <w:tab w:val="left" w:pos="709"/>
          <w:tab w:val="num" w:pos="1069"/>
          <w:tab w:val="left" w:pos="4111"/>
        </w:tabs>
        <w:spacing w:line="480" w:lineRule="auto"/>
        <w:ind w:left="1069"/>
        <w:jc w:val="both"/>
        <w:rPr>
          <w:rFonts w:ascii="Times New Roman" w:hAnsi="Times New Roman"/>
          <w:sz w:val="24"/>
          <w:szCs w:val="24"/>
        </w:rPr>
      </w:pPr>
      <w:r w:rsidRPr="00F050E3">
        <w:rPr>
          <w:rFonts w:ascii="Times New Roman" w:hAnsi="Times New Roman"/>
          <w:sz w:val="24"/>
          <w:szCs w:val="24"/>
        </w:rPr>
        <w:lastRenderedPageBreak/>
        <w:t>Mantener actualizado los pagos por conceptos de beneficios laborales.</w:t>
      </w:r>
    </w:p>
    <w:p w14:paraId="1FA13DBE" w14:textId="77777777" w:rsidR="00646828" w:rsidRPr="00F050E3" w:rsidRDefault="00646828" w:rsidP="001C6B1A">
      <w:pPr>
        <w:pStyle w:val="Prrafodelista"/>
        <w:numPr>
          <w:ilvl w:val="1"/>
          <w:numId w:val="12"/>
        </w:numPr>
        <w:tabs>
          <w:tab w:val="clear" w:pos="2008"/>
          <w:tab w:val="left" w:pos="709"/>
          <w:tab w:val="num" w:pos="1069"/>
          <w:tab w:val="left" w:pos="4111"/>
        </w:tabs>
        <w:spacing w:line="480" w:lineRule="auto"/>
        <w:ind w:left="1069"/>
        <w:jc w:val="both"/>
        <w:rPr>
          <w:rFonts w:ascii="Times New Roman" w:hAnsi="Times New Roman"/>
          <w:sz w:val="24"/>
          <w:szCs w:val="24"/>
        </w:rPr>
      </w:pPr>
      <w:r w:rsidRPr="00F050E3">
        <w:rPr>
          <w:rFonts w:ascii="Times New Roman" w:hAnsi="Times New Roman"/>
          <w:sz w:val="24"/>
          <w:szCs w:val="24"/>
        </w:rPr>
        <w:t>Crear el sistema de Salud ocupacional y riesgos laborales.</w:t>
      </w:r>
    </w:p>
    <w:p w14:paraId="07CA7546" w14:textId="77777777" w:rsidR="00646828" w:rsidRPr="00F050E3" w:rsidRDefault="00646828" w:rsidP="001C6B1A">
      <w:pPr>
        <w:pStyle w:val="Prrafodelista"/>
        <w:numPr>
          <w:ilvl w:val="1"/>
          <w:numId w:val="12"/>
        </w:numPr>
        <w:tabs>
          <w:tab w:val="clear" w:pos="2008"/>
          <w:tab w:val="left" w:pos="709"/>
          <w:tab w:val="num" w:pos="1069"/>
          <w:tab w:val="left" w:pos="4111"/>
        </w:tabs>
        <w:spacing w:line="480" w:lineRule="auto"/>
        <w:ind w:left="1069"/>
        <w:jc w:val="both"/>
        <w:rPr>
          <w:rFonts w:ascii="Times New Roman" w:hAnsi="Times New Roman"/>
          <w:sz w:val="24"/>
          <w:szCs w:val="24"/>
        </w:rPr>
      </w:pPr>
      <w:r w:rsidRPr="00F050E3">
        <w:rPr>
          <w:rFonts w:ascii="Times New Roman" w:hAnsi="Times New Roman"/>
          <w:sz w:val="24"/>
          <w:szCs w:val="24"/>
        </w:rPr>
        <w:t>Hacer entrega del autodiagnóstico CAF.</w:t>
      </w:r>
    </w:p>
    <w:p w14:paraId="7D01AA56" w14:textId="77777777" w:rsidR="00646828" w:rsidRPr="00F050E3" w:rsidRDefault="00646828" w:rsidP="001C6B1A">
      <w:pPr>
        <w:pStyle w:val="Prrafodelista"/>
        <w:numPr>
          <w:ilvl w:val="1"/>
          <w:numId w:val="12"/>
        </w:numPr>
        <w:tabs>
          <w:tab w:val="clear" w:pos="2008"/>
          <w:tab w:val="left" w:pos="709"/>
          <w:tab w:val="num" w:pos="1069"/>
          <w:tab w:val="left" w:pos="4111"/>
        </w:tabs>
        <w:spacing w:line="480" w:lineRule="auto"/>
        <w:ind w:left="1069"/>
        <w:jc w:val="both"/>
        <w:rPr>
          <w:rFonts w:ascii="Times New Roman" w:hAnsi="Times New Roman"/>
          <w:sz w:val="24"/>
          <w:szCs w:val="24"/>
        </w:rPr>
      </w:pPr>
      <w:r w:rsidRPr="00F050E3">
        <w:rPr>
          <w:rFonts w:ascii="Times New Roman" w:hAnsi="Times New Roman"/>
          <w:sz w:val="24"/>
          <w:szCs w:val="24"/>
        </w:rPr>
        <w:t>Levantar las informaciones correspondientes para elaborar la carta compromiso.</w:t>
      </w:r>
    </w:p>
    <w:p w14:paraId="43F09004" w14:textId="77777777" w:rsidR="00646828" w:rsidRPr="00F050E3" w:rsidRDefault="00646828" w:rsidP="001C6B1A">
      <w:pPr>
        <w:pStyle w:val="Prrafodelista"/>
        <w:numPr>
          <w:ilvl w:val="1"/>
          <w:numId w:val="12"/>
        </w:numPr>
        <w:tabs>
          <w:tab w:val="clear" w:pos="2008"/>
          <w:tab w:val="left" w:pos="709"/>
          <w:tab w:val="num" w:pos="1069"/>
          <w:tab w:val="left" w:pos="4111"/>
        </w:tabs>
        <w:spacing w:line="480" w:lineRule="auto"/>
        <w:ind w:left="1069"/>
        <w:jc w:val="both"/>
        <w:rPr>
          <w:rFonts w:ascii="Times New Roman" w:hAnsi="Times New Roman"/>
          <w:sz w:val="24"/>
          <w:szCs w:val="24"/>
        </w:rPr>
      </w:pPr>
      <w:r w:rsidRPr="00F050E3">
        <w:rPr>
          <w:rFonts w:ascii="Times New Roman" w:hAnsi="Times New Roman"/>
          <w:sz w:val="24"/>
          <w:szCs w:val="24"/>
        </w:rPr>
        <w:t>Actualizar el Manual de Descripción de cargos.</w:t>
      </w:r>
    </w:p>
    <w:p w14:paraId="7ED1BD25" w14:textId="77777777" w:rsidR="00646828" w:rsidRPr="00F050E3" w:rsidRDefault="00646828" w:rsidP="00646828">
      <w:pPr>
        <w:spacing w:after="0"/>
        <w:rPr>
          <w:rFonts w:ascii="Times New Roman" w:eastAsia="Calibri" w:hAnsi="Times New Roman"/>
          <w:lang w:eastAsia="en-US"/>
        </w:rPr>
      </w:pPr>
    </w:p>
    <w:p w14:paraId="4F523086" w14:textId="77777777" w:rsidR="00646828" w:rsidRPr="00F050E3" w:rsidRDefault="00646828" w:rsidP="00646828">
      <w:pPr>
        <w:pStyle w:val="Prrafodelista"/>
        <w:spacing w:after="0" w:line="480" w:lineRule="auto"/>
        <w:ind w:left="0" w:firstLine="720"/>
        <w:jc w:val="both"/>
        <w:rPr>
          <w:rFonts w:ascii="Times New Roman" w:hAnsi="Times New Roman"/>
          <w:b/>
          <w:sz w:val="28"/>
        </w:rPr>
      </w:pPr>
      <w:r w:rsidRPr="00F050E3">
        <w:rPr>
          <w:rFonts w:ascii="Times New Roman" w:hAnsi="Times New Roman"/>
          <w:b/>
          <w:sz w:val="28"/>
        </w:rPr>
        <w:t>Talleres de función pública</w:t>
      </w:r>
    </w:p>
    <w:p w14:paraId="1F1C56BA" w14:textId="4A130968" w:rsidR="00646828" w:rsidRPr="00F050E3" w:rsidRDefault="00646828" w:rsidP="002F0F07">
      <w:pPr>
        <w:spacing w:after="0" w:line="480" w:lineRule="auto"/>
        <w:ind w:firstLine="720"/>
        <w:jc w:val="both"/>
        <w:rPr>
          <w:rFonts w:ascii="Times New Roman" w:hAnsi="Times New Roman"/>
        </w:rPr>
      </w:pPr>
      <w:r w:rsidRPr="00F050E3">
        <w:rPr>
          <w:rFonts w:ascii="Times New Roman" w:hAnsi="Times New Roman"/>
          <w:lang w:val="es-ES_tradnl"/>
        </w:rPr>
        <w:t>Durante el año 201</w:t>
      </w:r>
      <w:r w:rsidR="00B348E1" w:rsidRPr="00F050E3">
        <w:rPr>
          <w:rFonts w:ascii="Times New Roman" w:hAnsi="Times New Roman"/>
          <w:lang w:val="es-ES_tradnl"/>
        </w:rPr>
        <w:t>9</w:t>
      </w:r>
      <w:r w:rsidRPr="00F050E3">
        <w:rPr>
          <w:rFonts w:ascii="Times New Roman" w:hAnsi="Times New Roman"/>
        </w:rPr>
        <w:t>, los servidores públicos han participado activamente, lo cual ha permitido fortalecer la estructura interna organizacional de la Institución.</w:t>
      </w:r>
    </w:p>
    <w:p w14:paraId="1D37F371" w14:textId="77777777" w:rsidR="00646828" w:rsidRPr="00F050E3" w:rsidRDefault="00646828" w:rsidP="002F0F07">
      <w:pPr>
        <w:spacing w:after="0" w:line="480" w:lineRule="auto"/>
        <w:rPr>
          <w:rFonts w:ascii="Times New Roman" w:hAnsi="Times New Roman"/>
        </w:rPr>
      </w:pPr>
    </w:p>
    <w:p w14:paraId="0682EFAD" w14:textId="3F952715" w:rsidR="00646828" w:rsidRPr="00F050E3" w:rsidRDefault="00646828" w:rsidP="00CA5792">
      <w:pPr>
        <w:pStyle w:val="Ttulo4"/>
      </w:pPr>
      <w:bookmarkStart w:id="360" w:name="_Toc440036758"/>
      <w:bookmarkStart w:id="361" w:name="_Toc470523413"/>
      <w:bookmarkStart w:id="362" w:name="_Toc26292131"/>
      <w:bookmarkStart w:id="363" w:name="_Toc27146822"/>
      <w:r w:rsidRPr="00F050E3">
        <w:t>Gestión de la Calidad</w:t>
      </w:r>
      <w:bookmarkEnd w:id="360"/>
      <w:bookmarkEnd w:id="361"/>
      <w:bookmarkEnd w:id="362"/>
      <w:bookmarkEnd w:id="363"/>
    </w:p>
    <w:p w14:paraId="6831671C" w14:textId="77777777" w:rsidR="00646828" w:rsidRPr="00F050E3" w:rsidRDefault="00646828" w:rsidP="00646828">
      <w:pPr>
        <w:pStyle w:val="Prrafodelista"/>
        <w:tabs>
          <w:tab w:val="left" w:pos="709"/>
          <w:tab w:val="left" w:pos="4111"/>
        </w:tabs>
        <w:spacing w:after="0" w:line="480" w:lineRule="auto"/>
        <w:ind w:firstLine="720"/>
        <w:jc w:val="both"/>
        <w:rPr>
          <w:rFonts w:ascii="Times New Roman" w:hAnsi="Times New Roman"/>
          <w:b/>
          <w:sz w:val="24"/>
          <w:szCs w:val="24"/>
        </w:rPr>
      </w:pPr>
    </w:p>
    <w:p w14:paraId="4A4D7DE7" w14:textId="77777777" w:rsidR="00646828" w:rsidRPr="00F050E3" w:rsidRDefault="00646828" w:rsidP="00646828">
      <w:pPr>
        <w:pStyle w:val="Prrafodelista"/>
        <w:spacing w:after="0" w:line="480" w:lineRule="auto"/>
        <w:ind w:left="0" w:firstLine="720"/>
        <w:jc w:val="both"/>
        <w:rPr>
          <w:rFonts w:ascii="Times New Roman" w:hAnsi="Times New Roman"/>
          <w:b/>
          <w:sz w:val="28"/>
        </w:rPr>
      </w:pPr>
      <w:r w:rsidRPr="00F050E3">
        <w:rPr>
          <w:rFonts w:ascii="Times New Roman" w:hAnsi="Times New Roman"/>
          <w:b/>
          <w:sz w:val="28"/>
        </w:rPr>
        <w:t>Autodiagnóstico CAF</w:t>
      </w:r>
    </w:p>
    <w:p w14:paraId="19E3F3DE" w14:textId="77777777" w:rsidR="00646828" w:rsidRPr="00F050E3" w:rsidRDefault="00646828" w:rsidP="00646828">
      <w:pPr>
        <w:spacing w:after="0" w:line="480" w:lineRule="auto"/>
        <w:ind w:firstLine="720"/>
        <w:jc w:val="both"/>
        <w:rPr>
          <w:rFonts w:ascii="Times New Roman" w:hAnsi="Times New Roman"/>
        </w:rPr>
      </w:pPr>
      <w:r w:rsidRPr="00F050E3">
        <w:rPr>
          <w:rFonts w:ascii="Times New Roman" w:hAnsi="Times New Roman"/>
        </w:rPr>
        <w:t>Durante la evaluación, se identificaron algunas áreas de mejoras a través del levantamiento de informaciones llevado a cabo para realizar las políticas propiamente de la Dirección de Recursos Humanos y otras áreas afines.</w:t>
      </w:r>
    </w:p>
    <w:p w14:paraId="1D530B07" w14:textId="77777777" w:rsidR="00B348E1" w:rsidRPr="00F050E3" w:rsidRDefault="00B348E1" w:rsidP="00646828">
      <w:pPr>
        <w:spacing w:after="0" w:line="480" w:lineRule="auto"/>
        <w:ind w:firstLine="720"/>
        <w:jc w:val="both"/>
        <w:rPr>
          <w:rFonts w:ascii="Times New Roman" w:hAnsi="Times New Roman"/>
        </w:rPr>
      </w:pPr>
    </w:p>
    <w:p w14:paraId="1B6FFF17" w14:textId="77777777" w:rsidR="00B348E1" w:rsidRDefault="00B348E1" w:rsidP="00B348E1">
      <w:pPr>
        <w:spacing w:after="0" w:line="480" w:lineRule="auto"/>
        <w:ind w:firstLine="720"/>
        <w:jc w:val="both"/>
        <w:rPr>
          <w:rFonts w:ascii="Times New Roman" w:hAnsi="Times New Roman"/>
        </w:rPr>
      </w:pPr>
      <w:r w:rsidRPr="00F050E3">
        <w:rPr>
          <w:rFonts w:ascii="Times New Roman" w:hAnsi="Times New Roman"/>
        </w:rPr>
        <w:t>En función al informe de retorno recibido del Ministerio de Administración Pública –MAP, se procedió a establecer las estrategias correspondientes para elaborar y dar seguimiento al Plan de Mejora de la institución, actualmente se ha cumplido con las acciones señaladas a continuación:</w:t>
      </w:r>
    </w:p>
    <w:p w14:paraId="487B6AA8" w14:textId="77777777" w:rsidR="002F0F07" w:rsidRPr="00F050E3" w:rsidRDefault="002F0F07" w:rsidP="00B348E1">
      <w:pPr>
        <w:spacing w:after="0" w:line="480" w:lineRule="auto"/>
        <w:ind w:firstLine="720"/>
        <w:jc w:val="both"/>
        <w:rPr>
          <w:rFonts w:ascii="Times New Roman" w:hAnsi="Times New Roman"/>
        </w:rPr>
      </w:pPr>
    </w:p>
    <w:p w14:paraId="15DAD8B9" w14:textId="74AD31E5" w:rsidR="00B348E1" w:rsidRPr="00F050E3" w:rsidRDefault="00B348E1" w:rsidP="001C6B1A">
      <w:pPr>
        <w:pStyle w:val="Prrafodelista"/>
        <w:numPr>
          <w:ilvl w:val="0"/>
          <w:numId w:val="41"/>
        </w:numPr>
        <w:spacing w:after="0" w:line="480" w:lineRule="auto"/>
        <w:jc w:val="both"/>
        <w:rPr>
          <w:rFonts w:ascii="Times New Roman" w:hAnsi="Times New Roman"/>
        </w:rPr>
      </w:pPr>
      <w:r w:rsidRPr="00F050E3">
        <w:rPr>
          <w:rFonts w:ascii="Times New Roman" w:hAnsi="Times New Roman"/>
        </w:rPr>
        <w:lastRenderedPageBreak/>
        <w:t>Liderazgo</w:t>
      </w:r>
    </w:p>
    <w:p w14:paraId="7A71A3FE" w14:textId="326E2F20" w:rsidR="00B348E1" w:rsidRPr="00F050E3" w:rsidRDefault="00B348E1" w:rsidP="001C6B1A">
      <w:pPr>
        <w:pStyle w:val="Prrafodelista"/>
        <w:numPr>
          <w:ilvl w:val="0"/>
          <w:numId w:val="41"/>
        </w:numPr>
        <w:spacing w:after="0" w:line="480" w:lineRule="auto"/>
        <w:jc w:val="both"/>
        <w:rPr>
          <w:rFonts w:ascii="Times New Roman" w:hAnsi="Times New Roman"/>
        </w:rPr>
      </w:pPr>
      <w:r w:rsidRPr="00F050E3">
        <w:rPr>
          <w:rFonts w:ascii="Times New Roman" w:hAnsi="Times New Roman"/>
        </w:rPr>
        <w:t>Estrategia y planificación</w:t>
      </w:r>
    </w:p>
    <w:p w14:paraId="33600A50" w14:textId="48129B77" w:rsidR="00B348E1" w:rsidRPr="00F050E3" w:rsidRDefault="00B348E1" w:rsidP="001C6B1A">
      <w:pPr>
        <w:pStyle w:val="Prrafodelista"/>
        <w:numPr>
          <w:ilvl w:val="0"/>
          <w:numId w:val="41"/>
        </w:numPr>
        <w:spacing w:after="0" w:line="480" w:lineRule="auto"/>
        <w:jc w:val="both"/>
        <w:rPr>
          <w:rFonts w:ascii="Times New Roman" w:hAnsi="Times New Roman"/>
        </w:rPr>
      </w:pPr>
      <w:r w:rsidRPr="00F050E3">
        <w:rPr>
          <w:rFonts w:ascii="Times New Roman" w:hAnsi="Times New Roman"/>
        </w:rPr>
        <w:t>Personal</w:t>
      </w:r>
    </w:p>
    <w:p w14:paraId="0BB26FFF" w14:textId="77777777" w:rsidR="00B348E1" w:rsidRPr="00F050E3" w:rsidRDefault="00B348E1" w:rsidP="00B348E1">
      <w:pPr>
        <w:pStyle w:val="Prrafodelista"/>
        <w:tabs>
          <w:tab w:val="left" w:pos="4111"/>
        </w:tabs>
        <w:spacing w:after="0" w:line="480" w:lineRule="auto"/>
        <w:ind w:left="0"/>
        <w:jc w:val="both"/>
        <w:rPr>
          <w:rFonts w:ascii="Times New Roman" w:hAnsi="Times New Roman"/>
          <w:sz w:val="24"/>
          <w:szCs w:val="24"/>
        </w:rPr>
      </w:pPr>
    </w:p>
    <w:p w14:paraId="0DD8F60B" w14:textId="77777777" w:rsidR="00B348E1" w:rsidRPr="00F050E3" w:rsidRDefault="00B348E1" w:rsidP="00B348E1">
      <w:pPr>
        <w:pStyle w:val="Prrafodelista"/>
        <w:tabs>
          <w:tab w:val="left" w:pos="4111"/>
        </w:tabs>
        <w:spacing w:after="0" w:line="480" w:lineRule="auto"/>
        <w:ind w:left="0"/>
        <w:jc w:val="both"/>
        <w:rPr>
          <w:rFonts w:ascii="Times New Roman" w:hAnsi="Times New Roman"/>
          <w:sz w:val="24"/>
          <w:szCs w:val="24"/>
        </w:rPr>
      </w:pPr>
      <w:r w:rsidRPr="00F050E3">
        <w:rPr>
          <w:rFonts w:ascii="Times New Roman" w:hAnsi="Times New Roman"/>
          <w:sz w:val="24"/>
          <w:szCs w:val="24"/>
        </w:rPr>
        <w:t>En la actualidad se trabaja en miras a cumplir con los puntos señalados a continuación:</w:t>
      </w:r>
    </w:p>
    <w:p w14:paraId="5763BF90" w14:textId="77777777" w:rsidR="00B348E1" w:rsidRPr="00F050E3" w:rsidRDefault="00B348E1" w:rsidP="001C6B1A">
      <w:pPr>
        <w:pStyle w:val="Prrafodelista"/>
        <w:numPr>
          <w:ilvl w:val="0"/>
          <w:numId w:val="42"/>
        </w:numPr>
        <w:tabs>
          <w:tab w:val="left" w:pos="4111"/>
        </w:tabs>
        <w:spacing w:after="0" w:line="480" w:lineRule="auto"/>
        <w:jc w:val="both"/>
        <w:rPr>
          <w:rFonts w:ascii="Times New Roman" w:hAnsi="Times New Roman"/>
          <w:sz w:val="24"/>
          <w:szCs w:val="24"/>
        </w:rPr>
      </w:pPr>
      <w:r w:rsidRPr="00F050E3">
        <w:rPr>
          <w:rFonts w:ascii="Times New Roman" w:hAnsi="Times New Roman"/>
          <w:b/>
          <w:sz w:val="24"/>
          <w:szCs w:val="24"/>
        </w:rPr>
        <w:t>Planificación de Recursos Humanos</w:t>
      </w:r>
      <w:r w:rsidRPr="00F050E3">
        <w:rPr>
          <w:rFonts w:ascii="Times New Roman" w:hAnsi="Times New Roman"/>
          <w:sz w:val="24"/>
          <w:szCs w:val="24"/>
        </w:rPr>
        <w:t>, consiste en realizar el Plan de Recursos Humanos alineados al plan estratégico institucional.</w:t>
      </w:r>
    </w:p>
    <w:p w14:paraId="28B8E0AA" w14:textId="77777777" w:rsidR="00B348E1" w:rsidRPr="00F050E3" w:rsidRDefault="00B348E1" w:rsidP="001C6B1A">
      <w:pPr>
        <w:pStyle w:val="Prrafodelista"/>
        <w:numPr>
          <w:ilvl w:val="1"/>
          <w:numId w:val="42"/>
        </w:numPr>
        <w:tabs>
          <w:tab w:val="left" w:pos="4111"/>
        </w:tabs>
        <w:spacing w:after="0" w:line="480" w:lineRule="auto"/>
        <w:jc w:val="both"/>
        <w:rPr>
          <w:rFonts w:ascii="Times New Roman" w:hAnsi="Times New Roman"/>
          <w:sz w:val="24"/>
          <w:szCs w:val="24"/>
        </w:rPr>
      </w:pPr>
      <w:r w:rsidRPr="00F050E3">
        <w:rPr>
          <w:rFonts w:ascii="Times New Roman" w:hAnsi="Times New Roman"/>
          <w:sz w:val="24"/>
          <w:szCs w:val="24"/>
        </w:rPr>
        <w:t>Plan operativo de Recursos Humanos alineado al plan estratégico institucional.</w:t>
      </w:r>
    </w:p>
    <w:p w14:paraId="578F9C11" w14:textId="77777777" w:rsidR="00B348E1" w:rsidRPr="00F050E3" w:rsidRDefault="00B348E1" w:rsidP="001C6B1A">
      <w:pPr>
        <w:pStyle w:val="Prrafodelista"/>
        <w:numPr>
          <w:ilvl w:val="1"/>
          <w:numId w:val="42"/>
        </w:numPr>
        <w:tabs>
          <w:tab w:val="left" w:pos="4111"/>
        </w:tabs>
        <w:spacing w:after="0" w:line="480" w:lineRule="auto"/>
        <w:jc w:val="both"/>
        <w:rPr>
          <w:rFonts w:ascii="Times New Roman" w:hAnsi="Times New Roman"/>
          <w:sz w:val="24"/>
          <w:szCs w:val="24"/>
        </w:rPr>
      </w:pPr>
      <w:r w:rsidRPr="00F050E3">
        <w:rPr>
          <w:rFonts w:ascii="Times New Roman" w:hAnsi="Times New Roman"/>
          <w:sz w:val="24"/>
          <w:szCs w:val="24"/>
        </w:rPr>
        <w:t>Elaboración final del Manual de Cargos y su implementación</w:t>
      </w:r>
    </w:p>
    <w:p w14:paraId="3B632EDD" w14:textId="77777777" w:rsidR="00B348E1" w:rsidRPr="00F050E3" w:rsidRDefault="00B348E1" w:rsidP="001C6B1A">
      <w:pPr>
        <w:pStyle w:val="Prrafodelista"/>
        <w:numPr>
          <w:ilvl w:val="1"/>
          <w:numId w:val="42"/>
        </w:numPr>
        <w:tabs>
          <w:tab w:val="left" w:pos="4111"/>
        </w:tabs>
        <w:spacing w:after="0" w:line="480" w:lineRule="auto"/>
        <w:jc w:val="both"/>
        <w:rPr>
          <w:rFonts w:ascii="Times New Roman" w:hAnsi="Times New Roman"/>
          <w:sz w:val="24"/>
          <w:szCs w:val="24"/>
        </w:rPr>
      </w:pPr>
      <w:r w:rsidRPr="00F050E3">
        <w:rPr>
          <w:rFonts w:ascii="Times New Roman" w:hAnsi="Times New Roman"/>
          <w:sz w:val="24"/>
          <w:szCs w:val="24"/>
        </w:rPr>
        <w:t>Estructura de cargos implementada en el sistema de Administración de Servidores Públicos-SASP.</w:t>
      </w:r>
    </w:p>
    <w:p w14:paraId="6709A355" w14:textId="77777777" w:rsidR="00B348E1" w:rsidRDefault="00B348E1" w:rsidP="001C6B1A">
      <w:pPr>
        <w:pStyle w:val="Prrafodelista"/>
        <w:numPr>
          <w:ilvl w:val="1"/>
          <w:numId w:val="42"/>
        </w:numPr>
        <w:tabs>
          <w:tab w:val="left" w:pos="4111"/>
        </w:tabs>
        <w:spacing w:after="0" w:line="480" w:lineRule="auto"/>
        <w:jc w:val="both"/>
        <w:rPr>
          <w:rFonts w:ascii="Times New Roman" w:hAnsi="Times New Roman"/>
          <w:sz w:val="24"/>
          <w:szCs w:val="24"/>
        </w:rPr>
      </w:pPr>
      <w:r w:rsidRPr="00F050E3">
        <w:rPr>
          <w:rFonts w:ascii="Times New Roman" w:hAnsi="Times New Roman"/>
          <w:sz w:val="24"/>
          <w:szCs w:val="24"/>
        </w:rPr>
        <w:t>Personal de carrera reclutado mediante Concursos Públicos.</w:t>
      </w:r>
    </w:p>
    <w:p w14:paraId="332FE4A3" w14:textId="77777777" w:rsidR="002F0F07" w:rsidRPr="00F050E3" w:rsidRDefault="002F0F07" w:rsidP="002F0F07">
      <w:pPr>
        <w:pStyle w:val="Prrafodelista"/>
        <w:tabs>
          <w:tab w:val="left" w:pos="4111"/>
        </w:tabs>
        <w:spacing w:after="0" w:line="480" w:lineRule="auto"/>
        <w:ind w:left="1080"/>
        <w:jc w:val="both"/>
        <w:rPr>
          <w:rFonts w:ascii="Times New Roman" w:hAnsi="Times New Roman"/>
          <w:sz w:val="24"/>
          <w:szCs w:val="24"/>
        </w:rPr>
      </w:pPr>
    </w:p>
    <w:p w14:paraId="77CBE5EB" w14:textId="77777777" w:rsidR="00B348E1" w:rsidRPr="00F050E3" w:rsidRDefault="00B348E1" w:rsidP="001C6B1A">
      <w:pPr>
        <w:pStyle w:val="Prrafodelista"/>
        <w:numPr>
          <w:ilvl w:val="0"/>
          <w:numId w:val="42"/>
        </w:numPr>
        <w:tabs>
          <w:tab w:val="left" w:pos="4111"/>
        </w:tabs>
        <w:spacing w:after="0" w:line="480" w:lineRule="auto"/>
        <w:jc w:val="both"/>
        <w:rPr>
          <w:rFonts w:ascii="Times New Roman" w:hAnsi="Times New Roman"/>
          <w:b/>
          <w:sz w:val="24"/>
          <w:szCs w:val="24"/>
        </w:rPr>
      </w:pPr>
      <w:r w:rsidRPr="00F050E3">
        <w:rPr>
          <w:rFonts w:ascii="Times New Roman" w:hAnsi="Times New Roman"/>
          <w:b/>
          <w:sz w:val="24"/>
          <w:szCs w:val="24"/>
        </w:rPr>
        <w:t>Evaluación del Desempeño</w:t>
      </w:r>
    </w:p>
    <w:p w14:paraId="644053BE" w14:textId="77777777" w:rsidR="00B348E1" w:rsidRDefault="00B348E1" w:rsidP="001C6B1A">
      <w:pPr>
        <w:pStyle w:val="Prrafodelista"/>
        <w:numPr>
          <w:ilvl w:val="1"/>
          <w:numId w:val="42"/>
        </w:numPr>
        <w:tabs>
          <w:tab w:val="left" w:pos="4111"/>
        </w:tabs>
        <w:spacing w:after="0" w:line="480" w:lineRule="auto"/>
        <w:jc w:val="both"/>
        <w:rPr>
          <w:rFonts w:ascii="Times New Roman" w:hAnsi="Times New Roman"/>
          <w:sz w:val="24"/>
          <w:szCs w:val="24"/>
        </w:rPr>
      </w:pPr>
      <w:r w:rsidRPr="00F050E3">
        <w:rPr>
          <w:rFonts w:ascii="Times New Roman" w:hAnsi="Times New Roman"/>
          <w:sz w:val="24"/>
          <w:szCs w:val="24"/>
        </w:rPr>
        <w:t>Implementación el modelo de Evaluación del Desempeño por Resultados</w:t>
      </w:r>
    </w:p>
    <w:p w14:paraId="4F631090" w14:textId="77777777" w:rsidR="002F0F07" w:rsidRPr="00F050E3" w:rsidRDefault="002F0F07" w:rsidP="002F0F07">
      <w:pPr>
        <w:pStyle w:val="Prrafodelista"/>
        <w:tabs>
          <w:tab w:val="left" w:pos="4111"/>
        </w:tabs>
        <w:spacing w:after="0" w:line="480" w:lineRule="auto"/>
        <w:ind w:left="1080"/>
        <w:jc w:val="both"/>
        <w:rPr>
          <w:rFonts w:ascii="Times New Roman" w:hAnsi="Times New Roman"/>
          <w:sz w:val="24"/>
          <w:szCs w:val="24"/>
        </w:rPr>
      </w:pPr>
    </w:p>
    <w:p w14:paraId="12D9851B" w14:textId="77777777" w:rsidR="00B348E1" w:rsidRPr="00F050E3" w:rsidRDefault="00B348E1" w:rsidP="001C6B1A">
      <w:pPr>
        <w:pStyle w:val="Prrafodelista"/>
        <w:numPr>
          <w:ilvl w:val="0"/>
          <w:numId w:val="42"/>
        </w:numPr>
        <w:tabs>
          <w:tab w:val="left" w:pos="4111"/>
        </w:tabs>
        <w:spacing w:after="0" w:line="480" w:lineRule="auto"/>
        <w:jc w:val="both"/>
        <w:rPr>
          <w:rFonts w:ascii="Times New Roman" w:hAnsi="Times New Roman"/>
          <w:b/>
          <w:sz w:val="24"/>
          <w:szCs w:val="24"/>
        </w:rPr>
      </w:pPr>
      <w:r w:rsidRPr="00F050E3">
        <w:rPr>
          <w:rFonts w:ascii="Times New Roman" w:hAnsi="Times New Roman"/>
          <w:b/>
          <w:sz w:val="24"/>
          <w:szCs w:val="24"/>
        </w:rPr>
        <w:t>Capacitación</w:t>
      </w:r>
    </w:p>
    <w:p w14:paraId="590F432B" w14:textId="1221060A" w:rsidR="00646828" w:rsidRPr="002F0F07" w:rsidRDefault="00B348E1" w:rsidP="001C6B1A">
      <w:pPr>
        <w:pStyle w:val="Prrafodelista"/>
        <w:numPr>
          <w:ilvl w:val="1"/>
          <w:numId w:val="42"/>
        </w:numPr>
        <w:tabs>
          <w:tab w:val="left" w:pos="4111"/>
        </w:tabs>
        <w:spacing w:after="0" w:line="480" w:lineRule="auto"/>
        <w:jc w:val="both"/>
        <w:rPr>
          <w:rFonts w:ascii="Times New Roman" w:hAnsi="Times New Roman"/>
        </w:rPr>
      </w:pPr>
      <w:r w:rsidRPr="00F050E3">
        <w:rPr>
          <w:rFonts w:ascii="Times New Roman" w:hAnsi="Times New Roman"/>
        </w:rPr>
        <w:t>.</w:t>
      </w:r>
      <w:r w:rsidRPr="00F050E3">
        <w:rPr>
          <w:rFonts w:ascii="Times New Roman" w:hAnsi="Times New Roman"/>
          <w:sz w:val="24"/>
          <w:szCs w:val="24"/>
        </w:rPr>
        <w:t>Empleados capacitándose en base a, en consideración a sus necesidades y en base al plan de capacitación</w:t>
      </w:r>
    </w:p>
    <w:p w14:paraId="267F4BDE" w14:textId="08C44950" w:rsidR="0045254A" w:rsidRDefault="0045254A">
      <w:pPr>
        <w:spacing w:after="0"/>
        <w:rPr>
          <w:rFonts w:ascii="Times New Roman" w:eastAsia="Calibri" w:hAnsi="Times New Roman"/>
          <w:sz w:val="22"/>
          <w:szCs w:val="22"/>
          <w:lang w:eastAsia="en-US"/>
        </w:rPr>
      </w:pPr>
      <w:r>
        <w:rPr>
          <w:rFonts w:ascii="Times New Roman" w:hAnsi="Times New Roman"/>
        </w:rPr>
        <w:br w:type="page"/>
      </w:r>
    </w:p>
    <w:p w14:paraId="78D42CE1" w14:textId="77777777" w:rsidR="00B348E1" w:rsidRPr="00F050E3" w:rsidRDefault="00B348E1" w:rsidP="001C6B1A">
      <w:pPr>
        <w:pStyle w:val="Prrafodelista"/>
        <w:numPr>
          <w:ilvl w:val="0"/>
          <w:numId w:val="42"/>
        </w:numPr>
        <w:tabs>
          <w:tab w:val="left" w:pos="4111"/>
        </w:tabs>
        <w:spacing w:after="0" w:line="480" w:lineRule="auto"/>
        <w:jc w:val="both"/>
        <w:rPr>
          <w:rFonts w:ascii="Times New Roman" w:hAnsi="Times New Roman"/>
          <w:b/>
          <w:sz w:val="24"/>
          <w:szCs w:val="24"/>
        </w:rPr>
      </w:pPr>
      <w:r w:rsidRPr="00F050E3">
        <w:rPr>
          <w:rFonts w:ascii="Times New Roman" w:hAnsi="Times New Roman"/>
          <w:b/>
          <w:sz w:val="24"/>
          <w:szCs w:val="24"/>
        </w:rPr>
        <w:lastRenderedPageBreak/>
        <w:t>Beneficios Laborales</w:t>
      </w:r>
    </w:p>
    <w:p w14:paraId="7ECAAF4B" w14:textId="77777777" w:rsidR="00B348E1" w:rsidRDefault="00B348E1" w:rsidP="001C6B1A">
      <w:pPr>
        <w:pStyle w:val="Prrafodelista"/>
        <w:numPr>
          <w:ilvl w:val="1"/>
          <w:numId w:val="42"/>
        </w:numPr>
        <w:tabs>
          <w:tab w:val="left" w:pos="4111"/>
        </w:tabs>
        <w:spacing w:after="0" w:line="480" w:lineRule="auto"/>
        <w:jc w:val="both"/>
        <w:rPr>
          <w:rFonts w:ascii="Times New Roman" w:hAnsi="Times New Roman"/>
          <w:sz w:val="24"/>
          <w:szCs w:val="24"/>
        </w:rPr>
      </w:pPr>
      <w:r w:rsidRPr="00F050E3">
        <w:rPr>
          <w:rFonts w:ascii="Times New Roman" w:hAnsi="Times New Roman"/>
          <w:sz w:val="24"/>
          <w:szCs w:val="24"/>
        </w:rPr>
        <w:t>Régimen de beneficios laborales se refiere a salud ocupacional y prevención de riesgos laborales.</w:t>
      </w:r>
    </w:p>
    <w:p w14:paraId="7C8E382B" w14:textId="77777777" w:rsidR="002F0F07" w:rsidRPr="00F050E3" w:rsidRDefault="002F0F07" w:rsidP="002F0F07">
      <w:pPr>
        <w:pStyle w:val="Prrafodelista"/>
        <w:tabs>
          <w:tab w:val="left" w:pos="4111"/>
        </w:tabs>
        <w:spacing w:after="0" w:line="480" w:lineRule="auto"/>
        <w:ind w:left="1080"/>
        <w:jc w:val="both"/>
        <w:rPr>
          <w:rFonts w:ascii="Times New Roman" w:hAnsi="Times New Roman"/>
          <w:sz w:val="24"/>
          <w:szCs w:val="24"/>
        </w:rPr>
      </w:pPr>
    </w:p>
    <w:p w14:paraId="40B3BE51" w14:textId="77777777" w:rsidR="00B348E1" w:rsidRPr="00F050E3" w:rsidRDefault="00B348E1" w:rsidP="001C6B1A">
      <w:pPr>
        <w:pStyle w:val="Prrafodelista"/>
        <w:numPr>
          <w:ilvl w:val="0"/>
          <w:numId w:val="42"/>
        </w:numPr>
        <w:tabs>
          <w:tab w:val="left" w:pos="4111"/>
        </w:tabs>
        <w:spacing w:after="0" w:line="480" w:lineRule="auto"/>
        <w:jc w:val="both"/>
        <w:rPr>
          <w:rFonts w:ascii="Times New Roman" w:hAnsi="Times New Roman"/>
          <w:b/>
          <w:sz w:val="24"/>
          <w:szCs w:val="24"/>
        </w:rPr>
      </w:pPr>
      <w:r w:rsidRPr="00F050E3">
        <w:rPr>
          <w:rFonts w:ascii="Times New Roman" w:hAnsi="Times New Roman"/>
          <w:b/>
          <w:sz w:val="24"/>
          <w:szCs w:val="24"/>
        </w:rPr>
        <w:t>Gestionar la tecnología</w:t>
      </w:r>
    </w:p>
    <w:p w14:paraId="4A98FCD2" w14:textId="77777777" w:rsidR="00B348E1" w:rsidRDefault="00B348E1" w:rsidP="001C6B1A">
      <w:pPr>
        <w:pStyle w:val="Prrafodelista"/>
        <w:numPr>
          <w:ilvl w:val="1"/>
          <w:numId w:val="42"/>
        </w:numPr>
        <w:tabs>
          <w:tab w:val="left" w:pos="4111"/>
        </w:tabs>
        <w:spacing w:after="0" w:line="480" w:lineRule="auto"/>
        <w:jc w:val="both"/>
        <w:rPr>
          <w:rFonts w:ascii="Times New Roman" w:hAnsi="Times New Roman"/>
          <w:sz w:val="24"/>
          <w:szCs w:val="24"/>
        </w:rPr>
      </w:pPr>
      <w:r w:rsidRPr="00F050E3">
        <w:rPr>
          <w:rFonts w:ascii="Times New Roman" w:hAnsi="Times New Roman"/>
          <w:sz w:val="24"/>
          <w:szCs w:val="24"/>
        </w:rPr>
        <w:t xml:space="preserve"> Define una política sobre el impacto del buen uso de tecnologías</w:t>
      </w:r>
    </w:p>
    <w:p w14:paraId="770DD67C" w14:textId="77777777" w:rsidR="002F0F07" w:rsidRPr="00F050E3" w:rsidRDefault="002F0F07" w:rsidP="002F0F07">
      <w:pPr>
        <w:pStyle w:val="Prrafodelista"/>
        <w:tabs>
          <w:tab w:val="left" w:pos="4111"/>
        </w:tabs>
        <w:spacing w:after="0" w:line="480" w:lineRule="auto"/>
        <w:ind w:left="1080"/>
        <w:jc w:val="both"/>
        <w:rPr>
          <w:rFonts w:ascii="Times New Roman" w:hAnsi="Times New Roman"/>
          <w:sz w:val="24"/>
          <w:szCs w:val="24"/>
        </w:rPr>
      </w:pPr>
    </w:p>
    <w:p w14:paraId="6A27E47F" w14:textId="77777777" w:rsidR="00B348E1" w:rsidRPr="00F050E3" w:rsidRDefault="00B348E1" w:rsidP="001C6B1A">
      <w:pPr>
        <w:pStyle w:val="Prrafodelista"/>
        <w:numPr>
          <w:ilvl w:val="0"/>
          <w:numId w:val="42"/>
        </w:numPr>
        <w:tabs>
          <w:tab w:val="left" w:pos="4111"/>
        </w:tabs>
        <w:spacing w:after="0" w:line="480" w:lineRule="auto"/>
        <w:rPr>
          <w:rFonts w:ascii="Times New Roman" w:hAnsi="Times New Roman"/>
          <w:b/>
          <w:sz w:val="24"/>
          <w:szCs w:val="24"/>
        </w:rPr>
      </w:pPr>
      <w:r w:rsidRPr="00F050E3">
        <w:rPr>
          <w:rFonts w:ascii="Times New Roman" w:hAnsi="Times New Roman"/>
          <w:b/>
          <w:sz w:val="24"/>
          <w:szCs w:val="24"/>
        </w:rPr>
        <w:t>Resultados de rendimiento</w:t>
      </w:r>
    </w:p>
    <w:p w14:paraId="1775BEAC" w14:textId="77777777" w:rsidR="00B348E1" w:rsidRPr="00F050E3" w:rsidRDefault="00B348E1" w:rsidP="001C6B1A">
      <w:pPr>
        <w:pStyle w:val="Prrafodelista"/>
        <w:numPr>
          <w:ilvl w:val="1"/>
          <w:numId w:val="42"/>
        </w:numPr>
        <w:tabs>
          <w:tab w:val="left" w:pos="4111"/>
        </w:tabs>
        <w:spacing w:after="0" w:line="480" w:lineRule="auto"/>
        <w:jc w:val="both"/>
        <w:rPr>
          <w:rFonts w:ascii="Times New Roman" w:hAnsi="Times New Roman"/>
          <w:sz w:val="24"/>
          <w:szCs w:val="24"/>
        </w:rPr>
      </w:pPr>
      <w:r w:rsidRPr="00F050E3">
        <w:rPr>
          <w:rFonts w:ascii="Times New Roman" w:hAnsi="Times New Roman"/>
          <w:sz w:val="24"/>
          <w:szCs w:val="24"/>
        </w:rPr>
        <w:t>Pendiente de definición de los indicadores que nos permitan medir el nivel de calidad de los servicios y productos.</w:t>
      </w:r>
    </w:p>
    <w:p w14:paraId="577F4355" w14:textId="77777777" w:rsidR="00B348E1" w:rsidRPr="00F050E3" w:rsidRDefault="00B348E1" w:rsidP="00646828">
      <w:pPr>
        <w:spacing w:after="0" w:line="480" w:lineRule="auto"/>
        <w:ind w:firstLine="720"/>
        <w:jc w:val="both"/>
        <w:rPr>
          <w:rFonts w:ascii="Times New Roman" w:hAnsi="Times New Roman"/>
        </w:rPr>
      </w:pPr>
    </w:p>
    <w:p w14:paraId="49568354" w14:textId="77777777" w:rsidR="00646828" w:rsidRPr="00F050E3" w:rsidRDefault="00646828" w:rsidP="00646828">
      <w:pPr>
        <w:pStyle w:val="Prrafodelista"/>
        <w:spacing w:after="0" w:line="480" w:lineRule="auto"/>
        <w:ind w:left="0" w:firstLine="720"/>
        <w:jc w:val="both"/>
        <w:rPr>
          <w:rFonts w:ascii="Times New Roman" w:hAnsi="Times New Roman"/>
          <w:b/>
          <w:sz w:val="28"/>
        </w:rPr>
      </w:pPr>
      <w:r w:rsidRPr="00F050E3">
        <w:rPr>
          <w:rFonts w:ascii="Times New Roman" w:hAnsi="Times New Roman"/>
          <w:b/>
          <w:sz w:val="28"/>
        </w:rPr>
        <w:t>Carta compromiso</w:t>
      </w:r>
    </w:p>
    <w:p w14:paraId="5F49CFC7" w14:textId="25411400" w:rsidR="003957D2" w:rsidRPr="00F050E3" w:rsidRDefault="00646828" w:rsidP="00B348E1">
      <w:pPr>
        <w:spacing w:after="0" w:line="480" w:lineRule="auto"/>
        <w:ind w:firstLine="720"/>
        <w:jc w:val="both"/>
        <w:rPr>
          <w:rFonts w:ascii="Times New Roman" w:hAnsi="Times New Roman"/>
        </w:rPr>
      </w:pPr>
      <w:r w:rsidRPr="00F050E3">
        <w:rPr>
          <w:rFonts w:ascii="Times New Roman" w:hAnsi="Times New Roman"/>
        </w:rPr>
        <w:t xml:space="preserve">Con el propósito de que los ciudadanos estén debidamente informados y edificados en termino de cuáles son los trámites necesarios para acceder a uno de los servicios que ofrece el Ministerio, es necesario que se elabore la carta compromiso, viendo la necesidad e importancia de la misma, </w:t>
      </w:r>
      <w:r w:rsidR="00B348E1" w:rsidRPr="00F050E3">
        <w:rPr>
          <w:rFonts w:ascii="Times New Roman" w:hAnsi="Times New Roman"/>
        </w:rPr>
        <w:t>se procedió a la elaboración de la carta compromiso. Dicho documento enfatiza las obligaciones de los ciudadanos con el propósito de eliminar o evitar algún tipo de quejas.</w:t>
      </w:r>
    </w:p>
    <w:p w14:paraId="4CA903FD" w14:textId="77777777" w:rsidR="00B348E1" w:rsidRPr="00F050E3" w:rsidRDefault="00B348E1" w:rsidP="00B348E1">
      <w:pPr>
        <w:spacing w:after="0" w:line="480" w:lineRule="auto"/>
        <w:ind w:firstLine="720"/>
        <w:jc w:val="both"/>
        <w:rPr>
          <w:rFonts w:ascii="Times New Roman" w:hAnsi="Times New Roman"/>
        </w:rPr>
      </w:pPr>
    </w:p>
    <w:p w14:paraId="0B0ADF66" w14:textId="69C8A9E6" w:rsidR="00B348E1" w:rsidRPr="00F050E3" w:rsidRDefault="00B348E1" w:rsidP="00B348E1">
      <w:pPr>
        <w:spacing w:after="0" w:line="480" w:lineRule="auto"/>
        <w:ind w:firstLine="720"/>
        <w:jc w:val="both"/>
        <w:rPr>
          <w:b/>
        </w:rPr>
      </w:pPr>
      <w:r w:rsidRPr="00F050E3">
        <w:rPr>
          <w:rFonts w:ascii="Times New Roman" w:hAnsi="Times New Roman"/>
        </w:rPr>
        <w:t>Actualmente el documento se encuentra en fase de revisión, en miras a la aprobación.</w:t>
      </w:r>
    </w:p>
    <w:p w14:paraId="7D7F2A13" w14:textId="68EA3F77" w:rsidR="002F0F07" w:rsidRDefault="002F0F07">
      <w:pPr>
        <w:spacing w:after="0"/>
        <w:rPr>
          <w:b/>
        </w:rPr>
      </w:pPr>
      <w:r>
        <w:rPr>
          <w:b/>
        </w:rPr>
        <w:br w:type="page"/>
      </w:r>
    </w:p>
    <w:p w14:paraId="48B8D016" w14:textId="3862E660" w:rsidR="00366DEE" w:rsidRPr="00F050E3" w:rsidRDefault="00366DEE" w:rsidP="00954002">
      <w:pPr>
        <w:pStyle w:val="Ttulo2"/>
      </w:pPr>
      <w:bookmarkStart w:id="364" w:name="_Toc26292094"/>
      <w:bookmarkStart w:id="365" w:name="_Toc27146823"/>
      <w:r w:rsidRPr="00F050E3">
        <w:lastRenderedPageBreak/>
        <w:t xml:space="preserve">d) </w:t>
      </w:r>
      <w:r w:rsidR="00646828" w:rsidRPr="00F050E3">
        <w:t>Indicador sobre el u</w:t>
      </w:r>
      <w:r w:rsidRPr="00F050E3">
        <w:t>so de TIC e Implementación de Gobierno Electrónico, ITICge</w:t>
      </w:r>
      <w:bookmarkEnd w:id="364"/>
      <w:bookmarkEnd w:id="365"/>
    </w:p>
    <w:p w14:paraId="596BD6DC" w14:textId="77777777" w:rsidR="002F0F07" w:rsidRDefault="002F0F07" w:rsidP="00B348E1">
      <w:pPr>
        <w:spacing w:after="0" w:line="480" w:lineRule="auto"/>
        <w:ind w:firstLine="720"/>
        <w:jc w:val="both"/>
        <w:rPr>
          <w:rFonts w:ascii="Times New Roman" w:hAnsi="Times New Roman"/>
          <w:lang w:val="es-ES_tradnl"/>
        </w:rPr>
      </w:pPr>
    </w:p>
    <w:p w14:paraId="7513BB4C" w14:textId="3BD144E3" w:rsidR="00366DEE" w:rsidRDefault="00366DEE" w:rsidP="00B348E1">
      <w:pPr>
        <w:spacing w:after="0" w:line="480" w:lineRule="auto"/>
        <w:ind w:firstLine="720"/>
        <w:jc w:val="both"/>
        <w:rPr>
          <w:rFonts w:ascii="Times New Roman" w:hAnsi="Times New Roman"/>
          <w:lang w:eastAsia="es-DO"/>
        </w:rPr>
      </w:pPr>
      <w:r w:rsidRPr="00F050E3">
        <w:rPr>
          <w:rFonts w:ascii="Times New Roman" w:hAnsi="Times New Roman"/>
          <w:lang w:val="es-ES_tradnl"/>
        </w:rPr>
        <w:t>Atendiendo a los compromisos presidenciales el uso de TIC e implementación de gobierno electrónico (</w:t>
      </w:r>
      <w:r w:rsidRPr="00F050E3">
        <w:rPr>
          <w:rFonts w:ascii="Times New Roman" w:hAnsi="Times New Roman"/>
        </w:rPr>
        <w:t>ITICge), es una herramienta de medición con la que se evalúa de manera sistemática los esfuerzos y avances en materia de implementación de las TIC, el avance del gobierno electrónico, atención ciudadana, gobierno abierto y e-Participación, infraestructura</w:t>
      </w:r>
      <w:r w:rsidR="0021506C" w:rsidRPr="00F050E3">
        <w:rPr>
          <w:rFonts w:ascii="Times New Roman" w:hAnsi="Times New Roman"/>
        </w:rPr>
        <w:t>s</w:t>
      </w:r>
      <w:r w:rsidRPr="00F050E3">
        <w:rPr>
          <w:rFonts w:ascii="Times New Roman" w:hAnsi="Times New Roman"/>
        </w:rPr>
        <w:t xml:space="preserve"> tecnológicas y los servicios en líneas,</w:t>
      </w:r>
      <w:r w:rsidRPr="00F050E3">
        <w:rPr>
          <w:rFonts w:ascii="Times New Roman" w:hAnsi="Times New Roman"/>
          <w:lang w:eastAsia="es-DO"/>
        </w:rPr>
        <w:t xml:space="preserve"> en ese sentido se logró avanzar en un 7</w:t>
      </w:r>
      <w:r w:rsidR="00E2619B" w:rsidRPr="00F050E3">
        <w:rPr>
          <w:rFonts w:ascii="Times New Roman" w:hAnsi="Times New Roman"/>
          <w:lang w:eastAsia="es-DO"/>
        </w:rPr>
        <w:t>6</w:t>
      </w:r>
      <w:r w:rsidRPr="00F050E3">
        <w:rPr>
          <w:rFonts w:ascii="Times New Roman" w:hAnsi="Times New Roman"/>
          <w:lang w:eastAsia="es-DO"/>
        </w:rPr>
        <w:t>.15% en este indicador.</w:t>
      </w:r>
    </w:p>
    <w:p w14:paraId="130FA834" w14:textId="191E905D" w:rsidR="004C2370" w:rsidRDefault="004C2370">
      <w:pPr>
        <w:spacing w:after="0"/>
        <w:rPr>
          <w:rFonts w:ascii="Times New Roman" w:hAnsi="Times New Roman"/>
          <w:lang w:eastAsia="es-DO"/>
        </w:rPr>
      </w:pPr>
    </w:p>
    <w:p w14:paraId="0E5F1B93" w14:textId="77777777" w:rsidR="002B05F3" w:rsidRPr="002F0F07" w:rsidRDefault="002B05F3" w:rsidP="001C6B1A">
      <w:pPr>
        <w:pStyle w:val="Prrafodelista"/>
        <w:numPr>
          <w:ilvl w:val="0"/>
          <w:numId w:val="9"/>
        </w:numPr>
        <w:spacing w:after="0" w:line="240" w:lineRule="auto"/>
        <w:ind w:left="567" w:hanging="567"/>
        <w:rPr>
          <w:rFonts w:ascii="Times New Roman" w:hAnsi="Times New Roman"/>
          <w:color w:val="4F81BD" w:themeColor="accent1"/>
          <w:lang w:val="es-ES_tradnl"/>
        </w:rPr>
      </w:pPr>
      <w:r w:rsidRPr="002B05F3">
        <w:rPr>
          <w:rFonts w:ascii="Times New Roman" w:hAnsi="Times New Roman"/>
          <w:b/>
          <w:sz w:val="24"/>
          <w:lang w:val="es-ES_tradnl"/>
        </w:rPr>
        <w:t xml:space="preserve">Resultado del Indicador </w:t>
      </w:r>
      <w:r>
        <w:rPr>
          <w:rFonts w:ascii="Times New Roman" w:hAnsi="Times New Roman"/>
          <w:b/>
          <w:sz w:val="24"/>
          <w:lang w:val="es-ES_tradnl"/>
        </w:rPr>
        <w:t>ITICge</w:t>
      </w:r>
    </w:p>
    <w:p w14:paraId="4494FC7A" w14:textId="77777777" w:rsidR="002F0F07" w:rsidRPr="00E2619B" w:rsidRDefault="002F0F07" w:rsidP="002F0F07">
      <w:pPr>
        <w:pStyle w:val="Prrafodelista"/>
        <w:spacing w:after="0" w:line="240" w:lineRule="auto"/>
        <w:ind w:left="567"/>
        <w:rPr>
          <w:rFonts w:ascii="Times New Roman" w:hAnsi="Times New Roman"/>
          <w:color w:val="4F81BD" w:themeColor="accent1"/>
          <w:lang w:val="es-ES_tradnl"/>
        </w:rPr>
      </w:pPr>
    </w:p>
    <w:tbl>
      <w:tblPr>
        <w:tblW w:w="6046" w:type="pct"/>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20" w:firstRow="1" w:lastRow="0" w:firstColumn="0" w:lastColumn="0" w:noHBand="0" w:noVBand="1"/>
      </w:tblPr>
      <w:tblGrid>
        <w:gridCol w:w="669"/>
        <w:gridCol w:w="1768"/>
        <w:gridCol w:w="4526"/>
        <w:gridCol w:w="1435"/>
        <w:gridCol w:w="1167"/>
      </w:tblGrid>
      <w:tr w:rsidR="00E2619B" w:rsidRPr="00F050E3" w14:paraId="22567C86" w14:textId="77777777" w:rsidTr="00365EDF">
        <w:trPr>
          <w:trHeight w:val="435"/>
        </w:trPr>
        <w:tc>
          <w:tcPr>
            <w:tcW w:w="350" w:type="pct"/>
            <w:shd w:val="clear" w:color="auto" w:fill="00B050"/>
            <w:vAlign w:val="center"/>
            <w:hideMark/>
          </w:tcPr>
          <w:p w14:paraId="302AF289" w14:textId="77777777" w:rsidR="00E2619B" w:rsidRPr="00F050E3" w:rsidRDefault="00E2619B" w:rsidP="00365EDF">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 xml:space="preserve">No. </w:t>
            </w:r>
          </w:p>
        </w:tc>
        <w:tc>
          <w:tcPr>
            <w:tcW w:w="924" w:type="pct"/>
            <w:shd w:val="clear" w:color="auto" w:fill="00B050"/>
            <w:vAlign w:val="center"/>
            <w:hideMark/>
          </w:tcPr>
          <w:p w14:paraId="7AA74DC7" w14:textId="77777777" w:rsidR="00E2619B" w:rsidRPr="00F050E3" w:rsidRDefault="00E2619B" w:rsidP="00365EDF">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Sub-Indicador</w:t>
            </w:r>
          </w:p>
        </w:tc>
        <w:tc>
          <w:tcPr>
            <w:tcW w:w="2366" w:type="pct"/>
            <w:shd w:val="clear" w:color="auto" w:fill="00B050"/>
            <w:vAlign w:val="center"/>
            <w:hideMark/>
          </w:tcPr>
          <w:p w14:paraId="7F5FCD97" w14:textId="77777777" w:rsidR="00E2619B" w:rsidRPr="00F050E3" w:rsidRDefault="00E2619B" w:rsidP="00365EDF">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Descripción</w:t>
            </w:r>
          </w:p>
        </w:tc>
        <w:tc>
          <w:tcPr>
            <w:tcW w:w="750" w:type="pct"/>
            <w:shd w:val="clear" w:color="auto" w:fill="00B050"/>
            <w:vAlign w:val="center"/>
            <w:hideMark/>
          </w:tcPr>
          <w:p w14:paraId="195F1544" w14:textId="77777777" w:rsidR="00E2619B" w:rsidRPr="00F050E3" w:rsidRDefault="00E2619B" w:rsidP="00365EDF">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Ponderación</w:t>
            </w:r>
          </w:p>
        </w:tc>
        <w:tc>
          <w:tcPr>
            <w:tcW w:w="610" w:type="pct"/>
            <w:shd w:val="clear" w:color="auto" w:fill="00B050"/>
            <w:vAlign w:val="center"/>
            <w:hideMark/>
          </w:tcPr>
          <w:p w14:paraId="6FBF8B78" w14:textId="77777777" w:rsidR="00E2619B" w:rsidRPr="00F050E3" w:rsidRDefault="00E2619B" w:rsidP="00365EDF">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Resultado</w:t>
            </w:r>
          </w:p>
        </w:tc>
      </w:tr>
      <w:tr w:rsidR="00E2619B" w:rsidRPr="00F050E3" w14:paraId="4C493E66" w14:textId="77777777" w:rsidTr="00365EDF">
        <w:trPr>
          <w:trHeight w:val="1275"/>
        </w:trPr>
        <w:tc>
          <w:tcPr>
            <w:tcW w:w="350" w:type="pct"/>
            <w:shd w:val="clear" w:color="auto" w:fill="FFFFFF"/>
            <w:vAlign w:val="center"/>
            <w:hideMark/>
          </w:tcPr>
          <w:p w14:paraId="6AF3D2F4" w14:textId="77777777" w:rsidR="00E2619B" w:rsidRPr="00F050E3" w:rsidRDefault="00E2619B" w:rsidP="00E2619B">
            <w:pPr>
              <w:spacing w:after="0"/>
              <w:jc w:val="center"/>
              <w:rPr>
                <w:rFonts w:ascii="Times New Roman" w:hAnsi="Times New Roman"/>
                <w:lang w:eastAsia="es-DO"/>
              </w:rPr>
            </w:pPr>
            <w:r w:rsidRPr="00F050E3">
              <w:rPr>
                <w:rFonts w:ascii="Times New Roman" w:hAnsi="Times New Roman"/>
                <w:lang w:eastAsia="es-DO"/>
              </w:rPr>
              <w:t>1</w:t>
            </w:r>
          </w:p>
        </w:tc>
        <w:tc>
          <w:tcPr>
            <w:tcW w:w="924" w:type="pct"/>
            <w:shd w:val="clear" w:color="auto" w:fill="FFFFFF"/>
            <w:vAlign w:val="center"/>
            <w:hideMark/>
          </w:tcPr>
          <w:p w14:paraId="26F0D646" w14:textId="43F0E5D5" w:rsidR="00E2619B" w:rsidRPr="00F050E3" w:rsidRDefault="001B1104" w:rsidP="00E2619B">
            <w:pPr>
              <w:spacing w:after="0"/>
              <w:rPr>
                <w:rFonts w:ascii="Times New Roman" w:hAnsi="Times New Roman"/>
                <w:lang w:eastAsia="es-DO"/>
              </w:rPr>
            </w:pPr>
            <w:r w:rsidRPr="00F050E3">
              <w:rPr>
                <w:rFonts w:ascii="Times New Roman" w:hAnsi="Times New Roman"/>
                <w:bCs/>
                <w:color w:val="000000"/>
                <w:lang w:eastAsia="es-DO"/>
              </w:rPr>
              <w:t xml:space="preserve">Implementación de </w:t>
            </w:r>
            <w:r w:rsidR="00E2619B" w:rsidRPr="00F050E3">
              <w:rPr>
                <w:rFonts w:ascii="Times New Roman" w:hAnsi="Times New Roman"/>
                <w:bCs/>
                <w:color w:val="000000"/>
                <w:lang w:eastAsia="es-DO"/>
              </w:rPr>
              <w:t>e-Gobierno</w:t>
            </w:r>
          </w:p>
        </w:tc>
        <w:tc>
          <w:tcPr>
            <w:tcW w:w="2366" w:type="pct"/>
            <w:shd w:val="clear" w:color="auto" w:fill="FFFFFF"/>
            <w:vAlign w:val="center"/>
            <w:hideMark/>
          </w:tcPr>
          <w:p w14:paraId="00590A2F" w14:textId="60E28CEC" w:rsidR="00E2619B" w:rsidRPr="00F050E3" w:rsidRDefault="001B1104" w:rsidP="00E2619B">
            <w:pPr>
              <w:spacing w:after="0"/>
              <w:rPr>
                <w:rFonts w:ascii="Times New Roman" w:hAnsi="Times New Roman"/>
                <w:lang w:eastAsia="es-DO"/>
              </w:rPr>
            </w:pPr>
            <w:r w:rsidRPr="00F050E3">
              <w:rPr>
                <w:rFonts w:ascii="Times New Roman" w:hAnsi="Times New Roman"/>
                <w:lang w:eastAsia="es-DO"/>
              </w:rPr>
              <w:t>Evalúa el nivel de avance en la implementación de buenas prácticas de gobierno electrónico mediante el uso dado a los recursos humanos y tecnológicos disponibles.</w:t>
            </w:r>
          </w:p>
        </w:tc>
        <w:tc>
          <w:tcPr>
            <w:tcW w:w="750" w:type="pct"/>
            <w:shd w:val="clear" w:color="auto" w:fill="FFFFFF"/>
            <w:vAlign w:val="center"/>
            <w:hideMark/>
          </w:tcPr>
          <w:p w14:paraId="72E85CE0" w14:textId="694D31B1" w:rsidR="00E2619B" w:rsidRPr="00F050E3" w:rsidRDefault="001B1104" w:rsidP="00E2619B">
            <w:pPr>
              <w:jc w:val="center"/>
              <w:rPr>
                <w:rFonts w:ascii="Times New Roman" w:hAnsi="Times New Roman"/>
              </w:rPr>
            </w:pPr>
            <w:r w:rsidRPr="00F050E3">
              <w:rPr>
                <w:rFonts w:ascii="Times New Roman" w:hAnsi="Times New Roman"/>
              </w:rPr>
              <w:t>30</w:t>
            </w:r>
            <w:r w:rsidR="00E2619B" w:rsidRPr="00F050E3">
              <w:rPr>
                <w:rFonts w:ascii="Times New Roman" w:hAnsi="Times New Roman"/>
              </w:rPr>
              <w:t>%</w:t>
            </w:r>
          </w:p>
        </w:tc>
        <w:tc>
          <w:tcPr>
            <w:tcW w:w="610" w:type="pct"/>
            <w:shd w:val="clear" w:color="auto" w:fill="FFFFFF"/>
            <w:vAlign w:val="center"/>
            <w:hideMark/>
          </w:tcPr>
          <w:p w14:paraId="573FF93B" w14:textId="74F14850" w:rsidR="00E2619B" w:rsidRPr="00F050E3" w:rsidRDefault="001B1104" w:rsidP="00E2619B">
            <w:pPr>
              <w:jc w:val="center"/>
              <w:rPr>
                <w:rFonts w:ascii="Times New Roman" w:hAnsi="Times New Roman"/>
                <w:bCs/>
                <w:color w:val="000000"/>
              </w:rPr>
            </w:pPr>
            <w:r w:rsidRPr="00F050E3">
              <w:rPr>
                <w:rFonts w:ascii="Times New Roman" w:hAnsi="Times New Roman"/>
                <w:bCs/>
                <w:color w:val="000000"/>
              </w:rPr>
              <w:t>20.47</w:t>
            </w:r>
            <w:r w:rsidR="00E2619B" w:rsidRPr="00F050E3">
              <w:rPr>
                <w:rFonts w:ascii="Times New Roman" w:hAnsi="Times New Roman"/>
                <w:bCs/>
                <w:color w:val="000000"/>
              </w:rPr>
              <w:t>%</w:t>
            </w:r>
          </w:p>
        </w:tc>
      </w:tr>
      <w:tr w:rsidR="00E2619B" w:rsidRPr="00F050E3" w14:paraId="088B36B1" w14:textId="77777777" w:rsidTr="00365EDF">
        <w:trPr>
          <w:trHeight w:val="77"/>
        </w:trPr>
        <w:tc>
          <w:tcPr>
            <w:tcW w:w="350" w:type="pct"/>
            <w:shd w:val="clear" w:color="auto" w:fill="FFFFFF"/>
            <w:vAlign w:val="center"/>
            <w:hideMark/>
          </w:tcPr>
          <w:p w14:paraId="30EBB376" w14:textId="77777777" w:rsidR="00E2619B" w:rsidRPr="00F050E3" w:rsidRDefault="00E2619B" w:rsidP="00E2619B">
            <w:pPr>
              <w:spacing w:after="0"/>
              <w:jc w:val="center"/>
              <w:rPr>
                <w:rFonts w:ascii="Times New Roman" w:hAnsi="Times New Roman"/>
                <w:lang w:eastAsia="es-DO"/>
              </w:rPr>
            </w:pPr>
            <w:r w:rsidRPr="00F050E3">
              <w:rPr>
                <w:rFonts w:ascii="Times New Roman" w:hAnsi="Times New Roman"/>
                <w:lang w:eastAsia="es-DO"/>
              </w:rPr>
              <w:t>2</w:t>
            </w:r>
          </w:p>
        </w:tc>
        <w:tc>
          <w:tcPr>
            <w:tcW w:w="924" w:type="pct"/>
            <w:shd w:val="clear" w:color="auto" w:fill="FFFFFF"/>
            <w:vAlign w:val="center"/>
            <w:hideMark/>
          </w:tcPr>
          <w:p w14:paraId="5D5078A0" w14:textId="0BADED61" w:rsidR="00E2619B" w:rsidRPr="00F050E3" w:rsidRDefault="00E2619B" w:rsidP="00E2619B">
            <w:pPr>
              <w:spacing w:after="0"/>
              <w:rPr>
                <w:rFonts w:ascii="Times New Roman" w:hAnsi="Times New Roman"/>
                <w:lang w:eastAsia="es-DO"/>
              </w:rPr>
            </w:pPr>
            <w:r w:rsidRPr="00F050E3">
              <w:rPr>
                <w:rFonts w:ascii="Times New Roman" w:hAnsi="Times New Roman"/>
                <w:bCs/>
                <w:color w:val="000000"/>
                <w:lang w:eastAsia="es-DO"/>
              </w:rPr>
              <w:t xml:space="preserve">Uso de </w:t>
            </w:r>
            <w:r w:rsidR="001B1104" w:rsidRPr="00F050E3">
              <w:rPr>
                <w:rFonts w:ascii="Times New Roman" w:hAnsi="Times New Roman"/>
                <w:bCs/>
                <w:color w:val="000000"/>
                <w:lang w:eastAsia="es-DO"/>
              </w:rPr>
              <w:t xml:space="preserve">las </w:t>
            </w:r>
            <w:r w:rsidRPr="00F050E3">
              <w:rPr>
                <w:rFonts w:ascii="Times New Roman" w:hAnsi="Times New Roman"/>
                <w:bCs/>
                <w:color w:val="000000"/>
                <w:lang w:eastAsia="es-DO"/>
              </w:rPr>
              <w:t xml:space="preserve">TIC </w:t>
            </w:r>
          </w:p>
        </w:tc>
        <w:tc>
          <w:tcPr>
            <w:tcW w:w="2366" w:type="pct"/>
            <w:shd w:val="clear" w:color="auto" w:fill="FFFFFF"/>
            <w:vAlign w:val="center"/>
            <w:hideMark/>
          </w:tcPr>
          <w:p w14:paraId="73308C41" w14:textId="25BF687B" w:rsidR="00E2619B" w:rsidRPr="00F050E3" w:rsidRDefault="001B1104" w:rsidP="001B1104">
            <w:pPr>
              <w:spacing w:after="0"/>
              <w:rPr>
                <w:rFonts w:ascii="Helvetica" w:hAnsi="Helvetica"/>
                <w:color w:val="676A6C"/>
                <w:sz w:val="20"/>
                <w:szCs w:val="20"/>
                <w:lang w:eastAsia="es-DO"/>
              </w:rPr>
            </w:pPr>
            <w:r w:rsidRPr="00F050E3">
              <w:rPr>
                <w:rFonts w:ascii="Times New Roman" w:hAnsi="Times New Roman"/>
                <w:lang w:eastAsia="es-DO"/>
              </w:rPr>
              <w:t>Evalúa la disponibilidad y buen manejo de los recursos humanos y tecnológicos, así como la existencia de controles para una buena gestión de dichos recursos</w:t>
            </w:r>
          </w:p>
        </w:tc>
        <w:tc>
          <w:tcPr>
            <w:tcW w:w="750" w:type="pct"/>
            <w:shd w:val="clear" w:color="auto" w:fill="FFFFFF"/>
            <w:vAlign w:val="center"/>
            <w:hideMark/>
          </w:tcPr>
          <w:p w14:paraId="28819CAA" w14:textId="6CF28A37" w:rsidR="00E2619B" w:rsidRPr="00F050E3" w:rsidRDefault="001B1104" w:rsidP="00E2619B">
            <w:pPr>
              <w:jc w:val="center"/>
              <w:rPr>
                <w:rFonts w:ascii="Times New Roman" w:hAnsi="Times New Roman"/>
              </w:rPr>
            </w:pPr>
            <w:r w:rsidRPr="00F050E3">
              <w:rPr>
                <w:rFonts w:ascii="Times New Roman" w:hAnsi="Times New Roman"/>
              </w:rPr>
              <w:t>20</w:t>
            </w:r>
            <w:r w:rsidR="00E2619B" w:rsidRPr="00F050E3">
              <w:rPr>
                <w:rFonts w:ascii="Times New Roman" w:hAnsi="Times New Roman"/>
              </w:rPr>
              <w:t>%</w:t>
            </w:r>
          </w:p>
        </w:tc>
        <w:tc>
          <w:tcPr>
            <w:tcW w:w="610" w:type="pct"/>
            <w:shd w:val="clear" w:color="auto" w:fill="FFFFFF"/>
            <w:vAlign w:val="center"/>
            <w:hideMark/>
          </w:tcPr>
          <w:p w14:paraId="0F63F3C3" w14:textId="2385AA63" w:rsidR="00E2619B" w:rsidRPr="00F050E3" w:rsidRDefault="001B1104" w:rsidP="00E2619B">
            <w:pPr>
              <w:jc w:val="center"/>
              <w:rPr>
                <w:rFonts w:ascii="Times New Roman" w:hAnsi="Times New Roman"/>
                <w:bCs/>
                <w:color w:val="000000"/>
              </w:rPr>
            </w:pPr>
            <w:r w:rsidRPr="00F050E3">
              <w:rPr>
                <w:rFonts w:ascii="Times New Roman" w:hAnsi="Times New Roman"/>
                <w:bCs/>
                <w:color w:val="000000"/>
              </w:rPr>
              <w:t>17.25</w:t>
            </w:r>
            <w:r w:rsidR="00E2619B" w:rsidRPr="00F050E3">
              <w:rPr>
                <w:rFonts w:ascii="Times New Roman" w:hAnsi="Times New Roman"/>
                <w:bCs/>
                <w:color w:val="000000"/>
              </w:rPr>
              <w:t>%</w:t>
            </w:r>
          </w:p>
        </w:tc>
      </w:tr>
      <w:tr w:rsidR="00E2619B" w:rsidRPr="00F050E3" w14:paraId="72D7A22E" w14:textId="77777777" w:rsidTr="00365EDF">
        <w:trPr>
          <w:trHeight w:val="87"/>
        </w:trPr>
        <w:tc>
          <w:tcPr>
            <w:tcW w:w="350" w:type="pct"/>
            <w:shd w:val="clear" w:color="auto" w:fill="FFFFFF"/>
            <w:vAlign w:val="center"/>
            <w:hideMark/>
          </w:tcPr>
          <w:p w14:paraId="5FBDD647" w14:textId="77777777" w:rsidR="00E2619B" w:rsidRPr="00F050E3" w:rsidRDefault="00E2619B" w:rsidP="00E2619B">
            <w:pPr>
              <w:spacing w:after="0"/>
              <w:jc w:val="center"/>
              <w:rPr>
                <w:rFonts w:ascii="Times New Roman" w:hAnsi="Times New Roman"/>
                <w:lang w:eastAsia="es-DO"/>
              </w:rPr>
            </w:pPr>
            <w:r w:rsidRPr="00F050E3">
              <w:rPr>
                <w:rFonts w:ascii="Times New Roman" w:hAnsi="Times New Roman"/>
                <w:lang w:eastAsia="es-DO"/>
              </w:rPr>
              <w:t>3</w:t>
            </w:r>
          </w:p>
        </w:tc>
        <w:tc>
          <w:tcPr>
            <w:tcW w:w="924" w:type="pct"/>
            <w:shd w:val="clear" w:color="auto" w:fill="FFFFFF"/>
            <w:vAlign w:val="center"/>
            <w:hideMark/>
          </w:tcPr>
          <w:p w14:paraId="10D2418E" w14:textId="2FAD59E4" w:rsidR="00E2619B" w:rsidRPr="00F050E3" w:rsidRDefault="001B1104" w:rsidP="00E2619B">
            <w:pPr>
              <w:spacing w:after="0"/>
              <w:rPr>
                <w:rFonts w:ascii="Times New Roman" w:hAnsi="Times New Roman"/>
                <w:lang w:eastAsia="es-DO"/>
              </w:rPr>
            </w:pPr>
            <w:r w:rsidRPr="00F050E3">
              <w:rPr>
                <w:rFonts w:ascii="Times New Roman" w:hAnsi="Times New Roman"/>
                <w:bCs/>
                <w:color w:val="000000"/>
                <w:lang w:eastAsia="es-DO"/>
              </w:rPr>
              <w:t xml:space="preserve">Desarroolo de </w:t>
            </w:r>
            <w:r w:rsidRPr="00F050E3">
              <w:rPr>
                <w:rFonts w:ascii="Times New Roman" w:hAnsi="Times New Roman"/>
                <w:bCs/>
                <w:color w:val="000000"/>
                <w:lang w:eastAsia="es-DO"/>
              </w:rPr>
              <w:br/>
            </w:r>
            <w:r w:rsidR="00E2619B" w:rsidRPr="00F050E3">
              <w:rPr>
                <w:rFonts w:ascii="Times New Roman" w:hAnsi="Times New Roman"/>
                <w:bCs/>
                <w:color w:val="000000"/>
                <w:lang w:eastAsia="es-DO"/>
              </w:rPr>
              <w:t>e-Servicios</w:t>
            </w:r>
          </w:p>
        </w:tc>
        <w:tc>
          <w:tcPr>
            <w:tcW w:w="2366" w:type="pct"/>
            <w:shd w:val="clear" w:color="auto" w:fill="FFFFFF"/>
            <w:vAlign w:val="center"/>
            <w:hideMark/>
          </w:tcPr>
          <w:p w14:paraId="6D299D4E" w14:textId="5B5E4DBC" w:rsidR="00E2619B" w:rsidRPr="00F050E3" w:rsidRDefault="001B1104" w:rsidP="00E2619B">
            <w:pPr>
              <w:spacing w:after="0"/>
              <w:rPr>
                <w:rFonts w:ascii="Times New Roman" w:hAnsi="Times New Roman"/>
                <w:lang w:eastAsia="es-DO"/>
              </w:rPr>
            </w:pPr>
            <w:r w:rsidRPr="00F050E3">
              <w:rPr>
                <w:rFonts w:ascii="Times New Roman" w:hAnsi="Times New Roman"/>
                <w:lang w:eastAsia="es-DO"/>
              </w:rPr>
              <w:t>Evalúa el nivel de avance institucional en materia de e-Servicios, el nivel de facilidad de acceso que tienen los servicios institucionales publicados en línea y su conformidad con las normas establecidas.</w:t>
            </w:r>
          </w:p>
        </w:tc>
        <w:tc>
          <w:tcPr>
            <w:tcW w:w="750" w:type="pct"/>
            <w:shd w:val="clear" w:color="auto" w:fill="FFFFFF"/>
            <w:vAlign w:val="center"/>
            <w:hideMark/>
          </w:tcPr>
          <w:p w14:paraId="7084A66E" w14:textId="0FC875A2" w:rsidR="00E2619B" w:rsidRPr="00F050E3" w:rsidRDefault="001B1104" w:rsidP="00E2619B">
            <w:pPr>
              <w:jc w:val="center"/>
              <w:rPr>
                <w:rFonts w:ascii="Times New Roman" w:hAnsi="Times New Roman"/>
              </w:rPr>
            </w:pPr>
            <w:r w:rsidRPr="00F050E3">
              <w:rPr>
                <w:rFonts w:ascii="Times New Roman" w:hAnsi="Times New Roman"/>
              </w:rPr>
              <w:t>25</w:t>
            </w:r>
            <w:r w:rsidR="00E2619B" w:rsidRPr="00F050E3">
              <w:rPr>
                <w:rFonts w:ascii="Times New Roman" w:hAnsi="Times New Roman"/>
              </w:rPr>
              <w:t>%</w:t>
            </w:r>
          </w:p>
        </w:tc>
        <w:tc>
          <w:tcPr>
            <w:tcW w:w="610" w:type="pct"/>
            <w:shd w:val="clear" w:color="auto" w:fill="FFFFFF"/>
            <w:vAlign w:val="center"/>
            <w:hideMark/>
          </w:tcPr>
          <w:p w14:paraId="2BF1B5C9" w14:textId="51B4B1A8" w:rsidR="00E2619B" w:rsidRPr="00F050E3" w:rsidRDefault="001B1104" w:rsidP="00E2619B">
            <w:pPr>
              <w:jc w:val="center"/>
              <w:rPr>
                <w:rFonts w:ascii="Times New Roman" w:hAnsi="Times New Roman"/>
                <w:bCs/>
                <w:color w:val="000000"/>
              </w:rPr>
            </w:pPr>
            <w:r w:rsidRPr="00F050E3">
              <w:rPr>
                <w:rFonts w:ascii="Times New Roman" w:hAnsi="Times New Roman"/>
                <w:bCs/>
                <w:color w:val="000000"/>
              </w:rPr>
              <w:t>18.27</w:t>
            </w:r>
            <w:r w:rsidR="00E2619B" w:rsidRPr="00F050E3">
              <w:rPr>
                <w:rFonts w:ascii="Times New Roman" w:hAnsi="Times New Roman"/>
                <w:bCs/>
                <w:color w:val="000000"/>
              </w:rPr>
              <w:t>%</w:t>
            </w:r>
          </w:p>
        </w:tc>
      </w:tr>
      <w:tr w:rsidR="00E2619B" w:rsidRPr="00F050E3" w14:paraId="28D76CA9" w14:textId="77777777" w:rsidTr="00365EDF">
        <w:trPr>
          <w:trHeight w:val="77"/>
        </w:trPr>
        <w:tc>
          <w:tcPr>
            <w:tcW w:w="350" w:type="pct"/>
            <w:shd w:val="clear" w:color="auto" w:fill="FFFFFF"/>
            <w:vAlign w:val="center"/>
            <w:hideMark/>
          </w:tcPr>
          <w:p w14:paraId="5575A776" w14:textId="77777777" w:rsidR="00E2619B" w:rsidRPr="00F050E3" w:rsidRDefault="00E2619B" w:rsidP="00E2619B">
            <w:pPr>
              <w:spacing w:after="0"/>
              <w:jc w:val="center"/>
              <w:rPr>
                <w:rFonts w:ascii="Times New Roman" w:hAnsi="Times New Roman"/>
                <w:lang w:eastAsia="es-DO"/>
              </w:rPr>
            </w:pPr>
            <w:r w:rsidRPr="00F050E3">
              <w:rPr>
                <w:rFonts w:ascii="Times New Roman" w:hAnsi="Times New Roman"/>
                <w:lang w:eastAsia="es-DO"/>
              </w:rPr>
              <w:t>4</w:t>
            </w:r>
          </w:p>
        </w:tc>
        <w:tc>
          <w:tcPr>
            <w:tcW w:w="924" w:type="pct"/>
            <w:shd w:val="clear" w:color="auto" w:fill="FFFFFF"/>
            <w:vAlign w:val="center"/>
            <w:hideMark/>
          </w:tcPr>
          <w:p w14:paraId="1DA63150" w14:textId="1071C179" w:rsidR="00E2619B" w:rsidRPr="00F050E3" w:rsidRDefault="00E2619B" w:rsidP="00E2619B">
            <w:pPr>
              <w:spacing w:after="0"/>
              <w:rPr>
                <w:rFonts w:ascii="Times New Roman" w:hAnsi="Times New Roman"/>
                <w:lang w:eastAsia="es-DO"/>
              </w:rPr>
            </w:pPr>
            <w:r w:rsidRPr="00F050E3">
              <w:rPr>
                <w:rFonts w:ascii="Times New Roman" w:hAnsi="Times New Roman"/>
                <w:bCs/>
                <w:color w:val="000000"/>
                <w:lang w:eastAsia="es-DO"/>
              </w:rPr>
              <w:t>Gobierno Abierto</w:t>
            </w:r>
            <w:r w:rsidR="001B1104" w:rsidRPr="00F050E3">
              <w:rPr>
                <w:rFonts w:ascii="Times New Roman" w:hAnsi="Times New Roman"/>
                <w:bCs/>
                <w:color w:val="000000"/>
                <w:lang w:eastAsia="es-DO"/>
              </w:rPr>
              <w:t xml:space="preserve"> y </w:t>
            </w:r>
            <w:r w:rsidR="001B1104" w:rsidRPr="00F050E3">
              <w:rPr>
                <w:rFonts w:ascii="Times New Roman" w:hAnsi="Times New Roman"/>
                <w:bCs/>
                <w:color w:val="000000"/>
                <w:lang w:eastAsia="es-DO"/>
              </w:rPr>
              <w:br/>
              <w:t>E-participación</w:t>
            </w:r>
          </w:p>
        </w:tc>
        <w:tc>
          <w:tcPr>
            <w:tcW w:w="2366" w:type="pct"/>
            <w:shd w:val="clear" w:color="auto" w:fill="FFFFFF"/>
            <w:vAlign w:val="center"/>
            <w:hideMark/>
          </w:tcPr>
          <w:p w14:paraId="0BBE7C91" w14:textId="7E75308D" w:rsidR="00E2619B" w:rsidRPr="00F050E3" w:rsidRDefault="001B1104" w:rsidP="00E2619B">
            <w:pPr>
              <w:spacing w:after="0"/>
              <w:rPr>
                <w:rFonts w:ascii="Times New Roman" w:hAnsi="Times New Roman"/>
                <w:lang w:eastAsia="es-DO"/>
              </w:rPr>
            </w:pPr>
            <w:r w:rsidRPr="00F050E3">
              <w:rPr>
                <w:rFonts w:ascii="Times New Roman" w:hAnsi="Times New Roman"/>
                <w:lang w:eastAsia="es-DO"/>
              </w:rPr>
              <w:t>Evalúa el nivel de participación de los ciudadanos en las políticas públicas utilizando medios electrónicos y el empoderamiento que estos tienen para ejercer tal derecho. Además de la publicación de datos abiertos por parte de las instituciones y el cumplimiento con la normativa NORTIC A3.</w:t>
            </w:r>
          </w:p>
        </w:tc>
        <w:tc>
          <w:tcPr>
            <w:tcW w:w="750" w:type="pct"/>
            <w:shd w:val="clear" w:color="auto" w:fill="FFFFFF"/>
            <w:vAlign w:val="center"/>
            <w:hideMark/>
          </w:tcPr>
          <w:p w14:paraId="25BD8A7D" w14:textId="79115999" w:rsidR="00E2619B" w:rsidRPr="00F050E3" w:rsidRDefault="001B1104" w:rsidP="00E2619B">
            <w:pPr>
              <w:jc w:val="center"/>
              <w:rPr>
                <w:rFonts w:ascii="Times New Roman" w:hAnsi="Times New Roman"/>
              </w:rPr>
            </w:pPr>
            <w:r w:rsidRPr="00F050E3">
              <w:rPr>
                <w:rFonts w:ascii="Times New Roman" w:hAnsi="Times New Roman"/>
              </w:rPr>
              <w:t>25</w:t>
            </w:r>
            <w:r w:rsidR="00E2619B" w:rsidRPr="00F050E3">
              <w:rPr>
                <w:rFonts w:ascii="Times New Roman" w:hAnsi="Times New Roman"/>
              </w:rPr>
              <w:t>%</w:t>
            </w:r>
          </w:p>
        </w:tc>
        <w:tc>
          <w:tcPr>
            <w:tcW w:w="610" w:type="pct"/>
            <w:shd w:val="clear" w:color="auto" w:fill="FFFFFF"/>
            <w:vAlign w:val="center"/>
            <w:hideMark/>
          </w:tcPr>
          <w:p w14:paraId="73769FA5" w14:textId="3B9EEA77" w:rsidR="00E2619B" w:rsidRPr="00F050E3" w:rsidRDefault="001B1104" w:rsidP="00E2619B">
            <w:pPr>
              <w:jc w:val="center"/>
              <w:rPr>
                <w:rFonts w:ascii="Times New Roman" w:hAnsi="Times New Roman"/>
                <w:bCs/>
                <w:color w:val="000000"/>
              </w:rPr>
            </w:pPr>
            <w:r w:rsidRPr="00F050E3">
              <w:rPr>
                <w:rFonts w:ascii="Times New Roman" w:hAnsi="Times New Roman"/>
                <w:bCs/>
                <w:color w:val="000000"/>
              </w:rPr>
              <w:t>20.16</w:t>
            </w:r>
            <w:r w:rsidR="00E2619B" w:rsidRPr="00F050E3">
              <w:rPr>
                <w:rFonts w:ascii="Times New Roman" w:hAnsi="Times New Roman"/>
                <w:bCs/>
                <w:color w:val="000000"/>
              </w:rPr>
              <w:t>%</w:t>
            </w:r>
          </w:p>
        </w:tc>
      </w:tr>
      <w:tr w:rsidR="00E2619B" w:rsidRPr="008F7191" w14:paraId="3661DD7D" w14:textId="77777777" w:rsidTr="00365EDF">
        <w:trPr>
          <w:trHeight w:val="64"/>
        </w:trPr>
        <w:tc>
          <w:tcPr>
            <w:tcW w:w="3640" w:type="pct"/>
            <w:gridSpan w:val="3"/>
            <w:shd w:val="clear" w:color="auto" w:fill="808080" w:themeFill="background1" w:themeFillShade="80"/>
            <w:vAlign w:val="center"/>
            <w:hideMark/>
          </w:tcPr>
          <w:p w14:paraId="4DEDAA44" w14:textId="77777777" w:rsidR="00E2619B" w:rsidRPr="00F050E3" w:rsidRDefault="00E2619B" w:rsidP="00365EDF">
            <w:pPr>
              <w:spacing w:after="0"/>
              <w:ind w:firstLineChars="100" w:firstLine="241"/>
              <w:jc w:val="right"/>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Total</w:t>
            </w:r>
          </w:p>
        </w:tc>
        <w:tc>
          <w:tcPr>
            <w:tcW w:w="750" w:type="pct"/>
            <w:shd w:val="clear" w:color="auto" w:fill="808080" w:themeFill="background1" w:themeFillShade="80"/>
            <w:vAlign w:val="center"/>
            <w:hideMark/>
          </w:tcPr>
          <w:p w14:paraId="31A9BFE1" w14:textId="77777777" w:rsidR="00E2619B" w:rsidRPr="00F050E3" w:rsidRDefault="00E2619B" w:rsidP="00365EDF">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100%</w:t>
            </w:r>
          </w:p>
        </w:tc>
        <w:tc>
          <w:tcPr>
            <w:tcW w:w="610" w:type="pct"/>
            <w:shd w:val="clear" w:color="auto" w:fill="808080" w:themeFill="background1" w:themeFillShade="80"/>
            <w:vAlign w:val="center"/>
            <w:hideMark/>
          </w:tcPr>
          <w:p w14:paraId="5832F806" w14:textId="1C885536" w:rsidR="00E2619B" w:rsidRPr="001D72DA" w:rsidRDefault="001B1104" w:rsidP="00365EDF">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76.15</w:t>
            </w:r>
            <w:r w:rsidR="00E2619B" w:rsidRPr="00F050E3">
              <w:rPr>
                <w:rFonts w:ascii="Times New Roman" w:hAnsi="Times New Roman"/>
                <w:b/>
                <w:bCs/>
                <w:color w:val="FFFFFF" w:themeColor="background1"/>
                <w:lang w:eastAsia="es-DO"/>
              </w:rPr>
              <w:t>%</w:t>
            </w:r>
          </w:p>
        </w:tc>
      </w:tr>
    </w:tbl>
    <w:p w14:paraId="124585DD" w14:textId="7593B7FF" w:rsidR="004C2370" w:rsidRDefault="004C2370" w:rsidP="00211B2F">
      <w:pPr>
        <w:spacing w:after="0" w:line="480" w:lineRule="auto"/>
        <w:rPr>
          <w:lang w:val="es-ES_tradnl" w:eastAsia="en-US" w:bidi="en-US"/>
        </w:rPr>
      </w:pPr>
    </w:p>
    <w:p w14:paraId="210B800F" w14:textId="2E9923A3" w:rsidR="006723D0" w:rsidRPr="00E635F0" w:rsidRDefault="0045254A" w:rsidP="001C6B1A">
      <w:pPr>
        <w:pStyle w:val="Prrafodelista"/>
        <w:numPr>
          <w:ilvl w:val="0"/>
          <w:numId w:val="8"/>
        </w:numPr>
        <w:spacing w:after="0" w:line="360" w:lineRule="auto"/>
        <w:ind w:left="1783" w:hanging="1499"/>
        <w:rPr>
          <w:rFonts w:ascii="Times New Roman" w:hAnsi="Times New Roman"/>
          <w:b/>
          <w:sz w:val="24"/>
        </w:rPr>
      </w:pPr>
      <w:r>
        <w:rPr>
          <w:rFonts w:ascii="Times New Roman" w:hAnsi="Times New Roman"/>
          <w:b/>
          <w:bCs/>
          <w:sz w:val="24"/>
        </w:rPr>
        <w:lastRenderedPageBreak/>
        <w:t>Resultado</w:t>
      </w:r>
      <w:r w:rsidR="00F471C3">
        <w:rPr>
          <w:rFonts w:ascii="Times New Roman" w:hAnsi="Times New Roman"/>
          <w:b/>
          <w:bCs/>
          <w:sz w:val="24"/>
        </w:rPr>
        <w:t xml:space="preserve"> i</w:t>
      </w:r>
      <w:r w:rsidR="006723D0" w:rsidRPr="003957D2">
        <w:rPr>
          <w:rFonts w:ascii="Times New Roman" w:hAnsi="Times New Roman"/>
          <w:b/>
          <w:bCs/>
          <w:sz w:val="24"/>
        </w:rPr>
        <w:t>ndicador</w:t>
      </w:r>
      <w:r w:rsidR="00F471C3">
        <w:rPr>
          <w:rFonts w:ascii="Times New Roman" w:hAnsi="Times New Roman"/>
          <w:b/>
          <w:bCs/>
          <w:sz w:val="24"/>
        </w:rPr>
        <w:t xml:space="preserve"> </w:t>
      </w:r>
      <w:r w:rsidR="00AA26DB">
        <w:rPr>
          <w:rFonts w:ascii="Times New Roman" w:hAnsi="Times New Roman"/>
          <w:b/>
          <w:bCs/>
          <w:sz w:val="24"/>
        </w:rPr>
        <w:t>i</w:t>
      </w:r>
      <w:r w:rsidR="006723D0">
        <w:rPr>
          <w:rFonts w:ascii="Times New Roman" w:hAnsi="Times New Roman"/>
          <w:b/>
          <w:bCs/>
          <w:sz w:val="24"/>
        </w:rPr>
        <w:t>TIC</w:t>
      </w:r>
      <w:r>
        <w:rPr>
          <w:rFonts w:ascii="Times New Roman" w:hAnsi="Times New Roman"/>
          <w:b/>
          <w:bCs/>
          <w:sz w:val="24"/>
        </w:rPr>
        <w:t>g</w:t>
      </w:r>
      <w:r w:rsidR="006723D0">
        <w:rPr>
          <w:rFonts w:ascii="Times New Roman" w:hAnsi="Times New Roman"/>
          <w:b/>
          <w:bCs/>
          <w:sz w:val="24"/>
        </w:rPr>
        <w:t>e</w:t>
      </w:r>
      <w:r w:rsidR="00F471C3">
        <w:rPr>
          <w:rFonts w:ascii="Times New Roman" w:hAnsi="Times New Roman"/>
          <w:b/>
          <w:bCs/>
          <w:sz w:val="24"/>
        </w:rPr>
        <w:t xml:space="preserve"> por trimestres 2019</w:t>
      </w:r>
    </w:p>
    <w:p w14:paraId="027A8682" w14:textId="28C54CC2" w:rsidR="006723D0" w:rsidRDefault="006723D0" w:rsidP="00211B2F">
      <w:pPr>
        <w:spacing w:after="0" w:line="480" w:lineRule="auto"/>
        <w:rPr>
          <w:lang w:val="es-ES_tradnl" w:eastAsia="en-US" w:bidi="en-US"/>
        </w:rPr>
      </w:pPr>
      <w:r>
        <w:rPr>
          <w:noProof/>
          <w:lang w:eastAsia="es-DO"/>
        </w:rPr>
        <w:drawing>
          <wp:inline distT="0" distB="0" distL="0" distR="0" wp14:anchorId="341E8086" wp14:editId="358141C5">
            <wp:extent cx="5029200" cy="2869324"/>
            <wp:effectExtent l="0" t="0" r="0" b="7620"/>
            <wp:docPr id="163" name="Gráfico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22A6B31B" w14:textId="77777777" w:rsidR="002F0F07" w:rsidRDefault="002F0F07" w:rsidP="00211B2F">
      <w:pPr>
        <w:spacing w:after="0" w:line="480" w:lineRule="auto"/>
        <w:rPr>
          <w:lang w:val="es-ES_tradnl" w:eastAsia="en-US" w:bidi="en-US"/>
        </w:rPr>
      </w:pPr>
    </w:p>
    <w:p w14:paraId="73AA303C" w14:textId="052552C5" w:rsidR="00F471C3" w:rsidRPr="00E635F0" w:rsidRDefault="00F471C3" w:rsidP="001C6B1A">
      <w:pPr>
        <w:pStyle w:val="Prrafodelista"/>
        <w:numPr>
          <w:ilvl w:val="0"/>
          <w:numId w:val="8"/>
        </w:numPr>
        <w:spacing w:after="0" w:line="360" w:lineRule="auto"/>
        <w:ind w:left="1783" w:hanging="1499"/>
        <w:rPr>
          <w:rFonts w:ascii="Times New Roman" w:hAnsi="Times New Roman"/>
          <w:b/>
          <w:sz w:val="24"/>
        </w:rPr>
      </w:pPr>
      <w:r>
        <w:rPr>
          <w:rFonts w:ascii="Times New Roman" w:hAnsi="Times New Roman"/>
          <w:b/>
          <w:bCs/>
          <w:sz w:val="24"/>
        </w:rPr>
        <w:t>Resultados iTIC</w:t>
      </w:r>
      <w:r w:rsidR="0045254A">
        <w:rPr>
          <w:rFonts w:ascii="Times New Roman" w:hAnsi="Times New Roman"/>
          <w:b/>
          <w:bCs/>
          <w:sz w:val="24"/>
        </w:rPr>
        <w:t>g</w:t>
      </w:r>
      <w:r>
        <w:rPr>
          <w:rFonts w:ascii="Times New Roman" w:hAnsi="Times New Roman"/>
          <w:b/>
          <w:bCs/>
          <w:sz w:val="24"/>
        </w:rPr>
        <w:t>e por componentes 2019</w:t>
      </w:r>
    </w:p>
    <w:p w14:paraId="73FBFAF6" w14:textId="331953F0" w:rsidR="00F471C3" w:rsidRDefault="00F471C3" w:rsidP="00F471C3">
      <w:pPr>
        <w:spacing w:after="0" w:line="480" w:lineRule="auto"/>
        <w:jc w:val="center"/>
        <w:rPr>
          <w:lang w:val="es-ES_tradnl" w:eastAsia="en-US" w:bidi="en-US"/>
        </w:rPr>
      </w:pPr>
      <w:r>
        <w:rPr>
          <w:noProof/>
          <w:lang w:eastAsia="es-DO"/>
        </w:rPr>
        <w:drawing>
          <wp:inline distT="0" distB="0" distL="0" distR="0" wp14:anchorId="6DB5EF55" wp14:editId="2E3EC71A">
            <wp:extent cx="5367646" cy="3868420"/>
            <wp:effectExtent l="0" t="0" r="5080" b="0"/>
            <wp:docPr id="165" name="Gráfico 165"/>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3C903DE6" w14:textId="13599C28" w:rsidR="00646828" w:rsidRPr="0098414F" w:rsidRDefault="00646828" w:rsidP="00CA5792">
      <w:pPr>
        <w:pStyle w:val="Ttulo3"/>
      </w:pPr>
      <w:bookmarkStart w:id="366" w:name="_Toc26292118"/>
      <w:bookmarkStart w:id="367" w:name="_Toc27146824"/>
      <w:r>
        <w:lastRenderedPageBreak/>
        <w:t>Gestión</w:t>
      </w:r>
      <w:r w:rsidRPr="002D4A5F">
        <w:t xml:space="preserve"> </w:t>
      </w:r>
      <w:r>
        <w:t>sobre el uso de las</w:t>
      </w:r>
      <w:r w:rsidRPr="002D4A5F">
        <w:t xml:space="preserve"> </w:t>
      </w:r>
      <w:r>
        <w:t>Tecnologías de la Información y Comunicación (TIC)</w:t>
      </w:r>
      <w:r w:rsidRPr="002D4A5F">
        <w:t xml:space="preserve"> e implementación de </w:t>
      </w:r>
      <w:r>
        <w:t>Gobierno Electrónico</w:t>
      </w:r>
      <w:bookmarkEnd w:id="366"/>
      <w:bookmarkEnd w:id="367"/>
    </w:p>
    <w:p w14:paraId="04A37647" w14:textId="77777777" w:rsidR="00646828" w:rsidRPr="0098414F" w:rsidRDefault="00646828" w:rsidP="00646828">
      <w:pPr>
        <w:spacing w:after="0" w:line="480" w:lineRule="auto"/>
        <w:ind w:firstLine="720"/>
        <w:jc w:val="both"/>
        <w:rPr>
          <w:rFonts w:ascii="Times New Roman" w:hAnsi="Times New Roman"/>
          <w:lang w:val="es-ES_tradnl"/>
        </w:rPr>
      </w:pPr>
    </w:p>
    <w:p w14:paraId="0DFD2D7B" w14:textId="77777777" w:rsidR="00646828" w:rsidRPr="00F050E3" w:rsidRDefault="00646828" w:rsidP="00646828">
      <w:pPr>
        <w:spacing w:after="0" w:line="480" w:lineRule="auto"/>
        <w:ind w:firstLine="720"/>
        <w:jc w:val="both"/>
        <w:rPr>
          <w:rFonts w:ascii="Times New Roman" w:hAnsi="Times New Roman"/>
          <w:lang w:val="es-ES_tradnl"/>
        </w:rPr>
      </w:pPr>
      <w:r w:rsidRPr="00F050E3">
        <w:rPr>
          <w:rFonts w:ascii="Times New Roman" w:hAnsi="Times New Roman"/>
          <w:lang w:val="es-ES_tradnl"/>
        </w:rPr>
        <w:t>El Ministerio de Agricultura, en lo referente al área de tecnología e informática, se ha enmarcado en los criterios de la implementación de Sistema de Monitoreo de la Administración Pública (SISMAP), para implementar y desarrollar un sistema que permita administrar eficientemente la gestión de la administración de los servidores públicos de cara a las disposiciones de la Ley no. 41-08 de Función Pública.</w:t>
      </w:r>
    </w:p>
    <w:p w14:paraId="44C67730" w14:textId="77777777" w:rsidR="00646828" w:rsidRPr="00F050E3" w:rsidRDefault="00646828" w:rsidP="00646828">
      <w:pPr>
        <w:spacing w:after="0" w:line="480" w:lineRule="auto"/>
        <w:ind w:firstLine="720"/>
        <w:jc w:val="both"/>
        <w:rPr>
          <w:rFonts w:ascii="Times New Roman" w:hAnsi="Times New Roman"/>
          <w:lang w:val="es-ES_tradnl"/>
        </w:rPr>
      </w:pPr>
    </w:p>
    <w:p w14:paraId="0615A8CA" w14:textId="77777777" w:rsidR="00E2619B" w:rsidRPr="002F0F07" w:rsidRDefault="00E2619B" w:rsidP="00E2619B">
      <w:pPr>
        <w:spacing w:after="0" w:line="480" w:lineRule="auto"/>
        <w:ind w:firstLine="720"/>
        <w:jc w:val="both"/>
        <w:rPr>
          <w:rFonts w:ascii="Times New Roman" w:hAnsi="Times New Roman"/>
          <w:b/>
          <w:sz w:val="28"/>
          <w:lang w:eastAsia="es-DO"/>
        </w:rPr>
      </w:pPr>
      <w:r w:rsidRPr="002F0F07">
        <w:rPr>
          <w:rFonts w:ascii="Times New Roman" w:hAnsi="Times New Roman"/>
          <w:b/>
          <w:sz w:val="28"/>
          <w:lang w:eastAsia="es-DO"/>
        </w:rPr>
        <w:t>Logros tangibles del indicador ITICge:</w:t>
      </w:r>
    </w:p>
    <w:p w14:paraId="07F9085B" w14:textId="77777777" w:rsidR="00E2619B" w:rsidRPr="00F050E3" w:rsidRDefault="00E2619B" w:rsidP="001C6B1A">
      <w:pPr>
        <w:pStyle w:val="Prrafodelista"/>
        <w:numPr>
          <w:ilvl w:val="0"/>
          <w:numId w:val="26"/>
        </w:numPr>
        <w:spacing w:after="0" w:line="480" w:lineRule="auto"/>
        <w:ind w:left="709" w:hanging="283"/>
        <w:jc w:val="both"/>
        <w:rPr>
          <w:rFonts w:ascii="Times New Roman" w:hAnsi="Times New Roman"/>
          <w:lang w:eastAsia="es-DO"/>
        </w:rPr>
      </w:pPr>
      <w:r w:rsidRPr="00F050E3">
        <w:rPr>
          <w:rFonts w:ascii="Times New Roman" w:hAnsi="Times New Roman"/>
          <w:sz w:val="24"/>
          <w:lang w:eastAsia="es-DO"/>
        </w:rPr>
        <w:t>Puesta en circulación cinco (5) servicios previamente ofrecidos por este Ministerio a disposición del público, en el marco del sistema *462 (*GOB): 1: Distribución de material de siembra, 2: Asesoramiento técnico, 3: Servicio de vigilancia fitosanitaria, 4: Distribución de plantas de frutales, 5; registro de semillas.</w:t>
      </w:r>
    </w:p>
    <w:p w14:paraId="771801DE" w14:textId="77777777" w:rsidR="001B1104" w:rsidRPr="00F050E3" w:rsidRDefault="001B1104" w:rsidP="001B1104">
      <w:pPr>
        <w:pStyle w:val="Prrafodelista"/>
        <w:spacing w:after="0" w:line="480" w:lineRule="auto"/>
        <w:ind w:left="709"/>
        <w:jc w:val="both"/>
        <w:rPr>
          <w:rFonts w:ascii="Times New Roman" w:hAnsi="Times New Roman"/>
          <w:lang w:eastAsia="es-DO"/>
        </w:rPr>
      </w:pPr>
    </w:p>
    <w:p w14:paraId="77C23CA8" w14:textId="77777777" w:rsidR="00E2619B" w:rsidRPr="00F050E3" w:rsidRDefault="00E2619B" w:rsidP="001C6B1A">
      <w:pPr>
        <w:pStyle w:val="Prrafodelista"/>
        <w:numPr>
          <w:ilvl w:val="0"/>
          <w:numId w:val="26"/>
        </w:numPr>
        <w:spacing w:after="0" w:line="480" w:lineRule="auto"/>
        <w:ind w:left="709" w:hanging="283"/>
        <w:jc w:val="both"/>
        <w:rPr>
          <w:rFonts w:ascii="Times New Roman" w:hAnsi="Times New Roman"/>
          <w:lang w:eastAsia="es-DO"/>
        </w:rPr>
      </w:pPr>
      <w:r w:rsidRPr="00F050E3">
        <w:rPr>
          <w:rFonts w:ascii="Times New Roman" w:hAnsi="Times New Roman"/>
          <w:sz w:val="24"/>
          <w:lang w:eastAsia="es-DO"/>
        </w:rPr>
        <w:t>Implementación y desarrollo de un nuevo portal y una app para disponer y canalizar los servicios ofertados por este Ministerio a los pequeños y medianos productores como usuarios en sentido general.</w:t>
      </w:r>
    </w:p>
    <w:p w14:paraId="45ED9B56" w14:textId="77777777" w:rsidR="001C4478" w:rsidRPr="00F050E3" w:rsidRDefault="001C4478" w:rsidP="001C4478">
      <w:pPr>
        <w:pStyle w:val="Prrafodelista"/>
        <w:rPr>
          <w:rFonts w:ascii="Times New Roman" w:hAnsi="Times New Roman"/>
          <w:lang w:eastAsia="es-DO"/>
        </w:rPr>
      </w:pPr>
    </w:p>
    <w:p w14:paraId="74CF0B33" w14:textId="08ADD93E" w:rsidR="001C4478" w:rsidRPr="00F050E3" w:rsidRDefault="001C4478" w:rsidP="001C6B1A">
      <w:pPr>
        <w:pStyle w:val="Prrafodelista"/>
        <w:numPr>
          <w:ilvl w:val="0"/>
          <w:numId w:val="26"/>
        </w:numPr>
        <w:spacing w:after="0" w:line="480" w:lineRule="auto"/>
        <w:ind w:left="709" w:hanging="283"/>
        <w:jc w:val="both"/>
        <w:rPr>
          <w:rFonts w:ascii="Times New Roman" w:hAnsi="Times New Roman"/>
          <w:sz w:val="24"/>
          <w:lang w:eastAsia="es-DO"/>
        </w:rPr>
      </w:pPr>
      <w:r w:rsidRPr="00F050E3">
        <w:rPr>
          <w:rFonts w:ascii="Times New Roman" w:hAnsi="Times New Roman"/>
          <w:sz w:val="24"/>
          <w:lang w:eastAsia="es-DO"/>
        </w:rPr>
        <w:t xml:space="preserve">En proceso de obtención la certificación NORTIC A4, asociado al desarrollo del sistema de consulta integrado, para brindar información a usuarios n general sobre los sistemas de registros de: Sanidad Animal, </w:t>
      </w:r>
      <w:r w:rsidRPr="00F050E3">
        <w:rPr>
          <w:rFonts w:ascii="Times New Roman" w:hAnsi="Times New Roman"/>
          <w:sz w:val="24"/>
          <w:lang w:eastAsia="es-DO"/>
        </w:rPr>
        <w:lastRenderedPageBreak/>
        <w:t>Sanidad Vegetal, así como servicios de inspección, muestras para la Inocuidad de los alimentos.</w:t>
      </w:r>
    </w:p>
    <w:p w14:paraId="4B05F55C" w14:textId="77777777" w:rsidR="00F618C3" w:rsidRPr="00F050E3" w:rsidRDefault="00F618C3" w:rsidP="00F618C3">
      <w:pPr>
        <w:pStyle w:val="Prrafodelista"/>
        <w:rPr>
          <w:rFonts w:ascii="Times New Roman" w:hAnsi="Times New Roman"/>
          <w:sz w:val="24"/>
          <w:lang w:eastAsia="es-DO"/>
        </w:rPr>
      </w:pPr>
    </w:p>
    <w:p w14:paraId="22F924D0" w14:textId="07D0AABC" w:rsidR="00F618C3" w:rsidRPr="00F050E3" w:rsidRDefault="00F618C3" w:rsidP="001C6B1A">
      <w:pPr>
        <w:pStyle w:val="Prrafodelista"/>
        <w:numPr>
          <w:ilvl w:val="0"/>
          <w:numId w:val="26"/>
        </w:numPr>
        <w:spacing w:after="0" w:line="480" w:lineRule="auto"/>
        <w:ind w:left="709" w:hanging="283"/>
        <w:jc w:val="both"/>
        <w:rPr>
          <w:rFonts w:ascii="Times New Roman" w:hAnsi="Times New Roman"/>
          <w:sz w:val="24"/>
          <w:lang w:eastAsia="es-DO"/>
        </w:rPr>
      </w:pPr>
      <w:r w:rsidRPr="00F050E3">
        <w:rPr>
          <w:rFonts w:ascii="Times New Roman" w:hAnsi="Times New Roman"/>
          <w:sz w:val="24"/>
          <w:lang w:eastAsia="es-DO"/>
        </w:rPr>
        <w:t>Puesta En marcha del nuevo portal web de la institución y App para dispositivos móviles tanto en sistema operativo Android y iOS.</w:t>
      </w:r>
    </w:p>
    <w:p w14:paraId="6B32A5BE" w14:textId="77777777" w:rsidR="00F618C3" w:rsidRPr="00F050E3" w:rsidRDefault="00F618C3" w:rsidP="00F618C3">
      <w:pPr>
        <w:pStyle w:val="Prrafodelista"/>
        <w:rPr>
          <w:rFonts w:ascii="Times New Roman" w:hAnsi="Times New Roman"/>
          <w:sz w:val="24"/>
          <w:lang w:eastAsia="es-DO"/>
        </w:rPr>
      </w:pPr>
    </w:p>
    <w:p w14:paraId="67AA356E" w14:textId="1768499B" w:rsidR="00F618C3" w:rsidRPr="00F050E3" w:rsidRDefault="00F618C3" w:rsidP="001C6B1A">
      <w:pPr>
        <w:pStyle w:val="Prrafodelista"/>
        <w:numPr>
          <w:ilvl w:val="0"/>
          <w:numId w:val="26"/>
        </w:numPr>
        <w:spacing w:after="0" w:line="480" w:lineRule="auto"/>
        <w:ind w:left="709" w:hanging="283"/>
        <w:jc w:val="both"/>
        <w:rPr>
          <w:rFonts w:ascii="Times New Roman" w:hAnsi="Times New Roman"/>
          <w:sz w:val="24"/>
          <w:lang w:eastAsia="es-DO"/>
        </w:rPr>
      </w:pPr>
      <w:r w:rsidRPr="00F050E3">
        <w:rPr>
          <w:rFonts w:ascii="Times New Roman" w:hAnsi="Times New Roman"/>
          <w:sz w:val="24"/>
          <w:lang w:eastAsia="es-DO"/>
        </w:rPr>
        <w:t>En proceso de construcción la plataforma de servicios públicos en línea (PSPL), en coordinación con la Oficina Presidencial de Tecnologías de la Información y Comunicación, OPTIC, para tener los servicios de la institución en línea.</w:t>
      </w:r>
    </w:p>
    <w:p w14:paraId="74DAB9C5" w14:textId="7031E407" w:rsidR="00F050E3" w:rsidRDefault="00F050E3">
      <w:pPr>
        <w:spacing w:after="0"/>
        <w:rPr>
          <w:rFonts w:ascii="Times New Roman" w:hAnsi="Times New Roman"/>
        </w:rPr>
      </w:pPr>
    </w:p>
    <w:p w14:paraId="6EC186ED" w14:textId="4EC38566" w:rsidR="00646828" w:rsidRPr="00F769D3" w:rsidRDefault="00646828" w:rsidP="00CA5792">
      <w:pPr>
        <w:pStyle w:val="Ttulo4"/>
      </w:pPr>
      <w:bookmarkStart w:id="368" w:name="_Toc470523401"/>
      <w:bookmarkStart w:id="369" w:name="_Toc26292121"/>
      <w:bookmarkStart w:id="370" w:name="_Toc27146825"/>
      <w:r w:rsidRPr="00F769D3">
        <w:t>Implementación Gobierno Electrónico</w:t>
      </w:r>
      <w:bookmarkEnd w:id="368"/>
      <w:bookmarkEnd w:id="369"/>
      <w:bookmarkEnd w:id="370"/>
    </w:p>
    <w:p w14:paraId="52E10D87" w14:textId="77777777" w:rsidR="003A6CAF" w:rsidRDefault="003A6CAF" w:rsidP="00646828">
      <w:pPr>
        <w:spacing w:after="0" w:line="480" w:lineRule="auto"/>
        <w:ind w:firstLine="720"/>
        <w:contextualSpacing/>
        <w:jc w:val="both"/>
        <w:rPr>
          <w:rFonts w:ascii="Times New Roman" w:hAnsi="Times New Roman"/>
          <w:lang w:val="es-ES_tradnl"/>
        </w:rPr>
      </w:pPr>
    </w:p>
    <w:p w14:paraId="11621CE0" w14:textId="77777777" w:rsidR="00646828" w:rsidRPr="00F050E3" w:rsidRDefault="00646828" w:rsidP="00646828">
      <w:pPr>
        <w:spacing w:after="0" w:line="480" w:lineRule="auto"/>
        <w:ind w:firstLine="720"/>
        <w:contextualSpacing/>
        <w:jc w:val="both"/>
        <w:rPr>
          <w:rFonts w:ascii="Times New Roman" w:hAnsi="Times New Roman"/>
          <w:lang w:val="es-ES_tradnl"/>
        </w:rPr>
      </w:pPr>
      <w:r w:rsidRPr="00F050E3">
        <w:rPr>
          <w:rFonts w:ascii="Times New Roman" w:hAnsi="Times New Roman"/>
          <w:lang w:val="es-ES_tradnl"/>
        </w:rPr>
        <w:t>El Ministerio de Agricultura en coordinación de la Oficina Presidencial de Tecnologías de la Información y Comunicación (OPTIC), con el objetivo de evaluar de forma sistemática los esfuerzos realizados y en proceso, la implementación, fortalecimiento y desarrollo del Índice de Uso de TIC e Implementación de Gobierno Electrónico (iTICge).</w:t>
      </w:r>
    </w:p>
    <w:p w14:paraId="7BFA6AB4" w14:textId="77777777" w:rsidR="00646828" w:rsidRPr="00F050E3" w:rsidRDefault="00646828" w:rsidP="00646828">
      <w:pPr>
        <w:spacing w:after="0" w:line="480" w:lineRule="auto"/>
        <w:ind w:firstLine="720"/>
        <w:contextualSpacing/>
        <w:jc w:val="both"/>
        <w:rPr>
          <w:rFonts w:ascii="Times New Roman" w:hAnsi="Times New Roman"/>
          <w:lang w:val="es-ES_tradnl"/>
        </w:rPr>
      </w:pPr>
    </w:p>
    <w:p w14:paraId="50DC7779" w14:textId="5ABC43A4" w:rsidR="00646828" w:rsidRDefault="00646828" w:rsidP="00646828">
      <w:pPr>
        <w:spacing w:after="0" w:line="480" w:lineRule="auto"/>
        <w:ind w:firstLine="720"/>
        <w:contextualSpacing/>
        <w:jc w:val="both"/>
        <w:rPr>
          <w:rFonts w:ascii="Times New Roman" w:hAnsi="Times New Roman"/>
          <w:lang w:val="es-ES_tradnl"/>
        </w:rPr>
      </w:pPr>
      <w:r w:rsidRPr="00F050E3">
        <w:rPr>
          <w:rFonts w:ascii="Times New Roman" w:hAnsi="Times New Roman"/>
          <w:lang w:val="es-ES_tradnl"/>
        </w:rPr>
        <w:t>El siguiente gráfico constituye los resultados de las evaluaciones en materia de implementación y uso de los diferentes subpilares que componen la nueva metodología de evaluación en términos de los avances obtenidos</w:t>
      </w:r>
      <w:r w:rsidRPr="00F050E3">
        <w:rPr>
          <w:rStyle w:val="Refdenotaalpie"/>
          <w:rFonts w:ascii="Times New Roman" w:hAnsi="Times New Roman"/>
          <w:lang w:val="es-ES_tradnl"/>
        </w:rPr>
        <w:footnoteReference w:id="31"/>
      </w:r>
      <w:r w:rsidRPr="00F050E3">
        <w:rPr>
          <w:rFonts w:ascii="Times New Roman" w:hAnsi="Times New Roman"/>
          <w:lang w:val="es-ES_tradnl"/>
        </w:rPr>
        <w:t>, se convierte en prueba medible de que el Ministerio de Agricultura avanza en esta área.</w:t>
      </w:r>
    </w:p>
    <w:p w14:paraId="17780F3C" w14:textId="25A33D7C" w:rsidR="00646828" w:rsidRDefault="00646828" w:rsidP="001C6B1A">
      <w:pPr>
        <w:pStyle w:val="Prrafodelista"/>
        <w:numPr>
          <w:ilvl w:val="0"/>
          <w:numId w:val="8"/>
        </w:numPr>
        <w:spacing w:after="0" w:line="360" w:lineRule="auto"/>
        <w:ind w:left="1783" w:hanging="1499"/>
        <w:rPr>
          <w:rFonts w:ascii="Times New Roman" w:hAnsi="Times New Roman"/>
          <w:b/>
          <w:sz w:val="24"/>
          <w:lang w:val="es-ES_tradnl"/>
        </w:rPr>
      </w:pPr>
      <w:r w:rsidRPr="0098414F">
        <w:rPr>
          <w:rFonts w:ascii="Times New Roman" w:hAnsi="Times New Roman"/>
          <w:b/>
          <w:sz w:val="24"/>
          <w:lang w:val="es-ES_tradnl"/>
        </w:rPr>
        <w:lastRenderedPageBreak/>
        <w:t>Comparación avance país vs avance institucional del índice de uso de TIC e Implementación de Gobierno Electrónico ITICGE</w:t>
      </w:r>
      <w:r w:rsidR="006723D0">
        <w:rPr>
          <w:rFonts w:ascii="Times New Roman" w:hAnsi="Times New Roman"/>
          <w:b/>
          <w:sz w:val="24"/>
          <w:lang w:val="es-ES_tradnl"/>
        </w:rPr>
        <w:t>.</w:t>
      </w:r>
    </w:p>
    <w:p w14:paraId="6C81187F" w14:textId="77777777" w:rsidR="00646828" w:rsidRPr="0098414F" w:rsidRDefault="00646828" w:rsidP="00646828">
      <w:pPr>
        <w:spacing w:after="0" w:line="480" w:lineRule="auto"/>
        <w:contextualSpacing/>
        <w:jc w:val="both"/>
        <w:rPr>
          <w:rFonts w:ascii="Times New Roman" w:hAnsi="Times New Roman"/>
          <w:noProof/>
          <w:lang w:eastAsia="es-DO"/>
        </w:rPr>
      </w:pPr>
      <w:r w:rsidRPr="0098414F">
        <w:rPr>
          <w:rFonts w:ascii="Times New Roman" w:hAnsi="Times New Roman"/>
          <w:noProof/>
          <w:lang w:eastAsia="es-DO"/>
        </w:rPr>
        <w:drawing>
          <wp:inline distT="0" distB="0" distL="0" distR="0" wp14:anchorId="6325CA07" wp14:editId="4543ACCE">
            <wp:extent cx="5528930" cy="2966484"/>
            <wp:effectExtent l="0" t="0" r="0" b="5715"/>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7E63734E" w14:textId="77777777" w:rsidR="00E2619B" w:rsidRPr="0098414F" w:rsidRDefault="00E2619B" w:rsidP="00CA5792">
      <w:pPr>
        <w:pStyle w:val="Ttulo4"/>
      </w:pPr>
      <w:bookmarkStart w:id="371" w:name="_Toc440036746"/>
      <w:bookmarkStart w:id="372" w:name="_Toc470523403"/>
      <w:bookmarkStart w:id="373" w:name="_Toc26292120"/>
      <w:bookmarkStart w:id="374" w:name="_Toc27146826"/>
      <w:r w:rsidRPr="0098414F">
        <w:t>Gestión de redes sociales</w:t>
      </w:r>
      <w:bookmarkEnd w:id="371"/>
      <w:bookmarkEnd w:id="372"/>
      <w:bookmarkEnd w:id="373"/>
      <w:bookmarkEnd w:id="374"/>
      <w:r w:rsidRPr="0098414F">
        <w:t xml:space="preserve"> </w:t>
      </w:r>
    </w:p>
    <w:p w14:paraId="484B8360" w14:textId="77777777" w:rsidR="00E2619B" w:rsidRPr="00F050E3" w:rsidRDefault="00E2619B" w:rsidP="00E2619B">
      <w:pPr>
        <w:pStyle w:val="Prrafodelista1"/>
        <w:spacing w:after="0" w:line="480" w:lineRule="auto"/>
        <w:ind w:left="0" w:firstLine="720"/>
        <w:jc w:val="both"/>
        <w:rPr>
          <w:rFonts w:ascii="Times New Roman" w:hAnsi="Times New Roman"/>
          <w:sz w:val="24"/>
          <w:szCs w:val="24"/>
          <w:lang w:val="es-ES_tradnl"/>
        </w:rPr>
      </w:pPr>
      <w:r w:rsidRPr="00F050E3">
        <w:rPr>
          <w:rFonts w:ascii="Times New Roman" w:hAnsi="Times New Roman"/>
          <w:sz w:val="24"/>
          <w:szCs w:val="24"/>
          <w:lang w:val="es-ES_tradnl"/>
        </w:rPr>
        <w:t>Las redes sociales del Ministerio de Agricultura han servido de apoyo a la difusión de informaciones de las actividades que realiza el Ministerio en el marco del plan de acción para el rediseño y utilización de la tecnología de la información y la comunicación, las cuentas administradas por el Ministerio de Agricultura son: Twitter, Instagram y un fanpage en Facebook.</w:t>
      </w:r>
    </w:p>
    <w:p w14:paraId="13FBE673" w14:textId="77777777" w:rsidR="00E2619B" w:rsidRPr="00F050E3" w:rsidRDefault="00E2619B" w:rsidP="00E2619B">
      <w:pPr>
        <w:pStyle w:val="Prrafodelista1"/>
        <w:spacing w:after="0" w:line="480" w:lineRule="auto"/>
        <w:ind w:left="0" w:firstLine="720"/>
        <w:jc w:val="both"/>
        <w:rPr>
          <w:rFonts w:ascii="Times New Roman" w:hAnsi="Times New Roman"/>
          <w:sz w:val="24"/>
          <w:szCs w:val="24"/>
          <w:lang w:val="es-ES_tradnl"/>
        </w:rPr>
      </w:pPr>
    </w:p>
    <w:p w14:paraId="41C484D2" w14:textId="77777777" w:rsidR="00E2619B" w:rsidRPr="00F050E3" w:rsidRDefault="00E2619B" w:rsidP="001C6B1A">
      <w:pPr>
        <w:pStyle w:val="Prrafodelista"/>
        <w:numPr>
          <w:ilvl w:val="0"/>
          <w:numId w:val="9"/>
        </w:numPr>
        <w:ind w:left="567" w:hanging="567"/>
        <w:rPr>
          <w:rFonts w:ascii="Times New Roman" w:hAnsi="Times New Roman"/>
          <w:b/>
          <w:sz w:val="24"/>
          <w:szCs w:val="24"/>
          <w:lang w:val="es-ES_tradnl"/>
        </w:rPr>
      </w:pPr>
      <w:r w:rsidRPr="00F050E3">
        <w:rPr>
          <w:rFonts w:ascii="Times New Roman" w:hAnsi="Times New Roman"/>
          <w:b/>
          <w:sz w:val="24"/>
          <w:szCs w:val="24"/>
          <w:lang w:val="es-ES_tradnl"/>
        </w:rPr>
        <w:t>Cuentas oficiales del Ministerio de Agricultura</w:t>
      </w:r>
    </w:p>
    <w:tbl>
      <w:tblPr>
        <w:tblW w:w="4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40"/>
        <w:gridCol w:w="1785"/>
      </w:tblGrid>
      <w:tr w:rsidR="00E2619B" w:rsidRPr="00F050E3" w14:paraId="368D1A5A" w14:textId="77777777" w:rsidTr="001C4478">
        <w:trPr>
          <w:trHeight w:val="315"/>
          <w:jc w:val="center"/>
        </w:trPr>
        <w:tc>
          <w:tcPr>
            <w:tcW w:w="2840" w:type="dxa"/>
            <w:shd w:val="clear" w:color="auto" w:fill="00B050"/>
            <w:noWrap/>
            <w:vAlign w:val="center"/>
            <w:hideMark/>
          </w:tcPr>
          <w:p w14:paraId="2B284B3A" w14:textId="77777777" w:rsidR="00E2619B" w:rsidRPr="00F050E3" w:rsidRDefault="00E2619B" w:rsidP="00365EDF">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Cuenta/Administración</w:t>
            </w:r>
          </w:p>
        </w:tc>
        <w:tc>
          <w:tcPr>
            <w:tcW w:w="1785" w:type="dxa"/>
            <w:shd w:val="clear" w:color="auto" w:fill="00B050"/>
            <w:noWrap/>
            <w:vAlign w:val="center"/>
            <w:hideMark/>
          </w:tcPr>
          <w:p w14:paraId="43DAA8DE" w14:textId="77777777" w:rsidR="00E2619B" w:rsidRPr="00F050E3" w:rsidRDefault="00E2619B" w:rsidP="00365EDF">
            <w:pPr>
              <w:spacing w:after="0"/>
              <w:jc w:val="center"/>
              <w:rPr>
                <w:rFonts w:ascii="Times New Roman" w:hAnsi="Times New Roman"/>
                <w:b/>
                <w:bCs/>
                <w:color w:val="FFFFFF" w:themeColor="background1"/>
                <w:lang w:eastAsia="es-DO"/>
              </w:rPr>
            </w:pPr>
            <w:r w:rsidRPr="00F050E3">
              <w:rPr>
                <w:rFonts w:ascii="Times New Roman" w:hAnsi="Times New Roman"/>
                <w:b/>
                <w:bCs/>
                <w:color w:val="FFFFFF" w:themeColor="background1"/>
                <w:lang w:eastAsia="es-DO"/>
              </w:rPr>
              <w:t>Redes Sociales</w:t>
            </w:r>
          </w:p>
        </w:tc>
      </w:tr>
      <w:tr w:rsidR="00E2619B" w:rsidRPr="00F050E3" w14:paraId="2BBCE332" w14:textId="77777777" w:rsidTr="001C4478">
        <w:trPr>
          <w:trHeight w:val="315"/>
          <w:jc w:val="center"/>
        </w:trPr>
        <w:tc>
          <w:tcPr>
            <w:tcW w:w="2840" w:type="dxa"/>
            <w:shd w:val="clear" w:color="auto" w:fill="auto"/>
            <w:noWrap/>
            <w:vAlign w:val="center"/>
            <w:hideMark/>
          </w:tcPr>
          <w:p w14:paraId="5E38B008" w14:textId="77777777" w:rsidR="00E2619B" w:rsidRPr="00F050E3" w:rsidRDefault="00E2619B" w:rsidP="00365EDF">
            <w:pPr>
              <w:spacing w:after="0"/>
              <w:jc w:val="both"/>
              <w:rPr>
                <w:rFonts w:ascii="Times New Roman" w:hAnsi="Times New Roman"/>
                <w:lang w:eastAsia="es-DO"/>
              </w:rPr>
            </w:pPr>
            <w:r w:rsidRPr="00F050E3">
              <w:rPr>
                <w:rFonts w:ascii="Times New Roman" w:hAnsi="Times New Roman"/>
                <w:lang w:val="es-ES_tradnl" w:eastAsia="es-DO"/>
              </w:rPr>
              <w:t>Ministerio de Agricultura</w:t>
            </w:r>
          </w:p>
        </w:tc>
        <w:tc>
          <w:tcPr>
            <w:tcW w:w="1785" w:type="dxa"/>
            <w:shd w:val="clear" w:color="auto" w:fill="auto"/>
            <w:noWrap/>
            <w:vAlign w:val="center"/>
            <w:hideMark/>
          </w:tcPr>
          <w:p w14:paraId="3FC60BBB" w14:textId="77777777" w:rsidR="00E2619B" w:rsidRPr="00F050E3" w:rsidRDefault="00E2619B" w:rsidP="00365EDF">
            <w:pPr>
              <w:spacing w:after="0"/>
              <w:jc w:val="both"/>
              <w:rPr>
                <w:rFonts w:ascii="Times New Roman" w:hAnsi="Times New Roman"/>
                <w:lang w:eastAsia="es-DO"/>
              </w:rPr>
            </w:pPr>
            <w:r w:rsidRPr="00F050E3">
              <w:rPr>
                <w:rFonts w:ascii="Times New Roman" w:hAnsi="Times New Roman"/>
                <w:lang w:eastAsia="es-DO"/>
              </w:rPr>
              <w:t>Facebook</w:t>
            </w:r>
          </w:p>
        </w:tc>
      </w:tr>
      <w:tr w:rsidR="00E2619B" w:rsidRPr="00F050E3" w14:paraId="66B0C16E" w14:textId="77777777" w:rsidTr="001C4478">
        <w:trPr>
          <w:trHeight w:val="315"/>
          <w:jc w:val="center"/>
        </w:trPr>
        <w:tc>
          <w:tcPr>
            <w:tcW w:w="2840" w:type="dxa"/>
            <w:vMerge w:val="restart"/>
            <w:shd w:val="clear" w:color="auto" w:fill="auto"/>
            <w:noWrap/>
            <w:vAlign w:val="center"/>
            <w:hideMark/>
          </w:tcPr>
          <w:p w14:paraId="0864BBFA" w14:textId="77777777" w:rsidR="00E2619B" w:rsidRPr="00F050E3" w:rsidRDefault="00E2619B" w:rsidP="00365EDF">
            <w:pPr>
              <w:spacing w:after="0"/>
              <w:jc w:val="both"/>
              <w:rPr>
                <w:rFonts w:ascii="Times New Roman" w:hAnsi="Times New Roman"/>
                <w:lang w:eastAsia="es-DO"/>
              </w:rPr>
            </w:pPr>
            <w:r w:rsidRPr="00F050E3">
              <w:rPr>
                <w:rFonts w:ascii="Times New Roman" w:hAnsi="Times New Roman"/>
                <w:lang w:eastAsia="es-DO"/>
              </w:rPr>
              <w:t>@AgriculturaRD</w:t>
            </w:r>
          </w:p>
        </w:tc>
        <w:tc>
          <w:tcPr>
            <w:tcW w:w="1785" w:type="dxa"/>
            <w:shd w:val="clear" w:color="auto" w:fill="auto"/>
            <w:noWrap/>
            <w:vAlign w:val="center"/>
            <w:hideMark/>
          </w:tcPr>
          <w:p w14:paraId="1B8C0BE3" w14:textId="77777777" w:rsidR="00E2619B" w:rsidRPr="00F050E3" w:rsidRDefault="00E2619B" w:rsidP="00365EDF">
            <w:pPr>
              <w:spacing w:after="0"/>
              <w:jc w:val="both"/>
              <w:rPr>
                <w:rFonts w:ascii="Times New Roman" w:hAnsi="Times New Roman"/>
                <w:lang w:eastAsia="es-DO"/>
              </w:rPr>
            </w:pPr>
            <w:r w:rsidRPr="00F050E3">
              <w:rPr>
                <w:rFonts w:ascii="Times New Roman" w:hAnsi="Times New Roman"/>
                <w:lang w:eastAsia="es-DO"/>
              </w:rPr>
              <w:t>Twitter</w:t>
            </w:r>
          </w:p>
        </w:tc>
      </w:tr>
      <w:tr w:rsidR="00E2619B" w:rsidRPr="00F050E3" w14:paraId="48EBF2B2" w14:textId="77777777" w:rsidTr="001C4478">
        <w:trPr>
          <w:trHeight w:val="315"/>
          <w:jc w:val="center"/>
        </w:trPr>
        <w:tc>
          <w:tcPr>
            <w:tcW w:w="2840" w:type="dxa"/>
            <w:vMerge/>
            <w:shd w:val="clear" w:color="auto" w:fill="auto"/>
            <w:noWrap/>
            <w:vAlign w:val="center"/>
            <w:hideMark/>
          </w:tcPr>
          <w:p w14:paraId="25F97B1E" w14:textId="77777777" w:rsidR="00E2619B" w:rsidRPr="00F050E3" w:rsidRDefault="00E2619B" w:rsidP="00365EDF">
            <w:pPr>
              <w:spacing w:after="0"/>
              <w:jc w:val="both"/>
              <w:rPr>
                <w:rFonts w:ascii="Times New Roman" w:hAnsi="Times New Roman"/>
                <w:lang w:eastAsia="es-DO"/>
              </w:rPr>
            </w:pPr>
          </w:p>
        </w:tc>
        <w:tc>
          <w:tcPr>
            <w:tcW w:w="1785" w:type="dxa"/>
            <w:shd w:val="clear" w:color="auto" w:fill="auto"/>
            <w:noWrap/>
            <w:vAlign w:val="center"/>
            <w:hideMark/>
          </w:tcPr>
          <w:p w14:paraId="6EF505C9" w14:textId="77777777" w:rsidR="00E2619B" w:rsidRPr="00F050E3" w:rsidRDefault="00E2619B" w:rsidP="00365EDF">
            <w:pPr>
              <w:spacing w:after="0"/>
              <w:jc w:val="both"/>
              <w:rPr>
                <w:rFonts w:ascii="Times New Roman" w:hAnsi="Times New Roman"/>
                <w:lang w:eastAsia="es-DO"/>
              </w:rPr>
            </w:pPr>
            <w:r w:rsidRPr="00F050E3">
              <w:rPr>
                <w:rFonts w:ascii="Times New Roman" w:hAnsi="Times New Roman"/>
                <w:lang w:eastAsia="es-DO"/>
              </w:rPr>
              <w:t>YouTube</w:t>
            </w:r>
          </w:p>
        </w:tc>
      </w:tr>
      <w:tr w:rsidR="00E2619B" w:rsidRPr="0098414F" w14:paraId="2E46CB68" w14:textId="77777777" w:rsidTr="001C4478">
        <w:trPr>
          <w:trHeight w:val="315"/>
          <w:jc w:val="center"/>
        </w:trPr>
        <w:tc>
          <w:tcPr>
            <w:tcW w:w="2840" w:type="dxa"/>
            <w:vMerge/>
            <w:shd w:val="clear" w:color="auto" w:fill="auto"/>
            <w:noWrap/>
            <w:vAlign w:val="center"/>
            <w:hideMark/>
          </w:tcPr>
          <w:p w14:paraId="1ECA681D" w14:textId="77777777" w:rsidR="00E2619B" w:rsidRPr="00F050E3" w:rsidRDefault="00E2619B" w:rsidP="00365EDF">
            <w:pPr>
              <w:spacing w:after="0"/>
              <w:jc w:val="both"/>
              <w:rPr>
                <w:rFonts w:ascii="Times New Roman" w:hAnsi="Times New Roman"/>
                <w:lang w:eastAsia="es-DO"/>
              </w:rPr>
            </w:pPr>
          </w:p>
        </w:tc>
        <w:tc>
          <w:tcPr>
            <w:tcW w:w="1785" w:type="dxa"/>
            <w:shd w:val="clear" w:color="auto" w:fill="auto"/>
            <w:noWrap/>
            <w:vAlign w:val="center"/>
            <w:hideMark/>
          </w:tcPr>
          <w:p w14:paraId="5608E505" w14:textId="77777777" w:rsidR="00E2619B" w:rsidRPr="00F050E3" w:rsidRDefault="00E2619B" w:rsidP="00365EDF">
            <w:pPr>
              <w:spacing w:after="0"/>
              <w:jc w:val="both"/>
              <w:rPr>
                <w:rFonts w:ascii="Times New Roman" w:hAnsi="Times New Roman"/>
                <w:lang w:eastAsia="es-DO"/>
              </w:rPr>
            </w:pPr>
            <w:r w:rsidRPr="00F050E3">
              <w:rPr>
                <w:rFonts w:ascii="Times New Roman" w:hAnsi="Times New Roman"/>
                <w:lang w:eastAsia="es-DO"/>
              </w:rPr>
              <w:t>Instagram</w:t>
            </w:r>
          </w:p>
        </w:tc>
      </w:tr>
    </w:tbl>
    <w:p w14:paraId="1F10B903" w14:textId="4E7C725D" w:rsidR="00366DEE" w:rsidRDefault="00366DEE" w:rsidP="00954002">
      <w:pPr>
        <w:pStyle w:val="Ttulo2"/>
      </w:pPr>
      <w:bookmarkStart w:id="375" w:name="_Toc26292095"/>
      <w:bookmarkStart w:id="376" w:name="_Toc27146827"/>
      <w:r>
        <w:lastRenderedPageBreak/>
        <w:t>e</w:t>
      </w:r>
      <w:r w:rsidRPr="0098414F">
        <w:t xml:space="preserve">) </w:t>
      </w:r>
      <w:r>
        <w:t>I</w:t>
      </w:r>
      <w:r w:rsidR="00646828">
        <w:t>ndicador sobre la i</w:t>
      </w:r>
      <w:r>
        <w:t>mplementación de las Normas Básicas de Control Interno, NOBACI</w:t>
      </w:r>
      <w:bookmarkEnd w:id="375"/>
      <w:bookmarkEnd w:id="376"/>
      <w:r w:rsidRPr="0098414F">
        <w:t xml:space="preserve"> </w:t>
      </w:r>
    </w:p>
    <w:p w14:paraId="4A017996" w14:textId="77777777" w:rsidR="003A6CAF" w:rsidRDefault="003A6CAF" w:rsidP="003B7638">
      <w:pPr>
        <w:spacing w:after="0" w:line="480" w:lineRule="auto"/>
        <w:ind w:firstLine="720"/>
        <w:jc w:val="both"/>
        <w:rPr>
          <w:rFonts w:ascii="Times New Roman" w:hAnsi="Times New Roman"/>
          <w:lang w:val="es-ES_tradnl"/>
        </w:rPr>
      </w:pPr>
    </w:p>
    <w:p w14:paraId="5F9657E5" w14:textId="77777777" w:rsidR="007D28EB" w:rsidRDefault="00366DEE" w:rsidP="003B7638">
      <w:pPr>
        <w:spacing w:after="0" w:line="480" w:lineRule="auto"/>
        <w:ind w:firstLine="720"/>
        <w:jc w:val="both"/>
        <w:rPr>
          <w:rFonts w:ascii="Times New Roman" w:hAnsi="Times New Roman"/>
          <w:lang w:eastAsia="es-DO"/>
        </w:rPr>
      </w:pPr>
      <w:r w:rsidRPr="00004AE2">
        <w:rPr>
          <w:rFonts w:ascii="Times New Roman" w:hAnsi="Times New Roman"/>
          <w:lang w:val="es-ES_tradnl"/>
        </w:rPr>
        <w:t>Atendiendo a los compromisos presidenciales la NOBACI, es el marco legal de las normas básicas de control interno, constitución de la republica dominicana, Art.247, por su importancia y porque representan la oportunidad de fortalecer el control interno y mitigar los riesgos en la gestión gubernamental, tiene la misión de cumplir con la ley</w:t>
      </w:r>
      <w:r w:rsidR="003B7638">
        <w:rPr>
          <w:rFonts w:ascii="Times New Roman" w:hAnsi="Times New Roman"/>
          <w:lang w:val="es-ES_tradnl"/>
        </w:rPr>
        <w:t xml:space="preserve"> no.</w:t>
      </w:r>
      <w:r w:rsidRPr="00004AE2">
        <w:rPr>
          <w:rFonts w:ascii="Times New Roman" w:hAnsi="Times New Roman"/>
          <w:lang w:val="es-ES_tradnl"/>
        </w:rPr>
        <w:t xml:space="preserve"> 10-07 y el de órgano rector del control interno,</w:t>
      </w:r>
      <w:r w:rsidRPr="00004AE2">
        <w:rPr>
          <w:rFonts w:ascii="Times New Roman" w:hAnsi="Times New Roman"/>
          <w:lang w:eastAsia="es-DO"/>
        </w:rPr>
        <w:t xml:space="preserve"> en ese sentido se logró avanzar en un 15.40% en este indicador.</w:t>
      </w:r>
    </w:p>
    <w:p w14:paraId="25B6D8B1" w14:textId="4505DCD9" w:rsidR="00BB7F45" w:rsidRDefault="00BB7F45">
      <w:pPr>
        <w:spacing w:after="0"/>
        <w:rPr>
          <w:rFonts w:ascii="Times New Roman" w:hAnsi="Times New Roman"/>
          <w:color w:val="4F81BD" w:themeColor="accent1"/>
          <w:lang w:eastAsia="es-DO"/>
        </w:rPr>
      </w:pPr>
    </w:p>
    <w:p w14:paraId="72A3B260" w14:textId="77777777" w:rsidR="002B05F3" w:rsidRPr="00646828" w:rsidRDefault="002B05F3" w:rsidP="001C6B1A">
      <w:pPr>
        <w:pStyle w:val="Prrafodelista"/>
        <w:numPr>
          <w:ilvl w:val="0"/>
          <w:numId w:val="9"/>
        </w:numPr>
        <w:spacing w:after="0" w:line="240" w:lineRule="auto"/>
        <w:ind w:left="567" w:hanging="567"/>
        <w:rPr>
          <w:rFonts w:ascii="Times New Roman" w:hAnsi="Times New Roman"/>
          <w:color w:val="4F81BD" w:themeColor="accent1"/>
          <w:lang w:val="es-ES_tradnl"/>
        </w:rPr>
      </w:pPr>
      <w:r w:rsidRPr="002B05F3">
        <w:rPr>
          <w:rFonts w:ascii="Times New Roman" w:hAnsi="Times New Roman"/>
          <w:b/>
          <w:sz w:val="24"/>
          <w:lang w:val="es-ES_tradnl"/>
        </w:rPr>
        <w:t xml:space="preserve">Resultado del Indicador </w:t>
      </w:r>
      <w:r>
        <w:rPr>
          <w:rFonts w:ascii="Times New Roman" w:hAnsi="Times New Roman"/>
          <w:b/>
          <w:sz w:val="24"/>
          <w:lang w:val="es-ES_tradnl"/>
        </w:rPr>
        <w:t>NOBACI</w:t>
      </w:r>
    </w:p>
    <w:p w14:paraId="6FC868F2" w14:textId="77777777" w:rsidR="00646828" w:rsidRPr="002B05F3" w:rsidRDefault="00646828" w:rsidP="00646828">
      <w:pPr>
        <w:pStyle w:val="Prrafodelista"/>
        <w:spacing w:after="0" w:line="240" w:lineRule="auto"/>
        <w:ind w:left="567"/>
        <w:rPr>
          <w:rFonts w:ascii="Times New Roman" w:hAnsi="Times New Roman"/>
          <w:color w:val="4F81BD" w:themeColor="accent1"/>
          <w:lang w:val="es-ES_tradnl"/>
        </w:rPr>
      </w:pPr>
    </w:p>
    <w:tbl>
      <w:tblPr>
        <w:tblW w:w="5956" w:type="pct"/>
        <w:tblInd w:w="-497" w:type="dxa"/>
        <w:shd w:val="clear" w:color="auto" w:fill="FFFFFF" w:themeFill="background1"/>
        <w:tblCellMar>
          <w:left w:w="70" w:type="dxa"/>
          <w:right w:w="70" w:type="dxa"/>
        </w:tblCellMar>
        <w:tblLook w:val="0420" w:firstRow="1" w:lastRow="0" w:firstColumn="0" w:lastColumn="0" w:noHBand="0" w:noVBand="1"/>
      </w:tblPr>
      <w:tblGrid>
        <w:gridCol w:w="746"/>
        <w:gridCol w:w="1634"/>
        <w:gridCol w:w="4208"/>
        <w:gridCol w:w="1560"/>
        <w:gridCol w:w="1274"/>
      </w:tblGrid>
      <w:tr w:rsidR="00366DEE" w:rsidRPr="005C3096" w14:paraId="348EA486" w14:textId="77777777" w:rsidTr="002102B4">
        <w:trPr>
          <w:trHeight w:val="315"/>
        </w:trPr>
        <w:tc>
          <w:tcPr>
            <w:tcW w:w="396" w:type="pct"/>
            <w:tcBorders>
              <w:top w:val="single" w:sz="4" w:space="0" w:color="auto"/>
              <w:left w:val="single" w:sz="4" w:space="0" w:color="auto"/>
              <w:bottom w:val="single" w:sz="4" w:space="0" w:color="auto"/>
              <w:right w:val="single" w:sz="4" w:space="0" w:color="auto"/>
            </w:tcBorders>
            <w:shd w:val="clear" w:color="auto" w:fill="00B050"/>
            <w:vAlign w:val="center"/>
            <w:hideMark/>
          </w:tcPr>
          <w:p w14:paraId="0CFEEFEF" w14:textId="77777777" w:rsidR="00366DEE" w:rsidRPr="00646828" w:rsidRDefault="00366DEE" w:rsidP="00B0170C">
            <w:pPr>
              <w:spacing w:after="0"/>
              <w:jc w:val="center"/>
              <w:rPr>
                <w:rFonts w:ascii="Times New Roman" w:hAnsi="Times New Roman"/>
                <w:b/>
                <w:bCs/>
                <w:color w:val="FFFFFF" w:themeColor="background1"/>
                <w:lang w:eastAsia="es-DO"/>
              </w:rPr>
            </w:pPr>
            <w:r w:rsidRPr="00646828">
              <w:rPr>
                <w:rFonts w:ascii="Times New Roman" w:hAnsi="Times New Roman"/>
                <w:b/>
                <w:bCs/>
                <w:color w:val="FFFFFF" w:themeColor="background1"/>
                <w:lang w:eastAsia="es-DO"/>
              </w:rPr>
              <w:t>No.</w:t>
            </w:r>
          </w:p>
        </w:tc>
        <w:tc>
          <w:tcPr>
            <w:tcW w:w="867" w:type="pct"/>
            <w:tcBorders>
              <w:top w:val="single" w:sz="4" w:space="0" w:color="auto"/>
              <w:left w:val="nil"/>
              <w:bottom w:val="single" w:sz="4" w:space="0" w:color="auto"/>
              <w:right w:val="single" w:sz="4" w:space="0" w:color="auto"/>
            </w:tcBorders>
            <w:shd w:val="clear" w:color="auto" w:fill="00B050"/>
            <w:vAlign w:val="center"/>
            <w:hideMark/>
          </w:tcPr>
          <w:p w14:paraId="2B475C66" w14:textId="77777777" w:rsidR="00366DEE" w:rsidRPr="00646828" w:rsidRDefault="00366DEE" w:rsidP="00B0170C">
            <w:pPr>
              <w:spacing w:after="0"/>
              <w:jc w:val="center"/>
              <w:rPr>
                <w:rFonts w:ascii="Times New Roman" w:hAnsi="Times New Roman"/>
                <w:b/>
                <w:bCs/>
                <w:color w:val="FFFFFF" w:themeColor="background1"/>
                <w:lang w:eastAsia="es-DO"/>
              </w:rPr>
            </w:pPr>
            <w:r w:rsidRPr="00646828">
              <w:rPr>
                <w:rFonts w:ascii="Times New Roman" w:hAnsi="Times New Roman"/>
                <w:b/>
                <w:bCs/>
                <w:color w:val="FFFFFF" w:themeColor="background1"/>
                <w:lang w:eastAsia="es-DO"/>
              </w:rPr>
              <w:t>Sub-Indicador</w:t>
            </w:r>
          </w:p>
        </w:tc>
        <w:tc>
          <w:tcPr>
            <w:tcW w:w="2233" w:type="pct"/>
            <w:tcBorders>
              <w:top w:val="single" w:sz="4" w:space="0" w:color="auto"/>
              <w:left w:val="nil"/>
              <w:bottom w:val="single" w:sz="4" w:space="0" w:color="auto"/>
              <w:right w:val="single" w:sz="4" w:space="0" w:color="auto"/>
            </w:tcBorders>
            <w:shd w:val="clear" w:color="auto" w:fill="00B050"/>
            <w:vAlign w:val="center"/>
            <w:hideMark/>
          </w:tcPr>
          <w:p w14:paraId="6BB06DD9" w14:textId="77777777" w:rsidR="00366DEE" w:rsidRPr="00646828" w:rsidRDefault="00366DEE" w:rsidP="00B0170C">
            <w:pPr>
              <w:spacing w:after="0"/>
              <w:jc w:val="center"/>
              <w:rPr>
                <w:rFonts w:ascii="Times New Roman" w:hAnsi="Times New Roman"/>
                <w:b/>
                <w:bCs/>
                <w:color w:val="FFFFFF" w:themeColor="background1"/>
                <w:lang w:eastAsia="es-DO"/>
              </w:rPr>
            </w:pPr>
            <w:r w:rsidRPr="00646828">
              <w:rPr>
                <w:rFonts w:ascii="Times New Roman" w:hAnsi="Times New Roman"/>
                <w:b/>
                <w:bCs/>
                <w:color w:val="FFFFFF" w:themeColor="background1"/>
                <w:lang w:eastAsia="es-DO"/>
              </w:rPr>
              <w:t>Descripción</w:t>
            </w:r>
          </w:p>
        </w:tc>
        <w:tc>
          <w:tcPr>
            <w:tcW w:w="828" w:type="pct"/>
            <w:tcBorders>
              <w:top w:val="single" w:sz="4" w:space="0" w:color="auto"/>
              <w:left w:val="nil"/>
              <w:bottom w:val="single" w:sz="4" w:space="0" w:color="auto"/>
              <w:right w:val="single" w:sz="4" w:space="0" w:color="auto"/>
            </w:tcBorders>
            <w:shd w:val="clear" w:color="auto" w:fill="00B050"/>
            <w:vAlign w:val="center"/>
            <w:hideMark/>
          </w:tcPr>
          <w:p w14:paraId="6A7311E5" w14:textId="77777777" w:rsidR="00366DEE" w:rsidRPr="00646828" w:rsidRDefault="00366DEE" w:rsidP="00B0170C">
            <w:pPr>
              <w:spacing w:after="0"/>
              <w:jc w:val="center"/>
              <w:rPr>
                <w:rFonts w:ascii="Times New Roman" w:hAnsi="Times New Roman"/>
                <w:b/>
                <w:bCs/>
                <w:color w:val="FFFFFF" w:themeColor="background1"/>
                <w:lang w:eastAsia="es-DO"/>
              </w:rPr>
            </w:pPr>
            <w:r w:rsidRPr="00646828">
              <w:rPr>
                <w:rFonts w:ascii="Times New Roman" w:hAnsi="Times New Roman"/>
                <w:b/>
                <w:bCs/>
                <w:color w:val="FFFFFF" w:themeColor="background1"/>
                <w:lang w:eastAsia="es-DO"/>
              </w:rPr>
              <w:t xml:space="preserve">Ponderación </w:t>
            </w:r>
          </w:p>
        </w:tc>
        <w:tc>
          <w:tcPr>
            <w:tcW w:w="676" w:type="pct"/>
            <w:tcBorders>
              <w:top w:val="single" w:sz="4" w:space="0" w:color="auto"/>
              <w:left w:val="nil"/>
              <w:bottom w:val="single" w:sz="4" w:space="0" w:color="auto"/>
              <w:right w:val="single" w:sz="4" w:space="0" w:color="auto"/>
            </w:tcBorders>
            <w:shd w:val="clear" w:color="auto" w:fill="00B050"/>
            <w:vAlign w:val="center"/>
            <w:hideMark/>
          </w:tcPr>
          <w:p w14:paraId="5B8265F7" w14:textId="77777777" w:rsidR="00366DEE" w:rsidRPr="00646828" w:rsidRDefault="00366DEE" w:rsidP="00B0170C">
            <w:pPr>
              <w:spacing w:after="0"/>
              <w:jc w:val="center"/>
              <w:rPr>
                <w:rFonts w:ascii="Times New Roman" w:hAnsi="Times New Roman"/>
                <w:b/>
                <w:bCs/>
                <w:color w:val="FFFFFF" w:themeColor="background1"/>
                <w:lang w:eastAsia="es-DO"/>
              </w:rPr>
            </w:pPr>
            <w:r w:rsidRPr="00646828">
              <w:rPr>
                <w:rFonts w:ascii="Times New Roman" w:hAnsi="Times New Roman"/>
                <w:b/>
                <w:bCs/>
                <w:color w:val="FFFFFF" w:themeColor="background1"/>
                <w:lang w:eastAsia="es-DO"/>
              </w:rPr>
              <w:t>Resultado</w:t>
            </w:r>
          </w:p>
        </w:tc>
      </w:tr>
      <w:tr w:rsidR="00366DEE" w:rsidRPr="005C3096" w14:paraId="6A2F81C2" w14:textId="77777777" w:rsidTr="002102B4">
        <w:trPr>
          <w:trHeight w:val="630"/>
        </w:trPr>
        <w:tc>
          <w:tcPr>
            <w:tcW w:w="396" w:type="pct"/>
            <w:tcBorders>
              <w:top w:val="nil"/>
              <w:left w:val="single" w:sz="4" w:space="0" w:color="auto"/>
              <w:bottom w:val="single" w:sz="4" w:space="0" w:color="auto"/>
              <w:right w:val="single" w:sz="4" w:space="0" w:color="auto"/>
            </w:tcBorders>
            <w:shd w:val="clear" w:color="auto" w:fill="FFFFFF" w:themeFill="background1"/>
            <w:vAlign w:val="center"/>
            <w:hideMark/>
          </w:tcPr>
          <w:p w14:paraId="5F4A82D1" w14:textId="77777777" w:rsidR="00366DEE" w:rsidRPr="005C3096" w:rsidRDefault="00366DEE" w:rsidP="002102B4">
            <w:pPr>
              <w:spacing w:after="0"/>
              <w:ind w:leftChars="-1" w:hangingChars="1" w:hanging="2"/>
              <w:jc w:val="center"/>
              <w:rPr>
                <w:rFonts w:ascii="Times New Roman" w:hAnsi="Times New Roman"/>
                <w:color w:val="000000"/>
                <w:lang w:eastAsia="es-DO"/>
              </w:rPr>
            </w:pPr>
            <w:r w:rsidRPr="005C3096">
              <w:rPr>
                <w:rFonts w:ascii="Times New Roman" w:hAnsi="Times New Roman"/>
                <w:color w:val="000000"/>
                <w:lang w:eastAsia="es-DO"/>
              </w:rPr>
              <w:t>1</w:t>
            </w:r>
          </w:p>
        </w:tc>
        <w:tc>
          <w:tcPr>
            <w:tcW w:w="867" w:type="pct"/>
            <w:tcBorders>
              <w:top w:val="nil"/>
              <w:left w:val="nil"/>
              <w:bottom w:val="single" w:sz="4" w:space="0" w:color="auto"/>
              <w:right w:val="single" w:sz="4" w:space="0" w:color="auto"/>
            </w:tcBorders>
            <w:shd w:val="clear" w:color="auto" w:fill="FFFFFF" w:themeFill="background1"/>
            <w:vAlign w:val="center"/>
            <w:hideMark/>
          </w:tcPr>
          <w:p w14:paraId="48897979" w14:textId="77777777" w:rsidR="00366DEE" w:rsidRPr="005C3096" w:rsidRDefault="00366DEE" w:rsidP="00B0170C">
            <w:pPr>
              <w:spacing w:after="0"/>
              <w:rPr>
                <w:rFonts w:ascii="Times New Roman" w:hAnsi="Times New Roman"/>
                <w:color w:val="000000"/>
                <w:lang w:eastAsia="es-DO"/>
              </w:rPr>
            </w:pPr>
            <w:r w:rsidRPr="005C3096">
              <w:rPr>
                <w:rFonts w:ascii="Times New Roman" w:hAnsi="Times New Roman"/>
                <w:color w:val="000000"/>
                <w:lang w:eastAsia="es-DO"/>
              </w:rPr>
              <w:t>Ambiente de Control</w:t>
            </w:r>
          </w:p>
        </w:tc>
        <w:tc>
          <w:tcPr>
            <w:tcW w:w="2233" w:type="pct"/>
            <w:tcBorders>
              <w:top w:val="nil"/>
              <w:left w:val="nil"/>
              <w:bottom w:val="single" w:sz="4" w:space="0" w:color="auto"/>
              <w:right w:val="single" w:sz="4" w:space="0" w:color="auto"/>
            </w:tcBorders>
            <w:shd w:val="clear" w:color="auto" w:fill="FFFFFF" w:themeFill="background1"/>
            <w:vAlign w:val="center"/>
            <w:hideMark/>
          </w:tcPr>
          <w:p w14:paraId="5D05DFDC" w14:textId="77777777" w:rsidR="00366DEE" w:rsidRPr="005C3096" w:rsidRDefault="00366DEE" w:rsidP="00B0170C">
            <w:pPr>
              <w:spacing w:after="0"/>
              <w:rPr>
                <w:rFonts w:ascii="Times New Roman" w:hAnsi="Times New Roman"/>
                <w:color w:val="000000"/>
                <w:lang w:eastAsia="es-DO"/>
              </w:rPr>
            </w:pPr>
            <w:r w:rsidRPr="005C3096">
              <w:rPr>
                <w:rFonts w:ascii="Times New Roman" w:hAnsi="Times New Roman"/>
                <w:color w:val="000000"/>
                <w:lang w:eastAsia="es-DO"/>
              </w:rPr>
              <w:t>Este indicador mide la administración activa, principalmente el titular de la entidad, fomento para la operación del control interno.</w:t>
            </w:r>
          </w:p>
        </w:tc>
        <w:tc>
          <w:tcPr>
            <w:tcW w:w="828" w:type="pct"/>
            <w:tcBorders>
              <w:top w:val="nil"/>
              <w:left w:val="nil"/>
              <w:bottom w:val="single" w:sz="4" w:space="0" w:color="auto"/>
              <w:right w:val="single" w:sz="4" w:space="0" w:color="auto"/>
            </w:tcBorders>
            <w:shd w:val="clear" w:color="auto" w:fill="FFFFFF" w:themeFill="background1"/>
            <w:vAlign w:val="center"/>
            <w:hideMark/>
          </w:tcPr>
          <w:p w14:paraId="4569F102" w14:textId="2364A203" w:rsidR="00366DEE" w:rsidRPr="005C3096" w:rsidRDefault="00640974" w:rsidP="00B0170C">
            <w:pPr>
              <w:spacing w:after="0"/>
              <w:jc w:val="center"/>
              <w:rPr>
                <w:rFonts w:ascii="Times New Roman" w:hAnsi="Times New Roman"/>
                <w:color w:val="000000"/>
                <w:lang w:eastAsia="es-DO"/>
              </w:rPr>
            </w:pPr>
            <w:r>
              <w:rPr>
                <w:rFonts w:ascii="Times New Roman" w:hAnsi="Times New Roman"/>
                <w:color w:val="000000"/>
                <w:lang w:eastAsia="es-DO"/>
              </w:rPr>
              <w:t>2</w:t>
            </w:r>
            <w:r w:rsidR="00366DEE" w:rsidRPr="005C3096">
              <w:rPr>
                <w:rFonts w:ascii="Times New Roman" w:hAnsi="Times New Roman"/>
                <w:color w:val="000000"/>
                <w:lang w:eastAsia="es-DO"/>
              </w:rPr>
              <w:t>0%</w:t>
            </w:r>
          </w:p>
        </w:tc>
        <w:tc>
          <w:tcPr>
            <w:tcW w:w="676" w:type="pct"/>
            <w:tcBorders>
              <w:top w:val="nil"/>
              <w:left w:val="nil"/>
              <w:bottom w:val="single" w:sz="4" w:space="0" w:color="auto"/>
              <w:right w:val="single" w:sz="4" w:space="0" w:color="auto"/>
            </w:tcBorders>
            <w:shd w:val="clear" w:color="auto" w:fill="FFFFFF" w:themeFill="background1"/>
            <w:vAlign w:val="center"/>
            <w:hideMark/>
          </w:tcPr>
          <w:p w14:paraId="0C4FBDC2" w14:textId="2F99919A" w:rsidR="00366DEE" w:rsidRPr="005C3096" w:rsidRDefault="00640974" w:rsidP="00B0170C">
            <w:pPr>
              <w:spacing w:after="0"/>
              <w:jc w:val="center"/>
              <w:rPr>
                <w:rFonts w:ascii="Times New Roman" w:hAnsi="Times New Roman"/>
                <w:color w:val="000000"/>
                <w:lang w:eastAsia="es-DO"/>
              </w:rPr>
            </w:pPr>
            <w:r>
              <w:rPr>
                <w:rFonts w:ascii="Times New Roman" w:hAnsi="Times New Roman"/>
                <w:color w:val="000000"/>
                <w:lang w:eastAsia="es-DO"/>
              </w:rPr>
              <w:t>19.06&amp;</w:t>
            </w:r>
          </w:p>
        </w:tc>
      </w:tr>
      <w:tr w:rsidR="00366DEE" w:rsidRPr="005C3096" w14:paraId="56B784D7" w14:textId="77777777" w:rsidTr="002102B4">
        <w:trPr>
          <w:trHeight w:val="630"/>
        </w:trPr>
        <w:tc>
          <w:tcPr>
            <w:tcW w:w="39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B91D7DA" w14:textId="77777777" w:rsidR="00366DEE" w:rsidRPr="005C3096" w:rsidRDefault="00366DEE" w:rsidP="002102B4">
            <w:pPr>
              <w:spacing w:after="0"/>
              <w:ind w:leftChars="-1" w:hangingChars="1" w:hanging="2"/>
              <w:jc w:val="center"/>
              <w:rPr>
                <w:rFonts w:ascii="Times New Roman" w:hAnsi="Times New Roman"/>
                <w:color w:val="000000"/>
                <w:lang w:eastAsia="es-DO"/>
              </w:rPr>
            </w:pPr>
            <w:r w:rsidRPr="005C3096">
              <w:rPr>
                <w:rFonts w:ascii="Times New Roman" w:hAnsi="Times New Roman"/>
                <w:color w:val="000000"/>
                <w:lang w:eastAsia="es-DO"/>
              </w:rPr>
              <w:t>2</w:t>
            </w:r>
          </w:p>
        </w:tc>
        <w:tc>
          <w:tcPr>
            <w:tcW w:w="867" w:type="pct"/>
            <w:tcBorders>
              <w:top w:val="nil"/>
              <w:left w:val="nil"/>
              <w:bottom w:val="single" w:sz="4" w:space="0" w:color="auto"/>
              <w:right w:val="single" w:sz="4" w:space="0" w:color="auto"/>
            </w:tcBorders>
            <w:shd w:val="clear" w:color="auto" w:fill="FFFFFF" w:themeFill="background1"/>
            <w:vAlign w:val="center"/>
            <w:hideMark/>
          </w:tcPr>
          <w:p w14:paraId="6512A102" w14:textId="77777777" w:rsidR="00366DEE" w:rsidRPr="005C3096" w:rsidRDefault="00366DEE" w:rsidP="00B0170C">
            <w:pPr>
              <w:spacing w:after="0"/>
              <w:rPr>
                <w:rFonts w:ascii="Times New Roman" w:hAnsi="Times New Roman"/>
                <w:color w:val="000000"/>
                <w:lang w:eastAsia="es-DO"/>
              </w:rPr>
            </w:pPr>
            <w:r w:rsidRPr="005C3096">
              <w:rPr>
                <w:rFonts w:ascii="Times New Roman" w:hAnsi="Times New Roman"/>
                <w:color w:val="000000"/>
                <w:lang w:eastAsia="es-DO"/>
              </w:rPr>
              <w:t>Valoración y Administración de Riesgos</w:t>
            </w:r>
          </w:p>
        </w:tc>
        <w:tc>
          <w:tcPr>
            <w:tcW w:w="2233" w:type="pct"/>
            <w:tcBorders>
              <w:top w:val="nil"/>
              <w:left w:val="nil"/>
              <w:bottom w:val="single" w:sz="4" w:space="0" w:color="auto"/>
              <w:right w:val="single" w:sz="4" w:space="0" w:color="auto"/>
            </w:tcBorders>
            <w:shd w:val="clear" w:color="auto" w:fill="FFFFFF" w:themeFill="background1"/>
            <w:vAlign w:val="center"/>
            <w:hideMark/>
          </w:tcPr>
          <w:p w14:paraId="16B7A943" w14:textId="77777777" w:rsidR="00366DEE" w:rsidRPr="005C3096" w:rsidRDefault="00366DEE" w:rsidP="00B0170C">
            <w:pPr>
              <w:spacing w:after="0"/>
              <w:rPr>
                <w:rFonts w:ascii="Times New Roman" w:hAnsi="Times New Roman"/>
                <w:color w:val="000000"/>
                <w:lang w:eastAsia="es-DO"/>
              </w:rPr>
            </w:pPr>
            <w:r w:rsidRPr="005C3096">
              <w:rPr>
                <w:rFonts w:ascii="Times New Roman" w:hAnsi="Times New Roman"/>
                <w:color w:val="000000"/>
                <w:lang w:eastAsia="es-DO"/>
              </w:rPr>
              <w:t>Este indicador mide el grado de adecuación de la arquitectura de control interno de las entidades bajo el ámbito de la Ley No. 10-07.</w:t>
            </w:r>
          </w:p>
        </w:tc>
        <w:tc>
          <w:tcPr>
            <w:tcW w:w="828" w:type="pct"/>
            <w:tcBorders>
              <w:top w:val="nil"/>
              <w:left w:val="nil"/>
              <w:bottom w:val="single" w:sz="4" w:space="0" w:color="auto"/>
              <w:right w:val="single" w:sz="4" w:space="0" w:color="auto"/>
            </w:tcBorders>
            <w:shd w:val="clear" w:color="auto" w:fill="FFFFFF" w:themeFill="background1"/>
            <w:vAlign w:val="center"/>
            <w:hideMark/>
          </w:tcPr>
          <w:p w14:paraId="1EE53985" w14:textId="569207B1" w:rsidR="00366DEE" w:rsidRPr="005C3096" w:rsidRDefault="00640974" w:rsidP="00B0170C">
            <w:pPr>
              <w:spacing w:after="0"/>
              <w:jc w:val="center"/>
              <w:rPr>
                <w:rFonts w:ascii="Times New Roman" w:hAnsi="Times New Roman"/>
                <w:color w:val="000000"/>
                <w:lang w:eastAsia="es-DO"/>
              </w:rPr>
            </w:pPr>
            <w:r>
              <w:rPr>
                <w:rFonts w:ascii="Times New Roman" w:hAnsi="Times New Roman"/>
                <w:color w:val="000000"/>
                <w:lang w:eastAsia="es-DO"/>
              </w:rPr>
              <w:t>2</w:t>
            </w:r>
            <w:r w:rsidR="00366DEE" w:rsidRPr="005C3096">
              <w:rPr>
                <w:rFonts w:ascii="Times New Roman" w:hAnsi="Times New Roman"/>
                <w:color w:val="000000"/>
                <w:lang w:eastAsia="es-DO"/>
              </w:rPr>
              <w:t>0%</w:t>
            </w:r>
          </w:p>
        </w:tc>
        <w:tc>
          <w:tcPr>
            <w:tcW w:w="676" w:type="pct"/>
            <w:tcBorders>
              <w:top w:val="nil"/>
              <w:left w:val="nil"/>
              <w:bottom w:val="single" w:sz="4" w:space="0" w:color="auto"/>
              <w:right w:val="single" w:sz="4" w:space="0" w:color="auto"/>
            </w:tcBorders>
            <w:shd w:val="clear" w:color="auto" w:fill="FFFFFF" w:themeFill="background1"/>
            <w:vAlign w:val="center"/>
            <w:hideMark/>
          </w:tcPr>
          <w:p w14:paraId="5ADC7669" w14:textId="36A1F542" w:rsidR="00366DEE" w:rsidRPr="005C3096" w:rsidRDefault="00640974" w:rsidP="00B0170C">
            <w:pPr>
              <w:spacing w:after="0"/>
              <w:jc w:val="center"/>
              <w:rPr>
                <w:rFonts w:ascii="Times New Roman" w:hAnsi="Times New Roman"/>
                <w:color w:val="000000"/>
                <w:lang w:eastAsia="es-DO"/>
              </w:rPr>
            </w:pPr>
            <w:r>
              <w:rPr>
                <w:rFonts w:ascii="Times New Roman" w:hAnsi="Times New Roman"/>
                <w:color w:val="000000"/>
                <w:lang w:eastAsia="es-DO"/>
              </w:rPr>
              <w:t>20%</w:t>
            </w:r>
            <w:r w:rsidR="00366DEE" w:rsidRPr="005C3096">
              <w:rPr>
                <w:rFonts w:ascii="Times New Roman" w:hAnsi="Times New Roman"/>
                <w:color w:val="000000"/>
                <w:lang w:eastAsia="es-DO"/>
              </w:rPr>
              <w:t>%</w:t>
            </w:r>
          </w:p>
        </w:tc>
      </w:tr>
      <w:tr w:rsidR="00366DEE" w:rsidRPr="005C3096" w14:paraId="7122FE9B" w14:textId="77777777" w:rsidTr="002102B4">
        <w:trPr>
          <w:trHeight w:val="630"/>
        </w:trPr>
        <w:tc>
          <w:tcPr>
            <w:tcW w:w="396" w:type="pct"/>
            <w:tcBorders>
              <w:top w:val="nil"/>
              <w:left w:val="single" w:sz="4" w:space="0" w:color="auto"/>
              <w:bottom w:val="single" w:sz="4" w:space="0" w:color="auto"/>
              <w:right w:val="single" w:sz="4" w:space="0" w:color="auto"/>
            </w:tcBorders>
            <w:shd w:val="clear" w:color="auto" w:fill="FFFFFF" w:themeFill="background1"/>
            <w:vAlign w:val="center"/>
            <w:hideMark/>
          </w:tcPr>
          <w:p w14:paraId="59701F1F" w14:textId="77777777" w:rsidR="00366DEE" w:rsidRPr="005C3096" w:rsidRDefault="00366DEE" w:rsidP="002102B4">
            <w:pPr>
              <w:spacing w:after="0"/>
              <w:ind w:leftChars="-1" w:hangingChars="1" w:hanging="2"/>
              <w:jc w:val="center"/>
              <w:rPr>
                <w:rFonts w:ascii="Times New Roman" w:hAnsi="Times New Roman"/>
                <w:color w:val="000000"/>
                <w:lang w:eastAsia="es-DO"/>
              </w:rPr>
            </w:pPr>
            <w:r w:rsidRPr="005C3096">
              <w:rPr>
                <w:rFonts w:ascii="Times New Roman" w:hAnsi="Times New Roman"/>
                <w:color w:val="000000"/>
                <w:lang w:eastAsia="es-DO"/>
              </w:rPr>
              <w:t>3</w:t>
            </w:r>
          </w:p>
        </w:tc>
        <w:tc>
          <w:tcPr>
            <w:tcW w:w="867" w:type="pct"/>
            <w:tcBorders>
              <w:top w:val="nil"/>
              <w:left w:val="nil"/>
              <w:bottom w:val="single" w:sz="4" w:space="0" w:color="auto"/>
              <w:right w:val="single" w:sz="4" w:space="0" w:color="auto"/>
            </w:tcBorders>
            <w:shd w:val="clear" w:color="auto" w:fill="FFFFFF" w:themeFill="background1"/>
            <w:vAlign w:val="center"/>
            <w:hideMark/>
          </w:tcPr>
          <w:p w14:paraId="3D66BB22" w14:textId="77777777" w:rsidR="00366DEE" w:rsidRPr="005C3096" w:rsidRDefault="00366DEE" w:rsidP="00B0170C">
            <w:pPr>
              <w:spacing w:after="0"/>
              <w:rPr>
                <w:rFonts w:ascii="Times New Roman" w:hAnsi="Times New Roman"/>
                <w:color w:val="000000"/>
                <w:lang w:eastAsia="es-DO"/>
              </w:rPr>
            </w:pPr>
            <w:r w:rsidRPr="005C3096">
              <w:rPr>
                <w:rFonts w:ascii="Times New Roman" w:hAnsi="Times New Roman"/>
                <w:color w:val="000000"/>
                <w:lang w:eastAsia="es-DO"/>
              </w:rPr>
              <w:t>Actividades de Control</w:t>
            </w:r>
          </w:p>
        </w:tc>
        <w:tc>
          <w:tcPr>
            <w:tcW w:w="2233" w:type="pct"/>
            <w:tcBorders>
              <w:top w:val="nil"/>
              <w:left w:val="nil"/>
              <w:bottom w:val="single" w:sz="4" w:space="0" w:color="auto"/>
              <w:right w:val="single" w:sz="4" w:space="0" w:color="auto"/>
            </w:tcBorders>
            <w:shd w:val="clear" w:color="auto" w:fill="FFFFFF" w:themeFill="background1"/>
            <w:vAlign w:val="center"/>
            <w:hideMark/>
          </w:tcPr>
          <w:p w14:paraId="2925DD25" w14:textId="77777777" w:rsidR="00366DEE" w:rsidRPr="005C3096" w:rsidRDefault="00366DEE" w:rsidP="00B0170C">
            <w:pPr>
              <w:spacing w:after="0"/>
              <w:rPr>
                <w:rFonts w:ascii="Times New Roman" w:hAnsi="Times New Roman"/>
                <w:color w:val="000000"/>
                <w:lang w:eastAsia="es-DO"/>
              </w:rPr>
            </w:pPr>
            <w:r w:rsidRPr="005C3096">
              <w:rPr>
                <w:rFonts w:ascii="Times New Roman" w:hAnsi="Times New Roman"/>
                <w:color w:val="000000"/>
                <w:lang w:eastAsia="es-DO"/>
              </w:rPr>
              <w:t>Este indicador mide el grado de adecuación para la prevención y mitigación de los riesgos existentes del de control interno.</w:t>
            </w:r>
          </w:p>
        </w:tc>
        <w:tc>
          <w:tcPr>
            <w:tcW w:w="828" w:type="pct"/>
            <w:tcBorders>
              <w:top w:val="nil"/>
              <w:left w:val="nil"/>
              <w:bottom w:val="single" w:sz="4" w:space="0" w:color="auto"/>
              <w:right w:val="single" w:sz="4" w:space="0" w:color="auto"/>
            </w:tcBorders>
            <w:shd w:val="clear" w:color="auto" w:fill="FFFFFF" w:themeFill="background1"/>
            <w:vAlign w:val="center"/>
            <w:hideMark/>
          </w:tcPr>
          <w:p w14:paraId="2CA1AD75" w14:textId="5224CDBB" w:rsidR="00366DEE" w:rsidRPr="005C3096" w:rsidRDefault="00640974" w:rsidP="00B0170C">
            <w:pPr>
              <w:spacing w:after="0"/>
              <w:jc w:val="center"/>
              <w:rPr>
                <w:rFonts w:ascii="Times New Roman" w:hAnsi="Times New Roman"/>
                <w:color w:val="000000"/>
                <w:lang w:eastAsia="es-DO"/>
              </w:rPr>
            </w:pPr>
            <w:r>
              <w:rPr>
                <w:rFonts w:ascii="Times New Roman" w:hAnsi="Times New Roman"/>
                <w:color w:val="000000"/>
                <w:lang w:eastAsia="es-DO"/>
              </w:rPr>
              <w:t>2</w:t>
            </w:r>
            <w:r w:rsidR="00366DEE" w:rsidRPr="005C3096">
              <w:rPr>
                <w:rFonts w:ascii="Times New Roman" w:hAnsi="Times New Roman"/>
                <w:color w:val="000000"/>
                <w:lang w:eastAsia="es-DO"/>
              </w:rPr>
              <w:t>0%</w:t>
            </w:r>
          </w:p>
        </w:tc>
        <w:tc>
          <w:tcPr>
            <w:tcW w:w="676" w:type="pct"/>
            <w:tcBorders>
              <w:top w:val="nil"/>
              <w:left w:val="nil"/>
              <w:bottom w:val="single" w:sz="4" w:space="0" w:color="auto"/>
              <w:right w:val="single" w:sz="4" w:space="0" w:color="auto"/>
            </w:tcBorders>
            <w:shd w:val="clear" w:color="auto" w:fill="FFFFFF" w:themeFill="background1"/>
            <w:vAlign w:val="center"/>
            <w:hideMark/>
          </w:tcPr>
          <w:p w14:paraId="51883340" w14:textId="1478CA3F" w:rsidR="00366DEE" w:rsidRPr="005C3096" w:rsidRDefault="00640974" w:rsidP="00B0170C">
            <w:pPr>
              <w:spacing w:after="0"/>
              <w:jc w:val="center"/>
              <w:rPr>
                <w:rFonts w:ascii="Times New Roman" w:hAnsi="Times New Roman"/>
                <w:color w:val="000000"/>
                <w:lang w:eastAsia="es-DO"/>
              </w:rPr>
            </w:pPr>
            <w:r>
              <w:rPr>
                <w:rFonts w:ascii="Times New Roman" w:hAnsi="Times New Roman"/>
                <w:color w:val="000000"/>
                <w:lang w:eastAsia="es-DO"/>
              </w:rPr>
              <w:t>19.09</w:t>
            </w:r>
            <w:r w:rsidR="00366DEE" w:rsidRPr="005C3096">
              <w:rPr>
                <w:rFonts w:ascii="Times New Roman" w:hAnsi="Times New Roman"/>
                <w:color w:val="000000"/>
                <w:lang w:eastAsia="es-DO"/>
              </w:rPr>
              <w:t>%</w:t>
            </w:r>
          </w:p>
        </w:tc>
      </w:tr>
      <w:tr w:rsidR="00366DEE" w:rsidRPr="005C3096" w14:paraId="362A537C" w14:textId="77777777" w:rsidTr="002102B4">
        <w:trPr>
          <w:trHeight w:val="630"/>
        </w:trPr>
        <w:tc>
          <w:tcPr>
            <w:tcW w:w="39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68E70C6" w14:textId="77777777" w:rsidR="00366DEE" w:rsidRPr="005C3096" w:rsidRDefault="00366DEE" w:rsidP="002102B4">
            <w:pPr>
              <w:spacing w:after="0"/>
              <w:ind w:leftChars="-1" w:hangingChars="1" w:hanging="2"/>
              <w:jc w:val="center"/>
              <w:rPr>
                <w:rFonts w:ascii="Times New Roman" w:hAnsi="Times New Roman"/>
                <w:color w:val="000000"/>
                <w:lang w:eastAsia="es-DO"/>
              </w:rPr>
            </w:pPr>
            <w:r w:rsidRPr="005C3096">
              <w:rPr>
                <w:rFonts w:ascii="Times New Roman" w:hAnsi="Times New Roman"/>
                <w:color w:val="000000"/>
                <w:lang w:eastAsia="es-DO"/>
              </w:rPr>
              <w:t>4</w:t>
            </w:r>
          </w:p>
        </w:tc>
        <w:tc>
          <w:tcPr>
            <w:tcW w:w="867" w:type="pct"/>
            <w:tcBorders>
              <w:top w:val="nil"/>
              <w:left w:val="nil"/>
              <w:bottom w:val="single" w:sz="4" w:space="0" w:color="auto"/>
              <w:right w:val="single" w:sz="4" w:space="0" w:color="auto"/>
            </w:tcBorders>
            <w:shd w:val="clear" w:color="auto" w:fill="FFFFFF" w:themeFill="background1"/>
            <w:vAlign w:val="center"/>
            <w:hideMark/>
          </w:tcPr>
          <w:p w14:paraId="01894E80" w14:textId="77777777" w:rsidR="00366DEE" w:rsidRPr="005C3096" w:rsidRDefault="00366DEE" w:rsidP="00B0170C">
            <w:pPr>
              <w:spacing w:after="0"/>
              <w:rPr>
                <w:rFonts w:ascii="Times New Roman" w:hAnsi="Times New Roman"/>
                <w:color w:val="000000"/>
                <w:lang w:eastAsia="es-DO"/>
              </w:rPr>
            </w:pPr>
            <w:r w:rsidRPr="005C3096">
              <w:rPr>
                <w:rFonts w:ascii="Times New Roman" w:hAnsi="Times New Roman"/>
                <w:color w:val="000000"/>
                <w:lang w:eastAsia="es-DO"/>
              </w:rPr>
              <w:t>Información y Comunicación</w:t>
            </w:r>
          </w:p>
        </w:tc>
        <w:tc>
          <w:tcPr>
            <w:tcW w:w="2233" w:type="pct"/>
            <w:tcBorders>
              <w:top w:val="nil"/>
              <w:left w:val="nil"/>
              <w:bottom w:val="single" w:sz="4" w:space="0" w:color="auto"/>
              <w:right w:val="single" w:sz="4" w:space="0" w:color="auto"/>
            </w:tcBorders>
            <w:shd w:val="clear" w:color="auto" w:fill="FFFFFF" w:themeFill="background1"/>
            <w:vAlign w:val="center"/>
            <w:hideMark/>
          </w:tcPr>
          <w:p w14:paraId="0B952D90" w14:textId="77777777" w:rsidR="00366DEE" w:rsidRPr="005C3096" w:rsidRDefault="00366DEE" w:rsidP="00B0170C">
            <w:pPr>
              <w:spacing w:after="0"/>
              <w:rPr>
                <w:rFonts w:ascii="Times New Roman" w:hAnsi="Times New Roman"/>
                <w:color w:val="000000"/>
                <w:lang w:eastAsia="es-DO"/>
              </w:rPr>
            </w:pPr>
            <w:r w:rsidRPr="005C3096">
              <w:rPr>
                <w:rFonts w:ascii="Times New Roman" w:hAnsi="Times New Roman"/>
                <w:color w:val="000000"/>
                <w:lang w:eastAsia="es-DO"/>
              </w:rPr>
              <w:t>Este indicador mide el grado en se han implementado diagnósticos, ajustes y actualización de los sistemas de información y comunicación </w:t>
            </w:r>
          </w:p>
        </w:tc>
        <w:tc>
          <w:tcPr>
            <w:tcW w:w="828" w:type="pct"/>
            <w:tcBorders>
              <w:top w:val="nil"/>
              <w:left w:val="nil"/>
              <w:bottom w:val="single" w:sz="4" w:space="0" w:color="auto"/>
              <w:right w:val="single" w:sz="4" w:space="0" w:color="auto"/>
            </w:tcBorders>
            <w:shd w:val="clear" w:color="auto" w:fill="FFFFFF" w:themeFill="background1"/>
            <w:vAlign w:val="center"/>
            <w:hideMark/>
          </w:tcPr>
          <w:p w14:paraId="7501B577" w14:textId="293E5FE0" w:rsidR="00366DEE" w:rsidRPr="005C3096" w:rsidRDefault="00640974" w:rsidP="00B0170C">
            <w:pPr>
              <w:spacing w:after="0"/>
              <w:jc w:val="center"/>
              <w:rPr>
                <w:rFonts w:ascii="Times New Roman" w:hAnsi="Times New Roman"/>
                <w:color w:val="000000"/>
                <w:lang w:eastAsia="es-DO"/>
              </w:rPr>
            </w:pPr>
            <w:r>
              <w:rPr>
                <w:rFonts w:ascii="Times New Roman" w:hAnsi="Times New Roman"/>
                <w:color w:val="000000"/>
                <w:lang w:eastAsia="es-DO"/>
              </w:rPr>
              <w:t>2</w:t>
            </w:r>
            <w:r w:rsidR="00366DEE" w:rsidRPr="005C3096">
              <w:rPr>
                <w:rFonts w:ascii="Times New Roman" w:hAnsi="Times New Roman"/>
                <w:color w:val="000000"/>
                <w:lang w:eastAsia="es-DO"/>
              </w:rPr>
              <w:t>0%</w:t>
            </w:r>
          </w:p>
        </w:tc>
        <w:tc>
          <w:tcPr>
            <w:tcW w:w="676" w:type="pct"/>
            <w:tcBorders>
              <w:top w:val="nil"/>
              <w:left w:val="nil"/>
              <w:bottom w:val="single" w:sz="4" w:space="0" w:color="auto"/>
              <w:right w:val="single" w:sz="4" w:space="0" w:color="auto"/>
            </w:tcBorders>
            <w:shd w:val="clear" w:color="auto" w:fill="FFFFFF" w:themeFill="background1"/>
            <w:vAlign w:val="center"/>
            <w:hideMark/>
          </w:tcPr>
          <w:p w14:paraId="5D9B9EDC" w14:textId="347E8C8A" w:rsidR="00366DEE" w:rsidRPr="005C3096" w:rsidRDefault="00640974" w:rsidP="00B0170C">
            <w:pPr>
              <w:spacing w:after="0"/>
              <w:jc w:val="center"/>
              <w:rPr>
                <w:rFonts w:ascii="Times New Roman" w:hAnsi="Times New Roman"/>
                <w:color w:val="000000"/>
                <w:lang w:eastAsia="es-DO"/>
              </w:rPr>
            </w:pPr>
            <w:r>
              <w:rPr>
                <w:rFonts w:ascii="Times New Roman" w:hAnsi="Times New Roman"/>
                <w:color w:val="000000"/>
                <w:lang w:eastAsia="es-DO"/>
              </w:rPr>
              <w:t>17.78</w:t>
            </w:r>
            <w:r w:rsidR="00366DEE" w:rsidRPr="005C3096">
              <w:rPr>
                <w:rFonts w:ascii="Times New Roman" w:hAnsi="Times New Roman"/>
                <w:color w:val="000000"/>
                <w:lang w:eastAsia="es-DO"/>
              </w:rPr>
              <w:t>%</w:t>
            </w:r>
          </w:p>
        </w:tc>
      </w:tr>
      <w:tr w:rsidR="00366DEE" w:rsidRPr="005C3096" w14:paraId="038DA371" w14:textId="77777777" w:rsidTr="002102B4">
        <w:trPr>
          <w:trHeight w:val="945"/>
        </w:trPr>
        <w:tc>
          <w:tcPr>
            <w:tcW w:w="396" w:type="pct"/>
            <w:tcBorders>
              <w:top w:val="nil"/>
              <w:left w:val="single" w:sz="4" w:space="0" w:color="auto"/>
              <w:bottom w:val="single" w:sz="4" w:space="0" w:color="auto"/>
              <w:right w:val="single" w:sz="4" w:space="0" w:color="auto"/>
            </w:tcBorders>
            <w:shd w:val="clear" w:color="auto" w:fill="FFFFFF" w:themeFill="background1"/>
            <w:vAlign w:val="center"/>
            <w:hideMark/>
          </w:tcPr>
          <w:p w14:paraId="10D195AA" w14:textId="77777777" w:rsidR="00366DEE" w:rsidRPr="005C3096" w:rsidRDefault="00366DEE" w:rsidP="002102B4">
            <w:pPr>
              <w:spacing w:after="0"/>
              <w:ind w:leftChars="-1" w:hangingChars="1" w:hanging="2"/>
              <w:jc w:val="center"/>
              <w:rPr>
                <w:rFonts w:ascii="Times New Roman" w:hAnsi="Times New Roman"/>
                <w:color w:val="000000"/>
                <w:lang w:eastAsia="es-DO"/>
              </w:rPr>
            </w:pPr>
            <w:r w:rsidRPr="005C3096">
              <w:rPr>
                <w:rFonts w:ascii="Times New Roman" w:hAnsi="Times New Roman"/>
                <w:color w:val="000000"/>
                <w:lang w:eastAsia="es-DO"/>
              </w:rPr>
              <w:t>5</w:t>
            </w:r>
          </w:p>
        </w:tc>
        <w:tc>
          <w:tcPr>
            <w:tcW w:w="867" w:type="pct"/>
            <w:tcBorders>
              <w:top w:val="nil"/>
              <w:left w:val="nil"/>
              <w:bottom w:val="single" w:sz="4" w:space="0" w:color="auto"/>
              <w:right w:val="single" w:sz="4" w:space="0" w:color="auto"/>
            </w:tcBorders>
            <w:shd w:val="clear" w:color="auto" w:fill="FFFFFF" w:themeFill="background1"/>
            <w:vAlign w:val="center"/>
            <w:hideMark/>
          </w:tcPr>
          <w:p w14:paraId="53675786" w14:textId="77777777" w:rsidR="00366DEE" w:rsidRPr="005C3096" w:rsidRDefault="00366DEE" w:rsidP="00B0170C">
            <w:pPr>
              <w:spacing w:after="0"/>
              <w:rPr>
                <w:rFonts w:ascii="Times New Roman" w:hAnsi="Times New Roman"/>
                <w:color w:val="000000"/>
                <w:lang w:eastAsia="es-DO"/>
              </w:rPr>
            </w:pPr>
            <w:r w:rsidRPr="005C3096">
              <w:rPr>
                <w:rFonts w:ascii="Times New Roman" w:hAnsi="Times New Roman"/>
                <w:color w:val="000000"/>
                <w:lang w:eastAsia="es-DO"/>
              </w:rPr>
              <w:t>Monitoreo y Evaluación</w:t>
            </w:r>
          </w:p>
        </w:tc>
        <w:tc>
          <w:tcPr>
            <w:tcW w:w="2233" w:type="pct"/>
            <w:tcBorders>
              <w:top w:val="nil"/>
              <w:left w:val="nil"/>
              <w:bottom w:val="single" w:sz="4" w:space="0" w:color="auto"/>
              <w:right w:val="single" w:sz="4" w:space="0" w:color="auto"/>
            </w:tcBorders>
            <w:shd w:val="clear" w:color="auto" w:fill="FFFFFF" w:themeFill="background1"/>
            <w:vAlign w:val="center"/>
            <w:hideMark/>
          </w:tcPr>
          <w:p w14:paraId="3E95956F" w14:textId="77777777" w:rsidR="00366DEE" w:rsidRPr="005C3096" w:rsidRDefault="00366DEE" w:rsidP="00B0170C">
            <w:pPr>
              <w:spacing w:after="0"/>
              <w:rPr>
                <w:rFonts w:ascii="Times New Roman" w:hAnsi="Times New Roman"/>
                <w:color w:val="000000"/>
                <w:lang w:eastAsia="es-DO"/>
              </w:rPr>
            </w:pPr>
            <w:r w:rsidRPr="005C3096">
              <w:rPr>
                <w:rFonts w:ascii="Times New Roman" w:hAnsi="Times New Roman"/>
                <w:color w:val="000000"/>
                <w:lang w:eastAsia="es-DO"/>
              </w:rPr>
              <w:t>Este indicador mide el grado en se han implementado mecanismos de supervisión con la finalidad de asegurar que el sistema de control interno opere adecuadamente de manera continua.</w:t>
            </w:r>
          </w:p>
        </w:tc>
        <w:tc>
          <w:tcPr>
            <w:tcW w:w="828" w:type="pct"/>
            <w:tcBorders>
              <w:top w:val="nil"/>
              <w:left w:val="nil"/>
              <w:bottom w:val="single" w:sz="4" w:space="0" w:color="auto"/>
              <w:right w:val="single" w:sz="4" w:space="0" w:color="auto"/>
            </w:tcBorders>
            <w:shd w:val="clear" w:color="auto" w:fill="FFFFFF" w:themeFill="background1"/>
            <w:vAlign w:val="center"/>
            <w:hideMark/>
          </w:tcPr>
          <w:p w14:paraId="0B92906E" w14:textId="2D994989" w:rsidR="00366DEE" w:rsidRPr="005C3096" w:rsidRDefault="00640974" w:rsidP="00B0170C">
            <w:pPr>
              <w:spacing w:after="0"/>
              <w:jc w:val="center"/>
              <w:rPr>
                <w:rFonts w:ascii="Times New Roman" w:hAnsi="Times New Roman"/>
                <w:color w:val="000000"/>
                <w:lang w:eastAsia="es-DO"/>
              </w:rPr>
            </w:pPr>
            <w:r>
              <w:rPr>
                <w:rFonts w:ascii="Times New Roman" w:hAnsi="Times New Roman"/>
                <w:color w:val="000000"/>
                <w:lang w:eastAsia="es-DO"/>
              </w:rPr>
              <w:t>2</w:t>
            </w:r>
            <w:r w:rsidR="00366DEE" w:rsidRPr="005C3096">
              <w:rPr>
                <w:rFonts w:ascii="Times New Roman" w:hAnsi="Times New Roman"/>
                <w:color w:val="000000"/>
                <w:lang w:eastAsia="es-DO"/>
              </w:rPr>
              <w:t>0%</w:t>
            </w:r>
          </w:p>
        </w:tc>
        <w:tc>
          <w:tcPr>
            <w:tcW w:w="676" w:type="pct"/>
            <w:tcBorders>
              <w:top w:val="nil"/>
              <w:left w:val="nil"/>
              <w:bottom w:val="single" w:sz="4" w:space="0" w:color="auto"/>
              <w:right w:val="single" w:sz="4" w:space="0" w:color="auto"/>
            </w:tcBorders>
            <w:shd w:val="clear" w:color="auto" w:fill="FFFFFF" w:themeFill="background1"/>
            <w:vAlign w:val="center"/>
            <w:hideMark/>
          </w:tcPr>
          <w:p w14:paraId="10BB7BEB" w14:textId="090B1A2B" w:rsidR="00366DEE" w:rsidRPr="005C3096" w:rsidRDefault="00640974" w:rsidP="00B0170C">
            <w:pPr>
              <w:spacing w:after="0"/>
              <w:jc w:val="center"/>
              <w:rPr>
                <w:rFonts w:ascii="Times New Roman" w:hAnsi="Times New Roman"/>
                <w:color w:val="000000"/>
                <w:lang w:eastAsia="es-DO"/>
              </w:rPr>
            </w:pPr>
            <w:r>
              <w:rPr>
                <w:rFonts w:ascii="Times New Roman" w:hAnsi="Times New Roman"/>
                <w:color w:val="000000"/>
                <w:lang w:eastAsia="es-DO"/>
              </w:rPr>
              <w:t>20.00</w:t>
            </w:r>
            <w:r w:rsidR="00366DEE" w:rsidRPr="005C3096">
              <w:rPr>
                <w:rFonts w:ascii="Times New Roman" w:hAnsi="Times New Roman"/>
                <w:color w:val="000000"/>
                <w:lang w:eastAsia="es-DO"/>
              </w:rPr>
              <w:t>%</w:t>
            </w:r>
          </w:p>
        </w:tc>
      </w:tr>
      <w:tr w:rsidR="00366DEE" w:rsidRPr="005C3096" w14:paraId="4FE3C6F6" w14:textId="77777777" w:rsidTr="00646828">
        <w:trPr>
          <w:trHeight w:val="315"/>
        </w:trPr>
        <w:tc>
          <w:tcPr>
            <w:tcW w:w="3496" w:type="pct"/>
            <w:gridSpan w:val="3"/>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6BC3DAF3" w14:textId="77777777" w:rsidR="00366DEE" w:rsidRPr="00646828" w:rsidRDefault="007D28EB" w:rsidP="00B10A65">
            <w:pPr>
              <w:spacing w:after="0"/>
              <w:ind w:firstLineChars="100" w:firstLine="241"/>
              <w:jc w:val="right"/>
              <w:rPr>
                <w:rFonts w:ascii="Times New Roman" w:hAnsi="Times New Roman"/>
                <w:b/>
                <w:bCs/>
                <w:color w:val="FFFFFF" w:themeColor="background1"/>
                <w:lang w:eastAsia="es-DO"/>
              </w:rPr>
            </w:pPr>
            <w:r w:rsidRPr="00646828">
              <w:rPr>
                <w:rFonts w:ascii="Times New Roman" w:hAnsi="Times New Roman"/>
                <w:b/>
                <w:bCs/>
                <w:color w:val="FFFFFF" w:themeColor="background1"/>
                <w:lang w:eastAsia="es-DO"/>
              </w:rPr>
              <w:t>Total</w:t>
            </w:r>
            <w:r w:rsidR="00366DEE" w:rsidRPr="00646828">
              <w:rPr>
                <w:rFonts w:ascii="Times New Roman" w:hAnsi="Times New Roman"/>
                <w:b/>
                <w:bCs/>
                <w:color w:val="FFFFFF" w:themeColor="background1"/>
                <w:lang w:eastAsia="es-DO"/>
              </w:rPr>
              <w:t xml:space="preserve"> </w:t>
            </w:r>
          </w:p>
        </w:tc>
        <w:tc>
          <w:tcPr>
            <w:tcW w:w="828" w:type="pct"/>
            <w:tcBorders>
              <w:top w:val="nil"/>
              <w:left w:val="nil"/>
              <w:bottom w:val="single" w:sz="4" w:space="0" w:color="auto"/>
              <w:right w:val="single" w:sz="4" w:space="0" w:color="auto"/>
            </w:tcBorders>
            <w:shd w:val="clear" w:color="auto" w:fill="808080" w:themeFill="background1" w:themeFillShade="80"/>
            <w:vAlign w:val="center"/>
            <w:hideMark/>
          </w:tcPr>
          <w:p w14:paraId="53B37F42" w14:textId="77777777" w:rsidR="00366DEE" w:rsidRPr="00646828" w:rsidRDefault="00366DEE" w:rsidP="00B0170C">
            <w:pPr>
              <w:spacing w:after="0"/>
              <w:jc w:val="center"/>
              <w:rPr>
                <w:rFonts w:ascii="Times New Roman" w:hAnsi="Times New Roman"/>
                <w:b/>
                <w:bCs/>
                <w:color w:val="FFFFFF" w:themeColor="background1"/>
                <w:lang w:eastAsia="es-DO"/>
              </w:rPr>
            </w:pPr>
            <w:r w:rsidRPr="00646828">
              <w:rPr>
                <w:rFonts w:ascii="Times New Roman" w:hAnsi="Times New Roman"/>
                <w:b/>
                <w:bCs/>
                <w:color w:val="FFFFFF" w:themeColor="background1"/>
                <w:lang w:eastAsia="es-DO"/>
              </w:rPr>
              <w:t>100%</w:t>
            </w:r>
          </w:p>
        </w:tc>
        <w:tc>
          <w:tcPr>
            <w:tcW w:w="676" w:type="pct"/>
            <w:tcBorders>
              <w:top w:val="nil"/>
              <w:left w:val="nil"/>
              <w:bottom w:val="single" w:sz="4" w:space="0" w:color="auto"/>
              <w:right w:val="single" w:sz="4" w:space="0" w:color="auto"/>
            </w:tcBorders>
            <w:shd w:val="clear" w:color="auto" w:fill="808080" w:themeFill="background1" w:themeFillShade="80"/>
            <w:vAlign w:val="center"/>
            <w:hideMark/>
          </w:tcPr>
          <w:p w14:paraId="2825DEDF" w14:textId="7991F594" w:rsidR="00366DEE" w:rsidRPr="00646828" w:rsidRDefault="00640974" w:rsidP="00B0170C">
            <w:pPr>
              <w:spacing w:after="0"/>
              <w:jc w:val="center"/>
              <w:rPr>
                <w:rFonts w:ascii="Times New Roman" w:hAnsi="Times New Roman"/>
                <w:b/>
                <w:bCs/>
                <w:color w:val="FFFFFF" w:themeColor="background1"/>
                <w:lang w:eastAsia="es-DO"/>
              </w:rPr>
            </w:pPr>
            <w:r>
              <w:rPr>
                <w:rFonts w:ascii="Times New Roman" w:hAnsi="Times New Roman"/>
                <w:b/>
                <w:bCs/>
                <w:color w:val="FFFFFF" w:themeColor="background1"/>
                <w:lang w:eastAsia="es-DO"/>
              </w:rPr>
              <w:t>95.93</w:t>
            </w:r>
            <w:r w:rsidR="00366DEE" w:rsidRPr="00646828">
              <w:rPr>
                <w:rFonts w:ascii="Times New Roman" w:hAnsi="Times New Roman"/>
                <w:b/>
                <w:bCs/>
                <w:color w:val="FFFFFF" w:themeColor="background1"/>
                <w:lang w:eastAsia="es-DO"/>
              </w:rPr>
              <w:t>%</w:t>
            </w:r>
          </w:p>
        </w:tc>
      </w:tr>
    </w:tbl>
    <w:p w14:paraId="618E34A5" w14:textId="77777777" w:rsidR="002F0F07" w:rsidRDefault="002F0F07">
      <w:pPr>
        <w:spacing w:after="0"/>
        <w:rPr>
          <w:rFonts w:ascii="Times New Roman" w:hAnsi="Times New Roman"/>
          <w:lang w:val="es-ES_tradnl"/>
        </w:rPr>
      </w:pPr>
      <w:r>
        <w:rPr>
          <w:rFonts w:ascii="Times New Roman" w:hAnsi="Times New Roman"/>
          <w:lang w:val="es-ES_tradnl"/>
        </w:rPr>
        <w:br w:type="page"/>
      </w:r>
    </w:p>
    <w:p w14:paraId="69EEBC5A" w14:textId="77777777" w:rsidR="00640974" w:rsidRPr="00640974" w:rsidRDefault="00640974" w:rsidP="001C6B1A">
      <w:pPr>
        <w:pStyle w:val="Prrafodelista"/>
        <w:numPr>
          <w:ilvl w:val="0"/>
          <w:numId w:val="8"/>
        </w:numPr>
        <w:spacing w:after="0" w:line="360" w:lineRule="auto"/>
        <w:ind w:left="1783" w:hanging="1499"/>
        <w:jc w:val="both"/>
        <w:rPr>
          <w:rFonts w:ascii="Times New Roman" w:hAnsi="Times New Roman"/>
          <w:sz w:val="24"/>
          <w:szCs w:val="24"/>
        </w:rPr>
      </w:pPr>
      <w:r w:rsidRPr="00640974">
        <w:rPr>
          <w:rFonts w:ascii="Times New Roman" w:hAnsi="Times New Roman"/>
          <w:b/>
          <w:sz w:val="24"/>
          <w:szCs w:val="24"/>
          <w:lang w:val="es-ES_tradnl"/>
        </w:rPr>
        <w:lastRenderedPageBreak/>
        <w:t>Resultado</w:t>
      </w:r>
      <w:r w:rsidRPr="00640974">
        <w:rPr>
          <w:rFonts w:ascii="Times New Roman" w:hAnsi="Times New Roman"/>
          <w:b/>
          <w:bCs/>
          <w:sz w:val="24"/>
          <w:szCs w:val="24"/>
        </w:rPr>
        <w:t xml:space="preserve"> i</w:t>
      </w:r>
      <w:r w:rsidRPr="00640974">
        <w:rPr>
          <w:rFonts w:ascii="Times New Roman" w:eastAsia="Times New Roman" w:hAnsi="Times New Roman"/>
          <w:b/>
          <w:bCs/>
          <w:sz w:val="24"/>
          <w:szCs w:val="24"/>
        </w:rPr>
        <w:t>mplementación de las Normas Básicas de Control Interno (NOBACI)</w:t>
      </w:r>
      <w:r w:rsidRPr="00640974">
        <w:rPr>
          <w:rFonts w:ascii="Times New Roman" w:hAnsi="Times New Roman"/>
          <w:b/>
          <w:bCs/>
          <w:sz w:val="24"/>
          <w:szCs w:val="24"/>
        </w:rPr>
        <w:t>, por trimestres 2019</w:t>
      </w:r>
    </w:p>
    <w:p w14:paraId="3101E7C1" w14:textId="296E1565" w:rsidR="00640974" w:rsidRDefault="00640974" w:rsidP="00366DEE">
      <w:pPr>
        <w:spacing w:after="0" w:line="480" w:lineRule="auto"/>
        <w:jc w:val="both"/>
        <w:rPr>
          <w:rFonts w:ascii="Times New Roman" w:hAnsi="Times New Roman"/>
          <w:lang w:val="es-ES_tradnl"/>
        </w:rPr>
      </w:pPr>
      <w:r>
        <w:rPr>
          <w:noProof/>
          <w:lang w:eastAsia="es-DO"/>
        </w:rPr>
        <w:drawing>
          <wp:inline distT="0" distB="0" distL="0" distR="0" wp14:anchorId="574E63DF" wp14:editId="501E2D85">
            <wp:extent cx="5029200" cy="2743200"/>
            <wp:effectExtent l="0" t="0" r="0" b="0"/>
            <wp:docPr id="169" name="Gráfico 169"/>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7F377AC3" w14:textId="77777777" w:rsidR="0045254A" w:rsidRDefault="0045254A" w:rsidP="00366DEE">
      <w:pPr>
        <w:spacing w:after="0" w:line="480" w:lineRule="auto"/>
        <w:jc w:val="both"/>
        <w:rPr>
          <w:rFonts w:ascii="Times New Roman" w:hAnsi="Times New Roman"/>
          <w:lang w:val="es-ES_tradnl"/>
        </w:rPr>
      </w:pPr>
    </w:p>
    <w:p w14:paraId="46C64310" w14:textId="012C40CB" w:rsidR="00640974" w:rsidRPr="00640974" w:rsidRDefault="00640974" w:rsidP="001C6B1A">
      <w:pPr>
        <w:pStyle w:val="Prrafodelista"/>
        <w:numPr>
          <w:ilvl w:val="0"/>
          <w:numId w:val="8"/>
        </w:numPr>
        <w:spacing w:after="0" w:line="360" w:lineRule="auto"/>
        <w:ind w:left="1783" w:hanging="1499"/>
        <w:rPr>
          <w:rFonts w:ascii="Times New Roman" w:hAnsi="Times New Roman"/>
          <w:sz w:val="24"/>
          <w:szCs w:val="24"/>
        </w:rPr>
      </w:pPr>
      <w:r w:rsidRPr="00640974">
        <w:rPr>
          <w:rFonts w:ascii="Times New Roman" w:hAnsi="Times New Roman"/>
          <w:b/>
          <w:sz w:val="24"/>
          <w:szCs w:val="24"/>
          <w:lang w:val="es-ES_tradnl"/>
        </w:rPr>
        <w:t>Resultado</w:t>
      </w:r>
      <w:r>
        <w:rPr>
          <w:rFonts w:ascii="Times New Roman" w:hAnsi="Times New Roman"/>
          <w:b/>
          <w:sz w:val="24"/>
          <w:szCs w:val="24"/>
          <w:lang w:val="es-ES_tradnl"/>
        </w:rPr>
        <w:t xml:space="preserve"> </w:t>
      </w:r>
      <w:r w:rsidRPr="00640974">
        <w:rPr>
          <w:rFonts w:ascii="Times New Roman" w:eastAsia="Times New Roman" w:hAnsi="Times New Roman"/>
          <w:b/>
          <w:bCs/>
          <w:sz w:val="24"/>
          <w:szCs w:val="24"/>
        </w:rPr>
        <w:t>NOBACI</w:t>
      </w:r>
      <w:r w:rsidRPr="00640974">
        <w:rPr>
          <w:rFonts w:ascii="Times New Roman" w:hAnsi="Times New Roman"/>
          <w:b/>
          <w:bCs/>
          <w:sz w:val="24"/>
          <w:szCs w:val="24"/>
        </w:rPr>
        <w:t xml:space="preserve">, por </w:t>
      </w:r>
      <w:r>
        <w:rPr>
          <w:rFonts w:ascii="Times New Roman" w:hAnsi="Times New Roman"/>
          <w:b/>
          <w:bCs/>
          <w:sz w:val="24"/>
          <w:szCs w:val="24"/>
        </w:rPr>
        <w:t xml:space="preserve">componentes </w:t>
      </w:r>
      <w:r w:rsidRPr="00640974">
        <w:rPr>
          <w:rFonts w:ascii="Times New Roman" w:hAnsi="Times New Roman"/>
          <w:b/>
          <w:bCs/>
          <w:sz w:val="24"/>
          <w:szCs w:val="24"/>
        </w:rPr>
        <w:t>2019</w:t>
      </w:r>
    </w:p>
    <w:p w14:paraId="05C07484" w14:textId="6DB1B751" w:rsidR="00640974" w:rsidRDefault="00640974" w:rsidP="00366DEE">
      <w:pPr>
        <w:spacing w:after="0" w:line="480" w:lineRule="auto"/>
        <w:jc w:val="both"/>
        <w:rPr>
          <w:rFonts w:ascii="Times New Roman" w:hAnsi="Times New Roman"/>
          <w:lang w:val="es-ES_tradnl"/>
        </w:rPr>
      </w:pPr>
      <w:r>
        <w:rPr>
          <w:noProof/>
          <w:lang w:eastAsia="es-DO"/>
        </w:rPr>
        <w:drawing>
          <wp:inline distT="0" distB="0" distL="0" distR="0" wp14:anchorId="55D29F00" wp14:editId="14BE36E8">
            <wp:extent cx="5029200" cy="3336966"/>
            <wp:effectExtent l="0" t="0" r="0" b="0"/>
            <wp:docPr id="171" name="Gráfico 17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232BC80B" w14:textId="35A24789" w:rsidR="003A6CAF" w:rsidRDefault="003A6CAF">
      <w:pPr>
        <w:spacing w:after="0"/>
        <w:rPr>
          <w:rFonts w:ascii="Times New Roman" w:hAnsi="Times New Roman"/>
          <w:lang w:val="es-ES_tradnl"/>
        </w:rPr>
      </w:pPr>
      <w:r>
        <w:rPr>
          <w:rFonts w:ascii="Times New Roman" w:hAnsi="Times New Roman"/>
          <w:lang w:val="es-ES_tradnl"/>
        </w:rPr>
        <w:br w:type="page"/>
      </w:r>
    </w:p>
    <w:p w14:paraId="7910C268" w14:textId="0013FD92" w:rsidR="00366DEE" w:rsidRDefault="00366DEE" w:rsidP="00954002">
      <w:pPr>
        <w:pStyle w:val="Ttulo2"/>
      </w:pPr>
      <w:bookmarkStart w:id="377" w:name="_Toc26292096"/>
      <w:bookmarkStart w:id="378" w:name="_Toc27146828"/>
      <w:r>
        <w:lastRenderedPageBreak/>
        <w:t>f</w:t>
      </w:r>
      <w:r w:rsidRPr="0098414F">
        <w:t xml:space="preserve">) </w:t>
      </w:r>
      <w:r w:rsidR="00646828">
        <w:t>indicador sobre c</w:t>
      </w:r>
      <w:r>
        <w:t>umplimiento de la Ley no. 200-04, sobre Libre Acceso a la Información Pública.</w:t>
      </w:r>
      <w:bookmarkEnd w:id="377"/>
      <w:bookmarkEnd w:id="378"/>
    </w:p>
    <w:p w14:paraId="4B34F43C" w14:textId="77777777" w:rsidR="003A6CAF" w:rsidRDefault="003A6CAF" w:rsidP="00366DEE">
      <w:pPr>
        <w:spacing w:after="0" w:line="480" w:lineRule="auto"/>
        <w:ind w:firstLine="720"/>
        <w:jc w:val="both"/>
        <w:rPr>
          <w:rFonts w:ascii="Times New Roman" w:hAnsi="Times New Roman"/>
          <w:lang w:val="es-ES_tradnl"/>
        </w:rPr>
      </w:pPr>
    </w:p>
    <w:p w14:paraId="12FF10E3" w14:textId="77777777" w:rsidR="00211B2F" w:rsidRDefault="00366DEE" w:rsidP="00366DEE">
      <w:pPr>
        <w:spacing w:after="0" w:line="480" w:lineRule="auto"/>
        <w:ind w:firstLine="720"/>
        <w:jc w:val="both"/>
        <w:rPr>
          <w:rFonts w:ascii="Times New Roman" w:hAnsi="Times New Roman"/>
          <w:lang w:val="es-ES_tradnl"/>
        </w:rPr>
      </w:pPr>
      <w:r w:rsidRPr="00004AE2">
        <w:rPr>
          <w:rFonts w:ascii="Times New Roman" w:hAnsi="Times New Roman"/>
          <w:lang w:val="es-ES_tradnl"/>
        </w:rPr>
        <w:t>Atendiendo a los compromisos presidenciales la dirección general de ética e integridad gubernamental (DIGEIG), organismo creado mediante el decreto 486-12, en el año 2012, con la finalidad de ser el órgano rector en materia de ética, transparencia, gobierno abierto, lucha contra la corrupción, conflicto de interés y libre acceso a la información en el ámbi</w:t>
      </w:r>
      <w:r w:rsidR="00211B2F">
        <w:rPr>
          <w:rFonts w:ascii="Times New Roman" w:hAnsi="Times New Roman"/>
          <w:lang w:val="es-ES_tradnl"/>
        </w:rPr>
        <w:t>to administrativo gubernamental.</w:t>
      </w:r>
    </w:p>
    <w:p w14:paraId="5E3786BD" w14:textId="77777777" w:rsidR="000620FA" w:rsidRDefault="000620FA" w:rsidP="00366DEE">
      <w:pPr>
        <w:spacing w:after="0" w:line="480" w:lineRule="auto"/>
        <w:ind w:firstLine="720"/>
        <w:jc w:val="both"/>
        <w:rPr>
          <w:rFonts w:ascii="Times New Roman" w:hAnsi="Times New Roman"/>
          <w:lang w:val="es-ES_tradnl"/>
        </w:rPr>
      </w:pPr>
    </w:p>
    <w:p w14:paraId="1338FC4B" w14:textId="77777777" w:rsidR="00366DEE" w:rsidRPr="00004AE2" w:rsidRDefault="00211B2F" w:rsidP="00366DEE">
      <w:pPr>
        <w:spacing w:after="0" w:line="480" w:lineRule="auto"/>
        <w:ind w:firstLine="720"/>
        <w:jc w:val="both"/>
        <w:rPr>
          <w:rFonts w:ascii="Times New Roman" w:hAnsi="Times New Roman"/>
          <w:lang w:val="es-ES_tradnl"/>
        </w:rPr>
      </w:pPr>
      <w:r>
        <w:rPr>
          <w:rFonts w:ascii="Times New Roman" w:hAnsi="Times New Roman"/>
          <w:lang w:val="es-ES_tradnl"/>
        </w:rPr>
        <w:t>D</w:t>
      </w:r>
      <w:r w:rsidR="00366DEE" w:rsidRPr="00004AE2">
        <w:rPr>
          <w:rFonts w:ascii="Times New Roman" w:hAnsi="Times New Roman"/>
          <w:lang w:val="es-ES_tradnl"/>
        </w:rPr>
        <w:t>entro de sus facultades debe asegurar que las instituciones visibilicen la información de Libre Acceso a la Información Publica basado en una cultura de transparencia en cumplimiento de la ley 200-04, en ese sentido se logró avanzar en un 76.90% en este indicador.</w:t>
      </w:r>
    </w:p>
    <w:p w14:paraId="0C3397D9" w14:textId="77777777" w:rsidR="00366DEE" w:rsidRPr="00383FC5" w:rsidRDefault="00366DEE" w:rsidP="00366DEE">
      <w:pPr>
        <w:spacing w:after="0" w:line="480" w:lineRule="auto"/>
        <w:ind w:firstLine="720"/>
        <w:jc w:val="both"/>
        <w:rPr>
          <w:rFonts w:ascii="Times New Roman" w:hAnsi="Times New Roman"/>
          <w:color w:val="4F81BD" w:themeColor="accent1"/>
          <w:lang w:eastAsia="es-DO"/>
        </w:rPr>
      </w:pPr>
    </w:p>
    <w:p w14:paraId="32552810" w14:textId="77777777" w:rsidR="00AA5897" w:rsidRPr="00646828" w:rsidRDefault="00AA5897" w:rsidP="001C6B1A">
      <w:pPr>
        <w:pStyle w:val="Prrafodelista"/>
        <w:numPr>
          <w:ilvl w:val="0"/>
          <w:numId w:val="9"/>
        </w:numPr>
        <w:spacing w:after="0" w:line="240" w:lineRule="auto"/>
        <w:ind w:left="567" w:hanging="567"/>
        <w:rPr>
          <w:rFonts w:ascii="Times New Roman" w:hAnsi="Times New Roman"/>
          <w:color w:val="4F81BD" w:themeColor="accent1"/>
          <w:lang w:val="es-ES_tradnl"/>
        </w:rPr>
      </w:pPr>
      <w:r w:rsidRPr="002B05F3">
        <w:rPr>
          <w:rFonts w:ascii="Times New Roman" w:hAnsi="Times New Roman"/>
          <w:b/>
          <w:sz w:val="24"/>
          <w:lang w:val="es-ES_tradnl"/>
        </w:rPr>
        <w:t xml:space="preserve">Resultado del Indicador </w:t>
      </w:r>
      <w:r>
        <w:rPr>
          <w:rFonts w:ascii="Times New Roman" w:hAnsi="Times New Roman"/>
          <w:b/>
          <w:sz w:val="24"/>
          <w:lang w:val="es-ES_tradnl"/>
        </w:rPr>
        <w:t>Cumplimiento Ley no. 200-04</w:t>
      </w:r>
    </w:p>
    <w:p w14:paraId="64CBCA68" w14:textId="77777777" w:rsidR="00646828" w:rsidRPr="002B05F3" w:rsidRDefault="00646828" w:rsidP="00646828">
      <w:pPr>
        <w:pStyle w:val="Prrafodelista"/>
        <w:spacing w:after="0" w:line="240" w:lineRule="auto"/>
        <w:ind w:left="567"/>
        <w:rPr>
          <w:rFonts w:ascii="Times New Roman" w:hAnsi="Times New Roman"/>
          <w:color w:val="4F81BD" w:themeColor="accent1"/>
          <w:lang w:val="es-ES_tradnl"/>
        </w:rPr>
      </w:pPr>
    </w:p>
    <w:tbl>
      <w:tblPr>
        <w:tblW w:w="5828"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20" w:firstRow="1" w:lastRow="0" w:firstColumn="0" w:lastColumn="0" w:noHBand="0" w:noVBand="1"/>
      </w:tblPr>
      <w:tblGrid>
        <w:gridCol w:w="516"/>
        <w:gridCol w:w="5836"/>
        <w:gridCol w:w="1435"/>
        <w:gridCol w:w="1433"/>
      </w:tblGrid>
      <w:tr w:rsidR="00AA5897" w:rsidRPr="00716385" w14:paraId="75A81E2B" w14:textId="77777777" w:rsidTr="00646828">
        <w:trPr>
          <w:trHeight w:val="435"/>
        </w:trPr>
        <w:tc>
          <w:tcPr>
            <w:tcW w:w="280" w:type="pct"/>
            <w:shd w:val="clear" w:color="auto" w:fill="00B050"/>
            <w:vAlign w:val="center"/>
            <w:hideMark/>
          </w:tcPr>
          <w:p w14:paraId="07EECB8D" w14:textId="77777777" w:rsidR="00AA5897" w:rsidRPr="00646828" w:rsidRDefault="00AA5897" w:rsidP="00B0170C">
            <w:pPr>
              <w:spacing w:after="0"/>
              <w:jc w:val="center"/>
              <w:rPr>
                <w:rFonts w:ascii="Times New Roman" w:hAnsi="Times New Roman"/>
                <w:b/>
                <w:bCs/>
                <w:color w:val="FFFFFF" w:themeColor="background1"/>
                <w:lang w:eastAsia="es-DO"/>
              </w:rPr>
            </w:pPr>
            <w:r w:rsidRPr="00646828">
              <w:rPr>
                <w:rFonts w:ascii="Times New Roman" w:hAnsi="Times New Roman"/>
                <w:b/>
                <w:bCs/>
                <w:color w:val="FFFFFF" w:themeColor="background1"/>
                <w:lang w:eastAsia="es-DO"/>
              </w:rPr>
              <w:t>No.</w:t>
            </w:r>
          </w:p>
        </w:tc>
        <w:tc>
          <w:tcPr>
            <w:tcW w:w="3165" w:type="pct"/>
            <w:shd w:val="clear" w:color="auto" w:fill="00B050"/>
            <w:vAlign w:val="center"/>
            <w:hideMark/>
          </w:tcPr>
          <w:p w14:paraId="6F039C9D" w14:textId="77777777" w:rsidR="00AA5897" w:rsidRPr="00646828" w:rsidRDefault="00AA5897" w:rsidP="00B0170C">
            <w:pPr>
              <w:spacing w:after="0"/>
              <w:jc w:val="center"/>
              <w:rPr>
                <w:rFonts w:ascii="Times New Roman" w:hAnsi="Times New Roman"/>
                <w:b/>
                <w:bCs/>
                <w:color w:val="FFFFFF" w:themeColor="background1"/>
                <w:lang w:eastAsia="es-DO"/>
              </w:rPr>
            </w:pPr>
            <w:r w:rsidRPr="00646828">
              <w:rPr>
                <w:rFonts w:ascii="Times New Roman" w:hAnsi="Times New Roman"/>
                <w:b/>
                <w:bCs/>
                <w:color w:val="FFFFFF" w:themeColor="background1"/>
                <w:lang w:eastAsia="es-DO"/>
              </w:rPr>
              <w:t xml:space="preserve">Sub-indicadores </w:t>
            </w:r>
          </w:p>
        </w:tc>
        <w:tc>
          <w:tcPr>
            <w:tcW w:w="778" w:type="pct"/>
            <w:shd w:val="clear" w:color="auto" w:fill="00B050"/>
            <w:vAlign w:val="center"/>
            <w:hideMark/>
          </w:tcPr>
          <w:p w14:paraId="789C1C4E" w14:textId="77777777" w:rsidR="00AA5897" w:rsidRPr="00646828" w:rsidRDefault="00AA5897" w:rsidP="00B0170C">
            <w:pPr>
              <w:spacing w:after="0"/>
              <w:jc w:val="center"/>
              <w:rPr>
                <w:rFonts w:ascii="Times New Roman" w:hAnsi="Times New Roman"/>
                <w:b/>
                <w:bCs/>
                <w:color w:val="FFFFFF" w:themeColor="background1"/>
                <w:lang w:eastAsia="es-DO"/>
              </w:rPr>
            </w:pPr>
            <w:r w:rsidRPr="00646828">
              <w:rPr>
                <w:rFonts w:ascii="Times New Roman" w:hAnsi="Times New Roman"/>
                <w:b/>
                <w:bCs/>
                <w:color w:val="FFFFFF" w:themeColor="background1"/>
                <w:lang w:eastAsia="es-DO"/>
              </w:rPr>
              <w:t>Ponderación</w:t>
            </w:r>
          </w:p>
        </w:tc>
        <w:tc>
          <w:tcPr>
            <w:tcW w:w="777" w:type="pct"/>
            <w:shd w:val="clear" w:color="auto" w:fill="00B050"/>
            <w:vAlign w:val="center"/>
          </w:tcPr>
          <w:p w14:paraId="17F6E47C" w14:textId="77777777" w:rsidR="00AA5897" w:rsidRPr="00646828" w:rsidRDefault="00AA5897" w:rsidP="00AA5897">
            <w:pPr>
              <w:spacing w:after="0"/>
              <w:jc w:val="center"/>
              <w:rPr>
                <w:rFonts w:ascii="Times New Roman" w:hAnsi="Times New Roman"/>
                <w:b/>
                <w:bCs/>
                <w:color w:val="FFFFFF" w:themeColor="background1"/>
                <w:lang w:eastAsia="es-DO"/>
              </w:rPr>
            </w:pPr>
            <w:r w:rsidRPr="00646828">
              <w:rPr>
                <w:rFonts w:ascii="Times New Roman" w:hAnsi="Times New Roman"/>
                <w:b/>
                <w:bCs/>
                <w:color w:val="FFFFFF" w:themeColor="background1"/>
                <w:lang w:eastAsia="es-DO"/>
              </w:rPr>
              <w:t>Resultado</w:t>
            </w:r>
          </w:p>
        </w:tc>
      </w:tr>
      <w:tr w:rsidR="00AA5897" w:rsidRPr="00716385" w14:paraId="60CE8500" w14:textId="77777777" w:rsidTr="00646828">
        <w:trPr>
          <w:trHeight w:val="77"/>
        </w:trPr>
        <w:tc>
          <w:tcPr>
            <w:tcW w:w="280" w:type="pct"/>
            <w:shd w:val="clear" w:color="auto" w:fill="FFFFFF" w:themeFill="background1"/>
            <w:vAlign w:val="center"/>
            <w:hideMark/>
          </w:tcPr>
          <w:p w14:paraId="4D9A4F81" w14:textId="77777777"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1</w:t>
            </w:r>
          </w:p>
        </w:tc>
        <w:tc>
          <w:tcPr>
            <w:tcW w:w="3165" w:type="pct"/>
            <w:shd w:val="clear" w:color="auto" w:fill="FFFFFF" w:themeFill="background1"/>
            <w:vAlign w:val="center"/>
            <w:hideMark/>
          </w:tcPr>
          <w:p w14:paraId="33E8F9AE" w14:textId="77777777" w:rsidR="00AA5897" w:rsidRPr="00716385" w:rsidRDefault="00AA5897" w:rsidP="00B0170C">
            <w:pPr>
              <w:spacing w:after="0"/>
              <w:rPr>
                <w:rFonts w:ascii="Times New Roman" w:hAnsi="Times New Roman"/>
                <w:lang w:eastAsia="es-DO"/>
              </w:rPr>
            </w:pPr>
            <w:r w:rsidRPr="00716385">
              <w:rPr>
                <w:rFonts w:ascii="Times New Roman" w:hAnsi="Times New Roman"/>
                <w:lang w:eastAsia="es-DO"/>
              </w:rPr>
              <w:t>Base legal, estructura y normativas</w:t>
            </w:r>
          </w:p>
        </w:tc>
        <w:tc>
          <w:tcPr>
            <w:tcW w:w="778" w:type="pct"/>
            <w:shd w:val="clear" w:color="auto" w:fill="FFFFFF" w:themeFill="background1"/>
            <w:vAlign w:val="center"/>
            <w:hideMark/>
          </w:tcPr>
          <w:p w14:paraId="0BBF5EAF" w14:textId="77777777"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4%</w:t>
            </w:r>
          </w:p>
        </w:tc>
        <w:tc>
          <w:tcPr>
            <w:tcW w:w="777" w:type="pct"/>
            <w:vMerge w:val="restart"/>
            <w:shd w:val="clear" w:color="auto" w:fill="FFFFFF" w:themeFill="background1"/>
          </w:tcPr>
          <w:p w14:paraId="47A00437" w14:textId="77777777" w:rsidR="00AA5897" w:rsidRPr="00716385" w:rsidRDefault="00AA5897" w:rsidP="00B0170C">
            <w:pPr>
              <w:spacing w:after="0"/>
              <w:jc w:val="center"/>
              <w:rPr>
                <w:rFonts w:ascii="Times New Roman" w:hAnsi="Times New Roman"/>
                <w:lang w:eastAsia="es-DO"/>
              </w:rPr>
            </w:pPr>
          </w:p>
        </w:tc>
      </w:tr>
      <w:tr w:rsidR="00AA5897" w:rsidRPr="00716385" w14:paraId="2630A9B8" w14:textId="77777777" w:rsidTr="00646828">
        <w:trPr>
          <w:trHeight w:val="77"/>
        </w:trPr>
        <w:tc>
          <w:tcPr>
            <w:tcW w:w="280" w:type="pct"/>
            <w:shd w:val="clear" w:color="auto" w:fill="FFFFFF" w:themeFill="background1"/>
            <w:vAlign w:val="center"/>
            <w:hideMark/>
          </w:tcPr>
          <w:p w14:paraId="6DD134BA" w14:textId="77777777"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2</w:t>
            </w:r>
          </w:p>
        </w:tc>
        <w:tc>
          <w:tcPr>
            <w:tcW w:w="3165" w:type="pct"/>
            <w:shd w:val="clear" w:color="auto" w:fill="FFFFFF" w:themeFill="background1"/>
            <w:vAlign w:val="center"/>
            <w:hideMark/>
          </w:tcPr>
          <w:p w14:paraId="0DE0BAB6" w14:textId="77777777" w:rsidR="00AA5897" w:rsidRPr="00716385" w:rsidRDefault="00AA5897" w:rsidP="00B0170C">
            <w:pPr>
              <w:spacing w:after="0"/>
              <w:rPr>
                <w:rFonts w:ascii="Times New Roman" w:hAnsi="Times New Roman"/>
                <w:lang w:eastAsia="es-DO"/>
              </w:rPr>
            </w:pPr>
            <w:r w:rsidRPr="00716385">
              <w:rPr>
                <w:rFonts w:ascii="Times New Roman" w:hAnsi="Times New Roman"/>
                <w:lang w:eastAsia="es-DO"/>
              </w:rPr>
              <w:t>Índice de transparencia, OAI y SAIP</w:t>
            </w:r>
          </w:p>
        </w:tc>
        <w:tc>
          <w:tcPr>
            <w:tcW w:w="778" w:type="pct"/>
            <w:shd w:val="clear" w:color="auto" w:fill="FFFFFF" w:themeFill="background1"/>
            <w:vAlign w:val="center"/>
            <w:hideMark/>
          </w:tcPr>
          <w:p w14:paraId="01678467" w14:textId="77777777"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17%</w:t>
            </w:r>
          </w:p>
        </w:tc>
        <w:tc>
          <w:tcPr>
            <w:tcW w:w="777" w:type="pct"/>
            <w:vMerge/>
            <w:shd w:val="clear" w:color="auto" w:fill="FFFFFF" w:themeFill="background1"/>
          </w:tcPr>
          <w:p w14:paraId="7B4F244D" w14:textId="77777777" w:rsidR="00AA5897" w:rsidRPr="00716385" w:rsidRDefault="00AA5897" w:rsidP="00B0170C">
            <w:pPr>
              <w:spacing w:after="0"/>
              <w:jc w:val="center"/>
              <w:rPr>
                <w:rFonts w:ascii="Times New Roman" w:hAnsi="Times New Roman"/>
                <w:lang w:eastAsia="es-DO"/>
              </w:rPr>
            </w:pPr>
          </w:p>
        </w:tc>
      </w:tr>
      <w:tr w:rsidR="00AA5897" w:rsidRPr="00716385" w14:paraId="6D06F652" w14:textId="77777777" w:rsidTr="00646828">
        <w:trPr>
          <w:trHeight w:val="77"/>
        </w:trPr>
        <w:tc>
          <w:tcPr>
            <w:tcW w:w="280" w:type="pct"/>
            <w:shd w:val="clear" w:color="auto" w:fill="FFFFFF" w:themeFill="background1"/>
            <w:vAlign w:val="center"/>
            <w:hideMark/>
          </w:tcPr>
          <w:p w14:paraId="33EBADB8" w14:textId="77777777"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3</w:t>
            </w:r>
          </w:p>
        </w:tc>
        <w:tc>
          <w:tcPr>
            <w:tcW w:w="3165" w:type="pct"/>
            <w:shd w:val="clear" w:color="auto" w:fill="FFFFFF" w:themeFill="background1"/>
            <w:vAlign w:val="center"/>
            <w:hideMark/>
          </w:tcPr>
          <w:p w14:paraId="73743652" w14:textId="77777777" w:rsidR="00AA5897" w:rsidRPr="00716385" w:rsidRDefault="00AA5897" w:rsidP="00B0170C">
            <w:pPr>
              <w:spacing w:after="0"/>
              <w:rPr>
                <w:rFonts w:ascii="Times New Roman" w:hAnsi="Times New Roman"/>
                <w:lang w:eastAsia="es-DO"/>
              </w:rPr>
            </w:pPr>
            <w:r w:rsidRPr="00716385">
              <w:rPr>
                <w:rFonts w:ascii="Times New Roman" w:hAnsi="Times New Roman"/>
                <w:lang w:eastAsia="es-DO"/>
              </w:rPr>
              <w:t>Planificación estratégica, servicios y estadísticas</w:t>
            </w:r>
          </w:p>
        </w:tc>
        <w:tc>
          <w:tcPr>
            <w:tcW w:w="778" w:type="pct"/>
            <w:shd w:val="clear" w:color="auto" w:fill="FFFFFF" w:themeFill="background1"/>
            <w:vAlign w:val="center"/>
            <w:hideMark/>
          </w:tcPr>
          <w:p w14:paraId="4C54D6C2" w14:textId="77777777"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7%</w:t>
            </w:r>
          </w:p>
        </w:tc>
        <w:tc>
          <w:tcPr>
            <w:tcW w:w="777" w:type="pct"/>
            <w:vMerge/>
            <w:shd w:val="clear" w:color="auto" w:fill="FFFFFF" w:themeFill="background1"/>
          </w:tcPr>
          <w:p w14:paraId="6DBFAAC3" w14:textId="77777777" w:rsidR="00AA5897" w:rsidRPr="00716385" w:rsidRDefault="00AA5897" w:rsidP="00B0170C">
            <w:pPr>
              <w:spacing w:after="0"/>
              <w:jc w:val="center"/>
              <w:rPr>
                <w:rFonts w:ascii="Times New Roman" w:hAnsi="Times New Roman"/>
                <w:lang w:eastAsia="es-DO"/>
              </w:rPr>
            </w:pPr>
          </w:p>
        </w:tc>
      </w:tr>
      <w:tr w:rsidR="00AA5897" w:rsidRPr="00716385" w14:paraId="0BD00B08" w14:textId="77777777" w:rsidTr="00646828">
        <w:trPr>
          <w:trHeight w:val="77"/>
        </w:trPr>
        <w:tc>
          <w:tcPr>
            <w:tcW w:w="280" w:type="pct"/>
            <w:shd w:val="clear" w:color="auto" w:fill="FFFFFF" w:themeFill="background1"/>
            <w:vAlign w:val="center"/>
            <w:hideMark/>
          </w:tcPr>
          <w:p w14:paraId="3F248ED1" w14:textId="77777777"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4</w:t>
            </w:r>
          </w:p>
        </w:tc>
        <w:tc>
          <w:tcPr>
            <w:tcW w:w="3165" w:type="pct"/>
            <w:shd w:val="clear" w:color="auto" w:fill="FFFFFF" w:themeFill="background1"/>
            <w:vAlign w:val="center"/>
            <w:hideMark/>
          </w:tcPr>
          <w:p w14:paraId="7887B878" w14:textId="77777777" w:rsidR="00AA5897" w:rsidRPr="00716385" w:rsidRDefault="00AA5897" w:rsidP="00AA5897">
            <w:pPr>
              <w:spacing w:after="0"/>
              <w:rPr>
                <w:rFonts w:ascii="Times New Roman" w:hAnsi="Times New Roman"/>
                <w:lang w:eastAsia="es-DO"/>
              </w:rPr>
            </w:pPr>
            <w:r w:rsidRPr="00716385">
              <w:rPr>
                <w:rFonts w:ascii="Times New Roman" w:hAnsi="Times New Roman"/>
                <w:lang w:eastAsia="es-DO"/>
              </w:rPr>
              <w:t xml:space="preserve">Portales: </w:t>
            </w:r>
            <w:r>
              <w:rPr>
                <w:rFonts w:ascii="Times New Roman" w:hAnsi="Times New Roman"/>
                <w:lang w:eastAsia="es-DO"/>
              </w:rPr>
              <w:t>d</w:t>
            </w:r>
            <w:r w:rsidRPr="00716385">
              <w:rPr>
                <w:rFonts w:ascii="Times New Roman" w:hAnsi="Times New Roman"/>
                <w:lang w:eastAsia="es-DO"/>
              </w:rPr>
              <w:t>atos abiertos y línea de atención ciudadana 311</w:t>
            </w:r>
          </w:p>
        </w:tc>
        <w:tc>
          <w:tcPr>
            <w:tcW w:w="778" w:type="pct"/>
            <w:shd w:val="clear" w:color="auto" w:fill="FFFFFF" w:themeFill="background1"/>
            <w:vAlign w:val="center"/>
            <w:hideMark/>
          </w:tcPr>
          <w:p w14:paraId="09BCDDEA" w14:textId="77777777"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7%</w:t>
            </w:r>
          </w:p>
        </w:tc>
        <w:tc>
          <w:tcPr>
            <w:tcW w:w="777" w:type="pct"/>
            <w:vMerge/>
            <w:shd w:val="clear" w:color="auto" w:fill="FFFFFF" w:themeFill="background1"/>
          </w:tcPr>
          <w:p w14:paraId="2D9A1979" w14:textId="77777777" w:rsidR="00AA5897" w:rsidRPr="00716385" w:rsidRDefault="00AA5897" w:rsidP="00B0170C">
            <w:pPr>
              <w:spacing w:after="0"/>
              <w:jc w:val="center"/>
              <w:rPr>
                <w:rFonts w:ascii="Times New Roman" w:hAnsi="Times New Roman"/>
                <w:lang w:eastAsia="es-DO"/>
              </w:rPr>
            </w:pPr>
          </w:p>
        </w:tc>
      </w:tr>
      <w:tr w:rsidR="00AA5897" w:rsidRPr="00716385" w14:paraId="09373212" w14:textId="77777777" w:rsidTr="00646828">
        <w:trPr>
          <w:trHeight w:val="77"/>
        </w:trPr>
        <w:tc>
          <w:tcPr>
            <w:tcW w:w="280" w:type="pct"/>
            <w:shd w:val="clear" w:color="auto" w:fill="FFFFFF" w:themeFill="background1"/>
            <w:vAlign w:val="center"/>
            <w:hideMark/>
          </w:tcPr>
          <w:p w14:paraId="4743DDBD" w14:textId="77777777"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5</w:t>
            </w:r>
          </w:p>
        </w:tc>
        <w:tc>
          <w:tcPr>
            <w:tcW w:w="3165" w:type="pct"/>
            <w:shd w:val="clear" w:color="auto" w:fill="FFFFFF" w:themeFill="background1"/>
            <w:vAlign w:val="center"/>
            <w:hideMark/>
          </w:tcPr>
          <w:p w14:paraId="119E7F78" w14:textId="77777777" w:rsidR="00AA5897" w:rsidRPr="00716385" w:rsidRDefault="00AA5897" w:rsidP="00B0170C">
            <w:pPr>
              <w:spacing w:after="0"/>
              <w:rPr>
                <w:rFonts w:ascii="Times New Roman" w:hAnsi="Times New Roman"/>
                <w:lang w:eastAsia="es-DO"/>
              </w:rPr>
            </w:pPr>
            <w:r w:rsidRPr="00716385">
              <w:rPr>
                <w:rFonts w:ascii="Times New Roman" w:hAnsi="Times New Roman"/>
                <w:lang w:eastAsia="es-DO"/>
              </w:rPr>
              <w:t>Declaraciones juradas, presupuesto y RR.HH.</w:t>
            </w:r>
          </w:p>
        </w:tc>
        <w:tc>
          <w:tcPr>
            <w:tcW w:w="778" w:type="pct"/>
            <w:shd w:val="clear" w:color="auto" w:fill="FFFFFF" w:themeFill="background1"/>
            <w:vAlign w:val="center"/>
            <w:hideMark/>
          </w:tcPr>
          <w:p w14:paraId="088CCFFA" w14:textId="77777777"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22%</w:t>
            </w:r>
          </w:p>
        </w:tc>
        <w:tc>
          <w:tcPr>
            <w:tcW w:w="777" w:type="pct"/>
            <w:vMerge/>
            <w:shd w:val="clear" w:color="auto" w:fill="FFFFFF" w:themeFill="background1"/>
          </w:tcPr>
          <w:p w14:paraId="1D1351D6" w14:textId="77777777" w:rsidR="00AA5897" w:rsidRPr="00716385" w:rsidRDefault="00AA5897" w:rsidP="00B0170C">
            <w:pPr>
              <w:spacing w:after="0"/>
              <w:jc w:val="center"/>
              <w:rPr>
                <w:rFonts w:ascii="Times New Roman" w:hAnsi="Times New Roman"/>
                <w:lang w:eastAsia="es-DO"/>
              </w:rPr>
            </w:pPr>
          </w:p>
        </w:tc>
      </w:tr>
      <w:tr w:rsidR="00AA5897" w:rsidRPr="00716385" w14:paraId="379A0D09" w14:textId="77777777" w:rsidTr="00646828">
        <w:trPr>
          <w:trHeight w:val="77"/>
        </w:trPr>
        <w:tc>
          <w:tcPr>
            <w:tcW w:w="280" w:type="pct"/>
            <w:shd w:val="clear" w:color="auto" w:fill="FFFFFF" w:themeFill="background1"/>
            <w:vAlign w:val="center"/>
            <w:hideMark/>
          </w:tcPr>
          <w:p w14:paraId="2588A047" w14:textId="77777777"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6</w:t>
            </w:r>
          </w:p>
        </w:tc>
        <w:tc>
          <w:tcPr>
            <w:tcW w:w="3165" w:type="pct"/>
            <w:shd w:val="clear" w:color="auto" w:fill="FFFFFF" w:themeFill="background1"/>
            <w:vAlign w:val="center"/>
            <w:hideMark/>
          </w:tcPr>
          <w:p w14:paraId="05797F11" w14:textId="77777777" w:rsidR="00AA5897" w:rsidRPr="00716385" w:rsidRDefault="00AA5897" w:rsidP="00B0170C">
            <w:pPr>
              <w:spacing w:after="0"/>
              <w:rPr>
                <w:rFonts w:ascii="Times New Roman" w:hAnsi="Times New Roman"/>
                <w:lang w:eastAsia="es-DO"/>
              </w:rPr>
            </w:pPr>
            <w:r w:rsidRPr="00716385">
              <w:rPr>
                <w:rFonts w:ascii="Times New Roman" w:hAnsi="Times New Roman"/>
                <w:lang w:eastAsia="es-DO"/>
              </w:rPr>
              <w:t>Compras y contrataciones públicas</w:t>
            </w:r>
          </w:p>
        </w:tc>
        <w:tc>
          <w:tcPr>
            <w:tcW w:w="778" w:type="pct"/>
            <w:shd w:val="clear" w:color="auto" w:fill="FFFFFF" w:themeFill="background1"/>
            <w:vAlign w:val="center"/>
            <w:hideMark/>
          </w:tcPr>
          <w:p w14:paraId="210C564A" w14:textId="77777777"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20%</w:t>
            </w:r>
          </w:p>
        </w:tc>
        <w:tc>
          <w:tcPr>
            <w:tcW w:w="777" w:type="pct"/>
            <w:vMerge/>
            <w:shd w:val="clear" w:color="auto" w:fill="FFFFFF" w:themeFill="background1"/>
          </w:tcPr>
          <w:p w14:paraId="715727AD" w14:textId="77777777" w:rsidR="00AA5897" w:rsidRPr="00716385" w:rsidRDefault="00AA5897" w:rsidP="00B0170C">
            <w:pPr>
              <w:spacing w:after="0"/>
              <w:jc w:val="center"/>
              <w:rPr>
                <w:rFonts w:ascii="Times New Roman" w:hAnsi="Times New Roman"/>
                <w:lang w:eastAsia="es-DO"/>
              </w:rPr>
            </w:pPr>
          </w:p>
        </w:tc>
      </w:tr>
      <w:tr w:rsidR="00AA5897" w:rsidRPr="00716385" w14:paraId="13CB59CC" w14:textId="77777777" w:rsidTr="00646828">
        <w:trPr>
          <w:trHeight w:val="77"/>
        </w:trPr>
        <w:tc>
          <w:tcPr>
            <w:tcW w:w="280" w:type="pct"/>
            <w:shd w:val="clear" w:color="auto" w:fill="FFFFFF" w:themeFill="background1"/>
            <w:vAlign w:val="center"/>
            <w:hideMark/>
          </w:tcPr>
          <w:p w14:paraId="2BF2EF68" w14:textId="77777777"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7</w:t>
            </w:r>
          </w:p>
        </w:tc>
        <w:tc>
          <w:tcPr>
            <w:tcW w:w="3165" w:type="pct"/>
            <w:shd w:val="clear" w:color="auto" w:fill="FFFFFF" w:themeFill="background1"/>
            <w:vAlign w:val="center"/>
            <w:hideMark/>
          </w:tcPr>
          <w:p w14:paraId="21D73A28" w14:textId="77777777" w:rsidR="00AA5897" w:rsidRPr="00716385" w:rsidRDefault="00AA5897" w:rsidP="00B0170C">
            <w:pPr>
              <w:spacing w:after="0"/>
              <w:rPr>
                <w:rFonts w:ascii="Times New Roman" w:hAnsi="Times New Roman"/>
                <w:lang w:eastAsia="es-DO"/>
              </w:rPr>
            </w:pPr>
            <w:r w:rsidRPr="00716385">
              <w:rPr>
                <w:rFonts w:ascii="Times New Roman" w:hAnsi="Times New Roman"/>
                <w:lang w:eastAsia="es-DO"/>
              </w:rPr>
              <w:t xml:space="preserve">Proyectos y programas </w:t>
            </w:r>
          </w:p>
        </w:tc>
        <w:tc>
          <w:tcPr>
            <w:tcW w:w="778" w:type="pct"/>
            <w:shd w:val="clear" w:color="auto" w:fill="FFFFFF" w:themeFill="background1"/>
            <w:vAlign w:val="center"/>
            <w:hideMark/>
          </w:tcPr>
          <w:p w14:paraId="58DECE0C" w14:textId="77777777"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6%</w:t>
            </w:r>
          </w:p>
        </w:tc>
        <w:tc>
          <w:tcPr>
            <w:tcW w:w="777" w:type="pct"/>
            <w:vMerge/>
            <w:shd w:val="clear" w:color="auto" w:fill="FFFFFF" w:themeFill="background1"/>
          </w:tcPr>
          <w:p w14:paraId="76938111" w14:textId="77777777" w:rsidR="00AA5897" w:rsidRPr="00716385" w:rsidRDefault="00AA5897" w:rsidP="00B0170C">
            <w:pPr>
              <w:spacing w:after="0"/>
              <w:jc w:val="center"/>
              <w:rPr>
                <w:rFonts w:ascii="Times New Roman" w:hAnsi="Times New Roman"/>
                <w:lang w:eastAsia="es-DO"/>
              </w:rPr>
            </w:pPr>
          </w:p>
        </w:tc>
      </w:tr>
      <w:tr w:rsidR="00AA5897" w:rsidRPr="00716385" w14:paraId="6317EE49" w14:textId="77777777" w:rsidTr="00646828">
        <w:trPr>
          <w:trHeight w:val="77"/>
        </w:trPr>
        <w:tc>
          <w:tcPr>
            <w:tcW w:w="280" w:type="pct"/>
            <w:shd w:val="clear" w:color="auto" w:fill="FFFFFF" w:themeFill="background1"/>
            <w:vAlign w:val="center"/>
            <w:hideMark/>
          </w:tcPr>
          <w:p w14:paraId="7B409AE2" w14:textId="77777777"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8</w:t>
            </w:r>
          </w:p>
        </w:tc>
        <w:tc>
          <w:tcPr>
            <w:tcW w:w="3165" w:type="pct"/>
            <w:shd w:val="clear" w:color="auto" w:fill="FFFFFF" w:themeFill="background1"/>
            <w:vAlign w:val="center"/>
            <w:hideMark/>
          </w:tcPr>
          <w:p w14:paraId="7882BDA5" w14:textId="77777777" w:rsidR="00AA5897" w:rsidRPr="00716385" w:rsidRDefault="00AA5897" w:rsidP="00B0170C">
            <w:pPr>
              <w:spacing w:after="0"/>
              <w:rPr>
                <w:rFonts w:ascii="Times New Roman" w:hAnsi="Times New Roman"/>
                <w:lang w:eastAsia="es-DO"/>
              </w:rPr>
            </w:pPr>
            <w:r w:rsidRPr="00716385">
              <w:rPr>
                <w:rFonts w:ascii="Times New Roman" w:hAnsi="Times New Roman"/>
                <w:lang w:eastAsia="es-DO"/>
              </w:rPr>
              <w:t>Finanzas</w:t>
            </w:r>
          </w:p>
        </w:tc>
        <w:tc>
          <w:tcPr>
            <w:tcW w:w="778" w:type="pct"/>
            <w:shd w:val="clear" w:color="auto" w:fill="FFFFFF" w:themeFill="background1"/>
            <w:vAlign w:val="center"/>
            <w:hideMark/>
          </w:tcPr>
          <w:p w14:paraId="4AB2525C" w14:textId="77777777"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12%</w:t>
            </w:r>
          </w:p>
        </w:tc>
        <w:tc>
          <w:tcPr>
            <w:tcW w:w="777" w:type="pct"/>
            <w:vMerge/>
            <w:shd w:val="clear" w:color="auto" w:fill="FFFFFF" w:themeFill="background1"/>
          </w:tcPr>
          <w:p w14:paraId="360E7128" w14:textId="77777777" w:rsidR="00AA5897" w:rsidRPr="00716385" w:rsidRDefault="00AA5897" w:rsidP="00B0170C">
            <w:pPr>
              <w:spacing w:after="0"/>
              <w:jc w:val="center"/>
              <w:rPr>
                <w:rFonts w:ascii="Times New Roman" w:hAnsi="Times New Roman"/>
                <w:lang w:eastAsia="es-DO"/>
              </w:rPr>
            </w:pPr>
          </w:p>
        </w:tc>
      </w:tr>
      <w:tr w:rsidR="00AA5897" w:rsidRPr="00716385" w14:paraId="54082BF8" w14:textId="77777777" w:rsidTr="00646828">
        <w:trPr>
          <w:trHeight w:val="322"/>
        </w:trPr>
        <w:tc>
          <w:tcPr>
            <w:tcW w:w="280" w:type="pct"/>
            <w:shd w:val="clear" w:color="auto" w:fill="FFFFFF" w:themeFill="background1"/>
            <w:vAlign w:val="center"/>
            <w:hideMark/>
          </w:tcPr>
          <w:p w14:paraId="281D4FCC" w14:textId="77777777"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9</w:t>
            </w:r>
          </w:p>
        </w:tc>
        <w:tc>
          <w:tcPr>
            <w:tcW w:w="3165" w:type="pct"/>
            <w:shd w:val="clear" w:color="auto" w:fill="FFFFFF" w:themeFill="background1"/>
            <w:vAlign w:val="center"/>
            <w:hideMark/>
          </w:tcPr>
          <w:p w14:paraId="078B0075" w14:textId="77777777" w:rsidR="00AA5897" w:rsidRPr="00716385" w:rsidRDefault="00AA5897" w:rsidP="00B0170C">
            <w:pPr>
              <w:spacing w:after="0"/>
              <w:rPr>
                <w:rFonts w:ascii="Times New Roman" w:hAnsi="Times New Roman"/>
                <w:lang w:eastAsia="es-DO"/>
              </w:rPr>
            </w:pPr>
            <w:r w:rsidRPr="00716385">
              <w:rPr>
                <w:rFonts w:ascii="Times New Roman" w:hAnsi="Times New Roman"/>
                <w:lang w:eastAsia="es-DO"/>
              </w:rPr>
              <w:t>Comisión de Ética Pública</w:t>
            </w:r>
          </w:p>
        </w:tc>
        <w:tc>
          <w:tcPr>
            <w:tcW w:w="778" w:type="pct"/>
            <w:shd w:val="clear" w:color="auto" w:fill="FFFFFF" w:themeFill="background1"/>
            <w:vAlign w:val="center"/>
            <w:hideMark/>
          </w:tcPr>
          <w:p w14:paraId="7A9D3695" w14:textId="77777777" w:rsidR="00AA5897" w:rsidRPr="00716385" w:rsidRDefault="00AA5897" w:rsidP="00B0170C">
            <w:pPr>
              <w:spacing w:after="0"/>
              <w:jc w:val="center"/>
              <w:rPr>
                <w:rFonts w:ascii="Times New Roman" w:hAnsi="Times New Roman"/>
                <w:lang w:eastAsia="es-DO"/>
              </w:rPr>
            </w:pPr>
            <w:r w:rsidRPr="00716385">
              <w:rPr>
                <w:rFonts w:ascii="Times New Roman" w:hAnsi="Times New Roman"/>
                <w:lang w:eastAsia="es-DO"/>
              </w:rPr>
              <w:t>5%</w:t>
            </w:r>
          </w:p>
        </w:tc>
        <w:tc>
          <w:tcPr>
            <w:tcW w:w="777" w:type="pct"/>
            <w:vMerge/>
            <w:shd w:val="clear" w:color="auto" w:fill="FFFFFF" w:themeFill="background1"/>
          </w:tcPr>
          <w:p w14:paraId="7C43E72A" w14:textId="77777777" w:rsidR="00AA5897" w:rsidRPr="00716385" w:rsidRDefault="00AA5897" w:rsidP="00B0170C">
            <w:pPr>
              <w:spacing w:after="0"/>
              <w:jc w:val="center"/>
              <w:rPr>
                <w:rFonts w:ascii="Times New Roman" w:hAnsi="Times New Roman"/>
                <w:lang w:eastAsia="es-DO"/>
              </w:rPr>
            </w:pPr>
          </w:p>
        </w:tc>
      </w:tr>
      <w:tr w:rsidR="00AA5897" w:rsidRPr="00716385" w14:paraId="0608C795" w14:textId="77777777" w:rsidTr="003A6CAF">
        <w:trPr>
          <w:trHeight w:val="77"/>
        </w:trPr>
        <w:tc>
          <w:tcPr>
            <w:tcW w:w="3445" w:type="pct"/>
            <w:gridSpan w:val="2"/>
            <w:shd w:val="clear" w:color="auto" w:fill="808080" w:themeFill="background1" w:themeFillShade="80"/>
            <w:vAlign w:val="center"/>
            <w:hideMark/>
          </w:tcPr>
          <w:p w14:paraId="588BB0B8" w14:textId="77777777" w:rsidR="00AA5897" w:rsidRPr="003A6CAF" w:rsidRDefault="007D28EB" w:rsidP="00B10A65">
            <w:pPr>
              <w:spacing w:after="0"/>
              <w:ind w:firstLineChars="100" w:firstLine="241"/>
              <w:jc w:val="right"/>
              <w:rPr>
                <w:rFonts w:ascii="Times New Roman" w:hAnsi="Times New Roman"/>
                <w:b/>
                <w:bCs/>
                <w:color w:val="FFFFFF" w:themeColor="background1"/>
                <w:lang w:eastAsia="es-DO"/>
              </w:rPr>
            </w:pPr>
            <w:r w:rsidRPr="003A6CAF">
              <w:rPr>
                <w:rFonts w:ascii="Times New Roman" w:hAnsi="Times New Roman"/>
                <w:b/>
                <w:bCs/>
                <w:color w:val="FFFFFF" w:themeColor="background1"/>
                <w:lang w:eastAsia="es-DO"/>
              </w:rPr>
              <w:t>Total</w:t>
            </w:r>
          </w:p>
        </w:tc>
        <w:tc>
          <w:tcPr>
            <w:tcW w:w="778" w:type="pct"/>
            <w:shd w:val="clear" w:color="auto" w:fill="808080" w:themeFill="background1" w:themeFillShade="80"/>
            <w:vAlign w:val="center"/>
            <w:hideMark/>
          </w:tcPr>
          <w:p w14:paraId="020764B4" w14:textId="77777777" w:rsidR="00AA5897" w:rsidRPr="003A6CAF" w:rsidRDefault="00AA5897" w:rsidP="00B0170C">
            <w:pPr>
              <w:spacing w:after="0"/>
              <w:jc w:val="center"/>
              <w:rPr>
                <w:rFonts w:ascii="Times New Roman" w:hAnsi="Times New Roman"/>
                <w:b/>
                <w:bCs/>
                <w:color w:val="FFFFFF" w:themeColor="background1"/>
                <w:lang w:eastAsia="es-DO"/>
              </w:rPr>
            </w:pPr>
            <w:r w:rsidRPr="003A6CAF">
              <w:rPr>
                <w:rFonts w:ascii="Times New Roman" w:hAnsi="Times New Roman"/>
                <w:b/>
                <w:bCs/>
                <w:color w:val="FFFFFF" w:themeColor="background1"/>
                <w:lang w:eastAsia="es-DO"/>
              </w:rPr>
              <w:t>100%</w:t>
            </w:r>
          </w:p>
        </w:tc>
        <w:tc>
          <w:tcPr>
            <w:tcW w:w="777" w:type="pct"/>
            <w:shd w:val="clear" w:color="auto" w:fill="808080" w:themeFill="background1" w:themeFillShade="80"/>
          </w:tcPr>
          <w:p w14:paraId="70AF0968" w14:textId="483A2931" w:rsidR="00AA5897" w:rsidRPr="003A6CAF" w:rsidRDefault="008C16EF" w:rsidP="00B0170C">
            <w:pPr>
              <w:spacing w:after="0"/>
              <w:jc w:val="center"/>
              <w:rPr>
                <w:rFonts w:ascii="Times New Roman" w:hAnsi="Times New Roman"/>
                <w:b/>
                <w:bCs/>
                <w:color w:val="FFFFFF" w:themeColor="background1"/>
                <w:lang w:eastAsia="es-DO"/>
              </w:rPr>
            </w:pPr>
            <w:r w:rsidRPr="003A6CAF">
              <w:rPr>
                <w:rFonts w:ascii="Times New Roman" w:hAnsi="Times New Roman"/>
                <w:b/>
                <w:bCs/>
                <w:color w:val="FFFFFF" w:themeColor="background1"/>
                <w:lang w:eastAsia="es-DO"/>
              </w:rPr>
              <w:t>94.00</w:t>
            </w:r>
            <w:r w:rsidR="00AA5897" w:rsidRPr="003A6CAF">
              <w:rPr>
                <w:rFonts w:ascii="Times New Roman" w:hAnsi="Times New Roman"/>
                <w:b/>
                <w:bCs/>
                <w:color w:val="FFFFFF" w:themeColor="background1"/>
                <w:lang w:eastAsia="es-DO"/>
              </w:rPr>
              <w:t>%</w:t>
            </w:r>
          </w:p>
        </w:tc>
      </w:tr>
    </w:tbl>
    <w:p w14:paraId="19DD5FCB" w14:textId="3BD6F5B1" w:rsidR="003A6CAF" w:rsidRDefault="003A6CAF" w:rsidP="000620FA">
      <w:pPr>
        <w:spacing w:after="0" w:line="360" w:lineRule="auto"/>
        <w:jc w:val="both"/>
        <w:rPr>
          <w:rFonts w:ascii="Times New Roman" w:hAnsi="Times New Roman"/>
          <w:lang w:val="es-ES_tradnl"/>
        </w:rPr>
      </w:pPr>
    </w:p>
    <w:p w14:paraId="409C6CC1" w14:textId="77777777" w:rsidR="003A6CAF" w:rsidRDefault="003A6CAF">
      <w:pPr>
        <w:spacing w:after="0"/>
        <w:rPr>
          <w:rFonts w:ascii="Times New Roman" w:hAnsi="Times New Roman"/>
          <w:lang w:val="es-ES_tradnl"/>
        </w:rPr>
      </w:pPr>
      <w:r>
        <w:rPr>
          <w:rFonts w:ascii="Times New Roman" w:hAnsi="Times New Roman"/>
          <w:lang w:val="es-ES_tradnl"/>
        </w:rPr>
        <w:br w:type="page"/>
      </w:r>
    </w:p>
    <w:p w14:paraId="1CC4EFEB" w14:textId="6ABE3618" w:rsidR="008C16EF" w:rsidRPr="00640974" w:rsidRDefault="003A6CAF" w:rsidP="001C6B1A">
      <w:pPr>
        <w:pStyle w:val="Prrafodelista"/>
        <w:numPr>
          <w:ilvl w:val="0"/>
          <w:numId w:val="8"/>
        </w:numPr>
        <w:spacing w:after="0" w:line="360" w:lineRule="auto"/>
        <w:ind w:left="1783" w:hanging="1499"/>
        <w:jc w:val="both"/>
        <w:rPr>
          <w:rFonts w:ascii="Times New Roman" w:hAnsi="Times New Roman"/>
          <w:sz w:val="24"/>
          <w:szCs w:val="24"/>
        </w:rPr>
      </w:pPr>
      <w:r>
        <w:rPr>
          <w:rFonts w:ascii="Times New Roman" w:hAnsi="Times New Roman"/>
          <w:b/>
          <w:sz w:val="24"/>
          <w:szCs w:val="24"/>
          <w:lang w:val="es-ES_tradnl"/>
        </w:rPr>
        <w:lastRenderedPageBreak/>
        <w:t>Resultado cumplimiento ley no. 200-04</w:t>
      </w:r>
      <w:r w:rsidR="008C16EF" w:rsidRPr="00640974">
        <w:rPr>
          <w:rFonts w:ascii="Times New Roman" w:hAnsi="Times New Roman"/>
          <w:b/>
          <w:bCs/>
          <w:sz w:val="24"/>
          <w:szCs w:val="24"/>
        </w:rPr>
        <w:t>, por trimestres 2019</w:t>
      </w:r>
    </w:p>
    <w:p w14:paraId="37CBB3FE" w14:textId="77777777" w:rsidR="008C16EF" w:rsidRPr="008C16EF" w:rsidRDefault="008C16EF" w:rsidP="000620FA">
      <w:pPr>
        <w:spacing w:after="0" w:line="360" w:lineRule="auto"/>
        <w:jc w:val="both"/>
        <w:rPr>
          <w:rFonts w:ascii="Times New Roman" w:hAnsi="Times New Roman"/>
        </w:rPr>
      </w:pPr>
    </w:p>
    <w:p w14:paraId="130CF03A" w14:textId="1E7C8564" w:rsidR="008C16EF" w:rsidRDefault="008C16EF" w:rsidP="008C16EF">
      <w:pPr>
        <w:spacing w:after="0" w:line="360" w:lineRule="auto"/>
        <w:jc w:val="center"/>
        <w:rPr>
          <w:rFonts w:ascii="Times New Roman" w:hAnsi="Times New Roman"/>
          <w:lang w:val="es-ES_tradnl"/>
        </w:rPr>
      </w:pPr>
      <w:r>
        <w:rPr>
          <w:noProof/>
          <w:lang w:eastAsia="es-DO"/>
        </w:rPr>
        <w:drawing>
          <wp:inline distT="0" distB="0" distL="0" distR="0" wp14:anchorId="2A160DFE" wp14:editId="1E2E33DA">
            <wp:extent cx="5029200" cy="3153104"/>
            <wp:effectExtent l="0" t="0" r="0" b="0"/>
            <wp:docPr id="172" name="Gráfico 172"/>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72E9CB29" w14:textId="6D87F2B5" w:rsidR="003B4E58" w:rsidRDefault="003B4E58">
      <w:pPr>
        <w:spacing w:after="0"/>
        <w:rPr>
          <w:rFonts w:ascii="Times New Roman" w:hAnsi="Times New Roman"/>
          <w:lang w:val="es-ES_tradnl"/>
        </w:rPr>
      </w:pPr>
    </w:p>
    <w:p w14:paraId="515990C4" w14:textId="77777777" w:rsidR="00646828" w:rsidRPr="00F769D3" w:rsidRDefault="00646828" w:rsidP="00CA5792">
      <w:pPr>
        <w:pStyle w:val="Ttulo3"/>
      </w:pPr>
      <w:bookmarkStart w:id="379" w:name="_Toc470523395"/>
      <w:bookmarkStart w:id="380" w:name="_Toc26292114"/>
      <w:bookmarkStart w:id="381" w:name="_Toc27146829"/>
      <w:r w:rsidRPr="00F769D3">
        <w:t>Gestión de consultas y acceso a la información</w:t>
      </w:r>
      <w:bookmarkEnd w:id="379"/>
      <w:r>
        <w:t xml:space="preserve"> pública</w:t>
      </w:r>
      <w:bookmarkEnd w:id="380"/>
      <w:bookmarkEnd w:id="381"/>
    </w:p>
    <w:p w14:paraId="74139806" w14:textId="77777777" w:rsidR="00646828" w:rsidRPr="00F050E3" w:rsidRDefault="00646828" w:rsidP="00646828">
      <w:pPr>
        <w:spacing w:after="0" w:line="480" w:lineRule="auto"/>
        <w:ind w:firstLine="720"/>
        <w:contextualSpacing/>
        <w:jc w:val="both"/>
        <w:rPr>
          <w:rFonts w:ascii="Times New Roman" w:hAnsi="Times New Roman"/>
          <w:lang w:val="es-ES"/>
        </w:rPr>
      </w:pPr>
      <w:r w:rsidRPr="00F050E3">
        <w:rPr>
          <w:rFonts w:ascii="Times New Roman" w:hAnsi="Times New Roman"/>
          <w:lang w:val="es-ES"/>
        </w:rPr>
        <w:t>La Oficina de Libre Acceso a la Información Pública (</w:t>
      </w:r>
      <w:r w:rsidRPr="00F050E3">
        <w:rPr>
          <w:rFonts w:ascii="Times New Roman" w:hAnsi="Times New Roman"/>
        </w:rPr>
        <w:t>OAI)</w:t>
      </w:r>
      <w:r w:rsidRPr="00F050E3">
        <w:rPr>
          <w:rFonts w:ascii="Times New Roman" w:hAnsi="Times New Roman"/>
          <w:lang w:val="es-ES"/>
        </w:rPr>
        <w:t xml:space="preserve"> del Ministerio de Agricultura fue creada para dar cumplimiento a la Ley No. 200-04 de Libre Acceso a la Información Pública y al Decreto No. 130-05.</w:t>
      </w:r>
    </w:p>
    <w:p w14:paraId="2EBC22CE" w14:textId="77777777" w:rsidR="00646828" w:rsidRPr="00F050E3" w:rsidRDefault="00646828" w:rsidP="00646828">
      <w:pPr>
        <w:spacing w:after="0" w:line="480" w:lineRule="auto"/>
        <w:ind w:firstLine="720"/>
        <w:contextualSpacing/>
        <w:jc w:val="both"/>
        <w:rPr>
          <w:rFonts w:ascii="Times New Roman" w:hAnsi="Times New Roman"/>
          <w:lang w:val="es-ES"/>
        </w:rPr>
      </w:pPr>
    </w:p>
    <w:p w14:paraId="028FFFCC" w14:textId="77777777" w:rsidR="00646828" w:rsidRPr="00F769D3" w:rsidRDefault="00646828" w:rsidP="00646828">
      <w:pPr>
        <w:spacing w:after="0" w:line="480" w:lineRule="auto"/>
        <w:ind w:firstLine="720"/>
        <w:contextualSpacing/>
        <w:jc w:val="both"/>
        <w:rPr>
          <w:rFonts w:ascii="Times New Roman" w:hAnsi="Times New Roman"/>
          <w:lang w:val="es-ES"/>
        </w:rPr>
      </w:pPr>
      <w:r w:rsidRPr="00F050E3">
        <w:rPr>
          <w:rFonts w:ascii="Times New Roman" w:hAnsi="Times New Roman"/>
          <w:lang w:val="es-ES"/>
        </w:rPr>
        <w:t>Teniendo como función principal realizar las gestiones necesarias para satisfacer las solicitudes de información que son tramitadas por los ciudadanos a través de los diversos medios disponibles (personal, correo electrónico, cartas, portal de transparencia), así como impulsar la actualización permanente de las informaciones descritas en la Ley No. 200-04 y la publicación oportuna de las mismas en el portal de transparencia de la Institución.</w:t>
      </w:r>
    </w:p>
    <w:p w14:paraId="6954E91B" w14:textId="77777777" w:rsidR="00646828" w:rsidRPr="00F769D3" w:rsidRDefault="00646828" w:rsidP="00646828">
      <w:pPr>
        <w:spacing w:after="0" w:line="480" w:lineRule="auto"/>
        <w:ind w:firstLine="720"/>
        <w:contextualSpacing/>
        <w:jc w:val="both"/>
        <w:rPr>
          <w:rFonts w:ascii="Times New Roman" w:hAnsi="Times New Roman"/>
          <w:lang w:val="es-ES"/>
        </w:rPr>
      </w:pPr>
    </w:p>
    <w:p w14:paraId="797FB342" w14:textId="77777777" w:rsidR="00646828" w:rsidRPr="00646828" w:rsidRDefault="00646828" w:rsidP="00CA5792">
      <w:pPr>
        <w:pStyle w:val="Ttulo4"/>
      </w:pPr>
      <w:bookmarkStart w:id="382" w:name="_Toc440036741"/>
      <w:bookmarkStart w:id="383" w:name="_Toc470523396"/>
      <w:bookmarkStart w:id="384" w:name="_Toc27146830"/>
      <w:r w:rsidRPr="00646828">
        <w:lastRenderedPageBreak/>
        <w:t>Respuesta a solicitudes de información de ciudadanos</w:t>
      </w:r>
      <w:bookmarkEnd w:id="382"/>
      <w:bookmarkEnd w:id="383"/>
      <w:bookmarkEnd w:id="384"/>
    </w:p>
    <w:p w14:paraId="655B76EC" w14:textId="77777777" w:rsidR="003A6CAF" w:rsidRDefault="003A6CAF" w:rsidP="00646828">
      <w:pPr>
        <w:spacing w:after="0" w:line="480" w:lineRule="auto"/>
        <w:ind w:firstLine="720"/>
        <w:contextualSpacing/>
        <w:jc w:val="both"/>
        <w:rPr>
          <w:rFonts w:ascii="Times New Roman" w:hAnsi="Times New Roman"/>
          <w:lang w:val="es-ES"/>
        </w:rPr>
      </w:pPr>
    </w:p>
    <w:p w14:paraId="330CE4E3" w14:textId="77777777" w:rsidR="00646828" w:rsidRPr="00F050E3" w:rsidRDefault="00646828" w:rsidP="00646828">
      <w:pPr>
        <w:spacing w:after="0" w:line="480" w:lineRule="auto"/>
        <w:ind w:firstLine="720"/>
        <w:contextualSpacing/>
        <w:jc w:val="both"/>
        <w:rPr>
          <w:rFonts w:ascii="Times New Roman" w:hAnsi="Times New Roman"/>
          <w:lang w:val="es-ES"/>
        </w:rPr>
      </w:pPr>
      <w:r w:rsidRPr="00F050E3">
        <w:rPr>
          <w:rFonts w:ascii="Times New Roman" w:hAnsi="Times New Roman"/>
          <w:lang w:val="es-ES"/>
        </w:rPr>
        <w:t>Durante el período enero-octubre 2019, la OAI recibió, tramitó y atendió 115 solicitudes de información, que fueron introducidas por el Portal Único de Solicitud de Acceso a la Información Pública (SAIP) y comunicaciones escritas.</w:t>
      </w:r>
    </w:p>
    <w:p w14:paraId="10B5A053" w14:textId="77777777" w:rsidR="00646828" w:rsidRPr="00F050E3" w:rsidRDefault="00646828" w:rsidP="00646828">
      <w:pPr>
        <w:tabs>
          <w:tab w:val="left" w:pos="3288"/>
        </w:tabs>
        <w:spacing w:after="0"/>
        <w:rPr>
          <w:rFonts w:ascii="Times New Roman" w:hAnsi="Times New Roman"/>
          <w:lang w:val="es-ES"/>
        </w:rPr>
      </w:pPr>
    </w:p>
    <w:p w14:paraId="22D44B0C" w14:textId="77777777" w:rsidR="00646828" w:rsidRPr="00F050E3" w:rsidRDefault="00646828" w:rsidP="001C6B1A">
      <w:pPr>
        <w:pStyle w:val="Prrafodelista"/>
        <w:numPr>
          <w:ilvl w:val="0"/>
          <w:numId w:val="8"/>
        </w:numPr>
        <w:spacing w:after="0" w:line="360" w:lineRule="auto"/>
        <w:ind w:left="1783" w:hanging="1499"/>
        <w:jc w:val="both"/>
        <w:rPr>
          <w:rFonts w:ascii="Times New Roman" w:hAnsi="Times New Roman"/>
          <w:b/>
          <w:sz w:val="24"/>
          <w:lang w:val="es-ES"/>
        </w:rPr>
      </w:pPr>
      <w:r w:rsidRPr="003A6CAF">
        <w:rPr>
          <w:rFonts w:ascii="Times New Roman" w:hAnsi="Times New Roman"/>
          <w:b/>
          <w:sz w:val="24"/>
          <w:szCs w:val="24"/>
          <w:lang w:val="es-ES_tradnl"/>
        </w:rPr>
        <w:t>Solicitudes</w:t>
      </w:r>
      <w:r w:rsidRPr="00F050E3">
        <w:rPr>
          <w:rFonts w:ascii="Times New Roman" w:hAnsi="Times New Roman"/>
          <w:b/>
          <w:sz w:val="24"/>
          <w:lang w:val="es-ES"/>
        </w:rPr>
        <w:t xml:space="preserve"> de informaciones por tipo de canal</w:t>
      </w:r>
    </w:p>
    <w:p w14:paraId="454FDC5B" w14:textId="77777777" w:rsidR="00646828" w:rsidRDefault="00646828" w:rsidP="00646828">
      <w:pPr>
        <w:spacing w:after="0" w:line="480" w:lineRule="auto"/>
        <w:contextualSpacing/>
        <w:jc w:val="center"/>
        <w:rPr>
          <w:rFonts w:ascii="Times New Roman" w:hAnsi="Times New Roman"/>
          <w:lang w:val="es-ES"/>
        </w:rPr>
      </w:pPr>
      <w:r w:rsidRPr="00A04943">
        <w:rPr>
          <w:rFonts w:ascii="Times New Roman" w:hAnsi="Times New Roman"/>
          <w:noProof/>
          <w:color w:val="FF0000"/>
          <w:lang w:eastAsia="es-DO"/>
        </w:rPr>
        <w:drawing>
          <wp:inline distT="0" distB="0" distL="0" distR="0" wp14:anchorId="5F6EBA09" wp14:editId="49CB8064">
            <wp:extent cx="5399405" cy="2838734"/>
            <wp:effectExtent l="0" t="0" r="0" b="0"/>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23C57676" w14:textId="77777777" w:rsidR="00646828" w:rsidRPr="00F769D3" w:rsidRDefault="00646828" w:rsidP="00646828">
      <w:pPr>
        <w:spacing w:after="0" w:line="480" w:lineRule="auto"/>
        <w:contextualSpacing/>
        <w:jc w:val="center"/>
        <w:rPr>
          <w:rFonts w:ascii="Times New Roman" w:hAnsi="Times New Roman"/>
          <w:lang w:val="es-ES"/>
        </w:rPr>
      </w:pPr>
    </w:p>
    <w:p w14:paraId="695E59D1" w14:textId="77777777" w:rsidR="00646828" w:rsidRPr="00F769D3" w:rsidRDefault="00646828" w:rsidP="00646828">
      <w:pPr>
        <w:spacing w:after="0" w:line="480" w:lineRule="auto"/>
        <w:ind w:firstLine="720"/>
        <w:contextualSpacing/>
        <w:jc w:val="both"/>
        <w:rPr>
          <w:rFonts w:ascii="Times New Roman" w:hAnsi="Times New Roman"/>
          <w:lang w:val="es-ES"/>
        </w:rPr>
      </w:pPr>
      <w:r w:rsidRPr="00F050E3">
        <w:rPr>
          <w:rFonts w:ascii="Times New Roman" w:hAnsi="Times New Roman"/>
          <w:lang w:val="es-ES"/>
        </w:rPr>
        <w:t>De las 115 solicitudes atendidas, se respondieron noventa y seis (96) solicitudes exitosamente dentro del plazo que contempla la Ley No. 200-04, tres (3) de las cuales fueron respondidas haciendo uso de la prórroga excepcional conforme lo que estipula el Articulo no. 8 de la Ley No. 200-04, doce (12) solicitudes fueron remitidas a otras instituciones competentes conforme a lo que estipula el Articulo no. 16 del Reglamento no. 130-05 y solos dos (2) solicitudes fueron rechazadas conforme lo que estipula el Articulo no. 17 del referid</w:t>
      </w:r>
      <w:r w:rsidRPr="00782488">
        <w:rPr>
          <w:rFonts w:ascii="Times New Roman" w:hAnsi="Times New Roman"/>
          <w:lang w:val="es-ES"/>
        </w:rPr>
        <w:t>o.</w:t>
      </w:r>
    </w:p>
    <w:p w14:paraId="5582ACCB" w14:textId="77777777" w:rsidR="00646828" w:rsidRPr="003A6CAF" w:rsidRDefault="00646828" w:rsidP="001C6B1A">
      <w:pPr>
        <w:pStyle w:val="Prrafodelista"/>
        <w:numPr>
          <w:ilvl w:val="0"/>
          <w:numId w:val="8"/>
        </w:numPr>
        <w:spacing w:after="0" w:line="360" w:lineRule="auto"/>
        <w:ind w:left="1783" w:hanging="1499"/>
        <w:jc w:val="both"/>
        <w:rPr>
          <w:rFonts w:ascii="Times New Roman" w:hAnsi="Times New Roman"/>
          <w:b/>
          <w:sz w:val="24"/>
          <w:szCs w:val="24"/>
          <w:lang w:val="es-ES"/>
        </w:rPr>
      </w:pPr>
      <w:r w:rsidRPr="003A6CAF">
        <w:rPr>
          <w:rFonts w:ascii="Times New Roman" w:hAnsi="Times New Roman"/>
          <w:b/>
          <w:sz w:val="24"/>
          <w:szCs w:val="24"/>
          <w:lang w:val="es-ES_tradnl"/>
        </w:rPr>
        <w:lastRenderedPageBreak/>
        <w:t>Solicitudes</w:t>
      </w:r>
      <w:r w:rsidRPr="003A6CAF">
        <w:rPr>
          <w:rFonts w:ascii="Times New Roman" w:hAnsi="Times New Roman"/>
          <w:b/>
          <w:sz w:val="24"/>
          <w:szCs w:val="24"/>
          <w:lang w:val="es-ES"/>
        </w:rPr>
        <w:t xml:space="preserve"> de informaciones atendidas por tipo</w:t>
      </w:r>
    </w:p>
    <w:p w14:paraId="112BC243" w14:textId="77777777" w:rsidR="00646828" w:rsidRPr="00F769D3" w:rsidRDefault="00646828" w:rsidP="00646828">
      <w:pPr>
        <w:spacing w:after="0" w:line="480" w:lineRule="auto"/>
        <w:contextualSpacing/>
        <w:jc w:val="both"/>
        <w:rPr>
          <w:rFonts w:ascii="Times New Roman" w:hAnsi="Times New Roman"/>
          <w:lang w:val="es-ES"/>
        </w:rPr>
      </w:pPr>
      <w:r w:rsidRPr="00F769D3">
        <w:rPr>
          <w:rFonts w:ascii="Times New Roman" w:hAnsi="Times New Roman"/>
          <w:noProof/>
          <w:lang w:eastAsia="es-DO"/>
        </w:rPr>
        <w:drawing>
          <wp:inline distT="0" distB="0" distL="0" distR="0" wp14:anchorId="7FDC6005" wp14:editId="677FB830">
            <wp:extent cx="5265682" cy="3184634"/>
            <wp:effectExtent l="0" t="0" r="0" b="0"/>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56C84800" w14:textId="77777777" w:rsidR="00646828" w:rsidRPr="00F769D3" w:rsidRDefault="00646828" w:rsidP="00646828">
      <w:pPr>
        <w:spacing w:after="0" w:line="480" w:lineRule="auto"/>
        <w:ind w:firstLine="720"/>
        <w:rPr>
          <w:rFonts w:ascii="Times New Roman" w:hAnsi="Times New Roman"/>
          <w:lang w:val="es-ES"/>
        </w:rPr>
      </w:pPr>
    </w:p>
    <w:p w14:paraId="5C7F02A9" w14:textId="77777777" w:rsidR="00646828" w:rsidRPr="00646828" w:rsidRDefault="00646828" w:rsidP="00CA5792">
      <w:pPr>
        <w:pStyle w:val="Ttulo4"/>
      </w:pPr>
      <w:bookmarkStart w:id="385" w:name="_Toc440036742"/>
      <w:bookmarkStart w:id="386" w:name="_Toc470523397"/>
      <w:bookmarkStart w:id="387" w:name="_Toc27146831"/>
      <w:r w:rsidRPr="00646828">
        <w:t>Respuesta a consultas de información de ciudadanos</w:t>
      </w:r>
      <w:bookmarkEnd w:id="385"/>
      <w:bookmarkEnd w:id="386"/>
      <w:bookmarkEnd w:id="387"/>
    </w:p>
    <w:p w14:paraId="0F96055C" w14:textId="77777777" w:rsidR="00646828" w:rsidRPr="00F050E3" w:rsidRDefault="00646828" w:rsidP="00646828">
      <w:pPr>
        <w:spacing w:after="0" w:line="480" w:lineRule="auto"/>
        <w:ind w:firstLine="720"/>
        <w:contextualSpacing/>
        <w:jc w:val="both"/>
        <w:rPr>
          <w:rFonts w:ascii="Times New Roman" w:hAnsi="Times New Roman"/>
          <w:lang w:val="es-ES"/>
        </w:rPr>
      </w:pPr>
      <w:r w:rsidRPr="00F050E3">
        <w:rPr>
          <w:rFonts w:ascii="Times New Roman" w:hAnsi="Times New Roman"/>
          <w:lang w:val="es-ES"/>
        </w:rPr>
        <w:t>A partir del 2016, se empezó a registrar las consultas de información, las mismas son preguntas puntuales que llegan a través del correo de información general del Portal del Ministerio y son remitidas por el Web Master a esta Oficina para ser atendidas.</w:t>
      </w:r>
    </w:p>
    <w:p w14:paraId="0958467C" w14:textId="77777777" w:rsidR="00646828" w:rsidRPr="00F050E3" w:rsidRDefault="00646828" w:rsidP="00646828">
      <w:pPr>
        <w:spacing w:after="0" w:line="480" w:lineRule="auto"/>
        <w:ind w:firstLine="720"/>
        <w:contextualSpacing/>
        <w:jc w:val="both"/>
        <w:rPr>
          <w:rFonts w:ascii="Times New Roman" w:hAnsi="Times New Roman"/>
          <w:lang w:val="es-ES"/>
        </w:rPr>
      </w:pPr>
    </w:p>
    <w:p w14:paraId="1A94AF08" w14:textId="77777777" w:rsidR="00646828" w:rsidRDefault="00646828" w:rsidP="00646828">
      <w:pPr>
        <w:spacing w:after="0" w:line="480" w:lineRule="auto"/>
        <w:ind w:firstLine="720"/>
        <w:contextualSpacing/>
        <w:jc w:val="both"/>
        <w:rPr>
          <w:rFonts w:ascii="Times New Roman" w:hAnsi="Times New Roman"/>
          <w:lang w:val="es-ES"/>
        </w:rPr>
      </w:pPr>
      <w:r w:rsidRPr="00F050E3">
        <w:rPr>
          <w:rFonts w:ascii="Times New Roman" w:hAnsi="Times New Roman"/>
          <w:lang w:val="es-ES"/>
        </w:rPr>
        <w:t xml:space="preserve">Durante el período enero-octubre 2019, </w:t>
      </w:r>
      <w:r w:rsidRPr="00F050E3">
        <w:rPr>
          <w:rFonts w:ascii="Times New Roman" w:hAnsi="Times New Roman"/>
        </w:rPr>
        <w:t>se recibieron un total de diez (10) consultas de información y todas fueron atendidas exitosamente</w:t>
      </w:r>
      <w:r w:rsidRPr="00F050E3">
        <w:rPr>
          <w:rFonts w:ascii="Times New Roman" w:hAnsi="Times New Roman"/>
          <w:lang w:val="es-ES"/>
        </w:rPr>
        <w:t>.</w:t>
      </w:r>
    </w:p>
    <w:p w14:paraId="550B9148" w14:textId="5641F46E" w:rsidR="00BB7F45" w:rsidRDefault="00BB7F45">
      <w:pPr>
        <w:spacing w:after="0"/>
        <w:rPr>
          <w:rFonts w:ascii="Times New Roman" w:hAnsi="Times New Roman"/>
          <w:lang w:val="es-ES"/>
        </w:rPr>
      </w:pPr>
      <w:r>
        <w:rPr>
          <w:rFonts w:ascii="Times New Roman" w:hAnsi="Times New Roman"/>
          <w:lang w:val="es-ES"/>
        </w:rPr>
        <w:br w:type="page"/>
      </w:r>
    </w:p>
    <w:p w14:paraId="37D16D05" w14:textId="77777777" w:rsidR="00646828" w:rsidRPr="00F050E3" w:rsidRDefault="00646828" w:rsidP="001C6B1A">
      <w:pPr>
        <w:pStyle w:val="Prrafodelista"/>
        <w:numPr>
          <w:ilvl w:val="0"/>
          <w:numId w:val="8"/>
        </w:numPr>
        <w:spacing w:after="0" w:line="360" w:lineRule="auto"/>
        <w:ind w:left="1783" w:hanging="1499"/>
        <w:jc w:val="both"/>
        <w:rPr>
          <w:rFonts w:ascii="Times New Roman" w:hAnsi="Times New Roman"/>
          <w:b/>
          <w:sz w:val="24"/>
          <w:lang w:val="es-ES"/>
        </w:rPr>
      </w:pPr>
      <w:r w:rsidRPr="00F050E3">
        <w:rPr>
          <w:rFonts w:ascii="Times New Roman" w:hAnsi="Times New Roman"/>
          <w:b/>
          <w:sz w:val="24"/>
          <w:lang w:val="es-ES"/>
        </w:rPr>
        <w:lastRenderedPageBreak/>
        <w:t>Consulta de información atendidas</w:t>
      </w:r>
    </w:p>
    <w:p w14:paraId="785027F0" w14:textId="77777777" w:rsidR="00646828" w:rsidRPr="00F769D3" w:rsidRDefault="00646828" w:rsidP="00646828">
      <w:pPr>
        <w:spacing w:after="0" w:line="480" w:lineRule="auto"/>
        <w:ind w:firstLine="11"/>
        <w:contextualSpacing/>
        <w:jc w:val="both"/>
        <w:rPr>
          <w:rFonts w:ascii="Times New Roman" w:hAnsi="Times New Roman"/>
          <w:lang w:val="es-ES"/>
        </w:rPr>
      </w:pPr>
      <w:r w:rsidRPr="00F769D3">
        <w:rPr>
          <w:rFonts w:ascii="Times New Roman" w:hAnsi="Times New Roman"/>
          <w:noProof/>
          <w:lang w:eastAsia="es-DO"/>
        </w:rPr>
        <w:drawing>
          <wp:inline distT="0" distB="0" distL="0" distR="0" wp14:anchorId="2EB065F2" wp14:editId="709D8EE4">
            <wp:extent cx="5399405" cy="3084394"/>
            <wp:effectExtent l="0" t="0" r="0" b="1905"/>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36191B33" w14:textId="77777777" w:rsidR="00646828" w:rsidRPr="00F769D3" w:rsidRDefault="00646828" w:rsidP="00646828">
      <w:pPr>
        <w:spacing w:after="0" w:line="480" w:lineRule="auto"/>
        <w:ind w:firstLine="11"/>
        <w:contextualSpacing/>
        <w:jc w:val="both"/>
        <w:rPr>
          <w:rFonts w:ascii="Times New Roman" w:hAnsi="Times New Roman"/>
          <w:lang w:val="es-ES"/>
        </w:rPr>
      </w:pPr>
    </w:p>
    <w:p w14:paraId="7C35347D" w14:textId="77777777" w:rsidR="00646828" w:rsidRPr="00646828" w:rsidRDefault="00646828" w:rsidP="00CA5792">
      <w:pPr>
        <w:pStyle w:val="Ttulo4"/>
      </w:pPr>
      <w:bookmarkStart w:id="388" w:name="_Toc440036743"/>
      <w:bookmarkStart w:id="389" w:name="_Toc470523398"/>
      <w:bookmarkStart w:id="390" w:name="_Toc27146832"/>
      <w:r w:rsidRPr="00646828">
        <w:t>Gestión del sistema 3-1-1 atención ciudadana</w:t>
      </w:r>
      <w:bookmarkEnd w:id="388"/>
      <w:bookmarkEnd w:id="389"/>
      <w:bookmarkEnd w:id="390"/>
    </w:p>
    <w:p w14:paraId="4C17FFCC" w14:textId="77777777" w:rsidR="003A6CAF" w:rsidRDefault="003A6CAF" w:rsidP="00646828">
      <w:pPr>
        <w:spacing w:after="0" w:line="480" w:lineRule="auto"/>
        <w:ind w:firstLine="851"/>
        <w:contextualSpacing/>
        <w:jc w:val="both"/>
        <w:rPr>
          <w:rFonts w:ascii="Times New Roman" w:hAnsi="Times New Roman"/>
        </w:rPr>
      </w:pPr>
    </w:p>
    <w:p w14:paraId="202B8BC2" w14:textId="77777777" w:rsidR="00646828" w:rsidRPr="00F050E3" w:rsidRDefault="00646828" w:rsidP="00646828">
      <w:pPr>
        <w:spacing w:after="0" w:line="480" w:lineRule="auto"/>
        <w:ind w:firstLine="851"/>
        <w:contextualSpacing/>
        <w:jc w:val="both"/>
        <w:rPr>
          <w:rFonts w:ascii="Times New Roman" w:hAnsi="Times New Roman"/>
        </w:rPr>
      </w:pPr>
      <w:r w:rsidRPr="00F050E3">
        <w:rPr>
          <w:rFonts w:ascii="Times New Roman" w:hAnsi="Times New Roman"/>
        </w:rPr>
        <w:t>La Oficina de Acceso a la Información Pública (OAI), como gestor del Sistema de Atención Ciudadana 3-1-1 coordinó las acciones para que ningún caso quede sin ser atendido, ni exceda los plazos máximos que se han propuesto a fin de ofrecer un servicio de calidad y con sentido humano a las personas.</w:t>
      </w:r>
    </w:p>
    <w:p w14:paraId="419D5E21" w14:textId="77777777" w:rsidR="00646828" w:rsidRPr="00F050E3" w:rsidRDefault="00646828" w:rsidP="00646828">
      <w:pPr>
        <w:spacing w:after="0" w:line="480" w:lineRule="auto"/>
        <w:ind w:firstLine="851"/>
        <w:contextualSpacing/>
        <w:jc w:val="both"/>
        <w:rPr>
          <w:rFonts w:ascii="Times New Roman" w:hAnsi="Times New Roman"/>
        </w:rPr>
      </w:pPr>
    </w:p>
    <w:p w14:paraId="4D30EADC" w14:textId="77777777" w:rsidR="00646828" w:rsidRPr="00F050E3" w:rsidRDefault="00646828" w:rsidP="00646828">
      <w:pPr>
        <w:spacing w:after="0" w:line="480" w:lineRule="auto"/>
        <w:ind w:firstLine="851"/>
        <w:contextualSpacing/>
        <w:jc w:val="both"/>
        <w:rPr>
          <w:rFonts w:ascii="Times New Roman" w:hAnsi="Times New Roman"/>
        </w:rPr>
      </w:pPr>
      <w:r w:rsidRPr="00F050E3">
        <w:rPr>
          <w:rFonts w:ascii="Times New Roman" w:hAnsi="Times New Roman"/>
        </w:rPr>
        <w:t>Además, son atendidas las quejas y reclamaciones, vía el sistema al 3-1-1 para hacer consultas o procurar información sobre actividades o servicios de la administración pública.</w:t>
      </w:r>
    </w:p>
    <w:p w14:paraId="68AECFB6" w14:textId="77777777" w:rsidR="00646828" w:rsidRPr="00F050E3" w:rsidRDefault="00646828" w:rsidP="00646828">
      <w:pPr>
        <w:spacing w:after="0" w:line="480" w:lineRule="auto"/>
        <w:ind w:firstLine="851"/>
        <w:contextualSpacing/>
        <w:jc w:val="both"/>
        <w:rPr>
          <w:rFonts w:ascii="Times New Roman" w:hAnsi="Times New Roman"/>
        </w:rPr>
      </w:pPr>
    </w:p>
    <w:p w14:paraId="15637880" w14:textId="77777777" w:rsidR="00646828" w:rsidRPr="00F050E3" w:rsidRDefault="00646828" w:rsidP="00646828">
      <w:pPr>
        <w:spacing w:after="0" w:line="480" w:lineRule="auto"/>
        <w:ind w:firstLine="851"/>
        <w:contextualSpacing/>
        <w:jc w:val="both"/>
        <w:rPr>
          <w:rFonts w:ascii="Times New Roman" w:hAnsi="Times New Roman"/>
        </w:rPr>
      </w:pPr>
      <w:r w:rsidRPr="00F050E3">
        <w:rPr>
          <w:rFonts w:ascii="Times New Roman" w:hAnsi="Times New Roman"/>
        </w:rPr>
        <w:lastRenderedPageBreak/>
        <w:t>Este contacto gobierno-ciudadano ha sido una ventana abierta para que las preguntas, consultas e información para la utilización de los beneficios de los distintos programas del Ministerio de Agricultura puedan ser aprovechados al máximo, siguiendo los requisitos de uso correcto en el mismo.</w:t>
      </w:r>
    </w:p>
    <w:p w14:paraId="241271E3" w14:textId="77777777" w:rsidR="00646828" w:rsidRPr="00F050E3" w:rsidRDefault="00646828" w:rsidP="00646828">
      <w:pPr>
        <w:spacing w:after="0" w:line="480" w:lineRule="auto"/>
        <w:ind w:firstLine="851"/>
        <w:contextualSpacing/>
        <w:jc w:val="both"/>
        <w:rPr>
          <w:rFonts w:ascii="Times New Roman" w:hAnsi="Times New Roman"/>
        </w:rPr>
      </w:pPr>
    </w:p>
    <w:p w14:paraId="72A7CB75" w14:textId="2A9267D1" w:rsidR="00646828" w:rsidRPr="00F050E3" w:rsidRDefault="00646828" w:rsidP="00646828">
      <w:pPr>
        <w:spacing w:after="0" w:line="480" w:lineRule="auto"/>
        <w:ind w:firstLine="851"/>
        <w:contextualSpacing/>
        <w:jc w:val="both"/>
        <w:rPr>
          <w:rFonts w:ascii="Times New Roman" w:hAnsi="Times New Roman"/>
        </w:rPr>
      </w:pPr>
      <w:r w:rsidRPr="00F050E3">
        <w:rPr>
          <w:rFonts w:ascii="Times New Roman" w:hAnsi="Times New Roman"/>
        </w:rPr>
        <w:t xml:space="preserve">En el periodo enero-octubre 2019, se recibieron y atendieron en total cuatro (3) casos introducidos a través de la Línea 311: una (1) queja, una (1) reclamación y una (1) sugerencia. Los casos de queja y la reclamación fueron remitidos a los Departamentos competentes para ser atendidos y fueron resueltos exitosamente. De igual forma, la sugerencia presentada fue remitida a la Máxima Autoridad para su consideración. </w:t>
      </w:r>
    </w:p>
    <w:p w14:paraId="2A3537F9" w14:textId="77777777" w:rsidR="00646828" w:rsidRPr="00F050E3" w:rsidRDefault="00646828" w:rsidP="00646828">
      <w:pPr>
        <w:spacing w:after="0" w:line="480" w:lineRule="auto"/>
        <w:ind w:firstLine="851"/>
        <w:contextualSpacing/>
        <w:jc w:val="both"/>
        <w:rPr>
          <w:rFonts w:ascii="Times New Roman" w:hAnsi="Times New Roman"/>
        </w:rPr>
      </w:pPr>
    </w:p>
    <w:p w14:paraId="56B117A8" w14:textId="77777777" w:rsidR="00646828" w:rsidRPr="00F050E3" w:rsidRDefault="00646828" w:rsidP="001C6B1A">
      <w:pPr>
        <w:pStyle w:val="Prrafodelista"/>
        <w:numPr>
          <w:ilvl w:val="0"/>
          <w:numId w:val="8"/>
        </w:numPr>
        <w:spacing w:after="0" w:line="360" w:lineRule="auto"/>
        <w:ind w:left="1783" w:hanging="1499"/>
        <w:jc w:val="both"/>
        <w:rPr>
          <w:rFonts w:ascii="Times New Roman" w:hAnsi="Times New Roman"/>
          <w:b/>
          <w:sz w:val="24"/>
          <w:lang w:val="es-ES"/>
        </w:rPr>
      </w:pPr>
      <w:r w:rsidRPr="003A6CAF">
        <w:rPr>
          <w:rFonts w:ascii="Times New Roman" w:hAnsi="Times New Roman"/>
          <w:b/>
          <w:sz w:val="24"/>
          <w:szCs w:val="24"/>
          <w:lang w:val="es-ES_tradnl"/>
        </w:rPr>
        <w:t>Casos</w:t>
      </w:r>
      <w:r w:rsidRPr="00F050E3">
        <w:rPr>
          <w:rFonts w:ascii="Times New Roman" w:hAnsi="Times New Roman"/>
          <w:b/>
          <w:sz w:val="24"/>
          <w:lang w:val="es-ES"/>
        </w:rPr>
        <w:t xml:space="preserve"> de atención ciudadana por tipo de eventos</w:t>
      </w:r>
      <w:r w:rsidRPr="00F050E3">
        <w:rPr>
          <w:rStyle w:val="Refdenotaalpie"/>
          <w:rFonts w:ascii="Times New Roman" w:hAnsi="Times New Roman"/>
          <w:sz w:val="24"/>
          <w:lang w:val="es-ES"/>
        </w:rPr>
        <w:footnoteReference w:id="32"/>
      </w:r>
    </w:p>
    <w:p w14:paraId="62E57DD1" w14:textId="77777777" w:rsidR="00646828" w:rsidRPr="00F769D3" w:rsidRDefault="00646828" w:rsidP="00646828">
      <w:pPr>
        <w:pStyle w:val="Prrafodelista"/>
        <w:spacing w:after="0" w:line="480" w:lineRule="auto"/>
        <w:ind w:left="0"/>
        <w:rPr>
          <w:rFonts w:ascii="Times New Roman" w:hAnsi="Times New Roman"/>
          <w:b/>
          <w:sz w:val="24"/>
          <w:lang w:val="es-ES"/>
        </w:rPr>
      </w:pPr>
      <w:r w:rsidRPr="00F769D3">
        <w:rPr>
          <w:rFonts w:ascii="Times New Roman" w:hAnsi="Times New Roman"/>
          <w:b/>
          <w:noProof/>
          <w:sz w:val="24"/>
          <w:szCs w:val="24"/>
          <w:lang w:eastAsia="es-DO"/>
        </w:rPr>
        <w:drawing>
          <wp:inline distT="0" distB="0" distL="0" distR="0" wp14:anchorId="7FDEE7A4" wp14:editId="49D9D1B7">
            <wp:extent cx="5399405" cy="3193576"/>
            <wp:effectExtent l="0" t="0" r="0" b="6985"/>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6229512E" w14:textId="77777777" w:rsidR="00646828" w:rsidRPr="00F769D3" w:rsidRDefault="00646828" w:rsidP="001C6B1A">
      <w:pPr>
        <w:pStyle w:val="Prrafodelista"/>
        <w:numPr>
          <w:ilvl w:val="0"/>
          <w:numId w:val="8"/>
        </w:numPr>
        <w:spacing w:after="0" w:line="360" w:lineRule="auto"/>
        <w:ind w:left="1783" w:hanging="1499"/>
        <w:jc w:val="both"/>
        <w:rPr>
          <w:rFonts w:ascii="Times New Roman" w:hAnsi="Times New Roman"/>
          <w:b/>
          <w:sz w:val="24"/>
          <w:szCs w:val="24"/>
          <w:lang w:val="es-ES"/>
        </w:rPr>
      </w:pPr>
      <w:r w:rsidRPr="00F769D3">
        <w:rPr>
          <w:rFonts w:ascii="Times New Roman" w:hAnsi="Times New Roman"/>
          <w:b/>
          <w:sz w:val="24"/>
          <w:szCs w:val="24"/>
          <w:lang w:val="es-ES"/>
        </w:rPr>
        <w:lastRenderedPageBreak/>
        <w:t>Casos de atención ciudadana por tipo de estatus</w:t>
      </w:r>
    </w:p>
    <w:p w14:paraId="661C3896" w14:textId="77777777" w:rsidR="00646828" w:rsidRPr="00F769D3" w:rsidRDefault="00646828" w:rsidP="00646828">
      <w:pPr>
        <w:spacing w:after="0" w:line="480" w:lineRule="auto"/>
        <w:contextualSpacing/>
        <w:jc w:val="both"/>
        <w:rPr>
          <w:rFonts w:ascii="Times New Roman" w:hAnsi="Times New Roman"/>
          <w:lang w:val="es-ES"/>
        </w:rPr>
      </w:pPr>
      <w:r w:rsidRPr="00F769D3">
        <w:rPr>
          <w:rFonts w:ascii="Times New Roman" w:hAnsi="Times New Roman"/>
          <w:noProof/>
          <w:lang w:eastAsia="es-DO"/>
        </w:rPr>
        <w:drawing>
          <wp:inline distT="0" distB="0" distL="0" distR="0" wp14:anchorId="5B906C0F" wp14:editId="38793E31">
            <wp:extent cx="5399405" cy="2975212"/>
            <wp:effectExtent l="0" t="0" r="0" b="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63B3BB64" w14:textId="77777777" w:rsidR="00646828" w:rsidRDefault="00646828" w:rsidP="00E2619B">
      <w:pPr>
        <w:spacing w:after="0" w:line="480" w:lineRule="auto"/>
        <w:contextualSpacing/>
        <w:jc w:val="both"/>
        <w:rPr>
          <w:rFonts w:ascii="Times New Roman" w:hAnsi="Times New Roman"/>
          <w:lang w:val="es-ES"/>
        </w:rPr>
      </w:pPr>
    </w:p>
    <w:p w14:paraId="19F529AE" w14:textId="77777777" w:rsidR="00E2619B" w:rsidRPr="00F050E3" w:rsidRDefault="00E2619B" w:rsidP="00CA5792">
      <w:pPr>
        <w:pStyle w:val="Ttulo4"/>
      </w:pPr>
      <w:bookmarkStart w:id="391" w:name="_Toc26292119"/>
      <w:bookmarkStart w:id="392" w:name="_Toc27146833"/>
      <w:r w:rsidRPr="00F050E3">
        <w:t>Gobierno Abierto</w:t>
      </w:r>
      <w:bookmarkEnd w:id="391"/>
      <w:bookmarkEnd w:id="392"/>
    </w:p>
    <w:p w14:paraId="6D4CAEFB" w14:textId="77777777" w:rsidR="00E2619B" w:rsidRPr="00F050E3" w:rsidRDefault="00E2619B" w:rsidP="00E2619B">
      <w:pPr>
        <w:spacing w:line="480" w:lineRule="auto"/>
        <w:ind w:firstLine="709"/>
        <w:contextualSpacing/>
        <w:jc w:val="both"/>
        <w:rPr>
          <w:rFonts w:ascii="Times New Roman" w:hAnsi="Times New Roman"/>
          <w:lang w:val="es-ES"/>
        </w:rPr>
      </w:pPr>
      <w:r w:rsidRPr="00F050E3">
        <w:rPr>
          <w:rFonts w:ascii="Times New Roman" w:hAnsi="Times New Roman"/>
          <w:lang w:val="es-ES"/>
        </w:rPr>
        <w:t xml:space="preserve">La Alianza para Gobierno Abierto surgió en septiembre del 2011 como “una nueva iniciativa multilateral que tiene como objetivo obtener compromisos concretos de los gobiernos, para promover la transparencia, capacitar a los ciudadanos, combatir la corrupción y aprovechar las nuevas tecnologías para fortalecer la gobernabilidad”. </w:t>
      </w:r>
    </w:p>
    <w:p w14:paraId="31E1CAEC" w14:textId="77777777" w:rsidR="00E2619B" w:rsidRPr="00F050E3" w:rsidRDefault="00E2619B" w:rsidP="00E2619B">
      <w:pPr>
        <w:spacing w:line="480" w:lineRule="auto"/>
        <w:ind w:firstLine="709"/>
        <w:contextualSpacing/>
        <w:jc w:val="center"/>
        <w:rPr>
          <w:rFonts w:ascii="Times New Roman" w:hAnsi="Times New Roman"/>
          <w:lang w:val="es-ES"/>
        </w:rPr>
      </w:pPr>
    </w:p>
    <w:p w14:paraId="3E327D67" w14:textId="77777777" w:rsidR="00E2619B" w:rsidRPr="00F050E3" w:rsidRDefault="00E2619B" w:rsidP="00E2619B">
      <w:pPr>
        <w:spacing w:line="480" w:lineRule="auto"/>
        <w:ind w:firstLine="709"/>
        <w:contextualSpacing/>
        <w:jc w:val="both"/>
        <w:rPr>
          <w:rFonts w:ascii="Times New Roman" w:hAnsi="Times New Roman"/>
        </w:rPr>
      </w:pPr>
      <w:r w:rsidRPr="00F050E3">
        <w:rPr>
          <w:rFonts w:ascii="Times New Roman" w:hAnsi="Times New Roman"/>
          <w:lang w:val="es-ES"/>
        </w:rPr>
        <w:t>En abril del 2012, la República Dominicana se hace signataria de esta alianza y en la actualidad está en implementación el Tercer Plan de Acción de Gobierno Abierto 2016-2018. Este Plan de Acción</w:t>
      </w:r>
      <w:r w:rsidRPr="00F050E3">
        <w:rPr>
          <w:rFonts w:ascii="Times New Roman" w:hAnsi="Times New Roman"/>
        </w:rPr>
        <w:t xml:space="preserve"> agrupa los once compromisos contraídos en seis grandes ejes temáticos: 1) Tecnología y Datos Abiertos; 2) Transparencia y rendición de cuentas; 3) Participación ciudadana; 4) Comunidades más seguras; 5) Medio ambiente responsable; e 6) Internet responsable.</w:t>
      </w:r>
    </w:p>
    <w:p w14:paraId="32019EB4" w14:textId="77777777" w:rsidR="00E2619B" w:rsidRPr="00F050E3" w:rsidRDefault="00E2619B" w:rsidP="00E2619B">
      <w:pPr>
        <w:spacing w:line="480" w:lineRule="auto"/>
        <w:ind w:firstLine="709"/>
        <w:contextualSpacing/>
        <w:jc w:val="both"/>
        <w:rPr>
          <w:rFonts w:ascii="Times New Roman" w:hAnsi="Times New Roman"/>
          <w:lang w:val="es-ES"/>
        </w:rPr>
      </w:pPr>
    </w:p>
    <w:p w14:paraId="03322168" w14:textId="77777777" w:rsidR="00E2619B" w:rsidRPr="00F050E3" w:rsidRDefault="00E2619B" w:rsidP="00E2619B">
      <w:pPr>
        <w:spacing w:after="0" w:line="480" w:lineRule="auto"/>
        <w:ind w:firstLine="720"/>
        <w:contextualSpacing/>
        <w:jc w:val="both"/>
        <w:rPr>
          <w:rFonts w:ascii="Times New Roman" w:hAnsi="Times New Roman"/>
        </w:rPr>
      </w:pPr>
      <w:r w:rsidRPr="00F050E3">
        <w:rPr>
          <w:rFonts w:ascii="Times New Roman" w:hAnsi="Times New Roman"/>
          <w:lang w:val="es-ES"/>
        </w:rPr>
        <w:t xml:space="preserve">Dando cumplimiento a la Resolución 1/2018, que modifica la estructura de los sub portales de transparencia, a partir de julio se creó la sección de Datos Abiertos en el sub portal de transparencia, donde mensualmente se liberan tres (3) conjuntos de datos, que son publicados en el Portal de Datos Abiertos del Gobierno Dominicano </w:t>
      </w:r>
      <w:hyperlink r:id="rId89" w:history="1">
        <w:r w:rsidRPr="00F050E3">
          <w:rPr>
            <w:rStyle w:val="Hipervnculo"/>
            <w:rFonts w:ascii="Times New Roman" w:hAnsi="Times New Roman"/>
            <w:lang w:val="es-ES"/>
          </w:rPr>
          <w:t>http://www.datos.gob.do</w:t>
        </w:r>
      </w:hyperlink>
      <w:r w:rsidRPr="00F050E3">
        <w:rPr>
          <w:rFonts w:ascii="Times New Roman" w:hAnsi="Times New Roman"/>
          <w:lang w:val="es-ES"/>
        </w:rPr>
        <w:t>, Esta nueva adición al sub portal de transparencia contribuye con el fortalecimiento del Indicador “Cumplimiento de la Ley no. 200-04”, que forma parte del Sistema de Monitoreo y Medición de la Gestión Pública (SMMGP).</w:t>
      </w:r>
    </w:p>
    <w:p w14:paraId="3538473B" w14:textId="77777777" w:rsidR="00E2619B" w:rsidRPr="00F050E3" w:rsidRDefault="00E2619B" w:rsidP="00E2619B">
      <w:pPr>
        <w:spacing w:after="0" w:line="480" w:lineRule="auto"/>
        <w:ind w:firstLine="720"/>
        <w:contextualSpacing/>
        <w:jc w:val="both"/>
        <w:rPr>
          <w:rFonts w:ascii="Times New Roman" w:hAnsi="Times New Roman"/>
          <w:lang w:val="es-ES_tradnl"/>
        </w:rPr>
      </w:pPr>
    </w:p>
    <w:p w14:paraId="4B1181F8" w14:textId="77777777" w:rsidR="00E2619B" w:rsidRPr="00F050E3" w:rsidRDefault="00E2619B" w:rsidP="00E2619B">
      <w:pPr>
        <w:spacing w:after="0" w:line="480" w:lineRule="auto"/>
        <w:ind w:firstLine="720"/>
        <w:contextualSpacing/>
        <w:jc w:val="both"/>
        <w:rPr>
          <w:rFonts w:ascii="Times New Roman" w:hAnsi="Times New Roman"/>
          <w:lang w:val="es-ES_tradnl"/>
        </w:rPr>
      </w:pPr>
      <w:r w:rsidRPr="00F050E3">
        <w:rPr>
          <w:rFonts w:ascii="Times New Roman" w:hAnsi="Times New Roman"/>
          <w:lang w:val="es-ES_tradnl"/>
        </w:rPr>
        <w:t>De igual forma, el uso del Portal Único de Solicitud de Acceso a la Información Pública (SAIP), herramienta para la que los ciudadanos presenten sus solicitudes de información pública ante las Oficinas de Acceso a la Información Pública (OAI), a partir de la Resolución 1/2018, también forma parte de la medición del Indicador “Cumplimiento de la Ley no. 200-04”, que forma parte del Sistema de Monitoreo y Medición de la Gestión Pública (SMMGP).</w:t>
      </w:r>
    </w:p>
    <w:p w14:paraId="79B3E846" w14:textId="77777777" w:rsidR="00E2619B" w:rsidRPr="00F050E3" w:rsidRDefault="00E2619B" w:rsidP="00E2619B">
      <w:pPr>
        <w:spacing w:after="0" w:line="480" w:lineRule="auto"/>
        <w:ind w:firstLine="720"/>
        <w:contextualSpacing/>
        <w:jc w:val="both"/>
        <w:rPr>
          <w:rFonts w:ascii="Times New Roman" w:hAnsi="Times New Roman"/>
          <w:lang w:val="es-ES_tradnl"/>
        </w:rPr>
      </w:pPr>
    </w:p>
    <w:p w14:paraId="05E2B5D3" w14:textId="77777777" w:rsidR="00E2619B" w:rsidRPr="002511BC" w:rsidRDefault="00E2619B" w:rsidP="00E2619B">
      <w:pPr>
        <w:spacing w:after="0" w:line="480" w:lineRule="auto"/>
        <w:ind w:firstLine="720"/>
        <w:contextualSpacing/>
        <w:jc w:val="both"/>
        <w:rPr>
          <w:rFonts w:ascii="Times New Roman" w:hAnsi="Times New Roman"/>
          <w:lang w:val="es-ES_tradnl"/>
        </w:rPr>
      </w:pPr>
      <w:r w:rsidRPr="00F050E3">
        <w:rPr>
          <w:rFonts w:ascii="Times New Roman" w:hAnsi="Times New Roman"/>
          <w:lang w:val="es-ES_tradnl"/>
        </w:rPr>
        <w:t>La OAI ha promovido y continúa promoviendo la utilización del SAIP, orientando a los ciudadanos la forma como pueden someter sus solicitudes de información utilizando dicho Portal.  En el periodo enero-octubre, el 95% de las solicitudes de información de ciudadanos presentadas a la OAI, fueron sometidas utilizando el SAIP.</w:t>
      </w:r>
    </w:p>
    <w:p w14:paraId="656624CF" w14:textId="77777777" w:rsidR="00E2619B" w:rsidRDefault="00E2619B" w:rsidP="003A6CAF">
      <w:pPr>
        <w:spacing w:after="0" w:line="480" w:lineRule="auto"/>
        <w:rPr>
          <w:rFonts w:ascii="Times New Roman" w:hAnsi="Times New Roman"/>
        </w:rPr>
      </w:pPr>
    </w:p>
    <w:p w14:paraId="1A9F0C24" w14:textId="77777777" w:rsidR="00E2619B" w:rsidRPr="00F050E3" w:rsidRDefault="00E2619B" w:rsidP="001C6B1A">
      <w:pPr>
        <w:pStyle w:val="Prrafodelista"/>
        <w:numPr>
          <w:ilvl w:val="0"/>
          <w:numId w:val="8"/>
        </w:numPr>
        <w:spacing w:after="0" w:line="360" w:lineRule="auto"/>
        <w:ind w:left="1783" w:hanging="1499"/>
        <w:jc w:val="both"/>
        <w:rPr>
          <w:rFonts w:ascii="Times New Roman" w:hAnsi="Times New Roman"/>
          <w:b/>
          <w:sz w:val="24"/>
          <w:szCs w:val="24"/>
          <w:lang w:val="es-ES"/>
        </w:rPr>
      </w:pPr>
      <w:r w:rsidRPr="003A6CAF">
        <w:rPr>
          <w:rFonts w:ascii="Times New Roman" w:hAnsi="Times New Roman"/>
          <w:b/>
          <w:sz w:val="24"/>
          <w:szCs w:val="24"/>
          <w:lang w:val="es-ES_tradnl"/>
        </w:rPr>
        <w:lastRenderedPageBreak/>
        <w:t>Porcentaje</w:t>
      </w:r>
      <w:r w:rsidRPr="00F050E3">
        <w:rPr>
          <w:rFonts w:ascii="Times New Roman" w:hAnsi="Times New Roman"/>
          <w:b/>
          <w:sz w:val="24"/>
          <w:szCs w:val="24"/>
          <w:lang w:val="es-ES"/>
        </w:rPr>
        <w:t xml:space="preserve"> de solicitudes de información gestionadas por tipo de canal</w:t>
      </w:r>
    </w:p>
    <w:p w14:paraId="62A18CFB" w14:textId="77777777" w:rsidR="00E2619B" w:rsidRPr="00F769D3" w:rsidRDefault="00E2619B" w:rsidP="00E2619B">
      <w:pPr>
        <w:jc w:val="center"/>
        <w:rPr>
          <w:rFonts w:ascii="Times New Roman" w:hAnsi="Times New Roman"/>
          <w:lang w:val="es-ES"/>
        </w:rPr>
      </w:pPr>
      <w:r w:rsidRPr="009B2AA8">
        <w:rPr>
          <w:rFonts w:ascii="Times New Roman" w:hAnsi="Times New Roman"/>
          <w:noProof/>
          <w:sz w:val="20"/>
          <w:szCs w:val="20"/>
          <w:lang w:eastAsia="es-DO"/>
        </w:rPr>
        <w:drawing>
          <wp:inline distT="0" distB="0" distL="0" distR="0" wp14:anchorId="6AAA5318" wp14:editId="58F243A2">
            <wp:extent cx="5399405" cy="2934269"/>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0128D08F" w14:textId="77777777" w:rsidR="00646828" w:rsidRPr="00F769D3" w:rsidRDefault="00646828" w:rsidP="00646828">
      <w:pPr>
        <w:spacing w:after="0"/>
        <w:rPr>
          <w:rFonts w:ascii="Times New Roman" w:hAnsi="Times New Roman"/>
          <w:lang w:val="es-ES"/>
        </w:rPr>
      </w:pPr>
    </w:p>
    <w:p w14:paraId="15D5C0A3" w14:textId="77777777" w:rsidR="00646828" w:rsidRPr="00F769D3" w:rsidRDefault="00646828" w:rsidP="00CA5792">
      <w:pPr>
        <w:pStyle w:val="Ttulo4"/>
      </w:pPr>
      <w:bookmarkStart w:id="393" w:name="_Toc470523399"/>
      <w:bookmarkStart w:id="394" w:name="_Toc26292115"/>
      <w:bookmarkStart w:id="395" w:name="_Toc27146834"/>
      <w:r w:rsidRPr="00F769D3">
        <w:t>Sistema Transaccional Documental (TRANSDOC)</w:t>
      </w:r>
      <w:bookmarkEnd w:id="393"/>
      <w:bookmarkEnd w:id="394"/>
      <w:bookmarkEnd w:id="395"/>
    </w:p>
    <w:p w14:paraId="54E79A67" w14:textId="77777777" w:rsidR="003A6CAF" w:rsidRDefault="003A6CAF" w:rsidP="00646828">
      <w:pPr>
        <w:spacing w:after="0" w:line="480" w:lineRule="auto"/>
        <w:ind w:firstLine="720"/>
        <w:contextualSpacing/>
        <w:jc w:val="both"/>
        <w:rPr>
          <w:rFonts w:ascii="Times New Roman" w:hAnsi="Times New Roman"/>
          <w:lang w:val="es-ES_tradnl"/>
        </w:rPr>
      </w:pPr>
    </w:p>
    <w:p w14:paraId="444BFA05" w14:textId="77777777" w:rsidR="00646828" w:rsidRPr="00F050E3" w:rsidRDefault="00646828" w:rsidP="00646828">
      <w:pPr>
        <w:spacing w:after="0" w:line="480" w:lineRule="auto"/>
        <w:ind w:firstLine="720"/>
        <w:contextualSpacing/>
        <w:jc w:val="both"/>
        <w:rPr>
          <w:rFonts w:ascii="Times New Roman" w:hAnsi="Times New Roman"/>
          <w:lang w:val="es-ES_tradnl"/>
        </w:rPr>
      </w:pPr>
      <w:r w:rsidRPr="00F050E3">
        <w:rPr>
          <w:rFonts w:ascii="Times New Roman" w:hAnsi="Times New Roman"/>
          <w:lang w:val="es-ES_tradnl"/>
        </w:rPr>
        <w:t xml:space="preserve">El sistema procura transparencia y agilidad en la gestión de la correspondencia oficial, que ingresa, circula al interior, o sale de la institución. </w:t>
      </w:r>
    </w:p>
    <w:p w14:paraId="31C357C3" w14:textId="77777777" w:rsidR="00646828" w:rsidRPr="00F050E3" w:rsidRDefault="00646828" w:rsidP="00646828">
      <w:pPr>
        <w:spacing w:after="0" w:line="480" w:lineRule="auto"/>
        <w:ind w:firstLine="720"/>
        <w:contextualSpacing/>
        <w:jc w:val="both"/>
        <w:rPr>
          <w:rFonts w:ascii="Times New Roman" w:hAnsi="Times New Roman"/>
          <w:lang w:val="es-ES_tradnl"/>
        </w:rPr>
      </w:pPr>
    </w:p>
    <w:p w14:paraId="2E0AB001" w14:textId="77777777" w:rsidR="00646828" w:rsidRPr="00F050E3" w:rsidRDefault="00646828" w:rsidP="00646828">
      <w:pPr>
        <w:spacing w:after="0" w:line="480" w:lineRule="auto"/>
        <w:ind w:firstLine="720"/>
        <w:contextualSpacing/>
        <w:jc w:val="both"/>
        <w:rPr>
          <w:rFonts w:ascii="Times New Roman" w:hAnsi="Times New Roman"/>
          <w:lang w:val="es-ES_tradnl"/>
        </w:rPr>
      </w:pPr>
      <w:r w:rsidRPr="00F050E3">
        <w:rPr>
          <w:rFonts w:ascii="Times New Roman" w:hAnsi="Times New Roman"/>
          <w:lang w:val="es-ES_tradnl"/>
        </w:rPr>
        <w:t xml:space="preserve">El soporte de este sistema está vinculado a las siguientes operaciones documentales: correspondencia de origen externo, correspondencia de origen interno y correspondencia en los archivos electrónicos. </w:t>
      </w:r>
    </w:p>
    <w:p w14:paraId="6B0ED9DF" w14:textId="77777777" w:rsidR="00646828" w:rsidRPr="00F050E3" w:rsidRDefault="00646828" w:rsidP="00646828">
      <w:pPr>
        <w:spacing w:after="0" w:line="480" w:lineRule="auto"/>
        <w:ind w:firstLine="720"/>
        <w:contextualSpacing/>
        <w:jc w:val="both"/>
        <w:rPr>
          <w:rFonts w:ascii="Times New Roman" w:hAnsi="Times New Roman"/>
          <w:lang w:val="es-ES_tradnl"/>
        </w:rPr>
      </w:pPr>
    </w:p>
    <w:p w14:paraId="33C9331A" w14:textId="77777777" w:rsidR="00646828" w:rsidRPr="00F050E3" w:rsidRDefault="00646828" w:rsidP="00646828">
      <w:pPr>
        <w:spacing w:after="0" w:line="480" w:lineRule="auto"/>
        <w:ind w:firstLine="720"/>
        <w:contextualSpacing/>
        <w:jc w:val="both"/>
        <w:rPr>
          <w:rFonts w:ascii="Times New Roman" w:hAnsi="Times New Roman"/>
          <w:lang w:val="es-ES_tradnl"/>
        </w:rPr>
      </w:pPr>
      <w:r w:rsidRPr="00F050E3">
        <w:rPr>
          <w:rFonts w:ascii="Times New Roman" w:hAnsi="Times New Roman"/>
          <w:lang w:val="es-ES_tradnl"/>
        </w:rPr>
        <w:t xml:space="preserve">Con la utilización del TRANSDOC se busca dar transparencia interna al proceso de circulación y procesamiento de los documentos internos y externos al tiempo de contribuir de manera concreta a la política institucional de “papel cero”, disminuyendo considerablemente la impresión de documentos físicos desde la </w:t>
      </w:r>
      <w:r w:rsidRPr="00F050E3">
        <w:rPr>
          <w:rFonts w:ascii="Times New Roman" w:hAnsi="Times New Roman"/>
          <w:lang w:val="es-ES_tradnl"/>
        </w:rPr>
        <w:lastRenderedPageBreak/>
        <w:t xml:space="preserve">puesta en marcha del sistema. El sistema cuenta con un portal de consulta directa a la ciudadana vía web con el vínculo denominado </w:t>
      </w:r>
      <w:hyperlink r:id="rId91" w:history="1">
        <w:r w:rsidRPr="00F050E3">
          <w:rPr>
            <w:rStyle w:val="Hipervnculo"/>
            <w:rFonts w:ascii="Times New Roman" w:hAnsi="Times New Roman"/>
            <w:lang w:val="es-ES"/>
          </w:rPr>
          <w:t>http://200.88.114.162/Consultacorrespexterna/</w:t>
        </w:r>
      </w:hyperlink>
      <w:r w:rsidRPr="00F050E3">
        <w:rPr>
          <w:rFonts w:ascii="Times New Roman" w:hAnsi="Times New Roman"/>
          <w:lang w:val="es-ES"/>
        </w:rPr>
        <w:t>.</w:t>
      </w:r>
    </w:p>
    <w:p w14:paraId="29C9F0EA" w14:textId="77777777" w:rsidR="003A6CAF" w:rsidRDefault="003A6CAF" w:rsidP="00646828">
      <w:pPr>
        <w:spacing w:after="0" w:line="480" w:lineRule="auto"/>
        <w:ind w:firstLine="851"/>
        <w:contextualSpacing/>
        <w:jc w:val="both"/>
        <w:rPr>
          <w:rFonts w:ascii="Times New Roman" w:hAnsi="Times New Roman"/>
          <w:lang w:val="es-ES_tradnl"/>
        </w:rPr>
      </w:pPr>
    </w:p>
    <w:p w14:paraId="48BA4649" w14:textId="3AA9D22A" w:rsidR="00646828" w:rsidRPr="00F050E3" w:rsidRDefault="00646828" w:rsidP="00646828">
      <w:pPr>
        <w:spacing w:after="0" w:line="480" w:lineRule="auto"/>
        <w:ind w:firstLine="851"/>
        <w:contextualSpacing/>
        <w:jc w:val="both"/>
        <w:rPr>
          <w:rFonts w:ascii="Times New Roman" w:hAnsi="Times New Roman"/>
          <w:lang w:val="es-ES_tradnl"/>
        </w:rPr>
      </w:pPr>
      <w:r w:rsidRPr="00F050E3">
        <w:rPr>
          <w:rFonts w:ascii="Times New Roman" w:hAnsi="Times New Roman"/>
          <w:lang w:val="es-ES_tradnl"/>
        </w:rPr>
        <w:t xml:space="preserve">Desde la implementación del Sistema Transaccional de Documentos se crearon 364 usuarios capacitados en el Ministerio, el cual fueron incrementando gradualmente según funcionalidades, actualmente la capacidad instalada del Ministerio es de </w:t>
      </w:r>
      <w:r w:rsidR="00636748" w:rsidRPr="00F050E3">
        <w:rPr>
          <w:rFonts w:ascii="Times New Roman" w:hAnsi="Times New Roman"/>
          <w:lang w:val="es-ES_tradnl"/>
        </w:rPr>
        <w:t>472</w:t>
      </w:r>
      <w:r w:rsidRPr="00F050E3">
        <w:rPr>
          <w:rFonts w:ascii="Times New Roman" w:hAnsi="Times New Roman"/>
          <w:lang w:val="es-ES_tradnl"/>
        </w:rPr>
        <w:t xml:space="preserve"> usuarios. </w:t>
      </w:r>
    </w:p>
    <w:p w14:paraId="2D273031" w14:textId="77777777" w:rsidR="00646828" w:rsidRPr="00F050E3" w:rsidRDefault="00646828" w:rsidP="00646828">
      <w:pPr>
        <w:spacing w:after="0" w:line="480" w:lineRule="auto"/>
        <w:ind w:firstLine="851"/>
        <w:contextualSpacing/>
        <w:jc w:val="both"/>
        <w:rPr>
          <w:rFonts w:ascii="Times New Roman" w:hAnsi="Times New Roman"/>
          <w:lang w:val="es-ES_tradnl"/>
        </w:rPr>
      </w:pPr>
    </w:p>
    <w:p w14:paraId="5370A130" w14:textId="66339FDF" w:rsidR="00646828" w:rsidRPr="00F050E3" w:rsidRDefault="00646828" w:rsidP="00646828">
      <w:pPr>
        <w:spacing w:after="0" w:line="480" w:lineRule="auto"/>
        <w:ind w:firstLine="851"/>
        <w:contextualSpacing/>
        <w:jc w:val="both"/>
        <w:rPr>
          <w:rFonts w:ascii="Times New Roman" w:hAnsi="Times New Roman"/>
          <w:lang w:val="es-ES_tradnl"/>
        </w:rPr>
      </w:pPr>
      <w:r w:rsidRPr="00F050E3">
        <w:rPr>
          <w:rFonts w:ascii="Times New Roman" w:hAnsi="Times New Roman"/>
          <w:lang w:val="es-ES_tradnl"/>
        </w:rPr>
        <w:t xml:space="preserve">Las comunicaciones elaboradas durante el período fueron </w:t>
      </w:r>
      <w:r w:rsidR="00636748" w:rsidRPr="00F050E3">
        <w:rPr>
          <w:rFonts w:ascii="Times New Roman" w:hAnsi="Times New Roman"/>
          <w:lang w:val="es-ES_tradnl"/>
        </w:rPr>
        <w:t>45,676</w:t>
      </w:r>
      <w:r w:rsidRPr="00F050E3">
        <w:rPr>
          <w:rFonts w:ascii="Times New Roman" w:hAnsi="Times New Roman"/>
          <w:lang w:val="es-ES_tradnl"/>
        </w:rPr>
        <w:t xml:space="preserve"> y la correspondencia externa registrada en el período señalado fue de </w:t>
      </w:r>
      <w:r w:rsidR="00636748" w:rsidRPr="00F050E3">
        <w:rPr>
          <w:rFonts w:ascii="Times New Roman" w:hAnsi="Times New Roman"/>
          <w:lang w:val="es-ES_tradnl"/>
        </w:rPr>
        <w:t>12,342</w:t>
      </w:r>
      <w:r w:rsidRPr="00F050E3">
        <w:rPr>
          <w:rFonts w:ascii="Times New Roman" w:hAnsi="Times New Roman"/>
          <w:lang w:val="es-ES_tradnl"/>
        </w:rPr>
        <w:t xml:space="preserve"> comunicaciones recibidas por el escritorio del TRANSDOC, para un total de </w:t>
      </w:r>
      <w:r w:rsidR="00636748" w:rsidRPr="00F050E3">
        <w:rPr>
          <w:rFonts w:ascii="Times New Roman" w:hAnsi="Times New Roman"/>
          <w:lang w:val="es-ES_tradnl"/>
        </w:rPr>
        <w:t>58,018</w:t>
      </w:r>
      <w:r w:rsidRPr="00F050E3">
        <w:rPr>
          <w:rFonts w:ascii="Times New Roman" w:hAnsi="Times New Roman"/>
          <w:lang w:val="es-ES_tradnl"/>
        </w:rPr>
        <w:t xml:space="preserve"> comunicaciones gestionadas. </w:t>
      </w:r>
    </w:p>
    <w:p w14:paraId="22E4A307" w14:textId="77777777" w:rsidR="00646828" w:rsidRPr="00070C6A" w:rsidRDefault="00646828" w:rsidP="00646828">
      <w:pPr>
        <w:spacing w:after="0" w:line="480" w:lineRule="auto"/>
        <w:ind w:firstLine="851"/>
        <w:contextualSpacing/>
        <w:jc w:val="both"/>
        <w:rPr>
          <w:rFonts w:ascii="Times New Roman" w:hAnsi="Times New Roman"/>
          <w:highlight w:val="red"/>
          <w:lang w:val="es-ES_tradnl"/>
        </w:rPr>
      </w:pPr>
    </w:p>
    <w:p w14:paraId="4F0C3560" w14:textId="77777777" w:rsidR="00646828" w:rsidRPr="0098414F" w:rsidRDefault="00646828" w:rsidP="001C6B1A">
      <w:pPr>
        <w:pStyle w:val="Prrafodelista"/>
        <w:numPr>
          <w:ilvl w:val="0"/>
          <w:numId w:val="8"/>
        </w:numPr>
        <w:spacing w:after="0" w:line="360" w:lineRule="auto"/>
        <w:ind w:left="1783" w:hanging="1499"/>
        <w:jc w:val="both"/>
        <w:rPr>
          <w:rFonts w:ascii="Times New Roman" w:hAnsi="Times New Roman"/>
          <w:b/>
          <w:sz w:val="24"/>
          <w:lang w:val="es-ES_tradnl"/>
        </w:rPr>
      </w:pPr>
      <w:r w:rsidRPr="0098414F">
        <w:rPr>
          <w:rFonts w:ascii="Times New Roman" w:hAnsi="Times New Roman"/>
          <w:b/>
          <w:sz w:val="24"/>
          <w:lang w:val="es-ES_tradnl"/>
        </w:rPr>
        <w:t>Total de documentos gestionadas tipo de comunicación</w:t>
      </w:r>
    </w:p>
    <w:p w14:paraId="22687865" w14:textId="77777777" w:rsidR="00646828" w:rsidRPr="0098414F" w:rsidRDefault="00646828" w:rsidP="00646828">
      <w:pPr>
        <w:spacing w:after="0" w:line="480" w:lineRule="auto"/>
        <w:ind w:left="-567" w:firstLine="720"/>
        <w:contextualSpacing/>
        <w:jc w:val="center"/>
        <w:rPr>
          <w:rFonts w:ascii="Times New Roman" w:hAnsi="Times New Roman"/>
          <w:lang w:val="es-ES_tradnl"/>
        </w:rPr>
      </w:pPr>
      <w:r w:rsidRPr="006D3398">
        <w:rPr>
          <w:noProof/>
          <w:lang w:eastAsia="es-DO"/>
        </w:rPr>
        <w:drawing>
          <wp:inline distT="0" distB="0" distL="0" distR="0" wp14:anchorId="47F74C33" wp14:editId="10202A46">
            <wp:extent cx="4792345" cy="3002508"/>
            <wp:effectExtent l="0" t="0" r="8255" b="7620"/>
            <wp:docPr id="22"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49702D11" w14:textId="77777777" w:rsidR="00646828" w:rsidRPr="0098414F" w:rsidRDefault="00646828" w:rsidP="00CA5792">
      <w:pPr>
        <w:pStyle w:val="Ttulo4"/>
      </w:pPr>
      <w:bookmarkStart w:id="396" w:name="_Toc251777871"/>
      <w:bookmarkStart w:id="397" w:name="_Toc254413091"/>
      <w:bookmarkStart w:id="398" w:name="_Toc409040091"/>
      <w:bookmarkStart w:id="399" w:name="_Toc440036745"/>
      <w:bookmarkStart w:id="400" w:name="_Toc470523402"/>
      <w:bookmarkStart w:id="401" w:name="_Toc26292116"/>
      <w:bookmarkStart w:id="402" w:name="_Toc27146835"/>
      <w:r w:rsidRPr="0098414F">
        <w:lastRenderedPageBreak/>
        <w:t>Establecimiento de comisiones y comité e iniciativas para la participación ciudadana</w:t>
      </w:r>
      <w:bookmarkEnd w:id="396"/>
      <w:bookmarkEnd w:id="397"/>
      <w:bookmarkEnd w:id="398"/>
      <w:bookmarkEnd w:id="399"/>
      <w:bookmarkEnd w:id="400"/>
      <w:bookmarkEnd w:id="401"/>
      <w:bookmarkEnd w:id="402"/>
      <w:r w:rsidRPr="0098414F">
        <w:t xml:space="preserve"> </w:t>
      </w:r>
    </w:p>
    <w:p w14:paraId="2104EB35" w14:textId="77777777" w:rsidR="003A6CAF" w:rsidRDefault="003A6CAF" w:rsidP="00646828">
      <w:pPr>
        <w:spacing w:after="0" w:line="480" w:lineRule="auto"/>
        <w:ind w:firstLine="720"/>
        <w:contextualSpacing/>
        <w:jc w:val="both"/>
        <w:rPr>
          <w:rFonts w:ascii="Times New Roman" w:hAnsi="Times New Roman"/>
          <w:lang w:val="es-ES"/>
        </w:rPr>
      </w:pPr>
    </w:p>
    <w:p w14:paraId="6F7DB426" w14:textId="77777777" w:rsidR="00646828" w:rsidRPr="00087227" w:rsidRDefault="00646828" w:rsidP="00646828">
      <w:pPr>
        <w:spacing w:after="0" w:line="480" w:lineRule="auto"/>
        <w:ind w:firstLine="720"/>
        <w:contextualSpacing/>
        <w:jc w:val="both"/>
        <w:rPr>
          <w:rFonts w:ascii="Times New Roman" w:hAnsi="Times New Roman"/>
          <w:color w:val="4F81BD" w:themeColor="accent1"/>
          <w:lang w:val="es-ES_tradnl"/>
        </w:rPr>
      </w:pPr>
      <w:r w:rsidRPr="00087227">
        <w:rPr>
          <w:rFonts w:ascii="Times New Roman" w:hAnsi="Times New Roman"/>
          <w:lang w:val="es-ES_tradnl"/>
        </w:rPr>
        <w:t xml:space="preserve">Dentro de las actividades recurrentes y con el objetivo de continuar fortaleciendo la estructura, organización y flujo de informaciones de la institución, para ofrecer un servicio de calidad superior, a los ciudadanos, se ejecutaron las siguientes acciones: </w:t>
      </w:r>
    </w:p>
    <w:p w14:paraId="447500E1" w14:textId="77777777" w:rsidR="00646828" w:rsidRPr="00087227" w:rsidRDefault="00646828" w:rsidP="00646828">
      <w:pPr>
        <w:spacing w:after="0"/>
        <w:rPr>
          <w:rFonts w:ascii="Times New Roman" w:hAnsi="Times New Roman"/>
          <w:lang w:val="es-ES_tradnl"/>
        </w:rPr>
      </w:pPr>
    </w:p>
    <w:p w14:paraId="57AF80F1" w14:textId="77777777" w:rsidR="00646828" w:rsidRPr="00087227" w:rsidRDefault="00646828" w:rsidP="00646828">
      <w:pPr>
        <w:pStyle w:val="Prrafodelista1"/>
        <w:spacing w:after="0" w:line="480" w:lineRule="auto"/>
        <w:ind w:left="0" w:firstLine="720"/>
        <w:jc w:val="both"/>
        <w:rPr>
          <w:rFonts w:ascii="Times New Roman" w:hAnsi="Times New Roman"/>
          <w:b/>
          <w:sz w:val="28"/>
          <w:szCs w:val="24"/>
          <w:lang w:val="es-ES_tradnl"/>
        </w:rPr>
      </w:pPr>
      <w:r w:rsidRPr="00087227">
        <w:rPr>
          <w:rFonts w:ascii="Times New Roman" w:hAnsi="Times New Roman"/>
          <w:b/>
          <w:sz w:val="28"/>
          <w:szCs w:val="24"/>
          <w:lang w:val="es-ES_tradnl"/>
        </w:rPr>
        <w:t>Comisión de Ética Pública</w:t>
      </w:r>
    </w:p>
    <w:p w14:paraId="02F28927" w14:textId="77777777" w:rsidR="00646828" w:rsidRPr="00087227" w:rsidRDefault="00646828" w:rsidP="00646828">
      <w:pPr>
        <w:pStyle w:val="Default"/>
        <w:spacing w:line="480" w:lineRule="auto"/>
        <w:contextualSpacing/>
        <w:jc w:val="both"/>
        <w:rPr>
          <w:rFonts w:ascii="Times New Roman" w:hAnsi="Times New Roman" w:cs="Times New Roman"/>
          <w:color w:val="auto"/>
        </w:rPr>
      </w:pPr>
      <w:r w:rsidRPr="00087227">
        <w:rPr>
          <w:rFonts w:ascii="Times New Roman" w:hAnsi="Times New Roman" w:cs="Times New Roman"/>
          <w:lang w:val="es-MX"/>
        </w:rPr>
        <w:t xml:space="preserve">Durante el periodo enero-octubre, la Comisión de Ética Pública (CEP) del ministerio </w:t>
      </w:r>
      <w:r w:rsidRPr="00087227">
        <w:rPr>
          <w:rFonts w:ascii="Times New Roman" w:hAnsi="Times New Roman" w:cs="Times New Roman"/>
          <w:color w:val="auto"/>
        </w:rPr>
        <w:t>estuvo trabajando en la ejecución de las actividades programadas en el Plan de Trabajo 2019, obteniendo los siguientes logros:</w:t>
      </w:r>
    </w:p>
    <w:p w14:paraId="2D844A5A" w14:textId="77777777" w:rsidR="00646828" w:rsidRPr="00087227" w:rsidRDefault="00646828" w:rsidP="00646828">
      <w:pPr>
        <w:pStyle w:val="Default"/>
        <w:spacing w:line="480" w:lineRule="auto"/>
        <w:contextualSpacing/>
        <w:jc w:val="both"/>
        <w:rPr>
          <w:rFonts w:ascii="Times New Roman" w:hAnsi="Times New Roman" w:cs="Times New Roman"/>
          <w:color w:val="auto"/>
        </w:rPr>
      </w:pPr>
    </w:p>
    <w:p w14:paraId="4725267B" w14:textId="3512FFB0" w:rsidR="00646828" w:rsidRPr="00087227" w:rsidRDefault="00646828" w:rsidP="001C6B1A">
      <w:pPr>
        <w:pStyle w:val="Default"/>
        <w:widowControl/>
        <w:numPr>
          <w:ilvl w:val="0"/>
          <w:numId w:val="16"/>
        </w:numPr>
        <w:spacing w:line="480" w:lineRule="auto"/>
        <w:contextualSpacing/>
        <w:jc w:val="both"/>
        <w:rPr>
          <w:rFonts w:ascii="Minion Pro" w:hAnsi="Minion Pro"/>
          <w:color w:val="auto"/>
          <w:sz w:val="23"/>
          <w:szCs w:val="23"/>
        </w:rPr>
      </w:pPr>
      <w:r w:rsidRPr="00087227">
        <w:rPr>
          <w:rFonts w:ascii="Times New Roman" w:hAnsi="Times New Roman" w:cs="Times New Roman"/>
          <w:color w:val="auto"/>
        </w:rPr>
        <w:t xml:space="preserve">252 </w:t>
      </w:r>
      <w:r w:rsidR="006C5D96">
        <w:rPr>
          <w:rFonts w:ascii="Times New Roman" w:hAnsi="Times New Roman" w:cs="Times New Roman"/>
          <w:color w:val="auto"/>
        </w:rPr>
        <w:t xml:space="preserve">encuestas </w:t>
      </w:r>
      <w:r w:rsidRPr="00087227">
        <w:rPr>
          <w:rFonts w:ascii="Times New Roman" w:hAnsi="Times New Roman" w:cs="Times New Roman"/>
          <w:color w:val="auto"/>
        </w:rPr>
        <w:t>servidores públicos de diferentes departamentos del ministerio para medir los conocimientos sobre ética, integridad, transparencia y prácticas anticorrupción.</w:t>
      </w:r>
    </w:p>
    <w:p w14:paraId="7742079C" w14:textId="3E28B9F7" w:rsidR="00646828" w:rsidRPr="00087227" w:rsidRDefault="006C5D96" w:rsidP="00646828">
      <w:pPr>
        <w:pStyle w:val="Default"/>
        <w:widowControl/>
        <w:numPr>
          <w:ilvl w:val="0"/>
          <w:numId w:val="5"/>
        </w:numPr>
        <w:spacing w:line="480" w:lineRule="auto"/>
        <w:ind w:left="714" w:hanging="357"/>
        <w:contextualSpacing/>
        <w:jc w:val="both"/>
        <w:rPr>
          <w:rFonts w:ascii="Times New Roman" w:hAnsi="Times New Roman" w:cs="Times New Roman"/>
          <w:color w:val="auto"/>
        </w:rPr>
      </w:pPr>
      <w:r>
        <w:rPr>
          <w:rFonts w:ascii="Times New Roman" w:hAnsi="Times New Roman" w:cs="Times New Roman"/>
          <w:color w:val="auto"/>
        </w:rPr>
        <w:t>U</w:t>
      </w:r>
      <w:r w:rsidR="00646828" w:rsidRPr="00087227">
        <w:rPr>
          <w:rFonts w:ascii="Times New Roman" w:hAnsi="Times New Roman" w:cs="Times New Roman"/>
          <w:color w:val="auto"/>
        </w:rPr>
        <w:t>na (1) charla de Ética Ciudadana para conmemorar el Día Nacional de la Ética Ciudadana, en la que participaron 84 servidores.</w:t>
      </w:r>
    </w:p>
    <w:p w14:paraId="3B2ADE17" w14:textId="1E0B3946" w:rsidR="00646828" w:rsidRPr="00087227" w:rsidRDefault="006C5D96" w:rsidP="00646828">
      <w:pPr>
        <w:pStyle w:val="Default"/>
        <w:widowControl/>
        <w:numPr>
          <w:ilvl w:val="0"/>
          <w:numId w:val="5"/>
        </w:numPr>
        <w:spacing w:line="480" w:lineRule="auto"/>
        <w:ind w:left="714" w:hanging="357"/>
        <w:contextualSpacing/>
        <w:jc w:val="both"/>
        <w:rPr>
          <w:rFonts w:ascii="Times New Roman" w:hAnsi="Times New Roman" w:cs="Times New Roman"/>
          <w:color w:val="auto"/>
        </w:rPr>
      </w:pPr>
      <w:r>
        <w:rPr>
          <w:rFonts w:ascii="Times New Roman" w:hAnsi="Times New Roman" w:cs="Times New Roman"/>
          <w:color w:val="auto"/>
        </w:rPr>
        <w:t>Una</w:t>
      </w:r>
      <w:r w:rsidR="00646828" w:rsidRPr="00087227">
        <w:rPr>
          <w:rFonts w:ascii="Times New Roman" w:hAnsi="Times New Roman" w:cs="Times New Roman"/>
          <w:color w:val="auto"/>
        </w:rPr>
        <w:t xml:space="preserve"> (1) charla sobre ética y valores dirigida a servidores y funcionarios, en la que participaron 48 servidores a los fines de sensibilizar y promover los valores institucionales.</w:t>
      </w:r>
    </w:p>
    <w:p w14:paraId="7696D9EA" w14:textId="6A17B9AD" w:rsidR="00646828" w:rsidRPr="00087227" w:rsidRDefault="006C5D96" w:rsidP="00646828">
      <w:pPr>
        <w:pStyle w:val="Prrafodelista"/>
        <w:numPr>
          <w:ilvl w:val="0"/>
          <w:numId w:val="5"/>
        </w:numPr>
        <w:spacing w:after="120" w:line="480" w:lineRule="auto"/>
        <w:ind w:left="714" w:hanging="357"/>
        <w:jc w:val="both"/>
        <w:rPr>
          <w:rFonts w:ascii="Times New Roman" w:hAnsi="Times New Roman"/>
          <w:sz w:val="24"/>
          <w:szCs w:val="24"/>
        </w:rPr>
      </w:pPr>
      <w:r>
        <w:rPr>
          <w:rFonts w:ascii="Times New Roman" w:hAnsi="Times New Roman"/>
          <w:sz w:val="24"/>
          <w:szCs w:val="24"/>
        </w:rPr>
        <w:t>U</w:t>
      </w:r>
      <w:r w:rsidR="00646828" w:rsidRPr="00087227">
        <w:rPr>
          <w:rFonts w:ascii="Times New Roman" w:hAnsi="Times New Roman"/>
          <w:sz w:val="24"/>
          <w:szCs w:val="24"/>
        </w:rPr>
        <w:t>na (1) charla sobre conflictos de interés, para concientizar y prevenir la ocurrencia de estos, con la participación de 78 servidores.</w:t>
      </w:r>
    </w:p>
    <w:p w14:paraId="1432E3BE" w14:textId="5F7057E1" w:rsidR="00646828" w:rsidRPr="00087227" w:rsidRDefault="006C5D96" w:rsidP="00646828">
      <w:pPr>
        <w:pStyle w:val="Prrafodelista"/>
        <w:numPr>
          <w:ilvl w:val="0"/>
          <w:numId w:val="5"/>
        </w:numPr>
        <w:spacing w:after="120" w:line="480" w:lineRule="auto"/>
        <w:ind w:left="714" w:hanging="357"/>
        <w:jc w:val="both"/>
        <w:rPr>
          <w:rFonts w:ascii="Times New Roman" w:hAnsi="Times New Roman"/>
          <w:sz w:val="24"/>
          <w:szCs w:val="24"/>
        </w:rPr>
      </w:pPr>
      <w:r>
        <w:rPr>
          <w:rFonts w:ascii="Times New Roman" w:hAnsi="Times New Roman"/>
          <w:sz w:val="24"/>
          <w:szCs w:val="24"/>
        </w:rPr>
        <w:lastRenderedPageBreak/>
        <w:t>U</w:t>
      </w:r>
      <w:r w:rsidR="00646828" w:rsidRPr="00087227">
        <w:rPr>
          <w:rFonts w:ascii="Times New Roman" w:hAnsi="Times New Roman"/>
          <w:sz w:val="24"/>
          <w:szCs w:val="24"/>
        </w:rPr>
        <w:t>na (1) charla sobre Delitos de Corrupción, para concientizar y prevenir la ocurrencia de estos, con la participación de 50 servidores.</w:t>
      </w:r>
    </w:p>
    <w:p w14:paraId="7F579BB4" w14:textId="77777777" w:rsidR="00646828" w:rsidRPr="00087227" w:rsidRDefault="00646828" w:rsidP="00646828">
      <w:pPr>
        <w:pStyle w:val="Prrafodelista"/>
        <w:numPr>
          <w:ilvl w:val="0"/>
          <w:numId w:val="5"/>
        </w:numPr>
        <w:spacing w:after="120" w:line="480" w:lineRule="auto"/>
        <w:ind w:left="714" w:hanging="357"/>
        <w:jc w:val="both"/>
        <w:rPr>
          <w:rFonts w:ascii="Times New Roman" w:hAnsi="Times New Roman"/>
          <w:sz w:val="24"/>
          <w:szCs w:val="24"/>
        </w:rPr>
      </w:pPr>
      <w:r w:rsidRPr="00087227">
        <w:rPr>
          <w:rFonts w:ascii="Times New Roman" w:hAnsi="Times New Roman"/>
          <w:sz w:val="24"/>
          <w:szCs w:val="24"/>
        </w:rPr>
        <w:t>Promoción de valores institucionales.</w:t>
      </w:r>
    </w:p>
    <w:p w14:paraId="5EFD449F" w14:textId="77777777" w:rsidR="00646828" w:rsidRPr="00087227" w:rsidRDefault="00646828" w:rsidP="00646828">
      <w:pPr>
        <w:pStyle w:val="Prrafodelista"/>
        <w:numPr>
          <w:ilvl w:val="0"/>
          <w:numId w:val="5"/>
        </w:numPr>
        <w:spacing w:after="120" w:line="480" w:lineRule="auto"/>
        <w:ind w:left="714" w:hanging="357"/>
        <w:jc w:val="both"/>
        <w:rPr>
          <w:rFonts w:ascii="Times New Roman" w:hAnsi="Times New Roman"/>
          <w:sz w:val="24"/>
          <w:szCs w:val="24"/>
        </w:rPr>
      </w:pPr>
      <w:r w:rsidRPr="00087227">
        <w:rPr>
          <w:rFonts w:ascii="Times New Roman" w:hAnsi="Times New Roman"/>
          <w:sz w:val="24"/>
          <w:szCs w:val="24"/>
        </w:rPr>
        <w:t xml:space="preserve">Promoción de los medios de comunicación disponibles para realizar denuncias ante la CEP. </w:t>
      </w:r>
    </w:p>
    <w:p w14:paraId="353E67E5" w14:textId="77777777" w:rsidR="00646828" w:rsidRPr="00087227" w:rsidRDefault="00646828" w:rsidP="00646828">
      <w:pPr>
        <w:pStyle w:val="Prrafodelista"/>
        <w:numPr>
          <w:ilvl w:val="0"/>
          <w:numId w:val="5"/>
        </w:numPr>
        <w:spacing w:after="120" w:line="480" w:lineRule="auto"/>
        <w:ind w:left="720"/>
        <w:jc w:val="both"/>
        <w:rPr>
          <w:rFonts w:ascii="Times New Roman" w:hAnsi="Times New Roman"/>
          <w:sz w:val="24"/>
          <w:szCs w:val="24"/>
        </w:rPr>
      </w:pPr>
      <w:r w:rsidRPr="00087227">
        <w:rPr>
          <w:rFonts w:ascii="Times New Roman" w:hAnsi="Times New Roman"/>
          <w:sz w:val="24"/>
          <w:szCs w:val="24"/>
        </w:rPr>
        <w:t>Participación de miembros de la CEP en las actividades, charlas y talleres ofrecidos por la DIGEIG.</w:t>
      </w:r>
    </w:p>
    <w:p w14:paraId="362497C1" w14:textId="1791960F" w:rsidR="00646828" w:rsidRPr="00087227" w:rsidRDefault="006C5D96" w:rsidP="00646828">
      <w:pPr>
        <w:pStyle w:val="Prrafodelista"/>
        <w:numPr>
          <w:ilvl w:val="0"/>
          <w:numId w:val="5"/>
        </w:numPr>
        <w:spacing w:after="120" w:line="480" w:lineRule="auto"/>
        <w:ind w:left="720"/>
        <w:jc w:val="both"/>
        <w:rPr>
          <w:rFonts w:ascii="Times New Roman" w:hAnsi="Times New Roman"/>
          <w:sz w:val="24"/>
          <w:szCs w:val="24"/>
        </w:rPr>
      </w:pPr>
      <w:r>
        <w:rPr>
          <w:rFonts w:ascii="Times New Roman" w:hAnsi="Times New Roman"/>
          <w:sz w:val="24"/>
          <w:szCs w:val="24"/>
        </w:rPr>
        <w:t xml:space="preserve">Recepción </w:t>
      </w:r>
      <w:r w:rsidR="00646828" w:rsidRPr="00087227">
        <w:rPr>
          <w:rFonts w:ascii="Times New Roman" w:hAnsi="Times New Roman"/>
          <w:sz w:val="24"/>
          <w:szCs w:val="24"/>
        </w:rPr>
        <w:t>y seguimiento de las quejas, reclamaciones y sugerencias depositadas en los buzones de sugerencia.</w:t>
      </w:r>
    </w:p>
    <w:p w14:paraId="34DE9F9B" w14:textId="77777777" w:rsidR="00646828" w:rsidRPr="00087227" w:rsidRDefault="00646828" w:rsidP="00646828">
      <w:pPr>
        <w:pStyle w:val="Prrafodelista"/>
        <w:numPr>
          <w:ilvl w:val="0"/>
          <w:numId w:val="5"/>
        </w:numPr>
        <w:spacing w:after="120" w:line="480" w:lineRule="auto"/>
        <w:ind w:left="720"/>
        <w:jc w:val="both"/>
        <w:rPr>
          <w:rFonts w:ascii="Times New Roman" w:hAnsi="Times New Roman"/>
          <w:sz w:val="24"/>
          <w:szCs w:val="24"/>
        </w:rPr>
      </w:pPr>
      <w:r w:rsidRPr="00087227">
        <w:rPr>
          <w:rFonts w:ascii="Times New Roman" w:hAnsi="Times New Roman"/>
          <w:sz w:val="24"/>
          <w:szCs w:val="24"/>
        </w:rPr>
        <w:t>Recepción, atención y solución de dos (2) casos de denuncias presentadas ante la CEP.</w:t>
      </w:r>
    </w:p>
    <w:p w14:paraId="5B9DC4A4" w14:textId="77777777" w:rsidR="00646828" w:rsidRPr="00087227" w:rsidRDefault="00646828" w:rsidP="00646828">
      <w:pPr>
        <w:pStyle w:val="Prrafodelista"/>
        <w:numPr>
          <w:ilvl w:val="0"/>
          <w:numId w:val="5"/>
        </w:numPr>
        <w:spacing w:after="120" w:line="480" w:lineRule="auto"/>
        <w:ind w:left="720"/>
        <w:jc w:val="both"/>
        <w:rPr>
          <w:rFonts w:ascii="Times New Roman" w:hAnsi="Times New Roman"/>
          <w:sz w:val="24"/>
          <w:szCs w:val="24"/>
        </w:rPr>
      </w:pPr>
      <w:r w:rsidRPr="00087227">
        <w:rPr>
          <w:rFonts w:ascii="Times New Roman" w:hAnsi="Times New Roman"/>
          <w:sz w:val="24"/>
          <w:szCs w:val="24"/>
        </w:rPr>
        <w:t xml:space="preserve">Se elaboró el Plan de Trabajo 2020 de la CEP y fue remitido y validado por la DIGEIG. </w:t>
      </w:r>
    </w:p>
    <w:p w14:paraId="4E8D9E6B" w14:textId="45FDB363" w:rsidR="00646828" w:rsidRPr="00087227" w:rsidRDefault="00646828" w:rsidP="00646828">
      <w:pPr>
        <w:pStyle w:val="Prrafodelista"/>
        <w:numPr>
          <w:ilvl w:val="0"/>
          <w:numId w:val="5"/>
        </w:numPr>
        <w:spacing w:after="120" w:line="480" w:lineRule="auto"/>
        <w:ind w:left="720"/>
        <w:jc w:val="both"/>
        <w:rPr>
          <w:rFonts w:ascii="Times New Roman" w:hAnsi="Times New Roman"/>
          <w:sz w:val="24"/>
          <w:szCs w:val="24"/>
        </w:rPr>
      </w:pPr>
      <w:r w:rsidRPr="00087227">
        <w:rPr>
          <w:rFonts w:ascii="Times New Roman" w:hAnsi="Times New Roman"/>
          <w:sz w:val="24"/>
          <w:szCs w:val="24"/>
        </w:rPr>
        <w:t>Apoyo a los servidores que participaron como candidato</w:t>
      </w:r>
      <w:r w:rsidR="006C5D96">
        <w:rPr>
          <w:rFonts w:ascii="Times New Roman" w:hAnsi="Times New Roman"/>
          <w:sz w:val="24"/>
          <w:szCs w:val="24"/>
        </w:rPr>
        <w:t xml:space="preserve">s en las elecciones de la </w:t>
      </w:r>
      <w:r w:rsidRPr="00087227">
        <w:rPr>
          <w:rFonts w:ascii="Times New Roman" w:hAnsi="Times New Roman"/>
          <w:sz w:val="24"/>
          <w:szCs w:val="24"/>
        </w:rPr>
        <w:t>Comisión de Ética Publica 2019-2021.</w:t>
      </w:r>
    </w:p>
    <w:p w14:paraId="1FA57D4C" w14:textId="77777777" w:rsidR="00646828" w:rsidRPr="00087227" w:rsidRDefault="00646828" w:rsidP="00646828">
      <w:pPr>
        <w:spacing w:after="120" w:line="480" w:lineRule="auto"/>
        <w:jc w:val="both"/>
        <w:rPr>
          <w:rFonts w:ascii="Times New Roman" w:hAnsi="Times New Roman"/>
          <w:lang w:val="es-MX"/>
        </w:rPr>
      </w:pPr>
    </w:p>
    <w:p w14:paraId="2AC484CF" w14:textId="77777777" w:rsidR="00646828" w:rsidRPr="00087227" w:rsidRDefault="00646828" w:rsidP="00646828">
      <w:pPr>
        <w:pStyle w:val="Prrafodelista1"/>
        <w:spacing w:after="0" w:line="480" w:lineRule="auto"/>
        <w:ind w:left="0" w:firstLine="720"/>
        <w:jc w:val="both"/>
        <w:rPr>
          <w:rFonts w:ascii="Times New Roman" w:hAnsi="Times New Roman"/>
          <w:b/>
          <w:sz w:val="28"/>
          <w:szCs w:val="24"/>
          <w:lang w:val="es-ES_tradnl"/>
        </w:rPr>
      </w:pPr>
      <w:r w:rsidRPr="00087227">
        <w:rPr>
          <w:rFonts w:ascii="Times New Roman" w:hAnsi="Times New Roman"/>
          <w:b/>
          <w:sz w:val="28"/>
          <w:szCs w:val="24"/>
          <w:lang w:val="es-ES_tradnl"/>
        </w:rPr>
        <w:t>Comité de Compras y Contrataciones Públicas</w:t>
      </w:r>
    </w:p>
    <w:p w14:paraId="5027B584" w14:textId="77777777" w:rsidR="00646828" w:rsidRPr="00087227" w:rsidRDefault="00646828" w:rsidP="00646828">
      <w:pPr>
        <w:pStyle w:val="Default"/>
        <w:widowControl/>
        <w:numPr>
          <w:ilvl w:val="0"/>
          <w:numId w:val="5"/>
        </w:numPr>
        <w:spacing w:line="480" w:lineRule="auto"/>
        <w:ind w:left="714" w:hanging="5"/>
        <w:contextualSpacing/>
        <w:jc w:val="both"/>
        <w:rPr>
          <w:rFonts w:ascii="Times New Roman" w:hAnsi="Times New Roman" w:cs="Times New Roman"/>
          <w:b/>
          <w:color w:val="auto"/>
          <w:lang w:val="es-ES_tradnl"/>
        </w:rPr>
      </w:pPr>
      <w:r w:rsidRPr="00087227">
        <w:rPr>
          <w:rFonts w:ascii="Times New Roman" w:hAnsi="Times New Roman" w:cs="Times New Roman"/>
          <w:color w:val="auto"/>
          <w:lang w:val="es-ES_tradnl"/>
        </w:rPr>
        <w:t>Reducción del tiempo de trámite y respuestas a proveedores.</w:t>
      </w:r>
    </w:p>
    <w:p w14:paraId="1E6B6B43" w14:textId="77777777" w:rsidR="00646828" w:rsidRPr="00087227" w:rsidRDefault="00646828" w:rsidP="00646828">
      <w:pPr>
        <w:pStyle w:val="Default"/>
        <w:widowControl/>
        <w:numPr>
          <w:ilvl w:val="0"/>
          <w:numId w:val="5"/>
        </w:numPr>
        <w:spacing w:line="480" w:lineRule="auto"/>
        <w:ind w:left="714" w:hanging="5"/>
        <w:contextualSpacing/>
        <w:jc w:val="both"/>
        <w:rPr>
          <w:rFonts w:ascii="Times New Roman" w:hAnsi="Times New Roman" w:cs="Times New Roman"/>
          <w:color w:val="auto"/>
          <w:lang w:val="es-ES_tradnl"/>
        </w:rPr>
      </w:pPr>
      <w:r w:rsidRPr="00087227">
        <w:rPr>
          <w:rFonts w:ascii="Times New Roman" w:hAnsi="Times New Roman" w:cs="Times New Roman"/>
          <w:color w:val="auto"/>
          <w:lang w:val="es-ES_tradnl"/>
        </w:rPr>
        <w:t>Descentralización y democratización de las compras públicas.</w:t>
      </w:r>
    </w:p>
    <w:p w14:paraId="19FEA8CF" w14:textId="77777777" w:rsidR="00646828" w:rsidRPr="00087227" w:rsidRDefault="00646828" w:rsidP="00646828">
      <w:pPr>
        <w:pStyle w:val="Default"/>
        <w:widowControl/>
        <w:numPr>
          <w:ilvl w:val="0"/>
          <w:numId w:val="5"/>
        </w:numPr>
        <w:spacing w:line="480" w:lineRule="auto"/>
        <w:ind w:left="714" w:hanging="5"/>
        <w:contextualSpacing/>
        <w:jc w:val="both"/>
        <w:rPr>
          <w:rFonts w:ascii="Times New Roman" w:hAnsi="Times New Roman" w:cs="Times New Roman"/>
          <w:b/>
          <w:color w:val="auto"/>
          <w:lang w:val="es-ES_tradnl"/>
        </w:rPr>
      </w:pPr>
      <w:r w:rsidRPr="00087227">
        <w:rPr>
          <w:rFonts w:ascii="Times New Roman" w:hAnsi="Times New Roman" w:cs="Times New Roman"/>
          <w:color w:val="auto"/>
          <w:lang w:val="es-ES_tradnl"/>
        </w:rPr>
        <w:t>Apoyo a las MiPyME’s en general y MiPyME’s mujeres.</w:t>
      </w:r>
    </w:p>
    <w:p w14:paraId="599EBAE7" w14:textId="5CCBA4C1" w:rsidR="00BD4360" w:rsidRDefault="00BD4360">
      <w:pPr>
        <w:spacing w:after="0"/>
        <w:rPr>
          <w:rFonts w:ascii="Times New Roman" w:hAnsi="Times New Roman"/>
          <w:b/>
          <w:lang w:val="es-ES_tradnl" w:eastAsia="es-ES"/>
        </w:rPr>
      </w:pPr>
      <w:r>
        <w:rPr>
          <w:rFonts w:ascii="Times New Roman" w:hAnsi="Times New Roman"/>
          <w:b/>
          <w:lang w:val="es-ES_tradnl"/>
        </w:rPr>
        <w:br w:type="page"/>
      </w:r>
    </w:p>
    <w:p w14:paraId="3975287A" w14:textId="77777777" w:rsidR="00646828" w:rsidRPr="00087227" w:rsidRDefault="00646828" w:rsidP="00646828">
      <w:pPr>
        <w:pStyle w:val="Prrafodelista1"/>
        <w:spacing w:after="0" w:line="480" w:lineRule="auto"/>
        <w:ind w:left="0" w:firstLine="720"/>
        <w:jc w:val="both"/>
        <w:rPr>
          <w:rFonts w:ascii="Times New Roman" w:hAnsi="Times New Roman"/>
          <w:b/>
          <w:sz w:val="28"/>
          <w:szCs w:val="24"/>
          <w:lang w:val="es-ES_tradnl"/>
        </w:rPr>
      </w:pPr>
      <w:r w:rsidRPr="00087227">
        <w:rPr>
          <w:rFonts w:ascii="Times New Roman" w:hAnsi="Times New Roman"/>
          <w:b/>
          <w:sz w:val="28"/>
          <w:szCs w:val="24"/>
          <w:lang w:val="es-ES_tradnl"/>
        </w:rPr>
        <w:lastRenderedPageBreak/>
        <w:t>Comité Administrador de Medios Web</w:t>
      </w:r>
    </w:p>
    <w:p w14:paraId="5E9EB420" w14:textId="77777777" w:rsidR="00646828" w:rsidRPr="00087227" w:rsidRDefault="00646828" w:rsidP="00646828">
      <w:pPr>
        <w:pStyle w:val="Default"/>
        <w:widowControl/>
        <w:numPr>
          <w:ilvl w:val="0"/>
          <w:numId w:val="5"/>
        </w:numPr>
        <w:spacing w:line="480" w:lineRule="auto"/>
        <w:ind w:left="714" w:hanging="5"/>
        <w:contextualSpacing/>
        <w:jc w:val="both"/>
        <w:rPr>
          <w:rStyle w:val="Hipervnculo"/>
          <w:rFonts w:ascii="Times New Roman" w:hAnsi="Times New Roman" w:cs="Times New Roman"/>
          <w:color w:val="auto"/>
        </w:rPr>
      </w:pPr>
      <w:r w:rsidRPr="00087227">
        <w:rPr>
          <w:rFonts w:ascii="Times New Roman" w:hAnsi="Times New Roman" w:cs="Times New Roman"/>
        </w:rPr>
        <w:t>Publicación de tres (3) conjuntos de datos que mensualmente se liberan en la sección de Datos Abiertos del Portal de Transparencia del Ministerio de Agricultura.</w:t>
      </w:r>
    </w:p>
    <w:p w14:paraId="0971075F" w14:textId="77777777" w:rsidR="00646828" w:rsidRPr="00087227" w:rsidRDefault="00646828" w:rsidP="00646828">
      <w:pPr>
        <w:pStyle w:val="Default"/>
        <w:widowControl/>
        <w:numPr>
          <w:ilvl w:val="0"/>
          <w:numId w:val="5"/>
        </w:numPr>
        <w:spacing w:line="480" w:lineRule="auto"/>
        <w:ind w:left="714" w:hanging="5"/>
        <w:contextualSpacing/>
        <w:jc w:val="both"/>
        <w:rPr>
          <w:rStyle w:val="Hipervnculo"/>
          <w:rFonts w:ascii="Times New Roman" w:hAnsi="Times New Roman" w:cs="Times New Roman"/>
          <w:color w:val="auto"/>
        </w:rPr>
      </w:pPr>
      <w:r w:rsidRPr="00087227">
        <w:rPr>
          <w:rFonts w:ascii="Times New Roman" w:hAnsi="Times New Roman" w:cs="Times New Roman"/>
        </w:rPr>
        <w:t xml:space="preserve">Publicación de tres (3) conjuntos de datos que mensualmente se liberan en el Portal de Datos Abiertos del Gobierno Dominicano </w:t>
      </w:r>
      <w:hyperlink r:id="rId93" w:history="1">
        <w:r w:rsidRPr="00087227">
          <w:rPr>
            <w:rStyle w:val="Hipervnculo"/>
            <w:rFonts w:ascii="Times New Roman" w:hAnsi="Times New Roman" w:cs="Times New Roman"/>
          </w:rPr>
          <w:t>www.datos.gob.do</w:t>
        </w:r>
      </w:hyperlink>
      <w:r w:rsidRPr="00087227">
        <w:rPr>
          <w:rFonts w:ascii="Times New Roman" w:hAnsi="Times New Roman" w:cs="Times New Roman"/>
        </w:rPr>
        <w:t xml:space="preserve"> </w:t>
      </w:r>
    </w:p>
    <w:p w14:paraId="50346F86" w14:textId="77777777" w:rsidR="00646828" w:rsidRPr="00087227" w:rsidRDefault="00646828" w:rsidP="00646828">
      <w:pPr>
        <w:pStyle w:val="Default"/>
        <w:widowControl/>
        <w:numPr>
          <w:ilvl w:val="0"/>
          <w:numId w:val="5"/>
        </w:numPr>
        <w:spacing w:line="480" w:lineRule="auto"/>
        <w:ind w:left="714" w:hanging="5"/>
        <w:contextualSpacing/>
        <w:jc w:val="both"/>
        <w:rPr>
          <w:rFonts w:ascii="Times New Roman" w:hAnsi="Times New Roman" w:cs="Times New Roman"/>
          <w:color w:val="auto"/>
        </w:rPr>
      </w:pPr>
      <w:r w:rsidRPr="00087227">
        <w:rPr>
          <w:rFonts w:ascii="Times New Roman" w:hAnsi="Times New Roman" w:cs="Times New Roman"/>
          <w:color w:val="auto"/>
        </w:rPr>
        <w:t>Mantenimiento de la certificación de cumplimiento con la norma NORTIC A3:2014 de Datos Abiertos otorgada por la OPTIC al Portal del Ministerio de Agricultura.</w:t>
      </w:r>
    </w:p>
    <w:p w14:paraId="06A7415F" w14:textId="77777777" w:rsidR="00646828" w:rsidRPr="00087227" w:rsidRDefault="00646828" w:rsidP="00646828">
      <w:pPr>
        <w:pStyle w:val="Default"/>
        <w:widowControl/>
        <w:spacing w:line="480" w:lineRule="auto"/>
        <w:contextualSpacing/>
        <w:jc w:val="both"/>
        <w:rPr>
          <w:rFonts w:ascii="Times New Roman" w:hAnsi="Times New Roman" w:cs="Times New Roman"/>
          <w:color w:val="auto"/>
        </w:rPr>
      </w:pPr>
    </w:p>
    <w:p w14:paraId="59839D3F" w14:textId="77777777" w:rsidR="00646828" w:rsidRPr="00087227" w:rsidRDefault="00646828" w:rsidP="00CA5792">
      <w:pPr>
        <w:pStyle w:val="Ttulo4"/>
      </w:pPr>
      <w:bookmarkStart w:id="403" w:name="_Toc26292117"/>
      <w:bookmarkStart w:id="404" w:name="_Toc27146836"/>
      <w:r w:rsidRPr="00087227">
        <w:t>Declaraciones juradas personales</w:t>
      </w:r>
      <w:bookmarkEnd w:id="403"/>
      <w:bookmarkEnd w:id="404"/>
    </w:p>
    <w:p w14:paraId="54C0108B" w14:textId="77777777" w:rsidR="003A6CAF" w:rsidRDefault="003A6CAF" w:rsidP="00646828">
      <w:pPr>
        <w:spacing w:after="0" w:line="480" w:lineRule="auto"/>
        <w:ind w:firstLine="720"/>
        <w:contextualSpacing/>
        <w:jc w:val="both"/>
        <w:rPr>
          <w:rFonts w:ascii="Times New Roman" w:hAnsi="Times New Roman"/>
          <w:lang w:val="es-ES"/>
        </w:rPr>
      </w:pPr>
    </w:p>
    <w:p w14:paraId="29345B85" w14:textId="7F7FD7E4" w:rsidR="00646828" w:rsidRPr="00087227" w:rsidRDefault="00646828" w:rsidP="00646828">
      <w:pPr>
        <w:spacing w:after="0" w:line="480" w:lineRule="auto"/>
        <w:ind w:firstLine="720"/>
        <w:contextualSpacing/>
        <w:jc w:val="both"/>
        <w:rPr>
          <w:rFonts w:ascii="Times New Roman" w:hAnsi="Times New Roman"/>
          <w:lang w:val="es-ES"/>
        </w:rPr>
      </w:pPr>
      <w:r w:rsidRPr="00087227">
        <w:rPr>
          <w:rFonts w:ascii="Times New Roman" w:hAnsi="Times New Roman"/>
          <w:lang w:val="es-ES"/>
        </w:rPr>
        <w:t>Los funcionarios correspondiente</w:t>
      </w:r>
      <w:r w:rsidR="006C5D96">
        <w:rPr>
          <w:rFonts w:ascii="Times New Roman" w:hAnsi="Times New Roman"/>
          <w:lang w:val="es-ES"/>
        </w:rPr>
        <w:t>s</w:t>
      </w:r>
      <w:r w:rsidRPr="00087227">
        <w:rPr>
          <w:rFonts w:ascii="Times New Roman" w:hAnsi="Times New Roman"/>
          <w:lang w:val="es-ES"/>
        </w:rPr>
        <w:t xml:space="preserve"> a la cartera agropecuaria (Ministerio de Agricultura) presentaron sus respectivas declaraciones juradas dando fiel cumplimiento a la Ley No. 82-79, que obliga a los funcionarios públicos a levantar un inventario detallado, jurado y legalizado ante notario público de todos los bienes que constituyen su patrimonio.</w:t>
      </w:r>
    </w:p>
    <w:p w14:paraId="58A7CACB" w14:textId="77777777" w:rsidR="00646828" w:rsidRPr="00087227" w:rsidRDefault="00646828" w:rsidP="00646828">
      <w:pPr>
        <w:spacing w:after="0" w:line="480" w:lineRule="auto"/>
        <w:ind w:firstLine="720"/>
        <w:contextualSpacing/>
        <w:jc w:val="both"/>
        <w:rPr>
          <w:rFonts w:ascii="Times New Roman" w:hAnsi="Times New Roman"/>
          <w:lang w:val="es-ES"/>
        </w:rPr>
      </w:pPr>
    </w:p>
    <w:p w14:paraId="381BA08B" w14:textId="77777777" w:rsidR="00646828" w:rsidRPr="00087227" w:rsidRDefault="00646828" w:rsidP="00646828">
      <w:pPr>
        <w:spacing w:after="0" w:line="480" w:lineRule="auto"/>
        <w:ind w:firstLine="720"/>
        <w:contextualSpacing/>
        <w:jc w:val="both"/>
        <w:rPr>
          <w:rFonts w:ascii="Times New Roman" w:hAnsi="Times New Roman"/>
          <w:lang w:val="es-ES"/>
        </w:rPr>
      </w:pPr>
      <w:r w:rsidRPr="00087227">
        <w:rPr>
          <w:rFonts w:ascii="Times New Roman" w:hAnsi="Times New Roman"/>
          <w:lang w:val="es-ES"/>
        </w:rPr>
        <w:t xml:space="preserve">Dichas declaraciones de bienes pueden ser consultadas a través del portal de Transparencia Gubernamental del Ministerio de Agricultura mediante el vínculo </w:t>
      </w:r>
      <w:hyperlink r:id="rId94" w:history="1">
        <w:r w:rsidRPr="00087227">
          <w:rPr>
            <w:rStyle w:val="Hipervnculo"/>
            <w:rFonts w:ascii="Times New Roman" w:hAnsi="Times New Roman"/>
            <w:lang w:val="es-ES"/>
          </w:rPr>
          <w:t>http://www.agricultura.gob.do/transparencia/index.php/declaracion-jurada-de-patrimonio</w:t>
        </w:r>
      </w:hyperlink>
      <w:r w:rsidRPr="00087227">
        <w:rPr>
          <w:rFonts w:ascii="Times New Roman" w:hAnsi="Times New Roman"/>
          <w:lang w:val="es-ES"/>
        </w:rPr>
        <w:t xml:space="preserve"> para ampliar más detalles.</w:t>
      </w:r>
    </w:p>
    <w:p w14:paraId="4753FDED" w14:textId="77777777" w:rsidR="00646828" w:rsidRPr="00087227" w:rsidRDefault="00646828" w:rsidP="001C6B1A">
      <w:pPr>
        <w:pStyle w:val="Prrafodelista"/>
        <w:numPr>
          <w:ilvl w:val="0"/>
          <w:numId w:val="9"/>
        </w:numPr>
        <w:spacing w:after="0"/>
        <w:ind w:hanging="644"/>
        <w:jc w:val="both"/>
        <w:rPr>
          <w:rFonts w:ascii="Times New Roman" w:hAnsi="Times New Roman"/>
          <w:b/>
          <w:bCs/>
          <w:sz w:val="24"/>
          <w:lang w:val="es-ES_tradnl"/>
        </w:rPr>
      </w:pPr>
      <w:r w:rsidRPr="00087227">
        <w:rPr>
          <w:rFonts w:ascii="Times New Roman" w:hAnsi="Times New Roman"/>
          <w:b/>
          <w:bCs/>
          <w:sz w:val="24"/>
          <w:lang w:val="es-ES_tradnl"/>
        </w:rPr>
        <w:lastRenderedPageBreak/>
        <w:t xml:space="preserve">Relación de declaraciones juradas </w:t>
      </w:r>
    </w:p>
    <w:p w14:paraId="27EB29E4" w14:textId="77777777" w:rsidR="003D1320" w:rsidRPr="00087227" w:rsidRDefault="003D1320" w:rsidP="003D1320">
      <w:pPr>
        <w:pStyle w:val="Prrafodelista"/>
        <w:spacing w:after="0"/>
        <w:ind w:left="644"/>
        <w:jc w:val="both"/>
        <w:rPr>
          <w:rFonts w:ascii="Times New Roman" w:hAnsi="Times New Roman"/>
          <w:b/>
          <w:bCs/>
          <w:sz w:val="24"/>
          <w:lang w:val="es-ES_tradnl"/>
        </w:rPr>
      </w:pPr>
    </w:p>
    <w:tbl>
      <w:tblPr>
        <w:tblW w:w="9080" w:type="dxa"/>
        <w:tblInd w:w="55" w:type="dxa"/>
        <w:tblCellMar>
          <w:left w:w="70" w:type="dxa"/>
          <w:right w:w="70" w:type="dxa"/>
        </w:tblCellMar>
        <w:tblLook w:val="04A0" w:firstRow="1" w:lastRow="0" w:firstColumn="1" w:lastColumn="0" w:noHBand="0" w:noVBand="1"/>
      </w:tblPr>
      <w:tblGrid>
        <w:gridCol w:w="649"/>
        <w:gridCol w:w="2627"/>
        <w:gridCol w:w="3575"/>
        <w:gridCol w:w="2229"/>
      </w:tblGrid>
      <w:tr w:rsidR="00646828" w:rsidRPr="00087227" w14:paraId="797212DB" w14:textId="77777777" w:rsidTr="008354C5">
        <w:trPr>
          <w:trHeight w:val="288"/>
        </w:trPr>
        <w:tc>
          <w:tcPr>
            <w:tcW w:w="649"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6E066578" w14:textId="77777777" w:rsidR="00646828" w:rsidRPr="00087227" w:rsidRDefault="00646828" w:rsidP="008354C5">
            <w:pPr>
              <w:spacing w:after="0"/>
              <w:jc w:val="center"/>
              <w:rPr>
                <w:rFonts w:ascii="Times New Roman" w:hAnsi="Times New Roman"/>
                <w:b/>
                <w:color w:val="FFFFFF" w:themeColor="background1"/>
                <w:lang w:eastAsia="es-DO"/>
              </w:rPr>
            </w:pPr>
            <w:r w:rsidRPr="00087227">
              <w:rPr>
                <w:rFonts w:ascii="Times New Roman" w:hAnsi="Times New Roman"/>
                <w:b/>
                <w:color w:val="FFFFFF" w:themeColor="background1"/>
                <w:lang w:eastAsia="es-DO"/>
              </w:rPr>
              <w:t>No.</w:t>
            </w:r>
          </w:p>
        </w:tc>
        <w:tc>
          <w:tcPr>
            <w:tcW w:w="2627" w:type="dxa"/>
            <w:tcBorders>
              <w:top w:val="single" w:sz="4" w:space="0" w:color="auto"/>
              <w:left w:val="nil"/>
              <w:bottom w:val="single" w:sz="4" w:space="0" w:color="auto"/>
              <w:right w:val="single" w:sz="4" w:space="0" w:color="auto"/>
            </w:tcBorders>
            <w:shd w:val="clear" w:color="auto" w:fill="00B050"/>
            <w:noWrap/>
            <w:vAlign w:val="center"/>
            <w:hideMark/>
          </w:tcPr>
          <w:p w14:paraId="066FB1BF" w14:textId="77777777" w:rsidR="00646828" w:rsidRPr="00087227" w:rsidRDefault="00646828" w:rsidP="008354C5">
            <w:pPr>
              <w:spacing w:after="0"/>
              <w:jc w:val="center"/>
              <w:rPr>
                <w:rFonts w:ascii="Times New Roman" w:hAnsi="Times New Roman"/>
                <w:b/>
                <w:bCs/>
                <w:color w:val="FFFFFF" w:themeColor="background1"/>
                <w:lang w:eastAsia="es-DO"/>
              </w:rPr>
            </w:pPr>
            <w:r w:rsidRPr="00087227">
              <w:rPr>
                <w:rFonts w:ascii="Times New Roman" w:hAnsi="Times New Roman"/>
                <w:b/>
                <w:bCs/>
                <w:color w:val="FFFFFF" w:themeColor="background1"/>
                <w:lang w:eastAsia="es-DO"/>
              </w:rPr>
              <w:t>Nombre</w:t>
            </w:r>
          </w:p>
        </w:tc>
        <w:tc>
          <w:tcPr>
            <w:tcW w:w="3575" w:type="dxa"/>
            <w:tcBorders>
              <w:top w:val="single" w:sz="4" w:space="0" w:color="auto"/>
              <w:left w:val="nil"/>
              <w:bottom w:val="single" w:sz="4" w:space="0" w:color="auto"/>
              <w:right w:val="single" w:sz="4" w:space="0" w:color="auto"/>
            </w:tcBorders>
            <w:shd w:val="clear" w:color="auto" w:fill="00B050"/>
            <w:noWrap/>
            <w:vAlign w:val="center"/>
            <w:hideMark/>
          </w:tcPr>
          <w:p w14:paraId="06029753" w14:textId="77777777" w:rsidR="00646828" w:rsidRPr="00087227" w:rsidRDefault="00646828" w:rsidP="008354C5">
            <w:pPr>
              <w:spacing w:after="0"/>
              <w:jc w:val="center"/>
              <w:rPr>
                <w:rFonts w:ascii="Times New Roman" w:hAnsi="Times New Roman"/>
                <w:b/>
                <w:bCs/>
                <w:color w:val="FFFFFF" w:themeColor="background1"/>
                <w:lang w:eastAsia="es-DO"/>
              </w:rPr>
            </w:pPr>
            <w:r w:rsidRPr="00087227">
              <w:rPr>
                <w:rFonts w:ascii="Times New Roman" w:hAnsi="Times New Roman"/>
                <w:b/>
                <w:bCs/>
                <w:color w:val="FFFFFF" w:themeColor="background1"/>
                <w:lang w:eastAsia="es-DO"/>
              </w:rPr>
              <w:t>Cargo</w:t>
            </w:r>
          </w:p>
        </w:tc>
        <w:tc>
          <w:tcPr>
            <w:tcW w:w="2229" w:type="dxa"/>
            <w:tcBorders>
              <w:top w:val="single" w:sz="4" w:space="0" w:color="auto"/>
              <w:left w:val="nil"/>
              <w:bottom w:val="single" w:sz="4" w:space="0" w:color="auto"/>
              <w:right w:val="single" w:sz="4" w:space="0" w:color="auto"/>
            </w:tcBorders>
            <w:shd w:val="clear" w:color="auto" w:fill="00B050"/>
            <w:vAlign w:val="center"/>
            <w:hideMark/>
          </w:tcPr>
          <w:p w14:paraId="2C7401B4" w14:textId="77777777" w:rsidR="00646828" w:rsidRPr="00087227" w:rsidRDefault="00646828" w:rsidP="008354C5">
            <w:pPr>
              <w:spacing w:after="0"/>
              <w:jc w:val="center"/>
              <w:rPr>
                <w:rFonts w:ascii="Times New Roman" w:hAnsi="Times New Roman"/>
                <w:b/>
                <w:bCs/>
                <w:color w:val="FFFFFF" w:themeColor="background1"/>
                <w:lang w:eastAsia="es-DO"/>
              </w:rPr>
            </w:pPr>
            <w:r w:rsidRPr="00087227">
              <w:rPr>
                <w:rFonts w:ascii="Times New Roman" w:hAnsi="Times New Roman"/>
                <w:b/>
                <w:bCs/>
                <w:color w:val="FFFFFF" w:themeColor="background1"/>
                <w:lang w:eastAsia="es-DO"/>
              </w:rPr>
              <w:t xml:space="preserve">Fecha de Presentación </w:t>
            </w:r>
          </w:p>
        </w:tc>
      </w:tr>
      <w:tr w:rsidR="00646828" w:rsidRPr="00087227" w14:paraId="149A1CB6" w14:textId="77777777" w:rsidTr="008354C5">
        <w:trPr>
          <w:trHeight w:val="288"/>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284A4BCE"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1</w:t>
            </w:r>
          </w:p>
        </w:tc>
        <w:tc>
          <w:tcPr>
            <w:tcW w:w="2627" w:type="dxa"/>
            <w:tcBorders>
              <w:top w:val="nil"/>
              <w:left w:val="nil"/>
              <w:bottom w:val="single" w:sz="4" w:space="0" w:color="auto"/>
              <w:right w:val="single" w:sz="4" w:space="0" w:color="auto"/>
            </w:tcBorders>
            <w:shd w:val="clear" w:color="auto" w:fill="auto"/>
            <w:noWrap/>
            <w:vAlign w:val="bottom"/>
            <w:hideMark/>
          </w:tcPr>
          <w:p w14:paraId="454AD535"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Osmar Benítez</w:t>
            </w:r>
          </w:p>
        </w:tc>
        <w:tc>
          <w:tcPr>
            <w:tcW w:w="3575" w:type="dxa"/>
            <w:tcBorders>
              <w:top w:val="nil"/>
              <w:left w:val="nil"/>
              <w:bottom w:val="single" w:sz="4" w:space="0" w:color="auto"/>
              <w:right w:val="single" w:sz="4" w:space="0" w:color="auto"/>
            </w:tcBorders>
            <w:shd w:val="clear" w:color="auto" w:fill="auto"/>
            <w:noWrap/>
            <w:vAlign w:val="bottom"/>
            <w:hideMark/>
          </w:tcPr>
          <w:p w14:paraId="62E23502"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Ministro</w:t>
            </w:r>
          </w:p>
        </w:tc>
        <w:tc>
          <w:tcPr>
            <w:tcW w:w="2229" w:type="dxa"/>
            <w:tcBorders>
              <w:top w:val="single" w:sz="4" w:space="0" w:color="auto"/>
              <w:left w:val="nil"/>
              <w:bottom w:val="single" w:sz="4" w:space="0" w:color="auto"/>
              <w:right w:val="single" w:sz="4" w:space="0" w:color="auto"/>
            </w:tcBorders>
            <w:shd w:val="clear" w:color="auto" w:fill="auto"/>
            <w:vAlign w:val="bottom"/>
            <w:hideMark/>
          </w:tcPr>
          <w:p w14:paraId="1B187701"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13/07/2018</w:t>
            </w:r>
          </w:p>
        </w:tc>
      </w:tr>
      <w:tr w:rsidR="00646828" w:rsidRPr="00087227" w14:paraId="66EF6901" w14:textId="77777777" w:rsidTr="008354C5">
        <w:trPr>
          <w:trHeight w:val="288"/>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774C2032"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2</w:t>
            </w:r>
          </w:p>
        </w:tc>
        <w:tc>
          <w:tcPr>
            <w:tcW w:w="2627" w:type="dxa"/>
            <w:tcBorders>
              <w:top w:val="nil"/>
              <w:left w:val="nil"/>
              <w:bottom w:val="single" w:sz="4" w:space="0" w:color="auto"/>
              <w:right w:val="single" w:sz="4" w:space="0" w:color="auto"/>
            </w:tcBorders>
            <w:shd w:val="clear" w:color="auto" w:fill="auto"/>
            <w:noWrap/>
            <w:vAlign w:val="bottom"/>
            <w:hideMark/>
          </w:tcPr>
          <w:p w14:paraId="3E7C1334"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Juan Espinal</w:t>
            </w:r>
          </w:p>
        </w:tc>
        <w:tc>
          <w:tcPr>
            <w:tcW w:w="3575" w:type="dxa"/>
            <w:tcBorders>
              <w:top w:val="nil"/>
              <w:left w:val="nil"/>
              <w:bottom w:val="single" w:sz="4" w:space="0" w:color="auto"/>
              <w:right w:val="single" w:sz="4" w:space="0" w:color="auto"/>
            </w:tcBorders>
            <w:shd w:val="clear" w:color="auto" w:fill="auto"/>
            <w:noWrap/>
            <w:vAlign w:val="bottom"/>
            <w:hideMark/>
          </w:tcPr>
          <w:p w14:paraId="38F9813E"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Viceministro de Planificación</w:t>
            </w:r>
          </w:p>
        </w:tc>
        <w:tc>
          <w:tcPr>
            <w:tcW w:w="2229" w:type="dxa"/>
            <w:tcBorders>
              <w:top w:val="single" w:sz="4" w:space="0" w:color="auto"/>
              <w:left w:val="nil"/>
              <w:bottom w:val="single" w:sz="4" w:space="0" w:color="auto"/>
              <w:right w:val="single" w:sz="4" w:space="0" w:color="auto"/>
            </w:tcBorders>
            <w:shd w:val="clear" w:color="auto" w:fill="auto"/>
            <w:vAlign w:val="bottom"/>
            <w:hideMark/>
          </w:tcPr>
          <w:p w14:paraId="56DFE8B6"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22/11/2018</w:t>
            </w:r>
          </w:p>
        </w:tc>
      </w:tr>
      <w:tr w:rsidR="00646828" w:rsidRPr="00087227" w14:paraId="4C74C783" w14:textId="77777777" w:rsidTr="008354C5">
        <w:trPr>
          <w:trHeight w:val="288"/>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099C31DE"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3</w:t>
            </w:r>
          </w:p>
        </w:tc>
        <w:tc>
          <w:tcPr>
            <w:tcW w:w="2627" w:type="dxa"/>
            <w:tcBorders>
              <w:top w:val="nil"/>
              <w:left w:val="nil"/>
              <w:bottom w:val="single" w:sz="4" w:space="0" w:color="auto"/>
              <w:right w:val="single" w:sz="4" w:space="0" w:color="auto"/>
            </w:tcBorders>
            <w:shd w:val="clear" w:color="auto" w:fill="auto"/>
            <w:noWrap/>
            <w:vAlign w:val="bottom"/>
            <w:hideMark/>
          </w:tcPr>
          <w:p w14:paraId="4831D7B5"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Eladio Contreras</w:t>
            </w:r>
          </w:p>
        </w:tc>
        <w:tc>
          <w:tcPr>
            <w:tcW w:w="3575" w:type="dxa"/>
            <w:tcBorders>
              <w:top w:val="nil"/>
              <w:left w:val="nil"/>
              <w:bottom w:val="single" w:sz="4" w:space="0" w:color="auto"/>
              <w:right w:val="single" w:sz="4" w:space="0" w:color="auto"/>
            </w:tcBorders>
            <w:shd w:val="clear" w:color="auto" w:fill="auto"/>
            <w:noWrap/>
            <w:vAlign w:val="bottom"/>
            <w:hideMark/>
          </w:tcPr>
          <w:p w14:paraId="3B2D0E3A"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Enc. Viceministro Administrativo</w:t>
            </w:r>
          </w:p>
        </w:tc>
        <w:tc>
          <w:tcPr>
            <w:tcW w:w="2229" w:type="dxa"/>
            <w:tcBorders>
              <w:top w:val="single" w:sz="4" w:space="0" w:color="auto"/>
              <w:left w:val="nil"/>
              <w:bottom w:val="single" w:sz="4" w:space="0" w:color="auto"/>
              <w:right w:val="single" w:sz="4" w:space="0" w:color="auto"/>
            </w:tcBorders>
            <w:shd w:val="clear" w:color="auto" w:fill="auto"/>
            <w:vAlign w:val="bottom"/>
            <w:hideMark/>
          </w:tcPr>
          <w:p w14:paraId="4A8787E2"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22/11/2018</w:t>
            </w:r>
          </w:p>
        </w:tc>
      </w:tr>
      <w:tr w:rsidR="00646828" w:rsidRPr="00087227" w14:paraId="55CC3B48" w14:textId="77777777" w:rsidTr="008354C5">
        <w:trPr>
          <w:trHeight w:val="288"/>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3716C156"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4</w:t>
            </w:r>
          </w:p>
        </w:tc>
        <w:tc>
          <w:tcPr>
            <w:tcW w:w="2627" w:type="dxa"/>
            <w:tcBorders>
              <w:top w:val="nil"/>
              <w:left w:val="nil"/>
              <w:bottom w:val="single" w:sz="4" w:space="0" w:color="auto"/>
              <w:right w:val="single" w:sz="4" w:space="0" w:color="auto"/>
            </w:tcBorders>
            <w:shd w:val="clear" w:color="auto" w:fill="auto"/>
            <w:noWrap/>
            <w:vAlign w:val="bottom"/>
            <w:hideMark/>
          </w:tcPr>
          <w:p w14:paraId="7F03C46C"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Leandro Mercedes</w:t>
            </w:r>
          </w:p>
        </w:tc>
        <w:tc>
          <w:tcPr>
            <w:tcW w:w="3575" w:type="dxa"/>
            <w:tcBorders>
              <w:top w:val="nil"/>
              <w:left w:val="nil"/>
              <w:bottom w:val="single" w:sz="4" w:space="0" w:color="auto"/>
              <w:right w:val="single" w:sz="4" w:space="0" w:color="auto"/>
            </w:tcBorders>
            <w:shd w:val="clear" w:color="auto" w:fill="auto"/>
            <w:noWrap/>
            <w:vAlign w:val="bottom"/>
            <w:hideMark/>
          </w:tcPr>
          <w:p w14:paraId="4E936EAD"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Viceministro de Extensión</w:t>
            </w:r>
          </w:p>
        </w:tc>
        <w:tc>
          <w:tcPr>
            <w:tcW w:w="2229" w:type="dxa"/>
            <w:tcBorders>
              <w:top w:val="single" w:sz="4" w:space="0" w:color="auto"/>
              <w:left w:val="nil"/>
              <w:bottom w:val="single" w:sz="4" w:space="0" w:color="auto"/>
              <w:right w:val="single" w:sz="4" w:space="0" w:color="auto"/>
            </w:tcBorders>
            <w:shd w:val="clear" w:color="auto" w:fill="auto"/>
            <w:vAlign w:val="bottom"/>
            <w:hideMark/>
          </w:tcPr>
          <w:p w14:paraId="0909BE0A"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13/07/2018</w:t>
            </w:r>
          </w:p>
        </w:tc>
      </w:tr>
      <w:tr w:rsidR="00646828" w:rsidRPr="00087227" w14:paraId="65FAF836" w14:textId="77777777" w:rsidTr="008354C5">
        <w:trPr>
          <w:trHeight w:val="288"/>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170B1519"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5</w:t>
            </w:r>
          </w:p>
        </w:tc>
        <w:tc>
          <w:tcPr>
            <w:tcW w:w="2627" w:type="dxa"/>
            <w:tcBorders>
              <w:top w:val="nil"/>
              <w:left w:val="nil"/>
              <w:bottom w:val="single" w:sz="4" w:space="0" w:color="auto"/>
              <w:right w:val="single" w:sz="4" w:space="0" w:color="auto"/>
            </w:tcBorders>
            <w:shd w:val="clear" w:color="auto" w:fill="auto"/>
            <w:noWrap/>
            <w:vAlign w:val="bottom"/>
            <w:hideMark/>
          </w:tcPr>
          <w:p w14:paraId="1F350EB1"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Ismael Cruz</w:t>
            </w:r>
          </w:p>
        </w:tc>
        <w:tc>
          <w:tcPr>
            <w:tcW w:w="3575" w:type="dxa"/>
            <w:tcBorders>
              <w:top w:val="nil"/>
              <w:left w:val="nil"/>
              <w:bottom w:val="single" w:sz="4" w:space="0" w:color="auto"/>
              <w:right w:val="single" w:sz="4" w:space="0" w:color="auto"/>
            </w:tcBorders>
            <w:shd w:val="clear" w:color="auto" w:fill="auto"/>
            <w:noWrap/>
            <w:vAlign w:val="bottom"/>
            <w:hideMark/>
          </w:tcPr>
          <w:p w14:paraId="51814F07"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Viceministro Desarrollo Rural</w:t>
            </w:r>
          </w:p>
        </w:tc>
        <w:tc>
          <w:tcPr>
            <w:tcW w:w="2229" w:type="dxa"/>
            <w:tcBorders>
              <w:top w:val="single" w:sz="4" w:space="0" w:color="auto"/>
              <w:left w:val="nil"/>
              <w:bottom w:val="single" w:sz="4" w:space="0" w:color="auto"/>
              <w:right w:val="single" w:sz="4" w:space="0" w:color="auto"/>
            </w:tcBorders>
            <w:shd w:val="clear" w:color="auto" w:fill="auto"/>
            <w:vAlign w:val="bottom"/>
            <w:hideMark/>
          </w:tcPr>
          <w:p w14:paraId="68C19842"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13/07/2018</w:t>
            </w:r>
          </w:p>
        </w:tc>
      </w:tr>
      <w:tr w:rsidR="00646828" w:rsidRPr="00087227" w14:paraId="450D6080" w14:textId="77777777" w:rsidTr="008354C5">
        <w:trPr>
          <w:trHeight w:val="288"/>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68112075"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6</w:t>
            </w:r>
          </w:p>
        </w:tc>
        <w:tc>
          <w:tcPr>
            <w:tcW w:w="2627" w:type="dxa"/>
            <w:tcBorders>
              <w:top w:val="nil"/>
              <w:left w:val="nil"/>
              <w:bottom w:val="single" w:sz="4" w:space="0" w:color="auto"/>
              <w:right w:val="single" w:sz="4" w:space="0" w:color="auto"/>
            </w:tcBorders>
            <w:shd w:val="clear" w:color="auto" w:fill="auto"/>
            <w:noWrap/>
            <w:vAlign w:val="bottom"/>
            <w:hideMark/>
          </w:tcPr>
          <w:p w14:paraId="74171778"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Juan Geovanny Arias</w:t>
            </w:r>
          </w:p>
        </w:tc>
        <w:tc>
          <w:tcPr>
            <w:tcW w:w="3575" w:type="dxa"/>
            <w:tcBorders>
              <w:top w:val="nil"/>
              <w:left w:val="nil"/>
              <w:bottom w:val="single" w:sz="4" w:space="0" w:color="auto"/>
              <w:right w:val="single" w:sz="4" w:space="0" w:color="auto"/>
            </w:tcBorders>
            <w:shd w:val="clear" w:color="auto" w:fill="auto"/>
            <w:noWrap/>
            <w:vAlign w:val="bottom"/>
            <w:hideMark/>
          </w:tcPr>
          <w:p w14:paraId="34EC572C"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Viceministro</w:t>
            </w:r>
          </w:p>
        </w:tc>
        <w:tc>
          <w:tcPr>
            <w:tcW w:w="2229" w:type="dxa"/>
            <w:tcBorders>
              <w:top w:val="single" w:sz="4" w:space="0" w:color="auto"/>
              <w:left w:val="nil"/>
              <w:bottom w:val="single" w:sz="4" w:space="0" w:color="auto"/>
              <w:right w:val="single" w:sz="4" w:space="0" w:color="auto"/>
            </w:tcBorders>
            <w:shd w:val="clear" w:color="auto" w:fill="auto"/>
            <w:vAlign w:val="bottom"/>
            <w:hideMark/>
          </w:tcPr>
          <w:p w14:paraId="69D90122"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22/11/2018</w:t>
            </w:r>
          </w:p>
        </w:tc>
      </w:tr>
      <w:tr w:rsidR="00646828" w:rsidRPr="00087227" w14:paraId="296D80A1" w14:textId="77777777" w:rsidTr="008354C5">
        <w:trPr>
          <w:trHeight w:val="288"/>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2D3BDE9A"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7</w:t>
            </w:r>
          </w:p>
        </w:tc>
        <w:tc>
          <w:tcPr>
            <w:tcW w:w="2627" w:type="dxa"/>
            <w:tcBorders>
              <w:top w:val="nil"/>
              <w:left w:val="nil"/>
              <w:bottom w:val="single" w:sz="4" w:space="0" w:color="auto"/>
              <w:right w:val="single" w:sz="4" w:space="0" w:color="auto"/>
            </w:tcBorders>
            <w:shd w:val="clear" w:color="auto" w:fill="auto"/>
            <w:noWrap/>
            <w:vAlign w:val="bottom"/>
            <w:hideMark/>
          </w:tcPr>
          <w:p w14:paraId="6CD77416"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Ruddy Díaz</w:t>
            </w:r>
          </w:p>
        </w:tc>
        <w:tc>
          <w:tcPr>
            <w:tcW w:w="3575" w:type="dxa"/>
            <w:tcBorders>
              <w:top w:val="nil"/>
              <w:left w:val="nil"/>
              <w:bottom w:val="single" w:sz="4" w:space="0" w:color="auto"/>
              <w:right w:val="single" w:sz="4" w:space="0" w:color="auto"/>
            </w:tcBorders>
            <w:shd w:val="clear" w:color="auto" w:fill="auto"/>
            <w:noWrap/>
            <w:vAlign w:val="bottom"/>
            <w:hideMark/>
          </w:tcPr>
          <w:p w14:paraId="208D6E66"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Viceministro</w:t>
            </w:r>
          </w:p>
        </w:tc>
        <w:tc>
          <w:tcPr>
            <w:tcW w:w="2229" w:type="dxa"/>
            <w:tcBorders>
              <w:top w:val="single" w:sz="4" w:space="0" w:color="auto"/>
              <w:left w:val="nil"/>
              <w:bottom w:val="single" w:sz="4" w:space="0" w:color="auto"/>
              <w:right w:val="single" w:sz="4" w:space="0" w:color="auto"/>
            </w:tcBorders>
            <w:shd w:val="clear" w:color="auto" w:fill="auto"/>
            <w:vAlign w:val="bottom"/>
            <w:hideMark/>
          </w:tcPr>
          <w:p w14:paraId="6CD10303"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22/11/2018</w:t>
            </w:r>
          </w:p>
        </w:tc>
      </w:tr>
      <w:tr w:rsidR="00646828" w:rsidRPr="00087227" w14:paraId="4508083F" w14:textId="77777777" w:rsidTr="008354C5">
        <w:trPr>
          <w:trHeight w:val="288"/>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68EC61C0"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8</w:t>
            </w:r>
          </w:p>
        </w:tc>
        <w:tc>
          <w:tcPr>
            <w:tcW w:w="2627" w:type="dxa"/>
            <w:tcBorders>
              <w:top w:val="nil"/>
              <w:left w:val="nil"/>
              <w:bottom w:val="single" w:sz="4" w:space="0" w:color="auto"/>
              <w:right w:val="single" w:sz="4" w:space="0" w:color="auto"/>
            </w:tcBorders>
            <w:shd w:val="clear" w:color="auto" w:fill="auto"/>
            <w:noWrap/>
            <w:vAlign w:val="bottom"/>
            <w:hideMark/>
          </w:tcPr>
          <w:p w14:paraId="4F6EE49B"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Alfonso Valenzuela</w:t>
            </w:r>
          </w:p>
        </w:tc>
        <w:tc>
          <w:tcPr>
            <w:tcW w:w="3575" w:type="dxa"/>
            <w:tcBorders>
              <w:top w:val="nil"/>
              <w:left w:val="nil"/>
              <w:bottom w:val="single" w:sz="4" w:space="0" w:color="auto"/>
              <w:right w:val="single" w:sz="4" w:space="0" w:color="auto"/>
            </w:tcBorders>
            <w:shd w:val="clear" w:color="auto" w:fill="auto"/>
            <w:noWrap/>
            <w:vAlign w:val="bottom"/>
            <w:hideMark/>
          </w:tcPr>
          <w:p w14:paraId="6C44F0B0"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Viceministro de Producción</w:t>
            </w:r>
          </w:p>
        </w:tc>
        <w:tc>
          <w:tcPr>
            <w:tcW w:w="2229" w:type="dxa"/>
            <w:tcBorders>
              <w:top w:val="single" w:sz="4" w:space="0" w:color="auto"/>
              <w:left w:val="nil"/>
              <w:bottom w:val="single" w:sz="4" w:space="0" w:color="auto"/>
              <w:right w:val="single" w:sz="4" w:space="0" w:color="auto"/>
            </w:tcBorders>
            <w:shd w:val="clear" w:color="auto" w:fill="auto"/>
            <w:vAlign w:val="bottom"/>
            <w:hideMark/>
          </w:tcPr>
          <w:p w14:paraId="2BD27CBC"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13/07/2018</w:t>
            </w:r>
          </w:p>
        </w:tc>
      </w:tr>
      <w:tr w:rsidR="00646828" w:rsidRPr="00087227" w14:paraId="1535F3C2" w14:textId="77777777" w:rsidTr="008354C5">
        <w:trPr>
          <w:trHeight w:val="288"/>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60312B75"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9</w:t>
            </w:r>
          </w:p>
        </w:tc>
        <w:tc>
          <w:tcPr>
            <w:tcW w:w="2627" w:type="dxa"/>
            <w:tcBorders>
              <w:top w:val="nil"/>
              <w:left w:val="nil"/>
              <w:bottom w:val="single" w:sz="4" w:space="0" w:color="auto"/>
              <w:right w:val="single" w:sz="4" w:space="0" w:color="auto"/>
            </w:tcBorders>
            <w:shd w:val="clear" w:color="auto" w:fill="auto"/>
            <w:noWrap/>
            <w:vAlign w:val="bottom"/>
            <w:hideMark/>
          </w:tcPr>
          <w:p w14:paraId="595D07C9"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Yohalma Mejía</w:t>
            </w:r>
          </w:p>
        </w:tc>
        <w:tc>
          <w:tcPr>
            <w:tcW w:w="3575" w:type="dxa"/>
            <w:tcBorders>
              <w:top w:val="nil"/>
              <w:left w:val="nil"/>
              <w:bottom w:val="single" w:sz="4" w:space="0" w:color="auto"/>
              <w:right w:val="single" w:sz="4" w:space="0" w:color="auto"/>
            </w:tcBorders>
            <w:shd w:val="clear" w:color="auto" w:fill="auto"/>
            <w:noWrap/>
            <w:vAlign w:val="bottom"/>
            <w:hideMark/>
          </w:tcPr>
          <w:p w14:paraId="61009384"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Director Depto. Compras</w:t>
            </w:r>
          </w:p>
        </w:tc>
        <w:tc>
          <w:tcPr>
            <w:tcW w:w="2229" w:type="dxa"/>
            <w:tcBorders>
              <w:top w:val="single" w:sz="4" w:space="0" w:color="auto"/>
              <w:left w:val="nil"/>
              <w:bottom w:val="single" w:sz="4" w:space="0" w:color="auto"/>
              <w:right w:val="single" w:sz="4" w:space="0" w:color="auto"/>
            </w:tcBorders>
            <w:shd w:val="clear" w:color="auto" w:fill="auto"/>
            <w:vAlign w:val="bottom"/>
            <w:hideMark/>
          </w:tcPr>
          <w:p w14:paraId="6E282590"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13/07/2018</w:t>
            </w:r>
          </w:p>
        </w:tc>
      </w:tr>
      <w:tr w:rsidR="00646828" w:rsidRPr="00087227" w14:paraId="76BC9E10" w14:textId="77777777" w:rsidTr="008354C5">
        <w:trPr>
          <w:trHeight w:val="288"/>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51D5296D"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10</w:t>
            </w:r>
          </w:p>
        </w:tc>
        <w:tc>
          <w:tcPr>
            <w:tcW w:w="2627" w:type="dxa"/>
            <w:tcBorders>
              <w:top w:val="nil"/>
              <w:left w:val="nil"/>
              <w:bottom w:val="single" w:sz="4" w:space="0" w:color="auto"/>
              <w:right w:val="single" w:sz="4" w:space="0" w:color="auto"/>
            </w:tcBorders>
            <w:shd w:val="clear" w:color="auto" w:fill="auto"/>
            <w:noWrap/>
            <w:vAlign w:val="bottom"/>
            <w:hideMark/>
          </w:tcPr>
          <w:p w14:paraId="79A30D2A"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Brasilina Rey</w:t>
            </w:r>
          </w:p>
        </w:tc>
        <w:tc>
          <w:tcPr>
            <w:tcW w:w="3575" w:type="dxa"/>
            <w:tcBorders>
              <w:top w:val="nil"/>
              <w:left w:val="nil"/>
              <w:bottom w:val="single" w:sz="4" w:space="0" w:color="auto"/>
              <w:right w:val="single" w:sz="4" w:space="0" w:color="auto"/>
            </w:tcBorders>
            <w:shd w:val="clear" w:color="auto" w:fill="auto"/>
            <w:noWrap/>
            <w:vAlign w:val="bottom"/>
            <w:hideMark/>
          </w:tcPr>
          <w:p w14:paraId="7F3D0AE7"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Director Depto. Administrativo</w:t>
            </w:r>
          </w:p>
        </w:tc>
        <w:tc>
          <w:tcPr>
            <w:tcW w:w="2229" w:type="dxa"/>
            <w:tcBorders>
              <w:top w:val="single" w:sz="4" w:space="0" w:color="auto"/>
              <w:left w:val="nil"/>
              <w:bottom w:val="single" w:sz="4" w:space="0" w:color="auto"/>
              <w:right w:val="single" w:sz="4" w:space="0" w:color="auto"/>
            </w:tcBorders>
            <w:shd w:val="clear" w:color="auto" w:fill="auto"/>
            <w:vAlign w:val="bottom"/>
            <w:hideMark/>
          </w:tcPr>
          <w:p w14:paraId="63D8297D"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22/11/2018</w:t>
            </w:r>
          </w:p>
        </w:tc>
      </w:tr>
      <w:tr w:rsidR="00646828" w:rsidRPr="00087227" w14:paraId="3A110F89" w14:textId="77777777" w:rsidTr="008354C5">
        <w:trPr>
          <w:trHeight w:val="288"/>
        </w:trPr>
        <w:tc>
          <w:tcPr>
            <w:tcW w:w="649" w:type="dxa"/>
            <w:tcBorders>
              <w:top w:val="nil"/>
              <w:left w:val="single" w:sz="4" w:space="0" w:color="auto"/>
              <w:bottom w:val="single" w:sz="4" w:space="0" w:color="auto"/>
              <w:right w:val="single" w:sz="4" w:space="0" w:color="auto"/>
            </w:tcBorders>
            <w:shd w:val="clear" w:color="auto" w:fill="auto"/>
            <w:noWrap/>
            <w:vAlign w:val="bottom"/>
            <w:hideMark/>
          </w:tcPr>
          <w:p w14:paraId="3D08BD1B"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11</w:t>
            </w:r>
          </w:p>
        </w:tc>
        <w:tc>
          <w:tcPr>
            <w:tcW w:w="2627" w:type="dxa"/>
            <w:tcBorders>
              <w:top w:val="nil"/>
              <w:left w:val="nil"/>
              <w:bottom w:val="single" w:sz="4" w:space="0" w:color="auto"/>
              <w:right w:val="single" w:sz="4" w:space="0" w:color="auto"/>
            </w:tcBorders>
            <w:shd w:val="clear" w:color="auto" w:fill="auto"/>
            <w:noWrap/>
            <w:vAlign w:val="bottom"/>
            <w:hideMark/>
          </w:tcPr>
          <w:p w14:paraId="134B80DD"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Guarionex Espinosa</w:t>
            </w:r>
          </w:p>
        </w:tc>
        <w:tc>
          <w:tcPr>
            <w:tcW w:w="3575" w:type="dxa"/>
            <w:tcBorders>
              <w:top w:val="nil"/>
              <w:left w:val="nil"/>
              <w:bottom w:val="single" w:sz="4" w:space="0" w:color="auto"/>
              <w:right w:val="single" w:sz="4" w:space="0" w:color="auto"/>
            </w:tcBorders>
            <w:shd w:val="clear" w:color="auto" w:fill="auto"/>
            <w:noWrap/>
            <w:vAlign w:val="bottom"/>
            <w:hideMark/>
          </w:tcPr>
          <w:p w14:paraId="529B5FC6" w14:textId="77777777" w:rsidR="00646828" w:rsidRPr="00087227" w:rsidRDefault="00646828" w:rsidP="008354C5">
            <w:pPr>
              <w:spacing w:after="0"/>
              <w:rPr>
                <w:rFonts w:ascii="Times New Roman" w:hAnsi="Times New Roman"/>
                <w:color w:val="000000"/>
                <w:lang w:eastAsia="es-DO"/>
              </w:rPr>
            </w:pPr>
            <w:r w:rsidRPr="00087227">
              <w:rPr>
                <w:rFonts w:ascii="Times New Roman" w:hAnsi="Times New Roman"/>
                <w:color w:val="000000"/>
                <w:lang w:eastAsia="es-DO"/>
              </w:rPr>
              <w:t>Director Depto. Financiero</w:t>
            </w:r>
          </w:p>
        </w:tc>
        <w:tc>
          <w:tcPr>
            <w:tcW w:w="2229" w:type="dxa"/>
            <w:tcBorders>
              <w:top w:val="single" w:sz="4" w:space="0" w:color="auto"/>
              <w:left w:val="nil"/>
              <w:bottom w:val="single" w:sz="4" w:space="0" w:color="auto"/>
              <w:right w:val="single" w:sz="4" w:space="0" w:color="auto"/>
            </w:tcBorders>
            <w:shd w:val="clear" w:color="auto" w:fill="auto"/>
            <w:vAlign w:val="bottom"/>
            <w:hideMark/>
          </w:tcPr>
          <w:p w14:paraId="2DB5FF54" w14:textId="77777777" w:rsidR="00646828" w:rsidRPr="00087227" w:rsidRDefault="00646828" w:rsidP="008354C5">
            <w:pPr>
              <w:spacing w:after="0"/>
              <w:jc w:val="center"/>
              <w:rPr>
                <w:rFonts w:ascii="Times New Roman" w:hAnsi="Times New Roman"/>
                <w:color w:val="000000"/>
                <w:lang w:eastAsia="es-DO"/>
              </w:rPr>
            </w:pPr>
            <w:r w:rsidRPr="00087227">
              <w:rPr>
                <w:rFonts w:ascii="Times New Roman" w:hAnsi="Times New Roman"/>
                <w:color w:val="000000"/>
                <w:lang w:eastAsia="es-DO"/>
              </w:rPr>
              <w:t>13/07/2018</w:t>
            </w:r>
          </w:p>
        </w:tc>
      </w:tr>
    </w:tbl>
    <w:p w14:paraId="79EE9867" w14:textId="77777777" w:rsidR="00646828" w:rsidRPr="00087227" w:rsidRDefault="00646828" w:rsidP="000620FA">
      <w:pPr>
        <w:spacing w:after="0" w:line="360" w:lineRule="auto"/>
        <w:jc w:val="both"/>
        <w:rPr>
          <w:rFonts w:ascii="Times New Roman" w:hAnsi="Times New Roman"/>
          <w:lang w:val="es-ES_tradnl"/>
        </w:rPr>
      </w:pPr>
    </w:p>
    <w:p w14:paraId="5CB0BF38" w14:textId="28DAB896" w:rsidR="00366DEE" w:rsidRPr="00087227" w:rsidRDefault="00366DEE" w:rsidP="00954002">
      <w:pPr>
        <w:pStyle w:val="Ttulo2"/>
      </w:pPr>
      <w:bookmarkStart w:id="405" w:name="_Toc26292097"/>
      <w:bookmarkStart w:id="406" w:name="_Toc27146837"/>
      <w:r w:rsidRPr="00087227">
        <w:t xml:space="preserve">g) </w:t>
      </w:r>
      <w:r w:rsidR="006C5D96" w:rsidRPr="00087227">
        <w:t>Indicador</w:t>
      </w:r>
      <w:r w:rsidR="00646828" w:rsidRPr="00087227">
        <w:t xml:space="preserve"> de Gestión Presupuestaria</w:t>
      </w:r>
      <w:bookmarkEnd w:id="405"/>
      <w:bookmarkEnd w:id="406"/>
    </w:p>
    <w:p w14:paraId="6747787D" w14:textId="77777777" w:rsidR="003A6CAF" w:rsidRDefault="003A6CAF" w:rsidP="00366DEE">
      <w:pPr>
        <w:spacing w:after="0" w:line="480" w:lineRule="auto"/>
        <w:ind w:firstLine="720"/>
        <w:jc w:val="both"/>
        <w:rPr>
          <w:rFonts w:ascii="Times New Roman" w:hAnsi="Times New Roman"/>
          <w:lang w:val="es-ES_tradnl"/>
        </w:rPr>
      </w:pPr>
    </w:p>
    <w:p w14:paraId="03A4A455" w14:textId="77777777" w:rsidR="00211B2F" w:rsidRDefault="00366DEE" w:rsidP="00366DEE">
      <w:pPr>
        <w:spacing w:after="0" w:line="480" w:lineRule="auto"/>
        <w:ind w:firstLine="720"/>
        <w:jc w:val="both"/>
        <w:rPr>
          <w:rFonts w:ascii="Times New Roman" w:hAnsi="Times New Roman"/>
          <w:lang w:val="es-ES_tradnl"/>
        </w:rPr>
      </w:pPr>
      <w:r w:rsidRPr="00087227">
        <w:rPr>
          <w:rFonts w:ascii="Times New Roman" w:hAnsi="Times New Roman"/>
          <w:lang w:val="es-ES_tradnl"/>
        </w:rPr>
        <w:t>Atendiendo a los compromisos presidenciales, el indicador de gestión presupuestaria (IGP), del sistema de monitoreo y medición de la gestión pública (SMM</w:t>
      </w:r>
      <w:r w:rsidR="00211B2F" w:rsidRPr="00087227">
        <w:rPr>
          <w:rFonts w:ascii="Times New Roman" w:hAnsi="Times New Roman"/>
          <w:lang w:val="es-ES_tradnl"/>
        </w:rPr>
        <w:t>G</w:t>
      </w:r>
      <w:r w:rsidRPr="00087227">
        <w:rPr>
          <w:rFonts w:ascii="Times New Roman" w:hAnsi="Times New Roman"/>
          <w:lang w:val="es-ES_tradnl"/>
        </w:rPr>
        <w:t>P), su objetivo es medir el grado en que la</w:t>
      </w:r>
      <w:r w:rsidR="00004AE2" w:rsidRPr="00087227">
        <w:rPr>
          <w:rFonts w:ascii="Times New Roman" w:hAnsi="Times New Roman"/>
          <w:lang w:val="es-ES_tradnl"/>
        </w:rPr>
        <w:t>s</w:t>
      </w:r>
      <w:r w:rsidRPr="00087227">
        <w:rPr>
          <w:rFonts w:ascii="Times New Roman" w:hAnsi="Times New Roman"/>
          <w:lang w:val="es-ES_tradnl"/>
        </w:rPr>
        <w:t xml:space="preserve"> instituciones llevan una gestión presupuestaria eficaz, eficiente y transparente, de acuerdo a la correcta aplicación de normativas vigentes y mejores prácticas internacionales con los recursos asignados a</w:t>
      </w:r>
      <w:r w:rsidR="00211B2F" w:rsidRPr="00087227">
        <w:rPr>
          <w:rFonts w:ascii="Times New Roman" w:hAnsi="Times New Roman"/>
          <w:lang w:val="es-ES_tradnl"/>
        </w:rPr>
        <w:t xml:space="preserve"> través del presupuesto público.</w:t>
      </w:r>
    </w:p>
    <w:p w14:paraId="44DA4512" w14:textId="4875ACB1" w:rsidR="00BB7F45" w:rsidRDefault="00BB7F45">
      <w:pPr>
        <w:spacing w:after="0"/>
        <w:rPr>
          <w:rFonts w:ascii="Times New Roman" w:hAnsi="Times New Roman"/>
          <w:lang w:val="es-ES_tradnl"/>
        </w:rPr>
      </w:pPr>
      <w:r>
        <w:rPr>
          <w:rFonts w:ascii="Times New Roman" w:hAnsi="Times New Roman"/>
          <w:lang w:val="es-ES_tradnl"/>
        </w:rPr>
        <w:br w:type="page"/>
      </w:r>
    </w:p>
    <w:p w14:paraId="01B52D30" w14:textId="1D4CFD04" w:rsidR="007D28EB" w:rsidRDefault="00211B2F" w:rsidP="003B7638">
      <w:pPr>
        <w:spacing w:after="0" w:line="480" w:lineRule="auto"/>
        <w:ind w:firstLine="720"/>
        <w:jc w:val="both"/>
        <w:rPr>
          <w:rFonts w:ascii="Times New Roman" w:hAnsi="Times New Roman"/>
          <w:lang w:eastAsia="es-DO"/>
        </w:rPr>
      </w:pPr>
      <w:r w:rsidRPr="00087227">
        <w:rPr>
          <w:rFonts w:ascii="Times New Roman" w:hAnsi="Times New Roman"/>
          <w:lang w:eastAsia="es-DO"/>
        </w:rPr>
        <w:lastRenderedPageBreak/>
        <w:t>E</w:t>
      </w:r>
      <w:r w:rsidR="00366DEE" w:rsidRPr="00087227">
        <w:rPr>
          <w:rFonts w:ascii="Times New Roman" w:hAnsi="Times New Roman"/>
          <w:lang w:eastAsia="es-DO"/>
        </w:rPr>
        <w:t xml:space="preserve">n ese sentido se logró avanzar un </w:t>
      </w:r>
      <w:r w:rsidR="009C3F99" w:rsidRPr="00087227">
        <w:rPr>
          <w:rFonts w:ascii="Times New Roman" w:hAnsi="Times New Roman"/>
          <w:lang w:eastAsia="es-DO"/>
        </w:rPr>
        <w:t>9</w:t>
      </w:r>
      <w:r w:rsidR="003B4E58" w:rsidRPr="00087227">
        <w:rPr>
          <w:rFonts w:ascii="Times New Roman" w:hAnsi="Times New Roman"/>
          <w:lang w:eastAsia="es-DO"/>
        </w:rPr>
        <w:t>5.5</w:t>
      </w:r>
      <w:r w:rsidR="00366DEE" w:rsidRPr="00087227">
        <w:rPr>
          <w:rFonts w:ascii="Times New Roman" w:hAnsi="Times New Roman"/>
          <w:lang w:eastAsia="es-DO"/>
        </w:rPr>
        <w:t>% en este indicador.</w:t>
      </w:r>
    </w:p>
    <w:p w14:paraId="1E934209" w14:textId="77777777" w:rsidR="00AA5897" w:rsidRPr="006241A9" w:rsidRDefault="00AA5897" w:rsidP="001C6B1A">
      <w:pPr>
        <w:pStyle w:val="Prrafodelista"/>
        <w:numPr>
          <w:ilvl w:val="0"/>
          <w:numId w:val="9"/>
        </w:numPr>
        <w:spacing w:after="0" w:line="240" w:lineRule="auto"/>
        <w:ind w:left="567" w:hanging="567"/>
        <w:rPr>
          <w:rFonts w:ascii="Times New Roman" w:hAnsi="Times New Roman"/>
          <w:color w:val="4F81BD" w:themeColor="accent1"/>
          <w:lang w:val="es-ES_tradnl"/>
        </w:rPr>
      </w:pPr>
      <w:r w:rsidRPr="002B05F3">
        <w:rPr>
          <w:rFonts w:ascii="Times New Roman" w:hAnsi="Times New Roman"/>
          <w:b/>
          <w:sz w:val="24"/>
          <w:lang w:val="es-ES_tradnl"/>
        </w:rPr>
        <w:t xml:space="preserve">Resultado del Indicador </w:t>
      </w:r>
      <w:r>
        <w:rPr>
          <w:rFonts w:ascii="Times New Roman" w:hAnsi="Times New Roman"/>
          <w:b/>
          <w:sz w:val="24"/>
          <w:lang w:val="es-ES_tradnl"/>
        </w:rPr>
        <w:t>de Índice de Gestión Presupuestaria</w:t>
      </w:r>
    </w:p>
    <w:p w14:paraId="447A7337" w14:textId="77777777" w:rsidR="006241A9" w:rsidRPr="002B05F3" w:rsidRDefault="006241A9" w:rsidP="006241A9">
      <w:pPr>
        <w:pStyle w:val="Prrafodelista"/>
        <w:spacing w:after="0" w:line="240" w:lineRule="auto"/>
        <w:ind w:left="567"/>
        <w:rPr>
          <w:rFonts w:ascii="Times New Roman" w:hAnsi="Times New Roman"/>
          <w:color w:val="4F81BD" w:themeColor="accent1"/>
          <w:lang w:val="es-ES_tradnl"/>
        </w:rPr>
      </w:pPr>
    </w:p>
    <w:tbl>
      <w:tblPr>
        <w:tblW w:w="5915" w:type="pct"/>
        <w:tblInd w:w="-147" w:type="dxa"/>
        <w:tblLayout w:type="fixed"/>
        <w:tblCellMar>
          <w:left w:w="70" w:type="dxa"/>
          <w:right w:w="70" w:type="dxa"/>
        </w:tblCellMar>
        <w:tblLook w:val="0420" w:firstRow="1" w:lastRow="0" w:firstColumn="0" w:lastColumn="0" w:noHBand="0" w:noVBand="1"/>
      </w:tblPr>
      <w:tblGrid>
        <w:gridCol w:w="1593"/>
        <w:gridCol w:w="4997"/>
        <w:gridCol w:w="1492"/>
        <w:gridCol w:w="1276"/>
      </w:tblGrid>
      <w:tr w:rsidR="00EC44A8" w:rsidRPr="008B4117" w14:paraId="4EACB83E" w14:textId="77777777" w:rsidTr="00EC44A8">
        <w:trPr>
          <w:trHeight w:val="315"/>
        </w:trPr>
        <w:tc>
          <w:tcPr>
            <w:tcW w:w="851" w:type="pct"/>
            <w:tcBorders>
              <w:top w:val="single" w:sz="4" w:space="0" w:color="auto"/>
              <w:left w:val="single" w:sz="4" w:space="0" w:color="auto"/>
              <w:bottom w:val="single" w:sz="4" w:space="0" w:color="auto"/>
              <w:right w:val="single" w:sz="4" w:space="0" w:color="auto"/>
            </w:tcBorders>
            <w:shd w:val="clear" w:color="auto" w:fill="00B050"/>
            <w:vAlign w:val="center"/>
            <w:hideMark/>
          </w:tcPr>
          <w:p w14:paraId="12592492" w14:textId="0F5F5AD9" w:rsidR="00EC44A8" w:rsidRPr="00EC44A8" w:rsidRDefault="00EC44A8" w:rsidP="00B0170C">
            <w:pPr>
              <w:spacing w:after="0"/>
              <w:jc w:val="center"/>
              <w:rPr>
                <w:rFonts w:ascii="Times New Roman" w:hAnsi="Times New Roman"/>
                <w:b/>
                <w:bCs/>
                <w:color w:val="FFFFFF" w:themeColor="background1"/>
                <w:lang w:eastAsia="es-DO"/>
              </w:rPr>
            </w:pPr>
            <w:r w:rsidRPr="00EC44A8">
              <w:rPr>
                <w:rFonts w:ascii="Times New Roman" w:hAnsi="Times New Roman"/>
                <w:b/>
                <w:bCs/>
                <w:color w:val="FFFFFF" w:themeColor="background1"/>
                <w:lang w:eastAsia="es-DO"/>
              </w:rPr>
              <w:t>Sub-Indicador</w:t>
            </w:r>
          </w:p>
        </w:tc>
        <w:tc>
          <w:tcPr>
            <w:tcW w:w="2670" w:type="pct"/>
            <w:tcBorders>
              <w:top w:val="single" w:sz="4" w:space="0" w:color="auto"/>
              <w:left w:val="nil"/>
              <w:bottom w:val="single" w:sz="4" w:space="0" w:color="auto"/>
              <w:right w:val="single" w:sz="4" w:space="0" w:color="auto"/>
            </w:tcBorders>
            <w:shd w:val="clear" w:color="auto" w:fill="00B050"/>
            <w:vAlign w:val="center"/>
            <w:hideMark/>
          </w:tcPr>
          <w:p w14:paraId="00DCC298" w14:textId="77777777" w:rsidR="00EC44A8" w:rsidRPr="00EC44A8" w:rsidRDefault="00EC44A8" w:rsidP="00B0170C">
            <w:pPr>
              <w:spacing w:after="0"/>
              <w:jc w:val="center"/>
              <w:rPr>
                <w:rFonts w:ascii="Times New Roman" w:hAnsi="Times New Roman"/>
                <w:b/>
                <w:bCs/>
                <w:color w:val="FFFFFF" w:themeColor="background1"/>
                <w:lang w:eastAsia="es-DO"/>
              </w:rPr>
            </w:pPr>
            <w:r w:rsidRPr="00EC44A8">
              <w:rPr>
                <w:rFonts w:ascii="Times New Roman" w:hAnsi="Times New Roman"/>
                <w:b/>
                <w:bCs/>
                <w:color w:val="FFFFFF" w:themeColor="background1"/>
                <w:lang w:eastAsia="es-DO"/>
              </w:rPr>
              <w:t>Medición</w:t>
            </w:r>
          </w:p>
        </w:tc>
        <w:tc>
          <w:tcPr>
            <w:tcW w:w="797" w:type="pct"/>
            <w:tcBorders>
              <w:top w:val="single" w:sz="4" w:space="0" w:color="auto"/>
              <w:left w:val="nil"/>
              <w:bottom w:val="single" w:sz="4" w:space="0" w:color="auto"/>
              <w:right w:val="single" w:sz="4" w:space="0" w:color="auto"/>
            </w:tcBorders>
            <w:shd w:val="clear" w:color="auto" w:fill="00B050"/>
            <w:vAlign w:val="center"/>
            <w:hideMark/>
          </w:tcPr>
          <w:p w14:paraId="3021F49F" w14:textId="77777777" w:rsidR="00EC44A8" w:rsidRPr="00EC44A8" w:rsidRDefault="00EC44A8" w:rsidP="00B0170C">
            <w:pPr>
              <w:spacing w:after="0"/>
              <w:jc w:val="center"/>
              <w:rPr>
                <w:rFonts w:ascii="Times New Roman" w:hAnsi="Times New Roman"/>
                <w:b/>
                <w:bCs/>
                <w:color w:val="FFFFFF" w:themeColor="background1"/>
                <w:lang w:eastAsia="es-DO"/>
              </w:rPr>
            </w:pPr>
            <w:r w:rsidRPr="00EC44A8">
              <w:rPr>
                <w:rFonts w:ascii="Times New Roman" w:hAnsi="Times New Roman"/>
                <w:b/>
                <w:bCs/>
                <w:color w:val="FFFFFF" w:themeColor="background1"/>
                <w:lang w:eastAsia="es-DO"/>
              </w:rPr>
              <w:t>Ponderación</w:t>
            </w:r>
          </w:p>
        </w:tc>
        <w:tc>
          <w:tcPr>
            <w:tcW w:w="682" w:type="pct"/>
            <w:tcBorders>
              <w:top w:val="single" w:sz="4" w:space="0" w:color="auto"/>
              <w:left w:val="nil"/>
              <w:bottom w:val="single" w:sz="4" w:space="0" w:color="auto"/>
              <w:right w:val="single" w:sz="4" w:space="0" w:color="auto"/>
            </w:tcBorders>
            <w:shd w:val="clear" w:color="auto" w:fill="00B050"/>
            <w:vAlign w:val="center"/>
            <w:hideMark/>
          </w:tcPr>
          <w:p w14:paraId="21B24278" w14:textId="77777777" w:rsidR="00EC44A8" w:rsidRPr="00EC44A8" w:rsidRDefault="00EC44A8" w:rsidP="00B0170C">
            <w:pPr>
              <w:spacing w:after="0"/>
              <w:jc w:val="center"/>
              <w:rPr>
                <w:rFonts w:ascii="Times New Roman" w:hAnsi="Times New Roman"/>
                <w:b/>
                <w:bCs/>
                <w:color w:val="FFFFFF" w:themeColor="background1"/>
                <w:lang w:eastAsia="es-DO"/>
              </w:rPr>
            </w:pPr>
            <w:r w:rsidRPr="00EC44A8">
              <w:rPr>
                <w:rFonts w:ascii="Times New Roman" w:hAnsi="Times New Roman"/>
                <w:b/>
                <w:bCs/>
                <w:color w:val="FFFFFF" w:themeColor="background1"/>
                <w:lang w:eastAsia="es-DO"/>
              </w:rPr>
              <w:t>Resultado</w:t>
            </w:r>
          </w:p>
        </w:tc>
      </w:tr>
      <w:tr w:rsidR="00EC44A8" w:rsidRPr="008B4117" w14:paraId="0223C754" w14:textId="77777777" w:rsidTr="00EC44A8">
        <w:trPr>
          <w:trHeight w:val="77"/>
        </w:trPr>
        <w:tc>
          <w:tcPr>
            <w:tcW w:w="851" w:type="pct"/>
            <w:tcBorders>
              <w:top w:val="nil"/>
              <w:left w:val="single" w:sz="4" w:space="0" w:color="auto"/>
              <w:bottom w:val="single" w:sz="4" w:space="0" w:color="auto"/>
              <w:right w:val="single" w:sz="4" w:space="0" w:color="auto"/>
            </w:tcBorders>
            <w:shd w:val="clear" w:color="000000" w:fill="FFFFFF"/>
            <w:vAlign w:val="center"/>
            <w:hideMark/>
          </w:tcPr>
          <w:p w14:paraId="5324FF06" w14:textId="4DC3EEC5" w:rsidR="00EC44A8" w:rsidRPr="008B4117" w:rsidRDefault="00EC44A8" w:rsidP="00B0170C">
            <w:pPr>
              <w:spacing w:after="0"/>
              <w:rPr>
                <w:rFonts w:ascii="Times New Roman" w:hAnsi="Times New Roman"/>
                <w:color w:val="000000"/>
                <w:lang w:eastAsia="es-DO"/>
              </w:rPr>
            </w:pPr>
            <w:r w:rsidRPr="008B4117">
              <w:rPr>
                <w:rFonts w:ascii="Times New Roman" w:hAnsi="Times New Roman"/>
                <w:color w:val="000000"/>
                <w:lang w:eastAsia="es-DO"/>
              </w:rPr>
              <w:t>Eficacia</w:t>
            </w:r>
          </w:p>
        </w:tc>
        <w:tc>
          <w:tcPr>
            <w:tcW w:w="2670" w:type="pct"/>
            <w:tcBorders>
              <w:top w:val="nil"/>
              <w:left w:val="nil"/>
              <w:bottom w:val="single" w:sz="4" w:space="0" w:color="auto"/>
              <w:right w:val="single" w:sz="4" w:space="0" w:color="auto"/>
            </w:tcBorders>
            <w:shd w:val="clear" w:color="000000" w:fill="FFFFFF"/>
            <w:vAlign w:val="center"/>
            <w:hideMark/>
          </w:tcPr>
          <w:p w14:paraId="5842B9BE" w14:textId="079C4DDA" w:rsidR="00EC44A8" w:rsidRPr="007A4E19" w:rsidRDefault="00EC44A8" w:rsidP="00DF0FA3">
            <w:pPr>
              <w:spacing w:after="0"/>
              <w:rPr>
                <w:rFonts w:ascii="Times New Roman" w:hAnsi="Times New Roman"/>
                <w:b/>
                <w:color w:val="000000"/>
                <w:lang w:eastAsia="es-DO"/>
              </w:rPr>
            </w:pPr>
            <w:r w:rsidRPr="007A4E19">
              <w:rPr>
                <w:rFonts w:ascii="Times New Roman" w:hAnsi="Times New Roman"/>
                <w:b/>
                <w:color w:val="000000"/>
                <w:lang w:eastAsia="es-DO"/>
              </w:rPr>
              <w:t xml:space="preserve"> (</w:t>
            </w:r>
            <w:r w:rsidR="00BD4360" w:rsidRPr="007A4E19">
              <w:rPr>
                <w:rFonts w:ascii="Times New Roman" w:hAnsi="Times New Roman"/>
                <w:b/>
                <w:color w:val="000000"/>
                <w:lang w:eastAsia="es-DO"/>
              </w:rPr>
              <w:t>%) Eficacia</w:t>
            </w:r>
          </w:p>
          <w:p w14:paraId="4D5858E7" w14:textId="632C556E" w:rsidR="007A4E19" w:rsidRPr="008B4117" w:rsidRDefault="007A4E19" w:rsidP="00DF0FA3">
            <w:pPr>
              <w:spacing w:after="0"/>
              <w:rPr>
                <w:rFonts w:ascii="Times New Roman" w:hAnsi="Times New Roman"/>
                <w:color w:val="000000"/>
                <w:lang w:eastAsia="es-DO"/>
              </w:rPr>
            </w:pPr>
            <w:r>
              <w:rPr>
                <w:rFonts w:ascii="Times New Roman" w:hAnsi="Times New Roman"/>
                <w:color w:val="000000"/>
                <w:lang w:eastAsia="es-DO"/>
              </w:rPr>
              <w:t xml:space="preserve">Meta establecida sobre ejecución </w:t>
            </w:r>
            <w:r w:rsidR="00640B50">
              <w:rPr>
                <w:rFonts w:ascii="Times New Roman" w:hAnsi="Times New Roman"/>
                <w:color w:val="000000"/>
                <w:lang w:eastAsia="es-DO"/>
              </w:rPr>
              <w:t>física</w:t>
            </w:r>
          </w:p>
        </w:tc>
        <w:tc>
          <w:tcPr>
            <w:tcW w:w="797" w:type="pct"/>
            <w:tcBorders>
              <w:top w:val="nil"/>
              <w:left w:val="nil"/>
              <w:bottom w:val="single" w:sz="4" w:space="0" w:color="auto"/>
              <w:right w:val="single" w:sz="4" w:space="0" w:color="auto"/>
            </w:tcBorders>
            <w:shd w:val="clear" w:color="000000" w:fill="FFFFFF"/>
            <w:vAlign w:val="center"/>
            <w:hideMark/>
          </w:tcPr>
          <w:p w14:paraId="515779F2" w14:textId="77777777" w:rsidR="00EC44A8" w:rsidRPr="008B4117" w:rsidRDefault="00EC44A8" w:rsidP="00B0170C">
            <w:pPr>
              <w:spacing w:after="0"/>
              <w:jc w:val="center"/>
              <w:rPr>
                <w:rFonts w:ascii="Times New Roman" w:hAnsi="Times New Roman"/>
                <w:color w:val="000000"/>
                <w:lang w:eastAsia="es-DO"/>
              </w:rPr>
            </w:pPr>
            <w:r w:rsidRPr="008B4117">
              <w:rPr>
                <w:rFonts w:ascii="Times New Roman" w:hAnsi="Times New Roman"/>
                <w:color w:val="000000"/>
                <w:lang w:eastAsia="es-DO"/>
              </w:rPr>
              <w:t>100%</w:t>
            </w:r>
          </w:p>
        </w:tc>
        <w:tc>
          <w:tcPr>
            <w:tcW w:w="682" w:type="pct"/>
            <w:tcBorders>
              <w:top w:val="nil"/>
              <w:left w:val="nil"/>
              <w:bottom w:val="single" w:sz="4" w:space="0" w:color="auto"/>
              <w:right w:val="single" w:sz="4" w:space="0" w:color="auto"/>
            </w:tcBorders>
            <w:shd w:val="clear" w:color="000000" w:fill="FFFFFF"/>
            <w:vAlign w:val="center"/>
            <w:hideMark/>
          </w:tcPr>
          <w:p w14:paraId="23EE2590" w14:textId="420689B5" w:rsidR="00EC44A8" w:rsidRPr="008B4117" w:rsidRDefault="003D1320" w:rsidP="00640B50">
            <w:pPr>
              <w:spacing w:after="0"/>
              <w:jc w:val="center"/>
              <w:rPr>
                <w:rFonts w:ascii="Times New Roman" w:hAnsi="Times New Roman"/>
                <w:color w:val="000000"/>
                <w:lang w:eastAsia="es-DO"/>
              </w:rPr>
            </w:pPr>
            <w:r>
              <w:rPr>
                <w:rFonts w:ascii="Times New Roman" w:hAnsi="Times New Roman"/>
                <w:color w:val="000000"/>
                <w:lang w:eastAsia="es-DO"/>
              </w:rPr>
              <w:t>9</w:t>
            </w:r>
            <w:r w:rsidR="00640B50">
              <w:rPr>
                <w:rFonts w:ascii="Times New Roman" w:hAnsi="Times New Roman"/>
                <w:color w:val="000000"/>
                <w:lang w:eastAsia="es-DO"/>
              </w:rPr>
              <w:t>0.09</w:t>
            </w:r>
            <w:r w:rsidR="00EC44A8" w:rsidRPr="008B4117">
              <w:rPr>
                <w:rFonts w:ascii="Times New Roman" w:hAnsi="Times New Roman"/>
                <w:color w:val="000000"/>
                <w:lang w:eastAsia="es-DO"/>
              </w:rPr>
              <w:t>%</w:t>
            </w:r>
          </w:p>
        </w:tc>
      </w:tr>
      <w:tr w:rsidR="00640B50" w:rsidRPr="008B4117" w14:paraId="135E104C" w14:textId="77777777" w:rsidTr="00640B50">
        <w:trPr>
          <w:trHeight w:val="191"/>
        </w:trPr>
        <w:tc>
          <w:tcPr>
            <w:tcW w:w="851" w:type="pct"/>
            <w:tcBorders>
              <w:top w:val="nil"/>
              <w:left w:val="single" w:sz="4" w:space="0" w:color="auto"/>
              <w:bottom w:val="single" w:sz="4" w:space="0" w:color="auto"/>
              <w:right w:val="single" w:sz="4" w:space="0" w:color="auto"/>
            </w:tcBorders>
            <w:shd w:val="clear" w:color="000000" w:fill="FFFFFF"/>
            <w:vAlign w:val="center"/>
            <w:hideMark/>
          </w:tcPr>
          <w:p w14:paraId="31A295F7" w14:textId="0915E041" w:rsidR="00640B50" w:rsidRPr="008B4117" w:rsidRDefault="00640B50" w:rsidP="00B0170C">
            <w:pPr>
              <w:spacing w:after="0"/>
              <w:rPr>
                <w:rFonts w:ascii="Times New Roman" w:hAnsi="Times New Roman"/>
                <w:color w:val="000000"/>
                <w:lang w:eastAsia="es-DO"/>
              </w:rPr>
            </w:pPr>
            <w:r w:rsidRPr="008B4117">
              <w:rPr>
                <w:rFonts w:ascii="Times New Roman" w:hAnsi="Times New Roman"/>
                <w:color w:val="000000"/>
                <w:lang w:eastAsia="es-DO"/>
              </w:rPr>
              <w:t>Correcta Publicación de Información Presupuestaria</w:t>
            </w:r>
          </w:p>
        </w:tc>
        <w:tc>
          <w:tcPr>
            <w:tcW w:w="2670" w:type="pct"/>
            <w:tcBorders>
              <w:top w:val="nil"/>
              <w:left w:val="nil"/>
              <w:right w:val="single" w:sz="4" w:space="0" w:color="auto"/>
            </w:tcBorders>
            <w:shd w:val="clear" w:color="000000" w:fill="FFFFFF"/>
            <w:vAlign w:val="center"/>
            <w:hideMark/>
          </w:tcPr>
          <w:p w14:paraId="0D2F1FAD" w14:textId="77777777" w:rsidR="00640B50" w:rsidRPr="008B4117" w:rsidRDefault="00640B50" w:rsidP="00B0170C">
            <w:pPr>
              <w:spacing w:after="0"/>
              <w:rPr>
                <w:rFonts w:ascii="Times New Roman" w:hAnsi="Times New Roman"/>
                <w:b/>
                <w:bCs/>
                <w:color w:val="000000"/>
                <w:lang w:eastAsia="es-DO"/>
              </w:rPr>
            </w:pPr>
            <w:r w:rsidRPr="008B4117">
              <w:rPr>
                <w:rFonts w:ascii="Times New Roman" w:hAnsi="Times New Roman"/>
                <w:b/>
                <w:bCs/>
                <w:color w:val="000000"/>
                <w:lang w:eastAsia="es-DO"/>
              </w:rPr>
              <w:t>Promedio simple de la medición dicotómica de 6 criterios.</w:t>
            </w:r>
          </w:p>
          <w:p w14:paraId="63DEEF9C" w14:textId="323B30D4" w:rsidR="00640B50" w:rsidRPr="00640B50" w:rsidRDefault="00640B50" w:rsidP="00B10A65">
            <w:pPr>
              <w:spacing w:after="0"/>
              <w:ind w:firstLineChars="100" w:firstLine="240"/>
              <w:rPr>
                <w:rFonts w:ascii="Times New Roman" w:hAnsi="Times New Roman"/>
                <w:bCs/>
                <w:color w:val="000000"/>
                <w:lang w:eastAsia="es-DO"/>
              </w:rPr>
            </w:pPr>
            <w:r w:rsidRPr="00640B50">
              <w:rPr>
                <w:rFonts w:ascii="Times New Roman" w:hAnsi="Times New Roman"/>
                <w:bCs/>
                <w:color w:val="000000"/>
                <w:lang w:eastAsia="es-DO"/>
              </w:rPr>
              <w:t xml:space="preserve">3 en la etapa de </w:t>
            </w:r>
            <w:r>
              <w:rPr>
                <w:rFonts w:ascii="Times New Roman" w:hAnsi="Times New Roman"/>
                <w:bCs/>
                <w:color w:val="000000"/>
                <w:lang w:eastAsia="es-DO"/>
              </w:rPr>
              <w:t>Formulación</w:t>
            </w:r>
          </w:p>
          <w:p w14:paraId="45600444" w14:textId="0BC5E829" w:rsidR="00640B50" w:rsidRPr="008B4117" w:rsidRDefault="00640B50" w:rsidP="00640B50">
            <w:pPr>
              <w:spacing w:after="0"/>
              <w:ind w:firstLineChars="100" w:firstLine="240"/>
              <w:rPr>
                <w:rFonts w:ascii="Times New Roman" w:hAnsi="Times New Roman"/>
                <w:b/>
                <w:bCs/>
                <w:color w:val="000000"/>
                <w:lang w:eastAsia="es-DO"/>
              </w:rPr>
            </w:pPr>
            <w:r w:rsidRPr="00640B50">
              <w:rPr>
                <w:rFonts w:ascii="Times New Roman" w:hAnsi="Times New Roman"/>
                <w:bCs/>
                <w:color w:val="000000"/>
                <w:lang w:eastAsia="es-DO"/>
              </w:rPr>
              <w:t xml:space="preserve">3 en la etapa de </w:t>
            </w:r>
            <w:r>
              <w:rPr>
                <w:rFonts w:ascii="Times New Roman" w:hAnsi="Times New Roman"/>
                <w:bCs/>
                <w:color w:val="000000"/>
                <w:lang w:eastAsia="es-DO"/>
              </w:rPr>
              <w:t>Ejecución</w:t>
            </w:r>
          </w:p>
        </w:tc>
        <w:tc>
          <w:tcPr>
            <w:tcW w:w="797" w:type="pct"/>
            <w:tcBorders>
              <w:top w:val="nil"/>
              <w:left w:val="single" w:sz="4" w:space="0" w:color="auto"/>
              <w:bottom w:val="single" w:sz="4" w:space="0" w:color="auto"/>
              <w:right w:val="single" w:sz="4" w:space="0" w:color="auto"/>
            </w:tcBorders>
            <w:shd w:val="clear" w:color="000000" w:fill="FFFFFF"/>
            <w:vAlign w:val="center"/>
            <w:hideMark/>
          </w:tcPr>
          <w:p w14:paraId="0F9085E3" w14:textId="77777777" w:rsidR="00640B50" w:rsidRPr="008B4117" w:rsidRDefault="00640B50" w:rsidP="00B0170C">
            <w:pPr>
              <w:spacing w:after="0"/>
              <w:jc w:val="center"/>
              <w:rPr>
                <w:rFonts w:ascii="Times New Roman" w:hAnsi="Times New Roman"/>
                <w:color w:val="000000"/>
                <w:lang w:eastAsia="es-DO"/>
              </w:rPr>
            </w:pPr>
            <w:r w:rsidRPr="008B4117">
              <w:rPr>
                <w:rFonts w:ascii="Times New Roman" w:hAnsi="Times New Roman"/>
                <w:color w:val="000000"/>
                <w:lang w:eastAsia="es-DO"/>
              </w:rPr>
              <w:t>100%</w:t>
            </w:r>
          </w:p>
        </w:tc>
        <w:tc>
          <w:tcPr>
            <w:tcW w:w="682" w:type="pct"/>
            <w:tcBorders>
              <w:top w:val="nil"/>
              <w:left w:val="single" w:sz="4" w:space="0" w:color="auto"/>
              <w:bottom w:val="single" w:sz="4" w:space="0" w:color="auto"/>
              <w:right w:val="single" w:sz="4" w:space="0" w:color="auto"/>
            </w:tcBorders>
            <w:shd w:val="clear" w:color="000000" w:fill="FFFFFF"/>
            <w:vAlign w:val="center"/>
            <w:hideMark/>
          </w:tcPr>
          <w:p w14:paraId="366D1F7F" w14:textId="297CA1B9" w:rsidR="00640B50" w:rsidRPr="008B4117" w:rsidRDefault="00640B50" w:rsidP="009C3F99">
            <w:pPr>
              <w:spacing w:after="0"/>
              <w:jc w:val="center"/>
              <w:rPr>
                <w:rFonts w:ascii="Times New Roman" w:hAnsi="Times New Roman"/>
                <w:color w:val="000000"/>
                <w:lang w:eastAsia="es-DO"/>
              </w:rPr>
            </w:pPr>
            <w:r w:rsidRPr="008B4117">
              <w:rPr>
                <w:rFonts w:ascii="Times New Roman" w:hAnsi="Times New Roman"/>
                <w:color w:val="000000"/>
                <w:lang w:eastAsia="es-DO"/>
              </w:rPr>
              <w:t>100%</w:t>
            </w:r>
          </w:p>
        </w:tc>
      </w:tr>
      <w:tr w:rsidR="00EC44A8" w:rsidRPr="008B4117" w14:paraId="3C76E467" w14:textId="77777777" w:rsidTr="00EC44A8">
        <w:trPr>
          <w:trHeight w:val="630"/>
        </w:trPr>
        <w:tc>
          <w:tcPr>
            <w:tcW w:w="851" w:type="pct"/>
            <w:vMerge w:val="restart"/>
            <w:tcBorders>
              <w:top w:val="nil"/>
              <w:left w:val="single" w:sz="4" w:space="0" w:color="auto"/>
              <w:bottom w:val="single" w:sz="4" w:space="0" w:color="auto"/>
              <w:right w:val="single" w:sz="4" w:space="0" w:color="auto"/>
            </w:tcBorders>
            <w:shd w:val="clear" w:color="000000" w:fill="FFFFFF"/>
            <w:vAlign w:val="center"/>
            <w:hideMark/>
          </w:tcPr>
          <w:p w14:paraId="44F42409" w14:textId="276403CA" w:rsidR="00EC44A8" w:rsidRPr="008B4117" w:rsidRDefault="00EC44A8" w:rsidP="00B0170C">
            <w:pPr>
              <w:spacing w:after="0"/>
              <w:rPr>
                <w:rFonts w:ascii="Times New Roman" w:hAnsi="Times New Roman"/>
                <w:color w:val="000000"/>
                <w:lang w:eastAsia="es-DO"/>
              </w:rPr>
            </w:pPr>
            <w:r w:rsidRPr="008B4117">
              <w:rPr>
                <w:rFonts w:ascii="Times New Roman" w:hAnsi="Times New Roman"/>
                <w:color w:val="000000"/>
                <w:lang w:eastAsia="es-DO"/>
              </w:rPr>
              <w:t>Beneficiarios de Asistencia Social</w:t>
            </w:r>
          </w:p>
        </w:tc>
        <w:tc>
          <w:tcPr>
            <w:tcW w:w="2670" w:type="pct"/>
            <w:tcBorders>
              <w:top w:val="single" w:sz="4" w:space="0" w:color="auto"/>
              <w:left w:val="nil"/>
              <w:right w:val="single" w:sz="4" w:space="0" w:color="auto"/>
            </w:tcBorders>
            <w:shd w:val="clear" w:color="000000" w:fill="FFFFFF"/>
            <w:vAlign w:val="center"/>
            <w:hideMark/>
          </w:tcPr>
          <w:p w14:paraId="65174323" w14:textId="77777777" w:rsidR="00EC44A8" w:rsidRPr="008B4117" w:rsidRDefault="00EC44A8" w:rsidP="00B0170C">
            <w:pPr>
              <w:spacing w:after="0"/>
              <w:rPr>
                <w:rFonts w:ascii="Times New Roman" w:hAnsi="Times New Roman"/>
                <w:b/>
                <w:bCs/>
                <w:color w:val="000000"/>
                <w:lang w:eastAsia="es-DO"/>
              </w:rPr>
            </w:pPr>
            <w:r w:rsidRPr="008B4117">
              <w:rPr>
                <w:rFonts w:ascii="Times New Roman" w:hAnsi="Times New Roman"/>
                <w:b/>
                <w:bCs/>
                <w:color w:val="000000"/>
                <w:lang w:eastAsia="es-DO"/>
              </w:rPr>
              <w:t>Promedio simple de la medición dicotómica de 3 criterios.</w:t>
            </w:r>
          </w:p>
        </w:tc>
        <w:tc>
          <w:tcPr>
            <w:tcW w:w="797" w:type="pct"/>
            <w:vMerge w:val="restart"/>
            <w:tcBorders>
              <w:top w:val="nil"/>
              <w:left w:val="single" w:sz="4" w:space="0" w:color="auto"/>
              <w:bottom w:val="single" w:sz="4" w:space="0" w:color="auto"/>
              <w:right w:val="single" w:sz="4" w:space="0" w:color="auto"/>
            </w:tcBorders>
            <w:shd w:val="clear" w:color="000000" w:fill="FFFFFF"/>
            <w:vAlign w:val="center"/>
            <w:hideMark/>
          </w:tcPr>
          <w:p w14:paraId="487775B3" w14:textId="77777777" w:rsidR="00EC44A8" w:rsidRPr="008B4117" w:rsidRDefault="00EC44A8" w:rsidP="00B0170C">
            <w:pPr>
              <w:spacing w:after="0"/>
              <w:jc w:val="center"/>
              <w:rPr>
                <w:rFonts w:ascii="Times New Roman" w:hAnsi="Times New Roman"/>
                <w:color w:val="000000"/>
                <w:lang w:eastAsia="es-DO"/>
              </w:rPr>
            </w:pPr>
            <w:r w:rsidRPr="008B4117">
              <w:rPr>
                <w:rFonts w:ascii="Times New Roman" w:hAnsi="Times New Roman"/>
                <w:color w:val="000000"/>
                <w:lang w:eastAsia="es-DO"/>
              </w:rPr>
              <w:t>No evaluado</w:t>
            </w:r>
          </w:p>
        </w:tc>
        <w:tc>
          <w:tcPr>
            <w:tcW w:w="682" w:type="pct"/>
            <w:vMerge w:val="restart"/>
            <w:tcBorders>
              <w:top w:val="nil"/>
              <w:left w:val="single" w:sz="4" w:space="0" w:color="auto"/>
              <w:bottom w:val="single" w:sz="4" w:space="0" w:color="auto"/>
              <w:right w:val="single" w:sz="4" w:space="0" w:color="auto"/>
            </w:tcBorders>
            <w:shd w:val="clear" w:color="000000" w:fill="FFFFFF"/>
            <w:vAlign w:val="center"/>
            <w:hideMark/>
          </w:tcPr>
          <w:p w14:paraId="29EB21A8" w14:textId="77777777" w:rsidR="00EC44A8" w:rsidRPr="008B4117" w:rsidRDefault="00EC44A8" w:rsidP="00B0170C">
            <w:pPr>
              <w:spacing w:after="0"/>
              <w:jc w:val="center"/>
              <w:rPr>
                <w:rFonts w:ascii="Times New Roman" w:hAnsi="Times New Roman"/>
                <w:color w:val="000000"/>
                <w:lang w:eastAsia="es-DO"/>
              </w:rPr>
            </w:pPr>
            <w:r w:rsidRPr="008B4117">
              <w:rPr>
                <w:rFonts w:ascii="Times New Roman" w:hAnsi="Times New Roman"/>
                <w:color w:val="000000"/>
                <w:lang w:eastAsia="es-DO"/>
              </w:rPr>
              <w:t>No aplica</w:t>
            </w:r>
          </w:p>
        </w:tc>
      </w:tr>
      <w:tr w:rsidR="00EC44A8" w:rsidRPr="008B4117" w14:paraId="372E89C0" w14:textId="77777777" w:rsidTr="00EC44A8">
        <w:trPr>
          <w:trHeight w:val="438"/>
        </w:trPr>
        <w:tc>
          <w:tcPr>
            <w:tcW w:w="851" w:type="pct"/>
            <w:vMerge/>
            <w:tcBorders>
              <w:top w:val="nil"/>
              <w:left w:val="single" w:sz="4" w:space="0" w:color="auto"/>
              <w:bottom w:val="single" w:sz="4" w:space="0" w:color="auto"/>
              <w:right w:val="single" w:sz="4" w:space="0" w:color="auto"/>
            </w:tcBorders>
            <w:vAlign w:val="center"/>
            <w:hideMark/>
          </w:tcPr>
          <w:p w14:paraId="38250A00" w14:textId="5EF7B2D2" w:rsidR="00EC44A8" w:rsidRPr="008B4117" w:rsidRDefault="00EC44A8" w:rsidP="00B0170C">
            <w:pPr>
              <w:spacing w:after="0"/>
              <w:rPr>
                <w:rFonts w:ascii="Times New Roman" w:hAnsi="Times New Roman"/>
                <w:color w:val="000000"/>
                <w:lang w:eastAsia="es-DO"/>
              </w:rPr>
            </w:pPr>
          </w:p>
        </w:tc>
        <w:tc>
          <w:tcPr>
            <w:tcW w:w="2670" w:type="pct"/>
            <w:tcBorders>
              <w:left w:val="nil"/>
              <w:right w:val="single" w:sz="4" w:space="0" w:color="auto"/>
            </w:tcBorders>
            <w:shd w:val="clear" w:color="000000" w:fill="FFFFFF"/>
            <w:vAlign w:val="center"/>
            <w:hideMark/>
          </w:tcPr>
          <w:p w14:paraId="7FFD7FE2" w14:textId="77777777" w:rsidR="00EC44A8" w:rsidRPr="008B4117" w:rsidRDefault="00EC44A8" w:rsidP="00B0170C">
            <w:pPr>
              <w:spacing w:after="0"/>
              <w:rPr>
                <w:rFonts w:ascii="Times New Roman" w:hAnsi="Times New Roman"/>
                <w:color w:val="000000"/>
                <w:lang w:eastAsia="es-DO"/>
              </w:rPr>
            </w:pPr>
            <w:r w:rsidRPr="008B4117">
              <w:rPr>
                <w:rFonts w:ascii="Times New Roman" w:hAnsi="Times New Roman"/>
                <w:color w:val="000000"/>
                <w:lang w:eastAsia="es-DO"/>
              </w:rPr>
              <w:t>1. Cumplimiento en programas de asistencia social</w:t>
            </w:r>
          </w:p>
        </w:tc>
        <w:tc>
          <w:tcPr>
            <w:tcW w:w="797" w:type="pct"/>
            <w:vMerge/>
            <w:tcBorders>
              <w:top w:val="nil"/>
              <w:left w:val="single" w:sz="4" w:space="0" w:color="auto"/>
              <w:bottom w:val="single" w:sz="4" w:space="0" w:color="auto"/>
              <w:right w:val="single" w:sz="4" w:space="0" w:color="auto"/>
            </w:tcBorders>
            <w:vAlign w:val="center"/>
            <w:hideMark/>
          </w:tcPr>
          <w:p w14:paraId="3B1FF1CB" w14:textId="77777777" w:rsidR="00EC44A8" w:rsidRPr="008B4117" w:rsidRDefault="00EC44A8" w:rsidP="00B0170C">
            <w:pPr>
              <w:spacing w:after="0"/>
              <w:rPr>
                <w:rFonts w:ascii="Times New Roman" w:hAnsi="Times New Roman"/>
                <w:color w:val="000000"/>
                <w:lang w:eastAsia="es-DO"/>
              </w:rPr>
            </w:pPr>
          </w:p>
        </w:tc>
        <w:tc>
          <w:tcPr>
            <w:tcW w:w="682" w:type="pct"/>
            <w:vMerge/>
            <w:tcBorders>
              <w:top w:val="nil"/>
              <w:left w:val="single" w:sz="4" w:space="0" w:color="auto"/>
              <w:bottom w:val="single" w:sz="4" w:space="0" w:color="auto"/>
              <w:right w:val="single" w:sz="4" w:space="0" w:color="auto"/>
            </w:tcBorders>
            <w:vAlign w:val="center"/>
            <w:hideMark/>
          </w:tcPr>
          <w:p w14:paraId="538BD9C7" w14:textId="77777777" w:rsidR="00EC44A8" w:rsidRPr="008B4117" w:rsidRDefault="00EC44A8" w:rsidP="00B0170C">
            <w:pPr>
              <w:spacing w:after="0"/>
              <w:rPr>
                <w:rFonts w:ascii="Times New Roman" w:hAnsi="Times New Roman"/>
                <w:color w:val="000000"/>
                <w:lang w:eastAsia="es-DO"/>
              </w:rPr>
            </w:pPr>
          </w:p>
        </w:tc>
      </w:tr>
      <w:tr w:rsidR="00EC44A8" w:rsidRPr="008B4117" w14:paraId="074A87BA" w14:textId="77777777" w:rsidTr="00EC44A8">
        <w:trPr>
          <w:trHeight w:val="315"/>
        </w:trPr>
        <w:tc>
          <w:tcPr>
            <w:tcW w:w="851" w:type="pct"/>
            <w:vMerge/>
            <w:tcBorders>
              <w:top w:val="nil"/>
              <w:left w:val="single" w:sz="4" w:space="0" w:color="auto"/>
              <w:bottom w:val="single" w:sz="4" w:space="0" w:color="auto"/>
              <w:right w:val="single" w:sz="4" w:space="0" w:color="auto"/>
            </w:tcBorders>
            <w:vAlign w:val="center"/>
            <w:hideMark/>
          </w:tcPr>
          <w:p w14:paraId="0F675827" w14:textId="4CE89C64" w:rsidR="00EC44A8" w:rsidRPr="008B4117" w:rsidRDefault="00EC44A8" w:rsidP="00B0170C">
            <w:pPr>
              <w:spacing w:after="0"/>
              <w:rPr>
                <w:rFonts w:ascii="Times New Roman" w:hAnsi="Times New Roman"/>
                <w:color w:val="000000"/>
                <w:lang w:eastAsia="es-DO"/>
              </w:rPr>
            </w:pPr>
          </w:p>
        </w:tc>
        <w:tc>
          <w:tcPr>
            <w:tcW w:w="2670" w:type="pct"/>
            <w:tcBorders>
              <w:left w:val="nil"/>
              <w:right w:val="single" w:sz="4" w:space="0" w:color="auto"/>
            </w:tcBorders>
            <w:shd w:val="clear" w:color="000000" w:fill="FFFFFF"/>
            <w:vAlign w:val="center"/>
            <w:hideMark/>
          </w:tcPr>
          <w:p w14:paraId="0AAD9C00" w14:textId="77777777" w:rsidR="00EC44A8" w:rsidRPr="008B4117" w:rsidRDefault="00EC44A8" w:rsidP="00B0170C">
            <w:pPr>
              <w:spacing w:after="0"/>
              <w:rPr>
                <w:rFonts w:ascii="Times New Roman" w:hAnsi="Times New Roman"/>
                <w:color w:val="000000"/>
                <w:lang w:eastAsia="es-DO"/>
              </w:rPr>
            </w:pPr>
            <w:r w:rsidRPr="008B4117">
              <w:rPr>
                <w:rFonts w:ascii="Times New Roman" w:hAnsi="Times New Roman"/>
                <w:color w:val="000000"/>
                <w:lang w:eastAsia="es-DO"/>
              </w:rPr>
              <w:t>2. Cumplimiento en becas</w:t>
            </w:r>
          </w:p>
        </w:tc>
        <w:tc>
          <w:tcPr>
            <w:tcW w:w="797" w:type="pct"/>
            <w:vMerge/>
            <w:tcBorders>
              <w:top w:val="nil"/>
              <w:left w:val="single" w:sz="4" w:space="0" w:color="auto"/>
              <w:bottom w:val="single" w:sz="4" w:space="0" w:color="auto"/>
              <w:right w:val="single" w:sz="4" w:space="0" w:color="auto"/>
            </w:tcBorders>
            <w:vAlign w:val="center"/>
            <w:hideMark/>
          </w:tcPr>
          <w:p w14:paraId="41465895" w14:textId="77777777" w:rsidR="00EC44A8" w:rsidRPr="008B4117" w:rsidRDefault="00EC44A8" w:rsidP="00B0170C">
            <w:pPr>
              <w:spacing w:after="0"/>
              <w:rPr>
                <w:rFonts w:ascii="Times New Roman" w:hAnsi="Times New Roman"/>
                <w:color w:val="000000"/>
                <w:lang w:eastAsia="es-DO"/>
              </w:rPr>
            </w:pPr>
          </w:p>
        </w:tc>
        <w:tc>
          <w:tcPr>
            <w:tcW w:w="682" w:type="pct"/>
            <w:vMerge/>
            <w:tcBorders>
              <w:top w:val="nil"/>
              <w:left w:val="single" w:sz="4" w:space="0" w:color="auto"/>
              <w:bottom w:val="single" w:sz="4" w:space="0" w:color="auto"/>
              <w:right w:val="single" w:sz="4" w:space="0" w:color="auto"/>
            </w:tcBorders>
            <w:vAlign w:val="center"/>
            <w:hideMark/>
          </w:tcPr>
          <w:p w14:paraId="42C128E4" w14:textId="77777777" w:rsidR="00EC44A8" w:rsidRPr="008B4117" w:rsidRDefault="00EC44A8" w:rsidP="00B0170C">
            <w:pPr>
              <w:spacing w:after="0"/>
              <w:rPr>
                <w:rFonts w:ascii="Times New Roman" w:hAnsi="Times New Roman"/>
                <w:color w:val="000000"/>
                <w:lang w:eastAsia="es-DO"/>
              </w:rPr>
            </w:pPr>
          </w:p>
        </w:tc>
      </w:tr>
      <w:tr w:rsidR="00EC44A8" w:rsidRPr="008B4117" w14:paraId="3990433B" w14:textId="77777777" w:rsidTr="00EC44A8">
        <w:trPr>
          <w:trHeight w:val="315"/>
        </w:trPr>
        <w:tc>
          <w:tcPr>
            <w:tcW w:w="851" w:type="pct"/>
            <w:vMerge/>
            <w:tcBorders>
              <w:top w:val="nil"/>
              <w:left w:val="single" w:sz="4" w:space="0" w:color="auto"/>
              <w:bottom w:val="single" w:sz="4" w:space="0" w:color="auto"/>
              <w:right w:val="single" w:sz="4" w:space="0" w:color="auto"/>
            </w:tcBorders>
            <w:vAlign w:val="center"/>
            <w:hideMark/>
          </w:tcPr>
          <w:p w14:paraId="51459654" w14:textId="17A89E76" w:rsidR="00EC44A8" w:rsidRPr="008B4117" w:rsidRDefault="00EC44A8" w:rsidP="00B0170C">
            <w:pPr>
              <w:spacing w:after="0"/>
              <w:rPr>
                <w:rFonts w:ascii="Times New Roman" w:hAnsi="Times New Roman"/>
                <w:color w:val="000000"/>
                <w:lang w:eastAsia="es-DO"/>
              </w:rPr>
            </w:pPr>
          </w:p>
        </w:tc>
        <w:tc>
          <w:tcPr>
            <w:tcW w:w="2670" w:type="pct"/>
            <w:tcBorders>
              <w:left w:val="nil"/>
              <w:bottom w:val="single" w:sz="4" w:space="0" w:color="auto"/>
              <w:right w:val="single" w:sz="4" w:space="0" w:color="auto"/>
            </w:tcBorders>
            <w:shd w:val="clear" w:color="000000" w:fill="FFFFFF"/>
            <w:vAlign w:val="center"/>
            <w:hideMark/>
          </w:tcPr>
          <w:p w14:paraId="75A4F159" w14:textId="77777777" w:rsidR="00EC44A8" w:rsidRPr="008B4117" w:rsidRDefault="00EC44A8" w:rsidP="00B0170C">
            <w:pPr>
              <w:spacing w:after="0"/>
              <w:rPr>
                <w:rFonts w:ascii="Times New Roman" w:hAnsi="Times New Roman"/>
                <w:color w:val="000000"/>
                <w:lang w:eastAsia="es-DO"/>
              </w:rPr>
            </w:pPr>
            <w:r w:rsidRPr="008B4117">
              <w:rPr>
                <w:rFonts w:ascii="Times New Roman" w:hAnsi="Times New Roman"/>
                <w:color w:val="000000"/>
                <w:lang w:eastAsia="es-DO"/>
              </w:rPr>
              <w:t>3. Cumplimiento en subsidios</w:t>
            </w:r>
          </w:p>
        </w:tc>
        <w:tc>
          <w:tcPr>
            <w:tcW w:w="797" w:type="pct"/>
            <w:vMerge/>
            <w:tcBorders>
              <w:top w:val="nil"/>
              <w:left w:val="single" w:sz="4" w:space="0" w:color="auto"/>
              <w:bottom w:val="single" w:sz="4" w:space="0" w:color="auto"/>
              <w:right w:val="single" w:sz="4" w:space="0" w:color="auto"/>
            </w:tcBorders>
            <w:vAlign w:val="center"/>
            <w:hideMark/>
          </w:tcPr>
          <w:p w14:paraId="53CBE58E" w14:textId="77777777" w:rsidR="00EC44A8" w:rsidRPr="008B4117" w:rsidRDefault="00EC44A8" w:rsidP="00B0170C">
            <w:pPr>
              <w:spacing w:after="0"/>
              <w:rPr>
                <w:rFonts w:ascii="Times New Roman" w:hAnsi="Times New Roman"/>
                <w:color w:val="000000"/>
                <w:lang w:eastAsia="es-DO"/>
              </w:rPr>
            </w:pPr>
          </w:p>
        </w:tc>
        <w:tc>
          <w:tcPr>
            <w:tcW w:w="682" w:type="pct"/>
            <w:vMerge/>
            <w:tcBorders>
              <w:top w:val="nil"/>
              <w:left w:val="single" w:sz="4" w:space="0" w:color="auto"/>
              <w:bottom w:val="single" w:sz="4" w:space="0" w:color="auto"/>
              <w:right w:val="single" w:sz="4" w:space="0" w:color="auto"/>
            </w:tcBorders>
            <w:vAlign w:val="center"/>
            <w:hideMark/>
          </w:tcPr>
          <w:p w14:paraId="50326D19" w14:textId="77777777" w:rsidR="00EC44A8" w:rsidRPr="008B4117" w:rsidRDefault="00EC44A8" w:rsidP="00B0170C">
            <w:pPr>
              <w:spacing w:after="0"/>
              <w:rPr>
                <w:rFonts w:ascii="Times New Roman" w:hAnsi="Times New Roman"/>
                <w:color w:val="000000"/>
                <w:lang w:eastAsia="es-DO"/>
              </w:rPr>
            </w:pPr>
          </w:p>
        </w:tc>
      </w:tr>
      <w:tr w:rsidR="00EC44A8" w:rsidRPr="008B4117" w14:paraId="71C55A9B" w14:textId="77777777" w:rsidTr="003B4E58">
        <w:trPr>
          <w:trHeight w:val="315"/>
        </w:trPr>
        <w:tc>
          <w:tcPr>
            <w:tcW w:w="3521"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6E6FFE88" w14:textId="69778C9D" w:rsidR="00EC44A8" w:rsidRPr="003B4E58" w:rsidRDefault="00EC44A8" w:rsidP="00B10A65">
            <w:pPr>
              <w:spacing w:after="0"/>
              <w:ind w:firstLineChars="100" w:firstLine="241"/>
              <w:jc w:val="right"/>
              <w:rPr>
                <w:rFonts w:ascii="Times New Roman" w:hAnsi="Times New Roman"/>
                <w:b/>
                <w:bCs/>
                <w:color w:val="FFFFFF" w:themeColor="background1"/>
                <w:lang w:eastAsia="es-DO"/>
              </w:rPr>
            </w:pPr>
            <w:r w:rsidRPr="003B4E58">
              <w:rPr>
                <w:rFonts w:ascii="Times New Roman" w:hAnsi="Times New Roman"/>
                <w:b/>
                <w:bCs/>
                <w:color w:val="FFFFFF" w:themeColor="background1"/>
                <w:lang w:eastAsia="es-DO"/>
              </w:rPr>
              <w:t>Total</w:t>
            </w:r>
          </w:p>
        </w:tc>
        <w:tc>
          <w:tcPr>
            <w:tcW w:w="797" w:type="pct"/>
            <w:tcBorders>
              <w:top w:val="nil"/>
              <w:left w:val="nil"/>
              <w:bottom w:val="single" w:sz="4" w:space="0" w:color="auto"/>
              <w:right w:val="single" w:sz="4" w:space="0" w:color="auto"/>
            </w:tcBorders>
            <w:shd w:val="clear" w:color="auto" w:fill="808080" w:themeFill="background1" w:themeFillShade="80"/>
            <w:vAlign w:val="center"/>
            <w:hideMark/>
          </w:tcPr>
          <w:p w14:paraId="598487EA" w14:textId="77777777" w:rsidR="00EC44A8" w:rsidRPr="003B4E58" w:rsidRDefault="00EC44A8" w:rsidP="00B0170C">
            <w:pPr>
              <w:spacing w:after="0"/>
              <w:jc w:val="center"/>
              <w:rPr>
                <w:rFonts w:ascii="Times New Roman" w:hAnsi="Times New Roman"/>
                <w:b/>
                <w:bCs/>
                <w:color w:val="FFFFFF" w:themeColor="background1"/>
                <w:lang w:eastAsia="es-DO"/>
              </w:rPr>
            </w:pPr>
            <w:r w:rsidRPr="003B4E58">
              <w:rPr>
                <w:rFonts w:ascii="Times New Roman" w:hAnsi="Times New Roman"/>
                <w:b/>
                <w:bCs/>
                <w:color w:val="FFFFFF" w:themeColor="background1"/>
                <w:lang w:eastAsia="es-DO"/>
              </w:rPr>
              <w:t>100%</w:t>
            </w:r>
          </w:p>
        </w:tc>
        <w:tc>
          <w:tcPr>
            <w:tcW w:w="682" w:type="pct"/>
            <w:tcBorders>
              <w:top w:val="nil"/>
              <w:left w:val="nil"/>
              <w:bottom w:val="single" w:sz="4" w:space="0" w:color="auto"/>
              <w:right w:val="single" w:sz="4" w:space="0" w:color="auto"/>
            </w:tcBorders>
            <w:shd w:val="clear" w:color="auto" w:fill="808080" w:themeFill="background1" w:themeFillShade="80"/>
            <w:vAlign w:val="center"/>
            <w:hideMark/>
          </w:tcPr>
          <w:p w14:paraId="4C5EF40C" w14:textId="26AEE334" w:rsidR="00EC44A8" w:rsidRPr="003B4E58" w:rsidRDefault="009C3F99" w:rsidP="009C3F99">
            <w:pPr>
              <w:spacing w:after="0"/>
              <w:jc w:val="center"/>
              <w:rPr>
                <w:rFonts w:ascii="Times New Roman" w:hAnsi="Times New Roman"/>
                <w:b/>
                <w:bCs/>
                <w:color w:val="FFFFFF" w:themeColor="background1"/>
                <w:lang w:eastAsia="es-DO"/>
              </w:rPr>
            </w:pPr>
            <w:r w:rsidRPr="003B4E58">
              <w:rPr>
                <w:rFonts w:ascii="Times New Roman" w:hAnsi="Times New Roman"/>
                <w:b/>
                <w:bCs/>
                <w:color w:val="FFFFFF" w:themeColor="background1"/>
                <w:lang w:eastAsia="es-DO"/>
              </w:rPr>
              <w:t>95</w:t>
            </w:r>
            <w:r w:rsidR="0045254A">
              <w:rPr>
                <w:rFonts w:ascii="Times New Roman" w:hAnsi="Times New Roman"/>
                <w:b/>
                <w:bCs/>
                <w:color w:val="FFFFFF" w:themeColor="background1"/>
                <w:lang w:eastAsia="es-DO"/>
              </w:rPr>
              <w:t>.05</w:t>
            </w:r>
            <w:r w:rsidRPr="003B4E58">
              <w:rPr>
                <w:rFonts w:ascii="Times New Roman" w:hAnsi="Times New Roman"/>
                <w:b/>
                <w:bCs/>
                <w:color w:val="FFFFFF" w:themeColor="background1"/>
                <w:lang w:eastAsia="es-DO"/>
              </w:rPr>
              <w:t>%</w:t>
            </w:r>
          </w:p>
        </w:tc>
      </w:tr>
    </w:tbl>
    <w:p w14:paraId="3B31DBE1" w14:textId="72D87002" w:rsidR="00BB7F45" w:rsidRDefault="00BB7F45" w:rsidP="00366DEE">
      <w:pPr>
        <w:spacing w:after="0" w:line="480" w:lineRule="auto"/>
        <w:jc w:val="both"/>
        <w:rPr>
          <w:rFonts w:ascii="Times New Roman" w:hAnsi="Times New Roman"/>
          <w:lang w:val="es-ES_tradnl"/>
        </w:rPr>
      </w:pPr>
    </w:p>
    <w:p w14:paraId="7D79A7CE" w14:textId="55D70F1F" w:rsidR="003D1320" w:rsidRPr="00640974" w:rsidRDefault="003D1320" w:rsidP="001C6B1A">
      <w:pPr>
        <w:pStyle w:val="Prrafodelista"/>
        <w:numPr>
          <w:ilvl w:val="0"/>
          <w:numId w:val="8"/>
        </w:numPr>
        <w:spacing w:after="0" w:line="360" w:lineRule="auto"/>
        <w:ind w:left="1783" w:hanging="1499"/>
        <w:jc w:val="both"/>
        <w:rPr>
          <w:rFonts w:ascii="Times New Roman" w:hAnsi="Times New Roman"/>
          <w:sz w:val="24"/>
          <w:szCs w:val="24"/>
        </w:rPr>
      </w:pPr>
      <w:r w:rsidRPr="00640974">
        <w:rPr>
          <w:rFonts w:ascii="Times New Roman" w:hAnsi="Times New Roman"/>
          <w:b/>
          <w:sz w:val="24"/>
          <w:szCs w:val="24"/>
          <w:lang w:val="es-ES_tradnl"/>
        </w:rPr>
        <w:t>Resultado</w:t>
      </w:r>
      <w:r w:rsidRPr="00640974">
        <w:rPr>
          <w:rFonts w:ascii="Times New Roman" w:hAnsi="Times New Roman"/>
          <w:b/>
          <w:bCs/>
          <w:sz w:val="24"/>
          <w:szCs w:val="24"/>
        </w:rPr>
        <w:t xml:space="preserve"> i</w:t>
      </w:r>
      <w:r>
        <w:rPr>
          <w:rFonts w:ascii="Times New Roman" w:eastAsia="Times New Roman" w:hAnsi="Times New Roman"/>
          <w:b/>
          <w:bCs/>
          <w:sz w:val="24"/>
          <w:szCs w:val="24"/>
        </w:rPr>
        <w:t>ndicador de gestión presupuestaria</w:t>
      </w:r>
      <w:r w:rsidRPr="00640974">
        <w:rPr>
          <w:rFonts w:ascii="Times New Roman" w:hAnsi="Times New Roman"/>
          <w:b/>
          <w:bCs/>
          <w:sz w:val="24"/>
          <w:szCs w:val="24"/>
        </w:rPr>
        <w:t>, por trimestres 2019</w:t>
      </w:r>
    </w:p>
    <w:p w14:paraId="386B339D" w14:textId="4D77289D" w:rsidR="003D1320" w:rsidRPr="003D1320" w:rsidRDefault="00640B50" w:rsidP="00366DEE">
      <w:pPr>
        <w:spacing w:after="0" w:line="480" w:lineRule="auto"/>
        <w:jc w:val="both"/>
        <w:rPr>
          <w:rFonts w:ascii="Times New Roman" w:hAnsi="Times New Roman"/>
        </w:rPr>
      </w:pPr>
      <w:r>
        <w:rPr>
          <w:noProof/>
          <w:lang w:eastAsia="es-DO"/>
        </w:rPr>
        <w:drawing>
          <wp:inline distT="0" distB="0" distL="0" distR="0" wp14:anchorId="6F5DF3F6" wp14:editId="517EBACD">
            <wp:extent cx="5260768" cy="3313430"/>
            <wp:effectExtent l="0" t="0" r="0" b="127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03A7F058" w14:textId="77777777" w:rsidR="003D1320" w:rsidRDefault="003D1320" w:rsidP="00366DEE">
      <w:pPr>
        <w:spacing w:after="0" w:line="480" w:lineRule="auto"/>
        <w:jc w:val="both"/>
        <w:rPr>
          <w:rFonts w:ascii="Times New Roman" w:hAnsi="Times New Roman"/>
          <w:lang w:val="es-ES_tradnl"/>
        </w:rPr>
      </w:pPr>
    </w:p>
    <w:p w14:paraId="291617DA" w14:textId="6F0421BC" w:rsidR="003D1320" w:rsidRPr="00640974" w:rsidRDefault="003D1320" w:rsidP="001C6B1A">
      <w:pPr>
        <w:pStyle w:val="Prrafodelista"/>
        <w:numPr>
          <w:ilvl w:val="0"/>
          <w:numId w:val="8"/>
        </w:numPr>
        <w:spacing w:after="0" w:line="360" w:lineRule="auto"/>
        <w:ind w:left="1783" w:hanging="1499"/>
        <w:jc w:val="both"/>
        <w:rPr>
          <w:rFonts w:ascii="Times New Roman" w:hAnsi="Times New Roman"/>
          <w:sz w:val="24"/>
          <w:szCs w:val="24"/>
        </w:rPr>
      </w:pPr>
      <w:r w:rsidRPr="00640974">
        <w:rPr>
          <w:rFonts w:ascii="Times New Roman" w:hAnsi="Times New Roman"/>
          <w:b/>
          <w:sz w:val="24"/>
          <w:szCs w:val="24"/>
          <w:lang w:val="es-ES_tradnl"/>
        </w:rPr>
        <w:lastRenderedPageBreak/>
        <w:t>Resultado</w:t>
      </w:r>
      <w:r w:rsidRPr="00640974">
        <w:rPr>
          <w:rFonts w:ascii="Times New Roman" w:hAnsi="Times New Roman"/>
          <w:b/>
          <w:bCs/>
          <w:sz w:val="24"/>
          <w:szCs w:val="24"/>
        </w:rPr>
        <w:t xml:space="preserve"> </w:t>
      </w:r>
      <w:r>
        <w:rPr>
          <w:rFonts w:ascii="Times New Roman" w:hAnsi="Times New Roman"/>
          <w:b/>
          <w:bCs/>
          <w:sz w:val="24"/>
          <w:szCs w:val="24"/>
        </w:rPr>
        <w:t>IGP</w:t>
      </w:r>
      <w:r w:rsidRPr="00640974">
        <w:rPr>
          <w:rFonts w:ascii="Times New Roman" w:hAnsi="Times New Roman"/>
          <w:b/>
          <w:bCs/>
          <w:sz w:val="24"/>
          <w:szCs w:val="24"/>
        </w:rPr>
        <w:t xml:space="preserve"> por </w:t>
      </w:r>
      <w:r>
        <w:rPr>
          <w:rFonts w:ascii="Times New Roman" w:hAnsi="Times New Roman"/>
          <w:b/>
          <w:bCs/>
          <w:sz w:val="24"/>
          <w:szCs w:val="24"/>
        </w:rPr>
        <w:t>componentes</w:t>
      </w:r>
    </w:p>
    <w:p w14:paraId="756B54BE" w14:textId="0C2C32E5" w:rsidR="003D1320" w:rsidRDefault="003D1320" w:rsidP="00366DEE">
      <w:pPr>
        <w:spacing w:after="0" w:line="480" w:lineRule="auto"/>
        <w:jc w:val="both"/>
        <w:rPr>
          <w:rFonts w:ascii="Times New Roman" w:hAnsi="Times New Roman"/>
          <w:lang w:val="es-ES_tradnl"/>
        </w:rPr>
      </w:pPr>
      <w:r>
        <w:rPr>
          <w:noProof/>
          <w:lang w:eastAsia="es-DO"/>
        </w:rPr>
        <w:drawing>
          <wp:inline distT="0" distB="0" distL="0" distR="0" wp14:anchorId="16A92F7F" wp14:editId="48A84DCE">
            <wp:extent cx="5189220" cy="3626069"/>
            <wp:effectExtent l="0" t="0" r="0" b="0"/>
            <wp:docPr id="174" name="Gráfico 174"/>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5FADC2DB" w14:textId="0F79347D" w:rsidR="00640B50" w:rsidRDefault="00640B50" w:rsidP="00640B50">
      <w:pPr>
        <w:widowControl w:val="0"/>
        <w:autoSpaceDE w:val="0"/>
        <w:autoSpaceDN w:val="0"/>
        <w:adjustRightInd w:val="0"/>
        <w:spacing w:after="0" w:line="480" w:lineRule="auto"/>
        <w:ind w:firstLine="720"/>
        <w:jc w:val="both"/>
        <w:rPr>
          <w:rFonts w:ascii="Times New Roman" w:hAnsi="Times New Roman"/>
          <w:b/>
          <w:sz w:val="28"/>
        </w:rPr>
      </w:pPr>
      <w:r>
        <w:rPr>
          <w:rFonts w:ascii="Times New Roman" w:hAnsi="Times New Roman"/>
          <w:b/>
          <w:sz w:val="28"/>
        </w:rPr>
        <w:t>% eficacia, Presupuesto Orientado a Resultados</w:t>
      </w:r>
    </w:p>
    <w:p w14:paraId="37DF4F11" w14:textId="77777777" w:rsidR="0045254A" w:rsidRDefault="0045254A" w:rsidP="00B31EF6">
      <w:pPr>
        <w:widowControl w:val="0"/>
        <w:autoSpaceDE w:val="0"/>
        <w:autoSpaceDN w:val="0"/>
        <w:adjustRightInd w:val="0"/>
        <w:spacing w:after="0" w:line="360" w:lineRule="auto"/>
        <w:ind w:firstLine="720"/>
        <w:jc w:val="both"/>
        <w:rPr>
          <w:rFonts w:ascii="Times New Roman" w:hAnsi="Times New Roman"/>
          <w:b/>
          <w:sz w:val="28"/>
        </w:rPr>
      </w:pPr>
    </w:p>
    <w:p w14:paraId="166CC902" w14:textId="5E139C38" w:rsidR="00F2330B" w:rsidRPr="0098414F" w:rsidRDefault="00F2330B" w:rsidP="001C6B1A">
      <w:pPr>
        <w:pStyle w:val="Prrafodelista"/>
        <w:numPr>
          <w:ilvl w:val="0"/>
          <w:numId w:val="9"/>
        </w:numPr>
        <w:spacing w:after="0" w:line="480" w:lineRule="auto"/>
        <w:ind w:left="567" w:hanging="567"/>
        <w:jc w:val="both"/>
        <w:rPr>
          <w:rFonts w:ascii="Times New Roman" w:hAnsi="Times New Roman"/>
          <w:b/>
          <w:bCs/>
          <w:sz w:val="24"/>
          <w:szCs w:val="24"/>
          <w:lang w:val="es-ES_tradnl" w:eastAsia="es-DO"/>
        </w:rPr>
      </w:pPr>
      <w:r>
        <w:rPr>
          <w:rFonts w:ascii="Times New Roman" w:hAnsi="Times New Roman"/>
          <w:b/>
          <w:bCs/>
          <w:sz w:val="24"/>
          <w:szCs w:val="24"/>
          <w:lang w:val="es-ES_tradnl" w:eastAsia="es-DO"/>
        </w:rPr>
        <w:t>Resultado proyectado 4to trimestre 2019, subindicador % eficacia</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9"/>
        <w:gridCol w:w="7070"/>
        <w:gridCol w:w="2349"/>
      </w:tblGrid>
      <w:tr w:rsidR="00B31EF6" w:rsidRPr="00640B50" w14:paraId="1BD5475F" w14:textId="77777777" w:rsidTr="00B31EF6">
        <w:trPr>
          <w:trHeight w:val="570"/>
        </w:trPr>
        <w:tc>
          <w:tcPr>
            <w:tcW w:w="929" w:type="dxa"/>
            <w:shd w:val="clear" w:color="auto" w:fill="00B050"/>
            <w:vAlign w:val="center"/>
            <w:hideMark/>
          </w:tcPr>
          <w:p w14:paraId="122E3821" w14:textId="4C0B327D" w:rsidR="00B31EF6" w:rsidRPr="00640B50" w:rsidRDefault="00B31EF6" w:rsidP="00B31EF6">
            <w:pPr>
              <w:spacing w:after="0"/>
              <w:jc w:val="center"/>
              <w:rPr>
                <w:rFonts w:ascii="Times New Roman" w:hAnsi="Times New Roman"/>
                <w:b/>
                <w:bCs/>
                <w:color w:val="FFFFFF"/>
                <w:sz w:val="20"/>
                <w:szCs w:val="20"/>
                <w:lang w:eastAsia="es-DO"/>
              </w:rPr>
            </w:pPr>
            <w:r w:rsidRPr="00640B50">
              <w:rPr>
                <w:rFonts w:ascii="Times New Roman" w:hAnsi="Times New Roman"/>
                <w:b/>
                <w:bCs/>
                <w:color w:val="FFFFFF"/>
                <w:sz w:val="20"/>
                <w:szCs w:val="20"/>
                <w:lang w:eastAsia="es-DO"/>
              </w:rPr>
              <w:t>Código</w:t>
            </w:r>
            <w:r>
              <w:rPr>
                <w:rFonts w:ascii="Times New Roman" w:hAnsi="Times New Roman"/>
                <w:b/>
                <w:bCs/>
                <w:color w:val="FFFFFF"/>
                <w:sz w:val="20"/>
                <w:szCs w:val="20"/>
                <w:lang w:eastAsia="es-DO"/>
              </w:rPr>
              <w:t xml:space="preserve"> Producto</w:t>
            </w:r>
          </w:p>
        </w:tc>
        <w:tc>
          <w:tcPr>
            <w:tcW w:w="7070" w:type="dxa"/>
            <w:shd w:val="clear" w:color="auto" w:fill="00B050"/>
            <w:vAlign w:val="center"/>
            <w:hideMark/>
          </w:tcPr>
          <w:p w14:paraId="122C0975" w14:textId="360B7CF2" w:rsidR="00B31EF6" w:rsidRPr="00640B50" w:rsidRDefault="00B31EF6" w:rsidP="00640B50">
            <w:pPr>
              <w:spacing w:after="0"/>
              <w:jc w:val="center"/>
              <w:rPr>
                <w:rFonts w:ascii="Times New Roman" w:hAnsi="Times New Roman"/>
                <w:b/>
                <w:bCs/>
                <w:color w:val="FFFFFF"/>
                <w:sz w:val="20"/>
                <w:szCs w:val="20"/>
                <w:lang w:eastAsia="es-DO"/>
              </w:rPr>
            </w:pPr>
            <w:r w:rsidRPr="00640B50">
              <w:rPr>
                <w:rFonts w:ascii="Times New Roman" w:hAnsi="Times New Roman"/>
                <w:b/>
                <w:bCs/>
                <w:color w:val="FFFFFF"/>
                <w:sz w:val="20"/>
                <w:szCs w:val="20"/>
                <w:lang w:eastAsia="es-DO"/>
              </w:rPr>
              <w:t>Nombre Productos</w:t>
            </w:r>
          </w:p>
        </w:tc>
        <w:tc>
          <w:tcPr>
            <w:tcW w:w="2349" w:type="dxa"/>
            <w:shd w:val="clear" w:color="auto" w:fill="00B050"/>
            <w:noWrap/>
            <w:vAlign w:val="center"/>
            <w:hideMark/>
          </w:tcPr>
          <w:p w14:paraId="3E737B36" w14:textId="05EFCEFA" w:rsidR="00B31EF6" w:rsidRPr="00640B50" w:rsidRDefault="00B31EF6" w:rsidP="00F2330B">
            <w:pPr>
              <w:spacing w:after="0"/>
              <w:jc w:val="center"/>
              <w:rPr>
                <w:rFonts w:ascii="Times New Roman" w:hAnsi="Times New Roman"/>
                <w:b/>
                <w:bCs/>
                <w:color w:val="FFFFFF"/>
                <w:sz w:val="22"/>
                <w:szCs w:val="22"/>
                <w:lang w:eastAsia="es-DO"/>
              </w:rPr>
            </w:pPr>
            <w:r>
              <w:rPr>
                <w:rFonts w:ascii="Times New Roman" w:hAnsi="Times New Roman"/>
                <w:b/>
                <w:bCs/>
                <w:color w:val="FFFFFF"/>
                <w:sz w:val="20"/>
                <w:szCs w:val="20"/>
                <w:lang w:eastAsia="es-DO"/>
              </w:rPr>
              <w:t>% Eficacia</w:t>
            </w:r>
          </w:p>
        </w:tc>
      </w:tr>
      <w:tr w:rsidR="00004429" w:rsidRPr="00640B50" w14:paraId="6CEFEC08" w14:textId="77777777" w:rsidTr="00B31EF6">
        <w:trPr>
          <w:trHeight w:val="510"/>
        </w:trPr>
        <w:tc>
          <w:tcPr>
            <w:tcW w:w="7999" w:type="dxa"/>
            <w:gridSpan w:val="2"/>
            <w:shd w:val="clear" w:color="000000" w:fill="808080"/>
            <w:vAlign w:val="center"/>
            <w:hideMark/>
          </w:tcPr>
          <w:p w14:paraId="2290B333" w14:textId="71F4277E" w:rsidR="00004429" w:rsidRPr="00640B50" w:rsidRDefault="00004429" w:rsidP="00B31EF6">
            <w:pPr>
              <w:spacing w:after="0"/>
              <w:jc w:val="right"/>
              <w:rPr>
                <w:rFonts w:ascii="Times New Roman" w:hAnsi="Times New Roman"/>
                <w:b/>
                <w:bCs/>
                <w:color w:val="FFFFFF"/>
                <w:lang w:eastAsia="es-DO"/>
              </w:rPr>
            </w:pPr>
            <w:r w:rsidRPr="00640B50">
              <w:rPr>
                <w:rFonts w:ascii="Times New Roman" w:hAnsi="Times New Roman"/>
                <w:b/>
                <w:bCs/>
                <w:color w:val="FFFFFF"/>
                <w:lang w:eastAsia="es-DO"/>
              </w:rPr>
              <w:t>Resultado Promedio Simple</w:t>
            </w:r>
            <w:r w:rsidR="00B31EF6">
              <w:rPr>
                <w:rFonts w:ascii="Times New Roman" w:hAnsi="Times New Roman"/>
                <w:b/>
                <w:bCs/>
                <w:color w:val="FFFFFF"/>
                <w:lang w:eastAsia="es-DO"/>
              </w:rPr>
              <w:t xml:space="preserve"> ponderado</w:t>
            </w:r>
            <w:r w:rsidRPr="00640B50">
              <w:rPr>
                <w:rFonts w:ascii="Times New Roman" w:hAnsi="Times New Roman"/>
                <w:b/>
                <w:bCs/>
                <w:color w:val="FFFFFF"/>
                <w:lang w:eastAsia="es-DO"/>
              </w:rPr>
              <w:t xml:space="preserve"> del Sub-indicador (% de Eficacia), </w:t>
            </w:r>
            <w:r w:rsidRPr="00640B50">
              <w:rPr>
                <w:rFonts w:ascii="Times New Roman" w:hAnsi="Times New Roman"/>
                <w:b/>
                <w:bCs/>
                <w:color w:val="FFFFFF"/>
                <w:lang w:eastAsia="es-DO"/>
              </w:rPr>
              <w:br/>
              <w:t>del Indicador de Gestión Presupuestaria del SMMGP</w:t>
            </w:r>
          </w:p>
        </w:tc>
        <w:tc>
          <w:tcPr>
            <w:tcW w:w="2349" w:type="dxa"/>
            <w:shd w:val="clear" w:color="auto" w:fill="00B050"/>
            <w:noWrap/>
            <w:vAlign w:val="center"/>
            <w:hideMark/>
          </w:tcPr>
          <w:p w14:paraId="24377CE7" w14:textId="77777777" w:rsidR="00004429" w:rsidRPr="00640B50" w:rsidRDefault="00004429" w:rsidP="00640B50">
            <w:pPr>
              <w:spacing w:after="0"/>
              <w:jc w:val="center"/>
              <w:rPr>
                <w:rFonts w:ascii="Times New Roman" w:hAnsi="Times New Roman"/>
                <w:b/>
                <w:bCs/>
                <w:color w:val="FFFFFF"/>
                <w:sz w:val="20"/>
                <w:szCs w:val="20"/>
                <w:lang w:eastAsia="es-DO"/>
              </w:rPr>
            </w:pPr>
            <w:r w:rsidRPr="00640B50">
              <w:rPr>
                <w:rFonts w:ascii="Times New Roman" w:hAnsi="Times New Roman"/>
                <w:b/>
                <w:bCs/>
                <w:color w:val="FFFFFF"/>
                <w:sz w:val="20"/>
                <w:szCs w:val="20"/>
                <w:lang w:eastAsia="es-DO"/>
              </w:rPr>
              <w:t>90.09%</w:t>
            </w:r>
          </w:p>
        </w:tc>
      </w:tr>
      <w:tr w:rsidR="00B31EF6" w:rsidRPr="00640B50" w14:paraId="7A3BAED9" w14:textId="77777777" w:rsidTr="00B31EF6">
        <w:trPr>
          <w:trHeight w:val="309"/>
        </w:trPr>
        <w:tc>
          <w:tcPr>
            <w:tcW w:w="929" w:type="dxa"/>
            <w:shd w:val="clear" w:color="auto" w:fill="auto"/>
            <w:noWrap/>
            <w:vAlign w:val="center"/>
            <w:hideMark/>
          </w:tcPr>
          <w:p w14:paraId="4B3EDF86" w14:textId="77777777" w:rsidR="00B31EF6" w:rsidRPr="00640B50" w:rsidRDefault="00B31EF6" w:rsidP="00F2330B">
            <w:pPr>
              <w:spacing w:after="0"/>
              <w:jc w:val="center"/>
              <w:rPr>
                <w:rFonts w:ascii="Times New Roman" w:hAnsi="Times New Roman"/>
                <w:sz w:val="20"/>
                <w:szCs w:val="20"/>
                <w:lang w:eastAsia="es-DO"/>
              </w:rPr>
            </w:pPr>
            <w:r w:rsidRPr="00640B50">
              <w:rPr>
                <w:rFonts w:ascii="Times New Roman" w:hAnsi="Times New Roman"/>
                <w:sz w:val="20"/>
                <w:szCs w:val="20"/>
                <w:lang w:eastAsia="es-DO"/>
              </w:rPr>
              <w:t>6234</w:t>
            </w:r>
          </w:p>
        </w:tc>
        <w:tc>
          <w:tcPr>
            <w:tcW w:w="7070" w:type="dxa"/>
            <w:shd w:val="clear" w:color="auto" w:fill="auto"/>
            <w:vAlign w:val="center"/>
            <w:hideMark/>
          </w:tcPr>
          <w:p w14:paraId="13071C03" w14:textId="1645C93E" w:rsidR="00B31EF6" w:rsidRPr="00640B50" w:rsidRDefault="00B31EF6" w:rsidP="00B31EF6">
            <w:pPr>
              <w:spacing w:after="0"/>
              <w:rPr>
                <w:rFonts w:ascii="Times New Roman" w:hAnsi="Times New Roman"/>
                <w:b/>
                <w:bCs/>
                <w:sz w:val="20"/>
                <w:szCs w:val="20"/>
                <w:lang w:eastAsia="es-DO"/>
              </w:rPr>
            </w:pPr>
            <w:r w:rsidRPr="00640B50">
              <w:rPr>
                <w:rFonts w:ascii="Times New Roman" w:hAnsi="Times New Roman"/>
                <w:sz w:val="20"/>
                <w:szCs w:val="20"/>
                <w:lang w:eastAsia="es-DO"/>
              </w:rPr>
              <w:t>Productores agrícolas reciben insumos y materiales de siembra para el fomento y desarrollo de la producción nacional.</w:t>
            </w:r>
          </w:p>
        </w:tc>
        <w:tc>
          <w:tcPr>
            <w:tcW w:w="2349" w:type="dxa"/>
            <w:shd w:val="clear" w:color="auto" w:fill="auto"/>
            <w:noWrap/>
            <w:vAlign w:val="center"/>
            <w:hideMark/>
          </w:tcPr>
          <w:p w14:paraId="12CA5CC2" w14:textId="77777777" w:rsidR="00B31EF6" w:rsidRPr="00B31EF6" w:rsidRDefault="00B31EF6" w:rsidP="00004429">
            <w:pPr>
              <w:spacing w:after="0"/>
              <w:jc w:val="center"/>
              <w:rPr>
                <w:rFonts w:ascii="Times New Roman" w:hAnsi="Times New Roman"/>
                <w:bCs/>
                <w:sz w:val="20"/>
                <w:szCs w:val="20"/>
                <w:lang w:eastAsia="es-DO"/>
              </w:rPr>
            </w:pPr>
            <w:r w:rsidRPr="00B31EF6">
              <w:rPr>
                <w:rFonts w:ascii="Times New Roman" w:hAnsi="Times New Roman"/>
                <w:bCs/>
                <w:sz w:val="20"/>
                <w:szCs w:val="20"/>
                <w:lang w:eastAsia="es-DO"/>
              </w:rPr>
              <w:t>89%</w:t>
            </w:r>
          </w:p>
        </w:tc>
      </w:tr>
      <w:tr w:rsidR="00B31EF6" w:rsidRPr="00640B50" w14:paraId="64828138" w14:textId="77777777" w:rsidTr="00B31EF6">
        <w:trPr>
          <w:trHeight w:val="177"/>
        </w:trPr>
        <w:tc>
          <w:tcPr>
            <w:tcW w:w="929" w:type="dxa"/>
            <w:shd w:val="clear" w:color="auto" w:fill="auto"/>
            <w:vAlign w:val="center"/>
            <w:hideMark/>
          </w:tcPr>
          <w:p w14:paraId="5EAFBC15" w14:textId="77777777" w:rsidR="00B31EF6" w:rsidRPr="00640B50" w:rsidRDefault="00B31EF6" w:rsidP="00F2330B">
            <w:pPr>
              <w:spacing w:after="0"/>
              <w:jc w:val="center"/>
              <w:rPr>
                <w:rFonts w:ascii="Times New Roman" w:hAnsi="Times New Roman"/>
                <w:sz w:val="20"/>
                <w:szCs w:val="20"/>
                <w:lang w:eastAsia="es-DO"/>
              </w:rPr>
            </w:pPr>
            <w:r w:rsidRPr="00640B50">
              <w:rPr>
                <w:rFonts w:ascii="Times New Roman" w:hAnsi="Times New Roman"/>
                <w:sz w:val="20"/>
                <w:szCs w:val="20"/>
                <w:lang w:eastAsia="es-DO"/>
              </w:rPr>
              <w:t>6235</w:t>
            </w:r>
          </w:p>
        </w:tc>
        <w:tc>
          <w:tcPr>
            <w:tcW w:w="7070" w:type="dxa"/>
            <w:shd w:val="clear" w:color="auto" w:fill="auto"/>
            <w:vAlign w:val="center"/>
            <w:hideMark/>
          </w:tcPr>
          <w:p w14:paraId="3FC4B76A" w14:textId="27EE3B65" w:rsidR="00B31EF6" w:rsidRPr="00640B50" w:rsidRDefault="00B31EF6" w:rsidP="00B31EF6">
            <w:pPr>
              <w:spacing w:after="0"/>
              <w:rPr>
                <w:rFonts w:ascii="Times New Roman" w:hAnsi="Times New Roman"/>
                <w:b/>
                <w:bCs/>
                <w:sz w:val="20"/>
                <w:szCs w:val="20"/>
                <w:lang w:eastAsia="es-DO"/>
              </w:rPr>
            </w:pPr>
            <w:r w:rsidRPr="00640B50">
              <w:rPr>
                <w:rFonts w:ascii="Times New Roman" w:hAnsi="Times New Roman"/>
                <w:sz w:val="20"/>
                <w:szCs w:val="20"/>
                <w:lang w:eastAsia="es-DO"/>
              </w:rPr>
              <w:t>Productores y técnicos agrícolas reciben asistencia técnica para el fomento y desarrollo de la agroempresa.</w:t>
            </w:r>
          </w:p>
        </w:tc>
        <w:tc>
          <w:tcPr>
            <w:tcW w:w="2349" w:type="dxa"/>
            <w:shd w:val="clear" w:color="auto" w:fill="auto"/>
            <w:noWrap/>
            <w:vAlign w:val="center"/>
            <w:hideMark/>
          </w:tcPr>
          <w:p w14:paraId="78BD3865" w14:textId="77777777" w:rsidR="00B31EF6" w:rsidRPr="00B31EF6" w:rsidRDefault="00B31EF6" w:rsidP="00004429">
            <w:pPr>
              <w:spacing w:after="0"/>
              <w:jc w:val="center"/>
              <w:rPr>
                <w:rFonts w:ascii="Times New Roman" w:hAnsi="Times New Roman"/>
                <w:bCs/>
                <w:sz w:val="20"/>
                <w:szCs w:val="20"/>
                <w:lang w:eastAsia="es-DO"/>
              </w:rPr>
            </w:pPr>
            <w:r w:rsidRPr="00B31EF6">
              <w:rPr>
                <w:rFonts w:ascii="Times New Roman" w:hAnsi="Times New Roman"/>
                <w:bCs/>
                <w:sz w:val="20"/>
                <w:szCs w:val="20"/>
                <w:lang w:eastAsia="es-DO"/>
              </w:rPr>
              <w:t>100%</w:t>
            </w:r>
          </w:p>
        </w:tc>
      </w:tr>
      <w:tr w:rsidR="00B31EF6" w:rsidRPr="00640B50" w14:paraId="66D59A55" w14:textId="77777777" w:rsidTr="00B31EF6">
        <w:trPr>
          <w:trHeight w:val="70"/>
        </w:trPr>
        <w:tc>
          <w:tcPr>
            <w:tcW w:w="929" w:type="dxa"/>
            <w:shd w:val="clear" w:color="auto" w:fill="auto"/>
            <w:noWrap/>
            <w:vAlign w:val="center"/>
            <w:hideMark/>
          </w:tcPr>
          <w:p w14:paraId="7DA43B2C" w14:textId="77777777" w:rsidR="00B31EF6" w:rsidRPr="00640B50" w:rsidRDefault="00B31EF6" w:rsidP="00F2330B">
            <w:pPr>
              <w:spacing w:after="0"/>
              <w:jc w:val="center"/>
              <w:rPr>
                <w:rFonts w:ascii="Times New Roman" w:hAnsi="Times New Roman"/>
                <w:sz w:val="20"/>
                <w:szCs w:val="20"/>
                <w:lang w:eastAsia="es-DO"/>
              </w:rPr>
            </w:pPr>
            <w:r w:rsidRPr="00640B50">
              <w:rPr>
                <w:rFonts w:ascii="Times New Roman" w:hAnsi="Times New Roman"/>
                <w:sz w:val="20"/>
                <w:szCs w:val="20"/>
                <w:lang w:eastAsia="es-DO"/>
              </w:rPr>
              <w:t>6236</w:t>
            </w:r>
          </w:p>
        </w:tc>
        <w:tc>
          <w:tcPr>
            <w:tcW w:w="7070" w:type="dxa"/>
            <w:shd w:val="clear" w:color="auto" w:fill="auto"/>
            <w:vAlign w:val="center"/>
            <w:hideMark/>
          </w:tcPr>
          <w:p w14:paraId="1C2C0D86" w14:textId="3E7A40A0" w:rsidR="00B31EF6" w:rsidRPr="00640B50" w:rsidRDefault="00B31EF6" w:rsidP="00B31EF6">
            <w:pPr>
              <w:spacing w:after="0"/>
              <w:rPr>
                <w:rFonts w:ascii="Times New Roman" w:hAnsi="Times New Roman"/>
                <w:b/>
                <w:bCs/>
                <w:sz w:val="20"/>
                <w:szCs w:val="20"/>
                <w:lang w:eastAsia="es-DO"/>
              </w:rPr>
            </w:pPr>
            <w:r w:rsidRPr="00640B50">
              <w:rPr>
                <w:rFonts w:ascii="Times New Roman" w:hAnsi="Times New Roman"/>
                <w:sz w:val="20"/>
                <w:szCs w:val="20"/>
                <w:lang w:eastAsia="es-DO"/>
              </w:rPr>
              <w:t>Productores agrícolas reciben apoyo y asistencia técnica para la producción de frutales.</w:t>
            </w:r>
          </w:p>
        </w:tc>
        <w:tc>
          <w:tcPr>
            <w:tcW w:w="2349" w:type="dxa"/>
            <w:shd w:val="clear" w:color="auto" w:fill="auto"/>
            <w:noWrap/>
            <w:vAlign w:val="center"/>
            <w:hideMark/>
          </w:tcPr>
          <w:p w14:paraId="610F8CC5" w14:textId="77777777" w:rsidR="00B31EF6" w:rsidRPr="00B31EF6" w:rsidRDefault="00B31EF6" w:rsidP="00004429">
            <w:pPr>
              <w:spacing w:after="0"/>
              <w:jc w:val="center"/>
              <w:rPr>
                <w:rFonts w:ascii="Times New Roman" w:hAnsi="Times New Roman"/>
                <w:bCs/>
                <w:sz w:val="20"/>
                <w:szCs w:val="20"/>
                <w:lang w:eastAsia="es-DO"/>
              </w:rPr>
            </w:pPr>
            <w:r w:rsidRPr="00B31EF6">
              <w:rPr>
                <w:rFonts w:ascii="Times New Roman" w:hAnsi="Times New Roman"/>
                <w:bCs/>
                <w:sz w:val="20"/>
                <w:szCs w:val="20"/>
                <w:lang w:eastAsia="es-DO"/>
              </w:rPr>
              <w:t>100%</w:t>
            </w:r>
          </w:p>
        </w:tc>
      </w:tr>
      <w:tr w:rsidR="00B31EF6" w:rsidRPr="00640B50" w14:paraId="676F2031" w14:textId="77777777" w:rsidTr="00B31EF6">
        <w:trPr>
          <w:trHeight w:val="70"/>
        </w:trPr>
        <w:tc>
          <w:tcPr>
            <w:tcW w:w="929" w:type="dxa"/>
            <w:shd w:val="clear" w:color="auto" w:fill="auto"/>
            <w:noWrap/>
            <w:vAlign w:val="center"/>
            <w:hideMark/>
          </w:tcPr>
          <w:p w14:paraId="2B8E90D0" w14:textId="77777777" w:rsidR="00B31EF6" w:rsidRPr="00640B50" w:rsidRDefault="00B31EF6" w:rsidP="00F2330B">
            <w:pPr>
              <w:spacing w:after="0"/>
              <w:jc w:val="center"/>
              <w:rPr>
                <w:rFonts w:ascii="Times New Roman" w:hAnsi="Times New Roman"/>
                <w:sz w:val="20"/>
                <w:szCs w:val="20"/>
                <w:lang w:eastAsia="es-DO"/>
              </w:rPr>
            </w:pPr>
            <w:r w:rsidRPr="00640B50">
              <w:rPr>
                <w:rFonts w:ascii="Times New Roman" w:hAnsi="Times New Roman"/>
                <w:sz w:val="20"/>
                <w:szCs w:val="20"/>
                <w:lang w:eastAsia="es-DO"/>
              </w:rPr>
              <w:t>6237</w:t>
            </w:r>
          </w:p>
        </w:tc>
        <w:tc>
          <w:tcPr>
            <w:tcW w:w="7070" w:type="dxa"/>
            <w:shd w:val="clear" w:color="auto" w:fill="auto"/>
            <w:vAlign w:val="center"/>
            <w:hideMark/>
          </w:tcPr>
          <w:p w14:paraId="078ED0C6" w14:textId="18DB6ECC" w:rsidR="00B31EF6" w:rsidRPr="00640B50" w:rsidRDefault="00B31EF6" w:rsidP="00B31EF6">
            <w:pPr>
              <w:spacing w:after="0"/>
              <w:rPr>
                <w:rFonts w:ascii="Times New Roman" w:hAnsi="Times New Roman"/>
                <w:b/>
                <w:bCs/>
                <w:sz w:val="20"/>
                <w:szCs w:val="20"/>
                <w:lang w:eastAsia="es-DO"/>
              </w:rPr>
            </w:pPr>
            <w:r w:rsidRPr="00640B50">
              <w:rPr>
                <w:rFonts w:ascii="Times New Roman" w:hAnsi="Times New Roman"/>
                <w:sz w:val="20"/>
                <w:szCs w:val="20"/>
                <w:lang w:eastAsia="es-DO"/>
              </w:rPr>
              <w:t>Distribución de plántulas in vitro.</w:t>
            </w:r>
          </w:p>
        </w:tc>
        <w:tc>
          <w:tcPr>
            <w:tcW w:w="2349" w:type="dxa"/>
            <w:shd w:val="clear" w:color="auto" w:fill="auto"/>
            <w:noWrap/>
            <w:vAlign w:val="center"/>
            <w:hideMark/>
          </w:tcPr>
          <w:p w14:paraId="0CEBE13F" w14:textId="77777777" w:rsidR="00B31EF6" w:rsidRPr="00B31EF6" w:rsidRDefault="00B31EF6" w:rsidP="00004429">
            <w:pPr>
              <w:spacing w:after="0"/>
              <w:jc w:val="center"/>
              <w:rPr>
                <w:rFonts w:ascii="Times New Roman" w:hAnsi="Times New Roman"/>
                <w:bCs/>
                <w:sz w:val="20"/>
                <w:szCs w:val="20"/>
                <w:lang w:eastAsia="es-DO"/>
              </w:rPr>
            </w:pPr>
            <w:r w:rsidRPr="00B31EF6">
              <w:rPr>
                <w:rFonts w:ascii="Times New Roman" w:hAnsi="Times New Roman"/>
                <w:bCs/>
                <w:sz w:val="20"/>
                <w:szCs w:val="20"/>
                <w:lang w:eastAsia="es-DO"/>
              </w:rPr>
              <w:t>71.2%</w:t>
            </w:r>
          </w:p>
        </w:tc>
      </w:tr>
      <w:tr w:rsidR="00B31EF6" w:rsidRPr="00640B50" w14:paraId="2A7F7E69" w14:textId="77777777" w:rsidTr="00B31EF6">
        <w:trPr>
          <w:trHeight w:val="70"/>
        </w:trPr>
        <w:tc>
          <w:tcPr>
            <w:tcW w:w="929" w:type="dxa"/>
            <w:shd w:val="clear" w:color="auto" w:fill="auto"/>
            <w:noWrap/>
            <w:vAlign w:val="center"/>
            <w:hideMark/>
          </w:tcPr>
          <w:p w14:paraId="2D32F24F" w14:textId="77777777" w:rsidR="00B31EF6" w:rsidRPr="00640B50" w:rsidRDefault="00B31EF6" w:rsidP="00F2330B">
            <w:pPr>
              <w:spacing w:after="0"/>
              <w:jc w:val="center"/>
              <w:rPr>
                <w:rFonts w:ascii="Times New Roman" w:hAnsi="Times New Roman"/>
                <w:color w:val="000000"/>
                <w:sz w:val="20"/>
                <w:szCs w:val="20"/>
                <w:lang w:eastAsia="es-DO"/>
              </w:rPr>
            </w:pPr>
            <w:r w:rsidRPr="00640B50">
              <w:rPr>
                <w:rFonts w:ascii="Times New Roman" w:hAnsi="Times New Roman"/>
                <w:color w:val="000000"/>
                <w:sz w:val="20"/>
                <w:szCs w:val="20"/>
                <w:lang w:eastAsia="es-DO"/>
              </w:rPr>
              <w:t>6238</w:t>
            </w:r>
          </w:p>
        </w:tc>
        <w:tc>
          <w:tcPr>
            <w:tcW w:w="7070" w:type="dxa"/>
            <w:shd w:val="clear" w:color="auto" w:fill="auto"/>
            <w:vAlign w:val="center"/>
            <w:hideMark/>
          </w:tcPr>
          <w:p w14:paraId="29993E79" w14:textId="4B351133" w:rsidR="00B31EF6" w:rsidRPr="00640B50" w:rsidRDefault="00B31EF6" w:rsidP="00B31EF6">
            <w:pPr>
              <w:spacing w:after="0"/>
              <w:rPr>
                <w:rFonts w:ascii="Times New Roman" w:hAnsi="Times New Roman"/>
                <w:b/>
                <w:bCs/>
                <w:sz w:val="20"/>
                <w:szCs w:val="20"/>
                <w:lang w:eastAsia="es-DO"/>
              </w:rPr>
            </w:pPr>
            <w:r w:rsidRPr="00640B50">
              <w:rPr>
                <w:rFonts w:ascii="Times New Roman" w:hAnsi="Times New Roman"/>
                <w:sz w:val="20"/>
                <w:szCs w:val="20"/>
                <w:lang w:eastAsia="es-DO"/>
              </w:rPr>
              <w:t>Productores y técnicos agrícolas reciben asistencia técnica para la transferencia tecnológica.</w:t>
            </w:r>
          </w:p>
        </w:tc>
        <w:tc>
          <w:tcPr>
            <w:tcW w:w="2349" w:type="dxa"/>
            <w:shd w:val="clear" w:color="auto" w:fill="auto"/>
            <w:noWrap/>
            <w:vAlign w:val="center"/>
            <w:hideMark/>
          </w:tcPr>
          <w:p w14:paraId="76FE6D0A" w14:textId="77777777" w:rsidR="00B31EF6" w:rsidRPr="00B31EF6" w:rsidRDefault="00B31EF6" w:rsidP="00004429">
            <w:pPr>
              <w:spacing w:after="0"/>
              <w:jc w:val="center"/>
              <w:rPr>
                <w:rFonts w:ascii="Times New Roman" w:hAnsi="Times New Roman"/>
                <w:bCs/>
                <w:sz w:val="20"/>
                <w:szCs w:val="20"/>
                <w:lang w:eastAsia="es-DO"/>
              </w:rPr>
            </w:pPr>
            <w:r w:rsidRPr="00B31EF6">
              <w:rPr>
                <w:rFonts w:ascii="Times New Roman" w:hAnsi="Times New Roman"/>
                <w:bCs/>
                <w:sz w:val="20"/>
                <w:szCs w:val="20"/>
                <w:lang w:eastAsia="es-DO"/>
              </w:rPr>
              <w:t>100%</w:t>
            </w:r>
          </w:p>
        </w:tc>
      </w:tr>
      <w:tr w:rsidR="00B31EF6" w:rsidRPr="00640B50" w14:paraId="09D56F68" w14:textId="77777777" w:rsidTr="00B31EF6">
        <w:trPr>
          <w:trHeight w:val="85"/>
        </w:trPr>
        <w:tc>
          <w:tcPr>
            <w:tcW w:w="929" w:type="dxa"/>
            <w:shd w:val="clear" w:color="auto" w:fill="auto"/>
            <w:noWrap/>
            <w:vAlign w:val="center"/>
            <w:hideMark/>
          </w:tcPr>
          <w:p w14:paraId="78213C49" w14:textId="77777777" w:rsidR="00B31EF6" w:rsidRPr="00640B50" w:rsidRDefault="00B31EF6" w:rsidP="00F2330B">
            <w:pPr>
              <w:spacing w:after="0"/>
              <w:jc w:val="center"/>
              <w:rPr>
                <w:rFonts w:ascii="Times New Roman" w:hAnsi="Times New Roman"/>
                <w:sz w:val="20"/>
                <w:szCs w:val="20"/>
                <w:lang w:eastAsia="es-DO"/>
              </w:rPr>
            </w:pPr>
            <w:r w:rsidRPr="00640B50">
              <w:rPr>
                <w:rFonts w:ascii="Times New Roman" w:hAnsi="Times New Roman"/>
                <w:sz w:val="20"/>
                <w:szCs w:val="20"/>
                <w:lang w:eastAsia="es-DO"/>
              </w:rPr>
              <w:t>6239</w:t>
            </w:r>
          </w:p>
        </w:tc>
        <w:tc>
          <w:tcPr>
            <w:tcW w:w="7070" w:type="dxa"/>
            <w:shd w:val="clear" w:color="auto" w:fill="auto"/>
            <w:vAlign w:val="center"/>
            <w:hideMark/>
          </w:tcPr>
          <w:p w14:paraId="3795583D" w14:textId="045D1CF6" w:rsidR="00B31EF6" w:rsidRPr="00640B50" w:rsidRDefault="00B31EF6" w:rsidP="00B31EF6">
            <w:pPr>
              <w:spacing w:after="0"/>
              <w:rPr>
                <w:rFonts w:ascii="Times New Roman" w:hAnsi="Times New Roman"/>
                <w:b/>
                <w:bCs/>
                <w:sz w:val="20"/>
                <w:szCs w:val="20"/>
                <w:lang w:eastAsia="es-DO"/>
              </w:rPr>
            </w:pPr>
            <w:r w:rsidRPr="00640B50">
              <w:rPr>
                <w:rFonts w:ascii="Times New Roman" w:hAnsi="Times New Roman"/>
                <w:sz w:val="20"/>
                <w:szCs w:val="20"/>
                <w:lang w:eastAsia="es-DO"/>
              </w:rPr>
              <w:t>Productores reciben tecnología de tratamiento reproductivo.</w:t>
            </w:r>
          </w:p>
        </w:tc>
        <w:tc>
          <w:tcPr>
            <w:tcW w:w="2349" w:type="dxa"/>
            <w:shd w:val="clear" w:color="auto" w:fill="auto"/>
            <w:noWrap/>
            <w:vAlign w:val="center"/>
            <w:hideMark/>
          </w:tcPr>
          <w:p w14:paraId="7766F027" w14:textId="77777777" w:rsidR="00B31EF6" w:rsidRPr="00B31EF6" w:rsidRDefault="00B31EF6" w:rsidP="00004429">
            <w:pPr>
              <w:spacing w:after="0"/>
              <w:jc w:val="center"/>
              <w:rPr>
                <w:rFonts w:ascii="Times New Roman" w:hAnsi="Times New Roman"/>
                <w:bCs/>
                <w:sz w:val="20"/>
                <w:szCs w:val="20"/>
                <w:lang w:eastAsia="es-DO"/>
              </w:rPr>
            </w:pPr>
            <w:r w:rsidRPr="00B31EF6">
              <w:rPr>
                <w:rFonts w:ascii="Times New Roman" w:hAnsi="Times New Roman"/>
                <w:bCs/>
                <w:sz w:val="20"/>
                <w:szCs w:val="20"/>
                <w:lang w:eastAsia="es-DO"/>
              </w:rPr>
              <w:t>80.0%</w:t>
            </w:r>
          </w:p>
        </w:tc>
      </w:tr>
      <w:tr w:rsidR="00B31EF6" w:rsidRPr="00640B50" w14:paraId="2FBB125C" w14:textId="77777777" w:rsidTr="00B31EF6">
        <w:trPr>
          <w:trHeight w:val="85"/>
        </w:trPr>
        <w:tc>
          <w:tcPr>
            <w:tcW w:w="929" w:type="dxa"/>
            <w:shd w:val="clear" w:color="auto" w:fill="auto"/>
            <w:noWrap/>
            <w:vAlign w:val="center"/>
            <w:hideMark/>
          </w:tcPr>
          <w:p w14:paraId="5C1F99C8" w14:textId="77777777" w:rsidR="00B31EF6" w:rsidRPr="00640B50" w:rsidRDefault="00B31EF6" w:rsidP="00F2330B">
            <w:pPr>
              <w:spacing w:after="0"/>
              <w:jc w:val="center"/>
              <w:rPr>
                <w:rFonts w:ascii="Times New Roman" w:hAnsi="Times New Roman"/>
                <w:sz w:val="20"/>
                <w:szCs w:val="20"/>
                <w:lang w:eastAsia="es-DO"/>
              </w:rPr>
            </w:pPr>
            <w:r w:rsidRPr="00640B50">
              <w:rPr>
                <w:rFonts w:ascii="Times New Roman" w:hAnsi="Times New Roman"/>
                <w:sz w:val="20"/>
                <w:szCs w:val="20"/>
                <w:lang w:eastAsia="es-DO"/>
              </w:rPr>
              <w:t>6240</w:t>
            </w:r>
          </w:p>
        </w:tc>
        <w:tc>
          <w:tcPr>
            <w:tcW w:w="7070" w:type="dxa"/>
            <w:shd w:val="clear" w:color="auto" w:fill="auto"/>
            <w:vAlign w:val="center"/>
            <w:hideMark/>
          </w:tcPr>
          <w:p w14:paraId="0C85AB68" w14:textId="7C5C91D9" w:rsidR="00B31EF6" w:rsidRPr="00640B50" w:rsidRDefault="00B31EF6" w:rsidP="00B31EF6">
            <w:pPr>
              <w:spacing w:after="0"/>
              <w:rPr>
                <w:rFonts w:ascii="Times New Roman" w:hAnsi="Times New Roman"/>
                <w:b/>
                <w:bCs/>
                <w:sz w:val="20"/>
                <w:szCs w:val="20"/>
                <w:lang w:eastAsia="es-DO"/>
              </w:rPr>
            </w:pPr>
            <w:r w:rsidRPr="00640B50">
              <w:rPr>
                <w:rFonts w:ascii="Times New Roman" w:hAnsi="Times New Roman"/>
                <w:sz w:val="20"/>
                <w:szCs w:val="20"/>
                <w:lang w:eastAsia="es-DO"/>
              </w:rPr>
              <w:t>Unidades productivas con condiciones inocuas óptimas.</w:t>
            </w:r>
          </w:p>
        </w:tc>
        <w:tc>
          <w:tcPr>
            <w:tcW w:w="2349" w:type="dxa"/>
            <w:shd w:val="clear" w:color="auto" w:fill="auto"/>
            <w:noWrap/>
            <w:vAlign w:val="center"/>
            <w:hideMark/>
          </w:tcPr>
          <w:p w14:paraId="7F0D7631" w14:textId="77777777" w:rsidR="00B31EF6" w:rsidRPr="00B31EF6" w:rsidRDefault="00B31EF6" w:rsidP="00004429">
            <w:pPr>
              <w:spacing w:after="0"/>
              <w:jc w:val="center"/>
              <w:rPr>
                <w:rFonts w:ascii="Times New Roman" w:hAnsi="Times New Roman"/>
                <w:bCs/>
                <w:sz w:val="20"/>
                <w:szCs w:val="20"/>
                <w:lang w:eastAsia="es-DO"/>
              </w:rPr>
            </w:pPr>
            <w:r w:rsidRPr="00B31EF6">
              <w:rPr>
                <w:rFonts w:ascii="Times New Roman" w:hAnsi="Times New Roman"/>
                <w:bCs/>
                <w:sz w:val="20"/>
                <w:szCs w:val="20"/>
                <w:lang w:eastAsia="es-DO"/>
              </w:rPr>
              <w:t>80.5%</w:t>
            </w:r>
          </w:p>
        </w:tc>
      </w:tr>
      <w:tr w:rsidR="00B31EF6" w:rsidRPr="00640B50" w14:paraId="43985F0D" w14:textId="77777777" w:rsidTr="00B31EF6">
        <w:trPr>
          <w:trHeight w:val="85"/>
        </w:trPr>
        <w:tc>
          <w:tcPr>
            <w:tcW w:w="929" w:type="dxa"/>
            <w:shd w:val="clear" w:color="auto" w:fill="auto"/>
            <w:noWrap/>
            <w:vAlign w:val="center"/>
            <w:hideMark/>
          </w:tcPr>
          <w:p w14:paraId="36BC1A9B" w14:textId="77777777" w:rsidR="00B31EF6" w:rsidRPr="00640B50" w:rsidRDefault="00B31EF6" w:rsidP="00F2330B">
            <w:pPr>
              <w:spacing w:after="0"/>
              <w:jc w:val="center"/>
              <w:rPr>
                <w:rFonts w:ascii="Times New Roman" w:hAnsi="Times New Roman"/>
                <w:sz w:val="20"/>
                <w:szCs w:val="20"/>
                <w:lang w:eastAsia="es-DO"/>
              </w:rPr>
            </w:pPr>
            <w:r w:rsidRPr="00640B50">
              <w:rPr>
                <w:rFonts w:ascii="Times New Roman" w:hAnsi="Times New Roman"/>
                <w:sz w:val="20"/>
                <w:szCs w:val="20"/>
                <w:lang w:eastAsia="es-DO"/>
              </w:rPr>
              <w:t>6241</w:t>
            </w:r>
          </w:p>
        </w:tc>
        <w:tc>
          <w:tcPr>
            <w:tcW w:w="7070" w:type="dxa"/>
            <w:shd w:val="clear" w:color="auto" w:fill="auto"/>
            <w:vAlign w:val="center"/>
            <w:hideMark/>
          </w:tcPr>
          <w:p w14:paraId="2599BC85" w14:textId="4EB712CF" w:rsidR="00B31EF6" w:rsidRPr="00640B50" w:rsidRDefault="00B31EF6" w:rsidP="00B31EF6">
            <w:pPr>
              <w:spacing w:after="0"/>
              <w:rPr>
                <w:rFonts w:ascii="Times New Roman" w:hAnsi="Times New Roman"/>
                <w:b/>
                <w:bCs/>
                <w:sz w:val="20"/>
                <w:szCs w:val="20"/>
                <w:lang w:eastAsia="es-DO"/>
              </w:rPr>
            </w:pPr>
            <w:r w:rsidRPr="00640B50">
              <w:rPr>
                <w:rFonts w:ascii="Times New Roman" w:hAnsi="Times New Roman"/>
                <w:sz w:val="20"/>
                <w:szCs w:val="20"/>
                <w:lang w:eastAsia="es-DO"/>
              </w:rPr>
              <w:t>Productores agrícolas reciben apoyo técnico para la prevención fitosanitarias y control de plagas y enfermedades.</w:t>
            </w:r>
          </w:p>
        </w:tc>
        <w:tc>
          <w:tcPr>
            <w:tcW w:w="2349" w:type="dxa"/>
            <w:shd w:val="clear" w:color="auto" w:fill="auto"/>
            <w:noWrap/>
            <w:vAlign w:val="center"/>
            <w:hideMark/>
          </w:tcPr>
          <w:p w14:paraId="15E1FC55" w14:textId="77777777" w:rsidR="00B31EF6" w:rsidRPr="00B31EF6" w:rsidRDefault="00B31EF6" w:rsidP="00004429">
            <w:pPr>
              <w:spacing w:after="0"/>
              <w:jc w:val="center"/>
              <w:rPr>
                <w:rFonts w:ascii="Times New Roman" w:hAnsi="Times New Roman"/>
                <w:bCs/>
                <w:sz w:val="20"/>
                <w:szCs w:val="20"/>
                <w:lang w:eastAsia="es-DO"/>
              </w:rPr>
            </w:pPr>
            <w:r w:rsidRPr="00B31EF6">
              <w:rPr>
                <w:rFonts w:ascii="Times New Roman" w:hAnsi="Times New Roman"/>
                <w:bCs/>
                <w:sz w:val="20"/>
                <w:szCs w:val="20"/>
                <w:lang w:eastAsia="es-DO"/>
              </w:rPr>
              <w:t>100%</w:t>
            </w:r>
          </w:p>
        </w:tc>
      </w:tr>
    </w:tbl>
    <w:p w14:paraId="1911B43D" w14:textId="77777777" w:rsidR="00304F26" w:rsidRPr="0098414F" w:rsidRDefault="00304F26" w:rsidP="00CA5792">
      <w:pPr>
        <w:pStyle w:val="Ttulo3"/>
      </w:pPr>
      <w:bookmarkStart w:id="407" w:name="_Toc26292098"/>
      <w:bookmarkStart w:id="408" w:name="_Toc27146838"/>
      <w:r w:rsidRPr="0098414F">
        <w:lastRenderedPageBreak/>
        <w:t>Desempeño financiero del presupuesto</w:t>
      </w:r>
      <w:bookmarkEnd w:id="407"/>
      <w:bookmarkEnd w:id="408"/>
    </w:p>
    <w:p w14:paraId="1FA3DFFF" w14:textId="77777777" w:rsidR="00B31EF6" w:rsidRDefault="00B31EF6" w:rsidP="00304F26">
      <w:pPr>
        <w:widowControl w:val="0"/>
        <w:autoSpaceDE w:val="0"/>
        <w:autoSpaceDN w:val="0"/>
        <w:adjustRightInd w:val="0"/>
        <w:spacing w:after="0" w:line="480" w:lineRule="auto"/>
        <w:ind w:firstLine="720"/>
        <w:jc w:val="both"/>
        <w:rPr>
          <w:rFonts w:ascii="Times New Roman" w:hAnsi="Times New Roman"/>
          <w:lang w:val="es-ES_tradnl"/>
        </w:rPr>
      </w:pPr>
    </w:p>
    <w:p w14:paraId="573C5449" w14:textId="7F0C8DAB" w:rsidR="00304F26" w:rsidRPr="00087227" w:rsidRDefault="00304F26" w:rsidP="00304F26">
      <w:pPr>
        <w:widowControl w:val="0"/>
        <w:autoSpaceDE w:val="0"/>
        <w:autoSpaceDN w:val="0"/>
        <w:adjustRightInd w:val="0"/>
        <w:spacing w:after="0" w:line="480" w:lineRule="auto"/>
        <w:ind w:firstLine="720"/>
        <w:jc w:val="both"/>
        <w:rPr>
          <w:rFonts w:ascii="Times New Roman" w:hAnsi="Times New Roman"/>
          <w:lang w:val="es-ES_tradnl"/>
        </w:rPr>
      </w:pPr>
      <w:r w:rsidRPr="00087227">
        <w:rPr>
          <w:rFonts w:ascii="Times New Roman" w:hAnsi="Times New Roman"/>
          <w:lang w:val="es-ES_tradnl"/>
        </w:rPr>
        <w:t>Durante el 2019 la ejecución financiera del Ministerio de Agricultura mantuvo un ritmo estable, debido la implementación y uso continuo del Sistema de Información y Gestión Financiera (SIGEF), permitiendo disminuir el nivel de los pasivos contraídos de ejercicios anteriores y del periodo corriente.</w:t>
      </w:r>
    </w:p>
    <w:p w14:paraId="407A6357" w14:textId="77777777" w:rsidR="00304F26" w:rsidRPr="00087227" w:rsidRDefault="00304F26" w:rsidP="00304F26">
      <w:pPr>
        <w:widowControl w:val="0"/>
        <w:autoSpaceDE w:val="0"/>
        <w:autoSpaceDN w:val="0"/>
        <w:adjustRightInd w:val="0"/>
        <w:spacing w:after="0" w:line="480" w:lineRule="auto"/>
        <w:ind w:firstLine="720"/>
        <w:jc w:val="both"/>
        <w:rPr>
          <w:rFonts w:ascii="Times New Roman" w:hAnsi="Times New Roman"/>
          <w:lang w:val="es-ES_tradnl"/>
        </w:rPr>
      </w:pPr>
    </w:p>
    <w:p w14:paraId="3241CCE2" w14:textId="77777777" w:rsidR="00304F26" w:rsidRPr="00087227" w:rsidRDefault="00304F26" w:rsidP="00304F26">
      <w:pPr>
        <w:widowControl w:val="0"/>
        <w:autoSpaceDE w:val="0"/>
        <w:autoSpaceDN w:val="0"/>
        <w:adjustRightInd w:val="0"/>
        <w:spacing w:after="0" w:line="480" w:lineRule="auto"/>
        <w:ind w:firstLine="720"/>
        <w:jc w:val="both"/>
        <w:rPr>
          <w:rFonts w:ascii="Times New Roman" w:hAnsi="Times New Roman"/>
          <w:lang w:val="es-ES_tradnl"/>
        </w:rPr>
      </w:pPr>
      <w:r w:rsidRPr="00087227">
        <w:rPr>
          <w:rFonts w:ascii="Times New Roman" w:hAnsi="Times New Roman"/>
          <w:lang w:val="es-ES_tradnl"/>
        </w:rPr>
        <w:t>Del mismo modo, la disminución del nivel de expedientes con deudas por objeto del gasto, logrando eficientizar los procesos administrativos de los expedientes de pagos de las deudas generadas en un plazo menor de 30 días.</w:t>
      </w:r>
    </w:p>
    <w:p w14:paraId="215DD07F" w14:textId="77777777" w:rsidR="00304F26" w:rsidRPr="00087227" w:rsidRDefault="00304F26" w:rsidP="00304F26">
      <w:pPr>
        <w:widowControl w:val="0"/>
        <w:autoSpaceDE w:val="0"/>
        <w:autoSpaceDN w:val="0"/>
        <w:adjustRightInd w:val="0"/>
        <w:spacing w:after="0" w:line="480" w:lineRule="auto"/>
        <w:ind w:firstLine="720"/>
        <w:jc w:val="both"/>
        <w:rPr>
          <w:rFonts w:ascii="Times New Roman" w:hAnsi="Times New Roman"/>
          <w:lang w:val="es-ES_tradnl"/>
        </w:rPr>
      </w:pPr>
    </w:p>
    <w:p w14:paraId="27145C2C" w14:textId="2167ED62" w:rsidR="00304F26" w:rsidRPr="00087227" w:rsidRDefault="00304F26" w:rsidP="00CA5792">
      <w:pPr>
        <w:pStyle w:val="Ttulo4"/>
      </w:pPr>
      <w:bookmarkStart w:id="409" w:name="_Toc470523365"/>
      <w:bookmarkStart w:id="410" w:name="_Toc499898158"/>
      <w:bookmarkStart w:id="411" w:name="_Toc26292099"/>
      <w:bookmarkStart w:id="412" w:name="_Toc27146839"/>
      <w:r w:rsidRPr="00087227">
        <w:t>Asignación del Presupuesto</w:t>
      </w:r>
      <w:bookmarkEnd w:id="409"/>
      <w:bookmarkEnd w:id="410"/>
      <w:bookmarkEnd w:id="411"/>
      <w:bookmarkEnd w:id="412"/>
    </w:p>
    <w:p w14:paraId="5320DB20" w14:textId="0C088B0E" w:rsidR="00304F26" w:rsidRPr="00087227" w:rsidRDefault="00304F26" w:rsidP="00304F26">
      <w:pPr>
        <w:widowControl w:val="0"/>
        <w:autoSpaceDE w:val="0"/>
        <w:autoSpaceDN w:val="0"/>
        <w:adjustRightInd w:val="0"/>
        <w:spacing w:after="0" w:line="480" w:lineRule="auto"/>
        <w:ind w:firstLine="720"/>
        <w:jc w:val="both"/>
        <w:rPr>
          <w:rFonts w:ascii="Times New Roman" w:hAnsi="Times New Roman"/>
          <w:lang w:val="es-ES_tradnl"/>
        </w:rPr>
      </w:pPr>
      <w:r w:rsidRPr="00087227">
        <w:rPr>
          <w:rFonts w:ascii="Times New Roman" w:hAnsi="Times New Roman"/>
          <w:lang w:val="es-ES_tradnl"/>
        </w:rPr>
        <w:t xml:space="preserve">En el Presupuesto General de la Nación asignado al Capítulo 0210: Ministerio de Agricultura correspondiente al 2019 </w:t>
      </w:r>
      <w:r w:rsidR="006C5D96">
        <w:rPr>
          <w:rFonts w:ascii="Times New Roman" w:hAnsi="Times New Roman"/>
          <w:lang w:val="es-ES_tradnl"/>
        </w:rPr>
        <w:t>ascendió a RD$13,002,271,937.00, s</w:t>
      </w:r>
      <w:r w:rsidRPr="00087227">
        <w:rPr>
          <w:rFonts w:ascii="Times New Roman" w:hAnsi="Times New Roman"/>
          <w:lang w:val="es-ES_tradnl"/>
        </w:rPr>
        <w:t>egregados por fuente de financiamiento del gasto:</w:t>
      </w:r>
    </w:p>
    <w:p w14:paraId="2E833DFB" w14:textId="77777777" w:rsidR="00304F26" w:rsidRPr="00087227" w:rsidRDefault="00304F26" w:rsidP="00304F26">
      <w:pPr>
        <w:widowControl w:val="0"/>
        <w:autoSpaceDE w:val="0"/>
        <w:autoSpaceDN w:val="0"/>
        <w:adjustRightInd w:val="0"/>
        <w:spacing w:after="0" w:line="480" w:lineRule="auto"/>
        <w:ind w:firstLine="720"/>
        <w:jc w:val="both"/>
        <w:rPr>
          <w:rFonts w:ascii="Times New Roman" w:hAnsi="Times New Roman"/>
          <w:lang w:val="es-ES_tradnl"/>
        </w:rPr>
      </w:pPr>
    </w:p>
    <w:p w14:paraId="7BED9A79" w14:textId="77777777" w:rsidR="00304F26" w:rsidRPr="00087227" w:rsidRDefault="00304F26" w:rsidP="001C6B1A">
      <w:pPr>
        <w:pStyle w:val="Prrafodelista"/>
        <w:widowControl w:val="0"/>
        <w:numPr>
          <w:ilvl w:val="0"/>
          <w:numId w:val="33"/>
        </w:numPr>
        <w:autoSpaceDE w:val="0"/>
        <w:autoSpaceDN w:val="0"/>
        <w:adjustRightInd w:val="0"/>
        <w:spacing w:after="0" w:line="480" w:lineRule="auto"/>
        <w:jc w:val="both"/>
        <w:rPr>
          <w:rFonts w:ascii="Times New Roman" w:hAnsi="Times New Roman"/>
          <w:sz w:val="24"/>
          <w:szCs w:val="24"/>
          <w:lang w:val="es-ES_tradnl"/>
        </w:rPr>
      </w:pPr>
      <w:r w:rsidRPr="00087227">
        <w:rPr>
          <w:rFonts w:ascii="Times New Roman" w:hAnsi="Times New Roman"/>
          <w:sz w:val="24"/>
          <w:szCs w:val="24"/>
          <w:lang w:val="es-ES_tradnl"/>
        </w:rPr>
        <w:t xml:space="preserve">RD$11,490,145,202.00, corresponde al fondo 100, General de la nación, </w:t>
      </w:r>
    </w:p>
    <w:p w14:paraId="654C216B" w14:textId="77777777" w:rsidR="00304F26" w:rsidRPr="00087227" w:rsidRDefault="00304F26" w:rsidP="001C6B1A">
      <w:pPr>
        <w:pStyle w:val="Prrafodelista"/>
        <w:widowControl w:val="0"/>
        <w:numPr>
          <w:ilvl w:val="0"/>
          <w:numId w:val="33"/>
        </w:numPr>
        <w:autoSpaceDE w:val="0"/>
        <w:autoSpaceDN w:val="0"/>
        <w:adjustRightInd w:val="0"/>
        <w:spacing w:after="0" w:line="480" w:lineRule="auto"/>
        <w:jc w:val="both"/>
        <w:rPr>
          <w:rFonts w:ascii="Times New Roman" w:hAnsi="Times New Roman"/>
          <w:sz w:val="24"/>
          <w:szCs w:val="24"/>
          <w:lang w:val="es-ES_tradnl"/>
        </w:rPr>
      </w:pPr>
      <w:r w:rsidRPr="00087227">
        <w:rPr>
          <w:rFonts w:ascii="Times New Roman" w:hAnsi="Times New Roman"/>
          <w:sz w:val="24"/>
          <w:szCs w:val="24"/>
          <w:lang w:val="es-ES_tradnl"/>
        </w:rPr>
        <w:t>RD$392,454,869.00 provenientes de Recursos Externos, Préstamos y Donaciones,</w:t>
      </w:r>
    </w:p>
    <w:p w14:paraId="34AB03AD" w14:textId="77777777" w:rsidR="00304F26" w:rsidRPr="00087227" w:rsidRDefault="00304F26" w:rsidP="001C6B1A">
      <w:pPr>
        <w:pStyle w:val="Prrafodelista"/>
        <w:widowControl w:val="0"/>
        <w:numPr>
          <w:ilvl w:val="0"/>
          <w:numId w:val="33"/>
        </w:numPr>
        <w:autoSpaceDE w:val="0"/>
        <w:autoSpaceDN w:val="0"/>
        <w:adjustRightInd w:val="0"/>
        <w:spacing w:after="0" w:line="480" w:lineRule="auto"/>
        <w:jc w:val="both"/>
        <w:rPr>
          <w:rFonts w:ascii="Times New Roman" w:hAnsi="Times New Roman"/>
          <w:sz w:val="24"/>
          <w:szCs w:val="24"/>
          <w:lang w:val="es-ES_tradnl"/>
        </w:rPr>
      </w:pPr>
      <w:r w:rsidRPr="00087227">
        <w:rPr>
          <w:rFonts w:ascii="Times New Roman" w:hAnsi="Times New Roman"/>
          <w:sz w:val="24"/>
          <w:szCs w:val="24"/>
          <w:lang w:val="es-ES_tradnl"/>
        </w:rPr>
        <w:t>RD$1,119,671,866.00 de fondos especiales.</w:t>
      </w:r>
    </w:p>
    <w:p w14:paraId="1FB8DCB7" w14:textId="77777777" w:rsidR="00304F26" w:rsidRPr="00087227" w:rsidRDefault="00304F26" w:rsidP="00304F26">
      <w:pPr>
        <w:widowControl w:val="0"/>
        <w:autoSpaceDE w:val="0"/>
        <w:autoSpaceDN w:val="0"/>
        <w:adjustRightInd w:val="0"/>
        <w:spacing w:after="0" w:line="480" w:lineRule="auto"/>
        <w:ind w:firstLine="720"/>
        <w:jc w:val="both"/>
        <w:rPr>
          <w:rFonts w:ascii="Times New Roman" w:hAnsi="Times New Roman"/>
        </w:rPr>
      </w:pPr>
    </w:p>
    <w:p w14:paraId="11F81C4B" w14:textId="77777777" w:rsidR="00304F26" w:rsidRPr="00087227" w:rsidRDefault="00304F26" w:rsidP="00304F26">
      <w:pPr>
        <w:widowControl w:val="0"/>
        <w:autoSpaceDE w:val="0"/>
        <w:autoSpaceDN w:val="0"/>
        <w:adjustRightInd w:val="0"/>
        <w:spacing w:after="0" w:line="480" w:lineRule="auto"/>
        <w:ind w:firstLine="720"/>
        <w:jc w:val="both"/>
        <w:rPr>
          <w:rFonts w:ascii="Times New Roman" w:hAnsi="Times New Roman"/>
          <w:b/>
          <w:sz w:val="28"/>
        </w:rPr>
      </w:pPr>
      <w:r w:rsidRPr="00087227">
        <w:rPr>
          <w:rFonts w:ascii="Times New Roman" w:hAnsi="Times New Roman"/>
          <w:b/>
          <w:sz w:val="28"/>
        </w:rPr>
        <w:t>Distribución del presupuesto por fuentes y sector:</w:t>
      </w:r>
    </w:p>
    <w:p w14:paraId="76622B7B" w14:textId="77777777" w:rsidR="00304F26" w:rsidRPr="00087227" w:rsidRDefault="00304F26" w:rsidP="001C6B1A">
      <w:pPr>
        <w:pStyle w:val="Prrafodelista"/>
        <w:widowControl w:val="0"/>
        <w:numPr>
          <w:ilvl w:val="0"/>
          <w:numId w:val="34"/>
        </w:numPr>
        <w:autoSpaceDE w:val="0"/>
        <w:autoSpaceDN w:val="0"/>
        <w:adjustRightInd w:val="0"/>
        <w:spacing w:after="0" w:line="480" w:lineRule="auto"/>
        <w:jc w:val="both"/>
        <w:rPr>
          <w:rFonts w:ascii="Times New Roman" w:hAnsi="Times New Roman"/>
          <w:sz w:val="24"/>
          <w:szCs w:val="24"/>
          <w:lang w:val="es-ES_tradnl"/>
        </w:rPr>
      </w:pPr>
      <w:r w:rsidRPr="00087227">
        <w:rPr>
          <w:rFonts w:ascii="Times New Roman" w:hAnsi="Times New Roman"/>
          <w:sz w:val="24"/>
          <w:szCs w:val="24"/>
          <w:lang w:val="es-ES_tradnl"/>
        </w:rPr>
        <w:t xml:space="preserve">fuente interna o Fondo 100, General de la Nación: </w:t>
      </w:r>
    </w:p>
    <w:p w14:paraId="2F2AFD67" w14:textId="77777777" w:rsidR="00304F26" w:rsidRPr="00087227" w:rsidRDefault="00304F26" w:rsidP="001C6B1A">
      <w:pPr>
        <w:pStyle w:val="Prrafodelista"/>
        <w:widowControl w:val="0"/>
        <w:numPr>
          <w:ilvl w:val="1"/>
          <w:numId w:val="34"/>
        </w:numPr>
        <w:autoSpaceDE w:val="0"/>
        <w:autoSpaceDN w:val="0"/>
        <w:adjustRightInd w:val="0"/>
        <w:spacing w:after="0" w:line="480" w:lineRule="auto"/>
        <w:jc w:val="both"/>
        <w:rPr>
          <w:rFonts w:ascii="Times New Roman" w:hAnsi="Times New Roman"/>
          <w:sz w:val="24"/>
          <w:szCs w:val="24"/>
          <w:lang w:val="es-ES_tradnl"/>
        </w:rPr>
      </w:pPr>
      <w:r w:rsidRPr="00087227">
        <w:rPr>
          <w:rFonts w:ascii="Times New Roman" w:hAnsi="Times New Roman"/>
          <w:sz w:val="24"/>
          <w:szCs w:val="24"/>
          <w:lang w:val="es-ES_tradnl"/>
        </w:rPr>
        <w:lastRenderedPageBreak/>
        <w:t>RD$3,806,780,595.00 para el Ministerio de Agricultura y</w:t>
      </w:r>
    </w:p>
    <w:p w14:paraId="1F482BAA" w14:textId="3531B8D5" w:rsidR="00304F26" w:rsidRDefault="00304F26" w:rsidP="001C6B1A">
      <w:pPr>
        <w:pStyle w:val="Prrafodelista"/>
        <w:widowControl w:val="0"/>
        <w:numPr>
          <w:ilvl w:val="1"/>
          <w:numId w:val="34"/>
        </w:numPr>
        <w:autoSpaceDE w:val="0"/>
        <w:autoSpaceDN w:val="0"/>
        <w:adjustRightInd w:val="0"/>
        <w:spacing w:after="0" w:line="480" w:lineRule="auto"/>
        <w:jc w:val="both"/>
        <w:rPr>
          <w:rFonts w:ascii="Times New Roman" w:hAnsi="Times New Roman"/>
          <w:sz w:val="24"/>
          <w:szCs w:val="24"/>
          <w:lang w:val="es-ES_tradnl"/>
        </w:rPr>
      </w:pPr>
      <w:r w:rsidRPr="00087227">
        <w:rPr>
          <w:rFonts w:ascii="Times New Roman" w:hAnsi="Times New Roman"/>
          <w:sz w:val="24"/>
          <w:szCs w:val="24"/>
          <w:lang w:val="es-ES_tradnl"/>
        </w:rPr>
        <w:t xml:space="preserve"> RD$7,157,194,220.00, para el resto del Sector, excluye Ganadería.</w:t>
      </w:r>
    </w:p>
    <w:p w14:paraId="4F8CA157" w14:textId="77777777" w:rsidR="00B31EF6" w:rsidRDefault="00B31EF6" w:rsidP="00B31EF6">
      <w:pPr>
        <w:pStyle w:val="Prrafodelista"/>
        <w:widowControl w:val="0"/>
        <w:autoSpaceDE w:val="0"/>
        <w:autoSpaceDN w:val="0"/>
        <w:adjustRightInd w:val="0"/>
        <w:spacing w:after="0" w:line="480" w:lineRule="auto"/>
        <w:ind w:left="1080"/>
        <w:jc w:val="both"/>
        <w:rPr>
          <w:rFonts w:ascii="Times New Roman" w:hAnsi="Times New Roman"/>
          <w:sz w:val="24"/>
          <w:szCs w:val="24"/>
          <w:lang w:val="es-ES_tradnl"/>
        </w:rPr>
      </w:pPr>
    </w:p>
    <w:p w14:paraId="2EBFEB08" w14:textId="77777777" w:rsidR="00304F26" w:rsidRPr="00087227" w:rsidRDefault="00304F26" w:rsidP="001C6B1A">
      <w:pPr>
        <w:pStyle w:val="Prrafodelista"/>
        <w:widowControl w:val="0"/>
        <w:numPr>
          <w:ilvl w:val="0"/>
          <w:numId w:val="34"/>
        </w:numPr>
        <w:autoSpaceDE w:val="0"/>
        <w:autoSpaceDN w:val="0"/>
        <w:adjustRightInd w:val="0"/>
        <w:spacing w:after="0" w:line="480" w:lineRule="auto"/>
        <w:jc w:val="both"/>
        <w:rPr>
          <w:rFonts w:ascii="Times New Roman" w:hAnsi="Times New Roman"/>
          <w:sz w:val="24"/>
          <w:szCs w:val="24"/>
          <w:lang w:val="es-ES_tradnl"/>
        </w:rPr>
      </w:pPr>
      <w:r w:rsidRPr="00087227">
        <w:rPr>
          <w:rFonts w:ascii="Times New Roman" w:hAnsi="Times New Roman"/>
          <w:sz w:val="24"/>
          <w:szCs w:val="24"/>
          <w:lang w:val="es-ES_tradnl"/>
        </w:rPr>
        <w:t>Los Recursos Externos provenientes de diferentes fuentes de financiamientos:</w:t>
      </w:r>
    </w:p>
    <w:p w14:paraId="13A85652" w14:textId="77777777" w:rsidR="00304F26" w:rsidRPr="00087227" w:rsidRDefault="00304F26" w:rsidP="001C6B1A">
      <w:pPr>
        <w:pStyle w:val="Prrafodelista"/>
        <w:widowControl w:val="0"/>
        <w:numPr>
          <w:ilvl w:val="1"/>
          <w:numId w:val="34"/>
        </w:numPr>
        <w:autoSpaceDE w:val="0"/>
        <w:autoSpaceDN w:val="0"/>
        <w:adjustRightInd w:val="0"/>
        <w:spacing w:after="0" w:line="480" w:lineRule="auto"/>
        <w:jc w:val="both"/>
        <w:rPr>
          <w:rFonts w:ascii="Times New Roman" w:hAnsi="Times New Roman"/>
          <w:sz w:val="24"/>
          <w:szCs w:val="24"/>
          <w:lang w:val="es-ES_tradnl"/>
        </w:rPr>
      </w:pPr>
      <w:r w:rsidRPr="00087227">
        <w:rPr>
          <w:rFonts w:ascii="Times New Roman" w:hAnsi="Times New Roman"/>
          <w:sz w:val="24"/>
          <w:szCs w:val="24"/>
          <w:lang w:val="es-ES_tradnl"/>
        </w:rPr>
        <w:t xml:space="preserve">RD$392,454,869.00, para proyectos gestionados por el Ministerio de Agricultura, </w:t>
      </w:r>
    </w:p>
    <w:p w14:paraId="3C04350C" w14:textId="0D46CE8D" w:rsidR="00304F26" w:rsidRDefault="00304F26" w:rsidP="001C6B1A">
      <w:pPr>
        <w:pStyle w:val="Prrafodelista"/>
        <w:widowControl w:val="0"/>
        <w:numPr>
          <w:ilvl w:val="1"/>
          <w:numId w:val="34"/>
        </w:numPr>
        <w:autoSpaceDE w:val="0"/>
        <w:autoSpaceDN w:val="0"/>
        <w:adjustRightInd w:val="0"/>
        <w:spacing w:after="0" w:line="480" w:lineRule="auto"/>
        <w:jc w:val="both"/>
        <w:rPr>
          <w:rFonts w:ascii="Times New Roman" w:hAnsi="Times New Roman"/>
          <w:sz w:val="24"/>
          <w:szCs w:val="24"/>
          <w:lang w:val="es-ES_tradnl"/>
        </w:rPr>
      </w:pPr>
      <w:r w:rsidRPr="00087227">
        <w:rPr>
          <w:rFonts w:ascii="Times New Roman" w:hAnsi="Times New Roman"/>
          <w:sz w:val="24"/>
          <w:szCs w:val="24"/>
          <w:lang w:val="es-ES_tradnl"/>
        </w:rPr>
        <w:t>RD$133,454,869.00, para proyectos administrados por el Sector Descentralizado.</w:t>
      </w:r>
    </w:p>
    <w:p w14:paraId="706E9E1C" w14:textId="77777777" w:rsidR="00B31EF6" w:rsidRPr="00087227" w:rsidRDefault="00B31EF6" w:rsidP="00B31EF6">
      <w:pPr>
        <w:pStyle w:val="Prrafodelista"/>
        <w:widowControl w:val="0"/>
        <w:autoSpaceDE w:val="0"/>
        <w:autoSpaceDN w:val="0"/>
        <w:adjustRightInd w:val="0"/>
        <w:spacing w:after="0" w:line="480" w:lineRule="auto"/>
        <w:ind w:left="1080"/>
        <w:jc w:val="both"/>
        <w:rPr>
          <w:rFonts w:ascii="Times New Roman" w:hAnsi="Times New Roman"/>
          <w:sz w:val="24"/>
          <w:szCs w:val="24"/>
          <w:lang w:val="es-ES_tradnl"/>
        </w:rPr>
      </w:pPr>
    </w:p>
    <w:p w14:paraId="0873DC1D" w14:textId="77777777" w:rsidR="00304F26" w:rsidRPr="00087227" w:rsidRDefault="00304F26" w:rsidP="001C6B1A">
      <w:pPr>
        <w:pStyle w:val="Prrafodelista"/>
        <w:widowControl w:val="0"/>
        <w:numPr>
          <w:ilvl w:val="0"/>
          <w:numId w:val="34"/>
        </w:numPr>
        <w:autoSpaceDE w:val="0"/>
        <w:autoSpaceDN w:val="0"/>
        <w:adjustRightInd w:val="0"/>
        <w:spacing w:after="0" w:line="480" w:lineRule="auto"/>
        <w:jc w:val="both"/>
        <w:rPr>
          <w:rFonts w:ascii="Times New Roman" w:hAnsi="Times New Roman"/>
          <w:sz w:val="24"/>
          <w:szCs w:val="24"/>
          <w:lang w:val="es-ES_tradnl"/>
        </w:rPr>
      </w:pPr>
      <w:r w:rsidRPr="00087227">
        <w:rPr>
          <w:rFonts w:ascii="Times New Roman" w:hAnsi="Times New Roman"/>
          <w:iCs/>
          <w:sz w:val="24"/>
          <w:szCs w:val="24"/>
        </w:rPr>
        <w:t>El Presupuesto financiado por Fondos Especiales:</w:t>
      </w:r>
    </w:p>
    <w:p w14:paraId="5FCFF456" w14:textId="77777777" w:rsidR="00304F26" w:rsidRPr="00087227" w:rsidRDefault="00304F26" w:rsidP="001C6B1A">
      <w:pPr>
        <w:pStyle w:val="Prrafodelista"/>
        <w:widowControl w:val="0"/>
        <w:numPr>
          <w:ilvl w:val="1"/>
          <w:numId w:val="34"/>
        </w:numPr>
        <w:autoSpaceDE w:val="0"/>
        <w:autoSpaceDN w:val="0"/>
        <w:adjustRightInd w:val="0"/>
        <w:spacing w:after="0" w:line="480" w:lineRule="auto"/>
        <w:jc w:val="both"/>
        <w:rPr>
          <w:rFonts w:ascii="Times New Roman" w:hAnsi="Times New Roman"/>
          <w:sz w:val="24"/>
          <w:szCs w:val="24"/>
          <w:lang w:val="es-ES_tradnl"/>
        </w:rPr>
      </w:pPr>
      <w:r w:rsidRPr="00087227">
        <w:rPr>
          <w:rFonts w:ascii="Times New Roman" w:hAnsi="Times New Roman"/>
          <w:sz w:val="24"/>
          <w:szCs w:val="24"/>
          <w:lang w:val="es-ES_tradnl"/>
        </w:rPr>
        <w:t>RD$290,282,427.00, Fondo 1972-Instituto Nacional del Tabaco, INTABACO.</w:t>
      </w:r>
    </w:p>
    <w:p w14:paraId="47DD8319" w14:textId="2766F09D" w:rsidR="00304F26" w:rsidRDefault="00304F26" w:rsidP="001C6B1A">
      <w:pPr>
        <w:pStyle w:val="Prrafodelista"/>
        <w:widowControl w:val="0"/>
        <w:numPr>
          <w:ilvl w:val="1"/>
          <w:numId w:val="34"/>
        </w:numPr>
        <w:autoSpaceDE w:val="0"/>
        <w:autoSpaceDN w:val="0"/>
        <w:adjustRightInd w:val="0"/>
        <w:spacing w:after="0" w:line="480" w:lineRule="auto"/>
        <w:jc w:val="both"/>
        <w:rPr>
          <w:rFonts w:ascii="Times New Roman" w:hAnsi="Times New Roman"/>
          <w:sz w:val="24"/>
          <w:szCs w:val="24"/>
          <w:lang w:val="es-ES_tradnl"/>
        </w:rPr>
      </w:pPr>
      <w:r w:rsidRPr="00087227">
        <w:rPr>
          <w:rFonts w:ascii="Times New Roman" w:hAnsi="Times New Roman"/>
          <w:sz w:val="24"/>
          <w:szCs w:val="24"/>
          <w:lang w:val="es-ES_tradnl"/>
        </w:rPr>
        <w:t>RD$120,000,000.00, Fondo 1973- Consejo Nacional de la Industria Lechera, CONALECHE.</w:t>
      </w:r>
    </w:p>
    <w:p w14:paraId="33296FD5" w14:textId="77777777" w:rsidR="00B31EF6" w:rsidRPr="00087227" w:rsidRDefault="00B31EF6" w:rsidP="00B31EF6">
      <w:pPr>
        <w:pStyle w:val="Prrafodelista"/>
        <w:widowControl w:val="0"/>
        <w:autoSpaceDE w:val="0"/>
        <w:autoSpaceDN w:val="0"/>
        <w:adjustRightInd w:val="0"/>
        <w:spacing w:after="0" w:line="480" w:lineRule="auto"/>
        <w:ind w:left="1080"/>
        <w:jc w:val="both"/>
        <w:rPr>
          <w:rFonts w:ascii="Times New Roman" w:hAnsi="Times New Roman"/>
          <w:sz w:val="24"/>
          <w:szCs w:val="24"/>
          <w:lang w:val="es-ES_tradnl"/>
        </w:rPr>
      </w:pPr>
    </w:p>
    <w:p w14:paraId="17FB3997" w14:textId="77777777" w:rsidR="00304F26" w:rsidRPr="00087227" w:rsidRDefault="00304F26" w:rsidP="001C6B1A">
      <w:pPr>
        <w:pStyle w:val="Prrafodelista"/>
        <w:widowControl w:val="0"/>
        <w:numPr>
          <w:ilvl w:val="0"/>
          <w:numId w:val="34"/>
        </w:numPr>
        <w:autoSpaceDE w:val="0"/>
        <w:autoSpaceDN w:val="0"/>
        <w:adjustRightInd w:val="0"/>
        <w:spacing w:after="0" w:line="480" w:lineRule="auto"/>
        <w:jc w:val="both"/>
        <w:rPr>
          <w:rFonts w:ascii="Times New Roman" w:hAnsi="Times New Roman"/>
          <w:sz w:val="24"/>
          <w:szCs w:val="24"/>
          <w:lang w:val="es-ES_tradnl"/>
        </w:rPr>
      </w:pPr>
      <w:r w:rsidRPr="00087227">
        <w:rPr>
          <w:rFonts w:ascii="Times New Roman" w:hAnsi="Times New Roman"/>
          <w:sz w:val="24"/>
          <w:szCs w:val="24"/>
          <w:lang w:val="es-ES_tradnl"/>
        </w:rPr>
        <w:t>Recursos Provenientes del 5% de Fondos Presidenciales:</w:t>
      </w:r>
    </w:p>
    <w:p w14:paraId="1BDD11BA" w14:textId="77777777" w:rsidR="00304F26" w:rsidRPr="00087227" w:rsidRDefault="00304F26" w:rsidP="001C6B1A">
      <w:pPr>
        <w:pStyle w:val="Prrafodelista"/>
        <w:widowControl w:val="0"/>
        <w:numPr>
          <w:ilvl w:val="1"/>
          <w:numId w:val="34"/>
        </w:numPr>
        <w:autoSpaceDE w:val="0"/>
        <w:autoSpaceDN w:val="0"/>
        <w:adjustRightInd w:val="0"/>
        <w:spacing w:after="0" w:line="480" w:lineRule="auto"/>
        <w:jc w:val="both"/>
        <w:rPr>
          <w:rFonts w:ascii="Times New Roman" w:hAnsi="Times New Roman"/>
          <w:sz w:val="24"/>
          <w:szCs w:val="24"/>
          <w:lang w:val="es-ES_tradnl"/>
        </w:rPr>
      </w:pPr>
      <w:r w:rsidRPr="00087227">
        <w:rPr>
          <w:rFonts w:ascii="Times New Roman" w:hAnsi="Times New Roman"/>
          <w:sz w:val="24"/>
          <w:szCs w:val="24"/>
          <w:lang w:val="es-ES_tradnl"/>
        </w:rPr>
        <w:t>RD$7,438,071.00 para el Ministerio de Agricultura, AGRICULTURARD.</w:t>
      </w:r>
    </w:p>
    <w:p w14:paraId="0AFDC512" w14:textId="77777777" w:rsidR="00304F26" w:rsidRPr="00087227" w:rsidRDefault="00304F26" w:rsidP="001C6B1A">
      <w:pPr>
        <w:pStyle w:val="Prrafodelista"/>
        <w:widowControl w:val="0"/>
        <w:numPr>
          <w:ilvl w:val="1"/>
          <w:numId w:val="34"/>
        </w:numPr>
        <w:autoSpaceDE w:val="0"/>
        <w:autoSpaceDN w:val="0"/>
        <w:adjustRightInd w:val="0"/>
        <w:spacing w:after="0" w:line="480" w:lineRule="auto"/>
        <w:jc w:val="both"/>
        <w:rPr>
          <w:rFonts w:ascii="Times New Roman" w:hAnsi="Times New Roman"/>
          <w:sz w:val="24"/>
          <w:szCs w:val="24"/>
          <w:lang w:val="es-ES_tradnl"/>
        </w:rPr>
      </w:pPr>
      <w:r w:rsidRPr="00087227">
        <w:rPr>
          <w:rFonts w:ascii="Times New Roman" w:hAnsi="Times New Roman"/>
          <w:sz w:val="24"/>
          <w:szCs w:val="24"/>
          <w:lang w:val="es-ES_tradnl"/>
        </w:rPr>
        <w:t>RD$20,000,000.00 para el Instituto Agrario Dominicano, IAD</w:t>
      </w:r>
    </w:p>
    <w:p w14:paraId="447DF55E" w14:textId="2F8EB2AB" w:rsidR="00304F26" w:rsidRDefault="00304F26" w:rsidP="001C6B1A">
      <w:pPr>
        <w:pStyle w:val="Prrafodelista"/>
        <w:widowControl w:val="0"/>
        <w:numPr>
          <w:ilvl w:val="1"/>
          <w:numId w:val="34"/>
        </w:numPr>
        <w:autoSpaceDE w:val="0"/>
        <w:autoSpaceDN w:val="0"/>
        <w:adjustRightInd w:val="0"/>
        <w:spacing w:after="0" w:line="480" w:lineRule="auto"/>
        <w:jc w:val="both"/>
        <w:rPr>
          <w:rFonts w:ascii="Times New Roman" w:hAnsi="Times New Roman"/>
          <w:sz w:val="24"/>
          <w:szCs w:val="24"/>
          <w:lang w:val="es-ES_tradnl"/>
        </w:rPr>
      </w:pPr>
      <w:r w:rsidRPr="00087227">
        <w:rPr>
          <w:rFonts w:ascii="Times New Roman" w:hAnsi="Times New Roman"/>
          <w:sz w:val="24"/>
          <w:szCs w:val="24"/>
          <w:lang w:val="es-ES_tradnl"/>
        </w:rPr>
        <w:t>RD$1,951,358.00 para el Instituto Nacional del Tabaco, INTABACO.</w:t>
      </w:r>
    </w:p>
    <w:p w14:paraId="1069114E" w14:textId="77777777" w:rsidR="00B31EF6" w:rsidRPr="00087227" w:rsidRDefault="00B31EF6" w:rsidP="00B31EF6">
      <w:pPr>
        <w:pStyle w:val="Prrafodelista"/>
        <w:widowControl w:val="0"/>
        <w:autoSpaceDE w:val="0"/>
        <w:autoSpaceDN w:val="0"/>
        <w:adjustRightInd w:val="0"/>
        <w:spacing w:after="0" w:line="480" w:lineRule="auto"/>
        <w:ind w:left="1080"/>
        <w:jc w:val="both"/>
        <w:rPr>
          <w:rFonts w:ascii="Times New Roman" w:hAnsi="Times New Roman"/>
          <w:sz w:val="24"/>
          <w:szCs w:val="24"/>
          <w:lang w:val="es-ES_tradnl"/>
        </w:rPr>
      </w:pPr>
    </w:p>
    <w:p w14:paraId="2F3AE8F9" w14:textId="77777777" w:rsidR="00304F26" w:rsidRPr="00087227" w:rsidRDefault="00304F26" w:rsidP="001C6B1A">
      <w:pPr>
        <w:pStyle w:val="Prrafodelista"/>
        <w:widowControl w:val="0"/>
        <w:numPr>
          <w:ilvl w:val="0"/>
          <w:numId w:val="34"/>
        </w:numPr>
        <w:autoSpaceDE w:val="0"/>
        <w:autoSpaceDN w:val="0"/>
        <w:adjustRightInd w:val="0"/>
        <w:spacing w:after="0" w:line="480" w:lineRule="auto"/>
        <w:jc w:val="both"/>
        <w:rPr>
          <w:rFonts w:ascii="Times New Roman" w:hAnsi="Times New Roman"/>
          <w:sz w:val="24"/>
          <w:szCs w:val="24"/>
          <w:lang w:val="es-ES_tradnl"/>
        </w:rPr>
      </w:pPr>
      <w:r w:rsidRPr="00087227">
        <w:rPr>
          <w:rFonts w:ascii="Times New Roman" w:hAnsi="Times New Roman"/>
          <w:sz w:val="24"/>
          <w:szCs w:val="24"/>
          <w:lang w:val="es-ES_tradnl"/>
        </w:rPr>
        <w:t>Recursos provenientes de Subastas:</w:t>
      </w:r>
    </w:p>
    <w:p w14:paraId="0208596D" w14:textId="2F770394" w:rsidR="00304F26" w:rsidRPr="00087227" w:rsidRDefault="00304F26" w:rsidP="001C6B1A">
      <w:pPr>
        <w:pStyle w:val="Prrafodelista"/>
        <w:widowControl w:val="0"/>
        <w:numPr>
          <w:ilvl w:val="1"/>
          <w:numId w:val="34"/>
        </w:numPr>
        <w:autoSpaceDE w:val="0"/>
        <w:autoSpaceDN w:val="0"/>
        <w:adjustRightInd w:val="0"/>
        <w:spacing w:after="0" w:line="480" w:lineRule="auto"/>
        <w:jc w:val="both"/>
        <w:rPr>
          <w:rFonts w:ascii="Times New Roman" w:hAnsi="Times New Roman"/>
          <w:sz w:val="24"/>
          <w:szCs w:val="24"/>
          <w:lang w:val="es-ES_tradnl"/>
        </w:rPr>
      </w:pPr>
      <w:r w:rsidRPr="00087227">
        <w:rPr>
          <w:rFonts w:ascii="Times New Roman" w:hAnsi="Times New Roman"/>
          <w:sz w:val="24"/>
          <w:szCs w:val="24"/>
          <w:lang w:val="es-ES_tradnl"/>
        </w:rPr>
        <w:t>RD$680,000,000.00, Fondo 2109, par</w:t>
      </w:r>
      <w:r w:rsidR="00B31EF6">
        <w:rPr>
          <w:rFonts w:ascii="Times New Roman" w:hAnsi="Times New Roman"/>
          <w:sz w:val="24"/>
          <w:szCs w:val="24"/>
          <w:lang w:val="es-ES_tradnl"/>
        </w:rPr>
        <w:t>a el Ministerio de Agricultura</w:t>
      </w:r>
      <w:r w:rsidRPr="00087227">
        <w:rPr>
          <w:rFonts w:ascii="Times New Roman" w:hAnsi="Times New Roman"/>
          <w:sz w:val="24"/>
          <w:szCs w:val="24"/>
          <w:lang w:val="es-ES_tradnl"/>
        </w:rPr>
        <w:t>.</w:t>
      </w:r>
    </w:p>
    <w:p w14:paraId="6A3B12D8" w14:textId="3DCB22F5" w:rsidR="00304F26" w:rsidRPr="00087227" w:rsidRDefault="00304F26" w:rsidP="00CA5792">
      <w:pPr>
        <w:pStyle w:val="Ttulo4"/>
      </w:pPr>
      <w:bookmarkStart w:id="413" w:name="_Toc470523366"/>
      <w:bookmarkStart w:id="414" w:name="_Toc499898161"/>
      <w:bookmarkStart w:id="415" w:name="_Toc26292100"/>
      <w:bookmarkStart w:id="416" w:name="_Toc27146840"/>
      <w:r w:rsidRPr="00087227">
        <w:lastRenderedPageBreak/>
        <w:t>Ejecución presupuestaria del periodo</w:t>
      </w:r>
      <w:bookmarkEnd w:id="413"/>
      <w:bookmarkEnd w:id="414"/>
      <w:bookmarkEnd w:id="415"/>
      <w:bookmarkEnd w:id="416"/>
    </w:p>
    <w:p w14:paraId="774EEAC4" w14:textId="58363E5D" w:rsidR="00304F26" w:rsidRPr="00087227" w:rsidRDefault="00304F26" w:rsidP="00304F26">
      <w:pPr>
        <w:widowControl w:val="0"/>
        <w:autoSpaceDE w:val="0"/>
        <w:autoSpaceDN w:val="0"/>
        <w:adjustRightInd w:val="0"/>
        <w:spacing w:after="0" w:line="480" w:lineRule="auto"/>
        <w:ind w:firstLine="720"/>
        <w:jc w:val="both"/>
        <w:rPr>
          <w:rFonts w:ascii="Times New Roman" w:hAnsi="Times New Roman"/>
          <w:lang w:val="es-ES_tradnl"/>
        </w:rPr>
      </w:pPr>
      <w:r w:rsidRPr="00087227">
        <w:rPr>
          <w:rFonts w:ascii="Times New Roman" w:hAnsi="Times New Roman"/>
          <w:lang w:val="es-ES_tradnl"/>
        </w:rPr>
        <w:t xml:space="preserve">La Ejecución Presupuestaria al 31 de </w:t>
      </w:r>
      <w:r w:rsidR="00D91443" w:rsidRPr="00087227">
        <w:rPr>
          <w:rFonts w:ascii="Times New Roman" w:hAnsi="Times New Roman"/>
          <w:lang w:val="es-ES_tradnl"/>
        </w:rPr>
        <w:t>diciembre</w:t>
      </w:r>
      <w:r w:rsidRPr="00087227">
        <w:rPr>
          <w:rFonts w:ascii="Times New Roman" w:hAnsi="Times New Roman"/>
          <w:lang w:val="es-ES_tradnl"/>
        </w:rPr>
        <w:t xml:space="preserve">, según cuadro de ejecución consolidada el capítulo 0210-Ministerio de Agricultura, presenta una ejecución RD$12,929,366,244.34, lo que representa un 99% del presupuesto </w:t>
      </w:r>
      <w:r w:rsidR="00B31EF6">
        <w:rPr>
          <w:rFonts w:ascii="Times New Roman" w:hAnsi="Times New Roman"/>
          <w:lang w:val="es-ES_tradnl"/>
        </w:rPr>
        <w:t xml:space="preserve">asignado al Sector Agropecuario, </w:t>
      </w:r>
      <w:r w:rsidR="00B31EF6" w:rsidRPr="00087227">
        <w:rPr>
          <w:rFonts w:ascii="Times New Roman" w:hAnsi="Times New Roman"/>
          <w:lang w:val="es-ES_tradnl"/>
        </w:rPr>
        <w:t>(</w:t>
      </w:r>
      <w:r w:rsidR="00B31EF6">
        <w:rPr>
          <w:rFonts w:ascii="Times New Roman" w:hAnsi="Times New Roman"/>
          <w:lang w:val="es-ES_tradnl"/>
        </w:rPr>
        <w:t>v</w:t>
      </w:r>
      <w:r w:rsidR="00B31EF6" w:rsidRPr="00087227">
        <w:rPr>
          <w:rFonts w:ascii="Times New Roman" w:hAnsi="Times New Roman"/>
          <w:lang w:val="es-ES_tradnl"/>
        </w:rPr>
        <w:t>er anexo A</w:t>
      </w:r>
      <w:r w:rsidR="00B31EF6">
        <w:rPr>
          <w:rFonts w:ascii="Times New Roman" w:hAnsi="Times New Roman"/>
          <w:lang w:val="es-ES_tradnl"/>
        </w:rPr>
        <w:t>).</w:t>
      </w:r>
    </w:p>
    <w:p w14:paraId="29915C89" w14:textId="77777777" w:rsidR="00304F26" w:rsidRPr="00087227" w:rsidRDefault="00304F26" w:rsidP="00304F26">
      <w:pPr>
        <w:widowControl w:val="0"/>
        <w:autoSpaceDE w:val="0"/>
        <w:autoSpaceDN w:val="0"/>
        <w:adjustRightInd w:val="0"/>
        <w:spacing w:after="0" w:line="480" w:lineRule="auto"/>
        <w:ind w:firstLine="720"/>
        <w:jc w:val="both"/>
        <w:rPr>
          <w:rFonts w:ascii="Times New Roman" w:hAnsi="Times New Roman"/>
          <w:lang w:val="es-ES_tradnl"/>
        </w:rPr>
      </w:pPr>
    </w:p>
    <w:p w14:paraId="4897CD02" w14:textId="77777777" w:rsidR="00304F26" w:rsidRPr="00087227" w:rsidRDefault="00304F26" w:rsidP="00304F26">
      <w:pPr>
        <w:widowControl w:val="0"/>
        <w:autoSpaceDE w:val="0"/>
        <w:autoSpaceDN w:val="0"/>
        <w:adjustRightInd w:val="0"/>
        <w:spacing w:after="0" w:line="480" w:lineRule="auto"/>
        <w:ind w:firstLine="720"/>
        <w:jc w:val="both"/>
        <w:rPr>
          <w:rFonts w:ascii="Times New Roman" w:hAnsi="Times New Roman"/>
          <w:lang w:val="es-ES_tradnl"/>
        </w:rPr>
      </w:pPr>
      <w:r w:rsidRPr="00087227">
        <w:rPr>
          <w:rFonts w:ascii="Times New Roman" w:hAnsi="Times New Roman"/>
          <w:lang w:val="es-ES_tradnl"/>
        </w:rPr>
        <w:t>De este nivel de ejecución el Ministerio de Agricultura, como entidad rectora del sector agropecuario ejecutó RD$4,928,809,492.95, incluyendo los proyectos de inversión que tiene el Ministerio, como son:</w:t>
      </w:r>
    </w:p>
    <w:p w14:paraId="02A0AC62" w14:textId="77777777" w:rsidR="00304F26" w:rsidRPr="00087227" w:rsidRDefault="00304F26" w:rsidP="00304F26">
      <w:pPr>
        <w:widowControl w:val="0"/>
        <w:autoSpaceDE w:val="0"/>
        <w:autoSpaceDN w:val="0"/>
        <w:adjustRightInd w:val="0"/>
        <w:spacing w:after="0" w:line="480" w:lineRule="auto"/>
        <w:ind w:firstLine="720"/>
        <w:jc w:val="both"/>
        <w:rPr>
          <w:rFonts w:ascii="Times New Roman" w:hAnsi="Times New Roman"/>
          <w:lang w:val="es-ES_tradnl"/>
        </w:rPr>
      </w:pPr>
    </w:p>
    <w:p w14:paraId="6901D93B" w14:textId="77777777" w:rsidR="00304F26" w:rsidRPr="00087227" w:rsidRDefault="00304F26" w:rsidP="001C6B1A">
      <w:pPr>
        <w:pStyle w:val="Prrafodelista"/>
        <w:widowControl w:val="0"/>
        <w:numPr>
          <w:ilvl w:val="0"/>
          <w:numId w:val="35"/>
        </w:numPr>
        <w:autoSpaceDE w:val="0"/>
        <w:autoSpaceDN w:val="0"/>
        <w:adjustRightInd w:val="0"/>
        <w:spacing w:after="0" w:line="480" w:lineRule="auto"/>
        <w:jc w:val="both"/>
        <w:rPr>
          <w:rFonts w:ascii="Times New Roman" w:hAnsi="Times New Roman"/>
          <w:sz w:val="24"/>
          <w:lang w:val="es-ES_tradnl"/>
        </w:rPr>
      </w:pPr>
      <w:r w:rsidRPr="00087227">
        <w:rPr>
          <w:rFonts w:ascii="Times New Roman" w:hAnsi="Times New Roman"/>
          <w:sz w:val="24"/>
          <w:lang w:val="es-ES_tradnl"/>
        </w:rPr>
        <w:t>Mejoramiento de la Sanidad e Inocuidad Agroalimentaria (PATCA)</w:t>
      </w:r>
    </w:p>
    <w:p w14:paraId="06F79E08" w14:textId="77777777" w:rsidR="00304F26" w:rsidRPr="00087227" w:rsidRDefault="00304F26" w:rsidP="001C6B1A">
      <w:pPr>
        <w:pStyle w:val="Prrafodelista"/>
        <w:widowControl w:val="0"/>
        <w:numPr>
          <w:ilvl w:val="0"/>
          <w:numId w:val="35"/>
        </w:numPr>
        <w:autoSpaceDE w:val="0"/>
        <w:autoSpaceDN w:val="0"/>
        <w:adjustRightInd w:val="0"/>
        <w:spacing w:after="0" w:line="480" w:lineRule="auto"/>
        <w:jc w:val="both"/>
        <w:rPr>
          <w:rFonts w:ascii="Times New Roman" w:hAnsi="Times New Roman"/>
          <w:sz w:val="24"/>
          <w:lang w:val="es-ES_tradnl"/>
        </w:rPr>
      </w:pPr>
      <w:r w:rsidRPr="00087227">
        <w:rPr>
          <w:rFonts w:ascii="Times New Roman" w:hAnsi="Times New Roman"/>
          <w:sz w:val="24"/>
          <w:lang w:val="es-ES_tradnl"/>
        </w:rPr>
        <w:t>Proyecto de Recuperación de la Cuenca Jamao y Veragua.</w:t>
      </w:r>
    </w:p>
    <w:p w14:paraId="64764B1B" w14:textId="77777777" w:rsidR="00304F26" w:rsidRPr="00087227" w:rsidRDefault="00304F26" w:rsidP="00304F26">
      <w:pPr>
        <w:widowControl w:val="0"/>
        <w:autoSpaceDE w:val="0"/>
        <w:autoSpaceDN w:val="0"/>
        <w:adjustRightInd w:val="0"/>
        <w:spacing w:after="0" w:line="480" w:lineRule="auto"/>
        <w:ind w:firstLine="720"/>
        <w:jc w:val="both"/>
        <w:rPr>
          <w:rFonts w:ascii="Times New Roman" w:hAnsi="Times New Roman"/>
          <w:lang w:val="es-ES_tradnl"/>
        </w:rPr>
      </w:pPr>
    </w:p>
    <w:p w14:paraId="292C3F79" w14:textId="77777777" w:rsidR="00304F26" w:rsidRPr="00087227" w:rsidRDefault="00304F26" w:rsidP="00304F26">
      <w:pPr>
        <w:widowControl w:val="0"/>
        <w:autoSpaceDE w:val="0"/>
        <w:autoSpaceDN w:val="0"/>
        <w:adjustRightInd w:val="0"/>
        <w:spacing w:after="0" w:line="480" w:lineRule="auto"/>
        <w:ind w:firstLine="720"/>
        <w:jc w:val="both"/>
        <w:rPr>
          <w:rFonts w:ascii="Times New Roman" w:hAnsi="Times New Roman"/>
          <w:b/>
          <w:sz w:val="28"/>
          <w:lang w:val="es-ES_tradnl"/>
        </w:rPr>
      </w:pPr>
      <w:r w:rsidRPr="00087227">
        <w:rPr>
          <w:rFonts w:ascii="Times New Roman" w:hAnsi="Times New Roman"/>
          <w:b/>
          <w:sz w:val="28"/>
          <w:lang w:val="es-ES_tradnl"/>
        </w:rPr>
        <w:t xml:space="preserve">Ejecución Presupuestaria del Ministerio por objetos del gasto: </w:t>
      </w:r>
    </w:p>
    <w:p w14:paraId="218BD7AE" w14:textId="77777777" w:rsidR="00304F26" w:rsidRPr="00087227" w:rsidRDefault="00304F26" w:rsidP="00304F26">
      <w:pPr>
        <w:widowControl w:val="0"/>
        <w:autoSpaceDE w:val="0"/>
        <w:autoSpaceDN w:val="0"/>
        <w:adjustRightInd w:val="0"/>
        <w:spacing w:after="0" w:line="480" w:lineRule="auto"/>
        <w:ind w:firstLine="720"/>
        <w:jc w:val="both"/>
        <w:rPr>
          <w:rFonts w:ascii="Times New Roman" w:hAnsi="Times New Roman"/>
          <w:lang w:val="es-ES_tradnl"/>
        </w:rPr>
      </w:pPr>
    </w:p>
    <w:p w14:paraId="0CDDF612" w14:textId="77777777" w:rsidR="00304F26" w:rsidRPr="00087227" w:rsidRDefault="00304F26" w:rsidP="001C6B1A">
      <w:pPr>
        <w:pStyle w:val="Prrafodelista"/>
        <w:widowControl w:val="0"/>
        <w:numPr>
          <w:ilvl w:val="0"/>
          <w:numId w:val="36"/>
        </w:numPr>
        <w:autoSpaceDE w:val="0"/>
        <w:autoSpaceDN w:val="0"/>
        <w:adjustRightInd w:val="0"/>
        <w:spacing w:after="0" w:line="480" w:lineRule="auto"/>
        <w:ind w:left="1080"/>
        <w:jc w:val="both"/>
        <w:rPr>
          <w:rFonts w:ascii="Times New Roman" w:hAnsi="Times New Roman"/>
          <w:sz w:val="24"/>
          <w:lang w:val="es-ES_tradnl"/>
        </w:rPr>
      </w:pPr>
      <w:r w:rsidRPr="00087227">
        <w:rPr>
          <w:rFonts w:ascii="Times New Roman" w:hAnsi="Times New Roman"/>
          <w:b/>
          <w:sz w:val="24"/>
          <w:lang w:val="es-ES_tradnl"/>
        </w:rPr>
        <w:t>Objeto 1 - Servicios Personales:</w:t>
      </w:r>
      <w:r w:rsidRPr="00087227">
        <w:rPr>
          <w:rFonts w:ascii="Times New Roman" w:hAnsi="Times New Roman"/>
          <w:sz w:val="24"/>
          <w:lang w:val="es-ES_tradnl"/>
        </w:rPr>
        <w:t xml:space="preserve"> RD$2,917,028,686.78</w:t>
      </w:r>
    </w:p>
    <w:p w14:paraId="3A35CB6F" w14:textId="77777777" w:rsidR="00304F26" w:rsidRPr="00087227" w:rsidRDefault="00304F26" w:rsidP="001C6B1A">
      <w:pPr>
        <w:pStyle w:val="Prrafodelista"/>
        <w:widowControl w:val="0"/>
        <w:numPr>
          <w:ilvl w:val="0"/>
          <w:numId w:val="36"/>
        </w:numPr>
        <w:autoSpaceDE w:val="0"/>
        <w:autoSpaceDN w:val="0"/>
        <w:adjustRightInd w:val="0"/>
        <w:spacing w:after="0" w:line="480" w:lineRule="auto"/>
        <w:ind w:left="1080"/>
        <w:jc w:val="both"/>
        <w:rPr>
          <w:rFonts w:ascii="Times New Roman" w:hAnsi="Times New Roman"/>
          <w:sz w:val="24"/>
          <w:lang w:val="es-ES_tradnl"/>
        </w:rPr>
      </w:pPr>
      <w:r w:rsidRPr="00087227">
        <w:rPr>
          <w:rFonts w:ascii="Times New Roman" w:hAnsi="Times New Roman"/>
          <w:b/>
          <w:sz w:val="24"/>
          <w:lang w:val="es-ES_tradnl"/>
        </w:rPr>
        <w:t>Objeto 2 - Servicios no Personales:</w:t>
      </w:r>
      <w:r w:rsidRPr="00087227">
        <w:rPr>
          <w:rFonts w:ascii="Times New Roman" w:hAnsi="Times New Roman"/>
          <w:sz w:val="24"/>
          <w:lang w:val="es-ES_tradnl"/>
        </w:rPr>
        <w:t xml:space="preserve"> RD$389,374,272.49</w:t>
      </w:r>
    </w:p>
    <w:p w14:paraId="3CCA3252" w14:textId="77777777" w:rsidR="00304F26" w:rsidRPr="00087227" w:rsidRDefault="00304F26" w:rsidP="001C6B1A">
      <w:pPr>
        <w:pStyle w:val="Prrafodelista"/>
        <w:widowControl w:val="0"/>
        <w:numPr>
          <w:ilvl w:val="0"/>
          <w:numId w:val="36"/>
        </w:numPr>
        <w:autoSpaceDE w:val="0"/>
        <w:autoSpaceDN w:val="0"/>
        <w:adjustRightInd w:val="0"/>
        <w:spacing w:after="0" w:line="480" w:lineRule="auto"/>
        <w:ind w:left="1080"/>
        <w:jc w:val="both"/>
        <w:rPr>
          <w:rFonts w:ascii="Times New Roman" w:hAnsi="Times New Roman"/>
          <w:sz w:val="24"/>
          <w:lang w:val="es-ES_tradnl"/>
        </w:rPr>
      </w:pPr>
      <w:r w:rsidRPr="00087227">
        <w:rPr>
          <w:rFonts w:ascii="Times New Roman" w:hAnsi="Times New Roman"/>
          <w:b/>
          <w:sz w:val="24"/>
          <w:lang w:val="es-ES_tradnl"/>
        </w:rPr>
        <w:t>Objeto 3 -Materiales y Suministros:</w:t>
      </w:r>
      <w:r w:rsidRPr="00087227">
        <w:rPr>
          <w:rFonts w:ascii="Times New Roman" w:hAnsi="Times New Roman"/>
          <w:sz w:val="24"/>
          <w:lang w:val="es-ES_tradnl"/>
        </w:rPr>
        <w:t xml:space="preserve"> RD$197,093,660.40</w:t>
      </w:r>
    </w:p>
    <w:p w14:paraId="33F95B31" w14:textId="77777777" w:rsidR="00304F26" w:rsidRPr="00087227" w:rsidRDefault="00304F26" w:rsidP="001C6B1A">
      <w:pPr>
        <w:pStyle w:val="Prrafodelista"/>
        <w:widowControl w:val="0"/>
        <w:numPr>
          <w:ilvl w:val="0"/>
          <w:numId w:val="36"/>
        </w:numPr>
        <w:autoSpaceDE w:val="0"/>
        <w:autoSpaceDN w:val="0"/>
        <w:adjustRightInd w:val="0"/>
        <w:spacing w:after="0" w:line="480" w:lineRule="auto"/>
        <w:ind w:left="1080"/>
        <w:jc w:val="both"/>
        <w:rPr>
          <w:rFonts w:ascii="Times New Roman" w:hAnsi="Times New Roman"/>
          <w:sz w:val="24"/>
          <w:lang w:val="es-ES_tradnl"/>
        </w:rPr>
      </w:pPr>
      <w:r w:rsidRPr="00087227">
        <w:rPr>
          <w:rFonts w:ascii="Times New Roman" w:hAnsi="Times New Roman"/>
          <w:b/>
          <w:sz w:val="24"/>
          <w:lang w:val="es-ES_tradnl"/>
        </w:rPr>
        <w:t>Objeto 6 y 7 - Activos no Financiero:</w:t>
      </w:r>
      <w:r w:rsidRPr="00087227">
        <w:rPr>
          <w:rFonts w:ascii="Times New Roman" w:hAnsi="Times New Roman"/>
          <w:sz w:val="24"/>
          <w:lang w:val="es-ES_tradnl"/>
        </w:rPr>
        <w:t xml:space="preserve"> RD$742,912,734.17</w:t>
      </w:r>
    </w:p>
    <w:p w14:paraId="002C33C2" w14:textId="77777777" w:rsidR="00304F26" w:rsidRPr="00087227" w:rsidRDefault="00304F26" w:rsidP="00B31EF6">
      <w:pPr>
        <w:widowControl w:val="0"/>
        <w:autoSpaceDE w:val="0"/>
        <w:autoSpaceDN w:val="0"/>
        <w:adjustRightInd w:val="0"/>
        <w:spacing w:after="0" w:line="360" w:lineRule="auto"/>
        <w:ind w:firstLine="720"/>
        <w:jc w:val="both"/>
        <w:rPr>
          <w:rFonts w:ascii="Times New Roman" w:hAnsi="Times New Roman"/>
          <w:lang w:val="es-ES_tradnl"/>
        </w:rPr>
      </w:pPr>
    </w:p>
    <w:p w14:paraId="3ACA3B7F" w14:textId="577B3539" w:rsidR="00304F26" w:rsidRPr="00087227" w:rsidRDefault="00304F26" w:rsidP="00304F26">
      <w:pPr>
        <w:widowControl w:val="0"/>
        <w:autoSpaceDE w:val="0"/>
        <w:autoSpaceDN w:val="0"/>
        <w:adjustRightInd w:val="0"/>
        <w:spacing w:after="0" w:line="480" w:lineRule="auto"/>
        <w:ind w:firstLine="720"/>
        <w:jc w:val="both"/>
        <w:rPr>
          <w:rFonts w:ascii="Times New Roman" w:hAnsi="Times New Roman"/>
          <w:lang w:val="es-ES_tradnl"/>
        </w:rPr>
      </w:pPr>
      <w:r w:rsidRPr="00087227">
        <w:rPr>
          <w:rFonts w:ascii="Times New Roman" w:hAnsi="Times New Roman"/>
          <w:lang w:val="es-ES_tradnl"/>
        </w:rPr>
        <w:t>Del mismo modo el índice de ejecución presupuestaria según la estructura programática del capítulo 0210 permite evidenciar el desempeño financiero.</w:t>
      </w:r>
    </w:p>
    <w:p w14:paraId="0A405B78" w14:textId="4B0B7659" w:rsidR="0004267C" w:rsidRPr="00087227" w:rsidRDefault="0004267C" w:rsidP="0004267C">
      <w:pPr>
        <w:shd w:val="clear" w:color="auto" w:fill="FFFFFF"/>
        <w:spacing w:after="0" w:line="420" w:lineRule="atLeast"/>
        <w:jc w:val="both"/>
        <w:outlineLvl w:val="1"/>
        <w:rPr>
          <w:rFonts w:ascii="Times New Roman" w:hAnsi="Times New Roman"/>
          <w:b/>
          <w:bCs/>
          <w:color w:val="222222"/>
          <w:sz w:val="28"/>
          <w:szCs w:val="28"/>
          <w:lang w:eastAsia="en-US"/>
        </w:rPr>
      </w:pPr>
      <w:bookmarkStart w:id="417" w:name="m_-297205379507168101__Toc251777854"/>
      <w:bookmarkStart w:id="418" w:name="_Toc27146841"/>
      <w:bookmarkStart w:id="419" w:name="_Toc440036715"/>
      <w:bookmarkStart w:id="420" w:name="_Toc470523367"/>
      <w:bookmarkStart w:id="421" w:name="_Toc499898162"/>
      <w:r w:rsidRPr="00087227">
        <w:rPr>
          <w:rFonts w:ascii="Times New Roman" w:hAnsi="Times New Roman"/>
          <w:b/>
          <w:bCs/>
          <w:color w:val="222222"/>
          <w:sz w:val="28"/>
          <w:szCs w:val="28"/>
          <w:lang w:val="es-ES_tradnl" w:eastAsia="en-US"/>
        </w:rPr>
        <w:lastRenderedPageBreak/>
        <w:t>Ingresos</w:t>
      </w:r>
      <w:r w:rsidR="00BD4360">
        <w:rPr>
          <w:rFonts w:ascii="Times New Roman" w:hAnsi="Times New Roman"/>
          <w:b/>
          <w:bCs/>
          <w:color w:val="222222"/>
          <w:sz w:val="28"/>
          <w:szCs w:val="28"/>
          <w:lang w:val="es-ES_tradnl" w:eastAsia="en-US"/>
        </w:rPr>
        <w:t>,</w:t>
      </w:r>
      <w:r w:rsidRPr="00087227">
        <w:rPr>
          <w:rFonts w:ascii="Times New Roman" w:hAnsi="Times New Roman"/>
          <w:b/>
          <w:bCs/>
          <w:color w:val="222222"/>
          <w:sz w:val="28"/>
          <w:szCs w:val="28"/>
          <w:lang w:val="es-ES_tradnl" w:eastAsia="en-US"/>
        </w:rPr>
        <w:t xml:space="preserve"> recaudaciones por otros conceptos</w:t>
      </w:r>
      <w:bookmarkEnd w:id="417"/>
      <w:r w:rsidR="00373B1A">
        <w:rPr>
          <w:rFonts w:ascii="Times New Roman" w:hAnsi="Times New Roman"/>
          <w:b/>
          <w:bCs/>
          <w:color w:val="222222"/>
          <w:sz w:val="28"/>
          <w:szCs w:val="28"/>
          <w:lang w:val="es-ES_tradnl" w:eastAsia="en-US"/>
        </w:rPr>
        <w:t xml:space="preserve"> y pasivos</w:t>
      </w:r>
      <w:bookmarkEnd w:id="418"/>
    </w:p>
    <w:p w14:paraId="6201CAE1" w14:textId="77777777" w:rsidR="0004267C" w:rsidRPr="00B31EF6" w:rsidRDefault="0004267C" w:rsidP="00B31EF6">
      <w:pPr>
        <w:spacing w:after="0" w:line="480" w:lineRule="auto"/>
        <w:rPr>
          <w:rFonts w:ascii="Times New Roman" w:eastAsia="Calibri" w:hAnsi="Times New Roman"/>
          <w:lang w:eastAsia="en-US"/>
        </w:rPr>
      </w:pPr>
    </w:p>
    <w:p w14:paraId="79D11418" w14:textId="1E2A5B7B" w:rsidR="0004267C" w:rsidRDefault="0004267C" w:rsidP="0004267C">
      <w:pPr>
        <w:spacing w:after="160" w:line="259" w:lineRule="auto"/>
        <w:jc w:val="both"/>
        <w:rPr>
          <w:rFonts w:ascii="Times New Roman" w:eastAsia="Calibri" w:hAnsi="Times New Roman"/>
          <w:lang w:eastAsia="en-US"/>
        </w:rPr>
      </w:pPr>
      <w:r w:rsidRPr="00087227">
        <w:rPr>
          <w:rFonts w:ascii="Times New Roman" w:eastAsia="Calibri" w:hAnsi="Times New Roman"/>
          <w:lang w:eastAsia="en-US"/>
        </w:rPr>
        <w:t>Durante el año 2019</w:t>
      </w:r>
      <w:r w:rsidRPr="00087227">
        <w:rPr>
          <w:rFonts w:ascii="Times New Roman" w:hAnsi="Times New Roman"/>
          <w:vertAlign w:val="superscript"/>
          <w:lang w:eastAsia="en-US"/>
        </w:rPr>
        <w:footnoteReference w:id="33"/>
      </w:r>
      <w:r w:rsidRPr="00087227">
        <w:rPr>
          <w:rFonts w:ascii="Times New Roman" w:eastAsia="Calibri" w:hAnsi="Times New Roman"/>
          <w:lang w:eastAsia="en-US"/>
        </w:rPr>
        <w:t>, los ingresos y recaudaciones ascendieron a RD$96,877,464.93</w:t>
      </w:r>
      <w:r w:rsidRPr="00087227">
        <w:rPr>
          <w:rFonts w:ascii="Times New Roman" w:eastAsia="Calibri" w:hAnsi="Times New Roman"/>
          <w:lang w:eastAsia="en-US"/>
        </w:rPr>
        <w:t>‬</w:t>
      </w:r>
    </w:p>
    <w:p w14:paraId="5A0450A1" w14:textId="77777777" w:rsidR="002A68D2" w:rsidRPr="00087227" w:rsidRDefault="002A68D2" w:rsidP="0004267C">
      <w:pPr>
        <w:spacing w:after="160" w:line="259" w:lineRule="auto"/>
        <w:jc w:val="both"/>
        <w:rPr>
          <w:rFonts w:ascii="Times New Roman" w:eastAsia="Calibri" w:hAnsi="Times New Roman"/>
          <w:lang w:eastAsia="en-US"/>
        </w:rPr>
      </w:pPr>
    </w:p>
    <w:p w14:paraId="64FCCE4F" w14:textId="44E7A240" w:rsidR="0004267C" w:rsidRPr="00087227" w:rsidRDefault="002A68D2" w:rsidP="002A68D2">
      <w:pPr>
        <w:pStyle w:val="Ttulo4"/>
        <w:rPr>
          <w:rFonts w:eastAsia="Calibri"/>
        </w:rPr>
      </w:pPr>
      <w:bookmarkStart w:id="422" w:name="_Toc27146842"/>
      <w:r>
        <w:rPr>
          <w:rFonts w:eastAsia="Calibri"/>
        </w:rPr>
        <w:t>Recaudaciones</w:t>
      </w:r>
      <w:bookmarkEnd w:id="422"/>
    </w:p>
    <w:p w14:paraId="518394A0" w14:textId="77777777" w:rsidR="0004267C" w:rsidRPr="00087227" w:rsidRDefault="0004267C" w:rsidP="0004267C">
      <w:pPr>
        <w:spacing w:after="160" w:line="259" w:lineRule="auto"/>
        <w:rPr>
          <w:rFonts w:ascii="Times New Roman" w:eastAsia="Calibri" w:hAnsi="Times New Roman"/>
          <w:lang w:eastAsia="en-US"/>
        </w:rPr>
      </w:pPr>
      <w:r w:rsidRPr="00087227">
        <w:rPr>
          <w:rFonts w:ascii="Times New Roman" w:eastAsia="Calibri" w:hAnsi="Times New Roman"/>
          <w:lang w:eastAsia="en-US"/>
        </w:rPr>
        <w:t>Distribución de los ingresos recibidos mediante las cuentas bancarias:</w:t>
      </w:r>
    </w:p>
    <w:p w14:paraId="3FE9957E" w14:textId="77777777" w:rsidR="0004267C" w:rsidRPr="00087227" w:rsidRDefault="0004267C" w:rsidP="001C6B1A">
      <w:pPr>
        <w:numPr>
          <w:ilvl w:val="0"/>
          <w:numId w:val="48"/>
        </w:numPr>
        <w:spacing w:after="0" w:line="480" w:lineRule="auto"/>
        <w:contextualSpacing/>
        <w:rPr>
          <w:rFonts w:ascii="Times New Roman" w:eastAsia="Calibri" w:hAnsi="Times New Roman"/>
          <w:lang w:eastAsia="en-US"/>
        </w:rPr>
      </w:pPr>
      <w:r w:rsidRPr="00087227">
        <w:rPr>
          <w:rFonts w:ascii="Times New Roman" w:eastAsia="Calibri" w:hAnsi="Times New Roman"/>
          <w:lang w:eastAsia="en-US"/>
        </w:rPr>
        <w:t>Cuenta Colectora No. 010-250047-9: RD$1,670,870.50</w:t>
      </w:r>
    </w:p>
    <w:p w14:paraId="7F18D4AB" w14:textId="77777777" w:rsidR="0004267C" w:rsidRPr="00087227" w:rsidRDefault="0004267C" w:rsidP="001C6B1A">
      <w:pPr>
        <w:numPr>
          <w:ilvl w:val="0"/>
          <w:numId w:val="48"/>
        </w:numPr>
        <w:spacing w:after="0" w:line="480" w:lineRule="auto"/>
        <w:contextualSpacing/>
        <w:rPr>
          <w:rFonts w:ascii="Times New Roman" w:eastAsia="Calibri" w:hAnsi="Times New Roman"/>
          <w:lang w:eastAsia="en-US"/>
        </w:rPr>
      </w:pPr>
      <w:r w:rsidRPr="00087227">
        <w:rPr>
          <w:rFonts w:ascii="Times New Roman" w:eastAsia="Calibri" w:hAnsi="Times New Roman"/>
          <w:lang w:eastAsia="en-US"/>
        </w:rPr>
        <w:t>Cuenta Programa de Apoyo a la Producción No. 010-250160-2: RD$69,710,462.55.</w:t>
      </w:r>
    </w:p>
    <w:p w14:paraId="76A3926A" w14:textId="77777777" w:rsidR="0004267C" w:rsidRPr="00087227" w:rsidRDefault="0004267C" w:rsidP="001C6B1A">
      <w:pPr>
        <w:numPr>
          <w:ilvl w:val="0"/>
          <w:numId w:val="48"/>
        </w:numPr>
        <w:spacing w:after="0" w:line="480" w:lineRule="auto"/>
        <w:contextualSpacing/>
        <w:rPr>
          <w:rFonts w:ascii="Times New Roman" w:eastAsia="Calibri" w:hAnsi="Times New Roman"/>
          <w:lang w:eastAsia="en-US"/>
        </w:rPr>
      </w:pPr>
      <w:r w:rsidRPr="00087227">
        <w:rPr>
          <w:rFonts w:ascii="Times New Roman" w:eastAsia="Calibri" w:hAnsi="Times New Roman"/>
          <w:lang w:eastAsia="en-US"/>
        </w:rPr>
        <w:t>Cuenta Comisión para la Reforma No. 010-249048-1: RD$2,740,764.24</w:t>
      </w:r>
    </w:p>
    <w:p w14:paraId="7C34D4BB" w14:textId="77777777" w:rsidR="0004267C" w:rsidRPr="00087227" w:rsidRDefault="0004267C" w:rsidP="001C6B1A">
      <w:pPr>
        <w:numPr>
          <w:ilvl w:val="0"/>
          <w:numId w:val="48"/>
        </w:numPr>
        <w:spacing w:after="0" w:line="480" w:lineRule="auto"/>
        <w:contextualSpacing/>
        <w:rPr>
          <w:rFonts w:ascii="Times New Roman" w:eastAsia="Calibri" w:hAnsi="Times New Roman"/>
          <w:lang w:eastAsia="en-US"/>
        </w:rPr>
      </w:pPr>
      <w:r w:rsidRPr="00087227">
        <w:rPr>
          <w:rFonts w:ascii="Times New Roman" w:eastAsia="Calibri" w:hAnsi="Times New Roman"/>
          <w:lang w:eastAsia="en-US"/>
        </w:rPr>
        <w:t>Cuenta Fondo Reponible Institucional No. 240-018-334-6: RD$10,571.24</w:t>
      </w:r>
    </w:p>
    <w:p w14:paraId="11D1FD40" w14:textId="77777777" w:rsidR="0004267C" w:rsidRPr="00087227" w:rsidRDefault="0004267C" w:rsidP="001C6B1A">
      <w:pPr>
        <w:numPr>
          <w:ilvl w:val="0"/>
          <w:numId w:val="48"/>
        </w:numPr>
        <w:spacing w:after="0" w:line="480" w:lineRule="auto"/>
        <w:contextualSpacing/>
        <w:rPr>
          <w:rFonts w:ascii="Times New Roman" w:eastAsia="Calibri" w:hAnsi="Times New Roman"/>
          <w:lang w:eastAsia="en-US"/>
        </w:rPr>
      </w:pPr>
      <w:r w:rsidRPr="00087227">
        <w:rPr>
          <w:rFonts w:ascii="Times New Roman" w:eastAsia="Calibri" w:hAnsi="Times New Roman"/>
          <w:lang w:eastAsia="en-US"/>
        </w:rPr>
        <w:t>Cuenta Fondo Fomento Agropecuario No. 010-392073-0: RD$22,742,041.57</w:t>
      </w:r>
    </w:p>
    <w:p w14:paraId="3FED48B5" w14:textId="77777777" w:rsidR="0004267C" w:rsidRPr="00087227" w:rsidRDefault="0004267C" w:rsidP="001C6B1A">
      <w:pPr>
        <w:numPr>
          <w:ilvl w:val="0"/>
          <w:numId w:val="47"/>
        </w:numPr>
        <w:spacing w:after="0" w:line="480" w:lineRule="auto"/>
        <w:contextualSpacing/>
        <w:rPr>
          <w:rFonts w:ascii="Times New Roman" w:eastAsia="Calibri" w:hAnsi="Times New Roman"/>
          <w:lang w:eastAsia="en-US"/>
        </w:rPr>
      </w:pPr>
      <w:r w:rsidRPr="00087227">
        <w:rPr>
          <w:rFonts w:ascii="Times New Roman" w:eastAsia="Calibri" w:hAnsi="Times New Roman"/>
          <w:lang w:eastAsia="en-US"/>
        </w:rPr>
        <w:t>Avance Moscamed, No. 240-018534-9:  RD$2,754.83</w:t>
      </w:r>
    </w:p>
    <w:p w14:paraId="7676E6F9" w14:textId="77777777" w:rsidR="00304F26" w:rsidRPr="009F729F" w:rsidRDefault="00304F26" w:rsidP="00304F26">
      <w:pPr>
        <w:rPr>
          <w:color w:val="FF0000"/>
          <w:lang w:val="es-ES_tradnl"/>
        </w:rPr>
      </w:pPr>
    </w:p>
    <w:p w14:paraId="4A87C4BC" w14:textId="13FD8AE8" w:rsidR="00304F26" w:rsidRPr="009F729F" w:rsidRDefault="00304F26" w:rsidP="00CA5792">
      <w:pPr>
        <w:pStyle w:val="Ttulo4"/>
      </w:pPr>
      <w:bookmarkStart w:id="423" w:name="_Toc251777855"/>
      <w:bookmarkStart w:id="424" w:name="_Toc254413078"/>
      <w:bookmarkStart w:id="425" w:name="_Toc409040076"/>
      <w:bookmarkStart w:id="426" w:name="_Toc440036724"/>
      <w:bookmarkStart w:id="427" w:name="_Toc470523380"/>
      <w:bookmarkStart w:id="428" w:name="_Toc499898175"/>
      <w:bookmarkStart w:id="429" w:name="_Toc26292102"/>
      <w:bookmarkStart w:id="430" w:name="_Toc27146843"/>
      <w:bookmarkEnd w:id="419"/>
      <w:bookmarkEnd w:id="420"/>
      <w:bookmarkEnd w:id="421"/>
      <w:r w:rsidRPr="009F729F">
        <w:t>Pasivos</w:t>
      </w:r>
      <w:bookmarkEnd w:id="423"/>
      <w:bookmarkEnd w:id="424"/>
      <w:bookmarkEnd w:id="425"/>
      <w:bookmarkEnd w:id="426"/>
      <w:bookmarkEnd w:id="427"/>
      <w:bookmarkEnd w:id="428"/>
      <w:bookmarkEnd w:id="429"/>
      <w:bookmarkEnd w:id="430"/>
    </w:p>
    <w:p w14:paraId="0BD3E645" w14:textId="31A7D97B" w:rsidR="00304F26" w:rsidRDefault="00304F26" w:rsidP="002A68D2">
      <w:pPr>
        <w:spacing w:after="0" w:line="480" w:lineRule="auto"/>
        <w:ind w:firstLine="720"/>
        <w:jc w:val="both"/>
        <w:rPr>
          <w:rFonts w:ascii="Times New Roman" w:hAnsi="Times New Roman"/>
          <w:bCs/>
          <w:lang w:val="es-ES_tradnl" w:eastAsia="es-DO"/>
        </w:rPr>
      </w:pPr>
      <w:r w:rsidRPr="009837AE">
        <w:rPr>
          <w:rFonts w:ascii="Times New Roman" w:hAnsi="Times New Roman"/>
          <w:bCs/>
          <w:lang w:val="es-ES_tradnl" w:eastAsia="es-DO"/>
        </w:rPr>
        <w:t>Los pasivos registrados durante el año 201</w:t>
      </w:r>
      <w:r w:rsidR="009837AE">
        <w:rPr>
          <w:rFonts w:ascii="Times New Roman" w:hAnsi="Times New Roman"/>
          <w:bCs/>
          <w:lang w:val="es-ES_tradnl" w:eastAsia="es-DO"/>
        </w:rPr>
        <w:t>9</w:t>
      </w:r>
      <w:r w:rsidRPr="009837AE">
        <w:rPr>
          <w:rFonts w:ascii="Times New Roman" w:hAnsi="Times New Roman"/>
          <w:bCs/>
          <w:lang w:val="es-ES_tradnl" w:eastAsia="es-DO"/>
        </w:rPr>
        <w:t xml:space="preserve"> ascendieron a RD$</w:t>
      </w:r>
      <w:r w:rsidR="009837AE">
        <w:rPr>
          <w:rFonts w:ascii="Times New Roman" w:hAnsi="Times New Roman"/>
          <w:bCs/>
          <w:lang w:val="es-ES_tradnl" w:eastAsia="es-DO"/>
        </w:rPr>
        <w:t>234,031,032.00</w:t>
      </w:r>
      <w:r w:rsidRPr="009837AE">
        <w:rPr>
          <w:rFonts w:ascii="Times New Roman" w:hAnsi="Times New Roman"/>
          <w:bCs/>
          <w:lang w:val="es-ES_tradnl" w:eastAsia="es-DO"/>
        </w:rPr>
        <w:t>, asignado al programa 96 denominado como deuda pública y otras operaciones financieras bajo el objeto de sentencias condenatorias del Ministerio según lo establecido en la Ley No. 86-11, de este monto asignado al pago de pasivos correspondiente a periodos anteriores se pagó un monto ascendente a RD$</w:t>
      </w:r>
      <w:r w:rsidR="009837AE" w:rsidRPr="009837AE">
        <w:rPr>
          <w:rFonts w:ascii="Times New Roman" w:hAnsi="Times New Roman"/>
          <w:bCs/>
          <w:lang w:val="es-ES_tradnl" w:eastAsia="es-DO"/>
        </w:rPr>
        <w:t>210,759,627.85</w:t>
      </w:r>
      <w:r w:rsidRPr="009837AE">
        <w:rPr>
          <w:rFonts w:ascii="Times New Roman" w:hAnsi="Times New Roman"/>
          <w:bCs/>
          <w:lang w:val="es-ES_tradnl" w:eastAsia="es-DO"/>
        </w:rPr>
        <w:t>, distribuidos de la manera siguiente:</w:t>
      </w:r>
      <w:r>
        <w:rPr>
          <w:rFonts w:ascii="Times New Roman" w:hAnsi="Times New Roman"/>
          <w:bCs/>
          <w:lang w:val="es-ES_tradnl" w:eastAsia="es-DO"/>
        </w:rPr>
        <w:br w:type="page"/>
      </w:r>
    </w:p>
    <w:p w14:paraId="33605034" w14:textId="77777777" w:rsidR="00304F26" w:rsidRPr="0098414F" w:rsidRDefault="00304F26" w:rsidP="001C6B1A">
      <w:pPr>
        <w:pStyle w:val="Prrafodelista"/>
        <w:numPr>
          <w:ilvl w:val="0"/>
          <w:numId w:val="9"/>
        </w:numPr>
        <w:spacing w:after="0" w:line="480" w:lineRule="auto"/>
        <w:ind w:left="1260" w:hanging="1260"/>
        <w:jc w:val="both"/>
        <w:rPr>
          <w:rFonts w:ascii="Times New Roman" w:hAnsi="Times New Roman"/>
          <w:b/>
          <w:bCs/>
          <w:sz w:val="24"/>
          <w:szCs w:val="24"/>
          <w:lang w:val="es-ES_tradnl" w:eastAsia="es-DO"/>
        </w:rPr>
      </w:pPr>
      <w:r w:rsidRPr="0098414F">
        <w:rPr>
          <w:rFonts w:ascii="Times New Roman" w:hAnsi="Times New Roman"/>
          <w:b/>
          <w:bCs/>
          <w:sz w:val="24"/>
          <w:szCs w:val="24"/>
          <w:lang w:val="es-ES_tradnl" w:eastAsia="es-DO"/>
        </w:rPr>
        <w:lastRenderedPageBreak/>
        <w:t>Distribución de pasivos ejecutados en la estructura programática según institución originaria de la deuda.</w:t>
      </w:r>
    </w:p>
    <w:p w14:paraId="10F19D35" w14:textId="77777777" w:rsidR="00304F26" w:rsidRPr="0098414F" w:rsidRDefault="00304F26" w:rsidP="00304F26">
      <w:pPr>
        <w:pStyle w:val="Prrafodelista"/>
        <w:spacing w:after="0" w:line="240" w:lineRule="auto"/>
        <w:ind w:left="567"/>
        <w:jc w:val="both"/>
        <w:rPr>
          <w:rFonts w:ascii="Times New Roman" w:hAnsi="Times New Roman"/>
          <w:b/>
          <w:bCs/>
          <w:sz w:val="24"/>
          <w:szCs w:val="24"/>
          <w:lang w:val="es-ES_tradnl" w:eastAsia="es-DO"/>
        </w:rPr>
      </w:pPr>
    </w:p>
    <w:tbl>
      <w:tblPr>
        <w:tblW w:w="5889"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99"/>
        <w:gridCol w:w="1890"/>
      </w:tblGrid>
      <w:tr w:rsidR="00304F26" w:rsidRPr="00087227" w14:paraId="2E9E7B96" w14:textId="77777777" w:rsidTr="00F2330B">
        <w:trPr>
          <w:trHeight w:val="77"/>
        </w:trPr>
        <w:tc>
          <w:tcPr>
            <w:tcW w:w="3999" w:type="dxa"/>
            <w:shd w:val="clear" w:color="auto" w:fill="00B050"/>
            <w:noWrap/>
            <w:vAlign w:val="center"/>
            <w:hideMark/>
          </w:tcPr>
          <w:p w14:paraId="2028A437" w14:textId="77777777" w:rsidR="00304F26" w:rsidRPr="00087227" w:rsidRDefault="00304F26" w:rsidP="00304F26">
            <w:pPr>
              <w:spacing w:after="0"/>
              <w:jc w:val="center"/>
              <w:rPr>
                <w:rFonts w:ascii="Times New Roman" w:hAnsi="Times New Roman"/>
                <w:b/>
                <w:bCs/>
                <w:color w:val="FFFFFF" w:themeColor="background1"/>
                <w:lang w:eastAsia="es-DO"/>
              </w:rPr>
            </w:pPr>
            <w:r w:rsidRPr="00087227">
              <w:rPr>
                <w:rFonts w:ascii="Times New Roman" w:hAnsi="Times New Roman"/>
                <w:b/>
                <w:bCs/>
                <w:color w:val="FFFFFF" w:themeColor="background1"/>
                <w:lang w:eastAsia="es-DO"/>
              </w:rPr>
              <w:t>Consignación</w:t>
            </w:r>
          </w:p>
        </w:tc>
        <w:tc>
          <w:tcPr>
            <w:tcW w:w="1890" w:type="dxa"/>
            <w:shd w:val="clear" w:color="auto" w:fill="00B050"/>
            <w:noWrap/>
            <w:vAlign w:val="center"/>
            <w:hideMark/>
          </w:tcPr>
          <w:p w14:paraId="5230A107" w14:textId="77777777" w:rsidR="00304F26" w:rsidRPr="00087227" w:rsidRDefault="00304F26" w:rsidP="00304F26">
            <w:pPr>
              <w:spacing w:after="0"/>
              <w:jc w:val="center"/>
              <w:rPr>
                <w:rFonts w:ascii="Times New Roman" w:hAnsi="Times New Roman"/>
                <w:b/>
                <w:bCs/>
                <w:color w:val="FFFFFF" w:themeColor="background1"/>
                <w:lang w:eastAsia="es-DO"/>
              </w:rPr>
            </w:pPr>
            <w:r w:rsidRPr="00087227">
              <w:rPr>
                <w:rFonts w:ascii="Times New Roman" w:hAnsi="Times New Roman"/>
                <w:b/>
                <w:bCs/>
                <w:color w:val="FFFFFF" w:themeColor="background1"/>
                <w:lang w:eastAsia="es-DO"/>
              </w:rPr>
              <w:t>Monto (RD$)</w:t>
            </w:r>
            <w:r w:rsidRPr="00087227">
              <w:rPr>
                <w:rStyle w:val="Refdenotaalpie"/>
                <w:rFonts w:ascii="Times New Roman" w:hAnsi="Times New Roman"/>
                <w:b/>
                <w:bCs/>
                <w:color w:val="FFFFFF" w:themeColor="background1"/>
                <w:lang w:eastAsia="es-DO"/>
              </w:rPr>
              <w:footnoteReference w:id="34"/>
            </w:r>
          </w:p>
        </w:tc>
      </w:tr>
      <w:tr w:rsidR="00304F26" w:rsidRPr="00087227" w14:paraId="27F8EE02" w14:textId="77777777" w:rsidTr="00F2330B">
        <w:trPr>
          <w:trHeight w:val="300"/>
        </w:trPr>
        <w:tc>
          <w:tcPr>
            <w:tcW w:w="3999" w:type="dxa"/>
            <w:shd w:val="clear" w:color="auto" w:fill="auto"/>
            <w:noWrap/>
            <w:vAlign w:val="center"/>
            <w:hideMark/>
          </w:tcPr>
          <w:p w14:paraId="10F7EE81" w14:textId="77777777" w:rsidR="00304F26" w:rsidRPr="00087227" w:rsidRDefault="00304F26" w:rsidP="00304F26">
            <w:pPr>
              <w:spacing w:after="0"/>
              <w:rPr>
                <w:rFonts w:ascii="Times New Roman" w:hAnsi="Times New Roman"/>
                <w:lang w:eastAsia="es-DO"/>
              </w:rPr>
            </w:pPr>
            <w:r w:rsidRPr="00087227">
              <w:rPr>
                <w:rFonts w:ascii="Times New Roman" w:hAnsi="Times New Roman"/>
                <w:lang w:eastAsia="es-DO"/>
              </w:rPr>
              <w:t>Deuda administrativa a suplidores</w:t>
            </w:r>
          </w:p>
        </w:tc>
        <w:tc>
          <w:tcPr>
            <w:tcW w:w="1890" w:type="dxa"/>
            <w:shd w:val="clear" w:color="auto" w:fill="auto"/>
            <w:noWrap/>
            <w:vAlign w:val="center"/>
            <w:hideMark/>
          </w:tcPr>
          <w:p w14:paraId="12858982" w14:textId="77777777" w:rsidR="00304F26" w:rsidRPr="00087227" w:rsidRDefault="00304F26" w:rsidP="00304F26">
            <w:pPr>
              <w:spacing w:after="0"/>
              <w:jc w:val="center"/>
              <w:rPr>
                <w:rFonts w:ascii="Times New Roman" w:hAnsi="Times New Roman"/>
                <w:bCs/>
                <w:lang w:val="en-US" w:eastAsia="en-US"/>
              </w:rPr>
            </w:pPr>
            <w:r w:rsidRPr="00087227">
              <w:rPr>
                <w:rFonts w:ascii="Times New Roman" w:hAnsi="Times New Roman"/>
                <w:bCs/>
              </w:rPr>
              <w:t>168,377,390.65</w:t>
            </w:r>
          </w:p>
        </w:tc>
      </w:tr>
      <w:tr w:rsidR="00304F26" w:rsidRPr="00087227" w14:paraId="6F22CEB4" w14:textId="77777777" w:rsidTr="00F2330B">
        <w:trPr>
          <w:trHeight w:val="543"/>
        </w:trPr>
        <w:tc>
          <w:tcPr>
            <w:tcW w:w="3999" w:type="dxa"/>
            <w:shd w:val="clear" w:color="auto" w:fill="auto"/>
            <w:noWrap/>
            <w:vAlign w:val="center"/>
            <w:hideMark/>
          </w:tcPr>
          <w:p w14:paraId="13CF9BE5" w14:textId="77777777" w:rsidR="00304F26" w:rsidRPr="00087227" w:rsidRDefault="00304F26" w:rsidP="00304F26">
            <w:pPr>
              <w:spacing w:after="0"/>
              <w:rPr>
                <w:rFonts w:ascii="Times New Roman" w:hAnsi="Times New Roman"/>
                <w:lang w:eastAsia="es-DO"/>
              </w:rPr>
            </w:pPr>
            <w:r w:rsidRPr="00087227">
              <w:rPr>
                <w:rFonts w:ascii="Times New Roman" w:hAnsi="Times New Roman"/>
                <w:lang w:eastAsia="es-DO"/>
              </w:rPr>
              <w:t>Deuda administrativa por sentencia</w:t>
            </w:r>
          </w:p>
        </w:tc>
        <w:tc>
          <w:tcPr>
            <w:tcW w:w="1890" w:type="dxa"/>
            <w:shd w:val="clear" w:color="auto" w:fill="auto"/>
            <w:noWrap/>
            <w:vAlign w:val="center"/>
            <w:hideMark/>
          </w:tcPr>
          <w:p w14:paraId="1E9C5984" w14:textId="77777777" w:rsidR="00304F26" w:rsidRPr="00087227" w:rsidRDefault="00304F26" w:rsidP="00304F26">
            <w:pPr>
              <w:spacing w:after="0"/>
              <w:jc w:val="center"/>
              <w:rPr>
                <w:rFonts w:ascii="Times New Roman" w:hAnsi="Times New Roman"/>
                <w:bCs/>
                <w:color w:val="000000"/>
                <w:lang w:val="en-US" w:eastAsia="en-US"/>
              </w:rPr>
            </w:pPr>
            <w:r w:rsidRPr="00087227">
              <w:rPr>
                <w:rFonts w:ascii="Times New Roman" w:hAnsi="Times New Roman"/>
                <w:bCs/>
                <w:color w:val="000000"/>
              </w:rPr>
              <w:t>42,382,237.20</w:t>
            </w:r>
          </w:p>
        </w:tc>
      </w:tr>
      <w:tr w:rsidR="00304F26" w:rsidRPr="00C21501" w14:paraId="5B82E8F4" w14:textId="77777777" w:rsidTr="00F2330B">
        <w:trPr>
          <w:trHeight w:val="130"/>
        </w:trPr>
        <w:tc>
          <w:tcPr>
            <w:tcW w:w="3999" w:type="dxa"/>
            <w:shd w:val="clear" w:color="auto" w:fill="808080" w:themeFill="background1" w:themeFillShade="80"/>
            <w:vAlign w:val="center"/>
          </w:tcPr>
          <w:p w14:paraId="2560C09C" w14:textId="77777777" w:rsidR="00304F26" w:rsidRPr="00087227" w:rsidRDefault="00304F26" w:rsidP="00304F26">
            <w:pPr>
              <w:spacing w:after="0"/>
              <w:jc w:val="right"/>
              <w:rPr>
                <w:rFonts w:ascii="Times New Roman" w:hAnsi="Times New Roman"/>
                <w:b/>
                <w:color w:val="FFFFFF" w:themeColor="background1"/>
                <w:lang w:eastAsia="es-DO"/>
              </w:rPr>
            </w:pPr>
            <w:r w:rsidRPr="00087227">
              <w:rPr>
                <w:rFonts w:ascii="Times New Roman" w:hAnsi="Times New Roman"/>
                <w:b/>
                <w:color w:val="FFFFFF" w:themeColor="background1"/>
                <w:lang w:eastAsia="es-DO"/>
              </w:rPr>
              <w:t>Total General</w:t>
            </w:r>
          </w:p>
        </w:tc>
        <w:tc>
          <w:tcPr>
            <w:tcW w:w="1890" w:type="dxa"/>
            <w:shd w:val="clear" w:color="auto" w:fill="808080" w:themeFill="background1" w:themeFillShade="80"/>
            <w:noWrap/>
            <w:vAlign w:val="center"/>
            <w:hideMark/>
          </w:tcPr>
          <w:p w14:paraId="0BC9E5D6" w14:textId="77777777" w:rsidR="00304F26" w:rsidRPr="00C21501" w:rsidRDefault="00304F26" w:rsidP="00304F26">
            <w:pPr>
              <w:spacing w:after="0"/>
              <w:jc w:val="center"/>
              <w:rPr>
                <w:rFonts w:ascii="Times New Roman" w:hAnsi="Times New Roman"/>
                <w:b/>
                <w:color w:val="FFFFFF" w:themeColor="background1"/>
                <w:lang w:val="en-US" w:eastAsia="en-US"/>
              </w:rPr>
            </w:pPr>
            <w:r w:rsidRPr="00087227">
              <w:rPr>
                <w:rFonts w:ascii="Times New Roman" w:hAnsi="Times New Roman"/>
                <w:b/>
                <w:color w:val="FFFFFF" w:themeColor="background1"/>
              </w:rPr>
              <w:t>210,759,627.85</w:t>
            </w:r>
          </w:p>
        </w:tc>
      </w:tr>
    </w:tbl>
    <w:p w14:paraId="482FCAE8" w14:textId="77777777" w:rsidR="00304F26" w:rsidRDefault="00304F26" w:rsidP="00304F26">
      <w:pPr>
        <w:spacing w:after="0" w:line="480" w:lineRule="auto"/>
        <w:rPr>
          <w:rFonts w:ascii="Times New Roman" w:hAnsi="Times New Roman"/>
          <w:lang w:val="es-ES_tradnl"/>
        </w:rPr>
      </w:pPr>
    </w:p>
    <w:p w14:paraId="02CD0C0D" w14:textId="392E2323" w:rsidR="00366DEE" w:rsidRDefault="00366DEE" w:rsidP="00954002">
      <w:pPr>
        <w:pStyle w:val="Ttulo2"/>
      </w:pPr>
      <w:bookmarkStart w:id="431" w:name="_Toc26292103"/>
      <w:bookmarkStart w:id="432" w:name="_Toc27146844"/>
      <w:r>
        <w:t>h</w:t>
      </w:r>
      <w:r w:rsidRPr="0098414F">
        <w:t xml:space="preserve">) </w:t>
      </w:r>
      <w:r w:rsidR="00646828">
        <w:t>Indicador sobre el u</w:t>
      </w:r>
      <w:r>
        <w:t>so del Sistema Nacional de Compras y Contrataciones Públicas.</w:t>
      </w:r>
      <w:bookmarkEnd w:id="431"/>
      <w:bookmarkEnd w:id="432"/>
      <w:r w:rsidRPr="0098414F">
        <w:t xml:space="preserve"> </w:t>
      </w:r>
    </w:p>
    <w:p w14:paraId="58D648E2" w14:textId="77777777" w:rsidR="00F2330B" w:rsidRDefault="00F2330B" w:rsidP="0021506C">
      <w:pPr>
        <w:spacing w:after="0" w:line="480" w:lineRule="auto"/>
        <w:ind w:firstLine="720"/>
        <w:jc w:val="both"/>
        <w:rPr>
          <w:rFonts w:ascii="Times New Roman" w:hAnsi="Times New Roman"/>
          <w:lang w:val="es-ES_tradnl"/>
        </w:rPr>
      </w:pPr>
    </w:p>
    <w:p w14:paraId="0F5402E0" w14:textId="79D1DD51" w:rsidR="00211B2F" w:rsidRPr="00087227" w:rsidRDefault="00366DEE" w:rsidP="0021506C">
      <w:pPr>
        <w:spacing w:after="0" w:line="480" w:lineRule="auto"/>
        <w:ind w:firstLine="720"/>
        <w:jc w:val="both"/>
        <w:rPr>
          <w:rFonts w:ascii="Times New Roman" w:hAnsi="Times New Roman"/>
          <w:lang w:val="es-ES_tradnl"/>
        </w:rPr>
      </w:pPr>
      <w:r w:rsidRPr="00087227">
        <w:rPr>
          <w:rFonts w:ascii="Times New Roman" w:hAnsi="Times New Roman"/>
          <w:lang w:val="es-ES_tradnl"/>
        </w:rPr>
        <w:t xml:space="preserve">Atendiendo a los compromisos presidenciales, el SNCP ha sido desarrollado para monitorear el cumplimiento de la </w:t>
      </w:r>
      <w:r w:rsidR="001165CA" w:rsidRPr="00087227">
        <w:rPr>
          <w:rFonts w:ascii="Times New Roman" w:hAnsi="Times New Roman"/>
          <w:lang w:val="es-ES_tradnl"/>
        </w:rPr>
        <w:t>L</w:t>
      </w:r>
      <w:r w:rsidRPr="00087227">
        <w:rPr>
          <w:rFonts w:ascii="Times New Roman" w:hAnsi="Times New Roman"/>
          <w:lang w:val="es-ES_tradnl"/>
        </w:rPr>
        <w:t xml:space="preserve">ey </w:t>
      </w:r>
      <w:r w:rsidR="001165CA" w:rsidRPr="00087227">
        <w:rPr>
          <w:rFonts w:ascii="Times New Roman" w:hAnsi="Times New Roman"/>
          <w:lang w:val="es-ES_tradnl"/>
        </w:rPr>
        <w:t xml:space="preserve">no. </w:t>
      </w:r>
      <w:r w:rsidRPr="00087227">
        <w:rPr>
          <w:rFonts w:ascii="Times New Roman" w:hAnsi="Times New Roman"/>
          <w:lang w:val="es-ES_tradnl"/>
        </w:rPr>
        <w:t xml:space="preserve">340-06, su modificación y normativas vinculadas. El indicador está compuesto por 5 sub indicadores que son, planificación de Compras, publicaciones de procesos, gestión de procesos, administración de contratos y compras a </w:t>
      </w:r>
      <w:r w:rsidR="001165CA" w:rsidRPr="00087227">
        <w:rPr>
          <w:rFonts w:ascii="Times New Roman" w:hAnsi="Times New Roman"/>
          <w:lang w:val="es-ES_tradnl"/>
        </w:rPr>
        <w:t>MIPYME</w:t>
      </w:r>
      <w:r w:rsidRPr="00087227">
        <w:rPr>
          <w:rFonts w:ascii="Times New Roman" w:hAnsi="Times New Roman"/>
          <w:lang w:val="es-ES_tradnl"/>
        </w:rPr>
        <w:t xml:space="preserve">s y </w:t>
      </w:r>
      <w:r w:rsidR="001165CA" w:rsidRPr="00087227">
        <w:rPr>
          <w:rFonts w:ascii="Times New Roman" w:hAnsi="Times New Roman"/>
          <w:lang w:val="es-ES_tradnl"/>
        </w:rPr>
        <w:t xml:space="preserve">MIPYMEs </w:t>
      </w:r>
      <w:r w:rsidRPr="00087227">
        <w:rPr>
          <w:rFonts w:ascii="Times New Roman" w:hAnsi="Times New Roman"/>
          <w:lang w:val="es-ES_tradnl"/>
        </w:rPr>
        <w:t>Mujeres, que conllevan una mejora de la gest</w:t>
      </w:r>
      <w:r w:rsidR="00211B2F" w:rsidRPr="00087227">
        <w:rPr>
          <w:rFonts w:ascii="Times New Roman" w:hAnsi="Times New Roman"/>
          <w:lang w:val="es-ES_tradnl"/>
        </w:rPr>
        <w:t>ión de la contratación pública.</w:t>
      </w:r>
    </w:p>
    <w:p w14:paraId="24FF0F0A" w14:textId="77777777" w:rsidR="000620FA" w:rsidRPr="00087227" w:rsidRDefault="000620FA" w:rsidP="0021506C">
      <w:pPr>
        <w:spacing w:after="0" w:line="480" w:lineRule="auto"/>
        <w:ind w:firstLine="720"/>
        <w:jc w:val="both"/>
        <w:rPr>
          <w:rFonts w:ascii="Times New Roman" w:hAnsi="Times New Roman"/>
          <w:lang w:val="es-ES_tradnl"/>
        </w:rPr>
      </w:pPr>
    </w:p>
    <w:p w14:paraId="67F0BDEF" w14:textId="39B6D5EB" w:rsidR="00BB7F45" w:rsidRPr="00087227" w:rsidRDefault="00211B2F" w:rsidP="0021506C">
      <w:pPr>
        <w:spacing w:after="0" w:line="480" w:lineRule="auto"/>
        <w:ind w:firstLine="720"/>
        <w:jc w:val="both"/>
        <w:rPr>
          <w:rFonts w:ascii="Times New Roman" w:hAnsi="Times New Roman"/>
          <w:lang w:val="es-ES_tradnl"/>
        </w:rPr>
      </w:pPr>
      <w:r w:rsidRPr="00087227">
        <w:rPr>
          <w:rFonts w:ascii="Times New Roman" w:hAnsi="Times New Roman"/>
          <w:lang w:val="es-ES_tradnl"/>
        </w:rPr>
        <w:t>E</w:t>
      </w:r>
      <w:r w:rsidR="00366DEE" w:rsidRPr="00087227">
        <w:rPr>
          <w:rFonts w:ascii="Times New Roman" w:hAnsi="Times New Roman"/>
          <w:lang w:val="es-ES_tradnl"/>
        </w:rPr>
        <w:t xml:space="preserve">n ese sentido se logró avanzar en un </w:t>
      </w:r>
      <w:r w:rsidR="001165CA" w:rsidRPr="00087227">
        <w:rPr>
          <w:rFonts w:ascii="Times New Roman" w:hAnsi="Times New Roman"/>
          <w:lang w:val="es-ES_tradnl"/>
        </w:rPr>
        <w:t>86.0</w:t>
      </w:r>
      <w:r w:rsidR="00366DEE" w:rsidRPr="00087227">
        <w:rPr>
          <w:rFonts w:ascii="Times New Roman" w:hAnsi="Times New Roman"/>
          <w:lang w:val="es-ES_tradnl"/>
        </w:rPr>
        <w:t>% en este indicador.</w:t>
      </w:r>
    </w:p>
    <w:p w14:paraId="363978BB" w14:textId="77777777" w:rsidR="00BB7F45" w:rsidRPr="00087227" w:rsidRDefault="00BB7F45">
      <w:pPr>
        <w:spacing w:after="0"/>
        <w:rPr>
          <w:rFonts w:ascii="Times New Roman" w:hAnsi="Times New Roman"/>
          <w:lang w:val="es-ES_tradnl"/>
        </w:rPr>
      </w:pPr>
      <w:r w:rsidRPr="00087227">
        <w:rPr>
          <w:rFonts w:ascii="Times New Roman" w:hAnsi="Times New Roman"/>
          <w:lang w:val="es-ES_tradnl"/>
        </w:rPr>
        <w:br w:type="page"/>
      </w:r>
    </w:p>
    <w:p w14:paraId="19B368B9" w14:textId="77777777" w:rsidR="00AA5897" w:rsidRPr="003D1320" w:rsidRDefault="00AA5897" w:rsidP="001C6B1A">
      <w:pPr>
        <w:pStyle w:val="Prrafodelista"/>
        <w:numPr>
          <w:ilvl w:val="0"/>
          <w:numId w:val="9"/>
        </w:numPr>
        <w:spacing w:after="0" w:line="240" w:lineRule="auto"/>
        <w:ind w:left="567" w:hanging="567"/>
        <w:rPr>
          <w:rFonts w:ascii="Times New Roman" w:hAnsi="Times New Roman"/>
          <w:color w:val="4F81BD" w:themeColor="accent1"/>
          <w:lang w:val="es-ES_tradnl"/>
        </w:rPr>
      </w:pPr>
      <w:r w:rsidRPr="002B05F3">
        <w:rPr>
          <w:rFonts w:ascii="Times New Roman" w:hAnsi="Times New Roman"/>
          <w:b/>
          <w:sz w:val="24"/>
          <w:lang w:val="es-ES_tradnl"/>
        </w:rPr>
        <w:lastRenderedPageBreak/>
        <w:t xml:space="preserve">Resultado del Indicador </w:t>
      </w:r>
      <w:r w:rsidR="00987A6E">
        <w:rPr>
          <w:rFonts w:ascii="Times New Roman" w:hAnsi="Times New Roman"/>
          <w:b/>
          <w:sz w:val="24"/>
          <w:lang w:val="es-ES_tradnl"/>
        </w:rPr>
        <w:t>sobre uso portal de compras</w:t>
      </w:r>
    </w:p>
    <w:p w14:paraId="1A3516CD" w14:textId="77777777" w:rsidR="003D1320" w:rsidRPr="002B05F3" w:rsidRDefault="003D1320" w:rsidP="003D1320">
      <w:pPr>
        <w:pStyle w:val="Prrafodelista"/>
        <w:spacing w:after="0" w:line="240" w:lineRule="auto"/>
        <w:ind w:left="567"/>
        <w:rPr>
          <w:rFonts w:ascii="Times New Roman" w:hAnsi="Times New Roman"/>
          <w:color w:val="4F81BD" w:themeColor="accent1"/>
          <w:lang w:val="es-ES_tradnl"/>
        </w:rPr>
      </w:pPr>
    </w:p>
    <w:tbl>
      <w:tblPr>
        <w:tblW w:w="5606" w:type="pct"/>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20" w:firstRow="1" w:lastRow="0" w:firstColumn="0" w:lastColumn="0" w:noHBand="0" w:noVBand="1"/>
      </w:tblPr>
      <w:tblGrid>
        <w:gridCol w:w="1091"/>
        <w:gridCol w:w="1634"/>
        <w:gridCol w:w="3086"/>
        <w:gridCol w:w="1519"/>
        <w:gridCol w:w="1539"/>
      </w:tblGrid>
      <w:tr w:rsidR="00366DEE" w:rsidRPr="009954F7" w14:paraId="6B693F3F" w14:textId="77777777" w:rsidTr="002102B4">
        <w:trPr>
          <w:trHeight w:val="330"/>
        </w:trPr>
        <w:tc>
          <w:tcPr>
            <w:tcW w:w="634" w:type="pct"/>
            <w:shd w:val="clear" w:color="auto" w:fill="00B050"/>
            <w:vAlign w:val="center"/>
            <w:hideMark/>
          </w:tcPr>
          <w:p w14:paraId="12C52E18" w14:textId="77777777" w:rsidR="00366DEE" w:rsidRPr="003D1320" w:rsidRDefault="00366DEE" w:rsidP="00B0170C">
            <w:pPr>
              <w:spacing w:after="0"/>
              <w:jc w:val="center"/>
              <w:rPr>
                <w:rFonts w:ascii="Times New Roman" w:hAnsi="Times New Roman"/>
                <w:b/>
                <w:bCs/>
                <w:color w:val="FFFFFF" w:themeColor="background1"/>
                <w:lang w:eastAsia="es-DO"/>
              </w:rPr>
            </w:pPr>
            <w:r w:rsidRPr="003D1320">
              <w:rPr>
                <w:rFonts w:ascii="Times New Roman" w:hAnsi="Times New Roman"/>
                <w:b/>
                <w:bCs/>
                <w:color w:val="FFFFFF" w:themeColor="background1"/>
                <w:lang w:eastAsia="es-DO"/>
              </w:rPr>
              <w:t xml:space="preserve">No. </w:t>
            </w:r>
          </w:p>
        </w:tc>
        <w:tc>
          <w:tcPr>
            <w:tcW w:w="846" w:type="pct"/>
            <w:shd w:val="clear" w:color="auto" w:fill="00B050"/>
            <w:vAlign w:val="center"/>
            <w:hideMark/>
          </w:tcPr>
          <w:p w14:paraId="3185FAA1" w14:textId="77777777" w:rsidR="00366DEE" w:rsidRPr="003D1320" w:rsidRDefault="00366DEE" w:rsidP="00B0170C">
            <w:pPr>
              <w:spacing w:after="0"/>
              <w:jc w:val="center"/>
              <w:rPr>
                <w:rFonts w:ascii="Times New Roman" w:hAnsi="Times New Roman"/>
                <w:b/>
                <w:bCs/>
                <w:color w:val="FFFFFF" w:themeColor="background1"/>
                <w:lang w:eastAsia="es-DO"/>
              </w:rPr>
            </w:pPr>
            <w:r w:rsidRPr="003D1320">
              <w:rPr>
                <w:rFonts w:ascii="Times New Roman" w:hAnsi="Times New Roman"/>
                <w:b/>
                <w:bCs/>
                <w:color w:val="FFFFFF" w:themeColor="background1"/>
                <w:lang w:eastAsia="es-DO"/>
              </w:rPr>
              <w:t>Sub-Indicador</w:t>
            </w:r>
          </w:p>
        </w:tc>
        <w:tc>
          <w:tcPr>
            <w:tcW w:w="1759" w:type="pct"/>
            <w:shd w:val="clear" w:color="auto" w:fill="00B050"/>
            <w:vAlign w:val="center"/>
            <w:hideMark/>
          </w:tcPr>
          <w:p w14:paraId="7BECB6E5" w14:textId="77777777" w:rsidR="00366DEE" w:rsidRPr="003D1320" w:rsidRDefault="00366DEE" w:rsidP="00B0170C">
            <w:pPr>
              <w:spacing w:after="0"/>
              <w:jc w:val="center"/>
              <w:rPr>
                <w:rFonts w:ascii="Times New Roman" w:hAnsi="Times New Roman"/>
                <w:b/>
                <w:bCs/>
                <w:color w:val="FFFFFF" w:themeColor="background1"/>
                <w:lang w:eastAsia="es-DO"/>
              </w:rPr>
            </w:pPr>
            <w:r w:rsidRPr="003D1320">
              <w:rPr>
                <w:rFonts w:ascii="Times New Roman" w:hAnsi="Times New Roman"/>
                <w:b/>
                <w:bCs/>
                <w:color w:val="FFFFFF" w:themeColor="background1"/>
                <w:lang w:eastAsia="es-DO"/>
              </w:rPr>
              <w:t>Descripción</w:t>
            </w:r>
          </w:p>
        </w:tc>
        <w:tc>
          <w:tcPr>
            <w:tcW w:w="875" w:type="pct"/>
            <w:shd w:val="clear" w:color="auto" w:fill="00B050"/>
            <w:vAlign w:val="center"/>
            <w:hideMark/>
          </w:tcPr>
          <w:p w14:paraId="4331692D" w14:textId="77777777" w:rsidR="00366DEE" w:rsidRPr="003D1320" w:rsidRDefault="00366DEE" w:rsidP="00B0170C">
            <w:pPr>
              <w:spacing w:after="0"/>
              <w:jc w:val="center"/>
              <w:rPr>
                <w:rFonts w:ascii="Times New Roman" w:hAnsi="Times New Roman"/>
                <w:b/>
                <w:bCs/>
                <w:color w:val="FFFFFF" w:themeColor="background1"/>
                <w:lang w:eastAsia="es-DO"/>
              </w:rPr>
            </w:pPr>
            <w:r w:rsidRPr="003D1320">
              <w:rPr>
                <w:rFonts w:ascii="Times New Roman" w:hAnsi="Times New Roman"/>
                <w:b/>
                <w:bCs/>
                <w:color w:val="FFFFFF" w:themeColor="background1"/>
                <w:lang w:eastAsia="es-DO"/>
              </w:rPr>
              <w:t>Ponderación</w:t>
            </w:r>
          </w:p>
        </w:tc>
        <w:tc>
          <w:tcPr>
            <w:tcW w:w="886" w:type="pct"/>
            <w:shd w:val="clear" w:color="auto" w:fill="00B050"/>
            <w:vAlign w:val="center"/>
            <w:hideMark/>
          </w:tcPr>
          <w:p w14:paraId="599CB219" w14:textId="77777777" w:rsidR="00366DEE" w:rsidRPr="003D1320" w:rsidRDefault="00366DEE" w:rsidP="00B0170C">
            <w:pPr>
              <w:spacing w:after="0"/>
              <w:jc w:val="center"/>
              <w:rPr>
                <w:rFonts w:ascii="Times New Roman" w:hAnsi="Times New Roman"/>
                <w:b/>
                <w:bCs/>
                <w:color w:val="FFFFFF" w:themeColor="background1"/>
                <w:lang w:eastAsia="es-DO"/>
              </w:rPr>
            </w:pPr>
            <w:r w:rsidRPr="003D1320">
              <w:rPr>
                <w:rFonts w:ascii="Times New Roman" w:hAnsi="Times New Roman"/>
                <w:b/>
                <w:bCs/>
                <w:color w:val="FFFFFF" w:themeColor="background1"/>
                <w:lang w:eastAsia="es-DO"/>
              </w:rPr>
              <w:t>Resultado</w:t>
            </w:r>
          </w:p>
        </w:tc>
      </w:tr>
      <w:tr w:rsidR="00366DEE" w:rsidRPr="009954F7" w14:paraId="7BBE6117" w14:textId="77777777" w:rsidTr="00B0170C">
        <w:trPr>
          <w:trHeight w:val="1417"/>
        </w:trPr>
        <w:tc>
          <w:tcPr>
            <w:tcW w:w="634" w:type="pct"/>
            <w:shd w:val="clear" w:color="000000" w:fill="FFFFFF"/>
            <w:vAlign w:val="center"/>
            <w:hideMark/>
          </w:tcPr>
          <w:p w14:paraId="3FAC4FBE" w14:textId="77777777"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1</w:t>
            </w:r>
          </w:p>
        </w:tc>
        <w:tc>
          <w:tcPr>
            <w:tcW w:w="846" w:type="pct"/>
            <w:shd w:val="clear" w:color="000000" w:fill="FFFFFF"/>
            <w:vAlign w:val="center"/>
            <w:hideMark/>
          </w:tcPr>
          <w:p w14:paraId="507C0F9A" w14:textId="77777777" w:rsidR="00366DEE" w:rsidRPr="009954F7" w:rsidRDefault="00366DEE" w:rsidP="00B0170C">
            <w:pPr>
              <w:spacing w:after="0"/>
              <w:rPr>
                <w:rFonts w:ascii="Times New Roman" w:hAnsi="Times New Roman"/>
                <w:color w:val="000000"/>
                <w:lang w:eastAsia="es-DO"/>
              </w:rPr>
            </w:pPr>
            <w:r w:rsidRPr="009954F7">
              <w:rPr>
                <w:rFonts w:ascii="Times New Roman" w:hAnsi="Times New Roman"/>
                <w:color w:val="000000"/>
                <w:lang w:eastAsia="es-DO"/>
              </w:rPr>
              <w:t>Planificación de compras</w:t>
            </w:r>
          </w:p>
        </w:tc>
        <w:tc>
          <w:tcPr>
            <w:tcW w:w="1759" w:type="pct"/>
            <w:shd w:val="clear" w:color="000000" w:fill="FFFFFF"/>
            <w:vAlign w:val="center"/>
            <w:hideMark/>
          </w:tcPr>
          <w:p w14:paraId="426F7025" w14:textId="77777777" w:rsidR="00366DEE" w:rsidRPr="009954F7" w:rsidRDefault="00366DEE" w:rsidP="00B0170C">
            <w:pPr>
              <w:spacing w:after="0"/>
              <w:jc w:val="both"/>
              <w:rPr>
                <w:rFonts w:ascii="Times New Roman" w:hAnsi="Times New Roman"/>
                <w:color w:val="000000"/>
                <w:lang w:eastAsia="es-DO"/>
              </w:rPr>
            </w:pPr>
            <w:r w:rsidRPr="009954F7">
              <w:rPr>
                <w:rFonts w:ascii="Times New Roman" w:hAnsi="Times New Roman"/>
                <w:color w:val="000000"/>
                <w:lang w:eastAsia="es-DO"/>
              </w:rPr>
              <w:t>Mide que la institución haya realizado el proceso de planificación establecido en la normativa vigente para el año en curso a más tardar el 31 enero de c/año.</w:t>
            </w:r>
          </w:p>
        </w:tc>
        <w:tc>
          <w:tcPr>
            <w:tcW w:w="875" w:type="pct"/>
            <w:shd w:val="clear" w:color="000000" w:fill="FFFFFF"/>
            <w:vAlign w:val="center"/>
            <w:hideMark/>
          </w:tcPr>
          <w:p w14:paraId="482E162E" w14:textId="77777777"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15%</w:t>
            </w:r>
          </w:p>
        </w:tc>
        <w:tc>
          <w:tcPr>
            <w:tcW w:w="886" w:type="pct"/>
            <w:shd w:val="clear" w:color="000000" w:fill="FFFFFF"/>
            <w:vAlign w:val="center"/>
            <w:hideMark/>
          </w:tcPr>
          <w:p w14:paraId="2B15BB47" w14:textId="2EDC1CA0" w:rsidR="00366DEE" w:rsidRPr="009954F7" w:rsidRDefault="003D1320" w:rsidP="00B0170C">
            <w:pPr>
              <w:spacing w:after="0"/>
              <w:jc w:val="center"/>
              <w:rPr>
                <w:rFonts w:ascii="Times New Roman" w:hAnsi="Times New Roman"/>
                <w:color w:val="000000"/>
                <w:lang w:eastAsia="es-DO"/>
              </w:rPr>
            </w:pPr>
            <w:r>
              <w:rPr>
                <w:rFonts w:ascii="Times New Roman" w:hAnsi="Times New Roman"/>
                <w:color w:val="000000"/>
                <w:lang w:eastAsia="es-DO"/>
              </w:rPr>
              <w:t>15</w:t>
            </w:r>
            <w:r w:rsidR="00366DEE" w:rsidRPr="009954F7">
              <w:rPr>
                <w:rFonts w:ascii="Times New Roman" w:hAnsi="Times New Roman"/>
                <w:color w:val="000000"/>
                <w:lang w:eastAsia="es-DO"/>
              </w:rPr>
              <w:t>%</w:t>
            </w:r>
          </w:p>
        </w:tc>
      </w:tr>
      <w:tr w:rsidR="00366DEE" w:rsidRPr="009954F7" w14:paraId="53EA800F" w14:textId="77777777" w:rsidTr="00B0170C">
        <w:trPr>
          <w:trHeight w:val="841"/>
        </w:trPr>
        <w:tc>
          <w:tcPr>
            <w:tcW w:w="634" w:type="pct"/>
            <w:shd w:val="clear" w:color="000000" w:fill="FFFFFF"/>
            <w:vAlign w:val="center"/>
            <w:hideMark/>
          </w:tcPr>
          <w:p w14:paraId="519FA870" w14:textId="77777777"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2</w:t>
            </w:r>
          </w:p>
        </w:tc>
        <w:tc>
          <w:tcPr>
            <w:tcW w:w="846" w:type="pct"/>
            <w:shd w:val="clear" w:color="000000" w:fill="FFFFFF"/>
            <w:vAlign w:val="center"/>
            <w:hideMark/>
          </w:tcPr>
          <w:p w14:paraId="750DBEE7" w14:textId="77777777" w:rsidR="00366DEE" w:rsidRPr="009954F7" w:rsidRDefault="00366DEE" w:rsidP="00B0170C">
            <w:pPr>
              <w:spacing w:after="0"/>
              <w:rPr>
                <w:rFonts w:ascii="Times New Roman" w:hAnsi="Times New Roman"/>
                <w:color w:val="000000"/>
                <w:lang w:eastAsia="es-DO"/>
              </w:rPr>
            </w:pPr>
            <w:r w:rsidRPr="009954F7">
              <w:rPr>
                <w:rFonts w:ascii="Times New Roman" w:hAnsi="Times New Roman"/>
                <w:color w:val="000000"/>
                <w:lang w:eastAsia="es-DO"/>
              </w:rPr>
              <w:t>Publicación de procesos</w:t>
            </w:r>
          </w:p>
        </w:tc>
        <w:tc>
          <w:tcPr>
            <w:tcW w:w="1759" w:type="pct"/>
            <w:shd w:val="clear" w:color="000000" w:fill="FFFFFF"/>
            <w:vAlign w:val="center"/>
            <w:hideMark/>
          </w:tcPr>
          <w:p w14:paraId="2B61AB8A" w14:textId="77777777" w:rsidR="00366DEE" w:rsidRPr="009954F7" w:rsidRDefault="00366DEE" w:rsidP="00B0170C">
            <w:pPr>
              <w:spacing w:after="0"/>
              <w:jc w:val="both"/>
              <w:rPr>
                <w:rFonts w:ascii="Times New Roman" w:hAnsi="Times New Roman"/>
                <w:color w:val="000000"/>
                <w:lang w:eastAsia="es-DO"/>
              </w:rPr>
            </w:pPr>
            <w:r w:rsidRPr="009954F7">
              <w:rPr>
                <w:rFonts w:ascii="Times New Roman" w:hAnsi="Times New Roman"/>
                <w:color w:val="000000"/>
                <w:lang w:eastAsia="es-DO"/>
              </w:rPr>
              <w:t>Mide que los procesos de compras y contrataciones sean publicados en el portal transaccional.</w:t>
            </w:r>
          </w:p>
        </w:tc>
        <w:tc>
          <w:tcPr>
            <w:tcW w:w="875" w:type="pct"/>
            <w:shd w:val="clear" w:color="000000" w:fill="FFFFFF"/>
            <w:vAlign w:val="center"/>
            <w:hideMark/>
          </w:tcPr>
          <w:p w14:paraId="5CFE9E47" w14:textId="77777777"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15%</w:t>
            </w:r>
          </w:p>
        </w:tc>
        <w:tc>
          <w:tcPr>
            <w:tcW w:w="886" w:type="pct"/>
            <w:shd w:val="clear" w:color="000000" w:fill="FFFFFF"/>
            <w:vAlign w:val="center"/>
            <w:hideMark/>
          </w:tcPr>
          <w:p w14:paraId="2F0AFF22" w14:textId="77777777"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15%</w:t>
            </w:r>
          </w:p>
        </w:tc>
      </w:tr>
      <w:tr w:rsidR="00366DEE" w:rsidRPr="009954F7" w14:paraId="708CBE79" w14:textId="77777777" w:rsidTr="00B0170C">
        <w:trPr>
          <w:trHeight w:val="1406"/>
        </w:trPr>
        <w:tc>
          <w:tcPr>
            <w:tcW w:w="634" w:type="pct"/>
            <w:shd w:val="clear" w:color="000000" w:fill="FFFFFF"/>
            <w:vAlign w:val="center"/>
            <w:hideMark/>
          </w:tcPr>
          <w:p w14:paraId="663FAEF1" w14:textId="77777777"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3</w:t>
            </w:r>
          </w:p>
        </w:tc>
        <w:tc>
          <w:tcPr>
            <w:tcW w:w="846" w:type="pct"/>
            <w:shd w:val="clear" w:color="000000" w:fill="FFFFFF"/>
            <w:vAlign w:val="center"/>
            <w:hideMark/>
          </w:tcPr>
          <w:p w14:paraId="3427382E" w14:textId="77777777" w:rsidR="00366DEE" w:rsidRPr="009954F7" w:rsidRDefault="00366DEE" w:rsidP="00B0170C">
            <w:pPr>
              <w:spacing w:after="0"/>
              <w:rPr>
                <w:rFonts w:ascii="Times New Roman" w:hAnsi="Times New Roman"/>
                <w:color w:val="000000"/>
                <w:lang w:eastAsia="es-DO"/>
              </w:rPr>
            </w:pPr>
            <w:r w:rsidRPr="009954F7">
              <w:rPr>
                <w:rFonts w:ascii="Times New Roman" w:hAnsi="Times New Roman"/>
                <w:color w:val="000000"/>
                <w:lang w:eastAsia="es-DO"/>
              </w:rPr>
              <w:t xml:space="preserve">Gestión de procesos </w:t>
            </w:r>
          </w:p>
        </w:tc>
        <w:tc>
          <w:tcPr>
            <w:tcW w:w="1759" w:type="pct"/>
            <w:shd w:val="clear" w:color="000000" w:fill="FFFFFF"/>
            <w:vAlign w:val="center"/>
            <w:hideMark/>
          </w:tcPr>
          <w:p w14:paraId="5FA31460" w14:textId="77777777" w:rsidR="00366DEE" w:rsidRPr="009954F7" w:rsidRDefault="00366DEE" w:rsidP="00B0170C">
            <w:pPr>
              <w:spacing w:after="0"/>
              <w:jc w:val="both"/>
              <w:rPr>
                <w:rFonts w:ascii="Times New Roman" w:hAnsi="Times New Roman"/>
                <w:color w:val="000000"/>
                <w:lang w:eastAsia="es-DO"/>
              </w:rPr>
            </w:pPr>
            <w:r w:rsidRPr="009954F7">
              <w:rPr>
                <w:rFonts w:ascii="Times New Roman" w:hAnsi="Times New Roman"/>
                <w:color w:val="000000"/>
                <w:lang w:eastAsia="es-DO"/>
              </w:rPr>
              <w:t>Mide que las contrataciones sean gestionadas completamente en el Portal, agotando cada fase en las fechas establecidas en los cronogramas de los procesos.</w:t>
            </w:r>
          </w:p>
        </w:tc>
        <w:tc>
          <w:tcPr>
            <w:tcW w:w="875" w:type="pct"/>
            <w:shd w:val="clear" w:color="000000" w:fill="FFFFFF"/>
            <w:vAlign w:val="center"/>
            <w:hideMark/>
          </w:tcPr>
          <w:p w14:paraId="0E5194A6" w14:textId="77777777"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20%</w:t>
            </w:r>
          </w:p>
        </w:tc>
        <w:tc>
          <w:tcPr>
            <w:tcW w:w="886" w:type="pct"/>
            <w:shd w:val="clear" w:color="000000" w:fill="FFFFFF"/>
            <w:vAlign w:val="center"/>
            <w:hideMark/>
          </w:tcPr>
          <w:p w14:paraId="6AC05BC0" w14:textId="2BE9F35D" w:rsidR="00366DEE" w:rsidRPr="009954F7" w:rsidRDefault="003D1320" w:rsidP="001165CA">
            <w:pPr>
              <w:spacing w:after="0"/>
              <w:jc w:val="center"/>
              <w:rPr>
                <w:rFonts w:ascii="Times New Roman" w:hAnsi="Times New Roman"/>
                <w:color w:val="000000"/>
                <w:lang w:eastAsia="es-DO"/>
              </w:rPr>
            </w:pPr>
            <w:r>
              <w:rPr>
                <w:rFonts w:ascii="Times New Roman" w:hAnsi="Times New Roman"/>
                <w:color w:val="000000"/>
                <w:lang w:eastAsia="es-DO"/>
              </w:rPr>
              <w:t>1</w:t>
            </w:r>
            <w:r w:rsidR="001165CA">
              <w:rPr>
                <w:rFonts w:ascii="Times New Roman" w:hAnsi="Times New Roman"/>
                <w:color w:val="000000"/>
                <w:lang w:eastAsia="es-DO"/>
              </w:rPr>
              <w:t>5</w:t>
            </w:r>
            <w:r w:rsidR="00366DEE" w:rsidRPr="009954F7">
              <w:rPr>
                <w:rFonts w:ascii="Times New Roman" w:hAnsi="Times New Roman"/>
                <w:color w:val="000000"/>
                <w:lang w:eastAsia="es-DO"/>
              </w:rPr>
              <w:t>%</w:t>
            </w:r>
          </w:p>
        </w:tc>
      </w:tr>
      <w:tr w:rsidR="00366DEE" w:rsidRPr="009954F7" w14:paraId="7A4E9479" w14:textId="77777777" w:rsidTr="00B0170C">
        <w:trPr>
          <w:trHeight w:val="1837"/>
        </w:trPr>
        <w:tc>
          <w:tcPr>
            <w:tcW w:w="634" w:type="pct"/>
            <w:shd w:val="clear" w:color="000000" w:fill="FFFFFF"/>
            <w:vAlign w:val="center"/>
            <w:hideMark/>
          </w:tcPr>
          <w:p w14:paraId="62740D1C" w14:textId="77777777"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4</w:t>
            </w:r>
          </w:p>
        </w:tc>
        <w:tc>
          <w:tcPr>
            <w:tcW w:w="846" w:type="pct"/>
            <w:shd w:val="clear" w:color="000000" w:fill="FFFFFF"/>
            <w:vAlign w:val="center"/>
            <w:hideMark/>
          </w:tcPr>
          <w:p w14:paraId="1927CD68" w14:textId="77777777" w:rsidR="00366DEE" w:rsidRPr="009954F7" w:rsidRDefault="00366DEE" w:rsidP="00B0170C">
            <w:pPr>
              <w:spacing w:after="0"/>
              <w:rPr>
                <w:rFonts w:ascii="Times New Roman" w:hAnsi="Times New Roman"/>
                <w:color w:val="000000"/>
                <w:lang w:eastAsia="es-DO"/>
              </w:rPr>
            </w:pPr>
            <w:r w:rsidRPr="009954F7">
              <w:rPr>
                <w:rFonts w:ascii="Times New Roman" w:hAnsi="Times New Roman"/>
                <w:color w:val="000000"/>
                <w:lang w:eastAsia="es-DO"/>
              </w:rPr>
              <w:t>Administración de contratos</w:t>
            </w:r>
          </w:p>
        </w:tc>
        <w:tc>
          <w:tcPr>
            <w:tcW w:w="1759" w:type="pct"/>
            <w:shd w:val="clear" w:color="000000" w:fill="FFFFFF"/>
            <w:vAlign w:val="center"/>
            <w:hideMark/>
          </w:tcPr>
          <w:p w14:paraId="26FFC747" w14:textId="77777777" w:rsidR="00366DEE" w:rsidRPr="009954F7" w:rsidRDefault="00366DEE" w:rsidP="00B0170C">
            <w:pPr>
              <w:spacing w:after="0"/>
              <w:jc w:val="both"/>
              <w:rPr>
                <w:rFonts w:ascii="Times New Roman" w:hAnsi="Times New Roman"/>
                <w:color w:val="000000"/>
                <w:lang w:eastAsia="es-DO"/>
              </w:rPr>
            </w:pPr>
            <w:r w:rsidRPr="009954F7">
              <w:rPr>
                <w:rFonts w:ascii="Times New Roman" w:hAnsi="Times New Roman"/>
                <w:color w:val="000000"/>
                <w:lang w:eastAsia="es-DO"/>
              </w:rPr>
              <w:t>Mide que los contratos se encuentren con el estado actualizado, con sus planes de entrega registrados y que son concluidos y/o cerrados, en las fechas establecidas en el contrato, orden de compra y orden de servicio.</w:t>
            </w:r>
          </w:p>
        </w:tc>
        <w:tc>
          <w:tcPr>
            <w:tcW w:w="875" w:type="pct"/>
            <w:shd w:val="clear" w:color="000000" w:fill="FFFFFF"/>
            <w:vAlign w:val="center"/>
            <w:hideMark/>
          </w:tcPr>
          <w:p w14:paraId="3D8CC6FC" w14:textId="77777777" w:rsidR="00366DEE" w:rsidRPr="009954F7" w:rsidRDefault="00366DEE" w:rsidP="00B0170C">
            <w:pPr>
              <w:spacing w:after="0"/>
              <w:jc w:val="center"/>
              <w:rPr>
                <w:rFonts w:ascii="Times New Roman" w:hAnsi="Times New Roman"/>
                <w:color w:val="000000"/>
                <w:lang w:eastAsia="es-DO"/>
              </w:rPr>
            </w:pPr>
            <w:r w:rsidRPr="009954F7">
              <w:rPr>
                <w:rFonts w:ascii="Times New Roman" w:hAnsi="Times New Roman"/>
                <w:color w:val="000000"/>
                <w:lang w:eastAsia="es-DO"/>
              </w:rPr>
              <w:t>30%</w:t>
            </w:r>
          </w:p>
        </w:tc>
        <w:tc>
          <w:tcPr>
            <w:tcW w:w="886" w:type="pct"/>
            <w:shd w:val="clear" w:color="000000" w:fill="FFFFFF"/>
            <w:vAlign w:val="center"/>
            <w:hideMark/>
          </w:tcPr>
          <w:p w14:paraId="5CBA835E" w14:textId="6DF4D9FC" w:rsidR="00366DEE" w:rsidRPr="009954F7" w:rsidRDefault="001165CA" w:rsidP="00B0170C">
            <w:pPr>
              <w:spacing w:after="0"/>
              <w:jc w:val="center"/>
              <w:rPr>
                <w:rFonts w:ascii="Times New Roman" w:hAnsi="Times New Roman"/>
                <w:color w:val="000000"/>
                <w:lang w:eastAsia="es-DO"/>
              </w:rPr>
            </w:pPr>
            <w:r>
              <w:rPr>
                <w:rFonts w:ascii="Times New Roman" w:hAnsi="Times New Roman"/>
                <w:color w:val="000000"/>
                <w:lang w:eastAsia="es-DO"/>
              </w:rPr>
              <w:t>21</w:t>
            </w:r>
            <w:r w:rsidR="00366DEE" w:rsidRPr="009954F7">
              <w:rPr>
                <w:rFonts w:ascii="Times New Roman" w:hAnsi="Times New Roman"/>
                <w:color w:val="000000"/>
                <w:lang w:eastAsia="es-DO"/>
              </w:rPr>
              <w:t>%</w:t>
            </w:r>
          </w:p>
        </w:tc>
      </w:tr>
      <w:tr w:rsidR="00366DEE" w:rsidRPr="00087227" w14:paraId="4075917E" w14:textId="77777777" w:rsidTr="00B0170C">
        <w:trPr>
          <w:trHeight w:val="1268"/>
        </w:trPr>
        <w:tc>
          <w:tcPr>
            <w:tcW w:w="634" w:type="pct"/>
            <w:shd w:val="clear" w:color="000000" w:fill="FFFFFF"/>
            <w:vAlign w:val="center"/>
            <w:hideMark/>
          </w:tcPr>
          <w:p w14:paraId="33A2D24E" w14:textId="77777777" w:rsidR="00366DEE" w:rsidRPr="00087227" w:rsidRDefault="00366DEE" w:rsidP="00B0170C">
            <w:pPr>
              <w:spacing w:after="0"/>
              <w:jc w:val="center"/>
              <w:rPr>
                <w:rFonts w:ascii="Times New Roman" w:hAnsi="Times New Roman"/>
                <w:color w:val="000000"/>
                <w:lang w:eastAsia="es-DO"/>
              </w:rPr>
            </w:pPr>
            <w:r w:rsidRPr="00087227">
              <w:rPr>
                <w:rFonts w:ascii="Times New Roman" w:hAnsi="Times New Roman"/>
                <w:color w:val="000000"/>
                <w:lang w:eastAsia="es-DO"/>
              </w:rPr>
              <w:t>5</w:t>
            </w:r>
          </w:p>
        </w:tc>
        <w:tc>
          <w:tcPr>
            <w:tcW w:w="846" w:type="pct"/>
            <w:shd w:val="clear" w:color="000000" w:fill="FFFFFF"/>
            <w:vAlign w:val="center"/>
            <w:hideMark/>
          </w:tcPr>
          <w:p w14:paraId="086AC6FE" w14:textId="77777777" w:rsidR="00366DEE" w:rsidRPr="00087227" w:rsidRDefault="00366DEE" w:rsidP="00B0170C">
            <w:pPr>
              <w:spacing w:after="0"/>
              <w:rPr>
                <w:rFonts w:ascii="Times New Roman" w:hAnsi="Times New Roman"/>
                <w:color w:val="000000"/>
                <w:lang w:eastAsia="es-DO"/>
              </w:rPr>
            </w:pPr>
            <w:r w:rsidRPr="00087227">
              <w:rPr>
                <w:rFonts w:ascii="Times New Roman" w:hAnsi="Times New Roman"/>
                <w:color w:val="000000"/>
                <w:lang w:eastAsia="es-DO"/>
              </w:rPr>
              <w:t>Compras a MiPyme’s y Mujeres</w:t>
            </w:r>
          </w:p>
        </w:tc>
        <w:tc>
          <w:tcPr>
            <w:tcW w:w="1759" w:type="pct"/>
            <w:shd w:val="clear" w:color="000000" w:fill="FFFFFF"/>
            <w:vAlign w:val="center"/>
            <w:hideMark/>
          </w:tcPr>
          <w:p w14:paraId="0360AAC9" w14:textId="77777777" w:rsidR="00366DEE" w:rsidRPr="00087227" w:rsidRDefault="00366DEE" w:rsidP="00B0170C">
            <w:pPr>
              <w:spacing w:after="0"/>
              <w:jc w:val="both"/>
              <w:rPr>
                <w:rFonts w:ascii="Times New Roman" w:hAnsi="Times New Roman"/>
                <w:color w:val="000000"/>
                <w:lang w:eastAsia="es-DO"/>
              </w:rPr>
            </w:pPr>
            <w:r w:rsidRPr="00087227">
              <w:rPr>
                <w:rFonts w:ascii="Times New Roman" w:hAnsi="Times New Roman"/>
                <w:color w:val="000000"/>
                <w:lang w:eastAsia="es-DO"/>
              </w:rPr>
              <w:t>Mide que se cumpla con las cuotas de compras a MiPyme’s y MiPyme</w:t>
            </w:r>
            <w:r w:rsidR="00004AE2" w:rsidRPr="00087227">
              <w:rPr>
                <w:rFonts w:ascii="Times New Roman" w:hAnsi="Times New Roman"/>
                <w:color w:val="000000"/>
                <w:lang w:eastAsia="es-DO"/>
              </w:rPr>
              <w:t>’</w:t>
            </w:r>
            <w:r w:rsidRPr="00087227">
              <w:rPr>
                <w:rFonts w:ascii="Times New Roman" w:hAnsi="Times New Roman"/>
                <w:color w:val="000000"/>
                <w:lang w:eastAsia="es-DO"/>
              </w:rPr>
              <w:t xml:space="preserve">s lideradas por mujeres establecidas en la normativa de compras y del sector. </w:t>
            </w:r>
          </w:p>
        </w:tc>
        <w:tc>
          <w:tcPr>
            <w:tcW w:w="875" w:type="pct"/>
            <w:shd w:val="clear" w:color="000000" w:fill="FFFFFF"/>
            <w:vAlign w:val="center"/>
            <w:hideMark/>
          </w:tcPr>
          <w:p w14:paraId="2E849073" w14:textId="77777777" w:rsidR="00366DEE" w:rsidRPr="00087227" w:rsidRDefault="00366DEE" w:rsidP="00B0170C">
            <w:pPr>
              <w:spacing w:after="0"/>
              <w:jc w:val="center"/>
              <w:rPr>
                <w:rFonts w:ascii="Times New Roman" w:hAnsi="Times New Roman"/>
                <w:color w:val="000000"/>
                <w:lang w:eastAsia="es-DO"/>
              </w:rPr>
            </w:pPr>
            <w:r w:rsidRPr="00087227">
              <w:rPr>
                <w:rFonts w:ascii="Times New Roman" w:hAnsi="Times New Roman"/>
                <w:color w:val="000000"/>
                <w:lang w:eastAsia="es-DO"/>
              </w:rPr>
              <w:t>20%</w:t>
            </w:r>
          </w:p>
        </w:tc>
        <w:tc>
          <w:tcPr>
            <w:tcW w:w="886" w:type="pct"/>
            <w:shd w:val="clear" w:color="000000" w:fill="FFFFFF"/>
            <w:vAlign w:val="center"/>
            <w:hideMark/>
          </w:tcPr>
          <w:p w14:paraId="2EA664CB" w14:textId="77777777" w:rsidR="00366DEE" w:rsidRPr="00087227" w:rsidRDefault="00366DEE" w:rsidP="00B0170C">
            <w:pPr>
              <w:spacing w:after="0"/>
              <w:jc w:val="center"/>
              <w:rPr>
                <w:rFonts w:ascii="Times New Roman" w:hAnsi="Times New Roman"/>
                <w:color w:val="000000"/>
                <w:lang w:eastAsia="es-DO"/>
              </w:rPr>
            </w:pPr>
            <w:r w:rsidRPr="00087227">
              <w:rPr>
                <w:rFonts w:ascii="Times New Roman" w:hAnsi="Times New Roman"/>
                <w:color w:val="000000"/>
                <w:lang w:eastAsia="es-DO"/>
              </w:rPr>
              <w:t>20%</w:t>
            </w:r>
          </w:p>
        </w:tc>
      </w:tr>
      <w:tr w:rsidR="00366DEE" w:rsidRPr="00087227" w14:paraId="530A102D" w14:textId="77777777" w:rsidTr="003D1320">
        <w:trPr>
          <w:trHeight w:val="330"/>
        </w:trPr>
        <w:tc>
          <w:tcPr>
            <w:tcW w:w="3239" w:type="pct"/>
            <w:gridSpan w:val="3"/>
            <w:shd w:val="clear" w:color="auto" w:fill="808080" w:themeFill="background1" w:themeFillShade="80"/>
            <w:vAlign w:val="center"/>
            <w:hideMark/>
          </w:tcPr>
          <w:p w14:paraId="795B6F21" w14:textId="77777777" w:rsidR="00366DEE" w:rsidRPr="00087227" w:rsidRDefault="007D28EB" w:rsidP="00B10A65">
            <w:pPr>
              <w:spacing w:after="0"/>
              <w:ind w:firstLineChars="100" w:firstLine="241"/>
              <w:jc w:val="right"/>
              <w:rPr>
                <w:rFonts w:ascii="Times New Roman" w:hAnsi="Times New Roman"/>
                <w:b/>
                <w:color w:val="FFFFFF" w:themeColor="background1"/>
                <w:lang w:eastAsia="es-DO"/>
              </w:rPr>
            </w:pPr>
            <w:r w:rsidRPr="00087227">
              <w:rPr>
                <w:rFonts w:ascii="Times New Roman" w:hAnsi="Times New Roman"/>
                <w:b/>
                <w:color w:val="FFFFFF" w:themeColor="background1"/>
                <w:lang w:eastAsia="es-DO"/>
              </w:rPr>
              <w:t>Total</w:t>
            </w:r>
          </w:p>
        </w:tc>
        <w:tc>
          <w:tcPr>
            <w:tcW w:w="875" w:type="pct"/>
            <w:shd w:val="clear" w:color="auto" w:fill="808080" w:themeFill="background1" w:themeFillShade="80"/>
            <w:vAlign w:val="center"/>
            <w:hideMark/>
          </w:tcPr>
          <w:p w14:paraId="43C33575" w14:textId="77777777" w:rsidR="00366DEE" w:rsidRPr="00087227" w:rsidRDefault="00366DEE" w:rsidP="00B0170C">
            <w:pPr>
              <w:spacing w:after="0"/>
              <w:jc w:val="center"/>
              <w:rPr>
                <w:rFonts w:ascii="Times New Roman" w:hAnsi="Times New Roman"/>
                <w:b/>
                <w:color w:val="FFFFFF" w:themeColor="background1"/>
                <w:lang w:eastAsia="es-DO"/>
              </w:rPr>
            </w:pPr>
            <w:r w:rsidRPr="00087227">
              <w:rPr>
                <w:rFonts w:ascii="Times New Roman" w:hAnsi="Times New Roman"/>
                <w:b/>
                <w:color w:val="FFFFFF" w:themeColor="background1"/>
                <w:lang w:eastAsia="es-DO"/>
              </w:rPr>
              <w:t>100%</w:t>
            </w:r>
          </w:p>
        </w:tc>
        <w:tc>
          <w:tcPr>
            <w:tcW w:w="886" w:type="pct"/>
            <w:shd w:val="clear" w:color="auto" w:fill="808080" w:themeFill="background1" w:themeFillShade="80"/>
            <w:vAlign w:val="center"/>
            <w:hideMark/>
          </w:tcPr>
          <w:p w14:paraId="32E695B5" w14:textId="1300F472" w:rsidR="00366DEE" w:rsidRPr="00087227" w:rsidRDefault="003D1320" w:rsidP="00B0170C">
            <w:pPr>
              <w:spacing w:after="0"/>
              <w:jc w:val="center"/>
              <w:rPr>
                <w:rFonts w:ascii="Times New Roman" w:hAnsi="Times New Roman"/>
                <w:b/>
                <w:bCs/>
                <w:color w:val="FFFFFF" w:themeColor="background1"/>
                <w:lang w:eastAsia="es-DO"/>
              </w:rPr>
            </w:pPr>
            <w:r w:rsidRPr="00087227">
              <w:rPr>
                <w:rFonts w:ascii="Times New Roman" w:hAnsi="Times New Roman"/>
                <w:b/>
                <w:bCs/>
                <w:color w:val="FFFFFF" w:themeColor="background1"/>
                <w:lang w:eastAsia="es-DO"/>
              </w:rPr>
              <w:t>86.0</w:t>
            </w:r>
            <w:r w:rsidR="00366DEE" w:rsidRPr="00087227">
              <w:rPr>
                <w:rFonts w:ascii="Times New Roman" w:hAnsi="Times New Roman"/>
                <w:b/>
                <w:bCs/>
                <w:color w:val="FFFFFF" w:themeColor="background1"/>
                <w:lang w:eastAsia="es-DO"/>
              </w:rPr>
              <w:t>%</w:t>
            </w:r>
          </w:p>
        </w:tc>
      </w:tr>
    </w:tbl>
    <w:p w14:paraId="474F32AF" w14:textId="0FF7E84C" w:rsidR="00BB7F45" w:rsidRPr="00087227" w:rsidRDefault="00BB7F45" w:rsidP="00304F26">
      <w:pPr>
        <w:spacing w:after="0" w:line="480" w:lineRule="auto"/>
        <w:rPr>
          <w:rFonts w:ascii="Times New Roman" w:hAnsi="Times New Roman"/>
          <w:lang w:val="es-ES_tradnl"/>
        </w:rPr>
      </w:pPr>
    </w:p>
    <w:p w14:paraId="349777E3" w14:textId="77777777" w:rsidR="00BB7F45" w:rsidRPr="00087227" w:rsidRDefault="00BB7F45">
      <w:pPr>
        <w:spacing w:after="0"/>
        <w:rPr>
          <w:rFonts w:ascii="Times New Roman" w:hAnsi="Times New Roman"/>
          <w:lang w:val="es-ES_tradnl"/>
        </w:rPr>
      </w:pPr>
      <w:r w:rsidRPr="00087227">
        <w:rPr>
          <w:rFonts w:ascii="Times New Roman" w:hAnsi="Times New Roman"/>
          <w:lang w:val="es-ES_tradnl"/>
        </w:rPr>
        <w:br w:type="page"/>
      </w:r>
    </w:p>
    <w:p w14:paraId="382962EE" w14:textId="1BA395F2" w:rsidR="003D1320" w:rsidRPr="00F2330B" w:rsidRDefault="003D1320" w:rsidP="001C6B1A">
      <w:pPr>
        <w:pStyle w:val="Prrafodelista"/>
        <w:numPr>
          <w:ilvl w:val="0"/>
          <w:numId w:val="8"/>
        </w:numPr>
        <w:spacing w:after="0" w:line="360" w:lineRule="auto"/>
        <w:ind w:left="1783" w:hanging="1499"/>
        <w:jc w:val="both"/>
        <w:rPr>
          <w:rFonts w:ascii="Times New Roman" w:hAnsi="Times New Roman"/>
          <w:sz w:val="24"/>
          <w:szCs w:val="24"/>
        </w:rPr>
      </w:pPr>
      <w:r w:rsidRPr="00087227">
        <w:rPr>
          <w:rFonts w:ascii="Times New Roman" w:hAnsi="Times New Roman"/>
          <w:b/>
          <w:sz w:val="24"/>
          <w:szCs w:val="24"/>
          <w:lang w:val="es-ES_tradnl"/>
        </w:rPr>
        <w:lastRenderedPageBreak/>
        <w:t>Resultado</w:t>
      </w:r>
      <w:r w:rsidRPr="00087227">
        <w:rPr>
          <w:rFonts w:ascii="Times New Roman" w:hAnsi="Times New Roman"/>
          <w:b/>
          <w:bCs/>
          <w:sz w:val="24"/>
          <w:szCs w:val="24"/>
        </w:rPr>
        <w:t xml:space="preserve"> Indicador uso del portal de compras y contrataciones públicas (SISCOMPRAS</w:t>
      </w:r>
      <w:r w:rsidRPr="00087227">
        <w:rPr>
          <w:rFonts w:ascii="Times New Roman" w:eastAsia="Times New Roman" w:hAnsi="Times New Roman"/>
          <w:b/>
          <w:bCs/>
          <w:sz w:val="24"/>
          <w:szCs w:val="24"/>
        </w:rPr>
        <w:t>)</w:t>
      </w:r>
      <w:r w:rsidRPr="00087227">
        <w:rPr>
          <w:rFonts w:ascii="Times New Roman" w:hAnsi="Times New Roman"/>
          <w:b/>
          <w:bCs/>
          <w:sz w:val="24"/>
          <w:szCs w:val="24"/>
        </w:rPr>
        <w:t>, por trimestres 2019</w:t>
      </w:r>
    </w:p>
    <w:p w14:paraId="01B87079" w14:textId="6CE6F7CD" w:rsidR="003D1320" w:rsidRDefault="003D1320" w:rsidP="00304F26">
      <w:pPr>
        <w:spacing w:after="0" w:line="480" w:lineRule="auto"/>
        <w:rPr>
          <w:rFonts w:ascii="Times New Roman" w:hAnsi="Times New Roman"/>
          <w:lang w:val="es-ES_tradnl"/>
        </w:rPr>
      </w:pPr>
      <w:r w:rsidRPr="00087227">
        <w:rPr>
          <w:noProof/>
          <w:lang w:eastAsia="es-DO"/>
        </w:rPr>
        <w:drawing>
          <wp:inline distT="0" distB="0" distL="0" distR="0" wp14:anchorId="73BD5C85" wp14:editId="20C35745">
            <wp:extent cx="5029200" cy="3056021"/>
            <wp:effectExtent l="0" t="0" r="0" b="0"/>
            <wp:docPr id="179" name="Gráfico 179"/>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18661372" w14:textId="77777777" w:rsidR="00F2330B" w:rsidRPr="00087227" w:rsidRDefault="00F2330B" w:rsidP="00304F26">
      <w:pPr>
        <w:spacing w:after="0" w:line="480" w:lineRule="auto"/>
        <w:rPr>
          <w:rFonts w:ascii="Times New Roman" w:hAnsi="Times New Roman"/>
          <w:lang w:val="es-ES_tradnl"/>
        </w:rPr>
      </w:pPr>
    </w:p>
    <w:p w14:paraId="6536F808" w14:textId="7A08EDC9" w:rsidR="003D1320" w:rsidRPr="00087227" w:rsidRDefault="003D1320" w:rsidP="001C6B1A">
      <w:pPr>
        <w:pStyle w:val="Prrafodelista"/>
        <w:numPr>
          <w:ilvl w:val="0"/>
          <w:numId w:val="8"/>
        </w:numPr>
        <w:spacing w:after="0" w:line="360" w:lineRule="auto"/>
        <w:ind w:left="1783" w:hanging="1499"/>
        <w:jc w:val="both"/>
        <w:rPr>
          <w:rFonts w:ascii="Times New Roman" w:hAnsi="Times New Roman"/>
          <w:b/>
          <w:sz w:val="24"/>
          <w:szCs w:val="24"/>
          <w:lang w:val="es-ES_tradnl"/>
        </w:rPr>
      </w:pPr>
      <w:r w:rsidRPr="00087227">
        <w:rPr>
          <w:rFonts w:ascii="Times New Roman" w:hAnsi="Times New Roman"/>
          <w:b/>
          <w:sz w:val="24"/>
          <w:szCs w:val="24"/>
          <w:lang w:val="es-ES_tradnl"/>
        </w:rPr>
        <w:t>Resultado (SISCOMPRAS), por componentes</w:t>
      </w:r>
    </w:p>
    <w:p w14:paraId="47C57DFD" w14:textId="1CC342C9" w:rsidR="003D1320" w:rsidRPr="00087227" w:rsidRDefault="003D1320" w:rsidP="003D1320">
      <w:pPr>
        <w:spacing w:after="0" w:line="480" w:lineRule="auto"/>
        <w:jc w:val="center"/>
        <w:rPr>
          <w:rFonts w:ascii="Times New Roman" w:hAnsi="Times New Roman"/>
          <w:lang w:val="es-ES_tradnl"/>
        </w:rPr>
      </w:pPr>
      <w:r w:rsidRPr="00087227">
        <w:rPr>
          <w:noProof/>
          <w:lang w:eastAsia="es-DO"/>
        </w:rPr>
        <w:drawing>
          <wp:inline distT="0" distB="0" distL="0" distR="0" wp14:anchorId="09E5CC20" wp14:editId="662033ED">
            <wp:extent cx="5029200" cy="3561347"/>
            <wp:effectExtent l="0" t="0" r="0" b="1270"/>
            <wp:docPr id="180" name="Gráfico 180"/>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6BF6CE36" w14:textId="3B59B50D" w:rsidR="00304F26" w:rsidRPr="00087227" w:rsidRDefault="00304F26" w:rsidP="00CA5792">
      <w:pPr>
        <w:pStyle w:val="Ttulo3"/>
      </w:pPr>
      <w:bookmarkStart w:id="433" w:name="_Toc251777856"/>
      <w:bookmarkStart w:id="434" w:name="_Toc254413079"/>
      <w:bookmarkStart w:id="435" w:name="_Toc409040077"/>
      <w:bookmarkStart w:id="436" w:name="_Toc440036726"/>
      <w:bookmarkStart w:id="437" w:name="_Toc470523381"/>
      <w:bookmarkStart w:id="438" w:name="_Toc26292104"/>
      <w:bookmarkStart w:id="439" w:name="_Toc27146845"/>
      <w:r w:rsidRPr="00087227">
        <w:lastRenderedPageBreak/>
        <w:t xml:space="preserve">Plan de compras y contrataciones </w:t>
      </w:r>
      <w:bookmarkEnd w:id="433"/>
      <w:bookmarkEnd w:id="434"/>
      <w:bookmarkEnd w:id="435"/>
      <w:bookmarkEnd w:id="436"/>
      <w:bookmarkEnd w:id="437"/>
      <w:r w:rsidRPr="00087227">
        <w:t>públicas</w:t>
      </w:r>
      <w:bookmarkEnd w:id="438"/>
      <w:bookmarkEnd w:id="439"/>
    </w:p>
    <w:p w14:paraId="7651DA2F" w14:textId="77777777" w:rsidR="00304F26" w:rsidRPr="00087227" w:rsidRDefault="00304F26" w:rsidP="00304F26">
      <w:pPr>
        <w:rPr>
          <w:lang w:val="es-ES_tradnl" w:eastAsia="en-US"/>
        </w:rPr>
      </w:pPr>
    </w:p>
    <w:p w14:paraId="3D2C44EB" w14:textId="026D0CE2" w:rsidR="00304F26" w:rsidRPr="00087227" w:rsidRDefault="00304F26" w:rsidP="00CA5792">
      <w:pPr>
        <w:pStyle w:val="Ttulo4"/>
      </w:pPr>
      <w:bookmarkStart w:id="440" w:name="_Toc26292105"/>
      <w:bookmarkStart w:id="441" w:name="_Toc27146846"/>
      <w:bookmarkStart w:id="442" w:name="_Toc440036727"/>
      <w:bookmarkStart w:id="443" w:name="_Toc470523382"/>
      <w:bookmarkStart w:id="444" w:name="_Toc251777857"/>
      <w:bookmarkStart w:id="445" w:name="_Toc254413080"/>
      <w:bookmarkStart w:id="446" w:name="_Toc409040078"/>
      <w:r w:rsidRPr="00087227">
        <w:t>Compras, contrataciones y licitaciones realizadas</w:t>
      </w:r>
      <w:bookmarkEnd w:id="440"/>
      <w:bookmarkEnd w:id="441"/>
      <w:r w:rsidRPr="00087227">
        <w:t xml:space="preserve"> </w:t>
      </w:r>
      <w:bookmarkEnd w:id="442"/>
      <w:bookmarkEnd w:id="443"/>
      <w:bookmarkEnd w:id="444"/>
      <w:bookmarkEnd w:id="445"/>
      <w:bookmarkEnd w:id="446"/>
    </w:p>
    <w:p w14:paraId="1F04C014" w14:textId="77777777" w:rsidR="00F2330B" w:rsidRDefault="00F2330B" w:rsidP="00304F26">
      <w:pPr>
        <w:spacing w:after="0" w:line="480" w:lineRule="auto"/>
        <w:ind w:firstLine="720"/>
        <w:jc w:val="both"/>
        <w:rPr>
          <w:rFonts w:ascii="Times New Roman" w:hAnsi="Times New Roman"/>
          <w:bCs/>
          <w:lang w:val="es-ES_tradnl" w:eastAsia="es-DO"/>
        </w:rPr>
      </w:pPr>
    </w:p>
    <w:p w14:paraId="665CD159" w14:textId="2FDB7387" w:rsidR="00304F26" w:rsidRPr="00087227" w:rsidRDefault="00304F26" w:rsidP="00304F26">
      <w:pPr>
        <w:spacing w:after="0" w:line="480" w:lineRule="auto"/>
        <w:ind w:firstLine="720"/>
        <w:jc w:val="both"/>
        <w:rPr>
          <w:rFonts w:ascii="Times New Roman" w:hAnsi="Times New Roman"/>
          <w:bCs/>
          <w:lang w:val="es-ES_tradnl" w:eastAsia="es-DO"/>
        </w:rPr>
      </w:pPr>
      <w:r w:rsidRPr="00087227">
        <w:rPr>
          <w:rFonts w:ascii="Times New Roman" w:hAnsi="Times New Roman"/>
          <w:bCs/>
          <w:lang w:val="es-ES_tradnl" w:eastAsia="es-DO"/>
        </w:rPr>
        <w:t xml:space="preserve">Durante el 2019 </w:t>
      </w:r>
      <w:r w:rsidR="00087227" w:rsidRPr="00087227">
        <w:rPr>
          <w:rFonts w:ascii="Times New Roman" w:hAnsi="Times New Roman"/>
          <w:bCs/>
          <w:lang w:val="es-ES_tradnl" w:eastAsia="es-DO"/>
        </w:rPr>
        <w:t xml:space="preserve">el Ministerio de Agricultura </w:t>
      </w:r>
      <w:r w:rsidRPr="00087227">
        <w:rPr>
          <w:rFonts w:ascii="Times New Roman" w:hAnsi="Times New Roman"/>
          <w:bCs/>
          <w:lang w:val="es-ES_tradnl" w:eastAsia="es-DO"/>
        </w:rPr>
        <w:t>public</w:t>
      </w:r>
      <w:r w:rsidR="00087227" w:rsidRPr="00087227">
        <w:rPr>
          <w:rFonts w:ascii="Times New Roman" w:hAnsi="Times New Roman"/>
          <w:bCs/>
          <w:lang w:val="es-ES_tradnl" w:eastAsia="es-DO"/>
        </w:rPr>
        <w:t>ó</w:t>
      </w:r>
      <w:r w:rsidRPr="00087227">
        <w:rPr>
          <w:rFonts w:ascii="Times New Roman" w:hAnsi="Times New Roman"/>
          <w:bCs/>
          <w:lang w:val="es-ES_tradnl" w:eastAsia="es-DO"/>
        </w:rPr>
        <w:t xml:space="preserve"> procesos de compras y contrataciones </w:t>
      </w:r>
      <w:r w:rsidR="00087227" w:rsidRPr="00087227">
        <w:rPr>
          <w:rFonts w:ascii="Times New Roman" w:hAnsi="Times New Roman"/>
          <w:bCs/>
          <w:lang w:val="es-ES_tradnl" w:eastAsia="es-DO"/>
        </w:rPr>
        <w:t>asc</w:t>
      </w:r>
      <w:r w:rsidRPr="00087227">
        <w:rPr>
          <w:rFonts w:ascii="Times New Roman" w:hAnsi="Times New Roman"/>
          <w:bCs/>
          <w:lang w:val="es-ES_tradnl" w:eastAsia="es-DO"/>
        </w:rPr>
        <w:t>enden</w:t>
      </w:r>
      <w:r w:rsidR="00087227" w:rsidRPr="00087227">
        <w:rPr>
          <w:rFonts w:ascii="Times New Roman" w:hAnsi="Times New Roman"/>
          <w:bCs/>
          <w:lang w:val="es-ES_tradnl" w:eastAsia="es-DO"/>
        </w:rPr>
        <w:t>tes</w:t>
      </w:r>
      <w:r w:rsidRPr="00087227">
        <w:rPr>
          <w:rFonts w:ascii="Times New Roman" w:hAnsi="Times New Roman"/>
          <w:bCs/>
          <w:lang w:val="es-ES_tradnl" w:eastAsia="es-DO"/>
        </w:rPr>
        <w:t xml:space="preserve"> a la suma de RD$1,359,091,114.00, de los cuales fueron adjudicados exitosamente un total de RD$1,275,198,035.00 durante el periodo enero-noviembre, correspondiendo la diferencia a procesos que se encuentran en curso y en evaluación.</w:t>
      </w:r>
    </w:p>
    <w:p w14:paraId="11D82557" w14:textId="77777777" w:rsidR="00304F26" w:rsidRPr="00087227" w:rsidRDefault="00304F26" w:rsidP="00304F26">
      <w:pPr>
        <w:spacing w:after="0" w:line="480" w:lineRule="auto"/>
        <w:ind w:firstLine="720"/>
        <w:jc w:val="both"/>
        <w:rPr>
          <w:rFonts w:ascii="Times New Roman" w:hAnsi="Times New Roman"/>
          <w:color w:val="FF0000"/>
          <w:sz w:val="22"/>
          <w:szCs w:val="22"/>
          <w:lang w:eastAsia="en-US"/>
        </w:rPr>
      </w:pPr>
    </w:p>
    <w:p w14:paraId="2C1D4490" w14:textId="5B3283B4" w:rsidR="00304F26" w:rsidRPr="00087227" w:rsidRDefault="00304F26" w:rsidP="00CA5792">
      <w:pPr>
        <w:pStyle w:val="Ttulo4"/>
      </w:pPr>
      <w:bookmarkStart w:id="447" w:name="_Toc251777858"/>
      <w:bookmarkStart w:id="448" w:name="_Toc254413081"/>
      <w:bookmarkStart w:id="449" w:name="_Toc409040079"/>
      <w:bookmarkStart w:id="450" w:name="_Toc440036728"/>
      <w:bookmarkStart w:id="451" w:name="_Toc470523383"/>
      <w:bookmarkStart w:id="452" w:name="_Toc26292106"/>
      <w:bookmarkStart w:id="453" w:name="_Toc27146847"/>
      <w:r w:rsidRPr="00087227">
        <w:t xml:space="preserve">Compras y contrataciones realizadas </w:t>
      </w:r>
      <w:bookmarkEnd w:id="447"/>
      <w:bookmarkEnd w:id="448"/>
      <w:bookmarkEnd w:id="449"/>
      <w:bookmarkEnd w:id="450"/>
      <w:bookmarkEnd w:id="451"/>
      <w:r w:rsidRPr="00087227">
        <w:t>por circuito de trámite</w:t>
      </w:r>
      <w:bookmarkEnd w:id="452"/>
      <w:bookmarkEnd w:id="453"/>
    </w:p>
    <w:p w14:paraId="79DC0680" w14:textId="77777777" w:rsidR="00304F26" w:rsidRPr="00087227" w:rsidRDefault="00304F26" w:rsidP="00304F26">
      <w:pPr>
        <w:pStyle w:val="Prrafodelista"/>
        <w:spacing w:after="0" w:line="480" w:lineRule="auto"/>
        <w:ind w:left="851"/>
        <w:jc w:val="both"/>
        <w:rPr>
          <w:rFonts w:ascii="Times New Roman" w:hAnsi="Times New Roman"/>
          <w:sz w:val="24"/>
          <w:szCs w:val="24"/>
          <w:lang w:val="es-ES_tradnl"/>
        </w:rPr>
      </w:pPr>
    </w:p>
    <w:p w14:paraId="08F25391" w14:textId="10EBC901" w:rsidR="00304F26" w:rsidRPr="00087227" w:rsidRDefault="00304F26" w:rsidP="00304F26">
      <w:pPr>
        <w:spacing w:after="0" w:line="480" w:lineRule="auto"/>
        <w:ind w:firstLine="720"/>
        <w:jc w:val="both"/>
        <w:rPr>
          <w:rFonts w:ascii="Times New Roman" w:hAnsi="Times New Roman"/>
          <w:lang w:val="es-ES_tradnl"/>
        </w:rPr>
      </w:pPr>
      <w:r w:rsidRPr="00087227">
        <w:rPr>
          <w:rFonts w:ascii="Times New Roman" w:hAnsi="Times New Roman"/>
          <w:lang w:val="es-ES_tradnl"/>
        </w:rPr>
        <w:t xml:space="preserve">Durante los meses </w:t>
      </w:r>
      <w:r w:rsidR="00087227" w:rsidRPr="00087227">
        <w:rPr>
          <w:rFonts w:ascii="Times New Roman" w:hAnsi="Times New Roman"/>
          <w:lang w:val="es-ES_tradnl"/>
        </w:rPr>
        <w:t>d</w:t>
      </w:r>
      <w:r w:rsidRPr="00087227">
        <w:rPr>
          <w:rFonts w:ascii="Times New Roman" w:hAnsi="Times New Roman"/>
          <w:lang w:val="es-ES_tradnl"/>
        </w:rPr>
        <w:t>e enero a noviembre del 2019, el Ministerio publicó 685 procesos detallados a continuación:</w:t>
      </w:r>
    </w:p>
    <w:p w14:paraId="537C86EA" w14:textId="77777777" w:rsidR="00304F26" w:rsidRPr="00087227" w:rsidRDefault="00304F26" w:rsidP="00304F26">
      <w:pPr>
        <w:spacing w:after="0" w:line="360" w:lineRule="auto"/>
        <w:ind w:firstLine="720"/>
        <w:jc w:val="both"/>
        <w:rPr>
          <w:rFonts w:ascii="Times New Roman" w:hAnsi="Times New Roman"/>
          <w:lang w:val="es-ES_tradnl"/>
        </w:rPr>
      </w:pPr>
    </w:p>
    <w:p w14:paraId="6B50A369" w14:textId="5A8449B1" w:rsidR="00304F26" w:rsidRPr="00087227" w:rsidRDefault="00304F26" w:rsidP="001C6B1A">
      <w:pPr>
        <w:pStyle w:val="Prrafodelista"/>
        <w:numPr>
          <w:ilvl w:val="0"/>
          <w:numId w:val="21"/>
        </w:numPr>
        <w:spacing w:after="0" w:line="480" w:lineRule="auto"/>
        <w:jc w:val="both"/>
        <w:rPr>
          <w:rFonts w:ascii="Times New Roman" w:hAnsi="Times New Roman"/>
          <w:sz w:val="24"/>
          <w:szCs w:val="24"/>
          <w:lang w:val="es-ES_tradnl"/>
        </w:rPr>
      </w:pPr>
      <w:r w:rsidRPr="00087227">
        <w:rPr>
          <w:rFonts w:ascii="Times New Roman" w:hAnsi="Times New Roman"/>
          <w:b/>
          <w:sz w:val="24"/>
          <w:szCs w:val="24"/>
          <w:lang w:val="es-ES_tradnl"/>
        </w:rPr>
        <w:t>1</w:t>
      </w:r>
      <w:r w:rsidR="005A5821" w:rsidRPr="00087227">
        <w:rPr>
          <w:rFonts w:ascii="Times New Roman" w:hAnsi="Times New Roman"/>
          <w:b/>
          <w:sz w:val="24"/>
          <w:szCs w:val="24"/>
          <w:lang w:val="es-ES_tradnl"/>
        </w:rPr>
        <w:t>8</w:t>
      </w:r>
      <w:r w:rsidRPr="00087227">
        <w:rPr>
          <w:rFonts w:ascii="Times New Roman" w:hAnsi="Times New Roman"/>
          <w:sz w:val="24"/>
          <w:szCs w:val="24"/>
          <w:lang w:val="es-ES_tradnl"/>
        </w:rPr>
        <w:t xml:space="preserve"> Licitaciones Públicas Nacionales </w:t>
      </w:r>
      <w:r w:rsidRPr="00087227">
        <w:rPr>
          <w:rFonts w:ascii="Times New Roman" w:hAnsi="Times New Roman"/>
          <w:b/>
          <w:sz w:val="24"/>
          <w:szCs w:val="24"/>
          <w:lang w:val="es-ES_tradnl"/>
        </w:rPr>
        <w:t>LPN.</w:t>
      </w:r>
    </w:p>
    <w:p w14:paraId="0F99DC46" w14:textId="77777777" w:rsidR="00304F26" w:rsidRPr="00087227" w:rsidRDefault="00304F26" w:rsidP="001C6B1A">
      <w:pPr>
        <w:pStyle w:val="Prrafodelista"/>
        <w:numPr>
          <w:ilvl w:val="0"/>
          <w:numId w:val="21"/>
        </w:numPr>
        <w:spacing w:after="0" w:line="480" w:lineRule="auto"/>
        <w:jc w:val="both"/>
        <w:rPr>
          <w:rFonts w:ascii="Times New Roman" w:hAnsi="Times New Roman"/>
          <w:sz w:val="24"/>
          <w:szCs w:val="24"/>
          <w:lang w:val="es-ES_tradnl"/>
        </w:rPr>
      </w:pPr>
      <w:r w:rsidRPr="00087227">
        <w:rPr>
          <w:rFonts w:ascii="Times New Roman" w:hAnsi="Times New Roman"/>
          <w:b/>
          <w:sz w:val="24"/>
          <w:szCs w:val="24"/>
          <w:lang w:val="es-ES_tradnl"/>
        </w:rPr>
        <w:t xml:space="preserve">1 </w:t>
      </w:r>
      <w:r w:rsidRPr="00087227">
        <w:rPr>
          <w:rFonts w:ascii="Times New Roman" w:hAnsi="Times New Roman"/>
          <w:sz w:val="24"/>
          <w:szCs w:val="24"/>
          <w:lang w:val="es-ES_tradnl"/>
        </w:rPr>
        <w:t xml:space="preserve">Licitación Restringida </w:t>
      </w:r>
      <w:r w:rsidRPr="00087227">
        <w:rPr>
          <w:rFonts w:ascii="Times New Roman" w:hAnsi="Times New Roman"/>
          <w:b/>
          <w:sz w:val="24"/>
          <w:szCs w:val="24"/>
          <w:lang w:val="es-ES_tradnl"/>
        </w:rPr>
        <w:t xml:space="preserve">LR </w:t>
      </w:r>
    </w:p>
    <w:p w14:paraId="1CA416EA" w14:textId="77777777" w:rsidR="00304F26" w:rsidRPr="00087227" w:rsidRDefault="00304F26" w:rsidP="001C6B1A">
      <w:pPr>
        <w:pStyle w:val="Prrafodelista"/>
        <w:numPr>
          <w:ilvl w:val="0"/>
          <w:numId w:val="21"/>
        </w:numPr>
        <w:spacing w:after="0" w:line="480" w:lineRule="auto"/>
        <w:jc w:val="both"/>
        <w:rPr>
          <w:rFonts w:ascii="Times New Roman" w:hAnsi="Times New Roman"/>
          <w:sz w:val="24"/>
          <w:szCs w:val="24"/>
          <w:lang w:val="es-ES_tradnl"/>
        </w:rPr>
      </w:pPr>
      <w:r w:rsidRPr="00087227">
        <w:rPr>
          <w:rFonts w:ascii="Times New Roman" w:hAnsi="Times New Roman"/>
          <w:b/>
          <w:sz w:val="24"/>
          <w:szCs w:val="24"/>
          <w:lang w:val="es-ES_tradnl"/>
        </w:rPr>
        <w:t>34</w:t>
      </w:r>
      <w:r w:rsidRPr="00087227">
        <w:rPr>
          <w:rFonts w:ascii="Times New Roman" w:hAnsi="Times New Roman"/>
          <w:sz w:val="24"/>
          <w:szCs w:val="24"/>
          <w:lang w:val="es-ES_tradnl"/>
        </w:rPr>
        <w:t xml:space="preserve"> Comparaciones de Precios </w:t>
      </w:r>
      <w:r w:rsidRPr="00087227">
        <w:rPr>
          <w:rFonts w:ascii="Times New Roman" w:hAnsi="Times New Roman"/>
          <w:b/>
          <w:sz w:val="24"/>
          <w:szCs w:val="24"/>
          <w:lang w:val="es-ES_tradnl"/>
        </w:rPr>
        <w:t xml:space="preserve">CP </w:t>
      </w:r>
    </w:p>
    <w:p w14:paraId="5E0FCC4C" w14:textId="77777777" w:rsidR="00304F26" w:rsidRPr="00087227" w:rsidRDefault="00304F26" w:rsidP="001C6B1A">
      <w:pPr>
        <w:pStyle w:val="Prrafodelista"/>
        <w:numPr>
          <w:ilvl w:val="0"/>
          <w:numId w:val="21"/>
        </w:numPr>
        <w:spacing w:after="0" w:line="480" w:lineRule="auto"/>
        <w:jc w:val="both"/>
        <w:rPr>
          <w:rFonts w:ascii="Times New Roman" w:hAnsi="Times New Roman"/>
          <w:sz w:val="24"/>
          <w:szCs w:val="24"/>
          <w:lang w:val="es-ES_tradnl"/>
        </w:rPr>
      </w:pPr>
      <w:r w:rsidRPr="00087227">
        <w:rPr>
          <w:rFonts w:ascii="Times New Roman" w:hAnsi="Times New Roman"/>
          <w:b/>
          <w:sz w:val="24"/>
          <w:szCs w:val="24"/>
          <w:lang w:val="es-ES_tradnl"/>
        </w:rPr>
        <w:t>197</w:t>
      </w:r>
      <w:r w:rsidRPr="00087227">
        <w:rPr>
          <w:rFonts w:ascii="Times New Roman" w:hAnsi="Times New Roman"/>
          <w:sz w:val="24"/>
          <w:szCs w:val="24"/>
          <w:lang w:val="es-ES_tradnl"/>
        </w:rPr>
        <w:t xml:space="preserve"> Compras Menores por Concurso </w:t>
      </w:r>
      <w:r w:rsidRPr="00087227">
        <w:rPr>
          <w:rFonts w:ascii="Times New Roman" w:hAnsi="Times New Roman"/>
          <w:b/>
          <w:sz w:val="24"/>
          <w:szCs w:val="24"/>
          <w:lang w:val="es-ES_tradnl"/>
        </w:rPr>
        <w:t>CMC.</w:t>
      </w:r>
    </w:p>
    <w:p w14:paraId="1F1D6FC8" w14:textId="77777777" w:rsidR="00304F26" w:rsidRPr="00087227" w:rsidRDefault="00304F26" w:rsidP="001C6B1A">
      <w:pPr>
        <w:pStyle w:val="Prrafodelista"/>
        <w:numPr>
          <w:ilvl w:val="0"/>
          <w:numId w:val="21"/>
        </w:numPr>
        <w:spacing w:after="0" w:line="480" w:lineRule="auto"/>
        <w:jc w:val="both"/>
        <w:rPr>
          <w:rFonts w:ascii="Times New Roman" w:hAnsi="Times New Roman"/>
          <w:sz w:val="24"/>
          <w:szCs w:val="24"/>
          <w:lang w:val="es-ES_tradnl"/>
        </w:rPr>
      </w:pPr>
      <w:r w:rsidRPr="00087227">
        <w:rPr>
          <w:rFonts w:ascii="Times New Roman" w:hAnsi="Times New Roman"/>
          <w:b/>
          <w:sz w:val="24"/>
          <w:szCs w:val="24"/>
          <w:lang w:val="es-ES_tradnl"/>
        </w:rPr>
        <w:t>380</w:t>
      </w:r>
      <w:r w:rsidRPr="00087227">
        <w:rPr>
          <w:rFonts w:ascii="Times New Roman" w:hAnsi="Times New Roman"/>
          <w:sz w:val="24"/>
          <w:szCs w:val="24"/>
          <w:lang w:val="es-ES_tradnl"/>
        </w:rPr>
        <w:t xml:space="preserve"> Compras por Debajo del Umbral Mínimo </w:t>
      </w:r>
      <w:r w:rsidRPr="00087227">
        <w:rPr>
          <w:rFonts w:ascii="Times New Roman" w:hAnsi="Times New Roman"/>
          <w:b/>
          <w:sz w:val="24"/>
          <w:szCs w:val="24"/>
          <w:lang w:val="es-ES_tradnl"/>
        </w:rPr>
        <w:t>CDU.</w:t>
      </w:r>
    </w:p>
    <w:p w14:paraId="4755FBE9" w14:textId="77777777" w:rsidR="00304F26" w:rsidRPr="00087227" w:rsidRDefault="00304F26" w:rsidP="001C6B1A">
      <w:pPr>
        <w:pStyle w:val="Prrafodelista"/>
        <w:numPr>
          <w:ilvl w:val="0"/>
          <w:numId w:val="21"/>
        </w:numPr>
        <w:spacing w:after="0" w:line="480" w:lineRule="auto"/>
        <w:jc w:val="both"/>
        <w:rPr>
          <w:rFonts w:ascii="Times New Roman" w:hAnsi="Times New Roman"/>
          <w:sz w:val="24"/>
          <w:szCs w:val="24"/>
          <w:lang w:val="es-ES_tradnl"/>
        </w:rPr>
      </w:pPr>
      <w:r w:rsidRPr="00087227">
        <w:rPr>
          <w:rFonts w:ascii="Times New Roman" w:hAnsi="Times New Roman"/>
          <w:b/>
          <w:sz w:val="24"/>
          <w:szCs w:val="24"/>
          <w:lang w:val="es-ES_tradnl"/>
        </w:rPr>
        <w:t>61</w:t>
      </w:r>
      <w:r w:rsidRPr="00087227">
        <w:rPr>
          <w:rFonts w:ascii="Times New Roman" w:hAnsi="Times New Roman"/>
          <w:sz w:val="24"/>
          <w:szCs w:val="24"/>
          <w:lang w:val="es-ES_tradnl"/>
        </w:rPr>
        <w:t xml:space="preserve"> Procesos de Excepción </w:t>
      </w:r>
      <w:r w:rsidRPr="00087227">
        <w:rPr>
          <w:rFonts w:ascii="Times New Roman" w:hAnsi="Times New Roman"/>
          <w:b/>
          <w:sz w:val="24"/>
          <w:szCs w:val="24"/>
          <w:lang w:val="es-ES_tradnl"/>
        </w:rPr>
        <w:t>PE.</w:t>
      </w:r>
    </w:p>
    <w:p w14:paraId="48ADF296" w14:textId="00F7C23E" w:rsidR="00BB7F45" w:rsidRPr="00087227" w:rsidRDefault="00BB7F45">
      <w:pPr>
        <w:spacing w:after="0"/>
        <w:rPr>
          <w:rFonts w:ascii="Times New Roman" w:hAnsi="Times New Roman"/>
          <w:lang w:val="es-ES_tradnl"/>
        </w:rPr>
      </w:pPr>
      <w:r w:rsidRPr="00087227">
        <w:rPr>
          <w:rFonts w:ascii="Times New Roman" w:hAnsi="Times New Roman"/>
          <w:lang w:val="es-ES_tradnl"/>
        </w:rPr>
        <w:br w:type="page"/>
      </w:r>
    </w:p>
    <w:p w14:paraId="54402F45" w14:textId="77777777" w:rsidR="00304F26" w:rsidRPr="00087227" w:rsidRDefault="00304F26" w:rsidP="001C6B1A">
      <w:pPr>
        <w:pStyle w:val="Prrafodelista"/>
        <w:numPr>
          <w:ilvl w:val="0"/>
          <w:numId w:val="9"/>
        </w:numPr>
        <w:spacing w:after="0" w:line="240" w:lineRule="auto"/>
        <w:ind w:left="1276" w:hanging="1276"/>
        <w:rPr>
          <w:rFonts w:ascii="Times New Roman" w:hAnsi="Times New Roman"/>
          <w:b/>
          <w:sz w:val="28"/>
          <w:lang w:val="es-ES_tradnl"/>
        </w:rPr>
      </w:pPr>
      <w:r w:rsidRPr="00087227">
        <w:rPr>
          <w:rFonts w:ascii="Times New Roman" w:hAnsi="Times New Roman"/>
          <w:b/>
          <w:sz w:val="28"/>
          <w:lang w:val="es-ES_tradnl"/>
        </w:rPr>
        <w:lastRenderedPageBreak/>
        <w:t>Montos y cantidades adjudicadas por modalidad de compras</w:t>
      </w:r>
    </w:p>
    <w:p w14:paraId="3D624E8C" w14:textId="77777777" w:rsidR="00304F26" w:rsidRPr="00087227" w:rsidRDefault="00304F26" w:rsidP="00304F26">
      <w:pPr>
        <w:spacing w:after="0"/>
        <w:rPr>
          <w:rFonts w:ascii="Times New Roman" w:hAnsi="Times New Roman"/>
          <w:lang w:val="es-ES_tradnl"/>
        </w:rPr>
      </w:pPr>
    </w:p>
    <w:tbl>
      <w:tblPr>
        <w:tblW w:w="5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2155"/>
      </w:tblGrid>
      <w:tr w:rsidR="00304F26" w:rsidRPr="00087227" w14:paraId="7AB24BFF" w14:textId="77777777" w:rsidTr="00F2330B">
        <w:trPr>
          <w:trHeight w:val="70"/>
          <w:jc w:val="center"/>
        </w:trPr>
        <w:tc>
          <w:tcPr>
            <w:tcW w:w="3690" w:type="dxa"/>
            <w:shd w:val="clear" w:color="auto" w:fill="00B050"/>
            <w:vAlign w:val="center"/>
            <w:hideMark/>
          </w:tcPr>
          <w:p w14:paraId="7F6C1A96" w14:textId="77777777" w:rsidR="00304F26" w:rsidRPr="00087227" w:rsidRDefault="00304F26" w:rsidP="00304F26">
            <w:pPr>
              <w:spacing w:after="0"/>
              <w:jc w:val="center"/>
              <w:rPr>
                <w:rFonts w:ascii="Times New Roman" w:hAnsi="Times New Roman"/>
                <w:b/>
                <w:bCs/>
                <w:color w:val="FFFFFF" w:themeColor="background1"/>
                <w:lang w:val="en-US"/>
              </w:rPr>
            </w:pPr>
            <w:r w:rsidRPr="00087227">
              <w:rPr>
                <w:rFonts w:ascii="Times New Roman" w:hAnsi="Times New Roman"/>
                <w:b/>
                <w:bCs/>
                <w:color w:val="FFFFFF" w:themeColor="background1"/>
                <w:lang w:val="en-US"/>
              </w:rPr>
              <w:t>Modalidad de Adquisición</w:t>
            </w:r>
          </w:p>
        </w:tc>
        <w:tc>
          <w:tcPr>
            <w:tcW w:w="2155" w:type="dxa"/>
            <w:shd w:val="clear" w:color="auto" w:fill="00B050"/>
            <w:vAlign w:val="center"/>
            <w:hideMark/>
          </w:tcPr>
          <w:p w14:paraId="7144E280" w14:textId="77777777" w:rsidR="00304F26" w:rsidRPr="00087227" w:rsidRDefault="00304F26" w:rsidP="00304F26">
            <w:pPr>
              <w:spacing w:after="0"/>
              <w:jc w:val="center"/>
              <w:rPr>
                <w:rFonts w:ascii="Times New Roman" w:hAnsi="Times New Roman"/>
                <w:b/>
                <w:bCs/>
                <w:color w:val="FFFFFF" w:themeColor="background1"/>
                <w:lang w:val="en-US"/>
              </w:rPr>
            </w:pPr>
            <w:r w:rsidRPr="00087227">
              <w:rPr>
                <w:rFonts w:ascii="Times New Roman" w:hAnsi="Times New Roman"/>
                <w:b/>
                <w:bCs/>
                <w:color w:val="FFFFFF" w:themeColor="background1"/>
                <w:lang w:val="en-US"/>
              </w:rPr>
              <w:t>Monto (RD$)</w:t>
            </w:r>
          </w:p>
        </w:tc>
      </w:tr>
      <w:tr w:rsidR="00304F26" w:rsidRPr="00087227" w14:paraId="603859CC" w14:textId="77777777" w:rsidTr="00F2330B">
        <w:trPr>
          <w:trHeight w:val="272"/>
          <w:jc w:val="center"/>
        </w:trPr>
        <w:tc>
          <w:tcPr>
            <w:tcW w:w="3690" w:type="dxa"/>
            <w:shd w:val="clear" w:color="auto" w:fill="auto"/>
            <w:vAlign w:val="center"/>
            <w:hideMark/>
          </w:tcPr>
          <w:p w14:paraId="251A6D73" w14:textId="77777777" w:rsidR="00304F26" w:rsidRPr="00087227" w:rsidRDefault="00304F26" w:rsidP="00304F26">
            <w:pPr>
              <w:spacing w:after="0"/>
              <w:jc w:val="both"/>
              <w:rPr>
                <w:rFonts w:ascii="Times New Roman" w:hAnsi="Times New Roman"/>
                <w:lang w:val="en-US"/>
              </w:rPr>
            </w:pPr>
            <w:r w:rsidRPr="00087227">
              <w:rPr>
                <w:rFonts w:ascii="Times New Roman" w:hAnsi="Times New Roman"/>
              </w:rPr>
              <w:t>Licitación Pública Nacional</w:t>
            </w:r>
          </w:p>
        </w:tc>
        <w:tc>
          <w:tcPr>
            <w:tcW w:w="2155" w:type="dxa"/>
            <w:shd w:val="clear" w:color="auto" w:fill="auto"/>
            <w:hideMark/>
          </w:tcPr>
          <w:p w14:paraId="01E59957" w14:textId="77777777" w:rsidR="00304F26" w:rsidRPr="00087227" w:rsidRDefault="00304F26" w:rsidP="00304F26">
            <w:pPr>
              <w:spacing w:after="0"/>
              <w:jc w:val="right"/>
              <w:rPr>
                <w:rFonts w:ascii="Times New Roman" w:hAnsi="Times New Roman"/>
                <w:lang w:val="en-US"/>
              </w:rPr>
            </w:pPr>
            <w:r w:rsidRPr="00087227">
              <w:rPr>
                <w:rFonts w:ascii="Times New Roman" w:hAnsi="Times New Roman"/>
              </w:rPr>
              <w:t>844,846,236.00</w:t>
            </w:r>
          </w:p>
        </w:tc>
      </w:tr>
      <w:tr w:rsidR="00304F26" w:rsidRPr="00087227" w14:paraId="31DCFB45" w14:textId="77777777" w:rsidTr="00F2330B">
        <w:trPr>
          <w:trHeight w:val="272"/>
          <w:jc w:val="center"/>
        </w:trPr>
        <w:tc>
          <w:tcPr>
            <w:tcW w:w="3690" w:type="dxa"/>
            <w:shd w:val="clear" w:color="auto" w:fill="auto"/>
            <w:vAlign w:val="center"/>
            <w:hideMark/>
          </w:tcPr>
          <w:p w14:paraId="6CD9D3FB" w14:textId="77777777" w:rsidR="00304F26" w:rsidRPr="00087227" w:rsidRDefault="00304F26" w:rsidP="00304F26">
            <w:pPr>
              <w:spacing w:after="0"/>
              <w:jc w:val="both"/>
              <w:rPr>
                <w:rFonts w:ascii="Times New Roman" w:hAnsi="Times New Roman"/>
                <w:lang w:val="en-US"/>
              </w:rPr>
            </w:pPr>
            <w:r w:rsidRPr="00087227">
              <w:rPr>
                <w:rFonts w:ascii="Times New Roman" w:hAnsi="Times New Roman"/>
              </w:rPr>
              <w:t>Licitación Restringida</w:t>
            </w:r>
          </w:p>
        </w:tc>
        <w:tc>
          <w:tcPr>
            <w:tcW w:w="2155" w:type="dxa"/>
            <w:shd w:val="clear" w:color="auto" w:fill="auto"/>
            <w:hideMark/>
          </w:tcPr>
          <w:p w14:paraId="7BA6321A" w14:textId="77777777" w:rsidR="00304F26" w:rsidRPr="00087227" w:rsidRDefault="00304F26" w:rsidP="00304F26">
            <w:pPr>
              <w:spacing w:after="0"/>
              <w:jc w:val="right"/>
              <w:rPr>
                <w:rFonts w:ascii="Times New Roman" w:hAnsi="Times New Roman"/>
                <w:lang w:val="en-US"/>
              </w:rPr>
            </w:pPr>
            <w:r w:rsidRPr="00087227">
              <w:rPr>
                <w:rFonts w:ascii="Times New Roman" w:hAnsi="Times New Roman"/>
              </w:rPr>
              <w:t>189,885,600.00</w:t>
            </w:r>
          </w:p>
        </w:tc>
      </w:tr>
      <w:tr w:rsidR="00304F26" w:rsidRPr="00087227" w14:paraId="1EBB6C95" w14:textId="77777777" w:rsidTr="00F2330B">
        <w:trPr>
          <w:trHeight w:val="272"/>
          <w:jc w:val="center"/>
        </w:trPr>
        <w:tc>
          <w:tcPr>
            <w:tcW w:w="3690" w:type="dxa"/>
            <w:shd w:val="clear" w:color="auto" w:fill="auto"/>
            <w:vAlign w:val="center"/>
            <w:hideMark/>
          </w:tcPr>
          <w:p w14:paraId="05A0483B" w14:textId="77777777" w:rsidR="00304F26" w:rsidRPr="00087227" w:rsidRDefault="00304F26" w:rsidP="00304F26">
            <w:pPr>
              <w:spacing w:after="0"/>
              <w:jc w:val="both"/>
              <w:rPr>
                <w:rFonts w:ascii="Times New Roman" w:hAnsi="Times New Roman"/>
                <w:lang w:val="en-US"/>
              </w:rPr>
            </w:pPr>
            <w:r w:rsidRPr="00087227">
              <w:rPr>
                <w:rFonts w:ascii="Times New Roman" w:hAnsi="Times New Roman"/>
              </w:rPr>
              <w:t>Comparación de Precios</w:t>
            </w:r>
          </w:p>
        </w:tc>
        <w:tc>
          <w:tcPr>
            <w:tcW w:w="2155" w:type="dxa"/>
            <w:shd w:val="clear" w:color="auto" w:fill="auto"/>
            <w:hideMark/>
          </w:tcPr>
          <w:p w14:paraId="70FFC1D1" w14:textId="77777777" w:rsidR="00304F26" w:rsidRPr="00087227" w:rsidRDefault="00304F26" w:rsidP="00304F26">
            <w:pPr>
              <w:spacing w:after="0"/>
              <w:jc w:val="right"/>
              <w:rPr>
                <w:rFonts w:ascii="Times New Roman" w:hAnsi="Times New Roman"/>
                <w:lang w:val="en-US"/>
              </w:rPr>
            </w:pPr>
            <w:r w:rsidRPr="00087227">
              <w:rPr>
                <w:rFonts w:ascii="Times New Roman" w:hAnsi="Times New Roman"/>
              </w:rPr>
              <w:t>266,158,016.00</w:t>
            </w:r>
          </w:p>
        </w:tc>
      </w:tr>
      <w:tr w:rsidR="00304F26" w:rsidRPr="00087227" w14:paraId="00FEF23F" w14:textId="77777777" w:rsidTr="00F2330B">
        <w:trPr>
          <w:trHeight w:val="272"/>
          <w:jc w:val="center"/>
        </w:trPr>
        <w:tc>
          <w:tcPr>
            <w:tcW w:w="3690" w:type="dxa"/>
            <w:shd w:val="clear" w:color="auto" w:fill="auto"/>
            <w:vAlign w:val="center"/>
            <w:hideMark/>
          </w:tcPr>
          <w:p w14:paraId="17415B23" w14:textId="77777777" w:rsidR="00304F26" w:rsidRPr="00087227" w:rsidRDefault="00304F26" w:rsidP="00304F26">
            <w:pPr>
              <w:spacing w:after="0"/>
              <w:jc w:val="both"/>
              <w:rPr>
                <w:rFonts w:ascii="Times New Roman" w:hAnsi="Times New Roman"/>
                <w:lang w:val="en-US"/>
              </w:rPr>
            </w:pPr>
            <w:r w:rsidRPr="00087227">
              <w:rPr>
                <w:rFonts w:ascii="Times New Roman" w:hAnsi="Times New Roman"/>
              </w:rPr>
              <w:t>Compras Menores</w:t>
            </w:r>
          </w:p>
        </w:tc>
        <w:tc>
          <w:tcPr>
            <w:tcW w:w="2155" w:type="dxa"/>
            <w:shd w:val="clear" w:color="auto" w:fill="auto"/>
            <w:hideMark/>
          </w:tcPr>
          <w:p w14:paraId="4151FA5F" w14:textId="77777777" w:rsidR="00304F26" w:rsidRPr="00087227" w:rsidRDefault="00304F26" w:rsidP="00304F26">
            <w:pPr>
              <w:spacing w:after="0"/>
              <w:jc w:val="right"/>
              <w:rPr>
                <w:rFonts w:ascii="Times New Roman" w:hAnsi="Times New Roman"/>
                <w:lang w:val="en-US"/>
              </w:rPr>
            </w:pPr>
            <w:r w:rsidRPr="00087227">
              <w:rPr>
                <w:rFonts w:ascii="Times New Roman" w:hAnsi="Times New Roman"/>
              </w:rPr>
              <w:t>78,298,209.00</w:t>
            </w:r>
          </w:p>
        </w:tc>
      </w:tr>
      <w:tr w:rsidR="00304F26" w:rsidRPr="00087227" w14:paraId="6E357B96" w14:textId="77777777" w:rsidTr="00F2330B">
        <w:trPr>
          <w:trHeight w:val="272"/>
          <w:jc w:val="center"/>
        </w:trPr>
        <w:tc>
          <w:tcPr>
            <w:tcW w:w="3690" w:type="dxa"/>
            <w:shd w:val="clear" w:color="auto" w:fill="auto"/>
            <w:vAlign w:val="center"/>
            <w:hideMark/>
          </w:tcPr>
          <w:p w14:paraId="4FA0054C" w14:textId="77777777" w:rsidR="00304F26" w:rsidRPr="00087227" w:rsidRDefault="00304F26" w:rsidP="00304F26">
            <w:pPr>
              <w:spacing w:after="0"/>
              <w:jc w:val="both"/>
              <w:rPr>
                <w:rFonts w:ascii="Times New Roman" w:hAnsi="Times New Roman"/>
                <w:lang w:val="es-ES"/>
              </w:rPr>
            </w:pPr>
            <w:r w:rsidRPr="00087227">
              <w:rPr>
                <w:rFonts w:ascii="Times New Roman" w:hAnsi="Times New Roman"/>
              </w:rPr>
              <w:t>Compras por Debajo del Umbral</w:t>
            </w:r>
          </w:p>
        </w:tc>
        <w:tc>
          <w:tcPr>
            <w:tcW w:w="2155" w:type="dxa"/>
            <w:shd w:val="clear" w:color="auto" w:fill="auto"/>
            <w:hideMark/>
          </w:tcPr>
          <w:p w14:paraId="48F8071B" w14:textId="77777777" w:rsidR="00304F26" w:rsidRPr="00087227" w:rsidRDefault="00304F26" w:rsidP="00304F26">
            <w:pPr>
              <w:spacing w:after="0"/>
              <w:jc w:val="right"/>
              <w:rPr>
                <w:rFonts w:ascii="Times New Roman" w:hAnsi="Times New Roman"/>
                <w:lang w:val="en-US"/>
              </w:rPr>
            </w:pPr>
            <w:r w:rsidRPr="00087227">
              <w:rPr>
                <w:rFonts w:ascii="Times New Roman" w:hAnsi="Times New Roman"/>
              </w:rPr>
              <w:t>16,320,274.00</w:t>
            </w:r>
          </w:p>
        </w:tc>
      </w:tr>
      <w:tr w:rsidR="00304F26" w:rsidRPr="00087227" w14:paraId="3F91DC72" w14:textId="77777777" w:rsidTr="00F2330B">
        <w:trPr>
          <w:trHeight w:val="85"/>
          <w:jc w:val="center"/>
        </w:trPr>
        <w:tc>
          <w:tcPr>
            <w:tcW w:w="3690" w:type="dxa"/>
            <w:shd w:val="clear" w:color="auto" w:fill="auto"/>
            <w:vAlign w:val="center"/>
            <w:hideMark/>
          </w:tcPr>
          <w:p w14:paraId="14D30F19" w14:textId="77777777" w:rsidR="00304F26" w:rsidRPr="00087227" w:rsidRDefault="00304F26" w:rsidP="00304F26">
            <w:pPr>
              <w:spacing w:after="0"/>
              <w:jc w:val="both"/>
              <w:rPr>
                <w:rFonts w:ascii="Times New Roman" w:hAnsi="Times New Roman"/>
                <w:lang w:val="en-US"/>
              </w:rPr>
            </w:pPr>
            <w:r w:rsidRPr="00087227">
              <w:rPr>
                <w:rFonts w:ascii="Times New Roman" w:hAnsi="Times New Roman"/>
              </w:rPr>
              <w:t>Procesos de Excepción</w:t>
            </w:r>
            <w:r w:rsidRPr="00087227">
              <w:rPr>
                <w:rStyle w:val="Refdenotaalpie"/>
                <w:rFonts w:ascii="Times New Roman" w:hAnsi="Times New Roman"/>
                <w:sz w:val="18"/>
              </w:rPr>
              <w:footnoteReference w:id="35"/>
            </w:r>
          </w:p>
        </w:tc>
        <w:tc>
          <w:tcPr>
            <w:tcW w:w="2155" w:type="dxa"/>
            <w:shd w:val="clear" w:color="auto" w:fill="auto"/>
            <w:hideMark/>
          </w:tcPr>
          <w:p w14:paraId="7FF6F13E" w14:textId="77777777" w:rsidR="00304F26" w:rsidRPr="00087227" w:rsidRDefault="00304F26" w:rsidP="00304F26">
            <w:pPr>
              <w:spacing w:after="0"/>
              <w:jc w:val="right"/>
              <w:rPr>
                <w:rFonts w:ascii="Times New Roman" w:hAnsi="Times New Roman"/>
                <w:lang w:val="en-US"/>
              </w:rPr>
            </w:pPr>
            <w:r w:rsidRPr="00087227">
              <w:rPr>
                <w:rFonts w:ascii="Times New Roman" w:hAnsi="Times New Roman"/>
              </w:rPr>
              <w:t xml:space="preserve"> (120,310,303.00)</w:t>
            </w:r>
            <w:r w:rsidRPr="00087227">
              <w:rPr>
                <w:rFonts w:ascii="Times New Roman" w:hAnsi="Times New Roman"/>
                <w:color w:val="0563C1"/>
              </w:rPr>
              <w:t xml:space="preserve"> </w:t>
            </w:r>
          </w:p>
        </w:tc>
      </w:tr>
      <w:tr w:rsidR="00304F26" w:rsidRPr="00087227" w14:paraId="373252CA" w14:textId="77777777" w:rsidTr="00F2330B">
        <w:trPr>
          <w:trHeight w:val="272"/>
          <w:jc w:val="center"/>
        </w:trPr>
        <w:tc>
          <w:tcPr>
            <w:tcW w:w="3690" w:type="dxa"/>
            <w:shd w:val="clear" w:color="auto" w:fill="808080" w:themeFill="background1" w:themeFillShade="80"/>
            <w:vAlign w:val="center"/>
            <w:hideMark/>
          </w:tcPr>
          <w:p w14:paraId="59C2E43E" w14:textId="77777777" w:rsidR="00304F26" w:rsidRPr="00087227" w:rsidRDefault="00304F26" w:rsidP="00304F26">
            <w:pPr>
              <w:spacing w:after="0"/>
              <w:jc w:val="both"/>
              <w:rPr>
                <w:rFonts w:ascii="Times New Roman" w:hAnsi="Times New Roman"/>
                <w:b/>
                <w:bCs/>
                <w:color w:val="FFFFFF" w:themeColor="background1"/>
                <w:lang w:val="en-US"/>
              </w:rPr>
            </w:pPr>
            <w:r w:rsidRPr="00087227">
              <w:rPr>
                <w:rFonts w:ascii="Times New Roman" w:hAnsi="Times New Roman"/>
                <w:b/>
                <w:bCs/>
                <w:color w:val="FFFFFF" w:themeColor="background1"/>
                <w:lang w:val="en-US"/>
              </w:rPr>
              <w:t>Total</w:t>
            </w:r>
          </w:p>
        </w:tc>
        <w:tc>
          <w:tcPr>
            <w:tcW w:w="2155" w:type="dxa"/>
            <w:shd w:val="clear" w:color="auto" w:fill="808080" w:themeFill="background1" w:themeFillShade="80"/>
            <w:hideMark/>
          </w:tcPr>
          <w:p w14:paraId="24BB0EC5" w14:textId="77777777" w:rsidR="00304F26" w:rsidRPr="00087227" w:rsidRDefault="00304F26" w:rsidP="00304F26">
            <w:pPr>
              <w:spacing w:after="0"/>
              <w:jc w:val="right"/>
              <w:rPr>
                <w:rFonts w:ascii="Times New Roman" w:hAnsi="Times New Roman"/>
                <w:b/>
                <w:bCs/>
                <w:color w:val="FFFFFF" w:themeColor="background1"/>
                <w:lang w:val="en-US"/>
              </w:rPr>
            </w:pPr>
            <w:r w:rsidRPr="00087227">
              <w:rPr>
                <w:rFonts w:ascii="Times New Roman" w:hAnsi="Times New Roman"/>
                <w:bCs/>
                <w:color w:val="FFFFFF" w:themeColor="background1"/>
                <w:lang w:val="es-ES_tradnl" w:eastAsia="es-DO"/>
              </w:rPr>
              <w:t>1,275,198,035.00</w:t>
            </w:r>
          </w:p>
        </w:tc>
      </w:tr>
    </w:tbl>
    <w:p w14:paraId="209EE434" w14:textId="77777777" w:rsidR="00304F26" w:rsidRPr="00087227" w:rsidRDefault="00304F26" w:rsidP="00304F26">
      <w:pPr>
        <w:spacing w:after="0" w:line="480" w:lineRule="auto"/>
        <w:rPr>
          <w:rFonts w:ascii="Times New Roman" w:hAnsi="Times New Roman"/>
          <w:lang w:val="es-ES_tradnl"/>
        </w:rPr>
      </w:pPr>
    </w:p>
    <w:p w14:paraId="0AA56A0C" w14:textId="77777777" w:rsidR="00304F26" w:rsidRPr="00087227" w:rsidRDefault="00304F26" w:rsidP="00304F26">
      <w:pPr>
        <w:spacing w:after="0" w:line="480" w:lineRule="auto"/>
        <w:ind w:firstLine="720"/>
        <w:jc w:val="both"/>
        <w:rPr>
          <w:rFonts w:ascii="Times New Roman" w:hAnsi="Times New Roman"/>
          <w:bCs/>
          <w:lang w:val="es-ES_tradnl" w:eastAsia="es-DO"/>
        </w:rPr>
      </w:pPr>
      <w:r w:rsidRPr="00087227">
        <w:rPr>
          <w:rFonts w:ascii="Times New Roman" w:hAnsi="Times New Roman"/>
          <w:bCs/>
          <w:lang w:val="es-ES_tradnl" w:eastAsia="es-DO"/>
        </w:rPr>
        <w:t>El 84% de las sumas adjudicadas en procesos de compras y contrataciones corresponden a las modalidades de Licitaciones y Comparaciones de Precios, siendo esto el resultado del esfuerzo realizado por la institución de realizar adquisiciones de bienes, servicios y obras planificadas con el objetivo de cumplir con las disposiciones establecidas en la Ley Núm. 340-06 sobre Compras y Contrataciones Públicas y su reglamento de aplicación, disminuyendo el fraccionamiento y aprovechando la economía de escala de estos procesos.</w:t>
      </w:r>
    </w:p>
    <w:p w14:paraId="06E208F5" w14:textId="77777777" w:rsidR="00304F26" w:rsidRPr="00087227" w:rsidRDefault="00304F26" w:rsidP="00304F26">
      <w:pPr>
        <w:spacing w:after="0" w:line="480" w:lineRule="auto"/>
        <w:ind w:firstLine="720"/>
        <w:jc w:val="both"/>
        <w:rPr>
          <w:rFonts w:ascii="Times New Roman" w:hAnsi="Times New Roman"/>
          <w:bCs/>
          <w:lang w:val="es-ES_tradnl" w:eastAsia="es-DO"/>
        </w:rPr>
      </w:pPr>
    </w:p>
    <w:p w14:paraId="287E5421" w14:textId="7E4D7F83" w:rsidR="00304F26" w:rsidRPr="00087227" w:rsidRDefault="00304F26" w:rsidP="00CA5792">
      <w:pPr>
        <w:pStyle w:val="Ttulo4"/>
      </w:pPr>
      <w:bookmarkStart w:id="454" w:name="_Toc251777861"/>
      <w:bookmarkStart w:id="455" w:name="_Toc254413084"/>
      <w:bookmarkStart w:id="456" w:name="_Toc409040082"/>
      <w:bookmarkStart w:id="457" w:name="_Toc440036730"/>
      <w:bookmarkStart w:id="458" w:name="_Toc470523385"/>
      <w:bookmarkStart w:id="459" w:name="_Toc26292107"/>
      <w:bookmarkStart w:id="460" w:name="_Toc27146848"/>
      <w:r w:rsidRPr="00087227">
        <w:t>Procesos a proveedor(es) contratado(s)</w:t>
      </w:r>
      <w:bookmarkEnd w:id="454"/>
      <w:bookmarkEnd w:id="455"/>
      <w:bookmarkEnd w:id="456"/>
      <w:bookmarkEnd w:id="457"/>
      <w:bookmarkEnd w:id="458"/>
      <w:bookmarkEnd w:id="459"/>
      <w:bookmarkEnd w:id="460"/>
    </w:p>
    <w:p w14:paraId="116E4783" w14:textId="77777777" w:rsidR="00304F26" w:rsidRPr="00087227" w:rsidRDefault="00304F26" w:rsidP="00304F26">
      <w:pPr>
        <w:spacing w:after="0" w:line="480" w:lineRule="auto"/>
        <w:ind w:firstLine="851"/>
        <w:jc w:val="both"/>
        <w:rPr>
          <w:rFonts w:ascii="Times New Roman" w:hAnsi="Times New Roman"/>
          <w:lang w:val="es-ES_tradnl"/>
        </w:rPr>
      </w:pPr>
    </w:p>
    <w:p w14:paraId="4EBA380B" w14:textId="77777777" w:rsidR="00304F26" w:rsidRPr="00087227" w:rsidRDefault="00304F26" w:rsidP="001C6B1A">
      <w:pPr>
        <w:pStyle w:val="Prrafodelista"/>
        <w:numPr>
          <w:ilvl w:val="0"/>
          <w:numId w:val="11"/>
        </w:numPr>
        <w:spacing w:after="0" w:line="480" w:lineRule="auto"/>
        <w:jc w:val="both"/>
        <w:rPr>
          <w:rFonts w:ascii="Times New Roman" w:hAnsi="Times New Roman"/>
          <w:color w:val="4F81BD" w:themeColor="accent1"/>
          <w:sz w:val="24"/>
          <w:lang w:val="es-ES_tradnl"/>
        </w:rPr>
      </w:pPr>
      <w:r w:rsidRPr="00087227">
        <w:rPr>
          <w:rFonts w:ascii="Times New Roman" w:hAnsi="Times New Roman"/>
          <w:sz w:val="24"/>
          <w:lang w:val="es-ES_tradnl"/>
        </w:rPr>
        <w:t>Procesos de compras y contrataciones a empresas grandes, según clasificación empresarial, con un monto de RD$</w:t>
      </w:r>
      <w:r w:rsidRPr="00087227">
        <w:rPr>
          <w:rFonts w:ascii="Times New Roman" w:hAnsi="Times New Roman"/>
          <w:sz w:val="24"/>
          <w:szCs w:val="24"/>
          <w:lang w:val="es-ES_tradnl"/>
        </w:rPr>
        <w:t>883,740,195.00.</w:t>
      </w:r>
    </w:p>
    <w:p w14:paraId="5904D476" w14:textId="77777777" w:rsidR="00304F26" w:rsidRPr="00087227" w:rsidRDefault="00304F26" w:rsidP="00304F26">
      <w:pPr>
        <w:pStyle w:val="Prrafodelista"/>
        <w:spacing w:line="360" w:lineRule="auto"/>
        <w:jc w:val="both"/>
        <w:rPr>
          <w:rFonts w:ascii="Times New Roman" w:hAnsi="Times New Roman"/>
          <w:color w:val="4F81BD" w:themeColor="accent1"/>
          <w:sz w:val="24"/>
          <w:szCs w:val="24"/>
        </w:rPr>
      </w:pPr>
    </w:p>
    <w:p w14:paraId="2957A43C" w14:textId="77777777" w:rsidR="00304F26" w:rsidRPr="00087227" w:rsidRDefault="00304F26" w:rsidP="001C6B1A">
      <w:pPr>
        <w:pStyle w:val="Prrafodelista"/>
        <w:numPr>
          <w:ilvl w:val="0"/>
          <w:numId w:val="11"/>
        </w:numPr>
        <w:spacing w:after="0" w:line="480" w:lineRule="auto"/>
        <w:jc w:val="both"/>
        <w:rPr>
          <w:rFonts w:ascii="Times New Roman" w:hAnsi="Times New Roman"/>
          <w:sz w:val="24"/>
          <w:lang w:val="es-ES_tradnl"/>
        </w:rPr>
      </w:pPr>
      <w:r w:rsidRPr="00087227">
        <w:rPr>
          <w:rFonts w:ascii="Times New Roman" w:hAnsi="Times New Roman"/>
          <w:sz w:val="24"/>
          <w:lang w:val="es-ES_tradnl"/>
        </w:rPr>
        <w:lastRenderedPageBreak/>
        <w:t>Procesos de compras y contrataciones a Pequeñas y Medianas empresas (Mipymes), con un monto de RD$</w:t>
      </w:r>
      <w:r w:rsidRPr="00087227">
        <w:rPr>
          <w:rFonts w:ascii="Times New Roman" w:hAnsi="Times New Roman"/>
          <w:sz w:val="24"/>
          <w:szCs w:val="24"/>
          <w:lang w:val="es-ES_tradnl"/>
        </w:rPr>
        <w:t>269,085,042.00</w:t>
      </w:r>
    </w:p>
    <w:p w14:paraId="224464D2" w14:textId="77777777" w:rsidR="00304F26" w:rsidRPr="00087227" w:rsidRDefault="00304F26" w:rsidP="00304F26">
      <w:pPr>
        <w:pStyle w:val="Prrafodelista"/>
        <w:rPr>
          <w:rFonts w:ascii="Times New Roman" w:hAnsi="Times New Roman"/>
          <w:sz w:val="24"/>
          <w:lang w:val="es-ES_tradnl"/>
        </w:rPr>
      </w:pPr>
    </w:p>
    <w:p w14:paraId="34DC89A8" w14:textId="77777777" w:rsidR="00304F26" w:rsidRPr="00087227" w:rsidRDefault="00304F26" w:rsidP="001C6B1A">
      <w:pPr>
        <w:pStyle w:val="Prrafodelista"/>
        <w:numPr>
          <w:ilvl w:val="0"/>
          <w:numId w:val="11"/>
        </w:numPr>
        <w:spacing w:after="0" w:line="480" w:lineRule="auto"/>
        <w:jc w:val="both"/>
        <w:rPr>
          <w:rFonts w:ascii="Times New Roman" w:hAnsi="Times New Roman"/>
          <w:sz w:val="24"/>
          <w:lang w:val="es-ES_tradnl"/>
        </w:rPr>
      </w:pPr>
      <w:r w:rsidRPr="00087227">
        <w:rPr>
          <w:rFonts w:ascii="Times New Roman" w:hAnsi="Times New Roman"/>
          <w:sz w:val="24"/>
          <w:lang w:val="es-ES_tradnl"/>
        </w:rPr>
        <w:t>Procesos de compras y Contrataciones Pequeñas y Medianas Empresas MIPYMES Mujer, con un monto de RD$122,872,795.00</w:t>
      </w:r>
    </w:p>
    <w:p w14:paraId="0B99C2CF" w14:textId="77777777" w:rsidR="00304F26" w:rsidRPr="00087227" w:rsidRDefault="00304F26" w:rsidP="00304F26">
      <w:pPr>
        <w:pStyle w:val="Prrafodelista"/>
        <w:rPr>
          <w:rFonts w:ascii="Times New Roman" w:hAnsi="Times New Roman"/>
          <w:sz w:val="24"/>
          <w:lang w:val="es-ES_tradnl"/>
        </w:rPr>
      </w:pPr>
    </w:p>
    <w:p w14:paraId="24D32B55" w14:textId="1D28F2DA" w:rsidR="00304F26" w:rsidRPr="00087227" w:rsidRDefault="00304F26" w:rsidP="00CA5792">
      <w:pPr>
        <w:pStyle w:val="Ttulo4"/>
      </w:pPr>
      <w:bookmarkStart w:id="461" w:name="_Toc251777867"/>
      <w:bookmarkStart w:id="462" w:name="_Toc254413086"/>
      <w:bookmarkStart w:id="463" w:name="_Toc409040086"/>
      <w:bookmarkStart w:id="464" w:name="_Toc440036737"/>
      <w:bookmarkStart w:id="465" w:name="_Toc470523391"/>
      <w:bookmarkStart w:id="466" w:name="_Toc26292108"/>
      <w:bookmarkStart w:id="467" w:name="_Toc27146849"/>
      <w:r w:rsidRPr="00087227">
        <w:t>Plan de compras y contrataciones publicado versus Plan anual de compras y contrataciones ejecutado</w:t>
      </w:r>
      <w:bookmarkEnd w:id="461"/>
      <w:bookmarkEnd w:id="462"/>
      <w:bookmarkEnd w:id="463"/>
      <w:bookmarkEnd w:id="464"/>
      <w:bookmarkEnd w:id="465"/>
      <w:bookmarkEnd w:id="466"/>
      <w:bookmarkEnd w:id="467"/>
    </w:p>
    <w:p w14:paraId="54323531" w14:textId="77777777" w:rsidR="00304F26" w:rsidRPr="00087227" w:rsidRDefault="00304F26" w:rsidP="00304F26">
      <w:pPr>
        <w:spacing w:after="0" w:line="480" w:lineRule="auto"/>
        <w:ind w:firstLine="720"/>
        <w:jc w:val="both"/>
        <w:rPr>
          <w:rFonts w:ascii="Times New Roman" w:hAnsi="Times New Roman"/>
          <w:color w:val="4F81BD" w:themeColor="accent1"/>
          <w:lang w:val="es-ES_tradnl"/>
        </w:rPr>
      </w:pPr>
    </w:p>
    <w:p w14:paraId="252F866C" w14:textId="77777777" w:rsidR="00304F26" w:rsidRPr="00087227" w:rsidRDefault="00304F26" w:rsidP="00304F26">
      <w:pPr>
        <w:spacing w:after="0" w:line="480" w:lineRule="auto"/>
        <w:ind w:firstLine="720"/>
        <w:jc w:val="both"/>
        <w:rPr>
          <w:rFonts w:ascii="Times New Roman" w:hAnsi="Times New Roman"/>
          <w:lang w:val="es-ES_tradnl"/>
        </w:rPr>
      </w:pPr>
      <w:r w:rsidRPr="00087227">
        <w:rPr>
          <w:rFonts w:ascii="Times New Roman" w:hAnsi="Times New Roman"/>
          <w:lang w:val="es-ES_tradnl"/>
        </w:rPr>
        <w:t xml:space="preserve">En el PACC 2019 la asignación de recursos para adquisiciones de bienes, servicios y obras se contempló la suma de RD$1,342,489,533.21, equivalente al 9.9% del presupuesto asignado al Ministerio de Agricultura ascendente a RD$13,535,266,540.00. </w:t>
      </w:r>
    </w:p>
    <w:p w14:paraId="2B44AD1C" w14:textId="77777777" w:rsidR="00304F26" w:rsidRPr="00087227" w:rsidRDefault="00304F26" w:rsidP="00304F26">
      <w:pPr>
        <w:spacing w:after="0" w:line="480" w:lineRule="auto"/>
        <w:ind w:firstLine="720"/>
        <w:jc w:val="both"/>
        <w:rPr>
          <w:rFonts w:ascii="Times New Roman" w:hAnsi="Times New Roman"/>
          <w:lang w:val="es-ES_tradnl"/>
        </w:rPr>
      </w:pPr>
    </w:p>
    <w:p w14:paraId="04B1D6C7" w14:textId="39151870" w:rsidR="00304F26" w:rsidRPr="00087227" w:rsidRDefault="00304F26" w:rsidP="00304F26">
      <w:pPr>
        <w:spacing w:after="0" w:line="480" w:lineRule="auto"/>
        <w:ind w:firstLine="720"/>
        <w:jc w:val="both"/>
        <w:rPr>
          <w:rFonts w:ascii="Times New Roman" w:hAnsi="Times New Roman"/>
          <w:lang w:val="es-ES_tradnl"/>
        </w:rPr>
      </w:pPr>
      <w:r w:rsidRPr="00087227">
        <w:rPr>
          <w:rFonts w:ascii="Times New Roman" w:hAnsi="Times New Roman"/>
          <w:lang w:val="es-ES_tradnl"/>
        </w:rPr>
        <w:t>El 93% del PACC ejecutado en procesos publicados y adjudicados en el periodo enero-noviembr</w:t>
      </w:r>
      <w:r w:rsidR="00BB7F45" w:rsidRPr="00087227">
        <w:rPr>
          <w:rFonts w:ascii="Times New Roman" w:hAnsi="Times New Roman"/>
          <w:lang w:val="es-ES_tradnl"/>
        </w:rPr>
        <w:t>e, equivalente a la suma de RD$</w:t>
      </w:r>
      <w:r w:rsidRPr="00087227">
        <w:rPr>
          <w:rFonts w:ascii="Times New Roman" w:hAnsi="Times New Roman"/>
          <w:lang w:val="es-ES_tradnl"/>
        </w:rPr>
        <w:t xml:space="preserve">1,248,753,858.00, y un 7% restante que corresponde a procesos que están en fase de adjudicación. </w:t>
      </w:r>
    </w:p>
    <w:p w14:paraId="35894E56" w14:textId="1B181DB2" w:rsidR="00F2330B" w:rsidRDefault="00F2330B">
      <w:pPr>
        <w:spacing w:after="0"/>
        <w:rPr>
          <w:rFonts w:ascii="Times New Roman" w:hAnsi="Times New Roman"/>
          <w:color w:val="4F81BD" w:themeColor="accent1"/>
          <w:lang w:val="es-ES_tradnl"/>
        </w:rPr>
      </w:pPr>
      <w:r>
        <w:rPr>
          <w:rFonts w:ascii="Times New Roman" w:hAnsi="Times New Roman"/>
          <w:color w:val="4F81BD" w:themeColor="accent1"/>
          <w:lang w:val="es-ES_tradnl"/>
        </w:rPr>
        <w:br w:type="page"/>
      </w:r>
    </w:p>
    <w:p w14:paraId="6F8EFC00" w14:textId="77777777" w:rsidR="00304F26" w:rsidRPr="003A5DC2" w:rsidRDefault="00304F26" w:rsidP="001C6B1A">
      <w:pPr>
        <w:pStyle w:val="Prrafodelista"/>
        <w:numPr>
          <w:ilvl w:val="0"/>
          <w:numId w:val="9"/>
        </w:numPr>
        <w:spacing w:after="0" w:line="240" w:lineRule="auto"/>
        <w:ind w:left="567" w:hanging="567"/>
        <w:rPr>
          <w:rFonts w:ascii="Times New Roman" w:hAnsi="Times New Roman"/>
          <w:b/>
          <w:sz w:val="24"/>
          <w:lang w:val="es-ES_tradnl"/>
        </w:rPr>
      </w:pPr>
      <w:r w:rsidRPr="003A5DC2">
        <w:rPr>
          <w:rFonts w:ascii="Times New Roman" w:hAnsi="Times New Roman"/>
          <w:b/>
          <w:sz w:val="24"/>
          <w:lang w:val="es-ES_tradnl"/>
        </w:rPr>
        <w:lastRenderedPageBreak/>
        <w:t>Tabla Serie histórica Comparativa PACC 2012-2019</w:t>
      </w:r>
    </w:p>
    <w:p w14:paraId="5B668622" w14:textId="77777777" w:rsidR="00304F26" w:rsidRPr="00291D6E" w:rsidRDefault="00304F26" w:rsidP="00304F26">
      <w:pPr>
        <w:pStyle w:val="Prrafodelista"/>
        <w:spacing w:after="0" w:line="240" w:lineRule="auto"/>
        <w:ind w:left="567"/>
        <w:rPr>
          <w:rFonts w:ascii="Times New Roman" w:hAnsi="Times New Roman"/>
          <w:b/>
          <w:sz w:val="24"/>
          <w:lang w:val="es-ES_tradnl"/>
        </w:rPr>
      </w:pPr>
    </w:p>
    <w:tbl>
      <w:tblPr>
        <w:tblStyle w:val="Tablaconcuadrcula"/>
        <w:tblW w:w="0" w:type="auto"/>
        <w:jc w:val="center"/>
        <w:tblLook w:val="04A0" w:firstRow="1" w:lastRow="0" w:firstColumn="1" w:lastColumn="0" w:noHBand="0" w:noVBand="1"/>
      </w:tblPr>
      <w:tblGrid>
        <w:gridCol w:w="1134"/>
        <w:gridCol w:w="1984"/>
        <w:gridCol w:w="2126"/>
        <w:gridCol w:w="2126"/>
      </w:tblGrid>
      <w:tr w:rsidR="00304F26" w:rsidRPr="001B46CF" w14:paraId="48ECBF1C" w14:textId="77777777" w:rsidTr="00291D6E">
        <w:trPr>
          <w:trHeight w:val="77"/>
          <w:jc w:val="center"/>
        </w:trPr>
        <w:tc>
          <w:tcPr>
            <w:tcW w:w="1134" w:type="dxa"/>
            <w:shd w:val="clear" w:color="auto" w:fill="00B050"/>
            <w:vAlign w:val="center"/>
          </w:tcPr>
          <w:p w14:paraId="0734A331" w14:textId="77777777" w:rsidR="00304F26" w:rsidRPr="001B46CF" w:rsidRDefault="00304F26" w:rsidP="00304F26">
            <w:pPr>
              <w:spacing w:after="0" w:line="276" w:lineRule="auto"/>
              <w:jc w:val="center"/>
              <w:rPr>
                <w:rFonts w:ascii="Times New Roman" w:hAnsi="Times New Roman"/>
                <w:b/>
                <w:bCs/>
                <w:color w:val="FFFFFF" w:themeColor="background1"/>
                <w:lang w:val="es-ES"/>
              </w:rPr>
            </w:pPr>
            <w:r w:rsidRPr="001B46CF">
              <w:rPr>
                <w:rFonts w:ascii="Times New Roman" w:hAnsi="Times New Roman"/>
                <w:b/>
                <w:bCs/>
                <w:color w:val="FFFFFF" w:themeColor="background1"/>
                <w:lang w:val="es-ES"/>
              </w:rPr>
              <w:t>Periodo</w:t>
            </w:r>
          </w:p>
        </w:tc>
        <w:tc>
          <w:tcPr>
            <w:tcW w:w="1984" w:type="dxa"/>
            <w:shd w:val="clear" w:color="auto" w:fill="00B050"/>
            <w:vAlign w:val="center"/>
          </w:tcPr>
          <w:p w14:paraId="0965444E" w14:textId="77777777" w:rsidR="00304F26" w:rsidRPr="001B46CF" w:rsidRDefault="00304F26" w:rsidP="00304F26">
            <w:pPr>
              <w:spacing w:after="0" w:line="276" w:lineRule="auto"/>
              <w:jc w:val="center"/>
              <w:rPr>
                <w:rFonts w:ascii="Times New Roman" w:hAnsi="Times New Roman"/>
                <w:b/>
                <w:bCs/>
                <w:color w:val="FFFFFF" w:themeColor="background1"/>
                <w:lang w:val="es-ES"/>
              </w:rPr>
            </w:pPr>
            <w:r w:rsidRPr="001B46CF">
              <w:rPr>
                <w:rFonts w:ascii="Times New Roman" w:hAnsi="Times New Roman"/>
                <w:b/>
                <w:bCs/>
                <w:color w:val="FFFFFF" w:themeColor="background1"/>
                <w:lang w:val="es-ES"/>
              </w:rPr>
              <w:t>Programado</w:t>
            </w:r>
          </w:p>
          <w:p w14:paraId="0CFA0BFA" w14:textId="77777777" w:rsidR="00304F26" w:rsidRPr="001B46CF" w:rsidRDefault="00304F26" w:rsidP="00304F26">
            <w:pPr>
              <w:spacing w:after="0" w:line="276" w:lineRule="auto"/>
              <w:jc w:val="center"/>
              <w:rPr>
                <w:rFonts w:ascii="Times New Roman" w:hAnsi="Times New Roman"/>
                <w:b/>
                <w:bCs/>
                <w:color w:val="FFFFFF" w:themeColor="background1"/>
                <w:lang w:val="es-ES"/>
              </w:rPr>
            </w:pPr>
            <w:r w:rsidRPr="001B46CF">
              <w:rPr>
                <w:rFonts w:ascii="Times New Roman" w:hAnsi="Times New Roman"/>
                <w:b/>
                <w:bCs/>
                <w:color w:val="FFFFFF" w:themeColor="background1"/>
                <w:lang w:val="es-ES"/>
              </w:rPr>
              <w:t>(RD$)</w:t>
            </w:r>
          </w:p>
        </w:tc>
        <w:tc>
          <w:tcPr>
            <w:tcW w:w="2126" w:type="dxa"/>
            <w:shd w:val="clear" w:color="auto" w:fill="00B050"/>
            <w:vAlign w:val="center"/>
          </w:tcPr>
          <w:p w14:paraId="6FAA2CAA" w14:textId="77777777" w:rsidR="00304F26" w:rsidRPr="001B46CF" w:rsidRDefault="00304F26" w:rsidP="00304F26">
            <w:pPr>
              <w:spacing w:after="0" w:line="276" w:lineRule="auto"/>
              <w:jc w:val="center"/>
              <w:rPr>
                <w:rFonts w:ascii="Times New Roman" w:hAnsi="Times New Roman"/>
                <w:b/>
                <w:bCs/>
                <w:color w:val="FFFFFF" w:themeColor="background1"/>
                <w:lang w:val="es-ES"/>
              </w:rPr>
            </w:pPr>
            <w:r w:rsidRPr="001B46CF">
              <w:rPr>
                <w:rFonts w:ascii="Times New Roman" w:hAnsi="Times New Roman"/>
                <w:b/>
                <w:bCs/>
                <w:color w:val="FFFFFF" w:themeColor="background1"/>
                <w:lang w:val="es-ES"/>
              </w:rPr>
              <w:t>Ejecutado</w:t>
            </w:r>
          </w:p>
          <w:p w14:paraId="6E807476" w14:textId="77777777" w:rsidR="00304F26" w:rsidRPr="001B46CF" w:rsidRDefault="00304F26" w:rsidP="00304F26">
            <w:pPr>
              <w:spacing w:after="0" w:line="276" w:lineRule="auto"/>
              <w:jc w:val="center"/>
              <w:rPr>
                <w:rFonts w:ascii="Times New Roman" w:hAnsi="Times New Roman"/>
                <w:b/>
                <w:bCs/>
                <w:color w:val="FFFFFF" w:themeColor="background1"/>
                <w:lang w:val="es-ES"/>
              </w:rPr>
            </w:pPr>
            <w:r w:rsidRPr="001B46CF">
              <w:rPr>
                <w:rFonts w:ascii="Times New Roman" w:hAnsi="Times New Roman"/>
                <w:b/>
                <w:bCs/>
                <w:color w:val="FFFFFF" w:themeColor="background1"/>
                <w:lang w:val="es-ES"/>
              </w:rPr>
              <w:t>(RD$)</w:t>
            </w:r>
          </w:p>
        </w:tc>
        <w:tc>
          <w:tcPr>
            <w:tcW w:w="2126" w:type="dxa"/>
            <w:shd w:val="clear" w:color="auto" w:fill="00B050"/>
            <w:vAlign w:val="center"/>
          </w:tcPr>
          <w:p w14:paraId="5100B2B3" w14:textId="77777777" w:rsidR="00304F26" w:rsidRPr="001B46CF" w:rsidRDefault="00304F26" w:rsidP="00304F26">
            <w:pPr>
              <w:spacing w:after="0" w:line="276" w:lineRule="auto"/>
              <w:jc w:val="center"/>
              <w:rPr>
                <w:rFonts w:ascii="Times New Roman" w:hAnsi="Times New Roman"/>
                <w:b/>
                <w:color w:val="FFFFFF" w:themeColor="background1"/>
                <w:lang w:val="es-ES"/>
              </w:rPr>
            </w:pPr>
            <w:r w:rsidRPr="001B46CF">
              <w:rPr>
                <w:rFonts w:ascii="Times New Roman" w:hAnsi="Times New Roman"/>
                <w:b/>
                <w:color w:val="FFFFFF" w:themeColor="background1"/>
                <w:lang w:val="es-ES"/>
              </w:rPr>
              <w:t>Variación</w:t>
            </w:r>
          </w:p>
          <w:p w14:paraId="22D46328" w14:textId="77777777" w:rsidR="00304F26" w:rsidRPr="001B46CF" w:rsidRDefault="00304F26" w:rsidP="00304F26">
            <w:pPr>
              <w:spacing w:after="0" w:line="276" w:lineRule="auto"/>
              <w:jc w:val="center"/>
              <w:rPr>
                <w:rFonts w:ascii="Times New Roman" w:hAnsi="Times New Roman"/>
                <w:b/>
                <w:bCs/>
                <w:color w:val="FFFFFF" w:themeColor="background1"/>
                <w:lang w:val="es-ES"/>
              </w:rPr>
            </w:pPr>
            <w:r w:rsidRPr="001B46CF">
              <w:rPr>
                <w:rFonts w:ascii="Times New Roman" w:hAnsi="Times New Roman"/>
                <w:b/>
                <w:color w:val="FFFFFF" w:themeColor="background1"/>
                <w:lang w:val="es-ES"/>
              </w:rPr>
              <w:t>(RD$)</w:t>
            </w:r>
          </w:p>
        </w:tc>
      </w:tr>
      <w:tr w:rsidR="00304F26" w:rsidRPr="001B46CF" w14:paraId="7BC4FD41" w14:textId="77777777" w:rsidTr="00087227">
        <w:trPr>
          <w:jc w:val="center"/>
        </w:trPr>
        <w:tc>
          <w:tcPr>
            <w:tcW w:w="1134" w:type="dxa"/>
            <w:shd w:val="clear" w:color="auto" w:fill="FFFFFF" w:themeFill="background1"/>
            <w:vAlign w:val="center"/>
          </w:tcPr>
          <w:p w14:paraId="3D6C7D3F" w14:textId="77777777" w:rsidR="00304F26" w:rsidRPr="00087227" w:rsidRDefault="00304F26" w:rsidP="00304F26">
            <w:pPr>
              <w:spacing w:after="0" w:line="276" w:lineRule="auto"/>
              <w:jc w:val="center"/>
              <w:rPr>
                <w:rFonts w:ascii="Times New Roman" w:hAnsi="Times New Roman"/>
                <w:bCs/>
                <w:lang w:val="es-ES"/>
              </w:rPr>
            </w:pPr>
            <w:r w:rsidRPr="00087227">
              <w:rPr>
                <w:rFonts w:ascii="Times New Roman" w:hAnsi="Times New Roman"/>
                <w:bCs/>
                <w:lang w:val="es-ES"/>
              </w:rPr>
              <w:t>2012</w:t>
            </w:r>
          </w:p>
        </w:tc>
        <w:tc>
          <w:tcPr>
            <w:tcW w:w="1984" w:type="dxa"/>
            <w:shd w:val="clear" w:color="auto" w:fill="FFFFFF" w:themeFill="background1"/>
            <w:vAlign w:val="center"/>
          </w:tcPr>
          <w:p w14:paraId="060DBF32" w14:textId="469B2C2B" w:rsidR="00304F26" w:rsidRPr="00087227" w:rsidRDefault="00304F26" w:rsidP="00304F26">
            <w:pPr>
              <w:spacing w:after="0" w:line="276" w:lineRule="auto"/>
              <w:jc w:val="center"/>
              <w:rPr>
                <w:rFonts w:ascii="Times New Roman" w:hAnsi="Times New Roman"/>
                <w:bCs/>
                <w:lang w:val="es-ES"/>
              </w:rPr>
            </w:pPr>
            <w:r w:rsidRPr="00087227">
              <w:rPr>
                <w:rFonts w:ascii="Times New Roman" w:hAnsi="Times New Roman"/>
                <w:bCs/>
                <w:lang w:val="es-ES"/>
              </w:rPr>
              <w:t>PNR</w:t>
            </w:r>
            <w:r w:rsidR="00291D6E" w:rsidRPr="00087227">
              <w:rPr>
                <w:rStyle w:val="Refdenotaalpie"/>
                <w:rFonts w:ascii="Times New Roman" w:hAnsi="Times New Roman"/>
                <w:bCs/>
                <w:lang w:val="es-ES"/>
              </w:rPr>
              <w:footnoteReference w:id="36"/>
            </w:r>
          </w:p>
        </w:tc>
        <w:tc>
          <w:tcPr>
            <w:tcW w:w="2126" w:type="dxa"/>
            <w:shd w:val="clear" w:color="auto" w:fill="FFFFFF" w:themeFill="background1"/>
            <w:vAlign w:val="center"/>
          </w:tcPr>
          <w:p w14:paraId="586C8474" w14:textId="77777777" w:rsidR="00304F26" w:rsidRPr="00087227" w:rsidRDefault="00304F26" w:rsidP="00304F26">
            <w:pPr>
              <w:spacing w:after="0" w:line="276" w:lineRule="auto"/>
              <w:jc w:val="center"/>
              <w:rPr>
                <w:rFonts w:ascii="Times New Roman" w:hAnsi="Times New Roman"/>
                <w:bCs/>
                <w:lang w:val="es-ES"/>
              </w:rPr>
            </w:pPr>
            <w:r w:rsidRPr="00087227">
              <w:rPr>
                <w:rFonts w:ascii="Times New Roman" w:hAnsi="Times New Roman"/>
                <w:bCs/>
                <w:lang w:val="es-ES"/>
              </w:rPr>
              <w:t>896,998,763.47</w:t>
            </w:r>
          </w:p>
        </w:tc>
        <w:tc>
          <w:tcPr>
            <w:tcW w:w="2126" w:type="dxa"/>
            <w:shd w:val="clear" w:color="auto" w:fill="FFFFFF" w:themeFill="background1"/>
            <w:vAlign w:val="center"/>
          </w:tcPr>
          <w:p w14:paraId="5622452F" w14:textId="350BA726" w:rsidR="00304F26" w:rsidRPr="00087227" w:rsidRDefault="00F2330B" w:rsidP="00304F26">
            <w:pPr>
              <w:spacing w:after="0" w:line="276" w:lineRule="auto"/>
              <w:jc w:val="center"/>
              <w:rPr>
                <w:rFonts w:ascii="Times New Roman" w:hAnsi="Times New Roman"/>
                <w:bCs/>
                <w:lang w:val="es-ES"/>
              </w:rPr>
            </w:pPr>
            <w:r>
              <w:rPr>
                <w:rFonts w:ascii="Times New Roman" w:hAnsi="Times New Roman"/>
                <w:color w:val="000000"/>
                <w:lang w:val="es-ES"/>
              </w:rPr>
              <w:t>No disponible</w:t>
            </w:r>
          </w:p>
        </w:tc>
      </w:tr>
      <w:tr w:rsidR="00304F26" w:rsidRPr="001B46CF" w14:paraId="5D7D1378" w14:textId="77777777" w:rsidTr="00291D6E">
        <w:trPr>
          <w:jc w:val="center"/>
        </w:trPr>
        <w:tc>
          <w:tcPr>
            <w:tcW w:w="1134" w:type="dxa"/>
            <w:vAlign w:val="center"/>
          </w:tcPr>
          <w:p w14:paraId="4F349701"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bCs/>
                <w:lang w:val="es-ES"/>
              </w:rPr>
              <w:t>2013</w:t>
            </w:r>
          </w:p>
        </w:tc>
        <w:tc>
          <w:tcPr>
            <w:tcW w:w="1984" w:type="dxa"/>
            <w:vAlign w:val="center"/>
          </w:tcPr>
          <w:p w14:paraId="2F91ECE3"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bCs/>
                <w:lang w:val="es-ES"/>
              </w:rPr>
              <w:t>1,044,891,602.82</w:t>
            </w:r>
          </w:p>
        </w:tc>
        <w:tc>
          <w:tcPr>
            <w:tcW w:w="2126" w:type="dxa"/>
            <w:vAlign w:val="center"/>
          </w:tcPr>
          <w:p w14:paraId="0C398D0C"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bCs/>
                <w:lang w:val="es-ES"/>
              </w:rPr>
              <w:t>1,968,908,291.87</w:t>
            </w:r>
          </w:p>
        </w:tc>
        <w:tc>
          <w:tcPr>
            <w:tcW w:w="2126" w:type="dxa"/>
            <w:vAlign w:val="center"/>
          </w:tcPr>
          <w:p w14:paraId="16E4AAE7"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color w:val="000000"/>
                <w:lang w:val="es-ES"/>
              </w:rPr>
              <w:t>924,016,689.05</w:t>
            </w:r>
          </w:p>
        </w:tc>
      </w:tr>
      <w:tr w:rsidR="00304F26" w:rsidRPr="001B46CF" w14:paraId="60743849" w14:textId="77777777" w:rsidTr="00291D6E">
        <w:trPr>
          <w:jc w:val="center"/>
        </w:trPr>
        <w:tc>
          <w:tcPr>
            <w:tcW w:w="1134" w:type="dxa"/>
            <w:vAlign w:val="center"/>
          </w:tcPr>
          <w:p w14:paraId="2260BB3C"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bCs/>
                <w:lang w:val="es-ES"/>
              </w:rPr>
              <w:t>2014</w:t>
            </w:r>
          </w:p>
        </w:tc>
        <w:tc>
          <w:tcPr>
            <w:tcW w:w="1984" w:type="dxa"/>
            <w:vAlign w:val="center"/>
          </w:tcPr>
          <w:p w14:paraId="73FBC210"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bCs/>
                <w:lang w:val="es-ES"/>
              </w:rPr>
              <w:t>2,071,796,797.00</w:t>
            </w:r>
          </w:p>
        </w:tc>
        <w:tc>
          <w:tcPr>
            <w:tcW w:w="2126" w:type="dxa"/>
            <w:vAlign w:val="center"/>
          </w:tcPr>
          <w:p w14:paraId="1C50D4C7"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bCs/>
                <w:lang w:val="es-ES"/>
              </w:rPr>
              <w:t>1,187,559,761.70</w:t>
            </w:r>
          </w:p>
        </w:tc>
        <w:tc>
          <w:tcPr>
            <w:tcW w:w="2126" w:type="dxa"/>
            <w:vAlign w:val="center"/>
          </w:tcPr>
          <w:p w14:paraId="63FF9E99"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color w:val="000000"/>
                <w:lang w:val="es-ES"/>
              </w:rPr>
              <w:t>-884,237,035.30</w:t>
            </w:r>
          </w:p>
        </w:tc>
      </w:tr>
      <w:tr w:rsidR="00304F26" w:rsidRPr="001B46CF" w14:paraId="4799376C" w14:textId="77777777" w:rsidTr="00291D6E">
        <w:trPr>
          <w:jc w:val="center"/>
        </w:trPr>
        <w:tc>
          <w:tcPr>
            <w:tcW w:w="1134" w:type="dxa"/>
            <w:vAlign w:val="center"/>
          </w:tcPr>
          <w:p w14:paraId="65A02727"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bCs/>
                <w:lang w:val="es-ES"/>
              </w:rPr>
              <w:t>2015</w:t>
            </w:r>
          </w:p>
        </w:tc>
        <w:tc>
          <w:tcPr>
            <w:tcW w:w="1984" w:type="dxa"/>
            <w:vAlign w:val="center"/>
          </w:tcPr>
          <w:p w14:paraId="4C0AECD1"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bCs/>
                <w:lang w:val="es-ES"/>
              </w:rPr>
              <w:t>650,923,594.00</w:t>
            </w:r>
          </w:p>
        </w:tc>
        <w:tc>
          <w:tcPr>
            <w:tcW w:w="2126" w:type="dxa"/>
            <w:vAlign w:val="center"/>
          </w:tcPr>
          <w:p w14:paraId="5A2BEC1C"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bCs/>
                <w:lang w:val="es-ES"/>
              </w:rPr>
              <w:t>896,555,928.73</w:t>
            </w:r>
          </w:p>
        </w:tc>
        <w:tc>
          <w:tcPr>
            <w:tcW w:w="2126" w:type="dxa"/>
            <w:vAlign w:val="center"/>
          </w:tcPr>
          <w:p w14:paraId="620DD45F"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color w:val="000000"/>
                <w:lang w:val="es-ES"/>
              </w:rPr>
              <w:t>245,632,334.73</w:t>
            </w:r>
          </w:p>
        </w:tc>
      </w:tr>
      <w:tr w:rsidR="00304F26" w:rsidRPr="001B46CF" w14:paraId="139CDA07" w14:textId="77777777" w:rsidTr="00291D6E">
        <w:trPr>
          <w:jc w:val="center"/>
        </w:trPr>
        <w:tc>
          <w:tcPr>
            <w:tcW w:w="1134" w:type="dxa"/>
            <w:vAlign w:val="center"/>
          </w:tcPr>
          <w:p w14:paraId="5BF00E30"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bCs/>
                <w:lang w:val="es-ES"/>
              </w:rPr>
              <w:t>2016</w:t>
            </w:r>
          </w:p>
        </w:tc>
        <w:tc>
          <w:tcPr>
            <w:tcW w:w="1984" w:type="dxa"/>
            <w:vAlign w:val="center"/>
          </w:tcPr>
          <w:p w14:paraId="235D2D1E"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bCs/>
                <w:lang w:val="es-ES"/>
              </w:rPr>
              <w:t>713,284,054.00</w:t>
            </w:r>
          </w:p>
        </w:tc>
        <w:tc>
          <w:tcPr>
            <w:tcW w:w="2126" w:type="dxa"/>
            <w:vAlign w:val="center"/>
          </w:tcPr>
          <w:p w14:paraId="48989E08"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bCs/>
                <w:lang w:val="es-ES"/>
              </w:rPr>
              <w:t>1,551,242,724.06</w:t>
            </w:r>
          </w:p>
        </w:tc>
        <w:tc>
          <w:tcPr>
            <w:tcW w:w="2126" w:type="dxa"/>
            <w:vAlign w:val="center"/>
          </w:tcPr>
          <w:p w14:paraId="21F37359"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color w:val="000000"/>
                <w:lang w:val="es-ES"/>
              </w:rPr>
              <w:t>837,958,670.06</w:t>
            </w:r>
          </w:p>
        </w:tc>
      </w:tr>
      <w:tr w:rsidR="00304F26" w:rsidRPr="001B46CF" w14:paraId="73B56E21" w14:textId="77777777" w:rsidTr="00291D6E">
        <w:trPr>
          <w:jc w:val="center"/>
        </w:trPr>
        <w:tc>
          <w:tcPr>
            <w:tcW w:w="1134" w:type="dxa"/>
            <w:vAlign w:val="center"/>
          </w:tcPr>
          <w:p w14:paraId="0364F6F8"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bCs/>
                <w:lang w:val="es-ES"/>
              </w:rPr>
              <w:t>2017</w:t>
            </w:r>
          </w:p>
        </w:tc>
        <w:tc>
          <w:tcPr>
            <w:tcW w:w="1984" w:type="dxa"/>
            <w:vAlign w:val="center"/>
          </w:tcPr>
          <w:p w14:paraId="536332F4"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bCs/>
                <w:lang w:val="es-ES"/>
              </w:rPr>
              <w:t>756,083,786.00</w:t>
            </w:r>
          </w:p>
        </w:tc>
        <w:tc>
          <w:tcPr>
            <w:tcW w:w="2126" w:type="dxa"/>
            <w:vAlign w:val="center"/>
          </w:tcPr>
          <w:p w14:paraId="1FA69096"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bCs/>
                <w:lang w:val="es-ES"/>
              </w:rPr>
              <w:t>1,119,648,737.00</w:t>
            </w:r>
          </w:p>
        </w:tc>
        <w:tc>
          <w:tcPr>
            <w:tcW w:w="2126" w:type="dxa"/>
            <w:vAlign w:val="center"/>
          </w:tcPr>
          <w:p w14:paraId="54058B14"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color w:val="000000"/>
                <w:lang w:val="es-ES"/>
              </w:rPr>
              <w:t>363,564,951.00</w:t>
            </w:r>
          </w:p>
        </w:tc>
      </w:tr>
      <w:tr w:rsidR="00304F26" w:rsidRPr="001B46CF" w14:paraId="0BC2F050" w14:textId="77777777" w:rsidTr="00291D6E">
        <w:trPr>
          <w:jc w:val="center"/>
        </w:trPr>
        <w:tc>
          <w:tcPr>
            <w:tcW w:w="1134" w:type="dxa"/>
            <w:vAlign w:val="center"/>
          </w:tcPr>
          <w:p w14:paraId="124EEF76"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bCs/>
                <w:lang w:val="es-ES"/>
              </w:rPr>
              <w:t>2018</w:t>
            </w:r>
          </w:p>
        </w:tc>
        <w:tc>
          <w:tcPr>
            <w:tcW w:w="1984" w:type="dxa"/>
            <w:vAlign w:val="center"/>
          </w:tcPr>
          <w:p w14:paraId="794544ED"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bCs/>
                <w:lang w:val="es-ES"/>
              </w:rPr>
              <w:t>1,342,489,533.21</w:t>
            </w:r>
          </w:p>
        </w:tc>
        <w:tc>
          <w:tcPr>
            <w:tcW w:w="2126" w:type="dxa"/>
            <w:vAlign w:val="center"/>
          </w:tcPr>
          <w:p w14:paraId="717227BD"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bCs/>
                <w:lang w:val="es-ES"/>
              </w:rPr>
              <w:t>2,356,852,916.27</w:t>
            </w:r>
          </w:p>
        </w:tc>
        <w:tc>
          <w:tcPr>
            <w:tcW w:w="2126" w:type="dxa"/>
            <w:vAlign w:val="center"/>
          </w:tcPr>
          <w:p w14:paraId="436B7060"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color w:val="000000"/>
                <w:lang w:val="es-ES"/>
              </w:rPr>
              <w:t>1,014,363,383.06</w:t>
            </w:r>
          </w:p>
        </w:tc>
      </w:tr>
      <w:tr w:rsidR="00304F26" w:rsidRPr="001B46CF" w14:paraId="553609EE" w14:textId="77777777" w:rsidTr="00291D6E">
        <w:trPr>
          <w:jc w:val="center"/>
        </w:trPr>
        <w:tc>
          <w:tcPr>
            <w:tcW w:w="1134" w:type="dxa"/>
            <w:shd w:val="clear" w:color="auto" w:fill="auto"/>
            <w:vAlign w:val="center"/>
          </w:tcPr>
          <w:p w14:paraId="5089F3F2" w14:textId="77777777" w:rsidR="00304F26" w:rsidRPr="001B46CF" w:rsidRDefault="00304F26" w:rsidP="00304F26">
            <w:pPr>
              <w:spacing w:after="0" w:line="276" w:lineRule="auto"/>
              <w:jc w:val="center"/>
              <w:rPr>
                <w:rFonts w:ascii="Times New Roman" w:hAnsi="Times New Roman"/>
                <w:bCs/>
                <w:lang w:val="es-ES"/>
              </w:rPr>
            </w:pPr>
            <w:r w:rsidRPr="001B46CF">
              <w:rPr>
                <w:rFonts w:ascii="Times New Roman" w:hAnsi="Times New Roman"/>
                <w:bCs/>
                <w:lang w:val="es-ES"/>
              </w:rPr>
              <w:t>2019</w:t>
            </w:r>
          </w:p>
        </w:tc>
        <w:tc>
          <w:tcPr>
            <w:tcW w:w="1984" w:type="dxa"/>
            <w:shd w:val="clear" w:color="auto" w:fill="auto"/>
            <w:vAlign w:val="center"/>
          </w:tcPr>
          <w:p w14:paraId="57605E4F" w14:textId="77777777" w:rsidR="00304F26" w:rsidRPr="00087227" w:rsidRDefault="00304F26" w:rsidP="00304F26">
            <w:pPr>
              <w:spacing w:after="0" w:line="276" w:lineRule="auto"/>
              <w:jc w:val="center"/>
              <w:rPr>
                <w:rFonts w:ascii="Times New Roman" w:hAnsi="Times New Roman"/>
                <w:bCs/>
                <w:lang w:val="es-ES"/>
              </w:rPr>
            </w:pPr>
            <w:r w:rsidRPr="00087227">
              <w:rPr>
                <w:rFonts w:ascii="Times New Roman" w:hAnsi="Times New Roman"/>
                <w:bCs/>
                <w:lang w:val="es-ES_tradnl" w:eastAsia="es-DO"/>
              </w:rPr>
              <w:t>1,359,091,114.00</w:t>
            </w:r>
          </w:p>
        </w:tc>
        <w:tc>
          <w:tcPr>
            <w:tcW w:w="2126" w:type="dxa"/>
            <w:shd w:val="clear" w:color="auto" w:fill="auto"/>
            <w:vAlign w:val="center"/>
          </w:tcPr>
          <w:p w14:paraId="270EDCE9" w14:textId="77777777" w:rsidR="00304F26" w:rsidRPr="00087227" w:rsidRDefault="00304F26" w:rsidP="00304F26">
            <w:pPr>
              <w:spacing w:after="0" w:line="276" w:lineRule="auto"/>
              <w:jc w:val="center"/>
              <w:rPr>
                <w:rFonts w:ascii="Times New Roman" w:hAnsi="Times New Roman"/>
                <w:bCs/>
                <w:lang w:val="es-ES"/>
              </w:rPr>
            </w:pPr>
            <w:r w:rsidRPr="00087227">
              <w:rPr>
                <w:rFonts w:ascii="Times New Roman" w:hAnsi="Times New Roman"/>
                <w:bCs/>
                <w:lang w:val="es-ES_tradnl" w:eastAsia="es-DO"/>
              </w:rPr>
              <w:t>1,275,198,035.00</w:t>
            </w:r>
          </w:p>
        </w:tc>
        <w:tc>
          <w:tcPr>
            <w:tcW w:w="2126" w:type="dxa"/>
            <w:shd w:val="clear" w:color="auto" w:fill="auto"/>
            <w:vAlign w:val="center"/>
          </w:tcPr>
          <w:p w14:paraId="003D92D1" w14:textId="77777777" w:rsidR="00304F26" w:rsidRPr="00087227" w:rsidRDefault="00304F26" w:rsidP="00304F26">
            <w:pPr>
              <w:spacing w:after="0"/>
              <w:jc w:val="right"/>
              <w:rPr>
                <w:rFonts w:ascii="Times New Roman" w:hAnsi="Times New Roman"/>
                <w:lang w:val="en-US" w:eastAsia="en-US"/>
              </w:rPr>
            </w:pPr>
            <w:r w:rsidRPr="00087227">
              <w:rPr>
                <w:rFonts w:ascii="Times New Roman" w:hAnsi="Times New Roman"/>
              </w:rPr>
              <w:t>-83,893,082.00</w:t>
            </w:r>
          </w:p>
        </w:tc>
      </w:tr>
    </w:tbl>
    <w:p w14:paraId="1527DD89" w14:textId="4CC898CF" w:rsidR="00304F26" w:rsidRDefault="00304F26" w:rsidP="00304F26">
      <w:pPr>
        <w:spacing w:after="0" w:line="480" w:lineRule="auto"/>
        <w:ind w:firstLine="720"/>
        <w:jc w:val="both"/>
        <w:rPr>
          <w:rFonts w:ascii="Times New Roman" w:hAnsi="Times New Roman"/>
          <w:color w:val="4F81BD" w:themeColor="accent1"/>
          <w:lang w:val="es-ES_tradnl"/>
        </w:rPr>
      </w:pPr>
    </w:p>
    <w:p w14:paraId="538E08FA" w14:textId="12F0362D" w:rsidR="00304F26" w:rsidRPr="007B0121" w:rsidRDefault="00304F26" w:rsidP="00CA5792">
      <w:pPr>
        <w:pStyle w:val="Ttulo4"/>
      </w:pPr>
      <w:bookmarkStart w:id="468" w:name="_Toc26292109"/>
      <w:bookmarkStart w:id="469" w:name="_Toc27146850"/>
      <w:r w:rsidRPr="007B0121">
        <w:t>Clasificación compras y contrataciones</w:t>
      </w:r>
      <w:bookmarkEnd w:id="468"/>
      <w:bookmarkEnd w:id="469"/>
    </w:p>
    <w:p w14:paraId="0AFB53DD" w14:textId="77777777" w:rsidR="00304F26" w:rsidRDefault="00304F26" w:rsidP="00304F26">
      <w:pPr>
        <w:spacing w:after="0" w:line="480" w:lineRule="auto"/>
        <w:ind w:firstLine="851"/>
        <w:contextualSpacing/>
        <w:jc w:val="both"/>
        <w:rPr>
          <w:rFonts w:ascii="Times New Roman" w:hAnsi="Times New Roman"/>
          <w:b/>
          <w:sz w:val="28"/>
          <w:lang w:val="es-ES_tradnl"/>
        </w:rPr>
      </w:pPr>
    </w:p>
    <w:p w14:paraId="66CCEE1E" w14:textId="77777777" w:rsidR="00304F26" w:rsidRDefault="00304F26" w:rsidP="00304F26">
      <w:pPr>
        <w:spacing w:after="0" w:line="480" w:lineRule="auto"/>
        <w:ind w:firstLine="851"/>
        <w:contextualSpacing/>
        <w:jc w:val="both"/>
        <w:rPr>
          <w:rFonts w:ascii="Times New Roman" w:hAnsi="Times New Roman"/>
          <w:b/>
          <w:sz w:val="28"/>
          <w:lang w:val="es-ES_tradnl"/>
        </w:rPr>
      </w:pPr>
      <w:r w:rsidRPr="007B0121">
        <w:rPr>
          <w:rFonts w:ascii="Times New Roman" w:hAnsi="Times New Roman"/>
          <w:b/>
          <w:sz w:val="28"/>
          <w:lang w:val="es-ES_tradnl"/>
        </w:rPr>
        <w:t>Compras y contrataciones registradas según la clasificación de rubros/proveedores, cantidad de procesos y monto total.</w:t>
      </w:r>
    </w:p>
    <w:p w14:paraId="5ED7F4E0" w14:textId="77777777" w:rsidR="00304F26" w:rsidRPr="007B0121" w:rsidRDefault="00304F26" w:rsidP="00304F26">
      <w:pPr>
        <w:spacing w:after="0" w:line="480" w:lineRule="auto"/>
        <w:ind w:firstLine="851"/>
        <w:contextualSpacing/>
        <w:jc w:val="both"/>
        <w:rPr>
          <w:rFonts w:ascii="Times New Roman" w:hAnsi="Times New Roman"/>
          <w:b/>
          <w:sz w:val="28"/>
          <w:lang w:val="es-ES_tradnl"/>
        </w:rPr>
      </w:pPr>
    </w:p>
    <w:p w14:paraId="1DDA1882" w14:textId="77777777" w:rsidR="00304F26" w:rsidRDefault="00304F26" w:rsidP="001C6B1A">
      <w:pPr>
        <w:pStyle w:val="Prrafodelista"/>
        <w:numPr>
          <w:ilvl w:val="0"/>
          <w:numId w:val="9"/>
        </w:numPr>
        <w:spacing w:after="0" w:line="240" w:lineRule="auto"/>
        <w:ind w:left="567" w:hanging="567"/>
        <w:rPr>
          <w:rFonts w:ascii="Times New Roman" w:hAnsi="Times New Roman"/>
          <w:b/>
          <w:sz w:val="28"/>
          <w:lang w:val="es-ES_tradnl"/>
        </w:rPr>
      </w:pPr>
      <w:r w:rsidRPr="007B0121">
        <w:rPr>
          <w:rFonts w:ascii="Times New Roman" w:hAnsi="Times New Roman"/>
          <w:b/>
          <w:sz w:val="28"/>
          <w:lang w:val="es-ES_tradnl"/>
        </w:rPr>
        <w:t>Clasificación de rubros contratados</w:t>
      </w:r>
    </w:p>
    <w:p w14:paraId="52EAF29D" w14:textId="77777777" w:rsidR="00304F26" w:rsidRDefault="00304F26" w:rsidP="00304F26"/>
    <w:tbl>
      <w:tblPr>
        <w:tblW w:w="9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6210"/>
        <w:gridCol w:w="1896"/>
      </w:tblGrid>
      <w:tr w:rsidR="00304F26" w:rsidRPr="00733F77" w14:paraId="1C1E27A4" w14:textId="77777777" w:rsidTr="00F2330B">
        <w:trPr>
          <w:trHeight w:val="379"/>
        </w:trPr>
        <w:tc>
          <w:tcPr>
            <w:tcW w:w="1096" w:type="dxa"/>
            <w:shd w:val="clear" w:color="auto" w:fill="00B050"/>
            <w:vAlign w:val="center"/>
            <w:hideMark/>
          </w:tcPr>
          <w:p w14:paraId="1A6A6481" w14:textId="77777777" w:rsidR="00304F26" w:rsidRPr="00733F77" w:rsidRDefault="00304F26" w:rsidP="00304F26">
            <w:pPr>
              <w:spacing w:after="0"/>
              <w:jc w:val="center"/>
              <w:rPr>
                <w:rFonts w:ascii="Times New Roman" w:hAnsi="Times New Roman"/>
                <w:b/>
                <w:bCs/>
                <w:color w:val="FFFFFF" w:themeColor="background1"/>
                <w:lang w:val="en-US"/>
              </w:rPr>
            </w:pPr>
            <w:r w:rsidRPr="00733F77">
              <w:rPr>
                <w:rFonts w:ascii="Times New Roman" w:hAnsi="Times New Roman"/>
                <w:b/>
                <w:color w:val="FFFFFF" w:themeColor="background1"/>
                <w:lang w:val="es-ES_tradnl"/>
              </w:rPr>
              <w:t>Código Rubro</w:t>
            </w:r>
          </w:p>
        </w:tc>
        <w:tc>
          <w:tcPr>
            <w:tcW w:w="6210" w:type="dxa"/>
            <w:shd w:val="clear" w:color="auto" w:fill="00B050"/>
            <w:vAlign w:val="center"/>
            <w:hideMark/>
          </w:tcPr>
          <w:p w14:paraId="7E9E58D0" w14:textId="77777777" w:rsidR="00304F26" w:rsidRPr="00733F77" w:rsidRDefault="00304F26" w:rsidP="00304F26">
            <w:pPr>
              <w:spacing w:after="0"/>
              <w:jc w:val="center"/>
              <w:rPr>
                <w:rFonts w:ascii="Times New Roman" w:hAnsi="Times New Roman"/>
                <w:b/>
                <w:bCs/>
                <w:color w:val="FFFFFF" w:themeColor="background1"/>
                <w:lang w:val="en-US"/>
              </w:rPr>
            </w:pPr>
            <w:r w:rsidRPr="00733F77">
              <w:rPr>
                <w:rFonts w:ascii="Times New Roman" w:hAnsi="Times New Roman"/>
                <w:b/>
                <w:color w:val="FFFFFF" w:themeColor="background1"/>
                <w:lang w:val="es-ES_tradnl"/>
              </w:rPr>
              <w:t>Descripción del Rubro (Familia)</w:t>
            </w:r>
          </w:p>
        </w:tc>
        <w:tc>
          <w:tcPr>
            <w:tcW w:w="1896" w:type="dxa"/>
            <w:shd w:val="clear" w:color="auto" w:fill="00B050"/>
            <w:vAlign w:val="center"/>
            <w:hideMark/>
          </w:tcPr>
          <w:p w14:paraId="1BC22D5C" w14:textId="77777777" w:rsidR="00304F26" w:rsidRDefault="00304F26" w:rsidP="00304F26">
            <w:pPr>
              <w:spacing w:after="0"/>
              <w:jc w:val="center"/>
              <w:rPr>
                <w:rFonts w:ascii="Times New Roman" w:hAnsi="Times New Roman"/>
                <w:b/>
                <w:color w:val="FFFFFF" w:themeColor="background1"/>
                <w:lang w:val="es-ES_tradnl"/>
              </w:rPr>
            </w:pPr>
            <w:r w:rsidRPr="00733F77">
              <w:rPr>
                <w:rFonts w:ascii="Times New Roman" w:hAnsi="Times New Roman"/>
                <w:b/>
                <w:color w:val="FFFFFF" w:themeColor="background1"/>
                <w:lang w:val="es-ES_tradnl"/>
              </w:rPr>
              <w:t xml:space="preserve">Monto </w:t>
            </w:r>
          </w:p>
          <w:p w14:paraId="0352D766" w14:textId="77777777" w:rsidR="00304F26" w:rsidRPr="00733F77" w:rsidRDefault="00304F26" w:rsidP="00304F26">
            <w:pPr>
              <w:spacing w:after="0"/>
              <w:jc w:val="center"/>
              <w:rPr>
                <w:rFonts w:ascii="Times New Roman" w:hAnsi="Times New Roman"/>
                <w:b/>
                <w:bCs/>
                <w:color w:val="FFFFFF" w:themeColor="background1"/>
                <w:lang w:val="en-US"/>
              </w:rPr>
            </w:pPr>
            <w:r w:rsidRPr="00733F77">
              <w:rPr>
                <w:rFonts w:ascii="Times New Roman" w:hAnsi="Times New Roman"/>
                <w:b/>
                <w:color w:val="FFFFFF" w:themeColor="background1"/>
                <w:lang w:val="es-ES_tradnl"/>
              </w:rPr>
              <w:t>(RD$)</w:t>
            </w:r>
          </w:p>
        </w:tc>
      </w:tr>
      <w:tr w:rsidR="00304F26" w:rsidRPr="00733F77" w14:paraId="74E319A5" w14:textId="77777777" w:rsidTr="00F2330B">
        <w:trPr>
          <w:trHeight w:val="238"/>
        </w:trPr>
        <w:tc>
          <w:tcPr>
            <w:tcW w:w="1096" w:type="dxa"/>
            <w:shd w:val="clear" w:color="auto" w:fill="auto"/>
            <w:noWrap/>
            <w:vAlign w:val="bottom"/>
            <w:hideMark/>
          </w:tcPr>
          <w:p w14:paraId="4BE39246"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10150000</w:t>
            </w:r>
          </w:p>
        </w:tc>
        <w:tc>
          <w:tcPr>
            <w:tcW w:w="6210" w:type="dxa"/>
            <w:shd w:val="clear" w:color="auto" w:fill="auto"/>
            <w:noWrap/>
            <w:vAlign w:val="bottom"/>
            <w:hideMark/>
          </w:tcPr>
          <w:p w14:paraId="746F7426" w14:textId="0FCC15EF" w:rsidR="00304F26" w:rsidRPr="00733F77" w:rsidRDefault="00304F26" w:rsidP="0093100D">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Semillas, </w:t>
            </w:r>
            <w:r w:rsidR="0093100D">
              <w:rPr>
                <w:rFonts w:ascii="Times New Roman" w:hAnsi="Times New Roman"/>
                <w:color w:val="000000"/>
                <w:sz w:val="22"/>
                <w:szCs w:val="20"/>
                <w:lang w:val="es-ES"/>
              </w:rPr>
              <w:t>bulbos, p</w:t>
            </w:r>
            <w:r w:rsidR="0093100D" w:rsidRPr="00733F77">
              <w:rPr>
                <w:rFonts w:ascii="Times New Roman" w:hAnsi="Times New Roman"/>
                <w:color w:val="000000"/>
                <w:sz w:val="22"/>
                <w:szCs w:val="20"/>
                <w:lang w:val="es-ES"/>
              </w:rPr>
              <w:t>lántulas</w:t>
            </w:r>
            <w:r w:rsidRPr="00733F77">
              <w:rPr>
                <w:rFonts w:ascii="Times New Roman" w:hAnsi="Times New Roman"/>
                <w:color w:val="000000"/>
                <w:sz w:val="22"/>
                <w:szCs w:val="20"/>
                <w:lang w:val="es-ES"/>
              </w:rPr>
              <w:t xml:space="preserve"> y esquejes  </w:t>
            </w:r>
          </w:p>
        </w:tc>
        <w:tc>
          <w:tcPr>
            <w:tcW w:w="1896" w:type="dxa"/>
            <w:shd w:val="clear" w:color="auto" w:fill="auto"/>
            <w:noWrap/>
            <w:vAlign w:val="bottom"/>
            <w:hideMark/>
          </w:tcPr>
          <w:p w14:paraId="72C7C525"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130,884,472.00</w:t>
            </w:r>
          </w:p>
        </w:tc>
      </w:tr>
      <w:tr w:rsidR="00304F26" w:rsidRPr="00733F77" w14:paraId="35D627BD" w14:textId="77777777" w:rsidTr="00F2330B">
        <w:trPr>
          <w:trHeight w:val="238"/>
        </w:trPr>
        <w:tc>
          <w:tcPr>
            <w:tcW w:w="1096" w:type="dxa"/>
            <w:shd w:val="clear" w:color="auto" w:fill="auto"/>
            <w:noWrap/>
            <w:vAlign w:val="bottom"/>
            <w:hideMark/>
          </w:tcPr>
          <w:p w14:paraId="475BBCDC"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10160000</w:t>
            </w:r>
          </w:p>
        </w:tc>
        <w:tc>
          <w:tcPr>
            <w:tcW w:w="6210" w:type="dxa"/>
            <w:shd w:val="clear" w:color="auto" w:fill="auto"/>
            <w:noWrap/>
            <w:vAlign w:val="bottom"/>
            <w:hideMark/>
          </w:tcPr>
          <w:p w14:paraId="25692FBF" w14:textId="4D6F0756" w:rsidR="00304F26" w:rsidRPr="00733F77" w:rsidRDefault="0093100D" w:rsidP="0093100D">
            <w:pPr>
              <w:spacing w:after="0"/>
              <w:rPr>
                <w:rFonts w:ascii="Times New Roman" w:hAnsi="Times New Roman"/>
                <w:color w:val="000000"/>
                <w:sz w:val="22"/>
                <w:szCs w:val="20"/>
                <w:lang w:val="es-ES"/>
              </w:rPr>
            </w:pPr>
            <w:r>
              <w:rPr>
                <w:rFonts w:ascii="Times New Roman" w:hAnsi="Times New Roman"/>
                <w:color w:val="000000"/>
                <w:sz w:val="22"/>
                <w:szCs w:val="20"/>
                <w:lang w:val="es-ES"/>
              </w:rPr>
              <w:t xml:space="preserve"> Productos </w:t>
            </w:r>
            <w:r w:rsidR="00304F26" w:rsidRPr="00733F77">
              <w:rPr>
                <w:rFonts w:ascii="Times New Roman" w:hAnsi="Times New Roman"/>
                <w:color w:val="000000"/>
                <w:sz w:val="22"/>
                <w:szCs w:val="20"/>
                <w:lang w:val="es-ES"/>
              </w:rPr>
              <w:t xml:space="preserve">de </w:t>
            </w:r>
            <w:r>
              <w:rPr>
                <w:rFonts w:ascii="Times New Roman" w:hAnsi="Times New Roman"/>
                <w:color w:val="000000"/>
                <w:sz w:val="22"/>
                <w:szCs w:val="20"/>
                <w:lang w:val="es-ES"/>
              </w:rPr>
              <w:t>floricultura y silvicultura</w:t>
            </w:r>
            <w:r w:rsidR="00304F26" w:rsidRPr="00733F77">
              <w:rPr>
                <w:rFonts w:ascii="Times New Roman" w:hAnsi="Times New Roman"/>
                <w:color w:val="000000"/>
                <w:sz w:val="22"/>
                <w:szCs w:val="20"/>
                <w:lang w:val="es-ES"/>
              </w:rPr>
              <w:t xml:space="preserve"> </w:t>
            </w:r>
          </w:p>
        </w:tc>
        <w:tc>
          <w:tcPr>
            <w:tcW w:w="1896" w:type="dxa"/>
            <w:shd w:val="clear" w:color="auto" w:fill="auto"/>
            <w:noWrap/>
            <w:vAlign w:val="bottom"/>
            <w:hideMark/>
          </w:tcPr>
          <w:p w14:paraId="4F597479"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800,000.00</w:t>
            </w:r>
          </w:p>
        </w:tc>
      </w:tr>
      <w:tr w:rsidR="00304F26" w:rsidRPr="00733F77" w14:paraId="790B653A" w14:textId="77777777" w:rsidTr="00F2330B">
        <w:trPr>
          <w:trHeight w:val="238"/>
        </w:trPr>
        <w:tc>
          <w:tcPr>
            <w:tcW w:w="1096" w:type="dxa"/>
            <w:shd w:val="clear" w:color="auto" w:fill="auto"/>
            <w:noWrap/>
            <w:vAlign w:val="bottom"/>
            <w:hideMark/>
          </w:tcPr>
          <w:p w14:paraId="73BF5912"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10170000</w:t>
            </w:r>
          </w:p>
        </w:tc>
        <w:tc>
          <w:tcPr>
            <w:tcW w:w="6210" w:type="dxa"/>
            <w:shd w:val="clear" w:color="auto" w:fill="auto"/>
            <w:noWrap/>
            <w:vAlign w:val="bottom"/>
            <w:hideMark/>
          </w:tcPr>
          <w:p w14:paraId="0EC8F876" w14:textId="6FFD3DF8" w:rsidR="00304F26" w:rsidRPr="00733F77" w:rsidRDefault="0093100D" w:rsidP="00304F26">
            <w:pPr>
              <w:spacing w:after="0"/>
              <w:rPr>
                <w:rFonts w:ascii="Times New Roman" w:hAnsi="Times New Roman"/>
                <w:color w:val="000000"/>
                <w:sz w:val="22"/>
                <w:szCs w:val="20"/>
                <w:lang w:val="es-ES"/>
              </w:rPr>
            </w:pPr>
            <w:r>
              <w:rPr>
                <w:rFonts w:ascii="Times New Roman" w:hAnsi="Times New Roman"/>
                <w:color w:val="000000"/>
                <w:sz w:val="22"/>
                <w:szCs w:val="20"/>
                <w:lang w:val="es-ES"/>
              </w:rPr>
              <w:t xml:space="preserve"> Fertilizantes y nutrientes </w:t>
            </w:r>
            <w:r w:rsidR="00304F26" w:rsidRPr="00733F77">
              <w:rPr>
                <w:rFonts w:ascii="Times New Roman" w:hAnsi="Times New Roman"/>
                <w:color w:val="000000"/>
                <w:sz w:val="22"/>
                <w:szCs w:val="20"/>
                <w:lang w:val="es-ES"/>
              </w:rPr>
              <w:t>par</w:t>
            </w:r>
            <w:r>
              <w:rPr>
                <w:rFonts w:ascii="Times New Roman" w:hAnsi="Times New Roman"/>
                <w:color w:val="000000"/>
                <w:sz w:val="22"/>
                <w:szCs w:val="20"/>
                <w:lang w:val="es-ES"/>
              </w:rPr>
              <w:t>a plantas y herbicidas</w:t>
            </w:r>
          </w:p>
        </w:tc>
        <w:tc>
          <w:tcPr>
            <w:tcW w:w="1896" w:type="dxa"/>
            <w:shd w:val="clear" w:color="auto" w:fill="auto"/>
            <w:noWrap/>
            <w:vAlign w:val="bottom"/>
            <w:hideMark/>
          </w:tcPr>
          <w:p w14:paraId="4EF07027"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2,307,819.00</w:t>
            </w:r>
          </w:p>
        </w:tc>
      </w:tr>
      <w:tr w:rsidR="00304F26" w:rsidRPr="00733F77" w14:paraId="0398B718" w14:textId="77777777" w:rsidTr="00F2330B">
        <w:trPr>
          <w:trHeight w:val="238"/>
        </w:trPr>
        <w:tc>
          <w:tcPr>
            <w:tcW w:w="1096" w:type="dxa"/>
            <w:shd w:val="clear" w:color="auto" w:fill="auto"/>
            <w:noWrap/>
            <w:vAlign w:val="bottom"/>
            <w:hideMark/>
          </w:tcPr>
          <w:p w14:paraId="453752D6"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10190000</w:t>
            </w:r>
          </w:p>
        </w:tc>
        <w:tc>
          <w:tcPr>
            <w:tcW w:w="6210" w:type="dxa"/>
            <w:shd w:val="clear" w:color="auto" w:fill="auto"/>
            <w:noWrap/>
            <w:vAlign w:val="bottom"/>
            <w:hideMark/>
          </w:tcPr>
          <w:p w14:paraId="7671C3D1" w14:textId="4DA93036" w:rsidR="00304F26" w:rsidRPr="00733F77" w:rsidRDefault="0093100D" w:rsidP="0093100D">
            <w:pPr>
              <w:spacing w:after="0"/>
              <w:rPr>
                <w:rFonts w:ascii="Times New Roman" w:hAnsi="Times New Roman"/>
                <w:color w:val="000000"/>
                <w:sz w:val="22"/>
                <w:szCs w:val="20"/>
                <w:lang w:val="es-ES"/>
              </w:rPr>
            </w:pPr>
            <w:r>
              <w:rPr>
                <w:rFonts w:ascii="Times New Roman" w:hAnsi="Times New Roman"/>
                <w:color w:val="000000"/>
                <w:sz w:val="22"/>
                <w:szCs w:val="20"/>
                <w:lang w:val="es-ES"/>
              </w:rPr>
              <w:t xml:space="preserve"> Productos para el control de plagas</w:t>
            </w:r>
          </w:p>
        </w:tc>
        <w:tc>
          <w:tcPr>
            <w:tcW w:w="1896" w:type="dxa"/>
            <w:shd w:val="clear" w:color="auto" w:fill="auto"/>
            <w:noWrap/>
            <w:vAlign w:val="bottom"/>
            <w:hideMark/>
          </w:tcPr>
          <w:p w14:paraId="05720E3C"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24,960,368.00</w:t>
            </w:r>
          </w:p>
        </w:tc>
      </w:tr>
      <w:tr w:rsidR="00304F26" w:rsidRPr="00733F77" w14:paraId="0C467126" w14:textId="77777777" w:rsidTr="00F2330B">
        <w:trPr>
          <w:trHeight w:val="238"/>
        </w:trPr>
        <w:tc>
          <w:tcPr>
            <w:tcW w:w="1096" w:type="dxa"/>
            <w:shd w:val="clear" w:color="auto" w:fill="auto"/>
            <w:noWrap/>
            <w:vAlign w:val="bottom"/>
            <w:hideMark/>
          </w:tcPr>
          <w:p w14:paraId="14B4B60A"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11120000</w:t>
            </w:r>
          </w:p>
        </w:tc>
        <w:tc>
          <w:tcPr>
            <w:tcW w:w="6210" w:type="dxa"/>
            <w:shd w:val="clear" w:color="auto" w:fill="auto"/>
            <w:noWrap/>
            <w:vAlign w:val="bottom"/>
            <w:hideMark/>
          </w:tcPr>
          <w:p w14:paraId="73B85873" w14:textId="0C29ADB3" w:rsidR="00304F26" w:rsidRPr="00733F77" w:rsidRDefault="0093100D" w:rsidP="00304F26">
            <w:pPr>
              <w:spacing w:after="0"/>
              <w:rPr>
                <w:rFonts w:ascii="Times New Roman" w:hAnsi="Times New Roman"/>
                <w:color w:val="000000"/>
                <w:sz w:val="22"/>
                <w:szCs w:val="20"/>
                <w:lang w:val="es-ES"/>
              </w:rPr>
            </w:pPr>
            <w:r>
              <w:rPr>
                <w:rFonts w:ascii="Times New Roman" w:hAnsi="Times New Roman"/>
                <w:color w:val="000000"/>
                <w:sz w:val="22"/>
                <w:szCs w:val="20"/>
                <w:lang w:val="es-ES"/>
              </w:rPr>
              <w:t xml:space="preserve"> Productos no comestibles de planta y </w:t>
            </w:r>
            <w:r w:rsidR="00304F26" w:rsidRPr="00733F77">
              <w:rPr>
                <w:rFonts w:ascii="Times New Roman" w:hAnsi="Times New Roman"/>
                <w:color w:val="000000"/>
                <w:sz w:val="22"/>
                <w:szCs w:val="20"/>
                <w:lang w:val="es-ES"/>
              </w:rPr>
              <w:t xml:space="preserve">silvicultura </w:t>
            </w:r>
          </w:p>
        </w:tc>
        <w:tc>
          <w:tcPr>
            <w:tcW w:w="1896" w:type="dxa"/>
            <w:shd w:val="clear" w:color="auto" w:fill="auto"/>
            <w:noWrap/>
            <w:vAlign w:val="bottom"/>
            <w:hideMark/>
          </w:tcPr>
          <w:p w14:paraId="0226242D"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2,943,678.00</w:t>
            </w:r>
          </w:p>
        </w:tc>
      </w:tr>
      <w:tr w:rsidR="00304F26" w:rsidRPr="00733F77" w14:paraId="7CDF7252" w14:textId="77777777" w:rsidTr="00F2330B">
        <w:trPr>
          <w:trHeight w:val="238"/>
        </w:trPr>
        <w:tc>
          <w:tcPr>
            <w:tcW w:w="1096" w:type="dxa"/>
            <w:shd w:val="clear" w:color="auto" w:fill="auto"/>
            <w:noWrap/>
            <w:vAlign w:val="bottom"/>
            <w:hideMark/>
          </w:tcPr>
          <w:p w14:paraId="056F6506"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12130000</w:t>
            </w:r>
          </w:p>
        </w:tc>
        <w:tc>
          <w:tcPr>
            <w:tcW w:w="6210" w:type="dxa"/>
            <w:shd w:val="clear" w:color="auto" w:fill="auto"/>
            <w:noWrap/>
            <w:vAlign w:val="bottom"/>
            <w:hideMark/>
          </w:tcPr>
          <w:p w14:paraId="1D8353B7" w14:textId="6C7B333D" w:rsidR="00304F26" w:rsidRPr="00733F77" w:rsidRDefault="0093100D" w:rsidP="00304F26">
            <w:pPr>
              <w:spacing w:after="0"/>
              <w:rPr>
                <w:rFonts w:ascii="Times New Roman" w:hAnsi="Times New Roman"/>
                <w:color w:val="000000"/>
                <w:sz w:val="22"/>
                <w:szCs w:val="20"/>
                <w:lang w:val="en-US"/>
              </w:rPr>
            </w:pPr>
            <w:r>
              <w:rPr>
                <w:rFonts w:ascii="Times New Roman" w:hAnsi="Times New Roman"/>
                <w:color w:val="000000"/>
                <w:sz w:val="22"/>
                <w:szCs w:val="20"/>
                <w:lang w:val="en-US"/>
              </w:rPr>
              <w:t xml:space="preserve"> Materiales </w:t>
            </w:r>
            <w:r w:rsidR="00304F26" w:rsidRPr="00733F77">
              <w:rPr>
                <w:rFonts w:ascii="Times New Roman" w:hAnsi="Times New Roman"/>
                <w:color w:val="000000"/>
                <w:sz w:val="22"/>
                <w:szCs w:val="20"/>
                <w:lang w:val="en-US"/>
              </w:rPr>
              <w:t xml:space="preserve">explosivos </w:t>
            </w:r>
          </w:p>
        </w:tc>
        <w:tc>
          <w:tcPr>
            <w:tcW w:w="1896" w:type="dxa"/>
            <w:shd w:val="clear" w:color="auto" w:fill="auto"/>
            <w:noWrap/>
            <w:vAlign w:val="bottom"/>
            <w:hideMark/>
          </w:tcPr>
          <w:p w14:paraId="522F5512"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149,000.00</w:t>
            </w:r>
          </w:p>
        </w:tc>
      </w:tr>
      <w:tr w:rsidR="00304F26" w:rsidRPr="00733F77" w14:paraId="21D6283F" w14:textId="77777777" w:rsidTr="00F2330B">
        <w:trPr>
          <w:trHeight w:val="238"/>
        </w:trPr>
        <w:tc>
          <w:tcPr>
            <w:tcW w:w="1096" w:type="dxa"/>
            <w:shd w:val="clear" w:color="auto" w:fill="auto"/>
            <w:noWrap/>
            <w:vAlign w:val="bottom"/>
            <w:hideMark/>
          </w:tcPr>
          <w:p w14:paraId="2331AB60"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12160000</w:t>
            </w:r>
          </w:p>
        </w:tc>
        <w:tc>
          <w:tcPr>
            <w:tcW w:w="6210" w:type="dxa"/>
            <w:shd w:val="clear" w:color="auto" w:fill="auto"/>
            <w:noWrap/>
            <w:vAlign w:val="bottom"/>
            <w:hideMark/>
          </w:tcPr>
          <w:p w14:paraId="438857D1"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Aditivos </w:t>
            </w:r>
          </w:p>
        </w:tc>
        <w:tc>
          <w:tcPr>
            <w:tcW w:w="1896" w:type="dxa"/>
            <w:shd w:val="clear" w:color="auto" w:fill="auto"/>
            <w:noWrap/>
            <w:vAlign w:val="bottom"/>
            <w:hideMark/>
          </w:tcPr>
          <w:p w14:paraId="609DD3E0"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1,170,557.00</w:t>
            </w:r>
          </w:p>
        </w:tc>
      </w:tr>
      <w:tr w:rsidR="00304F26" w:rsidRPr="00733F77" w14:paraId="0884A517" w14:textId="77777777" w:rsidTr="00F2330B">
        <w:trPr>
          <w:trHeight w:val="238"/>
        </w:trPr>
        <w:tc>
          <w:tcPr>
            <w:tcW w:w="1096" w:type="dxa"/>
            <w:shd w:val="clear" w:color="auto" w:fill="auto"/>
            <w:noWrap/>
            <w:vAlign w:val="bottom"/>
            <w:hideMark/>
          </w:tcPr>
          <w:p w14:paraId="2FD2B3A2"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12170000</w:t>
            </w:r>
          </w:p>
        </w:tc>
        <w:tc>
          <w:tcPr>
            <w:tcW w:w="6210" w:type="dxa"/>
            <w:shd w:val="clear" w:color="auto" w:fill="auto"/>
            <w:noWrap/>
            <w:vAlign w:val="bottom"/>
            <w:hideMark/>
          </w:tcPr>
          <w:p w14:paraId="414210EA"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Colorantes </w:t>
            </w:r>
          </w:p>
        </w:tc>
        <w:tc>
          <w:tcPr>
            <w:tcW w:w="1896" w:type="dxa"/>
            <w:shd w:val="clear" w:color="auto" w:fill="auto"/>
            <w:noWrap/>
            <w:vAlign w:val="bottom"/>
            <w:hideMark/>
          </w:tcPr>
          <w:p w14:paraId="1E8FAA4A"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46,668.00</w:t>
            </w:r>
          </w:p>
        </w:tc>
      </w:tr>
      <w:tr w:rsidR="00304F26" w:rsidRPr="00733F77" w14:paraId="4DD98993" w14:textId="77777777" w:rsidTr="00F2330B">
        <w:trPr>
          <w:trHeight w:val="238"/>
        </w:trPr>
        <w:tc>
          <w:tcPr>
            <w:tcW w:w="1096" w:type="dxa"/>
            <w:shd w:val="clear" w:color="auto" w:fill="auto"/>
            <w:noWrap/>
            <w:vAlign w:val="bottom"/>
            <w:hideMark/>
          </w:tcPr>
          <w:p w14:paraId="63BE0C6A"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12180000</w:t>
            </w:r>
          </w:p>
        </w:tc>
        <w:tc>
          <w:tcPr>
            <w:tcW w:w="6210" w:type="dxa"/>
            <w:shd w:val="clear" w:color="auto" w:fill="auto"/>
            <w:noWrap/>
            <w:vAlign w:val="bottom"/>
            <w:hideMark/>
          </w:tcPr>
          <w:p w14:paraId="0CEF2D08" w14:textId="611F74CD" w:rsidR="00304F26" w:rsidRPr="00733F77" w:rsidRDefault="0093100D" w:rsidP="00304F26">
            <w:pPr>
              <w:spacing w:after="0"/>
              <w:rPr>
                <w:rFonts w:ascii="Times New Roman" w:hAnsi="Times New Roman"/>
                <w:color w:val="000000"/>
                <w:sz w:val="22"/>
                <w:szCs w:val="20"/>
                <w:lang w:val="en-US"/>
              </w:rPr>
            </w:pPr>
            <w:r>
              <w:rPr>
                <w:rFonts w:ascii="Times New Roman" w:hAnsi="Times New Roman"/>
                <w:color w:val="000000"/>
                <w:sz w:val="22"/>
                <w:szCs w:val="20"/>
                <w:lang w:val="en-US"/>
              </w:rPr>
              <w:t xml:space="preserve"> Ceras y </w:t>
            </w:r>
            <w:r w:rsidR="00304F26" w:rsidRPr="00733F77">
              <w:rPr>
                <w:rFonts w:ascii="Times New Roman" w:hAnsi="Times New Roman"/>
                <w:color w:val="000000"/>
                <w:sz w:val="22"/>
                <w:szCs w:val="20"/>
                <w:lang w:val="en-US"/>
              </w:rPr>
              <w:t xml:space="preserve">aceites </w:t>
            </w:r>
          </w:p>
        </w:tc>
        <w:tc>
          <w:tcPr>
            <w:tcW w:w="1896" w:type="dxa"/>
            <w:shd w:val="clear" w:color="auto" w:fill="auto"/>
            <w:noWrap/>
            <w:vAlign w:val="bottom"/>
            <w:hideMark/>
          </w:tcPr>
          <w:p w14:paraId="4E9F3C4F"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1,129,007.00</w:t>
            </w:r>
          </w:p>
        </w:tc>
      </w:tr>
      <w:tr w:rsidR="00304F26" w:rsidRPr="00733F77" w14:paraId="7790E390" w14:textId="77777777" w:rsidTr="00F2330B">
        <w:trPr>
          <w:trHeight w:val="238"/>
        </w:trPr>
        <w:tc>
          <w:tcPr>
            <w:tcW w:w="1096" w:type="dxa"/>
            <w:shd w:val="clear" w:color="auto" w:fill="auto"/>
            <w:noWrap/>
            <w:vAlign w:val="bottom"/>
            <w:hideMark/>
          </w:tcPr>
          <w:p w14:paraId="2D7FB54E"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13100000</w:t>
            </w:r>
          </w:p>
        </w:tc>
        <w:tc>
          <w:tcPr>
            <w:tcW w:w="6210" w:type="dxa"/>
            <w:shd w:val="clear" w:color="auto" w:fill="auto"/>
            <w:noWrap/>
            <w:vAlign w:val="bottom"/>
            <w:hideMark/>
          </w:tcPr>
          <w:p w14:paraId="175B3034" w14:textId="561B4CE5" w:rsidR="00304F26" w:rsidRPr="00733F77" w:rsidRDefault="0093100D" w:rsidP="00304F26">
            <w:pPr>
              <w:spacing w:after="0"/>
              <w:rPr>
                <w:rFonts w:ascii="Times New Roman" w:hAnsi="Times New Roman"/>
                <w:color w:val="000000"/>
                <w:sz w:val="22"/>
                <w:szCs w:val="20"/>
                <w:lang w:val="en-US"/>
              </w:rPr>
            </w:pPr>
            <w:r>
              <w:rPr>
                <w:rFonts w:ascii="Times New Roman" w:hAnsi="Times New Roman"/>
                <w:color w:val="000000"/>
                <w:sz w:val="22"/>
                <w:szCs w:val="20"/>
                <w:lang w:val="en-US"/>
              </w:rPr>
              <w:t xml:space="preserve"> Caucho y </w:t>
            </w:r>
            <w:r w:rsidR="00304F26" w:rsidRPr="00733F77">
              <w:rPr>
                <w:rFonts w:ascii="Times New Roman" w:hAnsi="Times New Roman"/>
                <w:color w:val="000000"/>
                <w:sz w:val="22"/>
                <w:szCs w:val="20"/>
                <w:lang w:val="en-US"/>
              </w:rPr>
              <w:t xml:space="preserve">elastómeros </w:t>
            </w:r>
          </w:p>
        </w:tc>
        <w:tc>
          <w:tcPr>
            <w:tcW w:w="1896" w:type="dxa"/>
            <w:shd w:val="clear" w:color="auto" w:fill="auto"/>
            <w:noWrap/>
            <w:vAlign w:val="bottom"/>
            <w:hideMark/>
          </w:tcPr>
          <w:p w14:paraId="2054FD94"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8,001,001.00</w:t>
            </w:r>
          </w:p>
        </w:tc>
      </w:tr>
      <w:tr w:rsidR="00304F26" w:rsidRPr="00733F77" w14:paraId="7604B808" w14:textId="77777777" w:rsidTr="00F2330B">
        <w:trPr>
          <w:trHeight w:val="238"/>
        </w:trPr>
        <w:tc>
          <w:tcPr>
            <w:tcW w:w="1096" w:type="dxa"/>
            <w:shd w:val="clear" w:color="auto" w:fill="auto"/>
            <w:noWrap/>
            <w:vAlign w:val="bottom"/>
            <w:hideMark/>
          </w:tcPr>
          <w:p w14:paraId="0C77127D"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13110000</w:t>
            </w:r>
          </w:p>
        </w:tc>
        <w:tc>
          <w:tcPr>
            <w:tcW w:w="6210" w:type="dxa"/>
            <w:shd w:val="clear" w:color="auto" w:fill="auto"/>
            <w:noWrap/>
            <w:vAlign w:val="bottom"/>
            <w:hideMark/>
          </w:tcPr>
          <w:p w14:paraId="4F0CEC99" w14:textId="0E343511" w:rsidR="00304F26" w:rsidRPr="00733F77" w:rsidRDefault="0093100D" w:rsidP="00304F26">
            <w:pPr>
              <w:spacing w:after="0"/>
              <w:rPr>
                <w:rFonts w:ascii="Times New Roman" w:hAnsi="Times New Roman"/>
                <w:color w:val="000000"/>
                <w:sz w:val="22"/>
                <w:szCs w:val="20"/>
                <w:lang w:val="es-ES"/>
              </w:rPr>
            </w:pPr>
            <w:r>
              <w:rPr>
                <w:rFonts w:ascii="Times New Roman" w:hAnsi="Times New Roman"/>
                <w:color w:val="000000"/>
                <w:sz w:val="22"/>
                <w:szCs w:val="20"/>
                <w:lang w:val="es-ES"/>
              </w:rPr>
              <w:t xml:space="preserve"> Resinas y colofonias y otros materiales derivados de </w:t>
            </w:r>
            <w:r w:rsidR="00304F26" w:rsidRPr="00733F77">
              <w:rPr>
                <w:rFonts w:ascii="Times New Roman" w:hAnsi="Times New Roman"/>
                <w:color w:val="000000"/>
                <w:sz w:val="22"/>
                <w:szCs w:val="20"/>
                <w:lang w:val="es-ES"/>
              </w:rPr>
              <w:t xml:space="preserve">resina </w:t>
            </w:r>
          </w:p>
        </w:tc>
        <w:tc>
          <w:tcPr>
            <w:tcW w:w="1896" w:type="dxa"/>
            <w:shd w:val="clear" w:color="auto" w:fill="auto"/>
            <w:noWrap/>
            <w:vAlign w:val="bottom"/>
            <w:hideMark/>
          </w:tcPr>
          <w:p w14:paraId="3DDD8359"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2,258,014.00</w:t>
            </w:r>
          </w:p>
        </w:tc>
      </w:tr>
      <w:tr w:rsidR="00304F26" w:rsidRPr="00733F77" w14:paraId="46F3AD3B" w14:textId="77777777" w:rsidTr="00F2330B">
        <w:trPr>
          <w:trHeight w:val="238"/>
        </w:trPr>
        <w:tc>
          <w:tcPr>
            <w:tcW w:w="1096" w:type="dxa"/>
            <w:shd w:val="clear" w:color="auto" w:fill="auto"/>
            <w:noWrap/>
            <w:vAlign w:val="bottom"/>
            <w:hideMark/>
          </w:tcPr>
          <w:p w14:paraId="2E150EC8"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14100000</w:t>
            </w:r>
          </w:p>
        </w:tc>
        <w:tc>
          <w:tcPr>
            <w:tcW w:w="6210" w:type="dxa"/>
            <w:shd w:val="clear" w:color="auto" w:fill="auto"/>
            <w:noWrap/>
            <w:vAlign w:val="bottom"/>
            <w:hideMark/>
          </w:tcPr>
          <w:p w14:paraId="78E4DC81" w14:textId="768010D5" w:rsidR="00304F26" w:rsidRPr="00733F77" w:rsidRDefault="0093100D" w:rsidP="00304F26">
            <w:pPr>
              <w:spacing w:after="0"/>
              <w:rPr>
                <w:rFonts w:ascii="Times New Roman" w:hAnsi="Times New Roman"/>
                <w:color w:val="000000"/>
                <w:sz w:val="22"/>
                <w:szCs w:val="20"/>
                <w:lang w:val="en-US"/>
              </w:rPr>
            </w:pPr>
            <w:r>
              <w:rPr>
                <w:rFonts w:ascii="Times New Roman" w:hAnsi="Times New Roman"/>
                <w:color w:val="000000"/>
                <w:sz w:val="22"/>
                <w:szCs w:val="20"/>
                <w:lang w:val="en-US"/>
              </w:rPr>
              <w:t xml:space="preserve"> Materiales de </w:t>
            </w:r>
            <w:r w:rsidR="00304F26" w:rsidRPr="00733F77">
              <w:rPr>
                <w:rFonts w:ascii="Times New Roman" w:hAnsi="Times New Roman"/>
                <w:color w:val="000000"/>
                <w:sz w:val="22"/>
                <w:szCs w:val="20"/>
                <w:lang w:val="en-US"/>
              </w:rPr>
              <w:t xml:space="preserve">papel </w:t>
            </w:r>
          </w:p>
        </w:tc>
        <w:tc>
          <w:tcPr>
            <w:tcW w:w="1896" w:type="dxa"/>
            <w:shd w:val="clear" w:color="auto" w:fill="auto"/>
            <w:noWrap/>
            <w:vAlign w:val="bottom"/>
            <w:hideMark/>
          </w:tcPr>
          <w:p w14:paraId="7EEC367F"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2,258,014.00</w:t>
            </w:r>
          </w:p>
        </w:tc>
      </w:tr>
      <w:tr w:rsidR="00304F26" w:rsidRPr="00733F77" w14:paraId="18A5D2E1" w14:textId="77777777" w:rsidTr="00F2330B">
        <w:trPr>
          <w:trHeight w:val="238"/>
        </w:trPr>
        <w:tc>
          <w:tcPr>
            <w:tcW w:w="1096" w:type="dxa"/>
            <w:shd w:val="clear" w:color="auto" w:fill="auto"/>
            <w:noWrap/>
            <w:vAlign w:val="bottom"/>
            <w:hideMark/>
          </w:tcPr>
          <w:p w14:paraId="0D499D75"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14110000</w:t>
            </w:r>
          </w:p>
        </w:tc>
        <w:tc>
          <w:tcPr>
            <w:tcW w:w="6210" w:type="dxa"/>
            <w:shd w:val="clear" w:color="auto" w:fill="auto"/>
            <w:noWrap/>
            <w:vAlign w:val="bottom"/>
            <w:hideMark/>
          </w:tcPr>
          <w:p w14:paraId="5C2A4FFE"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Productos de papel </w:t>
            </w:r>
          </w:p>
        </w:tc>
        <w:tc>
          <w:tcPr>
            <w:tcW w:w="1896" w:type="dxa"/>
            <w:shd w:val="clear" w:color="auto" w:fill="auto"/>
            <w:noWrap/>
            <w:vAlign w:val="bottom"/>
            <w:hideMark/>
          </w:tcPr>
          <w:p w14:paraId="5E4BAFD8"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3,271,148.00</w:t>
            </w:r>
          </w:p>
        </w:tc>
      </w:tr>
      <w:tr w:rsidR="00F2330B" w:rsidRPr="00733F77" w14:paraId="1E2CD969" w14:textId="77777777" w:rsidTr="00F2330B">
        <w:trPr>
          <w:trHeight w:val="238"/>
        </w:trPr>
        <w:tc>
          <w:tcPr>
            <w:tcW w:w="1096" w:type="dxa"/>
            <w:shd w:val="clear" w:color="auto" w:fill="00B050"/>
            <w:noWrap/>
            <w:vAlign w:val="center"/>
          </w:tcPr>
          <w:p w14:paraId="1708AFEB" w14:textId="0A42108C" w:rsidR="00F2330B" w:rsidRPr="00733F77" w:rsidRDefault="00F2330B" w:rsidP="00F2330B">
            <w:pPr>
              <w:spacing w:after="0"/>
              <w:jc w:val="center"/>
              <w:rPr>
                <w:rFonts w:ascii="Times New Roman" w:hAnsi="Times New Roman"/>
                <w:color w:val="000000"/>
                <w:sz w:val="22"/>
                <w:szCs w:val="20"/>
                <w:lang w:val="en-US"/>
              </w:rPr>
            </w:pPr>
            <w:r w:rsidRPr="00733F77">
              <w:rPr>
                <w:rFonts w:ascii="Times New Roman" w:hAnsi="Times New Roman"/>
                <w:b/>
                <w:color w:val="FFFFFF" w:themeColor="background1"/>
                <w:lang w:val="es-ES_tradnl"/>
              </w:rPr>
              <w:lastRenderedPageBreak/>
              <w:t>Código Rubro</w:t>
            </w:r>
          </w:p>
        </w:tc>
        <w:tc>
          <w:tcPr>
            <w:tcW w:w="6210" w:type="dxa"/>
            <w:shd w:val="clear" w:color="auto" w:fill="00B050"/>
            <w:noWrap/>
            <w:vAlign w:val="center"/>
          </w:tcPr>
          <w:p w14:paraId="43517B00" w14:textId="23818322" w:rsidR="00F2330B" w:rsidRPr="00733F77" w:rsidRDefault="00F2330B" w:rsidP="00F2330B">
            <w:pPr>
              <w:spacing w:after="0"/>
              <w:jc w:val="center"/>
              <w:rPr>
                <w:rFonts w:ascii="Times New Roman" w:hAnsi="Times New Roman"/>
                <w:color w:val="000000"/>
                <w:sz w:val="22"/>
                <w:szCs w:val="20"/>
                <w:lang w:val="en-US"/>
              </w:rPr>
            </w:pPr>
            <w:r w:rsidRPr="00733F77">
              <w:rPr>
                <w:rFonts w:ascii="Times New Roman" w:hAnsi="Times New Roman"/>
                <w:b/>
                <w:color w:val="FFFFFF" w:themeColor="background1"/>
                <w:lang w:val="es-ES_tradnl"/>
              </w:rPr>
              <w:t>Descripción del Rubro (Familia)</w:t>
            </w:r>
          </w:p>
        </w:tc>
        <w:tc>
          <w:tcPr>
            <w:tcW w:w="1896" w:type="dxa"/>
            <w:shd w:val="clear" w:color="auto" w:fill="00B050"/>
            <w:noWrap/>
            <w:vAlign w:val="center"/>
          </w:tcPr>
          <w:p w14:paraId="3A9072A3" w14:textId="2E5DF042" w:rsidR="00F2330B" w:rsidRDefault="00F2330B" w:rsidP="00F2330B">
            <w:pPr>
              <w:spacing w:after="0"/>
              <w:jc w:val="center"/>
              <w:rPr>
                <w:rFonts w:ascii="Times New Roman" w:hAnsi="Times New Roman"/>
                <w:b/>
                <w:color w:val="FFFFFF" w:themeColor="background1"/>
                <w:lang w:val="es-ES_tradnl"/>
              </w:rPr>
            </w:pPr>
            <w:r w:rsidRPr="00733F77">
              <w:rPr>
                <w:rFonts w:ascii="Times New Roman" w:hAnsi="Times New Roman"/>
                <w:b/>
                <w:color w:val="FFFFFF" w:themeColor="background1"/>
                <w:lang w:val="es-ES_tradnl"/>
              </w:rPr>
              <w:t>Monto</w:t>
            </w:r>
          </w:p>
          <w:p w14:paraId="27E8846C" w14:textId="528AB566" w:rsidR="00F2330B" w:rsidRPr="00733F77" w:rsidRDefault="00F2330B" w:rsidP="00F2330B">
            <w:pPr>
              <w:spacing w:after="0"/>
              <w:jc w:val="center"/>
              <w:rPr>
                <w:rFonts w:ascii="Times New Roman" w:hAnsi="Times New Roman"/>
                <w:color w:val="000000"/>
                <w:sz w:val="22"/>
                <w:szCs w:val="20"/>
                <w:lang w:val="en-US"/>
              </w:rPr>
            </w:pPr>
            <w:r w:rsidRPr="00733F77">
              <w:rPr>
                <w:rFonts w:ascii="Times New Roman" w:hAnsi="Times New Roman"/>
                <w:b/>
                <w:color w:val="FFFFFF" w:themeColor="background1"/>
                <w:lang w:val="es-ES_tradnl"/>
              </w:rPr>
              <w:t>(RD$)</w:t>
            </w:r>
          </w:p>
        </w:tc>
      </w:tr>
      <w:tr w:rsidR="00304F26" w:rsidRPr="00733F77" w14:paraId="0B510B77" w14:textId="77777777" w:rsidTr="00F2330B">
        <w:trPr>
          <w:trHeight w:val="238"/>
        </w:trPr>
        <w:tc>
          <w:tcPr>
            <w:tcW w:w="1096" w:type="dxa"/>
            <w:shd w:val="clear" w:color="auto" w:fill="auto"/>
            <w:noWrap/>
            <w:vAlign w:val="bottom"/>
            <w:hideMark/>
          </w:tcPr>
          <w:p w14:paraId="2C97BA50"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15100000</w:t>
            </w:r>
          </w:p>
        </w:tc>
        <w:tc>
          <w:tcPr>
            <w:tcW w:w="6210" w:type="dxa"/>
            <w:shd w:val="clear" w:color="auto" w:fill="auto"/>
            <w:noWrap/>
            <w:vAlign w:val="bottom"/>
            <w:hideMark/>
          </w:tcPr>
          <w:p w14:paraId="53D347DB"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Combustibles </w:t>
            </w:r>
          </w:p>
        </w:tc>
        <w:tc>
          <w:tcPr>
            <w:tcW w:w="1896" w:type="dxa"/>
            <w:shd w:val="clear" w:color="auto" w:fill="auto"/>
            <w:noWrap/>
            <w:vAlign w:val="bottom"/>
            <w:hideMark/>
          </w:tcPr>
          <w:p w14:paraId="6B78909F"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227,638,400.00</w:t>
            </w:r>
          </w:p>
        </w:tc>
      </w:tr>
      <w:tr w:rsidR="00304F26" w:rsidRPr="00733F77" w14:paraId="2DF7F2C4" w14:textId="77777777" w:rsidTr="00F2330B">
        <w:trPr>
          <w:trHeight w:val="238"/>
        </w:trPr>
        <w:tc>
          <w:tcPr>
            <w:tcW w:w="1096" w:type="dxa"/>
            <w:shd w:val="clear" w:color="auto" w:fill="auto"/>
            <w:noWrap/>
            <w:vAlign w:val="bottom"/>
            <w:hideMark/>
          </w:tcPr>
          <w:p w14:paraId="3F3196B1"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15110000</w:t>
            </w:r>
          </w:p>
        </w:tc>
        <w:tc>
          <w:tcPr>
            <w:tcW w:w="6210" w:type="dxa"/>
            <w:shd w:val="clear" w:color="auto" w:fill="auto"/>
            <w:noWrap/>
            <w:vAlign w:val="bottom"/>
            <w:hideMark/>
          </w:tcPr>
          <w:p w14:paraId="6C6EE28F" w14:textId="71A26D95" w:rsidR="00304F26" w:rsidRPr="00733F77" w:rsidRDefault="0028041D" w:rsidP="0028041D">
            <w:pPr>
              <w:spacing w:after="0"/>
              <w:rPr>
                <w:rFonts w:ascii="Times New Roman" w:hAnsi="Times New Roman"/>
                <w:color w:val="000000"/>
                <w:sz w:val="22"/>
                <w:szCs w:val="20"/>
                <w:lang w:val="en-US"/>
              </w:rPr>
            </w:pPr>
            <w:r>
              <w:rPr>
                <w:rFonts w:ascii="Times New Roman" w:hAnsi="Times New Roman"/>
                <w:color w:val="000000"/>
                <w:sz w:val="22"/>
                <w:szCs w:val="20"/>
                <w:lang w:val="en-US"/>
              </w:rPr>
              <w:t xml:space="preserve"> Combustibles gaseosos </w:t>
            </w:r>
            <w:r w:rsidR="00304F26" w:rsidRPr="00733F77">
              <w:rPr>
                <w:rFonts w:ascii="Times New Roman" w:hAnsi="Times New Roman"/>
                <w:color w:val="000000"/>
                <w:sz w:val="22"/>
                <w:szCs w:val="20"/>
                <w:lang w:val="en-US"/>
              </w:rPr>
              <w:t xml:space="preserve">y aditivos </w:t>
            </w:r>
          </w:p>
        </w:tc>
        <w:tc>
          <w:tcPr>
            <w:tcW w:w="1896" w:type="dxa"/>
            <w:shd w:val="clear" w:color="auto" w:fill="auto"/>
            <w:noWrap/>
            <w:vAlign w:val="bottom"/>
            <w:hideMark/>
          </w:tcPr>
          <w:p w14:paraId="74F6751E"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852,000.00</w:t>
            </w:r>
          </w:p>
        </w:tc>
      </w:tr>
      <w:tr w:rsidR="00304F26" w:rsidRPr="00733F77" w14:paraId="578D6A85" w14:textId="77777777" w:rsidTr="00F2330B">
        <w:trPr>
          <w:trHeight w:val="238"/>
        </w:trPr>
        <w:tc>
          <w:tcPr>
            <w:tcW w:w="1096" w:type="dxa"/>
            <w:shd w:val="clear" w:color="auto" w:fill="auto"/>
            <w:noWrap/>
            <w:vAlign w:val="bottom"/>
            <w:hideMark/>
          </w:tcPr>
          <w:p w14:paraId="1C290E37"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15120000</w:t>
            </w:r>
          </w:p>
        </w:tc>
        <w:tc>
          <w:tcPr>
            <w:tcW w:w="6210" w:type="dxa"/>
            <w:shd w:val="clear" w:color="auto" w:fill="auto"/>
            <w:noWrap/>
            <w:vAlign w:val="bottom"/>
            <w:hideMark/>
          </w:tcPr>
          <w:p w14:paraId="6E13129E" w14:textId="655D6976" w:rsidR="00304F26" w:rsidRPr="00733F77" w:rsidRDefault="00304F26" w:rsidP="0028041D">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Lubricantes, aceites, grasas </w:t>
            </w:r>
            <w:r w:rsidR="0028041D">
              <w:rPr>
                <w:rFonts w:ascii="Times New Roman" w:hAnsi="Times New Roman"/>
                <w:color w:val="000000"/>
                <w:sz w:val="22"/>
                <w:szCs w:val="20"/>
                <w:lang w:val="es-ES"/>
              </w:rPr>
              <w:t xml:space="preserve">y </w:t>
            </w:r>
            <w:r w:rsidRPr="00733F77">
              <w:rPr>
                <w:rFonts w:ascii="Times New Roman" w:hAnsi="Times New Roman"/>
                <w:color w:val="000000"/>
                <w:sz w:val="22"/>
                <w:szCs w:val="20"/>
                <w:lang w:val="es-ES"/>
              </w:rPr>
              <w:t xml:space="preserve">anticorrosivos </w:t>
            </w:r>
          </w:p>
        </w:tc>
        <w:tc>
          <w:tcPr>
            <w:tcW w:w="1896" w:type="dxa"/>
            <w:shd w:val="clear" w:color="auto" w:fill="auto"/>
            <w:noWrap/>
            <w:vAlign w:val="bottom"/>
            <w:hideMark/>
          </w:tcPr>
          <w:p w14:paraId="6CBE31E7"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5,588,772.00</w:t>
            </w:r>
          </w:p>
        </w:tc>
      </w:tr>
      <w:tr w:rsidR="00304F26" w:rsidRPr="00733F77" w14:paraId="2A87D142" w14:textId="77777777" w:rsidTr="00F2330B">
        <w:trPr>
          <w:trHeight w:val="238"/>
        </w:trPr>
        <w:tc>
          <w:tcPr>
            <w:tcW w:w="1096" w:type="dxa"/>
            <w:shd w:val="clear" w:color="auto" w:fill="auto"/>
            <w:noWrap/>
            <w:vAlign w:val="bottom"/>
            <w:hideMark/>
          </w:tcPr>
          <w:p w14:paraId="673C570B"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23150000</w:t>
            </w:r>
          </w:p>
        </w:tc>
        <w:tc>
          <w:tcPr>
            <w:tcW w:w="6210" w:type="dxa"/>
            <w:shd w:val="clear" w:color="auto" w:fill="auto"/>
            <w:noWrap/>
            <w:vAlign w:val="bottom"/>
            <w:hideMark/>
          </w:tcPr>
          <w:p w14:paraId="10E41BF6" w14:textId="6C5D7CD3" w:rsidR="00304F26" w:rsidRPr="00733F77" w:rsidRDefault="00304F26" w:rsidP="0028041D">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Maqui</w:t>
            </w:r>
            <w:r w:rsidR="0028041D">
              <w:rPr>
                <w:rFonts w:ascii="Times New Roman" w:hAnsi="Times New Roman"/>
                <w:color w:val="000000"/>
                <w:sz w:val="22"/>
                <w:szCs w:val="20"/>
                <w:lang w:val="es-ES"/>
              </w:rPr>
              <w:t xml:space="preserve">naria, equipo suministros </w:t>
            </w:r>
            <w:r w:rsidRPr="00733F77">
              <w:rPr>
                <w:rFonts w:ascii="Times New Roman" w:hAnsi="Times New Roman"/>
                <w:color w:val="000000"/>
                <w:sz w:val="22"/>
                <w:szCs w:val="20"/>
                <w:lang w:val="es-ES"/>
              </w:rPr>
              <w:t xml:space="preserve">de </w:t>
            </w:r>
            <w:r w:rsidR="0028041D">
              <w:rPr>
                <w:rFonts w:ascii="Times New Roman" w:hAnsi="Times New Roman"/>
                <w:color w:val="000000"/>
                <w:sz w:val="22"/>
                <w:szCs w:val="20"/>
                <w:lang w:val="es-ES"/>
              </w:rPr>
              <w:t xml:space="preserve">procesos </w:t>
            </w:r>
            <w:r w:rsidRPr="00733F77">
              <w:rPr>
                <w:rFonts w:ascii="Times New Roman" w:hAnsi="Times New Roman"/>
                <w:color w:val="000000"/>
                <w:sz w:val="22"/>
                <w:szCs w:val="20"/>
                <w:lang w:val="es-ES"/>
              </w:rPr>
              <w:t xml:space="preserve">industriales </w:t>
            </w:r>
          </w:p>
        </w:tc>
        <w:tc>
          <w:tcPr>
            <w:tcW w:w="1896" w:type="dxa"/>
            <w:shd w:val="clear" w:color="auto" w:fill="auto"/>
            <w:noWrap/>
            <w:vAlign w:val="bottom"/>
            <w:hideMark/>
          </w:tcPr>
          <w:p w14:paraId="1A11737A"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841,797.00</w:t>
            </w:r>
          </w:p>
        </w:tc>
      </w:tr>
      <w:tr w:rsidR="00304F26" w:rsidRPr="00733F77" w14:paraId="574CC976" w14:textId="77777777" w:rsidTr="00F2330B">
        <w:trPr>
          <w:trHeight w:val="238"/>
        </w:trPr>
        <w:tc>
          <w:tcPr>
            <w:tcW w:w="1096" w:type="dxa"/>
            <w:shd w:val="clear" w:color="auto" w:fill="auto"/>
            <w:noWrap/>
            <w:vAlign w:val="bottom"/>
            <w:hideMark/>
          </w:tcPr>
          <w:p w14:paraId="3773A4D2"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24100000</w:t>
            </w:r>
          </w:p>
        </w:tc>
        <w:tc>
          <w:tcPr>
            <w:tcW w:w="6210" w:type="dxa"/>
            <w:shd w:val="clear" w:color="auto" w:fill="auto"/>
            <w:noWrap/>
            <w:vAlign w:val="bottom"/>
            <w:hideMark/>
          </w:tcPr>
          <w:p w14:paraId="6A86EFF1" w14:textId="069FE47D" w:rsidR="00304F26" w:rsidRPr="00733F77" w:rsidRDefault="0028041D" w:rsidP="00304F26">
            <w:pPr>
              <w:spacing w:after="0"/>
              <w:rPr>
                <w:rFonts w:ascii="Times New Roman" w:hAnsi="Times New Roman"/>
                <w:color w:val="000000"/>
                <w:sz w:val="22"/>
                <w:szCs w:val="20"/>
                <w:lang w:val="es-ES"/>
              </w:rPr>
            </w:pPr>
            <w:r>
              <w:rPr>
                <w:rFonts w:ascii="Times New Roman" w:hAnsi="Times New Roman"/>
                <w:color w:val="000000"/>
                <w:sz w:val="22"/>
                <w:szCs w:val="20"/>
                <w:lang w:val="es-ES"/>
              </w:rPr>
              <w:t xml:space="preserve"> Maquinaria </w:t>
            </w:r>
            <w:r w:rsidR="00304F26" w:rsidRPr="00733F77">
              <w:rPr>
                <w:rFonts w:ascii="Times New Roman" w:hAnsi="Times New Roman"/>
                <w:color w:val="000000"/>
                <w:sz w:val="22"/>
                <w:szCs w:val="20"/>
                <w:lang w:val="es-ES"/>
              </w:rPr>
              <w:t>y</w:t>
            </w:r>
            <w:r>
              <w:rPr>
                <w:rFonts w:ascii="Times New Roman" w:hAnsi="Times New Roman"/>
                <w:color w:val="000000"/>
                <w:sz w:val="22"/>
                <w:szCs w:val="20"/>
                <w:lang w:val="es-ES"/>
              </w:rPr>
              <w:t xml:space="preserve"> equipo </w:t>
            </w:r>
            <w:r w:rsidR="00304F26" w:rsidRPr="00733F77">
              <w:rPr>
                <w:rFonts w:ascii="Times New Roman" w:hAnsi="Times New Roman"/>
                <w:color w:val="000000"/>
                <w:sz w:val="22"/>
                <w:szCs w:val="20"/>
                <w:lang w:val="es-ES"/>
              </w:rPr>
              <w:t>p</w:t>
            </w:r>
            <w:r>
              <w:rPr>
                <w:rFonts w:ascii="Times New Roman" w:hAnsi="Times New Roman"/>
                <w:color w:val="000000"/>
                <w:sz w:val="22"/>
                <w:szCs w:val="20"/>
                <w:lang w:val="es-ES"/>
              </w:rPr>
              <w:t xml:space="preserve">ara manejo de </w:t>
            </w:r>
            <w:r w:rsidR="00304F26" w:rsidRPr="00733F77">
              <w:rPr>
                <w:rFonts w:ascii="Times New Roman" w:hAnsi="Times New Roman"/>
                <w:color w:val="000000"/>
                <w:sz w:val="22"/>
                <w:szCs w:val="20"/>
                <w:lang w:val="es-ES"/>
              </w:rPr>
              <w:t xml:space="preserve">materiales </w:t>
            </w:r>
          </w:p>
        </w:tc>
        <w:tc>
          <w:tcPr>
            <w:tcW w:w="1896" w:type="dxa"/>
            <w:shd w:val="clear" w:color="auto" w:fill="auto"/>
            <w:noWrap/>
            <w:vAlign w:val="bottom"/>
            <w:hideMark/>
          </w:tcPr>
          <w:p w14:paraId="55AFE0B8"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1,450,451.00</w:t>
            </w:r>
          </w:p>
        </w:tc>
      </w:tr>
      <w:tr w:rsidR="00304F26" w:rsidRPr="00733F77" w14:paraId="04BDA5B5" w14:textId="77777777" w:rsidTr="00F2330B">
        <w:trPr>
          <w:trHeight w:val="238"/>
        </w:trPr>
        <w:tc>
          <w:tcPr>
            <w:tcW w:w="1096" w:type="dxa"/>
            <w:shd w:val="clear" w:color="auto" w:fill="auto"/>
            <w:noWrap/>
            <w:vAlign w:val="bottom"/>
            <w:hideMark/>
          </w:tcPr>
          <w:p w14:paraId="37D98CCF"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24110000</w:t>
            </w:r>
          </w:p>
        </w:tc>
        <w:tc>
          <w:tcPr>
            <w:tcW w:w="6210" w:type="dxa"/>
            <w:shd w:val="clear" w:color="auto" w:fill="auto"/>
            <w:noWrap/>
            <w:vAlign w:val="bottom"/>
            <w:hideMark/>
          </w:tcPr>
          <w:p w14:paraId="2FFBABFB" w14:textId="00665E5A" w:rsidR="00304F26" w:rsidRPr="00733F77" w:rsidRDefault="0028041D" w:rsidP="00304F26">
            <w:pPr>
              <w:spacing w:after="0"/>
              <w:rPr>
                <w:rFonts w:ascii="Times New Roman" w:hAnsi="Times New Roman"/>
                <w:color w:val="000000"/>
                <w:sz w:val="22"/>
                <w:szCs w:val="20"/>
                <w:lang w:val="en-US"/>
              </w:rPr>
            </w:pPr>
            <w:r>
              <w:rPr>
                <w:rFonts w:ascii="Times New Roman" w:hAnsi="Times New Roman"/>
                <w:color w:val="000000"/>
                <w:sz w:val="22"/>
                <w:szCs w:val="20"/>
                <w:lang w:val="en-US"/>
              </w:rPr>
              <w:t xml:space="preserve"> Recipientes y </w:t>
            </w:r>
            <w:r w:rsidR="00304F26" w:rsidRPr="00733F77">
              <w:rPr>
                <w:rFonts w:ascii="Times New Roman" w:hAnsi="Times New Roman"/>
                <w:color w:val="000000"/>
                <w:sz w:val="22"/>
                <w:szCs w:val="20"/>
                <w:lang w:val="en-US"/>
              </w:rPr>
              <w:t xml:space="preserve">almacenamiento </w:t>
            </w:r>
          </w:p>
        </w:tc>
        <w:tc>
          <w:tcPr>
            <w:tcW w:w="1896" w:type="dxa"/>
            <w:shd w:val="clear" w:color="auto" w:fill="auto"/>
            <w:noWrap/>
            <w:vAlign w:val="bottom"/>
            <w:hideMark/>
          </w:tcPr>
          <w:p w14:paraId="65017A4C"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5,678,002.00</w:t>
            </w:r>
          </w:p>
        </w:tc>
      </w:tr>
      <w:tr w:rsidR="00304F26" w:rsidRPr="00733F77" w14:paraId="644D4CEA" w14:textId="77777777" w:rsidTr="00F2330B">
        <w:trPr>
          <w:trHeight w:val="238"/>
        </w:trPr>
        <w:tc>
          <w:tcPr>
            <w:tcW w:w="1096" w:type="dxa"/>
            <w:shd w:val="clear" w:color="auto" w:fill="auto"/>
            <w:noWrap/>
            <w:vAlign w:val="bottom"/>
            <w:hideMark/>
          </w:tcPr>
          <w:p w14:paraId="7A8ABA09"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24120000</w:t>
            </w:r>
          </w:p>
        </w:tc>
        <w:tc>
          <w:tcPr>
            <w:tcW w:w="6210" w:type="dxa"/>
            <w:shd w:val="clear" w:color="auto" w:fill="auto"/>
            <w:noWrap/>
            <w:vAlign w:val="bottom"/>
            <w:hideMark/>
          </w:tcPr>
          <w:p w14:paraId="370FEEB2"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Materiales  de  empaque </w:t>
            </w:r>
          </w:p>
        </w:tc>
        <w:tc>
          <w:tcPr>
            <w:tcW w:w="1896" w:type="dxa"/>
            <w:shd w:val="clear" w:color="auto" w:fill="auto"/>
            <w:noWrap/>
            <w:vAlign w:val="bottom"/>
            <w:hideMark/>
          </w:tcPr>
          <w:p w14:paraId="7944ED37"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7,903,049.00</w:t>
            </w:r>
          </w:p>
        </w:tc>
      </w:tr>
      <w:tr w:rsidR="00304F26" w:rsidRPr="00733F77" w14:paraId="0171C3ED" w14:textId="77777777" w:rsidTr="00F2330B">
        <w:trPr>
          <w:trHeight w:val="238"/>
        </w:trPr>
        <w:tc>
          <w:tcPr>
            <w:tcW w:w="1096" w:type="dxa"/>
            <w:shd w:val="clear" w:color="auto" w:fill="auto"/>
            <w:noWrap/>
            <w:vAlign w:val="bottom"/>
            <w:hideMark/>
          </w:tcPr>
          <w:p w14:paraId="048CA99E"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24130000</w:t>
            </w:r>
          </w:p>
        </w:tc>
        <w:tc>
          <w:tcPr>
            <w:tcW w:w="6210" w:type="dxa"/>
            <w:shd w:val="clear" w:color="auto" w:fill="auto"/>
            <w:noWrap/>
            <w:vAlign w:val="bottom"/>
            <w:hideMark/>
          </w:tcPr>
          <w:p w14:paraId="2353C880"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Refrigeración  industrial </w:t>
            </w:r>
          </w:p>
        </w:tc>
        <w:tc>
          <w:tcPr>
            <w:tcW w:w="1896" w:type="dxa"/>
            <w:shd w:val="clear" w:color="auto" w:fill="auto"/>
            <w:noWrap/>
            <w:vAlign w:val="bottom"/>
            <w:hideMark/>
          </w:tcPr>
          <w:p w14:paraId="603F8F85"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54,860.00</w:t>
            </w:r>
          </w:p>
        </w:tc>
      </w:tr>
      <w:tr w:rsidR="00304F26" w:rsidRPr="00733F77" w14:paraId="52B6AEB5" w14:textId="77777777" w:rsidTr="00F2330B">
        <w:trPr>
          <w:trHeight w:val="238"/>
        </w:trPr>
        <w:tc>
          <w:tcPr>
            <w:tcW w:w="1096" w:type="dxa"/>
            <w:shd w:val="clear" w:color="auto" w:fill="auto"/>
            <w:noWrap/>
            <w:vAlign w:val="bottom"/>
            <w:hideMark/>
          </w:tcPr>
          <w:p w14:paraId="04761013"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24140000</w:t>
            </w:r>
          </w:p>
        </w:tc>
        <w:tc>
          <w:tcPr>
            <w:tcW w:w="6210" w:type="dxa"/>
            <w:shd w:val="clear" w:color="auto" w:fill="auto"/>
            <w:noWrap/>
            <w:vAlign w:val="bottom"/>
            <w:hideMark/>
          </w:tcPr>
          <w:p w14:paraId="40536C7D"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Suministros  de  embalaje </w:t>
            </w:r>
          </w:p>
        </w:tc>
        <w:tc>
          <w:tcPr>
            <w:tcW w:w="1896" w:type="dxa"/>
            <w:shd w:val="clear" w:color="auto" w:fill="auto"/>
            <w:noWrap/>
            <w:vAlign w:val="bottom"/>
            <w:hideMark/>
          </w:tcPr>
          <w:p w14:paraId="5B75D69A"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163,555.00</w:t>
            </w:r>
          </w:p>
        </w:tc>
      </w:tr>
      <w:tr w:rsidR="00304F26" w:rsidRPr="00733F77" w14:paraId="5EB53C2F" w14:textId="77777777" w:rsidTr="00F2330B">
        <w:trPr>
          <w:trHeight w:val="238"/>
        </w:trPr>
        <w:tc>
          <w:tcPr>
            <w:tcW w:w="1096" w:type="dxa"/>
            <w:shd w:val="clear" w:color="auto" w:fill="auto"/>
            <w:noWrap/>
            <w:vAlign w:val="bottom"/>
            <w:hideMark/>
          </w:tcPr>
          <w:p w14:paraId="45592AA6"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25100000</w:t>
            </w:r>
          </w:p>
        </w:tc>
        <w:tc>
          <w:tcPr>
            <w:tcW w:w="6210" w:type="dxa"/>
            <w:shd w:val="clear" w:color="auto" w:fill="auto"/>
            <w:noWrap/>
            <w:vAlign w:val="bottom"/>
            <w:hideMark/>
          </w:tcPr>
          <w:p w14:paraId="08C5F46E"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Vehículos  de  motor </w:t>
            </w:r>
          </w:p>
        </w:tc>
        <w:tc>
          <w:tcPr>
            <w:tcW w:w="1896" w:type="dxa"/>
            <w:shd w:val="clear" w:color="auto" w:fill="auto"/>
            <w:noWrap/>
            <w:vAlign w:val="bottom"/>
            <w:hideMark/>
          </w:tcPr>
          <w:p w14:paraId="2D3ED66F"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3,540,000.00</w:t>
            </w:r>
          </w:p>
        </w:tc>
      </w:tr>
      <w:tr w:rsidR="00304F26" w:rsidRPr="00733F77" w14:paraId="59E667F3" w14:textId="77777777" w:rsidTr="00F2330B">
        <w:trPr>
          <w:trHeight w:val="238"/>
        </w:trPr>
        <w:tc>
          <w:tcPr>
            <w:tcW w:w="1096" w:type="dxa"/>
            <w:shd w:val="clear" w:color="auto" w:fill="auto"/>
            <w:noWrap/>
            <w:vAlign w:val="bottom"/>
            <w:hideMark/>
          </w:tcPr>
          <w:p w14:paraId="69D2CB70"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25170000</w:t>
            </w:r>
          </w:p>
        </w:tc>
        <w:tc>
          <w:tcPr>
            <w:tcW w:w="6210" w:type="dxa"/>
            <w:shd w:val="clear" w:color="auto" w:fill="auto"/>
            <w:noWrap/>
            <w:vAlign w:val="bottom"/>
            <w:hideMark/>
          </w:tcPr>
          <w:p w14:paraId="56D364E6"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Componentes  y  sistemas  de  transporte </w:t>
            </w:r>
          </w:p>
        </w:tc>
        <w:tc>
          <w:tcPr>
            <w:tcW w:w="1896" w:type="dxa"/>
            <w:shd w:val="clear" w:color="auto" w:fill="auto"/>
            <w:noWrap/>
            <w:vAlign w:val="bottom"/>
            <w:hideMark/>
          </w:tcPr>
          <w:p w14:paraId="06D2A3E6"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56,927,527.00</w:t>
            </w:r>
          </w:p>
        </w:tc>
      </w:tr>
      <w:tr w:rsidR="00304F26" w:rsidRPr="00733F77" w14:paraId="477E0561" w14:textId="77777777" w:rsidTr="00F2330B">
        <w:trPr>
          <w:trHeight w:val="238"/>
        </w:trPr>
        <w:tc>
          <w:tcPr>
            <w:tcW w:w="1096" w:type="dxa"/>
            <w:shd w:val="clear" w:color="auto" w:fill="auto"/>
            <w:noWrap/>
            <w:vAlign w:val="bottom"/>
            <w:hideMark/>
          </w:tcPr>
          <w:p w14:paraId="772EB45C"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25190000</w:t>
            </w:r>
          </w:p>
        </w:tc>
        <w:tc>
          <w:tcPr>
            <w:tcW w:w="6210" w:type="dxa"/>
            <w:shd w:val="clear" w:color="auto" w:fill="auto"/>
            <w:noWrap/>
            <w:vAlign w:val="bottom"/>
            <w:hideMark/>
          </w:tcPr>
          <w:p w14:paraId="55CA1A84"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Equipo  para  servicios  de  transporte </w:t>
            </w:r>
          </w:p>
        </w:tc>
        <w:tc>
          <w:tcPr>
            <w:tcW w:w="1896" w:type="dxa"/>
            <w:shd w:val="clear" w:color="auto" w:fill="auto"/>
            <w:noWrap/>
            <w:vAlign w:val="bottom"/>
            <w:hideMark/>
          </w:tcPr>
          <w:p w14:paraId="456825C6"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135,696.00</w:t>
            </w:r>
          </w:p>
        </w:tc>
      </w:tr>
      <w:tr w:rsidR="00304F26" w:rsidRPr="00733F77" w14:paraId="6C18158E" w14:textId="77777777" w:rsidTr="00F2330B">
        <w:trPr>
          <w:trHeight w:val="238"/>
        </w:trPr>
        <w:tc>
          <w:tcPr>
            <w:tcW w:w="1096" w:type="dxa"/>
            <w:shd w:val="clear" w:color="auto" w:fill="auto"/>
            <w:noWrap/>
            <w:vAlign w:val="bottom"/>
            <w:hideMark/>
          </w:tcPr>
          <w:p w14:paraId="48A13C05"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26100000</w:t>
            </w:r>
          </w:p>
        </w:tc>
        <w:tc>
          <w:tcPr>
            <w:tcW w:w="6210" w:type="dxa"/>
            <w:shd w:val="clear" w:color="auto" w:fill="auto"/>
            <w:noWrap/>
            <w:vAlign w:val="bottom"/>
            <w:hideMark/>
          </w:tcPr>
          <w:p w14:paraId="6C88673A" w14:textId="73D21D0F" w:rsidR="00304F26" w:rsidRPr="00733F77" w:rsidRDefault="00304F26" w:rsidP="0093100D">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Fuentes de energía </w:t>
            </w:r>
          </w:p>
        </w:tc>
        <w:tc>
          <w:tcPr>
            <w:tcW w:w="1896" w:type="dxa"/>
            <w:shd w:val="clear" w:color="auto" w:fill="auto"/>
            <w:noWrap/>
            <w:vAlign w:val="bottom"/>
            <w:hideMark/>
          </w:tcPr>
          <w:p w14:paraId="47ED0CFD"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2,715,984.00</w:t>
            </w:r>
          </w:p>
        </w:tc>
      </w:tr>
      <w:tr w:rsidR="00304F26" w:rsidRPr="00733F77" w14:paraId="43E9C3EB" w14:textId="77777777" w:rsidTr="00F2330B">
        <w:trPr>
          <w:trHeight w:val="238"/>
        </w:trPr>
        <w:tc>
          <w:tcPr>
            <w:tcW w:w="1096" w:type="dxa"/>
            <w:shd w:val="clear" w:color="auto" w:fill="auto"/>
            <w:noWrap/>
            <w:vAlign w:val="bottom"/>
            <w:hideMark/>
          </w:tcPr>
          <w:p w14:paraId="72FFEC02"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27110000</w:t>
            </w:r>
          </w:p>
        </w:tc>
        <w:tc>
          <w:tcPr>
            <w:tcW w:w="6210" w:type="dxa"/>
            <w:shd w:val="clear" w:color="auto" w:fill="auto"/>
            <w:noWrap/>
            <w:vAlign w:val="bottom"/>
            <w:hideMark/>
          </w:tcPr>
          <w:p w14:paraId="5F0DF9A4" w14:textId="0FAB0F2C" w:rsidR="00304F26" w:rsidRPr="00733F77" w:rsidRDefault="0093100D" w:rsidP="0093100D">
            <w:pPr>
              <w:spacing w:after="0"/>
              <w:rPr>
                <w:rFonts w:ascii="Times New Roman" w:hAnsi="Times New Roman"/>
                <w:color w:val="000000"/>
                <w:sz w:val="22"/>
                <w:szCs w:val="20"/>
                <w:lang w:val="en-US"/>
              </w:rPr>
            </w:pPr>
            <w:r>
              <w:rPr>
                <w:rFonts w:ascii="Times New Roman" w:hAnsi="Times New Roman"/>
                <w:color w:val="000000"/>
                <w:sz w:val="22"/>
                <w:szCs w:val="20"/>
                <w:lang w:val="en-US"/>
              </w:rPr>
              <w:t xml:space="preserve"> Herramientas d</w:t>
            </w:r>
            <w:r w:rsidR="00304F26" w:rsidRPr="00733F77">
              <w:rPr>
                <w:rFonts w:ascii="Times New Roman" w:hAnsi="Times New Roman"/>
                <w:color w:val="000000"/>
                <w:sz w:val="22"/>
                <w:szCs w:val="20"/>
                <w:lang w:val="en-US"/>
              </w:rPr>
              <w:t xml:space="preserve">e mano </w:t>
            </w:r>
          </w:p>
        </w:tc>
        <w:tc>
          <w:tcPr>
            <w:tcW w:w="1896" w:type="dxa"/>
            <w:shd w:val="clear" w:color="auto" w:fill="auto"/>
            <w:noWrap/>
            <w:vAlign w:val="bottom"/>
            <w:hideMark/>
          </w:tcPr>
          <w:p w14:paraId="362EFE97"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30,387,829.00</w:t>
            </w:r>
          </w:p>
        </w:tc>
      </w:tr>
      <w:tr w:rsidR="00304F26" w:rsidRPr="00733F77" w14:paraId="5AF66AE3" w14:textId="77777777" w:rsidTr="00F2330B">
        <w:trPr>
          <w:trHeight w:val="238"/>
        </w:trPr>
        <w:tc>
          <w:tcPr>
            <w:tcW w:w="1096" w:type="dxa"/>
            <w:shd w:val="clear" w:color="auto" w:fill="auto"/>
            <w:noWrap/>
            <w:vAlign w:val="bottom"/>
            <w:hideMark/>
          </w:tcPr>
          <w:p w14:paraId="7A0DD8C6"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27120000</w:t>
            </w:r>
          </w:p>
        </w:tc>
        <w:tc>
          <w:tcPr>
            <w:tcW w:w="6210" w:type="dxa"/>
            <w:shd w:val="clear" w:color="auto" w:fill="auto"/>
            <w:noWrap/>
            <w:vAlign w:val="bottom"/>
            <w:hideMark/>
          </w:tcPr>
          <w:p w14:paraId="00420BEF" w14:textId="43A21619" w:rsidR="00304F26" w:rsidRPr="00733F77" w:rsidRDefault="00304F26" w:rsidP="0093100D">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Maquinaria y</w:t>
            </w:r>
            <w:r w:rsidR="0093100D">
              <w:rPr>
                <w:rFonts w:ascii="Times New Roman" w:hAnsi="Times New Roman"/>
                <w:color w:val="000000"/>
                <w:sz w:val="22"/>
                <w:szCs w:val="20"/>
                <w:lang w:val="en-US"/>
              </w:rPr>
              <w:t xml:space="preserve"> equipo </w:t>
            </w:r>
            <w:r w:rsidRPr="00733F77">
              <w:rPr>
                <w:rFonts w:ascii="Times New Roman" w:hAnsi="Times New Roman"/>
                <w:color w:val="000000"/>
                <w:sz w:val="22"/>
                <w:szCs w:val="20"/>
                <w:lang w:val="en-US"/>
              </w:rPr>
              <w:t xml:space="preserve">hidráulico </w:t>
            </w:r>
          </w:p>
        </w:tc>
        <w:tc>
          <w:tcPr>
            <w:tcW w:w="1896" w:type="dxa"/>
            <w:shd w:val="clear" w:color="auto" w:fill="auto"/>
            <w:noWrap/>
            <w:vAlign w:val="bottom"/>
            <w:hideMark/>
          </w:tcPr>
          <w:p w14:paraId="00D087CD"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477,774.00</w:t>
            </w:r>
          </w:p>
        </w:tc>
      </w:tr>
      <w:tr w:rsidR="00304F26" w:rsidRPr="00733F77" w14:paraId="5B11AD2B" w14:textId="77777777" w:rsidTr="00F2330B">
        <w:trPr>
          <w:trHeight w:val="238"/>
        </w:trPr>
        <w:tc>
          <w:tcPr>
            <w:tcW w:w="1096" w:type="dxa"/>
            <w:shd w:val="clear" w:color="auto" w:fill="auto"/>
            <w:noWrap/>
            <w:vAlign w:val="bottom"/>
            <w:hideMark/>
          </w:tcPr>
          <w:p w14:paraId="3A6F5D25"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30100000</w:t>
            </w:r>
          </w:p>
        </w:tc>
        <w:tc>
          <w:tcPr>
            <w:tcW w:w="6210" w:type="dxa"/>
            <w:shd w:val="clear" w:color="auto" w:fill="auto"/>
            <w:noWrap/>
            <w:vAlign w:val="bottom"/>
            <w:hideMark/>
          </w:tcPr>
          <w:p w14:paraId="5D5528F6" w14:textId="0E5894F5" w:rsidR="00304F26" w:rsidRPr="00733F77" w:rsidRDefault="00304F26" w:rsidP="0093100D">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Componentes estructurales y formas  básicas </w:t>
            </w:r>
          </w:p>
        </w:tc>
        <w:tc>
          <w:tcPr>
            <w:tcW w:w="1896" w:type="dxa"/>
            <w:shd w:val="clear" w:color="auto" w:fill="auto"/>
            <w:noWrap/>
            <w:vAlign w:val="bottom"/>
            <w:hideMark/>
          </w:tcPr>
          <w:p w14:paraId="27113B03"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477,774.00</w:t>
            </w:r>
          </w:p>
        </w:tc>
      </w:tr>
      <w:tr w:rsidR="00304F26" w:rsidRPr="00733F77" w14:paraId="4765C263" w14:textId="77777777" w:rsidTr="00F2330B">
        <w:trPr>
          <w:trHeight w:val="238"/>
        </w:trPr>
        <w:tc>
          <w:tcPr>
            <w:tcW w:w="1096" w:type="dxa"/>
            <w:shd w:val="clear" w:color="auto" w:fill="auto"/>
            <w:noWrap/>
            <w:vAlign w:val="bottom"/>
            <w:hideMark/>
          </w:tcPr>
          <w:p w14:paraId="502D249C"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30110000</w:t>
            </w:r>
          </w:p>
        </w:tc>
        <w:tc>
          <w:tcPr>
            <w:tcW w:w="6210" w:type="dxa"/>
            <w:shd w:val="clear" w:color="auto" w:fill="auto"/>
            <w:noWrap/>
            <w:vAlign w:val="bottom"/>
            <w:hideMark/>
          </w:tcPr>
          <w:p w14:paraId="6EE25447" w14:textId="33025DB5"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Hormigó</w:t>
            </w:r>
            <w:r w:rsidR="0093100D">
              <w:rPr>
                <w:rFonts w:ascii="Times New Roman" w:hAnsi="Times New Roman"/>
                <w:color w:val="000000"/>
                <w:sz w:val="22"/>
                <w:szCs w:val="20"/>
                <w:lang w:val="en-US"/>
              </w:rPr>
              <w:t xml:space="preserve">n, cemento y </w:t>
            </w:r>
            <w:r w:rsidRPr="00733F77">
              <w:rPr>
                <w:rFonts w:ascii="Times New Roman" w:hAnsi="Times New Roman"/>
                <w:color w:val="000000"/>
                <w:sz w:val="22"/>
                <w:szCs w:val="20"/>
                <w:lang w:val="en-US"/>
              </w:rPr>
              <w:t xml:space="preserve">yeso </w:t>
            </w:r>
          </w:p>
        </w:tc>
        <w:tc>
          <w:tcPr>
            <w:tcW w:w="1896" w:type="dxa"/>
            <w:shd w:val="clear" w:color="auto" w:fill="auto"/>
            <w:noWrap/>
            <w:vAlign w:val="bottom"/>
            <w:hideMark/>
          </w:tcPr>
          <w:p w14:paraId="7BC81F4D"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1,129,007.00</w:t>
            </w:r>
          </w:p>
        </w:tc>
      </w:tr>
      <w:tr w:rsidR="00304F26" w:rsidRPr="00733F77" w14:paraId="1CF11695" w14:textId="77777777" w:rsidTr="00F2330B">
        <w:trPr>
          <w:trHeight w:val="238"/>
        </w:trPr>
        <w:tc>
          <w:tcPr>
            <w:tcW w:w="1096" w:type="dxa"/>
            <w:shd w:val="clear" w:color="auto" w:fill="auto"/>
            <w:noWrap/>
            <w:vAlign w:val="bottom"/>
            <w:hideMark/>
          </w:tcPr>
          <w:p w14:paraId="25DF1BB8"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30150000</w:t>
            </w:r>
          </w:p>
        </w:tc>
        <w:tc>
          <w:tcPr>
            <w:tcW w:w="6210" w:type="dxa"/>
            <w:shd w:val="clear" w:color="auto" w:fill="auto"/>
            <w:noWrap/>
            <w:vAlign w:val="bottom"/>
            <w:hideMark/>
          </w:tcPr>
          <w:p w14:paraId="7B372DD1" w14:textId="6CCE682D" w:rsidR="00304F26" w:rsidRPr="00733F77" w:rsidRDefault="0093100D" w:rsidP="00304F26">
            <w:pPr>
              <w:spacing w:after="0"/>
              <w:rPr>
                <w:rFonts w:ascii="Times New Roman" w:hAnsi="Times New Roman"/>
                <w:color w:val="000000"/>
                <w:sz w:val="22"/>
                <w:szCs w:val="20"/>
                <w:lang w:val="es-ES"/>
              </w:rPr>
            </w:pPr>
            <w:r>
              <w:rPr>
                <w:rFonts w:ascii="Times New Roman" w:hAnsi="Times New Roman"/>
                <w:color w:val="000000"/>
                <w:sz w:val="22"/>
                <w:szCs w:val="20"/>
                <w:lang w:val="es-ES"/>
              </w:rPr>
              <w:t xml:space="preserve"> Materiales para acabado de </w:t>
            </w:r>
            <w:r w:rsidR="00304F26" w:rsidRPr="00733F77">
              <w:rPr>
                <w:rFonts w:ascii="Times New Roman" w:hAnsi="Times New Roman"/>
                <w:color w:val="000000"/>
                <w:sz w:val="22"/>
                <w:szCs w:val="20"/>
                <w:lang w:val="es-ES"/>
              </w:rPr>
              <w:t xml:space="preserve">exteriores </w:t>
            </w:r>
          </w:p>
        </w:tc>
        <w:tc>
          <w:tcPr>
            <w:tcW w:w="1896" w:type="dxa"/>
            <w:shd w:val="clear" w:color="auto" w:fill="auto"/>
            <w:noWrap/>
            <w:vAlign w:val="bottom"/>
            <w:hideMark/>
          </w:tcPr>
          <w:p w14:paraId="0EE5B22D"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4,516,028.00</w:t>
            </w:r>
          </w:p>
        </w:tc>
      </w:tr>
      <w:tr w:rsidR="00304F26" w:rsidRPr="00733F77" w14:paraId="1F430722" w14:textId="77777777" w:rsidTr="00F2330B">
        <w:trPr>
          <w:trHeight w:val="238"/>
        </w:trPr>
        <w:tc>
          <w:tcPr>
            <w:tcW w:w="1096" w:type="dxa"/>
            <w:shd w:val="clear" w:color="auto" w:fill="auto"/>
            <w:noWrap/>
            <w:vAlign w:val="bottom"/>
            <w:hideMark/>
          </w:tcPr>
          <w:p w14:paraId="67FC0860"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30170000</w:t>
            </w:r>
          </w:p>
        </w:tc>
        <w:tc>
          <w:tcPr>
            <w:tcW w:w="6210" w:type="dxa"/>
            <w:shd w:val="clear" w:color="auto" w:fill="auto"/>
            <w:noWrap/>
            <w:vAlign w:val="bottom"/>
            <w:hideMark/>
          </w:tcPr>
          <w:p w14:paraId="4ADA3832" w14:textId="05C3C7A9" w:rsidR="00304F26" w:rsidRPr="00733F77" w:rsidRDefault="0093100D" w:rsidP="00304F26">
            <w:pPr>
              <w:spacing w:after="0"/>
              <w:rPr>
                <w:rFonts w:ascii="Times New Roman" w:hAnsi="Times New Roman"/>
                <w:color w:val="000000"/>
                <w:sz w:val="22"/>
                <w:szCs w:val="20"/>
                <w:lang w:val="es-ES"/>
              </w:rPr>
            </w:pPr>
            <w:r>
              <w:rPr>
                <w:rFonts w:ascii="Times New Roman" w:hAnsi="Times New Roman"/>
                <w:color w:val="000000"/>
                <w:sz w:val="22"/>
                <w:szCs w:val="20"/>
                <w:lang w:val="es-ES"/>
              </w:rPr>
              <w:t xml:space="preserve"> Puertas y ventanas y </w:t>
            </w:r>
            <w:r w:rsidR="00304F26" w:rsidRPr="00733F77">
              <w:rPr>
                <w:rFonts w:ascii="Times New Roman" w:hAnsi="Times New Roman"/>
                <w:color w:val="000000"/>
                <w:sz w:val="22"/>
                <w:szCs w:val="20"/>
                <w:lang w:val="es-ES"/>
              </w:rPr>
              <w:t xml:space="preserve">vidrio </w:t>
            </w:r>
          </w:p>
        </w:tc>
        <w:tc>
          <w:tcPr>
            <w:tcW w:w="1896" w:type="dxa"/>
            <w:shd w:val="clear" w:color="auto" w:fill="auto"/>
            <w:noWrap/>
            <w:vAlign w:val="bottom"/>
            <w:hideMark/>
          </w:tcPr>
          <w:p w14:paraId="30AAB087"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1,129,007.00</w:t>
            </w:r>
          </w:p>
        </w:tc>
      </w:tr>
      <w:tr w:rsidR="00304F26" w:rsidRPr="00733F77" w14:paraId="211B7647" w14:textId="77777777" w:rsidTr="00F2330B">
        <w:trPr>
          <w:trHeight w:val="238"/>
        </w:trPr>
        <w:tc>
          <w:tcPr>
            <w:tcW w:w="1096" w:type="dxa"/>
            <w:shd w:val="clear" w:color="auto" w:fill="auto"/>
            <w:noWrap/>
            <w:vAlign w:val="bottom"/>
            <w:hideMark/>
          </w:tcPr>
          <w:p w14:paraId="69755FE4"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30180000</w:t>
            </w:r>
          </w:p>
        </w:tc>
        <w:tc>
          <w:tcPr>
            <w:tcW w:w="6210" w:type="dxa"/>
            <w:shd w:val="clear" w:color="auto" w:fill="auto"/>
            <w:noWrap/>
            <w:vAlign w:val="bottom"/>
            <w:hideMark/>
          </w:tcPr>
          <w:p w14:paraId="56ECA50A" w14:textId="187B1E1C" w:rsidR="00304F26" w:rsidRPr="00733F77" w:rsidRDefault="0093100D" w:rsidP="0093100D">
            <w:pPr>
              <w:spacing w:after="0"/>
              <w:rPr>
                <w:rFonts w:ascii="Times New Roman" w:hAnsi="Times New Roman"/>
                <w:color w:val="000000"/>
                <w:sz w:val="22"/>
                <w:szCs w:val="20"/>
                <w:lang w:val="en-US"/>
              </w:rPr>
            </w:pPr>
            <w:r>
              <w:rPr>
                <w:rFonts w:ascii="Times New Roman" w:hAnsi="Times New Roman"/>
                <w:color w:val="000000"/>
                <w:sz w:val="22"/>
                <w:szCs w:val="20"/>
                <w:lang w:val="en-US"/>
              </w:rPr>
              <w:t xml:space="preserve"> Instalaciones d</w:t>
            </w:r>
            <w:r w:rsidR="00304F26" w:rsidRPr="00733F77">
              <w:rPr>
                <w:rFonts w:ascii="Times New Roman" w:hAnsi="Times New Roman"/>
                <w:color w:val="000000"/>
                <w:sz w:val="22"/>
                <w:szCs w:val="20"/>
                <w:lang w:val="en-US"/>
              </w:rPr>
              <w:t xml:space="preserve">e plomería </w:t>
            </w:r>
          </w:p>
        </w:tc>
        <w:tc>
          <w:tcPr>
            <w:tcW w:w="1896" w:type="dxa"/>
            <w:shd w:val="clear" w:color="auto" w:fill="auto"/>
            <w:noWrap/>
            <w:vAlign w:val="bottom"/>
            <w:hideMark/>
          </w:tcPr>
          <w:p w14:paraId="4F844A19"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1,129,007.00</w:t>
            </w:r>
          </w:p>
        </w:tc>
      </w:tr>
      <w:tr w:rsidR="00304F26" w:rsidRPr="00733F77" w14:paraId="0EC4747F" w14:textId="77777777" w:rsidTr="00F2330B">
        <w:trPr>
          <w:trHeight w:val="238"/>
        </w:trPr>
        <w:tc>
          <w:tcPr>
            <w:tcW w:w="1096" w:type="dxa"/>
            <w:shd w:val="clear" w:color="auto" w:fill="auto"/>
            <w:noWrap/>
            <w:vAlign w:val="bottom"/>
            <w:hideMark/>
          </w:tcPr>
          <w:p w14:paraId="3595496D"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30200000</w:t>
            </w:r>
          </w:p>
        </w:tc>
        <w:tc>
          <w:tcPr>
            <w:tcW w:w="6210" w:type="dxa"/>
            <w:shd w:val="clear" w:color="auto" w:fill="auto"/>
            <w:noWrap/>
            <w:vAlign w:val="bottom"/>
            <w:hideMark/>
          </w:tcPr>
          <w:p w14:paraId="3B2EA6F3"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Estructuras prefabricadas </w:t>
            </w:r>
          </w:p>
        </w:tc>
        <w:tc>
          <w:tcPr>
            <w:tcW w:w="1896" w:type="dxa"/>
            <w:shd w:val="clear" w:color="auto" w:fill="auto"/>
            <w:noWrap/>
            <w:vAlign w:val="bottom"/>
            <w:hideMark/>
          </w:tcPr>
          <w:p w14:paraId="07C795A4"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44,684,610.00</w:t>
            </w:r>
          </w:p>
        </w:tc>
      </w:tr>
      <w:tr w:rsidR="00304F26" w:rsidRPr="00733F77" w14:paraId="59968B61" w14:textId="77777777" w:rsidTr="00F2330B">
        <w:trPr>
          <w:trHeight w:val="238"/>
        </w:trPr>
        <w:tc>
          <w:tcPr>
            <w:tcW w:w="1096" w:type="dxa"/>
            <w:shd w:val="clear" w:color="auto" w:fill="auto"/>
            <w:noWrap/>
            <w:vAlign w:val="bottom"/>
            <w:hideMark/>
          </w:tcPr>
          <w:p w14:paraId="21B5DD4B"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31160000</w:t>
            </w:r>
          </w:p>
        </w:tc>
        <w:tc>
          <w:tcPr>
            <w:tcW w:w="6210" w:type="dxa"/>
            <w:shd w:val="clear" w:color="auto" w:fill="auto"/>
            <w:noWrap/>
            <w:vAlign w:val="bottom"/>
            <w:hideMark/>
          </w:tcPr>
          <w:p w14:paraId="58F73FB7"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Ferretería </w:t>
            </w:r>
          </w:p>
        </w:tc>
        <w:tc>
          <w:tcPr>
            <w:tcW w:w="1896" w:type="dxa"/>
            <w:shd w:val="clear" w:color="auto" w:fill="auto"/>
            <w:noWrap/>
            <w:vAlign w:val="bottom"/>
            <w:hideMark/>
          </w:tcPr>
          <w:p w14:paraId="20543589"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18,603,356.00</w:t>
            </w:r>
          </w:p>
        </w:tc>
      </w:tr>
      <w:tr w:rsidR="00304F26" w:rsidRPr="00733F77" w14:paraId="1A79E78B" w14:textId="77777777" w:rsidTr="00F2330B">
        <w:trPr>
          <w:trHeight w:val="238"/>
        </w:trPr>
        <w:tc>
          <w:tcPr>
            <w:tcW w:w="1096" w:type="dxa"/>
            <w:shd w:val="clear" w:color="auto" w:fill="auto"/>
            <w:noWrap/>
            <w:vAlign w:val="bottom"/>
            <w:hideMark/>
          </w:tcPr>
          <w:p w14:paraId="7F6DF46E"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31170000</w:t>
            </w:r>
          </w:p>
        </w:tc>
        <w:tc>
          <w:tcPr>
            <w:tcW w:w="6210" w:type="dxa"/>
            <w:shd w:val="clear" w:color="auto" w:fill="auto"/>
            <w:noWrap/>
            <w:vAlign w:val="bottom"/>
            <w:hideMark/>
          </w:tcPr>
          <w:p w14:paraId="38472B41"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Rodamientos, cojinetes ruedas y engranajes </w:t>
            </w:r>
          </w:p>
        </w:tc>
        <w:tc>
          <w:tcPr>
            <w:tcW w:w="1896" w:type="dxa"/>
            <w:shd w:val="clear" w:color="auto" w:fill="auto"/>
            <w:noWrap/>
            <w:vAlign w:val="bottom"/>
            <w:hideMark/>
          </w:tcPr>
          <w:p w14:paraId="1D5329DE"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2,084,994.00</w:t>
            </w:r>
          </w:p>
        </w:tc>
      </w:tr>
      <w:tr w:rsidR="00304F26" w:rsidRPr="00733F77" w14:paraId="131EA61E" w14:textId="77777777" w:rsidTr="00F2330B">
        <w:trPr>
          <w:trHeight w:val="238"/>
        </w:trPr>
        <w:tc>
          <w:tcPr>
            <w:tcW w:w="1096" w:type="dxa"/>
            <w:shd w:val="clear" w:color="auto" w:fill="auto"/>
            <w:noWrap/>
            <w:vAlign w:val="bottom"/>
            <w:hideMark/>
          </w:tcPr>
          <w:p w14:paraId="51B47452"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31180000</w:t>
            </w:r>
          </w:p>
        </w:tc>
        <w:tc>
          <w:tcPr>
            <w:tcW w:w="6210" w:type="dxa"/>
            <w:shd w:val="clear" w:color="auto" w:fill="auto"/>
            <w:noWrap/>
            <w:vAlign w:val="bottom"/>
            <w:hideMark/>
          </w:tcPr>
          <w:p w14:paraId="12DF49CE"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Empaques, glándulas, fundas y cubiertas </w:t>
            </w:r>
          </w:p>
        </w:tc>
        <w:tc>
          <w:tcPr>
            <w:tcW w:w="1896" w:type="dxa"/>
            <w:shd w:val="clear" w:color="auto" w:fill="auto"/>
            <w:noWrap/>
            <w:vAlign w:val="bottom"/>
            <w:hideMark/>
          </w:tcPr>
          <w:p w14:paraId="1B1F196A"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5,554,045.00</w:t>
            </w:r>
          </w:p>
        </w:tc>
      </w:tr>
      <w:tr w:rsidR="00304F26" w:rsidRPr="00733F77" w14:paraId="61D29B85" w14:textId="77777777" w:rsidTr="00F2330B">
        <w:trPr>
          <w:trHeight w:val="238"/>
        </w:trPr>
        <w:tc>
          <w:tcPr>
            <w:tcW w:w="1096" w:type="dxa"/>
            <w:shd w:val="clear" w:color="auto" w:fill="auto"/>
            <w:noWrap/>
            <w:vAlign w:val="bottom"/>
            <w:hideMark/>
          </w:tcPr>
          <w:p w14:paraId="19D77FA1"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31200000</w:t>
            </w:r>
          </w:p>
        </w:tc>
        <w:tc>
          <w:tcPr>
            <w:tcW w:w="6210" w:type="dxa"/>
            <w:shd w:val="clear" w:color="auto" w:fill="auto"/>
            <w:noWrap/>
            <w:vAlign w:val="bottom"/>
            <w:hideMark/>
          </w:tcPr>
          <w:p w14:paraId="7B47F5D6"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Adhesivos y selladores </w:t>
            </w:r>
          </w:p>
        </w:tc>
        <w:tc>
          <w:tcPr>
            <w:tcW w:w="1896" w:type="dxa"/>
            <w:shd w:val="clear" w:color="auto" w:fill="auto"/>
            <w:noWrap/>
            <w:vAlign w:val="bottom"/>
            <w:hideMark/>
          </w:tcPr>
          <w:p w14:paraId="12AF1558"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2,443,854.00</w:t>
            </w:r>
          </w:p>
        </w:tc>
      </w:tr>
      <w:tr w:rsidR="00304F26" w:rsidRPr="00733F77" w14:paraId="213F6B6C" w14:textId="77777777" w:rsidTr="00F2330B">
        <w:trPr>
          <w:trHeight w:val="238"/>
        </w:trPr>
        <w:tc>
          <w:tcPr>
            <w:tcW w:w="1096" w:type="dxa"/>
            <w:shd w:val="clear" w:color="auto" w:fill="auto"/>
            <w:noWrap/>
            <w:vAlign w:val="bottom"/>
            <w:hideMark/>
          </w:tcPr>
          <w:p w14:paraId="67A53340"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31210000</w:t>
            </w:r>
          </w:p>
        </w:tc>
        <w:tc>
          <w:tcPr>
            <w:tcW w:w="6210" w:type="dxa"/>
            <w:shd w:val="clear" w:color="auto" w:fill="auto"/>
            <w:noWrap/>
            <w:vAlign w:val="bottom"/>
            <w:hideMark/>
          </w:tcPr>
          <w:p w14:paraId="47AC1AB5"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Pinturas y bases y acabados </w:t>
            </w:r>
          </w:p>
        </w:tc>
        <w:tc>
          <w:tcPr>
            <w:tcW w:w="1896" w:type="dxa"/>
            <w:shd w:val="clear" w:color="auto" w:fill="auto"/>
            <w:noWrap/>
            <w:vAlign w:val="bottom"/>
            <w:hideMark/>
          </w:tcPr>
          <w:p w14:paraId="30896048"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2,693,718.00</w:t>
            </w:r>
          </w:p>
        </w:tc>
      </w:tr>
      <w:tr w:rsidR="00304F26" w:rsidRPr="00733F77" w14:paraId="3C96B9DA" w14:textId="77777777" w:rsidTr="00F2330B">
        <w:trPr>
          <w:trHeight w:val="238"/>
        </w:trPr>
        <w:tc>
          <w:tcPr>
            <w:tcW w:w="1096" w:type="dxa"/>
            <w:shd w:val="clear" w:color="auto" w:fill="auto"/>
            <w:noWrap/>
            <w:vAlign w:val="bottom"/>
            <w:hideMark/>
          </w:tcPr>
          <w:p w14:paraId="1908C9BB"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32120000</w:t>
            </w:r>
          </w:p>
        </w:tc>
        <w:tc>
          <w:tcPr>
            <w:tcW w:w="6210" w:type="dxa"/>
            <w:shd w:val="clear" w:color="auto" w:fill="auto"/>
            <w:noWrap/>
            <w:vAlign w:val="bottom"/>
            <w:hideMark/>
          </w:tcPr>
          <w:p w14:paraId="012FC6F5"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Componentes pasivos discretos </w:t>
            </w:r>
          </w:p>
        </w:tc>
        <w:tc>
          <w:tcPr>
            <w:tcW w:w="1896" w:type="dxa"/>
            <w:shd w:val="clear" w:color="auto" w:fill="auto"/>
            <w:noWrap/>
            <w:vAlign w:val="bottom"/>
            <w:hideMark/>
          </w:tcPr>
          <w:p w14:paraId="20F04513"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46,550.00</w:t>
            </w:r>
          </w:p>
        </w:tc>
      </w:tr>
      <w:tr w:rsidR="00304F26" w:rsidRPr="00733F77" w14:paraId="7F1B6449" w14:textId="77777777" w:rsidTr="00F2330B">
        <w:trPr>
          <w:trHeight w:val="238"/>
        </w:trPr>
        <w:tc>
          <w:tcPr>
            <w:tcW w:w="1096" w:type="dxa"/>
            <w:shd w:val="clear" w:color="auto" w:fill="auto"/>
            <w:noWrap/>
            <w:vAlign w:val="bottom"/>
            <w:hideMark/>
          </w:tcPr>
          <w:p w14:paraId="7D64BE44"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39100000</w:t>
            </w:r>
          </w:p>
        </w:tc>
        <w:tc>
          <w:tcPr>
            <w:tcW w:w="6210" w:type="dxa"/>
            <w:shd w:val="clear" w:color="auto" w:fill="auto"/>
            <w:noWrap/>
            <w:vAlign w:val="bottom"/>
            <w:hideMark/>
          </w:tcPr>
          <w:p w14:paraId="1CE42599"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Lámparas y bombillas y componentes para lámparas </w:t>
            </w:r>
          </w:p>
        </w:tc>
        <w:tc>
          <w:tcPr>
            <w:tcW w:w="1896" w:type="dxa"/>
            <w:shd w:val="clear" w:color="auto" w:fill="auto"/>
            <w:noWrap/>
            <w:vAlign w:val="bottom"/>
            <w:hideMark/>
          </w:tcPr>
          <w:p w14:paraId="778331D3"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3,302,468.00</w:t>
            </w:r>
          </w:p>
        </w:tc>
      </w:tr>
      <w:tr w:rsidR="00304F26" w:rsidRPr="00733F77" w14:paraId="36668B85" w14:textId="77777777" w:rsidTr="00F2330B">
        <w:trPr>
          <w:trHeight w:val="238"/>
        </w:trPr>
        <w:tc>
          <w:tcPr>
            <w:tcW w:w="1096" w:type="dxa"/>
            <w:shd w:val="clear" w:color="auto" w:fill="auto"/>
            <w:noWrap/>
            <w:vAlign w:val="bottom"/>
            <w:hideMark/>
          </w:tcPr>
          <w:p w14:paraId="58E32F71"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39110000</w:t>
            </w:r>
          </w:p>
        </w:tc>
        <w:tc>
          <w:tcPr>
            <w:tcW w:w="6210" w:type="dxa"/>
            <w:shd w:val="clear" w:color="auto" w:fill="auto"/>
            <w:noWrap/>
            <w:vAlign w:val="bottom"/>
            <w:hideMark/>
          </w:tcPr>
          <w:p w14:paraId="1E9FE3AF"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Iluminación, artefactos y accesorios </w:t>
            </w:r>
          </w:p>
        </w:tc>
        <w:tc>
          <w:tcPr>
            <w:tcW w:w="1896" w:type="dxa"/>
            <w:shd w:val="clear" w:color="auto" w:fill="auto"/>
            <w:noWrap/>
            <w:vAlign w:val="bottom"/>
            <w:hideMark/>
          </w:tcPr>
          <w:p w14:paraId="76EE7E0C"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955,548.00</w:t>
            </w:r>
          </w:p>
        </w:tc>
      </w:tr>
      <w:tr w:rsidR="00304F26" w:rsidRPr="00733F77" w14:paraId="7D4721D9" w14:textId="77777777" w:rsidTr="00F2330B">
        <w:trPr>
          <w:trHeight w:val="238"/>
        </w:trPr>
        <w:tc>
          <w:tcPr>
            <w:tcW w:w="1096" w:type="dxa"/>
            <w:shd w:val="clear" w:color="auto" w:fill="auto"/>
            <w:noWrap/>
            <w:vAlign w:val="bottom"/>
            <w:hideMark/>
          </w:tcPr>
          <w:p w14:paraId="17033C38"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39120000</w:t>
            </w:r>
          </w:p>
        </w:tc>
        <w:tc>
          <w:tcPr>
            <w:tcW w:w="6210" w:type="dxa"/>
            <w:shd w:val="clear" w:color="auto" w:fill="auto"/>
            <w:noWrap/>
            <w:vAlign w:val="bottom"/>
            <w:hideMark/>
          </w:tcPr>
          <w:p w14:paraId="7229EE15"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Equipos, suministros y componentes eléctricos </w:t>
            </w:r>
          </w:p>
        </w:tc>
        <w:tc>
          <w:tcPr>
            <w:tcW w:w="1896" w:type="dxa"/>
            <w:shd w:val="clear" w:color="auto" w:fill="auto"/>
            <w:noWrap/>
            <w:vAlign w:val="bottom"/>
            <w:hideMark/>
          </w:tcPr>
          <w:p w14:paraId="4D9F8F3E"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27,122,108.00</w:t>
            </w:r>
          </w:p>
        </w:tc>
      </w:tr>
      <w:tr w:rsidR="00304F26" w:rsidRPr="00733F77" w14:paraId="50676810" w14:textId="77777777" w:rsidTr="00F2330B">
        <w:trPr>
          <w:trHeight w:val="238"/>
        </w:trPr>
        <w:tc>
          <w:tcPr>
            <w:tcW w:w="1096" w:type="dxa"/>
            <w:shd w:val="clear" w:color="auto" w:fill="auto"/>
            <w:noWrap/>
            <w:vAlign w:val="bottom"/>
            <w:hideMark/>
          </w:tcPr>
          <w:p w14:paraId="2CEA8A5A"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40100000</w:t>
            </w:r>
          </w:p>
        </w:tc>
        <w:tc>
          <w:tcPr>
            <w:tcW w:w="6210" w:type="dxa"/>
            <w:shd w:val="clear" w:color="auto" w:fill="auto"/>
            <w:noWrap/>
            <w:vAlign w:val="bottom"/>
            <w:hideMark/>
          </w:tcPr>
          <w:p w14:paraId="3CCA76BD"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Calefacción, ventilación y circulación del aire </w:t>
            </w:r>
          </w:p>
        </w:tc>
        <w:tc>
          <w:tcPr>
            <w:tcW w:w="1896" w:type="dxa"/>
            <w:shd w:val="clear" w:color="auto" w:fill="auto"/>
            <w:noWrap/>
            <w:vAlign w:val="bottom"/>
            <w:hideMark/>
          </w:tcPr>
          <w:p w14:paraId="3E39F48C"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1,886,943.00</w:t>
            </w:r>
          </w:p>
        </w:tc>
      </w:tr>
      <w:tr w:rsidR="00304F26" w:rsidRPr="00733F77" w14:paraId="5EC319EA" w14:textId="77777777" w:rsidTr="00F2330B">
        <w:trPr>
          <w:trHeight w:val="238"/>
        </w:trPr>
        <w:tc>
          <w:tcPr>
            <w:tcW w:w="1096" w:type="dxa"/>
            <w:shd w:val="clear" w:color="auto" w:fill="auto"/>
            <w:noWrap/>
            <w:vAlign w:val="bottom"/>
            <w:hideMark/>
          </w:tcPr>
          <w:p w14:paraId="2A101969"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40140000</w:t>
            </w:r>
          </w:p>
        </w:tc>
        <w:tc>
          <w:tcPr>
            <w:tcW w:w="6210" w:type="dxa"/>
            <w:shd w:val="clear" w:color="auto" w:fill="auto"/>
            <w:noWrap/>
            <w:vAlign w:val="bottom"/>
            <w:hideMark/>
          </w:tcPr>
          <w:p w14:paraId="46ABA4B1"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Distribución de fluidos y gas </w:t>
            </w:r>
          </w:p>
        </w:tc>
        <w:tc>
          <w:tcPr>
            <w:tcW w:w="1896" w:type="dxa"/>
            <w:shd w:val="clear" w:color="auto" w:fill="auto"/>
            <w:noWrap/>
            <w:vAlign w:val="bottom"/>
            <w:hideMark/>
          </w:tcPr>
          <w:p w14:paraId="41D9E215"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21,532,975.00</w:t>
            </w:r>
          </w:p>
        </w:tc>
      </w:tr>
      <w:tr w:rsidR="00304F26" w:rsidRPr="00733F77" w14:paraId="4FA34DC0" w14:textId="77777777" w:rsidTr="00F2330B">
        <w:trPr>
          <w:trHeight w:val="238"/>
        </w:trPr>
        <w:tc>
          <w:tcPr>
            <w:tcW w:w="1096" w:type="dxa"/>
            <w:shd w:val="clear" w:color="auto" w:fill="auto"/>
            <w:noWrap/>
            <w:vAlign w:val="bottom"/>
            <w:hideMark/>
          </w:tcPr>
          <w:p w14:paraId="7DC6217C"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40150000</w:t>
            </w:r>
          </w:p>
        </w:tc>
        <w:tc>
          <w:tcPr>
            <w:tcW w:w="6210" w:type="dxa"/>
            <w:shd w:val="clear" w:color="auto" w:fill="auto"/>
            <w:noWrap/>
            <w:vAlign w:val="bottom"/>
            <w:hideMark/>
          </w:tcPr>
          <w:p w14:paraId="34FF9F70"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Bombas y compresores industriales </w:t>
            </w:r>
          </w:p>
        </w:tc>
        <w:tc>
          <w:tcPr>
            <w:tcW w:w="1896" w:type="dxa"/>
            <w:shd w:val="clear" w:color="auto" w:fill="auto"/>
            <w:noWrap/>
            <w:vAlign w:val="bottom"/>
            <w:hideMark/>
          </w:tcPr>
          <w:p w14:paraId="4D945C3C"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5,825,370.00</w:t>
            </w:r>
          </w:p>
        </w:tc>
      </w:tr>
      <w:tr w:rsidR="00304F26" w:rsidRPr="00733F77" w14:paraId="6186AE96" w14:textId="77777777" w:rsidTr="00F2330B">
        <w:trPr>
          <w:trHeight w:val="238"/>
        </w:trPr>
        <w:tc>
          <w:tcPr>
            <w:tcW w:w="1096" w:type="dxa"/>
            <w:shd w:val="clear" w:color="auto" w:fill="auto"/>
            <w:noWrap/>
            <w:vAlign w:val="bottom"/>
            <w:hideMark/>
          </w:tcPr>
          <w:p w14:paraId="46EAA46D"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40160000</w:t>
            </w:r>
          </w:p>
        </w:tc>
        <w:tc>
          <w:tcPr>
            <w:tcW w:w="6210" w:type="dxa"/>
            <w:shd w:val="clear" w:color="auto" w:fill="auto"/>
            <w:noWrap/>
            <w:vAlign w:val="bottom"/>
            <w:hideMark/>
          </w:tcPr>
          <w:p w14:paraId="32B2D618"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Filtrado y purificación industrial </w:t>
            </w:r>
          </w:p>
        </w:tc>
        <w:tc>
          <w:tcPr>
            <w:tcW w:w="1896" w:type="dxa"/>
            <w:shd w:val="clear" w:color="auto" w:fill="auto"/>
            <w:noWrap/>
            <w:vAlign w:val="bottom"/>
            <w:hideMark/>
          </w:tcPr>
          <w:p w14:paraId="11CC3129"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23,991,975.00</w:t>
            </w:r>
          </w:p>
        </w:tc>
      </w:tr>
      <w:tr w:rsidR="00304F26" w:rsidRPr="00733F77" w14:paraId="5E7204A4" w14:textId="77777777" w:rsidTr="00F2330B">
        <w:trPr>
          <w:trHeight w:val="238"/>
        </w:trPr>
        <w:tc>
          <w:tcPr>
            <w:tcW w:w="1096" w:type="dxa"/>
            <w:shd w:val="clear" w:color="auto" w:fill="auto"/>
            <w:noWrap/>
            <w:vAlign w:val="bottom"/>
            <w:hideMark/>
          </w:tcPr>
          <w:p w14:paraId="06E48F48"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41110000</w:t>
            </w:r>
          </w:p>
        </w:tc>
        <w:tc>
          <w:tcPr>
            <w:tcW w:w="6210" w:type="dxa"/>
            <w:shd w:val="clear" w:color="auto" w:fill="auto"/>
            <w:noWrap/>
            <w:vAlign w:val="bottom"/>
            <w:hideMark/>
          </w:tcPr>
          <w:p w14:paraId="09596805"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Instrumentos de medida, observación y ensayo </w:t>
            </w:r>
          </w:p>
        </w:tc>
        <w:tc>
          <w:tcPr>
            <w:tcW w:w="1896" w:type="dxa"/>
            <w:shd w:val="clear" w:color="auto" w:fill="auto"/>
            <w:noWrap/>
            <w:vAlign w:val="bottom"/>
            <w:hideMark/>
          </w:tcPr>
          <w:p w14:paraId="45F83765"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4,526,546.00</w:t>
            </w:r>
          </w:p>
        </w:tc>
      </w:tr>
      <w:tr w:rsidR="00304F26" w:rsidRPr="00733F77" w14:paraId="12EA564E" w14:textId="77777777" w:rsidTr="00F2330B">
        <w:trPr>
          <w:trHeight w:val="238"/>
        </w:trPr>
        <w:tc>
          <w:tcPr>
            <w:tcW w:w="1096" w:type="dxa"/>
            <w:shd w:val="clear" w:color="auto" w:fill="auto"/>
            <w:noWrap/>
            <w:vAlign w:val="bottom"/>
            <w:hideMark/>
          </w:tcPr>
          <w:p w14:paraId="5728F772"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42130000</w:t>
            </w:r>
          </w:p>
        </w:tc>
        <w:tc>
          <w:tcPr>
            <w:tcW w:w="6210" w:type="dxa"/>
            <w:shd w:val="clear" w:color="auto" w:fill="auto"/>
            <w:noWrap/>
            <w:vAlign w:val="bottom"/>
            <w:hideMark/>
          </w:tcPr>
          <w:p w14:paraId="59A9B185"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Telas y vestidos médicos </w:t>
            </w:r>
          </w:p>
        </w:tc>
        <w:tc>
          <w:tcPr>
            <w:tcW w:w="1896" w:type="dxa"/>
            <w:shd w:val="clear" w:color="auto" w:fill="auto"/>
            <w:noWrap/>
            <w:vAlign w:val="bottom"/>
            <w:hideMark/>
          </w:tcPr>
          <w:p w14:paraId="5E0C24BD"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206,996.00</w:t>
            </w:r>
          </w:p>
        </w:tc>
      </w:tr>
      <w:tr w:rsidR="00304F26" w:rsidRPr="00733F77" w14:paraId="2A5B4794" w14:textId="77777777" w:rsidTr="00F2330B">
        <w:trPr>
          <w:trHeight w:val="238"/>
        </w:trPr>
        <w:tc>
          <w:tcPr>
            <w:tcW w:w="1096" w:type="dxa"/>
            <w:shd w:val="clear" w:color="auto" w:fill="auto"/>
            <w:noWrap/>
            <w:vAlign w:val="center"/>
            <w:hideMark/>
          </w:tcPr>
          <w:p w14:paraId="42FDBA8A" w14:textId="77777777" w:rsidR="00304F26" w:rsidRPr="00733F77" w:rsidRDefault="00304F26" w:rsidP="00F2330B">
            <w:pPr>
              <w:spacing w:after="0"/>
              <w:jc w:val="center"/>
              <w:rPr>
                <w:rFonts w:ascii="Times New Roman" w:hAnsi="Times New Roman"/>
                <w:color w:val="000000"/>
                <w:sz w:val="22"/>
                <w:szCs w:val="20"/>
                <w:lang w:val="en-US"/>
              </w:rPr>
            </w:pPr>
            <w:r w:rsidRPr="00733F77">
              <w:rPr>
                <w:rFonts w:ascii="Times New Roman" w:hAnsi="Times New Roman"/>
                <w:color w:val="000000"/>
                <w:sz w:val="22"/>
                <w:szCs w:val="20"/>
                <w:lang w:val="en-US"/>
              </w:rPr>
              <w:t>42200000</w:t>
            </w:r>
          </w:p>
        </w:tc>
        <w:tc>
          <w:tcPr>
            <w:tcW w:w="6210" w:type="dxa"/>
            <w:shd w:val="clear" w:color="auto" w:fill="auto"/>
            <w:noWrap/>
            <w:vAlign w:val="bottom"/>
            <w:hideMark/>
          </w:tcPr>
          <w:p w14:paraId="1AEA0F8F"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Productos de hacer imágenes diagnósticas médicas y de medicina nuclear </w:t>
            </w:r>
          </w:p>
        </w:tc>
        <w:tc>
          <w:tcPr>
            <w:tcW w:w="1896" w:type="dxa"/>
            <w:shd w:val="clear" w:color="auto" w:fill="auto"/>
            <w:noWrap/>
            <w:vAlign w:val="bottom"/>
            <w:hideMark/>
          </w:tcPr>
          <w:p w14:paraId="2063A91B"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338,934.00</w:t>
            </w:r>
          </w:p>
        </w:tc>
      </w:tr>
      <w:tr w:rsidR="00304F26" w:rsidRPr="00733F77" w14:paraId="17E28C18" w14:textId="77777777" w:rsidTr="00F2330B">
        <w:trPr>
          <w:trHeight w:val="238"/>
        </w:trPr>
        <w:tc>
          <w:tcPr>
            <w:tcW w:w="1096" w:type="dxa"/>
            <w:shd w:val="clear" w:color="auto" w:fill="auto"/>
            <w:noWrap/>
            <w:vAlign w:val="center"/>
            <w:hideMark/>
          </w:tcPr>
          <w:p w14:paraId="0AD5B948" w14:textId="77777777" w:rsidR="00304F26" w:rsidRPr="00733F77" w:rsidRDefault="00304F26" w:rsidP="00F2330B">
            <w:pPr>
              <w:spacing w:after="0"/>
              <w:jc w:val="center"/>
              <w:rPr>
                <w:rFonts w:ascii="Times New Roman" w:hAnsi="Times New Roman"/>
                <w:color w:val="000000"/>
                <w:sz w:val="22"/>
                <w:szCs w:val="20"/>
                <w:lang w:val="en-US"/>
              </w:rPr>
            </w:pPr>
            <w:r w:rsidRPr="00733F77">
              <w:rPr>
                <w:rFonts w:ascii="Times New Roman" w:hAnsi="Times New Roman"/>
                <w:color w:val="000000"/>
                <w:sz w:val="22"/>
                <w:szCs w:val="20"/>
                <w:lang w:val="en-US"/>
              </w:rPr>
              <w:t>42310000</w:t>
            </w:r>
          </w:p>
        </w:tc>
        <w:tc>
          <w:tcPr>
            <w:tcW w:w="6210" w:type="dxa"/>
            <w:shd w:val="clear" w:color="auto" w:fill="auto"/>
            <w:noWrap/>
            <w:vAlign w:val="bottom"/>
            <w:hideMark/>
          </w:tcPr>
          <w:p w14:paraId="4431C1B1"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Productos para el cuidado de heridas </w:t>
            </w:r>
          </w:p>
        </w:tc>
        <w:tc>
          <w:tcPr>
            <w:tcW w:w="1896" w:type="dxa"/>
            <w:shd w:val="clear" w:color="auto" w:fill="auto"/>
            <w:noWrap/>
            <w:vAlign w:val="bottom"/>
            <w:hideMark/>
          </w:tcPr>
          <w:p w14:paraId="43E08887"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116,683.00</w:t>
            </w:r>
          </w:p>
        </w:tc>
      </w:tr>
      <w:tr w:rsidR="00304F26" w:rsidRPr="00733F77" w14:paraId="3F45F91D" w14:textId="77777777" w:rsidTr="00F2330B">
        <w:trPr>
          <w:trHeight w:val="238"/>
        </w:trPr>
        <w:tc>
          <w:tcPr>
            <w:tcW w:w="1096" w:type="dxa"/>
            <w:shd w:val="clear" w:color="auto" w:fill="auto"/>
            <w:noWrap/>
            <w:vAlign w:val="center"/>
            <w:hideMark/>
          </w:tcPr>
          <w:p w14:paraId="69254185" w14:textId="77777777" w:rsidR="00304F26" w:rsidRPr="00733F77" w:rsidRDefault="00304F26" w:rsidP="00F2330B">
            <w:pPr>
              <w:spacing w:after="0"/>
              <w:jc w:val="center"/>
              <w:rPr>
                <w:rFonts w:ascii="Times New Roman" w:hAnsi="Times New Roman"/>
                <w:color w:val="000000"/>
                <w:sz w:val="22"/>
                <w:szCs w:val="20"/>
                <w:lang w:val="en-US"/>
              </w:rPr>
            </w:pPr>
            <w:r w:rsidRPr="00733F77">
              <w:rPr>
                <w:rFonts w:ascii="Times New Roman" w:hAnsi="Times New Roman"/>
                <w:color w:val="000000"/>
                <w:sz w:val="22"/>
                <w:szCs w:val="20"/>
                <w:lang w:val="en-US"/>
              </w:rPr>
              <w:t>43200000</w:t>
            </w:r>
          </w:p>
        </w:tc>
        <w:tc>
          <w:tcPr>
            <w:tcW w:w="6210" w:type="dxa"/>
            <w:shd w:val="clear" w:color="auto" w:fill="auto"/>
            <w:noWrap/>
            <w:vAlign w:val="bottom"/>
            <w:hideMark/>
          </w:tcPr>
          <w:p w14:paraId="554F6C1F"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Componentes para tecnología de la información, difusión o telecomunicaciones </w:t>
            </w:r>
          </w:p>
        </w:tc>
        <w:tc>
          <w:tcPr>
            <w:tcW w:w="1896" w:type="dxa"/>
            <w:shd w:val="clear" w:color="auto" w:fill="auto"/>
            <w:noWrap/>
            <w:vAlign w:val="bottom"/>
            <w:hideMark/>
          </w:tcPr>
          <w:p w14:paraId="62F3D52D"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843,102.00</w:t>
            </w:r>
          </w:p>
        </w:tc>
      </w:tr>
      <w:tr w:rsidR="00304F26" w:rsidRPr="00733F77" w14:paraId="27163785" w14:textId="77777777" w:rsidTr="00F2330B">
        <w:trPr>
          <w:trHeight w:val="238"/>
        </w:trPr>
        <w:tc>
          <w:tcPr>
            <w:tcW w:w="1096" w:type="dxa"/>
            <w:shd w:val="clear" w:color="auto" w:fill="auto"/>
            <w:noWrap/>
            <w:vAlign w:val="center"/>
            <w:hideMark/>
          </w:tcPr>
          <w:p w14:paraId="7A72983C" w14:textId="77777777" w:rsidR="00304F26" w:rsidRPr="00733F77" w:rsidRDefault="00304F26" w:rsidP="00F2330B">
            <w:pPr>
              <w:spacing w:after="0"/>
              <w:jc w:val="center"/>
              <w:rPr>
                <w:rFonts w:ascii="Times New Roman" w:hAnsi="Times New Roman"/>
                <w:color w:val="000000"/>
                <w:sz w:val="22"/>
                <w:szCs w:val="20"/>
                <w:lang w:val="en-US"/>
              </w:rPr>
            </w:pPr>
            <w:r w:rsidRPr="00733F77">
              <w:rPr>
                <w:rFonts w:ascii="Times New Roman" w:hAnsi="Times New Roman"/>
                <w:color w:val="000000"/>
                <w:sz w:val="22"/>
                <w:szCs w:val="20"/>
                <w:lang w:val="en-US"/>
              </w:rPr>
              <w:t>43210000</w:t>
            </w:r>
          </w:p>
        </w:tc>
        <w:tc>
          <w:tcPr>
            <w:tcW w:w="6210" w:type="dxa"/>
            <w:shd w:val="clear" w:color="auto" w:fill="auto"/>
            <w:noWrap/>
            <w:vAlign w:val="bottom"/>
            <w:hideMark/>
          </w:tcPr>
          <w:p w14:paraId="194739AC"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Equipo informático y accesorios </w:t>
            </w:r>
          </w:p>
        </w:tc>
        <w:tc>
          <w:tcPr>
            <w:tcW w:w="1896" w:type="dxa"/>
            <w:shd w:val="clear" w:color="auto" w:fill="auto"/>
            <w:noWrap/>
            <w:vAlign w:val="bottom"/>
            <w:hideMark/>
          </w:tcPr>
          <w:p w14:paraId="5C7C4955"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2,285,106.00</w:t>
            </w:r>
          </w:p>
        </w:tc>
      </w:tr>
      <w:tr w:rsidR="00304F26" w:rsidRPr="00733F77" w14:paraId="1CA015E4" w14:textId="77777777" w:rsidTr="00F2330B">
        <w:trPr>
          <w:trHeight w:val="238"/>
        </w:trPr>
        <w:tc>
          <w:tcPr>
            <w:tcW w:w="1096" w:type="dxa"/>
            <w:shd w:val="clear" w:color="auto" w:fill="auto"/>
            <w:noWrap/>
            <w:vAlign w:val="center"/>
            <w:hideMark/>
          </w:tcPr>
          <w:p w14:paraId="1A5CA38A" w14:textId="77777777" w:rsidR="00304F26" w:rsidRPr="00733F77" w:rsidRDefault="00304F26" w:rsidP="00F2330B">
            <w:pPr>
              <w:spacing w:after="0"/>
              <w:jc w:val="center"/>
              <w:rPr>
                <w:rFonts w:ascii="Times New Roman" w:hAnsi="Times New Roman"/>
                <w:color w:val="000000"/>
                <w:sz w:val="22"/>
                <w:szCs w:val="20"/>
                <w:lang w:val="en-US"/>
              </w:rPr>
            </w:pPr>
            <w:r w:rsidRPr="00733F77">
              <w:rPr>
                <w:rFonts w:ascii="Times New Roman" w:hAnsi="Times New Roman"/>
                <w:color w:val="000000"/>
                <w:sz w:val="22"/>
                <w:szCs w:val="20"/>
                <w:lang w:val="en-US"/>
              </w:rPr>
              <w:t>43220000</w:t>
            </w:r>
          </w:p>
        </w:tc>
        <w:tc>
          <w:tcPr>
            <w:tcW w:w="6210" w:type="dxa"/>
            <w:shd w:val="clear" w:color="auto" w:fill="auto"/>
            <w:noWrap/>
            <w:vAlign w:val="bottom"/>
            <w:hideMark/>
          </w:tcPr>
          <w:p w14:paraId="6EFA9DC7"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Equipos o plataformas y accesorios de redes multimedia o de voz y datos </w:t>
            </w:r>
          </w:p>
        </w:tc>
        <w:tc>
          <w:tcPr>
            <w:tcW w:w="1896" w:type="dxa"/>
            <w:shd w:val="clear" w:color="auto" w:fill="auto"/>
            <w:noWrap/>
            <w:vAlign w:val="bottom"/>
            <w:hideMark/>
          </w:tcPr>
          <w:p w14:paraId="1F83C16C"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977,566.00</w:t>
            </w:r>
          </w:p>
        </w:tc>
      </w:tr>
      <w:tr w:rsidR="00304F26" w:rsidRPr="00733F77" w14:paraId="6A8F5181" w14:textId="77777777" w:rsidTr="00F2330B">
        <w:trPr>
          <w:trHeight w:val="238"/>
        </w:trPr>
        <w:tc>
          <w:tcPr>
            <w:tcW w:w="1096" w:type="dxa"/>
            <w:shd w:val="clear" w:color="auto" w:fill="auto"/>
            <w:noWrap/>
            <w:vAlign w:val="center"/>
            <w:hideMark/>
          </w:tcPr>
          <w:p w14:paraId="44749482" w14:textId="77777777" w:rsidR="00304F26" w:rsidRPr="00733F77" w:rsidRDefault="00304F26" w:rsidP="00F2330B">
            <w:pPr>
              <w:spacing w:after="0"/>
              <w:jc w:val="center"/>
              <w:rPr>
                <w:rFonts w:ascii="Times New Roman" w:hAnsi="Times New Roman"/>
                <w:color w:val="000000"/>
                <w:sz w:val="22"/>
                <w:szCs w:val="20"/>
                <w:lang w:val="en-US"/>
              </w:rPr>
            </w:pPr>
            <w:r w:rsidRPr="00733F77">
              <w:rPr>
                <w:rFonts w:ascii="Times New Roman" w:hAnsi="Times New Roman"/>
                <w:color w:val="000000"/>
                <w:sz w:val="22"/>
                <w:szCs w:val="20"/>
                <w:lang w:val="en-US"/>
              </w:rPr>
              <w:t>44100000</w:t>
            </w:r>
          </w:p>
        </w:tc>
        <w:tc>
          <w:tcPr>
            <w:tcW w:w="6210" w:type="dxa"/>
            <w:shd w:val="clear" w:color="auto" w:fill="auto"/>
            <w:noWrap/>
            <w:vAlign w:val="bottom"/>
            <w:hideMark/>
          </w:tcPr>
          <w:p w14:paraId="47722069"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Maquinaria, suministros y accesorios de oficina </w:t>
            </w:r>
          </w:p>
        </w:tc>
        <w:tc>
          <w:tcPr>
            <w:tcW w:w="1896" w:type="dxa"/>
            <w:shd w:val="clear" w:color="auto" w:fill="auto"/>
            <w:noWrap/>
            <w:vAlign w:val="bottom"/>
            <w:hideMark/>
          </w:tcPr>
          <w:p w14:paraId="0052262E"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7,175,771.00</w:t>
            </w:r>
          </w:p>
        </w:tc>
      </w:tr>
      <w:tr w:rsidR="00304F26" w:rsidRPr="00733F77" w14:paraId="3EEB450D" w14:textId="77777777" w:rsidTr="00F2330B">
        <w:trPr>
          <w:trHeight w:val="238"/>
        </w:trPr>
        <w:tc>
          <w:tcPr>
            <w:tcW w:w="1096" w:type="dxa"/>
            <w:shd w:val="clear" w:color="auto" w:fill="auto"/>
            <w:noWrap/>
            <w:vAlign w:val="center"/>
            <w:hideMark/>
          </w:tcPr>
          <w:p w14:paraId="1736B4CF" w14:textId="77777777" w:rsidR="00304F26" w:rsidRPr="00733F77" w:rsidRDefault="00304F26" w:rsidP="00F2330B">
            <w:pPr>
              <w:spacing w:after="0"/>
              <w:jc w:val="center"/>
              <w:rPr>
                <w:rFonts w:ascii="Times New Roman" w:hAnsi="Times New Roman"/>
                <w:color w:val="000000"/>
                <w:sz w:val="22"/>
                <w:szCs w:val="20"/>
                <w:lang w:val="en-US"/>
              </w:rPr>
            </w:pPr>
            <w:r w:rsidRPr="00733F77">
              <w:rPr>
                <w:rFonts w:ascii="Times New Roman" w:hAnsi="Times New Roman"/>
                <w:color w:val="000000"/>
                <w:sz w:val="22"/>
                <w:szCs w:val="20"/>
                <w:lang w:val="en-US"/>
              </w:rPr>
              <w:t>44110000</w:t>
            </w:r>
          </w:p>
        </w:tc>
        <w:tc>
          <w:tcPr>
            <w:tcW w:w="6210" w:type="dxa"/>
            <w:shd w:val="clear" w:color="auto" w:fill="auto"/>
            <w:noWrap/>
            <w:vAlign w:val="bottom"/>
            <w:hideMark/>
          </w:tcPr>
          <w:p w14:paraId="28C31D20"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Accesorios de oficina y escritorio </w:t>
            </w:r>
          </w:p>
        </w:tc>
        <w:tc>
          <w:tcPr>
            <w:tcW w:w="1896" w:type="dxa"/>
            <w:shd w:val="clear" w:color="auto" w:fill="auto"/>
            <w:noWrap/>
            <w:vAlign w:val="bottom"/>
            <w:hideMark/>
          </w:tcPr>
          <w:p w14:paraId="604129BE"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111,360,968.00</w:t>
            </w:r>
          </w:p>
        </w:tc>
      </w:tr>
      <w:tr w:rsidR="00304F26" w:rsidRPr="00733F77" w14:paraId="528AE611" w14:textId="77777777" w:rsidTr="00F2330B">
        <w:trPr>
          <w:trHeight w:val="238"/>
        </w:trPr>
        <w:tc>
          <w:tcPr>
            <w:tcW w:w="1096" w:type="dxa"/>
            <w:shd w:val="clear" w:color="auto" w:fill="auto"/>
            <w:noWrap/>
            <w:vAlign w:val="bottom"/>
            <w:hideMark/>
          </w:tcPr>
          <w:p w14:paraId="62C4D432"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44120000</w:t>
            </w:r>
          </w:p>
        </w:tc>
        <w:tc>
          <w:tcPr>
            <w:tcW w:w="6210" w:type="dxa"/>
            <w:shd w:val="clear" w:color="auto" w:fill="auto"/>
            <w:noWrap/>
            <w:vAlign w:val="bottom"/>
            <w:hideMark/>
          </w:tcPr>
          <w:p w14:paraId="340D5F27"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Suministros de oficina </w:t>
            </w:r>
          </w:p>
        </w:tc>
        <w:tc>
          <w:tcPr>
            <w:tcW w:w="1896" w:type="dxa"/>
            <w:shd w:val="clear" w:color="auto" w:fill="auto"/>
            <w:noWrap/>
            <w:vAlign w:val="bottom"/>
            <w:hideMark/>
          </w:tcPr>
          <w:p w14:paraId="00081E9C"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14,912,386.00</w:t>
            </w:r>
          </w:p>
        </w:tc>
      </w:tr>
      <w:tr w:rsidR="00F2330B" w:rsidRPr="00733F77" w14:paraId="2194DE73" w14:textId="77777777" w:rsidTr="00F2330B">
        <w:trPr>
          <w:trHeight w:val="238"/>
        </w:trPr>
        <w:tc>
          <w:tcPr>
            <w:tcW w:w="1096" w:type="dxa"/>
            <w:shd w:val="clear" w:color="auto" w:fill="00B050"/>
            <w:noWrap/>
            <w:vAlign w:val="center"/>
          </w:tcPr>
          <w:p w14:paraId="6E774F89" w14:textId="00CF4548" w:rsidR="00F2330B" w:rsidRPr="00733F77" w:rsidRDefault="00F2330B" w:rsidP="00F2330B">
            <w:pPr>
              <w:spacing w:after="0"/>
              <w:jc w:val="center"/>
              <w:rPr>
                <w:rFonts w:ascii="Times New Roman" w:hAnsi="Times New Roman"/>
                <w:color w:val="000000"/>
                <w:sz w:val="22"/>
                <w:szCs w:val="20"/>
                <w:lang w:val="en-US"/>
              </w:rPr>
            </w:pPr>
            <w:r w:rsidRPr="00733F77">
              <w:rPr>
                <w:rFonts w:ascii="Times New Roman" w:hAnsi="Times New Roman"/>
                <w:b/>
                <w:color w:val="FFFFFF" w:themeColor="background1"/>
                <w:lang w:val="es-ES_tradnl"/>
              </w:rPr>
              <w:lastRenderedPageBreak/>
              <w:t>Código Rubro</w:t>
            </w:r>
          </w:p>
        </w:tc>
        <w:tc>
          <w:tcPr>
            <w:tcW w:w="6210" w:type="dxa"/>
            <w:shd w:val="clear" w:color="auto" w:fill="00B050"/>
            <w:noWrap/>
            <w:vAlign w:val="center"/>
          </w:tcPr>
          <w:p w14:paraId="72333B92" w14:textId="2AA18E7C" w:rsidR="00F2330B" w:rsidRPr="00733F77" w:rsidRDefault="00F2330B" w:rsidP="00F2330B">
            <w:pPr>
              <w:spacing w:after="0"/>
              <w:jc w:val="center"/>
              <w:rPr>
                <w:rFonts w:ascii="Times New Roman" w:hAnsi="Times New Roman"/>
                <w:color w:val="000000"/>
                <w:sz w:val="22"/>
                <w:szCs w:val="20"/>
                <w:lang w:val="es-ES"/>
              </w:rPr>
            </w:pPr>
            <w:r w:rsidRPr="00733F77">
              <w:rPr>
                <w:rFonts w:ascii="Times New Roman" w:hAnsi="Times New Roman"/>
                <w:b/>
                <w:color w:val="FFFFFF" w:themeColor="background1"/>
                <w:lang w:val="es-ES_tradnl"/>
              </w:rPr>
              <w:t>Descripción del Rubro (Familia)</w:t>
            </w:r>
          </w:p>
        </w:tc>
        <w:tc>
          <w:tcPr>
            <w:tcW w:w="1896" w:type="dxa"/>
            <w:shd w:val="clear" w:color="auto" w:fill="00B050"/>
            <w:noWrap/>
            <w:vAlign w:val="center"/>
          </w:tcPr>
          <w:p w14:paraId="12E3EEC9" w14:textId="056A3083" w:rsidR="00F2330B" w:rsidRDefault="00F2330B" w:rsidP="00F2330B">
            <w:pPr>
              <w:spacing w:after="0"/>
              <w:jc w:val="center"/>
              <w:rPr>
                <w:rFonts w:ascii="Times New Roman" w:hAnsi="Times New Roman"/>
                <w:b/>
                <w:color w:val="FFFFFF" w:themeColor="background1"/>
                <w:lang w:val="es-ES_tradnl"/>
              </w:rPr>
            </w:pPr>
            <w:r w:rsidRPr="00733F77">
              <w:rPr>
                <w:rFonts w:ascii="Times New Roman" w:hAnsi="Times New Roman"/>
                <w:b/>
                <w:color w:val="FFFFFF" w:themeColor="background1"/>
                <w:lang w:val="es-ES_tradnl"/>
              </w:rPr>
              <w:t>Monto</w:t>
            </w:r>
          </w:p>
          <w:p w14:paraId="3281332C" w14:textId="4D4C5BCA" w:rsidR="00F2330B" w:rsidRPr="00733F77" w:rsidRDefault="00F2330B" w:rsidP="00F2330B">
            <w:pPr>
              <w:spacing w:after="0"/>
              <w:jc w:val="center"/>
              <w:rPr>
                <w:rFonts w:ascii="Times New Roman" w:hAnsi="Times New Roman"/>
                <w:color w:val="000000"/>
                <w:sz w:val="22"/>
                <w:szCs w:val="20"/>
                <w:lang w:val="en-US"/>
              </w:rPr>
            </w:pPr>
            <w:r w:rsidRPr="00733F77">
              <w:rPr>
                <w:rFonts w:ascii="Times New Roman" w:hAnsi="Times New Roman"/>
                <w:b/>
                <w:color w:val="FFFFFF" w:themeColor="background1"/>
                <w:lang w:val="es-ES_tradnl"/>
              </w:rPr>
              <w:t>(RD$)</w:t>
            </w:r>
          </w:p>
        </w:tc>
      </w:tr>
      <w:tr w:rsidR="00304F26" w:rsidRPr="00733F77" w14:paraId="4BDDA2EE" w14:textId="77777777" w:rsidTr="00F2330B">
        <w:trPr>
          <w:trHeight w:val="238"/>
        </w:trPr>
        <w:tc>
          <w:tcPr>
            <w:tcW w:w="1096" w:type="dxa"/>
            <w:shd w:val="clear" w:color="auto" w:fill="auto"/>
            <w:noWrap/>
            <w:vAlign w:val="bottom"/>
            <w:hideMark/>
          </w:tcPr>
          <w:p w14:paraId="35A8F823"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45110000</w:t>
            </w:r>
          </w:p>
        </w:tc>
        <w:tc>
          <w:tcPr>
            <w:tcW w:w="6210" w:type="dxa"/>
            <w:shd w:val="clear" w:color="auto" w:fill="auto"/>
            <w:noWrap/>
            <w:vAlign w:val="bottom"/>
            <w:hideMark/>
          </w:tcPr>
          <w:p w14:paraId="2E4435A7"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Equipos de audio y video para presentación y composición </w:t>
            </w:r>
          </w:p>
        </w:tc>
        <w:tc>
          <w:tcPr>
            <w:tcW w:w="1896" w:type="dxa"/>
            <w:shd w:val="clear" w:color="auto" w:fill="auto"/>
            <w:noWrap/>
            <w:vAlign w:val="bottom"/>
            <w:hideMark/>
          </w:tcPr>
          <w:p w14:paraId="09CB0078"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4,027,539.00</w:t>
            </w:r>
          </w:p>
        </w:tc>
      </w:tr>
      <w:tr w:rsidR="00304F26" w:rsidRPr="00733F77" w14:paraId="2B38309E" w14:textId="77777777" w:rsidTr="00F2330B">
        <w:trPr>
          <w:trHeight w:val="238"/>
        </w:trPr>
        <w:tc>
          <w:tcPr>
            <w:tcW w:w="1096" w:type="dxa"/>
            <w:shd w:val="clear" w:color="auto" w:fill="auto"/>
            <w:noWrap/>
            <w:vAlign w:val="bottom"/>
            <w:hideMark/>
          </w:tcPr>
          <w:p w14:paraId="10C06C2A"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45120000</w:t>
            </w:r>
          </w:p>
        </w:tc>
        <w:tc>
          <w:tcPr>
            <w:tcW w:w="6210" w:type="dxa"/>
            <w:shd w:val="clear" w:color="auto" w:fill="auto"/>
            <w:noWrap/>
            <w:vAlign w:val="bottom"/>
            <w:hideMark/>
          </w:tcPr>
          <w:p w14:paraId="410249B8"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Equipo de vídeo, filmación o fotografía </w:t>
            </w:r>
          </w:p>
        </w:tc>
        <w:tc>
          <w:tcPr>
            <w:tcW w:w="1896" w:type="dxa"/>
            <w:shd w:val="clear" w:color="auto" w:fill="auto"/>
            <w:noWrap/>
            <w:vAlign w:val="bottom"/>
            <w:hideMark/>
          </w:tcPr>
          <w:p w14:paraId="0FD2F61B"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791,471.00</w:t>
            </w:r>
          </w:p>
        </w:tc>
      </w:tr>
      <w:tr w:rsidR="00304F26" w:rsidRPr="00733F77" w14:paraId="50A5A37F" w14:textId="77777777" w:rsidTr="00F2330B">
        <w:trPr>
          <w:trHeight w:val="238"/>
        </w:trPr>
        <w:tc>
          <w:tcPr>
            <w:tcW w:w="1096" w:type="dxa"/>
            <w:shd w:val="clear" w:color="auto" w:fill="auto"/>
            <w:noWrap/>
            <w:vAlign w:val="bottom"/>
            <w:hideMark/>
          </w:tcPr>
          <w:p w14:paraId="25ADE9D4"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46180000</w:t>
            </w:r>
          </w:p>
        </w:tc>
        <w:tc>
          <w:tcPr>
            <w:tcW w:w="6210" w:type="dxa"/>
            <w:shd w:val="clear" w:color="auto" w:fill="auto"/>
            <w:noWrap/>
            <w:vAlign w:val="bottom"/>
            <w:hideMark/>
          </w:tcPr>
          <w:p w14:paraId="1BF027FC"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Seguridad y protección personal </w:t>
            </w:r>
          </w:p>
        </w:tc>
        <w:tc>
          <w:tcPr>
            <w:tcW w:w="1896" w:type="dxa"/>
            <w:shd w:val="clear" w:color="auto" w:fill="auto"/>
            <w:noWrap/>
            <w:vAlign w:val="bottom"/>
            <w:hideMark/>
          </w:tcPr>
          <w:p w14:paraId="673AAA56"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1,855,517.00</w:t>
            </w:r>
          </w:p>
        </w:tc>
      </w:tr>
      <w:tr w:rsidR="00304F26" w:rsidRPr="00733F77" w14:paraId="080E3F0C" w14:textId="77777777" w:rsidTr="00F2330B">
        <w:trPr>
          <w:trHeight w:val="238"/>
        </w:trPr>
        <w:tc>
          <w:tcPr>
            <w:tcW w:w="1096" w:type="dxa"/>
            <w:shd w:val="clear" w:color="auto" w:fill="auto"/>
            <w:noWrap/>
            <w:vAlign w:val="bottom"/>
            <w:hideMark/>
          </w:tcPr>
          <w:p w14:paraId="7D7E1B72"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47130000</w:t>
            </w:r>
          </w:p>
        </w:tc>
        <w:tc>
          <w:tcPr>
            <w:tcW w:w="6210" w:type="dxa"/>
            <w:shd w:val="clear" w:color="auto" w:fill="auto"/>
            <w:noWrap/>
            <w:vAlign w:val="bottom"/>
            <w:hideMark/>
          </w:tcPr>
          <w:p w14:paraId="69EFDC39"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Suministros de aseo y limpieza </w:t>
            </w:r>
          </w:p>
        </w:tc>
        <w:tc>
          <w:tcPr>
            <w:tcW w:w="1896" w:type="dxa"/>
            <w:shd w:val="clear" w:color="auto" w:fill="auto"/>
            <w:noWrap/>
            <w:vAlign w:val="bottom"/>
            <w:hideMark/>
          </w:tcPr>
          <w:p w14:paraId="31E061A2"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5,454,046.00</w:t>
            </w:r>
          </w:p>
        </w:tc>
      </w:tr>
      <w:tr w:rsidR="00304F26" w:rsidRPr="00733F77" w14:paraId="0B68ED5C" w14:textId="77777777" w:rsidTr="00F2330B">
        <w:trPr>
          <w:trHeight w:val="238"/>
        </w:trPr>
        <w:tc>
          <w:tcPr>
            <w:tcW w:w="1096" w:type="dxa"/>
            <w:shd w:val="clear" w:color="auto" w:fill="auto"/>
            <w:noWrap/>
            <w:vAlign w:val="bottom"/>
            <w:hideMark/>
          </w:tcPr>
          <w:p w14:paraId="259575DE"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48100000</w:t>
            </w:r>
          </w:p>
        </w:tc>
        <w:tc>
          <w:tcPr>
            <w:tcW w:w="6210" w:type="dxa"/>
            <w:shd w:val="clear" w:color="auto" w:fill="auto"/>
            <w:noWrap/>
            <w:vAlign w:val="bottom"/>
            <w:hideMark/>
          </w:tcPr>
          <w:p w14:paraId="71D79C90"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Equipos de servicios de alimentación para instituciones </w:t>
            </w:r>
          </w:p>
        </w:tc>
        <w:tc>
          <w:tcPr>
            <w:tcW w:w="1896" w:type="dxa"/>
            <w:shd w:val="clear" w:color="auto" w:fill="auto"/>
            <w:noWrap/>
            <w:vAlign w:val="bottom"/>
            <w:hideMark/>
          </w:tcPr>
          <w:p w14:paraId="779E351F"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2,582,939.00</w:t>
            </w:r>
          </w:p>
        </w:tc>
      </w:tr>
      <w:tr w:rsidR="00304F26" w:rsidRPr="00733F77" w14:paraId="3D2C0D00" w14:textId="77777777" w:rsidTr="00F2330B">
        <w:trPr>
          <w:trHeight w:val="238"/>
        </w:trPr>
        <w:tc>
          <w:tcPr>
            <w:tcW w:w="1096" w:type="dxa"/>
            <w:shd w:val="clear" w:color="auto" w:fill="auto"/>
            <w:noWrap/>
            <w:vAlign w:val="bottom"/>
            <w:hideMark/>
          </w:tcPr>
          <w:p w14:paraId="5366A914"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50100000</w:t>
            </w:r>
          </w:p>
        </w:tc>
        <w:tc>
          <w:tcPr>
            <w:tcW w:w="6210" w:type="dxa"/>
            <w:shd w:val="clear" w:color="auto" w:fill="auto"/>
            <w:noWrap/>
            <w:vAlign w:val="bottom"/>
            <w:hideMark/>
          </w:tcPr>
          <w:p w14:paraId="2471491F"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Frutos secos </w:t>
            </w:r>
          </w:p>
        </w:tc>
        <w:tc>
          <w:tcPr>
            <w:tcW w:w="1896" w:type="dxa"/>
            <w:shd w:val="clear" w:color="auto" w:fill="auto"/>
            <w:noWrap/>
            <w:vAlign w:val="bottom"/>
            <w:hideMark/>
          </w:tcPr>
          <w:p w14:paraId="290EF079"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800,000.00</w:t>
            </w:r>
          </w:p>
        </w:tc>
      </w:tr>
      <w:tr w:rsidR="00304F26" w:rsidRPr="00733F77" w14:paraId="32495F97" w14:textId="77777777" w:rsidTr="00F2330B">
        <w:trPr>
          <w:trHeight w:val="238"/>
        </w:trPr>
        <w:tc>
          <w:tcPr>
            <w:tcW w:w="1096" w:type="dxa"/>
            <w:shd w:val="clear" w:color="auto" w:fill="auto"/>
            <w:noWrap/>
            <w:vAlign w:val="bottom"/>
            <w:hideMark/>
          </w:tcPr>
          <w:p w14:paraId="5DFB97EF"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50160000</w:t>
            </w:r>
          </w:p>
        </w:tc>
        <w:tc>
          <w:tcPr>
            <w:tcW w:w="6210" w:type="dxa"/>
            <w:shd w:val="clear" w:color="auto" w:fill="auto"/>
            <w:noWrap/>
            <w:vAlign w:val="bottom"/>
            <w:hideMark/>
          </w:tcPr>
          <w:p w14:paraId="18008AFC"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Chocolates, azúcares, edulcorantes y productos de confitería </w:t>
            </w:r>
          </w:p>
        </w:tc>
        <w:tc>
          <w:tcPr>
            <w:tcW w:w="1896" w:type="dxa"/>
            <w:shd w:val="clear" w:color="auto" w:fill="auto"/>
            <w:noWrap/>
            <w:vAlign w:val="bottom"/>
            <w:hideMark/>
          </w:tcPr>
          <w:p w14:paraId="67E0B33F"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443,274.00</w:t>
            </w:r>
          </w:p>
        </w:tc>
      </w:tr>
      <w:tr w:rsidR="00304F26" w:rsidRPr="00733F77" w14:paraId="7C8D80CF" w14:textId="77777777" w:rsidTr="00F2330B">
        <w:trPr>
          <w:trHeight w:val="238"/>
        </w:trPr>
        <w:tc>
          <w:tcPr>
            <w:tcW w:w="1096" w:type="dxa"/>
            <w:shd w:val="clear" w:color="auto" w:fill="auto"/>
            <w:noWrap/>
            <w:vAlign w:val="bottom"/>
            <w:hideMark/>
          </w:tcPr>
          <w:p w14:paraId="43E4E651"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50190000</w:t>
            </w:r>
          </w:p>
        </w:tc>
        <w:tc>
          <w:tcPr>
            <w:tcW w:w="6210" w:type="dxa"/>
            <w:shd w:val="clear" w:color="auto" w:fill="auto"/>
            <w:noWrap/>
            <w:vAlign w:val="bottom"/>
            <w:hideMark/>
          </w:tcPr>
          <w:p w14:paraId="3F648FB0"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Alimentos preparados y conservados </w:t>
            </w:r>
          </w:p>
        </w:tc>
        <w:tc>
          <w:tcPr>
            <w:tcW w:w="1896" w:type="dxa"/>
            <w:shd w:val="clear" w:color="auto" w:fill="auto"/>
            <w:noWrap/>
            <w:vAlign w:val="bottom"/>
            <w:hideMark/>
          </w:tcPr>
          <w:p w14:paraId="0FE919BF"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120,360.00</w:t>
            </w:r>
          </w:p>
        </w:tc>
      </w:tr>
      <w:tr w:rsidR="00304F26" w:rsidRPr="00733F77" w14:paraId="642E94E3" w14:textId="77777777" w:rsidTr="00F2330B">
        <w:trPr>
          <w:trHeight w:val="238"/>
        </w:trPr>
        <w:tc>
          <w:tcPr>
            <w:tcW w:w="1096" w:type="dxa"/>
            <w:shd w:val="clear" w:color="auto" w:fill="auto"/>
            <w:noWrap/>
            <w:vAlign w:val="bottom"/>
            <w:hideMark/>
          </w:tcPr>
          <w:p w14:paraId="5B938FE4"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50200000</w:t>
            </w:r>
          </w:p>
        </w:tc>
        <w:tc>
          <w:tcPr>
            <w:tcW w:w="6210" w:type="dxa"/>
            <w:shd w:val="clear" w:color="auto" w:fill="auto"/>
            <w:noWrap/>
            <w:vAlign w:val="bottom"/>
            <w:hideMark/>
          </w:tcPr>
          <w:p w14:paraId="4704000F"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Bebidas </w:t>
            </w:r>
          </w:p>
        </w:tc>
        <w:tc>
          <w:tcPr>
            <w:tcW w:w="1896" w:type="dxa"/>
            <w:shd w:val="clear" w:color="auto" w:fill="auto"/>
            <w:noWrap/>
            <w:vAlign w:val="bottom"/>
            <w:hideMark/>
          </w:tcPr>
          <w:p w14:paraId="7F831E4E"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889,456.00</w:t>
            </w:r>
          </w:p>
        </w:tc>
      </w:tr>
      <w:tr w:rsidR="00304F26" w:rsidRPr="00733F77" w14:paraId="20A88986" w14:textId="77777777" w:rsidTr="00F2330B">
        <w:trPr>
          <w:trHeight w:val="238"/>
        </w:trPr>
        <w:tc>
          <w:tcPr>
            <w:tcW w:w="1096" w:type="dxa"/>
            <w:shd w:val="clear" w:color="auto" w:fill="auto"/>
            <w:noWrap/>
            <w:vAlign w:val="bottom"/>
            <w:hideMark/>
          </w:tcPr>
          <w:p w14:paraId="6A12C0B9"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52140000</w:t>
            </w:r>
          </w:p>
        </w:tc>
        <w:tc>
          <w:tcPr>
            <w:tcW w:w="6210" w:type="dxa"/>
            <w:shd w:val="clear" w:color="auto" w:fill="auto"/>
            <w:noWrap/>
            <w:vAlign w:val="bottom"/>
            <w:hideMark/>
          </w:tcPr>
          <w:p w14:paraId="6C786780"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Aparatos electrodomésticos </w:t>
            </w:r>
          </w:p>
        </w:tc>
        <w:tc>
          <w:tcPr>
            <w:tcW w:w="1896" w:type="dxa"/>
            <w:shd w:val="clear" w:color="auto" w:fill="auto"/>
            <w:noWrap/>
            <w:vAlign w:val="bottom"/>
            <w:hideMark/>
          </w:tcPr>
          <w:p w14:paraId="622781B9"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1,006,243.00</w:t>
            </w:r>
          </w:p>
        </w:tc>
      </w:tr>
      <w:tr w:rsidR="00304F26" w:rsidRPr="00733F77" w14:paraId="040D85D4" w14:textId="77777777" w:rsidTr="00F2330B">
        <w:trPr>
          <w:trHeight w:val="238"/>
        </w:trPr>
        <w:tc>
          <w:tcPr>
            <w:tcW w:w="1096" w:type="dxa"/>
            <w:shd w:val="clear" w:color="auto" w:fill="auto"/>
            <w:noWrap/>
            <w:vAlign w:val="bottom"/>
            <w:hideMark/>
          </w:tcPr>
          <w:p w14:paraId="7CB0A20F"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52150000</w:t>
            </w:r>
          </w:p>
        </w:tc>
        <w:tc>
          <w:tcPr>
            <w:tcW w:w="6210" w:type="dxa"/>
            <w:shd w:val="clear" w:color="auto" w:fill="auto"/>
            <w:noWrap/>
            <w:vAlign w:val="bottom"/>
            <w:hideMark/>
          </w:tcPr>
          <w:p w14:paraId="1F460520"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Utensilios de cocina domésticos </w:t>
            </w:r>
          </w:p>
        </w:tc>
        <w:tc>
          <w:tcPr>
            <w:tcW w:w="1896" w:type="dxa"/>
            <w:shd w:val="clear" w:color="auto" w:fill="auto"/>
            <w:noWrap/>
            <w:vAlign w:val="bottom"/>
            <w:hideMark/>
          </w:tcPr>
          <w:p w14:paraId="5C3F50D9"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901,390.00</w:t>
            </w:r>
          </w:p>
        </w:tc>
      </w:tr>
      <w:tr w:rsidR="00304F26" w:rsidRPr="00733F77" w14:paraId="2276D237" w14:textId="77777777" w:rsidTr="00F2330B">
        <w:trPr>
          <w:trHeight w:val="238"/>
        </w:trPr>
        <w:tc>
          <w:tcPr>
            <w:tcW w:w="1096" w:type="dxa"/>
            <w:shd w:val="clear" w:color="auto" w:fill="auto"/>
            <w:noWrap/>
            <w:vAlign w:val="bottom"/>
            <w:hideMark/>
          </w:tcPr>
          <w:p w14:paraId="15D3C633"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52160000</w:t>
            </w:r>
          </w:p>
        </w:tc>
        <w:tc>
          <w:tcPr>
            <w:tcW w:w="6210" w:type="dxa"/>
            <w:shd w:val="clear" w:color="auto" w:fill="auto"/>
            <w:noWrap/>
            <w:vAlign w:val="bottom"/>
            <w:hideMark/>
          </w:tcPr>
          <w:p w14:paraId="78673E22"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Electrónica de consumo </w:t>
            </w:r>
          </w:p>
        </w:tc>
        <w:tc>
          <w:tcPr>
            <w:tcW w:w="1896" w:type="dxa"/>
            <w:shd w:val="clear" w:color="auto" w:fill="auto"/>
            <w:noWrap/>
            <w:vAlign w:val="bottom"/>
            <w:hideMark/>
          </w:tcPr>
          <w:p w14:paraId="2BC7939E"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2,995,338.00</w:t>
            </w:r>
          </w:p>
        </w:tc>
      </w:tr>
      <w:tr w:rsidR="00304F26" w:rsidRPr="00733F77" w14:paraId="0C6CB57F" w14:textId="77777777" w:rsidTr="00F2330B">
        <w:trPr>
          <w:trHeight w:val="238"/>
        </w:trPr>
        <w:tc>
          <w:tcPr>
            <w:tcW w:w="1096" w:type="dxa"/>
            <w:shd w:val="clear" w:color="auto" w:fill="auto"/>
            <w:noWrap/>
            <w:vAlign w:val="bottom"/>
            <w:hideMark/>
          </w:tcPr>
          <w:p w14:paraId="436B5C33"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53100000</w:t>
            </w:r>
          </w:p>
        </w:tc>
        <w:tc>
          <w:tcPr>
            <w:tcW w:w="6210" w:type="dxa"/>
            <w:shd w:val="clear" w:color="auto" w:fill="auto"/>
            <w:noWrap/>
            <w:vAlign w:val="bottom"/>
            <w:hideMark/>
          </w:tcPr>
          <w:p w14:paraId="08BCF0AA"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Ropa </w:t>
            </w:r>
          </w:p>
        </w:tc>
        <w:tc>
          <w:tcPr>
            <w:tcW w:w="1896" w:type="dxa"/>
            <w:shd w:val="clear" w:color="auto" w:fill="auto"/>
            <w:noWrap/>
            <w:vAlign w:val="bottom"/>
            <w:hideMark/>
          </w:tcPr>
          <w:p w14:paraId="53695EF5"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389,400.00</w:t>
            </w:r>
          </w:p>
        </w:tc>
      </w:tr>
      <w:tr w:rsidR="00304F26" w:rsidRPr="00733F77" w14:paraId="12575867" w14:textId="77777777" w:rsidTr="00F2330B">
        <w:trPr>
          <w:trHeight w:val="238"/>
        </w:trPr>
        <w:tc>
          <w:tcPr>
            <w:tcW w:w="1096" w:type="dxa"/>
            <w:shd w:val="clear" w:color="auto" w:fill="auto"/>
            <w:noWrap/>
            <w:vAlign w:val="center"/>
            <w:hideMark/>
          </w:tcPr>
          <w:p w14:paraId="417B9078" w14:textId="77777777" w:rsidR="00304F26" w:rsidRPr="00733F77" w:rsidRDefault="00304F26" w:rsidP="00F2330B">
            <w:pPr>
              <w:spacing w:after="0"/>
              <w:jc w:val="center"/>
              <w:rPr>
                <w:rFonts w:ascii="Times New Roman" w:hAnsi="Times New Roman"/>
                <w:color w:val="000000"/>
                <w:sz w:val="22"/>
                <w:szCs w:val="20"/>
                <w:lang w:val="en-US"/>
              </w:rPr>
            </w:pPr>
            <w:r w:rsidRPr="00733F77">
              <w:rPr>
                <w:rFonts w:ascii="Times New Roman" w:hAnsi="Times New Roman"/>
                <w:color w:val="000000"/>
                <w:sz w:val="22"/>
                <w:szCs w:val="20"/>
                <w:lang w:val="en-US"/>
              </w:rPr>
              <w:t>53130000</w:t>
            </w:r>
          </w:p>
        </w:tc>
        <w:tc>
          <w:tcPr>
            <w:tcW w:w="6210" w:type="dxa"/>
            <w:shd w:val="clear" w:color="auto" w:fill="auto"/>
            <w:noWrap/>
            <w:vAlign w:val="bottom"/>
            <w:hideMark/>
          </w:tcPr>
          <w:p w14:paraId="3C622270"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Artículos de tocador y cuidado personal </w:t>
            </w:r>
          </w:p>
        </w:tc>
        <w:tc>
          <w:tcPr>
            <w:tcW w:w="1896" w:type="dxa"/>
            <w:shd w:val="clear" w:color="auto" w:fill="auto"/>
            <w:noWrap/>
            <w:vAlign w:val="bottom"/>
            <w:hideMark/>
          </w:tcPr>
          <w:p w14:paraId="1BCFEA2C"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267,053.00</w:t>
            </w:r>
          </w:p>
        </w:tc>
      </w:tr>
      <w:tr w:rsidR="00304F26" w:rsidRPr="00733F77" w14:paraId="7B3FD9E7" w14:textId="77777777" w:rsidTr="00F2330B">
        <w:trPr>
          <w:trHeight w:val="238"/>
        </w:trPr>
        <w:tc>
          <w:tcPr>
            <w:tcW w:w="1096" w:type="dxa"/>
            <w:shd w:val="clear" w:color="auto" w:fill="auto"/>
            <w:noWrap/>
            <w:vAlign w:val="center"/>
            <w:hideMark/>
          </w:tcPr>
          <w:p w14:paraId="3BE726A8" w14:textId="77777777" w:rsidR="00304F26" w:rsidRPr="00733F77" w:rsidRDefault="00304F26" w:rsidP="00F2330B">
            <w:pPr>
              <w:spacing w:after="0"/>
              <w:jc w:val="center"/>
              <w:rPr>
                <w:rFonts w:ascii="Times New Roman" w:hAnsi="Times New Roman"/>
                <w:color w:val="000000"/>
                <w:sz w:val="22"/>
                <w:szCs w:val="20"/>
                <w:lang w:val="en-US"/>
              </w:rPr>
            </w:pPr>
            <w:r w:rsidRPr="00733F77">
              <w:rPr>
                <w:rFonts w:ascii="Times New Roman" w:hAnsi="Times New Roman"/>
                <w:color w:val="000000"/>
                <w:sz w:val="22"/>
                <w:szCs w:val="20"/>
                <w:lang w:val="en-US"/>
              </w:rPr>
              <w:t>55100000</w:t>
            </w:r>
          </w:p>
        </w:tc>
        <w:tc>
          <w:tcPr>
            <w:tcW w:w="6210" w:type="dxa"/>
            <w:shd w:val="clear" w:color="auto" w:fill="auto"/>
            <w:noWrap/>
            <w:vAlign w:val="bottom"/>
            <w:hideMark/>
          </w:tcPr>
          <w:p w14:paraId="2DC2E08F"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Medios impresos </w:t>
            </w:r>
          </w:p>
        </w:tc>
        <w:tc>
          <w:tcPr>
            <w:tcW w:w="1896" w:type="dxa"/>
            <w:shd w:val="clear" w:color="auto" w:fill="auto"/>
            <w:noWrap/>
            <w:vAlign w:val="bottom"/>
            <w:hideMark/>
          </w:tcPr>
          <w:p w14:paraId="282DAC83"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145,880.00</w:t>
            </w:r>
          </w:p>
        </w:tc>
      </w:tr>
      <w:tr w:rsidR="00304F26" w:rsidRPr="00733F77" w14:paraId="3D4F1A1E" w14:textId="77777777" w:rsidTr="00F2330B">
        <w:trPr>
          <w:trHeight w:val="238"/>
        </w:trPr>
        <w:tc>
          <w:tcPr>
            <w:tcW w:w="1096" w:type="dxa"/>
            <w:shd w:val="clear" w:color="auto" w:fill="auto"/>
            <w:noWrap/>
            <w:vAlign w:val="center"/>
            <w:hideMark/>
          </w:tcPr>
          <w:p w14:paraId="5B977B96" w14:textId="77777777" w:rsidR="00304F26" w:rsidRPr="00733F77" w:rsidRDefault="00304F26" w:rsidP="00F2330B">
            <w:pPr>
              <w:spacing w:after="0"/>
              <w:jc w:val="center"/>
              <w:rPr>
                <w:rFonts w:ascii="Times New Roman" w:hAnsi="Times New Roman"/>
                <w:color w:val="000000"/>
                <w:sz w:val="22"/>
                <w:szCs w:val="20"/>
                <w:lang w:val="en-US"/>
              </w:rPr>
            </w:pPr>
            <w:r w:rsidRPr="00733F77">
              <w:rPr>
                <w:rFonts w:ascii="Times New Roman" w:hAnsi="Times New Roman"/>
                <w:color w:val="000000"/>
                <w:sz w:val="22"/>
                <w:szCs w:val="20"/>
                <w:lang w:val="en-US"/>
              </w:rPr>
              <w:t>55120000</w:t>
            </w:r>
          </w:p>
        </w:tc>
        <w:tc>
          <w:tcPr>
            <w:tcW w:w="6210" w:type="dxa"/>
            <w:shd w:val="clear" w:color="auto" w:fill="auto"/>
            <w:noWrap/>
            <w:vAlign w:val="bottom"/>
            <w:hideMark/>
          </w:tcPr>
          <w:p w14:paraId="5D6D0F51"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Etiquetado y accesorios </w:t>
            </w:r>
          </w:p>
        </w:tc>
        <w:tc>
          <w:tcPr>
            <w:tcW w:w="1896" w:type="dxa"/>
            <w:shd w:val="clear" w:color="auto" w:fill="auto"/>
            <w:noWrap/>
            <w:vAlign w:val="bottom"/>
            <w:hideMark/>
          </w:tcPr>
          <w:p w14:paraId="3BF190DC"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581,595.00</w:t>
            </w:r>
          </w:p>
        </w:tc>
      </w:tr>
      <w:tr w:rsidR="00304F26" w:rsidRPr="00733F77" w14:paraId="424E8469" w14:textId="77777777" w:rsidTr="00F2330B">
        <w:trPr>
          <w:trHeight w:val="238"/>
        </w:trPr>
        <w:tc>
          <w:tcPr>
            <w:tcW w:w="1096" w:type="dxa"/>
            <w:shd w:val="clear" w:color="auto" w:fill="auto"/>
            <w:noWrap/>
            <w:vAlign w:val="center"/>
            <w:hideMark/>
          </w:tcPr>
          <w:p w14:paraId="1EA9D4B5" w14:textId="77777777" w:rsidR="00304F26" w:rsidRPr="00733F77" w:rsidRDefault="00304F26" w:rsidP="00F2330B">
            <w:pPr>
              <w:spacing w:after="0"/>
              <w:jc w:val="center"/>
              <w:rPr>
                <w:rFonts w:ascii="Times New Roman" w:hAnsi="Times New Roman"/>
                <w:color w:val="000000"/>
                <w:sz w:val="22"/>
                <w:szCs w:val="20"/>
                <w:lang w:val="en-US"/>
              </w:rPr>
            </w:pPr>
            <w:r w:rsidRPr="00733F77">
              <w:rPr>
                <w:rFonts w:ascii="Times New Roman" w:hAnsi="Times New Roman"/>
                <w:color w:val="000000"/>
                <w:sz w:val="22"/>
                <w:szCs w:val="20"/>
                <w:lang w:val="en-US"/>
              </w:rPr>
              <w:t>56100000</w:t>
            </w:r>
          </w:p>
        </w:tc>
        <w:tc>
          <w:tcPr>
            <w:tcW w:w="6210" w:type="dxa"/>
            <w:shd w:val="clear" w:color="auto" w:fill="auto"/>
            <w:noWrap/>
            <w:vAlign w:val="bottom"/>
            <w:hideMark/>
          </w:tcPr>
          <w:p w14:paraId="7451D521"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Muebles de alojamiento </w:t>
            </w:r>
          </w:p>
        </w:tc>
        <w:tc>
          <w:tcPr>
            <w:tcW w:w="1896" w:type="dxa"/>
            <w:shd w:val="clear" w:color="auto" w:fill="auto"/>
            <w:noWrap/>
            <w:vAlign w:val="bottom"/>
            <w:hideMark/>
          </w:tcPr>
          <w:p w14:paraId="026A47BB"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1,683,122.00</w:t>
            </w:r>
          </w:p>
        </w:tc>
      </w:tr>
      <w:tr w:rsidR="00304F26" w:rsidRPr="00733F77" w14:paraId="31C5A3DB" w14:textId="77777777" w:rsidTr="00F2330B">
        <w:trPr>
          <w:trHeight w:val="238"/>
        </w:trPr>
        <w:tc>
          <w:tcPr>
            <w:tcW w:w="1096" w:type="dxa"/>
            <w:shd w:val="clear" w:color="auto" w:fill="auto"/>
            <w:noWrap/>
            <w:vAlign w:val="center"/>
            <w:hideMark/>
          </w:tcPr>
          <w:p w14:paraId="593A81D1" w14:textId="77777777" w:rsidR="00304F26" w:rsidRPr="00733F77" w:rsidRDefault="00304F26" w:rsidP="00F2330B">
            <w:pPr>
              <w:spacing w:after="0"/>
              <w:jc w:val="center"/>
              <w:rPr>
                <w:rFonts w:ascii="Times New Roman" w:hAnsi="Times New Roman"/>
                <w:color w:val="000000"/>
                <w:sz w:val="22"/>
                <w:szCs w:val="20"/>
                <w:lang w:val="en-US"/>
              </w:rPr>
            </w:pPr>
            <w:r w:rsidRPr="00733F77">
              <w:rPr>
                <w:rFonts w:ascii="Times New Roman" w:hAnsi="Times New Roman"/>
                <w:color w:val="000000"/>
                <w:sz w:val="22"/>
                <w:szCs w:val="20"/>
                <w:lang w:val="en-US"/>
              </w:rPr>
              <w:t>56110000</w:t>
            </w:r>
          </w:p>
        </w:tc>
        <w:tc>
          <w:tcPr>
            <w:tcW w:w="6210" w:type="dxa"/>
            <w:shd w:val="clear" w:color="auto" w:fill="auto"/>
            <w:noWrap/>
            <w:vAlign w:val="bottom"/>
            <w:hideMark/>
          </w:tcPr>
          <w:p w14:paraId="34931F52"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Muebles comerciales e industriales </w:t>
            </w:r>
          </w:p>
        </w:tc>
        <w:tc>
          <w:tcPr>
            <w:tcW w:w="1896" w:type="dxa"/>
            <w:shd w:val="clear" w:color="auto" w:fill="auto"/>
            <w:noWrap/>
            <w:vAlign w:val="bottom"/>
            <w:hideMark/>
          </w:tcPr>
          <w:p w14:paraId="0B2551F4"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197,200,256.00</w:t>
            </w:r>
          </w:p>
        </w:tc>
      </w:tr>
      <w:tr w:rsidR="00304F26" w:rsidRPr="00733F77" w14:paraId="3A8811E1" w14:textId="77777777" w:rsidTr="00F2330B">
        <w:trPr>
          <w:trHeight w:val="238"/>
        </w:trPr>
        <w:tc>
          <w:tcPr>
            <w:tcW w:w="1096" w:type="dxa"/>
            <w:shd w:val="clear" w:color="auto" w:fill="auto"/>
            <w:noWrap/>
            <w:vAlign w:val="center"/>
            <w:hideMark/>
          </w:tcPr>
          <w:p w14:paraId="062BD477" w14:textId="77777777" w:rsidR="00304F26" w:rsidRPr="00733F77" w:rsidRDefault="00304F26" w:rsidP="00F2330B">
            <w:pPr>
              <w:spacing w:after="0"/>
              <w:jc w:val="center"/>
              <w:rPr>
                <w:rFonts w:ascii="Times New Roman" w:hAnsi="Times New Roman"/>
                <w:color w:val="000000"/>
                <w:sz w:val="22"/>
                <w:szCs w:val="20"/>
                <w:lang w:val="en-US"/>
              </w:rPr>
            </w:pPr>
            <w:r w:rsidRPr="00733F77">
              <w:rPr>
                <w:rFonts w:ascii="Times New Roman" w:hAnsi="Times New Roman"/>
                <w:color w:val="000000"/>
                <w:sz w:val="22"/>
                <w:szCs w:val="20"/>
                <w:lang w:val="en-US"/>
              </w:rPr>
              <w:t>60100000</w:t>
            </w:r>
          </w:p>
        </w:tc>
        <w:tc>
          <w:tcPr>
            <w:tcW w:w="6210" w:type="dxa"/>
            <w:shd w:val="clear" w:color="auto" w:fill="auto"/>
            <w:noWrap/>
            <w:vAlign w:val="bottom"/>
            <w:hideMark/>
          </w:tcPr>
          <w:p w14:paraId="5A828CC8"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Materiales didácticos profesionales y de desarrollo y accesorios y suministros </w:t>
            </w:r>
          </w:p>
        </w:tc>
        <w:tc>
          <w:tcPr>
            <w:tcW w:w="1896" w:type="dxa"/>
            <w:shd w:val="clear" w:color="auto" w:fill="auto"/>
            <w:noWrap/>
            <w:vAlign w:val="bottom"/>
            <w:hideMark/>
          </w:tcPr>
          <w:p w14:paraId="5D5FAD4C"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825,617.00</w:t>
            </w:r>
          </w:p>
        </w:tc>
      </w:tr>
      <w:tr w:rsidR="00304F26" w:rsidRPr="00733F77" w14:paraId="66039626" w14:textId="77777777" w:rsidTr="00F2330B">
        <w:trPr>
          <w:trHeight w:val="238"/>
        </w:trPr>
        <w:tc>
          <w:tcPr>
            <w:tcW w:w="1096" w:type="dxa"/>
            <w:shd w:val="clear" w:color="auto" w:fill="auto"/>
            <w:noWrap/>
            <w:vAlign w:val="center"/>
            <w:hideMark/>
          </w:tcPr>
          <w:p w14:paraId="1122B357" w14:textId="77777777" w:rsidR="00304F26" w:rsidRPr="00733F77" w:rsidRDefault="00304F26" w:rsidP="00F2330B">
            <w:pPr>
              <w:spacing w:after="0"/>
              <w:jc w:val="center"/>
              <w:rPr>
                <w:rFonts w:ascii="Times New Roman" w:hAnsi="Times New Roman"/>
                <w:color w:val="000000"/>
                <w:sz w:val="22"/>
                <w:szCs w:val="20"/>
                <w:lang w:val="en-US"/>
              </w:rPr>
            </w:pPr>
            <w:r w:rsidRPr="00733F77">
              <w:rPr>
                <w:rFonts w:ascii="Times New Roman" w:hAnsi="Times New Roman"/>
                <w:color w:val="000000"/>
                <w:sz w:val="22"/>
                <w:szCs w:val="20"/>
                <w:lang w:val="en-US"/>
              </w:rPr>
              <w:t>60120000</w:t>
            </w:r>
          </w:p>
        </w:tc>
        <w:tc>
          <w:tcPr>
            <w:tcW w:w="6210" w:type="dxa"/>
            <w:shd w:val="clear" w:color="auto" w:fill="auto"/>
            <w:noWrap/>
            <w:vAlign w:val="bottom"/>
            <w:hideMark/>
          </w:tcPr>
          <w:p w14:paraId="7B46D8D5"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Equipo, accesorios y suministros de arte y manualidades </w:t>
            </w:r>
          </w:p>
        </w:tc>
        <w:tc>
          <w:tcPr>
            <w:tcW w:w="1896" w:type="dxa"/>
            <w:shd w:val="clear" w:color="auto" w:fill="auto"/>
            <w:noWrap/>
            <w:vAlign w:val="bottom"/>
            <w:hideMark/>
          </w:tcPr>
          <w:p w14:paraId="67F9677A"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4,875,757.00</w:t>
            </w:r>
          </w:p>
        </w:tc>
      </w:tr>
      <w:tr w:rsidR="00304F26" w:rsidRPr="00733F77" w14:paraId="040B0074" w14:textId="77777777" w:rsidTr="00F2330B">
        <w:trPr>
          <w:trHeight w:val="238"/>
        </w:trPr>
        <w:tc>
          <w:tcPr>
            <w:tcW w:w="1096" w:type="dxa"/>
            <w:shd w:val="clear" w:color="auto" w:fill="auto"/>
            <w:noWrap/>
            <w:vAlign w:val="center"/>
            <w:hideMark/>
          </w:tcPr>
          <w:p w14:paraId="32A4200C" w14:textId="77777777" w:rsidR="00304F26" w:rsidRPr="00733F77" w:rsidRDefault="00304F26" w:rsidP="00F2330B">
            <w:pPr>
              <w:spacing w:after="0"/>
              <w:jc w:val="center"/>
              <w:rPr>
                <w:rFonts w:ascii="Times New Roman" w:hAnsi="Times New Roman"/>
                <w:color w:val="000000"/>
                <w:sz w:val="22"/>
                <w:szCs w:val="20"/>
                <w:lang w:val="en-US"/>
              </w:rPr>
            </w:pPr>
            <w:r w:rsidRPr="00733F77">
              <w:rPr>
                <w:rFonts w:ascii="Times New Roman" w:hAnsi="Times New Roman"/>
                <w:color w:val="000000"/>
                <w:sz w:val="22"/>
                <w:szCs w:val="20"/>
                <w:lang w:val="en-US"/>
              </w:rPr>
              <w:t>60130000</w:t>
            </w:r>
          </w:p>
        </w:tc>
        <w:tc>
          <w:tcPr>
            <w:tcW w:w="6210" w:type="dxa"/>
            <w:shd w:val="clear" w:color="auto" w:fill="auto"/>
            <w:noWrap/>
            <w:vAlign w:val="bottom"/>
            <w:hideMark/>
          </w:tcPr>
          <w:p w14:paraId="5D6E49F1"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Instrumentos musicales, piezas y accesorios </w:t>
            </w:r>
          </w:p>
        </w:tc>
        <w:tc>
          <w:tcPr>
            <w:tcW w:w="1896" w:type="dxa"/>
            <w:shd w:val="clear" w:color="auto" w:fill="auto"/>
            <w:noWrap/>
            <w:vAlign w:val="bottom"/>
            <w:hideMark/>
          </w:tcPr>
          <w:p w14:paraId="6B179DBB"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337,952.00</w:t>
            </w:r>
          </w:p>
        </w:tc>
      </w:tr>
      <w:tr w:rsidR="00304F26" w:rsidRPr="00733F77" w14:paraId="0E7A2B28" w14:textId="77777777" w:rsidTr="00F2330B">
        <w:trPr>
          <w:trHeight w:val="238"/>
        </w:trPr>
        <w:tc>
          <w:tcPr>
            <w:tcW w:w="1096" w:type="dxa"/>
            <w:shd w:val="clear" w:color="auto" w:fill="auto"/>
            <w:noWrap/>
            <w:vAlign w:val="center"/>
            <w:hideMark/>
          </w:tcPr>
          <w:p w14:paraId="351D1CCF" w14:textId="77777777" w:rsidR="00304F26" w:rsidRPr="00733F77" w:rsidRDefault="00304F26" w:rsidP="00F2330B">
            <w:pPr>
              <w:spacing w:after="0"/>
              <w:jc w:val="center"/>
              <w:rPr>
                <w:rFonts w:ascii="Times New Roman" w:hAnsi="Times New Roman"/>
                <w:color w:val="000000"/>
                <w:sz w:val="22"/>
                <w:szCs w:val="20"/>
                <w:lang w:val="en-US"/>
              </w:rPr>
            </w:pPr>
            <w:r w:rsidRPr="00733F77">
              <w:rPr>
                <w:rFonts w:ascii="Times New Roman" w:hAnsi="Times New Roman"/>
                <w:color w:val="000000"/>
                <w:sz w:val="22"/>
                <w:szCs w:val="20"/>
                <w:lang w:val="en-US"/>
              </w:rPr>
              <w:t>70130000</w:t>
            </w:r>
          </w:p>
        </w:tc>
        <w:tc>
          <w:tcPr>
            <w:tcW w:w="6210" w:type="dxa"/>
            <w:shd w:val="clear" w:color="auto" w:fill="auto"/>
            <w:noWrap/>
            <w:vAlign w:val="bottom"/>
            <w:hideMark/>
          </w:tcPr>
          <w:p w14:paraId="38E713A8"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Preparación, gestión y protección del terreno y del suelo </w:t>
            </w:r>
          </w:p>
        </w:tc>
        <w:tc>
          <w:tcPr>
            <w:tcW w:w="1896" w:type="dxa"/>
            <w:shd w:val="clear" w:color="auto" w:fill="auto"/>
            <w:noWrap/>
            <w:vAlign w:val="bottom"/>
            <w:hideMark/>
          </w:tcPr>
          <w:p w14:paraId="13E9E16F"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44,604,000.00</w:t>
            </w:r>
          </w:p>
        </w:tc>
      </w:tr>
      <w:tr w:rsidR="00304F26" w:rsidRPr="00733F77" w14:paraId="71E54DB9" w14:textId="77777777" w:rsidTr="00F2330B">
        <w:trPr>
          <w:trHeight w:val="238"/>
        </w:trPr>
        <w:tc>
          <w:tcPr>
            <w:tcW w:w="1096" w:type="dxa"/>
            <w:shd w:val="clear" w:color="auto" w:fill="auto"/>
            <w:noWrap/>
            <w:vAlign w:val="center"/>
            <w:hideMark/>
          </w:tcPr>
          <w:p w14:paraId="7FD64A1C" w14:textId="77777777" w:rsidR="00304F26" w:rsidRPr="00733F77" w:rsidRDefault="00304F26" w:rsidP="00F2330B">
            <w:pPr>
              <w:spacing w:after="0"/>
              <w:jc w:val="center"/>
              <w:rPr>
                <w:rFonts w:ascii="Times New Roman" w:hAnsi="Times New Roman"/>
                <w:color w:val="000000"/>
                <w:sz w:val="22"/>
                <w:szCs w:val="20"/>
                <w:lang w:val="en-US"/>
              </w:rPr>
            </w:pPr>
            <w:r w:rsidRPr="00733F77">
              <w:rPr>
                <w:rFonts w:ascii="Times New Roman" w:hAnsi="Times New Roman"/>
                <w:color w:val="000000"/>
                <w:sz w:val="22"/>
                <w:szCs w:val="20"/>
                <w:lang w:val="en-US"/>
              </w:rPr>
              <w:t>72100000</w:t>
            </w:r>
          </w:p>
        </w:tc>
        <w:tc>
          <w:tcPr>
            <w:tcW w:w="6210" w:type="dxa"/>
            <w:shd w:val="clear" w:color="auto" w:fill="auto"/>
            <w:noWrap/>
            <w:vAlign w:val="bottom"/>
            <w:hideMark/>
          </w:tcPr>
          <w:p w14:paraId="5AE6174C"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Servicios de mantenimiento y reparaciones de construcciones e instalaciones </w:t>
            </w:r>
          </w:p>
        </w:tc>
        <w:tc>
          <w:tcPr>
            <w:tcW w:w="1896" w:type="dxa"/>
            <w:shd w:val="clear" w:color="auto" w:fill="auto"/>
            <w:noWrap/>
            <w:vAlign w:val="bottom"/>
            <w:hideMark/>
          </w:tcPr>
          <w:p w14:paraId="481893A7"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1,182,107.00</w:t>
            </w:r>
          </w:p>
        </w:tc>
      </w:tr>
      <w:tr w:rsidR="00304F26" w:rsidRPr="00733F77" w14:paraId="51F53B59" w14:textId="77777777" w:rsidTr="00F2330B">
        <w:trPr>
          <w:trHeight w:val="238"/>
        </w:trPr>
        <w:tc>
          <w:tcPr>
            <w:tcW w:w="1096" w:type="dxa"/>
            <w:shd w:val="clear" w:color="auto" w:fill="auto"/>
            <w:noWrap/>
            <w:vAlign w:val="center"/>
            <w:hideMark/>
          </w:tcPr>
          <w:p w14:paraId="04E3AD2B" w14:textId="77777777" w:rsidR="00304F26" w:rsidRPr="00733F77" w:rsidRDefault="00304F26" w:rsidP="00F2330B">
            <w:pPr>
              <w:spacing w:after="0"/>
              <w:jc w:val="center"/>
              <w:rPr>
                <w:rFonts w:ascii="Times New Roman" w:hAnsi="Times New Roman"/>
                <w:color w:val="000000"/>
                <w:sz w:val="22"/>
                <w:szCs w:val="20"/>
                <w:lang w:val="en-US"/>
              </w:rPr>
            </w:pPr>
            <w:r w:rsidRPr="00733F77">
              <w:rPr>
                <w:rFonts w:ascii="Times New Roman" w:hAnsi="Times New Roman"/>
                <w:color w:val="000000"/>
                <w:sz w:val="22"/>
                <w:szCs w:val="20"/>
                <w:lang w:val="en-US"/>
              </w:rPr>
              <w:t>72130000</w:t>
            </w:r>
          </w:p>
        </w:tc>
        <w:tc>
          <w:tcPr>
            <w:tcW w:w="6210" w:type="dxa"/>
            <w:shd w:val="clear" w:color="auto" w:fill="auto"/>
            <w:noWrap/>
            <w:vAlign w:val="bottom"/>
            <w:hideMark/>
          </w:tcPr>
          <w:p w14:paraId="2D7700F2"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Construcción general de edificios </w:t>
            </w:r>
          </w:p>
        </w:tc>
        <w:tc>
          <w:tcPr>
            <w:tcW w:w="1896" w:type="dxa"/>
            <w:shd w:val="clear" w:color="auto" w:fill="auto"/>
            <w:noWrap/>
            <w:vAlign w:val="bottom"/>
            <w:hideMark/>
          </w:tcPr>
          <w:p w14:paraId="496C11D7"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46,646,565.00</w:t>
            </w:r>
          </w:p>
        </w:tc>
      </w:tr>
      <w:tr w:rsidR="00304F26" w:rsidRPr="00733F77" w14:paraId="7EF7AE8E" w14:textId="77777777" w:rsidTr="00F2330B">
        <w:trPr>
          <w:trHeight w:val="238"/>
        </w:trPr>
        <w:tc>
          <w:tcPr>
            <w:tcW w:w="1096" w:type="dxa"/>
            <w:shd w:val="clear" w:color="auto" w:fill="auto"/>
            <w:noWrap/>
            <w:vAlign w:val="center"/>
            <w:hideMark/>
          </w:tcPr>
          <w:p w14:paraId="47F2A1CB" w14:textId="77777777" w:rsidR="00304F26" w:rsidRPr="00733F77" w:rsidRDefault="00304F26" w:rsidP="00F2330B">
            <w:pPr>
              <w:spacing w:after="0"/>
              <w:jc w:val="center"/>
              <w:rPr>
                <w:rFonts w:ascii="Times New Roman" w:hAnsi="Times New Roman"/>
                <w:color w:val="000000"/>
                <w:sz w:val="22"/>
                <w:szCs w:val="20"/>
                <w:lang w:val="en-US"/>
              </w:rPr>
            </w:pPr>
            <w:r w:rsidRPr="00733F77">
              <w:rPr>
                <w:rFonts w:ascii="Times New Roman" w:hAnsi="Times New Roman"/>
                <w:color w:val="000000"/>
                <w:sz w:val="22"/>
                <w:szCs w:val="20"/>
                <w:lang w:val="en-US"/>
              </w:rPr>
              <w:t>73150000</w:t>
            </w:r>
          </w:p>
        </w:tc>
        <w:tc>
          <w:tcPr>
            <w:tcW w:w="6210" w:type="dxa"/>
            <w:shd w:val="clear" w:color="auto" w:fill="auto"/>
            <w:noWrap/>
            <w:vAlign w:val="bottom"/>
            <w:hideMark/>
          </w:tcPr>
          <w:p w14:paraId="4235C821"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Servicios de apoyo a la fabricación </w:t>
            </w:r>
          </w:p>
        </w:tc>
        <w:tc>
          <w:tcPr>
            <w:tcW w:w="1896" w:type="dxa"/>
            <w:shd w:val="clear" w:color="auto" w:fill="auto"/>
            <w:noWrap/>
            <w:vAlign w:val="bottom"/>
            <w:hideMark/>
          </w:tcPr>
          <w:p w14:paraId="244B7C99"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18,408.00</w:t>
            </w:r>
          </w:p>
        </w:tc>
      </w:tr>
      <w:tr w:rsidR="00304F26" w:rsidRPr="00733F77" w14:paraId="61AA27F9" w14:textId="77777777" w:rsidTr="00F2330B">
        <w:trPr>
          <w:trHeight w:val="238"/>
        </w:trPr>
        <w:tc>
          <w:tcPr>
            <w:tcW w:w="1096" w:type="dxa"/>
            <w:shd w:val="clear" w:color="auto" w:fill="auto"/>
            <w:noWrap/>
            <w:vAlign w:val="center"/>
            <w:hideMark/>
          </w:tcPr>
          <w:p w14:paraId="7EF06788" w14:textId="77777777" w:rsidR="00304F26" w:rsidRPr="00733F77" w:rsidRDefault="00304F26" w:rsidP="00F2330B">
            <w:pPr>
              <w:spacing w:after="0"/>
              <w:jc w:val="center"/>
              <w:rPr>
                <w:rFonts w:ascii="Times New Roman" w:hAnsi="Times New Roman"/>
                <w:color w:val="000000"/>
                <w:sz w:val="22"/>
                <w:szCs w:val="20"/>
                <w:lang w:val="en-US"/>
              </w:rPr>
            </w:pPr>
            <w:r w:rsidRPr="00733F77">
              <w:rPr>
                <w:rFonts w:ascii="Times New Roman" w:hAnsi="Times New Roman"/>
                <w:color w:val="000000"/>
                <w:sz w:val="22"/>
                <w:szCs w:val="20"/>
                <w:lang w:val="en-US"/>
              </w:rPr>
              <w:t>73170000</w:t>
            </w:r>
          </w:p>
        </w:tc>
        <w:tc>
          <w:tcPr>
            <w:tcW w:w="6210" w:type="dxa"/>
            <w:shd w:val="clear" w:color="auto" w:fill="auto"/>
            <w:noWrap/>
            <w:vAlign w:val="bottom"/>
            <w:hideMark/>
          </w:tcPr>
          <w:p w14:paraId="67C0C69D"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Fabricación de productos eléctricos e instrumentos de precisión </w:t>
            </w:r>
          </w:p>
        </w:tc>
        <w:tc>
          <w:tcPr>
            <w:tcW w:w="1896" w:type="dxa"/>
            <w:shd w:val="clear" w:color="auto" w:fill="auto"/>
            <w:noWrap/>
            <w:vAlign w:val="bottom"/>
            <w:hideMark/>
          </w:tcPr>
          <w:p w14:paraId="699058C3"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2,571,414.00</w:t>
            </w:r>
          </w:p>
        </w:tc>
      </w:tr>
      <w:tr w:rsidR="00304F26" w:rsidRPr="00733F77" w14:paraId="62DBFA07" w14:textId="77777777" w:rsidTr="00F2330B">
        <w:trPr>
          <w:trHeight w:val="238"/>
        </w:trPr>
        <w:tc>
          <w:tcPr>
            <w:tcW w:w="1096" w:type="dxa"/>
            <w:shd w:val="clear" w:color="auto" w:fill="auto"/>
            <w:noWrap/>
            <w:vAlign w:val="center"/>
            <w:hideMark/>
          </w:tcPr>
          <w:p w14:paraId="57CC7451" w14:textId="77777777" w:rsidR="00304F26" w:rsidRPr="00733F77" w:rsidRDefault="00304F26" w:rsidP="00F2330B">
            <w:pPr>
              <w:spacing w:after="0"/>
              <w:jc w:val="center"/>
              <w:rPr>
                <w:rFonts w:ascii="Times New Roman" w:hAnsi="Times New Roman"/>
                <w:color w:val="000000"/>
                <w:sz w:val="22"/>
                <w:szCs w:val="20"/>
                <w:lang w:val="en-US"/>
              </w:rPr>
            </w:pPr>
            <w:r w:rsidRPr="00733F77">
              <w:rPr>
                <w:rFonts w:ascii="Times New Roman" w:hAnsi="Times New Roman"/>
                <w:color w:val="000000"/>
                <w:sz w:val="22"/>
                <w:szCs w:val="20"/>
                <w:lang w:val="en-US"/>
              </w:rPr>
              <w:t>78100000</w:t>
            </w:r>
          </w:p>
        </w:tc>
        <w:tc>
          <w:tcPr>
            <w:tcW w:w="6210" w:type="dxa"/>
            <w:shd w:val="clear" w:color="auto" w:fill="auto"/>
            <w:noWrap/>
            <w:vAlign w:val="bottom"/>
            <w:hideMark/>
          </w:tcPr>
          <w:p w14:paraId="599720BD"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Transporte de correo y carga </w:t>
            </w:r>
          </w:p>
        </w:tc>
        <w:tc>
          <w:tcPr>
            <w:tcW w:w="1896" w:type="dxa"/>
            <w:shd w:val="clear" w:color="auto" w:fill="auto"/>
            <w:noWrap/>
            <w:vAlign w:val="bottom"/>
            <w:hideMark/>
          </w:tcPr>
          <w:p w14:paraId="15CFE048"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4,609,189.00</w:t>
            </w:r>
          </w:p>
        </w:tc>
      </w:tr>
      <w:tr w:rsidR="00304F26" w:rsidRPr="00733F77" w14:paraId="515F46CE" w14:textId="77777777" w:rsidTr="00F2330B">
        <w:trPr>
          <w:trHeight w:val="238"/>
        </w:trPr>
        <w:tc>
          <w:tcPr>
            <w:tcW w:w="1096" w:type="dxa"/>
            <w:shd w:val="clear" w:color="auto" w:fill="auto"/>
            <w:noWrap/>
            <w:vAlign w:val="bottom"/>
            <w:hideMark/>
          </w:tcPr>
          <w:p w14:paraId="2C13D083"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78110000</w:t>
            </w:r>
          </w:p>
        </w:tc>
        <w:tc>
          <w:tcPr>
            <w:tcW w:w="6210" w:type="dxa"/>
            <w:shd w:val="clear" w:color="auto" w:fill="auto"/>
            <w:noWrap/>
            <w:vAlign w:val="bottom"/>
            <w:hideMark/>
          </w:tcPr>
          <w:p w14:paraId="0F32EFA2"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Transporte de pasajeros </w:t>
            </w:r>
          </w:p>
        </w:tc>
        <w:tc>
          <w:tcPr>
            <w:tcW w:w="1896" w:type="dxa"/>
            <w:shd w:val="clear" w:color="auto" w:fill="auto"/>
            <w:noWrap/>
            <w:vAlign w:val="bottom"/>
            <w:hideMark/>
          </w:tcPr>
          <w:p w14:paraId="301FDC9D"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14,103,886.00</w:t>
            </w:r>
          </w:p>
        </w:tc>
      </w:tr>
      <w:tr w:rsidR="00304F26" w:rsidRPr="00733F77" w14:paraId="5A2C0CC2" w14:textId="77777777" w:rsidTr="00F2330B">
        <w:trPr>
          <w:trHeight w:val="238"/>
        </w:trPr>
        <w:tc>
          <w:tcPr>
            <w:tcW w:w="1096" w:type="dxa"/>
            <w:shd w:val="clear" w:color="auto" w:fill="auto"/>
            <w:noWrap/>
            <w:vAlign w:val="bottom"/>
            <w:hideMark/>
          </w:tcPr>
          <w:p w14:paraId="4F2C2986"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78180000</w:t>
            </w:r>
          </w:p>
        </w:tc>
        <w:tc>
          <w:tcPr>
            <w:tcW w:w="6210" w:type="dxa"/>
            <w:shd w:val="clear" w:color="auto" w:fill="auto"/>
            <w:noWrap/>
            <w:vAlign w:val="bottom"/>
            <w:hideMark/>
          </w:tcPr>
          <w:p w14:paraId="6C41C79A"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Servicios de mantenimiento o reparaciones de transportes </w:t>
            </w:r>
          </w:p>
        </w:tc>
        <w:tc>
          <w:tcPr>
            <w:tcW w:w="1896" w:type="dxa"/>
            <w:shd w:val="clear" w:color="auto" w:fill="auto"/>
            <w:noWrap/>
            <w:vAlign w:val="bottom"/>
            <w:hideMark/>
          </w:tcPr>
          <w:p w14:paraId="32935B8D"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4,638,576.00</w:t>
            </w:r>
          </w:p>
        </w:tc>
      </w:tr>
      <w:tr w:rsidR="00304F26" w:rsidRPr="00733F77" w14:paraId="2EF33F0C" w14:textId="77777777" w:rsidTr="00F2330B">
        <w:trPr>
          <w:trHeight w:val="238"/>
        </w:trPr>
        <w:tc>
          <w:tcPr>
            <w:tcW w:w="1096" w:type="dxa"/>
            <w:shd w:val="clear" w:color="auto" w:fill="auto"/>
            <w:noWrap/>
            <w:vAlign w:val="bottom"/>
            <w:hideMark/>
          </w:tcPr>
          <w:p w14:paraId="66F254D4"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80100000</w:t>
            </w:r>
          </w:p>
        </w:tc>
        <w:tc>
          <w:tcPr>
            <w:tcW w:w="6210" w:type="dxa"/>
            <w:shd w:val="clear" w:color="auto" w:fill="auto"/>
            <w:noWrap/>
            <w:vAlign w:val="bottom"/>
            <w:hideMark/>
          </w:tcPr>
          <w:p w14:paraId="79AD277F"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Servicios de asesoría de gestión </w:t>
            </w:r>
          </w:p>
        </w:tc>
        <w:tc>
          <w:tcPr>
            <w:tcW w:w="1896" w:type="dxa"/>
            <w:shd w:val="clear" w:color="auto" w:fill="auto"/>
            <w:noWrap/>
            <w:vAlign w:val="bottom"/>
            <w:hideMark/>
          </w:tcPr>
          <w:p w14:paraId="02D13537"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1,820,504.00</w:t>
            </w:r>
          </w:p>
        </w:tc>
      </w:tr>
      <w:tr w:rsidR="00304F26" w:rsidRPr="00733F77" w14:paraId="674BE5A4" w14:textId="77777777" w:rsidTr="00F2330B">
        <w:trPr>
          <w:trHeight w:val="238"/>
        </w:trPr>
        <w:tc>
          <w:tcPr>
            <w:tcW w:w="1096" w:type="dxa"/>
            <w:shd w:val="clear" w:color="auto" w:fill="auto"/>
            <w:noWrap/>
            <w:vAlign w:val="bottom"/>
            <w:hideMark/>
          </w:tcPr>
          <w:p w14:paraId="44C66E74"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80120000</w:t>
            </w:r>
          </w:p>
        </w:tc>
        <w:tc>
          <w:tcPr>
            <w:tcW w:w="6210" w:type="dxa"/>
            <w:shd w:val="clear" w:color="auto" w:fill="auto"/>
            <w:noWrap/>
            <w:vAlign w:val="bottom"/>
            <w:hideMark/>
          </w:tcPr>
          <w:p w14:paraId="0B882060"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Servicios legales </w:t>
            </w:r>
          </w:p>
        </w:tc>
        <w:tc>
          <w:tcPr>
            <w:tcW w:w="1896" w:type="dxa"/>
            <w:shd w:val="clear" w:color="auto" w:fill="auto"/>
            <w:noWrap/>
            <w:vAlign w:val="bottom"/>
            <w:hideMark/>
          </w:tcPr>
          <w:p w14:paraId="004EBA40"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4,957,419.00</w:t>
            </w:r>
          </w:p>
        </w:tc>
      </w:tr>
      <w:tr w:rsidR="00304F26" w:rsidRPr="00733F77" w14:paraId="28E5E078" w14:textId="77777777" w:rsidTr="00F2330B">
        <w:trPr>
          <w:trHeight w:val="238"/>
        </w:trPr>
        <w:tc>
          <w:tcPr>
            <w:tcW w:w="1096" w:type="dxa"/>
            <w:shd w:val="clear" w:color="auto" w:fill="auto"/>
            <w:noWrap/>
            <w:vAlign w:val="bottom"/>
            <w:hideMark/>
          </w:tcPr>
          <w:p w14:paraId="65B5ADDA"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80140000</w:t>
            </w:r>
          </w:p>
        </w:tc>
        <w:tc>
          <w:tcPr>
            <w:tcW w:w="6210" w:type="dxa"/>
            <w:shd w:val="clear" w:color="auto" w:fill="auto"/>
            <w:noWrap/>
            <w:vAlign w:val="bottom"/>
            <w:hideMark/>
          </w:tcPr>
          <w:p w14:paraId="05DB744B"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Comercialización y distribución </w:t>
            </w:r>
          </w:p>
        </w:tc>
        <w:tc>
          <w:tcPr>
            <w:tcW w:w="1896" w:type="dxa"/>
            <w:shd w:val="clear" w:color="auto" w:fill="auto"/>
            <w:noWrap/>
            <w:vAlign w:val="bottom"/>
            <w:hideMark/>
          </w:tcPr>
          <w:p w14:paraId="4F090A88"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338,070.00</w:t>
            </w:r>
          </w:p>
        </w:tc>
      </w:tr>
      <w:tr w:rsidR="00304F26" w:rsidRPr="00733F77" w14:paraId="4C667513" w14:textId="77777777" w:rsidTr="00F2330B">
        <w:trPr>
          <w:trHeight w:val="238"/>
        </w:trPr>
        <w:tc>
          <w:tcPr>
            <w:tcW w:w="1096" w:type="dxa"/>
            <w:shd w:val="clear" w:color="auto" w:fill="auto"/>
            <w:noWrap/>
            <w:vAlign w:val="bottom"/>
            <w:hideMark/>
          </w:tcPr>
          <w:p w14:paraId="15E12600"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81100000</w:t>
            </w:r>
          </w:p>
        </w:tc>
        <w:tc>
          <w:tcPr>
            <w:tcW w:w="6210" w:type="dxa"/>
            <w:shd w:val="clear" w:color="auto" w:fill="auto"/>
            <w:noWrap/>
            <w:vAlign w:val="bottom"/>
            <w:hideMark/>
          </w:tcPr>
          <w:p w14:paraId="797B8FA2"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Servicios profesionales de ingeniería </w:t>
            </w:r>
          </w:p>
        </w:tc>
        <w:tc>
          <w:tcPr>
            <w:tcW w:w="1896" w:type="dxa"/>
            <w:shd w:val="clear" w:color="auto" w:fill="auto"/>
            <w:noWrap/>
            <w:vAlign w:val="bottom"/>
            <w:hideMark/>
          </w:tcPr>
          <w:p w14:paraId="14423E8D"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453,772.00</w:t>
            </w:r>
          </w:p>
        </w:tc>
      </w:tr>
      <w:tr w:rsidR="00304F26" w:rsidRPr="00733F77" w14:paraId="436A81B9" w14:textId="77777777" w:rsidTr="00F2330B">
        <w:trPr>
          <w:trHeight w:val="238"/>
        </w:trPr>
        <w:tc>
          <w:tcPr>
            <w:tcW w:w="1096" w:type="dxa"/>
            <w:shd w:val="clear" w:color="auto" w:fill="auto"/>
            <w:noWrap/>
            <w:vAlign w:val="bottom"/>
            <w:hideMark/>
          </w:tcPr>
          <w:p w14:paraId="11A6292E"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81110000</w:t>
            </w:r>
          </w:p>
        </w:tc>
        <w:tc>
          <w:tcPr>
            <w:tcW w:w="6210" w:type="dxa"/>
            <w:shd w:val="clear" w:color="auto" w:fill="auto"/>
            <w:noWrap/>
            <w:vAlign w:val="bottom"/>
            <w:hideMark/>
          </w:tcPr>
          <w:p w14:paraId="2E8683EE"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Servicios informáticos </w:t>
            </w:r>
          </w:p>
        </w:tc>
        <w:tc>
          <w:tcPr>
            <w:tcW w:w="1896" w:type="dxa"/>
            <w:shd w:val="clear" w:color="auto" w:fill="auto"/>
            <w:noWrap/>
            <w:vAlign w:val="bottom"/>
            <w:hideMark/>
          </w:tcPr>
          <w:p w14:paraId="79802078"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26,455,032.00</w:t>
            </w:r>
          </w:p>
        </w:tc>
      </w:tr>
      <w:tr w:rsidR="00304F26" w:rsidRPr="00733F77" w14:paraId="0F34200A" w14:textId="77777777" w:rsidTr="00F2330B">
        <w:trPr>
          <w:trHeight w:val="238"/>
        </w:trPr>
        <w:tc>
          <w:tcPr>
            <w:tcW w:w="1096" w:type="dxa"/>
            <w:shd w:val="clear" w:color="auto" w:fill="auto"/>
            <w:noWrap/>
            <w:vAlign w:val="bottom"/>
            <w:hideMark/>
          </w:tcPr>
          <w:p w14:paraId="67FF5FDC"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82100000</w:t>
            </w:r>
          </w:p>
        </w:tc>
        <w:tc>
          <w:tcPr>
            <w:tcW w:w="6210" w:type="dxa"/>
            <w:shd w:val="clear" w:color="auto" w:fill="auto"/>
            <w:noWrap/>
            <w:vAlign w:val="bottom"/>
            <w:hideMark/>
          </w:tcPr>
          <w:p w14:paraId="4B0D69F7"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Publicidad </w:t>
            </w:r>
          </w:p>
        </w:tc>
        <w:tc>
          <w:tcPr>
            <w:tcW w:w="1896" w:type="dxa"/>
            <w:shd w:val="clear" w:color="auto" w:fill="auto"/>
            <w:noWrap/>
            <w:vAlign w:val="bottom"/>
            <w:hideMark/>
          </w:tcPr>
          <w:p w14:paraId="5CA709E9"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2,583,413.00</w:t>
            </w:r>
          </w:p>
        </w:tc>
      </w:tr>
      <w:tr w:rsidR="00304F26" w:rsidRPr="00733F77" w14:paraId="523E2B00" w14:textId="77777777" w:rsidTr="00F2330B">
        <w:trPr>
          <w:trHeight w:val="238"/>
        </w:trPr>
        <w:tc>
          <w:tcPr>
            <w:tcW w:w="1096" w:type="dxa"/>
            <w:shd w:val="clear" w:color="auto" w:fill="auto"/>
            <w:noWrap/>
            <w:vAlign w:val="bottom"/>
            <w:hideMark/>
          </w:tcPr>
          <w:p w14:paraId="5DBDE4CA"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82120000</w:t>
            </w:r>
          </w:p>
        </w:tc>
        <w:tc>
          <w:tcPr>
            <w:tcW w:w="6210" w:type="dxa"/>
            <w:shd w:val="clear" w:color="auto" w:fill="auto"/>
            <w:noWrap/>
            <w:vAlign w:val="bottom"/>
            <w:hideMark/>
          </w:tcPr>
          <w:p w14:paraId="58FF0C52"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Servicios de reproducción </w:t>
            </w:r>
          </w:p>
        </w:tc>
        <w:tc>
          <w:tcPr>
            <w:tcW w:w="1896" w:type="dxa"/>
            <w:shd w:val="clear" w:color="auto" w:fill="auto"/>
            <w:noWrap/>
            <w:vAlign w:val="bottom"/>
            <w:hideMark/>
          </w:tcPr>
          <w:p w14:paraId="4B88980E"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8,806,694.00</w:t>
            </w:r>
          </w:p>
        </w:tc>
      </w:tr>
      <w:tr w:rsidR="00304F26" w:rsidRPr="00733F77" w14:paraId="5B1B8C8E" w14:textId="77777777" w:rsidTr="00F2330B">
        <w:trPr>
          <w:trHeight w:val="238"/>
        </w:trPr>
        <w:tc>
          <w:tcPr>
            <w:tcW w:w="1096" w:type="dxa"/>
            <w:shd w:val="clear" w:color="auto" w:fill="auto"/>
            <w:noWrap/>
            <w:vAlign w:val="bottom"/>
            <w:hideMark/>
          </w:tcPr>
          <w:p w14:paraId="360477A4"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82150000</w:t>
            </w:r>
          </w:p>
        </w:tc>
        <w:tc>
          <w:tcPr>
            <w:tcW w:w="6210" w:type="dxa"/>
            <w:shd w:val="clear" w:color="auto" w:fill="auto"/>
            <w:noWrap/>
            <w:vAlign w:val="bottom"/>
            <w:hideMark/>
          </w:tcPr>
          <w:p w14:paraId="646EA3D8"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Artistas e intérpretes profesionales </w:t>
            </w:r>
          </w:p>
        </w:tc>
        <w:tc>
          <w:tcPr>
            <w:tcW w:w="1896" w:type="dxa"/>
            <w:shd w:val="clear" w:color="auto" w:fill="auto"/>
            <w:noWrap/>
            <w:vAlign w:val="bottom"/>
            <w:hideMark/>
          </w:tcPr>
          <w:p w14:paraId="03908A70"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82,600.00</w:t>
            </w:r>
          </w:p>
        </w:tc>
      </w:tr>
      <w:tr w:rsidR="00304F26" w:rsidRPr="00733F77" w14:paraId="531DA146" w14:textId="77777777" w:rsidTr="00F2330B">
        <w:trPr>
          <w:trHeight w:val="238"/>
        </w:trPr>
        <w:tc>
          <w:tcPr>
            <w:tcW w:w="1096" w:type="dxa"/>
            <w:shd w:val="clear" w:color="auto" w:fill="auto"/>
            <w:noWrap/>
            <w:vAlign w:val="bottom"/>
            <w:hideMark/>
          </w:tcPr>
          <w:p w14:paraId="4AEC0152"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83110000</w:t>
            </w:r>
          </w:p>
        </w:tc>
        <w:tc>
          <w:tcPr>
            <w:tcW w:w="6210" w:type="dxa"/>
            <w:shd w:val="clear" w:color="auto" w:fill="auto"/>
            <w:noWrap/>
            <w:vAlign w:val="bottom"/>
            <w:hideMark/>
          </w:tcPr>
          <w:p w14:paraId="5AFB898B"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Servicios de medios de telecomunicaciones </w:t>
            </w:r>
          </w:p>
        </w:tc>
        <w:tc>
          <w:tcPr>
            <w:tcW w:w="1896" w:type="dxa"/>
            <w:shd w:val="clear" w:color="auto" w:fill="auto"/>
            <w:noWrap/>
            <w:vAlign w:val="bottom"/>
            <w:hideMark/>
          </w:tcPr>
          <w:p w14:paraId="7ED882C4"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2,129,900.00</w:t>
            </w:r>
          </w:p>
        </w:tc>
      </w:tr>
      <w:tr w:rsidR="00304F26" w:rsidRPr="00733F77" w14:paraId="3D2FBA59" w14:textId="77777777" w:rsidTr="00F2330B">
        <w:trPr>
          <w:trHeight w:val="238"/>
        </w:trPr>
        <w:tc>
          <w:tcPr>
            <w:tcW w:w="1096" w:type="dxa"/>
            <w:shd w:val="clear" w:color="auto" w:fill="auto"/>
            <w:noWrap/>
            <w:vAlign w:val="bottom"/>
            <w:hideMark/>
          </w:tcPr>
          <w:p w14:paraId="32C0CEE0"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86100000</w:t>
            </w:r>
          </w:p>
        </w:tc>
        <w:tc>
          <w:tcPr>
            <w:tcW w:w="6210" w:type="dxa"/>
            <w:shd w:val="clear" w:color="auto" w:fill="auto"/>
            <w:noWrap/>
            <w:vAlign w:val="bottom"/>
            <w:hideMark/>
          </w:tcPr>
          <w:p w14:paraId="29CD360D"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 xml:space="preserve"> Formación profesional </w:t>
            </w:r>
          </w:p>
        </w:tc>
        <w:tc>
          <w:tcPr>
            <w:tcW w:w="1896" w:type="dxa"/>
            <w:shd w:val="clear" w:color="auto" w:fill="auto"/>
            <w:noWrap/>
            <w:vAlign w:val="bottom"/>
            <w:hideMark/>
          </w:tcPr>
          <w:p w14:paraId="409F5FEC"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953,515.00</w:t>
            </w:r>
          </w:p>
        </w:tc>
      </w:tr>
      <w:tr w:rsidR="00304F26" w:rsidRPr="00733F77" w14:paraId="185FFF59" w14:textId="77777777" w:rsidTr="00F2330B">
        <w:trPr>
          <w:trHeight w:val="238"/>
        </w:trPr>
        <w:tc>
          <w:tcPr>
            <w:tcW w:w="1096" w:type="dxa"/>
            <w:shd w:val="clear" w:color="auto" w:fill="auto"/>
            <w:noWrap/>
            <w:vAlign w:val="bottom"/>
            <w:hideMark/>
          </w:tcPr>
          <w:p w14:paraId="6B0CCB76"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90100000</w:t>
            </w:r>
          </w:p>
        </w:tc>
        <w:tc>
          <w:tcPr>
            <w:tcW w:w="6210" w:type="dxa"/>
            <w:shd w:val="clear" w:color="auto" w:fill="auto"/>
            <w:noWrap/>
            <w:vAlign w:val="bottom"/>
            <w:hideMark/>
          </w:tcPr>
          <w:p w14:paraId="64E6539E"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Restaurantes y catering (servicios de comidas y bebidas) </w:t>
            </w:r>
          </w:p>
        </w:tc>
        <w:tc>
          <w:tcPr>
            <w:tcW w:w="1896" w:type="dxa"/>
            <w:shd w:val="clear" w:color="auto" w:fill="auto"/>
            <w:noWrap/>
            <w:vAlign w:val="bottom"/>
            <w:hideMark/>
          </w:tcPr>
          <w:p w14:paraId="7322C803"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10,629,021.00</w:t>
            </w:r>
          </w:p>
        </w:tc>
      </w:tr>
      <w:tr w:rsidR="00304F26" w:rsidRPr="00733F77" w14:paraId="26E497B3" w14:textId="77777777" w:rsidTr="00F2330B">
        <w:trPr>
          <w:trHeight w:val="238"/>
        </w:trPr>
        <w:tc>
          <w:tcPr>
            <w:tcW w:w="1096" w:type="dxa"/>
            <w:shd w:val="clear" w:color="auto" w:fill="auto"/>
            <w:noWrap/>
            <w:vAlign w:val="bottom"/>
            <w:hideMark/>
          </w:tcPr>
          <w:p w14:paraId="35D3AE4F" w14:textId="77777777" w:rsidR="00304F26" w:rsidRPr="00733F77" w:rsidRDefault="00304F26" w:rsidP="00304F26">
            <w:pPr>
              <w:spacing w:after="0"/>
              <w:rPr>
                <w:rFonts w:ascii="Times New Roman" w:hAnsi="Times New Roman"/>
                <w:color w:val="000000"/>
                <w:sz w:val="22"/>
                <w:szCs w:val="20"/>
                <w:lang w:val="en-US"/>
              </w:rPr>
            </w:pPr>
            <w:r w:rsidRPr="00733F77">
              <w:rPr>
                <w:rFonts w:ascii="Times New Roman" w:hAnsi="Times New Roman"/>
                <w:color w:val="000000"/>
                <w:sz w:val="22"/>
                <w:szCs w:val="20"/>
                <w:lang w:val="en-US"/>
              </w:rPr>
              <w:t>90110000</w:t>
            </w:r>
          </w:p>
        </w:tc>
        <w:tc>
          <w:tcPr>
            <w:tcW w:w="6210" w:type="dxa"/>
            <w:shd w:val="clear" w:color="auto" w:fill="auto"/>
            <w:noWrap/>
            <w:vAlign w:val="bottom"/>
            <w:hideMark/>
          </w:tcPr>
          <w:p w14:paraId="14D2D04A" w14:textId="77777777" w:rsidR="00304F26" w:rsidRPr="00733F77" w:rsidRDefault="00304F26" w:rsidP="00304F26">
            <w:pPr>
              <w:spacing w:after="0"/>
              <w:rPr>
                <w:rFonts w:ascii="Times New Roman" w:hAnsi="Times New Roman"/>
                <w:color w:val="000000"/>
                <w:sz w:val="22"/>
                <w:szCs w:val="20"/>
                <w:lang w:val="es-ES"/>
              </w:rPr>
            </w:pPr>
            <w:r w:rsidRPr="00733F77">
              <w:rPr>
                <w:rFonts w:ascii="Times New Roman" w:hAnsi="Times New Roman"/>
                <w:color w:val="000000"/>
                <w:sz w:val="22"/>
                <w:szCs w:val="20"/>
                <w:lang w:val="es-ES"/>
              </w:rPr>
              <w:t xml:space="preserve"> Instalaciones hoteleras, alojamientos y centros de encuentros </w:t>
            </w:r>
          </w:p>
        </w:tc>
        <w:tc>
          <w:tcPr>
            <w:tcW w:w="1896" w:type="dxa"/>
            <w:shd w:val="clear" w:color="auto" w:fill="auto"/>
            <w:noWrap/>
            <w:vAlign w:val="bottom"/>
            <w:hideMark/>
          </w:tcPr>
          <w:p w14:paraId="768D5436" w14:textId="77777777" w:rsidR="00304F26" w:rsidRPr="00733F77" w:rsidRDefault="00304F26" w:rsidP="00304F26">
            <w:pPr>
              <w:spacing w:after="0"/>
              <w:jc w:val="right"/>
              <w:rPr>
                <w:rFonts w:ascii="Times New Roman" w:hAnsi="Times New Roman"/>
                <w:color w:val="000000"/>
                <w:sz w:val="22"/>
                <w:szCs w:val="20"/>
                <w:lang w:val="en-US"/>
              </w:rPr>
            </w:pPr>
            <w:r w:rsidRPr="00733F77">
              <w:rPr>
                <w:rFonts w:ascii="Times New Roman" w:hAnsi="Times New Roman"/>
                <w:color w:val="000000"/>
                <w:sz w:val="22"/>
                <w:szCs w:val="20"/>
                <w:lang w:val="en-US"/>
              </w:rPr>
              <w:t>6,536,392.00</w:t>
            </w:r>
          </w:p>
        </w:tc>
      </w:tr>
      <w:tr w:rsidR="00304F26" w:rsidRPr="00733F77" w14:paraId="43111B8D" w14:textId="77777777" w:rsidTr="00F2330B">
        <w:trPr>
          <w:trHeight w:val="238"/>
        </w:trPr>
        <w:tc>
          <w:tcPr>
            <w:tcW w:w="7306" w:type="dxa"/>
            <w:gridSpan w:val="2"/>
            <w:shd w:val="clear" w:color="auto" w:fill="808080" w:themeFill="background1" w:themeFillShade="80"/>
            <w:noWrap/>
            <w:vAlign w:val="bottom"/>
          </w:tcPr>
          <w:p w14:paraId="2A9C8013" w14:textId="77777777" w:rsidR="00304F26" w:rsidRPr="00733F77" w:rsidRDefault="00304F26" w:rsidP="00304F26">
            <w:pPr>
              <w:spacing w:after="0"/>
              <w:jc w:val="center"/>
              <w:rPr>
                <w:rFonts w:ascii="Times New Roman" w:hAnsi="Times New Roman"/>
                <w:b/>
                <w:color w:val="FFFFFF" w:themeColor="background1"/>
                <w:sz w:val="20"/>
                <w:szCs w:val="20"/>
                <w:lang w:val="es-ES"/>
              </w:rPr>
            </w:pPr>
            <w:r w:rsidRPr="00733F77">
              <w:rPr>
                <w:rFonts w:ascii="Times New Roman" w:hAnsi="Times New Roman"/>
                <w:b/>
                <w:bCs/>
                <w:color w:val="FFFFFF" w:themeColor="background1"/>
                <w:lang w:val="en-US"/>
              </w:rPr>
              <w:t>Total general</w:t>
            </w:r>
          </w:p>
        </w:tc>
        <w:tc>
          <w:tcPr>
            <w:tcW w:w="1896" w:type="dxa"/>
            <w:shd w:val="clear" w:color="auto" w:fill="808080" w:themeFill="background1" w:themeFillShade="80"/>
            <w:noWrap/>
            <w:vAlign w:val="bottom"/>
          </w:tcPr>
          <w:p w14:paraId="50EA2EC5" w14:textId="77777777" w:rsidR="00304F26" w:rsidRPr="00733F77" w:rsidRDefault="00304F26" w:rsidP="00304F26">
            <w:pPr>
              <w:spacing w:after="0"/>
              <w:jc w:val="right"/>
              <w:rPr>
                <w:rFonts w:ascii="Times New Roman" w:hAnsi="Times New Roman"/>
                <w:b/>
                <w:color w:val="FFFFFF" w:themeColor="background1"/>
                <w:sz w:val="20"/>
                <w:szCs w:val="20"/>
                <w:lang w:val="es-ES"/>
              </w:rPr>
            </w:pPr>
            <w:r w:rsidRPr="00733F77">
              <w:rPr>
                <w:rFonts w:ascii="Times New Roman" w:hAnsi="Times New Roman"/>
                <w:b/>
                <w:bCs/>
                <w:color w:val="FFFFFF" w:themeColor="background1"/>
                <w:lang w:val="en-US"/>
              </w:rPr>
              <w:t>1,248,683,519.00</w:t>
            </w:r>
          </w:p>
        </w:tc>
      </w:tr>
    </w:tbl>
    <w:p w14:paraId="025ABDDA" w14:textId="17CC03F5" w:rsidR="00F2330B" w:rsidRDefault="00F2330B" w:rsidP="00304F26"/>
    <w:p w14:paraId="08C07AE4" w14:textId="77777777" w:rsidR="00F2330B" w:rsidRDefault="00F2330B">
      <w:pPr>
        <w:spacing w:after="0"/>
      </w:pPr>
      <w:r>
        <w:br w:type="page"/>
      </w:r>
    </w:p>
    <w:p w14:paraId="6E320E90" w14:textId="3ACEBABE" w:rsidR="00304F26" w:rsidRDefault="00304F26" w:rsidP="00CA5792">
      <w:pPr>
        <w:pStyle w:val="Ttulo4"/>
      </w:pPr>
      <w:bookmarkStart w:id="470" w:name="_Toc26292110"/>
      <w:bookmarkStart w:id="471" w:name="_Toc27146851"/>
      <w:r>
        <w:lastRenderedPageBreak/>
        <w:t>Otras actividades realizadas</w:t>
      </w:r>
      <w:bookmarkEnd w:id="470"/>
      <w:bookmarkEnd w:id="471"/>
    </w:p>
    <w:p w14:paraId="5B3728BC" w14:textId="77777777" w:rsidR="00F2330B" w:rsidRDefault="00F2330B" w:rsidP="00304F26">
      <w:pPr>
        <w:spacing w:after="0" w:line="480" w:lineRule="auto"/>
        <w:ind w:firstLine="851"/>
        <w:contextualSpacing/>
        <w:jc w:val="both"/>
        <w:rPr>
          <w:rFonts w:ascii="Times New Roman" w:hAnsi="Times New Roman"/>
          <w:b/>
          <w:sz w:val="28"/>
          <w:lang w:val="es-ES_tradnl"/>
        </w:rPr>
      </w:pPr>
    </w:p>
    <w:p w14:paraId="11659744" w14:textId="652FFC92" w:rsidR="00304F26" w:rsidRPr="0093100D" w:rsidRDefault="00F2330B" w:rsidP="00304F26">
      <w:pPr>
        <w:spacing w:after="0" w:line="480" w:lineRule="auto"/>
        <w:ind w:firstLine="851"/>
        <w:contextualSpacing/>
        <w:jc w:val="both"/>
        <w:rPr>
          <w:rFonts w:ascii="Times New Roman" w:hAnsi="Times New Roman"/>
          <w:b/>
          <w:sz w:val="28"/>
          <w:lang w:val="es-ES_tradnl"/>
        </w:rPr>
      </w:pPr>
      <w:r>
        <w:rPr>
          <w:rFonts w:ascii="Times New Roman" w:hAnsi="Times New Roman"/>
          <w:b/>
          <w:sz w:val="28"/>
          <w:lang w:val="es-ES_tradnl"/>
        </w:rPr>
        <w:t xml:space="preserve">Implementación del Decreto Núm. 168-19 </w:t>
      </w:r>
    </w:p>
    <w:p w14:paraId="413D4929" w14:textId="77777777" w:rsidR="00F2330B" w:rsidRDefault="00F2330B" w:rsidP="00304F26">
      <w:pPr>
        <w:spacing w:after="0" w:line="480" w:lineRule="auto"/>
        <w:ind w:firstLine="720"/>
        <w:contextualSpacing/>
        <w:jc w:val="both"/>
        <w:rPr>
          <w:rFonts w:ascii="Times New Roman" w:hAnsi="Times New Roman"/>
          <w:lang w:val="es-ES_tradnl"/>
        </w:rPr>
      </w:pPr>
    </w:p>
    <w:p w14:paraId="0168B3F2" w14:textId="77777777" w:rsidR="00304F26" w:rsidRPr="0093100D" w:rsidRDefault="00304F26" w:rsidP="00304F26">
      <w:pPr>
        <w:spacing w:after="0" w:line="480" w:lineRule="auto"/>
        <w:ind w:firstLine="720"/>
        <w:contextualSpacing/>
        <w:jc w:val="both"/>
        <w:rPr>
          <w:rFonts w:ascii="Times New Roman" w:hAnsi="Times New Roman"/>
          <w:lang w:val="es-ES"/>
        </w:rPr>
      </w:pPr>
      <w:r w:rsidRPr="0093100D">
        <w:rPr>
          <w:rFonts w:ascii="Times New Roman" w:hAnsi="Times New Roman"/>
          <w:lang w:val="es-ES"/>
        </w:rPr>
        <w:t xml:space="preserve">Tras la puesta en circulación del Decreto Núm. 168-19 que tiene como objetivo promover la compra de bienes y servicios de producción nacional, el Departamento de Compras y Contrataciones, la Dirección General de Contrataciones Públicas (DGCP) realizaron encuentros de socialización y sensibilización de la normativa a nivel nacional con el objetivo de instruir a los productores agropecuarios en la normativa para que participen activamente en los procesos que realizaran las instituciones que compran rubros agrícolas y pecuarios, tales como INABIE, Comedores Económicos, Plan Social de la Presidencia, entre otras instituciones públicas vinculadas. </w:t>
      </w:r>
    </w:p>
    <w:p w14:paraId="28CBECC9" w14:textId="77777777" w:rsidR="00304F26" w:rsidRPr="0093100D" w:rsidRDefault="00304F26" w:rsidP="00304F26">
      <w:pPr>
        <w:spacing w:after="0" w:line="480" w:lineRule="auto"/>
        <w:ind w:firstLine="720"/>
        <w:contextualSpacing/>
        <w:jc w:val="both"/>
        <w:rPr>
          <w:rFonts w:ascii="Times New Roman" w:hAnsi="Times New Roman"/>
          <w:lang w:val="es-ES"/>
        </w:rPr>
      </w:pPr>
    </w:p>
    <w:p w14:paraId="32479265" w14:textId="77777777" w:rsidR="00304F26" w:rsidRPr="0093100D" w:rsidRDefault="00304F26" w:rsidP="00304F26">
      <w:pPr>
        <w:spacing w:after="0" w:line="480" w:lineRule="auto"/>
        <w:ind w:firstLine="720"/>
        <w:contextualSpacing/>
        <w:jc w:val="both"/>
        <w:rPr>
          <w:rFonts w:ascii="Times New Roman" w:hAnsi="Times New Roman"/>
          <w:lang w:val="es-ES"/>
        </w:rPr>
      </w:pPr>
      <w:r w:rsidRPr="0093100D">
        <w:rPr>
          <w:rFonts w:ascii="Times New Roman" w:hAnsi="Times New Roman"/>
          <w:lang w:val="es-ES"/>
        </w:rPr>
        <w:t xml:space="preserve">Se realizó el lanzamiento de la Resolución PNP-04-2019 que hace operativo el Decreto en la Sede principal del Ministerio de Agricultura, con el objetivo de socializar las facilidades otorgadas a los productores agropecuarios en los procesos de compras de bienes de producción nacional. Actividad que contó con la participación del órgano rector del sistema de Compras y Contrataciones Públicas, y los titulares de las instituciones del Estado que compran rubros pecuarios, tales como: Comedores Económicos, el Plan Social de la Presidencia, Instituto Nacional de Bienestar Estudiantil (INABIE), entre otros. </w:t>
      </w:r>
    </w:p>
    <w:p w14:paraId="7EC7F495" w14:textId="77777777" w:rsidR="00304F26" w:rsidRPr="0093100D" w:rsidRDefault="00304F26" w:rsidP="00304F26">
      <w:pPr>
        <w:spacing w:after="0" w:line="480" w:lineRule="auto"/>
        <w:ind w:firstLine="720"/>
        <w:contextualSpacing/>
        <w:jc w:val="both"/>
        <w:rPr>
          <w:rFonts w:ascii="Times New Roman" w:hAnsi="Times New Roman"/>
          <w:lang w:val="es-ES"/>
        </w:rPr>
      </w:pPr>
    </w:p>
    <w:p w14:paraId="57FEF00D" w14:textId="77777777" w:rsidR="00304F26" w:rsidRPr="0093100D" w:rsidRDefault="00304F26" w:rsidP="00304F26">
      <w:pPr>
        <w:spacing w:after="0" w:line="480" w:lineRule="auto"/>
        <w:ind w:firstLine="720"/>
        <w:contextualSpacing/>
        <w:jc w:val="both"/>
        <w:rPr>
          <w:rFonts w:ascii="Times New Roman" w:hAnsi="Times New Roman"/>
          <w:lang w:val="es-ES"/>
        </w:rPr>
      </w:pPr>
      <w:r w:rsidRPr="0093100D">
        <w:rPr>
          <w:rFonts w:ascii="Times New Roman" w:hAnsi="Times New Roman"/>
          <w:lang w:val="es-ES"/>
        </w:rPr>
        <w:lastRenderedPageBreak/>
        <w:t xml:space="preserve">En aras de difundir la información a nivel nacional, se realizaron 10 encuentros en coordinación con la DGCP para enseñar a los productores de las provincias de Santiago, La Vega, Peravia, San Juan, Azua, La Altagracia, Barahona, San Francisco de Macorís, Valverde y zonas aledañas como venderle al Estado sus productos, teniendo una participación de 501 productores, entre ellos 50 directivos de asociaciones/cooperativas. </w:t>
      </w:r>
    </w:p>
    <w:p w14:paraId="44582C8E" w14:textId="77777777" w:rsidR="00304F26" w:rsidRPr="00304F26" w:rsidRDefault="00304F26" w:rsidP="00304F26">
      <w:pPr>
        <w:spacing w:after="0" w:line="480" w:lineRule="auto"/>
        <w:rPr>
          <w:rFonts w:ascii="Times New Roman" w:hAnsi="Times New Roman"/>
          <w:lang w:val="es-ES"/>
        </w:rPr>
      </w:pPr>
    </w:p>
    <w:p w14:paraId="6D92276A" w14:textId="7323AC7C" w:rsidR="00366DEE" w:rsidRDefault="00304F26" w:rsidP="00954002">
      <w:pPr>
        <w:pStyle w:val="Ttulo2"/>
      </w:pPr>
      <w:bookmarkStart w:id="472" w:name="_Toc26292111"/>
      <w:bookmarkStart w:id="473" w:name="_Toc27146852"/>
      <w:r>
        <w:t>i</w:t>
      </w:r>
      <w:r w:rsidRPr="0098414F">
        <w:t xml:space="preserve">) </w:t>
      </w:r>
      <w:r w:rsidR="00646828">
        <w:t>Indicador de t</w:t>
      </w:r>
      <w:r w:rsidR="00366DEE">
        <w:t xml:space="preserve">ransparencia </w:t>
      </w:r>
      <w:r w:rsidR="00646828">
        <w:t>g</w:t>
      </w:r>
      <w:r w:rsidR="00366DEE">
        <w:t>ubernamental</w:t>
      </w:r>
      <w:bookmarkEnd w:id="472"/>
      <w:bookmarkEnd w:id="473"/>
    </w:p>
    <w:p w14:paraId="64FE687C" w14:textId="77777777" w:rsidR="00A57704" w:rsidRDefault="00A57704" w:rsidP="0021506C">
      <w:pPr>
        <w:spacing w:after="0" w:line="480" w:lineRule="auto"/>
        <w:ind w:firstLine="720"/>
        <w:jc w:val="both"/>
        <w:rPr>
          <w:rFonts w:ascii="Times New Roman" w:hAnsi="Times New Roman"/>
          <w:lang w:val="es-ES_tradnl"/>
        </w:rPr>
      </w:pPr>
    </w:p>
    <w:p w14:paraId="1AFEF463" w14:textId="5E8B32DB" w:rsidR="00366DEE" w:rsidRDefault="00366DEE" w:rsidP="0021506C">
      <w:pPr>
        <w:spacing w:after="0" w:line="480" w:lineRule="auto"/>
        <w:ind w:firstLine="720"/>
        <w:jc w:val="both"/>
        <w:rPr>
          <w:rFonts w:ascii="Times New Roman" w:hAnsi="Times New Roman"/>
          <w:lang w:val="es-ES_tradnl"/>
        </w:rPr>
      </w:pPr>
      <w:r w:rsidRPr="0093100D">
        <w:rPr>
          <w:rFonts w:ascii="Times New Roman" w:hAnsi="Times New Roman"/>
          <w:lang w:val="es-ES_tradnl"/>
        </w:rPr>
        <w:t>Atendiendo a los compromisos presidenciales, la Transparencia Gubernamental, consiste en monitorear la transparencia, la disponibilidad de información pública, la eficiencia de las entidades públicas y comparar los riegos de corrupción, es un indicador compuesto por sub-indicadores de instituciones rectoras en el área de presupuesto, compras y contrat</w:t>
      </w:r>
      <w:r w:rsidR="00554262" w:rsidRPr="0093100D">
        <w:rPr>
          <w:rFonts w:ascii="Times New Roman" w:hAnsi="Times New Roman"/>
          <w:lang w:val="es-ES_tradnl"/>
        </w:rPr>
        <w:t xml:space="preserve">aciones y gobierno electrónico, </w:t>
      </w:r>
      <w:r w:rsidRPr="0093100D">
        <w:rPr>
          <w:rFonts w:ascii="Times New Roman" w:hAnsi="Times New Roman"/>
          <w:lang w:val="es-ES_tradnl"/>
        </w:rPr>
        <w:t xml:space="preserve">permitiendo realizar evaluación cualitativa de la información, lo que permitirá analizar con profundidad los distintos elementos y componentes del sistema de transparencia y acceso a la información pública, </w:t>
      </w:r>
      <w:r w:rsidR="00554262" w:rsidRPr="0093100D">
        <w:rPr>
          <w:rFonts w:ascii="Times New Roman" w:hAnsi="Times New Roman"/>
          <w:lang w:val="es-ES_tradnl"/>
        </w:rPr>
        <w:t>logrando alcanzar</w:t>
      </w:r>
      <w:r w:rsidRPr="0093100D">
        <w:rPr>
          <w:rFonts w:ascii="Times New Roman" w:hAnsi="Times New Roman"/>
          <w:lang w:val="es-ES_tradnl"/>
        </w:rPr>
        <w:t xml:space="preserve"> un </w:t>
      </w:r>
      <w:r w:rsidR="00365EDF" w:rsidRPr="0093100D">
        <w:rPr>
          <w:rFonts w:ascii="Times New Roman" w:hAnsi="Times New Roman"/>
          <w:lang w:val="es-ES_tradnl"/>
        </w:rPr>
        <w:t>94.00</w:t>
      </w:r>
      <w:r w:rsidRPr="0093100D">
        <w:rPr>
          <w:rFonts w:ascii="Times New Roman" w:hAnsi="Times New Roman"/>
          <w:lang w:val="es-ES_tradnl"/>
        </w:rPr>
        <w:t>%</w:t>
      </w:r>
      <w:r w:rsidR="00554262" w:rsidRPr="0093100D">
        <w:rPr>
          <w:rFonts w:ascii="Times New Roman" w:hAnsi="Times New Roman"/>
          <w:lang w:val="es-ES_tradnl"/>
        </w:rPr>
        <w:t>.</w:t>
      </w:r>
    </w:p>
    <w:p w14:paraId="41F23C94" w14:textId="0EFB51A3" w:rsidR="00A57704" w:rsidRDefault="00A57704">
      <w:pPr>
        <w:spacing w:after="0"/>
        <w:rPr>
          <w:rFonts w:ascii="Times New Roman" w:hAnsi="Times New Roman"/>
          <w:lang w:val="es-ES_tradnl"/>
        </w:rPr>
      </w:pPr>
      <w:r>
        <w:rPr>
          <w:rFonts w:ascii="Times New Roman" w:hAnsi="Times New Roman"/>
          <w:lang w:val="es-ES_tradnl"/>
        </w:rPr>
        <w:br w:type="page"/>
      </w:r>
    </w:p>
    <w:p w14:paraId="050ABF9A" w14:textId="77777777" w:rsidR="00AA5897" w:rsidRPr="00304F26" w:rsidRDefault="00AA5897" w:rsidP="001C6B1A">
      <w:pPr>
        <w:pStyle w:val="Prrafodelista"/>
        <w:numPr>
          <w:ilvl w:val="0"/>
          <w:numId w:val="9"/>
        </w:numPr>
        <w:spacing w:after="0" w:line="240" w:lineRule="auto"/>
        <w:ind w:left="567" w:hanging="567"/>
        <w:rPr>
          <w:rFonts w:ascii="Times New Roman" w:hAnsi="Times New Roman"/>
          <w:color w:val="4F81BD" w:themeColor="accent1"/>
          <w:lang w:val="es-ES_tradnl"/>
        </w:rPr>
      </w:pPr>
      <w:r w:rsidRPr="002B05F3">
        <w:rPr>
          <w:rFonts w:ascii="Times New Roman" w:hAnsi="Times New Roman"/>
          <w:b/>
          <w:sz w:val="24"/>
          <w:lang w:val="es-ES_tradnl"/>
        </w:rPr>
        <w:lastRenderedPageBreak/>
        <w:t xml:space="preserve">Resultado </w:t>
      </w:r>
      <w:r w:rsidR="00987A6E" w:rsidRPr="002B05F3">
        <w:rPr>
          <w:rFonts w:ascii="Times New Roman" w:hAnsi="Times New Roman"/>
          <w:b/>
          <w:sz w:val="24"/>
          <w:lang w:val="es-ES_tradnl"/>
        </w:rPr>
        <w:t xml:space="preserve">del indicador </w:t>
      </w:r>
      <w:r w:rsidR="00987A6E">
        <w:rPr>
          <w:rFonts w:ascii="Times New Roman" w:hAnsi="Times New Roman"/>
          <w:b/>
          <w:sz w:val="24"/>
          <w:lang w:val="es-ES_tradnl"/>
        </w:rPr>
        <w:t>de transparencia gubernamental</w:t>
      </w:r>
    </w:p>
    <w:p w14:paraId="77B17636" w14:textId="77777777" w:rsidR="00304F26" w:rsidRPr="002B05F3" w:rsidRDefault="00304F26" w:rsidP="00304F26">
      <w:pPr>
        <w:pStyle w:val="Prrafodelista"/>
        <w:spacing w:after="0" w:line="240" w:lineRule="auto"/>
        <w:ind w:left="567"/>
        <w:rPr>
          <w:rFonts w:ascii="Times New Roman" w:hAnsi="Times New Roman"/>
          <w:color w:val="4F81BD" w:themeColor="accent1"/>
          <w:lang w:val="es-ES_tradnl"/>
        </w:rPr>
      </w:pPr>
    </w:p>
    <w:tbl>
      <w:tblPr>
        <w:tblW w:w="6184"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20" w:firstRow="1" w:lastRow="0" w:firstColumn="0" w:lastColumn="0" w:noHBand="0" w:noVBand="1"/>
      </w:tblPr>
      <w:tblGrid>
        <w:gridCol w:w="1986"/>
        <w:gridCol w:w="3909"/>
        <w:gridCol w:w="1287"/>
        <w:gridCol w:w="1434"/>
        <w:gridCol w:w="1167"/>
      </w:tblGrid>
      <w:tr w:rsidR="00366DEE" w:rsidRPr="0093100D" w14:paraId="0AB23939" w14:textId="77777777" w:rsidTr="00304F26">
        <w:trPr>
          <w:trHeight w:val="70"/>
        </w:trPr>
        <w:tc>
          <w:tcPr>
            <w:tcW w:w="1015" w:type="pct"/>
            <w:shd w:val="clear" w:color="auto" w:fill="00B050"/>
            <w:vAlign w:val="center"/>
            <w:hideMark/>
          </w:tcPr>
          <w:p w14:paraId="08653584" w14:textId="77777777" w:rsidR="00366DEE" w:rsidRPr="0093100D" w:rsidRDefault="00366DEE" w:rsidP="00B0170C">
            <w:pPr>
              <w:spacing w:after="0"/>
              <w:jc w:val="center"/>
              <w:rPr>
                <w:rFonts w:ascii="Times New Roman" w:hAnsi="Times New Roman"/>
                <w:b/>
                <w:bCs/>
                <w:color w:val="FFFFFF" w:themeColor="background1"/>
                <w:lang w:eastAsia="es-DO"/>
              </w:rPr>
            </w:pPr>
            <w:r w:rsidRPr="0093100D">
              <w:rPr>
                <w:rFonts w:ascii="Times New Roman" w:hAnsi="Times New Roman"/>
                <w:b/>
                <w:bCs/>
                <w:color w:val="FFFFFF" w:themeColor="background1"/>
                <w:lang w:eastAsia="es-DO"/>
              </w:rPr>
              <w:t xml:space="preserve">Sub-Indicadores </w:t>
            </w:r>
          </w:p>
        </w:tc>
        <w:tc>
          <w:tcPr>
            <w:tcW w:w="1998" w:type="pct"/>
            <w:shd w:val="clear" w:color="auto" w:fill="00B050"/>
            <w:vAlign w:val="center"/>
            <w:hideMark/>
          </w:tcPr>
          <w:p w14:paraId="2DC2AFC4" w14:textId="77777777" w:rsidR="00366DEE" w:rsidRPr="0093100D" w:rsidRDefault="00366DEE" w:rsidP="00B0170C">
            <w:pPr>
              <w:spacing w:after="0"/>
              <w:jc w:val="center"/>
              <w:rPr>
                <w:rFonts w:ascii="Times New Roman" w:hAnsi="Times New Roman"/>
                <w:b/>
                <w:bCs/>
                <w:color w:val="FFFFFF" w:themeColor="background1"/>
                <w:lang w:eastAsia="es-DO"/>
              </w:rPr>
            </w:pPr>
            <w:r w:rsidRPr="0093100D">
              <w:rPr>
                <w:rFonts w:ascii="Times New Roman" w:hAnsi="Times New Roman"/>
                <w:b/>
                <w:bCs/>
                <w:color w:val="FFFFFF" w:themeColor="background1"/>
                <w:lang w:eastAsia="es-DO"/>
              </w:rPr>
              <w:t>Descripción</w:t>
            </w:r>
          </w:p>
        </w:tc>
        <w:tc>
          <w:tcPr>
            <w:tcW w:w="658" w:type="pct"/>
            <w:shd w:val="clear" w:color="auto" w:fill="00B050"/>
            <w:vAlign w:val="center"/>
            <w:hideMark/>
          </w:tcPr>
          <w:p w14:paraId="20DDCF7E" w14:textId="77777777" w:rsidR="00366DEE" w:rsidRPr="0093100D" w:rsidRDefault="00366DEE" w:rsidP="00B0170C">
            <w:pPr>
              <w:spacing w:after="0"/>
              <w:jc w:val="center"/>
              <w:rPr>
                <w:rFonts w:ascii="Times New Roman" w:hAnsi="Times New Roman"/>
                <w:b/>
                <w:bCs/>
                <w:color w:val="FFFFFF" w:themeColor="background1"/>
                <w:lang w:eastAsia="es-DO"/>
              </w:rPr>
            </w:pPr>
            <w:r w:rsidRPr="0093100D">
              <w:rPr>
                <w:rFonts w:ascii="Times New Roman" w:hAnsi="Times New Roman"/>
                <w:b/>
                <w:bCs/>
                <w:color w:val="FFFFFF" w:themeColor="background1"/>
                <w:lang w:eastAsia="es-DO"/>
              </w:rPr>
              <w:t>Institución Rectora</w:t>
            </w:r>
          </w:p>
        </w:tc>
        <w:tc>
          <w:tcPr>
            <w:tcW w:w="733" w:type="pct"/>
            <w:shd w:val="clear" w:color="auto" w:fill="00B050"/>
            <w:vAlign w:val="center"/>
            <w:hideMark/>
          </w:tcPr>
          <w:p w14:paraId="786DCDB7" w14:textId="77777777" w:rsidR="00366DEE" w:rsidRPr="0093100D" w:rsidRDefault="00366DEE" w:rsidP="00B0170C">
            <w:pPr>
              <w:spacing w:after="0"/>
              <w:jc w:val="center"/>
              <w:rPr>
                <w:rFonts w:ascii="Times New Roman" w:hAnsi="Times New Roman"/>
                <w:b/>
                <w:bCs/>
                <w:color w:val="FFFFFF" w:themeColor="background1"/>
                <w:lang w:eastAsia="es-DO"/>
              </w:rPr>
            </w:pPr>
            <w:r w:rsidRPr="0093100D">
              <w:rPr>
                <w:rFonts w:ascii="Times New Roman" w:hAnsi="Times New Roman"/>
                <w:b/>
                <w:bCs/>
                <w:color w:val="FFFFFF" w:themeColor="background1"/>
                <w:lang w:eastAsia="es-DO"/>
              </w:rPr>
              <w:t>Ponderación</w:t>
            </w:r>
          </w:p>
        </w:tc>
        <w:tc>
          <w:tcPr>
            <w:tcW w:w="596" w:type="pct"/>
            <w:shd w:val="clear" w:color="auto" w:fill="00B050"/>
            <w:vAlign w:val="center"/>
            <w:hideMark/>
          </w:tcPr>
          <w:p w14:paraId="2779E77C" w14:textId="77777777" w:rsidR="00366DEE" w:rsidRPr="0093100D" w:rsidRDefault="00366DEE" w:rsidP="00B0170C">
            <w:pPr>
              <w:spacing w:after="0"/>
              <w:jc w:val="center"/>
              <w:rPr>
                <w:rFonts w:ascii="Times New Roman" w:hAnsi="Times New Roman"/>
                <w:b/>
                <w:bCs/>
                <w:color w:val="FFFFFF" w:themeColor="background1"/>
                <w:lang w:eastAsia="es-DO"/>
              </w:rPr>
            </w:pPr>
            <w:r w:rsidRPr="0093100D">
              <w:rPr>
                <w:rFonts w:ascii="Times New Roman" w:hAnsi="Times New Roman"/>
                <w:b/>
                <w:bCs/>
                <w:color w:val="FFFFFF" w:themeColor="background1"/>
                <w:lang w:eastAsia="es-DO"/>
              </w:rPr>
              <w:t xml:space="preserve">Resultado </w:t>
            </w:r>
          </w:p>
        </w:tc>
      </w:tr>
      <w:tr w:rsidR="00365EDF" w:rsidRPr="0093100D" w14:paraId="1B2A4C47" w14:textId="77777777" w:rsidTr="007D28EB">
        <w:trPr>
          <w:trHeight w:val="77"/>
        </w:trPr>
        <w:tc>
          <w:tcPr>
            <w:tcW w:w="1015" w:type="pct"/>
            <w:shd w:val="clear" w:color="auto" w:fill="FFFFFF" w:themeFill="background1"/>
            <w:vAlign w:val="center"/>
            <w:hideMark/>
          </w:tcPr>
          <w:p w14:paraId="7249E385" w14:textId="77777777" w:rsidR="00365EDF" w:rsidRPr="0093100D" w:rsidRDefault="00365EDF" w:rsidP="00365EDF">
            <w:pPr>
              <w:spacing w:after="0"/>
              <w:rPr>
                <w:rFonts w:ascii="Times New Roman" w:hAnsi="Times New Roman"/>
                <w:color w:val="000000"/>
                <w:lang w:eastAsia="es-DO"/>
              </w:rPr>
            </w:pPr>
            <w:r w:rsidRPr="0093100D">
              <w:rPr>
                <w:rFonts w:ascii="Times New Roman" w:hAnsi="Times New Roman"/>
                <w:color w:val="000000"/>
                <w:lang w:eastAsia="es-DO"/>
              </w:rPr>
              <w:t>Cumplimiento de la Ley no. 200-04</w:t>
            </w:r>
          </w:p>
        </w:tc>
        <w:tc>
          <w:tcPr>
            <w:tcW w:w="1998" w:type="pct"/>
            <w:shd w:val="clear" w:color="auto" w:fill="FFFFFF" w:themeFill="background1"/>
            <w:vAlign w:val="bottom"/>
            <w:hideMark/>
          </w:tcPr>
          <w:p w14:paraId="17AA5EC7" w14:textId="77777777" w:rsidR="00365EDF" w:rsidRPr="0093100D" w:rsidRDefault="00365EDF" w:rsidP="00365EDF">
            <w:pPr>
              <w:spacing w:after="0"/>
              <w:rPr>
                <w:rFonts w:ascii="Times New Roman" w:hAnsi="Times New Roman"/>
                <w:color w:val="000000"/>
                <w:lang w:eastAsia="es-DO"/>
              </w:rPr>
            </w:pPr>
            <w:r w:rsidRPr="0093100D">
              <w:rPr>
                <w:rFonts w:ascii="Times New Roman" w:hAnsi="Times New Roman"/>
                <w:color w:val="000000"/>
                <w:lang w:eastAsia="es-DO"/>
              </w:rPr>
              <w:t>Verificación del cumplimiento de la Ley 200-04 sobre Libre Acceso a la Información Pública.</w:t>
            </w:r>
          </w:p>
        </w:tc>
        <w:tc>
          <w:tcPr>
            <w:tcW w:w="658" w:type="pct"/>
            <w:shd w:val="clear" w:color="auto" w:fill="FFFFFF" w:themeFill="background1"/>
            <w:vAlign w:val="center"/>
            <w:hideMark/>
          </w:tcPr>
          <w:p w14:paraId="7E02BCB3" w14:textId="77777777" w:rsidR="00365EDF" w:rsidRPr="0093100D" w:rsidRDefault="00365EDF" w:rsidP="00365EDF">
            <w:pPr>
              <w:spacing w:after="0"/>
              <w:jc w:val="center"/>
              <w:rPr>
                <w:rFonts w:ascii="Times New Roman" w:hAnsi="Times New Roman"/>
                <w:color w:val="000000"/>
                <w:lang w:eastAsia="es-DO"/>
              </w:rPr>
            </w:pPr>
            <w:r w:rsidRPr="0093100D">
              <w:rPr>
                <w:rFonts w:ascii="Times New Roman" w:hAnsi="Times New Roman"/>
                <w:color w:val="000000"/>
                <w:lang w:eastAsia="es-DO"/>
              </w:rPr>
              <w:t>DIGEIG</w:t>
            </w:r>
          </w:p>
        </w:tc>
        <w:tc>
          <w:tcPr>
            <w:tcW w:w="733" w:type="pct"/>
            <w:shd w:val="clear" w:color="auto" w:fill="FFFFFF" w:themeFill="background1"/>
            <w:vAlign w:val="center"/>
            <w:hideMark/>
          </w:tcPr>
          <w:p w14:paraId="4A0E1903" w14:textId="77777777" w:rsidR="00365EDF" w:rsidRPr="0093100D" w:rsidRDefault="00365EDF" w:rsidP="00365EDF">
            <w:pPr>
              <w:spacing w:after="0"/>
              <w:jc w:val="center"/>
              <w:rPr>
                <w:rFonts w:ascii="Times New Roman" w:hAnsi="Times New Roman"/>
                <w:color w:val="000000"/>
                <w:lang w:eastAsia="es-DO"/>
              </w:rPr>
            </w:pPr>
            <w:r w:rsidRPr="0093100D">
              <w:rPr>
                <w:rFonts w:ascii="Times New Roman" w:hAnsi="Times New Roman"/>
                <w:color w:val="000000"/>
                <w:lang w:eastAsia="es-DO"/>
              </w:rPr>
              <w:t>40%</w:t>
            </w:r>
          </w:p>
        </w:tc>
        <w:tc>
          <w:tcPr>
            <w:tcW w:w="596" w:type="pct"/>
            <w:shd w:val="clear" w:color="auto" w:fill="FFFFFF" w:themeFill="background1"/>
            <w:vAlign w:val="center"/>
            <w:hideMark/>
          </w:tcPr>
          <w:p w14:paraId="19E256D8" w14:textId="4B2055FE" w:rsidR="00365EDF" w:rsidRPr="0093100D" w:rsidRDefault="00365EDF" w:rsidP="00365EDF">
            <w:pPr>
              <w:spacing w:after="0"/>
              <w:jc w:val="center"/>
              <w:rPr>
                <w:rFonts w:ascii="Times New Roman" w:hAnsi="Times New Roman"/>
                <w:color w:val="000000"/>
                <w:lang w:eastAsia="es-DO"/>
              </w:rPr>
            </w:pPr>
            <w:r w:rsidRPr="0093100D">
              <w:rPr>
                <w:rFonts w:ascii="Times New Roman" w:hAnsi="Times New Roman"/>
                <w:color w:val="000000"/>
              </w:rPr>
              <w:t>37.60%</w:t>
            </w:r>
          </w:p>
        </w:tc>
      </w:tr>
      <w:tr w:rsidR="00365EDF" w:rsidRPr="0093100D" w14:paraId="05AAAF50" w14:textId="77777777" w:rsidTr="007D28EB">
        <w:trPr>
          <w:trHeight w:val="77"/>
        </w:trPr>
        <w:tc>
          <w:tcPr>
            <w:tcW w:w="1015" w:type="pct"/>
            <w:shd w:val="clear" w:color="auto" w:fill="FFFFFF" w:themeFill="background1"/>
            <w:vAlign w:val="center"/>
            <w:hideMark/>
          </w:tcPr>
          <w:p w14:paraId="40BCEEEC" w14:textId="77777777" w:rsidR="00365EDF" w:rsidRPr="0093100D" w:rsidRDefault="00365EDF" w:rsidP="00365EDF">
            <w:pPr>
              <w:spacing w:after="0"/>
              <w:rPr>
                <w:rFonts w:ascii="Times New Roman" w:hAnsi="Times New Roman"/>
                <w:color w:val="000000"/>
                <w:lang w:eastAsia="es-DO"/>
              </w:rPr>
            </w:pPr>
            <w:r w:rsidRPr="0093100D">
              <w:rPr>
                <w:rFonts w:ascii="Times New Roman" w:hAnsi="Times New Roman"/>
                <w:color w:val="000000"/>
                <w:lang w:eastAsia="es-DO"/>
              </w:rPr>
              <w:t>Uso del Sistema Nacional de Compras Públicas</w:t>
            </w:r>
          </w:p>
        </w:tc>
        <w:tc>
          <w:tcPr>
            <w:tcW w:w="1998" w:type="pct"/>
            <w:shd w:val="clear" w:color="auto" w:fill="FFFFFF" w:themeFill="background1"/>
            <w:vAlign w:val="bottom"/>
            <w:hideMark/>
          </w:tcPr>
          <w:p w14:paraId="2B26B73E" w14:textId="77777777" w:rsidR="00365EDF" w:rsidRPr="0093100D" w:rsidRDefault="00365EDF" w:rsidP="00365EDF">
            <w:pPr>
              <w:spacing w:after="0"/>
              <w:rPr>
                <w:rFonts w:ascii="Times New Roman" w:hAnsi="Times New Roman"/>
                <w:color w:val="000000"/>
                <w:lang w:eastAsia="es-DO"/>
              </w:rPr>
            </w:pPr>
            <w:r w:rsidRPr="0093100D">
              <w:rPr>
                <w:rFonts w:ascii="Times New Roman" w:hAnsi="Times New Roman"/>
                <w:color w:val="000000"/>
                <w:lang w:eastAsia="es-DO"/>
              </w:rPr>
              <w:t>Verificación del uso del Sistema Nacional de Compras Pública.</w:t>
            </w:r>
          </w:p>
        </w:tc>
        <w:tc>
          <w:tcPr>
            <w:tcW w:w="658" w:type="pct"/>
            <w:shd w:val="clear" w:color="auto" w:fill="FFFFFF" w:themeFill="background1"/>
            <w:vAlign w:val="center"/>
            <w:hideMark/>
          </w:tcPr>
          <w:p w14:paraId="07508165" w14:textId="77777777" w:rsidR="00365EDF" w:rsidRPr="0093100D" w:rsidRDefault="00365EDF" w:rsidP="00365EDF">
            <w:pPr>
              <w:spacing w:after="0"/>
              <w:jc w:val="center"/>
              <w:rPr>
                <w:rFonts w:ascii="Times New Roman" w:hAnsi="Times New Roman"/>
                <w:color w:val="000000"/>
                <w:lang w:eastAsia="es-DO"/>
              </w:rPr>
            </w:pPr>
            <w:r w:rsidRPr="0093100D">
              <w:rPr>
                <w:rFonts w:ascii="Times New Roman" w:hAnsi="Times New Roman"/>
                <w:color w:val="000000"/>
                <w:lang w:eastAsia="es-DO"/>
              </w:rPr>
              <w:t>DGCP</w:t>
            </w:r>
          </w:p>
        </w:tc>
        <w:tc>
          <w:tcPr>
            <w:tcW w:w="733" w:type="pct"/>
            <w:shd w:val="clear" w:color="auto" w:fill="FFFFFF" w:themeFill="background1"/>
            <w:vAlign w:val="center"/>
            <w:hideMark/>
          </w:tcPr>
          <w:p w14:paraId="3680B830" w14:textId="77777777" w:rsidR="00365EDF" w:rsidRPr="0093100D" w:rsidRDefault="00365EDF" w:rsidP="00365EDF">
            <w:pPr>
              <w:spacing w:after="0"/>
              <w:jc w:val="center"/>
              <w:rPr>
                <w:rFonts w:ascii="Times New Roman" w:hAnsi="Times New Roman"/>
                <w:color w:val="000000"/>
                <w:lang w:eastAsia="es-DO"/>
              </w:rPr>
            </w:pPr>
            <w:r w:rsidRPr="0093100D">
              <w:rPr>
                <w:rFonts w:ascii="Times New Roman" w:hAnsi="Times New Roman"/>
                <w:color w:val="000000"/>
                <w:lang w:eastAsia="es-DO"/>
              </w:rPr>
              <w:t>20%</w:t>
            </w:r>
          </w:p>
        </w:tc>
        <w:tc>
          <w:tcPr>
            <w:tcW w:w="596" w:type="pct"/>
            <w:shd w:val="clear" w:color="auto" w:fill="FFFFFF" w:themeFill="background1"/>
            <w:vAlign w:val="center"/>
            <w:hideMark/>
          </w:tcPr>
          <w:p w14:paraId="0326E1A2" w14:textId="4F8FDECE" w:rsidR="00365EDF" w:rsidRPr="0093100D" w:rsidRDefault="00365EDF" w:rsidP="00365EDF">
            <w:pPr>
              <w:spacing w:after="0"/>
              <w:jc w:val="center"/>
              <w:rPr>
                <w:rFonts w:ascii="Times New Roman" w:hAnsi="Times New Roman"/>
                <w:color w:val="000000"/>
                <w:lang w:eastAsia="es-DO"/>
              </w:rPr>
            </w:pPr>
            <w:r w:rsidRPr="0093100D">
              <w:rPr>
                <w:rFonts w:ascii="Times New Roman" w:hAnsi="Times New Roman"/>
                <w:color w:val="000000"/>
              </w:rPr>
              <w:t>18.44%</w:t>
            </w:r>
          </w:p>
        </w:tc>
      </w:tr>
      <w:tr w:rsidR="00365EDF" w:rsidRPr="0093100D" w14:paraId="31511F9F" w14:textId="77777777" w:rsidTr="007D28EB">
        <w:trPr>
          <w:trHeight w:val="77"/>
        </w:trPr>
        <w:tc>
          <w:tcPr>
            <w:tcW w:w="1015" w:type="pct"/>
            <w:shd w:val="clear" w:color="auto" w:fill="FFFFFF" w:themeFill="background1"/>
            <w:vAlign w:val="center"/>
            <w:hideMark/>
          </w:tcPr>
          <w:p w14:paraId="00145108" w14:textId="77777777" w:rsidR="00365EDF" w:rsidRPr="0093100D" w:rsidRDefault="00365EDF" w:rsidP="00365EDF">
            <w:pPr>
              <w:spacing w:after="0"/>
              <w:rPr>
                <w:rFonts w:ascii="Times New Roman" w:hAnsi="Times New Roman"/>
                <w:color w:val="000000"/>
                <w:lang w:eastAsia="es-DO"/>
              </w:rPr>
            </w:pPr>
            <w:r w:rsidRPr="0093100D">
              <w:rPr>
                <w:rFonts w:ascii="Times New Roman" w:hAnsi="Times New Roman"/>
                <w:color w:val="000000"/>
                <w:lang w:eastAsia="es-DO"/>
              </w:rPr>
              <w:t>Transparencia Presupuestaria</w:t>
            </w:r>
          </w:p>
        </w:tc>
        <w:tc>
          <w:tcPr>
            <w:tcW w:w="1998" w:type="pct"/>
            <w:shd w:val="clear" w:color="auto" w:fill="FFFFFF" w:themeFill="background1"/>
            <w:vAlign w:val="bottom"/>
            <w:hideMark/>
          </w:tcPr>
          <w:p w14:paraId="26755686" w14:textId="77777777" w:rsidR="00365EDF" w:rsidRPr="0093100D" w:rsidRDefault="00365EDF" w:rsidP="00365EDF">
            <w:pPr>
              <w:spacing w:after="0"/>
              <w:rPr>
                <w:rFonts w:ascii="Times New Roman" w:hAnsi="Times New Roman"/>
                <w:color w:val="000000"/>
                <w:lang w:eastAsia="es-DO"/>
              </w:rPr>
            </w:pPr>
            <w:r w:rsidRPr="0093100D">
              <w:rPr>
                <w:rFonts w:ascii="Times New Roman" w:hAnsi="Times New Roman"/>
                <w:color w:val="000000"/>
                <w:lang w:eastAsia="es-DO"/>
              </w:rPr>
              <w:t>Verifica la correcta publicación presupuestaria en el Portal de Transparencia Institucional</w:t>
            </w:r>
          </w:p>
        </w:tc>
        <w:tc>
          <w:tcPr>
            <w:tcW w:w="658" w:type="pct"/>
            <w:shd w:val="clear" w:color="auto" w:fill="FFFFFF" w:themeFill="background1"/>
            <w:vAlign w:val="center"/>
            <w:hideMark/>
          </w:tcPr>
          <w:p w14:paraId="7E8506DB" w14:textId="77777777" w:rsidR="00365EDF" w:rsidRPr="0093100D" w:rsidRDefault="00365EDF" w:rsidP="00365EDF">
            <w:pPr>
              <w:spacing w:after="0"/>
              <w:jc w:val="center"/>
              <w:rPr>
                <w:rFonts w:ascii="Times New Roman" w:hAnsi="Times New Roman"/>
                <w:color w:val="000000"/>
                <w:lang w:eastAsia="es-DO"/>
              </w:rPr>
            </w:pPr>
            <w:r w:rsidRPr="0093100D">
              <w:rPr>
                <w:rFonts w:ascii="Times New Roman" w:hAnsi="Times New Roman"/>
                <w:color w:val="000000"/>
                <w:lang w:eastAsia="es-DO"/>
              </w:rPr>
              <w:t>DIGEPRES</w:t>
            </w:r>
          </w:p>
        </w:tc>
        <w:tc>
          <w:tcPr>
            <w:tcW w:w="733" w:type="pct"/>
            <w:shd w:val="clear" w:color="auto" w:fill="FFFFFF" w:themeFill="background1"/>
            <w:vAlign w:val="center"/>
            <w:hideMark/>
          </w:tcPr>
          <w:p w14:paraId="5064FEA3" w14:textId="77777777" w:rsidR="00365EDF" w:rsidRPr="0093100D" w:rsidRDefault="00365EDF" w:rsidP="00365EDF">
            <w:pPr>
              <w:spacing w:after="0"/>
              <w:jc w:val="center"/>
              <w:rPr>
                <w:rFonts w:ascii="Times New Roman" w:hAnsi="Times New Roman"/>
                <w:color w:val="000000"/>
                <w:lang w:eastAsia="es-DO"/>
              </w:rPr>
            </w:pPr>
            <w:r w:rsidRPr="0093100D">
              <w:rPr>
                <w:rFonts w:ascii="Times New Roman" w:hAnsi="Times New Roman"/>
                <w:color w:val="000000"/>
                <w:lang w:eastAsia="es-DO"/>
              </w:rPr>
              <w:t>20%</w:t>
            </w:r>
          </w:p>
        </w:tc>
        <w:tc>
          <w:tcPr>
            <w:tcW w:w="596" w:type="pct"/>
            <w:shd w:val="clear" w:color="auto" w:fill="FFFFFF" w:themeFill="background1"/>
            <w:vAlign w:val="center"/>
            <w:hideMark/>
          </w:tcPr>
          <w:p w14:paraId="4D898F73" w14:textId="47C9894E" w:rsidR="00365EDF" w:rsidRPr="0093100D" w:rsidRDefault="00365EDF" w:rsidP="00365EDF">
            <w:pPr>
              <w:spacing w:after="0"/>
              <w:jc w:val="center"/>
              <w:rPr>
                <w:rFonts w:ascii="Times New Roman" w:hAnsi="Times New Roman"/>
                <w:color w:val="000000"/>
                <w:lang w:eastAsia="es-DO"/>
              </w:rPr>
            </w:pPr>
            <w:r w:rsidRPr="0093100D">
              <w:rPr>
                <w:rFonts w:ascii="Times New Roman" w:hAnsi="Times New Roman"/>
                <w:color w:val="000000"/>
              </w:rPr>
              <w:t>20.00%</w:t>
            </w:r>
          </w:p>
        </w:tc>
      </w:tr>
      <w:tr w:rsidR="00365EDF" w:rsidRPr="0093100D" w14:paraId="4FB5AF18" w14:textId="77777777" w:rsidTr="007D28EB">
        <w:trPr>
          <w:trHeight w:val="77"/>
        </w:trPr>
        <w:tc>
          <w:tcPr>
            <w:tcW w:w="1015" w:type="pct"/>
            <w:shd w:val="clear" w:color="auto" w:fill="FFFFFF" w:themeFill="background1"/>
            <w:vAlign w:val="center"/>
            <w:hideMark/>
          </w:tcPr>
          <w:p w14:paraId="1036DF5F" w14:textId="77777777" w:rsidR="00365EDF" w:rsidRPr="0093100D" w:rsidRDefault="00365EDF" w:rsidP="00365EDF">
            <w:pPr>
              <w:spacing w:after="0"/>
              <w:rPr>
                <w:rFonts w:ascii="Times New Roman" w:hAnsi="Times New Roman"/>
                <w:color w:val="000000"/>
                <w:lang w:eastAsia="es-DO"/>
              </w:rPr>
            </w:pPr>
            <w:r w:rsidRPr="0093100D">
              <w:rPr>
                <w:rFonts w:ascii="Times New Roman" w:hAnsi="Times New Roman"/>
                <w:color w:val="000000"/>
                <w:lang w:eastAsia="es-DO"/>
              </w:rPr>
              <w:t>Gobierno Abierto y E-Participación</w:t>
            </w:r>
          </w:p>
        </w:tc>
        <w:tc>
          <w:tcPr>
            <w:tcW w:w="1998" w:type="pct"/>
            <w:shd w:val="clear" w:color="auto" w:fill="FFFFFF" w:themeFill="background1"/>
            <w:vAlign w:val="bottom"/>
            <w:hideMark/>
          </w:tcPr>
          <w:p w14:paraId="2423F35D" w14:textId="77777777" w:rsidR="00365EDF" w:rsidRPr="0093100D" w:rsidRDefault="00365EDF" w:rsidP="00365EDF">
            <w:pPr>
              <w:spacing w:after="0"/>
              <w:rPr>
                <w:rFonts w:ascii="Times New Roman" w:hAnsi="Times New Roman"/>
                <w:color w:val="000000"/>
                <w:lang w:eastAsia="es-DO"/>
              </w:rPr>
            </w:pPr>
            <w:r w:rsidRPr="0093100D">
              <w:rPr>
                <w:rFonts w:ascii="Times New Roman" w:hAnsi="Times New Roman"/>
                <w:color w:val="000000"/>
                <w:lang w:eastAsia="es-DO"/>
              </w:rPr>
              <w:t>Evalúa el nivel de participación de los ciudadanos en las políticas públicas utilizando medios electrónicos y el empoderamiento que estos tienen para ejercer tal derecho.</w:t>
            </w:r>
          </w:p>
        </w:tc>
        <w:tc>
          <w:tcPr>
            <w:tcW w:w="658" w:type="pct"/>
            <w:shd w:val="clear" w:color="auto" w:fill="FFFFFF" w:themeFill="background1"/>
            <w:vAlign w:val="center"/>
            <w:hideMark/>
          </w:tcPr>
          <w:p w14:paraId="123C04F0" w14:textId="77777777" w:rsidR="00365EDF" w:rsidRPr="0093100D" w:rsidRDefault="00365EDF" w:rsidP="00365EDF">
            <w:pPr>
              <w:spacing w:after="0"/>
              <w:jc w:val="center"/>
              <w:rPr>
                <w:rFonts w:ascii="Times New Roman" w:hAnsi="Times New Roman"/>
                <w:color w:val="000000"/>
                <w:lang w:eastAsia="es-DO"/>
              </w:rPr>
            </w:pPr>
            <w:r w:rsidRPr="0093100D">
              <w:rPr>
                <w:rFonts w:ascii="Times New Roman" w:hAnsi="Times New Roman"/>
                <w:color w:val="000000"/>
                <w:lang w:eastAsia="es-DO"/>
              </w:rPr>
              <w:t>OPTIC</w:t>
            </w:r>
          </w:p>
        </w:tc>
        <w:tc>
          <w:tcPr>
            <w:tcW w:w="733" w:type="pct"/>
            <w:shd w:val="clear" w:color="auto" w:fill="FFFFFF" w:themeFill="background1"/>
            <w:vAlign w:val="center"/>
            <w:hideMark/>
          </w:tcPr>
          <w:p w14:paraId="23962FF9" w14:textId="77777777" w:rsidR="00365EDF" w:rsidRPr="0093100D" w:rsidRDefault="00365EDF" w:rsidP="00365EDF">
            <w:pPr>
              <w:spacing w:after="0"/>
              <w:jc w:val="center"/>
              <w:rPr>
                <w:rFonts w:ascii="Times New Roman" w:hAnsi="Times New Roman"/>
                <w:color w:val="000000"/>
                <w:lang w:eastAsia="es-DO"/>
              </w:rPr>
            </w:pPr>
            <w:r w:rsidRPr="0093100D">
              <w:rPr>
                <w:rFonts w:ascii="Times New Roman" w:hAnsi="Times New Roman"/>
                <w:color w:val="000000"/>
                <w:lang w:eastAsia="es-DO"/>
              </w:rPr>
              <w:t>10%</w:t>
            </w:r>
          </w:p>
        </w:tc>
        <w:tc>
          <w:tcPr>
            <w:tcW w:w="596" w:type="pct"/>
            <w:shd w:val="clear" w:color="auto" w:fill="FFFFFF" w:themeFill="background1"/>
            <w:vAlign w:val="center"/>
            <w:hideMark/>
          </w:tcPr>
          <w:p w14:paraId="53BB338E" w14:textId="75A4A579" w:rsidR="00365EDF" w:rsidRPr="0093100D" w:rsidRDefault="00365EDF" w:rsidP="00365EDF">
            <w:pPr>
              <w:spacing w:after="0"/>
              <w:jc w:val="center"/>
              <w:rPr>
                <w:rFonts w:ascii="Times New Roman" w:hAnsi="Times New Roman"/>
                <w:color w:val="000000"/>
                <w:lang w:eastAsia="es-DO"/>
              </w:rPr>
            </w:pPr>
            <w:r w:rsidRPr="0093100D">
              <w:rPr>
                <w:rFonts w:ascii="Times New Roman" w:hAnsi="Times New Roman"/>
                <w:color w:val="000000"/>
              </w:rPr>
              <w:t>7.31%</w:t>
            </w:r>
          </w:p>
        </w:tc>
      </w:tr>
      <w:tr w:rsidR="00365EDF" w:rsidRPr="0093100D" w14:paraId="3440D8A3" w14:textId="77777777" w:rsidTr="007D28EB">
        <w:trPr>
          <w:trHeight w:val="77"/>
        </w:trPr>
        <w:tc>
          <w:tcPr>
            <w:tcW w:w="1015" w:type="pct"/>
            <w:shd w:val="clear" w:color="auto" w:fill="FFFFFF" w:themeFill="background1"/>
            <w:vAlign w:val="center"/>
            <w:hideMark/>
          </w:tcPr>
          <w:p w14:paraId="080B03C3" w14:textId="77777777" w:rsidR="00365EDF" w:rsidRPr="0093100D" w:rsidRDefault="00365EDF" w:rsidP="00365EDF">
            <w:pPr>
              <w:spacing w:after="0"/>
              <w:rPr>
                <w:rFonts w:ascii="Times New Roman" w:hAnsi="Times New Roman"/>
                <w:color w:val="000000"/>
                <w:lang w:eastAsia="es-DO"/>
              </w:rPr>
            </w:pPr>
            <w:r w:rsidRPr="0093100D">
              <w:rPr>
                <w:rFonts w:ascii="Times New Roman" w:hAnsi="Times New Roman"/>
                <w:color w:val="000000"/>
                <w:lang w:eastAsia="es-DO"/>
              </w:rPr>
              <w:t>Desarrollo de E-Servicios</w:t>
            </w:r>
          </w:p>
        </w:tc>
        <w:tc>
          <w:tcPr>
            <w:tcW w:w="1998" w:type="pct"/>
            <w:shd w:val="clear" w:color="auto" w:fill="FFFFFF" w:themeFill="background1"/>
            <w:vAlign w:val="bottom"/>
            <w:hideMark/>
          </w:tcPr>
          <w:p w14:paraId="299C13BA" w14:textId="77777777" w:rsidR="00365EDF" w:rsidRPr="0093100D" w:rsidRDefault="00365EDF" w:rsidP="00365EDF">
            <w:pPr>
              <w:spacing w:after="0"/>
              <w:rPr>
                <w:rFonts w:ascii="Times New Roman" w:hAnsi="Times New Roman"/>
                <w:color w:val="000000"/>
                <w:lang w:eastAsia="es-DO"/>
              </w:rPr>
            </w:pPr>
            <w:r w:rsidRPr="0093100D">
              <w:rPr>
                <w:rFonts w:ascii="Times New Roman" w:hAnsi="Times New Roman"/>
                <w:color w:val="000000"/>
                <w:lang w:eastAsia="es-DO"/>
              </w:rPr>
              <w:t>Evalúa el nivel de avance institucional en materia de e-servicios, el nivel de facilidad de acceso que tienen los servicios institucionales publicados en línea y su conformidad con las normas establecidas.</w:t>
            </w:r>
          </w:p>
        </w:tc>
        <w:tc>
          <w:tcPr>
            <w:tcW w:w="658" w:type="pct"/>
            <w:shd w:val="clear" w:color="auto" w:fill="FFFFFF" w:themeFill="background1"/>
            <w:vAlign w:val="center"/>
            <w:hideMark/>
          </w:tcPr>
          <w:p w14:paraId="63AD8FC6" w14:textId="77777777" w:rsidR="00365EDF" w:rsidRPr="0093100D" w:rsidRDefault="00365EDF" w:rsidP="00365EDF">
            <w:pPr>
              <w:spacing w:after="0"/>
              <w:jc w:val="center"/>
              <w:rPr>
                <w:rFonts w:ascii="Times New Roman" w:hAnsi="Times New Roman"/>
                <w:color w:val="000000"/>
                <w:lang w:eastAsia="es-DO"/>
              </w:rPr>
            </w:pPr>
            <w:r w:rsidRPr="0093100D">
              <w:rPr>
                <w:rFonts w:ascii="Times New Roman" w:hAnsi="Times New Roman"/>
                <w:color w:val="000000"/>
                <w:lang w:eastAsia="es-DO"/>
              </w:rPr>
              <w:t>OPTIC</w:t>
            </w:r>
          </w:p>
        </w:tc>
        <w:tc>
          <w:tcPr>
            <w:tcW w:w="733" w:type="pct"/>
            <w:shd w:val="clear" w:color="auto" w:fill="FFFFFF" w:themeFill="background1"/>
            <w:vAlign w:val="center"/>
            <w:hideMark/>
          </w:tcPr>
          <w:p w14:paraId="14718A88" w14:textId="77777777" w:rsidR="00365EDF" w:rsidRPr="0093100D" w:rsidRDefault="00365EDF" w:rsidP="00365EDF">
            <w:pPr>
              <w:spacing w:after="0"/>
              <w:jc w:val="center"/>
              <w:rPr>
                <w:rFonts w:ascii="Times New Roman" w:hAnsi="Times New Roman"/>
                <w:color w:val="000000"/>
                <w:lang w:eastAsia="es-DO"/>
              </w:rPr>
            </w:pPr>
            <w:r w:rsidRPr="0093100D">
              <w:rPr>
                <w:rFonts w:ascii="Times New Roman" w:hAnsi="Times New Roman"/>
                <w:color w:val="000000"/>
                <w:lang w:eastAsia="es-DO"/>
              </w:rPr>
              <w:t>10%</w:t>
            </w:r>
          </w:p>
        </w:tc>
        <w:tc>
          <w:tcPr>
            <w:tcW w:w="596" w:type="pct"/>
            <w:shd w:val="clear" w:color="auto" w:fill="FFFFFF" w:themeFill="background1"/>
            <w:vAlign w:val="center"/>
            <w:hideMark/>
          </w:tcPr>
          <w:p w14:paraId="62DC3096" w14:textId="1BAFFBC7" w:rsidR="00365EDF" w:rsidRPr="0093100D" w:rsidRDefault="00365EDF" w:rsidP="00365EDF">
            <w:pPr>
              <w:spacing w:after="0"/>
              <w:jc w:val="center"/>
              <w:rPr>
                <w:rFonts w:ascii="Times New Roman" w:hAnsi="Times New Roman"/>
                <w:color w:val="000000"/>
                <w:lang w:eastAsia="es-DO"/>
              </w:rPr>
            </w:pPr>
            <w:r w:rsidRPr="0093100D">
              <w:rPr>
                <w:rFonts w:ascii="Times New Roman" w:hAnsi="Times New Roman"/>
                <w:color w:val="000000"/>
              </w:rPr>
              <w:t>8.06%</w:t>
            </w:r>
          </w:p>
        </w:tc>
      </w:tr>
      <w:tr w:rsidR="00366DEE" w:rsidRPr="0041084C" w14:paraId="0996C818" w14:textId="77777777" w:rsidTr="001165CA">
        <w:trPr>
          <w:trHeight w:val="77"/>
        </w:trPr>
        <w:tc>
          <w:tcPr>
            <w:tcW w:w="3671" w:type="pct"/>
            <w:gridSpan w:val="3"/>
            <w:shd w:val="clear" w:color="auto" w:fill="808080" w:themeFill="background1" w:themeFillShade="80"/>
            <w:vAlign w:val="center"/>
            <w:hideMark/>
          </w:tcPr>
          <w:p w14:paraId="36C3BF81" w14:textId="77777777" w:rsidR="00366DEE" w:rsidRPr="0093100D" w:rsidRDefault="007D28EB" w:rsidP="00B10A65">
            <w:pPr>
              <w:spacing w:after="0"/>
              <w:ind w:firstLineChars="100" w:firstLine="241"/>
              <w:jc w:val="right"/>
              <w:rPr>
                <w:rFonts w:ascii="Times New Roman" w:hAnsi="Times New Roman"/>
                <w:b/>
                <w:bCs/>
                <w:color w:val="FFFFFF" w:themeColor="background1"/>
                <w:lang w:eastAsia="es-DO"/>
              </w:rPr>
            </w:pPr>
            <w:r w:rsidRPr="0093100D">
              <w:rPr>
                <w:rFonts w:ascii="Times New Roman" w:hAnsi="Times New Roman"/>
                <w:b/>
                <w:bCs/>
                <w:color w:val="FFFFFF" w:themeColor="background1"/>
                <w:lang w:eastAsia="es-DO"/>
              </w:rPr>
              <w:t>Total</w:t>
            </w:r>
          </w:p>
        </w:tc>
        <w:tc>
          <w:tcPr>
            <w:tcW w:w="733" w:type="pct"/>
            <w:shd w:val="clear" w:color="auto" w:fill="808080" w:themeFill="background1" w:themeFillShade="80"/>
            <w:vAlign w:val="center"/>
            <w:hideMark/>
          </w:tcPr>
          <w:p w14:paraId="0E968CFC" w14:textId="77777777" w:rsidR="00366DEE" w:rsidRPr="0093100D" w:rsidRDefault="00366DEE" w:rsidP="00B0170C">
            <w:pPr>
              <w:spacing w:after="0"/>
              <w:jc w:val="center"/>
              <w:rPr>
                <w:rFonts w:ascii="Times New Roman" w:hAnsi="Times New Roman"/>
                <w:b/>
                <w:color w:val="FFFFFF" w:themeColor="background1"/>
                <w:lang w:eastAsia="es-DO"/>
              </w:rPr>
            </w:pPr>
            <w:r w:rsidRPr="0093100D">
              <w:rPr>
                <w:rFonts w:ascii="Times New Roman" w:hAnsi="Times New Roman"/>
                <w:b/>
                <w:color w:val="FFFFFF" w:themeColor="background1"/>
                <w:lang w:eastAsia="es-DO"/>
              </w:rPr>
              <w:t>100%</w:t>
            </w:r>
          </w:p>
        </w:tc>
        <w:tc>
          <w:tcPr>
            <w:tcW w:w="596" w:type="pct"/>
            <w:shd w:val="clear" w:color="auto" w:fill="808080" w:themeFill="background1" w:themeFillShade="80"/>
            <w:vAlign w:val="center"/>
            <w:hideMark/>
          </w:tcPr>
          <w:p w14:paraId="40AB6036" w14:textId="3E86684C" w:rsidR="00366DEE" w:rsidRPr="001165CA" w:rsidRDefault="00365EDF" w:rsidP="00365EDF">
            <w:pPr>
              <w:spacing w:after="0"/>
              <w:jc w:val="center"/>
              <w:rPr>
                <w:rFonts w:ascii="Times New Roman" w:hAnsi="Times New Roman"/>
                <w:b/>
                <w:bCs/>
                <w:color w:val="FFFFFF" w:themeColor="background1"/>
                <w:lang w:eastAsia="es-DO"/>
              </w:rPr>
            </w:pPr>
            <w:r w:rsidRPr="0093100D">
              <w:rPr>
                <w:rFonts w:ascii="Times New Roman" w:hAnsi="Times New Roman"/>
                <w:b/>
                <w:bCs/>
                <w:color w:val="FFFFFF" w:themeColor="background1"/>
                <w:lang w:eastAsia="es-DO"/>
              </w:rPr>
              <w:t>91.41</w:t>
            </w:r>
            <w:r w:rsidR="00366DEE" w:rsidRPr="0093100D">
              <w:rPr>
                <w:rFonts w:ascii="Times New Roman" w:hAnsi="Times New Roman"/>
                <w:b/>
                <w:bCs/>
                <w:color w:val="FFFFFF" w:themeColor="background1"/>
                <w:lang w:eastAsia="es-DO"/>
              </w:rPr>
              <w:t>%</w:t>
            </w:r>
          </w:p>
        </w:tc>
      </w:tr>
    </w:tbl>
    <w:p w14:paraId="655B84F7" w14:textId="5FBBB11C" w:rsidR="001165CA" w:rsidRDefault="001165CA" w:rsidP="001165CA">
      <w:pPr>
        <w:spacing w:after="0" w:line="480" w:lineRule="auto"/>
        <w:rPr>
          <w:rFonts w:ascii="Times New Roman" w:hAnsi="Times New Roman"/>
        </w:rPr>
      </w:pPr>
    </w:p>
    <w:p w14:paraId="201F0B86" w14:textId="1591F218" w:rsidR="002A3125" w:rsidRPr="00640974" w:rsidRDefault="002A3125" w:rsidP="001C6B1A">
      <w:pPr>
        <w:pStyle w:val="Prrafodelista"/>
        <w:numPr>
          <w:ilvl w:val="0"/>
          <w:numId w:val="8"/>
        </w:numPr>
        <w:spacing w:after="0" w:line="360" w:lineRule="auto"/>
        <w:ind w:left="1783" w:hanging="1499"/>
        <w:rPr>
          <w:rFonts w:ascii="Times New Roman" w:hAnsi="Times New Roman"/>
          <w:sz w:val="24"/>
          <w:szCs w:val="24"/>
        </w:rPr>
      </w:pPr>
      <w:r w:rsidRPr="00640974">
        <w:rPr>
          <w:rFonts w:ascii="Times New Roman" w:hAnsi="Times New Roman"/>
          <w:b/>
          <w:sz w:val="24"/>
          <w:szCs w:val="24"/>
          <w:lang w:val="es-ES_tradnl"/>
        </w:rPr>
        <w:t>Resultado</w:t>
      </w:r>
      <w:r w:rsidRPr="00640974">
        <w:rPr>
          <w:rFonts w:ascii="Times New Roman" w:hAnsi="Times New Roman"/>
          <w:b/>
          <w:bCs/>
          <w:sz w:val="24"/>
          <w:szCs w:val="24"/>
        </w:rPr>
        <w:t xml:space="preserve"> </w:t>
      </w:r>
      <w:r w:rsidR="00A57704">
        <w:rPr>
          <w:rFonts w:ascii="Times New Roman" w:hAnsi="Times New Roman"/>
          <w:b/>
          <w:bCs/>
          <w:sz w:val="24"/>
          <w:szCs w:val="24"/>
        </w:rPr>
        <w:t>de transparencia</w:t>
      </w:r>
      <w:r w:rsidRPr="00640974">
        <w:rPr>
          <w:rFonts w:ascii="Times New Roman" w:hAnsi="Times New Roman"/>
          <w:b/>
          <w:bCs/>
          <w:sz w:val="24"/>
          <w:szCs w:val="24"/>
        </w:rPr>
        <w:t>, por trimestres 2019</w:t>
      </w:r>
    </w:p>
    <w:p w14:paraId="2FFB6F3C" w14:textId="68DF3090" w:rsidR="002A3125" w:rsidRDefault="002A3125" w:rsidP="002A3125">
      <w:pPr>
        <w:spacing w:after="0" w:line="480" w:lineRule="auto"/>
        <w:rPr>
          <w:rFonts w:ascii="Times New Roman" w:hAnsi="Times New Roman"/>
          <w:lang w:val="es-ES_tradnl"/>
        </w:rPr>
      </w:pPr>
      <w:r>
        <w:rPr>
          <w:noProof/>
          <w:lang w:eastAsia="es-DO"/>
        </w:rPr>
        <w:drawing>
          <wp:inline distT="0" distB="0" distL="0" distR="0" wp14:anchorId="5556ED83" wp14:editId="3E08A788">
            <wp:extent cx="5029200" cy="3086100"/>
            <wp:effectExtent l="0" t="0" r="0" b="0"/>
            <wp:docPr id="187" name="Gráfico 187"/>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4B47E452" w14:textId="5B75E002" w:rsidR="002A3125" w:rsidRPr="003D1320" w:rsidRDefault="002A3125" w:rsidP="001C6B1A">
      <w:pPr>
        <w:pStyle w:val="Prrafodelista"/>
        <w:numPr>
          <w:ilvl w:val="0"/>
          <w:numId w:val="8"/>
        </w:numPr>
        <w:spacing w:after="0" w:line="360" w:lineRule="auto"/>
        <w:ind w:left="1783" w:hanging="1499"/>
        <w:rPr>
          <w:rFonts w:ascii="Times New Roman" w:hAnsi="Times New Roman"/>
          <w:b/>
          <w:sz w:val="24"/>
          <w:szCs w:val="24"/>
          <w:lang w:val="es-ES_tradnl"/>
        </w:rPr>
      </w:pPr>
      <w:r w:rsidRPr="00640974">
        <w:rPr>
          <w:rFonts w:ascii="Times New Roman" w:hAnsi="Times New Roman"/>
          <w:b/>
          <w:sz w:val="24"/>
          <w:szCs w:val="24"/>
          <w:lang w:val="es-ES_tradnl"/>
        </w:rPr>
        <w:lastRenderedPageBreak/>
        <w:t>Resultado</w:t>
      </w:r>
      <w:r w:rsidRPr="003D1320">
        <w:rPr>
          <w:rFonts w:ascii="Times New Roman" w:hAnsi="Times New Roman"/>
          <w:b/>
          <w:sz w:val="24"/>
          <w:szCs w:val="24"/>
          <w:lang w:val="es-ES_tradnl"/>
        </w:rPr>
        <w:t xml:space="preserve"> </w:t>
      </w:r>
      <w:r>
        <w:rPr>
          <w:rFonts w:ascii="Times New Roman" w:hAnsi="Times New Roman"/>
          <w:b/>
          <w:sz w:val="24"/>
          <w:szCs w:val="24"/>
          <w:lang w:val="es-ES_tradnl"/>
        </w:rPr>
        <w:t>(TRANSPARENCIA</w:t>
      </w:r>
      <w:r w:rsidRPr="003D1320">
        <w:rPr>
          <w:rFonts w:ascii="Times New Roman" w:hAnsi="Times New Roman"/>
          <w:b/>
          <w:sz w:val="24"/>
          <w:szCs w:val="24"/>
          <w:lang w:val="es-ES_tradnl"/>
        </w:rPr>
        <w:t xml:space="preserve">), por </w:t>
      </w:r>
      <w:r>
        <w:rPr>
          <w:rFonts w:ascii="Times New Roman" w:hAnsi="Times New Roman"/>
          <w:b/>
          <w:sz w:val="24"/>
          <w:szCs w:val="24"/>
          <w:lang w:val="es-ES_tradnl"/>
        </w:rPr>
        <w:t>componentes</w:t>
      </w:r>
    </w:p>
    <w:p w14:paraId="7BAB9139" w14:textId="68B594D6" w:rsidR="002A3125" w:rsidRDefault="002A3125" w:rsidP="002A3125">
      <w:pPr>
        <w:spacing w:after="0" w:line="480" w:lineRule="auto"/>
        <w:rPr>
          <w:rFonts w:ascii="Times New Roman" w:hAnsi="Times New Roman"/>
          <w:lang w:val="es-ES_tradnl"/>
        </w:rPr>
      </w:pPr>
      <w:r>
        <w:rPr>
          <w:noProof/>
          <w:lang w:eastAsia="es-DO"/>
        </w:rPr>
        <w:drawing>
          <wp:inline distT="0" distB="0" distL="0" distR="0" wp14:anchorId="191BCD1B" wp14:editId="181FA80E">
            <wp:extent cx="5029200" cy="3724910"/>
            <wp:effectExtent l="0" t="0" r="0" b="8890"/>
            <wp:docPr id="189" name="Gráfico 1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1B012D81" w14:textId="77777777" w:rsidR="00A57704" w:rsidRDefault="00A57704" w:rsidP="002A3125">
      <w:pPr>
        <w:spacing w:after="0" w:line="480" w:lineRule="auto"/>
        <w:rPr>
          <w:rFonts w:ascii="Times New Roman" w:hAnsi="Times New Roman"/>
          <w:lang w:val="es-ES_tradnl"/>
        </w:rPr>
      </w:pPr>
    </w:p>
    <w:p w14:paraId="39B4A897" w14:textId="698F4C96" w:rsidR="00530E9A" w:rsidRPr="0098414F" w:rsidRDefault="00646828" w:rsidP="00CA5792">
      <w:pPr>
        <w:pStyle w:val="Ttulo3"/>
      </w:pPr>
      <w:bookmarkStart w:id="474" w:name="_Toc251777868"/>
      <w:bookmarkStart w:id="475" w:name="_Toc254413088"/>
      <w:bookmarkStart w:id="476" w:name="_Toc409040088"/>
      <w:bookmarkStart w:id="477" w:name="_Toc440036739"/>
      <w:bookmarkStart w:id="478" w:name="_Toc470523393"/>
      <w:bookmarkStart w:id="479" w:name="_Toc26292112"/>
      <w:bookmarkStart w:id="480" w:name="_Toc27146853"/>
      <w:r>
        <w:t>Gestión de la t</w:t>
      </w:r>
      <w:r w:rsidR="00530E9A" w:rsidRPr="0098414F">
        <w:t>ransparencia</w:t>
      </w:r>
      <w:bookmarkEnd w:id="474"/>
      <w:bookmarkEnd w:id="475"/>
      <w:bookmarkEnd w:id="476"/>
      <w:bookmarkEnd w:id="477"/>
      <w:r>
        <w:t xml:space="preserve"> e i</w:t>
      </w:r>
      <w:r w:rsidR="00265D7E" w:rsidRPr="0098414F">
        <w:t xml:space="preserve">ntegración </w:t>
      </w:r>
      <w:bookmarkEnd w:id="478"/>
      <w:bookmarkEnd w:id="479"/>
      <w:r w:rsidR="001D0673">
        <w:t xml:space="preserve">con </w:t>
      </w:r>
      <w:r>
        <w:t>otros indicadores</w:t>
      </w:r>
      <w:bookmarkEnd w:id="480"/>
    </w:p>
    <w:p w14:paraId="7F87A196" w14:textId="77777777" w:rsidR="00650E03" w:rsidRDefault="00650E03" w:rsidP="00650E03">
      <w:pPr>
        <w:spacing w:after="0" w:line="480" w:lineRule="auto"/>
        <w:ind w:firstLine="720"/>
        <w:contextualSpacing/>
        <w:jc w:val="both"/>
        <w:rPr>
          <w:rFonts w:ascii="Times New Roman" w:hAnsi="Times New Roman"/>
          <w:lang w:val="es-ES"/>
        </w:rPr>
      </w:pPr>
      <w:bookmarkStart w:id="481" w:name="_Toc440036740"/>
      <w:bookmarkStart w:id="482" w:name="_Toc409040089"/>
    </w:p>
    <w:p w14:paraId="62B478E1" w14:textId="1DFCA4EB" w:rsidR="00134D1D" w:rsidRDefault="00650E03" w:rsidP="00650E03">
      <w:pPr>
        <w:spacing w:after="0" w:line="480" w:lineRule="auto"/>
        <w:ind w:firstLine="720"/>
        <w:contextualSpacing/>
        <w:jc w:val="both"/>
        <w:rPr>
          <w:rFonts w:ascii="Times New Roman" w:hAnsi="Times New Roman"/>
          <w:lang w:val="es-ES"/>
        </w:rPr>
      </w:pPr>
      <w:r w:rsidRPr="0093100D">
        <w:rPr>
          <w:rFonts w:ascii="Times New Roman" w:hAnsi="Times New Roman"/>
          <w:lang w:val="es-ES"/>
        </w:rPr>
        <w:t>La Oficina de Libre Acceso a la Información Pública del Ministerio de Agricultura fue creada para dar cumplimiento a la Ley No. 200-04 de Libre Acceso a la Información Pública y al Decreto No. 130-05 que aprueba el Reglamento de dicha ley, teniendo como función principal realizar las gestiones necesarias para satisfacer las solicitudes de información que son tramitadas por los ciudadanos a través de los diferentes canal</w:t>
      </w:r>
      <w:r w:rsidR="008A22B8" w:rsidRPr="0093100D">
        <w:rPr>
          <w:rFonts w:ascii="Times New Roman" w:hAnsi="Times New Roman"/>
          <w:lang w:val="es-ES"/>
        </w:rPr>
        <w:t>es disponibles para tales fines</w:t>
      </w:r>
      <w:r w:rsidRPr="0093100D">
        <w:rPr>
          <w:rFonts w:ascii="Times New Roman" w:hAnsi="Times New Roman"/>
          <w:lang w:val="es-ES"/>
        </w:rPr>
        <w:t xml:space="preserve"> (Portal Único de Solicitud de Acceso a la Información Pública (SAIP), personal, correo electrónico y cartas), así como impulsar la actualización permanente de las informaciones </w:t>
      </w:r>
      <w:r w:rsidRPr="0093100D">
        <w:rPr>
          <w:rFonts w:ascii="Times New Roman" w:hAnsi="Times New Roman"/>
          <w:lang w:val="es-ES"/>
        </w:rPr>
        <w:lastRenderedPageBreak/>
        <w:t xml:space="preserve">requeridas por la Ley </w:t>
      </w:r>
      <w:r w:rsidR="008A22B8" w:rsidRPr="0093100D">
        <w:rPr>
          <w:rFonts w:ascii="Times New Roman" w:hAnsi="Times New Roman"/>
          <w:lang w:val="es-ES"/>
        </w:rPr>
        <w:t xml:space="preserve">no. </w:t>
      </w:r>
      <w:r w:rsidRPr="0093100D">
        <w:rPr>
          <w:rFonts w:ascii="Times New Roman" w:hAnsi="Times New Roman"/>
          <w:lang w:val="es-ES"/>
        </w:rPr>
        <w:t>200-04 y la publicación oportuna de las mismas en el Portal de Transparencia de la institución.</w:t>
      </w:r>
    </w:p>
    <w:p w14:paraId="473E1E3A" w14:textId="77777777" w:rsidR="00650E03" w:rsidRPr="00650E03" w:rsidRDefault="00650E03" w:rsidP="00650E03">
      <w:pPr>
        <w:spacing w:after="0" w:line="480" w:lineRule="auto"/>
        <w:ind w:firstLine="720"/>
        <w:contextualSpacing/>
        <w:jc w:val="both"/>
        <w:rPr>
          <w:rFonts w:ascii="Times New Roman" w:hAnsi="Times New Roman"/>
          <w:lang w:val="es-ES"/>
        </w:rPr>
      </w:pPr>
    </w:p>
    <w:p w14:paraId="408E2947" w14:textId="633896E1" w:rsidR="00134D1D" w:rsidRPr="0098414F" w:rsidRDefault="00134D1D" w:rsidP="00CA5792">
      <w:pPr>
        <w:pStyle w:val="Ttulo4"/>
      </w:pPr>
      <w:bookmarkStart w:id="483" w:name="_Toc470523394"/>
      <w:bookmarkStart w:id="484" w:name="_Toc26292113"/>
      <w:bookmarkStart w:id="485" w:name="_Toc27146854"/>
      <w:r w:rsidRPr="0098414F">
        <w:t xml:space="preserve">Portal de </w:t>
      </w:r>
      <w:r w:rsidR="00843959" w:rsidRPr="0098414F">
        <w:t>t</w:t>
      </w:r>
      <w:r w:rsidRPr="0098414F">
        <w:t>ransparencia</w:t>
      </w:r>
      <w:bookmarkEnd w:id="483"/>
      <w:bookmarkEnd w:id="484"/>
      <w:bookmarkEnd w:id="485"/>
    </w:p>
    <w:p w14:paraId="173B7CD7" w14:textId="77777777" w:rsidR="00A57704" w:rsidRDefault="00A57704" w:rsidP="00FA7E74">
      <w:pPr>
        <w:spacing w:after="0" w:line="480" w:lineRule="auto"/>
        <w:ind w:firstLine="720"/>
        <w:contextualSpacing/>
        <w:jc w:val="both"/>
        <w:rPr>
          <w:rFonts w:ascii="Times New Roman" w:hAnsi="Times New Roman"/>
          <w:lang w:val="es-ES"/>
        </w:rPr>
      </w:pPr>
    </w:p>
    <w:p w14:paraId="2A77CE84" w14:textId="384C8FCE" w:rsidR="00314390" w:rsidRDefault="00833E00" w:rsidP="00FA7E74">
      <w:pPr>
        <w:spacing w:after="0" w:line="480" w:lineRule="auto"/>
        <w:ind w:firstLine="720"/>
        <w:contextualSpacing/>
        <w:jc w:val="both"/>
        <w:rPr>
          <w:rFonts w:ascii="Times New Roman" w:hAnsi="Times New Roman"/>
          <w:lang w:val="es-ES"/>
        </w:rPr>
      </w:pPr>
      <w:r w:rsidRPr="0093100D">
        <w:rPr>
          <w:rFonts w:ascii="Times New Roman" w:hAnsi="Times New Roman"/>
          <w:lang w:val="es-ES"/>
        </w:rPr>
        <w:t>La Dirección General de Ética e Integridad Gubernamental (DIGEIG), órgano rector en materia de ética, transparencia, gobierno abierto, lucha contra la corrupción, conflicto de interés y libre acceso a la información, en el ámbito administrativo gubernamental, emitió la Resolución No. 1/2018 en fecha 29 de junio de 2018, en la que modifica la estructura de los sub portales de transparencia de los Portales gubernamentales, estableciendo un estándar de contenidos y ordenamiento de las informaciones que deben ser provistas por la administración centralizada y descentralizada, con la finalidad de transparentar las actividades ejecutadas en las instituciones.</w:t>
      </w:r>
    </w:p>
    <w:p w14:paraId="603108D0" w14:textId="77777777" w:rsidR="00A57704" w:rsidRDefault="00A57704" w:rsidP="00FA7E74">
      <w:pPr>
        <w:spacing w:after="0" w:line="480" w:lineRule="auto"/>
        <w:ind w:firstLine="720"/>
        <w:contextualSpacing/>
        <w:jc w:val="both"/>
        <w:rPr>
          <w:rFonts w:ascii="Times New Roman" w:hAnsi="Times New Roman"/>
          <w:lang w:val="es-ES"/>
        </w:rPr>
      </w:pPr>
    </w:p>
    <w:p w14:paraId="491B6F0D" w14:textId="6274BFEA" w:rsidR="0087689D" w:rsidRDefault="00833E00" w:rsidP="00FA7E74">
      <w:pPr>
        <w:spacing w:after="0" w:line="480" w:lineRule="auto"/>
        <w:ind w:firstLine="720"/>
        <w:contextualSpacing/>
        <w:jc w:val="both"/>
        <w:rPr>
          <w:rFonts w:ascii="Times New Roman" w:hAnsi="Times New Roman"/>
          <w:lang w:val="es-ES"/>
        </w:rPr>
      </w:pPr>
      <w:r w:rsidRPr="0093100D">
        <w:rPr>
          <w:rFonts w:ascii="Times New Roman" w:hAnsi="Times New Roman"/>
          <w:lang w:val="es-ES"/>
        </w:rPr>
        <w:t>En el mes de mayo de este año, la DIGEIG realizó una modificación en la ponderación de la puntuación que se otorga a cada sección del Portal de Transparencia con el objetivo de fortalecer el uso y la adecuada gestión del Portal Único de Solicitudes de Acceso a la Información Pública (SAIP) por los Responsables de Acceso a la Información (RAI). La puntuación de la gestión del SAIP fue modificada de 6 puntos a 15 puntos, representando está sola sección el 15% del Indi</w:t>
      </w:r>
      <w:r w:rsidR="0093100D" w:rsidRPr="0093100D">
        <w:rPr>
          <w:rFonts w:ascii="Times New Roman" w:hAnsi="Times New Roman"/>
          <w:lang w:val="es-ES"/>
        </w:rPr>
        <w:t xml:space="preserve">cador Cumplimiento Ley 200-04, </w:t>
      </w:r>
      <w:r w:rsidRPr="0093100D">
        <w:rPr>
          <w:rFonts w:ascii="Times New Roman" w:hAnsi="Times New Roman"/>
          <w:lang w:val="es-ES"/>
        </w:rPr>
        <w:t>del Sistema de Medición y Monitoreo de la Gestión Pública (SMMGP).</w:t>
      </w:r>
    </w:p>
    <w:p w14:paraId="43FDE139" w14:textId="753D3993" w:rsidR="00833E00" w:rsidRPr="00E47FB2" w:rsidRDefault="00833E00" w:rsidP="00FA7E74">
      <w:pPr>
        <w:spacing w:after="0" w:line="480" w:lineRule="auto"/>
        <w:ind w:firstLine="720"/>
        <w:contextualSpacing/>
        <w:jc w:val="both"/>
        <w:rPr>
          <w:rFonts w:ascii="Times New Roman" w:hAnsi="Times New Roman"/>
          <w:lang w:val="es-ES"/>
        </w:rPr>
      </w:pPr>
      <w:r w:rsidRPr="0093100D">
        <w:rPr>
          <w:rFonts w:ascii="Times New Roman" w:hAnsi="Times New Roman"/>
          <w:lang w:val="es-ES"/>
        </w:rPr>
        <w:lastRenderedPageBreak/>
        <w:t>El Ministerio de Agricultura, desde el año 2013, ha ofrecido un servicio permanente de información veraz y oportuna a través del Portal de Transparencia, dando cumplimiento a la Ley No. 200-04 y a la Resolución No. 1/2018 en fecha 29 de junio de 2018, en la que modifica la estructura de los sub portales de</w:t>
      </w:r>
      <w:r w:rsidRPr="00E47FB2">
        <w:rPr>
          <w:rFonts w:ascii="Times New Roman" w:hAnsi="Times New Roman"/>
          <w:lang w:val="es-ES"/>
        </w:rPr>
        <w:t xml:space="preserve"> transparencia de los Portales gubernamentales, estableciendo un estándar de contenidos y ordenamiento de las informaciones que deben ser provistas por la administración centralizada y descentralizada, con la finalidad de transparentar las actividades ejecutadas en las instituciones.</w:t>
      </w:r>
    </w:p>
    <w:p w14:paraId="281F0257" w14:textId="77777777" w:rsidR="00833E00" w:rsidRPr="00E47FB2" w:rsidRDefault="00833E00" w:rsidP="00FA7E74">
      <w:pPr>
        <w:spacing w:after="0" w:line="480" w:lineRule="auto"/>
        <w:ind w:firstLine="720"/>
        <w:contextualSpacing/>
        <w:jc w:val="both"/>
        <w:rPr>
          <w:rFonts w:ascii="Times New Roman" w:hAnsi="Times New Roman"/>
          <w:lang w:val="es-ES"/>
        </w:rPr>
      </w:pPr>
    </w:p>
    <w:p w14:paraId="3C801765" w14:textId="77777777" w:rsidR="00314390" w:rsidRPr="00E47FB2" w:rsidRDefault="00FA7E74" w:rsidP="00FA7E74">
      <w:pPr>
        <w:spacing w:after="0" w:line="480" w:lineRule="auto"/>
        <w:ind w:firstLine="720"/>
        <w:contextualSpacing/>
        <w:jc w:val="both"/>
        <w:rPr>
          <w:rFonts w:ascii="Times New Roman" w:hAnsi="Times New Roman"/>
          <w:lang w:val="es-ES"/>
        </w:rPr>
      </w:pPr>
      <w:r w:rsidRPr="00E47FB2">
        <w:rPr>
          <w:rFonts w:ascii="Times New Roman" w:hAnsi="Times New Roman"/>
          <w:lang w:val="es-ES"/>
        </w:rPr>
        <w:t xml:space="preserve">La emisión de la Resolución 1/2018 ha fortalecido el Indicador Cumplimiento de la Ley </w:t>
      </w:r>
      <w:r w:rsidR="0087689D" w:rsidRPr="00E47FB2">
        <w:rPr>
          <w:rFonts w:ascii="Times New Roman" w:hAnsi="Times New Roman"/>
          <w:lang w:val="es-ES"/>
        </w:rPr>
        <w:t xml:space="preserve">no. </w:t>
      </w:r>
      <w:r w:rsidRPr="00E47FB2">
        <w:rPr>
          <w:rFonts w:ascii="Times New Roman" w:hAnsi="Times New Roman"/>
          <w:lang w:val="es-ES"/>
        </w:rPr>
        <w:t>200-04 del Sistema de Medición y Monitoreo de la Gestión Pública (SMMGP) mediante la inclusión de nuevos sub indicadores de medic</w:t>
      </w:r>
      <w:r w:rsidR="003D2826" w:rsidRPr="00E47FB2">
        <w:rPr>
          <w:rFonts w:ascii="Times New Roman" w:hAnsi="Times New Roman"/>
          <w:lang w:val="es-ES"/>
        </w:rPr>
        <w:t xml:space="preserve">ión como son: </w:t>
      </w:r>
    </w:p>
    <w:p w14:paraId="229AC265" w14:textId="77777777" w:rsidR="002A3125" w:rsidRPr="00E47FB2" w:rsidRDefault="002A3125" w:rsidP="00FA7E74">
      <w:pPr>
        <w:spacing w:after="0" w:line="480" w:lineRule="auto"/>
        <w:ind w:firstLine="720"/>
        <w:contextualSpacing/>
        <w:jc w:val="both"/>
        <w:rPr>
          <w:rFonts w:ascii="Times New Roman" w:hAnsi="Times New Roman"/>
          <w:lang w:val="es-ES"/>
        </w:rPr>
      </w:pPr>
    </w:p>
    <w:p w14:paraId="190E5715" w14:textId="77777777" w:rsidR="00314390" w:rsidRPr="00E47FB2" w:rsidRDefault="003D2826" w:rsidP="001C6B1A">
      <w:pPr>
        <w:pStyle w:val="Prrafodelista"/>
        <w:numPr>
          <w:ilvl w:val="0"/>
          <w:numId w:val="22"/>
        </w:numPr>
        <w:spacing w:after="0" w:line="480" w:lineRule="auto"/>
        <w:jc w:val="both"/>
        <w:rPr>
          <w:rFonts w:ascii="Times New Roman" w:hAnsi="Times New Roman"/>
          <w:sz w:val="24"/>
          <w:lang w:val="es-ES"/>
        </w:rPr>
      </w:pPr>
      <w:r w:rsidRPr="00E47FB2">
        <w:rPr>
          <w:rFonts w:ascii="Times New Roman" w:hAnsi="Times New Roman"/>
          <w:sz w:val="24"/>
          <w:lang w:val="es-ES"/>
        </w:rPr>
        <w:t>el uso del Portal</w:t>
      </w:r>
      <w:r w:rsidR="00FA7E74" w:rsidRPr="00E47FB2">
        <w:rPr>
          <w:rFonts w:ascii="Times New Roman" w:hAnsi="Times New Roman"/>
          <w:sz w:val="24"/>
          <w:lang w:val="es-ES"/>
        </w:rPr>
        <w:t xml:space="preserve"> Único de Solicitudes de Acceso a la Información Pública (SAIP), </w:t>
      </w:r>
    </w:p>
    <w:p w14:paraId="562F8EDA" w14:textId="4A2F30F4" w:rsidR="00314390" w:rsidRPr="00E47FB2" w:rsidRDefault="00FA7E74" w:rsidP="001C6B1A">
      <w:pPr>
        <w:pStyle w:val="Prrafodelista"/>
        <w:numPr>
          <w:ilvl w:val="0"/>
          <w:numId w:val="22"/>
        </w:numPr>
        <w:spacing w:after="0" w:line="480" w:lineRule="auto"/>
        <w:jc w:val="both"/>
        <w:rPr>
          <w:rFonts w:ascii="Times New Roman" w:hAnsi="Times New Roman"/>
          <w:sz w:val="24"/>
          <w:lang w:val="es-ES"/>
        </w:rPr>
      </w:pPr>
      <w:r w:rsidRPr="00E47FB2">
        <w:rPr>
          <w:rFonts w:ascii="Times New Roman" w:hAnsi="Times New Roman"/>
          <w:sz w:val="24"/>
          <w:lang w:val="es-ES"/>
        </w:rPr>
        <w:t xml:space="preserve">la publicación de </w:t>
      </w:r>
      <w:r w:rsidR="00460B35" w:rsidRPr="00E47FB2">
        <w:rPr>
          <w:rFonts w:ascii="Times New Roman" w:hAnsi="Times New Roman"/>
          <w:sz w:val="24"/>
          <w:lang w:val="es-ES"/>
        </w:rPr>
        <w:t xml:space="preserve">los datos abiertos </w:t>
      </w:r>
      <w:r w:rsidRPr="00E47FB2">
        <w:rPr>
          <w:rFonts w:ascii="Times New Roman" w:hAnsi="Times New Roman"/>
          <w:sz w:val="24"/>
          <w:lang w:val="es-ES"/>
        </w:rPr>
        <w:t xml:space="preserve">y el seguimiento a las ejecutorias de las Comisiones de Ética Pública (CEP) </w:t>
      </w:r>
    </w:p>
    <w:p w14:paraId="7988334F" w14:textId="77777777" w:rsidR="00314390" w:rsidRPr="00E47FB2" w:rsidRDefault="00314390" w:rsidP="001C6B1A">
      <w:pPr>
        <w:pStyle w:val="Prrafodelista"/>
        <w:numPr>
          <w:ilvl w:val="0"/>
          <w:numId w:val="22"/>
        </w:numPr>
        <w:spacing w:after="0" w:line="480" w:lineRule="auto"/>
        <w:jc w:val="both"/>
        <w:rPr>
          <w:rFonts w:ascii="Times New Roman" w:hAnsi="Times New Roman"/>
          <w:sz w:val="24"/>
          <w:lang w:val="es-ES"/>
        </w:rPr>
      </w:pPr>
      <w:r w:rsidRPr="00E47FB2">
        <w:rPr>
          <w:rFonts w:ascii="Times New Roman" w:hAnsi="Times New Roman"/>
          <w:sz w:val="24"/>
          <w:lang w:val="es-ES"/>
        </w:rPr>
        <w:t>fortalecimiento de la medición del</w:t>
      </w:r>
      <w:r w:rsidR="00FA7E74" w:rsidRPr="00E47FB2">
        <w:rPr>
          <w:rFonts w:ascii="Times New Roman" w:hAnsi="Times New Roman"/>
          <w:sz w:val="24"/>
          <w:lang w:val="es-ES"/>
        </w:rPr>
        <w:t xml:space="preserve"> sub indica</w:t>
      </w:r>
      <w:r w:rsidRPr="00E47FB2">
        <w:rPr>
          <w:rFonts w:ascii="Times New Roman" w:hAnsi="Times New Roman"/>
          <w:sz w:val="24"/>
          <w:lang w:val="es-ES"/>
        </w:rPr>
        <w:t>dor</w:t>
      </w:r>
      <w:r w:rsidR="00FA7E74" w:rsidRPr="00E47FB2">
        <w:rPr>
          <w:rFonts w:ascii="Times New Roman" w:hAnsi="Times New Roman"/>
          <w:sz w:val="24"/>
          <w:lang w:val="es-ES"/>
        </w:rPr>
        <w:t xml:space="preserve"> </w:t>
      </w:r>
      <w:r w:rsidRPr="00E47FB2">
        <w:rPr>
          <w:rFonts w:ascii="Times New Roman" w:hAnsi="Times New Roman"/>
          <w:sz w:val="24"/>
          <w:lang w:val="es-ES"/>
        </w:rPr>
        <w:t>de</w:t>
      </w:r>
      <w:r w:rsidR="00FA7E74" w:rsidRPr="00E47FB2">
        <w:rPr>
          <w:rFonts w:ascii="Times New Roman" w:hAnsi="Times New Roman"/>
          <w:sz w:val="24"/>
          <w:lang w:val="es-ES"/>
        </w:rPr>
        <w:t xml:space="preserve"> compra y contrataciones, </w:t>
      </w:r>
    </w:p>
    <w:p w14:paraId="79255009" w14:textId="77777777" w:rsidR="00FA7E74" w:rsidRPr="00E47FB2" w:rsidRDefault="00314390" w:rsidP="001C6B1A">
      <w:pPr>
        <w:pStyle w:val="Prrafodelista"/>
        <w:numPr>
          <w:ilvl w:val="0"/>
          <w:numId w:val="22"/>
        </w:numPr>
        <w:spacing w:after="0" w:line="480" w:lineRule="auto"/>
        <w:jc w:val="both"/>
        <w:rPr>
          <w:rFonts w:ascii="Times New Roman" w:hAnsi="Times New Roman"/>
          <w:sz w:val="24"/>
          <w:lang w:val="es-ES"/>
        </w:rPr>
      </w:pPr>
      <w:r w:rsidRPr="00E47FB2">
        <w:rPr>
          <w:rFonts w:ascii="Times New Roman" w:hAnsi="Times New Roman"/>
          <w:sz w:val="24"/>
          <w:lang w:val="es-ES"/>
        </w:rPr>
        <w:t xml:space="preserve">fortalecimiento de la medición del sub indicador </w:t>
      </w:r>
      <w:r w:rsidR="00FA7E74" w:rsidRPr="00E47FB2">
        <w:rPr>
          <w:rFonts w:ascii="Times New Roman" w:hAnsi="Times New Roman"/>
          <w:sz w:val="24"/>
          <w:lang w:val="es-ES"/>
        </w:rPr>
        <w:t>de ejecución presupuestaria y los beneficiarios de programas asistenciales.</w:t>
      </w:r>
    </w:p>
    <w:p w14:paraId="277C70AB" w14:textId="77777777" w:rsidR="0087689D" w:rsidRPr="00E47FB2" w:rsidRDefault="0087689D" w:rsidP="00FA7E74">
      <w:pPr>
        <w:spacing w:after="0" w:line="480" w:lineRule="auto"/>
        <w:ind w:firstLine="720"/>
        <w:contextualSpacing/>
        <w:jc w:val="both"/>
        <w:rPr>
          <w:rFonts w:ascii="Times New Roman" w:hAnsi="Times New Roman"/>
          <w:lang w:val="es-ES"/>
        </w:rPr>
      </w:pPr>
    </w:p>
    <w:p w14:paraId="6BFB0C49" w14:textId="77777777" w:rsidR="00FA7E74" w:rsidRPr="00E47FB2" w:rsidRDefault="00FA7E74" w:rsidP="00FA7E74">
      <w:pPr>
        <w:spacing w:after="0" w:line="480" w:lineRule="auto"/>
        <w:ind w:firstLine="720"/>
        <w:contextualSpacing/>
        <w:jc w:val="both"/>
        <w:rPr>
          <w:rFonts w:ascii="Times New Roman" w:hAnsi="Times New Roman"/>
          <w:lang w:val="es-ES"/>
        </w:rPr>
      </w:pPr>
      <w:r w:rsidRPr="00E47FB2">
        <w:rPr>
          <w:rFonts w:ascii="Times New Roman" w:hAnsi="Times New Roman"/>
          <w:lang w:val="es-ES"/>
        </w:rPr>
        <w:lastRenderedPageBreak/>
        <w:t xml:space="preserve">Para dar cumplimiento a la Resolución 1/2018, en el mes de julio se llevó a cabo una serie de actividades, con la asistencia del Departamento de Tecnología, para actualizar el sub portal de transparencia del </w:t>
      </w:r>
      <w:r w:rsidR="003D2826" w:rsidRPr="00E47FB2">
        <w:rPr>
          <w:rFonts w:ascii="Times New Roman" w:hAnsi="Times New Roman"/>
          <w:lang w:val="es-ES"/>
        </w:rPr>
        <w:t>M</w:t>
      </w:r>
      <w:r w:rsidRPr="00E47FB2">
        <w:rPr>
          <w:rFonts w:ascii="Times New Roman" w:hAnsi="Times New Roman"/>
          <w:lang w:val="es-ES"/>
        </w:rPr>
        <w:t>inisterio, tanto en su estructura como en el contenido de la información, de acuerdo al nuevo esquema</w:t>
      </w:r>
      <w:r w:rsidR="003D2826" w:rsidRPr="00E47FB2">
        <w:rPr>
          <w:rFonts w:ascii="Times New Roman" w:hAnsi="Times New Roman"/>
          <w:lang w:val="es-ES"/>
        </w:rPr>
        <w:t>, según resolución.</w:t>
      </w:r>
    </w:p>
    <w:p w14:paraId="3805F5B4" w14:textId="77777777" w:rsidR="002A3125" w:rsidRPr="00E47FB2" w:rsidRDefault="002A3125" w:rsidP="00FA7E74">
      <w:pPr>
        <w:spacing w:after="0" w:line="480" w:lineRule="auto"/>
        <w:ind w:firstLine="720"/>
        <w:contextualSpacing/>
        <w:jc w:val="both"/>
        <w:rPr>
          <w:rFonts w:ascii="Times New Roman" w:hAnsi="Times New Roman"/>
          <w:lang w:val="es-ES"/>
        </w:rPr>
      </w:pPr>
    </w:p>
    <w:p w14:paraId="19134741" w14:textId="77777777" w:rsidR="00314390" w:rsidRPr="00E47FB2" w:rsidRDefault="00FA7E74" w:rsidP="00DE0839">
      <w:pPr>
        <w:spacing w:after="0" w:line="480" w:lineRule="auto"/>
        <w:ind w:firstLine="720"/>
        <w:contextualSpacing/>
        <w:jc w:val="both"/>
        <w:rPr>
          <w:rFonts w:ascii="Times New Roman" w:hAnsi="Times New Roman"/>
          <w:lang w:val="es-ES"/>
        </w:rPr>
      </w:pPr>
      <w:r w:rsidRPr="00E47FB2">
        <w:rPr>
          <w:rFonts w:ascii="Times New Roman" w:hAnsi="Times New Roman"/>
          <w:lang w:val="es-ES"/>
        </w:rPr>
        <w:t xml:space="preserve">Es oportuno señalar que en el Sistema de Medición y Monitoreo de la Gestión Pública (SMMGP), se ha creado el nuevo macro indicador de Transparencia Gubernamental, que además del Indicador Cumplimiento de Ley </w:t>
      </w:r>
      <w:r w:rsidR="0087689D" w:rsidRPr="00E47FB2">
        <w:rPr>
          <w:rFonts w:ascii="Times New Roman" w:hAnsi="Times New Roman"/>
          <w:lang w:val="es-ES"/>
        </w:rPr>
        <w:t xml:space="preserve">no. </w:t>
      </w:r>
      <w:r w:rsidRPr="00E47FB2">
        <w:rPr>
          <w:rFonts w:ascii="Times New Roman" w:hAnsi="Times New Roman"/>
          <w:lang w:val="es-ES"/>
        </w:rPr>
        <w:t xml:space="preserve">200-04, está conformado por otros sub indicadores que son: </w:t>
      </w:r>
    </w:p>
    <w:p w14:paraId="04253624" w14:textId="77777777" w:rsidR="002A3125" w:rsidRPr="00E47FB2" w:rsidRDefault="002A3125" w:rsidP="00DE0839">
      <w:pPr>
        <w:spacing w:after="0" w:line="480" w:lineRule="auto"/>
        <w:ind w:firstLine="720"/>
        <w:contextualSpacing/>
        <w:jc w:val="both"/>
        <w:rPr>
          <w:rFonts w:ascii="Times New Roman" w:hAnsi="Times New Roman"/>
          <w:lang w:val="es-ES"/>
        </w:rPr>
      </w:pPr>
    </w:p>
    <w:p w14:paraId="13A15079" w14:textId="77777777" w:rsidR="00314390" w:rsidRPr="00E47FB2" w:rsidRDefault="00FA7E74" w:rsidP="001C6B1A">
      <w:pPr>
        <w:pStyle w:val="Prrafodelista"/>
        <w:numPr>
          <w:ilvl w:val="0"/>
          <w:numId w:val="27"/>
        </w:numPr>
        <w:spacing w:after="0" w:line="480" w:lineRule="auto"/>
        <w:jc w:val="both"/>
        <w:rPr>
          <w:rFonts w:ascii="Times New Roman" w:hAnsi="Times New Roman"/>
          <w:sz w:val="24"/>
        </w:rPr>
      </w:pPr>
      <w:r w:rsidRPr="00E47FB2">
        <w:rPr>
          <w:rFonts w:ascii="Times New Roman" w:hAnsi="Times New Roman"/>
          <w:sz w:val="24"/>
          <w:lang w:val="es-ES"/>
        </w:rPr>
        <w:t>Uso del Sistem</w:t>
      </w:r>
      <w:r w:rsidR="00A04943" w:rsidRPr="00E47FB2">
        <w:rPr>
          <w:rFonts w:ascii="Times New Roman" w:hAnsi="Times New Roman"/>
          <w:sz w:val="24"/>
          <w:lang w:val="es-ES"/>
        </w:rPr>
        <w:t>a Nacional de Compras Públicas</w:t>
      </w:r>
    </w:p>
    <w:p w14:paraId="2E98ECDA" w14:textId="77777777" w:rsidR="00A04943" w:rsidRPr="00E47FB2" w:rsidRDefault="00A04943" w:rsidP="001C6B1A">
      <w:pPr>
        <w:pStyle w:val="Prrafodelista"/>
        <w:numPr>
          <w:ilvl w:val="0"/>
          <w:numId w:val="27"/>
        </w:numPr>
        <w:spacing w:after="0" w:line="480" w:lineRule="auto"/>
        <w:jc w:val="both"/>
        <w:rPr>
          <w:rFonts w:ascii="Times New Roman" w:hAnsi="Times New Roman"/>
          <w:sz w:val="24"/>
        </w:rPr>
      </w:pPr>
      <w:r w:rsidRPr="00E47FB2">
        <w:rPr>
          <w:rFonts w:ascii="Times New Roman" w:hAnsi="Times New Roman"/>
          <w:sz w:val="24"/>
          <w:lang w:val="es-ES"/>
        </w:rPr>
        <w:t>Transparencia Presupuestaria.</w:t>
      </w:r>
    </w:p>
    <w:p w14:paraId="3BC33832" w14:textId="77777777" w:rsidR="00314390" w:rsidRPr="00E47FB2" w:rsidRDefault="00A04943" w:rsidP="001C6B1A">
      <w:pPr>
        <w:pStyle w:val="Prrafodelista"/>
        <w:numPr>
          <w:ilvl w:val="0"/>
          <w:numId w:val="27"/>
        </w:numPr>
        <w:spacing w:after="0" w:line="480" w:lineRule="auto"/>
        <w:jc w:val="both"/>
        <w:rPr>
          <w:rFonts w:ascii="Times New Roman" w:hAnsi="Times New Roman"/>
          <w:sz w:val="24"/>
        </w:rPr>
      </w:pPr>
      <w:r w:rsidRPr="00E47FB2">
        <w:rPr>
          <w:rFonts w:ascii="Times New Roman" w:hAnsi="Times New Roman"/>
          <w:sz w:val="24"/>
          <w:lang w:val="es-ES"/>
        </w:rPr>
        <w:t xml:space="preserve">Indicador de Gestión Presupuestaria y </w:t>
      </w:r>
      <w:r w:rsidR="00FA7E74" w:rsidRPr="00E47FB2">
        <w:rPr>
          <w:rFonts w:ascii="Times New Roman" w:hAnsi="Times New Roman"/>
          <w:sz w:val="24"/>
          <w:lang w:val="es-ES"/>
        </w:rPr>
        <w:t>Bene</w:t>
      </w:r>
      <w:r w:rsidRPr="00E47FB2">
        <w:rPr>
          <w:rFonts w:ascii="Times New Roman" w:hAnsi="Times New Roman"/>
          <w:sz w:val="24"/>
          <w:lang w:val="es-ES"/>
        </w:rPr>
        <w:t>ficiarios de Asistencia Social.</w:t>
      </w:r>
    </w:p>
    <w:p w14:paraId="4B4F9734" w14:textId="77777777" w:rsidR="00494721" w:rsidRPr="00E47FB2" w:rsidRDefault="00A04943" w:rsidP="001C6B1A">
      <w:pPr>
        <w:pStyle w:val="Prrafodelista"/>
        <w:numPr>
          <w:ilvl w:val="0"/>
          <w:numId w:val="27"/>
        </w:numPr>
        <w:spacing w:after="0" w:line="480" w:lineRule="auto"/>
        <w:jc w:val="both"/>
        <w:rPr>
          <w:rFonts w:ascii="Times New Roman" w:hAnsi="Times New Roman"/>
          <w:sz w:val="24"/>
        </w:rPr>
      </w:pPr>
      <w:r w:rsidRPr="00E47FB2">
        <w:rPr>
          <w:rFonts w:ascii="Times New Roman" w:hAnsi="Times New Roman"/>
          <w:sz w:val="24"/>
          <w:lang w:val="es-ES"/>
        </w:rPr>
        <w:t xml:space="preserve">ITICge: </w:t>
      </w:r>
      <w:r w:rsidR="00FA7E74" w:rsidRPr="00E47FB2">
        <w:rPr>
          <w:rFonts w:ascii="Times New Roman" w:hAnsi="Times New Roman"/>
          <w:sz w:val="24"/>
          <w:lang w:val="es-ES"/>
        </w:rPr>
        <w:t>Gobierno Abierto y</w:t>
      </w:r>
      <w:r w:rsidR="003D2826" w:rsidRPr="00E47FB2">
        <w:rPr>
          <w:rFonts w:ascii="Times New Roman" w:hAnsi="Times New Roman"/>
          <w:sz w:val="24"/>
          <w:lang w:val="es-ES"/>
        </w:rPr>
        <w:t xml:space="preserve"> E-Participación </w:t>
      </w:r>
      <w:r w:rsidR="002A6423" w:rsidRPr="00E47FB2">
        <w:rPr>
          <w:rFonts w:ascii="Times New Roman" w:hAnsi="Times New Roman"/>
          <w:sz w:val="24"/>
          <w:lang w:val="es-ES"/>
        </w:rPr>
        <w:t>y Desarrollo de E-Servicios</w:t>
      </w:r>
      <w:r w:rsidRPr="00E47FB2">
        <w:rPr>
          <w:rFonts w:ascii="Times New Roman" w:hAnsi="Times New Roman"/>
          <w:sz w:val="24"/>
          <w:lang w:val="es-ES"/>
        </w:rPr>
        <w:t>.</w:t>
      </w:r>
    </w:p>
    <w:p w14:paraId="476872D8" w14:textId="77777777" w:rsidR="009045A1" w:rsidRDefault="009045A1" w:rsidP="00AC0B66">
      <w:pPr>
        <w:spacing w:after="0" w:line="480" w:lineRule="auto"/>
        <w:ind w:firstLine="720"/>
        <w:contextualSpacing/>
        <w:jc w:val="both"/>
        <w:rPr>
          <w:rFonts w:ascii="Times New Roman" w:hAnsi="Times New Roman"/>
          <w:lang w:val="es-ES"/>
        </w:rPr>
      </w:pPr>
    </w:p>
    <w:p w14:paraId="0D0A90DA" w14:textId="77777777" w:rsidR="00EB4D71" w:rsidRPr="00E47FB2" w:rsidRDefault="00EB4D71" w:rsidP="00EB4D71">
      <w:pPr>
        <w:spacing w:after="0" w:line="480" w:lineRule="auto"/>
        <w:ind w:firstLine="720"/>
        <w:contextualSpacing/>
        <w:jc w:val="both"/>
        <w:rPr>
          <w:rFonts w:ascii="Times New Roman" w:hAnsi="Times New Roman"/>
          <w:lang w:val="es-ES"/>
        </w:rPr>
      </w:pPr>
      <w:r w:rsidRPr="00E47FB2">
        <w:rPr>
          <w:rFonts w:ascii="Times New Roman" w:hAnsi="Times New Roman"/>
          <w:lang w:val="es-ES"/>
        </w:rPr>
        <w:t>El Ministerio de Agricultura, desde el año 2013, ha ofrecido un servicio permanente de información veraz y oportuna a través del Portal de Transparencia, dando c</w:t>
      </w:r>
      <w:r w:rsidR="00314390" w:rsidRPr="00E47FB2">
        <w:rPr>
          <w:rFonts w:ascii="Times New Roman" w:hAnsi="Times New Roman"/>
          <w:lang w:val="es-ES"/>
        </w:rPr>
        <w:t xml:space="preserve">umplimiento a la Ley No. 200-04, durante el año en curso desarrollo la implementación de las nuevas adecuaciones para el funcionamiento del portal, </w:t>
      </w:r>
      <w:hyperlink r:id="rId101" w:history="1">
        <w:r w:rsidR="00314390" w:rsidRPr="00E47FB2">
          <w:rPr>
            <w:rStyle w:val="Hipervnculo"/>
            <w:rFonts w:ascii="Times New Roman" w:hAnsi="Times New Roman"/>
          </w:rPr>
          <w:t>http://www.agricultura.gob.do/transparencia</w:t>
        </w:r>
      </w:hyperlink>
      <w:r w:rsidR="00314390" w:rsidRPr="00E47FB2">
        <w:rPr>
          <w:rStyle w:val="Hipervnculo"/>
          <w:rFonts w:ascii="Times New Roman" w:hAnsi="Times New Roman"/>
        </w:rPr>
        <w:t>.</w:t>
      </w:r>
    </w:p>
    <w:p w14:paraId="37DA151E" w14:textId="6AC14515" w:rsidR="00636278" w:rsidRDefault="00636278" w:rsidP="00A57704">
      <w:pPr>
        <w:spacing w:after="0" w:line="480" w:lineRule="auto"/>
        <w:ind w:firstLine="720"/>
        <w:contextualSpacing/>
        <w:jc w:val="both"/>
        <w:rPr>
          <w:rFonts w:ascii="Times New Roman" w:hAnsi="Times New Roman"/>
          <w:lang w:val="es-ES"/>
        </w:rPr>
      </w:pPr>
      <w:r w:rsidRPr="00E47FB2">
        <w:rPr>
          <w:rFonts w:ascii="Times New Roman" w:hAnsi="Times New Roman"/>
          <w:lang w:val="es-ES"/>
        </w:rPr>
        <w:lastRenderedPageBreak/>
        <w:t>La DIGEIG como órgano rector en materia de transparencia, gobierno abierto, lucha contra la corrupción, conflicto de interés, ética e integridad gubernamental y acceso a la información pública, realiza mensualmente una evaluación de los contenidos publicados en los Portales de Transparencia de las instituciones gubernamentales para valorar el cumplimiento de la Ley No. 200-04 y la Resolución No. 1/2018, verificando la publicación de las informaciones en formatos estandarizados, con la calidad requerida y de forma veraz y oportuna.</w:t>
      </w:r>
    </w:p>
    <w:p w14:paraId="542C030E" w14:textId="77777777" w:rsidR="00A57704" w:rsidRDefault="00A57704" w:rsidP="00A57704">
      <w:pPr>
        <w:spacing w:after="0" w:line="480" w:lineRule="auto"/>
        <w:rPr>
          <w:rFonts w:ascii="Times New Roman" w:hAnsi="Times New Roman"/>
          <w:lang w:val="es-ES"/>
        </w:rPr>
      </w:pPr>
    </w:p>
    <w:p w14:paraId="76DEF882" w14:textId="46D5EB2D" w:rsidR="00530E9A" w:rsidRPr="004A4E3A" w:rsidRDefault="00530E9A" w:rsidP="007440C2">
      <w:pPr>
        <w:pStyle w:val="Ttulo1"/>
      </w:pPr>
      <w:bookmarkStart w:id="486" w:name="_Toc251777889"/>
      <w:bookmarkStart w:id="487" w:name="_Toc254413105"/>
      <w:bookmarkStart w:id="488" w:name="_Toc409040102"/>
      <w:bookmarkStart w:id="489" w:name="_Toc440036766"/>
      <w:bookmarkStart w:id="490" w:name="_Toc470523416"/>
      <w:bookmarkStart w:id="491" w:name="_Toc26292132"/>
      <w:bookmarkStart w:id="492" w:name="_Toc27146855"/>
      <w:bookmarkEnd w:id="481"/>
      <w:bookmarkEnd w:id="482"/>
      <w:r w:rsidRPr="004A4E3A">
        <w:t>Proyecciones</w:t>
      </w:r>
      <w:bookmarkEnd w:id="486"/>
      <w:bookmarkEnd w:id="487"/>
      <w:bookmarkEnd w:id="488"/>
      <w:r w:rsidR="00D56F82" w:rsidRPr="004A4E3A">
        <w:t xml:space="preserve"> de planes y </w:t>
      </w:r>
      <w:r w:rsidR="00751C30" w:rsidRPr="004A4E3A">
        <w:t>p</w:t>
      </w:r>
      <w:r w:rsidR="00AA063D" w:rsidRPr="004A4E3A">
        <w:t>rogramas</w:t>
      </w:r>
      <w:r w:rsidR="00E14F5A" w:rsidRPr="004A4E3A">
        <w:t xml:space="preserve"> </w:t>
      </w:r>
      <w:bookmarkEnd w:id="489"/>
      <w:bookmarkEnd w:id="490"/>
      <w:r w:rsidR="00D56F82" w:rsidRPr="004A4E3A">
        <w:t>a corto plazo</w:t>
      </w:r>
      <w:bookmarkEnd w:id="491"/>
      <w:bookmarkEnd w:id="492"/>
    </w:p>
    <w:p w14:paraId="62F09A18" w14:textId="77777777" w:rsidR="0063359A" w:rsidRPr="004A4E3A" w:rsidRDefault="0063359A" w:rsidP="009F62E7">
      <w:pPr>
        <w:spacing w:after="0" w:line="480" w:lineRule="auto"/>
        <w:jc w:val="both"/>
        <w:rPr>
          <w:rFonts w:ascii="Times New Roman" w:hAnsi="Times New Roman"/>
        </w:rPr>
      </w:pPr>
      <w:bookmarkStart w:id="493" w:name="_Toc440036767"/>
      <w:bookmarkStart w:id="494" w:name="_Toc470523417"/>
    </w:p>
    <w:p w14:paraId="4354891F" w14:textId="77777777" w:rsidR="00E14F5A" w:rsidRPr="004A4E3A" w:rsidRDefault="008A062A" w:rsidP="00954002">
      <w:pPr>
        <w:pStyle w:val="Ttulo2"/>
      </w:pPr>
      <w:bookmarkStart w:id="495" w:name="_Toc26292133"/>
      <w:bookmarkStart w:id="496" w:name="_Toc27146856"/>
      <w:r w:rsidRPr="004A4E3A">
        <w:t>a) Proyección de</w:t>
      </w:r>
      <w:r w:rsidR="00E14F5A" w:rsidRPr="004A4E3A">
        <w:t xml:space="preserve"> planes </w:t>
      </w:r>
      <w:r w:rsidRPr="004A4E3A">
        <w:t xml:space="preserve">y programas </w:t>
      </w:r>
      <w:r w:rsidR="00E14F5A" w:rsidRPr="004A4E3A">
        <w:t>hacia el próximo año</w:t>
      </w:r>
      <w:bookmarkEnd w:id="493"/>
      <w:bookmarkEnd w:id="494"/>
      <w:bookmarkEnd w:id="495"/>
      <w:bookmarkEnd w:id="496"/>
    </w:p>
    <w:p w14:paraId="1D1D5483" w14:textId="77777777" w:rsidR="00D21EE6" w:rsidRPr="004A4E3A" w:rsidRDefault="00D21EE6" w:rsidP="00D21EE6">
      <w:pPr>
        <w:spacing w:after="0" w:line="480" w:lineRule="auto"/>
        <w:ind w:firstLine="720"/>
        <w:rPr>
          <w:rFonts w:ascii="Times New Roman" w:hAnsi="Times New Roman"/>
          <w:b/>
          <w:lang w:val="es-ES_tradnl" w:bidi="en-US"/>
        </w:rPr>
      </w:pPr>
    </w:p>
    <w:p w14:paraId="093FEECC" w14:textId="77777777" w:rsidR="00D21EE6" w:rsidRPr="00D56D53" w:rsidRDefault="00D21EE6" w:rsidP="00CA5792">
      <w:pPr>
        <w:pStyle w:val="Ttulo3"/>
      </w:pPr>
      <w:bookmarkStart w:id="497" w:name="_Toc27146857"/>
      <w:r w:rsidRPr="00D56D53">
        <w:t xml:space="preserve">Acciones </w:t>
      </w:r>
      <w:r w:rsidR="00751C30" w:rsidRPr="00D56D53">
        <w:t>c</w:t>
      </w:r>
      <w:r w:rsidRPr="00D56D53">
        <w:t>ontempladas en el Plan Operativo del Sector Agropecuario</w:t>
      </w:r>
      <w:bookmarkEnd w:id="497"/>
    </w:p>
    <w:p w14:paraId="13C38E9C" w14:textId="4BA9E7C4" w:rsidR="0084384D" w:rsidRPr="00E47FB2" w:rsidRDefault="0084384D" w:rsidP="001C6B1A">
      <w:pPr>
        <w:pStyle w:val="Prrafodelista"/>
        <w:numPr>
          <w:ilvl w:val="0"/>
          <w:numId w:val="21"/>
        </w:numPr>
        <w:shd w:val="clear" w:color="auto" w:fill="FFFFFF"/>
        <w:spacing w:after="0" w:line="480" w:lineRule="auto"/>
        <w:jc w:val="both"/>
        <w:rPr>
          <w:rFonts w:ascii="Times New Roman" w:hAnsi="Times New Roman"/>
          <w:color w:val="222222"/>
          <w:sz w:val="24"/>
          <w:szCs w:val="24"/>
          <w:lang w:val="es-ES_tradnl" w:eastAsia="es-DO"/>
        </w:rPr>
      </w:pPr>
      <w:r w:rsidRPr="00E47FB2">
        <w:rPr>
          <w:rFonts w:ascii="Times New Roman" w:hAnsi="Times New Roman"/>
          <w:color w:val="222222"/>
          <w:sz w:val="24"/>
          <w:szCs w:val="24"/>
          <w:lang w:val="es-ES_tradnl" w:eastAsia="es-DO"/>
        </w:rPr>
        <w:t>Fortalecimiento institucional, mejorando la generación de información y la comunicación a través de acceso a la información pública.</w:t>
      </w:r>
    </w:p>
    <w:p w14:paraId="5042A7C0" w14:textId="2E43305E" w:rsidR="0084384D" w:rsidRPr="00E47FB2" w:rsidRDefault="0084384D" w:rsidP="001C6B1A">
      <w:pPr>
        <w:pStyle w:val="Prrafodelista"/>
        <w:numPr>
          <w:ilvl w:val="0"/>
          <w:numId w:val="21"/>
        </w:numPr>
        <w:shd w:val="clear" w:color="auto" w:fill="FFFFFF"/>
        <w:spacing w:after="0" w:line="480" w:lineRule="auto"/>
        <w:jc w:val="both"/>
        <w:rPr>
          <w:rFonts w:ascii="Times New Roman" w:hAnsi="Times New Roman"/>
          <w:color w:val="222222"/>
          <w:sz w:val="24"/>
          <w:szCs w:val="24"/>
          <w:lang w:val="es-ES_tradnl" w:eastAsia="es-DO"/>
        </w:rPr>
      </w:pPr>
      <w:r w:rsidRPr="00E47FB2">
        <w:rPr>
          <w:rFonts w:ascii="Times New Roman" w:hAnsi="Times New Roman"/>
          <w:color w:val="222222"/>
          <w:sz w:val="24"/>
          <w:szCs w:val="24"/>
          <w:lang w:val="es-ES_tradnl" w:eastAsia="es-DO"/>
        </w:rPr>
        <w:t>Impulsar la trasformación del sistema de producción con la implementación de nuevas tecnologías.</w:t>
      </w:r>
    </w:p>
    <w:p w14:paraId="6F58D9A8" w14:textId="77777777" w:rsidR="00D56D53" w:rsidRPr="00291D6E" w:rsidRDefault="00D56D53" w:rsidP="00D56D53">
      <w:pPr>
        <w:pStyle w:val="Prrafodelista"/>
        <w:shd w:val="clear" w:color="auto" w:fill="FFFFFF"/>
        <w:spacing w:after="0" w:line="480" w:lineRule="auto"/>
        <w:jc w:val="both"/>
        <w:rPr>
          <w:rFonts w:ascii="Times New Roman" w:hAnsi="Times New Roman"/>
          <w:color w:val="222222"/>
          <w:sz w:val="24"/>
          <w:szCs w:val="24"/>
          <w:highlight w:val="yellow"/>
          <w:lang w:val="es-ES_tradnl" w:eastAsia="es-DO"/>
        </w:rPr>
      </w:pPr>
    </w:p>
    <w:p w14:paraId="282A499E" w14:textId="40E89E76" w:rsidR="0084384D" w:rsidRPr="00E47FB2" w:rsidRDefault="0084384D" w:rsidP="001C6B1A">
      <w:pPr>
        <w:pStyle w:val="Prrafodelista"/>
        <w:numPr>
          <w:ilvl w:val="0"/>
          <w:numId w:val="21"/>
        </w:numPr>
        <w:shd w:val="clear" w:color="auto" w:fill="FFFFFF"/>
        <w:spacing w:after="0" w:line="480" w:lineRule="auto"/>
        <w:jc w:val="both"/>
        <w:rPr>
          <w:rFonts w:ascii="Times New Roman" w:hAnsi="Times New Roman"/>
          <w:color w:val="222222"/>
          <w:sz w:val="24"/>
          <w:szCs w:val="24"/>
          <w:lang w:val="es-ES_tradnl" w:eastAsia="es-DO"/>
        </w:rPr>
      </w:pPr>
      <w:r w:rsidRPr="00E47FB2">
        <w:rPr>
          <w:rFonts w:ascii="Times New Roman" w:hAnsi="Times New Roman"/>
          <w:color w:val="222222"/>
          <w:sz w:val="24"/>
          <w:szCs w:val="24"/>
          <w:lang w:val="es-ES_tradnl" w:eastAsia="es-DO"/>
        </w:rPr>
        <w:t>Apoyo a la producción de los principales rubros agrícolas tanto para la exportación, como para consumo local.</w:t>
      </w:r>
    </w:p>
    <w:p w14:paraId="0B01B2EE" w14:textId="77777777" w:rsidR="00D56D53" w:rsidRPr="00E47FB2" w:rsidRDefault="00D56D53" w:rsidP="00D56D53">
      <w:pPr>
        <w:pStyle w:val="Prrafodelista"/>
        <w:rPr>
          <w:rFonts w:ascii="Times New Roman" w:hAnsi="Times New Roman"/>
          <w:color w:val="222222"/>
          <w:sz w:val="24"/>
          <w:szCs w:val="24"/>
          <w:lang w:val="es-ES_tradnl" w:eastAsia="es-DO"/>
        </w:rPr>
      </w:pPr>
    </w:p>
    <w:p w14:paraId="7956F635" w14:textId="4AFD75D0" w:rsidR="0084384D" w:rsidRPr="00E47FB2" w:rsidRDefault="0084384D" w:rsidP="001C6B1A">
      <w:pPr>
        <w:pStyle w:val="Prrafodelista"/>
        <w:numPr>
          <w:ilvl w:val="0"/>
          <w:numId w:val="21"/>
        </w:numPr>
        <w:shd w:val="clear" w:color="auto" w:fill="FFFFFF"/>
        <w:spacing w:after="0" w:line="480" w:lineRule="auto"/>
        <w:jc w:val="both"/>
        <w:rPr>
          <w:rFonts w:ascii="Times New Roman" w:hAnsi="Times New Roman"/>
          <w:color w:val="222222"/>
          <w:sz w:val="24"/>
          <w:szCs w:val="24"/>
          <w:lang w:val="es-ES_tradnl" w:eastAsia="es-DO"/>
        </w:rPr>
      </w:pPr>
      <w:r w:rsidRPr="00E47FB2">
        <w:rPr>
          <w:rFonts w:ascii="Times New Roman" w:hAnsi="Times New Roman"/>
          <w:color w:val="222222"/>
          <w:sz w:val="24"/>
          <w:szCs w:val="24"/>
          <w:lang w:val="es-ES_tradnl" w:eastAsia="es-DO"/>
        </w:rPr>
        <w:t>Fomento a las exportaciones con el control cuarentenario de plagas y reducción de las notificaciones de residuos de plaguicidas.</w:t>
      </w:r>
    </w:p>
    <w:p w14:paraId="183037DB" w14:textId="534FF063" w:rsidR="0084384D" w:rsidRPr="00E47FB2" w:rsidRDefault="0084384D" w:rsidP="001C6B1A">
      <w:pPr>
        <w:pStyle w:val="Prrafodelista"/>
        <w:numPr>
          <w:ilvl w:val="0"/>
          <w:numId w:val="21"/>
        </w:numPr>
        <w:shd w:val="clear" w:color="auto" w:fill="FFFFFF"/>
        <w:spacing w:after="0" w:line="480" w:lineRule="auto"/>
        <w:jc w:val="both"/>
        <w:rPr>
          <w:rFonts w:ascii="Times New Roman" w:hAnsi="Times New Roman"/>
          <w:color w:val="222222"/>
          <w:sz w:val="24"/>
          <w:szCs w:val="24"/>
          <w:lang w:val="es-ES_tradnl" w:eastAsia="es-DO"/>
        </w:rPr>
      </w:pPr>
      <w:r w:rsidRPr="00E47FB2">
        <w:rPr>
          <w:rFonts w:ascii="Times New Roman" w:hAnsi="Times New Roman"/>
          <w:color w:val="222222"/>
          <w:sz w:val="24"/>
          <w:szCs w:val="24"/>
          <w:lang w:val="es-ES_tradnl" w:eastAsia="es-DO"/>
        </w:rPr>
        <w:lastRenderedPageBreak/>
        <w:t>Fomento de la pecuaria nacional, con medidas dirigidas al control de la sanidad e inocuidad agroalimentaria, así como las gestiones para la prevención y control de la enfermedad de Newcastle, para alcanzar el estatus sanitario internacional de país libre contra la enfermedad.</w:t>
      </w:r>
    </w:p>
    <w:p w14:paraId="45C8A5E3" w14:textId="77777777" w:rsidR="00D56D53" w:rsidRPr="00E47FB2" w:rsidRDefault="00D56D53" w:rsidP="00D56D53">
      <w:pPr>
        <w:pStyle w:val="Prrafodelista"/>
        <w:rPr>
          <w:rFonts w:ascii="Times New Roman" w:hAnsi="Times New Roman"/>
          <w:color w:val="222222"/>
          <w:sz w:val="24"/>
          <w:szCs w:val="24"/>
          <w:lang w:val="es-ES_tradnl" w:eastAsia="es-DO"/>
        </w:rPr>
      </w:pPr>
    </w:p>
    <w:p w14:paraId="0CDB95EB" w14:textId="04748896" w:rsidR="0084384D" w:rsidRPr="00E47FB2" w:rsidRDefault="0084384D" w:rsidP="001C6B1A">
      <w:pPr>
        <w:pStyle w:val="Prrafodelista"/>
        <w:numPr>
          <w:ilvl w:val="0"/>
          <w:numId w:val="21"/>
        </w:numPr>
        <w:shd w:val="clear" w:color="auto" w:fill="FFFFFF"/>
        <w:spacing w:after="0" w:line="480" w:lineRule="auto"/>
        <w:jc w:val="both"/>
        <w:rPr>
          <w:rFonts w:ascii="Times New Roman" w:hAnsi="Times New Roman"/>
          <w:color w:val="222222"/>
          <w:sz w:val="24"/>
          <w:szCs w:val="24"/>
          <w:lang w:val="es-ES_tradnl" w:eastAsia="es-DO"/>
        </w:rPr>
      </w:pPr>
      <w:r w:rsidRPr="00E47FB2">
        <w:rPr>
          <w:rFonts w:ascii="Times New Roman" w:hAnsi="Times New Roman"/>
          <w:color w:val="222222"/>
          <w:sz w:val="24"/>
          <w:szCs w:val="24"/>
          <w:lang w:val="es-ES_tradnl" w:eastAsia="es-DO"/>
        </w:rPr>
        <w:t>Fortalecimiento del sistema de trazabilidad y saneamiento de fincas bovina mediante identificación de los animales con dispositivos de areteo, así como también el registro de expendios y establecimientos de mataderos, centros de acopio, subastas y explotaciones bovinas a nivel nacional.</w:t>
      </w:r>
    </w:p>
    <w:p w14:paraId="6991F93E" w14:textId="77777777" w:rsidR="00D56D53" w:rsidRPr="00291D6E" w:rsidRDefault="00D56D53" w:rsidP="00D56D53">
      <w:pPr>
        <w:pStyle w:val="Prrafodelista"/>
        <w:rPr>
          <w:rFonts w:ascii="Times New Roman" w:hAnsi="Times New Roman"/>
          <w:color w:val="222222"/>
          <w:sz w:val="24"/>
          <w:szCs w:val="24"/>
          <w:highlight w:val="yellow"/>
          <w:lang w:val="es-ES_tradnl" w:eastAsia="es-DO"/>
        </w:rPr>
      </w:pPr>
    </w:p>
    <w:p w14:paraId="5F13052D" w14:textId="75EE22E0" w:rsidR="0084384D" w:rsidRPr="00E47FB2" w:rsidRDefault="0084384D" w:rsidP="001C6B1A">
      <w:pPr>
        <w:pStyle w:val="Prrafodelista"/>
        <w:numPr>
          <w:ilvl w:val="0"/>
          <w:numId w:val="21"/>
        </w:numPr>
        <w:shd w:val="clear" w:color="auto" w:fill="FFFFFF"/>
        <w:spacing w:after="0" w:line="480" w:lineRule="auto"/>
        <w:jc w:val="both"/>
        <w:rPr>
          <w:rFonts w:ascii="Times New Roman" w:hAnsi="Times New Roman"/>
          <w:color w:val="222222"/>
          <w:sz w:val="24"/>
          <w:szCs w:val="24"/>
          <w:lang w:val="es-ES_tradnl" w:eastAsia="es-DO"/>
        </w:rPr>
      </w:pPr>
      <w:r w:rsidRPr="00E47FB2">
        <w:rPr>
          <w:rFonts w:ascii="Times New Roman" w:hAnsi="Times New Roman"/>
          <w:color w:val="222222"/>
          <w:sz w:val="24"/>
          <w:szCs w:val="24"/>
          <w:lang w:val="es-ES_tradnl" w:eastAsia="es-DO"/>
        </w:rPr>
        <w:t>Canalizar el crédito para el fomento y diversificación de la producción agropecuaria y actividades del medio rural.</w:t>
      </w:r>
    </w:p>
    <w:p w14:paraId="21B6A5A2" w14:textId="77777777" w:rsidR="00D56D53" w:rsidRPr="00E47FB2" w:rsidRDefault="00D56D53" w:rsidP="00D56D53">
      <w:pPr>
        <w:pStyle w:val="Prrafodelista"/>
        <w:rPr>
          <w:rFonts w:ascii="Times New Roman" w:hAnsi="Times New Roman"/>
          <w:color w:val="222222"/>
          <w:sz w:val="24"/>
          <w:szCs w:val="24"/>
          <w:lang w:val="es-ES_tradnl" w:eastAsia="es-DO"/>
        </w:rPr>
      </w:pPr>
    </w:p>
    <w:p w14:paraId="77BA8103" w14:textId="1978CE85" w:rsidR="0084384D" w:rsidRPr="00E47FB2" w:rsidRDefault="0084384D" w:rsidP="001C6B1A">
      <w:pPr>
        <w:pStyle w:val="Prrafodelista"/>
        <w:numPr>
          <w:ilvl w:val="0"/>
          <w:numId w:val="21"/>
        </w:numPr>
        <w:shd w:val="clear" w:color="auto" w:fill="FFFFFF"/>
        <w:spacing w:after="0" w:line="480" w:lineRule="auto"/>
        <w:jc w:val="both"/>
        <w:rPr>
          <w:rFonts w:ascii="Times New Roman" w:hAnsi="Times New Roman"/>
          <w:color w:val="222222"/>
          <w:sz w:val="24"/>
          <w:szCs w:val="24"/>
          <w:lang w:val="es-ES_tradnl" w:eastAsia="es-DO"/>
        </w:rPr>
      </w:pPr>
      <w:r w:rsidRPr="00E47FB2">
        <w:rPr>
          <w:rFonts w:ascii="Times New Roman" w:hAnsi="Times New Roman"/>
          <w:color w:val="222222"/>
          <w:sz w:val="24"/>
          <w:szCs w:val="24"/>
          <w:lang w:val="es-ES_tradnl" w:eastAsia="es-DO"/>
        </w:rPr>
        <w:t>Generación, validación y transferencia de tecnologías.</w:t>
      </w:r>
    </w:p>
    <w:p w14:paraId="74E27360" w14:textId="77777777" w:rsidR="00D56D53" w:rsidRPr="00291D6E" w:rsidRDefault="00D56D53" w:rsidP="00D56D53">
      <w:pPr>
        <w:pStyle w:val="Prrafodelista"/>
        <w:rPr>
          <w:rFonts w:ascii="Times New Roman" w:hAnsi="Times New Roman"/>
          <w:color w:val="222222"/>
          <w:sz w:val="24"/>
          <w:szCs w:val="24"/>
          <w:highlight w:val="yellow"/>
          <w:lang w:val="es-ES_tradnl" w:eastAsia="es-DO"/>
        </w:rPr>
      </w:pPr>
    </w:p>
    <w:p w14:paraId="48F43EFC" w14:textId="634CF074" w:rsidR="0084384D" w:rsidRPr="00E47FB2" w:rsidRDefault="0084384D" w:rsidP="001C6B1A">
      <w:pPr>
        <w:pStyle w:val="Prrafodelista"/>
        <w:numPr>
          <w:ilvl w:val="0"/>
          <w:numId w:val="21"/>
        </w:numPr>
        <w:shd w:val="clear" w:color="auto" w:fill="FFFFFF"/>
        <w:spacing w:after="0" w:line="480" w:lineRule="auto"/>
        <w:jc w:val="both"/>
        <w:rPr>
          <w:rFonts w:ascii="Times New Roman" w:hAnsi="Times New Roman"/>
          <w:color w:val="222222"/>
          <w:sz w:val="24"/>
          <w:szCs w:val="24"/>
          <w:lang w:val="es-ES_tradnl" w:eastAsia="es-DO"/>
        </w:rPr>
      </w:pPr>
      <w:r w:rsidRPr="00E47FB2">
        <w:rPr>
          <w:rFonts w:ascii="Times New Roman" w:hAnsi="Times New Roman"/>
          <w:color w:val="222222"/>
          <w:sz w:val="24"/>
          <w:szCs w:val="24"/>
          <w:lang w:val="es-ES_tradnl" w:eastAsia="es-DO"/>
        </w:rPr>
        <w:t>Impulsar los procesos de captación y distribución de tierras para incorporarlas a la producción, generando empleos y riquezas en el campo dominicano</w:t>
      </w:r>
      <w:r w:rsidR="00D56D53" w:rsidRPr="00E47FB2">
        <w:rPr>
          <w:rFonts w:ascii="Times New Roman" w:hAnsi="Times New Roman"/>
          <w:color w:val="222222"/>
          <w:sz w:val="24"/>
          <w:szCs w:val="24"/>
          <w:lang w:val="es-ES_tradnl" w:eastAsia="es-DO"/>
        </w:rPr>
        <w:t>.</w:t>
      </w:r>
    </w:p>
    <w:p w14:paraId="19B183CF" w14:textId="77777777" w:rsidR="00D56D53" w:rsidRPr="00E47FB2" w:rsidRDefault="00D56D53" w:rsidP="00D56D53">
      <w:pPr>
        <w:pStyle w:val="Prrafodelista"/>
        <w:rPr>
          <w:rFonts w:ascii="Times New Roman" w:hAnsi="Times New Roman"/>
          <w:color w:val="222222"/>
          <w:sz w:val="24"/>
          <w:szCs w:val="24"/>
          <w:lang w:val="es-ES_tradnl" w:eastAsia="es-DO"/>
        </w:rPr>
      </w:pPr>
    </w:p>
    <w:p w14:paraId="5D211CCA" w14:textId="392905FA" w:rsidR="0084384D" w:rsidRPr="00E47FB2" w:rsidRDefault="0084384D" w:rsidP="001C6B1A">
      <w:pPr>
        <w:pStyle w:val="Prrafodelista"/>
        <w:numPr>
          <w:ilvl w:val="0"/>
          <w:numId w:val="21"/>
        </w:numPr>
        <w:shd w:val="clear" w:color="auto" w:fill="FFFFFF"/>
        <w:spacing w:after="0" w:line="480" w:lineRule="auto"/>
        <w:jc w:val="both"/>
        <w:rPr>
          <w:rFonts w:ascii="Times New Roman" w:hAnsi="Times New Roman"/>
          <w:color w:val="222222"/>
          <w:sz w:val="24"/>
          <w:szCs w:val="24"/>
          <w:lang w:val="es-ES_tradnl" w:eastAsia="es-DO"/>
        </w:rPr>
      </w:pPr>
      <w:r w:rsidRPr="00E47FB2">
        <w:rPr>
          <w:rFonts w:ascii="Times New Roman" w:hAnsi="Times New Roman"/>
          <w:color w:val="222222"/>
          <w:sz w:val="24"/>
          <w:szCs w:val="24"/>
          <w:lang w:val="es-ES_tradnl" w:eastAsia="es-DO"/>
        </w:rPr>
        <w:t>Fortalecer y eficientizar los canales de comercialización de productos agropecuarios.</w:t>
      </w:r>
    </w:p>
    <w:p w14:paraId="3B01F65F" w14:textId="77777777" w:rsidR="00D56D53" w:rsidRPr="00291D6E" w:rsidRDefault="00D56D53" w:rsidP="00D56D53">
      <w:pPr>
        <w:pStyle w:val="Prrafodelista"/>
        <w:rPr>
          <w:rFonts w:ascii="Times New Roman" w:hAnsi="Times New Roman"/>
          <w:color w:val="222222"/>
          <w:sz w:val="24"/>
          <w:szCs w:val="24"/>
          <w:highlight w:val="yellow"/>
          <w:lang w:val="es-ES_tradnl" w:eastAsia="es-DO"/>
        </w:rPr>
      </w:pPr>
    </w:p>
    <w:p w14:paraId="5A5A6A04" w14:textId="18827647" w:rsidR="0084384D" w:rsidRPr="00E47FB2" w:rsidRDefault="0084384D" w:rsidP="001C6B1A">
      <w:pPr>
        <w:pStyle w:val="Prrafodelista"/>
        <w:numPr>
          <w:ilvl w:val="0"/>
          <w:numId w:val="21"/>
        </w:numPr>
        <w:shd w:val="clear" w:color="auto" w:fill="FFFFFF"/>
        <w:spacing w:after="0" w:line="480" w:lineRule="auto"/>
        <w:jc w:val="both"/>
        <w:rPr>
          <w:rFonts w:ascii="Times New Roman" w:hAnsi="Times New Roman"/>
          <w:color w:val="222222"/>
          <w:sz w:val="24"/>
          <w:szCs w:val="24"/>
          <w:lang w:val="es-ES_tradnl" w:eastAsia="es-DO"/>
        </w:rPr>
      </w:pPr>
      <w:r w:rsidRPr="00E47FB2">
        <w:rPr>
          <w:rFonts w:ascii="Times New Roman" w:hAnsi="Times New Roman"/>
          <w:color w:val="222222"/>
          <w:sz w:val="24"/>
          <w:szCs w:val="24"/>
          <w:lang w:val="es-ES_tradnl" w:eastAsia="es-DO"/>
        </w:rPr>
        <w:t>Rehabilitación y mantenimiento de infraestructuras rurales, dedicadas a la producción, así como también garantizar el acceso al comercio.</w:t>
      </w:r>
    </w:p>
    <w:p w14:paraId="7371F230" w14:textId="77777777" w:rsidR="00D56D53" w:rsidRPr="00E47FB2" w:rsidRDefault="00D56D53" w:rsidP="00D56D53">
      <w:pPr>
        <w:pStyle w:val="Prrafodelista"/>
        <w:rPr>
          <w:rFonts w:ascii="Times New Roman" w:hAnsi="Times New Roman"/>
          <w:color w:val="222222"/>
          <w:sz w:val="24"/>
          <w:szCs w:val="24"/>
          <w:lang w:val="es-ES_tradnl" w:eastAsia="es-DO"/>
        </w:rPr>
      </w:pPr>
    </w:p>
    <w:p w14:paraId="59A2063A" w14:textId="53578905" w:rsidR="0084384D" w:rsidRPr="00E47FB2" w:rsidRDefault="0084384D" w:rsidP="001C6B1A">
      <w:pPr>
        <w:pStyle w:val="Prrafodelista"/>
        <w:numPr>
          <w:ilvl w:val="0"/>
          <w:numId w:val="21"/>
        </w:numPr>
        <w:shd w:val="clear" w:color="auto" w:fill="FFFFFF"/>
        <w:spacing w:after="0" w:line="480" w:lineRule="auto"/>
        <w:jc w:val="both"/>
        <w:rPr>
          <w:rFonts w:ascii="Times New Roman" w:hAnsi="Times New Roman"/>
          <w:color w:val="222222"/>
          <w:sz w:val="24"/>
          <w:szCs w:val="24"/>
          <w:lang w:val="es-ES_tradnl" w:eastAsia="es-DO"/>
        </w:rPr>
      </w:pPr>
      <w:r w:rsidRPr="00E47FB2">
        <w:rPr>
          <w:rFonts w:ascii="Times New Roman" w:hAnsi="Times New Roman"/>
          <w:color w:val="222222"/>
          <w:sz w:val="24"/>
          <w:szCs w:val="24"/>
          <w:lang w:val="es-ES_tradnl" w:eastAsia="es-DO"/>
        </w:rPr>
        <w:lastRenderedPageBreak/>
        <w:t>Fortalecimiento de los servicios de extensión y capacitación a productores y técnicos para proveer asistencia técnica de manera eficiente a nivel nacional.</w:t>
      </w:r>
    </w:p>
    <w:p w14:paraId="131BB07B" w14:textId="77777777" w:rsidR="00D56D53" w:rsidRPr="00E47FB2" w:rsidRDefault="00D56D53" w:rsidP="00D56D53">
      <w:pPr>
        <w:pStyle w:val="Prrafodelista"/>
        <w:rPr>
          <w:rFonts w:ascii="Times New Roman" w:hAnsi="Times New Roman"/>
          <w:color w:val="222222"/>
          <w:sz w:val="24"/>
          <w:szCs w:val="24"/>
          <w:lang w:val="es-ES_tradnl" w:eastAsia="es-DO"/>
        </w:rPr>
      </w:pPr>
    </w:p>
    <w:p w14:paraId="37D5B2B1" w14:textId="77777777" w:rsidR="0084384D" w:rsidRPr="00E47FB2" w:rsidRDefault="0084384D" w:rsidP="001C6B1A">
      <w:pPr>
        <w:pStyle w:val="Prrafodelista"/>
        <w:numPr>
          <w:ilvl w:val="0"/>
          <w:numId w:val="21"/>
        </w:numPr>
        <w:shd w:val="clear" w:color="auto" w:fill="FFFFFF"/>
        <w:spacing w:after="0" w:line="480" w:lineRule="auto"/>
        <w:jc w:val="both"/>
        <w:rPr>
          <w:rFonts w:ascii="Times New Roman" w:eastAsia="Times New Roman" w:hAnsi="Times New Roman"/>
          <w:color w:val="222222"/>
          <w:sz w:val="24"/>
          <w:szCs w:val="24"/>
          <w:lang w:val="es-ES_tradnl" w:eastAsia="es-DO"/>
        </w:rPr>
      </w:pPr>
      <w:r w:rsidRPr="00E47FB2">
        <w:rPr>
          <w:rFonts w:ascii="Times New Roman" w:eastAsia="Times New Roman" w:hAnsi="Times New Roman"/>
          <w:color w:val="222222"/>
          <w:sz w:val="24"/>
          <w:szCs w:val="24"/>
          <w:lang w:val="es-ES_tradnl" w:eastAsia="es-DO"/>
        </w:rPr>
        <w:t>Reforma, modernización y fortalecimiento de las instituciones del sector agropecuario, para contribuir a la eficiencia en la entrega de servicios públicos entregado a la sociedad.</w:t>
      </w:r>
    </w:p>
    <w:p w14:paraId="1C34FF0E" w14:textId="77777777" w:rsidR="0084384D" w:rsidRPr="00291D6E" w:rsidRDefault="0084384D" w:rsidP="0028041D">
      <w:pPr>
        <w:shd w:val="clear" w:color="auto" w:fill="FFFFFF"/>
        <w:spacing w:after="0" w:line="360" w:lineRule="auto"/>
        <w:ind w:firstLine="709"/>
        <w:jc w:val="both"/>
        <w:rPr>
          <w:rFonts w:ascii="Times New Roman" w:hAnsi="Times New Roman"/>
          <w:color w:val="222222"/>
          <w:highlight w:val="yellow"/>
          <w:lang w:eastAsia="es-DO"/>
        </w:rPr>
      </w:pPr>
    </w:p>
    <w:p w14:paraId="38296BE4" w14:textId="451DD9D2" w:rsidR="0084384D" w:rsidRPr="00E47FB2" w:rsidRDefault="0084384D" w:rsidP="001C6B1A">
      <w:pPr>
        <w:pStyle w:val="Prrafodelista"/>
        <w:numPr>
          <w:ilvl w:val="0"/>
          <w:numId w:val="21"/>
        </w:numPr>
        <w:shd w:val="clear" w:color="auto" w:fill="FFFFFF"/>
        <w:spacing w:after="0" w:line="480" w:lineRule="auto"/>
        <w:jc w:val="both"/>
        <w:rPr>
          <w:rFonts w:ascii="Times New Roman" w:hAnsi="Times New Roman"/>
          <w:color w:val="222222"/>
          <w:sz w:val="24"/>
          <w:szCs w:val="24"/>
          <w:lang w:val="es-ES_tradnl" w:eastAsia="es-DO"/>
        </w:rPr>
      </w:pPr>
      <w:r w:rsidRPr="00E47FB2">
        <w:rPr>
          <w:rFonts w:ascii="Times New Roman" w:hAnsi="Times New Roman"/>
          <w:color w:val="222222"/>
          <w:sz w:val="24"/>
          <w:szCs w:val="24"/>
          <w:lang w:val="es-ES_tradnl" w:eastAsia="es-DO"/>
        </w:rPr>
        <w:t xml:space="preserve">Impulsar acciones dirigidas a contribuir a la seguridad y soberanía alimentaria del país, para aportar el 100% de alimentos demandados por la población. </w:t>
      </w:r>
    </w:p>
    <w:p w14:paraId="281CDF53" w14:textId="77777777" w:rsidR="0084384D" w:rsidRPr="00291D6E" w:rsidRDefault="0084384D" w:rsidP="0084384D">
      <w:pPr>
        <w:shd w:val="clear" w:color="auto" w:fill="FFFFFF"/>
        <w:spacing w:after="0" w:line="480" w:lineRule="auto"/>
        <w:ind w:firstLine="709"/>
        <w:jc w:val="both"/>
        <w:rPr>
          <w:rFonts w:ascii="Times New Roman" w:hAnsi="Times New Roman"/>
          <w:color w:val="222222"/>
          <w:highlight w:val="yellow"/>
          <w:lang w:eastAsia="es-DO"/>
        </w:rPr>
      </w:pPr>
    </w:p>
    <w:p w14:paraId="76B0304A" w14:textId="357DDEA8" w:rsidR="0084384D" w:rsidRPr="00E47FB2" w:rsidRDefault="0084384D" w:rsidP="001C6B1A">
      <w:pPr>
        <w:pStyle w:val="Prrafodelista"/>
        <w:numPr>
          <w:ilvl w:val="0"/>
          <w:numId w:val="21"/>
        </w:numPr>
        <w:shd w:val="clear" w:color="auto" w:fill="FFFFFF"/>
        <w:spacing w:after="0" w:line="480" w:lineRule="auto"/>
        <w:jc w:val="both"/>
        <w:rPr>
          <w:rFonts w:ascii="Times New Roman" w:hAnsi="Times New Roman"/>
          <w:color w:val="222222"/>
          <w:sz w:val="24"/>
          <w:szCs w:val="24"/>
          <w:lang w:eastAsia="es-DO"/>
        </w:rPr>
      </w:pPr>
      <w:r w:rsidRPr="00E47FB2">
        <w:rPr>
          <w:rFonts w:ascii="Times New Roman" w:hAnsi="Times New Roman"/>
          <w:color w:val="222222"/>
          <w:sz w:val="24"/>
          <w:szCs w:val="24"/>
          <w:lang w:val="es-ES_tradnl" w:eastAsia="es-DO"/>
        </w:rPr>
        <w:t>Establecer alianzas estratégicas con los actores responsables de la sostenibilidad agroforestal y ambiental y dirigir acciones menos contaminantes para la protección de las cuencas hidrográficas.</w:t>
      </w:r>
    </w:p>
    <w:p w14:paraId="29D71C44" w14:textId="29085D2A" w:rsidR="00A57704" w:rsidRDefault="00A57704">
      <w:pPr>
        <w:spacing w:after="0"/>
        <w:rPr>
          <w:rFonts w:ascii="Times New Roman" w:eastAsia="Calibri" w:hAnsi="Times New Roman"/>
          <w:sz w:val="22"/>
          <w:szCs w:val="22"/>
          <w:lang w:val="es-ES_tradnl" w:eastAsia="en-US" w:bidi="en-US"/>
        </w:rPr>
      </w:pPr>
    </w:p>
    <w:p w14:paraId="3C64284E" w14:textId="77777777" w:rsidR="00530E9A" w:rsidRPr="0098414F" w:rsidRDefault="00E14F5A" w:rsidP="00954002">
      <w:pPr>
        <w:pStyle w:val="Ttulo2"/>
      </w:pPr>
      <w:bookmarkStart w:id="498" w:name="_Toc440036768"/>
      <w:bookmarkStart w:id="499" w:name="_Toc470523418"/>
      <w:bookmarkStart w:id="500" w:name="_Toc26292134"/>
      <w:bookmarkStart w:id="501" w:name="_Toc27146858"/>
      <w:r w:rsidRPr="0098414F">
        <w:t>b</w:t>
      </w:r>
      <w:r w:rsidR="00F651C8" w:rsidRPr="0098414F">
        <w:t xml:space="preserve">) </w:t>
      </w:r>
      <w:bookmarkStart w:id="502" w:name="_Toc251777890"/>
      <w:bookmarkStart w:id="503" w:name="_Toc254413106"/>
      <w:bookmarkStart w:id="504" w:name="_Toc409040103"/>
      <w:r w:rsidR="007A535D" w:rsidRPr="0098414F">
        <w:t>P</w:t>
      </w:r>
      <w:r w:rsidR="00530E9A" w:rsidRPr="0098414F">
        <w:t xml:space="preserve">royección </w:t>
      </w:r>
      <w:r w:rsidR="008A062A">
        <w:t>de proyectos a mediano plazo</w:t>
      </w:r>
      <w:bookmarkEnd w:id="498"/>
      <w:bookmarkEnd w:id="499"/>
      <w:bookmarkEnd w:id="500"/>
      <w:bookmarkEnd w:id="501"/>
      <w:bookmarkEnd w:id="502"/>
      <w:bookmarkEnd w:id="503"/>
      <w:bookmarkEnd w:id="504"/>
    </w:p>
    <w:p w14:paraId="696B1CBD" w14:textId="77777777" w:rsidR="0054133D" w:rsidRPr="0098414F" w:rsidRDefault="0054133D" w:rsidP="00D21EE6">
      <w:pPr>
        <w:spacing w:after="0"/>
        <w:ind w:firstLine="720"/>
        <w:jc w:val="both"/>
        <w:rPr>
          <w:rFonts w:ascii="Times New Roman" w:hAnsi="Times New Roman"/>
          <w:lang w:val="es-ES_tradnl"/>
        </w:rPr>
      </w:pPr>
    </w:p>
    <w:p w14:paraId="1D261A48" w14:textId="2EF7D3F3" w:rsidR="00304F26" w:rsidRPr="00304F26" w:rsidRDefault="00B97D3C" w:rsidP="00304F26">
      <w:pPr>
        <w:spacing w:after="0" w:line="480" w:lineRule="auto"/>
        <w:ind w:firstLine="720"/>
        <w:jc w:val="both"/>
        <w:rPr>
          <w:rFonts w:ascii="Times New Roman" w:hAnsi="Times New Roman"/>
          <w:lang w:val="es-ES_tradnl"/>
        </w:rPr>
      </w:pPr>
      <w:r w:rsidRPr="004A4E3A">
        <w:rPr>
          <w:rFonts w:ascii="Times New Roman" w:hAnsi="Times New Roman"/>
          <w:lang w:val="es-ES_tradnl"/>
        </w:rPr>
        <w:t>En el marco de</w:t>
      </w:r>
      <w:r w:rsidR="000F76CB" w:rsidRPr="004A4E3A">
        <w:rPr>
          <w:rFonts w:ascii="Times New Roman" w:hAnsi="Times New Roman"/>
          <w:lang w:val="es-ES_tradnl"/>
        </w:rPr>
        <w:t xml:space="preserve">l </w:t>
      </w:r>
      <w:r w:rsidR="00CC2094" w:rsidRPr="004A4E3A">
        <w:rPr>
          <w:rFonts w:ascii="Times New Roman" w:hAnsi="Times New Roman"/>
          <w:lang w:val="es-ES_tradnl"/>
        </w:rPr>
        <w:t xml:space="preserve">Sistema Nacional de Inversión Pública, SNIP </w:t>
      </w:r>
      <w:r w:rsidR="00EE56B5" w:rsidRPr="004A4E3A">
        <w:rPr>
          <w:rFonts w:ascii="Times New Roman" w:hAnsi="Times New Roman"/>
          <w:lang w:val="es-ES_tradnl"/>
        </w:rPr>
        <w:t>y</w:t>
      </w:r>
      <w:r w:rsidR="00260355" w:rsidRPr="004A4E3A">
        <w:rPr>
          <w:rFonts w:ascii="Times New Roman" w:hAnsi="Times New Roman"/>
          <w:lang w:val="es-ES_tradnl"/>
        </w:rPr>
        <w:t xml:space="preserve"> en iniciativa del Liderazgo del Ministerio de Agricultura en la gestión </w:t>
      </w:r>
      <w:r w:rsidR="00CC2094" w:rsidRPr="004A4E3A">
        <w:rPr>
          <w:rFonts w:ascii="Times New Roman" w:hAnsi="Times New Roman"/>
          <w:lang w:val="es-ES_tradnl"/>
        </w:rPr>
        <w:t xml:space="preserve">y ejecución de los Proyectos Productivos </w:t>
      </w:r>
      <w:r w:rsidRPr="004A4E3A">
        <w:rPr>
          <w:rFonts w:ascii="Times New Roman" w:hAnsi="Times New Roman"/>
          <w:lang w:val="es-ES_tradnl"/>
        </w:rPr>
        <w:t xml:space="preserve">para apoyar el dinamismo y desarrollo del sector </w:t>
      </w:r>
      <w:r w:rsidR="000F76CB" w:rsidRPr="004A4E3A">
        <w:rPr>
          <w:rFonts w:ascii="Times New Roman" w:hAnsi="Times New Roman"/>
          <w:lang w:val="es-ES_tradnl"/>
        </w:rPr>
        <w:t>agropecuario</w:t>
      </w:r>
      <w:r w:rsidR="00EA6EC4" w:rsidRPr="004A4E3A">
        <w:rPr>
          <w:rFonts w:ascii="Times New Roman" w:hAnsi="Times New Roman"/>
          <w:lang w:val="es-ES_tradnl"/>
        </w:rPr>
        <w:t xml:space="preserve">, </w:t>
      </w:r>
      <w:r w:rsidR="00585EC6" w:rsidRPr="004A4E3A">
        <w:rPr>
          <w:rFonts w:ascii="Times New Roman" w:hAnsi="Times New Roman"/>
          <w:lang w:val="es-ES_tradnl"/>
        </w:rPr>
        <w:t>orientados a generar alternativas para superar la pobreza y mejorar la calidad de vida de las familias rurales</w:t>
      </w:r>
      <w:r w:rsidR="00260355" w:rsidRPr="004A4E3A">
        <w:rPr>
          <w:rFonts w:ascii="Times New Roman" w:hAnsi="Times New Roman"/>
          <w:lang w:val="es-ES_tradnl"/>
        </w:rPr>
        <w:t xml:space="preserve"> en las zonas intervenidas, </w:t>
      </w:r>
      <w:r w:rsidR="00CC2094" w:rsidRPr="004A4E3A">
        <w:rPr>
          <w:rFonts w:ascii="Times New Roman" w:hAnsi="Times New Roman"/>
          <w:lang w:val="es-ES_tradnl"/>
        </w:rPr>
        <w:t xml:space="preserve">se detallan las iniciativas de proyectos a ser ejecutados por las Instituciones relacionadas al Sector Agropecuario con un horizonte a corto y mediano plazo, </w:t>
      </w:r>
      <w:r w:rsidR="0042368E" w:rsidRPr="004A4E3A">
        <w:rPr>
          <w:rFonts w:ascii="Times New Roman" w:hAnsi="Times New Roman"/>
          <w:lang w:val="es-ES_tradnl"/>
        </w:rPr>
        <w:t>(</w:t>
      </w:r>
      <w:r w:rsidRPr="004A4E3A">
        <w:rPr>
          <w:rFonts w:ascii="Times New Roman" w:hAnsi="Times New Roman"/>
          <w:lang w:val="es-ES_tradnl"/>
        </w:rPr>
        <w:t xml:space="preserve">Ver </w:t>
      </w:r>
      <w:r w:rsidR="00260355" w:rsidRPr="004A4E3A">
        <w:rPr>
          <w:rFonts w:ascii="Times New Roman" w:hAnsi="Times New Roman"/>
          <w:lang w:val="es-ES_tradnl"/>
        </w:rPr>
        <w:t>a</w:t>
      </w:r>
      <w:r w:rsidRPr="004A4E3A">
        <w:rPr>
          <w:rFonts w:ascii="Times New Roman" w:hAnsi="Times New Roman"/>
          <w:lang w:val="es-ES_tradnl"/>
        </w:rPr>
        <w:t xml:space="preserve">nexo </w:t>
      </w:r>
      <w:r w:rsidR="008A062A" w:rsidRPr="004A4E3A">
        <w:rPr>
          <w:rFonts w:ascii="Times New Roman" w:hAnsi="Times New Roman"/>
          <w:lang w:val="es-ES_tradnl"/>
        </w:rPr>
        <w:t>H</w:t>
      </w:r>
      <w:r w:rsidR="0042368E" w:rsidRPr="004A4E3A">
        <w:rPr>
          <w:rFonts w:ascii="Times New Roman" w:hAnsi="Times New Roman"/>
          <w:lang w:val="es-ES_tradnl"/>
        </w:rPr>
        <w:t>).</w:t>
      </w:r>
    </w:p>
    <w:p w14:paraId="59CAF4BA" w14:textId="77777777" w:rsidR="00304F26" w:rsidRPr="0098414F" w:rsidRDefault="00304F26" w:rsidP="009C4E7F">
      <w:pPr>
        <w:spacing w:after="0" w:line="480" w:lineRule="auto"/>
        <w:ind w:firstLine="720"/>
        <w:jc w:val="both"/>
        <w:rPr>
          <w:rFonts w:ascii="Times New Roman" w:hAnsi="Times New Roman"/>
          <w:b/>
          <w:sz w:val="32"/>
          <w:szCs w:val="32"/>
          <w:lang w:val="es-ES_tradnl"/>
        </w:rPr>
        <w:sectPr w:rsidR="00304F26" w:rsidRPr="0098414F" w:rsidSect="00E470C5">
          <w:type w:val="continuous"/>
          <w:pgSz w:w="12240" w:h="15840" w:code="1"/>
          <w:pgMar w:top="1440" w:right="2160" w:bottom="1440" w:left="2160" w:header="720" w:footer="720" w:gutter="0"/>
          <w:cols w:space="720"/>
          <w:docGrid w:linePitch="360"/>
        </w:sectPr>
      </w:pPr>
    </w:p>
    <w:p w14:paraId="7396EB11" w14:textId="77777777" w:rsidR="00D473D8" w:rsidRPr="0098414F" w:rsidRDefault="00D473D8" w:rsidP="009C4E7F">
      <w:pPr>
        <w:spacing w:after="0" w:line="480" w:lineRule="auto"/>
        <w:ind w:firstLine="720"/>
        <w:jc w:val="both"/>
        <w:rPr>
          <w:rFonts w:ascii="Times New Roman" w:hAnsi="Times New Roman"/>
          <w:b/>
          <w:sz w:val="32"/>
          <w:szCs w:val="32"/>
          <w:lang w:val="es-ES_tradnl"/>
        </w:rPr>
      </w:pPr>
    </w:p>
    <w:p w14:paraId="7FC4DF76" w14:textId="77777777" w:rsidR="00B75D8B" w:rsidRPr="0098414F" w:rsidRDefault="00B75D8B" w:rsidP="009C4E7F">
      <w:pPr>
        <w:spacing w:after="0" w:line="480" w:lineRule="auto"/>
        <w:ind w:firstLine="720"/>
        <w:jc w:val="both"/>
        <w:rPr>
          <w:rFonts w:ascii="Times New Roman" w:hAnsi="Times New Roman"/>
          <w:b/>
          <w:sz w:val="32"/>
          <w:szCs w:val="32"/>
          <w:lang w:val="es-ES_tradnl"/>
        </w:rPr>
      </w:pPr>
    </w:p>
    <w:p w14:paraId="3EBDAE79" w14:textId="77777777" w:rsidR="00E6239C" w:rsidRPr="0098414F" w:rsidRDefault="00E6239C" w:rsidP="009C4E7F">
      <w:pPr>
        <w:spacing w:after="0" w:line="480" w:lineRule="auto"/>
        <w:ind w:firstLine="720"/>
        <w:jc w:val="both"/>
        <w:rPr>
          <w:rFonts w:ascii="Times New Roman" w:hAnsi="Times New Roman"/>
          <w:b/>
          <w:sz w:val="32"/>
          <w:szCs w:val="32"/>
          <w:lang w:val="es-ES_tradnl"/>
        </w:rPr>
      </w:pPr>
    </w:p>
    <w:p w14:paraId="0DDB347F" w14:textId="77777777" w:rsidR="00E6239C" w:rsidRPr="0098414F" w:rsidRDefault="00E6239C" w:rsidP="009C4E7F">
      <w:pPr>
        <w:spacing w:after="0" w:line="480" w:lineRule="auto"/>
        <w:ind w:firstLine="720"/>
        <w:jc w:val="both"/>
        <w:rPr>
          <w:rFonts w:ascii="Times New Roman" w:hAnsi="Times New Roman"/>
          <w:b/>
          <w:sz w:val="32"/>
          <w:szCs w:val="32"/>
          <w:lang w:val="es-ES_tradnl"/>
        </w:rPr>
      </w:pPr>
    </w:p>
    <w:p w14:paraId="2D79AC20" w14:textId="77777777" w:rsidR="008F14D2" w:rsidRPr="0098414F" w:rsidRDefault="008F14D2" w:rsidP="005330A4">
      <w:pPr>
        <w:spacing w:after="0" w:line="480" w:lineRule="auto"/>
        <w:ind w:firstLine="720"/>
        <w:rPr>
          <w:rFonts w:ascii="Times New Roman" w:hAnsi="Times New Roman"/>
          <w:b/>
          <w:sz w:val="32"/>
          <w:szCs w:val="32"/>
          <w:lang w:val="es-ES_tradnl"/>
        </w:rPr>
      </w:pPr>
    </w:p>
    <w:p w14:paraId="2FCD261C" w14:textId="77777777" w:rsidR="002E3EC7" w:rsidRPr="0098414F" w:rsidRDefault="002E3EC7" w:rsidP="005330A4">
      <w:pPr>
        <w:spacing w:after="0" w:line="480" w:lineRule="auto"/>
        <w:ind w:firstLine="720"/>
        <w:rPr>
          <w:rFonts w:ascii="Times New Roman" w:hAnsi="Times New Roman"/>
          <w:b/>
          <w:sz w:val="32"/>
          <w:szCs w:val="32"/>
          <w:lang w:val="es-ES_tradnl"/>
        </w:rPr>
      </w:pPr>
    </w:p>
    <w:p w14:paraId="6C3BDBE2" w14:textId="77777777" w:rsidR="008F14D2" w:rsidRPr="0098414F" w:rsidRDefault="008F14D2" w:rsidP="005330A4">
      <w:pPr>
        <w:spacing w:after="0" w:line="480" w:lineRule="auto"/>
        <w:ind w:firstLine="720"/>
        <w:rPr>
          <w:rFonts w:ascii="Times New Roman" w:hAnsi="Times New Roman"/>
          <w:b/>
          <w:sz w:val="32"/>
          <w:szCs w:val="32"/>
          <w:lang w:val="es-ES_tradnl"/>
        </w:rPr>
      </w:pPr>
    </w:p>
    <w:p w14:paraId="4F6F5387" w14:textId="77777777" w:rsidR="00700B29" w:rsidRPr="0098414F" w:rsidRDefault="00D62857" w:rsidP="0013707F">
      <w:pPr>
        <w:jc w:val="center"/>
        <w:rPr>
          <w:rFonts w:ascii="Times New Roman" w:hAnsi="Times New Roman"/>
          <w:b/>
          <w:sz w:val="28"/>
        </w:rPr>
      </w:pPr>
      <w:bookmarkStart w:id="505" w:name="_Toc440036770"/>
      <w:bookmarkStart w:id="506" w:name="_Toc470523419"/>
      <w:r w:rsidRPr="0098414F">
        <w:rPr>
          <w:rFonts w:ascii="Times New Roman" w:hAnsi="Times New Roman"/>
          <w:b/>
          <w:sz w:val="28"/>
        </w:rPr>
        <w:t>ANEXOS</w:t>
      </w:r>
      <w:bookmarkEnd w:id="505"/>
      <w:bookmarkEnd w:id="506"/>
    </w:p>
    <w:p w14:paraId="7CE44791" w14:textId="77777777" w:rsidR="006953A4" w:rsidRPr="0098414F" w:rsidRDefault="004B5C88" w:rsidP="009C4E7F">
      <w:pPr>
        <w:ind w:firstLine="720"/>
        <w:rPr>
          <w:rFonts w:ascii="Times New Roman" w:hAnsi="Times New Roman"/>
          <w:lang w:eastAsia="en-US" w:bidi="en-US"/>
        </w:rPr>
      </w:pPr>
      <w:r w:rsidRPr="0098414F">
        <w:rPr>
          <w:rFonts w:ascii="Times New Roman" w:hAnsi="Times New Roman"/>
          <w:noProof/>
          <w:lang w:eastAsia="es-DO"/>
        </w:rPr>
        <mc:AlternateContent>
          <mc:Choice Requires="wps">
            <w:drawing>
              <wp:anchor distT="0" distB="0" distL="114300" distR="114300" simplePos="0" relativeHeight="251684864" behindDoc="0" locked="0" layoutInCell="1" allowOverlap="1" wp14:anchorId="5A999824" wp14:editId="516E7DE2">
                <wp:simplePos x="0" y="0"/>
                <wp:positionH relativeFrom="column">
                  <wp:posOffset>4672330</wp:posOffset>
                </wp:positionH>
                <wp:positionV relativeFrom="paragraph">
                  <wp:posOffset>5283200</wp:posOffset>
                </wp:positionV>
                <wp:extent cx="498475" cy="297180"/>
                <wp:effectExtent l="0" t="0" r="15875" b="26670"/>
                <wp:wrapNone/>
                <wp:docPr id="53" name="5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475" cy="2971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C03104C" id="53 Rectángulo" o:spid="_x0000_s1026" style="position:absolute;margin-left:367.9pt;margin-top:416pt;width:39.25pt;height:23.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" fillcolor="white [3212]" strokecolor="white [3212]" strokeweight="2pt">
                <v:path arrowok="t"/>
              </v:rect>
            </w:pict>
          </mc:Fallback>
        </mc:AlternateContent>
      </w:r>
    </w:p>
    <w:p w14:paraId="5C9A8A99" w14:textId="77777777" w:rsidR="00B97D3C" w:rsidRPr="0098414F" w:rsidRDefault="00B97D3C" w:rsidP="009C4E7F">
      <w:pPr>
        <w:spacing w:after="0"/>
        <w:ind w:firstLine="720"/>
        <w:rPr>
          <w:rFonts w:ascii="Times New Roman" w:hAnsi="Times New Roman"/>
        </w:rPr>
        <w:sectPr w:rsidR="00B97D3C" w:rsidRPr="0098414F" w:rsidSect="00EB6703">
          <w:pgSz w:w="12240" w:h="15840" w:code="1"/>
          <w:pgMar w:top="1440" w:right="2160" w:bottom="1440" w:left="2160" w:header="720" w:footer="720" w:gutter="0"/>
          <w:cols w:space="720"/>
          <w:titlePg/>
          <w:docGrid w:linePitch="360"/>
        </w:sectPr>
      </w:pPr>
    </w:p>
    <w:p w14:paraId="2FC3F26A" w14:textId="77777777" w:rsidR="00730C89" w:rsidRPr="0098414F" w:rsidRDefault="00730C89" w:rsidP="00730C89">
      <w:pPr>
        <w:spacing w:after="0" w:line="480" w:lineRule="auto"/>
        <w:jc w:val="center"/>
        <w:rPr>
          <w:rFonts w:ascii="Times New Roman" w:hAnsi="Times New Roman"/>
          <w:b/>
          <w:sz w:val="28"/>
        </w:rPr>
      </w:pPr>
    </w:p>
    <w:p w14:paraId="0B379664" w14:textId="77777777" w:rsidR="00730C89" w:rsidRPr="0098414F" w:rsidRDefault="00730C89" w:rsidP="00730C89">
      <w:pPr>
        <w:spacing w:after="0" w:line="480" w:lineRule="auto"/>
        <w:jc w:val="center"/>
        <w:rPr>
          <w:rFonts w:ascii="Times New Roman" w:hAnsi="Times New Roman"/>
          <w:b/>
          <w:sz w:val="28"/>
        </w:rPr>
      </w:pPr>
    </w:p>
    <w:p w14:paraId="6E91318C" w14:textId="77777777" w:rsidR="00730C89" w:rsidRPr="0098414F" w:rsidRDefault="00730C89" w:rsidP="00730C89">
      <w:pPr>
        <w:spacing w:after="0" w:line="480" w:lineRule="auto"/>
        <w:jc w:val="center"/>
        <w:rPr>
          <w:rFonts w:ascii="Times New Roman" w:hAnsi="Times New Roman"/>
          <w:b/>
          <w:sz w:val="28"/>
        </w:rPr>
      </w:pPr>
    </w:p>
    <w:p w14:paraId="5326C30A" w14:textId="77777777" w:rsidR="00AB0F28" w:rsidRPr="0098414F" w:rsidRDefault="00AB0F28" w:rsidP="00730C89">
      <w:pPr>
        <w:spacing w:after="0" w:line="480" w:lineRule="auto"/>
        <w:jc w:val="center"/>
        <w:rPr>
          <w:rFonts w:ascii="Times New Roman" w:hAnsi="Times New Roman"/>
          <w:b/>
          <w:sz w:val="28"/>
        </w:rPr>
      </w:pPr>
    </w:p>
    <w:p w14:paraId="11154827" w14:textId="77777777" w:rsidR="00730C89" w:rsidRPr="0098414F" w:rsidRDefault="00730C89" w:rsidP="00730C89">
      <w:pPr>
        <w:spacing w:after="0" w:line="480" w:lineRule="auto"/>
        <w:jc w:val="center"/>
        <w:rPr>
          <w:rFonts w:ascii="Times New Roman" w:hAnsi="Times New Roman"/>
          <w:b/>
          <w:sz w:val="28"/>
        </w:rPr>
      </w:pPr>
    </w:p>
    <w:p w14:paraId="787DBAC2" w14:textId="77777777" w:rsidR="00730C89" w:rsidRPr="0098414F" w:rsidRDefault="00730C89" w:rsidP="00730C89">
      <w:pPr>
        <w:spacing w:after="0" w:line="480" w:lineRule="auto"/>
        <w:jc w:val="center"/>
        <w:rPr>
          <w:rFonts w:ascii="Times New Roman" w:hAnsi="Times New Roman"/>
          <w:b/>
          <w:sz w:val="28"/>
        </w:rPr>
      </w:pPr>
    </w:p>
    <w:p w14:paraId="0A72A655" w14:textId="77777777" w:rsidR="00730C89" w:rsidRPr="0098414F" w:rsidRDefault="00730C89" w:rsidP="00730C89">
      <w:pPr>
        <w:spacing w:after="0" w:line="480" w:lineRule="auto"/>
        <w:jc w:val="center"/>
        <w:rPr>
          <w:rFonts w:ascii="Times New Roman" w:hAnsi="Times New Roman"/>
          <w:b/>
          <w:sz w:val="28"/>
        </w:rPr>
      </w:pPr>
      <w:r w:rsidRPr="0098414F">
        <w:rPr>
          <w:rFonts w:ascii="Times New Roman" w:hAnsi="Times New Roman"/>
          <w:b/>
          <w:sz w:val="28"/>
        </w:rPr>
        <w:t>Anexo A:</w:t>
      </w:r>
    </w:p>
    <w:p w14:paraId="6B63B61C" w14:textId="59040B5C" w:rsidR="00730C89" w:rsidRPr="0098414F" w:rsidRDefault="00730C89" w:rsidP="00730C89">
      <w:pPr>
        <w:spacing w:after="0" w:line="480" w:lineRule="auto"/>
        <w:jc w:val="center"/>
        <w:rPr>
          <w:rFonts w:ascii="Times New Roman" w:hAnsi="Times New Roman"/>
          <w:b/>
          <w:sz w:val="28"/>
        </w:rPr>
      </w:pPr>
      <w:r w:rsidRPr="0098414F">
        <w:rPr>
          <w:rFonts w:ascii="Times New Roman" w:hAnsi="Times New Roman"/>
          <w:b/>
          <w:sz w:val="28"/>
        </w:rPr>
        <w:t xml:space="preserve">Ejecución </w:t>
      </w:r>
      <w:r w:rsidR="00527061" w:rsidRPr="0098414F">
        <w:rPr>
          <w:rFonts w:ascii="Times New Roman" w:hAnsi="Times New Roman"/>
          <w:b/>
          <w:sz w:val="28"/>
        </w:rPr>
        <w:t>p</w:t>
      </w:r>
      <w:r w:rsidRPr="0098414F">
        <w:rPr>
          <w:rFonts w:ascii="Times New Roman" w:hAnsi="Times New Roman"/>
          <w:b/>
          <w:sz w:val="28"/>
        </w:rPr>
        <w:t xml:space="preserve">resupuestaria </w:t>
      </w:r>
      <w:r w:rsidR="00BA36D3" w:rsidRPr="0098414F">
        <w:rPr>
          <w:rFonts w:ascii="Times New Roman" w:hAnsi="Times New Roman"/>
          <w:b/>
          <w:sz w:val="28"/>
        </w:rPr>
        <w:t>período</w:t>
      </w:r>
      <w:r w:rsidRPr="0098414F">
        <w:rPr>
          <w:rFonts w:ascii="Times New Roman" w:hAnsi="Times New Roman"/>
          <w:b/>
          <w:sz w:val="28"/>
        </w:rPr>
        <w:t xml:space="preserve"> 201</w:t>
      </w:r>
      <w:r w:rsidR="004F5C2C">
        <w:rPr>
          <w:rFonts w:ascii="Times New Roman" w:hAnsi="Times New Roman"/>
          <w:b/>
          <w:sz w:val="28"/>
        </w:rPr>
        <w:t>9</w:t>
      </w:r>
    </w:p>
    <w:p w14:paraId="6B4E48F4" w14:textId="77777777" w:rsidR="00730C89" w:rsidRPr="0098414F" w:rsidRDefault="00141B2B" w:rsidP="00730C89">
      <w:pPr>
        <w:spacing w:after="0" w:line="480" w:lineRule="auto"/>
        <w:jc w:val="center"/>
        <w:rPr>
          <w:rFonts w:ascii="Times New Roman" w:hAnsi="Times New Roman"/>
          <w:b/>
          <w:sz w:val="28"/>
        </w:rPr>
      </w:pPr>
      <w:r>
        <w:rPr>
          <w:rFonts w:ascii="Times New Roman" w:hAnsi="Times New Roman"/>
          <w:b/>
          <w:sz w:val="28"/>
        </w:rPr>
        <w:t xml:space="preserve">Método Devengado </w:t>
      </w:r>
    </w:p>
    <w:p w14:paraId="3551B15A" w14:textId="77777777" w:rsidR="00730C89" w:rsidRPr="0098414F" w:rsidRDefault="00730C89" w:rsidP="00730C89">
      <w:pPr>
        <w:spacing w:after="0" w:line="480" w:lineRule="auto"/>
        <w:jc w:val="center"/>
        <w:rPr>
          <w:rFonts w:ascii="Times New Roman" w:hAnsi="Times New Roman"/>
          <w:b/>
          <w:sz w:val="28"/>
        </w:rPr>
      </w:pPr>
    </w:p>
    <w:p w14:paraId="1A0D9527" w14:textId="77777777" w:rsidR="00730C89" w:rsidRPr="0098414F" w:rsidRDefault="00730C89" w:rsidP="00730C89">
      <w:pPr>
        <w:spacing w:after="0" w:line="480" w:lineRule="auto"/>
        <w:jc w:val="center"/>
        <w:rPr>
          <w:rFonts w:ascii="Times New Roman" w:hAnsi="Times New Roman"/>
          <w:b/>
          <w:sz w:val="28"/>
        </w:rPr>
      </w:pPr>
    </w:p>
    <w:p w14:paraId="161FA946" w14:textId="77777777" w:rsidR="00BF6F04" w:rsidRPr="0098414F" w:rsidRDefault="004B5C88">
      <w:pPr>
        <w:rPr>
          <w:rFonts w:ascii="Times New Roman" w:hAnsi="Times New Roman"/>
        </w:rPr>
        <w:sectPr w:rsidR="00BF6F04" w:rsidRPr="0098414F" w:rsidSect="00AB0F28">
          <w:headerReference w:type="default" r:id="rId102"/>
          <w:headerReference w:type="first" r:id="rId103"/>
          <w:pgSz w:w="15840" w:h="12240" w:orient="landscape"/>
          <w:pgMar w:top="284" w:right="1440" w:bottom="426" w:left="1440" w:header="426" w:footer="720" w:gutter="0"/>
          <w:cols w:space="720"/>
          <w:docGrid w:linePitch="360"/>
        </w:sectPr>
      </w:pPr>
      <w:r w:rsidRPr="0098414F">
        <w:rPr>
          <w:rFonts w:ascii="Times New Roman" w:hAnsi="Times New Roman"/>
          <w:noProof/>
          <w:lang w:eastAsia="es-DO"/>
        </w:rPr>
        <mc:AlternateContent>
          <mc:Choice Requires="wps">
            <w:drawing>
              <wp:anchor distT="0" distB="0" distL="114300" distR="114300" simplePos="0" relativeHeight="251669504" behindDoc="0" locked="0" layoutInCell="1" allowOverlap="1" wp14:anchorId="16E03B05" wp14:editId="3344E238">
                <wp:simplePos x="0" y="0"/>
                <wp:positionH relativeFrom="margin">
                  <wp:posOffset>6978906</wp:posOffset>
                </wp:positionH>
                <wp:positionV relativeFrom="paragraph">
                  <wp:posOffset>1878965</wp:posOffset>
                </wp:positionV>
                <wp:extent cx="1360805" cy="542290"/>
                <wp:effectExtent l="0" t="0" r="10795" b="10160"/>
                <wp:wrapNone/>
                <wp:docPr id="19" name="1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0805" cy="5422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B104A0" id="19 Rectángulo" o:spid="_x0000_s1026" style="position:absolute;margin-left:549.5pt;margin-top:147.95pt;width:107.15pt;height:42.7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" fillcolor="white [3212]" strokecolor="white [3212]" strokeweight="2pt">
                <v:path arrowok="t"/>
                <w10:wrap anchorx="margin"/>
              </v:rect>
            </w:pict>
          </mc:Fallback>
        </mc:AlternateContent>
      </w:r>
      <w:r w:rsidR="00BF6F04" w:rsidRPr="0098414F">
        <w:rPr>
          <w:rFonts w:ascii="Times New Roman" w:hAnsi="Times New Roman"/>
        </w:rPr>
        <w:br w:type="page"/>
      </w:r>
    </w:p>
    <w:p w14:paraId="57ADAD6F" w14:textId="11B8E4D8" w:rsidR="00DB6A17" w:rsidRPr="0098414F" w:rsidRDefault="00192499" w:rsidP="00192499">
      <w:pPr>
        <w:spacing w:after="0"/>
        <w:ind w:firstLine="720"/>
        <w:jc w:val="center"/>
        <w:rPr>
          <w:rFonts w:ascii="Times New Roman" w:hAnsi="Times New Roman"/>
          <w:b/>
        </w:rPr>
      </w:pPr>
      <w:r w:rsidRPr="0098414F">
        <w:rPr>
          <w:rFonts w:ascii="Times New Roman" w:hAnsi="Times New Roman"/>
          <w:b/>
        </w:rPr>
        <w:lastRenderedPageBreak/>
        <w:t xml:space="preserve">Ejecución de </w:t>
      </w:r>
      <w:r w:rsidR="002E323B">
        <w:rPr>
          <w:rFonts w:ascii="Times New Roman" w:hAnsi="Times New Roman"/>
          <w:b/>
        </w:rPr>
        <w:t>p</w:t>
      </w:r>
      <w:r w:rsidR="007A7FBF">
        <w:rPr>
          <w:rFonts w:ascii="Times New Roman" w:hAnsi="Times New Roman"/>
          <w:b/>
        </w:rPr>
        <w:t>resupuestaria por objeto y cuenta</w:t>
      </w:r>
      <w:r w:rsidRPr="0098414F">
        <w:rPr>
          <w:rFonts w:ascii="Times New Roman" w:hAnsi="Times New Roman"/>
          <w:b/>
        </w:rPr>
        <w:t xml:space="preserve"> </w:t>
      </w:r>
    </w:p>
    <w:p w14:paraId="3CE34E58" w14:textId="320E0CA8" w:rsidR="00192499" w:rsidRPr="0098414F" w:rsidRDefault="00A02FEF" w:rsidP="00192499">
      <w:pPr>
        <w:spacing w:after="0"/>
        <w:ind w:firstLine="720"/>
        <w:jc w:val="center"/>
        <w:rPr>
          <w:rFonts w:ascii="Times New Roman" w:hAnsi="Times New Roman"/>
          <w:b/>
        </w:rPr>
      </w:pPr>
      <w:r>
        <w:rPr>
          <w:rFonts w:ascii="Times New Roman" w:hAnsi="Times New Roman"/>
          <w:b/>
        </w:rPr>
        <w:t xml:space="preserve">Método </w:t>
      </w:r>
      <w:r w:rsidR="002E323B">
        <w:rPr>
          <w:rFonts w:ascii="Times New Roman" w:hAnsi="Times New Roman"/>
          <w:b/>
        </w:rPr>
        <w:t>d</w:t>
      </w:r>
      <w:r>
        <w:rPr>
          <w:rFonts w:ascii="Times New Roman" w:hAnsi="Times New Roman"/>
          <w:b/>
        </w:rPr>
        <w:t>evengado</w:t>
      </w:r>
      <w:r w:rsidR="00192499" w:rsidRPr="0098414F">
        <w:rPr>
          <w:rFonts w:ascii="Times New Roman" w:hAnsi="Times New Roman"/>
          <w:b/>
        </w:rPr>
        <w:t>, año 201</w:t>
      </w:r>
      <w:r w:rsidR="007A7FBF">
        <w:rPr>
          <w:rFonts w:ascii="Times New Roman" w:hAnsi="Times New Roman"/>
          <w:b/>
        </w:rPr>
        <w:t>9</w:t>
      </w:r>
    </w:p>
    <w:p w14:paraId="774169B2" w14:textId="3BF6DFFF" w:rsidR="00192499" w:rsidRDefault="00192499" w:rsidP="00192499">
      <w:pPr>
        <w:spacing w:after="0"/>
        <w:ind w:firstLine="720"/>
        <w:jc w:val="center"/>
        <w:rPr>
          <w:rFonts w:ascii="Times New Roman" w:hAnsi="Times New Roman"/>
          <w:b/>
        </w:rPr>
      </w:pPr>
      <w:r w:rsidRPr="0098414F">
        <w:rPr>
          <w:rFonts w:ascii="Times New Roman" w:hAnsi="Times New Roman"/>
          <w:b/>
        </w:rPr>
        <w:t xml:space="preserve">Valores </w:t>
      </w:r>
      <w:r w:rsidR="002E323B">
        <w:rPr>
          <w:rFonts w:ascii="Times New Roman" w:hAnsi="Times New Roman"/>
          <w:b/>
        </w:rPr>
        <w:t>e</w:t>
      </w:r>
      <w:r w:rsidRPr="0098414F">
        <w:rPr>
          <w:rFonts w:ascii="Times New Roman" w:hAnsi="Times New Roman"/>
          <w:b/>
        </w:rPr>
        <w:t>xpresados en RD$</w:t>
      </w:r>
    </w:p>
    <w:p w14:paraId="26D2B781" w14:textId="77777777" w:rsidR="002E323B" w:rsidRPr="0098414F" w:rsidRDefault="002E323B" w:rsidP="00192499">
      <w:pPr>
        <w:spacing w:after="0"/>
        <w:ind w:firstLine="720"/>
        <w:jc w:val="center"/>
        <w:rPr>
          <w:rFonts w:ascii="Times New Roman" w:hAnsi="Times New Roman"/>
          <w:b/>
        </w:rPr>
      </w:pPr>
    </w:p>
    <w:tbl>
      <w:tblPr>
        <w:tblW w:w="1035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5675"/>
        <w:gridCol w:w="1490"/>
        <w:gridCol w:w="1840"/>
        <w:gridCol w:w="1352"/>
      </w:tblGrid>
      <w:tr w:rsidR="002E323B" w:rsidRPr="002E323B" w14:paraId="73B18EC2" w14:textId="77777777" w:rsidTr="004F5C2C">
        <w:trPr>
          <w:trHeight w:val="77"/>
          <w:jc w:val="center"/>
        </w:trPr>
        <w:tc>
          <w:tcPr>
            <w:tcW w:w="5675"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7C256571" w14:textId="77777777" w:rsidR="002E323B" w:rsidRPr="002E323B" w:rsidRDefault="002E323B" w:rsidP="002E323B">
            <w:pPr>
              <w:spacing w:after="0"/>
              <w:jc w:val="center"/>
              <w:rPr>
                <w:rFonts w:ascii="Times New Roman" w:hAnsi="Times New Roman"/>
                <w:b/>
                <w:bCs/>
                <w:color w:val="FFFFFF"/>
                <w:sz w:val="18"/>
                <w:szCs w:val="18"/>
                <w:lang w:eastAsia="es-DO"/>
              </w:rPr>
            </w:pPr>
            <w:r w:rsidRPr="002E323B">
              <w:rPr>
                <w:rFonts w:ascii="Times New Roman" w:hAnsi="Times New Roman"/>
                <w:b/>
                <w:bCs/>
                <w:color w:val="FFFFFF"/>
                <w:sz w:val="18"/>
                <w:szCs w:val="18"/>
                <w:lang w:val="en-US" w:eastAsia="es-DO"/>
              </w:rPr>
              <w:t>Capítulo 210 / Cuenta</w:t>
            </w:r>
          </w:p>
        </w:tc>
        <w:tc>
          <w:tcPr>
            <w:tcW w:w="1490"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41B1A041" w14:textId="77777777" w:rsidR="002E323B" w:rsidRPr="002E323B" w:rsidRDefault="002E323B" w:rsidP="002E323B">
            <w:pPr>
              <w:spacing w:after="0"/>
              <w:jc w:val="center"/>
              <w:rPr>
                <w:rFonts w:ascii="Times New Roman" w:hAnsi="Times New Roman"/>
                <w:b/>
                <w:bCs/>
                <w:color w:val="FFFFFF"/>
                <w:sz w:val="18"/>
                <w:szCs w:val="18"/>
                <w:lang w:eastAsia="es-DO"/>
              </w:rPr>
            </w:pPr>
            <w:r w:rsidRPr="002E323B">
              <w:rPr>
                <w:rFonts w:ascii="Times New Roman" w:hAnsi="Times New Roman"/>
                <w:b/>
                <w:bCs/>
                <w:color w:val="FFFFFF"/>
                <w:sz w:val="18"/>
                <w:szCs w:val="18"/>
                <w:lang w:val="en-US" w:eastAsia="es-DO"/>
              </w:rPr>
              <w:t>Balance de apropiación</w:t>
            </w:r>
          </w:p>
        </w:tc>
        <w:tc>
          <w:tcPr>
            <w:tcW w:w="1840"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53EF675B" w14:textId="77777777" w:rsidR="002E323B" w:rsidRDefault="002E323B" w:rsidP="002E323B">
            <w:pPr>
              <w:spacing w:after="0"/>
              <w:jc w:val="center"/>
              <w:rPr>
                <w:rFonts w:ascii="Times New Roman" w:hAnsi="Times New Roman"/>
                <w:b/>
                <w:bCs/>
                <w:color w:val="FFFFFF"/>
                <w:sz w:val="18"/>
                <w:szCs w:val="18"/>
                <w:lang w:eastAsia="es-DO"/>
              </w:rPr>
            </w:pPr>
            <w:r w:rsidRPr="002E323B">
              <w:rPr>
                <w:rFonts w:ascii="Times New Roman" w:hAnsi="Times New Roman"/>
                <w:b/>
                <w:bCs/>
                <w:color w:val="FFFFFF"/>
                <w:sz w:val="18"/>
                <w:szCs w:val="18"/>
                <w:lang w:eastAsia="es-DO"/>
              </w:rPr>
              <w:t>Total</w:t>
            </w:r>
            <w:r>
              <w:rPr>
                <w:rFonts w:ascii="Times New Roman" w:hAnsi="Times New Roman"/>
                <w:b/>
                <w:bCs/>
                <w:color w:val="FFFFFF"/>
                <w:sz w:val="18"/>
                <w:szCs w:val="18"/>
                <w:lang w:eastAsia="es-DO"/>
              </w:rPr>
              <w:t xml:space="preserve"> </w:t>
            </w:r>
          </w:p>
          <w:p w14:paraId="565DAF5C" w14:textId="67076EFD" w:rsidR="002E323B" w:rsidRPr="002E323B" w:rsidRDefault="002E323B" w:rsidP="002E323B">
            <w:pPr>
              <w:spacing w:after="0"/>
              <w:jc w:val="center"/>
              <w:rPr>
                <w:rFonts w:ascii="Times New Roman" w:hAnsi="Times New Roman"/>
                <w:b/>
                <w:bCs/>
                <w:color w:val="FFFFFF"/>
                <w:sz w:val="18"/>
                <w:szCs w:val="18"/>
                <w:lang w:eastAsia="es-DO"/>
              </w:rPr>
            </w:pPr>
            <w:r>
              <w:rPr>
                <w:rFonts w:ascii="Times New Roman" w:hAnsi="Times New Roman"/>
                <w:b/>
                <w:bCs/>
                <w:color w:val="FFFFFF"/>
                <w:sz w:val="18"/>
                <w:szCs w:val="18"/>
                <w:lang w:eastAsia="es-DO"/>
              </w:rPr>
              <w:t>Ejecutado</w:t>
            </w:r>
            <w:r w:rsidRPr="001C082F">
              <w:rPr>
                <w:rStyle w:val="Refdenotaalpie"/>
                <w:rFonts w:ascii="Times New Roman" w:hAnsi="Times New Roman"/>
                <w:b/>
                <w:bCs/>
                <w:color w:val="FFFFFF" w:themeColor="background1"/>
                <w:sz w:val="18"/>
                <w:szCs w:val="20"/>
                <w:shd w:val="clear" w:color="auto" w:fill="00B050"/>
                <w:lang w:val="en-US" w:eastAsia="en-US"/>
              </w:rPr>
              <w:footnoteReference w:id="37"/>
            </w:r>
          </w:p>
        </w:tc>
        <w:tc>
          <w:tcPr>
            <w:tcW w:w="1352" w:type="dxa"/>
            <w:tcBorders>
              <w:top w:val="single" w:sz="4" w:space="0" w:color="auto"/>
              <w:left w:val="single" w:sz="4" w:space="0" w:color="auto"/>
              <w:bottom w:val="single" w:sz="4" w:space="0" w:color="auto"/>
              <w:right w:val="single" w:sz="4" w:space="0" w:color="auto"/>
            </w:tcBorders>
            <w:shd w:val="clear" w:color="000000" w:fill="00B050"/>
            <w:noWrap/>
            <w:vAlign w:val="center"/>
            <w:hideMark/>
          </w:tcPr>
          <w:p w14:paraId="631D3CC7" w14:textId="77777777" w:rsidR="002E323B" w:rsidRPr="002E323B" w:rsidRDefault="002E323B" w:rsidP="002E323B">
            <w:pPr>
              <w:spacing w:after="0"/>
              <w:jc w:val="center"/>
              <w:rPr>
                <w:rFonts w:ascii="Times New Roman" w:hAnsi="Times New Roman"/>
                <w:b/>
                <w:bCs/>
                <w:color w:val="FFFFFF"/>
                <w:sz w:val="18"/>
                <w:szCs w:val="18"/>
                <w:lang w:eastAsia="es-DO"/>
              </w:rPr>
            </w:pPr>
            <w:r w:rsidRPr="002E323B">
              <w:rPr>
                <w:rFonts w:ascii="Times New Roman" w:hAnsi="Times New Roman"/>
                <w:b/>
                <w:bCs/>
                <w:color w:val="FFFFFF"/>
                <w:sz w:val="18"/>
                <w:szCs w:val="18"/>
                <w:lang w:eastAsia="es-DO"/>
              </w:rPr>
              <w:t>Balance por ejecutar</w:t>
            </w:r>
          </w:p>
        </w:tc>
      </w:tr>
      <w:tr w:rsidR="002E323B" w:rsidRPr="002E323B" w14:paraId="7148838F" w14:textId="77777777" w:rsidTr="00E47FB2">
        <w:trPr>
          <w:trHeight w:val="285"/>
          <w:jc w:val="center"/>
        </w:trPr>
        <w:tc>
          <w:tcPr>
            <w:tcW w:w="5675" w:type="dxa"/>
            <w:tcBorders>
              <w:top w:val="single" w:sz="4" w:space="0" w:color="auto"/>
            </w:tcBorders>
            <w:shd w:val="clear" w:color="auto" w:fill="auto"/>
            <w:noWrap/>
            <w:vAlign w:val="bottom"/>
            <w:hideMark/>
          </w:tcPr>
          <w:p w14:paraId="6134626A" w14:textId="77777777" w:rsidR="002E323B" w:rsidRPr="002E323B" w:rsidRDefault="002E323B" w:rsidP="002E323B">
            <w:pPr>
              <w:spacing w:after="0"/>
              <w:rPr>
                <w:rFonts w:ascii="Times New Roman" w:hAnsi="Times New Roman"/>
                <w:b/>
                <w:bCs/>
                <w:i/>
                <w:iCs/>
                <w:sz w:val="18"/>
                <w:szCs w:val="18"/>
                <w:lang w:eastAsia="es-DO"/>
              </w:rPr>
            </w:pPr>
            <w:r w:rsidRPr="002E323B">
              <w:rPr>
                <w:rFonts w:ascii="Times New Roman" w:hAnsi="Times New Roman"/>
                <w:b/>
                <w:bCs/>
                <w:i/>
                <w:iCs/>
                <w:sz w:val="18"/>
                <w:szCs w:val="18"/>
                <w:lang w:eastAsia="es-DO"/>
              </w:rPr>
              <w:t>TOTAL A+B+C+D+E (F-100)</w:t>
            </w:r>
          </w:p>
        </w:tc>
        <w:tc>
          <w:tcPr>
            <w:tcW w:w="1490" w:type="dxa"/>
            <w:tcBorders>
              <w:top w:val="single" w:sz="4" w:space="0" w:color="auto"/>
            </w:tcBorders>
            <w:shd w:val="clear" w:color="auto" w:fill="auto"/>
            <w:noWrap/>
            <w:vAlign w:val="bottom"/>
            <w:hideMark/>
          </w:tcPr>
          <w:p w14:paraId="31B05C58" w14:textId="77777777" w:rsidR="002E323B" w:rsidRPr="002E323B" w:rsidRDefault="002E323B" w:rsidP="002E323B">
            <w:pPr>
              <w:spacing w:after="0"/>
              <w:jc w:val="right"/>
              <w:rPr>
                <w:rFonts w:ascii="Times New Roman" w:hAnsi="Times New Roman"/>
                <w:b/>
                <w:bCs/>
                <w:i/>
                <w:iCs/>
                <w:sz w:val="18"/>
                <w:szCs w:val="18"/>
                <w:lang w:eastAsia="es-DO"/>
              </w:rPr>
            </w:pPr>
            <w:r w:rsidRPr="002E323B">
              <w:rPr>
                <w:rFonts w:ascii="Times New Roman" w:hAnsi="Times New Roman"/>
                <w:b/>
                <w:bCs/>
                <w:i/>
                <w:iCs/>
                <w:sz w:val="18"/>
                <w:szCs w:val="18"/>
                <w:lang w:eastAsia="es-DO"/>
              </w:rPr>
              <w:t>13,002,271,937.00</w:t>
            </w:r>
          </w:p>
        </w:tc>
        <w:tc>
          <w:tcPr>
            <w:tcW w:w="1840" w:type="dxa"/>
            <w:tcBorders>
              <w:top w:val="single" w:sz="4" w:space="0" w:color="auto"/>
            </w:tcBorders>
            <w:shd w:val="clear" w:color="auto" w:fill="auto"/>
            <w:noWrap/>
            <w:vAlign w:val="bottom"/>
            <w:hideMark/>
          </w:tcPr>
          <w:p w14:paraId="55D35BA8" w14:textId="77777777" w:rsidR="002E323B" w:rsidRPr="002E323B" w:rsidRDefault="002E323B" w:rsidP="002E323B">
            <w:pPr>
              <w:spacing w:after="0"/>
              <w:jc w:val="right"/>
              <w:rPr>
                <w:rFonts w:ascii="Times New Roman" w:hAnsi="Times New Roman"/>
                <w:b/>
                <w:bCs/>
                <w:i/>
                <w:iCs/>
                <w:sz w:val="18"/>
                <w:szCs w:val="18"/>
                <w:lang w:eastAsia="es-DO"/>
              </w:rPr>
            </w:pPr>
            <w:r w:rsidRPr="002E323B">
              <w:rPr>
                <w:rFonts w:ascii="Times New Roman" w:hAnsi="Times New Roman"/>
                <w:b/>
                <w:bCs/>
                <w:i/>
                <w:iCs/>
                <w:sz w:val="18"/>
                <w:szCs w:val="18"/>
                <w:lang w:eastAsia="es-DO"/>
              </w:rPr>
              <w:t>12,929,366,244.34</w:t>
            </w:r>
          </w:p>
        </w:tc>
        <w:tc>
          <w:tcPr>
            <w:tcW w:w="1352" w:type="dxa"/>
            <w:tcBorders>
              <w:top w:val="single" w:sz="4" w:space="0" w:color="auto"/>
            </w:tcBorders>
            <w:shd w:val="clear" w:color="auto" w:fill="auto"/>
            <w:noWrap/>
            <w:vAlign w:val="bottom"/>
            <w:hideMark/>
          </w:tcPr>
          <w:p w14:paraId="28702502" w14:textId="77777777" w:rsidR="002E323B" w:rsidRPr="002E323B" w:rsidRDefault="002E323B" w:rsidP="002E323B">
            <w:pPr>
              <w:spacing w:after="0"/>
              <w:jc w:val="right"/>
              <w:rPr>
                <w:rFonts w:ascii="Times New Roman" w:hAnsi="Times New Roman"/>
                <w:b/>
                <w:bCs/>
                <w:i/>
                <w:iCs/>
                <w:sz w:val="18"/>
                <w:szCs w:val="18"/>
                <w:lang w:eastAsia="es-DO"/>
              </w:rPr>
            </w:pPr>
            <w:r w:rsidRPr="002E323B">
              <w:rPr>
                <w:rFonts w:ascii="Times New Roman" w:hAnsi="Times New Roman"/>
                <w:b/>
                <w:bCs/>
                <w:i/>
                <w:iCs/>
                <w:sz w:val="18"/>
                <w:szCs w:val="18"/>
                <w:lang w:eastAsia="es-DO"/>
              </w:rPr>
              <w:t>72,905,692.66</w:t>
            </w:r>
          </w:p>
        </w:tc>
      </w:tr>
      <w:tr w:rsidR="002E323B" w:rsidRPr="002E323B" w14:paraId="63114A6D" w14:textId="77777777" w:rsidTr="00E47FB2">
        <w:trPr>
          <w:trHeight w:val="285"/>
          <w:jc w:val="center"/>
        </w:trPr>
        <w:tc>
          <w:tcPr>
            <w:tcW w:w="5675" w:type="dxa"/>
            <w:shd w:val="clear" w:color="auto" w:fill="auto"/>
            <w:noWrap/>
            <w:vAlign w:val="bottom"/>
            <w:hideMark/>
          </w:tcPr>
          <w:p w14:paraId="05EBE9E2" w14:textId="77777777" w:rsidR="002E323B" w:rsidRPr="002E323B" w:rsidRDefault="002E323B" w:rsidP="002E323B">
            <w:pPr>
              <w:spacing w:after="0"/>
              <w:rPr>
                <w:rFonts w:ascii="Times New Roman" w:hAnsi="Times New Roman"/>
                <w:b/>
                <w:bCs/>
                <w:i/>
                <w:iCs/>
                <w:sz w:val="18"/>
                <w:szCs w:val="18"/>
                <w:lang w:eastAsia="es-DO"/>
              </w:rPr>
            </w:pPr>
            <w:r w:rsidRPr="002E323B">
              <w:rPr>
                <w:rFonts w:ascii="Times New Roman" w:hAnsi="Times New Roman"/>
                <w:b/>
                <w:bCs/>
                <w:i/>
                <w:iCs/>
                <w:sz w:val="18"/>
                <w:szCs w:val="18"/>
                <w:lang w:eastAsia="es-DO"/>
              </w:rPr>
              <w:t>A. GASTOS CORRIENTES</w:t>
            </w:r>
          </w:p>
        </w:tc>
        <w:tc>
          <w:tcPr>
            <w:tcW w:w="1490" w:type="dxa"/>
            <w:shd w:val="clear" w:color="auto" w:fill="auto"/>
            <w:noWrap/>
            <w:vAlign w:val="bottom"/>
            <w:hideMark/>
          </w:tcPr>
          <w:p w14:paraId="467829FD" w14:textId="77777777" w:rsidR="002E323B" w:rsidRPr="002E323B" w:rsidRDefault="002E323B" w:rsidP="002E323B">
            <w:pPr>
              <w:spacing w:after="0"/>
              <w:jc w:val="right"/>
              <w:rPr>
                <w:rFonts w:ascii="Times New Roman" w:hAnsi="Times New Roman"/>
                <w:b/>
                <w:bCs/>
                <w:i/>
                <w:iCs/>
                <w:sz w:val="18"/>
                <w:szCs w:val="18"/>
                <w:lang w:eastAsia="es-DO"/>
              </w:rPr>
            </w:pPr>
            <w:r w:rsidRPr="002E323B">
              <w:rPr>
                <w:rFonts w:ascii="Times New Roman" w:hAnsi="Times New Roman"/>
                <w:b/>
                <w:bCs/>
                <w:i/>
                <w:iCs/>
                <w:sz w:val="18"/>
                <w:szCs w:val="18"/>
                <w:lang w:eastAsia="es-DO"/>
              </w:rPr>
              <w:t>8,250,792,823.00</w:t>
            </w:r>
          </w:p>
        </w:tc>
        <w:tc>
          <w:tcPr>
            <w:tcW w:w="1840" w:type="dxa"/>
            <w:shd w:val="clear" w:color="auto" w:fill="auto"/>
            <w:noWrap/>
            <w:vAlign w:val="bottom"/>
            <w:hideMark/>
          </w:tcPr>
          <w:p w14:paraId="0AEFB32B" w14:textId="77777777" w:rsidR="002E323B" w:rsidRPr="002E323B" w:rsidRDefault="002E323B" w:rsidP="002E323B">
            <w:pPr>
              <w:spacing w:after="0"/>
              <w:jc w:val="right"/>
              <w:rPr>
                <w:rFonts w:ascii="Times New Roman" w:hAnsi="Times New Roman"/>
                <w:b/>
                <w:bCs/>
                <w:i/>
                <w:iCs/>
                <w:sz w:val="18"/>
                <w:szCs w:val="18"/>
                <w:lang w:eastAsia="es-DO"/>
              </w:rPr>
            </w:pPr>
            <w:r w:rsidRPr="002E323B">
              <w:rPr>
                <w:rFonts w:ascii="Times New Roman" w:hAnsi="Times New Roman"/>
                <w:b/>
                <w:bCs/>
                <w:i/>
                <w:iCs/>
                <w:sz w:val="18"/>
                <w:szCs w:val="18"/>
                <w:lang w:eastAsia="es-DO"/>
              </w:rPr>
              <w:t>8,604,958,600.99</w:t>
            </w:r>
          </w:p>
        </w:tc>
        <w:tc>
          <w:tcPr>
            <w:tcW w:w="1352" w:type="dxa"/>
            <w:shd w:val="clear" w:color="auto" w:fill="auto"/>
            <w:noWrap/>
            <w:vAlign w:val="bottom"/>
            <w:hideMark/>
          </w:tcPr>
          <w:p w14:paraId="28B92D73" w14:textId="77777777" w:rsidR="002E323B" w:rsidRPr="002E323B" w:rsidRDefault="002E323B" w:rsidP="002E323B">
            <w:pPr>
              <w:spacing w:after="0"/>
              <w:jc w:val="right"/>
              <w:rPr>
                <w:rFonts w:ascii="Times New Roman" w:hAnsi="Times New Roman"/>
                <w:b/>
                <w:bCs/>
                <w:i/>
                <w:iCs/>
                <w:sz w:val="18"/>
                <w:szCs w:val="18"/>
                <w:lang w:eastAsia="es-DO"/>
              </w:rPr>
            </w:pPr>
            <w:r w:rsidRPr="002E323B">
              <w:rPr>
                <w:rFonts w:ascii="Times New Roman" w:hAnsi="Times New Roman"/>
                <w:b/>
                <w:bCs/>
                <w:i/>
                <w:iCs/>
                <w:sz w:val="18"/>
                <w:szCs w:val="18"/>
                <w:lang w:eastAsia="es-DO"/>
              </w:rPr>
              <w:t>-354,165,777.99</w:t>
            </w:r>
          </w:p>
        </w:tc>
      </w:tr>
      <w:tr w:rsidR="002E323B" w:rsidRPr="002E323B" w14:paraId="162F2978" w14:textId="77777777" w:rsidTr="00E47FB2">
        <w:trPr>
          <w:trHeight w:val="300"/>
          <w:jc w:val="center"/>
        </w:trPr>
        <w:tc>
          <w:tcPr>
            <w:tcW w:w="5675" w:type="dxa"/>
            <w:shd w:val="clear" w:color="000000" w:fill="808080"/>
            <w:noWrap/>
            <w:vAlign w:val="bottom"/>
            <w:hideMark/>
          </w:tcPr>
          <w:p w14:paraId="29611389" w14:textId="77777777" w:rsidR="002E323B" w:rsidRPr="00D0109F" w:rsidRDefault="002E323B" w:rsidP="002E323B">
            <w:pPr>
              <w:spacing w:after="0"/>
              <w:rPr>
                <w:rFonts w:ascii="Times New Roman" w:hAnsi="Times New Roman"/>
                <w:b/>
                <w:bCs/>
                <w:i/>
                <w:iCs/>
                <w:color w:val="FFFFFF" w:themeColor="background1"/>
                <w:sz w:val="18"/>
                <w:szCs w:val="18"/>
                <w:lang w:eastAsia="es-DO"/>
              </w:rPr>
            </w:pPr>
            <w:r w:rsidRPr="00D0109F">
              <w:rPr>
                <w:rFonts w:ascii="Times New Roman" w:hAnsi="Times New Roman"/>
                <w:b/>
                <w:bCs/>
                <w:i/>
                <w:iCs/>
                <w:color w:val="FFFFFF" w:themeColor="background1"/>
                <w:sz w:val="18"/>
                <w:szCs w:val="18"/>
                <w:lang w:eastAsia="es-DO"/>
              </w:rPr>
              <w:t>1- Servicios Personales</w:t>
            </w:r>
          </w:p>
        </w:tc>
        <w:tc>
          <w:tcPr>
            <w:tcW w:w="1490" w:type="dxa"/>
            <w:shd w:val="clear" w:color="000000" w:fill="808080"/>
            <w:noWrap/>
            <w:vAlign w:val="bottom"/>
            <w:hideMark/>
          </w:tcPr>
          <w:p w14:paraId="0C3743BE" w14:textId="77777777" w:rsidR="002E323B" w:rsidRPr="00D0109F" w:rsidRDefault="002E323B" w:rsidP="002E323B">
            <w:pPr>
              <w:spacing w:after="0"/>
              <w:jc w:val="right"/>
              <w:rPr>
                <w:rFonts w:ascii="Times New Roman" w:hAnsi="Times New Roman"/>
                <w:b/>
                <w:bCs/>
                <w:i/>
                <w:iCs/>
                <w:color w:val="FFFFFF" w:themeColor="background1"/>
                <w:sz w:val="18"/>
                <w:szCs w:val="18"/>
                <w:lang w:eastAsia="es-DO"/>
              </w:rPr>
            </w:pPr>
            <w:r w:rsidRPr="00D0109F">
              <w:rPr>
                <w:rFonts w:ascii="Times New Roman" w:hAnsi="Times New Roman"/>
                <w:b/>
                <w:bCs/>
                <w:i/>
                <w:iCs/>
                <w:color w:val="FFFFFF" w:themeColor="background1"/>
                <w:sz w:val="18"/>
                <w:szCs w:val="18"/>
                <w:lang w:eastAsia="es-DO"/>
              </w:rPr>
              <w:t>2,677,979,129.00</w:t>
            </w:r>
          </w:p>
        </w:tc>
        <w:tc>
          <w:tcPr>
            <w:tcW w:w="1840" w:type="dxa"/>
            <w:shd w:val="clear" w:color="000000" w:fill="808080"/>
            <w:noWrap/>
            <w:vAlign w:val="bottom"/>
            <w:hideMark/>
          </w:tcPr>
          <w:p w14:paraId="3F2E82C0" w14:textId="77777777" w:rsidR="002E323B" w:rsidRPr="00D0109F" w:rsidRDefault="002E323B" w:rsidP="002E323B">
            <w:pPr>
              <w:spacing w:after="0"/>
              <w:jc w:val="right"/>
              <w:rPr>
                <w:rFonts w:ascii="Times New Roman" w:hAnsi="Times New Roman"/>
                <w:b/>
                <w:bCs/>
                <w:i/>
                <w:iCs/>
                <w:color w:val="FFFFFF" w:themeColor="background1"/>
                <w:sz w:val="18"/>
                <w:szCs w:val="18"/>
                <w:lang w:eastAsia="es-DO"/>
              </w:rPr>
            </w:pPr>
            <w:r w:rsidRPr="00D0109F">
              <w:rPr>
                <w:rFonts w:ascii="Times New Roman" w:hAnsi="Times New Roman"/>
                <w:b/>
                <w:bCs/>
                <w:i/>
                <w:iCs/>
                <w:color w:val="FFFFFF" w:themeColor="background1"/>
                <w:sz w:val="18"/>
                <w:szCs w:val="18"/>
                <w:lang w:eastAsia="es-DO"/>
              </w:rPr>
              <w:t>2,917,028,586.78</w:t>
            </w:r>
          </w:p>
        </w:tc>
        <w:tc>
          <w:tcPr>
            <w:tcW w:w="1352" w:type="dxa"/>
            <w:shd w:val="clear" w:color="000000" w:fill="808080"/>
            <w:noWrap/>
            <w:vAlign w:val="bottom"/>
            <w:hideMark/>
          </w:tcPr>
          <w:p w14:paraId="765AD876" w14:textId="77777777" w:rsidR="002E323B" w:rsidRPr="00D0109F" w:rsidRDefault="002E323B" w:rsidP="002E323B">
            <w:pPr>
              <w:spacing w:after="0"/>
              <w:jc w:val="right"/>
              <w:rPr>
                <w:rFonts w:ascii="Times New Roman" w:hAnsi="Times New Roman"/>
                <w:b/>
                <w:bCs/>
                <w:i/>
                <w:iCs/>
                <w:color w:val="FFFFFF" w:themeColor="background1"/>
                <w:sz w:val="18"/>
                <w:szCs w:val="18"/>
                <w:lang w:eastAsia="es-DO"/>
              </w:rPr>
            </w:pPr>
            <w:r w:rsidRPr="00D0109F">
              <w:rPr>
                <w:rFonts w:ascii="Times New Roman" w:hAnsi="Times New Roman"/>
                <w:b/>
                <w:bCs/>
                <w:i/>
                <w:iCs/>
                <w:color w:val="FFFFFF" w:themeColor="background1"/>
                <w:sz w:val="18"/>
                <w:szCs w:val="18"/>
                <w:lang w:eastAsia="es-DO"/>
              </w:rPr>
              <w:t>-239,049,457.78</w:t>
            </w:r>
          </w:p>
        </w:tc>
      </w:tr>
      <w:tr w:rsidR="002E323B" w:rsidRPr="002E323B" w14:paraId="3B598D0B" w14:textId="77777777" w:rsidTr="00E47FB2">
        <w:trPr>
          <w:trHeight w:val="255"/>
          <w:jc w:val="center"/>
        </w:trPr>
        <w:tc>
          <w:tcPr>
            <w:tcW w:w="5675" w:type="dxa"/>
            <w:shd w:val="clear" w:color="auto" w:fill="auto"/>
            <w:noWrap/>
            <w:vAlign w:val="bottom"/>
            <w:hideMark/>
          </w:tcPr>
          <w:p w14:paraId="2A56AB26"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2.1.1.1.01- Sueldos fijos</w:t>
            </w:r>
          </w:p>
        </w:tc>
        <w:tc>
          <w:tcPr>
            <w:tcW w:w="1490" w:type="dxa"/>
            <w:shd w:val="clear" w:color="auto" w:fill="auto"/>
            <w:noWrap/>
            <w:vAlign w:val="bottom"/>
            <w:hideMark/>
          </w:tcPr>
          <w:p w14:paraId="59F0A06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1,869,725,783.00</w:t>
            </w:r>
          </w:p>
        </w:tc>
        <w:tc>
          <w:tcPr>
            <w:tcW w:w="1840" w:type="dxa"/>
            <w:shd w:val="clear" w:color="000000" w:fill="FFFFFF"/>
            <w:noWrap/>
            <w:vAlign w:val="bottom"/>
            <w:hideMark/>
          </w:tcPr>
          <w:p w14:paraId="7F457F5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1,994,296,010.73</w:t>
            </w:r>
          </w:p>
        </w:tc>
        <w:tc>
          <w:tcPr>
            <w:tcW w:w="1352" w:type="dxa"/>
            <w:shd w:val="clear" w:color="auto" w:fill="auto"/>
            <w:noWrap/>
            <w:vAlign w:val="bottom"/>
            <w:hideMark/>
          </w:tcPr>
          <w:p w14:paraId="2832AE6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-124,570,227.73</w:t>
            </w:r>
          </w:p>
        </w:tc>
      </w:tr>
      <w:tr w:rsidR="002E323B" w:rsidRPr="002E323B" w14:paraId="414DC93F" w14:textId="77777777" w:rsidTr="00E47FB2">
        <w:trPr>
          <w:trHeight w:val="255"/>
          <w:jc w:val="center"/>
        </w:trPr>
        <w:tc>
          <w:tcPr>
            <w:tcW w:w="5675" w:type="dxa"/>
            <w:shd w:val="clear" w:color="auto" w:fill="auto"/>
            <w:noWrap/>
            <w:vAlign w:val="bottom"/>
            <w:hideMark/>
          </w:tcPr>
          <w:p w14:paraId="7584C0D9"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2.1.1.2.01Sueldos personal contratado e igualado.  </w:t>
            </w:r>
          </w:p>
        </w:tc>
        <w:tc>
          <w:tcPr>
            <w:tcW w:w="1490" w:type="dxa"/>
            <w:shd w:val="clear" w:color="auto" w:fill="auto"/>
            <w:noWrap/>
            <w:vAlign w:val="bottom"/>
            <w:hideMark/>
          </w:tcPr>
          <w:p w14:paraId="00E74D9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17,050,000.00</w:t>
            </w:r>
          </w:p>
        </w:tc>
        <w:tc>
          <w:tcPr>
            <w:tcW w:w="1840" w:type="dxa"/>
            <w:shd w:val="clear" w:color="000000" w:fill="FFFFFF"/>
            <w:noWrap/>
            <w:vAlign w:val="bottom"/>
            <w:hideMark/>
          </w:tcPr>
          <w:p w14:paraId="4497ED4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26,628,666.66</w:t>
            </w:r>
          </w:p>
        </w:tc>
        <w:tc>
          <w:tcPr>
            <w:tcW w:w="1352" w:type="dxa"/>
            <w:shd w:val="clear" w:color="auto" w:fill="auto"/>
            <w:noWrap/>
            <w:vAlign w:val="bottom"/>
            <w:hideMark/>
          </w:tcPr>
          <w:p w14:paraId="13766D5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-9,578,666.66</w:t>
            </w:r>
          </w:p>
        </w:tc>
      </w:tr>
      <w:tr w:rsidR="002E323B" w:rsidRPr="002E323B" w14:paraId="226CA585" w14:textId="77777777" w:rsidTr="00E47FB2">
        <w:trPr>
          <w:trHeight w:val="255"/>
          <w:jc w:val="center"/>
        </w:trPr>
        <w:tc>
          <w:tcPr>
            <w:tcW w:w="5675" w:type="dxa"/>
            <w:shd w:val="clear" w:color="auto" w:fill="auto"/>
            <w:noWrap/>
            <w:vAlign w:val="bottom"/>
            <w:hideMark/>
          </w:tcPr>
          <w:p w14:paraId="602E4E86"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2.1.1.2.04-Sueldos personal por servicios especiales</w:t>
            </w:r>
          </w:p>
        </w:tc>
        <w:tc>
          <w:tcPr>
            <w:tcW w:w="1490" w:type="dxa"/>
            <w:shd w:val="clear" w:color="auto" w:fill="auto"/>
            <w:noWrap/>
            <w:vAlign w:val="bottom"/>
            <w:hideMark/>
          </w:tcPr>
          <w:p w14:paraId="6B87664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129,090,238.00</w:t>
            </w:r>
          </w:p>
        </w:tc>
        <w:tc>
          <w:tcPr>
            <w:tcW w:w="1840" w:type="dxa"/>
            <w:shd w:val="clear" w:color="000000" w:fill="FFFFFF"/>
            <w:noWrap/>
            <w:vAlign w:val="bottom"/>
            <w:hideMark/>
          </w:tcPr>
          <w:p w14:paraId="446CD9A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203,613,870.00</w:t>
            </w:r>
          </w:p>
        </w:tc>
        <w:tc>
          <w:tcPr>
            <w:tcW w:w="1352" w:type="dxa"/>
            <w:shd w:val="clear" w:color="auto" w:fill="auto"/>
            <w:noWrap/>
            <w:vAlign w:val="bottom"/>
            <w:hideMark/>
          </w:tcPr>
          <w:p w14:paraId="1EE7171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-74,523,632.00</w:t>
            </w:r>
          </w:p>
        </w:tc>
      </w:tr>
      <w:tr w:rsidR="002E323B" w:rsidRPr="002E323B" w14:paraId="03E7AB0C" w14:textId="77777777" w:rsidTr="00E47FB2">
        <w:trPr>
          <w:trHeight w:val="255"/>
          <w:jc w:val="center"/>
        </w:trPr>
        <w:tc>
          <w:tcPr>
            <w:tcW w:w="5675" w:type="dxa"/>
            <w:shd w:val="clear" w:color="auto" w:fill="auto"/>
            <w:noWrap/>
            <w:vAlign w:val="bottom"/>
            <w:hideMark/>
          </w:tcPr>
          <w:p w14:paraId="3D169797"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2.1.1.2.05-Sueldos al personal nominal en periodo probatorio </w:t>
            </w:r>
          </w:p>
        </w:tc>
        <w:tc>
          <w:tcPr>
            <w:tcW w:w="1490" w:type="dxa"/>
            <w:shd w:val="clear" w:color="auto" w:fill="auto"/>
            <w:noWrap/>
            <w:vAlign w:val="bottom"/>
            <w:hideMark/>
          </w:tcPr>
          <w:p w14:paraId="26C23F2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25,362,075.00</w:t>
            </w:r>
          </w:p>
        </w:tc>
        <w:tc>
          <w:tcPr>
            <w:tcW w:w="1840" w:type="dxa"/>
            <w:shd w:val="clear" w:color="000000" w:fill="FFFFFF"/>
            <w:noWrap/>
            <w:vAlign w:val="bottom"/>
            <w:hideMark/>
          </w:tcPr>
          <w:p w14:paraId="04FD264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22,658,450.00</w:t>
            </w:r>
          </w:p>
        </w:tc>
        <w:tc>
          <w:tcPr>
            <w:tcW w:w="1352" w:type="dxa"/>
            <w:shd w:val="clear" w:color="auto" w:fill="auto"/>
            <w:noWrap/>
            <w:vAlign w:val="bottom"/>
            <w:hideMark/>
          </w:tcPr>
          <w:p w14:paraId="7EB1BE8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2,703,625.00</w:t>
            </w:r>
          </w:p>
        </w:tc>
      </w:tr>
      <w:tr w:rsidR="002E323B" w:rsidRPr="002E323B" w14:paraId="00D97F99" w14:textId="77777777" w:rsidTr="00E47FB2">
        <w:trPr>
          <w:trHeight w:val="255"/>
          <w:jc w:val="center"/>
        </w:trPr>
        <w:tc>
          <w:tcPr>
            <w:tcW w:w="5675" w:type="dxa"/>
            <w:shd w:val="clear" w:color="auto" w:fill="auto"/>
            <w:noWrap/>
            <w:vAlign w:val="bottom"/>
            <w:hideMark/>
          </w:tcPr>
          <w:p w14:paraId="6999A906" w14:textId="638A7030"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2.1.1.3.01-Sueldos al personal fijo en </w:t>
            </w:r>
            <w:r w:rsidR="00FB47EB" w:rsidRPr="002E323B">
              <w:rPr>
                <w:rFonts w:ascii="Times New Roman" w:hAnsi="Times New Roman"/>
                <w:i/>
                <w:iCs/>
                <w:sz w:val="18"/>
                <w:szCs w:val="18"/>
                <w:lang w:eastAsia="es-DO"/>
              </w:rPr>
              <w:t>trámite</w:t>
            </w:r>
            <w:r w:rsidRPr="002E323B">
              <w:rPr>
                <w:rFonts w:ascii="Times New Roman" w:hAnsi="Times New Roman"/>
                <w:i/>
                <w:iCs/>
                <w:sz w:val="18"/>
                <w:szCs w:val="18"/>
                <w:lang w:eastAsia="es-DO"/>
              </w:rPr>
              <w:t xml:space="preserve"> de pensión</w:t>
            </w:r>
          </w:p>
        </w:tc>
        <w:tc>
          <w:tcPr>
            <w:tcW w:w="1490" w:type="dxa"/>
            <w:shd w:val="clear" w:color="auto" w:fill="auto"/>
            <w:noWrap/>
            <w:vAlign w:val="bottom"/>
            <w:hideMark/>
          </w:tcPr>
          <w:p w14:paraId="46F637D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96,452,424.00</w:t>
            </w:r>
          </w:p>
        </w:tc>
        <w:tc>
          <w:tcPr>
            <w:tcW w:w="1840" w:type="dxa"/>
            <w:shd w:val="clear" w:color="000000" w:fill="FFFFFF"/>
            <w:noWrap/>
            <w:vAlign w:val="bottom"/>
            <w:hideMark/>
          </w:tcPr>
          <w:p w14:paraId="6EC8820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113,894,075.63</w:t>
            </w:r>
          </w:p>
        </w:tc>
        <w:tc>
          <w:tcPr>
            <w:tcW w:w="1352" w:type="dxa"/>
            <w:shd w:val="clear" w:color="auto" w:fill="auto"/>
            <w:noWrap/>
            <w:vAlign w:val="bottom"/>
            <w:hideMark/>
          </w:tcPr>
          <w:p w14:paraId="1D31215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-17,441,651.63</w:t>
            </w:r>
          </w:p>
        </w:tc>
      </w:tr>
      <w:tr w:rsidR="002E323B" w:rsidRPr="002E323B" w14:paraId="3A1DA241" w14:textId="77777777" w:rsidTr="00E47FB2">
        <w:trPr>
          <w:trHeight w:val="255"/>
          <w:jc w:val="center"/>
        </w:trPr>
        <w:tc>
          <w:tcPr>
            <w:tcW w:w="5675" w:type="dxa"/>
            <w:shd w:val="clear" w:color="auto" w:fill="auto"/>
            <w:noWrap/>
            <w:vAlign w:val="bottom"/>
            <w:hideMark/>
          </w:tcPr>
          <w:p w14:paraId="3300B466"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2.1.1.4.01-Gratificación y Bonificación</w:t>
            </w:r>
          </w:p>
        </w:tc>
        <w:tc>
          <w:tcPr>
            <w:tcW w:w="1490" w:type="dxa"/>
            <w:shd w:val="clear" w:color="auto" w:fill="auto"/>
            <w:noWrap/>
            <w:vAlign w:val="bottom"/>
            <w:hideMark/>
          </w:tcPr>
          <w:p w14:paraId="3D15802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167,566,123.00</w:t>
            </w:r>
          </w:p>
        </w:tc>
        <w:tc>
          <w:tcPr>
            <w:tcW w:w="1840" w:type="dxa"/>
            <w:shd w:val="clear" w:color="000000" w:fill="FFFFFF"/>
            <w:noWrap/>
            <w:vAlign w:val="bottom"/>
            <w:hideMark/>
          </w:tcPr>
          <w:p w14:paraId="7CE2280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167,405,753.00</w:t>
            </w:r>
          </w:p>
        </w:tc>
        <w:tc>
          <w:tcPr>
            <w:tcW w:w="1352" w:type="dxa"/>
            <w:shd w:val="clear" w:color="auto" w:fill="auto"/>
            <w:noWrap/>
            <w:vAlign w:val="bottom"/>
            <w:hideMark/>
          </w:tcPr>
          <w:p w14:paraId="0B2589A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160,370.00</w:t>
            </w:r>
          </w:p>
        </w:tc>
      </w:tr>
      <w:tr w:rsidR="002E323B" w:rsidRPr="002E323B" w14:paraId="27825E13" w14:textId="77777777" w:rsidTr="00E47FB2">
        <w:trPr>
          <w:trHeight w:val="255"/>
          <w:jc w:val="center"/>
        </w:trPr>
        <w:tc>
          <w:tcPr>
            <w:tcW w:w="5675" w:type="dxa"/>
            <w:shd w:val="clear" w:color="auto" w:fill="auto"/>
            <w:noWrap/>
            <w:vAlign w:val="bottom"/>
            <w:hideMark/>
          </w:tcPr>
          <w:p w14:paraId="1DE67D5E"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2.1.1.5.01-Prestaciones Laborales</w:t>
            </w:r>
          </w:p>
        </w:tc>
        <w:tc>
          <w:tcPr>
            <w:tcW w:w="1490" w:type="dxa"/>
            <w:shd w:val="clear" w:color="auto" w:fill="auto"/>
            <w:noWrap/>
            <w:vAlign w:val="bottom"/>
            <w:hideMark/>
          </w:tcPr>
          <w:p w14:paraId="2E644C4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58CE099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162,092.10</w:t>
            </w:r>
          </w:p>
        </w:tc>
        <w:tc>
          <w:tcPr>
            <w:tcW w:w="1352" w:type="dxa"/>
            <w:shd w:val="clear" w:color="auto" w:fill="auto"/>
            <w:noWrap/>
            <w:vAlign w:val="bottom"/>
            <w:hideMark/>
          </w:tcPr>
          <w:p w14:paraId="7351E31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-162,092.10</w:t>
            </w:r>
          </w:p>
        </w:tc>
      </w:tr>
      <w:tr w:rsidR="002E323B" w:rsidRPr="002E323B" w14:paraId="38C248A5" w14:textId="77777777" w:rsidTr="00E47FB2">
        <w:trPr>
          <w:trHeight w:val="255"/>
          <w:jc w:val="center"/>
        </w:trPr>
        <w:tc>
          <w:tcPr>
            <w:tcW w:w="5675" w:type="dxa"/>
            <w:shd w:val="clear" w:color="auto" w:fill="auto"/>
            <w:noWrap/>
            <w:vAlign w:val="bottom"/>
            <w:hideMark/>
          </w:tcPr>
          <w:p w14:paraId="4F5FBBAB" w14:textId="5B3A783C"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2.1.1.5.0</w:t>
            </w:r>
            <w:r w:rsidR="00FB47EB">
              <w:rPr>
                <w:rFonts w:ascii="Times New Roman" w:hAnsi="Times New Roman"/>
                <w:i/>
                <w:iCs/>
                <w:sz w:val="18"/>
                <w:szCs w:val="18"/>
                <w:lang w:eastAsia="es-DO"/>
              </w:rPr>
              <w:t>4-Proporción de vacaciones no di</w:t>
            </w:r>
            <w:r w:rsidRPr="002E323B">
              <w:rPr>
                <w:rFonts w:ascii="Times New Roman" w:hAnsi="Times New Roman"/>
                <w:i/>
                <w:iCs/>
                <w:sz w:val="18"/>
                <w:szCs w:val="18"/>
                <w:lang w:eastAsia="es-DO"/>
              </w:rPr>
              <w:t>sfrutadas</w:t>
            </w:r>
          </w:p>
        </w:tc>
        <w:tc>
          <w:tcPr>
            <w:tcW w:w="1490" w:type="dxa"/>
            <w:shd w:val="clear" w:color="auto" w:fill="auto"/>
            <w:noWrap/>
            <w:vAlign w:val="bottom"/>
            <w:hideMark/>
          </w:tcPr>
          <w:p w14:paraId="26AF74E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3423827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3,410,153.60</w:t>
            </w:r>
          </w:p>
        </w:tc>
        <w:tc>
          <w:tcPr>
            <w:tcW w:w="1352" w:type="dxa"/>
            <w:shd w:val="clear" w:color="auto" w:fill="auto"/>
            <w:noWrap/>
            <w:vAlign w:val="bottom"/>
            <w:hideMark/>
          </w:tcPr>
          <w:p w14:paraId="515158A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-3,410,153.60</w:t>
            </w:r>
          </w:p>
        </w:tc>
      </w:tr>
      <w:tr w:rsidR="002E323B" w:rsidRPr="002E323B" w14:paraId="2C241111" w14:textId="77777777" w:rsidTr="00E47FB2">
        <w:trPr>
          <w:trHeight w:val="255"/>
          <w:jc w:val="center"/>
        </w:trPr>
        <w:tc>
          <w:tcPr>
            <w:tcW w:w="5675" w:type="dxa"/>
            <w:shd w:val="clear" w:color="auto" w:fill="auto"/>
            <w:noWrap/>
            <w:vAlign w:val="bottom"/>
            <w:hideMark/>
          </w:tcPr>
          <w:p w14:paraId="1069BD35"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2.1.2.2.02 -Compensación por horas extraordinarias</w:t>
            </w:r>
          </w:p>
        </w:tc>
        <w:tc>
          <w:tcPr>
            <w:tcW w:w="1490" w:type="dxa"/>
            <w:shd w:val="clear" w:color="auto" w:fill="auto"/>
            <w:noWrap/>
            <w:vAlign w:val="bottom"/>
            <w:hideMark/>
          </w:tcPr>
          <w:p w14:paraId="438C56D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4,035,345.00</w:t>
            </w:r>
          </w:p>
        </w:tc>
        <w:tc>
          <w:tcPr>
            <w:tcW w:w="1840" w:type="dxa"/>
            <w:shd w:val="clear" w:color="000000" w:fill="FFFFFF"/>
            <w:noWrap/>
            <w:vAlign w:val="bottom"/>
            <w:hideMark/>
          </w:tcPr>
          <w:p w14:paraId="79ED80D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2,046,189.96</w:t>
            </w:r>
          </w:p>
        </w:tc>
        <w:tc>
          <w:tcPr>
            <w:tcW w:w="1352" w:type="dxa"/>
            <w:shd w:val="clear" w:color="auto" w:fill="auto"/>
            <w:noWrap/>
            <w:vAlign w:val="bottom"/>
            <w:hideMark/>
          </w:tcPr>
          <w:p w14:paraId="27741A5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1,989,155.04</w:t>
            </w:r>
          </w:p>
        </w:tc>
      </w:tr>
      <w:tr w:rsidR="002E323B" w:rsidRPr="002E323B" w14:paraId="48D29F29" w14:textId="77777777" w:rsidTr="00E47FB2">
        <w:trPr>
          <w:trHeight w:val="255"/>
          <w:jc w:val="center"/>
        </w:trPr>
        <w:tc>
          <w:tcPr>
            <w:tcW w:w="5675" w:type="dxa"/>
            <w:shd w:val="clear" w:color="auto" w:fill="auto"/>
            <w:noWrap/>
            <w:vAlign w:val="bottom"/>
            <w:hideMark/>
          </w:tcPr>
          <w:p w14:paraId="7EAF8440"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2.1.2.2.03 -Pago de horas extraordinarias</w:t>
            </w:r>
          </w:p>
        </w:tc>
        <w:tc>
          <w:tcPr>
            <w:tcW w:w="1490" w:type="dxa"/>
            <w:shd w:val="clear" w:color="auto" w:fill="auto"/>
            <w:noWrap/>
            <w:vAlign w:val="bottom"/>
            <w:hideMark/>
          </w:tcPr>
          <w:p w14:paraId="2E718B9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2,000,000.00</w:t>
            </w:r>
          </w:p>
        </w:tc>
        <w:tc>
          <w:tcPr>
            <w:tcW w:w="1840" w:type="dxa"/>
            <w:shd w:val="clear" w:color="000000" w:fill="FFFFFF"/>
            <w:noWrap/>
            <w:vAlign w:val="bottom"/>
            <w:hideMark/>
          </w:tcPr>
          <w:p w14:paraId="550572A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1,364,126.64</w:t>
            </w:r>
          </w:p>
        </w:tc>
        <w:tc>
          <w:tcPr>
            <w:tcW w:w="1352" w:type="dxa"/>
            <w:shd w:val="clear" w:color="auto" w:fill="auto"/>
            <w:noWrap/>
            <w:vAlign w:val="bottom"/>
            <w:hideMark/>
          </w:tcPr>
          <w:p w14:paraId="4D0B629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635,873.36</w:t>
            </w:r>
          </w:p>
        </w:tc>
      </w:tr>
      <w:tr w:rsidR="002E323B" w:rsidRPr="002E323B" w14:paraId="743AD0E5" w14:textId="77777777" w:rsidTr="00E47FB2">
        <w:trPr>
          <w:trHeight w:val="255"/>
          <w:jc w:val="center"/>
        </w:trPr>
        <w:tc>
          <w:tcPr>
            <w:tcW w:w="5675" w:type="dxa"/>
            <w:shd w:val="clear" w:color="auto" w:fill="auto"/>
            <w:noWrap/>
            <w:vAlign w:val="bottom"/>
            <w:hideMark/>
          </w:tcPr>
          <w:p w14:paraId="5330D357"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2.1.2.2.05-Compensación por servicio de seguridad</w:t>
            </w:r>
          </w:p>
        </w:tc>
        <w:tc>
          <w:tcPr>
            <w:tcW w:w="1490" w:type="dxa"/>
            <w:shd w:val="clear" w:color="auto" w:fill="auto"/>
            <w:noWrap/>
            <w:vAlign w:val="bottom"/>
            <w:hideMark/>
          </w:tcPr>
          <w:p w14:paraId="13289C9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11,722,333.00</w:t>
            </w:r>
          </w:p>
        </w:tc>
        <w:tc>
          <w:tcPr>
            <w:tcW w:w="1840" w:type="dxa"/>
            <w:shd w:val="clear" w:color="000000" w:fill="FFFFFF"/>
            <w:noWrap/>
            <w:vAlign w:val="bottom"/>
            <w:hideMark/>
          </w:tcPr>
          <w:p w14:paraId="180BA9C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11,659,305.96</w:t>
            </w:r>
          </w:p>
        </w:tc>
        <w:tc>
          <w:tcPr>
            <w:tcW w:w="1352" w:type="dxa"/>
            <w:shd w:val="clear" w:color="auto" w:fill="auto"/>
            <w:noWrap/>
            <w:vAlign w:val="bottom"/>
            <w:hideMark/>
          </w:tcPr>
          <w:p w14:paraId="127D83E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63,027.04</w:t>
            </w:r>
          </w:p>
        </w:tc>
      </w:tr>
      <w:tr w:rsidR="002E323B" w:rsidRPr="002E323B" w14:paraId="2A199166" w14:textId="77777777" w:rsidTr="00E47FB2">
        <w:trPr>
          <w:trHeight w:val="240"/>
          <w:jc w:val="center"/>
        </w:trPr>
        <w:tc>
          <w:tcPr>
            <w:tcW w:w="5675" w:type="dxa"/>
            <w:shd w:val="clear" w:color="auto" w:fill="auto"/>
            <w:noWrap/>
            <w:vAlign w:val="bottom"/>
            <w:hideMark/>
          </w:tcPr>
          <w:p w14:paraId="0F6CCB12"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2.1.2.2.09-Bono por desempeño</w:t>
            </w:r>
          </w:p>
        </w:tc>
        <w:tc>
          <w:tcPr>
            <w:tcW w:w="1490" w:type="dxa"/>
            <w:shd w:val="clear" w:color="auto" w:fill="auto"/>
            <w:noWrap/>
            <w:vAlign w:val="bottom"/>
            <w:hideMark/>
          </w:tcPr>
          <w:p w14:paraId="5BB717F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41,274,204.00</w:t>
            </w:r>
          </w:p>
        </w:tc>
        <w:tc>
          <w:tcPr>
            <w:tcW w:w="1840" w:type="dxa"/>
            <w:shd w:val="clear" w:color="000000" w:fill="FFFFFF"/>
            <w:noWrap/>
            <w:vAlign w:val="bottom"/>
            <w:hideMark/>
          </w:tcPr>
          <w:p w14:paraId="1A1FB2A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40,890,948.48</w:t>
            </w:r>
          </w:p>
        </w:tc>
        <w:tc>
          <w:tcPr>
            <w:tcW w:w="1352" w:type="dxa"/>
            <w:shd w:val="clear" w:color="auto" w:fill="auto"/>
            <w:noWrap/>
            <w:vAlign w:val="bottom"/>
            <w:hideMark/>
          </w:tcPr>
          <w:p w14:paraId="4D14980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383,255.52</w:t>
            </w:r>
          </w:p>
        </w:tc>
      </w:tr>
      <w:tr w:rsidR="002E323B" w:rsidRPr="002E323B" w14:paraId="6EB43B1D" w14:textId="77777777" w:rsidTr="00E47FB2">
        <w:trPr>
          <w:trHeight w:val="255"/>
          <w:jc w:val="center"/>
        </w:trPr>
        <w:tc>
          <w:tcPr>
            <w:tcW w:w="5675" w:type="dxa"/>
            <w:shd w:val="clear" w:color="auto" w:fill="auto"/>
            <w:noWrap/>
            <w:vAlign w:val="bottom"/>
            <w:hideMark/>
          </w:tcPr>
          <w:p w14:paraId="31EBC0C2"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2.1.5.1.01- Contrib. Seguro salud </w:t>
            </w:r>
          </w:p>
        </w:tc>
        <w:tc>
          <w:tcPr>
            <w:tcW w:w="1490" w:type="dxa"/>
            <w:shd w:val="clear" w:color="auto" w:fill="auto"/>
            <w:noWrap/>
            <w:vAlign w:val="bottom"/>
            <w:hideMark/>
          </w:tcPr>
          <w:p w14:paraId="3C4EAFF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198,441,377.00</w:t>
            </w:r>
          </w:p>
        </w:tc>
        <w:tc>
          <w:tcPr>
            <w:tcW w:w="1840" w:type="dxa"/>
            <w:shd w:val="clear" w:color="000000" w:fill="FFFFFF"/>
            <w:noWrap/>
            <w:vAlign w:val="bottom"/>
            <w:hideMark/>
          </w:tcPr>
          <w:p w14:paraId="31C24AC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151,943,703.42</w:t>
            </w:r>
          </w:p>
        </w:tc>
        <w:tc>
          <w:tcPr>
            <w:tcW w:w="1352" w:type="dxa"/>
            <w:shd w:val="clear" w:color="auto" w:fill="auto"/>
            <w:noWrap/>
            <w:vAlign w:val="bottom"/>
            <w:hideMark/>
          </w:tcPr>
          <w:p w14:paraId="05BAEA1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46,497,673.58</w:t>
            </w:r>
          </w:p>
        </w:tc>
      </w:tr>
      <w:tr w:rsidR="002E323B" w:rsidRPr="002E323B" w14:paraId="1DDA7776" w14:textId="77777777" w:rsidTr="00E47FB2">
        <w:trPr>
          <w:trHeight w:val="255"/>
          <w:jc w:val="center"/>
        </w:trPr>
        <w:tc>
          <w:tcPr>
            <w:tcW w:w="5675" w:type="dxa"/>
            <w:shd w:val="clear" w:color="auto" w:fill="auto"/>
            <w:noWrap/>
            <w:vAlign w:val="bottom"/>
            <w:hideMark/>
          </w:tcPr>
          <w:p w14:paraId="134CCCE9"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2.1.5.2.01-Contrib. Seguro de pensiones</w:t>
            </w:r>
          </w:p>
        </w:tc>
        <w:tc>
          <w:tcPr>
            <w:tcW w:w="1490" w:type="dxa"/>
            <w:shd w:val="clear" w:color="auto" w:fill="auto"/>
            <w:noWrap/>
            <w:vAlign w:val="bottom"/>
            <w:hideMark/>
          </w:tcPr>
          <w:p w14:paraId="045DC66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101,417,876.00</w:t>
            </w:r>
          </w:p>
        </w:tc>
        <w:tc>
          <w:tcPr>
            <w:tcW w:w="1840" w:type="dxa"/>
            <w:shd w:val="clear" w:color="000000" w:fill="FFFFFF"/>
            <w:noWrap/>
            <w:vAlign w:val="bottom"/>
            <w:hideMark/>
          </w:tcPr>
          <w:p w14:paraId="1C9173B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152,692,999.34</w:t>
            </w:r>
          </w:p>
        </w:tc>
        <w:tc>
          <w:tcPr>
            <w:tcW w:w="1352" w:type="dxa"/>
            <w:shd w:val="clear" w:color="auto" w:fill="auto"/>
            <w:noWrap/>
            <w:vAlign w:val="bottom"/>
            <w:hideMark/>
          </w:tcPr>
          <w:p w14:paraId="1311684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-51,275,123.34</w:t>
            </w:r>
          </w:p>
        </w:tc>
      </w:tr>
      <w:tr w:rsidR="002E323B" w:rsidRPr="002E323B" w14:paraId="535410B6" w14:textId="77777777" w:rsidTr="00E47FB2">
        <w:trPr>
          <w:trHeight w:val="270"/>
          <w:jc w:val="center"/>
        </w:trPr>
        <w:tc>
          <w:tcPr>
            <w:tcW w:w="5675" w:type="dxa"/>
            <w:shd w:val="clear" w:color="auto" w:fill="auto"/>
            <w:noWrap/>
            <w:vAlign w:val="bottom"/>
            <w:hideMark/>
          </w:tcPr>
          <w:p w14:paraId="6125B385"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2.1.5.3.01Contribuciones al Seguro de riesgo laboral</w:t>
            </w:r>
          </w:p>
        </w:tc>
        <w:tc>
          <w:tcPr>
            <w:tcW w:w="1490" w:type="dxa"/>
            <w:shd w:val="clear" w:color="auto" w:fill="auto"/>
            <w:noWrap/>
            <w:vAlign w:val="bottom"/>
            <w:hideMark/>
          </w:tcPr>
          <w:p w14:paraId="7E64E45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13,841,351.00</w:t>
            </w:r>
          </w:p>
        </w:tc>
        <w:tc>
          <w:tcPr>
            <w:tcW w:w="1840" w:type="dxa"/>
            <w:shd w:val="clear" w:color="000000" w:fill="FFFFFF"/>
            <w:noWrap/>
            <w:vAlign w:val="bottom"/>
            <w:hideMark/>
          </w:tcPr>
          <w:p w14:paraId="7F997E9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24,362,241.26</w:t>
            </w:r>
          </w:p>
        </w:tc>
        <w:tc>
          <w:tcPr>
            <w:tcW w:w="1352" w:type="dxa"/>
            <w:shd w:val="clear" w:color="auto" w:fill="auto"/>
            <w:noWrap/>
            <w:vAlign w:val="bottom"/>
            <w:hideMark/>
          </w:tcPr>
          <w:p w14:paraId="3E9ACA6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-10,520,890.26</w:t>
            </w:r>
          </w:p>
        </w:tc>
      </w:tr>
      <w:tr w:rsidR="002E323B" w:rsidRPr="002E323B" w14:paraId="094FD86E" w14:textId="77777777" w:rsidTr="00E47FB2">
        <w:trPr>
          <w:trHeight w:val="315"/>
          <w:jc w:val="center"/>
        </w:trPr>
        <w:tc>
          <w:tcPr>
            <w:tcW w:w="5675" w:type="dxa"/>
            <w:shd w:val="clear" w:color="auto" w:fill="808080" w:themeFill="background1" w:themeFillShade="80"/>
            <w:noWrap/>
            <w:vAlign w:val="bottom"/>
            <w:hideMark/>
          </w:tcPr>
          <w:p w14:paraId="5B11E58A" w14:textId="77777777" w:rsidR="002E323B" w:rsidRPr="002E323B" w:rsidRDefault="002E323B" w:rsidP="002E323B">
            <w:pPr>
              <w:spacing w:after="0"/>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2- Servicios No Personales</w:t>
            </w:r>
          </w:p>
        </w:tc>
        <w:tc>
          <w:tcPr>
            <w:tcW w:w="1490" w:type="dxa"/>
            <w:shd w:val="clear" w:color="auto" w:fill="808080" w:themeFill="background1" w:themeFillShade="80"/>
            <w:noWrap/>
            <w:vAlign w:val="bottom"/>
            <w:hideMark/>
          </w:tcPr>
          <w:p w14:paraId="589FCDA7" w14:textId="77777777" w:rsidR="002E323B" w:rsidRPr="002E323B" w:rsidRDefault="002E323B" w:rsidP="002E323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381,577,927.00</w:t>
            </w:r>
          </w:p>
        </w:tc>
        <w:tc>
          <w:tcPr>
            <w:tcW w:w="1840" w:type="dxa"/>
            <w:shd w:val="clear" w:color="auto" w:fill="808080" w:themeFill="background1" w:themeFillShade="80"/>
            <w:noWrap/>
            <w:vAlign w:val="bottom"/>
            <w:hideMark/>
          </w:tcPr>
          <w:p w14:paraId="05A15670" w14:textId="77777777" w:rsidR="002E323B" w:rsidRPr="002E323B" w:rsidRDefault="002E323B" w:rsidP="002E323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389,374,272.49</w:t>
            </w:r>
          </w:p>
        </w:tc>
        <w:tc>
          <w:tcPr>
            <w:tcW w:w="1352" w:type="dxa"/>
            <w:shd w:val="clear" w:color="auto" w:fill="808080" w:themeFill="background1" w:themeFillShade="80"/>
            <w:noWrap/>
            <w:vAlign w:val="bottom"/>
            <w:hideMark/>
          </w:tcPr>
          <w:p w14:paraId="197DC734" w14:textId="77777777" w:rsidR="002E323B" w:rsidRPr="002E323B" w:rsidRDefault="002E323B" w:rsidP="002E323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-7,796,345.49</w:t>
            </w:r>
          </w:p>
        </w:tc>
      </w:tr>
      <w:tr w:rsidR="002E323B" w:rsidRPr="002E323B" w14:paraId="2848F139" w14:textId="77777777" w:rsidTr="00E47FB2">
        <w:trPr>
          <w:trHeight w:val="255"/>
          <w:jc w:val="center"/>
        </w:trPr>
        <w:tc>
          <w:tcPr>
            <w:tcW w:w="5675" w:type="dxa"/>
            <w:shd w:val="clear" w:color="auto" w:fill="auto"/>
            <w:noWrap/>
            <w:vAlign w:val="bottom"/>
            <w:hideMark/>
          </w:tcPr>
          <w:p w14:paraId="572EB2D3"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2.2.1.2.01-Serv. De telefónico larg. Distancia</w:t>
            </w:r>
          </w:p>
        </w:tc>
        <w:tc>
          <w:tcPr>
            <w:tcW w:w="1490" w:type="dxa"/>
            <w:shd w:val="clear" w:color="auto" w:fill="auto"/>
            <w:noWrap/>
            <w:vAlign w:val="bottom"/>
            <w:hideMark/>
          </w:tcPr>
          <w:p w14:paraId="358F31B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4,000,000.00</w:t>
            </w:r>
          </w:p>
        </w:tc>
        <w:tc>
          <w:tcPr>
            <w:tcW w:w="1840" w:type="dxa"/>
            <w:shd w:val="clear" w:color="000000" w:fill="FFFFFF"/>
            <w:noWrap/>
            <w:vAlign w:val="bottom"/>
            <w:hideMark/>
          </w:tcPr>
          <w:p w14:paraId="5172933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1,709,965.60</w:t>
            </w:r>
          </w:p>
        </w:tc>
        <w:tc>
          <w:tcPr>
            <w:tcW w:w="1352" w:type="dxa"/>
            <w:shd w:val="clear" w:color="auto" w:fill="auto"/>
            <w:noWrap/>
            <w:vAlign w:val="bottom"/>
            <w:hideMark/>
          </w:tcPr>
          <w:p w14:paraId="33859F9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2,290,034.40</w:t>
            </w:r>
          </w:p>
        </w:tc>
      </w:tr>
      <w:tr w:rsidR="002E323B" w:rsidRPr="002E323B" w14:paraId="73A1FE9F" w14:textId="77777777" w:rsidTr="00E47FB2">
        <w:trPr>
          <w:trHeight w:val="255"/>
          <w:jc w:val="center"/>
        </w:trPr>
        <w:tc>
          <w:tcPr>
            <w:tcW w:w="5675" w:type="dxa"/>
            <w:shd w:val="clear" w:color="auto" w:fill="auto"/>
            <w:noWrap/>
            <w:vAlign w:val="bottom"/>
            <w:hideMark/>
          </w:tcPr>
          <w:p w14:paraId="115AF179"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2.2.1.3.01-Teléfono local</w:t>
            </w:r>
          </w:p>
        </w:tc>
        <w:tc>
          <w:tcPr>
            <w:tcW w:w="1490" w:type="dxa"/>
            <w:shd w:val="clear" w:color="auto" w:fill="auto"/>
            <w:noWrap/>
            <w:vAlign w:val="bottom"/>
            <w:hideMark/>
          </w:tcPr>
          <w:p w14:paraId="68EE79A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25,000,000.00</w:t>
            </w:r>
          </w:p>
        </w:tc>
        <w:tc>
          <w:tcPr>
            <w:tcW w:w="1840" w:type="dxa"/>
            <w:shd w:val="clear" w:color="000000" w:fill="FFFFFF"/>
            <w:noWrap/>
            <w:vAlign w:val="bottom"/>
            <w:hideMark/>
          </w:tcPr>
          <w:p w14:paraId="1FBE25E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31,605,212.32</w:t>
            </w:r>
          </w:p>
        </w:tc>
        <w:tc>
          <w:tcPr>
            <w:tcW w:w="1352" w:type="dxa"/>
            <w:shd w:val="clear" w:color="auto" w:fill="auto"/>
            <w:noWrap/>
            <w:vAlign w:val="bottom"/>
            <w:hideMark/>
          </w:tcPr>
          <w:p w14:paraId="5CC1032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-6,605,212.32</w:t>
            </w:r>
          </w:p>
        </w:tc>
      </w:tr>
      <w:tr w:rsidR="002E323B" w:rsidRPr="002E323B" w14:paraId="3C65E9C3" w14:textId="77777777" w:rsidTr="00E47FB2">
        <w:trPr>
          <w:trHeight w:val="255"/>
          <w:jc w:val="center"/>
        </w:trPr>
        <w:tc>
          <w:tcPr>
            <w:tcW w:w="5675" w:type="dxa"/>
            <w:shd w:val="clear" w:color="auto" w:fill="auto"/>
            <w:noWrap/>
            <w:vAlign w:val="bottom"/>
            <w:hideMark/>
          </w:tcPr>
          <w:p w14:paraId="28B220B6"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2.2.1.5.01-Servicios de internet y televisión por cable.</w:t>
            </w:r>
          </w:p>
        </w:tc>
        <w:tc>
          <w:tcPr>
            <w:tcW w:w="1490" w:type="dxa"/>
            <w:shd w:val="clear" w:color="auto" w:fill="auto"/>
            <w:noWrap/>
            <w:vAlign w:val="bottom"/>
            <w:hideMark/>
          </w:tcPr>
          <w:p w14:paraId="549D9ED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9,000,000.00</w:t>
            </w:r>
          </w:p>
        </w:tc>
        <w:tc>
          <w:tcPr>
            <w:tcW w:w="1840" w:type="dxa"/>
            <w:shd w:val="clear" w:color="000000" w:fill="FFFFFF"/>
            <w:noWrap/>
            <w:vAlign w:val="bottom"/>
            <w:hideMark/>
          </w:tcPr>
          <w:p w14:paraId="3DE364D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3,294,975.07</w:t>
            </w:r>
          </w:p>
        </w:tc>
        <w:tc>
          <w:tcPr>
            <w:tcW w:w="1352" w:type="dxa"/>
            <w:shd w:val="clear" w:color="auto" w:fill="auto"/>
            <w:noWrap/>
            <w:vAlign w:val="bottom"/>
            <w:hideMark/>
          </w:tcPr>
          <w:p w14:paraId="57A0519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5,705,024.93</w:t>
            </w:r>
          </w:p>
        </w:tc>
      </w:tr>
      <w:tr w:rsidR="002E323B" w:rsidRPr="002E323B" w14:paraId="15FF72DE" w14:textId="77777777" w:rsidTr="00E47FB2">
        <w:trPr>
          <w:trHeight w:val="255"/>
          <w:jc w:val="center"/>
        </w:trPr>
        <w:tc>
          <w:tcPr>
            <w:tcW w:w="5675" w:type="dxa"/>
            <w:shd w:val="clear" w:color="auto" w:fill="auto"/>
            <w:noWrap/>
            <w:vAlign w:val="bottom"/>
            <w:hideMark/>
          </w:tcPr>
          <w:p w14:paraId="2CC5BF9F"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2.2.1.6.01-Energía Eléctrica</w:t>
            </w:r>
          </w:p>
        </w:tc>
        <w:tc>
          <w:tcPr>
            <w:tcW w:w="1490" w:type="dxa"/>
            <w:shd w:val="clear" w:color="auto" w:fill="auto"/>
            <w:noWrap/>
            <w:vAlign w:val="bottom"/>
            <w:hideMark/>
          </w:tcPr>
          <w:p w14:paraId="3955122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51,000,000.00</w:t>
            </w:r>
          </w:p>
        </w:tc>
        <w:tc>
          <w:tcPr>
            <w:tcW w:w="1840" w:type="dxa"/>
            <w:shd w:val="clear" w:color="000000" w:fill="FFFFFF"/>
            <w:noWrap/>
            <w:vAlign w:val="bottom"/>
            <w:hideMark/>
          </w:tcPr>
          <w:p w14:paraId="0FA712E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58,636,021.30</w:t>
            </w:r>
          </w:p>
        </w:tc>
        <w:tc>
          <w:tcPr>
            <w:tcW w:w="1352" w:type="dxa"/>
            <w:shd w:val="clear" w:color="auto" w:fill="auto"/>
            <w:noWrap/>
            <w:vAlign w:val="bottom"/>
            <w:hideMark/>
          </w:tcPr>
          <w:p w14:paraId="178CF77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-7,636,021.30</w:t>
            </w:r>
          </w:p>
        </w:tc>
      </w:tr>
      <w:tr w:rsidR="002E323B" w:rsidRPr="002E323B" w14:paraId="2DB4FF08" w14:textId="77777777" w:rsidTr="00E47FB2">
        <w:trPr>
          <w:trHeight w:val="255"/>
          <w:jc w:val="center"/>
        </w:trPr>
        <w:tc>
          <w:tcPr>
            <w:tcW w:w="5675" w:type="dxa"/>
            <w:shd w:val="clear" w:color="auto" w:fill="auto"/>
            <w:noWrap/>
            <w:vAlign w:val="bottom"/>
            <w:hideMark/>
          </w:tcPr>
          <w:p w14:paraId="03E67D2D"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2.2.1.6.02-Energía no cortables</w:t>
            </w:r>
          </w:p>
        </w:tc>
        <w:tc>
          <w:tcPr>
            <w:tcW w:w="1490" w:type="dxa"/>
            <w:shd w:val="clear" w:color="auto" w:fill="auto"/>
            <w:noWrap/>
            <w:vAlign w:val="bottom"/>
            <w:hideMark/>
          </w:tcPr>
          <w:p w14:paraId="3C5CE89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44,505,110.00</w:t>
            </w:r>
          </w:p>
        </w:tc>
        <w:tc>
          <w:tcPr>
            <w:tcW w:w="1840" w:type="dxa"/>
            <w:shd w:val="clear" w:color="000000" w:fill="FFFFFF"/>
            <w:noWrap/>
            <w:vAlign w:val="bottom"/>
            <w:hideMark/>
          </w:tcPr>
          <w:p w14:paraId="53548A8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50,281,471.60</w:t>
            </w:r>
          </w:p>
        </w:tc>
        <w:tc>
          <w:tcPr>
            <w:tcW w:w="1352" w:type="dxa"/>
            <w:shd w:val="clear" w:color="auto" w:fill="auto"/>
            <w:noWrap/>
            <w:vAlign w:val="bottom"/>
            <w:hideMark/>
          </w:tcPr>
          <w:p w14:paraId="6D533F6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-5,776,361.60</w:t>
            </w:r>
          </w:p>
        </w:tc>
      </w:tr>
      <w:tr w:rsidR="002E323B" w:rsidRPr="002E323B" w14:paraId="603295EC" w14:textId="77777777" w:rsidTr="00E47FB2">
        <w:trPr>
          <w:trHeight w:val="255"/>
          <w:jc w:val="center"/>
        </w:trPr>
        <w:tc>
          <w:tcPr>
            <w:tcW w:w="5675" w:type="dxa"/>
            <w:shd w:val="clear" w:color="auto" w:fill="auto"/>
            <w:noWrap/>
            <w:vAlign w:val="bottom"/>
            <w:hideMark/>
          </w:tcPr>
          <w:p w14:paraId="13A8A5DC"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2.2.1.7.01-Agua</w:t>
            </w:r>
          </w:p>
        </w:tc>
        <w:tc>
          <w:tcPr>
            <w:tcW w:w="1490" w:type="dxa"/>
            <w:shd w:val="clear" w:color="auto" w:fill="auto"/>
            <w:noWrap/>
            <w:vAlign w:val="bottom"/>
            <w:hideMark/>
          </w:tcPr>
          <w:p w14:paraId="47EF952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500,000.00</w:t>
            </w:r>
          </w:p>
        </w:tc>
        <w:tc>
          <w:tcPr>
            <w:tcW w:w="1840" w:type="dxa"/>
            <w:shd w:val="clear" w:color="000000" w:fill="FFFFFF"/>
            <w:noWrap/>
            <w:vAlign w:val="bottom"/>
            <w:hideMark/>
          </w:tcPr>
          <w:p w14:paraId="4D38F34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503,312.00</w:t>
            </w:r>
          </w:p>
        </w:tc>
        <w:tc>
          <w:tcPr>
            <w:tcW w:w="1352" w:type="dxa"/>
            <w:shd w:val="clear" w:color="auto" w:fill="auto"/>
            <w:noWrap/>
            <w:vAlign w:val="bottom"/>
            <w:hideMark/>
          </w:tcPr>
          <w:p w14:paraId="1CD9879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-3,312.00</w:t>
            </w:r>
          </w:p>
        </w:tc>
      </w:tr>
      <w:tr w:rsidR="002E323B" w:rsidRPr="002E323B" w14:paraId="55F51E2F" w14:textId="77777777" w:rsidTr="00E47FB2">
        <w:trPr>
          <w:trHeight w:val="255"/>
          <w:jc w:val="center"/>
        </w:trPr>
        <w:tc>
          <w:tcPr>
            <w:tcW w:w="5675" w:type="dxa"/>
            <w:shd w:val="clear" w:color="000000" w:fill="FFFFFF"/>
            <w:noWrap/>
            <w:vAlign w:val="bottom"/>
            <w:hideMark/>
          </w:tcPr>
          <w:p w14:paraId="0FAE6D2F"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2.2.1.8.01-Recolección de residuos sólidos</w:t>
            </w:r>
          </w:p>
        </w:tc>
        <w:tc>
          <w:tcPr>
            <w:tcW w:w="1490" w:type="dxa"/>
            <w:shd w:val="clear" w:color="auto" w:fill="auto"/>
            <w:noWrap/>
            <w:vAlign w:val="bottom"/>
            <w:hideMark/>
          </w:tcPr>
          <w:p w14:paraId="319F4D8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505,000.00</w:t>
            </w:r>
          </w:p>
        </w:tc>
        <w:tc>
          <w:tcPr>
            <w:tcW w:w="1840" w:type="dxa"/>
            <w:shd w:val="clear" w:color="000000" w:fill="FFFFFF"/>
            <w:noWrap/>
            <w:vAlign w:val="bottom"/>
            <w:hideMark/>
          </w:tcPr>
          <w:p w14:paraId="476D5F3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151,782.00</w:t>
            </w:r>
          </w:p>
        </w:tc>
        <w:tc>
          <w:tcPr>
            <w:tcW w:w="1352" w:type="dxa"/>
            <w:shd w:val="clear" w:color="auto" w:fill="auto"/>
            <w:noWrap/>
            <w:vAlign w:val="bottom"/>
            <w:hideMark/>
          </w:tcPr>
          <w:p w14:paraId="49EAF63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353,218.00</w:t>
            </w:r>
          </w:p>
        </w:tc>
      </w:tr>
      <w:tr w:rsidR="002E323B" w:rsidRPr="002E323B" w14:paraId="57848331" w14:textId="77777777" w:rsidTr="00E47FB2">
        <w:trPr>
          <w:trHeight w:val="255"/>
          <w:jc w:val="center"/>
        </w:trPr>
        <w:tc>
          <w:tcPr>
            <w:tcW w:w="5675" w:type="dxa"/>
            <w:shd w:val="clear" w:color="000000" w:fill="FFFFFF"/>
            <w:noWrap/>
            <w:vAlign w:val="bottom"/>
            <w:hideMark/>
          </w:tcPr>
          <w:p w14:paraId="3793C85E"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2.2.2.1.01-Publicidad y propaganda</w:t>
            </w:r>
          </w:p>
        </w:tc>
        <w:tc>
          <w:tcPr>
            <w:tcW w:w="1490" w:type="dxa"/>
            <w:shd w:val="clear" w:color="auto" w:fill="auto"/>
            <w:noWrap/>
            <w:vAlign w:val="bottom"/>
            <w:hideMark/>
          </w:tcPr>
          <w:p w14:paraId="3B7A891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7,369,621.00</w:t>
            </w:r>
          </w:p>
        </w:tc>
        <w:tc>
          <w:tcPr>
            <w:tcW w:w="1840" w:type="dxa"/>
            <w:shd w:val="clear" w:color="000000" w:fill="FFFFFF"/>
            <w:noWrap/>
            <w:vAlign w:val="bottom"/>
            <w:hideMark/>
          </w:tcPr>
          <w:p w14:paraId="66E9905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6,560,575.64</w:t>
            </w:r>
          </w:p>
        </w:tc>
        <w:tc>
          <w:tcPr>
            <w:tcW w:w="1352" w:type="dxa"/>
            <w:shd w:val="clear" w:color="auto" w:fill="auto"/>
            <w:noWrap/>
            <w:vAlign w:val="bottom"/>
            <w:hideMark/>
          </w:tcPr>
          <w:p w14:paraId="29525B4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809,045.36</w:t>
            </w:r>
          </w:p>
        </w:tc>
      </w:tr>
      <w:tr w:rsidR="002E323B" w:rsidRPr="002E323B" w14:paraId="502030D8" w14:textId="77777777" w:rsidTr="00E47FB2">
        <w:trPr>
          <w:trHeight w:val="255"/>
          <w:jc w:val="center"/>
        </w:trPr>
        <w:tc>
          <w:tcPr>
            <w:tcW w:w="5675" w:type="dxa"/>
            <w:shd w:val="clear" w:color="000000" w:fill="FFFFFF"/>
            <w:noWrap/>
            <w:vAlign w:val="bottom"/>
            <w:hideMark/>
          </w:tcPr>
          <w:p w14:paraId="11A9C4D2"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2.2.2.2.01-Impresión y Encuadernación</w:t>
            </w:r>
          </w:p>
        </w:tc>
        <w:tc>
          <w:tcPr>
            <w:tcW w:w="1490" w:type="dxa"/>
            <w:shd w:val="clear" w:color="auto" w:fill="auto"/>
            <w:noWrap/>
            <w:vAlign w:val="bottom"/>
            <w:hideMark/>
          </w:tcPr>
          <w:p w14:paraId="38F073D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920,000.00</w:t>
            </w:r>
          </w:p>
        </w:tc>
        <w:tc>
          <w:tcPr>
            <w:tcW w:w="1840" w:type="dxa"/>
            <w:shd w:val="clear" w:color="000000" w:fill="FFFFFF"/>
            <w:noWrap/>
            <w:vAlign w:val="bottom"/>
            <w:hideMark/>
          </w:tcPr>
          <w:p w14:paraId="7B99113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872,315.00</w:t>
            </w:r>
          </w:p>
        </w:tc>
        <w:tc>
          <w:tcPr>
            <w:tcW w:w="1352" w:type="dxa"/>
            <w:shd w:val="clear" w:color="auto" w:fill="auto"/>
            <w:noWrap/>
            <w:vAlign w:val="bottom"/>
            <w:hideMark/>
          </w:tcPr>
          <w:p w14:paraId="3A364C7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47,685.00</w:t>
            </w:r>
          </w:p>
        </w:tc>
      </w:tr>
      <w:tr w:rsidR="002E323B" w:rsidRPr="002E323B" w14:paraId="4D159D4E" w14:textId="77777777" w:rsidTr="00E47FB2">
        <w:trPr>
          <w:trHeight w:val="255"/>
          <w:jc w:val="center"/>
        </w:trPr>
        <w:tc>
          <w:tcPr>
            <w:tcW w:w="5675" w:type="dxa"/>
            <w:shd w:val="clear" w:color="auto" w:fill="auto"/>
            <w:noWrap/>
            <w:vAlign w:val="bottom"/>
            <w:hideMark/>
          </w:tcPr>
          <w:p w14:paraId="7DFEB079"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2.2.3.1.01 -Viáticos dentro del país</w:t>
            </w:r>
          </w:p>
        </w:tc>
        <w:tc>
          <w:tcPr>
            <w:tcW w:w="1490" w:type="dxa"/>
            <w:shd w:val="clear" w:color="auto" w:fill="auto"/>
            <w:noWrap/>
            <w:vAlign w:val="bottom"/>
            <w:hideMark/>
          </w:tcPr>
          <w:p w14:paraId="2EC5024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100,000.00</w:t>
            </w:r>
          </w:p>
        </w:tc>
        <w:tc>
          <w:tcPr>
            <w:tcW w:w="1840" w:type="dxa"/>
            <w:shd w:val="clear" w:color="000000" w:fill="FFFFFF"/>
            <w:noWrap/>
            <w:vAlign w:val="bottom"/>
            <w:hideMark/>
          </w:tcPr>
          <w:p w14:paraId="56F51C0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1442431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100,000.00</w:t>
            </w:r>
          </w:p>
        </w:tc>
      </w:tr>
      <w:tr w:rsidR="002E323B" w:rsidRPr="002E323B" w14:paraId="04B027FF" w14:textId="77777777" w:rsidTr="00E47FB2">
        <w:trPr>
          <w:trHeight w:val="255"/>
          <w:jc w:val="center"/>
        </w:trPr>
        <w:tc>
          <w:tcPr>
            <w:tcW w:w="5675" w:type="dxa"/>
            <w:shd w:val="clear" w:color="auto" w:fill="auto"/>
            <w:noWrap/>
            <w:vAlign w:val="bottom"/>
            <w:hideMark/>
          </w:tcPr>
          <w:p w14:paraId="51409725"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2.2.4.1.01-Pasajes</w:t>
            </w:r>
          </w:p>
        </w:tc>
        <w:tc>
          <w:tcPr>
            <w:tcW w:w="1490" w:type="dxa"/>
            <w:shd w:val="clear" w:color="auto" w:fill="auto"/>
            <w:noWrap/>
            <w:vAlign w:val="bottom"/>
            <w:hideMark/>
          </w:tcPr>
          <w:p w14:paraId="35F3502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3,053,950.00</w:t>
            </w:r>
          </w:p>
        </w:tc>
        <w:tc>
          <w:tcPr>
            <w:tcW w:w="1840" w:type="dxa"/>
            <w:shd w:val="clear" w:color="000000" w:fill="FFFFFF"/>
            <w:noWrap/>
            <w:vAlign w:val="bottom"/>
            <w:hideMark/>
          </w:tcPr>
          <w:p w14:paraId="5257406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251,507.60</w:t>
            </w:r>
          </w:p>
        </w:tc>
        <w:tc>
          <w:tcPr>
            <w:tcW w:w="1352" w:type="dxa"/>
            <w:shd w:val="clear" w:color="auto" w:fill="auto"/>
            <w:noWrap/>
            <w:vAlign w:val="bottom"/>
            <w:hideMark/>
          </w:tcPr>
          <w:p w14:paraId="784EDE3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2,802,442.40</w:t>
            </w:r>
          </w:p>
        </w:tc>
      </w:tr>
      <w:tr w:rsidR="002E323B" w:rsidRPr="002E323B" w14:paraId="34C612A1" w14:textId="77777777" w:rsidTr="00E47FB2">
        <w:trPr>
          <w:trHeight w:val="255"/>
          <w:jc w:val="center"/>
        </w:trPr>
        <w:tc>
          <w:tcPr>
            <w:tcW w:w="5675" w:type="dxa"/>
            <w:shd w:val="clear" w:color="auto" w:fill="auto"/>
            <w:noWrap/>
            <w:vAlign w:val="bottom"/>
            <w:hideMark/>
          </w:tcPr>
          <w:p w14:paraId="74FB1BB4"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2.2.4.2.01-Fletes</w:t>
            </w:r>
          </w:p>
        </w:tc>
        <w:tc>
          <w:tcPr>
            <w:tcW w:w="1490" w:type="dxa"/>
            <w:shd w:val="clear" w:color="auto" w:fill="auto"/>
            <w:noWrap/>
            <w:vAlign w:val="bottom"/>
            <w:hideMark/>
          </w:tcPr>
          <w:p w14:paraId="6062BFD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50,000.00</w:t>
            </w:r>
          </w:p>
        </w:tc>
        <w:tc>
          <w:tcPr>
            <w:tcW w:w="1840" w:type="dxa"/>
            <w:shd w:val="clear" w:color="000000" w:fill="FFFFFF"/>
            <w:noWrap/>
            <w:vAlign w:val="bottom"/>
            <w:hideMark/>
          </w:tcPr>
          <w:p w14:paraId="4765F02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1,975,382.00</w:t>
            </w:r>
          </w:p>
        </w:tc>
        <w:tc>
          <w:tcPr>
            <w:tcW w:w="1352" w:type="dxa"/>
            <w:shd w:val="clear" w:color="auto" w:fill="auto"/>
            <w:noWrap/>
            <w:vAlign w:val="bottom"/>
            <w:hideMark/>
          </w:tcPr>
          <w:p w14:paraId="2CBB9EC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-1,925,382.00</w:t>
            </w:r>
          </w:p>
        </w:tc>
      </w:tr>
      <w:tr w:rsidR="002E323B" w:rsidRPr="002E323B" w14:paraId="7DED7F97" w14:textId="77777777" w:rsidTr="00E47FB2">
        <w:trPr>
          <w:trHeight w:val="255"/>
          <w:jc w:val="center"/>
        </w:trPr>
        <w:tc>
          <w:tcPr>
            <w:tcW w:w="5675" w:type="dxa"/>
            <w:shd w:val="clear" w:color="000000" w:fill="FFFFFF"/>
            <w:noWrap/>
            <w:vAlign w:val="bottom"/>
            <w:hideMark/>
          </w:tcPr>
          <w:p w14:paraId="2DC56D07"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2.2.4.3.01-Almacenajes</w:t>
            </w:r>
          </w:p>
        </w:tc>
        <w:tc>
          <w:tcPr>
            <w:tcW w:w="1490" w:type="dxa"/>
            <w:shd w:val="clear" w:color="auto" w:fill="auto"/>
            <w:noWrap/>
            <w:vAlign w:val="bottom"/>
            <w:hideMark/>
          </w:tcPr>
          <w:p w14:paraId="09F4646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7FBCD2D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09F1022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291EACC0" w14:textId="77777777" w:rsidTr="00E47FB2">
        <w:trPr>
          <w:trHeight w:val="255"/>
          <w:jc w:val="center"/>
        </w:trPr>
        <w:tc>
          <w:tcPr>
            <w:tcW w:w="5675" w:type="dxa"/>
            <w:shd w:val="clear" w:color="auto" w:fill="auto"/>
            <w:noWrap/>
            <w:vAlign w:val="bottom"/>
            <w:hideMark/>
          </w:tcPr>
          <w:p w14:paraId="1B44BEBE"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2.2.5.1.01-Alquileres y rentas de edificios y locales</w:t>
            </w:r>
          </w:p>
        </w:tc>
        <w:tc>
          <w:tcPr>
            <w:tcW w:w="1490" w:type="dxa"/>
            <w:shd w:val="clear" w:color="auto" w:fill="auto"/>
            <w:noWrap/>
            <w:vAlign w:val="bottom"/>
            <w:hideMark/>
          </w:tcPr>
          <w:p w14:paraId="37562E4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10,500.00</w:t>
            </w:r>
          </w:p>
        </w:tc>
        <w:tc>
          <w:tcPr>
            <w:tcW w:w="1840" w:type="dxa"/>
            <w:shd w:val="clear" w:color="000000" w:fill="FFFFFF"/>
            <w:noWrap/>
            <w:vAlign w:val="bottom"/>
            <w:hideMark/>
          </w:tcPr>
          <w:p w14:paraId="003B316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79E3897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10,500.00</w:t>
            </w:r>
          </w:p>
        </w:tc>
      </w:tr>
      <w:tr w:rsidR="002E323B" w:rsidRPr="002E323B" w14:paraId="28ABC918" w14:textId="77777777" w:rsidTr="00E47FB2">
        <w:trPr>
          <w:trHeight w:val="255"/>
          <w:jc w:val="center"/>
        </w:trPr>
        <w:tc>
          <w:tcPr>
            <w:tcW w:w="5675" w:type="dxa"/>
            <w:shd w:val="clear" w:color="auto" w:fill="auto"/>
            <w:noWrap/>
            <w:vAlign w:val="bottom"/>
            <w:hideMark/>
          </w:tcPr>
          <w:p w14:paraId="18D5FAEC"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2.2.5.2.01-Alquileres de equipos de producción</w:t>
            </w:r>
          </w:p>
        </w:tc>
        <w:tc>
          <w:tcPr>
            <w:tcW w:w="1490" w:type="dxa"/>
            <w:shd w:val="clear" w:color="auto" w:fill="auto"/>
            <w:noWrap/>
            <w:vAlign w:val="bottom"/>
            <w:hideMark/>
          </w:tcPr>
          <w:p w14:paraId="6407F9E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210B591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4B66252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5C703620" w14:textId="77777777" w:rsidTr="00E47FB2">
        <w:trPr>
          <w:trHeight w:val="255"/>
          <w:jc w:val="center"/>
        </w:trPr>
        <w:tc>
          <w:tcPr>
            <w:tcW w:w="5675" w:type="dxa"/>
            <w:shd w:val="clear" w:color="auto" w:fill="auto"/>
            <w:noWrap/>
            <w:vAlign w:val="bottom"/>
            <w:hideMark/>
          </w:tcPr>
          <w:p w14:paraId="614E7096"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2.2.5.3.03-Alquiler de equipo de comunicación</w:t>
            </w:r>
          </w:p>
        </w:tc>
        <w:tc>
          <w:tcPr>
            <w:tcW w:w="1490" w:type="dxa"/>
            <w:shd w:val="clear" w:color="auto" w:fill="auto"/>
            <w:noWrap/>
            <w:vAlign w:val="bottom"/>
            <w:hideMark/>
          </w:tcPr>
          <w:p w14:paraId="194226A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19D1875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1641268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66F7556F" w14:textId="77777777" w:rsidTr="00E47FB2">
        <w:trPr>
          <w:trHeight w:val="255"/>
          <w:jc w:val="center"/>
        </w:trPr>
        <w:tc>
          <w:tcPr>
            <w:tcW w:w="5675" w:type="dxa"/>
            <w:shd w:val="clear" w:color="auto" w:fill="auto"/>
            <w:noWrap/>
            <w:vAlign w:val="bottom"/>
            <w:hideMark/>
          </w:tcPr>
          <w:p w14:paraId="57D95A17"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2.2.5.3.04-Alquiler de equipos de oficina y muebles</w:t>
            </w:r>
          </w:p>
        </w:tc>
        <w:tc>
          <w:tcPr>
            <w:tcW w:w="1490" w:type="dxa"/>
            <w:shd w:val="clear" w:color="auto" w:fill="auto"/>
            <w:noWrap/>
            <w:vAlign w:val="bottom"/>
            <w:hideMark/>
          </w:tcPr>
          <w:p w14:paraId="486216D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76134B4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5D3C222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6FB7AB3E" w14:textId="77777777" w:rsidTr="00E47FB2">
        <w:trPr>
          <w:trHeight w:val="255"/>
          <w:jc w:val="center"/>
        </w:trPr>
        <w:tc>
          <w:tcPr>
            <w:tcW w:w="5675" w:type="dxa"/>
            <w:shd w:val="clear" w:color="auto" w:fill="auto"/>
            <w:noWrap/>
            <w:vAlign w:val="bottom"/>
            <w:hideMark/>
          </w:tcPr>
          <w:p w14:paraId="39957BA9"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2.2.5.4.01-Alquileres de equipos de transporte, tracción y elevación</w:t>
            </w:r>
          </w:p>
        </w:tc>
        <w:tc>
          <w:tcPr>
            <w:tcW w:w="1490" w:type="dxa"/>
            <w:shd w:val="clear" w:color="auto" w:fill="auto"/>
            <w:noWrap/>
            <w:vAlign w:val="bottom"/>
            <w:hideMark/>
          </w:tcPr>
          <w:p w14:paraId="36B5D14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19,074,913.00</w:t>
            </w:r>
          </w:p>
        </w:tc>
        <w:tc>
          <w:tcPr>
            <w:tcW w:w="1840" w:type="dxa"/>
            <w:shd w:val="clear" w:color="000000" w:fill="FFFFFF"/>
            <w:noWrap/>
            <w:vAlign w:val="bottom"/>
            <w:hideMark/>
          </w:tcPr>
          <w:p w14:paraId="782B0E5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17,914,572.46</w:t>
            </w:r>
          </w:p>
        </w:tc>
        <w:tc>
          <w:tcPr>
            <w:tcW w:w="1352" w:type="dxa"/>
            <w:shd w:val="clear" w:color="auto" w:fill="auto"/>
            <w:noWrap/>
            <w:vAlign w:val="bottom"/>
            <w:hideMark/>
          </w:tcPr>
          <w:p w14:paraId="26D25FF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1,160,340.54</w:t>
            </w:r>
          </w:p>
        </w:tc>
      </w:tr>
      <w:tr w:rsidR="002E323B" w:rsidRPr="002E323B" w14:paraId="756324E0" w14:textId="77777777" w:rsidTr="00E47FB2">
        <w:trPr>
          <w:trHeight w:val="255"/>
          <w:jc w:val="center"/>
        </w:trPr>
        <w:tc>
          <w:tcPr>
            <w:tcW w:w="5675" w:type="dxa"/>
            <w:shd w:val="clear" w:color="auto" w:fill="auto"/>
            <w:noWrap/>
            <w:vAlign w:val="bottom"/>
            <w:hideMark/>
          </w:tcPr>
          <w:p w14:paraId="74314BAD"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2.2.5.6.01-Alquiler de terrenos</w:t>
            </w:r>
          </w:p>
        </w:tc>
        <w:tc>
          <w:tcPr>
            <w:tcW w:w="1490" w:type="dxa"/>
            <w:shd w:val="clear" w:color="auto" w:fill="auto"/>
            <w:noWrap/>
            <w:vAlign w:val="bottom"/>
            <w:hideMark/>
          </w:tcPr>
          <w:p w14:paraId="22312A4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200,000.00</w:t>
            </w:r>
          </w:p>
        </w:tc>
        <w:tc>
          <w:tcPr>
            <w:tcW w:w="1840" w:type="dxa"/>
            <w:shd w:val="clear" w:color="000000" w:fill="FFFFFF"/>
            <w:noWrap/>
            <w:vAlign w:val="bottom"/>
            <w:hideMark/>
          </w:tcPr>
          <w:p w14:paraId="532EC39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4411AE9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200,000.00</w:t>
            </w:r>
          </w:p>
        </w:tc>
      </w:tr>
      <w:tr w:rsidR="002E323B" w:rsidRPr="002E323B" w14:paraId="4047FC6B" w14:textId="77777777" w:rsidTr="00E47FB2">
        <w:trPr>
          <w:trHeight w:val="255"/>
          <w:jc w:val="center"/>
        </w:trPr>
        <w:tc>
          <w:tcPr>
            <w:tcW w:w="5675" w:type="dxa"/>
            <w:tcBorders>
              <w:bottom w:val="single" w:sz="4" w:space="0" w:color="auto"/>
            </w:tcBorders>
            <w:shd w:val="clear" w:color="auto" w:fill="auto"/>
            <w:noWrap/>
            <w:vAlign w:val="bottom"/>
            <w:hideMark/>
          </w:tcPr>
          <w:p w14:paraId="778A9FA8"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2.2.5.7.01-Alquileres de equipos de construcción y movimiento de tierras</w:t>
            </w:r>
          </w:p>
        </w:tc>
        <w:tc>
          <w:tcPr>
            <w:tcW w:w="1490" w:type="dxa"/>
            <w:tcBorders>
              <w:bottom w:val="single" w:sz="4" w:space="0" w:color="auto"/>
            </w:tcBorders>
            <w:shd w:val="clear" w:color="auto" w:fill="auto"/>
            <w:noWrap/>
            <w:vAlign w:val="bottom"/>
            <w:hideMark/>
          </w:tcPr>
          <w:p w14:paraId="1C1BDAA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95,800.00</w:t>
            </w:r>
          </w:p>
        </w:tc>
        <w:tc>
          <w:tcPr>
            <w:tcW w:w="1840" w:type="dxa"/>
            <w:tcBorders>
              <w:bottom w:val="single" w:sz="4" w:space="0" w:color="auto"/>
            </w:tcBorders>
            <w:shd w:val="clear" w:color="000000" w:fill="FFFFFF"/>
            <w:noWrap/>
            <w:vAlign w:val="bottom"/>
            <w:hideMark/>
          </w:tcPr>
          <w:p w14:paraId="73A024C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tcBorders>
              <w:bottom w:val="single" w:sz="4" w:space="0" w:color="auto"/>
            </w:tcBorders>
            <w:shd w:val="clear" w:color="auto" w:fill="auto"/>
            <w:noWrap/>
            <w:vAlign w:val="bottom"/>
            <w:hideMark/>
          </w:tcPr>
          <w:p w14:paraId="61B0375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95,800.00</w:t>
            </w:r>
          </w:p>
        </w:tc>
      </w:tr>
      <w:tr w:rsidR="00FB47EB" w:rsidRPr="002E323B" w14:paraId="2C193892" w14:textId="77777777" w:rsidTr="00E47FB2">
        <w:trPr>
          <w:trHeight w:val="255"/>
          <w:jc w:val="center"/>
        </w:trPr>
        <w:tc>
          <w:tcPr>
            <w:tcW w:w="5675"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37058AC9" w14:textId="4731B829" w:rsidR="00FB47EB" w:rsidRPr="002E323B" w:rsidRDefault="00FB47EB" w:rsidP="00FB47EB">
            <w:pPr>
              <w:spacing w:after="0"/>
              <w:jc w:val="center"/>
              <w:rPr>
                <w:rFonts w:ascii="Times New Roman" w:hAnsi="Times New Roman"/>
                <w:i/>
                <w:iCs/>
                <w:sz w:val="18"/>
                <w:szCs w:val="18"/>
                <w:lang w:eastAsia="es-DO"/>
              </w:rPr>
            </w:pPr>
            <w:r w:rsidRPr="002E323B">
              <w:rPr>
                <w:rFonts w:ascii="Times New Roman" w:hAnsi="Times New Roman"/>
                <w:b/>
                <w:bCs/>
                <w:color w:val="FFFFFF"/>
                <w:sz w:val="18"/>
                <w:szCs w:val="18"/>
                <w:lang w:val="en-US" w:eastAsia="es-DO"/>
              </w:rPr>
              <w:lastRenderedPageBreak/>
              <w:t>Capítulo 210 / Cuenta</w:t>
            </w:r>
          </w:p>
        </w:tc>
        <w:tc>
          <w:tcPr>
            <w:tcW w:w="149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6AAA1769" w14:textId="5972DE26" w:rsidR="00FB47EB" w:rsidRPr="002E323B" w:rsidRDefault="00FB47EB" w:rsidP="00FB47EB">
            <w:pPr>
              <w:spacing w:after="0"/>
              <w:jc w:val="center"/>
              <w:rPr>
                <w:rFonts w:ascii="Times New Roman" w:hAnsi="Times New Roman"/>
                <w:i/>
                <w:iCs/>
                <w:sz w:val="18"/>
                <w:szCs w:val="18"/>
                <w:lang w:eastAsia="es-DO"/>
              </w:rPr>
            </w:pPr>
            <w:r w:rsidRPr="002E323B">
              <w:rPr>
                <w:rFonts w:ascii="Times New Roman" w:hAnsi="Times New Roman"/>
                <w:b/>
                <w:bCs/>
                <w:color w:val="FFFFFF"/>
                <w:sz w:val="18"/>
                <w:szCs w:val="18"/>
                <w:lang w:val="en-US" w:eastAsia="es-DO"/>
              </w:rPr>
              <w:t>Balance de apropiación</w:t>
            </w:r>
          </w:p>
        </w:tc>
        <w:tc>
          <w:tcPr>
            <w:tcW w:w="184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4795410D" w14:textId="77777777" w:rsidR="00FB47EB" w:rsidRDefault="00FB47EB" w:rsidP="00FB47EB">
            <w:pPr>
              <w:spacing w:after="0"/>
              <w:jc w:val="center"/>
              <w:rPr>
                <w:rFonts w:ascii="Times New Roman" w:hAnsi="Times New Roman"/>
                <w:b/>
                <w:bCs/>
                <w:color w:val="FFFFFF"/>
                <w:sz w:val="18"/>
                <w:szCs w:val="18"/>
                <w:lang w:eastAsia="es-DO"/>
              </w:rPr>
            </w:pPr>
            <w:r w:rsidRPr="002E323B">
              <w:rPr>
                <w:rFonts w:ascii="Times New Roman" w:hAnsi="Times New Roman"/>
                <w:b/>
                <w:bCs/>
                <w:color w:val="FFFFFF"/>
                <w:sz w:val="18"/>
                <w:szCs w:val="18"/>
                <w:lang w:eastAsia="es-DO"/>
              </w:rPr>
              <w:t>Total</w:t>
            </w:r>
            <w:r>
              <w:rPr>
                <w:rFonts w:ascii="Times New Roman" w:hAnsi="Times New Roman"/>
                <w:b/>
                <w:bCs/>
                <w:color w:val="FFFFFF"/>
                <w:sz w:val="18"/>
                <w:szCs w:val="18"/>
                <w:lang w:eastAsia="es-DO"/>
              </w:rPr>
              <w:t xml:space="preserve"> </w:t>
            </w:r>
          </w:p>
          <w:p w14:paraId="1A51018C" w14:textId="43ED77F3" w:rsidR="00FB47EB" w:rsidRPr="002E323B" w:rsidRDefault="00FB47EB" w:rsidP="00FB47EB">
            <w:pPr>
              <w:spacing w:after="0"/>
              <w:jc w:val="center"/>
              <w:rPr>
                <w:rFonts w:ascii="Times New Roman" w:hAnsi="Times New Roman"/>
                <w:i/>
                <w:iCs/>
                <w:sz w:val="18"/>
                <w:szCs w:val="18"/>
                <w:lang w:eastAsia="es-DO"/>
              </w:rPr>
            </w:pPr>
            <w:r>
              <w:rPr>
                <w:rFonts w:ascii="Times New Roman" w:hAnsi="Times New Roman"/>
                <w:b/>
                <w:bCs/>
                <w:color w:val="FFFFFF"/>
                <w:sz w:val="18"/>
                <w:szCs w:val="18"/>
                <w:lang w:eastAsia="es-DO"/>
              </w:rPr>
              <w:t>Ejecutado</w:t>
            </w:r>
            <w:r w:rsidRPr="001C082F">
              <w:rPr>
                <w:rStyle w:val="Refdenotaalpie"/>
                <w:rFonts w:ascii="Times New Roman" w:hAnsi="Times New Roman"/>
                <w:b/>
                <w:bCs/>
                <w:color w:val="FFFFFF" w:themeColor="background1"/>
                <w:sz w:val="18"/>
                <w:szCs w:val="20"/>
                <w:shd w:val="clear" w:color="auto" w:fill="00B050"/>
                <w:lang w:val="en-US" w:eastAsia="en-US"/>
              </w:rPr>
              <w:footnoteReference w:id="38"/>
            </w:r>
          </w:p>
        </w:tc>
        <w:tc>
          <w:tcPr>
            <w:tcW w:w="1352"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30B508A4" w14:textId="396B29F2" w:rsidR="00FB47EB" w:rsidRPr="002E323B" w:rsidRDefault="00FB47EB" w:rsidP="00FB47EB">
            <w:pPr>
              <w:spacing w:after="0"/>
              <w:jc w:val="center"/>
              <w:rPr>
                <w:rFonts w:ascii="Times New Roman" w:hAnsi="Times New Roman"/>
                <w:i/>
                <w:iCs/>
                <w:sz w:val="18"/>
                <w:szCs w:val="18"/>
                <w:lang w:eastAsia="es-DO"/>
              </w:rPr>
            </w:pPr>
            <w:r w:rsidRPr="002E323B">
              <w:rPr>
                <w:rFonts w:ascii="Times New Roman" w:hAnsi="Times New Roman"/>
                <w:b/>
                <w:bCs/>
                <w:color w:val="FFFFFF"/>
                <w:sz w:val="18"/>
                <w:szCs w:val="18"/>
                <w:lang w:eastAsia="es-DO"/>
              </w:rPr>
              <w:t>Balance por ejecutar</w:t>
            </w:r>
          </w:p>
        </w:tc>
      </w:tr>
      <w:tr w:rsidR="002E323B" w:rsidRPr="002E323B" w14:paraId="6A85271E" w14:textId="77777777" w:rsidTr="00E47FB2">
        <w:trPr>
          <w:trHeight w:val="255"/>
          <w:jc w:val="center"/>
        </w:trPr>
        <w:tc>
          <w:tcPr>
            <w:tcW w:w="5675" w:type="dxa"/>
            <w:tcBorders>
              <w:top w:val="single" w:sz="4" w:space="0" w:color="auto"/>
            </w:tcBorders>
            <w:shd w:val="clear" w:color="000000" w:fill="FFFFFF"/>
            <w:noWrap/>
            <w:vAlign w:val="bottom"/>
            <w:hideMark/>
          </w:tcPr>
          <w:p w14:paraId="24AB595C"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2.2.5.8.01-Otros alquileres</w:t>
            </w:r>
          </w:p>
        </w:tc>
        <w:tc>
          <w:tcPr>
            <w:tcW w:w="1490" w:type="dxa"/>
            <w:tcBorders>
              <w:top w:val="single" w:sz="4" w:space="0" w:color="auto"/>
            </w:tcBorders>
            <w:shd w:val="clear" w:color="auto" w:fill="auto"/>
            <w:noWrap/>
            <w:vAlign w:val="bottom"/>
            <w:hideMark/>
          </w:tcPr>
          <w:p w14:paraId="5C8FD2A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839,000.00</w:t>
            </w:r>
          </w:p>
        </w:tc>
        <w:tc>
          <w:tcPr>
            <w:tcW w:w="1840" w:type="dxa"/>
            <w:tcBorders>
              <w:top w:val="single" w:sz="4" w:space="0" w:color="auto"/>
            </w:tcBorders>
            <w:shd w:val="clear" w:color="000000" w:fill="FFFFFF"/>
            <w:noWrap/>
            <w:vAlign w:val="bottom"/>
            <w:hideMark/>
          </w:tcPr>
          <w:p w14:paraId="1490F4F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tcBorders>
              <w:top w:val="single" w:sz="4" w:space="0" w:color="auto"/>
            </w:tcBorders>
            <w:shd w:val="clear" w:color="auto" w:fill="auto"/>
            <w:noWrap/>
            <w:vAlign w:val="bottom"/>
            <w:hideMark/>
          </w:tcPr>
          <w:p w14:paraId="18114B5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839,000.00</w:t>
            </w:r>
          </w:p>
        </w:tc>
      </w:tr>
      <w:tr w:rsidR="002E323B" w:rsidRPr="002E323B" w14:paraId="442ED00D" w14:textId="77777777" w:rsidTr="00E47FB2">
        <w:trPr>
          <w:trHeight w:val="255"/>
          <w:jc w:val="center"/>
        </w:trPr>
        <w:tc>
          <w:tcPr>
            <w:tcW w:w="5675" w:type="dxa"/>
            <w:shd w:val="clear" w:color="auto" w:fill="auto"/>
            <w:noWrap/>
            <w:vAlign w:val="bottom"/>
            <w:hideMark/>
          </w:tcPr>
          <w:p w14:paraId="113A9F2A"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2.2.6.1.01-Seguros de bienes inmuebles e infraestructura</w:t>
            </w:r>
          </w:p>
        </w:tc>
        <w:tc>
          <w:tcPr>
            <w:tcW w:w="1490" w:type="dxa"/>
            <w:shd w:val="clear" w:color="auto" w:fill="auto"/>
            <w:noWrap/>
            <w:vAlign w:val="bottom"/>
            <w:hideMark/>
          </w:tcPr>
          <w:p w14:paraId="10F8CC0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33B6E94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0B1F208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260635F7" w14:textId="77777777" w:rsidTr="00E47FB2">
        <w:trPr>
          <w:trHeight w:val="255"/>
          <w:jc w:val="center"/>
        </w:trPr>
        <w:tc>
          <w:tcPr>
            <w:tcW w:w="5675" w:type="dxa"/>
            <w:shd w:val="clear" w:color="auto" w:fill="auto"/>
            <w:noWrap/>
            <w:vAlign w:val="bottom"/>
            <w:hideMark/>
          </w:tcPr>
          <w:p w14:paraId="52F05EBC"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2.2.6.2.01-Seguro de bienes muebles</w:t>
            </w:r>
          </w:p>
        </w:tc>
        <w:tc>
          <w:tcPr>
            <w:tcW w:w="1490" w:type="dxa"/>
            <w:shd w:val="clear" w:color="auto" w:fill="auto"/>
            <w:noWrap/>
            <w:vAlign w:val="bottom"/>
            <w:hideMark/>
          </w:tcPr>
          <w:p w14:paraId="6A6F2E3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16,071,300.00</w:t>
            </w:r>
          </w:p>
        </w:tc>
        <w:tc>
          <w:tcPr>
            <w:tcW w:w="1840" w:type="dxa"/>
            <w:shd w:val="clear" w:color="000000" w:fill="FFFFFF"/>
            <w:noWrap/>
            <w:vAlign w:val="bottom"/>
            <w:hideMark/>
          </w:tcPr>
          <w:p w14:paraId="464D88C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16,000,000.00</w:t>
            </w:r>
          </w:p>
        </w:tc>
        <w:tc>
          <w:tcPr>
            <w:tcW w:w="1352" w:type="dxa"/>
            <w:shd w:val="clear" w:color="auto" w:fill="auto"/>
            <w:noWrap/>
            <w:vAlign w:val="bottom"/>
            <w:hideMark/>
          </w:tcPr>
          <w:p w14:paraId="2784A04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71,300.00</w:t>
            </w:r>
          </w:p>
        </w:tc>
      </w:tr>
      <w:tr w:rsidR="002E323B" w:rsidRPr="002E323B" w14:paraId="6A8730C6" w14:textId="77777777" w:rsidTr="00E47FB2">
        <w:trPr>
          <w:trHeight w:val="255"/>
          <w:jc w:val="center"/>
        </w:trPr>
        <w:tc>
          <w:tcPr>
            <w:tcW w:w="5675" w:type="dxa"/>
            <w:shd w:val="clear" w:color="auto" w:fill="auto"/>
            <w:noWrap/>
            <w:vAlign w:val="bottom"/>
            <w:hideMark/>
          </w:tcPr>
          <w:p w14:paraId="5750FA9A"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2.2.6.3.01-Seguros de personas</w:t>
            </w:r>
          </w:p>
        </w:tc>
        <w:tc>
          <w:tcPr>
            <w:tcW w:w="1490" w:type="dxa"/>
            <w:shd w:val="clear" w:color="auto" w:fill="auto"/>
            <w:noWrap/>
            <w:vAlign w:val="bottom"/>
            <w:hideMark/>
          </w:tcPr>
          <w:p w14:paraId="58AAD6C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4,000,000.00</w:t>
            </w:r>
          </w:p>
        </w:tc>
        <w:tc>
          <w:tcPr>
            <w:tcW w:w="1840" w:type="dxa"/>
            <w:shd w:val="clear" w:color="000000" w:fill="FFFFFF"/>
            <w:noWrap/>
            <w:vAlign w:val="bottom"/>
            <w:hideMark/>
          </w:tcPr>
          <w:p w14:paraId="2CFECBF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3,192,724.47</w:t>
            </w:r>
          </w:p>
        </w:tc>
        <w:tc>
          <w:tcPr>
            <w:tcW w:w="1352" w:type="dxa"/>
            <w:shd w:val="clear" w:color="auto" w:fill="auto"/>
            <w:noWrap/>
            <w:vAlign w:val="bottom"/>
            <w:hideMark/>
          </w:tcPr>
          <w:p w14:paraId="45E4832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807,275.53</w:t>
            </w:r>
          </w:p>
        </w:tc>
      </w:tr>
      <w:tr w:rsidR="002E323B" w:rsidRPr="002E323B" w14:paraId="7E878DD7" w14:textId="77777777" w:rsidTr="00E47FB2">
        <w:trPr>
          <w:trHeight w:val="255"/>
          <w:jc w:val="center"/>
        </w:trPr>
        <w:tc>
          <w:tcPr>
            <w:tcW w:w="5675" w:type="dxa"/>
            <w:shd w:val="clear" w:color="auto" w:fill="auto"/>
            <w:noWrap/>
            <w:vAlign w:val="bottom"/>
            <w:hideMark/>
          </w:tcPr>
          <w:p w14:paraId="5F670713" w14:textId="5A75C88B"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2.2.6.4.01-Seguros de </w:t>
            </w:r>
            <w:r w:rsidR="00204C69" w:rsidRPr="002E323B">
              <w:rPr>
                <w:rFonts w:ascii="Times New Roman" w:hAnsi="Times New Roman"/>
                <w:i/>
                <w:iCs/>
                <w:sz w:val="18"/>
                <w:szCs w:val="18"/>
                <w:lang w:eastAsia="es-DO"/>
              </w:rPr>
              <w:t>producción</w:t>
            </w:r>
            <w:r w:rsidRPr="002E323B">
              <w:rPr>
                <w:rFonts w:ascii="Times New Roman" w:hAnsi="Times New Roman"/>
                <w:i/>
                <w:iCs/>
                <w:sz w:val="18"/>
                <w:szCs w:val="18"/>
                <w:lang w:eastAsia="es-DO"/>
              </w:rPr>
              <w:t xml:space="preserve"> agrícola</w:t>
            </w:r>
          </w:p>
        </w:tc>
        <w:tc>
          <w:tcPr>
            <w:tcW w:w="1490" w:type="dxa"/>
            <w:shd w:val="clear" w:color="auto" w:fill="auto"/>
            <w:noWrap/>
            <w:vAlign w:val="bottom"/>
            <w:hideMark/>
          </w:tcPr>
          <w:p w14:paraId="0E875A5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153,200,000.00</w:t>
            </w:r>
          </w:p>
        </w:tc>
        <w:tc>
          <w:tcPr>
            <w:tcW w:w="1840" w:type="dxa"/>
            <w:shd w:val="clear" w:color="000000" w:fill="FFFFFF"/>
            <w:noWrap/>
            <w:vAlign w:val="bottom"/>
            <w:hideMark/>
          </w:tcPr>
          <w:p w14:paraId="79A2824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153,172,894.43</w:t>
            </w:r>
          </w:p>
        </w:tc>
        <w:tc>
          <w:tcPr>
            <w:tcW w:w="1352" w:type="dxa"/>
            <w:shd w:val="clear" w:color="auto" w:fill="auto"/>
            <w:noWrap/>
            <w:vAlign w:val="bottom"/>
            <w:hideMark/>
          </w:tcPr>
          <w:p w14:paraId="6A6D4F4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27,105.57</w:t>
            </w:r>
          </w:p>
        </w:tc>
      </w:tr>
      <w:tr w:rsidR="002E323B" w:rsidRPr="002E323B" w14:paraId="4FDCB300" w14:textId="77777777" w:rsidTr="00E47FB2">
        <w:trPr>
          <w:trHeight w:val="255"/>
          <w:jc w:val="center"/>
        </w:trPr>
        <w:tc>
          <w:tcPr>
            <w:tcW w:w="5675" w:type="dxa"/>
            <w:shd w:val="clear" w:color="auto" w:fill="auto"/>
            <w:noWrap/>
            <w:vAlign w:val="bottom"/>
            <w:hideMark/>
          </w:tcPr>
          <w:p w14:paraId="315967A5"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2.2.7.1.01-Obras menores en edificaciones</w:t>
            </w:r>
          </w:p>
        </w:tc>
        <w:tc>
          <w:tcPr>
            <w:tcW w:w="1490" w:type="dxa"/>
            <w:shd w:val="clear" w:color="auto" w:fill="auto"/>
            <w:noWrap/>
            <w:vAlign w:val="bottom"/>
            <w:hideMark/>
          </w:tcPr>
          <w:p w14:paraId="4DE9E63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21313AC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78A793C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71AE5284" w14:textId="77777777" w:rsidTr="00E47FB2">
        <w:trPr>
          <w:trHeight w:val="255"/>
          <w:jc w:val="center"/>
        </w:trPr>
        <w:tc>
          <w:tcPr>
            <w:tcW w:w="5675" w:type="dxa"/>
            <w:shd w:val="clear" w:color="auto" w:fill="auto"/>
            <w:noWrap/>
            <w:vAlign w:val="bottom"/>
            <w:hideMark/>
          </w:tcPr>
          <w:p w14:paraId="60CBD6F2"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2.2.7.1.02-Servicios especiales de mantenimiento y reparación</w:t>
            </w:r>
          </w:p>
        </w:tc>
        <w:tc>
          <w:tcPr>
            <w:tcW w:w="1490" w:type="dxa"/>
            <w:shd w:val="clear" w:color="auto" w:fill="auto"/>
            <w:noWrap/>
            <w:vAlign w:val="bottom"/>
            <w:hideMark/>
          </w:tcPr>
          <w:p w14:paraId="0701FAD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346,420.00</w:t>
            </w:r>
          </w:p>
        </w:tc>
        <w:tc>
          <w:tcPr>
            <w:tcW w:w="1840" w:type="dxa"/>
            <w:shd w:val="clear" w:color="000000" w:fill="FFFFFF"/>
            <w:noWrap/>
            <w:vAlign w:val="bottom"/>
            <w:hideMark/>
          </w:tcPr>
          <w:p w14:paraId="7201371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33AC3D0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346,420.00</w:t>
            </w:r>
          </w:p>
        </w:tc>
      </w:tr>
      <w:tr w:rsidR="002E323B" w:rsidRPr="002E323B" w14:paraId="31F0B70D" w14:textId="77777777" w:rsidTr="00E47FB2">
        <w:trPr>
          <w:trHeight w:val="255"/>
          <w:jc w:val="center"/>
        </w:trPr>
        <w:tc>
          <w:tcPr>
            <w:tcW w:w="5675" w:type="dxa"/>
            <w:shd w:val="clear" w:color="auto" w:fill="auto"/>
            <w:noWrap/>
            <w:vAlign w:val="bottom"/>
            <w:hideMark/>
          </w:tcPr>
          <w:p w14:paraId="47A08066"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2.2.7.1.03-Limpieza,desmalezamiento de tierras y terrenos</w:t>
            </w:r>
          </w:p>
        </w:tc>
        <w:tc>
          <w:tcPr>
            <w:tcW w:w="1490" w:type="dxa"/>
            <w:shd w:val="clear" w:color="auto" w:fill="auto"/>
            <w:noWrap/>
            <w:vAlign w:val="bottom"/>
            <w:hideMark/>
          </w:tcPr>
          <w:p w14:paraId="736A990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500,000.00</w:t>
            </w:r>
          </w:p>
        </w:tc>
        <w:tc>
          <w:tcPr>
            <w:tcW w:w="1840" w:type="dxa"/>
            <w:shd w:val="clear" w:color="000000" w:fill="FFFFFF"/>
            <w:noWrap/>
            <w:vAlign w:val="bottom"/>
            <w:hideMark/>
          </w:tcPr>
          <w:p w14:paraId="5B7C8DE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545DEA4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500,000.00</w:t>
            </w:r>
          </w:p>
        </w:tc>
      </w:tr>
      <w:tr w:rsidR="002E323B" w:rsidRPr="002E323B" w14:paraId="406C7171" w14:textId="77777777" w:rsidTr="00E47FB2">
        <w:trPr>
          <w:trHeight w:val="255"/>
          <w:jc w:val="center"/>
        </w:trPr>
        <w:tc>
          <w:tcPr>
            <w:tcW w:w="5675" w:type="dxa"/>
            <w:shd w:val="clear" w:color="auto" w:fill="auto"/>
            <w:noWrap/>
            <w:vAlign w:val="bottom"/>
            <w:hideMark/>
          </w:tcPr>
          <w:p w14:paraId="7AAB35BA"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2.2.7.1.04-Mantenimiento y reparación de obras civiles en instalaciones varias</w:t>
            </w:r>
          </w:p>
        </w:tc>
        <w:tc>
          <w:tcPr>
            <w:tcW w:w="1490" w:type="dxa"/>
            <w:shd w:val="clear" w:color="auto" w:fill="auto"/>
            <w:noWrap/>
            <w:vAlign w:val="bottom"/>
            <w:hideMark/>
          </w:tcPr>
          <w:p w14:paraId="15390FC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491E9AF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362B912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3F15ACD7" w14:textId="77777777" w:rsidTr="00E47FB2">
        <w:trPr>
          <w:trHeight w:val="255"/>
          <w:jc w:val="center"/>
        </w:trPr>
        <w:tc>
          <w:tcPr>
            <w:tcW w:w="5675" w:type="dxa"/>
            <w:shd w:val="clear" w:color="auto" w:fill="auto"/>
            <w:noWrap/>
            <w:vAlign w:val="bottom"/>
            <w:hideMark/>
          </w:tcPr>
          <w:p w14:paraId="1B48C196"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2.2.7.1.06-Instalaciones eléctricas</w:t>
            </w:r>
          </w:p>
        </w:tc>
        <w:tc>
          <w:tcPr>
            <w:tcW w:w="1490" w:type="dxa"/>
            <w:shd w:val="clear" w:color="auto" w:fill="auto"/>
            <w:noWrap/>
            <w:vAlign w:val="bottom"/>
            <w:hideMark/>
          </w:tcPr>
          <w:p w14:paraId="5137608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1,133,375.00</w:t>
            </w:r>
          </w:p>
        </w:tc>
        <w:tc>
          <w:tcPr>
            <w:tcW w:w="1840" w:type="dxa"/>
            <w:shd w:val="clear" w:color="000000" w:fill="FFFFFF"/>
            <w:noWrap/>
            <w:vAlign w:val="bottom"/>
            <w:hideMark/>
          </w:tcPr>
          <w:p w14:paraId="547FB88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596,413.94</w:t>
            </w:r>
          </w:p>
        </w:tc>
        <w:tc>
          <w:tcPr>
            <w:tcW w:w="1352" w:type="dxa"/>
            <w:shd w:val="clear" w:color="auto" w:fill="auto"/>
            <w:noWrap/>
            <w:vAlign w:val="bottom"/>
            <w:hideMark/>
          </w:tcPr>
          <w:p w14:paraId="42D6A21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536,961.06</w:t>
            </w:r>
          </w:p>
        </w:tc>
      </w:tr>
      <w:tr w:rsidR="002E323B" w:rsidRPr="002E323B" w14:paraId="29CCB02B" w14:textId="77777777" w:rsidTr="00E47FB2">
        <w:trPr>
          <w:trHeight w:val="255"/>
          <w:jc w:val="center"/>
        </w:trPr>
        <w:tc>
          <w:tcPr>
            <w:tcW w:w="5675" w:type="dxa"/>
            <w:shd w:val="clear" w:color="auto" w:fill="auto"/>
            <w:noWrap/>
            <w:vAlign w:val="bottom"/>
            <w:hideMark/>
          </w:tcPr>
          <w:p w14:paraId="3D949570"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2.2.7.2.01-Mantenimiento y reparación de muebles y equipos de oficina</w:t>
            </w:r>
          </w:p>
        </w:tc>
        <w:tc>
          <w:tcPr>
            <w:tcW w:w="1490" w:type="dxa"/>
            <w:shd w:val="clear" w:color="auto" w:fill="auto"/>
            <w:noWrap/>
            <w:vAlign w:val="bottom"/>
            <w:hideMark/>
          </w:tcPr>
          <w:p w14:paraId="0835C1A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1,000,000.00</w:t>
            </w:r>
          </w:p>
        </w:tc>
        <w:tc>
          <w:tcPr>
            <w:tcW w:w="1840" w:type="dxa"/>
            <w:shd w:val="clear" w:color="000000" w:fill="FFFFFF"/>
            <w:noWrap/>
            <w:vAlign w:val="bottom"/>
            <w:hideMark/>
          </w:tcPr>
          <w:p w14:paraId="115306F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259,620.06</w:t>
            </w:r>
          </w:p>
        </w:tc>
        <w:tc>
          <w:tcPr>
            <w:tcW w:w="1352" w:type="dxa"/>
            <w:shd w:val="clear" w:color="auto" w:fill="auto"/>
            <w:noWrap/>
            <w:vAlign w:val="bottom"/>
            <w:hideMark/>
          </w:tcPr>
          <w:p w14:paraId="393E659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740,379.94</w:t>
            </w:r>
          </w:p>
        </w:tc>
      </w:tr>
      <w:tr w:rsidR="002E323B" w:rsidRPr="002E323B" w14:paraId="66B13361" w14:textId="77777777" w:rsidTr="00E47FB2">
        <w:trPr>
          <w:trHeight w:val="255"/>
          <w:jc w:val="center"/>
        </w:trPr>
        <w:tc>
          <w:tcPr>
            <w:tcW w:w="5675" w:type="dxa"/>
            <w:shd w:val="clear" w:color="auto" w:fill="auto"/>
            <w:noWrap/>
            <w:vAlign w:val="bottom"/>
            <w:hideMark/>
          </w:tcPr>
          <w:p w14:paraId="2C8F38B0"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2.2.7.2.02-Mantenimiento y reparación equipos de computación</w:t>
            </w:r>
          </w:p>
        </w:tc>
        <w:tc>
          <w:tcPr>
            <w:tcW w:w="1490" w:type="dxa"/>
            <w:shd w:val="clear" w:color="auto" w:fill="auto"/>
            <w:noWrap/>
            <w:vAlign w:val="bottom"/>
            <w:hideMark/>
          </w:tcPr>
          <w:p w14:paraId="0D7E945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4C0D0C9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2BA7FD6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3929DFDA" w14:textId="77777777" w:rsidTr="00E47FB2">
        <w:trPr>
          <w:trHeight w:val="255"/>
          <w:jc w:val="center"/>
        </w:trPr>
        <w:tc>
          <w:tcPr>
            <w:tcW w:w="5675" w:type="dxa"/>
            <w:shd w:val="clear" w:color="auto" w:fill="auto"/>
            <w:noWrap/>
            <w:vAlign w:val="bottom"/>
            <w:hideMark/>
          </w:tcPr>
          <w:p w14:paraId="370CFDB6"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2.2.7.2.04-Mantenimiento y reparación de equipos sanitarios y de laboratorio</w:t>
            </w:r>
          </w:p>
        </w:tc>
        <w:tc>
          <w:tcPr>
            <w:tcW w:w="1490" w:type="dxa"/>
            <w:shd w:val="clear" w:color="auto" w:fill="auto"/>
            <w:noWrap/>
            <w:vAlign w:val="bottom"/>
            <w:hideMark/>
          </w:tcPr>
          <w:p w14:paraId="086DF10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70,000.00</w:t>
            </w:r>
          </w:p>
        </w:tc>
        <w:tc>
          <w:tcPr>
            <w:tcW w:w="1840" w:type="dxa"/>
            <w:shd w:val="clear" w:color="000000" w:fill="FFFFFF"/>
            <w:noWrap/>
            <w:vAlign w:val="bottom"/>
            <w:hideMark/>
          </w:tcPr>
          <w:p w14:paraId="7CC579E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3EE3831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70,000.00</w:t>
            </w:r>
          </w:p>
        </w:tc>
      </w:tr>
      <w:tr w:rsidR="002E323B" w:rsidRPr="002E323B" w14:paraId="10044AE4" w14:textId="77777777" w:rsidTr="00E47FB2">
        <w:trPr>
          <w:trHeight w:val="255"/>
          <w:jc w:val="center"/>
        </w:trPr>
        <w:tc>
          <w:tcPr>
            <w:tcW w:w="5675" w:type="dxa"/>
            <w:shd w:val="clear" w:color="auto" w:fill="auto"/>
            <w:noWrap/>
            <w:vAlign w:val="bottom"/>
            <w:hideMark/>
          </w:tcPr>
          <w:p w14:paraId="167D92C0"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2.2.7.2.06-Mantenimiento y reparación de equipos de Transp., tracción y Elev.</w:t>
            </w:r>
          </w:p>
        </w:tc>
        <w:tc>
          <w:tcPr>
            <w:tcW w:w="1490" w:type="dxa"/>
            <w:shd w:val="clear" w:color="auto" w:fill="auto"/>
            <w:noWrap/>
            <w:vAlign w:val="bottom"/>
            <w:hideMark/>
          </w:tcPr>
          <w:p w14:paraId="6A73A07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2,090,000.00</w:t>
            </w:r>
          </w:p>
        </w:tc>
        <w:tc>
          <w:tcPr>
            <w:tcW w:w="1840" w:type="dxa"/>
            <w:shd w:val="clear" w:color="000000" w:fill="FFFFFF"/>
            <w:noWrap/>
            <w:vAlign w:val="bottom"/>
            <w:hideMark/>
          </w:tcPr>
          <w:p w14:paraId="70DF274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646,967.37</w:t>
            </w:r>
          </w:p>
        </w:tc>
        <w:tc>
          <w:tcPr>
            <w:tcW w:w="1352" w:type="dxa"/>
            <w:shd w:val="clear" w:color="auto" w:fill="auto"/>
            <w:noWrap/>
            <w:vAlign w:val="bottom"/>
            <w:hideMark/>
          </w:tcPr>
          <w:p w14:paraId="3BF3B8C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1,443,032.63</w:t>
            </w:r>
          </w:p>
        </w:tc>
      </w:tr>
      <w:tr w:rsidR="002E323B" w:rsidRPr="002E323B" w14:paraId="627F93F5" w14:textId="77777777" w:rsidTr="00E47FB2">
        <w:trPr>
          <w:trHeight w:val="255"/>
          <w:jc w:val="center"/>
        </w:trPr>
        <w:tc>
          <w:tcPr>
            <w:tcW w:w="5675" w:type="dxa"/>
            <w:shd w:val="clear" w:color="auto" w:fill="auto"/>
            <w:noWrap/>
            <w:vAlign w:val="bottom"/>
            <w:hideMark/>
          </w:tcPr>
          <w:p w14:paraId="0FB9C0D5"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2.2.7.2.08-Servicios de mantenimiento, reparación, desmonte e instalación</w:t>
            </w:r>
          </w:p>
        </w:tc>
        <w:tc>
          <w:tcPr>
            <w:tcW w:w="1490" w:type="dxa"/>
            <w:shd w:val="clear" w:color="auto" w:fill="auto"/>
            <w:noWrap/>
            <w:vAlign w:val="bottom"/>
            <w:hideMark/>
          </w:tcPr>
          <w:p w14:paraId="6427611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561,862.00</w:t>
            </w:r>
          </w:p>
        </w:tc>
        <w:tc>
          <w:tcPr>
            <w:tcW w:w="1840" w:type="dxa"/>
            <w:shd w:val="clear" w:color="000000" w:fill="FFFFFF"/>
            <w:noWrap/>
            <w:vAlign w:val="bottom"/>
            <w:hideMark/>
          </w:tcPr>
          <w:p w14:paraId="55C5055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561,861.73</w:t>
            </w:r>
          </w:p>
        </w:tc>
        <w:tc>
          <w:tcPr>
            <w:tcW w:w="1352" w:type="dxa"/>
            <w:shd w:val="clear" w:color="auto" w:fill="auto"/>
            <w:noWrap/>
            <w:vAlign w:val="bottom"/>
            <w:hideMark/>
          </w:tcPr>
          <w:p w14:paraId="026B1E8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0.27</w:t>
            </w:r>
          </w:p>
        </w:tc>
      </w:tr>
      <w:tr w:rsidR="002E323B" w:rsidRPr="002E323B" w14:paraId="71605056" w14:textId="77777777" w:rsidTr="00E47FB2">
        <w:trPr>
          <w:trHeight w:val="255"/>
          <w:jc w:val="center"/>
        </w:trPr>
        <w:tc>
          <w:tcPr>
            <w:tcW w:w="5675" w:type="dxa"/>
            <w:shd w:val="clear" w:color="auto" w:fill="auto"/>
            <w:noWrap/>
            <w:vAlign w:val="bottom"/>
            <w:hideMark/>
          </w:tcPr>
          <w:p w14:paraId="535C1990"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2.2.7.3.01-Instalaciones temporales</w:t>
            </w:r>
          </w:p>
        </w:tc>
        <w:tc>
          <w:tcPr>
            <w:tcW w:w="1490" w:type="dxa"/>
            <w:shd w:val="clear" w:color="auto" w:fill="auto"/>
            <w:noWrap/>
            <w:vAlign w:val="bottom"/>
            <w:hideMark/>
          </w:tcPr>
          <w:p w14:paraId="0F4D87F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3,274,148.00</w:t>
            </w:r>
          </w:p>
        </w:tc>
        <w:tc>
          <w:tcPr>
            <w:tcW w:w="1840" w:type="dxa"/>
            <w:shd w:val="clear" w:color="000000" w:fill="FFFFFF"/>
            <w:noWrap/>
            <w:vAlign w:val="bottom"/>
            <w:hideMark/>
          </w:tcPr>
          <w:p w14:paraId="2C65389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6,428,877.25</w:t>
            </w:r>
          </w:p>
        </w:tc>
        <w:tc>
          <w:tcPr>
            <w:tcW w:w="1352" w:type="dxa"/>
            <w:shd w:val="clear" w:color="auto" w:fill="auto"/>
            <w:noWrap/>
            <w:vAlign w:val="bottom"/>
            <w:hideMark/>
          </w:tcPr>
          <w:p w14:paraId="4237CA7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-3,154,729.25</w:t>
            </w:r>
          </w:p>
        </w:tc>
      </w:tr>
      <w:tr w:rsidR="002E323B" w:rsidRPr="002E323B" w14:paraId="6087EB37" w14:textId="77777777" w:rsidTr="00E47FB2">
        <w:trPr>
          <w:trHeight w:val="255"/>
          <w:jc w:val="center"/>
        </w:trPr>
        <w:tc>
          <w:tcPr>
            <w:tcW w:w="5675" w:type="dxa"/>
            <w:shd w:val="clear" w:color="auto" w:fill="auto"/>
            <w:noWrap/>
            <w:vAlign w:val="bottom"/>
            <w:hideMark/>
          </w:tcPr>
          <w:p w14:paraId="16F6EA28"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2.2.8.3.01-Servicios sanitarios médicos y veterinarios</w:t>
            </w:r>
          </w:p>
        </w:tc>
        <w:tc>
          <w:tcPr>
            <w:tcW w:w="1490" w:type="dxa"/>
            <w:shd w:val="clear" w:color="auto" w:fill="auto"/>
            <w:noWrap/>
            <w:vAlign w:val="bottom"/>
            <w:hideMark/>
          </w:tcPr>
          <w:p w14:paraId="1981BE3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262,799.00</w:t>
            </w:r>
          </w:p>
        </w:tc>
        <w:tc>
          <w:tcPr>
            <w:tcW w:w="1840" w:type="dxa"/>
            <w:shd w:val="clear" w:color="000000" w:fill="FFFFFF"/>
            <w:noWrap/>
            <w:vAlign w:val="bottom"/>
            <w:hideMark/>
          </w:tcPr>
          <w:p w14:paraId="216A70D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249,570.00</w:t>
            </w:r>
          </w:p>
        </w:tc>
        <w:tc>
          <w:tcPr>
            <w:tcW w:w="1352" w:type="dxa"/>
            <w:shd w:val="clear" w:color="auto" w:fill="auto"/>
            <w:noWrap/>
            <w:vAlign w:val="bottom"/>
            <w:hideMark/>
          </w:tcPr>
          <w:p w14:paraId="0B769D9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13,229.00</w:t>
            </w:r>
          </w:p>
        </w:tc>
      </w:tr>
      <w:tr w:rsidR="002E323B" w:rsidRPr="002E323B" w14:paraId="2C8ABE30" w14:textId="77777777" w:rsidTr="00E47FB2">
        <w:trPr>
          <w:trHeight w:val="255"/>
          <w:jc w:val="center"/>
        </w:trPr>
        <w:tc>
          <w:tcPr>
            <w:tcW w:w="5675" w:type="dxa"/>
            <w:shd w:val="clear" w:color="auto" w:fill="auto"/>
            <w:noWrap/>
            <w:vAlign w:val="bottom"/>
            <w:hideMark/>
          </w:tcPr>
          <w:p w14:paraId="59577C83"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2.2.8.5.01-Fumigación</w:t>
            </w:r>
          </w:p>
        </w:tc>
        <w:tc>
          <w:tcPr>
            <w:tcW w:w="1490" w:type="dxa"/>
            <w:shd w:val="clear" w:color="auto" w:fill="auto"/>
            <w:noWrap/>
            <w:vAlign w:val="bottom"/>
            <w:hideMark/>
          </w:tcPr>
          <w:p w14:paraId="0C509E2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92,000.00</w:t>
            </w:r>
          </w:p>
        </w:tc>
        <w:tc>
          <w:tcPr>
            <w:tcW w:w="1840" w:type="dxa"/>
            <w:shd w:val="clear" w:color="000000" w:fill="FFFFFF"/>
            <w:noWrap/>
            <w:vAlign w:val="bottom"/>
            <w:hideMark/>
          </w:tcPr>
          <w:p w14:paraId="0BCF517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2B746D1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92,000.00</w:t>
            </w:r>
          </w:p>
        </w:tc>
      </w:tr>
      <w:tr w:rsidR="002E323B" w:rsidRPr="002E323B" w14:paraId="5C26BD6B" w14:textId="77777777" w:rsidTr="00E47FB2">
        <w:trPr>
          <w:trHeight w:val="255"/>
          <w:jc w:val="center"/>
        </w:trPr>
        <w:tc>
          <w:tcPr>
            <w:tcW w:w="5675" w:type="dxa"/>
            <w:shd w:val="clear" w:color="auto" w:fill="auto"/>
            <w:noWrap/>
            <w:vAlign w:val="bottom"/>
            <w:hideMark/>
          </w:tcPr>
          <w:p w14:paraId="61AF0A4E"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2.2.8.5.03-Limpieza e Higiene</w:t>
            </w:r>
          </w:p>
        </w:tc>
        <w:tc>
          <w:tcPr>
            <w:tcW w:w="1490" w:type="dxa"/>
            <w:shd w:val="clear" w:color="auto" w:fill="auto"/>
            <w:noWrap/>
            <w:vAlign w:val="bottom"/>
            <w:hideMark/>
          </w:tcPr>
          <w:p w14:paraId="132B4E7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310,000.00</w:t>
            </w:r>
          </w:p>
        </w:tc>
        <w:tc>
          <w:tcPr>
            <w:tcW w:w="1840" w:type="dxa"/>
            <w:shd w:val="clear" w:color="000000" w:fill="FFFFFF"/>
            <w:noWrap/>
            <w:vAlign w:val="bottom"/>
            <w:hideMark/>
          </w:tcPr>
          <w:p w14:paraId="7F6F10C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308,664.40</w:t>
            </w:r>
          </w:p>
        </w:tc>
        <w:tc>
          <w:tcPr>
            <w:tcW w:w="1352" w:type="dxa"/>
            <w:shd w:val="clear" w:color="auto" w:fill="auto"/>
            <w:noWrap/>
            <w:vAlign w:val="bottom"/>
            <w:hideMark/>
          </w:tcPr>
          <w:p w14:paraId="62E3E72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1,335.60</w:t>
            </w:r>
          </w:p>
        </w:tc>
      </w:tr>
      <w:tr w:rsidR="002E323B" w:rsidRPr="002E323B" w14:paraId="16B5E70A" w14:textId="77777777" w:rsidTr="00E47FB2">
        <w:trPr>
          <w:trHeight w:val="255"/>
          <w:jc w:val="center"/>
        </w:trPr>
        <w:tc>
          <w:tcPr>
            <w:tcW w:w="5675" w:type="dxa"/>
            <w:shd w:val="clear" w:color="auto" w:fill="auto"/>
            <w:noWrap/>
            <w:vAlign w:val="bottom"/>
            <w:hideMark/>
          </w:tcPr>
          <w:p w14:paraId="553DA94E"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2.2.8.6.01-Eventos generales</w:t>
            </w:r>
          </w:p>
        </w:tc>
        <w:tc>
          <w:tcPr>
            <w:tcW w:w="1490" w:type="dxa"/>
            <w:shd w:val="clear" w:color="auto" w:fill="auto"/>
            <w:noWrap/>
            <w:vAlign w:val="bottom"/>
            <w:hideMark/>
          </w:tcPr>
          <w:p w14:paraId="399503B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913,000.00</w:t>
            </w:r>
          </w:p>
        </w:tc>
        <w:tc>
          <w:tcPr>
            <w:tcW w:w="1840" w:type="dxa"/>
            <w:shd w:val="clear" w:color="000000" w:fill="FFFFFF"/>
            <w:noWrap/>
            <w:vAlign w:val="bottom"/>
            <w:hideMark/>
          </w:tcPr>
          <w:p w14:paraId="24BBFF9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1,309,800.00</w:t>
            </w:r>
          </w:p>
        </w:tc>
        <w:tc>
          <w:tcPr>
            <w:tcW w:w="1352" w:type="dxa"/>
            <w:shd w:val="clear" w:color="auto" w:fill="auto"/>
            <w:noWrap/>
            <w:vAlign w:val="bottom"/>
            <w:hideMark/>
          </w:tcPr>
          <w:p w14:paraId="5B48E63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-396,800.00</w:t>
            </w:r>
          </w:p>
        </w:tc>
      </w:tr>
      <w:tr w:rsidR="002E323B" w:rsidRPr="002E323B" w14:paraId="7B961C54" w14:textId="77777777" w:rsidTr="00E47FB2">
        <w:trPr>
          <w:trHeight w:val="255"/>
          <w:jc w:val="center"/>
        </w:trPr>
        <w:tc>
          <w:tcPr>
            <w:tcW w:w="5675" w:type="dxa"/>
            <w:shd w:val="clear" w:color="auto" w:fill="auto"/>
            <w:noWrap/>
            <w:vAlign w:val="bottom"/>
            <w:hideMark/>
          </w:tcPr>
          <w:p w14:paraId="5B6D308A" w14:textId="7A2AF9AD"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2.2.8.7.01-Estudios de ingeniería, </w:t>
            </w:r>
            <w:r w:rsidR="00204C69" w:rsidRPr="002E323B">
              <w:rPr>
                <w:rFonts w:ascii="Times New Roman" w:hAnsi="Times New Roman"/>
                <w:i/>
                <w:iCs/>
                <w:sz w:val="18"/>
                <w:szCs w:val="18"/>
                <w:lang w:eastAsia="es-DO"/>
              </w:rPr>
              <w:t>arquitectura</w:t>
            </w:r>
            <w:r w:rsidRPr="002E323B">
              <w:rPr>
                <w:rFonts w:ascii="Times New Roman" w:hAnsi="Times New Roman"/>
                <w:i/>
                <w:iCs/>
                <w:sz w:val="18"/>
                <w:szCs w:val="18"/>
                <w:lang w:eastAsia="es-DO"/>
              </w:rPr>
              <w:t>, investigaciones y análisis de factibilidad</w:t>
            </w:r>
          </w:p>
        </w:tc>
        <w:tc>
          <w:tcPr>
            <w:tcW w:w="1490" w:type="dxa"/>
            <w:shd w:val="clear" w:color="auto" w:fill="auto"/>
            <w:noWrap/>
            <w:vAlign w:val="bottom"/>
            <w:hideMark/>
          </w:tcPr>
          <w:p w14:paraId="06EC0A0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200,000.00</w:t>
            </w:r>
          </w:p>
        </w:tc>
        <w:tc>
          <w:tcPr>
            <w:tcW w:w="1840" w:type="dxa"/>
            <w:shd w:val="clear" w:color="000000" w:fill="FFFFFF"/>
            <w:noWrap/>
            <w:vAlign w:val="bottom"/>
            <w:hideMark/>
          </w:tcPr>
          <w:p w14:paraId="28499DF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2B3DC40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200,000.00</w:t>
            </w:r>
          </w:p>
        </w:tc>
      </w:tr>
      <w:tr w:rsidR="002E323B" w:rsidRPr="002E323B" w14:paraId="2DB6E50B" w14:textId="77777777" w:rsidTr="00E47FB2">
        <w:trPr>
          <w:trHeight w:val="255"/>
          <w:jc w:val="center"/>
        </w:trPr>
        <w:tc>
          <w:tcPr>
            <w:tcW w:w="5675" w:type="dxa"/>
            <w:shd w:val="clear" w:color="auto" w:fill="auto"/>
            <w:noWrap/>
            <w:vAlign w:val="bottom"/>
            <w:hideMark/>
          </w:tcPr>
          <w:p w14:paraId="48C9AFE9" w14:textId="6EFD72F3"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2.2.8.7.02-Servicios </w:t>
            </w:r>
            <w:r w:rsidR="00204C69" w:rsidRPr="002E323B">
              <w:rPr>
                <w:rFonts w:ascii="Times New Roman" w:hAnsi="Times New Roman"/>
                <w:i/>
                <w:iCs/>
                <w:sz w:val="18"/>
                <w:szCs w:val="18"/>
                <w:lang w:eastAsia="es-DO"/>
              </w:rPr>
              <w:t>jurídicos</w:t>
            </w:r>
          </w:p>
        </w:tc>
        <w:tc>
          <w:tcPr>
            <w:tcW w:w="1490" w:type="dxa"/>
            <w:shd w:val="clear" w:color="auto" w:fill="auto"/>
            <w:noWrap/>
            <w:vAlign w:val="bottom"/>
            <w:hideMark/>
          </w:tcPr>
          <w:p w14:paraId="7C6E5EF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3,290,000.00</w:t>
            </w:r>
          </w:p>
        </w:tc>
        <w:tc>
          <w:tcPr>
            <w:tcW w:w="1840" w:type="dxa"/>
            <w:shd w:val="clear" w:color="000000" w:fill="FFFFFF"/>
            <w:noWrap/>
            <w:vAlign w:val="bottom"/>
            <w:hideMark/>
          </w:tcPr>
          <w:p w14:paraId="313E74C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2,799,976.64</w:t>
            </w:r>
          </w:p>
        </w:tc>
        <w:tc>
          <w:tcPr>
            <w:tcW w:w="1352" w:type="dxa"/>
            <w:shd w:val="clear" w:color="auto" w:fill="auto"/>
            <w:noWrap/>
            <w:vAlign w:val="bottom"/>
            <w:hideMark/>
          </w:tcPr>
          <w:p w14:paraId="4413267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490,023.36</w:t>
            </w:r>
          </w:p>
        </w:tc>
      </w:tr>
      <w:tr w:rsidR="002E323B" w:rsidRPr="002E323B" w14:paraId="31CFAD80" w14:textId="77777777" w:rsidTr="00E47FB2">
        <w:trPr>
          <w:trHeight w:val="255"/>
          <w:jc w:val="center"/>
        </w:trPr>
        <w:tc>
          <w:tcPr>
            <w:tcW w:w="5675" w:type="dxa"/>
            <w:shd w:val="clear" w:color="auto" w:fill="auto"/>
            <w:noWrap/>
            <w:vAlign w:val="bottom"/>
            <w:hideMark/>
          </w:tcPr>
          <w:p w14:paraId="5C7D939D"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2.2.8.7.04-Servicios de capacitación</w:t>
            </w:r>
          </w:p>
        </w:tc>
        <w:tc>
          <w:tcPr>
            <w:tcW w:w="1490" w:type="dxa"/>
            <w:shd w:val="clear" w:color="auto" w:fill="auto"/>
            <w:noWrap/>
            <w:vAlign w:val="bottom"/>
            <w:hideMark/>
          </w:tcPr>
          <w:p w14:paraId="5894C5D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500,000.00</w:t>
            </w:r>
          </w:p>
        </w:tc>
        <w:tc>
          <w:tcPr>
            <w:tcW w:w="1840" w:type="dxa"/>
            <w:shd w:val="clear" w:color="000000" w:fill="FFFFFF"/>
            <w:noWrap/>
            <w:vAlign w:val="bottom"/>
            <w:hideMark/>
          </w:tcPr>
          <w:p w14:paraId="5E77118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1,148,625.00</w:t>
            </w:r>
          </w:p>
        </w:tc>
        <w:tc>
          <w:tcPr>
            <w:tcW w:w="1352" w:type="dxa"/>
            <w:shd w:val="clear" w:color="auto" w:fill="auto"/>
            <w:noWrap/>
            <w:vAlign w:val="bottom"/>
            <w:hideMark/>
          </w:tcPr>
          <w:p w14:paraId="18E8B0B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-648,625.00</w:t>
            </w:r>
          </w:p>
        </w:tc>
      </w:tr>
      <w:tr w:rsidR="002E323B" w:rsidRPr="002E323B" w14:paraId="37553BC2" w14:textId="77777777" w:rsidTr="00E47FB2">
        <w:trPr>
          <w:trHeight w:val="255"/>
          <w:jc w:val="center"/>
        </w:trPr>
        <w:tc>
          <w:tcPr>
            <w:tcW w:w="5675" w:type="dxa"/>
            <w:shd w:val="clear" w:color="auto" w:fill="auto"/>
            <w:noWrap/>
            <w:vAlign w:val="bottom"/>
            <w:hideMark/>
          </w:tcPr>
          <w:p w14:paraId="073FE59D"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2.2.8.7.05-Servicios de informática sistemas computarizados</w:t>
            </w:r>
          </w:p>
        </w:tc>
        <w:tc>
          <w:tcPr>
            <w:tcW w:w="1490" w:type="dxa"/>
            <w:shd w:val="clear" w:color="auto" w:fill="auto"/>
            <w:noWrap/>
            <w:vAlign w:val="bottom"/>
            <w:hideMark/>
          </w:tcPr>
          <w:p w14:paraId="395870E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1,274,200.00</w:t>
            </w:r>
          </w:p>
        </w:tc>
        <w:tc>
          <w:tcPr>
            <w:tcW w:w="1840" w:type="dxa"/>
            <w:shd w:val="clear" w:color="000000" w:fill="FFFFFF"/>
            <w:noWrap/>
            <w:vAlign w:val="bottom"/>
            <w:hideMark/>
          </w:tcPr>
          <w:p w14:paraId="10F048F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849,466.71</w:t>
            </w:r>
          </w:p>
        </w:tc>
        <w:tc>
          <w:tcPr>
            <w:tcW w:w="1352" w:type="dxa"/>
            <w:shd w:val="clear" w:color="auto" w:fill="auto"/>
            <w:noWrap/>
            <w:vAlign w:val="bottom"/>
            <w:hideMark/>
          </w:tcPr>
          <w:p w14:paraId="6D2B75D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424,733.29</w:t>
            </w:r>
          </w:p>
        </w:tc>
      </w:tr>
      <w:tr w:rsidR="002E323B" w:rsidRPr="002E323B" w14:paraId="31088B42" w14:textId="77777777" w:rsidTr="00E47FB2">
        <w:trPr>
          <w:trHeight w:val="255"/>
          <w:jc w:val="center"/>
        </w:trPr>
        <w:tc>
          <w:tcPr>
            <w:tcW w:w="5675" w:type="dxa"/>
            <w:shd w:val="clear" w:color="auto" w:fill="auto"/>
            <w:noWrap/>
            <w:vAlign w:val="bottom"/>
            <w:hideMark/>
          </w:tcPr>
          <w:p w14:paraId="5BE25C37"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2.2.8.7.06-Otros servicios técnicos profesionales</w:t>
            </w:r>
          </w:p>
        </w:tc>
        <w:tc>
          <w:tcPr>
            <w:tcW w:w="1490" w:type="dxa"/>
            <w:shd w:val="clear" w:color="auto" w:fill="auto"/>
            <w:noWrap/>
            <w:vAlign w:val="bottom"/>
            <w:hideMark/>
          </w:tcPr>
          <w:p w14:paraId="15F8828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1,827,992.00</w:t>
            </w:r>
          </w:p>
        </w:tc>
        <w:tc>
          <w:tcPr>
            <w:tcW w:w="1840" w:type="dxa"/>
            <w:shd w:val="clear" w:color="000000" w:fill="FFFFFF"/>
            <w:noWrap/>
            <w:vAlign w:val="bottom"/>
            <w:hideMark/>
          </w:tcPr>
          <w:p w14:paraId="79B5032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1,451,648.00</w:t>
            </w:r>
          </w:p>
        </w:tc>
        <w:tc>
          <w:tcPr>
            <w:tcW w:w="1352" w:type="dxa"/>
            <w:shd w:val="clear" w:color="auto" w:fill="auto"/>
            <w:noWrap/>
            <w:vAlign w:val="bottom"/>
            <w:hideMark/>
          </w:tcPr>
          <w:p w14:paraId="30470E9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376,344.00</w:t>
            </w:r>
          </w:p>
        </w:tc>
      </w:tr>
      <w:tr w:rsidR="002E323B" w:rsidRPr="002E323B" w14:paraId="126598EF" w14:textId="77777777" w:rsidTr="00E47FB2">
        <w:trPr>
          <w:trHeight w:val="270"/>
          <w:jc w:val="center"/>
        </w:trPr>
        <w:tc>
          <w:tcPr>
            <w:tcW w:w="5675" w:type="dxa"/>
            <w:shd w:val="clear" w:color="auto" w:fill="auto"/>
            <w:noWrap/>
            <w:vAlign w:val="bottom"/>
            <w:hideMark/>
          </w:tcPr>
          <w:p w14:paraId="2FD31DDF"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2.2.9.2.01-Servicios de alimentación</w:t>
            </w:r>
          </w:p>
        </w:tc>
        <w:tc>
          <w:tcPr>
            <w:tcW w:w="1490" w:type="dxa"/>
            <w:shd w:val="clear" w:color="auto" w:fill="auto"/>
            <w:noWrap/>
            <w:vAlign w:val="bottom"/>
            <w:hideMark/>
          </w:tcPr>
          <w:p w14:paraId="512DC50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24,436,937.00</w:t>
            </w:r>
          </w:p>
        </w:tc>
        <w:tc>
          <w:tcPr>
            <w:tcW w:w="1840" w:type="dxa"/>
            <w:shd w:val="clear" w:color="000000" w:fill="FFFFFF"/>
            <w:noWrap/>
            <w:vAlign w:val="bottom"/>
            <w:hideMark/>
          </w:tcPr>
          <w:p w14:paraId="63EBC52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26,640,069.90</w:t>
            </w:r>
          </w:p>
        </w:tc>
        <w:tc>
          <w:tcPr>
            <w:tcW w:w="1352" w:type="dxa"/>
            <w:shd w:val="clear" w:color="auto" w:fill="auto"/>
            <w:noWrap/>
            <w:vAlign w:val="bottom"/>
            <w:hideMark/>
          </w:tcPr>
          <w:p w14:paraId="66F64FF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-2,203,132.90</w:t>
            </w:r>
          </w:p>
        </w:tc>
      </w:tr>
      <w:tr w:rsidR="002E323B" w:rsidRPr="002E323B" w14:paraId="5D813E61" w14:textId="77777777" w:rsidTr="00E47FB2">
        <w:trPr>
          <w:trHeight w:val="315"/>
          <w:jc w:val="center"/>
        </w:trPr>
        <w:tc>
          <w:tcPr>
            <w:tcW w:w="5675" w:type="dxa"/>
            <w:shd w:val="clear" w:color="auto" w:fill="808080" w:themeFill="background1" w:themeFillShade="80"/>
            <w:noWrap/>
            <w:vAlign w:val="bottom"/>
            <w:hideMark/>
          </w:tcPr>
          <w:p w14:paraId="5EA8CE22" w14:textId="77777777" w:rsidR="002E323B" w:rsidRPr="002E323B" w:rsidRDefault="002E323B" w:rsidP="002E323B">
            <w:pPr>
              <w:spacing w:after="0"/>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3- Materiales y Suministros</w:t>
            </w:r>
          </w:p>
        </w:tc>
        <w:tc>
          <w:tcPr>
            <w:tcW w:w="1490" w:type="dxa"/>
            <w:shd w:val="clear" w:color="auto" w:fill="808080" w:themeFill="background1" w:themeFillShade="80"/>
            <w:noWrap/>
            <w:vAlign w:val="bottom"/>
            <w:hideMark/>
          </w:tcPr>
          <w:p w14:paraId="0CF8C8DE" w14:textId="77777777" w:rsidR="002E323B" w:rsidRPr="002E323B" w:rsidRDefault="002E323B" w:rsidP="002E323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240,775,799.00</w:t>
            </w:r>
          </w:p>
        </w:tc>
        <w:tc>
          <w:tcPr>
            <w:tcW w:w="1840" w:type="dxa"/>
            <w:shd w:val="clear" w:color="auto" w:fill="808080" w:themeFill="background1" w:themeFillShade="80"/>
            <w:noWrap/>
            <w:vAlign w:val="bottom"/>
            <w:hideMark/>
          </w:tcPr>
          <w:p w14:paraId="3F3EB04F" w14:textId="77777777" w:rsidR="002E323B" w:rsidRPr="002E323B" w:rsidRDefault="002E323B" w:rsidP="002E323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197,093,650.49</w:t>
            </w:r>
          </w:p>
        </w:tc>
        <w:tc>
          <w:tcPr>
            <w:tcW w:w="1352" w:type="dxa"/>
            <w:shd w:val="clear" w:color="auto" w:fill="808080" w:themeFill="background1" w:themeFillShade="80"/>
            <w:noWrap/>
            <w:vAlign w:val="bottom"/>
            <w:hideMark/>
          </w:tcPr>
          <w:p w14:paraId="62FEA15C" w14:textId="77777777" w:rsidR="002E323B" w:rsidRPr="002E323B" w:rsidRDefault="002E323B" w:rsidP="002E323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43,682,148.51</w:t>
            </w:r>
          </w:p>
        </w:tc>
      </w:tr>
      <w:tr w:rsidR="002E323B" w:rsidRPr="002E323B" w14:paraId="62B7177F" w14:textId="77777777" w:rsidTr="00E47FB2">
        <w:trPr>
          <w:trHeight w:val="255"/>
          <w:jc w:val="center"/>
        </w:trPr>
        <w:tc>
          <w:tcPr>
            <w:tcW w:w="5675" w:type="dxa"/>
            <w:shd w:val="clear" w:color="auto" w:fill="auto"/>
            <w:noWrap/>
            <w:vAlign w:val="bottom"/>
            <w:hideMark/>
          </w:tcPr>
          <w:p w14:paraId="42430806"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2.3.1.1.01-Alimentos y bebidas para personas</w:t>
            </w:r>
          </w:p>
        </w:tc>
        <w:tc>
          <w:tcPr>
            <w:tcW w:w="1490" w:type="dxa"/>
            <w:shd w:val="clear" w:color="auto" w:fill="auto"/>
            <w:noWrap/>
            <w:vAlign w:val="bottom"/>
            <w:hideMark/>
          </w:tcPr>
          <w:p w14:paraId="2097A08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1,534,600.00</w:t>
            </w:r>
          </w:p>
        </w:tc>
        <w:tc>
          <w:tcPr>
            <w:tcW w:w="1840" w:type="dxa"/>
            <w:shd w:val="clear" w:color="000000" w:fill="FFFFFF"/>
            <w:noWrap/>
            <w:vAlign w:val="bottom"/>
            <w:hideMark/>
          </w:tcPr>
          <w:p w14:paraId="73F6266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754,551.28</w:t>
            </w:r>
          </w:p>
        </w:tc>
        <w:tc>
          <w:tcPr>
            <w:tcW w:w="1352" w:type="dxa"/>
            <w:shd w:val="clear" w:color="auto" w:fill="auto"/>
            <w:noWrap/>
            <w:vAlign w:val="bottom"/>
            <w:hideMark/>
          </w:tcPr>
          <w:p w14:paraId="452CCCB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780,048.72</w:t>
            </w:r>
          </w:p>
        </w:tc>
      </w:tr>
      <w:tr w:rsidR="002E323B" w:rsidRPr="002E323B" w14:paraId="2C0926B2" w14:textId="77777777" w:rsidTr="00E47FB2">
        <w:trPr>
          <w:trHeight w:val="255"/>
          <w:jc w:val="center"/>
        </w:trPr>
        <w:tc>
          <w:tcPr>
            <w:tcW w:w="5675" w:type="dxa"/>
            <w:shd w:val="clear" w:color="auto" w:fill="auto"/>
            <w:noWrap/>
            <w:vAlign w:val="bottom"/>
            <w:hideMark/>
          </w:tcPr>
          <w:p w14:paraId="250D3CC1"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2.3.1.2.01-Alimentos para animales</w:t>
            </w:r>
          </w:p>
        </w:tc>
        <w:tc>
          <w:tcPr>
            <w:tcW w:w="1490" w:type="dxa"/>
            <w:shd w:val="clear" w:color="auto" w:fill="auto"/>
            <w:noWrap/>
            <w:vAlign w:val="bottom"/>
            <w:hideMark/>
          </w:tcPr>
          <w:p w14:paraId="07E074E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48F0C17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573BCBE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1701077E" w14:textId="77777777" w:rsidTr="00E47FB2">
        <w:trPr>
          <w:trHeight w:val="255"/>
          <w:jc w:val="center"/>
        </w:trPr>
        <w:tc>
          <w:tcPr>
            <w:tcW w:w="5675" w:type="dxa"/>
            <w:shd w:val="clear" w:color="auto" w:fill="auto"/>
            <w:noWrap/>
            <w:vAlign w:val="bottom"/>
            <w:hideMark/>
          </w:tcPr>
          <w:p w14:paraId="761E37BA"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2.3.1.3.01-Productos pecuarios</w:t>
            </w:r>
          </w:p>
        </w:tc>
        <w:tc>
          <w:tcPr>
            <w:tcW w:w="1490" w:type="dxa"/>
            <w:shd w:val="clear" w:color="auto" w:fill="auto"/>
            <w:noWrap/>
            <w:vAlign w:val="bottom"/>
            <w:hideMark/>
          </w:tcPr>
          <w:p w14:paraId="004CDC3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500,000.00</w:t>
            </w:r>
          </w:p>
        </w:tc>
        <w:tc>
          <w:tcPr>
            <w:tcW w:w="1840" w:type="dxa"/>
            <w:shd w:val="clear" w:color="000000" w:fill="FFFFFF"/>
            <w:noWrap/>
            <w:vAlign w:val="bottom"/>
            <w:hideMark/>
          </w:tcPr>
          <w:p w14:paraId="1FA84D4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212,733.29</w:t>
            </w:r>
          </w:p>
        </w:tc>
        <w:tc>
          <w:tcPr>
            <w:tcW w:w="1352" w:type="dxa"/>
            <w:shd w:val="clear" w:color="auto" w:fill="auto"/>
            <w:noWrap/>
            <w:vAlign w:val="bottom"/>
            <w:hideMark/>
          </w:tcPr>
          <w:p w14:paraId="16AA1C0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287,266.71</w:t>
            </w:r>
          </w:p>
        </w:tc>
      </w:tr>
      <w:tr w:rsidR="002E323B" w:rsidRPr="002E323B" w14:paraId="318400FE" w14:textId="77777777" w:rsidTr="00E47FB2">
        <w:trPr>
          <w:trHeight w:val="255"/>
          <w:jc w:val="center"/>
        </w:trPr>
        <w:tc>
          <w:tcPr>
            <w:tcW w:w="5675" w:type="dxa"/>
            <w:shd w:val="clear" w:color="auto" w:fill="auto"/>
            <w:noWrap/>
            <w:vAlign w:val="bottom"/>
            <w:hideMark/>
          </w:tcPr>
          <w:p w14:paraId="1D8917EF"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2.3.1.3.02-Productos agrícolas</w:t>
            </w:r>
          </w:p>
        </w:tc>
        <w:tc>
          <w:tcPr>
            <w:tcW w:w="1490" w:type="dxa"/>
            <w:shd w:val="clear" w:color="auto" w:fill="auto"/>
            <w:noWrap/>
            <w:vAlign w:val="bottom"/>
            <w:hideMark/>
          </w:tcPr>
          <w:p w14:paraId="2F67F74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98,134,316.00</w:t>
            </w:r>
          </w:p>
        </w:tc>
        <w:tc>
          <w:tcPr>
            <w:tcW w:w="1840" w:type="dxa"/>
            <w:shd w:val="clear" w:color="000000" w:fill="FFFFFF"/>
            <w:noWrap/>
            <w:vAlign w:val="bottom"/>
            <w:hideMark/>
          </w:tcPr>
          <w:p w14:paraId="4286354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96,433,434.02</w:t>
            </w:r>
          </w:p>
        </w:tc>
        <w:tc>
          <w:tcPr>
            <w:tcW w:w="1352" w:type="dxa"/>
            <w:shd w:val="clear" w:color="auto" w:fill="auto"/>
            <w:noWrap/>
            <w:vAlign w:val="bottom"/>
            <w:hideMark/>
          </w:tcPr>
          <w:p w14:paraId="31B6165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1,700,881.98</w:t>
            </w:r>
          </w:p>
        </w:tc>
      </w:tr>
      <w:tr w:rsidR="002E323B" w:rsidRPr="002E323B" w14:paraId="4BAB6B28" w14:textId="77777777" w:rsidTr="00E47FB2">
        <w:trPr>
          <w:trHeight w:val="255"/>
          <w:jc w:val="center"/>
        </w:trPr>
        <w:tc>
          <w:tcPr>
            <w:tcW w:w="5675" w:type="dxa"/>
            <w:shd w:val="clear" w:color="auto" w:fill="auto"/>
            <w:noWrap/>
            <w:vAlign w:val="bottom"/>
            <w:hideMark/>
          </w:tcPr>
          <w:p w14:paraId="3026CDA4"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2.3.1.3.03- Productos forestales</w:t>
            </w:r>
          </w:p>
        </w:tc>
        <w:tc>
          <w:tcPr>
            <w:tcW w:w="1490" w:type="dxa"/>
            <w:shd w:val="clear" w:color="auto" w:fill="auto"/>
            <w:noWrap/>
            <w:vAlign w:val="bottom"/>
            <w:hideMark/>
          </w:tcPr>
          <w:p w14:paraId="5BABDD5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120,006.00</w:t>
            </w:r>
          </w:p>
        </w:tc>
        <w:tc>
          <w:tcPr>
            <w:tcW w:w="1840" w:type="dxa"/>
            <w:shd w:val="clear" w:color="000000" w:fill="FFFFFF"/>
            <w:noWrap/>
            <w:vAlign w:val="bottom"/>
            <w:hideMark/>
          </w:tcPr>
          <w:p w14:paraId="6B57983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1A76691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120,006.00</w:t>
            </w:r>
          </w:p>
        </w:tc>
      </w:tr>
      <w:tr w:rsidR="002E323B" w:rsidRPr="002E323B" w14:paraId="2BDB582E" w14:textId="77777777" w:rsidTr="00E47FB2">
        <w:trPr>
          <w:trHeight w:val="255"/>
          <w:jc w:val="center"/>
        </w:trPr>
        <w:tc>
          <w:tcPr>
            <w:tcW w:w="5675" w:type="dxa"/>
            <w:shd w:val="clear" w:color="auto" w:fill="auto"/>
            <w:noWrap/>
            <w:vAlign w:val="bottom"/>
            <w:hideMark/>
          </w:tcPr>
          <w:p w14:paraId="0A3AAD69"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2.3.1.4.01-Madera, corcho y sus manufacturas</w:t>
            </w:r>
          </w:p>
        </w:tc>
        <w:tc>
          <w:tcPr>
            <w:tcW w:w="1490" w:type="dxa"/>
            <w:shd w:val="clear" w:color="auto" w:fill="auto"/>
            <w:noWrap/>
            <w:vAlign w:val="bottom"/>
            <w:hideMark/>
          </w:tcPr>
          <w:p w14:paraId="081B3A6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179BA60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493C5D7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77CE0AD4" w14:textId="77777777" w:rsidTr="00E47FB2">
        <w:trPr>
          <w:trHeight w:val="255"/>
          <w:jc w:val="center"/>
        </w:trPr>
        <w:tc>
          <w:tcPr>
            <w:tcW w:w="5675" w:type="dxa"/>
            <w:shd w:val="clear" w:color="auto" w:fill="auto"/>
            <w:noWrap/>
            <w:vAlign w:val="bottom"/>
            <w:hideMark/>
          </w:tcPr>
          <w:p w14:paraId="18D2B966"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2.3.2.1.01-Hilados y telas</w:t>
            </w:r>
          </w:p>
        </w:tc>
        <w:tc>
          <w:tcPr>
            <w:tcW w:w="1490" w:type="dxa"/>
            <w:shd w:val="clear" w:color="auto" w:fill="auto"/>
            <w:noWrap/>
            <w:vAlign w:val="bottom"/>
            <w:hideMark/>
          </w:tcPr>
          <w:p w14:paraId="671F4BF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226,500.00</w:t>
            </w:r>
          </w:p>
        </w:tc>
        <w:tc>
          <w:tcPr>
            <w:tcW w:w="1840" w:type="dxa"/>
            <w:shd w:val="clear" w:color="000000" w:fill="FFFFFF"/>
            <w:noWrap/>
            <w:vAlign w:val="bottom"/>
            <w:hideMark/>
          </w:tcPr>
          <w:p w14:paraId="36B2B26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45,195.16</w:t>
            </w:r>
          </w:p>
        </w:tc>
        <w:tc>
          <w:tcPr>
            <w:tcW w:w="1352" w:type="dxa"/>
            <w:shd w:val="clear" w:color="auto" w:fill="auto"/>
            <w:noWrap/>
            <w:vAlign w:val="bottom"/>
            <w:hideMark/>
          </w:tcPr>
          <w:p w14:paraId="0073DC1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181,304.84</w:t>
            </w:r>
          </w:p>
        </w:tc>
      </w:tr>
      <w:tr w:rsidR="002E323B" w:rsidRPr="002E323B" w14:paraId="5EBCC8E3" w14:textId="77777777" w:rsidTr="00E47FB2">
        <w:trPr>
          <w:trHeight w:val="255"/>
          <w:jc w:val="center"/>
        </w:trPr>
        <w:tc>
          <w:tcPr>
            <w:tcW w:w="5675" w:type="dxa"/>
            <w:shd w:val="clear" w:color="auto" w:fill="auto"/>
            <w:noWrap/>
            <w:vAlign w:val="bottom"/>
            <w:hideMark/>
          </w:tcPr>
          <w:p w14:paraId="36826FFD"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2.3.2.2.01-Acabados y textiles</w:t>
            </w:r>
          </w:p>
        </w:tc>
        <w:tc>
          <w:tcPr>
            <w:tcW w:w="1490" w:type="dxa"/>
            <w:shd w:val="clear" w:color="auto" w:fill="auto"/>
            <w:noWrap/>
            <w:vAlign w:val="bottom"/>
            <w:hideMark/>
          </w:tcPr>
          <w:p w14:paraId="450EFD6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487,500.00</w:t>
            </w:r>
          </w:p>
        </w:tc>
        <w:tc>
          <w:tcPr>
            <w:tcW w:w="1840" w:type="dxa"/>
            <w:shd w:val="clear" w:color="000000" w:fill="FFFFFF"/>
            <w:noWrap/>
            <w:vAlign w:val="bottom"/>
            <w:hideMark/>
          </w:tcPr>
          <w:p w14:paraId="6B1D012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329,284.90</w:t>
            </w:r>
          </w:p>
        </w:tc>
        <w:tc>
          <w:tcPr>
            <w:tcW w:w="1352" w:type="dxa"/>
            <w:shd w:val="clear" w:color="auto" w:fill="auto"/>
            <w:noWrap/>
            <w:vAlign w:val="bottom"/>
            <w:hideMark/>
          </w:tcPr>
          <w:p w14:paraId="52C15A9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158,215.10</w:t>
            </w:r>
          </w:p>
        </w:tc>
      </w:tr>
      <w:tr w:rsidR="002E323B" w:rsidRPr="002E323B" w14:paraId="5E38EE6A" w14:textId="77777777" w:rsidTr="00E47FB2">
        <w:trPr>
          <w:trHeight w:val="255"/>
          <w:jc w:val="center"/>
        </w:trPr>
        <w:tc>
          <w:tcPr>
            <w:tcW w:w="5675" w:type="dxa"/>
            <w:shd w:val="clear" w:color="auto" w:fill="auto"/>
            <w:noWrap/>
            <w:vAlign w:val="bottom"/>
            <w:hideMark/>
          </w:tcPr>
          <w:p w14:paraId="0B73A69A"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2.3.2.3.01-Prenda de vestir</w:t>
            </w:r>
          </w:p>
        </w:tc>
        <w:tc>
          <w:tcPr>
            <w:tcW w:w="1490" w:type="dxa"/>
            <w:shd w:val="clear" w:color="auto" w:fill="auto"/>
            <w:noWrap/>
            <w:vAlign w:val="bottom"/>
            <w:hideMark/>
          </w:tcPr>
          <w:p w14:paraId="6ECB184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500,000.00</w:t>
            </w:r>
          </w:p>
        </w:tc>
        <w:tc>
          <w:tcPr>
            <w:tcW w:w="1840" w:type="dxa"/>
            <w:shd w:val="clear" w:color="000000" w:fill="FFFFFF"/>
            <w:noWrap/>
            <w:vAlign w:val="bottom"/>
            <w:hideMark/>
          </w:tcPr>
          <w:p w14:paraId="006EDCF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489,269.20</w:t>
            </w:r>
          </w:p>
        </w:tc>
        <w:tc>
          <w:tcPr>
            <w:tcW w:w="1352" w:type="dxa"/>
            <w:shd w:val="clear" w:color="auto" w:fill="auto"/>
            <w:noWrap/>
            <w:vAlign w:val="bottom"/>
            <w:hideMark/>
          </w:tcPr>
          <w:p w14:paraId="3820D28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10,730.80</w:t>
            </w:r>
          </w:p>
        </w:tc>
      </w:tr>
      <w:tr w:rsidR="002E323B" w:rsidRPr="002E323B" w14:paraId="104D3120" w14:textId="77777777" w:rsidTr="00E47FB2">
        <w:trPr>
          <w:trHeight w:val="255"/>
          <w:jc w:val="center"/>
        </w:trPr>
        <w:tc>
          <w:tcPr>
            <w:tcW w:w="5675" w:type="dxa"/>
            <w:shd w:val="clear" w:color="auto" w:fill="auto"/>
            <w:noWrap/>
            <w:vAlign w:val="bottom"/>
            <w:hideMark/>
          </w:tcPr>
          <w:p w14:paraId="491F435B"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2.3.2.4.01-Calzados</w:t>
            </w:r>
          </w:p>
        </w:tc>
        <w:tc>
          <w:tcPr>
            <w:tcW w:w="1490" w:type="dxa"/>
            <w:shd w:val="clear" w:color="auto" w:fill="auto"/>
            <w:noWrap/>
            <w:vAlign w:val="bottom"/>
            <w:hideMark/>
          </w:tcPr>
          <w:p w14:paraId="4F67D4A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50,000.00</w:t>
            </w:r>
          </w:p>
        </w:tc>
        <w:tc>
          <w:tcPr>
            <w:tcW w:w="1840" w:type="dxa"/>
            <w:shd w:val="clear" w:color="000000" w:fill="FFFFFF"/>
            <w:noWrap/>
            <w:vAlign w:val="bottom"/>
            <w:hideMark/>
          </w:tcPr>
          <w:p w14:paraId="5D55AEE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13,898.36</w:t>
            </w:r>
          </w:p>
        </w:tc>
        <w:tc>
          <w:tcPr>
            <w:tcW w:w="1352" w:type="dxa"/>
            <w:shd w:val="clear" w:color="auto" w:fill="auto"/>
            <w:noWrap/>
            <w:vAlign w:val="bottom"/>
            <w:hideMark/>
          </w:tcPr>
          <w:p w14:paraId="3B24DD5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36,101.64</w:t>
            </w:r>
          </w:p>
        </w:tc>
      </w:tr>
      <w:tr w:rsidR="002E323B" w:rsidRPr="002E323B" w14:paraId="71B81233" w14:textId="77777777" w:rsidTr="00E47FB2">
        <w:trPr>
          <w:trHeight w:val="255"/>
          <w:jc w:val="center"/>
        </w:trPr>
        <w:tc>
          <w:tcPr>
            <w:tcW w:w="5675" w:type="dxa"/>
            <w:shd w:val="clear" w:color="auto" w:fill="auto"/>
            <w:noWrap/>
            <w:vAlign w:val="bottom"/>
            <w:hideMark/>
          </w:tcPr>
          <w:p w14:paraId="7C624128"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2.3.3.1.01-Papel de escritorio</w:t>
            </w:r>
          </w:p>
        </w:tc>
        <w:tc>
          <w:tcPr>
            <w:tcW w:w="1490" w:type="dxa"/>
            <w:shd w:val="clear" w:color="auto" w:fill="auto"/>
            <w:noWrap/>
            <w:vAlign w:val="bottom"/>
            <w:hideMark/>
          </w:tcPr>
          <w:p w14:paraId="606AA5F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30,938.00</w:t>
            </w:r>
          </w:p>
        </w:tc>
        <w:tc>
          <w:tcPr>
            <w:tcW w:w="1840" w:type="dxa"/>
            <w:shd w:val="clear" w:color="000000" w:fill="FFFFFF"/>
            <w:noWrap/>
            <w:vAlign w:val="bottom"/>
            <w:hideMark/>
          </w:tcPr>
          <w:p w14:paraId="766F1B4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313,998.00</w:t>
            </w:r>
          </w:p>
        </w:tc>
        <w:tc>
          <w:tcPr>
            <w:tcW w:w="1352" w:type="dxa"/>
            <w:shd w:val="clear" w:color="auto" w:fill="auto"/>
            <w:noWrap/>
            <w:vAlign w:val="bottom"/>
            <w:hideMark/>
          </w:tcPr>
          <w:p w14:paraId="1F754A8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-283,060.00</w:t>
            </w:r>
          </w:p>
        </w:tc>
      </w:tr>
      <w:tr w:rsidR="002E323B" w:rsidRPr="002E323B" w14:paraId="0DF5762F" w14:textId="77777777" w:rsidTr="00E47FB2">
        <w:trPr>
          <w:trHeight w:val="255"/>
          <w:jc w:val="center"/>
        </w:trPr>
        <w:tc>
          <w:tcPr>
            <w:tcW w:w="5675" w:type="dxa"/>
            <w:shd w:val="clear" w:color="auto" w:fill="auto"/>
            <w:noWrap/>
            <w:vAlign w:val="bottom"/>
            <w:hideMark/>
          </w:tcPr>
          <w:p w14:paraId="3D9F187A"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2.3.3.2.01-Productos de papel cartón</w:t>
            </w:r>
          </w:p>
        </w:tc>
        <w:tc>
          <w:tcPr>
            <w:tcW w:w="1490" w:type="dxa"/>
            <w:shd w:val="clear" w:color="auto" w:fill="auto"/>
            <w:noWrap/>
            <w:vAlign w:val="bottom"/>
            <w:hideMark/>
          </w:tcPr>
          <w:p w14:paraId="1B7AD42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194,000.00</w:t>
            </w:r>
          </w:p>
        </w:tc>
        <w:tc>
          <w:tcPr>
            <w:tcW w:w="1840" w:type="dxa"/>
            <w:shd w:val="clear" w:color="000000" w:fill="FFFFFF"/>
            <w:noWrap/>
            <w:vAlign w:val="bottom"/>
            <w:hideMark/>
          </w:tcPr>
          <w:p w14:paraId="522A32E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193,955.96</w:t>
            </w:r>
          </w:p>
        </w:tc>
        <w:tc>
          <w:tcPr>
            <w:tcW w:w="1352" w:type="dxa"/>
            <w:shd w:val="clear" w:color="auto" w:fill="auto"/>
            <w:noWrap/>
            <w:vAlign w:val="bottom"/>
            <w:hideMark/>
          </w:tcPr>
          <w:p w14:paraId="37F004D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44.04</w:t>
            </w:r>
          </w:p>
        </w:tc>
      </w:tr>
      <w:tr w:rsidR="002E323B" w:rsidRPr="002E323B" w14:paraId="1099C063" w14:textId="77777777" w:rsidTr="00E47FB2">
        <w:trPr>
          <w:trHeight w:val="255"/>
          <w:jc w:val="center"/>
        </w:trPr>
        <w:tc>
          <w:tcPr>
            <w:tcW w:w="5675" w:type="dxa"/>
            <w:shd w:val="clear" w:color="auto" w:fill="auto"/>
            <w:noWrap/>
            <w:vAlign w:val="bottom"/>
            <w:hideMark/>
          </w:tcPr>
          <w:p w14:paraId="1CC39BA7"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2.3.3.3.01-Productos de artes gráficas</w:t>
            </w:r>
          </w:p>
        </w:tc>
        <w:tc>
          <w:tcPr>
            <w:tcW w:w="1490" w:type="dxa"/>
            <w:shd w:val="clear" w:color="auto" w:fill="auto"/>
            <w:noWrap/>
            <w:vAlign w:val="bottom"/>
            <w:hideMark/>
          </w:tcPr>
          <w:p w14:paraId="1737207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173,632.00</w:t>
            </w:r>
          </w:p>
        </w:tc>
        <w:tc>
          <w:tcPr>
            <w:tcW w:w="1840" w:type="dxa"/>
            <w:shd w:val="clear" w:color="000000" w:fill="FFFFFF"/>
            <w:noWrap/>
            <w:vAlign w:val="bottom"/>
            <w:hideMark/>
          </w:tcPr>
          <w:p w14:paraId="38E499E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49,206.00</w:t>
            </w:r>
          </w:p>
        </w:tc>
        <w:tc>
          <w:tcPr>
            <w:tcW w:w="1352" w:type="dxa"/>
            <w:shd w:val="clear" w:color="auto" w:fill="auto"/>
            <w:noWrap/>
            <w:vAlign w:val="bottom"/>
            <w:hideMark/>
          </w:tcPr>
          <w:p w14:paraId="34F0AFE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124,426.00</w:t>
            </w:r>
          </w:p>
        </w:tc>
      </w:tr>
      <w:tr w:rsidR="002E323B" w:rsidRPr="002E323B" w14:paraId="275D51B6" w14:textId="77777777" w:rsidTr="00E47FB2">
        <w:trPr>
          <w:trHeight w:val="255"/>
          <w:jc w:val="center"/>
        </w:trPr>
        <w:tc>
          <w:tcPr>
            <w:tcW w:w="5675" w:type="dxa"/>
            <w:tcBorders>
              <w:bottom w:val="single" w:sz="4" w:space="0" w:color="auto"/>
            </w:tcBorders>
            <w:shd w:val="clear" w:color="auto" w:fill="auto"/>
            <w:noWrap/>
            <w:vAlign w:val="bottom"/>
            <w:hideMark/>
          </w:tcPr>
          <w:p w14:paraId="75764CA9"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2.3.3.4.01-Libros, revistas y periódicos</w:t>
            </w:r>
          </w:p>
        </w:tc>
        <w:tc>
          <w:tcPr>
            <w:tcW w:w="1490" w:type="dxa"/>
            <w:tcBorders>
              <w:bottom w:val="single" w:sz="4" w:space="0" w:color="auto"/>
            </w:tcBorders>
            <w:shd w:val="clear" w:color="auto" w:fill="auto"/>
            <w:noWrap/>
            <w:vAlign w:val="bottom"/>
            <w:hideMark/>
          </w:tcPr>
          <w:p w14:paraId="5667E02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tcBorders>
              <w:bottom w:val="single" w:sz="4" w:space="0" w:color="auto"/>
            </w:tcBorders>
            <w:shd w:val="clear" w:color="000000" w:fill="FFFFFF"/>
            <w:noWrap/>
            <w:vAlign w:val="bottom"/>
            <w:hideMark/>
          </w:tcPr>
          <w:p w14:paraId="6A0F6CF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tcBorders>
              <w:bottom w:val="single" w:sz="4" w:space="0" w:color="auto"/>
            </w:tcBorders>
            <w:shd w:val="clear" w:color="auto" w:fill="auto"/>
            <w:noWrap/>
            <w:vAlign w:val="bottom"/>
            <w:hideMark/>
          </w:tcPr>
          <w:p w14:paraId="6CD44B6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FB47EB" w:rsidRPr="002E323B" w14:paraId="29E399E9" w14:textId="77777777" w:rsidTr="00E47FB2">
        <w:trPr>
          <w:trHeight w:val="255"/>
          <w:jc w:val="center"/>
        </w:trPr>
        <w:tc>
          <w:tcPr>
            <w:tcW w:w="5675"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0554C228" w14:textId="3496D597" w:rsidR="00FB47EB" w:rsidRPr="002E323B" w:rsidRDefault="00FB47EB" w:rsidP="00FB47EB">
            <w:pPr>
              <w:spacing w:after="0"/>
              <w:jc w:val="center"/>
              <w:rPr>
                <w:rFonts w:ascii="Times New Roman" w:hAnsi="Times New Roman"/>
                <w:i/>
                <w:iCs/>
                <w:sz w:val="18"/>
                <w:szCs w:val="18"/>
                <w:lang w:eastAsia="es-DO"/>
              </w:rPr>
            </w:pPr>
            <w:r w:rsidRPr="002E323B">
              <w:rPr>
                <w:rFonts w:ascii="Times New Roman" w:hAnsi="Times New Roman"/>
                <w:b/>
                <w:bCs/>
                <w:color w:val="FFFFFF"/>
                <w:sz w:val="18"/>
                <w:szCs w:val="18"/>
                <w:lang w:val="en-US" w:eastAsia="es-DO"/>
              </w:rPr>
              <w:lastRenderedPageBreak/>
              <w:t>Capítulo 210 / Cuenta</w:t>
            </w:r>
          </w:p>
        </w:tc>
        <w:tc>
          <w:tcPr>
            <w:tcW w:w="149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1FA938AC" w14:textId="198CDDDF" w:rsidR="00FB47EB" w:rsidRPr="002E323B" w:rsidRDefault="00FB47EB" w:rsidP="00FB47EB">
            <w:pPr>
              <w:spacing w:after="0"/>
              <w:jc w:val="center"/>
              <w:rPr>
                <w:rFonts w:ascii="Times New Roman" w:hAnsi="Times New Roman"/>
                <w:i/>
                <w:iCs/>
                <w:sz w:val="18"/>
                <w:szCs w:val="18"/>
                <w:lang w:eastAsia="es-DO"/>
              </w:rPr>
            </w:pPr>
            <w:r w:rsidRPr="002E323B">
              <w:rPr>
                <w:rFonts w:ascii="Times New Roman" w:hAnsi="Times New Roman"/>
                <w:b/>
                <w:bCs/>
                <w:color w:val="FFFFFF"/>
                <w:sz w:val="18"/>
                <w:szCs w:val="18"/>
                <w:lang w:val="en-US" w:eastAsia="es-DO"/>
              </w:rPr>
              <w:t>Balance de apropiación</w:t>
            </w:r>
          </w:p>
        </w:tc>
        <w:tc>
          <w:tcPr>
            <w:tcW w:w="184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47D0B7DA" w14:textId="2BA98701" w:rsidR="00FB47EB" w:rsidRDefault="00FB47EB" w:rsidP="00FB47EB">
            <w:pPr>
              <w:spacing w:after="0"/>
              <w:jc w:val="center"/>
              <w:rPr>
                <w:rFonts w:ascii="Times New Roman" w:hAnsi="Times New Roman"/>
                <w:b/>
                <w:bCs/>
                <w:color w:val="FFFFFF"/>
                <w:sz w:val="18"/>
                <w:szCs w:val="18"/>
                <w:lang w:eastAsia="es-DO"/>
              </w:rPr>
            </w:pPr>
            <w:r w:rsidRPr="002E323B">
              <w:rPr>
                <w:rFonts w:ascii="Times New Roman" w:hAnsi="Times New Roman"/>
                <w:b/>
                <w:bCs/>
                <w:color w:val="FFFFFF"/>
                <w:sz w:val="18"/>
                <w:szCs w:val="18"/>
                <w:lang w:eastAsia="es-DO"/>
              </w:rPr>
              <w:t>Total</w:t>
            </w:r>
          </w:p>
          <w:p w14:paraId="39EFE48B" w14:textId="2D29FB51" w:rsidR="00FB47EB" w:rsidRPr="002E323B" w:rsidRDefault="00FB47EB" w:rsidP="00FB47EB">
            <w:pPr>
              <w:spacing w:after="0"/>
              <w:jc w:val="center"/>
              <w:rPr>
                <w:rFonts w:ascii="Times New Roman" w:hAnsi="Times New Roman"/>
                <w:i/>
                <w:iCs/>
                <w:sz w:val="18"/>
                <w:szCs w:val="18"/>
                <w:lang w:eastAsia="es-DO"/>
              </w:rPr>
            </w:pPr>
            <w:r>
              <w:rPr>
                <w:rFonts w:ascii="Times New Roman" w:hAnsi="Times New Roman"/>
                <w:b/>
                <w:bCs/>
                <w:color w:val="FFFFFF"/>
                <w:sz w:val="18"/>
                <w:szCs w:val="18"/>
                <w:lang w:eastAsia="es-DO"/>
              </w:rPr>
              <w:t>Ejecutado</w:t>
            </w:r>
            <w:r w:rsidRPr="001C082F">
              <w:rPr>
                <w:rStyle w:val="Refdenotaalpie"/>
                <w:rFonts w:ascii="Times New Roman" w:hAnsi="Times New Roman"/>
                <w:b/>
                <w:bCs/>
                <w:color w:val="FFFFFF" w:themeColor="background1"/>
                <w:sz w:val="18"/>
                <w:szCs w:val="20"/>
                <w:shd w:val="clear" w:color="auto" w:fill="00B050"/>
                <w:lang w:val="en-US" w:eastAsia="en-US"/>
              </w:rPr>
              <w:footnoteReference w:id="39"/>
            </w:r>
          </w:p>
        </w:tc>
        <w:tc>
          <w:tcPr>
            <w:tcW w:w="1352"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431F7BF7" w14:textId="5E3829D4" w:rsidR="00FB47EB" w:rsidRPr="002E323B" w:rsidRDefault="00FB47EB" w:rsidP="00FB47EB">
            <w:pPr>
              <w:spacing w:after="0"/>
              <w:jc w:val="center"/>
              <w:rPr>
                <w:rFonts w:ascii="Times New Roman" w:hAnsi="Times New Roman"/>
                <w:i/>
                <w:iCs/>
                <w:sz w:val="18"/>
                <w:szCs w:val="18"/>
                <w:lang w:eastAsia="es-DO"/>
              </w:rPr>
            </w:pPr>
            <w:r w:rsidRPr="002E323B">
              <w:rPr>
                <w:rFonts w:ascii="Times New Roman" w:hAnsi="Times New Roman"/>
                <w:b/>
                <w:bCs/>
                <w:color w:val="FFFFFF"/>
                <w:sz w:val="18"/>
                <w:szCs w:val="18"/>
                <w:lang w:eastAsia="es-DO"/>
              </w:rPr>
              <w:t>Balance por ejecutar</w:t>
            </w:r>
          </w:p>
        </w:tc>
      </w:tr>
      <w:tr w:rsidR="002E323B" w:rsidRPr="002E323B" w14:paraId="01B22597" w14:textId="77777777" w:rsidTr="00E47FB2">
        <w:trPr>
          <w:trHeight w:val="255"/>
          <w:jc w:val="center"/>
        </w:trPr>
        <w:tc>
          <w:tcPr>
            <w:tcW w:w="5675" w:type="dxa"/>
            <w:tcBorders>
              <w:top w:val="single" w:sz="4" w:space="0" w:color="auto"/>
            </w:tcBorders>
            <w:shd w:val="clear" w:color="auto" w:fill="auto"/>
            <w:noWrap/>
            <w:vAlign w:val="bottom"/>
            <w:hideMark/>
          </w:tcPr>
          <w:p w14:paraId="42147BDF"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2.3.3.5.01-Textos de enseñanzas</w:t>
            </w:r>
          </w:p>
        </w:tc>
        <w:tc>
          <w:tcPr>
            <w:tcW w:w="1490" w:type="dxa"/>
            <w:tcBorders>
              <w:top w:val="single" w:sz="4" w:space="0" w:color="auto"/>
            </w:tcBorders>
            <w:shd w:val="clear" w:color="auto" w:fill="auto"/>
            <w:noWrap/>
            <w:vAlign w:val="bottom"/>
            <w:hideMark/>
          </w:tcPr>
          <w:p w14:paraId="26E1022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tcBorders>
              <w:top w:val="single" w:sz="4" w:space="0" w:color="auto"/>
            </w:tcBorders>
            <w:shd w:val="clear" w:color="000000" w:fill="FFFFFF"/>
            <w:noWrap/>
            <w:vAlign w:val="bottom"/>
            <w:hideMark/>
          </w:tcPr>
          <w:p w14:paraId="211CCB2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tcBorders>
              <w:top w:val="single" w:sz="4" w:space="0" w:color="auto"/>
            </w:tcBorders>
            <w:shd w:val="clear" w:color="000000" w:fill="FFFFFF"/>
            <w:noWrap/>
            <w:vAlign w:val="bottom"/>
            <w:hideMark/>
          </w:tcPr>
          <w:p w14:paraId="68AAF62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47CE807F" w14:textId="77777777" w:rsidTr="00E47FB2">
        <w:trPr>
          <w:trHeight w:val="255"/>
          <w:jc w:val="center"/>
        </w:trPr>
        <w:tc>
          <w:tcPr>
            <w:tcW w:w="5675" w:type="dxa"/>
            <w:shd w:val="clear" w:color="auto" w:fill="auto"/>
            <w:noWrap/>
            <w:vAlign w:val="bottom"/>
            <w:hideMark/>
          </w:tcPr>
          <w:p w14:paraId="2A58C927"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2.3.3.6.01-Especies timbradas y valoradas</w:t>
            </w:r>
          </w:p>
        </w:tc>
        <w:tc>
          <w:tcPr>
            <w:tcW w:w="1490" w:type="dxa"/>
            <w:shd w:val="clear" w:color="auto" w:fill="auto"/>
            <w:noWrap/>
            <w:vAlign w:val="bottom"/>
            <w:hideMark/>
          </w:tcPr>
          <w:p w14:paraId="2B29B8F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500,000.00</w:t>
            </w:r>
          </w:p>
        </w:tc>
        <w:tc>
          <w:tcPr>
            <w:tcW w:w="1840" w:type="dxa"/>
            <w:shd w:val="clear" w:color="000000" w:fill="FFFFFF"/>
            <w:noWrap/>
            <w:vAlign w:val="bottom"/>
            <w:hideMark/>
          </w:tcPr>
          <w:p w14:paraId="7AA96D0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50C8F0E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500,000.00</w:t>
            </w:r>
          </w:p>
        </w:tc>
      </w:tr>
      <w:tr w:rsidR="002E323B" w:rsidRPr="002E323B" w14:paraId="316AC8A2" w14:textId="77777777" w:rsidTr="00E47FB2">
        <w:trPr>
          <w:trHeight w:val="255"/>
          <w:jc w:val="center"/>
        </w:trPr>
        <w:tc>
          <w:tcPr>
            <w:tcW w:w="5675" w:type="dxa"/>
            <w:shd w:val="clear" w:color="auto" w:fill="auto"/>
            <w:noWrap/>
            <w:vAlign w:val="bottom"/>
            <w:hideMark/>
          </w:tcPr>
          <w:p w14:paraId="582452EA"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2.3.4.1.01-Productos medicinales para uso humano</w:t>
            </w:r>
          </w:p>
        </w:tc>
        <w:tc>
          <w:tcPr>
            <w:tcW w:w="1490" w:type="dxa"/>
            <w:shd w:val="clear" w:color="auto" w:fill="auto"/>
            <w:noWrap/>
            <w:vAlign w:val="bottom"/>
            <w:hideMark/>
          </w:tcPr>
          <w:p w14:paraId="048DBF7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969,525.00</w:t>
            </w:r>
          </w:p>
        </w:tc>
        <w:tc>
          <w:tcPr>
            <w:tcW w:w="1840" w:type="dxa"/>
            <w:shd w:val="clear" w:color="000000" w:fill="FFFFFF"/>
            <w:noWrap/>
            <w:vAlign w:val="bottom"/>
            <w:hideMark/>
          </w:tcPr>
          <w:p w14:paraId="4CF7E82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969,524.40</w:t>
            </w:r>
          </w:p>
        </w:tc>
        <w:tc>
          <w:tcPr>
            <w:tcW w:w="1352" w:type="dxa"/>
            <w:shd w:val="clear" w:color="auto" w:fill="auto"/>
            <w:noWrap/>
            <w:vAlign w:val="bottom"/>
            <w:hideMark/>
          </w:tcPr>
          <w:p w14:paraId="5D917CB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0.60</w:t>
            </w:r>
          </w:p>
        </w:tc>
      </w:tr>
      <w:tr w:rsidR="002E323B" w:rsidRPr="002E323B" w14:paraId="05B91031" w14:textId="77777777" w:rsidTr="00E47FB2">
        <w:trPr>
          <w:trHeight w:val="255"/>
          <w:jc w:val="center"/>
        </w:trPr>
        <w:tc>
          <w:tcPr>
            <w:tcW w:w="5675" w:type="dxa"/>
            <w:shd w:val="clear" w:color="auto" w:fill="auto"/>
            <w:noWrap/>
            <w:vAlign w:val="bottom"/>
            <w:hideMark/>
          </w:tcPr>
          <w:p w14:paraId="689FB941" w14:textId="1CA5DFC8"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2.3.4.2.01-Productos </w:t>
            </w:r>
            <w:r w:rsidR="00E47FB2" w:rsidRPr="002E323B">
              <w:rPr>
                <w:rFonts w:ascii="Times New Roman" w:hAnsi="Times New Roman"/>
                <w:i/>
                <w:iCs/>
                <w:sz w:val="18"/>
                <w:szCs w:val="18"/>
                <w:lang w:eastAsia="es-DO"/>
              </w:rPr>
              <w:t>medicinales</w:t>
            </w:r>
            <w:r w:rsidRPr="002E323B">
              <w:rPr>
                <w:rFonts w:ascii="Times New Roman" w:hAnsi="Times New Roman"/>
                <w:i/>
                <w:iCs/>
                <w:sz w:val="18"/>
                <w:szCs w:val="18"/>
                <w:lang w:eastAsia="es-DO"/>
              </w:rPr>
              <w:t xml:space="preserve"> para uso veterinario</w:t>
            </w:r>
          </w:p>
        </w:tc>
        <w:tc>
          <w:tcPr>
            <w:tcW w:w="1490" w:type="dxa"/>
            <w:shd w:val="clear" w:color="auto" w:fill="auto"/>
            <w:noWrap/>
            <w:vAlign w:val="bottom"/>
            <w:hideMark/>
          </w:tcPr>
          <w:p w14:paraId="5292DA9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9,595,733.00</w:t>
            </w:r>
          </w:p>
        </w:tc>
        <w:tc>
          <w:tcPr>
            <w:tcW w:w="1840" w:type="dxa"/>
            <w:shd w:val="clear" w:color="000000" w:fill="FFFFFF"/>
            <w:noWrap/>
            <w:vAlign w:val="bottom"/>
            <w:hideMark/>
          </w:tcPr>
          <w:p w14:paraId="66D9975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9,452,326.26</w:t>
            </w:r>
          </w:p>
        </w:tc>
        <w:tc>
          <w:tcPr>
            <w:tcW w:w="1352" w:type="dxa"/>
            <w:shd w:val="clear" w:color="auto" w:fill="auto"/>
            <w:noWrap/>
            <w:vAlign w:val="bottom"/>
            <w:hideMark/>
          </w:tcPr>
          <w:p w14:paraId="4490E54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143,406.74</w:t>
            </w:r>
          </w:p>
        </w:tc>
      </w:tr>
      <w:tr w:rsidR="002E323B" w:rsidRPr="002E323B" w14:paraId="55CEA0E8" w14:textId="77777777" w:rsidTr="00E47FB2">
        <w:trPr>
          <w:trHeight w:val="255"/>
          <w:jc w:val="center"/>
        </w:trPr>
        <w:tc>
          <w:tcPr>
            <w:tcW w:w="5675" w:type="dxa"/>
            <w:shd w:val="clear" w:color="auto" w:fill="auto"/>
            <w:noWrap/>
            <w:vAlign w:val="bottom"/>
            <w:hideMark/>
          </w:tcPr>
          <w:p w14:paraId="27AEE625"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2.3.5.2.01-Artículos de cuero</w:t>
            </w:r>
          </w:p>
        </w:tc>
        <w:tc>
          <w:tcPr>
            <w:tcW w:w="1490" w:type="dxa"/>
            <w:shd w:val="clear" w:color="auto" w:fill="auto"/>
            <w:noWrap/>
            <w:vAlign w:val="bottom"/>
            <w:hideMark/>
          </w:tcPr>
          <w:p w14:paraId="7BBFD1B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35,217,829.00</w:t>
            </w:r>
          </w:p>
        </w:tc>
        <w:tc>
          <w:tcPr>
            <w:tcW w:w="1840" w:type="dxa"/>
            <w:shd w:val="clear" w:color="000000" w:fill="FFFFFF"/>
            <w:noWrap/>
            <w:vAlign w:val="bottom"/>
            <w:hideMark/>
          </w:tcPr>
          <w:p w14:paraId="08DD1CC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25A5698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35,217,829.00</w:t>
            </w:r>
          </w:p>
        </w:tc>
      </w:tr>
      <w:tr w:rsidR="002E323B" w:rsidRPr="002E323B" w14:paraId="56A6DF96" w14:textId="77777777" w:rsidTr="00E47FB2">
        <w:trPr>
          <w:trHeight w:val="255"/>
          <w:jc w:val="center"/>
        </w:trPr>
        <w:tc>
          <w:tcPr>
            <w:tcW w:w="5675" w:type="dxa"/>
            <w:shd w:val="clear" w:color="auto" w:fill="auto"/>
            <w:noWrap/>
            <w:vAlign w:val="bottom"/>
            <w:hideMark/>
          </w:tcPr>
          <w:p w14:paraId="72FFD2F3"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2.3.5.3.01-Llantas y neumáticos</w:t>
            </w:r>
          </w:p>
        </w:tc>
        <w:tc>
          <w:tcPr>
            <w:tcW w:w="1490" w:type="dxa"/>
            <w:shd w:val="clear" w:color="auto" w:fill="auto"/>
            <w:noWrap/>
            <w:vAlign w:val="bottom"/>
            <w:hideMark/>
          </w:tcPr>
          <w:p w14:paraId="5B4C98F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10,000.00</w:t>
            </w:r>
          </w:p>
        </w:tc>
        <w:tc>
          <w:tcPr>
            <w:tcW w:w="1840" w:type="dxa"/>
            <w:shd w:val="clear" w:color="000000" w:fill="FFFFFF"/>
            <w:noWrap/>
            <w:vAlign w:val="bottom"/>
            <w:hideMark/>
          </w:tcPr>
          <w:p w14:paraId="2495B3D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1,643,938.44</w:t>
            </w:r>
          </w:p>
        </w:tc>
        <w:tc>
          <w:tcPr>
            <w:tcW w:w="1352" w:type="dxa"/>
            <w:shd w:val="clear" w:color="auto" w:fill="auto"/>
            <w:noWrap/>
            <w:vAlign w:val="bottom"/>
            <w:hideMark/>
          </w:tcPr>
          <w:p w14:paraId="1E20429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-1,633,938.44</w:t>
            </w:r>
          </w:p>
        </w:tc>
      </w:tr>
      <w:tr w:rsidR="002E323B" w:rsidRPr="002E323B" w14:paraId="48259DFA" w14:textId="77777777" w:rsidTr="00E47FB2">
        <w:trPr>
          <w:trHeight w:val="255"/>
          <w:jc w:val="center"/>
        </w:trPr>
        <w:tc>
          <w:tcPr>
            <w:tcW w:w="5675" w:type="dxa"/>
            <w:shd w:val="clear" w:color="auto" w:fill="auto"/>
            <w:noWrap/>
            <w:vAlign w:val="bottom"/>
            <w:hideMark/>
          </w:tcPr>
          <w:p w14:paraId="5ADC63B1"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2.3.5.4.01-Artículos de caucho</w:t>
            </w:r>
          </w:p>
        </w:tc>
        <w:tc>
          <w:tcPr>
            <w:tcW w:w="1490" w:type="dxa"/>
            <w:shd w:val="clear" w:color="auto" w:fill="auto"/>
            <w:noWrap/>
            <w:vAlign w:val="bottom"/>
            <w:hideMark/>
          </w:tcPr>
          <w:p w14:paraId="53E9743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2,000,000.00</w:t>
            </w:r>
          </w:p>
        </w:tc>
        <w:tc>
          <w:tcPr>
            <w:tcW w:w="1840" w:type="dxa"/>
            <w:shd w:val="clear" w:color="000000" w:fill="FFFFFF"/>
            <w:noWrap/>
            <w:vAlign w:val="bottom"/>
            <w:hideMark/>
          </w:tcPr>
          <w:p w14:paraId="3E1C1F9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1,945,206.00</w:t>
            </w:r>
          </w:p>
        </w:tc>
        <w:tc>
          <w:tcPr>
            <w:tcW w:w="1352" w:type="dxa"/>
            <w:shd w:val="clear" w:color="auto" w:fill="auto"/>
            <w:noWrap/>
            <w:vAlign w:val="bottom"/>
            <w:hideMark/>
          </w:tcPr>
          <w:p w14:paraId="57F409B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54,794.00</w:t>
            </w:r>
          </w:p>
        </w:tc>
      </w:tr>
      <w:tr w:rsidR="002E323B" w:rsidRPr="002E323B" w14:paraId="29A152B4" w14:textId="77777777" w:rsidTr="00E47FB2">
        <w:trPr>
          <w:trHeight w:val="255"/>
          <w:jc w:val="center"/>
        </w:trPr>
        <w:tc>
          <w:tcPr>
            <w:tcW w:w="5675" w:type="dxa"/>
            <w:shd w:val="clear" w:color="auto" w:fill="auto"/>
            <w:noWrap/>
            <w:vAlign w:val="bottom"/>
            <w:hideMark/>
          </w:tcPr>
          <w:p w14:paraId="662A5A42" w14:textId="40601E3E"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2.3.5.5.01-Articulos de </w:t>
            </w:r>
            <w:r w:rsidR="00E47FB2">
              <w:rPr>
                <w:rFonts w:ascii="Times New Roman" w:hAnsi="Times New Roman"/>
                <w:i/>
                <w:iCs/>
                <w:sz w:val="18"/>
                <w:szCs w:val="18"/>
                <w:lang w:eastAsia="es-DO"/>
              </w:rPr>
              <w:t>plástico</w:t>
            </w:r>
          </w:p>
        </w:tc>
        <w:tc>
          <w:tcPr>
            <w:tcW w:w="1490" w:type="dxa"/>
            <w:shd w:val="clear" w:color="auto" w:fill="auto"/>
            <w:noWrap/>
            <w:vAlign w:val="bottom"/>
            <w:hideMark/>
          </w:tcPr>
          <w:p w14:paraId="01D5790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2,100,000.00</w:t>
            </w:r>
          </w:p>
        </w:tc>
        <w:tc>
          <w:tcPr>
            <w:tcW w:w="1840" w:type="dxa"/>
            <w:shd w:val="clear" w:color="000000" w:fill="FFFFFF"/>
            <w:noWrap/>
            <w:vAlign w:val="bottom"/>
            <w:hideMark/>
          </w:tcPr>
          <w:p w14:paraId="759106B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3,575,166.99</w:t>
            </w:r>
          </w:p>
        </w:tc>
        <w:tc>
          <w:tcPr>
            <w:tcW w:w="1352" w:type="dxa"/>
            <w:shd w:val="clear" w:color="auto" w:fill="auto"/>
            <w:noWrap/>
            <w:vAlign w:val="bottom"/>
            <w:hideMark/>
          </w:tcPr>
          <w:p w14:paraId="57BA858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-1,475,166.99</w:t>
            </w:r>
          </w:p>
        </w:tc>
      </w:tr>
      <w:tr w:rsidR="002E323B" w:rsidRPr="002E323B" w14:paraId="29F25730" w14:textId="77777777" w:rsidTr="00E47FB2">
        <w:trPr>
          <w:trHeight w:val="255"/>
          <w:jc w:val="center"/>
        </w:trPr>
        <w:tc>
          <w:tcPr>
            <w:tcW w:w="5675" w:type="dxa"/>
            <w:shd w:val="clear" w:color="auto" w:fill="auto"/>
            <w:noWrap/>
            <w:vAlign w:val="bottom"/>
            <w:hideMark/>
          </w:tcPr>
          <w:p w14:paraId="2CEE81E2"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2.3.6.1.01-Productos de cemento</w:t>
            </w:r>
          </w:p>
        </w:tc>
        <w:tc>
          <w:tcPr>
            <w:tcW w:w="1490" w:type="dxa"/>
            <w:shd w:val="clear" w:color="auto" w:fill="auto"/>
            <w:noWrap/>
            <w:vAlign w:val="bottom"/>
            <w:hideMark/>
          </w:tcPr>
          <w:p w14:paraId="54F9814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3,593,500.00</w:t>
            </w:r>
          </w:p>
        </w:tc>
        <w:tc>
          <w:tcPr>
            <w:tcW w:w="1840" w:type="dxa"/>
            <w:shd w:val="clear" w:color="000000" w:fill="FFFFFF"/>
            <w:noWrap/>
            <w:vAlign w:val="bottom"/>
            <w:hideMark/>
          </w:tcPr>
          <w:p w14:paraId="02E2951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180,451.50</w:t>
            </w:r>
          </w:p>
        </w:tc>
        <w:tc>
          <w:tcPr>
            <w:tcW w:w="1352" w:type="dxa"/>
            <w:shd w:val="clear" w:color="auto" w:fill="auto"/>
            <w:noWrap/>
            <w:vAlign w:val="bottom"/>
            <w:hideMark/>
          </w:tcPr>
          <w:p w14:paraId="497F0BB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3,413,048.50</w:t>
            </w:r>
          </w:p>
        </w:tc>
      </w:tr>
      <w:tr w:rsidR="002E323B" w:rsidRPr="002E323B" w14:paraId="6F44DF50" w14:textId="77777777" w:rsidTr="00E47FB2">
        <w:trPr>
          <w:trHeight w:val="255"/>
          <w:jc w:val="center"/>
        </w:trPr>
        <w:tc>
          <w:tcPr>
            <w:tcW w:w="5675" w:type="dxa"/>
            <w:shd w:val="clear" w:color="auto" w:fill="auto"/>
            <w:noWrap/>
            <w:vAlign w:val="bottom"/>
            <w:hideMark/>
          </w:tcPr>
          <w:p w14:paraId="51078AC7"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2.3.6.1.02-Productos de cal</w:t>
            </w:r>
          </w:p>
        </w:tc>
        <w:tc>
          <w:tcPr>
            <w:tcW w:w="1490" w:type="dxa"/>
            <w:shd w:val="clear" w:color="auto" w:fill="auto"/>
            <w:noWrap/>
            <w:vAlign w:val="bottom"/>
            <w:hideMark/>
          </w:tcPr>
          <w:p w14:paraId="2963D2E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100,000.00</w:t>
            </w:r>
          </w:p>
        </w:tc>
        <w:tc>
          <w:tcPr>
            <w:tcW w:w="1840" w:type="dxa"/>
            <w:shd w:val="clear" w:color="000000" w:fill="FFFFFF"/>
            <w:noWrap/>
            <w:vAlign w:val="bottom"/>
            <w:hideMark/>
          </w:tcPr>
          <w:p w14:paraId="759FB7B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0B58F89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100,000.00</w:t>
            </w:r>
          </w:p>
        </w:tc>
      </w:tr>
      <w:tr w:rsidR="002E323B" w:rsidRPr="002E323B" w14:paraId="532DCDC6" w14:textId="77777777" w:rsidTr="00E47FB2">
        <w:trPr>
          <w:trHeight w:val="255"/>
          <w:jc w:val="center"/>
        </w:trPr>
        <w:tc>
          <w:tcPr>
            <w:tcW w:w="5675" w:type="dxa"/>
            <w:shd w:val="clear" w:color="auto" w:fill="auto"/>
            <w:noWrap/>
            <w:vAlign w:val="bottom"/>
            <w:hideMark/>
          </w:tcPr>
          <w:p w14:paraId="4037FDF1"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2.3.6.1.05-Productos de arcilla y derivados</w:t>
            </w:r>
          </w:p>
        </w:tc>
        <w:tc>
          <w:tcPr>
            <w:tcW w:w="1490" w:type="dxa"/>
            <w:shd w:val="clear" w:color="auto" w:fill="auto"/>
            <w:noWrap/>
            <w:vAlign w:val="bottom"/>
            <w:hideMark/>
          </w:tcPr>
          <w:p w14:paraId="3F15E66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410,000.00</w:t>
            </w:r>
          </w:p>
        </w:tc>
        <w:tc>
          <w:tcPr>
            <w:tcW w:w="1840" w:type="dxa"/>
            <w:shd w:val="clear" w:color="000000" w:fill="FFFFFF"/>
            <w:noWrap/>
            <w:vAlign w:val="bottom"/>
            <w:hideMark/>
          </w:tcPr>
          <w:p w14:paraId="463423A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5948A6A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410,000.00</w:t>
            </w:r>
          </w:p>
        </w:tc>
      </w:tr>
      <w:tr w:rsidR="002E323B" w:rsidRPr="002E323B" w14:paraId="4BED1324" w14:textId="77777777" w:rsidTr="00E47FB2">
        <w:trPr>
          <w:trHeight w:val="255"/>
          <w:jc w:val="center"/>
        </w:trPr>
        <w:tc>
          <w:tcPr>
            <w:tcW w:w="5675" w:type="dxa"/>
            <w:shd w:val="clear" w:color="auto" w:fill="auto"/>
            <w:noWrap/>
            <w:vAlign w:val="bottom"/>
            <w:hideMark/>
          </w:tcPr>
          <w:p w14:paraId="1F3C09DC"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2.3.6.2.01-Productos de vidrio</w:t>
            </w:r>
          </w:p>
        </w:tc>
        <w:tc>
          <w:tcPr>
            <w:tcW w:w="1490" w:type="dxa"/>
            <w:shd w:val="clear" w:color="auto" w:fill="auto"/>
            <w:noWrap/>
            <w:vAlign w:val="bottom"/>
            <w:hideMark/>
          </w:tcPr>
          <w:p w14:paraId="5D530A1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200,000.00</w:t>
            </w:r>
          </w:p>
        </w:tc>
        <w:tc>
          <w:tcPr>
            <w:tcW w:w="1840" w:type="dxa"/>
            <w:shd w:val="clear" w:color="000000" w:fill="FFFFFF"/>
            <w:noWrap/>
            <w:vAlign w:val="bottom"/>
            <w:hideMark/>
          </w:tcPr>
          <w:p w14:paraId="55B73E5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71E07B7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200,000.00</w:t>
            </w:r>
          </w:p>
        </w:tc>
      </w:tr>
      <w:tr w:rsidR="002E323B" w:rsidRPr="002E323B" w14:paraId="329BA078" w14:textId="77777777" w:rsidTr="00E47FB2">
        <w:trPr>
          <w:trHeight w:val="255"/>
          <w:jc w:val="center"/>
        </w:trPr>
        <w:tc>
          <w:tcPr>
            <w:tcW w:w="5675" w:type="dxa"/>
            <w:shd w:val="clear" w:color="auto" w:fill="auto"/>
            <w:noWrap/>
            <w:vAlign w:val="bottom"/>
            <w:hideMark/>
          </w:tcPr>
          <w:p w14:paraId="61042B9C"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2.3.6.2.02-Productos de loza</w:t>
            </w:r>
          </w:p>
        </w:tc>
        <w:tc>
          <w:tcPr>
            <w:tcW w:w="1490" w:type="dxa"/>
            <w:shd w:val="clear" w:color="auto" w:fill="auto"/>
            <w:noWrap/>
            <w:vAlign w:val="bottom"/>
            <w:hideMark/>
          </w:tcPr>
          <w:p w14:paraId="7809F03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82,979.00</w:t>
            </w:r>
          </w:p>
        </w:tc>
        <w:tc>
          <w:tcPr>
            <w:tcW w:w="1840" w:type="dxa"/>
            <w:shd w:val="clear" w:color="000000" w:fill="FFFFFF"/>
            <w:noWrap/>
            <w:vAlign w:val="bottom"/>
            <w:hideMark/>
          </w:tcPr>
          <w:p w14:paraId="3051411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383A60A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82,979.00</w:t>
            </w:r>
          </w:p>
        </w:tc>
      </w:tr>
      <w:tr w:rsidR="002E323B" w:rsidRPr="002E323B" w14:paraId="0856D4B6" w14:textId="77777777" w:rsidTr="00E47FB2">
        <w:trPr>
          <w:trHeight w:val="255"/>
          <w:jc w:val="center"/>
        </w:trPr>
        <w:tc>
          <w:tcPr>
            <w:tcW w:w="5675" w:type="dxa"/>
            <w:shd w:val="clear" w:color="auto" w:fill="auto"/>
            <w:noWrap/>
            <w:vAlign w:val="bottom"/>
            <w:hideMark/>
          </w:tcPr>
          <w:p w14:paraId="1767EA59"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2.3.6.3.01-Productos ferrosos</w:t>
            </w:r>
          </w:p>
        </w:tc>
        <w:tc>
          <w:tcPr>
            <w:tcW w:w="1490" w:type="dxa"/>
            <w:shd w:val="clear" w:color="auto" w:fill="auto"/>
            <w:noWrap/>
            <w:vAlign w:val="bottom"/>
            <w:hideMark/>
          </w:tcPr>
          <w:p w14:paraId="0896082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162,009.00</w:t>
            </w:r>
          </w:p>
        </w:tc>
        <w:tc>
          <w:tcPr>
            <w:tcW w:w="1840" w:type="dxa"/>
            <w:shd w:val="clear" w:color="000000" w:fill="FFFFFF"/>
            <w:noWrap/>
            <w:vAlign w:val="bottom"/>
            <w:hideMark/>
          </w:tcPr>
          <w:p w14:paraId="7EC2FC3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102,365.48</w:t>
            </w:r>
          </w:p>
        </w:tc>
        <w:tc>
          <w:tcPr>
            <w:tcW w:w="1352" w:type="dxa"/>
            <w:shd w:val="clear" w:color="auto" w:fill="auto"/>
            <w:noWrap/>
            <w:vAlign w:val="bottom"/>
            <w:hideMark/>
          </w:tcPr>
          <w:p w14:paraId="195260C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59,643.52</w:t>
            </w:r>
          </w:p>
        </w:tc>
      </w:tr>
      <w:tr w:rsidR="002E323B" w:rsidRPr="002E323B" w14:paraId="708DDD96" w14:textId="77777777" w:rsidTr="00E47FB2">
        <w:trPr>
          <w:trHeight w:val="255"/>
          <w:jc w:val="center"/>
        </w:trPr>
        <w:tc>
          <w:tcPr>
            <w:tcW w:w="5675" w:type="dxa"/>
            <w:shd w:val="clear" w:color="auto" w:fill="auto"/>
            <w:noWrap/>
            <w:vAlign w:val="bottom"/>
            <w:hideMark/>
          </w:tcPr>
          <w:p w14:paraId="062B029E"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2.3.6.3.02-Productos no ferrosos</w:t>
            </w:r>
          </w:p>
        </w:tc>
        <w:tc>
          <w:tcPr>
            <w:tcW w:w="1490" w:type="dxa"/>
            <w:shd w:val="clear" w:color="auto" w:fill="auto"/>
            <w:noWrap/>
            <w:vAlign w:val="bottom"/>
            <w:hideMark/>
          </w:tcPr>
          <w:p w14:paraId="3B10193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100,000.00</w:t>
            </w:r>
          </w:p>
        </w:tc>
        <w:tc>
          <w:tcPr>
            <w:tcW w:w="1840" w:type="dxa"/>
            <w:shd w:val="clear" w:color="000000" w:fill="FFFFFF"/>
            <w:noWrap/>
            <w:vAlign w:val="bottom"/>
            <w:hideMark/>
          </w:tcPr>
          <w:p w14:paraId="73A497E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13,308.00</w:t>
            </w:r>
          </w:p>
        </w:tc>
        <w:tc>
          <w:tcPr>
            <w:tcW w:w="1352" w:type="dxa"/>
            <w:shd w:val="clear" w:color="auto" w:fill="auto"/>
            <w:noWrap/>
            <w:vAlign w:val="bottom"/>
            <w:hideMark/>
          </w:tcPr>
          <w:p w14:paraId="0C63ED2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86,692.00</w:t>
            </w:r>
          </w:p>
        </w:tc>
      </w:tr>
      <w:tr w:rsidR="002E323B" w:rsidRPr="002E323B" w14:paraId="58BBCF22" w14:textId="77777777" w:rsidTr="00E47FB2">
        <w:trPr>
          <w:trHeight w:val="255"/>
          <w:jc w:val="center"/>
        </w:trPr>
        <w:tc>
          <w:tcPr>
            <w:tcW w:w="5675" w:type="dxa"/>
            <w:shd w:val="clear" w:color="auto" w:fill="auto"/>
            <w:noWrap/>
            <w:vAlign w:val="bottom"/>
            <w:hideMark/>
          </w:tcPr>
          <w:p w14:paraId="0D7ABD54" w14:textId="5161FF0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2.3.6.3.03-Estructuras </w:t>
            </w:r>
            <w:r w:rsidR="00E47FB2" w:rsidRPr="002E323B">
              <w:rPr>
                <w:rFonts w:ascii="Times New Roman" w:hAnsi="Times New Roman"/>
                <w:i/>
                <w:iCs/>
                <w:sz w:val="18"/>
                <w:szCs w:val="18"/>
                <w:lang w:eastAsia="es-DO"/>
              </w:rPr>
              <w:t>metálicas</w:t>
            </w:r>
            <w:r w:rsidRPr="002E323B">
              <w:rPr>
                <w:rFonts w:ascii="Times New Roman" w:hAnsi="Times New Roman"/>
                <w:i/>
                <w:iCs/>
                <w:sz w:val="18"/>
                <w:szCs w:val="18"/>
                <w:lang w:eastAsia="es-DO"/>
              </w:rPr>
              <w:t xml:space="preserve"> acabadas</w:t>
            </w:r>
          </w:p>
        </w:tc>
        <w:tc>
          <w:tcPr>
            <w:tcW w:w="1490" w:type="dxa"/>
            <w:shd w:val="clear" w:color="auto" w:fill="auto"/>
            <w:noWrap/>
            <w:vAlign w:val="bottom"/>
            <w:hideMark/>
          </w:tcPr>
          <w:p w14:paraId="38BE007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3,120.00</w:t>
            </w:r>
          </w:p>
        </w:tc>
        <w:tc>
          <w:tcPr>
            <w:tcW w:w="1840" w:type="dxa"/>
            <w:shd w:val="clear" w:color="000000" w:fill="FFFFFF"/>
            <w:noWrap/>
            <w:vAlign w:val="bottom"/>
            <w:hideMark/>
          </w:tcPr>
          <w:p w14:paraId="6C2534A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15,194.86</w:t>
            </w:r>
          </w:p>
        </w:tc>
        <w:tc>
          <w:tcPr>
            <w:tcW w:w="1352" w:type="dxa"/>
            <w:shd w:val="clear" w:color="auto" w:fill="auto"/>
            <w:noWrap/>
            <w:vAlign w:val="bottom"/>
            <w:hideMark/>
          </w:tcPr>
          <w:p w14:paraId="6A62509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-12,074.86</w:t>
            </w:r>
          </w:p>
        </w:tc>
      </w:tr>
      <w:tr w:rsidR="002E323B" w:rsidRPr="002E323B" w14:paraId="088CBCB0" w14:textId="77777777" w:rsidTr="00E47FB2">
        <w:trPr>
          <w:trHeight w:val="255"/>
          <w:jc w:val="center"/>
        </w:trPr>
        <w:tc>
          <w:tcPr>
            <w:tcW w:w="5675" w:type="dxa"/>
            <w:shd w:val="clear" w:color="auto" w:fill="auto"/>
            <w:noWrap/>
            <w:vAlign w:val="bottom"/>
            <w:hideMark/>
          </w:tcPr>
          <w:p w14:paraId="3806305B"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2.3.6.3.04-Herramientas menores</w:t>
            </w:r>
          </w:p>
        </w:tc>
        <w:tc>
          <w:tcPr>
            <w:tcW w:w="1490" w:type="dxa"/>
            <w:shd w:val="clear" w:color="auto" w:fill="auto"/>
            <w:noWrap/>
            <w:vAlign w:val="bottom"/>
            <w:hideMark/>
          </w:tcPr>
          <w:p w14:paraId="6079E73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200,000.00</w:t>
            </w:r>
          </w:p>
        </w:tc>
        <w:tc>
          <w:tcPr>
            <w:tcW w:w="1840" w:type="dxa"/>
            <w:shd w:val="clear" w:color="000000" w:fill="FFFFFF"/>
            <w:noWrap/>
            <w:vAlign w:val="bottom"/>
            <w:hideMark/>
          </w:tcPr>
          <w:p w14:paraId="3FA78F0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250,631.10</w:t>
            </w:r>
          </w:p>
        </w:tc>
        <w:tc>
          <w:tcPr>
            <w:tcW w:w="1352" w:type="dxa"/>
            <w:shd w:val="clear" w:color="auto" w:fill="auto"/>
            <w:noWrap/>
            <w:vAlign w:val="bottom"/>
            <w:hideMark/>
          </w:tcPr>
          <w:p w14:paraId="1A27EBC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-50,631.10</w:t>
            </w:r>
          </w:p>
        </w:tc>
      </w:tr>
      <w:tr w:rsidR="002E323B" w:rsidRPr="002E323B" w14:paraId="74FC986F" w14:textId="77777777" w:rsidTr="00E47FB2">
        <w:trPr>
          <w:trHeight w:val="255"/>
          <w:jc w:val="center"/>
        </w:trPr>
        <w:tc>
          <w:tcPr>
            <w:tcW w:w="5675" w:type="dxa"/>
            <w:shd w:val="clear" w:color="auto" w:fill="auto"/>
            <w:noWrap/>
            <w:vAlign w:val="bottom"/>
            <w:hideMark/>
          </w:tcPr>
          <w:p w14:paraId="1A2F506E"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2.3.6.3.05-Productos de hojalata</w:t>
            </w:r>
          </w:p>
        </w:tc>
        <w:tc>
          <w:tcPr>
            <w:tcW w:w="1490" w:type="dxa"/>
            <w:shd w:val="clear" w:color="auto" w:fill="auto"/>
            <w:noWrap/>
            <w:vAlign w:val="bottom"/>
            <w:hideMark/>
          </w:tcPr>
          <w:p w14:paraId="242D510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30,000.00</w:t>
            </w:r>
          </w:p>
        </w:tc>
        <w:tc>
          <w:tcPr>
            <w:tcW w:w="1840" w:type="dxa"/>
            <w:shd w:val="clear" w:color="000000" w:fill="FFFFFF"/>
            <w:noWrap/>
            <w:vAlign w:val="bottom"/>
            <w:hideMark/>
          </w:tcPr>
          <w:p w14:paraId="798AFEF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6464401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30,000.00</w:t>
            </w:r>
          </w:p>
        </w:tc>
      </w:tr>
      <w:tr w:rsidR="002E323B" w:rsidRPr="002E323B" w14:paraId="5DD5BCC1" w14:textId="77777777" w:rsidTr="00E47FB2">
        <w:trPr>
          <w:trHeight w:val="255"/>
          <w:jc w:val="center"/>
        </w:trPr>
        <w:tc>
          <w:tcPr>
            <w:tcW w:w="5675" w:type="dxa"/>
            <w:shd w:val="clear" w:color="auto" w:fill="auto"/>
            <w:noWrap/>
            <w:vAlign w:val="bottom"/>
            <w:hideMark/>
          </w:tcPr>
          <w:p w14:paraId="1970DCDA"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2.3.6.3.06-Accesorios de metal</w:t>
            </w:r>
          </w:p>
        </w:tc>
        <w:tc>
          <w:tcPr>
            <w:tcW w:w="1490" w:type="dxa"/>
            <w:shd w:val="clear" w:color="auto" w:fill="auto"/>
            <w:noWrap/>
            <w:vAlign w:val="bottom"/>
            <w:hideMark/>
          </w:tcPr>
          <w:p w14:paraId="19D55AD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290B5E3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342A824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58ED7294" w14:textId="77777777" w:rsidTr="00E47FB2">
        <w:trPr>
          <w:trHeight w:val="15"/>
          <w:jc w:val="center"/>
        </w:trPr>
        <w:tc>
          <w:tcPr>
            <w:tcW w:w="5675" w:type="dxa"/>
            <w:shd w:val="clear" w:color="auto" w:fill="auto"/>
            <w:noWrap/>
            <w:vAlign w:val="bottom"/>
            <w:hideMark/>
          </w:tcPr>
          <w:p w14:paraId="6BB730D2"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2.3.6.4.01-Minerales metalíferos</w:t>
            </w:r>
          </w:p>
        </w:tc>
        <w:tc>
          <w:tcPr>
            <w:tcW w:w="1490" w:type="dxa"/>
            <w:shd w:val="clear" w:color="auto" w:fill="auto"/>
            <w:noWrap/>
            <w:vAlign w:val="bottom"/>
            <w:hideMark/>
          </w:tcPr>
          <w:p w14:paraId="6DD8DA0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3331348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01BA08B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451C54EF" w14:textId="77777777" w:rsidTr="00E47FB2">
        <w:trPr>
          <w:trHeight w:val="255"/>
          <w:jc w:val="center"/>
        </w:trPr>
        <w:tc>
          <w:tcPr>
            <w:tcW w:w="5675" w:type="dxa"/>
            <w:shd w:val="clear" w:color="auto" w:fill="auto"/>
            <w:noWrap/>
            <w:vAlign w:val="bottom"/>
            <w:hideMark/>
          </w:tcPr>
          <w:p w14:paraId="28517BA6"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2.3.6.4.04-Piedra, arcilla y arena</w:t>
            </w:r>
          </w:p>
        </w:tc>
        <w:tc>
          <w:tcPr>
            <w:tcW w:w="1490" w:type="dxa"/>
            <w:shd w:val="clear" w:color="auto" w:fill="auto"/>
            <w:noWrap/>
            <w:vAlign w:val="bottom"/>
            <w:hideMark/>
          </w:tcPr>
          <w:p w14:paraId="59015EA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195,200.00</w:t>
            </w:r>
          </w:p>
        </w:tc>
        <w:tc>
          <w:tcPr>
            <w:tcW w:w="1840" w:type="dxa"/>
            <w:shd w:val="clear" w:color="000000" w:fill="FFFFFF"/>
            <w:noWrap/>
            <w:vAlign w:val="bottom"/>
            <w:hideMark/>
          </w:tcPr>
          <w:p w14:paraId="2499143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200,585.09</w:t>
            </w:r>
          </w:p>
        </w:tc>
        <w:tc>
          <w:tcPr>
            <w:tcW w:w="1352" w:type="dxa"/>
            <w:shd w:val="clear" w:color="auto" w:fill="auto"/>
            <w:noWrap/>
            <w:vAlign w:val="bottom"/>
            <w:hideMark/>
          </w:tcPr>
          <w:p w14:paraId="1FA9833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-5,385.09</w:t>
            </w:r>
          </w:p>
        </w:tc>
      </w:tr>
      <w:tr w:rsidR="002E323B" w:rsidRPr="002E323B" w14:paraId="2B4144C8" w14:textId="77777777" w:rsidTr="00E47FB2">
        <w:trPr>
          <w:trHeight w:val="255"/>
          <w:jc w:val="center"/>
        </w:trPr>
        <w:tc>
          <w:tcPr>
            <w:tcW w:w="5675" w:type="dxa"/>
            <w:shd w:val="clear" w:color="auto" w:fill="auto"/>
            <w:noWrap/>
            <w:vAlign w:val="bottom"/>
            <w:hideMark/>
          </w:tcPr>
          <w:p w14:paraId="6AF3413E"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2.3.6.4.07-Otros minerales</w:t>
            </w:r>
          </w:p>
        </w:tc>
        <w:tc>
          <w:tcPr>
            <w:tcW w:w="1490" w:type="dxa"/>
            <w:shd w:val="clear" w:color="auto" w:fill="auto"/>
            <w:noWrap/>
            <w:vAlign w:val="bottom"/>
            <w:hideMark/>
          </w:tcPr>
          <w:p w14:paraId="111AE15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4F44476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097366F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7BDEF5BA" w14:textId="77777777" w:rsidTr="00E47FB2">
        <w:trPr>
          <w:trHeight w:val="255"/>
          <w:jc w:val="center"/>
        </w:trPr>
        <w:tc>
          <w:tcPr>
            <w:tcW w:w="5675" w:type="dxa"/>
            <w:shd w:val="clear" w:color="auto" w:fill="auto"/>
            <w:noWrap/>
            <w:vAlign w:val="bottom"/>
            <w:hideMark/>
          </w:tcPr>
          <w:p w14:paraId="01F87198"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2.3.7.1.01-Gasolina</w:t>
            </w:r>
          </w:p>
        </w:tc>
        <w:tc>
          <w:tcPr>
            <w:tcW w:w="1490" w:type="dxa"/>
            <w:shd w:val="clear" w:color="auto" w:fill="auto"/>
            <w:noWrap/>
            <w:vAlign w:val="bottom"/>
            <w:hideMark/>
          </w:tcPr>
          <w:p w14:paraId="332A8BE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24,300,923.00</w:t>
            </w:r>
          </w:p>
        </w:tc>
        <w:tc>
          <w:tcPr>
            <w:tcW w:w="1840" w:type="dxa"/>
            <w:shd w:val="clear" w:color="000000" w:fill="FFFFFF"/>
            <w:noWrap/>
            <w:vAlign w:val="bottom"/>
            <w:hideMark/>
          </w:tcPr>
          <w:p w14:paraId="0245821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12,686,502.78</w:t>
            </w:r>
          </w:p>
        </w:tc>
        <w:tc>
          <w:tcPr>
            <w:tcW w:w="1352" w:type="dxa"/>
            <w:shd w:val="clear" w:color="auto" w:fill="auto"/>
            <w:noWrap/>
            <w:vAlign w:val="bottom"/>
            <w:hideMark/>
          </w:tcPr>
          <w:p w14:paraId="3F9CC28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11,614,420.22</w:t>
            </w:r>
          </w:p>
        </w:tc>
      </w:tr>
      <w:tr w:rsidR="002E323B" w:rsidRPr="002E323B" w14:paraId="1D8D95F4" w14:textId="77777777" w:rsidTr="00E47FB2">
        <w:trPr>
          <w:trHeight w:val="255"/>
          <w:jc w:val="center"/>
        </w:trPr>
        <w:tc>
          <w:tcPr>
            <w:tcW w:w="5675" w:type="dxa"/>
            <w:shd w:val="clear" w:color="auto" w:fill="auto"/>
            <w:noWrap/>
            <w:vAlign w:val="bottom"/>
            <w:hideMark/>
          </w:tcPr>
          <w:p w14:paraId="3385E51F"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2.3.7.2.02-Gasoil</w:t>
            </w:r>
          </w:p>
        </w:tc>
        <w:tc>
          <w:tcPr>
            <w:tcW w:w="1490" w:type="dxa"/>
            <w:shd w:val="clear" w:color="auto" w:fill="auto"/>
            <w:noWrap/>
            <w:vAlign w:val="bottom"/>
            <w:hideMark/>
          </w:tcPr>
          <w:p w14:paraId="32B3962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22,834,483.00</w:t>
            </w:r>
          </w:p>
        </w:tc>
        <w:tc>
          <w:tcPr>
            <w:tcW w:w="1840" w:type="dxa"/>
            <w:shd w:val="clear" w:color="000000" w:fill="FFFFFF"/>
            <w:noWrap/>
            <w:vAlign w:val="bottom"/>
            <w:hideMark/>
          </w:tcPr>
          <w:p w14:paraId="2E9513D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28,375,317.49</w:t>
            </w:r>
          </w:p>
        </w:tc>
        <w:tc>
          <w:tcPr>
            <w:tcW w:w="1352" w:type="dxa"/>
            <w:shd w:val="clear" w:color="auto" w:fill="auto"/>
            <w:noWrap/>
            <w:vAlign w:val="bottom"/>
            <w:hideMark/>
          </w:tcPr>
          <w:p w14:paraId="2827E51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-5,540,834.49</w:t>
            </w:r>
          </w:p>
        </w:tc>
      </w:tr>
      <w:tr w:rsidR="002E323B" w:rsidRPr="002E323B" w14:paraId="5F1DDEE0" w14:textId="77777777" w:rsidTr="00E47FB2">
        <w:trPr>
          <w:trHeight w:val="255"/>
          <w:jc w:val="center"/>
        </w:trPr>
        <w:tc>
          <w:tcPr>
            <w:tcW w:w="5675" w:type="dxa"/>
            <w:shd w:val="clear" w:color="auto" w:fill="auto"/>
            <w:noWrap/>
            <w:vAlign w:val="bottom"/>
            <w:hideMark/>
          </w:tcPr>
          <w:p w14:paraId="5BBE7440"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2.3.7.1.01-Gas GLP</w:t>
            </w:r>
          </w:p>
        </w:tc>
        <w:tc>
          <w:tcPr>
            <w:tcW w:w="1490" w:type="dxa"/>
            <w:shd w:val="clear" w:color="auto" w:fill="auto"/>
            <w:noWrap/>
            <w:vAlign w:val="bottom"/>
            <w:hideMark/>
          </w:tcPr>
          <w:p w14:paraId="347EA77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100,000.00</w:t>
            </w:r>
          </w:p>
        </w:tc>
        <w:tc>
          <w:tcPr>
            <w:tcW w:w="1840" w:type="dxa"/>
            <w:shd w:val="clear" w:color="000000" w:fill="FFFFFF"/>
            <w:noWrap/>
            <w:vAlign w:val="bottom"/>
            <w:hideMark/>
          </w:tcPr>
          <w:p w14:paraId="79EAA55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39D5EE2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100,000.00</w:t>
            </w:r>
          </w:p>
        </w:tc>
      </w:tr>
      <w:tr w:rsidR="002E323B" w:rsidRPr="002E323B" w14:paraId="3F25622C" w14:textId="77777777" w:rsidTr="00E47FB2">
        <w:trPr>
          <w:trHeight w:val="255"/>
          <w:jc w:val="center"/>
        </w:trPr>
        <w:tc>
          <w:tcPr>
            <w:tcW w:w="5675" w:type="dxa"/>
            <w:shd w:val="clear" w:color="auto" w:fill="auto"/>
            <w:noWrap/>
            <w:vAlign w:val="bottom"/>
            <w:hideMark/>
          </w:tcPr>
          <w:p w14:paraId="17FC24A0"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2.3.7.1.05-Aceites y grasas</w:t>
            </w:r>
          </w:p>
        </w:tc>
        <w:tc>
          <w:tcPr>
            <w:tcW w:w="1490" w:type="dxa"/>
            <w:shd w:val="clear" w:color="auto" w:fill="auto"/>
            <w:noWrap/>
            <w:vAlign w:val="bottom"/>
            <w:hideMark/>
          </w:tcPr>
          <w:p w14:paraId="3F15BB2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600,000.00</w:t>
            </w:r>
          </w:p>
        </w:tc>
        <w:tc>
          <w:tcPr>
            <w:tcW w:w="1840" w:type="dxa"/>
            <w:shd w:val="clear" w:color="000000" w:fill="FFFFFF"/>
            <w:noWrap/>
            <w:vAlign w:val="bottom"/>
            <w:hideMark/>
          </w:tcPr>
          <w:p w14:paraId="3FB9CDB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5616AE3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600,000.00</w:t>
            </w:r>
          </w:p>
        </w:tc>
      </w:tr>
      <w:tr w:rsidR="002E323B" w:rsidRPr="002E323B" w14:paraId="3B6843D0" w14:textId="77777777" w:rsidTr="00E47FB2">
        <w:trPr>
          <w:trHeight w:val="255"/>
          <w:jc w:val="center"/>
        </w:trPr>
        <w:tc>
          <w:tcPr>
            <w:tcW w:w="5675" w:type="dxa"/>
            <w:shd w:val="clear" w:color="auto" w:fill="auto"/>
            <w:noWrap/>
            <w:vAlign w:val="bottom"/>
            <w:hideMark/>
          </w:tcPr>
          <w:p w14:paraId="1833F9B2"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2.3.7.1.06-Lubricantes</w:t>
            </w:r>
          </w:p>
        </w:tc>
        <w:tc>
          <w:tcPr>
            <w:tcW w:w="1490" w:type="dxa"/>
            <w:shd w:val="clear" w:color="auto" w:fill="auto"/>
            <w:noWrap/>
            <w:vAlign w:val="bottom"/>
            <w:hideMark/>
          </w:tcPr>
          <w:p w14:paraId="1CFECEA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7649830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7D337DA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738474D5" w14:textId="77777777" w:rsidTr="00E47FB2">
        <w:trPr>
          <w:trHeight w:val="255"/>
          <w:jc w:val="center"/>
        </w:trPr>
        <w:tc>
          <w:tcPr>
            <w:tcW w:w="5675" w:type="dxa"/>
            <w:shd w:val="clear" w:color="auto" w:fill="auto"/>
            <w:noWrap/>
            <w:vAlign w:val="bottom"/>
            <w:hideMark/>
          </w:tcPr>
          <w:p w14:paraId="29FE5BCE"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2.3.7.2.03-Productos químicos de laboratorio de uso personal</w:t>
            </w:r>
          </w:p>
        </w:tc>
        <w:tc>
          <w:tcPr>
            <w:tcW w:w="1490" w:type="dxa"/>
            <w:shd w:val="clear" w:color="auto" w:fill="auto"/>
            <w:noWrap/>
            <w:vAlign w:val="bottom"/>
            <w:hideMark/>
          </w:tcPr>
          <w:p w14:paraId="1E14AE2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1A68D59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42D7FFF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5295D792" w14:textId="77777777" w:rsidTr="00E47FB2">
        <w:trPr>
          <w:trHeight w:val="255"/>
          <w:jc w:val="center"/>
        </w:trPr>
        <w:tc>
          <w:tcPr>
            <w:tcW w:w="5675" w:type="dxa"/>
            <w:shd w:val="clear" w:color="auto" w:fill="auto"/>
            <w:noWrap/>
            <w:vAlign w:val="bottom"/>
            <w:hideMark/>
          </w:tcPr>
          <w:p w14:paraId="3B830D1C"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2.3.7.2.04-Abonos y fertilizantes</w:t>
            </w:r>
          </w:p>
        </w:tc>
        <w:tc>
          <w:tcPr>
            <w:tcW w:w="1490" w:type="dxa"/>
            <w:shd w:val="clear" w:color="auto" w:fill="auto"/>
            <w:noWrap/>
            <w:vAlign w:val="bottom"/>
            <w:hideMark/>
          </w:tcPr>
          <w:p w14:paraId="2D9ABD3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6,664,189.00</w:t>
            </w:r>
          </w:p>
        </w:tc>
        <w:tc>
          <w:tcPr>
            <w:tcW w:w="1840" w:type="dxa"/>
            <w:shd w:val="clear" w:color="000000" w:fill="FFFFFF"/>
            <w:noWrap/>
            <w:vAlign w:val="bottom"/>
            <w:hideMark/>
          </w:tcPr>
          <w:p w14:paraId="2459E33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6,290,082.90</w:t>
            </w:r>
          </w:p>
        </w:tc>
        <w:tc>
          <w:tcPr>
            <w:tcW w:w="1352" w:type="dxa"/>
            <w:shd w:val="clear" w:color="auto" w:fill="auto"/>
            <w:noWrap/>
            <w:vAlign w:val="bottom"/>
            <w:hideMark/>
          </w:tcPr>
          <w:p w14:paraId="276E6E9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374,106.10</w:t>
            </w:r>
          </w:p>
        </w:tc>
      </w:tr>
      <w:tr w:rsidR="002E323B" w:rsidRPr="002E323B" w14:paraId="27EBB836" w14:textId="77777777" w:rsidTr="00E47FB2">
        <w:trPr>
          <w:trHeight w:val="255"/>
          <w:jc w:val="center"/>
        </w:trPr>
        <w:tc>
          <w:tcPr>
            <w:tcW w:w="5675" w:type="dxa"/>
            <w:shd w:val="clear" w:color="auto" w:fill="auto"/>
            <w:noWrap/>
            <w:vAlign w:val="bottom"/>
            <w:hideMark/>
          </w:tcPr>
          <w:p w14:paraId="597BDCC5"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2.3.7.2.05-Insecticidas, fumigantes y otros</w:t>
            </w:r>
          </w:p>
        </w:tc>
        <w:tc>
          <w:tcPr>
            <w:tcW w:w="1490" w:type="dxa"/>
            <w:shd w:val="clear" w:color="auto" w:fill="auto"/>
            <w:noWrap/>
            <w:vAlign w:val="bottom"/>
            <w:hideMark/>
          </w:tcPr>
          <w:p w14:paraId="7FD15E8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5,248,492.00</w:t>
            </w:r>
          </w:p>
        </w:tc>
        <w:tc>
          <w:tcPr>
            <w:tcW w:w="1840" w:type="dxa"/>
            <w:shd w:val="clear" w:color="000000" w:fill="FFFFFF"/>
            <w:noWrap/>
            <w:vAlign w:val="bottom"/>
            <w:hideMark/>
          </w:tcPr>
          <w:p w14:paraId="1E23A57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12,126,634.00</w:t>
            </w:r>
          </w:p>
        </w:tc>
        <w:tc>
          <w:tcPr>
            <w:tcW w:w="1352" w:type="dxa"/>
            <w:shd w:val="clear" w:color="auto" w:fill="auto"/>
            <w:noWrap/>
            <w:vAlign w:val="bottom"/>
            <w:hideMark/>
          </w:tcPr>
          <w:p w14:paraId="589003B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-6,878,142.00</w:t>
            </w:r>
          </w:p>
        </w:tc>
      </w:tr>
      <w:tr w:rsidR="002E323B" w:rsidRPr="002E323B" w14:paraId="7710976E" w14:textId="77777777" w:rsidTr="00E47FB2">
        <w:trPr>
          <w:trHeight w:val="255"/>
          <w:jc w:val="center"/>
        </w:trPr>
        <w:tc>
          <w:tcPr>
            <w:tcW w:w="5675" w:type="dxa"/>
            <w:shd w:val="clear" w:color="auto" w:fill="auto"/>
            <w:noWrap/>
            <w:vAlign w:val="bottom"/>
            <w:hideMark/>
          </w:tcPr>
          <w:p w14:paraId="1906A797"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2.3.7.2.06-Pinturas,lacas, barnices, diluyentes y absorbentes para pinturas</w:t>
            </w:r>
          </w:p>
        </w:tc>
        <w:tc>
          <w:tcPr>
            <w:tcW w:w="1490" w:type="dxa"/>
            <w:shd w:val="clear" w:color="auto" w:fill="auto"/>
            <w:noWrap/>
            <w:vAlign w:val="bottom"/>
            <w:hideMark/>
          </w:tcPr>
          <w:p w14:paraId="2F5819A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1,300,000.00</w:t>
            </w:r>
          </w:p>
        </w:tc>
        <w:tc>
          <w:tcPr>
            <w:tcW w:w="1840" w:type="dxa"/>
            <w:shd w:val="clear" w:color="000000" w:fill="FFFFFF"/>
            <w:noWrap/>
            <w:vAlign w:val="bottom"/>
            <w:hideMark/>
          </w:tcPr>
          <w:p w14:paraId="61DC242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8,415.00</w:t>
            </w:r>
          </w:p>
        </w:tc>
        <w:tc>
          <w:tcPr>
            <w:tcW w:w="1352" w:type="dxa"/>
            <w:shd w:val="clear" w:color="auto" w:fill="auto"/>
            <w:noWrap/>
            <w:vAlign w:val="bottom"/>
            <w:hideMark/>
          </w:tcPr>
          <w:p w14:paraId="5563F73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1,291,585.00</w:t>
            </w:r>
          </w:p>
        </w:tc>
      </w:tr>
      <w:tr w:rsidR="002E323B" w:rsidRPr="002E323B" w14:paraId="7156C466" w14:textId="77777777" w:rsidTr="00E47FB2">
        <w:trPr>
          <w:trHeight w:val="255"/>
          <w:jc w:val="center"/>
        </w:trPr>
        <w:tc>
          <w:tcPr>
            <w:tcW w:w="5675" w:type="dxa"/>
            <w:shd w:val="clear" w:color="auto" w:fill="auto"/>
            <w:noWrap/>
            <w:vAlign w:val="bottom"/>
            <w:hideMark/>
          </w:tcPr>
          <w:p w14:paraId="528E409C"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2.3.9.1.01-Material de limpieza</w:t>
            </w:r>
          </w:p>
        </w:tc>
        <w:tc>
          <w:tcPr>
            <w:tcW w:w="1490" w:type="dxa"/>
            <w:shd w:val="clear" w:color="auto" w:fill="auto"/>
            <w:noWrap/>
            <w:vAlign w:val="bottom"/>
            <w:hideMark/>
          </w:tcPr>
          <w:p w14:paraId="36517F0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600,000.00</w:t>
            </w:r>
          </w:p>
        </w:tc>
        <w:tc>
          <w:tcPr>
            <w:tcW w:w="1840" w:type="dxa"/>
            <w:shd w:val="clear" w:color="000000" w:fill="FFFFFF"/>
            <w:noWrap/>
            <w:vAlign w:val="bottom"/>
            <w:hideMark/>
          </w:tcPr>
          <w:p w14:paraId="6F823D8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142,814.81</w:t>
            </w:r>
          </w:p>
        </w:tc>
        <w:tc>
          <w:tcPr>
            <w:tcW w:w="1352" w:type="dxa"/>
            <w:shd w:val="clear" w:color="auto" w:fill="auto"/>
            <w:noWrap/>
            <w:vAlign w:val="bottom"/>
            <w:hideMark/>
          </w:tcPr>
          <w:p w14:paraId="727E462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457,185.19</w:t>
            </w:r>
          </w:p>
        </w:tc>
      </w:tr>
      <w:tr w:rsidR="002E323B" w:rsidRPr="002E323B" w14:paraId="534B9F29" w14:textId="77777777" w:rsidTr="00E47FB2">
        <w:trPr>
          <w:trHeight w:val="255"/>
          <w:jc w:val="center"/>
        </w:trPr>
        <w:tc>
          <w:tcPr>
            <w:tcW w:w="5675" w:type="dxa"/>
            <w:shd w:val="clear" w:color="auto" w:fill="auto"/>
            <w:noWrap/>
            <w:vAlign w:val="bottom"/>
            <w:hideMark/>
          </w:tcPr>
          <w:p w14:paraId="28B962BC" w14:textId="4A361F48"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2.3.9.2.01-Utiles de </w:t>
            </w:r>
            <w:r w:rsidR="00E47FB2" w:rsidRPr="002E323B">
              <w:rPr>
                <w:rFonts w:ascii="Times New Roman" w:hAnsi="Times New Roman"/>
                <w:i/>
                <w:iCs/>
                <w:sz w:val="18"/>
                <w:szCs w:val="18"/>
                <w:lang w:eastAsia="es-DO"/>
              </w:rPr>
              <w:t>escritorio</w:t>
            </w:r>
            <w:r w:rsidRPr="002E323B">
              <w:rPr>
                <w:rFonts w:ascii="Times New Roman" w:hAnsi="Times New Roman"/>
                <w:i/>
                <w:iCs/>
                <w:sz w:val="18"/>
                <w:szCs w:val="18"/>
                <w:lang w:eastAsia="es-DO"/>
              </w:rPr>
              <w:t xml:space="preserve">, oficina </w:t>
            </w:r>
            <w:r w:rsidR="00E47FB2" w:rsidRPr="002E323B">
              <w:rPr>
                <w:rFonts w:ascii="Times New Roman" w:hAnsi="Times New Roman"/>
                <w:i/>
                <w:iCs/>
                <w:sz w:val="18"/>
                <w:szCs w:val="18"/>
                <w:lang w:eastAsia="es-DO"/>
              </w:rPr>
              <w:t>informática</w:t>
            </w:r>
            <w:r w:rsidRPr="002E323B">
              <w:rPr>
                <w:rFonts w:ascii="Times New Roman" w:hAnsi="Times New Roman"/>
                <w:i/>
                <w:iCs/>
                <w:sz w:val="18"/>
                <w:szCs w:val="18"/>
                <w:lang w:eastAsia="es-DO"/>
              </w:rPr>
              <w:t xml:space="preserve"> y enseñanzas</w:t>
            </w:r>
          </w:p>
        </w:tc>
        <w:tc>
          <w:tcPr>
            <w:tcW w:w="1490" w:type="dxa"/>
            <w:shd w:val="clear" w:color="auto" w:fill="auto"/>
            <w:noWrap/>
            <w:vAlign w:val="bottom"/>
            <w:hideMark/>
          </w:tcPr>
          <w:p w14:paraId="6B0D8C8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100,000.00</w:t>
            </w:r>
          </w:p>
        </w:tc>
        <w:tc>
          <w:tcPr>
            <w:tcW w:w="1840" w:type="dxa"/>
            <w:shd w:val="clear" w:color="000000" w:fill="FFFFFF"/>
            <w:noWrap/>
            <w:vAlign w:val="bottom"/>
            <w:hideMark/>
          </w:tcPr>
          <w:p w14:paraId="01D4124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1,923,416.26</w:t>
            </w:r>
          </w:p>
        </w:tc>
        <w:tc>
          <w:tcPr>
            <w:tcW w:w="1352" w:type="dxa"/>
            <w:shd w:val="clear" w:color="auto" w:fill="auto"/>
            <w:noWrap/>
            <w:vAlign w:val="bottom"/>
            <w:hideMark/>
          </w:tcPr>
          <w:p w14:paraId="3FCDC00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-1,823,416.26</w:t>
            </w:r>
          </w:p>
        </w:tc>
      </w:tr>
      <w:tr w:rsidR="002E323B" w:rsidRPr="002E323B" w14:paraId="2DB419B0" w14:textId="77777777" w:rsidTr="00E47FB2">
        <w:trPr>
          <w:trHeight w:val="255"/>
          <w:jc w:val="center"/>
        </w:trPr>
        <w:tc>
          <w:tcPr>
            <w:tcW w:w="5675" w:type="dxa"/>
            <w:shd w:val="clear" w:color="auto" w:fill="auto"/>
            <w:noWrap/>
            <w:vAlign w:val="bottom"/>
            <w:hideMark/>
          </w:tcPr>
          <w:p w14:paraId="1725CC9A" w14:textId="1C8B6634"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2.3.9.3.01-Utiles menores médico </w:t>
            </w:r>
            <w:r w:rsidR="00E47FB2" w:rsidRPr="002E323B">
              <w:rPr>
                <w:rFonts w:ascii="Times New Roman" w:hAnsi="Times New Roman"/>
                <w:i/>
                <w:iCs/>
                <w:sz w:val="18"/>
                <w:szCs w:val="18"/>
                <w:lang w:eastAsia="es-DO"/>
              </w:rPr>
              <w:t>quirúrgicos</w:t>
            </w:r>
            <w:r w:rsidRPr="002E323B">
              <w:rPr>
                <w:rFonts w:ascii="Times New Roman" w:hAnsi="Times New Roman"/>
                <w:i/>
                <w:iCs/>
                <w:sz w:val="18"/>
                <w:szCs w:val="18"/>
                <w:lang w:eastAsia="es-DO"/>
              </w:rPr>
              <w:t xml:space="preserve"> y de laboratorio</w:t>
            </w:r>
          </w:p>
        </w:tc>
        <w:tc>
          <w:tcPr>
            <w:tcW w:w="1490" w:type="dxa"/>
            <w:shd w:val="clear" w:color="auto" w:fill="auto"/>
            <w:noWrap/>
            <w:vAlign w:val="bottom"/>
            <w:hideMark/>
          </w:tcPr>
          <w:p w14:paraId="2026E83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100,000.00</w:t>
            </w:r>
          </w:p>
        </w:tc>
        <w:tc>
          <w:tcPr>
            <w:tcW w:w="1840" w:type="dxa"/>
            <w:shd w:val="clear" w:color="000000" w:fill="FFFFFF"/>
            <w:noWrap/>
            <w:vAlign w:val="bottom"/>
            <w:hideMark/>
          </w:tcPr>
          <w:p w14:paraId="0FA76FA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719,005.86</w:t>
            </w:r>
          </w:p>
        </w:tc>
        <w:tc>
          <w:tcPr>
            <w:tcW w:w="1352" w:type="dxa"/>
            <w:shd w:val="clear" w:color="auto" w:fill="auto"/>
            <w:noWrap/>
            <w:vAlign w:val="bottom"/>
            <w:hideMark/>
          </w:tcPr>
          <w:p w14:paraId="257251A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-619,005.86</w:t>
            </w:r>
          </w:p>
        </w:tc>
      </w:tr>
      <w:tr w:rsidR="002E323B" w:rsidRPr="002E323B" w14:paraId="0EB53231" w14:textId="77777777" w:rsidTr="00E47FB2">
        <w:trPr>
          <w:trHeight w:val="255"/>
          <w:jc w:val="center"/>
        </w:trPr>
        <w:tc>
          <w:tcPr>
            <w:tcW w:w="5675" w:type="dxa"/>
            <w:shd w:val="clear" w:color="auto" w:fill="auto"/>
            <w:noWrap/>
            <w:vAlign w:val="bottom"/>
            <w:hideMark/>
          </w:tcPr>
          <w:p w14:paraId="714A457C"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2.3.9.5.01-Utiles de cocina y comedor</w:t>
            </w:r>
          </w:p>
        </w:tc>
        <w:tc>
          <w:tcPr>
            <w:tcW w:w="1490" w:type="dxa"/>
            <w:shd w:val="clear" w:color="auto" w:fill="auto"/>
            <w:noWrap/>
            <w:vAlign w:val="bottom"/>
            <w:hideMark/>
          </w:tcPr>
          <w:p w14:paraId="49588A0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300,000.00</w:t>
            </w:r>
          </w:p>
        </w:tc>
        <w:tc>
          <w:tcPr>
            <w:tcW w:w="1840" w:type="dxa"/>
            <w:shd w:val="clear" w:color="000000" w:fill="FFFFFF"/>
            <w:noWrap/>
            <w:vAlign w:val="bottom"/>
            <w:hideMark/>
          </w:tcPr>
          <w:p w14:paraId="64B307D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618,237.77</w:t>
            </w:r>
          </w:p>
        </w:tc>
        <w:tc>
          <w:tcPr>
            <w:tcW w:w="1352" w:type="dxa"/>
            <w:shd w:val="clear" w:color="auto" w:fill="auto"/>
            <w:noWrap/>
            <w:vAlign w:val="bottom"/>
            <w:hideMark/>
          </w:tcPr>
          <w:p w14:paraId="4340241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-318,237.77</w:t>
            </w:r>
          </w:p>
        </w:tc>
      </w:tr>
      <w:tr w:rsidR="002E323B" w:rsidRPr="002E323B" w14:paraId="1CA242BE" w14:textId="77777777" w:rsidTr="00E47FB2">
        <w:trPr>
          <w:trHeight w:val="255"/>
          <w:jc w:val="center"/>
        </w:trPr>
        <w:tc>
          <w:tcPr>
            <w:tcW w:w="5675" w:type="dxa"/>
            <w:shd w:val="clear" w:color="auto" w:fill="auto"/>
            <w:noWrap/>
            <w:vAlign w:val="bottom"/>
            <w:hideMark/>
          </w:tcPr>
          <w:p w14:paraId="58533F3E" w14:textId="165D1752"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2.3.9.6.01-Productos </w:t>
            </w:r>
            <w:r w:rsidR="00E47FB2" w:rsidRPr="002E323B">
              <w:rPr>
                <w:rFonts w:ascii="Times New Roman" w:hAnsi="Times New Roman"/>
                <w:i/>
                <w:iCs/>
                <w:sz w:val="18"/>
                <w:szCs w:val="18"/>
                <w:lang w:eastAsia="es-DO"/>
              </w:rPr>
              <w:t>eléctricos</w:t>
            </w:r>
            <w:r w:rsidRPr="002E323B">
              <w:rPr>
                <w:rFonts w:ascii="Times New Roman" w:hAnsi="Times New Roman"/>
                <w:i/>
                <w:iCs/>
                <w:sz w:val="18"/>
                <w:szCs w:val="18"/>
                <w:lang w:eastAsia="es-DO"/>
              </w:rPr>
              <w:t xml:space="preserve"> y afines</w:t>
            </w:r>
          </w:p>
        </w:tc>
        <w:tc>
          <w:tcPr>
            <w:tcW w:w="1490" w:type="dxa"/>
            <w:shd w:val="clear" w:color="auto" w:fill="auto"/>
            <w:noWrap/>
            <w:vAlign w:val="bottom"/>
            <w:hideMark/>
          </w:tcPr>
          <w:p w14:paraId="0CAE054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600,000.00</w:t>
            </w:r>
          </w:p>
        </w:tc>
        <w:tc>
          <w:tcPr>
            <w:tcW w:w="1840" w:type="dxa"/>
            <w:shd w:val="clear" w:color="000000" w:fill="FFFFFF"/>
            <w:noWrap/>
            <w:vAlign w:val="bottom"/>
            <w:hideMark/>
          </w:tcPr>
          <w:p w14:paraId="0B0CD01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1,427,619.06</w:t>
            </w:r>
          </w:p>
        </w:tc>
        <w:tc>
          <w:tcPr>
            <w:tcW w:w="1352" w:type="dxa"/>
            <w:shd w:val="clear" w:color="auto" w:fill="auto"/>
            <w:noWrap/>
            <w:vAlign w:val="bottom"/>
            <w:hideMark/>
          </w:tcPr>
          <w:p w14:paraId="059768F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-827,619.06</w:t>
            </w:r>
          </w:p>
        </w:tc>
      </w:tr>
      <w:tr w:rsidR="002E323B" w:rsidRPr="002E323B" w14:paraId="65DFBB92" w14:textId="77777777" w:rsidTr="00E47FB2">
        <w:trPr>
          <w:trHeight w:val="255"/>
          <w:jc w:val="center"/>
        </w:trPr>
        <w:tc>
          <w:tcPr>
            <w:tcW w:w="5675" w:type="dxa"/>
            <w:shd w:val="clear" w:color="auto" w:fill="auto"/>
            <w:noWrap/>
            <w:vAlign w:val="bottom"/>
            <w:hideMark/>
          </w:tcPr>
          <w:p w14:paraId="17E72E4B"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2.3.9.8.01-Otros repuestos y accesorios menores</w:t>
            </w:r>
          </w:p>
        </w:tc>
        <w:tc>
          <w:tcPr>
            <w:tcW w:w="1490" w:type="dxa"/>
            <w:shd w:val="clear" w:color="auto" w:fill="auto"/>
            <w:noWrap/>
            <w:vAlign w:val="bottom"/>
            <w:hideMark/>
          </w:tcPr>
          <w:p w14:paraId="1AE7C0B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5,876,550.00</w:t>
            </w:r>
          </w:p>
        </w:tc>
        <w:tc>
          <w:tcPr>
            <w:tcW w:w="1840" w:type="dxa"/>
            <w:shd w:val="clear" w:color="000000" w:fill="FFFFFF"/>
            <w:noWrap/>
            <w:vAlign w:val="bottom"/>
            <w:hideMark/>
          </w:tcPr>
          <w:p w14:paraId="47D94C0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1,510,530.38</w:t>
            </w:r>
          </w:p>
        </w:tc>
        <w:tc>
          <w:tcPr>
            <w:tcW w:w="1352" w:type="dxa"/>
            <w:shd w:val="clear" w:color="auto" w:fill="auto"/>
            <w:noWrap/>
            <w:vAlign w:val="bottom"/>
            <w:hideMark/>
          </w:tcPr>
          <w:p w14:paraId="7645912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4,366,019.62</w:t>
            </w:r>
          </w:p>
        </w:tc>
      </w:tr>
      <w:tr w:rsidR="002E323B" w:rsidRPr="002E323B" w14:paraId="384409FD" w14:textId="77777777" w:rsidTr="00E47FB2">
        <w:trPr>
          <w:trHeight w:val="255"/>
          <w:jc w:val="center"/>
        </w:trPr>
        <w:tc>
          <w:tcPr>
            <w:tcW w:w="5675" w:type="dxa"/>
            <w:shd w:val="clear" w:color="auto" w:fill="auto"/>
            <w:noWrap/>
            <w:vAlign w:val="bottom"/>
            <w:hideMark/>
          </w:tcPr>
          <w:p w14:paraId="532BC7D9" w14:textId="6794760C"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2.3.9.9.01-Productos y </w:t>
            </w:r>
            <w:r w:rsidR="00E47FB2" w:rsidRPr="002E323B">
              <w:rPr>
                <w:rFonts w:ascii="Times New Roman" w:hAnsi="Times New Roman"/>
                <w:i/>
                <w:iCs/>
                <w:sz w:val="18"/>
                <w:szCs w:val="18"/>
                <w:lang w:eastAsia="es-DO"/>
              </w:rPr>
              <w:t>útiles</w:t>
            </w:r>
            <w:r w:rsidRPr="002E323B">
              <w:rPr>
                <w:rFonts w:ascii="Times New Roman" w:hAnsi="Times New Roman"/>
                <w:i/>
                <w:iCs/>
                <w:sz w:val="18"/>
                <w:szCs w:val="18"/>
                <w:lang w:eastAsia="es-DO"/>
              </w:rPr>
              <w:t xml:space="preserve"> varios</w:t>
            </w:r>
          </w:p>
        </w:tc>
        <w:tc>
          <w:tcPr>
            <w:tcW w:w="1490" w:type="dxa"/>
            <w:shd w:val="clear" w:color="auto" w:fill="auto"/>
            <w:noWrap/>
            <w:vAlign w:val="bottom"/>
            <w:hideMark/>
          </w:tcPr>
          <w:p w14:paraId="519EBAA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29,775.00</w:t>
            </w:r>
          </w:p>
        </w:tc>
        <w:tc>
          <w:tcPr>
            <w:tcW w:w="1840" w:type="dxa"/>
            <w:shd w:val="clear" w:color="000000" w:fill="FFFFFF"/>
            <w:noWrap/>
            <w:vAlign w:val="bottom"/>
            <w:hideMark/>
          </w:tcPr>
          <w:p w14:paraId="516C7FC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3,580,849.89</w:t>
            </w:r>
          </w:p>
        </w:tc>
        <w:tc>
          <w:tcPr>
            <w:tcW w:w="1352" w:type="dxa"/>
            <w:shd w:val="clear" w:color="auto" w:fill="auto"/>
            <w:noWrap/>
            <w:vAlign w:val="bottom"/>
            <w:hideMark/>
          </w:tcPr>
          <w:p w14:paraId="4A6FA61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-3,551,074.89</w:t>
            </w:r>
          </w:p>
        </w:tc>
      </w:tr>
      <w:tr w:rsidR="002E323B" w:rsidRPr="002E323B" w14:paraId="0D285DB5" w14:textId="77777777" w:rsidTr="00E47FB2">
        <w:trPr>
          <w:trHeight w:val="270"/>
          <w:jc w:val="center"/>
        </w:trPr>
        <w:tc>
          <w:tcPr>
            <w:tcW w:w="5675" w:type="dxa"/>
            <w:shd w:val="clear" w:color="auto" w:fill="auto"/>
            <w:noWrap/>
            <w:vAlign w:val="bottom"/>
            <w:hideMark/>
          </w:tcPr>
          <w:p w14:paraId="254000E2" w14:textId="5A1E1AFD"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2.3.9.9.02-Bonos para </w:t>
            </w:r>
            <w:r w:rsidR="00E47FB2" w:rsidRPr="002E323B">
              <w:rPr>
                <w:rFonts w:ascii="Times New Roman" w:hAnsi="Times New Roman"/>
                <w:i/>
                <w:iCs/>
                <w:sz w:val="18"/>
                <w:szCs w:val="18"/>
                <w:lang w:eastAsia="es-DO"/>
              </w:rPr>
              <w:t>útiles</w:t>
            </w:r>
            <w:r w:rsidRPr="002E323B">
              <w:rPr>
                <w:rFonts w:ascii="Times New Roman" w:hAnsi="Times New Roman"/>
                <w:i/>
                <w:iCs/>
                <w:sz w:val="18"/>
                <w:szCs w:val="18"/>
                <w:lang w:eastAsia="es-DO"/>
              </w:rPr>
              <w:t xml:space="preserve"> diversos</w:t>
            </w:r>
          </w:p>
        </w:tc>
        <w:tc>
          <w:tcPr>
            <w:tcW w:w="1490" w:type="dxa"/>
            <w:shd w:val="clear" w:color="auto" w:fill="auto"/>
            <w:noWrap/>
            <w:vAlign w:val="bottom"/>
            <w:hideMark/>
          </w:tcPr>
          <w:p w14:paraId="236EAD0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14,700,000.00</w:t>
            </w:r>
          </w:p>
        </w:tc>
        <w:tc>
          <w:tcPr>
            <w:tcW w:w="1840" w:type="dxa"/>
            <w:shd w:val="clear" w:color="000000" w:fill="FFFFFF"/>
            <w:noWrap/>
            <w:vAlign w:val="bottom"/>
            <w:hideMark/>
          </w:tcPr>
          <w:p w14:paraId="67EFBD1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10,500,000.00</w:t>
            </w:r>
          </w:p>
        </w:tc>
        <w:tc>
          <w:tcPr>
            <w:tcW w:w="1352" w:type="dxa"/>
            <w:shd w:val="clear" w:color="auto" w:fill="auto"/>
            <w:noWrap/>
            <w:vAlign w:val="bottom"/>
            <w:hideMark/>
          </w:tcPr>
          <w:p w14:paraId="7336820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4,200,000.00</w:t>
            </w:r>
          </w:p>
        </w:tc>
      </w:tr>
      <w:tr w:rsidR="002E323B" w:rsidRPr="002E323B" w14:paraId="6BEF6B3E" w14:textId="77777777" w:rsidTr="00E47FB2">
        <w:trPr>
          <w:trHeight w:val="285"/>
          <w:jc w:val="center"/>
        </w:trPr>
        <w:tc>
          <w:tcPr>
            <w:tcW w:w="5675" w:type="dxa"/>
            <w:shd w:val="clear" w:color="auto" w:fill="808080" w:themeFill="background1" w:themeFillShade="80"/>
            <w:noWrap/>
            <w:vAlign w:val="bottom"/>
            <w:hideMark/>
          </w:tcPr>
          <w:p w14:paraId="609F9DBA" w14:textId="77777777" w:rsidR="002E323B" w:rsidRPr="002E323B" w:rsidRDefault="002E323B" w:rsidP="002E323B">
            <w:pPr>
              <w:spacing w:after="0"/>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4-Transferencias Corrientes</w:t>
            </w:r>
          </w:p>
        </w:tc>
        <w:tc>
          <w:tcPr>
            <w:tcW w:w="1490" w:type="dxa"/>
            <w:shd w:val="clear" w:color="auto" w:fill="808080" w:themeFill="background1" w:themeFillShade="80"/>
            <w:noWrap/>
            <w:vAlign w:val="bottom"/>
            <w:hideMark/>
          </w:tcPr>
          <w:p w14:paraId="6672D284" w14:textId="77777777" w:rsidR="002E323B" w:rsidRPr="002E323B" w:rsidRDefault="002E323B" w:rsidP="002E323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4,950,459,968.00</w:t>
            </w:r>
          </w:p>
        </w:tc>
        <w:tc>
          <w:tcPr>
            <w:tcW w:w="1840" w:type="dxa"/>
            <w:shd w:val="clear" w:color="auto" w:fill="808080" w:themeFill="background1" w:themeFillShade="80"/>
            <w:noWrap/>
            <w:vAlign w:val="bottom"/>
            <w:hideMark/>
          </w:tcPr>
          <w:p w14:paraId="5E030C03" w14:textId="77777777" w:rsidR="002E323B" w:rsidRPr="002E323B" w:rsidRDefault="002E323B" w:rsidP="002E323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5,101,462,091.23</w:t>
            </w:r>
          </w:p>
        </w:tc>
        <w:tc>
          <w:tcPr>
            <w:tcW w:w="1352" w:type="dxa"/>
            <w:shd w:val="clear" w:color="auto" w:fill="808080" w:themeFill="background1" w:themeFillShade="80"/>
            <w:noWrap/>
            <w:vAlign w:val="bottom"/>
            <w:hideMark/>
          </w:tcPr>
          <w:p w14:paraId="35F0A4CF" w14:textId="77777777" w:rsidR="002E323B" w:rsidRPr="002E323B" w:rsidRDefault="002E323B" w:rsidP="002E323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-151,002,123.23</w:t>
            </w:r>
          </w:p>
        </w:tc>
      </w:tr>
      <w:tr w:rsidR="002E323B" w:rsidRPr="002E323B" w14:paraId="7A5E3F78" w14:textId="77777777" w:rsidTr="00E47FB2">
        <w:trPr>
          <w:trHeight w:val="255"/>
          <w:jc w:val="center"/>
        </w:trPr>
        <w:tc>
          <w:tcPr>
            <w:tcW w:w="5675" w:type="dxa"/>
            <w:shd w:val="clear" w:color="auto" w:fill="auto"/>
            <w:noWrap/>
            <w:vAlign w:val="bottom"/>
            <w:hideMark/>
          </w:tcPr>
          <w:p w14:paraId="5AF225C1"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2.4.1.4.01-Becas y Viajes de estudios</w:t>
            </w:r>
          </w:p>
        </w:tc>
        <w:tc>
          <w:tcPr>
            <w:tcW w:w="1490" w:type="dxa"/>
            <w:shd w:val="clear" w:color="auto" w:fill="auto"/>
            <w:noWrap/>
            <w:vAlign w:val="bottom"/>
            <w:hideMark/>
          </w:tcPr>
          <w:p w14:paraId="169F3D4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32,887,120.00</w:t>
            </w:r>
          </w:p>
        </w:tc>
        <w:tc>
          <w:tcPr>
            <w:tcW w:w="1840" w:type="dxa"/>
            <w:shd w:val="clear" w:color="000000" w:fill="FFFFFF"/>
            <w:noWrap/>
            <w:vAlign w:val="bottom"/>
            <w:hideMark/>
          </w:tcPr>
          <w:p w14:paraId="75FD757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33,139,105.52</w:t>
            </w:r>
          </w:p>
        </w:tc>
        <w:tc>
          <w:tcPr>
            <w:tcW w:w="1352" w:type="dxa"/>
            <w:shd w:val="clear" w:color="auto" w:fill="auto"/>
            <w:noWrap/>
            <w:vAlign w:val="bottom"/>
            <w:hideMark/>
          </w:tcPr>
          <w:p w14:paraId="178F954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-251,985.52</w:t>
            </w:r>
          </w:p>
        </w:tc>
      </w:tr>
      <w:tr w:rsidR="002E323B" w:rsidRPr="002E323B" w14:paraId="6C3FDDCD" w14:textId="77777777" w:rsidTr="00E47FB2">
        <w:trPr>
          <w:trHeight w:val="255"/>
          <w:jc w:val="center"/>
        </w:trPr>
        <w:tc>
          <w:tcPr>
            <w:tcW w:w="5675" w:type="dxa"/>
            <w:shd w:val="clear" w:color="auto" w:fill="auto"/>
            <w:noWrap/>
            <w:vAlign w:val="bottom"/>
            <w:hideMark/>
          </w:tcPr>
          <w:p w14:paraId="0CB5E2C5"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2.4.1.6.01-Transferencias corrientes a Inst. sin fines de lucro</w:t>
            </w:r>
          </w:p>
        </w:tc>
        <w:tc>
          <w:tcPr>
            <w:tcW w:w="1490" w:type="dxa"/>
            <w:shd w:val="clear" w:color="auto" w:fill="auto"/>
            <w:noWrap/>
            <w:vAlign w:val="bottom"/>
            <w:hideMark/>
          </w:tcPr>
          <w:p w14:paraId="38C962E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81,606,000.00</w:t>
            </w:r>
          </w:p>
        </w:tc>
        <w:tc>
          <w:tcPr>
            <w:tcW w:w="1840" w:type="dxa"/>
            <w:shd w:val="clear" w:color="000000" w:fill="FFFFFF"/>
            <w:noWrap/>
            <w:vAlign w:val="bottom"/>
            <w:hideMark/>
          </w:tcPr>
          <w:p w14:paraId="20E5034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81,606,000.00</w:t>
            </w:r>
          </w:p>
        </w:tc>
        <w:tc>
          <w:tcPr>
            <w:tcW w:w="1352" w:type="dxa"/>
            <w:shd w:val="clear" w:color="auto" w:fill="auto"/>
            <w:noWrap/>
            <w:vAlign w:val="bottom"/>
            <w:hideMark/>
          </w:tcPr>
          <w:p w14:paraId="0CBA905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66CCA36D" w14:textId="77777777" w:rsidTr="00E47FB2">
        <w:trPr>
          <w:trHeight w:val="270"/>
          <w:jc w:val="center"/>
        </w:trPr>
        <w:tc>
          <w:tcPr>
            <w:tcW w:w="5675" w:type="dxa"/>
            <w:shd w:val="clear" w:color="auto" w:fill="auto"/>
            <w:noWrap/>
            <w:vAlign w:val="bottom"/>
            <w:hideMark/>
          </w:tcPr>
          <w:p w14:paraId="692CE1E7"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2.4.1.6.01-Instituto Superior de Agricultura </w:t>
            </w:r>
            <w:r w:rsidRPr="002E323B">
              <w:rPr>
                <w:rFonts w:ascii="Times New Roman" w:hAnsi="Times New Roman"/>
                <w:b/>
                <w:bCs/>
                <w:i/>
                <w:iCs/>
                <w:sz w:val="18"/>
                <w:szCs w:val="18"/>
                <w:lang w:eastAsia="es-DO"/>
              </w:rPr>
              <w:t>(ISA)</w:t>
            </w:r>
          </w:p>
        </w:tc>
        <w:tc>
          <w:tcPr>
            <w:tcW w:w="1490" w:type="dxa"/>
            <w:shd w:val="clear" w:color="auto" w:fill="auto"/>
            <w:noWrap/>
            <w:vAlign w:val="bottom"/>
            <w:hideMark/>
          </w:tcPr>
          <w:p w14:paraId="79E3526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36,250,000.00</w:t>
            </w:r>
          </w:p>
        </w:tc>
        <w:tc>
          <w:tcPr>
            <w:tcW w:w="1840" w:type="dxa"/>
            <w:shd w:val="clear" w:color="000000" w:fill="FFFFFF"/>
            <w:noWrap/>
            <w:vAlign w:val="bottom"/>
            <w:hideMark/>
          </w:tcPr>
          <w:p w14:paraId="20DE14F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36,000,000.00</w:t>
            </w:r>
          </w:p>
        </w:tc>
        <w:tc>
          <w:tcPr>
            <w:tcW w:w="1352" w:type="dxa"/>
            <w:shd w:val="clear" w:color="auto" w:fill="auto"/>
            <w:noWrap/>
            <w:vAlign w:val="bottom"/>
            <w:hideMark/>
          </w:tcPr>
          <w:p w14:paraId="02D6000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250,000.00</w:t>
            </w:r>
          </w:p>
        </w:tc>
      </w:tr>
      <w:tr w:rsidR="002E323B" w:rsidRPr="002E323B" w14:paraId="3A45C8EE" w14:textId="77777777" w:rsidTr="00E47FB2">
        <w:trPr>
          <w:trHeight w:val="255"/>
          <w:jc w:val="center"/>
        </w:trPr>
        <w:tc>
          <w:tcPr>
            <w:tcW w:w="5675" w:type="dxa"/>
            <w:shd w:val="clear" w:color="auto" w:fill="auto"/>
            <w:noWrap/>
            <w:vAlign w:val="bottom"/>
            <w:hideMark/>
          </w:tcPr>
          <w:p w14:paraId="53A668FC" w14:textId="18CC6171" w:rsidR="002E323B" w:rsidRPr="002E323B" w:rsidRDefault="002E323B" w:rsidP="00E47FB2">
            <w:pPr>
              <w:spacing w:after="0"/>
              <w:rPr>
                <w:rFonts w:ascii="Times New Roman" w:hAnsi="Times New Roman"/>
                <w:i/>
                <w:iCs/>
                <w:sz w:val="18"/>
                <w:szCs w:val="18"/>
                <w:lang w:eastAsia="es-DO"/>
              </w:rPr>
            </w:pPr>
            <w:r w:rsidRPr="002E323B">
              <w:rPr>
                <w:rFonts w:ascii="Times New Roman" w:hAnsi="Times New Roman"/>
                <w:i/>
                <w:iCs/>
                <w:sz w:val="18"/>
                <w:szCs w:val="18"/>
                <w:lang w:eastAsia="es-DO"/>
              </w:rPr>
              <w:t>2.4.2.2.01-Transferencias corrientes a Instit</w:t>
            </w:r>
            <w:r w:rsidR="00E47FB2">
              <w:rPr>
                <w:rFonts w:ascii="Times New Roman" w:hAnsi="Times New Roman"/>
                <w:i/>
                <w:iCs/>
                <w:sz w:val="18"/>
                <w:szCs w:val="18"/>
                <w:lang w:eastAsia="es-DO"/>
              </w:rPr>
              <w:t>.</w:t>
            </w:r>
            <w:r w:rsidRPr="002E323B">
              <w:rPr>
                <w:rFonts w:ascii="Times New Roman" w:hAnsi="Times New Roman"/>
                <w:i/>
                <w:iCs/>
                <w:sz w:val="18"/>
                <w:szCs w:val="18"/>
                <w:lang w:eastAsia="es-DO"/>
              </w:rPr>
              <w:t xml:space="preserve"> Públicas desc.o Autónomas</w:t>
            </w:r>
          </w:p>
        </w:tc>
        <w:tc>
          <w:tcPr>
            <w:tcW w:w="1490" w:type="dxa"/>
            <w:shd w:val="clear" w:color="auto" w:fill="auto"/>
            <w:noWrap/>
            <w:vAlign w:val="bottom"/>
            <w:hideMark/>
          </w:tcPr>
          <w:p w14:paraId="32167AF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2,005,741,045.00</w:t>
            </w:r>
          </w:p>
        </w:tc>
        <w:tc>
          <w:tcPr>
            <w:tcW w:w="1840" w:type="dxa"/>
            <w:shd w:val="clear" w:color="000000" w:fill="FFFFFF"/>
            <w:noWrap/>
            <w:vAlign w:val="bottom"/>
            <w:hideMark/>
          </w:tcPr>
          <w:p w14:paraId="2378336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2,074,377,237.76</w:t>
            </w:r>
          </w:p>
        </w:tc>
        <w:tc>
          <w:tcPr>
            <w:tcW w:w="1352" w:type="dxa"/>
            <w:shd w:val="clear" w:color="auto" w:fill="auto"/>
            <w:noWrap/>
            <w:vAlign w:val="bottom"/>
            <w:hideMark/>
          </w:tcPr>
          <w:p w14:paraId="55585F1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-68,636,192.76</w:t>
            </w:r>
          </w:p>
        </w:tc>
      </w:tr>
    </w:tbl>
    <w:p w14:paraId="12DDFCA3" w14:textId="77777777" w:rsidR="00FB47EB" w:rsidRDefault="00FB47EB"/>
    <w:tbl>
      <w:tblPr>
        <w:tblW w:w="1035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5675"/>
        <w:gridCol w:w="1490"/>
        <w:gridCol w:w="1840"/>
        <w:gridCol w:w="1352"/>
      </w:tblGrid>
      <w:tr w:rsidR="00FB47EB" w:rsidRPr="002E323B" w14:paraId="67F09055" w14:textId="77777777" w:rsidTr="00E47FB2">
        <w:trPr>
          <w:trHeight w:val="255"/>
          <w:jc w:val="center"/>
        </w:trPr>
        <w:tc>
          <w:tcPr>
            <w:tcW w:w="5675"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189EB2B0" w14:textId="08D0B3CD" w:rsidR="00FB47EB" w:rsidRPr="002E323B" w:rsidRDefault="00FB47EB" w:rsidP="00FB47EB">
            <w:pPr>
              <w:spacing w:after="0"/>
              <w:jc w:val="center"/>
              <w:rPr>
                <w:rFonts w:ascii="Times New Roman" w:hAnsi="Times New Roman"/>
                <w:i/>
                <w:iCs/>
                <w:sz w:val="18"/>
                <w:szCs w:val="18"/>
                <w:lang w:eastAsia="es-DO"/>
              </w:rPr>
            </w:pPr>
            <w:r w:rsidRPr="002E323B">
              <w:rPr>
                <w:rFonts w:ascii="Times New Roman" w:hAnsi="Times New Roman"/>
                <w:b/>
                <w:bCs/>
                <w:color w:val="FFFFFF"/>
                <w:sz w:val="18"/>
                <w:szCs w:val="18"/>
                <w:lang w:val="en-US" w:eastAsia="es-DO"/>
              </w:rPr>
              <w:t>Capítulo 210 / Cuenta</w:t>
            </w:r>
          </w:p>
        </w:tc>
        <w:tc>
          <w:tcPr>
            <w:tcW w:w="149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1B39BEB1" w14:textId="498E7BF1" w:rsidR="00FB47EB" w:rsidRPr="002E323B" w:rsidRDefault="00FB47EB" w:rsidP="00FB47EB">
            <w:pPr>
              <w:spacing w:after="0"/>
              <w:jc w:val="center"/>
              <w:rPr>
                <w:rFonts w:ascii="Times New Roman" w:hAnsi="Times New Roman"/>
                <w:i/>
                <w:iCs/>
                <w:sz w:val="18"/>
                <w:szCs w:val="18"/>
                <w:lang w:eastAsia="es-DO"/>
              </w:rPr>
            </w:pPr>
            <w:r w:rsidRPr="002E323B">
              <w:rPr>
                <w:rFonts w:ascii="Times New Roman" w:hAnsi="Times New Roman"/>
                <w:b/>
                <w:bCs/>
                <w:color w:val="FFFFFF"/>
                <w:sz w:val="18"/>
                <w:szCs w:val="18"/>
                <w:lang w:val="en-US" w:eastAsia="es-DO"/>
              </w:rPr>
              <w:t>Balance de apropiación</w:t>
            </w:r>
          </w:p>
        </w:tc>
        <w:tc>
          <w:tcPr>
            <w:tcW w:w="184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6C7629C0" w14:textId="77777777" w:rsidR="00FB47EB" w:rsidRDefault="00FB47EB" w:rsidP="00FB47EB">
            <w:pPr>
              <w:spacing w:after="0"/>
              <w:jc w:val="center"/>
              <w:rPr>
                <w:rFonts w:ascii="Times New Roman" w:hAnsi="Times New Roman"/>
                <w:b/>
                <w:bCs/>
                <w:color w:val="FFFFFF"/>
                <w:sz w:val="18"/>
                <w:szCs w:val="18"/>
                <w:lang w:eastAsia="es-DO"/>
              </w:rPr>
            </w:pPr>
            <w:r w:rsidRPr="002E323B">
              <w:rPr>
                <w:rFonts w:ascii="Times New Roman" w:hAnsi="Times New Roman"/>
                <w:b/>
                <w:bCs/>
                <w:color w:val="FFFFFF"/>
                <w:sz w:val="18"/>
                <w:szCs w:val="18"/>
                <w:lang w:eastAsia="es-DO"/>
              </w:rPr>
              <w:t>Total</w:t>
            </w:r>
            <w:r>
              <w:rPr>
                <w:rFonts w:ascii="Times New Roman" w:hAnsi="Times New Roman"/>
                <w:b/>
                <w:bCs/>
                <w:color w:val="FFFFFF"/>
                <w:sz w:val="18"/>
                <w:szCs w:val="18"/>
                <w:lang w:eastAsia="es-DO"/>
              </w:rPr>
              <w:t xml:space="preserve"> </w:t>
            </w:r>
          </w:p>
          <w:p w14:paraId="1155467C" w14:textId="0C2CA03E" w:rsidR="00FB47EB" w:rsidRPr="002E323B" w:rsidRDefault="00FB47EB" w:rsidP="00FB47EB">
            <w:pPr>
              <w:spacing w:after="0"/>
              <w:jc w:val="center"/>
              <w:rPr>
                <w:rFonts w:ascii="Times New Roman" w:hAnsi="Times New Roman"/>
                <w:i/>
                <w:iCs/>
                <w:sz w:val="18"/>
                <w:szCs w:val="18"/>
                <w:lang w:eastAsia="es-DO"/>
              </w:rPr>
            </w:pPr>
            <w:r>
              <w:rPr>
                <w:rFonts w:ascii="Times New Roman" w:hAnsi="Times New Roman"/>
                <w:b/>
                <w:bCs/>
                <w:color w:val="FFFFFF"/>
                <w:sz w:val="18"/>
                <w:szCs w:val="18"/>
                <w:lang w:eastAsia="es-DO"/>
              </w:rPr>
              <w:t>Ejecutado</w:t>
            </w:r>
            <w:r w:rsidRPr="001C082F">
              <w:rPr>
                <w:rStyle w:val="Refdenotaalpie"/>
                <w:rFonts w:ascii="Times New Roman" w:hAnsi="Times New Roman"/>
                <w:b/>
                <w:bCs/>
                <w:color w:val="FFFFFF" w:themeColor="background1"/>
                <w:sz w:val="18"/>
                <w:szCs w:val="20"/>
                <w:shd w:val="clear" w:color="auto" w:fill="00B050"/>
                <w:lang w:val="en-US" w:eastAsia="en-US"/>
              </w:rPr>
              <w:footnoteReference w:id="40"/>
            </w:r>
          </w:p>
        </w:tc>
        <w:tc>
          <w:tcPr>
            <w:tcW w:w="1352"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0F7DCB65" w14:textId="15D3C417" w:rsidR="00FB47EB" w:rsidRPr="002E323B" w:rsidRDefault="00FB47EB" w:rsidP="00FB47EB">
            <w:pPr>
              <w:spacing w:after="0"/>
              <w:jc w:val="center"/>
              <w:rPr>
                <w:rFonts w:ascii="Times New Roman" w:hAnsi="Times New Roman"/>
                <w:i/>
                <w:iCs/>
                <w:sz w:val="18"/>
                <w:szCs w:val="18"/>
                <w:lang w:eastAsia="es-DO"/>
              </w:rPr>
            </w:pPr>
            <w:r w:rsidRPr="002E323B">
              <w:rPr>
                <w:rFonts w:ascii="Times New Roman" w:hAnsi="Times New Roman"/>
                <w:b/>
                <w:bCs/>
                <w:color w:val="FFFFFF"/>
                <w:sz w:val="18"/>
                <w:szCs w:val="18"/>
                <w:lang w:eastAsia="es-DO"/>
              </w:rPr>
              <w:t>Balance por ejecutar</w:t>
            </w:r>
          </w:p>
        </w:tc>
      </w:tr>
      <w:tr w:rsidR="002E323B" w:rsidRPr="002E323B" w14:paraId="78999575" w14:textId="77777777" w:rsidTr="00E47FB2">
        <w:trPr>
          <w:trHeight w:val="255"/>
          <w:jc w:val="center"/>
        </w:trPr>
        <w:tc>
          <w:tcPr>
            <w:tcW w:w="5675" w:type="dxa"/>
            <w:tcBorders>
              <w:top w:val="single" w:sz="4" w:space="0" w:color="auto"/>
            </w:tcBorders>
            <w:shd w:val="clear" w:color="auto" w:fill="auto"/>
            <w:noWrap/>
            <w:vAlign w:val="bottom"/>
            <w:hideMark/>
          </w:tcPr>
          <w:p w14:paraId="223A33CC"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2.4.2.2.02-Otras Transferencias corrientes a Instituciones Desc.  Y Autónomas</w:t>
            </w:r>
          </w:p>
        </w:tc>
        <w:tc>
          <w:tcPr>
            <w:tcW w:w="1490" w:type="dxa"/>
            <w:tcBorders>
              <w:top w:val="single" w:sz="4" w:space="0" w:color="auto"/>
            </w:tcBorders>
            <w:shd w:val="clear" w:color="auto" w:fill="auto"/>
            <w:noWrap/>
            <w:vAlign w:val="bottom"/>
            <w:hideMark/>
          </w:tcPr>
          <w:p w14:paraId="2DE1CAB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720,472,503.00</w:t>
            </w:r>
          </w:p>
        </w:tc>
        <w:tc>
          <w:tcPr>
            <w:tcW w:w="1840" w:type="dxa"/>
            <w:tcBorders>
              <w:top w:val="single" w:sz="4" w:space="0" w:color="auto"/>
            </w:tcBorders>
            <w:shd w:val="clear" w:color="000000" w:fill="FFFFFF"/>
            <w:noWrap/>
            <w:vAlign w:val="bottom"/>
            <w:hideMark/>
          </w:tcPr>
          <w:p w14:paraId="4A2A8B6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720,391,988.24</w:t>
            </w:r>
          </w:p>
        </w:tc>
        <w:tc>
          <w:tcPr>
            <w:tcW w:w="1352" w:type="dxa"/>
            <w:tcBorders>
              <w:top w:val="single" w:sz="4" w:space="0" w:color="auto"/>
            </w:tcBorders>
            <w:shd w:val="clear" w:color="auto" w:fill="auto"/>
            <w:noWrap/>
            <w:vAlign w:val="bottom"/>
            <w:hideMark/>
          </w:tcPr>
          <w:p w14:paraId="5D32956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80,514.76</w:t>
            </w:r>
          </w:p>
        </w:tc>
      </w:tr>
      <w:tr w:rsidR="002E323B" w:rsidRPr="002E323B" w14:paraId="3D572E38" w14:textId="77777777" w:rsidTr="00E47FB2">
        <w:trPr>
          <w:trHeight w:val="255"/>
          <w:jc w:val="center"/>
        </w:trPr>
        <w:tc>
          <w:tcPr>
            <w:tcW w:w="5675" w:type="dxa"/>
            <w:shd w:val="clear" w:color="auto" w:fill="auto"/>
            <w:noWrap/>
            <w:vAlign w:val="bottom"/>
            <w:hideMark/>
          </w:tcPr>
          <w:p w14:paraId="3707A6EF"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2.4.2.2.03-Transferencias corrientes a Instituciones Desc. Autónomas</w:t>
            </w:r>
          </w:p>
        </w:tc>
        <w:tc>
          <w:tcPr>
            <w:tcW w:w="1490" w:type="dxa"/>
            <w:shd w:val="clear" w:color="auto" w:fill="auto"/>
            <w:noWrap/>
            <w:vAlign w:val="bottom"/>
            <w:hideMark/>
          </w:tcPr>
          <w:p w14:paraId="3B9BFB5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91,256,208.00</w:t>
            </w:r>
          </w:p>
        </w:tc>
        <w:tc>
          <w:tcPr>
            <w:tcW w:w="1840" w:type="dxa"/>
            <w:shd w:val="clear" w:color="000000" w:fill="FFFFFF"/>
            <w:noWrap/>
            <w:vAlign w:val="bottom"/>
            <w:hideMark/>
          </w:tcPr>
          <w:p w14:paraId="6A06DEC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91,256,308.00</w:t>
            </w:r>
          </w:p>
        </w:tc>
        <w:tc>
          <w:tcPr>
            <w:tcW w:w="1352" w:type="dxa"/>
            <w:shd w:val="clear" w:color="auto" w:fill="auto"/>
            <w:noWrap/>
            <w:vAlign w:val="bottom"/>
            <w:hideMark/>
          </w:tcPr>
          <w:p w14:paraId="249D306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w:t>
            </w:r>
          </w:p>
        </w:tc>
      </w:tr>
      <w:tr w:rsidR="002E323B" w:rsidRPr="002E323B" w14:paraId="7B1EC7ED" w14:textId="77777777" w:rsidTr="00E47FB2">
        <w:trPr>
          <w:trHeight w:val="255"/>
          <w:jc w:val="center"/>
        </w:trPr>
        <w:tc>
          <w:tcPr>
            <w:tcW w:w="5675" w:type="dxa"/>
            <w:shd w:val="clear" w:color="auto" w:fill="auto"/>
            <w:noWrap/>
            <w:vAlign w:val="bottom"/>
            <w:hideMark/>
          </w:tcPr>
          <w:p w14:paraId="549500C5"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2.4.7.2.01-Transferencias Corrientes a Organismos Internacionales</w:t>
            </w:r>
          </w:p>
        </w:tc>
        <w:tc>
          <w:tcPr>
            <w:tcW w:w="1490" w:type="dxa"/>
            <w:shd w:val="clear" w:color="auto" w:fill="auto"/>
            <w:noWrap/>
            <w:vAlign w:val="bottom"/>
            <w:hideMark/>
          </w:tcPr>
          <w:p w14:paraId="734B6B0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60,046,724.00</w:t>
            </w:r>
          </w:p>
        </w:tc>
        <w:tc>
          <w:tcPr>
            <w:tcW w:w="1840" w:type="dxa"/>
            <w:shd w:val="clear" w:color="000000" w:fill="FFFFFF"/>
            <w:noWrap/>
            <w:vAlign w:val="bottom"/>
            <w:hideMark/>
          </w:tcPr>
          <w:p w14:paraId="2F55766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60,046,724.00</w:t>
            </w:r>
          </w:p>
        </w:tc>
        <w:tc>
          <w:tcPr>
            <w:tcW w:w="1352" w:type="dxa"/>
            <w:shd w:val="clear" w:color="auto" w:fill="auto"/>
            <w:noWrap/>
            <w:vAlign w:val="bottom"/>
            <w:hideMark/>
          </w:tcPr>
          <w:p w14:paraId="7CAC5AA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0AB9B7DB" w14:textId="77777777" w:rsidTr="00E47FB2">
        <w:trPr>
          <w:trHeight w:val="255"/>
          <w:jc w:val="center"/>
        </w:trPr>
        <w:tc>
          <w:tcPr>
            <w:tcW w:w="5675" w:type="dxa"/>
            <w:shd w:val="clear" w:color="auto" w:fill="auto"/>
            <w:noWrap/>
            <w:vAlign w:val="bottom"/>
            <w:hideMark/>
          </w:tcPr>
          <w:p w14:paraId="66E8DAB0"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2.4.9.1.01-Transferencias corrientes a otras instituciones públicas </w:t>
            </w:r>
          </w:p>
        </w:tc>
        <w:tc>
          <w:tcPr>
            <w:tcW w:w="1490" w:type="dxa"/>
            <w:shd w:val="clear" w:color="auto" w:fill="auto"/>
            <w:noWrap/>
            <w:vAlign w:val="bottom"/>
            <w:hideMark/>
          </w:tcPr>
          <w:p w14:paraId="0E1A7B1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12,205,086.00</w:t>
            </w:r>
          </w:p>
        </w:tc>
        <w:tc>
          <w:tcPr>
            <w:tcW w:w="1840" w:type="dxa"/>
            <w:shd w:val="clear" w:color="000000" w:fill="FFFFFF"/>
            <w:noWrap/>
            <w:vAlign w:val="bottom"/>
            <w:hideMark/>
          </w:tcPr>
          <w:p w14:paraId="28EFE89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7,407,831.40</w:t>
            </w:r>
          </w:p>
        </w:tc>
        <w:tc>
          <w:tcPr>
            <w:tcW w:w="1352" w:type="dxa"/>
            <w:shd w:val="clear" w:color="auto" w:fill="auto"/>
            <w:noWrap/>
            <w:vAlign w:val="bottom"/>
            <w:hideMark/>
          </w:tcPr>
          <w:p w14:paraId="16BA78D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4,797,254.60</w:t>
            </w:r>
          </w:p>
        </w:tc>
      </w:tr>
      <w:tr w:rsidR="002E323B" w:rsidRPr="002E323B" w14:paraId="12CE9356" w14:textId="77777777" w:rsidTr="00E47FB2">
        <w:trPr>
          <w:trHeight w:val="255"/>
          <w:jc w:val="center"/>
        </w:trPr>
        <w:tc>
          <w:tcPr>
            <w:tcW w:w="5675" w:type="dxa"/>
            <w:shd w:val="clear" w:color="auto" w:fill="auto"/>
            <w:noWrap/>
            <w:vAlign w:val="bottom"/>
            <w:hideMark/>
          </w:tcPr>
          <w:p w14:paraId="11CEFC71" w14:textId="5ED926B3"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2.4.9.2.01-Sueldos en las transferencias</w:t>
            </w:r>
            <w:r w:rsidR="00E47FB2">
              <w:rPr>
                <w:rFonts w:ascii="Times New Roman" w:hAnsi="Times New Roman"/>
                <w:i/>
                <w:iCs/>
                <w:sz w:val="18"/>
                <w:szCs w:val="18"/>
                <w:lang w:eastAsia="es-DO"/>
              </w:rPr>
              <w:t xml:space="preserve"> </w:t>
            </w:r>
            <w:r w:rsidRPr="002E323B">
              <w:rPr>
                <w:rFonts w:ascii="Times New Roman" w:hAnsi="Times New Roman"/>
                <w:i/>
                <w:iCs/>
                <w:sz w:val="18"/>
                <w:szCs w:val="18"/>
                <w:lang w:eastAsia="es-DO"/>
              </w:rPr>
              <w:t>a otras instituciones públicas</w:t>
            </w:r>
          </w:p>
        </w:tc>
        <w:tc>
          <w:tcPr>
            <w:tcW w:w="1490" w:type="dxa"/>
            <w:shd w:val="clear" w:color="auto" w:fill="auto"/>
            <w:noWrap/>
            <w:vAlign w:val="bottom"/>
            <w:hideMark/>
          </w:tcPr>
          <w:p w14:paraId="4CB7312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21,403,536.00</w:t>
            </w:r>
          </w:p>
        </w:tc>
        <w:tc>
          <w:tcPr>
            <w:tcW w:w="1840" w:type="dxa"/>
            <w:shd w:val="clear" w:color="000000" w:fill="FFFFFF"/>
            <w:noWrap/>
            <w:vAlign w:val="bottom"/>
            <w:hideMark/>
          </w:tcPr>
          <w:p w14:paraId="2AE55E3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21,403,536.00</w:t>
            </w:r>
          </w:p>
        </w:tc>
        <w:tc>
          <w:tcPr>
            <w:tcW w:w="1352" w:type="dxa"/>
            <w:shd w:val="clear" w:color="auto" w:fill="auto"/>
            <w:noWrap/>
            <w:vAlign w:val="bottom"/>
            <w:hideMark/>
          </w:tcPr>
          <w:p w14:paraId="3C5B3A0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17235A41" w14:textId="77777777" w:rsidTr="00E47FB2">
        <w:trPr>
          <w:trHeight w:val="255"/>
          <w:jc w:val="center"/>
        </w:trPr>
        <w:tc>
          <w:tcPr>
            <w:tcW w:w="5675" w:type="dxa"/>
            <w:shd w:val="clear" w:color="auto" w:fill="auto"/>
            <w:noWrap/>
            <w:vAlign w:val="bottom"/>
            <w:hideMark/>
          </w:tcPr>
          <w:p w14:paraId="19F70DD5" w14:textId="484A20CD"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2.4.4.1.01-Transferencias corrientes a empres</w:t>
            </w:r>
            <w:r w:rsidR="00E47FB2">
              <w:rPr>
                <w:rFonts w:ascii="Times New Roman" w:hAnsi="Times New Roman"/>
                <w:i/>
                <w:iCs/>
                <w:sz w:val="18"/>
                <w:szCs w:val="18"/>
                <w:lang w:eastAsia="es-DO"/>
              </w:rPr>
              <w:t xml:space="preserve">as públicas no financieras(servicios  </w:t>
            </w:r>
            <w:r w:rsidRPr="002E323B">
              <w:rPr>
                <w:rFonts w:ascii="Times New Roman" w:hAnsi="Times New Roman"/>
                <w:i/>
                <w:iCs/>
                <w:sz w:val="18"/>
                <w:szCs w:val="18"/>
                <w:lang w:eastAsia="es-DO"/>
              </w:rPr>
              <w:t>personales)</w:t>
            </w:r>
          </w:p>
        </w:tc>
        <w:tc>
          <w:tcPr>
            <w:tcW w:w="1490" w:type="dxa"/>
            <w:shd w:val="clear" w:color="auto" w:fill="auto"/>
            <w:noWrap/>
            <w:vAlign w:val="bottom"/>
            <w:hideMark/>
          </w:tcPr>
          <w:p w14:paraId="35DA51B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826,365,026.00</w:t>
            </w:r>
          </w:p>
        </w:tc>
        <w:tc>
          <w:tcPr>
            <w:tcW w:w="1840" w:type="dxa"/>
            <w:shd w:val="clear" w:color="000000" w:fill="FFFFFF"/>
            <w:noWrap/>
            <w:vAlign w:val="bottom"/>
            <w:hideMark/>
          </w:tcPr>
          <w:p w14:paraId="137D88D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852,100,833.33</w:t>
            </w:r>
          </w:p>
        </w:tc>
        <w:tc>
          <w:tcPr>
            <w:tcW w:w="1352" w:type="dxa"/>
            <w:shd w:val="clear" w:color="auto" w:fill="auto"/>
            <w:noWrap/>
            <w:vAlign w:val="bottom"/>
            <w:hideMark/>
          </w:tcPr>
          <w:p w14:paraId="51F74BC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-25,735,807.33</w:t>
            </w:r>
          </w:p>
        </w:tc>
      </w:tr>
      <w:tr w:rsidR="002E323B" w:rsidRPr="002E323B" w14:paraId="48DE31BC" w14:textId="77777777" w:rsidTr="00E47FB2">
        <w:trPr>
          <w:trHeight w:val="255"/>
          <w:jc w:val="center"/>
        </w:trPr>
        <w:tc>
          <w:tcPr>
            <w:tcW w:w="5675" w:type="dxa"/>
            <w:shd w:val="clear" w:color="auto" w:fill="auto"/>
            <w:noWrap/>
            <w:vAlign w:val="bottom"/>
            <w:hideMark/>
          </w:tcPr>
          <w:p w14:paraId="424A293C"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2.4.4.1.02-Otras Transferencias corrientes a empresas públicas no financieras</w:t>
            </w:r>
          </w:p>
        </w:tc>
        <w:tc>
          <w:tcPr>
            <w:tcW w:w="1490" w:type="dxa"/>
            <w:shd w:val="clear" w:color="auto" w:fill="auto"/>
            <w:noWrap/>
            <w:vAlign w:val="bottom"/>
            <w:hideMark/>
          </w:tcPr>
          <w:p w14:paraId="321CB06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355,751,579.00</w:t>
            </w:r>
          </w:p>
        </w:tc>
        <w:tc>
          <w:tcPr>
            <w:tcW w:w="1840" w:type="dxa"/>
            <w:shd w:val="clear" w:color="000000" w:fill="FFFFFF"/>
            <w:noWrap/>
            <w:vAlign w:val="bottom"/>
            <w:hideMark/>
          </w:tcPr>
          <w:p w14:paraId="11A8FFF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374,878,173.98</w:t>
            </w:r>
          </w:p>
        </w:tc>
        <w:tc>
          <w:tcPr>
            <w:tcW w:w="1352" w:type="dxa"/>
            <w:shd w:val="clear" w:color="auto" w:fill="auto"/>
            <w:noWrap/>
            <w:vAlign w:val="bottom"/>
            <w:hideMark/>
          </w:tcPr>
          <w:p w14:paraId="1B7093A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-19,126,594.98</w:t>
            </w:r>
          </w:p>
        </w:tc>
      </w:tr>
      <w:tr w:rsidR="002E323B" w:rsidRPr="002E323B" w14:paraId="7FCB9DF6" w14:textId="77777777" w:rsidTr="00E47FB2">
        <w:trPr>
          <w:trHeight w:val="255"/>
          <w:jc w:val="center"/>
        </w:trPr>
        <w:tc>
          <w:tcPr>
            <w:tcW w:w="5675" w:type="dxa"/>
            <w:shd w:val="clear" w:color="auto" w:fill="auto"/>
            <w:noWrap/>
            <w:vAlign w:val="bottom"/>
            <w:hideMark/>
          </w:tcPr>
          <w:p w14:paraId="0F26C3A1" w14:textId="4243D306"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2.4.5</w:t>
            </w:r>
            <w:r w:rsidR="00E47FB2" w:rsidRPr="002E323B">
              <w:rPr>
                <w:rFonts w:ascii="Times New Roman" w:hAnsi="Times New Roman"/>
                <w:i/>
                <w:iCs/>
                <w:sz w:val="18"/>
                <w:szCs w:val="18"/>
                <w:lang w:eastAsia="es-DO"/>
              </w:rPr>
              <w:t>.2.01</w:t>
            </w:r>
            <w:r w:rsidRPr="002E323B">
              <w:rPr>
                <w:rFonts w:ascii="Times New Roman" w:hAnsi="Times New Roman"/>
                <w:i/>
                <w:iCs/>
                <w:sz w:val="18"/>
                <w:szCs w:val="18"/>
                <w:lang w:eastAsia="es-DO"/>
              </w:rPr>
              <w:t>-Transferencias corrientes a instituc</w:t>
            </w:r>
            <w:r w:rsidR="00E47FB2">
              <w:rPr>
                <w:rFonts w:ascii="Times New Roman" w:hAnsi="Times New Roman"/>
                <w:i/>
                <w:iCs/>
                <w:sz w:val="18"/>
                <w:szCs w:val="18"/>
                <w:lang w:eastAsia="es-DO"/>
              </w:rPr>
              <w:t>iones</w:t>
            </w:r>
            <w:r w:rsidRPr="002E323B">
              <w:rPr>
                <w:rFonts w:ascii="Times New Roman" w:hAnsi="Times New Roman"/>
                <w:i/>
                <w:iCs/>
                <w:sz w:val="18"/>
                <w:szCs w:val="18"/>
                <w:lang w:eastAsia="es-DO"/>
              </w:rPr>
              <w:t>. públicas financieras (Serv.Personales)</w:t>
            </w:r>
          </w:p>
        </w:tc>
        <w:tc>
          <w:tcPr>
            <w:tcW w:w="1490" w:type="dxa"/>
            <w:shd w:val="clear" w:color="auto" w:fill="auto"/>
            <w:noWrap/>
            <w:vAlign w:val="bottom"/>
            <w:hideMark/>
          </w:tcPr>
          <w:p w14:paraId="5D2BB22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191,002,253.00</w:t>
            </w:r>
          </w:p>
        </w:tc>
        <w:tc>
          <w:tcPr>
            <w:tcW w:w="1840" w:type="dxa"/>
            <w:shd w:val="clear" w:color="000000" w:fill="FFFFFF"/>
            <w:noWrap/>
            <w:vAlign w:val="bottom"/>
            <w:hideMark/>
          </w:tcPr>
          <w:p w14:paraId="705E8AF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191,002,253.00</w:t>
            </w:r>
          </w:p>
        </w:tc>
        <w:tc>
          <w:tcPr>
            <w:tcW w:w="1352" w:type="dxa"/>
            <w:shd w:val="clear" w:color="auto" w:fill="auto"/>
            <w:noWrap/>
            <w:vAlign w:val="bottom"/>
            <w:hideMark/>
          </w:tcPr>
          <w:p w14:paraId="7606D94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2CCA48E9" w14:textId="77777777" w:rsidTr="00E47FB2">
        <w:trPr>
          <w:trHeight w:val="270"/>
          <w:jc w:val="center"/>
        </w:trPr>
        <w:tc>
          <w:tcPr>
            <w:tcW w:w="5675" w:type="dxa"/>
            <w:shd w:val="clear" w:color="auto" w:fill="auto"/>
            <w:noWrap/>
            <w:vAlign w:val="bottom"/>
            <w:hideMark/>
          </w:tcPr>
          <w:p w14:paraId="4177E6B8"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2.4.9.1.01-Transferencias corrientes a otras instituciones públicas </w:t>
            </w:r>
            <w:r w:rsidRPr="002E323B">
              <w:rPr>
                <w:rFonts w:ascii="Times New Roman" w:hAnsi="Times New Roman"/>
                <w:b/>
                <w:bCs/>
                <w:i/>
                <w:iCs/>
                <w:sz w:val="18"/>
                <w:szCs w:val="18"/>
                <w:lang w:eastAsia="es-DO"/>
              </w:rPr>
              <w:t>(UEPI)</w:t>
            </w:r>
          </w:p>
        </w:tc>
        <w:tc>
          <w:tcPr>
            <w:tcW w:w="1490" w:type="dxa"/>
            <w:shd w:val="clear" w:color="auto" w:fill="auto"/>
            <w:noWrap/>
            <w:vAlign w:val="bottom"/>
            <w:hideMark/>
          </w:tcPr>
          <w:p w14:paraId="2FDB008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364,472,888.00</w:t>
            </w:r>
          </w:p>
        </w:tc>
        <w:tc>
          <w:tcPr>
            <w:tcW w:w="1840" w:type="dxa"/>
            <w:shd w:val="clear" w:color="000000" w:fill="FFFFFF"/>
            <w:noWrap/>
            <w:vAlign w:val="bottom"/>
            <w:hideMark/>
          </w:tcPr>
          <w:p w14:paraId="7FB0132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406,852,100.00</w:t>
            </w:r>
          </w:p>
        </w:tc>
        <w:tc>
          <w:tcPr>
            <w:tcW w:w="1352" w:type="dxa"/>
            <w:shd w:val="clear" w:color="auto" w:fill="auto"/>
            <w:noWrap/>
            <w:vAlign w:val="bottom"/>
            <w:hideMark/>
          </w:tcPr>
          <w:p w14:paraId="20DBD6C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-42,379,212.00</w:t>
            </w:r>
          </w:p>
        </w:tc>
      </w:tr>
      <w:tr w:rsidR="002E323B" w:rsidRPr="002E323B" w14:paraId="56D15BB2" w14:textId="77777777" w:rsidTr="00E47FB2">
        <w:trPr>
          <w:trHeight w:val="270"/>
          <w:jc w:val="center"/>
        </w:trPr>
        <w:tc>
          <w:tcPr>
            <w:tcW w:w="5675" w:type="dxa"/>
            <w:shd w:val="clear" w:color="auto" w:fill="auto"/>
            <w:noWrap/>
            <w:vAlign w:val="bottom"/>
            <w:hideMark/>
          </w:tcPr>
          <w:p w14:paraId="675BDF38" w14:textId="175217C0"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2.4.9.1.01-Administrador de Riesgo </w:t>
            </w:r>
            <w:r w:rsidR="00E47FB2" w:rsidRPr="002E323B">
              <w:rPr>
                <w:rFonts w:ascii="Times New Roman" w:hAnsi="Times New Roman"/>
                <w:i/>
                <w:iCs/>
                <w:sz w:val="18"/>
                <w:szCs w:val="18"/>
                <w:lang w:eastAsia="es-DO"/>
              </w:rPr>
              <w:t>Agrícola</w:t>
            </w:r>
          </w:p>
        </w:tc>
        <w:tc>
          <w:tcPr>
            <w:tcW w:w="1490" w:type="dxa"/>
            <w:shd w:val="clear" w:color="auto" w:fill="auto"/>
            <w:noWrap/>
            <w:vAlign w:val="bottom"/>
            <w:hideMark/>
          </w:tcPr>
          <w:p w14:paraId="4A8F599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151,000,000.00</w:t>
            </w:r>
          </w:p>
        </w:tc>
        <w:tc>
          <w:tcPr>
            <w:tcW w:w="1840" w:type="dxa"/>
            <w:shd w:val="clear" w:color="000000" w:fill="FFFFFF"/>
            <w:noWrap/>
            <w:vAlign w:val="bottom"/>
            <w:hideMark/>
          </w:tcPr>
          <w:p w14:paraId="786D8F9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151,000,000.00</w:t>
            </w:r>
          </w:p>
        </w:tc>
        <w:tc>
          <w:tcPr>
            <w:tcW w:w="1352" w:type="dxa"/>
            <w:shd w:val="clear" w:color="auto" w:fill="auto"/>
            <w:noWrap/>
            <w:vAlign w:val="bottom"/>
            <w:hideMark/>
          </w:tcPr>
          <w:p w14:paraId="1E2A462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5A2C4FFB" w14:textId="77777777" w:rsidTr="00E47FB2">
        <w:trPr>
          <w:trHeight w:val="285"/>
          <w:jc w:val="center"/>
        </w:trPr>
        <w:tc>
          <w:tcPr>
            <w:tcW w:w="5675" w:type="dxa"/>
            <w:shd w:val="clear" w:color="auto" w:fill="808080" w:themeFill="background1" w:themeFillShade="80"/>
            <w:noWrap/>
            <w:vAlign w:val="bottom"/>
            <w:hideMark/>
          </w:tcPr>
          <w:p w14:paraId="38B7913C" w14:textId="77777777" w:rsidR="002E323B" w:rsidRPr="002E323B" w:rsidRDefault="002E323B" w:rsidP="002E323B">
            <w:pPr>
              <w:spacing w:after="0"/>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 xml:space="preserve">   B) GASTOS DE CAPITAL:</w:t>
            </w:r>
          </w:p>
        </w:tc>
        <w:tc>
          <w:tcPr>
            <w:tcW w:w="1490" w:type="dxa"/>
            <w:shd w:val="clear" w:color="auto" w:fill="808080" w:themeFill="background1" w:themeFillShade="80"/>
            <w:noWrap/>
            <w:vAlign w:val="bottom"/>
            <w:hideMark/>
          </w:tcPr>
          <w:p w14:paraId="754B6EE7" w14:textId="77777777" w:rsidR="002E323B" w:rsidRPr="002E323B" w:rsidRDefault="002E323B" w:rsidP="002E323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2,959,321,357.00</w:t>
            </w:r>
          </w:p>
        </w:tc>
        <w:tc>
          <w:tcPr>
            <w:tcW w:w="1840" w:type="dxa"/>
            <w:shd w:val="clear" w:color="auto" w:fill="808080" w:themeFill="background1" w:themeFillShade="80"/>
            <w:noWrap/>
            <w:vAlign w:val="bottom"/>
            <w:hideMark/>
          </w:tcPr>
          <w:p w14:paraId="69EA9864" w14:textId="77777777" w:rsidR="002E323B" w:rsidRPr="002E323B" w:rsidRDefault="002E323B" w:rsidP="002E323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2,949,746,989.17</w:t>
            </w:r>
          </w:p>
        </w:tc>
        <w:tc>
          <w:tcPr>
            <w:tcW w:w="1352" w:type="dxa"/>
            <w:shd w:val="clear" w:color="auto" w:fill="808080" w:themeFill="background1" w:themeFillShade="80"/>
            <w:noWrap/>
            <w:vAlign w:val="bottom"/>
            <w:hideMark/>
          </w:tcPr>
          <w:p w14:paraId="67E5138F" w14:textId="77777777" w:rsidR="002E323B" w:rsidRPr="002E323B" w:rsidRDefault="002E323B" w:rsidP="002E323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9,574,367.83</w:t>
            </w:r>
          </w:p>
        </w:tc>
      </w:tr>
      <w:tr w:rsidR="002E323B" w:rsidRPr="002E323B" w14:paraId="2AE44570" w14:textId="77777777" w:rsidTr="00E47FB2">
        <w:trPr>
          <w:trHeight w:val="285"/>
          <w:jc w:val="center"/>
        </w:trPr>
        <w:tc>
          <w:tcPr>
            <w:tcW w:w="5675" w:type="dxa"/>
            <w:shd w:val="clear" w:color="auto" w:fill="808080" w:themeFill="background1" w:themeFillShade="80"/>
            <w:noWrap/>
            <w:vAlign w:val="bottom"/>
            <w:hideMark/>
          </w:tcPr>
          <w:p w14:paraId="710533C3" w14:textId="77777777" w:rsidR="002E323B" w:rsidRPr="002E323B" w:rsidRDefault="002E323B" w:rsidP="002E323B">
            <w:pPr>
              <w:spacing w:after="0"/>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 xml:space="preserve"> 5-Transferencias de Capital</w:t>
            </w:r>
          </w:p>
        </w:tc>
        <w:tc>
          <w:tcPr>
            <w:tcW w:w="1490" w:type="dxa"/>
            <w:shd w:val="clear" w:color="auto" w:fill="808080" w:themeFill="background1" w:themeFillShade="80"/>
            <w:noWrap/>
            <w:vAlign w:val="bottom"/>
            <w:hideMark/>
          </w:tcPr>
          <w:p w14:paraId="6F9FA909" w14:textId="77777777" w:rsidR="002E323B" w:rsidRPr="002E323B" w:rsidRDefault="002E323B" w:rsidP="002E323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2,206,734,262.00</w:t>
            </w:r>
          </w:p>
        </w:tc>
        <w:tc>
          <w:tcPr>
            <w:tcW w:w="1840" w:type="dxa"/>
            <w:shd w:val="clear" w:color="auto" w:fill="808080" w:themeFill="background1" w:themeFillShade="80"/>
            <w:noWrap/>
            <w:vAlign w:val="bottom"/>
            <w:hideMark/>
          </w:tcPr>
          <w:p w14:paraId="5B24BF5F" w14:textId="77777777" w:rsidR="002E323B" w:rsidRPr="002E323B" w:rsidRDefault="002E323B" w:rsidP="002E323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2,206,834,255.00</w:t>
            </w:r>
          </w:p>
        </w:tc>
        <w:tc>
          <w:tcPr>
            <w:tcW w:w="1352" w:type="dxa"/>
            <w:shd w:val="clear" w:color="auto" w:fill="808080" w:themeFill="background1" w:themeFillShade="80"/>
            <w:noWrap/>
            <w:vAlign w:val="bottom"/>
            <w:hideMark/>
          </w:tcPr>
          <w:p w14:paraId="2BCE7827" w14:textId="77777777" w:rsidR="002E323B" w:rsidRPr="002E323B" w:rsidRDefault="002E323B" w:rsidP="002E323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-99,993.00</w:t>
            </w:r>
          </w:p>
        </w:tc>
      </w:tr>
      <w:tr w:rsidR="002E323B" w:rsidRPr="002E323B" w14:paraId="480BFF90" w14:textId="77777777" w:rsidTr="00E47FB2">
        <w:trPr>
          <w:trHeight w:val="255"/>
          <w:jc w:val="center"/>
        </w:trPr>
        <w:tc>
          <w:tcPr>
            <w:tcW w:w="5675" w:type="dxa"/>
            <w:shd w:val="clear" w:color="auto" w:fill="auto"/>
            <w:noWrap/>
            <w:vAlign w:val="bottom"/>
            <w:hideMark/>
          </w:tcPr>
          <w:p w14:paraId="1248A84A"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2.5.2.2.02-CONSEJO DOMINICANO DEL CAFÉ (CODOCAFE)</w:t>
            </w:r>
          </w:p>
        </w:tc>
        <w:tc>
          <w:tcPr>
            <w:tcW w:w="1490" w:type="dxa"/>
            <w:shd w:val="clear" w:color="auto" w:fill="auto"/>
            <w:noWrap/>
            <w:vAlign w:val="bottom"/>
            <w:hideMark/>
          </w:tcPr>
          <w:p w14:paraId="086CE71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6,734,262.00</w:t>
            </w:r>
          </w:p>
        </w:tc>
        <w:tc>
          <w:tcPr>
            <w:tcW w:w="1840" w:type="dxa"/>
            <w:shd w:val="clear" w:color="000000" w:fill="FFFFFF"/>
            <w:noWrap/>
            <w:vAlign w:val="bottom"/>
            <w:hideMark/>
          </w:tcPr>
          <w:p w14:paraId="54EB214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6,834,256.00</w:t>
            </w:r>
          </w:p>
        </w:tc>
        <w:tc>
          <w:tcPr>
            <w:tcW w:w="1352" w:type="dxa"/>
            <w:shd w:val="clear" w:color="auto" w:fill="auto"/>
            <w:noWrap/>
            <w:vAlign w:val="bottom"/>
            <w:hideMark/>
          </w:tcPr>
          <w:p w14:paraId="5B6836D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-99,994.00</w:t>
            </w:r>
          </w:p>
        </w:tc>
      </w:tr>
      <w:tr w:rsidR="002E323B" w:rsidRPr="002E323B" w14:paraId="2E795649" w14:textId="77777777" w:rsidTr="00E47FB2">
        <w:trPr>
          <w:trHeight w:val="300"/>
          <w:jc w:val="center"/>
        </w:trPr>
        <w:tc>
          <w:tcPr>
            <w:tcW w:w="5675" w:type="dxa"/>
            <w:shd w:val="clear" w:color="auto" w:fill="auto"/>
            <w:noWrap/>
            <w:vAlign w:val="bottom"/>
            <w:hideMark/>
          </w:tcPr>
          <w:p w14:paraId="0F581906"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2.5.2.2.02 -INSTITUTO AGRARIO DOMINICANO (IAD)</w:t>
            </w:r>
          </w:p>
        </w:tc>
        <w:tc>
          <w:tcPr>
            <w:tcW w:w="1490" w:type="dxa"/>
            <w:shd w:val="clear" w:color="auto" w:fill="auto"/>
            <w:noWrap/>
            <w:vAlign w:val="bottom"/>
            <w:hideMark/>
          </w:tcPr>
          <w:p w14:paraId="41C4A94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200,000,000.00</w:t>
            </w:r>
          </w:p>
        </w:tc>
        <w:tc>
          <w:tcPr>
            <w:tcW w:w="1840" w:type="dxa"/>
            <w:shd w:val="clear" w:color="000000" w:fill="FFFFFF"/>
            <w:noWrap/>
            <w:vAlign w:val="bottom"/>
            <w:hideMark/>
          </w:tcPr>
          <w:p w14:paraId="309E3E0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199,999,999.00</w:t>
            </w:r>
          </w:p>
        </w:tc>
        <w:tc>
          <w:tcPr>
            <w:tcW w:w="1352" w:type="dxa"/>
            <w:shd w:val="clear" w:color="auto" w:fill="auto"/>
            <w:noWrap/>
            <w:vAlign w:val="bottom"/>
            <w:hideMark/>
          </w:tcPr>
          <w:p w14:paraId="41BDEEA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w:t>
            </w:r>
          </w:p>
        </w:tc>
      </w:tr>
      <w:tr w:rsidR="002E323B" w:rsidRPr="002E323B" w14:paraId="50EE8E6B" w14:textId="77777777" w:rsidTr="00E47FB2">
        <w:trPr>
          <w:trHeight w:val="255"/>
          <w:jc w:val="center"/>
        </w:trPr>
        <w:tc>
          <w:tcPr>
            <w:tcW w:w="5675" w:type="dxa"/>
            <w:shd w:val="clear" w:color="auto" w:fill="auto"/>
            <w:noWrap/>
            <w:vAlign w:val="bottom"/>
            <w:hideMark/>
          </w:tcPr>
          <w:p w14:paraId="7FEFEB48" w14:textId="16F704F3"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3.2.1.6.02-Compra de Acciones y </w:t>
            </w:r>
            <w:r w:rsidR="00D0109F" w:rsidRPr="002E323B">
              <w:rPr>
                <w:rFonts w:ascii="Times New Roman" w:hAnsi="Times New Roman"/>
                <w:i/>
                <w:iCs/>
                <w:sz w:val="18"/>
                <w:szCs w:val="18"/>
                <w:lang w:eastAsia="es-DO"/>
              </w:rPr>
              <w:t>Participación</w:t>
            </w:r>
            <w:r w:rsidRPr="002E323B">
              <w:rPr>
                <w:rFonts w:ascii="Times New Roman" w:hAnsi="Times New Roman"/>
                <w:i/>
                <w:iCs/>
                <w:sz w:val="18"/>
                <w:szCs w:val="18"/>
                <w:lang w:eastAsia="es-DO"/>
              </w:rPr>
              <w:t xml:space="preserve"> de Capital Interna (FEDA)</w:t>
            </w:r>
          </w:p>
        </w:tc>
        <w:tc>
          <w:tcPr>
            <w:tcW w:w="1490" w:type="dxa"/>
            <w:shd w:val="clear" w:color="auto" w:fill="auto"/>
            <w:noWrap/>
            <w:vAlign w:val="bottom"/>
            <w:hideMark/>
          </w:tcPr>
          <w:p w14:paraId="3222354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1,000,000,000.00</w:t>
            </w:r>
          </w:p>
        </w:tc>
        <w:tc>
          <w:tcPr>
            <w:tcW w:w="1840" w:type="dxa"/>
            <w:shd w:val="clear" w:color="000000" w:fill="FFFFFF"/>
            <w:noWrap/>
            <w:vAlign w:val="bottom"/>
            <w:hideMark/>
          </w:tcPr>
          <w:p w14:paraId="65628BA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1,000,000,000.00</w:t>
            </w:r>
          </w:p>
        </w:tc>
        <w:tc>
          <w:tcPr>
            <w:tcW w:w="1352" w:type="dxa"/>
            <w:shd w:val="clear" w:color="auto" w:fill="auto"/>
            <w:noWrap/>
            <w:vAlign w:val="bottom"/>
            <w:hideMark/>
          </w:tcPr>
          <w:p w14:paraId="1095767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7380E4DF" w14:textId="77777777" w:rsidTr="00E47FB2">
        <w:trPr>
          <w:trHeight w:val="270"/>
          <w:jc w:val="center"/>
        </w:trPr>
        <w:tc>
          <w:tcPr>
            <w:tcW w:w="5675" w:type="dxa"/>
            <w:shd w:val="clear" w:color="auto" w:fill="auto"/>
            <w:noWrap/>
            <w:vAlign w:val="bottom"/>
            <w:hideMark/>
          </w:tcPr>
          <w:p w14:paraId="6ADA7AE1" w14:textId="3B0FEAA4"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3.2.1.6.03-Compra de Acciones y </w:t>
            </w:r>
            <w:r w:rsidR="00D0109F" w:rsidRPr="002E323B">
              <w:rPr>
                <w:rFonts w:ascii="Times New Roman" w:hAnsi="Times New Roman"/>
                <w:i/>
                <w:iCs/>
                <w:sz w:val="18"/>
                <w:szCs w:val="18"/>
                <w:lang w:eastAsia="es-DO"/>
              </w:rPr>
              <w:t>Participación</w:t>
            </w:r>
            <w:r w:rsidRPr="002E323B">
              <w:rPr>
                <w:rFonts w:ascii="Times New Roman" w:hAnsi="Times New Roman"/>
                <w:i/>
                <w:iCs/>
                <w:sz w:val="18"/>
                <w:szCs w:val="18"/>
                <w:lang w:eastAsia="es-DO"/>
              </w:rPr>
              <w:t xml:space="preserve"> de Capital Interna (BAGRICOLA)</w:t>
            </w:r>
          </w:p>
        </w:tc>
        <w:tc>
          <w:tcPr>
            <w:tcW w:w="1490" w:type="dxa"/>
            <w:shd w:val="clear" w:color="auto" w:fill="auto"/>
            <w:noWrap/>
            <w:vAlign w:val="bottom"/>
            <w:hideMark/>
          </w:tcPr>
          <w:p w14:paraId="5AA90C0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1,000,000,000.00</w:t>
            </w:r>
          </w:p>
        </w:tc>
        <w:tc>
          <w:tcPr>
            <w:tcW w:w="1840" w:type="dxa"/>
            <w:shd w:val="clear" w:color="000000" w:fill="FFFFFF"/>
            <w:noWrap/>
            <w:vAlign w:val="bottom"/>
            <w:hideMark/>
          </w:tcPr>
          <w:p w14:paraId="223FB0A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1,000,000,000.00</w:t>
            </w:r>
          </w:p>
        </w:tc>
        <w:tc>
          <w:tcPr>
            <w:tcW w:w="1352" w:type="dxa"/>
            <w:shd w:val="clear" w:color="auto" w:fill="auto"/>
            <w:noWrap/>
            <w:vAlign w:val="bottom"/>
            <w:hideMark/>
          </w:tcPr>
          <w:p w14:paraId="0069BCE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24FB5330" w14:textId="77777777" w:rsidTr="00E47FB2">
        <w:trPr>
          <w:trHeight w:val="285"/>
          <w:jc w:val="center"/>
        </w:trPr>
        <w:tc>
          <w:tcPr>
            <w:tcW w:w="5675" w:type="dxa"/>
            <w:shd w:val="clear" w:color="auto" w:fill="808080" w:themeFill="background1" w:themeFillShade="80"/>
            <w:noWrap/>
            <w:vAlign w:val="bottom"/>
            <w:hideMark/>
          </w:tcPr>
          <w:p w14:paraId="32D941FD" w14:textId="77777777" w:rsidR="002E323B" w:rsidRPr="002E323B" w:rsidRDefault="002E323B" w:rsidP="002E323B">
            <w:pPr>
              <w:spacing w:after="0"/>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 xml:space="preserve"> 6- Activos No Financieros</w:t>
            </w:r>
          </w:p>
        </w:tc>
        <w:tc>
          <w:tcPr>
            <w:tcW w:w="1490" w:type="dxa"/>
            <w:shd w:val="clear" w:color="auto" w:fill="808080" w:themeFill="background1" w:themeFillShade="80"/>
            <w:noWrap/>
            <w:vAlign w:val="bottom"/>
            <w:hideMark/>
          </w:tcPr>
          <w:p w14:paraId="53C55C41" w14:textId="77777777" w:rsidR="002E323B" w:rsidRPr="002E323B" w:rsidRDefault="002E323B" w:rsidP="002E323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752,587,095.00</w:t>
            </w:r>
          </w:p>
        </w:tc>
        <w:tc>
          <w:tcPr>
            <w:tcW w:w="1840" w:type="dxa"/>
            <w:shd w:val="clear" w:color="auto" w:fill="808080" w:themeFill="background1" w:themeFillShade="80"/>
            <w:noWrap/>
            <w:vAlign w:val="bottom"/>
            <w:hideMark/>
          </w:tcPr>
          <w:p w14:paraId="5570FF2E" w14:textId="77777777" w:rsidR="002E323B" w:rsidRPr="002E323B" w:rsidRDefault="002E323B" w:rsidP="002E323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742,912,734.17</w:t>
            </w:r>
          </w:p>
        </w:tc>
        <w:tc>
          <w:tcPr>
            <w:tcW w:w="1352" w:type="dxa"/>
            <w:shd w:val="clear" w:color="auto" w:fill="808080" w:themeFill="background1" w:themeFillShade="80"/>
            <w:noWrap/>
            <w:vAlign w:val="bottom"/>
            <w:hideMark/>
          </w:tcPr>
          <w:p w14:paraId="6AFA722F" w14:textId="77777777" w:rsidR="002E323B" w:rsidRPr="002E323B" w:rsidRDefault="002E323B" w:rsidP="002E323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9,674,360.83</w:t>
            </w:r>
          </w:p>
        </w:tc>
      </w:tr>
      <w:tr w:rsidR="002E323B" w:rsidRPr="002E323B" w14:paraId="53C8C14E" w14:textId="77777777" w:rsidTr="00E47FB2">
        <w:trPr>
          <w:trHeight w:val="255"/>
          <w:jc w:val="center"/>
        </w:trPr>
        <w:tc>
          <w:tcPr>
            <w:tcW w:w="5675" w:type="dxa"/>
            <w:shd w:val="clear" w:color="auto" w:fill="auto"/>
            <w:noWrap/>
            <w:vAlign w:val="bottom"/>
            <w:hideMark/>
          </w:tcPr>
          <w:p w14:paraId="58B3114F" w14:textId="5C56FF4E"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2.6.1.1.01-Muebles de oficina y </w:t>
            </w:r>
            <w:r w:rsidR="00E47FB2" w:rsidRPr="002E323B">
              <w:rPr>
                <w:rFonts w:ascii="Times New Roman" w:hAnsi="Times New Roman"/>
                <w:i/>
                <w:iCs/>
                <w:sz w:val="18"/>
                <w:szCs w:val="18"/>
                <w:lang w:eastAsia="es-DO"/>
              </w:rPr>
              <w:t>estantería</w:t>
            </w:r>
          </w:p>
        </w:tc>
        <w:tc>
          <w:tcPr>
            <w:tcW w:w="1490" w:type="dxa"/>
            <w:shd w:val="clear" w:color="auto" w:fill="auto"/>
            <w:noWrap/>
            <w:vAlign w:val="bottom"/>
            <w:hideMark/>
          </w:tcPr>
          <w:p w14:paraId="68ABD85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11,294,613.00</w:t>
            </w:r>
          </w:p>
        </w:tc>
        <w:tc>
          <w:tcPr>
            <w:tcW w:w="1840" w:type="dxa"/>
            <w:shd w:val="clear" w:color="000000" w:fill="FFFFFF"/>
            <w:noWrap/>
            <w:vAlign w:val="bottom"/>
            <w:hideMark/>
          </w:tcPr>
          <w:p w14:paraId="239871B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5,140,240.27</w:t>
            </w:r>
          </w:p>
        </w:tc>
        <w:tc>
          <w:tcPr>
            <w:tcW w:w="1352" w:type="dxa"/>
            <w:shd w:val="clear" w:color="auto" w:fill="auto"/>
            <w:noWrap/>
            <w:vAlign w:val="bottom"/>
            <w:hideMark/>
          </w:tcPr>
          <w:p w14:paraId="2A4FD5C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6,154,372.73</w:t>
            </w:r>
          </w:p>
        </w:tc>
      </w:tr>
      <w:tr w:rsidR="002E323B" w:rsidRPr="002E323B" w14:paraId="6EFD983C" w14:textId="77777777" w:rsidTr="00E47FB2">
        <w:trPr>
          <w:trHeight w:val="255"/>
          <w:jc w:val="center"/>
        </w:trPr>
        <w:tc>
          <w:tcPr>
            <w:tcW w:w="5675" w:type="dxa"/>
            <w:shd w:val="clear" w:color="auto" w:fill="auto"/>
            <w:noWrap/>
            <w:vAlign w:val="bottom"/>
            <w:hideMark/>
          </w:tcPr>
          <w:p w14:paraId="57ACA5E6"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2.6.1.3.01-Equipos computacional</w:t>
            </w:r>
          </w:p>
        </w:tc>
        <w:tc>
          <w:tcPr>
            <w:tcW w:w="1490" w:type="dxa"/>
            <w:shd w:val="clear" w:color="auto" w:fill="auto"/>
            <w:noWrap/>
            <w:vAlign w:val="bottom"/>
            <w:hideMark/>
          </w:tcPr>
          <w:p w14:paraId="15655D3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3,859,725.00</w:t>
            </w:r>
          </w:p>
        </w:tc>
        <w:tc>
          <w:tcPr>
            <w:tcW w:w="1840" w:type="dxa"/>
            <w:shd w:val="clear" w:color="000000" w:fill="FFFFFF"/>
            <w:noWrap/>
            <w:vAlign w:val="bottom"/>
            <w:hideMark/>
          </w:tcPr>
          <w:p w14:paraId="6CB6001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3,848,997.01</w:t>
            </w:r>
          </w:p>
        </w:tc>
        <w:tc>
          <w:tcPr>
            <w:tcW w:w="1352" w:type="dxa"/>
            <w:shd w:val="clear" w:color="auto" w:fill="auto"/>
            <w:noWrap/>
            <w:vAlign w:val="bottom"/>
            <w:hideMark/>
          </w:tcPr>
          <w:p w14:paraId="1D2D540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10,727.99</w:t>
            </w:r>
          </w:p>
        </w:tc>
      </w:tr>
      <w:tr w:rsidR="002E323B" w:rsidRPr="002E323B" w14:paraId="03C9BCA0" w14:textId="77777777" w:rsidTr="00E47FB2">
        <w:trPr>
          <w:trHeight w:val="255"/>
          <w:jc w:val="center"/>
        </w:trPr>
        <w:tc>
          <w:tcPr>
            <w:tcW w:w="5675" w:type="dxa"/>
            <w:shd w:val="clear" w:color="auto" w:fill="auto"/>
            <w:noWrap/>
            <w:vAlign w:val="bottom"/>
            <w:hideMark/>
          </w:tcPr>
          <w:p w14:paraId="11C63421"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2.6.1.4.01-Electrodomésticos</w:t>
            </w:r>
          </w:p>
        </w:tc>
        <w:tc>
          <w:tcPr>
            <w:tcW w:w="1490" w:type="dxa"/>
            <w:shd w:val="clear" w:color="auto" w:fill="auto"/>
            <w:noWrap/>
            <w:vAlign w:val="bottom"/>
            <w:hideMark/>
          </w:tcPr>
          <w:p w14:paraId="7BCA930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25785B5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5,782.00</w:t>
            </w:r>
          </w:p>
        </w:tc>
        <w:tc>
          <w:tcPr>
            <w:tcW w:w="1352" w:type="dxa"/>
            <w:shd w:val="clear" w:color="auto" w:fill="auto"/>
            <w:noWrap/>
            <w:vAlign w:val="bottom"/>
            <w:hideMark/>
          </w:tcPr>
          <w:p w14:paraId="1555487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-5,782.00</w:t>
            </w:r>
          </w:p>
        </w:tc>
      </w:tr>
      <w:tr w:rsidR="002E323B" w:rsidRPr="002E323B" w14:paraId="046306B3" w14:textId="77777777" w:rsidTr="00E47FB2">
        <w:trPr>
          <w:trHeight w:val="255"/>
          <w:jc w:val="center"/>
        </w:trPr>
        <w:tc>
          <w:tcPr>
            <w:tcW w:w="5675" w:type="dxa"/>
            <w:shd w:val="clear" w:color="auto" w:fill="auto"/>
            <w:noWrap/>
            <w:vAlign w:val="bottom"/>
            <w:hideMark/>
          </w:tcPr>
          <w:p w14:paraId="6D55ECDC" w14:textId="06C1AD8D"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2.6.1.9.01-Edifiicios </w:t>
            </w:r>
            <w:r w:rsidR="00E47FB2" w:rsidRPr="002E323B">
              <w:rPr>
                <w:rFonts w:ascii="Times New Roman" w:hAnsi="Times New Roman"/>
                <w:i/>
                <w:iCs/>
                <w:sz w:val="18"/>
                <w:szCs w:val="18"/>
                <w:lang w:eastAsia="es-DO"/>
              </w:rPr>
              <w:t>residenciales</w:t>
            </w:r>
            <w:r w:rsidRPr="002E323B">
              <w:rPr>
                <w:rFonts w:ascii="Times New Roman" w:hAnsi="Times New Roman"/>
                <w:i/>
                <w:iCs/>
                <w:sz w:val="18"/>
                <w:szCs w:val="18"/>
                <w:lang w:eastAsia="es-DO"/>
              </w:rPr>
              <w:t xml:space="preserve"> (viviendas)</w:t>
            </w:r>
          </w:p>
        </w:tc>
        <w:tc>
          <w:tcPr>
            <w:tcW w:w="1490" w:type="dxa"/>
            <w:shd w:val="clear" w:color="auto" w:fill="auto"/>
            <w:noWrap/>
            <w:vAlign w:val="bottom"/>
            <w:hideMark/>
          </w:tcPr>
          <w:p w14:paraId="146CB09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920,000.00</w:t>
            </w:r>
          </w:p>
        </w:tc>
        <w:tc>
          <w:tcPr>
            <w:tcW w:w="1840" w:type="dxa"/>
            <w:shd w:val="clear" w:color="000000" w:fill="FFFFFF"/>
            <w:noWrap/>
            <w:vAlign w:val="bottom"/>
            <w:hideMark/>
          </w:tcPr>
          <w:p w14:paraId="28BFE76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116,899.06</w:t>
            </w:r>
          </w:p>
        </w:tc>
        <w:tc>
          <w:tcPr>
            <w:tcW w:w="1352" w:type="dxa"/>
            <w:shd w:val="clear" w:color="auto" w:fill="auto"/>
            <w:noWrap/>
            <w:vAlign w:val="bottom"/>
            <w:hideMark/>
          </w:tcPr>
          <w:p w14:paraId="651C292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803,100.94</w:t>
            </w:r>
          </w:p>
        </w:tc>
      </w:tr>
      <w:tr w:rsidR="002E323B" w:rsidRPr="002E323B" w14:paraId="0474DC21" w14:textId="77777777" w:rsidTr="00E47FB2">
        <w:trPr>
          <w:trHeight w:val="255"/>
          <w:jc w:val="center"/>
        </w:trPr>
        <w:tc>
          <w:tcPr>
            <w:tcW w:w="5675" w:type="dxa"/>
            <w:shd w:val="clear" w:color="auto" w:fill="auto"/>
            <w:noWrap/>
            <w:vAlign w:val="bottom"/>
            <w:hideMark/>
          </w:tcPr>
          <w:p w14:paraId="6604B27A" w14:textId="6754836B"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2.6.2.1.01-Equipos y aparatos </w:t>
            </w:r>
            <w:r w:rsidR="00E47FB2" w:rsidRPr="002E323B">
              <w:rPr>
                <w:rFonts w:ascii="Times New Roman" w:hAnsi="Times New Roman"/>
                <w:i/>
                <w:iCs/>
                <w:sz w:val="18"/>
                <w:szCs w:val="18"/>
                <w:lang w:eastAsia="es-DO"/>
              </w:rPr>
              <w:t>audiovisuales</w:t>
            </w:r>
          </w:p>
        </w:tc>
        <w:tc>
          <w:tcPr>
            <w:tcW w:w="1490" w:type="dxa"/>
            <w:shd w:val="clear" w:color="auto" w:fill="auto"/>
            <w:noWrap/>
            <w:vAlign w:val="bottom"/>
            <w:hideMark/>
          </w:tcPr>
          <w:p w14:paraId="5D3FEE0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1,410,000.00</w:t>
            </w:r>
          </w:p>
        </w:tc>
        <w:tc>
          <w:tcPr>
            <w:tcW w:w="1840" w:type="dxa"/>
            <w:shd w:val="clear" w:color="000000" w:fill="FFFFFF"/>
            <w:noWrap/>
            <w:vAlign w:val="bottom"/>
            <w:hideMark/>
          </w:tcPr>
          <w:p w14:paraId="789B581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1,292,100.00</w:t>
            </w:r>
          </w:p>
        </w:tc>
        <w:tc>
          <w:tcPr>
            <w:tcW w:w="1352" w:type="dxa"/>
            <w:shd w:val="clear" w:color="auto" w:fill="auto"/>
            <w:noWrap/>
            <w:vAlign w:val="bottom"/>
            <w:hideMark/>
          </w:tcPr>
          <w:p w14:paraId="7A9014A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117,900.00</w:t>
            </w:r>
          </w:p>
        </w:tc>
      </w:tr>
      <w:tr w:rsidR="002E323B" w:rsidRPr="002E323B" w14:paraId="2BBD78FA" w14:textId="77777777" w:rsidTr="00E47FB2">
        <w:trPr>
          <w:trHeight w:val="255"/>
          <w:jc w:val="center"/>
        </w:trPr>
        <w:tc>
          <w:tcPr>
            <w:tcW w:w="5675" w:type="dxa"/>
            <w:shd w:val="clear" w:color="auto" w:fill="auto"/>
            <w:noWrap/>
            <w:vAlign w:val="bottom"/>
            <w:hideMark/>
          </w:tcPr>
          <w:p w14:paraId="122D9DE8" w14:textId="2E3E7D16"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2.6.2.3.01-Cámaras </w:t>
            </w:r>
            <w:r w:rsidR="00E47FB2" w:rsidRPr="002E323B">
              <w:rPr>
                <w:rFonts w:ascii="Times New Roman" w:hAnsi="Times New Roman"/>
                <w:i/>
                <w:iCs/>
                <w:sz w:val="18"/>
                <w:szCs w:val="18"/>
                <w:lang w:eastAsia="es-DO"/>
              </w:rPr>
              <w:t>fotográficas</w:t>
            </w:r>
            <w:r w:rsidRPr="002E323B">
              <w:rPr>
                <w:rFonts w:ascii="Times New Roman" w:hAnsi="Times New Roman"/>
                <w:i/>
                <w:iCs/>
                <w:sz w:val="18"/>
                <w:szCs w:val="18"/>
                <w:lang w:eastAsia="es-DO"/>
              </w:rPr>
              <w:t xml:space="preserve"> y de video</w:t>
            </w:r>
          </w:p>
        </w:tc>
        <w:tc>
          <w:tcPr>
            <w:tcW w:w="1490" w:type="dxa"/>
            <w:shd w:val="clear" w:color="auto" w:fill="auto"/>
            <w:noWrap/>
            <w:vAlign w:val="bottom"/>
            <w:hideMark/>
          </w:tcPr>
          <w:p w14:paraId="7B0F7E6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220,000.00</w:t>
            </w:r>
          </w:p>
        </w:tc>
        <w:tc>
          <w:tcPr>
            <w:tcW w:w="1840" w:type="dxa"/>
            <w:shd w:val="clear" w:color="000000" w:fill="FFFFFF"/>
            <w:noWrap/>
            <w:vAlign w:val="bottom"/>
            <w:hideMark/>
          </w:tcPr>
          <w:p w14:paraId="1C72482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183,947.50</w:t>
            </w:r>
          </w:p>
        </w:tc>
        <w:tc>
          <w:tcPr>
            <w:tcW w:w="1352" w:type="dxa"/>
            <w:shd w:val="clear" w:color="auto" w:fill="auto"/>
            <w:noWrap/>
            <w:vAlign w:val="bottom"/>
            <w:hideMark/>
          </w:tcPr>
          <w:p w14:paraId="67470CA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36,052.50</w:t>
            </w:r>
          </w:p>
        </w:tc>
      </w:tr>
      <w:tr w:rsidR="002E323B" w:rsidRPr="002E323B" w14:paraId="30B55ADB" w14:textId="77777777" w:rsidTr="00E47FB2">
        <w:trPr>
          <w:trHeight w:val="255"/>
          <w:jc w:val="center"/>
        </w:trPr>
        <w:tc>
          <w:tcPr>
            <w:tcW w:w="5675" w:type="dxa"/>
            <w:shd w:val="clear" w:color="auto" w:fill="auto"/>
            <w:noWrap/>
            <w:vAlign w:val="bottom"/>
            <w:hideMark/>
          </w:tcPr>
          <w:p w14:paraId="1ED6D089"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2.6.3.1.01-Equipo médico y de laboratorio</w:t>
            </w:r>
          </w:p>
        </w:tc>
        <w:tc>
          <w:tcPr>
            <w:tcW w:w="1490" w:type="dxa"/>
            <w:shd w:val="clear" w:color="auto" w:fill="auto"/>
            <w:noWrap/>
            <w:vAlign w:val="bottom"/>
            <w:hideMark/>
          </w:tcPr>
          <w:p w14:paraId="320AD6B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64DBCDC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5F71ED9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5BBE161D" w14:textId="77777777" w:rsidTr="00E47FB2">
        <w:trPr>
          <w:trHeight w:val="255"/>
          <w:jc w:val="center"/>
        </w:trPr>
        <w:tc>
          <w:tcPr>
            <w:tcW w:w="5675" w:type="dxa"/>
            <w:shd w:val="clear" w:color="auto" w:fill="auto"/>
            <w:noWrap/>
            <w:vAlign w:val="bottom"/>
            <w:hideMark/>
          </w:tcPr>
          <w:p w14:paraId="386B4D97"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2.6.3.2.01-Instrumental médico y laboratorio</w:t>
            </w:r>
          </w:p>
        </w:tc>
        <w:tc>
          <w:tcPr>
            <w:tcW w:w="1490" w:type="dxa"/>
            <w:shd w:val="clear" w:color="auto" w:fill="auto"/>
            <w:noWrap/>
            <w:vAlign w:val="bottom"/>
            <w:hideMark/>
          </w:tcPr>
          <w:p w14:paraId="078C5F0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2F25E90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5C69A3C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31B7F72C" w14:textId="77777777" w:rsidTr="00E47FB2">
        <w:trPr>
          <w:trHeight w:val="255"/>
          <w:jc w:val="center"/>
        </w:trPr>
        <w:tc>
          <w:tcPr>
            <w:tcW w:w="5675" w:type="dxa"/>
            <w:shd w:val="clear" w:color="auto" w:fill="auto"/>
            <w:noWrap/>
            <w:vAlign w:val="bottom"/>
            <w:hideMark/>
          </w:tcPr>
          <w:p w14:paraId="26632F2D"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2.6.3.3.01-Equipo veterinario</w:t>
            </w:r>
          </w:p>
        </w:tc>
        <w:tc>
          <w:tcPr>
            <w:tcW w:w="1490" w:type="dxa"/>
            <w:shd w:val="clear" w:color="auto" w:fill="auto"/>
            <w:noWrap/>
            <w:vAlign w:val="bottom"/>
            <w:hideMark/>
          </w:tcPr>
          <w:p w14:paraId="4615A69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100,000.00</w:t>
            </w:r>
          </w:p>
        </w:tc>
        <w:tc>
          <w:tcPr>
            <w:tcW w:w="1840" w:type="dxa"/>
            <w:shd w:val="clear" w:color="000000" w:fill="FFFFFF"/>
            <w:noWrap/>
            <w:vAlign w:val="bottom"/>
            <w:hideMark/>
          </w:tcPr>
          <w:p w14:paraId="47A5CA0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3E432A3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100,000.00</w:t>
            </w:r>
          </w:p>
        </w:tc>
      </w:tr>
      <w:tr w:rsidR="002E323B" w:rsidRPr="002E323B" w14:paraId="3DF275C8" w14:textId="77777777" w:rsidTr="00E47FB2">
        <w:trPr>
          <w:trHeight w:val="255"/>
          <w:jc w:val="center"/>
        </w:trPr>
        <w:tc>
          <w:tcPr>
            <w:tcW w:w="5675" w:type="dxa"/>
            <w:shd w:val="clear" w:color="auto" w:fill="auto"/>
            <w:noWrap/>
            <w:vAlign w:val="bottom"/>
            <w:hideMark/>
          </w:tcPr>
          <w:p w14:paraId="79920F60"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2.6.4.1.01-Automóviles y camiones</w:t>
            </w:r>
          </w:p>
        </w:tc>
        <w:tc>
          <w:tcPr>
            <w:tcW w:w="1490" w:type="dxa"/>
            <w:shd w:val="clear" w:color="auto" w:fill="auto"/>
            <w:noWrap/>
            <w:vAlign w:val="bottom"/>
            <w:hideMark/>
          </w:tcPr>
          <w:p w14:paraId="7364BF2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159,869,793.00</w:t>
            </w:r>
          </w:p>
        </w:tc>
        <w:tc>
          <w:tcPr>
            <w:tcW w:w="1840" w:type="dxa"/>
            <w:shd w:val="clear" w:color="000000" w:fill="FFFFFF"/>
            <w:noWrap/>
            <w:vAlign w:val="bottom"/>
            <w:hideMark/>
          </w:tcPr>
          <w:p w14:paraId="7B05F69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167,061,231.80</w:t>
            </w:r>
          </w:p>
        </w:tc>
        <w:tc>
          <w:tcPr>
            <w:tcW w:w="1352" w:type="dxa"/>
            <w:shd w:val="clear" w:color="auto" w:fill="auto"/>
            <w:noWrap/>
            <w:vAlign w:val="bottom"/>
            <w:hideMark/>
          </w:tcPr>
          <w:p w14:paraId="2ED1B3F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-7,191,438.80</w:t>
            </w:r>
          </w:p>
        </w:tc>
      </w:tr>
      <w:tr w:rsidR="002E323B" w:rsidRPr="002E323B" w14:paraId="5D8A48D9" w14:textId="77777777" w:rsidTr="00E47FB2">
        <w:trPr>
          <w:trHeight w:val="255"/>
          <w:jc w:val="center"/>
        </w:trPr>
        <w:tc>
          <w:tcPr>
            <w:tcW w:w="5675" w:type="dxa"/>
            <w:shd w:val="clear" w:color="auto" w:fill="auto"/>
            <w:noWrap/>
            <w:vAlign w:val="bottom"/>
            <w:hideMark/>
          </w:tcPr>
          <w:p w14:paraId="199D4C14"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2.6.4.6.01-Equipo de tracción</w:t>
            </w:r>
          </w:p>
        </w:tc>
        <w:tc>
          <w:tcPr>
            <w:tcW w:w="1490" w:type="dxa"/>
            <w:shd w:val="clear" w:color="auto" w:fill="auto"/>
            <w:noWrap/>
            <w:vAlign w:val="bottom"/>
            <w:hideMark/>
          </w:tcPr>
          <w:p w14:paraId="427C6D9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80,000.00</w:t>
            </w:r>
          </w:p>
        </w:tc>
        <w:tc>
          <w:tcPr>
            <w:tcW w:w="1840" w:type="dxa"/>
            <w:shd w:val="clear" w:color="000000" w:fill="FFFFFF"/>
            <w:noWrap/>
            <w:vAlign w:val="bottom"/>
            <w:hideMark/>
          </w:tcPr>
          <w:p w14:paraId="3A85EB6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3EA5110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80,000.00</w:t>
            </w:r>
          </w:p>
        </w:tc>
      </w:tr>
      <w:tr w:rsidR="002E323B" w:rsidRPr="002E323B" w14:paraId="383B4E7E" w14:textId="77777777" w:rsidTr="00E47FB2">
        <w:trPr>
          <w:trHeight w:val="255"/>
          <w:jc w:val="center"/>
        </w:trPr>
        <w:tc>
          <w:tcPr>
            <w:tcW w:w="5675" w:type="dxa"/>
            <w:shd w:val="clear" w:color="auto" w:fill="auto"/>
            <w:noWrap/>
            <w:vAlign w:val="bottom"/>
            <w:hideMark/>
          </w:tcPr>
          <w:p w14:paraId="1D19A5D8"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2.6.4.7.01-Equipo de elevación</w:t>
            </w:r>
          </w:p>
        </w:tc>
        <w:tc>
          <w:tcPr>
            <w:tcW w:w="1490" w:type="dxa"/>
            <w:shd w:val="clear" w:color="auto" w:fill="auto"/>
            <w:noWrap/>
            <w:vAlign w:val="bottom"/>
            <w:hideMark/>
          </w:tcPr>
          <w:p w14:paraId="7BFC105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200,000.00</w:t>
            </w:r>
          </w:p>
        </w:tc>
        <w:tc>
          <w:tcPr>
            <w:tcW w:w="1840" w:type="dxa"/>
            <w:shd w:val="clear" w:color="000000" w:fill="FFFFFF"/>
            <w:noWrap/>
            <w:vAlign w:val="bottom"/>
            <w:hideMark/>
          </w:tcPr>
          <w:p w14:paraId="100C587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44A9916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200,000.00</w:t>
            </w:r>
          </w:p>
        </w:tc>
      </w:tr>
      <w:tr w:rsidR="002E323B" w:rsidRPr="002E323B" w14:paraId="62303C95" w14:textId="77777777" w:rsidTr="00E47FB2">
        <w:trPr>
          <w:trHeight w:val="255"/>
          <w:jc w:val="center"/>
        </w:trPr>
        <w:tc>
          <w:tcPr>
            <w:tcW w:w="5675" w:type="dxa"/>
            <w:shd w:val="clear" w:color="auto" w:fill="auto"/>
            <w:noWrap/>
            <w:vAlign w:val="bottom"/>
            <w:hideMark/>
          </w:tcPr>
          <w:p w14:paraId="563F1535"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2.6.4.8.01-Otros equipos de transporte</w:t>
            </w:r>
          </w:p>
        </w:tc>
        <w:tc>
          <w:tcPr>
            <w:tcW w:w="1490" w:type="dxa"/>
            <w:shd w:val="clear" w:color="auto" w:fill="auto"/>
            <w:noWrap/>
            <w:vAlign w:val="bottom"/>
            <w:hideMark/>
          </w:tcPr>
          <w:p w14:paraId="4D1D7F8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13,665,899.00</w:t>
            </w:r>
          </w:p>
        </w:tc>
        <w:tc>
          <w:tcPr>
            <w:tcW w:w="1840" w:type="dxa"/>
            <w:shd w:val="clear" w:color="000000" w:fill="FFFFFF"/>
            <w:noWrap/>
            <w:vAlign w:val="bottom"/>
            <w:hideMark/>
          </w:tcPr>
          <w:p w14:paraId="7FB124E4"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6,000,000.00</w:t>
            </w:r>
          </w:p>
        </w:tc>
        <w:tc>
          <w:tcPr>
            <w:tcW w:w="1352" w:type="dxa"/>
            <w:shd w:val="clear" w:color="auto" w:fill="auto"/>
            <w:noWrap/>
            <w:vAlign w:val="bottom"/>
            <w:hideMark/>
          </w:tcPr>
          <w:p w14:paraId="49E1456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7,665,899.00</w:t>
            </w:r>
          </w:p>
        </w:tc>
      </w:tr>
      <w:tr w:rsidR="002E323B" w:rsidRPr="002E323B" w14:paraId="515AE70C" w14:textId="77777777" w:rsidTr="00E47FB2">
        <w:trPr>
          <w:trHeight w:val="255"/>
          <w:jc w:val="center"/>
        </w:trPr>
        <w:tc>
          <w:tcPr>
            <w:tcW w:w="5675" w:type="dxa"/>
            <w:shd w:val="clear" w:color="auto" w:fill="auto"/>
            <w:noWrap/>
            <w:vAlign w:val="bottom"/>
            <w:hideMark/>
          </w:tcPr>
          <w:p w14:paraId="6F911ADC"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2.6.5.1.01-Maquinarias y equipo agropecuario</w:t>
            </w:r>
          </w:p>
        </w:tc>
        <w:tc>
          <w:tcPr>
            <w:tcW w:w="1490" w:type="dxa"/>
            <w:shd w:val="clear" w:color="auto" w:fill="auto"/>
            <w:noWrap/>
            <w:vAlign w:val="bottom"/>
            <w:hideMark/>
          </w:tcPr>
          <w:p w14:paraId="2CC057F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108,508,903.00</w:t>
            </w:r>
          </w:p>
        </w:tc>
        <w:tc>
          <w:tcPr>
            <w:tcW w:w="1840" w:type="dxa"/>
            <w:shd w:val="clear" w:color="000000" w:fill="FFFFFF"/>
            <w:noWrap/>
            <w:vAlign w:val="bottom"/>
            <w:hideMark/>
          </w:tcPr>
          <w:p w14:paraId="69FC7EA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99,214,578.10</w:t>
            </w:r>
          </w:p>
        </w:tc>
        <w:tc>
          <w:tcPr>
            <w:tcW w:w="1352" w:type="dxa"/>
            <w:shd w:val="clear" w:color="auto" w:fill="auto"/>
            <w:noWrap/>
            <w:vAlign w:val="bottom"/>
            <w:hideMark/>
          </w:tcPr>
          <w:p w14:paraId="1694465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9,294,324.90</w:t>
            </w:r>
          </w:p>
        </w:tc>
      </w:tr>
      <w:tr w:rsidR="002E323B" w:rsidRPr="002E323B" w14:paraId="74F6F478" w14:textId="77777777" w:rsidTr="00E47FB2">
        <w:trPr>
          <w:trHeight w:val="255"/>
          <w:jc w:val="center"/>
        </w:trPr>
        <w:tc>
          <w:tcPr>
            <w:tcW w:w="5675" w:type="dxa"/>
            <w:shd w:val="clear" w:color="auto" w:fill="auto"/>
            <w:noWrap/>
            <w:vAlign w:val="bottom"/>
            <w:hideMark/>
          </w:tcPr>
          <w:p w14:paraId="275E8BBB"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2.6.5.2.01-Maquinaria y equipo industrial</w:t>
            </w:r>
          </w:p>
        </w:tc>
        <w:tc>
          <w:tcPr>
            <w:tcW w:w="1490" w:type="dxa"/>
            <w:shd w:val="clear" w:color="auto" w:fill="auto"/>
            <w:noWrap/>
            <w:vAlign w:val="bottom"/>
            <w:hideMark/>
          </w:tcPr>
          <w:p w14:paraId="71234CA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3,000,000.00</w:t>
            </w:r>
          </w:p>
        </w:tc>
        <w:tc>
          <w:tcPr>
            <w:tcW w:w="1840" w:type="dxa"/>
            <w:shd w:val="clear" w:color="000000" w:fill="FFFFFF"/>
            <w:noWrap/>
            <w:vAlign w:val="bottom"/>
            <w:hideMark/>
          </w:tcPr>
          <w:p w14:paraId="724002E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2,954,890.73</w:t>
            </w:r>
          </w:p>
        </w:tc>
        <w:tc>
          <w:tcPr>
            <w:tcW w:w="1352" w:type="dxa"/>
            <w:shd w:val="clear" w:color="auto" w:fill="auto"/>
            <w:noWrap/>
            <w:vAlign w:val="bottom"/>
            <w:hideMark/>
          </w:tcPr>
          <w:p w14:paraId="1CBC0ACC"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45,109.27</w:t>
            </w:r>
          </w:p>
        </w:tc>
      </w:tr>
      <w:tr w:rsidR="002E323B" w:rsidRPr="002E323B" w14:paraId="21441730" w14:textId="77777777" w:rsidTr="00E47FB2">
        <w:trPr>
          <w:trHeight w:val="255"/>
          <w:jc w:val="center"/>
        </w:trPr>
        <w:tc>
          <w:tcPr>
            <w:tcW w:w="5675" w:type="dxa"/>
            <w:shd w:val="clear" w:color="auto" w:fill="auto"/>
            <w:noWrap/>
            <w:vAlign w:val="bottom"/>
            <w:hideMark/>
          </w:tcPr>
          <w:p w14:paraId="410DA0EC"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2.6.5.3.01-Maquinaria y equipo de construcción</w:t>
            </w:r>
          </w:p>
        </w:tc>
        <w:tc>
          <w:tcPr>
            <w:tcW w:w="1490" w:type="dxa"/>
            <w:shd w:val="clear" w:color="auto" w:fill="auto"/>
            <w:noWrap/>
            <w:vAlign w:val="bottom"/>
            <w:hideMark/>
          </w:tcPr>
          <w:p w14:paraId="42E344F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126,079,164.00</w:t>
            </w:r>
          </w:p>
        </w:tc>
        <w:tc>
          <w:tcPr>
            <w:tcW w:w="1840" w:type="dxa"/>
            <w:shd w:val="clear" w:color="000000" w:fill="FFFFFF"/>
            <w:noWrap/>
            <w:vAlign w:val="bottom"/>
            <w:hideMark/>
          </w:tcPr>
          <w:p w14:paraId="23DA942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126,079,163.97</w:t>
            </w:r>
          </w:p>
        </w:tc>
        <w:tc>
          <w:tcPr>
            <w:tcW w:w="1352" w:type="dxa"/>
            <w:shd w:val="clear" w:color="auto" w:fill="auto"/>
            <w:noWrap/>
            <w:vAlign w:val="bottom"/>
            <w:hideMark/>
          </w:tcPr>
          <w:p w14:paraId="1372416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0.03</w:t>
            </w:r>
          </w:p>
        </w:tc>
      </w:tr>
      <w:tr w:rsidR="002E323B" w:rsidRPr="002E323B" w14:paraId="760821E1" w14:textId="77777777" w:rsidTr="00E47FB2">
        <w:trPr>
          <w:trHeight w:val="255"/>
          <w:jc w:val="center"/>
        </w:trPr>
        <w:tc>
          <w:tcPr>
            <w:tcW w:w="5675" w:type="dxa"/>
            <w:shd w:val="clear" w:color="auto" w:fill="auto"/>
            <w:noWrap/>
            <w:vAlign w:val="bottom"/>
            <w:hideMark/>
          </w:tcPr>
          <w:p w14:paraId="4C3A4F33" w14:textId="59B8F902"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2.6.5.4.01-Sistemas y equipos de aire acondicionado, </w:t>
            </w:r>
            <w:r w:rsidR="00E47FB2" w:rsidRPr="002E323B">
              <w:rPr>
                <w:rFonts w:ascii="Times New Roman" w:hAnsi="Times New Roman"/>
                <w:i/>
                <w:iCs/>
                <w:sz w:val="18"/>
                <w:szCs w:val="18"/>
                <w:lang w:eastAsia="es-DO"/>
              </w:rPr>
              <w:t>calefacción</w:t>
            </w:r>
            <w:r w:rsidRPr="002E323B">
              <w:rPr>
                <w:rFonts w:ascii="Times New Roman" w:hAnsi="Times New Roman"/>
                <w:i/>
                <w:iCs/>
                <w:sz w:val="18"/>
                <w:szCs w:val="18"/>
                <w:lang w:eastAsia="es-DO"/>
              </w:rPr>
              <w:t xml:space="preserve"> y </w:t>
            </w:r>
            <w:r w:rsidR="00E47FB2" w:rsidRPr="002E323B">
              <w:rPr>
                <w:rFonts w:ascii="Times New Roman" w:hAnsi="Times New Roman"/>
                <w:i/>
                <w:iCs/>
                <w:sz w:val="18"/>
                <w:szCs w:val="18"/>
                <w:lang w:eastAsia="es-DO"/>
              </w:rPr>
              <w:t>ref. Industrial</w:t>
            </w:r>
          </w:p>
        </w:tc>
        <w:tc>
          <w:tcPr>
            <w:tcW w:w="1490" w:type="dxa"/>
            <w:shd w:val="clear" w:color="auto" w:fill="auto"/>
            <w:noWrap/>
            <w:vAlign w:val="bottom"/>
            <w:hideMark/>
          </w:tcPr>
          <w:p w14:paraId="73FD2B4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2,900,000.00</w:t>
            </w:r>
          </w:p>
        </w:tc>
        <w:tc>
          <w:tcPr>
            <w:tcW w:w="1840" w:type="dxa"/>
            <w:shd w:val="clear" w:color="000000" w:fill="FFFFFF"/>
            <w:noWrap/>
            <w:vAlign w:val="bottom"/>
            <w:hideMark/>
          </w:tcPr>
          <w:p w14:paraId="5272DF4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2,860,868.64</w:t>
            </w:r>
          </w:p>
        </w:tc>
        <w:tc>
          <w:tcPr>
            <w:tcW w:w="1352" w:type="dxa"/>
            <w:shd w:val="clear" w:color="auto" w:fill="auto"/>
            <w:noWrap/>
            <w:vAlign w:val="bottom"/>
            <w:hideMark/>
          </w:tcPr>
          <w:p w14:paraId="1BED349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39,131.36</w:t>
            </w:r>
          </w:p>
        </w:tc>
      </w:tr>
      <w:tr w:rsidR="002E323B" w:rsidRPr="002E323B" w14:paraId="56987B46" w14:textId="77777777" w:rsidTr="00E47FB2">
        <w:trPr>
          <w:trHeight w:val="255"/>
          <w:jc w:val="center"/>
        </w:trPr>
        <w:tc>
          <w:tcPr>
            <w:tcW w:w="5675" w:type="dxa"/>
            <w:shd w:val="clear" w:color="auto" w:fill="auto"/>
            <w:noWrap/>
            <w:vAlign w:val="bottom"/>
            <w:hideMark/>
          </w:tcPr>
          <w:p w14:paraId="3108B371" w14:textId="6FEEE234"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2.6.5.5.01-Equipo de comunicación,  </w:t>
            </w:r>
            <w:r w:rsidR="00E47FB2" w:rsidRPr="002E323B">
              <w:rPr>
                <w:rFonts w:ascii="Times New Roman" w:hAnsi="Times New Roman"/>
                <w:i/>
                <w:iCs/>
                <w:sz w:val="18"/>
                <w:szCs w:val="18"/>
                <w:lang w:eastAsia="es-DO"/>
              </w:rPr>
              <w:t>telecomunicaciones</w:t>
            </w:r>
            <w:r w:rsidRPr="002E323B">
              <w:rPr>
                <w:rFonts w:ascii="Times New Roman" w:hAnsi="Times New Roman"/>
                <w:i/>
                <w:iCs/>
                <w:sz w:val="18"/>
                <w:szCs w:val="18"/>
                <w:lang w:eastAsia="es-DO"/>
              </w:rPr>
              <w:t xml:space="preserve"> y señalamiento</w:t>
            </w:r>
          </w:p>
        </w:tc>
        <w:tc>
          <w:tcPr>
            <w:tcW w:w="1490" w:type="dxa"/>
            <w:shd w:val="clear" w:color="auto" w:fill="auto"/>
            <w:noWrap/>
            <w:vAlign w:val="bottom"/>
            <w:hideMark/>
          </w:tcPr>
          <w:p w14:paraId="35D8D5E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5A92252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33A8322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3A19B2A4" w14:textId="77777777" w:rsidTr="00E47FB2">
        <w:trPr>
          <w:trHeight w:val="255"/>
          <w:jc w:val="center"/>
        </w:trPr>
        <w:tc>
          <w:tcPr>
            <w:tcW w:w="5675" w:type="dxa"/>
            <w:shd w:val="clear" w:color="auto" w:fill="auto"/>
            <w:noWrap/>
            <w:vAlign w:val="bottom"/>
            <w:hideMark/>
          </w:tcPr>
          <w:p w14:paraId="32BE115C"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2.6.7.7.01-Especies menores y de zoológico</w:t>
            </w:r>
          </w:p>
        </w:tc>
        <w:tc>
          <w:tcPr>
            <w:tcW w:w="1490" w:type="dxa"/>
            <w:shd w:val="clear" w:color="auto" w:fill="auto"/>
            <w:noWrap/>
            <w:vAlign w:val="bottom"/>
            <w:hideMark/>
          </w:tcPr>
          <w:p w14:paraId="40ACC39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3ED8A1D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17C6A0F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596992BA" w14:textId="77777777" w:rsidTr="00E47FB2">
        <w:trPr>
          <w:trHeight w:val="255"/>
          <w:jc w:val="center"/>
        </w:trPr>
        <w:tc>
          <w:tcPr>
            <w:tcW w:w="5675" w:type="dxa"/>
            <w:shd w:val="clear" w:color="auto" w:fill="auto"/>
            <w:noWrap/>
            <w:vAlign w:val="bottom"/>
            <w:hideMark/>
          </w:tcPr>
          <w:p w14:paraId="06E71D0A"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2.6.8.1.01-Investigación y desarrollo</w:t>
            </w:r>
          </w:p>
        </w:tc>
        <w:tc>
          <w:tcPr>
            <w:tcW w:w="1490" w:type="dxa"/>
            <w:shd w:val="clear" w:color="auto" w:fill="auto"/>
            <w:noWrap/>
            <w:vAlign w:val="bottom"/>
            <w:hideMark/>
          </w:tcPr>
          <w:p w14:paraId="6B51CBD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3C05F4B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4B88C7E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291A3394" w14:textId="77777777" w:rsidTr="00E47FB2">
        <w:trPr>
          <w:trHeight w:val="255"/>
          <w:jc w:val="center"/>
        </w:trPr>
        <w:tc>
          <w:tcPr>
            <w:tcW w:w="5675" w:type="dxa"/>
            <w:shd w:val="clear" w:color="auto" w:fill="auto"/>
            <w:noWrap/>
            <w:vAlign w:val="bottom"/>
            <w:hideMark/>
          </w:tcPr>
          <w:p w14:paraId="422ED10C"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2.6.8.3.01-Programa de informática</w:t>
            </w:r>
          </w:p>
        </w:tc>
        <w:tc>
          <w:tcPr>
            <w:tcW w:w="1490" w:type="dxa"/>
            <w:shd w:val="clear" w:color="auto" w:fill="auto"/>
            <w:noWrap/>
            <w:vAlign w:val="bottom"/>
            <w:hideMark/>
          </w:tcPr>
          <w:p w14:paraId="19168D4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2,129,900.00</w:t>
            </w:r>
          </w:p>
        </w:tc>
        <w:tc>
          <w:tcPr>
            <w:tcW w:w="1840" w:type="dxa"/>
            <w:shd w:val="clear" w:color="000000" w:fill="FFFFFF"/>
            <w:noWrap/>
            <w:vAlign w:val="bottom"/>
            <w:hideMark/>
          </w:tcPr>
          <w:p w14:paraId="1136C76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2,129,900.00</w:t>
            </w:r>
          </w:p>
        </w:tc>
        <w:tc>
          <w:tcPr>
            <w:tcW w:w="1352" w:type="dxa"/>
            <w:shd w:val="clear" w:color="auto" w:fill="auto"/>
            <w:noWrap/>
            <w:vAlign w:val="bottom"/>
            <w:hideMark/>
          </w:tcPr>
          <w:p w14:paraId="7D8D198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1D214CD7" w14:textId="77777777" w:rsidTr="00E47FB2">
        <w:trPr>
          <w:trHeight w:val="255"/>
          <w:jc w:val="center"/>
        </w:trPr>
        <w:tc>
          <w:tcPr>
            <w:tcW w:w="5675" w:type="dxa"/>
            <w:tcBorders>
              <w:bottom w:val="single" w:sz="4" w:space="0" w:color="auto"/>
            </w:tcBorders>
            <w:shd w:val="clear" w:color="auto" w:fill="auto"/>
            <w:noWrap/>
            <w:vAlign w:val="bottom"/>
            <w:hideMark/>
          </w:tcPr>
          <w:p w14:paraId="6D398A42"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2.7.1.1.01-Obras para edificación residencial (viviendas)</w:t>
            </w:r>
          </w:p>
        </w:tc>
        <w:tc>
          <w:tcPr>
            <w:tcW w:w="1490" w:type="dxa"/>
            <w:tcBorders>
              <w:bottom w:val="single" w:sz="4" w:space="0" w:color="auto"/>
            </w:tcBorders>
            <w:shd w:val="clear" w:color="auto" w:fill="auto"/>
            <w:noWrap/>
            <w:vAlign w:val="bottom"/>
            <w:hideMark/>
          </w:tcPr>
          <w:p w14:paraId="5379E97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tcBorders>
              <w:bottom w:val="single" w:sz="4" w:space="0" w:color="auto"/>
            </w:tcBorders>
            <w:shd w:val="clear" w:color="000000" w:fill="FFFFFF"/>
            <w:noWrap/>
            <w:vAlign w:val="bottom"/>
            <w:hideMark/>
          </w:tcPr>
          <w:p w14:paraId="06FEF5E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tcBorders>
              <w:bottom w:val="single" w:sz="4" w:space="0" w:color="auto"/>
            </w:tcBorders>
            <w:shd w:val="clear" w:color="auto" w:fill="auto"/>
            <w:noWrap/>
            <w:vAlign w:val="bottom"/>
            <w:hideMark/>
          </w:tcPr>
          <w:p w14:paraId="7E2CF0D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FB47EB" w:rsidRPr="00FB47EB" w14:paraId="7DD4383F" w14:textId="77777777" w:rsidTr="00E47FB2">
        <w:trPr>
          <w:trHeight w:val="255"/>
          <w:jc w:val="center"/>
        </w:trPr>
        <w:tc>
          <w:tcPr>
            <w:tcW w:w="5675"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4299E76B" w14:textId="0C58B96F" w:rsidR="00FB47EB" w:rsidRPr="00FB47EB" w:rsidRDefault="00FB47EB" w:rsidP="00FB47EB">
            <w:pPr>
              <w:spacing w:after="0"/>
              <w:jc w:val="center"/>
              <w:rPr>
                <w:rFonts w:ascii="Times New Roman" w:hAnsi="Times New Roman"/>
                <w:i/>
                <w:iCs/>
                <w:color w:val="FFFFFF" w:themeColor="background1"/>
                <w:sz w:val="18"/>
                <w:szCs w:val="18"/>
                <w:lang w:eastAsia="es-DO"/>
              </w:rPr>
            </w:pPr>
            <w:r w:rsidRPr="002E323B">
              <w:rPr>
                <w:rFonts w:ascii="Times New Roman" w:hAnsi="Times New Roman"/>
                <w:b/>
                <w:bCs/>
                <w:color w:val="FFFFFF"/>
                <w:sz w:val="18"/>
                <w:szCs w:val="18"/>
                <w:lang w:val="en-US" w:eastAsia="es-DO"/>
              </w:rPr>
              <w:lastRenderedPageBreak/>
              <w:t>Capítulo 210 / Cuenta</w:t>
            </w:r>
          </w:p>
        </w:tc>
        <w:tc>
          <w:tcPr>
            <w:tcW w:w="149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254FCACA" w14:textId="42CE840F" w:rsidR="00FB47EB" w:rsidRPr="00FB47EB" w:rsidRDefault="00FB47EB" w:rsidP="00FB47EB">
            <w:pPr>
              <w:spacing w:after="0"/>
              <w:jc w:val="center"/>
              <w:rPr>
                <w:rFonts w:ascii="Times New Roman" w:hAnsi="Times New Roman"/>
                <w:i/>
                <w:iCs/>
                <w:color w:val="FFFFFF" w:themeColor="background1"/>
                <w:sz w:val="18"/>
                <w:szCs w:val="18"/>
                <w:lang w:eastAsia="es-DO"/>
              </w:rPr>
            </w:pPr>
            <w:r w:rsidRPr="002E323B">
              <w:rPr>
                <w:rFonts w:ascii="Times New Roman" w:hAnsi="Times New Roman"/>
                <w:b/>
                <w:bCs/>
                <w:color w:val="FFFFFF"/>
                <w:sz w:val="18"/>
                <w:szCs w:val="18"/>
                <w:lang w:val="en-US" w:eastAsia="es-DO"/>
              </w:rPr>
              <w:t>Balance de apropiación</w:t>
            </w:r>
          </w:p>
        </w:tc>
        <w:tc>
          <w:tcPr>
            <w:tcW w:w="184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66331B0B" w14:textId="338B4128" w:rsidR="00FB47EB" w:rsidRDefault="00FB47EB" w:rsidP="00FB47EB">
            <w:pPr>
              <w:spacing w:after="0"/>
              <w:jc w:val="center"/>
              <w:rPr>
                <w:rFonts w:ascii="Times New Roman" w:hAnsi="Times New Roman"/>
                <w:b/>
                <w:bCs/>
                <w:color w:val="FFFFFF"/>
                <w:sz w:val="18"/>
                <w:szCs w:val="18"/>
                <w:lang w:eastAsia="es-DO"/>
              </w:rPr>
            </w:pPr>
            <w:r w:rsidRPr="002E323B">
              <w:rPr>
                <w:rFonts w:ascii="Times New Roman" w:hAnsi="Times New Roman"/>
                <w:b/>
                <w:bCs/>
                <w:color w:val="FFFFFF"/>
                <w:sz w:val="18"/>
                <w:szCs w:val="18"/>
                <w:lang w:eastAsia="es-DO"/>
              </w:rPr>
              <w:t>Total</w:t>
            </w:r>
          </w:p>
          <w:p w14:paraId="012375D6" w14:textId="51A158F3" w:rsidR="00FB47EB" w:rsidRPr="00FB47EB" w:rsidRDefault="00FB47EB" w:rsidP="00FB47EB">
            <w:pPr>
              <w:spacing w:after="0"/>
              <w:jc w:val="center"/>
              <w:rPr>
                <w:rFonts w:ascii="Times New Roman" w:hAnsi="Times New Roman"/>
                <w:i/>
                <w:iCs/>
                <w:color w:val="FFFFFF" w:themeColor="background1"/>
                <w:sz w:val="18"/>
                <w:szCs w:val="18"/>
                <w:lang w:eastAsia="es-DO"/>
              </w:rPr>
            </w:pPr>
            <w:r>
              <w:rPr>
                <w:rFonts w:ascii="Times New Roman" w:hAnsi="Times New Roman"/>
                <w:b/>
                <w:bCs/>
                <w:color w:val="FFFFFF"/>
                <w:sz w:val="18"/>
                <w:szCs w:val="18"/>
                <w:lang w:eastAsia="es-DO"/>
              </w:rPr>
              <w:t>Ejecutado</w:t>
            </w:r>
            <w:r w:rsidRPr="001C082F">
              <w:rPr>
                <w:rStyle w:val="Refdenotaalpie"/>
                <w:rFonts w:ascii="Times New Roman" w:hAnsi="Times New Roman"/>
                <w:b/>
                <w:bCs/>
                <w:color w:val="FFFFFF" w:themeColor="background1"/>
                <w:sz w:val="18"/>
                <w:szCs w:val="20"/>
                <w:shd w:val="clear" w:color="auto" w:fill="00B050"/>
                <w:lang w:val="en-US" w:eastAsia="en-US"/>
              </w:rPr>
              <w:footnoteReference w:id="41"/>
            </w:r>
          </w:p>
        </w:tc>
        <w:tc>
          <w:tcPr>
            <w:tcW w:w="1352"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486C4D09" w14:textId="2B7B4823" w:rsidR="00FB47EB" w:rsidRPr="00FB47EB" w:rsidRDefault="00FB47EB" w:rsidP="00FB47EB">
            <w:pPr>
              <w:spacing w:after="0"/>
              <w:jc w:val="center"/>
              <w:rPr>
                <w:rFonts w:ascii="Times New Roman" w:hAnsi="Times New Roman"/>
                <w:i/>
                <w:iCs/>
                <w:color w:val="FFFFFF" w:themeColor="background1"/>
                <w:sz w:val="18"/>
                <w:szCs w:val="18"/>
                <w:lang w:eastAsia="es-DO"/>
              </w:rPr>
            </w:pPr>
            <w:r w:rsidRPr="002E323B">
              <w:rPr>
                <w:rFonts w:ascii="Times New Roman" w:hAnsi="Times New Roman"/>
                <w:b/>
                <w:bCs/>
                <w:color w:val="FFFFFF"/>
                <w:sz w:val="18"/>
                <w:szCs w:val="18"/>
                <w:lang w:eastAsia="es-DO"/>
              </w:rPr>
              <w:t>Balance por ejecutar</w:t>
            </w:r>
          </w:p>
        </w:tc>
      </w:tr>
      <w:tr w:rsidR="002E323B" w:rsidRPr="002E323B" w14:paraId="2EA28228" w14:textId="77777777" w:rsidTr="00E47FB2">
        <w:trPr>
          <w:trHeight w:val="255"/>
          <w:jc w:val="center"/>
        </w:trPr>
        <w:tc>
          <w:tcPr>
            <w:tcW w:w="5675" w:type="dxa"/>
            <w:tcBorders>
              <w:top w:val="single" w:sz="4" w:space="0" w:color="auto"/>
            </w:tcBorders>
            <w:shd w:val="clear" w:color="auto" w:fill="auto"/>
            <w:noWrap/>
            <w:vAlign w:val="bottom"/>
            <w:hideMark/>
          </w:tcPr>
          <w:p w14:paraId="218DA601"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2.7.1.2.01-Obras para edificaciones no residencial</w:t>
            </w:r>
          </w:p>
        </w:tc>
        <w:tc>
          <w:tcPr>
            <w:tcW w:w="1490" w:type="dxa"/>
            <w:tcBorders>
              <w:top w:val="single" w:sz="4" w:space="0" w:color="auto"/>
            </w:tcBorders>
            <w:shd w:val="clear" w:color="auto" w:fill="auto"/>
            <w:noWrap/>
            <w:vAlign w:val="bottom"/>
            <w:hideMark/>
          </w:tcPr>
          <w:p w14:paraId="52263C4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86,231,408.00</w:t>
            </w:r>
          </w:p>
        </w:tc>
        <w:tc>
          <w:tcPr>
            <w:tcW w:w="1840" w:type="dxa"/>
            <w:tcBorders>
              <w:top w:val="single" w:sz="4" w:space="0" w:color="auto"/>
            </w:tcBorders>
            <w:shd w:val="clear" w:color="000000" w:fill="FFFFFF"/>
            <w:noWrap/>
            <w:vAlign w:val="bottom"/>
            <w:hideMark/>
          </w:tcPr>
          <w:p w14:paraId="1FE3F17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85,782,971.26</w:t>
            </w:r>
          </w:p>
        </w:tc>
        <w:tc>
          <w:tcPr>
            <w:tcW w:w="1352" w:type="dxa"/>
            <w:tcBorders>
              <w:top w:val="single" w:sz="4" w:space="0" w:color="auto"/>
            </w:tcBorders>
            <w:shd w:val="clear" w:color="auto" w:fill="auto"/>
            <w:noWrap/>
            <w:vAlign w:val="bottom"/>
            <w:hideMark/>
          </w:tcPr>
          <w:p w14:paraId="06B37BD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448,436.74</w:t>
            </w:r>
          </w:p>
        </w:tc>
      </w:tr>
      <w:tr w:rsidR="002E323B" w:rsidRPr="002E323B" w14:paraId="27774986" w14:textId="77777777" w:rsidTr="00E47FB2">
        <w:trPr>
          <w:trHeight w:val="255"/>
          <w:jc w:val="center"/>
        </w:trPr>
        <w:tc>
          <w:tcPr>
            <w:tcW w:w="5675" w:type="dxa"/>
            <w:shd w:val="clear" w:color="auto" w:fill="auto"/>
            <w:noWrap/>
            <w:vAlign w:val="bottom"/>
            <w:hideMark/>
          </w:tcPr>
          <w:p w14:paraId="2B6801F6"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2.7.2.1.01-Obrashidraúlicas y sanitarias</w:t>
            </w:r>
          </w:p>
        </w:tc>
        <w:tc>
          <w:tcPr>
            <w:tcW w:w="1490" w:type="dxa"/>
            <w:shd w:val="clear" w:color="auto" w:fill="auto"/>
            <w:noWrap/>
            <w:vAlign w:val="bottom"/>
            <w:hideMark/>
          </w:tcPr>
          <w:p w14:paraId="5020148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-1,392,495.00</w:t>
            </w:r>
          </w:p>
        </w:tc>
        <w:tc>
          <w:tcPr>
            <w:tcW w:w="1840" w:type="dxa"/>
            <w:shd w:val="clear" w:color="000000" w:fill="FFFFFF"/>
            <w:noWrap/>
            <w:vAlign w:val="bottom"/>
            <w:hideMark/>
          </w:tcPr>
          <w:p w14:paraId="79BF866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4394330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-1,392,495.00</w:t>
            </w:r>
          </w:p>
        </w:tc>
      </w:tr>
      <w:tr w:rsidR="002E323B" w:rsidRPr="002E323B" w14:paraId="7E8B0BDA" w14:textId="77777777" w:rsidTr="00E47FB2">
        <w:trPr>
          <w:trHeight w:val="255"/>
          <w:jc w:val="center"/>
        </w:trPr>
        <w:tc>
          <w:tcPr>
            <w:tcW w:w="5675" w:type="dxa"/>
            <w:shd w:val="clear" w:color="auto" w:fill="auto"/>
            <w:noWrap/>
            <w:vAlign w:val="bottom"/>
            <w:hideMark/>
          </w:tcPr>
          <w:p w14:paraId="264C5E51"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2.7.2.2.01-Obras de energía</w:t>
            </w:r>
          </w:p>
        </w:tc>
        <w:tc>
          <w:tcPr>
            <w:tcW w:w="1490" w:type="dxa"/>
            <w:shd w:val="clear" w:color="auto" w:fill="auto"/>
            <w:noWrap/>
            <w:vAlign w:val="bottom"/>
            <w:hideMark/>
          </w:tcPr>
          <w:p w14:paraId="5ACB0B9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3A88623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1D2DBBD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5CD7BA05" w14:textId="77777777" w:rsidTr="00E47FB2">
        <w:trPr>
          <w:trHeight w:val="255"/>
          <w:jc w:val="center"/>
        </w:trPr>
        <w:tc>
          <w:tcPr>
            <w:tcW w:w="5675" w:type="dxa"/>
            <w:shd w:val="clear" w:color="auto" w:fill="auto"/>
            <w:noWrap/>
            <w:vAlign w:val="bottom"/>
            <w:hideMark/>
          </w:tcPr>
          <w:p w14:paraId="37529C9D"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2.7.2.3.01-Obras de telecomunicaciones</w:t>
            </w:r>
          </w:p>
        </w:tc>
        <w:tc>
          <w:tcPr>
            <w:tcW w:w="1490" w:type="dxa"/>
            <w:shd w:val="clear" w:color="auto" w:fill="auto"/>
            <w:noWrap/>
            <w:vAlign w:val="bottom"/>
            <w:hideMark/>
          </w:tcPr>
          <w:p w14:paraId="774EF49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2B0A68F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4969045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6415871C" w14:textId="77777777" w:rsidTr="00E47FB2">
        <w:trPr>
          <w:trHeight w:val="255"/>
          <w:jc w:val="center"/>
        </w:trPr>
        <w:tc>
          <w:tcPr>
            <w:tcW w:w="5675" w:type="dxa"/>
            <w:shd w:val="clear" w:color="auto" w:fill="auto"/>
            <w:noWrap/>
            <w:vAlign w:val="bottom"/>
            <w:hideMark/>
          </w:tcPr>
          <w:p w14:paraId="5B0831CC"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2.7.2.4.01-Infraestructura terrestre y obras anexas</w:t>
            </w:r>
          </w:p>
        </w:tc>
        <w:tc>
          <w:tcPr>
            <w:tcW w:w="1490" w:type="dxa"/>
            <w:shd w:val="clear" w:color="auto" w:fill="auto"/>
            <w:noWrap/>
            <w:vAlign w:val="bottom"/>
            <w:hideMark/>
          </w:tcPr>
          <w:p w14:paraId="646B5319"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159,287,000.00</w:t>
            </w:r>
          </w:p>
        </w:tc>
        <w:tc>
          <w:tcPr>
            <w:tcW w:w="1840" w:type="dxa"/>
            <w:shd w:val="clear" w:color="000000" w:fill="FFFFFF"/>
            <w:noWrap/>
            <w:vAlign w:val="bottom"/>
            <w:hideMark/>
          </w:tcPr>
          <w:p w14:paraId="045FC6D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159,186,999.60</w:t>
            </w:r>
          </w:p>
        </w:tc>
        <w:tc>
          <w:tcPr>
            <w:tcW w:w="1352" w:type="dxa"/>
            <w:shd w:val="clear" w:color="auto" w:fill="auto"/>
            <w:noWrap/>
            <w:vAlign w:val="bottom"/>
            <w:hideMark/>
          </w:tcPr>
          <w:p w14:paraId="695B068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100,000.40</w:t>
            </w:r>
          </w:p>
        </w:tc>
      </w:tr>
      <w:tr w:rsidR="002E323B" w:rsidRPr="002E323B" w14:paraId="7DA6E4B0" w14:textId="77777777" w:rsidTr="00E47FB2">
        <w:trPr>
          <w:trHeight w:val="270"/>
          <w:jc w:val="center"/>
        </w:trPr>
        <w:tc>
          <w:tcPr>
            <w:tcW w:w="5675" w:type="dxa"/>
            <w:shd w:val="clear" w:color="auto" w:fill="auto"/>
            <w:noWrap/>
            <w:vAlign w:val="bottom"/>
            <w:hideMark/>
          </w:tcPr>
          <w:p w14:paraId="28ED2DDE"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2.7.2.6.01-Infraestructura y plantaciones agrícolas</w:t>
            </w:r>
          </w:p>
        </w:tc>
        <w:tc>
          <w:tcPr>
            <w:tcW w:w="1490" w:type="dxa"/>
            <w:shd w:val="clear" w:color="auto" w:fill="auto"/>
            <w:noWrap/>
            <w:vAlign w:val="bottom"/>
            <w:hideMark/>
          </w:tcPr>
          <w:p w14:paraId="2E05585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74,223,185.00</w:t>
            </w:r>
          </w:p>
        </w:tc>
        <w:tc>
          <w:tcPr>
            <w:tcW w:w="1840" w:type="dxa"/>
            <w:shd w:val="clear" w:color="000000" w:fill="FFFFFF"/>
            <w:noWrap/>
            <w:vAlign w:val="bottom"/>
            <w:hideMark/>
          </w:tcPr>
          <w:p w14:paraId="1E19FDE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81,054,164.23</w:t>
            </w:r>
          </w:p>
        </w:tc>
        <w:tc>
          <w:tcPr>
            <w:tcW w:w="1352" w:type="dxa"/>
            <w:shd w:val="clear" w:color="auto" w:fill="auto"/>
            <w:noWrap/>
            <w:vAlign w:val="bottom"/>
            <w:hideMark/>
          </w:tcPr>
          <w:p w14:paraId="662D9480"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-6,830,979.23</w:t>
            </w:r>
          </w:p>
        </w:tc>
      </w:tr>
      <w:tr w:rsidR="002E323B" w:rsidRPr="002E323B" w14:paraId="16184659" w14:textId="77777777" w:rsidTr="00E47FB2">
        <w:trPr>
          <w:trHeight w:val="285"/>
          <w:jc w:val="center"/>
        </w:trPr>
        <w:tc>
          <w:tcPr>
            <w:tcW w:w="5675" w:type="dxa"/>
            <w:shd w:val="clear" w:color="auto" w:fill="808080" w:themeFill="background1" w:themeFillShade="80"/>
            <w:noWrap/>
            <w:vAlign w:val="bottom"/>
            <w:hideMark/>
          </w:tcPr>
          <w:p w14:paraId="06A02D40" w14:textId="77777777" w:rsidR="002E323B" w:rsidRPr="002E323B" w:rsidRDefault="002E323B" w:rsidP="002E323B">
            <w:pPr>
              <w:spacing w:after="0"/>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C. Fondos  Especiales (Gastos Corrientes)</w:t>
            </w:r>
          </w:p>
        </w:tc>
        <w:tc>
          <w:tcPr>
            <w:tcW w:w="1490" w:type="dxa"/>
            <w:shd w:val="clear" w:color="auto" w:fill="808080" w:themeFill="background1" w:themeFillShade="80"/>
            <w:noWrap/>
            <w:vAlign w:val="bottom"/>
            <w:hideMark/>
          </w:tcPr>
          <w:p w14:paraId="49F4A6B9" w14:textId="77777777" w:rsidR="002E323B" w:rsidRPr="002E323B" w:rsidRDefault="002E323B" w:rsidP="002E323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1,119,671,856.00</w:t>
            </w:r>
          </w:p>
        </w:tc>
        <w:tc>
          <w:tcPr>
            <w:tcW w:w="1840" w:type="dxa"/>
            <w:shd w:val="clear" w:color="auto" w:fill="808080" w:themeFill="background1" w:themeFillShade="80"/>
            <w:noWrap/>
            <w:vAlign w:val="bottom"/>
            <w:hideMark/>
          </w:tcPr>
          <w:p w14:paraId="49ACE312" w14:textId="77777777" w:rsidR="002E323B" w:rsidRPr="002E323B" w:rsidRDefault="002E323B" w:rsidP="002E323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1,138,229,140.00</w:t>
            </w:r>
          </w:p>
        </w:tc>
        <w:tc>
          <w:tcPr>
            <w:tcW w:w="1352" w:type="dxa"/>
            <w:shd w:val="clear" w:color="auto" w:fill="808080" w:themeFill="background1" w:themeFillShade="80"/>
            <w:noWrap/>
            <w:vAlign w:val="bottom"/>
            <w:hideMark/>
          </w:tcPr>
          <w:p w14:paraId="088FF78B" w14:textId="77777777" w:rsidR="002E323B" w:rsidRPr="002E323B" w:rsidRDefault="002E323B" w:rsidP="002E323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-18,557,284.00</w:t>
            </w:r>
          </w:p>
        </w:tc>
      </w:tr>
      <w:tr w:rsidR="002E323B" w:rsidRPr="002E323B" w14:paraId="1B389451" w14:textId="77777777" w:rsidTr="00E47FB2">
        <w:trPr>
          <w:trHeight w:val="255"/>
          <w:jc w:val="center"/>
        </w:trPr>
        <w:tc>
          <w:tcPr>
            <w:tcW w:w="5675" w:type="dxa"/>
            <w:shd w:val="clear" w:color="auto" w:fill="auto"/>
            <w:noWrap/>
            <w:vAlign w:val="bottom"/>
            <w:hideMark/>
          </w:tcPr>
          <w:p w14:paraId="3C4F764F"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FONDO1972-INSTITUTO DEL TABACO</w:t>
            </w:r>
          </w:p>
        </w:tc>
        <w:tc>
          <w:tcPr>
            <w:tcW w:w="1490" w:type="dxa"/>
            <w:shd w:val="clear" w:color="auto" w:fill="auto"/>
            <w:noWrap/>
            <w:vAlign w:val="bottom"/>
            <w:hideMark/>
          </w:tcPr>
          <w:p w14:paraId="4F7A9475"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290,282,427.00</w:t>
            </w:r>
          </w:p>
        </w:tc>
        <w:tc>
          <w:tcPr>
            <w:tcW w:w="1840" w:type="dxa"/>
            <w:shd w:val="clear" w:color="000000" w:fill="FFFFFF"/>
            <w:noWrap/>
            <w:vAlign w:val="bottom"/>
            <w:hideMark/>
          </w:tcPr>
          <w:p w14:paraId="2C9E2B9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308,840,138.00</w:t>
            </w:r>
          </w:p>
        </w:tc>
        <w:tc>
          <w:tcPr>
            <w:tcW w:w="1352" w:type="dxa"/>
            <w:shd w:val="clear" w:color="auto" w:fill="auto"/>
            <w:noWrap/>
            <w:vAlign w:val="bottom"/>
            <w:hideMark/>
          </w:tcPr>
          <w:p w14:paraId="4AFB069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-18,557,711.00</w:t>
            </w:r>
          </w:p>
        </w:tc>
      </w:tr>
      <w:tr w:rsidR="002E323B" w:rsidRPr="002E323B" w14:paraId="1B07C33F" w14:textId="77777777" w:rsidTr="00E47FB2">
        <w:trPr>
          <w:trHeight w:val="300"/>
          <w:jc w:val="center"/>
        </w:trPr>
        <w:tc>
          <w:tcPr>
            <w:tcW w:w="5675" w:type="dxa"/>
            <w:shd w:val="clear" w:color="auto" w:fill="auto"/>
            <w:noWrap/>
            <w:vAlign w:val="bottom"/>
            <w:hideMark/>
          </w:tcPr>
          <w:p w14:paraId="649EA983"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FONDO 1973-CONALECHE</w:t>
            </w:r>
          </w:p>
        </w:tc>
        <w:tc>
          <w:tcPr>
            <w:tcW w:w="1490" w:type="dxa"/>
            <w:shd w:val="clear" w:color="auto" w:fill="auto"/>
            <w:noWrap/>
            <w:vAlign w:val="bottom"/>
            <w:hideMark/>
          </w:tcPr>
          <w:p w14:paraId="35D9E85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120,000,000.00</w:t>
            </w:r>
          </w:p>
        </w:tc>
        <w:tc>
          <w:tcPr>
            <w:tcW w:w="1840" w:type="dxa"/>
            <w:shd w:val="clear" w:color="000000" w:fill="FFFFFF"/>
            <w:noWrap/>
            <w:vAlign w:val="bottom"/>
            <w:hideMark/>
          </w:tcPr>
          <w:p w14:paraId="03B45FE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120,000,000.00</w:t>
            </w:r>
          </w:p>
        </w:tc>
        <w:tc>
          <w:tcPr>
            <w:tcW w:w="1352" w:type="dxa"/>
            <w:shd w:val="clear" w:color="auto" w:fill="auto"/>
            <w:noWrap/>
            <w:vAlign w:val="bottom"/>
            <w:hideMark/>
          </w:tcPr>
          <w:p w14:paraId="39D0D1A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1022E02D" w14:textId="77777777" w:rsidTr="00E47FB2">
        <w:trPr>
          <w:trHeight w:val="300"/>
          <w:jc w:val="center"/>
        </w:trPr>
        <w:tc>
          <w:tcPr>
            <w:tcW w:w="5675" w:type="dxa"/>
            <w:shd w:val="clear" w:color="auto" w:fill="auto"/>
            <w:noWrap/>
            <w:vAlign w:val="bottom"/>
            <w:hideMark/>
          </w:tcPr>
          <w:p w14:paraId="13D9F79E"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FONDO 0100-PRESIDENCIAL (INSTITUTO DEL TABACO)</w:t>
            </w:r>
          </w:p>
        </w:tc>
        <w:tc>
          <w:tcPr>
            <w:tcW w:w="1490" w:type="dxa"/>
            <w:shd w:val="clear" w:color="auto" w:fill="auto"/>
            <w:noWrap/>
            <w:vAlign w:val="bottom"/>
            <w:hideMark/>
          </w:tcPr>
          <w:p w14:paraId="2BFD36E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1,951,358.00</w:t>
            </w:r>
          </w:p>
        </w:tc>
        <w:tc>
          <w:tcPr>
            <w:tcW w:w="1840" w:type="dxa"/>
            <w:shd w:val="clear" w:color="000000" w:fill="FFFFFF"/>
            <w:noWrap/>
            <w:vAlign w:val="bottom"/>
            <w:hideMark/>
          </w:tcPr>
          <w:p w14:paraId="2C30E35D"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1,951,358.00</w:t>
            </w:r>
          </w:p>
        </w:tc>
        <w:tc>
          <w:tcPr>
            <w:tcW w:w="1352" w:type="dxa"/>
            <w:shd w:val="clear" w:color="auto" w:fill="auto"/>
            <w:noWrap/>
            <w:vAlign w:val="bottom"/>
            <w:hideMark/>
          </w:tcPr>
          <w:p w14:paraId="6A8F224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539E5951" w14:textId="77777777" w:rsidTr="00E47FB2">
        <w:trPr>
          <w:trHeight w:val="300"/>
          <w:jc w:val="center"/>
        </w:trPr>
        <w:tc>
          <w:tcPr>
            <w:tcW w:w="5675" w:type="dxa"/>
            <w:shd w:val="clear" w:color="auto" w:fill="auto"/>
            <w:noWrap/>
            <w:vAlign w:val="bottom"/>
            <w:hideMark/>
          </w:tcPr>
          <w:p w14:paraId="24FEE4C8"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FONDO 0100 PRESIDENCIAL (INSTITUTO AGRARIO DOMINICANO)</w:t>
            </w:r>
          </w:p>
        </w:tc>
        <w:tc>
          <w:tcPr>
            <w:tcW w:w="1490" w:type="dxa"/>
            <w:shd w:val="clear" w:color="auto" w:fill="auto"/>
            <w:noWrap/>
            <w:vAlign w:val="bottom"/>
            <w:hideMark/>
          </w:tcPr>
          <w:p w14:paraId="619B9C9A"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20,000,000.00</w:t>
            </w:r>
          </w:p>
        </w:tc>
        <w:tc>
          <w:tcPr>
            <w:tcW w:w="1840" w:type="dxa"/>
            <w:shd w:val="clear" w:color="000000" w:fill="FFFFFF"/>
            <w:noWrap/>
            <w:vAlign w:val="bottom"/>
            <w:hideMark/>
          </w:tcPr>
          <w:p w14:paraId="29D3B8E2"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20,000,000.00</w:t>
            </w:r>
          </w:p>
        </w:tc>
        <w:tc>
          <w:tcPr>
            <w:tcW w:w="1352" w:type="dxa"/>
            <w:shd w:val="clear" w:color="auto" w:fill="auto"/>
            <w:noWrap/>
            <w:vAlign w:val="bottom"/>
            <w:hideMark/>
          </w:tcPr>
          <w:p w14:paraId="3A68700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3536F8C4" w14:textId="77777777" w:rsidTr="00E47FB2">
        <w:trPr>
          <w:trHeight w:val="300"/>
          <w:jc w:val="center"/>
        </w:trPr>
        <w:tc>
          <w:tcPr>
            <w:tcW w:w="5675" w:type="dxa"/>
            <w:shd w:val="clear" w:color="auto" w:fill="auto"/>
            <w:noWrap/>
            <w:vAlign w:val="bottom"/>
            <w:hideMark/>
          </w:tcPr>
          <w:p w14:paraId="7CD548AC"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FONDO 0100- PRESIDENCIAL (MINISTERIO DE AGRICULTURA)</w:t>
            </w:r>
          </w:p>
        </w:tc>
        <w:tc>
          <w:tcPr>
            <w:tcW w:w="1490" w:type="dxa"/>
            <w:shd w:val="clear" w:color="auto" w:fill="auto"/>
            <w:noWrap/>
            <w:vAlign w:val="bottom"/>
            <w:hideMark/>
          </w:tcPr>
          <w:p w14:paraId="1D51DCEE"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7,438,071.00</w:t>
            </w:r>
          </w:p>
        </w:tc>
        <w:tc>
          <w:tcPr>
            <w:tcW w:w="1840" w:type="dxa"/>
            <w:shd w:val="clear" w:color="000000" w:fill="FFFFFF"/>
            <w:noWrap/>
            <w:vAlign w:val="bottom"/>
            <w:hideMark/>
          </w:tcPr>
          <w:p w14:paraId="6895666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7,438,071.00</w:t>
            </w:r>
          </w:p>
        </w:tc>
        <w:tc>
          <w:tcPr>
            <w:tcW w:w="1352" w:type="dxa"/>
            <w:shd w:val="clear" w:color="auto" w:fill="auto"/>
            <w:noWrap/>
            <w:vAlign w:val="bottom"/>
            <w:hideMark/>
          </w:tcPr>
          <w:p w14:paraId="46869CB7"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5344FCF2" w14:textId="77777777" w:rsidTr="00E47FB2">
        <w:trPr>
          <w:trHeight w:val="270"/>
          <w:jc w:val="center"/>
        </w:trPr>
        <w:tc>
          <w:tcPr>
            <w:tcW w:w="5675" w:type="dxa"/>
            <w:shd w:val="clear" w:color="auto" w:fill="auto"/>
            <w:noWrap/>
            <w:vAlign w:val="bottom"/>
            <w:hideMark/>
          </w:tcPr>
          <w:p w14:paraId="18F23A57"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FONDO 2109-PROVENITENTES DE SUBASTAS PUBLICAS AGROPECUARIAS</w:t>
            </w:r>
          </w:p>
        </w:tc>
        <w:tc>
          <w:tcPr>
            <w:tcW w:w="1490" w:type="dxa"/>
            <w:shd w:val="clear" w:color="auto" w:fill="auto"/>
            <w:noWrap/>
            <w:vAlign w:val="bottom"/>
            <w:hideMark/>
          </w:tcPr>
          <w:p w14:paraId="1FB4EBDB"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680,000,000.00</w:t>
            </w:r>
          </w:p>
        </w:tc>
        <w:tc>
          <w:tcPr>
            <w:tcW w:w="1840" w:type="dxa"/>
            <w:shd w:val="clear" w:color="000000" w:fill="FFFFFF"/>
            <w:noWrap/>
            <w:vAlign w:val="bottom"/>
            <w:hideMark/>
          </w:tcPr>
          <w:p w14:paraId="7AC8F8A3"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679,999,573.00</w:t>
            </w:r>
          </w:p>
        </w:tc>
        <w:tc>
          <w:tcPr>
            <w:tcW w:w="1352" w:type="dxa"/>
            <w:shd w:val="clear" w:color="auto" w:fill="auto"/>
            <w:noWrap/>
            <w:vAlign w:val="bottom"/>
            <w:hideMark/>
          </w:tcPr>
          <w:p w14:paraId="0AF77B61"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427.00</w:t>
            </w:r>
          </w:p>
        </w:tc>
      </w:tr>
      <w:tr w:rsidR="002E323B" w:rsidRPr="002E323B" w14:paraId="4A86ADE7" w14:textId="77777777" w:rsidTr="00E47FB2">
        <w:trPr>
          <w:trHeight w:val="285"/>
          <w:jc w:val="center"/>
        </w:trPr>
        <w:tc>
          <w:tcPr>
            <w:tcW w:w="5675" w:type="dxa"/>
            <w:shd w:val="clear" w:color="auto" w:fill="808080" w:themeFill="background1" w:themeFillShade="80"/>
            <w:noWrap/>
            <w:vAlign w:val="bottom"/>
            <w:hideMark/>
          </w:tcPr>
          <w:p w14:paraId="18A8BF69" w14:textId="77777777" w:rsidR="002E323B" w:rsidRPr="002E323B" w:rsidRDefault="002E323B" w:rsidP="002E323B">
            <w:pPr>
              <w:spacing w:after="0"/>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D) PROYECTOS EN EJECUCION</w:t>
            </w:r>
          </w:p>
        </w:tc>
        <w:tc>
          <w:tcPr>
            <w:tcW w:w="1490" w:type="dxa"/>
            <w:shd w:val="clear" w:color="auto" w:fill="808080" w:themeFill="background1" w:themeFillShade="80"/>
            <w:noWrap/>
            <w:vAlign w:val="bottom"/>
            <w:hideMark/>
          </w:tcPr>
          <w:p w14:paraId="1CC3DD6A" w14:textId="7EF8617D" w:rsidR="002E323B" w:rsidRPr="002E323B" w:rsidRDefault="002E323B" w:rsidP="00FB47E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305,000,000.00</w:t>
            </w:r>
          </w:p>
        </w:tc>
        <w:tc>
          <w:tcPr>
            <w:tcW w:w="1840" w:type="dxa"/>
            <w:shd w:val="clear" w:color="auto" w:fill="808080" w:themeFill="background1" w:themeFillShade="80"/>
            <w:noWrap/>
            <w:vAlign w:val="bottom"/>
            <w:hideMark/>
          </w:tcPr>
          <w:p w14:paraId="2111DCD0" w14:textId="19C3EDF8" w:rsidR="002E323B" w:rsidRPr="002E323B" w:rsidRDefault="002E323B" w:rsidP="00FB47E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2,400,477.18</w:t>
            </w:r>
          </w:p>
        </w:tc>
        <w:tc>
          <w:tcPr>
            <w:tcW w:w="1352" w:type="dxa"/>
            <w:shd w:val="clear" w:color="auto" w:fill="808080" w:themeFill="background1" w:themeFillShade="80"/>
            <w:noWrap/>
            <w:vAlign w:val="bottom"/>
            <w:hideMark/>
          </w:tcPr>
          <w:p w14:paraId="4550DEF8" w14:textId="181B225C" w:rsidR="002E323B" w:rsidRPr="002E323B" w:rsidRDefault="002E323B" w:rsidP="00FB47EB">
            <w:pPr>
              <w:spacing w:after="0"/>
              <w:jc w:val="right"/>
              <w:rPr>
                <w:rFonts w:ascii="Times New Roman" w:hAnsi="Times New Roman"/>
                <w:b/>
                <w:bCs/>
                <w:i/>
                <w:iCs/>
                <w:color w:val="FFFFFF"/>
                <w:sz w:val="18"/>
                <w:szCs w:val="18"/>
                <w:lang w:eastAsia="es-DO"/>
              </w:rPr>
            </w:pPr>
            <w:r w:rsidRPr="002E323B">
              <w:rPr>
                <w:rFonts w:ascii="Times New Roman" w:hAnsi="Times New Roman"/>
                <w:b/>
                <w:bCs/>
                <w:i/>
                <w:iCs/>
                <w:color w:val="FFFFFF"/>
                <w:sz w:val="18"/>
                <w:szCs w:val="18"/>
                <w:lang w:eastAsia="es-DO"/>
              </w:rPr>
              <w:t>302,599,522.82</w:t>
            </w:r>
          </w:p>
        </w:tc>
      </w:tr>
      <w:tr w:rsidR="002E323B" w:rsidRPr="002E323B" w14:paraId="6D70A54E" w14:textId="77777777" w:rsidTr="00E47FB2">
        <w:trPr>
          <w:trHeight w:val="540"/>
          <w:jc w:val="center"/>
        </w:trPr>
        <w:tc>
          <w:tcPr>
            <w:tcW w:w="5675" w:type="dxa"/>
            <w:shd w:val="clear" w:color="auto" w:fill="auto"/>
            <w:vAlign w:val="bottom"/>
            <w:hideMark/>
          </w:tcPr>
          <w:p w14:paraId="2BCA60A5" w14:textId="77777777" w:rsidR="002E323B" w:rsidRPr="002E323B" w:rsidRDefault="002E323B" w:rsidP="002E323B">
            <w:pPr>
              <w:spacing w:after="0"/>
              <w:rPr>
                <w:rFonts w:ascii="Times New Roman" w:hAnsi="Times New Roman"/>
                <w:b/>
                <w:bCs/>
                <w:i/>
                <w:iCs/>
                <w:color w:val="1F4E78"/>
                <w:sz w:val="18"/>
                <w:szCs w:val="18"/>
                <w:lang w:eastAsia="es-DO"/>
              </w:rPr>
            </w:pPr>
            <w:r w:rsidRPr="002E323B">
              <w:rPr>
                <w:rFonts w:ascii="Times New Roman" w:hAnsi="Times New Roman"/>
                <w:b/>
                <w:bCs/>
                <w:i/>
                <w:iCs/>
                <w:color w:val="1F4E78"/>
                <w:sz w:val="18"/>
                <w:szCs w:val="18"/>
                <w:lang w:eastAsia="es-DO"/>
              </w:rPr>
              <w:t>PROY.-05MEJORAM. DE LA SANIDAD E INOC. AGROALIM. EN LA REP.DOM. (PATCA III)</w:t>
            </w:r>
          </w:p>
        </w:tc>
        <w:tc>
          <w:tcPr>
            <w:tcW w:w="1490" w:type="dxa"/>
            <w:shd w:val="clear" w:color="auto" w:fill="auto"/>
            <w:noWrap/>
            <w:vAlign w:val="bottom"/>
            <w:hideMark/>
          </w:tcPr>
          <w:p w14:paraId="0DEA58BC" w14:textId="35FCE2F6" w:rsidR="002E323B" w:rsidRPr="002E323B" w:rsidRDefault="002E323B" w:rsidP="00FB47EB">
            <w:pPr>
              <w:spacing w:after="0"/>
              <w:jc w:val="right"/>
              <w:rPr>
                <w:rFonts w:ascii="Times New Roman" w:hAnsi="Times New Roman"/>
                <w:b/>
                <w:bCs/>
                <w:i/>
                <w:iCs/>
                <w:color w:val="1F4E78"/>
                <w:sz w:val="18"/>
                <w:szCs w:val="18"/>
                <w:lang w:eastAsia="es-DO"/>
              </w:rPr>
            </w:pPr>
            <w:r w:rsidRPr="002E323B">
              <w:rPr>
                <w:rFonts w:ascii="Times New Roman" w:hAnsi="Times New Roman"/>
                <w:b/>
                <w:bCs/>
                <w:i/>
                <w:iCs/>
                <w:color w:val="1F4E78"/>
                <w:sz w:val="18"/>
                <w:szCs w:val="18"/>
                <w:lang w:eastAsia="es-DO"/>
              </w:rPr>
              <w:t>3,000,000.00</w:t>
            </w:r>
          </w:p>
        </w:tc>
        <w:tc>
          <w:tcPr>
            <w:tcW w:w="1840" w:type="dxa"/>
            <w:shd w:val="clear" w:color="auto" w:fill="auto"/>
            <w:noWrap/>
            <w:vAlign w:val="bottom"/>
            <w:hideMark/>
          </w:tcPr>
          <w:p w14:paraId="725AE003" w14:textId="0E8274C9" w:rsidR="002E323B" w:rsidRPr="002E323B" w:rsidRDefault="002E323B" w:rsidP="00FB47EB">
            <w:pPr>
              <w:spacing w:after="0"/>
              <w:jc w:val="right"/>
              <w:rPr>
                <w:rFonts w:ascii="Times New Roman" w:hAnsi="Times New Roman"/>
                <w:b/>
                <w:bCs/>
                <w:i/>
                <w:iCs/>
                <w:color w:val="44546A"/>
                <w:sz w:val="18"/>
                <w:szCs w:val="18"/>
                <w:lang w:eastAsia="es-DO"/>
              </w:rPr>
            </w:pPr>
            <w:r w:rsidRPr="002E323B">
              <w:rPr>
                <w:rFonts w:ascii="Times New Roman" w:hAnsi="Times New Roman"/>
                <w:b/>
                <w:bCs/>
                <w:i/>
                <w:iCs/>
                <w:color w:val="44546A"/>
                <w:sz w:val="18"/>
                <w:szCs w:val="18"/>
                <w:lang w:eastAsia="es-DO"/>
              </w:rPr>
              <w:t>1,499,675.00</w:t>
            </w:r>
          </w:p>
        </w:tc>
        <w:tc>
          <w:tcPr>
            <w:tcW w:w="1352" w:type="dxa"/>
            <w:shd w:val="clear" w:color="auto" w:fill="auto"/>
            <w:noWrap/>
            <w:vAlign w:val="bottom"/>
            <w:hideMark/>
          </w:tcPr>
          <w:p w14:paraId="2350CA61" w14:textId="18636FD9" w:rsidR="002E323B" w:rsidRPr="002E323B" w:rsidRDefault="002E323B" w:rsidP="00FB47EB">
            <w:pPr>
              <w:spacing w:after="0"/>
              <w:jc w:val="right"/>
              <w:rPr>
                <w:rFonts w:ascii="Times New Roman" w:hAnsi="Times New Roman"/>
                <w:b/>
                <w:bCs/>
                <w:i/>
                <w:iCs/>
                <w:color w:val="44546A"/>
                <w:sz w:val="18"/>
                <w:szCs w:val="18"/>
                <w:lang w:eastAsia="es-DO"/>
              </w:rPr>
            </w:pPr>
            <w:r w:rsidRPr="002E323B">
              <w:rPr>
                <w:rFonts w:ascii="Times New Roman" w:hAnsi="Times New Roman"/>
                <w:b/>
                <w:bCs/>
                <w:i/>
                <w:iCs/>
                <w:color w:val="44546A"/>
                <w:sz w:val="18"/>
                <w:szCs w:val="18"/>
                <w:lang w:eastAsia="es-DO"/>
              </w:rPr>
              <w:t>1,500,325.00</w:t>
            </w:r>
          </w:p>
        </w:tc>
      </w:tr>
      <w:tr w:rsidR="002E323B" w:rsidRPr="002E323B" w14:paraId="244EE8AC" w14:textId="77777777" w:rsidTr="00E47FB2">
        <w:trPr>
          <w:trHeight w:val="270"/>
          <w:jc w:val="center"/>
        </w:trPr>
        <w:tc>
          <w:tcPr>
            <w:tcW w:w="5675" w:type="dxa"/>
            <w:shd w:val="clear" w:color="auto" w:fill="auto"/>
            <w:noWrap/>
            <w:vAlign w:val="bottom"/>
            <w:hideMark/>
          </w:tcPr>
          <w:p w14:paraId="158298C6" w14:textId="77777777" w:rsidR="002E323B" w:rsidRPr="002E323B" w:rsidRDefault="002E323B" w:rsidP="002E323B">
            <w:pPr>
              <w:spacing w:after="0"/>
              <w:rPr>
                <w:rFonts w:ascii="Times New Roman" w:hAnsi="Times New Roman"/>
                <w:b/>
                <w:bCs/>
                <w:i/>
                <w:iCs/>
                <w:sz w:val="18"/>
                <w:szCs w:val="18"/>
                <w:lang w:eastAsia="es-DO"/>
              </w:rPr>
            </w:pPr>
            <w:r w:rsidRPr="002E323B">
              <w:rPr>
                <w:rFonts w:ascii="Times New Roman" w:hAnsi="Times New Roman"/>
                <w:b/>
                <w:bCs/>
                <w:i/>
                <w:iCs/>
                <w:sz w:val="18"/>
                <w:szCs w:val="18"/>
                <w:lang w:eastAsia="es-DO"/>
              </w:rPr>
              <w:t xml:space="preserve">   F-0100-RECURSOS NACIONALES</w:t>
            </w:r>
          </w:p>
        </w:tc>
        <w:tc>
          <w:tcPr>
            <w:tcW w:w="1490" w:type="dxa"/>
            <w:shd w:val="clear" w:color="auto" w:fill="auto"/>
            <w:noWrap/>
            <w:vAlign w:val="bottom"/>
            <w:hideMark/>
          </w:tcPr>
          <w:p w14:paraId="4E2BAC16"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3,000,000.00</w:t>
            </w:r>
          </w:p>
        </w:tc>
        <w:tc>
          <w:tcPr>
            <w:tcW w:w="1840" w:type="dxa"/>
            <w:shd w:val="clear" w:color="000000" w:fill="FFFFFF"/>
            <w:noWrap/>
            <w:vAlign w:val="bottom"/>
            <w:hideMark/>
          </w:tcPr>
          <w:p w14:paraId="7C759EC1"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1,499,675.00</w:t>
            </w:r>
          </w:p>
        </w:tc>
        <w:tc>
          <w:tcPr>
            <w:tcW w:w="1352" w:type="dxa"/>
            <w:shd w:val="clear" w:color="auto" w:fill="auto"/>
            <w:noWrap/>
            <w:vAlign w:val="bottom"/>
            <w:hideMark/>
          </w:tcPr>
          <w:p w14:paraId="47585F5A"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1,500,325.00</w:t>
            </w:r>
          </w:p>
        </w:tc>
      </w:tr>
      <w:tr w:rsidR="002E323B" w:rsidRPr="002E323B" w14:paraId="2A5CDC60" w14:textId="77777777" w:rsidTr="00E47FB2">
        <w:trPr>
          <w:trHeight w:val="270"/>
          <w:jc w:val="center"/>
        </w:trPr>
        <w:tc>
          <w:tcPr>
            <w:tcW w:w="5675" w:type="dxa"/>
            <w:shd w:val="clear" w:color="auto" w:fill="auto"/>
            <w:noWrap/>
            <w:vAlign w:val="bottom"/>
            <w:hideMark/>
          </w:tcPr>
          <w:p w14:paraId="0240D452" w14:textId="77777777" w:rsidR="002E323B" w:rsidRPr="002E323B" w:rsidRDefault="002E323B" w:rsidP="002E323B">
            <w:pPr>
              <w:spacing w:after="0"/>
              <w:rPr>
                <w:rFonts w:ascii="Times New Roman" w:hAnsi="Times New Roman"/>
                <w:b/>
                <w:bCs/>
                <w:i/>
                <w:iCs/>
                <w:sz w:val="18"/>
                <w:szCs w:val="18"/>
                <w:lang w:eastAsia="es-DO"/>
              </w:rPr>
            </w:pPr>
            <w:r w:rsidRPr="002E323B">
              <w:rPr>
                <w:rFonts w:ascii="Times New Roman" w:hAnsi="Times New Roman"/>
                <w:b/>
                <w:bCs/>
                <w:i/>
                <w:iCs/>
                <w:sz w:val="18"/>
                <w:szCs w:val="18"/>
                <w:lang w:eastAsia="es-DO"/>
              </w:rPr>
              <w:t xml:space="preserve">  F-6085 - RECURSOS EXTERNOS   (PATCA III)</w:t>
            </w:r>
          </w:p>
        </w:tc>
        <w:tc>
          <w:tcPr>
            <w:tcW w:w="1490" w:type="dxa"/>
            <w:shd w:val="clear" w:color="auto" w:fill="auto"/>
            <w:noWrap/>
            <w:vAlign w:val="bottom"/>
            <w:hideMark/>
          </w:tcPr>
          <w:p w14:paraId="0C1E0C5C"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77CCCC3C"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06C40E14"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007F8E23" w14:textId="77777777" w:rsidTr="00E47FB2">
        <w:trPr>
          <w:trHeight w:val="540"/>
          <w:jc w:val="center"/>
        </w:trPr>
        <w:tc>
          <w:tcPr>
            <w:tcW w:w="5675" w:type="dxa"/>
            <w:shd w:val="clear" w:color="auto" w:fill="auto"/>
            <w:vAlign w:val="bottom"/>
            <w:hideMark/>
          </w:tcPr>
          <w:p w14:paraId="477F10D0" w14:textId="77777777" w:rsidR="002E323B" w:rsidRPr="002E323B" w:rsidRDefault="002E323B" w:rsidP="002E323B">
            <w:pPr>
              <w:spacing w:after="0"/>
              <w:rPr>
                <w:rFonts w:ascii="Times New Roman" w:hAnsi="Times New Roman"/>
                <w:b/>
                <w:bCs/>
                <w:i/>
                <w:iCs/>
                <w:color w:val="1F4E78"/>
                <w:sz w:val="18"/>
                <w:szCs w:val="18"/>
                <w:lang w:eastAsia="es-DO"/>
              </w:rPr>
            </w:pPr>
            <w:r w:rsidRPr="002E323B">
              <w:rPr>
                <w:rFonts w:ascii="Times New Roman" w:hAnsi="Times New Roman"/>
                <w:b/>
                <w:bCs/>
                <w:i/>
                <w:iCs/>
                <w:color w:val="1F4E78"/>
                <w:sz w:val="18"/>
                <w:szCs w:val="18"/>
                <w:lang w:eastAsia="es-DO"/>
              </w:rPr>
              <w:t>PROY.-07-CONSTRUCCION DE SISTEMAS DE PRODUCCION PARA LA RECONVERSION AGRICOLA EN SAN JUAN DE LA MAGUANA</w:t>
            </w:r>
          </w:p>
        </w:tc>
        <w:tc>
          <w:tcPr>
            <w:tcW w:w="1490" w:type="dxa"/>
            <w:shd w:val="clear" w:color="auto" w:fill="auto"/>
            <w:noWrap/>
            <w:vAlign w:val="bottom"/>
            <w:hideMark/>
          </w:tcPr>
          <w:p w14:paraId="70B4CF68" w14:textId="156D12BD" w:rsidR="002E323B" w:rsidRPr="002E323B" w:rsidRDefault="002E323B" w:rsidP="00FB47EB">
            <w:pPr>
              <w:spacing w:after="0"/>
              <w:jc w:val="right"/>
              <w:rPr>
                <w:rFonts w:ascii="Times New Roman" w:hAnsi="Times New Roman"/>
                <w:b/>
                <w:bCs/>
                <w:i/>
                <w:iCs/>
                <w:color w:val="1F4E78"/>
                <w:sz w:val="18"/>
                <w:szCs w:val="18"/>
                <w:lang w:eastAsia="es-DO"/>
              </w:rPr>
            </w:pPr>
            <w:r w:rsidRPr="002E323B">
              <w:rPr>
                <w:rFonts w:ascii="Times New Roman" w:hAnsi="Times New Roman"/>
                <w:b/>
                <w:bCs/>
                <w:i/>
                <w:iCs/>
                <w:color w:val="1F4E78"/>
                <w:sz w:val="18"/>
                <w:szCs w:val="18"/>
                <w:lang w:eastAsia="es-DO"/>
              </w:rPr>
              <w:t>274,000,000.00</w:t>
            </w:r>
          </w:p>
        </w:tc>
        <w:tc>
          <w:tcPr>
            <w:tcW w:w="1840" w:type="dxa"/>
            <w:shd w:val="clear" w:color="auto" w:fill="auto"/>
            <w:noWrap/>
            <w:vAlign w:val="bottom"/>
            <w:hideMark/>
          </w:tcPr>
          <w:p w14:paraId="6385AC6F" w14:textId="58542EAB" w:rsidR="002E323B" w:rsidRPr="002E323B" w:rsidRDefault="002E323B" w:rsidP="00FB47EB">
            <w:pPr>
              <w:spacing w:after="0"/>
              <w:jc w:val="right"/>
              <w:rPr>
                <w:rFonts w:ascii="Times New Roman" w:hAnsi="Times New Roman"/>
                <w:b/>
                <w:bCs/>
                <w:i/>
                <w:iCs/>
                <w:color w:val="44546A"/>
                <w:sz w:val="18"/>
                <w:szCs w:val="18"/>
                <w:lang w:eastAsia="es-DO"/>
              </w:rPr>
            </w:pPr>
            <w:r w:rsidRPr="002E323B">
              <w:rPr>
                <w:rFonts w:ascii="Times New Roman" w:hAnsi="Times New Roman"/>
                <w:b/>
                <w:bCs/>
                <w:i/>
                <w:iCs/>
                <w:color w:val="44546A"/>
                <w:sz w:val="18"/>
                <w:szCs w:val="18"/>
                <w:lang w:eastAsia="es-DO"/>
              </w:rPr>
              <w:t>-</w:t>
            </w:r>
          </w:p>
        </w:tc>
        <w:tc>
          <w:tcPr>
            <w:tcW w:w="1352" w:type="dxa"/>
            <w:shd w:val="clear" w:color="auto" w:fill="auto"/>
            <w:noWrap/>
            <w:vAlign w:val="bottom"/>
            <w:hideMark/>
          </w:tcPr>
          <w:p w14:paraId="1A350EA5" w14:textId="01BF5011" w:rsidR="002E323B" w:rsidRPr="002E323B" w:rsidRDefault="002E323B" w:rsidP="00FB47EB">
            <w:pPr>
              <w:spacing w:after="0"/>
              <w:jc w:val="right"/>
              <w:rPr>
                <w:rFonts w:ascii="Times New Roman" w:hAnsi="Times New Roman"/>
                <w:b/>
                <w:bCs/>
                <w:i/>
                <w:iCs/>
                <w:color w:val="44546A"/>
                <w:sz w:val="18"/>
                <w:szCs w:val="18"/>
                <w:lang w:eastAsia="es-DO"/>
              </w:rPr>
            </w:pPr>
            <w:r w:rsidRPr="002E323B">
              <w:rPr>
                <w:rFonts w:ascii="Times New Roman" w:hAnsi="Times New Roman"/>
                <w:b/>
                <w:bCs/>
                <w:i/>
                <w:iCs/>
                <w:color w:val="44546A"/>
                <w:sz w:val="18"/>
                <w:szCs w:val="18"/>
                <w:lang w:eastAsia="es-DO"/>
              </w:rPr>
              <w:t>274,000,000.00</w:t>
            </w:r>
          </w:p>
        </w:tc>
      </w:tr>
      <w:tr w:rsidR="002E323B" w:rsidRPr="002E323B" w14:paraId="4ED9DBF5" w14:textId="77777777" w:rsidTr="00E47FB2">
        <w:trPr>
          <w:trHeight w:val="255"/>
          <w:jc w:val="center"/>
        </w:trPr>
        <w:tc>
          <w:tcPr>
            <w:tcW w:w="5675" w:type="dxa"/>
            <w:shd w:val="clear" w:color="auto" w:fill="auto"/>
            <w:noWrap/>
            <w:vAlign w:val="bottom"/>
            <w:hideMark/>
          </w:tcPr>
          <w:p w14:paraId="387C7F0D"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 xml:space="preserve">                 RECURSOS NACIONALES</w:t>
            </w:r>
          </w:p>
        </w:tc>
        <w:tc>
          <w:tcPr>
            <w:tcW w:w="1490" w:type="dxa"/>
            <w:shd w:val="clear" w:color="auto" w:fill="auto"/>
            <w:noWrap/>
            <w:vAlign w:val="bottom"/>
            <w:hideMark/>
          </w:tcPr>
          <w:p w14:paraId="1B22E141"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15,000,000.00</w:t>
            </w:r>
          </w:p>
        </w:tc>
        <w:tc>
          <w:tcPr>
            <w:tcW w:w="1840" w:type="dxa"/>
            <w:shd w:val="clear" w:color="000000" w:fill="FFFFFF"/>
            <w:noWrap/>
            <w:vAlign w:val="bottom"/>
            <w:hideMark/>
          </w:tcPr>
          <w:p w14:paraId="24283D27"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36BEC009"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15,000,000.00</w:t>
            </w:r>
          </w:p>
        </w:tc>
      </w:tr>
      <w:tr w:rsidR="002E323B" w:rsidRPr="002E323B" w14:paraId="6146B3B5" w14:textId="77777777" w:rsidTr="00E47FB2">
        <w:trPr>
          <w:trHeight w:val="270"/>
          <w:jc w:val="center"/>
        </w:trPr>
        <w:tc>
          <w:tcPr>
            <w:tcW w:w="5675" w:type="dxa"/>
            <w:shd w:val="clear" w:color="auto" w:fill="auto"/>
            <w:noWrap/>
            <w:vAlign w:val="bottom"/>
            <w:hideMark/>
          </w:tcPr>
          <w:p w14:paraId="16D812CF" w14:textId="77777777" w:rsidR="002E323B" w:rsidRPr="002E323B" w:rsidRDefault="002E323B" w:rsidP="002E323B">
            <w:pPr>
              <w:spacing w:after="0"/>
              <w:rPr>
                <w:rFonts w:ascii="Times New Roman" w:hAnsi="Times New Roman"/>
                <w:b/>
                <w:bCs/>
                <w:i/>
                <w:iCs/>
                <w:sz w:val="18"/>
                <w:szCs w:val="18"/>
                <w:lang w:eastAsia="es-DO"/>
              </w:rPr>
            </w:pPr>
            <w:r w:rsidRPr="002E323B">
              <w:rPr>
                <w:rFonts w:ascii="Times New Roman" w:hAnsi="Times New Roman"/>
                <w:b/>
                <w:bCs/>
                <w:i/>
                <w:iCs/>
                <w:sz w:val="18"/>
                <w:szCs w:val="18"/>
                <w:lang w:eastAsia="es-DO"/>
              </w:rPr>
              <w:t xml:space="preserve">      F-0405-RECURSOS EXTERNOS</w:t>
            </w:r>
          </w:p>
        </w:tc>
        <w:tc>
          <w:tcPr>
            <w:tcW w:w="1490" w:type="dxa"/>
            <w:shd w:val="clear" w:color="auto" w:fill="auto"/>
            <w:noWrap/>
            <w:vAlign w:val="bottom"/>
            <w:hideMark/>
          </w:tcPr>
          <w:p w14:paraId="7A5649A4"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180,000,000.00</w:t>
            </w:r>
          </w:p>
        </w:tc>
        <w:tc>
          <w:tcPr>
            <w:tcW w:w="1840" w:type="dxa"/>
            <w:shd w:val="clear" w:color="000000" w:fill="FFFFFF"/>
            <w:noWrap/>
            <w:vAlign w:val="bottom"/>
            <w:hideMark/>
          </w:tcPr>
          <w:p w14:paraId="5B540C7E"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4270179D"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180,000,000.00</w:t>
            </w:r>
          </w:p>
        </w:tc>
      </w:tr>
      <w:tr w:rsidR="002E323B" w:rsidRPr="002E323B" w14:paraId="1C85E6BB" w14:textId="77777777" w:rsidTr="00E47FB2">
        <w:trPr>
          <w:trHeight w:val="270"/>
          <w:jc w:val="center"/>
        </w:trPr>
        <w:tc>
          <w:tcPr>
            <w:tcW w:w="5675" w:type="dxa"/>
            <w:shd w:val="clear" w:color="auto" w:fill="auto"/>
            <w:noWrap/>
            <w:vAlign w:val="bottom"/>
            <w:hideMark/>
          </w:tcPr>
          <w:p w14:paraId="70690024" w14:textId="77777777" w:rsidR="002E323B" w:rsidRPr="002E323B" w:rsidRDefault="002E323B" w:rsidP="002E323B">
            <w:pPr>
              <w:spacing w:after="0"/>
              <w:rPr>
                <w:rFonts w:ascii="Times New Roman" w:hAnsi="Times New Roman"/>
                <w:b/>
                <w:bCs/>
                <w:i/>
                <w:iCs/>
                <w:sz w:val="18"/>
                <w:szCs w:val="18"/>
                <w:lang w:eastAsia="es-DO"/>
              </w:rPr>
            </w:pPr>
            <w:r w:rsidRPr="002E323B">
              <w:rPr>
                <w:rFonts w:ascii="Times New Roman" w:hAnsi="Times New Roman"/>
                <w:b/>
                <w:bCs/>
                <w:i/>
                <w:iCs/>
                <w:sz w:val="18"/>
                <w:szCs w:val="18"/>
                <w:lang w:eastAsia="es-DO"/>
              </w:rPr>
              <w:t xml:space="preserve">      F-0800 RECURSOS EXTERNOS  </w:t>
            </w:r>
          </w:p>
        </w:tc>
        <w:tc>
          <w:tcPr>
            <w:tcW w:w="1490" w:type="dxa"/>
            <w:shd w:val="clear" w:color="auto" w:fill="auto"/>
            <w:noWrap/>
            <w:vAlign w:val="bottom"/>
            <w:hideMark/>
          </w:tcPr>
          <w:p w14:paraId="073759AC"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79,000,000.00</w:t>
            </w:r>
          </w:p>
        </w:tc>
        <w:tc>
          <w:tcPr>
            <w:tcW w:w="1840" w:type="dxa"/>
            <w:shd w:val="clear" w:color="000000" w:fill="FFFFFF"/>
            <w:noWrap/>
            <w:vAlign w:val="bottom"/>
            <w:hideMark/>
          </w:tcPr>
          <w:p w14:paraId="7177C0DF"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1A2F1D5B"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79,000,000.00</w:t>
            </w:r>
          </w:p>
        </w:tc>
      </w:tr>
      <w:tr w:rsidR="002E323B" w:rsidRPr="002E323B" w14:paraId="73EB99DA" w14:textId="77777777" w:rsidTr="00E47FB2">
        <w:trPr>
          <w:trHeight w:val="540"/>
          <w:jc w:val="center"/>
        </w:trPr>
        <w:tc>
          <w:tcPr>
            <w:tcW w:w="5675" w:type="dxa"/>
            <w:shd w:val="clear" w:color="auto" w:fill="auto"/>
            <w:vAlign w:val="bottom"/>
            <w:hideMark/>
          </w:tcPr>
          <w:p w14:paraId="57F15006" w14:textId="77777777" w:rsidR="002E323B" w:rsidRPr="002E323B" w:rsidRDefault="002E323B" w:rsidP="002E323B">
            <w:pPr>
              <w:spacing w:after="0"/>
              <w:rPr>
                <w:rFonts w:ascii="Times New Roman" w:hAnsi="Times New Roman"/>
                <w:b/>
                <w:bCs/>
                <w:i/>
                <w:iCs/>
                <w:color w:val="1F4E78"/>
                <w:sz w:val="18"/>
                <w:szCs w:val="18"/>
                <w:lang w:eastAsia="es-DO"/>
              </w:rPr>
            </w:pPr>
            <w:r w:rsidRPr="002E323B">
              <w:rPr>
                <w:rFonts w:ascii="Times New Roman" w:hAnsi="Times New Roman"/>
                <w:b/>
                <w:bCs/>
                <w:i/>
                <w:iCs/>
                <w:color w:val="1F4E78"/>
                <w:sz w:val="18"/>
                <w:szCs w:val="18"/>
                <w:lang w:eastAsia="es-DO"/>
              </w:rPr>
              <w:t>PROY.04-RECUPERACION DE LOS REC.NATURALES EN LA SUBCUENCAS JAMAO Y VERAGUA</w:t>
            </w:r>
          </w:p>
        </w:tc>
        <w:tc>
          <w:tcPr>
            <w:tcW w:w="1490" w:type="dxa"/>
            <w:shd w:val="clear" w:color="auto" w:fill="auto"/>
            <w:noWrap/>
            <w:vAlign w:val="bottom"/>
            <w:hideMark/>
          </w:tcPr>
          <w:p w14:paraId="5F97E9F1" w14:textId="00A2E799" w:rsidR="002E323B" w:rsidRPr="002E323B" w:rsidRDefault="002E323B" w:rsidP="00FB47EB">
            <w:pPr>
              <w:spacing w:after="0"/>
              <w:jc w:val="right"/>
              <w:rPr>
                <w:rFonts w:ascii="Times New Roman" w:hAnsi="Times New Roman"/>
                <w:b/>
                <w:bCs/>
                <w:i/>
                <w:iCs/>
                <w:color w:val="1F4E78"/>
                <w:sz w:val="18"/>
                <w:szCs w:val="18"/>
                <w:lang w:eastAsia="es-DO"/>
              </w:rPr>
            </w:pPr>
            <w:r w:rsidRPr="002E323B">
              <w:rPr>
                <w:rFonts w:ascii="Times New Roman" w:hAnsi="Times New Roman"/>
                <w:b/>
                <w:bCs/>
                <w:i/>
                <w:iCs/>
                <w:color w:val="1F4E78"/>
                <w:sz w:val="18"/>
                <w:szCs w:val="18"/>
                <w:lang w:eastAsia="es-DO"/>
              </w:rPr>
              <w:t>18,000,000.00</w:t>
            </w:r>
          </w:p>
        </w:tc>
        <w:tc>
          <w:tcPr>
            <w:tcW w:w="1840" w:type="dxa"/>
            <w:shd w:val="clear" w:color="auto" w:fill="auto"/>
            <w:noWrap/>
            <w:vAlign w:val="bottom"/>
            <w:hideMark/>
          </w:tcPr>
          <w:p w14:paraId="61F6B4BD" w14:textId="5B50D00A" w:rsidR="002E323B" w:rsidRPr="002E323B" w:rsidRDefault="002E323B" w:rsidP="00FB47EB">
            <w:pPr>
              <w:spacing w:after="0"/>
              <w:jc w:val="right"/>
              <w:rPr>
                <w:rFonts w:ascii="Times New Roman" w:hAnsi="Times New Roman"/>
                <w:b/>
                <w:bCs/>
                <w:i/>
                <w:iCs/>
                <w:color w:val="44546A"/>
                <w:sz w:val="18"/>
                <w:szCs w:val="18"/>
                <w:lang w:eastAsia="es-DO"/>
              </w:rPr>
            </w:pPr>
            <w:r w:rsidRPr="002E323B">
              <w:rPr>
                <w:rFonts w:ascii="Times New Roman" w:hAnsi="Times New Roman"/>
                <w:b/>
                <w:bCs/>
                <w:i/>
                <w:iCs/>
                <w:color w:val="44546A"/>
                <w:sz w:val="18"/>
                <w:szCs w:val="18"/>
                <w:lang w:eastAsia="es-DO"/>
              </w:rPr>
              <w:t>900,802.18</w:t>
            </w:r>
          </w:p>
        </w:tc>
        <w:tc>
          <w:tcPr>
            <w:tcW w:w="1352" w:type="dxa"/>
            <w:shd w:val="clear" w:color="auto" w:fill="auto"/>
            <w:noWrap/>
            <w:vAlign w:val="bottom"/>
            <w:hideMark/>
          </w:tcPr>
          <w:p w14:paraId="5080AFF8" w14:textId="1E3C2754" w:rsidR="002E323B" w:rsidRPr="002E323B" w:rsidRDefault="002E323B" w:rsidP="00FB47EB">
            <w:pPr>
              <w:spacing w:after="0"/>
              <w:jc w:val="right"/>
              <w:rPr>
                <w:rFonts w:ascii="Times New Roman" w:hAnsi="Times New Roman"/>
                <w:b/>
                <w:bCs/>
                <w:i/>
                <w:iCs/>
                <w:color w:val="44546A"/>
                <w:sz w:val="18"/>
                <w:szCs w:val="18"/>
                <w:lang w:eastAsia="es-DO"/>
              </w:rPr>
            </w:pPr>
            <w:r w:rsidRPr="002E323B">
              <w:rPr>
                <w:rFonts w:ascii="Times New Roman" w:hAnsi="Times New Roman"/>
                <w:b/>
                <w:bCs/>
                <w:i/>
                <w:iCs/>
                <w:color w:val="44546A"/>
                <w:sz w:val="18"/>
                <w:szCs w:val="18"/>
                <w:lang w:eastAsia="es-DO"/>
              </w:rPr>
              <w:t>17,099,197.82</w:t>
            </w:r>
          </w:p>
        </w:tc>
      </w:tr>
      <w:tr w:rsidR="002E323B" w:rsidRPr="002E323B" w14:paraId="01A0B5D3" w14:textId="77777777" w:rsidTr="00E47FB2">
        <w:trPr>
          <w:trHeight w:val="270"/>
          <w:jc w:val="center"/>
        </w:trPr>
        <w:tc>
          <w:tcPr>
            <w:tcW w:w="5675" w:type="dxa"/>
            <w:shd w:val="clear" w:color="auto" w:fill="auto"/>
            <w:noWrap/>
            <w:vAlign w:val="bottom"/>
            <w:hideMark/>
          </w:tcPr>
          <w:p w14:paraId="307A3B74" w14:textId="77777777" w:rsidR="002E323B" w:rsidRPr="002E323B" w:rsidRDefault="002E323B" w:rsidP="002E323B">
            <w:pPr>
              <w:spacing w:after="0"/>
              <w:rPr>
                <w:rFonts w:ascii="Times New Roman" w:hAnsi="Times New Roman"/>
                <w:b/>
                <w:bCs/>
                <w:i/>
                <w:iCs/>
                <w:sz w:val="18"/>
                <w:szCs w:val="18"/>
                <w:lang w:eastAsia="es-DO"/>
              </w:rPr>
            </w:pPr>
            <w:r w:rsidRPr="002E323B">
              <w:rPr>
                <w:rFonts w:ascii="Times New Roman" w:hAnsi="Times New Roman"/>
                <w:b/>
                <w:bCs/>
                <w:i/>
                <w:iCs/>
                <w:sz w:val="18"/>
                <w:szCs w:val="18"/>
                <w:lang w:eastAsia="es-DO"/>
              </w:rPr>
              <w:t xml:space="preserve">        RECURSOS NACIONALES</w:t>
            </w:r>
          </w:p>
        </w:tc>
        <w:tc>
          <w:tcPr>
            <w:tcW w:w="1490" w:type="dxa"/>
            <w:shd w:val="clear" w:color="auto" w:fill="auto"/>
            <w:noWrap/>
            <w:vAlign w:val="bottom"/>
            <w:hideMark/>
          </w:tcPr>
          <w:p w14:paraId="5C47A356"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18,000,000.00</w:t>
            </w:r>
          </w:p>
        </w:tc>
        <w:tc>
          <w:tcPr>
            <w:tcW w:w="1840" w:type="dxa"/>
            <w:shd w:val="clear" w:color="000000" w:fill="FFFFFF"/>
            <w:noWrap/>
            <w:vAlign w:val="bottom"/>
            <w:hideMark/>
          </w:tcPr>
          <w:p w14:paraId="4351FE0C"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900,802.18</w:t>
            </w:r>
          </w:p>
        </w:tc>
        <w:tc>
          <w:tcPr>
            <w:tcW w:w="1352" w:type="dxa"/>
            <w:shd w:val="clear" w:color="auto" w:fill="auto"/>
            <w:noWrap/>
            <w:vAlign w:val="bottom"/>
            <w:hideMark/>
          </w:tcPr>
          <w:p w14:paraId="3B8BEA1A"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17,099,197.82</w:t>
            </w:r>
          </w:p>
        </w:tc>
      </w:tr>
      <w:tr w:rsidR="002E323B" w:rsidRPr="002E323B" w14:paraId="2FD90315" w14:textId="77777777" w:rsidTr="00E47FB2">
        <w:trPr>
          <w:trHeight w:val="270"/>
          <w:jc w:val="center"/>
        </w:trPr>
        <w:tc>
          <w:tcPr>
            <w:tcW w:w="5675" w:type="dxa"/>
            <w:shd w:val="clear" w:color="auto" w:fill="auto"/>
            <w:noWrap/>
            <w:vAlign w:val="bottom"/>
            <w:hideMark/>
          </w:tcPr>
          <w:p w14:paraId="0D6C12FB" w14:textId="77777777" w:rsidR="002E323B" w:rsidRPr="002E323B" w:rsidRDefault="002E323B" w:rsidP="002E323B">
            <w:pPr>
              <w:spacing w:after="0"/>
              <w:rPr>
                <w:rFonts w:ascii="Times New Roman" w:hAnsi="Times New Roman"/>
                <w:b/>
                <w:bCs/>
                <w:i/>
                <w:iCs/>
                <w:sz w:val="18"/>
                <w:szCs w:val="18"/>
                <w:lang w:eastAsia="es-DO"/>
              </w:rPr>
            </w:pPr>
            <w:r w:rsidRPr="002E323B">
              <w:rPr>
                <w:rFonts w:ascii="Times New Roman" w:hAnsi="Times New Roman"/>
                <w:b/>
                <w:bCs/>
                <w:i/>
                <w:iCs/>
                <w:sz w:val="18"/>
                <w:szCs w:val="18"/>
                <w:lang w:eastAsia="es-DO"/>
              </w:rPr>
              <w:t xml:space="preserve">        RECURSOS EXTERNOS  </w:t>
            </w:r>
          </w:p>
        </w:tc>
        <w:tc>
          <w:tcPr>
            <w:tcW w:w="1490" w:type="dxa"/>
            <w:shd w:val="clear" w:color="auto" w:fill="auto"/>
            <w:noWrap/>
            <w:vAlign w:val="bottom"/>
            <w:hideMark/>
          </w:tcPr>
          <w:p w14:paraId="0620EAEC"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37E12681"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538EFEFD"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r>
      <w:tr w:rsidR="002E323B" w:rsidRPr="002E323B" w14:paraId="4165B915" w14:textId="77777777" w:rsidTr="00E47FB2">
        <w:trPr>
          <w:trHeight w:val="270"/>
          <w:jc w:val="center"/>
        </w:trPr>
        <w:tc>
          <w:tcPr>
            <w:tcW w:w="5675" w:type="dxa"/>
            <w:shd w:val="clear" w:color="auto" w:fill="auto"/>
            <w:vAlign w:val="bottom"/>
            <w:hideMark/>
          </w:tcPr>
          <w:p w14:paraId="335807EF" w14:textId="77777777" w:rsidR="002E323B" w:rsidRPr="002E323B" w:rsidRDefault="002E323B" w:rsidP="002E323B">
            <w:pPr>
              <w:spacing w:after="0"/>
              <w:rPr>
                <w:rFonts w:ascii="Times New Roman" w:hAnsi="Times New Roman"/>
                <w:b/>
                <w:bCs/>
                <w:i/>
                <w:iCs/>
                <w:sz w:val="18"/>
                <w:szCs w:val="18"/>
                <w:lang w:eastAsia="es-DO"/>
              </w:rPr>
            </w:pPr>
            <w:r w:rsidRPr="002E323B">
              <w:rPr>
                <w:rFonts w:ascii="Times New Roman" w:hAnsi="Times New Roman"/>
                <w:b/>
                <w:bCs/>
                <w:i/>
                <w:iCs/>
                <w:sz w:val="18"/>
                <w:szCs w:val="18"/>
                <w:lang w:eastAsia="es-DO"/>
              </w:rPr>
              <w:t>F-0100-RECONST. DE 44 KM DE CAMINOS PROD. EN LA PROV. PUERTO PLATA</w:t>
            </w:r>
          </w:p>
        </w:tc>
        <w:tc>
          <w:tcPr>
            <w:tcW w:w="1490" w:type="dxa"/>
            <w:shd w:val="clear" w:color="auto" w:fill="auto"/>
            <w:noWrap/>
            <w:vAlign w:val="bottom"/>
            <w:hideMark/>
          </w:tcPr>
          <w:p w14:paraId="5335245B"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10,000,000.00</w:t>
            </w:r>
          </w:p>
        </w:tc>
        <w:tc>
          <w:tcPr>
            <w:tcW w:w="1840" w:type="dxa"/>
            <w:shd w:val="clear" w:color="000000" w:fill="FFFFFF"/>
            <w:noWrap/>
            <w:vAlign w:val="bottom"/>
            <w:hideMark/>
          </w:tcPr>
          <w:p w14:paraId="38C08A4E"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4D86A49B"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10,000,000.00</w:t>
            </w:r>
          </w:p>
        </w:tc>
      </w:tr>
      <w:tr w:rsidR="002E323B" w:rsidRPr="002E323B" w14:paraId="585602EE" w14:textId="77777777" w:rsidTr="00E47FB2">
        <w:trPr>
          <w:trHeight w:val="270"/>
          <w:jc w:val="center"/>
        </w:trPr>
        <w:tc>
          <w:tcPr>
            <w:tcW w:w="5675" w:type="dxa"/>
            <w:shd w:val="clear" w:color="auto" w:fill="auto"/>
            <w:noWrap/>
            <w:vAlign w:val="bottom"/>
            <w:hideMark/>
          </w:tcPr>
          <w:p w14:paraId="767A2E3F" w14:textId="77777777" w:rsidR="002E323B" w:rsidRPr="002E323B" w:rsidRDefault="002E323B" w:rsidP="002E323B">
            <w:pPr>
              <w:spacing w:after="0"/>
              <w:rPr>
                <w:rFonts w:ascii="Times New Roman" w:hAnsi="Times New Roman"/>
                <w:b/>
                <w:bCs/>
                <w:i/>
                <w:iCs/>
                <w:sz w:val="18"/>
                <w:szCs w:val="18"/>
                <w:lang w:eastAsia="es-DO"/>
              </w:rPr>
            </w:pPr>
            <w:r w:rsidRPr="002E323B">
              <w:rPr>
                <w:rFonts w:ascii="Times New Roman" w:hAnsi="Times New Roman"/>
                <w:b/>
                <w:bCs/>
                <w:i/>
                <w:iCs/>
                <w:sz w:val="18"/>
                <w:szCs w:val="18"/>
                <w:lang w:eastAsia="es-DO"/>
              </w:rPr>
              <w:t> </w:t>
            </w:r>
          </w:p>
        </w:tc>
        <w:tc>
          <w:tcPr>
            <w:tcW w:w="1490" w:type="dxa"/>
            <w:shd w:val="clear" w:color="auto" w:fill="auto"/>
            <w:noWrap/>
            <w:vAlign w:val="bottom"/>
            <w:hideMark/>
          </w:tcPr>
          <w:p w14:paraId="484D1C00"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840" w:type="dxa"/>
            <w:shd w:val="clear" w:color="000000" w:fill="FFFFFF"/>
            <w:noWrap/>
            <w:vAlign w:val="bottom"/>
            <w:hideMark/>
          </w:tcPr>
          <w:p w14:paraId="5138023E"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6CBAE0FC" w14:textId="04BD87E1" w:rsidR="002E323B" w:rsidRPr="002E323B" w:rsidRDefault="002E323B" w:rsidP="00FB47EB">
            <w:pPr>
              <w:spacing w:after="0"/>
              <w:jc w:val="right"/>
              <w:rPr>
                <w:rFonts w:ascii="Times New Roman" w:hAnsi="Times New Roman"/>
                <w:i/>
                <w:iCs/>
                <w:sz w:val="18"/>
                <w:szCs w:val="18"/>
                <w:lang w:eastAsia="es-DO"/>
              </w:rPr>
            </w:pPr>
          </w:p>
        </w:tc>
      </w:tr>
      <w:tr w:rsidR="002E323B" w:rsidRPr="002E323B" w14:paraId="1B866C1B" w14:textId="77777777" w:rsidTr="00E47FB2">
        <w:trPr>
          <w:trHeight w:val="270"/>
          <w:jc w:val="center"/>
        </w:trPr>
        <w:tc>
          <w:tcPr>
            <w:tcW w:w="5675" w:type="dxa"/>
            <w:shd w:val="clear" w:color="auto" w:fill="auto"/>
            <w:vAlign w:val="bottom"/>
            <w:hideMark/>
          </w:tcPr>
          <w:p w14:paraId="76BB4723" w14:textId="77777777" w:rsidR="002E323B" w:rsidRPr="002E323B" w:rsidRDefault="002E323B" w:rsidP="002E323B">
            <w:pPr>
              <w:spacing w:after="0"/>
              <w:rPr>
                <w:rFonts w:ascii="Times New Roman" w:hAnsi="Times New Roman"/>
                <w:b/>
                <w:bCs/>
                <w:i/>
                <w:iCs/>
                <w:color w:val="1F4E78"/>
                <w:sz w:val="18"/>
                <w:szCs w:val="18"/>
                <w:lang w:eastAsia="es-DO"/>
              </w:rPr>
            </w:pPr>
            <w:r w:rsidRPr="002E323B">
              <w:rPr>
                <w:rFonts w:ascii="Times New Roman" w:hAnsi="Times New Roman"/>
                <w:b/>
                <w:bCs/>
                <w:i/>
                <w:iCs/>
                <w:color w:val="1F4E78"/>
                <w:sz w:val="18"/>
                <w:szCs w:val="18"/>
                <w:lang w:eastAsia="es-DO"/>
              </w:rPr>
              <w:t>E) FUENTE RECURSOS EXTERNOS</w:t>
            </w:r>
          </w:p>
        </w:tc>
        <w:tc>
          <w:tcPr>
            <w:tcW w:w="1490" w:type="dxa"/>
            <w:shd w:val="clear" w:color="auto" w:fill="auto"/>
            <w:noWrap/>
            <w:vAlign w:val="bottom"/>
            <w:hideMark/>
          </w:tcPr>
          <w:p w14:paraId="09A51263" w14:textId="3AC72AC0" w:rsidR="002E323B" w:rsidRPr="002E323B" w:rsidRDefault="002E323B" w:rsidP="00FB47EB">
            <w:pPr>
              <w:spacing w:after="0"/>
              <w:jc w:val="right"/>
              <w:rPr>
                <w:rFonts w:ascii="Times New Roman" w:hAnsi="Times New Roman"/>
                <w:b/>
                <w:bCs/>
                <w:i/>
                <w:iCs/>
                <w:color w:val="44546A"/>
                <w:sz w:val="18"/>
                <w:szCs w:val="18"/>
                <w:lang w:eastAsia="es-DO"/>
              </w:rPr>
            </w:pPr>
            <w:r w:rsidRPr="002E323B">
              <w:rPr>
                <w:rFonts w:ascii="Times New Roman" w:hAnsi="Times New Roman"/>
                <w:b/>
                <w:bCs/>
                <w:i/>
                <w:iCs/>
                <w:color w:val="44546A"/>
                <w:sz w:val="18"/>
                <w:szCs w:val="18"/>
                <w:lang w:eastAsia="es-DO"/>
              </w:rPr>
              <w:t>133,454,869.00</w:t>
            </w:r>
          </w:p>
        </w:tc>
        <w:tc>
          <w:tcPr>
            <w:tcW w:w="1840" w:type="dxa"/>
            <w:shd w:val="clear" w:color="auto" w:fill="auto"/>
            <w:noWrap/>
            <w:vAlign w:val="bottom"/>
            <w:hideMark/>
          </w:tcPr>
          <w:p w14:paraId="1CBF1F6E" w14:textId="2E29E4ED" w:rsidR="002E323B" w:rsidRPr="002E323B" w:rsidRDefault="002E323B" w:rsidP="00FB47EB">
            <w:pPr>
              <w:spacing w:after="0"/>
              <w:jc w:val="right"/>
              <w:rPr>
                <w:rFonts w:ascii="Times New Roman" w:hAnsi="Times New Roman"/>
                <w:b/>
                <w:bCs/>
                <w:i/>
                <w:iCs/>
                <w:color w:val="44546A"/>
                <w:sz w:val="18"/>
                <w:szCs w:val="18"/>
                <w:lang w:eastAsia="es-DO"/>
              </w:rPr>
            </w:pPr>
            <w:r w:rsidRPr="002E323B">
              <w:rPr>
                <w:rFonts w:ascii="Times New Roman" w:hAnsi="Times New Roman"/>
                <w:b/>
                <w:bCs/>
                <w:i/>
                <w:iCs/>
                <w:color w:val="44546A"/>
                <w:sz w:val="18"/>
                <w:szCs w:val="18"/>
                <w:lang w:eastAsia="es-DO"/>
              </w:rPr>
              <w:t>-</w:t>
            </w:r>
          </w:p>
        </w:tc>
        <w:tc>
          <w:tcPr>
            <w:tcW w:w="1352" w:type="dxa"/>
            <w:shd w:val="clear" w:color="auto" w:fill="auto"/>
            <w:noWrap/>
            <w:vAlign w:val="bottom"/>
            <w:hideMark/>
          </w:tcPr>
          <w:p w14:paraId="6B259307" w14:textId="6D114C2C" w:rsidR="002E323B" w:rsidRPr="002E323B" w:rsidRDefault="002E323B" w:rsidP="00FB47EB">
            <w:pPr>
              <w:spacing w:after="0"/>
              <w:jc w:val="right"/>
              <w:rPr>
                <w:rFonts w:ascii="Times New Roman" w:hAnsi="Times New Roman"/>
                <w:b/>
                <w:bCs/>
                <w:i/>
                <w:iCs/>
                <w:color w:val="44546A"/>
                <w:sz w:val="18"/>
                <w:szCs w:val="18"/>
                <w:lang w:eastAsia="es-DO"/>
              </w:rPr>
            </w:pPr>
            <w:r w:rsidRPr="002E323B">
              <w:rPr>
                <w:rFonts w:ascii="Times New Roman" w:hAnsi="Times New Roman"/>
                <w:b/>
                <w:bCs/>
                <w:i/>
                <w:iCs/>
                <w:color w:val="44546A"/>
                <w:sz w:val="18"/>
                <w:szCs w:val="18"/>
                <w:lang w:eastAsia="es-DO"/>
              </w:rPr>
              <w:t>133,454,869.00</w:t>
            </w:r>
          </w:p>
        </w:tc>
      </w:tr>
      <w:tr w:rsidR="002E323B" w:rsidRPr="002E323B" w14:paraId="6E898FBD" w14:textId="77777777" w:rsidTr="00E47FB2">
        <w:trPr>
          <w:trHeight w:val="255"/>
          <w:jc w:val="center"/>
        </w:trPr>
        <w:tc>
          <w:tcPr>
            <w:tcW w:w="5675" w:type="dxa"/>
            <w:shd w:val="clear" w:color="auto" w:fill="auto"/>
            <w:noWrap/>
            <w:vAlign w:val="bottom"/>
            <w:hideMark/>
          </w:tcPr>
          <w:p w14:paraId="0EEE0554"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0717-INSTITUTO DE INVESTIGACIONES AGROPECUARIAS Y FORESTALES (IDIAF)</w:t>
            </w:r>
          </w:p>
        </w:tc>
        <w:tc>
          <w:tcPr>
            <w:tcW w:w="1490" w:type="dxa"/>
            <w:shd w:val="clear" w:color="auto" w:fill="auto"/>
            <w:noWrap/>
            <w:vAlign w:val="bottom"/>
            <w:hideMark/>
          </w:tcPr>
          <w:p w14:paraId="5C4F1FDC"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45,067,464.00</w:t>
            </w:r>
          </w:p>
        </w:tc>
        <w:tc>
          <w:tcPr>
            <w:tcW w:w="1840" w:type="dxa"/>
            <w:shd w:val="clear" w:color="000000" w:fill="FFFFFF"/>
            <w:noWrap/>
            <w:vAlign w:val="bottom"/>
            <w:hideMark/>
          </w:tcPr>
          <w:p w14:paraId="62862B8A"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50412732"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45,067,464.00</w:t>
            </w:r>
          </w:p>
        </w:tc>
      </w:tr>
      <w:tr w:rsidR="002E323B" w:rsidRPr="002E323B" w14:paraId="0E756707" w14:textId="77777777" w:rsidTr="00E47FB2">
        <w:trPr>
          <w:trHeight w:val="255"/>
          <w:jc w:val="center"/>
        </w:trPr>
        <w:tc>
          <w:tcPr>
            <w:tcW w:w="5675" w:type="dxa"/>
            <w:shd w:val="clear" w:color="auto" w:fill="auto"/>
            <w:noWrap/>
            <w:vAlign w:val="bottom"/>
            <w:hideMark/>
          </w:tcPr>
          <w:p w14:paraId="2E5C390D" w14:textId="77777777" w:rsidR="002E323B" w:rsidRPr="002E323B" w:rsidRDefault="002E323B" w:rsidP="002E323B">
            <w:pPr>
              <w:spacing w:after="0"/>
              <w:rPr>
                <w:rFonts w:ascii="Times New Roman" w:hAnsi="Times New Roman"/>
                <w:i/>
                <w:iCs/>
                <w:sz w:val="18"/>
                <w:szCs w:val="18"/>
                <w:lang w:eastAsia="es-DO"/>
              </w:rPr>
            </w:pPr>
            <w:r w:rsidRPr="002E323B">
              <w:rPr>
                <w:rFonts w:ascii="Times New Roman" w:hAnsi="Times New Roman"/>
                <w:i/>
                <w:iCs/>
                <w:sz w:val="18"/>
                <w:szCs w:val="18"/>
                <w:lang w:eastAsia="es-DO"/>
              </w:rPr>
              <w:t>0900-FONDO DE DONACIONES  EXTERNAS</w:t>
            </w:r>
          </w:p>
        </w:tc>
        <w:tc>
          <w:tcPr>
            <w:tcW w:w="1490" w:type="dxa"/>
            <w:shd w:val="clear" w:color="auto" w:fill="auto"/>
            <w:noWrap/>
            <w:vAlign w:val="bottom"/>
            <w:hideMark/>
          </w:tcPr>
          <w:p w14:paraId="23057713"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88,387,405.00</w:t>
            </w:r>
          </w:p>
        </w:tc>
        <w:tc>
          <w:tcPr>
            <w:tcW w:w="1840" w:type="dxa"/>
            <w:shd w:val="clear" w:color="000000" w:fill="FFFFFF"/>
            <w:noWrap/>
            <w:vAlign w:val="bottom"/>
            <w:hideMark/>
          </w:tcPr>
          <w:p w14:paraId="23B5D518"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0.00</w:t>
            </w:r>
          </w:p>
        </w:tc>
        <w:tc>
          <w:tcPr>
            <w:tcW w:w="1352" w:type="dxa"/>
            <w:shd w:val="clear" w:color="auto" w:fill="auto"/>
            <w:noWrap/>
            <w:vAlign w:val="bottom"/>
            <w:hideMark/>
          </w:tcPr>
          <w:p w14:paraId="11BCAE3F"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88,387,405.00</w:t>
            </w:r>
          </w:p>
        </w:tc>
      </w:tr>
      <w:tr w:rsidR="002E323B" w:rsidRPr="002E323B" w14:paraId="4215144A" w14:textId="77777777" w:rsidTr="00E47FB2">
        <w:trPr>
          <w:trHeight w:val="270"/>
          <w:jc w:val="center"/>
        </w:trPr>
        <w:tc>
          <w:tcPr>
            <w:tcW w:w="5675" w:type="dxa"/>
            <w:shd w:val="clear" w:color="auto" w:fill="auto"/>
            <w:vAlign w:val="bottom"/>
            <w:hideMark/>
          </w:tcPr>
          <w:p w14:paraId="48FE3D9A" w14:textId="77777777" w:rsidR="002E323B" w:rsidRPr="002E323B" w:rsidRDefault="002E323B" w:rsidP="002E323B">
            <w:pPr>
              <w:spacing w:after="0"/>
              <w:rPr>
                <w:rFonts w:ascii="Times New Roman" w:hAnsi="Times New Roman"/>
                <w:b/>
                <w:bCs/>
                <w:i/>
                <w:iCs/>
                <w:color w:val="1F4E78"/>
                <w:sz w:val="18"/>
                <w:szCs w:val="18"/>
                <w:lang w:eastAsia="es-DO"/>
              </w:rPr>
            </w:pPr>
            <w:r w:rsidRPr="002E323B">
              <w:rPr>
                <w:rFonts w:ascii="Times New Roman" w:hAnsi="Times New Roman"/>
                <w:b/>
                <w:bCs/>
                <w:i/>
                <w:iCs/>
                <w:color w:val="1F4E78"/>
                <w:sz w:val="18"/>
                <w:szCs w:val="18"/>
                <w:lang w:eastAsia="es-DO"/>
              </w:rPr>
              <w:t>F)-0100 DEUDAS PUBLICAS Y OTRAS OPERACIONES FINANCIERAS</w:t>
            </w:r>
          </w:p>
        </w:tc>
        <w:tc>
          <w:tcPr>
            <w:tcW w:w="1490" w:type="dxa"/>
            <w:shd w:val="clear" w:color="auto" w:fill="auto"/>
            <w:noWrap/>
            <w:vAlign w:val="bottom"/>
            <w:hideMark/>
          </w:tcPr>
          <w:p w14:paraId="5C8E106A" w14:textId="77777777" w:rsidR="002E323B" w:rsidRPr="002E323B" w:rsidRDefault="002E323B" w:rsidP="00FB47EB">
            <w:pPr>
              <w:spacing w:after="0"/>
              <w:jc w:val="right"/>
              <w:rPr>
                <w:rFonts w:ascii="Times New Roman" w:hAnsi="Times New Roman"/>
                <w:b/>
                <w:bCs/>
                <w:i/>
                <w:iCs/>
                <w:sz w:val="18"/>
                <w:szCs w:val="18"/>
                <w:lang w:eastAsia="es-DO"/>
              </w:rPr>
            </w:pPr>
            <w:r w:rsidRPr="002E323B">
              <w:rPr>
                <w:rFonts w:ascii="Times New Roman" w:hAnsi="Times New Roman"/>
                <w:b/>
                <w:bCs/>
                <w:i/>
                <w:iCs/>
                <w:sz w:val="18"/>
                <w:szCs w:val="18"/>
                <w:lang w:eastAsia="es-DO"/>
              </w:rPr>
              <w:t>234,031,032.00</w:t>
            </w:r>
          </w:p>
        </w:tc>
        <w:tc>
          <w:tcPr>
            <w:tcW w:w="1840" w:type="dxa"/>
            <w:shd w:val="clear" w:color="auto" w:fill="auto"/>
            <w:noWrap/>
            <w:vAlign w:val="bottom"/>
            <w:hideMark/>
          </w:tcPr>
          <w:p w14:paraId="511899AF" w14:textId="77777777" w:rsidR="002E323B" w:rsidRPr="002E323B" w:rsidRDefault="002E323B" w:rsidP="00FB47EB">
            <w:pPr>
              <w:spacing w:after="0"/>
              <w:jc w:val="right"/>
              <w:rPr>
                <w:rFonts w:ascii="Times New Roman" w:hAnsi="Times New Roman"/>
                <w:b/>
                <w:bCs/>
                <w:i/>
                <w:iCs/>
                <w:sz w:val="18"/>
                <w:szCs w:val="18"/>
                <w:lang w:eastAsia="es-DO"/>
              </w:rPr>
            </w:pPr>
            <w:r w:rsidRPr="002E323B">
              <w:rPr>
                <w:rFonts w:ascii="Times New Roman" w:hAnsi="Times New Roman"/>
                <w:b/>
                <w:bCs/>
                <w:i/>
                <w:iCs/>
                <w:sz w:val="18"/>
                <w:szCs w:val="18"/>
                <w:lang w:eastAsia="es-DO"/>
              </w:rPr>
              <w:t>234,031,037.00</w:t>
            </w:r>
          </w:p>
        </w:tc>
        <w:tc>
          <w:tcPr>
            <w:tcW w:w="1352" w:type="dxa"/>
            <w:shd w:val="clear" w:color="auto" w:fill="auto"/>
            <w:noWrap/>
            <w:vAlign w:val="bottom"/>
            <w:hideMark/>
          </w:tcPr>
          <w:p w14:paraId="37CCACFC" w14:textId="4BA4383C" w:rsidR="002E323B" w:rsidRPr="002E323B" w:rsidRDefault="002E323B" w:rsidP="00FB47EB">
            <w:pPr>
              <w:spacing w:after="0"/>
              <w:jc w:val="right"/>
              <w:rPr>
                <w:rFonts w:ascii="Times New Roman" w:hAnsi="Times New Roman"/>
                <w:b/>
                <w:bCs/>
                <w:i/>
                <w:iCs/>
                <w:color w:val="44546A"/>
                <w:sz w:val="18"/>
                <w:szCs w:val="18"/>
                <w:lang w:eastAsia="es-DO"/>
              </w:rPr>
            </w:pPr>
            <w:r w:rsidRPr="002E323B">
              <w:rPr>
                <w:rFonts w:ascii="Times New Roman" w:hAnsi="Times New Roman"/>
                <w:b/>
                <w:bCs/>
                <w:i/>
                <w:iCs/>
                <w:color w:val="44546A"/>
                <w:sz w:val="18"/>
                <w:szCs w:val="18"/>
                <w:lang w:eastAsia="es-DO"/>
              </w:rPr>
              <w:t>(5.00)</w:t>
            </w:r>
          </w:p>
        </w:tc>
      </w:tr>
      <w:tr w:rsidR="002E323B" w:rsidRPr="002E323B" w14:paraId="32A96405" w14:textId="77777777" w:rsidTr="00E47FB2">
        <w:trPr>
          <w:trHeight w:val="270"/>
          <w:jc w:val="center"/>
        </w:trPr>
        <w:tc>
          <w:tcPr>
            <w:tcW w:w="5675" w:type="dxa"/>
            <w:shd w:val="clear" w:color="auto" w:fill="auto"/>
            <w:noWrap/>
            <w:vAlign w:val="bottom"/>
            <w:hideMark/>
          </w:tcPr>
          <w:p w14:paraId="3DB8456E" w14:textId="77777777" w:rsidR="002E323B" w:rsidRPr="002E323B" w:rsidRDefault="002E323B" w:rsidP="002E323B">
            <w:pPr>
              <w:spacing w:after="0"/>
              <w:rPr>
                <w:rFonts w:ascii="Times New Roman" w:hAnsi="Times New Roman"/>
                <w:b/>
                <w:bCs/>
                <w:i/>
                <w:iCs/>
                <w:sz w:val="18"/>
                <w:szCs w:val="18"/>
                <w:lang w:eastAsia="es-DO"/>
              </w:rPr>
            </w:pPr>
            <w:r w:rsidRPr="002E323B">
              <w:rPr>
                <w:rFonts w:ascii="Times New Roman" w:hAnsi="Times New Roman"/>
                <w:b/>
                <w:bCs/>
                <w:i/>
                <w:iCs/>
                <w:sz w:val="18"/>
                <w:szCs w:val="18"/>
                <w:lang w:eastAsia="es-DO"/>
              </w:rPr>
              <w:t>4.2.1.1.01-Disminución de ctas. por pagar de corto plazo deuda administrativa</w:t>
            </w:r>
          </w:p>
        </w:tc>
        <w:tc>
          <w:tcPr>
            <w:tcW w:w="1490" w:type="dxa"/>
            <w:shd w:val="clear" w:color="auto" w:fill="auto"/>
            <w:noWrap/>
            <w:vAlign w:val="bottom"/>
            <w:hideMark/>
          </w:tcPr>
          <w:p w14:paraId="614C720A"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100,000,000.00</w:t>
            </w:r>
          </w:p>
        </w:tc>
        <w:tc>
          <w:tcPr>
            <w:tcW w:w="1840" w:type="dxa"/>
            <w:shd w:val="clear" w:color="000000" w:fill="FFFFFF"/>
            <w:noWrap/>
            <w:vAlign w:val="bottom"/>
            <w:hideMark/>
          </w:tcPr>
          <w:p w14:paraId="4CBFC4BF"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166,675,887.85</w:t>
            </w:r>
          </w:p>
        </w:tc>
        <w:tc>
          <w:tcPr>
            <w:tcW w:w="1352" w:type="dxa"/>
            <w:shd w:val="clear" w:color="auto" w:fill="auto"/>
            <w:noWrap/>
            <w:vAlign w:val="bottom"/>
            <w:hideMark/>
          </w:tcPr>
          <w:p w14:paraId="73EBA86D" w14:textId="77777777" w:rsidR="002E323B" w:rsidRPr="002E323B" w:rsidRDefault="002E323B" w:rsidP="00FB47E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-66,675,887.85</w:t>
            </w:r>
          </w:p>
        </w:tc>
      </w:tr>
      <w:tr w:rsidR="002E323B" w:rsidRPr="002E323B" w14:paraId="79C9B7C2" w14:textId="77777777" w:rsidTr="00E47FB2">
        <w:trPr>
          <w:trHeight w:val="555"/>
          <w:jc w:val="center"/>
        </w:trPr>
        <w:tc>
          <w:tcPr>
            <w:tcW w:w="5675" w:type="dxa"/>
            <w:shd w:val="clear" w:color="auto" w:fill="auto"/>
            <w:vAlign w:val="bottom"/>
            <w:hideMark/>
          </w:tcPr>
          <w:p w14:paraId="276EE890" w14:textId="77777777" w:rsidR="002E323B" w:rsidRPr="002E323B" w:rsidRDefault="002E323B" w:rsidP="002E323B">
            <w:pPr>
              <w:spacing w:after="0"/>
              <w:rPr>
                <w:rFonts w:ascii="Times New Roman" w:hAnsi="Times New Roman"/>
                <w:b/>
                <w:bCs/>
                <w:i/>
                <w:iCs/>
                <w:sz w:val="18"/>
                <w:szCs w:val="18"/>
                <w:lang w:eastAsia="es-DO"/>
              </w:rPr>
            </w:pPr>
            <w:r w:rsidRPr="002E323B">
              <w:rPr>
                <w:rFonts w:ascii="Times New Roman" w:hAnsi="Times New Roman"/>
                <w:b/>
                <w:bCs/>
                <w:i/>
                <w:iCs/>
                <w:sz w:val="18"/>
                <w:szCs w:val="18"/>
                <w:lang w:eastAsia="es-DO"/>
              </w:rPr>
              <w:t>4.2.1.1.05-Disminución de ctas. Por pagar internas de corto plazo sentencias condenatorias (MINISTERIO AGRICULTURA)</w:t>
            </w:r>
          </w:p>
        </w:tc>
        <w:tc>
          <w:tcPr>
            <w:tcW w:w="1490" w:type="dxa"/>
            <w:shd w:val="clear" w:color="auto" w:fill="auto"/>
            <w:noWrap/>
            <w:vAlign w:val="bottom"/>
            <w:hideMark/>
          </w:tcPr>
          <w:p w14:paraId="64DCA07F"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134,031,032.00</w:t>
            </w:r>
          </w:p>
        </w:tc>
        <w:tc>
          <w:tcPr>
            <w:tcW w:w="1840" w:type="dxa"/>
            <w:shd w:val="clear" w:color="000000" w:fill="FFFFFF"/>
            <w:noWrap/>
            <w:vAlign w:val="bottom"/>
            <w:hideMark/>
          </w:tcPr>
          <w:p w14:paraId="7F060D36"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67,355,149.15</w:t>
            </w:r>
          </w:p>
        </w:tc>
        <w:tc>
          <w:tcPr>
            <w:tcW w:w="1352" w:type="dxa"/>
            <w:shd w:val="clear" w:color="auto" w:fill="auto"/>
            <w:noWrap/>
            <w:vAlign w:val="bottom"/>
            <w:hideMark/>
          </w:tcPr>
          <w:p w14:paraId="2635D218" w14:textId="77777777" w:rsidR="002E323B" w:rsidRPr="002E323B" w:rsidRDefault="002E323B" w:rsidP="002E323B">
            <w:pPr>
              <w:spacing w:after="0"/>
              <w:jc w:val="right"/>
              <w:rPr>
                <w:rFonts w:ascii="Times New Roman" w:hAnsi="Times New Roman"/>
                <w:i/>
                <w:iCs/>
                <w:sz w:val="18"/>
                <w:szCs w:val="18"/>
                <w:lang w:eastAsia="es-DO"/>
              </w:rPr>
            </w:pPr>
            <w:r w:rsidRPr="002E323B">
              <w:rPr>
                <w:rFonts w:ascii="Times New Roman" w:hAnsi="Times New Roman"/>
                <w:i/>
                <w:iCs/>
                <w:sz w:val="18"/>
                <w:szCs w:val="18"/>
                <w:lang w:eastAsia="es-DO"/>
              </w:rPr>
              <w:t>66,675,882.85</w:t>
            </w:r>
          </w:p>
        </w:tc>
      </w:tr>
    </w:tbl>
    <w:p w14:paraId="6B1CA58C" w14:textId="77777777" w:rsidR="00DB6A17" w:rsidRPr="0098414F" w:rsidRDefault="00DB6A17" w:rsidP="009C4E7F">
      <w:pPr>
        <w:spacing w:after="0"/>
        <w:ind w:firstLine="720"/>
        <w:rPr>
          <w:rFonts w:ascii="Times New Roman" w:hAnsi="Times New Roman"/>
          <w:sz w:val="22"/>
        </w:rPr>
      </w:pPr>
    </w:p>
    <w:p w14:paraId="4507CEEA" w14:textId="77777777" w:rsidR="00185D2A" w:rsidRPr="0098414F" w:rsidRDefault="00185D2A" w:rsidP="009C4E7F">
      <w:pPr>
        <w:spacing w:after="0" w:line="480" w:lineRule="auto"/>
        <w:ind w:left="90" w:right="144" w:firstLine="720"/>
        <w:contextualSpacing/>
        <w:jc w:val="both"/>
        <w:rPr>
          <w:rFonts w:ascii="Times New Roman" w:hAnsi="Times New Roman"/>
          <w:lang w:val="es-ES_tradnl"/>
        </w:rPr>
      </w:pPr>
    </w:p>
    <w:p w14:paraId="5799C5F1" w14:textId="77777777" w:rsidR="00AC313A" w:rsidRPr="0098414F" w:rsidRDefault="00AC313A" w:rsidP="009C4E7F">
      <w:pPr>
        <w:spacing w:after="0" w:line="480" w:lineRule="auto"/>
        <w:ind w:right="144" w:firstLine="720"/>
        <w:contextualSpacing/>
        <w:jc w:val="both"/>
        <w:rPr>
          <w:rFonts w:ascii="Times New Roman" w:hAnsi="Times New Roman"/>
          <w:lang w:val="es-ES_tradnl"/>
        </w:rPr>
        <w:sectPr w:rsidR="00AC313A" w:rsidRPr="0098414F" w:rsidSect="00A02FEF">
          <w:headerReference w:type="default" r:id="rId104"/>
          <w:pgSz w:w="12240" w:h="15840"/>
          <w:pgMar w:top="1440" w:right="426" w:bottom="1440" w:left="284" w:header="426" w:footer="720" w:gutter="0"/>
          <w:cols w:space="720"/>
          <w:docGrid w:linePitch="360"/>
        </w:sectPr>
      </w:pPr>
    </w:p>
    <w:p w14:paraId="414B8DB6" w14:textId="77777777" w:rsidR="00AB0F28" w:rsidRPr="0098414F" w:rsidRDefault="00AB0F28" w:rsidP="00AB0F28">
      <w:pPr>
        <w:spacing w:after="0" w:line="480" w:lineRule="auto"/>
        <w:jc w:val="center"/>
        <w:rPr>
          <w:rFonts w:ascii="Times New Roman" w:hAnsi="Times New Roman"/>
          <w:b/>
          <w:sz w:val="28"/>
        </w:rPr>
      </w:pPr>
    </w:p>
    <w:p w14:paraId="0A884CD2" w14:textId="77777777" w:rsidR="00AB0F28" w:rsidRPr="0098414F" w:rsidRDefault="00AB0F28" w:rsidP="00AB0F28">
      <w:pPr>
        <w:spacing w:after="0" w:line="480" w:lineRule="auto"/>
        <w:jc w:val="center"/>
        <w:rPr>
          <w:rFonts w:ascii="Times New Roman" w:hAnsi="Times New Roman"/>
          <w:b/>
          <w:sz w:val="28"/>
        </w:rPr>
      </w:pPr>
    </w:p>
    <w:p w14:paraId="29F7D5A1" w14:textId="77777777" w:rsidR="00AB0F28" w:rsidRPr="0098414F" w:rsidRDefault="00AB0F28" w:rsidP="00AB0F28">
      <w:pPr>
        <w:spacing w:after="0" w:line="480" w:lineRule="auto"/>
        <w:jc w:val="center"/>
        <w:rPr>
          <w:rFonts w:ascii="Times New Roman" w:hAnsi="Times New Roman"/>
          <w:b/>
          <w:sz w:val="28"/>
        </w:rPr>
      </w:pPr>
    </w:p>
    <w:p w14:paraId="23CB43F4" w14:textId="77777777" w:rsidR="00AB0F28" w:rsidRPr="0098414F" w:rsidRDefault="00AB0F28" w:rsidP="00AB0F28">
      <w:pPr>
        <w:spacing w:after="0" w:line="480" w:lineRule="auto"/>
        <w:jc w:val="center"/>
        <w:rPr>
          <w:rFonts w:ascii="Times New Roman" w:hAnsi="Times New Roman"/>
          <w:b/>
          <w:sz w:val="28"/>
        </w:rPr>
      </w:pPr>
    </w:p>
    <w:p w14:paraId="47FA9F89" w14:textId="77777777" w:rsidR="00AB0F28" w:rsidRPr="0098414F" w:rsidRDefault="00AB0F28" w:rsidP="00AB0F28">
      <w:pPr>
        <w:spacing w:after="0" w:line="480" w:lineRule="auto"/>
        <w:jc w:val="center"/>
        <w:rPr>
          <w:rFonts w:ascii="Times New Roman" w:hAnsi="Times New Roman"/>
          <w:b/>
          <w:sz w:val="28"/>
        </w:rPr>
      </w:pPr>
    </w:p>
    <w:p w14:paraId="74C737F0" w14:textId="77777777" w:rsidR="00730C89" w:rsidRPr="0098414F" w:rsidRDefault="00730C89" w:rsidP="00730C89">
      <w:pPr>
        <w:spacing w:after="0" w:line="480" w:lineRule="auto"/>
        <w:jc w:val="center"/>
        <w:rPr>
          <w:rFonts w:ascii="Times New Roman" w:hAnsi="Times New Roman"/>
          <w:b/>
          <w:sz w:val="28"/>
        </w:rPr>
      </w:pPr>
      <w:r w:rsidRPr="0098414F">
        <w:rPr>
          <w:rFonts w:ascii="Times New Roman" w:hAnsi="Times New Roman"/>
          <w:b/>
          <w:sz w:val="28"/>
        </w:rPr>
        <w:t>Anexo B:</w:t>
      </w:r>
    </w:p>
    <w:p w14:paraId="19B9E4FB" w14:textId="4F23694A" w:rsidR="00730C89" w:rsidRPr="0098414F" w:rsidRDefault="00AB0F28" w:rsidP="00730C89">
      <w:pPr>
        <w:spacing w:after="0" w:line="480" w:lineRule="auto"/>
        <w:jc w:val="center"/>
        <w:rPr>
          <w:rFonts w:ascii="Times New Roman" w:hAnsi="Times New Roman"/>
          <w:b/>
          <w:sz w:val="28"/>
        </w:rPr>
      </w:pPr>
      <w:r w:rsidRPr="0098414F">
        <w:rPr>
          <w:rFonts w:ascii="Times New Roman" w:hAnsi="Times New Roman"/>
          <w:b/>
          <w:sz w:val="28"/>
        </w:rPr>
        <w:t xml:space="preserve">Consolidado </w:t>
      </w:r>
      <w:r w:rsidR="00527061" w:rsidRPr="0098414F">
        <w:rPr>
          <w:rFonts w:ascii="Times New Roman" w:hAnsi="Times New Roman"/>
          <w:b/>
          <w:sz w:val="28"/>
        </w:rPr>
        <w:t xml:space="preserve">nacional de superficie sembrada por </w:t>
      </w:r>
      <w:r w:rsidR="0084573A">
        <w:rPr>
          <w:rFonts w:ascii="Times New Roman" w:hAnsi="Times New Roman"/>
          <w:b/>
          <w:sz w:val="28"/>
        </w:rPr>
        <w:t>rubros</w:t>
      </w:r>
      <w:r w:rsidRPr="0098414F">
        <w:rPr>
          <w:rFonts w:ascii="Times New Roman" w:hAnsi="Times New Roman"/>
          <w:b/>
          <w:sz w:val="28"/>
        </w:rPr>
        <w:t xml:space="preserve">, durante el </w:t>
      </w:r>
      <w:r w:rsidR="00BA36D3" w:rsidRPr="0098414F">
        <w:rPr>
          <w:rFonts w:ascii="Times New Roman" w:hAnsi="Times New Roman"/>
          <w:b/>
          <w:sz w:val="28"/>
        </w:rPr>
        <w:t>período</w:t>
      </w:r>
      <w:r w:rsidRPr="0098414F">
        <w:rPr>
          <w:rFonts w:ascii="Times New Roman" w:hAnsi="Times New Roman"/>
          <w:b/>
          <w:sz w:val="28"/>
        </w:rPr>
        <w:t xml:space="preserve"> 201</w:t>
      </w:r>
      <w:r w:rsidR="00AB0D56">
        <w:rPr>
          <w:rFonts w:ascii="Times New Roman" w:hAnsi="Times New Roman"/>
          <w:b/>
          <w:sz w:val="28"/>
        </w:rPr>
        <w:t>9</w:t>
      </w:r>
    </w:p>
    <w:p w14:paraId="0B922F27" w14:textId="77777777" w:rsidR="00730C89" w:rsidRPr="0098414F" w:rsidRDefault="0075519C" w:rsidP="00730C89">
      <w:pPr>
        <w:spacing w:after="0" w:line="480" w:lineRule="auto"/>
        <w:jc w:val="center"/>
        <w:rPr>
          <w:rFonts w:ascii="Times New Roman" w:hAnsi="Times New Roman"/>
          <w:b/>
          <w:sz w:val="28"/>
        </w:rPr>
      </w:pPr>
      <w:r>
        <w:rPr>
          <w:rFonts w:ascii="Times New Roman" w:hAnsi="Times New Roman"/>
          <w:b/>
          <w:sz w:val="28"/>
        </w:rPr>
        <w:t>(valores expresados en tareas)</w:t>
      </w:r>
    </w:p>
    <w:p w14:paraId="0227A6F7" w14:textId="77777777" w:rsidR="00730C89" w:rsidRPr="0098414F" w:rsidRDefault="00730C89" w:rsidP="00730C89">
      <w:pPr>
        <w:spacing w:after="0" w:line="480" w:lineRule="auto"/>
        <w:jc w:val="center"/>
        <w:rPr>
          <w:rFonts w:ascii="Times New Roman" w:hAnsi="Times New Roman"/>
          <w:b/>
          <w:sz w:val="28"/>
        </w:rPr>
      </w:pPr>
    </w:p>
    <w:p w14:paraId="463D0342" w14:textId="77777777" w:rsidR="00730C89" w:rsidRPr="0098414F" w:rsidRDefault="00730C89" w:rsidP="00730C89">
      <w:pPr>
        <w:spacing w:after="0" w:line="480" w:lineRule="auto"/>
        <w:jc w:val="center"/>
        <w:rPr>
          <w:rFonts w:ascii="Times New Roman" w:hAnsi="Times New Roman"/>
          <w:b/>
          <w:sz w:val="28"/>
        </w:rPr>
      </w:pPr>
    </w:p>
    <w:p w14:paraId="2DB2D74B" w14:textId="77777777" w:rsidR="00730C89" w:rsidRPr="0098414F" w:rsidRDefault="004B5C88">
      <w:pPr>
        <w:rPr>
          <w:rFonts w:ascii="Times New Roman" w:hAnsi="Times New Roman"/>
        </w:rPr>
        <w:sectPr w:rsidR="00730C89" w:rsidRPr="0098414F" w:rsidSect="00AB0F28">
          <w:headerReference w:type="default" r:id="rId105"/>
          <w:headerReference w:type="first" r:id="rId106"/>
          <w:pgSz w:w="15840" w:h="12240" w:orient="landscape"/>
          <w:pgMar w:top="445" w:right="1440" w:bottom="567" w:left="1440" w:header="426" w:footer="720" w:gutter="0"/>
          <w:cols w:space="720"/>
          <w:titlePg/>
          <w:docGrid w:linePitch="360"/>
        </w:sectPr>
      </w:pPr>
      <w:r w:rsidRPr="0098414F">
        <w:rPr>
          <w:rFonts w:ascii="Times New Roman" w:hAnsi="Times New Roman"/>
          <w:noProof/>
          <w:lang w:eastAsia="es-DO"/>
        </w:rPr>
        <mc:AlternateContent>
          <mc:Choice Requires="wps">
            <w:drawing>
              <wp:anchor distT="0" distB="0" distL="114300" distR="114300" simplePos="0" relativeHeight="251671552" behindDoc="0" locked="0" layoutInCell="1" allowOverlap="1" wp14:anchorId="74A7490B" wp14:editId="50AA2EDF">
                <wp:simplePos x="0" y="0"/>
                <wp:positionH relativeFrom="column">
                  <wp:posOffset>6889750</wp:posOffset>
                </wp:positionH>
                <wp:positionV relativeFrom="paragraph">
                  <wp:posOffset>1346200</wp:posOffset>
                </wp:positionV>
                <wp:extent cx="1623695" cy="425450"/>
                <wp:effectExtent l="0" t="0" r="14605" b="12700"/>
                <wp:wrapNone/>
                <wp:docPr id="23" name="2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2369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84B6F46" id="23 Rectángulo" o:spid="_x0000_s1026" style="position:absolute;margin-left:542.5pt;margin-top:106pt;width:127.85pt;height:3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" fillcolor="white [3212]" strokecolor="white [3212]" strokeweight="2pt">
                <v:path arrowok="t"/>
              </v:rect>
            </w:pict>
          </mc:Fallback>
        </mc:AlternateContent>
      </w:r>
      <w:r w:rsidR="00730C89" w:rsidRPr="0098414F">
        <w:rPr>
          <w:rFonts w:ascii="Times New Roman" w:hAnsi="Times New Roman"/>
        </w:rPr>
        <w:br w:type="page"/>
      </w:r>
    </w:p>
    <w:tbl>
      <w:tblPr>
        <w:tblW w:w="14845" w:type="dxa"/>
        <w:jc w:val="center"/>
        <w:tblLook w:val="04A0" w:firstRow="1" w:lastRow="0" w:firstColumn="1" w:lastColumn="0" w:noHBand="0" w:noVBand="1"/>
      </w:tblPr>
      <w:tblGrid>
        <w:gridCol w:w="1552"/>
        <w:gridCol w:w="997"/>
        <w:gridCol w:w="997"/>
        <w:gridCol w:w="997"/>
        <w:gridCol w:w="996"/>
        <w:gridCol w:w="996"/>
        <w:gridCol w:w="996"/>
        <w:gridCol w:w="996"/>
        <w:gridCol w:w="1107"/>
        <w:gridCol w:w="996"/>
        <w:gridCol w:w="996"/>
        <w:gridCol w:w="1127"/>
        <w:gridCol w:w="996"/>
        <w:gridCol w:w="1096"/>
      </w:tblGrid>
      <w:tr w:rsidR="00473056" w:rsidRPr="00E47FB2" w14:paraId="4C7D150B" w14:textId="77777777" w:rsidTr="00861244">
        <w:trPr>
          <w:trHeight w:val="86"/>
          <w:jc w:val="center"/>
        </w:trPr>
        <w:tc>
          <w:tcPr>
            <w:tcW w:w="1552"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40FA1A55" w14:textId="77777777" w:rsidR="00473056" w:rsidRPr="00E47FB2" w:rsidRDefault="00473056" w:rsidP="00473056">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lastRenderedPageBreak/>
              <w:t>Rubro</w:t>
            </w:r>
          </w:p>
        </w:tc>
        <w:tc>
          <w:tcPr>
            <w:tcW w:w="997"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55D110A9" w14:textId="77777777" w:rsidR="00473056" w:rsidRPr="00E47FB2" w:rsidRDefault="0075519C" w:rsidP="00473056">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Ene.</w:t>
            </w:r>
          </w:p>
        </w:tc>
        <w:tc>
          <w:tcPr>
            <w:tcW w:w="997"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5078FECE" w14:textId="77777777" w:rsidR="00473056" w:rsidRPr="00E47FB2" w:rsidRDefault="0075519C" w:rsidP="00473056">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Feb.</w:t>
            </w:r>
          </w:p>
        </w:tc>
        <w:tc>
          <w:tcPr>
            <w:tcW w:w="997"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4CD415C1" w14:textId="77777777" w:rsidR="00473056" w:rsidRPr="00E47FB2" w:rsidRDefault="0075519C" w:rsidP="00473056">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Mar.</w:t>
            </w:r>
          </w:p>
        </w:tc>
        <w:tc>
          <w:tcPr>
            <w:tcW w:w="996"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7F535CAF" w14:textId="77777777" w:rsidR="00473056" w:rsidRPr="00E47FB2" w:rsidRDefault="0075519C" w:rsidP="00473056">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Abr.</w:t>
            </w:r>
          </w:p>
        </w:tc>
        <w:tc>
          <w:tcPr>
            <w:tcW w:w="996"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3C17A208" w14:textId="77777777" w:rsidR="00473056" w:rsidRPr="00E47FB2" w:rsidRDefault="0075519C" w:rsidP="00473056">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May.</w:t>
            </w:r>
          </w:p>
        </w:tc>
        <w:tc>
          <w:tcPr>
            <w:tcW w:w="996"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71AFDB81" w14:textId="77777777" w:rsidR="00473056" w:rsidRPr="00E47FB2" w:rsidRDefault="0075519C" w:rsidP="00473056">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Jun.</w:t>
            </w:r>
          </w:p>
        </w:tc>
        <w:tc>
          <w:tcPr>
            <w:tcW w:w="996"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0284D276" w14:textId="77777777" w:rsidR="00473056" w:rsidRPr="00E47FB2" w:rsidRDefault="0075519C" w:rsidP="00473056">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Jul.</w:t>
            </w:r>
          </w:p>
        </w:tc>
        <w:tc>
          <w:tcPr>
            <w:tcW w:w="1107"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3C8AB03D" w14:textId="77777777" w:rsidR="00473056" w:rsidRPr="00E47FB2" w:rsidRDefault="0075519C" w:rsidP="00473056">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Ago.</w:t>
            </w:r>
          </w:p>
        </w:tc>
        <w:tc>
          <w:tcPr>
            <w:tcW w:w="996"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2F97F6EB" w14:textId="77777777" w:rsidR="00473056" w:rsidRPr="00E47FB2" w:rsidRDefault="0075519C" w:rsidP="00473056">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Sep.</w:t>
            </w:r>
          </w:p>
        </w:tc>
        <w:tc>
          <w:tcPr>
            <w:tcW w:w="996"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73E86F48" w14:textId="77777777" w:rsidR="00473056" w:rsidRPr="00E47FB2" w:rsidRDefault="0075519C" w:rsidP="00473056">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Oct.</w:t>
            </w:r>
          </w:p>
        </w:tc>
        <w:tc>
          <w:tcPr>
            <w:tcW w:w="1127"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37021C29" w14:textId="77777777" w:rsidR="00473056" w:rsidRPr="00E47FB2" w:rsidRDefault="0075519C" w:rsidP="00473056">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Nov.</w:t>
            </w:r>
          </w:p>
        </w:tc>
        <w:tc>
          <w:tcPr>
            <w:tcW w:w="996"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66FF263C" w14:textId="77777777" w:rsidR="00473056" w:rsidRPr="00E47FB2" w:rsidRDefault="0075519C" w:rsidP="00473056">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Dic.</w:t>
            </w:r>
          </w:p>
        </w:tc>
        <w:tc>
          <w:tcPr>
            <w:tcW w:w="1096"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656AC7BA" w14:textId="77777777" w:rsidR="00473056" w:rsidRPr="00E47FB2" w:rsidRDefault="0075519C" w:rsidP="00473056">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Total</w:t>
            </w:r>
          </w:p>
        </w:tc>
      </w:tr>
      <w:tr w:rsidR="00861244" w:rsidRPr="00E47FB2" w14:paraId="27A53C9D" w14:textId="77777777" w:rsidTr="00861244">
        <w:trPr>
          <w:trHeight w:val="77"/>
          <w:jc w:val="center"/>
        </w:trPr>
        <w:tc>
          <w:tcPr>
            <w:tcW w:w="155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59D251A"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Arroz</w:t>
            </w:r>
          </w:p>
        </w:tc>
        <w:tc>
          <w:tcPr>
            <w:tcW w:w="997" w:type="dxa"/>
            <w:tcBorders>
              <w:top w:val="single" w:sz="4" w:space="0" w:color="auto"/>
              <w:left w:val="nil"/>
              <w:bottom w:val="single" w:sz="4" w:space="0" w:color="auto"/>
              <w:right w:val="single" w:sz="4" w:space="0" w:color="auto"/>
            </w:tcBorders>
            <w:shd w:val="clear" w:color="000000" w:fill="FFFFFF"/>
            <w:noWrap/>
            <w:hideMark/>
          </w:tcPr>
          <w:p w14:paraId="28A55C0B" w14:textId="36B582C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521,411</w:t>
            </w:r>
          </w:p>
        </w:tc>
        <w:tc>
          <w:tcPr>
            <w:tcW w:w="997" w:type="dxa"/>
            <w:tcBorders>
              <w:top w:val="single" w:sz="4" w:space="0" w:color="auto"/>
              <w:left w:val="nil"/>
              <w:bottom w:val="single" w:sz="4" w:space="0" w:color="auto"/>
              <w:right w:val="single" w:sz="4" w:space="0" w:color="auto"/>
            </w:tcBorders>
            <w:shd w:val="clear" w:color="000000" w:fill="FFFFFF"/>
            <w:noWrap/>
            <w:vAlign w:val="bottom"/>
            <w:hideMark/>
          </w:tcPr>
          <w:p w14:paraId="6AC8E6BD" w14:textId="2C8772B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232,629</w:t>
            </w:r>
          </w:p>
        </w:tc>
        <w:tc>
          <w:tcPr>
            <w:tcW w:w="997" w:type="dxa"/>
            <w:tcBorders>
              <w:top w:val="single" w:sz="4" w:space="0" w:color="auto"/>
              <w:left w:val="nil"/>
              <w:bottom w:val="single" w:sz="4" w:space="0" w:color="auto"/>
              <w:right w:val="single" w:sz="4" w:space="0" w:color="auto"/>
            </w:tcBorders>
            <w:shd w:val="clear" w:color="000000" w:fill="FFFFFF"/>
            <w:noWrap/>
            <w:vAlign w:val="bottom"/>
            <w:hideMark/>
          </w:tcPr>
          <w:p w14:paraId="3848CB36" w14:textId="1ED3BC7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39,729</w:t>
            </w:r>
          </w:p>
        </w:tc>
        <w:tc>
          <w:tcPr>
            <w:tcW w:w="996" w:type="dxa"/>
            <w:tcBorders>
              <w:top w:val="single" w:sz="4" w:space="0" w:color="auto"/>
              <w:left w:val="nil"/>
              <w:bottom w:val="single" w:sz="4" w:space="0" w:color="auto"/>
              <w:right w:val="single" w:sz="4" w:space="0" w:color="auto"/>
            </w:tcBorders>
            <w:shd w:val="clear" w:color="000000" w:fill="FFFFFF"/>
            <w:noWrap/>
            <w:vAlign w:val="bottom"/>
            <w:hideMark/>
          </w:tcPr>
          <w:p w14:paraId="5BA8957B" w14:textId="5B20531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176,417</w:t>
            </w:r>
          </w:p>
        </w:tc>
        <w:tc>
          <w:tcPr>
            <w:tcW w:w="996" w:type="dxa"/>
            <w:tcBorders>
              <w:top w:val="single" w:sz="4" w:space="0" w:color="auto"/>
              <w:left w:val="nil"/>
              <w:bottom w:val="single" w:sz="4" w:space="0" w:color="auto"/>
              <w:right w:val="single" w:sz="4" w:space="0" w:color="auto"/>
            </w:tcBorders>
            <w:shd w:val="clear" w:color="000000" w:fill="FFFFFF"/>
            <w:noWrap/>
            <w:vAlign w:val="bottom"/>
            <w:hideMark/>
          </w:tcPr>
          <w:p w14:paraId="6D7B78BB" w14:textId="48EF0DF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291,014</w:t>
            </w:r>
          </w:p>
        </w:tc>
        <w:tc>
          <w:tcPr>
            <w:tcW w:w="996" w:type="dxa"/>
            <w:tcBorders>
              <w:top w:val="single" w:sz="4" w:space="0" w:color="auto"/>
              <w:left w:val="nil"/>
              <w:bottom w:val="single" w:sz="4" w:space="0" w:color="auto"/>
              <w:right w:val="single" w:sz="4" w:space="0" w:color="auto"/>
            </w:tcBorders>
            <w:shd w:val="clear" w:color="000000" w:fill="FFFFFF"/>
            <w:noWrap/>
            <w:vAlign w:val="bottom"/>
            <w:hideMark/>
          </w:tcPr>
          <w:p w14:paraId="34D39119" w14:textId="678641D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454,224</w:t>
            </w:r>
          </w:p>
        </w:tc>
        <w:tc>
          <w:tcPr>
            <w:tcW w:w="996" w:type="dxa"/>
            <w:tcBorders>
              <w:top w:val="single" w:sz="4" w:space="0" w:color="auto"/>
              <w:left w:val="nil"/>
              <w:bottom w:val="single" w:sz="4" w:space="0" w:color="auto"/>
              <w:right w:val="single" w:sz="4" w:space="0" w:color="auto"/>
            </w:tcBorders>
            <w:shd w:val="clear" w:color="000000" w:fill="FFFFFF"/>
            <w:noWrap/>
            <w:vAlign w:val="bottom"/>
            <w:hideMark/>
          </w:tcPr>
          <w:p w14:paraId="33724CF7" w14:textId="18838F1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499,584</w:t>
            </w:r>
          </w:p>
        </w:tc>
        <w:tc>
          <w:tcPr>
            <w:tcW w:w="1107" w:type="dxa"/>
            <w:tcBorders>
              <w:top w:val="single" w:sz="4" w:space="0" w:color="auto"/>
              <w:left w:val="nil"/>
              <w:bottom w:val="single" w:sz="4" w:space="0" w:color="auto"/>
              <w:right w:val="single" w:sz="4" w:space="0" w:color="auto"/>
            </w:tcBorders>
            <w:shd w:val="clear" w:color="000000" w:fill="FFFFFF"/>
            <w:noWrap/>
            <w:vAlign w:val="bottom"/>
            <w:hideMark/>
          </w:tcPr>
          <w:p w14:paraId="42FF7440" w14:textId="156FB74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177,894</w:t>
            </w:r>
          </w:p>
        </w:tc>
        <w:tc>
          <w:tcPr>
            <w:tcW w:w="996" w:type="dxa"/>
            <w:tcBorders>
              <w:top w:val="single" w:sz="4" w:space="0" w:color="auto"/>
              <w:left w:val="nil"/>
              <w:bottom w:val="single" w:sz="4" w:space="0" w:color="auto"/>
              <w:right w:val="single" w:sz="4" w:space="0" w:color="auto"/>
            </w:tcBorders>
            <w:shd w:val="clear" w:color="000000" w:fill="FFFFFF"/>
            <w:noWrap/>
            <w:vAlign w:val="bottom"/>
            <w:hideMark/>
          </w:tcPr>
          <w:p w14:paraId="5D1B90E4" w14:textId="6F48812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56,799</w:t>
            </w:r>
          </w:p>
        </w:tc>
        <w:tc>
          <w:tcPr>
            <w:tcW w:w="996" w:type="dxa"/>
            <w:tcBorders>
              <w:top w:val="single" w:sz="4" w:space="0" w:color="auto"/>
              <w:left w:val="nil"/>
              <w:bottom w:val="single" w:sz="4" w:space="0" w:color="auto"/>
              <w:right w:val="single" w:sz="4" w:space="0" w:color="auto"/>
            </w:tcBorders>
            <w:shd w:val="clear" w:color="000000" w:fill="FFFFFF"/>
            <w:noWrap/>
            <w:vAlign w:val="bottom"/>
            <w:hideMark/>
          </w:tcPr>
          <w:p w14:paraId="05926C46" w14:textId="583E0D3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13,141</w:t>
            </w:r>
          </w:p>
        </w:tc>
        <w:tc>
          <w:tcPr>
            <w:tcW w:w="1127" w:type="dxa"/>
            <w:tcBorders>
              <w:top w:val="single" w:sz="4" w:space="0" w:color="auto"/>
              <w:left w:val="nil"/>
              <w:bottom w:val="single" w:sz="4" w:space="0" w:color="auto"/>
              <w:right w:val="single" w:sz="4" w:space="0" w:color="auto"/>
            </w:tcBorders>
            <w:shd w:val="clear" w:color="000000" w:fill="FFFFFF"/>
            <w:noWrap/>
            <w:vAlign w:val="bottom"/>
            <w:hideMark/>
          </w:tcPr>
          <w:p w14:paraId="5D506D0E" w14:textId="68E842D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26,547</w:t>
            </w:r>
          </w:p>
        </w:tc>
        <w:tc>
          <w:tcPr>
            <w:tcW w:w="996" w:type="dxa"/>
            <w:tcBorders>
              <w:top w:val="single" w:sz="4" w:space="0" w:color="auto"/>
              <w:left w:val="nil"/>
              <w:bottom w:val="single" w:sz="4" w:space="0" w:color="auto"/>
              <w:right w:val="single" w:sz="4" w:space="0" w:color="auto"/>
            </w:tcBorders>
            <w:shd w:val="clear" w:color="000000" w:fill="FFFFFF"/>
            <w:noWrap/>
            <w:vAlign w:val="bottom"/>
            <w:hideMark/>
          </w:tcPr>
          <w:p w14:paraId="717491B1" w14:textId="51B8EA7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521,421</w:t>
            </w:r>
          </w:p>
        </w:tc>
        <w:tc>
          <w:tcPr>
            <w:tcW w:w="1096" w:type="dxa"/>
            <w:tcBorders>
              <w:top w:val="single" w:sz="4" w:space="0" w:color="auto"/>
              <w:left w:val="nil"/>
              <w:bottom w:val="single" w:sz="4" w:space="0" w:color="auto"/>
              <w:right w:val="single" w:sz="8" w:space="0" w:color="auto"/>
            </w:tcBorders>
            <w:shd w:val="clear" w:color="000000" w:fill="FFFFFF"/>
            <w:noWrap/>
            <w:vAlign w:val="bottom"/>
            <w:hideMark/>
          </w:tcPr>
          <w:p w14:paraId="20062AD0" w14:textId="31A3344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3,010,810</w:t>
            </w:r>
          </w:p>
        </w:tc>
      </w:tr>
      <w:tr w:rsidR="00861244" w:rsidRPr="00E47FB2" w14:paraId="6E737DD7"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09131EB7"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Maíz</w:t>
            </w:r>
          </w:p>
        </w:tc>
        <w:tc>
          <w:tcPr>
            <w:tcW w:w="997" w:type="dxa"/>
            <w:tcBorders>
              <w:top w:val="nil"/>
              <w:left w:val="nil"/>
              <w:bottom w:val="single" w:sz="4" w:space="0" w:color="auto"/>
              <w:right w:val="single" w:sz="4" w:space="0" w:color="auto"/>
            </w:tcBorders>
            <w:shd w:val="clear" w:color="000000" w:fill="FFFFFF"/>
            <w:noWrap/>
            <w:hideMark/>
          </w:tcPr>
          <w:p w14:paraId="3D8E177D" w14:textId="712DBF7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27,410</w:t>
            </w:r>
          </w:p>
        </w:tc>
        <w:tc>
          <w:tcPr>
            <w:tcW w:w="997" w:type="dxa"/>
            <w:tcBorders>
              <w:top w:val="nil"/>
              <w:left w:val="nil"/>
              <w:bottom w:val="single" w:sz="4" w:space="0" w:color="auto"/>
              <w:right w:val="single" w:sz="4" w:space="0" w:color="auto"/>
            </w:tcBorders>
            <w:shd w:val="clear" w:color="000000" w:fill="FFFFFF"/>
            <w:noWrap/>
            <w:vAlign w:val="bottom"/>
            <w:hideMark/>
          </w:tcPr>
          <w:p w14:paraId="0F27FB6B" w14:textId="0A683AD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22,548</w:t>
            </w:r>
          </w:p>
        </w:tc>
        <w:tc>
          <w:tcPr>
            <w:tcW w:w="997" w:type="dxa"/>
            <w:tcBorders>
              <w:top w:val="nil"/>
              <w:left w:val="nil"/>
              <w:bottom w:val="single" w:sz="4" w:space="0" w:color="auto"/>
              <w:right w:val="single" w:sz="4" w:space="0" w:color="auto"/>
            </w:tcBorders>
            <w:shd w:val="clear" w:color="000000" w:fill="FFFFFF"/>
            <w:noWrap/>
            <w:vAlign w:val="bottom"/>
            <w:hideMark/>
          </w:tcPr>
          <w:p w14:paraId="0BE4E5A8" w14:textId="64A29D1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26,210</w:t>
            </w:r>
          </w:p>
        </w:tc>
        <w:tc>
          <w:tcPr>
            <w:tcW w:w="996" w:type="dxa"/>
            <w:tcBorders>
              <w:top w:val="nil"/>
              <w:left w:val="nil"/>
              <w:bottom w:val="single" w:sz="4" w:space="0" w:color="auto"/>
              <w:right w:val="single" w:sz="4" w:space="0" w:color="auto"/>
            </w:tcBorders>
            <w:shd w:val="clear" w:color="000000" w:fill="FFFFFF"/>
            <w:noWrap/>
            <w:vAlign w:val="bottom"/>
            <w:hideMark/>
          </w:tcPr>
          <w:p w14:paraId="674B10D5" w14:textId="6F9044E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46,989</w:t>
            </w:r>
          </w:p>
        </w:tc>
        <w:tc>
          <w:tcPr>
            <w:tcW w:w="996" w:type="dxa"/>
            <w:tcBorders>
              <w:top w:val="nil"/>
              <w:left w:val="nil"/>
              <w:bottom w:val="single" w:sz="4" w:space="0" w:color="auto"/>
              <w:right w:val="single" w:sz="4" w:space="0" w:color="auto"/>
            </w:tcBorders>
            <w:shd w:val="clear" w:color="000000" w:fill="FFFFFF"/>
            <w:noWrap/>
            <w:vAlign w:val="bottom"/>
            <w:hideMark/>
          </w:tcPr>
          <w:p w14:paraId="45D19B10" w14:textId="63879E3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59,898</w:t>
            </w:r>
          </w:p>
        </w:tc>
        <w:tc>
          <w:tcPr>
            <w:tcW w:w="996" w:type="dxa"/>
            <w:tcBorders>
              <w:top w:val="nil"/>
              <w:left w:val="nil"/>
              <w:bottom w:val="single" w:sz="4" w:space="0" w:color="auto"/>
              <w:right w:val="single" w:sz="4" w:space="0" w:color="auto"/>
            </w:tcBorders>
            <w:shd w:val="clear" w:color="000000" w:fill="FFFFFF"/>
            <w:noWrap/>
            <w:vAlign w:val="bottom"/>
            <w:hideMark/>
          </w:tcPr>
          <w:p w14:paraId="15368CEE" w14:textId="3E96A27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47,524</w:t>
            </w:r>
          </w:p>
        </w:tc>
        <w:tc>
          <w:tcPr>
            <w:tcW w:w="996" w:type="dxa"/>
            <w:tcBorders>
              <w:top w:val="nil"/>
              <w:left w:val="nil"/>
              <w:bottom w:val="single" w:sz="4" w:space="0" w:color="auto"/>
              <w:right w:val="single" w:sz="4" w:space="0" w:color="auto"/>
            </w:tcBorders>
            <w:shd w:val="clear" w:color="000000" w:fill="FFFFFF"/>
            <w:noWrap/>
            <w:vAlign w:val="bottom"/>
            <w:hideMark/>
          </w:tcPr>
          <w:p w14:paraId="68C95150" w14:textId="395C3CB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38,995</w:t>
            </w:r>
          </w:p>
        </w:tc>
        <w:tc>
          <w:tcPr>
            <w:tcW w:w="1107" w:type="dxa"/>
            <w:tcBorders>
              <w:top w:val="nil"/>
              <w:left w:val="nil"/>
              <w:bottom w:val="single" w:sz="4" w:space="0" w:color="auto"/>
              <w:right w:val="single" w:sz="4" w:space="0" w:color="auto"/>
            </w:tcBorders>
            <w:shd w:val="clear" w:color="000000" w:fill="FFFFFF"/>
            <w:noWrap/>
            <w:vAlign w:val="bottom"/>
            <w:hideMark/>
          </w:tcPr>
          <w:p w14:paraId="0E415583" w14:textId="7C87AA5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29,614</w:t>
            </w:r>
          </w:p>
        </w:tc>
        <w:tc>
          <w:tcPr>
            <w:tcW w:w="996" w:type="dxa"/>
            <w:tcBorders>
              <w:top w:val="nil"/>
              <w:left w:val="nil"/>
              <w:bottom w:val="single" w:sz="4" w:space="0" w:color="auto"/>
              <w:right w:val="single" w:sz="4" w:space="0" w:color="auto"/>
            </w:tcBorders>
            <w:shd w:val="clear" w:color="000000" w:fill="FFFFFF"/>
            <w:noWrap/>
            <w:vAlign w:val="bottom"/>
            <w:hideMark/>
          </w:tcPr>
          <w:p w14:paraId="7B7A4832" w14:textId="07959BC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37,104</w:t>
            </w:r>
          </w:p>
        </w:tc>
        <w:tc>
          <w:tcPr>
            <w:tcW w:w="996" w:type="dxa"/>
            <w:tcBorders>
              <w:top w:val="nil"/>
              <w:left w:val="nil"/>
              <w:bottom w:val="single" w:sz="4" w:space="0" w:color="auto"/>
              <w:right w:val="single" w:sz="4" w:space="0" w:color="auto"/>
            </w:tcBorders>
            <w:shd w:val="clear" w:color="000000" w:fill="FFFFFF"/>
            <w:noWrap/>
            <w:vAlign w:val="bottom"/>
            <w:hideMark/>
          </w:tcPr>
          <w:p w14:paraId="1D309C8E" w14:textId="77AADA5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32,145</w:t>
            </w:r>
          </w:p>
        </w:tc>
        <w:tc>
          <w:tcPr>
            <w:tcW w:w="1127" w:type="dxa"/>
            <w:tcBorders>
              <w:top w:val="nil"/>
              <w:left w:val="nil"/>
              <w:bottom w:val="single" w:sz="4" w:space="0" w:color="auto"/>
              <w:right w:val="single" w:sz="4" w:space="0" w:color="auto"/>
            </w:tcBorders>
            <w:shd w:val="clear" w:color="000000" w:fill="FFFFFF"/>
            <w:noWrap/>
            <w:vAlign w:val="bottom"/>
            <w:hideMark/>
          </w:tcPr>
          <w:p w14:paraId="6CF2A6C2" w14:textId="2D87A6F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18,012</w:t>
            </w:r>
          </w:p>
        </w:tc>
        <w:tc>
          <w:tcPr>
            <w:tcW w:w="996" w:type="dxa"/>
            <w:tcBorders>
              <w:top w:val="nil"/>
              <w:left w:val="nil"/>
              <w:bottom w:val="single" w:sz="4" w:space="0" w:color="auto"/>
              <w:right w:val="single" w:sz="4" w:space="0" w:color="auto"/>
            </w:tcBorders>
            <w:shd w:val="clear" w:color="000000" w:fill="FFFFFF"/>
            <w:noWrap/>
            <w:vAlign w:val="bottom"/>
            <w:hideMark/>
          </w:tcPr>
          <w:p w14:paraId="33F46301" w14:textId="147BAEB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35,130</w:t>
            </w:r>
          </w:p>
        </w:tc>
        <w:tc>
          <w:tcPr>
            <w:tcW w:w="1096" w:type="dxa"/>
            <w:tcBorders>
              <w:top w:val="nil"/>
              <w:left w:val="nil"/>
              <w:bottom w:val="single" w:sz="4" w:space="0" w:color="auto"/>
              <w:right w:val="single" w:sz="8" w:space="0" w:color="auto"/>
            </w:tcBorders>
            <w:shd w:val="clear" w:color="000000" w:fill="FFFFFF"/>
            <w:noWrap/>
            <w:vAlign w:val="bottom"/>
            <w:hideMark/>
          </w:tcPr>
          <w:p w14:paraId="4186E106" w14:textId="263ACF4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421,579</w:t>
            </w:r>
          </w:p>
        </w:tc>
      </w:tr>
      <w:tr w:rsidR="00861244" w:rsidRPr="00E47FB2" w14:paraId="560A2E0B"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5FAF9910"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Sorgo</w:t>
            </w:r>
          </w:p>
        </w:tc>
        <w:tc>
          <w:tcPr>
            <w:tcW w:w="997" w:type="dxa"/>
            <w:tcBorders>
              <w:top w:val="nil"/>
              <w:left w:val="nil"/>
              <w:bottom w:val="single" w:sz="4" w:space="0" w:color="auto"/>
              <w:right w:val="single" w:sz="4" w:space="0" w:color="auto"/>
            </w:tcBorders>
            <w:shd w:val="clear" w:color="000000" w:fill="FFFFFF"/>
            <w:noWrap/>
            <w:hideMark/>
          </w:tcPr>
          <w:p w14:paraId="6E8FF3AB" w14:textId="11D3037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325</w:t>
            </w:r>
          </w:p>
        </w:tc>
        <w:tc>
          <w:tcPr>
            <w:tcW w:w="997" w:type="dxa"/>
            <w:tcBorders>
              <w:top w:val="nil"/>
              <w:left w:val="nil"/>
              <w:bottom w:val="single" w:sz="4" w:space="0" w:color="auto"/>
              <w:right w:val="single" w:sz="4" w:space="0" w:color="auto"/>
            </w:tcBorders>
            <w:shd w:val="clear" w:color="000000" w:fill="FFFFFF"/>
            <w:noWrap/>
            <w:vAlign w:val="bottom"/>
            <w:hideMark/>
          </w:tcPr>
          <w:p w14:paraId="2383E6CD" w14:textId="66A73AB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310</w:t>
            </w:r>
          </w:p>
        </w:tc>
        <w:tc>
          <w:tcPr>
            <w:tcW w:w="997" w:type="dxa"/>
            <w:tcBorders>
              <w:top w:val="nil"/>
              <w:left w:val="nil"/>
              <w:bottom w:val="single" w:sz="4" w:space="0" w:color="auto"/>
              <w:right w:val="single" w:sz="4" w:space="0" w:color="auto"/>
            </w:tcBorders>
            <w:shd w:val="clear" w:color="000000" w:fill="FFFFFF"/>
            <w:noWrap/>
            <w:vAlign w:val="bottom"/>
            <w:hideMark/>
          </w:tcPr>
          <w:p w14:paraId="163A0DBB" w14:textId="7B70C5B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4C2D8ECF" w14:textId="38ADA1E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299</w:t>
            </w:r>
          </w:p>
        </w:tc>
        <w:tc>
          <w:tcPr>
            <w:tcW w:w="996" w:type="dxa"/>
            <w:tcBorders>
              <w:top w:val="nil"/>
              <w:left w:val="nil"/>
              <w:bottom w:val="single" w:sz="4" w:space="0" w:color="auto"/>
              <w:right w:val="single" w:sz="4" w:space="0" w:color="auto"/>
            </w:tcBorders>
            <w:shd w:val="clear" w:color="000000" w:fill="FFFFFF"/>
            <w:noWrap/>
            <w:vAlign w:val="bottom"/>
            <w:hideMark/>
          </w:tcPr>
          <w:p w14:paraId="0ACC66CE" w14:textId="4648202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214</w:t>
            </w:r>
          </w:p>
        </w:tc>
        <w:tc>
          <w:tcPr>
            <w:tcW w:w="996" w:type="dxa"/>
            <w:tcBorders>
              <w:top w:val="nil"/>
              <w:left w:val="nil"/>
              <w:bottom w:val="single" w:sz="4" w:space="0" w:color="auto"/>
              <w:right w:val="single" w:sz="4" w:space="0" w:color="auto"/>
            </w:tcBorders>
            <w:shd w:val="clear" w:color="000000" w:fill="FFFFFF"/>
            <w:noWrap/>
            <w:vAlign w:val="bottom"/>
            <w:hideMark/>
          </w:tcPr>
          <w:p w14:paraId="5E90AAE0" w14:textId="2CE8A2B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16</w:t>
            </w:r>
          </w:p>
        </w:tc>
        <w:tc>
          <w:tcPr>
            <w:tcW w:w="996" w:type="dxa"/>
            <w:tcBorders>
              <w:top w:val="nil"/>
              <w:left w:val="nil"/>
              <w:bottom w:val="single" w:sz="4" w:space="0" w:color="auto"/>
              <w:right w:val="single" w:sz="4" w:space="0" w:color="auto"/>
            </w:tcBorders>
            <w:shd w:val="clear" w:color="000000" w:fill="FFFFFF"/>
            <w:noWrap/>
            <w:vAlign w:val="bottom"/>
            <w:hideMark/>
          </w:tcPr>
          <w:p w14:paraId="6EF83C7F" w14:textId="5FBF6CF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35</w:t>
            </w:r>
          </w:p>
        </w:tc>
        <w:tc>
          <w:tcPr>
            <w:tcW w:w="1107" w:type="dxa"/>
            <w:tcBorders>
              <w:top w:val="nil"/>
              <w:left w:val="nil"/>
              <w:bottom w:val="single" w:sz="4" w:space="0" w:color="auto"/>
              <w:right w:val="single" w:sz="4" w:space="0" w:color="auto"/>
            </w:tcBorders>
            <w:shd w:val="clear" w:color="000000" w:fill="FFFFFF"/>
            <w:noWrap/>
            <w:vAlign w:val="bottom"/>
            <w:hideMark/>
          </w:tcPr>
          <w:p w14:paraId="4435CE45" w14:textId="58182CA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215</w:t>
            </w:r>
          </w:p>
        </w:tc>
        <w:tc>
          <w:tcPr>
            <w:tcW w:w="996" w:type="dxa"/>
            <w:tcBorders>
              <w:top w:val="nil"/>
              <w:left w:val="nil"/>
              <w:bottom w:val="single" w:sz="4" w:space="0" w:color="auto"/>
              <w:right w:val="single" w:sz="4" w:space="0" w:color="auto"/>
            </w:tcBorders>
            <w:shd w:val="clear" w:color="000000" w:fill="FFFFFF"/>
            <w:noWrap/>
            <w:vAlign w:val="bottom"/>
            <w:hideMark/>
          </w:tcPr>
          <w:p w14:paraId="5F3709E7" w14:textId="6B911BD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398</w:t>
            </w:r>
          </w:p>
        </w:tc>
        <w:tc>
          <w:tcPr>
            <w:tcW w:w="996" w:type="dxa"/>
            <w:tcBorders>
              <w:top w:val="nil"/>
              <w:left w:val="nil"/>
              <w:bottom w:val="single" w:sz="4" w:space="0" w:color="auto"/>
              <w:right w:val="single" w:sz="4" w:space="0" w:color="auto"/>
            </w:tcBorders>
            <w:shd w:val="clear" w:color="000000" w:fill="FFFFFF"/>
            <w:noWrap/>
            <w:vAlign w:val="bottom"/>
            <w:hideMark/>
          </w:tcPr>
          <w:p w14:paraId="5D83BEC7" w14:textId="4369837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2,321</w:t>
            </w:r>
          </w:p>
        </w:tc>
        <w:tc>
          <w:tcPr>
            <w:tcW w:w="1127" w:type="dxa"/>
            <w:tcBorders>
              <w:top w:val="nil"/>
              <w:left w:val="nil"/>
              <w:bottom w:val="single" w:sz="4" w:space="0" w:color="auto"/>
              <w:right w:val="single" w:sz="4" w:space="0" w:color="auto"/>
            </w:tcBorders>
            <w:shd w:val="clear" w:color="000000" w:fill="FFFFFF"/>
            <w:noWrap/>
            <w:vAlign w:val="bottom"/>
            <w:hideMark/>
          </w:tcPr>
          <w:p w14:paraId="223ACCA9" w14:textId="17306A8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2,995</w:t>
            </w:r>
          </w:p>
        </w:tc>
        <w:tc>
          <w:tcPr>
            <w:tcW w:w="996" w:type="dxa"/>
            <w:tcBorders>
              <w:top w:val="nil"/>
              <w:left w:val="nil"/>
              <w:bottom w:val="single" w:sz="4" w:space="0" w:color="auto"/>
              <w:right w:val="single" w:sz="4" w:space="0" w:color="auto"/>
            </w:tcBorders>
            <w:shd w:val="clear" w:color="000000" w:fill="FFFFFF"/>
            <w:noWrap/>
            <w:vAlign w:val="bottom"/>
            <w:hideMark/>
          </w:tcPr>
          <w:p w14:paraId="44CA263E" w14:textId="4BBFD83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201</w:t>
            </w:r>
          </w:p>
        </w:tc>
        <w:tc>
          <w:tcPr>
            <w:tcW w:w="1096" w:type="dxa"/>
            <w:tcBorders>
              <w:top w:val="nil"/>
              <w:left w:val="nil"/>
              <w:bottom w:val="single" w:sz="4" w:space="0" w:color="auto"/>
              <w:right w:val="single" w:sz="8" w:space="0" w:color="auto"/>
            </w:tcBorders>
            <w:shd w:val="clear" w:color="000000" w:fill="FFFFFF"/>
            <w:noWrap/>
            <w:vAlign w:val="bottom"/>
            <w:hideMark/>
          </w:tcPr>
          <w:p w14:paraId="1A29F0DE" w14:textId="42F147F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7,329</w:t>
            </w:r>
          </w:p>
        </w:tc>
      </w:tr>
      <w:tr w:rsidR="00861244" w:rsidRPr="00E47FB2" w14:paraId="4E6877CA"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5F953B14"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Coco</w:t>
            </w:r>
          </w:p>
        </w:tc>
        <w:tc>
          <w:tcPr>
            <w:tcW w:w="997" w:type="dxa"/>
            <w:tcBorders>
              <w:top w:val="nil"/>
              <w:left w:val="nil"/>
              <w:bottom w:val="single" w:sz="4" w:space="0" w:color="auto"/>
              <w:right w:val="single" w:sz="4" w:space="0" w:color="auto"/>
            </w:tcBorders>
            <w:shd w:val="clear" w:color="000000" w:fill="FFFFFF"/>
            <w:noWrap/>
            <w:hideMark/>
          </w:tcPr>
          <w:p w14:paraId="7B085B5C" w14:textId="29A9266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489</w:t>
            </w:r>
          </w:p>
        </w:tc>
        <w:tc>
          <w:tcPr>
            <w:tcW w:w="997" w:type="dxa"/>
            <w:tcBorders>
              <w:top w:val="nil"/>
              <w:left w:val="nil"/>
              <w:bottom w:val="single" w:sz="4" w:space="0" w:color="auto"/>
              <w:right w:val="single" w:sz="4" w:space="0" w:color="auto"/>
            </w:tcBorders>
            <w:shd w:val="clear" w:color="000000" w:fill="FFFFFF"/>
            <w:noWrap/>
            <w:vAlign w:val="bottom"/>
            <w:hideMark/>
          </w:tcPr>
          <w:p w14:paraId="0AA5C43F" w14:textId="712ADA4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335</w:t>
            </w:r>
          </w:p>
        </w:tc>
        <w:tc>
          <w:tcPr>
            <w:tcW w:w="997" w:type="dxa"/>
            <w:tcBorders>
              <w:top w:val="nil"/>
              <w:left w:val="nil"/>
              <w:bottom w:val="single" w:sz="4" w:space="0" w:color="auto"/>
              <w:right w:val="single" w:sz="4" w:space="0" w:color="auto"/>
            </w:tcBorders>
            <w:shd w:val="clear" w:color="000000" w:fill="FFFFFF"/>
            <w:noWrap/>
            <w:vAlign w:val="bottom"/>
            <w:hideMark/>
          </w:tcPr>
          <w:p w14:paraId="1466670D" w14:textId="0F88719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201</w:t>
            </w:r>
          </w:p>
        </w:tc>
        <w:tc>
          <w:tcPr>
            <w:tcW w:w="996" w:type="dxa"/>
            <w:tcBorders>
              <w:top w:val="nil"/>
              <w:left w:val="nil"/>
              <w:bottom w:val="single" w:sz="4" w:space="0" w:color="auto"/>
              <w:right w:val="single" w:sz="4" w:space="0" w:color="auto"/>
            </w:tcBorders>
            <w:shd w:val="clear" w:color="000000" w:fill="FFFFFF"/>
            <w:noWrap/>
            <w:vAlign w:val="bottom"/>
            <w:hideMark/>
          </w:tcPr>
          <w:p w14:paraId="378C201C" w14:textId="5436422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530</w:t>
            </w:r>
          </w:p>
        </w:tc>
        <w:tc>
          <w:tcPr>
            <w:tcW w:w="996" w:type="dxa"/>
            <w:tcBorders>
              <w:top w:val="nil"/>
              <w:left w:val="nil"/>
              <w:bottom w:val="single" w:sz="4" w:space="0" w:color="auto"/>
              <w:right w:val="single" w:sz="4" w:space="0" w:color="auto"/>
            </w:tcBorders>
            <w:shd w:val="clear" w:color="000000" w:fill="FFFFFF"/>
            <w:noWrap/>
            <w:vAlign w:val="bottom"/>
            <w:hideMark/>
          </w:tcPr>
          <w:p w14:paraId="15B8A977" w14:textId="0900AC9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112</w:t>
            </w:r>
          </w:p>
        </w:tc>
        <w:tc>
          <w:tcPr>
            <w:tcW w:w="996" w:type="dxa"/>
            <w:tcBorders>
              <w:top w:val="nil"/>
              <w:left w:val="nil"/>
              <w:bottom w:val="single" w:sz="4" w:space="0" w:color="auto"/>
              <w:right w:val="single" w:sz="4" w:space="0" w:color="auto"/>
            </w:tcBorders>
            <w:shd w:val="clear" w:color="000000" w:fill="FFFFFF"/>
            <w:noWrap/>
            <w:vAlign w:val="bottom"/>
            <w:hideMark/>
          </w:tcPr>
          <w:p w14:paraId="684A0528" w14:textId="28D372C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324</w:t>
            </w:r>
          </w:p>
        </w:tc>
        <w:tc>
          <w:tcPr>
            <w:tcW w:w="996" w:type="dxa"/>
            <w:tcBorders>
              <w:top w:val="nil"/>
              <w:left w:val="nil"/>
              <w:bottom w:val="single" w:sz="4" w:space="0" w:color="auto"/>
              <w:right w:val="single" w:sz="4" w:space="0" w:color="auto"/>
            </w:tcBorders>
            <w:shd w:val="clear" w:color="000000" w:fill="FFFFFF"/>
            <w:noWrap/>
            <w:vAlign w:val="bottom"/>
            <w:hideMark/>
          </w:tcPr>
          <w:p w14:paraId="7AB4C1F2" w14:textId="3075824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2,010</w:t>
            </w:r>
          </w:p>
        </w:tc>
        <w:tc>
          <w:tcPr>
            <w:tcW w:w="1107" w:type="dxa"/>
            <w:tcBorders>
              <w:top w:val="nil"/>
              <w:left w:val="nil"/>
              <w:bottom w:val="single" w:sz="4" w:space="0" w:color="auto"/>
              <w:right w:val="single" w:sz="4" w:space="0" w:color="auto"/>
            </w:tcBorders>
            <w:shd w:val="clear" w:color="000000" w:fill="FFFFFF"/>
            <w:noWrap/>
            <w:vAlign w:val="bottom"/>
            <w:hideMark/>
          </w:tcPr>
          <w:p w14:paraId="038148C5" w14:textId="37A9F3D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2,547</w:t>
            </w:r>
          </w:p>
        </w:tc>
        <w:tc>
          <w:tcPr>
            <w:tcW w:w="996" w:type="dxa"/>
            <w:tcBorders>
              <w:top w:val="nil"/>
              <w:left w:val="nil"/>
              <w:bottom w:val="single" w:sz="4" w:space="0" w:color="auto"/>
              <w:right w:val="single" w:sz="4" w:space="0" w:color="auto"/>
            </w:tcBorders>
            <w:shd w:val="clear" w:color="000000" w:fill="FFFFFF"/>
            <w:noWrap/>
            <w:vAlign w:val="bottom"/>
            <w:hideMark/>
          </w:tcPr>
          <w:p w14:paraId="11D157C1" w14:textId="3B060F1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85</w:t>
            </w:r>
          </w:p>
        </w:tc>
        <w:tc>
          <w:tcPr>
            <w:tcW w:w="996" w:type="dxa"/>
            <w:tcBorders>
              <w:top w:val="nil"/>
              <w:left w:val="nil"/>
              <w:bottom w:val="single" w:sz="4" w:space="0" w:color="auto"/>
              <w:right w:val="single" w:sz="4" w:space="0" w:color="auto"/>
            </w:tcBorders>
            <w:shd w:val="clear" w:color="000000" w:fill="FFFFFF"/>
            <w:noWrap/>
            <w:vAlign w:val="bottom"/>
            <w:hideMark/>
          </w:tcPr>
          <w:p w14:paraId="272044B5" w14:textId="43B6975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152</w:t>
            </w:r>
          </w:p>
        </w:tc>
        <w:tc>
          <w:tcPr>
            <w:tcW w:w="1127" w:type="dxa"/>
            <w:tcBorders>
              <w:top w:val="nil"/>
              <w:left w:val="nil"/>
              <w:bottom w:val="single" w:sz="4" w:space="0" w:color="auto"/>
              <w:right w:val="single" w:sz="4" w:space="0" w:color="auto"/>
            </w:tcBorders>
            <w:shd w:val="clear" w:color="000000" w:fill="FFFFFF"/>
            <w:noWrap/>
            <w:vAlign w:val="bottom"/>
            <w:hideMark/>
          </w:tcPr>
          <w:p w14:paraId="1BF89312" w14:textId="19EA5CE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303</w:t>
            </w:r>
          </w:p>
        </w:tc>
        <w:tc>
          <w:tcPr>
            <w:tcW w:w="996" w:type="dxa"/>
            <w:tcBorders>
              <w:top w:val="nil"/>
              <w:left w:val="nil"/>
              <w:bottom w:val="single" w:sz="4" w:space="0" w:color="auto"/>
              <w:right w:val="single" w:sz="4" w:space="0" w:color="auto"/>
            </w:tcBorders>
            <w:shd w:val="clear" w:color="000000" w:fill="FFFFFF"/>
            <w:noWrap/>
            <w:vAlign w:val="bottom"/>
            <w:hideMark/>
          </w:tcPr>
          <w:p w14:paraId="2A2EDFAC" w14:textId="22977FE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301</w:t>
            </w:r>
          </w:p>
        </w:tc>
        <w:tc>
          <w:tcPr>
            <w:tcW w:w="1096" w:type="dxa"/>
            <w:tcBorders>
              <w:top w:val="nil"/>
              <w:left w:val="nil"/>
              <w:bottom w:val="single" w:sz="4" w:space="0" w:color="auto"/>
              <w:right w:val="single" w:sz="8" w:space="0" w:color="auto"/>
            </w:tcBorders>
            <w:shd w:val="clear" w:color="000000" w:fill="FFFFFF"/>
            <w:noWrap/>
            <w:vAlign w:val="bottom"/>
            <w:hideMark/>
          </w:tcPr>
          <w:p w14:paraId="6347A3EC" w14:textId="6ABF5A7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7,389</w:t>
            </w:r>
          </w:p>
        </w:tc>
      </w:tr>
      <w:tr w:rsidR="00861244" w:rsidRPr="00E47FB2" w14:paraId="3F2AC04B"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18C85F2B"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Maní</w:t>
            </w:r>
          </w:p>
        </w:tc>
        <w:tc>
          <w:tcPr>
            <w:tcW w:w="997" w:type="dxa"/>
            <w:tcBorders>
              <w:top w:val="nil"/>
              <w:left w:val="nil"/>
              <w:bottom w:val="single" w:sz="4" w:space="0" w:color="auto"/>
              <w:right w:val="single" w:sz="4" w:space="0" w:color="auto"/>
            </w:tcBorders>
            <w:shd w:val="clear" w:color="000000" w:fill="FFFFFF"/>
            <w:noWrap/>
            <w:hideMark/>
          </w:tcPr>
          <w:p w14:paraId="59F7C5D8" w14:textId="14EB34D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4,664</w:t>
            </w:r>
          </w:p>
        </w:tc>
        <w:tc>
          <w:tcPr>
            <w:tcW w:w="997" w:type="dxa"/>
            <w:tcBorders>
              <w:top w:val="nil"/>
              <w:left w:val="nil"/>
              <w:bottom w:val="single" w:sz="4" w:space="0" w:color="auto"/>
              <w:right w:val="single" w:sz="4" w:space="0" w:color="auto"/>
            </w:tcBorders>
            <w:shd w:val="clear" w:color="000000" w:fill="FFFFFF"/>
            <w:noWrap/>
            <w:vAlign w:val="bottom"/>
            <w:hideMark/>
          </w:tcPr>
          <w:p w14:paraId="116DC56A" w14:textId="258FA4B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2,980</w:t>
            </w:r>
          </w:p>
        </w:tc>
        <w:tc>
          <w:tcPr>
            <w:tcW w:w="997" w:type="dxa"/>
            <w:tcBorders>
              <w:top w:val="nil"/>
              <w:left w:val="nil"/>
              <w:bottom w:val="single" w:sz="4" w:space="0" w:color="auto"/>
              <w:right w:val="single" w:sz="4" w:space="0" w:color="auto"/>
            </w:tcBorders>
            <w:shd w:val="clear" w:color="000000" w:fill="FFFFFF"/>
            <w:noWrap/>
            <w:vAlign w:val="bottom"/>
            <w:hideMark/>
          </w:tcPr>
          <w:p w14:paraId="3B3B3419" w14:textId="53E707E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5,354</w:t>
            </w:r>
          </w:p>
        </w:tc>
        <w:tc>
          <w:tcPr>
            <w:tcW w:w="996" w:type="dxa"/>
            <w:tcBorders>
              <w:top w:val="nil"/>
              <w:left w:val="nil"/>
              <w:bottom w:val="single" w:sz="4" w:space="0" w:color="auto"/>
              <w:right w:val="single" w:sz="4" w:space="0" w:color="auto"/>
            </w:tcBorders>
            <w:shd w:val="clear" w:color="000000" w:fill="FFFFFF"/>
            <w:noWrap/>
            <w:vAlign w:val="bottom"/>
            <w:hideMark/>
          </w:tcPr>
          <w:p w14:paraId="694A6C96" w14:textId="44FFF38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6,201</w:t>
            </w:r>
          </w:p>
        </w:tc>
        <w:tc>
          <w:tcPr>
            <w:tcW w:w="996" w:type="dxa"/>
            <w:tcBorders>
              <w:top w:val="nil"/>
              <w:left w:val="nil"/>
              <w:bottom w:val="single" w:sz="4" w:space="0" w:color="auto"/>
              <w:right w:val="single" w:sz="4" w:space="0" w:color="auto"/>
            </w:tcBorders>
            <w:shd w:val="clear" w:color="000000" w:fill="FFFFFF"/>
            <w:noWrap/>
            <w:vAlign w:val="bottom"/>
            <w:hideMark/>
          </w:tcPr>
          <w:p w14:paraId="67349799" w14:textId="72BE293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11,348</w:t>
            </w:r>
          </w:p>
        </w:tc>
        <w:tc>
          <w:tcPr>
            <w:tcW w:w="996" w:type="dxa"/>
            <w:tcBorders>
              <w:top w:val="nil"/>
              <w:left w:val="nil"/>
              <w:bottom w:val="single" w:sz="4" w:space="0" w:color="auto"/>
              <w:right w:val="single" w:sz="4" w:space="0" w:color="auto"/>
            </w:tcBorders>
            <w:shd w:val="clear" w:color="000000" w:fill="FFFFFF"/>
            <w:noWrap/>
            <w:vAlign w:val="bottom"/>
            <w:hideMark/>
          </w:tcPr>
          <w:p w14:paraId="67A8B201" w14:textId="1AFA12F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6,754</w:t>
            </w:r>
          </w:p>
        </w:tc>
        <w:tc>
          <w:tcPr>
            <w:tcW w:w="996" w:type="dxa"/>
            <w:tcBorders>
              <w:top w:val="nil"/>
              <w:left w:val="nil"/>
              <w:bottom w:val="single" w:sz="4" w:space="0" w:color="auto"/>
              <w:right w:val="single" w:sz="4" w:space="0" w:color="auto"/>
            </w:tcBorders>
            <w:shd w:val="clear" w:color="000000" w:fill="FFFFFF"/>
            <w:noWrap/>
            <w:vAlign w:val="bottom"/>
            <w:hideMark/>
          </w:tcPr>
          <w:p w14:paraId="4DC1C002" w14:textId="1E5701B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6,521</w:t>
            </w:r>
          </w:p>
        </w:tc>
        <w:tc>
          <w:tcPr>
            <w:tcW w:w="1107" w:type="dxa"/>
            <w:tcBorders>
              <w:top w:val="nil"/>
              <w:left w:val="nil"/>
              <w:bottom w:val="single" w:sz="4" w:space="0" w:color="auto"/>
              <w:right w:val="single" w:sz="4" w:space="0" w:color="auto"/>
            </w:tcBorders>
            <w:shd w:val="clear" w:color="000000" w:fill="FFFFFF"/>
            <w:noWrap/>
            <w:vAlign w:val="bottom"/>
            <w:hideMark/>
          </w:tcPr>
          <w:p w14:paraId="1CEFD8EE" w14:textId="47BF9B2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9,254</w:t>
            </w:r>
          </w:p>
        </w:tc>
        <w:tc>
          <w:tcPr>
            <w:tcW w:w="996" w:type="dxa"/>
            <w:tcBorders>
              <w:top w:val="nil"/>
              <w:left w:val="nil"/>
              <w:bottom w:val="single" w:sz="4" w:space="0" w:color="auto"/>
              <w:right w:val="single" w:sz="4" w:space="0" w:color="auto"/>
            </w:tcBorders>
            <w:shd w:val="clear" w:color="000000" w:fill="FFFFFF"/>
            <w:noWrap/>
            <w:vAlign w:val="bottom"/>
            <w:hideMark/>
          </w:tcPr>
          <w:p w14:paraId="3861F1E3" w14:textId="3B22F51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11,528</w:t>
            </w:r>
          </w:p>
        </w:tc>
        <w:tc>
          <w:tcPr>
            <w:tcW w:w="996" w:type="dxa"/>
            <w:tcBorders>
              <w:top w:val="nil"/>
              <w:left w:val="nil"/>
              <w:bottom w:val="single" w:sz="4" w:space="0" w:color="auto"/>
              <w:right w:val="single" w:sz="4" w:space="0" w:color="auto"/>
            </w:tcBorders>
            <w:shd w:val="clear" w:color="000000" w:fill="FFFFFF"/>
            <w:noWrap/>
            <w:vAlign w:val="bottom"/>
            <w:hideMark/>
          </w:tcPr>
          <w:p w14:paraId="2089599F" w14:textId="44F6C9C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4,214</w:t>
            </w:r>
          </w:p>
        </w:tc>
        <w:tc>
          <w:tcPr>
            <w:tcW w:w="1127" w:type="dxa"/>
            <w:tcBorders>
              <w:top w:val="nil"/>
              <w:left w:val="nil"/>
              <w:bottom w:val="single" w:sz="4" w:space="0" w:color="auto"/>
              <w:right w:val="single" w:sz="4" w:space="0" w:color="auto"/>
            </w:tcBorders>
            <w:shd w:val="clear" w:color="000000" w:fill="FFFFFF"/>
            <w:noWrap/>
            <w:vAlign w:val="bottom"/>
            <w:hideMark/>
          </w:tcPr>
          <w:p w14:paraId="503FFF87" w14:textId="0DD5D43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1,128</w:t>
            </w:r>
          </w:p>
        </w:tc>
        <w:tc>
          <w:tcPr>
            <w:tcW w:w="996" w:type="dxa"/>
            <w:tcBorders>
              <w:top w:val="nil"/>
              <w:left w:val="nil"/>
              <w:bottom w:val="single" w:sz="4" w:space="0" w:color="auto"/>
              <w:right w:val="single" w:sz="4" w:space="0" w:color="auto"/>
            </w:tcBorders>
            <w:shd w:val="clear" w:color="000000" w:fill="FFFFFF"/>
            <w:noWrap/>
            <w:vAlign w:val="bottom"/>
            <w:hideMark/>
          </w:tcPr>
          <w:p w14:paraId="423AC4EB" w14:textId="0BBDE89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1,557</w:t>
            </w:r>
          </w:p>
        </w:tc>
        <w:tc>
          <w:tcPr>
            <w:tcW w:w="1096" w:type="dxa"/>
            <w:tcBorders>
              <w:top w:val="nil"/>
              <w:left w:val="nil"/>
              <w:bottom w:val="single" w:sz="4" w:space="0" w:color="auto"/>
              <w:right w:val="single" w:sz="8" w:space="0" w:color="auto"/>
            </w:tcBorders>
            <w:shd w:val="clear" w:color="000000" w:fill="FFFFFF"/>
            <w:noWrap/>
            <w:vAlign w:val="bottom"/>
            <w:hideMark/>
          </w:tcPr>
          <w:p w14:paraId="63A15445" w14:textId="67638D5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71,503</w:t>
            </w:r>
          </w:p>
        </w:tc>
      </w:tr>
      <w:tr w:rsidR="00861244" w:rsidRPr="00E47FB2" w14:paraId="57F47C23"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661FE64B"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Frijol R.</w:t>
            </w:r>
          </w:p>
        </w:tc>
        <w:tc>
          <w:tcPr>
            <w:tcW w:w="997" w:type="dxa"/>
            <w:tcBorders>
              <w:top w:val="nil"/>
              <w:left w:val="nil"/>
              <w:bottom w:val="single" w:sz="4" w:space="0" w:color="auto"/>
              <w:right w:val="single" w:sz="4" w:space="0" w:color="auto"/>
            </w:tcBorders>
            <w:shd w:val="clear" w:color="000000" w:fill="FFFFFF"/>
            <w:noWrap/>
            <w:hideMark/>
          </w:tcPr>
          <w:p w14:paraId="70D2BE69" w14:textId="2646871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15,207</w:t>
            </w:r>
          </w:p>
        </w:tc>
        <w:tc>
          <w:tcPr>
            <w:tcW w:w="997" w:type="dxa"/>
            <w:tcBorders>
              <w:top w:val="nil"/>
              <w:left w:val="nil"/>
              <w:bottom w:val="single" w:sz="4" w:space="0" w:color="auto"/>
              <w:right w:val="single" w:sz="4" w:space="0" w:color="auto"/>
            </w:tcBorders>
            <w:shd w:val="clear" w:color="000000" w:fill="FFFFFF"/>
            <w:noWrap/>
            <w:vAlign w:val="bottom"/>
            <w:hideMark/>
          </w:tcPr>
          <w:p w14:paraId="5FDFA2F3" w14:textId="45C5F8B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4,564</w:t>
            </w:r>
          </w:p>
        </w:tc>
        <w:tc>
          <w:tcPr>
            <w:tcW w:w="997" w:type="dxa"/>
            <w:tcBorders>
              <w:top w:val="nil"/>
              <w:left w:val="nil"/>
              <w:bottom w:val="single" w:sz="4" w:space="0" w:color="auto"/>
              <w:right w:val="single" w:sz="4" w:space="0" w:color="auto"/>
            </w:tcBorders>
            <w:shd w:val="clear" w:color="000000" w:fill="FFFFFF"/>
            <w:noWrap/>
            <w:vAlign w:val="bottom"/>
            <w:hideMark/>
          </w:tcPr>
          <w:p w14:paraId="217B3832" w14:textId="4E07569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4,401</w:t>
            </w:r>
          </w:p>
        </w:tc>
        <w:tc>
          <w:tcPr>
            <w:tcW w:w="996" w:type="dxa"/>
            <w:tcBorders>
              <w:top w:val="nil"/>
              <w:left w:val="nil"/>
              <w:bottom w:val="single" w:sz="4" w:space="0" w:color="auto"/>
              <w:right w:val="single" w:sz="4" w:space="0" w:color="auto"/>
            </w:tcBorders>
            <w:shd w:val="clear" w:color="000000" w:fill="FFFFFF"/>
            <w:noWrap/>
            <w:vAlign w:val="bottom"/>
            <w:hideMark/>
          </w:tcPr>
          <w:p w14:paraId="0F278991" w14:textId="4381AC4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16,459</w:t>
            </w:r>
          </w:p>
        </w:tc>
        <w:tc>
          <w:tcPr>
            <w:tcW w:w="996" w:type="dxa"/>
            <w:tcBorders>
              <w:top w:val="nil"/>
              <w:left w:val="nil"/>
              <w:bottom w:val="single" w:sz="4" w:space="0" w:color="auto"/>
              <w:right w:val="single" w:sz="4" w:space="0" w:color="auto"/>
            </w:tcBorders>
            <w:shd w:val="clear" w:color="000000" w:fill="FFFFFF"/>
            <w:noWrap/>
            <w:vAlign w:val="bottom"/>
            <w:hideMark/>
          </w:tcPr>
          <w:p w14:paraId="7AD54A60" w14:textId="27150BB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23,121</w:t>
            </w:r>
          </w:p>
        </w:tc>
        <w:tc>
          <w:tcPr>
            <w:tcW w:w="996" w:type="dxa"/>
            <w:tcBorders>
              <w:top w:val="nil"/>
              <w:left w:val="nil"/>
              <w:bottom w:val="single" w:sz="4" w:space="0" w:color="auto"/>
              <w:right w:val="single" w:sz="4" w:space="0" w:color="auto"/>
            </w:tcBorders>
            <w:shd w:val="clear" w:color="000000" w:fill="FFFFFF"/>
            <w:noWrap/>
            <w:vAlign w:val="bottom"/>
            <w:hideMark/>
          </w:tcPr>
          <w:p w14:paraId="639348BF" w14:textId="742A4CF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5,988</w:t>
            </w:r>
          </w:p>
        </w:tc>
        <w:tc>
          <w:tcPr>
            <w:tcW w:w="996" w:type="dxa"/>
            <w:tcBorders>
              <w:top w:val="nil"/>
              <w:left w:val="nil"/>
              <w:bottom w:val="single" w:sz="4" w:space="0" w:color="auto"/>
              <w:right w:val="single" w:sz="4" w:space="0" w:color="auto"/>
            </w:tcBorders>
            <w:shd w:val="clear" w:color="000000" w:fill="FFFFFF"/>
            <w:noWrap/>
            <w:vAlign w:val="bottom"/>
            <w:hideMark/>
          </w:tcPr>
          <w:p w14:paraId="245ABB9A" w14:textId="253AC46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901</w:t>
            </w:r>
          </w:p>
        </w:tc>
        <w:tc>
          <w:tcPr>
            <w:tcW w:w="1107" w:type="dxa"/>
            <w:tcBorders>
              <w:top w:val="nil"/>
              <w:left w:val="nil"/>
              <w:bottom w:val="single" w:sz="4" w:space="0" w:color="auto"/>
              <w:right w:val="single" w:sz="4" w:space="0" w:color="auto"/>
            </w:tcBorders>
            <w:shd w:val="clear" w:color="000000" w:fill="FFFFFF"/>
            <w:noWrap/>
            <w:vAlign w:val="bottom"/>
            <w:hideMark/>
          </w:tcPr>
          <w:p w14:paraId="47DBD238" w14:textId="7B26028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4,585</w:t>
            </w:r>
          </w:p>
        </w:tc>
        <w:tc>
          <w:tcPr>
            <w:tcW w:w="996" w:type="dxa"/>
            <w:tcBorders>
              <w:top w:val="nil"/>
              <w:left w:val="nil"/>
              <w:bottom w:val="single" w:sz="4" w:space="0" w:color="auto"/>
              <w:right w:val="single" w:sz="4" w:space="0" w:color="auto"/>
            </w:tcBorders>
            <w:shd w:val="clear" w:color="000000" w:fill="FFFFFF"/>
            <w:noWrap/>
            <w:vAlign w:val="bottom"/>
            <w:hideMark/>
          </w:tcPr>
          <w:p w14:paraId="571C8EED" w14:textId="36B1C37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23,142</w:t>
            </w:r>
          </w:p>
        </w:tc>
        <w:tc>
          <w:tcPr>
            <w:tcW w:w="996" w:type="dxa"/>
            <w:tcBorders>
              <w:top w:val="nil"/>
              <w:left w:val="nil"/>
              <w:bottom w:val="single" w:sz="4" w:space="0" w:color="auto"/>
              <w:right w:val="single" w:sz="4" w:space="0" w:color="auto"/>
            </w:tcBorders>
            <w:shd w:val="clear" w:color="000000" w:fill="FFFFFF"/>
            <w:noWrap/>
            <w:vAlign w:val="bottom"/>
            <w:hideMark/>
          </w:tcPr>
          <w:p w14:paraId="7DA3F91A" w14:textId="057D0D1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11,024</w:t>
            </w:r>
          </w:p>
        </w:tc>
        <w:tc>
          <w:tcPr>
            <w:tcW w:w="1127" w:type="dxa"/>
            <w:tcBorders>
              <w:top w:val="nil"/>
              <w:left w:val="nil"/>
              <w:bottom w:val="single" w:sz="4" w:space="0" w:color="auto"/>
              <w:right w:val="single" w:sz="4" w:space="0" w:color="auto"/>
            </w:tcBorders>
            <w:shd w:val="clear" w:color="000000" w:fill="FFFFFF"/>
            <w:noWrap/>
            <w:vAlign w:val="bottom"/>
            <w:hideMark/>
          </w:tcPr>
          <w:p w14:paraId="169866F0" w14:textId="3859816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99,899</w:t>
            </w:r>
          </w:p>
        </w:tc>
        <w:tc>
          <w:tcPr>
            <w:tcW w:w="996" w:type="dxa"/>
            <w:tcBorders>
              <w:top w:val="nil"/>
              <w:left w:val="nil"/>
              <w:bottom w:val="single" w:sz="4" w:space="0" w:color="auto"/>
              <w:right w:val="single" w:sz="4" w:space="0" w:color="auto"/>
            </w:tcBorders>
            <w:shd w:val="clear" w:color="000000" w:fill="FFFFFF"/>
            <w:noWrap/>
            <w:vAlign w:val="bottom"/>
            <w:hideMark/>
          </w:tcPr>
          <w:p w14:paraId="6FB1CED7" w14:textId="2B8D9B3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88,752</w:t>
            </w:r>
          </w:p>
        </w:tc>
        <w:tc>
          <w:tcPr>
            <w:tcW w:w="1096" w:type="dxa"/>
            <w:tcBorders>
              <w:top w:val="nil"/>
              <w:left w:val="nil"/>
              <w:bottom w:val="single" w:sz="4" w:space="0" w:color="auto"/>
              <w:right w:val="single" w:sz="8" w:space="0" w:color="auto"/>
            </w:tcBorders>
            <w:shd w:val="clear" w:color="000000" w:fill="FFFFFF"/>
            <w:noWrap/>
            <w:vAlign w:val="bottom"/>
            <w:hideMark/>
          </w:tcPr>
          <w:p w14:paraId="1358FD27" w14:textId="7AF65D3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298,043</w:t>
            </w:r>
          </w:p>
        </w:tc>
      </w:tr>
      <w:tr w:rsidR="00861244" w:rsidRPr="00E47FB2" w14:paraId="7083B210"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594B22AE"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Frijol N.</w:t>
            </w:r>
          </w:p>
        </w:tc>
        <w:tc>
          <w:tcPr>
            <w:tcW w:w="997" w:type="dxa"/>
            <w:tcBorders>
              <w:top w:val="nil"/>
              <w:left w:val="nil"/>
              <w:bottom w:val="single" w:sz="4" w:space="0" w:color="auto"/>
              <w:right w:val="single" w:sz="4" w:space="0" w:color="auto"/>
            </w:tcBorders>
            <w:shd w:val="clear" w:color="000000" w:fill="FFFFFF"/>
            <w:noWrap/>
            <w:hideMark/>
          </w:tcPr>
          <w:p w14:paraId="327E507E" w14:textId="57BFC74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31,122</w:t>
            </w:r>
          </w:p>
        </w:tc>
        <w:tc>
          <w:tcPr>
            <w:tcW w:w="997" w:type="dxa"/>
            <w:tcBorders>
              <w:top w:val="nil"/>
              <w:left w:val="nil"/>
              <w:bottom w:val="single" w:sz="4" w:space="0" w:color="auto"/>
              <w:right w:val="single" w:sz="4" w:space="0" w:color="auto"/>
            </w:tcBorders>
            <w:shd w:val="clear" w:color="000000" w:fill="FFFFFF"/>
            <w:noWrap/>
            <w:vAlign w:val="bottom"/>
            <w:hideMark/>
          </w:tcPr>
          <w:p w14:paraId="32E2BF1A" w14:textId="139789D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4,854</w:t>
            </w:r>
          </w:p>
        </w:tc>
        <w:tc>
          <w:tcPr>
            <w:tcW w:w="997" w:type="dxa"/>
            <w:tcBorders>
              <w:top w:val="nil"/>
              <w:left w:val="nil"/>
              <w:bottom w:val="single" w:sz="4" w:space="0" w:color="auto"/>
              <w:right w:val="single" w:sz="4" w:space="0" w:color="auto"/>
            </w:tcBorders>
            <w:shd w:val="clear" w:color="000000" w:fill="FFFFFF"/>
            <w:noWrap/>
            <w:vAlign w:val="bottom"/>
            <w:hideMark/>
          </w:tcPr>
          <w:p w14:paraId="3FCA0D4E" w14:textId="19826ED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2,589</w:t>
            </w:r>
          </w:p>
        </w:tc>
        <w:tc>
          <w:tcPr>
            <w:tcW w:w="996" w:type="dxa"/>
            <w:tcBorders>
              <w:top w:val="nil"/>
              <w:left w:val="nil"/>
              <w:bottom w:val="single" w:sz="4" w:space="0" w:color="auto"/>
              <w:right w:val="single" w:sz="4" w:space="0" w:color="auto"/>
            </w:tcBorders>
            <w:shd w:val="clear" w:color="000000" w:fill="FFFFFF"/>
            <w:noWrap/>
            <w:vAlign w:val="bottom"/>
            <w:hideMark/>
          </w:tcPr>
          <w:p w14:paraId="456D4067" w14:textId="0648ED1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33,014</w:t>
            </w:r>
          </w:p>
        </w:tc>
        <w:tc>
          <w:tcPr>
            <w:tcW w:w="996" w:type="dxa"/>
            <w:tcBorders>
              <w:top w:val="nil"/>
              <w:left w:val="nil"/>
              <w:bottom w:val="single" w:sz="4" w:space="0" w:color="auto"/>
              <w:right w:val="single" w:sz="4" w:space="0" w:color="auto"/>
            </w:tcBorders>
            <w:shd w:val="clear" w:color="000000" w:fill="FFFFFF"/>
            <w:noWrap/>
            <w:vAlign w:val="bottom"/>
            <w:hideMark/>
          </w:tcPr>
          <w:p w14:paraId="0B4C8BCF" w14:textId="752C993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35,412</w:t>
            </w:r>
          </w:p>
        </w:tc>
        <w:tc>
          <w:tcPr>
            <w:tcW w:w="996" w:type="dxa"/>
            <w:tcBorders>
              <w:top w:val="nil"/>
              <w:left w:val="nil"/>
              <w:bottom w:val="single" w:sz="4" w:space="0" w:color="auto"/>
              <w:right w:val="single" w:sz="4" w:space="0" w:color="auto"/>
            </w:tcBorders>
            <w:shd w:val="clear" w:color="000000" w:fill="FFFFFF"/>
            <w:noWrap/>
            <w:vAlign w:val="bottom"/>
            <w:hideMark/>
          </w:tcPr>
          <w:p w14:paraId="129C3641" w14:textId="19B6C18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11,241</w:t>
            </w:r>
          </w:p>
        </w:tc>
        <w:tc>
          <w:tcPr>
            <w:tcW w:w="996" w:type="dxa"/>
            <w:tcBorders>
              <w:top w:val="nil"/>
              <w:left w:val="nil"/>
              <w:bottom w:val="single" w:sz="4" w:space="0" w:color="auto"/>
              <w:right w:val="single" w:sz="4" w:space="0" w:color="auto"/>
            </w:tcBorders>
            <w:shd w:val="clear" w:color="000000" w:fill="FFFFFF"/>
            <w:noWrap/>
            <w:vAlign w:val="bottom"/>
            <w:hideMark/>
          </w:tcPr>
          <w:p w14:paraId="0DDA1BFB" w14:textId="0DA3C7C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1,456</w:t>
            </w:r>
          </w:p>
        </w:tc>
        <w:tc>
          <w:tcPr>
            <w:tcW w:w="1107" w:type="dxa"/>
            <w:tcBorders>
              <w:top w:val="nil"/>
              <w:left w:val="nil"/>
              <w:bottom w:val="single" w:sz="4" w:space="0" w:color="auto"/>
              <w:right w:val="single" w:sz="4" w:space="0" w:color="auto"/>
            </w:tcBorders>
            <w:shd w:val="clear" w:color="000000" w:fill="FFFFFF"/>
            <w:noWrap/>
            <w:vAlign w:val="bottom"/>
            <w:hideMark/>
          </w:tcPr>
          <w:p w14:paraId="037020CA" w14:textId="623BC2F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6,854</w:t>
            </w:r>
          </w:p>
        </w:tc>
        <w:tc>
          <w:tcPr>
            <w:tcW w:w="996" w:type="dxa"/>
            <w:tcBorders>
              <w:top w:val="nil"/>
              <w:left w:val="nil"/>
              <w:bottom w:val="single" w:sz="4" w:space="0" w:color="auto"/>
              <w:right w:val="single" w:sz="4" w:space="0" w:color="auto"/>
            </w:tcBorders>
            <w:shd w:val="clear" w:color="000000" w:fill="FFFFFF"/>
            <w:noWrap/>
            <w:vAlign w:val="bottom"/>
            <w:hideMark/>
          </w:tcPr>
          <w:p w14:paraId="7FA6861F" w14:textId="687F8E2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48,955</w:t>
            </w:r>
          </w:p>
        </w:tc>
        <w:tc>
          <w:tcPr>
            <w:tcW w:w="996" w:type="dxa"/>
            <w:tcBorders>
              <w:top w:val="nil"/>
              <w:left w:val="nil"/>
              <w:bottom w:val="single" w:sz="4" w:space="0" w:color="auto"/>
              <w:right w:val="single" w:sz="4" w:space="0" w:color="auto"/>
            </w:tcBorders>
            <w:shd w:val="clear" w:color="000000" w:fill="FFFFFF"/>
            <w:noWrap/>
            <w:vAlign w:val="bottom"/>
            <w:hideMark/>
          </w:tcPr>
          <w:p w14:paraId="327461ED" w14:textId="4DB9874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23,859</w:t>
            </w:r>
          </w:p>
        </w:tc>
        <w:tc>
          <w:tcPr>
            <w:tcW w:w="1127" w:type="dxa"/>
            <w:tcBorders>
              <w:top w:val="nil"/>
              <w:left w:val="nil"/>
              <w:bottom w:val="single" w:sz="4" w:space="0" w:color="auto"/>
              <w:right w:val="single" w:sz="4" w:space="0" w:color="auto"/>
            </w:tcBorders>
            <w:shd w:val="clear" w:color="000000" w:fill="FFFFFF"/>
            <w:noWrap/>
            <w:vAlign w:val="bottom"/>
            <w:hideMark/>
          </w:tcPr>
          <w:p w14:paraId="35DD94F2" w14:textId="43226E7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31,021</w:t>
            </w:r>
          </w:p>
        </w:tc>
        <w:tc>
          <w:tcPr>
            <w:tcW w:w="996" w:type="dxa"/>
            <w:tcBorders>
              <w:top w:val="nil"/>
              <w:left w:val="nil"/>
              <w:bottom w:val="single" w:sz="4" w:space="0" w:color="auto"/>
              <w:right w:val="single" w:sz="4" w:space="0" w:color="auto"/>
            </w:tcBorders>
            <w:shd w:val="clear" w:color="000000" w:fill="FFFFFF"/>
            <w:noWrap/>
            <w:vAlign w:val="bottom"/>
            <w:hideMark/>
          </w:tcPr>
          <w:p w14:paraId="10A7C535" w14:textId="5F01E1D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44,695</w:t>
            </w:r>
          </w:p>
        </w:tc>
        <w:tc>
          <w:tcPr>
            <w:tcW w:w="1096" w:type="dxa"/>
            <w:tcBorders>
              <w:top w:val="nil"/>
              <w:left w:val="nil"/>
              <w:bottom w:val="single" w:sz="4" w:space="0" w:color="auto"/>
              <w:right w:val="single" w:sz="8" w:space="0" w:color="auto"/>
            </w:tcBorders>
            <w:shd w:val="clear" w:color="000000" w:fill="FFFFFF"/>
            <w:noWrap/>
            <w:vAlign w:val="bottom"/>
            <w:hideMark/>
          </w:tcPr>
          <w:p w14:paraId="0F454C10" w14:textId="7314C1B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275,072</w:t>
            </w:r>
          </w:p>
        </w:tc>
      </w:tr>
      <w:tr w:rsidR="00861244" w:rsidRPr="00E47FB2" w14:paraId="24B29A47"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07530F1F"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Frijol B.</w:t>
            </w:r>
          </w:p>
        </w:tc>
        <w:tc>
          <w:tcPr>
            <w:tcW w:w="997" w:type="dxa"/>
            <w:tcBorders>
              <w:top w:val="nil"/>
              <w:left w:val="nil"/>
              <w:bottom w:val="single" w:sz="4" w:space="0" w:color="auto"/>
              <w:right w:val="single" w:sz="4" w:space="0" w:color="auto"/>
            </w:tcBorders>
            <w:shd w:val="clear" w:color="000000" w:fill="FFFFFF"/>
            <w:noWrap/>
            <w:hideMark/>
          </w:tcPr>
          <w:p w14:paraId="1877BCC1" w14:textId="092F111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604</w:t>
            </w:r>
          </w:p>
        </w:tc>
        <w:tc>
          <w:tcPr>
            <w:tcW w:w="997" w:type="dxa"/>
            <w:tcBorders>
              <w:top w:val="nil"/>
              <w:left w:val="nil"/>
              <w:bottom w:val="single" w:sz="4" w:space="0" w:color="auto"/>
              <w:right w:val="single" w:sz="4" w:space="0" w:color="auto"/>
            </w:tcBorders>
            <w:shd w:val="clear" w:color="000000" w:fill="FFFFFF"/>
            <w:noWrap/>
            <w:vAlign w:val="bottom"/>
            <w:hideMark/>
          </w:tcPr>
          <w:p w14:paraId="4490FD32" w14:textId="52F2869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365</w:t>
            </w:r>
          </w:p>
        </w:tc>
        <w:tc>
          <w:tcPr>
            <w:tcW w:w="997" w:type="dxa"/>
            <w:tcBorders>
              <w:top w:val="nil"/>
              <w:left w:val="nil"/>
              <w:bottom w:val="single" w:sz="4" w:space="0" w:color="auto"/>
              <w:right w:val="single" w:sz="4" w:space="0" w:color="auto"/>
            </w:tcBorders>
            <w:shd w:val="clear" w:color="000000" w:fill="FFFFFF"/>
            <w:noWrap/>
            <w:vAlign w:val="bottom"/>
            <w:hideMark/>
          </w:tcPr>
          <w:p w14:paraId="094E5324" w14:textId="0F86BFB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320</w:t>
            </w:r>
          </w:p>
        </w:tc>
        <w:tc>
          <w:tcPr>
            <w:tcW w:w="996" w:type="dxa"/>
            <w:tcBorders>
              <w:top w:val="nil"/>
              <w:left w:val="nil"/>
              <w:bottom w:val="single" w:sz="4" w:space="0" w:color="auto"/>
              <w:right w:val="single" w:sz="4" w:space="0" w:color="auto"/>
            </w:tcBorders>
            <w:shd w:val="clear" w:color="000000" w:fill="FFFFFF"/>
            <w:noWrap/>
            <w:vAlign w:val="bottom"/>
            <w:hideMark/>
          </w:tcPr>
          <w:p w14:paraId="1CD835BE" w14:textId="43B9642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920</w:t>
            </w:r>
          </w:p>
        </w:tc>
        <w:tc>
          <w:tcPr>
            <w:tcW w:w="996" w:type="dxa"/>
            <w:tcBorders>
              <w:top w:val="nil"/>
              <w:left w:val="nil"/>
              <w:bottom w:val="single" w:sz="4" w:space="0" w:color="auto"/>
              <w:right w:val="single" w:sz="4" w:space="0" w:color="auto"/>
            </w:tcBorders>
            <w:shd w:val="clear" w:color="000000" w:fill="FFFFFF"/>
            <w:noWrap/>
            <w:vAlign w:val="bottom"/>
            <w:hideMark/>
          </w:tcPr>
          <w:p w14:paraId="2D926D33" w14:textId="78AE609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754</w:t>
            </w:r>
          </w:p>
        </w:tc>
        <w:tc>
          <w:tcPr>
            <w:tcW w:w="996" w:type="dxa"/>
            <w:tcBorders>
              <w:top w:val="nil"/>
              <w:left w:val="nil"/>
              <w:bottom w:val="single" w:sz="4" w:space="0" w:color="auto"/>
              <w:right w:val="single" w:sz="4" w:space="0" w:color="auto"/>
            </w:tcBorders>
            <w:shd w:val="clear" w:color="000000" w:fill="FFFFFF"/>
            <w:noWrap/>
            <w:vAlign w:val="bottom"/>
            <w:hideMark/>
          </w:tcPr>
          <w:p w14:paraId="657419B0" w14:textId="06D71FB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599</w:t>
            </w:r>
          </w:p>
        </w:tc>
        <w:tc>
          <w:tcPr>
            <w:tcW w:w="996" w:type="dxa"/>
            <w:tcBorders>
              <w:top w:val="nil"/>
              <w:left w:val="nil"/>
              <w:bottom w:val="single" w:sz="4" w:space="0" w:color="auto"/>
              <w:right w:val="single" w:sz="4" w:space="0" w:color="auto"/>
            </w:tcBorders>
            <w:shd w:val="clear" w:color="000000" w:fill="FFFFFF"/>
            <w:noWrap/>
            <w:vAlign w:val="bottom"/>
            <w:hideMark/>
          </w:tcPr>
          <w:p w14:paraId="320A5ED0" w14:textId="565337E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895</w:t>
            </w:r>
          </w:p>
        </w:tc>
        <w:tc>
          <w:tcPr>
            <w:tcW w:w="1107" w:type="dxa"/>
            <w:tcBorders>
              <w:top w:val="nil"/>
              <w:left w:val="nil"/>
              <w:bottom w:val="single" w:sz="4" w:space="0" w:color="auto"/>
              <w:right w:val="single" w:sz="4" w:space="0" w:color="auto"/>
            </w:tcBorders>
            <w:shd w:val="clear" w:color="000000" w:fill="FFFFFF"/>
            <w:noWrap/>
            <w:vAlign w:val="bottom"/>
            <w:hideMark/>
          </w:tcPr>
          <w:p w14:paraId="52E41E4A" w14:textId="20EFE4B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258</w:t>
            </w:r>
          </w:p>
        </w:tc>
        <w:tc>
          <w:tcPr>
            <w:tcW w:w="996" w:type="dxa"/>
            <w:tcBorders>
              <w:top w:val="nil"/>
              <w:left w:val="nil"/>
              <w:bottom w:val="single" w:sz="4" w:space="0" w:color="auto"/>
              <w:right w:val="single" w:sz="4" w:space="0" w:color="auto"/>
            </w:tcBorders>
            <w:shd w:val="clear" w:color="000000" w:fill="FFFFFF"/>
            <w:noWrap/>
            <w:vAlign w:val="bottom"/>
            <w:hideMark/>
          </w:tcPr>
          <w:p w14:paraId="146AD6BA" w14:textId="65C6A9C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2,645</w:t>
            </w:r>
          </w:p>
        </w:tc>
        <w:tc>
          <w:tcPr>
            <w:tcW w:w="996" w:type="dxa"/>
            <w:tcBorders>
              <w:top w:val="nil"/>
              <w:left w:val="nil"/>
              <w:bottom w:val="single" w:sz="4" w:space="0" w:color="auto"/>
              <w:right w:val="single" w:sz="4" w:space="0" w:color="auto"/>
            </w:tcBorders>
            <w:shd w:val="clear" w:color="000000" w:fill="FFFFFF"/>
            <w:noWrap/>
            <w:vAlign w:val="bottom"/>
            <w:hideMark/>
          </w:tcPr>
          <w:p w14:paraId="61BC48E1" w14:textId="275C6AD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1,126</w:t>
            </w:r>
          </w:p>
        </w:tc>
        <w:tc>
          <w:tcPr>
            <w:tcW w:w="1127" w:type="dxa"/>
            <w:tcBorders>
              <w:top w:val="nil"/>
              <w:left w:val="nil"/>
              <w:bottom w:val="single" w:sz="4" w:space="0" w:color="auto"/>
              <w:right w:val="single" w:sz="4" w:space="0" w:color="auto"/>
            </w:tcBorders>
            <w:shd w:val="clear" w:color="000000" w:fill="FFFFFF"/>
            <w:noWrap/>
            <w:vAlign w:val="bottom"/>
            <w:hideMark/>
          </w:tcPr>
          <w:p w14:paraId="0F44B922" w14:textId="08E3E71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545</w:t>
            </w:r>
          </w:p>
        </w:tc>
        <w:tc>
          <w:tcPr>
            <w:tcW w:w="996" w:type="dxa"/>
            <w:tcBorders>
              <w:top w:val="nil"/>
              <w:left w:val="nil"/>
              <w:bottom w:val="single" w:sz="4" w:space="0" w:color="auto"/>
              <w:right w:val="single" w:sz="4" w:space="0" w:color="auto"/>
            </w:tcBorders>
            <w:shd w:val="clear" w:color="000000" w:fill="FFFFFF"/>
            <w:noWrap/>
            <w:vAlign w:val="bottom"/>
            <w:hideMark/>
          </w:tcPr>
          <w:p w14:paraId="5A7EF536" w14:textId="5D1A0D4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792</w:t>
            </w:r>
          </w:p>
        </w:tc>
        <w:tc>
          <w:tcPr>
            <w:tcW w:w="1096" w:type="dxa"/>
            <w:tcBorders>
              <w:top w:val="nil"/>
              <w:left w:val="nil"/>
              <w:bottom w:val="single" w:sz="4" w:space="0" w:color="auto"/>
              <w:right w:val="single" w:sz="8" w:space="0" w:color="auto"/>
            </w:tcBorders>
            <w:shd w:val="clear" w:color="000000" w:fill="FFFFFF"/>
            <w:noWrap/>
            <w:vAlign w:val="bottom"/>
            <w:hideMark/>
          </w:tcPr>
          <w:p w14:paraId="53920ABB" w14:textId="0343CC8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9,823</w:t>
            </w:r>
          </w:p>
        </w:tc>
      </w:tr>
      <w:tr w:rsidR="00861244" w:rsidRPr="00E47FB2" w14:paraId="60E514CB"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72D5504F"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Guandúl</w:t>
            </w:r>
          </w:p>
        </w:tc>
        <w:tc>
          <w:tcPr>
            <w:tcW w:w="997" w:type="dxa"/>
            <w:tcBorders>
              <w:top w:val="nil"/>
              <w:left w:val="nil"/>
              <w:bottom w:val="single" w:sz="4" w:space="0" w:color="auto"/>
              <w:right w:val="single" w:sz="4" w:space="0" w:color="auto"/>
            </w:tcBorders>
            <w:shd w:val="clear" w:color="000000" w:fill="FFFFFF"/>
            <w:noWrap/>
            <w:hideMark/>
          </w:tcPr>
          <w:p w14:paraId="7C76E194" w14:textId="036C9AF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8,251</w:t>
            </w:r>
          </w:p>
        </w:tc>
        <w:tc>
          <w:tcPr>
            <w:tcW w:w="997" w:type="dxa"/>
            <w:tcBorders>
              <w:top w:val="nil"/>
              <w:left w:val="nil"/>
              <w:bottom w:val="single" w:sz="4" w:space="0" w:color="auto"/>
              <w:right w:val="single" w:sz="4" w:space="0" w:color="auto"/>
            </w:tcBorders>
            <w:shd w:val="clear" w:color="000000" w:fill="FFFFFF"/>
            <w:noWrap/>
            <w:vAlign w:val="bottom"/>
            <w:hideMark/>
          </w:tcPr>
          <w:p w14:paraId="77B8E6C5" w14:textId="38E1251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6,974</w:t>
            </w:r>
          </w:p>
        </w:tc>
        <w:tc>
          <w:tcPr>
            <w:tcW w:w="997" w:type="dxa"/>
            <w:tcBorders>
              <w:top w:val="nil"/>
              <w:left w:val="nil"/>
              <w:bottom w:val="single" w:sz="4" w:space="0" w:color="auto"/>
              <w:right w:val="single" w:sz="4" w:space="0" w:color="auto"/>
            </w:tcBorders>
            <w:shd w:val="clear" w:color="000000" w:fill="FFFFFF"/>
            <w:noWrap/>
            <w:vAlign w:val="bottom"/>
            <w:hideMark/>
          </w:tcPr>
          <w:p w14:paraId="0B7A0516" w14:textId="0140D67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9,621</w:t>
            </w:r>
          </w:p>
        </w:tc>
        <w:tc>
          <w:tcPr>
            <w:tcW w:w="996" w:type="dxa"/>
            <w:tcBorders>
              <w:top w:val="nil"/>
              <w:left w:val="nil"/>
              <w:bottom w:val="single" w:sz="4" w:space="0" w:color="auto"/>
              <w:right w:val="single" w:sz="4" w:space="0" w:color="auto"/>
            </w:tcBorders>
            <w:shd w:val="clear" w:color="000000" w:fill="FFFFFF"/>
            <w:noWrap/>
            <w:vAlign w:val="bottom"/>
            <w:hideMark/>
          </w:tcPr>
          <w:p w14:paraId="6321D7A9" w14:textId="71D691E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43,214</w:t>
            </w:r>
          </w:p>
        </w:tc>
        <w:tc>
          <w:tcPr>
            <w:tcW w:w="996" w:type="dxa"/>
            <w:tcBorders>
              <w:top w:val="nil"/>
              <w:left w:val="nil"/>
              <w:bottom w:val="single" w:sz="4" w:space="0" w:color="auto"/>
              <w:right w:val="single" w:sz="4" w:space="0" w:color="auto"/>
            </w:tcBorders>
            <w:shd w:val="clear" w:color="000000" w:fill="FFFFFF"/>
            <w:noWrap/>
            <w:vAlign w:val="bottom"/>
            <w:hideMark/>
          </w:tcPr>
          <w:p w14:paraId="245B50DA" w14:textId="7823E99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54,521</w:t>
            </w:r>
          </w:p>
        </w:tc>
        <w:tc>
          <w:tcPr>
            <w:tcW w:w="996" w:type="dxa"/>
            <w:tcBorders>
              <w:top w:val="nil"/>
              <w:left w:val="nil"/>
              <w:bottom w:val="single" w:sz="4" w:space="0" w:color="auto"/>
              <w:right w:val="single" w:sz="4" w:space="0" w:color="auto"/>
            </w:tcBorders>
            <w:shd w:val="clear" w:color="000000" w:fill="FFFFFF"/>
            <w:noWrap/>
            <w:vAlign w:val="bottom"/>
            <w:hideMark/>
          </w:tcPr>
          <w:p w14:paraId="5E398898" w14:textId="58AB61A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33,012</w:t>
            </w:r>
          </w:p>
        </w:tc>
        <w:tc>
          <w:tcPr>
            <w:tcW w:w="996" w:type="dxa"/>
            <w:tcBorders>
              <w:top w:val="nil"/>
              <w:left w:val="nil"/>
              <w:bottom w:val="single" w:sz="4" w:space="0" w:color="auto"/>
              <w:right w:val="single" w:sz="4" w:space="0" w:color="auto"/>
            </w:tcBorders>
            <w:shd w:val="clear" w:color="000000" w:fill="FFFFFF"/>
            <w:noWrap/>
            <w:vAlign w:val="bottom"/>
            <w:hideMark/>
          </w:tcPr>
          <w:p w14:paraId="603A2168" w14:textId="0E3A0C9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16,073</w:t>
            </w:r>
          </w:p>
        </w:tc>
        <w:tc>
          <w:tcPr>
            <w:tcW w:w="1107" w:type="dxa"/>
            <w:tcBorders>
              <w:top w:val="nil"/>
              <w:left w:val="nil"/>
              <w:bottom w:val="single" w:sz="4" w:space="0" w:color="auto"/>
              <w:right w:val="single" w:sz="4" w:space="0" w:color="auto"/>
            </w:tcBorders>
            <w:shd w:val="clear" w:color="000000" w:fill="FFFFFF"/>
            <w:noWrap/>
            <w:vAlign w:val="bottom"/>
            <w:hideMark/>
          </w:tcPr>
          <w:p w14:paraId="31208C17" w14:textId="0E1E62E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24,214</w:t>
            </w:r>
          </w:p>
        </w:tc>
        <w:tc>
          <w:tcPr>
            <w:tcW w:w="996" w:type="dxa"/>
            <w:tcBorders>
              <w:top w:val="nil"/>
              <w:left w:val="nil"/>
              <w:bottom w:val="single" w:sz="4" w:space="0" w:color="auto"/>
              <w:right w:val="single" w:sz="4" w:space="0" w:color="auto"/>
            </w:tcBorders>
            <w:shd w:val="clear" w:color="000000" w:fill="FFFFFF"/>
            <w:noWrap/>
            <w:vAlign w:val="bottom"/>
            <w:hideMark/>
          </w:tcPr>
          <w:p w14:paraId="48AB2B1E" w14:textId="3DD6445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9,584</w:t>
            </w:r>
          </w:p>
        </w:tc>
        <w:tc>
          <w:tcPr>
            <w:tcW w:w="996" w:type="dxa"/>
            <w:tcBorders>
              <w:top w:val="nil"/>
              <w:left w:val="nil"/>
              <w:bottom w:val="single" w:sz="4" w:space="0" w:color="auto"/>
              <w:right w:val="single" w:sz="4" w:space="0" w:color="auto"/>
            </w:tcBorders>
            <w:shd w:val="clear" w:color="000000" w:fill="FFFFFF"/>
            <w:noWrap/>
            <w:vAlign w:val="bottom"/>
            <w:hideMark/>
          </w:tcPr>
          <w:p w14:paraId="69A1F2CA" w14:textId="579DC7A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5,895</w:t>
            </w:r>
          </w:p>
        </w:tc>
        <w:tc>
          <w:tcPr>
            <w:tcW w:w="1127" w:type="dxa"/>
            <w:tcBorders>
              <w:top w:val="nil"/>
              <w:left w:val="nil"/>
              <w:bottom w:val="single" w:sz="4" w:space="0" w:color="auto"/>
              <w:right w:val="single" w:sz="4" w:space="0" w:color="auto"/>
            </w:tcBorders>
            <w:shd w:val="clear" w:color="000000" w:fill="FFFFFF"/>
            <w:noWrap/>
            <w:vAlign w:val="bottom"/>
            <w:hideMark/>
          </w:tcPr>
          <w:p w14:paraId="04EC27DF" w14:textId="5A1C674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25,945</w:t>
            </w:r>
          </w:p>
        </w:tc>
        <w:tc>
          <w:tcPr>
            <w:tcW w:w="996" w:type="dxa"/>
            <w:tcBorders>
              <w:top w:val="nil"/>
              <w:left w:val="nil"/>
              <w:bottom w:val="single" w:sz="4" w:space="0" w:color="auto"/>
              <w:right w:val="single" w:sz="4" w:space="0" w:color="auto"/>
            </w:tcBorders>
            <w:shd w:val="clear" w:color="000000" w:fill="FFFFFF"/>
            <w:noWrap/>
            <w:vAlign w:val="bottom"/>
            <w:hideMark/>
          </w:tcPr>
          <w:p w14:paraId="72C24C7B" w14:textId="20B34E8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6,618</w:t>
            </w:r>
          </w:p>
        </w:tc>
        <w:tc>
          <w:tcPr>
            <w:tcW w:w="1096" w:type="dxa"/>
            <w:tcBorders>
              <w:top w:val="nil"/>
              <w:left w:val="nil"/>
              <w:bottom w:val="single" w:sz="4" w:space="0" w:color="auto"/>
              <w:right w:val="single" w:sz="8" w:space="0" w:color="auto"/>
            </w:tcBorders>
            <w:shd w:val="clear" w:color="000000" w:fill="FFFFFF"/>
            <w:noWrap/>
            <w:vAlign w:val="bottom"/>
            <w:hideMark/>
          </w:tcPr>
          <w:p w14:paraId="22FD0CE9" w14:textId="16CCAAE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243,922</w:t>
            </w:r>
          </w:p>
        </w:tc>
      </w:tr>
      <w:tr w:rsidR="00861244" w:rsidRPr="00E47FB2" w14:paraId="031BA6F5"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4F5B9AE5"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Guard Beans</w:t>
            </w:r>
          </w:p>
        </w:tc>
        <w:tc>
          <w:tcPr>
            <w:tcW w:w="997" w:type="dxa"/>
            <w:tcBorders>
              <w:top w:val="nil"/>
              <w:left w:val="nil"/>
              <w:bottom w:val="single" w:sz="4" w:space="0" w:color="auto"/>
              <w:right w:val="single" w:sz="4" w:space="0" w:color="auto"/>
            </w:tcBorders>
            <w:shd w:val="clear" w:color="000000" w:fill="FFFFFF"/>
            <w:noWrap/>
            <w:hideMark/>
          </w:tcPr>
          <w:p w14:paraId="0852134B" w14:textId="7A1AEB0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109</w:t>
            </w:r>
          </w:p>
        </w:tc>
        <w:tc>
          <w:tcPr>
            <w:tcW w:w="997" w:type="dxa"/>
            <w:tcBorders>
              <w:top w:val="nil"/>
              <w:left w:val="nil"/>
              <w:bottom w:val="single" w:sz="4" w:space="0" w:color="auto"/>
              <w:right w:val="single" w:sz="4" w:space="0" w:color="auto"/>
            </w:tcBorders>
            <w:shd w:val="clear" w:color="000000" w:fill="FFFFFF"/>
            <w:noWrap/>
            <w:vAlign w:val="bottom"/>
            <w:hideMark/>
          </w:tcPr>
          <w:p w14:paraId="4FBADE64" w14:textId="3ACA064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206</w:t>
            </w:r>
          </w:p>
        </w:tc>
        <w:tc>
          <w:tcPr>
            <w:tcW w:w="997" w:type="dxa"/>
            <w:tcBorders>
              <w:top w:val="nil"/>
              <w:left w:val="nil"/>
              <w:bottom w:val="single" w:sz="4" w:space="0" w:color="auto"/>
              <w:right w:val="single" w:sz="4" w:space="0" w:color="auto"/>
            </w:tcBorders>
            <w:shd w:val="clear" w:color="000000" w:fill="FFFFFF"/>
            <w:noWrap/>
            <w:vAlign w:val="bottom"/>
            <w:hideMark/>
          </w:tcPr>
          <w:p w14:paraId="4EF27A5E" w14:textId="6596CDB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240</w:t>
            </w:r>
          </w:p>
        </w:tc>
        <w:tc>
          <w:tcPr>
            <w:tcW w:w="996" w:type="dxa"/>
            <w:tcBorders>
              <w:top w:val="nil"/>
              <w:left w:val="nil"/>
              <w:bottom w:val="single" w:sz="4" w:space="0" w:color="auto"/>
              <w:right w:val="single" w:sz="4" w:space="0" w:color="auto"/>
            </w:tcBorders>
            <w:shd w:val="clear" w:color="000000" w:fill="FFFFFF"/>
            <w:noWrap/>
            <w:vAlign w:val="bottom"/>
            <w:hideMark/>
          </w:tcPr>
          <w:p w14:paraId="474D5266" w14:textId="5F7F27C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28</w:t>
            </w:r>
          </w:p>
        </w:tc>
        <w:tc>
          <w:tcPr>
            <w:tcW w:w="996" w:type="dxa"/>
            <w:tcBorders>
              <w:top w:val="nil"/>
              <w:left w:val="nil"/>
              <w:bottom w:val="single" w:sz="4" w:space="0" w:color="auto"/>
              <w:right w:val="single" w:sz="4" w:space="0" w:color="auto"/>
            </w:tcBorders>
            <w:shd w:val="clear" w:color="000000" w:fill="FFFFFF"/>
            <w:noWrap/>
            <w:vAlign w:val="bottom"/>
            <w:hideMark/>
          </w:tcPr>
          <w:p w14:paraId="7C5EDC42" w14:textId="6031B1A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95</w:t>
            </w:r>
          </w:p>
        </w:tc>
        <w:tc>
          <w:tcPr>
            <w:tcW w:w="996" w:type="dxa"/>
            <w:tcBorders>
              <w:top w:val="nil"/>
              <w:left w:val="nil"/>
              <w:bottom w:val="single" w:sz="4" w:space="0" w:color="auto"/>
              <w:right w:val="single" w:sz="4" w:space="0" w:color="auto"/>
            </w:tcBorders>
            <w:shd w:val="clear" w:color="000000" w:fill="FFFFFF"/>
            <w:noWrap/>
            <w:vAlign w:val="bottom"/>
            <w:hideMark/>
          </w:tcPr>
          <w:p w14:paraId="5E34BB92" w14:textId="7A39135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247</w:t>
            </w:r>
          </w:p>
        </w:tc>
        <w:tc>
          <w:tcPr>
            <w:tcW w:w="996" w:type="dxa"/>
            <w:tcBorders>
              <w:top w:val="nil"/>
              <w:left w:val="nil"/>
              <w:bottom w:val="single" w:sz="4" w:space="0" w:color="auto"/>
              <w:right w:val="single" w:sz="4" w:space="0" w:color="auto"/>
            </w:tcBorders>
            <w:shd w:val="clear" w:color="000000" w:fill="FFFFFF"/>
            <w:noWrap/>
            <w:vAlign w:val="bottom"/>
            <w:hideMark/>
          </w:tcPr>
          <w:p w14:paraId="280CC9F3" w14:textId="79AAE20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182</w:t>
            </w:r>
          </w:p>
        </w:tc>
        <w:tc>
          <w:tcPr>
            <w:tcW w:w="1107" w:type="dxa"/>
            <w:tcBorders>
              <w:top w:val="nil"/>
              <w:left w:val="nil"/>
              <w:bottom w:val="single" w:sz="4" w:space="0" w:color="auto"/>
              <w:right w:val="single" w:sz="4" w:space="0" w:color="auto"/>
            </w:tcBorders>
            <w:shd w:val="clear" w:color="000000" w:fill="FFFFFF"/>
            <w:noWrap/>
            <w:vAlign w:val="bottom"/>
            <w:hideMark/>
          </w:tcPr>
          <w:p w14:paraId="0DAC3710" w14:textId="7864114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133</w:t>
            </w:r>
          </w:p>
        </w:tc>
        <w:tc>
          <w:tcPr>
            <w:tcW w:w="996" w:type="dxa"/>
            <w:tcBorders>
              <w:top w:val="nil"/>
              <w:left w:val="nil"/>
              <w:bottom w:val="single" w:sz="4" w:space="0" w:color="auto"/>
              <w:right w:val="single" w:sz="4" w:space="0" w:color="auto"/>
            </w:tcBorders>
            <w:shd w:val="clear" w:color="000000" w:fill="FFFFFF"/>
            <w:noWrap/>
            <w:vAlign w:val="bottom"/>
            <w:hideMark/>
          </w:tcPr>
          <w:p w14:paraId="22C914BD" w14:textId="636E015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179</w:t>
            </w:r>
          </w:p>
        </w:tc>
        <w:tc>
          <w:tcPr>
            <w:tcW w:w="996" w:type="dxa"/>
            <w:tcBorders>
              <w:top w:val="nil"/>
              <w:left w:val="nil"/>
              <w:bottom w:val="single" w:sz="4" w:space="0" w:color="auto"/>
              <w:right w:val="single" w:sz="4" w:space="0" w:color="auto"/>
            </w:tcBorders>
            <w:shd w:val="clear" w:color="000000" w:fill="FFFFFF"/>
            <w:noWrap/>
            <w:vAlign w:val="bottom"/>
            <w:hideMark/>
          </w:tcPr>
          <w:p w14:paraId="172D6BC8" w14:textId="79D67FF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85</w:t>
            </w:r>
          </w:p>
        </w:tc>
        <w:tc>
          <w:tcPr>
            <w:tcW w:w="1127" w:type="dxa"/>
            <w:tcBorders>
              <w:top w:val="nil"/>
              <w:left w:val="nil"/>
              <w:bottom w:val="single" w:sz="4" w:space="0" w:color="auto"/>
              <w:right w:val="single" w:sz="4" w:space="0" w:color="auto"/>
            </w:tcBorders>
            <w:shd w:val="clear" w:color="000000" w:fill="FFFFFF"/>
            <w:noWrap/>
            <w:vAlign w:val="bottom"/>
            <w:hideMark/>
          </w:tcPr>
          <w:p w14:paraId="448C9852" w14:textId="4B8E075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370</w:t>
            </w:r>
          </w:p>
        </w:tc>
        <w:tc>
          <w:tcPr>
            <w:tcW w:w="996" w:type="dxa"/>
            <w:tcBorders>
              <w:top w:val="nil"/>
              <w:left w:val="nil"/>
              <w:bottom w:val="single" w:sz="4" w:space="0" w:color="auto"/>
              <w:right w:val="single" w:sz="4" w:space="0" w:color="auto"/>
            </w:tcBorders>
            <w:shd w:val="clear" w:color="000000" w:fill="FFFFFF"/>
            <w:noWrap/>
            <w:vAlign w:val="bottom"/>
            <w:hideMark/>
          </w:tcPr>
          <w:p w14:paraId="60BC5243" w14:textId="52170A4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408</w:t>
            </w:r>
          </w:p>
        </w:tc>
        <w:tc>
          <w:tcPr>
            <w:tcW w:w="1096" w:type="dxa"/>
            <w:tcBorders>
              <w:top w:val="nil"/>
              <w:left w:val="nil"/>
              <w:bottom w:val="single" w:sz="4" w:space="0" w:color="auto"/>
              <w:right w:val="single" w:sz="8" w:space="0" w:color="auto"/>
            </w:tcBorders>
            <w:shd w:val="clear" w:color="000000" w:fill="FFFFFF"/>
            <w:noWrap/>
            <w:vAlign w:val="bottom"/>
            <w:hideMark/>
          </w:tcPr>
          <w:p w14:paraId="33ACB154" w14:textId="09C0A92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2,282</w:t>
            </w:r>
          </w:p>
        </w:tc>
      </w:tr>
      <w:tr w:rsidR="00861244" w:rsidRPr="00E47FB2" w14:paraId="4CFC9BC0"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56E0A466"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Batata</w:t>
            </w:r>
          </w:p>
        </w:tc>
        <w:tc>
          <w:tcPr>
            <w:tcW w:w="997" w:type="dxa"/>
            <w:tcBorders>
              <w:top w:val="nil"/>
              <w:left w:val="nil"/>
              <w:bottom w:val="single" w:sz="4" w:space="0" w:color="auto"/>
              <w:right w:val="single" w:sz="4" w:space="0" w:color="auto"/>
            </w:tcBorders>
            <w:shd w:val="clear" w:color="000000" w:fill="FFFFFF"/>
            <w:noWrap/>
            <w:hideMark/>
          </w:tcPr>
          <w:p w14:paraId="030FBB05" w14:textId="7FD6EE3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13,201</w:t>
            </w:r>
          </w:p>
        </w:tc>
        <w:tc>
          <w:tcPr>
            <w:tcW w:w="997" w:type="dxa"/>
            <w:tcBorders>
              <w:top w:val="nil"/>
              <w:left w:val="nil"/>
              <w:bottom w:val="single" w:sz="4" w:space="0" w:color="auto"/>
              <w:right w:val="single" w:sz="4" w:space="0" w:color="auto"/>
            </w:tcBorders>
            <w:shd w:val="clear" w:color="000000" w:fill="FFFFFF"/>
            <w:noWrap/>
            <w:vAlign w:val="bottom"/>
            <w:hideMark/>
          </w:tcPr>
          <w:p w14:paraId="0D8670C2" w14:textId="3BA5394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6,844</w:t>
            </w:r>
          </w:p>
        </w:tc>
        <w:tc>
          <w:tcPr>
            <w:tcW w:w="997" w:type="dxa"/>
            <w:tcBorders>
              <w:top w:val="nil"/>
              <w:left w:val="nil"/>
              <w:bottom w:val="single" w:sz="4" w:space="0" w:color="auto"/>
              <w:right w:val="single" w:sz="4" w:space="0" w:color="auto"/>
            </w:tcBorders>
            <w:shd w:val="clear" w:color="000000" w:fill="FFFFFF"/>
            <w:noWrap/>
            <w:vAlign w:val="bottom"/>
            <w:hideMark/>
          </w:tcPr>
          <w:p w14:paraId="79A06FF5" w14:textId="7508054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7,201</w:t>
            </w:r>
          </w:p>
        </w:tc>
        <w:tc>
          <w:tcPr>
            <w:tcW w:w="996" w:type="dxa"/>
            <w:tcBorders>
              <w:top w:val="nil"/>
              <w:left w:val="nil"/>
              <w:bottom w:val="single" w:sz="4" w:space="0" w:color="auto"/>
              <w:right w:val="single" w:sz="4" w:space="0" w:color="auto"/>
            </w:tcBorders>
            <w:shd w:val="clear" w:color="000000" w:fill="FFFFFF"/>
            <w:noWrap/>
            <w:vAlign w:val="bottom"/>
            <w:hideMark/>
          </w:tcPr>
          <w:p w14:paraId="1AF404AA" w14:textId="12ACE97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6,921</w:t>
            </w:r>
          </w:p>
        </w:tc>
        <w:tc>
          <w:tcPr>
            <w:tcW w:w="996" w:type="dxa"/>
            <w:tcBorders>
              <w:top w:val="nil"/>
              <w:left w:val="nil"/>
              <w:bottom w:val="single" w:sz="4" w:space="0" w:color="auto"/>
              <w:right w:val="single" w:sz="4" w:space="0" w:color="auto"/>
            </w:tcBorders>
            <w:shd w:val="clear" w:color="000000" w:fill="FFFFFF"/>
            <w:noWrap/>
            <w:vAlign w:val="bottom"/>
            <w:hideMark/>
          </w:tcPr>
          <w:p w14:paraId="1E63AE93" w14:textId="5335643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6,985</w:t>
            </w:r>
          </w:p>
        </w:tc>
        <w:tc>
          <w:tcPr>
            <w:tcW w:w="996" w:type="dxa"/>
            <w:tcBorders>
              <w:top w:val="nil"/>
              <w:left w:val="nil"/>
              <w:bottom w:val="single" w:sz="4" w:space="0" w:color="auto"/>
              <w:right w:val="single" w:sz="4" w:space="0" w:color="auto"/>
            </w:tcBorders>
            <w:shd w:val="clear" w:color="000000" w:fill="FFFFFF"/>
            <w:noWrap/>
            <w:vAlign w:val="bottom"/>
            <w:hideMark/>
          </w:tcPr>
          <w:p w14:paraId="712CF572" w14:textId="7226E49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10,215</w:t>
            </w:r>
          </w:p>
        </w:tc>
        <w:tc>
          <w:tcPr>
            <w:tcW w:w="996" w:type="dxa"/>
            <w:tcBorders>
              <w:top w:val="nil"/>
              <w:left w:val="nil"/>
              <w:bottom w:val="single" w:sz="4" w:space="0" w:color="auto"/>
              <w:right w:val="single" w:sz="4" w:space="0" w:color="auto"/>
            </w:tcBorders>
            <w:shd w:val="clear" w:color="000000" w:fill="FFFFFF"/>
            <w:noWrap/>
            <w:vAlign w:val="bottom"/>
            <w:hideMark/>
          </w:tcPr>
          <w:p w14:paraId="64D11185" w14:textId="5ADF6FD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11,681</w:t>
            </w:r>
          </w:p>
        </w:tc>
        <w:tc>
          <w:tcPr>
            <w:tcW w:w="1107" w:type="dxa"/>
            <w:tcBorders>
              <w:top w:val="nil"/>
              <w:left w:val="nil"/>
              <w:bottom w:val="single" w:sz="4" w:space="0" w:color="auto"/>
              <w:right w:val="single" w:sz="4" w:space="0" w:color="auto"/>
            </w:tcBorders>
            <w:shd w:val="clear" w:color="000000" w:fill="FFFFFF"/>
            <w:noWrap/>
            <w:vAlign w:val="bottom"/>
            <w:hideMark/>
          </w:tcPr>
          <w:p w14:paraId="439A05F1" w14:textId="3A6042E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7,138</w:t>
            </w:r>
          </w:p>
        </w:tc>
        <w:tc>
          <w:tcPr>
            <w:tcW w:w="996" w:type="dxa"/>
            <w:tcBorders>
              <w:top w:val="nil"/>
              <w:left w:val="nil"/>
              <w:bottom w:val="single" w:sz="4" w:space="0" w:color="auto"/>
              <w:right w:val="single" w:sz="4" w:space="0" w:color="auto"/>
            </w:tcBorders>
            <w:shd w:val="clear" w:color="000000" w:fill="FFFFFF"/>
            <w:noWrap/>
            <w:vAlign w:val="bottom"/>
            <w:hideMark/>
          </w:tcPr>
          <w:p w14:paraId="06E2B43D" w14:textId="366F51C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7,701</w:t>
            </w:r>
          </w:p>
        </w:tc>
        <w:tc>
          <w:tcPr>
            <w:tcW w:w="996" w:type="dxa"/>
            <w:tcBorders>
              <w:top w:val="nil"/>
              <w:left w:val="nil"/>
              <w:bottom w:val="single" w:sz="4" w:space="0" w:color="auto"/>
              <w:right w:val="single" w:sz="4" w:space="0" w:color="auto"/>
            </w:tcBorders>
            <w:shd w:val="clear" w:color="000000" w:fill="FFFFFF"/>
            <w:noWrap/>
            <w:vAlign w:val="bottom"/>
            <w:hideMark/>
          </w:tcPr>
          <w:p w14:paraId="422938CA" w14:textId="14549C1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14,791</w:t>
            </w:r>
          </w:p>
        </w:tc>
        <w:tc>
          <w:tcPr>
            <w:tcW w:w="1127" w:type="dxa"/>
            <w:tcBorders>
              <w:top w:val="nil"/>
              <w:left w:val="nil"/>
              <w:bottom w:val="single" w:sz="4" w:space="0" w:color="auto"/>
              <w:right w:val="single" w:sz="4" w:space="0" w:color="auto"/>
            </w:tcBorders>
            <w:shd w:val="clear" w:color="000000" w:fill="FFFFFF"/>
            <w:noWrap/>
            <w:vAlign w:val="bottom"/>
            <w:hideMark/>
          </w:tcPr>
          <w:p w14:paraId="427472CD" w14:textId="509A2C7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14,178</w:t>
            </w:r>
          </w:p>
        </w:tc>
        <w:tc>
          <w:tcPr>
            <w:tcW w:w="996" w:type="dxa"/>
            <w:tcBorders>
              <w:top w:val="nil"/>
              <w:left w:val="nil"/>
              <w:bottom w:val="single" w:sz="4" w:space="0" w:color="auto"/>
              <w:right w:val="single" w:sz="4" w:space="0" w:color="auto"/>
            </w:tcBorders>
            <w:shd w:val="clear" w:color="000000" w:fill="FFFFFF"/>
            <w:noWrap/>
            <w:vAlign w:val="bottom"/>
            <w:hideMark/>
          </w:tcPr>
          <w:p w14:paraId="0864FF03" w14:textId="5D53B99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9,945</w:t>
            </w:r>
          </w:p>
        </w:tc>
        <w:tc>
          <w:tcPr>
            <w:tcW w:w="1096" w:type="dxa"/>
            <w:tcBorders>
              <w:top w:val="nil"/>
              <w:left w:val="nil"/>
              <w:bottom w:val="single" w:sz="4" w:space="0" w:color="auto"/>
              <w:right w:val="single" w:sz="8" w:space="0" w:color="auto"/>
            </w:tcBorders>
            <w:shd w:val="clear" w:color="000000" w:fill="FFFFFF"/>
            <w:noWrap/>
            <w:vAlign w:val="bottom"/>
            <w:hideMark/>
          </w:tcPr>
          <w:p w14:paraId="2597D615" w14:textId="4513D0A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116,801</w:t>
            </w:r>
          </w:p>
        </w:tc>
      </w:tr>
      <w:tr w:rsidR="00861244" w:rsidRPr="00E47FB2" w14:paraId="764C64EA"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11EFF077"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Ñame</w:t>
            </w:r>
          </w:p>
        </w:tc>
        <w:tc>
          <w:tcPr>
            <w:tcW w:w="997" w:type="dxa"/>
            <w:tcBorders>
              <w:top w:val="nil"/>
              <w:left w:val="nil"/>
              <w:bottom w:val="single" w:sz="4" w:space="0" w:color="auto"/>
              <w:right w:val="single" w:sz="4" w:space="0" w:color="auto"/>
            </w:tcBorders>
            <w:shd w:val="clear" w:color="000000" w:fill="FFFFFF"/>
            <w:noWrap/>
            <w:hideMark/>
          </w:tcPr>
          <w:p w14:paraId="3CE8C54B" w14:textId="2040D7A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6,121</w:t>
            </w:r>
          </w:p>
        </w:tc>
        <w:tc>
          <w:tcPr>
            <w:tcW w:w="997" w:type="dxa"/>
            <w:tcBorders>
              <w:top w:val="nil"/>
              <w:left w:val="nil"/>
              <w:bottom w:val="single" w:sz="4" w:space="0" w:color="auto"/>
              <w:right w:val="single" w:sz="4" w:space="0" w:color="auto"/>
            </w:tcBorders>
            <w:shd w:val="clear" w:color="000000" w:fill="FFFFFF"/>
            <w:noWrap/>
            <w:vAlign w:val="bottom"/>
            <w:hideMark/>
          </w:tcPr>
          <w:p w14:paraId="48E5B3B3" w14:textId="4F6A8BC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8,594</w:t>
            </w:r>
          </w:p>
        </w:tc>
        <w:tc>
          <w:tcPr>
            <w:tcW w:w="997" w:type="dxa"/>
            <w:tcBorders>
              <w:top w:val="nil"/>
              <w:left w:val="nil"/>
              <w:bottom w:val="single" w:sz="4" w:space="0" w:color="auto"/>
              <w:right w:val="single" w:sz="4" w:space="0" w:color="auto"/>
            </w:tcBorders>
            <w:shd w:val="clear" w:color="000000" w:fill="FFFFFF"/>
            <w:noWrap/>
            <w:vAlign w:val="bottom"/>
            <w:hideMark/>
          </w:tcPr>
          <w:p w14:paraId="2F2BB19F" w14:textId="7C37499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8,120</w:t>
            </w:r>
          </w:p>
        </w:tc>
        <w:tc>
          <w:tcPr>
            <w:tcW w:w="996" w:type="dxa"/>
            <w:tcBorders>
              <w:top w:val="nil"/>
              <w:left w:val="nil"/>
              <w:bottom w:val="single" w:sz="4" w:space="0" w:color="auto"/>
              <w:right w:val="single" w:sz="4" w:space="0" w:color="auto"/>
            </w:tcBorders>
            <w:shd w:val="clear" w:color="000000" w:fill="FFFFFF"/>
            <w:noWrap/>
            <w:vAlign w:val="bottom"/>
            <w:hideMark/>
          </w:tcPr>
          <w:p w14:paraId="3A49E133" w14:textId="721C39C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4,019</w:t>
            </w:r>
          </w:p>
        </w:tc>
        <w:tc>
          <w:tcPr>
            <w:tcW w:w="996" w:type="dxa"/>
            <w:tcBorders>
              <w:top w:val="nil"/>
              <w:left w:val="nil"/>
              <w:bottom w:val="single" w:sz="4" w:space="0" w:color="auto"/>
              <w:right w:val="single" w:sz="4" w:space="0" w:color="auto"/>
            </w:tcBorders>
            <w:shd w:val="clear" w:color="000000" w:fill="FFFFFF"/>
            <w:noWrap/>
            <w:vAlign w:val="bottom"/>
            <w:hideMark/>
          </w:tcPr>
          <w:p w14:paraId="3F514376" w14:textId="55F35C5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5,214</w:t>
            </w:r>
          </w:p>
        </w:tc>
        <w:tc>
          <w:tcPr>
            <w:tcW w:w="996" w:type="dxa"/>
            <w:tcBorders>
              <w:top w:val="nil"/>
              <w:left w:val="nil"/>
              <w:bottom w:val="single" w:sz="4" w:space="0" w:color="auto"/>
              <w:right w:val="single" w:sz="4" w:space="0" w:color="auto"/>
            </w:tcBorders>
            <w:shd w:val="clear" w:color="000000" w:fill="FFFFFF"/>
            <w:noWrap/>
            <w:vAlign w:val="bottom"/>
            <w:hideMark/>
          </w:tcPr>
          <w:p w14:paraId="2B95C8DB" w14:textId="722E591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6,214</w:t>
            </w:r>
          </w:p>
        </w:tc>
        <w:tc>
          <w:tcPr>
            <w:tcW w:w="996" w:type="dxa"/>
            <w:tcBorders>
              <w:top w:val="nil"/>
              <w:left w:val="nil"/>
              <w:bottom w:val="single" w:sz="4" w:space="0" w:color="auto"/>
              <w:right w:val="single" w:sz="4" w:space="0" w:color="auto"/>
            </w:tcBorders>
            <w:shd w:val="clear" w:color="000000" w:fill="FFFFFF"/>
            <w:noWrap/>
            <w:vAlign w:val="bottom"/>
            <w:hideMark/>
          </w:tcPr>
          <w:p w14:paraId="2C473BDF" w14:textId="24715E1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3,654</w:t>
            </w:r>
          </w:p>
        </w:tc>
        <w:tc>
          <w:tcPr>
            <w:tcW w:w="1107" w:type="dxa"/>
            <w:tcBorders>
              <w:top w:val="nil"/>
              <w:left w:val="nil"/>
              <w:bottom w:val="single" w:sz="4" w:space="0" w:color="auto"/>
              <w:right w:val="single" w:sz="4" w:space="0" w:color="auto"/>
            </w:tcBorders>
            <w:shd w:val="clear" w:color="000000" w:fill="FFFFFF"/>
            <w:noWrap/>
            <w:vAlign w:val="bottom"/>
            <w:hideMark/>
          </w:tcPr>
          <w:p w14:paraId="43D0AA56" w14:textId="541424B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1,883</w:t>
            </w:r>
          </w:p>
        </w:tc>
        <w:tc>
          <w:tcPr>
            <w:tcW w:w="996" w:type="dxa"/>
            <w:tcBorders>
              <w:top w:val="nil"/>
              <w:left w:val="nil"/>
              <w:bottom w:val="single" w:sz="4" w:space="0" w:color="auto"/>
              <w:right w:val="single" w:sz="4" w:space="0" w:color="auto"/>
            </w:tcBorders>
            <w:shd w:val="clear" w:color="000000" w:fill="FFFFFF"/>
            <w:noWrap/>
            <w:vAlign w:val="bottom"/>
            <w:hideMark/>
          </w:tcPr>
          <w:p w14:paraId="3723744B" w14:textId="55C1ABF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1,654</w:t>
            </w:r>
          </w:p>
        </w:tc>
        <w:tc>
          <w:tcPr>
            <w:tcW w:w="996" w:type="dxa"/>
            <w:tcBorders>
              <w:top w:val="nil"/>
              <w:left w:val="nil"/>
              <w:bottom w:val="single" w:sz="4" w:space="0" w:color="auto"/>
              <w:right w:val="single" w:sz="4" w:space="0" w:color="auto"/>
            </w:tcBorders>
            <w:shd w:val="clear" w:color="000000" w:fill="FFFFFF"/>
            <w:noWrap/>
            <w:vAlign w:val="bottom"/>
            <w:hideMark/>
          </w:tcPr>
          <w:p w14:paraId="66312CEC" w14:textId="77AD5DB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2,878</w:t>
            </w:r>
          </w:p>
        </w:tc>
        <w:tc>
          <w:tcPr>
            <w:tcW w:w="1127" w:type="dxa"/>
            <w:tcBorders>
              <w:top w:val="nil"/>
              <w:left w:val="nil"/>
              <w:bottom w:val="single" w:sz="4" w:space="0" w:color="auto"/>
              <w:right w:val="single" w:sz="4" w:space="0" w:color="auto"/>
            </w:tcBorders>
            <w:shd w:val="clear" w:color="000000" w:fill="FFFFFF"/>
            <w:noWrap/>
            <w:vAlign w:val="bottom"/>
            <w:hideMark/>
          </w:tcPr>
          <w:p w14:paraId="0795451C" w14:textId="63B087E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6,493</w:t>
            </w:r>
          </w:p>
        </w:tc>
        <w:tc>
          <w:tcPr>
            <w:tcW w:w="996" w:type="dxa"/>
            <w:tcBorders>
              <w:top w:val="nil"/>
              <w:left w:val="nil"/>
              <w:bottom w:val="single" w:sz="4" w:space="0" w:color="auto"/>
              <w:right w:val="single" w:sz="4" w:space="0" w:color="auto"/>
            </w:tcBorders>
            <w:shd w:val="clear" w:color="000000" w:fill="FFFFFF"/>
            <w:noWrap/>
            <w:vAlign w:val="bottom"/>
            <w:hideMark/>
          </w:tcPr>
          <w:p w14:paraId="048901D1" w14:textId="6815545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7,257</w:t>
            </w:r>
          </w:p>
        </w:tc>
        <w:tc>
          <w:tcPr>
            <w:tcW w:w="1096" w:type="dxa"/>
            <w:tcBorders>
              <w:top w:val="nil"/>
              <w:left w:val="nil"/>
              <w:bottom w:val="single" w:sz="4" w:space="0" w:color="auto"/>
              <w:right w:val="single" w:sz="8" w:space="0" w:color="auto"/>
            </w:tcBorders>
            <w:shd w:val="clear" w:color="000000" w:fill="FFFFFF"/>
            <w:noWrap/>
            <w:vAlign w:val="bottom"/>
            <w:hideMark/>
          </w:tcPr>
          <w:p w14:paraId="17175CB6" w14:textId="7466B39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62,101</w:t>
            </w:r>
          </w:p>
        </w:tc>
      </w:tr>
      <w:tr w:rsidR="00861244" w:rsidRPr="00E47FB2" w14:paraId="487F6BB0"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6BC86B0D"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Papa</w:t>
            </w:r>
          </w:p>
        </w:tc>
        <w:tc>
          <w:tcPr>
            <w:tcW w:w="997" w:type="dxa"/>
            <w:tcBorders>
              <w:top w:val="nil"/>
              <w:left w:val="nil"/>
              <w:bottom w:val="single" w:sz="4" w:space="0" w:color="auto"/>
              <w:right w:val="single" w:sz="4" w:space="0" w:color="auto"/>
            </w:tcBorders>
            <w:shd w:val="clear" w:color="000000" w:fill="FFFFFF"/>
            <w:noWrap/>
            <w:hideMark/>
          </w:tcPr>
          <w:p w14:paraId="02BFD048" w14:textId="2AB94D1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4,657</w:t>
            </w:r>
          </w:p>
        </w:tc>
        <w:tc>
          <w:tcPr>
            <w:tcW w:w="997" w:type="dxa"/>
            <w:tcBorders>
              <w:top w:val="nil"/>
              <w:left w:val="nil"/>
              <w:bottom w:val="single" w:sz="4" w:space="0" w:color="auto"/>
              <w:right w:val="single" w:sz="4" w:space="0" w:color="auto"/>
            </w:tcBorders>
            <w:shd w:val="clear" w:color="000000" w:fill="FFFFFF"/>
            <w:noWrap/>
            <w:vAlign w:val="bottom"/>
            <w:hideMark/>
          </w:tcPr>
          <w:p w14:paraId="13A605B1" w14:textId="2D86A2C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3,793</w:t>
            </w:r>
          </w:p>
        </w:tc>
        <w:tc>
          <w:tcPr>
            <w:tcW w:w="997" w:type="dxa"/>
            <w:tcBorders>
              <w:top w:val="nil"/>
              <w:left w:val="nil"/>
              <w:bottom w:val="single" w:sz="4" w:space="0" w:color="auto"/>
              <w:right w:val="single" w:sz="4" w:space="0" w:color="auto"/>
            </w:tcBorders>
            <w:shd w:val="clear" w:color="000000" w:fill="FFFFFF"/>
            <w:noWrap/>
            <w:vAlign w:val="bottom"/>
            <w:hideMark/>
          </w:tcPr>
          <w:p w14:paraId="63351F3C" w14:textId="3C1CAD5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5,222</w:t>
            </w:r>
          </w:p>
        </w:tc>
        <w:tc>
          <w:tcPr>
            <w:tcW w:w="996" w:type="dxa"/>
            <w:tcBorders>
              <w:top w:val="nil"/>
              <w:left w:val="nil"/>
              <w:bottom w:val="single" w:sz="4" w:space="0" w:color="auto"/>
              <w:right w:val="single" w:sz="4" w:space="0" w:color="auto"/>
            </w:tcBorders>
            <w:shd w:val="clear" w:color="000000" w:fill="FFFFFF"/>
            <w:noWrap/>
            <w:vAlign w:val="bottom"/>
            <w:hideMark/>
          </w:tcPr>
          <w:p w14:paraId="07FC19AA" w14:textId="521D199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3,562</w:t>
            </w:r>
          </w:p>
        </w:tc>
        <w:tc>
          <w:tcPr>
            <w:tcW w:w="996" w:type="dxa"/>
            <w:tcBorders>
              <w:top w:val="nil"/>
              <w:left w:val="nil"/>
              <w:bottom w:val="single" w:sz="4" w:space="0" w:color="auto"/>
              <w:right w:val="single" w:sz="4" w:space="0" w:color="auto"/>
            </w:tcBorders>
            <w:shd w:val="clear" w:color="000000" w:fill="FFFFFF"/>
            <w:noWrap/>
            <w:vAlign w:val="bottom"/>
            <w:hideMark/>
          </w:tcPr>
          <w:p w14:paraId="6D715291" w14:textId="7D6250F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4,201</w:t>
            </w:r>
          </w:p>
        </w:tc>
        <w:tc>
          <w:tcPr>
            <w:tcW w:w="996" w:type="dxa"/>
            <w:tcBorders>
              <w:top w:val="nil"/>
              <w:left w:val="nil"/>
              <w:bottom w:val="single" w:sz="4" w:space="0" w:color="auto"/>
              <w:right w:val="single" w:sz="4" w:space="0" w:color="auto"/>
            </w:tcBorders>
            <w:shd w:val="clear" w:color="000000" w:fill="FFFFFF"/>
            <w:noWrap/>
            <w:vAlign w:val="bottom"/>
            <w:hideMark/>
          </w:tcPr>
          <w:p w14:paraId="2F796D47" w14:textId="17C2491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6,214</w:t>
            </w:r>
          </w:p>
        </w:tc>
        <w:tc>
          <w:tcPr>
            <w:tcW w:w="996" w:type="dxa"/>
            <w:tcBorders>
              <w:top w:val="nil"/>
              <w:left w:val="nil"/>
              <w:bottom w:val="single" w:sz="4" w:space="0" w:color="auto"/>
              <w:right w:val="single" w:sz="4" w:space="0" w:color="auto"/>
            </w:tcBorders>
            <w:shd w:val="clear" w:color="000000" w:fill="FFFFFF"/>
            <w:noWrap/>
            <w:vAlign w:val="bottom"/>
            <w:hideMark/>
          </w:tcPr>
          <w:p w14:paraId="60620625" w14:textId="495ED16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3,524</w:t>
            </w:r>
          </w:p>
        </w:tc>
        <w:tc>
          <w:tcPr>
            <w:tcW w:w="1107" w:type="dxa"/>
            <w:tcBorders>
              <w:top w:val="nil"/>
              <w:left w:val="nil"/>
              <w:bottom w:val="single" w:sz="4" w:space="0" w:color="auto"/>
              <w:right w:val="single" w:sz="4" w:space="0" w:color="auto"/>
            </w:tcBorders>
            <w:shd w:val="clear" w:color="000000" w:fill="FFFFFF"/>
            <w:noWrap/>
            <w:vAlign w:val="bottom"/>
            <w:hideMark/>
          </w:tcPr>
          <w:p w14:paraId="2B92B2FA" w14:textId="5165C96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4,213</w:t>
            </w:r>
          </w:p>
        </w:tc>
        <w:tc>
          <w:tcPr>
            <w:tcW w:w="996" w:type="dxa"/>
            <w:tcBorders>
              <w:top w:val="nil"/>
              <w:left w:val="nil"/>
              <w:bottom w:val="single" w:sz="4" w:space="0" w:color="auto"/>
              <w:right w:val="single" w:sz="4" w:space="0" w:color="auto"/>
            </w:tcBorders>
            <w:shd w:val="clear" w:color="000000" w:fill="FFFFFF"/>
            <w:noWrap/>
            <w:vAlign w:val="bottom"/>
            <w:hideMark/>
          </w:tcPr>
          <w:p w14:paraId="35E8EC20" w14:textId="32D562D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1,624</w:t>
            </w:r>
          </w:p>
        </w:tc>
        <w:tc>
          <w:tcPr>
            <w:tcW w:w="996" w:type="dxa"/>
            <w:tcBorders>
              <w:top w:val="nil"/>
              <w:left w:val="nil"/>
              <w:bottom w:val="single" w:sz="4" w:space="0" w:color="auto"/>
              <w:right w:val="single" w:sz="4" w:space="0" w:color="auto"/>
            </w:tcBorders>
            <w:shd w:val="clear" w:color="000000" w:fill="FFFFFF"/>
            <w:noWrap/>
            <w:vAlign w:val="bottom"/>
            <w:hideMark/>
          </w:tcPr>
          <w:p w14:paraId="43B75028" w14:textId="3928B50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3,452</w:t>
            </w:r>
          </w:p>
        </w:tc>
        <w:tc>
          <w:tcPr>
            <w:tcW w:w="1127" w:type="dxa"/>
            <w:tcBorders>
              <w:top w:val="nil"/>
              <w:left w:val="nil"/>
              <w:bottom w:val="single" w:sz="4" w:space="0" w:color="auto"/>
              <w:right w:val="single" w:sz="4" w:space="0" w:color="auto"/>
            </w:tcBorders>
            <w:shd w:val="clear" w:color="000000" w:fill="FFFFFF"/>
            <w:noWrap/>
            <w:vAlign w:val="bottom"/>
            <w:hideMark/>
          </w:tcPr>
          <w:p w14:paraId="6A8AE1C6" w14:textId="155A046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4,019</w:t>
            </w:r>
          </w:p>
        </w:tc>
        <w:tc>
          <w:tcPr>
            <w:tcW w:w="996" w:type="dxa"/>
            <w:tcBorders>
              <w:top w:val="nil"/>
              <w:left w:val="nil"/>
              <w:bottom w:val="single" w:sz="4" w:space="0" w:color="auto"/>
              <w:right w:val="single" w:sz="4" w:space="0" w:color="auto"/>
            </w:tcBorders>
            <w:shd w:val="clear" w:color="000000" w:fill="FFFFFF"/>
            <w:noWrap/>
            <w:vAlign w:val="bottom"/>
            <w:hideMark/>
          </w:tcPr>
          <w:p w14:paraId="6D046190" w14:textId="07F2428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4,043</w:t>
            </w:r>
          </w:p>
        </w:tc>
        <w:tc>
          <w:tcPr>
            <w:tcW w:w="1096" w:type="dxa"/>
            <w:tcBorders>
              <w:top w:val="nil"/>
              <w:left w:val="nil"/>
              <w:bottom w:val="single" w:sz="4" w:space="0" w:color="auto"/>
              <w:right w:val="single" w:sz="8" w:space="0" w:color="auto"/>
            </w:tcBorders>
            <w:shd w:val="clear" w:color="000000" w:fill="FFFFFF"/>
            <w:noWrap/>
            <w:vAlign w:val="bottom"/>
            <w:hideMark/>
          </w:tcPr>
          <w:p w14:paraId="5C1FBC15" w14:textId="34B06A8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48,524</w:t>
            </w:r>
          </w:p>
        </w:tc>
      </w:tr>
      <w:tr w:rsidR="00861244" w:rsidRPr="00E47FB2" w14:paraId="41D636D1"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5B5314A7"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Yautía</w:t>
            </w:r>
          </w:p>
        </w:tc>
        <w:tc>
          <w:tcPr>
            <w:tcW w:w="997" w:type="dxa"/>
            <w:tcBorders>
              <w:top w:val="nil"/>
              <w:left w:val="nil"/>
              <w:bottom w:val="single" w:sz="4" w:space="0" w:color="auto"/>
              <w:right w:val="single" w:sz="4" w:space="0" w:color="auto"/>
            </w:tcBorders>
            <w:shd w:val="clear" w:color="000000" w:fill="FFFFFF"/>
            <w:noWrap/>
            <w:hideMark/>
          </w:tcPr>
          <w:p w14:paraId="1D4C4315" w14:textId="4CB7B58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6,879</w:t>
            </w:r>
          </w:p>
        </w:tc>
        <w:tc>
          <w:tcPr>
            <w:tcW w:w="997" w:type="dxa"/>
            <w:tcBorders>
              <w:top w:val="nil"/>
              <w:left w:val="nil"/>
              <w:bottom w:val="single" w:sz="4" w:space="0" w:color="auto"/>
              <w:right w:val="single" w:sz="4" w:space="0" w:color="auto"/>
            </w:tcBorders>
            <w:shd w:val="clear" w:color="000000" w:fill="FFFFFF"/>
            <w:noWrap/>
            <w:vAlign w:val="bottom"/>
            <w:hideMark/>
          </w:tcPr>
          <w:p w14:paraId="11B62C23" w14:textId="3FBA5E6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4,738</w:t>
            </w:r>
          </w:p>
        </w:tc>
        <w:tc>
          <w:tcPr>
            <w:tcW w:w="997" w:type="dxa"/>
            <w:tcBorders>
              <w:top w:val="nil"/>
              <w:left w:val="nil"/>
              <w:bottom w:val="single" w:sz="4" w:space="0" w:color="auto"/>
              <w:right w:val="single" w:sz="4" w:space="0" w:color="auto"/>
            </w:tcBorders>
            <w:shd w:val="clear" w:color="000000" w:fill="FFFFFF"/>
            <w:noWrap/>
            <w:vAlign w:val="bottom"/>
            <w:hideMark/>
          </w:tcPr>
          <w:p w14:paraId="14C7F456" w14:textId="4CBB58E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5,684</w:t>
            </w:r>
          </w:p>
        </w:tc>
        <w:tc>
          <w:tcPr>
            <w:tcW w:w="996" w:type="dxa"/>
            <w:tcBorders>
              <w:top w:val="nil"/>
              <w:left w:val="nil"/>
              <w:bottom w:val="single" w:sz="4" w:space="0" w:color="auto"/>
              <w:right w:val="single" w:sz="4" w:space="0" w:color="auto"/>
            </w:tcBorders>
            <w:shd w:val="clear" w:color="000000" w:fill="FFFFFF"/>
            <w:noWrap/>
            <w:vAlign w:val="bottom"/>
            <w:hideMark/>
          </w:tcPr>
          <w:p w14:paraId="55F554DE" w14:textId="344C287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5,977</w:t>
            </w:r>
          </w:p>
        </w:tc>
        <w:tc>
          <w:tcPr>
            <w:tcW w:w="996" w:type="dxa"/>
            <w:tcBorders>
              <w:top w:val="nil"/>
              <w:left w:val="nil"/>
              <w:bottom w:val="single" w:sz="4" w:space="0" w:color="auto"/>
              <w:right w:val="single" w:sz="4" w:space="0" w:color="auto"/>
            </w:tcBorders>
            <w:shd w:val="clear" w:color="000000" w:fill="FFFFFF"/>
            <w:noWrap/>
            <w:vAlign w:val="bottom"/>
            <w:hideMark/>
          </w:tcPr>
          <w:p w14:paraId="3FC5A962" w14:textId="7CC888C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5,622</w:t>
            </w:r>
          </w:p>
        </w:tc>
        <w:tc>
          <w:tcPr>
            <w:tcW w:w="996" w:type="dxa"/>
            <w:tcBorders>
              <w:top w:val="nil"/>
              <w:left w:val="nil"/>
              <w:bottom w:val="single" w:sz="4" w:space="0" w:color="auto"/>
              <w:right w:val="single" w:sz="4" w:space="0" w:color="auto"/>
            </w:tcBorders>
            <w:shd w:val="clear" w:color="000000" w:fill="FFFFFF"/>
            <w:noWrap/>
            <w:vAlign w:val="bottom"/>
            <w:hideMark/>
          </w:tcPr>
          <w:p w14:paraId="1CFFDB30" w14:textId="3BFAF1A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5,012</w:t>
            </w:r>
          </w:p>
        </w:tc>
        <w:tc>
          <w:tcPr>
            <w:tcW w:w="996" w:type="dxa"/>
            <w:tcBorders>
              <w:top w:val="nil"/>
              <w:left w:val="nil"/>
              <w:bottom w:val="single" w:sz="4" w:space="0" w:color="auto"/>
              <w:right w:val="single" w:sz="4" w:space="0" w:color="auto"/>
            </w:tcBorders>
            <w:shd w:val="clear" w:color="000000" w:fill="FFFFFF"/>
            <w:noWrap/>
            <w:vAlign w:val="bottom"/>
            <w:hideMark/>
          </w:tcPr>
          <w:p w14:paraId="1E8877F6" w14:textId="2E7EE79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5,201</w:t>
            </w:r>
          </w:p>
        </w:tc>
        <w:tc>
          <w:tcPr>
            <w:tcW w:w="1107" w:type="dxa"/>
            <w:tcBorders>
              <w:top w:val="nil"/>
              <w:left w:val="nil"/>
              <w:bottom w:val="single" w:sz="4" w:space="0" w:color="auto"/>
              <w:right w:val="single" w:sz="4" w:space="0" w:color="auto"/>
            </w:tcBorders>
            <w:shd w:val="clear" w:color="000000" w:fill="FFFFFF"/>
            <w:noWrap/>
            <w:vAlign w:val="bottom"/>
            <w:hideMark/>
          </w:tcPr>
          <w:p w14:paraId="746EE2B1" w14:textId="2C1D3D5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5,201</w:t>
            </w:r>
          </w:p>
        </w:tc>
        <w:tc>
          <w:tcPr>
            <w:tcW w:w="996" w:type="dxa"/>
            <w:tcBorders>
              <w:top w:val="nil"/>
              <w:left w:val="nil"/>
              <w:bottom w:val="single" w:sz="4" w:space="0" w:color="auto"/>
              <w:right w:val="single" w:sz="4" w:space="0" w:color="auto"/>
            </w:tcBorders>
            <w:shd w:val="clear" w:color="000000" w:fill="FFFFFF"/>
            <w:noWrap/>
            <w:vAlign w:val="bottom"/>
            <w:hideMark/>
          </w:tcPr>
          <w:p w14:paraId="5CFBA7B2" w14:textId="5DEBBE9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4,621</w:t>
            </w:r>
          </w:p>
        </w:tc>
        <w:tc>
          <w:tcPr>
            <w:tcW w:w="996" w:type="dxa"/>
            <w:tcBorders>
              <w:top w:val="nil"/>
              <w:left w:val="nil"/>
              <w:bottom w:val="single" w:sz="4" w:space="0" w:color="auto"/>
              <w:right w:val="single" w:sz="4" w:space="0" w:color="auto"/>
            </w:tcBorders>
            <w:shd w:val="clear" w:color="000000" w:fill="FFFFFF"/>
            <w:noWrap/>
            <w:vAlign w:val="bottom"/>
            <w:hideMark/>
          </w:tcPr>
          <w:p w14:paraId="3D5D3A32" w14:textId="6EA6701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6,021</w:t>
            </w:r>
          </w:p>
        </w:tc>
        <w:tc>
          <w:tcPr>
            <w:tcW w:w="1127" w:type="dxa"/>
            <w:tcBorders>
              <w:top w:val="nil"/>
              <w:left w:val="nil"/>
              <w:bottom w:val="single" w:sz="4" w:space="0" w:color="auto"/>
              <w:right w:val="single" w:sz="4" w:space="0" w:color="auto"/>
            </w:tcBorders>
            <w:shd w:val="clear" w:color="000000" w:fill="FFFFFF"/>
            <w:noWrap/>
            <w:vAlign w:val="bottom"/>
            <w:hideMark/>
          </w:tcPr>
          <w:p w14:paraId="3C8E6489" w14:textId="60BF83D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4,772</w:t>
            </w:r>
          </w:p>
        </w:tc>
        <w:tc>
          <w:tcPr>
            <w:tcW w:w="996" w:type="dxa"/>
            <w:tcBorders>
              <w:top w:val="nil"/>
              <w:left w:val="nil"/>
              <w:bottom w:val="single" w:sz="4" w:space="0" w:color="auto"/>
              <w:right w:val="single" w:sz="4" w:space="0" w:color="auto"/>
            </w:tcBorders>
            <w:shd w:val="clear" w:color="000000" w:fill="FFFFFF"/>
            <w:noWrap/>
            <w:vAlign w:val="bottom"/>
            <w:hideMark/>
          </w:tcPr>
          <w:p w14:paraId="3DB3A37A" w14:textId="40A1664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3,947</w:t>
            </w:r>
          </w:p>
        </w:tc>
        <w:tc>
          <w:tcPr>
            <w:tcW w:w="1096" w:type="dxa"/>
            <w:tcBorders>
              <w:top w:val="nil"/>
              <w:left w:val="nil"/>
              <w:bottom w:val="single" w:sz="4" w:space="0" w:color="auto"/>
              <w:right w:val="single" w:sz="8" w:space="0" w:color="auto"/>
            </w:tcBorders>
            <w:shd w:val="clear" w:color="000000" w:fill="FFFFFF"/>
            <w:noWrap/>
            <w:vAlign w:val="bottom"/>
            <w:hideMark/>
          </w:tcPr>
          <w:p w14:paraId="2F9352A4" w14:textId="1B32A8F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63,675</w:t>
            </w:r>
          </w:p>
        </w:tc>
      </w:tr>
      <w:tr w:rsidR="00861244" w:rsidRPr="00E47FB2" w14:paraId="20D6CC94"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5201D694"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Yuca</w:t>
            </w:r>
          </w:p>
        </w:tc>
        <w:tc>
          <w:tcPr>
            <w:tcW w:w="997" w:type="dxa"/>
            <w:tcBorders>
              <w:top w:val="nil"/>
              <w:left w:val="nil"/>
              <w:bottom w:val="single" w:sz="4" w:space="0" w:color="auto"/>
              <w:right w:val="single" w:sz="4" w:space="0" w:color="auto"/>
            </w:tcBorders>
            <w:shd w:val="clear" w:color="000000" w:fill="FFFFFF"/>
            <w:noWrap/>
            <w:hideMark/>
          </w:tcPr>
          <w:p w14:paraId="2B91BFC3" w14:textId="5E69C38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17,245</w:t>
            </w:r>
          </w:p>
        </w:tc>
        <w:tc>
          <w:tcPr>
            <w:tcW w:w="997" w:type="dxa"/>
            <w:tcBorders>
              <w:top w:val="nil"/>
              <w:left w:val="nil"/>
              <w:bottom w:val="single" w:sz="4" w:space="0" w:color="auto"/>
              <w:right w:val="single" w:sz="4" w:space="0" w:color="auto"/>
            </w:tcBorders>
            <w:shd w:val="clear" w:color="000000" w:fill="FFFFFF"/>
            <w:noWrap/>
            <w:vAlign w:val="bottom"/>
            <w:hideMark/>
          </w:tcPr>
          <w:p w14:paraId="11766712" w14:textId="140B8D2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23,604</w:t>
            </w:r>
          </w:p>
        </w:tc>
        <w:tc>
          <w:tcPr>
            <w:tcW w:w="997" w:type="dxa"/>
            <w:tcBorders>
              <w:top w:val="nil"/>
              <w:left w:val="nil"/>
              <w:bottom w:val="single" w:sz="4" w:space="0" w:color="auto"/>
              <w:right w:val="single" w:sz="4" w:space="0" w:color="auto"/>
            </w:tcBorders>
            <w:shd w:val="clear" w:color="000000" w:fill="FFFFFF"/>
            <w:noWrap/>
            <w:vAlign w:val="bottom"/>
            <w:hideMark/>
          </w:tcPr>
          <w:p w14:paraId="065CDF1B" w14:textId="20A4A7B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26,987</w:t>
            </w:r>
          </w:p>
        </w:tc>
        <w:tc>
          <w:tcPr>
            <w:tcW w:w="996" w:type="dxa"/>
            <w:tcBorders>
              <w:top w:val="nil"/>
              <w:left w:val="nil"/>
              <w:bottom w:val="single" w:sz="4" w:space="0" w:color="auto"/>
              <w:right w:val="single" w:sz="4" w:space="0" w:color="auto"/>
            </w:tcBorders>
            <w:shd w:val="clear" w:color="000000" w:fill="FFFFFF"/>
            <w:noWrap/>
            <w:vAlign w:val="bottom"/>
            <w:hideMark/>
          </w:tcPr>
          <w:p w14:paraId="33E7BFD0" w14:textId="389327D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24,514</w:t>
            </w:r>
          </w:p>
        </w:tc>
        <w:tc>
          <w:tcPr>
            <w:tcW w:w="996" w:type="dxa"/>
            <w:tcBorders>
              <w:top w:val="nil"/>
              <w:left w:val="nil"/>
              <w:bottom w:val="single" w:sz="4" w:space="0" w:color="auto"/>
              <w:right w:val="single" w:sz="4" w:space="0" w:color="auto"/>
            </w:tcBorders>
            <w:shd w:val="clear" w:color="000000" w:fill="FFFFFF"/>
            <w:noWrap/>
            <w:vAlign w:val="bottom"/>
            <w:hideMark/>
          </w:tcPr>
          <w:p w14:paraId="5CB66075" w14:textId="6F57BFF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27,525</w:t>
            </w:r>
          </w:p>
        </w:tc>
        <w:tc>
          <w:tcPr>
            <w:tcW w:w="996" w:type="dxa"/>
            <w:tcBorders>
              <w:top w:val="nil"/>
              <w:left w:val="nil"/>
              <w:bottom w:val="single" w:sz="4" w:space="0" w:color="auto"/>
              <w:right w:val="single" w:sz="4" w:space="0" w:color="auto"/>
            </w:tcBorders>
            <w:shd w:val="clear" w:color="000000" w:fill="FFFFFF"/>
            <w:noWrap/>
            <w:vAlign w:val="bottom"/>
            <w:hideMark/>
          </w:tcPr>
          <w:p w14:paraId="5B9F56CC" w14:textId="05BCB02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38,039</w:t>
            </w:r>
          </w:p>
        </w:tc>
        <w:tc>
          <w:tcPr>
            <w:tcW w:w="996" w:type="dxa"/>
            <w:tcBorders>
              <w:top w:val="nil"/>
              <w:left w:val="nil"/>
              <w:bottom w:val="single" w:sz="4" w:space="0" w:color="auto"/>
              <w:right w:val="single" w:sz="4" w:space="0" w:color="auto"/>
            </w:tcBorders>
            <w:shd w:val="clear" w:color="000000" w:fill="FFFFFF"/>
            <w:noWrap/>
            <w:vAlign w:val="bottom"/>
            <w:hideMark/>
          </w:tcPr>
          <w:p w14:paraId="0AD1B857" w14:textId="4C9DC88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30,183</w:t>
            </w:r>
          </w:p>
        </w:tc>
        <w:tc>
          <w:tcPr>
            <w:tcW w:w="1107" w:type="dxa"/>
            <w:tcBorders>
              <w:top w:val="nil"/>
              <w:left w:val="nil"/>
              <w:bottom w:val="single" w:sz="4" w:space="0" w:color="auto"/>
              <w:right w:val="single" w:sz="4" w:space="0" w:color="auto"/>
            </w:tcBorders>
            <w:shd w:val="clear" w:color="000000" w:fill="FFFFFF"/>
            <w:noWrap/>
            <w:vAlign w:val="bottom"/>
            <w:hideMark/>
          </w:tcPr>
          <w:p w14:paraId="2A99881F" w14:textId="36AA55D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25,421</w:t>
            </w:r>
          </w:p>
        </w:tc>
        <w:tc>
          <w:tcPr>
            <w:tcW w:w="996" w:type="dxa"/>
            <w:tcBorders>
              <w:top w:val="nil"/>
              <w:left w:val="nil"/>
              <w:bottom w:val="single" w:sz="4" w:space="0" w:color="auto"/>
              <w:right w:val="single" w:sz="4" w:space="0" w:color="auto"/>
            </w:tcBorders>
            <w:shd w:val="clear" w:color="000000" w:fill="FFFFFF"/>
            <w:noWrap/>
            <w:vAlign w:val="bottom"/>
            <w:hideMark/>
          </w:tcPr>
          <w:p w14:paraId="5F07CEAC" w14:textId="43D8D0F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20,144</w:t>
            </w:r>
          </w:p>
        </w:tc>
        <w:tc>
          <w:tcPr>
            <w:tcW w:w="996" w:type="dxa"/>
            <w:tcBorders>
              <w:top w:val="nil"/>
              <w:left w:val="nil"/>
              <w:bottom w:val="single" w:sz="4" w:space="0" w:color="auto"/>
              <w:right w:val="single" w:sz="4" w:space="0" w:color="auto"/>
            </w:tcBorders>
            <w:shd w:val="clear" w:color="000000" w:fill="FFFFFF"/>
            <w:noWrap/>
            <w:vAlign w:val="bottom"/>
            <w:hideMark/>
          </w:tcPr>
          <w:p w14:paraId="49908C47" w14:textId="747B713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37,237</w:t>
            </w:r>
          </w:p>
        </w:tc>
        <w:tc>
          <w:tcPr>
            <w:tcW w:w="1127" w:type="dxa"/>
            <w:tcBorders>
              <w:top w:val="nil"/>
              <w:left w:val="nil"/>
              <w:bottom w:val="single" w:sz="4" w:space="0" w:color="auto"/>
              <w:right w:val="single" w:sz="4" w:space="0" w:color="auto"/>
            </w:tcBorders>
            <w:shd w:val="clear" w:color="000000" w:fill="FFFFFF"/>
            <w:noWrap/>
            <w:vAlign w:val="bottom"/>
            <w:hideMark/>
          </w:tcPr>
          <w:p w14:paraId="496259EE" w14:textId="1D97FF6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24,761</w:t>
            </w:r>
          </w:p>
        </w:tc>
        <w:tc>
          <w:tcPr>
            <w:tcW w:w="996" w:type="dxa"/>
            <w:tcBorders>
              <w:top w:val="nil"/>
              <w:left w:val="nil"/>
              <w:bottom w:val="single" w:sz="4" w:space="0" w:color="auto"/>
              <w:right w:val="single" w:sz="4" w:space="0" w:color="auto"/>
            </w:tcBorders>
            <w:shd w:val="clear" w:color="000000" w:fill="FFFFFF"/>
            <w:noWrap/>
            <w:vAlign w:val="bottom"/>
            <w:hideMark/>
          </w:tcPr>
          <w:p w14:paraId="5D20ED01" w14:textId="7181D7A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21,288</w:t>
            </w:r>
          </w:p>
        </w:tc>
        <w:tc>
          <w:tcPr>
            <w:tcW w:w="1096" w:type="dxa"/>
            <w:tcBorders>
              <w:top w:val="nil"/>
              <w:left w:val="nil"/>
              <w:bottom w:val="single" w:sz="4" w:space="0" w:color="auto"/>
              <w:right w:val="single" w:sz="8" w:space="0" w:color="auto"/>
            </w:tcBorders>
            <w:shd w:val="clear" w:color="000000" w:fill="FFFFFF"/>
            <w:noWrap/>
            <w:vAlign w:val="bottom"/>
            <w:hideMark/>
          </w:tcPr>
          <w:p w14:paraId="53312EA2" w14:textId="0848E0C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316,949</w:t>
            </w:r>
          </w:p>
        </w:tc>
      </w:tr>
      <w:tr w:rsidR="00861244" w:rsidRPr="00E47FB2" w14:paraId="598ED567"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6B73076E"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Mapuey</w:t>
            </w:r>
          </w:p>
        </w:tc>
        <w:tc>
          <w:tcPr>
            <w:tcW w:w="997" w:type="dxa"/>
            <w:tcBorders>
              <w:top w:val="nil"/>
              <w:left w:val="nil"/>
              <w:bottom w:val="single" w:sz="4" w:space="0" w:color="auto"/>
              <w:right w:val="single" w:sz="4" w:space="0" w:color="auto"/>
            </w:tcBorders>
            <w:shd w:val="clear" w:color="000000" w:fill="FFFFFF"/>
            <w:noWrap/>
            <w:hideMark/>
          </w:tcPr>
          <w:p w14:paraId="36F0F39C" w14:textId="02DB3F2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298</w:t>
            </w:r>
          </w:p>
        </w:tc>
        <w:tc>
          <w:tcPr>
            <w:tcW w:w="997" w:type="dxa"/>
            <w:tcBorders>
              <w:top w:val="nil"/>
              <w:left w:val="nil"/>
              <w:bottom w:val="single" w:sz="4" w:space="0" w:color="auto"/>
              <w:right w:val="single" w:sz="4" w:space="0" w:color="auto"/>
            </w:tcBorders>
            <w:shd w:val="clear" w:color="000000" w:fill="FFFFFF"/>
            <w:noWrap/>
            <w:vAlign w:val="bottom"/>
            <w:hideMark/>
          </w:tcPr>
          <w:p w14:paraId="54BE69D5" w14:textId="44F6125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166</w:t>
            </w:r>
          </w:p>
        </w:tc>
        <w:tc>
          <w:tcPr>
            <w:tcW w:w="997" w:type="dxa"/>
            <w:tcBorders>
              <w:top w:val="nil"/>
              <w:left w:val="nil"/>
              <w:bottom w:val="single" w:sz="4" w:space="0" w:color="auto"/>
              <w:right w:val="single" w:sz="4" w:space="0" w:color="auto"/>
            </w:tcBorders>
            <w:shd w:val="clear" w:color="000000" w:fill="FFFFFF"/>
            <w:noWrap/>
            <w:vAlign w:val="bottom"/>
            <w:hideMark/>
          </w:tcPr>
          <w:p w14:paraId="27EEF921" w14:textId="18039B5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741</w:t>
            </w:r>
          </w:p>
        </w:tc>
        <w:tc>
          <w:tcPr>
            <w:tcW w:w="996" w:type="dxa"/>
            <w:tcBorders>
              <w:top w:val="nil"/>
              <w:left w:val="nil"/>
              <w:bottom w:val="single" w:sz="4" w:space="0" w:color="auto"/>
              <w:right w:val="single" w:sz="4" w:space="0" w:color="auto"/>
            </w:tcBorders>
            <w:shd w:val="clear" w:color="000000" w:fill="FFFFFF"/>
            <w:noWrap/>
            <w:vAlign w:val="bottom"/>
            <w:hideMark/>
          </w:tcPr>
          <w:p w14:paraId="15D83E48" w14:textId="5E3F912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281</w:t>
            </w:r>
          </w:p>
        </w:tc>
        <w:tc>
          <w:tcPr>
            <w:tcW w:w="996" w:type="dxa"/>
            <w:tcBorders>
              <w:top w:val="nil"/>
              <w:left w:val="nil"/>
              <w:bottom w:val="single" w:sz="4" w:space="0" w:color="auto"/>
              <w:right w:val="single" w:sz="4" w:space="0" w:color="auto"/>
            </w:tcBorders>
            <w:shd w:val="clear" w:color="000000" w:fill="FFFFFF"/>
            <w:noWrap/>
            <w:vAlign w:val="bottom"/>
            <w:hideMark/>
          </w:tcPr>
          <w:p w14:paraId="23DA1B16" w14:textId="5267F65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86</w:t>
            </w:r>
          </w:p>
        </w:tc>
        <w:tc>
          <w:tcPr>
            <w:tcW w:w="996" w:type="dxa"/>
            <w:tcBorders>
              <w:top w:val="nil"/>
              <w:left w:val="nil"/>
              <w:bottom w:val="single" w:sz="4" w:space="0" w:color="auto"/>
              <w:right w:val="single" w:sz="4" w:space="0" w:color="auto"/>
            </w:tcBorders>
            <w:shd w:val="clear" w:color="000000" w:fill="FFFFFF"/>
            <w:noWrap/>
            <w:vAlign w:val="bottom"/>
            <w:hideMark/>
          </w:tcPr>
          <w:p w14:paraId="014DE70C" w14:textId="5733E5C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108</w:t>
            </w:r>
          </w:p>
        </w:tc>
        <w:tc>
          <w:tcPr>
            <w:tcW w:w="996" w:type="dxa"/>
            <w:tcBorders>
              <w:top w:val="nil"/>
              <w:left w:val="nil"/>
              <w:bottom w:val="single" w:sz="4" w:space="0" w:color="auto"/>
              <w:right w:val="single" w:sz="4" w:space="0" w:color="auto"/>
            </w:tcBorders>
            <w:shd w:val="clear" w:color="000000" w:fill="FFFFFF"/>
            <w:noWrap/>
            <w:vAlign w:val="bottom"/>
            <w:hideMark/>
          </w:tcPr>
          <w:p w14:paraId="24A578D9" w14:textId="0614CAC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201</w:t>
            </w:r>
          </w:p>
        </w:tc>
        <w:tc>
          <w:tcPr>
            <w:tcW w:w="1107" w:type="dxa"/>
            <w:tcBorders>
              <w:top w:val="nil"/>
              <w:left w:val="nil"/>
              <w:bottom w:val="single" w:sz="4" w:space="0" w:color="auto"/>
              <w:right w:val="single" w:sz="4" w:space="0" w:color="auto"/>
            </w:tcBorders>
            <w:shd w:val="clear" w:color="000000" w:fill="FFFFFF"/>
            <w:noWrap/>
            <w:vAlign w:val="bottom"/>
            <w:hideMark/>
          </w:tcPr>
          <w:p w14:paraId="7B19ED3A" w14:textId="026C892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172</w:t>
            </w:r>
          </w:p>
        </w:tc>
        <w:tc>
          <w:tcPr>
            <w:tcW w:w="996" w:type="dxa"/>
            <w:tcBorders>
              <w:top w:val="nil"/>
              <w:left w:val="nil"/>
              <w:bottom w:val="single" w:sz="4" w:space="0" w:color="auto"/>
              <w:right w:val="single" w:sz="4" w:space="0" w:color="auto"/>
            </w:tcBorders>
            <w:shd w:val="clear" w:color="000000" w:fill="FFFFFF"/>
            <w:noWrap/>
            <w:vAlign w:val="bottom"/>
            <w:hideMark/>
          </w:tcPr>
          <w:p w14:paraId="2CAED1F4" w14:textId="1689A9D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351</w:t>
            </w:r>
          </w:p>
        </w:tc>
        <w:tc>
          <w:tcPr>
            <w:tcW w:w="996" w:type="dxa"/>
            <w:tcBorders>
              <w:top w:val="nil"/>
              <w:left w:val="nil"/>
              <w:bottom w:val="single" w:sz="4" w:space="0" w:color="auto"/>
              <w:right w:val="single" w:sz="4" w:space="0" w:color="auto"/>
            </w:tcBorders>
            <w:shd w:val="clear" w:color="000000" w:fill="FFFFFF"/>
            <w:noWrap/>
            <w:vAlign w:val="bottom"/>
            <w:hideMark/>
          </w:tcPr>
          <w:p w14:paraId="49B953E2" w14:textId="2EA1F73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301</w:t>
            </w:r>
          </w:p>
        </w:tc>
        <w:tc>
          <w:tcPr>
            <w:tcW w:w="1127" w:type="dxa"/>
            <w:tcBorders>
              <w:top w:val="nil"/>
              <w:left w:val="nil"/>
              <w:bottom w:val="single" w:sz="4" w:space="0" w:color="auto"/>
              <w:right w:val="single" w:sz="4" w:space="0" w:color="auto"/>
            </w:tcBorders>
            <w:shd w:val="clear" w:color="000000" w:fill="FFFFFF"/>
            <w:noWrap/>
            <w:vAlign w:val="bottom"/>
            <w:hideMark/>
          </w:tcPr>
          <w:p w14:paraId="65D3E190" w14:textId="74708C3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254</w:t>
            </w:r>
          </w:p>
        </w:tc>
        <w:tc>
          <w:tcPr>
            <w:tcW w:w="996" w:type="dxa"/>
            <w:tcBorders>
              <w:top w:val="nil"/>
              <w:left w:val="nil"/>
              <w:bottom w:val="single" w:sz="4" w:space="0" w:color="auto"/>
              <w:right w:val="single" w:sz="4" w:space="0" w:color="auto"/>
            </w:tcBorders>
            <w:shd w:val="clear" w:color="000000" w:fill="FFFFFF"/>
            <w:noWrap/>
            <w:vAlign w:val="bottom"/>
            <w:hideMark/>
          </w:tcPr>
          <w:p w14:paraId="0C8130B3" w14:textId="03E9827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73</w:t>
            </w:r>
          </w:p>
        </w:tc>
        <w:tc>
          <w:tcPr>
            <w:tcW w:w="1096" w:type="dxa"/>
            <w:tcBorders>
              <w:top w:val="nil"/>
              <w:left w:val="nil"/>
              <w:bottom w:val="single" w:sz="4" w:space="0" w:color="auto"/>
              <w:right w:val="single" w:sz="8" w:space="0" w:color="auto"/>
            </w:tcBorders>
            <w:shd w:val="clear" w:color="000000" w:fill="FFFFFF"/>
            <w:noWrap/>
            <w:vAlign w:val="bottom"/>
            <w:hideMark/>
          </w:tcPr>
          <w:p w14:paraId="5335FF45" w14:textId="6C8AD2F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3,032</w:t>
            </w:r>
          </w:p>
        </w:tc>
      </w:tr>
      <w:tr w:rsidR="00861244" w:rsidRPr="00E47FB2" w14:paraId="4A130F9B"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579DBA5E"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Ajíes</w:t>
            </w:r>
          </w:p>
        </w:tc>
        <w:tc>
          <w:tcPr>
            <w:tcW w:w="997" w:type="dxa"/>
            <w:tcBorders>
              <w:top w:val="nil"/>
              <w:left w:val="nil"/>
              <w:bottom w:val="single" w:sz="4" w:space="0" w:color="auto"/>
              <w:right w:val="single" w:sz="4" w:space="0" w:color="auto"/>
            </w:tcBorders>
            <w:shd w:val="clear" w:color="000000" w:fill="FFFFFF"/>
            <w:noWrap/>
            <w:hideMark/>
          </w:tcPr>
          <w:p w14:paraId="59037BD8" w14:textId="739B127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6,021</w:t>
            </w:r>
          </w:p>
        </w:tc>
        <w:tc>
          <w:tcPr>
            <w:tcW w:w="997" w:type="dxa"/>
            <w:tcBorders>
              <w:top w:val="nil"/>
              <w:left w:val="nil"/>
              <w:bottom w:val="single" w:sz="4" w:space="0" w:color="auto"/>
              <w:right w:val="single" w:sz="4" w:space="0" w:color="auto"/>
            </w:tcBorders>
            <w:shd w:val="clear" w:color="000000" w:fill="FFFFFF"/>
            <w:noWrap/>
            <w:vAlign w:val="bottom"/>
            <w:hideMark/>
          </w:tcPr>
          <w:p w14:paraId="75B2E32F" w14:textId="26DA310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2,886</w:t>
            </w:r>
          </w:p>
        </w:tc>
        <w:tc>
          <w:tcPr>
            <w:tcW w:w="997" w:type="dxa"/>
            <w:tcBorders>
              <w:top w:val="nil"/>
              <w:left w:val="nil"/>
              <w:bottom w:val="single" w:sz="4" w:space="0" w:color="auto"/>
              <w:right w:val="single" w:sz="4" w:space="0" w:color="auto"/>
            </w:tcBorders>
            <w:shd w:val="clear" w:color="000000" w:fill="FFFFFF"/>
            <w:noWrap/>
            <w:vAlign w:val="bottom"/>
            <w:hideMark/>
          </w:tcPr>
          <w:p w14:paraId="6AC27A7B" w14:textId="05929B5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3,254</w:t>
            </w:r>
          </w:p>
        </w:tc>
        <w:tc>
          <w:tcPr>
            <w:tcW w:w="996" w:type="dxa"/>
            <w:tcBorders>
              <w:top w:val="nil"/>
              <w:left w:val="nil"/>
              <w:bottom w:val="single" w:sz="4" w:space="0" w:color="auto"/>
              <w:right w:val="single" w:sz="4" w:space="0" w:color="auto"/>
            </w:tcBorders>
            <w:shd w:val="clear" w:color="000000" w:fill="FFFFFF"/>
            <w:noWrap/>
            <w:vAlign w:val="bottom"/>
            <w:hideMark/>
          </w:tcPr>
          <w:p w14:paraId="41E1BCFD" w14:textId="5FCF76C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2,685</w:t>
            </w:r>
          </w:p>
        </w:tc>
        <w:tc>
          <w:tcPr>
            <w:tcW w:w="996" w:type="dxa"/>
            <w:tcBorders>
              <w:top w:val="nil"/>
              <w:left w:val="nil"/>
              <w:bottom w:val="single" w:sz="4" w:space="0" w:color="auto"/>
              <w:right w:val="single" w:sz="4" w:space="0" w:color="auto"/>
            </w:tcBorders>
            <w:shd w:val="clear" w:color="000000" w:fill="FFFFFF"/>
            <w:noWrap/>
            <w:vAlign w:val="bottom"/>
            <w:hideMark/>
          </w:tcPr>
          <w:p w14:paraId="0C1C1CDD" w14:textId="3D192C2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3,771</w:t>
            </w:r>
          </w:p>
        </w:tc>
        <w:tc>
          <w:tcPr>
            <w:tcW w:w="996" w:type="dxa"/>
            <w:tcBorders>
              <w:top w:val="nil"/>
              <w:left w:val="nil"/>
              <w:bottom w:val="single" w:sz="4" w:space="0" w:color="auto"/>
              <w:right w:val="single" w:sz="4" w:space="0" w:color="auto"/>
            </w:tcBorders>
            <w:shd w:val="clear" w:color="000000" w:fill="FFFFFF"/>
            <w:noWrap/>
            <w:vAlign w:val="bottom"/>
            <w:hideMark/>
          </w:tcPr>
          <w:p w14:paraId="2D8C13CB" w14:textId="1A102E1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3,989</w:t>
            </w:r>
          </w:p>
        </w:tc>
        <w:tc>
          <w:tcPr>
            <w:tcW w:w="996" w:type="dxa"/>
            <w:tcBorders>
              <w:top w:val="nil"/>
              <w:left w:val="nil"/>
              <w:bottom w:val="single" w:sz="4" w:space="0" w:color="auto"/>
              <w:right w:val="single" w:sz="4" w:space="0" w:color="auto"/>
            </w:tcBorders>
            <w:shd w:val="clear" w:color="000000" w:fill="FFFFFF"/>
            <w:noWrap/>
            <w:vAlign w:val="bottom"/>
            <w:hideMark/>
          </w:tcPr>
          <w:p w14:paraId="71E00D7D" w14:textId="6C1E8B9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3,201</w:t>
            </w:r>
          </w:p>
        </w:tc>
        <w:tc>
          <w:tcPr>
            <w:tcW w:w="1107" w:type="dxa"/>
            <w:tcBorders>
              <w:top w:val="nil"/>
              <w:left w:val="nil"/>
              <w:bottom w:val="single" w:sz="4" w:space="0" w:color="auto"/>
              <w:right w:val="single" w:sz="4" w:space="0" w:color="auto"/>
            </w:tcBorders>
            <w:shd w:val="clear" w:color="000000" w:fill="FFFFFF"/>
            <w:noWrap/>
            <w:vAlign w:val="bottom"/>
            <w:hideMark/>
          </w:tcPr>
          <w:p w14:paraId="3B725DD6" w14:textId="4A8B333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2,814</w:t>
            </w:r>
          </w:p>
        </w:tc>
        <w:tc>
          <w:tcPr>
            <w:tcW w:w="996" w:type="dxa"/>
            <w:tcBorders>
              <w:top w:val="nil"/>
              <w:left w:val="nil"/>
              <w:bottom w:val="single" w:sz="4" w:space="0" w:color="auto"/>
              <w:right w:val="single" w:sz="4" w:space="0" w:color="auto"/>
            </w:tcBorders>
            <w:shd w:val="clear" w:color="000000" w:fill="FFFFFF"/>
            <w:noWrap/>
            <w:vAlign w:val="bottom"/>
            <w:hideMark/>
          </w:tcPr>
          <w:p w14:paraId="2D86A419" w14:textId="6FF1C4C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5,021</w:t>
            </w:r>
          </w:p>
        </w:tc>
        <w:tc>
          <w:tcPr>
            <w:tcW w:w="996" w:type="dxa"/>
            <w:tcBorders>
              <w:top w:val="nil"/>
              <w:left w:val="nil"/>
              <w:bottom w:val="single" w:sz="4" w:space="0" w:color="auto"/>
              <w:right w:val="single" w:sz="4" w:space="0" w:color="auto"/>
            </w:tcBorders>
            <w:shd w:val="clear" w:color="000000" w:fill="FFFFFF"/>
            <w:noWrap/>
            <w:vAlign w:val="bottom"/>
            <w:hideMark/>
          </w:tcPr>
          <w:p w14:paraId="21522641" w14:textId="5D03098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3,854</w:t>
            </w:r>
          </w:p>
        </w:tc>
        <w:tc>
          <w:tcPr>
            <w:tcW w:w="1127" w:type="dxa"/>
            <w:tcBorders>
              <w:top w:val="nil"/>
              <w:left w:val="nil"/>
              <w:bottom w:val="single" w:sz="4" w:space="0" w:color="auto"/>
              <w:right w:val="single" w:sz="4" w:space="0" w:color="auto"/>
            </w:tcBorders>
            <w:shd w:val="clear" w:color="000000" w:fill="FFFFFF"/>
            <w:noWrap/>
            <w:vAlign w:val="bottom"/>
            <w:hideMark/>
          </w:tcPr>
          <w:p w14:paraId="679256EA" w14:textId="33D6EA1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5,823</w:t>
            </w:r>
          </w:p>
        </w:tc>
        <w:tc>
          <w:tcPr>
            <w:tcW w:w="996" w:type="dxa"/>
            <w:tcBorders>
              <w:top w:val="nil"/>
              <w:left w:val="nil"/>
              <w:bottom w:val="single" w:sz="4" w:space="0" w:color="auto"/>
              <w:right w:val="single" w:sz="4" w:space="0" w:color="auto"/>
            </w:tcBorders>
            <w:shd w:val="clear" w:color="000000" w:fill="FFFFFF"/>
            <w:noWrap/>
            <w:vAlign w:val="bottom"/>
            <w:hideMark/>
          </w:tcPr>
          <w:p w14:paraId="741D3DE6" w14:textId="24AC765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4,715</w:t>
            </w:r>
          </w:p>
        </w:tc>
        <w:tc>
          <w:tcPr>
            <w:tcW w:w="1096" w:type="dxa"/>
            <w:tcBorders>
              <w:top w:val="nil"/>
              <w:left w:val="nil"/>
              <w:bottom w:val="single" w:sz="4" w:space="0" w:color="auto"/>
              <w:right w:val="single" w:sz="8" w:space="0" w:color="auto"/>
            </w:tcBorders>
            <w:shd w:val="clear" w:color="000000" w:fill="FFFFFF"/>
            <w:noWrap/>
            <w:vAlign w:val="bottom"/>
            <w:hideMark/>
          </w:tcPr>
          <w:p w14:paraId="20DC9A2A" w14:textId="5370182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48,034</w:t>
            </w:r>
          </w:p>
        </w:tc>
      </w:tr>
      <w:tr w:rsidR="00861244" w:rsidRPr="00E47FB2" w14:paraId="5441ACBB"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584A78AF"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Ajo</w:t>
            </w:r>
          </w:p>
        </w:tc>
        <w:tc>
          <w:tcPr>
            <w:tcW w:w="997" w:type="dxa"/>
            <w:tcBorders>
              <w:top w:val="nil"/>
              <w:left w:val="nil"/>
              <w:bottom w:val="single" w:sz="4" w:space="0" w:color="auto"/>
              <w:right w:val="single" w:sz="4" w:space="0" w:color="auto"/>
            </w:tcBorders>
            <w:shd w:val="clear" w:color="000000" w:fill="FFFFFF"/>
            <w:noWrap/>
            <w:hideMark/>
          </w:tcPr>
          <w:p w14:paraId="3C04C770" w14:textId="1248494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1,849</w:t>
            </w:r>
          </w:p>
        </w:tc>
        <w:tc>
          <w:tcPr>
            <w:tcW w:w="997" w:type="dxa"/>
            <w:tcBorders>
              <w:top w:val="nil"/>
              <w:left w:val="nil"/>
              <w:bottom w:val="single" w:sz="4" w:space="0" w:color="auto"/>
              <w:right w:val="single" w:sz="4" w:space="0" w:color="auto"/>
            </w:tcBorders>
            <w:shd w:val="clear" w:color="000000" w:fill="FFFFFF"/>
            <w:noWrap/>
            <w:vAlign w:val="bottom"/>
            <w:hideMark/>
          </w:tcPr>
          <w:p w14:paraId="1E63E2D0" w14:textId="69FABB7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280</w:t>
            </w:r>
          </w:p>
        </w:tc>
        <w:tc>
          <w:tcPr>
            <w:tcW w:w="997" w:type="dxa"/>
            <w:tcBorders>
              <w:top w:val="nil"/>
              <w:left w:val="nil"/>
              <w:bottom w:val="single" w:sz="4" w:space="0" w:color="auto"/>
              <w:right w:val="single" w:sz="4" w:space="0" w:color="auto"/>
            </w:tcBorders>
            <w:shd w:val="clear" w:color="000000" w:fill="FFFFFF"/>
            <w:noWrap/>
            <w:vAlign w:val="bottom"/>
            <w:hideMark/>
          </w:tcPr>
          <w:p w14:paraId="79011835" w14:textId="5E50D9B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3A0A9081" w14:textId="161BDDF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42568A64" w14:textId="57C9859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0D07FCE4" w14:textId="21E9010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067D7326" w14:textId="7FA2B9B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1107" w:type="dxa"/>
            <w:tcBorders>
              <w:top w:val="nil"/>
              <w:left w:val="nil"/>
              <w:bottom w:val="single" w:sz="4" w:space="0" w:color="auto"/>
              <w:right w:val="single" w:sz="4" w:space="0" w:color="auto"/>
            </w:tcBorders>
            <w:shd w:val="clear" w:color="000000" w:fill="FFFFFF"/>
            <w:noWrap/>
            <w:vAlign w:val="bottom"/>
            <w:hideMark/>
          </w:tcPr>
          <w:p w14:paraId="15B734C0" w14:textId="7E0DD70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306F6937" w14:textId="792C6BC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3D24370D" w14:textId="0671796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1127" w:type="dxa"/>
            <w:tcBorders>
              <w:top w:val="nil"/>
              <w:left w:val="nil"/>
              <w:bottom w:val="single" w:sz="4" w:space="0" w:color="auto"/>
              <w:right w:val="single" w:sz="4" w:space="0" w:color="auto"/>
            </w:tcBorders>
            <w:shd w:val="clear" w:color="000000" w:fill="FFFFFF"/>
            <w:noWrap/>
            <w:vAlign w:val="bottom"/>
            <w:hideMark/>
          </w:tcPr>
          <w:p w14:paraId="3160BFEC" w14:textId="666C4AD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2,562</w:t>
            </w:r>
          </w:p>
        </w:tc>
        <w:tc>
          <w:tcPr>
            <w:tcW w:w="996" w:type="dxa"/>
            <w:tcBorders>
              <w:top w:val="nil"/>
              <w:left w:val="nil"/>
              <w:bottom w:val="single" w:sz="4" w:space="0" w:color="auto"/>
              <w:right w:val="single" w:sz="4" w:space="0" w:color="auto"/>
            </w:tcBorders>
            <w:shd w:val="clear" w:color="000000" w:fill="FFFFFF"/>
            <w:noWrap/>
            <w:vAlign w:val="bottom"/>
            <w:hideMark/>
          </w:tcPr>
          <w:p w14:paraId="67AF7E2C" w14:textId="677DE74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2,332</w:t>
            </w:r>
          </w:p>
        </w:tc>
        <w:tc>
          <w:tcPr>
            <w:tcW w:w="1096" w:type="dxa"/>
            <w:tcBorders>
              <w:top w:val="nil"/>
              <w:left w:val="nil"/>
              <w:bottom w:val="single" w:sz="4" w:space="0" w:color="auto"/>
              <w:right w:val="single" w:sz="8" w:space="0" w:color="auto"/>
            </w:tcBorders>
            <w:shd w:val="clear" w:color="000000" w:fill="FFFFFF"/>
            <w:noWrap/>
            <w:vAlign w:val="bottom"/>
            <w:hideMark/>
          </w:tcPr>
          <w:p w14:paraId="52885C16" w14:textId="6784FF2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7,023</w:t>
            </w:r>
          </w:p>
        </w:tc>
      </w:tr>
      <w:tr w:rsidR="00861244" w:rsidRPr="00E47FB2" w14:paraId="2E6541C4"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768C5B9F"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Auyama</w:t>
            </w:r>
          </w:p>
        </w:tc>
        <w:tc>
          <w:tcPr>
            <w:tcW w:w="997" w:type="dxa"/>
            <w:tcBorders>
              <w:top w:val="nil"/>
              <w:left w:val="nil"/>
              <w:bottom w:val="single" w:sz="4" w:space="0" w:color="auto"/>
              <w:right w:val="single" w:sz="4" w:space="0" w:color="auto"/>
            </w:tcBorders>
            <w:shd w:val="clear" w:color="000000" w:fill="FFFFFF"/>
            <w:noWrap/>
            <w:hideMark/>
          </w:tcPr>
          <w:p w14:paraId="01A3CCDD" w14:textId="35AFEBD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6,854</w:t>
            </w:r>
          </w:p>
        </w:tc>
        <w:tc>
          <w:tcPr>
            <w:tcW w:w="997" w:type="dxa"/>
            <w:tcBorders>
              <w:top w:val="nil"/>
              <w:left w:val="nil"/>
              <w:bottom w:val="single" w:sz="4" w:space="0" w:color="auto"/>
              <w:right w:val="single" w:sz="4" w:space="0" w:color="auto"/>
            </w:tcBorders>
            <w:shd w:val="clear" w:color="000000" w:fill="FFFFFF"/>
            <w:noWrap/>
            <w:vAlign w:val="bottom"/>
            <w:hideMark/>
          </w:tcPr>
          <w:p w14:paraId="03F6F58F" w14:textId="0414F78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6,359</w:t>
            </w:r>
          </w:p>
        </w:tc>
        <w:tc>
          <w:tcPr>
            <w:tcW w:w="997" w:type="dxa"/>
            <w:tcBorders>
              <w:top w:val="nil"/>
              <w:left w:val="nil"/>
              <w:bottom w:val="single" w:sz="4" w:space="0" w:color="auto"/>
              <w:right w:val="single" w:sz="4" w:space="0" w:color="auto"/>
            </w:tcBorders>
            <w:shd w:val="clear" w:color="000000" w:fill="FFFFFF"/>
            <w:noWrap/>
            <w:vAlign w:val="bottom"/>
            <w:hideMark/>
          </w:tcPr>
          <w:p w14:paraId="34371610" w14:textId="47F0101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4,598</w:t>
            </w:r>
          </w:p>
        </w:tc>
        <w:tc>
          <w:tcPr>
            <w:tcW w:w="996" w:type="dxa"/>
            <w:tcBorders>
              <w:top w:val="nil"/>
              <w:left w:val="nil"/>
              <w:bottom w:val="single" w:sz="4" w:space="0" w:color="auto"/>
              <w:right w:val="single" w:sz="4" w:space="0" w:color="auto"/>
            </w:tcBorders>
            <w:shd w:val="clear" w:color="000000" w:fill="FFFFFF"/>
            <w:noWrap/>
            <w:vAlign w:val="bottom"/>
            <w:hideMark/>
          </w:tcPr>
          <w:p w14:paraId="4056421B" w14:textId="65740B4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3,214</w:t>
            </w:r>
          </w:p>
        </w:tc>
        <w:tc>
          <w:tcPr>
            <w:tcW w:w="996" w:type="dxa"/>
            <w:tcBorders>
              <w:top w:val="nil"/>
              <w:left w:val="nil"/>
              <w:bottom w:val="single" w:sz="4" w:space="0" w:color="auto"/>
              <w:right w:val="single" w:sz="4" w:space="0" w:color="auto"/>
            </w:tcBorders>
            <w:shd w:val="clear" w:color="000000" w:fill="FFFFFF"/>
            <w:noWrap/>
            <w:vAlign w:val="bottom"/>
            <w:hideMark/>
          </w:tcPr>
          <w:p w14:paraId="4832DBA4" w14:textId="24642A9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11,794</w:t>
            </w:r>
          </w:p>
        </w:tc>
        <w:tc>
          <w:tcPr>
            <w:tcW w:w="996" w:type="dxa"/>
            <w:tcBorders>
              <w:top w:val="nil"/>
              <w:left w:val="nil"/>
              <w:bottom w:val="single" w:sz="4" w:space="0" w:color="auto"/>
              <w:right w:val="single" w:sz="4" w:space="0" w:color="auto"/>
            </w:tcBorders>
            <w:shd w:val="clear" w:color="000000" w:fill="FFFFFF"/>
            <w:noWrap/>
            <w:vAlign w:val="bottom"/>
            <w:hideMark/>
          </w:tcPr>
          <w:p w14:paraId="6220EBDB" w14:textId="26A2D3F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9,566</w:t>
            </w:r>
          </w:p>
        </w:tc>
        <w:tc>
          <w:tcPr>
            <w:tcW w:w="996" w:type="dxa"/>
            <w:tcBorders>
              <w:top w:val="nil"/>
              <w:left w:val="nil"/>
              <w:bottom w:val="single" w:sz="4" w:space="0" w:color="auto"/>
              <w:right w:val="single" w:sz="4" w:space="0" w:color="auto"/>
            </w:tcBorders>
            <w:shd w:val="clear" w:color="000000" w:fill="FFFFFF"/>
            <w:noWrap/>
            <w:vAlign w:val="bottom"/>
            <w:hideMark/>
          </w:tcPr>
          <w:p w14:paraId="24052320" w14:textId="7B6DB8F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7,214</w:t>
            </w:r>
          </w:p>
        </w:tc>
        <w:tc>
          <w:tcPr>
            <w:tcW w:w="1107" w:type="dxa"/>
            <w:tcBorders>
              <w:top w:val="nil"/>
              <w:left w:val="nil"/>
              <w:bottom w:val="single" w:sz="4" w:space="0" w:color="auto"/>
              <w:right w:val="single" w:sz="4" w:space="0" w:color="auto"/>
            </w:tcBorders>
            <w:shd w:val="clear" w:color="000000" w:fill="FFFFFF"/>
            <w:noWrap/>
            <w:vAlign w:val="bottom"/>
            <w:hideMark/>
          </w:tcPr>
          <w:p w14:paraId="7421520C" w14:textId="276FDFF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5,214</w:t>
            </w:r>
          </w:p>
        </w:tc>
        <w:tc>
          <w:tcPr>
            <w:tcW w:w="996" w:type="dxa"/>
            <w:tcBorders>
              <w:top w:val="nil"/>
              <w:left w:val="nil"/>
              <w:bottom w:val="single" w:sz="4" w:space="0" w:color="auto"/>
              <w:right w:val="single" w:sz="4" w:space="0" w:color="auto"/>
            </w:tcBorders>
            <w:shd w:val="clear" w:color="000000" w:fill="FFFFFF"/>
            <w:noWrap/>
            <w:vAlign w:val="bottom"/>
            <w:hideMark/>
          </w:tcPr>
          <w:p w14:paraId="3D5584E1" w14:textId="3CC16D7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7,201</w:t>
            </w:r>
          </w:p>
        </w:tc>
        <w:tc>
          <w:tcPr>
            <w:tcW w:w="996" w:type="dxa"/>
            <w:tcBorders>
              <w:top w:val="nil"/>
              <w:left w:val="nil"/>
              <w:bottom w:val="single" w:sz="4" w:space="0" w:color="auto"/>
              <w:right w:val="single" w:sz="4" w:space="0" w:color="auto"/>
            </w:tcBorders>
            <w:shd w:val="clear" w:color="000000" w:fill="FFFFFF"/>
            <w:noWrap/>
            <w:vAlign w:val="bottom"/>
            <w:hideMark/>
          </w:tcPr>
          <w:p w14:paraId="14D78295" w14:textId="64A1354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5,698</w:t>
            </w:r>
          </w:p>
        </w:tc>
        <w:tc>
          <w:tcPr>
            <w:tcW w:w="1127" w:type="dxa"/>
            <w:tcBorders>
              <w:top w:val="nil"/>
              <w:left w:val="nil"/>
              <w:bottom w:val="single" w:sz="4" w:space="0" w:color="auto"/>
              <w:right w:val="single" w:sz="4" w:space="0" w:color="auto"/>
            </w:tcBorders>
            <w:shd w:val="clear" w:color="000000" w:fill="FFFFFF"/>
            <w:noWrap/>
            <w:vAlign w:val="bottom"/>
            <w:hideMark/>
          </w:tcPr>
          <w:p w14:paraId="2AB9559D" w14:textId="1009509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6,560</w:t>
            </w:r>
          </w:p>
        </w:tc>
        <w:tc>
          <w:tcPr>
            <w:tcW w:w="996" w:type="dxa"/>
            <w:tcBorders>
              <w:top w:val="nil"/>
              <w:left w:val="nil"/>
              <w:bottom w:val="single" w:sz="4" w:space="0" w:color="auto"/>
              <w:right w:val="single" w:sz="4" w:space="0" w:color="auto"/>
            </w:tcBorders>
            <w:shd w:val="clear" w:color="000000" w:fill="FFFFFF"/>
            <w:noWrap/>
            <w:vAlign w:val="bottom"/>
            <w:hideMark/>
          </w:tcPr>
          <w:p w14:paraId="23162674" w14:textId="542FE57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4,261</w:t>
            </w:r>
          </w:p>
        </w:tc>
        <w:tc>
          <w:tcPr>
            <w:tcW w:w="1096" w:type="dxa"/>
            <w:tcBorders>
              <w:top w:val="nil"/>
              <w:left w:val="nil"/>
              <w:bottom w:val="single" w:sz="4" w:space="0" w:color="auto"/>
              <w:right w:val="single" w:sz="8" w:space="0" w:color="auto"/>
            </w:tcBorders>
            <w:shd w:val="clear" w:color="000000" w:fill="FFFFFF"/>
            <w:noWrap/>
            <w:vAlign w:val="bottom"/>
            <w:hideMark/>
          </w:tcPr>
          <w:p w14:paraId="23CDEF62" w14:textId="718DEE2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78,534</w:t>
            </w:r>
          </w:p>
        </w:tc>
      </w:tr>
      <w:tr w:rsidR="00861244" w:rsidRPr="00E47FB2" w14:paraId="68D11878"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7D98DAC2"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Berenjena</w:t>
            </w:r>
          </w:p>
        </w:tc>
        <w:tc>
          <w:tcPr>
            <w:tcW w:w="997" w:type="dxa"/>
            <w:tcBorders>
              <w:top w:val="nil"/>
              <w:left w:val="nil"/>
              <w:bottom w:val="single" w:sz="4" w:space="0" w:color="auto"/>
              <w:right w:val="single" w:sz="4" w:space="0" w:color="auto"/>
            </w:tcBorders>
            <w:shd w:val="clear" w:color="000000" w:fill="FFFFFF"/>
            <w:noWrap/>
            <w:hideMark/>
          </w:tcPr>
          <w:p w14:paraId="6C0D4D85" w14:textId="2925047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3,014</w:t>
            </w:r>
          </w:p>
        </w:tc>
        <w:tc>
          <w:tcPr>
            <w:tcW w:w="997" w:type="dxa"/>
            <w:tcBorders>
              <w:top w:val="nil"/>
              <w:left w:val="nil"/>
              <w:bottom w:val="single" w:sz="4" w:space="0" w:color="auto"/>
              <w:right w:val="single" w:sz="4" w:space="0" w:color="auto"/>
            </w:tcBorders>
            <w:shd w:val="clear" w:color="000000" w:fill="FFFFFF"/>
            <w:noWrap/>
            <w:vAlign w:val="bottom"/>
            <w:hideMark/>
          </w:tcPr>
          <w:p w14:paraId="5563C9B2" w14:textId="2E18546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1,754</w:t>
            </w:r>
          </w:p>
        </w:tc>
        <w:tc>
          <w:tcPr>
            <w:tcW w:w="997" w:type="dxa"/>
            <w:tcBorders>
              <w:top w:val="nil"/>
              <w:left w:val="nil"/>
              <w:bottom w:val="single" w:sz="4" w:space="0" w:color="auto"/>
              <w:right w:val="single" w:sz="4" w:space="0" w:color="auto"/>
            </w:tcBorders>
            <w:shd w:val="clear" w:color="000000" w:fill="FFFFFF"/>
            <w:noWrap/>
            <w:vAlign w:val="bottom"/>
            <w:hideMark/>
          </w:tcPr>
          <w:p w14:paraId="703D9E88" w14:textId="126F98D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1,594</w:t>
            </w:r>
          </w:p>
        </w:tc>
        <w:tc>
          <w:tcPr>
            <w:tcW w:w="996" w:type="dxa"/>
            <w:tcBorders>
              <w:top w:val="nil"/>
              <w:left w:val="nil"/>
              <w:bottom w:val="single" w:sz="4" w:space="0" w:color="auto"/>
              <w:right w:val="single" w:sz="4" w:space="0" w:color="auto"/>
            </w:tcBorders>
            <w:shd w:val="clear" w:color="000000" w:fill="FFFFFF"/>
            <w:noWrap/>
            <w:vAlign w:val="bottom"/>
            <w:hideMark/>
          </w:tcPr>
          <w:p w14:paraId="06F7C4B1" w14:textId="085B812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1,541</w:t>
            </w:r>
          </w:p>
        </w:tc>
        <w:tc>
          <w:tcPr>
            <w:tcW w:w="996" w:type="dxa"/>
            <w:tcBorders>
              <w:top w:val="nil"/>
              <w:left w:val="nil"/>
              <w:bottom w:val="single" w:sz="4" w:space="0" w:color="auto"/>
              <w:right w:val="single" w:sz="4" w:space="0" w:color="auto"/>
            </w:tcBorders>
            <w:shd w:val="clear" w:color="000000" w:fill="FFFFFF"/>
            <w:noWrap/>
            <w:vAlign w:val="bottom"/>
            <w:hideMark/>
          </w:tcPr>
          <w:p w14:paraId="6A416263" w14:textId="3276768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1,975</w:t>
            </w:r>
          </w:p>
        </w:tc>
        <w:tc>
          <w:tcPr>
            <w:tcW w:w="996" w:type="dxa"/>
            <w:tcBorders>
              <w:top w:val="nil"/>
              <w:left w:val="nil"/>
              <w:bottom w:val="single" w:sz="4" w:space="0" w:color="auto"/>
              <w:right w:val="single" w:sz="4" w:space="0" w:color="auto"/>
            </w:tcBorders>
            <w:shd w:val="clear" w:color="000000" w:fill="FFFFFF"/>
            <w:noWrap/>
            <w:vAlign w:val="bottom"/>
            <w:hideMark/>
          </w:tcPr>
          <w:p w14:paraId="6968509F" w14:textId="195DD67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1,402</w:t>
            </w:r>
          </w:p>
        </w:tc>
        <w:tc>
          <w:tcPr>
            <w:tcW w:w="996" w:type="dxa"/>
            <w:tcBorders>
              <w:top w:val="nil"/>
              <w:left w:val="nil"/>
              <w:bottom w:val="single" w:sz="4" w:space="0" w:color="auto"/>
              <w:right w:val="single" w:sz="4" w:space="0" w:color="auto"/>
            </w:tcBorders>
            <w:shd w:val="clear" w:color="000000" w:fill="FFFFFF"/>
            <w:noWrap/>
            <w:vAlign w:val="bottom"/>
            <w:hideMark/>
          </w:tcPr>
          <w:p w14:paraId="61E9C9BD" w14:textId="55D8C4E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1,302</w:t>
            </w:r>
          </w:p>
        </w:tc>
        <w:tc>
          <w:tcPr>
            <w:tcW w:w="1107" w:type="dxa"/>
            <w:tcBorders>
              <w:top w:val="nil"/>
              <w:left w:val="nil"/>
              <w:bottom w:val="single" w:sz="4" w:space="0" w:color="auto"/>
              <w:right w:val="single" w:sz="4" w:space="0" w:color="auto"/>
            </w:tcBorders>
            <w:shd w:val="clear" w:color="000000" w:fill="FFFFFF"/>
            <w:noWrap/>
            <w:vAlign w:val="bottom"/>
            <w:hideMark/>
          </w:tcPr>
          <w:p w14:paraId="60ED39AA" w14:textId="5C052A5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838</w:t>
            </w:r>
          </w:p>
        </w:tc>
        <w:tc>
          <w:tcPr>
            <w:tcW w:w="996" w:type="dxa"/>
            <w:tcBorders>
              <w:top w:val="nil"/>
              <w:left w:val="nil"/>
              <w:bottom w:val="single" w:sz="4" w:space="0" w:color="auto"/>
              <w:right w:val="single" w:sz="4" w:space="0" w:color="auto"/>
            </w:tcBorders>
            <w:shd w:val="clear" w:color="000000" w:fill="FFFFFF"/>
            <w:noWrap/>
            <w:vAlign w:val="bottom"/>
            <w:hideMark/>
          </w:tcPr>
          <w:p w14:paraId="07CA1F14" w14:textId="27434B7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1,955</w:t>
            </w:r>
          </w:p>
        </w:tc>
        <w:tc>
          <w:tcPr>
            <w:tcW w:w="996" w:type="dxa"/>
            <w:tcBorders>
              <w:top w:val="nil"/>
              <w:left w:val="nil"/>
              <w:bottom w:val="single" w:sz="4" w:space="0" w:color="auto"/>
              <w:right w:val="single" w:sz="4" w:space="0" w:color="auto"/>
            </w:tcBorders>
            <w:shd w:val="clear" w:color="000000" w:fill="FFFFFF"/>
            <w:noWrap/>
            <w:vAlign w:val="bottom"/>
            <w:hideMark/>
          </w:tcPr>
          <w:p w14:paraId="70170074" w14:textId="5C8B91F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1,721</w:t>
            </w:r>
          </w:p>
        </w:tc>
        <w:tc>
          <w:tcPr>
            <w:tcW w:w="1127" w:type="dxa"/>
            <w:tcBorders>
              <w:top w:val="nil"/>
              <w:left w:val="nil"/>
              <w:bottom w:val="single" w:sz="4" w:space="0" w:color="auto"/>
              <w:right w:val="single" w:sz="4" w:space="0" w:color="auto"/>
            </w:tcBorders>
            <w:shd w:val="clear" w:color="000000" w:fill="FFFFFF"/>
            <w:noWrap/>
            <w:vAlign w:val="bottom"/>
            <w:hideMark/>
          </w:tcPr>
          <w:p w14:paraId="3D795934" w14:textId="3D27370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2,934</w:t>
            </w:r>
          </w:p>
        </w:tc>
        <w:tc>
          <w:tcPr>
            <w:tcW w:w="996" w:type="dxa"/>
            <w:tcBorders>
              <w:top w:val="nil"/>
              <w:left w:val="nil"/>
              <w:bottom w:val="single" w:sz="4" w:space="0" w:color="auto"/>
              <w:right w:val="single" w:sz="4" w:space="0" w:color="auto"/>
            </w:tcBorders>
            <w:shd w:val="clear" w:color="000000" w:fill="FFFFFF"/>
            <w:noWrap/>
            <w:vAlign w:val="bottom"/>
            <w:hideMark/>
          </w:tcPr>
          <w:p w14:paraId="735FEB7E" w14:textId="5556A61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2,547</w:t>
            </w:r>
          </w:p>
        </w:tc>
        <w:tc>
          <w:tcPr>
            <w:tcW w:w="1096" w:type="dxa"/>
            <w:tcBorders>
              <w:top w:val="nil"/>
              <w:left w:val="nil"/>
              <w:bottom w:val="single" w:sz="4" w:space="0" w:color="auto"/>
              <w:right w:val="single" w:sz="8" w:space="0" w:color="auto"/>
            </w:tcBorders>
            <w:shd w:val="clear" w:color="000000" w:fill="FFFFFF"/>
            <w:noWrap/>
            <w:vAlign w:val="bottom"/>
            <w:hideMark/>
          </w:tcPr>
          <w:p w14:paraId="41DA252D" w14:textId="2FEC75A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22,577</w:t>
            </w:r>
          </w:p>
        </w:tc>
      </w:tr>
      <w:tr w:rsidR="00861244" w:rsidRPr="00E47FB2" w14:paraId="49B6DB29"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38A4ADBA"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Cebolla</w:t>
            </w:r>
          </w:p>
        </w:tc>
        <w:tc>
          <w:tcPr>
            <w:tcW w:w="997" w:type="dxa"/>
            <w:tcBorders>
              <w:top w:val="nil"/>
              <w:left w:val="nil"/>
              <w:bottom w:val="single" w:sz="4" w:space="0" w:color="auto"/>
              <w:right w:val="single" w:sz="4" w:space="0" w:color="auto"/>
            </w:tcBorders>
            <w:shd w:val="clear" w:color="000000" w:fill="FFFFFF"/>
            <w:noWrap/>
            <w:hideMark/>
          </w:tcPr>
          <w:p w14:paraId="20A99542" w14:textId="10727C2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7,854</w:t>
            </w:r>
          </w:p>
        </w:tc>
        <w:tc>
          <w:tcPr>
            <w:tcW w:w="997" w:type="dxa"/>
            <w:tcBorders>
              <w:top w:val="nil"/>
              <w:left w:val="nil"/>
              <w:bottom w:val="single" w:sz="4" w:space="0" w:color="auto"/>
              <w:right w:val="single" w:sz="4" w:space="0" w:color="auto"/>
            </w:tcBorders>
            <w:shd w:val="clear" w:color="000000" w:fill="FFFFFF"/>
            <w:noWrap/>
            <w:vAlign w:val="bottom"/>
            <w:hideMark/>
          </w:tcPr>
          <w:p w14:paraId="24CFD2E7" w14:textId="3CC8C1A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2,688</w:t>
            </w:r>
          </w:p>
        </w:tc>
        <w:tc>
          <w:tcPr>
            <w:tcW w:w="997" w:type="dxa"/>
            <w:tcBorders>
              <w:top w:val="nil"/>
              <w:left w:val="nil"/>
              <w:bottom w:val="single" w:sz="4" w:space="0" w:color="auto"/>
              <w:right w:val="single" w:sz="4" w:space="0" w:color="auto"/>
            </w:tcBorders>
            <w:shd w:val="clear" w:color="000000" w:fill="FFFFFF"/>
            <w:noWrap/>
            <w:vAlign w:val="bottom"/>
            <w:hideMark/>
          </w:tcPr>
          <w:p w14:paraId="53DABE29" w14:textId="6F45FE7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2,320</w:t>
            </w:r>
          </w:p>
        </w:tc>
        <w:tc>
          <w:tcPr>
            <w:tcW w:w="996" w:type="dxa"/>
            <w:tcBorders>
              <w:top w:val="nil"/>
              <w:left w:val="nil"/>
              <w:bottom w:val="single" w:sz="4" w:space="0" w:color="auto"/>
              <w:right w:val="single" w:sz="4" w:space="0" w:color="auto"/>
            </w:tcBorders>
            <w:shd w:val="clear" w:color="000000" w:fill="FFFFFF"/>
            <w:noWrap/>
            <w:vAlign w:val="bottom"/>
            <w:hideMark/>
          </w:tcPr>
          <w:p w14:paraId="09BE075C" w14:textId="4219C05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5,210</w:t>
            </w:r>
          </w:p>
        </w:tc>
        <w:tc>
          <w:tcPr>
            <w:tcW w:w="996" w:type="dxa"/>
            <w:tcBorders>
              <w:top w:val="nil"/>
              <w:left w:val="nil"/>
              <w:bottom w:val="single" w:sz="4" w:space="0" w:color="auto"/>
              <w:right w:val="single" w:sz="4" w:space="0" w:color="auto"/>
            </w:tcBorders>
            <w:shd w:val="clear" w:color="000000" w:fill="FFFFFF"/>
            <w:noWrap/>
            <w:vAlign w:val="bottom"/>
            <w:hideMark/>
          </w:tcPr>
          <w:p w14:paraId="5A2D0D71" w14:textId="0911AD8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6,241</w:t>
            </w:r>
          </w:p>
        </w:tc>
        <w:tc>
          <w:tcPr>
            <w:tcW w:w="996" w:type="dxa"/>
            <w:tcBorders>
              <w:top w:val="nil"/>
              <w:left w:val="nil"/>
              <w:bottom w:val="single" w:sz="4" w:space="0" w:color="auto"/>
              <w:right w:val="single" w:sz="4" w:space="0" w:color="auto"/>
            </w:tcBorders>
            <w:shd w:val="clear" w:color="000000" w:fill="FFFFFF"/>
            <w:noWrap/>
            <w:vAlign w:val="bottom"/>
            <w:hideMark/>
          </w:tcPr>
          <w:p w14:paraId="0D698AA9" w14:textId="3017F5B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3,116</w:t>
            </w:r>
          </w:p>
        </w:tc>
        <w:tc>
          <w:tcPr>
            <w:tcW w:w="996" w:type="dxa"/>
            <w:tcBorders>
              <w:top w:val="nil"/>
              <w:left w:val="nil"/>
              <w:bottom w:val="single" w:sz="4" w:space="0" w:color="auto"/>
              <w:right w:val="single" w:sz="4" w:space="0" w:color="auto"/>
            </w:tcBorders>
            <w:shd w:val="clear" w:color="000000" w:fill="FFFFFF"/>
            <w:noWrap/>
            <w:vAlign w:val="bottom"/>
            <w:hideMark/>
          </w:tcPr>
          <w:p w14:paraId="24F92A5F" w14:textId="2EF1BBE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4,521</w:t>
            </w:r>
          </w:p>
        </w:tc>
        <w:tc>
          <w:tcPr>
            <w:tcW w:w="1107" w:type="dxa"/>
            <w:tcBorders>
              <w:top w:val="nil"/>
              <w:left w:val="nil"/>
              <w:bottom w:val="single" w:sz="4" w:space="0" w:color="auto"/>
              <w:right w:val="single" w:sz="4" w:space="0" w:color="auto"/>
            </w:tcBorders>
            <w:shd w:val="clear" w:color="000000" w:fill="FFFFFF"/>
            <w:noWrap/>
            <w:vAlign w:val="bottom"/>
            <w:hideMark/>
          </w:tcPr>
          <w:p w14:paraId="05DB421A" w14:textId="0622AE8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2,598</w:t>
            </w:r>
          </w:p>
        </w:tc>
        <w:tc>
          <w:tcPr>
            <w:tcW w:w="996" w:type="dxa"/>
            <w:tcBorders>
              <w:top w:val="nil"/>
              <w:left w:val="nil"/>
              <w:bottom w:val="single" w:sz="4" w:space="0" w:color="auto"/>
              <w:right w:val="single" w:sz="4" w:space="0" w:color="auto"/>
            </w:tcBorders>
            <w:shd w:val="clear" w:color="000000" w:fill="FFFFFF"/>
            <w:noWrap/>
            <w:vAlign w:val="bottom"/>
            <w:hideMark/>
          </w:tcPr>
          <w:p w14:paraId="47838CC7" w14:textId="331CD17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9,521</w:t>
            </w:r>
          </w:p>
        </w:tc>
        <w:tc>
          <w:tcPr>
            <w:tcW w:w="996" w:type="dxa"/>
            <w:tcBorders>
              <w:top w:val="nil"/>
              <w:left w:val="nil"/>
              <w:bottom w:val="single" w:sz="4" w:space="0" w:color="auto"/>
              <w:right w:val="single" w:sz="4" w:space="0" w:color="auto"/>
            </w:tcBorders>
            <w:shd w:val="clear" w:color="000000" w:fill="FFFFFF"/>
            <w:noWrap/>
            <w:vAlign w:val="bottom"/>
            <w:hideMark/>
          </w:tcPr>
          <w:p w14:paraId="1CBC8403" w14:textId="439033E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2,870</w:t>
            </w:r>
          </w:p>
        </w:tc>
        <w:tc>
          <w:tcPr>
            <w:tcW w:w="1127" w:type="dxa"/>
            <w:tcBorders>
              <w:top w:val="nil"/>
              <w:left w:val="nil"/>
              <w:bottom w:val="single" w:sz="4" w:space="0" w:color="auto"/>
              <w:right w:val="single" w:sz="4" w:space="0" w:color="auto"/>
            </w:tcBorders>
            <w:shd w:val="clear" w:color="000000" w:fill="FFFFFF"/>
            <w:noWrap/>
            <w:vAlign w:val="bottom"/>
            <w:hideMark/>
          </w:tcPr>
          <w:p w14:paraId="07213924" w14:textId="0E71008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10,566</w:t>
            </w:r>
          </w:p>
        </w:tc>
        <w:tc>
          <w:tcPr>
            <w:tcW w:w="996" w:type="dxa"/>
            <w:tcBorders>
              <w:top w:val="nil"/>
              <w:left w:val="nil"/>
              <w:bottom w:val="single" w:sz="4" w:space="0" w:color="auto"/>
              <w:right w:val="single" w:sz="4" w:space="0" w:color="auto"/>
            </w:tcBorders>
            <w:shd w:val="clear" w:color="000000" w:fill="FFFFFF"/>
            <w:noWrap/>
            <w:vAlign w:val="bottom"/>
            <w:hideMark/>
          </w:tcPr>
          <w:p w14:paraId="2099C996" w14:textId="32AD7DF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12,056</w:t>
            </w:r>
          </w:p>
        </w:tc>
        <w:tc>
          <w:tcPr>
            <w:tcW w:w="1096" w:type="dxa"/>
            <w:tcBorders>
              <w:top w:val="nil"/>
              <w:left w:val="nil"/>
              <w:bottom w:val="single" w:sz="4" w:space="0" w:color="auto"/>
              <w:right w:val="single" w:sz="8" w:space="0" w:color="auto"/>
            </w:tcBorders>
            <w:shd w:val="clear" w:color="000000" w:fill="FFFFFF"/>
            <w:noWrap/>
            <w:vAlign w:val="bottom"/>
            <w:hideMark/>
          </w:tcPr>
          <w:p w14:paraId="46D7391D" w14:textId="62CAB11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69,561</w:t>
            </w:r>
          </w:p>
        </w:tc>
      </w:tr>
      <w:tr w:rsidR="00861244" w:rsidRPr="00E47FB2" w14:paraId="059B6869"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070294A1"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Pepino</w:t>
            </w:r>
          </w:p>
        </w:tc>
        <w:tc>
          <w:tcPr>
            <w:tcW w:w="997" w:type="dxa"/>
            <w:tcBorders>
              <w:top w:val="nil"/>
              <w:left w:val="nil"/>
              <w:bottom w:val="single" w:sz="4" w:space="0" w:color="auto"/>
              <w:right w:val="single" w:sz="4" w:space="0" w:color="auto"/>
            </w:tcBorders>
            <w:shd w:val="clear" w:color="000000" w:fill="FFFFFF"/>
            <w:noWrap/>
            <w:hideMark/>
          </w:tcPr>
          <w:p w14:paraId="090CAB13" w14:textId="3D738C6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710</w:t>
            </w:r>
          </w:p>
        </w:tc>
        <w:tc>
          <w:tcPr>
            <w:tcW w:w="997" w:type="dxa"/>
            <w:tcBorders>
              <w:top w:val="nil"/>
              <w:left w:val="nil"/>
              <w:bottom w:val="single" w:sz="4" w:space="0" w:color="auto"/>
              <w:right w:val="single" w:sz="4" w:space="0" w:color="auto"/>
            </w:tcBorders>
            <w:shd w:val="clear" w:color="000000" w:fill="FFFFFF"/>
            <w:noWrap/>
            <w:vAlign w:val="bottom"/>
            <w:hideMark/>
          </w:tcPr>
          <w:p w14:paraId="460BAF6D" w14:textId="349AB8B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682</w:t>
            </w:r>
          </w:p>
        </w:tc>
        <w:tc>
          <w:tcPr>
            <w:tcW w:w="997" w:type="dxa"/>
            <w:tcBorders>
              <w:top w:val="nil"/>
              <w:left w:val="nil"/>
              <w:bottom w:val="single" w:sz="4" w:space="0" w:color="auto"/>
              <w:right w:val="single" w:sz="4" w:space="0" w:color="auto"/>
            </w:tcBorders>
            <w:shd w:val="clear" w:color="000000" w:fill="FFFFFF"/>
            <w:noWrap/>
            <w:vAlign w:val="bottom"/>
            <w:hideMark/>
          </w:tcPr>
          <w:p w14:paraId="4955B2ED" w14:textId="19415BD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1,021</w:t>
            </w:r>
          </w:p>
        </w:tc>
        <w:tc>
          <w:tcPr>
            <w:tcW w:w="996" w:type="dxa"/>
            <w:tcBorders>
              <w:top w:val="nil"/>
              <w:left w:val="nil"/>
              <w:bottom w:val="single" w:sz="4" w:space="0" w:color="auto"/>
              <w:right w:val="single" w:sz="4" w:space="0" w:color="auto"/>
            </w:tcBorders>
            <w:shd w:val="clear" w:color="000000" w:fill="FFFFFF"/>
            <w:noWrap/>
            <w:vAlign w:val="bottom"/>
            <w:hideMark/>
          </w:tcPr>
          <w:p w14:paraId="77BE0F20" w14:textId="1367BB7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854</w:t>
            </w:r>
          </w:p>
        </w:tc>
        <w:tc>
          <w:tcPr>
            <w:tcW w:w="996" w:type="dxa"/>
            <w:tcBorders>
              <w:top w:val="nil"/>
              <w:left w:val="nil"/>
              <w:bottom w:val="single" w:sz="4" w:space="0" w:color="auto"/>
              <w:right w:val="single" w:sz="4" w:space="0" w:color="auto"/>
            </w:tcBorders>
            <w:shd w:val="clear" w:color="000000" w:fill="FFFFFF"/>
            <w:noWrap/>
            <w:vAlign w:val="bottom"/>
            <w:hideMark/>
          </w:tcPr>
          <w:p w14:paraId="51574771" w14:textId="4A6A9A1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542</w:t>
            </w:r>
          </w:p>
        </w:tc>
        <w:tc>
          <w:tcPr>
            <w:tcW w:w="996" w:type="dxa"/>
            <w:tcBorders>
              <w:top w:val="nil"/>
              <w:left w:val="nil"/>
              <w:bottom w:val="single" w:sz="4" w:space="0" w:color="auto"/>
              <w:right w:val="single" w:sz="4" w:space="0" w:color="auto"/>
            </w:tcBorders>
            <w:shd w:val="clear" w:color="000000" w:fill="FFFFFF"/>
            <w:noWrap/>
            <w:vAlign w:val="bottom"/>
            <w:hideMark/>
          </w:tcPr>
          <w:p w14:paraId="1C5CADF8" w14:textId="68E54E3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699</w:t>
            </w:r>
          </w:p>
        </w:tc>
        <w:tc>
          <w:tcPr>
            <w:tcW w:w="996" w:type="dxa"/>
            <w:tcBorders>
              <w:top w:val="nil"/>
              <w:left w:val="nil"/>
              <w:bottom w:val="single" w:sz="4" w:space="0" w:color="auto"/>
              <w:right w:val="single" w:sz="4" w:space="0" w:color="auto"/>
            </w:tcBorders>
            <w:shd w:val="clear" w:color="000000" w:fill="FFFFFF"/>
            <w:noWrap/>
            <w:vAlign w:val="bottom"/>
            <w:hideMark/>
          </w:tcPr>
          <w:p w14:paraId="2A8AB67F" w14:textId="465F12E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456</w:t>
            </w:r>
          </w:p>
        </w:tc>
        <w:tc>
          <w:tcPr>
            <w:tcW w:w="1107" w:type="dxa"/>
            <w:tcBorders>
              <w:top w:val="nil"/>
              <w:left w:val="nil"/>
              <w:bottom w:val="single" w:sz="4" w:space="0" w:color="auto"/>
              <w:right w:val="single" w:sz="4" w:space="0" w:color="auto"/>
            </w:tcBorders>
            <w:shd w:val="clear" w:color="000000" w:fill="FFFFFF"/>
            <w:noWrap/>
            <w:vAlign w:val="bottom"/>
            <w:hideMark/>
          </w:tcPr>
          <w:p w14:paraId="2687F0D8" w14:textId="70390B7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455</w:t>
            </w:r>
          </w:p>
        </w:tc>
        <w:tc>
          <w:tcPr>
            <w:tcW w:w="996" w:type="dxa"/>
            <w:tcBorders>
              <w:top w:val="nil"/>
              <w:left w:val="nil"/>
              <w:bottom w:val="single" w:sz="4" w:space="0" w:color="auto"/>
              <w:right w:val="single" w:sz="4" w:space="0" w:color="auto"/>
            </w:tcBorders>
            <w:shd w:val="clear" w:color="000000" w:fill="FFFFFF"/>
            <w:noWrap/>
            <w:vAlign w:val="bottom"/>
            <w:hideMark/>
          </w:tcPr>
          <w:p w14:paraId="482F459E" w14:textId="6DB0ECF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865</w:t>
            </w:r>
          </w:p>
        </w:tc>
        <w:tc>
          <w:tcPr>
            <w:tcW w:w="996" w:type="dxa"/>
            <w:tcBorders>
              <w:top w:val="nil"/>
              <w:left w:val="nil"/>
              <w:bottom w:val="single" w:sz="4" w:space="0" w:color="auto"/>
              <w:right w:val="single" w:sz="4" w:space="0" w:color="auto"/>
            </w:tcBorders>
            <w:shd w:val="clear" w:color="000000" w:fill="FFFFFF"/>
            <w:noWrap/>
            <w:vAlign w:val="bottom"/>
            <w:hideMark/>
          </w:tcPr>
          <w:p w14:paraId="588E8C3F" w14:textId="4DCD4C8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568</w:t>
            </w:r>
          </w:p>
        </w:tc>
        <w:tc>
          <w:tcPr>
            <w:tcW w:w="1127" w:type="dxa"/>
            <w:tcBorders>
              <w:top w:val="nil"/>
              <w:left w:val="nil"/>
              <w:bottom w:val="single" w:sz="4" w:space="0" w:color="auto"/>
              <w:right w:val="single" w:sz="4" w:space="0" w:color="auto"/>
            </w:tcBorders>
            <w:shd w:val="clear" w:color="000000" w:fill="FFFFFF"/>
            <w:noWrap/>
            <w:vAlign w:val="bottom"/>
            <w:hideMark/>
          </w:tcPr>
          <w:p w14:paraId="6FA74286" w14:textId="1DAA8B7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828</w:t>
            </w:r>
          </w:p>
        </w:tc>
        <w:tc>
          <w:tcPr>
            <w:tcW w:w="996" w:type="dxa"/>
            <w:tcBorders>
              <w:top w:val="nil"/>
              <w:left w:val="nil"/>
              <w:bottom w:val="single" w:sz="4" w:space="0" w:color="auto"/>
              <w:right w:val="single" w:sz="4" w:space="0" w:color="auto"/>
            </w:tcBorders>
            <w:shd w:val="clear" w:color="000000" w:fill="FFFFFF"/>
            <w:noWrap/>
            <w:vAlign w:val="bottom"/>
            <w:hideMark/>
          </w:tcPr>
          <w:p w14:paraId="7EAFEF42" w14:textId="16F8A7E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762</w:t>
            </w:r>
          </w:p>
        </w:tc>
        <w:tc>
          <w:tcPr>
            <w:tcW w:w="1096" w:type="dxa"/>
            <w:tcBorders>
              <w:top w:val="nil"/>
              <w:left w:val="nil"/>
              <w:bottom w:val="single" w:sz="4" w:space="0" w:color="auto"/>
              <w:right w:val="single" w:sz="8" w:space="0" w:color="auto"/>
            </w:tcBorders>
            <w:shd w:val="clear" w:color="000000" w:fill="FFFFFF"/>
            <w:noWrap/>
            <w:vAlign w:val="bottom"/>
            <w:hideMark/>
          </w:tcPr>
          <w:p w14:paraId="3E7ABC6D" w14:textId="541E4F3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8,442</w:t>
            </w:r>
          </w:p>
        </w:tc>
      </w:tr>
      <w:tr w:rsidR="00861244" w:rsidRPr="00E47FB2" w14:paraId="603D3FD4"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36012A36"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Lechuga</w:t>
            </w:r>
          </w:p>
        </w:tc>
        <w:tc>
          <w:tcPr>
            <w:tcW w:w="997" w:type="dxa"/>
            <w:tcBorders>
              <w:top w:val="nil"/>
              <w:left w:val="nil"/>
              <w:bottom w:val="single" w:sz="4" w:space="0" w:color="auto"/>
              <w:right w:val="single" w:sz="4" w:space="0" w:color="auto"/>
            </w:tcBorders>
            <w:shd w:val="clear" w:color="000000" w:fill="FFFFFF"/>
            <w:noWrap/>
            <w:hideMark/>
          </w:tcPr>
          <w:p w14:paraId="65BD1795" w14:textId="4970B44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1,542</w:t>
            </w:r>
          </w:p>
        </w:tc>
        <w:tc>
          <w:tcPr>
            <w:tcW w:w="997" w:type="dxa"/>
            <w:tcBorders>
              <w:top w:val="nil"/>
              <w:left w:val="nil"/>
              <w:bottom w:val="single" w:sz="4" w:space="0" w:color="auto"/>
              <w:right w:val="single" w:sz="4" w:space="0" w:color="auto"/>
            </w:tcBorders>
            <w:shd w:val="clear" w:color="000000" w:fill="FFFFFF"/>
            <w:noWrap/>
            <w:vAlign w:val="bottom"/>
            <w:hideMark/>
          </w:tcPr>
          <w:p w14:paraId="223E914A" w14:textId="6A45D22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1,147</w:t>
            </w:r>
          </w:p>
        </w:tc>
        <w:tc>
          <w:tcPr>
            <w:tcW w:w="997" w:type="dxa"/>
            <w:tcBorders>
              <w:top w:val="nil"/>
              <w:left w:val="nil"/>
              <w:bottom w:val="single" w:sz="4" w:space="0" w:color="auto"/>
              <w:right w:val="single" w:sz="4" w:space="0" w:color="auto"/>
            </w:tcBorders>
            <w:shd w:val="clear" w:color="000000" w:fill="FFFFFF"/>
            <w:noWrap/>
            <w:vAlign w:val="bottom"/>
            <w:hideMark/>
          </w:tcPr>
          <w:p w14:paraId="55587569" w14:textId="11F2239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1,358</w:t>
            </w:r>
          </w:p>
        </w:tc>
        <w:tc>
          <w:tcPr>
            <w:tcW w:w="996" w:type="dxa"/>
            <w:tcBorders>
              <w:top w:val="nil"/>
              <w:left w:val="nil"/>
              <w:bottom w:val="single" w:sz="4" w:space="0" w:color="auto"/>
              <w:right w:val="single" w:sz="4" w:space="0" w:color="auto"/>
            </w:tcBorders>
            <w:shd w:val="clear" w:color="000000" w:fill="FFFFFF"/>
            <w:noWrap/>
            <w:vAlign w:val="bottom"/>
            <w:hideMark/>
          </w:tcPr>
          <w:p w14:paraId="3D9D1975" w14:textId="415B073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1,289</w:t>
            </w:r>
          </w:p>
        </w:tc>
        <w:tc>
          <w:tcPr>
            <w:tcW w:w="996" w:type="dxa"/>
            <w:tcBorders>
              <w:top w:val="nil"/>
              <w:left w:val="nil"/>
              <w:bottom w:val="single" w:sz="4" w:space="0" w:color="auto"/>
              <w:right w:val="single" w:sz="4" w:space="0" w:color="auto"/>
            </w:tcBorders>
            <w:shd w:val="clear" w:color="000000" w:fill="FFFFFF"/>
            <w:noWrap/>
            <w:vAlign w:val="bottom"/>
            <w:hideMark/>
          </w:tcPr>
          <w:p w14:paraId="4EE66EF3" w14:textId="5A7CD56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1,452</w:t>
            </w:r>
          </w:p>
        </w:tc>
        <w:tc>
          <w:tcPr>
            <w:tcW w:w="996" w:type="dxa"/>
            <w:tcBorders>
              <w:top w:val="nil"/>
              <w:left w:val="nil"/>
              <w:bottom w:val="single" w:sz="4" w:space="0" w:color="auto"/>
              <w:right w:val="single" w:sz="4" w:space="0" w:color="auto"/>
            </w:tcBorders>
            <w:shd w:val="clear" w:color="000000" w:fill="FFFFFF"/>
            <w:noWrap/>
            <w:vAlign w:val="bottom"/>
            <w:hideMark/>
          </w:tcPr>
          <w:p w14:paraId="793B4B1F" w14:textId="314A571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1,802</w:t>
            </w:r>
          </w:p>
        </w:tc>
        <w:tc>
          <w:tcPr>
            <w:tcW w:w="996" w:type="dxa"/>
            <w:tcBorders>
              <w:top w:val="nil"/>
              <w:left w:val="nil"/>
              <w:bottom w:val="single" w:sz="4" w:space="0" w:color="auto"/>
              <w:right w:val="single" w:sz="4" w:space="0" w:color="auto"/>
            </w:tcBorders>
            <w:shd w:val="clear" w:color="000000" w:fill="FFFFFF"/>
            <w:noWrap/>
            <w:vAlign w:val="bottom"/>
            <w:hideMark/>
          </w:tcPr>
          <w:p w14:paraId="72BDE536" w14:textId="383A756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1,785</w:t>
            </w:r>
          </w:p>
        </w:tc>
        <w:tc>
          <w:tcPr>
            <w:tcW w:w="1107" w:type="dxa"/>
            <w:tcBorders>
              <w:top w:val="nil"/>
              <w:left w:val="nil"/>
              <w:bottom w:val="single" w:sz="4" w:space="0" w:color="auto"/>
              <w:right w:val="single" w:sz="4" w:space="0" w:color="auto"/>
            </w:tcBorders>
            <w:shd w:val="clear" w:color="000000" w:fill="FFFFFF"/>
            <w:noWrap/>
            <w:vAlign w:val="bottom"/>
            <w:hideMark/>
          </w:tcPr>
          <w:p w14:paraId="7A0F39AE" w14:textId="66F7DC5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1,561</w:t>
            </w:r>
          </w:p>
        </w:tc>
        <w:tc>
          <w:tcPr>
            <w:tcW w:w="996" w:type="dxa"/>
            <w:tcBorders>
              <w:top w:val="nil"/>
              <w:left w:val="nil"/>
              <w:bottom w:val="single" w:sz="4" w:space="0" w:color="auto"/>
              <w:right w:val="single" w:sz="4" w:space="0" w:color="auto"/>
            </w:tcBorders>
            <w:shd w:val="clear" w:color="000000" w:fill="FFFFFF"/>
            <w:noWrap/>
            <w:vAlign w:val="bottom"/>
            <w:hideMark/>
          </w:tcPr>
          <w:p w14:paraId="3524CC29" w14:textId="270AB5F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1,985</w:t>
            </w:r>
          </w:p>
        </w:tc>
        <w:tc>
          <w:tcPr>
            <w:tcW w:w="996" w:type="dxa"/>
            <w:tcBorders>
              <w:top w:val="nil"/>
              <w:left w:val="nil"/>
              <w:bottom w:val="single" w:sz="4" w:space="0" w:color="auto"/>
              <w:right w:val="single" w:sz="4" w:space="0" w:color="auto"/>
            </w:tcBorders>
            <w:shd w:val="clear" w:color="000000" w:fill="FFFFFF"/>
            <w:noWrap/>
            <w:vAlign w:val="bottom"/>
            <w:hideMark/>
          </w:tcPr>
          <w:p w14:paraId="5FB915C9" w14:textId="0851976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1,680</w:t>
            </w:r>
          </w:p>
        </w:tc>
        <w:tc>
          <w:tcPr>
            <w:tcW w:w="1127" w:type="dxa"/>
            <w:tcBorders>
              <w:top w:val="nil"/>
              <w:left w:val="nil"/>
              <w:bottom w:val="single" w:sz="4" w:space="0" w:color="auto"/>
              <w:right w:val="single" w:sz="4" w:space="0" w:color="auto"/>
            </w:tcBorders>
            <w:shd w:val="clear" w:color="000000" w:fill="FFFFFF"/>
            <w:noWrap/>
            <w:vAlign w:val="bottom"/>
            <w:hideMark/>
          </w:tcPr>
          <w:p w14:paraId="5A85B881" w14:textId="7B40AF3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1,395</w:t>
            </w:r>
          </w:p>
        </w:tc>
        <w:tc>
          <w:tcPr>
            <w:tcW w:w="996" w:type="dxa"/>
            <w:tcBorders>
              <w:top w:val="nil"/>
              <w:left w:val="nil"/>
              <w:bottom w:val="single" w:sz="4" w:space="0" w:color="auto"/>
              <w:right w:val="single" w:sz="4" w:space="0" w:color="auto"/>
            </w:tcBorders>
            <w:shd w:val="clear" w:color="000000" w:fill="FFFFFF"/>
            <w:noWrap/>
            <w:vAlign w:val="bottom"/>
            <w:hideMark/>
          </w:tcPr>
          <w:p w14:paraId="570409B3" w14:textId="300A54B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2,425</w:t>
            </w:r>
          </w:p>
        </w:tc>
        <w:tc>
          <w:tcPr>
            <w:tcW w:w="1096" w:type="dxa"/>
            <w:tcBorders>
              <w:top w:val="nil"/>
              <w:left w:val="nil"/>
              <w:bottom w:val="single" w:sz="4" w:space="0" w:color="auto"/>
              <w:right w:val="single" w:sz="8" w:space="0" w:color="auto"/>
            </w:tcBorders>
            <w:shd w:val="clear" w:color="000000" w:fill="FFFFFF"/>
            <w:noWrap/>
            <w:vAlign w:val="bottom"/>
            <w:hideMark/>
          </w:tcPr>
          <w:p w14:paraId="50F4F3E4" w14:textId="4A60023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19,421</w:t>
            </w:r>
          </w:p>
        </w:tc>
      </w:tr>
      <w:tr w:rsidR="00861244" w:rsidRPr="00E47FB2" w14:paraId="2ABB478E"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28C6853A"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Repollo</w:t>
            </w:r>
          </w:p>
        </w:tc>
        <w:tc>
          <w:tcPr>
            <w:tcW w:w="997" w:type="dxa"/>
            <w:tcBorders>
              <w:top w:val="nil"/>
              <w:left w:val="nil"/>
              <w:bottom w:val="single" w:sz="4" w:space="0" w:color="auto"/>
              <w:right w:val="single" w:sz="4" w:space="0" w:color="auto"/>
            </w:tcBorders>
            <w:shd w:val="clear" w:color="000000" w:fill="FFFFFF"/>
            <w:noWrap/>
            <w:hideMark/>
          </w:tcPr>
          <w:p w14:paraId="62F1DA69" w14:textId="7EC6CA9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801</w:t>
            </w:r>
          </w:p>
        </w:tc>
        <w:tc>
          <w:tcPr>
            <w:tcW w:w="997" w:type="dxa"/>
            <w:tcBorders>
              <w:top w:val="nil"/>
              <w:left w:val="nil"/>
              <w:bottom w:val="single" w:sz="4" w:space="0" w:color="auto"/>
              <w:right w:val="single" w:sz="4" w:space="0" w:color="auto"/>
            </w:tcBorders>
            <w:shd w:val="clear" w:color="000000" w:fill="FFFFFF"/>
            <w:noWrap/>
            <w:vAlign w:val="bottom"/>
            <w:hideMark/>
          </w:tcPr>
          <w:p w14:paraId="7354CDE6" w14:textId="078354F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819</w:t>
            </w:r>
          </w:p>
        </w:tc>
        <w:tc>
          <w:tcPr>
            <w:tcW w:w="997" w:type="dxa"/>
            <w:tcBorders>
              <w:top w:val="nil"/>
              <w:left w:val="nil"/>
              <w:bottom w:val="single" w:sz="4" w:space="0" w:color="auto"/>
              <w:right w:val="single" w:sz="4" w:space="0" w:color="auto"/>
            </w:tcBorders>
            <w:shd w:val="clear" w:color="000000" w:fill="FFFFFF"/>
            <w:noWrap/>
            <w:vAlign w:val="bottom"/>
            <w:hideMark/>
          </w:tcPr>
          <w:p w14:paraId="176BF601" w14:textId="500B1CC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735</w:t>
            </w:r>
          </w:p>
        </w:tc>
        <w:tc>
          <w:tcPr>
            <w:tcW w:w="996" w:type="dxa"/>
            <w:tcBorders>
              <w:top w:val="nil"/>
              <w:left w:val="nil"/>
              <w:bottom w:val="single" w:sz="4" w:space="0" w:color="auto"/>
              <w:right w:val="single" w:sz="4" w:space="0" w:color="auto"/>
            </w:tcBorders>
            <w:shd w:val="clear" w:color="000000" w:fill="FFFFFF"/>
            <w:noWrap/>
            <w:vAlign w:val="bottom"/>
            <w:hideMark/>
          </w:tcPr>
          <w:p w14:paraId="23C94B2C" w14:textId="45A0DB6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754</w:t>
            </w:r>
          </w:p>
        </w:tc>
        <w:tc>
          <w:tcPr>
            <w:tcW w:w="996" w:type="dxa"/>
            <w:tcBorders>
              <w:top w:val="nil"/>
              <w:left w:val="nil"/>
              <w:bottom w:val="single" w:sz="4" w:space="0" w:color="auto"/>
              <w:right w:val="single" w:sz="4" w:space="0" w:color="auto"/>
            </w:tcBorders>
            <w:shd w:val="clear" w:color="000000" w:fill="FFFFFF"/>
            <w:noWrap/>
            <w:vAlign w:val="bottom"/>
            <w:hideMark/>
          </w:tcPr>
          <w:p w14:paraId="7C55A368" w14:textId="069C12F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1,245</w:t>
            </w:r>
          </w:p>
        </w:tc>
        <w:tc>
          <w:tcPr>
            <w:tcW w:w="996" w:type="dxa"/>
            <w:tcBorders>
              <w:top w:val="nil"/>
              <w:left w:val="nil"/>
              <w:bottom w:val="single" w:sz="4" w:space="0" w:color="auto"/>
              <w:right w:val="single" w:sz="4" w:space="0" w:color="auto"/>
            </w:tcBorders>
            <w:shd w:val="clear" w:color="000000" w:fill="FFFFFF"/>
            <w:noWrap/>
            <w:vAlign w:val="bottom"/>
            <w:hideMark/>
          </w:tcPr>
          <w:p w14:paraId="7C6AD778" w14:textId="4952B76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712</w:t>
            </w:r>
          </w:p>
        </w:tc>
        <w:tc>
          <w:tcPr>
            <w:tcW w:w="996" w:type="dxa"/>
            <w:tcBorders>
              <w:top w:val="nil"/>
              <w:left w:val="nil"/>
              <w:bottom w:val="single" w:sz="4" w:space="0" w:color="auto"/>
              <w:right w:val="single" w:sz="4" w:space="0" w:color="auto"/>
            </w:tcBorders>
            <w:shd w:val="clear" w:color="000000" w:fill="FFFFFF"/>
            <w:noWrap/>
            <w:vAlign w:val="bottom"/>
            <w:hideMark/>
          </w:tcPr>
          <w:p w14:paraId="29D91F31" w14:textId="4C9A363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752</w:t>
            </w:r>
          </w:p>
        </w:tc>
        <w:tc>
          <w:tcPr>
            <w:tcW w:w="1107" w:type="dxa"/>
            <w:tcBorders>
              <w:top w:val="nil"/>
              <w:left w:val="nil"/>
              <w:bottom w:val="single" w:sz="4" w:space="0" w:color="auto"/>
              <w:right w:val="single" w:sz="4" w:space="0" w:color="auto"/>
            </w:tcBorders>
            <w:shd w:val="clear" w:color="000000" w:fill="FFFFFF"/>
            <w:noWrap/>
            <w:vAlign w:val="bottom"/>
            <w:hideMark/>
          </w:tcPr>
          <w:p w14:paraId="098E5360" w14:textId="540B28D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1,409</w:t>
            </w:r>
          </w:p>
        </w:tc>
        <w:tc>
          <w:tcPr>
            <w:tcW w:w="996" w:type="dxa"/>
            <w:tcBorders>
              <w:top w:val="nil"/>
              <w:left w:val="nil"/>
              <w:bottom w:val="single" w:sz="4" w:space="0" w:color="auto"/>
              <w:right w:val="single" w:sz="4" w:space="0" w:color="auto"/>
            </w:tcBorders>
            <w:shd w:val="clear" w:color="000000" w:fill="FFFFFF"/>
            <w:noWrap/>
            <w:vAlign w:val="bottom"/>
            <w:hideMark/>
          </w:tcPr>
          <w:p w14:paraId="342142AC" w14:textId="4D7D657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1,321</w:t>
            </w:r>
          </w:p>
        </w:tc>
        <w:tc>
          <w:tcPr>
            <w:tcW w:w="996" w:type="dxa"/>
            <w:tcBorders>
              <w:top w:val="nil"/>
              <w:left w:val="nil"/>
              <w:bottom w:val="single" w:sz="4" w:space="0" w:color="auto"/>
              <w:right w:val="single" w:sz="4" w:space="0" w:color="auto"/>
            </w:tcBorders>
            <w:shd w:val="clear" w:color="000000" w:fill="FFFFFF"/>
            <w:noWrap/>
            <w:vAlign w:val="bottom"/>
            <w:hideMark/>
          </w:tcPr>
          <w:p w14:paraId="7B078E2F" w14:textId="730AC25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1,173</w:t>
            </w:r>
          </w:p>
        </w:tc>
        <w:tc>
          <w:tcPr>
            <w:tcW w:w="1127" w:type="dxa"/>
            <w:tcBorders>
              <w:top w:val="nil"/>
              <w:left w:val="nil"/>
              <w:bottom w:val="single" w:sz="4" w:space="0" w:color="auto"/>
              <w:right w:val="single" w:sz="4" w:space="0" w:color="auto"/>
            </w:tcBorders>
            <w:shd w:val="clear" w:color="000000" w:fill="FFFFFF"/>
            <w:noWrap/>
            <w:vAlign w:val="bottom"/>
            <w:hideMark/>
          </w:tcPr>
          <w:p w14:paraId="6BE688C6" w14:textId="521C7F8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963</w:t>
            </w:r>
          </w:p>
        </w:tc>
        <w:tc>
          <w:tcPr>
            <w:tcW w:w="996" w:type="dxa"/>
            <w:tcBorders>
              <w:top w:val="nil"/>
              <w:left w:val="nil"/>
              <w:bottom w:val="single" w:sz="4" w:space="0" w:color="auto"/>
              <w:right w:val="single" w:sz="4" w:space="0" w:color="auto"/>
            </w:tcBorders>
            <w:shd w:val="clear" w:color="000000" w:fill="FFFFFF"/>
            <w:noWrap/>
            <w:vAlign w:val="bottom"/>
            <w:hideMark/>
          </w:tcPr>
          <w:p w14:paraId="0619FCC2" w14:textId="2C8B34D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889</w:t>
            </w:r>
          </w:p>
        </w:tc>
        <w:tc>
          <w:tcPr>
            <w:tcW w:w="1096" w:type="dxa"/>
            <w:tcBorders>
              <w:top w:val="nil"/>
              <w:left w:val="nil"/>
              <w:bottom w:val="single" w:sz="4" w:space="0" w:color="auto"/>
              <w:right w:val="single" w:sz="8" w:space="0" w:color="auto"/>
            </w:tcBorders>
            <w:shd w:val="clear" w:color="000000" w:fill="FFFFFF"/>
            <w:noWrap/>
            <w:vAlign w:val="bottom"/>
            <w:hideMark/>
          </w:tcPr>
          <w:p w14:paraId="2E025673" w14:textId="24A39BF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11,573</w:t>
            </w:r>
          </w:p>
        </w:tc>
      </w:tr>
      <w:tr w:rsidR="00861244" w:rsidRPr="00E47FB2" w14:paraId="24CFEC73"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6DB4DAE4"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Tayota</w:t>
            </w:r>
          </w:p>
        </w:tc>
        <w:tc>
          <w:tcPr>
            <w:tcW w:w="997" w:type="dxa"/>
            <w:tcBorders>
              <w:top w:val="nil"/>
              <w:left w:val="nil"/>
              <w:bottom w:val="single" w:sz="4" w:space="0" w:color="auto"/>
              <w:right w:val="single" w:sz="4" w:space="0" w:color="auto"/>
            </w:tcBorders>
            <w:shd w:val="clear" w:color="000000" w:fill="FFFFFF"/>
            <w:noWrap/>
            <w:hideMark/>
          </w:tcPr>
          <w:p w14:paraId="4E3E4188" w14:textId="5F496F3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54</w:t>
            </w:r>
          </w:p>
        </w:tc>
        <w:tc>
          <w:tcPr>
            <w:tcW w:w="997" w:type="dxa"/>
            <w:tcBorders>
              <w:top w:val="nil"/>
              <w:left w:val="nil"/>
              <w:bottom w:val="single" w:sz="4" w:space="0" w:color="auto"/>
              <w:right w:val="single" w:sz="4" w:space="0" w:color="auto"/>
            </w:tcBorders>
            <w:shd w:val="clear" w:color="000000" w:fill="FFFFFF"/>
            <w:noWrap/>
            <w:vAlign w:val="bottom"/>
            <w:hideMark/>
          </w:tcPr>
          <w:p w14:paraId="4564DD0A" w14:textId="6D3503E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75</w:t>
            </w:r>
          </w:p>
        </w:tc>
        <w:tc>
          <w:tcPr>
            <w:tcW w:w="997" w:type="dxa"/>
            <w:tcBorders>
              <w:top w:val="nil"/>
              <w:left w:val="nil"/>
              <w:bottom w:val="single" w:sz="4" w:space="0" w:color="auto"/>
              <w:right w:val="single" w:sz="4" w:space="0" w:color="auto"/>
            </w:tcBorders>
            <w:shd w:val="clear" w:color="000000" w:fill="FFFFFF"/>
            <w:noWrap/>
            <w:vAlign w:val="bottom"/>
            <w:hideMark/>
          </w:tcPr>
          <w:p w14:paraId="4980B248" w14:textId="2A048AE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275</w:t>
            </w:r>
          </w:p>
        </w:tc>
        <w:tc>
          <w:tcPr>
            <w:tcW w:w="996" w:type="dxa"/>
            <w:tcBorders>
              <w:top w:val="nil"/>
              <w:left w:val="nil"/>
              <w:bottom w:val="single" w:sz="4" w:space="0" w:color="auto"/>
              <w:right w:val="single" w:sz="4" w:space="0" w:color="auto"/>
            </w:tcBorders>
            <w:shd w:val="clear" w:color="000000" w:fill="FFFFFF"/>
            <w:noWrap/>
            <w:vAlign w:val="bottom"/>
            <w:hideMark/>
          </w:tcPr>
          <w:p w14:paraId="69445257" w14:textId="426DA97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78</w:t>
            </w:r>
          </w:p>
        </w:tc>
        <w:tc>
          <w:tcPr>
            <w:tcW w:w="996" w:type="dxa"/>
            <w:tcBorders>
              <w:top w:val="nil"/>
              <w:left w:val="nil"/>
              <w:bottom w:val="single" w:sz="4" w:space="0" w:color="auto"/>
              <w:right w:val="single" w:sz="4" w:space="0" w:color="auto"/>
            </w:tcBorders>
            <w:shd w:val="clear" w:color="000000" w:fill="FFFFFF"/>
            <w:noWrap/>
            <w:vAlign w:val="bottom"/>
            <w:hideMark/>
          </w:tcPr>
          <w:p w14:paraId="7D17B9CE" w14:textId="608E15B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26</w:t>
            </w:r>
          </w:p>
        </w:tc>
        <w:tc>
          <w:tcPr>
            <w:tcW w:w="996" w:type="dxa"/>
            <w:tcBorders>
              <w:top w:val="nil"/>
              <w:left w:val="nil"/>
              <w:bottom w:val="single" w:sz="4" w:space="0" w:color="auto"/>
              <w:right w:val="single" w:sz="4" w:space="0" w:color="auto"/>
            </w:tcBorders>
            <w:shd w:val="clear" w:color="000000" w:fill="FFFFFF"/>
            <w:noWrap/>
            <w:vAlign w:val="bottom"/>
            <w:hideMark/>
          </w:tcPr>
          <w:p w14:paraId="12400AC0" w14:textId="6D26BB5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132</w:t>
            </w:r>
          </w:p>
        </w:tc>
        <w:tc>
          <w:tcPr>
            <w:tcW w:w="996" w:type="dxa"/>
            <w:tcBorders>
              <w:top w:val="nil"/>
              <w:left w:val="nil"/>
              <w:bottom w:val="single" w:sz="4" w:space="0" w:color="auto"/>
              <w:right w:val="single" w:sz="4" w:space="0" w:color="auto"/>
            </w:tcBorders>
            <w:shd w:val="clear" w:color="000000" w:fill="FFFFFF"/>
            <w:noWrap/>
            <w:vAlign w:val="bottom"/>
            <w:hideMark/>
          </w:tcPr>
          <w:p w14:paraId="3DE9256B" w14:textId="0D6F755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130</w:t>
            </w:r>
          </w:p>
        </w:tc>
        <w:tc>
          <w:tcPr>
            <w:tcW w:w="1107" w:type="dxa"/>
            <w:tcBorders>
              <w:top w:val="nil"/>
              <w:left w:val="nil"/>
              <w:bottom w:val="single" w:sz="4" w:space="0" w:color="auto"/>
              <w:right w:val="single" w:sz="4" w:space="0" w:color="auto"/>
            </w:tcBorders>
            <w:shd w:val="clear" w:color="000000" w:fill="FFFFFF"/>
            <w:noWrap/>
            <w:vAlign w:val="bottom"/>
            <w:hideMark/>
          </w:tcPr>
          <w:p w14:paraId="344D4028" w14:textId="7B74C14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173</w:t>
            </w:r>
          </w:p>
        </w:tc>
        <w:tc>
          <w:tcPr>
            <w:tcW w:w="996" w:type="dxa"/>
            <w:tcBorders>
              <w:top w:val="nil"/>
              <w:left w:val="nil"/>
              <w:bottom w:val="single" w:sz="4" w:space="0" w:color="auto"/>
              <w:right w:val="single" w:sz="4" w:space="0" w:color="auto"/>
            </w:tcBorders>
            <w:shd w:val="clear" w:color="000000" w:fill="FFFFFF"/>
            <w:noWrap/>
            <w:vAlign w:val="bottom"/>
            <w:hideMark/>
          </w:tcPr>
          <w:p w14:paraId="12A3008C" w14:textId="3158838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621</w:t>
            </w:r>
          </w:p>
        </w:tc>
        <w:tc>
          <w:tcPr>
            <w:tcW w:w="996" w:type="dxa"/>
            <w:tcBorders>
              <w:top w:val="nil"/>
              <w:left w:val="nil"/>
              <w:bottom w:val="single" w:sz="4" w:space="0" w:color="auto"/>
              <w:right w:val="single" w:sz="4" w:space="0" w:color="auto"/>
            </w:tcBorders>
            <w:shd w:val="clear" w:color="000000" w:fill="FFFFFF"/>
            <w:noWrap/>
            <w:vAlign w:val="bottom"/>
            <w:hideMark/>
          </w:tcPr>
          <w:p w14:paraId="1258AF50" w14:textId="24019FD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3,541</w:t>
            </w:r>
          </w:p>
        </w:tc>
        <w:tc>
          <w:tcPr>
            <w:tcW w:w="1127" w:type="dxa"/>
            <w:tcBorders>
              <w:top w:val="nil"/>
              <w:left w:val="nil"/>
              <w:bottom w:val="single" w:sz="4" w:space="0" w:color="auto"/>
              <w:right w:val="single" w:sz="4" w:space="0" w:color="auto"/>
            </w:tcBorders>
            <w:shd w:val="clear" w:color="000000" w:fill="FFFFFF"/>
            <w:noWrap/>
            <w:vAlign w:val="bottom"/>
            <w:hideMark/>
          </w:tcPr>
          <w:p w14:paraId="6F4A493B" w14:textId="2748416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604</w:t>
            </w:r>
          </w:p>
        </w:tc>
        <w:tc>
          <w:tcPr>
            <w:tcW w:w="996" w:type="dxa"/>
            <w:tcBorders>
              <w:top w:val="nil"/>
              <w:left w:val="nil"/>
              <w:bottom w:val="single" w:sz="4" w:space="0" w:color="auto"/>
              <w:right w:val="single" w:sz="4" w:space="0" w:color="auto"/>
            </w:tcBorders>
            <w:shd w:val="clear" w:color="000000" w:fill="FFFFFF"/>
            <w:noWrap/>
            <w:vAlign w:val="bottom"/>
            <w:hideMark/>
          </w:tcPr>
          <w:p w14:paraId="0FE84CFB" w14:textId="7A2A222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137</w:t>
            </w:r>
          </w:p>
        </w:tc>
        <w:tc>
          <w:tcPr>
            <w:tcW w:w="1096" w:type="dxa"/>
            <w:tcBorders>
              <w:top w:val="nil"/>
              <w:left w:val="nil"/>
              <w:bottom w:val="single" w:sz="4" w:space="0" w:color="auto"/>
              <w:right w:val="single" w:sz="8" w:space="0" w:color="auto"/>
            </w:tcBorders>
            <w:shd w:val="clear" w:color="000000" w:fill="FFFFFF"/>
            <w:noWrap/>
            <w:vAlign w:val="bottom"/>
            <w:hideMark/>
          </w:tcPr>
          <w:p w14:paraId="5DDDE610" w14:textId="4AC3997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5,846</w:t>
            </w:r>
          </w:p>
        </w:tc>
      </w:tr>
      <w:tr w:rsidR="00861244" w:rsidRPr="00E47FB2" w14:paraId="13FBAB65"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57AEBC30"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Tomate Ens.</w:t>
            </w:r>
          </w:p>
        </w:tc>
        <w:tc>
          <w:tcPr>
            <w:tcW w:w="997" w:type="dxa"/>
            <w:tcBorders>
              <w:top w:val="nil"/>
              <w:left w:val="nil"/>
              <w:bottom w:val="single" w:sz="4" w:space="0" w:color="auto"/>
              <w:right w:val="single" w:sz="4" w:space="0" w:color="auto"/>
            </w:tcBorders>
            <w:shd w:val="clear" w:color="000000" w:fill="FFFFFF"/>
            <w:noWrap/>
            <w:hideMark/>
          </w:tcPr>
          <w:p w14:paraId="6576510E" w14:textId="7E4D977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1,102</w:t>
            </w:r>
          </w:p>
        </w:tc>
        <w:tc>
          <w:tcPr>
            <w:tcW w:w="997" w:type="dxa"/>
            <w:tcBorders>
              <w:top w:val="nil"/>
              <w:left w:val="nil"/>
              <w:bottom w:val="single" w:sz="4" w:space="0" w:color="auto"/>
              <w:right w:val="single" w:sz="4" w:space="0" w:color="auto"/>
            </w:tcBorders>
            <w:shd w:val="clear" w:color="000000" w:fill="FFFFFF"/>
            <w:noWrap/>
            <w:vAlign w:val="bottom"/>
            <w:hideMark/>
          </w:tcPr>
          <w:p w14:paraId="07107B34" w14:textId="70CCA7F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911</w:t>
            </w:r>
          </w:p>
        </w:tc>
        <w:tc>
          <w:tcPr>
            <w:tcW w:w="997" w:type="dxa"/>
            <w:tcBorders>
              <w:top w:val="nil"/>
              <w:left w:val="nil"/>
              <w:bottom w:val="single" w:sz="4" w:space="0" w:color="auto"/>
              <w:right w:val="single" w:sz="4" w:space="0" w:color="auto"/>
            </w:tcBorders>
            <w:shd w:val="clear" w:color="000000" w:fill="FFFFFF"/>
            <w:noWrap/>
            <w:vAlign w:val="bottom"/>
            <w:hideMark/>
          </w:tcPr>
          <w:p w14:paraId="1E5329B2" w14:textId="456FBA1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1,128</w:t>
            </w:r>
          </w:p>
        </w:tc>
        <w:tc>
          <w:tcPr>
            <w:tcW w:w="996" w:type="dxa"/>
            <w:tcBorders>
              <w:top w:val="nil"/>
              <w:left w:val="nil"/>
              <w:bottom w:val="single" w:sz="4" w:space="0" w:color="auto"/>
              <w:right w:val="single" w:sz="4" w:space="0" w:color="auto"/>
            </w:tcBorders>
            <w:shd w:val="clear" w:color="000000" w:fill="FFFFFF"/>
            <w:noWrap/>
            <w:vAlign w:val="bottom"/>
            <w:hideMark/>
          </w:tcPr>
          <w:p w14:paraId="77736727" w14:textId="4943B55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862</w:t>
            </w:r>
          </w:p>
        </w:tc>
        <w:tc>
          <w:tcPr>
            <w:tcW w:w="996" w:type="dxa"/>
            <w:tcBorders>
              <w:top w:val="nil"/>
              <w:left w:val="nil"/>
              <w:bottom w:val="single" w:sz="4" w:space="0" w:color="auto"/>
              <w:right w:val="single" w:sz="4" w:space="0" w:color="auto"/>
            </w:tcBorders>
            <w:shd w:val="clear" w:color="000000" w:fill="FFFFFF"/>
            <w:noWrap/>
            <w:vAlign w:val="bottom"/>
            <w:hideMark/>
          </w:tcPr>
          <w:p w14:paraId="21494D0A" w14:textId="501721C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852</w:t>
            </w:r>
          </w:p>
        </w:tc>
        <w:tc>
          <w:tcPr>
            <w:tcW w:w="996" w:type="dxa"/>
            <w:tcBorders>
              <w:top w:val="nil"/>
              <w:left w:val="nil"/>
              <w:bottom w:val="single" w:sz="4" w:space="0" w:color="auto"/>
              <w:right w:val="single" w:sz="4" w:space="0" w:color="auto"/>
            </w:tcBorders>
            <w:shd w:val="clear" w:color="000000" w:fill="FFFFFF"/>
            <w:noWrap/>
            <w:vAlign w:val="bottom"/>
            <w:hideMark/>
          </w:tcPr>
          <w:p w14:paraId="141D3481" w14:textId="59BEC0D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1,036</w:t>
            </w:r>
          </w:p>
        </w:tc>
        <w:tc>
          <w:tcPr>
            <w:tcW w:w="996" w:type="dxa"/>
            <w:tcBorders>
              <w:top w:val="nil"/>
              <w:left w:val="nil"/>
              <w:bottom w:val="single" w:sz="4" w:space="0" w:color="auto"/>
              <w:right w:val="single" w:sz="4" w:space="0" w:color="auto"/>
            </w:tcBorders>
            <w:shd w:val="clear" w:color="000000" w:fill="FFFFFF"/>
            <w:noWrap/>
            <w:vAlign w:val="bottom"/>
            <w:hideMark/>
          </w:tcPr>
          <w:p w14:paraId="3F73F15C" w14:textId="275866D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1,354</w:t>
            </w:r>
          </w:p>
        </w:tc>
        <w:tc>
          <w:tcPr>
            <w:tcW w:w="1107" w:type="dxa"/>
            <w:tcBorders>
              <w:top w:val="nil"/>
              <w:left w:val="nil"/>
              <w:bottom w:val="single" w:sz="4" w:space="0" w:color="auto"/>
              <w:right w:val="single" w:sz="4" w:space="0" w:color="auto"/>
            </w:tcBorders>
            <w:shd w:val="clear" w:color="000000" w:fill="FFFFFF"/>
            <w:noWrap/>
            <w:vAlign w:val="bottom"/>
            <w:hideMark/>
          </w:tcPr>
          <w:p w14:paraId="5DFF2E9C" w14:textId="5DEE83D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1,020</w:t>
            </w:r>
          </w:p>
        </w:tc>
        <w:tc>
          <w:tcPr>
            <w:tcW w:w="996" w:type="dxa"/>
            <w:tcBorders>
              <w:top w:val="nil"/>
              <w:left w:val="nil"/>
              <w:bottom w:val="single" w:sz="4" w:space="0" w:color="auto"/>
              <w:right w:val="single" w:sz="4" w:space="0" w:color="auto"/>
            </w:tcBorders>
            <w:shd w:val="clear" w:color="000000" w:fill="FFFFFF"/>
            <w:noWrap/>
            <w:vAlign w:val="bottom"/>
            <w:hideMark/>
          </w:tcPr>
          <w:p w14:paraId="21AC0EDC" w14:textId="18101ED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825</w:t>
            </w:r>
          </w:p>
        </w:tc>
        <w:tc>
          <w:tcPr>
            <w:tcW w:w="996" w:type="dxa"/>
            <w:tcBorders>
              <w:top w:val="nil"/>
              <w:left w:val="nil"/>
              <w:bottom w:val="single" w:sz="4" w:space="0" w:color="auto"/>
              <w:right w:val="single" w:sz="4" w:space="0" w:color="auto"/>
            </w:tcBorders>
            <w:shd w:val="clear" w:color="000000" w:fill="FFFFFF"/>
            <w:noWrap/>
            <w:vAlign w:val="bottom"/>
            <w:hideMark/>
          </w:tcPr>
          <w:p w14:paraId="60C2CEE2" w14:textId="7B5F37E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1,625</w:t>
            </w:r>
          </w:p>
        </w:tc>
        <w:tc>
          <w:tcPr>
            <w:tcW w:w="1127" w:type="dxa"/>
            <w:tcBorders>
              <w:top w:val="nil"/>
              <w:left w:val="nil"/>
              <w:bottom w:val="single" w:sz="4" w:space="0" w:color="auto"/>
              <w:right w:val="single" w:sz="4" w:space="0" w:color="auto"/>
            </w:tcBorders>
            <w:shd w:val="clear" w:color="000000" w:fill="FFFFFF"/>
            <w:noWrap/>
            <w:vAlign w:val="bottom"/>
            <w:hideMark/>
          </w:tcPr>
          <w:p w14:paraId="2C87A073" w14:textId="4DC2242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1,202</w:t>
            </w:r>
          </w:p>
        </w:tc>
        <w:tc>
          <w:tcPr>
            <w:tcW w:w="996" w:type="dxa"/>
            <w:tcBorders>
              <w:top w:val="nil"/>
              <w:left w:val="nil"/>
              <w:bottom w:val="single" w:sz="4" w:space="0" w:color="auto"/>
              <w:right w:val="single" w:sz="4" w:space="0" w:color="auto"/>
            </w:tcBorders>
            <w:shd w:val="clear" w:color="000000" w:fill="FFFFFF"/>
            <w:noWrap/>
            <w:vAlign w:val="bottom"/>
            <w:hideMark/>
          </w:tcPr>
          <w:p w14:paraId="6A232847" w14:textId="6842824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1,526</w:t>
            </w:r>
          </w:p>
        </w:tc>
        <w:tc>
          <w:tcPr>
            <w:tcW w:w="1096" w:type="dxa"/>
            <w:tcBorders>
              <w:top w:val="nil"/>
              <w:left w:val="nil"/>
              <w:bottom w:val="single" w:sz="4" w:space="0" w:color="auto"/>
              <w:right w:val="single" w:sz="8" w:space="0" w:color="auto"/>
            </w:tcBorders>
            <w:shd w:val="clear" w:color="000000" w:fill="FFFFFF"/>
            <w:noWrap/>
            <w:vAlign w:val="bottom"/>
            <w:hideMark/>
          </w:tcPr>
          <w:p w14:paraId="61CD1717" w14:textId="71BE8EA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13,443</w:t>
            </w:r>
          </w:p>
        </w:tc>
      </w:tr>
      <w:tr w:rsidR="00861244" w:rsidRPr="00E47FB2" w14:paraId="5DF31F2C"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38EAF398"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Tomate Ind.</w:t>
            </w:r>
          </w:p>
        </w:tc>
        <w:tc>
          <w:tcPr>
            <w:tcW w:w="997" w:type="dxa"/>
            <w:tcBorders>
              <w:top w:val="nil"/>
              <w:left w:val="nil"/>
              <w:bottom w:val="single" w:sz="4" w:space="0" w:color="auto"/>
              <w:right w:val="single" w:sz="4" w:space="0" w:color="auto"/>
            </w:tcBorders>
            <w:shd w:val="clear" w:color="000000" w:fill="FFFFFF"/>
            <w:noWrap/>
            <w:hideMark/>
          </w:tcPr>
          <w:p w14:paraId="288FE703" w14:textId="33AC1ED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7" w:type="dxa"/>
            <w:tcBorders>
              <w:top w:val="nil"/>
              <w:left w:val="nil"/>
              <w:bottom w:val="single" w:sz="4" w:space="0" w:color="auto"/>
              <w:right w:val="single" w:sz="4" w:space="0" w:color="auto"/>
            </w:tcBorders>
            <w:shd w:val="clear" w:color="000000" w:fill="FFFFFF"/>
            <w:noWrap/>
            <w:vAlign w:val="bottom"/>
            <w:hideMark/>
          </w:tcPr>
          <w:p w14:paraId="339E1AEF" w14:textId="69FCD44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7" w:type="dxa"/>
            <w:tcBorders>
              <w:top w:val="nil"/>
              <w:left w:val="nil"/>
              <w:bottom w:val="single" w:sz="4" w:space="0" w:color="auto"/>
              <w:right w:val="single" w:sz="4" w:space="0" w:color="auto"/>
            </w:tcBorders>
            <w:shd w:val="clear" w:color="000000" w:fill="FFFFFF"/>
            <w:noWrap/>
            <w:vAlign w:val="bottom"/>
            <w:hideMark/>
          </w:tcPr>
          <w:p w14:paraId="537C092E" w14:textId="0FE827B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5879190E" w14:textId="4E3878A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38C304C7" w14:textId="390590E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2C9B2634" w14:textId="7A1F034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57155F8C" w14:textId="7A85AF3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1107" w:type="dxa"/>
            <w:tcBorders>
              <w:top w:val="nil"/>
              <w:left w:val="nil"/>
              <w:bottom w:val="single" w:sz="4" w:space="0" w:color="auto"/>
              <w:right w:val="single" w:sz="4" w:space="0" w:color="auto"/>
            </w:tcBorders>
            <w:shd w:val="clear" w:color="000000" w:fill="FFFFFF"/>
            <w:noWrap/>
            <w:vAlign w:val="bottom"/>
            <w:hideMark/>
          </w:tcPr>
          <w:p w14:paraId="69FF62B6" w14:textId="7DF2302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057ACCB1" w14:textId="3809766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530B5D58" w14:textId="2F56E2C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1127" w:type="dxa"/>
            <w:tcBorders>
              <w:top w:val="nil"/>
              <w:left w:val="nil"/>
              <w:bottom w:val="single" w:sz="4" w:space="0" w:color="auto"/>
              <w:right w:val="single" w:sz="4" w:space="0" w:color="auto"/>
            </w:tcBorders>
            <w:shd w:val="clear" w:color="000000" w:fill="FFFFFF"/>
            <w:noWrap/>
            <w:vAlign w:val="bottom"/>
            <w:hideMark/>
          </w:tcPr>
          <w:p w14:paraId="7608D7E6" w14:textId="386BEEB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4C4F9814" w14:textId="1447247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1096" w:type="dxa"/>
            <w:tcBorders>
              <w:top w:val="nil"/>
              <w:left w:val="nil"/>
              <w:bottom w:val="single" w:sz="4" w:space="0" w:color="auto"/>
              <w:right w:val="single" w:sz="8" w:space="0" w:color="auto"/>
            </w:tcBorders>
            <w:shd w:val="clear" w:color="000000" w:fill="FFFFFF"/>
            <w:noWrap/>
            <w:vAlign w:val="bottom"/>
            <w:hideMark/>
          </w:tcPr>
          <w:p w14:paraId="248A051E" w14:textId="7B85CD0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r>
      <w:tr w:rsidR="00861244" w:rsidRPr="00E47FB2" w14:paraId="5F01E1B2"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52FFBB91"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Zanahoria</w:t>
            </w:r>
          </w:p>
        </w:tc>
        <w:tc>
          <w:tcPr>
            <w:tcW w:w="997" w:type="dxa"/>
            <w:tcBorders>
              <w:top w:val="nil"/>
              <w:left w:val="nil"/>
              <w:bottom w:val="single" w:sz="4" w:space="0" w:color="auto"/>
              <w:right w:val="single" w:sz="4" w:space="0" w:color="auto"/>
            </w:tcBorders>
            <w:shd w:val="clear" w:color="000000" w:fill="FFFFFF"/>
            <w:noWrap/>
            <w:hideMark/>
          </w:tcPr>
          <w:p w14:paraId="37CB88B0" w14:textId="3BC88FB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1,318</w:t>
            </w:r>
          </w:p>
        </w:tc>
        <w:tc>
          <w:tcPr>
            <w:tcW w:w="997" w:type="dxa"/>
            <w:tcBorders>
              <w:top w:val="nil"/>
              <w:left w:val="nil"/>
              <w:bottom w:val="single" w:sz="4" w:space="0" w:color="auto"/>
              <w:right w:val="single" w:sz="4" w:space="0" w:color="auto"/>
            </w:tcBorders>
            <w:shd w:val="clear" w:color="000000" w:fill="FFFFFF"/>
            <w:noWrap/>
            <w:vAlign w:val="bottom"/>
            <w:hideMark/>
          </w:tcPr>
          <w:p w14:paraId="164787B4" w14:textId="61FC31D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1,177</w:t>
            </w:r>
          </w:p>
        </w:tc>
        <w:tc>
          <w:tcPr>
            <w:tcW w:w="997" w:type="dxa"/>
            <w:tcBorders>
              <w:top w:val="nil"/>
              <w:left w:val="nil"/>
              <w:bottom w:val="single" w:sz="4" w:space="0" w:color="auto"/>
              <w:right w:val="single" w:sz="4" w:space="0" w:color="auto"/>
            </w:tcBorders>
            <w:shd w:val="clear" w:color="000000" w:fill="FFFFFF"/>
            <w:noWrap/>
            <w:vAlign w:val="bottom"/>
            <w:hideMark/>
          </w:tcPr>
          <w:p w14:paraId="512DCDF8" w14:textId="08A539F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1,204</w:t>
            </w:r>
          </w:p>
        </w:tc>
        <w:tc>
          <w:tcPr>
            <w:tcW w:w="996" w:type="dxa"/>
            <w:tcBorders>
              <w:top w:val="nil"/>
              <w:left w:val="nil"/>
              <w:bottom w:val="single" w:sz="4" w:space="0" w:color="auto"/>
              <w:right w:val="single" w:sz="4" w:space="0" w:color="auto"/>
            </w:tcBorders>
            <w:shd w:val="clear" w:color="000000" w:fill="FFFFFF"/>
            <w:noWrap/>
            <w:vAlign w:val="bottom"/>
            <w:hideMark/>
          </w:tcPr>
          <w:p w14:paraId="65438B2B" w14:textId="27D26DC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1,021</w:t>
            </w:r>
          </w:p>
        </w:tc>
        <w:tc>
          <w:tcPr>
            <w:tcW w:w="996" w:type="dxa"/>
            <w:tcBorders>
              <w:top w:val="nil"/>
              <w:left w:val="nil"/>
              <w:bottom w:val="single" w:sz="4" w:space="0" w:color="auto"/>
              <w:right w:val="single" w:sz="4" w:space="0" w:color="auto"/>
            </w:tcBorders>
            <w:shd w:val="clear" w:color="000000" w:fill="FFFFFF"/>
            <w:noWrap/>
            <w:vAlign w:val="bottom"/>
            <w:hideMark/>
          </w:tcPr>
          <w:p w14:paraId="6B3ED5EC" w14:textId="5F80B95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998</w:t>
            </w:r>
          </w:p>
        </w:tc>
        <w:tc>
          <w:tcPr>
            <w:tcW w:w="996" w:type="dxa"/>
            <w:tcBorders>
              <w:top w:val="nil"/>
              <w:left w:val="nil"/>
              <w:bottom w:val="single" w:sz="4" w:space="0" w:color="auto"/>
              <w:right w:val="single" w:sz="4" w:space="0" w:color="auto"/>
            </w:tcBorders>
            <w:shd w:val="clear" w:color="000000" w:fill="FFFFFF"/>
            <w:noWrap/>
            <w:vAlign w:val="bottom"/>
            <w:hideMark/>
          </w:tcPr>
          <w:p w14:paraId="64A1AEC0" w14:textId="3575FFD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1,420</w:t>
            </w:r>
          </w:p>
        </w:tc>
        <w:tc>
          <w:tcPr>
            <w:tcW w:w="996" w:type="dxa"/>
            <w:tcBorders>
              <w:top w:val="nil"/>
              <w:left w:val="nil"/>
              <w:bottom w:val="single" w:sz="4" w:space="0" w:color="auto"/>
              <w:right w:val="single" w:sz="4" w:space="0" w:color="auto"/>
            </w:tcBorders>
            <w:shd w:val="clear" w:color="000000" w:fill="FFFFFF"/>
            <w:noWrap/>
            <w:vAlign w:val="bottom"/>
            <w:hideMark/>
          </w:tcPr>
          <w:p w14:paraId="29B9EADF" w14:textId="7503BA9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1,982</w:t>
            </w:r>
          </w:p>
        </w:tc>
        <w:tc>
          <w:tcPr>
            <w:tcW w:w="1107" w:type="dxa"/>
            <w:tcBorders>
              <w:top w:val="nil"/>
              <w:left w:val="nil"/>
              <w:bottom w:val="single" w:sz="4" w:space="0" w:color="auto"/>
              <w:right w:val="single" w:sz="4" w:space="0" w:color="auto"/>
            </w:tcBorders>
            <w:shd w:val="clear" w:color="000000" w:fill="FFFFFF"/>
            <w:noWrap/>
            <w:vAlign w:val="bottom"/>
            <w:hideMark/>
          </w:tcPr>
          <w:p w14:paraId="5C742ECC" w14:textId="2B55C7E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1,987</w:t>
            </w:r>
          </w:p>
        </w:tc>
        <w:tc>
          <w:tcPr>
            <w:tcW w:w="996" w:type="dxa"/>
            <w:tcBorders>
              <w:top w:val="nil"/>
              <w:left w:val="nil"/>
              <w:bottom w:val="single" w:sz="4" w:space="0" w:color="auto"/>
              <w:right w:val="single" w:sz="4" w:space="0" w:color="auto"/>
            </w:tcBorders>
            <w:shd w:val="clear" w:color="000000" w:fill="FFFFFF"/>
            <w:noWrap/>
            <w:vAlign w:val="bottom"/>
            <w:hideMark/>
          </w:tcPr>
          <w:p w14:paraId="70343461" w14:textId="3D21CE8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1,699</w:t>
            </w:r>
          </w:p>
        </w:tc>
        <w:tc>
          <w:tcPr>
            <w:tcW w:w="996" w:type="dxa"/>
            <w:tcBorders>
              <w:top w:val="nil"/>
              <w:left w:val="nil"/>
              <w:bottom w:val="single" w:sz="4" w:space="0" w:color="auto"/>
              <w:right w:val="single" w:sz="4" w:space="0" w:color="auto"/>
            </w:tcBorders>
            <w:shd w:val="clear" w:color="000000" w:fill="FFFFFF"/>
            <w:noWrap/>
            <w:vAlign w:val="bottom"/>
            <w:hideMark/>
          </w:tcPr>
          <w:p w14:paraId="1DCA5923" w14:textId="024DB9F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985</w:t>
            </w:r>
          </w:p>
        </w:tc>
        <w:tc>
          <w:tcPr>
            <w:tcW w:w="1127" w:type="dxa"/>
            <w:tcBorders>
              <w:top w:val="nil"/>
              <w:left w:val="nil"/>
              <w:bottom w:val="single" w:sz="4" w:space="0" w:color="auto"/>
              <w:right w:val="single" w:sz="4" w:space="0" w:color="auto"/>
            </w:tcBorders>
            <w:shd w:val="clear" w:color="000000" w:fill="FFFFFF"/>
            <w:noWrap/>
            <w:vAlign w:val="bottom"/>
            <w:hideMark/>
          </w:tcPr>
          <w:p w14:paraId="76CA5CC4" w14:textId="452EF2F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1,410</w:t>
            </w:r>
          </w:p>
        </w:tc>
        <w:tc>
          <w:tcPr>
            <w:tcW w:w="996" w:type="dxa"/>
            <w:tcBorders>
              <w:top w:val="nil"/>
              <w:left w:val="nil"/>
              <w:bottom w:val="single" w:sz="4" w:space="0" w:color="auto"/>
              <w:right w:val="single" w:sz="4" w:space="0" w:color="auto"/>
            </w:tcBorders>
            <w:shd w:val="clear" w:color="000000" w:fill="FFFFFF"/>
            <w:noWrap/>
            <w:vAlign w:val="bottom"/>
            <w:hideMark/>
          </w:tcPr>
          <w:p w14:paraId="4C55CF3A" w14:textId="5ED290A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761</w:t>
            </w:r>
          </w:p>
        </w:tc>
        <w:tc>
          <w:tcPr>
            <w:tcW w:w="1096" w:type="dxa"/>
            <w:tcBorders>
              <w:top w:val="nil"/>
              <w:left w:val="nil"/>
              <w:bottom w:val="single" w:sz="4" w:space="0" w:color="auto"/>
              <w:right w:val="single" w:sz="8" w:space="0" w:color="auto"/>
            </w:tcBorders>
            <w:shd w:val="clear" w:color="000000" w:fill="FFFFFF"/>
            <w:noWrap/>
            <w:vAlign w:val="bottom"/>
            <w:hideMark/>
          </w:tcPr>
          <w:p w14:paraId="12FBC003" w14:textId="46A44B1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15,962</w:t>
            </w:r>
          </w:p>
        </w:tc>
      </w:tr>
      <w:tr w:rsidR="00861244" w:rsidRPr="00E47FB2" w14:paraId="686D388D"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663C42C0"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Remolacha</w:t>
            </w:r>
          </w:p>
        </w:tc>
        <w:tc>
          <w:tcPr>
            <w:tcW w:w="997" w:type="dxa"/>
            <w:tcBorders>
              <w:top w:val="nil"/>
              <w:left w:val="nil"/>
              <w:bottom w:val="single" w:sz="4" w:space="0" w:color="auto"/>
              <w:right w:val="single" w:sz="4" w:space="0" w:color="auto"/>
            </w:tcBorders>
            <w:shd w:val="clear" w:color="000000" w:fill="FFFFFF"/>
            <w:noWrap/>
            <w:hideMark/>
          </w:tcPr>
          <w:p w14:paraId="30D9BED4" w14:textId="15E78BB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310</w:t>
            </w:r>
          </w:p>
        </w:tc>
        <w:tc>
          <w:tcPr>
            <w:tcW w:w="997" w:type="dxa"/>
            <w:tcBorders>
              <w:top w:val="nil"/>
              <w:left w:val="nil"/>
              <w:bottom w:val="single" w:sz="4" w:space="0" w:color="auto"/>
              <w:right w:val="single" w:sz="4" w:space="0" w:color="auto"/>
            </w:tcBorders>
            <w:shd w:val="clear" w:color="000000" w:fill="FFFFFF"/>
            <w:noWrap/>
            <w:vAlign w:val="bottom"/>
            <w:hideMark/>
          </w:tcPr>
          <w:p w14:paraId="2C7AA741" w14:textId="2EE6097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358</w:t>
            </w:r>
          </w:p>
        </w:tc>
        <w:tc>
          <w:tcPr>
            <w:tcW w:w="997" w:type="dxa"/>
            <w:tcBorders>
              <w:top w:val="nil"/>
              <w:left w:val="nil"/>
              <w:bottom w:val="single" w:sz="4" w:space="0" w:color="auto"/>
              <w:right w:val="single" w:sz="4" w:space="0" w:color="auto"/>
            </w:tcBorders>
            <w:shd w:val="clear" w:color="000000" w:fill="FFFFFF"/>
            <w:noWrap/>
            <w:vAlign w:val="bottom"/>
            <w:hideMark/>
          </w:tcPr>
          <w:p w14:paraId="786F3317" w14:textId="4E8E41B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354</w:t>
            </w:r>
          </w:p>
        </w:tc>
        <w:tc>
          <w:tcPr>
            <w:tcW w:w="996" w:type="dxa"/>
            <w:tcBorders>
              <w:top w:val="nil"/>
              <w:left w:val="nil"/>
              <w:bottom w:val="single" w:sz="4" w:space="0" w:color="auto"/>
              <w:right w:val="single" w:sz="4" w:space="0" w:color="auto"/>
            </w:tcBorders>
            <w:shd w:val="clear" w:color="000000" w:fill="FFFFFF"/>
            <w:noWrap/>
            <w:vAlign w:val="bottom"/>
            <w:hideMark/>
          </w:tcPr>
          <w:p w14:paraId="5D07E853" w14:textId="46681AE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232</w:t>
            </w:r>
          </w:p>
        </w:tc>
        <w:tc>
          <w:tcPr>
            <w:tcW w:w="996" w:type="dxa"/>
            <w:tcBorders>
              <w:top w:val="nil"/>
              <w:left w:val="nil"/>
              <w:bottom w:val="single" w:sz="4" w:space="0" w:color="auto"/>
              <w:right w:val="single" w:sz="4" w:space="0" w:color="auto"/>
            </w:tcBorders>
            <w:shd w:val="clear" w:color="000000" w:fill="FFFFFF"/>
            <w:noWrap/>
            <w:vAlign w:val="bottom"/>
            <w:hideMark/>
          </w:tcPr>
          <w:p w14:paraId="13689272" w14:textId="0A74890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384</w:t>
            </w:r>
          </w:p>
        </w:tc>
        <w:tc>
          <w:tcPr>
            <w:tcW w:w="996" w:type="dxa"/>
            <w:tcBorders>
              <w:top w:val="nil"/>
              <w:left w:val="nil"/>
              <w:bottom w:val="single" w:sz="4" w:space="0" w:color="auto"/>
              <w:right w:val="single" w:sz="4" w:space="0" w:color="auto"/>
            </w:tcBorders>
            <w:shd w:val="clear" w:color="000000" w:fill="FFFFFF"/>
            <w:noWrap/>
            <w:vAlign w:val="bottom"/>
            <w:hideMark/>
          </w:tcPr>
          <w:p w14:paraId="2DC6CE2C" w14:textId="00C0983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320</w:t>
            </w:r>
          </w:p>
        </w:tc>
        <w:tc>
          <w:tcPr>
            <w:tcW w:w="996" w:type="dxa"/>
            <w:tcBorders>
              <w:top w:val="nil"/>
              <w:left w:val="nil"/>
              <w:bottom w:val="single" w:sz="4" w:space="0" w:color="auto"/>
              <w:right w:val="single" w:sz="4" w:space="0" w:color="auto"/>
            </w:tcBorders>
            <w:shd w:val="clear" w:color="000000" w:fill="FFFFFF"/>
            <w:noWrap/>
            <w:vAlign w:val="bottom"/>
            <w:hideMark/>
          </w:tcPr>
          <w:p w14:paraId="3EE02EA6" w14:textId="4E11B9D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432</w:t>
            </w:r>
          </w:p>
        </w:tc>
        <w:tc>
          <w:tcPr>
            <w:tcW w:w="1107" w:type="dxa"/>
            <w:tcBorders>
              <w:top w:val="nil"/>
              <w:left w:val="nil"/>
              <w:bottom w:val="single" w:sz="4" w:space="0" w:color="auto"/>
              <w:right w:val="single" w:sz="4" w:space="0" w:color="auto"/>
            </w:tcBorders>
            <w:shd w:val="clear" w:color="000000" w:fill="FFFFFF"/>
            <w:noWrap/>
            <w:vAlign w:val="bottom"/>
            <w:hideMark/>
          </w:tcPr>
          <w:p w14:paraId="396A66C7" w14:textId="7EAD346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685</w:t>
            </w:r>
          </w:p>
        </w:tc>
        <w:tc>
          <w:tcPr>
            <w:tcW w:w="996" w:type="dxa"/>
            <w:tcBorders>
              <w:top w:val="nil"/>
              <w:left w:val="nil"/>
              <w:bottom w:val="single" w:sz="4" w:space="0" w:color="auto"/>
              <w:right w:val="single" w:sz="4" w:space="0" w:color="auto"/>
            </w:tcBorders>
            <w:shd w:val="clear" w:color="000000" w:fill="FFFFFF"/>
            <w:noWrap/>
            <w:vAlign w:val="bottom"/>
            <w:hideMark/>
          </w:tcPr>
          <w:p w14:paraId="41F5BD47" w14:textId="376154D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401</w:t>
            </w:r>
          </w:p>
        </w:tc>
        <w:tc>
          <w:tcPr>
            <w:tcW w:w="996" w:type="dxa"/>
            <w:tcBorders>
              <w:top w:val="nil"/>
              <w:left w:val="nil"/>
              <w:bottom w:val="single" w:sz="4" w:space="0" w:color="auto"/>
              <w:right w:val="single" w:sz="4" w:space="0" w:color="auto"/>
            </w:tcBorders>
            <w:shd w:val="clear" w:color="000000" w:fill="FFFFFF"/>
            <w:noWrap/>
            <w:vAlign w:val="bottom"/>
            <w:hideMark/>
          </w:tcPr>
          <w:p w14:paraId="0B6B3698" w14:textId="3D46212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685</w:t>
            </w:r>
          </w:p>
        </w:tc>
        <w:tc>
          <w:tcPr>
            <w:tcW w:w="1127" w:type="dxa"/>
            <w:tcBorders>
              <w:top w:val="nil"/>
              <w:left w:val="nil"/>
              <w:bottom w:val="single" w:sz="4" w:space="0" w:color="auto"/>
              <w:right w:val="single" w:sz="4" w:space="0" w:color="auto"/>
            </w:tcBorders>
            <w:shd w:val="clear" w:color="000000" w:fill="FFFFFF"/>
            <w:noWrap/>
            <w:vAlign w:val="bottom"/>
            <w:hideMark/>
          </w:tcPr>
          <w:p w14:paraId="2B1A2AFB" w14:textId="2906C5C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501</w:t>
            </w:r>
          </w:p>
        </w:tc>
        <w:tc>
          <w:tcPr>
            <w:tcW w:w="996" w:type="dxa"/>
            <w:tcBorders>
              <w:top w:val="nil"/>
              <w:left w:val="nil"/>
              <w:bottom w:val="single" w:sz="4" w:space="0" w:color="auto"/>
              <w:right w:val="single" w:sz="4" w:space="0" w:color="auto"/>
            </w:tcBorders>
            <w:shd w:val="clear" w:color="000000" w:fill="FFFFFF"/>
            <w:noWrap/>
            <w:vAlign w:val="bottom"/>
            <w:hideMark/>
          </w:tcPr>
          <w:p w14:paraId="25EF96C8" w14:textId="2CF12BC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442</w:t>
            </w:r>
          </w:p>
        </w:tc>
        <w:tc>
          <w:tcPr>
            <w:tcW w:w="1096" w:type="dxa"/>
            <w:tcBorders>
              <w:top w:val="nil"/>
              <w:left w:val="nil"/>
              <w:bottom w:val="single" w:sz="4" w:space="0" w:color="auto"/>
              <w:right w:val="single" w:sz="8" w:space="0" w:color="auto"/>
            </w:tcBorders>
            <w:shd w:val="clear" w:color="000000" w:fill="FFFFFF"/>
            <w:noWrap/>
            <w:vAlign w:val="bottom"/>
            <w:hideMark/>
          </w:tcPr>
          <w:p w14:paraId="737847F3" w14:textId="3E2ADB5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5,104</w:t>
            </w:r>
          </w:p>
        </w:tc>
      </w:tr>
      <w:tr w:rsidR="00861244" w:rsidRPr="00E47FB2" w14:paraId="373F0A3D"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411F5C0E"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Rábano</w:t>
            </w:r>
          </w:p>
        </w:tc>
        <w:tc>
          <w:tcPr>
            <w:tcW w:w="997" w:type="dxa"/>
            <w:tcBorders>
              <w:top w:val="nil"/>
              <w:left w:val="nil"/>
              <w:bottom w:val="single" w:sz="4" w:space="0" w:color="auto"/>
              <w:right w:val="single" w:sz="4" w:space="0" w:color="auto"/>
            </w:tcBorders>
            <w:shd w:val="clear" w:color="000000" w:fill="FFFFFF"/>
            <w:noWrap/>
            <w:hideMark/>
          </w:tcPr>
          <w:p w14:paraId="6B1B4EF7" w14:textId="5B1CC49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251</w:t>
            </w:r>
          </w:p>
        </w:tc>
        <w:tc>
          <w:tcPr>
            <w:tcW w:w="997" w:type="dxa"/>
            <w:tcBorders>
              <w:top w:val="nil"/>
              <w:left w:val="nil"/>
              <w:bottom w:val="single" w:sz="4" w:space="0" w:color="auto"/>
              <w:right w:val="single" w:sz="4" w:space="0" w:color="auto"/>
            </w:tcBorders>
            <w:shd w:val="clear" w:color="000000" w:fill="FFFFFF"/>
            <w:noWrap/>
            <w:vAlign w:val="bottom"/>
            <w:hideMark/>
          </w:tcPr>
          <w:p w14:paraId="11B13752" w14:textId="51EEDAD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113</w:t>
            </w:r>
          </w:p>
        </w:tc>
        <w:tc>
          <w:tcPr>
            <w:tcW w:w="997" w:type="dxa"/>
            <w:tcBorders>
              <w:top w:val="nil"/>
              <w:left w:val="nil"/>
              <w:bottom w:val="single" w:sz="4" w:space="0" w:color="auto"/>
              <w:right w:val="single" w:sz="4" w:space="0" w:color="auto"/>
            </w:tcBorders>
            <w:shd w:val="clear" w:color="000000" w:fill="FFFFFF"/>
            <w:noWrap/>
            <w:vAlign w:val="bottom"/>
            <w:hideMark/>
          </w:tcPr>
          <w:p w14:paraId="56A3F352" w14:textId="7DE1BD7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82</w:t>
            </w:r>
          </w:p>
        </w:tc>
        <w:tc>
          <w:tcPr>
            <w:tcW w:w="996" w:type="dxa"/>
            <w:tcBorders>
              <w:top w:val="nil"/>
              <w:left w:val="nil"/>
              <w:bottom w:val="single" w:sz="4" w:space="0" w:color="auto"/>
              <w:right w:val="single" w:sz="4" w:space="0" w:color="auto"/>
            </w:tcBorders>
            <w:shd w:val="clear" w:color="000000" w:fill="FFFFFF"/>
            <w:noWrap/>
            <w:vAlign w:val="bottom"/>
            <w:hideMark/>
          </w:tcPr>
          <w:p w14:paraId="6ABA62E8" w14:textId="7620473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50</w:t>
            </w:r>
          </w:p>
        </w:tc>
        <w:tc>
          <w:tcPr>
            <w:tcW w:w="996" w:type="dxa"/>
            <w:tcBorders>
              <w:top w:val="nil"/>
              <w:left w:val="nil"/>
              <w:bottom w:val="single" w:sz="4" w:space="0" w:color="auto"/>
              <w:right w:val="single" w:sz="4" w:space="0" w:color="auto"/>
            </w:tcBorders>
            <w:shd w:val="clear" w:color="000000" w:fill="FFFFFF"/>
            <w:noWrap/>
            <w:vAlign w:val="bottom"/>
            <w:hideMark/>
          </w:tcPr>
          <w:p w14:paraId="0B71617C" w14:textId="0A7BFC0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92</w:t>
            </w:r>
          </w:p>
        </w:tc>
        <w:tc>
          <w:tcPr>
            <w:tcW w:w="996" w:type="dxa"/>
            <w:tcBorders>
              <w:top w:val="nil"/>
              <w:left w:val="nil"/>
              <w:bottom w:val="single" w:sz="4" w:space="0" w:color="auto"/>
              <w:right w:val="single" w:sz="4" w:space="0" w:color="auto"/>
            </w:tcBorders>
            <w:shd w:val="clear" w:color="000000" w:fill="FFFFFF"/>
            <w:noWrap/>
            <w:vAlign w:val="bottom"/>
            <w:hideMark/>
          </w:tcPr>
          <w:p w14:paraId="17B5878C" w14:textId="494BF8C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112</w:t>
            </w:r>
          </w:p>
        </w:tc>
        <w:tc>
          <w:tcPr>
            <w:tcW w:w="996" w:type="dxa"/>
            <w:tcBorders>
              <w:top w:val="nil"/>
              <w:left w:val="nil"/>
              <w:bottom w:val="single" w:sz="4" w:space="0" w:color="auto"/>
              <w:right w:val="single" w:sz="4" w:space="0" w:color="auto"/>
            </w:tcBorders>
            <w:shd w:val="clear" w:color="000000" w:fill="FFFFFF"/>
            <w:noWrap/>
            <w:vAlign w:val="bottom"/>
            <w:hideMark/>
          </w:tcPr>
          <w:p w14:paraId="2A1DD3DD" w14:textId="7D72D48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265</w:t>
            </w:r>
          </w:p>
        </w:tc>
        <w:tc>
          <w:tcPr>
            <w:tcW w:w="1107" w:type="dxa"/>
            <w:tcBorders>
              <w:top w:val="nil"/>
              <w:left w:val="nil"/>
              <w:bottom w:val="single" w:sz="4" w:space="0" w:color="auto"/>
              <w:right w:val="single" w:sz="4" w:space="0" w:color="auto"/>
            </w:tcBorders>
            <w:shd w:val="clear" w:color="000000" w:fill="FFFFFF"/>
            <w:noWrap/>
            <w:vAlign w:val="bottom"/>
            <w:hideMark/>
          </w:tcPr>
          <w:p w14:paraId="55557C22" w14:textId="3701486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52</w:t>
            </w:r>
          </w:p>
        </w:tc>
        <w:tc>
          <w:tcPr>
            <w:tcW w:w="996" w:type="dxa"/>
            <w:tcBorders>
              <w:top w:val="nil"/>
              <w:left w:val="nil"/>
              <w:bottom w:val="single" w:sz="4" w:space="0" w:color="auto"/>
              <w:right w:val="single" w:sz="4" w:space="0" w:color="auto"/>
            </w:tcBorders>
            <w:shd w:val="clear" w:color="000000" w:fill="FFFFFF"/>
            <w:noWrap/>
            <w:vAlign w:val="bottom"/>
            <w:hideMark/>
          </w:tcPr>
          <w:p w14:paraId="4B87FCB1" w14:textId="2A3ECBC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132</w:t>
            </w:r>
          </w:p>
        </w:tc>
        <w:tc>
          <w:tcPr>
            <w:tcW w:w="996" w:type="dxa"/>
            <w:tcBorders>
              <w:top w:val="nil"/>
              <w:left w:val="nil"/>
              <w:bottom w:val="single" w:sz="4" w:space="0" w:color="auto"/>
              <w:right w:val="single" w:sz="4" w:space="0" w:color="auto"/>
            </w:tcBorders>
            <w:shd w:val="clear" w:color="000000" w:fill="FFFFFF"/>
            <w:noWrap/>
            <w:vAlign w:val="bottom"/>
            <w:hideMark/>
          </w:tcPr>
          <w:p w14:paraId="3AF5F20F" w14:textId="44C0B42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138</w:t>
            </w:r>
          </w:p>
        </w:tc>
        <w:tc>
          <w:tcPr>
            <w:tcW w:w="1127" w:type="dxa"/>
            <w:tcBorders>
              <w:top w:val="nil"/>
              <w:left w:val="nil"/>
              <w:bottom w:val="single" w:sz="4" w:space="0" w:color="auto"/>
              <w:right w:val="single" w:sz="4" w:space="0" w:color="auto"/>
            </w:tcBorders>
            <w:shd w:val="clear" w:color="000000" w:fill="FFFFFF"/>
            <w:noWrap/>
            <w:vAlign w:val="bottom"/>
            <w:hideMark/>
          </w:tcPr>
          <w:p w14:paraId="08540889" w14:textId="5141DD7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124</w:t>
            </w:r>
          </w:p>
        </w:tc>
        <w:tc>
          <w:tcPr>
            <w:tcW w:w="996" w:type="dxa"/>
            <w:tcBorders>
              <w:top w:val="nil"/>
              <w:left w:val="nil"/>
              <w:bottom w:val="single" w:sz="4" w:space="0" w:color="auto"/>
              <w:right w:val="single" w:sz="4" w:space="0" w:color="auto"/>
            </w:tcBorders>
            <w:shd w:val="clear" w:color="000000" w:fill="FFFFFF"/>
            <w:noWrap/>
            <w:vAlign w:val="bottom"/>
            <w:hideMark/>
          </w:tcPr>
          <w:p w14:paraId="1AD83681" w14:textId="475E42D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69</w:t>
            </w:r>
          </w:p>
        </w:tc>
        <w:tc>
          <w:tcPr>
            <w:tcW w:w="1096" w:type="dxa"/>
            <w:tcBorders>
              <w:top w:val="nil"/>
              <w:left w:val="nil"/>
              <w:bottom w:val="single" w:sz="4" w:space="0" w:color="auto"/>
              <w:right w:val="single" w:sz="8" w:space="0" w:color="auto"/>
            </w:tcBorders>
            <w:shd w:val="clear" w:color="000000" w:fill="FFFFFF"/>
            <w:noWrap/>
            <w:vAlign w:val="bottom"/>
            <w:hideMark/>
          </w:tcPr>
          <w:p w14:paraId="73AFB852" w14:textId="07C100E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1,480</w:t>
            </w:r>
          </w:p>
        </w:tc>
      </w:tr>
      <w:tr w:rsidR="00861244" w:rsidRPr="00E47FB2" w14:paraId="45276962"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0878A818"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Brócoli</w:t>
            </w:r>
          </w:p>
        </w:tc>
        <w:tc>
          <w:tcPr>
            <w:tcW w:w="997" w:type="dxa"/>
            <w:tcBorders>
              <w:top w:val="nil"/>
              <w:left w:val="nil"/>
              <w:bottom w:val="single" w:sz="4" w:space="0" w:color="auto"/>
              <w:right w:val="single" w:sz="4" w:space="0" w:color="auto"/>
            </w:tcBorders>
            <w:shd w:val="clear" w:color="000000" w:fill="FFFFFF"/>
            <w:noWrap/>
            <w:hideMark/>
          </w:tcPr>
          <w:p w14:paraId="17D563B5" w14:textId="4660CD6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710</w:t>
            </w:r>
          </w:p>
        </w:tc>
        <w:tc>
          <w:tcPr>
            <w:tcW w:w="997" w:type="dxa"/>
            <w:tcBorders>
              <w:top w:val="nil"/>
              <w:left w:val="nil"/>
              <w:bottom w:val="single" w:sz="4" w:space="0" w:color="auto"/>
              <w:right w:val="single" w:sz="4" w:space="0" w:color="auto"/>
            </w:tcBorders>
            <w:shd w:val="clear" w:color="000000" w:fill="FFFFFF"/>
            <w:noWrap/>
            <w:vAlign w:val="bottom"/>
            <w:hideMark/>
          </w:tcPr>
          <w:p w14:paraId="705ED910" w14:textId="6DB9C41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381</w:t>
            </w:r>
          </w:p>
        </w:tc>
        <w:tc>
          <w:tcPr>
            <w:tcW w:w="997" w:type="dxa"/>
            <w:tcBorders>
              <w:top w:val="nil"/>
              <w:left w:val="nil"/>
              <w:bottom w:val="single" w:sz="4" w:space="0" w:color="auto"/>
              <w:right w:val="single" w:sz="4" w:space="0" w:color="auto"/>
            </w:tcBorders>
            <w:shd w:val="clear" w:color="000000" w:fill="FFFFFF"/>
            <w:noWrap/>
            <w:vAlign w:val="bottom"/>
            <w:hideMark/>
          </w:tcPr>
          <w:p w14:paraId="01BA3181" w14:textId="3DA0E7E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425</w:t>
            </w:r>
          </w:p>
        </w:tc>
        <w:tc>
          <w:tcPr>
            <w:tcW w:w="996" w:type="dxa"/>
            <w:tcBorders>
              <w:top w:val="nil"/>
              <w:left w:val="nil"/>
              <w:bottom w:val="single" w:sz="4" w:space="0" w:color="auto"/>
              <w:right w:val="single" w:sz="4" w:space="0" w:color="auto"/>
            </w:tcBorders>
            <w:shd w:val="clear" w:color="000000" w:fill="FFFFFF"/>
            <w:noWrap/>
            <w:vAlign w:val="bottom"/>
            <w:hideMark/>
          </w:tcPr>
          <w:p w14:paraId="5F09CA8C" w14:textId="3952AA9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498</w:t>
            </w:r>
          </w:p>
        </w:tc>
        <w:tc>
          <w:tcPr>
            <w:tcW w:w="996" w:type="dxa"/>
            <w:tcBorders>
              <w:top w:val="nil"/>
              <w:left w:val="nil"/>
              <w:bottom w:val="single" w:sz="4" w:space="0" w:color="auto"/>
              <w:right w:val="single" w:sz="4" w:space="0" w:color="auto"/>
            </w:tcBorders>
            <w:shd w:val="clear" w:color="000000" w:fill="FFFFFF"/>
            <w:noWrap/>
            <w:vAlign w:val="bottom"/>
            <w:hideMark/>
          </w:tcPr>
          <w:p w14:paraId="15AC4EE8" w14:textId="726BF8A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677</w:t>
            </w:r>
          </w:p>
        </w:tc>
        <w:tc>
          <w:tcPr>
            <w:tcW w:w="996" w:type="dxa"/>
            <w:tcBorders>
              <w:top w:val="nil"/>
              <w:left w:val="nil"/>
              <w:bottom w:val="single" w:sz="4" w:space="0" w:color="auto"/>
              <w:right w:val="single" w:sz="4" w:space="0" w:color="auto"/>
            </w:tcBorders>
            <w:shd w:val="clear" w:color="000000" w:fill="FFFFFF"/>
            <w:noWrap/>
            <w:vAlign w:val="bottom"/>
            <w:hideMark/>
          </w:tcPr>
          <w:p w14:paraId="0E5BCFEF" w14:textId="4E9E765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544</w:t>
            </w:r>
          </w:p>
        </w:tc>
        <w:tc>
          <w:tcPr>
            <w:tcW w:w="996" w:type="dxa"/>
            <w:tcBorders>
              <w:top w:val="nil"/>
              <w:left w:val="nil"/>
              <w:bottom w:val="single" w:sz="4" w:space="0" w:color="auto"/>
              <w:right w:val="single" w:sz="4" w:space="0" w:color="auto"/>
            </w:tcBorders>
            <w:shd w:val="clear" w:color="000000" w:fill="FFFFFF"/>
            <w:noWrap/>
            <w:vAlign w:val="bottom"/>
            <w:hideMark/>
          </w:tcPr>
          <w:p w14:paraId="7344B965" w14:textId="07FA5B0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630</w:t>
            </w:r>
          </w:p>
        </w:tc>
        <w:tc>
          <w:tcPr>
            <w:tcW w:w="1107" w:type="dxa"/>
            <w:tcBorders>
              <w:top w:val="nil"/>
              <w:left w:val="nil"/>
              <w:bottom w:val="single" w:sz="4" w:space="0" w:color="auto"/>
              <w:right w:val="single" w:sz="4" w:space="0" w:color="auto"/>
            </w:tcBorders>
            <w:shd w:val="clear" w:color="000000" w:fill="FFFFFF"/>
            <w:noWrap/>
            <w:vAlign w:val="bottom"/>
            <w:hideMark/>
          </w:tcPr>
          <w:p w14:paraId="2E895306" w14:textId="1D7CECA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645</w:t>
            </w:r>
          </w:p>
        </w:tc>
        <w:tc>
          <w:tcPr>
            <w:tcW w:w="996" w:type="dxa"/>
            <w:tcBorders>
              <w:top w:val="nil"/>
              <w:left w:val="nil"/>
              <w:bottom w:val="single" w:sz="4" w:space="0" w:color="auto"/>
              <w:right w:val="single" w:sz="4" w:space="0" w:color="auto"/>
            </w:tcBorders>
            <w:shd w:val="clear" w:color="000000" w:fill="FFFFFF"/>
            <w:noWrap/>
            <w:vAlign w:val="bottom"/>
            <w:hideMark/>
          </w:tcPr>
          <w:p w14:paraId="6542E66B" w14:textId="0A6BB04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536</w:t>
            </w:r>
          </w:p>
        </w:tc>
        <w:tc>
          <w:tcPr>
            <w:tcW w:w="996" w:type="dxa"/>
            <w:tcBorders>
              <w:top w:val="nil"/>
              <w:left w:val="nil"/>
              <w:bottom w:val="single" w:sz="4" w:space="0" w:color="auto"/>
              <w:right w:val="single" w:sz="4" w:space="0" w:color="auto"/>
            </w:tcBorders>
            <w:shd w:val="clear" w:color="000000" w:fill="FFFFFF"/>
            <w:noWrap/>
            <w:vAlign w:val="bottom"/>
            <w:hideMark/>
          </w:tcPr>
          <w:p w14:paraId="528E7D86" w14:textId="1972257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634</w:t>
            </w:r>
          </w:p>
        </w:tc>
        <w:tc>
          <w:tcPr>
            <w:tcW w:w="1127" w:type="dxa"/>
            <w:tcBorders>
              <w:top w:val="nil"/>
              <w:left w:val="nil"/>
              <w:bottom w:val="single" w:sz="4" w:space="0" w:color="auto"/>
              <w:right w:val="single" w:sz="4" w:space="0" w:color="auto"/>
            </w:tcBorders>
            <w:shd w:val="clear" w:color="000000" w:fill="FFFFFF"/>
            <w:noWrap/>
            <w:vAlign w:val="bottom"/>
            <w:hideMark/>
          </w:tcPr>
          <w:p w14:paraId="3F7251AD" w14:textId="374E034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501</w:t>
            </w:r>
          </w:p>
        </w:tc>
        <w:tc>
          <w:tcPr>
            <w:tcW w:w="996" w:type="dxa"/>
            <w:tcBorders>
              <w:top w:val="nil"/>
              <w:left w:val="nil"/>
              <w:bottom w:val="single" w:sz="4" w:space="0" w:color="auto"/>
              <w:right w:val="single" w:sz="4" w:space="0" w:color="auto"/>
            </w:tcBorders>
            <w:shd w:val="clear" w:color="000000" w:fill="FFFFFF"/>
            <w:noWrap/>
            <w:vAlign w:val="bottom"/>
            <w:hideMark/>
          </w:tcPr>
          <w:p w14:paraId="1FB42514" w14:textId="43EEDEF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463</w:t>
            </w:r>
          </w:p>
        </w:tc>
        <w:tc>
          <w:tcPr>
            <w:tcW w:w="1096" w:type="dxa"/>
            <w:tcBorders>
              <w:top w:val="nil"/>
              <w:left w:val="nil"/>
              <w:bottom w:val="single" w:sz="4" w:space="0" w:color="auto"/>
              <w:right w:val="single" w:sz="8" w:space="0" w:color="auto"/>
            </w:tcBorders>
            <w:shd w:val="clear" w:color="000000" w:fill="FFFFFF"/>
            <w:noWrap/>
            <w:vAlign w:val="bottom"/>
            <w:hideMark/>
          </w:tcPr>
          <w:p w14:paraId="5CFF31D4" w14:textId="57D95E1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6,644</w:t>
            </w:r>
          </w:p>
        </w:tc>
      </w:tr>
      <w:tr w:rsidR="00861244" w:rsidRPr="00E47FB2" w14:paraId="1F3FADBA"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1402A680"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Coliflor</w:t>
            </w:r>
          </w:p>
        </w:tc>
        <w:tc>
          <w:tcPr>
            <w:tcW w:w="997" w:type="dxa"/>
            <w:tcBorders>
              <w:top w:val="nil"/>
              <w:left w:val="nil"/>
              <w:bottom w:val="single" w:sz="4" w:space="0" w:color="auto"/>
              <w:right w:val="single" w:sz="4" w:space="0" w:color="auto"/>
            </w:tcBorders>
            <w:shd w:val="clear" w:color="000000" w:fill="FFFFFF"/>
            <w:noWrap/>
            <w:hideMark/>
          </w:tcPr>
          <w:p w14:paraId="44BA446E" w14:textId="4516D63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232</w:t>
            </w:r>
          </w:p>
        </w:tc>
        <w:tc>
          <w:tcPr>
            <w:tcW w:w="997" w:type="dxa"/>
            <w:tcBorders>
              <w:top w:val="nil"/>
              <w:left w:val="nil"/>
              <w:bottom w:val="single" w:sz="4" w:space="0" w:color="auto"/>
              <w:right w:val="single" w:sz="4" w:space="0" w:color="auto"/>
            </w:tcBorders>
            <w:shd w:val="clear" w:color="000000" w:fill="FFFFFF"/>
            <w:noWrap/>
            <w:vAlign w:val="bottom"/>
            <w:hideMark/>
          </w:tcPr>
          <w:p w14:paraId="38E01830" w14:textId="04CE39B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87</w:t>
            </w:r>
          </w:p>
        </w:tc>
        <w:tc>
          <w:tcPr>
            <w:tcW w:w="997" w:type="dxa"/>
            <w:tcBorders>
              <w:top w:val="nil"/>
              <w:left w:val="nil"/>
              <w:bottom w:val="single" w:sz="4" w:space="0" w:color="auto"/>
              <w:right w:val="single" w:sz="4" w:space="0" w:color="auto"/>
            </w:tcBorders>
            <w:shd w:val="clear" w:color="000000" w:fill="FFFFFF"/>
            <w:noWrap/>
            <w:vAlign w:val="bottom"/>
            <w:hideMark/>
          </w:tcPr>
          <w:p w14:paraId="080CB651" w14:textId="7F1E75F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142</w:t>
            </w:r>
          </w:p>
        </w:tc>
        <w:tc>
          <w:tcPr>
            <w:tcW w:w="996" w:type="dxa"/>
            <w:tcBorders>
              <w:top w:val="nil"/>
              <w:left w:val="nil"/>
              <w:bottom w:val="single" w:sz="4" w:space="0" w:color="auto"/>
              <w:right w:val="single" w:sz="4" w:space="0" w:color="auto"/>
            </w:tcBorders>
            <w:shd w:val="clear" w:color="000000" w:fill="FFFFFF"/>
            <w:noWrap/>
            <w:vAlign w:val="bottom"/>
            <w:hideMark/>
          </w:tcPr>
          <w:p w14:paraId="6ABB02D6" w14:textId="0243321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194</w:t>
            </w:r>
          </w:p>
        </w:tc>
        <w:tc>
          <w:tcPr>
            <w:tcW w:w="996" w:type="dxa"/>
            <w:tcBorders>
              <w:top w:val="nil"/>
              <w:left w:val="nil"/>
              <w:bottom w:val="single" w:sz="4" w:space="0" w:color="auto"/>
              <w:right w:val="single" w:sz="4" w:space="0" w:color="auto"/>
            </w:tcBorders>
            <w:shd w:val="clear" w:color="000000" w:fill="FFFFFF"/>
            <w:noWrap/>
            <w:vAlign w:val="bottom"/>
            <w:hideMark/>
          </w:tcPr>
          <w:p w14:paraId="2368BB8A" w14:textId="1C7E4F5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145</w:t>
            </w:r>
          </w:p>
        </w:tc>
        <w:tc>
          <w:tcPr>
            <w:tcW w:w="996" w:type="dxa"/>
            <w:tcBorders>
              <w:top w:val="nil"/>
              <w:left w:val="nil"/>
              <w:bottom w:val="single" w:sz="4" w:space="0" w:color="auto"/>
              <w:right w:val="single" w:sz="4" w:space="0" w:color="auto"/>
            </w:tcBorders>
            <w:shd w:val="clear" w:color="000000" w:fill="FFFFFF"/>
            <w:noWrap/>
            <w:vAlign w:val="bottom"/>
            <w:hideMark/>
          </w:tcPr>
          <w:p w14:paraId="03EF50EA" w14:textId="5DC18D8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132</w:t>
            </w:r>
          </w:p>
        </w:tc>
        <w:tc>
          <w:tcPr>
            <w:tcW w:w="996" w:type="dxa"/>
            <w:tcBorders>
              <w:top w:val="nil"/>
              <w:left w:val="nil"/>
              <w:bottom w:val="single" w:sz="4" w:space="0" w:color="auto"/>
              <w:right w:val="single" w:sz="4" w:space="0" w:color="auto"/>
            </w:tcBorders>
            <w:shd w:val="clear" w:color="000000" w:fill="FFFFFF"/>
            <w:noWrap/>
            <w:vAlign w:val="bottom"/>
            <w:hideMark/>
          </w:tcPr>
          <w:p w14:paraId="0EFFC1D4" w14:textId="337E40B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265</w:t>
            </w:r>
          </w:p>
        </w:tc>
        <w:tc>
          <w:tcPr>
            <w:tcW w:w="1107" w:type="dxa"/>
            <w:tcBorders>
              <w:top w:val="nil"/>
              <w:left w:val="nil"/>
              <w:bottom w:val="single" w:sz="4" w:space="0" w:color="auto"/>
              <w:right w:val="single" w:sz="4" w:space="0" w:color="auto"/>
            </w:tcBorders>
            <w:shd w:val="clear" w:color="000000" w:fill="FFFFFF"/>
            <w:noWrap/>
            <w:vAlign w:val="bottom"/>
            <w:hideMark/>
          </w:tcPr>
          <w:p w14:paraId="04BBAAED" w14:textId="6D10858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96</w:t>
            </w:r>
          </w:p>
        </w:tc>
        <w:tc>
          <w:tcPr>
            <w:tcW w:w="996" w:type="dxa"/>
            <w:tcBorders>
              <w:top w:val="nil"/>
              <w:left w:val="nil"/>
              <w:bottom w:val="single" w:sz="4" w:space="0" w:color="auto"/>
              <w:right w:val="single" w:sz="4" w:space="0" w:color="auto"/>
            </w:tcBorders>
            <w:shd w:val="clear" w:color="000000" w:fill="FFFFFF"/>
            <w:noWrap/>
            <w:vAlign w:val="bottom"/>
            <w:hideMark/>
          </w:tcPr>
          <w:p w14:paraId="2E98EF76" w14:textId="5D7CA2D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95</w:t>
            </w:r>
          </w:p>
        </w:tc>
        <w:tc>
          <w:tcPr>
            <w:tcW w:w="996" w:type="dxa"/>
            <w:tcBorders>
              <w:top w:val="nil"/>
              <w:left w:val="nil"/>
              <w:bottom w:val="single" w:sz="4" w:space="0" w:color="auto"/>
              <w:right w:val="single" w:sz="4" w:space="0" w:color="auto"/>
            </w:tcBorders>
            <w:shd w:val="clear" w:color="000000" w:fill="FFFFFF"/>
            <w:noWrap/>
            <w:vAlign w:val="bottom"/>
            <w:hideMark/>
          </w:tcPr>
          <w:p w14:paraId="3C273F89" w14:textId="6F8942C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154</w:t>
            </w:r>
          </w:p>
        </w:tc>
        <w:tc>
          <w:tcPr>
            <w:tcW w:w="1127" w:type="dxa"/>
            <w:tcBorders>
              <w:top w:val="nil"/>
              <w:left w:val="nil"/>
              <w:bottom w:val="single" w:sz="4" w:space="0" w:color="auto"/>
              <w:right w:val="single" w:sz="4" w:space="0" w:color="auto"/>
            </w:tcBorders>
            <w:shd w:val="clear" w:color="000000" w:fill="FFFFFF"/>
            <w:noWrap/>
            <w:vAlign w:val="bottom"/>
            <w:hideMark/>
          </w:tcPr>
          <w:p w14:paraId="48BD310D" w14:textId="550C0EF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114</w:t>
            </w:r>
          </w:p>
        </w:tc>
        <w:tc>
          <w:tcPr>
            <w:tcW w:w="996" w:type="dxa"/>
            <w:tcBorders>
              <w:top w:val="nil"/>
              <w:left w:val="nil"/>
              <w:bottom w:val="single" w:sz="4" w:space="0" w:color="auto"/>
              <w:right w:val="single" w:sz="4" w:space="0" w:color="auto"/>
            </w:tcBorders>
            <w:shd w:val="clear" w:color="000000" w:fill="FFFFFF"/>
            <w:noWrap/>
            <w:vAlign w:val="bottom"/>
            <w:hideMark/>
          </w:tcPr>
          <w:p w14:paraId="1D0FA81A" w14:textId="5BF2AE5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160</w:t>
            </w:r>
          </w:p>
        </w:tc>
        <w:tc>
          <w:tcPr>
            <w:tcW w:w="1096" w:type="dxa"/>
            <w:tcBorders>
              <w:top w:val="nil"/>
              <w:left w:val="nil"/>
              <w:bottom w:val="single" w:sz="4" w:space="0" w:color="auto"/>
              <w:right w:val="single" w:sz="8" w:space="0" w:color="auto"/>
            </w:tcBorders>
            <w:shd w:val="clear" w:color="000000" w:fill="FFFFFF"/>
            <w:noWrap/>
            <w:vAlign w:val="bottom"/>
            <w:hideMark/>
          </w:tcPr>
          <w:p w14:paraId="7CB0A1E4" w14:textId="54AE60E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1,816</w:t>
            </w:r>
          </w:p>
        </w:tc>
      </w:tr>
      <w:tr w:rsidR="00861244" w:rsidRPr="00E47FB2" w14:paraId="13B9495E"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68F882D2"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Molondrón</w:t>
            </w:r>
          </w:p>
        </w:tc>
        <w:tc>
          <w:tcPr>
            <w:tcW w:w="997" w:type="dxa"/>
            <w:tcBorders>
              <w:top w:val="nil"/>
              <w:left w:val="nil"/>
              <w:bottom w:val="single" w:sz="4" w:space="0" w:color="auto"/>
              <w:right w:val="single" w:sz="4" w:space="0" w:color="auto"/>
            </w:tcBorders>
            <w:shd w:val="clear" w:color="000000" w:fill="FFFFFF"/>
            <w:noWrap/>
            <w:hideMark/>
          </w:tcPr>
          <w:p w14:paraId="20BFB2B8" w14:textId="5FEB11B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1,258</w:t>
            </w:r>
          </w:p>
        </w:tc>
        <w:tc>
          <w:tcPr>
            <w:tcW w:w="997" w:type="dxa"/>
            <w:tcBorders>
              <w:top w:val="nil"/>
              <w:left w:val="nil"/>
              <w:bottom w:val="single" w:sz="4" w:space="0" w:color="auto"/>
              <w:right w:val="single" w:sz="4" w:space="0" w:color="auto"/>
            </w:tcBorders>
            <w:shd w:val="clear" w:color="000000" w:fill="FFFFFF"/>
            <w:noWrap/>
            <w:vAlign w:val="bottom"/>
            <w:hideMark/>
          </w:tcPr>
          <w:p w14:paraId="7537FD0E" w14:textId="6F74570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1,326</w:t>
            </w:r>
          </w:p>
        </w:tc>
        <w:tc>
          <w:tcPr>
            <w:tcW w:w="997" w:type="dxa"/>
            <w:tcBorders>
              <w:top w:val="nil"/>
              <w:left w:val="nil"/>
              <w:bottom w:val="single" w:sz="4" w:space="0" w:color="auto"/>
              <w:right w:val="single" w:sz="4" w:space="0" w:color="auto"/>
            </w:tcBorders>
            <w:shd w:val="clear" w:color="000000" w:fill="FFFFFF"/>
            <w:noWrap/>
            <w:vAlign w:val="bottom"/>
            <w:hideMark/>
          </w:tcPr>
          <w:p w14:paraId="7FF3F579" w14:textId="4B13CA0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1,120</w:t>
            </w:r>
          </w:p>
        </w:tc>
        <w:tc>
          <w:tcPr>
            <w:tcW w:w="996" w:type="dxa"/>
            <w:tcBorders>
              <w:top w:val="nil"/>
              <w:left w:val="nil"/>
              <w:bottom w:val="single" w:sz="4" w:space="0" w:color="auto"/>
              <w:right w:val="single" w:sz="4" w:space="0" w:color="auto"/>
            </w:tcBorders>
            <w:shd w:val="clear" w:color="000000" w:fill="FFFFFF"/>
            <w:noWrap/>
            <w:vAlign w:val="bottom"/>
            <w:hideMark/>
          </w:tcPr>
          <w:p w14:paraId="4D1D18AB" w14:textId="74B5D7D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842</w:t>
            </w:r>
          </w:p>
        </w:tc>
        <w:tc>
          <w:tcPr>
            <w:tcW w:w="996" w:type="dxa"/>
            <w:tcBorders>
              <w:top w:val="nil"/>
              <w:left w:val="nil"/>
              <w:bottom w:val="single" w:sz="4" w:space="0" w:color="auto"/>
              <w:right w:val="single" w:sz="4" w:space="0" w:color="auto"/>
            </w:tcBorders>
            <w:shd w:val="clear" w:color="000000" w:fill="FFFFFF"/>
            <w:noWrap/>
            <w:vAlign w:val="bottom"/>
            <w:hideMark/>
          </w:tcPr>
          <w:p w14:paraId="70483FBF" w14:textId="22AF35E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588</w:t>
            </w:r>
          </w:p>
        </w:tc>
        <w:tc>
          <w:tcPr>
            <w:tcW w:w="996" w:type="dxa"/>
            <w:tcBorders>
              <w:top w:val="nil"/>
              <w:left w:val="nil"/>
              <w:bottom w:val="single" w:sz="4" w:space="0" w:color="auto"/>
              <w:right w:val="single" w:sz="4" w:space="0" w:color="auto"/>
            </w:tcBorders>
            <w:shd w:val="clear" w:color="000000" w:fill="FFFFFF"/>
            <w:noWrap/>
            <w:vAlign w:val="bottom"/>
            <w:hideMark/>
          </w:tcPr>
          <w:p w14:paraId="1EC2643F" w14:textId="7CB12C3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502</w:t>
            </w:r>
          </w:p>
        </w:tc>
        <w:tc>
          <w:tcPr>
            <w:tcW w:w="996" w:type="dxa"/>
            <w:tcBorders>
              <w:top w:val="nil"/>
              <w:left w:val="nil"/>
              <w:bottom w:val="single" w:sz="4" w:space="0" w:color="auto"/>
              <w:right w:val="single" w:sz="4" w:space="0" w:color="auto"/>
            </w:tcBorders>
            <w:shd w:val="clear" w:color="000000" w:fill="FFFFFF"/>
            <w:noWrap/>
            <w:vAlign w:val="bottom"/>
            <w:hideMark/>
          </w:tcPr>
          <w:p w14:paraId="228C810E" w14:textId="446B9DA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513</w:t>
            </w:r>
          </w:p>
        </w:tc>
        <w:tc>
          <w:tcPr>
            <w:tcW w:w="1107" w:type="dxa"/>
            <w:tcBorders>
              <w:top w:val="nil"/>
              <w:left w:val="nil"/>
              <w:bottom w:val="single" w:sz="4" w:space="0" w:color="auto"/>
              <w:right w:val="single" w:sz="4" w:space="0" w:color="auto"/>
            </w:tcBorders>
            <w:shd w:val="clear" w:color="000000" w:fill="FFFFFF"/>
            <w:noWrap/>
            <w:vAlign w:val="bottom"/>
            <w:hideMark/>
          </w:tcPr>
          <w:p w14:paraId="033FCA76" w14:textId="653C556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254</w:t>
            </w:r>
          </w:p>
        </w:tc>
        <w:tc>
          <w:tcPr>
            <w:tcW w:w="996" w:type="dxa"/>
            <w:tcBorders>
              <w:top w:val="nil"/>
              <w:left w:val="nil"/>
              <w:bottom w:val="single" w:sz="4" w:space="0" w:color="auto"/>
              <w:right w:val="single" w:sz="4" w:space="0" w:color="auto"/>
            </w:tcBorders>
            <w:shd w:val="clear" w:color="000000" w:fill="FFFFFF"/>
            <w:noWrap/>
            <w:vAlign w:val="bottom"/>
            <w:hideMark/>
          </w:tcPr>
          <w:p w14:paraId="4146B236" w14:textId="0772C58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321</w:t>
            </w:r>
          </w:p>
        </w:tc>
        <w:tc>
          <w:tcPr>
            <w:tcW w:w="996" w:type="dxa"/>
            <w:tcBorders>
              <w:top w:val="nil"/>
              <w:left w:val="nil"/>
              <w:bottom w:val="single" w:sz="4" w:space="0" w:color="auto"/>
              <w:right w:val="single" w:sz="4" w:space="0" w:color="auto"/>
            </w:tcBorders>
            <w:shd w:val="clear" w:color="000000" w:fill="FFFFFF"/>
            <w:noWrap/>
            <w:vAlign w:val="bottom"/>
            <w:hideMark/>
          </w:tcPr>
          <w:p w14:paraId="502F94F0" w14:textId="7A3DDC1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948</w:t>
            </w:r>
          </w:p>
        </w:tc>
        <w:tc>
          <w:tcPr>
            <w:tcW w:w="1127" w:type="dxa"/>
            <w:tcBorders>
              <w:top w:val="nil"/>
              <w:left w:val="nil"/>
              <w:bottom w:val="single" w:sz="4" w:space="0" w:color="auto"/>
              <w:right w:val="single" w:sz="4" w:space="0" w:color="auto"/>
            </w:tcBorders>
            <w:shd w:val="clear" w:color="000000" w:fill="FFFFFF"/>
            <w:noWrap/>
            <w:vAlign w:val="bottom"/>
            <w:hideMark/>
          </w:tcPr>
          <w:p w14:paraId="4C71AB6E" w14:textId="1E38792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1,245</w:t>
            </w:r>
          </w:p>
        </w:tc>
        <w:tc>
          <w:tcPr>
            <w:tcW w:w="996" w:type="dxa"/>
            <w:tcBorders>
              <w:top w:val="nil"/>
              <w:left w:val="nil"/>
              <w:bottom w:val="single" w:sz="4" w:space="0" w:color="auto"/>
              <w:right w:val="single" w:sz="4" w:space="0" w:color="auto"/>
            </w:tcBorders>
            <w:shd w:val="clear" w:color="000000" w:fill="FFFFFF"/>
            <w:noWrap/>
            <w:vAlign w:val="bottom"/>
            <w:hideMark/>
          </w:tcPr>
          <w:p w14:paraId="3FCA788C" w14:textId="45520F2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1,117</w:t>
            </w:r>
          </w:p>
        </w:tc>
        <w:tc>
          <w:tcPr>
            <w:tcW w:w="1096" w:type="dxa"/>
            <w:tcBorders>
              <w:top w:val="nil"/>
              <w:left w:val="nil"/>
              <w:bottom w:val="single" w:sz="4" w:space="0" w:color="auto"/>
              <w:right w:val="single" w:sz="8" w:space="0" w:color="auto"/>
            </w:tcBorders>
            <w:shd w:val="clear" w:color="000000" w:fill="FFFFFF"/>
            <w:noWrap/>
            <w:vAlign w:val="bottom"/>
            <w:hideMark/>
          </w:tcPr>
          <w:p w14:paraId="557F67AD" w14:textId="49F5494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10,034</w:t>
            </w:r>
          </w:p>
        </w:tc>
      </w:tr>
      <w:tr w:rsidR="00861244" w:rsidRPr="00E47FB2" w14:paraId="134D2D7F"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464055BE"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Cundeamor</w:t>
            </w:r>
          </w:p>
        </w:tc>
        <w:tc>
          <w:tcPr>
            <w:tcW w:w="997" w:type="dxa"/>
            <w:tcBorders>
              <w:top w:val="nil"/>
              <w:left w:val="nil"/>
              <w:bottom w:val="single" w:sz="4" w:space="0" w:color="auto"/>
              <w:right w:val="single" w:sz="4" w:space="0" w:color="auto"/>
            </w:tcBorders>
            <w:shd w:val="clear" w:color="000000" w:fill="FFFFFF"/>
            <w:noWrap/>
            <w:hideMark/>
          </w:tcPr>
          <w:p w14:paraId="2D263583" w14:textId="0DB7A49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420</w:t>
            </w:r>
          </w:p>
        </w:tc>
        <w:tc>
          <w:tcPr>
            <w:tcW w:w="997" w:type="dxa"/>
            <w:tcBorders>
              <w:top w:val="nil"/>
              <w:left w:val="nil"/>
              <w:bottom w:val="single" w:sz="4" w:space="0" w:color="auto"/>
              <w:right w:val="single" w:sz="4" w:space="0" w:color="auto"/>
            </w:tcBorders>
            <w:shd w:val="clear" w:color="000000" w:fill="FFFFFF"/>
            <w:noWrap/>
            <w:vAlign w:val="bottom"/>
            <w:hideMark/>
          </w:tcPr>
          <w:p w14:paraId="2DDFB41D" w14:textId="1F3E142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224</w:t>
            </w:r>
          </w:p>
        </w:tc>
        <w:tc>
          <w:tcPr>
            <w:tcW w:w="997" w:type="dxa"/>
            <w:tcBorders>
              <w:top w:val="nil"/>
              <w:left w:val="nil"/>
              <w:bottom w:val="single" w:sz="4" w:space="0" w:color="auto"/>
              <w:right w:val="single" w:sz="4" w:space="0" w:color="auto"/>
            </w:tcBorders>
            <w:shd w:val="clear" w:color="000000" w:fill="FFFFFF"/>
            <w:noWrap/>
            <w:vAlign w:val="bottom"/>
            <w:hideMark/>
          </w:tcPr>
          <w:p w14:paraId="7A0D87FC" w14:textId="04BC033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340</w:t>
            </w:r>
          </w:p>
        </w:tc>
        <w:tc>
          <w:tcPr>
            <w:tcW w:w="996" w:type="dxa"/>
            <w:tcBorders>
              <w:top w:val="nil"/>
              <w:left w:val="nil"/>
              <w:bottom w:val="single" w:sz="4" w:space="0" w:color="auto"/>
              <w:right w:val="single" w:sz="4" w:space="0" w:color="auto"/>
            </w:tcBorders>
            <w:shd w:val="clear" w:color="000000" w:fill="FFFFFF"/>
            <w:noWrap/>
            <w:vAlign w:val="bottom"/>
            <w:hideMark/>
          </w:tcPr>
          <w:p w14:paraId="7426CB60" w14:textId="75BF134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257</w:t>
            </w:r>
          </w:p>
        </w:tc>
        <w:tc>
          <w:tcPr>
            <w:tcW w:w="996" w:type="dxa"/>
            <w:tcBorders>
              <w:top w:val="nil"/>
              <w:left w:val="nil"/>
              <w:bottom w:val="single" w:sz="4" w:space="0" w:color="auto"/>
              <w:right w:val="single" w:sz="4" w:space="0" w:color="auto"/>
            </w:tcBorders>
            <w:shd w:val="clear" w:color="000000" w:fill="FFFFFF"/>
            <w:noWrap/>
            <w:vAlign w:val="bottom"/>
            <w:hideMark/>
          </w:tcPr>
          <w:p w14:paraId="0F551365" w14:textId="099FB19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225</w:t>
            </w:r>
          </w:p>
        </w:tc>
        <w:tc>
          <w:tcPr>
            <w:tcW w:w="996" w:type="dxa"/>
            <w:tcBorders>
              <w:top w:val="nil"/>
              <w:left w:val="nil"/>
              <w:bottom w:val="single" w:sz="4" w:space="0" w:color="auto"/>
              <w:right w:val="single" w:sz="4" w:space="0" w:color="auto"/>
            </w:tcBorders>
            <w:shd w:val="clear" w:color="000000" w:fill="FFFFFF"/>
            <w:noWrap/>
            <w:vAlign w:val="bottom"/>
            <w:hideMark/>
          </w:tcPr>
          <w:p w14:paraId="4DD5C45C" w14:textId="2CA8F37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258</w:t>
            </w:r>
          </w:p>
        </w:tc>
        <w:tc>
          <w:tcPr>
            <w:tcW w:w="996" w:type="dxa"/>
            <w:tcBorders>
              <w:top w:val="nil"/>
              <w:left w:val="nil"/>
              <w:bottom w:val="single" w:sz="4" w:space="0" w:color="auto"/>
              <w:right w:val="single" w:sz="4" w:space="0" w:color="auto"/>
            </w:tcBorders>
            <w:shd w:val="clear" w:color="000000" w:fill="FFFFFF"/>
            <w:noWrap/>
            <w:vAlign w:val="bottom"/>
            <w:hideMark/>
          </w:tcPr>
          <w:p w14:paraId="1CDADFE1" w14:textId="2718852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123</w:t>
            </w:r>
          </w:p>
        </w:tc>
        <w:tc>
          <w:tcPr>
            <w:tcW w:w="1107" w:type="dxa"/>
            <w:tcBorders>
              <w:top w:val="nil"/>
              <w:left w:val="nil"/>
              <w:bottom w:val="single" w:sz="4" w:space="0" w:color="auto"/>
              <w:right w:val="single" w:sz="4" w:space="0" w:color="auto"/>
            </w:tcBorders>
            <w:shd w:val="clear" w:color="000000" w:fill="FFFFFF"/>
            <w:noWrap/>
            <w:vAlign w:val="bottom"/>
            <w:hideMark/>
          </w:tcPr>
          <w:p w14:paraId="13CB8824" w14:textId="3F590E0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110</w:t>
            </w:r>
          </w:p>
        </w:tc>
        <w:tc>
          <w:tcPr>
            <w:tcW w:w="996" w:type="dxa"/>
            <w:tcBorders>
              <w:top w:val="nil"/>
              <w:left w:val="nil"/>
              <w:bottom w:val="single" w:sz="4" w:space="0" w:color="auto"/>
              <w:right w:val="single" w:sz="4" w:space="0" w:color="auto"/>
            </w:tcBorders>
            <w:shd w:val="clear" w:color="000000" w:fill="FFFFFF"/>
            <w:noWrap/>
            <w:vAlign w:val="bottom"/>
            <w:hideMark/>
          </w:tcPr>
          <w:p w14:paraId="023298E9" w14:textId="6CCA961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162</w:t>
            </w:r>
          </w:p>
        </w:tc>
        <w:tc>
          <w:tcPr>
            <w:tcW w:w="996" w:type="dxa"/>
            <w:tcBorders>
              <w:top w:val="nil"/>
              <w:left w:val="nil"/>
              <w:bottom w:val="single" w:sz="4" w:space="0" w:color="auto"/>
              <w:right w:val="single" w:sz="4" w:space="0" w:color="auto"/>
            </w:tcBorders>
            <w:shd w:val="clear" w:color="000000" w:fill="FFFFFF"/>
            <w:noWrap/>
            <w:vAlign w:val="bottom"/>
            <w:hideMark/>
          </w:tcPr>
          <w:p w14:paraId="6A20CF3A" w14:textId="20466BC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141</w:t>
            </w:r>
          </w:p>
        </w:tc>
        <w:tc>
          <w:tcPr>
            <w:tcW w:w="1127" w:type="dxa"/>
            <w:tcBorders>
              <w:top w:val="nil"/>
              <w:left w:val="nil"/>
              <w:bottom w:val="single" w:sz="4" w:space="0" w:color="auto"/>
              <w:right w:val="single" w:sz="4" w:space="0" w:color="auto"/>
            </w:tcBorders>
            <w:shd w:val="clear" w:color="000000" w:fill="FFFFFF"/>
            <w:noWrap/>
            <w:vAlign w:val="bottom"/>
            <w:hideMark/>
          </w:tcPr>
          <w:p w14:paraId="07BAC0D6" w14:textId="1B3537F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246</w:t>
            </w:r>
          </w:p>
        </w:tc>
        <w:tc>
          <w:tcPr>
            <w:tcW w:w="996" w:type="dxa"/>
            <w:tcBorders>
              <w:top w:val="nil"/>
              <w:left w:val="nil"/>
              <w:bottom w:val="single" w:sz="4" w:space="0" w:color="auto"/>
              <w:right w:val="single" w:sz="4" w:space="0" w:color="auto"/>
            </w:tcBorders>
            <w:shd w:val="clear" w:color="000000" w:fill="FFFFFF"/>
            <w:noWrap/>
            <w:vAlign w:val="bottom"/>
            <w:hideMark/>
          </w:tcPr>
          <w:p w14:paraId="22849747" w14:textId="2E75080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188</w:t>
            </w:r>
          </w:p>
        </w:tc>
        <w:tc>
          <w:tcPr>
            <w:tcW w:w="1096" w:type="dxa"/>
            <w:tcBorders>
              <w:top w:val="nil"/>
              <w:left w:val="nil"/>
              <w:bottom w:val="single" w:sz="4" w:space="0" w:color="auto"/>
              <w:right w:val="single" w:sz="8" w:space="0" w:color="auto"/>
            </w:tcBorders>
            <w:shd w:val="clear" w:color="000000" w:fill="FFFFFF"/>
            <w:noWrap/>
            <w:vAlign w:val="bottom"/>
            <w:hideMark/>
          </w:tcPr>
          <w:p w14:paraId="53AC47D9" w14:textId="6EEB305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2,694</w:t>
            </w:r>
          </w:p>
        </w:tc>
      </w:tr>
      <w:tr w:rsidR="0075519C" w:rsidRPr="00E47FB2" w14:paraId="10C4297B"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12D71690" w14:textId="77777777" w:rsidR="0075519C" w:rsidRPr="00E47FB2" w:rsidRDefault="0075519C" w:rsidP="0075519C">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lastRenderedPageBreak/>
              <w:t>Rubro</w:t>
            </w:r>
          </w:p>
        </w:tc>
        <w:tc>
          <w:tcPr>
            <w:tcW w:w="997"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60895958" w14:textId="77777777" w:rsidR="0075519C" w:rsidRPr="00E47FB2" w:rsidRDefault="0075519C" w:rsidP="0075519C">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Ene.</w:t>
            </w:r>
          </w:p>
        </w:tc>
        <w:tc>
          <w:tcPr>
            <w:tcW w:w="997"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1035664E" w14:textId="77777777" w:rsidR="0075519C" w:rsidRPr="00E47FB2" w:rsidRDefault="0075519C" w:rsidP="0075519C">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Feb.</w:t>
            </w:r>
          </w:p>
        </w:tc>
        <w:tc>
          <w:tcPr>
            <w:tcW w:w="997"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6BA26FF0" w14:textId="77777777" w:rsidR="0075519C" w:rsidRPr="00E47FB2" w:rsidRDefault="0075519C" w:rsidP="0075519C">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Mar.</w:t>
            </w:r>
          </w:p>
        </w:tc>
        <w:tc>
          <w:tcPr>
            <w:tcW w:w="996"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51AD2D77" w14:textId="77777777" w:rsidR="0075519C" w:rsidRPr="00E47FB2" w:rsidRDefault="0075519C" w:rsidP="0075519C">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Abr.</w:t>
            </w:r>
          </w:p>
        </w:tc>
        <w:tc>
          <w:tcPr>
            <w:tcW w:w="996"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7BB621FE" w14:textId="77777777" w:rsidR="0075519C" w:rsidRPr="00E47FB2" w:rsidRDefault="0075519C" w:rsidP="0075519C">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May.</w:t>
            </w:r>
          </w:p>
        </w:tc>
        <w:tc>
          <w:tcPr>
            <w:tcW w:w="996"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1542FF78" w14:textId="77777777" w:rsidR="0075519C" w:rsidRPr="00E47FB2" w:rsidRDefault="0075519C" w:rsidP="0075519C">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Jun.</w:t>
            </w:r>
          </w:p>
        </w:tc>
        <w:tc>
          <w:tcPr>
            <w:tcW w:w="996"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464F4B2D" w14:textId="77777777" w:rsidR="0075519C" w:rsidRPr="00E47FB2" w:rsidRDefault="0075519C" w:rsidP="0075519C">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Jul.</w:t>
            </w:r>
          </w:p>
        </w:tc>
        <w:tc>
          <w:tcPr>
            <w:tcW w:w="1107"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6B03DA1B" w14:textId="77777777" w:rsidR="0075519C" w:rsidRPr="00E47FB2" w:rsidRDefault="0075519C" w:rsidP="0075519C">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Ago.</w:t>
            </w:r>
          </w:p>
        </w:tc>
        <w:tc>
          <w:tcPr>
            <w:tcW w:w="996"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0DD33912" w14:textId="77777777" w:rsidR="0075519C" w:rsidRPr="00E47FB2" w:rsidRDefault="0075519C" w:rsidP="0075519C">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Sep.</w:t>
            </w:r>
          </w:p>
        </w:tc>
        <w:tc>
          <w:tcPr>
            <w:tcW w:w="996"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7B41135E" w14:textId="77777777" w:rsidR="0075519C" w:rsidRPr="00E47FB2" w:rsidRDefault="0075519C" w:rsidP="0075519C">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Oct.</w:t>
            </w:r>
          </w:p>
        </w:tc>
        <w:tc>
          <w:tcPr>
            <w:tcW w:w="1127"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0A910752" w14:textId="77777777" w:rsidR="0075519C" w:rsidRPr="00E47FB2" w:rsidRDefault="0075519C" w:rsidP="0075519C">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Nov.</w:t>
            </w:r>
          </w:p>
        </w:tc>
        <w:tc>
          <w:tcPr>
            <w:tcW w:w="996"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78D2862A" w14:textId="77777777" w:rsidR="0075519C" w:rsidRPr="00E47FB2" w:rsidRDefault="0075519C" w:rsidP="0075519C">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Dic.</w:t>
            </w:r>
          </w:p>
        </w:tc>
        <w:tc>
          <w:tcPr>
            <w:tcW w:w="1096"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3F71EDFF" w14:textId="77777777" w:rsidR="0075519C" w:rsidRPr="00E47FB2" w:rsidRDefault="0075519C" w:rsidP="0075519C">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Total</w:t>
            </w:r>
            <w:r w:rsidRPr="00E47FB2">
              <w:rPr>
                <w:rStyle w:val="Refdenotaalpie"/>
                <w:rFonts w:ascii="Times New Roman" w:hAnsi="Times New Roman"/>
                <w:bCs/>
                <w:color w:val="FFFFFF" w:themeColor="background1"/>
                <w:lang w:eastAsia="es-DO"/>
              </w:rPr>
              <w:footnoteReference w:id="42"/>
            </w:r>
          </w:p>
        </w:tc>
      </w:tr>
      <w:tr w:rsidR="00861244" w:rsidRPr="00E47FB2" w14:paraId="5CE5BE03" w14:textId="77777777" w:rsidTr="00861244">
        <w:trPr>
          <w:trHeight w:val="96"/>
          <w:jc w:val="center"/>
        </w:trPr>
        <w:tc>
          <w:tcPr>
            <w:tcW w:w="155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077FEFE"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Tindora</w:t>
            </w:r>
          </w:p>
        </w:tc>
        <w:tc>
          <w:tcPr>
            <w:tcW w:w="997" w:type="dxa"/>
            <w:tcBorders>
              <w:top w:val="single" w:sz="4" w:space="0" w:color="auto"/>
              <w:left w:val="nil"/>
              <w:bottom w:val="single" w:sz="4" w:space="0" w:color="auto"/>
              <w:right w:val="single" w:sz="4" w:space="0" w:color="auto"/>
            </w:tcBorders>
            <w:shd w:val="clear" w:color="000000" w:fill="FFFFFF"/>
            <w:noWrap/>
            <w:vAlign w:val="bottom"/>
            <w:hideMark/>
          </w:tcPr>
          <w:p w14:paraId="267E2FAA" w14:textId="7DC969B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232</w:t>
            </w:r>
          </w:p>
        </w:tc>
        <w:tc>
          <w:tcPr>
            <w:tcW w:w="997" w:type="dxa"/>
            <w:tcBorders>
              <w:top w:val="single" w:sz="4" w:space="0" w:color="auto"/>
              <w:left w:val="nil"/>
              <w:bottom w:val="single" w:sz="4" w:space="0" w:color="auto"/>
              <w:right w:val="single" w:sz="4" w:space="0" w:color="auto"/>
            </w:tcBorders>
            <w:shd w:val="clear" w:color="000000" w:fill="FFFFFF"/>
            <w:noWrap/>
            <w:vAlign w:val="bottom"/>
            <w:hideMark/>
          </w:tcPr>
          <w:p w14:paraId="51F75AFB" w14:textId="259A87E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384</w:t>
            </w:r>
          </w:p>
        </w:tc>
        <w:tc>
          <w:tcPr>
            <w:tcW w:w="997" w:type="dxa"/>
            <w:tcBorders>
              <w:top w:val="single" w:sz="4" w:space="0" w:color="auto"/>
              <w:left w:val="nil"/>
              <w:bottom w:val="single" w:sz="4" w:space="0" w:color="auto"/>
              <w:right w:val="single" w:sz="4" w:space="0" w:color="auto"/>
            </w:tcBorders>
            <w:shd w:val="clear" w:color="000000" w:fill="FFFFFF"/>
            <w:noWrap/>
            <w:vAlign w:val="bottom"/>
            <w:hideMark/>
          </w:tcPr>
          <w:p w14:paraId="196A414D" w14:textId="754C1B8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321</w:t>
            </w:r>
          </w:p>
        </w:tc>
        <w:tc>
          <w:tcPr>
            <w:tcW w:w="996" w:type="dxa"/>
            <w:tcBorders>
              <w:top w:val="single" w:sz="4" w:space="0" w:color="auto"/>
              <w:left w:val="nil"/>
              <w:bottom w:val="single" w:sz="4" w:space="0" w:color="auto"/>
              <w:right w:val="single" w:sz="4" w:space="0" w:color="auto"/>
            </w:tcBorders>
            <w:shd w:val="clear" w:color="000000" w:fill="FFFFFF"/>
            <w:noWrap/>
            <w:vAlign w:val="bottom"/>
            <w:hideMark/>
          </w:tcPr>
          <w:p w14:paraId="1C57F2F4" w14:textId="72DD510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146</w:t>
            </w:r>
          </w:p>
        </w:tc>
        <w:tc>
          <w:tcPr>
            <w:tcW w:w="996" w:type="dxa"/>
            <w:tcBorders>
              <w:top w:val="single" w:sz="4" w:space="0" w:color="auto"/>
              <w:left w:val="nil"/>
              <w:bottom w:val="single" w:sz="4" w:space="0" w:color="auto"/>
              <w:right w:val="single" w:sz="4" w:space="0" w:color="auto"/>
            </w:tcBorders>
            <w:shd w:val="clear" w:color="000000" w:fill="FFFFFF"/>
            <w:noWrap/>
            <w:vAlign w:val="bottom"/>
            <w:hideMark/>
          </w:tcPr>
          <w:p w14:paraId="75103528" w14:textId="6278BD8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95</w:t>
            </w:r>
          </w:p>
        </w:tc>
        <w:tc>
          <w:tcPr>
            <w:tcW w:w="996" w:type="dxa"/>
            <w:tcBorders>
              <w:top w:val="single" w:sz="4" w:space="0" w:color="auto"/>
              <w:left w:val="nil"/>
              <w:bottom w:val="single" w:sz="4" w:space="0" w:color="auto"/>
              <w:right w:val="single" w:sz="4" w:space="0" w:color="auto"/>
            </w:tcBorders>
            <w:shd w:val="clear" w:color="000000" w:fill="FFFFFF"/>
            <w:noWrap/>
            <w:vAlign w:val="bottom"/>
            <w:hideMark/>
          </w:tcPr>
          <w:p w14:paraId="09D43A6B" w14:textId="5804675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150</w:t>
            </w:r>
          </w:p>
        </w:tc>
        <w:tc>
          <w:tcPr>
            <w:tcW w:w="996" w:type="dxa"/>
            <w:tcBorders>
              <w:top w:val="single" w:sz="4" w:space="0" w:color="auto"/>
              <w:left w:val="nil"/>
              <w:bottom w:val="single" w:sz="4" w:space="0" w:color="auto"/>
              <w:right w:val="single" w:sz="4" w:space="0" w:color="auto"/>
            </w:tcBorders>
            <w:shd w:val="clear" w:color="000000" w:fill="FFFFFF"/>
            <w:noWrap/>
            <w:vAlign w:val="bottom"/>
            <w:hideMark/>
          </w:tcPr>
          <w:p w14:paraId="2DD1CA27" w14:textId="5A44CC6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352</w:t>
            </w:r>
          </w:p>
        </w:tc>
        <w:tc>
          <w:tcPr>
            <w:tcW w:w="1107" w:type="dxa"/>
            <w:tcBorders>
              <w:top w:val="single" w:sz="4" w:space="0" w:color="auto"/>
              <w:left w:val="nil"/>
              <w:bottom w:val="single" w:sz="4" w:space="0" w:color="auto"/>
              <w:right w:val="single" w:sz="4" w:space="0" w:color="auto"/>
            </w:tcBorders>
            <w:shd w:val="clear" w:color="000000" w:fill="FFFFFF"/>
            <w:noWrap/>
            <w:vAlign w:val="bottom"/>
            <w:hideMark/>
          </w:tcPr>
          <w:p w14:paraId="6445053F" w14:textId="7035FF9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53</w:t>
            </w:r>
          </w:p>
        </w:tc>
        <w:tc>
          <w:tcPr>
            <w:tcW w:w="996" w:type="dxa"/>
            <w:tcBorders>
              <w:top w:val="single" w:sz="4" w:space="0" w:color="auto"/>
              <w:left w:val="nil"/>
              <w:bottom w:val="single" w:sz="4" w:space="0" w:color="auto"/>
              <w:right w:val="single" w:sz="4" w:space="0" w:color="auto"/>
            </w:tcBorders>
            <w:shd w:val="clear" w:color="000000" w:fill="FFFFFF"/>
            <w:noWrap/>
            <w:vAlign w:val="bottom"/>
            <w:hideMark/>
          </w:tcPr>
          <w:p w14:paraId="46E71BE0" w14:textId="03C3AF9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189</w:t>
            </w:r>
          </w:p>
        </w:tc>
        <w:tc>
          <w:tcPr>
            <w:tcW w:w="996" w:type="dxa"/>
            <w:tcBorders>
              <w:top w:val="single" w:sz="4" w:space="0" w:color="auto"/>
              <w:left w:val="nil"/>
              <w:bottom w:val="single" w:sz="4" w:space="0" w:color="auto"/>
              <w:right w:val="single" w:sz="4" w:space="0" w:color="auto"/>
            </w:tcBorders>
            <w:shd w:val="clear" w:color="000000" w:fill="FFFFFF"/>
            <w:noWrap/>
            <w:vAlign w:val="bottom"/>
            <w:hideMark/>
          </w:tcPr>
          <w:p w14:paraId="2B253FFC" w14:textId="12B7103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202</w:t>
            </w:r>
          </w:p>
        </w:tc>
        <w:tc>
          <w:tcPr>
            <w:tcW w:w="1127" w:type="dxa"/>
            <w:tcBorders>
              <w:top w:val="single" w:sz="4" w:space="0" w:color="auto"/>
              <w:left w:val="nil"/>
              <w:bottom w:val="single" w:sz="4" w:space="0" w:color="auto"/>
              <w:right w:val="single" w:sz="4" w:space="0" w:color="auto"/>
            </w:tcBorders>
            <w:shd w:val="clear" w:color="000000" w:fill="FFFFFF"/>
            <w:noWrap/>
            <w:vAlign w:val="bottom"/>
            <w:hideMark/>
          </w:tcPr>
          <w:p w14:paraId="4F1477B2" w14:textId="51628CD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346</w:t>
            </w:r>
          </w:p>
        </w:tc>
        <w:tc>
          <w:tcPr>
            <w:tcW w:w="996" w:type="dxa"/>
            <w:tcBorders>
              <w:top w:val="single" w:sz="4" w:space="0" w:color="auto"/>
              <w:left w:val="nil"/>
              <w:bottom w:val="single" w:sz="4" w:space="0" w:color="auto"/>
              <w:right w:val="single" w:sz="4" w:space="0" w:color="auto"/>
            </w:tcBorders>
            <w:shd w:val="clear" w:color="000000" w:fill="FFFFFF"/>
            <w:noWrap/>
            <w:vAlign w:val="bottom"/>
            <w:hideMark/>
          </w:tcPr>
          <w:p w14:paraId="5F40B6A3" w14:textId="4FD666B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193</w:t>
            </w:r>
          </w:p>
        </w:tc>
        <w:tc>
          <w:tcPr>
            <w:tcW w:w="1096" w:type="dxa"/>
            <w:tcBorders>
              <w:top w:val="single" w:sz="4" w:space="0" w:color="auto"/>
              <w:left w:val="nil"/>
              <w:bottom w:val="single" w:sz="4" w:space="0" w:color="auto"/>
              <w:right w:val="single" w:sz="8" w:space="0" w:color="auto"/>
            </w:tcBorders>
            <w:shd w:val="clear" w:color="000000" w:fill="FFFFFF"/>
            <w:noWrap/>
            <w:vAlign w:val="bottom"/>
            <w:hideMark/>
          </w:tcPr>
          <w:p w14:paraId="50AB7649" w14:textId="26B1842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2,663</w:t>
            </w:r>
          </w:p>
        </w:tc>
      </w:tr>
      <w:tr w:rsidR="00861244" w:rsidRPr="00E47FB2" w14:paraId="1F82E996"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74B75DB7"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Bangaña</w:t>
            </w:r>
          </w:p>
        </w:tc>
        <w:tc>
          <w:tcPr>
            <w:tcW w:w="997" w:type="dxa"/>
            <w:tcBorders>
              <w:top w:val="nil"/>
              <w:left w:val="nil"/>
              <w:bottom w:val="single" w:sz="4" w:space="0" w:color="auto"/>
              <w:right w:val="single" w:sz="4" w:space="0" w:color="auto"/>
            </w:tcBorders>
            <w:shd w:val="clear" w:color="000000" w:fill="FFFFFF"/>
            <w:noWrap/>
            <w:vAlign w:val="bottom"/>
            <w:hideMark/>
          </w:tcPr>
          <w:p w14:paraId="39933383" w14:textId="1CE5B3C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342</w:t>
            </w:r>
          </w:p>
        </w:tc>
        <w:tc>
          <w:tcPr>
            <w:tcW w:w="997" w:type="dxa"/>
            <w:tcBorders>
              <w:top w:val="nil"/>
              <w:left w:val="nil"/>
              <w:bottom w:val="single" w:sz="4" w:space="0" w:color="auto"/>
              <w:right w:val="single" w:sz="4" w:space="0" w:color="auto"/>
            </w:tcBorders>
            <w:shd w:val="clear" w:color="000000" w:fill="FFFFFF"/>
            <w:noWrap/>
            <w:vAlign w:val="bottom"/>
            <w:hideMark/>
          </w:tcPr>
          <w:p w14:paraId="5F2BF025" w14:textId="2EBE30B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411</w:t>
            </w:r>
          </w:p>
        </w:tc>
        <w:tc>
          <w:tcPr>
            <w:tcW w:w="997" w:type="dxa"/>
            <w:tcBorders>
              <w:top w:val="nil"/>
              <w:left w:val="nil"/>
              <w:bottom w:val="single" w:sz="4" w:space="0" w:color="auto"/>
              <w:right w:val="single" w:sz="4" w:space="0" w:color="auto"/>
            </w:tcBorders>
            <w:shd w:val="clear" w:color="000000" w:fill="FFFFFF"/>
            <w:noWrap/>
            <w:vAlign w:val="bottom"/>
            <w:hideMark/>
          </w:tcPr>
          <w:p w14:paraId="33A8A730" w14:textId="6046D4E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389</w:t>
            </w:r>
          </w:p>
        </w:tc>
        <w:tc>
          <w:tcPr>
            <w:tcW w:w="996" w:type="dxa"/>
            <w:tcBorders>
              <w:top w:val="nil"/>
              <w:left w:val="nil"/>
              <w:bottom w:val="single" w:sz="4" w:space="0" w:color="auto"/>
              <w:right w:val="single" w:sz="4" w:space="0" w:color="auto"/>
            </w:tcBorders>
            <w:shd w:val="clear" w:color="000000" w:fill="FFFFFF"/>
            <w:noWrap/>
            <w:vAlign w:val="bottom"/>
            <w:hideMark/>
          </w:tcPr>
          <w:p w14:paraId="6822BDEB" w14:textId="4480D24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254</w:t>
            </w:r>
          </w:p>
        </w:tc>
        <w:tc>
          <w:tcPr>
            <w:tcW w:w="996" w:type="dxa"/>
            <w:tcBorders>
              <w:top w:val="nil"/>
              <w:left w:val="nil"/>
              <w:bottom w:val="single" w:sz="4" w:space="0" w:color="auto"/>
              <w:right w:val="single" w:sz="4" w:space="0" w:color="auto"/>
            </w:tcBorders>
            <w:shd w:val="clear" w:color="000000" w:fill="FFFFFF"/>
            <w:noWrap/>
            <w:vAlign w:val="bottom"/>
            <w:hideMark/>
          </w:tcPr>
          <w:p w14:paraId="17DCC647" w14:textId="20931CA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201</w:t>
            </w:r>
          </w:p>
        </w:tc>
        <w:tc>
          <w:tcPr>
            <w:tcW w:w="996" w:type="dxa"/>
            <w:tcBorders>
              <w:top w:val="nil"/>
              <w:left w:val="nil"/>
              <w:bottom w:val="single" w:sz="4" w:space="0" w:color="auto"/>
              <w:right w:val="single" w:sz="4" w:space="0" w:color="auto"/>
            </w:tcBorders>
            <w:shd w:val="clear" w:color="000000" w:fill="FFFFFF"/>
            <w:noWrap/>
            <w:vAlign w:val="bottom"/>
            <w:hideMark/>
          </w:tcPr>
          <w:p w14:paraId="0BAF4679" w14:textId="1E32147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132</w:t>
            </w:r>
          </w:p>
        </w:tc>
        <w:tc>
          <w:tcPr>
            <w:tcW w:w="996" w:type="dxa"/>
            <w:tcBorders>
              <w:top w:val="nil"/>
              <w:left w:val="nil"/>
              <w:bottom w:val="single" w:sz="4" w:space="0" w:color="auto"/>
              <w:right w:val="single" w:sz="4" w:space="0" w:color="auto"/>
            </w:tcBorders>
            <w:shd w:val="clear" w:color="000000" w:fill="FFFFFF"/>
            <w:noWrap/>
            <w:vAlign w:val="bottom"/>
            <w:hideMark/>
          </w:tcPr>
          <w:p w14:paraId="5E2F37AB" w14:textId="7A2DFF5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148</w:t>
            </w:r>
          </w:p>
        </w:tc>
        <w:tc>
          <w:tcPr>
            <w:tcW w:w="1107" w:type="dxa"/>
            <w:tcBorders>
              <w:top w:val="nil"/>
              <w:left w:val="nil"/>
              <w:bottom w:val="single" w:sz="4" w:space="0" w:color="auto"/>
              <w:right w:val="single" w:sz="4" w:space="0" w:color="auto"/>
            </w:tcBorders>
            <w:shd w:val="clear" w:color="000000" w:fill="FFFFFF"/>
            <w:noWrap/>
            <w:vAlign w:val="bottom"/>
            <w:hideMark/>
          </w:tcPr>
          <w:p w14:paraId="54777F4D" w14:textId="04C2186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142</w:t>
            </w:r>
          </w:p>
        </w:tc>
        <w:tc>
          <w:tcPr>
            <w:tcW w:w="996" w:type="dxa"/>
            <w:tcBorders>
              <w:top w:val="nil"/>
              <w:left w:val="nil"/>
              <w:bottom w:val="single" w:sz="4" w:space="0" w:color="auto"/>
              <w:right w:val="single" w:sz="4" w:space="0" w:color="auto"/>
            </w:tcBorders>
            <w:shd w:val="clear" w:color="000000" w:fill="FFFFFF"/>
            <w:noWrap/>
            <w:vAlign w:val="bottom"/>
            <w:hideMark/>
          </w:tcPr>
          <w:p w14:paraId="075B8132" w14:textId="7D1DE05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421</w:t>
            </w:r>
          </w:p>
        </w:tc>
        <w:tc>
          <w:tcPr>
            <w:tcW w:w="996" w:type="dxa"/>
            <w:tcBorders>
              <w:top w:val="nil"/>
              <w:left w:val="nil"/>
              <w:bottom w:val="single" w:sz="4" w:space="0" w:color="auto"/>
              <w:right w:val="single" w:sz="4" w:space="0" w:color="auto"/>
            </w:tcBorders>
            <w:shd w:val="clear" w:color="000000" w:fill="FFFFFF"/>
            <w:noWrap/>
            <w:vAlign w:val="bottom"/>
            <w:hideMark/>
          </w:tcPr>
          <w:p w14:paraId="5C7814EF" w14:textId="5C02E8D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358</w:t>
            </w:r>
          </w:p>
        </w:tc>
        <w:tc>
          <w:tcPr>
            <w:tcW w:w="1127" w:type="dxa"/>
            <w:tcBorders>
              <w:top w:val="nil"/>
              <w:left w:val="nil"/>
              <w:bottom w:val="single" w:sz="4" w:space="0" w:color="auto"/>
              <w:right w:val="single" w:sz="4" w:space="0" w:color="auto"/>
            </w:tcBorders>
            <w:shd w:val="clear" w:color="000000" w:fill="FFFFFF"/>
            <w:noWrap/>
            <w:vAlign w:val="bottom"/>
            <w:hideMark/>
          </w:tcPr>
          <w:p w14:paraId="05C7F064" w14:textId="1FBBBA4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277</w:t>
            </w:r>
          </w:p>
        </w:tc>
        <w:tc>
          <w:tcPr>
            <w:tcW w:w="996" w:type="dxa"/>
            <w:tcBorders>
              <w:top w:val="nil"/>
              <w:left w:val="nil"/>
              <w:bottom w:val="single" w:sz="4" w:space="0" w:color="auto"/>
              <w:right w:val="single" w:sz="4" w:space="0" w:color="auto"/>
            </w:tcBorders>
            <w:shd w:val="clear" w:color="000000" w:fill="FFFFFF"/>
            <w:noWrap/>
            <w:vAlign w:val="bottom"/>
            <w:hideMark/>
          </w:tcPr>
          <w:p w14:paraId="625DDE74" w14:textId="10A5D02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424</w:t>
            </w:r>
          </w:p>
        </w:tc>
        <w:tc>
          <w:tcPr>
            <w:tcW w:w="1096" w:type="dxa"/>
            <w:tcBorders>
              <w:top w:val="nil"/>
              <w:left w:val="nil"/>
              <w:bottom w:val="single" w:sz="4" w:space="0" w:color="auto"/>
              <w:right w:val="single" w:sz="8" w:space="0" w:color="auto"/>
            </w:tcBorders>
            <w:shd w:val="clear" w:color="000000" w:fill="FFFFFF"/>
            <w:noWrap/>
            <w:vAlign w:val="bottom"/>
            <w:hideMark/>
          </w:tcPr>
          <w:p w14:paraId="462BF5D6" w14:textId="751553D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3,499</w:t>
            </w:r>
          </w:p>
        </w:tc>
      </w:tr>
      <w:tr w:rsidR="00861244" w:rsidRPr="00E47FB2" w14:paraId="2DC77828"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7C47E6F8"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Calabacin</w:t>
            </w:r>
          </w:p>
        </w:tc>
        <w:tc>
          <w:tcPr>
            <w:tcW w:w="997" w:type="dxa"/>
            <w:tcBorders>
              <w:top w:val="nil"/>
              <w:left w:val="nil"/>
              <w:bottom w:val="single" w:sz="4" w:space="0" w:color="auto"/>
              <w:right w:val="single" w:sz="4" w:space="0" w:color="auto"/>
            </w:tcBorders>
            <w:shd w:val="clear" w:color="000000" w:fill="FFFFFF"/>
            <w:noWrap/>
            <w:vAlign w:val="bottom"/>
            <w:hideMark/>
          </w:tcPr>
          <w:p w14:paraId="6D74C33C" w14:textId="2B6D49E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7" w:type="dxa"/>
            <w:tcBorders>
              <w:top w:val="nil"/>
              <w:left w:val="nil"/>
              <w:bottom w:val="single" w:sz="4" w:space="0" w:color="auto"/>
              <w:right w:val="single" w:sz="4" w:space="0" w:color="auto"/>
            </w:tcBorders>
            <w:shd w:val="clear" w:color="000000" w:fill="FFFFFF"/>
            <w:noWrap/>
            <w:vAlign w:val="bottom"/>
            <w:hideMark/>
          </w:tcPr>
          <w:p w14:paraId="3372BA7A" w14:textId="5E65348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7" w:type="dxa"/>
            <w:tcBorders>
              <w:top w:val="nil"/>
              <w:left w:val="nil"/>
              <w:bottom w:val="single" w:sz="4" w:space="0" w:color="auto"/>
              <w:right w:val="single" w:sz="4" w:space="0" w:color="auto"/>
            </w:tcBorders>
            <w:shd w:val="clear" w:color="000000" w:fill="FFFFFF"/>
            <w:noWrap/>
            <w:vAlign w:val="bottom"/>
            <w:hideMark/>
          </w:tcPr>
          <w:p w14:paraId="5368A087" w14:textId="0DE2C80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6FE33C72" w14:textId="361E724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w:t>
            </w:r>
          </w:p>
        </w:tc>
        <w:tc>
          <w:tcPr>
            <w:tcW w:w="996" w:type="dxa"/>
            <w:tcBorders>
              <w:top w:val="nil"/>
              <w:left w:val="nil"/>
              <w:bottom w:val="single" w:sz="4" w:space="0" w:color="auto"/>
              <w:right w:val="single" w:sz="4" w:space="0" w:color="auto"/>
            </w:tcBorders>
            <w:shd w:val="clear" w:color="000000" w:fill="FFFFFF"/>
            <w:noWrap/>
            <w:vAlign w:val="bottom"/>
            <w:hideMark/>
          </w:tcPr>
          <w:p w14:paraId="7B92E6B5" w14:textId="18B16BE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w:t>
            </w:r>
          </w:p>
        </w:tc>
        <w:tc>
          <w:tcPr>
            <w:tcW w:w="996" w:type="dxa"/>
            <w:tcBorders>
              <w:top w:val="nil"/>
              <w:left w:val="nil"/>
              <w:bottom w:val="single" w:sz="4" w:space="0" w:color="auto"/>
              <w:right w:val="single" w:sz="4" w:space="0" w:color="auto"/>
            </w:tcBorders>
            <w:shd w:val="clear" w:color="000000" w:fill="FFFFFF"/>
            <w:noWrap/>
            <w:vAlign w:val="bottom"/>
            <w:hideMark/>
          </w:tcPr>
          <w:p w14:paraId="4DA9B35A" w14:textId="26A3D0E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02525871" w14:textId="632B271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1107" w:type="dxa"/>
            <w:tcBorders>
              <w:top w:val="nil"/>
              <w:left w:val="nil"/>
              <w:bottom w:val="single" w:sz="4" w:space="0" w:color="auto"/>
              <w:right w:val="single" w:sz="4" w:space="0" w:color="auto"/>
            </w:tcBorders>
            <w:shd w:val="clear" w:color="000000" w:fill="FFFFFF"/>
            <w:noWrap/>
            <w:vAlign w:val="bottom"/>
            <w:hideMark/>
          </w:tcPr>
          <w:p w14:paraId="2C17AB3D" w14:textId="21FF090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w:t>
            </w:r>
          </w:p>
        </w:tc>
        <w:tc>
          <w:tcPr>
            <w:tcW w:w="996" w:type="dxa"/>
            <w:tcBorders>
              <w:top w:val="nil"/>
              <w:left w:val="nil"/>
              <w:bottom w:val="single" w:sz="4" w:space="0" w:color="auto"/>
              <w:right w:val="single" w:sz="4" w:space="0" w:color="auto"/>
            </w:tcBorders>
            <w:shd w:val="clear" w:color="000000" w:fill="FFFFFF"/>
            <w:noWrap/>
            <w:vAlign w:val="bottom"/>
            <w:hideMark/>
          </w:tcPr>
          <w:p w14:paraId="231101E1" w14:textId="5E35D9A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5E81E07D" w14:textId="5B6AF19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w:t>
            </w:r>
          </w:p>
        </w:tc>
        <w:tc>
          <w:tcPr>
            <w:tcW w:w="1127" w:type="dxa"/>
            <w:tcBorders>
              <w:top w:val="nil"/>
              <w:left w:val="nil"/>
              <w:bottom w:val="single" w:sz="4" w:space="0" w:color="auto"/>
              <w:right w:val="single" w:sz="4" w:space="0" w:color="auto"/>
            </w:tcBorders>
            <w:shd w:val="clear" w:color="000000" w:fill="FFFFFF"/>
            <w:noWrap/>
            <w:vAlign w:val="bottom"/>
            <w:hideMark/>
          </w:tcPr>
          <w:p w14:paraId="378E0DC0" w14:textId="5F121D8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24</w:t>
            </w:r>
          </w:p>
        </w:tc>
        <w:tc>
          <w:tcPr>
            <w:tcW w:w="996" w:type="dxa"/>
            <w:tcBorders>
              <w:top w:val="nil"/>
              <w:left w:val="nil"/>
              <w:bottom w:val="single" w:sz="4" w:space="0" w:color="auto"/>
              <w:right w:val="single" w:sz="4" w:space="0" w:color="auto"/>
            </w:tcBorders>
            <w:shd w:val="clear" w:color="000000" w:fill="FFFFFF"/>
            <w:noWrap/>
            <w:vAlign w:val="bottom"/>
            <w:hideMark/>
          </w:tcPr>
          <w:p w14:paraId="5FB25FA1" w14:textId="34B3A81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1096" w:type="dxa"/>
            <w:tcBorders>
              <w:top w:val="nil"/>
              <w:left w:val="nil"/>
              <w:bottom w:val="single" w:sz="4" w:space="0" w:color="auto"/>
              <w:right w:val="single" w:sz="8" w:space="0" w:color="auto"/>
            </w:tcBorders>
            <w:shd w:val="clear" w:color="000000" w:fill="FFFFFF"/>
            <w:noWrap/>
            <w:vAlign w:val="bottom"/>
            <w:hideMark/>
          </w:tcPr>
          <w:p w14:paraId="590B9E5F" w14:textId="367E9DE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65</w:t>
            </w:r>
          </w:p>
        </w:tc>
      </w:tr>
      <w:tr w:rsidR="00861244" w:rsidRPr="00E47FB2" w14:paraId="5B87C516"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5859619C" w14:textId="32CA57D8"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Musú chino</w:t>
            </w:r>
          </w:p>
        </w:tc>
        <w:tc>
          <w:tcPr>
            <w:tcW w:w="997" w:type="dxa"/>
            <w:tcBorders>
              <w:top w:val="nil"/>
              <w:left w:val="nil"/>
              <w:bottom w:val="single" w:sz="4" w:space="0" w:color="auto"/>
              <w:right w:val="single" w:sz="4" w:space="0" w:color="auto"/>
            </w:tcBorders>
            <w:shd w:val="clear" w:color="000000" w:fill="FFFFFF"/>
            <w:noWrap/>
            <w:vAlign w:val="bottom"/>
            <w:hideMark/>
          </w:tcPr>
          <w:p w14:paraId="780277A8" w14:textId="0C3F80C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152</w:t>
            </w:r>
          </w:p>
        </w:tc>
        <w:tc>
          <w:tcPr>
            <w:tcW w:w="997" w:type="dxa"/>
            <w:tcBorders>
              <w:top w:val="nil"/>
              <w:left w:val="nil"/>
              <w:bottom w:val="single" w:sz="4" w:space="0" w:color="auto"/>
              <w:right w:val="single" w:sz="4" w:space="0" w:color="auto"/>
            </w:tcBorders>
            <w:shd w:val="clear" w:color="000000" w:fill="FFFFFF"/>
            <w:noWrap/>
            <w:vAlign w:val="bottom"/>
            <w:hideMark/>
          </w:tcPr>
          <w:p w14:paraId="11B56E02" w14:textId="36463C9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111</w:t>
            </w:r>
          </w:p>
        </w:tc>
        <w:tc>
          <w:tcPr>
            <w:tcW w:w="997" w:type="dxa"/>
            <w:tcBorders>
              <w:top w:val="nil"/>
              <w:left w:val="nil"/>
              <w:bottom w:val="single" w:sz="4" w:space="0" w:color="auto"/>
              <w:right w:val="single" w:sz="4" w:space="0" w:color="auto"/>
            </w:tcBorders>
            <w:shd w:val="clear" w:color="000000" w:fill="FFFFFF"/>
            <w:noWrap/>
            <w:vAlign w:val="bottom"/>
            <w:hideMark/>
          </w:tcPr>
          <w:p w14:paraId="7849ED82" w14:textId="78BFD38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69</w:t>
            </w:r>
          </w:p>
        </w:tc>
        <w:tc>
          <w:tcPr>
            <w:tcW w:w="996" w:type="dxa"/>
            <w:tcBorders>
              <w:top w:val="nil"/>
              <w:left w:val="nil"/>
              <w:bottom w:val="single" w:sz="4" w:space="0" w:color="auto"/>
              <w:right w:val="single" w:sz="4" w:space="0" w:color="auto"/>
            </w:tcBorders>
            <w:shd w:val="clear" w:color="000000" w:fill="FFFFFF"/>
            <w:noWrap/>
            <w:vAlign w:val="bottom"/>
            <w:hideMark/>
          </w:tcPr>
          <w:p w14:paraId="47298990" w14:textId="1926D41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227</w:t>
            </w:r>
          </w:p>
        </w:tc>
        <w:tc>
          <w:tcPr>
            <w:tcW w:w="996" w:type="dxa"/>
            <w:tcBorders>
              <w:top w:val="nil"/>
              <w:left w:val="nil"/>
              <w:bottom w:val="single" w:sz="4" w:space="0" w:color="auto"/>
              <w:right w:val="single" w:sz="4" w:space="0" w:color="auto"/>
            </w:tcBorders>
            <w:shd w:val="clear" w:color="000000" w:fill="FFFFFF"/>
            <w:noWrap/>
            <w:vAlign w:val="bottom"/>
            <w:hideMark/>
          </w:tcPr>
          <w:p w14:paraId="1F8F448A" w14:textId="66E2979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95</w:t>
            </w:r>
          </w:p>
        </w:tc>
        <w:tc>
          <w:tcPr>
            <w:tcW w:w="996" w:type="dxa"/>
            <w:tcBorders>
              <w:top w:val="nil"/>
              <w:left w:val="nil"/>
              <w:bottom w:val="single" w:sz="4" w:space="0" w:color="auto"/>
              <w:right w:val="single" w:sz="4" w:space="0" w:color="auto"/>
            </w:tcBorders>
            <w:shd w:val="clear" w:color="000000" w:fill="FFFFFF"/>
            <w:noWrap/>
            <w:vAlign w:val="bottom"/>
            <w:hideMark/>
          </w:tcPr>
          <w:p w14:paraId="564512D6" w14:textId="7830CC4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59</w:t>
            </w:r>
          </w:p>
        </w:tc>
        <w:tc>
          <w:tcPr>
            <w:tcW w:w="996" w:type="dxa"/>
            <w:tcBorders>
              <w:top w:val="nil"/>
              <w:left w:val="nil"/>
              <w:bottom w:val="single" w:sz="4" w:space="0" w:color="auto"/>
              <w:right w:val="single" w:sz="4" w:space="0" w:color="auto"/>
            </w:tcBorders>
            <w:shd w:val="clear" w:color="000000" w:fill="FFFFFF"/>
            <w:noWrap/>
            <w:vAlign w:val="bottom"/>
            <w:hideMark/>
          </w:tcPr>
          <w:p w14:paraId="32F07821" w14:textId="0A9D315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62</w:t>
            </w:r>
          </w:p>
        </w:tc>
        <w:tc>
          <w:tcPr>
            <w:tcW w:w="1107" w:type="dxa"/>
            <w:tcBorders>
              <w:top w:val="nil"/>
              <w:left w:val="nil"/>
              <w:bottom w:val="single" w:sz="4" w:space="0" w:color="auto"/>
              <w:right w:val="single" w:sz="4" w:space="0" w:color="auto"/>
            </w:tcBorders>
            <w:shd w:val="clear" w:color="000000" w:fill="FFFFFF"/>
            <w:noWrap/>
            <w:vAlign w:val="bottom"/>
            <w:hideMark/>
          </w:tcPr>
          <w:p w14:paraId="4E3D6267" w14:textId="4D0F52F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49</w:t>
            </w:r>
          </w:p>
        </w:tc>
        <w:tc>
          <w:tcPr>
            <w:tcW w:w="996" w:type="dxa"/>
            <w:tcBorders>
              <w:top w:val="nil"/>
              <w:left w:val="nil"/>
              <w:bottom w:val="single" w:sz="4" w:space="0" w:color="auto"/>
              <w:right w:val="single" w:sz="4" w:space="0" w:color="auto"/>
            </w:tcBorders>
            <w:shd w:val="clear" w:color="000000" w:fill="FFFFFF"/>
            <w:noWrap/>
            <w:vAlign w:val="bottom"/>
            <w:hideMark/>
          </w:tcPr>
          <w:p w14:paraId="23F4F026" w14:textId="44622E7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214</w:t>
            </w:r>
          </w:p>
        </w:tc>
        <w:tc>
          <w:tcPr>
            <w:tcW w:w="996" w:type="dxa"/>
            <w:tcBorders>
              <w:top w:val="nil"/>
              <w:left w:val="nil"/>
              <w:bottom w:val="single" w:sz="4" w:space="0" w:color="auto"/>
              <w:right w:val="single" w:sz="4" w:space="0" w:color="auto"/>
            </w:tcBorders>
            <w:shd w:val="clear" w:color="000000" w:fill="FFFFFF"/>
            <w:noWrap/>
            <w:vAlign w:val="bottom"/>
            <w:hideMark/>
          </w:tcPr>
          <w:p w14:paraId="06AD9668" w14:textId="11D6C17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169</w:t>
            </w:r>
          </w:p>
        </w:tc>
        <w:tc>
          <w:tcPr>
            <w:tcW w:w="1127" w:type="dxa"/>
            <w:tcBorders>
              <w:top w:val="nil"/>
              <w:left w:val="nil"/>
              <w:bottom w:val="single" w:sz="4" w:space="0" w:color="auto"/>
              <w:right w:val="single" w:sz="4" w:space="0" w:color="auto"/>
            </w:tcBorders>
            <w:shd w:val="clear" w:color="000000" w:fill="FFFFFF"/>
            <w:noWrap/>
            <w:vAlign w:val="bottom"/>
            <w:hideMark/>
          </w:tcPr>
          <w:p w14:paraId="4C6FDAE3" w14:textId="7767BEC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128</w:t>
            </w:r>
          </w:p>
        </w:tc>
        <w:tc>
          <w:tcPr>
            <w:tcW w:w="996" w:type="dxa"/>
            <w:tcBorders>
              <w:top w:val="nil"/>
              <w:left w:val="nil"/>
              <w:bottom w:val="single" w:sz="4" w:space="0" w:color="auto"/>
              <w:right w:val="single" w:sz="4" w:space="0" w:color="auto"/>
            </w:tcBorders>
            <w:shd w:val="clear" w:color="000000" w:fill="FFFFFF"/>
            <w:noWrap/>
            <w:vAlign w:val="bottom"/>
            <w:hideMark/>
          </w:tcPr>
          <w:p w14:paraId="7A2D1EC3" w14:textId="05CCC67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177</w:t>
            </w:r>
          </w:p>
        </w:tc>
        <w:tc>
          <w:tcPr>
            <w:tcW w:w="1096" w:type="dxa"/>
            <w:tcBorders>
              <w:top w:val="nil"/>
              <w:left w:val="nil"/>
              <w:bottom w:val="single" w:sz="4" w:space="0" w:color="auto"/>
              <w:right w:val="single" w:sz="8" w:space="0" w:color="auto"/>
            </w:tcBorders>
            <w:shd w:val="clear" w:color="000000" w:fill="FFFFFF"/>
            <w:noWrap/>
            <w:vAlign w:val="bottom"/>
            <w:hideMark/>
          </w:tcPr>
          <w:p w14:paraId="3002190D" w14:textId="5105FB4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1,512</w:t>
            </w:r>
          </w:p>
        </w:tc>
      </w:tr>
      <w:tr w:rsidR="00861244" w:rsidRPr="00E47FB2" w14:paraId="0437068E"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02A0D422" w14:textId="76B36804"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Vainita china</w:t>
            </w:r>
          </w:p>
        </w:tc>
        <w:tc>
          <w:tcPr>
            <w:tcW w:w="997" w:type="dxa"/>
            <w:tcBorders>
              <w:top w:val="nil"/>
              <w:left w:val="nil"/>
              <w:bottom w:val="single" w:sz="4" w:space="0" w:color="auto"/>
              <w:right w:val="single" w:sz="4" w:space="0" w:color="auto"/>
            </w:tcBorders>
            <w:shd w:val="clear" w:color="000000" w:fill="FFFFFF"/>
            <w:noWrap/>
            <w:vAlign w:val="bottom"/>
            <w:hideMark/>
          </w:tcPr>
          <w:p w14:paraId="6EF6C87B" w14:textId="521EF87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69</w:t>
            </w:r>
          </w:p>
        </w:tc>
        <w:tc>
          <w:tcPr>
            <w:tcW w:w="997" w:type="dxa"/>
            <w:tcBorders>
              <w:top w:val="nil"/>
              <w:left w:val="nil"/>
              <w:bottom w:val="single" w:sz="4" w:space="0" w:color="auto"/>
              <w:right w:val="single" w:sz="4" w:space="0" w:color="auto"/>
            </w:tcBorders>
            <w:shd w:val="clear" w:color="000000" w:fill="FFFFFF"/>
            <w:noWrap/>
            <w:vAlign w:val="bottom"/>
            <w:hideMark/>
          </w:tcPr>
          <w:p w14:paraId="0C76165E" w14:textId="662FA5D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656</w:t>
            </w:r>
          </w:p>
        </w:tc>
        <w:tc>
          <w:tcPr>
            <w:tcW w:w="997" w:type="dxa"/>
            <w:tcBorders>
              <w:top w:val="nil"/>
              <w:left w:val="nil"/>
              <w:bottom w:val="single" w:sz="4" w:space="0" w:color="auto"/>
              <w:right w:val="single" w:sz="4" w:space="0" w:color="auto"/>
            </w:tcBorders>
            <w:shd w:val="clear" w:color="000000" w:fill="FFFFFF"/>
            <w:noWrap/>
            <w:vAlign w:val="bottom"/>
            <w:hideMark/>
          </w:tcPr>
          <w:p w14:paraId="2944CC1F" w14:textId="1AD76FD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120</w:t>
            </w:r>
          </w:p>
        </w:tc>
        <w:tc>
          <w:tcPr>
            <w:tcW w:w="996" w:type="dxa"/>
            <w:tcBorders>
              <w:top w:val="nil"/>
              <w:left w:val="nil"/>
              <w:bottom w:val="single" w:sz="4" w:space="0" w:color="auto"/>
              <w:right w:val="single" w:sz="4" w:space="0" w:color="auto"/>
            </w:tcBorders>
            <w:shd w:val="clear" w:color="000000" w:fill="FFFFFF"/>
            <w:noWrap/>
            <w:vAlign w:val="bottom"/>
            <w:hideMark/>
          </w:tcPr>
          <w:p w14:paraId="4F578F09" w14:textId="17EB1AB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258</w:t>
            </w:r>
          </w:p>
        </w:tc>
        <w:tc>
          <w:tcPr>
            <w:tcW w:w="996" w:type="dxa"/>
            <w:tcBorders>
              <w:top w:val="nil"/>
              <w:left w:val="nil"/>
              <w:bottom w:val="single" w:sz="4" w:space="0" w:color="auto"/>
              <w:right w:val="single" w:sz="4" w:space="0" w:color="auto"/>
            </w:tcBorders>
            <w:shd w:val="clear" w:color="000000" w:fill="FFFFFF"/>
            <w:noWrap/>
            <w:vAlign w:val="bottom"/>
            <w:hideMark/>
          </w:tcPr>
          <w:p w14:paraId="6D173AF0" w14:textId="48CD374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102</w:t>
            </w:r>
          </w:p>
        </w:tc>
        <w:tc>
          <w:tcPr>
            <w:tcW w:w="996" w:type="dxa"/>
            <w:tcBorders>
              <w:top w:val="nil"/>
              <w:left w:val="nil"/>
              <w:bottom w:val="single" w:sz="4" w:space="0" w:color="auto"/>
              <w:right w:val="single" w:sz="4" w:space="0" w:color="auto"/>
            </w:tcBorders>
            <w:shd w:val="clear" w:color="000000" w:fill="FFFFFF"/>
            <w:noWrap/>
            <w:vAlign w:val="bottom"/>
            <w:hideMark/>
          </w:tcPr>
          <w:p w14:paraId="2F3CEDE4" w14:textId="202DD09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301</w:t>
            </w:r>
          </w:p>
        </w:tc>
        <w:tc>
          <w:tcPr>
            <w:tcW w:w="996" w:type="dxa"/>
            <w:tcBorders>
              <w:top w:val="nil"/>
              <w:left w:val="nil"/>
              <w:bottom w:val="single" w:sz="4" w:space="0" w:color="auto"/>
              <w:right w:val="single" w:sz="4" w:space="0" w:color="auto"/>
            </w:tcBorders>
            <w:shd w:val="clear" w:color="000000" w:fill="FFFFFF"/>
            <w:noWrap/>
            <w:vAlign w:val="bottom"/>
            <w:hideMark/>
          </w:tcPr>
          <w:p w14:paraId="4F7F2276" w14:textId="0B0C747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201</w:t>
            </w:r>
          </w:p>
        </w:tc>
        <w:tc>
          <w:tcPr>
            <w:tcW w:w="1107" w:type="dxa"/>
            <w:tcBorders>
              <w:top w:val="nil"/>
              <w:left w:val="nil"/>
              <w:bottom w:val="single" w:sz="4" w:space="0" w:color="auto"/>
              <w:right w:val="single" w:sz="4" w:space="0" w:color="auto"/>
            </w:tcBorders>
            <w:shd w:val="clear" w:color="000000" w:fill="FFFFFF"/>
            <w:noWrap/>
            <w:vAlign w:val="bottom"/>
            <w:hideMark/>
          </w:tcPr>
          <w:p w14:paraId="5B59F284" w14:textId="0123CA3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159</w:t>
            </w:r>
          </w:p>
        </w:tc>
        <w:tc>
          <w:tcPr>
            <w:tcW w:w="996" w:type="dxa"/>
            <w:tcBorders>
              <w:top w:val="nil"/>
              <w:left w:val="nil"/>
              <w:bottom w:val="single" w:sz="4" w:space="0" w:color="auto"/>
              <w:right w:val="single" w:sz="4" w:space="0" w:color="auto"/>
            </w:tcBorders>
            <w:shd w:val="clear" w:color="000000" w:fill="FFFFFF"/>
            <w:noWrap/>
            <w:vAlign w:val="bottom"/>
            <w:hideMark/>
          </w:tcPr>
          <w:p w14:paraId="24B99024" w14:textId="6CF04B8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301</w:t>
            </w:r>
          </w:p>
        </w:tc>
        <w:tc>
          <w:tcPr>
            <w:tcW w:w="996" w:type="dxa"/>
            <w:tcBorders>
              <w:top w:val="nil"/>
              <w:left w:val="nil"/>
              <w:bottom w:val="single" w:sz="4" w:space="0" w:color="auto"/>
              <w:right w:val="single" w:sz="4" w:space="0" w:color="auto"/>
            </w:tcBorders>
            <w:shd w:val="clear" w:color="000000" w:fill="FFFFFF"/>
            <w:noWrap/>
            <w:vAlign w:val="bottom"/>
            <w:hideMark/>
          </w:tcPr>
          <w:p w14:paraId="7DDB74EA" w14:textId="2767C2A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325</w:t>
            </w:r>
          </w:p>
        </w:tc>
        <w:tc>
          <w:tcPr>
            <w:tcW w:w="1127" w:type="dxa"/>
            <w:tcBorders>
              <w:top w:val="nil"/>
              <w:left w:val="nil"/>
              <w:bottom w:val="single" w:sz="4" w:space="0" w:color="auto"/>
              <w:right w:val="single" w:sz="4" w:space="0" w:color="auto"/>
            </w:tcBorders>
            <w:shd w:val="clear" w:color="000000" w:fill="FFFFFF"/>
            <w:noWrap/>
            <w:vAlign w:val="bottom"/>
            <w:hideMark/>
          </w:tcPr>
          <w:p w14:paraId="67212BEB" w14:textId="53B0AAB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222</w:t>
            </w:r>
          </w:p>
        </w:tc>
        <w:tc>
          <w:tcPr>
            <w:tcW w:w="996" w:type="dxa"/>
            <w:tcBorders>
              <w:top w:val="nil"/>
              <w:left w:val="nil"/>
              <w:bottom w:val="single" w:sz="4" w:space="0" w:color="auto"/>
              <w:right w:val="single" w:sz="4" w:space="0" w:color="auto"/>
            </w:tcBorders>
            <w:shd w:val="clear" w:color="000000" w:fill="FFFFFF"/>
            <w:noWrap/>
            <w:vAlign w:val="bottom"/>
            <w:hideMark/>
          </w:tcPr>
          <w:p w14:paraId="7E9EBA66" w14:textId="55FAE4F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224</w:t>
            </w:r>
          </w:p>
        </w:tc>
        <w:tc>
          <w:tcPr>
            <w:tcW w:w="1096" w:type="dxa"/>
            <w:tcBorders>
              <w:top w:val="nil"/>
              <w:left w:val="nil"/>
              <w:bottom w:val="single" w:sz="4" w:space="0" w:color="auto"/>
              <w:right w:val="single" w:sz="8" w:space="0" w:color="auto"/>
            </w:tcBorders>
            <w:shd w:val="clear" w:color="000000" w:fill="FFFFFF"/>
            <w:noWrap/>
            <w:vAlign w:val="bottom"/>
            <w:hideMark/>
          </w:tcPr>
          <w:p w14:paraId="2A61C7B4" w14:textId="2399B17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2,938</w:t>
            </w:r>
          </w:p>
        </w:tc>
      </w:tr>
      <w:tr w:rsidR="00861244" w:rsidRPr="00E47FB2" w14:paraId="736AADCD"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4E0337F9"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Apio</w:t>
            </w:r>
          </w:p>
        </w:tc>
        <w:tc>
          <w:tcPr>
            <w:tcW w:w="997" w:type="dxa"/>
            <w:tcBorders>
              <w:top w:val="nil"/>
              <w:left w:val="nil"/>
              <w:bottom w:val="single" w:sz="4" w:space="0" w:color="auto"/>
              <w:right w:val="single" w:sz="4" w:space="0" w:color="auto"/>
            </w:tcBorders>
            <w:shd w:val="clear" w:color="000000" w:fill="FFFFFF"/>
            <w:noWrap/>
            <w:vAlign w:val="bottom"/>
            <w:hideMark/>
          </w:tcPr>
          <w:p w14:paraId="6C8722BF" w14:textId="2813863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235</w:t>
            </w:r>
          </w:p>
        </w:tc>
        <w:tc>
          <w:tcPr>
            <w:tcW w:w="997" w:type="dxa"/>
            <w:tcBorders>
              <w:top w:val="nil"/>
              <w:left w:val="nil"/>
              <w:bottom w:val="single" w:sz="4" w:space="0" w:color="auto"/>
              <w:right w:val="single" w:sz="4" w:space="0" w:color="auto"/>
            </w:tcBorders>
            <w:shd w:val="clear" w:color="000000" w:fill="FFFFFF"/>
            <w:noWrap/>
            <w:vAlign w:val="bottom"/>
            <w:hideMark/>
          </w:tcPr>
          <w:p w14:paraId="174CEAAE" w14:textId="5192483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253</w:t>
            </w:r>
          </w:p>
        </w:tc>
        <w:tc>
          <w:tcPr>
            <w:tcW w:w="997" w:type="dxa"/>
            <w:tcBorders>
              <w:top w:val="nil"/>
              <w:left w:val="nil"/>
              <w:bottom w:val="single" w:sz="4" w:space="0" w:color="auto"/>
              <w:right w:val="single" w:sz="4" w:space="0" w:color="auto"/>
            </w:tcBorders>
            <w:shd w:val="clear" w:color="000000" w:fill="FFFFFF"/>
            <w:noWrap/>
            <w:vAlign w:val="bottom"/>
            <w:hideMark/>
          </w:tcPr>
          <w:p w14:paraId="7CD3E143" w14:textId="71EFCE2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189</w:t>
            </w:r>
          </w:p>
        </w:tc>
        <w:tc>
          <w:tcPr>
            <w:tcW w:w="996" w:type="dxa"/>
            <w:tcBorders>
              <w:top w:val="nil"/>
              <w:left w:val="nil"/>
              <w:bottom w:val="single" w:sz="4" w:space="0" w:color="auto"/>
              <w:right w:val="single" w:sz="4" w:space="0" w:color="auto"/>
            </w:tcBorders>
            <w:shd w:val="clear" w:color="000000" w:fill="FFFFFF"/>
            <w:noWrap/>
            <w:vAlign w:val="bottom"/>
            <w:hideMark/>
          </w:tcPr>
          <w:p w14:paraId="6775AF30" w14:textId="0780AE7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319</w:t>
            </w:r>
          </w:p>
        </w:tc>
        <w:tc>
          <w:tcPr>
            <w:tcW w:w="996" w:type="dxa"/>
            <w:tcBorders>
              <w:top w:val="nil"/>
              <w:left w:val="nil"/>
              <w:bottom w:val="single" w:sz="4" w:space="0" w:color="auto"/>
              <w:right w:val="single" w:sz="4" w:space="0" w:color="auto"/>
            </w:tcBorders>
            <w:shd w:val="clear" w:color="000000" w:fill="FFFFFF"/>
            <w:noWrap/>
            <w:vAlign w:val="bottom"/>
            <w:hideMark/>
          </w:tcPr>
          <w:p w14:paraId="28CEBB5A" w14:textId="3C2338E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278</w:t>
            </w:r>
          </w:p>
        </w:tc>
        <w:tc>
          <w:tcPr>
            <w:tcW w:w="996" w:type="dxa"/>
            <w:tcBorders>
              <w:top w:val="nil"/>
              <w:left w:val="nil"/>
              <w:bottom w:val="single" w:sz="4" w:space="0" w:color="auto"/>
              <w:right w:val="single" w:sz="4" w:space="0" w:color="auto"/>
            </w:tcBorders>
            <w:shd w:val="clear" w:color="000000" w:fill="FFFFFF"/>
            <w:noWrap/>
            <w:vAlign w:val="bottom"/>
            <w:hideMark/>
          </w:tcPr>
          <w:p w14:paraId="1DF6294A" w14:textId="72BE413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325</w:t>
            </w:r>
          </w:p>
        </w:tc>
        <w:tc>
          <w:tcPr>
            <w:tcW w:w="996" w:type="dxa"/>
            <w:tcBorders>
              <w:top w:val="nil"/>
              <w:left w:val="nil"/>
              <w:bottom w:val="single" w:sz="4" w:space="0" w:color="auto"/>
              <w:right w:val="single" w:sz="4" w:space="0" w:color="auto"/>
            </w:tcBorders>
            <w:shd w:val="clear" w:color="000000" w:fill="FFFFFF"/>
            <w:noWrap/>
            <w:vAlign w:val="bottom"/>
            <w:hideMark/>
          </w:tcPr>
          <w:p w14:paraId="079ABB33" w14:textId="3349CB7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383</w:t>
            </w:r>
          </w:p>
        </w:tc>
        <w:tc>
          <w:tcPr>
            <w:tcW w:w="1107" w:type="dxa"/>
            <w:tcBorders>
              <w:top w:val="nil"/>
              <w:left w:val="nil"/>
              <w:bottom w:val="single" w:sz="4" w:space="0" w:color="auto"/>
              <w:right w:val="single" w:sz="4" w:space="0" w:color="auto"/>
            </w:tcBorders>
            <w:shd w:val="clear" w:color="000000" w:fill="FFFFFF"/>
            <w:noWrap/>
            <w:vAlign w:val="bottom"/>
            <w:hideMark/>
          </w:tcPr>
          <w:p w14:paraId="560C59A9" w14:textId="2C4E20D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358</w:t>
            </w:r>
          </w:p>
        </w:tc>
        <w:tc>
          <w:tcPr>
            <w:tcW w:w="996" w:type="dxa"/>
            <w:tcBorders>
              <w:top w:val="nil"/>
              <w:left w:val="nil"/>
              <w:bottom w:val="single" w:sz="4" w:space="0" w:color="auto"/>
              <w:right w:val="single" w:sz="4" w:space="0" w:color="auto"/>
            </w:tcBorders>
            <w:shd w:val="clear" w:color="000000" w:fill="FFFFFF"/>
            <w:noWrap/>
            <w:vAlign w:val="bottom"/>
            <w:hideMark/>
          </w:tcPr>
          <w:p w14:paraId="32D882D6" w14:textId="00FC4EE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452</w:t>
            </w:r>
          </w:p>
        </w:tc>
        <w:tc>
          <w:tcPr>
            <w:tcW w:w="996" w:type="dxa"/>
            <w:tcBorders>
              <w:top w:val="nil"/>
              <w:left w:val="nil"/>
              <w:bottom w:val="single" w:sz="4" w:space="0" w:color="auto"/>
              <w:right w:val="single" w:sz="4" w:space="0" w:color="auto"/>
            </w:tcBorders>
            <w:shd w:val="clear" w:color="000000" w:fill="FFFFFF"/>
            <w:noWrap/>
            <w:vAlign w:val="bottom"/>
            <w:hideMark/>
          </w:tcPr>
          <w:p w14:paraId="3720086F" w14:textId="17E0021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358</w:t>
            </w:r>
          </w:p>
        </w:tc>
        <w:tc>
          <w:tcPr>
            <w:tcW w:w="1127" w:type="dxa"/>
            <w:tcBorders>
              <w:top w:val="nil"/>
              <w:left w:val="nil"/>
              <w:bottom w:val="single" w:sz="4" w:space="0" w:color="auto"/>
              <w:right w:val="single" w:sz="4" w:space="0" w:color="auto"/>
            </w:tcBorders>
            <w:shd w:val="clear" w:color="000000" w:fill="FFFFFF"/>
            <w:noWrap/>
            <w:vAlign w:val="bottom"/>
            <w:hideMark/>
          </w:tcPr>
          <w:p w14:paraId="62F0691B" w14:textId="5525622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364</w:t>
            </w:r>
          </w:p>
        </w:tc>
        <w:tc>
          <w:tcPr>
            <w:tcW w:w="996" w:type="dxa"/>
            <w:tcBorders>
              <w:top w:val="nil"/>
              <w:left w:val="nil"/>
              <w:bottom w:val="single" w:sz="4" w:space="0" w:color="auto"/>
              <w:right w:val="single" w:sz="4" w:space="0" w:color="auto"/>
            </w:tcBorders>
            <w:shd w:val="clear" w:color="000000" w:fill="FFFFFF"/>
            <w:noWrap/>
            <w:vAlign w:val="bottom"/>
            <w:hideMark/>
          </w:tcPr>
          <w:p w14:paraId="3BFD2865" w14:textId="3E19379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263</w:t>
            </w:r>
          </w:p>
        </w:tc>
        <w:tc>
          <w:tcPr>
            <w:tcW w:w="1096" w:type="dxa"/>
            <w:tcBorders>
              <w:top w:val="nil"/>
              <w:left w:val="nil"/>
              <w:bottom w:val="single" w:sz="4" w:space="0" w:color="auto"/>
              <w:right w:val="single" w:sz="8" w:space="0" w:color="auto"/>
            </w:tcBorders>
            <w:shd w:val="clear" w:color="000000" w:fill="FFFFFF"/>
            <w:noWrap/>
            <w:vAlign w:val="bottom"/>
            <w:hideMark/>
          </w:tcPr>
          <w:p w14:paraId="7A0380A2" w14:textId="1DA6035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3,777</w:t>
            </w:r>
          </w:p>
        </w:tc>
      </w:tr>
      <w:tr w:rsidR="00861244" w:rsidRPr="00E47FB2" w14:paraId="6F6CC15B"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5E9A817D"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Parvol</w:t>
            </w:r>
          </w:p>
        </w:tc>
        <w:tc>
          <w:tcPr>
            <w:tcW w:w="997" w:type="dxa"/>
            <w:tcBorders>
              <w:top w:val="nil"/>
              <w:left w:val="nil"/>
              <w:bottom w:val="single" w:sz="4" w:space="0" w:color="auto"/>
              <w:right w:val="single" w:sz="4" w:space="0" w:color="auto"/>
            </w:tcBorders>
            <w:shd w:val="clear" w:color="000000" w:fill="FFFFFF"/>
            <w:noWrap/>
            <w:vAlign w:val="bottom"/>
            <w:hideMark/>
          </w:tcPr>
          <w:p w14:paraId="68668787" w14:textId="7F59CD6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65</w:t>
            </w:r>
          </w:p>
        </w:tc>
        <w:tc>
          <w:tcPr>
            <w:tcW w:w="997" w:type="dxa"/>
            <w:tcBorders>
              <w:top w:val="nil"/>
              <w:left w:val="nil"/>
              <w:bottom w:val="single" w:sz="4" w:space="0" w:color="auto"/>
              <w:right w:val="single" w:sz="4" w:space="0" w:color="auto"/>
            </w:tcBorders>
            <w:shd w:val="clear" w:color="000000" w:fill="FFFFFF"/>
            <w:noWrap/>
            <w:vAlign w:val="bottom"/>
            <w:hideMark/>
          </w:tcPr>
          <w:p w14:paraId="406A2E32" w14:textId="00542A1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50</w:t>
            </w:r>
          </w:p>
        </w:tc>
        <w:tc>
          <w:tcPr>
            <w:tcW w:w="997" w:type="dxa"/>
            <w:tcBorders>
              <w:top w:val="nil"/>
              <w:left w:val="nil"/>
              <w:bottom w:val="single" w:sz="4" w:space="0" w:color="auto"/>
              <w:right w:val="single" w:sz="4" w:space="0" w:color="auto"/>
            </w:tcBorders>
            <w:shd w:val="clear" w:color="000000" w:fill="FFFFFF"/>
            <w:noWrap/>
            <w:vAlign w:val="bottom"/>
            <w:hideMark/>
          </w:tcPr>
          <w:p w14:paraId="447AFA12" w14:textId="090ADF5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28</w:t>
            </w:r>
          </w:p>
        </w:tc>
        <w:tc>
          <w:tcPr>
            <w:tcW w:w="996" w:type="dxa"/>
            <w:tcBorders>
              <w:top w:val="nil"/>
              <w:left w:val="nil"/>
              <w:bottom w:val="single" w:sz="4" w:space="0" w:color="auto"/>
              <w:right w:val="single" w:sz="4" w:space="0" w:color="auto"/>
            </w:tcBorders>
            <w:shd w:val="clear" w:color="000000" w:fill="FFFFFF"/>
            <w:noWrap/>
            <w:vAlign w:val="bottom"/>
            <w:hideMark/>
          </w:tcPr>
          <w:p w14:paraId="3CD87070" w14:textId="5728191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565E41BE" w14:textId="62CF49B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790CF3AE" w14:textId="3240F11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w:t>
            </w:r>
          </w:p>
        </w:tc>
        <w:tc>
          <w:tcPr>
            <w:tcW w:w="996" w:type="dxa"/>
            <w:tcBorders>
              <w:top w:val="nil"/>
              <w:left w:val="nil"/>
              <w:bottom w:val="single" w:sz="4" w:space="0" w:color="auto"/>
              <w:right w:val="single" w:sz="4" w:space="0" w:color="auto"/>
            </w:tcBorders>
            <w:shd w:val="clear" w:color="000000" w:fill="FFFFFF"/>
            <w:noWrap/>
            <w:vAlign w:val="bottom"/>
            <w:hideMark/>
          </w:tcPr>
          <w:p w14:paraId="00ED5C5E" w14:textId="1417C37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125</w:t>
            </w:r>
          </w:p>
        </w:tc>
        <w:tc>
          <w:tcPr>
            <w:tcW w:w="1107" w:type="dxa"/>
            <w:tcBorders>
              <w:top w:val="nil"/>
              <w:left w:val="nil"/>
              <w:bottom w:val="single" w:sz="4" w:space="0" w:color="auto"/>
              <w:right w:val="single" w:sz="4" w:space="0" w:color="auto"/>
            </w:tcBorders>
            <w:shd w:val="clear" w:color="000000" w:fill="FFFFFF"/>
            <w:noWrap/>
            <w:vAlign w:val="bottom"/>
            <w:hideMark/>
          </w:tcPr>
          <w:p w14:paraId="2CFD22E5" w14:textId="5920696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201</w:t>
            </w:r>
          </w:p>
        </w:tc>
        <w:tc>
          <w:tcPr>
            <w:tcW w:w="996" w:type="dxa"/>
            <w:tcBorders>
              <w:top w:val="nil"/>
              <w:left w:val="nil"/>
              <w:bottom w:val="single" w:sz="4" w:space="0" w:color="auto"/>
              <w:right w:val="single" w:sz="4" w:space="0" w:color="auto"/>
            </w:tcBorders>
            <w:shd w:val="clear" w:color="000000" w:fill="FFFFFF"/>
            <w:noWrap/>
            <w:vAlign w:val="bottom"/>
            <w:hideMark/>
          </w:tcPr>
          <w:p w14:paraId="06306D22" w14:textId="56D41C4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79</w:t>
            </w:r>
          </w:p>
        </w:tc>
        <w:tc>
          <w:tcPr>
            <w:tcW w:w="996" w:type="dxa"/>
            <w:tcBorders>
              <w:top w:val="nil"/>
              <w:left w:val="nil"/>
              <w:bottom w:val="single" w:sz="4" w:space="0" w:color="auto"/>
              <w:right w:val="single" w:sz="4" w:space="0" w:color="auto"/>
            </w:tcBorders>
            <w:shd w:val="clear" w:color="000000" w:fill="FFFFFF"/>
            <w:noWrap/>
            <w:vAlign w:val="bottom"/>
            <w:hideMark/>
          </w:tcPr>
          <w:p w14:paraId="0AD76A57" w14:textId="44DCFDE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132</w:t>
            </w:r>
          </w:p>
        </w:tc>
        <w:tc>
          <w:tcPr>
            <w:tcW w:w="1127" w:type="dxa"/>
            <w:tcBorders>
              <w:top w:val="nil"/>
              <w:left w:val="nil"/>
              <w:bottom w:val="single" w:sz="4" w:space="0" w:color="auto"/>
              <w:right w:val="single" w:sz="4" w:space="0" w:color="auto"/>
            </w:tcBorders>
            <w:shd w:val="clear" w:color="000000" w:fill="FFFFFF"/>
            <w:noWrap/>
            <w:vAlign w:val="bottom"/>
            <w:hideMark/>
          </w:tcPr>
          <w:p w14:paraId="05173130" w14:textId="0E057DE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60</w:t>
            </w:r>
          </w:p>
        </w:tc>
        <w:tc>
          <w:tcPr>
            <w:tcW w:w="996" w:type="dxa"/>
            <w:tcBorders>
              <w:top w:val="nil"/>
              <w:left w:val="nil"/>
              <w:bottom w:val="single" w:sz="4" w:space="0" w:color="auto"/>
              <w:right w:val="single" w:sz="4" w:space="0" w:color="auto"/>
            </w:tcBorders>
            <w:shd w:val="clear" w:color="000000" w:fill="FFFFFF"/>
            <w:noWrap/>
            <w:vAlign w:val="bottom"/>
            <w:hideMark/>
          </w:tcPr>
          <w:p w14:paraId="65C6A24A" w14:textId="6232E1D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62</w:t>
            </w:r>
          </w:p>
        </w:tc>
        <w:tc>
          <w:tcPr>
            <w:tcW w:w="1096" w:type="dxa"/>
            <w:tcBorders>
              <w:top w:val="nil"/>
              <w:left w:val="nil"/>
              <w:bottom w:val="single" w:sz="4" w:space="0" w:color="auto"/>
              <w:right w:val="single" w:sz="8" w:space="0" w:color="auto"/>
            </w:tcBorders>
            <w:shd w:val="clear" w:color="000000" w:fill="FFFFFF"/>
            <w:noWrap/>
            <w:vAlign w:val="bottom"/>
            <w:hideMark/>
          </w:tcPr>
          <w:p w14:paraId="104CDAA6" w14:textId="52E4497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827</w:t>
            </w:r>
          </w:p>
        </w:tc>
      </w:tr>
      <w:tr w:rsidR="00861244" w:rsidRPr="00E47FB2" w14:paraId="581A208A"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3A42C2F6"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Oregano</w:t>
            </w:r>
          </w:p>
        </w:tc>
        <w:tc>
          <w:tcPr>
            <w:tcW w:w="997" w:type="dxa"/>
            <w:tcBorders>
              <w:top w:val="nil"/>
              <w:left w:val="nil"/>
              <w:bottom w:val="single" w:sz="4" w:space="0" w:color="auto"/>
              <w:right w:val="single" w:sz="4" w:space="0" w:color="auto"/>
            </w:tcBorders>
            <w:shd w:val="clear" w:color="000000" w:fill="FFFFFF"/>
            <w:noWrap/>
            <w:vAlign w:val="bottom"/>
            <w:hideMark/>
          </w:tcPr>
          <w:p w14:paraId="2E3E176F" w14:textId="40CC218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23</w:t>
            </w:r>
          </w:p>
        </w:tc>
        <w:tc>
          <w:tcPr>
            <w:tcW w:w="997" w:type="dxa"/>
            <w:tcBorders>
              <w:top w:val="nil"/>
              <w:left w:val="nil"/>
              <w:bottom w:val="single" w:sz="4" w:space="0" w:color="auto"/>
              <w:right w:val="single" w:sz="4" w:space="0" w:color="auto"/>
            </w:tcBorders>
            <w:shd w:val="clear" w:color="000000" w:fill="FFFFFF"/>
            <w:noWrap/>
            <w:vAlign w:val="bottom"/>
            <w:hideMark/>
          </w:tcPr>
          <w:p w14:paraId="1F15BC6B" w14:textId="6C3ED8E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312</w:t>
            </w:r>
          </w:p>
        </w:tc>
        <w:tc>
          <w:tcPr>
            <w:tcW w:w="997" w:type="dxa"/>
            <w:tcBorders>
              <w:top w:val="nil"/>
              <w:left w:val="nil"/>
              <w:bottom w:val="single" w:sz="4" w:space="0" w:color="auto"/>
              <w:right w:val="single" w:sz="4" w:space="0" w:color="auto"/>
            </w:tcBorders>
            <w:shd w:val="clear" w:color="000000" w:fill="FFFFFF"/>
            <w:noWrap/>
            <w:vAlign w:val="bottom"/>
            <w:hideMark/>
          </w:tcPr>
          <w:p w14:paraId="1FEA061A" w14:textId="6EAB4CC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135</w:t>
            </w:r>
          </w:p>
        </w:tc>
        <w:tc>
          <w:tcPr>
            <w:tcW w:w="996" w:type="dxa"/>
            <w:tcBorders>
              <w:top w:val="nil"/>
              <w:left w:val="nil"/>
              <w:bottom w:val="single" w:sz="4" w:space="0" w:color="auto"/>
              <w:right w:val="single" w:sz="4" w:space="0" w:color="auto"/>
            </w:tcBorders>
            <w:shd w:val="clear" w:color="000000" w:fill="FFFFFF"/>
            <w:noWrap/>
            <w:vAlign w:val="bottom"/>
            <w:hideMark/>
          </w:tcPr>
          <w:p w14:paraId="6FF8D3E2" w14:textId="7036688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284</w:t>
            </w:r>
          </w:p>
        </w:tc>
        <w:tc>
          <w:tcPr>
            <w:tcW w:w="996" w:type="dxa"/>
            <w:tcBorders>
              <w:top w:val="nil"/>
              <w:left w:val="nil"/>
              <w:bottom w:val="single" w:sz="4" w:space="0" w:color="auto"/>
              <w:right w:val="single" w:sz="4" w:space="0" w:color="auto"/>
            </w:tcBorders>
            <w:shd w:val="clear" w:color="000000" w:fill="FFFFFF"/>
            <w:noWrap/>
            <w:vAlign w:val="bottom"/>
            <w:hideMark/>
          </w:tcPr>
          <w:p w14:paraId="37E56709" w14:textId="6439744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185</w:t>
            </w:r>
          </w:p>
        </w:tc>
        <w:tc>
          <w:tcPr>
            <w:tcW w:w="996" w:type="dxa"/>
            <w:tcBorders>
              <w:top w:val="nil"/>
              <w:left w:val="nil"/>
              <w:bottom w:val="single" w:sz="4" w:space="0" w:color="auto"/>
              <w:right w:val="single" w:sz="4" w:space="0" w:color="auto"/>
            </w:tcBorders>
            <w:shd w:val="clear" w:color="000000" w:fill="FFFFFF"/>
            <w:noWrap/>
            <w:vAlign w:val="bottom"/>
            <w:hideMark/>
          </w:tcPr>
          <w:p w14:paraId="76AE8754" w14:textId="446F8A0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282</w:t>
            </w:r>
          </w:p>
        </w:tc>
        <w:tc>
          <w:tcPr>
            <w:tcW w:w="996" w:type="dxa"/>
            <w:tcBorders>
              <w:top w:val="nil"/>
              <w:left w:val="nil"/>
              <w:bottom w:val="single" w:sz="4" w:space="0" w:color="auto"/>
              <w:right w:val="single" w:sz="4" w:space="0" w:color="auto"/>
            </w:tcBorders>
            <w:shd w:val="clear" w:color="000000" w:fill="FFFFFF"/>
            <w:noWrap/>
            <w:vAlign w:val="bottom"/>
            <w:hideMark/>
          </w:tcPr>
          <w:p w14:paraId="208A9129" w14:textId="7397288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254</w:t>
            </w:r>
          </w:p>
        </w:tc>
        <w:tc>
          <w:tcPr>
            <w:tcW w:w="1107" w:type="dxa"/>
            <w:tcBorders>
              <w:top w:val="nil"/>
              <w:left w:val="nil"/>
              <w:bottom w:val="single" w:sz="4" w:space="0" w:color="auto"/>
              <w:right w:val="single" w:sz="4" w:space="0" w:color="auto"/>
            </w:tcBorders>
            <w:shd w:val="clear" w:color="000000" w:fill="FFFFFF"/>
            <w:noWrap/>
            <w:vAlign w:val="bottom"/>
            <w:hideMark/>
          </w:tcPr>
          <w:p w14:paraId="7EEF9E3E" w14:textId="4558855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201</w:t>
            </w:r>
          </w:p>
        </w:tc>
        <w:tc>
          <w:tcPr>
            <w:tcW w:w="996" w:type="dxa"/>
            <w:tcBorders>
              <w:top w:val="nil"/>
              <w:left w:val="nil"/>
              <w:bottom w:val="single" w:sz="4" w:space="0" w:color="auto"/>
              <w:right w:val="single" w:sz="4" w:space="0" w:color="auto"/>
            </w:tcBorders>
            <w:shd w:val="clear" w:color="000000" w:fill="FFFFFF"/>
            <w:noWrap/>
            <w:vAlign w:val="bottom"/>
            <w:hideMark/>
          </w:tcPr>
          <w:p w14:paraId="4996B43F" w14:textId="41C9304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401</w:t>
            </w:r>
          </w:p>
        </w:tc>
        <w:tc>
          <w:tcPr>
            <w:tcW w:w="996" w:type="dxa"/>
            <w:tcBorders>
              <w:top w:val="nil"/>
              <w:left w:val="nil"/>
              <w:bottom w:val="single" w:sz="4" w:space="0" w:color="auto"/>
              <w:right w:val="single" w:sz="4" w:space="0" w:color="auto"/>
            </w:tcBorders>
            <w:shd w:val="clear" w:color="000000" w:fill="FFFFFF"/>
            <w:noWrap/>
            <w:vAlign w:val="bottom"/>
            <w:hideMark/>
          </w:tcPr>
          <w:p w14:paraId="358DBB51" w14:textId="1B866C7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159</w:t>
            </w:r>
          </w:p>
        </w:tc>
        <w:tc>
          <w:tcPr>
            <w:tcW w:w="1127" w:type="dxa"/>
            <w:tcBorders>
              <w:top w:val="nil"/>
              <w:left w:val="nil"/>
              <w:bottom w:val="single" w:sz="4" w:space="0" w:color="auto"/>
              <w:right w:val="single" w:sz="4" w:space="0" w:color="auto"/>
            </w:tcBorders>
            <w:shd w:val="clear" w:color="000000" w:fill="FFFFFF"/>
            <w:noWrap/>
            <w:vAlign w:val="bottom"/>
            <w:hideMark/>
          </w:tcPr>
          <w:p w14:paraId="1957D185" w14:textId="05ABFA6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198</w:t>
            </w:r>
          </w:p>
        </w:tc>
        <w:tc>
          <w:tcPr>
            <w:tcW w:w="996" w:type="dxa"/>
            <w:tcBorders>
              <w:top w:val="nil"/>
              <w:left w:val="nil"/>
              <w:bottom w:val="single" w:sz="4" w:space="0" w:color="auto"/>
              <w:right w:val="single" w:sz="4" w:space="0" w:color="auto"/>
            </w:tcBorders>
            <w:shd w:val="clear" w:color="000000" w:fill="FFFFFF"/>
            <w:noWrap/>
            <w:vAlign w:val="bottom"/>
            <w:hideMark/>
          </w:tcPr>
          <w:p w14:paraId="590D8C8B" w14:textId="3928CFE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w:t>
            </w:r>
          </w:p>
        </w:tc>
        <w:tc>
          <w:tcPr>
            <w:tcW w:w="1096" w:type="dxa"/>
            <w:tcBorders>
              <w:top w:val="nil"/>
              <w:left w:val="nil"/>
              <w:bottom w:val="single" w:sz="4" w:space="0" w:color="auto"/>
              <w:right w:val="single" w:sz="8" w:space="0" w:color="auto"/>
            </w:tcBorders>
            <w:shd w:val="clear" w:color="000000" w:fill="FFFFFF"/>
            <w:noWrap/>
            <w:vAlign w:val="bottom"/>
            <w:hideMark/>
          </w:tcPr>
          <w:p w14:paraId="77D5974B" w14:textId="24783C4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2,445</w:t>
            </w:r>
          </w:p>
        </w:tc>
      </w:tr>
      <w:tr w:rsidR="00861244" w:rsidRPr="00E47FB2" w14:paraId="3DB2F68F"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7D5F378E"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Bija</w:t>
            </w:r>
          </w:p>
        </w:tc>
        <w:tc>
          <w:tcPr>
            <w:tcW w:w="997" w:type="dxa"/>
            <w:tcBorders>
              <w:top w:val="nil"/>
              <w:left w:val="nil"/>
              <w:bottom w:val="single" w:sz="4" w:space="0" w:color="auto"/>
              <w:right w:val="single" w:sz="4" w:space="0" w:color="auto"/>
            </w:tcBorders>
            <w:shd w:val="clear" w:color="000000" w:fill="FFFFFF"/>
            <w:noWrap/>
            <w:vAlign w:val="bottom"/>
            <w:hideMark/>
          </w:tcPr>
          <w:p w14:paraId="48E3323B" w14:textId="0362A13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7" w:type="dxa"/>
            <w:tcBorders>
              <w:top w:val="nil"/>
              <w:left w:val="nil"/>
              <w:bottom w:val="single" w:sz="4" w:space="0" w:color="auto"/>
              <w:right w:val="single" w:sz="4" w:space="0" w:color="auto"/>
            </w:tcBorders>
            <w:shd w:val="clear" w:color="000000" w:fill="FFFFFF"/>
            <w:noWrap/>
            <w:vAlign w:val="bottom"/>
            <w:hideMark/>
          </w:tcPr>
          <w:p w14:paraId="4F0ACDC9" w14:textId="2407249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7" w:type="dxa"/>
            <w:tcBorders>
              <w:top w:val="nil"/>
              <w:left w:val="nil"/>
              <w:bottom w:val="single" w:sz="4" w:space="0" w:color="auto"/>
              <w:right w:val="single" w:sz="4" w:space="0" w:color="auto"/>
            </w:tcBorders>
            <w:shd w:val="clear" w:color="000000" w:fill="FFFFFF"/>
            <w:noWrap/>
            <w:vAlign w:val="bottom"/>
            <w:hideMark/>
          </w:tcPr>
          <w:p w14:paraId="6C857561" w14:textId="42DB4BD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56F4F084" w14:textId="10EBD81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0DBBCF8C" w14:textId="7EDD9E2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7915EE4B" w14:textId="541B88C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5963BB8A" w14:textId="11A1E30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1107" w:type="dxa"/>
            <w:tcBorders>
              <w:top w:val="nil"/>
              <w:left w:val="nil"/>
              <w:bottom w:val="single" w:sz="4" w:space="0" w:color="auto"/>
              <w:right w:val="single" w:sz="4" w:space="0" w:color="auto"/>
            </w:tcBorders>
            <w:shd w:val="clear" w:color="000000" w:fill="FFFFFF"/>
            <w:noWrap/>
            <w:vAlign w:val="bottom"/>
            <w:hideMark/>
          </w:tcPr>
          <w:p w14:paraId="621E868E" w14:textId="32BD324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481CE53B" w14:textId="6EAA1D9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1792D4A3" w14:textId="40C5CDF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1127" w:type="dxa"/>
            <w:tcBorders>
              <w:top w:val="nil"/>
              <w:left w:val="nil"/>
              <w:bottom w:val="single" w:sz="4" w:space="0" w:color="auto"/>
              <w:right w:val="single" w:sz="4" w:space="0" w:color="auto"/>
            </w:tcBorders>
            <w:shd w:val="clear" w:color="000000" w:fill="FFFFFF"/>
            <w:noWrap/>
            <w:vAlign w:val="bottom"/>
            <w:hideMark/>
          </w:tcPr>
          <w:p w14:paraId="76F440A3" w14:textId="63F5AA0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13609BBD" w14:textId="5C4FC75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1096" w:type="dxa"/>
            <w:tcBorders>
              <w:top w:val="nil"/>
              <w:left w:val="nil"/>
              <w:bottom w:val="single" w:sz="4" w:space="0" w:color="auto"/>
              <w:right w:val="single" w:sz="8" w:space="0" w:color="auto"/>
            </w:tcBorders>
            <w:shd w:val="clear" w:color="000000" w:fill="FFFFFF"/>
            <w:noWrap/>
            <w:vAlign w:val="bottom"/>
            <w:hideMark/>
          </w:tcPr>
          <w:p w14:paraId="7C435223" w14:textId="19D01B5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r>
      <w:tr w:rsidR="00861244" w:rsidRPr="00E47FB2" w14:paraId="1BA4994A"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15A9B0E1"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Aguacate</w:t>
            </w:r>
          </w:p>
        </w:tc>
        <w:tc>
          <w:tcPr>
            <w:tcW w:w="997" w:type="dxa"/>
            <w:tcBorders>
              <w:top w:val="nil"/>
              <w:left w:val="nil"/>
              <w:bottom w:val="single" w:sz="4" w:space="0" w:color="auto"/>
              <w:right w:val="single" w:sz="4" w:space="0" w:color="auto"/>
            </w:tcBorders>
            <w:shd w:val="clear" w:color="000000" w:fill="FFFFFF"/>
            <w:noWrap/>
            <w:vAlign w:val="bottom"/>
            <w:hideMark/>
          </w:tcPr>
          <w:p w14:paraId="29F374EB" w14:textId="299C2DA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1,757</w:t>
            </w:r>
          </w:p>
        </w:tc>
        <w:tc>
          <w:tcPr>
            <w:tcW w:w="997" w:type="dxa"/>
            <w:tcBorders>
              <w:top w:val="nil"/>
              <w:left w:val="nil"/>
              <w:bottom w:val="single" w:sz="4" w:space="0" w:color="auto"/>
              <w:right w:val="single" w:sz="4" w:space="0" w:color="auto"/>
            </w:tcBorders>
            <w:shd w:val="clear" w:color="000000" w:fill="FFFFFF"/>
            <w:noWrap/>
            <w:vAlign w:val="bottom"/>
            <w:hideMark/>
          </w:tcPr>
          <w:p w14:paraId="7BD9124A" w14:textId="3A0B384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1,493</w:t>
            </w:r>
          </w:p>
        </w:tc>
        <w:tc>
          <w:tcPr>
            <w:tcW w:w="997" w:type="dxa"/>
            <w:tcBorders>
              <w:top w:val="nil"/>
              <w:left w:val="nil"/>
              <w:bottom w:val="single" w:sz="4" w:space="0" w:color="auto"/>
              <w:right w:val="single" w:sz="4" w:space="0" w:color="auto"/>
            </w:tcBorders>
            <w:shd w:val="clear" w:color="000000" w:fill="FFFFFF"/>
            <w:noWrap/>
            <w:vAlign w:val="bottom"/>
            <w:hideMark/>
          </w:tcPr>
          <w:p w14:paraId="519FA68E" w14:textId="7D5D6B9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1,339</w:t>
            </w:r>
          </w:p>
        </w:tc>
        <w:tc>
          <w:tcPr>
            <w:tcW w:w="996" w:type="dxa"/>
            <w:tcBorders>
              <w:top w:val="nil"/>
              <w:left w:val="nil"/>
              <w:bottom w:val="single" w:sz="4" w:space="0" w:color="auto"/>
              <w:right w:val="single" w:sz="4" w:space="0" w:color="auto"/>
            </w:tcBorders>
            <w:shd w:val="clear" w:color="000000" w:fill="FFFFFF"/>
            <w:noWrap/>
            <w:vAlign w:val="bottom"/>
            <w:hideMark/>
          </w:tcPr>
          <w:p w14:paraId="74C57138" w14:textId="24F57C4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4,489</w:t>
            </w:r>
          </w:p>
        </w:tc>
        <w:tc>
          <w:tcPr>
            <w:tcW w:w="996" w:type="dxa"/>
            <w:tcBorders>
              <w:top w:val="nil"/>
              <w:left w:val="nil"/>
              <w:bottom w:val="single" w:sz="4" w:space="0" w:color="auto"/>
              <w:right w:val="single" w:sz="4" w:space="0" w:color="auto"/>
            </w:tcBorders>
            <w:shd w:val="clear" w:color="000000" w:fill="FFFFFF"/>
            <w:noWrap/>
            <w:vAlign w:val="bottom"/>
            <w:hideMark/>
          </w:tcPr>
          <w:p w14:paraId="5595772A" w14:textId="1B8FDD0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3,421</w:t>
            </w:r>
          </w:p>
        </w:tc>
        <w:tc>
          <w:tcPr>
            <w:tcW w:w="996" w:type="dxa"/>
            <w:tcBorders>
              <w:top w:val="nil"/>
              <w:left w:val="nil"/>
              <w:bottom w:val="single" w:sz="4" w:space="0" w:color="auto"/>
              <w:right w:val="single" w:sz="4" w:space="0" w:color="auto"/>
            </w:tcBorders>
            <w:shd w:val="clear" w:color="000000" w:fill="FFFFFF"/>
            <w:noWrap/>
            <w:vAlign w:val="bottom"/>
            <w:hideMark/>
          </w:tcPr>
          <w:p w14:paraId="62096FFB" w14:textId="29F3E8E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16,541</w:t>
            </w:r>
          </w:p>
        </w:tc>
        <w:tc>
          <w:tcPr>
            <w:tcW w:w="996" w:type="dxa"/>
            <w:tcBorders>
              <w:top w:val="nil"/>
              <w:left w:val="nil"/>
              <w:bottom w:val="single" w:sz="4" w:space="0" w:color="auto"/>
              <w:right w:val="single" w:sz="4" w:space="0" w:color="auto"/>
            </w:tcBorders>
            <w:shd w:val="clear" w:color="000000" w:fill="FFFFFF"/>
            <w:noWrap/>
            <w:vAlign w:val="bottom"/>
            <w:hideMark/>
          </w:tcPr>
          <w:p w14:paraId="1F19D557" w14:textId="08866AE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4,752</w:t>
            </w:r>
          </w:p>
        </w:tc>
        <w:tc>
          <w:tcPr>
            <w:tcW w:w="1107" w:type="dxa"/>
            <w:tcBorders>
              <w:top w:val="nil"/>
              <w:left w:val="nil"/>
              <w:bottom w:val="single" w:sz="4" w:space="0" w:color="auto"/>
              <w:right w:val="single" w:sz="4" w:space="0" w:color="auto"/>
            </w:tcBorders>
            <w:shd w:val="clear" w:color="000000" w:fill="FFFFFF"/>
            <w:noWrap/>
            <w:vAlign w:val="bottom"/>
            <w:hideMark/>
          </w:tcPr>
          <w:p w14:paraId="3D1A2653" w14:textId="1285C0F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4,210</w:t>
            </w:r>
          </w:p>
        </w:tc>
        <w:tc>
          <w:tcPr>
            <w:tcW w:w="996" w:type="dxa"/>
            <w:tcBorders>
              <w:top w:val="nil"/>
              <w:left w:val="nil"/>
              <w:bottom w:val="single" w:sz="4" w:space="0" w:color="auto"/>
              <w:right w:val="single" w:sz="4" w:space="0" w:color="auto"/>
            </w:tcBorders>
            <w:shd w:val="clear" w:color="000000" w:fill="FFFFFF"/>
            <w:noWrap/>
            <w:vAlign w:val="bottom"/>
            <w:hideMark/>
          </w:tcPr>
          <w:p w14:paraId="2F3D0F14" w14:textId="544056A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3,159</w:t>
            </w:r>
          </w:p>
        </w:tc>
        <w:tc>
          <w:tcPr>
            <w:tcW w:w="996" w:type="dxa"/>
            <w:tcBorders>
              <w:top w:val="nil"/>
              <w:left w:val="nil"/>
              <w:bottom w:val="single" w:sz="4" w:space="0" w:color="auto"/>
              <w:right w:val="single" w:sz="4" w:space="0" w:color="auto"/>
            </w:tcBorders>
            <w:shd w:val="clear" w:color="000000" w:fill="FFFFFF"/>
            <w:noWrap/>
            <w:vAlign w:val="bottom"/>
            <w:hideMark/>
          </w:tcPr>
          <w:p w14:paraId="54782C56" w14:textId="09CAE3C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5,345</w:t>
            </w:r>
          </w:p>
        </w:tc>
        <w:tc>
          <w:tcPr>
            <w:tcW w:w="1127" w:type="dxa"/>
            <w:tcBorders>
              <w:top w:val="nil"/>
              <w:left w:val="nil"/>
              <w:bottom w:val="single" w:sz="4" w:space="0" w:color="auto"/>
              <w:right w:val="single" w:sz="4" w:space="0" w:color="auto"/>
            </w:tcBorders>
            <w:shd w:val="clear" w:color="000000" w:fill="FFFFFF"/>
            <w:noWrap/>
            <w:vAlign w:val="bottom"/>
            <w:hideMark/>
          </w:tcPr>
          <w:p w14:paraId="2149B051" w14:textId="458535E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3,541</w:t>
            </w:r>
          </w:p>
        </w:tc>
        <w:tc>
          <w:tcPr>
            <w:tcW w:w="996" w:type="dxa"/>
            <w:tcBorders>
              <w:top w:val="nil"/>
              <w:left w:val="nil"/>
              <w:bottom w:val="single" w:sz="4" w:space="0" w:color="auto"/>
              <w:right w:val="single" w:sz="4" w:space="0" w:color="auto"/>
            </w:tcBorders>
            <w:shd w:val="clear" w:color="000000" w:fill="FFFFFF"/>
            <w:noWrap/>
            <w:vAlign w:val="bottom"/>
            <w:hideMark/>
          </w:tcPr>
          <w:p w14:paraId="22FDDB6F" w14:textId="598B34A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463</w:t>
            </w:r>
          </w:p>
        </w:tc>
        <w:tc>
          <w:tcPr>
            <w:tcW w:w="1096" w:type="dxa"/>
            <w:tcBorders>
              <w:top w:val="nil"/>
              <w:left w:val="nil"/>
              <w:bottom w:val="single" w:sz="4" w:space="0" w:color="auto"/>
              <w:right w:val="single" w:sz="8" w:space="0" w:color="auto"/>
            </w:tcBorders>
            <w:shd w:val="clear" w:color="000000" w:fill="FFFFFF"/>
            <w:noWrap/>
            <w:vAlign w:val="bottom"/>
            <w:hideMark/>
          </w:tcPr>
          <w:p w14:paraId="7FD7FA27" w14:textId="595054C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50,510</w:t>
            </w:r>
          </w:p>
        </w:tc>
      </w:tr>
      <w:tr w:rsidR="00861244" w:rsidRPr="00E47FB2" w14:paraId="43EE7319"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14996DBF"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Chinola</w:t>
            </w:r>
          </w:p>
        </w:tc>
        <w:tc>
          <w:tcPr>
            <w:tcW w:w="997" w:type="dxa"/>
            <w:tcBorders>
              <w:top w:val="nil"/>
              <w:left w:val="nil"/>
              <w:bottom w:val="single" w:sz="4" w:space="0" w:color="auto"/>
              <w:right w:val="single" w:sz="4" w:space="0" w:color="auto"/>
            </w:tcBorders>
            <w:shd w:val="clear" w:color="000000" w:fill="FFFFFF"/>
            <w:noWrap/>
            <w:vAlign w:val="bottom"/>
            <w:hideMark/>
          </w:tcPr>
          <w:p w14:paraId="5D140543" w14:textId="59A04D4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1,348</w:t>
            </w:r>
          </w:p>
        </w:tc>
        <w:tc>
          <w:tcPr>
            <w:tcW w:w="997" w:type="dxa"/>
            <w:tcBorders>
              <w:top w:val="nil"/>
              <w:left w:val="nil"/>
              <w:bottom w:val="single" w:sz="4" w:space="0" w:color="auto"/>
              <w:right w:val="single" w:sz="4" w:space="0" w:color="auto"/>
            </w:tcBorders>
            <w:shd w:val="clear" w:color="000000" w:fill="FFFFFF"/>
            <w:noWrap/>
            <w:vAlign w:val="bottom"/>
            <w:hideMark/>
          </w:tcPr>
          <w:p w14:paraId="641AC31D" w14:textId="0DB9833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1,231</w:t>
            </w:r>
          </w:p>
        </w:tc>
        <w:tc>
          <w:tcPr>
            <w:tcW w:w="997" w:type="dxa"/>
            <w:tcBorders>
              <w:top w:val="nil"/>
              <w:left w:val="nil"/>
              <w:bottom w:val="single" w:sz="4" w:space="0" w:color="auto"/>
              <w:right w:val="single" w:sz="4" w:space="0" w:color="auto"/>
            </w:tcBorders>
            <w:shd w:val="clear" w:color="000000" w:fill="FFFFFF"/>
            <w:noWrap/>
            <w:vAlign w:val="bottom"/>
            <w:hideMark/>
          </w:tcPr>
          <w:p w14:paraId="71BC1F53" w14:textId="22D9FFE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4,521</w:t>
            </w:r>
          </w:p>
        </w:tc>
        <w:tc>
          <w:tcPr>
            <w:tcW w:w="996" w:type="dxa"/>
            <w:tcBorders>
              <w:top w:val="nil"/>
              <w:left w:val="nil"/>
              <w:bottom w:val="single" w:sz="4" w:space="0" w:color="auto"/>
              <w:right w:val="single" w:sz="4" w:space="0" w:color="auto"/>
            </w:tcBorders>
            <w:shd w:val="clear" w:color="000000" w:fill="FFFFFF"/>
            <w:noWrap/>
            <w:vAlign w:val="bottom"/>
            <w:hideMark/>
          </w:tcPr>
          <w:p w14:paraId="590AB3A7" w14:textId="0CAE072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2,345</w:t>
            </w:r>
          </w:p>
        </w:tc>
        <w:tc>
          <w:tcPr>
            <w:tcW w:w="996" w:type="dxa"/>
            <w:tcBorders>
              <w:top w:val="nil"/>
              <w:left w:val="nil"/>
              <w:bottom w:val="single" w:sz="4" w:space="0" w:color="auto"/>
              <w:right w:val="single" w:sz="4" w:space="0" w:color="auto"/>
            </w:tcBorders>
            <w:shd w:val="clear" w:color="000000" w:fill="FFFFFF"/>
            <w:noWrap/>
            <w:vAlign w:val="bottom"/>
            <w:hideMark/>
          </w:tcPr>
          <w:p w14:paraId="0A9AFB4B" w14:textId="0798802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1,587</w:t>
            </w:r>
          </w:p>
        </w:tc>
        <w:tc>
          <w:tcPr>
            <w:tcW w:w="996" w:type="dxa"/>
            <w:tcBorders>
              <w:top w:val="nil"/>
              <w:left w:val="nil"/>
              <w:bottom w:val="single" w:sz="4" w:space="0" w:color="auto"/>
              <w:right w:val="single" w:sz="4" w:space="0" w:color="auto"/>
            </w:tcBorders>
            <w:shd w:val="clear" w:color="000000" w:fill="FFFFFF"/>
            <w:noWrap/>
            <w:vAlign w:val="bottom"/>
            <w:hideMark/>
          </w:tcPr>
          <w:p w14:paraId="76A715C1" w14:textId="6075C66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2,374</w:t>
            </w:r>
          </w:p>
        </w:tc>
        <w:tc>
          <w:tcPr>
            <w:tcW w:w="996" w:type="dxa"/>
            <w:tcBorders>
              <w:top w:val="nil"/>
              <w:left w:val="nil"/>
              <w:bottom w:val="single" w:sz="4" w:space="0" w:color="auto"/>
              <w:right w:val="single" w:sz="4" w:space="0" w:color="auto"/>
            </w:tcBorders>
            <w:shd w:val="clear" w:color="000000" w:fill="FFFFFF"/>
            <w:noWrap/>
            <w:vAlign w:val="bottom"/>
            <w:hideMark/>
          </w:tcPr>
          <w:p w14:paraId="02FA7F15" w14:textId="6B86E9F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2,654</w:t>
            </w:r>
          </w:p>
        </w:tc>
        <w:tc>
          <w:tcPr>
            <w:tcW w:w="1107" w:type="dxa"/>
            <w:tcBorders>
              <w:top w:val="nil"/>
              <w:left w:val="nil"/>
              <w:bottom w:val="single" w:sz="4" w:space="0" w:color="auto"/>
              <w:right w:val="single" w:sz="4" w:space="0" w:color="auto"/>
            </w:tcBorders>
            <w:shd w:val="clear" w:color="000000" w:fill="FFFFFF"/>
            <w:noWrap/>
            <w:vAlign w:val="bottom"/>
            <w:hideMark/>
          </w:tcPr>
          <w:p w14:paraId="5EEA06BE" w14:textId="6860C75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2,527</w:t>
            </w:r>
          </w:p>
        </w:tc>
        <w:tc>
          <w:tcPr>
            <w:tcW w:w="996" w:type="dxa"/>
            <w:tcBorders>
              <w:top w:val="nil"/>
              <w:left w:val="nil"/>
              <w:bottom w:val="single" w:sz="4" w:space="0" w:color="auto"/>
              <w:right w:val="single" w:sz="4" w:space="0" w:color="auto"/>
            </w:tcBorders>
            <w:shd w:val="clear" w:color="000000" w:fill="FFFFFF"/>
            <w:noWrap/>
            <w:vAlign w:val="bottom"/>
            <w:hideMark/>
          </w:tcPr>
          <w:p w14:paraId="5311971E" w14:textId="0675635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3,673</w:t>
            </w:r>
          </w:p>
        </w:tc>
        <w:tc>
          <w:tcPr>
            <w:tcW w:w="996" w:type="dxa"/>
            <w:tcBorders>
              <w:top w:val="nil"/>
              <w:left w:val="nil"/>
              <w:bottom w:val="single" w:sz="4" w:space="0" w:color="auto"/>
              <w:right w:val="single" w:sz="4" w:space="0" w:color="auto"/>
            </w:tcBorders>
            <w:shd w:val="clear" w:color="000000" w:fill="FFFFFF"/>
            <w:noWrap/>
            <w:vAlign w:val="bottom"/>
            <w:hideMark/>
          </w:tcPr>
          <w:p w14:paraId="64DF408C" w14:textId="5D1E4DC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3,541</w:t>
            </w:r>
          </w:p>
        </w:tc>
        <w:tc>
          <w:tcPr>
            <w:tcW w:w="1127" w:type="dxa"/>
            <w:tcBorders>
              <w:top w:val="nil"/>
              <w:left w:val="nil"/>
              <w:bottom w:val="single" w:sz="4" w:space="0" w:color="auto"/>
              <w:right w:val="single" w:sz="4" w:space="0" w:color="auto"/>
            </w:tcBorders>
            <w:shd w:val="clear" w:color="000000" w:fill="FFFFFF"/>
            <w:noWrap/>
            <w:vAlign w:val="bottom"/>
            <w:hideMark/>
          </w:tcPr>
          <w:p w14:paraId="63BC3537" w14:textId="56BF5B0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1,721</w:t>
            </w:r>
          </w:p>
        </w:tc>
        <w:tc>
          <w:tcPr>
            <w:tcW w:w="996" w:type="dxa"/>
            <w:tcBorders>
              <w:top w:val="nil"/>
              <w:left w:val="nil"/>
              <w:bottom w:val="single" w:sz="4" w:space="0" w:color="auto"/>
              <w:right w:val="single" w:sz="4" w:space="0" w:color="auto"/>
            </w:tcBorders>
            <w:shd w:val="clear" w:color="000000" w:fill="FFFFFF"/>
            <w:noWrap/>
            <w:vAlign w:val="bottom"/>
            <w:hideMark/>
          </w:tcPr>
          <w:p w14:paraId="46527092" w14:textId="341B98B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1,762</w:t>
            </w:r>
          </w:p>
        </w:tc>
        <w:tc>
          <w:tcPr>
            <w:tcW w:w="1096" w:type="dxa"/>
            <w:tcBorders>
              <w:top w:val="nil"/>
              <w:left w:val="nil"/>
              <w:bottom w:val="single" w:sz="4" w:space="0" w:color="auto"/>
              <w:right w:val="single" w:sz="8" w:space="0" w:color="auto"/>
            </w:tcBorders>
            <w:shd w:val="clear" w:color="000000" w:fill="FFFFFF"/>
            <w:noWrap/>
            <w:vAlign w:val="bottom"/>
            <w:hideMark/>
          </w:tcPr>
          <w:p w14:paraId="63B578F6" w14:textId="07CC265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29,284</w:t>
            </w:r>
          </w:p>
        </w:tc>
      </w:tr>
      <w:tr w:rsidR="00861244" w:rsidRPr="00E47FB2" w14:paraId="0281994D"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2DC257FB"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Lechosa</w:t>
            </w:r>
          </w:p>
        </w:tc>
        <w:tc>
          <w:tcPr>
            <w:tcW w:w="997" w:type="dxa"/>
            <w:tcBorders>
              <w:top w:val="nil"/>
              <w:left w:val="nil"/>
              <w:bottom w:val="single" w:sz="4" w:space="0" w:color="auto"/>
              <w:right w:val="single" w:sz="4" w:space="0" w:color="auto"/>
            </w:tcBorders>
            <w:shd w:val="clear" w:color="000000" w:fill="FFFFFF"/>
            <w:noWrap/>
            <w:vAlign w:val="bottom"/>
            <w:hideMark/>
          </w:tcPr>
          <w:p w14:paraId="13B6001E" w14:textId="6A58C5D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2,201</w:t>
            </w:r>
          </w:p>
        </w:tc>
        <w:tc>
          <w:tcPr>
            <w:tcW w:w="997" w:type="dxa"/>
            <w:tcBorders>
              <w:top w:val="nil"/>
              <w:left w:val="nil"/>
              <w:bottom w:val="single" w:sz="4" w:space="0" w:color="auto"/>
              <w:right w:val="single" w:sz="4" w:space="0" w:color="auto"/>
            </w:tcBorders>
            <w:shd w:val="clear" w:color="000000" w:fill="FFFFFF"/>
            <w:noWrap/>
            <w:vAlign w:val="bottom"/>
            <w:hideMark/>
          </w:tcPr>
          <w:p w14:paraId="482F40C3" w14:textId="41C699F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2,428</w:t>
            </w:r>
          </w:p>
        </w:tc>
        <w:tc>
          <w:tcPr>
            <w:tcW w:w="997" w:type="dxa"/>
            <w:tcBorders>
              <w:top w:val="nil"/>
              <w:left w:val="nil"/>
              <w:bottom w:val="single" w:sz="4" w:space="0" w:color="auto"/>
              <w:right w:val="single" w:sz="4" w:space="0" w:color="auto"/>
            </w:tcBorders>
            <w:shd w:val="clear" w:color="000000" w:fill="FFFFFF"/>
            <w:noWrap/>
            <w:vAlign w:val="bottom"/>
            <w:hideMark/>
          </w:tcPr>
          <w:p w14:paraId="57D445B7" w14:textId="28BB094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2,680</w:t>
            </w:r>
          </w:p>
        </w:tc>
        <w:tc>
          <w:tcPr>
            <w:tcW w:w="996" w:type="dxa"/>
            <w:tcBorders>
              <w:top w:val="nil"/>
              <w:left w:val="nil"/>
              <w:bottom w:val="single" w:sz="4" w:space="0" w:color="auto"/>
              <w:right w:val="single" w:sz="4" w:space="0" w:color="auto"/>
            </w:tcBorders>
            <w:shd w:val="clear" w:color="000000" w:fill="FFFFFF"/>
            <w:noWrap/>
            <w:vAlign w:val="bottom"/>
            <w:hideMark/>
          </w:tcPr>
          <w:p w14:paraId="05836543" w14:textId="5362487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1,398</w:t>
            </w:r>
          </w:p>
        </w:tc>
        <w:tc>
          <w:tcPr>
            <w:tcW w:w="996" w:type="dxa"/>
            <w:tcBorders>
              <w:top w:val="nil"/>
              <w:left w:val="nil"/>
              <w:bottom w:val="single" w:sz="4" w:space="0" w:color="auto"/>
              <w:right w:val="single" w:sz="4" w:space="0" w:color="auto"/>
            </w:tcBorders>
            <w:shd w:val="clear" w:color="000000" w:fill="FFFFFF"/>
            <w:noWrap/>
            <w:vAlign w:val="bottom"/>
            <w:hideMark/>
          </w:tcPr>
          <w:p w14:paraId="1CD05E69" w14:textId="5E601E3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4,214</w:t>
            </w:r>
          </w:p>
        </w:tc>
        <w:tc>
          <w:tcPr>
            <w:tcW w:w="996" w:type="dxa"/>
            <w:tcBorders>
              <w:top w:val="nil"/>
              <w:left w:val="nil"/>
              <w:bottom w:val="single" w:sz="4" w:space="0" w:color="auto"/>
              <w:right w:val="single" w:sz="4" w:space="0" w:color="auto"/>
            </w:tcBorders>
            <w:shd w:val="clear" w:color="000000" w:fill="FFFFFF"/>
            <w:noWrap/>
            <w:vAlign w:val="bottom"/>
            <w:hideMark/>
          </w:tcPr>
          <w:p w14:paraId="00C295ED" w14:textId="1279163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2,601</w:t>
            </w:r>
          </w:p>
        </w:tc>
        <w:tc>
          <w:tcPr>
            <w:tcW w:w="996" w:type="dxa"/>
            <w:tcBorders>
              <w:top w:val="nil"/>
              <w:left w:val="nil"/>
              <w:bottom w:val="single" w:sz="4" w:space="0" w:color="auto"/>
              <w:right w:val="single" w:sz="4" w:space="0" w:color="auto"/>
            </w:tcBorders>
            <w:shd w:val="clear" w:color="000000" w:fill="FFFFFF"/>
            <w:noWrap/>
            <w:vAlign w:val="bottom"/>
            <w:hideMark/>
          </w:tcPr>
          <w:p w14:paraId="43FE45EB" w14:textId="681EF67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9,021</w:t>
            </w:r>
          </w:p>
        </w:tc>
        <w:tc>
          <w:tcPr>
            <w:tcW w:w="1107" w:type="dxa"/>
            <w:tcBorders>
              <w:top w:val="nil"/>
              <w:left w:val="nil"/>
              <w:bottom w:val="single" w:sz="4" w:space="0" w:color="auto"/>
              <w:right w:val="single" w:sz="4" w:space="0" w:color="auto"/>
            </w:tcBorders>
            <w:shd w:val="clear" w:color="000000" w:fill="FFFFFF"/>
            <w:noWrap/>
            <w:vAlign w:val="bottom"/>
            <w:hideMark/>
          </w:tcPr>
          <w:p w14:paraId="0CCD1148" w14:textId="1A04EB0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1,506</w:t>
            </w:r>
          </w:p>
        </w:tc>
        <w:tc>
          <w:tcPr>
            <w:tcW w:w="996" w:type="dxa"/>
            <w:tcBorders>
              <w:top w:val="nil"/>
              <w:left w:val="nil"/>
              <w:bottom w:val="single" w:sz="4" w:space="0" w:color="auto"/>
              <w:right w:val="single" w:sz="4" w:space="0" w:color="auto"/>
            </w:tcBorders>
            <w:shd w:val="clear" w:color="000000" w:fill="FFFFFF"/>
            <w:noWrap/>
            <w:vAlign w:val="bottom"/>
            <w:hideMark/>
          </w:tcPr>
          <w:p w14:paraId="321CABFB" w14:textId="5FFE7C6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2,014</w:t>
            </w:r>
          </w:p>
        </w:tc>
        <w:tc>
          <w:tcPr>
            <w:tcW w:w="996" w:type="dxa"/>
            <w:tcBorders>
              <w:top w:val="nil"/>
              <w:left w:val="nil"/>
              <w:bottom w:val="single" w:sz="4" w:space="0" w:color="auto"/>
              <w:right w:val="single" w:sz="4" w:space="0" w:color="auto"/>
            </w:tcBorders>
            <w:shd w:val="clear" w:color="000000" w:fill="FFFFFF"/>
            <w:noWrap/>
            <w:vAlign w:val="bottom"/>
            <w:hideMark/>
          </w:tcPr>
          <w:p w14:paraId="10FE9833" w14:textId="1998046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2,547</w:t>
            </w:r>
          </w:p>
        </w:tc>
        <w:tc>
          <w:tcPr>
            <w:tcW w:w="1127" w:type="dxa"/>
            <w:tcBorders>
              <w:top w:val="nil"/>
              <w:left w:val="nil"/>
              <w:bottom w:val="single" w:sz="4" w:space="0" w:color="auto"/>
              <w:right w:val="single" w:sz="4" w:space="0" w:color="auto"/>
            </w:tcBorders>
            <w:shd w:val="clear" w:color="000000" w:fill="FFFFFF"/>
            <w:noWrap/>
            <w:vAlign w:val="bottom"/>
            <w:hideMark/>
          </w:tcPr>
          <w:p w14:paraId="1221921B" w14:textId="0537F53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2,779</w:t>
            </w:r>
          </w:p>
        </w:tc>
        <w:tc>
          <w:tcPr>
            <w:tcW w:w="996" w:type="dxa"/>
            <w:tcBorders>
              <w:top w:val="nil"/>
              <w:left w:val="nil"/>
              <w:bottom w:val="single" w:sz="4" w:space="0" w:color="auto"/>
              <w:right w:val="single" w:sz="4" w:space="0" w:color="auto"/>
            </w:tcBorders>
            <w:shd w:val="clear" w:color="000000" w:fill="FFFFFF"/>
            <w:noWrap/>
            <w:vAlign w:val="bottom"/>
            <w:hideMark/>
          </w:tcPr>
          <w:p w14:paraId="2CEEC46A" w14:textId="5F95E78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1,322</w:t>
            </w:r>
          </w:p>
        </w:tc>
        <w:tc>
          <w:tcPr>
            <w:tcW w:w="1096" w:type="dxa"/>
            <w:tcBorders>
              <w:top w:val="nil"/>
              <w:left w:val="nil"/>
              <w:bottom w:val="single" w:sz="4" w:space="0" w:color="auto"/>
              <w:right w:val="single" w:sz="8" w:space="0" w:color="auto"/>
            </w:tcBorders>
            <w:shd w:val="clear" w:color="000000" w:fill="FFFFFF"/>
            <w:noWrap/>
            <w:vAlign w:val="bottom"/>
            <w:hideMark/>
          </w:tcPr>
          <w:p w14:paraId="5EF1EF99" w14:textId="5B97028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34,711</w:t>
            </w:r>
          </w:p>
        </w:tc>
      </w:tr>
      <w:tr w:rsidR="00861244" w:rsidRPr="00E47FB2" w14:paraId="563D728B"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40E2D4D9"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Melón</w:t>
            </w:r>
          </w:p>
        </w:tc>
        <w:tc>
          <w:tcPr>
            <w:tcW w:w="997" w:type="dxa"/>
            <w:tcBorders>
              <w:top w:val="nil"/>
              <w:left w:val="nil"/>
              <w:bottom w:val="single" w:sz="4" w:space="0" w:color="auto"/>
              <w:right w:val="single" w:sz="4" w:space="0" w:color="auto"/>
            </w:tcBorders>
            <w:shd w:val="clear" w:color="000000" w:fill="FFFFFF"/>
            <w:noWrap/>
            <w:vAlign w:val="bottom"/>
            <w:hideMark/>
          </w:tcPr>
          <w:p w14:paraId="590C5350" w14:textId="5B0EF31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1,420</w:t>
            </w:r>
          </w:p>
        </w:tc>
        <w:tc>
          <w:tcPr>
            <w:tcW w:w="997" w:type="dxa"/>
            <w:tcBorders>
              <w:top w:val="nil"/>
              <w:left w:val="nil"/>
              <w:bottom w:val="single" w:sz="4" w:space="0" w:color="auto"/>
              <w:right w:val="single" w:sz="4" w:space="0" w:color="auto"/>
            </w:tcBorders>
            <w:shd w:val="clear" w:color="000000" w:fill="FFFFFF"/>
            <w:noWrap/>
            <w:vAlign w:val="bottom"/>
            <w:hideMark/>
          </w:tcPr>
          <w:p w14:paraId="48E503AC" w14:textId="29A944B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1,101</w:t>
            </w:r>
          </w:p>
        </w:tc>
        <w:tc>
          <w:tcPr>
            <w:tcW w:w="997" w:type="dxa"/>
            <w:tcBorders>
              <w:top w:val="nil"/>
              <w:left w:val="nil"/>
              <w:bottom w:val="single" w:sz="4" w:space="0" w:color="auto"/>
              <w:right w:val="single" w:sz="4" w:space="0" w:color="auto"/>
            </w:tcBorders>
            <w:shd w:val="clear" w:color="000000" w:fill="FFFFFF"/>
            <w:noWrap/>
            <w:vAlign w:val="bottom"/>
            <w:hideMark/>
          </w:tcPr>
          <w:p w14:paraId="14CAAEA2" w14:textId="37C0918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1,201</w:t>
            </w:r>
          </w:p>
        </w:tc>
        <w:tc>
          <w:tcPr>
            <w:tcW w:w="996" w:type="dxa"/>
            <w:tcBorders>
              <w:top w:val="nil"/>
              <w:left w:val="nil"/>
              <w:bottom w:val="single" w:sz="4" w:space="0" w:color="auto"/>
              <w:right w:val="single" w:sz="4" w:space="0" w:color="auto"/>
            </w:tcBorders>
            <w:shd w:val="clear" w:color="000000" w:fill="FFFFFF"/>
            <w:noWrap/>
            <w:vAlign w:val="bottom"/>
            <w:hideMark/>
          </w:tcPr>
          <w:p w14:paraId="3E9A4BD4" w14:textId="67CF9C9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752</w:t>
            </w:r>
          </w:p>
        </w:tc>
        <w:tc>
          <w:tcPr>
            <w:tcW w:w="996" w:type="dxa"/>
            <w:tcBorders>
              <w:top w:val="nil"/>
              <w:left w:val="nil"/>
              <w:bottom w:val="single" w:sz="4" w:space="0" w:color="auto"/>
              <w:right w:val="single" w:sz="4" w:space="0" w:color="auto"/>
            </w:tcBorders>
            <w:shd w:val="clear" w:color="000000" w:fill="FFFFFF"/>
            <w:noWrap/>
            <w:vAlign w:val="bottom"/>
            <w:hideMark/>
          </w:tcPr>
          <w:p w14:paraId="405BC8BA" w14:textId="0E5C0AC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984</w:t>
            </w:r>
          </w:p>
        </w:tc>
        <w:tc>
          <w:tcPr>
            <w:tcW w:w="996" w:type="dxa"/>
            <w:tcBorders>
              <w:top w:val="nil"/>
              <w:left w:val="nil"/>
              <w:bottom w:val="single" w:sz="4" w:space="0" w:color="auto"/>
              <w:right w:val="single" w:sz="4" w:space="0" w:color="auto"/>
            </w:tcBorders>
            <w:shd w:val="clear" w:color="000000" w:fill="FFFFFF"/>
            <w:noWrap/>
            <w:vAlign w:val="bottom"/>
            <w:hideMark/>
          </w:tcPr>
          <w:p w14:paraId="1C3050B4" w14:textId="1EE30DE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901</w:t>
            </w:r>
          </w:p>
        </w:tc>
        <w:tc>
          <w:tcPr>
            <w:tcW w:w="996" w:type="dxa"/>
            <w:tcBorders>
              <w:top w:val="nil"/>
              <w:left w:val="nil"/>
              <w:bottom w:val="single" w:sz="4" w:space="0" w:color="auto"/>
              <w:right w:val="single" w:sz="4" w:space="0" w:color="auto"/>
            </w:tcBorders>
            <w:shd w:val="clear" w:color="000000" w:fill="FFFFFF"/>
            <w:noWrap/>
            <w:vAlign w:val="bottom"/>
            <w:hideMark/>
          </w:tcPr>
          <w:p w14:paraId="0494C7A9" w14:textId="0CD5F69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654</w:t>
            </w:r>
          </w:p>
        </w:tc>
        <w:tc>
          <w:tcPr>
            <w:tcW w:w="1107" w:type="dxa"/>
            <w:tcBorders>
              <w:top w:val="nil"/>
              <w:left w:val="nil"/>
              <w:bottom w:val="single" w:sz="4" w:space="0" w:color="auto"/>
              <w:right w:val="single" w:sz="4" w:space="0" w:color="auto"/>
            </w:tcBorders>
            <w:shd w:val="clear" w:color="000000" w:fill="FFFFFF"/>
            <w:noWrap/>
            <w:vAlign w:val="bottom"/>
            <w:hideMark/>
          </w:tcPr>
          <w:p w14:paraId="5ABC4FB2" w14:textId="43BF40B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325</w:t>
            </w:r>
          </w:p>
        </w:tc>
        <w:tc>
          <w:tcPr>
            <w:tcW w:w="996" w:type="dxa"/>
            <w:tcBorders>
              <w:top w:val="nil"/>
              <w:left w:val="nil"/>
              <w:bottom w:val="single" w:sz="4" w:space="0" w:color="auto"/>
              <w:right w:val="single" w:sz="4" w:space="0" w:color="auto"/>
            </w:tcBorders>
            <w:shd w:val="clear" w:color="000000" w:fill="FFFFFF"/>
            <w:noWrap/>
            <w:vAlign w:val="bottom"/>
            <w:hideMark/>
          </w:tcPr>
          <w:p w14:paraId="054A4D70" w14:textId="16204E1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598</w:t>
            </w:r>
          </w:p>
        </w:tc>
        <w:tc>
          <w:tcPr>
            <w:tcW w:w="996" w:type="dxa"/>
            <w:tcBorders>
              <w:top w:val="nil"/>
              <w:left w:val="nil"/>
              <w:bottom w:val="single" w:sz="4" w:space="0" w:color="auto"/>
              <w:right w:val="single" w:sz="4" w:space="0" w:color="auto"/>
            </w:tcBorders>
            <w:shd w:val="clear" w:color="000000" w:fill="FFFFFF"/>
            <w:noWrap/>
            <w:vAlign w:val="bottom"/>
            <w:hideMark/>
          </w:tcPr>
          <w:p w14:paraId="0E897923" w14:textId="6DA4A3E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1,152</w:t>
            </w:r>
          </w:p>
        </w:tc>
        <w:tc>
          <w:tcPr>
            <w:tcW w:w="1127" w:type="dxa"/>
            <w:tcBorders>
              <w:top w:val="nil"/>
              <w:left w:val="nil"/>
              <w:bottom w:val="single" w:sz="4" w:space="0" w:color="auto"/>
              <w:right w:val="single" w:sz="4" w:space="0" w:color="auto"/>
            </w:tcBorders>
            <w:shd w:val="clear" w:color="000000" w:fill="FFFFFF"/>
            <w:noWrap/>
            <w:vAlign w:val="bottom"/>
            <w:hideMark/>
          </w:tcPr>
          <w:p w14:paraId="4AF8F713" w14:textId="46511E5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1,225</w:t>
            </w:r>
          </w:p>
        </w:tc>
        <w:tc>
          <w:tcPr>
            <w:tcW w:w="996" w:type="dxa"/>
            <w:tcBorders>
              <w:top w:val="nil"/>
              <w:left w:val="nil"/>
              <w:bottom w:val="single" w:sz="4" w:space="0" w:color="auto"/>
              <w:right w:val="single" w:sz="4" w:space="0" w:color="auto"/>
            </w:tcBorders>
            <w:shd w:val="clear" w:color="000000" w:fill="FFFFFF"/>
            <w:noWrap/>
            <w:vAlign w:val="bottom"/>
            <w:hideMark/>
          </w:tcPr>
          <w:p w14:paraId="4C2B790E" w14:textId="664A98C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838</w:t>
            </w:r>
          </w:p>
        </w:tc>
        <w:tc>
          <w:tcPr>
            <w:tcW w:w="1096" w:type="dxa"/>
            <w:tcBorders>
              <w:top w:val="nil"/>
              <w:left w:val="nil"/>
              <w:bottom w:val="single" w:sz="4" w:space="0" w:color="auto"/>
              <w:right w:val="single" w:sz="8" w:space="0" w:color="auto"/>
            </w:tcBorders>
            <w:shd w:val="clear" w:color="000000" w:fill="FFFFFF"/>
            <w:noWrap/>
            <w:vAlign w:val="bottom"/>
            <w:hideMark/>
          </w:tcPr>
          <w:p w14:paraId="3ACFF02B" w14:textId="2E78B0F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11,152</w:t>
            </w:r>
          </w:p>
        </w:tc>
      </w:tr>
      <w:tr w:rsidR="00861244" w:rsidRPr="00E47FB2" w14:paraId="69A80079"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0E601EEF"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Naranja D.</w:t>
            </w:r>
          </w:p>
        </w:tc>
        <w:tc>
          <w:tcPr>
            <w:tcW w:w="997" w:type="dxa"/>
            <w:tcBorders>
              <w:top w:val="nil"/>
              <w:left w:val="nil"/>
              <w:bottom w:val="single" w:sz="4" w:space="0" w:color="auto"/>
              <w:right w:val="single" w:sz="4" w:space="0" w:color="auto"/>
            </w:tcBorders>
            <w:shd w:val="clear" w:color="000000" w:fill="FFFFFF"/>
            <w:noWrap/>
            <w:vAlign w:val="bottom"/>
            <w:hideMark/>
          </w:tcPr>
          <w:p w14:paraId="188F6189" w14:textId="4FFB83E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61</w:t>
            </w:r>
          </w:p>
        </w:tc>
        <w:tc>
          <w:tcPr>
            <w:tcW w:w="997" w:type="dxa"/>
            <w:tcBorders>
              <w:top w:val="nil"/>
              <w:left w:val="nil"/>
              <w:bottom w:val="single" w:sz="4" w:space="0" w:color="auto"/>
              <w:right w:val="single" w:sz="4" w:space="0" w:color="auto"/>
            </w:tcBorders>
            <w:shd w:val="clear" w:color="000000" w:fill="FFFFFF"/>
            <w:noWrap/>
            <w:vAlign w:val="bottom"/>
            <w:hideMark/>
          </w:tcPr>
          <w:p w14:paraId="4F9D8CC6" w14:textId="70602FF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65</w:t>
            </w:r>
          </w:p>
        </w:tc>
        <w:tc>
          <w:tcPr>
            <w:tcW w:w="997" w:type="dxa"/>
            <w:tcBorders>
              <w:top w:val="nil"/>
              <w:left w:val="nil"/>
              <w:bottom w:val="single" w:sz="4" w:space="0" w:color="auto"/>
              <w:right w:val="single" w:sz="4" w:space="0" w:color="auto"/>
            </w:tcBorders>
            <w:shd w:val="clear" w:color="000000" w:fill="FFFFFF"/>
            <w:noWrap/>
            <w:vAlign w:val="bottom"/>
            <w:hideMark/>
          </w:tcPr>
          <w:p w14:paraId="6A2E771F" w14:textId="52F86A3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102</w:t>
            </w:r>
          </w:p>
        </w:tc>
        <w:tc>
          <w:tcPr>
            <w:tcW w:w="996" w:type="dxa"/>
            <w:tcBorders>
              <w:top w:val="nil"/>
              <w:left w:val="nil"/>
              <w:bottom w:val="single" w:sz="4" w:space="0" w:color="auto"/>
              <w:right w:val="single" w:sz="4" w:space="0" w:color="auto"/>
            </w:tcBorders>
            <w:shd w:val="clear" w:color="000000" w:fill="FFFFFF"/>
            <w:noWrap/>
            <w:vAlign w:val="bottom"/>
            <w:hideMark/>
          </w:tcPr>
          <w:p w14:paraId="139CCF62" w14:textId="0E5CB6C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140</w:t>
            </w:r>
          </w:p>
        </w:tc>
        <w:tc>
          <w:tcPr>
            <w:tcW w:w="996" w:type="dxa"/>
            <w:tcBorders>
              <w:top w:val="nil"/>
              <w:left w:val="nil"/>
              <w:bottom w:val="single" w:sz="4" w:space="0" w:color="auto"/>
              <w:right w:val="single" w:sz="4" w:space="0" w:color="auto"/>
            </w:tcBorders>
            <w:shd w:val="clear" w:color="000000" w:fill="FFFFFF"/>
            <w:noWrap/>
            <w:vAlign w:val="bottom"/>
            <w:hideMark/>
          </w:tcPr>
          <w:p w14:paraId="01CCA465" w14:textId="70E7CB1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78</w:t>
            </w:r>
          </w:p>
        </w:tc>
        <w:tc>
          <w:tcPr>
            <w:tcW w:w="996" w:type="dxa"/>
            <w:tcBorders>
              <w:top w:val="nil"/>
              <w:left w:val="nil"/>
              <w:bottom w:val="single" w:sz="4" w:space="0" w:color="auto"/>
              <w:right w:val="single" w:sz="4" w:space="0" w:color="auto"/>
            </w:tcBorders>
            <w:shd w:val="clear" w:color="000000" w:fill="FFFFFF"/>
            <w:noWrap/>
            <w:vAlign w:val="bottom"/>
            <w:hideMark/>
          </w:tcPr>
          <w:p w14:paraId="22CB563D" w14:textId="1BF0B7C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32</w:t>
            </w:r>
          </w:p>
        </w:tc>
        <w:tc>
          <w:tcPr>
            <w:tcW w:w="996" w:type="dxa"/>
            <w:tcBorders>
              <w:top w:val="nil"/>
              <w:left w:val="nil"/>
              <w:bottom w:val="single" w:sz="4" w:space="0" w:color="auto"/>
              <w:right w:val="single" w:sz="4" w:space="0" w:color="auto"/>
            </w:tcBorders>
            <w:shd w:val="clear" w:color="000000" w:fill="FFFFFF"/>
            <w:noWrap/>
            <w:vAlign w:val="bottom"/>
            <w:hideMark/>
          </w:tcPr>
          <w:p w14:paraId="6DB827B2" w14:textId="6AFC1DF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54</w:t>
            </w:r>
          </w:p>
        </w:tc>
        <w:tc>
          <w:tcPr>
            <w:tcW w:w="1107" w:type="dxa"/>
            <w:tcBorders>
              <w:top w:val="nil"/>
              <w:left w:val="nil"/>
              <w:bottom w:val="single" w:sz="4" w:space="0" w:color="auto"/>
              <w:right w:val="single" w:sz="4" w:space="0" w:color="auto"/>
            </w:tcBorders>
            <w:shd w:val="clear" w:color="000000" w:fill="FFFFFF"/>
            <w:noWrap/>
            <w:vAlign w:val="bottom"/>
            <w:hideMark/>
          </w:tcPr>
          <w:p w14:paraId="4CD7B7B9" w14:textId="01CC320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32</w:t>
            </w:r>
          </w:p>
        </w:tc>
        <w:tc>
          <w:tcPr>
            <w:tcW w:w="996" w:type="dxa"/>
            <w:tcBorders>
              <w:top w:val="nil"/>
              <w:left w:val="nil"/>
              <w:bottom w:val="single" w:sz="4" w:space="0" w:color="auto"/>
              <w:right w:val="single" w:sz="4" w:space="0" w:color="auto"/>
            </w:tcBorders>
            <w:shd w:val="clear" w:color="000000" w:fill="FFFFFF"/>
            <w:noWrap/>
            <w:vAlign w:val="bottom"/>
            <w:hideMark/>
          </w:tcPr>
          <w:p w14:paraId="0AB008F4" w14:textId="77BA2F1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80</w:t>
            </w:r>
          </w:p>
        </w:tc>
        <w:tc>
          <w:tcPr>
            <w:tcW w:w="996" w:type="dxa"/>
            <w:tcBorders>
              <w:top w:val="nil"/>
              <w:left w:val="nil"/>
              <w:bottom w:val="single" w:sz="4" w:space="0" w:color="auto"/>
              <w:right w:val="single" w:sz="4" w:space="0" w:color="auto"/>
            </w:tcBorders>
            <w:shd w:val="clear" w:color="000000" w:fill="FFFFFF"/>
            <w:noWrap/>
            <w:vAlign w:val="bottom"/>
            <w:hideMark/>
          </w:tcPr>
          <w:p w14:paraId="1E543CD4" w14:textId="4F8BE95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80</w:t>
            </w:r>
          </w:p>
        </w:tc>
        <w:tc>
          <w:tcPr>
            <w:tcW w:w="1127" w:type="dxa"/>
            <w:tcBorders>
              <w:top w:val="nil"/>
              <w:left w:val="nil"/>
              <w:bottom w:val="single" w:sz="4" w:space="0" w:color="auto"/>
              <w:right w:val="single" w:sz="4" w:space="0" w:color="auto"/>
            </w:tcBorders>
            <w:shd w:val="clear" w:color="000000" w:fill="FFFFFF"/>
            <w:noWrap/>
            <w:vAlign w:val="bottom"/>
            <w:hideMark/>
          </w:tcPr>
          <w:p w14:paraId="20AE4FBC" w14:textId="582C214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w:t>
            </w:r>
          </w:p>
        </w:tc>
        <w:tc>
          <w:tcPr>
            <w:tcW w:w="996" w:type="dxa"/>
            <w:tcBorders>
              <w:top w:val="nil"/>
              <w:left w:val="nil"/>
              <w:bottom w:val="single" w:sz="4" w:space="0" w:color="auto"/>
              <w:right w:val="single" w:sz="4" w:space="0" w:color="auto"/>
            </w:tcBorders>
            <w:shd w:val="clear" w:color="000000" w:fill="FFFFFF"/>
            <w:noWrap/>
            <w:vAlign w:val="bottom"/>
            <w:hideMark/>
          </w:tcPr>
          <w:p w14:paraId="5A35940C" w14:textId="621552C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33</w:t>
            </w:r>
          </w:p>
        </w:tc>
        <w:tc>
          <w:tcPr>
            <w:tcW w:w="1096" w:type="dxa"/>
            <w:tcBorders>
              <w:top w:val="nil"/>
              <w:left w:val="nil"/>
              <w:bottom w:val="single" w:sz="4" w:space="0" w:color="auto"/>
              <w:right w:val="single" w:sz="8" w:space="0" w:color="auto"/>
            </w:tcBorders>
            <w:shd w:val="clear" w:color="000000" w:fill="FFFFFF"/>
            <w:noWrap/>
            <w:vAlign w:val="bottom"/>
            <w:hideMark/>
          </w:tcPr>
          <w:p w14:paraId="547D6567" w14:textId="4718382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766</w:t>
            </w:r>
          </w:p>
        </w:tc>
      </w:tr>
      <w:tr w:rsidR="00861244" w:rsidRPr="00E47FB2" w14:paraId="7DF0121D"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6D271CE9"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Piña</w:t>
            </w:r>
          </w:p>
        </w:tc>
        <w:tc>
          <w:tcPr>
            <w:tcW w:w="997" w:type="dxa"/>
            <w:tcBorders>
              <w:top w:val="nil"/>
              <w:left w:val="nil"/>
              <w:bottom w:val="single" w:sz="4" w:space="0" w:color="auto"/>
              <w:right w:val="single" w:sz="4" w:space="0" w:color="auto"/>
            </w:tcBorders>
            <w:shd w:val="clear" w:color="000000" w:fill="FFFFFF"/>
            <w:noWrap/>
            <w:vAlign w:val="bottom"/>
            <w:hideMark/>
          </w:tcPr>
          <w:p w14:paraId="108D199F" w14:textId="38C419A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6,979</w:t>
            </w:r>
          </w:p>
        </w:tc>
        <w:tc>
          <w:tcPr>
            <w:tcW w:w="997" w:type="dxa"/>
            <w:tcBorders>
              <w:top w:val="nil"/>
              <w:left w:val="nil"/>
              <w:bottom w:val="single" w:sz="4" w:space="0" w:color="auto"/>
              <w:right w:val="single" w:sz="4" w:space="0" w:color="auto"/>
            </w:tcBorders>
            <w:shd w:val="clear" w:color="000000" w:fill="FFFFFF"/>
            <w:noWrap/>
            <w:vAlign w:val="bottom"/>
            <w:hideMark/>
          </w:tcPr>
          <w:p w14:paraId="101CAFB9" w14:textId="1D9F5C8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4,291</w:t>
            </w:r>
          </w:p>
        </w:tc>
        <w:tc>
          <w:tcPr>
            <w:tcW w:w="997" w:type="dxa"/>
            <w:tcBorders>
              <w:top w:val="nil"/>
              <w:left w:val="nil"/>
              <w:bottom w:val="single" w:sz="4" w:space="0" w:color="auto"/>
              <w:right w:val="single" w:sz="4" w:space="0" w:color="auto"/>
            </w:tcBorders>
            <w:shd w:val="clear" w:color="000000" w:fill="FFFFFF"/>
            <w:noWrap/>
            <w:vAlign w:val="bottom"/>
            <w:hideMark/>
          </w:tcPr>
          <w:p w14:paraId="378E0035" w14:textId="111EA6A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3,095</w:t>
            </w:r>
          </w:p>
        </w:tc>
        <w:tc>
          <w:tcPr>
            <w:tcW w:w="996" w:type="dxa"/>
            <w:tcBorders>
              <w:top w:val="nil"/>
              <w:left w:val="nil"/>
              <w:bottom w:val="single" w:sz="4" w:space="0" w:color="auto"/>
              <w:right w:val="single" w:sz="4" w:space="0" w:color="auto"/>
            </w:tcBorders>
            <w:shd w:val="clear" w:color="000000" w:fill="FFFFFF"/>
            <w:noWrap/>
            <w:vAlign w:val="bottom"/>
            <w:hideMark/>
          </w:tcPr>
          <w:p w14:paraId="5DAACD57" w14:textId="2A611A8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3,121</w:t>
            </w:r>
          </w:p>
        </w:tc>
        <w:tc>
          <w:tcPr>
            <w:tcW w:w="996" w:type="dxa"/>
            <w:tcBorders>
              <w:top w:val="nil"/>
              <w:left w:val="nil"/>
              <w:bottom w:val="single" w:sz="4" w:space="0" w:color="auto"/>
              <w:right w:val="single" w:sz="4" w:space="0" w:color="auto"/>
            </w:tcBorders>
            <w:shd w:val="clear" w:color="000000" w:fill="FFFFFF"/>
            <w:noWrap/>
            <w:vAlign w:val="bottom"/>
            <w:hideMark/>
          </w:tcPr>
          <w:p w14:paraId="7C946582" w14:textId="1E434FB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3,541</w:t>
            </w:r>
          </w:p>
        </w:tc>
        <w:tc>
          <w:tcPr>
            <w:tcW w:w="996" w:type="dxa"/>
            <w:tcBorders>
              <w:top w:val="nil"/>
              <w:left w:val="nil"/>
              <w:bottom w:val="single" w:sz="4" w:space="0" w:color="auto"/>
              <w:right w:val="single" w:sz="4" w:space="0" w:color="auto"/>
            </w:tcBorders>
            <w:shd w:val="clear" w:color="000000" w:fill="FFFFFF"/>
            <w:noWrap/>
            <w:vAlign w:val="bottom"/>
            <w:hideMark/>
          </w:tcPr>
          <w:p w14:paraId="64072370" w14:textId="4536CC3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3,547</w:t>
            </w:r>
          </w:p>
        </w:tc>
        <w:tc>
          <w:tcPr>
            <w:tcW w:w="996" w:type="dxa"/>
            <w:tcBorders>
              <w:top w:val="nil"/>
              <w:left w:val="nil"/>
              <w:bottom w:val="single" w:sz="4" w:space="0" w:color="auto"/>
              <w:right w:val="single" w:sz="4" w:space="0" w:color="auto"/>
            </w:tcBorders>
            <w:shd w:val="clear" w:color="000000" w:fill="FFFFFF"/>
            <w:noWrap/>
            <w:vAlign w:val="bottom"/>
            <w:hideMark/>
          </w:tcPr>
          <w:p w14:paraId="00E7593B" w14:textId="68C0E1B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2,654</w:t>
            </w:r>
          </w:p>
        </w:tc>
        <w:tc>
          <w:tcPr>
            <w:tcW w:w="1107" w:type="dxa"/>
            <w:tcBorders>
              <w:top w:val="nil"/>
              <w:left w:val="nil"/>
              <w:bottom w:val="single" w:sz="4" w:space="0" w:color="auto"/>
              <w:right w:val="single" w:sz="4" w:space="0" w:color="auto"/>
            </w:tcBorders>
            <w:shd w:val="clear" w:color="000000" w:fill="FFFFFF"/>
            <w:noWrap/>
            <w:vAlign w:val="bottom"/>
            <w:hideMark/>
          </w:tcPr>
          <w:p w14:paraId="4656E23B" w14:textId="6419F3E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4,685</w:t>
            </w:r>
          </w:p>
        </w:tc>
        <w:tc>
          <w:tcPr>
            <w:tcW w:w="996" w:type="dxa"/>
            <w:tcBorders>
              <w:top w:val="nil"/>
              <w:left w:val="nil"/>
              <w:bottom w:val="single" w:sz="4" w:space="0" w:color="auto"/>
              <w:right w:val="single" w:sz="4" w:space="0" w:color="auto"/>
            </w:tcBorders>
            <w:shd w:val="clear" w:color="000000" w:fill="FFFFFF"/>
            <w:noWrap/>
            <w:vAlign w:val="bottom"/>
            <w:hideMark/>
          </w:tcPr>
          <w:p w14:paraId="0E31DB50" w14:textId="6DE54AC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3,542</w:t>
            </w:r>
          </w:p>
        </w:tc>
        <w:tc>
          <w:tcPr>
            <w:tcW w:w="996" w:type="dxa"/>
            <w:tcBorders>
              <w:top w:val="nil"/>
              <w:left w:val="nil"/>
              <w:bottom w:val="single" w:sz="4" w:space="0" w:color="auto"/>
              <w:right w:val="single" w:sz="4" w:space="0" w:color="auto"/>
            </w:tcBorders>
            <w:shd w:val="clear" w:color="000000" w:fill="FFFFFF"/>
            <w:noWrap/>
            <w:vAlign w:val="bottom"/>
            <w:hideMark/>
          </w:tcPr>
          <w:p w14:paraId="29B73DE4" w14:textId="1969B5F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4,251</w:t>
            </w:r>
          </w:p>
        </w:tc>
        <w:tc>
          <w:tcPr>
            <w:tcW w:w="1127" w:type="dxa"/>
            <w:tcBorders>
              <w:top w:val="nil"/>
              <w:left w:val="nil"/>
              <w:bottom w:val="single" w:sz="4" w:space="0" w:color="auto"/>
              <w:right w:val="single" w:sz="4" w:space="0" w:color="auto"/>
            </w:tcBorders>
            <w:shd w:val="clear" w:color="000000" w:fill="FFFFFF"/>
            <w:noWrap/>
            <w:vAlign w:val="bottom"/>
            <w:hideMark/>
          </w:tcPr>
          <w:p w14:paraId="75CE25A6" w14:textId="155C642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3,750</w:t>
            </w:r>
          </w:p>
        </w:tc>
        <w:tc>
          <w:tcPr>
            <w:tcW w:w="996" w:type="dxa"/>
            <w:tcBorders>
              <w:top w:val="nil"/>
              <w:left w:val="nil"/>
              <w:bottom w:val="single" w:sz="4" w:space="0" w:color="auto"/>
              <w:right w:val="single" w:sz="4" w:space="0" w:color="auto"/>
            </w:tcBorders>
            <w:shd w:val="clear" w:color="000000" w:fill="FFFFFF"/>
            <w:noWrap/>
            <w:vAlign w:val="bottom"/>
            <w:hideMark/>
          </w:tcPr>
          <w:p w14:paraId="008738A3" w14:textId="5EB9731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2,466</w:t>
            </w:r>
          </w:p>
        </w:tc>
        <w:tc>
          <w:tcPr>
            <w:tcW w:w="1096" w:type="dxa"/>
            <w:tcBorders>
              <w:top w:val="nil"/>
              <w:left w:val="nil"/>
              <w:bottom w:val="single" w:sz="4" w:space="0" w:color="auto"/>
              <w:right w:val="single" w:sz="8" w:space="0" w:color="auto"/>
            </w:tcBorders>
            <w:shd w:val="clear" w:color="000000" w:fill="FFFFFF"/>
            <w:noWrap/>
            <w:vAlign w:val="bottom"/>
            <w:hideMark/>
          </w:tcPr>
          <w:p w14:paraId="5E9464E8" w14:textId="5B18DC3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45,922</w:t>
            </w:r>
          </w:p>
        </w:tc>
      </w:tr>
      <w:tr w:rsidR="00861244" w:rsidRPr="00E47FB2" w14:paraId="773CDEC2"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7DF3D52C"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Limón Agrio</w:t>
            </w:r>
          </w:p>
        </w:tc>
        <w:tc>
          <w:tcPr>
            <w:tcW w:w="997" w:type="dxa"/>
            <w:tcBorders>
              <w:top w:val="nil"/>
              <w:left w:val="nil"/>
              <w:bottom w:val="single" w:sz="4" w:space="0" w:color="auto"/>
              <w:right w:val="single" w:sz="4" w:space="0" w:color="auto"/>
            </w:tcBorders>
            <w:shd w:val="clear" w:color="000000" w:fill="FFFFFF"/>
            <w:noWrap/>
            <w:vAlign w:val="bottom"/>
            <w:hideMark/>
          </w:tcPr>
          <w:p w14:paraId="0E45F5E5" w14:textId="077281C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1,105</w:t>
            </w:r>
          </w:p>
        </w:tc>
        <w:tc>
          <w:tcPr>
            <w:tcW w:w="997" w:type="dxa"/>
            <w:tcBorders>
              <w:top w:val="nil"/>
              <w:left w:val="nil"/>
              <w:bottom w:val="single" w:sz="4" w:space="0" w:color="auto"/>
              <w:right w:val="single" w:sz="4" w:space="0" w:color="auto"/>
            </w:tcBorders>
            <w:shd w:val="clear" w:color="000000" w:fill="FFFFFF"/>
            <w:noWrap/>
            <w:vAlign w:val="bottom"/>
            <w:hideMark/>
          </w:tcPr>
          <w:p w14:paraId="2CF6FDE0" w14:textId="7CA1406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1,020</w:t>
            </w:r>
          </w:p>
        </w:tc>
        <w:tc>
          <w:tcPr>
            <w:tcW w:w="997" w:type="dxa"/>
            <w:tcBorders>
              <w:top w:val="nil"/>
              <w:left w:val="nil"/>
              <w:bottom w:val="single" w:sz="4" w:space="0" w:color="auto"/>
              <w:right w:val="single" w:sz="4" w:space="0" w:color="auto"/>
            </w:tcBorders>
            <w:shd w:val="clear" w:color="000000" w:fill="FFFFFF"/>
            <w:noWrap/>
            <w:vAlign w:val="bottom"/>
            <w:hideMark/>
          </w:tcPr>
          <w:p w14:paraId="1A76503F" w14:textId="28B308E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1,755</w:t>
            </w:r>
          </w:p>
        </w:tc>
        <w:tc>
          <w:tcPr>
            <w:tcW w:w="996" w:type="dxa"/>
            <w:tcBorders>
              <w:top w:val="nil"/>
              <w:left w:val="nil"/>
              <w:bottom w:val="single" w:sz="4" w:space="0" w:color="auto"/>
              <w:right w:val="single" w:sz="4" w:space="0" w:color="auto"/>
            </w:tcBorders>
            <w:shd w:val="clear" w:color="000000" w:fill="FFFFFF"/>
            <w:noWrap/>
            <w:vAlign w:val="bottom"/>
            <w:hideMark/>
          </w:tcPr>
          <w:p w14:paraId="47F13A82" w14:textId="33FB274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1,234</w:t>
            </w:r>
          </w:p>
        </w:tc>
        <w:tc>
          <w:tcPr>
            <w:tcW w:w="996" w:type="dxa"/>
            <w:tcBorders>
              <w:top w:val="nil"/>
              <w:left w:val="nil"/>
              <w:bottom w:val="single" w:sz="4" w:space="0" w:color="auto"/>
              <w:right w:val="single" w:sz="4" w:space="0" w:color="auto"/>
            </w:tcBorders>
            <w:shd w:val="clear" w:color="000000" w:fill="FFFFFF"/>
            <w:noWrap/>
            <w:vAlign w:val="bottom"/>
            <w:hideMark/>
          </w:tcPr>
          <w:p w14:paraId="0C5E5ADB" w14:textId="4FF6D93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1,021</w:t>
            </w:r>
          </w:p>
        </w:tc>
        <w:tc>
          <w:tcPr>
            <w:tcW w:w="996" w:type="dxa"/>
            <w:tcBorders>
              <w:top w:val="nil"/>
              <w:left w:val="nil"/>
              <w:bottom w:val="single" w:sz="4" w:space="0" w:color="auto"/>
              <w:right w:val="single" w:sz="4" w:space="0" w:color="auto"/>
            </w:tcBorders>
            <w:shd w:val="clear" w:color="000000" w:fill="FFFFFF"/>
            <w:noWrap/>
            <w:vAlign w:val="bottom"/>
            <w:hideMark/>
          </w:tcPr>
          <w:p w14:paraId="1AD03DEE" w14:textId="32DACAD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1,201</w:t>
            </w:r>
          </w:p>
        </w:tc>
        <w:tc>
          <w:tcPr>
            <w:tcW w:w="996" w:type="dxa"/>
            <w:tcBorders>
              <w:top w:val="nil"/>
              <w:left w:val="nil"/>
              <w:bottom w:val="single" w:sz="4" w:space="0" w:color="auto"/>
              <w:right w:val="single" w:sz="4" w:space="0" w:color="auto"/>
            </w:tcBorders>
            <w:shd w:val="clear" w:color="000000" w:fill="FFFFFF"/>
            <w:noWrap/>
            <w:vAlign w:val="bottom"/>
            <w:hideMark/>
          </w:tcPr>
          <w:p w14:paraId="41E49A0B" w14:textId="70866B1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2,710</w:t>
            </w:r>
          </w:p>
        </w:tc>
        <w:tc>
          <w:tcPr>
            <w:tcW w:w="1107" w:type="dxa"/>
            <w:tcBorders>
              <w:top w:val="nil"/>
              <w:left w:val="nil"/>
              <w:bottom w:val="single" w:sz="4" w:space="0" w:color="auto"/>
              <w:right w:val="single" w:sz="4" w:space="0" w:color="auto"/>
            </w:tcBorders>
            <w:shd w:val="clear" w:color="000000" w:fill="FFFFFF"/>
            <w:noWrap/>
            <w:vAlign w:val="bottom"/>
            <w:hideMark/>
          </w:tcPr>
          <w:p w14:paraId="79F675E1" w14:textId="708A8E5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962</w:t>
            </w:r>
          </w:p>
        </w:tc>
        <w:tc>
          <w:tcPr>
            <w:tcW w:w="996" w:type="dxa"/>
            <w:tcBorders>
              <w:top w:val="nil"/>
              <w:left w:val="nil"/>
              <w:bottom w:val="single" w:sz="4" w:space="0" w:color="auto"/>
              <w:right w:val="single" w:sz="4" w:space="0" w:color="auto"/>
            </w:tcBorders>
            <w:shd w:val="clear" w:color="000000" w:fill="FFFFFF"/>
            <w:noWrap/>
            <w:vAlign w:val="bottom"/>
            <w:hideMark/>
          </w:tcPr>
          <w:p w14:paraId="7F15296D" w14:textId="5F0B9EE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3,011</w:t>
            </w:r>
          </w:p>
        </w:tc>
        <w:tc>
          <w:tcPr>
            <w:tcW w:w="996" w:type="dxa"/>
            <w:tcBorders>
              <w:top w:val="nil"/>
              <w:left w:val="nil"/>
              <w:bottom w:val="single" w:sz="4" w:space="0" w:color="auto"/>
              <w:right w:val="single" w:sz="4" w:space="0" w:color="auto"/>
            </w:tcBorders>
            <w:shd w:val="clear" w:color="000000" w:fill="FFFFFF"/>
            <w:noWrap/>
            <w:vAlign w:val="bottom"/>
            <w:hideMark/>
          </w:tcPr>
          <w:p w14:paraId="69E341FE" w14:textId="0F0A6C1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2,031</w:t>
            </w:r>
          </w:p>
        </w:tc>
        <w:tc>
          <w:tcPr>
            <w:tcW w:w="1127" w:type="dxa"/>
            <w:tcBorders>
              <w:top w:val="nil"/>
              <w:left w:val="nil"/>
              <w:bottom w:val="single" w:sz="4" w:space="0" w:color="auto"/>
              <w:right w:val="single" w:sz="4" w:space="0" w:color="auto"/>
            </w:tcBorders>
            <w:shd w:val="clear" w:color="000000" w:fill="FFFFFF"/>
            <w:noWrap/>
            <w:vAlign w:val="bottom"/>
            <w:hideMark/>
          </w:tcPr>
          <w:p w14:paraId="4E678FCE" w14:textId="7041173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1,648</w:t>
            </w:r>
          </w:p>
        </w:tc>
        <w:tc>
          <w:tcPr>
            <w:tcW w:w="996" w:type="dxa"/>
            <w:tcBorders>
              <w:top w:val="nil"/>
              <w:left w:val="nil"/>
              <w:bottom w:val="single" w:sz="4" w:space="0" w:color="auto"/>
              <w:right w:val="single" w:sz="4" w:space="0" w:color="auto"/>
            </w:tcBorders>
            <w:shd w:val="clear" w:color="000000" w:fill="FFFFFF"/>
            <w:noWrap/>
            <w:vAlign w:val="bottom"/>
            <w:hideMark/>
          </w:tcPr>
          <w:p w14:paraId="7604A634" w14:textId="47AF85B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659</w:t>
            </w:r>
          </w:p>
        </w:tc>
        <w:tc>
          <w:tcPr>
            <w:tcW w:w="1096" w:type="dxa"/>
            <w:tcBorders>
              <w:top w:val="nil"/>
              <w:left w:val="nil"/>
              <w:bottom w:val="single" w:sz="4" w:space="0" w:color="auto"/>
              <w:right w:val="single" w:sz="8" w:space="0" w:color="auto"/>
            </w:tcBorders>
            <w:shd w:val="clear" w:color="000000" w:fill="FFFFFF"/>
            <w:noWrap/>
            <w:vAlign w:val="bottom"/>
            <w:hideMark/>
          </w:tcPr>
          <w:p w14:paraId="2B6906F6" w14:textId="31B3E59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18,357</w:t>
            </w:r>
          </w:p>
        </w:tc>
      </w:tr>
      <w:tr w:rsidR="00861244" w:rsidRPr="00E47FB2" w14:paraId="0BC36958"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753ABF0B"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 xml:space="preserve">Toronja </w:t>
            </w:r>
          </w:p>
        </w:tc>
        <w:tc>
          <w:tcPr>
            <w:tcW w:w="997" w:type="dxa"/>
            <w:tcBorders>
              <w:top w:val="nil"/>
              <w:left w:val="nil"/>
              <w:bottom w:val="single" w:sz="4" w:space="0" w:color="auto"/>
              <w:right w:val="single" w:sz="4" w:space="0" w:color="auto"/>
            </w:tcBorders>
            <w:shd w:val="clear" w:color="000000" w:fill="FFFFFF"/>
            <w:noWrap/>
            <w:vAlign w:val="bottom"/>
            <w:hideMark/>
          </w:tcPr>
          <w:p w14:paraId="69C011E3" w14:textId="0607D6D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7" w:type="dxa"/>
            <w:tcBorders>
              <w:top w:val="nil"/>
              <w:left w:val="nil"/>
              <w:bottom w:val="single" w:sz="4" w:space="0" w:color="auto"/>
              <w:right w:val="single" w:sz="4" w:space="0" w:color="auto"/>
            </w:tcBorders>
            <w:shd w:val="clear" w:color="000000" w:fill="FFFFFF"/>
            <w:noWrap/>
            <w:vAlign w:val="bottom"/>
            <w:hideMark/>
          </w:tcPr>
          <w:p w14:paraId="087B2C47" w14:textId="793603C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w:t>
            </w:r>
          </w:p>
        </w:tc>
        <w:tc>
          <w:tcPr>
            <w:tcW w:w="997" w:type="dxa"/>
            <w:tcBorders>
              <w:top w:val="nil"/>
              <w:left w:val="nil"/>
              <w:bottom w:val="single" w:sz="4" w:space="0" w:color="auto"/>
              <w:right w:val="single" w:sz="4" w:space="0" w:color="auto"/>
            </w:tcBorders>
            <w:shd w:val="clear" w:color="000000" w:fill="FFFFFF"/>
            <w:noWrap/>
            <w:vAlign w:val="bottom"/>
            <w:hideMark/>
          </w:tcPr>
          <w:p w14:paraId="785E481A" w14:textId="15809AB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w:t>
            </w:r>
          </w:p>
        </w:tc>
        <w:tc>
          <w:tcPr>
            <w:tcW w:w="996" w:type="dxa"/>
            <w:tcBorders>
              <w:top w:val="nil"/>
              <w:left w:val="nil"/>
              <w:bottom w:val="single" w:sz="4" w:space="0" w:color="auto"/>
              <w:right w:val="single" w:sz="4" w:space="0" w:color="auto"/>
            </w:tcBorders>
            <w:shd w:val="clear" w:color="000000" w:fill="FFFFFF"/>
            <w:noWrap/>
            <w:vAlign w:val="bottom"/>
            <w:hideMark/>
          </w:tcPr>
          <w:p w14:paraId="54010302" w14:textId="1E10FD0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45DD3D6A" w14:textId="4AA1C26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26</w:t>
            </w:r>
          </w:p>
        </w:tc>
        <w:tc>
          <w:tcPr>
            <w:tcW w:w="996" w:type="dxa"/>
            <w:tcBorders>
              <w:top w:val="nil"/>
              <w:left w:val="nil"/>
              <w:bottom w:val="single" w:sz="4" w:space="0" w:color="auto"/>
              <w:right w:val="single" w:sz="4" w:space="0" w:color="auto"/>
            </w:tcBorders>
            <w:shd w:val="clear" w:color="000000" w:fill="FFFFFF"/>
            <w:noWrap/>
            <w:vAlign w:val="bottom"/>
            <w:hideMark/>
          </w:tcPr>
          <w:p w14:paraId="5389F59B" w14:textId="4674AB0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6EA01CF0" w14:textId="6C5DD23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1107" w:type="dxa"/>
            <w:tcBorders>
              <w:top w:val="nil"/>
              <w:left w:val="nil"/>
              <w:bottom w:val="single" w:sz="4" w:space="0" w:color="auto"/>
              <w:right w:val="single" w:sz="4" w:space="0" w:color="auto"/>
            </w:tcBorders>
            <w:shd w:val="clear" w:color="000000" w:fill="FFFFFF"/>
            <w:noWrap/>
            <w:vAlign w:val="bottom"/>
            <w:hideMark/>
          </w:tcPr>
          <w:p w14:paraId="0F831708" w14:textId="2AC2D0F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w:t>
            </w:r>
          </w:p>
        </w:tc>
        <w:tc>
          <w:tcPr>
            <w:tcW w:w="996" w:type="dxa"/>
            <w:tcBorders>
              <w:top w:val="nil"/>
              <w:left w:val="nil"/>
              <w:bottom w:val="single" w:sz="4" w:space="0" w:color="auto"/>
              <w:right w:val="single" w:sz="4" w:space="0" w:color="auto"/>
            </w:tcBorders>
            <w:shd w:val="clear" w:color="000000" w:fill="FFFFFF"/>
            <w:noWrap/>
            <w:vAlign w:val="bottom"/>
            <w:hideMark/>
          </w:tcPr>
          <w:p w14:paraId="33173A7D" w14:textId="5C5EBC1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18</w:t>
            </w:r>
          </w:p>
        </w:tc>
        <w:tc>
          <w:tcPr>
            <w:tcW w:w="996" w:type="dxa"/>
            <w:tcBorders>
              <w:top w:val="nil"/>
              <w:left w:val="nil"/>
              <w:bottom w:val="single" w:sz="4" w:space="0" w:color="auto"/>
              <w:right w:val="single" w:sz="4" w:space="0" w:color="auto"/>
            </w:tcBorders>
            <w:shd w:val="clear" w:color="000000" w:fill="FFFFFF"/>
            <w:noWrap/>
            <w:vAlign w:val="bottom"/>
            <w:hideMark/>
          </w:tcPr>
          <w:p w14:paraId="1D2BAA2D" w14:textId="12F7900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w:t>
            </w:r>
          </w:p>
        </w:tc>
        <w:tc>
          <w:tcPr>
            <w:tcW w:w="1127" w:type="dxa"/>
            <w:tcBorders>
              <w:top w:val="nil"/>
              <w:left w:val="nil"/>
              <w:bottom w:val="single" w:sz="4" w:space="0" w:color="auto"/>
              <w:right w:val="single" w:sz="4" w:space="0" w:color="auto"/>
            </w:tcBorders>
            <w:shd w:val="clear" w:color="000000" w:fill="FFFFFF"/>
            <w:noWrap/>
            <w:vAlign w:val="bottom"/>
            <w:hideMark/>
          </w:tcPr>
          <w:p w14:paraId="2F2C2EE1" w14:textId="4381D58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4D0F3FDC" w14:textId="15284B6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1096" w:type="dxa"/>
            <w:tcBorders>
              <w:top w:val="nil"/>
              <w:left w:val="nil"/>
              <w:bottom w:val="single" w:sz="4" w:space="0" w:color="auto"/>
              <w:right w:val="single" w:sz="8" w:space="0" w:color="auto"/>
            </w:tcBorders>
            <w:shd w:val="clear" w:color="000000" w:fill="FFFFFF"/>
            <w:noWrap/>
            <w:vAlign w:val="bottom"/>
            <w:hideMark/>
          </w:tcPr>
          <w:p w14:paraId="5D11B7C2" w14:textId="66F3046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96</w:t>
            </w:r>
          </w:p>
        </w:tc>
      </w:tr>
      <w:tr w:rsidR="00861244" w:rsidRPr="00E47FB2" w14:paraId="12B0368E"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62ACFC9B"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Mandarina</w:t>
            </w:r>
          </w:p>
        </w:tc>
        <w:tc>
          <w:tcPr>
            <w:tcW w:w="997" w:type="dxa"/>
            <w:tcBorders>
              <w:top w:val="nil"/>
              <w:left w:val="nil"/>
              <w:bottom w:val="single" w:sz="4" w:space="0" w:color="auto"/>
              <w:right w:val="single" w:sz="4" w:space="0" w:color="auto"/>
            </w:tcBorders>
            <w:shd w:val="clear" w:color="000000" w:fill="FFFFFF"/>
            <w:noWrap/>
            <w:vAlign w:val="bottom"/>
            <w:hideMark/>
          </w:tcPr>
          <w:p w14:paraId="2163A386" w14:textId="7F40ED3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7" w:type="dxa"/>
            <w:tcBorders>
              <w:top w:val="nil"/>
              <w:left w:val="nil"/>
              <w:bottom w:val="single" w:sz="4" w:space="0" w:color="auto"/>
              <w:right w:val="single" w:sz="4" w:space="0" w:color="auto"/>
            </w:tcBorders>
            <w:shd w:val="clear" w:color="000000" w:fill="FFFFFF"/>
            <w:noWrap/>
            <w:vAlign w:val="bottom"/>
            <w:hideMark/>
          </w:tcPr>
          <w:p w14:paraId="0684FDA9" w14:textId="601BDF0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w:t>
            </w:r>
          </w:p>
        </w:tc>
        <w:tc>
          <w:tcPr>
            <w:tcW w:w="997" w:type="dxa"/>
            <w:tcBorders>
              <w:top w:val="nil"/>
              <w:left w:val="nil"/>
              <w:bottom w:val="single" w:sz="4" w:space="0" w:color="auto"/>
              <w:right w:val="single" w:sz="4" w:space="0" w:color="auto"/>
            </w:tcBorders>
            <w:shd w:val="clear" w:color="000000" w:fill="FFFFFF"/>
            <w:noWrap/>
            <w:vAlign w:val="bottom"/>
            <w:hideMark/>
          </w:tcPr>
          <w:p w14:paraId="3703F5CA" w14:textId="14EF35A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71</w:t>
            </w:r>
          </w:p>
        </w:tc>
        <w:tc>
          <w:tcPr>
            <w:tcW w:w="996" w:type="dxa"/>
            <w:tcBorders>
              <w:top w:val="nil"/>
              <w:left w:val="nil"/>
              <w:bottom w:val="single" w:sz="4" w:space="0" w:color="auto"/>
              <w:right w:val="single" w:sz="4" w:space="0" w:color="auto"/>
            </w:tcBorders>
            <w:shd w:val="clear" w:color="000000" w:fill="FFFFFF"/>
            <w:noWrap/>
            <w:vAlign w:val="bottom"/>
            <w:hideMark/>
          </w:tcPr>
          <w:p w14:paraId="2DF92578" w14:textId="3A62652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4A1F3353" w14:textId="77DA957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w:t>
            </w:r>
          </w:p>
        </w:tc>
        <w:tc>
          <w:tcPr>
            <w:tcW w:w="996" w:type="dxa"/>
            <w:tcBorders>
              <w:top w:val="nil"/>
              <w:left w:val="nil"/>
              <w:bottom w:val="single" w:sz="4" w:space="0" w:color="auto"/>
              <w:right w:val="single" w:sz="4" w:space="0" w:color="auto"/>
            </w:tcBorders>
            <w:shd w:val="clear" w:color="000000" w:fill="FFFFFF"/>
            <w:noWrap/>
            <w:vAlign w:val="bottom"/>
            <w:hideMark/>
          </w:tcPr>
          <w:p w14:paraId="2A00E2FA" w14:textId="270328F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w:t>
            </w:r>
          </w:p>
        </w:tc>
        <w:tc>
          <w:tcPr>
            <w:tcW w:w="996" w:type="dxa"/>
            <w:tcBorders>
              <w:top w:val="nil"/>
              <w:left w:val="nil"/>
              <w:bottom w:val="single" w:sz="4" w:space="0" w:color="auto"/>
              <w:right w:val="single" w:sz="4" w:space="0" w:color="auto"/>
            </w:tcBorders>
            <w:shd w:val="clear" w:color="000000" w:fill="FFFFFF"/>
            <w:noWrap/>
            <w:vAlign w:val="bottom"/>
            <w:hideMark/>
          </w:tcPr>
          <w:p w14:paraId="7F1052E7" w14:textId="445DA56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54</w:t>
            </w:r>
          </w:p>
        </w:tc>
        <w:tc>
          <w:tcPr>
            <w:tcW w:w="1107" w:type="dxa"/>
            <w:tcBorders>
              <w:top w:val="nil"/>
              <w:left w:val="nil"/>
              <w:bottom w:val="single" w:sz="4" w:space="0" w:color="auto"/>
              <w:right w:val="single" w:sz="4" w:space="0" w:color="auto"/>
            </w:tcBorders>
            <w:shd w:val="clear" w:color="000000" w:fill="FFFFFF"/>
            <w:noWrap/>
            <w:vAlign w:val="bottom"/>
            <w:hideMark/>
          </w:tcPr>
          <w:p w14:paraId="30497010" w14:textId="0EB0D40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0C5CF14E" w14:textId="22F3795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115</w:t>
            </w:r>
          </w:p>
        </w:tc>
        <w:tc>
          <w:tcPr>
            <w:tcW w:w="996" w:type="dxa"/>
            <w:tcBorders>
              <w:top w:val="nil"/>
              <w:left w:val="nil"/>
              <w:bottom w:val="single" w:sz="4" w:space="0" w:color="auto"/>
              <w:right w:val="single" w:sz="4" w:space="0" w:color="auto"/>
            </w:tcBorders>
            <w:shd w:val="clear" w:color="000000" w:fill="FFFFFF"/>
            <w:noWrap/>
            <w:vAlign w:val="bottom"/>
            <w:hideMark/>
          </w:tcPr>
          <w:p w14:paraId="64A1E87E" w14:textId="4465B73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w:t>
            </w:r>
          </w:p>
        </w:tc>
        <w:tc>
          <w:tcPr>
            <w:tcW w:w="1127" w:type="dxa"/>
            <w:tcBorders>
              <w:top w:val="nil"/>
              <w:left w:val="nil"/>
              <w:bottom w:val="single" w:sz="4" w:space="0" w:color="auto"/>
              <w:right w:val="single" w:sz="4" w:space="0" w:color="auto"/>
            </w:tcBorders>
            <w:shd w:val="clear" w:color="000000" w:fill="FFFFFF"/>
            <w:noWrap/>
            <w:vAlign w:val="bottom"/>
            <w:hideMark/>
          </w:tcPr>
          <w:p w14:paraId="32611B97" w14:textId="4DFC821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w:t>
            </w:r>
          </w:p>
        </w:tc>
        <w:tc>
          <w:tcPr>
            <w:tcW w:w="996" w:type="dxa"/>
            <w:tcBorders>
              <w:top w:val="nil"/>
              <w:left w:val="nil"/>
              <w:bottom w:val="single" w:sz="4" w:space="0" w:color="auto"/>
              <w:right w:val="single" w:sz="4" w:space="0" w:color="auto"/>
            </w:tcBorders>
            <w:shd w:val="clear" w:color="000000" w:fill="FFFFFF"/>
            <w:noWrap/>
            <w:vAlign w:val="bottom"/>
            <w:hideMark/>
          </w:tcPr>
          <w:p w14:paraId="526C4652" w14:textId="5D98500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w:t>
            </w:r>
          </w:p>
        </w:tc>
        <w:tc>
          <w:tcPr>
            <w:tcW w:w="1096" w:type="dxa"/>
            <w:tcBorders>
              <w:top w:val="nil"/>
              <w:left w:val="nil"/>
              <w:bottom w:val="single" w:sz="4" w:space="0" w:color="auto"/>
              <w:right w:val="single" w:sz="8" w:space="0" w:color="auto"/>
            </w:tcBorders>
            <w:shd w:val="clear" w:color="000000" w:fill="FFFFFF"/>
            <w:noWrap/>
            <w:vAlign w:val="bottom"/>
            <w:hideMark/>
          </w:tcPr>
          <w:p w14:paraId="1ED2A928" w14:textId="309993F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287</w:t>
            </w:r>
          </w:p>
        </w:tc>
      </w:tr>
      <w:tr w:rsidR="00861244" w:rsidRPr="00E47FB2" w14:paraId="6DBA61A5"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0D29A2F5"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Cereza</w:t>
            </w:r>
          </w:p>
        </w:tc>
        <w:tc>
          <w:tcPr>
            <w:tcW w:w="997" w:type="dxa"/>
            <w:tcBorders>
              <w:top w:val="nil"/>
              <w:left w:val="nil"/>
              <w:bottom w:val="single" w:sz="4" w:space="0" w:color="auto"/>
              <w:right w:val="single" w:sz="4" w:space="0" w:color="auto"/>
            </w:tcBorders>
            <w:shd w:val="clear" w:color="000000" w:fill="FFFFFF"/>
            <w:noWrap/>
            <w:vAlign w:val="bottom"/>
            <w:hideMark/>
          </w:tcPr>
          <w:p w14:paraId="115D3B6B" w14:textId="265B1A4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10</w:t>
            </w:r>
          </w:p>
        </w:tc>
        <w:tc>
          <w:tcPr>
            <w:tcW w:w="997" w:type="dxa"/>
            <w:tcBorders>
              <w:top w:val="nil"/>
              <w:left w:val="nil"/>
              <w:bottom w:val="single" w:sz="4" w:space="0" w:color="auto"/>
              <w:right w:val="single" w:sz="4" w:space="0" w:color="auto"/>
            </w:tcBorders>
            <w:shd w:val="clear" w:color="000000" w:fill="FFFFFF"/>
            <w:noWrap/>
            <w:vAlign w:val="bottom"/>
            <w:hideMark/>
          </w:tcPr>
          <w:p w14:paraId="40BD2401" w14:textId="1FD8DEA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119</w:t>
            </w:r>
          </w:p>
        </w:tc>
        <w:tc>
          <w:tcPr>
            <w:tcW w:w="997" w:type="dxa"/>
            <w:tcBorders>
              <w:top w:val="nil"/>
              <w:left w:val="nil"/>
              <w:bottom w:val="single" w:sz="4" w:space="0" w:color="auto"/>
              <w:right w:val="single" w:sz="4" w:space="0" w:color="auto"/>
            </w:tcBorders>
            <w:shd w:val="clear" w:color="000000" w:fill="FFFFFF"/>
            <w:noWrap/>
            <w:vAlign w:val="bottom"/>
            <w:hideMark/>
          </w:tcPr>
          <w:p w14:paraId="331B13AE" w14:textId="5BB87C9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607</w:t>
            </w:r>
          </w:p>
        </w:tc>
        <w:tc>
          <w:tcPr>
            <w:tcW w:w="996" w:type="dxa"/>
            <w:tcBorders>
              <w:top w:val="nil"/>
              <w:left w:val="nil"/>
              <w:bottom w:val="single" w:sz="4" w:space="0" w:color="auto"/>
              <w:right w:val="single" w:sz="4" w:space="0" w:color="auto"/>
            </w:tcBorders>
            <w:shd w:val="clear" w:color="000000" w:fill="FFFFFF"/>
            <w:noWrap/>
            <w:vAlign w:val="bottom"/>
            <w:hideMark/>
          </w:tcPr>
          <w:p w14:paraId="30CEC178" w14:textId="4F846DD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120</w:t>
            </w:r>
          </w:p>
        </w:tc>
        <w:tc>
          <w:tcPr>
            <w:tcW w:w="996" w:type="dxa"/>
            <w:tcBorders>
              <w:top w:val="nil"/>
              <w:left w:val="nil"/>
              <w:bottom w:val="single" w:sz="4" w:space="0" w:color="auto"/>
              <w:right w:val="single" w:sz="4" w:space="0" w:color="auto"/>
            </w:tcBorders>
            <w:shd w:val="clear" w:color="000000" w:fill="FFFFFF"/>
            <w:noWrap/>
            <w:vAlign w:val="bottom"/>
            <w:hideMark/>
          </w:tcPr>
          <w:p w14:paraId="06E0E879" w14:textId="61BFEC4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7D430F31" w14:textId="5B8AE90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71</w:t>
            </w:r>
          </w:p>
        </w:tc>
        <w:tc>
          <w:tcPr>
            <w:tcW w:w="996" w:type="dxa"/>
            <w:tcBorders>
              <w:top w:val="nil"/>
              <w:left w:val="nil"/>
              <w:bottom w:val="single" w:sz="4" w:space="0" w:color="auto"/>
              <w:right w:val="single" w:sz="4" w:space="0" w:color="auto"/>
            </w:tcBorders>
            <w:shd w:val="clear" w:color="000000" w:fill="FFFFFF"/>
            <w:noWrap/>
            <w:vAlign w:val="bottom"/>
            <w:hideMark/>
          </w:tcPr>
          <w:p w14:paraId="10AAD592" w14:textId="24842F4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59</w:t>
            </w:r>
          </w:p>
        </w:tc>
        <w:tc>
          <w:tcPr>
            <w:tcW w:w="1107" w:type="dxa"/>
            <w:tcBorders>
              <w:top w:val="nil"/>
              <w:left w:val="nil"/>
              <w:bottom w:val="single" w:sz="4" w:space="0" w:color="auto"/>
              <w:right w:val="single" w:sz="4" w:space="0" w:color="auto"/>
            </w:tcBorders>
            <w:shd w:val="clear" w:color="000000" w:fill="FFFFFF"/>
            <w:noWrap/>
            <w:vAlign w:val="bottom"/>
            <w:hideMark/>
          </w:tcPr>
          <w:p w14:paraId="04D004CE" w14:textId="645B651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w:t>
            </w:r>
          </w:p>
        </w:tc>
        <w:tc>
          <w:tcPr>
            <w:tcW w:w="996" w:type="dxa"/>
            <w:tcBorders>
              <w:top w:val="nil"/>
              <w:left w:val="nil"/>
              <w:bottom w:val="single" w:sz="4" w:space="0" w:color="auto"/>
              <w:right w:val="single" w:sz="4" w:space="0" w:color="auto"/>
            </w:tcBorders>
            <w:shd w:val="clear" w:color="000000" w:fill="FFFFFF"/>
            <w:noWrap/>
            <w:vAlign w:val="bottom"/>
            <w:hideMark/>
          </w:tcPr>
          <w:p w14:paraId="3B55003E" w14:textId="5442FDF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45</w:t>
            </w:r>
          </w:p>
        </w:tc>
        <w:tc>
          <w:tcPr>
            <w:tcW w:w="996" w:type="dxa"/>
            <w:tcBorders>
              <w:top w:val="nil"/>
              <w:left w:val="nil"/>
              <w:bottom w:val="single" w:sz="4" w:space="0" w:color="auto"/>
              <w:right w:val="single" w:sz="4" w:space="0" w:color="auto"/>
            </w:tcBorders>
            <w:shd w:val="clear" w:color="000000" w:fill="FFFFFF"/>
            <w:noWrap/>
            <w:vAlign w:val="bottom"/>
            <w:hideMark/>
          </w:tcPr>
          <w:p w14:paraId="46F72736" w14:textId="6DF2771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458</w:t>
            </w:r>
          </w:p>
        </w:tc>
        <w:tc>
          <w:tcPr>
            <w:tcW w:w="1127" w:type="dxa"/>
            <w:tcBorders>
              <w:top w:val="nil"/>
              <w:left w:val="nil"/>
              <w:bottom w:val="single" w:sz="4" w:space="0" w:color="auto"/>
              <w:right w:val="single" w:sz="4" w:space="0" w:color="auto"/>
            </w:tcBorders>
            <w:shd w:val="clear" w:color="000000" w:fill="FFFFFF"/>
            <w:noWrap/>
            <w:vAlign w:val="bottom"/>
            <w:hideMark/>
          </w:tcPr>
          <w:p w14:paraId="12A8108C" w14:textId="6FAC4C3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149</w:t>
            </w:r>
          </w:p>
        </w:tc>
        <w:tc>
          <w:tcPr>
            <w:tcW w:w="996" w:type="dxa"/>
            <w:tcBorders>
              <w:top w:val="nil"/>
              <w:left w:val="nil"/>
              <w:bottom w:val="single" w:sz="4" w:space="0" w:color="auto"/>
              <w:right w:val="single" w:sz="4" w:space="0" w:color="auto"/>
            </w:tcBorders>
            <w:shd w:val="clear" w:color="000000" w:fill="FFFFFF"/>
            <w:noWrap/>
            <w:vAlign w:val="bottom"/>
            <w:hideMark/>
          </w:tcPr>
          <w:p w14:paraId="548F7ABD" w14:textId="1433E7F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92</w:t>
            </w:r>
          </w:p>
        </w:tc>
        <w:tc>
          <w:tcPr>
            <w:tcW w:w="1096" w:type="dxa"/>
            <w:tcBorders>
              <w:top w:val="nil"/>
              <w:left w:val="nil"/>
              <w:bottom w:val="single" w:sz="4" w:space="0" w:color="auto"/>
              <w:right w:val="single" w:sz="8" w:space="0" w:color="auto"/>
            </w:tcBorders>
            <w:shd w:val="clear" w:color="000000" w:fill="FFFFFF"/>
            <w:noWrap/>
            <w:vAlign w:val="bottom"/>
            <w:hideMark/>
          </w:tcPr>
          <w:p w14:paraId="1F648120" w14:textId="15018F6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1,742</w:t>
            </w:r>
          </w:p>
        </w:tc>
      </w:tr>
      <w:tr w:rsidR="00861244" w:rsidRPr="00E47FB2" w14:paraId="548DD8EE"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2240D98D"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Granadillo</w:t>
            </w:r>
          </w:p>
        </w:tc>
        <w:tc>
          <w:tcPr>
            <w:tcW w:w="997" w:type="dxa"/>
            <w:tcBorders>
              <w:top w:val="nil"/>
              <w:left w:val="nil"/>
              <w:bottom w:val="single" w:sz="4" w:space="0" w:color="auto"/>
              <w:right w:val="single" w:sz="4" w:space="0" w:color="auto"/>
            </w:tcBorders>
            <w:shd w:val="clear" w:color="000000" w:fill="FFFFFF"/>
            <w:noWrap/>
            <w:vAlign w:val="bottom"/>
            <w:hideMark/>
          </w:tcPr>
          <w:p w14:paraId="2CE6AB33" w14:textId="7C6168C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38</w:t>
            </w:r>
          </w:p>
        </w:tc>
        <w:tc>
          <w:tcPr>
            <w:tcW w:w="997" w:type="dxa"/>
            <w:tcBorders>
              <w:top w:val="nil"/>
              <w:left w:val="nil"/>
              <w:bottom w:val="single" w:sz="4" w:space="0" w:color="auto"/>
              <w:right w:val="single" w:sz="4" w:space="0" w:color="auto"/>
            </w:tcBorders>
            <w:shd w:val="clear" w:color="000000" w:fill="FFFFFF"/>
            <w:noWrap/>
            <w:vAlign w:val="bottom"/>
            <w:hideMark/>
          </w:tcPr>
          <w:p w14:paraId="2842871D" w14:textId="61C89DA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81</w:t>
            </w:r>
          </w:p>
        </w:tc>
        <w:tc>
          <w:tcPr>
            <w:tcW w:w="997" w:type="dxa"/>
            <w:tcBorders>
              <w:top w:val="nil"/>
              <w:left w:val="nil"/>
              <w:bottom w:val="single" w:sz="4" w:space="0" w:color="auto"/>
              <w:right w:val="single" w:sz="4" w:space="0" w:color="auto"/>
            </w:tcBorders>
            <w:shd w:val="clear" w:color="000000" w:fill="FFFFFF"/>
            <w:noWrap/>
            <w:vAlign w:val="bottom"/>
            <w:hideMark/>
          </w:tcPr>
          <w:p w14:paraId="1B46373C" w14:textId="4925905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35</w:t>
            </w:r>
          </w:p>
        </w:tc>
        <w:tc>
          <w:tcPr>
            <w:tcW w:w="996" w:type="dxa"/>
            <w:tcBorders>
              <w:top w:val="nil"/>
              <w:left w:val="nil"/>
              <w:bottom w:val="single" w:sz="4" w:space="0" w:color="auto"/>
              <w:right w:val="single" w:sz="4" w:space="0" w:color="auto"/>
            </w:tcBorders>
            <w:shd w:val="clear" w:color="000000" w:fill="FFFFFF"/>
            <w:noWrap/>
            <w:vAlign w:val="bottom"/>
            <w:hideMark/>
          </w:tcPr>
          <w:p w14:paraId="6FC1A826" w14:textId="6D29705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70</w:t>
            </w:r>
          </w:p>
        </w:tc>
        <w:tc>
          <w:tcPr>
            <w:tcW w:w="996" w:type="dxa"/>
            <w:tcBorders>
              <w:top w:val="nil"/>
              <w:left w:val="nil"/>
              <w:bottom w:val="single" w:sz="4" w:space="0" w:color="auto"/>
              <w:right w:val="single" w:sz="4" w:space="0" w:color="auto"/>
            </w:tcBorders>
            <w:shd w:val="clear" w:color="000000" w:fill="FFFFFF"/>
            <w:noWrap/>
            <w:vAlign w:val="bottom"/>
            <w:hideMark/>
          </w:tcPr>
          <w:p w14:paraId="735CB236" w14:textId="120F6FF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26</w:t>
            </w:r>
          </w:p>
        </w:tc>
        <w:tc>
          <w:tcPr>
            <w:tcW w:w="996" w:type="dxa"/>
            <w:tcBorders>
              <w:top w:val="nil"/>
              <w:left w:val="nil"/>
              <w:bottom w:val="single" w:sz="4" w:space="0" w:color="auto"/>
              <w:right w:val="single" w:sz="4" w:space="0" w:color="auto"/>
            </w:tcBorders>
            <w:shd w:val="clear" w:color="000000" w:fill="FFFFFF"/>
            <w:noWrap/>
            <w:vAlign w:val="bottom"/>
            <w:hideMark/>
          </w:tcPr>
          <w:p w14:paraId="462DBDEC" w14:textId="60AA9C7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59</w:t>
            </w:r>
          </w:p>
        </w:tc>
        <w:tc>
          <w:tcPr>
            <w:tcW w:w="996" w:type="dxa"/>
            <w:tcBorders>
              <w:top w:val="nil"/>
              <w:left w:val="nil"/>
              <w:bottom w:val="single" w:sz="4" w:space="0" w:color="auto"/>
              <w:right w:val="single" w:sz="4" w:space="0" w:color="auto"/>
            </w:tcBorders>
            <w:shd w:val="clear" w:color="000000" w:fill="FFFFFF"/>
            <w:noWrap/>
            <w:vAlign w:val="bottom"/>
            <w:hideMark/>
          </w:tcPr>
          <w:p w14:paraId="63DBEDC2" w14:textId="6E08DB9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w:t>
            </w:r>
          </w:p>
        </w:tc>
        <w:tc>
          <w:tcPr>
            <w:tcW w:w="1107" w:type="dxa"/>
            <w:tcBorders>
              <w:top w:val="nil"/>
              <w:left w:val="nil"/>
              <w:bottom w:val="single" w:sz="4" w:space="0" w:color="auto"/>
              <w:right w:val="single" w:sz="4" w:space="0" w:color="auto"/>
            </w:tcBorders>
            <w:shd w:val="clear" w:color="000000" w:fill="FFFFFF"/>
            <w:noWrap/>
            <w:vAlign w:val="bottom"/>
            <w:hideMark/>
          </w:tcPr>
          <w:p w14:paraId="073D2251" w14:textId="353C089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28</w:t>
            </w:r>
          </w:p>
        </w:tc>
        <w:tc>
          <w:tcPr>
            <w:tcW w:w="996" w:type="dxa"/>
            <w:tcBorders>
              <w:top w:val="nil"/>
              <w:left w:val="nil"/>
              <w:bottom w:val="single" w:sz="4" w:space="0" w:color="auto"/>
              <w:right w:val="single" w:sz="4" w:space="0" w:color="auto"/>
            </w:tcBorders>
            <w:shd w:val="clear" w:color="000000" w:fill="FFFFFF"/>
            <w:noWrap/>
            <w:vAlign w:val="bottom"/>
            <w:hideMark/>
          </w:tcPr>
          <w:p w14:paraId="4F5A340C" w14:textId="5EBE9C3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35</w:t>
            </w:r>
          </w:p>
        </w:tc>
        <w:tc>
          <w:tcPr>
            <w:tcW w:w="996" w:type="dxa"/>
            <w:tcBorders>
              <w:top w:val="nil"/>
              <w:left w:val="nil"/>
              <w:bottom w:val="single" w:sz="4" w:space="0" w:color="auto"/>
              <w:right w:val="single" w:sz="4" w:space="0" w:color="auto"/>
            </w:tcBorders>
            <w:shd w:val="clear" w:color="000000" w:fill="FFFFFF"/>
            <w:noWrap/>
            <w:vAlign w:val="bottom"/>
            <w:hideMark/>
          </w:tcPr>
          <w:p w14:paraId="528B9A28" w14:textId="38785DD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59</w:t>
            </w:r>
          </w:p>
        </w:tc>
        <w:tc>
          <w:tcPr>
            <w:tcW w:w="1127" w:type="dxa"/>
            <w:tcBorders>
              <w:top w:val="nil"/>
              <w:left w:val="nil"/>
              <w:bottom w:val="single" w:sz="4" w:space="0" w:color="auto"/>
              <w:right w:val="single" w:sz="4" w:space="0" w:color="auto"/>
            </w:tcBorders>
            <w:shd w:val="clear" w:color="000000" w:fill="FFFFFF"/>
            <w:noWrap/>
            <w:vAlign w:val="bottom"/>
            <w:hideMark/>
          </w:tcPr>
          <w:p w14:paraId="50A5DCA7" w14:textId="1DCD7FD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102</w:t>
            </w:r>
          </w:p>
        </w:tc>
        <w:tc>
          <w:tcPr>
            <w:tcW w:w="996" w:type="dxa"/>
            <w:tcBorders>
              <w:top w:val="nil"/>
              <w:left w:val="nil"/>
              <w:bottom w:val="single" w:sz="4" w:space="0" w:color="auto"/>
              <w:right w:val="single" w:sz="4" w:space="0" w:color="auto"/>
            </w:tcBorders>
            <w:shd w:val="clear" w:color="000000" w:fill="FFFFFF"/>
            <w:noWrap/>
            <w:vAlign w:val="bottom"/>
            <w:hideMark/>
          </w:tcPr>
          <w:p w14:paraId="060ED0A2" w14:textId="3222621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w:t>
            </w:r>
          </w:p>
        </w:tc>
        <w:tc>
          <w:tcPr>
            <w:tcW w:w="1096" w:type="dxa"/>
            <w:tcBorders>
              <w:top w:val="nil"/>
              <w:left w:val="nil"/>
              <w:bottom w:val="single" w:sz="4" w:space="0" w:color="auto"/>
              <w:right w:val="single" w:sz="8" w:space="0" w:color="auto"/>
            </w:tcBorders>
            <w:shd w:val="clear" w:color="000000" w:fill="FFFFFF"/>
            <w:noWrap/>
            <w:vAlign w:val="bottom"/>
            <w:hideMark/>
          </w:tcPr>
          <w:p w14:paraId="016681CA" w14:textId="1245979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567</w:t>
            </w:r>
          </w:p>
        </w:tc>
      </w:tr>
      <w:tr w:rsidR="00861244" w:rsidRPr="00E47FB2" w14:paraId="1142907D"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60C8054A"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Guanabana</w:t>
            </w:r>
          </w:p>
        </w:tc>
        <w:tc>
          <w:tcPr>
            <w:tcW w:w="997" w:type="dxa"/>
            <w:tcBorders>
              <w:top w:val="nil"/>
              <w:left w:val="nil"/>
              <w:bottom w:val="single" w:sz="4" w:space="0" w:color="auto"/>
              <w:right w:val="single" w:sz="4" w:space="0" w:color="auto"/>
            </w:tcBorders>
            <w:shd w:val="clear" w:color="000000" w:fill="FFFFFF"/>
            <w:noWrap/>
            <w:vAlign w:val="bottom"/>
            <w:hideMark/>
          </w:tcPr>
          <w:p w14:paraId="747FE396" w14:textId="3F7355A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w:t>
            </w:r>
          </w:p>
        </w:tc>
        <w:tc>
          <w:tcPr>
            <w:tcW w:w="997" w:type="dxa"/>
            <w:tcBorders>
              <w:top w:val="nil"/>
              <w:left w:val="nil"/>
              <w:bottom w:val="single" w:sz="4" w:space="0" w:color="auto"/>
              <w:right w:val="single" w:sz="4" w:space="0" w:color="auto"/>
            </w:tcBorders>
            <w:shd w:val="clear" w:color="000000" w:fill="FFFFFF"/>
            <w:noWrap/>
            <w:vAlign w:val="bottom"/>
            <w:hideMark/>
          </w:tcPr>
          <w:p w14:paraId="694AED6C" w14:textId="106AA14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w:t>
            </w:r>
          </w:p>
        </w:tc>
        <w:tc>
          <w:tcPr>
            <w:tcW w:w="997" w:type="dxa"/>
            <w:tcBorders>
              <w:top w:val="nil"/>
              <w:left w:val="nil"/>
              <w:bottom w:val="single" w:sz="4" w:space="0" w:color="auto"/>
              <w:right w:val="single" w:sz="4" w:space="0" w:color="auto"/>
            </w:tcBorders>
            <w:shd w:val="clear" w:color="000000" w:fill="FFFFFF"/>
            <w:noWrap/>
            <w:vAlign w:val="bottom"/>
            <w:hideMark/>
          </w:tcPr>
          <w:p w14:paraId="7A8332DB" w14:textId="48BA920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1642E79C" w14:textId="1C464CF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40</w:t>
            </w:r>
          </w:p>
        </w:tc>
        <w:tc>
          <w:tcPr>
            <w:tcW w:w="996" w:type="dxa"/>
            <w:tcBorders>
              <w:top w:val="nil"/>
              <w:left w:val="nil"/>
              <w:bottom w:val="single" w:sz="4" w:space="0" w:color="auto"/>
              <w:right w:val="single" w:sz="4" w:space="0" w:color="auto"/>
            </w:tcBorders>
            <w:shd w:val="clear" w:color="000000" w:fill="FFFFFF"/>
            <w:noWrap/>
            <w:vAlign w:val="bottom"/>
            <w:hideMark/>
          </w:tcPr>
          <w:p w14:paraId="1FBBFC74" w14:textId="02DC33B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w:t>
            </w:r>
          </w:p>
        </w:tc>
        <w:tc>
          <w:tcPr>
            <w:tcW w:w="996" w:type="dxa"/>
            <w:tcBorders>
              <w:top w:val="nil"/>
              <w:left w:val="nil"/>
              <w:bottom w:val="single" w:sz="4" w:space="0" w:color="auto"/>
              <w:right w:val="single" w:sz="4" w:space="0" w:color="auto"/>
            </w:tcBorders>
            <w:shd w:val="clear" w:color="000000" w:fill="FFFFFF"/>
            <w:noWrap/>
            <w:vAlign w:val="bottom"/>
            <w:hideMark/>
          </w:tcPr>
          <w:p w14:paraId="09D0AB23" w14:textId="74A935D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w:t>
            </w:r>
          </w:p>
        </w:tc>
        <w:tc>
          <w:tcPr>
            <w:tcW w:w="996" w:type="dxa"/>
            <w:tcBorders>
              <w:top w:val="nil"/>
              <w:left w:val="nil"/>
              <w:bottom w:val="single" w:sz="4" w:space="0" w:color="auto"/>
              <w:right w:val="single" w:sz="4" w:space="0" w:color="auto"/>
            </w:tcBorders>
            <w:shd w:val="clear" w:color="000000" w:fill="FFFFFF"/>
            <w:noWrap/>
            <w:vAlign w:val="bottom"/>
            <w:hideMark/>
          </w:tcPr>
          <w:p w14:paraId="25420BA6" w14:textId="41EE30B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135</w:t>
            </w:r>
          </w:p>
        </w:tc>
        <w:tc>
          <w:tcPr>
            <w:tcW w:w="1107" w:type="dxa"/>
            <w:tcBorders>
              <w:top w:val="nil"/>
              <w:left w:val="nil"/>
              <w:bottom w:val="single" w:sz="4" w:space="0" w:color="auto"/>
              <w:right w:val="single" w:sz="4" w:space="0" w:color="auto"/>
            </w:tcBorders>
            <w:shd w:val="clear" w:color="000000" w:fill="FFFFFF"/>
            <w:noWrap/>
            <w:vAlign w:val="bottom"/>
            <w:hideMark/>
          </w:tcPr>
          <w:p w14:paraId="71C5A00A" w14:textId="64B129F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65</w:t>
            </w:r>
          </w:p>
        </w:tc>
        <w:tc>
          <w:tcPr>
            <w:tcW w:w="996" w:type="dxa"/>
            <w:tcBorders>
              <w:top w:val="nil"/>
              <w:left w:val="nil"/>
              <w:bottom w:val="single" w:sz="4" w:space="0" w:color="auto"/>
              <w:right w:val="single" w:sz="4" w:space="0" w:color="auto"/>
            </w:tcBorders>
            <w:shd w:val="clear" w:color="000000" w:fill="FFFFFF"/>
            <w:noWrap/>
            <w:vAlign w:val="bottom"/>
            <w:hideMark/>
          </w:tcPr>
          <w:p w14:paraId="45999D70" w14:textId="05A8D59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39</w:t>
            </w:r>
          </w:p>
        </w:tc>
        <w:tc>
          <w:tcPr>
            <w:tcW w:w="996" w:type="dxa"/>
            <w:tcBorders>
              <w:top w:val="nil"/>
              <w:left w:val="nil"/>
              <w:bottom w:val="single" w:sz="4" w:space="0" w:color="auto"/>
              <w:right w:val="single" w:sz="4" w:space="0" w:color="auto"/>
            </w:tcBorders>
            <w:shd w:val="clear" w:color="000000" w:fill="FFFFFF"/>
            <w:noWrap/>
            <w:vAlign w:val="bottom"/>
            <w:hideMark/>
          </w:tcPr>
          <w:p w14:paraId="3139AAA1" w14:textId="64E4C17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w:t>
            </w:r>
          </w:p>
        </w:tc>
        <w:tc>
          <w:tcPr>
            <w:tcW w:w="1127" w:type="dxa"/>
            <w:tcBorders>
              <w:top w:val="nil"/>
              <w:left w:val="nil"/>
              <w:bottom w:val="single" w:sz="4" w:space="0" w:color="auto"/>
              <w:right w:val="single" w:sz="4" w:space="0" w:color="auto"/>
            </w:tcBorders>
            <w:shd w:val="clear" w:color="000000" w:fill="FFFFFF"/>
            <w:noWrap/>
            <w:vAlign w:val="bottom"/>
            <w:hideMark/>
          </w:tcPr>
          <w:p w14:paraId="0C53AD45" w14:textId="0B02A71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29</w:t>
            </w:r>
          </w:p>
        </w:tc>
        <w:tc>
          <w:tcPr>
            <w:tcW w:w="996" w:type="dxa"/>
            <w:tcBorders>
              <w:top w:val="nil"/>
              <w:left w:val="nil"/>
              <w:bottom w:val="single" w:sz="4" w:space="0" w:color="auto"/>
              <w:right w:val="single" w:sz="4" w:space="0" w:color="auto"/>
            </w:tcBorders>
            <w:shd w:val="clear" w:color="000000" w:fill="FFFFFF"/>
            <w:noWrap/>
            <w:vAlign w:val="bottom"/>
            <w:hideMark/>
          </w:tcPr>
          <w:p w14:paraId="012AEE30" w14:textId="3251701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67</w:t>
            </w:r>
          </w:p>
        </w:tc>
        <w:tc>
          <w:tcPr>
            <w:tcW w:w="1096" w:type="dxa"/>
            <w:tcBorders>
              <w:top w:val="nil"/>
              <w:left w:val="nil"/>
              <w:bottom w:val="single" w:sz="4" w:space="0" w:color="auto"/>
              <w:right w:val="single" w:sz="8" w:space="0" w:color="auto"/>
            </w:tcBorders>
            <w:shd w:val="clear" w:color="000000" w:fill="FFFFFF"/>
            <w:noWrap/>
            <w:vAlign w:val="bottom"/>
            <w:hideMark/>
          </w:tcPr>
          <w:p w14:paraId="67004ACD" w14:textId="175FE34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427</w:t>
            </w:r>
          </w:p>
        </w:tc>
      </w:tr>
      <w:tr w:rsidR="00861244" w:rsidRPr="00E47FB2" w14:paraId="0E465AA8"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41ADCD92"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Guayaba</w:t>
            </w:r>
          </w:p>
        </w:tc>
        <w:tc>
          <w:tcPr>
            <w:tcW w:w="997" w:type="dxa"/>
            <w:tcBorders>
              <w:top w:val="nil"/>
              <w:left w:val="nil"/>
              <w:bottom w:val="single" w:sz="4" w:space="0" w:color="auto"/>
              <w:right w:val="single" w:sz="4" w:space="0" w:color="auto"/>
            </w:tcBorders>
            <w:shd w:val="clear" w:color="000000" w:fill="FFFFFF"/>
            <w:noWrap/>
            <w:vAlign w:val="bottom"/>
            <w:hideMark/>
          </w:tcPr>
          <w:p w14:paraId="43B442CA" w14:textId="18A1F54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w:t>
            </w:r>
          </w:p>
        </w:tc>
        <w:tc>
          <w:tcPr>
            <w:tcW w:w="997" w:type="dxa"/>
            <w:tcBorders>
              <w:top w:val="nil"/>
              <w:left w:val="nil"/>
              <w:bottom w:val="single" w:sz="4" w:space="0" w:color="auto"/>
              <w:right w:val="single" w:sz="4" w:space="0" w:color="auto"/>
            </w:tcBorders>
            <w:shd w:val="clear" w:color="000000" w:fill="FFFFFF"/>
            <w:noWrap/>
            <w:vAlign w:val="bottom"/>
            <w:hideMark/>
          </w:tcPr>
          <w:p w14:paraId="757316AC" w14:textId="3F3B5C8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100</w:t>
            </w:r>
          </w:p>
        </w:tc>
        <w:tc>
          <w:tcPr>
            <w:tcW w:w="997" w:type="dxa"/>
            <w:tcBorders>
              <w:top w:val="nil"/>
              <w:left w:val="nil"/>
              <w:bottom w:val="single" w:sz="4" w:space="0" w:color="auto"/>
              <w:right w:val="single" w:sz="4" w:space="0" w:color="auto"/>
            </w:tcBorders>
            <w:shd w:val="clear" w:color="000000" w:fill="FFFFFF"/>
            <w:noWrap/>
            <w:vAlign w:val="bottom"/>
            <w:hideMark/>
          </w:tcPr>
          <w:p w14:paraId="5B39B5C6" w14:textId="565F5DA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4FFF5F58" w14:textId="3301EE0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12F99AD3" w14:textId="7DAD813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w:t>
            </w:r>
          </w:p>
        </w:tc>
        <w:tc>
          <w:tcPr>
            <w:tcW w:w="996" w:type="dxa"/>
            <w:tcBorders>
              <w:top w:val="nil"/>
              <w:left w:val="nil"/>
              <w:bottom w:val="single" w:sz="4" w:space="0" w:color="auto"/>
              <w:right w:val="single" w:sz="4" w:space="0" w:color="auto"/>
            </w:tcBorders>
            <w:shd w:val="clear" w:color="000000" w:fill="FFFFFF"/>
            <w:noWrap/>
            <w:vAlign w:val="bottom"/>
            <w:hideMark/>
          </w:tcPr>
          <w:p w14:paraId="0CB53AB1" w14:textId="2289F15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1F9947F5" w14:textId="357A810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19</w:t>
            </w:r>
          </w:p>
        </w:tc>
        <w:tc>
          <w:tcPr>
            <w:tcW w:w="1107" w:type="dxa"/>
            <w:tcBorders>
              <w:top w:val="nil"/>
              <w:left w:val="nil"/>
              <w:bottom w:val="single" w:sz="4" w:space="0" w:color="auto"/>
              <w:right w:val="single" w:sz="4" w:space="0" w:color="auto"/>
            </w:tcBorders>
            <w:shd w:val="clear" w:color="000000" w:fill="FFFFFF"/>
            <w:noWrap/>
            <w:vAlign w:val="bottom"/>
            <w:hideMark/>
          </w:tcPr>
          <w:p w14:paraId="566A498F" w14:textId="5B939C9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142</w:t>
            </w:r>
          </w:p>
        </w:tc>
        <w:tc>
          <w:tcPr>
            <w:tcW w:w="996" w:type="dxa"/>
            <w:tcBorders>
              <w:top w:val="nil"/>
              <w:left w:val="nil"/>
              <w:bottom w:val="single" w:sz="4" w:space="0" w:color="auto"/>
              <w:right w:val="single" w:sz="4" w:space="0" w:color="auto"/>
            </w:tcBorders>
            <w:shd w:val="clear" w:color="000000" w:fill="FFFFFF"/>
            <w:noWrap/>
            <w:vAlign w:val="bottom"/>
            <w:hideMark/>
          </w:tcPr>
          <w:p w14:paraId="4694DEB2" w14:textId="0A16FAA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26</w:t>
            </w:r>
          </w:p>
        </w:tc>
        <w:tc>
          <w:tcPr>
            <w:tcW w:w="996" w:type="dxa"/>
            <w:tcBorders>
              <w:top w:val="nil"/>
              <w:left w:val="nil"/>
              <w:bottom w:val="single" w:sz="4" w:space="0" w:color="auto"/>
              <w:right w:val="single" w:sz="4" w:space="0" w:color="auto"/>
            </w:tcBorders>
            <w:shd w:val="clear" w:color="000000" w:fill="FFFFFF"/>
            <w:noWrap/>
            <w:vAlign w:val="bottom"/>
            <w:hideMark/>
          </w:tcPr>
          <w:p w14:paraId="58303425" w14:textId="08BD6F5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1127" w:type="dxa"/>
            <w:tcBorders>
              <w:top w:val="nil"/>
              <w:left w:val="nil"/>
              <w:bottom w:val="single" w:sz="4" w:space="0" w:color="auto"/>
              <w:right w:val="single" w:sz="4" w:space="0" w:color="auto"/>
            </w:tcBorders>
            <w:shd w:val="clear" w:color="000000" w:fill="FFFFFF"/>
            <w:noWrap/>
            <w:vAlign w:val="bottom"/>
            <w:hideMark/>
          </w:tcPr>
          <w:p w14:paraId="4C4D5558" w14:textId="25953A8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996" w:type="dxa"/>
            <w:tcBorders>
              <w:top w:val="nil"/>
              <w:left w:val="nil"/>
              <w:bottom w:val="single" w:sz="4" w:space="0" w:color="auto"/>
              <w:right w:val="single" w:sz="4" w:space="0" w:color="auto"/>
            </w:tcBorders>
            <w:shd w:val="clear" w:color="000000" w:fill="FFFFFF"/>
            <w:noWrap/>
            <w:vAlign w:val="bottom"/>
            <w:hideMark/>
          </w:tcPr>
          <w:p w14:paraId="4DCFEC02" w14:textId="7BFE076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1096" w:type="dxa"/>
            <w:tcBorders>
              <w:top w:val="nil"/>
              <w:left w:val="nil"/>
              <w:bottom w:val="single" w:sz="4" w:space="0" w:color="auto"/>
              <w:right w:val="single" w:sz="8" w:space="0" w:color="auto"/>
            </w:tcBorders>
            <w:shd w:val="clear" w:color="000000" w:fill="FFFFFF"/>
            <w:noWrap/>
            <w:vAlign w:val="bottom"/>
            <w:hideMark/>
          </w:tcPr>
          <w:p w14:paraId="3C9DD6CD" w14:textId="58C2FFA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314</w:t>
            </w:r>
          </w:p>
        </w:tc>
      </w:tr>
      <w:tr w:rsidR="00861244" w:rsidRPr="00E47FB2" w14:paraId="5ED43073"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3C108CE3"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Mango</w:t>
            </w:r>
          </w:p>
        </w:tc>
        <w:tc>
          <w:tcPr>
            <w:tcW w:w="997" w:type="dxa"/>
            <w:tcBorders>
              <w:top w:val="nil"/>
              <w:left w:val="nil"/>
              <w:bottom w:val="single" w:sz="4" w:space="0" w:color="auto"/>
              <w:right w:val="single" w:sz="4" w:space="0" w:color="auto"/>
            </w:tcBorders>
            <w:shd w:val="clear" w:color="000000" w:fill="FFFFFF"/>
            <w:noWrap/>
            <w:vAlign w:val="bottom"/>
            <w:hideMark/>
          </w:tcPr>
          <w:p w14:paraId="61F9C099" w14:textId="58024AB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3,120</w:t>
            </w:r>
          </w:p>
        </w:tc>
        <w:tc>
          <w:tcPr>
            <w:tcW w:w="997" w:type="dxa"/>
            <w:tcBorders>
              <w:top w:val="nil"/>
              <w:left w:val="nil"/>
              <w:bottom w:val="single" w:sz="4" w:space="0" w:color="auto"/>
              <w:right w:val="single" w:sz="4" w:space="0" w:color="auto"/>
            </w:tcBorders>
            <w:shd w:val="clear" w:color="000000" w:fill="FFFFFF"/>
            <w:noWrap/>
            <w:vAlign w:val="bottom"/>
            <w:hideMark/>
          </w:tcPr>
          <w:p w14:paraId="455E8925" w14:textId="14D7840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904</w:t>
            </w:r>
          </w:p>
        </w:tc>
        <w:tc>
          <w:tcPr>
            <w:tcW w:w="997" w:type="dxa"/>
            <w:tcBorders>
              <w:top w:val="nil"/>
              <w:left w:val="nil"/>
              <w:bottom w:val="single" w:sz="4" w:space="0" w:color="auto"/>
              <w:right w:val="single" w:sz="4" w:space="0" w:color="auto"/>
            </w:tcBorders>
            <w:shd w:val="clear" w:color="000000" w:fill="FFFFFF"/>
            <w:noWrap/>
            <w:vAlign w:val="bottom"/>
            <w:hideMark/>
          </w:tcPr>
          <w:p w14:paraId="56C028EE" w14:textId="5B00DE4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854</w:t>
            </w:r>
          </w:p>
        </w:tc>
        <w:tc>
          <w:tcPr>
            <w:tcW w:w="996" w:type="dxa"/>
            <w:tcBorders>
              <w:top w:val="nil"/>
              <w:left w:val="nil"/>
              <w:bottom w:val="single" w:sz="4" w:space="0" w:color="auto"/>
              <w:right w:val="single" w:sz="4" w:space="0" w:color="auto"/>
            </w:tcBorders>
            <w:shd w:val="clear" w:color="000000" w:fill="FFFFFF"/>
            <w:noWrap/>
            <w:vAlign w:val="bottom"/>
            <w:hideMark/>
          </w:tcPr>
          <w:p w14:paraId="24EF2028" w14:textId="250FBAB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420</w:t>
            </w:r>
          </w:p>
        </w:tc>
        <w:tc>
          <w:tcPr>
            <w:tcW w:w="996" w:type="dxa"/>
            <w:tcBorders>
              <w:top w:val="nil"/>
              <w:left w:val="nil"/>
              <w:bottom w:val="single" w:sz="4" w:space="0" w:color="auto"/>
              <w:right w:val="single" w:sz="4" w:space="0" w:color="auto"/>
            </w:tcBorders>
            <w:shd w:val="clear" w:color="000000" w:fill="FFFFFF"/>
            <w:noWrap/>
            <w:vAlign w:val="bottom"/>
            <w:hideMark/>
          </w:tcPr>
          <w:p w14:paraId="04B17561" w14:textId="73C5DA0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458</w:t>
            </w:r>
          </w:p>
        </w:tc>
        <w:tc>
          <w:tcPr>
            <w:tcW w:w="996" w:type="dxa"/>
            <w:tcBorders>
              <w:top w:val="nil"/>
              <w:left w:val="nil"/>
              <w:bottom w:val="single" w:sz="4" w:space="0" w:color="auto"/>
              <w:right w:val="single" w:sz="4" w:space="0" w:color="auto"/>
            </w:tcBorders>
            <w:shd w:val="clear" w:color="000000" w:fill="FFFFFF"/>
            <w:noWrap/>
            <w:vAlign w:val="bottom"/>
            <w:hideMark/>
          </w:tcPr>
          <w:p w14:paraId="26F0AB5C" w14:textId="30849F4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285</w:t>
            </w:r>
          </w:p>
        </w:tc>
        <w:tc>
          <w:tcPr>
            <w:tcW w:w="996" w:type="dxa"/>
            <w:tcBorders>
              <w:top w:val="nil"/>
              <w:left w:val="nil"/>
              <w:bottom w:val="single" w:sz="4" w:space="0" w:color="auto"/>
              <w:right w:val="single" w:sz="4" w:space="0" w:color="auto"/>
            </w:tcBorders>
            <w:shd w:val="clear" w:color="000000" w:fill="FFFFFF"/>
            <w:noWrap/>
            <w:vAlign w:val="bottom"/>
            <w:hideMark/>
          </w:tcPr>
          <w:p w14:paraId="79EAA6D5" w14:textId="3A50E54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2,541</w:t>
            </w:r>
          </w:p>
        </w:tc>
        <w:tc>
          <w:tcPr>
            <w:tcW w:w="1107" w:type="dxa"/>
            <w:tcBorders>
              <w:top w:val="nil"/>
              <w:left w:val="nil"/>
              <w:bottom w:val="single" w:sz="4" w:space="0" w:color="auto"/>
              <w:right w:val="single" w:sz="4" w:space="0" w:color="auto"/>
            </w:tcBorders>
            <w:shd w:val="clear" w:color="000000" w:fill="FFFFFF"/>
            <w:noWrap/>
            <w:vAlign w:val="bottom"/>
            <w:hideMark/>
          </w:tcPr>
          <w:p w14:paraId="3A0F4558" w14:textId="4098DB3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502</w:t>
            </w:r>
          </w:p>
        </w:tc>
        <w:tc>
          <w:tcPr>
            <w:tcW w:w="996" w:type="dxa"/>
            <w:tcBorders>
              <w:top w:val="nil"/>
              <w:left w:val="nil"/>
              <w:bottom w:val="single" w:sz="4" w:space="0" w:color="auto"/>
              <w:right w:val="single" w:sz="4" w:space="0" w:color="auto"/>
            </w:tcBorders>
            <w:shd w:val="clear" w:color="000000" w:fill="FFFFFF"/>
            <w:noWrap/>
            <w:vAlign w:val="bottom"/>
            <w:hideMark/>
          </w:tcPr>
          <w:p w14:paraId="76E4267E" w14:textId="2028582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462</w:t>
            </w:r>
          </w:p>
        </w:tc>
        <w:tc>
          <w:tcPr>
            <w:tcW w:w="996" w:type="dxa"/>
            <w:tcBorders>
              <w:top w:val="nil"/>
              <w:left w:val="nil"/>
              <w:bottom w:val="single" w:sz="4" w:space="0" w:color="auto"/>
              <w:right w:val="single" w:sz="4" w:space="0" w:color="auto"/>
            </w:tcBorders>
            <w:shd w:val="clear" w:color="000000" w:fill="FFFFFF"/>
            <w:noWrap/>
            <w:vAlign w:val="bottom"/>
            <w:hideMark/>
          </w:tcPr>
          <w:p w14:paraId="29A5B4B3" w14:textId="6AD43EC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332</w:t>
            </w:r>
          </w:p>
        </w:tc>
        <w:tc>
          <w:tcPr>
            <w:tcW w:w="1127" w:type="dxa"/>
            <w:tcBorders>
              <w:top w:val="nil"/>
              <w:left w:val="nil"/>
              <w:bottom w:val="single" w:sz="4" w:space="0" w:color="auto"/>
              <w:right w:val="single" w:sz="4" w:space="0" w:color="auto"/>
            </w:tcBorders>
            <w:shd w:val="clear" w:color="000000" w:fill="FFFFFF"/>
            <w:noWrap/>
            <w:vAlign w:val="bottom"/>
            <w:hideMark/>
          </w:tcPr>
          <w:p w14:paraId="5511F37E" w14:textId="1E1B927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354</w:t>
            </w:r>
          </w:p>
        </w:tc>
        <w:tc>
          <w:tcPr>
            <w:tcW w:w="996" w:type="dxa"/>
            <w:tcBorders>
              <w:top w:val="nil"/>
              <w:left w:val="nil"/>
              <w:bottom w:val="single" w:sz="4" w:space="0" w:color="auto"/>
              <w:right w:val="single" w:sz="4" w:space="0" w:color="auto"/>
            </w:tcBorders>
            <w:shd w:val="clear" w:color="000000" w:fill="FFFFFF"/>
            <w:noWrap/>
            <w:vAlign w:val="bottom"/>
            <w:hideMark/>
          </w:tcPr>
          <w:p w14:paraId="2CB71904" w14:textId="41560E4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364</w:t>
            </w:r>
          </w:p>
        </w:tc>
        <w:tc>
          <w:tcPr>
            <w:tcW w:w="1096" w:type="dxa"/>
            <w:tcBorders>
              <w:top w:val="nil"/>
              <w:left w:val="nil"/>
              <w:bottom w:val="single" w:sz="4" w:space="0" w:color="auto"/>
              <w:right w:val="single" w:sz="8" w:space="0" w:color="auto"/>
            </w:tcBorders>
            <w:shd w:val="clear" w:color="000000" w:fill="FFFFFF"/>
            <w:noWrap/>
            <w:vAlign w:val="bottom"/>
            <w:hideMark/>
          </w:tcPr>
          <w:p w14:paraId="07478C0B" w14:textId="4BDF852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10,596</w:t>
            </w:r>
          </w:p>
        </w:tc>
      </w:tr>
      <w:tr w:rsidR="00861244" w:rsidRPr="00E47FB2" w14:paraId="44C443DE"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0D539D4C"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Sandia</w:t>
            </w:r>
          </w:p>
        </w:tc>
        <w:tc>
          <w:tcPr>
            <w:tcW w:w="997" w:type="dxa"/>
            <w:tcBorders>
              <w:top w:val="nil"/>
              <w:left w:val="nil"/>
              <w:bottom w:val="single" w:sz="4" w:space="0" w:color="auto"/>
              <w:right w:val="single" w:sz="4" w:space="0" w:color="auto"/>
            </w:tcBorders>
            <w:shd w:val="clear" w:color="000000" w:fill="FFFFFF"/>
            <w:noWrap/>
            <w:vAlign w:val="bottom"/>
            <w:hideMark/>
          </w:tcPr>
          <w:p w14:paraId="5BC62734" w14:textId="0451365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1,402</w:t>
            </w:r>
          </w:p>
        </w:tc>
        <w:tc>
          <w:tcPr>
            <w:tcW w:w="997" w:type="dxa"/>
            <w:tcBorders>
              <w:top w:val="nil"/>
              <w:left w:val="nil"/>
              <w:bottom w:val="single" w:sz="4" w:space="0" w:color="auto"/>
              <w:right w:val="single" w:sz="4" w:space="0" w:color="auto"/>
            </w:tcBorders>
            <w:shd w:val="clear" w:color="000000" w:fill="FFFFFF"/>
            <w:noWrap/>
            <w:vAlign w:val="bottom"/>
            <w:hideMark/>
          </w:tcPr>
          <w:p w14:paraId="5BDAD160" w14:textId="509B94D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1,249</w:t>
            </w:r>
          </w:p>
        </w:tc>
        <w:tc>
          <w:tcPr>
            <w:tcW w:w="997" w:type="dxa"/>
            <w:tcBorders>
              <w:top w:val="nil"/>
              <w:left w:val="nil"/>
              <w:bottom w:val="single" w:sz="4" w:space="0" w:color="auto"/>
              <w:right w:val="single" w:sz="4" w:space="0" w:color="auto"/>
            </w:tcBorders>
            <w:shd w:val="clear" w:color="000000" w:fill="FFFFFF"/>
            <w:noWrap/>
            <w:vAlign w:val="bottom"/>
            <w:hideMark/>
          </w:tcPr>
          <w:p w14:paraId="749F47C2" w14:textId="4D1D02D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878</w:t>
            </w:r>
          </w:p>
        </w:tc>
        <w:tc>
          <w:tcPr>
            <w:tcW w:w="996" w:type="dxa"/>
            <w:tcBorders>
              <w:top w:val="nil"/>
              <w:left w:val="nil"/>
              <w:bottom w:val="single" w:sz="4" w:space="0" w:color="auto"/>
              <w:right w:val="single" w:sz="4" w:space="0" w:color="auto"/>
            </w:tcBorders>
            <w:shd w:val="clear" w:color="000000" w:fill="FFFFFF"/>
            <w:noWrap/>
            <w:vAlign w:val="bottom"/>
            <w:hideMark/>
          </w:tcPr>
          <w:p w14:paraId="1D90CF4C" w14:textId="0674F32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985</w:t>
            </w:r>
          </w:p>
        </w:tc>
        <w:tc>
          <w:tcPr>
            <w:tcW w:w="996" w:type="dxa"/>
            <w:tcBorders>
              <w:top w:val="nil"/>
              <w:left w:val="nil"/>
              <w:bottom w:val="single" w:sz="4" w:space="0" w:color="auto"/>
              <w:right w:val="single" w:sz="4" w:space="0" w:color="auto"/>
            </w:tcBorders>
            <w:shd w:val="clear" w:color="000000" w:fill="FFFFFF"/>
            <w:noWrap/>
            <w:vAlign w:val="bottom"/>
            <w:hideMark/>
          </w:tcPr>
          <w:p w14:paraId="576D46CA" w14:textId="0A75C5B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851</w:t>
            </w:r>
          </w:p>
        </w:tc>
        <w:tc>
          <w:tcPr>
            <w:tcW w:w="996" w:type="dxa"/>
            <w:tcBorders>
              <w:top w:val="nil"/>
              <w:left w:val="nil"/>
              <w:bottom w:val="single" w:sz="4" w:space="0" w:color="auto"/>
              <w:right w:val="single" w:sz="4" w:space="0" w:color="auto"/>
            </w:tcBorders>
            <w:shd w:val="clear" w:color="000000" w:fill="FFFFFF"/>
            <w:noWrap/>
            <w:vAlign w:val="bottom"/>
            <w:hideMark/>
          </w:tcPr>
          <w:p w14:paraId="1641855B" w14:textId="3899F3C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816</w:t>
            </w:r>
          </w:p>
        </w:tc>
        <w:tc>
          <w:tcPr>
            <w:tcW w:w="996" w:type="dxa"/>
            <w:tcBorders>
              <w:top w:val="nil"/>
              <w:left w:val="nil"/>
              <w:bottom w:val="single" w:sz="4" w:space="0" w:color="auto"/>
              <w:right w:val="single" w:sz="4" w:space="0" w:color="auto"/>
            </w:tcBorders>
            <w:shd w:val="clear" w:color="000000" w:fill="FFFFFF"/>
            <w:noWrap/>
            <w:vAlign w:val="bottom"/>
            <w:hideMark/>
          </w:tcPr>
          <w:p w14:paraId="6AA5C2F5" w14:textId="34363E7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1,170</w:t>
            </w:r>
          </w:p>
        </w:tc>
        <w:tc>
          <w:tcPr>
            <w:tcW w:w="1107" w:type="dxa"/>
            <w:tcBorders>
              <w:top w:val="nil"/>
              <w:left w:val="nil"/>
              <w:bottom w:val="single" w:sz="4" w:space="0" w:color="auto"/>
              <w:right w:val="single" w:sz="4" w:space="0" w:color="auto"/>
            </w:tcBorders>
            <w:shd w:val="clear" w:color="000000" w:fill="FFFFFF"/>
            <w:noWrap/>
            <w:vAlign w:val="bottom"/>
            <w:hideMark/>
          </w:tcPr>
          <w:p w14:paraId="7435151B" w14:textId="5BF6F62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914</w:t>
            </w:r>
          </w:p>
        </w:tc>
        <w:tc>
          <w:tcPr>
            <w:tcW w:w="996" w:type="dxa"/>
            <w:tcBorders>
              <w:top w:val="nil"/>
              <w:left w:val="nil"/>
              <w:bottom w:val="single" w:sz="4" w:space="0" w:color="auto"/>
              <w:right w:val="single" w:sz="4" w:space="0" w:color="auto"/>
            </w:tcBorders>
            <w:shd w:val="clear" w:color="000000" w:fill="FFFFFF"/>
            <w:noWrap/>
            <w:vAlign w:val="bottom"/>
            <w:hideMark/>
          </w:tcPr>
          <w:p w14:paraId="3377A06D" w14:textId="6D4FD53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456</w:t>
            </w:r>
          </w:p>
        </w:tc>
        <w:tc>
          <w:tcPr>
            <w:tcW w:w="996" w:type="dxa"/>
            <w:tcBorders>
              <w:top w:val="nil"/>
              <w:left w:val="nil"/>
              <w:bottom w:val="single" w:sz="4" w:space="0" w:color="auto"/>
              <w:right w:val="single" w:sz="4" w:space="0" w:color="auto"/>
            </w:tcBorders>
            <w:shd w:val="clear" w:color="000000" w:fill="FFFFFF"/>
            <w:noWrap/>
            <w:vAlign w:val="bottom"/>
            <w:hideMark/>
          </w:tcPr>
          <w:p w14:paraId="0F523391" w14:textId="3D0A5D4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965</w:t>
            </w:r>
          </w:p>
        </w:tc>
        <w:tc>
          <w:tcPr>
            <w:tcW w:w="1127" w:type="dxa"/>
            <w:tcBorders>
              <w:top w:val="nil"/>
              <w:left w:val="nil"/>
              <w:bottom w:val="single" w:sz="4" w:space="0" w:color="auto"/>
              <w:right w:val="single" w:sz="4" w:space="0" w:color="auto"/>
            </w:tcBorders>
            <w:shd w:val="clear" w:color="000000" w:fill="FFFFFF"/>
            <w:noWrap/>
            <w:vAlign w:val="bottom"/>
            <w:hideMark/>
          </w:tcPr>
          <w:p w14:paraId="5F90FD78" w14:textId="56E794B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1,724</w:t>
            </w:r>
          </w:p>
        </w:tc>
        <w:tc>
          <w:tcPr>
            <w:tcW w:w="996" w:type="dxa"/>
            <w:tcBorders>
              <w:top w:val="nil"/>
              <w:left w:val="nil"/>
              <w:bottom w:val="single" w:sz="4" w:space="0" w:color="auto"/>
              <w:right w:val="single" w:sz="4" w:space="0" w:color="auto"/>
            </w:tcBorders>
            <w:shd w:val="clear" w:color="000000" w:fill="FFFFFF"/>
            <w:noWrap/>
            <w:vAlign w:val="bottom"/>
            <w:hideMark/>
          </w:tcPr>
          <w:p w14:paraId="5858BC7C" w14:textId="22A62BA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1,730</w:t>
            </w:r>
          </w:p>
        </w:tc>
        <w:tc>
          <w:tcPr>
            <w:tcW w:w="1096" w:type="dxa"/>
            <w:tcBorders>
              <w:top w:val="nil"/>
              <w:left w:val="nil"/>
              <w:bottom w:val="single" w:sz="4" w:space="0" w:color="auto"/>
              <w:right w:val="single" w:sz="8" w:space="0" w:color="auto"/>
            </w:tcBorders>
            <w:shd w:val="clear" w:color="000000" w:fill="FFFFFF"/>
            <w:noWrap/>
            <w:vAlign w:val="bottom"/>
            <w:hideMark/>
          </w:tcPr>
          <w:p w14:paraId="5F43BD5B" w14:textId="78FB460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13,140</w:t>
            </w:r>
          </w:p>
        </w:tc>
      </w:tr>
      <w:tr w:rsidR="00861244" w:rsidRPr="00E47FB2" w14:paraId="7B520F6D"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386C867F"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Pitahaya</w:t>
            </w:r>
          </w:p>
        </w:tc>
        <w:tc>
          <w:tcPr>
            <w:tcW w:w="997" w:type="dxa"/>
            <w:tcBorders>
              <w:top w:val="nil"/>
              <w:left w:val="nil"/>
              <w:bottom w:val="single" w:sz="4" w:space="0" w:color="auto"/>
              <w:right w:val="single" w:sz="4" w:space="0" w:color="auto"/>
            </w:tcBorders>
            <w:shd w:val="clear" w:color="000000" w:fill="FFFFFF"/>
            <w:noWrap/>
            <w:vAlign w:val="bottom"/>
            <w:hideMark/>
          </w:tcPr>
          <w:p w14:paraId="367090BA" w14:textId="1924176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54</w:t>
            </w:r>
          </w:p>
        </w:tc>
        <w:tc>
          <w:tcPr>
            <w:tcW w:w="997" w:type="dxa"/>
            <w:tcBorders>
              <w:top w:val="nil"/>
              <w:left w:val="nil"/>
              <w:bottom w:val="single" w:sz="4" w:space="0" w:color="auto"/>
              <w:right w:val="single" w:sz="4" w:space="0" w:color="auto"/>
            </w:tcBorders>
            <w:shd w:val="clear" w:color="000000" w:fill="FFFFFF"/>
            <w:noWrap/>
            <w:vAlign w:val="bottom"/>
            <w:hideMark/>
          </w:tcPr>
          <w:p w14:paraId="176CFA34" w14:textId="5333F12E"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64</w:t>
            </w:r>
          </w:p>
        </w:tc>
        <w:tc>
          <w:tcPr>
            <w:tcW w:w="997" w:type="dxa"/>
            <w:tcBorders>
              <w:top w:val="nil"/>
              <w:left w:val="nil"/>
              <w:bottom w:val="single" w:sz="4" w:space="0" w:color="auto"/>
              <w:right w:val="single" w:sz="4" w:space="0" w:color="auto"/>
            </w:tcBorders>
            <w:shd w:val="clear" w:color="000000" w:fill="FFFFFF"/>
            <w:noWrap/>
            <w:vAlign w:val="bottom"/>
            <w:hideMark/>
          </w:tcPr>
          <w:p w14:paraId="4AC74D12" w14:textId="5CD7FF2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93</w:t>
            </w:r>
          </w:p>
        </w:tc>
        <w:tc>
          <w:tcPr>
            <w:tcW w:w="996" w:type="dxa"/>
            <w:tcBorders>
              <w:top w:val="nil"/>
              <w:left w:val="nil"/>
              <w:bottom w:val="single" w:sz="4" w:space="0" w:color="auto"/>
              <w:right w:val="single" w:sz="4" w:space="0" w:color="auto"/>
            </w:tcBorders>
            <w:shd w:val="clear" w:color="000000" w:fill="FFFFFF"/>
            <w:noWrap/>
            <w:vAlign w:val="bottom"/>
            <w:hideMark/>
          </w:tcPr>
          <w:p w14:paraId="5AE47D82" w14:textId="463D4AC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451</w:t>
            </w:r>
          </w:p>
        </w:tc>
        <w:tc>
          <w:tcPr>
            <w:tcW w:w="996" w:type="dxa"/>
            <w:tcBorders>
              <w:top w:val="nil"/>
              <w:left w:val="nil"/>
              <w:bottom w:val="single" w:sz="4" w:space="0" w:color="auto"/>
              <w:right w:val="single" w:sz="4" w:space="0" w:color="auto"/>
            </w:tcBorders>
            <w:shd w:val="clear" w:color="000000" w:fill="FFFFFF"/>
            <w:noWrap/>
            <w:vAlign w:val="bottom"/>
            <w:hideMark/>
          </w:tcPr>
          <w:p w14:paraId="0AAFD97E" w14:textId="4A3757F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93</w:t>
            </w:r>
          </w:p>
        </w:tc>
        <w:tc>
          <w:tcPr>
            <w:tcW w:w="996" w:type="dxa"/>
            <w:tcBorders>
              <w:top w:val="nil"/>
              <w:left w:val="nil"/>
              <w:bottom w:val="single" w:sz="4" w:space="0" w:color="auto"/>
              <w:right w:val="single" w:sz="4" w:space="0" w:color="auto"/>
            </w:tcBorders>
            <w:shd w:val="clear" w:color="000000" w:fill="FFFFFF"/>
            <w:noWrap/>
            <w:vAlign w:val="bottom"/>
            <w:hideMark/>
          </w:tcPr>
          <w:p w14:paraId="17377484" w14:textId="79BFD4D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302</w:t>
            </w:r>
          </w:p>
        </w:tc>
        <w:tc>
          <w:tcPr>
            <w:tcW w:w="996" w:type="dxa"/>
            <w:tcBorders>
              <w:top w:val="nil"/>
              <w:left w:val="nil"/>
              <w:bottom w:val="single" w:sz="4" w:space="0" w:color="auto"/>
              <w:right w:val="single" w:sz="4" w:space="0" w:color="auto"/>
            </w:tcBorders>
            <w:shd w:val="clear" w:color="000000" w:fill="FFFFFF"/>
            <w:noWrap/>
            <w:vAlign w:val="bottom"/>
            <w:hideMark/>
          </w:tcPr>
          <w:p w14:paraId="457DB934" w14:textId="7444C17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74</w:t>
            </w:r>
          </w:p>
        </w:tc>
        <w:tc>
          <w:tcPr>
            <w:tcW w:w="1107" w:type="dxa"/>
            <w:tcBorders>
              <w:top w:val="nil"/>
              <w:left w:val="nil"/>
              <w:bottom w:val="single" w:sz="4" w:space="0" w:color="auto"/>
              <w:right w:val="single" w:sz="4" w:space="0" w:color="auto"/>
            </w:tcBorders>
            <w:shd w:val="clear" w:color="000000" w:fill="FFFFFF"/>
            <w:noWrap/>
            <w:vAlign w:val="bottom"/>
            <w:hideMark/>
          </w:tcPr>
          <w:p w14:paraId="0336E426" w14:textId="0489B4E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152</w:t>
            </w:r>
          </w:p>
        </w:tc>
        <w:tc>
          <w:tcPr>
            <w:tcW w:w="996" w:type="dxa"/>
            <w:tcBorders>
              <w:top w:val="nil"/>
              <w:left w:val="nil"/>
              <w:bottom w:val="single" w:sz="4" w:space="0" w:color="auto"/>
              <w:right w:val="single" w:sz="4" w:space="0" w:color="auto"/>
            </w:tcBorders>
            <w:shd w:val="clear" w:color="000000" w:fill="FFFFFF"/>
            <w:noWrap/>
            <w:vAlign w:val="bottom"/>
            <w:hideMark/>
          </w:tcPr>
          <w:p w14:paraId="6BDB3AA0" w14:textId="7121D50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32</w:t>
            </w:r>
          </w:p>
        </w:tc>
        <w:tc>
          <w:tcPr>
            <w:tcW w:w="996" w:type="dxa"/>
            <w:tcBorders>
              <w:top w:val="nil"/>
              <w:left w:val="nil"/>
              <w:bottom w:val="single" w:sz="4" w:space="0" w:color="auto"/>
              <w:right w:val="single" w:sz="4" w:space="0" w:color="auto"/>
            </w:tcBorders>
            <w:shd w:val="clear" w:color="000000" w:fill="FFFFFF"/>
            <w:noWrap/>
            <w:vAlign w:val="bottom"/>
            <w:hideMark/>
          </w:tcPr>
          <w:p w14:paraId="54650E80" w14:textId="4B704DB4"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52</w:t>
            </w:r>
          </w:p>
        </w:tc>
        <w:tc>
          <w:tcPr>
            <w:tcW w:w="1127" w:type="dxa"/>
            <w:tcBorders>
              <w:top w:val="nil"/>
              <w:left w:val="nil"/>
              <w:bottom w:val="single" w:sz="4" w:space="0" w:color="auto"/>
              <w:right w:val="single" w:sz="4" w:space="0" w:color="auto"/>
            </w:tcBorders>
            <w:shd w:val="clear" w:color="000000" w:fill="FFFFFF"/>
            <w:noWrap/>
            <w:vAlign w:val="bottom"/>
            <w:hideMark/>
          </w:tcPr>
          <w:p w14:paraId="43EA3784" w14:textId="798E5D7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w:t>
            </w:r>
          </w:p>
        </w:tc>
        <w:tc>
          <w:tcPr>
            <w:tcW w:w="996" w:type="dxa"/>
            <w:tcBorders>
              <w:top w:val="nil"/>
              <w:left w:val="nil"/>
              <w:bottom w:val="single" w:sz="4" w:space="0" w:color="auto"/>
              <w:right w:val="single" w:sz="4" w:space="0" w:color="auto"/>
            </w:tcBorders>
            <w:shd w:val="clear" w:color="000000" w:fill="FFFFFF"/>
            <w:noWrap/>
            <w:vAlign w:val="bottom"/>
            <w:hideMark/>
          </w:tcPr>
          <w:p w14:paraId="0B6095D4" w14:textId="00DBCCB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w:t>
            </w:r>
          </w:p>
        </w:tc>
        <w:tc>
          <w:tcPr>
            <w:tcW w:w="1096" w:type="dxa"/>
            <w:tcBorders>
              <w:top w:val="nil"/>
              <w:left w:val="nil"/>
              <w:bottom w:val="single" w:sz="4" w:space="0" w:color="auto"/>
              <w:right w:val="single" w:sz="8" w:space="0" w:color="auto"/>
            </w:tcBorders>
            <w:shd w:val="clear" w:color="000000" w:fill="FFFFFF"/>
            <w:noWrap/>
            <w:vAlign w:val="bottom"/>
            <w:hideMark/>
          </w:tcPr>
          <w:p w14:paraId="13609573" w14:textId="1A8CC71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1,400</w:t>
            </w:r>
          </w:p>
        </w:tc>
      </w:tr>
      <w:tr w:rsidR="00861244" w:rsidRPr="00E47FB2" w14:paraId="6C7F7CBD"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1626C0B6"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Zapote</w:t>
            </w:r>
          </w:p>
        </w:tc>
        <w:tc>
          <w:tcPr>
            <w:tcW w:w="997" w:type="dxa"/>
            <w:tcBorders>
              <w:top w:val="nil"/>
              <w:left w:val="nil"/>
              <w:bottom w:val="single" w:sz="4" w:space="0" w:color="auto"/>
              <w:right w:val="single" w:sz="4" w:space="0" w:color="auto"/>
            </w:tcBorders>
            <w:shd w:val="clear" w:color="000000" w:fill="FFFFFF"/>
            <w:noWrap/>
            <w:vAlign w:val="bottom"/>
            <w:hideMark/>
          </w:tcPr>
          <w:p w14:paraId="67BBC02F" w14:textId="34D239D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w:t>
            </w:r>
          </w:p>
        </w:tc>
        <w:tc>
          <w:tcPr>
            <w:tcW w:w="997" w:type="dxa"/>
            <w:tcBorders>
              <w:top w:val="nil"/>
              <w:left w:val="nil"/>
              <w:bottom w:val="single" w:sz="4" w:space="0" w:color="auto"/>
              <w:right w:val="single" w:sz="4" w:space="0" w:color="auto"/>
            </w:tcBorders>
            <w:shd w:val="clear" w:color="000000" w:fill="FFFFFF"/>
            <w:noWrap/>
            <w:vAlign w:val="bottom"/>
            <w:hideMark/>
          </w:tcPr>
          <w:p w14:paraId="28C8C283" w14:textId="78D54CA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w:t>
            </w:r>
          </w:p>
        </w:tc>
        <w:tc>
          <w:tcPr>
            <w:tcW w:w="997" w:type="dxa"/>
            <w:tcBorders>
              <w:top w:val="nil"/>
              <w:left w:val="nil"/>
              <w:bottom w:val="single" w:sz="4" w:space="0" w:color="auto"/>
              <w:right w:val="single" w:sz="4" w:space="0" w:color="auto"/>
            </w:tcBorders>
            <w:shd w:val="clear" w:color="000000" w:fill="FFFFFF"/>
            <w:noWrap/>
            <w:vAlign w:val="bottom"/>
            <w:hideMark/>
          </w:tcPr>
          <w:p w14:paraId="38DAE399" w14:textId="2C69B2B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28</w:t>
            </w:r>
          </w:p>
        </w:tc>
        <w:tc>
          <w:tcPr>
            <w:tcW w:w="996" w:type="dxa"/>
            <w:tcBorders>
              <w:top w:val="nil"/>
              <w:left w:val="nil"/>
              <w:bottom w:val="single" w:sz="4" w:space="0" w:color="auto"/>
              <w:right w:val="single" w:sz="4" w:space="0" w:color="auto"/>
            </w:tcBorders>
            <w:shd w:val="clear" w:color="000000" w:fill="FFFFFF"/>
            <w:noWrap/>
            <w:vAlign w:val="bottom"/>
            <w:hideMark/>
          </w:tcPr>
          <w:p w14:paraId="405A2D6A" w14:textId="20DA03C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29</w:t>
            </w:r>
          </w:p>
        </w:tc>
        <w:tc>
          <w:tcPr>
            <w:tcW w:w="996" w:type="dxa"/>
            <w:tcBorders>
              <w:top w:val="nil"/>
              <w:left w:val="nil"/>
              <w:bottom w:val="single" w:sz="4" w:space="0" w:color="auto"/>
              <w:right w:val="single" w:sz="4" w:space="0" w:color="auto"/>
            </w:tcBorders>
            <w:shd w:val="clear" w:color="000000" w:fill="FFFFFF"/>
            <w:noWrap/>
            <w:vAlign w:val="bottom"/>
            <w:hideMark/>
          </w:tcPr>
          <w:p w14:paraId="5E8D0443" w14:textId="5ECDE29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w:t>
            </w:r>
          </w:p>
        </w:tc>
        <w:tc>
          <w:tcPr>
            <w:tcW w:w="996" w:type="dxa"/>
            <w:tcBorders>
              <w:top w:val="nil"/>
              <w:left w:val="nil"/>
              <w:bottom w:val="single" w:sz="4" w:space="0" w:color="auto"/>
              <w:right w:val="single" w:sz="4" w:space="0" w:color="auto"/>
            </w:tcBorders>
            <w:shd w:val="clear" w:color="000000" w:fill="FFFFFF"/>
            <w:noWrap/>
            <w:vAlign w:val="bottom"/>
            <w:hideMark/>
          </w:tcPr>
          <w:p w14:paraId="62E9667D" w14:textId="3E6F780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65</w:t>
            </w:r>
          </w:p>
        </w:tc>
        <w:tc>
          <w:tcPr>
            <w:tcW w:w="996" w:type="dxa"/>
            <w:tcBorders>
              <w:top w:val="nil"/>
              <w:left w:val="nil"/>
              <w:bottom w:val="single" w:sz="4" w:space="0" w:color="auto"/>
              <w:right w:val="single" w:sz="4" w:space="0" w:color="auto"/>
            </w:tcBorders>
            <w:shd w:val="clear" w:color="000000" w:fill="FFFFFF"/>
            <w:noWrap/>
            <w:vAlign w:val="bottom"/>
            <w:hideMark/>
          </w:tcPr>
          <w:p w14:paraId="2F0DB5AF" w14:textId="512E1A8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w:t>
            </w:r>
          </w:p>
        </w:tc>
        <w:tc>
          <w:tcPr>
            <w:tcW w:w="1107" w:type="dxa"/>
            <w:tcBorders>
              <w:top w:val="nil"/>
              <w:left w:val="nil"/>
              <w:bottom w:val="single" w:sz="4" w:space="0" w:color="auto"/>
              <w:right w:val="single" w:sz="4" w:space="0" w:color="auto"/>
            </w:tcBorders>
            <w:shd w:val="clear" w:color="000000" w:fill="FFFFFF"/>
            <w:noWrap/>
            <w:vAlign w:val="bottom"/>
            <w:hideMark/>
          </w:tcPr>
          <w:p w14:paraId="3BFFC01C" w14:textId="3A8480E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26</w:t>
            </w:r>
          </w:p>
        </w:tc>
        <w:tc>
          <w:tcPr>
            <w:tcW w:w="996" w:type="dxa"/>
            <w:tcBorders>
              <w:top w:val="nil"/>
              <w:left w:val="nil"/>
              <w:bottom w:val="single" w:sz="4" w:space="0" w:color="auto"/>
              <w:right w:val="single" w:sz="4" w:space="0" w:color="auto"/>
            </w:tcBorders>
            <w:shd w:val="clear" w:color="000000" w:fill="FFFFFF"/>
            <w:noWrap/>
            <w:vAlign w:val="bottom"/>
            <w:hideMark/>
          </w:tcPr>
          <w:p w14:paraId="5D79BB3A" w14:textId="78289DF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w:t>
            </w:r>
          </w:p>
        </w:tc>
        <w:tc>
          <w:tcPr>
            <w:tcW w:w="996" w:type="dxa"/>
            <w:tcBorders>
              <w:top w:val="nil"/>
              <w:left w:val="nil"/>
              <w:bottom w:val="single" w:sz="4" w:space="0" w:color="auto"/>
              <w:right w:val="single" w:sz="4" w:space="0" w:color="auto"/>
            </w:tcBorders>
            <w:shd w:val="clear" w:color="000000" w:fill="FFFFFF"/>
            <w:noWrap/>
            <w:vAlign w:val="bottom"/>
            <w:hideMark/>
          </w:tcPr>
          <w:p w14:paraId="22107DBC" w14:textId="7517C70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w:t>
            </w:r>
          </w:p>
        </w:tc>
        <w:tc>
          <w:tcPr>
            <w:tcW w:w="1127" w:type="dxa"/>
            <w:tcBorders>
              <w:top w:val="nil"/>
              <w:left w:val="nil"/>
              <w:bottom w:val="single" w:sz="4" w:space="0" w:color="auto"/>
              <w:right w:val="single" w:sz="4" w:space="0" w:color="auto"/>
            </w:tcBorders>
            <w:shd w:val="clear" w:color="000000" w:fill="FFFFFF"/>
            <w:noWrap/>
            <w:vAlign w:val="bottom"/>
            <w:hideMark/>
          </w:tcPr>
          <w:p w14:paraId="6DB44AB8" w14:textId="0A60424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9</w:t>
            </w:r>
          </w:p>
        </w:tc>
        <w:tc>
          <w:tcPr>
            <w:tcW w:w="996" w:type="dxa"/>
            <w:tcBorders>
              <w:top w:val="nil"/>
              <w:left w:val="nil"/>
              <w:bottom w:val="single" w:sz="4" w:space="0" w:color="auto"/>
              <w:right w:val="single" w:sz="4" w:space="0" w:color="auto"/>
            </w:tcBorders>
            <w:shd w:val="clear" w:color="000000" w:fill="FFFFFF"/>
            <w:noWrap/>
            <w:vAlign w:val="bottom"/>
            <w:hideMark/>
          </w:tcPr>
          <w:p w14:paraId="38A3623D" w14:textId="40B7849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w:t>
            </w:r>
          </w:p>
        </w:tc>
        <w:tc>
          <w:tcPr>
            <w:tcW w:w="1096" w:type="dxa"/>
            <w:tcBorders>
              <w:top w:val="nil"/>
              <w:left w:val="nil"/>
              <w:bottom w:val="single" w:sz="4" w:space="0" w:color="auto"/>
              <w:right w:val="single" w:sz="8" w:space="0" w:color="auto"/>
            </w:tcBorders>
            <w:shd w:val="clear" w:color="000000" w:fill="FFFFFF"/>
            <w:noWrap/>
            <w:vAlign w:val="bottom"/>
            <w:hideMark/>
          </w:tcPr>
          <w:p w14:paraId="6EFC9F7D" w14:textId="5C0B9CF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211</w:t>
            </w:r>
          </w:p>
        </w:tc>
      </w:tr>
      <w:tr w:rsidR="00861244" w:rsidRPr="00E47FB2" w14:paraId="475348DC"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71E14216"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Guineo</w:t>
            </w:r>
          </w:p>
        </w:tc>
        <w:tc>
          <w:tcPr>
            <w:tcW w:w="997" w:type="dxa"/>
            <w:tcBorders>
              <w:top w:val="nil"/>
              <w:left w:val="nil"/>
              <w:bottom w:val="single" w:sz="4" w:space="0" w:color="auto"/>
              <w:right w:val="single" w:sz="4" w:space="0" w:color="auto"/>
            </w:tcBorders>
            <w:shd w:val="clear" w:color="000000" w:fill="FFFFFF"/>
            <w:noWrap/>
            <w:vAlign w:val="bottom"/>
            <w:hideMark/>
          </w:tcPr>
          <w:p w14:paraId="69B147B1" w14:textId="3CC8391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12,547</w:t>
            </w:r>
          </w:p>
        </w:tc>
        <w:tc>
          <w:tcPr>
            <w:tcW w:w="997" w:type="dxa"/>
            <w:tcBorders>
              <w:top w:val="nil"/>
              <w:left w:val="nil"/>
              <w:bottom w:val="single" w:sz="4" w:space="0" w:color="auto"/>
              <w:right w:val="single" w:sz="4" w:space="0" w:color="auto"/>
            </w:tcBorders>
            <w:shd w:val="clear" w:color="000000" w:fill="FFFFFF"/>
            <w:noWrap/>
            <w:vAlign w:val="bottom"/>
            <w:hideMark/>
          </w:tcPr>
          <w:p w14:paraId="51183B53" w14:textId="08FA512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13,115</w:t>
            </w:r>
          </w:p>
        </w:tc>
        <w:tc>
          <w:tcPr>
            <w:tcW w:w="997" w:type="dxa"/>
            <w:tcBorders>
              <w:top w:val="nil"/>
              <w:left w:val="nil"/>
              <w:bottom w:val="single" w:sz="4" w:space="0" w:color="auto"/>
              <w:right w:val="single" w:sz="4" w:space="0" w:color="auto"/>
            </w:tcBorders>
            <w:shd w:val="clear" w:color="000000" w:fill="FFFFFF"/>
            <w:noWrap/>
            <w:vAlign w:val="bottom"/>
            <w:hideMark/>
          </w:tcPr>
          <w:p w14:paraId="29A8B9D1" w14:textId="7F4A108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6,101</w:t>
            </w:r>
          </w:p>
        </w:tc>
        <w:tc>
          <w:tcPr>
            <w:tcW w:w="996" w:type="dxa"/>
            <w:tcBorders>
              <w:top w:val="nil"/>
              <w:left w:val="nil"/>
              <w:bottom w:val="single" w:sz="4" w:space="0" w:color="auto"/>
              <w:right w:val="single" w:sz="4" w:space="0" w:color="auto"/>
            </w:tcBorders>
            <w:shd w:val="clear" w:color="000000" w:fill="FFFFFF"/>
            <w:noWrap/>
            <w:vAlign w:val="bottom"/>
            <w:hideMark/>
          </w:tcPr>
          <w:p w14:paraId="48ED5886" w14:textId="7154BEE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8,412</w:t>
            </w:r>
          </w:p>
        </w:tc>
        <w:tc>
          <w:tcPr>
            <w:tcW w:w="996" w:type="dxa"/>
            <w:tcBorders>
              <w:top w:val="nil"/>
              <w:left w:val="nil"/>
              <w:bottom w:val="single" w:sz="4" w:space="0" w:color="auto"/>
              <w:right w:val="single" w:sz="4" w:space="0" w:color="auto"/>
            </w:tcBorders>
            <w:shd w:val="clear" w:color="000000" w:fill="FFFFFF"/>
            <w:noWrap/>
            <w:vAlign w:val="bottom"/>
            <w:hideMark/>
          </w:tcPr>
          <w:p w14:paraId="5469DF1A" w14:textId="68458DF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3,895</w:t>
            </w:r>
          </w:p>
        </w:tc>
        <w:tc>
          <w:tcPr>
            <w:tcW w:w="996" w:type="dxa"/>
            <w:tcBorders>
              <w:top w:val="nil"/>
              <w:left w:val="nil"/>
              <w:bottom w:val="single" w:sz="4" w:space="0" w:color="auto"/>
              <w:right w:val="single" w:sz="4" w:space="0" w:color="auto"/>
            </w:tcBorders>
            <w:shd w:val="clear" w:color="000000" w:fill="FFFFFF"/>
            <w:noWrap/>
            <w:vAlign w:val="bottom"/>
            <w:hideMark/>
          </w:tcPr>
          <w:p w14:paraId="7CA0BACA" w14:textId="3B8F225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11,021</w:t>
            </w:r>
          </w:p>
        </w:tc>
        <w:tc>
          <w:tcPr>
            <w:tcW w:w="996" w:type="dxa"/>
            <w:tcBorders>
              <w:top w:val="nil"/>
              <w:left w:val="nil"/>
              <w:bottom w:val="single" w:sz="4" w:space="0" w:color="auto"/>
              <w:right w:val="single" w:sz="4" w:space="0" w:color="auto"/>
            </w:tcBorders>
            <w:shd w:val="clear" w:color="000000" w:fill="FFFFFF"/>
            <w:noWrap/>
            <w:vAlign w:val="bottom"/>
            <w:hideMark/>
          </w:tcPr>
          <w:p w14:paraId="3D2AC920" w14:textId="24E1E3C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10,854</w:t>
            </w:r>
          </w:p>
        </w:tc>
        <w:tc>
          <w:tcPr>
            <w:tcW w:w="1107" w:type="dxa"/>
            <w:tcBorders>
              <w:top w:val="nil"/>
              <w:left w:val="nil"/>
              <w:bottom w:val="single" w:sz="4" w:space="0" w:color="auto"/>
              <w:right w:val="single" w:sz="4" w:space="0" w:color="auto"/>
            </w:tcBorders>
            <w:shd w:val="clear" w:color="000000" w:fill="FFFFFF"/>
            <w:noWrap/>
            <w:vAlign w:val="bottom"/>
            <w:hideMark/>
          </w:tcPr>
          <w:p w14:paraId="2D72A046" w14:textId="57514AB3"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2,366</w:t>
            </w:r>
          </w:p>
        </w:tc>
        <w:tc>
          <w:tcPr>
            <w:tcW w:w="996" w:type="dxa"/>
            <w:tcBorders>
              <w:top w:val="nil"/>
              <w:left w:val="nil"/>
              <w:bottom w:val="single" w:sz="4" w:space="0" w:color="auto"/>
              <w:right w:val="single" w:sz="4" w:space="0" w:color="auto"/>
            </w:tcBorders>
            <w:shd w:val="clear" w:color="000000" w:fill="FFFFFF"/>
            <w:noWrap/>
            <w:vAlign w:val="bottom"/>
            <w:hideMark/>
          </w:tcPr>
          <w:p w14:paraId="217B7A7E" w14:textId="2427713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8,524</w:t>
            </w:r>
          </w:p>
        </w:tc>
        <w:tc>
          <w:tcPr>
            <w:tcW w:w="996" w:type="dxa"/>
            <w:tcBorders>
              <w:top w:val="nil"/>
              <w:left w:val="nil"/>
              <w:bottom w:val="single" w:sz="4" w:space="0" w:color="auto"/>
              <w:right w:val="single" w:sz="4" w:space="0" w:color="auto"/>
            </w:tcBorders>
            <w:shd w:val="clear" w:color="000000" w:fill="FFFFFF"/>
            <w:noWrap/>
            <w:vAlign w:val="bottom"/>
            <w:hideMark/>
          </w:tcPr>
          <w:p w14:paraId="1916FE2E" w14:textId="00CA8E3C"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15,525</w:t>
            </w:r>
          </w:p>
        </w:tc>
        <w:tc>
          <w:tcPr>
            <w:tcW w:w="1127" w:type="dxa"/>
            <w:tcBorders>
              <w:top w:val="nil"/>
              <w:left w:val="nil"/>
              <w:bottom w:val="single" w:sz="4" w:space="0" w:color="auto"/>
              <w:right w:val="single" w:sz="4" w:space="0" w:color="auto"/>
            </w:tcBorders>
            <w:shd w:val="clear" w:color="000000" w:fill="FFFFFF"/>
            <w:noWrap/>
            <w:vAlign w:val="bottom"/>
            <w:hideMark/>
          </w:tcPr>
          <w:p w14:paraId="2221EC5A" w14:textId="46D05216"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5,896</w:t>
            </w:r>
          </w:p>
        </w:tc>
        <w:tc>
          <w:tcPr>
            <w:tcW w:w="996" w:type="dxa"/>
            <w:tcBorders>
              <w:top w:val="nil"/>
              <w:left w:val="nil"/>
              <w:bottom w:val="single" w:sz="4" w:space="0" w:color="auto"/>
              <w:right w:val="single" w:sz="4" w:space="0" w:color="auto"/>
            </w:tcBorders>
            <w:shd w:val="clear" w:color="000000" w:fill="FFFFFF"/>
            <w:noWrap/>
            <w:vAlign w:val="bottom"/>
            <w:hideMark/>
          </w:tcPr>
          <w:p w14:paraId="0A74F0AC" w14:textId="6780689F"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2,104</w:t>
            </w:r>
          </w:p>
        </w:tc>
        <w:tc>
          <w:tcPr>
            <w:tcW w:w="1096" w:type="dxa"/>
            <w:tcBorders>
              <w:top w:val="nil"/>
              <w:left w:val="nil"/>
              <w:bottom w:val="single" w:sz="4" w:space="0" w:color="auto"/>
              <w:right w:val="single" w:sz="8" w:space="0" w:color="auto"/>
            </w:tcBorders>
            <w:shd w:val="clear" w:color="000000" w:fill="FFFFFF"/>
            <w:noWrap/>
            <w:vAlign w:val="bottom"/>
            <w:hideMark/>
          </w:tcPr>
          <w:p w14:paraId="43419DE6" w14:textId="1408CC3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100,360</w:t>
            </w:r>
          </w:p>
        </w:tc>
      </w:tr>
      <w:tr w:rsidR="00861244" w:rsidRPr="00E47FB2" w14:paraId="5D0220F4"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611F04A0"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Plátano</w:t>
            </w:r>
          </w:p>
        </w:tc>
        <w:tc>
          <w:tcPr>
            <w:tcW w:w="997" w:type="dxa"/>
            <w:tcBorders>
              <w:top w:val="nil"/>
              <w:left w:val="nil"/>
              <w:bottom w:val="single" w:sz="4" w:space="0" w:color="auto"/>
              <w:right w:val="single" w:sz="4" w:space="0" w:color="auto"/>
            </w:tcBorders>
            <w:shd w:val="clear" w:color="000000" w:fill="FFFFFF"/>
            <w:noWrap/>
            <w:vAlign w:val="bottom"/>
            <w:hideMark/>
          </w:tcPr>
          <w:p w14:paraId="7E014CC2" w14:textId="1DEFC0F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24,117</w:t>
            </w:r>
          </w:p>
        </w:tc>
        <w:tc>
          <w:tcPr>
            <w:tcW w:w="997" w:type="dxa"/>
            <w:tcBorders>
              <w:top w:val="nil"/>
              <w:left w:val="nil"/>
              <w:bottom w:val="single" w:sz="4" w:space="0" w:color="auto"/>
              <w:right w:val="single" w:sz="4" w:space="0" w:color="auto"/>
            </w:tcBorders>
            <w:shd w:val="clear" w:color="000000" w:fill="FFFFFF"/>
            <w:noWrap/>
            <w:vAlign w:val="bottom"/>
            <w:hideMark/>
          </w:tcPr>
          <w:p w14:paraId="12EA9821" w14:textId="30013D7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18,285</w:t>
            </w:r>
          </w:p>
        </w:tc>
        <w:tc>
          <w:tcPr>
            <w:tcW w:w="997" w:type="dxa"/>
            <w:tcBorders>
              <w:top w:val="nil"/>
              <w:left w:val="nil"/>
              <w:bottom w:val="single" w:sz="4" w:space="0" w:color="auto"/>
              <w:right w:val="single" w:sz="4" w:space="0" w:color="auto"/>
            </w:tcBorders>
            <w:shd w:val="clear" w:color="000000" w:fill="FFFFFF"/>
            <w:noWrap/>
            <w:vAlign w:val="bottom"/>
            <w:hideMark/>
          </w:tcPr>
          <w:p w14:paraId="4CDAE1F6" w14:textId="4484255A"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18,552</w:t>
            </w:r>
          </w:p>
        </w:tc>
        <w:tc>
          <w:tcPr>
            <w:tcW w:w="996" w:type="dxa"/>
            <w:tcBorders>
              <w:top w:val="nil"/>
              <w:left w:val="nil"/>
              <w:bottom w:val="single" w:sz="4" w:space="0" w:color="auto"/>
              <w:right w:val="single" w:sz="4" w:space="0" w:color="auto"/>
            </w:tcBorders>
            <w:shd w:val="clear" w:color="000000" w:fill="FFFFFF"/>
            <w:noWrap/>
            <w:vAlign w:val="bottom"/>
            <w:hideMark/>
          </w:tcPr>
          <w:p w14:paraId="041B6826" w14:textId="52C221DB"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21,021</w:t>
            </w:r>
          </w:p>
        </w:tc>
        <w:tc>
          <w:tcPr>
            <w:tcW w:w="996" w:type="dxa"/>
            <w:tcBorders>
              <w:top w:val="nil"/>
              <w:left w:val="nil"/>
              <w:bottom w:val="single" w:sz="4" w:space="0" w:color="auto"/>
              <w:right w:val="single" w:sz="4" w:space="0" w:color="auto"/>
            </w:tcBorders>
            <w:shd w:val="clear" w:color="000000" w:fill="FFFFFF"/>
            <w:noWrap/>
            <w:vAlign w:val="bottom"/>
            <w:hideMark/>
          </w:tcPr>
          <w:p w14:paraId="2A771BC0" w14:textId="2CF26D55"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21,602</w:t>
            </w:r>
          </w:p>
        </w:tc>
        <w:tc>
          <w:tcPr>
            <w:tcW w:w="996" w:type="dxa"/>
            <w:tcBorders>
              <w:top w:val="nil"/>
              <w:left w:val="nil"/>
              <w:bottom w:val="single" w:sz="4" w:space="0" w:color="auto"/>
              <w:right w:val="single" w:sz="4" w:space="0" w:color="auto"/>
            </w:tcBorders>
            <w:shd w:val="clear" w:color="000000" w:fill="FFFFFF"/>
            <w:noWrap/>
            <w:vAlign w:val="bottom"/>
            <w:hideMark/>
          </w:tcPr>
          <w:p w14:paraId="36705317" w14:textId="565D84F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26,998</w:t>
            </w:r>
          </w:p>
        </w:tc>
        <w:tc>
          <w:tcPr>
            <w:tcW w:w="996" w:type="dxa"/>
            <w:tcBorders>
              <w:top w:val="nil"/>
              <w:left w:val="nil"/>
              <w:bottom w:val="single" w:sz="4" w:space="0" w:color="auto"/>
              <w:right w:val="single" w:sz="4" w:space="0" w:color="auto"/>
            </w:tcBorders>
            <w:shd w:val="clear" w:color="000000" w:fill="FFFFFF"/>
            <w:noWrap/>
            <w:vAlign w:val="bottom"/>
            <w:hideMark/>
          </w:tcPr>
          <w:p w14:paraId="0E3077FE" w14:textId="39E014D9"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25,412</w:t>
            </w:r>
          </w:p>
        </w:tc>
        <w:tc>
          <w:tcPr>
            <w:tcW w:w="1107" w:type="dxa"/>
            <w:tcBorders>
              <w:top w:val="nil"/>
              <w:left w:val="nil"/>
              <w:bottom w:val="single" w:sz="4" w:space="0" w:color="auto"/>
              <w:right w:val="single" w:sz="4" w:space="0" w:color="auto"/>
            </w:tcBorders>
            <w:shd w:val="clear" w:color="000000" w:fill="FFFFFF"/>
            <w:noWrap/>
            <w:vAlign w:val="bottom"/>
            <w:hideMark/>
          </w:tcPr>
          <w:p w14:paraId="74780E8E" w14:textId="0215B47D"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23,619</w:t>
            </w:r>
          </w:p>
        </w:tc>
        <w:tc>
          <w:tcPr>
            <w:tcW w:w="996" w:type="dxa"/>
            <w:tcBorders>
              <w:top w:val="nil"/>
              <w:left w:val="nil"/>
              <w:bottom w:val="single" w:sz="4" w:space="0" w:color="auto"/>
              <w:right w:val="single" w:sz="4" w:space="0" w:color="auto"/>
            </w:tcBorders>
            <w:shd w:val="clear" w:color="000000" w:fill="FFFFFF"/>
            <w:noWrap/>
            <w:vAlign w:val="bottom"/>
            <w:hideMark/>
          </w:tcPr>
          <w:p w14:paraId="3CD36222" w14:textId="14692551"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23,895</w:t>
            </w:r>
          </w:p>
        </w:tc>
        <w:tc>
          <w:tcPr>
            <w:tcW w:w="996" w:type="dxa"/>
            <w:tcBorders>
              <w:top w:val="nil"/>
              <w:left w:val="nil"/>
              <w:bottom w:val="single" w:sz="4" w:space="0" w:color="auto"/>
              <w:right w:val="single" w:sz="4" w:space="0" w:color="auto"/>
            </w:tcBorders>
            <w:shd w:val="clear" w:color="000000" w:fill="FFFFFF"/>
            <w:noWrap/>
            <w:vAlign w:val="bottom"/>
            <w:hideMark/>
          </w:tcPr>
          <w:p w14:paraId="146898A2" w14:textId="642EA23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22,339</w:t>
            </w:r>
          </w:p>
        </w:tc>
        <w:tc>
          <w:tcPr>
            <w:tcW w:w="1127" w:type="dxa"/>
            <w:tcBorders>
              <w:top w:val="nil"/>
              <w:left w:val="nil"/>
              <w:bottom w:val="single" w:sz="4" w:space="0" w:color="auto"/>
              <w:right w:val="single" w:sz="4" w:space="0" w:color="auto"/>
            </w:tcBorders>
            <w:shd w:val="clear" w:color="000000" w:fill="FFFFFF"/>
            <w:noWrap/>
            <w:vAlign w:val="bottom"/>
            <w:hideMark/>
          </w:tcPr>
          <w:p w14:paraId="0BB43002" w14:textId="0F169F27"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30,483</w:t>
            </w:r>
          </w:p>
        </w:tc>
        <w:tc>
          <w:tcPr>
            <w:tcW w:w="996" w:type="dxa"/>
            <w:tcBorders>
              <w:top w:val="nil"/>
              <w:left w:val="nil"/>
              <w:bottom w:val="single" w:sz="4" w:space="0" w:color="auto"/>
              <w:right w:val="single" w:sz="4" w:space="0" w:color="auto"/>
            </w:tcBorders>
            <w:shd w:val="clear" w:color="000000" w:fill="FFFFFF"/>
            <w:noWrap/>
            <w:vAlign w:val="bottom"/>
            <w:hideMark/>
          </w:tcPr>
          <w:p w14:paraId="1AA27633" w14:textId="5EF49E40"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20,817</w:t>
            </w:r>
          </w:p>
        </w:tc>
        <w:tc>
          <w:tcPr>
            <w:tcW w:w="1096" w:type="dxa"/>
            <w:tcBorders>
              <w:top w:val="nil"/>
              <w:left w:val="nil"/>
              <w:bottom w:val="single" w:sz="4" w:space="0" w:color="auto"/>
              <w:right w:val="single" w:sz="8" w:space="0" w:color="auto"/>
            </w:tcBorders>
            <w:shd w:val="clear" w:color="000000" w:fill="FFFFFF"/>
            <w:noWrap/>
            <w:vAlign w:val="bottom"/>
            <w:hideMark/>
          </w:tcPr>
          <w:p w14:paraId="659D4237" w14:textId="50D2D218"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277,140</w:t>
            </w:r>
          </w:p>
        </w:tc>
      </w:tr>
      <w:tr w:rsidR="00861244" w:rsidRPr="00473056" w14:paraId="7765F8DD"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35B71CD7" w14:textId="77777777" w:rsidR="00861244" w:rsidRPr="00E47FB2" w:rsidRDefault="00861244" w:rsidP="00861244">
            <w:pPr>
              <w:spacing w:after="0"/>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Total</w:t>
            </w:r>
          </w:p>
        </w:tc>
        <w:tc>
          <w:tcPr>
            <w:tcW w:w="997"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4CDA22AC" w14:textId="2B02BB54" w:rsidR="00861244" w:rsidRPr="00E47FB2" w:rsidRDefault="00861244" w:rsidP="00861244">
            <w:pPr>
              <w:spacing w:after="0"/>
              <w:jc w:val="right"/>
              <w:rPr>
                <w:rFonts w:ascii="Times New Roman" w:hAnsi="Times New Roman"/>
                <w:b/>
                <w:bCs/>
                <w:color w:val="FFFFFF" w:themeColor="background1"/>
                <w:sz w:val="20"/>
                <w:szCs w:val="20"/>
                <w:lang w:val="en-US" w:eastAsia="en-US"/>
              </w:rPr>
            </w:pPr>
            <w:r w:rsidRPr="00E47FB2">
              <w:rPr>
                <w:rFonts w:ascii="Times New Roman" w:hAnsi="Times New Roman"/>
                <w:b/>
                <w:bCs/>
                <w:color w:val="FFFFFF" w:themeColor="background1"/>
                <w:sz w:val="20"/>
                <w:szCs w:val="20"/>
              </w:rPr>
              <w:t>749,602</w:t>
            </w:r>
          </w:p>
        </w:tc>
        <w:tc>
          <w:tcPr>
            <w:tcW w:w="997"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6770EDA9" w14:textId="05071BF2" w:rsidR="00861244" w:rsidRPr="00E47FB2" w:rsidRDefault="00861244" w:rsidP="00861244">
            <w:pPr>
              <w:spacing w:after="0"/>
              <w:jc w:val="right"/>
              <w:rPr>
                <w:rFonts w:ascii="Times New Roman" w:hAnsi="Times New Roman"/>
                <w:b/>
                <w:bCs/>
                <w:color w:val="FFFFFF" w:themeColor="background1"/>
                <w:sz w:val="20"/>
                <w:szCs w:val="20"/>
                <w:lang w:val="en-US" w:eastAsia="en-US"/>
              </w:rPr>
            </w:pPr>
            <w:r w:rsidRPr="00E47FB2">
              <w:rPr>
                <w:rFonts w:ascii="Times New Roman" w:hAnsi="Times New Roman"/>
                <w:b/>
                <w:bCs/>
                <w:color w:val="FFFFFF" w:themeColor="background1"/>
                <w:sz w:val="20"/>
                <w:szCs w:val="20"/>
              </w:rPr>
              <w:t>392,512</w:t>
            </w:r>
          </w:p>
        </w:tc>
        <w:tc>
          <w:tcPr>
            <w:tcW w:w="997"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725A49AD" w14:textId="1774779B" w:rsidR="00861244" w:rsidRPr="00E47FB2" w:rsidRDefault="00861244" w:rsidP="00861244">
            <w:pPr>
              <w:spacing w:after="0"/>
              <w:jc w:val="right"/>
              <w:rPr>
                <w:rFonts w:ascii="Times New Roman" w:hAnsi="Times New Roman"/>
                <w:b/>
                <w:bCs/>
                <w:color w:val="FFFFFF" w:themeColor="background1"/>
                <w:sz w:val="20"/>
                <w:szCs w:val="20"/>
                <w:lang w:val="en-US" w:eastAsia="en-US"/>
              </w:rPr>
            </w:pPr>
            <w:r w:rsidRPr="00E47FB2">
              <w:rPr>
                <w:rFonts w:ascii="Times New Roman" w:hAnsi="Times New Roman"/>
                <w:b/>
                <w:bCs/>
                <w:color w:val="FFFFFF" w:themeColor="background1"/>
                <w:sz w:val="20"/>
                <w:szCs w:val="20"/>
              </w:rPr>
              <w:t>205,746</w:t>
            </w:r>
          </w:p>
        </w:tc>
        <w:tc>
          <w:tcPr>
            <w:tcW w:w="99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0CC97786" w14:textId="7DA0E272" w:rsidR="00861244" w:rsidRPr="00E47FB2" w:rsidRDefault="00861244" w:rsidP="00861244">
            <w:pPr>
              <w:spacing w:after="0"/>
              <w:jc w:val="right"/>
              <w:rPr>
                <w:rFonts w:ascii="Times New Roman" w:hAnsi="Times New Roman"/>
                <w:b/>
                <w:bCs/>
                <w:color w:val="FFFFFF" w:themeColor="background1"/>
                <w:sz w:val="20"/>
                <w:szCs w:val="20"/>
                <w:lang w:val="en-US" w:eastAsia="en-US"/>
              </w:rPr>
            </w:pPr>
            <w:r w:rsidRPr="00E47FB2">
              <w:rPr>
                <w:rFonts w:ascii="Times New Roman" w:hAnsi="Times New Roman"/>
                <w:b/>
                <w:bCs/>
                <w:color w:val="FFFFFF" w:themeColor="background1"/>
                <w:sz w:val="20"/>
                <w:szCs w:val="20"/>
              </w:rPr>
              <w:t>435,450</w:t>
            </w:r>
          </w:p>
        </w:tc>
        <w:tc>
          <w:tcPr>
            <w:tcW w:w="99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27FB04F5" w14:textId="2E578C1D" w:rsidR="00861244" w:rsidRPr="00E47FB2" w:rsidRDefault="00861244" w:rsidP="00861244">
            <w:pPr>
              <w:spacing w:after="0"/>
              <w:jc w:val="right"/>
              <w:rPr>
                <w:rFonts w:ascii="Times New Roman" w:hAnsi="Times New Roman"/>
                <w:b/>
                <w:bCs/>
                <w:color w:val="FFFFFF" w:themeColor="background1"/>
                <w:sz w:val="20"/>
                <w:szCs w:val="20"/>
                <w:lang w:val="en-US" w:eastAsia="en-US"/>
              </w:rPr>
            </w:pPr>
            <w:r w:rsidRPr="00E47FB2">
              <w:rPr>
                <w:rFonts w:ascii="Times New Roman" w:hAnsi="Times New Roman"/>
                <w:b/>
                <w:bCs/>
                <w:color w:val="FFFFFF" w:themeColor="background1"/>
                <w:sz w:val="20"/>
                <w:szCs w:val="20"/>
              </w:rPr>
              <w:t>599,936</w:t>
            </w:r>
          </w:p>
        </w:tc>
        <w:tc>
          <w:tcPr>
            <w:tcW w:w="99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63F9E419" w14:textId="718CF279" w:rsidR="00861244" w:rsidRPr="00E47FB2" w:rsidRDefault="00861244" w:rsidP="00861244">
            <w:pPr>
              <w:spacing w:after="0"/>
              <w:jc w:val="right"/>
              <w:rPr>
                <w:rFonts w:ascii="Times New Roman" w:hAnsi="Times New Roman"/>
                <w:b/>
                <w:bCs/>
                <w:color w:val="FFFFFF" w:themeColor="background1"/>
                <w:sz w:val="20"/>
                <w:szCs w:val="20"/>
                <w:lang w:val="en-US" w:eastAsia="en-US"/>
              </w:rPr>
            </w:pPr>
            <w:r w:rsidRPr="00E47FB2">
              <w:rPr>
                <w:rFonts w:ascii="Times New Roman" w:hAnsi="Times New Roman"/>
                <w:b/>
                <w:bCs/>
                <w:color w:val="FFFFFF" w:themeColor="background1"/>
                <w:sz w:val="20"/>
                <w:szCs w:val="20"/>
              </w:rPr>
              <w:t>719,600</w:t>
            </w:r>
          </w:p>
        </w:tc>
        <w:tc>
          <w:tcPr>
            <w:tcW w:w="99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04B07CA9" w14:textId="58E7B0E2" w:rsidR="00861244" w:rsidRPr="00E47FB2" w:rsidRDefault="00861244" w:rsidP="00861244">
            <w:pPr>
              <w:spacing w:after="0"/>
              <w:jc w:val="right"/>
              <w:rPr>
                <w:rFonts w:ascii="Times New Roman" w:hAnsi="Times New Roman"/>
                <w:b/>
                <w:bCs/>
                <w:color w:val="FFFFFF" w:themeColor="background1"/>
                <w:sz w:val="20"/>
                <w:szCs w:val="20"/>
                <w:lang w:val="en-US" w:eastAsia="en-US"/>
              </w:rPr>
            </w:pPr>
            <w:r w:rsidRPr="00E47FB2">
              <w:rPr>
                <w:rFonts w:ascii="Times New Roman" w:hAnsi="Times New Roman"/>
                <w:b/>
                <w:bCs/>
                <w:color w:val="FFFFFF" w:themeColor="background1"/>
                <w:sz w:val="20"/>
                <w:szCs w:val="20"/>
              </w:rPr>
              <w:t>710,374</w:t>
            </w:r>
          </w:p>
        </w:tc>
        <w:tc>
          <w:tcPr>
            <w:tcW w:w="1107"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01AB1040" w14:textId="1893930A" w:rsidR="00861244" w:rsidRPr="00E47FB2" w:rsidRDefault="00861244" w:rsidP="00861244">
            <w:pPr>
              <w:spacing w:after="0"/>
              <w:jc w:val="right"/>
              <w:rPr>
                <w:rFonts w:ascii="Times New Roman" w:hAnsi="Times New Roman"/>
                <w:b/>
                <w:bCs/>
                <w:color w:val="FFFFFF" w:themeColor="background1"/>
                <w:sz w:val="20"/>
                <w:szCs w:val="20"/>
                <w:lang w:val="en-US" w:eastAsia="en-US"/>
              </w:rPr>
            </w:pPr>
            <w:r w:rsidRPr="00E47FB2">
              <w:rPr>
                <w:rFonts w:ascii="Times New Roman" w:hAnsi="Times New Roman"/>
                <w:b/>
                <w:bCs/>
                <w:color w:val="FFFFFF" w:themeColor="background1"/>
                <w:sz w:val="20"/>
                <w:szCs w:val="20"/>
              </w:rPr>
              <w:t>362,774</w:t>
            </w:r>
          </w:p>
        </w:tc>
        <w:tc>
          <w:tcPr>
            <w:tcW w:w="99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1A9B2B36" w14:textId="79B7B8BE" w:rsidR="00861244" w:rsidRPr="00E47FB2" w:rsidRDefault="00861244" w:rsidP="00861244">
            <w:pPr>
              <w:spacing w:after="0"/>
              <w:jc w:val="right"/>
              <w:rPr>
                <w:rFonts w:ascii="Times New Roman" w:hAnsi="Times New Roman"/>
                <w:b/>
                <w:bCs/>
                <w:color w:val="FFFFFF" w:themeColor="background1"/>
                <w:sz w:val="20"/>
                <w:szCs w:val="20"/>
                <w:lang w:val="en-US" w:eastAsia="en-US"/>
              </w:rPr>
            </w:pPr>
            <w:r w:rsidRPr="00E47FB2">
              <w:rPr>
                <w:rFonts w:ascii="Times New Roman" w:hAnsi="Times New Roman"/>
                <w:b/>
                <w:bCs/>
                <w:color w:val="FFFFFF" w:themeColor="background1"/>
                <w:sz w:val="20"/>
                <w:szCs w:val="20"/>
              </w:rPr>
              <w:t>310,961</w:t>
            </w:r>
          </w:p>
        </w:tc>
        <w:tc>
          <w:tcPr>
            <w:tcW w:w="99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4DD586CB" w14:textId="1C2B7BB8" w:rsidR="00861244" w:rsidRPr="00E47FB2" w:rsidRDefault="00861244" w:rsidP="00861244">
            <w:pPr>
              <w:spacing w:after="0"/>
              <w:jc w:val="right"/>
              <w:rPr>
                <w:rFonts w:ascii="Times New Roman" w:hAnsi="Times New Roman"/>
                <w:b/>
                <w:bCs/>
                <w:color w:val="FFFFFF" w:themeColor="background1"/>
                <w:sz w:val="20"/>
                <w:szCs w:val="20"/>
                <w:lang w:val="en-US" w:eastAsia="en-US"/>
              </w:rPr>
            </w:pPr>
            <w:r w:rsidRPr="00E47FB2">
              <w:rPr>
                <w:rFonts w:ascii="Times New Roman" w:hAnsi="Times New Roman"/>
                <w:b/>
                <w:bCs/>
                <w:color w:val="FFFFFF" w:themeColor="background1"/>
                <w:sz w:val="20"/>
                <w:szCs w:val="20"/>
              </w:rPr>
              <w:t>245,477</w:t>
            </w:r>
          </w:p>
        </w:tc>
        <w:tc>
          <w:tcPr>
            <w:tcW w:w="1127"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13A0F1DD" w14:textId="705EB8F7" w:rsidR="00861244" w:rsidRPr="00E47FB2" w:rsidRDefault="00861244" w:rsidP="00861244">
            <w:pPr>
              <w:spacing w:after="0"/>
              <w:jc w:val="right"/>
              <w:rPr>
                <w:rFonts w:ascii="Times New Roman" w:hAnsi="Times New Roman"/>
                <w:b/>
                <w:bCs/>
                <w:color w:val="FFFFFF" w:themeColor="background1"/>
                <w:sz w:val="20"/>
                <w:szCs w:val="20"/>
                <w:lang w:val="en-US" w:eastAsia="en-US"/>
              </w:rPr>
            </w:pPr>
            <w:r w:rsidRPr="00E47FB2">
              <w:rPr>
                <w:rFonts w:ascii="Times New Roman" w:hAnsi="Times New Roman"/>
                <w:b/>
                <w:bCs/>
                <w:color w:val="FFFFFF" w:themeColor="background1"/>
                <w:sz w:val="20"/>
                <w:szCs w:val="20"/>
              </w:rPr>
              <w:t>353,892</w:t>
            </w:r>
          </w:p>
        </w:tc>
        <w:tc>
          <w:tcPr>
            <w:tcW w:w="99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206B7624" w14:textId="59858BAD" w:rsidR="00861244" w:rsidRPr="00E47FB2" w:rsidRDefault="00861244" w:rsidP="00861244">
            <w:pPr>
              <w:spacing w:after="0"/>
              <w:jc w:val="right"/>
              <w:rPr>
                <w:rFonts w:ascii="Times New Roman" w:hAnsi="Times New Roman"/>
                <w:b/>
                <w:bCs/>
                <w:color w:val="FFFFFF" w:themeColor="background1"/>
                <w:sz w:val="20"/>
                <w:szCs w:val="20"/>
                <w:lang w:val="en-US" w:eastAsia="en-US"/>
              </w:rPr>
            </w:pPr>
            <w:r w:rsidRPr="00E47FB2">
              <w:rPr>
                <w:rFonts w:ascii="Times New Roman" w:hAnsi="Times New Roman"/>
                <w:b/>
                <w:bCs/>
                <w:color w:val="FFFFFF" w:themeColor="background1"/>
                <w:sz w:val="20"/>
                <w:szCs w:val="20"/>
              </w:rPr>
              <w:t>815,405</w:t>
            </w:r>
          </w:p>
        </w:tc>
        <w:tc>
          <w:tcPr>
            <w:tcW w:w="109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55A00829" w14:textId="51003843" w:rsidR="00861244" w:rsidRPr="002A3125" w:rsidRDefault="00861244" w:rsidP="00861244">
            <w:pPr>
              <w:spacing w:after="0"/>
              <w:jc w:val="right"/>
              <w:rPr>
                <w:rFonts w:ascii="Times New Roman" w:hAnsi="Times New Roman"/>
                <w:b/>
                <w:bCs/>
                <w:color w:val="FFFFFF" w:themeColor="background1"/>
                <w:sz w:val="20"/>
                <w:szCs w:val="20"/>
                <w:lang w:val="en-US" w:eastAsia="en-US"/>
              </w:rPr>
            </w:pPr>
            <w:r w:rsidRPr="00E47FB2">
              <w:rPr>
                <w:rFonts w:ascii="Times New Roman" w:hAnsi="Times New Roman"/>
                <w:b/>
                <w:bCs/>
                <w:color w:val="FFFFFF" w:themeColor="background1"/>
                <w:sz w:val="20"/>
                <w:szCs w:val="20"/>
              </w:rPr>
              <w:t>5,901,728</w:t>
            </w:r>
          </w:p>
        </w:tc>
      </w:tr>
    </w:tbl>
    <w:p w14:paraId="1E092CAD" w14:textId="77777777" w:rsidR="00DB6A17" w:rsidRDefault="0075519C" w:rsidP="0075519C">
      <w:pPr>
        <w:spacing w:after="0"/>
        <w:rPr>
          <w:rFonts w:ascii="Times New Roman" w:hAnsi="Times New Roman"/>
        </w:rPr>
      </w:pPr>
      <w:r>
        <w:rPr>
          <w:rFonts w:ascii="Times New Roman" w:hAnsi="Times New Roman"/>
        </w:rPr>
        <w:br w:type="page"/>
      </w:r>
    </w:p>
    <w:p w14:paraId="61039C06" w14:textId="77777777" w:rsidR="00AC313A" w:rsidRPr="0098414F" w:rsidRDefault="00AC313A" w:rsidP="0075519C">
      <w:pPr>
        <w:spacing w:after="0" w:line="480" w:lineRule="auto"/>
        <w:rPr>
          <w:rFonts w:ascii="Times New Roman" w:hAnsi="Times New Roman"/>
          <w:b/>
          <w:lang w:val="es-ES_tradnl"/>
        </w:rPr>
        <w:sectPr w:rsidR="00AC313A" w:rsidRPr="0098414F" w:rsidSect="00C54B50">
          <w:headerReference w:type="first" r:id="rId107"/>
          <w:footerReference w:type="first" r:id="rId108"/>
          <w:pgSz w:w="15840" w:h="12240" w:orient="landscape"/>
          <w:pgMar w:top="445" w:right="1440" w:bottom="567" w:left="1440" w:header="426" w:footer="720" w:gutter="0"/>
          <w:cols w:space="720"/>
          <w:titlePg/>
          <w:docGrid w:linePitch="360"/>
        </w:sectPr>
      </w:pPr>
    </w:p>
    <w:p w14:paraId="62856E57" w14:textId="77777777" w:rsidR="00AB0F28" w:rsidRPr="0098414F" w:rsidRDefault="00AB0F28" w:rsidP="00AB0F28">
      <w:pPr>
        <w:spacing w:after="0" w:line="480" w:lineRule="auto"/>
        <w:jc w:val="center"/>
        <w:rPr>
          <w:rFonts w:ascii="Times New Roman" w:hAnsi="Times New Roman"/>
          <w:b/>
          <w:sz w:val="28"/>
        </w:rPr>
      </w:pPr>
    </w:p>
    <w:p w14:paraId="33E6E97B" w14:textId="77777777" w:rsidR="00AB0F28" w:rsidRPr="0098414F" w:rsidRDefault="00AB0F28" w:rsidP="00AB0F28">
      <w:pPr>
        <w:spacing w:after="0" w:line="480" w:lineRule="auto"/>
        <w:jc w:val="center"/>
        <w:rPr>
          <w:rFonts w:ascii="Times New Roman" w:hAnsi="Times New Roman"/>
          <w:b/>
          <w:sz w:val="28"/>
        </w:rPr>
      </w:pPr>
    </w:p>
    <w:p w14:paraId="3C97E069" w14:textId="77777777" w:rsidR="00AB0F28" w:rsidRPr="0098414F" w:rsidRDefault="00AB0F28" w:rsidP="00AB0F28">
      <w:pPr>
        <w:spacing w:after="0" w:line="480" w:lineRule="auto"/>
        <w:jc w:val="center"/>
        <w:rPr>
          <w:rFonts w:ascii="Times New Roman" w:hAnsi="Times New Roman"/>
          <w:b/>
          <w:sz w:val="28"/>
        </w:rPr>
      </w:pPr>
    </w:p>
    <w:p w14:paraId="2988F5FC" w14:textId="77777777" w:rsidR="00AB0F28" w:rsidRPr="0098414F" w:rsidRDefault="00AB0F28" w:rsidP="00AB0F28">
      <w:pPr>
        <w:spacing w:after="0" w:line="480" w:lineRule="auto"/>
        <w:jc w:val="center"/>
        <w:rPr>
          <w:rFonts w:ascii="Times New Roman" w:hAnsi="Times New Roman"/>
          <w:b/>
          <w:sz w:val="28"/>
        </w:rPr>
      </w:pPr>
    </w:p>
    <w:p w14:paraId="06519639" w14:textId="77777777" w:rsidR="00AB0F28" w:rsidRPr="0098414F" w:rsidRDefault="00AB0F28" w:rsidP="00AB0F28">
      <w:pPr>
        <w:spacing w:after="0" w:line="480" w:lineRule="auto"/>
        <w:jc w:val="center"/>
        <w:rPr>
          <w:rFonts w:ascii="Times New Roman" w:hAnsi="Times New Roman"/>
          <w:b/>
          <w:sz w:val="28"/>
        </w:rPr>
      </w:pPr>
    </w:p>
    <w:p w14:paraId="02FCBBBD" w14:textId="77777777" w:rsidR="00AB0F28" w:rsidRPr="0098414F" w:rsidRDefault="00AB0F28" w:rsidP="00AB0F28">
      <w:pPr>
        <w:spacing w:after="0" w:line="480" w:lineRule="auto"/>
        <w:jc w:val="center"/>
        <w:rPr>
          <w:rFonts w:ascii="Times New Roman" w:hAnsi="Times New Roman"/>
          <w:b/>
          <w:sz w:val="28"/>
        </w:rPr>
      </w:pPr>
      <w:r w:rsidRPr="0098414F">
        <w:rPr>
          <w:rFonts w:ascii="Times New Roman" w:hAnsi="Times New Roman"/>
          <w:b/>
          <w:sz w:val="28"/>
        </w:rPr>
        <w:t>Anexo C:</w:t>
      </w:r>
    </w:p>
    <w:p w14:paraId="34BAE986" w14:textId="309DB37C" w:rsidR="00AB0F28" w:rsidRPr="0098414F" w:rsidRDefault="00AB0F28" w:rsidP="00AB0F28">
      <w:pPr>
        <w:spacing w:after="0" w:line="480" w:lineRule="auto"/>
        <w:jc w:val="center"/>
        <w:rPr>
          <w:rFonts w:ascii="Times New Roman" w:hAnsi="Times New Roman"/>
          <w:b/>
          <w:sz w:val="28"/>
        </w:rPr>
      </w:pPr>
      <w:r w:rsidRPr="0098414F">
        <w:rPr>
          <w:rFonts w:ascii="Times New Roman" w:hAnsi="Times New Roman"/>
          <w:b/>
          <w:sz w:val="28"/>
        </w:rPr>
        <w:t xml:space="preserve">Consolidado </w:t>
      </w:r>
      <w:r w:rsidR="00500B67" w:rsidRPr="0098414F">
        <w:rPr>
          <w:rFonts w:ascii="Times New Roman" w:hAnsi="Times New Roman"/>
          <w:b/>
          <w:sz w:val="28"/>
        </w:rPr>
        <w:t xml:space="preserve">nacional de superficie cosechada por </w:t>
      </w:r>
      <w:r w:rsidR="0084573A">
        <w:rPr>
          <w:rFonts w:ascii="Times New Roman" w:hAnsi="Times New Roman"/>
          <w:b/>
          <w:sz w:val="28"/>
        </w:rPr>
        <w:t>rubros</w:t>
      </w:r>
      <w:r w:rsidRPr="0098414F">
        <w:rPr>
          <w:rFonts w:ascii="Times New Roman" w:hAnsi="Times New Roman"/>
          <w:b/>
          <w:sz w:val="28"/>
        </w:rPr>
        <w:t xml:space="preserve">, durante el </w:t>
      </w:r>
      <w:r w:rsidR="00BA36D3" w:rsidRPr="0098414F">
        <w:rPr>
          <w:rFonts w:ascii="Times New Roman" w:hAnsi="Times New Roman"/>
          <w:b/>
          <w:sz w:val="28"/>
        </w:rPr>
        <w:t>período</w:t>
      </w:r>
      <w:r w:rsidRPr="0098414F">
        <w:rPr>
          <w:rFonts w:ascii="Times New Roman" w:hAnsi="Times New Roman"/>
          <w:b/>
          <w:sz w:val="28"/>
        </w:rPr>
        <w:t xml:space="preserve"> 201</w:t>
      </w:r>
      <w:r w:rsidR="00861244">
        <w:rPr>
          <w:rFonts w:ascii="Times New Roman" w:hAnsi="Times New Roman"/>
          <w:b/>
          <w:sz w:val="28"/>
        </w:rPr>
        <w:t>9</w:t>
      </w:r>
    </w:p>
    <w:p w14:paraId="019D8570" w14:textId="77777777" w:rsidR="00AB0F28" w:rsidRPr="0098414F" w:rsidRDefault="0075519C" w:rsidP="00AB0F28">
      <w:pPr>
        <w:spacing w:after="0" w:line="480" w:lineRule="auto"/>
        <w:jc w:val="center"/>
        <w:rPr>
          <w:rFonts w:ascii="Times New Roman" w:hAnsi="Times New Roman"/>
          <w:b/>
          <w:sz w:val="28"/>
        </w:rPr>
      </w:pPr>
      <w:r>
        <w:rPr>
          <w:rFonts w:ascii="Times New Roman" w:hAnsi="Times New Roman"/>
          <w:b/>
          <w:sz w:val="28"/>
        </w:rPr>
        <w:t>(valores expresados en tareas)</w:t>
      </w:r>
    </w:p>
    <w:p w14:paraId="1314D64F" w14:textId="77777777" w:rsidR="00AB0F28" w:rsidRPr="0098414F" w:rsidRDefault="00AB0F28" w:rsidP="00AB0F28">
      <w:pPr>
        <w:spacing w:after="0" w:line="480" w:lineRule="auto"/>
        <w:jc w:val="center"/>
        <w:rPr>
          <w:rFonts w:ascii="Times New Roman" w:hAnsi="Times New Roman"/>
          <w:b/>
          <w:sz w:val="28"/>
        </w:rPr>
      </w:pPr>
    </w:p>
    <w:p w14:paraId="216E4628" w14:textId="77777777" w:rsidR="00AB0F28" w:rsidRPr="0098414F" w:rsidRDefault="00AB0F28" w:rsidP="00AB0F28">
      <w:pPr>
        <w:spacing w:after="0" w:line="480" w:lineRule="auto"/>
        <w:jc w:val="center"/>
        <w:rPr>
          <w:rFonts w:ascii="Times New Roman" w:hAnsi="Times New Roman"/>
          <w:b/>
          <w:sz w:val="28"/>
        </w:rPr>
      </w:pPr>
    </w:p>
    <w:p w14:paraId="1E862704" w14:textId="77777777" w:rsidR="00AB0F28" w:rsidRPr="0098414F" w:rsidRDefault="000400AB">
      <w:pPr>
        <w:rPr>
          <w:rFonts w:ascii="Times New Roman" w:hAnsi="Times New Roman"/>
        </w:rPr>
        <w:sectPr w:rsidR="00AB0F28" w:rsidRPr="0098414F" w:rsidSect="00AB0F28">
          <w:headerReference w:type="default" r:id="rId109"/>
          <w:headerReference w:type="first" r:id="rId110"/>
          <w:pgSz w:w="15840" w:h="12240" w:orient="landscape"/>
          <w:pgMar w:top="568" w:right="1440" w:bottom="567" w:left="1440" w:header="720" w:footer="720" w:gutter="0"/>
          <w:cols w:space="720"/>
          <w:titlePg/>
          <w:docGrid w:linePitch="360"/>
        </w:sectPr>
      </w:pPr>
      <w:r w:rsidRPr="0098414F">
        <w:rPr>
          <w:rFonts w:ascii="Times New Roman" w:hAnsi="Times New Roman"/>
          <w:noProof/>
          <w:lang w:eastAsia="es-DO"/>
        </w:rPr>
        <mc:AlternateContent>
          <mc:Choice Requires="wps">
            <w:drawing>
              <wp:anchor distT="0" distB="0" distL="114300" distR="114300" simplePos="0" relativeHeight="251701248" behindDoc="0" locked="0" layoutInCell="1" allowOverlap="1" wp14:anchorId="2BD4EEDD" wp14:editId="22DC6390">
                <wp:simplePos x="0" y="0"/>
                <wp:positionH relativeFrom="column">
                  <wp:posOffset>6943725</wp:posOffset>
                </wp:positionH>
                <wp:positionV relativeFrom="paragraph">
                  <wp:posOffset>2277154</wp:posOffset>
                </wp:positionV>
                <wp:extent cx="1402715" cy="425450"/>
                <wp:effectExtent l="0" t="0" r="26035" b="12700"/>
                <wp:wrapNone/>
                <wp:docPr id="20" name="4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71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8EADBB6" id="48 Rectángulo" o:spid="_x0000_s1026" style="position:absolute;margin-left:546.75pt;margin-top:179.3pt;width:110.45pt;height:3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" fillcolor="white [3212]" strokecolor="white [3212]" strokeweight="2pt">
                <v:path arrowok="t"/>
              </v:rect>
            </w:pict>
          </mc:Fallback>
        </mc:AlternateContent>
      </w:r>
      <w:r w:rsidR="004B5C88" w:rsidRPr="0098414F">
        <w:rPr>
          <w:rFonts w:ascii="Times New Roman" w:hAnsi="Times New Roman"/>
          <w:noProof/>
          <w:lang w:eastAsia="es-DO"/>
        </w:rPr>
        <mc:AlternateContent>
          <mc:Choice Requires="wps">
            <w:drawing>
              <wp:anchor distT="0" distB="0" distL="114300" distR="114300" simplePos="0" relativeHeight="251673600" behindDoc="0" locked="0" layoutInCell="1" allowOverlap="1" wp14:anchorId="7BE44587" wp14:editId="7F4C5169">
                <wp:simplePos x="0" y="0"/>
                <wp:positionH relativeFrom="column">
                  <wp:posOffset>6936740</wp:posOffset>
                </wp:positionH>
                <wp:positionV relativeFrom="paragraph">
                  <wp:posOffset>1544955</wp:posOffset>
                </wp:positionV>
                <wp:extent cx="1386840" cy="425450"/>
                <wp:effectExtent l="0" t="0" r="22860" b="12700"/>
                <wp:wrapNone/>
                <wp:docPr id="28" name="2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6840"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6605DA8" id="28 Rectángulo" o:spid="_x0000_s1026" style="position:absolute;margin-left:546.2pt;margin-top:121.65pt;width:109.2pt;height:3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" fillcolor="white [3212]" strokecolor="white [3212]" strokeweight="2pt">
                <v:path arrowok="t"/>
              </v:rect>
            </w:pict>
          </mc:Fallback>
        </mc:AlternateContent>
      </w:r>
      <w:r w:rsidR="00AB0F28" w:rsidRPr="0098414F">
        <w:rPr>
          <w:rFonts w:ascii="Times New Roman" w:hAnsi="Times New Roman"/>
        </w:rPr>
        <w:br w:type="page"/>
      </w:r>
    </w:p>
    <w:tbl>
      <w:tblPr>
        <w:tblW w:w="15152" w:type="dxa"/>
        <w:jc w:val="center"/>
        <w:tblLook w:val="04A0" w:firstRow="1" w:lastRow="0" w:firstColumn="1" w:lastColumn="0" w:noHBand="0" w:noVBand="1"/>
      </w:tblPr>
      <w:tblGrid>
        <w:gridCol w:w="1552"/>
        <w:gridCol w:w="1016"/>
        <w:gridCol w:w="1016"/>
        <w:gridCol w:w="1016"/>
        <w:gridCol w:w="1016"/>
        <w:gridCol w:w="1016"/>
        <w:gridCol w:w="1016"/>
        <w:gridCol w:w="1016"/>
        <w:gridCol w:w="1107"/>
        <w:gridCol w:w="1016"/>
        <w:gridCol w:w="1016"/>
        <w:gridCol w:w="1127"/>
        <w:gridCol w:w="1016"/>
        <w:gridCol w:w="1206"/>
      </w:tblGrid>
      <w:tr w:rsidR="006A6D95" w:rsidRPr="00E47FB2" w14:paraId="4983AC74" w14:textId="77777777" w:rsidTr="00861244">
        <w:trPr>
          <w:trHeight w:val="86"/>
          <w:jc w:val="center"/>
        </w:trPr>
        <w:tc>
          <w:tcPr>
            <w:tcW w:w="1552"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1B93824F" w14:textId="77777777" w:rsidR="006A6D95" w:rsidRPr="00E47FB2" w:rsidRDefault="006A6D9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lastRenderedPageBreak/>
              <w:t>Rubro</w:t>
            </w:r>
          </w:p>
        </w:tc>
        <w:tc>
          <w:tcPr>
            <w:tcW w:w="1016"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04FAD53A" w14:textId="77777777" w:rsidR="006A6D95" w:rsidRPr="00E47FB2" w:rsidRDefault="006A6D9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Ene.</w:t>
            </w:r>
          </w:p>
        </w:tc>
        <w:tc>
          <w:tcPr>
            <w:tcW w:w="1016"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25D2B69A" w14:textId="77777777" w:rsidR="006A6D95" w:rsidRPr="00E47FB2" w:rsidRDefault="006A6D9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Feb.</w:t>
            </w:r>
          </w:p>
        </w:tc>
        <w:tc>
          <w:tcPr>
            <w:tcW w:w="1016"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1FB3E756" w14:textId="77777777" w:rsidR="006A6D95" w:rsidRPr="00E47FB2" w:rsidRDefault="006A6D9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Mar.</w:t>
            </w:r>
          </w:p>
        </w:tc>
        <w:tc>
          <w:tcPr>
            <w:tcW w:w="1016"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53BE7E9C" w14:textId="77777777" w:rsidR="006A6D95" w:rsidRPr="00E47FB2" w:rsidRDefault="006A6D9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Abr.</w:t>
            </w:r>
          </w:p>
        </w:tc>
        <w:tc>
          <w:tcPr>
            <w:tcW w:w="1016"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4E0BF6E2" w14:textId="77777777" w:rsidR="006A6D95" w:rsidRPr="00E47FB2" w:rsidRDefault="006A6D9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May.</w:t>
            </w:r>
          </w:p>
        </w:tc>
        <w:tc>
          <w:tcPr>
            <w:tcW w:w="1016"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3C0B13EB" w14:textId="77777777" w:rsidR="006A6D95" w:rsidRPr="00E47FB2" w:rsidRDefault="006A6D9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Jun.</w:t>
            </w:r>
          </w:p>
        </w:tc>
        <w:tc>
          <w:tcPr>
            <w:tcW w:w="1016"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1007F3B8" w14:textId="77777777" w:rsidR="006A6D95" w:rsidRPr="00E47FB2" w:rsidRDefault="006A6D9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Jul.</w:t>
            </w:r>
          </w:p>
        </w:tc>
        <w:tc>
          <w:tcPr>
            <w:tcW w:w="1107"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1C1D890D" w14:textId="77777777" w:rsidR="006A6D95" w:rsidRPr="00E47FB2" w:rsidRDefault="006A6D9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Ago.</w:t>
            </w:r>
          </w:p>
        </w:tc>
        <w:tc>
          <w:tcPr>
            <w:tcW w:w="1016"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341F7BD5" w14:textId="77777777" w:rsidR="006A6D95" w:rsidRPr="00E47FB2" w:rsidRDefault="006A6D9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Sep.</w:t>
            </w:r>
          </w:p>
        </w:tc>
        <w:tc>
          <w:tcPr>
            <w:tcW w:w="1016"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36DE787D" w14:textId="77777777" w:rsidR="006A6D95" w:rsidRPr="00E47FB2" w:rsidRDefault="006A6D9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Oct.</w:t>
            </w:r>
          </w:p>
        </w:tc>
        <w:tc>
          <w:tcPr>
            <w:tcW w:w="1127"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0FC132A6" w14:textId="77777777" w:rsidR="006A6D95" w:rsidRPr="00E47FB2" w:rsidRDefault="006A6D9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Nov.</w:t>
            </w:r>
          </w:p>
        </w:tc>
        <w:tc>
          <w:tcPr>
            <w:tcW w:w="1016"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01C0B89D" w14:textId="77777777" w:rsidR="006A6D95" w:rsidRPr="00E47FB2" w:rsidRDefault="006A6D9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Dic.</w:t>
            </w:r>
          </w:p>
        </w:tc>
        <w:tc>
          <w:tcPr>
            <w:tcW w:w="1206"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59771C40" w14:textId="77777777" w:rsidR="006A6D95" w:rsidRPr="00E47FB2" w:rsidRDefault="006A6D9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Total</w:t>
            </w:r>
          </w:p>
        </w:tc>
      </w:tr>
      <w:tr w:rsidR="00861244" w:rsidRPr="00E47FB2" w14:paraId="49F9A102" w14:textId="77777777" w:rsidTr="00861244">
        <w:trPr>
          <w:trHeight w:val="96"/>
          <w:jc w:val="center"/>
        </w:trPr>
        <w:tc>
          <w:tcPr>
            <w:tcW w:w="155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B7BA984"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Arroz</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14:paraId="322322D1" w14:textId="2CFBD292" w:rsidR="00861244" w:rsidRPr="00E47FB2" w:rsidRDefault="00861244" w:rsidP="00861244">
            <w:pPr>
              <w:spacing w:after="0"/>
              <w:jc w:val="right"/>
              <w:rPr>
                <w:rFonts w:ascii="Times New Roman" w:hAnsi="Times New Roman"/>
                <w:sz w:val="20"/>
                <w:szCs w:val="20"/>
                <w:lang w:val="en-US" w:eastAsia="en-US"/>
              </w:rPr>
            </w:pPr>
            <w:r w:rsidRPr="00E47FB2">
              <w:rPr>
                <w:rFonts w:ascii="Times New Roman" w:hAnsi="Times New Roman"/>
                <w:sz w:val="20"/>
                <w:szCs w:val="20"/>
              </w:rPr>
              <w:t>21,379</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14:paraId="08FB7B0E" w14:textId="03FCAD8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3,361</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14:paraId="32AC745F" w14:textId="137D909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110,572</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14:paraId="1CF92167" w14:textId="084C7C1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506,059</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14:paraId="1C832B6F" w14:textId="77BCBB7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485,214</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14:paraId="6F2611F2" w14:textId="66AE2DC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206,245</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14:paraId="228B5BD7" w14:textId="007D6AB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145,245</w:t>
            </w:r>
          </w:p>
        </w:tc>
        <w:tc>
          <w:tcPr>
            <w:tcW w:w="1107" w:type="dxa"/>
            <w:tcBorders>
              <w:top w:val="single" w:sz="4" w:space="0" w:color="auto"/>
              <w:left w:val="nil"/>
              <w:bottom w:val="single" w:sz="4" w:space="0" w:color="auto"/>
              <w:right w:val="single" w:sz="4" w:space="0" w:color="auto"/>
            </w:tcBorders>
            <w:shd w:val="clear" w:color="000000" w:fill="FFFFFF"/>
            <w:noWrap/>
            <w:vAlign w:val="center"/>
            <w:hideMark/>
          </w:tcPr>
          <w:p w14:paraId="574F025F" w14:textId="2382AB4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285,791</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14:paraId="0D1AEA5B" w14:textId="3A695F4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337,898</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14:paraId="5C9D517D" w14:textId="6206D6C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465,214</w:t>
            </w:r>
          </w:p>
        </w:tc>
        <w:tc>
          <w:tcPr>
            <w:tcW w:w="1127" w:type="dxa"/>
            <w:tcBorders>
              <w:top w:val="single" w:sz="4" w:space="0" w:color="auto"/>
              <w:left w:val="nil"/>
              <w:bottom w:val="single" w:sz="4" w:space="0" w:color="auto"/>
              <w:right w:val="single" w:sz="4" w:space="0" w:color="auto"/>
            </w:tcBorders>
            <w:shd w:val="clear" w:color="000000" w:fill="FFFFFF"/>
            <w:noWrap/>
            <w:vAlign w:val="center"/>
            <w:hideMark/>
          </w:tcPr>
          <w:p w14:paraId="1A4C1D9A" w14:textId="7D7EE01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425,415</w:t>
            </w:r>
          </w:p>
        </w:tc>
        <w:tc>
          <w:tcPr>
            <w:tcW w:w="1016" w:type="dxa"/>
            <w:tcBorders>
              <w:top w:val="single" w:sz="4" w:space="0" w:color="auto"/>
              <w:left w:val="nil"/>
              <w:bottom w:val="single" w:sz="4" w:space="0" w:color="auto"/>
              <w:right w:val="single" w:sz="4" w:space="0" w:color="auto"/>
            </w:tcBorders>
            <w:shd w:val="clear" w:color="000000" w:fill="FFFFFF"/>
            <w:noWrap/>
            <w:vAlign w:val="center"/>
            <w:hideMark/>
          </w:tcPr>
          <w:p w14:paraId="751853B7" w14:textId="639EB0F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103,646</w:t>
            </w:r>
          </w:p>
        </w:tc>
        <w:tc>
          <w:tcPr>
            <w:tcW w:w="1206" w:type="dxa"/>
            <w:tcBorders>
              <w:top w:val="single" w:sz="4" w:space="0" w:color="auto"/>
              <w:left w:val="nil"/>
              <w:bottom w:val="single" w:sz="4" w:space="0" w:color="auto"/>
              <w:right w:val="single" w:sz="8" w:space="0" w:color="auto"/>
            </w:tcBorders>
            <w:shd w:val="clear" w:color="000000" w:fill="FFFFFF"/>
            <w:noWrap/>
            <w:vAlign w:val="center"/>
            <w:hideMark/>
          </w:tcPr>
          <w:p w14:paraId="41508B37" w14:textId="3CF3A3C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3,096,039</w:t>
            </w:r>
          </w:p>
        </w:tc>
      </w:tr>
      <w:tr w:rsidR="00861244" w:rsidRPr="00E47FB2" w14:paraId="54C6949F"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08A2B660"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Maíz</w:t>
            </w:r>
          </w:p>
        </w:tc>
        <w:tc>
          <w:tcPr>
            <w:tcW w:w="1016" w:type="dxa"/>
            <w:tcBorders>
              <w:top w:val="nil"/>
              <w:left w:val="nil"/>
              <w:bottom w:val="single" w:sz="4" w:space="0" w:color="auto"/>
              <w:right w:val="single" w:sz="4" w:space="0" w:color="auto"/>
            </w:tcBorders>
            <w:shd w:val="clear" w:color="000000" w:fill="FFFFFF"/>
            <w:noWrap/>
            <w:vAlign w:val="center"/>
            <w:hideMark/>
          </w:tcPr>
          <w:p w14:paraId="653B42E3" w14:textId="13AE5C7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54,602</w:t>
            </w:r>
          </w:p>
        </w:tc>
        <w:tc>
          <w:tcPr>
            <w:tcW w:w="1016" w:type="dxa"/>
            <w:tcBorders>
              <w:top w:val="nil"/>
              <w:left w:val="nil"/>
              <w:bottom w:val="single" w:sz="4" w:space="0" w:color="auto"/>
              <w:right w:val="single" w:sz="4" w:space="0" w:color="auto"/>
            </w:tcBorders>
            <w:shd w:val="clear" w:color="000000" w:fill="FFFFFF"/>
            <w:noWrap/>
            <w:vAlign w:val="center"/>
            <w:hideMark/>
          </w:tcPr>
          <w:p w14:paraId="2D81D948" w14:textId="7920932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32,003</w:t>
            </w:r>
          </w:p>
        </w:tc>
        <w:tc>
          <w:tcPr>
            <w:tcW w:w="1016" w:type="dxa"/>
            <w:tcBorders>
              <w:top w:val="nil"/>
              <w:left w:val="nil"/>
              <w:bottom w:val="single" w:sz="4" w:space="0" w:color="auto"/>
              <w:right w:val="single" w:sz="4" w:space="0" w:color="auto"/>
            </w:tcBorders>
            <w:shd w:val="clear" w:color="000000" w:fill="FFFFFF"/>
            <w:noWrap/>
            <w:vAlign w:val="center"/>
            <w:hideMark/>
          </w:tcPr>
          <w:p w14:paraId="69795853" w14:textId="24BBAF6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29,899</w:t>
            </w:r>
          </w:p>
        </w:tc>
        <w:tc>
          <w:tcPr>
            <w:tcW w:w="1016" w:type="dxa"/>
            <w:tcBorders>
              <w:top w:val="nil"/>
              <w:left w:val="nil"/>
              <w:bottom w:val="single" w:sz="4" w:space="0" w:color="auto"/>
              <w:right w:val="single" w:sz="4" w:space="0" w:color="auto"/>
            </w:tcBorders>
            <w:shd w:val="clear" w:color="000000" w:fill="FFFFFF"/>
            <w:noWrap/>
            <w:vAlign w:val="center"/>
            <w:hideMark/>
          </w:tcPr>
          <w:p w14:paraId="6F3E58B1" w14:textId="1DF6B65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28,147</w:t>
            </w:r>
          </w:p>
        </w:tc>
        <w:tc>
          <w:tcPr>
            <w:tcW w:w="1016" w:type="dxa"/>
            <w:tcBorders>
              <w:top w:val="nil"/>
              <w:left w:val="nil"/>
              <w:bottom w:val="single" w:sz="4" w:space="0" w:color="auto"/>
              <w:right w:val="single" w:sz="4" w:space="0" w:color="auto"/>
            </w:tcBorders>
            <w:shd w:val="clear" w:color="000000" w:fill="FFFFFF"/>
            <w:noWrap/>
            <w:vAlign w:val="center"/>
            <w:hideMark/>
          </w:tcPr>
          <w:p w14:paraId="45DD77C2" w14:textId="414CF87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22,140</w:t>
            </w:r>
          </w:p>
        </w:tc>
        <w:tc>
          <w:tcPr>
            <w:tcW w:w="1016" w:type="dxa"/>
            <w:tcBorders>
              <w:top w:val="nil"/>
              <w:left w:val="nil"/>
              <w:bottom w:val="single" w:sz="4" w:space="0" w:color="auto"/>
              <w:right w:val="single" w:sz="4" w:space="0" w:color="auto"/>
            </w:tcBorders>
            <w:shd w:val="clear" w:color="000000" w:fill="FFFFFF"/>
            <w:noWrap/>
            <w:vAlign w:val="center"/>
            <w:hideMark/>
          </w:tcPr>
          <w:p w14:paraId="5C48383F" w14:textId="08CE851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39,879</w:t>
            </w:r>
          </w:p>
        </w:tc>
        <w:tc>
          <w:tcPr>
            <w:tcW w:w="1016" w:type="dxa"/>
            <w:tcBorders>
              <w:top w:val="nil"/>
              <w:left w:val="nil"/>
              <w:bottom w:val="single" w:sz="4" w:space="0" w:color="auto"/>
              <w:right w:val="single" w:sz="4" w:space="0" w:color="auto"/>
            </w:tcBorders>
            <w:shd w:val="clear" w:color="000000" w:fill="FFFFFF"/>
            <w:noWrap/>
            <w:vAlign w:val="center"/>
            <w:hideMark/>
          </w:tcPr>
          <w:p w14:paraId="59A2C2DE" w14:textId="63C2891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38,749</w:t>
            </w:r>
          </w:p>
        </w:tc>
        <w:tc>
          <w:tcPr>
            <w:tcW w:w="1107" w:type="dxa"/>
            <w:tcBorders>
              <w:top w:val="nil"/>
              <w:left w:val="nil"/>
              <w:bottom w:val="single" w:sz="4" w:space="0" w:color="auto"/>
              <w:right w:val="single" w:sz="4" w:space="0" w:color="auto"/>
            </w:tcBorders>
            <w:shd w:val="clear" w:color="000000" w:fill="FFFFFF"/>
            <w:noWrap/>
            <w:vAlign w:val="center"/>
            <w:hideMark/>
          </w:tcPr>
          <w:p w14:paraId="541AB3C3" w14:textId="367B44D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40,214</w:t>
            </w:r>
          </w:p>
        </w:tc>
        <w:tc>
          <w:tcPr>
            <w:tcW w:w="1016" w:type="dxa"/>
            <w:tcBorders>
              <w:top w:val="nil"/>
              <w:left w:val="nil"/>
              <w:bottom w:val="single" w:sz="4" w:space="0" w:color="auto"/>
              <w:right w:val="single" w:sz="4" w:space="0" w:color="auto"/>
            </w:tcBorders>
            <w:shd w:val="clear" w:color="000000" w:fill="FFFFFF"/>
            <w:noWrap/>
            <w:vAlign w:val="center"/>
            <w:hideMark/>
          </w:tcPr>
          <w:p w14:paraId="1F6F1602" w14:textId="2A6C9C2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49,954</w:t>
            </w:r>
          </w:p>
        </w:tc>
        <w:tc>
          <w:tcPr>
            <w:tcW w:w="1016" w:type="dxa"/>
            <w:tcBorders>
              <w:top w:val="nil"/>
              <w:left w:val="nil"/>
              <w:bottom w:val="single" w:sz="4" w:space="0" w:color="auto"/>
              <w:right w:val="single" w:sz="4" w:space="0" w:color="auto"/>
            </w:tcBorders>
            <w:shd w:val="clear" w:color="000000" w:fill="FFFFFF"/>
            <w:noWrap/>
            <w:vAlign w:val="center"/>
            <w:hideMark/>
          </w:tcPr>
          <w:p w14:paraId="03AC2039" w14:textId="741E756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33,245</w:t>
            </w:r>
          </w:p>
        </w:tc>
        <w:tc>
          <w:tcPr>
            <w:tcW w:w="1127" w:type="dxa"/>
            <w:tcBorders>
              <w:top w:val="nil"/>
              <w:left w:val="nil"/>
              <w:bottom w:val="single" w:sz="4" w:space="0" w:color="auto"/>
              <w:right w:val="single" w:sz="4" w:space="0" w:color="auto"/>
            </w:tcBorders>
            <w:shd w:val="clear" w:color="000000" w:fill="FFFFFF"/>
            <w:noWrap/>
            <w:vAlign w:val="center"/>
            <w:hideMark/>
          </w:tcPr>
          <w:p w14:paraId="7D5CE7D8" w14:textId="7BA8BAD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40,012</w:t>
            </w:r>
          </w:p>
        </w:tc>
        <w:tc>
          <w:tcPr>
            <w:tcW w:w="1016" w:type="dxa"/>
            <w:tcBorders>
              <w:top w:val="nil"/>
              <w:left w:val="nil"/>
              <w:bottom w:val="single" w:sz="4" w:space="0" w:color="auto"/>
              <w:right w:val="single" w:sz="4" w:space="0" w:color="auto"/>
            </w:tcBorders>
            <w:shd w:val="clear" w:color="000000" w:fill="FFFFFF"/>
            <w:noWrap/>
            <w:vAlign w:val="center"/>
            <w:hideMark/>
          </w:tcPr>
          <w:p w14:paraId="7037520F" w14:textId="2BFEDBF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53,454</w:t>
            </w:r>
          </w:p>
        </w:tc>
        <w:tc>
          <w:tcPr>
            <w:tcW w:w="1206" w:type="dxa"/>
            <w:tcBorders>
              <w:top w:val="nil"/>
              <w:left w:val="nil"/>
              <w:bottom w:val="single" w:sz="4" w:space="0" w:color="auto"/>
              <w:right w:val="single" w:sz="8" w:space="0" w:color="auto"/>
            </w:tcBorders>
            <w:shd w:val="clear" w:color="000000" w:fill="FFFFFF"/>
            <w:noWrap/>
            <w:vAlign w:val="center"/>
            <w:hideMark/>
          </w:tcPr>
          <w:p w14:paraId="15540EC0" w14:textId="15F4D66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462,298</w:t>
            </w:r>
          </w:p>
        </w:tc>
      </w:tr>
      <w:tr w:rsidR="00861244" w:rsidRPr="00E47FB2" w14:paraId="12499F91"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61406C6E"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Sorgo</w:t>
            </w:r>
          </w:p>
        </w:tc>
        <w:tc>
          <w:tcPr>
            <w:tcW w:w="1016" w:type="dxa"/>
            <w:tcBorders>
              <w:top w:val="nil"/>
              <w:left w:val="nil"/>
              <w:bottom w:val="single" w:sz="4" w:space="0" w:color="auto"/>
              <w:right w:val="single" w:sz="4" w:space="0" w:color="auto"/>
            </w:tcBorders>
            <w:shd w:val="clear" w:color="000000" w:fill="FFFFFF"/>
            <w:noWrap/>
            <w:vAlign w:val="center"/>
            <w:hideMark/>
          </w:tcPr>
          <w:p w14:paraId="7F8C9B89" w14:textId="3CAFE40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250</w:t>
            </w:r>
          </w:p>
        </w:tc>
        <w:tc>
          <w:tcPr>
            <w:tcW w:w="1016" w:type="dxa"/>
            <w:tcBorders>
              <w:top w:val="nil"/>
              <w:left w:val="nil"/>
              <w:bottom w:val="single" w:sz="4" w:space="0" w:color="auto"/>
              <w:right w:val="single" w:sz="4" w:space="0" w:color="auto"/>
            </w:tcBorders>
            <w:shd w:val="clear" w:color="000000" w:fill="FFFFFF"/>
            <w:noWrap/>
            <w:vAlign w:val="center"/>
            <w:hideMark/>
          </w:tcPr>
          <w:p w14:paraId="5037E655" w14:textId="794A2B6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3,550</w:t>
            </w:r>
          </w:p>
        </w:tc>
        <w:tc>
          <w:tcPr>
            <w:tcW w:w="1016" w:type="dxa"/>
            <w:tcBorders>
              <w:top w:val="nil"/>
              <w:left w:val="nil"/>
              <w:bottom w:val="single" w:sz="4" w:space="0" w:color="auto"/>
              <w:right w:val="single" w:sz="4" w:space="0" w:color="auto"/>
            </w:tcBorders>
            <w:shd w:val="clear" w:color="000000" w:fill="FFFFFF"/>
            <w:noWrap/>
            <w:vAlign w:val="center"/>
            <w:hideMark/>
          </w:tcPr>
          <w:p w14:paraId="0B8C259F" w14:textId="5BBDAFA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989</w:t>
            </w:r>
          </w:p>
        </w:tc>
        <w:tc>
          <w:tcPr>
            <w:tcW w:w="1016" w:type="dxa"/>
            <w:tcBorders>
              <w:top w:val="nil"/>
              <w:left w:val="nil"/>
              <w:bottom w:val="single" w:sz="4" w:space="0" w:color="auto"/>
              <w:right w:val="single" w:sz="4" w:space="0" w:color="auto"/>
            </w:tcBorders>
            <w:shd w:val="clear" w:color="000000" w:fill="FFFFFF"/>
            <w:noWrap/>
            <w:vAlign w:val="center"/>
            <w:hideMark/>
          </w:tcPr>
          <w:p w14:paraId="1A8BF6F7" w14:textId="43090EE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14:paraId="068E3009" w14:textId="3F8BBB8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501</w:t>
            </w:r>
          </w:p>
        </w:tc>
        <w:tc>
          <w:tcPr>
            <w:tcW w:w="1016" w:type="dxa"/>
            <w:tcBorders>
              <w:top w:val="nil"/>
              <w:left w:val="nil"/>
              <w:bottom w:val="single" w:sz="4" w:space="0" w:color="auto"/>
              <w:right w:val="single" w:sz="4" w:space="0" w:color="auto"/>
            </w:tcBorders>
            <w:shd w:val="clear" w:color="000000" w:fill="FFFFFF"/>
            <w:noWrap/>
            <w:vAlign w:val="center"/>
            <w:hideMark/>
          </w:tcPr>
          <w:p w14:paraId="17D575A1" w14:textId="49587A4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130</w:t>
            </w:r>
          </w:p>
        </w:tc>
        <w:tc>
          <w:tcPr>
            <w:tcW w:w="1016" w:type="dxa"/>
            <w:tcBorders>
              <w:top w:val="nil"/>
              <w:left w:val="nil"/>
              <w:bottom w:val="single" w:sz="4" w:space="0" w:color="auto"/>
              <w:right w:val="single" w:sz="4" w:space="0" w:color="auto"/>
            </w:tcBorders>
            <w:shd w:val="clear" w:color="000000" w:fill="FFFFFF"/>
            <w:noWrap/>
            <w:vAlign w:val="center"/>
            <w:hideMark/>
          </w:tcPr>
          <w:p w14:paraId="730E6957" w14:textId="6B1C31E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245</w:t>
            </w:r>
          </w:p>
        </w:tc>
        <w:tc>
          <w:tcPr>
            <w:tcW w:w="1107" w:type="dxa"/>
            <w:tcBorders>
              <w:top w:val="nil"/>
              <w:left w:val="nil"/>
              <w:bottom w:val="single" w:sz="4" w:space="0" w:color="auto"/>
              <w:right w:val="single" w:sz="4" w:space="0" w:color="auto"/>
            </w:tcBorders>
            <w:shd w:val="clear" w:color="000000" w:fill="FFFFFF"/>
            <w:noWrap/>
            <w:vAlign w:val="center"/>
            <w:hideMark/>
          </w:tcPr>
          <w:p w14:paraId="0AEC363B" w14:textId="64C50AB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260</w:t>
            </w:r>
          </w:p>
        </w:tc>
        <w:tc>
          <w:tcPr>
            <w:tcW w:w="1016" w:type="dxa"/>
            <w:tcBorders>
              <w:top w:val="nil"/>
              <w:left w:val="nil"/>
              <w:bottom w:val="single" w:sz="4" w:space="0" w:color="auto"/>
              <w:right w:val="single" w:sz="4" w:space="0" w:color="auto"/>
            </w:tcBorders>
            <w:shd w:val="clear" w:color="000000" w:fill="FFFFFF"/>
            <w:noWrap/>
            <w:vAlign w:val="center"/>
            <w:hideMark/>
          </w:tcPr>
          <w:p w14:paraId="22E92038" w14:textId="10130CB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287</w:t>
            </w:r>
          </w:p>
        </w:tc>
        <w:tc>
          <w:tcPr>
            <w:tcW w:w="1016" w:type="dxa"/>
            <w:tcBorders>
              <w:top w:val="nil"/>
              <w:left w:val="nil"/>
              <w:bottom w:val="single" w:sz="4" w:space="0" w:color="auto"/>
              <w:right w:val="single" w:sz="4" w:space="0" w:color="auto"/>
            </w:tcBorders>
            <w:shd w:val="clear" w:color="000000" w:fill="FFFFFF"/>
            <w:noWrap/>
            <w:vAlign w:val="center"/>
            <w:hideMark/>
          </w:tcPr>
          <w:p w14:paraId="6485D351" w14:textId="2299639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260</w:t>
            </w:r>
          </w:p>
        </w:tc>
        <w:tc>
          <w:tcPr>
            <w:tcW w:w="1127" w:type="dxa"/>
            <w:tcBorders>
              <w:top w:val="nil"/>
              <w:left w:val="nil"/>
              <w:bottom w:val="single" w:sz="4" w:space="0" w:color="auto"/>
              <w:right w:val="single" w:sz="4" w:space="0" w:color="auto"/>
            </w:tcBorders>
            <w:shd w:val="clear" w:color="000000" w:fill="FFFFFF"/>
            <w:noWrap/>
            <w:vAlign w:val="center"/>
            <w:hideMark/>
          </w:tcPr>
          <w:p w14:paraId="7D08B57F" w14:textId="741EDBE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101</w:t>
            </w:r>
          </w:p>
        </w:tc>
        <w:tc>
          <w:tcPr>
            <w:tcW w:w="1016" w:type="dxa"/>
            <w:tcBorders>
              <w:top w:val="nil"/>
              <w:left w:val="nil"/>
              <w:bottom w:val="single" w:sz="4" w:space="0" w:color="auto"/>
              <w:right w:val="single" w:sz="4" w:space="0" w:color="auto"/>
            </w:tcBorders>
            <w:shd w:val="clear" w:color="000000" w:fill="FFFFFF"/>
            <w:noWrap/>
            <w:vAlign w:val="center"/>
            <w:hideMark/>
          </w:tcPr>
          <w:p w14:paraId="5227B8A1" w14:textId="7D38417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1,120</w:t>
            </w:r>
          </w:p>
        </w:tc>
        <w:tc>
          <w:tcPr>
            <w:tcW w:w="1206" w:type="dxa"/>
            <w:tcBorders>
              <w:top w:val="nil"/>
              <w:left w:val="nil"/>
              <w:bottom w:val="single" w:sz="4" w:space="0" w:color="auto"/>
              <w:right w:val="single" w:sz="8" w:space="0" w:color="auto"/>
            </w:tcBorders>
            <w:shd w:val="clear" w:color="000000" w:fill="FFFFFF"/>
            <w:noWrap/>
            <w:vAlign w:val="center"/>
            <w:hideMark/>
          </w:tcPr>
          <w:p w14:paraId="58E2DD1E" w14:textId="5264276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7,693</w:t>
            </w:r>
          </w:p>
        </w:tc>
      </w:tr>
      <w:tr w:rsidR="00861244" w:rsidRPr="00E47FB2" w14:paraId="305068D2"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2D7B4515"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Coco</w:t>
            </w:r>
          </w:p>
        </w:tc>
        <w:tc>
          <w:tcPr>
            <w:tcW w:w="1016" w:type="dxa"/>
            <w:tcBorders>
              <w:top w:val="nil"/>
              <w:left w:val="nil"/>
              <w:bottom w:val="single" w:sz="4" w:space="0" w:color="auto"/>
              <w:right w:val="single" w:sz="4" w:space="0" w:color="auto"/>
            </w:tcBorders>
            <w:shd w:val="clear" w:color="000000" w:fill="FFFFFF"/>
            <w:noWrap/>
            <w:vAlign w:val="center"/>
            <w:hideMark/>
          </w:tcPr>
          <w:p w14:paraId="6D161470" w14:textId="0F70CA0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452,154</w:t>
            </w:r>
          </w:p>
        </w:tc>
        <w:tc>
          <w:tcPr>
            <w:tcW w:w="1016" w:type="dxa"/>
            <w:tcBorders>
              <w:top w:val="nil"/>
              <w:left w:val="nil"/>
              <w:bottom w:val="single" w:sz="4" w:space="0" w:color="auto"/>
              <w:right w:val="single" w:sz="4" w:space="0" w:color="auto"/>
            </w:tcBorders>
            <w:shd w:val="clear" w:color="000000" w:fill="FFFFFF"/>
            <w:noWrap/>
            <w:vAlign w:val="center"/>
            <w:hideMark/>
          </w:tcPr>
          <w:p w14:paraId="031AF66A" w14:textId="700F4C2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497,895</w:t>
            </w:r>
          </w:p>
        </w:tc>
        <w:tc>
          <w:tcPr>
            <w:tcW w:w="1016" w:type="dxa"/>
            <w:tcBorders>
              <w:top w:val="nil"/>
              <w:left w:val="nil"/>
              <w:bottom w:val="single" w:sz="4" w:space="0" w:color="auto"/>
              <w:right w:val="single" w:sz="4" w:space="0" w:color="auto"/>
            </w:tcBorders>
            <w:shd w:val="clear" w:color="000000" w:fill="FFFFFF"/>
            <w:noWrap/>
            <w:vAlign w:val="center"/>
            <w:hideMark/>
          </w:tcPr>
          <w:p w14:paraId="3C6BFF60" w14:textId="5576607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419,451</w:t>
            </w:r>
          </w:p>
        </w:tc>
        <w:tc>
          <w:tcPr>
            <w:tcW w:w="1016" w:type="dxa"/>
            <w:tcBorders>
              <w:top w:val="nil"/>
              <w:left w:val="nil"/>
              <w:bottom w:val="single" w:sz="4" w:space="0" w:color="auto"/>
              <w:right w:val="single" w:sz="4" w:space="0" w:color="auto"/>
            </w:tcBorders>
            <w:shd w:val="clear" w:color="000000" w:fill="FFFFFF"/>
            <w:noWrap/>
            <w:vAlign w:val="center"/>
            <w:hideMark/>
          </w:tcPr>
          <w:p w14:paraId="1630C891" w14:textId="19DC74F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444,012</w:t>
            </w:r>
          </w:p>
        </w:tc>
        <w:tc>
          <w:tcPr>
            <w:tcW w:w="1016" w:type="dxa"/>
            <w:tcBorders>
              <w:top w:val="nil"/>
              <w:left w:val="nil"/>
              <w:bottom w:val="single" w:sz="4" w:space="0" w:color="auto"/>
              <w:right w:val="single" w:sz="4" w:space="0" w:color="auto"/>
            </w:tcBorders>
            <w:shd w:val="clear" w:color="000000" w:fill="FFFFFF"/>
            <w:noWrap/>
            <w:vAlign w:val="center"/>
            <w:hideMark/>
          </w:tcPr>
          <w:p w14:paraId="688B201D" w14:textId="0987F3F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498,759</w:t>
            </w:r>
          </w:p>
        </w:tc>
        <w:tc>
          <w:tcPr>
            <w:tcW w:w="1016" w:type="dxa"/>
            <w:tcBorders>
              <w:top w:val="nil"/>
              <w:left w:val="nil"/>
              <w:bottom w:val="single" w:sz="4" w:space="0" w:color="auto"/>
              <w:right w:val="single" w:sz="4" w:space="0" w:color="auto"/>
            </w:tcBorders>
            <w:shd w:val="clear" w:color="000000" w:fill="FFFFFF"/>
            <w:noWrap/>
            <w:vAlign w:val="center"/>
            <w:hideMark/>
          </w:tcPr>
          <w:p w14:paraId="3C5BF6A4" w14:textId="6E85257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452,144</w:t>
            </w:r>
          </w:p>
        </w:tc>
        <w:tc>
          <w:tcPr>
            <w:tcW w:w="1016" w:type="dxa"/>
            <w:tcBorders>
              <w:top w:val="nil"/>
              <w:left w:val="nil"/>
              <w:bottom w:val="single" w:sz="4" w:space="0" w:color="auto"/>
              <w:right w:val="single" w:sz="4" w:space="0" w:color="auto"/>
            </w:tcBorders>
            <w:shd w:val="clear" w:color="000000" w:fill="FFFFFF"/>
            <w:noWrap/>
            <w:vAlign w:val="center"/>
            <w:hideMark/>
          </w:tcPr>
          <w:p w14:paraId="2F11BFF4" w14:textId="6388BEA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468,952</w:t>
            </w:r>
          </w:p>
        </w:tc>
        <w:tc>
          <w:tcPr>
            <w:tcW w:w="1107" w:type="dxa"/>
            <w:tcBorders>
              <w:top w:val="nil"/>
              <w:left w:val="nil"/>
              <w:bottom w:val="single" w:sz="4" w:space="0" w:color="auto"/>
              <w:right w:val="single" w:sz="4" w:space="0" w:color="auto"/>
            </w:tcBorders>
            <w:shd w:val="clear" w:color="000000" w:fill="FFFFFF"/>
            <w:noWrap/>
            <w:vAlign w:val="center"/>
            <w:hideMark/>
          </w:tcPr>
          <w:p w14:paraId="56FDCD54" w14:textId="5685CBC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456,998</w:t>
            </w:r>
          </w:p>
        </w:tc>
        <w:tc>
          <w:tcPr>
            <w:tcW w:w="1016" w:type="dxa"/>
            <w:tcBorders>
              <w:top w:val="nil"/>
              <w:left w:val="nil"/>
              <w:bottom w:val="single" w:sz="4" w:space="0" w:color="auto"/>
              <w:right w:val="single" w:sz="4" w:space="0" w:color="auto"/>
            </w:tcBorders>
            <w:shd w:val="clear" w:color="000000" w:fill="FFFFFF"/>
            <w:noWrap/>
            <w:vAlign w:val="center"/>
            <w:hideMark/>
          </w:tcPr>
          <w:p w14:paraId="61BAF99D" w14:textId="0FFF2BF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479,859</w:t>
            </w:r>
          </w:p>
        </w:tc>
        <w:tc>
          <w:tcPr>
            <w:tcW w:w="1016" w:type="dxa"/>
            <w:tcBorders>
              <w:top w:val="nil"/>
              <w:left w:val="nil"/>
              <w:bottom w:val="single" w:sz="4" w:space="0" w:color="auto"/>
              <w:right w:val="single" w:sz="4" w:space="0" w:color="auto"/>
            </w:tcBorders>
            <w:shd w:val="clear" w:color="000000" w:fill="FFFFFF"/>
            <w:noWrap/>
            <w:vAlign w:val="center"/>
            <w:hideMark/>
          </w:tcPr>
          <w:p w14:paraId="5D06DDAA" w14:textId="3ACC001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490,214</w:t>
            </w:r>
          </w:p>
        </w:tc>
        <w:tc>
          <w:tcPr>
            <w:tcW w:w="1127" w:type="dxa"/>
            <w:tcBorders>
              <w:top w:val="nil"/>
              <w:left w:val="nil"/>
              <w:bottom w:val="single" w:sz="4" w:space="0" w:color="auto"/>
              <w:right w:val="single" w:sz="4" w:space="0" w:color="auto"/>
            </w:tcBorders>
            <w:shd w:val="clear" w:color="000000" w:fill="FFFFFF"/>
            <w:noWrap/>
            <w:vAlign w:val="center"/>
            <w:hideMark/>
          </w:tcPr>
          <w:p w14:paraId="6B72B698" w14:textId="1020936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489,898</w:t>
            </w:r>
          </w:p>
        </w:tc>
        <w:tc>
          <w:tcPr>
            <w:tcW w:w="1016" w:type="dxa"/>
            <w:tcBorders>
              <w:top w:val="nil"/>
              <w:left w:val="nil"/>
              <w:bottom w:val="single" w:sz="4" w:space="0" w:color="auto"/>
              <w:right w:val="single" w:sz="4" w:space="0" w:color="auto"/>
            </w:tcBorders>
            <w:shd w:val="clear" w:color="000000" w:fill="FFFFFF"/>
            <w:noWrap/>
            <w:vAlign w:val="center"/>
            <w:hideMark/>
          </w:tcPr>
          <w:p w14:paraId="2AD3DE61" w14:textId="71D05FB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478,958</w:t>
            </w:r>
          </w:p>
        </w:tc>
        <w:tc>
          <w:tcPr>
            <w:tcW w:w="1206" w:type="dxa"/>
            <w:tcBorders>
              <w:top w:val="nil"/>
              <w:left w:val="nil"/>
              <w:bottom w:val="single" w:sz="4" w:space="0" w:color="auto"/>
              <w:right w:val="single" w:sz="8" w:space="0" w:color="auto"/>
            </w:tcBorders>
            <w:shd w:val="clear" w:color="000000" w:fill="FFFFFF"/>
            <w:noWrap/>
            <w:vAlign w:val="center"/>
            <w:hideMark/>
          </w:tcPr>
          <w:p w14:paraId="1D06FE24" w14:textId="7CF1F2A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804,184.86</w:t>
            </w:r>
          </w:p>
        </w:tc>
      </w:tr>
      <w:tr w:rsidR="00861244" w:rsidRPr="00E47FB2" w14:paraId="53BAE42A"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17D20D8B"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Maní</w:t>
            </w:r>
          </w:p>
        </w:tc>
        <w:tc>
          <w:tcPr>
            <w:tcW w:w="1016" w:type="dxa"/>
            <w:tcBorders>
              <w:top w:val="nil"/>
              <w:left w:val="nil"/>
              <w:bottom w:val="single" w:sz="4" w:space="0" w:color="auto"/>
              <w:right w:val="single" w:sz="4" w:space="0" w:color="auto"/>
            </w:tcBorders>
            <w:shd w:val="clear" w:color="000000" w:fill="FFFFFF"/>
            <w:noWrap/>
            <w:vAlign w:val="center"/>
            <w:hideMark/>
          </w:tcPr>
          <w:p w14:paraId="705E4B62" w14:textId="639A974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3,714</w:t>
            </w:r>
          </w:p>
        </w:tc>
        <w:tc>
          <w:tcPr>
            <w:tcW w:w="1016" w:type="dxa"/>
            <w:tcBorders>
              <w:top w:val="nil"/>
              <w:left w:val="nil"/>
              <w:bottom w:val="single" w:sz="4" w:space="0" w:color="auto"/>
              <w:right w:val="single" w:sz="4" w:space="0" w:color="auto"/>
            </w:tcBorders>
            <w:shd w:val="clear" w:color="000000" w:fill="FFFFFF"/>
            <w:noWrap/>
            <w:vAlign w:val="center"/>
            <w:hideMark/>
          </w:tcPr>
          <w:p w14:paraId="6C7EF026" w14:textId="1C629B5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2,014</w:t>
            </w:r>
          </w:p>
        </w:tc>
        <w:tc>
          <w:tcPr>
            <w:tcW w:w="1016" w:type="dxa"/>
            <w:tcBorders>
              <w:top w:val="nil"/>
              <w:left w:val="nil"/>
              <w:bottom w:val="single" w:sz="4" w:space="0" w:color="auto"/>
              <w:right w:val="single" w:sz="4" w:space="0" w:color="auto"/>
            </w:tcBorders>
            <w:shd w:val="clear" w:color="000000" w:fill="FFFFFF"/>
            <w:noWrap/>
            <w:vAlign w:val="center"/>
            <w:hideMark/>
          </w:tcPr>
          <w:p w14:paraId="5CCFE441" w14:textId="5E553AC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2,198</w:t>
            </w:r>
          </w:p>
        </w:tc>
        <w:tc>
          <w:tcPr>
            <w:tcW w:w="1016" w:type="dxa"/>
            <w:tcBorders>
              <w:top w:val="nil"/>
              <w:left w:val="nil"/>
              <w:bottom w:val="single" w:sz="4" w:space="0" w:color="auto"/>
              <w:right w:val="single" w:sz="4" w:space="0" w:color="auto"/>
            </w:tcBorders>
            <w:shd w:val="clear" w:color="000000" w:fill="FFFFFF"/>
            <w:noWrap/>
            <w:vAlign w:val="center"/>
            <w:hideMark/>
          </w:tcPr>
          <w:p w14:paraId="2E747498" w14:textId="073A8A3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2,654</w:t>
            </w:r>
          </w:p>
        </w:tc>
        <w:tc>
          <w:tcPr>
            <w:tcW w:w="1016" w:type="dxa"/>
            <w:tcBorders>
              <w:top w:val="nil"/>
              <w:left w:val="nil"/>
              <w:bottom w:val="single" w:sz="4" w:space="0" w:color="auto"/>
              <w:right w:val="single" w:sz="4" w:space="0" w:color="auto"/>
            </w:tcBorders>
            <w:shd w:val="clear" w:color="000000" w:fill="FFFFFF"/>
            <w:noWrap/>
            <w:vAlign w:val="center"/>
            <w:hideMark/>
          </w:tcPr>
          <w:p w14:paraId="44A9C309" w14:textId="0DB972A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5,501</w:t>
            </w:r>
          </w:p>
        </w:tc>
        <w:tc>
          <w:tcPr>
            <w:tcW w:w="1016" w:type="dxa"/>
            <w:tcBorders>
              <w:top w:val="nil"/>
              <w:left w:val="nil"/>
              <w:bottom w:val="single" w:sz="4" w:space="0" w:color="auto"/>
              <w:right w:val="single" w:sz="4" w:space="0" w:color="auto"/>
            </w:tcBorders>
            <w:shd w:val="clear" w:color="000000" w:fill="FFFFFF"/>
            <w:noWrap/>
            <w:vAlign w:val="center"/>
            <w:hideMark/>
          </w:tcPr>
          <w:p w14:paraId="3FAC059D" w14:textId="515AD7C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4,752</w:t>
            </w:r>
          </w:p>
        </w:tc>
        <w:tc>
          <w:tcPr>
            <w:tcW w:w="1016" w:type="dxa"/>
            <w:tcBorders>
              <w:top w:val="nil"/>
              <w:left w:val="nil"/>
              <w:bottom w:val="single" w:sz="4" w:space="0" w:color="auto"/>
              <w:right w:val="single" w:sz="4" w:space="0" w:color="auto"/>
            </w:tcBorders>
            <w:shd w:val="clear" w:color="000000" w:fill="FFFFFF"/>
            <w:noWrap/>
            <w:vAlign w:val="center"/>
            <w:hideMark/>
          </w:tcPr>
          <w:p w14:paraId="45602D9A" w14:textId="1787401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6,510</w:t>
            </w:r>
          </w:p>
        </w:tc>
        <w:tc>
          <w:tcPr>
            <w:tcW w:w="1107" w:type="dxa"/>
            <w:tcBorders>
              <w:top w:val="nil"/>
              <w:left w:val="nil"/>
              <w:bottom w:val="single" w:sz="4" w:space="0" w:color="auto"/>
              <w:right w:val="single" w:sz="4" w:space="0" w:color="auto"/>
            </w:tcBorders>
            <w:shd w:val="clear" w:color="000000" w:fill="FFFFFF"/>
            <w:noWrap/>
            <w:vAlign w:val="center"/>
            <w:hideMark/>
          </w:tcPr>
          <w:p w14:paraId="15C2576C" w14:textId="4A29D0E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8,752</w:t>
            </w:r>
          </w:p>
        </w:tc>
        <w:tc>
          <w:tcPr>
            <w:tcW w:w="1016" w:type="dxa"/>
            <w:tcBorders>
              <w:top w:val="nil"/>
              <w:left w:val="nil"/>
              <w:bottom w:val="single" w:sz="4" w:space="0" w:color="auto"/>
              <w:right w:val="single" w:sz="4" w:space="0" w:color="auto"/>
            </w:tcBorders>
            <w:shd w:val="clear" w:color="000000" w:fill="FFFFFF"/>
            <w:noWrap/>
            <w:vAlign w:val="center"/>
            <w:hideMark/>
          </w:tcPr>
          <w:p w14:paraId="5BA081FB" w14:textId="6BCAF45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10,324</w:t>
            </w:r>
          </w:p>
        </w:tc>
        <w:tc>
          <w:tcPr>
            <w:tcW w:w="1016" w:type="dxa"/>
            <w:tcBorders>
              <w:top w:val="nil"/>
              <w:left w:val="nil"/>
              <w:bottom w:val="single" w:sz="4" w:space="0" w:color="auto"/>
              <w:right w:val="single" w:sz="4" w:space="0" w:color="auto"/>
            </w:tcBorders>
            <w:shd w:val="clear" w:color="000000" w:fill="FFFFFF"/>
            <w:noWrap/>
            <w:vAlign w:val="center"/>
            <w:hideMark/>
          </w:tcPr>
          <w:p w14:paraId="37A7596B" w14:textId="7AF57FF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6,012</w:t>
            </w:r>
          </w:p>
        </w:tc>
        <w:tc>
          <w:tcPr>
            <w:tcW w:w="1127" w:type="dxa"/>
            <w:tcBorders>
              <w:top w:val="nil"/>
              <w:left w:val="nil"/>
              <w:bottom w:val="single" w:sz="4" w:space="0" w:color="auto"/>
              <w:right w:val="single" w:sz="4" w:space="0" w:color="auto"/>
            </w:tcBorders>
            <w:shd w:val="clear" w:color="000000" w:fill="FFFFFF"/>
            <w:noWrap/>
            <w:vAlign w:val="center"/>
            <w:hideMark/>
          </w:tcPr>
          <w:p w14:paraId="2A1E328B" w14:textId="1DC027E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16,021</w:t>
            </w:r>
          </w:p>
        </w:tc>
        <w:tc>
          <w:tcPr>
            <w:tcW w:w="1016" w:type="dxa"/>
            <w:tcBorders>
              <w:top w:val="nil"/>
              <w:left w:val="nil"/>
              <w:bottom w:val="single" w:sz="4" w:space="0" w:color="auto"/>
              <w:right w:val="single" w:sz="4" w:space="0" w:color="auto"/>
            </w:tcBorders>
            <w:shd w:val="clear" w:color="000000" w:fill="FFFFFF"/>
            <w:noWrap/>
            <w:vAlign w:val="center"/>
            <w:hideMark/>
          </w:tcPr>
          <w:p w14:paraId="6385BBB6" w14:textId="77CD784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15,211</w:t>
            </w:r>
          </w:p>
        </w:tc>
        <w:tc>
          <w:tcPr>
            <w:tcW w:w="1206" w:type="dxa"/>
            <w:tcBorders>
              <w:top w:val="nil"/>
              <w:left w:val="nil"/>
              <w:bottom w:val="single" w:sz="4" w:space="0" w:color="auto"/>
              <w:right w:val="single" w:sz="8" w:space="0" w:color="auto"/>
            </w:tcBorders>
            <w:shd w:val="clear" w:color="000000" w:fill="FFFFFF"/>
            <w:noWrap/>
            <w:vAlign w:val="center"/>
            <w:hideMark/>
          </w:tcPr>
          <w:p w14:paraId="1C7F1E52" w14:textId="5FFABA6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83,663</w:t>
            </w:r>
          </w:p>
        </w:tc>
      </w:tr>
      <w:tr w:rsidR="00861244" w:rsidRPr="00E47FB2" w14:paraId="43BA59C3"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43CFF7D3"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Frijol R.</w:t>
            </w:r>
          </w:p>
        </w:tc>
        <w:tc>
          <w:tcPr>
            <w:tcW w:w="1016" w:type="dxa"/>
            <w:tcBorders>
              <w:top w:val="nil"/>
              <w:left w:val="nil"/>
              <w:bottom w:val="single" w:sz="4" w:space="0" w:color="auto"/>
              <w:right w:val="single" w:sz="4" w:space="0" w:color="auto"/>
            </w:tcBorders>
            <w:shd w:val="clear" w:color="000000" w:fill="FFFFFF"/>
            <w:noWrap/>
            <w:vAlign w:val="center"/>
            <w:hideMark/>
          </w:tcPr>
          <w:p w14:paraId="1C6327F4" w14:textId="516FFED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22,083</w:t>
            </w:r>
          </w:p>
        </w:tc>
        <w:tc>
          <w:tcPr>
            <w:tcW w:w="1016" w:type="dxa"/>
            <w:tcBorders>
              <w:top w:val="nil"/>
              <w:left w:val="nil"/>
              <w:bottom w:val="single" w:sz="4" w:space="0" w:color="auto"/>
              <w:right w:val="single" w:sz="4" w:space="0" w:color="auto"/>
            </w:tcBorders>
            <w:shd w:val="clear" w:color="000000" w:fill="FFFFFF"/>
            <w:noWrap/>
            <w:vAlign w:val="center"/>
            <w:hideMark/>
          </w:tcPr>
          <w:p w14:paraId="23008E5D" w14:textId="30FF8DD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148,989</w:t>
            </w:r>
          </w:p>
        </w:tc>
        <w:tc>
          <w:tcPr>
            <w:tcW w:w="1016" w:type="dxa"/>
            <w:tcBorders>
              <w:top w:val="nil"/>
              <w:left w:val="nil"/>
              <w:bottom w:val="single" w:sz="4" w:space="0" w:color="auto"/>
              <w:right w:val="single" w:sz="4" w:space="0" w:color="auto"/>
            </w:tcBorders>
            <w:shd w:val="clear" w:color="000000" w:fill="FFFFFF"/>
            <w:noWrap/>
            <w:vAlign w:val="center"/>
            <w:hideMark/>
          </w:tcPr>
          <w:p w14:paraId="67624DA4" w14:textId="67ED81F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32,451</w:t>
            </w:r>
          </w:p>
        </w:tc>
        <w:tc>
          <w:tcPr>
            <w:tcW w:w="1016" w:type="dxa"/>
            <w:tcBorders>
              <w:top w:val="nil"/>
              <w:left w:val="nil"/>
              <w:bottom w:val="single" w:sz="4" w:space="0" w:color="auto"/>
              <w:right w:val="single" w:sz="4" w:space="0" w:color="auto"/>
            </w:tcBorders>
            <w:shd w:val="clear" w:color="000000" w:fill="FFFFFF"/>
            <w:noWrap/>
            <w:vAlign w:val="center"/>
            <w:hideMark/>
          </w:tcPr>
          <w:p w14:paraId="41496DD6" w14:textId="702FFE8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17,014</w:t>
            </w:r>
          </w:p>
        </w:tc>
        <w:tc>
          <w:tcPr>
            <w:tcW w:w="1016" w:type="dxa"/>
            <w:tcBorders>
              <w:top w:val="nil"/>
              <w:left w:val="nil"/>
              <w:bottom w:val="single" w:sz="4" w:space="0" w:color="auto"/>
              <w:right w:val="single" w:sz="4" w:space="0" w:color="auto"/>
            </w:tcBorders>
            <w:shd w:val="clear" w:color="000000" w:fill="FFFFFF"/>
            <w:noWrap/>
            <w:vAlign w:val="center"/>
            <w:hideMark/>
          </w:tcPr>
          <w:p w14:paraId="39077BBE" w14:textId="7EB71DE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4,512</w:t>
            </w:r>
          </w:p>
        </w:tc>
        <w:tc>
          <w:tcPr>
            <w:tcW w:w="1016" w:type="dxa"/>
            <w:tcBorders>
              <w:top w:val="nil"/>
              <w:left w:val="nil"/>
              <w:bottom w:val="single" w:sz="4" w:space="0" w:color="auto"/>
              <w:right w:val="single" w:sz="4" w:space="0" w:color="auto"/>
            </w:tcBorders>
            <w:shd w:val="clear" w:color="000000" w:fill="FFFFFF"/>
            <w:noWrap/>
            <w:vAlign w:val="center"/>
            <w:hideMark/>
          </w:tcPr>
          <w:p w14:paraId="6F22E90F" w14:textId="3E9B8B9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5,978</w:t>
            </w:r>
          </w:p>
        </w:tc>
        <w:tc>
          <w:tcPr>
            <w:tcW w:w="1016" w:type="dxa"/>
            <w:tcBorders>
              <w:top w:val="nil"/>
              <w:left w:val="nil"/>
              <w:bottom w:val="single" w:sz="4" w:space="0" w:color="auto"/>
              <w:right w:val="single" w:sz="4" w:space="0" w:color="auto"/>
            </w:tcBorders>
            <w:shd w:val="clear" w:color="000000" w:fill="FFFFFF"/>
            <w:noWrap/>
            <w:vAlign w:val="center"/>
            <w:hideMark/>
          </w:tcPr>
          <w:p w14:paraId="2953D7C4" w14:textId="0224AA2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16,574</w:t>
            </w:r>
          </w:p>
        </w:tc>
        <w:tc>
          <w:tcPr>
            <w:tcW w:w="1107" w:type="dxa"/>
            <w:tcBorders>
              <w:top w:val="nil"/>
              <w:left w:val="nil"/>
              <w:bottom w:val="single" w:sz="4" w:space="0" w:color="auto"/>
              <w:right w:val="single" w:sz="4" w:space="0" w:color="auto"/>
            </w:tcBorders>
            <w:shd w:val="clear" w:color="000000" w:fill="FFFFFF"/>
            <w:noWrap/>
            <w:vAlign w:val="center"/>
            <w:hideMark/>
          </w:tcPr>
          <w:p w14:paraId="108942A9" w14:textId="5AD4E98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18,541</w:t>
            </w:r>
          </w:p>
        </w:tc>
        <w:tc>
          <w:tcPr>
            <w:tcW w:w="1016" w:type="dxa"/>
            <w:tcBorders>
              <w:top w:val="nil"/>
              <w:left w:val="nil"/>
              <w:bottom w:val="single" w:sz="4" w:space="0" w:color="auto"/>
              <w:right w:val="single" w:sz="4" w:space="0" w:color="auto"/>
            </w:tcBorders>
            <w:shd w:val="clear" w:color="000000" w:fill="FFFFFF"/>
            <w:noWrap/>
            <w:vAlign w:val="center"/>
            <w:hideMark/>
          </w:tcPr>
          <w:p w14:paraId="7CCF19AB" w14:textId="4663D79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4,652</w:t>
            </w:r>
          </w:p>
        </w:tc>
        <w:tc>
          <w:tcPr>
            <w:tcW w:w="1016" w:type="dxa"/>
            <w:tcBorders>
              <w:top w:val="nil"/>
              <w:left w:val="nil"/>
              <w:bottom w:val="single" w:sz="4" w:space="0" w:color="auto"/>
              <w:right w:val="single" w:sz="4" w:space="0" w:color="auto"/>
            </w:tcBorders>
            <w:shd w:val="clear" w:color="000000" w:fill="FFFFFF"/>
            <w:noWrap/>
            <w:vAlign w:val="center"/>
            <w:hideMark/>
          </w:tcPr>
          <w:p w14:paraId="3018B1E1" w14:textId="3621EC8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4,400</w:t>
            </w:r>
          </w:p>
        </w:tc>
        <w:tc>
          <w:tcPr>
            <w:tcW w:w="1127" w:type="dxa"/>
            <w:tcBorders>
              <w:top w:val="nil"/>
              <w:left w:val="nil"/>
              <w:bottom w:val="single" w:sz="4" w:space="0" w:color="auto"/>
              <w:right w:val="single" w:sz="4" w:space="0" w:color="auto"/>
            </w:tcBorders>
            <w:shd w:val="clear" w:color="000000" w:fill="FFFFFF"/>
            <w:noWrap/>
            <w:vAlign w:val="center"/>
            <w:hideMark/>
          </w:tcPr>
          <w:p w14:paraId="3E6CC8D9" w14:textId="71EBD6D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13,426</w:t>
            </w:r>
          </w:p>
        </w:tc>
        <w:tc>
          <w:tcPr>
            <w:tcW w:w="1016" w:type="dxa"/>
            <w:tcBorders>
              <w:top w:val="nil"/>
              <w:left w:val="nil"/>
              <w:bottom w:val="single" w:sz="4" w:space="0" w:color="auto"/>
              <w:right w:val="single" w:sz="4" w:space="0" w:color="auto"/>
            </w:tcBorders>
            <w:shd w:val="clear" w:color="000000" w:fill="FFFFFF"/>
            <w:noWrap/>
            <w:vAlign w:val="center"/>
            <w:hideMark/>
          </w:tcPr>
          <w:p w14:paraId="6E620AF1" w14:textId="4FE0F34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22,141</w:t>
            </w:r>
          </w:p>
        </w:tc>
        <w:tc>
          <w:tcPr>
            <w:tcW w:w="1206" w:type="dxa"/>
            <w:tcBorders>
              <w:top w:val="nil"/>
              <w:left w:val="nil"/>
              <w:bottom w:val="single" w:sz="4" w:space="0" w:color="auto"/>
              <w:right w:val="single" w:sz="8" w:space="0" w:color="auto"/>
            </w:tcBorders>
            <w:shd w:val="clear" w:color="000000" w:fill="FFFFFF"/>
            <w:noWrap/>
            <w:vAlign w:val="center"/>
            <w:hideMark/>
          </w:tcPr>
          <w:p w14:paraId="424A9EC9" w14:textId="6AB6554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310,761</w:t>
            </w:r>
          </w:p>
        </w:tc>
      </w:tr>
      <w:tr w:rsidR="00861244" w:rsidRPr="00E47FB2" w14:paraId="51F8F24B"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5F127863"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Frijol N.</w:t>
            </w:r>
          </w:p>
        </w:tc>
        <w:tc>
          <w:tcPr>
            <w:tcW w:w="1016" w:type="dxa"/>
            <w:tcBorders>
              <w:top w:val="nil"/>
              <w:left w:val="nil"/>
              <w:bottom w:val="single" w:sz="4" w:space="0" w:color="auto"/>
              <w:right w:val="single" w:sz="4" w:space="0" w:color="auto"/>
            </w:tcBorders>
            <w:shd w:val="clear" w:color="000000" w:fill="FFFFFF"/>
            <w:noWrap/>
            <w:vAlign w:val="center"/>
            <w:hideMark/>
          </w:tcPr>
          <w:p w14:paraId="62A1530B" w14:textId="34F63F5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31,603</w:t>
            </w:r>
          </w:p>
        </w:tc>
        <w:tc>
          <w:tcPr>
            <w:tcW w:w="1016" w:type="dxa"/>
            <w:tcBorders>
              <w:top w:val="nil"/>
              <w:left w:val="nil"/>
              <w:bottom w:val="single" w:sz="4" w:space="0" w:color="auto"/>
              <w:right w:val="single" w:sz="4" w:space="0" w:color="auto"/>
            </w:tcBorders>
            <w:shd w:val="clear" w:color="000000" w:fill="FFFFFF"/>
            <w:noWrap/>
            <w:vAlign w:val="center"/>
            <w:hideMark/>
          </w:tcPr>
          <w:p w14:paraId="61FBA81B" w14:textId="227B5A8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32,989</w:t>
            </w:r>
          </w:p>
        </w:tc>
        <w:tc>
          <w:tcPr>
            <w:tcW w:w="1016" w:type="dxa"/>
            <w:tcBorders>
              <w:top w:val="nil"/>
              <w:left w:val="nil"/>
              <w:bottom w:val="single" w:sz="4" w:space="0" w:color="auto"/>
              <w:right w:val="single" w:sz="4" w:space="0" w:color="auto"/>
            </w:tcBorders>
            <w:shd w:val="clear" w:color="000000" w:fill="FFFFFF"/>
            <w:noWrap/>
            <w:vAlign w:val="center"/>
            <w:hideMark/>
          </w:tcPr>
          <w:p w14:paraId="0E6D0F38" w14:textId="4B14DA9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78,549</w:t>
            </w:r>
          </w:p>
        </w:tc>
        <w:tc>
          <w:tcPr>
            <w:tcW w:w="1016" w:type="dxa"/>
            <w:tcBorders>
              <w:top w:val="nil"/>
              <w:left w:val="nil"/>
              <w:bottom w:val="single" w:sz="4" w:space="0" w:color="auto"/>
              <w:right w:val="single" w:sz="4" w:space="0" w:color="auto"/>
            </w:tcBorders>
            <w:shd w:val="clear" w:color="000000" w:fill="FFFFFF"/>
            <w:noWrap/>
            <w:vAlign w:val="center"/>
            <w:hideMark/>
          </w:tcPr>
          <w:p w14:paraId="08ED910B" w14:textId="1ED5AD1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34,121</w:t>
            </w:r>
          </w:p>
        </w:tc>
        <w:tc>
          <w:tcPr>
            <w:tcW w:w="1016" w:type="dxa"/>
            <w:tcBorders>
              <w:top w:val="nil"/>
              <w:left w:val="nil"/>
              <w:bottom w:val="single" w:sz="4" w:space="0" w:color="auto"/>
              <w:right w:val="single" w:sz="4" w:space="0" w:color="auto"/>
            </w:tcBorders>
            <w:shd w:val="clear" w:color="000000" w:fill="FFFFFF"/>
            <w:noWrap/>
            <w:vAlign w:val="center"/>
            <w:hideMark/>
          </w:tcPr>
          <w:p w14:paraId="1CE2013B" w14:textId="6F1A49D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5,000</w:t>
            </w:r>
          </w:p>
        </w:tc>
        <w:tc>
          <w:tcPr>
            <w:tcW w:w="1016" w:type="dxa"/>
            <w:tcBorders>
              <w:top w:val="nil"/>
              <w:left w:val="nil"/>
              <w:bottom w:val="single" w:sz="4" w:space="0" w:color="auto"/>
              <w:right w:val="single" w:sz="4" w:space="0" w:color="auto"/>
            </w:tcBorders>
            <w:shd w:val="clear" w:color="000000" w:fill="FFFFFF"/>
            <w:noWrap/>
            <w:vAlign w:val="center"/>
            <w:hideMark/>
          </w:tcPr>
          <w:p w14:paraId="2555EAAF" w14:textId="5D89403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8,200</w:t>
            </w:r>
          </w:p>
        </w:tc>
        <w:tc>
          <w:tcPr>
            <w:tcW w:w="1016" w:type="dxa"/>
            <w:tcBorders>
              <w:top w:val="nil"/>
              <w:left w:val="nil"/>
              <w:bottom w:val="single" w:sz="4" w:space="0" w:color="auto"/>
              <w:right w:val="single" w:sz="4" w:space="0" w:color="auto"/>
            </w:tcBorders>
            <w:shd w:val="clear" w:color="000000" w:fill="FFFFFF"/>
            <w:noWrap/>
            <w:vAlign w:val="center"/>
            <w:hideMark/>
          </w:tcPr>
          <w:p w14:paraId="6C190287" w14:textId="7D97F81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42,154</w:t>
            </w:r>
          </w:p>
        </w:tc>
        <w:tc>
          <w:tcPr>
            <w:tcW w:w="1107" w:type="dxa"/>
            <w:tcBorders>
              <w:top w:val="nil"/>
              <w:left w:val="nil"/>
              <w:bottom w:val="single" w:sz="4" w:space="0" w:color="auto"/>
              <w:right w:val="single" w:sz="4" w:space="0" w:color="auto"/>
            </w:tcBorders>
            <w:shd w:val="clear" w:color="000000" w:fill="FFFFFF"/>
            <w:noWrap/>
            <w:vAlign w:val="center"/>
            <w:hideMark/>
          </w:tcPr>
          <w:p w14:paraId="1682F5C6" w14:textId="4F1CD11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34,552</w:t>
            </w:r>
          </w:p>
        </w:tc>
        <w:tc>
          <w:tcPr>
            <w:tcW w:w="1016" w:type="dxa"/>
            <w:tcBorders>
              <w:top w:val="nil"/>
              <w:left w:val="nil"/>
              <w:bottom w:val="single" w:sz="4" w:space="0" w:color="auto"/>
              <w:right w:val="single" w:sz="4" w:space="0" w:color="auto"/>
            </w:tcBorders>
            <w:shd w:val="clear" w:color="000000" w:fill="FFFFFF"/>
            <w:noWrap/>
            <w:vAlign w:val="center"/>
            <w:hideMark/>
          </w:tcPr>
          <w:p w14:paraId="391B62CE" w14:textId="1B607DB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9,321</w:t>
            </w:r>
          </w:p>
        </w:tc>
        <w:tc>
          <w:tcPr>
            <w:tcW w:w="1016" w:type="dxa"/>
            <w:tcBorders>
              <w:top w:val="nil"/>
              <w:left w:val="nil"/>
              <w:bottom w:val="single" w:sz="4" w:space="0" w:color="auto"/>
              <w:right w:val="single" w:sz="4" w:space="0" w:color="auto"/>
            </w:tcBorders>
            <w:shd w:val="clear" w:color="000000" w:fill="FFFFFF"/>
            <w:noWrap/>
            <w:vAlign w:val="center"/>
            <w:hideMark/>
          </w:tcPr>
          <w:p w14:paraId="6AAA4350" w14:textId="71F0058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3,012</w:t>
            </w:r>
          </w:p>
        </w:tc>
        <w:tc>
          <w:tcPr>
            <w:tcW w:w="1127" w:type="dxa"/>
            <w:tcBorders>
              <w:top w:val="nil"/>
              <w:left w:val="nil"/>
              <w:bottom w:val="single" w:sz="4" w:space="0" w:color="auto"/>
              <w:right w:val="single" w:sz="4" w:space="0" w:color="auto"/>
            </w:tcBorders>
            <w:shd w:val="clear" w:color="000000" w:fill="FFFFFF"/>
            <w:noWrap/>
            <w:vAlign w:val="center"/>
            <w:hideMark/>
          </w:tcPr>
          <w:p w14:paraId="20E54309" w14:textId="521F565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17,989</w:t>
            </w:r>
          </w:p>
        </w:tc>
        <w:tc>
          <w:tcPr>
            <w:tcW w:w="1016" w:type="dxa"/>
            <w:tcBorders>
              <w:top w:val="nil"/>
              <w:left w:val="nil"/>
              <w:bottom w:val="single" w:sz="4" w:space="0" w:color="auto"/>
              <w:right w:val="single" w:sz="4" w:space="0" w:color="auto"/>
            </w:tcBorders>
            <w:shd w:val="clear" w:color="000000" w:fill="FFFFFF"/>
            <w:noWrap/>
            <w:vAlign w:val="center"/>
            <w:hideMark/>
          </w:tcPr>
          <w:p w14:paraId="1649641F" w14:textId="161E583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46,537</w:t>
            </w:r>
          </w:p>
        </w:tc>
        <w:tc>
          <w:tcPr>
            <w:tcW w:w="1206" w:type="dxa"/>
            <w:tcBorders>
              <w:top w:val="nil"/>
              <w:left w:val="nil"/>
              <w:bottom w:val="single" w:sz="4" w:space="0" w:color="auto"/>
              <w:right w:val="single" w:sz="8" w:space="0" w:color="auto"/>
            </w:tcBorders>
            <w:shd w:val="clear" w:color="000000" w:fill="FFFFFF"/>
            <w:noWrap/>
            <w:vAlign w:val="center"/>
            <w:hideMark/>
          </w:tcPr>
          <w:p w14:paraId="1892C76A" w14:textId="2B93279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344,027</w:t>
            </w:r>
          </w:p>
        </w:tc>
      </w:tr>
      <w:tr w:rsidR="00861244" w:rsidRPr="00E47FB2" w14:paraId="328774D3"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5673F758"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Frijol B.</w:t>
            </w:r>
          </w:p>
        </w:tc>
        <w:tc>
          <w:tcPr>
            <w:tcW w:w="1016" w:type="dxa"/>
            <w:tcBorders>
              <w:top w:val="nil"/>
              <w:left w:val="nil"/>
              <w:bottom w:val="single" w:sz="4" w:space="0" w:color="auto"/>
              <w:right w:val="single" w:sz="4" w:space="0" w:color="auto"/>
            </w:tcBorders>
            <w:shd w:val="clear" w:color="000000" w:fill="FFFFFF"/>
            <w:noWrap/>
            <w:vAlign w:val="center"/>
            <w:hideMark/>
          </w:tcPr>
          <w:p w14:paraId="39E4CB7A" w14:textId="09313CD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2,301</w:t>
            </w:r>
          </w:p>
        </w:tc>
        <w:tc>
          <w:tcPr>
            <w:tcW w:w="1016" w:type="dxa"/>
            <w:tcBorders>
              <w:top w:val="nil"/>
              <w:left w:val="nil"/>
              <w:bottom w:val="single" w:sz="4" w:space="0" w:color="auto"/>
              <w:right w:val="single" w:sz="4" w:space="0" w:color="auto"/>
            </w:tcBorders>
            <w:shd w:val="clear" w:color="000000" w:fill="FFFFFF"/>
            <w:noWrap/>
            <w:vAlign w:val="center"/>
            <w:hideMark/>
          </w:tcPr>
          <w:p w14:paraId="195EDF5D" w14:textId="6D4716B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969</w:t>
            </w:r>
          </w:p>
        </w:tc>
        <w:tc>
          <w:tcPr>
            <w:tcW w:w="1016" w:type="dxa"/>
            <w:tcBorders>
              <w:top w:val="nil"/>
              <w:left w:val="nil"/>
              <w:bottom w:val="single" w:sz="4" w:space="0" w:color="auto"/>
              <w:right w:val="single" w:sz="4" w:space="0" w:color="auto"/>
            </w:tcBorders>
            <w:shd w:val="clear" w:color="000000" w:fill="FFFFFF"/>
            <w:noWrap/>
            <w:vAlign w:val="center"/>
            <w:hideMark/>
          </w:tcPr>
          <w:p w14:paraId="67ABB6AB" w14:textId="7FC01EA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1,045</w:t>
            </w:r>
          </w:p>
        </w:tc>
        <w:tc>
          <w:tcPr>
            <w:tcW w:w="1016" w:type="dxa"/>
            <w:tcBorders>
              <w:top w:val="nil"/>
              <w:left w:val="nil"/>
              <w:bottom w:val="single" w:sz="4" w:space="0" w:color="auto"/>
              <w:right w:val="single" w:sz="4" w:space="0" w:color="auto"/>
            </w:tcBorders>
            <w:shd w:val="clear" w:color="000000" w:fill="FFFFFF"/>
            <w:noWrap/>
            <w:vAlign w:val="center"/>
            <w:hideMark/>
          </w:tcPr>
          <w:p w14:paraId="418BADB1" w14:textId="1F5C415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421</w:t>
            </w:r>
          </w:p>
        </w:tc>
        <w:tc>
          <w:tcPr>
            <w:tcW w:w="1016" w:type="dxa"/>
            <w:tcBorders>
              <w:top w:val="nil"/>
              <w:left w:val="nil"/>
              <w:bottom w:val="single" w:sz="4" w:space="0" w:color="auto"/>
              <w:right w:val="single" w:sz="4" w:space="0" w:color="auto"/>
            </w:tcBorders>
            <w:shd w:val="clear" w:color="000000" w:fill="FFFFFF"/>
            <w:noWrap/>
            <w:vAlign w:val="center"/>
            <w:hideMark/>
          </w:tcPr>
          <w:p w14:paraId="26932489" w14:textId="5D3FD84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361</w:t>
            </w:r>
          </w:p>
        </w:tc>
        <w:tc>
          <w:tcPr>
            <w:tcW w:w="1016" w:type="dxa"/>
            <w:tcBorders>
              <w:top w:val="nil"/>
              <w:left w:val="nil"/>
              <w:bottom w:val="single" w:sz="4" w:space="0" w:color="auto"/>
              <w:right w:val="single" w:sz="4" w:space="0" w:color="auto"/>
            </w:tcBorders>
            <w:shd w:val="clear" w:color="000000" w:fill="FFFFFF"/>
            <w:noWrap/>
            <w:vAlign w:val="center"/>
            <w:hideMark/>
          </w:tcPr>
          <w:p w14:paraId="75ED6F50" w14:textId="678AE47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223</w:t>
            </w:r>
          </w:p>
        </w:tc>
        <w:tc>
          <w:tcPr>
            <w:tcW w:w="1016" w:type="dxa"/>
            <w:tcBorders>
              <w:top w:val="nil"/>
              <w:left w:val="nil"/>
              <w:bottom w:val="single" w:sz="4" w:space="0" w:color="auto"/>
              <w:right w:val="single" w:sz="4" w:space="0" w:color="auto"/>
            </w:tcBorders>
            <w:shd w:val="clear" w:color="000000" w:fill="FFFFFF"/>
            <w:noWrap/>
            <w:vAlign w:val="center"/>
            <w:hideMark/>
          </w:tcPr>
          <w:p w14:paraId="30D43E35" w14:textId="05D25FF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1,845</w:t>
            </w:r>
          </w:p>
        </w:tc>
        <w:tc>
          <w:tcPr>
            <w:tcW w:w="1107" w:type="dxa"/>
            <w:tcBorders>
              <w:top w:val="nil"/>
              <w:left w:val="nil"/>
              <w:bottom w:val="single" w:sz="4" w:space="0" w:color="auto"/>
              <w:right w:val="single" w:sz="4" w:space="0" w:color="auto"/>
            </w:tcBorders>
            <w:shd w:val="clear" w:color="000000" w:fill="FFFFFF"/>
            <w:noWrap/>
            <w:vAlign w:val="center"/>
            <w:hideMark/>
          </w:tcPr>
          <w:p w14:paraId="596351B1" w14:textId="0C28809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1,252</w:t>
            </w:r>
          </w:p>
        </w:tc>
        <w:tc>
          <w:tcPr>
            <w:tcW w:w="1016" w:type="dxa"/>
            <w:tcBorders>
              <w:top w:val="nil"/>
              <w:left w:val="nil"/>
              <w:bottom w:val="single" w:sz="4" w:space="0" w:color="auto"/>
              <w:right w:val="single" w:sz="4" w:space="0" w:color="auto"/>
            </w:tcBorders>
            <w:shd w:val="clear" w:color="000000" w:fill="FFFFFF"/>
            <w:noWrap/>
            <w:vAlign w:val="center"/>
            <w:hideMark/>
          </w:tcPr>
          <w:p w14:paraId="5241D65B" w14:textId="7DCBF53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454</w:t>
            </w:r>
          </w:p>
        </w:tc>
        <w:tc>
          <w:tcPr>
            <w:tcW w:w="1016" w:type="dxa"/>
            <w:tcBorders>
              <w:top w:val="nil"/>
              <w:left w:val="nil"/>
              <w:bottom w:val="single" w:sz="4" w:space="0" w:color="auto"/>
              <w:right w:val="single" w:sz="4" w:space="0" w:color="auto"/>
            </w:tcBorders>
            <w:shd w:val="clear" w:color="000000" w:fill="FFFFFF"/>
            <w:noWrap/>
            <w:vAlign w:val="center"/>
            <w:hideMark/>
          </w:tcPr>
          <w:p w14:paraId="42C93FD8" w14:textId="19DE949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254</w:t>
            </w:r>
          </w:p>
        </w:tc>
        <w:tc>
          <w:tcPr>
            <w:tcW w:w="1127" w:type="dxa"/>
            <w:tcBorders>
              <w:top w:val="nil"/>
              <w:left w:val="nil"/>
              <w:bottom w:val="single" w:sz="4" w:space="0" w:color="auto"/>
              <w:right w:val="single" w:sz="4" w:space="0" w:color="auto"/>
            </w:tcBorders>
            <w:shd w:val="clear" w:color="000000" w:fill="FFFFFF"/>
            <w:noWrap/>
            <w:vAlign w:val="center"/>
            <w:hideMark/>
          </w:tcPr>
          <w:p w14:paraId="3DA312B1" w14:textId="6938FEB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1,105</w:t>
            </w:r>
          </w:p>
        </w:tc>
        <w:tc>
          <w:tcPr>
            <w:tcW w:w="1016" w:type="dxa"/>
            <w:tcBorders>
              <w:top w:val="nil"/>
              <w:left w:val="nil"/>
              <w:bottom w:val="single" w:sz="4" w:space="0" w:color="auto"/>
              <w:right w:val="single" w:sz="4" w:space="0" w:color="auto"/>
            </w:tcBorders>
            <w:shd w:val="clear" w:color="000000" w:fill="FFFFFF"/>
            <w:noWrap/>
            <w:vAlign w:val="center"/>
            <w:hideMark/>
          </w:tcPr>
          <w:p w14:paraId="3410E63F" w14:textId="59F0C5B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1,456</w:t>
            </w:r>
          </w:p>
        </w:tc>
        <w:tc>
          <w:tcPr>
            <w:tcW w:w="1206" w:type="dxa"/>
            <w:tcBorders>
              <w:top w:val="nil"/>
              <w:left w:val="nil"/>
              <w:bottom w:val="single" w:sz="4" w:space="0" w:color="auto"/>
              <w:right w:val="single" w:sz="8" w:space="0" w:color="auto"/>
            </w:tcBorders>
            <w:shd w:val="clear" w:color="000000" w:fill="FFFFFF"/>
            <w:noWrap/>
            <w:vAlign w:val="center"/>
            <w:hideMark/>
          </w:tcPr>
          <w:p w14:paraId="075DBF7B" w14:textId="5DC85C1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11,686</w:t>
            </w:r>
          </w:p>
        </w:tc>
      </w:tr>
      <w:tr w:rsidR="00861244" w:rsidRPr="00E47FB2" w14:paraId="75BAC7FD"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1199A3C3"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Guandúl</w:t>
            </w:r>
          </w:p>
        </w:tc>
        <w:tc>
          <w:tcPr>
            <w:tcW w:w="1016" w:type="dxa"/>
            <w:tcBorders>
              <w:top w:val="nil"/>
              <w:left w:val="nil"/>
              <w:bottom w:val="single" w:sz="4" w:space="0" w:color="auto"/>
              <w:right w:val="single" w:sz="4" w:space="0" w:color="auto"/>
            </w:tcBorders>
            <w:shd w:val="clear" w:color="000000" w:fill="FFFFFF"/>
            <w:noWrap/>
            <w:vAlign w:val="center"/>
            <w:hideMark/>
          </w:tcPr>
          <w:p w14:paraId="4E2C32E6" w14:textId="1FDFF46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68,510</w:t>
            </w:r>
          </w:p>
        </w:tc>
        <w:tc>
          <w:tcPr>
            <w:tcW w:w="1016" w:type="dxa"/>
            <w:tcBorders>
              <w:top w:val="nil"/>
              <w:left w:val="nil"/>
              <w:bottom w:val="single" w:sz="4" w:space="0" w:color="auto"/>
              <w:right w:val="single" w:sz="4" w:space="0" w:color="auto"/>
            </w:tcBorders>
            <w:shd w:val="clear" w:color="000000" w:fill="FFFFFF"/>
            <w:noWrap/>
            <w:vAlign w:val="center"/>
            <w:hideMark/>
          </w:tcPr>
          <w:p w14:paraId="10A99133" w14:textId="7C37201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62,693</w:t>
            </w:r>
          </w:p>
        </w:tc>
        <w:tc>
          <w:tcPr>
            <w:tcW w:w="1016" w:type="dxa"/>
            <w:tcBorders>
              <w:top w:val="nil"/>
              <w:left w:val="nil"/>
              <w:bottom w:val="single" w:sz="4" w:space="0" w:color="auto"/>
              <w:right w:val="single" w:sz="4" w:space="0" w:color="auto"/>
            </w:tcBorders>
            <w:shd w:val="clear" w:color="000000" w:fill="FFFFFF"/>
            <w:noWrap/>
            <w:vAlign w:val="center"/>
            <w:hideMark/>
          </w:tcPr>
          <w:p w14:paraId="54341DBA" w14:textId="03D4634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37,525</w:t>
            </w:r>
          </w:p>
        </w:tc>
        <w:tc>
          <w:tcPr>
            <w:tcW w:w="1016" w:type="dxa"/>
            <w:tcBorders>
              <w:top w:val="nil"/>
              <w:left w:val="nil"/>
              <w:bottom w:val="single" w:sz="4" w:space="0" w:color="auto"/>
              <w:right w:val="single" w:sz="4" w:space="0" w:color="auto"/>
            </w:tcBorders>
            <w:shd w:val="clear" w:color="000000" w:fill="FFFFFF"/>
            <w:noWrap/>
            <w:vAlign w:val="center"/>
            <w:hideMark/>
          </w:tcPr>
          <w:p w14:paraId="6E655E5B" w14:textId="101BDAE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25,411</w:t>
            </w:r>
          </w:p>
        </w:tc>
        <w:tc>
          <w:tcPr>
            <w:tcW w:w="1016" w:type="dxa"/>
            <w:tcBorders>
              <w:top w:val="nil"/>
              <w:left w:val="nil"/>
              <w:bottom w:val="single" w:sz="4" w:space="0" w:color="auto"/>
              <w:right w:val="single" w:sz="4" w:space="0" w:color="auto"/>
            </w:tcBorders>
            <w:shd w:val="clear" w:color="000000" w:fill="FFFFFF"/>
            <w:noWrap/>
            <w:vAlign w:val="center"/>
            <w:hideMark/>
          </w:tcPr>
          <w:p w14:paraId="41E1B794" w14:textId="3A4AFCA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18,695</w:t>
            </w:r>
          </w:p>
        </w:tc>
        <w:tc>
          <w:tcPr>
            <w:tcW w:w="1016" w:type="dxa"/>
            <w:tcBorders>
              <w:top w:val="nil"/>
              <w:left w:val="nil"/>
              <w:bottom w:val="single" w:sz="4" w:space="0" w:color="auto"/>
              <w:right w:val="single" w:sz="4" w:space="0" w:color="auto"/>
            </w:tcBorders>
            <w:shd w:val="clear" w:color="000000" w:fill="FFFFFF"/>
            <w:noWrap/>
            <w:vAlign w:val="center"/>
            <w:hideMark/>
          </w:tcPr>
          <w:p w14:paraId="0B4C7F9C" w14:textId="49628F6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16,654</w:t>
            </w:r>
          </w:p>
        </w:tc>
        <w:tc>
          <w:tcPr>
            <w:tcW w:w="1016" w:type="dxa"/>
            <w:tcBorders>
              <w:top w:val="nil"/>
              <w:left w:val="nil"/>
              <w:bottom w:val="single" w:sz="4" w:space="0" w:color="auto"/>
              <w:right w:val="single" w:sz="4" w:space="0" w:color="auto"/>
            </w:tcBorders>
            <w:shd w:val="clear" w:color="000000" w:fill="FFFFFF"/>
            <w:noWrap/>
            <w:vAlign w:val="center"/>
            <w:hideMark/>
          </w:tcPr>
          <w:p w14:paraId="10C84B28" w14:textId="25E9CAD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13,247</w:t>
            </w:r>
          </w:p>
        </w:tc>
        <w:tc>
          <w:tcPr>
            <w:tcW w:w="1107" w:type="dxa"/>
            <w:tcBorders>
              <w:top w:val="nil"/>
              <w:left w:val="nil"/>
              <w:bottom w:val="single" w:sz="4" w:space="0" w:color="auto"/>
              <w:right w:val="single" w:sz="4" w:space="0" w:color="auto"/>
            </w:tcBorders>
            <w:shd w:val="clear" w:color="000000" w:fill="FFFFFF"/>
            <w:noWrap/>
            <w:vAlign w:val="center"/>
            <w:hideMark/>
          </w:tcPr>
          <w:p w14:paraId="6EF7FBF2" w14:textId="26E31B4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17,522</w:t>
            </w:r>
          </w:p>
        </w:tc>
        <w:tc>
          <w:tcPr>
            <w:tcW w:w="1016" w:type="dxa"/>
            <w:tcBorders>
              <w:top w:val="nil"/>
              <w:left w:val="nil"/>
              <w:bottom w:val="single" w:sz="4" w:space="0" w:color="auto"/>
              <w:right w:val="single" w:sz="4" w:space="0" w:color="auto"/>
            </w:tcBorders>
            <w:shd w:val="clear" w:color="000000" w:fill="FFFFFF"/>
            <w:noWrap/>
            <w:vAlign w:val="center"/>
            <w:hideMark/>
          </w:tcPr>
          <w:p w14:paraId="3A895884" w14:textId="6ACAFDC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13,102</w:t>
            </w:r>
          </w:p>
        </w:tc>
        <w:tc>
          <w:tcPr>
            <w:tcW w:w="1016" w:type="dxa"/>
            <w:tcBorders>
              <w:top w:val="nil"/>
              <w:left w:val="nil"/>
              <w:bottom w:val="single" w:sz="4" w:space="0" w:color="auto"/>
              <w:right w:val="single" w:sz="4" w:space="0" w:color="auto"/>
            </w:tcBorders>
            <w:shd w:val="clear" w:color="000000" w:fill="FFFFFF"/>
            <w:noWrap/>
            <w:vAlign w:val="center"/>
            <w:hideMark/>
          </w:tcPr>
          <w:p w14:paraId="4215A57B" w14:textId="601D786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9,685</w:t>
            </w:r>
          </w:p>
        </w:tc>
        <w:tc>
          <w:tcPr>
            <w:tcW w:w="1127" w:type="dxa"/>
            <w:tcBorders>
              <w:top w:val="nil"/>
              <w:left w:val="nil"/>
              <w:bottom w:val="single" w:sz="4" w:space="0" w:color="auto"/>
              <w:right w:val="single" w:sz="4" w:space="0" w:color="auto"/>
            </w:tcBorders>
            <w:shd w:val="clear" w:color="000000" w:fill="FFFFFF"/>
            <w:noWrap/>
            <w:vAlign w:val="center"/>
            <w:hideMark/>
          </w:tcPr>
          <w:p w14:paraId="537A3E3E" w14:textId="73768DD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19,970</w:t>
            </w:r>
          </w:p>
        </w:tc>
        <w:tc>
          <w:tcPr>
            <w:tcW w:w="1016" w:type="dxa"/>
            <w:tcBorders>
              <w:top w:val="nil"/>
              <w:left w:val="nil"/>
              <w:bottom w:val="single" w:sz="4" w:space="0" w:color="auto"/>
              <w:right w:val="single" w:sz="4" w:space="0" w:color="auto"/>
            </w:tcBorders>
            <w:shd w:val="clear" w:color="000000" w:fill="FFFFFF"/>
            <w:noWrap/>
            <w:vAlign w:val="center"/>
            <w:hideMark/>
          </w:tcPr>
          <w:p w14:paraId="13B2B335" w14:textId="7ED8F22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66,934</w:t>
            </w:r>
          </w:p>
        </w:tc>
        <w:tc>
          <w:tcPr>
            <w:tcW w:w="1206" w:type="dxa"/>
            <w:tcBorders>
              <w:top w:val="nil"/>
              <w:left w:val="nil"/>
              <w:bottom w:val="single" w:sz="4" w:space="0" w:color="auto"/>
              <w:right w:val="single" w:sz="8" w:space="0" w:color="auto"/>
            </w:tcBorders>
            <w:shd w:val="clear" w:color="000000" w:fill="FFFFFF"/>
            <w:noWrap/>
            <w:vAlign w:val="center"/>
            <w:hideMark/>
          </w:tcPr>
          <w:p w14:paraId="4991B432" w14:textId="67D3602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369,948</w:t>
            </w:r>
          </w:p>
        </w:tc>
      </w:tr>
      <w:tr w:rsidR="00861244" w:rsidRPr="00E47FB2" w14:paraId="2383F50E"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19972F58"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Guard Beans</w:t>
            </w:r>
          </w:p>
        </w:tc>
        <w:tc>
          <w:tcPr>
            <w:tcW w:w="1016" w:type="dxa"/>
            <w:tcBorders>
              <w:top w:val="nil"/>
              <w:left w:val="nil"/>
              <w:bottom w:val="single" w:sz="4" w:space="0" w:color="auto"/>
              <w:right w:val="single" w:sz="4" w:space="0" w:color="auto"/>
            </w:tcBorders>
            <w:shd w:val="clear" w:color="000000" w:fill="FFFFFF"/>
            <w:noWrap/>
            <w:vAlign w:val="center"/>
            <w:hideMark/>
          </w:tcPr>
          <w:p w14:paraId="58001550" w14:textId="051591A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148</w:t>
            </w:r>
          </w:p>
        </w:tc>
        <w:tc>
          <w:tcPr>
            <w:tcW w:w="1016" w:type="dxa"/>
            <w:tcBorders>
              <w:top w:val="nil"/>
              <w:left w:val="nil"/>
              <w:bottom w:val="single" w:sz="4" w:space="0" w:color="auto"/>
              <w:right w:val="single" w:sz="4" w:space="0" w:color="auto"/>
            </w:tcBorders>
            <w:shd w:val="clear" w:color="000000" w:fill="FFFFFF"/>
            <w:noWrap/>
            <w:vAlign w:val="center"/>
            <w:hideMark/>
          </w:tcPr>
          <w:p w14:paraId="163E8FCE" w14:textId="0CC87CE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176</w:t>
            </w:r>
          </w:p>
        </w:tc>
        <w:tc>
          <w:tcPr>
            <w:tcW w:w="1016" w:type="dxa"/>
            <w:tcBorders>
              <w:top w:val="nil"/>
              <w:left w:val="nil"/>
              <w:bottom w:val="single" w:sz="4" w:space="0" w:color="auto"/>
              <w:right w:val="single" w:sz="4" w:space="0" w:color="auto"/>
            </w:tcBorders>
            <w:shd w:val="clear" w:color="000000" w:fill="FFFFFF"/>
            <w:noWrap/>
            <w:vAlign w:val="center"/>
            <w:hideMark/>
          </w:tcPr>
          <w:p w14:paraId="791FA155" w14:textId="014AA10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205</w:t>
            </w:r>
          </w:p>
        </w:tc>
        <w:tc>
          <w:tcPr>
            <w:tcW w:w="1016" w:type="dxa"/>
            <w:tcBorders>
              <w:top w:val="nil"/>
              <w:left w:val="nil"/>
              <w:bottom w:val="single" w:sz="4" w:space="0" w:color="auto"/>
              <w:right w:val="single" w:sz="4" w:space="0" w:color="auto"/>
            </w:tcBorders>
            <w:shd w:val="clear" w:color="000000" w:fill="FFFFFF"/>
            <w:noWrap/>
            <w:vAlign w:val="center"/>
            <w:hideMark/>
          </w:tcPr>
          <w:p w14:paraId="4D7D2F5E" w14:textId="437B0AC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58</w:t>
            </w:r>
          </w:p>
        </w:tc>
        <w:tc>
          <w:tcPr>
            <w:tcW w:w="1016" w:type="dxa"/>
            <w:tcBorders>
              <w:top w:val="nil"/>
              <w:left w:val="nil"/>
              <w:bottom w:val="single" w:sz="4" w:space="0" w:color="auto"/>
              <w:right w:val="single" w:sz="4" w:space="0" w:color="auto"/>
            </w:tcBorders>
            <w:shd w:val="clear" w:color="000000" w:fill="FFFFFF"/>
            <w:noWrap/>
            <w:vAlign w:val="center"/>
            <w:hideMark/>
          </w:tcPr>
          <w:p w14:paraId="568EFBCB" w14:textId="215BF9B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186</w:t>
            </w:r>
          </w:p>
        </w:tc>
        <w:tc>
          <w:tcPr>
            <w:tcW w:w="1016" w:type="dxa"/>
            <w:tcBorders>
              <w:top w:val="nil"/>
              <w:left w:val="nil"/>
              <w:bottom w:val="single" w:sz="4" w:space="0" w:color="auto"/>
              <w:right w:val="single" w:sz="4" w:space="0" w:color="auto"/>
            </w:tcBorders>
            <w:shd w:val="clear" w:color="000000" w:fill="FFFFFF"/>
            <w:noWrap/>
            <w:vAlign w:val="center"/>
            <w:hideMark/>
          </w:tcPr>
          <w:p w14:paraId="465E81FF" w14:textId="55F59EB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353</w:t>
            </w:r>
          </w:p>
        </w:tc>
        <w:tc>
          <w:tcPr>
            <w:tcW w:w="1016" w:type="dxa"/>
            <w:tcBorders>
              <w:top w:val="nil"/>
              <w:left w:val="nil"/>
              <w:bottom w:val="single" w:sz="4" w:space="0" w:color="auto"/>
              <w:right w:val="single" w:sz="4" w:space="0" w:color="auto"/>
            </w:tcBorders>
            <w:shd w:val="clear" w:color="000000" w:fill="FFFFFF"/>
            <w:noWrap/>
            <w:vAlign w:val="center"/>
            <w:hideMark/>
          </w:tcPr>
          <w:p w14:paraId="32ADF904" w14:textId="5A83D8B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163</w:t>
            </w:r>
          </w:p>
        </w:tc>
        <w:tc>
          <w:tcPr>
            <w:tcW w:w="1107" w:type="dxa"/>
            <w:tcBorders>
              <w:top w:val="nil"/>
              <w:left w:val="nil"/>
              <w:bottom w:val="single" w:sz="4" w:space="0" w:color="auto"/>
              <w:right w:val="single" w:sz="4" w:space="0" w:color="auto"/>
            </w:tcBorders>
            <w:shd w:val="clear" w:color="000000" w:fill="FFFFFF"/>
            <w:noWrap/>
            <w:vAlign w:val="center"/>
            <w:hideMark/>
          </w:tcPr>
          <w:p w14:paraId="5736DF13" w14:textId="2354EE4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462</w:t>
            </w:r>
          </w:p>
        </w:tc>
        <w:tc>
          <w:tcPr>
            <w:tcW w:w="1016" w:type="dxa"/>
            <w:tcBorders>
              <w:top w:val="nil"/>
              <w:left w:val="nil"/>
              <w:bottom w:val="single" w:sz="4" w:space="0" w:color="auto"/>
              <w:right w:val="single" w:sz="4" w:space="0" w:color="auto"/>
            </w:tcBorders>
            <w:shd w:val="clear" w:color="000000" w:fill="FFFFFF"/>
            <w:noWrap/>
            <w:vAlign w:val="center"/>
            <w:hideMark/>
          </w:tcPr>
          <w:p w14:paraId="6F18C6D3" w14:textId="0D93292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260</w:t>
            </w:r>
          </w:p>
        </w:tc>
        <w:tc>
          <w:tcPr>
            <w:tcW w:w="1016" w:type="dxa"/>
            <w:tcBorders>
              <w:top w:val="nil"/>
              <w:left w:val="nil"/>
              <w:bottom w:val="single" w:sz="4" w:space="0" w:color="auto"/>
              <w:right w:val="single" w:sz="4" w:space="0" w:color="auto"/>
            </w:tcBorders>
            <w:shd w:val="clear" w:color="000000" w:fill="FFFFFF"/>
            <w:noWrap/>
            <w:vAlign w:val="center"/>
            <w:hideMark/>
          </w:tcPr>
          <w:p w14:paraId="24906E36" w14:textId="0BD7746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112</w:t>
            </w:r>
          </w:p>
        </w:tc>
        <w:tc>
          <w:tcPr>
            <w:tcW w:w="1127" w:type="dxa"/>
            <w:tcBorders>
              <w:top w:val="nil"/>
              <w:left w:val="nil"/>
              <w:bottom w:val="single" w:sz="4" w:space="0" w:color="auto"/>
              <w:right w:val="single" w:sz="4" w:space="0" w:color="auto"/>
            </w:tcBorders>
            <w:shd w:val="clear" w:color="000000" w:fill="FFFFFF"/>
            <w:noWrap/>
            <w:vAlign w:val="center"/>
            <w:hideMark/>
          </w:tcPr>
          <w:p w14:paraId="53E0D446" w14:textId="11D8B97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123</w:t>
            </w:r>
          </w:p>
        </w:tc>
        <w:tc>
          <w:tcPr>
            <w:tcW w:w="1016" w:type="dxa"/>
            <w:tcBorders>
              <w:top w:val="nil"/>
              <w:left w:val="nil"/>
              <w:bottom w:val="single" w:sz="4" w:space="0" w:color="auto"/>
              <w:right w:val="single" w:sz="4" w:space="0" w:color="auto"/>
            </w:tcBorders>
            <w:shd w:val="clear" w:color="000000" w:fill="FFFFFF"/>
            <w:noWrap/>
            <w:vAlign w:val="center"/>
            <w:hideMark/>
          </w:tcPr>
          <w:p w14:paraId="733C6648" w14:textId="67D14F2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59</w:t>
            </w:r>
          </w:p>
        </w:tc>
        <w:tc>
          <w:tcPr>
            <w:tcW w:w="1206" w:type="dxa"/>
            <w:tcBorders>
              <w:top w:val="nil"/>
              <w:left w:val="nil"/>
              <w:bottom w:val="single" w:sz="4" w:space="0" w:color="auto"/>
              <w:right w:val="single" w:sz="8" w:space="0" w:color="auto"/>
            </w:tcBorders>
            <w:shd w:val="clear" w:color="000000" w:fill="FFFFFF"/>
            <w:noWrap/>
            <w:vAlign w:val="center"/>
            <w:hideMark/>
          </w:tcPr>
          <w:p w14:paraId="6F2CC4BA" w14:textId="25016FC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2,305</w:t>
            </w:r>
          </w:p>
        </w:tc>
      </w:tr>
      <w:tr w:rsidR="00861244" w:rsidRPr="00E47FB2" w14:paraId="07BAEFDC"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185CD9B4"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Batata</w:t>
            </w:r>
          </w:p>
        </w:tc>
        <w:tc>
          <w:tcPr>
            <w:tcW w:w="1016" w:type="dxa"/>
            <w:tcBorders>
              <w:top w:val="nil"/>
              <w:left w:val="nil"/>
              <w:bottom w:val="single" w:sz="4" w:space="0" w:color="auto"/>
              <w:right w:val="single" w:sz="4" w:space="0" w:color="auto"/>
            </w:tcBorders>
            <w:shd w:val="clear" w:color="000000" w:fill="FFFFFF"/>
            <w:noWrap/>
            <w:vAlign w:val="center"/>
            <w:hideMark/>
          </w:tcPr>
          <w:p w14:paraId="3D188A09" w14:textId="2748493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6,098</w:t>
            </w:r>
          </w:p>
        </w:tc>
        <w:tc>
          <w:tcPr>
            <w:tcW w:w="1016" w:type="dxa"/>
            <w:tcBorders>
              <w:top w:val="nil"/>
              <w:left w:val="nil"/>
              <w:bottom w:val="single" w:sz="4" w:space="0" w:color="auto"/>
              <w:right w:val="single" w:sz="4" w:space="0" w:color="auto"/>
            </w:tcBorders>
            <w:shd w:val="clear" w:color="000000" w:fill="FFFFFF"/>
            <w:noWrap/>
            <w:vAlign w:val="center"/>
            <w:hideMark/>
          </w:tcPr>
          <w:p w14:paraId="71744539" w14:textId="370CDBD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11,204</w:t>
            </w:r>
          </w:p>
        </w:tc>
        <w:tc>
          <w:tcPr>
            <w:tcW w:w="1016" w:type="dxa"/>
            <w:tcBorders>
              <w:top w:val="nil"/>
              <w:left w:val="nil"/>
              <w:bottom w:val="single" w:sz="4" w:space="0" w:color="auto"/>
              <w:right w:val="single" w:sz="4" w:space="0" w:color="auto"/>
            </w:tcBorders>
            <w:shd w:val="clear" w:color="000000" w:fill="FFFFFF"/>
            <w:noWrap/>
            <w:vAlign w:val="center"/>
            <w:hideMark/>
          </w:tcPr>
          <w:p w14:paraId="14908044" w14:textId="72C47BE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10,214</w:t>
            </w:r>
          </w:p>
        </w:tc>
        <w:tc>
          <w:tcPr>
            <w:tcW w:w="1016" w:type="dxa"/>
            <w:tcBorders>
              <w:top w:val="nil"/>
              <w:left w:val="nil"/>
              <w:bottom w:val="single" w:sz="4" w:space="0" w:color="auto"/>
              <w:right w:val="single" w:sz="4" w:space="0" w:color="auto"/>
            </w:tcBorders>
            <w:shd w:val="clear" w:color="000000" w:fill="FFFFFF"/>
            <w:noWrap/>
            <w:vAlign w:val="center"/>
            <w:hideMark/>
          </w:tcPr>
          <w:p w14:paraId="06955B31" w14:textId="13B6693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11,984</w:t>
            </w:r>
          </w:p>
        </w:tc>
        <w:tc>
          <w:tcPr>
            <w:tcW w:w="1016" w:type="dxa"/>
            <w:tcBorders>
              <w:top w:val="nil"/>
              <w:left w:val="nil"/>
              <w:bottom w:val="single" w:sz="4" w:space="0" w:color="auto"/>
              <w:right w:val="single" w:sz="4" w:space="0" w:color="auto"/>
            </w:tcBorders>
            <w:shd w:val="clear" w:color="000000" w:fill="FFFFFF"/>
            <w:noWrap/>
            <w:vAlign w:val="center"/>
            <w:hideMark/>
          </w:tcPr>
          <w:p w14:paraId="2AD819E7" w14:textId="151BDAF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9,541</w:t>
            </w:r>
          </w:p>
        </w:tc>
        <w:tc>
          <w:tcPr>
            <w:tcW w:w="1016" w:type="dxa"/>
            <w:tcBorders>
              <w:top w:val="nil"/>
              <w:left w:val="nil"/>
              <w:bottom w:val="single" w:sz="4" w:space="0" w:color="auto"/>
              <w:right w:val="single" w:sz="4" w:space="0" w:color="auto"/>
            </w:tcBorders>
            <w:shd w:val="clear" w:color="000000" w:fill="FFFFFF"/>
            <w:noWrap/>
            <w:vAlign w:val="center"/>
            <w:hideMark/>
          </w:tcPr>
          <w:p w14:paraId="3F66881D" w14:textId="4E62582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8,345</w:t>
            </w:r>
          </w:p>
        </w:tc>
        <w:tc>
          <w:tcPr>
            <w:tcW w:w="1016" w:type="dxa"/>
            <w:tcBorders>
              <w:top w:val="nil"/>
              <w:left w:val="nil"/>
              <w:bottom w:val="single" w:sz="4" w:space="0" w:color="auto"/>
              <w:right w:val="single" w:sz="4" w:space="0" w:color="auto"/>
            </w:tcBorders>
            <w:shd w:val="clear" w:color="000000" w:fill="FFFFFF"/>
            <w:noWrap/>
            <w:vAlign w:val="center"/>
            <w:hideMark/>
          </w:tcPr>
          <w:p w14:paraId="5B80882A" w14:textId="1564A8C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7,999</w:t>
            </w:r>
          </w:p>
        </w:tc>
        <w:tc>
          <w:tcPr>
            <w:tcW w:w="1107" w:type="dxa"/>
            <w:tcBorders>
              <w:top w:val="nil"/>
              <w:left w:val="nil"/>
              <w:bottom w:val="single" w:sz="4" w:space="0" w:color="auto"/>
              <w:right w:val="single" w:sz="4" w:space="0" w:color="auto"/>
            </w:tcBorders>
            <w:shd w:val="clear" w:color="000000" w:fill="FFFFFF"/>
            <w:noWrap/>
            <w:vAlign w:val="center"/>
            <w:hideMark/>
          </w:tcPr>
          <w:p w14:paraId="6CF4A5F8" w14:textId="2340FD9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7,214</w:t>
            </w:r>
          </w:p>
        </w:tc>
        <w:tc>
          <w:tcPr>
            <w:tcW w:w="1016" w:type="dxa"/>
            <w:tcBorders>
              <w:top w:val="nil"/>
              <w:left w:val="nil"/>
              <w:bottom w:val="single" w:sz="4" w:space="0" w:color="auto"/>
              <w:right w:val="single" w:sz="4" w:space="0" w:color="auto"/>
            </w:tcBorders>
            <w:shd w:val="clear" w:color="000000" w:fill="FFFFFF"/>
            <w:noWrap/>
            <w:vAlign w:val="center"/>
            <w:hideMark/>
          </w:tcPr>
          <w:p w14:paraId="00901ED2" w14:textId="0615F00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7,421</w:t>
            </w:r>
          </w:p>
        </w:tc>
        <w:tc>
          <w:tcPr>
            <w:tcW w:w="1016" w:type="dxa"/>
            <w:tcBorders>
              <w:top w:val="nil"/>
              <w:left w:val="nil"/>
              <w:bottom w:val="single" w:sz="4" w:space="0" w:color="auto"/>
              <w:right w:val="single" w:sz="4" w:space="0" w:color="auto"/>
            </w:tcBorders>
            <w:shd w:val="clear" w:color="000000" w:fill="FFFFFF"/>
            <w:noWrap/>
            <w:vAlign w:val="center"/>
            <w:hideMark/>
          </w:tcPr>
          <w:p w14:paraId="33FB1E5B" w14:textId="6373EC6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6,201</w:t>
            </w:r>
          </w:p>
        </w:tc>
        <w:tc>
          <w:tcPr>
            <w:tcW w:w="1127" w:type="dxa"/>
            <w:tcBorders>
              <w:top w:val="nil"/>
              <w:left w:val="nil"/>
              <w:bottom w:val="single" w:sz="4" w:space="0" w:color="auto"/>
              <w:right w:val="single" w:sz="4" w:space="0" w:color="auto"/>
            </w:tcBorders>
            <w:shd w:val="clear" w:color="000000" w:fill="FFFFFF"/>
            <w:noWrap/>
            <w:vAlign w:val="center"/>
            <w:hideMark/>
          </w:tcPr>
          <w:p w14:paraId="43C84826" w14:textId="4096BAB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13,188</w:t>
            </w:r>
          </w:p>
        </w:tc>
        <w:tc>
          <w:tcPr>
            <w:tcW w:w="1016" w:type="dxa"/>
            <w:tcBorders>
              <w:top w:val="nil"/>
              <w:left w:val="nil"/>
              <w:bottom w:val="single" w:sz="4" w:space="0" w:color="auto"/>
              <w:right w:val="single" w:sz="4" w:space="0" w:color="auto"/>
            </w:tcBorders>
            <w:shd w:val="clear" w:color="000000" w:fill="FFFFFF"/>
            <w:noWrap/>
            <w:vAlign w:val="center"/>
            <w:hideMark/>
          </w:tcPr>
          <w:p w14:paraId="7584BCE5" w14:textId="54C939E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8,868</w:t>
            </w:r>
          </w:p>
        </w:tc>
        <w:tc>
          <w:tcPr>
            <w:tcW w:w="1206" w:type="dxa"/>
            <w:tcBorders>
              <w:top w:val="nil"/>
              <w:left w:val="nil"/>
              <w:bottom w:val="single" w:sz="4" w:space="0" w:color="auto"/>
              <w:right w:val="single" w:sz="8" w:space="0" w:color="auto"/>
            </w:tcBorders>
            <w:shd w:val="clear" w:color="000000" w:fill="FFFFFF"/>
            <w:noWrap/>
            <w:vAlign w:val="center"/>
            <w:hideMark/>
          </w:tcPr>
          <w:p w14:paraId="004F92AF" w14:textId="2EEB62B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108,277</w:t>
            </w:r>
          </w:p>
        </w:tc>
      </w:tr>
      <w:tr w:rsidR="00861244" w:rsidRPr="00E47FB2" w14:paraId="12AD6334"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29908BD0"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Ñame</w:t>
            </w:r>
          </w:p>
        </w:tc>
        <w:tc>
          <w:tcPr>
            <w:tcW w:w="1016" w:type="dxa"/>
            <w:tcBorders>
              <w:top w:val="nil"/>
              <w:left w:val="nil"/>
              <w:bottom w:val="single" w:sz="4" w:space="0" w:color="auto"/>
              <w:right w:val="single" w:sz="4" w:space="0" w:color="auto"/>
            </w:tcBorders>
            <w:shd w:val="clear" w:color="000000" w:fill="FFFFFF"/>
            <w:noWrap/>
            <w:vAlign w:val="center"/>
            <w:hideMark/>
          </w:tcPr>
          <w:p w14:paraId="295077F5" w14:textId="4CD0675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10,214</w:t>
            </w:r>
          </w:p>
        </w:tc>
        <w:tc>
          <w:tcPr>
            <w:tcW w:w="1016" w:type="dxa"/>
            <w:tcBorders>
              <w:top w:val="nil"/>
              <w:left w:val="nil"/>
              <w:bottom w:val="single" w:sz="4" w:space="0" w:color="auto"/>
              <w:right w:val="single" w:sz="4" w:space="0" w:color="auto"/>
            </w:tcBorders>
            <w:shd w:val="clear" w:color="000000" w:fill="FFFFFF"/>
            <w:noWrap/>
            <w:vAlign w:val="center"/>
            <w:hideMark/>
          </w:tcPr>
          <w:p w14:paraId="0F16AE96" w14:textId="4715A27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10,241</w:t>
            </w:r>
          </w:p>
        </w:tc>
        <w:tc>
          <w:tcPr>
            <w:tcW w:w="1016" w:type="dxa"/>
            <w:tcBorders>
              <w:top w:val="nil"/>
              <w:left w:val="nil"/>
              <w:bottom w:val="single" w:sz="4" w:space="0" w:color="auto"/>
              <w:right w:val="single" w:sz="4" w:space="0" w:color="auto"/>
            </w:tcBorders>
            <w:shd w:val="clear" w:color="000000" w:fill="FFFFFF"/>
            <w:noWrap/>
            <w:vAlign w:val="center"/>
            <w:hideMark/>
          </w:tcPr>
          <w:p w14:paraId="743471A4" w14:textId="3C3AF49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7,452</w:t>
            </w:r>
          </w:p>
        </w:tc>
        <w:tc>
          <w:tcPr>
            <w:tcW w:w="1016" w:type="dxa"/>
            <w:tcBorders>
              <w:top w:val="nil"/>
              <w:left w:val="nil"/>
              <w:bottom w:val="single" w:sz="4" w:space="0" w:color="auto"/>
              <w:right w:val="single" w:sz="4" w:space="0" w:color="auto"/>
            </w:tcBorders>
            <w:shd w:val="clear" w:color="000000" w:fill="FFFFFF"/>
            <w:noWrap/>
            <w:vAlign w:val="center"/>
            <w:hideMark/>
          </w:tcPr>
          <w:p w14:paraId="1AF88B2B" w14:textId="254D064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9,248</w:t>
            </w:r>
          </w:p>
        </w:tc>
        <w:tc>
          <w:tcPr>
            <w:tcW w:w="1016" w:type="dxa"/>
            <w:tcBorders>
              <w:top w:val="nil"/>
              <w:left w:val="nil"/>
              <w:bottom w:val="single" w:sz="4" w:space="0" w:color="auto"/>
              <w:right w:val="single" w:sz="4" w:space="0" w:color="auto"/>
            </w:tcBorders>
            <w:shd w:val="clear" w:color="000000" w:fill="FFFFFF"/>
            <w:noWrap/>
            <w:vAlign w:val="center"/>
            <w:hideMark/>
          </w:tcPr>
          <w:p w14:paraId="4BFF9FC0" w14:textId="3103BCD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5,654</w:t>
            </w:r>
          </w:p>
        </w:tc>
        <w:tc>
          <w:tcPr>
            <w:tcW w:w="1016" w:type="dxa"/>
            <w:tcBorders>
              <w:top w:val="nil"/>
              <w:left w:val="nil"/>
              <w:bottom w:val="single" w:sz="4" w:space="0" w:color="auto"/>
              <w:right w:val="single" w:sz="4" w:space="0" w:color="auto"/>
            </w:tcBorders>
            <w:shd w:val="clear" w:color="000000" w:fill="FFFFFF"/>
            <w:noWrap/>
            <w:vAlign w:val="center"/>
            <w:hideMark/>
          </w:tcPr>
          <w:p w14:paraId="28A06C42" w14:textId="4670777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6,621</w:t>
            </w:r>
          </w:p>
        </w:tc>
        <w:tc>
          <w:tcPr>
            <w:tcW w:w="1016" w:type="dxa"/>
            <w:tcBorders>
              <w:top w:val="nil"/>
              <w:left w:val="nil"/>
              <w:bottom w:val="single" w:sz="4" w:space="0" w:color="auto"/>
              <w:right w:val="single" w:sz="4" w:space="0" w:color="auto"/>
            </w:tcBorders>
            <w:shd w:val="clear" w:color="000000" w:fill="FFFFFF"/>
            <w:noWrap/>
            <w:vAlign w:val="center"/>
            <w:hideMark/>
          </w:tcPr>
          <w:p w14:paraId="2D65DBD9" w14:textId="217D100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4,320</w:t>
            </w:r>
          </w:p>
        </w:tc>
        <w:tc>
          <w:tcPr>
            <w:tcW w:w="1107" w:type="dxa"/>
            <w:tcBorders>
              <w:top w:val="nil"/>
              <w:left w:val="nil"/>
              <w:bottom w:val="single" w:sz="4" w:space="0" w:color="auto"/>
              <w:right w:val="single" w:sz="4" w:space="0" w:color="auto"/>
            </w:tcBorders>
            <w:shd w:val="clear" w:color="000000" w:fill="FFFFFF"/>
            <w:noWrap/>
            <w:vAlign w:val="center"/>
            <w:hideMark/>
          </w:tcPr>
          <w:p w14:paraId="37AFCC54" w14:textId="216D0E8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3,865</w:t>
            </w:r>
          </w:p>
        </w:tc>
        <w:tc>
          <w:tcPr>
            <w:tcW w:w="1016" w:type="dxa"/>
            <w:tcBorders>
              <w:top w:val="nil"/>
              <w:left w:val="nil"/>
              <w:bottom w:val="single" w:sz="4" w:space="0" w:color="auto"/>
              <w:right w:val="single" w:sz="4" w:space="0" w:color="auto"/>
            </w:tcBorders>
            <w:shd w:val="clear" w:color="000000" w:fill="FFFFFF"/>
            <w:noWrap/>
            <w:vAlign w:val="center"/>
            <w:hideMark/>
          </w:tcPr>
          <w:p w14:paraId="6E3E8AB4" w14:textId="27E102C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4,852</w:t>
            </w:r>
          </w:p>
        </w:tc>
        <w:tc>
          <w:tcPr>
            <w:tcW w:w="1016" w:type="dxa"/>
            <w:tcBorders>
              <w:top w:val="nil"/>
              <w:left w:val="nil"/>
              <w:bottom w:val="single" w:sz="4" w:space="0" w:color="auto"/>
              <w:right w:val="single" w:sz="4" w:space="0" w:color="auto"/>
            </w:tcBorders>
            <w:shd w:val="clear" w:color="000000" w:fill="FFFFFF"/>
            <w:noWrap/>
            <w:vAlign w:val="center"/>
            <w:hideMark/>
          </w:tcPr>
          <w:p w14:paraId="705C1393" w14:textId="3DFC587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3,214</w:t>
            </w:r>
          </w:p>
        </w:tc>
        <w:tc>
          <w:tcPr>
            <w:tcW w:w="1127" w:type="dxa"/>
            <w:tcBorders>
              <w:top w:val="nil"/>
              <w:left w:val="nil"/>
              <w:bottom w:val="single" w:sz="4" w:space="0" w:color="auto"/>
              <w:right w:val="single" w:sz="4" w:space="0" w:color="auto"/>
            </w:tcBorders>
            <w:shd w:val="clear" w:color="000000" w:fill="FFFFFF"/>
            <w:noWrap/>
            <w:vAlign w:val="center"/>
            <w:hideMark/>
          </w:tcPr>
          <w:p w14:paraId="1767D5BB" w14:textId="27C5FB7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6,237</w:t>
            </w:r>
          </w:p>
        </w:tc>
        <w:tc>
          <w:tcPr>
            <w:tcW w:w="1016" w:type="dxa"/>
            <w:tcBorders>
              <w:top w:val="nil"/>
              <w:left w:val="nil"/>
              <w:bottom w:val="single" w:sz="4" w:space="0" w:color="auto"/>
              <w:right w:val="single" w:sz="4" w:space="0" w:color="auto"/>
            </w:tcBorders>
            <w:shd w:val="clear" w:color="000000" w:fill="FFFFFF"/>
            <w:noWrap/>
            <w:vAlign w:val="center"/>
            <w:hideMark/>
          </w:tcPr>
          <w:p w14:paraId="057F2CFF" w14:textId="440BE00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7,074</w:t>
            </w:r>
          </w:p>
        </w:tc>
        <w:tc>
          <w:tcPr>
            <w:tcW w:w="1206" w:type="dxa"/>
            <w:tcBorders>
              <w:top w:val="nil"/>
              <w:left w:val="nil"/>
              <w:bottom w:val="single" w:sz="4" w:space="0" w:color="auto"/>
              <w:right w:val="single" w:sz="8" w:space="0" w:color="auto"/>
            </w:tcBorders>
            <w:shd w:val="clear" w:color="000000" w:fill="FFFFFF"/>
            <w:noWrap/>
            <w:vAlign w:val="center"/>
            <w:hideMark/>
          </w:tcPr>
          <w:p w14:paraId="7AEDDFBE" w14:textId="7E7E633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78,992</w:t>
            </w:r>
          </w:p>
        </w:tc>
      </w:tr>
      <w:tr w:rsidR="00861244" w:rsidRPr="00E47FB2" w14:paraId="6B7AA257"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20C37A04"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Papa</w:t>
            </w:r>
          </w:p>
        </w:tc>
        <w:tc>
          <w:tcPr>
            <w:tcW w:w="1016" w:type="dxa"/>
            <w:tcBorders>
              <w:top w:val="nil"/>
              <w:left w:val="nil"/>
              <w:bottom w:val="single" w:sz="4" w:space="0" w:color="auto"/>
              <w:right w:val="single" w:sz="4" w:space="0" w:color="auto"/>
            </w:tcBorders>
            <w:shd w:val="clear" w:color="000000" w:fill="FFFFFF"/>
            <w:noWrap/>
            <w:vAlign w:val="center"/>
            <w:hideMark/>
          </w:tcPr>
          <w:p w14:paraId="062CA0CE" w14:textId="3CECA13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5,001</w:t>
            </w:r>
          </w:p>
        </w:tc>
        <w:tc>
          <w:tcPr>
            <w:tcW w:w="1016" w:type="dxa"/>
            <w:tcBorders>
              <w:top w:val="nil"/>
              <w:left w:val="nil"/>
              <w:bottom w:val="single" w:sz="4" w:space="0" w:color="auto"/>
              <w:right w:val="single" w:sz="4" w:space="0" w:color="auto"/>
            </w:tcBorders>
            <w:shd w:val="clear" w:color="000000" w:fill="FFFFFF"/>
            <w:noWrap/>
            <w:vAlign w:val="center"/>
            <w:hideMark/>
          </w:tcPr>
          <w:p w14:paraId="7921BEE5" w14:textId="2310808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5,512</w:t>
            </w:r>
          </w:p>
        </w:tc>
        <w:tc>
          <w:tcPr>
            <w:tcW w:w="1016" w:type="dxa"/>
            <w:tcBorders>
              <w:top w:val="nil"/>
              <w:left w:val="nil"/>
              <w:bottom w:val="single" w:sz="4" w:space="0" w:color="auto"/>
              <w:right w:val="single" w:sz="4" w:space="0" w:color="auto"/>
            </w:tcBorders>
            <w:shd w:val="clear" w:color="000000" w:fill="FFFFFF"/>
            <w:noWrap/>
            <w:vAlign w:val="center"/>
            <w:hideMark/>
          </w:tcPr>
          <w:p w14:paraId="1EA56303" w14:textId="0A62153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4,683</w:t>
            </w:r>
          </w:p>
        </w:tc>
        <w:tc>
          <w:tcPr>
            <w:tcW w:w="1016" w:type="dxa"/>
            <w:tcBorders>
              <w:top w:val="nil"/>
              <w:left w:val="nil"/>
              <w:bottom w:val="single" w:sz="4" w:space="0" w:color="auto"/>
              <w:right w:val="single" w:sz="4" w:space="0" w:color="auto"/>
            </w:tcBorders>
            <w:shd w:val="clear" w:color="000000" w:fill="FFFFFF"/>
            <w:noWrap/>
            <w:vAlign w:val="center"/>
            <w:hideMark/>
          </w:tcPr>
          <w:p w14:paraId="49D41B78" w14:textId="62FC190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4,345</w:t>
            </w:r>
          </w:p>
        </w:tc>
        <w:tc>
          <w:tcPr>
            <w:tcW w:w="1016" w:type="dxa"/>
            <w:tcBorders>
              <w:top w:val="nil"/>
              <w:left w:val="nil"/>
              <w:bottom w:val="single" w:sz="4" w:space="0" w:color="auto"/>
              <w:right w:val="single" w:sz="4" w:space="0" w:color="auto"/>
            </w:tcBorders>
            <w:shd w:val="clear" w:color="000000" w:fill="FFFFFF"/>
            <w:noWrap/>
            <w:vAlign w:val="center"/>
            <w:hideMark/>
          </w:tcPr>
          <w:p w14:paraId="692E98F7" w14:textId="16B204C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5,235</w:t>
            </w:r>
          </w:p>
        </w:tc>
        <w:tc>
          <w:tcPr>
            <w:tcW w:w="1016" w:type="dxa"/>
            <w:tcBorders>
              <w:top w:val="nil"/>
              <w:left w:val="nil"/>
              <w:bottom w:val="single" w:sz="4" w:space="0" w:color="auto"/>
              <w:right w:val="single" w:sz="4" w:space="0" w:color="auto"/>
            </w:tcBorders>
            <w:shd w:val="clear" w:color="000000" w:fill="FFFFFF"/>
            <w:noWrap/>
            <w:vAlign w:val="center"/>
            <w:hideMark/>
          </w:tcPr>
          <w:p w14:paraId="3BAF3BC9" w14:textId="688009D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4,165</w:t>
            </w:r>
          </w:p>
        </w:tc>
        <w:tc>
          <w:tcPr>
            <w:tcW w:w="1016" w:type="dxa"/>
            <w:tcBorders>
              <w:top w:val="nil"/>
              <w:left w:val="nil"/>
              <w:bottom w:val="single" w:sz="4" w:space="0" w:color="auto"/>
              <w:right w:val="single" w:sz="4" w:space="0" w:color="auto"/>
            </w:tcBorders>
            <w:shd w:val="clear" w:color="000000" w:fill="FFFFFF"/>
            <w:noWrap/>
            <w:vAlign w:val="center"/>
            <w:hideMark/>
          </w:tcPr>
          <w:p w14:paraId="4C9551C1" w14:textId="16B2927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3,547</w:t>
            </w:r>
          </w:p>
        </w:tc>
        <w:tc>
          <w:tcPr>
            <w:tcW w:w="1107" w:type="dxa"/>
            <w:tcBorders>
              <w:top w:val="nil"/>
              <w:left w:val="nil"/>
              <w:bottom w:val="single" w:sz="4" w:space="0" w:color="auto"/>
              <w:right w:val="single" w:sz="4" w:space="0" w:color="auto"/>
            </w:tcBorders>
            <w:shd w:val="clear" w:color="000000" w:fill="FFFFFF"/>
            <w:noWrap/>
            <w:vAlign w:val="center"/>
            <w:hideMark/>
          </w:tcPr>
          <w:p w14:paraId="176E3ABF" w14:textId="086CFA2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4,215</w:t>
            </w:r>
          </w:p>
        </w:tc>
        <w:tc>
          <w:tcPr>
            <w:tcW w:w="1016" w:type="dxa"/>
            <w:tcBorders>
              <w:top w:val="nil"/>
              <w:left w:val="nil"/>
              <w:bottom w:val="single" w:sz="4" w:space="0" w:color="auto"/>
              <w:right w:val="single" w:sz="4" w:space="0" w:color="auto"/>
            </w:tcBorders>
            <w:shd w:val="clear" w:color="000000" w:fill="FFFFFF"/>
            <w:noWrap/>
            <w:vAlign w:val="center"/>
            <w:hideMark/>
          </w:tcPr>
          <w:p w14:paraId="7AD07EDC" w14:textId="62267A6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4,658</w:t>
            </w:r>
          </w:p>
        </w:tc>
        <w:tc>
          <w:tcPr>
            <w:tcW w:w="1016" w:type="dxa"/>
            <w:tcBorders>
              <w:top w:val="nil"/>
              <w:left w:val="nil"/>
              <w:bottom w:val="single" w:sz="4" w:space="0" w:color="auto"/>
              <w:right w:val="single" w:sz="4" w:space="0" w:color="auto"/>
            </w:tcBorders>
            <w:shd w:val="clear" w:color="000000" w:fill="FFFFFF"/>
            <w:noWrap/>
            <w:vAlign w:val="center"/>
            <w:hideMark/>
          </w:tcPr>
          <w:p w14:paraId="2B9FB715" w14:textId="45A3924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3,875</w:t>
            </w:r>
          </w:p>
        </w:tc>
        <w:tc>
          <w:tcPr>
            <w:tcW w:w="1127" w:type="dxa"/>
            <w:tcBorders>
              <w:top w:val="nil"/>
              <w:left w:val="nil"/>
              <w:bottom w:val="single" w:sz="4" w:space="0" w:color="auto"/>
              <w:right w:val="single" w:sz="4" w:space="0" w:color="auto"/>
            </w:tcBorders>
            <w:shd w:val="clear" w:color="000000" w:fill="FFFFFF"/>
            <w:noWrap/>
            <w:vAlign w:val="center"/>
            <w:hideMark/>
          </w:tcPr>
          <w:p w14:paraId="293F6F88" w14:textId="32A2D85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5,501</w:t>
            </w:r>
          </w:p>
        </w:tc>
        <w:tc>
          <w:tcPr>
            <w:tcW w:w="1016" w:type="dxa"/>
            <w:tcBorders>
              <w:top w:val="nil"/>
              <w:left w:val="nil"/>
              <w:bottom w:val="single" w:sz="4" w:space="0" w:color="auto"/>
              <w:right w:val="single" w:sz="4" w:space="0" w:color="auto"/>
            </w:tcBorders>
            <w:shd w:val="clear" w:color="000000" w:fill="FFFFFF"/>
            <w:noWrap/>
            <w:vAlign w:val="center"/>
            <w:hideMark/>
          </w:tcPr>
          <w:p w14:paraId="01A67227" w14:textId="02BB4D9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4,832</w:t>
            </w:r>
          </w:p>
        </w:tc>
        <w:tc>
          <w:tcPr>
            <w:tcW w:w="1206" w:type="dxa"/>
            <w:tcBorders>
              <w:top w:val="nil"/>
              <w:left w:val="nil"/>
              <w:bottom w:val="single" w:sz="4" w:space="0" w:color="auto"/>
              <w:right w:val="single" w:sz="8" w:space="0" w:color="auto"/>
            </w:tcBorders>
            <w:shd w:val="clear" w:color="000000" w:fill="FFFFFF"/>
            <w:noWrap/>
            <w:vAlign w:val="center"/>
            <w:hideMark/>
          </w:tcPr>
          <w:p w14:paraId="6975E90E" w14:textId="6C2B616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55,569</w:t>
            </w:r>
          </w:p>
        </w:tc>
      </w:tr>
      <w:tr w:rsidR="00861244" w:rsidRPr="00E47FB2" w14:paraId="66D13548"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5AB2CA42"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Yautía</w:t>
            </w:r>
          </w:p>
        </w:tc>
        <w:tc>
          <w:tcPr>
            <w:tcW w:w="1016" w:type="dxa"/>
            <w:tcBorders>
              <w:top w:val="nil"/>
              <w:left w:val="nil"/>
              <w:bottom w:val="single" w:sz="4" w:space="0" w:color="auto"/>
              <w:right w:val="single" w:sz="4" w:space="0" w:color="auto"/>
            </w:tcBorders>
            <w:shd w:val="clear" w:color="000000" w:fill="FFFFFF"/>
            <w:noWrap/>
            <w:vAlign w:val="center"/>
            <w:hideMark/>
          </w:tcPr>
          <w:p w14:paraId="18061A20" w14:textId="7BEAB79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5,421</w:t>
            </w:r>
          </w:p>
        </w:tc>
        <w:tc>
          <w:tcPr>
            <w:tcW w:w="1016" w:type="dxa"/>
            <w:tcBorders>
              <w:top w:val="nil"/>
              <w:left w:val="nil"/>
              <w:bottom w:val="single" w:sz="4" w:space="0" w:color="auto"/>
              <w:right w:val="single" w:sz="4" w:space="0" w:color="auto"/>
            </w:tcBorders>
            <w:shd w:val="clear" w:color="000000" w:fill="FFFFFF"/>
            <w:noWrap/>
            <w:vAlign w:val="center"/>
            <w:hideMark/>
          </w:tcPr>
          <w:p w14:paraId="3D24F06D" w14:textId="06868DE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7,308</w:t>
            </w:r>
          </w:p>
        </w:tc>
        <w:tc>
          <w:tcPr>
            <w:tcW w:w="1016" w:type="dxa"/>
            <w:tcBorders>
              <w:top w:val="nil"/>
              <w:left w:val="nil"/>
              <w:bottom w:val="single" w:sz="4" w:space="0" w:color="auto"/>
              <w:right w:val="single" w:sz="4" w:space="0" w:color="auto"/>
            </w:tcBorders>
            <w:shd w:val="clear" w:color="000000" w:fill="FFFFFF"/>
            <w:noWrap/>
            <w:vAlign w:val="center"/>
            <w:hideMark/>
          </w:tcPr>
          <w:p w14:paraId="4D286548" w14:textId="26F6BA0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6,214</w:t>
            </w:r>
          </w:p>
        </w:tc>
        <w:tc>
          <w:tcPr>
            <w:tcW w:w="1016" w:type="dxa"/>
            <w:tcBorders>
              <w:top w:val="nil"/>
              <w:left w:val="nil"/>
              <w:bottom w:val="single" w:sz="4" w:space="0" w:color="auto"/>
              <w:right w:val="single" w:sz="4" w:space="0" w:color="auto"/>
            </w:tcBorders>
            <w:shd w:val="clear" w:color="000000" w:fill="FFFFFF"/>
            <w:noWrap/>
            <w:vAlign w:val="center"/>
            <w:hideMark/>
          </w:tcPr>
          <w:p w14:paraId="21C25346" w14:textId="30431F5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6,587</w:t>
            </w:r>
          </w:p>
        </w:tc>
        <w:tc>
          <w:tcPr>
            <w:tcW w:w="1016" w:type="dxa"/>
            <w:tcBorders>
              <w:top w:val="nil"/>
              <w:left w:val="nil"/>
              <w:bottom w:val="single" w:sz="4" w:space="0" w:color="auto"/>
              <w:right w:val="single" w:sz="4" w:space="0" w:color="auto"/>
            </w:tcBorders>
            <w:shd w:val="clear" w:color="000000" w:fill="FFFFFF"/>
            <w:noWrap/>
            <w:vAlign w:val="center"/>
            <w:hideMark/>
          </w:tcPr>
          <w:p w14:paraId="37016F49" w14:textId="6EA2BEB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5,745</w:t>
            </w:r>
          </w:p>
        </w:tc>
        <w:tc>
          <w:tcPr>
            <w:tcW w:w="1016" w:type="dxa"/>
            <w:tcBorders>
              <w:top w:val="nil"/>
              <w:left w:val="nil"/>
              <w:bottom w:val="single" w:sz="4" w:space="0" w:color="auto"/>
              <w:right w:val="single" w:sz="4" w:space="0" w:color="auto"/>
            </w:tcBorders>
            <w:shd w:val="clear" w:color="000000" w:fill="FFFFFF"/>
            <w:noWrap/>
            <w:vAlign w:val="center"/>
            <w:hideMark/>
          </w:tcPr>
          <w:p w14:paraId="4D17089A" w14:textId="58ECC9C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6,012</w:t>
            </w:r>
          </w:p>
        </w:tc>
        <w:tc>
          <w:tcPr>
            <w:tcW w:w="1016" w:type="dxa"/>
            <w:tcBorders>
              <w:top w:val="nil"/>
              <w:left w:val="nil"/>
              <w:bottom w:val="single" w:sz="4" w:space="0" w:color="auto"/>
              <w:right w:val="single" w:sz="4" w:space="0" w:color="auto"/>
            </w:tcBorders>
            <w:shd w:val="clear" w:color="000000" w:fill="FFFFFF"/>
            <w:noWrap/>
            <w:vAlign w:val="center"/>
            <w:hideMark/>
          </w:tcPr>
          <w:p w14:paraId="07B1E7EC" w14:textId="0D1B106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4,699</w:t>
            </w:r>
          </w:p>
        </w:tc>
        <w:tc>
          <w:tcPr>
            <w:tcW w:w="1107" w:type="dxa"/>
            <w:tcBorders>
              <w:top w:val="nil"/>
              <w:left w:val="nil"/>
              <w:bottom w:val="single" w:sz="4" w:space="0" w:color="auto"/>
              <w:right w:val="single" w:sz="4" w:space="0" w:color="auto"/>
            </w:tcBorders>
            <w:shd w:val="clear" w:color="000000" w:fill="FFFFFF"/>
            <w:noWrap/>
            <w:vAlign w:val="center"/>
            <w:hideMark/>
          </w:tcPr>
          <w:p w14:paraId="4F1AF265" w14:textId="44E217E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4,601</w:t>
            </w:r>
          </w:p>
        </w:tc>
        <w:tc>
          <w:tcPr>
            <w:tcW w:w="1016" w:type="dxa"/>
            <w:tcBorders>
              <w:top w:val="nil"/>
              <w:left w:val="nil"/>
              <w:bottom w:val="single" w:sz="4" w:space="0" w:color="auto"/>
              <w:right w:val="single" w:sz="4" w:space="0" w:color="auto"/>
            </w:tcBorders>
            <w:shd w:val="clear" w:color="000000" w:fill="FFFFFF"/>
            <w:noWrap/>
            <w:vAlign w:val="center"/>
            <w:hideMark/>
          </w:tcPr>
          <w:p w14:paraId="57D1E63B" w14:textId="344003B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4,524</w:t>
            </w:r>
          </w:p>
        </w:tc>
        <w:tc>
          <w:tcPr>
            <w:tcW w:w="1016" w:type="dxa"/>
            <w:tcBorders>
              <w:top w:val="nil"/>
              <w:left w:val="nil"/>
              <w:bottom w:val="single" w:sz="4" w:space="0" w:color="auto"/>
              <w:right w:val="single" w:sz="4" w:space="0" w:color="auto"/>
            </w:tcBorders>
            <w:shd w:val="clear" w:color="000000" w:fill="FFFFFF"/>
            <w:noWrap/>
            <w:vAlign w:val="center"/>
            <w:hideMark/>
          </w:tcPr>
          <w:p w14:paraId="2A7A4199" w14:textId="0E2CABE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5,421</w:t>
            </w:r>
          </w:p>
        </w:tc>
        <w:tc>
          <w:tcPr>
            <w:tcW w:w="1127" w:type="dxa"/>
            <w:tcBorders>
              <w:top w:val="nil"/>
              <w:left w:val="nil"/>
              <w:bottom w:val="single" w:sz="4" w:space="0" w:color="auto"/>
              <w:right w:val="single" w:sz="4" w:space="0" w:color="auto"/>
            </w:tcBorders>
            <w:shd w:val="clear" w:color="000000" w:fill="FFFFFF"/>
            <w:noWrap/>
            <w:vAlign w:val="center"/>
            <w:hideMark/>
          </w:tcPr>
          <w:p w14:paraId="2F334E18" w14:textId="2EE643E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6,854</w:t>
            </w:r>
          </w:p>
        </w:tc>
        <w:tc>
          <w:tcPr>
            <w:tcW w:w="1016" w:type="dxa"/>
            <w:tcBorders>
              <w:top w:val="nil"/>
              <w:left w:val="nil"/>
              <w:bottom w:val="single" w:sz="4" w:space="0" w:color="auto"/>
              <w:right w:val="single" w:sz="4" w:space="0" w:color="auto"/>
            </w:tcBorders>
            <w:shd w:val="clear" w:color="000000" w:fill="FFFFFF"/>
            <w:noWrap/>
            <w:vAlign w:val="center"/>
            <w:hideMark/>
          </w:tcPr>
          <w:p w14:paraId="5E47BB72" w14:textId="6E77E41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8,608</w:t>
            </w:r>
          </w:p>
        </w:tc>
        <w:tc>
          <w:tcPr>
            <w:tcW w:w="1206" w:type="dxa"/>
            <w:tcBorders>
              <w:top w:val="nil"/>
              <w:left w:val="nil"/>
              <w:bottom w:val="single" w:sz="4" w:space="0" w:color="auto"/>
              <w:right w:val="single" w:sz="8" w:space="0" w:color="auto"/>
            </w:tcBorders>
            <w:shd w:val="clear" w:color="000000" w:fill="FFFFFF"/>
            <w:noWrap/>
            <w:vAlign w:val="center"/>
            <w:hideMark/>
          </w:tcPr>
          <w:p w14:paraId="00EEDE42" w14:textId="426B696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71,994</w:t>
            </w:r>
          </w:p>
        </w:tc>
      </w:tr>
      <w:tr w:rsidR="00861244" w:rsidRPr="00E47FB2" w14:paraId="1AE2299D"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02F60AEA"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Yuca</w:t>
            </w:r>
          </w:p>
        </w:tc>
        <w:tc>
          <w:tcPr>
            <w:tcW w:w="1016" w:type="dxa"/>
            <w:tcBorders>
              <w:top w:val="nil"/>
              <w:left w:val="nil"/>
              <w:bottom w:val="single" w:sz="4" w:space="0" w:color="auto"/>
              <w:right w:val="single" w:sz="4" w:space="0" w:color="auto"/>
            </w:tcBorders>
            <w:shd w:val="clear" w:color="000000" w:fill="FFFFFF"/>
            <w:noWrap/>
            <w:vAlign w:val="center"/>
            <w:hideMark/>
          </w:tcPr>
          <w:p w14:paraId="340D6656" w14:textId="7F25295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25,641</w:t>
            </w:r>
          </w:p>
        </w:tc>
        <w:tc>
          <w:tcPr>
            <w:tcW w:w="1016" w:type="dxa"/>
            <w:tcBorders>
              <w:top w:val="nil"/>
              <w:left w:val="nil"/>
              <w:bottom w:val="single" w:sz="4" w:space="0" w:color="auto"/>
              <w:right w:val="single" w:sz="4" w:space="0" w:color="auto"/>
            </w:tcBorders>
            <w:shd w:val="clear" w:color="000000" w:fill="FFFFFF"/>
            <w:noWrap/>
            <w:vAlign w:val="center"/>
            <w:hideMark/>
          </w:tcPr>
          <w:p w14:paraId="011BB4FC" w14:textId="2C69215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35,542</w:t>
            </w:r>
          </w:p>
        </w:tc>
        <w:tc>
          <w:tcPr>
            <w:tcW w:w="1016" w:type="dxa"/>
            <w:tcBorders>
              <w:top w:val="nil"/>
              <w:left w:val="nil"/>
              <w:bottom w:val="single" w:sz="4" w:space="0" w:color="auto"/>
              <w:right w:val="single" w:sz="4" w:space="0" w:color="auto"/>
            </w:tcBorders>
            <w:shd w:val="clear" w:color="000000" w:fill="FFFFFF"/>
            <w:noWrap/>
            <w:vAlign w:val="center"/>
            <w:hideMark/>
          </w:tcPr>
          <w:p w14:paraId="1EFAD375" w14:textId="05537FB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28,145</w:t>
            </w:r>
          </w:p>
        </w:tc>
        <w:tc>
          <w:tcPr>
            <w:tcW w:w="1016" w:type="dxa"/>
            <w:tcBorders>
              <w:top w:val="nil"/>
              <w:left w:val="nil"/>
              <w:bottom w:val="single" w:sz="4" w:space="0" w:color="auto"/>
              <w:right w:val="single" w:sz="4" w:space="0" w:color="auto"/>
            </w:tcBorders>
            <w:shd w:val="clear" w:color="000000" w:fill="FFFFFF"/>
            <w:noWrap/>
            <w:vAlign w:val="center"/>
            <w:hideMark/>
          </w:tcPr>
          <w:p w14:paraId="178EF3EB" w14:textId="61DB515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29,457</w:t>
            </w:r>
          </w:p>
        </w:tc>
        <w:tc>
          <w:tcPr>
            <w:tcW w:w="1016" w:type="dxa"/>
            <w:tcBorders>
              <w:top w:val="nil"/>
              <w:left w:val="nil"/>
              <w:bottom w:val="single" w:sz="4" w:space="0" w:color="auto"/>
              <w:right w:val="single" w:sz="4" w:space="0" w:color="auto"/>
            </w:tcBorders>
            <w:shd w:val="clear" w:color="000000" w:fill="FFFFFF"/>
            <w:noWrap/>
            <w:vAlign w:val="center"/>
            <w:hideMark/>
          </w:tcPr>
          <w:p w14:paraId="62303721" w14:textId="5506A36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25,644</w:t>
            </w:r>
          </w:p>
        </w:tc>
        <w:tc>
          <w:tcPr>
            <w:tcW w:w="1016" w:type="dxa"/>
            <w:tcBorders>
              <w:top w:val="nil"/>
              <w:left w:val="nil"/>
              <w:bottom w:val="single" w:sz="4" w:space="0" w:color="auto"/>
              <w:right w:val="single" w:sz="4" w:space="0" w:color="auto"/>
            </w:tcBorders>
            <w:shd w:val="clear" w:color="000000" w:fill="FFFFFF"/>
            <w:noWrap/>
            <w:vAlign w:val="center"/>
            <w:hideMark/>
          </w:tcPr>
          <w:p w14:paraId="6EBFCA62" w14:textId="7CAC3E4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30,854</w:t>
            </w:r>
          </w:p>
        </w:tc>
        <w:tc>
          <w:tcPr>
            <w:tcW w:w="1016" w:type="dxa"/>
            <w:tcBorders>
              <w:top w:val="nil"/>
              <w:left w:val="nil"/>
              <w:bottom w:val="single" w:sz="4" w:space="0" w:color="auto"/>
              <w:right w:val="single" w:sz="4" w:space="0" w:color="auto"/>
            </w:tcBorders>
            <w:shd w:val="clear" w:color="000000" w:fill="FFFFFF"/>
            <w:noWrap/>
            <w:vAlign w:val="center"/>
            <w:hideMark/>
          </w:tcPr>
          <w:p w14:paraId="4EC40E95" w14:textId="2B108C7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22,144</w:t>
            </w:r>
          </w:p>
        </w:tc>
        <w:tc>
          <w:tcPr>
            <w:tcW w:w="1107" w:type="dxa"/>
            <w:tcBorders>
              <w:top w:val="nil"/>
              <w:left w:val="nil"/>
              <w:bottom w:val="single" w:sz="4" w:space="0" w:color="auto"/>
              <w:right w:val="single" w:sz="4" w:space="0" w:color="auto"/>
            </w:tcBorders>
            <w:shd w:val="clear" w:color="000000" w:fill="FFFFFF"/>
            <w:noWrap/>
            <w:vAlign w:val="center"/>
            <w:hideMark/>
          </w:tcPr>
          <w:p w14:paraId="52704311" w14:textId="1F020D3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30,124</w:t>
            </w:r>
          </w:p>
        </w:tc>
        <w:tc>
          <w:tcPr>
            <w:tcW w:w="1016" w:type="dxa"/>
            <w:tcBorders>
              <w:top w:val="nil"/>
              <w:left w:val="nil"/>
              <w:bottom w:val="single" w:sz="4" w:space="0" w:color="auto"/>
              <w:right w:val="single" w:sz="4" w:space="0" w:color="auto"/>
            </w:tcBorders>
            <w:shd w:val="clear" w:color="000000" w:fill="FFFFFF"/>
            <w:noWrap/>
            <w:vAlign w:val="center"/>
            <w:hideMark/>
          </w:tcPr>
          <w:p w14:paraId="37C9D451" w14:textId="0D530D5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29,245</w:t>
            </w:r>
          </w:p>
        </w:tc>
        <w:tc>
          <w:tcPr>
            <w:tcW w:w="1016" w:type="dxa"/>
            <w:tcBorders>
              <w:top w:val="nil"/>
              <w:left w:val="nil"/>
              <w:bottom w:val="single" w:sz="4" w:space="0" w:color="auto"/>
              <w:right w:val="single" w:sz="4" w:space="0" w:color="auto"/>
            </w:tcBorders>
            <w:shd w:val="clear" w:color="000000" w:fill="FFFFFF"/>
            <w:noWrap/>
            <w:vAlign w:val="center"/>
            <w:hideMark/>
          </w:tcPr>
          <w:p w14:paraId="54E30BE7" w14:textId="572AC21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32,689</w:t>
            </w:r>
          </w:p>
        </w:tc>
        <w:tc>
          <w:tcPr>
            <w:tcW w:w="1127" w:type="dxa"/>
            <w:tcBorders>
              <w:top w:val="nil"/>
              <w:left w:val="nil"/>
              <w:bottom w:val="single" w:sz="4" w:space="0" w:color="auto"/>
              <w:right w:val="single" w:sz="4" w:space="0" w:color="auto"/>
            </w:tcBorders>
            <w:shd w:val="clear" w:color="000000" w:fill="FFFFFF"/>
            <w:noWrap/>
            <w:vAlign w:val="center"/>
            <w:hideMark/>
          </w:tcPr>
          <w:p w14:paraId="254C8D03" w14:textId="2318A18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48,156</w:t>
            </w:r>
          </w:p>
        </w:tc>
        <w:tc>
          <w:tcPr>
            <w:tcW w:w="1016" w:type="dxa"/>
            <w:tcBorders>
              <w:top w:val="nil"/>
              <w:left w:val="nil"/>
              <w:bottom w:val="single" w:sz="4" w:space="0" w:color="auto"/>
              <w:right w:val="single" w:sz="4" w:space="0" w:color="auto"/>
            </w:tcBorders>
            <w:shd w:val="clear" w:color="000000" w:fill="FFFFFF"/>
            <w:noWrap/>
            <w:vAlign w:val="center"/>
            <w:hideMark/>
          </w:tcPr>
          <w:p w14:paraId="04CA7BBE" w14:textId="0F09DB5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31,001</w:t>
            </w:r>
          </w:p>
        </w:tc>
        <w:tc>
          <w:tcPr>
            <w:tcW w:w="1206" w:type="dxa"/>
            <w:tcBorders>
              <w:top w:val="nil"/>
              <w:left w:val="nil"/>
              <w:bottom w:val="single" w:sz="4" w:space="0" w:color="auto"/>
              <w:right w:val="single" w:sz="8" w:space="0" w:color="auto"/>
            </w:tcBorders>
            <w:shd w:val="clear" w:color="000000" w:fill="FFFFFF"/>
            <w:noWrap/>
            <w:vAlign w:val="center"/>
            <w:hideMark/>
          </w:tcPr>
          <w:p w14:paraId="66F9DEB8" w14:textId="5766DB7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368,642</w:t>
            </w:r>
          </w:p>
        </w:tc>
      </w:tr>
      <w:tr w:rsidR="00861244" w:rsidRPr="00E47FB2" w14:paraId="0608E1E5"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71632DAB"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Mapuey</w:t>
            </w:r>
          </w:p>
        </w:tc>
        <w:tc>
          <w:tcPr>
            <w:tcW w:w="1016" w:type="dxa"/>
            <w:tcBorders>
              <w:top w:val="nil"/>
              <w:left w:val="nil"/>
              <w:bottom w:val="single" w:sz="4" w:space="0" w:color="auto"/>
              <w:right w:val="single" w:sz="4" w:space="0" w:color="auto"/>
            </w:tcBorders>
            <w:shd w:val="clear" w:color="000000" w:fill="FFFFFF"/>
            <w:noWrap/>
            <w:vAlign w:val="center"/>
            <w:hideMark/>
          </w:tcPr>
          <w:p w14:paraId="04DBFDD3" w14:textId="2487250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178</w:t>
            </w:r>
          </w:p>
        </w:tc>
        <w:tc>
          <w:tcPr>
            <w:tcW w:w="1016" w:type="dxa"/>
            <w:tcBorders>
              <w:top w:val="nil"/>
              <w:left w:val="nil"/>
              <w:bottom w:val="single" w:sz="4" w:space="0" w:color="auto"/>
              <w:right w:val="single" w:sz="4" w:space="0" w:color="auto"/>
            </w:tcBorders>
            <w:shd w:val="clear" w:color="000000" w:fill="FFFFFF"/>
            <w:noWrap/>
            <w:vAlign w:val="center"/>
            <w:hideMark/>
          </w:tcPr>
          <w:p w14:paraId="06A52F25" w14:textId="1C915CD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282</w:t>
            </w:r>
          </w:p>
        </w:tc>
        <w:tc>
          <w:tcPr>
            <w:tcW w:w="1016" w:type="dxa"/>
            <w:tcBorders>
              <w:top w:val="nil"/>
              <w:left w:val="nil"/>
              <w:bottom w:val="single" w:sz="4" w:space="0" w:color="auto"/>
              <w:right w:val="single" w:sz="4" w:space="0" w:color="auto"/>
            </w:tcBorders>
            <w:shd w:val="clear" w:color="000000" w:fill="FFFFFF"/>
            <w:noWrap/>
            <w:vAlign w:val="center"/>
            <w:hideMark/>
          </w:tcPr>
          <w:p w14:paraId="0A0E475B" w14:textId="68FEAA6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310</w:t>
            </w:r>
          </w:p>
        </w:tc>
        <w:tc>
          <w:tcPr>
            <w:tcW w:w="1016" w:type="dxa"/>
            <w:tcBorders>
              <w:top w:val="nil"/>
              <w:left w:val="nil"/>
              <w:bottom w:val="single" w:sz="4" w:space="0" w:color="auto"/>
              <w:right w:val="single" w:sz="4" w:space="0" w:color="auto"/>
            </w:tcBorders>
            <w:shd w:val="clear" w:color="000000" w:fill="FFFFFF"/>
            <w:noWrap/>
            <w:vAlign w:val="center"/>
            <w:hideMark/>
          </w:tcPr>
          <w:p w14:paraId="60D42847" w14:textId="671D629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265</w:t>
            </w:r>
          </w:p>
        </w:tc>
        <w:tc>
          <w:tcPr>
            <w:tcW w:w="1016" w:type="dxa"/>
            <w:tcBorders>
              <w:top w:val="nil"/>
              <w:left w:val="nil"/>
              <w:bottom w:val="single" w:sz="4" w:space="0" w:color="auto"/>
              <w:right w:val="single" w:sz="4" w:space="0" w:color="auto"/>
            </w:tcBorders>
            <w:shd w:val="clear" w:color="000000" w:fill="FFFFFF"/>
            <w:noWrap/>
            <w:vAlign w:val="center"/>
            <w:hideMark/>
          </w:tcPr>
          <w:p w14:paraId="461A0ACD" w14:textId="6B48B78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105</w:t>
            </w:r>
          </w:p>
        </w:tc>
        <w:tc>
          <w:tcPr>
            <w:tcW w:w="1016" w:type="dxa"/>
            <w:tcBorders>
              <w:top w:val="nil"/>
              <w:left w:val="nil"/>
              <w:bottom w:val="single" w:sz="4" w:space="0" w:color="auto"/>
              <w:right w:val="single" w:sz="4" w:space="0" w:color="auto"/>
            </w:tcBorders>
            <w:shd w:val="clear" w:color="000000" w:fill="FFFFFF"/>
            <w:noWrap/>
            <w:vAlign w:val="center"/>
            <w:hideMark/>
          </w:tcPr>
          <w:p w14:paraId="701D4099" w14:textId="62AE727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68</w:t>
            </w:r>
          </w:p>
        </w:tc>
        <w:tc>
          <w:tcPr>
            <w:tcW w:w="1016" w:type="dxa"/>
            <w:tcBorders>
              <w:top w:val="nil"/>
              <w:left w:val="nil"/>
              <w:bottom w:val="single" w:sz="4" w:space="0" w:color="auto"/>
              <w:right w:val="single" w:sz="4" w:space="0" w:color="auto"/>
            </w:tcBorders>
            <w:shd w:val="clear" w:color="000000" w:fill="FFFFFF"/>
            <w:noWrap/>
            <w:vAlign w:val="center"/>
            <w:hideMark/>
          </w:tcPr>
          <w:p w14:paraId="2D441D87" w14:textId="3D49597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138</w:t>
            </w:r>
          </w:p>
        </w:tc>
        <w:tc>
          <w:tcPr>
            <w:tcW w:w="1107" w:type="dxa"/>
            <w:tcBorders>
              <w:top w:val="nil"/>
              <w:left w:val="nil"/>
              <w:bottom w:val="single" w:sz="4" w:space="0" w:color="auto"/>
              <w:right w:val="single" w:sz="4" w:space="0" w:color="auto"/>
            </w:tcBorders>
            <w:shd w:val="clear" w:color="000000" w:fill="FFFFFF"/>
            <w:noWrap/>
            <w:vAlign w:val="center"/>
            <w:hideMark/>
          </w:tcPr>
          <w:p w14:paraId="292D85E8" w14:textId="433574F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96</w:t>
            </w:r>
          </w:p>
        </w:tc>
        <w:tc>
          <w:tcPr>
            <w:tcW w:w="1016" w:type="dxa"/>
            <w:tcBorders>
              <w:top w:val="nil"/>
              <w:left w:val="nil"/>
              <w:bottom w:val="single" w:sz="4" w:space="0" w:color="auto"/>
              <w:right w:val="single" w:sz="4" w:space="0" w:color="auto"/>
            </w:tcBorders>
            <w:shd w:val="clear" w:color="000000" w:fill="FFFFFF"/>
            <w:noWrap/>
            <w:vAlign w:val="center"/>
            <w:hideMark/>
          </w:tcPr>
          <w:p w14:paraId="5276E228" w14:textId="48D5D43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135</w:t>
            </w:r>
          </w:p>
        </w:tc>
        <w:tc>
          <w:tcPr>
            <w:tcW w:w="1016" w:type="dxa"/>
            <w:tcBorders>
              <w:top w:val="nil"/>
              <w:left w:val="nil"/>
              <w:bottom w:val="single" w:sz="4" w:space="0" w:color="auto"/>
              <w:right w:val="single" w:sz="4" w:space="0" w:color="auto"/>
            </w:tcBorders>
            <w:shd w:val="clear" w:color="000000" w:fill="FFFFFF"/>
            <w:noWrap/>
            <w:vAlign w:val="center"/>
            <w:hideMark/>
          </w:tcPr>
          <w:p w14:paraId="35CF004F" w14:textId="48E7042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200</w:t>
            </w:r>
          </w:p>
        </w:tc>
        <w:tc>
          <w:tcPr>
            <w:tcW w:w="1127" w:type="dxa"/>
            <w:tcBorders>
              <w:top w:val="nil"/>
              <w:left w:val="nil"/>
              <w:bottom w:val="single" w:sz="4" w:space="0" w:color="auto"/>
              <w:right w:val="single" w:sz="4" w:space="0" w:color="auto"/>
            </w:tcBorders>
            <w:shd w:val="clear" w:color="000000" w:fill="FFFFFF"/>
            <w:noWrap/>
            <w:vAlign w:val="center"/>
            <w:hideMark/>
          </w:tcPr>
          <w:p w14:paraId="614BA021" w14:textId="039632F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310</w:t>
            </w:r>
          </w:p>
        </w:tc>
        <w:tc>
          <w:tcPr>
            <w:tcW w:w="1016" w:type="dxa"/>
            <w:tcBorders>
              <w:top w:val="nil"/>
              <w:left w:val="nil"/>
              <w:bottom w:val="single" w:sz="4" w:space="0" w:color="auto"/>
              <w:right w:val="single" w:sz="4" w:space="0" w:color="auto"/>
            </w:tcBorders>
            <w:shd w:val="clear" w:color="000000" w:fill="FFFFFF"/>
            <w:noWrap/>
            <w:vAlign w:val="center"/>
            <w:hideMark/>
          </w:tcPr>
          <w:p w14:paraId="2D4AEC21" w14:textId="77D3A3A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148</w:t>
            </w:r>
          </w:p>
        </w:tc>
        <w:tc>
          <w:tcPr>
            <w:tcW w:w="1206" w:type="dxa"/>
            <w:tcBorders>
              <w:top w:val="nil"/>
              <w:left w:val="nil"/>
              <w:bottom w:val="single" w:sz="4" w:space="0" w:color="auto"/>
              <w:right w:val="single" w:sz="8" w:space="0" w:color="auto"/>
            </w:tcBorders>
            <w:shd w:val="clear" w:color="000000" w:fill="FFFFFF"/>
            <w:noWrap/>
            <w:vAlign w:val="center"/>
            <w:hideMark/>
          </w:tcPr>
          <w:p w14:paraId="2E51752C" w14:textId="1EEBA76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2,235</w:t>
            </w:r>
          </w:p>
        </w:tc>
      </w:tr>
      <w:tr w:rsidR="00861244" w:rsidRPr="00E47FB2" w14:paraId="03B59610"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1DCEB78E"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Ajíes</w:t>
            </w:r>
          </w:p>
        </w:tc>
        <w:tc>
          <w:tcPr>
            <w:tcW w:w="1016" w:type="dxa"/>
            <w:tcBorders>
              <w:top w:val="nil"/>
              <w:left w:val="nil"/>
              <w:bottom w:val="single" w:sz="4" w:space="0" w:color="auto"/>
              <w:right w:val="single" w:sz="4" w:space="0" w:color="auto"/>
            </w:tcBorders>
            <w:shd w:val="clear" w:color="000000" w:fill="FFFFFF"/>
            <w:noWrap/>
            <w:vAlign w:val="center"/>
            <w:hideMark/>
          </w:tcPr>
          <w:p w14:paraId="1E648041" w14:textId="70873D5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13,321</w:t>
            </w:r>
          </w:p>
        </w:tc>
        <w:tc>
          <w:tcPr>
            <w:tcW w:w="1016" w:type="dxa"/>
            <w:tcBorders>
              <w:top w:val="nil"/>
              <w:left w:val="nil"/>
              <w:bottom w:val="single" w:sz="4" w:space="0" w:color="auto"/>
              <w:right w:val="single" w:sz="4" w:space="0" w:color="auto"/>
            </w:tcBorders>
            <w:shd w:val="clear" w:color="000000" w:fill="FFFFFF"/>
            <w:noWrap/>
            <w:vAlign w:val="center"/>
            <w:hideMark/>
          </w:tcPr>
          <w:p w14:paraId="109903E6" w14:textId="60EA8E1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13,895</w:t>
            </w:r>
          </w:p>
        </w:tc>
        <w:tc>
          <w:tcPr>
            <w:tcW w:w="1016" w:type="dxa"/>
            <w:tcBorders>
              <w:top w:val="nil"/>
              <w:left w:val="nil"/>
              <w:bottom w:val="single" w:sz="4" w:space="0" w:color="auto"/>
              <w:right w:val="single" w:sz="4" w:space="0" w:color="auto"/>
            </w:tcBorders>
            <w:shd w:val="clear" w:color="000000" w:fill="FFFFFF"/>
            <w:noWrap/>
            <w:vAlign w:val="center"/>
            <w:hideMark/>
          </w:tcPr>
          <w:p w14:paraId="59375091" w14:textId="248620A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17,421</w:t>
            </w:r>
          </w:p>
        </w:tc>
        <w:tc>
          <w:tcPr>
            <w:tcW w:w="1016" w:type="dxa"/>
            <w:tcBorders>
              <w:top w:val="nil"/>
              <w:left w:val="nil"/>
              <w:bottom w:val="single" w:sz="4" w:space="0" w:color="auto"/>
              <w:right w:val="single" w:sz="4" w:space="0" w:color="auto"/>
            </w:tcBorders>
            <w:shd w:val="clear" w:color="000000" w:fill="FFFFFF"/>
            <w:noWrap/>
            <w:vAlign w:val="center"/>
            <w:hideMark/>
          </w:tcPr>
          <w:p w14:paraId="3A1AA57D" w14:textId="3754942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14,421</w:t>
            </w:r>
          </w:p>
        </w:tc>
        <w:tc>
          <w:tcPr>
            <w:tcW w:w="1016" w:type="dxa"/>
            <w:tcBorders>
              <w:top w:val="nil"/>
              <w:left w:val="nil"/>
              <w:bottom w:val="single" w:sz="4" w:space="0" w:color="auto"/>
              <w:right w:val="single" w:sz="4" w:space="0" w:color="auto"/>
            </w:tcBorders>
            <w:shd w:val="clear" w:color="000000" w:fill="FFFFFF"/>
            <w:noWrap/>
            <w:vAlign w:val="center"/>
            <w:hideMark/>
          </w:tcPr>
          <w:p w14:paraId="2B4B8BF2" w14:textId="17E44D9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11,204</w:t>
            </w:r>
          </w:p>
        </w:tc>
        <w:tc>
          <w:tcPr>
            <w:tcW w:w="1016" w:type="dxa"/>
            <w:tcBorders>
              <w:top w:val="nil"/>
              <w:left w:val="nil"/>
              <w:bottom w:val="single" w:sz="4" w:space="0" w:color="auto"/>
              <w:right w:val="single" w:sz="4" w:space="0" w:color="auto"/>
            </w:tcBorders>
            <w:shd w:val="clear" w:color="000000" w:fill="FFFFFF"/>
            <w:noWrap/>
            <w:vAlign w:val="center"/>
            <w:hideMark/>
          </w:tcPr>
          <w:p w14:paraId="0C448D19" w14:textId="15840DD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17,000</w:t>
            </w:r>
          </w:p>
        </w:tc>
        <w:tc>
          <w:tcPr>
            <w:tcW w:w="1016" w:type="dxa"/>
            <w:tcBorders>
              <w:top w:val="nil"/>
              <w:left w:val="nil"/>
              <w:bottom w:val="single" w:sz="4" w:space="0" w:color="auto"/>
              <w:right w:val="single" w:sz="4" w:space="0" w:color="auto"/>
            </w:tcBorders>
            <w:shd w:val="clear" w:color="000000" w:fill="FFFFFF"/>
            <w:noWrap/>
            <w:vAlign w:val="center"/>
            <w:hideMark/>
          </w:tcPr>
          <w:p w14:paraId="3CE5A4D1" w14:textId="61FE944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6,425</w:t>
            </w:r>
          </w:p>
        </w:tc>
        <w:tc>
          <w:tcPr>
            <w:tcW w:w="1107" w:type="dxa"/>
            <w:tcBorders>
              <w:top w:val="nil"/>
              <w:left w:val="nil"/>
              <w:bottom w:val="single" w:sz="4" w:space="0" w:color="auto"/>
              <w:right w:val="single" w:sz="4" w:space="0" w:color="auto"/>
            </w:tcBorders>
            <w:shd w:val="clear" w:color="000000" w:fill="FFFFFF"/>
            <w:noWrap/>
            <w:vAlign w:val="center"/>
            <w:hideMark/>
          </w:tcPr>
          <w:p w14:paraId="50F0AA42" w14:textId="1E61919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7,821</w:t>
            </w:r>
          </w:p>
        </w:tc>
        <w:tc>
          <w:tcPr>
            <w:tcW w:w="1016" w:type="dxa"/>
            <w:tcBorders>
              <w:top w:val="nil"/>
              <w:left w:val="nil"/>
              <w:bottom w:val="single" w:sz="4" w:space="0" w:color="auto"/>
              <w:right w:val="single" w:sz="4" w:space="0" w:color="auto"/>
            </w:tcBorders>
            <w:shd w:val="clear" w:color="000000" w:fill="FFFFFF"/>
            <w:noWrap/>
            <w:vAlign w:val="center"/>
            <w:hideMark/>
          </w:tcPr>
          <w:p w14:paraId="3BC098FE" w14:textId="6D982FB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7,401</w:t>
            </w:r>
          </w:p>
        </w:tc>
        <w:tc>
          <w:tcPr>
            <w:tcW w:w="1016" w:type="dxa"/>
            <w:tcBorders>
              <w:top w:val="nil"/>
              <w:left w:val="nil"/>
              <w:bottom w:val="single" w:sz="4" w:space="0" w:color="auto"/>
              <w:right w:val="single" w:sz="4" w:space="0" w:color="auto"/>
            </w:tcBorders>
            <w:shd w:val="clear" w:color="000000" w:fill="FFFFFF"/>
            <w:noWrap/>
            <w:vAlign w:val="center"/>
            <w:hideMark/>
          </w:tcPr>
          <w:p w14:paraId="66BA1B24" w14:textId="5BE0E23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6,895</w:t>
            </w:r>
          </w:p>
        </w:tc>
        <w:tc>
          <w:tcPr>
            <w:tcW w:w="1127" w:type="dxa"/>
            <w:tcBorders>
              <w:top w:val="nil"/>
              <w:left w:val="nil"/>
              <w:bottom w:val="single" w:sz="4" w:space="0" w:color="auto"/>
              <w:right w:val="single" w:sz="4" w:space="0" w:color="auto"/>
            </w:tcBorders>
            <w:shd w:val="clear" w:color="000000" w:fill="FFFFFF"/>
            <w:noWrap/>
            <w:vAlign w:val="center"/>
            <w:hideMark/>
          </w:tcPr>
          <w:p w14:paraId="0CB0303D" w14:textId="7154147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9,878</w:t>
            </w:r>
          </w:p>
        </w:tc>
        <w:tc>
          <w:tcPr>
            <w:tcW w:w="1016" w:type="dxa"/>
            <w:tcBorders>
              <w:top w:val="nil"/>
              <w:left w:val="nil"/>
              <w:bottom w:val="single" w:sz="4" w:space="0" w:color="auto"/>
              <w:right w:val="single" w:sz="4" w:space="0" w:color="auto"/>
            </w:tcBorders>
            <w:shd w:val="clear" w:color="000000" w:fill="FFFFFF"/>
            <w:noWrap/>
            <w:vAlign w:val="center"/>
            <w:hideMark/>
          </w:tcPr>
          <w:p w14:paraId="5E3746CF" w14:textId="2848985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12,036</w:t>
            </w:r>
          </w:p>
        </w:tc>
        <w:tc>
          <w:tcPr>
            <w:tcW w:w="1206" w:type="dxa"/>
            <w:tcBorders>
              <w:top w:val="nil"/>
              <w:left w:val="nil"/>
              <w:bottom w:val="single" w:sz="4" w:space="0" w:color="auto"/>
              <w:right w:val="single" w:sz="8" w:space="0" w:color="auto"/>
            </w:tcBorders>
            <w:shd w:val="clear" w:color="000000" w:fill="FFFFFF"/>
            <w:noWrap/>
            <w:vAlign w:val="center"/>
            <w:hideMark/>
          </w:tcPr>
          <w:p w14:paraId="09A46B50" w14:textId="766A231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137,718</w:t>
            </w:r>
          </w:p>
        </w:tc>
      </w:tr>
      <w:tr w:rsidR="00861244" w:rsidRPr="00E47FB2" w14:paraId="1EB1469B"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684A878D"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Ajo</w:t>
            </w:r>
          </w:p>
        </w:tc>
        <w:tc>
          <w:tcPr>
            <w:tcW w:w="1016" w:type="dxa"/>
            <w:tcBorders>
              <w:top w:val="nil"/>
              <w:left w:val="nil"/>
              <w:bottom w:val="single" w:sz="4" w:space="0" w:color="auto"/>
              <w:right w:val="single" w:sz="4" w:space="0" w:color="auto"/>
            </w:tcBorders>
            <w:shd w:val="clear" w:color="000000" w:fill="FFFFFF"/>
            <w:noWrap/>
            <w:vAlign w:val="center"/>
            <w:hideMark/>
          </w:tcPr>
          <w:p w14:paraId="0E3F1EB7" w14:textId="72C4593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14:paraId="268A1AF0" w14:textId="2B19414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125</w:t>
            </w:r>
          </w:p>
        </w:tc>
        <w:tc>
          <w:tcPr>
            <w:tcW w:w="1016" w:type="dxa"/>
            <w:tcBorders>
              <w:top w:val="nil"/>
              <w:left w:val="nil"/>
              <w:bottom w:val="single" w:sz="4" w:space="0" w:color="auto"/>
              <w:right w:val="single" w:sz="4" w:space="0" w:color="auto"/>
            </w:tcBorders>
            <w:shd w:val="clear" w:color="000000" w:fill="FFFFFF"/>
            <w:noWrap/>
            <w:vAlign w:val="center"/>
            <w:hideMark/>
          </w:tcPr>
          <w:p w14:paraId="1B383578" w14:textId="0C687EC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399</w:t>
            </w:r>
          </w:p>
        </w:tc>
        <w:tc>
          <w:tcPr>
            <w:tcW w:w="1016" w:type="dxa"/>
            <w:tcBorders>
              <w:top w:val="nil"/>
              <w:left w:val="nil"/>
              <w:bottom w:val="single" w:sz="4" w:space="0" w:color="auto"/>
              <w:right w:val="single" w:sz="4" w:space="0" w:color="auto"/>
            </w:tcBorders>
            <w:shd w:val="clear" w:color="000000" w:fill="FFFFFF"/>
            <w:noWrap/>
            <w:vAlign w:val="center"/>
            <w:hideMark/>
          </w:tcPr>
          <w:p w14:paraId="5667EC9F" w14:textId="4143143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1,984</w:t>
            </w:r>
          </w:p>
        </w:tc>
        <w:tc>
          <w:tcPr>
            <w:tcW w:w="1016" w:type="dxa"/>
            <w:tcBorders>
              <w:top w:val="nil"/>
              <w:left w:val="nil"/>
              <w:bottom w:val="single" w:sz="4" w:space="0" w:color="auto"/>
              <w:right w:val="single" w:sz="4" w:space="0" w:color="auto"/>
            </w:tcBorders>
            <w:shd w:val="clear" w:color="000000" w:fill="FFFFFF"/>
            <w:noWrap/>
            <w:vAlign w:val="center"/>
            <w:hideMark/>
          </w:tcPr>
          <w:p w14:paraId="6BED7A28" w14:textId="4EC1DDE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2,723</w:t>
            </w:r>
          </w:p>
        </w:tc>
        <w:tc>
          <w:tcPr>
            <w:tcW w:w="1016" w:type="dxa"/>
            <w:tcBorders>
              <w:top w:val="nil"/>
              <w:left w:val="nil"/>
              <w:bottom w:val="single" w:sz="4" w:space="0" w:color="auto"/>
              <w:right w:val="single" w:sz="4" w:space="0" w:color="auto"/>
            </w:tcBorders>
            <w:shd w:val="clear" w:color="000000" w:fill="FFFFFF"/>
            <w:noWrap/>
            <w:vAlign w:val="center"/>
            <w:hideMark/>
          </w:tcPr>
          <w:p w14:paraId="10744E0A" w14:textId="69563DB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14:paraId="58E292B3" w14:textId="60DE6FB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121</w:t>
            </w:r>
          </w:p>
        </w:tc>
        <w:tc>
          <w:tcPr>
            <w:tcW w:w="1107" w:type="dxa"/>
            <w:tcBorders>
              <w:top w:val="nil"/>
              <w:left w:val="nil"/>
              <w:bottom w:val="single" w:sz="4" w:space="0" w:color="auto"/>
              <w:right w:val="single" w:sz="4" w:space="0" w:color="auto"/>
            </w:tcBorders>
            <w:shd w:val="clear" w:color="000000" w:fill="FFFFFF"/>
            <w:noWrap/>
            <w:vAlign w:val="center"/>
            <w:hideMark/>
          </w:tcPr>
          <w:p w14:paraId="0722B84B" w14:textId="14927EE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14:paraId="5A04D1DD" w14:textId="66795C3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21</w:t>
            </w:r>
          </w:p>
        </w:tc>
        <w:tc>
          <w:tcPr>
            <w:tcW w:w="1016" w:type="dxa"/>
            <w:tcBorders>
              <w:top w:val="nil"/>
              <w:left w:val="nil"/>
              <w:bottom w:val="single" w:sz="4" w:space="0" w:color="auto"/>
              <w:right w:val="single" w:sz="4" w:space="0" w:color="auto"/>
            </w:tcBorders>
            <w:shd w:val="clear" w:color="000000" w:fill="FFFFFF"/>
            <w:noWrap/>
            <w:vAlign w:val="center"/>
            <w:hideMark/>
          </w:tcPr>
          <w:p w14:paraId="05F3E31B" w14:textId="5CA795C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127" w:type="dxa"/>
            <w:tcBorders>
              <w:top w:val="nil"/>
              <w:left w:val="nil"/>
              <w:bottom w:val="single" w:sz="4" w:space="0" w:color="auto"/>
              <w:right w:val="single" w:sz="4" w:space="0" w:color="auto"/>
            </w:tcBorders>
            <w:shd w:val="clear" w:color="000000" w:fill="FFFFFF"/>
            <w:noWrap/>
            <w:vAlign w:val="center"/>
            <w:hideMark/>
          </w:tcPr>
          <w:p w14:paraId="785C31C9" w14:textId="6D40219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14:paraId="03EEE7F4" w14:textId="21FF2B3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206" w:type="dxa"/>
            <w:tcBorders>
              <w:top w:val="nil"/>
              <w:left w:val="nil"/>
              <w:bottom w:val="single" w:sz="4" w:space="0" w:color="auto"/>
              <w:right w:val="single" w:sz="8" w:space="0" w:color="auto"/>
            </w:tcBorders>
            <w:shd w:val="clear" w:color="000000" w:fill="FFFFFF"/>
            <w:noWrap/>
            <w:vAlign w:val="center"/>
            <w:hideMark/>
          </w:tcPr>
          <w:p w14:paraId="7F453FE6" w14:textId="26BFC0A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5,373</w:t>
            </w:r>
          </w:p>
        </w:tc>
      </w:tr>
      <w:tr w:rsidR="00861244" w:rsidRPr="00E47FB2" w14:paraId="0617361F"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11EE5917"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Auyama</w:t>
            </w:r>
          </w:p>
        </w:tc>
        <w:tc>
          <w:tcPr>
            <w:tcW w:w="1016" w:type="dxa"/>
            <w:tcBorders>
              <w:top w:val="nil"/>
              <w:left w:val="nil"/>
              <w:bottom w:val="single" w:sz="4" w:space="0" w:color="auto"/>
              <w:right w:val="single" w:sz="4" w:space="0" w:color="auto"/>
            </w:tcBorders>
            <w:shd w:val="clear" w:color="000000" w:fill="FFFFFF"/>
            <w:noWrap/>
            <w:vAlign w:val="center"/>
            <w:hideMark/>
          </w:tcPr>
          <w:p w14:paraId="7FDC8458" w14:textId="57A967C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13,542</w:t>
            </w:r>
          </w:p>
        </w:tc>
        <w:tc>
          <w:tcPr>
            <w:tcW w:w="1016" w:type="dxa"/>
            <w:tcBorders>
              <w:top w:val="nil"/>
              <w:left w:val="nil"/>
              <w:bottom w:val="single" w:sz="4" w:space="0" w:color="auto"/>
              <w:right w:val="single" w:sz="4" w:space="0" w:color="auto"/>
            </w:tcBorders>
            <w:shd w:val="clear" w:color="000000" w:fill="FFFFFF"/>
            <w:noWrap/>
            <w:vAlign w:val="center"/>
            <w:hideMark/>
          </w:tcPr>
          <w:p w14:paraId="49CE1EA0" w14:textId="13CFD85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11,454</w:t>
            </w:r>
          </w:p>
        </w:tc>
        <w:tc>
          <w:tcPr>
            <w:tcW w:w="1016" w:type="dxa"/>
            <w:tcBorders>
              <w:top w:val="nil"/>
              <w:left w:val="nil"/>
              <w:bottom w:val="single" w:sz="4" w:space="0" w:color="auto"/>
              <w:right w:val="single" w:sz="4" w:space="0" w:color="auto"/>
            </w:tcBorders>
            <w:shd w:val="clear" w:color="000000" w:fill="FFFFFF"/>
            <w:noWrap/>
            <w:vAlign w:val="center"/>
            <w:hideMark/>
          </w:tcPr>
          <w:p w14:paraId="0379C74E" w14:textId="6A07078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14,202</w:t>
            </w:r>
          </w:p>
        </w:tc>
        <w:tc>
          <w:tcPr>
            <w:tcW w:w="1016" w:type="dxa"/>
            <w:tcBorders>
              <w:top w:val="nil"/>
              <w:left w:val="nil"/>
              <w:bottom w:val="single" w:sz="4" w:space="0" w:color="auto"/>
              <w:right w:val="single" w:sz="4" w:space="0" w:color="auto"/>
            </w:tcBorders>
            <w:shd w:val="clear" w:color="000000" w:fill="FFFFFF"/>
            <w:noWrap/>
            <w:vAlign w:val="center"/>
            <w:hideMark/>
          </w:tcPr>
          <w:p w14:paraId="71DFB361" w14:textId="667E530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8,252</w:t>
            </w:r>
          </w:p>
        </w:tc>
        <w:tc>
          <w:tcPr>
            <w:tcW w:w="1016" w:type="dxa"/>
            <w:tcBorders>
              <w:top w:val="nil"/>
              <w:left w:val="nil"/>
              <w:bottom w:val="single" w:sz="4" w:space="0" w:color="auto"/>
              <w:right w:val="single" w:sz="4" w:space="0" w:color="auto"/>
            </w:tcBorders>
            <w:shd w:val="clear" w:color="000000" w:fill="FFFFFF"/>
            <w:noWrap/>
            <w:vAlign w:val="center"/>
            <w:hideMark/>
          </w:tcPr>
          <w:p w14:paraId="2DF18B59" w14:textId="0150209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9,879</w:t>
            </w:r>
          </w:p>
        </w:tc>
        <w:tc>
          <w:tcPr>
            <w:tcW w:w="1016" w:type="dxa"/>
            <w:tcBorders>
              <w:top w:val="nil"/>
              <w:left w:val="nil"/>
              <w:bottom w:val="single" w:sz="4" w:space="0" w:color="auto"/>
              <w:right w:val="single" w:sz="4" w:space="0" w:color="auto"/>
            </w:tcBorders>
            <w:shd w:val="clear" w:color="000000" w:fill="FFFFFF"/>
            <w:noWrap/>
            <w:vAlign w:val="center"/>
            <w:hideMark/>
          </w:tcPr>
          <w:p w14:paraId="267B9998" w14:textId="5283763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11,321</w:t>
            </w:r>
          </w:p>
        </w:tc>
        <w:tc>
          <w:tcPr>
            <w:tcW w:w="1016" w:type="dxa"/>
            <w:tcBorders>
              <w:top w:val="nil"/>
              <w:left w:val="nil"/>
              <w:bottom w:val="single" w:sz="4" w:space="0" w:color="auto"/>
              <w:right w:val="single" w:sz="4" w:space="0" w:color="auto"/>
            </w:tcBorders>
            <w:shd w:val="clear" w:color="000000" w:fill="FFFFFF"/>
            <w:noWrap/>
            <w:vAlign w:val="center"/>
            <w:hideMark/>
          </w:tcPr>
          <w:p w14:paraId="6EC021E6" w14:textId="5A3DBA5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11,874</w:t>
            </w:r>
          </w:p>
        </w:tc>
        <w:tc>
          <w:tcPr>
            <w:tcW w:w="1107" w:type="dxa"/>
            <w:tcBorders>
              <w:top w:val="nil"/>
              <w:left w:val="nil"/>
              <w:bottom w:val="single" w:sz="4" w:space="0" w:color="auto"/>
              <w:right w:val="single" w:sz="4" w:space="0" w:color="auto"/>
            </w:tcBorders>
            <w:shd w:val="clear" w:color="000000" w:fill="FFFFFF"/>
            <w:noWrap/>
            <w:vAlign w:val="center"/>
            <w:hideMark/>
          </w:tcPr>
          <w:p w14:paraId="5BE171E9" w14:textId="1ABF1D0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9,654</w:t>
            </w:r>
          </w:p>
        </w:tc>
        <w:tc>
          <w:tcPr>
            <w:tcW w:w="1016" w:type="dxa"/>
            <w:tcBorders>
              <w:top w:val="nil"/>
              <w:left w:val="nil"/>
              <w:bottom w:val="single" w:sz="4" w:space="0" w:color="auto"/>
              <w:right w:val="single" w:sz="4" w:space="0" w:color="auto"/>
            </w:tcBorders>
            <w:shd w:val="clear" w:color="000000" w:fill="FFFFFF"/>
            <w:noWrap/>
            <w:vAlign w:val="center"/>
            <w:hideMark/>
          </w:tcPr>
          <w:p w14:paraId="72DBCD23" w14:textId="23B29DE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10,654</w:t>
            </w:r>
          </w:p>
        </w:tc>
        <w:tc>
          <w:tcPr>
            <w:tcW w:w="1016" w:type="dxa"/>
            <w:tcBorders>
              <w:top w:val="nil"/>
              <w:left w:val="nil"/>
              <w:bottom w:val="single" w:sz="4" w:space="0" w:color="auto"/>
              <w:right w:val="single" w:sz="4" w:space="0" w:color="auto"/>
            </w:tcBorders>
            <w:shd w:val="clear" w:color="000000" w:fill="FFFFFF"/>
            <w:noWrap/>
            <w:vAlign w:val="center"/>
            <w:hideMark/>
          </w:tcPr>
          <w:p w14:paraId="75599B37" w14:textId="189B780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9,875</w:t>
            </w:r>
          </w:p>
        </w:tc>
        <w:tc>
          <w:tcPr>
            <w:tcW w:w="1127" w:type="dxa"/>
            <w:tcBorders>
              <w:top w:val="nil"/>
              <w:left w:val="nil"/>
              <w:bottom w:val="single" w:sz="4" w:space="0" w:color="auto"/>
              <w:right w:val="single" w:sz="4" w:space="0" w:color="auto"/>
            </w:tcBorders>
            <w:shd w:val="clear" w:color="000000" w:fill="FFFFFF"/>
            <w:noWrap/>
            <w:vAlign w:val="center"/>
            <w:hideMark/>
          </w:tcPr>
          <w:p w14:paraId="09A49594" w14:textId="27C338E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13,488</w:t>
            </w:r>
          </w:p>
        </w:tc>
        <w:tc>
          <w:tcPr>
            <w:tcW w:w="1016" w:type="dxa"/>
            <w:tcBorders>
              <w:top w:val="nil"/>
              <w:left w:val="nil"/>
              <w:bottom w:val="single" w:sz="4" w:space="0" w:color="auto"/>
              <w:right w:val="single" w:sz="4" w:space="0" w:color="auto"/>
            </w:tcBorders>
            <w:shd w:val="clear" w:color="000000" w:fill="FFFFFF"/>
            <w:noWrap/>
            <w:vAlign w:val="center"/>
            <w:hideMark/>
          </w:tcPr>
          <w:p w14:paraId="0A0B0757" w14:textId="27101E6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14,347</w:t>
            </w:r>
          </w:p>
        </w:tc>
        <w:tc>
          <w:tcPr>
            <w:tcW w:w="1206" w:type="dxa"/>
            <w:tcBorders>
              <w:top w:val="nil"/>
              <w:left w:val="nil"/>
              <w:bottom w:val="single" w:sz="4" w:space="0" w:color="auto"/>
              <w:right w:val="single" w:sz="8" w:space="0" w:color="auto"/>
            </w:tcBorders>
            <w:shd w:val="clear" w:color="000000" w:fill="FFFFFF"/>
            <w:noWrap/>
            <w:vAlign w:val="center"/>
            <w:hideMark/>
          </w:tcPr>
          <w:p w14:paraId="64254D66" w14:textId="09C74F0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138,542</w:t>
            </w:r>
          </w:p>
        </w:tc>
      </w:tr>
      <w:tr w:rsidR="00861244" w:rsidRPr="00E47FB2" w14:paraId="449EC518"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43840499"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Berenjena</w:t>
            </w:r>
          </w:p>
        </w:tc>
        <w:tc>
          <w:tcPr>
            <w:tcW w:w="1016" w:type="dxa"/>
            <w:tcBorders>
              <w:top w:val="nil"/>
              <w:left w:val="nil"/>
              <w:bottom w:val="single" w:sz="4" w:space="0" w:color="auto"/>
              <w:right w:val="single" w:sz="4" w:space="0" w:color="auto"/>
            </w:tcBorders>
            <w:shd w:val="clear" w:color="000000" w:fill="FFFFFF"/>
            <w:noWrap/>
            <w:vAlign w:val="center"/>
            <w:hideMark/>
          </w:tcPr>
          <w:p w14:paraId="3AB14A68" w14:textId="4D4E20D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7,120</w:t>
            </w:r>
          </w:p>
        </w:tc>
        <w:tc>
          <w:tcPr>
            <w:tcW w:w="1016" w:type="dxa"/>
            <w:tcBorders>
              <w:top w:val="nil"/>
              <w:left w:val="nil"/>
              <w:bottom w:val="single" w:sz="4" w:space="0" w:color="auto"/>
              <w:right w:val="single" w:sz="4" w:space="0" w:color="auto"/>
            </w:tcBorders>
            <w:shd w:val="clear" w:color="000000" w:fill="FFFFFF"/>
            <w:noWrap/>
            <w:vAlign w:val="center"/>
            <w:hideMark/>
          </w:tcPr>
          <w:p w14:paraId="3E80560B" w14:textId="736242A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6,925</w:t>
            </w:r>
          </w:p>
        </w:tc>
        <w:tc>
          <w:tcPr>
            <w:tcW w:w="1016" w:type="dxa"/>
            <w:tcBorders>
              <w:top w:val="nil"/>
              <w:left w:val="nil"/>
              <w:bottom w:val="single" w:sz="4" w:space="0" w:color="auto"/>
              <w:right w:val="single" w:sz="4" w:space="0" w:color="auto"/>
            </w:tcBorders>
            <w:shd w:val="clear" w:color="000000" w:fill="FFFFFF"/>
            <w:noWrap/>
            <w:vAlign w:val="center"/>
            <w:hideMark/>
          </w:tcPr>
          <w:p w14:paraId="5C71AACD" w14:textId="51623BD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5,985</w:t>
            </w:r>
          </w:p>
        </w:tc>
        <w:tc>
          <w:tcPr>
            <w:tcW w:w="1016" w:type="dxa"/>
            <w:tcBorders>
              <w:top w:val="nil"/>
              <w:left w:val="nil"/>
              <w:bottom w:val="single" w:sz="4" w:space="0" w:color="auto"/>
              <w:right w:val="single" w:sz="4" w:space="0" w:color="auto"/>
            </w:tcBorders>
            <w:shd w:val="clear" w:color="000000" w:fill="FFFFFF"/>
            <w:noWrap/>
            <w:vAlign w:val="center"/>
            <w:hideMark/>
          </w:tcPr>
          <w:p w14:paraId="0FB26D44" w14:textId="310CC08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2,076</w:t>
            </w:r>
          </w:p>
        </w:tc>
        <w:tc>
          <w:tcPr>
            <w:tcW w:w="1016" w:type="dxa"/>
            <w:tcBorders>
              <w:top w:val="nil"/>
              <w:left w:val="nil"/>
              <w:bottom w:val="single" w:sz="4" w:space="0" w:color="auto"/>
              <w:right w:val="single" w:sz="4" w:space="0" w:color="auto"/>
            </w:tcBorders>
            <w:shd w:val="clear" w:color="000000" w:fill="FFFFFF"/>
            <w:noWrap/>
            <w:vAlign w:val="center"/>
            <w:hideMark/>
          </w:tcPr>
          <w:p w14:paraId="4B1687AB" w14:textId="775E809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4,821</w:t>
            </w:r>
          </w:p>
        </w:tc>
        <w:tc>
          <w:tcPr>
            <w:tcW w:w="1016" w:type="dxa"/>
            <w:tcBorders>
              <w:top w:val="nil"/>
              <w:left w:val="nil"/>
              <w:bottom w:val="single" w:sz="4" w:space="0" w:color="auto"/>
              <w:right w:val="single" w:sz="4" w:space="0" w:color="auto"/>
            </w:tcBorders>
            <w:shd w:val="clear" w:color="000000" w:fill="FFFFFF"/>
            <w:noWrap/>
            <w:vAlign w:val="center"/>
            <w:hideMark/>
          </w:tcPr>
          <w:p w14:paraId="3A5F8D47" w14:textId="1A4050E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8,452</w:t>
            </w:r>
          </w:p>
        </w:tc>
        <w:tc>
          <w:tcPr>
            <w:tcW w:w="1016" w:type="dxa"/>
            <w:tcBorders>
              <w:top w:val="nil"/>
              <w:left w:val="nil"/>
              <w:bottom w:val="single" w:sz="4" w:space="0" w:color="auto"/>
              <w:right w:val="single" w:sz="4" w:space="0" w:color="auto"/>
            </w:tcBorders>
            <w:shd w:val="clear" w:color="000000" w:fill="FFFFFF"/>
            <w:noWrap/>
            <w:vAlign w:val="center"/>
            <w:hideMark/>
          </w:tcPr>
          <w:p w14:paraId="7EBBB4AE" w14:textId="49542C3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5,201</w:t>
            </w:r>
          </w:p>
        </w:tc>
        <w:tc>
          <w:tcPr>
            <w:tcW w:w="1107" w:type="dxa"/>
            <w:tcBorders>
              <w:top w:val="nil"/>
              <w:left w:val="nil"/>
              <w:bottom w:val="single" w:sz="4" w:space="0" w:color="auto"/>
              <w:right w:val="single" w:sz="4" w:space="0" w:color="auto"/>
            </w:tcBorders>
            <w:shd w:val="clear" w:color="000000" w:fill="FFFFFF"/>
            <w:noWrap/>
            <w:vAlign w:val="center"/>
            <w:hideMark/>
          </w:tcPr>
          <w:p w14:paraId="020F79E4" w14:textId="7A8D92A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4,874</w:t>
            </w:r>
          </w:p>
        </w:tc>
        <w:tc>
          <w:tcPr>
            <w:tcW w:w="1016" w:type="dxa"/>
            <w:tcBorders>
              <w:top w:val="nil"/>
              <w:left w:val="nil"/>
              <w:bottom w:val="single" w:sz="4" w:space="0" w:color="auto"/>
              <w:right w:val="single" w:sz="4" w:space="0" w:color="auto"/>
            </w:tcBorders>
            <w:shd w:val="clear" w:color="000000" w:fill="FFFFFF"/>
            <w:noWrap/>
            <w:vAlign w:val="center"/>
            <w:hideMark/>
          </w:tcPr>
          <w:p w14:paraId="26C3CAEA" w14:textId="70D8BFD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4,995</w:t>
            </w:r>
          </w:p>
        </w:tc>
        <w:tc>
          <w:tcPr>
            <w:tcW w:w="1016" w:type="dxa"/>
            <w:tcBorders>
              <w:top w:val="nil"/>
              <w:left w:val="nil"/>
              <w:bottom w:val="single" w:sz="4" w:space="0" w:color="auto"/>
              <w:right w:val="single" w:sz="4" w:space="0" w:color="auto"/>
            </w:tcBorders>
            <w:shd w:val="clear" w:color="000000" w:fill="FFFFFF"/>
            <w:noWrap/>
            <w:vAlign w:val="center"/>
            <w:hideMark/>
          </w:tcPr>
          <w:p w14:paraId="404C377F" w14:textId="4D1BC4A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3,456</w:t>
            </w:r>
          </w:p>
        </w:tc>
        <w:tc>
          <w:tcPr>
            <w:tcW w:w="1127" w:type="dxa"/>
            <w:tcBorders>
              <w:top w:val="nil"/>
              <w:left w:val="nil"/>
              <w:bottom w:val="single" w:sz="4" w:space="0" w:color="auto"/>
              <w:right w:val="single" w:sz="4" w:space="0" w:color="auto"/>
            </w:tcBorders>
            <w:shd w:val="clear" w:color="000000" w:fill="FFFFFF"/>
            <w:noWrap/>
            <w:vAlign w:val="center"/>
            <w:hideMark/>
          </w:tcPr>
          <w:p w14:paraId="46F9CE5D" w14:textId="627A792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6,542</w:t>
            </w:r>
          </w:p>
        </w:tc>
        <w:tc>
          <w:tcPr>
            <w:tcW w:w="1016" w:type="dxa"/>
            <w:tcBorders>
              <w:top w:val="nil"/>
              <w:left w:val="nil"/>
              <w:bottom w:val="single" w:sz="4" w:space="0" w:color="auto"/>
              <w:right w:val="single" w:sz="4" w:space="0" w:color="auto"/>
            </w:tcBorders>
            <w:shd w:val="clear" w:color="000000" w:fill="FFFFFF"/>
            <w:noWrap/>
            <w:vAlign w:val="center"/>
            <w:hideMark/>
          </w:tcPr>
          <w:p w14:paraId="786EADB5" w14:textId="4578398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7,644</w:t>
            </w:r>
          </w:p>
        </w:tc>
        <w:tc>
          <w:tcPr>
            <w:tcW w:w="1206" w:type="dxa"/>
            <w:tcBorders>
              <w:top w:val="nil"/>
              <w:left w:val="nil"/>
              <w:bottom w:val="single" w:sz="4" w:space="0" w:color="auto"/>
              <w:right w:val="single" w:sz="8" w:space="0" w:color="auto"/>
            </w:tcBorders>
            <w:shd w:val="clear" w:color="000000" w:fill="FFFFFF"/>
            <w:noWrap/>
            <w:vAlign w:val="center"/>
            <w:hideMark/>
          </w:tcPr>
          <w:p w14:paraId="490AF67C" w14:textId="39C90E0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68,091</w:t>
            </w:r>
          </w:p>
        </w:tc>
      </w:tr>
      <w:tr w:rsidR="00861244" w:rsidRPr="00E47FB2" w14:paraId="56B8A03B"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19FBFF97"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Cebolla</w:t>
            </w:r>
          </w:p>
        </w:tc>
        <w:tc>
          <w:tcPr>
            <w:tcW w:w="1016" w:type="dxa"/>
            <w:tcBorders>
              <w:top w:val="nil"/>
              <w:left w:val="nil"/>
              <w:bottom w:val="single" w:sz="4" w:space="0" w:color="auto"/>
              <w:right w:val="single" w:sz="4" w:space="0" w:color="auto"/>
            </w:tcBorders>
            <w:shd w:val="clear" w:color="000000" w:fill="FFFFFF"/>
            <w:noWrap/>
            <w:vAlign w:val="center"/>
            <w:hideMark/>
          </w:tcPr>
          <w:p w14:paraId="7388FD79" w14:textId="468E1BE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5,894</w:t>
            </w:r>
          </w:p>
        </w:tc>
        <w:tc>
          <w:tcPr>
            <w:tcW w:w="1016" w:type="dxa"/>
            <w:tcBorders>
              <w:top w:val="nil"/>
              <w:left w:val="nil"/>
              <w:bottom w:val="single" w:sz="4" w:space="0" w:color="auto"/>
              <w:right w:val="single" w:sz="4" w:space="0" w:color="auto"/>
            </w:tcBorders>
            <w:shd w:val="clear" w:color="000000" w:fill="FFFFFF"/>
            <w:noWrap/>
            <w:vAlign w:val="center"/>
            <w:hideMark/>
          </w:tcPr>
          <w:p w14:paraId="6970FEF2" w14:textId="207FA8E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6,547</w:t>
            </w:r>
          </w:p>
        </w:tc>
        <w:tc>
          <w:tcPr>
            <w:tcW w:w="1016" w:type="dxa"/>
            <w:tcBorders>
              <w:top w:val="nil"/>
              <w:left w:val="nil"/>
              <w:bottom w:val="single" w:sz="4" w:space="0" w:color="auto"/>
              <w:right w:val="single" w:sz="4" w:space="0" w:color="auto"/>
            </w:tcBorders>
            <w:shd w:val="clear" w:color="000000" w:fill="FFFFFF"/>
            <w:noWrap/>
            <w:vAlign w:val="center"/>
            <w:hideMark/>
          </w:tcPr>
          <w:p w14:paraId="2EF16AA6" w14:textId="4397481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10,545</w:t>
            </w:r>
          </w:p>
        </w:tc>
        <w:tc>
          <w:tcPr>
            <w:tcW w:w="1016" w:type="dxa"/>
            <w:tcBorders>
              <w:top w:val="nil"/>
              <w:left w:val="nil"/>
              <w:bottom w:val="single" w:sz="4" w:space="0" w:color="auto"/>
              <w:right w:val="single" w:sz="4" w:space="0" w:color="auto"/>
            </w:tcBorders>
            <w:shd w:val="clear" w:color="000000" w:fill="FFFFFF"/>
            <w:noWrap/>
            <w:vAlign w:val="center"/>
            <w:hideMark/>
          </w:tcPr>
          <w:p w14:paraId="7E9528E2" w14:textId="4E5842F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15,987</w:t>
            </w:r>
          </w:p>
        </w:tc>
        <w:tc>
          <w:tcPr>
            <w:tcW w:w="1016" w:type="dxa"/>
            <w:tcBorders>
              <w:top w:val="nil"/>
              <w:left w:val="nil"/>
              <w:bottom w:val="single" w:sz="4" w:space="0" w:color="auto"/>
              <w:right w:val="single" w:sz="4" w:space="0" w:color="auto"/>
            </w:tcBorders>
            <w:shd w:val="clear" w:color="000000" w:fill="FFFFFF"/>
            <w:noWrap/>
            <w:vAlign w:val="center"/>
            <w:hideMark/>
          </w:tcPr>
          <w:p w14:paraId="3B4E6A5A" w14:textId="6845D47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7,321</w:t>
            </w:r>
          </w:p>
        </w:tc>
        <w:tc>
          <w:tcPr>
            <w:tcW w:w="1016" w:type="dxa"/>
            <w:tcBorders>
              <w:top w:val="nil"/>
              <w:left w:val="nil"/>
              <w:bottom w:val="single" w:sz="4" w:space="0" w:color="auto"/>
              <w:right w:val="single" w:sz="4" w:space="0" w:color="auto"/>
            </w:tcBorders>
            <w:shd w:val="clear" w:color="000000" w:fill="FFFFFF"/>
            <w:noWrap/>
            <w:vAlign w:val="center"/>
            <w:hideMark/>
          </w:tcPr>
          <w:p w14:paraId="4A52C919" w14:textId="37314C8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5,899</w:t>
            </w:r>
          </w:p>
        </w:tc>
        <w:tc>
          <w:tcPr>
            <w:tcW w:w="1016" w:type="dxa"/>
            <w:tcBorders>
              <w:top w:val="nil"/>
              <w:left w:val="nil"/>
              <w:bottom w:val="single" w:sz="4" w:space="0" w:color="auto"/>
              <w:right w:val="single" w:sz="4" w:space="0" w:color="auto"/>
            </w:tcBorders>
            <w:shd w:val="clear" w:color="000000" w:fill="FFFFFF"/>
            <w:noWrap/>
            <w:vAlign w:val="center"/>
            <w:hideMark/>
          </w:tcPr>
          <w:p w14:paraId="64F9AC15" w14:textId="7234BE9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7,795</w:t>
            </w:r>
          </w:p>
        </w:tc>
        <w:tc>
          <w:tcPr>
            <w:tcW w:w="1107" w:type="dxa"/>
            <w:tcBorders>
              <w:top w:val="nil"/>
              <w:left w:val="nil"/>
              <w:bottom w:val="single" w:sz="4" w:space="0" w:color="auto"/>
              <w:right w:val="single" w:sz="4" w:space="0" w:color="auto"/>
            </w:tcBorders>
            <w:shd w:val="clear" w:color="000000" w:fill="FFFFFF"/>
            <w:noWrap/>
            <w:vAlign w:val="center"/>
            <w:hideMark/>
          </w:tcPr>
          <w:p w14:paraId="594B7FF6" w14:textId="78E6EE3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6,454</w:t>
            </w:r>
          </w:p>
        </w:tc>
        <w:tc>
          <w:tcPr>
            <w:tcW w:w="1016" w:type="dxa"/>
            <w:tcBorders>
              <w:top w:val="nil"/>
              <w:left w:val="nil"/>
              <w:bottom w:val="single" w:sz="4" w:space="0" w:color="auto"/>
              <w:right w:val="single" w:sz="4" w:space="0" w:color="auto"/>
            </w:tcBorders>
            <w:shd w:val="clear" w:color="000000" w:fill="FFFFFF"/>
            <w:noWrap/>
            <w:vAlign w:val="center"/>
            <w:hideMark/>
          </w:tcPr>
          <w:p w14:paraId="4078F482" w14:textId="0E6F184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6,500</w:t>
            </w:r>
          </w:p>
        </w:tc>
        <w:tc>
          <w:tcPr>
            <w:tcW w:w="1016" w:type="dxa"/>
            <w:tcBorders>
              <w:top w:val="nil"/>
              <w:left w:val="nil"/>
              <w:bottom w:val="single" w:sz="4" w:space="0" w:color="auto"/>
              <w:right w:val="single" w:sz="4" w:space="0" w:color="auto"/>
            </w:tcBorders>
            <w:shd w:val="clear" w:color="000000" w:fill="FFFFFF"/>
            <w:noWrap/>
            <w:vAlign w:val="center"/>
            <w:hideMark/>
          </w:tcPr>
          <w:p w14:paraId="7B48E787" w14:textId="01F6195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2,789</w:t>
            </w:r>
          </w:p>
        </w:tc>
        <w:tc>
          <w:tcPr>
            <w:tcW w:w="1127" w:type="dxa"/>
            <w:tcBorders>
              <w:top w:val="nil"/>
              <w:left w:val="nil"/>
              <w:bottom w:val="single" w:sz="4" w:space="0" w:color="auto"/>
              <w:right w:val="single" w:sz="4" w:space="0" w:color="auto"/>
            </w:tcBorders>
            <w:shd w:val="clear" w:color="000000" w:fill="FFFFFF"/>
            <w:noWrap/>
            <w:vAlign w:val="center"/>
            <w:hideMark/>
          </w:tcPr>
          <w:p w14:paraId="36E7311C" w14:textId="2B28732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2,254</w:t>
            </w:r>
          </w:p>
        </w:tc>
        <w:tc>
          <w:tcPr>
            <w:tcW w:w="1016" w:type="dxa"/>
            <w:tcBorders>
              <w:top w:val="nil"/>
              <w:left w:val="nil"/>
              <w:bottom w:val="single" w:sz="4" w:space="0" w:color="auto"/>
              <w:right w:val="single" w:sz="4" w:space="0" w:color="auto"/>
            </w:tcBorders>
            <w:shd w:val="clear" w:color="000000" w:fill="FFFFFF"/>
            <w:noWrap/>
            <w:vAlign w:val="center"/>
            <w:hideMark/>
          </w:tcPr>
          <w:p w14:paraId="5E53DDCE" w14:textId="288D0EB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2,860</w:t>
            </w:r>
          </w:p>
        </w:tc>
        <w:tc>
          <w:tcPr>
            <w:tcW w:w="1206" w:type="dxa"/>
            <w:tcBorders>
              <w:top w:val="nil"/>
              <w:left w:val="nil"/>
              <w:bottom w:val="single" w:sz="4" w:space="0" w:color="auto"/>
              <w:right w:val="single" w:sz="8" w:space="0" w:color="auto"/>
            </w:tcBorders>
            <w:shd w:val="clear" w:color="000000" w:fill="FFFFFF"/>
            <w:noWrap/>
            <w:vAlign w:val="center"/>
            <w:hideMark/>
          </w:tcPr>
          <w:p w14:paraId="5271117C" w14:textId="41C95A4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80,845</w:t>
            </w:r>
          </w:p>
        </w:tc>
      </w:tr>
      <w:tr w:rsidR="00861244" w:rsidRPr="00E47FB2" w14:paraId="7EA1FDF9"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03E7DDA4"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Pepino</w:t>
            </w:r>
          </w:p>
        </w:tc>
        <w:tc>
          <w:tcPr>
            <w:tcW w:w="1016" w:type="dxa"/>
            <w:tcBorders>
              <w:top w:val="nil"/>
              <w:left w:val="nil"/>
              <w:bottom w:val="single" w:sz="4" w:space="0" w:color="auto"/>
              <w:right w:val="single" w:sz="4" w:space="0" w:color="auto"/>
            </w:tcBorders>
            <w:shd w:val="clear" w:color="000000" w:fill="FFFFFF"/>
            <w:noWrap/>
            <w:vAlign w:val="center"/>
            <w:hideMark/>
          </w:tcPr>
          <w:p w14:paraId="712E86C3" w14:textId="7D4245F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1,380</w:t>
            </w:r>
          </w:p>
        </w:tc>
        <w:tc>
          <w:tcPr>
            <w:tcW w:w="1016" w:type="dxa"/>
            <w:tcBorders>
              <w:top w:val="nil"/>
              <w:left w:val="nil"/>
              <w:bottom w:val="single" w:sz="4" w:space="0" w:color="auto"/>
              <w:right w:val="single" w:sz="4" w:space="0" w:color="auto"/>
            </w:tcBorders>
            <w:shd w:val="clear" w:color="000000" w:fill="FFFFFF"/>
            <w:noWrap/>
            <w:vAlign w:val="center"/>
            <w:hideMark/>
          </w:tcPr>
          <w:p w14:paraId="20F4CACC" w14:textId="1396E61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1,688</w:t>
            </w:r>
          </w:p>
        </w:tc>
        <w:tc>
          <w:tcPr>
            <w:tcW w:w="1016" w:type="dxa"/>
            <w:tcBorders>
              <w:top w:val="nil"/>
              <w:left w:val="nil"/>
              <w:bottom w:val="single" w:sz="4" w:space="0" w:color="auto"/>
              <w:right w:val="single" w:sz="4" w:space="0" w:color="auto"/>
            </w:tcBorders>
            <w:shd w:val="clear" w:color="000000" w:fill="FFFFFF"/>
            <w:noWrap/>
            <w:vAlign w:val="center"/>
            <w:hideMark/>
          </w:tcPr>
          <w:p w14:paraId="6A14B392" w14:textId="6952955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865</w:t>
            </w:r>
          </w:p>
        </w:tc>
        <w:tc>
          <w:tcPr>
            <w:tcW w:w="1016" w:type="dxa"/>
            <w:tcBorders>
              <w:top w:val="nil"/>
              <w:left w:val="nil"/>
              <w:bottom w:val="single" w:sz="4" w:space="0" w:color="auto"/>
              <w:right w:val="single" w:sz="4" w:space="0" w:color="auto"/>
            </w:tcBorders>
            <w:shd w:val="clear" w:color="000000" w:fill="FFFFFF"/>
            <w:noWrap/>
            <w:vAlign w:val="center"/>
            <w:hideMark/>
          </w:tcPr>
          <w:p w14:paraId="3739E279" w14:textId="422092B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1,500</w:t>
            </w:r>
          </w:p>
        </w:tc>
        <w:tc>
          <w:tcPr>
            <w:tcW w:w="1016" w:type="dxa"/>
            <w:tcBorders>
              <w:top w:val="nil"/>
              <w:left w:val="nil"/>
              <w:bottom w:val="single" w:sz="4" w:space="0" w:color="auto"/>
              <w:right w:val="single" w:sz="4" w:space="0" w:color="auto"/>
            </w:tcBorders>
            <w:shd w:val="clear" w:color="000000" w:fill="FFFFFF"/>
            <w:noWrap/>
            <w:vAlign w:val="center"/>
            <w:hideMark/>
          </w:tcPr>
          <w:p w14:paraId="42B20E27" w14:textId="5322E90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942</w:t>
            </w:r>
          </w:p>
        </w:tc>
        <w:tc>
          <w:tcPr>
            <w:tcW w:w="1016" w:type="dxa"/>
            <w:tcBorders>
              <w:top w:val="nil"/>
              <w:left w:val="nil"/>
              <w:bottom w:val="single" w:sz="4" w:space="0" w:color="auto"/>
              <w:right w:val="single" w:sz="4" w:space="0" w:color="auto"/>
            </w:tcBorders>
            <w:shd w:val="clear" w:color="000000" w:fill="FFFFFF"/>
            <w:noWrap/>
            <w:vAlign w:val="center"/>
            <w:hideMark/>
          </w:tcPr>
          <w:p w14:paraId="43D5D1F9" w14:textId="57F27C6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1,547</w:t>
            </w:r>
          </w:p>
        </w:tc>
        <w:tc>
          <w:tcPr>
            <w:tcW w:w="1016" w:type="dxa"/>
            <w:tcBorders>
              <w:top w:val="nil"/>
              <w:left w:val="nil"/>
              <w:bottom w:val="single" w:sz="4" w:space="0" w:color="auto"/>
              <w:right w:val="single" w:sz="4" w:space="0" w:color="auto"/>
            </w:tcBorders>
            <w:shd w:val="clear" w:color="000000" w:fill="FFFFFF"/>
            <w:noWrap/>
            <w:vAlign w:val="center"/>
            <w:hideMark/>
          </w:tcPr>
          <w:p w14:paraId="7CE51532" w14:textId="614D819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1,299</w:t>
            </w:r>
          </w:p>
        </w:tc>
        <w:tc>
          <w:tcPr>
            <w:tcW w:w="1107" w:type="dxa"/>
            <w:tcBorders>
              <w:top w:val="nil"/>
              <w:left w:val="nil"/>
              <w:bottom w:val="single" w:sz="4" w:space="0" w:color="auto"/>
              <w:right w:val="single" w:sz="4" w:space="0" w:color="auto"/>
            </w:tcBorders>
            <w:shd w:val="clear" w:color="000000" w:fill="FFFFFF"/>
            <w:noWrap/>
            <w:vAlign w:val="center"/>
            <w:hideMark/>
          </w:tcPr>
          <w:p w14:paraId="7B6B13E6" w14:textId="26DCB0F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1,001</w:t>
            </w:r>
          </w:p>
        </w:tc>
        <w:tc>
          <w:tcPr>
            <w:tcW w:w="1016" w:type="dxa"/>
            <w:tcBorders>
              <w:top w:val="nil"/>
              <w:left w:val="nil"/>
              <w:bottom w:val="single" w:sz="4" w:space="0" w:color="auto"/>
              <w:right w:val="single" w:sz="4" w:space="0" w:color="auto"/>
            </w:tcBorders>
            <w:shd w:val="clear" w:color="000000" w:fill="FFFFFF"/>
            <w:noWrap/>
            <w:vAlign w:val="center"/>
            <w:hideMark/>
          </w:tcPr>
          <w:p w14:paraId="55E75EC2" w14:textId="13BCEA1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788</w:t>
            </w:r>
          </w:p>
        </w:tc>
        <w:tc>
          <w:tcPr>
            <w:tcW w:w="1016" w:type="dxa"/>
            <w:tcBorders>
              <w:top w:val="nil"/>
              <w:left w:val="nil"/>
              <w:bottom w:val="single" w:sz="4" w:space="0" w:color="auto"/>
              <w:right w:val="single" w:sz="4" w:space="0" w:color="auto"/>
            </w:tcBorders>
            <w:shd w:val="clear" w:color="000000" w:fill="FFFFFF"/>
            <w:noWrap/>
            <w:vAlign w:val="center"/>
            <w:hideMark/>
          </w:tcPr>
          <w:p w14:paraId="282B0A3A" w14:textId="58CAE4B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1,402</w:t>
            </w:r>
          </w:p>
        </w:tc>
        <w:tc>
          <w:tcPr>
            <w:tcW w:w="1127" w:type="dxa"/>
            <w:tcBorders>
              <w:top w:val="nil"/>
              <w:left w:val="nil"/>
              <w:bottom w:val="single" w:sz="4" w:space="0" w:color="auto"/>
              <w:right w:val="single" w:sz="4" w:space="0" w:color="auto"/>
            </w:tcBorders>
            <w:shd w:val="clear" w:color="000000" w:fill="FFFFFF"/>
            <w:noWrap/>
            <w:vAlign w:val="center"/>
            <w:hideMark/>
          </w:tcPr>
          <w:p w14:paraId="16340D11" w14:textId="199E674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1,380</w:t>
            </w:r>
          </w:p>
        </w:tc>
        <w:tc>
          <w:tcPr>
            <w:tcW w:w="1016" w:type="dxa"/>
            <w:tcBorders>
              <w:top w:val="nil"/>
              <w:left w:val="nil"/>
              <w:bottom w:val="single" w:sz="4" w:space="0" w:color="auto"/>
              <w:right w:val="single" w:sz="4" w:space="0" w:color="auto"/>
            </w:tcBorders>
            <w:shd w:val="clear" w:color="000000" w:fill="FFFFFF"/>
            <w:noWrap/>
            <w:vAlign w:val="center"/>
            <w:hideMark/>
          </w:tcPr>
          <w:p w14:paraId="65E60F47" w14:textId="6F5C4F6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925</w:t>
            </w:r>
          </w:p>
        </w:tc>
        <w:tc>
          <w:tcPr>
            <w:tcW w:w="1206" w:type="dxa"/>
            <w:tcBorders>
              <w:top w:val="nil"/>
              <w:left w:val="nil"/>
              <w:bottom w:val="single" w:sz="4" w:space="0" w:color="auto"/>
              <w:right w:val="single" w:sz="8" w:space="0" w:color="auto"/>
            </w:tcBorders>
            <w:shd w:val="clear" w:color="000000" w:fill="FFFFFF"/>
            <w:noWrap/>
            <w:vAlign w:val="center"/>
            <w:hideMark/>
          </w:tcPr>
          <w:p w14:paraId="45E50949" w14:textId="17ADC2D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14,717</w:t>
            </w:r>
          </w:p>
        </w:tc>
      </w:tr>
      <w:tr w:rsidR="00861244" w:rsidRPr="00E47FB2" w14:paraId="70571181"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27992C19"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Lechuga</w:t>
            </w:r>
          </w:p>
        </w:tc>
        <w:tc>
          <w:tcPr>
            <w:tcW w:w="1016" w:type="dxa"/>
            <w:tcBorders>
              <w:top w:val="nil"/>
              <w:left w:val="nil"/>
              <w:bottom w:val="single" w:sz="4" w:space="0" w:color="auto"/>
              <w:right w:val="single" w:sz="4" w:space="0" w:color="auto"/>
            </w:tcBorders>
            <w:shd w:val="clear" w:color="000000" w:fill="FFFFFF"/>
            <w:noWrap/>
            <w:vAlign w:val="center"/>
            <w:hideMark/>
          </w:tcPr>
          <w:p w14:paraId="3A3D91A0" w14:textId="30294FA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4,671</w:t>
            </w:r>
          </w:p>
        </w:tc>
        <w:tc>
          <w:tcPr>
            <w:tcW w:w="1016" w:type="dxa"/>
            <w:tcBorders>
              <w:top w:val="nil"/>
              <w:left w:val="nil"/>
              <w:bottom w:val="single" w:sz="4" w:space="0" w:color="auto"/>
              <w:right w:val="single" w:sz="4" w:space="0" w:color="auto"/>
            </w:tcBorders>
            <w:shd w:val="clear" w:color="000000" w:fill="FFFFFF"/>
            <w:noWrap/>
            <w:vAlign w:val="center"/>
            <w:hideMark/>
          </w:tcPr>
          <w:p w14:paraId="67087918" w14:textId="00E9491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2,374</w:t>
            </w:r>
          </w:p>
        </w:tc>
        <w:tc>
          <w:tcPr>
            <w:tcW w:w="1016" w:type="dxa"/>
            <w:tcBorders>
              <w:top w:val="nil"/>
              <w:left w:val="nil"/>
              <w:bottom w:val="single" w:sz="4" w:space="0" w:color="auto"/>
              <w:right w:val="single" w:sz="4" w:space="0" w:color="auto"/>
            </w:tcBorders>
            <w:shd w:val="clear" w:color="000000" w:fill="FFFFFF"/>
            <w:noWrap/>
            <w:vAlign w:val="center"/>
            <w:hideMark/>
          </w:tcPr>
          <w:p w14:paraId="4B1A82FB" w14:textId="5EFC69F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3,285</w:t>
            </w:r>
          </w:p>
        </w:tc>
        <w:tc>
          <w:tcPr>
            <w:tcW w:w="1016" w:type="dxa"/>
            <w:tcBorders>
              <w:top w:val="nil"/>
              <w:left w:val="nil"/>
              <w:bottom w:val="single" w:sz="4" w:space="0" w:color="auto"/>
              <w:right w:val="single" w:sz="4" w:space="0" w:color="auto"/>
            </w:tcBorders>
            <w:shd w:val="clear" w:color="000000" w:fill="FFFFFF"/>
            <w:noWrap/>
            <w:vAlign w:val="center"/>
            <w:hideMark/>
          </w:tcPr>
          <w:p w14:paraId="531FBB49" w14:textId="0D2C0ED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1,402</w:t>
            </w:r>
          </w:p>
        </w:tc>
        <w:tc>
          <w:tcPr>
            <w:tcW w:w="1016" w:type="dxa"/>
            <w:tcBorders>
              <w:top w:val="nil"/>
              <w:left w:val="nil"/>
              <w:bottom w:val="single" w:sz="4" w:space="0" w:color="auto"/>
              <w:right w:val="single" w:sz="4" w:space="0" w:color="auto"/>
            </w:tcBorders>
            <w:shd w:val="clear" w:color="000000" w:fill="FFFFFF"/>
            <w:noWrap/>
            <w:vAlign w:val="center"/>
            <w:hideMark/>
          </w:tcPr>
          <w:p w14:paraId="0360D323" w14:textId="0D846B7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1,501</w:t>
            </w:r>
          </w:p>
        </w:tc>
        <w:tc>
          <w:tcPr>
            <w:tcW w:w="1016" w:type="dxa"/>
            <w:tcBorders>
              <w:top w:val="nil"/>
              <w:left w:val="nil"/>
              <w:bottom w:val="single" w:sz="4" w:space="0" w:color="auto"/>
              <w:right w:val="single" w:sz="4" w:space="0" w:color="auto"/>
            </w:tcBorders>
            <w:shd w:val="clear" w:color="000000" w:fill="FFFFFF"/>
            <w:noWrap/>
            <w:vAlign w:val="center"/>
            <w:hideMark/>
          </w:tcPr>
          <w:p w14:paraId="3490A39B" w14:textId="2C6D213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1,400</w:t>
            </w:r>
          </w:p>
        </w:tc>
        <w:tc>
          <w:tcPr>
            <w:tcW w:w="1016" w:type="dxa"/>
            <w:tcBorders>
              <w:top w:val="nil"/>
              <w:left w:val="nil"/>
              <w:bottom w:val="single" w:sz="4" w:space="0" w:color="auto"/>
              <w:right w:val="single" w:sz="4" w:space="0" w:color="auto"/>
            </w:tcBorders>
            <w:shd w:val="clear" w:color="000000" w:fill="FFFFFF"/>
            <w:noWrap/>
            <w:vAlign w:val="center"/>
            <w:hideMark/>
          </w:tcPr>
          <w:p w14:paraId="2BE14C7F" w14:textId="3753FE4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2,154</w:t>
            </w:r>
          </w:p>
        </w:tc>
        <w:tc>
          <w:tcPr>
            <w:tcW w:w="1107" w:type="dxa"/>
            <w:tcBorders>
              <w:top w:val="nil"/>
              <w:left w:val="nil"/>
              <w:bottom w:val="single" w:sz="4" w:space="0" w:color="auto"/>
              <w:right w:val="single" w:sz="4" w:space="0" w:color="auto"/>
            </w:tcBorders>
            <w:shd w:val="clear" w:color="000000" w:fill="FFFFFF"/>
            <w:noWrap/>
            <w:vAlign w:val="center"/>
            <w:hideMark/>
          </w:tcPr>
          <w:p w14:paraId="7D408025" w14:textId="5066D95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1,621</w:t>
            </w:r>
          </w:p>
        </w:tc>
        <w:tc>
          <w:tcPr>
            <w:tcW w:w="1016" w:type="dxa"/>
            <w:tcBorders>
              <w:top w:val="nil"/>
              <w:left w:val="nil"/>
              <w:bottom w:val="single" w:sz="4" w:space="0" w:color="auto"/>
              <w:right w:val="single" w:sz="4" w:space="0" w:color="auto"/>
            </w:tcBorders>
            <w:shd w:val="clear" w:color="000000" w:fill="FFFFFF"/>
            <w:noWrap/>
            <w:vAlign w:val="center"/>
            <w:hideMark/>
          </w:tcPr>
          <w:p w14:paraId="2E810DBE" w14:textId="481D2F2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1,324</w:t>
            </w:r>
          </w:p>
        </w:tc>
        <w:tc>
          <w:tcPr>
            <w:tcW w:w="1016" w:type="dxa"/>
            <w:tcBorders>
              <w:top w:val="nil"/>
              <w:left w:val="nil"/>
              <w:bottom w:val="single" w:sz="4" w:space="0" w:color="auto"/>
              <w:right w:val="single" w:sz="4" w:space="0" w:color="auto"/>
            </w:tcBorders>
            <w:shd w:val="clear" w:color="000000" w:fill="FFFFFF"/>
            <w:noWrap/>
            <w:vAlign w:val="center"/>
            <w:hideMark/>
          </w:tcPr>
          <w:p w14:paraId="27F90712" w14:textId="01D5832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1,462</w:t>
            </w:r>
          </w:p>
        </w:tc>
        <w:tc>
          <w:tcPr>
            <w:tcW w:w="1127" w:type="dxa"/>
            <w:tcBorders>
              <w:top w:val="nil"/>
              <w:left w:val="nil"/>
              <w:bottom w:val="single" w:sz="4" w:space="0" w:color="auto"/>
              <w:right w:val="single" w:sz="4" w:space="0" w:color="auto"/>
            </w:tcBorders>
            <w:shd w:val="clear" w:color="000000" w:fill="FFFFFF"/>
            <w:noWrap/>
            <w:vAlign w:val="center"/>
            <w:hideMark/>
          </w:tcPr>
          <w:p w14:paraId="1790F73D" w14:textId="6F0FF2B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1,452</w:t>
            </w:r>
          </w:p>
        </w:tc>
        <w:tc>
          <w:tcPr>
            <w:tcW w:w="1016" w:type="dxa"/>
            <w:tcBorders>
              <w:top w:val="nil"/>
              <w:left w:val="nil"/>
              <w:bottom w:val="single" w:sz="4" w:space="0" w:color="auto"/>
              <w:right w:val="single" w:sz="4" w:space="0" w:color="auto"/>
            </w:tcBorders>
            <w:shd w:val="clear" w:color="000000" w:fill="FFFFFF"/>
            <w:noWrap/>
            <w:vAlign w:val="center"/>
            <w:hideMark/>
          </w:tcPr>
          <w:p w14:paraId="2F698D64" w14:textId="0B53477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2,067</w:t>
            </w:r>
          </w:p>
        </w:tc>
        <w:tc>
          <w:tcPr>
            <w:tcW w:w="1206" w:type="dxa"/>
            <w:tcBorders>
              <w:top w:val="nil"/>
              <w:left w:val="nil"/>
              <w:bottom w:val="single" w:sz="4" w:space="0" w:color="auto"/>
              <w:right w:val="single" w:sz="8" w:space="0" w:color="auto"/>
            </w:tcBorders>
            <w:shd w:val="clear" w:color="000000" w:fill="FFFFFF"/>
            <w:noWrap/>
            <w:vAlign w:val="center"/>
            <w:hideMark/>
          </w:tcPr>
          <w:p w14:paraId="7F6211F0" w14:textId="6F109A7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24,713</w:t>
            </w:r>
          </w:p>
        </w:tc>
      </w:tr>
      <w:tr w:rsidR="00861244" w:rsidRPr="00E47FB2" w14:paraId="10623B5D"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574782AA"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Repollo</w:t>
            </w:r>
          </w:p>
        </w:tc>
        <w:tc>
          <w:tcPr>
            <w:tcW w:w="1016" w:type="dxa"/>
            <w:tcBorders>
              <w:top w:val="nil"/>
              <w:left w:val="nil"/>
              <w:bottom w:val="single" w:sz="4" w:space="0" w:color="auto"/>
              <w:right w:val="single" w:sz="4" w:space="0" w:color="auto"/>
            </w:tcBorders>
            <w:shd w:val="clear" w:color="000000" w:fill="FFFFFF"/>
            <w:noWrap/>
            <w:vAlign w:val="center"/>
            <w:hideMark/>
          </w:tcPr>
          <w:p w14:paraId="6D6C96E3" w14:textId="7E68F67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1,360</w:t>
            </w:r>
          </w:p>
        </w:tc>
        <w:tc>
          <w:tcPr>
            <w:tcW w:w="1016" w:type="dxa"/>
            <w:tcBorders>
              <w:top w:val="nil"/>
              <w:left w:val="nil"/>
              <w:bottom w:val="single" w:sz="4" w:space="0" w:color="auto"/>
              <w:right w:val="single" w:sz="4" w:space="0" w:color="auto"/>
            </w:tcBorders>
            <w:shd w:val="clear" w:color="000000" w:fill="FFFFFF"/>
            <w:noWrap/>
            <w:vAlign w:val="center"/>
            <w:hideMark/>
          </w:tcPr>
          <w:p w14:paraId="79E56837" w14:textId="381419A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1,579</w:t>
            </w:r>
          </w:p>
        </w:tc>
        <w:tc>
          <w:tcPr>
            <w:tcW w:w="1016" w:type="dxa"/>
            <w:tcBorders>
              <w:top w:val="nil"/>
              <w:left w:val="nil"/>
              <w:bottom w:val="single" w:sz="4" w:space="0" w:color="auto"/>
              <w:right w:val="single" w:sz="4" w:space="0" w:color="auto"/>
            </w:tcBorders>
            <w:shd w:val="clear" w:color="000000" w:fill="FFFFFF"/>
            <w:noWrap/>
            <w:vAlign w:val="center"/>
            <w:hideMark/>
          </w:tcPr>
          <w:p w14:paraId="70DBF998" w14:textId="235E1D5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1,654</w:t>
            </w:r>
          </w:p>
        </w:tc>
        <w:tc>
          <w:tcPr>
            <w:tcW w:w="1016" w:type="dxa"/>
            <w:tcBorders>
              <w:top w:val="nil"/>
              <w:left w:val="nil"/>
              <w:bottom w:val="single" w:sz="4" w:space="0" w:color="auto"/>
              <w:right w:val="single" w:sz="4" w:space="0" w:color="auto"/>
            </w:tcBorders>
            <w:shd w:val="clear" w:color="000000" w:fill="FFFFFF"/>
            <w:noWrap/>
            <w:vAlign w:val="center"/>
            <w:hideMark/>
          </w:tcPr>
          <w:p w14:paraId="4203208C" w14:textId="1DA7A55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549</w:t>
            </w:r>
          </w:p>
        </w:tc>
        <w:tc>
          <w:tcPr>
            <w:tcW w:w="1016" w:type="dxa"/>
            <w:tcBorders>
              <w:top w:val="nil"/>
              <w:left w:val="nil"/>
              <w:bottom w:val="single" w:sz="4" w:space="0" w:color="auto"/>
              <w:right w:val="single" w:sz="4" w:space="0" w:color="auto"/>
            </w:tcBorders>
            <w:shd w:val="clear" w:color="000000" w:fill="FFFFFF"/>
            <w:noWrap/>
            <w:vAlign w:val="center"/>
            <w:hideMark/>
          </w:tcPr>
          <w:p w14:paraId="0D047D18" w14:textId="6A17D94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745</w:t>
            </w:r>
          </w:p>
        </w:tc>
        <w:tc>
          <w:tcPr>
            <w:tcW w:w="1016" w:type="dxa"/>
            <w:tcBorders>
              <w:top w:val="nil"/>
              <w:left w:val="nil"/>
              <w:bottom w:val="single" w:sz="4" w:space="0" w:color="auto"/>
              <w:right w:val="single" w:sz="4" w:space="0" w:color="auto"/>
            </w:tcBorders>
            <w:shd w:val="clear" w:color="000000" w:fill="FFFFFF"/>
            <w:noWrap/>
            <w:vAlign w:val="center"/>
            <w:hideMark/>
          </w:tcPr>
          <w:p w14:paraId="003FBA38" w14:textId="359B851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1,245</w:t>
            </w:r>
          </w:p>
        </w:tc>
        <w:tc>
          <w:tcPr>
            <w:tcW w:w="1016" w:type="dxa"/>
            <w:tcBorders>
              <w:top w:val="nil"/>
              <w:left w:val="nil"/>
              <w:bottom w:val="single" w:sz="4" w:space="0" w:color="auto"/>
              <w:right w:val="single" w:sz="4" w:space="0" w:color="auto"/>
            </w:tcBorders>
            <w:shd w:val="clear" w:color="000000" w:fill="FFFFFF"/>
            <w:noWrap/>
            <w:vAlign w:val="center"/>
            <w:hideMark/>
          </w:tcPr>
          <w:p w14:paraId="27D7A82C" w14:textId="60EFAE4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1,401</w:t>
            </w:r>
          </w:p>
        </w:tc>
        <w:tc>
          <w:tcPr>
            <w:tcW w:w="1107" w:type="dxa"/>
            <w:tcBorders>
              <w:top w:val="nil"/>
              <w:left w:val="nil"/>
              <w:bottom w:val="single" w:sz="4" w:space="0" w:color="auto"/>
              <w:right w:val="single" w:sz="4" w:space="0" w:color="auto"/>
            </w:tcBorders>
            <w:shd w:val="clear" w:color="000000" w:fill="FFFFFF"/>
            <w:noWrap/>
            <w:vAlign w:val="center"/>
            <w:hideMark/>
          </w:tcPr>
          <w:p w14:paraId="175B71CF" w14:textId="31BB464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1,036</w:t>
            </w:r>
          </w:p>
        </w:tc>
        <w:tc>
          <w:tcPr>
            <w:tcW w:w="1016" w:type="dxa"/>
            <w:tcBorders>
              <w:top w:val="nil"/>
              <w:left w:val="nil"/>
              <w:bottom w:val="single" w:sz="4" w:space="0" w:color="auto"/>
              <w:right w:val="single" w:sz="4" w:space="0" w:color="auto"/>
            </w:tcBorders>
            <w:shd w:val="clear" w:color="000000" w:fill="FFFFFF"/>
            <w:noWrap/>
            <w:vAlign w:val="center"/>
            <w:hideMark/>
          </w:tcPr>
          <w:p w14:paraId="2A29E18D" w14:textId="72113B4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1,302</w:t>
            </w:r>
          </w:p>
        </w:tc>
        <w:tc>
          <w:tcPr>
            <w:tcW w:w="1016" w:type="dxa"/>
            <w:tcBorders>
              <w:top w:val="nil"/>
              <w:left w:val="nil"/>
              <w:bottom w:val="single" w:sz="4" w:space="0" w:color="auto"/>
              <w:right w:val="single" w:sz="4" w:space="0" w:color="auto"/>
            </w:tcBorders>
            <w:shd w:val="clear" w:color="000000" w:fill="FFFFFF"/>
            <w:noWrap/>
            <w:vAlign w:val="center"/>
            <w:hideMark/>
          </w:tcPr>
          <w:p w14:paraId="23BE9F6A" w14:textId="4F2EFB5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1,043</w:t>
            </w:r>
          </w:p>
        </w:tc>
        <w:tc>
          <w:tcPr>
            <w:tcW w:w="1127" w:type="dxa"/>
            <w:tcBorders>
              <w:top w:val="nil"/>
              <w:left w:val="nil"/>
              <w:bottom w:val="single" w:sz="4" w:space="0" w:color="auto"/>
              <w:right w:val="single" w:sz="4" w:space="0" w:color="auto"/>
            </w:tcBorders>
            <w:shd w:val="clear" w:color="000000" w:fill="FFFFFF"/>
            <w:noWrap/>
            <w:vAlign w:val="center"/>
            <w:hideMark/>
          </w:tcPr>
          <w:p w14:paraId="62F65A08" w14:textId="5E32294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956</w:t>
            </w:r>
          </w:p>
        </w:tc>
        <w:tc>
          <w:tcPr>
            <w:tcW w:w="1016" w:type="dxa"/>
            <w:tcBorders>
              <w:top w:val="nil"/>
              <w:left w:val="nil"/>
              <w:bottom w:val="single" w:sz="4" w:space="0" w:color="auto"/>
              <w:right w:val="single" w:sz="4" w:space="0" w:color="auto"/>
            </w:tcBorders>
            <w:shd w:val="clear" w:color="000000" w:fill="FFFFFF"/>
            <w:noWrap/>
            <w:vAlign w:val="center"/>
            <w:hideMark/>
          </w:tcPr>
          <w:p w14:paraId="1FE8CB69" w14:textId="28D0E92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971</w:t>
            </w:r>
          </w:p>
        </w:tc>
        <w:tc>
          <w:tcPr>
            <w:tcW w:w="1206" w:type="dxa"/>
            <w:tcBorders>
              <w:top w:val="nil"/>
              <w:left w:val="nil"/>
              <w:bottom w:val="single" w:sz="4" w:space="0" w:color="auto"/>
              <w:right w:val="single" w:sz="8" w:space="0" w:color="auto"/>
            </w:tcBorders>
            <w:shd w:val="clear" w:color="000000" w:fill="FFFFFF"/>
            <w:noWrap/>
            <w:vAlign w:val="center"/>
            <w:hideMark/>
          </w:tcPr>
          <w:p w14:paraId="40D04134" w14:textId="713423A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13,841</w:t>
            </w:r>
          </w:p>
        </w:tc>
      </w:tr>
      <w:tr w:rsidR="00861244" w:rsidRPr="00E47FB2" w14:paraId="4257114E"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238C1F9A"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Tayota</w:t>
            </w:r>
          </w:p>
        </w:tc>
        <w:tc>
          <w:tcPr>
            <w:tcW w:w="1016" w:type="dxa"/>
            <w:tcBorders>
              <w:top w:val="nil"/>
              <w:left w:val="nil"/>
              <w:bottom w:val="single" w:sz="4" w:space="0" w:color="auto"/>
              <w:right w:val="single" w:sz="4" w:space="0" w:color="auto"/>
            </w:tcBorders>
            <w:shd w:val="clear" w:color="000000" w:fill="FFFFFF"/>
            <w:noWrap/>
            <w:vAlign w:val="center"/>
            <w:hideMark/>
          </w:tcPr>
          <w:p w14:paraId="51A50EFE" w14:textId="2384B43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9,854</w:t>
            </w:r>
          </w:p>
        </w:tc>
        <w:tc>
          <w:tcPr>
            <w:tcW w:w="1016" w:type="dxa"/>
            <w:tcBorders>
              <w:top w:val="nil"/>
              <w:left w:val="nil"/>
              <w:bottom w:val="single" w:sz="4" w:space="0" w:color="auto"/>
              <w:right w:val="single" w:sz="4" w:space="0" w:color="auto"/>
            </w:tcBorders>
            <w:shd w:val="clear" w:color="000000" w:fill="FFFFFF"/>
            <w:noWrap/>
            <w:vAlign w:val="center"/>
            <w:hideMark/>
          </w:tcPr>
          <w:p w14:paraId="443CFB04" w14:textId="34C084B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14,902</w:t>
            </w:r>
          </w:p>
        </w:tc>
        <w:tc>
          <w:tcPr>
            <w:tcW w:w="1016" w:type="dxa"/>
            <w:tcBorders>
              <w:top w:val="nil"/>
              <w:left w:val="nil"/>
              <w:bottom w:val="single" w:sz="4" w:space="0" w:color="auto"/>
              <w:right w:val="single" w:sz="4" w:space="0" w:color="auto"/>
            </w:tcBorders>
            <w:shd w:val="clear" w:color="000000" w:fill="FFFFFF"/>
            <w:noWrap/>
            <w:vAlign w:val="center"/>
            <w:hideMark/>
          </w:tcPr>
          <w:p w14:paraId="7276B300" w14:textId="295C1FE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12,452</w:t>
            </w:r>
          </w:p>
        </w:tc>
        <w:tc>
          <w:tcPr>
            <w:tcW w:w="1016" w:type="dxa"/>
            <w:tcBorders>
              <w:top w:val="nil"/>
              <w:left w:val="nil"/>
              <w:bottom w:val="single" w:sz="4" w:space="0" w:color="auto"/>
              <w:right w:val="single" w:sz="4" w:space="0" w:color="auto"/>
            </w:tcBorders>
            <w:shd w:val="clear" w:color="000000" w:fill="FFFFFF"/>
            <w:noWrap/>
            <w:vAlign w:val="center"/>
            <w:hideMark/>
          </w:tcPr>
          <w:p w14:paraId="4EBDEC14" w14:textId="043DA74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6,444</w:t>
            </w:r>
          </w:p>
        </w:tc>
        <w:tc>
          <w:tcPr>
            <w:tcW w:w="1016" w:type="dxa"/>
            <w:tcBorders>
              <w:top w:val="nil"/>
              <w:left w:val="nil"/>
              <w:bottom w:val="single" w:sz="4" w:space="0" w:color="auto"/>
              <w:right w:val="single" w:sz="4" w:space="0" w:color="auto"/>
            </w:tcBorders>
            <w:shd w:val="clear" w:color="000000" w:fill="FFFFFF"/>
            <w:noWrap/>
            <w:vAlign w:val="center"/>
            <w:hideMark/>
          </w:tcPr>
          <w:p w14:paraId="67169674" w14:textId="30784EB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5,621</w:t>
            </w:r>
          </w:p>
        </w:tc>
        <w:tc>
          <w:tcPr>
            <w:tcW w:w="1016" w:type="dxa"/>
            <w:tcBorders>
              <w:top w:val="nil"/>
              <w:left w:val="nil"/>
              <w:bottom w:val="single" w:sz="4" w:space="0" w:color="auto"/>
              <w:right w:val="single" w:sz="4" w:space="0" w:color="auto"/>
            </w:tcBorders>
            <w:shd w:val="clear" w:color="000000" w:fill="FFFFFF"/>
            <w:noWrap/>
            <w:vAlign w:val="center"/>
            <w:hideMark/>
          </w:tcPr>
          <w:p w14:paraId="6896BC27" w14:textId="663D6B9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7,989</w:t>
            </w:r>
          </w:p>
        </w:tc>
        <w:tc>
          <w:tcPr>
            <w:tcW w:w="1016" w:type="dxa"/>
            <w:tcBorders>
              <w:top w:val="nil"/>
              <w:left w:val="nil"/>
              <w:bottom w:val="single" w:sz="4" w:space="0" w:color="auto"/>
              <w:right w:val="single" w:sz="4" w:space="0" w:color="auto"/>
            </w:tcBorders>
            <w:shd w:val="clear" w:color="000000" w:fill="FFFFFF"/>
            <w:noWrap/>
            <w:vAlign w:val="center"/>
            <w:hideMark/>
          </w:tcPr>
          <w:p w14:paraId="79BD001A" w14:textId="611F8AC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7,785</w:t>
            </w:r>
          </w:p>
        </w:tc>
        <w:tc>
          <w:tcPr>
            <w:tcW w:w="1107" w:type="dxa"/>
            <w:tcBorders>
              <w:top w:val="nil"/>
              <w:left w:val="nil"/>
              <w:bottom w:val="single" w:sz="4" w:space="0" w:color="auto"/>
              <w:right w:val="single" w:sz="4" w:space="0" w:color="auto"/>
            </w:tcBorders>
            <w:shd w:val="clear" w:color="000000" w:fill="FFFFFF"/>
            <w:noWrap/>
            <w:vAlign w:val="center"/>
            <w:hideMark/>
          </w:tcPr>
          <w:p w14:paraId="62B9E0C7" w14:textId="5809209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9,251</w:t>
            </w:r>
          </w:p>
        </w:tc>
        <w:tc>
          <w:tcPr>
            <w:tcW w:w="1016" w:type="dxa"/>
            <w:tcBorders>
              <w:top w:val="nil"/>
              <w:left w:val="nil"/>
              <w:bottom w:val="single" w:sz="4" w:space="0" w:color="auto"/>
              <w:right w:val="single" w:sz="4" w:space="0" w:color="auto"/>
            </w:tcBorders>
            <w:shd w:val="clear" w:color="000000" w:fill="FFFFFF"/>
            <w:noWrap/>
            <w:vAlign w:val="center"/>
            <w:hideMark/>
          </w:tcPr>
          <w:p w14:paraId="0FF10B89" w14:textId="69C807E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9,652</w:t>
            </w:r>
          </w:p>
        </w:tc>
        <w:tc>
          <w:tcPr>
            <w:tcW w:w="1016" w:type="dxa"/>
            <w:tcBorders>
              <w:top w:val="nil"/>
              <w:left w:val="nil"/>
              <w:bottom w:val="single" w:sz="4" w:space="0" w:color="auto"/>
              <w:right w:val="single" w:sz="4" w:space="0" w:color="auto"/>
            </w:tcBorders>
            <w:shd w:val="clear" w:color="000000" w:fill="FFFFFF"/>
            <w:noWrap/>
            <w:vAlign w:val="center"/>
            <w:hideMark/>
          </w:tcPr>
          <w:p w14:paraId="2D54470F" w14:textId="0069632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7,985</w:t>
            </w:r>
          </w:p>
        </w:tc>
        <w:tc>
          <w:tcPr>
            <w:tcW w:w="1127" w:type="dxa"/>
            <w:tcBorders>
              <w:top w:val="nil"/>
              <w:left w:val="nil"/>
              <w:bottom w:val="single" w:sz="4" w:space="0" w:color="auto"/>
              <w:right w:val="single" w:sz="4" w:space="0" w:color="auto"/>
            </w:tcBorders>
            <w:shd w:val="clear" w:color="000000" w:fill="FFFFFF"/>
            <w:noWrap/>
            <w:vAlign w:val="center"/>
            <w:hideMark/>
          </w:tcPr>
          <w:p w14:paraId="1536DE72" w14:textId="579DB5D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8,330</w:t>
            </w:r>
          </w:p>
        </w:tc>
        <w:tc>
          <w:tcPr>
            <w:tcW w:w="1016" w:type="dxa"/>
            <w:tcBorders>
              <w:top w:val="nil"/>
              <w:left w:val="nil"/>
              <w:bottom w:val="single" w:sz="4" w:space="0" w:color="auto"/>
              <w:right w:val="single" w:sz="4" w:space="0" w:color="auto"/>
            </w:tcBorders>
            <w:shd w:val="clear" w:color="000000" w:fill="FFFFFF"/>
            <w:noWrap/>
            <w:vAlign w:val="center"/>
            <w:hideMark/>
          </w:tcPr>
          <w:p w14:paraId="750086A4" w14:textId="01A40F1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15,201</w:t>
            </w:r>
          </w:p>
        </w:tc>
        <w:tc>
          <w:tcPr>
            <w:tcW w:w="1206" w:type="dxa"/>
            <w:tcBorders>
              <w:top w:val="nil"/>
              <w:left w:val="nil"/>
              <w:bottom w:val="single" w:sz="4" w:space="0" w:color="auto"/>
              <w:right w:val="single" w:sz="8" w:space="0" w:color="auto"/>
            </w:tcBorders>
            <w:shd w:val="clear" w:color="000000" w:fill="FFFFFF"/>
            <w:noWrap/>
            <w:vAlign w:val="center"/>
            <w:hideMark/>
          </w:tcPr>
          <w:p w14:paraId="303A2981" w14:textId="16A6713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115,466</w:t>
            </w:r>
          </w:p>
        </w:tc>
      </w:tr>
      <w:tr w:rsidR="00861244" w:rsidRPr="00E47FB2" w14:paraId="634E0BE6"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213FB634"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Tomate Ens.</w:t>
            </w:r>
          </w:p>
        </w:tc>
        <w:tc>
          <w:tcPr>
            <w:tcW w:w="1016" w:type="dxa"/>
            <w:tcBorders>
              <w:top w:val="nil"/>
              <w:left w:val="nil"/>
              <w:bottom w:val="single" w:sz="4" w:space="0" w:color="auto"/>
              <w:right w:val="single" w:sz="4" w:space="0" w:color="auto"/>
            </w:tcBorders>
            <w:shd w:val="clear" w:color="000000" w:fill="FFFFFF"/>
            <w:noWrap/>
            <w:vAlign w:val="center"/>
            <w:hideMark/>
          </w:tcPr>
          <w:p w14:paraId="243DACB4" w14:textId="63DC805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2,654</w:t>
            </w:r>
          </w:p>
        </w:tc>
        <w:tc>
          <w:tcPr>
            <w:tcW w:w="1016" w:type="dxa"/>
            <w:tcBorders>
              <w:top w:val="nil"/>
              <w:left w:val="nil"/>
              <w:bottom w:val="single" w:sz="4" w:space="0" w:color="auto"/>
              <w:right w:val="single" w:sz="4" w:space="0" w:color="auto"/>
            </w:tcBorders>
            <w:shd w:val="clear" w:color="000000" w:fill="FFFFFF"/>
            <w:noWrap/>
            <w:vAlign w:val="center"/>
            <w:hideMark/>
          </w:tcPr>
          <w:p w14:paraId="6D1737A0" w14:textId="310A207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2,754</w:t>
            </w:r>
          </w:p>
        </w:tc>
        <w:tc>
          <w:tcPr>
            <w:tcW w:w="1016" w:type="dxa"/>
            <w:tcBorders>
              <w:top w:val="nil"/>
              <w:left w:val="nil"/>
              <w:bottom w:val="single" w:sz="4" w:space="0" w:color="auto"/>
              <w:right w:val="single" w:sz="4" w:space="0" w:color="auto"/>
            </w:tcBorders>
            <w:shd w:val="clear" w:color="000000" w:fill="FFFFFF"/>
            <w:noWrap/>
            <w:vAlign w:val="center"/>
            <w:hideMark/>
          </w:tcPr>
          <w:p w14:paraId="2EBDE4D8" w14:textId="59ABE64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3,410</w:t>
            </w:r>
          </w:p>
        </w:tc>
        <w:tc>
          <w:tcPr>
            <w:tcW w:w="1016" w:type="dxa"/>
            <w:tcBorders>
              <w:top w:val="nil"/>
              <w:left w:val="nil"/>
              <w:bottom w:val="single" w:sz="4" w:space="0" w:color="auto"/>
              <w:right w:val="single" w:sz="4" w:space="0" w:color="auto"/>
            </w:tcBorders>
            <w:shd w:val="clear" w:color="000000" w:fill="FFFFFF"/>
            <w:noWrap/>
            <w:vAlign w:val="center"/>
            <w:hideMark/>
          </w:tcPr>
          <w:p w14:paraId="460105B7" w14:textId="660A8CE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3,254</w:t>
            </w:r>
          </w:p>
        </w:tc>
        <w:tc>
          <w:tcPr>
            <w:tcW w:w="1016" w:type="dxa"/>
            <w:tcBorders>
              <w:top w:val="nil"/>
              <w:left w:val="nil"/>
              <w:bottom w:val="single" w:sz="4" w:space="0" w:color="auto"/>
              <w:right w:val="single" w:sz="4" w:space="0" w:color="auto"/>
            </w:tcBorders>
            <w:shd w:val="clear" w:color="000000" w:fill="FFFFFF"/>
            <w:noWrap/>
            <w:vAlign w:val="center"/>
            <w:hideMark/>
          </w:tcPr>
          <w:p w14:paraId="30450FC1" w14:textId="4ABFDF2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1,465</w:t>
            </w:r>
          </w:p>
        </w:tc>
        <w:tc>
          <w:tcPr>
            <w:tcW w:w="1016" w:type="dxa"/>
            <w:tcBorders>
              <w:top w:val="nil"/>
              <w:left w:val="nil"/>
              <w:bottom w:val="single" w:sz="4" w:space="0" w:color="auto"/>
              <w:right w:val="single" w:sz="4" w:space="0" w:color="auto"/>
            </w:tcBorders>
            <w:shd w:val="clear" w:color="000000" w:fill="FFFFFF"/>
            <w:noWrap/>
            <w:vAlign w:val="center"/>
            <w:hideMark/>
          </w:tcPr>
          <w:p w14:paraId="647A2385" w14:textId="4F5BDDA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2,489</w:t>
            </w:r>
          </w:p>
        </w:tc>
        <w:tc>
          <w:tcPr>
            <w:tcW w:w="1016" w:type="dxa"/>
            <w:tcBorders>
              <w:top w:val="nil"/>
              <w:left w:val="nil"/>
              <w:bottom w:val="single" w:sz="4" w:space="0" w:color="auto"/>
              <w:right w:val="single" w:sz="4" w:space="0" w:color="auto"/>
            </w:tcBorders>
            <w:shd w:val="clear" w:color="000000" w:fill="FFFFFF"/>
            <w:noWrap/>
            <w:vAlign w:val="center"/>
            <w:hideMark/>
          </w:tcPr>
          <w:p w14:paraId="3CB19F4D" w14:textId="4C723D4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1,100</w:t>
            </w:r>
          </w:p>
        </w:tc>
        <w:tc>
          <w:tcPr>
            <w:tcW w:w="1107" w:type="dxa"/>
            <w:tcBorders>
              <w:top w:val="nil"/>
              <w:left w:val="nil"/>
              <w:bottom w:val="single" w:sz="4" w:space="0" w:color="auto"/>
              <w:right w:val="single" w:sz="4" w:space="0" w:color="auto"/>
            </w:tcBorders>
            <w:shd w:val="clear" w:color="000000" w:fill="FFFFFF"/>
            <w:noWrap/>
            <w:vAlign w:val="center"/>
            <w:hideMark/>
          </w:tcPr>
          <w:p w14:paraId="05391BBA" w14:textId="37E0706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1,642</w:t>
            </w:r>
          </w:p>
        </w:tc>
        <w:tc>
          <w:tcPr>
            <w:tcW w:w="1016" w:type="dxa"/>
            <w:tcBorders>
              <w:top w:val="nil"/>
              <w:left w:val="nil"/>
              <w:bottom w:val="single" w:sz="4" w:space="0" w:color="auto"/>
              <w:right w:val="single" w:sz="4" w:space="0" w:color="auto"/>
            </w:tcBorders>
            <w:shd w:val="clear" w:color="000000" w:fill="FFFFFF"/>
            <w:noWrap/>
            <w:vAlign w:val="center"/>
            <w:hideMark/>
          </w:tcPr>
          <w:p w14:paraId="7AE95E5F" w14:textId="5F39EBE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1,435</w:t>
            </w:r>
          </w:p>
        </w:tc>
        <w:tc>
          <w:tcPr>
            <w:tcW w:w="1016" w:type="dxa"/>
            <w:tcBorders>
              <w:top w:val="nil"/>
              <w:left w:val="nil"/>
              <w:bottom w:val="single" w:sz="4" w:space="0" w:color="auto"/>
              <w:right w:val="single" w:sz="4" w:space="0" w:color="auto"/>
            </w:tcBorders>
            <w:shd w:val="clear" w:color="000000" w:fill="FFFFFF"/>
            <w:noWrap/>
            <w:vAlign w:val="center"/>
            <w:hideMark/>
          </w:tcPr>
          <w:p w14:paraId="65D65E5E" w14:textId="3CE8D95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2,014</w:t>
            </w:r>
          </w:p>
        </w:tc>
        <w:tc>
          <w:tcPr>
            <w:tcW w:w="1127" w:type="dxa"/>
            <w:tcBorders>
              <w:top w:val="nil"/>
              <w:left w:val="nil"/>
              <w:bottom w:val="single" w:sz="4" w:space="0" w:color="auto"/>
              <w:right w:val="single" w:sz="4" w:space="0" w:color="auto"/>
            </w:tcBorders>
            <w:shd w:val="clear" w:color="000000" w:fill="FFFFFF"/>
            <w:noWrap/>
            <w:vAlign w:val="center"/>
            <w:hideMark/>
          </w:tcPr>
          <w:p w14:paraId="6BEF1FBA" w14:textId="6C0E0CC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1,472</w:t>
            </w:r>
          </w:p>
        </w:tc>
        <w:tc>
          <w:tcPr>
            <w:tcW w:w="1016" w:type="dxa"/>
            <w:tcBorders>
              <w:top w:val="nil"/>
              <w:left w:val="nil"/>
              <w:bottom w:val="single" w:sz="4" w:space="0" w:color="auto"/>
              <w:right w:val="single" w:sz="4" w:space="0" w:color="auto"/>
            </w:tcBorders>
            <w:shd w:val="clear" w:color="000000" w:fill="FFFFFF"/>
            <w:noWrap/>
            <w:vAlign w:val="center"/>
            <w:hideMark/>
          </w:tcPr>
          <w:p w14:paraId="4FA10BC5" w14:textId="1224B06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2,285</w:t>
            </w:r>
          </w:p>
        </w:tc>
        <w:tc>
          <w:tcPr>
            <w:tcW w:w="1206" w:type="dxa"/>
            <w:tcBorders>
              <w:top w:val="nil"/>
              <w:left w:val="nil"/>
              <w:bottom w:val="single" w:sz="4" w:space="0" w:color="auto"/>
              <w:right w:val="single" w:sz="8" w:space="0" w:color="auto"/>
            </w:tcBorders>
            <w:shd w:val="clear" w:color="000000" w:fill="FFFFFF"/>
            <w:noWrap/>
            <w:vAlign w:val="center"/>
            <w:hideMark/>
          </w:tcPr>
          <w:p w14:paraId="704D5F4D" w14:textId="54D6043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25,974</w:t>
            </w:r>
          </w:p>
        </w:tc>
      </w:tr>
      <w:tr w:rsidR="00861244" w:rsidRPr="00E47FB2" w14:paraId="575804D2"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442B6B5E"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Tomate Ind.</w:t>
            </w:r>
          </w:p>
        </w:tc>
        <w:tc>
          <w:tcPr>
            <w:tcW w:w="1016" w:type="dxa"/>
            <w:tcBorders>
              <w:top w:val="nil"/>
              <w:left w:val="nil"/>
              <w:bottom w:val="single" w:sz="4" w:space="0" w:color="auto"/>
              <w:right w:val="single" w:sz="4" w:space="0" w:color="auto"/>
            </w:tcBorders>
            <w:shd w:val="clear" w:color="000000" w:fill="FFFFFF"/>
            <w:noWrap/>
            <w:vAlign w:val="center"/>
            <w:hideMark/>
          </w:tcPr>
          <w:p w14:paraId="50C2D5CE" w14:textId="37380A7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15,800</w:t>
            </w:r>
          </w:p>
        </w:tc>
        <w:tc>
          <w:tcPr>
            <w:tcW w:w="1016" w:type="dxa"/>
            <w:tcBorders>
              <w:top w:val="nil"/>
              <w:left w:val="nil"/>
              <w:bottom w:val="single" w:sz="4" w:space="0" w:color="auto"/>
              <w:right w:val="single" w:sz="4" w:space="0" w:color="auto"/>
            </w:tcBorders>
            <w:shd w:val="clear" w:color="000000" w:fill="FFFFFF"/>
            <w:noWrap/>
            <w:vAlign w:val="center"/>
            <w:hideMark/>
          </w:tcPr>
          <w:p w14:paraId="5D9125D0" w14:textId="4A286D0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26,911</w:t>
            </w:r>
          </w:p>
        </w:tc>
        <w:tc>
          <w:tcPr>
            <w:tcW w:w="1016" w:type="dxa"/>
            <w:tcBorders>
              <w:top w:val="nil"/>
              <w:left w:val="nil"/>
              <w:bottom w:val="single" w:sz="4" w:space="0" w:color="auto"/>
              <w:right w:val="single" w:sz="4" w:space="0" w:color="auto"/>
            </w:tcBorders>
            <w:shd w:val="clear" w:color="000000" w:fill="FFFFFF"/>
            <w:noWrap/>
            <w:vAlign w:val="center"/>
            <w:hideMark/>
          </w:tcPr>
          <w:p w14:paraId="24647E92" w14:textId="46F4F8A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28,572</w:t>
            </w:r>
          </w:p>
        </w:tc>
        <w:tc>
          <w:tcPr>
            <w:tcW w:w="1016" w:type="dxa"/>
            <w:tcBorders>
              <w:top w:val="nil"/>
              <w:left w:val="nil"/>
              <w:bottom w:val="single" w:sz="4" w:space="0" w:color="auto"/>
              <w:right w:val="single" w:sz="4" w:space="0" w:color="auto"/>
            </w:tcBorders>
            <w:shd w:val="clear" w:color="000000" w:fill="FFFFFF"/>
            <w:noWrap/>
            <w:vAlign w:val="center"/>
            <w:hideMark/>
          </w:tcPr>
          <w:p w14:paraId="3E5870FE" w14:textId="3A78B2D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12,302</w:t>
            </w:r>
          </w:p>
        </w:tc>
        <w:tc>
          <w:tcPr>
            <w:tcW w:w="1016" w:type="dxa"/>
            <w:tcBorders>
              <w:top w:val="nil"/>
              <w:left w:val="nil"/>
              <w:bottom w:val="single" w:sz="4" w:space="0" w:color="auto"/>
              <w:right w:val="single" w:sz="4" w:space="0" w:color="auto"/>
            </w:tcBorders>
            <w:shd w:val="clear" w:color="000000" w:fill="FFFFFF"/>
            <w:noWrap/>
            <w:vAlign w:val="center"/>
            <w:hideMark/>
          </w:tcPr>
          <w:p w14:paraId="61F3A4D3" w14:textId="7328F8F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14:paraId="5B0729B6" w14:textId="2A6700E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14:paraId="3CD81D02" w14:textId="6AEBDE2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107" w:type="dxa"/>
            <w:tcBorders>
              <w:top w:val="nil"/>
              <w:left w:val="nil"/>
              <w:bottom w:val="single" w:sz="4" w:space="0" w:color="auto"/>
              <w:right w:val="single" w:sz="4" w:space="0" w:color="auto"/>
            </w:tcBorders>
            <w:shd w:val="clear" w:color="000000" w:fill="FFFFFF"/>
            <w:noWrap/>
            <w:vAlign w:val="center"/>
            <w:hideMark/>
          </w:tcPr>
          <w:p w14:paraId="49DDB329" w14:textId="59C92EF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14:paraId="592F1924" w14:textId="560E61C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14:paraId="7EE44D78" w14:textId="5C5AD68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127" w:type="dxa"/>
            <w:tcBorders>
              <w:top w:val="nil"/>
              <w:left w:val="nil"/>
              <w:bottom w:val="single" w:sz="4" w:space="0" w:color="auto"/>
              <w:right w:val="single" w:sz="4" w:space="0" w:color="auto"/>
            </w:tcBorders>
            <w:shd w:val="clear" w:color="000000" w:fill="FFFFFF"/>
            <w:noWrap/>
            <w:vAlign w:val="center"/>
            <w:hideMark/>
          </w:tcPr>
          <w:p w14:paraId="177CFB2B" w14:textId="17FD38F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016" w:type="dxa"/>
            <w:tcBorders>
              <w:top w:val="nil"/>
              <w:left w:val="nil"/>
              <w:bottom w:val="single" w:sz="4" w:space="0" w:color="auto"/>
              <w:right w:val="single" w:sz="4" w:space="0" w:color="auto"/>
            </w:tcBorders>
            <w:shd w:val="clear" w:color="000000" w:fill="FFFFFF"/>
            <w:noWrap/>
            <w:vAlign w:val="center"/>
            <w:hideMark/>
          </w:tcPr>
          <w:p w14:paraId="30BC5CCA" w14:textId="7783E22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206" w:type="dxa"/>
            <w:tcBorders>
              <w:top w:val="nil"/>
              <w:left w:val="nil"/>
              <w:bottom w:val="single" w:sz="4" w:space="0" w:color="auto"/>
              <w:right w:val="single" w:sz="8" w:space="0" w:color="auto"/>
            </w:tcBorders>
            <w:shd w:val="clear" w:color="000000" w:fill="FFFFFF"/>
            <w:noWrap/>
            <w:vAlign w:val="center"/>
            <w:hideMark/>
          </w:tcPr>
          <w:p w14:paraId="454085C1" w14:textId="3105551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83,585</w:t>
            </w:r>
          </w:p>
        </w:tc>
      </w:tr>
      <w:tr w:rsidR="00861244" w:rsidRPr="00E47FB2" w14:paraId="5784F439"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66BDBF9B"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Zanahoria</w:t>
            </w:r>
          </w:p>
        </w:tc>
        <w:tc>
          <w:tcPr>
            <w:tcW w:w="1016" w:type="dxa"/>
            <w:tcBorders>
              <w:top w:val="nil"/>
              <w:left w:val="nil"/>
              <w:bottom w:val="single" w:sz="4" w:space="0" w:color="auto"/>
              <w:right w:val="single" w:sz="4" w:space="0" w:color="auto"/>
            </w:tcBorders>
            <w:shd w:val="clear" w:color="000000" w:fill="FFFFFF"/>
            <w:noWrap/>
            <w:vAlign w:val="center"/>
            <w:hideMark/>
          </w:tcPr>
          <w:p w14:paraId="186C9CEA" w14:textId="52B1DE5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2,401</w:t>
            </w:r>
          </w:p>
        </w:tc>
        <w:tc>
          <w:tcPr>
            <w:tcW w:w="1016" w:type="dxa"/>
            <w:tcBorders>
              <w:top w:val="nil"/>
              <w:left w:val="nil"/>
              <w:bottom w:val="single" w:sz="4" w:space="0" w:color="auto"/>
              <w:right w:val="single" w:sz="4" w:space="0" w:color="auto"/>
            </w:tcBorders>
            <w:shd w:val="clear" w:color="000000" w:fill="FFFFFF"/>
            <w:noWrap/>
            <w:vAlign w:val="center"/>
            <w:hideMark/>
          </w:tcPr>
          <w:p w14:paraId="19CC7D4D" w14:textId="255B55E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1,860</w:t>
            </w:r>
          </w:p>
        </w:tc>
        <w:tc>
          <w:tcPr>
            <w:tcW w:w="1016" w:type="dxa"/>
            <w:tcBorders>
              <w:top w:val="nil"/>
              <w:left w:val="nil"/>
              <w:bottom w:val="single" w:sz="4" w:space="0" w:color="auto"/>
              <w:right w:val="single" w:sz="4" w:space="0" w:color="auto"/>
            </w:tcBorders>
            <w:shd w:val="clear" w:color="000000" w:fill="FFFFFF"/>
            <w:noWrap/>
            <w:vAlign w:val="center"/>
            <w:hideMark/>
          </w:tcPr>
          <w:p w14:paraId="54EFA09A" w14:textId="5EA7170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2,600</w:t>
            </w:r>
          </w:p>
        </w:tc>
        <w:tc>
          <w:tcPr>
            <w:tcW w:w="1016" w:type="dxa"/>
            <w:tcBorders>
              <w:top w:val="nil"/>
              <w:left w:val="nil"/>
              <w:bottom w:val="single" w:sz="4" w:space="0" w:color="auto"/>
              <w:right w:val="single" w:sz="4" w:space="0" w:color="auto"/>
            </w:tcBorders>
            <w:shd w:val="clear" w:color="000000" w:fill="FFFFFF"/>
            <w:noWrap/>
            <w:vAlign w:val="center"/>
            <w:hideMark/>
          </w:tcPr>
          <w:p w14:paraId="07F1258A" w14:textId="727EAFF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1,700</w:t>
            </w:r>
          </w:p>
        </w:tc>
        <w:tc>
          <w:tcPr>
            <w:tcW w:w="1016" w:type="dxa"/>
            <w:tcBorders>
              <w:top w:val="nil"/>
              <w:left w:val="nil"/>
              <w:bottom w:val="single" w:sz="4" w:space="0" w:color="auto"/>
              <w:right w:val="single" w:sz="4" w:space="0" w:color="auto"/>
            </w:tcBorders>
            <w:shd w:val="clear" w:color="000000" w:fill="FFFFFF"/>
            <w:noWrap/>
            <w:vAlign w:val="center"/>
            <w:hideMark/>
          </w:tcPr>
          <w:p w14:paraId="4939E0B2" w14:textId="6275EED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1,499</w:t>
            </w:r>
          </w:p>
        </w:tc>
        <w:tc>
          <w:tcPr>
            <w:tcW w:w="1016" w:type="dxa"/>
            <w:tcBorders>
              <w:top w:val="nil"/>
              <w:left w:val="nil"/>
              <w:bottom w:val="single" w:sz="4" w:space="0" w:color="auto"/>
              <w:right w:val="single" w:sz="4" w:space="0" w:color="auto"/>
            </w:tcBorders>
            <w:shd w:val="clear" w:color="000000" w:fill="FFFFFF"/>
            <w:noWrap/>
            <w:vAlign w:val="center"/>
            <w:hideMark/>
          </w:tcPr>
          <w:p w14:paraId="4C6DE408" w14:textId="782DED1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10,001</w:t>
            </w:r>
          </w:p>
        </w:tc>
        <w:tc>
          <w:tcPr>
            <w:tcW w:w="1016" w:type="dxa"/>
            <w:tcBorders>
              <w:top w:val="nil"/>
              <w:left w:val="nil"/>
              <w:bottom w:val="single" w:sz="4" w:space="0" w:color="auto"/>
              <w:right w:val="single" w:sz="4" w:space="0" w:color="auto"/>
            </w:tcBorders>
            <w:shd w:val="clear" w:color="000000" w:fill="FFFFFF"/>
            <w:noWrap/>
            <w:vAlign w:val="center"/>
            <w:hideMark/>
          </w:tcPr>
          <w:p w14:paraId="2ED1D8CE" w14:textId="2749DEC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1,754</w:t>
            </w:r>
          </w:p>
        </w:tc>
        <w:tc>
          <w:tcPr>
            <w:tcW w:w="1107" w:type="dxa"/>
            <w:tcBorders>
              <w:top w:val="nil"/>
              <w:left w:val="nil"/>
              <w:bottom w:val="single" w:sz="4" w:space="0" w:color="auto"/>
              <w:right w:val="single" w:sz="4" w:space="0" w:color="auto"/>
            </w:tcBorders>
            <w:shd w:val="clear" w:color="000000" w:fill="FFFFFF"/>
            <w:noWrap/>
            <w:vAlign w:val="center"/>
            <w:hideMark/>
          </w:tcPr>
          <w:p w14:paraId="43771EC4" w14:textId="2CC9CC1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1,788</w:t>
            </w:r>
          </w:p>
        </w:tc>
        <w:tc>
          <w:tcPr>
            <w:tcW w:w="1016" w:type="dxa"/>
            <w:tcBorders>
              <w:top w:val="nil"/>
              <w:left w:val="nil"/>
              <w:bottom w:val="single" w:sz="4" w:space="0" w:color="auto"/>
              <w:right w:val="single" w:sz="4" w:space="0" w:color="auto"/>
            </w:tcBorders>
            <w:shd w:val="clear" w:color="000000" w:fill="FFFFFF"/>
            <w:noWrap/>
            <w:vAlign w:val="center"/>
            <w:hideMark/>
          </w:tcPr>
          <w:p w14:paraId="4BE42D6E" w14:textId="60B5444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1,642</w:t>
            </w:r>
          </w:p>
        </w:tc>
        <w:tc>
          <w:tcPr>
            <w:tcW w:w="1016" w:type="dxa"/>
            <w:tcBorders>
              <w:top w:val="nil"/>
              <w:left w:val="nil"/>
              <w:bottom w:val="single" w:sz="4" w:space="0" w:color="auto"/>
              <w:right w:val="single" w:sz="4" w:space="0" w:color="auto"/>
            </w:tcBorders>
            <w:shd w:val="clear" w:color="000000" w:fill="FFFFFF"/>
            <w:noWrap/>
            <w:vAlign w:val="center"/>
            <w:hideMark/>
          </w:tcPr>
          <w:p w14:paraId="0BAFA1D7" w14:textId="449D93D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2,301</w:t>
            </w:r>
          </w:p>
        </w:tc>
        <w:tc>
          <w:tcPr>
            <w:tcW w:w="1127" w:type="dxa"/>
            <w:tcBorders>
              <w:top w:val="nil"/>
              <w:left w:val="nil"/>
              <w:bottom w:val="single" w:sz="4" w:space="0" w:color="auto"/>
              <w:right w:val="single" w:sz="4" w:space="0" w:color="auto"/>
            </w:tcBorders>
            <w:shd w:val="clear" w:color="000000" w:fill="FFFFFF"/>
            <w:noWrap/>
            <w:vAlign w:val="center"/>
            <w:hideMark/>
          </w:tcPr>
          <w:p w14:paraId="6BE07684" w14:textId="2FF3BEE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2,548</w:t>
            </w:r>
          </w:p>
        </w:tc>
        <w:tc>
          <w:tcPr>
            <w:tcW w:w="1016" w:type="dxa"/>
            <w:tcBorders>
              <w:top w:val="nil"/>
              <w:left w:val="nil"/>
              <w:bottom w:val="single" w:sz="4" w:space="0" w:color="auto"/>
              <w:right w:val="single" w:sz="4" w:space="0" w:color="auto"/>
            </w:tcBorders>
            <w:shd w:val="clear" w:color="000000" w:fill="FFFFFF"/>
            <w:noWrap/>
            <w:vAlign w:val="center"/>
            <w:hideMark/>
          </w:tcPr>
          <w:p w14:paraId="1D2F95C0" w14:textId="3960695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2,374</w:t>
            </w:r>
          </w:p>
        </w:tc>
        <w:tc>
          <w:tcPr>
            <w:tcW w:w="1206" w:type="dxa"/>
            <w:tcBorders>
              <w:top w:val="nil"/>
              <w:left w:val="nil"/>
              <w:bottom w:val="single" w:sz="4" w:space="0" w:color="auto"/>
              <w:right w:val="single" w:sz="8" w:space="0" w:color="auto"/>
            </w:tcBorders>
            <w:shd w:val="clear" w:color="000000" w:fill="FFFFFF"/>
            <w:noWrap/>
            <w:vAlign w:val="center"/>
            <w:hideMark/>
          </w:tcPr>
          <w:p w14:paraId="45909A87" w14:textId="4866B5C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32,468</w:t>
            </w:r>
          </w:p>
        </w:tc>
      </w:tr>
      <w:tr w:rsidR="00861244" w:rsidRPr="00E47FB2" w14:paraId="3EF01135"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229A1DFA"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Remolacha</w:t>
            </w:r>
          </w:p>
        </w:tc>
        <w:tc>
          <w:tcPr>
            <w:tcW w:w="1016" w:type="dxa"/>
            <w:tcBorders>
              <w:top w:val="nil"/>
              <w:left w:val="nil"/>
              <w:bottom w:val="single" w:sz="4" w:space="0" w:color="auto"/>
              <w:right w:val="single" w:sz="4" w:space="0" w:color="auto"/>
            </w:tcBorders>
            <w:shd w:val="clear" w:color="000000" w:fill="FFFFFF"/>
            <w:noWrap/>
            <w:vAlign w:val="center"/>
            <w:hideMark/>
          </w:tcPr>
          <w:p w14:paraId="0D7CCF8C" w14:textId="2C7B8C1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466</w:t>
            </w:r>
          </w:p>
        </w:tc>
        <w:tc>
          <w:tcPr>
            <w:tcW w:w="1016" w:type="dxa"/>
            <w:tcBorders>
              <w:top w:val="nil"/>
              <w:left w:val="nil"/>
              <w:bottom w:val="single" w:sz="4" w:space="0" w:color="auto"/>
              <w:right w:val="single" w:sz="4" w:space="0" w:color="auto"/>
            </w:tcBorders>
            <w:shd w:val="clear" w:color="000000" w:fill="FFFFFF"/>
            <w:noWrap/>
            <w:vAlign w:val="center"/>
            <w:hideMark/>
          </w:tcPr>
          <w:p w14:paraId="0832EB87" w14:textId="74EF3D7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578</w:t>
            </w:r>
          </w:p>
        </w:tc>
        <w:tc>
          <w:tcPr>
            <w:tcW w:w="1016" w:type="dxa"/>
            <w:tcBorders>
              <w:top w:val="nil"/>
              <w:left w:val="nil"/>
              <w:bottom w:val="single" w:sz="4" w:space="0" w:color="auto"/>
              <w:right w:val="single" w:sz="4" w:space="0" w:color="auto"/>
            </w:tcBorders>
            <w:shd w:val="clear" w:color="000000" w:fill="FFFFFF"/>
            <w:noWrap/>
            <w:vAlign w:val="center"/>
            <w:hideMark/>
          </w:tcPr>
          <w:p w14:paraId="24826054" w14:textId="653CFE0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289</w:t>
            </w:r>
          </w:p>
        </w:tc>
        <w:tc>
          <w:tcPr>
            <w:tcW w:w="1016" w:type="dxa"/>
            <w:tcBorders>
              <w:top w:val="nil"/>
              <w:left w:val="nil"/>
              <w:bottom w:val="single" w:sz="4" w:space="0" w:color="auto"/>
              <w:right w:val="single" w:sz="4" w:space="0" w:color="auto"/>
            </w:tcBorders>
            <w:shd w:val="clear" w:color="000000" w:fill="FFFFFF"/>
            <w:noWrap/>
            <w:vAlign w:val="center"/>
            <w:hideMark/>
          </w:tcPr>
          <w:p w14:paraId="38B63887" w14:textId="74F79E1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460</w:t>
            </w:r>
          </w:p>
        </w:tc>
        <w:tc>
          <w:tcPr>
            <w:tcW w:w="1016" w:type="dxa"/>
            <w:tcBorders>
              <w:top w:val="nil"/>
              <w:left w:val="nil"/>
              <w:bottom w:val="single" w:sz="4" w:space="0" w:color="auto"/>
              <w:right w:val="single" w:sz="4" w:space="0" w:color="auto"/>
            </w:tcBorders>
            <w:shd w:val="clear" w:color="000000" w:fill="FFFFFF"/>
            <w:noWrap/>
            <w:vAlign w:val="center"/>
            <w:hideMark/>
          </w:tcPr>
          <w:p w14:paraId="41A36DDB" w14:textId="6FBE6B2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456</w:t>
            </w:r>
          </w:p>
        </w:tc>
        <w:tc>
          <w:tcPr>
            <w:tcW w:w="1016" w:type="dxa"/>
            <w:tcBorders>
              <w:top w:val="nil"/>
              <w:left w:val="nil"/>
              <w:bottom w:val="single" w:sz="4" w:space="0" w:color="auto"/>
              <w:right w:val="single" w:sz="4" w:space="0" w:color="auto"/>
            </w:tcBorders>
            <w:shd w:val="clear" w:color="000000" w:fill="FFFFFF"/>
            <w:noWrap/>
            <w:vAlign w:val="center"/>
            <w:hideMark/>
          </w:tcPr>
          <w:p w14:paraId="35BA4A18" w14:textId="4456107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359</w:t>
            </w:r>
          </w:p>
        </w:tc>
        <w:tc>
          <w:tcPr>
            <w:tcW w:w="1016" w:type="dxa"/>
            <w:tcBorders>
              <w:top w:val="nil"/>
              <w:left w:val="nil"/>
              <w:bottom w:val="single" w:sz="4" w:space="0" w:color="auto"/>
              <w:right w:val="single" w:sz="4" w:space="0" w:color="auto"/>
            </w:tcBorders>
            <w:shd w:val="clear" w:color="000000" w:fill="FFFFFF"/>
            <w:noWrap/>
            <w:vAlign w:val="center"/>
            <w:hideMark/>
          </w:tcPr>
          <w:p w14:paraId="46B944E6" w14:textId="2E22B90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425</w:t>
            </w:r>
          </w:p>
        </w:tc>
        <w:tc>
          <w:tcPr>
            <w:tcW w:w="1107" w:type="dxa"/>
            <w:tcBorders>
              <w:top w:val="nil"/>
              <w:left w:val="nil"/>
              <w:bottom w:val="single" w:sz="4" w:space="0" w:color="auto"/>
              <w:right w:val="single" w:sz="4" w:space="0" w:color="auto"/>
            </w:tcBorders>
            <w:shd w:val="clear" w:color="000000" w:fill="FFFFFF"/>
            <w:noWrap/>
            <w:vAlign w:val="center"/>
            <w:hideMark/>
          </w:tcPr>
          <w:p w14:paraId="4C94FEA6" w14:textId="5F10B3B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435</w:t>
            </w:r>
          </w:p>
        </w:tc>
        <w:tc>
          <w:tcPr>
            <w:tcW w:w="1016" w:type="dxa"/>
            <w:tcBorders>
              <w:top w:val="nil"/>
              <w:left w:val="nil"/>
              <w:bottom w:val="single" w:sz="4" w:space="0" w:color="auto"/>
              <w:right w:val="single" w:sz="4" w:space="0" w:color="auto"/>
            </w:tcBorders>
            <w:shd w:val="clear" w:color="000000" w:fill="FFFFFF"/>
            <w:noWrap/>
            <w:vAlign w:val="center"/>
            <w:hideMark/>
          </w:tcPr>
          <w:p w14:paraId="0AFA1102" w14:textId="6F4F7CF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345</w:t>
            </w:r>
          </w:p>
        </w:tc>
        <w:tc>
          <w:tcPr>
            <w:tcW w:w="1016" w:type="dxa"/>
            <w:tcBorders>
              <w:top w:val="nil"/>
              <w:left w:val="nil"/>
              <w:bottom w:val="single" w:sz="4" w:space="0" w:color="auto"/>
              <w:right w:val="single" w:sz="4" w:space="0" w:color="auto"/>
            </w:tcBorders>
            <w:shd w:val="clear" w:color="000000" w:fill="FFFFFF"/>
            <w:noWrap/>
            <w:vAlign w:val="center"/>
            <w:hideMark/>
          </w:tcPr>
          <w:p w14:paraId="366B2004" w14:textId="6E46AA7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362</w:t>
            </w:r>
          </w:p>
        </w:tc>
        <w:tc>
          <w:tcPr>
            <w:tcW w:w="1127" w:type="dxa"/>
            <w:tcBorders>
              <w:top w:val="nil"/>
              <w:left w:val="nil"/>
              <w:bottom w:val="single" w:sz="4" w:space="0" w:color="auto"/>
              <w:right w:val="single" w:sz="4" w:space="0" w:color="auto"/>
            </w:tcBorders>
            <w:shd w:val="clear" w:color="000000" w:fill="FFFFFF"/>
            <w:noWrap/>
            <w:vAlign w:val="center"/>
            <w:hideMark/>
          </w:tcPr>
          <w:p w14:paraId="46B80C53" w14:textId="7799FF6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365</w:t>
            </w:r>
          </w:p>
        </w:tc>
        <w:tc>
          <w:tcPr>
            <w:tcW w:w="1016" w:type="dxa"/>
            <w:tcBorders>
              <w:top w:val="nil"/>
              <w:left w:val="nil"/>
              <w:bottom w:val="single" w:sz="4" w:space="0" w:color="auto"/>
              <w:right w:val="single" w:sz="4" w:space="0" w:color="auto"/>
            </w:tcBorders>
            <w:shd w:val="clear" w:color="000000" w:fill="FFFFFF"/>
            <w:noWrap/>
            <w:vAlign w:val="center"/>
            <w:hideMark/>
          </w:tcPr>
          <w:p w14:paraId="1DBDA1F3" w14:textId="05A0E0C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898</w:t>
            </w:r>
          </w:p>
        </w:tc>
        <w:tc>
          <w:tcPr>
            <w:tcW w:w="1206" w:type="dxa"/>
            <w:tcBorders>
              <w:top w:val="nil"/>
              <w:left w:val="nil"/>
              <w:bottom w:val="single" w:sz="4" w:space="0" w:color="auto"/>
              <w:right w:val="single" w:sz="8" w:space="0" w:color="auto"/>
            </w:tcBorders>
            <w:shd w:val="clear" w:color="000000" w:fill="FFFFFF"/>
            <w:noWrap/>
            <w:vAlign w:val="center"/>
            <w:hideMark/>
          </w:tcPr>
          <w:p w14:paraId="0EFA99EF" w14:textId="2935F98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5,438</w:t>
            </w:r>
          </w:p>
        </w:tc>
      </w:tr>
      <w:tr w:rsidR="00861244" w:rsidRPr="00E47FB2" w14:paraId="01177D2B"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1AD0FE9D"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Rábano</w:t>
            </w:r>
          </w:p>
        </w:tc>
        <w:tc>
          <w:tcPr>
            <w:tcW w:w="1016" w:type="dxa"/>
            <w:tcBorders>
              <w:top w:val="nil"/>
              <w:left w:val="nil"/>
              <w:bottom w:val="single" w:sz="4" w:space="0" w:color="auto"/>
              <w:right w:val="single" w:sz="4" w:space="0" w:color="auto"/>
            </w:tcBorders>
            <w:shd w:val="clear" w:color="000000" w:fill="FFFFFF"/>
            <w:noWrap/>
            <w:vAlign w:val="center"/>
            <w:hideMark/>
          </w:tcPr>
          <w:p w14:paraId="5EC49723" w14:textId="4E14E26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127</w:t>
            </w:r>
          </w:p>
        </w:tc>
        <w:tc>
          <w:tcPr>
            <w:tcW w:w="1016" w:type="dxa"/>
            <w:tcBorders>
              <w:top w:val="nil"/>
              <w:left w:val="nil"/>
              <w:bottom w:val="single" w:sz="4" w:space="0" w:color="auto"/>
              <w:right w:val="single" w:sz="4" w:space="0" w:color="auto"/>
            </w:tcBorders>
            <w:shd w:val="clear" w:color="000000" w:fill="FFFFFF"/>
            <w:noWrap/>
            <w:vAlign w:val="center"/>
            <w:hideMark/>
          </w:tcPr>
          <w:p w14:paraId="36E70C35" w14:textId="653D6EF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126</w:t>
            </w:r>
          </w:p>
        </w:tc>
        <w:tc>
          <w:tcPr>
            <w:tcW w:w="1016" w:type="dxa"/>
            <w:tcBorders>
              <w:top w:val="nil"/>
              <w:left w:val="nil"/>
              <w:bottom w:val="single" w:sz="4" w:space="0" w:color="auto"/>
              <w:right w:val="single" w:sz="4" w:space="0" w:color="auto"/>
            </w:tcBorders>
            <w:shd w:val="clear" w:color="000000" w:fill="FFFFFF"/>
            <w:noWrap/>
            <w:vAlign w:val="center"/>
            <w:hideMark/>
          </w:tcPr>
          <w:p w14:paraId="58CC15B5" w14:textId="6A1B64A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82</w:t>
            </w:r>
          </w:p>
        </w:tc>
        <w:tc>
          <w:tcPr>
            <w:tcW w:w="1016" w:type="dxa"/>
            <w:tcBorders>
              <w:top w:val="nil"/>
              <w:left w:val="nil"/>
              <w:bottom w:val="single" w:sz="4" w:space="0" w:color="auto"/>
              <w:right w:val="single" w:sz="4" w:space="0" w:color="auto"/>
            </w:tcBorders>
            <w:shd w:val="clear" w:color="000000" w:fill="FFFFFF"/>
            <w:noWrap/>
            <w:vAlign w:val="center"/>
            <w:hideMark/>
          </w:tcPr>
          <w:p w14:paraId="2869B365" w14:textId="62159F9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142</w:t>
            </w:r>
          </w:p>
        </w:tc>
        <w:tc>
          <w:tcPr>
            <w:tcW w:w="1016" w:type="dxa"/>
            <w:tcBorders>
              <w:top w:val="nil"/>
              <w:left w:val="nil"/>
              <w:bottom w:val="single" w:sz="4" w:space="0" w:color="auto"/>
              <w:right w:val="single" w:sz="4" w:space="0" w:color="auto"/>
            </w:tcBorders>
            <w:shd w:val="clear" w:color="000000" w:fill="FFFFFF"/>
            <w:noWrap/>
            <w:vAlign w:val="center"/>
            <w:hideMark/>
          </w:tcPr>
          <w:p w14:paraId="7A140015" w14:textId="744D84B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103</w:t>
            </w:r>
          </w:p>
        </w:tc>
        <w:tc>
          <w:tcPr>
            <w:tcW w:w="1016" w:type="dxa"/>
            <w:tcBorders>
              <w:top w:val="nil"/>
              <w:left w:val="nil"/>
              <w:bottom w:val="single" w:sz="4" w:space="0" w:color="auto"/>
              <w:right w:val="single" w:sz="4" w:space="0" w:color="auto"/>
            </w:tcBorders>
            <w:shd w:val="clear" w:color="000000" w:fill="FFFFFF"/>
            <w:noWrap/>
            <w:vAlign w:val="center"/>
            <w:hideMark/>
          </w:tcPr>
          <w:p w14:paraId="6C541006" w14:textId="08728C2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140</w:t>
            </w:r>
          </w:p>
        </w:tc>
        <w:tc>
          <w:tcPr>
            <w:tcW w:w="1016" w:type="dxa"/>
            <w:tcBorders>
              <w:top w:val="nil"/>
              <w:left w:val="nil"/>
              <w:bottom w:val="single" w:sz="4" w:space="0" w:color="auto"/>
              <w:right w:val="single" w:sz="4" w:space="0" w:color="auto"/>
            </w:tcBorders>
            <w:shd w:val="clear" w:color="000000" w:fill="FFFFFF"/>
            <w:noWrap/>
            <w:vAlign w:val="center"/>
            <w:hideMark/>
          </w:tcPr>
          <w:p w14:paraId="6FF7B3AF" w14:textId="482ED62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201</w:t>
            </w:r>
          </w:p>
        </w:tc>
        <w:tc>
          <w:tcPr>
            <w:tcW w:w="1107" w:type="dxa"/>
            <w:tcBorders>
              <w:top w:val="nil"/>
              <w:left w:val="nil"/>
              <w:bottom w:val="single" w:sz="4" w:space="0" w:color="auto"/>
              <w:right w:val="single" w:sz="4" w:space="0" w:color="auto"/>
            </w:tcBorders>
            <w:shd w:val="clear" w:color="000000" w:fill="FFFFFF"/>
            <w:noWrap/>
            <w:vAlign w:val="center"/>
            <w:hideMark/>
          </w:tcPr>
          <w:p w14:paraId="0CB52402" w14:textId="16FE2D8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166</w:t>
            </w:r>
          </w:p>
        </w:tc>
        <w:tc>
          <w:tcPr>
            <w:tcW w:w="1016" w:type="dxa"/>
            <w:tcBorders>
              <w:top w:val="nil"/>
              <w:left w:val="nil"/>
              <w:bottom w:val="single" w:sz="4" w:space="0" w:color="auto"/>
              <w:right w:val="single" w:sz="4" w:space="0" w:color="auto"/>
            </w:tcBorders>
            <w:shd w:val="clear" w:color="000000" w:fill="FFFFFF"/>
            <w:noWrap/>
            <w:vAlign w:val="center"/>
            <w:hideMark/>
          </w:tcPr>
          <w:p w14:paraId="1C3315B4" w14:textId="2491045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280</w:t>
            </w:r>
          </w:p>
        </w:tc>
        <w:tc>
          <w:tcPr>
            <w:tcW w:w="1016" w:type="dxa"/>
            <w:tcBorders>
              <w:top w:val="nil"/>
              <w:left w:val="nil"/>
              <w:bottom w:val="single" w:sz="4" w:space="0" w:color="auto"/>
              <w:right w:val="single" w:sz="4" w:space="0" w:color="auto"/>
            </w:tcBorders>
            <w:shd w:val="clear" w:color="000000" w:fill="FFFFFF"/>
            <w:noWrap/>
            <w:vAlign w:val="center"/>
            <w:hideMark/>
          </w:tcPr>
          <w:p w14:paraId="6ED45DF9" w14:textId="6F8835D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233</w:t>
            </w:r>
          </w:p>
        </w:tc>
        <w:tc>
          <w:tcPr>
            <w:tcW w:w="1127" w:type="dxa"/>
            <w:tcBorders>
              <w:top w:val="nil"/>
              <w:left w:val="nil"/>
              <w:bottom w:val="single" w:sz="4" w:space="0" w:color="auto"/>
              <w:right w:val="single" w:sz="4" w:space="0" w:color="auto"/>
            </w:tcBorders>
            <w:shd w:val="clear" w:color="000000" w:fill="FFFFFF"/>
            <w:noWrap/>
            <w:vAlign w:val="center"/>
            <w:hideMark/>
          </w:tcPr>
          <w:p w14:paraId="64261383" w14:textId="413AFC4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165</w:t>
            </w:r>
          </w:p>
        </w:tc>
        <w:tc>
          <w:tcPr>
            <w:tcW w:w="1016" w:type="dxa"/>
            <w:tcBorders>
              <w:top w:val="nil"/>
              <w:left w:val="nil"/>
              <w:bottom w:val="single" w:sz="4" w:space="0" w:color="auto"/>
              <w:right w:val="single" w:sz="4" w:space="0" w:color="auto"/>
            </w:tcBorders>
            <w:shd w:val="clear" w:color="000000" w:fill="FFFFFF"/>
            <w:noWrap/>
            <w:vAlign w:val="center"/>
            <w:hideMark/>
          </w:tcPr>
          <w:p w14:paraId="23C784C0" w14:textId="656CE21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165</w:t>
            </w:r>
          </w:p>
        </w:tc>
        <w:tc>
          <w:tcPr>
            <w:tcW w:w="1206" w:type="dxa"/>
            <w:tcBorders>
              <w:top w:val="nil"/>
              <w:left w:val="nil"/>
              <w:bottom w:val="single" w:sz="4" w:space="0" w:color="auto"/>
              <w:right w:val="single" w:sz="8" w:space="0" w:color="auto"/>
            </w:tcBorders>
            <w:shd w:val="clear" w:color="000000" w:fill="FFFFFF"/>
            <w:noWrap/>
            <w:vAlign w:val="center"/>
            <w:hideMark/>
          </w:tcPr>
          <w:p w14:paraId="383C6C67" w14:textId="1539B98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1,930</w:t>
            </w:r>
          </w:p>
        </w:tc>
      </w:tr>
      <w:tr w:rsidR="00861244" w:rsidRPr="00E47FB2" w14:paraId="65A7943B"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7D29949D"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Brócoli</w:t>
            </w:r>
          </w:p>
        </w:tc>
        <w:tc>
          <w:tcPr>
            <w:tcW w:w="1016" w:type="dxa"/>
            <w:tcBorders>
              <w:top w:val="nil"/>
              <w:left w:val="nil"/>
              <w:bottom w:val="single" w:sz="4" w:space="0" w:color="auto"/>
              <w:right w:val="single" w:sz="4" w:space="0" w:color="auto"/>
            </w:tcBorders>
            <w:shd w:val="clear" w:color="000000" w:fill="FFFFFF"/>
            <w:noWrap/>
            <w:vAlign w:val="center"/>
            <w:hideMark/>
          </w:tcPr>
          <w:p w14:paraId="3F373B81" w14:textId="0A20F2C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578</w:t>
            </w:r>
          </w:p>
        </w:tc>
        <w:tc>
          <w:tcPr>
            <w:tcW w:w="1016" w:type="dxa"/>
            <w:tcBorders>
              <w:top w:val="nil"/>
              <w:left w:val="nil"/>
              <w:bottom w:val="single" w:sz="4" w:space="0" w:color="auto"/>
              <w:right w:val="single" w:sz="4" w:space="0" w:color="auto"/>
            </w:tcBorders>
            <w:shd w:val="clear" w:color="000000" w:fill="FFFFFF"/>
            <w:noWrap/>
            <w:vAlign w:val="center"/>
            <w:hideMark/>
          </w:tcPr>
          <w:p w14:paraId="44F29B9B" w14:textId="74C163F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687</w:t>
            </w:r>
          </w:p>
        </w:tc>
        <w:tc>
          <w:tcPr>
            <w:tcW w:w="1016" w:type="dxa"/>
            <w:tcBorders>
              <w:top w:val="nil"/>
              <w:left w:val="nil"/>
              <w:bottom w:val="single" w:sz="4" w:space="0" w:color="auto"/>
              <w:right w:val="single" w:sz="4" w:space="0" w:color="auto"/>
            </w:tcBorders>
            <w:shd w:val="clear" w:color="000000" w:fill="FFFFFF"/>
            <w:noWrap/>
            <w:vAlign w:val="center"/>
            <w:hideMark/>
          </w:tcPr>
          <w:p w14:paraId="2A4857AF" w14:textId="2936BBD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425</w:t>
            </w:r>
          </w:p>
        </w:tc>
        <w:tc>
          <w:tcPr>
            <w:tcW w:w="1016" w:type="dxa"/>
            <w:tcBorders>
              <w:top w:val="nil"/>
              <w:left w:val="nil"/>
              <w:bottom w:val="single" w:sz="4" w:space="0" w:color="auto"/>
              <w:right w:val="single" w:sz="4" w:space="0" w:color="auto"/>
            </w:tcBorders>
            <w:shd w:val="clear" w:color="000000" w:fill="FFFFFF"/>
            <w:noWrap/>
            <w:vAlign w:val="center"/>
            <w:hideMark/>
          </w:tcPr>
          <w:p w14:paraId="3458AE44" w14:textId="180997E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504</w:t>
            </w:r>
          </w:p>
        </w:tc>
        <w:tc>
          <w:tcPr>
            <w:tcW w:w="1016" w:type="dxa"/>
            <w:tcBorders>
              <w:top w:val="nil"/>
              <w:left w:val="nil"/>
              <w:bottom w:val="single" w:sz="4" w:space="0" w:color="auto"/>
              <w:right w:val="single" w:sz="4" w:space="0" w:color="auto"/>
            </w:tcBorders>
            <w:shd w:val="clear" w:color="000000" w:fill="FFFFFF"/>
            <w:noWrap/>
            <w:vAlign w:val="center"/>
            <w:hideMark/>
          </w:tcPr>
          <w:p w14:paraId="49222A70" w14:textId="781388F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592</w:t>
            </w:r>
          </w:p>
        </w:tc>
        <w:tc>
          <w:tcPr>
            <w:tcW w:w="1016" w:type="dxa"/>
            <w:tcBorders>
              <w:top w:val="nil"/>
              <w:left w:val="nil"/>
              <w:bottom w:val="single" w:sz="4" w:space="0" w:color="auto"/>
              <w:right w:val="single" w:sz="4" w:space="0" w:color="auto"/>
            </w:tcBorders>
            <w:shd w:val="clear" w:color="000000" w:fill="FFFFFF"/>
            <w:noWrap/>
            <w:vAlign w:val="center"/>
            <w:hideMark/>
          </w:tcPr>
          <w:p w14:paraId="3EC2EC52" w14:textId="1EE59EE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685</w:t>
            </w:r>
          </w:p>
        </w:tc>
        <w:tc>
          <w:tcPr>
            <w:tcW w:w="1016" w:type="dxa"/>
            <w:tcBorders>
              <w:top w:val="nil"/>
              <w:left w:val="nil"/>
              <w:bottom w:val="single" w:sz="4" w:space="0" w:color="auto"/>
              <w:right w:val="single" w:sz="4" w:space="0" w:color="auto"/>
            </w:tcBorders>
            <w:shd w:val="clear" w:color="000000" w:fill="FFFFFF"/>
            <w:noWrap/>
            <w:vAlign w:val="center"/>
            <w:hideMark/>
          </w:tcPr>
          <w:p w14:paraId="56F0D344" w14:textId="29CEA00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924</w:t>
            </w:r>
          </w:p>
        </w:tc>
        <w:tc>
          <w:tcPr>
            <w:tcW w:w="1107" w:type="dxa"/>
            <w:tcBorders>
              <w:top w:val="nil"/>
              <w:left w:val="nil"/>
              <w:bottom w:val="single" w:sz="4" w:space="0" w:color="auto"/>
              <w:right w:val="single" w:sz="4" w:space="0" w:color="auto"/>
            </w:tcBorders>
            <w:shd w:val="clear" w:color="000000" w:fill="FFFFFF"/>
            <w:noWrap/>
            <w:vAlign w:val="center"/>
            <w:hideMark/>
          </w:tcPr>
          <w:p w14:paraId="6FE5AA7F" w14:textId="5A834E6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532</w:t>
            </w:r>
          </w:p>
        </w:tc>
        <w:tc>
          <w:tcPr>
            <w:tcW w:w="1016" w:type="dxa"/>
            <w:tcBorders>
              <w:top w:val="nil"/>
              <w:left w:val="nil"/>
              <w:bottom w:val="single" w:sz="4" w:space="0" w:color="auto"/>
              <w:right w:val="single" w:sz="4" w:space="0" w:color="auto"/>
            </w:tcBorders>
            <w:shd w:val="clear" w:color="000000" w:fill="FFFFFF"/>
            <w:noWrap/>
            <w:vAlign w:val="center"/>
            <w:hideMark/>
          </w:tcPr>
          <w:p w14:paraId="58CABF53" w14:textId="6EDE127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857</w:t>
            </w:r>
          </w:p>
        </w:tc>
        <w:tc>
          <w:tcPr>
            <w:tcW w:w="1016" w:type="dxa"/>
            <w:tcBorders>
              <w:top w:val="nil"/>
              <w:left w:val="nil"/>
              <w:bottom w:val="single" w:sz="4" w:space="0" w:color="auto"/>
              <w:right w:val="single" w:sz="4" w:space="0" w:color="auto"/>
            </w:tcBorders>
            <w:shd w:val="clear" w:color="000000" w:fill="FFFFFF"/>
            <w:noWrap/>
            <w:vAlign w:val="center"/>
            <w:hideMark/>
          </w:tcPr>
          <w:p w14:paraId="751AB049" w14:textId="589450A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612</w:t>
            </w:r>
          </w:p>
        </w:tc>
        <w:tc>
          <w:tcPr>
            <w:tcW w:w="1127" w:type="dxa"/>
            <w:tcBorders>
              <w:top w:val="nil"/>
              <w:left w:val="nil"/>
              <w:bottom w:val="single" w:sz="4" w:space="0" w:color="auto"/>
              <w:right w:val="single" w:sz="4" w:space="0" w:color="auto"/>
            </w:tcBorders>
            <w:shd w:val="clear" w:color="000000" w:fill="FFFFFF"/>
            <w:noWrap/>
            <w:vAlign w:val="center"/>
            <w:hideMark/>
          </w:tcPr>
          <w:p w14:paraId="1BE9D842" w14:textId="314F1CD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550</w:t>
            </w:r>
          </w:p>
        </w:tc>
        <w:tc>
          <w:tcPr>
            <w:tcW w:w="1016" w:type="dxa"/>
            <w:tcBorders>
              <w:top w:val="nil"/>
              <w:left w:val="nil"/>
              <w:bottom w:val="single" w:sz="4" w:space="0" w:color="auto"/>
              <w:right w:val="single" w:sz="4" w:space="0" w:color="auto"/>
            </w:tcBorders>
            <w:shd w:val="clear" w:color="000000" w:fill="FFFFFF"/>
            <w:noWrap/>
            <w:vAlign w:val="center"/>
            <w:hideMark/>
          </w:tcPr>
          <w:p w14:paraId="751A19A4" w14:textId="55AD542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868</w:t>
            </w:r>
          </w:p>
        </w:tc>
        <w:tc>
          <w:tcPr>
            <w:tcW w:w="1206" w:type="dxa"/>
            <w:tcBorders>
              <w:top w:val="nil"/>
              <w:left w:val="nil"/>
              <w:bottom w:val="single" w:sz="4" w:space="0" w:color="auto"/>
              <w:right w:val="single" w:sz="8" w:space="0" w:color="auto"/>
            </w:tcBorders>
            <w:shd w:val="clear" w:color="000000" w:fill="FFFFFF"/>
            <w:noWrap/>
            <w:vAlign w:val="center"/>
            <w:hideMark/>
          </w:tcPr>
          <w:p w14:paraId="0556953A" w14:textId="7826202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7,814</w:t>
            </w:r>
          </w:p>
        </w:tc>
      </w:tr>
      <w:tr w:rsidR="00861244" w:rsidRPr="00E47FB2" w14:paraId="534341F3" w14:textId="77777777" w:rsidTr="00861244">
        <w:trPr>
          <w:trHeight w:val="96"/>
          <w:jc w:val="center"/>
        </w:trPr>
        <w:tc>
          <w:tcPr>
            <w:tcW w:w="1552" w:type="dxa"/>
            <w:tcBorders>
              <w:top w:val="nil"/>
              <w:left w:val="single" w:sz="8" w:space="0" w:color="auto"/>
              <w:bottom w:val="single" w:sz="4" w:space="0" w:color="auto"/>
              <w:right w:val="single" w:sz="4" w:space="0" w:color="auto"/>
            </w:tcBorders>
            <w:shd w:val="clear" w:color="auto" w:fill="auto"/>
            <w:noWrap/>
            <w:vAlign w:val="bottom"/>
            <w:hideMark/>
          </w:tcPr>
          <w:p w14:paraId="68EE842E"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Coliflor</w:t>
            </w:r>
          </w:p>
        </w:tc>
        <w:tc>
          <w:tcPr>
            <w:tcW w:w="1016" w:type="dxa"/>
            <w:tcBorders>
              <w:top w:val="nil"/>
              <w:left w:val="nil"/>
              <w:bottom w:val="single" w:sz="4" w:space="0" w:color="auto"/>
              <w:right w:val="single" w:sz="4" w:space="0" w:color="auto"/>
            </w:tcBorders>
            <w:shd w:val="clear" w:color="000000" w:fill="FFFFFF"/>
            <w:noWrap/>
            <w:vAlign w:val="center"/>
            <w:hideMark/>
          </w:tcPr>
          <w:p w14:paraId="2151D65E" w14:textId="7750655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176</w:t>
            </w:r>
          </w:p>
        </w:tc>
        <w:tc>
          <w:tcPr>
            <w:tcW w:w="1016" w:type="dxa"/>
            <w:tcBorders>
              <w:top w:val="nil"/>
              <w:left w:val="nil"/>
              <w:bottom w:val="single" w:sz="4" w:space="0" w:color="auto"/>
              <w:right w:val="single" w:sz="4" w:space="0" w:color="auto"/>
            </w:tcBorders>
            <w:shd w:val="clear" w:color="000000" w:fill="FFFFFF"/>
            <w:noWrap/>
            <w:vAlign w:val="center"/>
            <w:hideMark/>
          </w:tcPr>
          <w:p w14:paraId="5B999F13" w14:textId="14313EC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212</w:t>
            </w:r>
          </w:p>
        </w:tc>
        <w:tc>
          <w:tcPr>
            <w:tcW w:w="1016" w:type="dxa"/>
            <w:tcBorders>
              <w:top w:val="nil"/>
              <w:left w:val="nil"/>
              <w:bottom w:val="single" w:sz="4" w:space="0" w:color="auto"/>
              <w:right w:val="single" w:sz="4" w:space="0" w:color="auto"/>
            </w:tcBorders>
            <w:shd w:val="clear" w:color="000000" w:fill="FFFFFF"/>
            <w:noWrap/>
            <w:vAlign w:val="center"/>
            <w:hideMark/>
          </w:tcPr>
          <w:p w14:paraId="2F788E52" w14:textId="216DDF7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142</w:t>
            </w:r>
          </w:p>
        </w:tc>
        <w:tc>
          <w:tcPr>
            <w:tcW w:w="1016" w:type="dxa"/>
            <w:tcBorders>
              <w:top w:val="nil"/>
              <w:left w:val="nil"/>
              <w:bottom w:val="single" w:sz="4" w:space="0" w:color="auto"/>
              <w:right w:val="single" w:sz="4" w:space="0" w:color="auto"/>
            </w:tcBorders>
            <w:shd w:val="clear" w:color="000000" w:fill="FFFFFF"/>
            <w:noWrap/>
            <w:vAlign w:val="center"/>
            <w:hideMark/>
          </w:tcPr>
          <w:p w14:paraId="3EF8A147" w14:textId="2471582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260</w:t>
            </w:r>
          </w:p>
        </w:tc>
        <w:tc>
          <w:tcPr>
            <w:tcW w:w="1016" w:type="dxa"/>
            <w:tcBorders>
              <w:top w:val="nil"/>
              <w:left w:val="nil"/>
              <w:bottom w:val="single" w:sz="4" w:space="0" w:color="auto"/>
              <w:right w:val="single" w:sz="4" w:space="0" w:color="auto"/>
            </w:tcBorders>
            <w:shd w:val="clear" w:color="000000" w:fill="FFFFFF"/>
            <w:noWrap/>
            <w:vAlign w:val="center"/>
            <w:hideMark/>
          </w:tcPr>
          <w:p w14:paraId="634FF130" w14:textId="7C5B90B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172</w:t>
            </w:r>
          </w:p>
        </w:tc>
        <w:tc>
          <w:tcPr>
            <w:tcW w:w="1016" w:type="dxa"/>
            <w:tcBorders>
              <w:top w:val="nil"/>
              <w:left w:val="nil"/>
              <w:bottom w:val="single" w:sz="4" w:space="0" w:color="auto"/>
              <w:right w:val="single" w:sz="4" w:space="0" w:color="auto"/>
            </w:tcBorders>
            <w:shd w:val="clear" w:color="000000" w:fill="FFFFFF"/>
            <w:noWrap/>
            <w:vAlign w:val="center"/>
            <w:hideMark/>
          </w:tcPr>
          <w:p w14:paraId="0CE4BAD2" w14:textId="0277515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323</w:t>
            </w:r>
          </w:p>
        </w:tc>
        <w:tc>
          <w:tcPr>
            <w:tcW w:w="1016" w:type="dxa"/>
            <w:tcBorders>
              <w:top w:val="nil"/>
              <w:left w:val="nil"/>
              <w:bottom w:val="single" w:sz="4" w:space="0" w:color="auto"/>
              <w:right w:val="single" w:sz="4" w:space="0" w:color="auto"/>
            </w:tcBorders>
            <w:shd w:val="clear" w:color="000000" w:fill="FFFFFF"/>
            <w:noWrap/>
            <w:vAlign w:val="center"/>
            <w:hideMark/>
          </w:tcPr>
          <w:p w14:paraId="3DDFD1D9" w14:textId="3E88300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340</w:t>
            </w:r>
          </w:p>
        </w:tc>
        <w:tc>
          <w:tcPr>
            <w:tcW w:w="1107" w:type="dxa"/>
            <w:tcBorders>
              <w:top w:val="nil"/>
              <w:left w:val="nil"/>
              <w:bottom w:val="single" w:sz="4" w:space="0" w:color="auto"/>
              <w:right w:val="single" w:sz="4" w:space="0" w:color="auto"/>
            </w:tcBorders>
            <w:shd w:val="clear" w:color="000000" w:fill="FFFFFF"/>
            <w:noWrap/>
            <w:vAlign w:val="center"/>
            <w:hideMark/>
          </w:tcPr>
          <w:p w14:paraId="4E823737" w14:textId="123FDEF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129</w:t>
            </w:r>
          </w:p>
        </w:tc>
        <w:tc>
          <w:tcPr>
            <w:tcW w:w="1016" w:type="dxa"/>
            <w:tcBorders>
              <w:top w:val="nil"/>
              <w:left w:val="nil"/>
              <w:bottom w:val="single" w:sz="4" w:space="0" w:color="auto"/>
              <w:right w:val="single" w:sz="4" w:space="0" w:color="auto"/>
            </w:tcBorders>
            <w:shd w:val="clear" w:color="000000" w:fill="FFFFFF"/>
            <w:noWrap/>
            <w:vAlign w:val="center"/>
            <w:hideMark/>
          </w:tcPr>
          <w:p w14:paraId="748D1A76" w14:textId="24B9E3D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400</w:t>
            </w:r>
          </w:p>
        </w:tc>
        <w:tc>
          <w:tcPr>
            <w:tcW w:w="1016" w:type="dxa"/>
            <w:tcBorders>
              <w:top w:val="nil"/>
              <w:left w:val="nil"/>
              <w:bottom w:val="single" w:sz="4" w:space="0" w:color="auto"/>
              <w:right w:val="single" w:sz="4" w:space="0" w:color="auto"/>
            </w:tcBorders>
            <w:shd w:val="clear" w:color="000000" w:fill="FFFFFF"/>
            <w:noWrap/>
            <w:vAlign w:val="center"/>
            <w:hideMark/>
          </w:tcPr>
          <w:p w14:paraId="643D06C5" w14:textId="2972D2E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180</w:t>
            </w:r>
          </w:p>
        </w:tc>
        <w:tc>
          <w:tcPr>
            <w:tcW w:w="1127" w:type="dxa"/>
            <w:tcBorders>
              <w:top w:val="nil"/>
              <w:left w:val="nil"/>
              <w:bottom w:val="single" w:sz="4" w:space="0" w:color="auto"/>
              <w:right w:val="single" w:sz="4" w:space="0" w:color="auto"/>
            </w:tcBorders>
            <w:shd w:val="clear" w:color="000000" w:fill="FFFFFF"/>
            <w:noWrap/>
            <w:vAlign w:val="center"/>
            <w:hideMark/>
          </w:tcPr>
          <w:p w14:paraId="14398E9B" w14:textId="5E1E83F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163</w:t>
            </w:r>
          </w:p>
        </w:tc>
        <w:tc>
          <w:tcPr>
            <w:tcW w:w="1016" w:type="dxa"/>
            <w:tcBorders>
              <w:top w:val="nil"/>
              <w:left w:val="nil"/>
              <w:bottom w:val="single" w:sz="4" w:space="0" w:color="auto"/>
              <w:right w:val="single" w:sz="4" w:space="0" w:color="auto"/>
            </w:tcBorders>
            <w:shd w:val="clear" w:color="000000" w:fill="FFFFFF"/>
            <w:noWrap/>
            <w:vAlign w:val="center"/>
            <w:hideMark/>
          </w:tcPr>
          <w:p w14:paraId="7F209E61" w14:textId="209F718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196</w:t>
            </w:r>
          </w:p>
        </w:tc>
        <w:tc>
          <w:tcPr>
            <w:tcW w:w="1206" w:type="dxa"/>
            <w:tcBorders>
              <w:top w:val="nil"/>
              <w:left w:val="nil"/>
              <w:bottom w:val="single" w:sz="4" w:space="0" w:color="auto"/>
              <w:right w:val="single" w:sz="8" w:space="0" w:color="auto"/>
            </w:tcBorders>
            <w:shd w:val="clear" w:color="000000" w:fill="FFFFFF"/>
            <w:noWrap/>
            <w:vAlign w:val="center"/>
            <w:hideMark/>
          </w:tcPr>
          <w:p w14:paraId="2168F9C8" w14:textId="1C6FB9C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2,693</w:t>
            </w:r>
          </w:p>
        </w:tc>
      </w:tr>
      <w:tr w:rsidR="00010A15" w:rsidRPr="00E47FB2" w14:paraId="2B4A04FC"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5645EE61" w14:textId="77777777" w:rsidR="00010A15" w:rsidRPr="00E47FB2" w:rsidRDefault="00010A1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lastRenderedPageBreak/>
              <w:t>Rubro</w:t>
            </w:r>
          </w:p>
        </w:tc>
        <w:tc>
          <w:tcPr>
            <w:tcW w:w="1016"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53D6D6AE" w14:textId="77777777" w:rsidR="00010A15" w:rsidRPr="00E47FB2" w:rsidRDefault="00010A1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Ene.</w:t>
            </w:r>
          </w:p>
        </w:tc>
        <w:tc>
          <w:tcPr>
            <w:tcW w:w="1016"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73F6AA13" w14:textId="77777777" w:rsidR="00010A15" w:rsidRPr="00E47FB2" w:rsidRDefault="00010A1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Feb.</w:t>
            </w:r>
          </w:p>
        </w:tc>
        <w:tc>
          <w:tcPr>
            <w:tcW w:w="1016"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58E78513" w14:textId="77777777" w:rsidR="00010A15" w:rsidRPr="00E47FB2" w:rsidRDefault="00010A1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Mar.</w:t>
            </w:r>
          </w:p>
        </w:tc>
        <w:tc>
          <w:tcPr>
            <w:tcW w:w="1016"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44E91294" w14:textId="77777777" w:rsidR="00010A15" w:rsidRPr="00E47FB2" w:rsidRDefault="00010A1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Abr.</w:t>
            </w:r>
          </w:p>
        </w:tc>
        <w:tc>
          <w:tcPr>
            <w:tcW w:w="1016"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3C7A8817" w14:textId="77777777" w:rsidR="00010A15" w:rsidRPr="00E47FB2" w:rsidRDefault="00010A1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May.</w:t>
            </w:r>
          </w:p>
        </w:tc>
        <w:tc>
          <w:tcPr>
            <w:tcW w:w="1016"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43C3A968" w14:textId="77777777" w:rsidR="00010A15" w:rsidRPr="00E47FB2" w:rsidRDefault="00010A1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Jun.</w:t>
            </w:r>
          </w:p>
        </w:tc>
        <w:tc>
          <w:tcPr>
            <w:tcW w:w="1016"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4446C675" w14:textId="77777777" w:rsidR="00010A15" w:rsidRPr="00E47FB2" w:rsidRDefault="00010A1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Jul.</w:t>
            </w:r>
          </w:p>
        </w:tc>
        <w:tc>
          <w:tcPr>
            <w:tcW w:w="1107"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6A3861E0" w14:textId="77777777" w:rsidR="00010A15" w:rsidRPr="00E47FB2" w:rsidRDefault="00010A1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Ago.</w:t>
            </w:r>
          </w:p>
        </w:tc>
        <w:tc>
          <w:tcPr>
            <w:tcW w:w="1016"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100FB362" w14:textId="77777777" w:rsidR="00010A15" w:rsidRPr="00E47FB2" w:rsidRDefault="00010A1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Sep.</w:t>
            </w:r>
          </w:p>
        </w:tc>
        <w:tc>
          <w:tcPr>
            <w:tcW w:w="1016"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45616462" w14:textId="77777777" w:rsidR="00010A15" w:rsidRPr="00E47FB2" w:rsidRDefault="00010A1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Oct.</w:t>
            </w:r>
          </w:p>
        </w:tc>
        <w:tc>
          <w:tcPr>
            <w:tcW w:w="1127"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4454DCC4" w14:textId="77777777" w:rsidR="00010A15" w:rsidRPr="00E47FB2" w:rsidRDefault="00010A1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Nov.</w:t>
            </w:r>
          </w:p>
        </w:tc>
        <w:tc>
          <w:tcPr>
            <w:tcW w:w="1016"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06A62AE4" w14:textId="77777777" w:rsidR="00010A15" w:rsidRPr="00E47FB2" w:rsidRDefault="00010A1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Dic.</w:t>
            </w:r>
          </w:p>
        </w:tc>
        <w:tc>
          <w:tcPr>
            <w:tcW w:w="1206"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2FC81E95" w14:textId="77777777" w:rsidR="00010A15" w:rsidRPr="00E47FB2" w:rsidRDefault="00010A15" w:rsidP="00010A15">
            <w:pPr>
              <w:spacing w:after="0"/>
              <w:jc w:val="center"/>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Total</w:t>
            </w:r>
          </w:p>
        </w:tc>
      </w:tr>
      <w:tr w:rsidR="00861244" w:rsidRPr="00E47FB2" w14:paraId="5C2291CC"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DFCA1"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Molondrón</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AC19876" w14:textId="5E55042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02B6E5" w14:textId="13AE058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1,834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32F225E" w14:textId="70342CF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464C4F" w14:textId="013C848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DEA5C92" w14:textId="24C91D2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2,623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EE4021" w14:textId="491CE7F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2,400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91F0BD4" w14:textId="5EA2793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1,754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71595B0" w14:textId="40EB72E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1,385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21C5A53" w14:textId="6A6A75C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1,562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4C216BE" w14:textId="6D123CA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1,500</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EF42C6" w14:textId="25475A0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1,469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9E19845" w14:textId="1728804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1,632</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9B6FF2" w14:textId="6692DA9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20,821</w:t>
            </w:r>
          </w:p>
        </w:tc>
      </w:tr>
      <w:tr w:rsidR="00861244" w:rsidRPr="00E47FB2" w14:paraId="04778800"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014C1"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Cundeamor</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68FB30" w14:textId="308BE2C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845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47960CA" w14:textId="59AD719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1,120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F830511" w14:textId="0ABCD65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1,010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066354A" w14:textId="2F22818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1,118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C174919" w14:textId="1523EEF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845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5C2F88" w14:textId="01D1F65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1,802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F983A29" w14:textId="471F738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1,825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DFC3B39" w14:textId="465704F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899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78A4CB" w14:textId="3F2A360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1,410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F56C43B" w14:textId="00BAAF1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1,200</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B2E605" w14:textId="5E96428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1,552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02F3ECF" w14:textId="3574860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1,285</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F8961BD" w14:textId="19FF45F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14,911</w:t>
            </w:r>
          </w:p>
        </w:tc>
      </w:tr>
      <w:tr w:rsidR="00861244" w:rsidRPr="00E47FB2" w14:paraId="30202964"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910AF"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Tindora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8F1FB9E" w14:textId="29D14A8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5,621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64EA18F" w14:textId="5A45F26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10,457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198B786" w14:textId="5602B78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3,001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C581F1" w14:textId="6B4069A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3,245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16FAD4" w14:textId="24E5EBF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2,874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A16FA8" w14:textId="7B41526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5,689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E45554E" w14:textId="4648669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3,685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4E63993" w14:textId="0AD3A57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6,654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F3B84A2" w14:textId="37F9C7B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4,211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95C1897" w14:textId="1EE897F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3,452</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D281540" w14:textId="08164B7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5,421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5C3FB28" w14:textId="6771053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3,940</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873599" w14:textId="147A7AB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58,250</w:t>
            </w:r>
          </w:p>
        </w:tc>
      </w:tr>
      <w:tr w:rsidR="00861244" w:rsidRPr="00E47FB2" w14:paraId="19D8349C"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0B014"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Bangaña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CFC56F" w14:textId="0FB851D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889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D608D1" w14:textId="0B60591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914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91D1D6F" w14:textId="73D3CE8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798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FEE732" w14:textId="00E1890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795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F821A9" w14:textId="6C2EE19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870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F302896" w14:textId="59D330D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650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91D450" w14:textId="06EAE07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845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8AE864" w14:textId="02DD654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904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020A50" w14:textId="79E6797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1,802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B526B90" w14:textId="232BFBE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855</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3F55E9D" w14:textId="4AB95D3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795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73B64B6" w14:textId="6EE21AA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748</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C934C05" w14:textId="1D761CF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10,865</w:t>
            </w:r>
          </w:p>
        </w:tc>
      </w:tr>
      <w:tr w:rsidR="00861244" w:rsidRPr="00E47FB2" w14:paraId="2E6501BA"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70184"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Calabacin</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8B1EB51" w14:textId="0E588EC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C9D250B" w14:textId="51198E9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3A2EDB1" w14:textId="6530C67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8558D9" w14:textId="16CA0E3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AE437D" w14:textId="7CFCC5A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5FF743" w14:textId="02BFE8F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69DB1E9" w14:textId="47837CA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BF190E" w14:textId="3754922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30E6A9" w14:textId="14BCC5E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F0D9A30" w14:textId="1E39F98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E11780" w14:textId="5BBEEBD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14F7FAA" w14:textId="09AA6DC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1E16178" w14:textId="6DEC4E5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94</w:t>
            </w:r>
          </w:p>
        </w:tc>
      </w:tr>
      <w:tr w:rsidR="00861244" w:rsidRPr="00E47FB2" w14:paraId="74FCA28A"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FFAD5"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Musú Chino</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E46BB69" w14:textId="744B114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510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9072B4" w14:textId="5CAF8CD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494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8D28C6" w14:textId="2DAC983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340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62156A" w14:textId="3EED772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408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DC430C" w14:textId="4133DF7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302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204FE67" w14:textId="55B6768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410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4A05D22" w14:textId="6042903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574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219F2B" w14:textId="5ACA904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688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FE41FD9" w14:textId="38B861E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540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DA67889" w14:textId="39521A6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534</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6AFC28" w14:textId="0E42798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518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5862F2" w14:textId="0F0F9D6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1,050</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D8C4A3" w14:textId="1C5FDBB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6,368</w:t>
            </w:r>
          </w:p>
        </w:tc>
      </w:tr>
      <w:tr w:rsidR="00861244" w:rsidRPr="00E47FB2" w14:paraId="5380BCF6"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475C1"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Vainita C.</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F563D10" w14:textId="7807568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284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A716163" w14:textId="25E07EC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824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AB1CCE3" w14:textId="65D4C37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410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0DE399" w14:textId="0281D3C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689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9E15B31" w14:textId="0F68132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74553E" w14:textId="51B4426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1,200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F721B0" w14:textId="1D4A711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862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5D42193" w14:textId="4903C2B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1,135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18C691" w14:textId="42C8FD7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566</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866B11" w14:textId="3DA6938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1,198</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2C61C1C" w14:textId="4D391DD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869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53102BE" w14:textId="15943E6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798</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442D8B7" w14:textId="66707C5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9,247</w:t>
            </w:r>
          </w:p>
        </w:tc>
      </w:tr>
      <w:tr w:rsidR="00861244" w:rsidRPr="00E47FB2" w14:paraId="187714D0"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E07C8"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Apio</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DD320A" w14:textId="5D844EB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231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D56DD2" w14:textId="3C9929D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280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2E2D000" w14:textId="0997034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187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252917B" w14:textId="200F5FC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213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4A3CA5D" w14:textId="5EACAC1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192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A9731D9" w14:textId="7DB3608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203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601710" w14:textId="0541BAF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335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61BAB9" w14:textId="577E0F3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284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4512FC" w14:textId="6583111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395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F64E32" w14:textId="14414F9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383</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22CFA5" w14:textId="38A727C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284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84D3F7" w14:textId="7A01293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453</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EC4A191" w14:textId="53EEADA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3,440</w:t>
            </w:r>
          </w:p>
        </w:tc>
      </w:tr>
      <w:tr w:rsidR="00861244" w:rsidRPr="00E47FB2" w14:paraId="46E83757"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640F0"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Parvol</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D5F4B5" w14:textId="780264D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7197C1B" w14:textId="5BCC9D9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BABBB2" w14:textId="0C8738C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190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1BF9C17" w14:textId="5BB8915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ED40515" w14:textId="428447B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146</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D3D197" w14:textId="32D465F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157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1C7B53" w14:textId="6836806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AB40774" w14:textId="41F4969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8EC0FB" w14:textId="19B698E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8E6734" w14:textId="7E5F969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232</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419FFD9" w14:textId="64A8B87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172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478E605" w14:textId="59C91F1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182</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1D44E0" w14:textId="654DEF8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1,562</w:t>
            </w:r>
          </w:p>
        </w:tc>
      </w:tr>
      <w:tr w:rsidR="00861244" w:rsidRPr="00E47FB2" w14:paraId="77295E08"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FE902"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Oregano</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2BADAD9" w14:textId="7203269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2,641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56AB0F8" w14:textId="77E2655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5,867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913D090" w14:textId="7115AB4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2,641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35268A" w14:textId="48565FE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3,852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144A22" w14:textId="5CF90DB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2,741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76CD790" w14:textId="662DF8E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2,601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59687A8" w14:textId="5A6FF8F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3,541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ADEF16D" w14:textId="3CC1619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2,685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E0C1AE" w14:textId="6C7FD02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3,241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731D4E" w14:textId="5FE3E21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2,789</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D382529" w14:textId="01A3D71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1,365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F6580E" w14:textId="22B5952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2,471</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9CF9D6" w14:textId="04C2EE9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36,435</w:t>
            </w:r>
          </w:p>
        </w:tc>
      </w:tr>
      <w:tr w:rsidR="00861244" w:rsidRPr="00E47FB2" w14:paraId="5108400C"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94A34"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Bija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4705294" w14:textId="585A3BC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342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1CDF9E" w14:textId="4025957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324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2BB80CD" w14:textId="3695DBD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510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48E820" w14:textId="052220A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739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DFE018B" w14:textId="472B087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48E3440" w14:textId="7691468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501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E772D61" w14:textId="597FC30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932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D14A992" w14:textId="7062AB1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1,462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BA1CE2" w14:textId="0732C12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1,658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AF2D195" w14:textId="4F08BD0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1,825</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05F25E9" w14:textId="2AF5900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325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D3E1AE2" w14:textId="6BD62D9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376</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9A35A1" w14:textId="16589E8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9,415</w:t>
            </w:r>
          </w:p>
        </w:tc>
      </w:tr>
      <w:tr w:rsidR="00861244" w:rsidRPr="00E47FB2" w14:paraId="3D288BC6"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DEF0A"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Aguacate</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41834F1" w14:textId="6144568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68,878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FB3C103" w14:textId="69E0B20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92,301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E008A86" w14:textId="616FC10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73,328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CF0906" w14:textId="5B9681C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12,245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9A1CEC" w14:textId="745A216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11,452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D54593B" w14:textId="3A88349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44,899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7F021EC" w14:textId="311EC75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33,021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2522D61" w14:textId="79502EC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54,212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A3C97D" w14:textId="2E61A8D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76,521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775A5C9" w14:textId="1EF2346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77,568</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7660701" w14:textId="1514915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66,542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279C4A" w14:textId="42512E0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67,246</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AA37E14" w14:textId="2A7334C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678,213</w:t>
            </w:r>
          </w:p>
        </w:tc>
      </w:tr>
      <w:tr w:rsidR="00861244" w:rsidRPr="00E47FB2" w14:paraId="207C724E"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71039"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Chinola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863B70" w14:textId="62166F5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14,251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FA324A1" w14:textId="5D6F373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22,413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0C138E3" w14:textId="4361344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14,998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FB034CD" w14:textId="626ABE2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11,014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5E6A299" w14:textId="6EFC6B1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25,745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BF88075" w14:textId="3C3B3BC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17,321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764B6D0" w14:textId="6F4C5A1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14,568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C606C7" w14:textId="7228D2E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17,542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FEE97F" w14:textId="0F702C3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21,452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506184" w14:textId="66D4186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21,689</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B9B729" w14:textId="70F3C00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16,338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BB447D5" w14:textId="03DB59D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23,660</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E348919" w14:textId="20A43EF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220,991</w:t>
            </w:r>
          </w:p>
        </w:tc>
      </w:tr>
      <w:tr w:rsidR="00861244" w:rsidRPr="00E47FB2" w14:paraId="499B19CA"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9D53A"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Lechosa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2B6096F" w14:textId="331796E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14,821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C94A85D" w14:textId="76639B8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14,945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E0BC4BE" w14:textId="7999654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14,021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487660A" w14:textId="342EBAF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14,785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962969B" w14:textId="7F242C6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13,201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386D49" w14:textId="0606E4D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12,654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C54D1A" w14:textId="18F8A4E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10,854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52BD880" w14:textId="12C5DBF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13,214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E1DA295" w14:textId="14DCF3D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9,584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F3002D" w14:textId="66AD804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12,541</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25A9438" w14:textId="08198DE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33,521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7F4E1F8" w14:textId="625796A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18,245</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8D8E5B" w14:textId="64D00E6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182,386</w:t>
            </w:r>
          </w:p>
        </w:tc>
      </w:tr>
      <w:tr w:rsidR="00861244" w:rsidRPr="00E47FB2" w14:paraId="554E3A32"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394754"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Melón</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6723F66" w14:textId="0161FD5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952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F71CBE" w14:textId="5DBB9EF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2,245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E16AC6B" w14:textId="6DF6C49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1,520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E16767" w14:textId="60D34B4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1,030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048AECA" w14:textId="7CB39BD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1,040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F664316" w14:textId="7944178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1,678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289CAD" w14:textId="17ACBBD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1,389</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0F7216" w14:textId="2C81A92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825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989CA5" w14:textId="665B39C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825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BE39F0" w14:textId="0EE8AED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899</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AC1776B" w14:textId="79AA472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11,255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0F0570" w14:textId="184DB92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669</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A504AB0" w14:textId="1C05C79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24,327</w:t>
            </w:r>
          </w:p>
        </w:tc>
      </w:tr>
      <w:tr w:rsidR="00861244" w:rsidRPr="00E47FB2" w14:paraId="4E41BCF3"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B7E76"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Naranja D.</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CF36BA" w14:textId="0276DDC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62,154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7370CF" w14:textId="71F33A1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58,644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9BB9D20" w14:textId="45B7A2F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32,214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D87AC10" w14:textId="748793B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28,620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8E0E10B" w14:textId="5D2E124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26,854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2626F5" w14:textId="09FF400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21,015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0B1552D" w14:textId="1136673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13,241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E1D86D2" w14:textId="3D630C7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7,420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DCA20A6" w14:textId="3B75E87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8,954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E534B88" w14:textId="7B1B1FD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13,584</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C858856" w14:textId="577B6A5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43,528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9CBFC3F" w14:textId="05EACA0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63,898</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198CEC9" w14:textId="4EB07C4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380,126</w:t>
            </w:r>
          </w:p>
        </w:tc>
      </w:tr>
      <w:tr w:rsidR="00861244" w:rsidRPr="00E47FB2" w14:paraId="195F9FBA"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A9E81"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Piña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9F87BE" w14:textId="6CC4EFA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7,120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2274571" w14:textId="1DAEEBF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11,245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79FA31E" w14:textId="2B7E8C3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9,785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241900B" w14:textId="1E92477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23,619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3FADD2" w14:textId="619D9FC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7,562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DFC1122" w14:textId="0575AB4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15,241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2A068A" w14:textId="0EAF202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11,098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49B705" w14:textId="67E2B9B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6,241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BFF2152" w14:textId="01296A7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9,012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5AE0CD9" w14:textId="1B59132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6,500</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2FB44E" w14:textId="07A7DE6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17,985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E24D526" w14:textId="60BAB4F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14,201</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11F137" w14:textId="6205F30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139,609</w:t>
            </w:r>
          </w:p>
        </w:tc>
      </w:tr>
      <w:tr w:rsidR="00861244" w:rsidRPr="00E47FB2" w14:paraId="36E76069"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F66C2"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Limón Agrio</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95DF32" w14:textId="0CC24CC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38,954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EA035E9" w14:textId="77572DF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40,121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41270D" w14:textId="7B53888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27,120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583FDC8" w14:textId="6C19AA9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25,641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3ABB641" w14:textId="5647865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30,124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D7B91DD" w14:textId="3920CA8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44,521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97923E" w14:textId="20D59E4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51,021</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9D22EE3" w14:textId="44AAA1F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33,214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5D968E" w14:textId="7675FA5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36,854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658220" w14:textId="4A315DE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34,698</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53DFCD6" w14:textId="46A6DE8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35,642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6197735" w14:textId="2FA478C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39,821</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FF0173" w14:textId="2B75C24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437,731</w:t>
            </w:r>
          </w:p>
        </w:tc>
      </w:tr>
      <w:tr w:rsidR="00861244" w:rsidRPr="00E47FB2" w14:paraId="64FB20F9"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A687F"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 xml:space="preserve">Toronja </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E37AD7F" w14:textId="513AC99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2,430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07C769" w14:textId="46C3609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2,610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7A0506" w14:textId="0938F7B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857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1F9703" w14:textId="22266D9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4F13425" w14:textId="3B4756C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6A3234" w14:textId="486B62B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914C8AA" w14:textId="23AEA06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46</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D62D815" w14:textId="1794886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086B8D" w14:textId="36C4AE4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250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12FCD4" w14:textId="7A34707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758</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D7A2D7B" w14:textId="256557A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1,895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2F80B4" w14:textId="24BCC5D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5,841</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695C00" w14:textId="390E9F1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16,865</w:t>
            </w:r>
          </w:p>
        </w:tc>
      </w:tr>
      <w:tr w:rsidR="00861244" w:rsidRPr="00E47FB2" w14:paraId="7A15980E"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CDA69"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Mandarina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C3A9DE" w14:textId="7C1897D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9,745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D585435" w14:textId="7C9D90D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6,820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0A355AF" w14:textId="6AFF09C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7,021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51B1DA0" w14:textId="2A5D5F9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209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4C5120" w14:textId="28E7B97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189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6D115D6" w14:textId="562B876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E3F8B16" w14:textId="189E2DE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477</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6C78463" w14:textId="0908542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285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F2EA90D" w14:textId="1CA18CA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260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C181E74" w14:textId="33A9FE0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108</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45533F6" w14:textId="74D3D09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7,001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B74CE5" w14:textId="38F9958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7,753</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0DAF93" w14:textId="0D1B82F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39,888</w:t>
            </w:r>
          </w:p>
        </w:tc>
      </w:tr>
      <w:tr w:rsidR="00861244" w:rsidRPr="00E47FB2" w14:paraId="723550B4"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74274"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Cereza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F3D2F3C" w14:textId="22A5C0C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2,541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949FB7F" w14:textId="39CC13D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1,083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4203CA" w14:textId="760D162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2,354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D982F42" w14:textId="586C1A3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3,621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259A667" w14:textId="2EE5D8F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2,982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451BCCB" w14:textId="627CC8B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3,014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EC4AFDA" w14:textId="254E45F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4,812</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A9B44FD" w14:textId="44EAE99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3,541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1B2956D" w14:textId="44FD704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6,021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1B1F36" w14:textId="49ED9A3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3,289</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891F54" w14:textId="0270D4C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4,402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983A2A5" w14:textId="421E02C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1,520</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037891" w14:textId="54C6A3E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39,180</w:t>
            </w:r>
          </w:p>
        </w:tc>
      </w:tr>
      <w:tr w:rsidR="00861244" w:rsidRPr="00E47FB2" w14:paraId="5A4CDEDA"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5F751"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Granadillo</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CCD7D86" w14:textId="3B33812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213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553FC6" w14:textId="7ECA828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284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B7C3AFC" w14:textId="520CB26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258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7EFCE42" w14:textId="3F89A8A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307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C8856D" w14:textId="159E690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190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B3A36D" w14:textId="49EB52C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270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E917DF6" w14:textId="6E5A8DD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235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E9A3FC1" w14:textId="606153F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310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8C8C7A" w14:textId="59BEA42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758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F61B75" w14:textId="7308089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234</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C882A27" w14:textId="7312474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287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EC5DB0F" w14:textId="2FB55C2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162</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718D76" w14:textId="5741A08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3,508</w:t>
            </w:r>
          </w:p>
        </w:tc>
      </w:tr>
      <w:tr w:rsidR="00861244" w:rsidRPr="00E47FB2" w14:paraId="09907EFA"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E3C1E"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Guanabana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7252C75" w14:textId="5655F1B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274B03" w14:textId="1D30014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252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6758901" w14:textId="01B905F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230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15E02C" w14:textId="0525916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045FF01" w14:textId="2902066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54AF7D" w14:textId="72E4B84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289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DD3E5A" w14:textId="78E4CE0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390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9ADEAC6" w14:textId="75F9C8E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824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0146CDF" w14:textId="3593852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A170AA" w14:textId="63B1385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245</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6C18CD" w14:textId="252C0F6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204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0051A8" w14:textId="01EE96A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214</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B496410" w14:textId="0BF48F4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3,131</w:t>
            </w:r>
          </w:p>
        </w:tc>
      </w:tr>
      <w:tr w:rsidR="00861244" w:rsidRPr="00E47FB2" w14:paraId="5BE9D6E1"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63E30A"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Guayaba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099C2D" w14:textId="38F71A2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1B91DE5" w14:textId="733503A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191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BCD931" w14:textId="6E9F697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E52883" w14:textId="5392FB0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240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4FD8CC" w14:textId="6DBBC94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400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43CCE38" w14:textId="4F48C21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542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BC01874" w14:textId="146AF24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260</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376F960" w14:textId="5625BEE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324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49AC8C" w14:textId="53BC3CC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423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36D3414" w14:textId="36DE8C0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425</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F73A61A" w14:textId="0168005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320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2B80E30" w14:textId="0AC5B25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299</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04F9A3" w14:textId="201B9F2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3,873</w:t>
            </w:r>
          </w:p>
        </w:tc>
      </w:tr>
      <w:tr w:rsidR="00861244" w:rsidRPr="00E47FB2" w14:paraId="58D523EE"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55F77"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Mango</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E8C1705" w14:textId="4D8AE73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F5BFCE6" w14:textId="43E96C2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701D47A" w14:textId="119C4B7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895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C412CC1" w14:textId="1948B76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1,952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B5EB92F" w14:textId="637B84E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1,201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BF32E71" w14:textId="7FA0D8D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16,241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B49943F" w14:textId="6229AB8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16,785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0C8FDA4" w14:textId="40C6C28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6,425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9B764BA" w14:textId="10ECB5F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5,321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BA01FFE" w14:textId="107C905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3,857</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8F826BF" w14:textId="4DF9C2E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368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F32E33" w14:textId="68252EE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4038F0" w14:textId="3F26033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53,071</w:t>
            </w:r>
          </w:p>
        </w:tc>
      </w:tr>
      <w:tr w:rsidR="00861244" w:rsidRPr="00E47FB2" w14:paraId="50F35C55"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04C03"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Sandia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900CDCD" w14:textId="6C19EA0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735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EE432F2" w14:textId="7B154F8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2,405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836951" w14:textId="12FBA00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1,654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6C4EDA" w14:textId="0CE2A4E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963</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D19AF94" w14:textId="78DBFBB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1,852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D7184F4" w14:textId="238DBE5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1,201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706435C" w14:textId="0198653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1,724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52D52C" w14:textId="03CD5FE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1,201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2C8CE08" w14:textId="2CAFDB4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869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94C29B" w14:textId="2B17D9B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1,324</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FA628A" w14:textId="24C8A33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868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DA324BF" w14:textId="2158212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1,201</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C57A58" w14:textId="344EC6C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15,997</w:t>
            </w:r>
          </w:p>
        </w:tc>
      </w:tr>
      <w:tr w:rsidR="00861244" w:rsidRPr="00E47FB2" w14:paraId="2C1BE5AF"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A04F8"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Pitahaya</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0D5AA3" w14:textId="365AAF3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5AF011" w14:textId="2940478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B86F48" w14:textId="1F5E32F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691CBFC" w14:textId="497A9DB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4B7C0B" w14:textId="3C52920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4E28D09" w14:textId="1A08336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2496058" w14:textId="372F8D4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125</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401F427" w14:textId="7B8B754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145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A002A19" w14:textId="4A9B2D6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108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35BE82F" w14:textId="4B068D2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135</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7E72A85" w14:textId="56824B8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36</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A56E2D1" w14:textId="13A5F16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9</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248561A" w14:textId="3B88C18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646</w:t>
            </w:r>
          </w:p>
        </w:tc>
      </w:tr>
      <w:tr w:rsidR="00861244" w:rsidRPr="00E47FB2" w14:paraId="4226ABD4"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733EE"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Zapote</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7A01BA2" w14:textId="2B5C848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4,012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450FE74" w14:textId="2FB0AC6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3,688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23E717F" w14:textId="65B9757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6,587</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094E84E" w14:textId="3AA2C74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3,854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BA0EA00" w14:textId="4EBBBA3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3,985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3DF0E4" w14:textId="6AADC58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4,354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4F5470" w14:textId="72C1B9E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4,878</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4671EF5" w14:textId="1674CC8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7,600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1B87C8" w14:textId="469916A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4,421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234B0EA" w14:textId="6F770DB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4,785</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A73CFC2" w14:textId="36AB77D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4,882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7F61BA5" w14:textId="634D3B04"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4,622</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78F5E70" w14:textId="74582E33"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57,668</w:t>
            </w:r>
          </w:p>
        </w:tc>
      </w:tr>
      <w:tr w:rsidR="00861244" w:rsidRPr="00E47FB2" w14:paraId="1BB54F8C"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AC63F"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Guineo</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CB43DBF" w14:textId="48747B3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410,214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9B1A094" w14:textId="1E9379BA"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472,690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6A1F96" w14:textId="2932B538"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479,985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4AA4D1" w14:textId="6C92FE31"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468,545</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2A1D246" w14:textId="3BB5B20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501,210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0C93EE" w14:textId="51B8444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482,144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E93FCC2" w14:textId="69578FB5"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462,154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547C82" w14:textId="73AC2C7B"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472,351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3985DB" w14:textId="62A0F7E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438,541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BD0FB80" w14:textId="113A6E6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485,985</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B4D2848" w14:textId="0233149E"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422,544</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A0F1046" w14:textId="3AFC861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423,141</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EF01729" w14:textId="2E70F6D6"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459,959</w:t>
            </w:r>
          </w:p>
        </w:tc>
      </w:tr>
      <w:tr w:rsidR="00861244" w:rsidRPr="00E47FB2" w14:paraId="39D9FBD4"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9648F" w14:textId="77777777" w:rsidR="00861244" w:rsidRPr="00E47FB2" w:rsidRDefault="00861244" w:rsidP="00861244">
            <w:pPr>
              <w:spacing w:after="0"/>
              <w:rPr>
                <w:rFonts w:ascii="Times New Roman" w:hAnsi="Times New Roman"/>
                <w:lang w:val="en-US" w:eastAsia="en-US"/>
              </w:rPr>
            </w:pPr>
            <w:r w:rsidRPr="00E47FB2">
              <w:rPr>
                <w:rFonts w:ascii="Times New Roman" w:hAnsi="Times New Roman"/>
                <w:lang w:val="en-US" w:eastAsia="en-US"/>
              </w:rPr>
              <w:t>Plátano</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4538C5B" w14:textId="0983836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721,458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43C40B3" w14:textId="48788CFC"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777,976</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8ACAFF" w14:textId="5A3BD7B9"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745,210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59A8CC6" w14:textId="6DCADA3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788,542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5177699" w14:textId="53C9F82D"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821,400</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02DB05D" w14:textId="48B2C47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822,198</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3D39F06" w14:textId="7B5F937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799,854</w:t>
            </w:r>
          </w:p>
        </w:tc>
        <w:tc>
          <w:tcPr>
            <w:tcW w:w="110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8888EB5" w14:textId="083FD9E0"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793,542</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9D79450" w14:textId="5BB2C5A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753,241</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61A3BF" w14:textId="0F601DD7"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784,521</w:t>
            </w:r>
          </w:p>
        </w:tc>
        <w:tc>
          <w:tcPr>
            <w:tcW w:w="112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2D39255" w14:textId="4E5EDF0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756,559</w:t>
            </w:r>
          </w:p>
        </w:tc>
        <w:tc>
          <w:tcPr>
            <w:tcW w:w="101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A18658" w14:textId="5A2E48FF"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780,381</w:t>
            </w:r>
          </w:p>
        </w:tc>
        <w:tc>
          <w:tcPr>
            <w:tcW w:w="12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4ABB20A" w14:textId="454212B2" w:rsidR="00861244" w:rsidRPr="00E47FB2" w:rsidRDefault="00861244" w:rsidP="00861244">
            <w:pPr>
              <w:spacing w:after="0"/>
              <w:jc w:val="right"/>
              <w:rPr>
                <w:rFonts w:ascii="Times New Roman" w:hAnsi="Times New Roman"/>
                <w:sz w:val="20"/>
                <w:szCs w:val="20"/>
              </w:rPr>
            </w:pPr>
            <w:r w:rsidRPr="00E47FB2">
              <w:rPr>
                <w:rFonts w:ascii="Times New Roman" w:hAnsi="Times New Roman"/>
                <w:sz w:val="20"/>
                <w:szCs w:val="20"/>
              </w:rPr>
              <w:t>778,740</w:t>
            </w:r>
          </w:p>
        </w:tc>
      </w:tr>
      <w:tr w:rsidR="00861244" w:rsidRPr="00473056" w14:paraId="7C6E9A2C" w14:textId="77777777" w:rsidTr="00861244">
        <w:trPr>
          <w:trHeight w:val="96"/>
          <w:jc w:val="center"/>
        </w:trPr>
        <w:tc>
          <w:tcPr>
            <w:tcW w:w="1552"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7A9ED7D1" w14:textId="77777777" w:rsidR="00861244" w:rsidRPr="00E47FB2" w:rsidRDefault="00861244" w:rsidP="00861244">
            <w:pPr>
              <w:spacing w:after="0"/>
              <w:rPr>
                <w:rFonts w:ascii="Times New Roman" w:hAnsi="Times New Roman"/>
                <w:b/>
                <w:bCs/>
                <w:color w:val="FFFFFF" w:themeColor="background1"/>
                <w:lang w:val="en-US" w:eastAsia="en-US"/>
              </w:rPr>
            </w:pPr>
            <w:r w:rsidRPr="00E47FB2">
              <w:rPr>
                <w:rFonts w:ascii="Times New Roman" w:hAnsi="Times New Roman"/>
                <w:b/>
                <w:bCs/>
                <w:color w:val="FFFFFF" w:themeColor="background1"/>
                <w:lang w:val="en-US" w:eastAsia="en-US"/>
              </w:rPr>
              <w:t>Total</w:t>
            </w:r>
          </w:p>
        </w:tc>
        <w:tc>
          <w:tcPr>
            <w:tcW w:w="101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3ACA6B08" w14:textId="6C7E770D" w:rsidR="00861244" w:rsidRPr="00E47FB2" w:rsidRDefault="00861244" w:rsidP="00861244">
            <w:pPr>
              <w:spacing w:after="0"/>
              <w:jc w:val="right"/>
              <w:rPr>
                <w:rFonts w:ascii="Times New Roman" w:hAnsi="Times New Roman"/>
                <w:b/>
                <w:bCs/>
                <w:color w:val="FFFFFF" w:themeColor="background1"/>
                <w:sz w:val="20"/>
                <w:szCs w:val="20"/>
              </w:rPr>
            </w:pPr>
            <w:r w:rsidRPr="00E47FB2">
              <w:rPr>
                <w:rFonts w:ascii="Times New Roman" w:hAnsi="Times New Roman"/>
                <w:b/>
                <w:bCs/>
                <w:color w:val="FFFFFF" w:themeColor="background1"/>
                <w:sz w:val="20"/>
                <w:szCs w:val="20"/>
              </w:rPr>
              <w:t>2,160,736</w:t>
            </w:r>
          </w:p>
        </w:tc>
        <w:tc>
          <w:tcPr>
            <w:tcW w:w="101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0278E05C" w14:textId="7A581561" w:rsidR="00861244" w:rsidRPr="00E47FB2" w:rsidRDefault="00861244" w:rsidP="00861244">
            <w:pPr>
              <w:spacing w:after="0"/>
              <w:jc w:val="right"/>
              <w:rPr>
                <w:rFonts w:ascii="Times New Roman" w:hAnsi="Times New Roman"/>
                <w:b/>
                <w:bCs/>
                <w:color w:val="FFFFFF" w:themeColor="background1"/>
                <w:sz w:val="20"/>
                <w:szCs w:val="20"/>
              </w:rPr>
            </w:pPr>
            <w:r w:rsidRPr="00E47FB2">
              <w:rPr>
                <w:rFonts w:ascii="Times New Roman" w:hAnsi="Times New Roman"/>
                <w:b/>
                <w:bCs/>
                <w:color w:val="FFFFFF" w:themeColor="background1"/>
                <w:sz w:val="20"/>
                <w:szCs w:val="20"/>
              </w:rPr>
              <w:t>2,479,498</w:t>
            </w:r>
          </w:p>
        </w:tc>
        <w:tc>
          <w:tcPr>
            <w:tcW w:w="101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7243E3B7" w14:textId="4D2956B2" w:rsidR="00861244" w:rsidRPr="00E47FB2" w:rsidRDefault="00861244" w:rsidP="00861244">
            <w:pPr>
              <w:spacing w:after="0"/>
              <w:jc w:val="right"/>
              <w:rPr>
                <w:rFonts w:ascii="Times New Roman" w:hAnsi="Times New Roman"/>
                <w:b/>
                <w:bCs/>
                <w:color w:val="FFFFFF" w:themeColor="background1"/>
                <w:sz w:val="20"/>
                <w:szCs w:val="20"/>
              </w:rPr>
            </w:pPr>
            <w:r w:rsidRPr="00E47FB2">
              <w:rPr>
                <w:rFonts w:ascii="Times New Roman" w:hAnsi="Times New Roman"/>
                <w:b/>
                <w:bCs/>
                <w:color w:val="FFFFFF" w:themeColor="background1"/>
                <w:sz w:val="20"/>
                <w:szCs w:val="20"/>
              </w:rPr>
              <w:t>2,301,156</w:t>
            </w:r>
          </w:p>
        </w:tc>
        <w:tc>
          <w:tcPr>
            <w:tcW w:w="101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3183C976" w14:textId="1A4F7AAB" w:rsidR="00861244" w:rsidRPr="00E47FB2" w:rsidRDefault="00861244" w:rsidP="00861244">
            <w:pPr>
              <w:spacing w:after="0"/>
              <w:jc w:val="right"/>
              <w:rPr>
                <w:rFonts w:ascii="Times New Roman" w:hAnsi="Times New Roman"/>
                <w:b/>
                <w:bCs/>
                <w:color w:val="FFFFFF" w:themeColor="background1"/>
                <w:sz w:val="20"/>
                <w:szCs w:val="20"/>
              </w:rPr>
            </w:pPr>
            <w:r w:rsidRPr="00E47FB2">
              <w:rPr>
                <w:rFonts w:ascii="Times New Roman" w:hAnsi="Times New Roman"/>
                <w:b/>
                <w:bCs/>
                <w:color w:val="FFFFFF" w:themeColor="background1"/>
                <w:sz w:val="20"/>
                <w:szCs w:val="20"/>
              </w:rPr>
              <w:t>2,589,704</w:t>
            </w:r>
          </w:p>
        </w:tc>
        <w:tc>
          <w:tcPr>
            <w:tcW w:w="101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27D48684" w14:textId="046789EC" w:rsidR="00861244" w:rsidRPr="00E47FB2" w:rsidRDefault="00861244" w:rsidP="00861244">
            <w:pPr>
              <w:spacing w:after="0"/>
              <w:jc w:val="right"/>
              <w:rPr>
                <w:rFonts w:ascii="Times New Roman" w:hAnsi="Times New Roman"/>
                <w:b/>
                <w:bCs/>
                <w:color w:val="FFFFFF" w:themeColor="background1"/>
                <w:sz w:val="20"/>
                <w:szCs w:val="20"/>
              </w:rPr>
            </w:pPr>
            <w:r w:rsidRPr="00E47FB2">
              <w:rPr>
                <w:rFonts w:ascii="Times New Roman" w:hAnsi="Times New Roman"/>
                <w:b/>
                <w:bCs/>
                <w:color w:val="FFFFFF" w:themeColor="background1"/>
                <w:sz w:val="20"/>
                <w:szCs w:val="20"/>
              </w:rPr>
              <w:t>2,603,318</w:t>
            </w:r>
          </w:p>
        </w:tc>
        <w:tc>
          <w:tcPr>
            <w:tcW w:w="101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1F3936D8" w14:textId="38EE3965" w:rsidR="00861244" w:rsidRPr="00E47FB2" w:rsidRDefault="00861244" w:rsidP="00861244">
            <w:pPr>
              <w:spacing w:after="0"/>
              <w:jc w:val="right"/>
              <w:rPr>
                <w:rFonts w:ascii="Times New Roman" w:hAnsi="Times New Roman"/>
                <w:b/>
                <w:bCs/>
                <w:color w:val="FFFFFF" w:themeColor="background1"/>
                <w:sz w:val="20"/>
                <w:szCs w:val="20"/>
              </w:rPr>
            </w:pPr>
            <w:r w:rsidRPr="00E47FB2">
              <w:rPr>
                <w:rFonts w:ascii="Times New Roman" w:hAnsi="Times New Roman"/>
                <w:b/>
                <w:bCs/>
                <w:color w:val="FFFFFF" w:themeColor="background1"/>
                <w:sz w:val="20"/>
                <w:szCs w:val="20"/>
              </w:rPr>
              <w:t>2,363,451</w:t>
            </w:r>
          </w:p>
        </w:tc>
        <w:tc>
          <w:tcPr>
            <w:tcW w:w="101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70F9BB7B" w14:textId="35FBBE45" w:rsidR="00861244" w:rsidRPr="00E47FB2" w:rsidRDefault="00861244" w:rsidP="00861244">
            <w:pPr>
              <w:spacing w:after="0"/>
              <w:jc w:val="right"/>
              <w:rPr>
                <w:rFonts w:ascii="Times New Roman" w:hAnsi="Times New Roman"/>
                <w:b/>
                <w:bCs/>
                <w:color w:val="FFFFFF" w:themeColor="background1"/>
                <w:sz w:val="20"/>
                <w:szCs w:val="20"/>
              </w:rPr>
            </w:pPr>
            <w:r w:rsidRPr="00E47FB2">
              <w:rPr>
                <w:rFonts w:ascii="Times New Roman" w:hAnsi="Times New Roman"/>
                <w:b/>
                <w:bCs/>
                <w:color w:val="FFFFFF" w:themeColor="background1"/>
                <w:sz w:val="20"/>
                <w:szCs w:val="20"/>
              </w:rPr>
              <w:t>2,266,696</w:t>
            </w:r>
          </w:p>
        </w:tc>
        <w:tc>
          <w:tcPr>
            <w:tcW w:w="1107"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379A54AC" w14:textId="60B35618" w:rsidR="00861244" w:rsidRPr="00E47FB2" w:rsidRDefault="00861244" w:rsidP="00861244">
            <w:pPr>
              <w:spacing w:after="0"/>
              <w:jc w:val="right"/>
              <w:rPr>
                <w:rFonts w:ascii="Times New Roman" w:hAnsi="Times New Roman"/>
                <w:b/>
                <w:bCs/>
                <w:color w:val="FFFFFF" w:themeColor="background1"/>
                <w:sz w:val="20"/>
                <w:szCs w:val="20"/>
              </w:rPr>
            </w:pPr>
            <w:r w:rsidRPr="00E47FB2">
              <w:rPr>
                <w:rFonts w:ascii="Times New Roman" w:hAnsi="Times New Roman"/>
                <w:b/>
                <w:bCs/>
                <w:color w:val="FFFFFF" w:themeColor="background1"/>
                <w:sz w:val="20"/>
                <w:szCs w:val="20"/>
              </w:rPr>
              <w:t>2,396,214</w:t>
            </w:r>
          </w:p>
        </w:tc>
        <w:tc>
          <w:tcPr>
            <w:tcW w:w="101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36AF0F0B" w14:textId="6053D899" w:rsidR="00861244" w:rsidRPr="00E47FB2" w:rsidRDefault="00861244" w:rsidP="00861244">
            <w:pPr>
              <w:spacing w:after="0"/>
              <w:jc w:val="right"/>
              <w:rPr>
                <w:rFonts w:ascii="Times New Roman" w:hAnsi="Times New Roman"/>
                <w:b/>
                <w:bCs/>
                <w:color w:val="FFFFFF" w:themeColor="background1"/>
                <w:sz w:val="20"/>
                <w:szCs w:val="20"/>
              </w:rPr>
            </w:pPr>
            <w:r w:rsidRPr="00E47FB2">
              <w:rPr>
                <w:rFonts w:ascii="Times New Roman" w:hAnsi="Times New Roman"/>
                <w:b/>
                <w:bCs/>
                <w:color w:val="FFFFFF" w:themeColor="background1"/>
                <w:sz w:val="20"/>
                <w:szCs w:val="20"/>
              </w:rPr>
              <w:t>2,393,572</w:t>
            </w:r>
          </w:p>
        </w:tc>
        <w:tc>
          <w:tcPr>
            <w:tcW w:w="101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74E0FA8D" w14:textId="7BEF2A7B" w:rsidR="00861244" w:rsidRPr="00E47FB2" w:rsidRDefault="00861244" w:rsidP="00861244">
            <w:pPr>
              <w:spacing w:after="0"/>
              <w:jc w:val="right"/>
              <w:rPr>
                <w:rFonts w:ascii="Times New Roman" w:hAnsi="Times New Roman"/>
                <w:b/>
                <w:bCs/>
                <w:color w:val="FFFFFF" w:themeColor="background1"/>
                <w:sz w:val="20"/>
                <w:szCs w:val="20"/>
              </w:rPr>
            </w:pPr>
            <w:r w:rsidRPr="00E47FB2">
              <w:rPr>
                <w:rFonts w:ascii="Times New Roman" w:hAnsi="Times New Roman"/>
                <w:b/>
                <w:bCs/>
                <w:color w:val="FFFFFF" w:themeColor="background1"/>
                <w:sz w:val="20"/>
                <w:szCs w:val="20"/>
              </w:rPr>
              <w:t>2,571,740</w:t>
            </w:r>
          </w:p>
        </w:tc>
        <w:tc>
          <w:tcPr>
            <w:tcW w:w="1127"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75F8E017" w14:textId="5866F2D0" w:rsidR="00861244" w:rsidRPr="00E47FB2" w:rsidRDefault="00861244" w:rsidP="00861244">
            <w:pPr>
              <w:spacing w:after="0"/>
              <w:jc w:val="right"/>
              <w:rPr>
                <w:rFonts w:ascii="Times New Roman" w:hAnsi="Times New Roman"/>
                <w:b/>
                <w:bCs/>
                <w:color w:val="FFFFFF" w:themeColor="background1"/>
                <w:sz w:val="20"/>
                <w:szCs w:val="20"/>
              </w:rPr>
            </w:pPr>
            <w:r w:rsidRPr="00E47FB2">
              <w:rPr>
                <w:rFonts w:ascii="Times New Roman" w:hAnsi="Times New Roman"/>
                <w:b/>
                <w:bCs/>
                <w:color w:val="FFFFFF" w:themeColor="background1"/>
                <w:sz w:val="20"/>
                <w:szCs w:val="20"/>
              </w:rPr>
              <w:t>2,590,823</w:t>
            </w:r>
          </w:p>
        </w:tc>
        <w:tc>
          <w:tcPr>
            <w:tcW w:w="101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67B9CFB5" w14:textId="7AA97056" w:rsidR="00861244" w:rsidRPr="00E47FB2" w:rsidRDefault="00861244" w:rsidP="00861244">
            <w:pPr>
              <w:spacing w:after="0"/>
              <w:jc w:val="right"/>
              <w:rPr>
                <w:rFonts w:ascii="Times New Roman" w:hAnsi="Times New Roman"/>
                <w:b/>
                <w:bCs/>
                <w:color w:val="FFFFFF" w:themeColor="background1"/>
                <w:sz w:val="20"/>
                <w:szCs w:val="20"/>
              </w:rPr>
            </w:pPr>
            <w:r w:rsidRPr="00E47FB2">
              <w:rPr>
                <w:rFonts w:ascii="Times New Roman" w:hAnsi="Times New Roman"/>
                <w:b/>
                <w:bCs/>
                <w:color w:val="FFFFFF" w:themeColor="background1"/>
                <w:sz w:val="20"/>
                <w:szCs w:val="20"/>
              </w:rPr>
              <w:t>2,378,727</w:t>
            </w:r>
          </w:p>
        </w:tc>
        <w:tc>
          <w:tcPr>
            <w:tcW w:w="1206" w:type="dxa"/>
            <w:tcBorders>
              <w:top w:val="single" w:sz="4" w:space="0" w:color="auto"/>
              <w:left w:val="single" w:sz="4" w:space="0" w:color="auto"/>
              <w:bottom w:val="single" w:sz="4" w:space="0" w:color="auto"/>
              <w:right w:val="single" w:sz="4" w:space="0" w:color="auto"/>
            </w:tcBorders>
            <w:shd w:val="clear" w:color="auto" w:fill="808080" w:themeFill="background1" w:themeFillShade="80"/>
            <w:noWrap/>
            <w:vAlign w:val="bottom"/>
            <w:hideMark/>
          </w:tcPr>
          <w:p w14:paraId="5E624E9C" w14:textId="41358208" w:rsidR="00861244" w:rsidRPr="002A3125" w:rsidRDefault="00861244" w:rsidP="00861244">
            <w:pPr>
              <w:spacing w:after="0"/>
              <w:jc w:val="right"/>
              <w:rPr>
                <w:rFonts w:ascii="Times New Roman" w:hAnsi="Times New Roman"/>
                <w:b/>
                <w:bCs/>
                <w:color w:val="FFFFFF" w:themeColor="background1"/>
                <w:sz w:val="20"/>
                <w:szCs w:val="20"/>
              </w:rPr>
            </w:pPr>
            <w:r w:rsidRPr="00E47FB2">
              <w:rPr>
                <w:rFonts w:ascii="Times New Roman" w:hAnsi="Times New Roman"/>
                <w:b/>
                <w:bCs/>
                <w:color w:val="FFFFFF" w:themeColor="background1"/>
                <w:sz w:val="20"/>
                <w:szCs w:val="20"/>
              </w:rPr>
              <w:t>10,644,839</w:t>
            </w:r>
          </w:p>
        </w:tc>
      </w:tr>
    </w:tbl>
    <w:p w14:paraId="3A1D9294" w14:textId="77777777" w:rsidR="00B63911" w:rsidRPr="0098414F" w:rsidRDefault="00B63911" w:rsidP="009C4E7F">
      <w:pPr>
        <w:spacing w:after="0"/>
        <w:ind w:firstLine="720"/>
        <w:rPr>
          <w:rFonts w:ascii="Times New Roman" w:hAnsi="Times New Roman"/>
        </w:rPr>
      </w:pPr>
    </w:p>
    <w:p w14:paraId="1B8D16B4" w14:textId="77777777" w:rsidR="00AC313A" w:rsidRPr="0098414F" w:rsidRDefault="00AC313A" w:rsidP="0084573A">
      <w:pPr>
        <w:spacing w:after="0" w:line="480" w:lineRule="auto"/>
        <w:ind w:right="144"/>
        <w:contextualSpacing/>
        <w:jc w:val="both"/>
        <w:rPr>
          <w:rFonts w:ascii="Times New Roman" w:hAnsi="Times New Roman"/>
          <w:b/>
        </w:rPr>
        <w:sectPr w:rsidR="00AC313A" w:rsidRPr="0098414F" w:rsidSect="004E4BC1">
          <w:headerReference w:type="first" r:id="rId111"/>
          <w:footerReference w:type="first" r:id="rId112"/>
          <w:pgSz w:w="15840" w:h="12240" w:orient="landscape"/>
          <w:pgMar w:top="568" w:right="1440" w:bottom="567" w:left="1440" w:header="720" w:footer="720" w:gutter="0"/>
          <w:cols w:space="720"/>
          <w:titlePg/>
          <w:docGrid w:linePitch="360"/>
        </w:sectPr>
      </w:pPr>
    </w:p>
    <w:p w14:paraId="0EACB031" w14:textId="77777777" w:rsidR="00AB0F28" w:rsidRPr="0098414F" w:rsidRDefault="00AB0F28" w:rsidP="00AB0F28">
      <w:pPr>
        <w:spacing w:after="0" w:line="480" w:lineRule="auto"/>
        <w:jc w:val="center"/>
        <w:rPr>
          <w:rFonts w:ascii="Times New Roman" w:hAnsi="Times New Roman"/>
          <w:b/>
          <w:sz w:val="28"/>
        </w:rPr>
      </w:pPr>
    </w:p>
    <w:p w14:paraId="11EFEF24" w14:textId="77777777" w:rsidR="00AB0F28" w:rsidRPr="0098414F" w:rsidRDefault="00AB0F28" w:rsidP="00AB0F28">
      <w:pPr>
        <w:spacing w:after="0" w:line="480" w:lineRule="auto"/>
        <w:jc w:val="center"/>
        <w:rPr>
          <w:rFonts w:ascii="Times New Roman" w:hAnsi="Times New Roman"/>
          <w:b/>
          <w:sz w:val="28"/>
        </w:rPr>
      </w:pPr>
    </w:p>
    <w:p w14:paraId="3CB5F96B" w14:textId="77777777" w:rsidR="00AB0F28" w:rsidRPr="0098414F" w:rsidRDefault="00AB0F28" w:rsidP="00AB0F28">
      <w:pPr>
        <w:spacing w:after="0" w:line="480" w:lineRule="auto"/>
        <w:jc w:val="center"/>
        <w:rPr>
          <w:rFonts w:ascii="Times New Roman" w:hAnsi="Times New Roman"/>
          <w:b/>
          <w:sz w:val="28"/>
        </w:rPr>
      </w:pPr>
    </w:p>
    <w:p w14:paraId="2C2E4056" w14:textId="77777777" w:rsidR="00AB0F28" w:rsidRPr="0098414F" w:rsidRDefault="00AB0F28" w:rsidP="00AB0F28">
      <w:pPr>
        <w:spacing w:after="0" w:line="480" w:lineRule="auto"/>
        <w:jc w:val="center"/>
        <w:rPr>
          <w:rFonts w:ascii="Times New Roman" w:hAnsi="Times New Roman"/>
          <w:b/>
          <w:sz w:val="28"/>
        </w:rPr>
      </w:pPr>
    </w:p>
    <w:p w14:paraId="0566DB25" w14:textId="77777777" w:rsidR="00AB0F28" w:rsidRPr="0098414F" w:rsidRDefault="00AB0F28" w:rsidP="00AB0F28">
      <w:pPr>
        <w:spacing w:after="0" w:line="480" w:lineRule="auto"/>
        <w:jc w:val="center"/>
        <w:rPr>
          <w:rFonts w:ascii="Times New Roman" w:hAnsi="Times New Roman"/>
          <w:b/>
          <w:sz w:val="28"/>
        </w:rPr>
      </w:pPr>
    </w:p>
    <w:p w14:paraId="55F1BAE2" w14:textId="77777777" w:rsidR="00AB0F28" w:rsidRPr="0098414F" w:rsidRDefault="00AB0F28" w:rsidP="00AB0F28">
      <w:pPr>
        <w:spacing w:after="0" w:line="480" w:lineRule="auto"/>
        <w:jc w:val="center"/>
        <w:rPr>
          <w:rFonts w:ascii="Times New Roman" w:hAnsi="Times New Roman"/>
          <w:b/>
          <w:sz w:val="28"/>
        </w:rPr>
      </w:pPr>
      <w:r w:rsidRPr="0098414F">
        <w:rPr>
          <w:rFonts w:ascii="Times New Roman" w:hAnsi="Times New Roman"/>
          <w:b/>
          <w:sz w:val="28"/>
        </w:rPr>
        <w:t>Anexo D:</w:t>
      </w:r>
    </w:p>
    <w:p w14:paraId="359B62E5" w14:textId="563B81B1" w:rsidR="00AB0F28" w:rsidRPr="0098414F" w:rsidRDefault="00AB0F28" w:rsidP="00AB0F28">
      <w:pPr>
        <w:spacing w:after="0" w:line="480" w:lineRule="auto"/>
        <w:jc w:val="center"/>
        <w:rPr>
          <w:rFonts w:ascii="Times New Roman" w:hAnsi="Times New Roman"/>
          <w:b/>
          <w:sz w:val="28"/>
        </w:rPr>
      </w:pPr>
      <w:r w:rsidRPr="0098414F">
        <w:rPr>
          <w:rFonts w:ascii="Times New Roman" w:hAnsi="Times New Roman"/>
          <w:b/>
          <w:sz w:val="28"/>
        </w:rPr>
        <w:t xml:space="preserve">Consolidado </w:t>
      </w:r>
      <w:r w:rsidR="00D52849" w:rsidRPr="0098414F">
        <w:rPr>
          <w:rFonts w:ascii="Times New Roman" w:hAnsi="Times New Roman"/>
          <w:b/>
          <w:sz w:val="28"/>
        </w:rPr>
        <w:t xml:space="preserve">nacional de volumen de producción por </w:t>
      </w:r>
      <w:r w:rsidR="0084573A">
        <w:rPr>
          <w:rFonts w:ascii="Times New Roman" w:hAnsi="Times New Roman"/>
          <w:b/>
          <w:sz w:val="28"/>
        </w:rPr>
        <w:t>rubros</w:t>
      </w:r>
      <w:r w:rsidRPr="0098414F">
        <w:rPr>
          <w:rFonts w:ascii="Times New Roman" w:hAnsi="Times New Roman"/>
          <w:b/>
          <w:sz w:val="28"/>
        </w:rPr>
        <w:t xml:space="preserve">, durante el </w:t>
      </w:r>
      <w:r w:rsidR="00BA36D3" w:rsidRPr="0098414F">
        <w:rPr>
          <w:rFonts w:ascii="Times New Roman" w:hAnsi="Times New Roman"/>
          <w:b/>
          <w:sz w:val="28"/>
        </w:rPr>
        <w:t>período</w:t>
      </w:r>
      <w:r w:rsidRPr="0098414F">
        <w:rPr>
          <w:rFonts w:ascii="Times New Roman" w:hAnsi="Times New Roman"/>
          <w:b/>
          <w:sz w:val="28"/>
        </w:rPr>
        <w:t xml:space="preserve"> 201</w:t>
      </w:r>
      <w:r w:rsidR="00CA1084">
        <w:rPr>
          <w:rFonts w:ascii="Times New Roman" w:hAnsi="Times New Roman"/>
          <w:b/>
          <w:sz w:val="28"/>
        </w:rPr>
        <w:t>9</w:t>
      </w:r>
    </w:p>
    <w:p w14:paraId="252DA929" w14:textId="77777777" w:rsidR="00AB0F28" w:rsidRPr="0098414F" w:rsidRDefault="0084573A" w:rsidP="00AB0F28">
      <w:pPr>
        <w:spacing w:after="0" w:line="480" w:lineRule="auto"/>
        <w:jc w:val="center"/>
        <w:rPr>
          <w:rFonts w:ascii="Times New Roman" w:hAnsi="Times New Roman"/>
          <w:b/>
          <w:sz w:val="28"/>
        </w:rPr>
      </w:pPr>
      <w:r>
        <w:rPr>
          <w:rFonts w:ascii="Times New Roman" w:hAnsi="Times New Roman"/>
          <w:b/>
          <w:sz w:val="28"/>
        </w:rPr>
        <w:t>(valores expresados en quinales)</w:t>
      </w:r>
      <w:r w:rsidR="000400AB" w:rsidRPr="000400AB">
        <w:rPr>
          <w:rFonts w:ascii="Times New Roman" w:hAnsi="Times New Roman"/>
          <w:noProof/>
          <w:lang w:val="en-US" w:eastAsia="en-US"/>
        </w:rPr>
        <w:t xml:space="preserve"> </w:t>
      </w:r>
    </w:p>
    <w:p w14:paraId="63BF45AF" w14:textId="77777777" w:rsidR="00AB0F28" w:rsidRDefault="00AB0F28">
      <w:pPr>
        <w:rPr>
          <w:rFonts w:ascii="Times New Roman" w:hAnsi="Times New Roman"/>
        </w:rPr>
      </w:pPr>
    </w:p>
    <w:p w14:paraId="3BE148D4" w14:textId="77777777" w:rsidR="000400AB" w:rsidRPr="0098414F" w:rsidRDefault="000400AB">
      <w:pPr>
        <w:rPr>
          <w:rFonts w:ascii="Times New Roman" w:hAnsi="Times New Roman"/>
        </w:rPr>
      </w:pPr>
    </w:p>
    <w:p w14:paraId="4CB3C954" w14:textId="77777777" w:rsidR="00AB0F28" w:rsidRPr="0098414F" w:rsidRDefault="000400AB">
      <w:pPr>
        <w:rPr>
          <w:rFonts w:ascii="Times New Roman" w:hAnsi="Times New Roman"/>
        </w:rPr>
        <w:sectPr w:rsidR="00AB0F28" w:rsidRPr="0098414F" w:rsidSect="00F03C13">
          <w:headerReference w:type="default" r:id="rId113"/>
          <w:headerReference w:type="first" r:id="rId114"/>
          <w:pgSz w:w="15840" w:h="12240" w:orient="landscape"/>
          <w:pgMar w:top="1276" w:right="1440" w:bottom="993" w:left="1440" w:header="720" w:footer="720" w:gutter="0"/>
          <w:cols w:space="720"/>
          <w:titlePg/>
          <w:docGrid w:linePitch="360"/>
        </w:sectPr>
      </w:pPr>
      <w:r w:rsidRPr="0098414F">
        <w:rPr>
          <w:rFonts w:ascii="Times New Roman" w:hAnsi="Times New Roman"/>
          <w:noProof/>
          <w:lang w:eastAsia="es-DO"/>
        </w:rPr>
        <mc:AlternateContent>
          <mc:Choice Requires="wps">
            <w:drawing>
              <wp:anchor distT="0" distB="0" distL="114300" distR="114300" simplePos="0" relativeHeight="251699200" behindDoc="0" locked="0" layoutInCell="1" allowOverlap="1" wp14:anchorId="2DDC35A3" wp14:editId="740277DE">
                <wp:simplePos x="0" y="0"/>
                <wp:positionH relativeFrom="column">
                  <wp:posOffset>7028121</wp:posOffset>
                </wp:positionH>
                <wp:positionV relativeFrom="paragraph">
                  <wp:posOffset>2722481</wp:posOffset>
                </wp:positionV>
                <wp:extent cx="1402715" cy="425450"/>
                <wp:effectExtent l="0" t="0" r="26035" b="12700"/>
                <wp:wrapNone/>
                <wp:docPr id="18" name="4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71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C57F485" id="48 Rectángulo" o:spid="_x0000_s1026" style="position:absolute;margin-left:553.4pt;margin-top:214.35pt;width:110.45pt;height:3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" fillcolor="white [3212]" strokecolor="white [3212]" strokeweight="2pt">
                <v:path arrowok="t"/>
              </v:rect>
            </w:pict>
          </mc:Fallback>
        </mc:AlternateContent>
      </w:r>
      <w:r w:rsidR="004B5C88" w:rsidRPr="0098414F">
        <w:rPr>
          <w:rFonts w:ascii="Times New Roman" w:hAnsi="Times New Roman"/>
          <w:noProof/>
          <w:lang w:eastAsia="es-DO"/>
        </w:rPr>
        <mc:AlternateContent>
          <mc:Choice Requires="wps">
            <w:drawing>
              <wp:anchor distT="0" distB="0" distL="114300" distR="114300" simplePos="0" relativeHeight="251675648" behindDoc="0" locked="0" layoutInCell="1" allowOverlap="1" wp14:anchorId="1DBD6EB2" wp14:editId="074C5DA3">
                <wp:simplePos x="0" y="0"/>
                <wp:positionH relativeFrom="column">
                  <wp:posOffset>6889750</wp:posOffset>
                </wp:positionH>
                <wp:positionV relativeFrom="paragraph">
                  <wp:posOffset>2188210</wp:posOffset>
                </wp:positionV>
                <wp:extent cx="1466215" cy="425450"/>
                <wp:effectExtent l="0" t="0" r="19685" b="12700"/>
                <wp:wrapNone/>
                <wp:docPr id="45" name="4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21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39E6024" id="45 Rectángulo" o:spid="_x0000_s1026" style="position:absolute;margin-left:542.5pt;margin-top:172.3pt;width:115.45pt;height:3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" fillcolor="white [3212]" strokecolor="white [3212]" strokeweight="2pt">
                <v:path arrowok="t"/>
              </v:rect>
            </w:pict>
          </mc:Fallback>
        </mc:AlternateContent>
      </w:r>
      <w:r w:rsidR="00AB0F28" w:rsidRPr="0098414F">
        <w:rPr>
          <w:rFonts w:ascii="Times New Roman" w:hAnsi="Times New Roman"/>
        </w:rPr>
        <w:br w:type="page"/>
      </w:r>
    </w:p>
    <w:tbl>
      <w:tblPr>
        <w:tblW w:w="5682" w:type="pct"/>
        <w:jc w:val="center"/>
        <w:tblLook w:val="04A0" w:firstRow="1" w:lastRow="0" w:firstColumn="1" w:lastColumn="0" w:noHBand="0" w:noVBand="1"/>
      </w:tblPr>
      <w:tblGrid>
        <w:gridCol w:w="1288"/>
        <w:gridCol w:w="1026"/>
        <w:gridCol w:w="1026"/>
        <w:gridCol w:w="1026"/>
        <w:gridCol w:w="1026"/>
        <w:gridCol w:w="1026"/>
        <w:gridCol w:w="1026"/>
        <w:gridCol w:w="1026"/>
        <w:gridCol w:w="1026"/>
        <w:gridCol w:w="1026"/>
        <w:gridCol w:w="1026"/>
        <w:gridCol w:w="1026"/>
        <w:gridCol w:w="1026"/>
        <w:gridCol w:w="1116"/>
      </w:tblGrid>
      <w:tr w:rsidR="0084573A" w:rsidRPr="00E47FB2" w14:paraId="425181FC" w14:textId="77777777" w:rsidTr="00CA1084">
        <w:trPr>
          <w:trHeight w:val="86"/>
          <w:jc w:val="center"/>
        </w:trPr>
        <w:tc>
          <w:tcPr>
            <w:tcW w:w="438"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283F6CF7" w14:textId="77777777" w:rsidR="0084573A" w:rsidRPr="00E47FB2" w:rsidRDefault="0084573A" w:rsidP="0084573A">
            <w:pPr>
              <w:spacing w:after="0"/>
              <w:jc w:val="center"/>
              <w:rPr>
                <w:rFonts w:ascii="Times New Roman" w:hAnsi="Times New Roman"/>
                <w:b/>
                <w:bCs/>
                <w:color w:val="FFFFFF" w:themeColor="background1"/>
                <w:szCs w:val="18"/>
                <w:lang w:val="en-US" w:eastAsia="en-US"/>
              </w:rPr>
            </w:pPr>
            <w:r w:rsidRPr="00E47FB2">
              <w:rPr>
                <w:rFonts w:ascii="Times New Roman" w:hAnsi="Times New Roman"/>
                <w:b/>
                <w:bCs/>
                <w:color w:val="FFFFFF" w:themeColor="background1"/>
                <w:szCs w:val="18"/>
                <w:lang w:val="en-US" w:eastAsia="en-US"/>
              </w:rPr>
              <w:lastRenderedPageBreak/>
              <w:t>Rubro</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24440438" w14:textId="77777777" w:rsidR="0084573A" w:rsidRPr="00E47FB2" w:rsidRDefault="0084573A" w:rsidP="0084573A">
            <w:pPr>
              <w:spacing w:after="0"/>
              <w:jc w:val="center"/>
              <w:rPr>
                <w:rFonts w:ascii="Times New Roman" w:hAnsi="Times New Roman"/>
                <w:b/>
                <w:bCs/>
                <w:color w:val="FFFFFF" w:themeColor="background1"/>
                <w:szCs w:val="18"/>
                <w:lang w:val="en-US" w:eastAsia="en-US"/>
              </w:rPr>
            </w:pPr>
            <w:r w:rsidRPr="00E47FB2">
              <w:rPr>
                <w:rFonts w:ascii="Times New Roman" w:hAnsi="Times New Roman"/>
                <w:b/>
                <w:bCs/>
                <w:color w:val="FFFFFF" w:themeColor="background1"/>
                <w:szCs w:val="18"/>
                <w:lang w:val="en-US" w:eastAsia="en-US"/>
              </w:rPr>
              <w:t>Ene.</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60628C91" w14:textId="77777777" w:rsidR="0084573A" w:rsidRPr="00E47FB2" w:rsidRDefault="0084573A" w:rsidP="0084573A">
            <w:pPr>
              <w:spacing w:after="0"/>
              <w:jc w:val="center"/>
              <w:rPr>
                <w:rFonts w:ascii="Times New Roman" w:hAnsi="Times New Roman"/>
                <w:b/>
                <w:bCs/>
                <w:color w:val="FFFFFF" w:themeColor="background1"/>
                <w:szCs w:val="18"/>
                <w:lang w:val="en-US" w:eastAsia="en-US"/>
              </w:rPr>
            </w:pPr>
            <w:r w:rsidRPr="00E47FB2">
              <w:rPr>
                <w:rFonts w:ascii="Times New Roman" w:hAnsi="Times New Roman"/>
                <w:b/>
                <w:bCs/>
                <w:color w:val="FFFFFF" w:themeColor="background1"/>
                <w:szCs w:val="18"/>
                <w:lang w:val="en-US" w:eastAsia="en-US"/>
              </w:rPr>
              <w:t>Feb.</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3FB787AB" w14:textId="77777777" w:rsidR="0084573A" w:rsidRPr="00E47FB2" w:rsidRDefault="0084573A" w:rsidP="0084573A">
            <w:pPr>
              <w:spacing w:after="0"/>
              <w:jc w:val="center"/>
              <w:rPr>
                <w:rFonts w:ascii="Times New Roman" w:hAnsi="Times New Roman"/>
                <w:b/>
                <w:bCs/>
                <w:color w:val="FFFFFF" w:themeColor="background1"/>
                <w:szCs w:val="18"/>
                <w:lang w:val="en-US" w:eastAsia="en-US"/>
              </w:rPr>
            </w:pPr>
            <w:r w:rsidRPr="00E47FB2">
              <w:rPr>
                <w:rFonts w:ascii="Times New Roman" w:hAnsi="Times New Roman"/>
                <w:b/>
                <w:bCs/>
                <w:color w:val="FFFFFF" w:themeColor="background1"/>
                <w:szCs w:val="18"/>
                <w:lang w:val="en-US" w:eastAsia="en-US"/>
              </w:rPr>
              <w:t>Mar.</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7EDC81A9" w14:textId="77777777" w:rsidR="0084573A" w:rsidRPr="00E47FB2" w:rsidRDefault="0084573A" w:rsidP="0084573A">
            <w:pPr>
              <w:spacing w:after="0"/>
              <w:jc w:val="center"/>
              <w:rPr>
                <w:rFonts w:ascii="Times New Roman" w:hAnsi="Times New Roman"/>
                <w:b/>
                <w:bCs/>
                <w:color w:val="FFFFFF" w:themeColor="background1"/>
                <w:szCs w:val="18"/>
                <w:lang w:val="en-US" w:eastAsia="en-US"/>
              </w:rPr>
            </w:pPr>
            <w:r w:rsidRPr="00E47FB2">
              <w:rPr>
                <w:rFonts w:ascii="Times New Roman" w:hAnsi="Times New Roman"/>
                <w:b/>
                <w:bCs/>
                <w:color w:val="FFFFFF" w:themeColor="background1"/>
                <w:szCs w:val="18"/>
                <w:lang w:val="en-US" w:eastAsia="en-US"/>
              </w:rPr>
              <w:t>Abr.</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6C6728BA" w14:textId="77777777" w:rsidR="0084573A" w:rsidRPr="00E47FB2" w:rsidRDefault="0084573A" w:rsidP="0084573A">
            <w:pPr>
              <w:spacing w:after="0"/>
              <w:jc w:val="center"/>
              <w:rPr>
                <w:rFonts w:ascii="Times New Roman" w:hAnsi="Times New Roman"/>
                <w:b/>
                <w:bCs/>
                <w:color w:val="FFFFFF" w:themeColor="background1"/>
                <w:szCs w:val="18"/>
                <w:lang w:val="en-US" w:eastAsia="en-US"/>
              </w:rPr>
            </w:pPr>
            <w:r w:rsidRPr="00E47FB2">
              <w:rPr>
                <w:rFonts w:ascii="Times New Roman" w:hAnsi="Times New Roman"/>
                <w:b/>
                <w:bCs/>
                <w:color w:val="FFFFFF" w:themeColor="background1"/>
                <w:szCs w:val="18"/>
                <w:lang w:val="en-US" w:eastAsia="en-US"/>
              </w:rPr>
              <w:t>May.</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4C925CFC" w14:textId="77777777" w:rsidR="0084573A" w:rsidRPr="00E47FB2" w:rsidRDefault="0084573A" w:rsidP="0084573A">
            <w:pPr>
              <w:spacing w:after="0"/>
              <w:jc w:val="center"/>
              <w:rPr>
                <w:rFonts w:ascii="Times New Roman" w:hAnsi="Times New Roman"/>
                <w:b/>
                <w:bCs/>
                <w:color w:val="FFFFFF" w:themeColor="background1"/>
                <w:szCs w:val="18"/>
                <w:lang w:val="en-US" w:eastAsia="en-US"/>
              </w:rPr>
            </w:pPr>
            <w:r w:rsidRPr="00E47FB2">
              <w:rPr>
                <w:rFonts w:ascii="Times New Roman" w:hAnsi="Times New Roman"/>
                <w:b/>
                <w:bCs/>
                <w:color w:val="FFFFFF" w:themeColor="background1"/>
                <w:szCs w:val="18"/>
                <w:lang w:val="en-US" w:eastAsia="en-US"/>
              </w:rPr>
              <w:t>Jun.</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2605FB4D" w14:textId="77777777" w:rsidR="0084573A" w:rsidRPr="00E47FB2" w:rsidRDefault="0084573A" w:rsidP="0084573A">
            <w:pPr>
              <w:spacing w:after="0"/>
              <w:jc w:val="center"/>
              <w:rPr>
                <w:rFonts w:ascii="Times New Roman" w:hAnsi="Times New Roman"/>
                <w:b/>
                <w:bCs/>
                <w:color w:val="FFFFFF" w:themeColor="background1"/>
                <w:szCs w:val="18"/>
                <w:lang w:val="en-US" w:eastAsia="en-US"/>
              </w:rPr>
            </w:pPr>
            <w:r w:rsidRPr="00E47FB2">
              <w:rPr>
                <w:rFonts w:ascii="Times New Roman" w:hAnsi="Times New Roman"/>
                <w:b/>
                <w:bCs/>
                <w:color w:val="FFFFFF" w:themeColor="background1"/>
                <w:szCs w:val="18"/>
                <w:lang w:val="en-US" w:eastAsia="en-US"/>
              </w:rPr>
              <w:t>Jul.</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4E8684F3" w14:textId="77777777" w:rsidR="0084573A" w:rsidRPr="00E47FB2" w:rsidRDefault="0084573A" w:rsidP="0084573A">
            <w:pPr>
              <w:spacing w:after="0"/>
              <w:jc w:val="center"/>
              <w:rPr>
                <w:rFonts w:ascii="Times New Roman" w:hAnsi="Times New Roman"/>
                <w:b/>
                <w:bCs/>
                <w:color w:val="FFFFFF" w:themeColor="background1"/>
                <w:szCs w:val="18"/>
                <w:lang w:val="en-US" w:eastAsia="en-US"/>
              </w:rPr>
            </w:pPr>
            <w:r w:rsidRPr="00E47FB2">
              <w:rPr>
                <w:rFonts w:ascii="Times New Roman" w:hAnsi="Times New Roman"/>
                <w:b/>
                <w:bCs/>
                <w:color w:val="FFFFFF" w:themeColor="background1"/>
                <w:szCs w:val="18"/>
                <w:lang w:val="en-US" w:eastAsia="en-US"/>
              </w:rPr>
              <w:t>Ago.</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19A73F2A" w14:textId="77777777" w:rsidR="0084573A" w:rsidRPr="00E47FB2" w:rsidRDefault="0084573A" w:rsidP="0084573A">
            <w:pPr>
              <w:spacing w:after="0"/>
              <w:jc w:val="center"/>
              <w:rPr>
                <w:rFonts w:ascii="Times New Roman" w:hAnsi="Times New Roman"/>
                <w:b/>
                <w:bCs/>
                <w:color w:val="FFFFFF" w:themeColor="background1"/>
                <w:szCs w:val="18"/>
                <w:lang w:val="en-US" w:eastAsia="en-US"/>
              </w:rPr>
            </w:pPr>
            <w:r w:rsidRPr="00E47FB2">
              <w:rPr>
                <w:rFonts w:ascii="Times New Roman" w:hAnsi="Times New Roman"/>
                <w:b/>
                <w:bCs/>
                <w:color w:val="FFFFFF" w:themeColor="background1"/>
                <w:szCs w:val="18"/>
                <w:lang w:val="en-US" w:eastAsia="en-US"/>
              </w:rPr>
              <w:t>Sep.</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402EDC6A" w14:textId="77777777" w:rsidR="0084573A" w:rsidRPr="00E47FB2" w:rsidRDefault="0084573A" w:rsidP="0084573A">
            <w:pPr>
              <w:spacing w:after="0"/>
              <w:jc w:val="center"/>
              <w:rPr>
                <w:rFonts w:ascii="Times New Roman" w:hAnsi="Times New Roman"/>
                <w:b/>
                <w:bCs/>
                <w:color w:val="FFFFFF" w:themeColor="background1"/>
                <w:szCs w:val="18"/>
                <w:lang w:val="en-US" w:eastAsia="en-US"/>
              </w:rPr>
            </w:pPr>
            <w:r w:rsidRPr="00E47FB2">
              <w:rPr>
                <w:rFonts w:ascii="Times New Roman" w:hAnsi="Times New Roman"/>
                <w:b/>
                <w:bCs/>
                <w:color w:val="FFFFFF" w:themeColor="background1"/>
                <w:szCs w:val="18"/>
                <w:lang w:val="en-US" w:eastAsia="en-US"/>
              </w:rPr>
              <w:t>Oct.</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60CAA426" w14:textId="77777777" w:rsidR="0084573A" w:rsidRPr="00E47FB2" w:rsidRDefault="0084573A" w:rsidP="0084573A">
            <w:pPr>
              <w:spacing w:after="0"/>
              <w:jc w:val="center"/>
              <w:rPr>
                <w:rFonts w:ascii="Times New Roman" w:hAnsi="Times New Roman"/>
                <w:b/>
                <w:bCs/>
                <w:color w:val="FFFFFF" w:themeColor="background1"/>
                <w:szCs w:val="18"/>
                <w:lang w:val="en-US" w:eastAsia="en-US"/>
              </w:rPr>
            </w:pPr>
            <w:r w:rsidRPr="00E47FB2">
              <w:rPr>
                <w:rFonts w:ascii="Times New Roman" w:hAnsi="Times New Roman"/>
                <w:b/>
                <w:bCs/>
                <w:color w:val="FFFFFF" w:themeColor="background1"/>
                <w:szCs w:val="18"/>
                <w:lang w:val="en-US" w:eastAsia="en-US"/>
              </w:rPr>
              <w:t>Nov.</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5908373F" w14:textId="77777777" w:rsidR="0084573A" w:rsidRPr="00E47FB2" w:rsidRDefault="0084573A" w:rsidP="0084573A">
            <w:pPr>
              <w:spacing w:after="0"/>
              <w:jc w:val="center"/>
              <w:rPr>
                <w:rFonts w:ascii="Times New Roman" w:hAnsi="Times New Roman"/>
                <w:b/>
                <w:bCs/>
                <w:color w:val="FFFFFF" w:themeColor="background1"/>
                <w:szCs w:val="18"/>
                <w:lang w:val="en-US" w:eastAsia="en-US"/>
              </w:rPr>
            </w:pPr>
            <w:r w:rsidRPr="00E47FB2">
              <w:rPr>
                <w:rFonts w:ascii="Times New Roman" w:hAnsi="Times New Roman"/>
                <w:b/>
                <w:bCs/>
                <w:color w:val="FFFFFF" w:themeColor="background1"/>
                <w:szCs w:val="18"/>
                <w:lang w:val="en-US" w:eastAsia="en-US"/>
              </w:rPr>
              <w:t>Dic.</w:t>
            </w:r>
          </w:p>
        </w:tc>
        <w:tc>
          <w:tcPr>
            <w:tcW w:w="379" w:type="pct"/>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2B3C45E1" w14:textId="77777777" w:rsidR="0084573A" w:rsidRPr="00E47FB2" w:rsidRDefault="0084573A" w:rsidP="0084573A">
            <w:pPr>
              <w:spacing w:after="0"/>
              <w:jc w:val="center"/>
              <w:rPr>
                <w:rFonts w:ascii="Times New Roman" w:hAnsi="Times New Roman"/>
                <w:b/>
                <w:bCs/>
                <w:color w:val="FFFFFF" w:themeColor="background1"/>
                <w:szCs w:val="18"/>
                <w:lang w:val="en-US" w:eastAsia="en-US"/>
              </w:rPr>
            </w:pPr>
            <w:r w:rsidRPr="00E47FB2">
              <w:rPr>
                <w:rFonts w:ascii="Times New Roman" w:hAnsi="Times New Roman"/>
                <w:b/>
                <w:bCs/>
                <w:color w:val="FFFFFF" w:themeColor="background1"/>
                <w:szCs w:val="18"/>
                <w:lang w:val="en-US" w:eastAsia="en-US"/>
              </w:rPr>
              <w:t>Total</w:t>
            </w:r>
          </w:p>
        </w:tc>
      </w:tr>
      <w:tr w:rsidR="00CA1084" w:rsidRPr="00E47FB2" w14:paraId="2A4F1898" w14:textId="77777777" w:rsidTr="00CA1084">
        <w:trPr>
          <w:trHeight w:val="96"/>
          <w:jc w:val="center"/>
        </w:trPr>
        <w:tc>
          <w:tcPr>
            <w:tcW w:w="43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BF471B2"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Arroz</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7BBA88A3" w14:textId="037866E7" w:rsidR="00CA1084" w:rsidRPr="00E47FB2" w:rsidRDefault="00CA1084" w:rsidP="00CA1084">
            <w:pPr>
              <w:spacing w:after="0"/>
              <w:jc w:val="right"/>
              <w:rPr>
                <w:rFonts w:ascii="Times New Roman" w:hAnsi="Times New Roman"/>
                <w:sz w:val="20"/>
                <w:szCs w:val="20"/>
                <w:lang w:val="en-US" w:eastAsia="en-US"/>
              </w:rPr>
            </w:pPr>
            <w:r w:rsidRPr="00E47FB2">
              <w:rPr>
                <w:rFonts w:ascii="Times New Roman" w:hAnsi="Times New Roman"/>
                <w:sz w:val="20"/>
                <w:szCs w:val="20"/>
              </w:rPr>
              <w:t>75,147</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3E18C04A" w14:textId="398167D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11,505</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5695A016" w14:textId="3A0A98E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528,128</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452B5797" w14:textId="5727CE4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2,655,472</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2ACC0F67" w14:textId="78913A7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2,546,311</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7177AA32" w14:textId="28DFBA1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1,032,459</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16C940D2" w14:textId="0C5633C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517,667</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41C8671F" w14:textId="361AE43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1,184,973</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4028D7E5" w14:textId="7479E3B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1,650,188</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79EF388A" w14:textId="358481F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1,845,242</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695909DB" w14:textId="13729A6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1,589,589</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17DBFCFD" w14:textId="7BF4C27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404,260</w:t>
            </w:r>
          </w:p>
        </w:tc>
        <w:tc>
          <w:tcPr>
            <w:tcW w:w="379" w:type="pct"/>
            <w:tcBorders>
              <w:top w:val="single" w:sz="4" w:space="0" w:color="auto"/>
              <w:left w:val="nil"/>
              <w:bottom w:val="single" w:sz="4" w:space="0" w:color="auto"/>
              <w:right w:val="single" w:sz="8" w:space="0" w:color="auto"/>
            </w:tcBorders>
            <w:shd w:val="clear" w:color="000000" w:fill="FFFFFF"/>
            <w:noWrap/>
            <w:vAlign w:val="bottom"/>
            <w:hideMark/>
          </w:tcPr>
          <w:p w14:paraId="6D8534FF" w14:textId="54B2D23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14,040,941</w:t>
            </w:r>
          </w:p>
        </w:tc>
      </w:tr>
      <w:tr w:rsidR="00CA1084" w:rsidRPr="00E47FB2" w14:paraId="43B8C741"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376F3FBC"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Maíz</w:t>
            </w:r>
          </w:p>
        </w:tc>
        <w:tc>
          <w:tcPr>
            <w:tcW w:w="349" w:type="pct"/>
            <w:tcBorders>
              <w:top w:val="nil"/>
              <w:left w:val="nil"/>
              <w:bottom w:val="single" w:sz="4" w:space="0" w:color="auto"/>
              <w:right w:val="single" w:sz="4" w:space="0" w:color="auto"/>
            </w:tcBorders>
            <w:shd w:val="clear" w:color="000000" w:fill="FFFFFF"/>
            <w:noWrap/>
            <w:vAlign w:val="bottom"/>
            <w:hideMark/>
          </w:tcPr>
          <w:p w14:paraId="41ECD1D5" w14:textId="61BA4F8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101,201</w:t>
            </w:r>
          </w:p>
        </w:tc>
        <w:tc>
          <w:tcPr>
            <w:tcW w:w="349" w:type="pct"/>
            <w:tcBorders>
              <w:top w:val="nil"/>
              <w:left w:val="nil"/>
              <w:bottom w:val="single" w:sz="4" w:space="0" w:color="auto"/>
              <w:right w:val="single" w:sz="4" w:space="0" w:color="auto"/>
            </w:tcBorders>
            <w:shd w:val="clear" w:color="000000" w:fill="FFFFFF"/>
            <w:noWrap/>
            <w:vAlign w:val="bottom"/>
            <w:hideMark/>
          </w:tcPr>
          <w:p w14:paraId="353ABD9C" w14:textId="309C5CB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79,566</w:t>
            </w:r>
          </w:p>
        </w:tc>
        <w:tc>
          <w:tcPr>
            <w:tcW w:w="349" w:type="pct"/>
            <w:tcBorders>
              <w:top w:val="nil"/>
              <w:left w:val="nil"/>
              <w:bottom w:val="single" w:sz="4" w:space="0" w:color="auto"/>
              <w:right w:val="single" w:sz="4" w:space="0" w:color="auto"/>
            </w:tcBorders>
            <w:shd w:val="clear" w:color="000000" w:fill="FFFFFF"/>
            <w:noWrap/>
            <w:vAlign w:val="bottom"/>
            <w:hideMark/>
          </w:tcPr>
          <w:p w14:paraId="2988CC5C" w14:textId="22B1B38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73,012</w:t>
            </w:r>
          </w:p>
        </w:tc>
        <w:tc>
          <w:tcPr>
            <w:tcW w:w="349" w:type="pct"/>
            <w:tcBorders>
              <w:top w:val="nil"/>
              <w:left w:val="nil"/>
              <w:bottom w:val="single" w:sz="4" w:space="0" w:color="auto"/>
              <w:right w:val="single" w:sz="4" w:space="0" w:color="auto"/>
            </w:tcBorders>
            <w:shd w:val="clear" w:color="000000" w:fill="FFFFFF"/>
            <w:noWrap/>
            <w:vAlign w:val="bottom"/>
            <w:hideMark/>
          </w:tcPr>
          <w:p w14:paraId="0014B23A" w14:textId="63EA164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68,745</w:t>
            </w:r>
          </w:p>
        </w:tc>
        <w:tc>
          <w:tcPr>
            <w:tcW w:w="349" w:type="pct"/>
            <w:tcBorders>
              <w:top w:val="nil"/>
              <w:left w:val="nil"/>
              <w:bottom w:val="single" w:sz="4" w:space="0" w:color="auto"/>
              <w:right w:val="single" w:sz="4" w:space="0" w:color="auto"/>
            </w:tcBorders>
            <w:shd w:val="clear" w:color="000000" w:fill="FFFFFF"/>
            <w:noWrap/>
            <w:vAlign w:val="bottom"/>
            <w:hideMark/>
          </w:tcPr>
          <w:p w14:paraId="35061584" w14:textId="1F5E7AD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78,998</w:t>
            </w:r>
          </w:p>
        </w:tc>
        <w:tc>
          <w:tcPr>
            <w:tcW w:w="349" w:type="pct"/>
            <w:tcBorders>
              <w:top w:val="nil"/>
              <w:left w:val="nil"/>
              <w:bottom w:val="single" w:sz="4" w:space="0" w:color="auto"/>
              <w:right w:val="single" w:sz="4" w:space="0" w:color="auto"/>
            </w:tcBorders>
            <w:shd w:val="clear" w:color="000000" w:fill="FFFFFF"/>
            <w:noWrap/>
            <w:vAlign w:val="bottom"/>
            <w:hideMark/>
          </w:tcPr>
          <w:p w14:paraId="45743681" w14:textId="207BE9A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101,289</w:t>
            </w:r>
          </w:p>
        </w:tc>
        <w:tc>
          <w:tcPr>
            <w:tcW w:w="349" w:type="pct"/>
            <w:tcBorders>
              <w:top w:val="nil"/>
              <w:left w:val="nil"/>
              <w:bottom w:val="single" w:sz="4" w:space="0" w:color="auto"/>
              <w:right w:val="single" w:sz="4" w:space="0" w:color="auto"/>
            </w:tcBorders>
            <w:shd w:val="clear" w:color="000000" w:fill="FFFFFF"/>
            <w:noWrap/>
            <w:vAlign w:val="bottom"/>
            <w:hideMark/>
          </w:tcPr>
          <w:p w14:paraId="165BDA44" w14:textId="515BFED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123,713</w:t>
            </w:r>
          </w:p>
        </w:tc>
        <w:tc>
          <w:tcPr>
            <w:tcW w:w="349" w:type="pct"/>
            <w:tcBorders>
              <w:top w:val="nil"/>
              <w:left w:val="nil"/>
              <w:bottom w:val="single" w:sz="4" w:space="0" w:color="auto"/>
              <w:right w:val="single" w:sz="4" w:space="0" w:color="auto"/>
            </w:tcBorders>
            <w:shd w:val="clear" w:color="000000" w:fill="FFFFFF"/>
            <w:noWrap/>
            <w:vAlign w:val="bottom"/>
            <w:hideMark/>
          </w:tcPr>
          <w:p w14:paraId="5CD12FA7" w14:textId="506A822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84,598</w:t>
            </w:r>
          </w:p>
        </w:tc>
        <w:tc>
          <w:tcPr>
            <w:tcW w:w="349" w:type="pct"/>
            <w:tcBorders>
              <w:top w:val="nil"/>
              <w:left w:val="nil"/>
              <w:bottom w:val="single" w:sz="4" w:space="0" w:color="auto"/>
              <w:right w:val="single" w:sz="4" w:space="0" w:color="auto"/>
            </w:tcBorders>
            <w:shd w:val="clear" w:color="000000" w:fill="FFFFFF"/>
            <w:noWrap/>
            <w:vAlign w:val="bottom"/>
            <w:hideMark/>
          </w:tcPr>
          <w:p w14:paraId="601E0869" w14:textId="04AE295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125,498</w:t>
            </w:r>
          </w:p>
        </w:tc>
        <w:tc>
          <w:tcPr>
            <w:tcW w:w="349" w:type="pct"/>
            <w:tcBorders>
              <w:top w:val="nil"/>
              <w:left w:val="nil"/>
              <w:bottom w:val="single" w:sz="4" w:space="0" w:color="auto"/>
              <w:right w:val="single" w:sz="4" w:space="0" w:color="auto"/>
            </w:tcBorders>
            <w:shd w:val="clear" w:color="000000" w:fill="FFFFFF"/>
            <w:noWrap/>
            <w:vAlign w:val="bottom"/>
            <w:hideMark/>
          </w:tcPr>
          <w:p w14:paraId="7B358FD0" w14:textId="4C0E38D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87,564</w:t>
            </w:r>
          </w:p>
        </w:tc>
        <w:tc>
          <w:tcPr>
            <w:tcW w:w="349" w:type="pct"/>
            <w:tcBorders>
              <w:top w:val="nil"/>
              <w:left w:val="nil"/>
              <w:bottom w:val="single" w:sz="4" w:space="0" w:color="auto"/>
              <w:right w:val="single" w:sz="4" w:space="0" w:color="auto"/>
            </w:tcBorders>
            <w:shd w:val="clear" w:color="000000" w:fill="FFFFFF"/>
            <w:noWrap/>
            <w:vAlign w:val="bottom"/>
            <w:hideMark/>
          </w:tcPr>
          <w:p w14:paraId="50DB1F70" w14:textId="42E7571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66,587</w:t>
            </w:r>
          </w:p>
        </w:tc>
        <w:tc>
          <w:tcPr>
            <w:tcW w:w="349" w:type="pct"/>
            <w:tcBorders>
              <w:top w:val="nil"/>
              <w:left w:val="nil"/>
              <w:bottom w:val="single" w:sz="4" w:space="0" w:color="auto"/>
              <w:right w:val="single" w:sz="4" w:space="0" w:color="auto"/>
            </w:tcBorders>
            <w:shd w:val="clear" w:color="000000" w:fill="FFFFFF"/>
            <w:noWrap/>
            <w:vAlign w:val="bottom"/>
            <w:hideMark/>
          </w:tcPr>
          <w:p w14:paraId="0151F5B7" w14:textId="1097865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102,451</w:t>
            </w:r>
          </w:p>
        </w:tc>
        <w:tc>
          <w:tcPr>
            <w:tcW w:w="379" w:type="pct"/>
            <w:tcBorders>
              <w:top w:val="nil"/>
              <w:left w:val="nil"/>
              <w:bottom w:val="single" w:sz="4" w:space="0" w:color="auto"/>
              <w:right w:val="single" w:sz="8" w:space="0" w:color="auto"/>
            </w:tcBorders>
            <w:shd w:val="clear" w:color="000000" w:fill="FFFFFF"/>
            <w:noWrap/>
            <w:vAlign w:val="bottom"/>
            <w:hideMark/>
          </w:tcPr>
          <w:p w14:paraId="404C21C8" w14:textId="4B03D92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1,093,222</w:t>
            </w:r>
          </w:p>
        </w:tc>
      </w:tr>
      <w:tr w:rsidR="00CA1084" w:rsidRPr="00E47FB2" w14:paraId="15890329"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22C0E680"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Sorgo</w:t>
            </w:r>
          </w:p>
        </w:tc>
        <w:tc>
          <w:tcPr>
            <w:tcW w:w="349" w:type="pct"/>
            <w:tcBorders>
              <w:top w:val="nil"/>
              <w:left w:val="nil"/>
              <w:bottom w:val="single" w:sz="4" w:space="0" w:color="auto"/>
              <w:right w:val="single" w:sz="4" w:space="0" w:color="auto"/>
            </w:tcBorders>
            <w:shd w:val="clear" w:color="000000" w:fill="FFFFFF"/>
            <w:noWrap/>
            <w:vAlign w:val="bottom"/>
            <w:hideMark/>
          </w:tcPr>
          <w:p w14:paraId="5D5786D4" w14:textId="686214E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375</w:t>
            </w:r>
          </w:p>
        </w:tc>
        <w:tc>
          <w:tcPr>
            <w:tcW w:w="349" w:type="pct"/>
            <w:tcBorders>
              <w:top w:val="nil"/>
              <w:left w:val="nil"/>
              <w:bottom w:val="single" w:sz="4" w:space="0" w:color="auto"/>
              <w:right w:val="single" w:sz="4" w:space="0" w:color="auto"/>
            </w:tcBorders>
            <w:shd w:val="clear" w:color="000000" w:fill="FFFFFF"/>
            <w:noWrap/>
            <w:vAlign w:val="bottom"/>
            <w:hideMark/>
          </w:tcPr>
          <w:p w14:paraId="01DC540D" w14:textId="7CF2D72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5,750</w:t>
            </w:r>
          </w:p>
        </w:tc>
        <w:tc>
          <w:tcPr>
            <w:tcW w:w="349" w:type="pct"/>
            <w:tcBorders>
              <w:top w:val="nil"/>
              <w:left w:val="nil"/>
              <w:bottom w:val="single" w:sz="4" w:space="0" w:color="auto"/>
              <w:right w:val="single" w:sz="4" w:space="0" w:color="auto"/>
            </w:tcBorders>
            <w:shd w:val="clear" w:color="000000" w:fill="FFFFFF"/>
            <w:noWrap/>
            <w:vAlign w:val="bottom"/>
            <w:hideMark/>
          </w:tcPr>
          <w:p w14:paraId="7C9132D0" w14:textId="099D12E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2,989</w:t>
            </w:r>
          </w:p>
        </w:tc>
        <w:tc>
          <w:tcPr>
            <w:tcW w:w="349" w:type="pct"/>
            <w:tcBorders>
              <w:top w:val="nil"/>
              <w:left w:val="nil"/>
              <w:bottom w:val="single" w:sz="4" w:space="0" w:color="auto"/>
              <w:right w:val="single" w:sz="4" w:space="0" w:color="auto"/>
            </w:tcBorders>
            <w:shd w:val="clear" w:color="000000" w:fill="FFFFFF"/>
            <w:noWrap/>
            <w:vAlign w:val="bottom"/>
            <w:hideMark/>
          </w:tcPr>
          <w:p w14:paraId="69574954" w14:textId="2149420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54A4FE58" w14:textId="477E93A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898</w:t>
            </w:r>
          </w:p>
        </w:tc>
        <w:tc>
          <w:tcPr>
            <w:tcW w:w="349" w:type="pct"/>
            <w:tcBorders>
              <w:top w:val="nil"/>
              <w:left w:val="nil"/>
              <w:bottom w:val="single" w:sz="4" w:space="0" w:color="auto"/>
              <w:right w:val="single" w:sz="4" w:space="0" w:color="auto"/>
            </w:tcBorders>
            <w:shd w:val="clear" w:color="000000" w:fill="FFFFFF"/>
            <w:noWrap/>
            <w:vAlign w:val="bottom"/>
            <w:hideMark/>
          </w:tcPr>
          <w:p w14:paraId="58BE6636" w14:textId="45115DF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421</w:t>
            </w:r>
          </w:p>
        </w:tc>
        <w:tc>
          <w:tcPr>
            <w:tcW w:w="349" w:type="pct"/>
            <w:tcBorders>
              <w:top w:val="nil"/>
              <w:left w:val="nil"/>
              <w:bottom w:val="single" w:sz="4" w:space="0" w:color="auto"/>
              <w:right w:val="single" w:sz="4" w:space="0" w:color="auto"/>
            </w:tcBorders>
            <w:shd w:val="clear" w:color="000000" w:fill="FFFFFF"/>
            <w:noWrap/>
            <w:vAlign w:val="bottom"/>
            <w:hideMark/>
          </w:tcPr>
          <w:p w14:paraId="1B640335" w14:textId="589FD86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492</w:t>
            </w:r>
          </w:p>
        </w:tc>
        <w:tc>
          <w:tcPr>
            <w:tcW w:w="349" w:type="pct"/>
            <w:tcBorders>
              <w:top w:val="nil"/>
              <w:left w:val="nil"/>
              <w:bottom w:val="single" w:sz="4" w:space="0" w:color="auto"/>
              <w:right w:val="single" w:sz="4" w:space="0" w:color="auto"/>
            </w:tcBorders>
            <w:shd w:val="clear" w:color="000000" w:fill="FFFFFF"/>
            <w:noWrap/>
            <w:vAlign w:val="bottom"/>
            <w:hideMark/>
          </w:tcPr>
          <w:p w14:paraId="66DBB6B5" w14:textId="7DD1ADC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342</w:t>
            </w:r>
          </w:p>
        </w:tc>
        <w:tc>
          <w:tcPr>
            <w:tcW w:w="349" w:type="pct"/>
            <w:tcBorders>
              <w:top w:val="nil"/>
              <w:left w:val="nil"/>
              <w:bottom w:val="single" w:sz="4" w:space="0" w:color="auto"/>
              <w:right w:val="single" w:sz="4" w:space="0" w:color="auto"/>
            </w:tcBorders>
            <w:shd w:val="clear" w:color="000000" w:fill="FFFFFF"/>
            <w:noWrap/>
            <w:vAlign w:val="bottom"/>
            <w:hideMark/>
          </w:tcPr>
          <w:p w14:paraId="15FD2F46" w14:textId="17077B0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687</w:t>
            </w:r>
          </w:p>
        </w:tc>
        <w:tc>
          <w:tcPr>
            <w:tcW w:w="349" w:type="pct"/>
            <w:tcBorders>
              <w:top w:val="nil"/>
              <w:left w:val="nil"/>
              <w:bottom w:val="single" w:sz="4" w:space="0" w:color="auto"/>
              <w:right w:val="single" w:sz="4" w:space="0" w:color="auto"/>
            </w:tcBorders>
            <w:shd w:val="clear" w:color="000000" w:fill="FFFFFF"/>
            <w:noWrap/>
            <w:vAlign w:val="bottom"/>
            <w:hideMark/>
          </w:tcPr>
          <w:p w14:paraId="2D0B4B06" w14:textId="5295310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654</w:t>
            </w:r>
          </w:p>
        </w:tc>
        <w:tc>
          <w:tcPr>
            <w:tcW w:w="349" w:type="pct"/>
            <w:tcBorders>
              <w:top w:val="nil"/>
              <w:left w:val="nil"/>
              <w:bottom w:val="single" w:sz="4" w:space="0" w:color="auto"/>
              <w:right w:val="single" w:sz="4" w:space="0" w:color="auto"/>
            </w:tcBorders>
            <w:shd w:val="clear" w:color="000000" w:fill="FFFFFF"/>
            <w:noWrap/>
            <w:vAlign w:val="bottom"/>
            <w:hideMark/>
          </w:tcPr>
          <w:p w14:paraId="254A00AB" w14:textId="2AB3D6A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301</w:t>
            </w:r>
          </w:p>
        </w:tc>
        <w:tc>
          <w:tcPr>
            <w:tcW w:w="349" w:type="pct"/>
            <w:tcBorders>
              <w:top w:val="nil"/>
              <w:left w:val="nil"/>
              <w:bottom w:val="single" w:sz="4" w:space="0" w:color="auto"/>
              <w:right w:val="single" w:sz="4" w:space="0" w:color="auto"/>
            </w:tcBorders>
            <w:shd w:val="clear" w:color="000000" w:fill="FFFFFF"/>
            <w:noWrap/>
            <w:vAlign w:val="bottom"/>
            <w:hideMark/>
          </w:tcPr>
          <w:p w14:paraId="230871A5" w14:textId="18B0B00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2,014</w:t>
            </w:r>
          </w:p>
        </w:tc>
        <w:tc>
          <w:tcPr>
            <w:tcW w:w="379" w:type="pct"/>
            <w:tcBorders>
              <w:top w:val="nil"/>
              <w:left w:val="nil"/>
              <w:bottom w:val="single" w:sz="4" w:space="0" w:color="auto"/>
              <w:right w:val="single" w:sz="8" w:space="0" w:color="auto"/>
            </w:tcBorders>
            <w:shd w:val="clear" w:color="000000" w:fill="FFFFFF"/>
            <w:noWrap/>
            <w:vAlign w:val="bottom"/>
            <w:hideMark/>
          </w:tcPr>
          <w:p w14:paraId="15FC9266" w14:textId="1A0EF15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14,923</w:t>
            </w:r>
          </w:p>
        </w:tc>
      </w:tr>
      <w:tr w:rsidR="00CA1084" w:rsidRPr="00E47FB2" w14:paraId="39D22DB0"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444B06E6"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Coco</w:t>
            </w:r>
          </w:p>
        </w:tc>
        <w:tc>
          <w:tcPr>
            <w:tcW w:w="349" w:type="pct"/>
            <w:tcBorders>
              <w:top w:val="nil"/>
              <w:left w:val="nil"/>
              <w:bottom w:val="single" w:sz="4" w:space="0" w:color="auto"/>
              <w:right w:val="single" w:sz="4" w:space="0" w:color="auto"/>
            </w:tcBorders>
            <w:shd w:val="clear" w:color="000000" w:fill="FFFFFF"/>
            <w:noWrap/>
            <w:vAlign w:val="bottom"/>
            <w:hideMark/>
          </w:tcPr>
          <w:p w14:paraId="0D547894" w14:textId="1658A8A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809,715</w:t>
            </w:r>
          </w:p>
        </w:tc>
        <w:tc>
          <w:tcPr>
            <w:tcW w:w="349" w:type="pct"/>
            <w:tcBorders>
              <w:top w:val="nil"/>
              <w:left w:val="nil"/>
              <w:bottom w:val="single" w:sz="4" w:space="0" w:color="auto"/>
              <w:right w:val="single" w:sz="4" w:space="0" w:color="auto"/>
            </w:tcBorders>
            <w:shd w:val="clear" w:color="000000" w:fill="FFFFFF"/>
            <w:noWrap/>
            <w:vAlign w:val="bottom"/>
            <w:hideMark/>
          </w:tcPr>
          <w:p w14:paraId="7CA28321" w14:textId="0EF4E24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751,860</w:t>
            </w:r>
          </w:p>
        </w:tc>
        <w:tc>
          <w:tcPr>
            <w:tcW w:w="349" w:type="pct"/>
            <w:tcBorders>
              <w:top w:val="nil"/>
              <w:left w:val="nil"/>
              <w:bottom w:val="single" w:sz="4" w:space="0" w:color="auto"/>
              <w:right w:val="single" w:sz="4" w:space="0" w:color="auto"/>
            </w:tcBorders>
            <w:shd w:val="clear" w:color="000000" w:fill="FFFFFF"/>
            <w:noWrap/>
            <w:vAlign w:val="bottom"/>
            <w:hideMark/>
          </w:tcPr>
          <w:p w14:paraId="018D8021" w14:textId="6EC93B4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727,815</w:t>
            </w:r>
          </w:p>
        </w:tc>
        <w:tc>
          <w:tcPr>
            <w:tcW w:w="349" w:type="pct"/>
            <w:tcBorders>
              <w:top w:val="nil"/>
              <w:left w:val="nil"/>
              <w:bottom w:val="single" w:sz="4" w:space="0" w:color="auto"/>
              <w:right w:val="single" w:sz="4" w:space="0" w:color="auto"/>
            </w:tcBorders>
            <w:shd w:val="clear" w:color="000000" w:fill="FFFFFF"/>
            <w:noWrap/>
            <w:vAlign w:val="bottom"/>
            <w:hideMark/>
          </w:tcPr>
          <w:p w14:paraId="2C791E46" w14:textId="72A9B74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747,780</w:t>
            </w:r>
          </w:p>
        </w:tc>
        <w:tc>
          <w:tcPr>
            <w:tcW w:w="349" w:type="pct"/>
            <w:tcBorders>
              <w:top w:val="nil"/>
              <w:left w:val="nil"/>
              <w:bottom w:val="single" w:sz="4" w:space="0" w:color="auto"/>
              <w:right w:val="single" w:sz="4" w:space="0" w:color="auto"/>
            </w:tcBorders>
            <w:shd w:val="clear" w:color="000000" w:fill="FFFFFF"/>
            <w:noWrap/>
            <w:vAlign w:val="bottom"/>
            <w:hideMark/>
          </w:tcPr>
          <w:p w14:paraId="3D8B2452" w14:textId="5E99B59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747,885</w:t>
            </w:r>
          </w:p>
        </w:tc>
        <w:tc>
          <w:tcPr>
            <w:tcW w:w="349" w:type="pct"/>
            <w:tcBorders>
              <w:top w:val="nil"/>
              <w:left w:val="nil"/>
              <w:bottom w:val="single" w:sz="4" w:space="0" w:color="auto"/>
              <w:right w:val="single" w:sz="4" w:space="0" w:color="auto"/>
            </w:tcBorders>
            <w:shd w:val="clear" w:color="000000" w:fill="FFFFFF"/>
            <w:noWrap/>
            <w:vAlign w:val="bottom"/>
            <w:hideMark/>
          </w:tcPr>
          <w:p w14:paraId="1DFD284F" w14:textId="712FEDE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728,970</w:t>
            </w:r>
          </w:p>
        </w:tc>
        <w:tc>
          <w:tcPr>
            <w:tcW w:w="349" w:type="pct"/>
            <w:tcBorders>
              <w:top w:val="nil"/>
              <w:left w:val="nil"/>
              <w:bottom w:val="single" w:sz="4" w:space="0" w:color="auto"/>
              <w:right w:val="single" w:sz="4" w:space="0" w:color="auto"/>
            </w:tcBorders>
            <w:shd w:val="clear" w:color="000000" w:fill="FFFFFF"/>
            <w:noWrap/>
            <w:vAlign w:val="bottom"/>
            <w:hideMark/>
          </w:tcPr>
          <w:p w14:paraId="140017A6" w14:textId="3251E3D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802,470</w:t>
            </w:r>
          </w:p>
        </w:tc>
        <w:tc>
          <w:tcPr>
            <w:tcW w:w="349" w:type="pct"/>
            <w:tcBorders>
              <w:top w:val="nil"/>
              <w:left w:val="nil"/>
              <w:bottom w:val="single" w:sz="4" w:space="0" w:color="auto"/>
              <w:right w:val="single" w:sz="4" w:space="0" w:color="auto"/>
            </w:tcBorders>
            <w:shd w:val="clear" w:color="000000" w:fill="FFFFFF"/>
            <w:noWrap/>
            <w:vAlign w:val="bottom"/>
            <w:hideMark/>
          </w:tcPr>
          <w:p w14:paraId="6297F094" w14:textId="211DD44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782,130</w:t>
            </w:r>
          </w:p>
        </w:tc>
        <w:tc>
          <w:tcPr>
            <w:tcW w:w="349" w:type="pct"/>
            <w:tcBorders>
              <w:top w:val="nil"/>
              <w:left w:val="nil"/>
              <w:bottom w:val="single" w:sz="4" w:space="0" w:color="auto"/>
              <w:right w:val="single" w:sz="4" w:space="0" w:color="auto"/>
            </w:tcBorders>
            <w:shd w:val="clear" w:color="000000" w:fill="FFFFFF"/>
            <w:noWrap/>
            <w:vAlign w:val="bottom"/>
            <w:hideMark/>
          </w:tcPr>
          <w:p w14:paraId="79F53D39" w14:textId="4B3DB0F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765,315</w:t>
            </w:r>
          </w:p>
        </w:tc>
        <w:tc>
          <w:tcPr>
            <w:tcW w:w="349" w:type="pct"/>
            <w:tcBorders>
              <w:top w:val="nil"/>
              <w:left w:val="nil"/>
              <w:bottom w:val="single" w:sz="4" w:space="0" w:color="auto"/>
              <w:right w:val="single" w:sz="4" w:space="0" w:color="auto"/>
            </w:tcBorders>
            <w:shd w:val="clear" w:color="000000" w:fill="FFFFFF"/>
            <w:noWrap/>
            <w:vAlign w:val="bottom"/>
            <w:hideMark/>
          </w:tcPr>
          <w:p w14:paraId="503A9D48" w14:textId="2BEF3B8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821,775</w:t>
            </w:r>
          </w:p>
        </w:tc>
        <w:tc>
          <w:tcPr>
            <w:tcW w:w="349" w:type="pct"/>
            <w:tcBorders>
              <w:top w:val="nil"/>
              <w:left w:val="nil"/>
              <w:bottom w:val="single" w:sz="4" w:space="0" w:color="auto"/>
              <w:right w:val="single" w:sz="4" w:space="0" w:color="auto"/>
            </w:tcBorders>
            <w:shd w:val="clear" w:color="000000" w:fill="FFFFFF"/>
            <w:noWrap/>
            <w:vAlign w:val="bottom"/>
            <w:hideMark/>
          </w:tcPr>
          <w:p w14:paraId="73B0AA72" w14:textId="05693A6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808,110</w:t>
            </w:r>
          </w:p>
        </w:tc>
        <w:tc>
          <w:tcPr>
            <w:tcW w:w="349" w:type="pct"/>
            <w:tcBorders>
              <w:top w:val="nil"/>
              <w:left w:val="nil"/>
              <w:bottom w:val="single" w:sz="4" w:space="0" w:color="auto"/>
              <w:right w:val="single" w:sz="4" w:space="0" w:color="auto"/>
            </w:tcBorders>
            <w:shd w:val="clear" w:color="000000" w:fill="FFFFFF"/>
            <w:noWrap/>
            <w:vAlign w:val="bottom"/>
            <w:hideMark/>
          </w:tcPr>
          <w:p w14:paraId="5B87C8B4" w14:textId="6EB4D49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798,210</w:t>
            </w:r>
          </w:p>
        </w:tc>
        <w:tc>
          <w:tcPr>
            <w:tcW w:w="379" w:type="pct"/>
            <w:tcBorders>
              <w:top w:val="nil"/>
              <w:left w:val="nil"/>
              <w:bottom w:val="single" w:sz="4" w:space="0" w:color="auto"/>
              <w:right w:val="single" w:sz="8" w:space="0" w:color="auto"/>
            </w:tcBorders>
            <w:shd w:val="clear" w:color="000000" w:fill="FFFFFF"/>
            <w:noWrap/>
            <w:vAlign w:val="bottom"/>
            <w:hideMark/>
          </w:tcPr>
          <w:p w14:paraId="032B93CF" w14:textId="2C3EAA4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9,292,035</w:t>
            </w:r>
          </w:p>
        </w:tc>
      </w:tr>
      <w:tr w:rsidR="00CA1084" w:rsidRPr="00E47FB2" w14:paraId="62B886C1"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4F2F8956"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Maní</w:t>
            </w:r>
          </w:p>
        </w:tc>
        <w:tc>
          <w:tcPr>
            <w:tcW w:w="349" w:type="pct"/>
            <w:tcBorders>
              <w:top w:val="nil"/>
              <w:left w:val="nil"/>
              <w:bottom w:val="single" w:sz="4" w:space="0" w:color="auto"/>
              <w:right w:val="single" w:sz="4" w:space="0" w:color="auto"/>
            </w:tcBorders>
            <w:shd w:val="clear" w:color="000000" w:fill="FFFFFF"/>
            <w:noWrap/>
            <w:vAlign w:val="bottom"/>
            <w:hideMark/>
          </w:tcPr>
          <w:p w14:paraId="6DB49543" w14:textId="58E2415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8,998</w:t>
            </w:r>
          </w:p>
        </w:tc>
        <w:tc>
          <w:tcPr>
            <w:tcW w:w="349" w:type="pct"/>
            <w:tcBorders>
              <w:top w:val="nil"/>
              <w:left w:val="nil"/>
              <w:bottom w:val="single" w:sz="4" w:space="0" w:color="auto"/>
              <w:right w:val="single" w:sz="4" w:space="0" w:color="auto"/>
            </w:tcBorders>
            <w:shd w:val="clear" w:color="000000" w:fill="FFFFFF"/>
            <w:noWrap/>
            <w:vAlign w:val="bottom"/>
            <w:hideMark/>
          </w:tcPr>
          <w:p w14:paraId="43CF1032" w14:textId="2DC56FB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4,012</w:t>
            </w:r>
          </w:p>
        </w:tc>
        <w:tc>
          <w:tcPr>
            <w:tcW w:w="349" w:type="pct"/>
            <w:tcBorders>
              <w:top w:val="nil"/>
              <w:left w:val="nil"/>
              <w:bottom w:val="single" w:sz="4" w:space="0" w:color="auto"/>
              <w:right w:val="single" w:sz="4" w:space="0" w:color="auto"/>
            </w:tcBorders>
            <w:shd w:val="clear" w:color="000000" w:fill="FFFFFF"/>
            <w:noWrap/>
            <w:vAlign w:val="bottom"/>
            <w:hideMark/>
          </w:tcPr>
          <w:p w14:paraId="79AD1485" w14:textId="63E80D5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3,598</w:t>
            </w:r>
          </w:p>
        </w:tc>
        <w:tc>
          <w:tcPr>
            <w:tcW w:w="349" w:type="pct"/>
            <w:tcBorders>
              <w:top w:val="nil"/>
              <w:left w:val="nil"/>
              <w:bottom w:val="single" w:sz="4" w:space="0" w:color="auto"/>
              <w:right w:val="single" w:sz="4" w:space="0" w:color="auto"/>
            </w:tcBorders>
            <w:shd w:val="clear" w:color="000000" w:fill="FFFFFF"/>
            <w:noWrap/>
            <w:vAlign w:val="bottom"/>
            <w:hideMark/>
          </w:tcPr>
          <w:p w14:paraId="7FF921A8" w14:textId="4F2E2FE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10,251</w:t>
            </w:r>
          </w:p>
        </w:tc>
        <w:tc>
          <w:tcPr>
            <w:tcW w:w="349" w:type="pct"/>
            <w:tcBorders>
              <w:top w:val="nil"/>
              <w:left w:val="nil"/>
              <w:bottom w:val="single" w:sz="4" w:space="0" w:color="auto"/>
              <w:right w:val="single" w:sz="4" w:space="0" w:color="auto"/>
            </w:tcBorders>
            <w:shd w:val="clear" w:color="000000" w:fill="FFFFFF"/>
            <w:noWrap/>
            <w:vAlign w:val="bottom"/>
            <w:hideMark/>
          </w:tcPr>
          <w:p w14:paraId="138D273D" w14:textId="3636B9B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11,012</w:t>
            </w:r>
          </w:p>
        </w:tc>
        <w:tc>
          <w:tcPr>
            <w:tcW w:w="349" w:type="pct"/>
            <w:tcBorders>
              <w:top w:val="nil"/>
              <w:left w:val="nil"/>
              <w:bottom w:val="single" w:sz="4" w:space="0" w:color="auto"/>
              <w:right w:val="single" w:sz="4" w:space="0" w:color="auto"/>
            </w:tcBorders>
            <w:shd w:val="clear" w:color="000000" w:fill="FFFFFF"/>
            <w:noWrap/>
            <w:vAlign w:val="bottom"/>
            <w:hideMark/>
          </w:tcPr>
          <w:p w14:paraId="292716B8" w14:textId="762E567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9,432</w:t>
            </w:r>
          </w:p>
        </w:tc>
        <w:tc>
          <w:tcPr>
            <w:tcW w:w="349" w:type="pct"/>
            <w:tcBorders>
              <w:top w:val="nil"/>
              <w:left w:val="nil"/>
              <w:bottom w:val="single" w:sz="4" w:space="0" w:color="auto"/>
              <w:right w:val="single" w:sz="4" w:space="0" w:color="auto"/>
            </w:tcBorders>
            <w:shd w:val="clear" w:color="000000" w:fill="FFFFFF"/>
            <w:noWrap/>
            <w:vAlign w:val="bottom"/>
            <w:hideMark/>
          </w:tcPr>
          <w:p w14:paraId="5B9F563A" w14:textId="376EA5C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22,671</w:t>
            </w:r>
          </w:p>
        </w:tc>
        <w:tc>
          <w:tcPr>
            <w:tcW w:w="349" w:type="pct"/>
            <w:tcBorders>
              <w:top w:val="nil"/>
              <w:left w:val="nil"/>
              <w:bottom w:val="single" w:sz="4" w:space="0" w:color="auto"/>
              <w:right w:val="single" w:sz="4" w:space="0" w:color="auto"/>
            </w:tcBorders>
            <w:shd w:val="clear" w:color="000000" w:fill="FFFFFF"/>
            <w:noWrap/>
            <w:vAlign w:val="bottom"/>
            <w:hideMark/>
          </w:tcPr>
          <w:p w14:paraId="0ABBD08E" w14:textId="3088D23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15,685</w:t>
            </w:r>
          </w:p>
        </w:tc>
        <w:tc>
          <w:tcPr>
            <w:tcW w:w="349" w:type="pct"/>
            <w:tcBorders>
              <w:top w:val="nil"/>
              <w:left w:val="nil"/>
              <w:bottom w:val="single" w:sz="4" w:space="0" w:color="auto"/>
              <w:right w:val="single" w:sz="4" w:space="0" w:color="auto"/>
            </w:tcBorders>
            <w:shd w:val="clear" w:color="000000" w:fill="FFFFFF"/>
            <w:noWrap/>
            <w:vAlign w:val="bottom"/>
            <w:hideMark/>
          </w:tcPr>
          <w:p w14:paraId="623C9720" w14:textId="47B1FB9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18,995</w:t>
            </w:r>
          </w:p>
        </w:tc>
        <w:tc>
          <w:tcPr>
            <w:tcW w:w="349" w:type="pct"/>
            <w:tcBorders>
              <w:top w:val="nil"/>
              <w:left w:val="nil"/>
              <w:bottom w:val="single" w:sz="4" w:space="0" w:color="auto"/>
              <w:right w:val="single" w:sz="4" w:space="0" w:color="auto"/>
            </w:tcBorders>
            <w:shd w:val="clear" w:color="000000" w:fill="FFFFFF"/>
            <w:noWrap/>
            <w:vAlign w:val="bottom"/>
            <w:hideMark/>
          </w:tcPr>
          <w:p w14:paraId="497E81AA" w14:textId="2FD812F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9,845</w:t>
            </w:r>
          </w:p>
        </w:tc>
        <w:tc>
          <w:tcPr>
            <w:tcW w:w="349" w:type="pct"/>
            <w:tcBorders>
              <w:top w:val="nil"/>
              <w:left w:val="nil"/>
              <w:bottom w:val="single" w:sz="4" w:space="0" w:color="auto"/>
              <w:right w:val="single" w:sz="4" w:space="0" w:color="auto"/>
            </w:tcBorders>
            <w:shd w:val="clear" w:color="000000" w:fill="FFFFFF"/>
            <w:noWrap/>
            <w:vAlign w:val="bottom"/>
            <w:hideMark/>
          </w:tcPr>
          <w:p w14:paraId="154124D6" w14:textId="03A8B38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26,544</w:t>
            </w:r>
          </w:p>
        </w:tc>
        <w:tc>
          <w:tcPr>
            <w:tcW w:w="349" w:type="pct"/>
            <w:tcBorders>
              <w:top w:val="nil"/>
              <w:left w:val="nil"/>
              <w:bottom w:val="single" w:sz="4" w:space="0" w:color="auto"/>
              <w:right w:val="single" w:sz="4" w:space="0" w:color="auto"/>
            </w:tcBorders>
            <w:shd w:val="clear" w:color="000000" w:fill="FFFFFF"/>
            <w:noWrap/>
            <w:vAlign w:val="bottom"/>
            <w:hideMark/>
          </w:tcPr>
          <w:p w14:paraId="7F2EE38E" w14:textId="6D47271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21,421</w:t>
            </w:r>
          </w:p>
        </w:tc>
        <w:tc>
          <w:tcPr>
            <w:tcW w:w="379" w:type="pct"/>
            <w:tcBorders>
              <w:top w:val="nil"/>
              <w:left w:val="nil"/>
              <w:bottom w:val="single" w:sz="4" w:space="0" w:color="auto"/>
              <w:right w:val="single" w:sz="8" w:space="0" w:color="auto"/>
            </w:tcBorders>
            <w:shd w:val="clear" w:color="000000" w:fill="FFFFFF"/>
            <w:noWrap/>
            <w:vAlign w:val="bottom"/>
            <w:hideMark/>
          </w:tcPr>
          <w:p w14:paraId="44DCB92B" w14:textId="6D072B4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162,464</w:t>
            </w:r>
          </w:p>
        </w:tc>
      </w:tr>
      <w:tr w:rsidR="00CA1084" w:rsidRPr="00E47FB2" w14:paraId="60BA609F"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5C1675AD"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Frijol R.</w:t>
            </w:r>
          </w:p>
        </w:tc>
        <w:tc>
          <w:tcPr>
            <w:tcW w:w="349" w:type="pct"/>
            <w:tcBorders>
              <w:top w:val="nil"/>
              <w:left w:val="nil"/>
              <w:bottom w:val="single" w:sz="4" w:space="0" w:color="auto"/>
              <w:right w:val="single" w:sz="4" w:space="0" w:color="auto"/>
            </w:tcBorders>
            <w:shd w:val="clear" w:color="000000" w:fill="FFFFFF"/>
            <w:noWrap/>
            <w:vAlign w:val="bottom"/>
            <w:hideMark/>
          </w:tcPr>
          <w:p w14:paraId="64AD4656" w14:textId="4C60F52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25,964</w:t>
            </w:r>
          </w:p>
        </w:tc>
        <w:tc>
          <w:tcPr>
            <w:tcW w:w="349" w:type="pct"/>
            <w:tcBorders>
              <w:top w:val="nil"/>
              <w:left w:val="nil"/>
              <w:bottom w:val="single" w:sz="4" w:space="0" w:color="auto"/>
              <w:right w:val="single" w:sz="4" w:space="0" w:color="auto"/>
            </w:tcBorders>
            <w:shd w:val="clear" w:color="000000" w:fill="FFFFFF"/>
            <w:noWrap/>
            <w:vAlign w:val="bottom"/>
            <w:hideMark/>
          </w:tcPr>
          <w:p w14:paraId="66703EEF" w14:textId="1882DAF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239,124</w:t>
            </w:r>
          </w:p>
        </w:tc>
        <w:tc>
          <w:tcPr>
            <w:tcW w:w="349" w:type="pct"/>
            <w:tcBorders>
              <w:top w:val="nil"/>
              <w:left w:val="nil"/>
              <w:bottom w:val="single" w:sz="4" w:space="0" w:color="auto"/>
              <w:right w:val="single" w:sz="4" w:space="0" w:color="auto"/>
            </w:tcBorders>
            <w:shd w:val="clear" w:color="000000" w:fill="FFFFFF"/>
            <w:noWrap/>
            <w:vAlign w:val="bottom"/>
            <w:hideMark/>
          </w:tcPr>
          <w:p w14:paraId="7B2B5407" w14:textId="6053218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80,531</w:t>
            </w:r>
          </w:p>
        </w:tc>
        <w:tc>
          <w:tcPr>
            <w:tcW w:w="349" w:type="pct"/>
            <w:tcBorders>
              <w:top w:val="nil"/>
              <w:left w:val="nil"/>
              <w:bottom w:val="single" w:sz="4" w:space="0" w:color="auto"/>
              <w:right w:val="single" w:sz="4" w:space="0" w:color="auto"/>
            </w:tcBorders>
            <w:shd w:val="clear" w:color="000000" w:fill="FFFFFF"/>
            <w:noWrap/>
            <w:vAlign w:val="bottom"/>
            <w:hideMark/>
          </w:tcPr>
          <w:p w14:paraId="48437E63" w14:textId="6E0C1DB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23,854</w:t>
            </w:r>
          </w:p>
        </w:tc>
        <w:tc>
          <w:tcPr>
            <w:tcW w:w="349" w:type="pct"/>
            <w:tcBorders>
              <w:top w:val="nil"/>
              <w:left w:val="nil"/>
              <w:bottom w:val="single" w:sz="4" w:space="0" w:color="auto"/>
              <w:right w:val="single" w:sz="4" w:space="0" w:color="auto"/>
            </w:tcBorders>
            <w:shd w:val="clear" w:color="000000" w:fill="FFFFFF"/>
            <w:noWrap/>
            <w:vAlign w:val="bottom"/>
            <w:hideMark/>
          </w:tcPr>
          <w:p w14:paraId="605480E4" w14:textId="01D0764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6,120</w:t>
            </w:r>
          </w:p>
        </w:tc>
        <w:tc>
          <w:tcPr>
            <w:tcW w:w="349" w:type="pct"/>
            <w:tcBorders>
              <w:top w:val="nil"/>
              <w:left w:val="nil"/>
              <w:bottom w:val="single" w:sz="4" w:space="0" w:color="auto"/>
              <w:right w:val="single" w:sz="4" w:space="0" w:color="auto"/>
            </w:tcBorders>
            <w:shd w:val="clear" w:color="000000" w:fill="FFFFFF"/>
            <w:noWrap/>
            <w:vAlign w:val="bottom"/>
            <w:hideMark/>
          </w:tcPr>
          <w:p w14:paraId="24E19E5F" w14:textId="72BD951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5,012</w:t>
            </w:r>
          </w:p>
        </w:tc>
        <w:tc>
          <w:tcPr>
            <w:tcW w:w="349" w:type="pct"/>
            <w:tcBorders>
              <w:top w:val="nil"/>
              <w:left w:val="nil"/>
              <w:bottom w:val="single" w:sz="4" w:space="0" w:color="auto"/>
              <w:right w:val="single" w:sz="4" w:space="0" w:color="auto"/>
            </w:tcBorders>
            <w:shd w:val="clear" w:color="000000" w:fill="FFFFFF"/>
            <w:noWrap/>
            <w:vAlign w:val="bottom"/>
            <w:hideMark/>
          </w:tcPr>
          <w:p w14:paraId="7E85596E" w14:textId="40BC673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17,989</w:t>
            </w:r>
          </w:p>
        </w:tc>
        <w:tc>
          <w:tcPr>
            <w:tcW w:w="349" w:type="pct"/>
            <w:tcBorders>
              <w:top w:val="nil"/>
              <w:left w:val="nil"/>
              <w:bottom w:val="single" w:sz="4" w:space="0" w:color="auto"/>
              <w:right w:val="single" w:sz="4" w:space="0" w:color="auto"/>
            </w:tcBorders>
            <w:shd w:val="clear" w:color="000000" w:fill="FFFFFF"/>
            <w:noWrap/>
            <w:vAlign w:val="bottom"/>
            <w:hideMark/>
          </w:tcPr>
          <w:p w14:paraId="5CC4D6A2" w14:textId="6C4B1CB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23,598</w:t>
            </w:r>
          </w:p>
        </w:tc>
        <w:tc>
          <w:tcPr>
            <w:tcW w:w="349" w:type="pct"/>
            <w:tcBorders>
              <w:top w:val="nil"/>
              <w:left w:val="nil"/>
              <w:bottom w:val="single" w:sz="4" w:space="0" w:color="auto"/>
              <w:right w:val="single" w:sz="4" w:space="0" w:color="auto"/>
            </w:tcBorders>
            <w:shd w:val="clear" w:color="000000" w:fill="FFFFFF"/>
            <w:noWrap/>
            <w:vAlign w:val="bottom"/>
            <w:hideMark/>
          </w:tcPr>
          <w:p w14:paraId="066AE07E" w14:textId="628A045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4,989</w:t>
            </w:r>
          </w:p>
        </w:tc>
        <w:tc>
          <w:tcPr>
            <w:tcW w:w="349" w:type="pct"/>
            <w:tcBorders>
              <w:top w:val="nil"/>
              <w:left w:val="nil"/>
              <w:bottom w:val="single" w:sz="4" w:space="0" w:color="auto"/>
              <w:right w:val="single" w:sz="4" w:space="0" w:color="auto"/>
            </w:tcBorders>
            <w:shd w:val="clear" w:color="000000" w:fill="FFFFFF"/>
            <w:noWrap/>
            <w:vAlign w:val="bottom"/>
            <w:hideMark/>
          </w:tcPr>
          <w:p w14:paraId="4D32FADE" w14:textId="71B5000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3,510</w:t>
            </w:r>
          </w:p>
        </w:tc>
        <w:tc>
          <w:tcPr>
            <w:tcW w:w="349" w:type="pct"/>
            <w:tcBorders>
              <w:top w:val="nil"/>
              <w:left w:val="nil"/>
              <w:bottom w:val="single" w:sz="4" w:space="0" w:color="auto"/>
              <w:right w:val="single" w:sz="4" w:space="0" w:color="auto"/>
            </w:tcBorders>
            <w:shd w:val="clear" w:color="000000" w:fill="FFFFFF"/>
            <w:noWrap/>
            <w:vAlign w:val="bottom"/>
            <w:hideMark/>
          </w:tcPr>
          <w:p w14:paraId="37CF0039" w14:textId="648650A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13,493</w:t>
            </w:r>
          </w:p>
        </w:tc>
        <w:tc>
          <w:tcPr>
            <w:tcW w:w="349" w:type="pct"/>
            <w:tcBorders>
              <w:top w:val="nil"/>
              <w:left w:val="nil"/>
              <w:bottom w:val="single" w:sz="4" w:space="0" w:color="auto"/>
              <w:right w:val="single" w:sz="4" w:space="0" w:color="auto"/>
            </w:tcBorders>
            <w:shd w:val="clear" w:color="000000" w:fill="FFFFFF"/>
            <w:noWrap/>
            <w:vAlign w:val="bottom"/>
            <w:hideMark/>
          </w:tcPr>
          <w:p w14:paraId="1B4861ED" w14:textId="68EA9B2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24,852</w:t>
            </w:r>
          </w:p>
        </w:tc>
        <w:tc>
          <w:tcPr>
            <w:tcW w:w="379" w:type="pct"/>
            <w:tcBorders>
              <w:top w:val="nil"/>
              <w:left w:val="nil"/>
              <w:bottom w:val="single" w:sz="4" w:space="0" w:color="auto"/>
              <w:right w:val="single" w:sz="8" w:space="0" w:color="auto"/>
            </w:tcBorders>
            <w:shd w:val="clear" w:color="000000" w:fill="FFFFFF"/>
            <w:noWrap/>
            <w:vAlign w:val="bottom"/>
            <w:hideMark/>
          </w:tcPr>
          <w:p w14:paraId="42E1850F" w14:textId="204BB98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469,036</w:t>
            </w:r>
          </w:p>
        </w:tc>
      </w:tr>
      <w:tr w:rsidR="00CA1084" w:rsidRPr="00E47FB2" w14:paraId="70EDC307"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69199B3C"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Frijol N.</w:t>
            </w:r>
          </w:p>
        </w:tc>
        <w:tc>
          <w:tcPr>
            <w:tcW w:w="349" w:type="pct"/>
            <w:tcBorders>
              <w:top w:val="nil"/>
              <w:left w:val="nil"/>
              <w:bottom w:val="single" w:sz="4" w:space="0" w:color="auto"/>
              <w:right w:val="single" w:sz="4" w:space="0" w:color="auto"/>
            </w:tcBorders>
            <w:shd w:val="clear" w:color="000000" w:fill="FFFFFF"/>
            <w:noWrap/>
            <w:vAlign w:val="bottom"/>
            <w:hideMark/>
          </w:tcPr>
          <w:p w14:paraId="16654715" w14:textId="156E388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37,888</w:t>
            </w:r>
          </w:p>
        </w:tc>
        <w:tc>
          <w:tcPr>
            <w:tcW w:w="349" w:type="pct"/>
            <w:tcBorders>
              <w:top w:val="nil"/>
              <w:left w:val="nil"/>
              <w:bottom w:val="single" w:sz="4" w:space="0" w:color="auto"/>
              <w:right w:val="single" w:sz="4" w:space="0" w:color="auto"/>
            </w:tcBorders>
            <w:shd w:val="clear" w:color="000000" w:fill="FFFFFF"/>
            <w:noWrap/>
            <w:vAlign w:val="bottom"/>
            <w:hideMark/>
          </w:tcPr>
          <w:p w14:paraId="4664B4E3" w14:textId="49B687F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58,689</w:t>
            </w:r>
          </w:p>
        </w:tc>
        <w:tc>
          <w:tcPr>
            <w:tcW w:w="349" w:type="pct"/>
            <w:tcBorders>
              <w:top w:val="nil"/>
              <w:left w:val="nil"/>
              <w:bottom w:val="single" w:sz="4" w:space="0" w:color="auto"/>
              <w:right w:val="single" w:sz="4" w:space="0" w:color="auto"/>
            </w:tcBorders>
            <w:shd w:val="clear" w:color="000000" w:fill="FFFFFF"/>
            <w:noWrap/>
            <w:vAlign w:val="bottom"/>
            <w:hideMark/>
          </w:tcPr>
          <w:p w14:paraId="207C5484" w14:textId="1D3114F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111,224</w:t>
            </w:r>
          </w:p>
        </w:tc>
        <w:tc>
          <w:tcPr>
            <w:tcW w:w="349" w:type="pct"/>
            <w:tcBorders>
              <w:top w:val="nil"/>
              <w:left w:val="nil"/>
              <w:bottom w:val="single" w:sz="4" w:space="0" w:color="auto"/>
              <w:right w:val="single" w:sz="4" w:space="0" w:color="auto"/>
            </w:tcBorders>
            <w:shd w:val="clear" w:color="000000" w:fill="FFFFFF"/>
            <w:noWrap/>
            <w:vAlign w:val="bottom"/>
            <w:hideMark/>
          </w:tcPr>
          <w:p w14:paraId="5CC2FC95" w14:textId="19FE553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46,214</w:t>
            </w:r>
          </w:p>
        </w:tc>
        <w:tc>
          <w:tcPr>
            <w:tcW w:w="349" w:type="pct"/>
            <w:tcBorders>
              <w:top w:val="nil"/>
              <w:left w:val="nil"/>
              <w:bottom w:val="single" w:sz="4" w:space="0" w:color="auto"/>
              <w:right w:val="single" w:sz="4" w:space="0" w:color="auto"/>
            </w:tcBorders>
            <w:shd w:val="clear" w:color="000000" w:fill="FFFFFF"/>
            <w:noWrap/>
            <w:vAlign w:val="bottom"/>
            <w:hideMark/>
          </w:tcPr>
          <w:p w14:paraId="3F60B58C" w14:textId="42DE570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6,784</w:t>
            </w:r>
          </w:p>
        </w:tc>
        <w:tc>
          <w:tcPr>
            <w:tcW w:w="349" w:type="pct"/>
            <w:tcBorders>
              <w:top w:val="nil"/>
              <w:left w:val="nil"/>
              <w:bottom w:val="single" w:sz="4" w:space="0" w:color="auto"/>
              <w:right w:val="single" w:sz="4" w:space="0" w:color="auto"/>
            </w:tcBorders>
            <w:shd w:val="clear" w:color="000000" w:fill="FFFFFF"/>
            <w:noWrap/>
            <w:vAlign w:val="bottom"/>
            <w:hideMark/>
          </w:tcPr>
          <w:p w14:paraId="7C219864" w14:textId="1665CA3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6,549</w:t>
            </w:r>
          </w:p>
        </w:tc>
        <w:tc>
          <w:tcPr>
            <w:tcW w:w="349" w:type="pct"/>
            <w:tcBorders>
              <w:top w:val="nil"/>
              <w:left w:val="nil"/>
              <w:bottom w:val="single" w:sz="4" w:space="0" w:color="auto"/>
              <w:right w:val="single" w:sz="4" w:space="0" w:color="auto"/>
            </w:tcBorders>
            <w:shd w:val="clear" w:color="000000" w:fill="FFFFFF"/>
            <w:noWrap/>
            <w:vAlign w:val="bottom"/>
            <w:hideMark/>
          </w:tcPr>
          <w:p w14:paraId="2FE0410B" w14:textId="007EF65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44,214</w:t>
            </w:r>
          </w:p>
        </w:tc>
        <w:tc>
          <w:tcPr>
            <w:tcW w:w="349" w:type="pct"/>
            <w:tcBorders>
              <w:top w:val="nil"/>
              <w:left w:val="nil"/>
              <w:bottom w:val="single" w:sz="4" w:space="0" w:color="auto"/>
              <w:right w:val="single" w:sz="4" w:space="0" w:color="auto"/>
            </w:tcBorders>
            <w:shd w:val="clear" w:color="000000" w:fill="FFFFFF"/>
            <w:noWrap/>
            <w:vAlign w:val="bottom"/>
            <w:hideMark/>
          </w:tcPr>
          <w:p w14:paraId="492C21A1" w14:textId="4C1295E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41,021</w:t>
            </w:r>
          </w:p>
        </w:tc>
        <w:tc>
          <w:tcPr>
            <w:tcW w:w="349" w:type="pct"/>
            <w:tcBorders>
              <w:top w:val="nil"/>
              <w:left w:val="nil"/>
              <w:bottom w:val="single" w:sz="4" w:space="0" w:color="auto"/>
              <w:right w:val="single" w:sz="4" w:space="0" w:color="auto"/>
            </w:tcBorders>
            <w:shd w:val="clear" w:color="000000" w:fill="FFFFFF"/>
            <w:noWrap/>
            <w:vAlign w:val="bottom"/>
            <w:hideMark/>
          </w:tcPr>
          <w:p w14:paraId="3D130723" w14:textId="3CEF54A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11,011</w:t>
            </w:r>
          </w:p>
        </w:tc>
        <w:tc>
          <w:tcPr>
            <w:tcW w:w="349" w:type="pct"/>
            <w:tcBorders>
              <w:top w:val="nil"/>
              <w:left w:val="nil"/>
              <w:bottom w:val="single" w:sz="4" w:space="0" w:color="auto"/>
              <w:right w:val="single" w:sz="4" w:space="0" w:color="auto"/>
            </w:tcBorders>
            <w:shd w:val="clear" w:color="000000" w:fill="FFFFFF"/>
            <w:noWrap/>
            <w:vAlign w:val="bottom"/>
            <w:hideMark/>
          </w:tcPr>
          <w:p w14:paraId="1E05A7E7" w14:textId="45A9384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3,102</w:t>
            </w:r>
          </w:p>
        </w:tc>
        <w:tc>
          <w:tcPr>
            <w:tcW w:w="349" w:type="pct"/>
            <w:tcBorders>
              <w:top w:val="nil"/>
              <w:left w:val="nil"/>
              <w:bottom w:val="single" w:sz="4" w:space="0" w:color="auto"/>
              <w:right w:val="single" w:sz="4" w:space="0" w:color="auto"/>
            </w:tcBorders>
            <w:shd w:val="clear" w:color="000000" w:fill="FFFFFF"/>
            <w:noWrap/>
            <w:vAlign w:val="bottom"/>
            <w:hideMark/>
          </w:tcPr>
          <w:p w14:paraId="5A0708C1" w14:textId="30CA76A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19,857</w:t>
            </w:r>
          </w:p>
        </w:tc>
        <w:tc>
          <w:tcPr>
            <w:tcW w:w="349" w:type="pct"/>
            <w:tcBorders>
              <w:top w:val="nil"/>
              <w:left w:val="nil"/>
              <w:bottom w:val="single" w:sz="4" w:space="0" w:color="auto"/>
              <w:right w:val="single" w:sz="4" w:space="0" w:color="auto"/>
            </w:tcBorders>
            <w:shd w:val="clear" w:color="000000" w:fill="FFFFFF"/>
            <w:noWrap/>
            <w:vAlign w:val="bottom"/>
            <w:hideMark/>
          </w:tcPr>
          <w:p w14:paraId="5AE7CB06" w14:textId="78EF9DD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53,904</w:t>
            </w:r>
          </w:p>
        </w:tc>
        <w:tc>
          <w:tcPr>
            <w:tcW w:w="379" w:type="pct"/>
            <w:tcBorders>
              <w:top w:val="nil"/>
              <w:left w:val="nil"/>
              <w:bottom w:val="single" w:sz="4" w:space="0" w:color="auto"/>
              <w:right w:val="single" w:sz="8" w:space="0" w:color="auto"/>
            </w:tcBorders>
            <w:shd w:val="clear" w:color="000000" w:fill="FFFFFF"/>
            <w:noWrap/>
            <w:vAlign w:val="bottom"/>
            <w:hideMark/>
          </w:tcPr>
          <w:p w14:paraId="09648923" w14:textId="2C91201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440,457</w:t>
            </w:r>
          </w:p>
        </w:tc>
      </w:tr>
      <w:tr w:rsidR="00CA1084" w:rsidRPr="00E47FB2" w14:paraId="70048141"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6C5FD009"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Frijol B.</w:t>
            </w:r>
          </w:p>
        </w:tc>
        <w:tc>
          <w:tcPr>
            <w:tcW w:w="349" w:type="pct"/>
            <w:tcBorders>
              <w:top w:val="nil"/>
              <w:left w:val="nil"/>
              <w:bottom w:val="single" w:sz="4" w:space="0" w:color="auto"/>
              <w:right w:val="single" w:sz="4" w:space="0" w:color="auto"/>
            </w:tcBorders>
            <w:shd w:val="clear" w:color="000000" w:fill="FFFFFF"/>
            <w:noWrap/>
            <w:vAlign w:val="bottom"/>
            <w:hideMark/>
          </w:tcPr>
          <w:p w14:paraId="32BCEA13" w14:textId="59D21A4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3,250</w:t>
            </w:r>
          </w:p>
        </w:tc>
        <w:tc>
          <w:tcPr>
            <w:tcW w:w="349" w:type="pct"/>
            <w:tcBorders>
              <w:top w:val="nil"/>
              <w:left w:val="nil"/>
              <w:bottom w:val="single" w:sz="4" w:space="0" w:color="auto"/>
              <w:right w:val="single" w:sz="4" w:space="0" w:color="auto"/>
            </w:tcBorders>
            <w:shd w:val="clear" w:color="000000" w:fill="FFFFFF"/>
            <w:noWrap/>
            <w:vAlign w:val="bottom"/>
            <w:hideMark/>
          </w:tcPr>
          <w:p w14:paraId="146C97AC" w14:textId="64926FC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1,704</w:t>
            </w:r>
          </w:p>
        </w:tc>
        <w:tc>
          <w:tcPr>
            <w:tcW w:w="349" w:type="pct"/>
            <w:tcBorders>
              <w:top w:val="nil"/>
              <w:left w:val="nil"/>
              <w:bottom w:val="single" w:sz="4" w:space="0" w:color="auto"/>
              <w:right w:val="single" w:sz="4" w:space="0" w:color="auto"/>
            </w:tcBorders>
            <w:shd w:val="clear" w:color="000000" w:fill="FFFFFF"/>
            <w:noWrap/>
            <w:vAlign w:val="bottom"/>
            <w:hideMark/>
          </w:tcPr>
          <w:p w14:paraId="250360E0" w14:textId="3C2A63C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1,854</w:t>
            </w:r>
          </w:p>
        </w:tc>
        <w:tc>
          <w:tcPr>
            <w:tcW w:w="349" w:type="pct"/>
            <w:tcBorders>
              <w:top w:val="nil"/>
              <w:left w:val="nil"/>
              <w:bottom w:val="single" w:sz="4" w:space="0" w:color="auto"/>
              <w:right w:val="single" w:sz="4" w:space="0" w:color="auto"/>
            </w:tcBorders>
            <w:shd w:val="clear" w:color="000000" w:fill="FFFFFF"/>
            <w:noWrap/>
            <w:vAlign w:val="bottom"/>
            <w:hideMark/>
          </w:tcPr>
          <w:p w14:paraId="0DA83E7B" w14:textId="0F5FCC5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868</w:t>
            </w:r>
          </w:p>
        </w:tc>
        <w:tc>
          <w:tcPr>
            <w:tcW w:w="349" w:type="pct"/>
            <w:tcBorders>
              <w:top w:val="nil"/>
              <w:left w:val="nil"/>
              <w:bottom w:val="single" w:sz="4" w:space="0" w:color="auto"/>
              <w:right w:val="single" w:sz="4" w:space="0" w:color="auto"/>
            </w:tcBorders>
            <w:shd w:val="clear" w:color="000000" w:fill="FFFFFF"/>
            <w:noWrap/>
            <w:vAlign w:val="bottom"/>
            <w:hideMark/>
          </w:tcPr>
          <w:p w14:paraId="0A71A4A4" w14:textId="2807DD5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354</w:t>
            </w:r>
          </w:p>
        </w:tc>
        <w:tc>
          <w:tcPr>
            <w:tcW w:w="349" w:type="pct"/>
            <w:tcBorders>
              <w:top w:val="nil"/>
              <w:left w:val="nil"/>
              <w:bottom w:val="single" w:sz="4" w:space="0" w:color="auto"/>
              <w:right w:val="single" w:sz="4" w:space="0" w:color="auto"/>
            </w:tcBorders>
            <w:shd w:val="clear" w:color="000000" w:fill="FFFFFF"/>
            <w:noWrap/>
            <w:vAlign w:val="bottom"/>
            <w:hideMark/>
          </w:tcPr>
          <w:p w14:paraId="44C5E4A5" w14:textId="5326709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345</w:t>
            </w:r>
          </w:p>
        </w:tc>
        <w:tc>
          <w:tcPr>
            <w:tcW w:w="349" w:type="pct"/>
            <w:tcBorders>
              <w:top w:val="nil"/>
              <w:left w:val="nil"/>
              <w:bottom w:val="single" w:sz="4" w:space="0" w:color="auto"/>
              <w:right w:val="single" w:sz="4" w:space="0" w:color="auto"/>
            </w:tcBorders>
            <w:shd w:val="clear" w:color="000000" w:fill="FFFFFF"/>
            <w:noWrap/>
            <w:vAlign w:val="bottom"/>
            <w:hideMark/>
          </w:tcPr>
          <w:p w14:paraId="76E16933" w14:textId="056F434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1,801</w:t>
            </w:r>
          </w:p>
        </w:tc>
        <w:tc>
          <w:tcPr>
            <w:tcW w:w="349" w:type="pct"/>
            <w:tcBorders>
              <w:top w:val="nil"/>
              <w:left w:val="nil"/>
              <w:bottom w:val="single" w:sz="4" w:space="0" w:color="auto"/>
              <w:right w:val="single" w:sz="4" w:space="0" w:color="auto"/>
            </w:tcBorders>
            <w:shd w:val="clear" w:color="000000" w:fill="FFFFFF"/>
            <w:noWrap/>
            <w:vAlign w:val="bottom"/>
            <w:hideMark/>
          </w:tcPr>
          <w:p w14:paraId="408DD2DF" w14:textId="3DB3298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1,699</w:t>
            </w:r>
          </w:p>
        </w:tc>
        <w:tc>
          <w:tcPr>
            <w:tcW w:w="349" w:type="pct"/>
            <w:tcBorders>
              <w:top w:val="nil"/>
              <w:left w:val="nil"/>
              <w:bottom w:val="single" w:sz="4" w:space="0" w:color="auto"/>
              <w:right w:val="single" w:sz="4" w:space="0" w:color="auto"/>
            </w:tcBorders>
            <w:shd w:val="clear" w:color="000000" w:fill="FFFFFF"/>
            <w:noWrap/>
            <w:vAlign w:val="bottom"/>
            <w:hideMark/>
          </w:tcPr>
          <w:p w14:paraId="1BDF8CE8" w14:textId="240E4D0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456</w:t>
            </w:r>
          </w:p>
        </w:tc>
        <w:tc>
          <w:tcPr>
            <w:tcW w:w="349" w:type="pct"/>
            <w:tcBorders>
              <w:top w:val="nil"/>
              <w:left w:val="nil"/>
              <w:bottom w:val="single" w:sz="4" w:space="0" w:color="auto"/>
              <w:right w:val="single" w:sz="4" w:space="0" w:color="auto"/>
            </w:tcBorders>
            <w:shd w:val="clear" w:color="000000" w:fill="FFFFFF"/>
            <w:noWrap/>
            <w:vAlign w:val="bottom"/>
            <w:hideMark/>
          </w:tcPr>
          <w:p w14:paraId="6A2D563A" w14:textId="36E8299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399</w:t>
            </w:r>
          </w:p>
        </w:tc>
        <w:tc>
          <w:tcPr>
            <w:tcW w:w="349" w:type="pct"/>
            <w:tcBorders>
              <w:top w:val="nil"/>
              <w:left w:val="nil"/>
              <w:bottom w:val="single" w:sz="4" w:space="0" w:color="auto"/>
              <w:right w:val="single" w:sz="4" w:space="0" w:color="auto"/>
            </w:tcBorders>
            <w:shd w:val="clear" w:color="000000" w:fill="FFFFFF"/>
            <w:noWrap/>
            <w:vAlign w:val="bottom"/>
            <w:hideMark/>
          </w:tcPr>
          <w:p w14:paraId="6851E6E1" w14:textId="4CC69CA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1,776</w:t>
            </w:r>
          </w:p>
        </w:tc>
        <w:tc>
          <w:tcPr>
            <w:tcW w:w="349" w:type="pct"/>
            <w:tcBorders>
              <w:top w:val="nil"/>
              <w:left w:val="nil"/>
              <w:bottom w:val="single" w:sz="4" w:space="0" w:color="auto"/>
              <w:right w:val="single" w:sz="4" w:space="0" w:color="auto"/>
            </w:tcBorders>
            <w:shd w:val="clear" w:color="000000" w:fill="FFFFFF"/>
            <w:noWrap/>
            <w:vAlign w:val="bottom"/>
            <w:hideMark/>
          </w:tcPr>
          <w:p w14:paraId="29133096" w14:textId="5202FAE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1,852</w:t>
            </w:r>
          </w:p>
        </w:tc>
        <w:tc>
          <w:tcPr>
            <w:tcW w:w="379" w:type="pct"/>
            <w:tcBorders>
              <w:top w:val="nil"/>
              <w:left w:val="nil"/>
              <w:bottom w:val="single" w:sz="4" w:space="0" w:color="auto"/>
              <w:right w:val="single" w:sz="8" w:space="0" w:color="auto"/>
            </w:tcBorders>
            <w:shd w:val="clear" w:color="000000" w:fill="FFFFFF"/>
            <w:noWrap/>
            <w:vAlign w:val="bottom"/>
            <w:hideMark/>
          </w:tcPr>
          <w:p w14:paraId="603BC514" w14:textId="4348809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16,358</w:t>
            </w:r>
          </w:p>
        </w:tc>
      </w:tr>
      <w:tr w:rsidR="00CA1084" w:rsidRPr="00E47FB2" w14:paraId="14A0D831"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77DF9784"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Guandúl</w:t>
            </w:r>
          </w:p>
        </w:tc>
        <w:tc>
          <w:tcPr>
            <w:tcW w:w="349" w:type="pct"/>
            <w:tcBorders>
              <w:top w:val="nil"/>
              <w:left w:val="nil"/>
              <w:bottom w:val="single" w:sz="4" w:space="0" w:color="auto"/>
              <w:right w:val="single" w:sz="4" w:space="0" w:color="auto"/>
            </w:tcBorders>
            <w:shd w:val="clear" w:color="000000" w:fill="FFFFFF"/>
            <w:noWrap/>
            <w:vAlign w:val="bottom"/>
            <w:hideMark/>
          </w:tcPr>
          <w:p w14:paraId="57C49B5D" w14:textId="12ADB1B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103,019</w:t>
            </w:r>
          </w:p>
        </w:tc>
        <w:tc>
          <w:tcPr>
            <w:tcW w:w="349" w:type="pct"/>
            <w:tcBorders>
              <w:top w:val="nil"/>
              <w:left w:val="nil"/>
              <w:bottom w:val="single" w:sz="4" w:space="0" w:color="auto"/>
              <w:right w:val="single" w:sz="4" w:space="0" w:color="auto"/>
            </w:tcBorders>
            <w:shd w:val="clear" w:color="000000" w:fill="FFFFFF"/>
            <w:noWrap/>
            <w:vAlign w:val="bottom"/>
            <w:hideMark/>
          </w:tcPr>
          <w:p w14:paraId="2C8914BB" w14:textId="55375CC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89,007</w:t>
            </w:r>
          </w:p>
        </w:tc>
        <w:tc>
          <w:tcPr>
            <w:tcW w:w="349" w:type="pct"/>
            <w:tcBorders>
              <w:top w:val="nil"/>
              <w:left w:val="nil"/>
              <w:bottom w:val="single" w:sz="4" w:space="0" w:color="auto"/>
              <w:right w:val="single" w:sz="4" w:space="0" w:color="auto"/>
            </w:tcBorders>
            <w:shd w:val="clear" w:color="000000" w:fill="FFFFFF"/>
            <w:noWrap/>
            <w:vAlign w:val="bottom"/>
            <w:hideMark/>
          </w:tcPr>
          <w:p w14:paraId="21ED0A86" w14:textId="255055E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55,284</w:t>
            </w:r>
          </w:p>
        </w:tc>
        <w:tc>
          <w:tcPr>
            <w:tcW w:w="349" w:type="pct"/>
            <w:tcBorders>
              <w:top w:val="nil"/>
              <w:left w:val="nil"/>
              <w:bottom w:val="single" w:sz="4" w:space="0" w:color="auto"/>
              <w:right w:val="single" w:sz="4" w:space="0" w:color="auto"/>
            </w:tcBorders>
            <w:shd w:val="clear" w:color="000000" w:fill="FFFFFF"/>
            <w:noWrap/>
            <w:vAlign w:val="bottom"/>
            <w:hideMark/>
          </w:tcPr>
          <w:p w14:paraId="1DB98030" w14:textId="388265D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38,444</w:t>
            </w:r>
          </w:p>
        </w:tc>
        <w:tc>
          <w:tcPr>
            <w:tcW w:w="349" w:type="pct"/>
            <w:tcBorders>
              <w:top w:val="nil"/>
              <w:left w:val="nil"/>
              <w:bottom w:val="single" w:sz="4" w:space="0" w:color="auto"/>
              <w:right w:val="single" w:sz="4" w:space="0" w:color="auto"/>
            </w:tcBorders>
            <w:shd w:val="clear" w:color="000000" w:fill="FFFFFF"/>
            <w:noWrap/>
            <w:vAlign w:val="bottom"/>
            <w:hideMark/>
          </w:tcPr>
          <w:p w14:paraId="70776C2E" w14:textId="33295AE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33,124</w:t>
            </w:r>
          </w:p>
        </w:tc>
        <w:tc>
          <w:tcPr>
            <w:tcW w:w="349" w:type="pct"/>
            <w:tcBorders>
              <w:top w:val="nil"/>
              <w:left w:val="nil"/>
              <w:bottom w:val="single" w:sz="4" w:space="0" w:color="auto"/>
              <w:right w:val="single" w:sz="4" w:space="0" w:color="auto"/>
            </w:tcBorders>
            <w:shd w:val="clear" w:color="000000" w:fill="FFFFFF"/>
            <w:noWrap/>
            <w:vAlign w:val="bottom"/>
            <w:hideMark/>
          </w:tcPr>
          <w:p w14:paraId="307E0A23" w14:textId="0E83B13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22,598</w:t>
            </w:r>
          </w:p>
        </w:tc>
        <w:tc>
          <w:tcPr>
            <w:tcW w:w="349" w:type="pct"/>
            <w:tcBorders>
              <w:top w:val="nil"/>
              <w:left w:val="nil"/>
              <w:bottom w:val="single" w:sz="4" w:space="0" w:color="auto"/>
              <w:right w:val="single" w:sz="4" w:space="0" w:color="auto"/>
            </w:tcBorders>
            <w:shd w:val="clear" w:color="000000" w:fill="FFFFFF"/>
            <w:noWrap/>
            <w:vAlign w:val="bottom"/>
            <w:hideMark/>
          </w:tcPr>
          <w:p w14:paraId="6E57AA11" w14:textId="4BDAE4A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20,451</w:t>
            </w:r>
          </w:p>
        </w:tc>
        <w:tc>
          <w:tcPr>
            <w:tcW w:w="349" w:type="pct"/>
            <w:tcBorders>
              <w:top w:val="nil"/>
              <w:left w:val="nil"/>
              <w:bottom w:val="single" w:sz="4" w:space="0" w:color="auto"/>
              <w:right w:val="single" w:sz="4" w:space="0" w:color="auto"/>
            </w:tcBorders>
            <w:shd w:val="clear" w:color="000000" w:fill="FFFFFF"/>
            <w:noWrap/>
            <w:vAlign w:val="bottom"/>
            <w:hideMark/>
          </w:tcPr>
          <w:p w14:paraId="342447B6" w14:textId="5DA121E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23,654</w:t>
            </w:r>
          </w:p>
        </w:tc>
        <w:tc>
          <w:tcPr>
            <w:tcW w:w="349" w:type="pct"/>
            <w:tcBorders>
              <w:top w:val="nil"/>
              <w:left w:val="nil"/>
              <w:bottom w:val="single" w:sz="4" w:space="0" w:color="auto"/>
              <w:right w:val="single" w:sz="4" w:space="0" w:color="auto"/>
            </w:tcBorders>
            <w:shd w:val="clear" w:color="000000" w:fill="FFFFFF"/>
            <w:noWrap/>
            <w:vAlign w:val="bottom"/>
            <w:hideMark/>
          </w:tcPr>
          <w:p w14:paraId="6EDFDC91" w14:textId="167AA9A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18,024</w:t>
            </w:r>
          </w:p>
        </w:tc>
        <w:tc>
          <w:tcPr>
            <w:tcW w:w="349" w:type="pct"/>
            <w:tcBorders>
              <w:top w:val="nil"/>
              <w:left w:val="nil"/>
              <w:bottom w:val="single" w:sz="4" w:space="0" w:color="auto"/>
              <w:right w:val="single" w:sz="4" w:space="0" w:color="auto"/>
            </w:tcBorders>
            <w:shd w:val="clear" w:color="000000" w:fill="FFFFFF"/>
            <w:noWrap/>
            <w:vAlign w:val="bottom"/>
            <w:hideMark/>
          </w:tcPr>
          <w:p w14:paraId="1D1DA382" w14:textId="6E9EDA8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13,547</w:t>
            </w:r>
          </w:p>
        </w:tc>
        <w:tc>
          <w:tcPr>
            <w:tcW w:w="349" w:type="pct"/>
            <w:tcBorders>
              <w:top w:val="nil"/>
              <w:left w:val="nil"/>
              <w:bottom w:val="single" w:sz="4" w:space="0" w:color="auto"/>
              <w:right w:val="single" w:sz="4" w:space="0" w:color="auto"/>
            </w:tcBorders>
            <w:shd w:val="clear" w:color="000000" w:fill="FFFFFF"/>
            <w:noWrap/>
            <w:vAlign w:val="bottom"/>
            <w:hideMark/>
          </w:tcPr>
          <w:p w14:paraId="15167D62" w14:textId="037D34F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29,343</w:t>
            </w:r>
          </w:p>
        </w:tc>
        <w:tc>
          <w:tcPr>
            <w:tcW w:w="349" w:type="pct"/>
            <w:tcBorders>
              <w:top w:val="nil"/>
              <w:left w:val="nil"/>
              <w:bottom w:val="single" w:sz="4" w:space="0" w:color="auto"/>
              <w:right w:val="single" w:sz="4" w:space="0" w:color="auto"/>
            </w:tcBorders>
            <w:shd w:val="clear" w:color="000000" w:fill="FFFFFF"/>
            <w:noWrap/>
            <w:vAlign w:val="bottom"/>
            <w:hideMark/>
          </w:tcPr>
          <w:p w14:paraId="1AD4D333" w14:textId="5DAB599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109,487</w:t>
            </w:r>
          </w:p>
        </w:tc>
        <w:tc>
          <w:tcPr>
            <w:tcW w:w="379" w:type="pct"/>
            <w:tcBorders>
              <w:top w:val="nil"/>
              <w:left w:val="nil"/>
              <w:bottom w:val="single" w:sz="4" w:space="0" w:color="auto"/>
              <w:right w:val="single" w:sz="8" w:space="0" w:color="auto"/>
            </w:tcBorders>
            <w:shd w:val="clear" w:color="000000" w:fill="FFFFFF"/>
            <w:noWrap/>
            <w:vAlign w:val="bottom"/>
            <w:hideMark/>
          </w:tcPr>
          <w:p w14:paraId="71B700A6" w14:textId="37B685F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555,982</w:t>
            </w:r>
          </w:p>
        </w:tc>
      </w:tr>
      <w:tr w:rsidR="00CA1084" w:rsidRPr="00E47FB2" w14:paraId="45D163C1"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79929B40"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Guard B.</w:t>
            </w:r>
          </w:p>
        </w:tc>
        <w:tc>
          <w:tcPr>
            <w:tcW w:w="349" w:type="pct"/>
            <w:tcBorders>
              <w:top w:val="nil"/>
              <w:left w:val="nil"/>
              <w:bottom w:val="single" w:sz="4" w:space="0" w:color="auto"/>
              <w:right w:val="single" w:sz="4" w:space="0" w:color="auto"/>
            </w:tcBorders>
            <w:shd w:val="clear" w:color="000000" w:fill="FFFFFF"/>
            <w:noWrap/>
            <w:vAlign w:val="bottom"/>
            <w:hideMark/>
          </w:tcPr>
          <w:p w14:paraId="085AE316" w14:textId="498E625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7,210</w:t>
            </w:r>
          </w:p>
        </w:tc>
        <w:tc>
          <w:tcPr>
            <w:tcW w:w="349" w:type="pct"/>
            <w:tcBorders>
              <w:top w:val="nil"/>
              <w:left w:val="nil"/>
              <w:bottom w:val="single" w:sz="4" w:space="0" w:color="auto"/>
              <w:right w:val="single" w:sz="4" w:space="0" w:color="auto"/>
            </w:tcBorders>
            <w:shd w:val="clear" w:color="000000" w:fill="FFFFFF"/>
            <w:noWrap/>
            <w:vAlign w:val="bottom"/>
            <w:hideMark/>
          </w:tcPr>
          <w:p w14:paraId="21C667C9" w14:textId="78E9A0E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11,253</w:t>
            </w:r>
          </w:p>
        </w:tc>
        <w:tc>
          <w:tcPr>
            <w:tcW w:w="349" w:type="pct"/>
            <w:tcBorders>
              <w:top w:val="nil"/>
              <w:left w:val="nil"/>
              <w:bottom w:val="single" w:sz="4" w:space="0" w:color="auto"/>
              <w:right w:val="single" w:sz="4" w:space="0" w:color="auto"/>
            </w:tcBorders>
            <w:shd w:val="clear" w:color="000000" w:fill="FFFFFF"/>
            <w:noWrap/>
            <w:vAlign w:val="bottom"/>
            <w:hideMark/>
          </w:tcPr>
          <w:p w14:paraId="5388449D" w14:textId="32022B6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16,021</w:t>
            </w:r>
          </w:p>
        </w:tc>
        <w:tc>
          <w:tcPr>
            <w:tcW w:w="349" w:type="pct"/>
            <w:tcBorders>
              <w:top w:val="nil"/>
              <w:left w:val="nil"/>
              <w:bottom w:val="single" w:sz="4" w:space="0" w:color="auto"/>
              <w:right w:val="single" w:sz="4" w:space="0" w:color="auto"/>
            </w:tcBorders>
            <w:shd w:val="clear" w:color="000000" w:fill="FFFFFF"/>
            <w:noWrap/>
            <w:vAlign w:val="bottom"/>
            <w:hideMark/>
          </w:tcPr>
          <w:p w14:paraId="2DBD1686" w14:textId="1D7FF14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4,574</w:t>
            </w:r>
          </w:p>
        </w:tc>
        <w:tc>
          <w:tcPr>
            <w:tcW w:w="349" w:type="pct"/>
            <w:tcBorders>
              <w:top w:val="nil"/>
              <w:left w:val="nil"/>
              <w:bottom w:val="single" w:sz="4" w:space="0" w:color="auto"/>
              <w:right w:val="single" w:sz="4" w:space="0" w:color="auto"/>
            </w:tcBorders>
            <w:shd w:val="clear" w:color="000000" w:fill="FFFFFF"/>
            <w:noWrap/>
            <w:vAlign w:val="bottom"/>
            <w:hideMark/>
          </w:tcPr>
          <w:p w14:paraId="4A15E434" w14:textId="6EADCA7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1,526</w:t>
            </w:r>
          </w:p>
        </w:tc>
        <w:tc>
          <w:tcPr>
            <w:tcW w:w="349" w:type="pct"/>
            <w:tcBorders>
              <w:top w:val="nil"/>
              <w:left w:val="nil"/>
              <w:bottom w:val="single" w:sz="4" w:space="0" w:color="auto"/>
              <w:right w:val="single" w:sz="4" w:space="0" w:color="auto"/>
            </w:tcBorders>
            <w:shd w:val="clear" w:color="000000" w:fill="FFFFFF"/>
            <w:noWrap/>
            <w:vAlign w:val="bottom"/>
            <w:hideMark/>
          </w:tcPr>
          <w:p w14:paraId="44E06A58" w14:textId="465E172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26,544</w:t>
            </w:r>
          </w:p>
        </w:tc>
        <w:tc>
          <w:tcPr>
            <w:tcW w:w="349" w:type="pct"/>
            <w:tcBorders>
              <w:top w:val="nil"/>
              <w:left w:val="nil"/>
              <w:bottom w:val="single" w:sz="4" w:space="0" w:color="auto"/>
              <w:right w:val="single" w:sz="4" w:space="0" w:color="auto"/>
            </w:tcBorders>
            <w:shd w:val="clear" w:color="000000" w:fill="FFFFFF"/>
            <w:noWrap/>
            <w:vAlign w:val="bottom"/>
            <w:hideMark/>
          </w:tcPr>
          <w:p w14:paraId="705C886F" w14:textId="2A101D3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7,544</w:t>
            </w:r>
          </w:p>
        </w:tc>
        <w:tc>
          <w:tcPr>
            <w:tcW w:w="349" w:type="pct"/>
            <w:tcBorders>
              <w:top w:val="nil"/>
              <w:left w:val="nil"/>
              <w:bottom w:val="single" w:sz="4" w:space="0" w:color="auto"/>
              <w:right w:val="single" w:sz="4" w:space="0" w:color="auto"/>
            </w:tcBorders>
            <w:shd w:val="clear" w:color="000000" w:fill="FFFFFF"/>
            <w:noWrap/>
            <w:vAlign w:val="bottom"/>
            <w:hideMark/>
          </w:tcPr>
          <w:p w14:paraId="28EAFBB1" w14:textId="323892B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3,254</w:t>
            </w:r>
          </w:p>
        </w:tc>
        <w:tc>
          <w:tcPr>
            <w:tcW w:w="349" w:type="pct"/>
            <w:tcBorders>
              <w:top w:val="nil"/>
              <w:left w:val="nil"/>
              <w:bottom w:val="single" w:sz="4" w:space="0" w:color="auto"/>
              <w:right w:val="single" w:sz="4" w:space="0" w:color="auto"/>
            </w:tcBorders>
            <w:shd w:val="clear" w:color="000000" w:fill="FFFFFF"/>
            <w:noWrap/>
            <w:vAlign w:val="bottom"/>
            <w:hideMark/>
          </w:tcPr>
          <w:p w14:paraId="59C68865" w14:textId="06835F0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15,695</w:t>
            </w:r>
          </w:p>
        </w:tc>
        <w:tc>
          <w:tcPr>
            <w:tcW w:w="349" w:type="pct"/>
            <w:tcBorders>
              <w:top w:val="nil"/>
              <w:left w:val="nil"/>
              <w:bottom w:val="single" w:sz="4" w:space="0" w:color="auto"/>
              <w:right w:val="single" w:sz="4" w:space="0" w:color="auto"/>
            </w:tcBorders>
            <w:shd w:val="clear" w:color="000000" w:fill="FFFFFF"/>
            <w:noWrap/>
            <w:vAlign w:val="bottom"/>
            <w:hideMark/>
          </w:tcPr>
          <w:p w14:paraId="306B7564" w14:textId="724865D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1,992</w:t>
            </w:r>
          </w:p>
        </w:tc>
        <w:tc>
          <w:tcPr>
            <w:tcW w:w="349" w:type="pct"/>
            <w:tcBorders>
              <w:top w:val="nil"/>
              <w:left w:val="nil"/>
              <w:bottom w:val="single" w:sz="4" w:space="0" w:color="auto"/>
              <w:right w:val="single" w:sz="4" w:space="0" w:color="auto"/>
            </w:tcBorders>
            <w:shd w:val="clear" w:color="000000" w:fill="FFFFFF"/>
            <w:noWrap/>
            <w:vAlign w:val="bottom"/>
            <w:hideMark/>
          </w:tcPr>
          <w:p w14:paraId="258349FB" w14:textId="3B66349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8,048</w:t>
            </w:r>
          </w:p>
        </w:tc>
        <w:tc>
          <w:tcPr>
            <w:tcW w:w="349" w:type="pct"/>
            <w:tcBorders>
              <w:top w:val="nil"/>
              <w:left w:val="nil"/>
              <w:bottom w:val="single" w:sz="4" w:space="0" w:color="auto"/>
              <w:right w:val="single" w:sz="4" w:space="0" w:color="auto"/>
            </w:tcBorders>
            <w:shd w:val="clear" w:color="000000" w:fill="FFFFFF"/>
            <w:noWrap/>
            <w:vAlign w:val="bottom"/>
            <w:hideMark/>
          </w:tcPr>
          <w:p w14:paraId="38B9F50E" w14:textId="446A12F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408</w:t>
            </w:r>
          </w:p>
        </w:tc>
        <w:tc>
          <w:tcPr>
            <w:tcW w:w="379" w:type="pct"/>
            <w:tcBorders>
              <w:top w:val="nil"/>
              <w:left w:val="nil"/>
              <w:bottom w:val="single" w:sz="4" w:space="0" w:color="auto"/>
              <w:right w:val="single" w:sz="8" w:space="0" w:color="auto"/>
            </w:tcBorders>
            <w:shd w:val="clear" w:color="000000" w:fill="FFFFFF"/>
            <w:noWrap/>
            <w:vAlign w:val="bottom"/>
            <w:hideMark/>
          </w:tcPr>
          <w:p w14:paraId="50FAEFE1" w14:textId="57B9FC8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104,069</w:t>
            </w:r>
          </w:p>
        </w:tc>
      </w:tr>
      <w:tr w:rsidR="00CA1084" w:rsidRPr="00E47FB2" w14:paraId="34EC2E01"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0CECB4DD"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Batata</w:t>
            </w:r>
          </w:p>
        </w:tc>
        <w:tc>
          <w:tcPr>
            <w:tcW w:w="349" w:type="pct"/>
            <w:tcBorders>
              <w:top w:val="nil"/>
              <w:left w:val="nil"/>
              <w:bottom w:val="single" w:sz="4" w:space="0" w:color="auto"/>
              <w:right w:val="single" w:sz="4" w:space="0" w:color="auto"/>
            </w:tcBorders>
            <w:shd w:val="clear" w:color="000000" w:fill="FFFFFF"/>
            <w:noWrap/>
            <w:vAlign w:val="bottom"/>
            <w:hideMark/>
          </w:tcPr>
          <w:p w14:paraId="6FE33C47" w14:textId="301C234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82,847</w:t>
            </w:r>
          </w:p>
        </w:tc>
        <w:tc>
          <w:tcPr>
            <w:tcW w:w="349" w:type="pct"/>
            <w:tcBorders>
              <w:top w:val="nil"/>
              <w:left w:val="nil"/>
              <w:bottom w:val="single" w:sz="4" w:space="0" w:color="auto"/>
              <w:right w:val="single" w:sz="4" w:space="0" w:color="auto"/>
            </w:tcBorders>
            <w:shd w:val="clear" w:color="000000" w:fill="FFFFFF"/>
            <w:noWrap/>
            <w:vAlign w:val="bottom"/>
            <w:hideMark/>
          </w:tcPr>
          <w:p w14:paraId="7B8C6042" w14:textId="170D695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108,978</w:t>
            </w:r>
          </w:p>
        </w:tc>
        <w:tc>
          <w:tcPr>
            <w:tcW w:w="349" w:type="pct"/>
            <w:tcBorders>
              <w:top w:val="nil"/>
              <w:left w:val="nil"/>
              <w:bottom w:val="single" w:sz="4" w:space="0" w:color="auto"/>
              <w:right w:val="single" w:sz="4" w:space="0" w:color="auto"/>
            </w:tcBorders>
            <w:shd w:val="clear" w:color="000000" w:fill="FFFFFF"/>
            <w:noWrap/>
            <w:vAlign w:val="bottom"/>
            <w:hideMark/>
          </w:tcPr>
          <w:p w14:paraId="5355B68B" w14:textId="0ED9CEB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122,145</w:t>
            </w:r>
          </w:p>
        </w:tc>
        <w:tc>
          <w:tcPr>
            <w:tcW w:w="349" w:type="pct"/>
            <w:tcBorders>
              <w:top w:val="nil"/>
              <w:left w:val="nil"/>
              <w:bottom w:val="single" w:sz="4" w:space="0" w:color="auto"/>
              <w:right w:val="single" w:sz="4" w:space="0" w:color="auto"/>
            </w:tcBorders>
            <w:shd w:val="clear" w:color="000000" w:fill="FFFFFF"/>
            <w:noWrap/>
            <w:vAlign w:val="bottom"/>
            <w:hideMark/>
          </w:tcPr>
          <w:p w14:paraId="1A48C1FF" w14:textId="7720A71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139,587</w:t>
            </w:r>
          </w:p>
        </w:tc>
        <w:tc>
          <w:tcPr>
            <w:tcW w:w="349" w:type="pct"/>
            <w:tcBorders>
              <w:top w:val="nil"/>
              <w:left w:val="nil"/>
              <w:bottom w:val="single" w:sz="4" w:space="0" w:color="auto"/>
              <w:right w:val="single" w:sz="4" w:space="0" w:color="auto"/>
            </w:tcBorders>
            <w:shd w:val="clear" w:color="000000" w:fill="FFFFFF"/>
            <w:noWrap/>
            <w:vAlign w:val="bottom"/>
            <w:hideMark/>
          </w:tcPr>
          <w:p w14:paraId="744722C2" w14:textId="3C18ED9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109,989</w:t>
            </w:r>
          </w:p>
        </w:tc>
        <w:tc>
          <w:tcPr>
            <w:tcW w:w="349" w:type="pct"/>
            <w:tcBorders>
              <w:top w:val="nil"/>
              <w:left w:val="nil"/>
              <w:bottom w:val="single" w:sz="4" w:space="0" w:color="auto"/>
              <w:right w:val="single" w:sz="4" w:space="0" w:color="auto"/>
            </w:tcBorders>
            <w:shd w:val="clear" w:color="000000" w:fill="FFFFFF"/>
            <w:noWrap/>
            <w:vAlign w:val="bottom"/>
            <w:hideMark/>
          </w:tcPr>
          <w:p w14:paraId="680D657C" w14:textId="1E14D18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96,898</w:t>
            </w:r>
          </w:p>
        </w:tc>
        <w:tc>
          <w:tcPr>
            <w:tcW w:w="349" w:type="pct"/>
            <w:tcBorders>
              <w:top w:val="nil"/>
              <w:left w:val="nil"/>
              <w:bottom w:val="single" w:sz="4" w:space="0" w:color="auto"/>
              <w:right w:val="single" w:sz="4" w:space="0" w:color="auto"/>
            </w:tcBorders>
            <w:shd w:val="clear" w:color="000000" w:fill="FFFFFF"/>
            <w:noWrap/>
            <w:vAlign w:val="bottom"/>
            <w:hideMark/>
          </w:tcPr>
          <w:p w14:paraId="64FB2D5F" w14:textId="2F8FA6A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95,987</w:t>
            </w:r>
          </w:p>
        </w:tc>
        <w:tc>
          <w:tcPr>
            <w:tcW w:w="349" w:type="pct"/>
            <w:tcBorders>
              <w:top w:val="nil"/>
              <w:left w:val="nil"/>
              <w:bottom w:val="single" w:sz="4" w:space="0" w:color="auto"/>
              <w:right w:val="single" w:sz="4" w:space="0" w:color="auto"/>
            </w:tcBorders>
            <w:shd w:val="clear" w:color="000000" w:fill="FFFFFF"/>
            <w:noWrap/>
            <w:vAlign w:val="bottom"/>
            <w:hideMark/>
          </w:tcPr>
          <w:p w14:paraId="130881DC" w14:textId="4F0278E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86,214</w:t>
            </w:r>
          </w:p>
        </w:tc>
        <w:tc>
          <w:tcPr>
            <w:tcW w:w="349" w:type="pct"/>
            <w:tcBorders>
              <w:top w:val="nil"/>
              <w:left w:val="nil"/>
              <w:bottom w:val="single" w:sz="4" w:space="0" w:color="auto"/>
              <w:right w:val="single" w:sz="4" w:space="0" w:color="auto"/>
            </w:tcBorders>
            <w:shd w:val="clear" w:color="000000" w:fill="FFFFFF"/>
            <w:noWrap/>
            <w:vAlign w:val="bottom"/>
            <w:hideMark/>
          </w:tcPr>
          <w:p w14:paraId="486AA16C" w14:textId="674A5D4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75,102</w:t>
            </w:r>
          </w:p>
        </w:tc>
        <w:tc>
          <w:tcPr>
            <w:tcW w:w="349" w:type="pct"/>
            <w:tcBorders>
              <w:top w:val="nil"/>
              <w:left w:val="nil"/>
              <w:bottom w:val="single" w:sz="4" w:space="0" w:color="auto"/>
              <w:right w:val="single" w:sz="4" w:space="0" w:color="auto"/>
            </w:tcBorders>
            <w:shd w:val="clear" w:color="000000" w:fill="FFFFFF"/>
            <w:noWrap/>
            <w:vAlign w:val="bottom"/>
            <w:hideMark/>
          </w:tcPr>
          <w:p w14:paraId="3DBF9788" w14:textId="72EBAE9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79,254</w:t>
            </w:r>
          </w:p>
        </w:tc>
        <w:tc>
          <w:tcPr>
            <w:tcW w:w="349" w:type="pct"/>
            <w:tcBorders>
              <w:top w:val="nil"/>
              <w:left w:val="nil"/>
              <w:bottom w:val="single" w:sz="4" w:space="0" w:color="auto"/>
              <w:right w:val="single" w:sz="4" w:space="0" w:color="auto"/>
            </w:tcBorders>
            <w:shd w:val="clear" w:color="000000" w:fill="FFFFFF"/>
            <w:noWrap/>
            <w:vAlign w:val="bottom"/>
            <w:hideMark/>
          </w:tcPr>
          <w:p w14:paraId="7A251A70" w14:textId="2F02EA3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98,795</w:t>
            </w:r>
          </w:p>
        </w:tc>
        <w:tc>
          <w:tcPr>
            <w:tcW w:w="349" w:type="pct"/>
            <w:tcBorders>
              <w:top w:val="nil"/>
              <w:left w:val="nil"/>
              <w:bottom w:val="single" w:sz="4" w:space="0" w:color="auto"/>
              <w:right w:val="single" w:sz="4" w:space="0" w:color="auto"/>
            </w:tcBorders>
            <w:shd w:val="clear" w:color="000000" w:fill="FFFFFF"/>
            <w:noWrap/>
            <w:vAlign w:val="bottom"/>
            <w:hideMark/>
          </w:tcPr>
          <w:p w14:paraId="7C743950" w14:textId="2C87120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94,197</w:t>
            </w:r>
          </w:p>
        </w:tc>
        <w:tc>
          <w:tcPr>
            <w:tcW w:w="379" w:type="pct"/>
            <w:tcBorders>
              <w:top w:val="nil"/>
              <w:left w:val="nil"/>
              <w:bottom w:val="single" w:sz="4" w:space="0" w:color="auto"/>
              <w:right w:val="single" w:sz="8" w:space="0" w:color="auto"/>
            </w:tcBorders>
            <w:shd w:val="clear" w:color="000000" w:fill="FFFFFF"/>
            <w:noWrap/>
            <w:vAlign w:val="bottom"/>
            <w:hideMark/>
          </w:tcPr>
          <w:p w14:paraId="11C7B15E" w14:textId="79DF962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1,189,993</w:t>
            </w:r>
          </w:p>
        </w:tc>
      </w:tr>
      <w:tr w:rsidR="00CA1084" w:rsidRPr="00E47FB2" w14:paraId="6CE0255B"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63ADA172"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Ñame</w:t>
            </w:r>
          </w:p>
        </w:tc>
        <w:tc>
          <w:tcPr>
            <w:tcW w:w="349" w:type="pct"/>
            <w:tcBorders>
              <w:top w:val="nil"/>
              <w:left w:val="nil"/>
              <w:bottom w:val="single" w:sz="4" w:space="0" w:color="auto"/>
              <w:right w:val="single" w:sz="4" w:space="0" w:color="auto"/>
            </w:tcBorders>
            <w:shd w:val="clear" w:color="000000" w:fill="FFFFFF"/>
            <w:noWrap/>
            <w:vAlign w:val="bottom"/>
            <w:hideMark/>
          </w:tcPr>
          <w:p w14:paraId="17177E63" w14:textId="6956EBF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85,412</w:t>
            </w:r>
          </w:p>
        </w:tc>
        <w:tc>
          <w:tcPr>
            <w:tcW w:w="349" w:type="pct"/>
            <w:tcBorders>
              <w:top w:val="nil"/>
              <w:left w:val="nil"/>
              <w:bottom w:val="single" w:sz="4" w:space="0" w:color="auto"/>
              <w:right w:val="single" w:sz="4" w:space="0" w:color="auto"/>
            </w:tcBorders>
            <w:shd w:val="clear" w:color="000000" w:fill="FFFFFF"/>
            <w:noWrap/>
            <w:vAlign w:val="bottom"/>
            <w:hideMark/>
          </w:tcPr>
          <w:p w14:paraId="7B586BFC" w14:textId="7C37E7D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91,242</w:t>
            </w:r>
          </w:p>
        </w:tc>
        <w:tc>
          <w:tcPr>
            <w:tcW w:w="349" w:type="pct"/>
            <w:tcBorders>
              <w:top w:val="nil"/>
              <w:left w:val="nil"/>
              <w:bottom w:val="single" w:sz="4" w:space="0" w:color="auto"/>
              <w:right w:val="single" w:sz="4" w:space="0" w:color="auto"/>
            </w:tcBorders>
            <w:shd w:val="clear" w:color="000000" w:fill="FFFFFF"/>
            <w:noWrap/>
            <w:vAlign w:val="bottom"/>
            <w:hideMark/>
          </w:tcPr>
          <w:p w14:paraId="0A33A274" w14:textId="5970266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75,421</w:t>
            </w:r>
          </w:p>
        </w:tc>
        <w:tc>
          <w:tcPr>
            <w:tcW w:w="349" w:type="pct"/>
            <w:tcBorders>
              <w:top w:val="nil"/>
              <w:left w:val="nil"/>
              <w:bottom w:val="single" w:sz="4" w:space="0" w:color="auto"/>
              <w:right w:val="single" w:sz="4" w:space="0" w:color="auto"/>
            </w:tcBorders>
            <w:shd w:val="clear" w:color="000000" w:fill="FFFFFF"/>
            <w:noWrap/>
            <w:vAlign w:val="bottom"/>
            <w:hideMark/>
          </w:tcPr>
          <w:p w14:paraId="79EBF203" w14:textId="13471B4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90,561</w:t>
            </w:r>
          </w:p>
        </w:tc>
        <w:tc>
          <w:tcPr>
            <w:tcW w:w="349" w:type="pct"/>
            <w:tcBorders>
              <w:top w:val="nil"/>
              <w:left w:val="nil"/>
              <w:bottom w:val="single" w:sz="4" w:space="0" w:color="auto"/>
              <w:right w:val="single" w:sz="4" w:space="0" w:color="auto"/>
            </w:tcBorders>
            <w:shd w:val="clear" w:color="000000" w:fill="FFFFFF"/>
            <w:noWrap/>
            <w:vAlign w:val="bottom"/>
            <w:hideMark/>
          </w:tcPr>
          <w:p w14:paraId="6BB04DEE" w14:textId="35831A1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58,411</w:t>
            </w:r>
          </w:p>
        </w:tc>
        <w:tc>
          <w:tcPr>
            <w:tcW w:w="349" w:type="pct"/>
            <w:tcBorders>
              <w:top w:val="nil"/>
              <w:left w:val="nil"/>
              <w:bottom w:val="single" w:sz="4" w:space="0" w:color="auto"/>
              <w:right w:val="single" w:sz="4" w:space="0" w:color="auto"/>
            </w:tcBorders>
            <w:shd w:val="clear" w:color="000000" w:fill="FFFFFF"/>
            <w:noWrap/>
            <w:vAlign w:val="bottom"/>
            <w:hideMark/>
          </w:tcPr>
          <w:p w14:paraId="65AA9294" w14:textId="0767D20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48,214</w:t>
            </w:r>
          </w:p>
        </w:tc>
        <w:tc>
          <w:tcPr>
            <w:tcW w:w="349" w:type="pct"/>
            <w:tcBorders>
              <w:top w:val="nil"/>
              <w:left w:val="nil"/>
              <w:bottom w:val="single" w:sz="4" w:space="0" w:color="auto"/>
              <w:right w:val="single" w:sz="4" w:space="0" w:color="auto"/>
            </w:tcBorders>
            <w:shd w:val="clear" w:color="000000" w:fill="FFFFFF"/>
            <w:noWrap/>
            <w:vAlign w:val="bottom"/>
            <w:hideMark/>
          </w:tcPr>
          <w:p w14:paraId="5BC61FFD" w14:textId="3E2EAD8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41,899</w:t>
            </w:r>
          </w:p>
        </w:tc>
        <w:tc>
          <w:tcPr>
            <w:tcW w:w="349" w:type="pct"/>
            <w:tcBorders>
              <w:top w:val="nil"/>
              <w:left w:val="nil"/>
              <w:bottom w:val="single" w:sz="4" w:space="0" w:color="auto"/>
              <w:right w:val="single" w:sz="4" w:space="0" w:color="auto"/>
            </w:tcBorders>
            <w:shd w:val="clear" w:color="000000" w:fill="FFFFFF"/>
            <w:noWrap/>
            <w:vAlign w:val="bottom"/>
            <w:hideMark/>
          </w:tcPr>
          <w:p w14:paraId="5AC62026" w14:textId="1AB8E72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31,950</w:t>
            </w:r>
          </w:p>
        </w:tc>
        <w:tc>
          <w:tcPr>
            <w:tcW w:w="349" w:type="pct"/>
            <w:tcBorders>
              <w:top w:val="nil"/>
              <w:left w:val="nil"/>
              <w:bottom w:val="single" w:sz="4" w:space="0" w:color="auto"/>
              <w:right w:val="single" w:sz="4" w:space="0" w:color="auto"/>
            </w:tcBorders>
            <w:shd w:val="clear" w:color="000000" w:fill="FFFFFF"/>
            <w:noWrap/>
            <w:vAlign w:val="bottom"/>
            <w:hideMark/>
          </w:tcPr>
          <w:p w14:paraId="7DCC3994" w14:textId="37D2858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43,011</w:t>
            </w:r>
          </w:p>
        </w:tc>
        <w:tc>
          <w:tcPr>
            <w:tcW w:w="349" w:type="pct"/>
            <w:tcBorders>
              <w:top w:val="nil"/>
              <w:left w:val="nil"/>
              <w:bottom w:val="single" w:sz="4" w:space="0" w:color="auto"/>
              <w:right w:val="single" w:sz="4" w:space="0" w:color="auto"/>
            </w:tcBorders>
            <w:shd w:val="clear" w:color="000000" w:fill="FFFFFF"/>
            <w:noWrap/>
            <w:vAlign w:val="bottom"/>
            <w:hideMark/>
          </w:tcPr>
          <w:p w14:paraId="1EC9D290" w14:textId="5EDF302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33,541</w:t>
            </w:r>
          </w:p>
        </w:tc>
        <w:tc>
          <w:tcPr>
            <w:tcW w:w="349" w:type="pct"/>
            <w:tcBorders>
              <w:top w:val="nil"/>
              <w:left w:val="nil"/>
              <w:bottom w:val="single" w:sz="4" w:space="0" w:color="auto"/>
              <w:right w:val="single" w:sz="4" w:space="0" w:color="auto"/>
            </w:tcBorders>
            <w:shd w:val="clear" w:color="000000" w:fill="FFFFFF"/>
            <w:noWrap/>
            <w:vAlign w:val="bottom"/>
            <w:hideMark/>
          </w:tcPr>
          <w:p w14:paraId="3F9F9217" w14:textId="42E0954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52,208</w:t>
            </w:r>
          </w:p>
        </w:tc>
        <w:tc>
          <w:tcPr>
            <w:tcW w:w="349" w:type="pct"/>
            <w:tcBorders>
              <w:top w:val="nil"/>
              <w:left w:val="nil"/>
              <w:bottom w:val="single" w:sz="4" w:space="0" w:color="auto"/>
              <w:right w:val="single" w:sz="4" w:space="0" w:color="auto"/>
            </w:tcBorders>
            <w:shd w:val="clear" w:color="000000" w:fill="FFFFFF"/>
            <w:noWrap/>
            <w:vAlign w:val="bottom"/>
            <w:hideMark/>
          </w:tcPr>
          <w:p w14:paraId="67B44389" w14:textId="48BF840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60,826</w:t>
            </w:r>
          </w:p>
        </w:tc>
        <w:tc>
          <w:tcPr>
            <w:tcW w:w="379" w:type="pct"/>
            <w:tcBorders>
              <w:top w:val="nil"/>
              <w:left w:val="nil"/>
              <w:bottom w:val="single" w:sz="4" w:space="0" w:color="auto"/>
              <w:right w:val="single" w:sz="8" w:space="0" w:color="auto"/>
            </w:tcBorders>
            <w:shd w:val="clear" w:color="000000" w:fill="FFFFFF"/>
            <w:noWrap/>
            <w:vAlign w:val="bottom"/>
            <w:hideMark/>
          </w:tcPr>
          <w:p w14:paraId="098FCE0B" w14:textId="23BC420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712,696</w:t>
            </w:r>
          </w:p>
        </w:tc>
      </w:tr>
      <w:tr w:rsidR="00CA1084" w:rsidRPr="00E47FB2" w14:paraId="5B98BC65"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6E05F816"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Papa</w:t>
            </w:r>
          </w:p>
        </w:tc>
        <w:tc>
          <w:tcPr>
            <w:tcW w:w="349" w:type="pct"/>
            <w:tcBorders>
              <w:top w:val="nil"/>
              <w:left w:val="nil"/>
              <w:bottom w:val="single" w:sz="4" w:space="0" w:color="auto"/>
              <w:right w:val="single" w:sz="4" w:space="0" w:color="auto"/>
            </w:tcBorders>
            <w:shd w:val="clear" w:color="000000" w:fill="FFFFFF"/>
            <w:noWrap/>
            <w:vAlign w:val="bottom"/>
            <w:hideMark/>
          </w:tcPr>
          <w:p w14:paraId="760B50B6" w14:textId="4F4D96C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142,578</w:t>
            </w:r>
          </w:p>
        </w:tc>
        <w:tc>
          <w:tcPr>
            <w:tcW w:w="349" w:type="pct"/>
            <w:tcBorders>
              <w:top w:val="nil"/>
              <w:left w:val="nil"/>
              <w:bottom w:val="single" w:sz="4" w:space="0" w:color="auto"/>
              <w:right w:val="single" w:sz="4" w:space="0" w:color="auto"/>
            </w:tcBorders>
            <w:shd w:val="clear" w:color="000000" w:fill="FFFFFF"/>
            <w:noWrap/>
            <w:vAlign w:val="bottom"/>
            <w:hideMark/>
          </w:tcPr>
          <w:p w14:paraId="2B24458A" w14:textId="4B29A24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189,875</w:t>
            </w:r>
          </w:p>
        </w:tc>
        <w:tc>
          <w:tcPr>
            <w:tcW w:w="349" w:type="pct"/>
            <w:tcBorders>
              <w:top w:val="nil"/>
              <w:left w:val="nil"/>
              <w:bottom w:val="single" w:sz="4" w:space="0" w:color="auto"/>
              <w:right w:val="single" w:sz="4" w:space="0" w:color="auto"/>
            </w:tcBorders>
            <w:shd w:val="clear" w:color="000000" w:fill="FFFFFF"/>
            <w:noWrap/>
            <w:vAlign w:val="bottom"/>
            <w:hideMark/>
          </w:tcPr>
          <w:p w14:paraId="298C7682" w14:textId="3A1F31D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210,250</w:t>
            </w:r>
          </w:p>
        </w:tc>
        <w:tc>
          <w:tcPr>
            <w:tcW w:w="349" w:type="pct"/>
            <w:tcBorders>
              <w:top w:val="nil"/>
              <w:left w:val="nil"/>
              <w:bottom w:val="single" w:sz="4" w:space="0" w:color="auto"/>
              <w:right w:val="single" w:sz="4" w:space="0" w:color="auto"/>
            </w:tcBorders>
            <w:shd w:val="clear" w:color="000000" w:fill="FFFFFF"/>
            <w:noWrap/>
            <w:vAlign w:val="bottom"/>
            <w:hideMark/>
          </w:tcPr>
          <w:p w14:paraId="0CAB159F" w14:textId="6586E72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165,471</w:t>
            </w:r>
          </w:p>
        </w:tc>
        <w:tc>
          <w:tcPr>
            <w:tcW w:w="349" w:type="pct"/>
            <w:tcBorders>
              <w:top w:val="nil"/>
              <w:left w:val="nil"/>
              <w:bottom w:val="single" w:sz="4" w:space="0" w:color="auto"/>
              <w:right w:val="single" w:sz="4" w:space="0" w:color="auto"/>
            </w:tcBorders>
            <w:shd w:val="clear" w:color="000000" w:fill="FFFFFF"/>
            <w:noWrap/>
            <w:vAlign w:val="bottom"/>
            <w:hideMark/>
          </w:tcPr>
          <w:p w14:paraId="1A6937AD" w14:textId="5FD1265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206,544</w:t>
            </w:r>
          </w:p>
        </w:tc>
        <w:tc>
          <w:tcPr>
            <w:tcW w:w="349" w:type="pct"/>
            <w:tcBorders>
              <w:top w:val="nil"/>
              <w:left w:val="nil"/>
              <w:bottom w:val="single" w:sz="4" w:space="0" w:color="auto"/>
              <w:right w:val="single" w:sz="4" w:space="0" w:color="auto"/>
            </w:tcBorders>
            <w:shd w:val="clear" w:color="000000" w:fill="FFFFFF"/>
            <w:noWrap/>
            <w:vAlign w:val="bottom"/>
            <w:hideMark/>
          </w:tcPr>
          <w:p w14:paraId="5189A331" w14:textId="6CB85E4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159,668</w:t>
            </w:r>
          </w:p>
        </w:tc>
        <w:tc>
          <w:tcPr>
            <w:tcW w:w="349" w:type="pct"/>
            <w:tcBorders>
              <w:top w:val="nil"/>
              <w:left w:val="nil"/>
              <w:bottom w:val="single" w:sz="4" w:space="0" w:color="auto"/>
              <w:right w:val="single" w:sz="4" w:space="0" w:color="auto"/>
            </w:tcBorders>
            <w:shd w:val="clear" w:color="000000" w:fill="FFFFFF"/>
            <w:noWrap/>
            <w:vAlign w:val="bottom"/>
            <w:hideMark/>
          </w:tcPr>
          <w:p w14:paraId="2846633F" w14:textId="73CEDF2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125,987</w:t>
            </w:r>
          </w:p>
        </w:tc>
        <w:tc>
          <w:tcPr>
            <w:tcW w:w="349" w:type="pct"/>
            <w:tcBorders>
              <w:top w:val="nil"/>
              <w:left w:val="nil"/>
              <w:bottom w:val="single" w:sz="4" w:space="0" w:color="auto"/>
              <w:right w:val="single" w:sz="4" w:space="0" w:color="auto"/>
            </w:tcBorders>
            <w:shd w:val="clear" w:color="000000" w:fill="FFFFFF"/>
            <w:noWrap/>
            <w:vAlign w:val="bottom"/>
            <w:hideMark/>
          </w:tcPr>
          <w:p w14:paraId="2F5A3690" w14:textId="6CED5DC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159,680</w:t>
            </w:r>
          </w:p>
        </w:tc>
        <w:tc>
          <w:tcPr>
            <w:tcW w:w="349" w:type="pct"/>
            <w:tcBorders>
              <w:top w:val="nil"/>
              <w:left w:val="nil"/>
              <w:bottom w:val="single" w:sz="4" w:space="0" w:color="auto"/>
              <w:right w:val="single" w:sz="4" w:space="0" w:color="auto"/>
            </w:tcBorders>
            <w:shd w:val="clear" w:color="000000" w:fill="FFFFFF"/>
            <w:noWrap/>
            <w:vAlign w:val="bottom"/>
            <w:hideMark/>
          </w:tcPr>
          <w:p w14:paraId="32EC0183" w14:textId="0A32241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193,241</w:t>
            </w:r>
          </w:p>
        </w:tc>
        <w:tc>
          <w:tcPr>
            <w:tcW w:w="349" w:type="pct"/>
            <w:tcBorders>
              <w:top w:val="nil"/>
              <w:left w:val="nil"/>
              <w:bottom w:val="single" w:sz="4" w:space="0" w:color="auto"/>
              <w:right w:val="single" w:sz="4" w:space="0" w:color="auto"/>
            </w:tcBorders>
            <w:shd w:val="clear" w:color="000000" w:fill="FFFFFF"/>
            <w:noWrap/>
            <w:vAlign w:val="bottom"/>
            <w:hideMark/>
          </w:tcPr>
          <w:p w14:paraId="2302D835" w14:textId="1CF7C36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154,521</w:t>
            </w:r>
          </w:p>
        </w:tc>
        <w:tc>
          <w:tcPr>
            <w:tcW w:w="349" w:type="pct"/>
            <w:tcBorders>
              <w:top w:val="nil"/>
              <w:left w:val="nil"/>
              <w:bottom w:val="single" w:sz="4" w:space="0" w:color="auto"/>
              <w:right w:val="single" w:sz="4" w:space="0" w:color="auto"/>
            </w:tcBorders>
            <w:shd w:val="clear" w:color="000000" w:fill="FFFFFF"/>
            <w:noWrap/>
            <w:vAlign w:val="bottom"/>
            <w:hideMark/>
          </w:tcPr>
          <w:p w14:paraId="3F2D2605" w14:textId="3A37160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183,990</w:t>
            </w:r>
          </w:p>
        </w:tc>
        <w:tc>
          <w:tcPr>
            <w:tcW w:w="349" w:type="pct"/>
            <w:tcBorders>
              <w:top w:val="nil"/>
              <w:left w:val="nil"/>
              <w:bottom w:val="single" w:sz="4" w:space="0" w:color="auto"/>
              <w:right w:val="single" w:sz="4" w:space="0" w:color="auto"/>
            </w:tcBorders>
            <w:shd w:val="clear" w:color="000000" w:fill="FFFFFF"/>
            <w:noWrap/>
            <w:vAlign w:val="bottom"/>
            <w:hideMark/>
          </w:tcPr>
          <w:p w14:paraId="42187392" w14:textId="4BE3DD1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173,548</w:t>
            </w:r>
          </w:p>
        </w:tc>
        <w:tc>
          <w:tcPr>
            <w:tcW w:w="379" w:type="pct"/>
            <w:tcBorders>
              <w:top w:val="nil"/>
              <w:left w:val="nil"/>
              <w:bottom w:val="single" w:sz="4" w:space="0" w:color="auto"/>
              <w:right w:val="single" w:sz="8" w:space="0" w:color="auto"/>
            </w:tcBorders>
            <w:shd w:val="clear" w:color="000000" w:fill="FFFFFF"/>
            <w:noWrap/>
            <w:vAlign w:val="bottom"/>
            <w:hideMark/>
          </w:tcPr>
          <w:p w14:paraId="3F167524" w14:textId="0DC9B74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2,065,353</w:t>
            </w:r>
          </w:p>
        </w:tc>
      </w:tr>
      <w:tr w:rsidR="00CA1084" w:rsidRPr="00E47FB2" w14:paraId="2AF891EC"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0D805220"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Yautía</w:t>
            </w:r>
          </w:p>
        </w:tc>
        <w:tc>
          <w:tcPr>
            <w:tcW w:w="349" w:type="pct"/>
            <w:tcBorders>
              <w:top w:val="nil"/>
              <w:left w:val="nil"/>
              <w:bottom w:val="single" w:sz="4" w:space="0" w:color="auto"/>
              <w:right w:val="single" w:sz="4" w:space="0" w:color="auto"/>
            </w:tcBorders>
            <w:shd w:val="clear" w:color="000000" w:fill="FFFFFF"/>
            <w:noWrap/>
            <w:vAlign w:val="bottom"/>
            <w:hideMark/>
          </w:tcPr>
          <w:p w14:paraId="0EDB4A87" w14:textId="5C468B7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65,214</w:t>
            </w:r>
          </w:p>
        </w:tc>
        <w:tc>
          <w:tcPr>
            <w:tcW w:w="349" w:type="pct"/>
            <w:tcBorders>
              <w:top w:val="nil"/>
              <w:left w:val="nil"/>
              <w:bottom w:val="single" w:sz="4" w:space="0" w:color="auto"/>
              <w:right w:val="single" w:sz="4" w:space="0" w:color="auto"/>
            </w:tcBorders>
            <w:shd w:val="clear" w:color="000000" w:fill="FFFFFF"/>
            <w:noWrap/>
            <w:vAlign w:val="bottom"/>
            <w:hideMark/>
          </w:tcPr>
          <w:p w14:paraId="0DC6D9AA" w14:textId="193ABAF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69,215</w:t>
            </w:r>
          </w:p>
        </w:tc>
        <w:tc>
          <w:tcPr>
            <w:tcW w:w="349" w:type="pct"/>
            <w:tcBorders>
              <w:top w:val="nil"/>
              <w:left w:val="nil"/>
              <w:bottom w:val="single" w:sz="4" w:space="0" w:color="auto"/>
              <w:right w:val="single" w:sz="4" w:space="0" w:color="auto"/>
            </w:tcBorders>
            <w:shd w:val="clear" w:color="000000" w:fill="FFFFFF"/>
            <w:noWrap/>
            <w:vAlign w:val="bottom"/>
            <w:hideMark/>
          </w:tcPr>
          <w:p w14:paraId="20990036" w14:textId="5D80125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52,141</w:t>
            </w:r>
          </w:p>
        </w:tc>
        <w:tc>
          <w:tcPr>
            <w:tcW w:w="349" w:type="pct"/>
            <w:tcBorders>
              <w:top w:val="nil"/>
              <w:left w:val="nil"/>
              <w:bottom w:val="single" w:sz="4" w:space="0" w:color="auto"/>
              <w:right w:val="single" w:sz="4" w:space="0" w:color="auto"/>
            </w:tcBorders>
            <w:shd w:val="clear" w:color="000000" w:fill="FFFFFF"/>
            <w:noWrap/>
            <w:vAlign w:val="bottom"/>
            <w:hideMark/>
          </w:tcPr>
          <w:p w14:paraId="28A9ECF6" w14:textId="424BAE1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62,627</w:t>
            </w:r>
          </w:p>
        </w:tc>
        <w:tc>
          <w:tcPr>
            <w:tcW w:w="349" w:type="pct"/>
            <w:tcBorders>
              <w:top w:val="nil"/>
              <w:left w:val="nil"/>
              <w:bottom w:val="single" w:sz="4" w:space="0" w:color="auto"/>
              <w:right w:val="single" w:sz="4" w:space="0" w:color="auto"/>
            </w:tcBorders>
            <w:shd w:val="clear" w:color="000000" w:fill="FFFFFF"/>
            <w:noWrap/>
            <w:vAlign w:val="bottom"/>
            <w:hideMark/>
          </w:tcPr>
          <w:p w14:paraId="19F46EF0" w14:textId="6F3F381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36,214</w:t>
            </w:r>
          </w:p>
        </w:tc>
        <w:tc>
          <w:tcPr>
            <w:tcW w:w="349" w:type="pct"/>
            <w:tcBorders>
              <w:top w:val="nil"/>
              <w:left w:val="nil"/>
              <w:bottom w:val="single" w:sz="4" w:space="0" w:color="auto"/>
              <w:right w:val="single" w:sz="4" w:space="0" w:color="auto"/>
            </w:tcBorders>
            <w:shd w:val="clear" w:color="000000" w:fill="FFFFFF"/>
            <w:noWrap/>
            <w:vAlign w:val="bottom"/>
            <w:hideMark/>
          </w:tcPr>
          <w:p w14:paraId="5150B14C" w14:textId="53B16FA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57,899</w:t>
            </w:r>
          </w:p>
        </w:tc>
        <w:tc>
          <w:tcPr>
            <w:tcW w:w="349" w:type="pct"/>
            <w:tcBorders>
              <w:top w:val="nil"/>
              <w:left w:val="nil"/>
              <w:bottom w:val="single" w:sz="4" w:space="0" w:color="auto"/>
              <w:right w:val="single" w:sz="4" w:space="0" w:color="auto"/>
            </w:tcBorders>
            <w:shd w:val="clear" w:color="000000" w:fill="FFFFFF"/>
            <w:noWrap/>
            <w:vAlign w:val="bottom"/>
            <w:hideMark/>
          </w:tcPr>
          <w:p w14:paraId="1FAE8EB9" w14:textId="43B2BAC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44,010</w:t>
            </w:r>
          </w:p>
        </w:tc>
        <w:tc>
          <w:tcPr>
            <w:tcW w:w="349" w:type="pct"/>
            <w:tcBorders>
              <w:top w:val="nil"/>
              <w:left w:val="nil"/>
              <w:bottom w:val="single" w:sz="4" w:space="0" w:color="auto"/>
              <w:right w:val="single" w:sz="4" w:space="0" w:color="auto"/>
            </w:tcBorders>
            <w:shd w:val="clear" w:color="000000" w:fill="FFFFFF"/>
            <w:noWrap/>
            <w:vAlign w:val="bottom"/>
            <w:hideMark/>
          </w:tcPr>
          <w:p w14:paraId="06A60815" w14:textId="21CB70C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47,521</w:t>
            </w:r>
          </w:p>
        </w:tc>
        <w:tc>
          <w:tcPr>
            <w:tcW w:w="349" w:type="pct"/>
            <w:tcBorders>
              <w:top w:val="nil"/>
              <w:left w:val="nil"/>
              <w:bottom w:val="single" w:sz="4" w:space="0" w:color="auto"/>
              <w:right w:val="single" w:sz="4" w:space="0" w:color="auto"/>
            </w:tcBorders>
            <w:shd w:val="clear" w:color="000000" w:fill="FFFFFF"/>
            <w:noWrap/>
            <w:vAlign w:val="bottom"/>
            <w:hideMark/>
          </w:tcPr>
          <w:p w14:paraId="2A90BBF0" w14:textId="16B9963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43,124</w:t>
            </w:r>
          </w:p>
        </w:tc>
        <w:tc>
          <w:tcPr>
            <w:tcW w:w="349" w:type="pct"/>
            <w:tcBorders>
              <w:top w:val="nil"/>
              <w:left w:val="nil"/>
              <w:bottom w:val="single" w:sz="4" w:space="0" w:color="auto"/>
              <w:right w:val="single" w:sz="4" w:space="0" w:color="auto"/>
            </w:tcBorders>
            <w:shd w:val="clear" w:color="000000" w:fill="FFFFFF"/>
            <w:noWrap/>
            <w:vAlign w:val="bottom"/>
            <w:hideMark/>
          </w:tcPr>
          <w:p w14:paraId="0D86A368" w14:textId="686F95C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53,014</w:t>
            </w:r>
          </w:p>
        </w:tc>
        <w:tc>
          <w:tcPr>
            <w:tcW w:w="349" w:type="pct"/>
            <w:tcBorders>
              <w:top w:val="nil"/>
              <w:left w:val="nil"/>
              <w:bottom w:val="single" w:sz="4" w:space="0" w:color="auto"/>
              <w:right w:val="single" w:sz="4" w:space="0" w:color="auto"/>
            </w:tcBorders>
            <w:shd w:val="clear" w:color="000000" w:fill="FFFFFF"/>
            <w:noWrap/>
            <w:vAlign w:val="bottom"/>
            <w:hideMark/>
          </w:tcPr>
          <w:p w14:paraId="01378F9F" w14:textId="57C924C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51,399</w:t>
            </w:r>
          </w:p>
        </w:tc>
        <w:tc>
          <w:tcPr>
            <w:tcW w:w="349" w:type="pct"/>
            <w:tcBorders>
              <w:top w:val="nil"/>
              <w:left w:val="nil"/>
              <w:bottom w:val="single" w:sz="4" w:space="0" w:color="auto"/>
              <w:right w:val="single" w:sz="4" w:space="0" w:color="auto"/>
            </w:tcBorders>
            <w:shd w:val="clear" w:color="000000" w:fill="FFFFFF"/>
            <w:noWrap/>
            <w:vAlign w:val="bottom"/>
            <w:hideMark/>
          </w:tcPr>
          <w:p w14:paraId="4B8D7B23" w14:textId="17C1085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86,148</w:t>
            </w:r>
          </w:p>
        </w:tc>
        <w:tc>
          <w:tcPr>
            <w:tcW w:w="379" w:type="pct"/>
            <w:tcBorders>
              <w:top w:val="nil"/>
              <w:left w:val="nil"/>
              <w:bottom w:val="single" w:sz="4" w:space="0" w:color="auto"/>
              <w:right w:val="single" w:sz="8" w:space="0" w:color="auto"/>
            </w:tcBorders>
            <w:shd w:val="clear" w:color="000000" w:fill="FFFFFF"/>
            <w:noWrap/>
            <w:vAlign w:val="bottom"/>
            <w:hideMark/>
          </w:tcPr>
          <w:p w14:paraId="0DB9C649" w14:textId="70159EE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668,526</w:t>
            </w:r>
          </w:p>
        </w:tc>
      </w:tr>
      <w:tr w:rsidR="00CA1084" w:rsidRPr="00E47FB2" w14:paraId="4C0BE460"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1D02D571"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Yuca</w:t>
            </w:r>
          </w:p>
        </w:tc>
        <w:tc>
          <w:tcPr>
            <w:tcW w:w="349" w:type="pct"/>
            <w:tcBorders>
              <w:top w:val="nil"/>
              <w:left w:val="nil"/>
              <w:bottom w:val="single" w:sz="4" w:space="0" w:color="auto"/>
              <w:right w:val="single" w:sz="4" w:space="0" w:color="auto"/>
            </w:tcBorders>
            <w:shd w:val="clear" w:color="000000" w:fill="FFFFFF"/>
            <w:noWrap/>
            <w:vAlign w:val="bottom"/>
            <w:hideMark/>
          </w:tcPr>
          <w:p w14:paraId="10C30734" w14:textId="5C78324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271,548</w:t>
            </w:r>
          </w:p>
        </w:tc>
        <w:tc>
          <w:tcPr>
            <w:tcW w:w="349" w:type="pct"/>
            <w:tcBorders>
              <w:top w:val="nil"/>
              <w:left w:val="nil"/>
              <w:bottom w:val="single" w:sz="4" w:space="0" w:color="auto"/>
              <w:right w:val="single" w:sz="4" w:space="0" w:color="auto"/>
            </w:tcBorders>
            <w:shd w:val="clear" w:color="000000" w:fill="FFFFFF"/>
            <w:noWrap/>
            <w:vAlign w:val="bottom"/>
            <w:hideMark/>
          </w:tcPr>
          <w:p w14:paraId="24F7FD61" w14:textId="023A363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397,548</w:t>
            </w:r>
          </w:p>
        </w:tc>
        <w:tc>
          <w:tcPr>
            <w:tcW w:w="349" w:type="pct"/>
            <w:tcBorders>
              <w:top w:val="nil"/>
              <w:left w:val="nil"/>
              <w:bottom w:val="single" w:sz="4" w:space="0" w:color="auto"/>
              <w:right w:val="single" w:sz="4" w:space="0" w:color="auto"/>
            </w:tcBorders>
            <w:shd w:val="clear" w:color="000000" w:fill="FFFFFF"/>
            <w:noWrap/>
            <w:vAlign w:val="bottom"/>
            <w:hideMark/>
          </w:tcPr>
          <w:p w14:paraId="58C04183" w14:textId="79F3B77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269,841</w:t>
            </w:r>
          </w:p>
        </w:tc>
        <w:tc>
          <w:tcPr>
            <w:tcW w:w="349" w:type="pct"/>
            <w:tcBorders>
              <w:top w:val="nil"/>
              <w:left w:val="nil"/>
              <w:bottom w:val="single" w:sz="4" w:space="0" w:color="auto"/>
              <w:right w:val="single" w:sz="4" w:space="0" w:color="auto"/>
            </w:tcBorders>
            <w:shd w:val="clear" w:color="000000" w:fill="FFFFFF"/>
            <w:noWrap/>
            <w:vAlign w:val="bottom"/>
            <w:hideMark/>
          </w:tcPr>
          <w:p w14:paraId="629E1F2C" w14:textId="3391D7C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282,955</w:t>
            </w:r>
          </w:p>
        </w:tc>
        <w:tc>
          <w:tcPr>
            <w:tcW w:w="349" w:type="pct"/>
            <w:tcBorders>
              <w:top w:val="nil"/>
              <w:left w:val="nil"/>
              <w:bottom w:val="single" w:sz="4" w:space="0" w:color="auto"/>
              <w:right w:val="single" w:sz="4" w:space="0" w:color="auto"/>
            </w:tcBorders>
            <w:shd w:val="clear" w:color="000000" w:fill="FFFFFF"/>
            <w:noWrap/>
            <w:vAlign w:val="bottom"/>
            <w:hideMark/>
          </w:tcPr>
          <w:p w14:paraId="671EB9FE" w14:textId="4975281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262,487</w:t>
            </w:r>
          </w:p>
        </w:tc>
        <w:tc>
          <w:tcPr>
            <w:tcW w:w="349" w:type="pct"/>
            <w:tcBorders>
              <w:top w:val="nil"/>
              <w:left w:val="nil"/>
              <w:bottom w:val="single" w:sz="4" w:space="0" w:color="auto"/>
              <w:right w:val="single" w:sz="4" w:space="0" w:color="auto"/>
            </w:tcBorders>
            <w:shd w:val="clear" w:color="000000" w:fill="FFFFFF"/>
            <w:noWrap/>
            <w:vAlign w:val="bottom"/>
            <w:hideMark/>
          </w:tcPr>
          <w:p w14:paraId="20D22B67" w14:textId="6D092FD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295,487</w:t>
            </w:r>
          </w:p>
        </w:tc>
        <w:tc>
          <w:tcPr>
            <w:tcW w:w="349" w:type="pct"/>
            <w:tcBorders>
              <w:top w:val="nil"/>
              <w:left w:val="nil"/>
              <w:bottom w:val="single" w:sz="4" w:space="0" w:color="auto"/>
              <w:right w:val="single" w:sz="4" w:space="0" w:color="auto"/>
            </w:tcBorders>
            <w:shd w:val="clear" w:color="000000" w:fill="FFFFFF"/>
            <w:noWrap/>
            <w:vAlign w:val="bottom"/>
            <w:hideMark/>
          </w:tcPr>
          <w:p w14:paraId="39D7D800" w14:textId="2FF6B1C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221,998</w:t>
            </w:r>
          </w:p>
        </w:tc>
        <w:tc>
          <w:tcPr>
            <w:tcW w:w="349" w:type="pct"/>
            <w:tcBorders>
              <w:top w:val="nil"/>
              <w:left w:val="nil"/>
              <w:bottom w:val="single" w:sz="4" w:space="0" w:color="auto"/>
              <w:right w:val="single" w:sz="4" w:space="0" w:color="auto"/>
            </w:tcBorders>
            <w:shd w:val="clear" w:color="000000" w:fill="FFFFFF"/>
            <w:noWrap/>
            <w:vAlign w:val="bottom"/>
            <w:hideMark/>
          </w:tcPr>
          <w:p w14:paraId="288639B7" w14:textId="0D1DEE8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320,124</w:t>
            </w:r>
          </w:p>
        </w:tc>
        <w:tc>
          <w:tcPr>
            <w:tcW w:w="349" w:type="pct"/>
            <w:tcBorders>
              <w:top w:val="nil"/>
              <w:left w:val="nil"/>
              <w:bottom w:val="single" w:sz="4" w:space="0" w:color="auto"/>
              <w:right w:val="single" w:sz="4" w:space="0" w:color="auto"/>
            </w:tcBorders>
            <w:shd w:val="clear" w:color="000000" w:fill="FFFFFF"/>
            <w:noWrap/>
            <w:vAlign w:val="bottom"/>
            <w:hideMark/>
          </w:tcPr>
          <w:p w14:paraId="4060E06C" w14:textId="797D5D5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332,541</w:t>
            </w:r>
          </w:p>
        </w:tc>
        <w:tc>
          <w:tcPr>
            <w:tcW w:w="349" w:type="pct"/>
            <w:tcBorders>
              <w:top w:val="nil"/>
              <w:left w:val="nil"/>
              <w:bottom w:val="single" w:sz="4" w:space="0" w:color="auto"/>
              <w:right w:val="single" w:sz="4" w:space="0" w:color="auto"/>
            </w:tcBorders>
            <w:shd w:val="clear" w:color="000000" w:fill="FFFFFF"/>
            <w:noWrap/>
            <w:vAlign w:val="bottom"/>
            <w:hideMark/>
          </w:tcPr>
          <w:p w14:paraId="5F8E58E3" w14:textId="4DC22C1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354,124</w:t>
            </w:r>
          </w:p>
        </w:tc>
        <w:tc>
          <w:tcPr>
            <w:tcW w:w="349" w:type="pct"/>
            <w:tcBorders>
              <w:top w:val="nil"/>
              <w:left w:val="nil"/>
              <w:bottom w:val="single" w:sz="4" w:space="0" w:color="auto"/>
              <w:right w:val="single" w:sz="4" w:space="0" w:color="auto"/>
            </w:tcBorders>
            <w:shd w:val="clear" w:color="000000" w:fill="FFFFFF"/>
            <w:noWrap/>
            <w:vAlign w:val="bottom"/>
            <w:hideMark/>
          </w:tcPr>
          <w:p w14:paraId="72F4EB81" w14:textId="7255C0A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448,544</w:t>
            </w:r>
          </w:p>
        </w:tc>
        <w:tc>
          <w:tcPr>
            <w:tcW w:w="349" w:type="pct"/>
            <w:tcBorders>
              <w:top w:val="nil"/>
              <w:left w:val="nil"/>
              <w:bottom w:val="single" w:sz="4" w:space="0" w:color="auto"/>
              <w:right w:val="single" w:sz="4" w:space="0" w:color="auto"/>
            </w:tcBorders>
            <w:shd w:val="clear" w:color="000000" w:fill="FFFFFF"/>
            <w:noWrap/>
            <w:vAlign w:val="bottom"/>
            <w:hideMark/>
          </w:tcPr>
          <w:p w14:paraId="38FBBB69" w14:textId="07348A7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359,987</w:t>
            </w:r>
          </w:p>
        </w:tc>
        <w:tc>
          <w:tcPr>
            <w:tcW w:w="379" w:type="pct"/>
            <w:tcBorders>
              <w:top w:val="nil"/>
              <w:left w:val="nil"/>
              <w:bottom w:val="single" w:sz="4" w:space="0" w:color="auto"/>
              <w:right w:val="single" w:sz="8" w:space="0" w:color="auto"/>
            </w:tcBorders>
            <w:shd w:val="clear" w:color="000000" w:fill="FFFFFF"/>
            <w:noWrap/>
            <w:vAlign w:val="bottom"/>
            <w:hideMark/>
          </w:tcPr>
          <w:p w14:paraId="2C517540" w14:textId="0EE0F7A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3,817,184</w:t>
            </w:r>
          </w:p>
        </w:tc>
      </w:tr>
      <w:tr w:rsidR="00CA1084" w:rsidRPr="00E47FB2" w14:paraId="18CD7A35"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7F4525B1"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Mapuey</w:t>
            </w:r>
          </w:p>
        </w:tc>
        <w:tc>
          <w:tcPr>
            <w:tcW w:w="349" w:type="pct"/>
            <w:tcBorders>
              <w:top w:val="nil"/>
              <w:left w:val="nil"/>
              <w:bottom w:val="single" w:sz="4" w:space="0" w:color="auto"/>
              <w:right w:val="single" w:sz="4" w:space="0" w:color="auto"/>
            </w:tcBorders>
            <w:shd w:val="clear" w:color="000000" w:fill="FFFFFF"/>
            <w:noWrap/>
            <w:vAlign w:val="bottom"/>
            <w:hideMark/>
          </w:tcPr>
          <w:p w14:paraId="1AC3E9F2" w14:textId="0CE1931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1,787</w:t>
            </w:r>
          </w:p>
        </w:tc>
        <w:tc>
          <w:tcPr>
            <w:tcW w:w="349" w:type="pct"/>
            <w:tcBorders>
              <w:top w:val="nil"/>
              <w:left w:val="nil"/>
              <w:bottom w:val="single" w:sz="4" w:space="0" w:color="auto"/>
              <w:right w:val="single" w:sz="4" w:space="0" w:color="auto"/>
            </w:tcBorders>
            <w:shd w:val="clear" w:color="000000" w:fill="FFFFFF"/>
            <w:noWrap/>
            <w:vAlign w:val="bottom"/>
            <w:hideMark/>
          </w:tcPr>
          <w:p w14:paraId="68F29917" w14:textId="50E86F5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2,587</w:t>
            </w:r>
          </w:p>
        </w:tc>
        <w:tc>
          <w:tcPr>
            <w:tcW w:w="349" w:type="pct"/>
            <w:tcBorders>
              <w:top w:val="nil"/>
              <w:left w:val="nil"/>
              <w:bottom w:val="single" w:sz="4" w:space="0" w:color="auto"/>
              <w:right w:val="single" w:sz="4" w:space="0" w:color="auto"/>
            </w:tcBorders>
            <w:shd w:val="clear" w:color="000000" w:fill="FFFFFF"/>
            <w:noWrap/>
            <w:vAlign w:val="bottom"/>
            <w:hideMark/>
          </w:tcPr>
          <w:p w14:paraId="3DE7FFB1" w14:textId="63E2215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2,456</w:t>
            </w:r>
          </w:p>
        </w:tc>
        <w:tc>
          <w:tcPr>
            <w:tcW w:w="349" w:type="pct"/>
            <w:tcBorders>
              <w:top w:val="nil"/>
              <w:left w:val="nil"/>
              <w:bottom w:val="single" w:sz="4" w:space="0" w:color="auto"/>
              <w:right w:val="single" w:sz="4" w:space="0" w:color="auto"/>
            </w:tcBorders>
            <w:shd w:val="clear" w:color="000000" w:fill="FFFFFF"/>
            <w:noWrap/>
            <w:vAlign w:val="bottom"/>
            <w:hideMark/>
          </w:tcPr>
          <w:p w14:paraId="0848F834" w14:textId="5903BDF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2,145</w:t>
            </w:r>
          </w:p>
        </w:tc>
        <w:tc>
          <w:tcPr>
            <w:tcW w:w="349" w:type="pct"/>
            <w:tcBorders>
              <w:top w:val="nil"/>
              <w:left w:val="nil"/>
              <w:bottom w:val="single" w:sz="4" w:space="0" w:color="auto"/>
              <w:right w:val="single" w:sz="4" w:space="0" w:color="auto"/>
            </w:tcBorders>
            <w:shd w:val="clear" w:color="000000" w:fill="FFFFFF"/>
            <w:noWrap/>
            <w:vAlign w:val="bottom"/>
            <w:hideMark/>
          </w:tcPr>
          <w:p w14:paraId="7266A0A1" w14:textId="78F1424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921</w:t>
            </w:r>
          </w:p>
        </w:tc>
        <w:tc>
          <w:tcPr>
            <w:tcW w:w="349" w:type="pct"/>
            <w:tcBorders>
              <w:top w:val="nil"/>
              <w:left w:val="nil"/>
              <w:bottom w:val="single" w:sz="4" w:space="0" w:color="auto"/>
              <w:right w:val="single" w:sz="4" w:space="0" w:color="auto"/>
            </w:tcBorders>
            <w:shd w:val="clear" w:color="000000" w:fill="FFFFFF"/>
            <w:noWrap/>
            <w:vAlign w:val="bottom"/>
            <w:hideMark/>
          </w:tcPr>
          <w:p w14:paraId="662D341A" w14:textId="1FD24AA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621</w:t>
            </w:r>
          </w:p>
        </w:tc>
        <w:tc>
          <w:tcPr>
            <w:tcW w:w="349" w:type="pct"/>
            <w:tcBorders>
              <w:top w:val="nil"/>
              <w:left w:val="nil"/>
              <w:bottom w:val="single" w:sz="4" w:space="0" w:color="auto"/>
              <w:right w:val="single" w:sz="4" w:space="0" w:color="auto"/>
            </w:tcBorders>
            <w:shd w:val="clear" w:color="000000" w:fill="FFFFFF"/>
            <w:noWrap/>
            <w:vAlign w:val="bottom"/>
            <w:hideMark/>
          </w:tcPr>
          <w:p w14:paraId="6F34ADC6" w14:textId="7C9DFFA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1,345</w:t>
            </w:r>
          </w:p>
        </w:tc>
        <w:tc>
          <w:tcPr>
            <w:tcW w:w="349" w:type="pct"/>
            <w:tcBorders>
              <w:top w:val="nil"/>
              <w:left w:val="nil"/>
              <w:bottom w:val="single" w:sz="4" w:space="0" w:color="auto"/>
              <w:right w:val="single" w:sz="4" w:space="0" w:color="auto"/>
            </w:tcBorders>
            <w:shd w:val="clear" w:color="000000" w:fill="FFFFFF"/>
            <w:noWrap/>
            <w:vAlign w:val="bottom"/>
            <w:hideMark/>
          </w:tcPr>
          <w:p w14:paraId="52FB6716" w14:textId="37DC98A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924</w:t>
            </w:r>
          </w:p>
        </w:tc>
        <w:tc>
          <w:tcPr>
            <w:tcW w:w="349" w:type="pct"/>
            <w:tcBorders>
              <w:top w:val="nil"/>
              <w:left w:val="nil"/>
              <w:bottom w:val="single" w:sz="4" w:space="0" w:color="auto"/>
              <w:right w:val="single" w:sz="4" w:space="0" w:color="auto"/>
            </w:tcBorders>
            <w:shd w:val="clear" w:color="000000" w:fill="FFFFFF"/>
            <w:noWrap/>
            <w:vAlign w:val="bottom"/>
            <w:hideMark/>
          </w:tcPr>
          <w:p w14:paraId="11AE8F09" w14:textId="548ED6D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1,121</w:t>
            </w:r>
          </w:p>
        </w:tc>
        <w:tc>
          <w:tcPr>
            <w:tcW w:w="349" w:type="pct"/>
            <w:tcBorders>
              <w:top w:val="nil"/>
              <w:left w:val="nil"/>
              <w:bottom w:val="single" w:sz="4" w:space="0" w:color="auto"/>
              <w:right w:val="single" w:sz="4" w:space="0" w:color="auto"/>
            </w:tcBorders>
            <w:shd w:val="clear" w:color="000000" w:fill="FFFFFF"/>
            <w:noWrap/>
            <w:vAlign w:val="bottom"/>
            <w:hideMark/>
          </w:tcPr>
          <w:p w14:paraId="70B21027" w14:textId="3BB381E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1,678</w:t>
            </w:r>
          </w:p>
        </w:tc>
        <w:tc>
          <w:tcPr>
            <w:tcW w:w="349" w:type="pct"/>
            <w:tcBorders>
              <w:top w:val="nil"/>
              <w:left w:val="nil"/>
              <w:bottom w:val="single" w:sz="4" w:space="0" w:color="auto"/>
              <w:right w:val="single" w:sz="4" w:space="0" w:color="auto"/>
            </w:tcBorders>
            <w:shd w:val="clear" w:color="000000" w:fill="FFFFFF"/>
            <w:noWrap/>
            <w:vAlign w:val="bottom"/>
            <w:hideMark/>
          </w:tcPr>
          <w:p w14:paraId="7A2297BC" w14:textId="128030B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3,021</w:t>
            </w:r>
          </w:p>
        </w:tc>
        <w:tc>
          <w:tcPr>
            <w:tcW w:w="349" w:type="pct"/>
            <w:tcBorders>
              <w:top w:val="nil"/>
              <w:left w:val="nil"/>
              <w:bottom w:val="single" w:sz="4" w:space="0" w:color="auto"/>
              <w:right w:val="single" w:sz="4" w:space="0" w:color="auto"/>
            </w:tcBorders>
            <w:shd w:val="clear" w:color="000000" w:fill="FFFFFF"/>
            <w:noWrap/>
            <w:vAlign w:val="bottom"/>
            <w:hideMark/>
          </w:tcPr>
          <w:p w14:paraId="1C23F2F9" w14:textId="4C7BF25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1,520</w:t>
            </w:r>
          </w:p>
        </w:tc>
        <w:tc>
          <w:tcPr>
            <w:tcW w:w="379" w:type="pct"/>
            <w:tcBorders>
              <w:top w:val="nil"/>
              <w:left w:val="nil"/>
              <w:bottom w:val="single" w:sz="4" w:space="0" w:color="auto"/>
              <w:right w:val="single" w:sz="8" w:space="0" w:color="auto"/>
            </w:tcBorders>
            <w:shd w:val="clear" w:color="000000" w:fill="FFFFFF"/>
            <w:noWrap/>
            <w:vAlign w:val="bottom"/>
            <w:hideMark/>
          </w:tcPr>
          <w:p w14:paraId="2A2CEEAF" w14:textId="45CAEC5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20,126</w:t>
            </w:r>
          </w:p>
        </w:tc>
      </w:tr>
      <w:tr w:rsidR="00CA1084" w:rsidRPr="00E47FB2" w14:paraId="4092E049"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1DD5F36F"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Ajíes</w:t>
            </w:r>
          </w:p>
        </w:tc>
        <w:tc>
          <w:tcPr>
            <w:tcW w:w="349" w:type="pct"/>
            <w:tcBorders>
              <w:top w:val="nil"/>
              <w:left w:val="nil"/>
              <w:bottom w:val="single" w:sz="4" w:space="0" w:color="auto"/>
              <w:right w:val="single" w:sz="4" w:space="0" w:color="auto"/>
            </w:tcBorders>
            <w:shd w:val="clear" w:color="000000" w:fill="FFFFFF"/>
            <w:noWrap/>
            <w:vAlign w:val="bottom"/>
            <w:hideMark/>
          </w:tcPr>
          <w:p w14:paraId="33E8BB4C" w14:textId="7C84618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127,895</w:t>
            </w:r>
          </w:p>
        </w:tc>
        <w:tc>
          <w:tcPr>
            <w:tcW w:w="349" w:type="pct"/>
            <w:tcBorders>
              <w:top w:val="nil"/>
              <w:left w:val="nil"/>
              <w:bottom w:val="single" w:sz="4" w:space="0" w:color="auto"/>
              <w:right w:val="single" w:sz="4" w:space="0" w:color="auto"/>
            </w:tcBorders>
            <w:shd w:val="clear" w:color="000000" w:fill="FFFFFF"/>
            <w:noWrap/>
            <w:vAlign w:val="bottom"/>
            <w:hideMark/>
          </w:tcPr>
          <w:p w14:paraId="02662183" w14:textId="5FA1164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93,545</w:t>
            </w:r>
          </w:p>
        </w:tc>
        <w:tc>
          <w:tcPr>
            <w:tcW w:w="349" w:type="pct"/>
            <w:tcBorders>
              <w:top w:val="nil"/>
              <w:left w:val="nil"/>
              <w:bottom w:val="single" w:sz="4" w:space="0" w:color="auto"/>
              <w:right w:val="single" w:sz="4" w:space="0" w:color="auto"/>
            </w:tcBorders>
            <w:shd w:val="clear" w:color="000000" w:fill="FFFFFF"/>
            <w:noWrap/>
            <w:vAlign w:val="bottom"/>
            <w:hideMark/>
          </w:tcPr>
          <w:p w14:paraId="23205C55" w14:textId="660ED32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101,254</w:t>
            </w:r>
          </w:p>
        </w:tc>
        <w:tc>
          <w:tcPr>
            <w:tcW w:w="349" w:type="pct"/>
            <w:tcBorders>
              <w:top w:val="nil"/>
              <w:left w:val="nil"/>
              <w:bottom w:val="single" w:sz="4" w:space="0" w:color="auto"/>
              <w:right w:val="single" w:sz="4" w:space="0" w:color="auto"/>
            </w:tcBorders>
            <w:shd w:val="clear" w:color="000000" w:fill="FFFFFF"/>
            <w:noWrap/>
            <w:vAlign w:val="bottom"/>
            <w:hideMark/>
          </w:tcPr>
          <w:p w14:paraId="2B82F622" w14:textId="16F62C4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99,954</w:t>
            </w:r>
          </w:p>
        </w:tc>
        <w:tc>
          <w:tcPr>
            <w:tcW w:w="349" w:type="pct"/>
            <w:tcBorders>
              <w:top w:val="nil"/>
              <w:left w:val="nil"/>
              <w:bottom w:val="single" w:sz="4" w:space="0" w:color="auto"/>
              <w:right w:val="single" w:sz="4" w:space="0" w:color="auto"/>
            </w:tcBorders>
            <w:shd w:val="clear" w:color="000000" w:fill="FFFFFF"/>
            <w:noWrap/>
            <w:vAlign w:val="bottom"/>
            <w:hideMark/>
          </w:tcPr>
          <w:p w14:paraId="5A294B3E" w14:textId="669899C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80,454</w:t>
            </w:r>
          </w:p>
        </w:tc>
        <w:tc>
          <w:tcPr>
            <w:tcW w:w="349" w:type="pct"/>
            <w:tcBorders>
              <w:top w:val="nil"/>
              <w:left w:val="nil"/>
              <w:bottom w:val="single" w:sz="4" w:space="0" w:color="auto"/>
              <w:right w:val="single" w:sz="4" w:space="0" w:color="auto"/>
            </w:tcBorders>
            <w:shd w:val="clear" w:color="000000" w:fill="FFFFFF"/>
            <w:noWrap/>
            <w:vAlign w:val="bottom"/>
            <w:hideMark/>
          </w:tcPr>
          <w:p w14:paraId="7D388201" w14:textId="2DA2FE3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92,145</w:t>
            </w:r>
          </w:p>
        </w:tc>
        <w:tc>
          <w:tcPr>
            <w:tcW w:w="349" w:type="pct"/>
            <w:tcBorders>
              <w:top w:val="nil"/>
              <w:left w:val="nil"/>
              <w:bottom w:val="single" w:sz="4" w:space="0" w:color="auto"/>
              <w:right w:val="single" w:sz="4" w:space="0" w:color="auto"/>
            </w:tcBorders>
            <w:shd w:val="clear" w:color="000000" w:fill="FFFFFF"/>
            <w:noWrap/>
            <w:vAlign w:val="bottom"/>
            <w:hideMark/>
          </w:tcPr>
          <w:p w14:paraId="7BE0638F" w14:textId="54EC5F0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72,124</w:t>
            </w:r>
          </w:p>
        </w:tc>
        <w:tc>
          <w:tcPr>
            <w:tcW w:w="349" w:type="pct"/>
            <w:tcBorders>
              <w:top w:val="nil"/>
              <w:left w:val="nil"/>
              <w:bottom w:val="single" w:sz="4" w:space="0" w:color="auto"/>
              <w:right w:val="single" w:sz="4" w:space="0" w:color="auto"/>
            </w:tcBorders>
            <w:shd w:val="clear" w:color="000000" w:fill="FFFFFF"/>
            <w:noWrap/>
            <w:vAlign w:val="bottom"/>
            <w:hideMark/>
          </w:tcPr>
          <w:p w14:paraId="6A58673F" w14:textId="34C2FF1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76,241</w:t>
            </w:r>
          </w:p>
        </w:tc>
        <w:tc>
          <w:tcPr>
            <w:tcW w:w="349" w:type="pct"/>
            <w:tcBorders>
              <w:top w:val="nil"/>
              <w:left w:val="nil"/>
              <w:bottom w:val="single" w:sz="4" w:space="0" w:color="auto"/>
              <w:right w:val="single" w:sz="4" w:space="0" w:color="auto"/>
            </w:tcBorders>
            <w:shd w:val="clear" w:color="000000" w:fill="FFFFFF"/>
            <w:noWrap/>
            <w:vAlign w:val="bottom"/>
            <w:hideMark/>
          </w:tcPr>
          <w:p w14:paraId="5C7DD74B" w14:textId="2AC8F1F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69,102</w:t>
            </w:r>
          </w:p>
        </w:tc>
        <w:tc>
          <w:tcPr>
            <w:tcW w:w="349" w:type="pct"/>
            <w:tcBorders>
              <w:top w:val="nil"/>
              <w:left w:val="nil"/>
              <w:bottom w:val="single" w:sz="4" w:space="0" w:color="auto"/>
              <w:right w:val="single" w:sz="4" w:space="0" w:color="auto"/>
            </w:tcBorders>
            <w:shd w:val="clear" w:color="000000" w:fill="FFFFFF"/>
            <w:noWrap/>
            <w:vAlign w:val="bottom"/>
            <w:hideMark/>
          </w:tcPr>
          <w:p w14:paraId="62B9384D" w14:textId="2552A29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54,000</w:t>
            </w:r>
          </w:p>
        </w:tc>
        <w:tc>
          <w:tcPr>
            <w:tcW w:w="349" w:type="pct"/>
            <w:tcBorders>
              <w:top w:val="nil"/>
              <w:left w:val="nil"/>
              <w:bottom w:val="single" w:sz="4" w:space="0" w:color="auto"/>
              <w:right w:val="single" w:sz="4" w:space="0" w:color="auto"/>
            </w:tcBorders>
            <w:shd w:val="clear" w:color="000000" w:fill="FFFFFF"/>
            <w:noWrap/>
            <w:vAlign w:val="bottom"/>
            <w:hideMark/>
          </w:tcPr>
          <w:p w14:paraId="76B1DCED" w14:textId="7F5BFC9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67,548</w:t>
            </w:r>
          </w:p>
        </w:tc>
        <w:tc>
          <w:tcPr>
            <w:tcW w:w="349" w:type="pct"/>
            <w:tcBorders>
              <w:top w:val="nil"/>
              <w:left w:val="nil"/>
              <w:bottom w:val="single" w:sz="4" w:space="0" w:color="auto"/>
              <w:right w:val="single" w:sz="4" w:space="0" w:color="auto"/>
            </w:tcBorders>
            <w:shd w:val="clear" w:color="000000" w:fill="FFFFFF"/>
            <w:noWrap/>
            <w:vAlign w:val="bottom"/>
            <w:hideMark/>
          </w:tcPr>
          <w:p w14:paraId="20757313" w14:textId="1973CD4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92,475</w:t>
            </w:r>
          </w:p>
        </w:tc>
        <w:tc>
          <w:tcPr>
            <w:tcW w:w="379" w:type="pct"/>
            <w:tcBorders>
              <w:top w:val="nil"/>
              <w:left w:val="nil"/>
              <w:bottom w:val="single" w:sz="4" w:space="0" w:color="auto"/>
              <w:right w:val="single" w:sz="8" w:space="0" w:color="auto"/>
            </w:tcBorders>
            <w:shd w:val="clear" w:color="000000" w:fill="FFFFFF"/>
            <w:noWrap/>
            <w:vAlign w:val="bottom"/>
            <w:hideMark/>
          </w:tcPr>
          <w:p w14:paraId="54CC66DC" w14:textId="725D1AB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1,026,737</w:t>
            </w:r>
          </w:p>
        </w:tc>
      </w:tr>
      <w:tr w:rsidR="00CA1084" w:rsidRPr="00E47FB2" w14:paraId="1596B0F8"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5DB32C9B"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Ajo</w:t>
            </w:r>
          </w:p>
        </w:tc>
        <w:tc>
          <w:tcPr>
            <w:tcW w:w="349" w:type="pct"/>
            <w:tcBorders>
              <w:top w:val="nil"/>
              <w:left w:val="nil"/>
              <w:bottom w:val="single" w:sz="4" w:space="0" w:color="auto"/>
              <w:right w:val="single" w:sz="4" w:space="0" w:color="auto"/>
            </w:tcBorders>
            <w:shd w:val="clear" w:color="000000" w:fill="FFFFFF"/>
            <w:noWrap/>
            <w:vAlign w:val="bottom"/>
            <w:hideMark/>
          </w:tcPr>
          <w:p w14:paraId="3DC31937" w14:textId="70BA978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00AB23D5" w14:textId="6E1AFBC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1,000</w:t>
            </w:r>
          </w:p>
        </w:tc>
        <w:tc>
          <w:tcPr>
            <w:tcW w:w="349" w:type="pct"/>
            <w:tcBorders>
              <w:top w:val="nil"/>
              <w:left w:val="nil"/>
              <w:bottom w:val="single" w:sz="4" w:space="0" w:color="auto"/>
              <w:right w:val="single" w:sz="4" w:space="0" w:color="auto"/>
            </w:tcBorders>
            <w:shd w:val="clear" w:color="000000" w:fill="FFFFFF"/>
            <w:noWrap/>
            <w:vAlign w:val="bottom"/>
            <w:hideMark/>
          </w:tcPr>
          <w:p w14:paraId="408A557B" w14:textId="63394A3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3,254</w:t>
            </w:r>
          </w:p>
        </w:tc>
        <w:tc>
          <w:tcPr>
            <w:tcW w:w="349" w:type="pct"/>
            <w:tcBorders>
              <w:top w:val="nil"/>
              <w:left w:val="nil"/>
              <w:bottom w:val="single" w:sz="4" w:space="0" w:color="auto"/>
              <w:right w:val="single" w:sz="4" w:space="0" w:color="auto"/>
            </w:tcBorders>
            <w:shd w:val="clear" w:color="000000" w:fill="FFFFFF"/>
            <w:noWrap/>
            <w:vAlign w:val="bottom"/>
            <w:hideMark/>
          </w:tcPr>
          <w:p w14:paraId="15FE24E2" w14:textId="04FB017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15,872</w:t>
            </w:r>
          </w:p>
        </w:tc>
        <w:tc>
          <w:tcPr>
            <w:tcW w:w="349" w:type="pct"/>
            <w:tcBorders>
              <w:top w:val="nil"/>
              <w:left w:val="nil"/>
              <w:bottom w:val="single" w:sz="4" w:space="0" w:color="auto"/>
              <w:right w:val="single" w:sz="4" w:space="0" w:color="auto"/>
            </w:tcBorders>
            <w:shd w:val="clear" w:color="000000" w:fill="FFFFFF"/>
            <w:noWrap/>
            <w:vAlign w:val="bottom"/>
            <w:hideMark/>
          </w:tcPr>
          <w:p w14:paraId="51D99ED5" w14:textId="715AAF4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21,784</w:t>
            </w:r>
          </w:p>
        </w:tc>
        <w:tc>
          <w:tcPr>
            <w:tcW w:w="349" w:type="pct"/>
            <w:tcBorders>
              <w:top w:val="nil"/>
              <w:left w:val="nil"/>
              <w:bottom w:val="single" w:sz="4" w:space="0" w:color="auto"/>
              <w:right w:val="single" w:sz="4" w:space="0" w:color="auto"/>
            </w:tcBorders>
            <w:shd w:val="clear" w:color="000000" w:fill="FFFFFF"/>
            <w:noWrap/>
            <w:vAlign w:val="bottom"/>
            <w:hideMark/>
          </w:tcPr>
          <w:p w14:paraId="24AF3C14" w14:textId="17A469E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71A097EA" w14:textId="714EACD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942</w:t>
            </w:r>
          </w:p>
        </w:tc>
        <w:tc>
          <w:tcPr>
            <w:tcW w:w="349" w:type="pct"/>
            <w:tcBorders>
              <w:top w:val="nil"/>
              <w:left w:val="nil"/>
              <w:bottom w:val="single" w:sz="4" w:space="0" w:color="auto"/>
              <w:right w:val="single" w:sz="4" w:space="0" w:color="auto"/>
            </w:tcBorders>
            <w:shd w:val="clear" w:color="000000" w:fill="FFFFFF"/>
            <w:noWrap/>
            <w:vAlign w:val="bottom"/>
            <w:hideMark/>
          </w:tcPr>
          <w:p w14:paraId="38F0E53E" w14:textId="69D72AA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0C975178" w14:textId="01DE2D4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168</w:t>
            </w:r>
          </w:p>
        </w:tc>
        <w:tc>
          <w:tcPr>
            <w:tcW w:w="349" w:type="pct"/>
            <w:tcBorders>
              <w:top w:val="nil"/>
              <w:left w:val="nil"/>
              <w:bottom w:val="single" w:sz="4" w:space="0" w:color="auto"/>
              <w:right w:val="single" w:sz="4" w:space="0" w:color="auto"/>
            </w:tcBorders>
            <w:shd w:val="clear" w:color="000000" w:fill="FFFFFF"/>
            <w:noWrap/>
            <w:vAlign w:val="bottom"/>
            <w:hideMark/>
          </w:tcPr>
          <w:p w14:paraId="241D292F" w14:textId="717E07F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0DC1B995" w14:textId="3D419ED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5BF943DF" w14:textId="3D323B9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w:t>
            </w:r>
          </w:p>
        </w:tc>
        <w:tc>
          <w:tcPr>
            <w:tcW w:w="379" w:type="pct"/>
            <w:tcBorders>
              <w:top w:val="nil"/>
              <w:left w:val="nil"/>
              <w:bottom w:val="single" w:sz="4" w:space="0" w:color="auto"/>
              <w:right w:val="single" w:sz="8" w:space="0" w:color="auto"/>
            </w:tcBorders>
            <w:shd w:val="clear" w:color="000000" w:fill="FFFFFF"/>
            <w:noWrap/>
            <w:vAlign w:val="bottom"/>
            <w:hideMark/>
          </w:tcPr>
          <w:p w14:paraId="04ADAB71" w14:textId="67F4407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43,020</w:t>
            </w:r>
          </w:p>
        </w:tc>
      </w:tr>
      <w:tr w:rsidR="00CA1084" w:rsidRPr="00E47FB2" w14:paraId="3F701688"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510FE64C"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Auyama</w:t>
            </w:r>
          </w:p>
        </w:tc>
        <w:tc>
          <w:tcPr>
            <w:tcW w:w="349" w:type="pct"/>
            <w:tcBorders>
              <w:top w:val="nil"/>
              <w:left w:val="nil"/>
              <w:bottom w:val="single" w:sz="4" w:space="0" w:color="auto"/>
              <w:right w:val="single" w:sz="4" w:space="0" w:color="auto"/>
            </w:tcBorders>
            <w:shd w:val="clear" w:color="000000" w:fill="FFFFFF"/>
            <w:noWrap/>
            <w:vAlign w:val="bottom"/>
            <w:hideMark/>
          </w:tcPr>
          <w:p w14:paraId="6A02C108" w14:textId="434CD4E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87,524</w:t>
            </w:r>
          </w:p>
        </w:tc>
        <w:tc>
          <w:tcPr>
            <w:tcW w:w="349" w:type="pct"/>
            <w:tcBorders>
              <w:top w:val="nil"/>
              <w:left w:val="nil"/>
              <w:bottom w:val="single" w:sz="4" w:space="0" w:color="auto"/>
              <w:right w:val="single" w:sz="4" w:space="0" w:color="auto"/>
            </w:tcBorders>
            <w:shd w:val="clear" w:color="000000" w:fill="FFFFFF"/>
            <w:noWrap/>
            <w:vAlign w:val="bottom"/>
            <w:hideMark/>
          </w:tcPr>
          <w:p w14:paraId="06B43E6E" w14:textId="49A8256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74,864</w:t>
            </w:r>
          </w:p>
        </w:tc>
        <w:tc>
          <w:tcPr>
            <w:tcW w:w="349" w:type="pct"/>
            <w:tcBorders>
              <w:top w:val="nil"/>
              <w:left w:val="nil"/>
              <w:bottom w:val="single" w:sz="4" w:space="0" w:color="auto"/>
              <w:right w:val="single" w:sz="4" w:space="0" w:color="auto"/>
            </w:tcBorders>
            <w:shd w:val="clear" w:color="000000" w:fill="FFFFFF"/>
            <w:noWrap/>
            <w:vAlign w:val="bottom"/>
            <w:hideMark/>
          </w:tcPr>
          <w:p w14:paraId="4BCBB25D" w14:textId="59C0601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79,542</w:t>
            </w:r>
          </w:p>
        </w:tc>
        <w:tc>
          <w:tcPr>
            <w:tcW w:w="349" w:type="pct"/>
            <w:tcBorders>
              <w:top w:val="nil"/>
              <w:left w:val="nil"/>
              <w:bottom w:val="single" w:sz="4" w:space="0" w:color="auto"/>
              <w:right w:val="single" w:sz="4" w:space="0" w:color="auto"/>
            </w:tcBorders>
            <w:shd w:val="clear" w:color="000000" w:fill="FFFFFF"/>
            <w:noWrap/>
            <w:vAlign w:val="bottom"/>
            <w:hideMark/>
          </w:tcPr>
          <w:p w14:paraId="608680A9" w14:textId="2A3C629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60,742</w:t>
            </w:r>
          </w:p>
        </w:tc>
        <w:tc>
          <w:tcPr>
            <w:tcW w:w="349" w:type="pct"/>
            <w:tcBorders>
              <w:top w:val="nil"/>
              <w:left w:val="nil"/>
              <w:bottom w:val="single" w:sz="4" w:space="0" w:color="auto"/>
              <w:right w:val="single" w:sz="4" w:space="0" w:color="auto"/>
            </w:tcBorders>
            <w:shd w:val="clear" w:color="000000" w:fill="FFFFFF"/>
            <w:noWrap/>
            <w:vAlign w:val="bottom"/>
            <w:hideMark/>
          </w:tcPr>
          <w:p w14:paraId="2302BC4C" w14:textId="082E6C0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68,985</w:t>
            </w:r>
          </w:p>
        </w:tc>
        <w:tc>
          <w:tcPr>
            <w:tcW w:w="349" w:type="pct"/>
            <w:tcBorders>
              <w:top w:val="nil"/>
              <w:left w:val="nil"/>
              <w:bottom w:val="single" w:sz="4" w:space="0" w:color="auto"/>
              <w:right w:val="single" w:sz="4" w:space="0" w:color="auto"/>
            </w:tcBorders>
            <w:shd w:val="clear" w:color="000000" w:fill="FFFFFF"/>
            <w:noWrap/>
            <w:vAlign w:val="bottom"/>
            <w:hideMark/>
          </w:tcPr>
          <w:p w14:paraId="3AFE6E7A" w14:textId="2E0EA90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68,954</w:t>
            </w:r>
          </w:p>
        </w:tc>
        <w:tc>
          <w:tcPr>
            <w:tcW w:w="349" w:type="pct"/>
            <w:tcBorders>
              <w:top w:val="nil"/>
              <w:left w:val="nil"/>
              <w:bottom w:val="single" w:sz="4" w:space="0" w:color="auto"/>
              <w:right w:val="single" w:sz="4" w:space="0" w:color="auto"/>
            </w:tcBorders>
            <w:shd w:val="clear" w:color="000000" w:fill="FFFFFF"/>
            <w:noWrap/>
            <w:vAlign w:val="bottom"/>
            <w:hideMark/>
          </w:tcPr>
          <w:p w14:paraId="4DE10102" w14:textId="2FB9F08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62,705</w:t>
            </w:r>
          </w:p>
        </w:tc>
        <w:tc>
          <w:tcPr>
            <w:tcW w:w="349" w:type="pct"/>
            <w:tcBorders>
              <w:top w:val="nil"/>
              <w:left w:val="nil"/>
              <w:bottom w:val="single" w:sz="4" w:space="0" w:color="auto"/>
              <w:right w:val="single" w:sz="4" w:space="0" w:color="auto"/>
            </w:tcBorders>
            <w:shd w:val="clear" w:color="000000" w:fill="FFFFFF"/>
            <w:noWrap/>
            <w:vAlign w:val="bottom"/>
            <w:hideMark/>
          </w:tcPr>
          <w:p w14:paraId="4BF07687" w14:textId="460992E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85,241</w:t>
            </w:r>
          </w:p>
        </w:tc>
        <w:tc>
          <w:tcPr>
            <w:tcW w:w="349" w:type="pct"/>
            <w:tcBorders>
              <w:top w:val="nil"/>
              <w:left w:val="nil"/>
              <w:bottom w:val="single" w:sz="4" w:space="0" w:color="auto"/>
              <w:right w:val="single" w:sz="4" w:space="0" w:color="auto"/>
            </w:tcBorders>
            <w:shd w:val="clear" w:color="000000" w:fill="FFFFFF"/>
            <w:noWrap/>
            <w:vAlign w:val="bottom"/>
            <w:hideMark/>
          </w:tcPr>
          <w:p w14:paraId="62FFF9D9" w14:textId="79C32FD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66,985</w:t>
            </w:r>
          </w:p>
        </w:tc>
        <w:tc>
          <w:tcPr>
            <w:tcW w:w="349" w:type="pct"/>
            <w:tcBorders>
              <w:top w:val="nil"/>
              <w:left w:val="nil"/>
              <w:bottom w:val="single" w:sz="4" w:space="0" w:color="auto"/>
              <w:right w:val="single" w:sz="4" w:space="0" w:color="auto"/>
            </w:tcBorders>
            <w:shd w:val="clear" w:color="000000" w:fill="FFFFFF"/>
            <w:noWrap/>
            <w:vAlign w:val="bottom"/>
            <w:hideMark/>
          </w:tcPr>
          <w:p w14:paraId="1120EDC0" w14:textId="00F7E6A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63,214</w:t>
            </w:r>
          </w:p>
        </w:tc>
        <w:tc>
          <w:tcPr>
            <w:tcW w:w="349" w:type="pct"/>
            <w:tcBorders>
              <w:top w:val="nil"/>
              <w:left w:val="nil"/>
              <w:bottom w:val="single" w:sz="4" w:space="0" w:color="auto"/>
              <w:right w:val="single" w:sz="4" w:space="0" w:color="auto"/>
            </w:tcBorders>
            <w:shd w:val="clear" w:color="000000" w:fill="FFFFFF"/>
            <w:noWrap/>
            <w:vAlign w:val="bottom"/>
            <w:hideMark/>
          </w:tcPr>
          <w:p w14:paraId="374D9227" w14:textId="629ADFF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89,548</w:t>
            </w:r>
          </w:p>
        </w:tc>
        <w:tc>
          <w:tcPr>
            <w:tcW w:w="349" w:type="pct"/>
            <w:tcBorders>
              <w:top w:val="nil"/>
              <w:left w:val="nil"/>
              <w:bottom w:val="single" w:sz="4" w:space="0" w:color="auto"/>
              <w:right w:val="single" w:sz="4" w:space="0" w:color="auto"/>
            </w:tcBorders>
            <w:shd w:val="clear" w:color="000000" w:fill="FFFFFF"/>
            <w:noWrap/>
            <w:vAlign w:val="bottom"/>
            <w:hideMark/>
          </w:tcPr>
          <w:p w14:paraId="35ECACDF" w14:textId="2BB9A38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99,646</w:t>
            </w:r>
          </w:p>
        </w:tc>
        <w:tc>
          <w:tcPr>
            <w:tcW w:w="379" w:type="pct"/>
            <w:tcBorders>
              <w:top w:val="nil"/>
              <w:left w:val="nil"/>
              <w:bottom w:val="single" w:sz="4" w:space="0" w:color="auto"/>
              <w:right w:val="single" w:sz="8" w:space="0" w:color="auto"/>
            </w:tcBorders>
            <w:shd w:val="clear" w:color="000000" w:fill="FFFFFF"/>
            <w:noWrap/>
            <w:vAlign w:val="bottom"/>
            <w:hideMark/>
          </w:tcPr>
          <w:p w14:paraId="53B0C485" w14:textId="6E9C327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907,950</w:t>
            </w:r>
          </w:p>
        </w:tc>
      </w:tr>
      <w:tr w:rsidR="00CA1084" w:rsidRPr="00E47FB2" w14:paraId="6AC0CE51"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4A1D2EAE"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Berenjena</w:t>
            </w:r>
          </w:p>
        </w:tc>
        <w:tc>
          <w:tcPr>
            <w:tcW w:w="349" w:type="pct"/>
            <w:tcBorders>
              <w:top w:val="nil"/>
              <w:left w:val="nil"/>
              <w:bottom w:val="single" w:sz="4" w:space="0" w:color="auto"/>
              <w:right w:val="single" w:sz="4" w:space="0" w:color="auto"/>
            </w:tcBorders>
            <w:shd w:val="clear" w:color="000000" w:fill="FFFFFF"/>
            <w:noWrap/>
            <w:vAlign w:val="bottom"/>
            <w:hideMark/>
          </w:tcPr>
          <w:p w14:paraId="5C94A9CB" w14:textId="09946E5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61,424</w:t>
            </w:r>
          </w:p>
        </w:tc>
        <w:tc>
          <w:tcPr>
            <w:tcW w:w="349" w:type="pct"/>
            <w:tcBorders>
              <w:top w:val="nil"/>
              <w:left w:val="nil"/>
              <w:bottom w:val="single" w:sz="4" w:space="0" w:color="auto"/>
              <w:right w:val="single" w:sz="4" w:space="0" w:color="auto"/>
            </w:tcBorders>
            <w:shd w:val="clear" w:color="000000" w:fill="FFFFFF"/>
            <w:noWrap/>
            <w:vAlign w:val="bottom"/>
            <w:hideMark/>
          </w:tcPr>
          <w:p w14:paraId="4E42AFC1" w14:textId="5664FEC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61,983</w:t>
            </w:r>
          </w:p>
        </w:tc>
        <w:tc>
          <w:tcPr>
            <w:tcW w:w="349" w:type="pct"/>
            <w:tcBorders>
              <w:top w:val="nil"/>
              <w:left w:val="nil"/>
              <w:bottom w:val="single" w:sz="4" w:space="0" w:color="auto"/>
              <w:right w:val="single" w:sz="4" w:space="0" w:color="auto"/>
            </w:tcBorders>
            <w:shd w:val="clear" w:color="000000" w:fill="FFFFFF"/>
            <w:noWrap/>
            <w:vAlign w:val="bottom"/>
            <w:hideMark/>
          </w:tcPr>
          <w:p w14:paraId="6F5D653D" w14:textId="2B74CC8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56,254</w:t>
            </w:r>
          </w:p>
        </w:tc>
        <w:tc>
          <w:tcPr>
            <w:tcW w:w="349" w:type="pct"/>
            <w:tcBorders>
              <w:top w:val="nil"/>
              <w:left w:val="nil"/>
              <w:bottom w:val="single" w:sz="4" w:space="0" w:color="auto"/>
              <w:right w:val="single" w:sz="4" w:space="0" w:color="auto"/>
            </w:tcBorders>
            <w:shd w:val="clear" w:color="000000" w:fill="FFFFFF"/>
            <w:noWrap/>
            <w:vAlign w:val="bottom"/>
            <w:hideMark/>
          </w:tcPr>
          <w:p w14:paraId="6D01C51A" w14:textId="155A490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52,032</w:t>
            </w:r>
          </w:p>
        </w:tc>
        <w:tc>
          <w:tcPr>
            <w:tcW w:w="349" w:type="pct"/>
            <w:tcBorders>
              <w:top w:val="nil"/>
              <w:left w:val="nil"/>
              <w:bottom w:val="single" w:sz="4" w:space="0" w:color="auto"/>
              <w:right w:val="single" w:sz="4" w:space="0" w:color="auto"/>
            </w:tcBorders>
            <w:shd w:val="clear" w:color="000000" w:fill="FFFFFF"/>
            <w:noWrap/>
            <w:vAlign w:val="bottom"/>
            <w:hideMark/>
          </w:tcPr>
          <w:p w14:paraId="77F35EAB" w14:textId="61EC221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53,214</w:t>
            </w:r>
          </w:p>
        </w:tc>
        <w:tc>
          <w:tcPr>
            <w:tcW w:w="349" w:type="pct"/>
            <w:tcBorders>
              <w:top w:val="nil"/>
              <w:left w:val="nil"/>
              <w:bottom w:val="single" w:sz="4" w:space="0" w:color="auto"/>
              <w:right w:val="single" w:sz="4" w:space="0" w:color="auto"/>
            </w:tcBorders>
            <w:shd w:val="clear" w:color="000000" w:fill="FFFFFF"/>
            <w:noWrap/>
            <w:vAlign w:val="bottom"/>
            <w:hideMark/>
          </w:tcPr>
          <w:p w14:paraId="4E83B96F" w14:textId="681D81A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58,954</w:t>
            </w:r>
          </w:p>
        </w:tc>
        <w:tc>
          <w:tcPr>
            <w:tcW w:w="349" w:type="pct"/>
            <w:tcBorders>
              <w:top w:val="nil"/>
              <w:left w:val="nil"/>
              <w:bottom w:val="single" w:sz="4" w:space="0" w:color="auto"/>
              <w:right w:val="single" w:sz="4" w:space="0" w:color="auto"/>
            </w:tcBorders>
            <w:shd w:val="clear" w:color="000000" w:fill="FFFFFF"/>
            <w:noWrap/>
            <w:vAlign w:val="bottom"/>
            <w:hideMark/>
          </w:tcPr>
          <w:p w14:paraId="2E6DC625" w14:textId="7F8FAE0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52,142</w:t>
            </w:r>
          </w:p>
        </w:tc>
        <w:tc>
          <w:tcPr>
            <w:tcW w:w="349" w:type="pct"/>
            <w:tcBorders>
              <w:top w:val="nil"/>
              <w:left w:val="nil"/>
              <w:bottom w:val="single" w:sz="4" w:space="0" w:color="auto"/>
              <w:right w:val="single" w:sz="4" w:space="0" w:color="auto"/>
            </w:tcBorders>
            <w:shd w:val="clear" w:color="000000" w:fill="FFFFFF"/>
            <w:noWrap/>
            <w:vAlign w:val="bottom"/>
            <w:hideMark/>
          </w:tcPr>
          <w:p w14:paraId="445745B8" w14:textId="20B0C59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48,959</w:t>
            </w:r>
          </w:p>
        </w:tc>
        <w:tc>
          <w:tcPr>
            <w:tcW w:w="349" w:type="pct"/>
            <w:tcBorders>
              <w:top w:val="nil"/>
              <w:left w:val="nil"/>
              <w:bottom w:val="single" w:sz="4" w:space="0" w:color="auto"/>
              <w:right w:val="single" w:sz="4" w:space="0" w:color="auto"/>
            </w:tcBorders>
            <w:shd w:val="clear" w:color="000000" w:fill="FFFFFF"/>
            <w:noWrap/>
            <w:vAlign w:val="bottom"/>
            <w:hideMark/>
          </w:tcPr>
          <w:p w14:paraId="631A7A3C" w14:textId="6BFC2EC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45,698</w:t>
            </w:r>
          </w:p>
        </w:tc>
        <w:tc>
          <w:tcPr>
            <w:tcW w:w="349" w:type="pct"/>
            <w:tcBorders>
              <w:top w:val="nil"/>
              <w:left w:val="nil"/>
              <w:bottom w:val="single" w:sz="4" w:space="0" w:color="auto"/>
              <w:right w:val="single" w:sz="4" w:space="0" w:color="auto"/>
            </w:tcBorders>
            <w:shd w:val="clear" w:color="000000" w:fill="FFFFFF"/>
            <w:noWrap/>
            <w:vAlign w:val="bottom"/>
            <w:hideMark/>
          </w:tcPr>
          <w:p w14:paraId="09D03A33" w14:textId="01E3637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36,544</w:t>
            </w:r>
          </w:p>
        </w:tc>
        <w:tc>
          <w:tcPr>
            <w:tcW w:w="349" w:type="pct"/>
            <w:tcBorders>
              <w:top w:val="nil"/>
              <w:left w:val="nil"/>
              <w:bottom w:val="single" w:sz="4" w:space="0" w:color="auto"/>
              <w:right w:val="single" w:sz="4" w:space="0" w:color="auto"/>
            </w:tcBorders>
            <w:shd w:val="clear" w:color="000000" w:fill="FFFFFF"/>
            <w:noWrap/>
            <w:vAlign w:val="bottom"/>
            <w:hideMark/>
          </w:tcPr>
          <w:p w14:paraId="1455674F" w14:textId="1A27F5C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37,541</w:t>
            </w:r>
          </w:p>
        </w:tc>
        <w:tc>
          <w:tcPr>
            <w:tcW w:w="349" w:type="pct"/>
            <w:tcBorders>
              <w:top w:val="nil"/>
              <w:left w:val="nil"/>
              <w:bottom w:val="single" w:sz="4" w:space="0" w:color="auto"/>
              <w:right w:val="single" w:sz="4" w:space="0" w:color="auto"/>
            </w:tcBorders>
            <w:shd w:val="clear" w:color="000000" w:fill="FFFFFF"/>
            <w:noWrap/>
            <w:vAlign w:val="bottom"/>
            <w:hideMark/>
          </w:tcPr>
          <w:p w14:paraId="2B68FEB1" w14:textId="48E6B69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46,598</w:t>
            </w:r>
          </w:p>
        </w:tc>
        <w:tc>
          <w:tcPr>
            <w:tcW w:w="379" w:type="pct"/>
            <w:tcBorders>
              <w:top w:val="nil"/>
              <w:left w:val="nil"/>
              <w:bottom w:val="single" w:sz="4" w:space="0" w:color="auto"/>
              <w:right w:val="single" w:sz="8" w:space="0" w:color="auto"/>
            </w:tcBorders>
            <w:shd w:val="clear" w:color="000000" w:fill="FFFFFF"/>
            <w:noWrap/>
            <w:vAlign w:val="bottom"/>
            <w:hideMark/>
          </w:tcPr>
          <w:p w14:paraId="75FFA098" w14:textId="0CEC167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611,343</w:t>
            </w:r>
          </w:p>
        </w:tc>
      </w:tr>
      <w:tr w:rsidR="00CA1084" w:rsidRPr="00E47FB2" w14:paraId="46BBAC5C"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01B7F73C"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Cebolla</w:t>
            </w:r>
          </w:p>
        </w:tc>
        <w:tc>
          <w:tcPr>
            <w:tcW w:w="349" w:type="pct"/>
            <w:tcBorders>
              <w:top w:val="nil"/>
              <w:left w:val="nil"/>
              <w:bottom w:val="single" w:sz="4" w:space="0" w:color="auto"/>
              <w:right w:val="single" w:sz="4" w:space="0" w:color="auto"/>
            </w:tcBorders>
            <w:shd w:val="clear" w:color="000000" w:fill="FFFFFF"/>
            <w:noWrap/>
            <w:vAlign w:val="bottom"/>
            <w:hideMark/>
          </w:tcPr>
          <w:p w14:paraId="09946B4D" w14:textId="01C74A3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86,547</w:t>
            </w:r>
          </w:p>
        </w:tc>
        <w:tc>
          <w:tcPr>
            <w:tcW w:w="349" w:type="pct"/>
            <w:tcBorders>
              <w:top w:val="nil"/>
              <w:left w:val="nil"/>
              <w:bottom w:val="single" w:sz="4" w:space="0" w:color="auto"/>
              <w:right w:val="single" w:sz="4" w:space="0" w:color="auto"/>
            </w:tcBorders>
            <w:shd w:val="clear" w:color="000000" w:fill="FFFFFF"/>
            <w:noWrap/>
            <w:vAlign w:val="bottom"/>
            <w:hideMark/>
          </w:tcPr>
          <w:p w14:paraId="1DE52CCA" w14:textId="68DAE4C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125,478</w:t>
            </w:r>
          </w:p>
        </w:tc>
        <w:tc>
          <w:tcPr>
            <w:tcW w:w="349" w:type="pct"/>
            <w:tcBorders>
              <w:top w:val="nil"/>
              <w:left w:val="nil"/>
              <w:bottom w:val="single" w:sz="4" w:space="0" w:color="auto"/>
              <w:right w:val="single" w:sz="4" w:space="0" w:color="auto"/>
            </w:tcBorders>
            <w:shd w:val="clear" w:color="000000" w:fill="FFFFFF"/>
            <w:noWrap/>
            <w:vAlign w:val="bottom"/>
            <w:hideMark/>
          </w:tcPr>
          <w:p w14:paraId="7BF3F43F" w14:textId="54A83F6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198,347</w:t>
            </w:r>
          </w:p>
        </w:tc>
        <w:tc>
          <w:tcPr>
            <w:tcW w:w="349" w:type="pct"/>
            <w:tcBorders>
              <w:top w:val="nil"/>
              <w:left w:val="nil"/>
              <w:bottom w:val="single" w:sz="4" w:space="0" w:color="auto"/>
              <w:right w:val="single" w:sz="4" w:space="0" w:color="auto"/>
            </w:tcBorders>
            <w:shd w:val="clear" w:color="000000" w:fill="FFFFFF"/>
            <w:noWrap/>
            <w:vAlign w:val="bottom"/>
            <w:hideMark/>
          </w:tcPr>
          <w:p w14:paraId="58EE12A7" w14:textId="06D5E88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276,987</w:t>
            </w:r>
          </w:p>
        </w:tc>
        <w:tc>
          <w:tcPr>
            <w:tcW w:w="349" w:type="pct"/>
            <w:tcBorders>
              <w:top w:val="nil"/>
              <w:left w:val="nil"/>
              <w:bottom w:val="single" w:sz="4" w:space="0" w:color="auto"/>
              <w:right w:val="single" w:sz="4" w:space="0" w:color="auto"/>
            </w:tcBorders>
            <w:shd w:val="clear" w:color="000000" w:fill="FFFFFF"/>
            <w:noWrap/>
            <w:vAlign w:val="bottom"/>
            <w:hideMark/>
          </w:tcPr>
          <w:p w14:paraId="404E7958" w14:textId="39089C1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154,214</w:t>
            </w:r>
          </w:p>
        </w:tc>
        <w:tc>
          <w:tcPr>
            <w:tcW w:w="349" w:type="pct"/>
            <w:tcBorders>
              <w:top w:val="nil"/>
              <w:left w:val="nil"/>
              <w:bottom w:val="single" w:sz="4" w:space="0" w:color="auto"/>
              <w:right w:val="single" w:sz="4" w:space="0" w:color="auto"/>
            </w:tcBorders>
            <w:shd w:val="clear" w:color="000000" w:fill="FFFFFF"/>
            <w:noWrap/>
            <w:vAlign w:val="bottom"/>
            <w:hideMark/>
          </w:tcPr>
          <w:p w14:paraId="1D91F54B" w14:textId="104E34F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107,899</w:t>
            </w:r>
          </w:p>
        </w:tc>
        <w:tc>
          <w:tcPr>
            <w:tcW w:w="349" w:type="pct"/>
            <w:tcBorders>
              <w:top w:val="nil"/>
              <w:left w:val="nil"/>
              <w:bottom w:val="single" w:sz="4" w:space="0" w:color="auto"/>
              <w:right w:val="single" w:sz="4" w:space="0" w:color="auto"/>
            </w:tcBorders>
            <w:shd w:val="clear" w:color="000000" w:fill="FFFFFF"/>
            <w:noWrap/>
            <w:vAlign w:val="bottom"/>
            <w:hideMark/>
          </w:tcPr>
          <w:p w14:paraId="037C0D4D" w14:textId="27B934E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109,987</w:t>
            </w:r>
          </w:p>
        </w:tc>
        <w:tc>
          <w:tcPr>
            <w:tcW w:w="349" w:type="pct"/>
            <w:tcBorders>
              <w:top w:val="nil"/>
              <w:left w:val="nil"/>
              <w:bottom w:val="single" w:sz="4" w:space="0" w:color="auto"/>
              <w:right w:val="single" w:sz="4" w:space="0" w:color="auto"/>
            </w:tcBorders>
            <w:shd w:val="clear" w:color="000000" w:fill="FFFFFF"/>
            <w:noWrap/>
            <w:vAlign w:val="bottom"/>
            <w:hideMark/>
          </w:tcPr>
          <w:p w14:paraId="4916E849" w14:textId="6BC14E3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154,917</w:t>
            </w:r>
          </w:p>
        </w:tc>
        <w:tc>
          <w:tcPr>
            <w:tcW w:w="349" w:type="pct"/>
            <w:tcBorders>
              <w:top w:val="nil"/>
              <w:left w:val="nil"/>
              <w:bottom w:val="single" w:sz="4" w:space="0" w:color="auto"/>
              <w:right w:val="single" w:sz="4" w:space="0" w:color="auto"/>
            </w:tcBorders>
            <w:shd w:val="clear" w:color="000000" w:fill="FFFFFF"/>
            <w:noWrap/>
            <w:vAlign w:val="bottom"/>
            <w:hideMark/>
          </w:tcPr>
          <w:p w14:paraId="0EDA23E5" w14:textId="312FD0F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140,214</w:t>
            </w:r>
          </w:p>
        </w:tc>
        <w:tc>
          <w:tcPr>
            <w:tcW w:w="349" w:type="pct"/>
            <w:tcBorders>
              <w:top w:val="nil"/>
              <w:left w:val="nil"/>
              <w:bottom w:val="single" w:sz="4" w:space="0" w:color="auto"/>
              <w:right w:val="single" w:sz="4" w:space="0" w:color="auto"/>
            </w:tcBorders>
            <w:shd w:val="clear" w:color="000000" w:fill="FFFFFF"/>
            <w:noWrap/>
            <w:vAlign w:val="bottom"/>
            <w:hideMark/>
          </w:tcPr>
          <w:p w14:paraId="619FC6D4" w14:textId="2CA4B44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45,214</w:t>
            </w:r>
          </w:p>
        </w:tc>
        <w:tc>
          <w:tcPr>
            <w:tcW w:w="349" w:type="pct"/>
            <w:tcBorders>
              <w:top w:val="nil"/>
              <w:left w:val="nil"/>
              <w:bottom w:val="single" w:sz="4" w:space="0" w:color="auto"/>
              <w:right w:val="single" w:sz="4" w:space="0" w:color="auto"/>
            </w:tcBorders>
            <w:shd w:val="clear" w:color="000000" w:fill="FFFFFF"/>
            <w:noWrap/>
            <w:vAlign w:val="bottom"/>
            <w:hideMark/>
          </w:tcPr>
          <w:p w14:paraId="499BAD86" w14:textId="057076E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55,241</w:t>
            </w:r>
          </w:p>
        </w:tc>
        <w:tc>
          <w:tcPr>
            <w:tcW w:w="349" w:type="pct"/>
            <w:tcBorders>
              <w:top w:val="nil"/>
              <w:left w:val="nil"/>
              <w:bottom w:val="single" w:sz="4" w:space="0" w:color="auto"/>
              <w:right w:val="single" w:sz="4" w:space="0" w:color="auto"/>
            </w:tcBorders>
            <w:shd w:val="clear" w:color="000000" w:fill="FFFFFF"/>
            <w:noWrap/>
            <w:vAlign w:val="bottom"/>
            <w:hideMark/>
          </w:tcPr>
          <w:p w14:paraId="745CC6D7" w14:textId="60E69DD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57,423</w:t>
            </w:r>
          </w:p>
        </w:tc>
        <w:tc>
          <w:tcPr>
            <w:tcW w:w="379" w:type="pct"/>
            <w:tcBorders>
              <w:top w:val="nil"/>
              <w:left w:val="nil"/>
              <w:bottom w:val="single" w:sz="4" w:space="0" w:color="auto"/>
              <w:right w:val="single" w:sz="8" w:space="0" w:color="auto"/>
            </w:tcBorders>
            <w:shd w:val="clear" w:color="000000" w:fill="FFFFFF"/>
            <w:noWrap/>
            <w:vAlign w:val="bottom"/>
            <w:hideMark/>
          </w:tcPr>
          <w:p w14:paraId="26452C27" w14:textId="1B79B60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1,512,468</w:t>
            </w:r>
          </w:p>
        </w:tc>
      </w:tr>
      <w:tr w:rsidR="00CA1084" w:rsidRPr="00E47FB2" w14:paraId="5CBDBFFF"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28D0173F"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Pepino</w:t>
            </w:r>
          </w:p>
        </w:tc>
        <w:tc>
          <w:tcPr>
            <w:tcW w:w="349" w:type="pct"/>
            <w:tcBorders>
              <w:top w:val="nil"/>
              <w:left w:val="nil"/>
              <w:bottom w:val="single" w:sz="4" w:space="0" w:color="auto"/>
              <w:right w:val="single" w:sz="4" w:space="0" w:color="auto"/>
            </w:tcBorders>
            <w:shd w:val="clear" w:color="000000" w:fill="FFFFFF"/>
            <w:noWrap/>
            <w:vAlign w:val="bottom"/>
            <w:hideMark/>
          </w:tcPr>
          <w:p w14:paraId="52188CD9" w14:textId="3B67452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46,898</w:t>
            </w:r>
          </w:p>
        </w:tc>
        <w:tc>
          <w:tcPr>
            <w:tcW w:w="349" w:type="pct"/>
            <w:tcBorders>
              <w:top w:val="nil"/>
              <w:left w:val="nil"/>
              <w:bottom w:val="single" w:sz="4" w:space="0" w:color="auto"/>
              <w:right w:val="single" w:sz="4" w:space="0" w:color="auto"/>
            </w:tcBorders>
            <w:shd w:val="clear" w:color="000000" w:fill="FFFFFF"/>
            <w:noWrap/>
            <w:vAlign w:val="bottom"/>
            <w:hideMark/>
          </w:tcPr>
          <w:p w14:paraId="12E04D2E" w14:textId="25B16CF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23,909</w:t>
            </w:r>
          </w:p>
        </w:tc>
        <w:tc>
          <w:tcPr>
            <w:tcW w:w="349" w:type="pct"/>
            <w:tcBorders>
              <w:top w:val="nil"/>
              <w:left w:val="nil"/>
              <w:bottom w:val="single" w:sz="4" w:space="0" w:color="auto"/>
              <w:right w:val="single" w:sz="4" w:space="0" w:color="auto"/>
            </w:tcBorders>
            <w:shd w:val="clear" w:color="000000" w:fill="FFFFFF"/>
            <w:noWrap/>
            <w:vAlign w:val="bottom"/>
            <w:hideMark/>
          </w:tcPr>
          <w:p w14:paraId="41FDAA37" w14:textId="6C6234E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28,965</w:t>
            </w:r>
          </w:p>
        </w:tc>
        <w:tc>
          <w:tcPr>
            <w:tcW w:w="349" w:type="pct"/>
            <w:tcBorders>
              <w:top w:val="nil"/>
              <w:left w:val="nil"/>
              <w:bottom w:val="single" w:sz="4" w:space="0" w:color="auto"/>
              <w:right w:val="single" w:sz="4" w:space="0" w:color="auto"/>
            </w:tcBorders>
            <w:shd w:val="clear" w:color="000000" w:fill="FFFFFF"/>
            <w:noWrap/>
            <w:vAlign w:val="bottom"/>
            <w:hideMark/>
          </w:tcPr>
          <w:p w14:paraId="3B77C4EA" w14:textId="110F0EE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28,564</w:t>
            </w:r>
          </w:p>
        </w:tc>
        <w:tc>
          <w:tcPr>
            <w:tcW w:w="349" w:type="pct"/>
            <w:tcBorders>
              <w:top w:val="nil"/>
              <w:left w:val="nil"/>
              <w:bottom w:val="single" w:sz="4" w:space="0" w:color="auto"/>
              <w:right w:val="single" w:sz="4" w:space="0" w:color="auto"/>
            </w:tcBorders>
            <w:shd w:val="clear" w:color="000000" w:fill="FFFFFF"/>
            <w:noWrap/>
            <w:vAlign w:val="bottom"/>
            <w:hideMark/>
          </w:tcPr>
          <w:p w14:paraId="7CCA230A" w14:textId="0CC1334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28,104</w:t>
            </w:r>
          </w:p>
        </w:tc>
        <w:tc>
          <w:tcPr>
            <w:tcW w:w="349" w:type="pct"/>
            <w:tcBorders>
              <w:top w:val="nil"/>
              <w:left w:val="nil"/>
              <w:bottom w:val="single" w:sz="4" w:space="0" w:color="auto"/>
              <w:right w:val="single" w:sz="4" w:space="0" w:color="auto"/>
            </w:tcBorders>
            <w:shd w:val="clear" w:color="000000" w:fill="FFFFFF"/>
            <w:noWrap/>
            <w:vAlign w:val="bottom"/>
            <w:hideMark/>
          </w:tcPr>
          <w:p w14:paraId="71AF3542" w14:textId="18D19CE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28,525</w:t>
            </w:r>
          </w:p>
        </w:tc>
        <w:tc>
          <w:tcPr>
            <w:tcW w:w="349" w:type="pct"/>
            <w:tcBorders>
              <w:top w:val="nil"/>
              <w:left w:val="nil"/>
              <w:bottom w:val="single" w:sz="4" w:space="0" w:color="auto"/>
              <w:right w:val="single" w:sz="4" w:space="0" w:color="auto"/>
            </w:tcBorders>
            <w:shd w:val="clear" w:color="000000" w:fill="FFFFFF"/>
            <w:noWrap/>
            <w:vAlign w:val="bottom"/>
            <w:hideMark/>
          </w:tcPr>
          <w:p w14:paraId="699B2447" w14:textId="2F85826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29,541</w:t>
            </w:r>
          </w:p>
        </w:tc>
        <w:tc>
          <w:tcPr>
            <w:tcW w:w="349" w:type="pct"/>
            <w:tcBorders>
              <w:top w:val="nil"/>
              <w:left w:val="nil"/>
              <w:bottom w:val="single" w:sz="4" w:space="0" w:color="auto"/>
              <w:right w:val="single" w:sz="4" w:space="0" w:color="auto"/>
            </w:tcBorders>
            <w:shd w:val="clear" w:color="000000" w:fill="FFFFFF"/>
            <w:noWrap/>
            <w:vAlign w:val="bottom"/>
            <w:hideMark/>
          </w:tcPr>
          <w:p w14:paraId="7FCBA902" w14:textId="2FF3697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27,544</w:t>
            </w:r>
          </w:p>
        </w:tc>
        <w:tc>
          <w:tcPr>
            <w:tcW w:w="349" w:type="pct"/>
            <w:tcBorders>
              <w:top w:val="nil"/>
              <w:left w:val="nil"/>
              <w:bottom w:val="single" w:sz="4" w:space="0" w:color="auto"/>
              <w:right w:val="single" w:sz="4" w:space="0" w:color="auto"/>
            </w:tcBorders>
            <w:shd w:val="clear" w:color="000000" w:fill="FFFFFF"/>
            <w:noWrap/>
            <w:vAlign w:val="bottom"/>
            <w:hideMark/>
          </w:tcPr>
          <w:p w14:paraId="431F9D2D" w14:textId="555BD16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24,511</w:t>
            </w:r>
          </w:p>
        </w:tc>
        <w:tc>
          <w:tcPr>
            <w:tcW w:w="349" w:type="pct"/>
            <w:tcBorders>
              <w:top w:val="nil"/>
              <w:left w:val="nil"/>
              <w:bottom w:val="single" w:sz="4" w:space="0" w:color="auto"/>
              <w:right w:val="single" w:sz="4" w:space="0" w:color="auto"/>
            </w:tcBorders>
            <w:shd w:val="clear" w:color="000000" w:fill="FFFFFF"/>
            <w:noWrap/>
            <w:vAlign w:val="bottom"/>
            <w:hideMark/>
          </w:tcPr>
          <w:p w14:paraId="2EDD8D1B" w14:textId="053E5B9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25,774</w:t>
            </w:r>
          </w:p>
        </w:tc>
        <w:tc>
          <w:tcPr>
            <w:tcW w:w="349" w:type="pct"/>
            <w:tcBorders>
              <w:top w:val="nil"/>
              <w:left w:val="nil"/>
              <w:bottom w:val="single" w:sz="4" w:space="0" w:color="auto"/>
              <w:right w:val="single" w:sz="4" w:space="0" w:color="auto"/>
            </w:tcBorders>
            <w:shd w:val="clear" w:color="000000" w:fill="FFFFFF"/>
            <w:noWrap/>
            <w:vAlign w:val="bottom"/>
            <w:hideMark/>
          </w:tcPr>
          <w:p w14:paraId="047B22C6" w14:textId="2847E88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31,675</w:t>
            </w:r>
          </w:p>
        </w:tc>
        <w:tc>
          <w:tcPr>
            <w:tcW w:w="349" w:type="pct"/>
            <w:tcBorders>
              <w:top w:val="nil"/>
              <w:left w:val="nil"/>
              <w:bottom w:val="single" w:sz="4" w:space="0" w:color="auto"/>
              <w:right w:val="single" w:sz="4" w:space="0" w:color="auto"/>
            </w:tcBorders>
            <w:shd w:val="clear" w:color="000000" w:fill="FFFFFF"/>
            <w:noWrap/>
            <w:vAlign w:val="bottom"/>
            <w:hideMark/>
          </w:tcPr>
          <w:p w14:paraId="02F1B0DE" w14:textId="379BAC0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42,150</w:t>
            </w:r>
          </w:p>
        </w:tc>
        <w:tc>
          <w:tcPr>
            <w:tcW w:w="379" w:type="pct"/>
            <w:tcBorders>
              <w:top w:val="nil"/>
              <w:left w:val="nil"/>
              <w:bottom w:val="single" w:sz="4" w:space="0" w:color="auto"/>
              <w:right w:val="single" w:sz="8" w:space="0" w:color="auto"/>
            </w:tcBorders>
            <w:shd w:val="clear" w:color="000000" w:fill="FFFFFF"/>
            <w:noWrap/>
            <w:vAlign w:val="bottom"/>
            <w:hideMark/>
          </w:tcPr>
          <w:p w14:paraId="0D1AEB33" w14:textId="77044B3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366,160</w:t>
            </w:r>
          </w:p>
        </w:tc>
      </w:tr>
      <w:tr w:rsidR="00CA1084" w:rsidRPr="00E47FB2" w14:paraId="5D34D7AB"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767B7A82"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Lechuga</w:t>
            </w:r>
          </w:p>
        </w:tc>
        <w:tc>
          <w:tcPr>
            <w:tcW w:w="349" w:type="pct"/>
            <w:tcBorders>
              <w:top w:val="nil"/>
              <w:left w:val="nil"/>
              <w:bottom w:val="single" w:sz="4" w:space="0" w:color="auto"/>
              <w:right w:val="single" w:sz="4" w:space="0" w:color="auto"/>
            </w:tcBorders>
            <w:shd w:val="clear" w:color="000000" w:fill="FFFFFF"/>
            <w:noWrap/>
            <w:vAlign w:val="bottom"/>
            <w:hideMark/>
          </w:tcPr>
          <w:p w14:paraId="7A17B8D2" w14:textId="1695B97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19,592</w:t>
            </w:r>
          </w:p>
        </w:tc>
        <w:tc>
          <w:tcPr>
            <w:tcW w:w="349" w:type="pct"/>
            <w:tcBorders>
              <w:top w:val="nil"/>
              <w:left w:val="nil"/>
              <w:bottom w:val="single" w:sz="4" w:space="0" w:color="auto"/>
              <w:right w:val="single" w:sz="4" w:space="0" w:color="auto"/>
            </w:tcBorders>
            <w:shd w:val="clear" w:color="000000" w:fill="FFFFFF"/>
            <w:noWrap/>
            <w:vAlign w:val="bottom"/>
            <w:hideMark/>
          </w:tcPr>
          <w:p w14:paraId="7B1A4A32" w14:textId="5842714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8,498</w:t>
            </w:r>
          </w:p>
        </w:tc>
        <w:tc>
          <w:tcPr>
            <w:tcW w:w="349" w:type="pct"/>
            <w:tcBorders>
              <w:top w:val="nil"/>
              <w:left w:val="nil"/>
              <w:bottom w:val="single" w:sz="4" w:space="0" w:color="auto"/>
              <w:right w:val="single" w:sz="4" w:space="0" w:color="auto"/>
            </w:tcBorders>
            <w:shd w:val="clear" w:color="000000" w:fill="FFFFFF"/>
            <w:noWrap/>
            <w:vAlign w:val="bottom"/>
            <w:hideMark/>
          </w:tcPr>
          <w:p w14:paraId="3A9D4E62" w14:textId="0957215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20,390</w:t>
            </w:r>
          </w:p>
        </w:tc>
        <w:tc>
          <w:tcPr>
            <w:tcW w:w="349" w:type="pct"/>
            <w:tcBorders>
              <w:top w:val="nil"/>
              <w:left w:val="nil"/>
              <w:bottom w:val="single" w:sz="4" w:space="0" w:color="auto"/>
              <w:right w:val="single" w:sz="4" w:space="0" w:color="auto"/>
            </w:tcBorders>
            <w:shd w:val="clear" w:color="000000" w:fill="FFFFFF"/>
            <w:noWrap/>
            <w:vAlign w:val="bottom"/>
            <w:hideMark/>
          </w:tcPr>
          <w:p w14:paraId="3FD4E6EF" w14:textId="27785B3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5,881</w:t>
            </w:r>
          </w:p>
        </w:tc>
        <w:tc>
          <w:tcPr>
            <w:tcW w:w="349" w:type="pct"/>
            <w:tcBorders>
              <w:top w:val="nil"/>
              <w:left w:val="nil"/>
              <w:bottom w:val="single" w:sz="4" w:space="0" w:color="auto"/>
              <w:right w:val="single" w:sz="4" w:space="0" w:color="auto"/>
            </w:tcBorders>
            <w:shd w:val="clear" w:color="000000" w:fill="FFFFFF"/>
            <w:noWrap/>
            <w:vAlign w:val="bottom"/>
            <w:hideMark/>
          </w:tcPr>
          <w:p w14:paraId="65AC36CA" w14:textId="347FDF6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9,142</w:t>
            </w:r>
          </w:p>
        </w:tc>
        <w:tc>
          <w:tcPr>
            <w:tcW w:w="349" w:type="pct"/>
            <w:tcBorders>
              <w:top w:val="nil"/>
              <w:left w:val="nil"/>
              <w:bottom w:val="single" w:sz="4" w:space="0" w:color="auto"/>
              <w:right w:val="single" w:sz="4" w:space="0" w:color="auto"/>
            </w:tcBorders>
            <w:shd w:val="clear" w:color="000000" w:fill="FFFFFF"/>
            <w:noWrap/>
            <w:vAlign w:val="bottom"/>
            <w:hideMark/>
          </w:tcPr>
          <w:p w14:paraId="1ABEC6AA" w14:textId="395ECC4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11,198</w:t>
            </w:r>
          </w:p>
        </w:tc>
        <w:tc>
          <w:tcPr>
            <w:tcW w:w="349" w:type="pct"/>
            <w:tcBorders>
              <w:top w:val="nil"/>
              <w:left w:val="nil"/>
              <w:bottom w:val="single" w:sz="4" w:space="0" w:color="auto"/>
              <w:right w:val="single" w:sz="4" w:space="0" w:color="auto"/>
            </w:tcBorders>
            <w:shd w:val="clear" w:color="000000" w:fill="FFFFFF"/>
            <w:noWrap/>
            <w:vAlign w:val="bottom"/>
            <w:hideMark/>
          </w:tcPr>
          <w:p w14:paraId="23D83516" w14:textId="48605E5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8,866</w:t>
            </w:r>
          </w:p>
        </w:tc>
        <w:tc>
          <w:tcPr>
            <w:tcW w:w="349" w:type="pct"/>
            <w:tcBorders>
              <w:top w:val="nil"/>
              <w:left w:val="nil"/>
              <w:bottom w:val="single" w:sz="4" w:space="0" w:color="auto"/>
              <w:right w:val="single" w:sz="4" w:space="0" w:color="auto"/>
            </w:tcBorders>
            <w:shd w:val="clear" w:color="000000" w:fill="FFFFFF"/>
            <w:noWrap/>
            <w:vAlign w:val="bottom"/>
            <w:hideMark/>
          </w:tcPr>
          <w:p w14:paraId="387951DA" w14:textId="3B73D95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10,966</w:t>
            </w:r>
          </w:p>
        </w:tc>
        <w:tc>
          <w:tcPr>
            <w:tcW w:w="349" w:type="pct"/>
            <w:tcBorders>
              <w:top w:val="nil"/>
              <w:left w:val="nil"/>
              <w:bottom w:val="single" w:sz="4" w:space="0" w:color="auto"/>
              <w:right w:val="single" w:sz="4" w:space="0" w:color="auto"/>
            </w:tcBorders>
            <w:shd w:val="clear" w:color="000000" w:fill="FFFFFF"/>
            <w:noWrap/>
            <w:vAlign w:val="bottom"/>
            <w:hideMark/>
          </w:tcPr>
          <w:p w14:paraId="2145EF44" w14:textId="5FE1957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9,030</w:t>
            </w:r>
          </w:p>
        </w:tc>
        <w:tc>
          <w:tcPr>
            <w:tcW w:w="349" w:type="pct"/>
            <w:tcBorders>
              <w:top w:val="nil"/>
              <w:left w:val="nil"/>
              <w:bottom w:val="single" w:sz="4" w:space="0" w:color="auto"/>
              <w:right w:val="single" w:sz="4" w:space="0" w:color="auto"/>
            </w:tcBorders>
            <w:shd w:val="clear" w:color="000000" w:fill="FFFFFF"/>
            <w:noWrap/>
            <w:vAlign w:val="bottom"/>
            <w:hideMark/>
          </w:tcPr>
          <w:p w14:paraId="12F8B9BB" w14:textId="11179E6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10,114</w:t>
            </w:r>
          </w:p>
        </w:tc>
        <w:tc>
          <w:tcPr>
            <w:tcW w:w="349" w:type="pct"/>
            <w:tcBorders>
              <w:top w:val="nil"/>
              <w:left w:val="nil"/>
              <w:bottom w:val="single" w:sz="4" w:space="0" w:color="auto"/>
              <w:right w:val="single" w:sz="4" w:space="0" w:color="auto"/>
            </w:tcBorders>
            <w:shd w:val="clear" w:color="000000" w:fill="FFFFFF"/>
            <w:noWrap/>
            <w:vAlign w:val="bottom"/>
            <w:hideMark/>
          </w:tcPr>
          <w:p w14:paraId="6AF9ECFC" w14:textId="41A0D90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10,246</w:t>
            </w:r>
          </w:p>
        </w:tc>
        <w:tc>
          <w:tcPr>
            <w:tcW w:w="349" w:type="pct"/>
            <w:tcBorders>
              <w:top w:val="nil"/>
              <w:left w:val="nil"/>
              <w:bottom w:val="single" w:sz="4" w:space="0" w:color="auto"/>
              <w:right w:val="single" w:sz="4" w:space="0" w:color="auto"/>
            </w:tcBorders>
            <w:shd w:val="clear" w:color="000000" w:fill="FFFFFF"/>
            <w:noWrap/>
            <w:vAlign w:val="bottom"/>
            <w:hideMark/>
          </w:tcPr>
          <w:p w14:paraId="11056647" w14:textId="424C442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13,707</w:t>
            </w:r>
          </w:p>
        </w:tc>
        <w:tc>
          <w:tcPr>
            <w:tcW w:w="379" w:type="pct"/>
            <w:tcBorders>
              <w:top w:val="nil"/>
              <w:left w:val="nil"/>
              <w:bottom w:val="single" w:sz="4" w:space="0" w:color="auto"/>
              <w:right w:val="single" w:sz="8" w:space="0" w:color="auto"/>
            </w:tcBorders>
            <w:shd w:val="clear" w:color="000000" w:fill="FFFFFF"/>
            <w:noWrap/>
            <w:vAlign w:val="bottom"/>
            <w:hideMark/>
          </w:tcPr>
          <w:p w14:paraId="17316678" w14:textId="262986C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137,631</w:t>
            </w:r>
          </w:p>
        </w:tc>
      </w:tr>
      <w:tr w:rsidR="00CA1084" w:rsidRPr="00E47FB2" w14:paraId="2FCE4AB2"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4F429F4D"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Repollo</w:t>
            </w:r>
          </w:p>
        </w:tc>
        <w:tc>
          <w:tcPr>
            <w:tcW w:w="349" w:type="pct"/>
            <w:tcBorders>
              <w:top w:val="nil"/>
              <w:left w:val="nil"/>
              <w:bottom w:val="single" w:sz="4" w:space="0" w:color="auto"/>
              <w:right w:val="single" w:sz="4" w:space="0" w:color="auto"/>
            </w:tcBorders>
            <w:shd w:val="clear" w:color="000000" w:fill="FFFFFF"/>
            <w:noWrap/>
            <w:vAlign w:val="bottom"/>
            <w:hideMark/>
          </w:tcPr>
          <w:p w14:paraId="49E62131" w14:textId="5674B8E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78,050</w:t>
            </w:r>
          </w:p>
        </w:tc>
        <w:tc>
          <w:tcPr>
            <w:tcW w:w="349" w:type="pct"/>
            <w:tcBorders>
              <w:top w:val="nil"/>
              <w:left w:val="nil"/>
              <w:bottom w:val="single" w:sz="4" w:space="0" w:color="auto"/>
              <w:right w:val="single" w:sz="4" w:space="0" w:color="auto"/>
            </w:tcBorders>
            <w:shd w:val="clear" w:color="000000" w:fill="FFFFFF"/>
            <w:noWrap/>
            <w:vAlign w:val="bottom"/>
            <w:hideMark/>
          </w:tcPr>
          <w:p w14:paraId="1C9434F0" w14:textId="51AD347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95,445</w:t>
            </w:r>
          </w:p>
        </w:tc>
        <w:tc>
          <w:tcPr>
            <w:tcW w:w="349" w:type="pct"/>
            <w:tcBorders>
              <w:top w:val="nil"/>
              <w:left w:val="nil"/>
              <w:bottom w:val="single" w:sz="4" w:space="0" w:color="auto"/>
              <w:right w:val="single" w:sz="4" w:space="0" w:color="auto"/>
            </w:tcBorders>
            <w:shd w:val="clear" w:color="000000" w:fill="FFFFFF"/>
            <w:noWrap/>
            <w:vAlign w:val="bottom"/>
            <w:hideMark/>
          </w:tcPr>
          <w:p w14:paraId="7CBF9062" w14:textId="5006C5E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114,030</w:t>
            </w:r>
          </w:p>
        </w:tc>
        <w:tc>
          <w:tcPr>
            <w:tcW w:w="349" w:type="pct"/>
            <w:tcBorders>
              <w:top w:val="nil"/>
              <w:left w:val="nil"/>
              <w:bottom w:val="single" w:sz="4" w:space="0" w:color="auto"/>
              <w:right w:val="single" w:sz="4" w:space="0" w:color="auto"/>
            </w:tcBorders>
            <w:shd w:val="clear" w:color="000000" w:fill="FFFFFF"/>
            <w:noWrap/>
            <w:vAlign w:val="bottom"/>
            <w:hideMark/>
          </w:tcPr>
          <w:p w14:paraId="5C12FE74" w14:textId="5FF1E32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31,388</w:t>
            </w:r>
          </w:p>
        </w:tc>
        <w:tc>
          <w:tcPr>
            <w:tcW w:w="349" w:type="pct"/>
            <w:tcBorders>
              <w:top w:val="nil"/>
              <w:left w:val="nil"/>
              <w:bottom w:val="single" w:sz="4" w:space="0" w:color="auto"/>
              <w:right w:val="single" w:sz="4" w:space="0" w:color="auto"/>
            </w:tcBorders>
            <w:shd w:val="clear" w:color="000000" w:fill="FFFFFF"/>
            <w:noWrap/>
            <w:vAlign w:val="bottom"/>
            <w:hideMark/>
          </w:tcPr>
          <w:p w14:paraId="5FB895E9" w14:textId="65685C0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49,735</w:t>
            </w:r>
          </w:p>
        </w:tc>
        <w:tc>
          <w:tcPr>
            <w:tcW w:w="349" w:type="pct"/>
            <w:tcBorders>
              <w:top w:val="nil"/>
              <w:left w:val="nil"/>
              <w:bottom w:val="single" w:sz="4" w:space="0" w:color="auto"/>
              <w:right w:val="single" w:sz="4" w:space="0" w:color="auto"/>
            </w:tcBorders>
            <w:shd w:val="clear" w:color="000000" w:fill="FFFFFF"/>
            <w:noWrap/>
            <w:vAlign w:val="bottom"/>
            <w:hideMark/>
          </w:tcPr>
          <w:p w14:paraId="475BE974" w14:textId="5A31C0A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89,740</w:t>
            </w:r>
          </w:p>
        </w:tc>
        <w:tc>
          <w:tcPr>
            <w:tcW w:w="349" w:type="pct"/>
            <w:tcBorders>
              <w:top w:val="nil"/>
              <w:left w:val="nil"/>
              <w:bottom w:val="single" w:sz="4" w:space="0" w:color="auto"/>
              <w:right w:val="single" w:sz="4" w:space="0" w:color="auto"/>
            </w:tcBorders>
            <w:shd w:val="clear" w:color="000000" w:fill="FFFFFF"/>
            <w:noWrap/>
            <w:vAlign w:val="bottom"/>
            <w:hideMark/>
          </w:tcPr>
          <w:p w14:paraId="2C17F0DE" w14:textId="4B02009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109,970</w:t>
            </w:r>
          </w:p>
        </w:tc>
        <w:tc>
          <w:tcPr>
            <w:tcW w:w="349" w:type="pct"/>
            <w:tcBorders>
              <w:top w:val="nil"/>
              <w:left w:val="nil"/>
              <w:bottom w:val="single" w:sz="4" w:space="0" w:color="auto"/>
              <w:right w:val="single" w:sz="4" w:space="0" w:color="auto"/>
            </w:tcBorders>
            <w:shd w:val="clear" w:color="000000" w:fill="FFFFFF"/>
            <w:noWrap/>
            <w:vAlign w:val="bottom"/>
            <w:hideMark/>
          </w:tcPr>
          <w:p w14:paraId="2D803371" w14:textId="47C7FDD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79,660</w:t>
            </w:r>
          </w:p>
        </w:tc>
        <w:tc>
          <w:tcPr>
            <w:tcW w:w="349" w:type="pct"/>
            <w:tcBorders>
              <w:top w:val="nil"/>
              <w:left w:val="nil"/>
              <w:bottom w:val="single" w:sz="4" w:space="0" w:color="auto"/>
              <w:right w:val="single" w:sz="4" w:space="0" w:color="auto"/>
            </w:tcBorders>
            <w:shd w:val="clear" w:color="000000" w:fill="FFFFFF"/>
            <w:noWrap/>
            <w:vAlign w:val="bottom"/>
            <w:hideMark/>
          </w:tcPr>
          <w:p w14:paraId="2A4231C5" w14:textId="71DED0D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102,165</w:t>
            </w:r>
          </w:p>
        </w:tc>
        <w:tc>
          <w:tcPr>
            <w:tcW w:w="349" w:type="pct"/>
            <w:tcBorders>
              <w:top w:val="nil"/>
              <w:left w:val="nil"/>
              <w:bottom w:val="single" w:sz="4" w:space="0" w:color="auto"/>
              <w:right w:val="single" w:sz="4" w:space="0" w:color="auto"/>
            </w:tcBorders>
            <w:shd w:val="clear" w:color="000000" w:fill="FFFFFF"/>
            <w:noWrap/>
            <w:vAlign w:val="bottom"/>
            <w:hideMark/>
          </w:tcPr>
          <w:p w14:paraId="487C237D" w14:textId="2C11561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73,045</w:t>
            </w:r>
          </w:p>
        </w:tc>
        <w:tc>
          <w:tcPr>
            <w:tcW w:w="349" w:type="pct"/>
            <w:tcBorders>
              <w:top w:val="nil"/>
              <w:left w:val="nil"/>
              <w:bottom w:val="single" w:sz="4" w:space="0" w:color="auto"/>
              <w:right w:val="single" w:sz="4" w:space="0" w:color="auto"/>
            </w:tcBorders>
            <w:shd w:val="clear" w:color="000000" w:fill="FFFFFF"/>
            <w:noWrap/>
            <w:vAlign w:val="bottom"/>
            <w:hideMark/>
          </w:tcPr>
          <w:p w14:paraId="5D6A52D7" w14:textId="696B687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65,632</w:t>
            </w:r>
          </w:p>
        </w:tc>
        <w:tc>
          <w:tcPr>
            <w:tcW w:w="349" w:type="pct"/>
            <w:tcBorders>
              <w:top w:val="nil"/>
              <w:left w:val="nil"/>
              <w:bottom w:val="single" w:sz="4" w:space="0" w:color="auto"/>
              <w:right w:val="single" w:sz="4" w:space="0" w:color="auto"/>
            </w:tcBorders>
            <w:shd w:val="clear" w:color="000000" w:fill="FFFFFF"/>
            <w:noWrap/>
            <w:vAlign w:val="bottom"/>
            <w:hideMark/>
          </w:tcPr>
          <w:p w14:paraId="52F8F98A" w14:textId="30D22B1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70,595</w:t>
            </w:r>
          </w:p>
        </w:tc>
        <w:tc>
          <w:tcPr>
            <w:tcW w:w="379" w:type="pct"/>
            <w:tcBorders>
              <w:top w:val="nil"/>
              <w:left w:val="nil"/>
              <w:bottom w:val="single" w:sz="4" w:space="0" w:color="auto"/>
              <w:right w:val="single" w:sz="8" w:space="0" w:color="auto"/>
            </w:tcBorders>
            <w:shd w:val="clear" w:color="000000" w:fill="FFFFFF"/>
            <w:noWrap/>
            <w:vAlign w:val="bottom"/>
            <w:hideMark/>
          </w:tcPr>
          <w:p w14:paraId="348A1181" w14:textId="730CE0A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959,455</w:t>
            </w:r>
          </w:p>
        </w:tc>
      </w:tr>
      <w:tr w:rsidR="00CA1084" w:rsidRPr="00E47FB2" w14:paraId="645DBDB6"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1814576C"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Tayota</w:t>
            </w:r>
          </w:p>
        </w:tc>
        <w:tc>
          <w:tcPr>
            <w:tcW w:w="349" w:type="pct"/>
            <w:tcBorders>
              <w:top w:val="nil"/>
              <w:left w:val="nil"/>
              <w:bottom w:val="single" w:sz="4" w:space="0" w:color="auto"/>
              <w:right w:val="single" w:sz="4" w:space="0" w:color="auto"/>
            </w:tcBorders>
            <w:shd w:val="clear" w:color="000000" w:fill="FFFFFF"/>
            <w:noWrap/>
            <w:vAlign w:val="bottom"/>
            <w:hideMark/>
          </w:tcPr>
          <w:p w14:paraId="5F6A8C05" w14:textId="2289BC1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495,210</w:t>
            </w:r>
          </w:p>
        </w:tc>
        <w:tc>
          <w:tcPr>
            <w:tcW w:w="349" w:type="pct"/>
            <w:tcBorders>
              <w:top w:val="nil"/>
              <w:left w:val="nil"/>
              <w:bottom w:val="single" w:sz="4" w:space="0" w:color="auto"/>
              <w:right w:val="single" w:sz="4" w:space="0" w:color="auto"/>
            </w:tcBorders>
            <w:shd w:val="clear" w:color="000000" w:fill="FFFFFF"/>
            <w:noWrap/>
            <w:vAlign w:val="bottom"/>
            <w:hideMark/>
          </w:tcPr>
          <w:p w14:paraId="158A8817" w14:textId="11018BA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513,240</w:t>
            </w:r>
          </w:p>
        </w:tc>
        <w:tc>
          <w:tcPr>
            <w:tcW w:w="349" w:type="pct"/>
            <w:tcBorders>
              <w:top w:val="nil"/>
              <w:left w:val="nil"/>
              <w:bottom w:val="single" w:sz="4" w:space="0" w:color="auto"/>
              <w:right w:val="single" w:sz="4" w:space="0" w:color="auto"/>
            </w:tcBorders>
            <w:shd w:val="clear" w:color="000000" w:fill="FFFFFF"/>
            <w:noWrap/>
            <w:vAlign w:val="bottom"/>
            <w:hideMark/>
          </w:tcPr>
          <w:p w14:paraId="7E939FE3" w14:textId="6A5CBAC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477,675</w:t>
            </w:r>
          </w:p>
        </w:tc>
        <w:tc>
          <w:tcPr>
            <w:tcW w:w="349" w:type="pct"/>
            <w:tcBorders>
              <w:top w:val="nil"/>
              <w:left w:val="nil"/>
              <w:bottom w:val="single" w:sz="4" w:space="0" w:color="auto"/>
              <w:right w:val="single" w:sz="4" w:space="0" w:color="auto"/>
            </w:tcBorders>
            <w:shd w:val="clear" w:color="000000" w:fill="FFFFFF"/>
            <w:noWrap/>
            <w:vAlign w:val="bottom"/>
            <w:hideMark/>
          </w:tcPr>
          <w:p w14:paraId="0069B6E3" w14:textId="24A9821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184,515</w:t>
            </w:r>
          </w:p>
        </w:tc>
        <w:tc>
          <w:tcPr>
            <w:tcW w:w="349" w:type="pct"/>
            <w:tcBorders>
              <w:top w:val="nil"/>
              <w:left w:val="nil"/>
              <w:bottom w:val="single" w:sz="4" w:space="0" w:color="auto"/>
              <w:right w:val="single" w:sz="4" w:space="0" w:color="auto"/>
            </w:tcBorders>
            <w:shd w:val="clear" w:color="000000" w:fill="FFFFFF"/>
            <w:noWrap/>
            <w:vAlign w:val="bottom"/>
            <w:hideMark/>
          </w:tcPr>
          <w:p w14:paraId="7299D9D6" w14:textId="742EF07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510,315</w:t>
            </w:r>
          </w:p>
        </w:tc>
        <w:tc>
          <w:tcPr>
            <w:tcW w:w="349" w:type="pct"/>
            <w:tcBorders>
              <w:top w:val="nil"/>
              <w:left w:val="nil"/>
              <w:bottom w:val="single" w:sz="4" w:space="0" w:color="auto"/>
              <w:right w:val="single" w:sz="4" w:space="0" w:color="auto"/>
            </w:tcBorders>
            <w:shd w:val="clear" w:color="000000" w:fill="FFFFFF"/>
            <w:noWrap/>
            <w:vAlign w:val="bottom"/>
            <w:hideMark/>
          </w:tcPr>
          <w:p w14:paraId="1346C981" w14:textId="4FACE0B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675,315</w:t>
            </w:r>
          </w:p>
        </w:tc>
        <w:tc>
          <w:tcPr>
            <w:tcW w:w="349" w:type="pct"/>
            <w:tcBorders>
              <w:top w:val="nil"/>
              <w:left w:val="nil"/>
              <w:bottom w:val="single" w:sz="4" w:space="0" w:color="auto"/>
              <w:right w:val="single" w:sz="4" w:space="0" w:color="auto"/>
            </w:tcBorders>
            <w:shd w:val="clear" w:color="000000" w:fill="FFFFFF"/>
            <w:noWrap/>
            <w:vAlign w:val="bottom"/>
            <w:hideMark/>
          </w:tcPr>
          <w:p w14:paraId="1DAD04CD" w14:textId="5BC32EE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601,815</w:t>
            </w:r>
          </w:p>
        </w:tc>
        <w:tc>
          <w:tcPr>
            <w:tcW w:w="349" w:type="pct"/>
            <w:tcBorders>
              <w:top w:val="nil"/>
              <w:left w:val="nil"/>
              <w:bottom w:val="single" w:sz="4" w:space="0" w:color="auto"/>
              <w:right w:val="single" w:sz="4" w:space="0" w:color="auto"/>
            </w:tcBorders>
            <w:shd w:val="clear" w:color="000000" w:fill="FFFFFF"/>
            <w:noWrap/>
            <w:vAlign w:val="bottom"/>
            <w:hideMark/>
          </w:tcPr>
          <w:p w14:paraId="119DE306" w14:textId="6318163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347,175</w:t>
            </w:r>
          </w:p>
        </w:tc>
        <w:tc>
          <w:tcPr>
            <w:tcW w:w="349" w:type="pct"/>
            <w:tcBorders>
              <w:top w:val="nil"/>
              <w:left w:val="nil"/>
              <w:bottom w:val="single" w:sz="4" w:space="0" w:color="auto"/>
              <w:right w:val="single" w:sz="4" w:space="0" w:color="auto"/>
            </w:tcBorders>
            <w:shd w:val="clear" w:color="000000" w:fill="FFFFFF"/>
            <w:noWrap/>
            <w:vAlign w:val="bottom"/>
            <w:hideMark/>
          </w:tcPr>
          <w:p w14:paraId="711B19A5" w14:textId="41B8357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513,765</w:t>
            </w:r>
          </w:p>
        </w:tc>
        <w:tc>
          <w:tcPr>
            <w:tcW w:w="349" w:type="pct"/>
            <w:tcBorders>
              <w:top w:val="nil"/>
              <w:left w:val="nil"/>
              <w:bottom w:val="single" w:sz="4" w:space="0" w:color="auto"/>
              <w:right w:val="single" w:sz="4" w:space="0" w:color="auto"/>
            </w:tcBorders>
            <w:shd w:val="clear" w:color="000000" w:fill="FFFFFF"/>
            <w:noWrap/>
            <w:vAlign w:val="bottom"/>
            <w:hideMark/>
          </w:tcPr>
          <w:p w14:paraId="37B3BF2F" w14:textId="4E750D1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346,560</w:t>
            </w:r>
          </w:p>
        </w:tc>
        <w:tc>
          <w:tcPr>
            <w:tcW w:w="349" w:type="pct"/>
            <w:tcBorders>
              <w:top w:val="nil"/>
              <w:left w:val="nil"/>
              <w:bottom w:val="single" w:sz="4" w:space="0" w:color="auto"/>
              <w:right w:val="single" w:sz="4" w:space="0" w:color="auto"/>
            </w:tcBorders>
            <w:shd w:val="clear" w:color="000000" w:fill="FFFFFF"/>
            <w:noWrap/>
            <w:vAlign w:val="bottom"/>
            <w:hideMark/>
          </w:tcPr>
          <w:p w14:paraId="05BA4BD0" w14:textId="351B757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174,855</w:t>
            </w:r>
          </w:p>
        </w:tc>
        <w:tc>
          <w:tcPr>
            <w:tcW w:w="349" w:type="pct"/>
            <w:tcBorders>
              <w:top w:val="nil"/>
              <w:left w:val="nil"/>
              <w:bottom w:val="single" w:sz="4" w:space="0" w:color="auto"/>
              <w:right w:val="single" w:sz="4" w:space="0" w:color="auto"/>
            </w:tcBorders>
            <w:shd w:val="clear" w:color="000000" w:fill="FFFFFF"/>
            <w:noWrap/>
            <w:vAlign w:val="bottom"/>
            <w:hideMark/>
          </w:tcPr>
          <w:p w14:paraId="56FB26F4" w14:textId="6653014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496,065</w:t>
            </w:r>
          </w:p>
        </w:tc>
        <w:tc>
          <w:tcPr>
            <w:tcW w:w="379" w:type="pct"/>
            <w:tcBorders>
              <w:top w:val="nil"/>
              <w:left w:val="nil"/>
              <w:bottom w:val="single" w:sz="4" w:space="0" w:color="auto"/>
              <w:right w:val="single" w:sz="8" w:space="0" w:color="auto"/>
            </w:tcBorders>
            <w:shd w:val="clear" w:color="000000" w:fill="FFFFFF"/>
            <w:noWrap/>
            <w:vAlign w:val="bottom"/>
            <w:hideMark/>
          </w:tcPr>
          <w:p w14:paraId="7C1247E9" w14:textId="74D8813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5,336,505</w:t>
            </w:r>
          </w:p>
        </w:tc>
      </w:tr>
      <w:tr w:rsidR="00CA1084" w:rsidRPr="00E47FB2" w14:paraId="3C68DCAE"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7B43E9EC"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Tomate Ens.</w:t>
            </w:r>
          </w:p>
        </w:tc>
        <w:tc>
          <w:tcPr>
            <w:tcW w:w="349" w:type="pct"/>
            <w:tcBorders>
              <w:top w:val="nil"/>
              <w:left w:val="nil"/>
              <w:bottom w:val="single" w:sz="4" w:space="0" w:color="auto"/>
              <w:right w:val="single" w:sz="4" w:space="0" w:color="auto"/>
            </w:tcBorders>
            <w:shd w:val="clear" w:color="000000" w:fill="FFFFFF"/>
            <w:noWrap/>
            <w:vAlign w:val="bottom"/>
            <w:hideMark/>
          </w:tcPr>
          <w:p w14:paraId="7771F7C5" w14:textId="798DDDD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101,244</w:t>
            </w:r>
          </w:p>
        </w:tc>
        <w:tc>
          <w:tcPr>
            <w:tcW w:w="349" w:type="pct"/>
            <w:tcBorders>
              <w:top w:val="nil"/>
              <w:left w:val="nil"/>
              <w:bottom w:val="single" w:sz="4" w:space="0" w:color="auto"/>
              <w:right w:val="single" w:sz="4" w:space="0" w:color="auto"/>
            </w:tcBorders>
            <w:shd w:val="clear" w:color="000000" w:fill="FFFFFF"/>
            <w:noWrap/>
            <w:vAlign w:val="bottom"/>
            <w:hideMark/>
          </w:tcPr>
          <w:p w14:paraId="6A3B3647" w14:textId="1F27E40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61,201</w:t>
            </w:r>
          </w:p>
        </w:tc>
        <w:tc>
          <w:tcPr>
            <w:tcW w:w="349" w:type="pct"/>
            <w:tcBorders>
              <w:top w:val="nil"/>
              <w:left w:val="nil"/>
              <w:bottom w:val="single" w:sz="4" w:space="0" w:color="auto"/>
              <w:right w:val="single" w:sz="4" w:space="0" w:color="auto"/>
            </w:tcBorders>
            <w:shd w:val="clear" w:color="000000" w:fill="FFFFFF"/>
            <w:noWrap/>
            <w:vAlign w:val="bottom"/>
            <w:hideMark/>
          </w:tcPr>
          <w:p w14:paraId="7C9E296A" w14:textId="20D3722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59,895</w:t>
            </w:r>
          </w:p>
        </w:tc>
        <w:tc>
          <w:tcPr>
            <w:tcW w:w="349" w:type="pct"/>
            <w:tcBorders>
              <w:top w:val="nil"/>
              <w:left w:val="nil"/>
              <w:bottom w:val="single" w:sz="4" w:space="0" w:color="auto"/>
              <w:right w:val="single" w:sz="4" w:space="0" w:color="auto"/>
            </w:tcBorders>
            <w:shd w:val="clear" w:color="000000" w:fill="FFFFFF"/>
            <w:noWrap/>
            <w:vAlign w:val="bottom"/>
            <w:hideMark/>
          </w:tcPr>
          <w:p w14:paraId="5AA7CFBA" w14:textId="2DB056F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61,204</w:t>
            </w:r>
          </w:p>
        </w:tc>
        <w:tc>
          <w:tcPr>
            <w:tcW w:w="349" w:type="pct"/>
            <w:tcBorders>
              <w:top w:val="nil"/>
              <w:left w:val="nil"/>
              <w:bottom w:val="single" w:sz="4" w:space="0" w:color="auto"/>
              <w:right w:val="single" w:sz="4" w:space="0" w:color="auto"/>
            </w:tcBorders>
            <w:shd w:val="clear" w:color="000000" w:fill="FFFFFF"/>
            <w:noWrap/>
            <w:vAlign w:val="bottom"/>
            <w:hideMark/>
          </w:tcPr>
          <w:p w14:paraId="72D8F519" w14:textId="37094A4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39,458</w:t>
            </w:r>
          </w:p>
        </w:tc>
        <w:tc>
          <w:tcPr>
            <w:tcW w:w="349" w:type="pct"/>
            <w:tcBorders>
              <w:top w:val="nil"/>
              <w:left w:val="nil"/>
              <w:bottom w:val="single" w:sz="4" w:space="0" w:color="auto"/>
              <w:right w:val="single" w:sz="4" w:space="0" w:color="auto"/>
            </w:tcBorders>
            <w:shd w:val="clear" w:color="000000" w:fill="FFFFFF"/>
            <w:noWrap/>
            <w:vAlign w:val="bottom"/>
            <w:hideMark/>
          </w:tcPr>
          <w:p w14:paraId="083FBAD1" w14:textId="4FF93DB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53,998</w:t>
            </w:r>
          </w:p>
        </w:tc>
        <w:tc>
          <w:tcPr>
            <w:tcW w:w="349" w:type="pct"/>
            <w:tcBorders>
              <w:top w:val="nil"/>
              <w:left w:val="nil"/>
              <w:bottom w:val="single" w:sz="4" w:space="0" w:color="auto"/>
              <w:right w:val="single" w:sz="4" w:space="0" w:color="auto"/>
            </w:tcBorders>
            <w:shd w:val="clear" w:color="000000" w:fill="FFFFFF"/>
            <w:noWrap/>
            <w:vAlign w:val="bottom"/>
            <w:hideMark/>
          </w:tcPr>
          <w:p w14:paraId="0FEEABC9" w14:textId="407709E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44,521</w:t>
            </w:r>
          </w:p>
        </w:tc>
        <w:tc>
          <w:tcPr>
            <w:tcW w:w="349" w:type="pct"/>
            <w:tcBorders>
              <w:top w:val="nil"/>
              <w:left w:val="nil"/>
              <w:bottom w:val="single" w:sz="4" w:space="0" w:color="auto"/>
              <w:right w:val="single" w:sz="4" w:space="0" w:color="auto"/>
            </w:tcBorders>
            <w:shd w:val="clear" w:color="000000" w:fill="FFFFFF"/>
            <w:noWrap/>
            <w:vAlign w:val="bottom"/>
            <w:hideMark/>
          </w:tcPr>
          <w:p w14:paraId="5240F8EA" w14:textId="19500D3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53,981</w:t>
            </w:r>
          </w:p>
        </w:tc>
        <w:tc>
          <w:tcPr>
            <w:tcW w:w="349" w:type="pct"/>
            <w:tcBorders>
              <w:top w:val="nil"/>
              <w:left w:val="nil"/>
              <w:bottom w:val="single" w:sz="4" w:space="0" w:color="auto"/>
              <w:right w:val="single" w:sz="4" w:space="0" w:color="auto"/>
            </w:tcBorders>
            <w:shd w:val="clear" w:color="000000" w:fill="FFFFFF"/>
            <w:noWrap/>
            <w:vAlign w:val="bottom"/>
            <w:hideMark/>
          </w:tcPr>
          <w:p w14:paraId="2199FA02" w14:textId="403CD3C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66,451</w:t>
            </w:r>
          </w:p>
        </w:tc>
        <w:tc>
          <w:tcPr>
            <w:tcW w:w="349" w:type="pct"/>
            <w:tcBorders>
              <w:top w:val="nil"/>
              <w:left w:val="nil"/>
              <w:bottom w:val="single" w:sz="4" w:space="0" w:color="auto"/>
              <w:right w:val="single" w:sz="4" w:space="0" w:color="auto"/>
            </w:tcBorders>
            <w:shd w:val="clear" w:color="000000" w:fill="FFFFFF"/>
            <w:noWrap/>
            <w:vAlign w:val="bottom"/>
            <w:hideMark/>
          </w:tcPr>
          <w:p w14:paraId="2B18DFC4" w14:textId="702D696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52,587</w:t>
            </w:r>
          </w:p>
        </w:tc>
        <w:tc>
          <w:tcPr>
            <w:tcW w:w="349" w:type="pct"/>
            <w:tcBorders>
              <w:top w:val="nil"/>
              <w:left w:val="nil"/>
              <w:bottom w:val="single" w:sz="4" w:space="0" w:color="auto"/>
              <w:right w:val="single" w:sz="4" w:space="0" w:color="auto"/>
            </w:tcBorders>
            <w:shd w:val="clear" w:color="000000" w:fill="FFFFFF"/>
            <w:noWrap/>
            <w:vAlign w:val="bottom"/>
            <w:hideMark/>
          </w:tcPr>
          <w:p w14:paraId="744D2F27" w14:textId="47AB0B0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58,131</w:t>
            </w:r>
          </w:p>
        </w:tc>
        <w:tc>
          <w:tcPr>
            <w:tcW w:w="349" w:type="pct"/>
            <w:tcBorders>
              <w:top w:val="nil"/>
              <w:left w:val="nil"/>
              <w:bottom w:val="single" w:sz="4" w:space="0" w:color="auto"/>
              <w:right w:val="single" w:sz="4" w:space="0" w:color="auto"/>
            </w:tcBorders>
            <w:shd w:val="clear" w:color="000000" w:fill="FFFFFF"/>
            <w:noWrap/>
            <w:vAlign w:val="bottom"/>
            <w:hideMark/>
          </w:tcPr>
          <w:p w14:paraId="5016D9E9" w14:textId="1C8BF2D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82,091</w:t>
            </w:r>
          </w:p>
        </w:tc>
        <w:tc>
          <w:tcPr>
            <w:tcW w:w="379" w:type="pct"/>
            <w:tcBorders>
              <w:top w:val="nil"/>
              <w:left w:val="nil"/>
              <w:bottom w:val="single" w:sz="4" w:space="0" w:color="auto"/>
              <w:right w:val="single" w:sz="8" w:space="0" w:color="auto"/>
            </w:tcBorders>
            <w:shd w:val="clear" w:color="000000" w:fill="FFFFFF"/>
            <w:noWrap/>
            <w:vAlign w:val="bottom"/>
            <w:hideMark/>
          </w:tcPr>
          <w:p w14:paraId="17B2AB78" w14:textId="6919296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734,762</w:t>
            </w:r>
          </w:p>
        </w:tc>
      </w:tr>
      <w:tr w:rsidR="00CA1084" w:rsidRPr="00E47FB2" w14:paraId="06C95C95"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1DE6E0FF"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Tomate Ind.</w:t>
            </w:r>
          </w:p>
        </w:tc>
        <w:tc>
          <w:tcPr>
            <w:tcW w:w="349" w:type="pct"/>
            <w:tcBorders>
              <w:top w:val="nil"/>
              <w:left w:val="nil"/>
              <w:bottom w:val="single" w:sz="4" w:space="0" w:color="auto"/>
              <w:right w:val="single" w:sz="4" w:space="0" w:color="auto"/>
            </w:tcBorders>
            <w:shd w:val="clear" w:color="000000" w:fill="FFFFFF"/>
            <w:noWrap/>
            <w:vAlign w:val="bottom"/>
            <w:hideMark/>
          </w:tcPr>
          <w:p w14:paraId="3D524BB0" w14:textId="5802771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917,415</w:t>
            </w:r>
          </w:p>
        </w:tc>
        <w:tc>
          <w:tcPr>
            <w:tcW w:w="349" w:type="pct"/>
            <w:tcBorders>
              <w:top w:val="nil"/>
              <w:left w:val="nil"/>
              <w:bottom w:val="single" w:sz="4" w:space="0" w:color="auto"/>
              <w:right w:val="single" w:sz="4" w:space="0" w:color="auto"/>
            </w:tcBorders>
            <w:shd w:val="clear" w:color="000000" w:fill="FFFFFF"/>
            <w:noWrap/>
            <w:vAlign w:val="bottom"/>
            <w:hideMark/>
          </w:tcPr>
          <w:p w14:paraId="192E697E" w14:textId="09CB832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1,613,715</w:t>
            </w:r>
          </w:p>
        </w:tc>
        <w:tc>
          <w:tcPr>
            <w:tcW w:w="349" w:type="pct"/>
            <w:tcBorders>
              <w:top w:val="nil"/>
              <w:left w:val="nil"/>
              <w:bottom w:val="single" w:sz="4" w:space="0" w:color="auto"/>
              <w:right w:val="single" w:sz="4" w:space="0" w:color="auto"/>
            </w:tcBorders>
            <w:shd w:val="clear" w:color="000000" w:fill="FFFFFF"/>
            <w:noWrap/>
            <w:vAlign w:val="bottom"/>
            <w:hideMark/>
          </w:tcPr>
          <w:p w14:paraId="2491D659" w14:textId="427FAE1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1,749,455</w:t>
            </w:r>
          </w:p>
        </w:tc>
        <w:tc>
          <w:tcPr>
            <w:tcW w:w="349" w:type="pct"/>
            <w:tcBorders>
              <w:top w:val="nil"/>
              <w:left w:val="nil"/>
              <w:bottom w:val="single" w:sz="4" w:space="0" w:color="auto"/>
              <w:right w:val="single" w:sz="4" w:space="0" w:color="auto"/>
            </w:tcBorders>
            <w:shd w:val="clear" w:color="000000" w:fill="FFFFFF"/>
            <w:noWrap/>
            <w:vAlign w:val="bottom"/>
            <w:hideMark/>
          </w:tcPr>
          <w:p w14:paraId="09D8EA6E" w14:textId="37510DC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752,148</w:t>
            </w:r>
          </w:p>
        </w:tc>
        <w:tc>
          <w:tcPr>
            <w:tcW w:w="349" w:type="pct"/>
            <w:tcBorders>
              <w:top w:val="nil"/>
              <w:left w:val="nil"/>
              <w:bottom w:val="single" w:sz="4" w:space="0" w:color="auto"/>
              <w:right w:val="single" w:sz="4" w:space="0" w:color="auto"/>
            </w:tcBorders>
            <w:shd w:val="clear" w:color="000000" w:fill="FFFFFF"/>
            <w:noWrap/>
            <w:vAlign w:val="bottom"/>
            <w:hideMark/>
          </w:tcPr>
          <w:p w14:paraId="61A6261F" w14:textId="62EA5D6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3E115AE3" w14:textId="360B374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3AD89852" w14:textId="12EE6FB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2258642C" w14:textId="12E2F25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3407B26B" w14:textId="356595E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265482D2" w14:textId="04F8FA7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132B84DD" w14:textId="5174267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0794CC35" w14:textId="10B135C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w:t>
            </w:r>
          </w:p>
        </w:tc>
        <w:tc>
          <w:tcPr>
            <w:tcW w:w="379" w:type="pct"/>
            <w:tcBorders>
              <w:top w:val="nil"/>
              <w:left w:val="nil"/>
              <w:bottom w:val="single" w:sz="4" w:space="0" w:color="auto"/>
              <w:right w:val="single" w:sz="8" w:space="0" w:color="auto"/>
            </w:tcBorders>
            <w:shd w:val="clear" w:color="000000" w:fill="FFFFFF"/>
            <w:noWrap/>
            <w:vAlign w:val="bottom"/>
            <w:hideMark/>
          </w:tcPr>
          <w:p w14:paraId="726AD063" w14:textId="1BD30F9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5,032,733</w:t>
            </w:r>
          </w:p>
        </w:tc>
      </w:tr>
      <w:tr w:rsidR="00CA1084" w:rsidRPr="00E47FB2" w14:paraId="0FC25F24"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75F161EB"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Zanahoria</w:t>
            </w:r>
          </w:p>
        </w:tc>
        <w:tc>
          <w:tcPr>
            <w:tcW w:w="349" w:type="pct"/>
            <w:tcBorders>
              <w:top w:val="nil"/>
              <w:left w:val="nil"/>
              <w:bottom w:val="single" w:sz="4" w:space="0" w:color="auto"/>
              <w:right w:val="single" w:sz="4" w:space="0" w:color="auto"/>
            </w:tcBorders>
            <w:shd w:val="clear" w:color="000000" w:fill="FFFFFF"/>
            <w:noWrap/>
            <w:vAlign w:val="bottom"/>
            <w:hideMark/>
          </w:tcPr>
          <w:p w14:paraId="48467180" w14:textId="7871769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76,984</w:t>
            </w:r>
          </w:p>
        </w:tc>
        <w:tc>
          <w:tcPr>
            <w:tcW w:w="349" w:type="pct"/>
            <w:tcBorders>
              <w:top w:val="nil"/>
              <w:left w:val="nil"/>
              <w:bottom w:val="single" w:sz="4" w:space="0" w:color="auto"/>
              <w:right w:val="single" w:sz="4" w:space="0" w:color="auto"/>
            </w:tcBorders>
            <w:shd w:val="clear" w:color="000000" w:fill="FFFFFF"/>
            <w:noWrap/>
            <w:vAlign w:val="bottom"/>
            <w:hideMark/>
          </w:tcPr>
          <w:p w14:paraId="517D2287" w14:textId="1325097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72,460</w:t>
            </w:r>
          </w:p>
        </w:tc>
        <w:tc>
          <w:tcPr>
            <w:tcW w:w="349" w:type="pct"/>
            <w:tcBorders>
              <w:top w:val="nil"/>
              <w:left w:val="nil"/>
              <w:bottom w:val="single" w:sz="4" w:space="0" w:color="auto"/>
              <w:right w:val="single" w:sz="4" w:space="0" w:color="auto"/>
            </w:tcBorders>
            <w:shd w:val="clear" w:color="000000" w:fill="FFFFFF"/>
            <w:noWrap/>
            <w:vAlign w:val="bottom"/>
            <w:hideMark/>
          </w:tcPr>
          <w:p w14:paraId="48A26584" w14:textId="72704EC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119,854</w:t>
            </w:r>
          </w:p>
        </w:tc>
        <w:tc>
          <w:tcPr>
            <w:tcW w:w="349" w:type="pct"/>
            <w:tcBorders>
              <w:top w:val="nil"/>
              <w:left w:val="nil"/>
              <w:bottom w:val="single" w:sz="4" w:space="0" w:color="auto"/>
              <w:right w:val="single" w:sz="4" w:space="0" w:color="auto"/>
            </w:tcBorders>
            <w:shd w:val="clear" w:color="000000" w:fill="FFFFFF"/>
            <w:noWrap/>
            <w:vAlign w:val="bottom"/>
            <w:hideMark/>
          </w:tcPr>
          <w:p w14:paraId="191D55F1" w14:textId="596CD76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62,014</w:t>
            </w:r>
          </w:p>
        </w:tc>
        <w:tc>
          <w:tcPr>
            <w:tcW w:w="349" w:type="pct"/>
            <w:tcBorders>
              <w:top w:val="nil"/>
              <w:left w:val="nil"/>
              <w:bottom w:val="single" w:sz="4" w:space="0" w:color="auto"/>
              <w:right w:val="single" w:sz="4" w:space="0" w:color="auto"/>
            </w:tcBorders>
            <w:shd w:val="clear" w:color="000000" w:fill="FFFFFF"/>
            <w:noWrap/>
            <w:vAlign w:val="bottom"/>
            <w:hideMark/>
          </w:tcPr>
          <w:p w14:paraId="1576C1FD" w14:textId="7CF34D4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70,201</w:t>
            </w:r>
          </w:p>
        </w:tc>
        <w:tc>
          <w:tcPr>
            <w:tcW w:w="349" w:type="pct"/>
            <w:tcBorders>
              <w:top w:val="nil"/>
              <w:left w:val="nil"/>
              <w:bottom w:val="single" w:sz="4" w:space="0" w:color="auto"/>
              <w:right w:val="single" w:sz="4" w:space="0" w:color="auto"/>
            </w:tcBorders>
            <w:shd w:val="clear" w:color="000000" w:fill="FFFFFF"/>
            <w:noWrap/>
            <w:vAlign w:val="bottom"/>
            <w:hideMark/>
          </w:tcPr>
          <w:p w14:paraId="07FCCCAC" w14:textId="4E641EE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115,245</w:t>
            </w:r>
          </w:p>
        </w:tc>
        <w:tc>
          <w:tcPr>
            <w:tcW w:w="349" w:type="pct"/>
            <w:tcBorders>
              <w:top w:val="nil"/>
              <w:left w:val="nil"/>
              <w:bottom w:val="single" w:sz="4" w:space="0" w:color="auto"/>
              <w:right w:val="single" w:sz="4" w:space="0" w:color="auto"/>
            </w:tcBorders>
            <w:shd w:val="clear" w:color="000000" w:fill="FFFFFF"/>
            <w:noWrap/>
            <w:vAlign w:val="bottom"/>
            <w:hideMark/>
          </w:tcPr>
          <w:p w14:paraId="08449A16" w14:textId="6E4726B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99,998</w:t>
            </w:r>
          </w:p>
        </w:tc>
        <w:tc>
          <w:tcPr>
            <w:tcW w:w="349" w:type="pct"/>
            <w:tcBorders>
              <w:top w:val="nil"/>
              <w:left w:val="nil"/>
              <w:bottom w:val="single" w:sz="4" w:space="0" w:color="auto"/>
              <w:right w:val="single" w:sz="4" w:space="0" w:color="auto"/>
            </w:tcBorders>
            <w:shd w:val="clear" w:color="000000" w:fill="FFFFFF"/>
            <w:noWrap/>
            <w:vAlign w:val="bottom"/>
            <w:hideMark/>
          </w:tcPr>
          <w:p w14:paraId="4AD7E8ED" w14:textId="5D08B54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96,970</w:t>
            </w:r>
          </w:p>
        </w:tc>
        <w:tc>
          <w:tcPr>
            <w:tcW w:w="349" w:type="pct"/>
            <w:tcBorders>
              <w:top w:val="nil"/>
              <w:left w:val="nil"/>
              <w:bottom w:val="single" w:sz="4" w:space="0" w:color="auto"/>
              <w:right w:val="single" w:sz="4" w:space="0" w:color="auto"/>
            </w:tcBorders>
            <w:shd w:val="clear" w:color="000000" w:fill="FFFFFF"/>
            <w:noWrap/>
            <w:vAlign w:val="bottom"/>
            <w:hideMark/>
          </w:tcPr>
          <w:p w14:paraId="580FA902" w14:textId="0DF0504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98,995</w:t>
            </w:r>
          </w:p>
        </w:tc>
        <w:tc>
          <w:tcPr>
            <w:tcW w:w="349" w:type="pct"/>
            <w:tcBorders>
              <w:top w:val="nil"/>
              <w:left w:val="nil"/>
              <w:bottom w:val="single" w:sz="4" w:space="0" w:color="auto"/>
              <w:right w:val="single" w:sz="4" w:space="0" w:color="auto"/>
            </w:tcBorders>
            <w:shd w:val="clear" w:color="000000" w:fill="FFFFFF"/>
            <w:noWrap/>
            <w:vAlign w:val="bottom"/>
            <w:hideMark/>
          </w:tcPr>
          <w:p w14:paraId="6BD3948E" w14:textId="0CE62EA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93,458</w:t>
            </w:r>
          </w:p>
        </w:tc>
        <w:tc>
          <w:tcPr>
            <w:tcW w:w="349" w:type="pct"/>
            <w:tcBorders>
              <w:top w:val="nil"/>
              <w:left w:val="nil"/>
              <w:bottom w:val="single" w:sz="4" w:space="0" w:color="auto"/>
              <w:right w:val="single" w:sz="4" w:space="0" w:color="auto"/>
            </w:tcBorders>
            <w:shd w:val="clear" w:color="000000" w:fill="FFFFFF"/>
            <w:noWrap/>
            <w:vAlign w:val="bottom"/>
            <w:hideMark/>
          </w:tcPr>
          <w:p w14:paraId="2EF6FBD4" w14:textId="57ECB15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84,584</w:t>
            </w:r>
          </w:p>
        </w:tc>
        <w:tc>
          <w:tcPr>
            <w:tcW w:w="349" w:type="pct"/>
            <w:tcBorders>
              <w:top w:val="nil"/>
              <w:left w:val="nil"/>
              <w:bottom w:val="single" w:sz="4" w:space="0" w:color="auto"/>
              <w:right w:val="single" w:sz="4" w:space="0" w:color="auto"/>
            </w:tcBorders>
            <w:shd w:val="clear" w:color="000000" w:fill="FFFFFF"/>
            <w:noWrap/>
            <w:vAlign w:val="bottom"/>
            <w:hideMark/>
          </w:tcPr>
          <w:p w14:paraId="5427D1C0" w14:textId="17F0C7D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88,751</w:t>
            </w:r>
          </w:p>
        </w:tc>
        <w:tc>
          <w:tcPr>
            <w:tcW w:w="379" w:type="pct"/>
            <w:tcBorders>
              <w:top w:val="nil"/>
              <w:left w:val="nil"/>
              <w:bottom w:val="single" w:sz="4" w:space="0" w:color="auto"/>
              <w:right w:val="single" w:sz="8" w:space="0" w:color="auto"/>
            </w:tcBorders>
            <w:shd w:val="clear" w:color="000000" w:fill="FFFFFF"/>
            <w:noWrap/>
            <w:vAlign w:val="bottom"/>
            <w:hideMark/>
          </w:tcPr>
          <w:p w14:paraId="16A69582" w14:textId="4DD80D0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1,079,514</w:t>
            </w:r>
          </w:p>
        </w:tc>
      </w:tr>
      <w:tr w:rsidR="00CA1084" w:rsidRPr="00E47FB2" w14:paraId="203C2A2F"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2EC8A36C"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Remolacha</w:t>
            </w:r>
          </w:p>
        </w:tc>
        <w:tc>
          <w:tcPr>
            <w:tcW w:w="349" w:type="pct"/>
            <w:tcBorders>
              <w:top w:val="nil"/>
              <w:left w:val="nil"/>
              <w:bottom w:val="single" w:sz="4" w:space="0" w:color="auto"/>
              <w:right w:val="single" w:sz="4" w:space="0" w:color="auto"/>
            </w:tcBorders>
            <w:shd w:val="clear" w:color="000000" w:fill="FFFFFF"/>
            <w:noWrap/>
            <w:vAlign w:val="bottom"/>
            <w:hideMark/>
          </w:tcPr>
          <w:p w14:paraId="62323AAD" w14:textId="3F70A02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25,411</w:t>
            </w:r>
          </w:p>
        </w:tc>
        <w:tc>
          <w:tcPr>
            <w:tcW w:w="349" w:type="pct"/>
            <w:tcBorders>
              <w:top w:val="nil"/>
              <w:left w:val="nil"/>
              <w:bottom w:val="single" w:sz="4" w:space="0" w:color="auto"/>
              <w:right w:val="single" w:sz="4" w:space="0" w:color="auto"/>
            </w:tcBorders>
            <w:shd w:val="clear" w:color="000000" w:fill="FFFFFF"/>
            <w:noWrap/>
            <w:vAlign w:val="bottom"/>
            <w:hideMark/>
          </w:tcPr>
          <w:p w14:paraId="3C01F3E3" w14:textId="68140F8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23,832</w:t>
            </w:r>
          </w:p>
        </w:tc>
        <w:tc>
          <w:tcPr>
            <w:tcW w:w="349" w:type="pct"/>
            <w:tcBorders>
              <w:top w:val="nil"/>
              <w:left w:val="nil"/>
              <w:bottom w:val="single" w:sz="4" w:space="0" w:color="auto"/>
              <w:right w:val="single" w:sz="4" w:space="0" w:color="auto"/>
            </w:tcBorders>
            <w:shd w:val="clear" w:color="000000" w:fill="FFFFFF"/>
            <w:noWrap/>
            <w:vAlign w:val="bottom"/>
            <w:hideMark/>
          </w:tcPr>
          <w:p w14:paraId="31F61AAA" w14:textId="3C33CE3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12,457</w:t>
            </w:r>
          </w:p>
        </w:tc>
        <w:tc>
          <w:tcPr>
            <w:tcW w:w="349" w:type="pct"/>
            <w:tcBorders>
              <w:top w:val="nil"/>
              <w:left w:val="nil"/>
              <w:bottom w:val="single" w:sz="4" w:space="0" w:color="auto"/>
              <w:right w:val="single" w:sz="4" w:space="0" w:color="auto"/>
            </w:tcBorders>
            <w:shd w:val="clear" w:color="000000" w:fill="FFFFFF"/>
            <w:noWrap/>
            <w:vAlign w:val="bottom"/>
            <w:hideMark/>
          </w:tcPr>
          <w:p w14:paraId="4969C55F" w14:textId="20B8B2F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20,256</w:t>
            </w:r>
          </w:p>
        </w:tc>
        <w:tc>
          <w:tcPr>
            <w:tcW w:w="349" w:type="pct"/>
            <w:tcBorders>
              <w:top w:val="nil"/>
              <w:left w:val="nil"/>
              <w:bottom w:val="single" w:sz="4" w:space="0" w:color="auto"/>
              <w:right w:val="single" w:sz="4" w:space="0" w:color="auto"/>
            </w:tcBorders>
            <w:shd w:val="clear" w:color="000000" w:fill="FFFFFF"/>
            <w:noWrap/>
            <w:vAlign w:val="bottom"/>
            <w:hideMark/>
          </w:tcPr>
          <w:p w14:paraId="79C5B0A3" w14:textId="56E1D92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17,258</w:t>
            </w:r>
          </w:p>
        </w:tc>
        <w:tc>
          <w:tcPr>
            <w:tcW w:w="349" w:type="pct"/>
            <w:tcBorders>
              <w:top w:val="nil"/>
              <w:left w:val="nil"/>
              <w:bottom w:val="single" w:sz="4" w:space="0" w:color="auto"/>
              <w:right w:val="single" w:sz="4" w:space="0" w:color="auto"/>
            </w:tcBorders>
            <w:shd w:val="clear" w:color="000000" w:fill="FFFFFF"/>
            <w:noWrap/>
            <w:vAlign w:val="bottom"/>
            <w:hideMark/>
          </w:tcPr>
          <w:p w14:paraId="30166955" w14:textId="354A9C1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15,214</w:t>
            </w:r>
          </w:p>
        </w:tc>
        <w:tc>
          <w:tcPr>
            <w:tcW w:w="349" w:type="pct"/>
            <w:tcBorders>
              <w:top w:val="nil"/>
              <w:left w:val="nil"/>
              <w:bottom w:val="single" w:sz="4" w:space="0" w:color="auto"/>
              <w:right w:val="single" w:sz="4" w:space="0" w:color="auto"/>
            </w:tcBorders>
            <w:shd w:val="clear" w:color="000000" w:fill="FFFFFF"/>
            <w:noWrap/>
            <w:vAlign w:val="bottom"/>
            <w:hideMark/>
          </w:tcPr>
          <w:p w14:paraId="66D3AF21" w14:textId="48B5DD8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16,989</w:t>
            </w:r>
          </w:p>
        </w:tc>
        <w:tc>
          <w:tcPr>
            <w:tcW w:w="349" w:type="pct"/>
            <w:tcBorders>
              <w:top w:val="nil"/>
              <w:left w:val="nil"/>
              <w:bottom w:val="single" w:sz="4" w:space="0" w:color="auto"/>
              <w:right w:val="single" w:sz="4" w:space="0" w:color="auto"/>
            </w:tcBorders>
            <w:shd w:val="clear" w:color="000000" w:fill="FFFFFF"/>
            <w:noWrap/>
            <w:vAlign w:val="bottom"/>
            <w:hideMark/>
          </w:tcPr>
          <w:p w14:paraId="61F2693E" w14:textId="2C414A7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14,214</w:t>
            </w:r>
          </w:p>
        </w:tc>
        <w:tc>
          <w:tcPr>
            <w:tcW w:w="349" w:type="pct"/>
            <w:tcBorders>
              <w:top w:val="nil"/>
              <w:left w:val="nil"/>
              <w:bottom w:val="single" w:sz="4" w:space="0" w:color="auto"/>
              <w:right w:val="single" w:sz="4" w:space="0" w:color="auto"/>
            </w:tcBorders>
            <w:shd w:val="clear" w:color="000000" w:fill="FFFFFF"/>
            <w:noWrap/>
            <w:vAlign w:val="bottom"/>
            <w:hideMark/>
          </w:tcPr>
          <w:p w14:paraId="2BBC4AB6" w14:textId="0AA3F25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16,024</w:t>
            </w:r>
          </w:p>
        </w:tc>
        <w:tc>
          <w:tcPr>
            <w:tcW w:w="349" w:type="pct"/>
            <w:tcBorders>
              <w:top w:val="nil"/>
              <w:left w:val="nil"/>
              <w:bottom w:val="single" w:sz="4" w:space="0" w:color="auto"/>
              <w:right w:val="single" w:sz="4" w:space="0" w:color="auto"/>
            </w:tcBorders>
            <w:shd w:val="clear" w:color="000000" w:fill="FFFFFF"/>
            <w:noWrap/>
            <w:vAlign w:val="bottom"/>
            <w:hideMark/>
          </w:tcPr>
          <w:p w14:paraId="718B0420" w14:textId="42B9251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15,200</w:t>
            </w:r>
          </w:p>
        </w:tc>
        <w:tc>
          <w:tcPr>
            <w:tcW w:w="349" w:type="pct"/>
            <w:tcBorders>
              <w:top w:val="nil"/>
              <w:left w:val="nil"/>
              <w:bottom w:val="single" w:sz="4" w:space="0" w:color="auto"/>
              <w:right w:val="single" w:sz="4" w:space="0" w:color="auto"/>
            </w:tcBorders>
            <w:shd w:val="clear" w:color="000000" w:fill="FFFFFF"/>
            <w:noWrap/>
            <w:vAlign w:val="bottom"/>
            <w:hideMark/>
          </w:tcPr>
          <w:p w14:paraId="7D2A41EC" w14:textId="2C7B2B4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18,995</w:t>
            </w:r>
          </w:p>
        </w:tc>
        <w:tc>
          <w:tcPr>
            <w:tcW w:w="349" w:type="pct"/>
            <w:tcBorders>
              <w:top w:val="nil"/>
              <w:left w:val="nil"/>
              <w:bottom w:val="single" w:sz="4" w:space="0" w:color="auto"/>
              <w:right w:val="single" w:sz="4" w:space="0" w:color="auto"/>
            </w:tcBorders>
            <w:shd w:val="clear" w:color="000000" w:fill="FFFFFF"/>
            <w:noWrap/>
            <w:vAlign w:val="bottom"/>
            <w:hideMark/>
          </w:tcPr>
          <w:p w14:paraId="592FF624" w14:textId="6FA10CE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28,970</w:t>
            </w:r>
          </w:p>
        </w:tc>
        <w:tc>
          <w:tcPr>
            <w:tcW w:w="379" w:type="pct"/>
            <w:tcBorders>
              <w:top w:val="nil"/>
              <w:left w:val="nil"/>
              <w:bottom w:val="single" w:sz="4" w:space="0" w:color="auto"/>
              <w:right w:val="single" w:sz="8" w:space="0" w:color="auto"/>
            </w:tcBorders>
            <w:shd w:val="clear" w:color="000000" w:fill="FFFFFF"/>
            <w:noWrap/>
            <w:vAlign w:val="bottom"/>
            <w:hideMark/>
          </w:tcPr>
          <w:p w14:paraId="2002A337" w14:textId="66773AC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224,820</w:t>
            </w:r>
          </w:p>
        </w:tc>
      </w:tr>
      <w:tr w:rsidR="00CA1084" w:rsidRPr="00E47FB2" w14:paraId="28B8400C"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3F2AFF34"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Rábano</w:t>
            </w:r>
          </w:p>
        </w:tc>
        <w:tc>
          <w:tcPr>
            <w:tcW w:w="349" w:type="pct"/>
            <w:tcBorders>
              <w:top w:val="nil"/>
              <w:left w:val="nil"/>
              <w:bottom w:val="single" w:sz="4" w:space="0" w:color="auto"/>
              <w:right w:val="single" w:sz="4" w:space="0" w:color="auto"/>
            </w:tcBorders>
            <w:shd w:val="clear" w:color="000000" w:fill="FFFFFF"/>
            <w:noWrap/>
            <w:vAlign w:val="bottom"/>
            <w:hideMark/>
          </w:tcPr>
          <w:p w14:paraId="6F8D3538" w14:textId="7FF2F80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1,801</w:t>
            </w:r>
          </w:p>
        </w:tc>
        <w:tc>
          <w:tcPr>
            <w:tcW w:w="349" w:type="pct"/>
            <w:tcBorders>
              <w:top w:val="nil"/>
              <w:left w:val="nil"/>
              <w:bottom w:val="single" w:sz="4" w:space="0" w:color="auto"/>
              <w:right w:val="single" w:sz="4" w:space="0" w:color="auto"/>
            </w:tcBorders>
            <w:shd w:val="clear" w:color="000000" w:fill="FFFFFF"/>
            <w:noWrap/>
            <w:vAlign w:val="bottom"/>
            <w:hideMark/>
          </w:tcPr>
          <w:p w14:paraId="173FA28D" w14:textId="4FF48B0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2,654</w:t>
            </w:r>
          </w:p>
        </w:tc>
        <w:tc>
          <w:tcPr>
            <w:tcW w:w="349" w:type="pct"/>
            <w:tcBorders>
              <w:top w:val="nil"/>
              <w:left w:val="nil"/>
              <w:bottom w:val="single" w:sz="4" w:space="0" w:color="auto"/>
              <w:right w:val="single" w:sz="4" w:space="0" w:color="auto"/>
            </w:tcBorders>
            <w:shd w:val="clear" w:color="000000" w:fill="FFFFFF"/>
            <w:noWrap/>
            <w:vAlign w:val="bottom"/>
            <w:hideMark/>
          </w:tcPr>
          <w:p w14:paraId="7F4BC2C7" w14:textId="7BCE46C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1,698</w:t>
            </w:r>
          </w:p>
        </w:tc>
        <w:tc>
          <w:tcPr>
            <w:tcW w:w="349" w:type="pct"/>
            <w:tcBorders>
              <w:top w:val="nil"/>
              <w:left w:val="nil"/>
              <w:bottom w:val="single" w:sz="4" w:space="0" w:color="auto"/>
              <w:right w:val="single" w:sz="4" w:space="0" w:color="auto"/>
            </w:tcBorders>
            <w:shd w:val="clear" w:color="000000" w:fill="FFFFFF"/>
            <w:noWrap/>
            <w:vAlign w:val="bottom"/>
            <w:hideMark/>
          </w:tcPr>
          <w:p w14:paraId="187C380B" w14:textId="23345FC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3,503</w:t>
            </w:r>
          </w:p>
        </w:tc>
        <w:tc>
          <w:tcPr>
            <w:tcW w:w="349" w:type="pct"/>
            <w:tcBorders>
              <w:top w:val="nil"/>
              <w:left w:val="nil"/>
              <w:bottom w:val="single" w:sz="4" w:space="0" w:color="auto"/>
              <w:right w:val="single" w:sz="4" w:space="0" w:color="auto"/>
            </w:tcBorders>
            <w:shd w:val="clear" w:color="000000" w:fill="FFFFFF"/>
            <w:noWrap/>
            <w:vAlign w:val="bottom"/>
            <w:hideMark/>
          </w:tcPr>
          <w:p w14:paraId="707EB943" w14:textId="6F81081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1,599</w:t>
            </w:r>
          </w:p>
        </w:tc>
        <w:tc>
          <w:tcPr>
            <w:tcW w:w="349" w:type="pct"/>
            <w:tcBorders>
              <w:top w:val="nil"/>
              <w:left w:val="nil"/>
              <w:bottom w:val="single" w:sz="4" w:space="0" w:color="auto"/>
              <w:right w:val="single" w:sz="4" w:space="0" w:color="auto"/>
            </w:tcBorders>
            <w:shd w:val="clear" w:color="000000" w:fill="FFFFFF"/>
            <w:noWrap/>
            <w:vAlign w:val="bottom"/>
            <w:hideMark/>
          </w:tcPr>
          <w:p w14:paraId="4896332E" w14:textId="511B3B2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2,547</w:t>
            </w:r>
          </w:p>
        </w:tc>
        <w:tc>
          <w:tcPr>
            <w:tcW w:w="349" w:type="pct"/>
            <w:tcBorders>
              <w:top w:val="nil"/>
              <w:left w:val="nil"/>
              <w:bottom w:val="single" w:sz="4" w:space="0" w:color="auto"/>
              <w:right w:val="single" w:sz="4" w:space="0" w:color="auto"/>
            </w:tcBorders>
            <w:shd w:val="clear" w:color="000000" w:fill="FFFFFF"/>
            <w:noWrap/>
            <w:vAlign w:val="bottom"/>
            <w:hideMark/>
          </w:tcPr>
          <w:p w14:paraId="45363EA8" w14:textId="07C09E0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2,411</w:t>
            </w:r>
          </w:p>
        </w:tc>
        <w:tc>
          <w:tcPr>
            <w:tcW w:w="349" w:type="pct"/>
            <w:tcBorders>
              <w:top w:val="nil"/>
              <w:left w:val="nil"/>
              <w:bottom w:val="single" w:sz="4" w:space="0" w:color="auto"/>
              <w:right w:val="single" w:sz="4" w:space="0" w:color="auto"/>
            </w:tcBorders>
            <w:shd w:val="clear" w:color="000000" w:fill="FFFFFF"/>
            <w:noWrap/>
            <w:vAlign w:val="bottom"/>
            <w:hideMark/>
          </w:tcPr>
          <w:p w14:paraId="4D0E8FCB" w14:textId="40E58EA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3,451</w:t>
            </w:r>
          </w:p>
        </w:tc>
        <w:tc>
          <w:tcPr>
            <w:tcW w:w="349" w:type="pct"/>
            <w:tcBorders>
              <w:top w:val="nil"/>
              <w:left w:val="nil"/>
              <w:bottom w:val="single" w:sz="4" w:space="0" w:color="auto"/>
              <w:right w:val="single" w:sz="4" w:space="0" w:color="auto"/>
            </w:tcBorders>
            <w:shd w:val="clear" w:color="000000" w:fill="FFFFFF"/>
            <w:noWrap/>
            <w:vAlign w:val="bottom"/>
            <w:hideMark/>
          </w:tcPr>
          <w:p w14:paraId="42AF33A4" w14:textId="0D064F9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5,624</w:t>
            </w:r>
          </w:p>
        </w:tc>
        <w:tc>
          <w:tcPr>
            <w:tcW w:w="349" w:type="pct"/>
            <w:tcBorders>
              <w:top w:val="nil"/>
              <w:left w:val="nil"/>
              <w:bottom w:val="single" w:sz="4" w:space="0" w:color="auto"/>
              <w:right w:val="single" w:sz="4" w:space="0" w:color="auto"/>
            </w:tcBorders>
            <w:shd w:val="clear" w:color="000000" w:fill="FFFFFF"/>
            <w:noWrap/>
            <w:vAlign w:val="bottom"/>
            <w:hideMark/>
          </w:tcPr>
          <w:p w14:paraId="565CECB3" w14:textId="3835D61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4,662</w:t>
            </w:r>
          </w:p>
        </w:tc>
        <w:tc>
          <w:tcPr>
            <w:tcW w:w="349" w:type="pct"/>
            <w:tcBorders>
              <w:top w:val="nil"/>
              <w:left w:val="nil"/>
              <w:bottom w:val="single" w:sz="4" w:space="0" w:color="auto"/>
              <w:right w:val="single" w:sz="4" w:space="0" w:color="auto"/>
            </w:tcBorders>
            <w:shd w:val="clear" w:color="000000" w:fill="FFFFFF"/>
            <w:noWrap/>
            <w:vAlign w:val="bottom"/>
            <w:hideMark/>
          </w:tcPr>
          <w:p w14:paraId="45F16BDD" w14:textId="0A98F29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3,985</w:t>
            </w:r>
          </w:p>
        </w:tc>
        <w:tc>
          <w:tcPr>
            <w:tcW w:w="349" w:type="pct"/>
            <w:tcBorders>
              <w:top w:val="nil"/>
              <w:left w:val="nil"/>
              <w:bottom w:val="single" w:sz="4" w:space="0" w:color="auto"/>
              <w:right w:val="single" w:sz="4" w:space="0" w:color="auto"/>
            </w:tcBorders>
            <w:shd w:val="clear" w:color="000000" w:fill="FFFFFF"/>
            <w:noWrap/>
            <w:vAlign w:val="bottom"/>
            <w:hideMark/>
          </w:tcPr>
          <w:p w14:paraId="59C3D925" w14:textId="697B79A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2,899</w:t>
            </w:r>
          </w:p>
        </w:tc>
        <w:tc>
          <w:tcPr>
            <w:tcW w:w="379" w:type="pct"/>
            <w:tcBorders>
              <w:top w:val="nil"/>
              <w:left w:val="nil"/>
              <w:bottom w:val="single" w:sz="4" w:space="0" w:color="auto"/>
              <w:right w:val="single" w:sz="8" w:space="0" w:color="auto"/>
            </w:tcBorders>
            <w:shd w:val="clear" w:color="000000" w:fill="FFFFFF"/>
            <w:noWrap/>
            <w:vAlign w:val="bottom"/>
            <w:hideMark/>
          </w:tcPr>
          <w:p w14:paraId="496E54CE" w14:textId="632E51E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36,834</w:t>
            </w:r>
          </w:p>
        </w:tc>
      </w:tr>
      <w:tr w:rsidR="00CA1084" w:rsidRPr="00E47FB2" w14:paraId="65C72270"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3F7DE4B3"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Brócoli</w:t>
            </w:r>
          </w:p>
        </w:tc>
        <w:tc>
          <w:tcPr>
            <w:tcW w:w="349" w:type="pct"/>
            <w:tcBorders>
              <w:top w:val="nil"/>
              <w:left w:val="nil"/>
              <w:bottom w:val="single" w:sz="4" w:space="0" w:color="auto"/>
              <w:right w:val="single" w:sz="4" w:space="0" w:color="auto"/>
            </w:tcBorders>
            <w:shd w:val="clear" w:color="000000" w:fill="FFFFFF"/>
            <w:noWrap/>
            <w:vAlign w:val="bottom"/>
            <w:hideMark/>
          </w:tcPr>
          <w:p w14:paraId="5BBB86C9" w14:textId="5ED3699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5,385</w:t>
            </w:r>
          </w:p>
        </w:tc>
        <w:tc>
          <w:tcPr>
            <w:tcW w:w="349" w:type="pct"/>
            <w:tcBorders>
              <w:top w:val="nil"/>
              <w:left w:val="nil"/>
              <w:bottom w:val="single" w:sz="4" w:space="0" w:color="auto"/>
              <w:right w:val="single" w:sz="4" w:space="0" w:color="auto"/>
            </w:tcBorders>
            <w:shd w:val="clear" w:color="000000" w:fill="FFFFFF"/>
            <w:noWrap/>
            <w:vAlign w:val="bottom"/>
            <w:hideMark/>
          </w:tcPr>
          <w:p w14:paraId="442EAC1B" w14:textId="1E1BD0A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7,816</w:t>
            </w:r>
          </w:p>
        </w:tc>
        <w:tc>
          <w:tcPr>
            <w:tcW w:w="349" w:type="pct"/>
            <w:tcBorders>
              <w:top w:val="nil"/>
              <w:left w:val="nil"/>
              <w:bottom w:val="single" w:sz="4" w:space="0" w:color="auto"/>
              <w:right w:val="single" w:sz="4" w:space="0" w:color="auto"/>
            </w:tcBorders>
            <w:shd w:val="clear" w:color="000000" w:fill="FFFFFF"/>
            <w:noWrap/>
            <w:vAlign w:val="bottom"/>
            <w:hideMark/>
          </w:tcPr>
          <w:p w14:paraId="4D8D4E8A" w14:textId="5B3C94C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4,251</w:t>
            </w:r>
          </w:p>
        </w:tc>
        <w:tc>
          <w:tcPr>
            <w:tcW w:w="349" w:type="pct"/>
            <w:tcBorders>
              <w:top w:val="nil"/>
              <w:left w:val="nil"/>
              <w:bottom w:val="single" w:sz="4" w:space="0" w:color="auto"/>
              <w:right w:val="single" w:sz="4" w:space="0" w:color="auto"/>
            </w:tcBorders>
            <w:shd w:val="clear" w:color="000000" w:fill="FFFFFF"/>
            <w:noWrap/>
            <w:vAlign w:val="bottom"/>
            <w:hideMark/>
          </w:tcPr>
          <w:p w14:paraId="410AEFF4" w14:textId="7CC5075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6,754</w:t>
            </w:r>
          </w:p>
        </w:tc>
        <w:tc>
          <w:tcPr>
            <w:tcW w:w="349" w:type="pct"/>
            <w:tcBorders>
              <w:top w:val="nil"/>
              <w:left w:val="nil"/>
              <w:bottom w:val="single" w:sz="4" w:space="0" w:color="auto"/>
              <w:right w:val="single" w:sz="4" w:space="0" w:color="auto"/>
            </w:tcBorders>
            <w:shd w:val="clear" w:color="000000" w:fill="FFFFFF"/>
            <w:noWrap/>
            <w:vAlign w:val="bottom"/>
            <w:hideMark/>
          </w:tcPr>
          <w:p w14:paraId="5BA44C17" w14:textId="03F203E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7,458</w:t>
            </w:r>
          </w:p>
        </w:tc>
        <w:tc>
          <w:tcPr>
            <w:tcW w:w="349" w:type="pct"/>
            <w:tcBorders>
              <w:top w:val="nil"/>
              <w:left w:val="nil"/>
              <w:bottom w:val="single" w:sz="4" w:space="0" w:color="auto"/>
              <w:right w:val="single" w:sz="4" w:space="0" w:color="auto"/>
            </w:tcBorders>
            <w:shd w:val="clear" w:color="000000" w:fill="FFFFFF"/>
            <w:noWrap/>
            <w:vAlign w:val="bottom"/>
            <w:hideMark/>
          </w:tcPr>
          <w:p w14:paraId="4907F023" w14:textId="7C16325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10,245</w:t>
            </w:r>
          </w:p>
        </w:tc>
        <w:tc>
          <w:tcPr>
            <w:tcW w:w="349" w:type="pct"/>
            <w:tcBorders>
              <w:top w:val="nil"/>
              <w:left w:val="nil"/>
              <w:bottom w:val="single" w:sz="4" w:space="0" w:color="auto"/>
              <w:right w:val="single" w:sz="4" w:space="0" w:color="auto"/>
            </w:tcBorders>
            <w:shd w:val="clear" w:color="000000" w:fill="FFFFFF"/>
            <w:noWrap/>
            <w:vAlign w:val="bottom"/>
            <w:hideMark/>
          </w:tcPr>
          <w:p w14:paraId="50944A20" w14:textId="0E7FB6A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7,954</w:t>
            </w:r>
          </w:p>
        </w:tc>
        <w:tc>
          <w:tcPr>
            <w:tcW w:w="349" w:type="pct"/>
            <w:tcBorders>
              <w:top w:val="nil"/>
              <w:left w:val="nil"/>
              <w:bottom w:val="single" w:sz="4" w:space="0" w:color="auto"/>
              <w:right w:val="single" w:sz="4" w:space="0" w:color="auto"/>
            </w:tcBorders>
            <w:shd w:val="clear" w:color="000000" w:fill="FFFFFF"/>
            <w:noWrap/>
            <w:vAlign w:val="bottom"/>
            <w:hideMark/>
          </w:tcPr>
          <w:p w14:paraId="63EC9E8A" w14:textId="339A93B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5,421</w:t>
            </w:r>
          </w:p>
        </w:tc>
        <w:tc>
          <w:tcPr>
            <w:tcW w:w="349" w:type="pct"/>
            <w:tcBorders>
              <w:top w:val="nil"/>
              <w:left w:val="nil"/>
              <w:bottom w:val="single" w:sz="4" w:space="0" w:color="auto"/>
              <w:right w:val="single" w:sz="4" w:space="0" w:color="auto"/>
            </w:tcBorders>
            <w:shd w:val="clear" w:color="000000" w:fill="FFFFFF"/>
            <w:noWrap/>
            <w:vAlign w:val="bottom"/>
            <w:hideMark/>
          </w:tcPr>
          <w:p w14:paraId="078B0A13" w14:textId="1DC7214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9,214</w:t>
            </w:r>
          </w:p>
        </w:tc>
        <w:tc>
          <w:tcPr>
            <w:tcW w:w="349" w:type="pct"/>
            <w:tcBorders>
              <w:top w:val="nil"/>
              <w:left w:val="nil"/>
              <w:bottom w:val="single" w:sz="4" w:space="0" w:color="auto"/>
              <w:right w:val="single" w:sz="4" w:space="0" w:color="auto"/>
            </w:tcBorders>
            <w:shd w:val="clear" w:color="000000" w:fill="FFFFFF"/>
            <w:noWrap/>
            <w:vAlign w:val="bottom"/>
            <w:hideMark/>
          </w:tcPr>
          <w:p w14:paraId="7C0E2AA1" w14:textId="1C54CDD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5,725</w:t>
            </w:r>
          </w:p>
        </w:tc>
        <w:tc>
          <w:tcPr>
            <w:tcW w:w="349" w:type="pct"/>
            <w:tcBorders>
              <w:top w:val="nil"/>
              <w:left w:val="nil"/>
              <w:bottom w:val="single" w:sz="4" w:space="0" w:color="auto"/>
              <w:right w:val="single" w:sz="4" w:space="0" w:color="auto"/>
            </w:tcBorders>
            <w:shd w:val="clear" w:color="000000" w:fill="FFFFFF"/>
            <w:noWrap/>
            <w:vAlign w:val="bottom"/>
            <w:hideMark/>
          </w:tcPr>
          <w:p w14:paraId="46865760" w14:textId="66F2FC2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6,052</w:t>
            </w:r>
          </w:p>
        </w:tc>
        <w:tc>
          <w:tcPr>
            <w:tcW w:w="349" w:type="pct"/>
            <w:tcBorders>
              <w:top w:val="nil"/>
              <w:left w:val="nil"/>
              <w:bottom w:val="single" w:sz="4" w:space="0" w:color="auto"/>
              <w:right w:val="single" w:sz="4" w:space="0" w:color="auto"/>
            </w:tcBorders>
            <w:shd w:val="clear" w:color="000000" w:fill="FFFFFF"/>
            <w:noWrap/>
            <w:vAlign w:val="bottom"/>
            <w:hideMark/>
          </w:tcPr>
          <w:p w14:paraId="2AD2E581" w14:textId="01298DD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7,549</w:t>
            </w:r>
          </w:p>
        </w:tc>
        <w:tc>
          <w:tcPr>
            <w:tcW w:w="379" w:type="pct"/>
            <w:tcBorders>
              <w:top w:val="nil"/>
              <w:left w:val="nil"/>
              <w:bottom w:val="single" w:sz="4" w:space="0" w:color="auto"/>
              <w:right w:val="single" w:sz="8" w:space="0" w:color="auto"/>
            </w:tcBorders>
            <w:shd w:val="clear" w:color="000000" w:fill="FFFFFF"/>
            <w:noWrap/>
            <w:vAlign w:val="bottom"/>
            <w:hideMark/>
          </w:tcPr>
          <w:p w14:paraId="77BB415A" w14:textId="1702ADA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83,824</w:t>
            </w:r>
          </w:p>
        </w:tc>
      </w:tr>
      <w:tr w:rsidR="00CA1084" w:rsidRPr="00E47FB2" w14:paraId="4C274A50"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23810F8F"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Coliflor</w:t>
            </w:r>
          </w:p>
        </w:tc>
        <w:tc>
          <w:tcPr>
            <w:tcW w:w="349" w:type="pct"/>
            <w:tcBorders>
              <w:top w:val="nil"/>
              <w:left w:val="nil"/>
              <w:bottom w:val="single" w:sz="4" w:space="0" w:color="auto"/>
              <w:right w:val="single" w:sz="4" w:space="0" w:color="auto"/>
            </w:tcBorders>
            <w:shd w:val="clear" w:color="000000" w:fill="FFFFFF"/>
            <w:noWrap/>
            <w:vAlign w:val="bottom"/>
            <w:hideMark/>
          </w:tcPr>
          <w:p w14:paraId="293EB7DE" w14:textId="40EC481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2,348</w:t>
            </w:r>
          </w:p>
        </w:tc>
        <w:tc>
          <w:tcPr>
            <w:tcW w:w="349" w:type="pct"/>
            <w:tcBorders>
              <w:top w:val="nil"/>
              <w:left w:val="nil"/>
              <w:bottom w:val="single" w:sz="4" w:space="0" w:color="auto"/>
              <w:right w:val="single" w:sz="4" w:space="0" w:color="auto"/>
            </w:tcBorders>
            <w:shd w:val="clear" w:color="000000" w:fill="FFFFFF"/>
            <w:noWrap/>
            <w:vAlign w:val="bottom"/>
            <w:hideMark/>
          </w:tcPr>
          <w:p w14:paraId="66208E19" w14:textId="0F5ECB4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3,120</w:t>
            </w:r>
          </w:p>
        </w:tc>
        <w:tc>
          <w:tcPr>
            <w:tcW w:w="349" w:type="pct"/>
            <w:tcBorders>
              <w:top w:val="nil"/>
              <w:left w:val="nil"/>
              <w:bottom w:val="single" w:sz="4" w:space="0" w:color="auto"/>
              <w:right w:val="single" w:sz="4" w:space="0" w:color="auto"/>
            </w:tcBorders>
            <w:shd w:val="clear" w:color="000000" w:fill="FFFFFF"/>
            <w:noWrap/>
            <w:vAlign w:val="bottom"/>
            <w:hideMark/>
          </w:tcPr>
          <w:p w14:paraId="09F835BE" w14:textId="4B747B1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1,624</w:t>
            </w:r>
          </w:p>
        </w:tc>
        <w:tc>
          <w:tcPr>
            <w:tcW w:w="349" w:type="pct"/>
            <w:tcBorders>
              <w:top w:val="nil"/>
              <w:left w:val="nil"/>
              <w:bottom w:val="single" w:sz="4" w:space="0" w:color="auto"/>
              <w:right w:val="single" w:sz="4" w:space="0" w:color="auto"/>
            </w:tcBorders>
            <w:shd w:val="clear" w:color="000000" w:fill="FFFFFF"/>
            <w:noWrap/>
            <w:vAlign w:val="bottom"/>
            <w:hideMark/>
          </w:tcPr>
          <w:p w14:paraId="123279A4" w14:textId="3C859B2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4,102</w:t>
            </w:r>
          </w:p>
        </w:tc>
        <w:tc>
          <w:tcPr>
            <w:tcW w:w="349" w:type="pct"/>
            <w:tcBorders>
              <w:top w:val="nil"/>
              <w:left w:val="nil"/>
              <w:bottom w:val="single" w:sz="4" w:space="0" w:color="auto"/>
              <w:right w:val="single" w:sz="4" w:space="0" w:color="auto"/>
            </w:tcBorders>
            <w:shd w:val="clear" w:color="000000" w:fill="FFFFFF"/>
            <w:noWrap/>
            <w:vAlign w:val="bottom"/>
            <w:hideMark/>
          </w:tcPr>
          <w:p w14:paraId="35714439" w14:textId="321BCF3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2,499</w:t>
            </w:r>
          </w:p>
        </w:tc>
        <w:tc>
          <w:tcPr>
            <w:tcW w:w="349" w:type="pct"/>
            <w:tcBorders>
              <w:top w:val="nil"/>
              <w:left w:val="nil"/>
              <w:bottom w:val="single" w:sz="4" w:space="0" w:color="auto"/>
              <w:right w:val="single" w:sz="4" w:space="0" w:color="auto"/>
            </w:tcBorders>
            <w:shd w:val="clear" w:color="000000" w:fill="FFFFFF"/>
            <w:noWrap/>
            <w:vAlign w:val="bottom"/>
            <w:hideMark/>
          </w:tcPr>
          <w:p w14:paraId="555308A9" w14:textId="09E7765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5,021</w:t>
            </w:r>
          </w:p>
        </w:tc>
        <w:tc>
          <w:tcPr>
            <w:tcW w:w="349" w:type="pct"/>
            <w:tcBorders>
              <w:top w:val="nil"/>
              <w:left w:val="nil"/>
              <w:bottom w:val="single" w:sz="4" w:space="0" w:color="auto"/>
              <w:right w:val="single" w:sz="4" w:space="0" w:color="auto"/>
            </w:tcBorders>
            <w:shd w:val="clear" w:color="000000" w:fill="FFFFFF"/>
            <w:noWrap/>
            <w:vAlign w:val="bottom"/>
            <w:hideMark/>
          </w:tcPr>
          <w:p w14:paraId="6D801FF2" w14:textId="640FAF9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4,998</w:t>
            </w:r>
          </w:p>
        </w:tc>
        <w:tc>
          <w:tcPr>
            <w:tcW w:w="349" w:type="pct"/>
            <w:tcBorders>
              <w:top w:val="nil"/>
              <w:left w:val="nil"/>
              <w:bottom w:val="single" w:sz="4" w:space="0" w:color="auto"/>
              <w:right w:val="single" w:sz="4" w:space="0" w:color="auto"/>
            </w:tcBorders>
            <w:shd w:val="clear" w:color="000000" w:fill="FFFFFF"/>
            <w:noWrap/>
            <w:vAlign w:val="bottom"/>
            <w:hideMark/>
          </w:tcPr>
          <w:p w14:paraId="67567DF9" w14:textId="06617D3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1,522</w:t>
            </w:r>
          </w:p>
        </w:tc>
        <w:tc>
          <w:tcPr>
            <w:tcW w:w="349" w:type="pct"/>
            <w:tcBorders>
              <w:top w:val="nil"/>
              <w:left w:val="nil"/>
              <w:bottom w:val="single" w:sz="4" w:space="0" w:color="auto"/>
              <w:right w:val="single" w:sz="4" w:space="0" w:color="auto"/>
            </w:tcBorders>
            <w:shd w:val="clear" w:color="000000" w:fill="FFFFFF"/>
            <w:noWrap/>
            <w:vAlign w:val="bottom"/>
            <w:hideMark/>
          </w:tcPr>
          <w:p w14:paraId="7C2BAB6B" w14:textId="592C783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4,521</w:t>
            </w:r>
          </w:p>
        </w:tc>
        <w:tc>
          <w:tcPr>
            <w:tcW w:w="349" w:type="pct"/>
            <w:tcBorders>
              <w:top w:val="nil"/>
              <w:left w:val="nil"/>
              <w:bottom w:val="single" w:sz="4" w:space="0" w:color="auto"/>
              <w:right w:val="single" w:sz="4" w:space="0" w:color="auto"/>
            </w:tcBorders>
            <w:shd w:val="clear" w:color="000000" w:fill="FFFFFF"/>
            <w:noWrap/>
            <w:vAlign w:val="bottom"/>
            <w:hideMark/>
          </w:tcPr>
          <w:p w14:paraId="325C32A4" w14:textId="0590CFD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2,354</w:t>
            </w:r>
          </w:p>
        </w:tc>
        <w:tc>
          <w:tcPr>
            <w:tcW w:w="349" w:type="pct"/>
            <w:tcBorders>
              <w:top w:val="nil"/>
              <w:left w:val="nil"/>
              <w:bottom w:val="single" w:sz="4" w:space="0" w:color="auto"/>
              <w:right w:val="single" w:sz="4" w:space="0" w:color="auto"/>
            </w:tcBorders>
            <w:shd w:val="clear" w:color="000000" w:fill="FFFFFF"/>
            <w:noWrap/>
            <w:vAlign w:val="bottom"/>
            <w:hideMark/>
          </w:tcPr>
          <w:p w14:paraId="160F8058" w14:textId="72A79C4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2,565</w:t>
            </w:r>
          </w:p>
        </w:tc>
        <w:tc>
          <w:tcPr>
            <w:tcW w:w="349" w:type="pct"/>
            <w:tcBorders>
              <w:top w:val="nil"/>
              <w:left w:val="nil"/>
              <w:bottom w:val="single" w:sz="4" w:space="0" w:color="auto"/>
              <w:right w:val="single" w:sz="4" w:space="0" w:color="auto"/>
            </w:tcBorders>
            <w:shd w:val="clear" w:color="000000" w:fill="FFFFFF"/>
            <w:noWrap/>
            <w:vAlign w:val="bottom"/>
            <w:hideMark/>
          </w:tcPr>
          <w:p w14:paraId="6BBB5D5F" w14:textId="287F741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2,797</w:t>
            </w:r>
          </w:p>
        </w:tc>
        <w:tc>
          <w:tcPr>
            <w:tcW w:w="379" w:type="pct"/>
            <w:tcBorders>
              <w:top w:val="nil"/>
              <w:left w:val="nil"/>
              <w:bottom w:val="single" w:sz="4" w:space="0" w:color="auto"/>
              <w:right w:val="single" w:sz="8" w:space="0" w:color="auto"/>
            </w:tcBorders>
            <w:shd w:val="clear" w:color="000000" w:fill="FFFFFF"/>
            <w:noWrap/>
            <w:vAlign w:val="bottom"/>
            <w:hideMark/>
          </w:tcPr>
          <w:p w14:paraId="0DFA0891" w14:textId="67A0219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37,471</w:t>
            </w:r>
          </w:p>
        </w:tc>
      </w:tr>
      <w:tr w:rsidR="00CA1084" w:rsidRPr="00E47FB2" w14:paraId="2CD4571E" w14:textId="77777777" w:rsidTr="00CA1084">
        <w:trPr>
          <w:trHeight w:val="96"/>
          <w:jc w:val="center"/>
        </w:trPr>
        <w:tc>
          <w:tcPr>
            <w:tcW w:w="43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A5ABC47"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Molondrón</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25F5A1C6" w14:textId="4A947F9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15,021</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5B4BE253" w14:textId="2526BC0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17,676</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0936693D" w14:textId="20832B4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14,021</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07700FE5" w14:textId="4F567B1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20,145</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711E89A6" w14:textId="2E269A6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22,021</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3B938DC1" w14:textId="2085D93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18,883</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26B2070C" w14:textId="38D2E54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17,012</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16C51A59" w14:textId="0ADC671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16,424</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22908AA5" w14:textId="583C236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12,014</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1E23AC44" w14:textId="061BA57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9,541</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59947BC0" w14:textId="781B956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10,245</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305C66CB" w14:textId="2051DF5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15,424</w:t>
            </w:r>
          </w:p>
        </w:tc>
        <w:tc>
          <w:tcPr>
            <w:tcW w:w="379" w:type="pct"/>
            <w:tcBorders>
              <w:top w:val="single" w:sz="4" w:space="0" w:color="auto"/>
              <w:left w:val="nil"/>
              <w:bottom w:val="single" w:sz="4" w:space="0" w:color="auto"/>
              <w:right w:val="single" w:sz="8" w:space="0" w:color="auto"/>
            </w:tcBorders>
            <w:shd w:val="clear" w:color="000000" w:fill="FFFFFF"/>
            <w:noWrap/>
            <w:vAlign w:val="bottom"/>
            <w:hideMark/>
          </w:tcPr>
          <w:p w14:paraId="63E03EC1" w14:textId="557FA91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188,427</w:t>
            </w:r>
          </w:p>
        </w:tc>
      </w:tr>
      <w:tr w:rsidR="00CA1084" w:rsidRPr="00E47FB2" w14:paraId="7295B00D"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691EEE0A"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Cundeamor</w:t>
            </w:r>
          </w:p>
        </w:tc>
        <w:tc>
          <w:tcPr>
            <w:tcW w:w="349" w:type="pct"/>
            <w:tcBorders>
              <w:top w:val="nil"/>
              <w:left w:val="nil"/>
              <w:bottom w:val="single" w:sz="4" w:space="0" w:color="auto"/>
              <w:right w:val="single" w:sz="4" w:space="0" w:color="auto"/>
            </w:tcBorders>
            <w:shd w:val="clear" w:color="000000" w:fill="FFFFFF"/>
            <w:noWrap/>
            <w:vAlign w:val="bottom"/>
            <w:hideMark/>
          </w:tcPr>
          <w:p w14:paraId="629EF529" w14:textId="7A16DDE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7,844</w:t>
            </w:r>
          </w:p>
        </w:tc>
        <w:tc>
          <w:tcPr>
            <w:tcW w:w="349" w:type="pct"/>
            <w:tcBorders>
              <w:top w:val="nil"/>
              <w:left w:val="nil"/>
              <w:bottom w:val="single" w:sz="4" w:space="0" w:color="auto"/>
              <w:right w:val="single" w:sz="4" w:space="0" w:color="auto"/>
            </w:tcBorders>
            <w:shd w:val="clear" w:color="000000" w:fill="FFFFFF"/>
            <w:noWrap/>
            <w:vAlign w:val="bottom"/>
            <w:hideMark/>
          </w:tcPr>
          <w:p w14:paraId="07300595" w14:textId="0EAE7E6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8,733</w:t>
            </w:r>
          </w:p>
        </w:tc>
        <w:tc>
          <w:tcPr>
            <w:tcW w:w="349" w:type="pct"/>
            <w:tcBorders>
              <w:top w:val="nil"/>
              <w:left w:val="nil"/>
              <w:bottom w:val="single" w:sz="4" w:space="0" w:color="auto"/>
              <w:right w:val="single" w:sz="4" w:space="0" w:color="auto"/>
            </w:tcBorders>
            <w:shd w:val="clear" w:color="000000" w:fill="FFFFFF"/>
            <w:noWrap/>
            <w:vAlign w:val="bottom"/>
            <w:hideMark/>
          </w:tcPr>
          <w:p w14:paraId="5852D6E1" w14:textId="11F85ED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7,789</w:t>
            </w:r>
          </w:p>
        </w:tc>
        <w:tc>
          <w:tcPr>
            <w:tcW w:w="349" w:type="pct"/>
            <w:tcBorders>
              <w:top w:val="nil"/>
              <w:left w:val="nil"/>
              <w:bottom w:val="single" w:sz="4" w:space="0" w:color="auto"/>
              <w:right w:val="single" w:sz="4" w:space="0" w:color="auto"/>
            </w:tcBorders>
            <w:shd w:val="clear" w:color="000000" w:fill="FFFFFF"/>
            <w:noWrap/>
            <w:vAlign w:val="bottom"/>
            <w:hideMark/>
          </w:tcPr>
          <w:p w14:paraId="7D0A66F4" w14:textId="4BEA721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9,890</w:t>
            </w:r>
          </w:p>
        </w:tc>
        <w:tc>
          <w:tcPr>
            <w:tcW w:w="349" w:type="pct"/>
            <w:tcBorders>
              <w:top w:val="nil"/>
              <w:left w:val="nil"/>
              <w:bottom w:val="single" w:sz="4" w:space="0" w:color="auto"/>
              <w:right w:val="single" w:sz="4" w:space="0" w:color="auto"/>
            </w:tcBorders>
            <w:shd w:val="clear" w:color="000000" w:fill="FFFFFF"/>
            <w:noWrap/>
            <w:vAlign w:val="bottom"/>
            <w:hideMark/>
          </w:tcPr>
          <w:p w14:paraId="131C8A17" w14:textId="491BC3A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7,141</w:t>
            </w:r>
          </w:p>
        </w:tc>
        <w:tc>
          <w:tcPr>
            <w:tcW w:w="349" w:type="pct"/>
            <w:tcBorders>
              <w:top w:val="nil"/>
              <w:left w:val="nil"/>
              <w:bottom w:val="single" w:sz="4" w:space="0" w:color="auto"/>
              <w:right w:val="single" w:sz="4" w:space="0" w:color="auto"/>
            </w:tcBorders>
            <w:shd w:val="clear" w:color="000000" w:fill="FFFFFF"/>
            <w:noWrap/>
            <w:vAlign w:val="bottom"/>
            <w:hideMark/>
          </w:tcPr>
          <w:p w14:paraId="48EA5A1D" w14:textId="7522FEB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15,968</w:t>
            </w:r>
          </w:p>
        </w:tc>
        <w:tc>
          <w:tcPr>
            <w:tcW w:w="349" w:type="pct"/>
            <w:tcBorders>
              <w:top w:val="nil"/>
              <w:left w:val="nil"/>
              <w:bottom w:val="single" w:sz="4" w:space="0" w:color="auto"/>
              <w:right w:val="single" w:sz="4" w:space="0" w:color="auto"/>
            </w:tcBorders>
            <w:shd w:val="clear" w:color="000000" w:fill="FFFFFF"/>
            <w:noWrap/>
            <w:vAlign w:val="bottom"/>
            <w:hideMark/>
          </w:tcPr>
          <w:p w14:paraId="618FE87E" w14:textId="5D308B3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17,214</w:t>
            </w:r>
          </w:p>
        </w:tc>
        <w:tc>
          <w:tcPr>
            <w:tcW w:w="349" w:type="pct"/>
            <w:tcBorders>
              <w:top w:val="nil"/>
              <w:left w:val="nil"/>
              <w:bottom w:val="single" w:sz="4" w:space="0" w:color="auto"/>
              <w:right w:val="single" w:sz="4" w:space="0" w:color="auto"/>
            </w:tcBorders>
            <w:shd w:val="clear" w:color="000000" w:fill="FFFFFF"/>
            <w:noWrap/>
            <w:vAlign w:val="bottom"/>
            <w:hideMark/>
          </w:tcPr>
          <w:p w14:paraId="68D7216F" w14:textId="70B5E9E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11,161</w:t>
            </w:r>
          </w:p>
        </w:tc>
        <w:tc>
          <w:tcPr>
            <w:tcW w:w="349" w:type="pct"/>
            <w:tcBorders>
              <w:top w:val="nil"/>
              <w:left w:val="nil"/>
              <w:bottom w:val="single" w:sz="4" w:space="0" w:color="auto"/>
              <w:right w:val="single" w:sz="4" w:space="0" w:color="auto"/>
            </w:tcBorders>
            <w:shd w:val="clear" w:color="000000" w:fill="FFFFFF"/>
            <w:noWrap/>
            <w:vAlign w:val="bottom"/>
            <w:hideMark/>
          </w:tcPr>
          <w:p w14:paraId="202A7C3D" w14:textId="3DFBC93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18,520</w:t>
            </w:r>
          </w:p>
        </w:tc>
        <w:tc>
          <w:tcPr>
            <w:tcW w:w="349" w:type="pct"/>
            <w:tcBorders>
              <w:top w:val="nil"/>
              <w:left w:val="nil"/>
              <w:bottom w:val="single" w:sz="4" w:space="0" w:color="auto"/>
              <w:right w:val="single" w:sz="4" w:space="0" w:color="auto"/>
            </w:tcBorders>
            <w:shd w:val="clear" w:color="000000" w:fill="FFFFFF"/>
            <w:noWrap/>
            <w:vAlign w:val="bottom"/>
            <w:hideMark/>
          </w:tcPr>
          <w:p w14:paraId="18ECECA1" w14:textId="7813098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13,012</w:t>
            </w:r>
          </w:p>
        </w:tc>
        <w:tc>
          <w:tcPr>
            <w:tcW w:w="349" w:type="pct"/>
            <w:tcBorders>
              <w:top w:val="nil"/>
              <w:left w:val="nil"/>
              <w:bottom w:val="single" w:sz="4" w:space="0" w:color="auto"/>
              <w:right w:val="single" w:sz="4" w:space="0" w:color="auto"/>
            </w:tcBorders>
            <w:shd w:val="clear" w:color="000000" w:fill="FFFFFF"/>
            <w:noWrap/>
            <w:vAlign w:val="bottom"/>
            <w:hideMark/>
          </w:tcPr>
          <w:p w14:paraId="543EA65E" w14:textId="5749A51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16,584</w:t>
            </w:r>
          </w:p>
        </w:tc>
        <w:tc>
          <w:tcPr>
            <w:tcW w:w="349" w:type="pct"/>
            <w:tcBorders>
              <w:top w:val="nil"/>
              <w:left w:val="nil"/>
              <w:bottom w:val="single" w:sz="4" w:space="0" w:color="auto"/>
              <w:right w:val="single" w:sz="4" w:space="0" w:color="auto"/>
            </w:tcBorders>
            <w:shd w:val="clear" w:color="000000" w:fill="FFFFFF"/>
            <w:noWrap/>
            <w:vAlign w:val="bottom"/>
            <w:hideMark/>
          </w:tcPr>
          <w:p w14:paraId="028141BD" w14:textId="6BF1B74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11,584</w:t>
            </w:r>
          </w:p>
        </w:tc>
        <w:tc>
          <w:tcPr>
            <w:tcW w:w="379" w:type="pct"/>
            <w:tcBorders>
              <w:top w:val="nil"/>
              <w:left w:val="nil"/>
              <w:bottom w:val="single" w:sz="4" w:space="0" w:color="auto"/>
              <w:right w:val="single" w:sz="8" w:space="0" w:color="auto"/>
            </w:tcBorders>
            <w:shd w:val="clear" w:color="000000" w:fill="FFFFFF"/>
            <w:noWrap/>
            <w:vAlign w:val="bottom"/>
            <w:hideMark/>
          </w:tcPr>
          <w:p w14:paraId="33C39E1E" w14:textId="5A11CAF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145,440</w:t>
            </w:r>
          </w:p>
        </w:tc>
      </w:tr>
      <w:tr w:rsidR="00CA1084" w:rsidRPr="00E47FB2" w14:paraId="07E89F38" w14:textId="77777777" w:rsidTr="00CA1084">
        <w:trPr>
          <w:trHeight w:val="96"/>
          <w:jc w:val="center"/>
        </w:trPr>
        <w:tc>
          <w:tcPr>
            <w:tcW w:w="43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38FDAAE"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Tindora</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70C53E11" w14:textId="0C1D963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28,410</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59EB11ED" w14:textId="5F11DC1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35,876</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2A1BA5C3" w14:textId="39A1546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19,254</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01B2FC91" w14:textId="1A8C4D5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30,891</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4A8FE82B" w14:textId="368A50B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18,891</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0DCA9AE2" w14:textId="2257663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42,154</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30A491BD" w14:textId="2AC2343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45,211</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3477DDFF" w14:textId="712D533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48,951</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758C4D69" w14:textId="004BC7A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48,754</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2282A3D1" w14:textId="1A847F6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42,144</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08D34758" w14:textId="037B13A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63,215</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2C64BA36" w14:textId="01AB6F3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27,411</w:t>
            </w:r>
          </w:p>
        </w:tc>
        <w:tc>
          <w:tcPr>
            <w:tcW w:w="379" w:type="pct"/>
            <w:tcBorders>
              <w:top w:val="single" w:sz="4" w:space="0" w:color="auto"/>
              <w:left w:val="nil"/>
              <w:bottom w:val="single" w:sz="4" w:space="0" w:color="auto"/>
              <w:right w:val="single" w:sz="8" w:space="0" w:color="auto"/>
            </w:tcBorders>
            <w:shd w:val="clear" w:color="000000" w:fill="FFFFFF"/>
            <w:noWrap/>
            <w:vAlign w:val="bottom"/>
            <w:hideMark/>
          </w:tcPr>
          <w:p w14:paraId="2F4868C8" w14:textId="238A8B0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451,162</w:t>
            </w:r>
          </w:p>
        </w:tc>
      </w:tr>
      <w:tr w:rsidR="00CA1084" w:rsidRPr="00E47FB2" w14:paraId="4811A7E9"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0230E3AA"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Bangaña</w:t>
            </w:r>
          </w:p>
        </w:tc>
        <w:tc>
          <w:tcPr>
            <w:tcW w:w="349" w:type="pct"/>
            <w:tcBorders>
              <w:top w:val="nil"/>
              <w:left w:val="nil"/>
              <w:bottom w:val="single" w:sz="4" w:space="0" w:color="auto"/>
              <w:right w:val="single" w:sz="4" w:space="0" w:color="auto"/>
            </w:tcBorders>
            <w:shd w:val="clear" w:color="000000" w:fill="FFFFFF"/>
            <w:noWrap/>
            <w:vAlign w:val="bottom"/>
            <w:hideMark/>
          </w:tcPr>
          <w:p w14:paraId="289AACB4" w14:textId="6361E16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10,865</w:t>
            </w:r>
          </w:p>
        </w:tc>
        <w:tc>
          <w:tcPr>
            <w:tcW w:w="349" w:type="pct"/>
            <w:tcBorders>
              <w:top w:val="nil"/>
              <w:left w:val="nil"/>
              <w:bottom w:val="single" w:sz="4" w:space="0" w:color="auto"/>
              <w:right w:val="single" w:sz="4" w:space="0" w:color="auto"/>
            </w:tcBorders>
            <w:shd w:val="clear" w:color="000000" w:fill="FFFFFF"/>
            <w:noWrap/>
            <w:vAlign w:val="bottom"/>
            <w:hideMark/>
          </w:tcPr>
          <w:p w14:paraId="50E034DB" w14:textId="545D1ECA"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8,130</w:t>
            </w:r>
          </w:p>
        </w:tc>
        <w:tc>
          <w:tcPr>
            <w:tcW w:w="349" w:type="pct"/>
            <w:tcBorders>
              <w:top w:val="nil"/>
              <w:left w:val="nil"/>
              <w:bottom w:val="single" w:sz="4" w:space="0" w:color="auto"/>
              <w:right w:val="single" w:sz="4" w:space="0" w:color="auto"/>
            </w:tcBorders>
            <w:shd w:val="clear" w:color="000000" w:fill="FFFFFF"/>
            <w:noWrap/>
            <w:vAlign w:val="bottom"/>
            <w:hideMark/>
          </w:tcPr>
          <w:p w14:paraId="4458A0A2" w14:textId="40C134A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9,854</w:t>
            </w:r>
          </w:p>
        </w:tc>
        <w:tc>
          <w:tcPr>
            <w:tcW w:w="349" w:type="pct"/>
            <w:tcBorders>
              <w:top w:val="nil"/>
              <w:left w:val="nil"/>
              <w:bottom w:val="single" w:sz="4" w:space="0" w:color="auto"/>
              <w:right w:val="single" w:sz="4" w:space="0" w:color="auto"/>
            </w:tcBorders>
            <w:shd w:val="clear" w:color="000000" w:fill="FFFFFF"/>
            <w:noWrap/>
            <w:vAlign w:val="bottom"/>
            <w:hideMark/>
          </w:tcPr>
          <w:p w14:paraId="17172FFC" w14:textId="036BB47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10,214</w:t>
            </w:r>
          </w:p>
        </w:tc>
        <w:tc>
          <w:tcPr>
            <w:tcW w:w="349" w:type="pct"/>
            <w:tcBorders>
              <w:top w:val="nil"/>
              <w:left w:val="nil"/>
              <w:bottom w:val="single" w:sz="4" w:space="0" w:color="auto"/>
              <w:right w:val="single" w:sz="4" w:space="0" w:color="auto"/>
            </w:tcBorders>
            <w:shd w:val="clear" w:color="000000" w:fill="FFFFFF"/>
            <w:noWrap/>
            <w:vAlign w:val="bottom"/>
            <w:hideMark/>
          </w:tcPr>
          <w:p w14:paraId="6F9894CF" w14:textId="60B791E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8,521</w:t>
            </w:r>
          </w:p>
        </w:tc>
        <w:tc>
          <w:tcPr>
            <w:tcW w:w="349" w:type="pct"/>
            <w:tcBorders>
              <w:top w:val="nil"/>
              <w:left w:val="nil"/>
              <w:bottom w:val="single" w:sz="4" w:space="0" w:color="auto"/>
              <w:right w:val="single" w:sz="4" w:space="0" w:color="auto"/>
            </w:tcBorders>
            <w:shd w:val="clear" w:color="000000" w:fill="FFFFFF"/>
            <w:noWrap/>
            <w:vAlign w:val="bottom"/>
            <w:hideMark/>
          </w:tcPr>
          <w:p w14:paraId="4B91C73A" w14:textId="2F2E366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11,254</w:t>
            </w:r>
          </w:p>
        </w:tc>
        <w:tc>
          <w:tcPr>
            <w:tcW w:w="349" w:type="pct"/>
            <w:tcBorders>
              <w:top w:val="nil"/>
              <w:left w:val="nil"/>
              <w:bottom w:val="single" w:sz="4" w:space="0" w:color="auto"/>
              <w:right w:val="single" w:sz="4" w:space="0" w:color="auto"/>
            </w:tcBorders>
            <w:shd w:val="clear" w:color="000000" w:fill="FFFFFF"/>
            <w:noWrap/>
            <w:vAlign w:val="bottom"/>
            <w:hideMark/>
          </w:tcPr>
          <w:p w14:paraId="3294E9FE" w14:textId="0E95282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18,262</w:t>
            </w:r>
          </w:p>
        </w:tc>
        <w:tc>
          <w:tcPr>
            <w:tcW w:w="349" w:type="pct"/>
            <w:tcBorders>
              <w:top w:val="nil"/>
              <w:left w:val="nil"/>
              <w:bottom w:val="single" w:sz="4" w:space="0" w:color="auto"/>
              <w:right w:val="single" w:sz="4" w:space="0" w:color="auto"/>
            </w:tcBorders>
            <w:shd w:val="clear" w:color="000000" w:fill="FFFFFF"/>
            <w:noWrap/>
            <w:vAlign w:val="bottom"/>
            <w:hideMark/>
          </w:tcPr>
          <w:p w14:paraId="15E17AA9" w14:textId="4C67FB6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8,544</w:t>
            </w:r>
          </w:p>
        </w:tc>
        <w:tc>
          <w:tcPr>
            <w:tcW w:w="349" w:type="pct"/>
            <w:tcBorders>
              <w:top w:val="nil"/>
              <w:left w:val="nil"/>
              <w:bottom w:val="single" w:sz="4" w:space="0" w:color="auto"/>
              <w:right w:val="single" w:sz="4" w:space="0" w:color="auto"/>
            </w:tcBorders>
            <w:shd w:val="clear" w:color="000000" w:fill="FFFFFF"/>
            <w:noWrap/>
            <w:vAlign w:val="bottom"/>
            <w:hideMark/>
          </w:tcPr>
          <w:p w14:paraId="062B6084" w14:textId="1BF59F2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31,021</w:t>
            </w:r>
          </w:p>
        </w:tc>
        <w:tc>
          <w:tcPr>
            <w:tcW w:w="349" w:type="pct"/>
            <w:tcBorders>
              <w:top w:val="nil"/>
              <w:left w:val="nil"/>
              <w:bottom w:val="single" w:sz="4" w:space="0" w:color="auto"/>
              <w:right w:val="single" w:sz="4" w:space="0" w:color="auto"/>
            </w:tcBorders>
            <w:shd w:val="clear" w:color="000000" w:fill="FFFFFF"/>
            <w:noWrap/>
            <w:vAlign w:val="bottom"/>
            <w:hideMark/>
          </w:tcPr>
          <w:p w14:paraId="4922677E" w14:textId="28519C6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20,144</w:t>
            </w:r>
          </w:p>
        </w:tc>
        <w:tc>
          <w:tcPr>
            <w:tcW w:w="349" w:type="pct"/>
            <w:tcBorders>
              <w:top w:val="nil"/>
              <w:left w:val="nil"/>
              <w:bottom w:val="single" w:sz="4" w:space="0" w:color="auto"/>
              <w:right w:val="single" w:sz="4" w:space="0" w:color="auto"/>
            </w:tcBorders>
            <w:shd w:val="clear" w:color="000000" w:fill="FFFFFF"/>
            <w:noWrap/>
            <w:vAlign w:val="bottom"/>
            <w:hideMark/>
          </w:tcPr>
          <w:p w14:paraId="47E927D0" w14:textId="7B2C5DA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59,899</w:t>
            </w:r>
          </w:p>
        </w:tc>
        <w:tc>
          <w:tcPr>
            <w:tcW w:w="349" w:type="pct"/>
            <w:tcBorders>
              <w:top w:val="nil"/>
              <w:left w:val="nil"/>
              <w:bottom w:val="single" w:sz="4" w:space="0" w:color="auto"/>
              <w:right w:val="single" w:sz="4" w:space="0" w:color="auto"/>
            </w:tcBorders>
            <w:shd w:val="clear" w:color="000000" w:fill="FFFFFF"/>
            <w:noWrap/>
            <w:vAlign w:val="bottom"/>
            <w:hideMark/>
          </w:tcPr>
          <w:p w14:paraId="56A924A3" w14:textId="0DD8217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7,118</w:t>
            </w:r>
          </w:p>
        </w:tc>
        <w:tc>
          <w:tcPr>
            <w:tcW w:w="379" w:type="pct"/>
            <w:tcBorders>
              <w:top w:val="nil"/>
              <w:left w:val="nil"/>
              <w:bottom w:val="single" w:sz="4" w:space="0" w:color="auto"/>
              <w:right w:val="single" w:sz="8" w:space="0" w:color="auto"/>
            </w:tcBorders>
            <w:shd w:val="clear" w:color="000000" w:fill="FFFFFF"/>
            <w:noWrap/>
            <w:vAlign w:val="bottom"/>
            <w:hideMark/>
          </w:tcPr>
          <w:p w14:paraId="31EF6565" w14:textId="1509948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203,826</w:t>
            </w:r>
          </w:p>
        </w:tc>
      </w:tr>
      <w:tr w:rsidR="00CA1084" w:rsidRPr="00E47FB2" w14:paraId="4A278F00"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686375C6"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Calabacin</w:t>
            </w:r>
          </w:p>
        </w:tc>
        <w:tc>
          <w:tcPr>
            <w:tcW w:w="349" w:type="pct"/>
            <w:tcBorders>
              <w:top w:val="nil"/>
              <w:left w:val="nil"/>
              <w:bottom w:val="single" w:sz="4" w:space="0" w:color="auto"/>
              <w:right w:val="single" w:sz="4" w:space="0" w:color="auto"/>
            </w:tcBorders>
            <w:shd w:val="clear" w:color="000000" w:fill="FFFFFF"/>
            <w:noWrap/>
            <w:vAlign w:val="bottom"/>
            <w:hideMark/>
          </w:tcPr>
          <w:p w14:paraId="4AAA2EDB" w14:textId="37DE8C7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7DD4600C" w14:textId="4280D00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57759A0E" w14:textId="1AF228E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55A3E1ED" w14:textId="3E7F022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0B1F2EF2" w14:textId="0D4DC53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185</w:t>
            </w:r>
          </w:p>
        </w:tc>
        <w:tc>
          <w:tcPr>
            <w:tcW w:w="349" w:type="pct"/>
            <w:tcBorders>
              <w:top w:val="nil"/>
              <w:left w:val="nil"/>
              <w:bottom w:val="single" w:sz="4" w:space="0" w:color="auto"/>
              <w:right w:val="single" w:sz="4" w:space="0" w:color="auto"/>
            </w:tcBorders>
            <w:shd w:val="clear" w:color="000000" w:fill="FFFFFF"/>
            <w:noWrap/>
            <w:vAlign w:val="bottom"/>
            <w:hideMark/>
          </w:tcPr>
          <w:p w14:paraId="4658B854" w14:textId="44A448E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54A4541E" w14:textId="5F4A478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3F3BE86D" w14:textId="6A082EB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72</w:t>
            </w:r>
          </w:p>
        </w:tc>
        <w:tc>
          <w:tcPr>
            <w:tcW w:w="349" w:type="pct"/>
            <w:tcBorders>
              <w:top w:val="nil"/>
              <w:left w:val="nil"/>
              <w:bottom w:val="single" w:sz="4" w:space="0" w:color="auto"/>
              <w:right w:val="single" w:sz="4" w:space="0" w:color="auto"/>
            </w:tcBorders>
            <w:shd w:val="clear" w:color="000000" w:fill="FFFFFF"/>
            <w:noWrap/>
            <w:vAlign w:val="bottom"/>
            <w:hideMark/>
          </w:tcPr>
          <w:p w14:paraId="78507C27" w14:textId="79EBE00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501</w:t>
            </w:r>
          </w:p>
        </w:tc>
        <w:tc>
          <w:tcPr>
            <w:tcW w:w="349" w:type="pct"/>
            <w:tcBorders>
              <w:top w:val="nil"/>
              <w:left w:val="nil"/>
              <w:bottom w:val="single" w:sz="4" w:space="0" w:color="auto"/>
              <w:right w:val="single" w:sz="4" w:space="0" w:color="auto"/>
            </w:tcBorders>
            <w:shd w:val="clear" w:color="000000" w:fill="FFFFFF"/>
            <w:noWrap/>
            <w:vAlign w:val="bottom"/>
            <w:hideMark/>
          </w:tcPr>
          <w:p w14:paraId="42B7ED36" w14:textId="7ABA138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105</w:t>
            </w:r>
          </w:p>
        </w:tc>
        <w:tc>
          <w:tcPr>
            <w:tcW w:w="349" w:type="pct"/>
            <w:tcBorders>
              <w:top w:val="nil"/>
              <w:left w:val="nil"/>
              <w:bottom w:val="single" w:sz="4" w:space="0" w:color="auto"/>
              <w:right w:val="single" w:sz="4" w:space="0" w:color="auto"/>
            </w:tcBorders>
            <w:shd w:val="clear" w:color="000000" w:fill="FFFFFF"/>
            <w:noWrap/>
            <w:vAlign w:val="bottom"/>
            <w:hideMark/>
          </w:tcPr>
          <w:p w14:paraId="25141300" w14:textId="77B5DCC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139</w:t>
            </w:r>
          </w:p>
        </w:tc>
        <w:tc>
          <w:tcPr>
            <w:tcW w:w="349" w:type="pct"/>
            <w:tcBorders>
              <w:top w:val="nil"/>
              <w:left w:val="nil"/>
              <w:bottom w:val="single" w:sz="4" w:space="0" w:color="auto"/>
              <w:right w:val="single" w:sz="4" w:space="0" w:color="auto"/>
            </w:tcBorders>
            <w:shd w:val="clear" w:color="000000" w:fill="FFFFFF"/>
            <w:noWrap/>
            <w:vAlign w:val="bottom"/>
            <w:hideMark/>
          </w:tcPr>
          <w:p w14:paraId="0E29AD70" w14:textId="3863933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139</w:t>
            </w:r>
          </w:p>
        </w:tc>
        <w:tc>
          <w:tcPr>
            <w:tcW w:w="379" w:type="pct"/>
            <w:tcBorders>
              <w:top w:val="nil"/>
              <w:left w:val="nil"/>
              <w:bottom w:val="single" w:sz="4" w:space="0" w:color="auto"/>
              <w:right w:val="single" w:sz="8" w:space="0" w:color="auto"/>
            </w:tcBorders>
            <w:shd w:val="clear" w:color="000000" w:fill="FFFFFF"/>
            <w:noWrap/>
            <w:vAlign w:val="bottom"/>
            <w:hideMark/>
          </w:tcPr>
          <w:p w14:paraId="6FEF4B45" w14:textId="1D4251A7"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1,141</w:t>
            </w:r>
          </w:p>
        </w:tc>
      </w:tr>
      <w:tr w:rsidR="00CA1084" w:rsidRPr="00E47FB2" w14:paraId="74376471"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6AA5D36E" w14:textId="433950AC"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Musú chino</w:t>
            </w:r>
          </w:p>
        </w:tc>
        <w:tc>
          <w:tcPr>
            <w:tcW w:w="349" w:type="pct"/>
            <w:tcBorders>
              <w:top w:val="nil"/>
              <w:left w:val="nil"/>
              <w:bottom w:val="single" w:sz="4" w:space="0" w:color="auto"/>
              <w:right w:val="single" w:sz="4" w:space="0" w:color="auto"/>
            </w:tcBorders>
            <w:shd w:val="clear" w:color="000000" w:fill="FFFFFF"/>
            <w:noWrap/>
            <w:vAlign w:val="bottom"/>
            <w:hideMark/>
          </w:tcPr>
          <w:p w14:paraId="76AD1A65" w14:textId="7127524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3,837</w:t>
            </w:r>
          </w:p>
        </w:tc>
        <w:tc>
          <w:tcPr>
            <w:tcW w:w="349" w:type="pct"/>
            <w:tcBorders>
              <w:top w:val="nil"/>
              <w:left w:val="nil"/>
              <w:bottom w:val="single" w:sz="4" w:space="0" w:color="auto"/>
              <w:right w:val="single" w:sz="4" w:space="0" w:color="auto"/>
            </w:tcBorders>
            <w:shd w:val="clear" w:color="000000" w:fill="FFFFFF"/>
            <w:noWrap/>
            <w:vAlign w:val="bottom"/>
            <w:hideMark/>
          </w:tcPr>
          <w:p w14:paraId="69DA830F" w14:textId="5EF1D9BD"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2,254</w:t>
            </w:r>
          </w:p>
        </w:tc>
        <w:tc>
          <w:tcPr>
            <w:tcW w:w="349" w:type="pct"/>
            <w:tcBorders>
              <w:top w:val="nil"/>
              <w:left w:val="nil"/>
              <w:bottom w:val="single" w:sz="4" w:space="0" w:color="auto"/>
              <w:right w:val="single" w:sz="4" w:space="0" w:color="auto"/>
            </w:tcBorders>
            <w:shd w:val="clear" w:color="000000" w:fill="FFFFFF"/>
            <w:noWrap/>
            <w:vAlign w:val="bottom"/>
            <w:hideMark/>
          </w:tcPr>
          <w:p w14:paraId="7EE2C5B7" w14:textId="187B5D3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1,474</w:t>
            </w:r>
          </w:p>
        </w:tc>
        <w:tc>
          <w:tcPr>
            <w:tcW w:w="349" w:type="pct"/>
            <w:tcBorders>
              <w:top w:val="nil"/>
              <w:left w:val="nil"/>
              <w:bottom w:val="single" w:sz="4" w:space="0" w:color="auto"/>
              <w:right w:val="single" w:sz="4" w:space="0" w:color="auto"/>
            </w:tcBorders>
            <w:shd w:val="clear" w:color="000000" w:fill="FFFFFF"/>
            <w:noWrap/>
            <w:vAlign w:val="bottom"/>
            <w:hideMark/>
          </w:tcPr>
          <w:p w14:paraId="5CC7F391" w14:textId="56A4850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2,458</w:t>
            </w:r>
          </w:p>
        </w:tc>
        <w:tc>
          <w:tcPr>
            <w:tcW w:w="349" w:type="pct"/>
            <w:tcBorders>
              <w:top w:val="nil"/>
              <w:left w:val="nil"/>
              <w:bottom w:val="single" w:sz="4" w:space="0" w:color="auto"/>
              <w:right w:val="single" w:sz="4" w:space="0" w:color="auto"/>
            </w:tcBorders>
            <w:shd w:val="clear" w:color="000000" w:fill="FFFFFF"/>
            <w:noWrap/>
            <w:vAlign w:val="bottom"/>
            <w:hideMark/>
          </w:tcPr>
          <w:p w14:paraId="7DD7E5B4" w14:textId="5F0D3699"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1,985</w:t>
            </w:r>
          </w:p>
        </w:tc>
        <w:tc>
          <w:tcPr>
            <w:tcW w:w="349" w:type="pct"/>
            <w:tcBorders>
              <w:top w:val="nil"/>
              <w:left w:val="nil"/>
              <w:bottom w:val="single" w:sz="4" w:space="0" w:color="auto"/>
              <w:right w:val="single" w:sz="4" w:space="0" w:color="auto"/>
            </w:tcBorders>
            <w:shd w:val="clear" w:color="000000" w:fill="FFFFFF"/>
            <w:noWrap/>
            <w:vAlign w:val="bottom"/>
            <w:hideMark/>
          </w:tcPr>
          <w:p w14:paraId="5E941709" w14:textId="73C3F34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2,987</w:t>
            </w:r>
          </w:p>
        </w:tc>
        <w:tc>
          <w:tcPr>
            <w:tcW w:w="349" w:type="pct"/>
            <w:tcBorders>
              <w:top w:val="nil"/>
              <w:left w:val="nil"/>
              <w:bottom w:val="single" w:sz="4" w:space="0" w:color="auto"/>
              <w:right w:val="single" w:sz="4" w:space="0" w:color="auto"/>
            </w:tcBorders>
            <w:shd w:val="clear" w:color="000000" w:fill="FFFFFF"/>
            <w:noWrap/>
            <w:vAlign w:val="bottom"/>
            <w:hideMark/>
          </w:tcPr>
          <w:p w14:paraId="72449CCB" w14:textId="53894FC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2,421</w:t>
            </w:r>
          </w:p>
        </w:tc>
        <w:tc>
          <w:tcPr>
            <w:tcW w:w="349" w:type="pct"/>
            <w:tcBorders>
              <w:top w:val="nil"/>
              <w:left w:val="nil"/>
              <w:bottom w:val="single" w:sz="4" w:space="0" w:color="auto"/>
              <w:right w:val="single" w:sz="4" w:space="0" w:color="auto"/>
            </w:tcBorders>
            <w:shd w:val="clear" w:color="000000" w:fill="FFFFFF"/>
            <w:noWrap/>
            <w:vAlign w:val="bottom"/>
            <w:hideMark/>
          </w:tcPr>
          <w:p w14:paraId="4D40007F" w14:textId="52CA442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4,621</w:t>
            </w:r>
          </w:p>
        </w:tc>
        <w:tc>
          <w:tcPr>
            <w:tcW w:w="349" w:type="pct"/>
            <w:tcBorders>
              <w:top w:val="nil"/>
              <w:left w:val="nil"/>
              <w:bottom w:val="single" w:sz="4" w:space="0" w:color="auto"/>
              <w:right w:val="single" w:sz="4" w:space="0" w:color="auto"/>
            </w:tcBorders>
            <w:shd w:val="clear" w:color="000000" w:fill="FFFFFF"/>
            <w:noWrap/>
            <w:vAlign w:val="bottom"/>
            <w:hideMark/>
          </w:tcPr>
          <w:p w14:paraId="2B5FDF94" w14:textId="41765AE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4,351</w:t>
            </w:r>
          </w:p>
        </w:tc>
        <w:tc>
          <w:tcPr>
            <w:tcW w:w="349" w:type="pct"/>
            <w:tcBorders>
              <w:top w:val="nil"/>
              <w:left w:val="nil"/>
              <w:bottom w:val="single" w:sz="4" w:space="0" w:color="auto"/>
              <w:right w:val="single" w:sz="4" w:space="0" w:color="auto"/>
            </w:tcBorders>
            <w:shd w:val="clear" w:color="000000" w:fill="FFFFFF"/>
            <w:noWrap/>
            <w:vAlign w:val="bottom"/>
            <w:hideMark/>
          </w:tcPr>
          <w:p w14:paraId="181109A2" w14:textId="6ECD9E8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7,548</w:t>
            </w:r>
          </w:p>
        </w:tc>
        <w:tc>
          <w:tcPr>
            <w:tcW w:w="349" w:type="pct"/>
            <w:tcBorders>
              <w:top w:val="nil"/>
              <w:left w:val="nil"/>
              <w:bottom w:val="single" w:sz="4" w:space="0" w:color="auto"/>
              <w:right w:val="single" w:sz="4" w:space="0" w:color="auto"/>
            </w:tcBorders>
            <w:shd w:val="clear" w:color="000000" w:fill="FFFFFF"/>
            <w:noWrap/>
            <w:vAlign w:val="bottom"/>
            <w:hideMark/>
          </w:tcPr>
          <w:p w14:paraId="60AB4FA9" w14:textId="3E4B189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3,421</w:t>
            </w:r>
          </w:p>
        </w:tc>
        <w:tc>
          <w:tcPr>
            <w:tcW w:w="349" w:type="pct"/>
            <w:tcBorders>
              <w:top w:val="nil"/>
              <w:left w:val="nil"/>
              <w:bottom w:val="single" w:sz="4" w:space="0" w:color="auto"/>
              <w:right w:val="single" w:sz="4" w:space="0" w:color="auto"/>
            </w:tcBorders>
            <w:shd w:val="clear" w:color="000000" w:fill="FFFFFF"/>
            <w:noWrap/>
            <w:vAlign w:val="bottom"/>
            <w:hideMark/>
          </w:tcPr>
          <w:p w14:paraId="271BEEFF" w14:textId="0063DF5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6,580</w:t>
            </w:r>
          </w:p>
        </w:tc>
        <w:tc>
          <w:tcPr>
            <w:tcW w:w="379" w:type="pct"/>
            <w:tcBorders>
              <w:top w:val="nil"/>
              <w:left w:val="nil"/>
              <w:bottom w:val="single" w:sz="4" w:space="0" w:color="auto"/>
              <w:right w:val="single" w:sz="8" w:space="0" w:color="auto"/>
            </w:tcBorders>
            <w:shd w:val="clear" w:color="000000" w:fill="FFFFFF"/>
            <w:noWrap/>
            <w:vAlign w:val="bottom"/>
            <w:hideMark/>
          </w:tcPr>
          <w:p w14:paraId="75AC75FD" w14:textId="35E5995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43,937</w:t>
            </w:r>
          </w:p>
        </w:tc>
      </w:tr>
      <w:tr w:rsidR="00CA1084" w:rsidRPr="00E47FB2" w14:paraId="32AFA381"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0C1534DF" w14:textId="723D1714"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Vainita china</w:t>
            </w:r>
          </w:p>
        </w:tc>
        <w:tc>
          <w:tcPr>
            <w:tcW w:w="349" w:type="pct"/>
            <w:tcBorders>
              <w:top w:val="nil"/>
              <w:left w:val="nil"/>
              <w:bottom w:val="single" w:sz="4" w:space="0" w:color="auto"/>
              <w:right w:val="single" w:sz="4" w:space="0" w:color="auto"/>
            </w:tcBorders>
            <w:shd w:val="clear" w:color="000000" w:fill="FFFFFF"/>
            <w:noWrap/>
            <w:vAlign w:val="bottom"/>
            <w:hideMark/>
          </w:tcPr>
          <w:p w14:paraId="2499FF31" w14:textId="5BE8A45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5,341</w:t>
            </w:r>
          </w:p>
        </w:tc>
        <w:tc>
          <w:tcPr>
            <w:tcW w:w="349" w:type="pct"/>
            <w:tcBorders>
              <w:top w:val="nil"/>
              <w:left w:val="nil"/>
              <w:bottom w:val="single" w:sz="4" w:space="0" w:color="auto"/>
              <w:right w:val="single" w:sz="4" w:space="0" w:color="auto"/>
            </w:tcBorders>
            <w:shd w:val="clear" w:color="000000" w:fill="FFFFFF"/>
            <w:noWrap/>
            <w:vAlign w:val="bottom"/>
            <w:hideMark/>
          </w:tcPr>
          <w:p w14:paraId="42DFCCC6" w14:textId="299411FC"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7,854</w:t>
            </w:r>
          </w:p>
        </w:tc>
        <w:tc>
          <w:tcPr>
            <w:tcW w:w="349" w:type="pct"/>
            <w:tcBorders>
              <w:top w:val="nil"/>
              <w:left w:val="nil"/>
              <w:bottom w:val="single" w:sz="4" w:space="0" w:color="auto"/>
              <w:right w:val="single" w:sz="4" w:space="0" w:color="auto"/>
            </w:tcBorders>
            <w:shd w:val="clear" w:color="000000" w:fill="FFFFFF"/>
            <w:noWrap/>
            <w:vAlign w:val="bottom"/>
            <w:hideMark/>
          </w:tcPr>
          <w:p w14:paraId="1EBF96D5" w14:textId="2472CB7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4,985</w:t>
            </w:r>
          </w:p>
        </w:tc>
        <w:tc>
          <w:tcPr>
            <w:tcW w:w="349" w:type="pct"/>
            <w:tcBorders>
              <w:top w:val="nil"/>
              <w:left w:val="nil"/>
              <w:bottom w:val="single" w:sz="4" w:space="0" w:color="auto"/>
              <w:right w:val="single" w:sz="4" w:space="0" w:color="auto"/>
            </w:tcBorders>
            <w:shd w:val="clear" w:color="000000" w:fill="FFFFFF"/>
            <w:noWrap/>
            <w:vAlign w:val="bottom"/>
            <w:hideMark/>
          </w:tcPr>
          <w:p w14:paraId="370A271F" w14:textId="3C4524B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2,810</w:t>
            </w:r>
          </w:p>
        </w:tc>
        <w:tc>
          <w:tcPr>
            <w:tcW w:w="349" w:type="pct"/>
            <w:tcBorders>
              <w:top w:val="nil"/>
              <w:left w:val="nil"/>
              <w:bottom w:val="single" w:sz="4" w:space="0" w:color="auto"/>
              <w:right w:val="single" w:sz="4" w:space="0" w:color="auto"/>
            </w:tcBorders>
            <w:shd w:val="clear" w:color="000000" w:fill="FFFFFF"/>
            <w:noWrap/>
            <w:vAlign w:val="bottom"/>
            <w:hideMark/>
          </w:tcPr>
          <w:p w14:paraId="1B8B9D84" w14:textId="0FC45DF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3,288</w:t>
            </w:r>
          </w:p>
        </w:tc>
        <w:tc>
          <w:tcPr>
            <w:tcW w:w="349" w:type="pct"/>
            <w:tcBorders>
              <w:top w:val="nil"/>
              <w:left w:val="nil"/>
              <w:bottom w:val="single" w:sz="4" w:space="0" w:color="auto"/>
              <w:right w:val="single" w:sz="4" w:space="0" w:color="auto"/>
            </w:tcBorders>
            <w:shd w:val="clear" w:color="000000" w:fill="FFFFFF"/>
            <w:noWrap/>
            <w:vAlign w:val="bottom"/>
            <w:hideMark/>
          </w:tcPr>
          <w:p w14:paraId="56268ED8" w14:textId="22C3DF9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6,998</w:t>
            </w:r>
          </w:p>
        </w:tc>
        <w:tc>
          <w:tcPr>
            <w:tcW w:w="349" w:type="pct"/>
            <w:tcBorders>
              <w:top w:val="nil"/>
              <w:left w:val="nil"/>
              <w:bottom w:val="single" w:sz="4" w:space="0" w:color="auto"/>
              <w:right w:val="single" w:sz="4" w:space="0" w:color="auto"/>
            </w:tcBorders>
            <w:shd w:val="clear" w:color="000000" w:fill="FFFFFF"/>
            <w:noWrap/>
            <w:vAlign w:val="bottom"/>
            <w:hideMark/>
          </w:tcPr>
          <w:p w14:paraId="2042CFA9" w14:textId="17A7801B"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6,124</w:t>
            </w:r>
          </w:p>
        </w:tc>
        <w:tc>
          <w:tcPr>
            <w:tcW w:w="349" w:type="pct"/>
            <w:tcBorders>
              <w:top w:val="nil"/>
              <w:left w:val="nil"/>
              <w:bottom w:val="single" w:sz="4" w:space="0" w:color="auto"/>
              <w:right w:val="single" w:sz="4" w:space="0" w:color="auto"/>
            </w:tcBorders>
            <w:shd w:val="clear" w:color="000000" w:fill="FFFFFF"/>
            <w:noWrap/>
            <w:vAlign w:val="bottom"/>
            <w:hideMark/>
          </w:tcPr>
          <w:p w14:paraId="3E253C0B" w14:textId="2811EAA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7,854</w:t>
            </w:r>
          </w:p>
        </w:tc>
        <w:tc>
          <w:tcPr>
            <w:tcW w:w="349" w:type="pct"/>
            <w:tcBorders>
              <w:top w:val="nil"/>
              <w:left w:val="nil"/>
              <w:bottom w:val="single" w:sz="4" w:space="0" w:color="auto"/>
              <w:right w:val="single" w:sz="4" w:space="0" w:color="auto"/>
            </w:tcBorders>
            <w:shd w:val="clear" w:color="000000" w:fill="FFFFFF"/>
            <w:noWrap/>
            <w:vAlign w:val="bottom"/>
            <w:hideMark/>
          </w:tcPr>
          <w:p w14:paraId="357D4DEF" w14:textId="31D7578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8,999</w:t>
            </w:r>
          </w:p>
        </w:tc>
        <w:tc>
          <w:tcPr>
            <w:tcW w:w="349" w:type="pct"/>
            <w:tcBorders>
              <w:top w:val="nil"/>
              <w:left w:val="nil"/>
              <w:bottom w:val="single" w:sz="4" w:space="0" w:color="auto"/>
              <w:right w:val="single" w:sz="4" w:space="0" w:color="auto"/>
            </w:tcBorders>
            <w:shd w:val="clear" w:color="000000" w:fill="FFFFFF"/>
            <w:noWrap/>
            <w:vAlign w:val="bottom"/>
            <w:hideMark/>
          </w:tcPr>
          <w:p w14:paraId="23239ECC" w14:textId="4B892D8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9,458</w:t>
            </w:r>
          </w:p>
        </w:tc>
        <w:tc>
          <w:tcPr>
            <w:tcW w:w="349" w:type="pct"/>
            <w:tcBorders>
              <w:top w:val="nil"/>
              <w:left w:val="nil"/>
              <w:bottom w:val="single" w:sz="4" w:space="0" w:color="auto"/>
              <w:right w:val="single" w:sz="4" w:space="0" w:color="auto"/>
            </w:tcBorders>
            <w:shd w:val="clear" w:color="000000" w:fill="FFFFFF"/>
            <w:noWrap/>
            <w:vAlign w:val="bottom"/>
            <w:hideMark/>
          </w:tcPr>
          <w:p w14:paraId="288FAAD6" w14:textId="769C869F"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4,623</w:t>
            </w:r>
          </w:p>
        </w:tc>
        <w:tc>
          <w:tcPr>
            <w:tcW w:w="349" w:type="pct"/>
            <w:tcBorders>
              <w:top w:val="nil"/>
              <w:left w:val="nil"/>
              <w:bottom w:val="single" w:sz="4" w:space="0" w:color="auto"/>
              <w:right w:val="single" w:sz="4" w:space="0" w:color="auto"/>
            </w:tcBorders>
            <w:shd w:val="clear" w:color="000000" w:fill="FFFFFF"/>
            <w:noWrap/>
            <w:vAlign w:val="bottom"/>
            <w:hideMark/>
          </w:tcPr>
          <w:p w14:paraId="2A99AC75" w14:textId="16E6076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5,364</w:t>
            </w:r>
          </w:p>
        </w:tc>
        <w:tc>
          <w:tcPr>
            <w:tcW w:w="379" w:type="pct"/>
            <w:tcBorders>
              <w:top w:val="nil"/>
              <w:left w:val="nil"/>
              <w:bottom w:val="single" w:sz="4" w:space="0" w:color="auto"/>
              <w:right w:val="single" w:sz="8" w:space="0" w:color="auto"/>
            </w:tcBorders>
            <w:shd w:val="clear" w:color="000000" w:fill="FFFFFF"/>
            <w:noWrap/>
            <w:vAlign w:val="bottom"/>
            <w:hideMark/>
          </w:tcPr>
          <w:p w14:paraId="6479E0BD" w14:textId="53C5465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73,698</w:t>
            </w:r>
          </w:p>
        </w:tc>
      </w:tr>
      <w:tr w:rsidR="00CA1084" w:rsidRPr="00E47FB2" w14:paraId="0FFED938"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17205479"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Apio</w:t>
            </w:r>
          </w:p>
        </w:tc>
        <w:tc>
          <w:tcPr>
            <w:tcW w:w="349" w:type="pct"/>
            <w:tcBorders>
              <w:top w:val="nil"/>
              <w:left w:val="nil"/>
              <w:bottom w:val="single" w:sz="4" w:space="0" w:color="auto"/>
              <w:right w:val="single" w:sz="4" w:space="0" w:color="auto"/>
            </w:tcBorders>
            <w:shd w:val="clear" w:color="000000" w:fill="FFFFFF"/>
            <w:noWrap/>
            <w:vAlign w:val="bottom"/>
            <w:hideMark/>
          </w:tcPr>
          <w:p w14:paraId="4E5559CF" w14:textId="6C5F7B6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456</w:t>
            </w:r>
          </w:p>
        </w:tc>
        <w:tc>
          <w:tcPr>
            <w:tcW w:w="349" w:type="pct"/>
            <w:tcBorders>
              <w:top w:val="nil"/>
              <w:left w:val="nil"/>
              <w:bottom w:val="single" w:sz="4" w:space="0" w:color="auto"/>
              <w:right w:val="single" w:sz="4" w:space="0" w:color="auto"/>
            </w:tcBorders>
            <w:shd w:val="clear" w:color="000000" w:fill="FFFFFF"/>
            <w:noWrap/>
            <w:vAlign w:val="bottom"/>
            <w:hideMark/>
          </w:tcPr>
          <w:p w14:paraId="3B63285A" w14:textId="7EEEA54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494</w:t>
            </w:r>
          </w:p>
        </w:tc>
        <w:tc>
          <w:tcPr>
            <w:tcW w:w="349" w:type="pct"/>
            <w:tcBorders>
              <w:top w:val="nil"/>
              <w:left w:val="nil"/>
              <w:bottom w:val="single" w:sz="4" w:space="0" w:color="auto"/>
              <w:right w:val="single" w:sz="4" w:space="0" w:color="auto"/>
            </w:tcBorders>
            <w:shd w:val="clear" w:color="000000" w:fill="FFFFFF"/>
            <w:noWrap/>
            <w:vAlign w:val="bottom"/>
            <w:hideMark/>
          </w:tcPr>
          <w:p w14:paraId="660FC97A" w14:textId="4AD209E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307</w:t>
            </w:r>
          </w:p>
        </w:tc>
        <w:tc>
          <w:tcPr>
            <w:tcW w:w="349" w:type="pct"/>
            <w:tcBorders>
              <w:top w:val="nil"/>
              <w:left w:val="nil"/>
              <w:bottom w:val="single" w:sz="4" w:space="0" w:color="auto"/>
              <w:right w:val="single" w:sz="4" w:space="0" w:color="auto"/>
            </w:tcBorders>
            <w:shd w:val="clear" w:color="000000" w:fill="FFFFFF"/>
            <w:noWrap/>
            <w:vAlign w:val="bottom"/>
            <w:hideMark/>
          </w:tcPr>
          <w:p w14:paraId="06B143C9" w14:textId="67648880"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320</w:t>
            </w:r>
          </w:p>
        </w:tc>
        <w:tc>
          <w:tcPr>
            <w:tcW w:w="349" w:type="pct"/>
            <w:tcBorders>
              <w:top w:val="nil"/>
              <w:left w:val="nil"/>
              <w:bottom w:val="single" w:sz="4" w:space="0" w:color="auto"/>
              <w:right w:val="single" w:sz="4" w:space="0" w:color="auto"/>
            </w:tcBorders>
            <w:shd w:val="clear" w:color="000000" w:fill="FFFFFF"/>
            <w:noWrap/>
            <w:vAlign w:val="bottom"/>
            <w:hideMark/>
          </w:tcPr>
          <w:p w14:paraId="5982302A" w14:textId="19A498D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390</w:t>
            </w:r>
          </w:p>
        </w:tc>
        <w:tc>
          <w:tcPr>
            <w:tcW w:w="349" w:type="pct"/>
            <w:tcBorders>
              <w:top w:val="nil"/>
              <w:left w:val="nil"/>
              <w:bottom w:val="single" w:sz="4" w:space="0" w:color="auto"/>
              <w:right w:val="single" w:sz="4" w:space="0" w:color="auto"/>
            </w:tcBorders>
            <w:shd w:val="clear" w:color="000000" w:fill="FFFFFF"/>
            <w:noWrap/>
            <w:vAlign w:val="bottom"/>
            <w:hideMark/>
          </w:tcPr>
          <w:p w14:paraId="727E934C" w14:textId="3A139461"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374</w:t>
            </w:r>
          </w:p>
        </w:tc>
        <w:tc>
          <w:tcPr>
            <w:tcW w:w="349" w:type="pct"/>
            <w:tcBorders>
              <w:top w:val="nil"/>
              <w:left w:val="nil"/>
              <w:bottom w:val="single" w:sz="4" w:space="0" w:color="auto"/>
              <w:right w:val="single" w:sz="4" w:space="0" w:color="auto"/>
            </w:tcBorders>
            <w:shd w:val="clear" w:color="000000" w:fill="FFFFFF"/>
            <w:noWrap/>
            <w:vAlign w:val="bottom"/>
            <w:hideMark/>
          </w:tcPr>
          <w:p w14:paraId="7CE5B4DB" w14:textId="7D60C70E"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656</w:t>
            </w:r>
          </w:p>
        </w:tc>
        <w:tc>
          <w:tcPr>
            <w:tcW w:w="349" w:type="pct"/>
            <w:tcBorders>
              <w:top w:val="nil"/>
              <w:left w:val="nil"/>
              <w:bottom w:val="single" w:sz="4" w:space="0" w:color="auto"/>
              <w:right w:val="single" w:sz="4" w:space="0" w:color="auto"/>
            </w:tcBorders>
            <w:shd w:val="clear" w:color="000000" w:fill="FFFFFF"/>
            <w:noWrap/>
            <w:vAlign w:val="bottom"/>
            <w:hideMark/>
          </w:tcPr>
          <w:p w14:paraId="13582548" w14:textId="0B7EADA2"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507</w:t>
            </w:r>
          </w:p>
        </w:tc>
        <w:tc>
          <w:tcPr>
            <w:tcW w:w="349" w:type="pct"/>
            <w:tcBorders>
              <w:top w:val="nil"/>
              <w:left w:val="nil"/>
              <w:bottom w:val="single" w:sz="4" w:space="0" w:color="auto"/>
              <w:right w:val="single" w:sz="4" w:space="0" w:color="auto"/>
            </w:tcBorders>
            <w:shd w:val="clear" w:color="000000" w:fill="FFFFFF"/>
            <w:noWrap/>
            <w:vAlign w:val="bottom"/>
            <w:hideMark/>
          </w:tcPr>
          <w:p w14:paraId="379AE80A" w14:textId="1226C276"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806</w:t>
            </w:r>
          </w:p>
        </w:tc>
        <w:tc>
          <w:tcPr>
            <w:tcW w:w="349" w:type="pct"/>
            <w:tcBorders>
              <w:top w:val="nil"/>
              <w:left w:val="nil"/>
              <w:bottom w:val="single" w:sz="4" w:space="0" w:color="auto"/>
              <w:right w:val="single" w:sz="4" w:space="0" w:color="auto"/>
            </w:tcBorders>
            <w:shd w:val="clear" w:color="000000" w:fill="FFFFFF"/>
            <w:noWrap/>
            <w:vAlign w:val="bottom"/>
            <w:hideMark/>
          </w:tcPr>
          <w:p w14:paraId="4CC499E7" w14:textId="134F4E08"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810</w:t>
            </w:r>
          </w:p>
        </w:tc>
        <w:tc>
          <w:tcPr>
            <w:tcW w:w="349" w:type="pct"/>
            <w:tcBorders>
              <w:top w:val="nil"/>
              <w:left w:val="nil"/>
              <w:bottom w:val="single" w:sz="4" w:space="0" w:color="auto"/>
              <w:right w:val="single" w:sz="4" w:space="0" w:color="auto"/>
            </w:tcBorders>
            <w:shd w:val="clear" w:color="000000" w:fill="FFFFFF"/>
            <w:noWrap/>
            <w:vAlign w:val="bottom"/>
            <w:hideMark/>
          </w:tcPr>
          <w:p w14:paraId="2D511DB1" w14:textId="68F23894"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519</w:t>
            </w:r>
          </w:p>
        </w:tc>
        <w:tc>
          <w:tcPr>
            <w:tcW w:w="349" w:type="pct"/>
            <w:tcBorders>
              <w:top w:val="nil"/>
              <w:left w:val="nil"/>
              <w:bottom w:val="single" w:sz="4" w:space="0" w:color="auto"/>
              <w:right w:val="single" w:sz="4" w:space="0" w:color="auto"/>
            </w:tcBorders>
            <w:shd w:val="clear" w:color="000000" w:fill="FFFFFF"/>
            <w:noWrap/>
            <w:vAlign w:val="bottom"/>
            <w:hideMark/>
          </w:tcPr>
          <w:p w14:paraId="1BECE2EC" w14:textId="300819F5"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887</w:t>
            </w:r>
          </w:p>
        </w:tc>
        <w:tc>
          <w:tcPr>
            <w:tcW w:w="379" w:type="pct"/>
            <w:tcBorders>
              <w:top w:val="nil"/>
              <w:left w:val="nil"/>
              <w:bottom w:val="single" w:sz="4" w:space="0" w:color="auto"/>
              <w:right w:val="single" w:sz="8" w:space="0" w:color="auto"/>
            </w:tcBorders>
            <w:shd w:val="clear" w:color="000000" w:fill="FFFFFF"/>
            <w:noWrap/>
            <w:vAlign w:val="bottom"/>
            <w:hideMark/>
          </w:tcPr>
          <w:p w14:paraId="69CA467B" w14:textId="2F0EA4C3" w:rsidR="00CA1084" w:rsidRPr="00E47FB2" w:rsidRDefault="00CA1084" w:rsidP="00CA1084">
            <w:pPr>
              <w:spacing w:after="0"/>
              <w:jc w:val="right"/>
              <w:rPr>
                <w:rFonts w:ascii="Times New Roman" w:hAnsi="Times New Roman"/>
                <w:sz w:val="20"/>
                <w:szCs w:val="20"/>
              </w:rPr>
            </w:pPr>
            <w:r w:rsidRPr="00E47FB2">
              <w:rPr>
                <w:rFonts w:ascii="Times New Roman" w:hAnsi="Times New Roman"/>
                <w:sz w:val="20"/>
                <w:szCs w:val="20"/>
              </w:rPr>
              <w:t>6,526</w:t>
            </w:r>
          </w:p>
        </w:tc>
      </w:tr>
      <w:tr w:rsidR="00CA1084" w:rsidRPr="00E47FB2" w14:paraId="469C825D" w14:textId="77777777" w:rsidTr="00CA1084">
        <w:trPr>
          <w:trHeight w:val="96"/>
          <w:jc w:val="center"/>
        </w:trPr>
        <w:tc>
          <w:tcPr>
            <w:tcW w:w="438" w:type="pct"/>
            <w:tcBorders>
              <w:top w:val="single" w:sz="4" w:space="0" w:color="auto"/>
              <w:left w:val="single" w:sz="4" w:space="0" w:color="auto"/>
              <w:bottom w:val="single" w:sz="4" w:space="0" w:color="auto"/>
              <w:right w:val="single" w:sz="4" w:space="0" w:color="auto"/>
            </w:tcBorders>
            <w:shd w:val="clear" w:color="auto" w:fill="00B050"/>
            <w:noWrap/>
            <w:vAlign w:val="center"/>
          </w:tcPr>
          <w:p w14:paraId="4E686469" w14:textId="695D82A2" w:rsidR="00CA1084" w:rsidRPr="00E47FB2" w:rsidRDefault="00CA1084" w:rsidP="00CA1084">
            <w:pPr>
              <w:spacing w:after="0"/>
              <w:jc w:val="center"/>
              <w:rPr>
                <w:rFonts w:ascii="Times New Roman" w:hAnsi="Times New Roman"/>
                <w:sz w:val="20"/>
                <w:szCs w:val="20"/>
                <w:lang w:val="en-US" w:eastAsia="en-US"/>
              </w:rPr>
            </w:pPr>
            <w:r w:rsidRPr="00E47FB2">
              <w:rPr>
                <w:rFonts w:ascii="Times New Roman" w:hAnsi="Times New Roman"/>
                <w:b/>
                <w:bCs/>
                <w:color w:val="FFFFFF" w:themeColor="background1"/>
                <w:szCs w:val="18"/>
                <w:lang w:val="en-US" w:eastAsia="en-US"/>
              </w:rPr>
              <w:lastRenderedPageBreak/>
              <w:t>Rubro</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tcPr>
          <w:p w14:paraId="15E0F7B3" w14:textId="4369803B" w:rsidR="00CA1084" w:rsidRPr="00E47FB2" w:rsidRDefault="00CA1084" w:rsidP="00CA1084">
            <w:pPr>
              <w:spacing w:after="0"/>
              <w:jc w:val="center"/>
              <w:rPr>
                <w:rFonts w:ascii="Times New Roman" w:hAnsi="Times New Roman"/>
                <w:sz w:val="18"/>
                <w:szCs w:val="18"/>
              </w:rPr>
            </w:pPr>
            <w:r w:rsidRPr="00E47FB2">
              <w:rPr>
                <w:rFonts w:ascii="Times New Roman" w:hAnsi="Times New Roman"/>
                <w:b/>
                <w:bCs/>
                <w:color w:val="FFFFFF" w:themeColor="background1"/>
                <w:szCs w:val="18"/>
                <w:lang w:val="en-US" w:eastAsia="en-US"/>
              </w:rPr>
              <w:t>Ene.</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tcPr>
          <w:p w14:paraId="728B428D" w14:textId="4169292E" w:rsidR="00CA1084" w:rsidRPr="00E47FB2" w:rsidRDefault="00CA1084" w:rsidP="00CA1084">
            <w:pPr>
              <w:spacing w:after="0"/>
              <w:jc w:val="center"/>
              <w:rPr>
                <w:rFonts w:ascii="Times New Roman" w:hAnsi="Times New Roman"/>
                <w:sz w:val="18"/>
                <w:szCs w:val="18"/>
              </w:rPr>
            </w:pPr>
            <w:r w:rsidRPr="00E47FB2">
              <w:rPr>
                <w:rFonts w:ascii="Times New Roman" w:hAnsi="Times New Roman"/>
                <w:b/>
                <w:bCs/>
                <w:color w:val="FFFFFF" w:themeColor="background1"/>
                <w:szCs w:val="18"/>
                <w:lang w:val="en-US" w:eastAsia="en-US"/>
              </w:rPr>
              <w:t>Feb.</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tcPr>
          <w:p w14:paraId="638501B9" w14:textId="7A5DAA11" w:rsidR="00CA1084" w:rsidRPr="00E47FB2" w:rsidRDefault="00CA1084" w:rsidP="00CA1084">
            <w:pPr>
              <w:spacing w:after="0"/>
              <w:jc w:val="center"/>
              <w:rPr>
                <w:rFonts w:ascii="Times New Roman" w:hAnsi="Times New Roman"/>
                <w:sz w:val="18"/>
                <w:szCs w:val="18"/>
              </w:rPr>
            </w:pPr>
            <w:r w:rsidRPr="00E47FB2">
              <w:rPr>
                <w:rFonts w:ascii="Times New Roman" w:hAnsi="Times New Roman"/>
                <w:b/>
                <w:bCs/>
                <w:color w:val="FFFFFF" w:themeColor="background1"/>
                <w:szCs w:val="18"/>
                <w:lang w:val="en-US" w:eastAsia="en-US"/>
              </w:rPr>
              <w:t>Mar.</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tcPr>
          <w:p w14:paraId="00A002A2" w14:textId="76523EA4" w:rsidR="00CA1084" w:rsidRPr="00E47FB2" w:rsidRDefault="00CA1084" w:rsidP="00CA1084">
            <w:pPr>
              <w:spacing w:after="0"/>
              <w:jc w:val="center"/>
              <w:rPr>
                <w:rFonts w:ascii="Times New Roman" w:hAnsi="Times New Roman"/>
                <w:sz w:val="18"/>
                <w:szCs w:val="18"/>
              </w:rPr>
            </w:pPr>
            <w:r w:rsidRPr="00E47FB2">
              <w:rPr>
                <w:rFonts w:ascii="Times New Roman" w:hAnsi="Times New Roman"/>
                <w:b/>
                <w:bCs/>
                <w:color w:val="FFFFFF" w:themeColor="background1"/>
                <w:szCs w:val="18"/>
                <w:lang w:val="en-US" w:eastAsia="en-US"/>
              </w:rPr>
              <w:t>Abr.</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tcPr>
          <w:p w14:paraId="1591ADF6" w14:textId="4C3A0C25" w:rsidR="00CA1084" w:rsidRPr="00E47FB2" w:rsidRDefault="00CA1084" w:rsidP="00CA1084">
            <w:pPr>
              <w:spacing w:after="0"/>
              <w:jc w:val="center"/>
              <w:rPr>
                <w:rFonts w:ascii="Times New Roman" w:hAnsi="Times New Roman"/>
                <w:sz w:val="18"/>
                <w:szCs w:val="18"/>
              </w:rPr>
            </w:pPr>
            <w:r w:rsidRPr="00E47FB2">
              <w:rPr>
                <w:rFonts w:ascii="Times New Roman" w:hAnsi="Times New Roman"/>
                <w:b/>
                <w:bCs/>
                <w:color w:val="FFFFFF" w:themeColor="background1"/>
                <w:szCs w:val="18"/>
                <w:lang w:val="en-US" w:eastAsia="en-US"/>
              </w:rPr>
              <w:t>May.</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tcPr>
          <w:p w14:paraId="10CB772F" w14:textId="69F0B6F0" w:rsidR="00CA1084" w:rsidRPr="00E47FB2" w:rsidRDefault="00CA1084" w:rsidP="00CA1084">
            <w:pPr>
              <w:spacing w:after="0"/>
              <w:jc w:val="center"/>
              <w:rPr>
                <w:rFonts w:ascii="Times New Roman" w:hAnsi="Times New Roman"/>
                <w:sz w:val="18"/>
                <w:szCs w:val="18"/>
              </w:rPr>
            </w:pPr>
            <w:r w:rsidRPr="00E47FB2">
              <w:rPr>
                <w:rFonts w:ascii="Times New Roman" w:hAnsi="Times New Roman"/>
                <w:b/>
                <w:bCs/>
                <w:color w:val="FFFFFF" w:themeColor="background1"/>
                <w:szCs w:val="18"/>
                <w:lang w:val="en-US" w:eastAsia="en-US"/>
              </w:rPr>
              <w:t>Jun.</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tcPr>
          <w:p w14:paraId="68A8099F" w14:textId="52A70AAD" w:rsidR="00CA1084" w:rsidRPr="00E47FB2" w:rsidRDefault="00CA1084" w:rsidP="00CA1084">
            <w:pPr>
              <w:spacing w:after="0"/>
              <w:jc w:val="center"/>
              <w:rPr>
                <w:rFonts w:ascii="Times New Roman" w:hAnsi="Times New Roman"/>
                <w:sz w:val="18"/>
                <w:szCs w:val="18"/>
              </w:rPr>
            </w:pPr>
            <w:r w:rsidRPr="00E47FB2">
              <w:rPr>
                <w:rFonts w:ascii="Times New Roman" w:hAnsi="Times New Roman"/>
                <w:b/>
                <w:bCs/>
                <w:color w:val="FFFFFF" w:themeColor="background1"/>
                <w:szCs w:val="18"/>
                <w:lang w:val="en-US" w:eastAsia="en-US"/>
              </w:rPr>
              <w:t>Jul.</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tcPr>
          <w:p w14:paraId="1185FC28" w14:textId="6D51617E" w:rsidR="00CA1084" w:rsidRPr="00E47FB2" w:rsidRDefault="00CA1084" w:rsidP="00CA1084">
            <w:pPr>
              <w:spacing w:after="0"/>
              <w:jc w:val="center"/>
              <w:rPr>
                <w:rFonts w:ascii="Times New Roman" w:hAnsi="Times New Roman"/>
                <w:sz w:val="18"/>
                <w:szCs w:val="18"/>
              </w:rPr>
            </w:pPr>
            <w:r w:rsidRPr="00E47FB2">
              <w:rPr>
                <w:rFonts w:ascii="Times New Roman" w:hAnsi="Times New Roman"/>
                <w:b/>
                <w:bCs/>
                <w:color w:val="FFFFFF" w:themeColor="background1"/>
                <w:szCs w:val="18"/>
                <w:lang w:val="en-US" w:eastAsia="en-US"/>
              </w:rPr>
              <w:t>Ago.</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tcPr>
          <w:p w14:paraId="5C274F2A" w14:textId="66160606" w:rsidR="00CA1084" w:rsidRPr="00E47FB2" w:rsidRDefault="00CA1084" w:rsidP="00CA1084">
            <w:pPr>
              <w:spacing w:after="0"/>
              <w:jc w:val="center"/>
              <w:rPr>
                <w:rFonts w:ascii="Times New Roman" w:hAnsi="Times New Roman"/>
                <w:sz w:val="18"/>
                <w:szCs w:val="18"/>
              </w:rPr>
            </w:pPr>
            <w:r w:rsidRPr="00E47FB2">
              <w:rPr>
                <w:rFonts w:ascii="Times New Roman" w:hAnsi="Times New Roman"/>
                <w:b/>
                <w:bCs/>
                <w:color w:val="FFFFFF" w:themeColor="background1"/>
                <w:szCs w:val="18"/>
                <w:lang w:val="en-US" w:eastAsia="en-US"/>
              </w:rPr>
              <w:t>Sep.</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tcPr>
          <w:p w14:paraId="6B14E6C8" w14:textId="75F1F9B4" w:rsidR="00CA1084" w:rsidRPr="00E47FB2" w:rsidRDefault="00CA1084" w:rsidP="00CA1084">
            <w:pPr>
              <w:spacing w:after="0"/>
              <w:jc w:val="center"/>
              <w:rPr>
                <w:rFonts w:ascii="Times New Roman" w:hAnsi="Times New Roman"/>
                <w:sz w:val="18"/>
                <w:szCs w:val="18"/>
              </w:rPr>
            </w:pPr>
            <w:r w:rsidRPr="00E47FB2">
              <w:rPr>
                <w:rFonts w:ascii="Times New Roman" w:hAnsi="Times New Roman"/>
                <w:b/>
                <w:bCs/>
                <w:color w:val="FFFFFF" w:themeColor="background1"/>
                <w:szCs w:val="18"/>
                <w:lang w:val="en-US" w:eastAsia="en-US"/>
              </w:rPr>
              <w:t>Oct.</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tcPr>
          <w:p w14:paraId="1BE66F69" w14:textId="5F057350" w:rsidR="00CA1084" w:rsidRPr="00E47FB2" w:rsidRDefault="00CA1084" w:rsidP="00CA1084">
            <w:pPr>
              <w:spacing w:after="0"/>
              <w:jc w:val="center"/>
              <w:rPr>
                <w:rFonts w:ascii="Times New Roman" w:hAnsi="Times New Roman"/>
                <w:sz w:val="18"/>
                <w:szCs w:val="18"/>
              </w:rPr>
            </w:pPr>
            <w:r w:rsidRPr="00E47FB2">
              <w:rPr>
                <w:rFonts w:ascii="Times New Roman" w:hAnsi="Times New Roman"/>
                <w:b/>
                <w:bCs/>
                <w:color w:val="FFFFFF" w:themeColor="background1"/>
                <w:szCs w:val="18"/>
                <w:lang w:val="en-US" w:eastAsia="en-US"/>
              </w:rPr>
              <w:t>Nov.</w:t>
            </w:r>
          </w:p>
        </w:tc>
        <w:tc>
          <w:tcPr>
            <w:tcW w:w="349" w:type="pct"/>
            <w:tcBorders>
              <w:top w:val="single" w:sz="4" w:space="0" w:color="auto"/>
              <w:left w:val="single" w:sz="4" w:space="0" w:color="auto"/>
              <w:bottom w:val="single" w:sz="4" w:space="0" w:color="auto"/>
              <w:right w:val="single" w:sz="4" w:space="0" w:color="auto"/>
            </w:tcBorders>
            <w:shd w:val="clear" w:color="auto" w:fill="00B050"/>
            <w:noWrap/>
            <w:vAlign w:val="center"/>
          </w:tcPr>
          <w:p w14:paraId="724CC038" w14:textId="6F25A6E4" w:rsidR="00CA1084" w:rsidRPr="00E47FB2" w:rsidRDefault="00CA1084" w:rsidP="00CA1084">
            <w:pPr>
              <w:spacing w:after="0"/>
              <w:jc w:val="center"/>
              <w:rPr>
                <w:rFonts w:ascii="Times New Roman" w:hAnsi="Times New Roman"/>
                <w:sz w:val="18"/>
                <w:szCs w:val="18"/>
              </w:rPr>
            </w:pPr>
            <w:r w:rsidRPr="00E47FB2">
              <w:rPr>
                <w:rFonts w:ascii="Times New Roman" w:hAnsi="Times New Roman"/>
                <w:b/>
                <w:bCs/>
                <w:color w:val="FFFFFF" w:themeColor="background1"/>
                <w:szCs w:val="18"/>
                <w:lang w:val="en-US" w:eastAsia="en-US"/>
              </w:rPr>
              <w:t>Dic.</w:t>
            </w:r>
          </w:p>
        </w:tc>
        <w:tc>
          <w:tcPr>
            <w:tcW w:w="379" w:type="pct"/>
            <w:tcBorders>
              <w:top w:val="single" w:sz="4" w:space="0" w:color="auto"/>
              <w:left w:val="single" w:sz="4" w:space="0" w:color="auto"/>
              <w:bottom w:val="single" w:sz="4" w:space="0" w:color="auto"/>
              <w:right w:val="single" w:sz="4" w:space="0" w:color="auto"/>
            </w:tcBorders>
            <w:shd w:val="clear" w:color="auto" w:fill="00B050"/>
            <w:noWrap/>
            <w:vAlign w:val="center"/>
          </w:tcPr>
          <w:p w14:paraId="05772393" w14:textId="12806913" w:rsidR="00CA1084" w:rsidRPr="00E47FB2" w:rsidRDefault="00CA1084" w:rsidP="00CA1084">
            <w:pPr>
              <w:spacing w:after="0"/>
              <w:jc w:val="center"/>
              <w:rPr>
                <w:rFonts w:ascii="Times New Roman" w:hAnsi="Times New Roman"/>
                <w:sz w:val="18"/>
                <w:szCs w:val="18"/>
              </w:rPr>
            </w:pPr>
            <w:r w:rsidRPr="00E47FB2">
              <w:rPr>
                <w:rFonts w:ascii="Times New Roman" w:hAnsi="Times New Roman"/>
                <w:b/>
                <w:bCs/>
                <w:color w:val="FFFFFF" w:themeColor="background1"/>
                <w:szCs w:val="18"/>
                <w:lang w:val="en-US" w:eastAsia="en-US"/>
              </w:rPr>
              <w:t>Total</w:t>
            </w:r>
          </w:p>
        </w:tc>
      </w:tr>
      <w:tr w:rsidR="00CA1084" w:rsidRPr="00E47FB2" w14:paraId="4827AF38" w14:textId="77777777" w:rsidTr="00CA1084">
        <w:trPr>
          <w:trHeight w:val="96"/>
          <w:jc w:val="center"/>
        </w:trPr>
        <w:tc>
          <w:tcPr>
            <w:tcW w:w="43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EDFE879"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Parvol</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2EE64D77" w14:textId="4E5C504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324</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54368A19" w14:textId="6C22C850"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3,987</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4B5CBFF1" w14:textId="7573963D"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3,879</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403C58BE" w14:textId="30BAD59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3,488</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662542D8" w14:textId="6907CA4F"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489</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3E823FCC" w14:textId="103307D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600</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25D63B18" w14:textId="54FC2FB5"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6,241</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26A5D439" w14:textId="6044C10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562</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42CB53A4" w14:textId="7401C782"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2,895</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0D54989E" w14:textId="223DAC98"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8,954</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016F974E" w14:textId="7E041FFE"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6,621</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310C3DC4" w14:textId="2EC67A16"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9,354</w:t>
            </w:r>
          </w:p>
        </w:tc>
        <w:tc>
          <w:tcPr>
            <w:tcW w:w="379" w:type="pct"/>
            <w:tcBorders>
              <w:top w:val="single" w:sz="4" w:space="0" w:color="auto"/>
              <w:left w:val="nil"/>
              <w:bottom w:val="single" w:sz="4" w:space="0" w:color="auto"/>
              <w:right w:val="single" w:sz="8" w:space="0" w:color="auto"/>
            </w:tcBorders>
            <w:shd w:val="clear" w:color="000000" w:fill="FFFFFF"/>
            <w:noWrap/>
            <w:vAlign w:val="bottom"/>
            <w:hideMark/>
          </w:tcPr>
          <w:p w14:paraId="3DAA450C" w14:textId="19D261B2"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47,394</w:t>
            </w:r>
          </w:p>
        </w:tc>
      </w:tr>
      <w:tr w:rsidR="00CA1084" w:rsidRPr="00E47FB2" w14:paraId="52FCB5B0"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3579CF03"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Oregano</w:t>
            </w:r>
          </w:p>
        </w:tc>
        <w:tc>
          <w:tcPr>
            <w:tcW w:w="349" w:type="pct"/>
            <w:tcBorders>
              <w:top w:val="nil"/>
              <w:left w:val="nil"/>
              <w:bottom w:val="single" w:sz="4" w:space="0" w:color="auto"/>
              <w:right w:val="single" w:sz="4" w:space="0" w:color="auto"/>
            </w:tcBorders>
            <w:shd w:val="clear" w:color="000000" w:fill="FFFFFF"/>
            <w:noWrap/>
            <w:vAlign w:val="bottom"/>
            <w:hideMark/>
          </w:tcPr>
          <w:p w14:paraId="1D076D80" w14:textId="4ABE1978"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6,457</w:t>
            </w:r>
          </w:p>
        </w:tc>
        <w:tc>
          <w:tcPr>
            <w:tcW w:w="349" w:type="pct"/>
            <w:tcBorders>
              <w:top w:val="nil"/>
              <w:left w:val="nil"/>
              <w:bottom w:val="single" w:sz="4" w:space="0" w:color="auto"/>
              <w:right w:val="single" w:sz="4" w:space="0" w:color="auto"/>
            </w:tcBorders>
            <w:shd w:val="clear" w:color="000000" w:fill="FFFFFF"/>
            <w:noWrap/>
            <w:vAlign w:val="bottom"/>
            <w:hideMark/>
          </w:tcPr>
          <w:p w14:paraId="41007EF2" w14:textId="38BF295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13,330</w:t>
            </w:r>
          </w:p>
        </w:tc>
        <w:tc>
          <w:tcPr>
            <w:tcW w:w="349" w:type="pct"/>
            <w:tcBorders>
              <w:top w:val="nil"/>
              <w:left w:val="nil"/>
              <w:bottom w:val="single" w:sz="4" w:space="0" w:color="auto"/>
              <w:right w:val="single" w:sz="4" w:space="0" w:color="auto"/>
            </w:tcBorders>
            <w:shd w:val="clear" w:color="000000" w:fill="FFFFFF"/>
            <w:noWrap/>
            <w:vAlign w:val="bottom"/>
            <w:hideMark/>
          </w:tcPr>
          <w:p w14:paraId="4B12F3A3" w14:textId="777B3BA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6,102</w:t>
            </w:r>
          </w:p>
        </w:tc>
        <w:tc>
          <w:tcPr>
            <w:tcW w:w="349" w:type="pct"/>
            <w:tcBorders>
              <w:top w:val="nil"/>
              <w:left w:val="nil"/>
              <w:bottom w:val="single" w:sz="4" w:space="0" w:color="auto"/>
              <w:right w:val="single" w:sz="4" w:space="0" w:color="auto"/>
            </w:tcBorders>
            <w:shd w:val="clear" w:color="000000" w:fill="FFFFFF"/>
            <w:noWrap/>
            <w:vAlign w:val="bottom"/>
            <w:hideMark/>
          </w:tcPr>
          <w:p w14:paraId="3119995F" w14:textId="531D1EA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8,450</w:t>
            </w:r>
          </w:p>
        </w:tc>
        <w:tc>
          <w:tcPr>
            <w:tcW w:w="349" w:type="pct"/>
            <w:tcBorders>
              <w:top w:val="nil"/>
              <w:left w:val="nil"/>
              <w:bottom w:val="single" w:sz="4" w:space="0" w:color="auto"/>
              <w:right w:val="single" w:sz="4" w:space="0" w:color="auto"/>
            </w:tcBorders>
            <w:shd w:val="clear" w:color="000000" w:fill="FFFFFF"/>
            <w:noWrap/>
            <w:vAlign w:val="bottom"/>
            <w:hideMark/>
          </w:tcPr>
          <w:p w14:paraId="3E1D8D3B" w14:textId="57C145DD"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5,320</w:t>
            </w:r>
          </w:p>
        </w:tc>
        <w:tc>
          <w:tcPr>
            <w:tcW w:w="349" w:type="pct"/>
            <w:tcBorders>
              <w:top w:val="nil"/>
              <w:left w:val="nil"/>
              <w:bottom w:val="single" w:sz="4" w:space="0" w:color="auto"/>
              <w:right w:val="single" w:sz="4" w:space="0" w:color="auto"/>
            </w:tcBorders>
            <w:shd w:val="clear" w:color="000000" w:fill="FFFFFF"/>
            <w:noWrap/>
            <w:vAlign w:val="bottom"/>
            <w:hideMark/>
          </w:tcPr>
          <w:p w14:paraId="0EBFE15C" w14:textId="6363D2D5"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5,451</w:t>
            </w:r>
          </w:p>
        </w:tc>
        <w:tc>
          <w:tcPr>
            <w:tcW w:w="349" w:type="pct"/>
            <w:tcBorders>
              <w:top w:val="nil"/>
              <w:left w:val="nil"/>
              <w:bottom w:val="single" w:sz="4" w:space="0" w:color="auto"/>
              <w:right w:val="single" w:sz="4" w:space="0" w:color="auto"/>
            </w:tcBorders>
            <w:shd w:val="clear" w:color="000000" w:fill="FFFFFF"/>
            <w:noWrap/>
            <w:vAlign w:val="bottom"/>
            <w:hideMark/>
          </w:tcPr>
          <w:p w14:paraId="7235407D" w14:textId="0C3F63A5"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6,577</w:t>
            </w:r>
          </w:p>
        </w:tc>
        <w:tc>
          <w:tcPr>
            <w:tcW w:w="349" w:type="pct"/>
            <w:tcBorders>
              <w:top w:val="nil"/>
              <w:left w:val="nil"/>
              <w:bottom w:val="single" w:sz="4" w:space="0" w:color="auto"/>
              <w:right w:val="single" w:sz="4" w:space="0" w:color="auto"/>
            </w:tcBorders>
            <w:shd w:val="clear" w:color="000000" w:fill="FFFFFF"/>
            <w:noWrap/>
            <w:vAlign w:val="bottom"/>
            <w:hideMark/>
          </w:tcPr>
          <w:p w14:paraId="7FF7F2D8" w14:textId="4C6BD24B"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6,524</w:t>
            </w:r>
          </w:p>
        </w:tc>
        <w:tc>
          <w:tcPr>
            <w:tcW w:w="349" w:type="pct"/>
            <w:tcBorders>
              <w:top w:val="nil"/>
              <w:left w:val="nil"/>
              <w:bottom w:val="single" w:sz="4" w:space="0" w:color="auto"/>
              <w:right w:val="single" w:sz="4" w:space="0" w:color="auto"/>
            </w:tcBorders>
            <w:shd w:val="clear" w:color="000000" w:fill="FFFFFF"/>
            <w:noWrap/>
            <w:vAlign w:val="bottom"/>
            <w:hideMark/>
          </w:tcPr>
          <w:p w14:paraId="662C36FC" w14:textId="4F8793AE"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5,021</w:t>
            </w:r>
          </w:p>
        </w:tc>
        <w:tc>
          <w:tcPr>
            <w:tcW w:w="349" w:type="pct"/>
            <w:tcBorders>
              <w:top w:val="nil"/>
              <w:left w:val="nil"/>
              <w:bottom w:val="single" w:sz="4" w:space="0" w:color="auto"/>
              <w:right w:val="single" w:sz="4" w:space="0" w:color="auto"/>
            </w:tcBorders>
            <w:shd w:val="clear" w:color="000000" w:fill="FFFFFF"/>
            <w:noWrap/>
            <w:vAlign w:val="bottom"/>
            <w:hideMark/>
          </w:tcPr>
          <w:p w14:paraId="49465EC0" w14:textId="766E3BF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7,985</w:t>
            </w:r>
          </w:p>
        </w:tc>
        <w:tc>
          <w:tcPr>
            <w:tcW w:w="349" w:type="pct"/>
            <w:tcBorders>
              <w:top w:val="nil"/>
              <w:left w:val="nil"/>
              <w:bottom w:val="single" w:sz="4" w:space="0" w:color="auto"/>
              <w:right w:val="single" w:sz="4" w:space="0" w:color="auto"/>
            </w:tcBorders>
            <w:shd w:val="clear" w:color="000000" w:fill="FFFFFF"/>
            <w:noWrap/>
            <w:vAlign w:val="bottom"/>
            <w:hideMark/>
          </w:tcPr>
          <w:p w14:paraId="2BADD999" w14:textId="5B4B1B65"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4,627</w:t>
            </w:r>
          </w:p>
        </w:tc>
        <w:tc>
          <w:tcPr>
            <w:tcW w:w="349" w:type="pct"/>
            <w:tcBorders>
              <w:top w:val="nil"/>
              <w:left w:val="nil"/>
              <w:bottom w:val="single" w:sz="4" w:space="0" w:color="auto"/>
              <w:right w:val="single" w:sz="4" w:space="0" w:color="auto"/>
            </w:tcBorders>
            <w:shd w:val="clear" w:color="000000" w:fill="FFFFFF"/>
            <w:noWrap/>
            <w:vAlign w:val="bottom"/>
            <w:hideMark/>
          </w:tcPr>
          <w:p w14:paraId="478180FF" w14:textId="61A0B1D1"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5,253</w:t>
            </w:r>
          </w:p>
        </w:tc>
        <w:tc>
          <w:tcPr>
            <w:tcW w:w="379" w:type="pct"/>
            <w:tcBorders>
              <w:top w:val="nil"/>
              <w:left w:val="nil"/>
              <w:bottom w:val="single" w:sz="4" w:space="0" w:color="auto"/>
              <w:right w:val="single" w:sz="8" w:space="0" w:color="auto"/>
            </w:tcBorders>
            <w:shd w:val="clear" w:color="000000" w:fill="FFFFFF"/>
            <w:noWrap/>
            <w:vAlign w:val="bottom"/>
            <w:hideMark/>
          </w:tcPr>
          <w:p w14:paraId="4E3E9C3D" w14:textId="65E215A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81,097</w:t>
            </w:r>
          </w:p>
        </w:tc>
      </w:tr>
      <w:tr w:rsidR="00CA1084" w:rsidRPr="00E47FB2" w14:paraId="46528D3D"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43D2FF7F"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Bija</w:t>
            </w:r>
          </w:p>
        </w:tc>
        <w:tc>
          <w:tcPr>
            <w:tcW w:w="349" w:type="pct"/>
            <w:tcBorders>
              <w:top w:val="nil"/>
              <w:left w:val="nil"/>
              <w:bottom w:val="single" w:sz="4" w:space="0" w:color="auto"/>
              <w:right w:val="single" w:sz="4" w:space="0" w:color="auto"/>
            </w:tcBorders>
            <w:shd w:val="clear" w:color="000000" w:fill="FFFFFF"/>
            <w:noWrap/>
            <w:vAlign w:val="bottom"/>
            <w:hideMark/>
          </w:tcPr>
          <w:p w14:paraId="10A08DD2" w14:textId="38408777"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354</w:t>
            </w:r>
          </w:p>
        </w:tc>
        <w:tc>
          <w:tcPr>
            <w:tcW w:w="349" w:type="pct"/>
            <w:tcBorders>
              <w:top w:val="nil"/>
              <w:left w:val="nil"/>
              <w:bottom w:val="single" w:sz="4" w:space="0" w:color="auto"/>
              <w:right w:val="single" w:sz="4" w:space="0" w:color="auto"/>
            </w:tcBorders>
            <w:shd w:val="clear" w:color="000000" w:fill="FFFFFF"/>
            <w:noWrap/>
            <w:vAlign w:val="bottom"/>
            <w:hideMark/>
          </w:tcPr>
          <w:p w14:paraId="7A6D6D3A" w14:textId="0AE5D1D1"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345</w:t>
            </w:r>
          </w:p>
        </w:tc>
        <w:tc>
          <w:tcPr>
            <w:tcW w:w="349" w:type="pct"/>
            <w:tcBorders>
              <w:top w:val="nil"/>
              <w:left w:val="nil"/>
              <w:bottom w:val="single" w:sz="4" w:space="0" w:color="auto"/>
              <w:right w:val="single" w:sz="4" w:space="0" w:color="auto"/>
            </w:tcBorders>
            <w:shd w:val="clear" w:color="000000" w:fill="FFFFFF"/>
            <w:noWrap/>
            <w:vAlign w:val="bottom"/>
            <w:hideMark/>
          </w:tcPr>
          <w:p w14:paraId="53045643" w14:textId="2D8494D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521</w:t>
            </w:r>
          </w:p>
        </w:tc>
        <w:tc>
          <w:tcPr>
            <w:tcW w:w="349" w:type="pct"/>
            <w:tcBorders>
              <w:top w:val="nil"/>
              <w:left w:val="nil"/>
              <w:bottom w:val="single" w:sz="4" w:space="0" w:color="auto"/>
              <w:right w:val="single" w:sz="4" w:space="0" w:color="auto"/>
            </w:tcBorders>
            <w:shd w:val="clear" w:color="000000" w:fill="FFFFFF"/>
            <w:noWrap/>
            <w:vAlign w:val="bottom"/>
            <w:hideMark/>
          </w:tcPr>
          <w:p w14:paraId="686E1C7B" w14:textId="3E23527D"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744</w:t>
            </w:r>
          </w:p>
        </w:tc>
        <w:tc>
          <w:tcPr>
            <w:tcW w:w="349" w:type="pct"/>
            <w:tcBorders>
              <w:top w:val="nil"/>
              <w:left w:val="nil"/>
              <w:bottom w:val="single" w:sz="4" w:space="0" w:color="auto"/>
              <w:right w:val="single" w:sz="4" w:space="0" w:color="auto"/>
            </w:tcBorders>
            <w:shd w:val="clear" w:color="000000" w:fill="FFFFFF"/>
            <w:noWrap/>
            <w:vAlign w:val="bottom"/>
            <w:hideMark/>
          </w:tcPr>
          <w:p w14:paraId="63479A36" w14:textId="300CF645"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652</w:t>
            </w:r>
          </w:p>
        </w:tc>
        <w:tc>
          <w:tcPr>
            <w:tcW w:w="349" w:type="pct"/>
            <w:tcBorders>
              <w:top w:val="nil"/>
              <w:left w:val="nil"/>
              <w:bottom w:val="single" w:sz="4" w:space="0" w:color="auto"/>
              <w:right w:val="single" w:sz="4" w:space="0" w:color="auto"/>
            </w:tcBorders>
            <w:shd w:val="clear" w:color="000000" w:fill="FFFFFF"/>
            <w:noWrap/>
            <w:vAlign w:val="bottom"/>
            <w:hideMark/>
          </w:tcPr>
          <w:p w14:paraId="4CF3E94D" w14:textId="3725C75F"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499</w:t>
            </w:r>
          </w:p>
        </w:tc>
        <w:tc>
          <w:tcPr>
            <w:tcW w:w="349" w:type="pct"/>
            <w:tcBorders>
              <w:top w:val="nil"/>
              <w:left w:val="nil"/>
              <w:bottom w:val="single" w:sz="4" w:space="0" w:color="auto"/>
              <w:right w:val="single" w:sz="4" w:space="0" w:color="auto"/>
            </w:tcBorders>
            <w:shd w:val="clear" w:color="000000" w:fill="FFFFFF"/>
            <w:noWrap/>
            <w:vAlign w:val="bottom"/>
            <w:hideMark/>
          </w:tcPr>
          <w:p w14:paraId="444A0717" w14:textId="21709AE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1,201</w:t>
            </w:r>
          </w:p>
        </w:tc>
        <w:tc>
          <w:tcPr>
            <w:tcW w:w="349" w:type="pct"/>
            <w:tcBorders>
              <w:top w:val="nil"/>
              <w:left w:val="nil"/>
              <w:bottom w:val="single" w:sz="4" w:space="0" w:color="auto"/>
              <w:right w:val="single" w:sz="4" w:space="0" w:color="auto"/>
            </w:tcBorders>
            <w:shd w:val="clear" w:color="000000" w:fill="FFFFFF"/>
            <w:noWrap/>
            <w:vAlign w:val="bottom"/>
            <w:hideMark/>
          </w:tcPr>
          <w:p w14:paraId="66FEC835" w14:textId="387BDA07"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1,435</w:t>
            </w:r>
          </w:p>
        </w:tc>
        <w:tc>
          <w:tcPr>
            <w:tcW w:w="349" w:type="pct"/>
            <w:tcBorders>
              <w:top w:val="nil"/>
              <w:left w:val="nil"/>
              <w:bottom w:val="single" w:sz="4" w:space="0" w:color="auto"/>
              <w:right w:val="single" w:sz="4" w:space="0" w:color="auto"/>
            </w:tcBorders>
            <w:shd w:val="clear" w:color="000000" w:fill="FFFFFF"/>
            <w:noWrap/>
            <w:vAlign w:val="bottom"/>
            <w:hideMark/>
          </w:tcPr>
          <w:p w14:paraId="575384B3" w14:textId="6C76D08D"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1,752</w:t>
            </w:r>
          </w:p>
        </w:tc>
        <w:tc>
          <w:tcPr>
            <w:tcW w:w="349" w:type="pct"/>
            <w:tcBorders>
              <w:top w:val="nil"/>
              <w:left w:val="nil"/>
              <w:bottom w:val="single" w:sz="4" w:space="0" w:color="auto"/>
              <w:right w:val="single" w:sz="4" w:space="0" w:color="auto"/>
            </w:tcBorders>
            <w:shd w:val="clear" w:color="000000" w:fill="FFFFFF"/>
            <w:noWrap/>
            <w:vAlign w:val="bottom"/>
            <w:hideMark/>
          </w:tcPr>
          <w:p w14:paraId="3A16B300" w14:textId="145FF806"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1,854</w:t>
            </w:r>
          </w:p>
        </w:tc>
        <w:tc>
          <w:tcPr>
            <w:tcW w:w="349" w:type="pct"/>
            <w:tcBorders>
              <w:top w:val="nil"/>
              <w:left w:val="nil"/>
              <w:bottom w:val="single" w:sz="4" w:space="0" w:color="auto"/>
              <w:right w:val="single" w:sz="4" w:space="0" w:color="auto"/>
            </w:tcBorders>
            <w:shd w:val="clear" w:color="000000" w:fill="FFFFFF"/>
            <w:noWrap/>
            <w:vAlign w:val="bottom"/>
            <w:hideMark/>
          </w:tcPr>
          <w:p w14:paraId="13DDD707" w14:textId="54C87101"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2,010</w:t>
            </w:r>
          </w:p>
        </w:tc>
        <w:tc>
          <w:tcPr>
            <w:tcW w:w="349" w:type="pct"/>
            <w:tcBorders>
              <w:top w:val="nil"/>
              <w:left w:val="nil"/>
              <w:bottom w:val="single" w:sz="4" w:space="0" w:color="auto"/>
              <w:right w:val="single" w:sz="4" w:space="0" w:color="auto"/>
            </w:tcBorders>
            <w:shd w:val="clear" w:color="000000" w:fill="FFFFFF"/>
            <w:noWrap/>
            <w:vAlign w:val="bottom"/>
            <w:hideMark/>
          </w:tcPr>
          <w:p w14:paraId="408EDAB8" w14:textId="3ADD1B92"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377</w:t>
            </w:r>
          </w:p>
        </w:tc>
        <w:tc>
          <w:tcPr>
            <w:tcW w:w="379" w:type="pct"/>
            <w:tcBorders>
              <w:top w:val="nil"/>
              <w:left w:val="nil"/>
              <w:bottom w:val="single" w:sz="4" w:space="0" w:color="auto"/>
              <w:right w:val="single" w:sz="8" w:space="0" w:color="auto"/>
            </w:tcBorders>
            <w:shd w:val="clear" w:color="000000" w:fill="FFFFFF"/>
            <w:noWrap/>
            <w:vAlign w:val="bottom"/>
            <w:hideMark/>
          </w:tcPr>
          <w:p w14:paraId="4369A101" w14:textId="3479165F"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11,744</w:t>
            </w:r>
          </w:p>
        </w:tc>
      </w:tr>
      <w:tr w:rsidR="00CA1084" w:rsidRPr="00E47FB2" w14:paraId="448BDA10"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680129E2"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Aguacate</w:t>
            </w:r>
          </w:p>
        </w:tc>
        <w:tc>
          <w:tcPr>
            <w:tcW w:w="349" w:type="pct"/>
            <w:tcBorders>
              <w:top w:val="nil"/>
              <w:left w:val="nil"/>
              <w:bottom w:val="single" w:sz="4" w:space="0" w:color="auto"/>
              <w:right w:val="single" w:sz="4" w:space="0" w:color="auto"/>
            </w:tcBorders>
            <w:shd w:val="clear" w:color="000000" w:fill="FFFFFF"/>
            <w:noWrap/>
            <w:vAlign w:val="bottom"/>
            <w:hideMark/>
          </w:tcPr>
          <w:p w14:paraId="0FB0C34F" w14:textId="7C90E656"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1,229,448</w:t>
            </w:r>
          </w:p>
        </w:tc>
        <w:tc>
          <w:tcPr>
            <w:tcW w:w="349" w:type="pct"/>
            <w:tcBorders>
              <w:top w:val="nil"/>
              <w:left w:val="nil"/>
              <w:bottom w:val="single" w:sz="4" w:space="0" w:color="auto"/>
              <w:right w:val="single" w:sz="4" w:space="0" w:color="auto"/>
            </w:tcBorders>
            <w:shd w:val="clear" w:color="000000" w:fill="FFFFFF"/>
            <w:noWrap/>
            <w:vAlign w:val="bottom"/>
            <w:hideMark/>
          </w:tcPr>
          <w:p w14:paraId="0B415903" w14:textId="2CC7145E"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1,875,384</w:t>
            </w:r>
          </w:p>
        </w:tc>
        <w:tc>
          <w:tcPr>
            <w:tcW w:w="349" w:type="pct"/>
            <w:tcBorders>
              <w:top w:val="nil"/>
              <w:left w:val="nil"/>
              <w:bottom w:val="single" w:sz="4" w:space="0" w:color="auto"/>
              <w:right w:val="single" w:sz="4" w:space="0" w:color="auto"/>
            </w:tcBorders>
            <w:shd w:val="clear" w:color="000000" w:fill="FFFFFF"/>
            <w:noWrap/>
            <w:vAlign w:val="bottom"/>
            <w:hideMark/>
          </w:tcPr>
          <w:p w14:paraId="65007B1D" w14:textId="7E6C0667"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1,182,238</w:t>
            </w:r>
          </w:p>
        </w:tc>
        <w:tc>
          <w:tcPr>
            <w:tcW w:w="349" w:type="pct"/>
            <w:tcBorders>
              <w:top w:val="nil"/>
              <w:left w:val="nil"/>
              <w:bottom w:val="single" w:sz="4" w:space="0" w:color="auto"/>
              <w:right w:val="single" w:sz="4" w:space="0" w:color="auto"/>
            </w:tcBorders>
            <w:shd w:val="clear" w:color="000000" w:fill="FFFFFF"/>
            <w:noWrap/>
            <w:vAlign w:val="bottom"/>
            <w:hideMark/>
          </w:tcPr>
          <w:p w14:paraId="5E7FFC1F" w14:textId="28BBFF5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162,492</w:t>
            </w:r>
          </w:p>
        </w:tc>
        <w:tc>
          <w:tcPr>
            <w:tcW w:w="349" w:type="pct"/>
            <w:tcBorders>
              <w:top w:val="nil"/>
              <w:left w:val="nil"/>
              <w:bottom w:val="single" w:sz="4" w:space="0" w:color="auto"/>
              <w:right w:val="single" w:sz="4" w:space="0" w:color="auto"/>
            </w:tcBorders>
            <w:shd w:val="clear" w:color="000000" w:fill="FFFFFF"/>
            <w:noWrap/>
            <w:vAlign w:val="bottom"/>
            <w:hideMark/>
          </w:tcPr>
          <w:p w14:paraId="6EF82360" w14:textId="371D373D"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331,008</w:t>
            </w:r>
          </w:p>
        </w:tc>
        <w:tc>
          <w:tcPr>
            <w:tcW w:w="349" w:type="pct"/>
            <w:tcBorders>
              <w:top w:val="nil"/>
              <w:left w:val="nil"/>
              <w:bottom w:val="single" w:sz="4" w:space="0" w:color="auto"/>
              <w:right w:val="single" w:sz="4" w:space="0" w:color="auto"/>
            </w:tcBorders>
            <w:shd w:val="clear" w:color="000000" w:fill="FFFFFF"/>
            <w:noWrap/>
            <w:vAlign w:val="bottom"/>
            <w:hideMark/>
          </w:tcPr>
          <w:p w14:paraId="40720C37" w14:textId="13D982BD"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1,255,176</w:t>
            </w:r>
          </w:p>
        </w:tc>
        <w:tc>
          <w:tcPr>
            <w:tcW w:w="349" w:type="pct"/>
            <w:tcBorders>
              <w:top w:val="nil"/>
              <w:left w:val="nil"/>
              <w:bottom w:val="single" w:sz="4" w:space="0" w:color="auto"/>
              <w:right w:val="single" w:sz="4" w:space="0" w:color="auto"/>
            </w:tcBorders>
            <w:shd w:val="clear" w:color="000000" w:fill="FFFFFF"/>
            <w:noWrap/>
            <w:vAlign w:val="bottom"/>
            <w:hideMark/>
          </w:tcPr>
          <w:p w14:paraId="724B7B03" w14:textId="3A58FC7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1,182,480</w:t>
            </w:r>
          </w:p>
        </w:tc>
        <w:tc>
          <w:tcPr>
            <w:tcW w:w="349" w:type="pct"/>
            <w:tcBorders>
              <w:top w:val="nil"/>
              <w:left w:val="nil"/>
              <w:bottom w:val="single" w:sz="4" w:space="0" w:color="auto"/>
              <w:right w:val="single" w:sz="4" w:space="0" w:color="auto"/>
            </w:tcBorders>
            <w:shd w:val="clear" w:color="000000" w:fill="FFFFFF"/>
            <w:noWrap/>
            <w:vAlign w:val="bottom"/>
            <w:hideMark/>
          </w:tcPr>
          <w:p w14:paraId="54BB048B" w14:textId="1168138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1,427,988</w:t>
            </w:r>
          </w:p>
        </w:tc>
        <w:tc>
          <w:tcPr>
            <w:tcW w:w="349" w:type="pct"/>
            <w:tcBorders>
              <w:top w:val="nil"/>
              <w:left w:val="nil"/>
              <w:bottom w:val="single" w:sz="4" w:space="0" w:color="auto"/>
              <w:right w:val="single" w:sz="4" w:space="0" w:color="auto"/>
            </w:tcBorders>
            <w:shd w:val="clear" w:color="000000" w:fill="FFFFFF"/>
            <w:noWrap/>
            <w:vAlign w:val="bottom"/>
            <w:hideMark/>
          </w:tcPr>
          <w:p w14:paraId="25AA3C69" w14:textId="73046000"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1,727,820</w:t>
            </w:r>
          </w:p>
        </w:tc>
        <w:tc>
          <w:tcPr>
            <w:tcW w:w="349" w:type="pct"/>
            <w:tcBorders>
              <w:top w:val="nil"/>
              <w:left w:val="nil"/>
              <w:bottom w:val="single" w:sz="4" w:space="0" w:color="auto"/>
              <w:right w:val="single" w:sz="4" w:space="0" w:color="auto"/>
            </w:tcBorders>
            <w:shd w:val="clear" w:color="000000" w:fill="FFFFFF"/>
            <w:noWrap/>
            <w:vAlign w:val="bottom"/>
            <w:hideMark/>
          </w:tcPr>
          <w:p w14:paraId="0EDC61E9" w14:textId="030C4006"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1,838,568</w:t>
            </w:r>
          </w:p>
        </w:tc>
        <w:tc>
          <w:tcPr>
            <w:tcW w:w="349" w:type="pct"/>
            <w:tcBorders>
              <w:top w:val="nil"/>
              <w:left w:val="nil"/>
              <w:bottom w:val="single" w:sz="4" w:space="0" w:color="auto"/>
              <w:right w:val="single" w:sz="4" w:space="0" w:color="auto"/>
            </w:tcBorders>
            <w:shd w:val="clear" w:color="000000" w:fill="FFFFFF"/>
            <w:noWrap/>
            <w:vAlign w:val="bottom"/>
            <w:hideMark/>
          </w:tcPr>
          <w:p w14:paraId="37A4F259" w14:textId="21D0890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1,017,108</w:t>
            </w:r>
          </w:p>
        </w:tc>
        <w:tc>
          <w:tcPr>
            <w:tcW w:w="349" w:type="pct"/>
            <w:tcBorders>
              <w:top w:val="nil"/>
              <w:left w:val="nil"/>
              <w:bottom w:val="single" w:sz="4" w:space="0" w:color="auto"/>
              <w:right w:val="single" w:sz="4" w:space="0" w:color="auto"/>
            </w:tcBorders>
            <w:shd w:val="clear" w:color="000000" w:fill="FFFFFF"/>
            <w:noWrap/>
            <w:vAlign w:val="bottom"/>
            <w:hideMark/>
          </w:tcPr>
          <w:p w14:paraId="4DF21DD8" w14:textId="50F726BF"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1,366,176</w:t>
            </w:r>
          </w:p>
        </w:tc>
        <w:tc>
          <w:tcPr>
            <w:tcW w:w="379" w:type="pct"/>
            <w:tcBorders>
              <w:top w:val="nil"/>
              <w:left w:val="nil"/>
              <w:bottom w:val="single" w:sz="4" w:space="0" w:color="auto"/>
              <w:right w:val="single" w:sz="8" w:space="0" w:color="auto"/>
            </w:tcBorders>
            <w:shd w:val="clear" w:color="000000" w:fill="FFFFFF"/>
            <w:noWrap/>
            <w:vAlign w:val="bottom"/>
            <w:hideMark/>
          </w:tcPr>
          <w:p w14:paraId="5C6FB551" w14:textId="0628975F"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14,595,886</w:t>
            </w:r>
          </w:p>
        </w:tc>
      </w:tr>
      <w:tr w:rsidR="00CA1084" w:rsidRPr="00E47FB2" w14:paraId="48AAED0E" w14:textId="77777777" w:rsidTr="00CA1084">
        <w:trPr>
          <w:trHeight w:val="96"/>
          <w:jc w:val="center"/>
        </w:trPr>
        <w:tc>
          <w:tcPr>
            <w:tcW w:w="438"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0A684AF"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Chinola</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2F3CFE0D" w14:textId="6C2222CF"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63,123</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51EB0659" w14:textId="7951B48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91,593</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405F6511" w14:textId="2AD9A6CF"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42,288</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26B503C3" w14:textId="27E37456"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42,063</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095E075E" w14:textId="0F21FAC5"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115,563</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774D451C" w14:textId="3D2B5EDF"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70,707</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6A614A91" w14:textId="07CEB021"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79,245</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31767F35" w14:textId="16C258F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65,703</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29FAE8A0" w14:textId="7113C428"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100,623</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19BB09D6" w14:textId="5D8C389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90,423</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377503B3" w14:textId="06A06936"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89,899</w:t>
            </w:r>
          </w:p>
        </w:tc>
        <w:tc>
          <w:tcPr>
            <w:tcW w:w="349" w:type="pct"/>
            <w:tcBorders>
              <w:top w:val="single" w:sz="4" w:space="0" w:color="auto"/>
              <w:left w:val="nil"/>
              <w:bottom w:val="single" w:sz="4" w:space="0" w:color="auto"/>
              <w:right w:val="single" w:sz="4" w:space="0" w:color="auto"/>
            </w:tcBorders>
            <w:shd w:val="clear" w:color="000000" w:fill="FFFFFF"/>
            <w:noWrap/>
            <w:vAlign w:val="bottom"/>
            <w:hideMark/>
          </w:tcPr>
          <w:p w14:paraId="1F1BC345" w14:textId="02796066"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107,700</w:t>
            </w:r>
          </w:p>
        </w:tc>
        <w:tc>
          <w:tcPr>
            <w:tcW w:w="379" w:type="pct"/>
            <w:tcBorders>
              <w:top w:val="single" w:sz="4" w:space="0" w:color="auto"/>
              <w:left w:val="nil"/>
              <w:bottom w:val="single" w:sz="4" w:space="0" w:color="auto"/>
              <w:right w:val="single" w:sz="8" w:space="0" w:color="auto"/>
            </w:tcBorders>
            <w:shd w:val="clear" w:color="000000" w:fill="FFFFFF"/>
            <w:noWrap/>
            <w:vAlign w:val="bottom"/>
            <w:hideMark/>
          </w:tcPr>
          <w:p w14:paraId="071EEE5C" w14:textId="4B27A4D4"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958,930</w:t>
            </w:r>
          </w:p>
        </w:tc>
      </w:tr>
      <w:tr w:rsidR="00CA1084" w:rsidRPr="00E47FB2" w14:paraId="45AA104A"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6054FD50"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Lechosa</w:t>
            </w:r>
          </w:p>
        </w:tc>
        <w:tc>
          <w:tcPr>
            <w:tcW w:w="349" w:type="pct"/>
            <w:tcBorders>
              <w:top w:val="nil"/>
              <w:left w:val="nil"/>
              <w:bottom w:val="single" w:sz="4" w:space="0" w:color="auto"/>
              <w:right w:val="single" w:sz="4" w:space="0" w:color="auto"/>
            </w:tcBorders>
            <w:shd w:val="clear" w:color="000000" w:fill="FFFFFF"/>
            <w:noWrap/>
            <w:vAlign w:val="bottom"/>
            <w:hideMark/>
          </w:tcPr>
          <w:p w14:paraId="3786CDFD" w14:textId="3AC87FB4"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1,792,440</w:t>
            </w:r>
          </w:p>
        </w:tc>
        <w:tc>
          <w:tcPr>
            <w:tcW w:w="349" w:type="pct"/>
            <w:tcBorders>
              <w:top w:val="nil"/>
              <w:left w:val="nil"/>
              <w:bottom w:val="single" w:sz="4" w:space="0" w:color="auto"/>
              <w:right w:val="single" w:sz="4" w:space="0" w:color="auto"/>
            </w:tcBorders>
            <w:shd w:val="clear" w:color="000000" w:fill="FFFFFF"/>
            <w:noWrap/>
            <w:vAlign w:val="bottom"/>
            <w:hideMark/>
          </w:tcPr>
          <w:p w14:paraId="49993A47" w14:textId="4FDA496F"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1,917,660</w:t>
            </w:r>
          </w:p>
        </w:tc>
        <w:tc>
          <w:tcPr>
            <w:tcW w:w="349" w:type="pct"/>
            <w:tcBorders>
              <w:top w:val="nil"/>
              <w:left w:val="nil"/>
              <w:bottom w:val="single" w:sz="4" w:space="0" w:color="auto"/>
              <w:right w:val="single" w:sz="4" w:space="0" w:color="auto"/>
            </w:tcBorders>
            <w:shd w:val="clear" w:color="000000" w:fill="FFFFFF"/>
            <w:noWrap/>
            <w:vAlign w:val="bottom"/>
            <w:hideMark/>
          </w:tcPr>
          <w:p w14:paraId="165D87B1" w14:textId="26067F1B"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1,392,840</w:t>
            </w:r>
          </w:p>
        </w:tc>
        <w:tc>
          <w:tcPr>
            <w:tcW w:w="349" w:type="pct"/>
            <w:tcBorders>
              <w:top w:val="nil"/>
              <w:left w:val="nil"/>
              <w:bottom w:val="single" w:sz="4" w:space="0" w:color="auto"/>
              <w:right w:val="single" w:sz="4" w:space="0" w:color="auto"/>
            </w:tcBorders>
            <w:shd w:val="clear" w:color="000000" w:fill="FFFFFF"/>
            <w:noWrap/>
            <w:vAlign w:val="bottom"/>
            <w:hideMark/>
          </w:tcPr>
          <w:p w14:paraId="1D2B593C" w14:textId="5607894F"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2,125,260</w:t>
            </w:r>
          </w:p>
        </w:tc>
        <w:tc>
          <w:tcPr>
            <w:tcW w:w="349" w:type="pct"/>
            <w:tcBorders>
              <w:top w:val="nil"/>
              <w:left w:val="nil"/>
              <w:bottom w:val="single" w:sz="4" w:space="0" w:color="auto"/>
              <w:right w:val="single" w:sz="4" w:space="0" w:color="auto"/>
            </w:tcBorders>
            <w:shd w:val="clear" w:color="000000" w:fill="FFFFFF"/>
            <w:noWrap/>
            <w:vAlign w:val="bottom"/>
            <w:hideMark/>
          </w:tcPr>
          <w:p w14:paraId="230B14A9" w14:textId="72096CA1"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2,271,480</w:t>
            </w:r>
          </w:p>
        </w:tc>
        <w:tc>
          <w:tcPr>
            <w:tcW w:w="349" w:type="pct"/>
            <w:tcBorders>
              <w:top w:val="nil"/>
              <w:left w:val="nil"/>
              <w:bottom w:val="single" w:sz="4" w:space="0" w:color="auto"/>
              <w:right w:val="single" w:sz="4" w:space="0" w:color="auto"/>
            </w:tcBorders>
            <w:shd w:val="clear" w:color="000000" w:fill="FFFFFF"/>
            <w:noWrap/>
            <w:vAlign w:val="bottom"/>
            <w:hideMark/>
          </w:tcPr>
          <w:p w14:paraId="7B246445" w14:textId="081EF6BF"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2,070,720</w:t>
            </w:r>
          </w:p>
        </w:tc>
        <w:tc>
          <w:tcPr>
            <w:tcW w:w="349" w:type="pct"/>
            <w:tcBorders>
              <w:top w:val="nil"/>
              <w:left w:val="nil"/>
              <w:bottom w:val="single" w:sz="4" w:space="0" w:color="auto"/>
              <w:right w:val="single" w:sz="4" w:space="0" w:color="auto"/>
            </w:tcBorders>
            <w:shd w:val="clear" w:color="000000" w:fill="FFFFFF"/>
            <w:noWrap/>
            <w:vAlign w:val="bottom"/>
            <w:hideMark/>
          </w:tcPr>
          <w:p w14:paraId="3E2792D8" w14:textId="62E7CD55"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2,039,220</w:t>
            </w:r>
          </w:p>
        </w:tc>
        <w:tc>
          <w:tcPr>
            <w:tcW w:w="349" w:type="pct"/>
            <w:tcBorders>
              <w:top w:val="nil"/>
              <w:left w:val="nil"/>
              <w:bottom w:val="single" w:sz="4" w:space="0" w:color="auto"/>
              <w:right w:val="single" w:sz="4" w:space="0" w:color="auto"/>
            </w:tcBorders>
            <w:shd w:val="clear" w:color="000000" w:fill="FFFFFF"/>
            <w:noWrap/>
            <w:vAlign w:val="bottom"/>
            <w:hideMark/>
          </w:tcPr>
          <w:p w14:paraId="0F3931FA" w14:textId="000D751E"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2,153,700</w:t>
            </w:r>
          </w:p>
        </w:tc>
        <w:tc>
          <w:tcPr>
            <w:tcW w:w="349" w:type="pct"/>
            <w:tcBorders>
              <w:top w:val="nil"/>
              <w:left w:val="nil"/>
              <w:bottom w:val="single" w:sz="4" w:space="0" w:color="auto"/>
              <w:right w:val="single" w:sz="4" w:space="0" w:color="auto"/>
            </w:tcBorders>
            <w:shd w:val="clear" w:color="000000" w:fill="FFFFFF"/>
            <w:noWrap/>
            <w:vAlign w:val="bottom"/>
            <w:hideMark/>
          </w:tcPr>
          <w:p w14:paraId="203EFE91" w14:textId="4519A022"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2,138,640</w:t>
            </w:r>
          </w:p>
        </w:tc>
        <w:tc>
          <w:tcPr>
            <w:tcW w:w="349" w:type="pct"/>
            <w:tcBorders>
              <w:top w:val="nil"/>
              <w:left w:val="nil"/>
              <w:bottom w:val="single" w:sz="4" w:space="0" w:color="auto"/>
              <w:right w:val="single" w:sz="4" w:space="0" w:color="auto"/>
            </w:tcBorders>
            <w:shd w:val="clear" w:color="000000" w:fill="FFFFFF"/>
            <w:noWrap/>
            <w:vAlign w:val="bottom"/>
            <w:hideMark/>
          </w:tcPr>
          <w:p w14:paraId="2BB8C3BD" w14:textId="244B4FED"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2,015,220</w:t>
            </w:r>
          </w:p>
        </w:tc>
        <w:tc>
          <w:tcPr>
            <w:tcW w:w="349" w:type="pct"/>
            <w:tcBorders>
              <w:top w:val="nil"/>
              <w:left w:val="nil"/>
              <w:bottom w:val="single" w:sz="4" w:space="0" w:color="auto"/>
              <w:right w:val="single" w:sz="4" w:space="0" w:color="auto"/>
            </w:tcBorders>
            <w:shd w:val="clear" w:color="000000" w:fill="FFFFFF"/>
            <w:noWrap/>
            <w:vAlign w:val="bottom"/>
            <w:hideMark/>
          </w:tcPr>
          <w:p w14:paraId="6A39F2F0" w14:textId="30D708F4"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3,252,840</w:t>
            </w:r>
          </w:p>
        </w:tc>
        <w:tc>
          <w:tcPr>
            <w:tcW w:w="349" w:type="pct"/>
            <w:tcBorders>
              <w:top w:val="nil"/>
              <w:left w:val="nil"/>
              <w:bottom w:val="single" w:sz="4" w:space="0" w:color="auto"/>
              <w:right w:val="single" w:sz="4" w:space="0" w:color="auto"/>
            </w:tcBorders>
            <w:shd w:val="clear" w:color="000000" w:fill="FFFFFF"/>
            <w:noWrap/>
            <w:vAlign w:val="bottom"/>
            <w:hideMark/>
          </w:tcPr>
          <w:p w14:paraId="4C29D3C1" w14:textId="61362541"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2,393,520</w:t>
            </w:r>
          </w:p>
        </w:tc>
        <w:tc>
          <w:tcPr>
            <w:tcW w:w="379" w:type="pct"/>
            <w:tcBorders>
              <w:top w:val="nil"/>
              <w:left w:val="nil"/>
              <w:bottom w:val="single" w:sz="4" w:space="0" w:color="auto"/>
              <w:right w:val="single" w:sz="8" w:space="0" w:color="auto"/>
            </w:tcBorders>
            <w:shd w:val="clear" w:color="000000" w:fill="FFFFFF"/>
            <w:noWrap/>
            <w:vAlign w:val="bottom"/>
            <w:hideMark/>
          </w:tcPr>
          <w:p w14:paraId="7BAD6289" w14:textId="3679C5D4"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25,563,540</w:t>
            </w:r>
          </w:p>
        </w:tc>
      </w:tr>
      <w:tr w:rsidR="00CA1084" w:rsidRPr="00E47FB2" w14:paraId="0EA5EF37"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283FBDBA"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Melón</w:t>
            </w:r>
          </w:p>
        </w:tc>
        <w:tc>
          <w:tcPr>
            <w:tcW w:w="349" w:type="pct"/>
            <w:tcBorders>
              <w:top w:val="nil"/>
              <w:left w:val="nil"/>
              <w:bottom w:val="single" w:sz="4" w:space="0" w:color="auto"/>
              <w:right w:val="single" w:sz="4" w:space="0" w:color="auto"/>
            </w:tcBorders>
            <w:shd w:val="clear" w:color="000000" w:fill="FFFFFF"/>
            <w:noWrap/>
            <w:vAlign w:val="bottom"/>
            <w:hideMark/>
          </w:tcPr>
          <w:p w14:paraId="305E500E" w14:textId="3F514856"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39,515</w:t>
            </w:r>
          </w:p>
        </w:tc>
        <w:tc>
          <w:tcPr>
            <w:tcW w:w="349" w:type="pct"/>
            <w:tcBorders>
              <w:top w:val="nil"/>
              <w:left w:val="nil"/>
              <w:bottom w:val="single" w:sz="4" w:space="0" w:color="auto"/>
              <w:right w:val="single" w:sz="4" w:space="0" w:color="auto"/>
            </w:tcBorders>
            <w:shd w:val="clear" w:color="000000" w:fill="FFFFFF"/>
            <w:noWrap/>
            <w:vAlign w:val="bottom"/>
            <w:hideMark/>
          </w:tcPr>
          <w:p w14:paraId="2D31E781" w14:textId="369F263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69,510</w:t>
            </w:r>
          </w:p>
        </w:tc>
        <w:tc>
          <w:tcPr>
            <w:tcW w:w="349" w:type="pct"/>
            <w:tcBorders>
              <w:top w:val="nil"/>
              <w:left w:val="nil"/>
              <w:bottom w:val="single" w:sz="4" w:space="0" w:color="auto"/>
              <w:right w:val="single" w:sz="4" w:space="0" w:color="auto"/>
            </w:tcBorders>
            <w:shd w:val="clear" w:color="000000" w:fill="FFFFFF"/>
            <w:noWrap/>
            <w:vAlign w:val="bottom"/>
            <w:hideMark/>
          </w:tcPr>
          <w:p w14:paraId="6E8AFF1A" w14:textId="67CE2041"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31,325</w:t>
            </w:r>
          </w:p>
        </w:tc>
        <w:tc>
          <w:tcPr>
            <w:tcW w:w="349" w:type="pct"/>
            <w:tcBorders>
              <w:top w:val="nil"/>
              <w:left w:val="nil"/>
              <w:bottom w:val="single" w:sz="4" w:space="0" w:color="auto"/>
              <w:right w:val="single" w:sz="4" w:space="0" w:color="auto"/>
            </w:tcBorders>
            <w:shd w:val="clear" w:color="000000" w:fill="FFFFFF"/>
            <w:noWrap/>
            <w:vAlign w:val="bottom"/>
            <w:hideMark/>
          </w:tcPr>
          <w:p w14:paraId="65696DF9" w14:textId="5C25A3F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45,570</w:t>
            </w:r>
          </w:p>
        </w:tc>
        <w:tc>
          <w:tcPr>
            <w:tcW w:w="349" w:type="pct"/>
            <w:tcBorders>
              <w:top w:val="nil"/>
              <w:left w:val="nil"/>
              <w:bottom w:val="single" w:sz="4" w:space="0" w:color="auto"/>
              <w:right w:val="single" w:sz="4" w:space="0" w:color="auto"/>
            </w:tcBorders>
            <w:shd w:val="clear" w:color="000000" w:fill="FFFFFF"/>
            <w:noWrap/>
            <w:vAlign w:val="bottom"/>
            <w:hideMark/>
          </w:tcPr>
          <w:p w14:paraId="18ACC818" w14:textId="0BBF41E7"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42,000</w:t>
            </w:r>
          </w:p>
        </w:tc>
        <w:tc>
          <w:tcPr>
            <w:tcW w:w="349" w:type="pct"/>
            <w:tcBorders>
              <w:top w:val="nil"/>
              <w:left w:val="nil"/>
              <w:bottom w:val="single" w:sz="4" w:space="0" w:color="auto"/>
              <w:right w:val="single" w:sz="4" w:space="0" w:color="auto"/>
            </w:tcBorders>
            <w:shd w:val="clear" w:color="000000" w:fill="FFFFFF"/>
            <w:noWrap/>
            <w:vAlign w:val="bottom"/>
            <w:hideMark/>
          </w:tcPr>
          <w:p w14:paraId="37850401" w14:textId="6C066F8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92,575</w:t>
            </w:r>
          </w:p>
        </w:tc>
        <w:tc>
          <w:tcPr>
            <w:tcW w:w="349" w:type="pct"/>
            <w:tcBorders>
              <w:top w:val="nil"/>
              <w:left w:val="nil"/>
              <w:bottom w:val="single" w:sz="4" w:space="0" w:color="auto"/>
              <w:right w:val="single" w:sz="4" w:space="0" w:color="auto"/>
            </w:tcBorders>
            <w:shd w:val="clear" w:color="000000" w:fill="FFFFFF"/>
            <w:noWrap/>
            <w:vAlign w:val="bottom"/>
            <w:hideMark/>
          </w:tcPr>
          <w:p w14:paraId="04F7788D" w14:textId="4E4E438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54,880</w:t>
            </w:r>
          </w:p>
        </w:tc>
        <w:tc>
          <w:tcPr>
            <w:tcW w:w="349" w:type="pct"/>
            <w:tcBorders>
              <w:top w:val="nil"/>
              <w:left w:val="nil"/>
              <w:bottom w:val="single" w:sz="4" w:space="0" w:color="auto"/>
              <w:right w:val="single" w:sz="4" w:space="0" w:color="auto"/>
            </w:tcBorders>
            <w:shd w:val="clear" w:color="000000" w:fill="FFFFFF"/>
            <w:noWrap/>
            <w:vAlign w:val="bottom"/>
            <w:hideMark/>
          </w:tcPr>
          <w:p w14:paraId="24D87910" w14:textId="2D5FCA25"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48,825</w:t>
            </w:r>
          </w:p>
        </w:tc>
        <w:tc>
          <w:tcPr>
            <w:tcW w:w="349" w:type="pct"/>
            <w:tcBorders>
              <w:top w:val="nil"/>
              <w:left w:val="nil"/>
              <w:bottom w:val="single" w:sz="4" w:space="0" w:color="auto"/>
              <w:right w:val="single" w:sz="4" w:space="0" w:color="auto"/>
            </w:tcBorders>
            <w:shd w:val="clear" w:color="000000" w:fill="FFFFFF"/>
            <w:noWrap/>
            <w:vAlign w:val="bottom"/>
            <w:hideMark/>
          </w:tcPr>
          <w:p w14:paraId="1FA92B5D" w14:textId="35BDB92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25,900</w:t>
            </w:r>
          </w:p>
        </w:tc>
        <w:tc>
          <w:tcPr>
            <w:tcW w:w="349" w:type="pct"/>
            <w:tcBorders>
              <w:top w:val="nil"/>
              <w:left w:val="nil"/>
              <w:bottom w:val="single" w:sz="4" w:space="0" w:color="auto"/>
              <w:right w:val="single" w:sz="4" w:space="0" w:color="auto"/>
            </w:tcBorders>
            <w:shd w:val="clear" w:color="000000" w:fill="FFFFFF"/>
            <w:noWrap/>
            <w:vAlign w:val="bottom"/>
            <w:hideMark/>
          </w:tcPr>
          <w:p w14:paraId="37F14C61" w14:textId="69858121"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31,465</w:t>
            </w:r>
          </w:p>
        </w:tc>
        <w:tc>
          <w:tcPr>
            <w:tcW w:w="349" w:type="pct"/>
            <w:tcBorders>
              <w:top w:val="nil"/>
              <w:left w:val="nil"/>
              <w:bottom w:val="single" w:sz="4" w:space="0" w:color="auto"/>
              <w:right w:val="single" w:sz="4" w:space="0" w:color="auto"/>
            </w:tcBorders>
            <w:shd w:val="clear" w:color="000000" w:fill="FFFFFF"/>
            <w:noWrap/>
            <w:vAlign w:val="bottom"/>
            <w:hideMark/>
          </w:tcPr>
          <w:p w14:paraId="3F0BE48E" w14:textId="3FCBA80E"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439,530</w:t>
            </w:r>
          </w:p>
        </w:tc>
        <w:tc>
          <w:tcPr>
            <w:tcW w:w="349" w:type="pct"/>
            <w:tcBorders>
              <w:top w:val="nil"/>
              <w:left w:val="nil"/>
              <w:bottom w:val="single" w:sz="4" w:space="0" w:color="auto"/>
              <w:right w:val="single" w:sz="4" w:space="0" w:color="auto"/>
            </w:tcBorders>
            <w:shd w:val="clear" w:color="000000" w:fill="FFFFFF"/>
            <w:noWrap/>
            <w:vAlign w:val="bottom"/>
            <w:hideMark/>
          </w:tcPr>
          <w:p w14:paraId="464BE1B8" w14:textId="728FFB3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35,735</w:t>
            </w:r>
          </w:p>
        </w:tc>
        <w:tc>
          <w:tcPr>
            <w:tcW w:w="379" w:type="pct"/>
            <w:tcBorders>
              <w:top w:val="nil"/>
              <w:left w:val="nil"/>
              <w:bottom w:val="single" w:sz="4" w:space="0" w:color="auto"/>
              <w:right w:val="single" w:sz="8" w:space="0" w:color="auto"/>
            </w:tcBorders>
            <w:shd w:val="clear" w:color="000000" w:fill="FFFFFF"/>
            <w:noWrap/>
            <w:vAlign w:val="bottom"/>
            <w:hideMark/>
          </w:tcPr>
          <w:p w14:paraId="681F2A48" w14:textId="265EC4F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956,830</w:t>
            </w:r>
          </w:p>
        </w:tc>
      </w:tr>
      <w:tr w:rsidR="00CA1084" w:rsidRPr="00E47FB2" w14:paraId="57A169A7"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0ED6C968"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Naranja D.</w:t>
            </w:r>
          </w:p>
        </w:tc>
        <w:tc>
          <w:tcPr>
            <w:tcW w:w="349" w:type="pct"/>
            <w:tcBorders>
              <w:top w:val="nil"/>
              <w:left w:val="nil"/>
              <w:bottom w:val="single" w:sz="4" w:space="0" w:color="auto"/>
              <w:right w:val="single" w:sz="4" w:space="0" w:color="auto"/>
            </w:tcBorders>
            <w:shd w:val="clear" w:color="000000" w:fill="FFFFFF"/>
            <w:noWrap/>
            <w:vAlign w:val="bottom"/>
            <w:hideMark/>
          </w:tcPr>
          <w:p w14:paraId="60F945A3" w14:textId="45890EA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412,075</w:t>
            </w:r>
          </w:p>
        </w:tc>
        <w:tc>
          <w:tcPr>
            <w:tcW w:w="349" w:type="pct"/>
            <w:tcBorders>
              <w:top w:val="nil"/>
              <w:left w:val="nil"/>
              <w:bottom w:val="single" w:sz="4" w:space="0" w:color="auto"/>
              <w:right w:val="single" w:sz="4" w:space="0" w:color="auto"/>
            </w:tcBorders>
            <w:shd w:val="clear" w:color="000000" w:fill="FFFFFF"/>
            <w:noWrap/>
            <w:vAlign w:val="bottom"/>
            <w:hideMark/>
          </w:tcPr>
          <w:p w14:paraId="55F17A85" w14:textId="61E9890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444,610</w:t>
            </w:r>
          </w:p>
        </w:tc>
        <w:tc>
          <w:tcPr>
            <w:tcW w:w="349" w:type="pct"/>
            <w:tcBorders>
              <w:top w:val="nil"/>
              <w:left w:val="nil"/>
              <w:bottom w:val="single" w:sz="4" w:space="0" w:color="auto"/>
              <w:right w:val="single" w:sz="4" w:space="0" w:color="auto"/>
            </w:tcBorders>
            <w:shd w:val="clear" w:color="000000" w:fill="FFFFFF"/>
            <w:noWrap/>
            <w:vAlign w:val="bottom"/>
            <w:hideMark/>
          </w:tcPr>
          <w:p w14:paraId="2BF62745" w14:textId="11D63C17"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247,735</w:t>
            </w:r>
          </w:p>
        </w:tc>
        <w:tc>
          <w:tcPr>
            <w:tcW w:w="349" w:type="pct"/>
            <w:tcBorders>
              <w:top w:val="nil"/>
              <w:left w:val="nil"/>
              <w:bottom w:val="single" w:sz="4" w:space="0" w:color="auto"/>
              <w:right w:val="single" w:sz="4" w:space="0" w:color="auto"/>
            </w:tcBorders>
            <w:shd w:val="clear" w:color="000000" w:fill="FFFFFF"/>
            <w:noWrap/>
            <w:vAlign w:val="bottom"/>
            <w:hideMark/>
          </w:tcPr>
          <w:p w14:paraId="1D4D4B93" w14:textId="4534681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229,925</w:t>
            </w:r>
          </w:p>
        </w:tc>
        <w:tc>
          <w:tcPr>
            <w:tcW w:w="349" w:type="pct"/>
            <w:tcBorders>
              <w:top w:val="nil"/>
              <w:left w:val="nil"/>
              <w:bottom w:val="single" w:sz="4" w:space="0" w:color="auto"/>
              <w:right w:val="single" w:sz="4" w:space="0" w:color="auto"/>
            </w:tcBorders>
            <w:shd w:val="clear" w:color="000000" w:fill="FFFFFF"/>
            <w:noWrap/>
            <w:vAlign w:val="bottom"/>
            <w:hideMark/>
          </w:tcPr>
          <w:p w14:paraId="39590126" w14:textId="191F0FCE"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225,510</w:t>
            </w:r>
          </w:p>
        </w:tc>
        <w:tc>
          <w:tcPr>
            <w:tcW w:w="349" w:type="pct"/>
            <w:tcBorders>
              <w:top w:val="nil"/>
              <w:left w:val="nil"/>
              <w:bottom w:val="single" w:sz="4" w:space="0" w:color="auto"/>
              <w:right w:val="single" w:sz="4" w:space="0" w:color="auto"/>
            </w:tcBorders>
            <w:shd w:val="clear" w:color="000000" w:fill="FFFFFF"/>
            <w:noWrap/>
            <w:vAlign w:val="bottom"/>
            <w:hideMark/>
          </w:tcPr>
          <w:p w14:paraId="268DD1DE" w14:textId="4B872ECB"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149,970</w:t>
            </w:r>
          </w:p>
        </w:tc>
        <w:tc>
          <w:tcPr>
            <w:tcW w:w="349" w:type="pct"/>
            <w:tcBorders>
              <w:top w:val="nil"/>
              <w:left w:val="nil"/>
              <w:bottom w:val="single" w:sz="4" w:space="0" w:color="auto"/>
              <w:right w:val="single" w:sz="4" w:space="0" w:color="auto"/>
            </w:tcBorders>
            <w:shd w:val="clear" w:color="000000" w:fill="FFFFFF"/>
            <w:noWrap/>
            <w:vAlign w:val="bottom"/>
            <w:hideMark/>
          </w:tcPr>
          <w:p w14:paraId="29B8FAEE" w14:textId="51B6E0B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94,885</w:t>
            </w:r>
          </w:p>
        </w:tc>
        <w:tc>
          <w:tcPr>
            <w:tcW w:w="349" w:type="pct"/>
            <w:tcBorders>
              <w:top w:val="nil"/>
              <w:left w:val="nil"/>
              <w:bottom w:val="single" w:sz="4" w:space="0" w:color="auto"/>
              <w:right w:val="single" w:sz="4" w:space="0" w:color="auto"/>
            </w:tcBorders>
            <w:shd w:val="clear" w:color="000000" w:fill="FFFFFF"/>
            <w:noWrap/>
            <w:vAlign w:val="bottom"/>
            <w:hideMark/>
          </w:tcPr>
          <w:p w14:paraId="387F48AA" w14:textId="4E11DCCF"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51,070</w:t>
            </w:r>
          </w:p>
        </w:tc>
        <w:tc>
          <w:tcPr>
            <w:tcW w:w="349" w:type="pct"/>
            <w:tcBorders>
              <w:top w:val="nil"/>
              <w:left w:val="nil"/>
              <w:bottom w:val="single" w:sz="4" w:space="0" w:color="auto"/>
              <w:right w:val="single" w:sz="4" w:space="0" w:color="auto"/>
            </w:tcBorders>
            <w:shd w:val="clear" w:color="000000" w:fill="FFFFFF"/>
            <w:noWrap/>
            <w:vAlign w:val="bottom"/>
            <w:hideMark/>
          </w:tcPr>
          <w:p w14:paraId="06137130" w14:textId="1FE2A9C5"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77,435</w:t>
            </w:r>
          </w:p>
        </w:tc>
        <w:tc>
          <w:tcPr>
            <w:tcW w:w="349" w:type="pct"/>
            <w:tcBorders>
              <w:top w:val="nil"/>
              <w:left w:val="nil"/>
              <w:bottom w:val="single" w:sz="4" w:space="0" w:color="auto"/>
              <w:right w:val="single" w:sz="4" w:space="0" w:color="auto"/>
            </w:tcBorders>
            <w:shd w:val="clear" w:color="000000" w:fill="FFFFFF"/>
            <w:noWrap/>
            <w:vAlign w:val="bottom"/>
            <w:hideMark/>
          </w:tcPr>
          <w:p w14:paraId="32E9E03B" w14:textId="34745F3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110,070</w:t>
            </w:r>
          </w:p>
        </w:tc>
        <w:tc>
          <w:tcPr>
            <w:tcW w:w="349" w:type="pct"/>
            <w:tcBorders>
              <w:top w:val="nil"/>
              <w:left w:val="nil"/>
              <w:bottom w:val="single" w:sz="4" w:space="0" w:color="auto"/>
              <w:right w:val="single" w:sz="4" w:space="0" w:color="auto"/>
            </w:tcBorders>
            <w:shd w:val="clear" w:color="000000" w:fill="FFFFFF"/>
            <w:noWrap/>
            <w:vAlign w:val="bottom"/>
            <w:hideMark/>
          </w:tcPr>
          <w:p w14:paraId="514C0E33" w14:textId="15192762"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321,255</w:t>
            </w:r>
          </w:p>
        </w:tc>
        <w:tc>
          <w:tcPr>
            <w:tcW w:w="349" w:type="pct"/>
            <w:tcBorders>
              <w:top w:val="nil"/>
              <w:left w:val="nil"/>
              <w:bottom w:val="single" w:sz="4" w:space="0" w:color="auto"/>
              <w:right w:val="single" w:sz="4" w:space="0" w:color="auto"/>
            </w:tcBorders>
            <w:shd w:val="clear" w:color="000000" w:fill="FFFFFF"/>
            <w:noWrap/>
            <w:vAlign w:val="bottom"/>
            <w:hideMark/>
          </w:tcPr>
          <w:p w14:paraId="6DC9A167" w14:textId="44783650"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599,110</w:t>
            </w:r>
          </w:p>
        </w:tc>
        <w:tc>
          <w:tcPr>
            <w:tcW w:w="379" w:type="pct"/>
            <w:tcBorders>
              <w:top w:val="nil"/>
              <w:left w:val="nil"/>
              <w:bottom w:val="single" w:sz="4" w:space="0" w:color="auto"/>
              <w:right w:val="single" w:sz="8" w:space="0" w:color="auto"/>
            </w:tcBorders>
            <w:shd w:val="clear" w:color="000000" w:fill="FFFFFF"/>
            <w:noWrap/>
            <w:vAlign w:val="bottom"/>
            <w:hideMark/>
          </w:tcPr>
          <w:p w14:paraId="6B41D551" w14:textId="6CE979B1"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2,963,650</w:t>
            </w:r>
          </w:p>
        </w:tc>
      </w:tr>
      <w:tr w:rsidR="00CA1084" w:rsidRPr="00E47FB2" w14:paraId="2B17DB72"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665F14CA"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Piña</w:t>
            </w:r>
          </w:p>
        </w:tc>
        <w:tc>
          <w:tcPr>
            <w:tcW w:w="349" w:type="pct"/>
            <w:tcBorders>
              <w:top w:val="nil"/>
              <w:left w:val="nil"/>
              <w:bottom w:val="single" w:sz="4" w:space="0" w:color="auto"/>
              <w:right w:val="single" w:sz="4" w:space="0" w:color="auto"/>
            </w:tcBorders>
            <w:shd w:val="clear" w:color="000000" w:fill="FFFFFF"/>
            <w:noWrap/>
            <w:vAlign w:val="bottom"/>
            <w:hideMark/>
          </w:tcPr>
          <w:p w14:paraId="68AD8384" w14:textId="7E7DBB9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471,050</w:t>
            </w:r>
          </w:p>
        </w:tc>
        <w:tc>
          <w:tcPr>
            <w:tcW w:w="349" w:type="pct"/>
            <w:tcBorders>
              <w:top w:val="nil"/>
              <w:left w:val="nil"/>
              <w:bottom w:val="single" w:sz="4" w:space="0" w:color="auto"/>
              <w:right w:val="single" w:sz="4" w:space="0" w:color="auto"/>
            </w:tcBorders>
            <w:shd w:val="clear" w:color="000000" w:fill="FFFFFF"/>
            <w:noWrap/>
            <w:vAlign w:val="bottom"/>
            <w:hideMark/>
          </w:tcPr>
          <w:p w14:paraId="639B3BA3" w14:textId="06A2B3BE"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1,017,050</w:t>
            </w:r>
          </w:p>
        </w:tc>
        <w:tc>
          <w:tcPr>
            <w:tcW w:w="349" w:type="pct"/>
            <w:tcBorders>
              <w:top w:val="nil"/>
              <w:left w:val="nil"/>
              <w:bottom w:val="single" w:sz="4" w:space="0" w:color="auto"/>
              <w:right w:val="single" w:sz="4" w:space="0" w:color="auto"/>
            </w:tcBorders>
            <w:shd w:val="clear" w:color="000000" w:fill="FFFFFF"/>
            <w:noWrap/>
            <w:vAlign w:val="bottom"/>
            <w:hideMark/>
          </w:tcPr>
          <w:p w14:paraId="554BD081" w14:textId="784B929B"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1,155,000</w:t>
            </w:r>
          </w:p>
        </w:tc>
        <w:tc>
          <w:tcPr>
            <w:tcW w:w="349" w:type="pct"/>
            <w:tcBorders>
              <w:top w:val="nil"/>
              <w:left w:val="nil"/>
              <w:bottom w:val="single" w:sz="4" w:space="0" w:color="auto"/>
              <w:right w:val="single" w:sz="4" w:space="0" w:color="auto"/>
            </w:tcBorders>
            <w:shd w:val="clear" w:color="000000" w:fill="FFFFFF"/>
            <w:noWrap/>
            <w:vAlign w:val="bottom"/>
            <w:hideMark/>
          </w:tcPr>
          <w:p w14:paraId="588ABB1B" w14:textId="037E0D58"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770,550</w:t>
            </w:r>
          </w:p>
        </w:tc>
        <w:tc>
          <w:tcPr>
            <w:tcW w:w="349" w:type="pct"/>
            <w:tcBorders>
              <w:top w:val="nil"/>
              <w:left w:val="nil"/>
              <w:bottom w:val="single" w:sz="4" w:space="0" w:color="auto"/>
              <w:right w:val="single" w:sz="4" w:space="0" w:color="auto"/>
            </w:tcBorders>
            <w:shd w:val="clear" w:color="000000" w:fill="FFFFFF"/>
            <w:noWrap/>
            <w:vAlign w:val="bottom"/>
            <w:hideMark/>
          </w:tcPr>
          <w:p w14:paraId="5D38D745" w14:textId="4BFF30A1"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626,050</w:t>
            </w:r>
          </w:p>
        </w:tc>
        <w:tc>
          <w:tcPr>
            <w:tcW w:w="349" w:type="pct"/>
            <w:tcBorders>
              <w:top w:val="nil"/>
              <w:left w:val="nil"/>
              <w:bottom w:val="single" w:sz="4" w:space="0" w:color="auto"/>
              <w:right w:val="single" w:sz="4" w:space="0" w:color="auto"/>
            </w:tcBorders>
            <w:shd w:val="clear" w:color="000000" w:fill="FFFFFF"/>
            <w:noWrap/>
            <w:vAlign w:val="bottom"/>
            <w:hideMark/>
          </w:tcPr>
          <w:p w14:paraId="68A75173" w14:textId="56234DAE"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799,400</w:t>
            </w:r>
          </w:p>
        </w:tc>
        <w:tc>
          <w:tcPr>
            <w:tcW w:w="349" w:type="pct"/>
            <w:tcBorders>
              <w:top w:val="nil"/>
              <w:left w:val="nil"/>
              <w:bottom w:val="single" w:sz="4" w:space="0" w:color="auto"/>
              <w:right w:val="single" w:sz="4" w:space="0" w:color="auto"/>
            </w:tcBorders>
            <w:shd w:val="clear" w:color="000000" w:fill="FFFFFF"/>
            <w:noWrap/>
            <w:vAlign w:val="bottom"/>
            <w:hideMark/>
          </w:tcPr>
          <w:p w14:paraId="75EC8B61" w14:textId="634D79C4"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1,149,350</w:t>
            </w:r>
          </w:p>
        </w:tc>
        <w:tc>
          <w:tcPr>
            <w:tcW w:w="349" w:type="pct"/>
            <w:tcBorders>
              <w:top w:val="nil"/>
              <w:left w:val="nil"/>
              <w:bottom w:val="single" w:sz="4" w:space="0" w:color="auto"/>
              <w:right w:val="single" w:sz="4" w:space="0" w:color="auto"/>
            </w:tcBorders>
            <w:shd w:val="clear" w:color="000000" w:fill="FFFFFF"/>
            <w:noWrap/>
            <w:vAlign w:val="bottom"/>
            <w:hideMark/>
          </w:tcPr>
          <w:p w14:paraId="0EAC09F1" w14:textId="2FA8064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651,050</w:t>
            </w:r>
          </w:p>
        </w:tc>
        <w:tc>
          <w:tcPr>
            <w:tcW w:w="349" w:type="pct"/>
            <w:tcBorders>
              <w:top w:val="nil"/>
              <w:left w:val="nil"/>
              <w:bottom w:val="single" w:sz="4" w:space="0" w:color="auto"/>
              <w:right w:val="single" w:sz="4" w:space="0" w:color="auto"/>
            </w:tcBorders>
            <w:shd w:val="clear" w:color="000000" w:fill="FFFFFF"/>
            <w:noWrap/>
            <w:vAlign w:val="bottom"/>
            <w:hideMark/>
          </w:tcPr>
          <w:p w14:paraId="79062635" w14:textId="7C8E955F"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856,050</w:t>
            </w:r>
          </w:p>
        </w:tc>
        <w:tc>
          <w:tcPr>
            <w:tcW w:w="349" w:type="pct"/>
            <w:tcBorders>
              <w:top w:val="nil"/>
              <w:left w:val="nil"/>
              <w:bottom w:val="single" w:sz="4" w:space="0" w:color="auto"/>
              <w:right w:val="single" w:sz="4" w:space="0" w:color="auto"/>
            </w:tcBorders>
            <w:shd w:val="clear" w:color="000000" w:fill="FFFFFF"/>
            <w:noWrap/>
            <w:vAlign w:val="bottom"/>
            <w:hideMark/>
          </w:tcPr>
          <w:p w14:paraId="7BF4C047" w14:textId="36768EDB"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822,950</w:t>
            </w:r>
          </w:p>
        </w:tc>
        <w:tc>
          <w:tcPr>
            <w:tcW w:w="349" w:type="pct"/>
            <w:tcBorders>
              <w:top w:val="nil"/>
              <w:left w:val="nil"/>
              <w:bottom w:val="single" w:sz="4" w:space="0" w:color="auto"/>
              <w:right w:val="single" w:sz="4" w:space="0" w:color="auto"/>
            </w:tcBorders>
            <w:shd w:val="clear" w:color="000000" w:fill="FFFFFF"/>
            <w:noWrap/>
            <w:vAlign w:val="bottom"/>
            <w:hideMark/>
          </w:tcPr>
          <w:p w14:paraId="77815BE6" w14:textId="7DCFD9E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726,050</w:t>
            </w:r>
          </w:p>
        </w:tc>
        <w:tc>
          <w:tcPr>
            <w:tcW w:w="349" w:type="pct"/>
            <w:tcBorders>
              <w:top w:val="nil"/>
              <w:left w:val="nil"/>
              <w:bottom w:val="single" w:sz="4" w:space="0" w:color="auto"/>
              <w:right w:val="single" w:sz="4" w:space="0" w:color="auto"/>
            </w:tcBorders>
            <w:shd w:val="clear" w:color="000000" w:fill="FFFFFF"/>
            <w:noWrap/>
            <w:vAlign w:val="bottom"/>
            <w:hideMark/>
          </w:tcPr>
          <w:p w14:paraId="38AF8D5A" w14:textId="4AE8BF17"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1,122,550</w:t>
            </w:r>
          </w:p>
        </w:tc>
        <w:tc>
          <w:tcPr>
            <w:tcW w:w="379" w:type="pct"/>
            <w:tcBorders>
              <w:top w:val="nil"/>
              <w:left w:val="nil"/>
              <w:bottom w:val="single" w:sz="4" w:space="0" w:color="auto"/>
              <w:right w:val="single" w:sz="8" w:space="0" w:color="auto"/>
            </w:tcBorders>
            <w:shd w:val="clear" w:color="000000" w:fill="FFFFFF"/>
            <w:noWrap/>
            <w:vAlign w:val="bottom"/>
            <w:hideMark/>
          </w:tcPr>
          <w:p w14:paraId="41CE86D8" w14:textId="0392B11F"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10,167,100</w:t>
            </w:r>
          </w:p>
        </w:tc>
      </w:tr>
      <w:tr w:rsidR="00CA1084" w:rsidRPr="00E47FB2" w14:paraId="21370963"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4D4A691F"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Limón Agrio</w:t>
            </w:r>
          </w:p>
        </w:tc>
        <w:tc>
          <w:tcPr>
            <w:tcW w:w="349" w:type="pct"/>
            <w:tcBorders>
              <w:top w:val="nil"/>
              <w:left w:val="nil"/>
              <w:bottom w:val="single" w:sz="4" w:space="0" w:color="auto"/>
              <w:right w:val="single" w:sz="4" w:space="0" w:color="auto"/>
            </w:tcBorders>
            <w:shd w:val="clear" w:color="000000" w:fill="FFFFFF"/>
            <w:noWrap/>
            <w:vAlign w:val="bottom"/>
            <w:hideMark/>
          </w:tcPr>
          <w:p w14:paraId="3AAFB9C1" w14:textId="2EEFA35B"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60,463</w:t>
            </w:r>
          </w:p>
        </w:tc>
        <w:tc>
          <w:tcPr>
            <w:tcW w:w="349" w:type="pct"/>
            <w:tcBorders>
              <w:top w:val="nil"/>
              <w:left w:val="nil"/>
              <w:bottom w:val="single" w:sz="4" w:space="0" w:color="auto"/>
              <w:right w:val="single" w:sz="4" w:space="0" w:color="auto"/>
            </w:tcBorders>
            <w:shd w:val="clear" w:color="000000" w:fill="FFFFFF"/>
            <w:noWrap/>
            <w:vAlign w:val="bottom"/>
            <w:hideMark/>
          </w:tcPr>
          <w:p w14:paraId="027605BF" w14:textId="4507AC7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58,327</w:t>
            </w:r>
          </w:p>
        </w:tc>
        <w:tc>
          <w:tcPr>
            <w:tcW w:w="349" w:type="pct"/>
            <w:tcBorders>
              <w:top w:val="nil"/>
              <w:left w:val="nil"/>
              <w:bottom w:val="single" w:sz="4" w:space="0" w:color="auto"/>
              <w:right w:val="single" w:sz="4" w:space="0" w:color="auto"/>
            </w:tcBorders>
            <w:shd w:val="clear" w:color="000000" w:fill="FFFFFF"/>
            <w:noWrap/>
            <w:vAlign w:val="bottom"/>
            <w:hideMark/>
          </w:tcPr>
          <w:p w14:paraId="04C721B2" w14:textId="44B584F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40,331</w:t>
            </w:r>
          </w:p>
        </w:tc>
        <w:tc>
          <w:tcPr>
            <w:tcW w:w="349" w:type="pct"/>
            <w:tcBorders>
              <w:top w:val="nil"/>
              <w:left w:val="nil"/>
              <w:bottom w:val="single" w:sz="4" w:space="0" w:color="auto"/>
              <w:right w:val="single" w:sz="4" w:space="0" w:color="auto"/>
            </w:tcBorders>
            <w:shd w:val="clear" w:color="000000" w:fill="FFFFFF"/>
            <w:noWrap/>
            <w:vAlign w:val="bottom"/>
            <w:hideMark/>
          </w:tcPr>
          <w:p w14:paraId="66644AB5" w14:textId="5F5AFD38"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44,857</w:t>
            </w:r>
          </w:p>
        </w:tc>
        <w:tc>
          <w:tcPr>
            <w:tcW w:w="349" w:type="pct"/>
            <w:tcBorders>
              <w:top w:val="nil"/>
              <w:left w:val="nil"/>
              <w:bottom w:val="single" w:sz="4" w:space="0" w:color="auto"/>
              <w:right w:val="single" w:sz="4" w:space="0" w:color="auto"/>
            </w:tcBorders>
            <w:shd w:val="clear" w:color="000000" w:fill="FFFFFF"/>
            <w:noWrap/>
            <w:vAlign w:val="bottom"/>
            <w:hideMark/>
          </w:tcPr>
          <w:p w14:paraId="3092F68F" w14:textId="6AAB970B"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55,268</w:t>
            </w:r>
          </w:p>
        </w:tc>
        <w:tc>
          <w:tcPr>
            <w:tcW w:w="349" w:type="pct"/>
            <w:tcBorders>
              <w:top w:val="nil"/>
              <w:left w:val="nil"/>
              <w:bottom w:val="single" w:sz="4" w:space="0" w:color="auto"/>
              <w:right w:val="single" w:sz="4" w:space="0" w:color="auto"/>
            </w:tcBorders>
            <w:shd w:val="clear" w:color="000000" w:fill="FFFFFF"/>
            <w:noWrap/>
            <w:vAlign w:val="bottom"/>
            <w:hideMark/>
          </w:tcPr>
          <w:p w14:paraId="11099D53" w14:textId="32F1E234"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72,643</w:t>
            </w:r>
          </w:p>
        </w:tc>
        <w:tc>
          <w:tcPr>
            <w:tcW w:w="349" w:type="pct"/>
            <w:tcBorders>
              <w:top w:val="nil"/>
              <w:left w:val="nil"/>
              <w:bottom w:val="single" w:sz="4" w:space="0" w:color="auto"/>
              <w:right w:val="single" w:sz="4" w:space="0" w:color="auto"/>
            </w:tcBorders>
            <w:shd w:val="clear" w:color="000000" w:fill="FFFFFF"/>
            <w:noWrap/>
            <w:vAlign w:val="bottom"/>
            <w:hideMark/>
          </w:tcPr>
          <w:p w14:paraId="38E536AB" w14:textId="309A4214"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102,697</w:t>
            </w:r>
          </w:p>
        </w:tc>
        <w:tc>
          <w:tcPr>
            <w:tcW w:w="349" w:type="pct"/>
            <w:tcBorders>
              <w:top w:val="nil"/>
              <w:left w:val="nil"/>
              <w:bottom w:val="single" w:sz="4" w:space="0" w:color="auto"/>
              <w:right w:val="single" w:sz="4" w:space="0" w:color="auto"/>
            </w:tcBorders>
            <w:shd w:val="clear" w:color="000000" w:fill="FFFFFF"/>
            <w:noWrap/>
            <w:vAlign w:val="bottom"/>
            <w:hideMark/>
          </w:tcPr>
          <w:p w14:paraId="4C6F1CD4" w14:textId="0FBEB41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102,103</w:t>
            </w:r>
          </w:p>
        </w:tc>
        <w:tc>
          <w:tcPr>
            <w:tcW w:w="349" w:type="pct"/>
            <w:tcBorders>
              <w:top w:val="nil"/>
              <w:left w:val="nil"/>
              <w:bottom w:val="single" w:sz="4" w:space="0" w:color="auto"/>
              <w:right w:val="single" w:sz="4" w:space="0" w:color="auto"/>
            </w:tcBorders>
            <w:shd w:val="clear" w:color="000000" w:fill="FFFFFF"/>
            <w:noWrap/>
            <w:vAlign w:val="bottom"/>
            <w:hideMark/>
          </w:tcPr>
          <w:p w14:paraId="5DB1E1A2" w14:textId="3525288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85,601</w:t>
            </w:r>
          </w:p>
        </w:tc>
        <w:tc>
          <w:tcPr>
            <w:tcW w:w="349" w:type="pct"/>
            <w:tcBorders>
              <w:top w:val="nil"/>
              <w:left w:val="nil"/>
              <w:bottom w:val="single" w:sz="4" w:space="0" w:color="auto"/>
              <w:right w:val="single" w:sz="4" w:space="0" w:color="auto"/>
            </w:tcBorders>
            <w:shd w:val="clear" w:color="000000" w:fill="FFFFFF"/>
            <w:noWrap/>
            <w:vAlign w:val="bottom"/>
            <w:hideMark/>
          </w:tcPr>
          <w:p w14:paraId="0C29DDEB" w14:textId="45820B6E"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82,611</w:t>
            </w:r>
          </w:p>
        </w:tc>
        <w:tc>
          <w:tcPr>
            <w:tcW w:w="349" w:type="pct"/>
            <w:tcBorders>
              <w:top w:val="nil"/>
              <w:left w:val="nil"/>
              <w:bottom w:val="single" w:sz="4" w:space="0" w:color="auto"/>
              <w:right w:val="single" w:sz="4" w:space="0" w:color="auto"/>
            </w:tcBorders>
            <w:shd w:val="clear" w:color="000000" w:fill="FFFFFF"/>
            <w:noWrap/>
            <w:vAlign w:val="bottom"/>
            <w:hideMark/>
          </w:tcPr>
          <w:p w14:paraId="3D334096" w14:textId="1AECFFA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65,161</w:t>
            </w:r>
          </w:p>
        </w:tc>
        <w:tc>
          <w:tcPr>
            <w:tcW w:w="349" w:type="pct"/>
            <w:tcBorders>
              <w:top w:val="nil"/>
              <w:left w:val="nil"/>
              <w:bottom w:val="single" w:sz="4" w:space="0" w:color="auto"/>
              <w:right w:val="single" w:sz="4" w:space="0" w:color="auto"/>
            </w:tcBorders>
            <w:shd w:val="clear" w:color="000000" w:fill="FFFFFF"/>
            <w:noWrap/>
            <w:vAlign w:val="bottom"/>
            <w:hideMark/>
          </w:tcPr>
          <w:p w14:paraId="72418784" w14:textId="7FBA224F"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51,836</w:t>
            </w:r>
          </w:p>
        </w:tc>
        <w:tc>
          <w:tcPr>
            <w:tcW w:w="379" w:type="pct"/>
            <w:tcBorders>
              <w:top w:val="nil"/>
              <w:left w:val="nil"/>
              <w:bottom w:val="single" w:sz="4" w:space="0" w:color="auto"/>
              <w:right w:val="single" w:sz="8" w:space="0" w:color="auto"/>
            </w:tcBorders>
            <w:shd w:val="clear" w:color="000000" w:fill="FFFFFF"/>
            <w:noWrap/>
            <w:vAlign w:val="bottom"/>
            <w:hideMark/>
          </w:tcPr>
          <w:p w14:paraId="56F8C8AA" w14:textId="373D486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821,899</w:t>
            </w:r>
          </w:p>
        </w:tc>
      </w:tr>
      <w:tr w:rsidR="00CA1084" w:rsidRPr="00E47FB2" w14:paraId="1FCD0A12"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576FD675"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 xml:space="preserve">Toronja </w:t>
            </w:r>
          </w:p>
        </w:tc>
        <w:tc>
          <w:tcPr>
            <w:tcW w:w="349" w:type="pct"/>
            <w:tcBorders>
              <w:top w:val="nil"/>
              <w:left w:val="nil"/>
              <w:bottom w:val="single" w:sz="4" w:space="0" w:color="auto"/>
              <w:right w:val="single" w:sz="4" w:space="0" w:color="auto"/>
            </w:tcBorders>
            <w:shd w:val="clear" w:color="000000" w:fill="FFFFFF"/>
            <w:noWrap/>
            <w:vAlign w:val="bottom"/>
            <w:hideMark/>
          </w:tcPr>
          <w:p w14:paraId="788328E2" w14:textId="64857680"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20,376</w:t>
            </w:r>
          </w:p>
        </w:tc>
        <w:tc>
          <w:tcPr>
            <w:tcW w:w="349" w:type="pct"/>
            <w:tcBorders>
              <w:top w:val="nil"/>
              <w:left w:val="nil"/>
              <w:bottom w:val="single" w:sz="4" w:space="0" w:color="auto"/>
              <w:right w:val="single" w:sz="4" w:space="0" w:color="auto"/>
            </w:tcBorders>
            <w:shd w:val="clear" w:color="000000" w:fill="FFFFFF"/>
            <w:noWrap/>
            <w:vAlign w:val="bottom"/>
            <w:hideMark/>
          </w:tcPr>
          <w:p w14:paraId="5AC452E5" w14:textId="3683C164"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18,680</w:t>
            </w:r>
          </w:p>
        </w:tc>
        <w:tc>
          <w:tcPr>
            <w:tcW w:w="349" w:type="pct"/>
            <w:tcBorders>
              <w:top w:val="nil"/>
              <w:left w:val="nil"/>
              <w:bottom w:val="single" w:sz="4" w:space="0" w:color="auto"/>
              <w:right w:val="single" w:sz="4" w:space="0" w:color="auto"/>
            </w:tcBorders>
            <w:shd w:val="clear" w:color="000000" w:fill="FFFFFF"/>
            <w:noWrap/>
            <w:vAlign w:val="bottom"/>
            <w:hideMark/>
          </w:tcPr>
          <w:p w14:paraId="38AD1181" w14:textId="24A7AF8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4,336</w:t>
            </w:r>
          </w:p>
        </w:tc>
        <w:tc>
          <w:tcPr>
            <w:tcW w:w="349" w:type="pct"/>
            <w:tcBorders>
              <w:top w:val="nil"/>
              <w:left w:val="nil"/>
              <w:bottom w:val="single" w:sz="4" w:space="0" w:color="auto"/>
              <w:right w:val="single" w:sz="4" w:space="0" w:color="auto"/>
            </w:tcBorders>
            <w:shd w:val="clear" w:color="000000" w:fill="FFFFFF"/>
            <w:noWrap/>
            <w:vAlign w:val="bottom"/>
            <w:hideMark/>
          </w:tcPr>
          <w:p w14:paraId="6285546F" w14:textId="14DE18C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6,816</w:t>
            </w:r>
          </w:p>
        </w:tc>
        <w:tc>
          <w:tcPr>
            <w:tcW w:w="349" w:type="pct"/>
            <w:tcBorders>
              <w:top w:val="nil"/>
              <w:left w:val="nil"/>
              <w:bottom w:val="single" w:sz="4" w:space="0" w:color="auto"/>
              <w:right w:val="single" w:sz="4" w:space="0" w:color="auto"/>
            </w:tcBorders>
            <w:shd w:val="clear" w:color="000000" w:fill="FFFFFF"/>
            <w:noWrap/>
            <w:vAlign w:val="bottom"/>
            <w:hideMark/>
          </w:tcPr>
          <w:p w14:paraId="3005069C" w14:textId="1BDE032B"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2,480</w:t>
            </w:r>
          </w:p>
        </w:tc>
        <w:tc>
          <w:tcPr>
            <w:tcW w:w="349" w:type="pct"/>
            <w:tcBorders>
              <w:top w:val="nil"/>
              <w:left w:val="nil"/>
              <w:bottom w:val="single" w:sz="4" w:space="0" w:color="auto"/>
              <w:right w:val="single" w:sz="4" w:space="0" w:color="auto"/>
            </w:tcBorders>
            <w:shd w:val="clear" w:color="000000" w:fill="FFFFFF"/>
            <w:noWrap/>
            <w:vAlign w:val="bottom"/>
            <w:hideMark/>
          </w:tcPr>
          <w:p w14:paraId="4BDB51CF" w14:textId="4EAE60E4"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5,936</w:t>
            </w:r>
          </w:p>
        </w:tc>
        <w:tc>
          <w:tcPr>
            <w:tcW w:w="349" w:type="pct"/>
            <w:tcBorders>
              <w:top w:val="nil"/>
              <w:left w:val="nil"/>
              <w:bottom w:val="single" w:sz="4" w:space="0" w:color="auto"/>
              <w:right w:val="single" w:sz="4" w:space="0" w:color="auto"/>
            </w:tcBorders>
            <w:shd w:val="clear" w:color="000000" w:fill="FFFFFF"/>
            <w:noWrap/>
            <w:vAlign w:val="bottom"/>
            <w:hideMark/>
          </w:tcPr>
          <w:p w14:paraId="37DE4273" w14:textId="1C0EE99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392</w:t>
            </w:r>
          </w:p>
        </w:tc>
        <w:tc>
          <w:tcPr>
            <w:tcW w:w="349" w:type="pct"/>
            <w:tcBorders>
              <w:top w:val="nil"/>
              <w:left w:val="nil"/>
              <w:bottom w:val="single" w:sz="4" w:space="0" w:color="auto"/>
              <w:right w:val="single" w:sz="4" w:space="0" w:color="auto"/>
            </w:tcBorders>
            <w:shd w:val="clear" w:color="000000" w:fill="FFFFFF"/>
            <w:noWrap/>
            <w:vAlign w:val="bottom"/>
            <w:hideMark/>
          </w:tcPr>
          <w:p w14:paraId="64A7FDDB" w14:textId="2AA79725"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1BC2B0B9" w14:textId="0AA74BED"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2,120</w:t>
            </w:r>
          </w:p>
        </w:tc>
        <w:tc>
          <w:tcPr>
            <w:tcW w:w="349" w:type="pct"/>
            <w:tcBorders>
              <w:top w:val="nil"/>
              <w:left w:val="nil"/>
              <w:bottom w:val="single" w:sz="4" w:space="0" w:color="auto"/>
              <w:right w:val="single" w:sz="4" w:space="0" w:color="auto"/>
            </w:tcBorders>
            <w:shd w:val="clear" w:color="000000" w:fill="FFFFFF"/>
            <w:noWrap/>
            <w:vAlign w:val="bottom"/>
            <w:hideMark/>
          </w:tcPr>
          <w:p w14:paraId="17026DD8" w14:textId="7633D1F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4,688</w:t>
            </w:r>
          </w:p>
        </w:tc>
        <w:tc>
          <w:tcPr>
            <w:tcW w:w="349" w:type="pct"/>
            <w:tcBorders>
              <w:top w:val="nil"/>
              <w:left w:val="nil"/>
              <w:bottom w:val="single" w:sz="4" w:space="0" w:color="auto"/>
              <w:right w:val="single" w:sz="4" w:space="0" w:color="auto"/>
            </w:tcBorders>
            <w:shd w:val="clear" w:color="000000" w:fill="FFFFFF"/>
            <w:noWrap/>
            <w:vAlign w:val="bottom"/>
            <w:hideMark/>
          </w:tcPr>
          <w:p w14:paraId="533CB9A1" w14:textId="6F723A5E"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17,600</w:t>
            </w:r>
          </w:p>
        </w:tc>
        <w:tc>
          <w:tcPr>
            <w:tcW w:w="349" w:type="pct"/>
            <w:tcBorders>
              <w:top w:val="nil"/>
              <w:left w:val="nil"/>
              <w:bottom w:val="single" w:sz="4" w:space="0" w:color="auto"/>
              <w:right w:val="single" w:sz="4" w:space="0" w:color="auto"/>
            </w:tcBorders>
            <w:shd w:val="clear" w:color="000000" w:fill="FFFFFF"/>
            <w:noWrap/>
            <w:vAlign w:val="bottom"/>
            <w:hideMark/>
          </w:tcPr>
          <w:p w14:paraId="5BAA3E3D" w14:textId="142FBC7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56,112</w:t>
            </w:r>
          </w:p>
        </w:tc>
        <w:tc>
          <w:tcPr>
            <w:tcW w:w="379" w:type="pct"/>
            <w:tcBorders>
              <w:top w:val="nil"/>
              <w:left w:val="nil"/>
              <w:bottom w:val="single" w:sz="4" w:space="0" w:color="auto"/>
              <w:right w:val="single" w:sz="8" w:space="0" w:color="auto"/>
            </w:tcBorders>
            <w:shd w:val="clear" w:color="000000" w:fill="FFFFFF"/>
            <w:noWrap/>
            <w:vAlign w:val="bottom"/>
            <w:hideMark/>
          </w:tcPr>
          <w:p w14:paraId="2D228174" w14:textId="41ED9BD4"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139,536</w:t>
            </w:r>
          </w:p>
        </w:tc>
      </w:tr>
      <w:tr w:rsidR="00CA1084" w:rsidRPr="00E47FB2" w14:paraId="785A9875"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18082098"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Mandarina</w:t>
            </w:r>
          </w:p>
        </w:tc>
        <w:tc>
          <w:tcPr>
            <w:tcW w:w="349" w:type="pct"/>
            <w:tcBorders>
              <w:top w:val="nil"/>
              <w:left w:val="nil"/>
              <w:bottom w:val="single" w:sz="4" w:space="0" w:color="auto"/>
              <w:right w:val="single" w:sz="4" w:space="0" w:color="auto"/>
            </w:tcBorders>
            <w:shd w:val="clear" w:color="000000" w:fill="FFFFFF"/>
            <w:noWrap/>
            <w:vAlign w:val="bottom"/>
            <w:hideMark/>
          </w:tcPr>
          <w:p w14:paraId="0AD728B6" w14:textId="6D871FB8"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124,743</w:t>
            </w:r>
          </w:p>
        </w:tc>
        <w:tc>
          <w:tcPr>
            <w:tcW w:w="349" w:type="pct"/>
            <w:tcBorders>
              <w:top w:val="nil"/>
              <w:left w:val="nil"/>
              <w:bottom w:val="single" w:sz="4" w:space="0" w:color="auto"/>
              <w:right w:val="single" w:sz="4" w:space="0" w:color="auto"/>
            </w:tcBorders>
            <w:shd w:val="clear" w:color="000000" w:fill="FFFFFF"/>
            <w:noWrap/>
            <w:vAlign w:val="bottom"/>
            <w:hideMark/>
          </w:tcPr>
          <w:p w14:paraId="7B417826" w14:textId="5FF4838D"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44,608</w:t>
            </w:r>
          </w:p>
        </w:tc>
        <w:tc>
          <w:tcPr>
            <w:tcW w:w="349" w:type="pct"/>
            <w:tcBorders>
              <w:top w:val="nil"/>
              <w:left w:val="nil"/>
              <w:bottom w:val="single" w:sz="4" w:space="0" w:color="auto"/>
              <w:right w:val="single" w:sz="4" w:space="0" w:color="auto"/>
            </w:tcBorders>
            <w:shd w:val="clear" w:color="000000" w:fill="FFFFFF"/>
            <w:noWrap/>
            <w:vAlign w:val="bottom"/>
            <w:hideMark/>
          </w:tcPr>
          <w:p w14:paraId="19AB4630" w14:textId="1D18A1EE"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32,956</w:t>
            </w:r>
          </w:p>
        </w:tc>
        <w:tc>
          <w:tcPr>
            <w:tcW w:w="349" w:type="pct"/>
            <w:tcBorders>
              <w:top w:val="nil"/>
              <w:left w:val="nil"/>
              <w:bottom w:val="single" w:sz="4" w:space="0" w:color="auto"/>
              <w:right w:val="single" w:sz="4" w:space="0" w:color="auto"/>
            </w:tcBorders>
            <w:shd w:val="clear" w:color="000000" w:fill="FFFFFF"/>
            <w:noWrap/>
            <w:vAlign w:val="bottom"/>
            <w:hideMark/>
          </w:tcPr>
          <w:p w14:paraId="5AB066FE" w14:textId="543C076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644</w:t>
            </w:r>
          </w:p>
        </w:tc>
        <w:tc>
          <w:tcPr>
            <w:tcW w:w="349" w:type="pct"/>
            <w:tcBorders>
              <w:top w:val="nil"/>
              <w:left w:val="nil"/>
              <w:bottom w:val="single" w:sz="4" w:space="0" w:color="auto"/>
              <w:right w:val="single" w:sz="4" w:space="0" w:color="auto"/>
            </w:tcBorders>
            <w:shd w:val="clear" w:color="000000" w:fill="FFFFFF"/>
            <w:noWrap/>
            <w:vAlign w:val="bottom"/>
            <w:hideMark/>
          </w:tcPr>
          <w:p w14:paraId="3C6C0A05" w14:textId="3ED9B2FD"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3,544</w:t>
            </w:r>
          </w:p>
        </w:tc>
        <w:tc>
          <w:tcPr>
            <w:tcW w:w="349" w:type="pct"/>
            <w:tcBorders>
              <w:top w:val="nil"/>
              <w:left w:val="nil"/>
              <w:bottom w:val="single" w:sz="4" w:space="0" w:color="auto"/>
              <w:right w:val="single" w:sz="4" w:space="0" w:color="auto"/>
            </w:tcBorders>
            <w:shd w:val="clear" w:color="000000" w:fill="FFFFFF"/>
            <w:noWrap/>
            <w:vAlign w:val="bottom"/>
            <w:hideMark/>
          </w:tcPr>
          <w:p w14:paraId="17C9434D" w14:textId="6572E9F4"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334</w:t>
            </w:r>
          </w:p>
        </w:tc>
        <w:tc>
          <w:tcPr>
            <w:tcW w:w="349" w:type="pct"/>
            <w:tcBorders>
              <w:top w:val="nil"/>
              <w:left w:val="nil"/>
              <w:bottom w:val="single" w:sz="4" w:space="0" w:color="auto"/>
              <w:right w:val="single" w:sz="4" w:space="0" w:color="auto"/>
            </w:tcBorders>
            <w:shd w:val="clear" w:color="000000" w:fill="FFFFFF"/>
            <w:noWrap/>
            <w:vAlign w:val="bottom"/>
            <w:hideMark/>
          </w:tcPr>
          <w:p w14:paraId="1F27A084" w14:textId="29990A7D"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1,293</w:t>
            </w:r>
          </w:p>
        </w:tc>
        <w:tc>
          <w:tcPr>
            <w:tcW w:w="349" w:type="pct"/>
            <w:tcBorders>
              <w:top w:val="nil"/>
              <w:left w:val="nil"/>
              <w:bottom w:val="single" w:sz="4" w:space="0" w:color="auto"/>
              <w:right w:val="single" w:sz="4" w:space="0" w:color="auto"/>
            </w:tcBorders>
            <w:shd w:val="clear" w:color="000000" w:fill="FFFFFF"/>
            <w:noWrap/>
            <w:vAlign w:val="bottom"/>
            <w:hideMark/>
          </w:tcPr>
          <w:p w14:paraId="4E459CA1" w14:textId="4177A114"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724</w:t>
            </w:r>
          </w:p>
        </w:tc>
        <w:tc>
          <w:tcPr>
            <w:tcW w:w="349" w:type="pct"/>
            <w:tcBorders>
              <w:top w:val="nil"/>
              <w:left w:val="nil"/>
              <w:bottom w:val="single" w:sz="4" w:space="0" w:color="auto"/>
              <w:right w:val="single" w:sz="4" w:space="0" w:color="auto"/>
            </w:tcBorders>
            <w:shd w:val="clear" w:color="000000" w:fill="FFFFFF"/>
            <w:noWrap/>
            <w:vAlign w:val="bottom"/>
            <w:hideMark/>
          </w:tcPr>
          <w:p w14:paraId="5F969A90" w14:textId="1FAB3450"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2,364</w:t>
            </w:r>
          </w:p>
        </w:tc>
        <w:tc>
          <w:tcPr>
            <w:tcW w:w="349" w:type="pct"/>
            <w:tcBorders>
              <w:top w:val="nil"/>
              <w:left w:val="nil"/>
              <w:bottom w:val="single" w:sz="4" w:space="0" w:color="auto"/>
              <w:right w:val="single" w:sz="4" w:space="0" w:color="auto"/>
            </w:tcBorders>
            <w:shd w:val="clear" w:color="000000" w:fill="FFFFFF"/>
            <w:noWrap/>
            <w:vAlign w:val="bottom"/>
            <w:hideMark/>
          </w:tcPr>
          <w:p w14:paraId="2FB46A7E" w14:textId="2F8FDB3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1,105</w:t>
            </w:r>
          </w:p>
        </w:tc>
        <w:tc>
          <w:tcPr>
            <w:tcW w:w="349" w:type="pct"/>
            <w:tcBorders>
              <w:top w:val="nil"/>
              <w:left w:val="nil"/>
              <w:bottom w:val="single" w:sz="4" w:space="0" w:color="auto"/>
              <w:right w:val="single" w:sz="4" w:space="0" w:color="auto"/>
            </w:tcBorders>
            <w:shd w:val="clear" w:color="000000" w:fill="FFFFFF"/>
            <w:noWrap/>
            <w:vAlign w:val="bottom"/>
            <w:hideMark/>
          </w:tcPr>
          <w:p w14:paraId="376637FE" w14:textId="699E51F6"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77,771</w:t>
            </w:r>
          </w:p>
        </w:tc>
        <w:tc>
          <w:tcPr>
            <w:tcW w:w="349" w:type="pct"/>
            <w:tcBorders>
              <w:top w:val="nil"/>
              <w:left w:val="nil"/>
              <w:bottom w:val="single" w:sz="4" w:space="0" w:color="auto"/>
              <w:right w:val="single" w:sz="4" w:space="0" w:color="auto"/>
            </w:tcBorders>
            <w:shd w:val="clear" w:color="000000" w:fill="FFFFFF"/>
            <w:noWrap/>
            <w:vAlign w:val="bottom"/>
            <w:hideMark/>
          </w:tcPr>
          <w:p w14:paraId="677EEB68" w14:textId="200EE16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101,647</w:t>
            </w:r>
          </w:p>
        </w:tc>
        <w:tc>
          <w:tcPr>
            <w:tcW w:w="379" w:type="pct"/>
            <w:tcBorders>
              <w:top w:val="nil"/>
              <w:left w:val="nil"/>
              <w:bottom w:val="single" w:sz="4" w:space="0" w:color="auto"/>
              <w:right w:val="single" w:sz="8" w:space="0" w:color="auto"/>
            </w:tcBorders>
            <w:shd w:val="clear" w:color="000000" w:fill="FFFFFF"/>
            <w:noWrap/>
            <w:vAlign w:val="bottom"/>
            <w:hideMark/>
          </w:tcPr>
          <w:p w14:paraId="0B19D059" w14:textId="14370C95"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391,731</w:t>
            </w:r>
          </w:p>
        </w:tc>
      </w:tr>
      <w:tr w:rsidR="00CA1084" w:rsidRPr="00E47FB2" w14:paraId="351EFEA8"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4697AE33"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Cereza</w:t>
            </w:r>
          </w:p>
        </w:tc>
        <w:tc>
          <w:tcPr>
            <w:tcW w:w="349" w:type="pct"/>
            <w:tcBorders>
              <w:top w:val="nil"/>
              <w:left w:val="nil"/>
              <w:bottom w:val="single" w:sz="4" w:space="0" w:color="auto"/>
              <w:right w:val="single" w:sz="4" w:space="0" w:color="auto"/>
            </w:tcBorders>
            <w:shd w:val="clear" w:color="000000" w:fill="FFFFFF"/>
            <w:noWrap/>
            <w:vAlign w:val="bottom"/>
            <w:hideMark/>
          </w:tcPr>
          <w:p w14:paraId="4402B15F" w14:textId="249F5915"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5,900</w:t>
            </w:r>
          </w:p>
        </w:tc>
        <w:tc>
          <w:tcPr>
            <w:tcW w:w="349" w:type="pct"/>
            <w:tcBorders>
              <w:top w:val="nil"/>
              <w:left w:val="nil"/>
              <w:bottom w:val="single" w:sz="4" w:space="0" w:color="auto"/>
              <w:right w:val="single" w:sz="4" w:space="0" w:color="auto"/>
            </w:tcBorders>
            <w:shd w:val="clear" w:color="000000" w:fill="FFFFFF"/>
            <w:noWrap/>
            <w:vAlign w:val="bottom"/>
            <w:hideMark/>
          </w:tcPr>
          <w:p w14:paraId="365B50FF" w14:textId="17E8C754"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3,148</w:t>
            </w:r>
          </w:p>
        </w:tc>
        <w:tc>
          <w:tcPr>
            <w:tcW w:w="349" w:type="pct"/>
            <w:tcBorders>
              <w:top w:val="nil"/>
              <w:left w:val="nil"/>
              <w:bottom w:val="single" w:sz="4" w:space="0" w:color="auto"/>
              <w:right w:val="single" w:sz="4" w:space="0" w:color="auto"/>
            </w:tcBorders>
            <w:shd w:val="clear" w:color="000000" w:fill="FFFFFF"/>
            <w:noWrap/>
            <w:vAlign w:val="bottom"/>
            <w:hideMark/>
          </w:tcPr>
          <w:p w14:paraId="683F050D" w14:textId="4D46AD30"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8,528</w:t>
            </w:r>
          </w:p>
        </w:tc>
        <w:tc>
          <w:tcPr>
            <w:tcW w:w="349" w:type="pct"/>
            <w:tcBorders>
              <w:top w:val="nil"/>
              <w:left w:val="nil"/>
              <w:bottom w:val="single" w:sz="4" w:space="0" w:color="auto"/>
              <w:right w:val="single" w:sz="4" w:space="0" w:color="auto"/>
            </w:tcBorders>
            <w:shd w:val="clear" w:color="000000" w:fill="FFFFFF"/>
            <w:noWrap/>
            <w:vAlign w:val="bottom"/>
            <w:hideMark/>
          </w:tcPr>
          <w:p w14:paraId="54B1A953" w14:textId="583E0934"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8,600</w:t>
            </w:r>
          </w:p>
        </w:tc>
        <w:tc>
          <w:tcPr>
            <w:tcW w:w="349" w:type="pct"/>
            <w:tcBorders>
              <w:top w:val="nil"/>
              <w:left w:val="nil"/>
              <w:bottom w:val="single" w:sz="4" w:space="0" w:color="auto"/>
              <w:right w:val="single" w:sz="4" w:space="0" w:color="auto"/>
            </w:tcBorders>
            <w:shd w:val="clear" w:color="000000" w:fill="FFFFFF"/>
            <w:noWrap/>
            <w:vAlign w:val="bottom"/>
            <w:hideMark/>
          </w:tcPr>
          <w:p w14:paraId="3EB9BAAE" w14:textId="52CCC964"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5,624</w:t>
            </w:r>
          </w:p>
        </w:tc>
        <w:tc>
          <w:tcPr>
            <w:tcW w:w="349" w:type="pct"/>
            <w:tcBorders>
              <w:top w:val="nil"/>
              <w:left w:val="nil"/>
              <w:bottom w:val="single" w:sz="4" w:space="0" w:color="auto"/>
              <w:right w:val="single" w:sz="4" w:space="0" w:color="auto"/>
            </w:tcBorders>
            <w:shd w:val="clear" w:color="000000" w:fill="FFFFFF"/>
            <w:noWrap/>
            <w:vAlign w:val="bottom"/>
            <w:hideMark/>
          </w:tcPr>
          <w:p w14:paraId="763B83C4" w14:textId="42B7F48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10,201</w:t>
            </w:r>
          </w:p>
        </w:tc>
        <w:tc>
          <w:tcPr>
            <w:tcW w:w="349" w:type="pct"/>
            <w:tcBorders>
              <w:top w:val="nil"/>
              <w:left w:val="nil"/>
              <w:bottom w:val="single" w:sz="4" w:space="0" w:color="auto"/>
              <w:right w:val="single" w:sz="4" w:space="0" w:color="auto"/>
            </w:tcBorders>
            <w:shd w:val="clear" w:color="000000" w:fill="FFFFFF"/>
            <w:noWrap/>
            <w:vAlign w:val="bottom"/>
            <w:hideMark/>
          </w:tcPr>
          <w:p w14:paraId="643AFF3F" w14:textId="3B1A2A14"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15,899</w:t>
            </w:r>
          </w:p>
        </w:tc>
        <w:tc>
          <w:tcPr>
            <w:tcW w:w="349" w:type="pct"/>
            <w:tcBorders>
              <w:top w:val="nil"/>
              <w:left w:val="nil"/>
              <w:bottom w:val="single" w:sz="4" w:space="0" w:color="auto"/>
              <w:right w:val="single" w:sz="4" w:space="0" w:color="auto"/>
            </w:tcBorders>
            <w:shd w:val="clear" w:color="000000" w:fill="FFFFFF"/>
            <w:noWrap/>
            <w:vAlign w:val="bottom"/>
            <w:hideMark/>
          </w:tcPr>
          <w:p w14:paraId="465EF644" w14:textId="55D28C4B"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8,524</w:t>
            </w:r>
          </w:p>
        </w:tc>
        <w:tc>
          <w:tcPr>
            <w:tcW w:w="349" w:type="pct"/>
            <w:tcBorders>
              <w:top w:val="nil"/>
              <w:left w:val="nil"/>
              <w:bottom w:val="single" w:sz="4" w:space="0" w:color="auto"/>
              <w:right w:val="single" w:sz="4" w:space="0" w:color="auto"/>
            </w:tcBorders>
            <w:shd w:val="clear" w:color="000000" w:fill="FFFFFF"/>
            <w:noWrap/>
            <w:vAlign w:val="bottom"/>
            <w:hideMark/>
          </w:tcPr>
          <w:p w14:paraId="441A7B80" w14:textId="5047C93F"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23,060</w:t>
            </w:r>
          </w:p>
        </w:tc>
        <w:tc>
          <w:tcPr>
            <w:tcW w:w="349" w:type="pct"/>
            <w:tcBorders>
              <w:top w:val="nil"/>
              <w:left w:val="nil"/>
              <w:bottom w:val="single" w:sz="4" w:space="0" w:color="auto"/>
              <w:right w:val="single" w:sz="4" w:space="0" w:color="auto"/>
            </w:tcBorders>
            <w:shd w:val="clear" w:color="000000" w:fill="FFFFFF"/>
            <w:noWrap/>
            <w:vAlign w:val="bottom"/>
            <w:hideMark/>
          </w:tcPr>
          <w:p w14:paraId="4700AD73" w14:textId="413B9604"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17,354</w:t>
            </w:r>
          </w:p>
        </w:tc>
        <w:tc>
          <w:tcPr>
            <w:tcW w:w="349" w:type="pct"/>
            <w:tcBorders>
              <w:top w:val="nil"/>
              <w:left w:val="nil"/>
              <w:bottom w:val="single" w:sz="4" w:space="0" w:color="auto"/>
              <w:right w:val="single" w:sz="4" w:space="0" w:color="auto"/>
            </w:tcBorders>
            <w:shd w:val="clear" w:color="000000" w:fill="FFFFFF"/>
            <w:noWrap/>
            <w:vAlign w:val="bottom"/>
            <w:hideMark/>
          </w:tcPr>
          <w:p w14:paraId="000AE75A" w14:textId="0E90908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16,544</w:t>
            </w:r>
          </w:p>
        </w:tc>
        <w:tc>
          <w:tcPr>
            <w:tcW w:w="349" w:type="pct"/>
            <w:tcBorders>
              <w:top w:val="nil"/>
              <w:left w:val="nil"/>
              <w:bottom w:val="single" w:sz="4" w:space="0" w:color="auto"/>
              <w:right w:val="single" w:sz="4" w:space="0" w:color="auto"/>
            </w:tcBorders>
            <w:shd w:val="clear" w:color="000000" w:fill="FFFFFF"/>
            <w:noWrap/>
            <w:vAlign w:val="bottom"/>
            <w:hideMark/>
          </w:tcPr>
          <w:p w14:paraId="3D5A219E" w14:textId="078F1BE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5,621</w:t>
            </w:r>
          </w:p>
        </w:tc>
        <w:tc>
          <w:tcPr>
            <w:tcW w:w="379" w:type="pct"/>
            <w:tcBorders>
              <w:top w:val="nil"/>
              <w:left w:val="nil"/>
              <w:bottom w:val="single" w:sz="4" w:space="0" w:color="auto"/>
              <w:right w:val="single" w:sz="8" w:space="0" w:color="auto"/>
            </w:tcBorders>
            <w:shd w:val="clear" w:color="000000" w:fill="FFFFFF"/>
            <w:noWrap/>
            <w:vAlign w:val="bottom"/>
            <w:hideMark/>
          </w:tcPr>
          <w:p w14:paraId="45C86D89" w14:textId="4B4D6B34"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129,003</w:t>
            </w:r>
          </w:p>
        </w:tc>
      </w:tr>
      <w:tr w:rsidR="00CA1084" w:rsidRPr="00E47FB2" w14:paraId="52FC9FC0"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011C3D5D"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Granadillo</w:t>
            </w:r>
          </w:p>
        </w:tc>
        <w:tc>
          <w:tcPr>
            <w:tcW w:w="349" w:type="pct"/>
            <w:tcBorders>
              <w:top w:val="nil"/>
              <w:left w:val="nil"/>
              <w:bottom w:val="single" w:sz="4" w:space="0" w:color="auto"/>
              <w:right w:val="single" w:sz="4" w:space="0" w:color="auto"/>
            </w:tcBorders>
            <w:shd w:val="clear" w:color="000000" w:fill="FFFFFF"/>
            <w:noWrap/>
            <w:vAlign w:val="bottom"/>
            <w:hideMark/>
          </w:tcPr>
          <w:p w14:paraId="336AD375" w14:textId="218B8ECB"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20,930</w:t>
            </w:r>
          </w:p>
        </w:tc>
        <w:tc>
          <w:tcPr>
            <w:tcW w:w="349" w:type="pct"/>
            <w:tcBorders>
              <w:top w:val="nil"/>
              <w:left w:val="nil"/>
              <w:bottom w:val="single" w:sz="4" w:space="0" w:color="auto"/>
              <w:right w:val="single" w:sz="4" w:space="0" w:color="auto"/>
            </w:tcBorders>
            <w:shd w:val="clear" w:color="000000" w:fill="FFFFFF"/>
            <w:noWrap/>
            <w:vAlign w:val="bottom"/>
            <w:hideMark/>
          </w:tcPr>
          <w:p w14:paraId="243EEB99" w14:textId="33FDF822"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23,625</w:t>
            </w:r>
          </w:p>
        </w:tc>
        <w:tc>
          <w:tcPr>
            <w:tcW w:w="349" w:type="pct"/>
            <w:tcBorders>
              <w:top w:val="nil"/>
              <w:left w:val="nil"/>
              <w:bottom w:val="single" w:sz="4" w:space="0" w:color="auto"/>
              <w:right w:val="single" w:sz="4" w:space="0" w:color="auto"/>
            </w:tcBorders>
            <w:shd w:val="clear" w:color="000000" w:fill="FFFFFF"/>
            <w:noWrap/>
            <w:vAlign w:val="bottom"/>
            <w:hideMark/>
          </w:tcPr>
          <w:p w14:paraId="1CE1257D" w14:textId="754F9F1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24,535</w:t>
            </w:r>
          </w:p>
        </w:tc>
        <w:tc>
          <w:tcPr>
            <w:tcW w:w="349" w:type="pct"/>
            <w:tcBorders>
              <w:top w:val="nil"/>
              <w:left w:val="nil"/>
              <w:bottom w:val="single" w:sz="4" w:space="0" w:color="auto"/>
              <w:right w:val="single" w:sz="4" w:space="0" w:color="auto"/>
            </w:tcBorders>
            <w:shd w:val="clear" w:color="000000" w:fill="FFFFFF"/>
            <w:noWrap/>
            <w:vAlign w:val="bottom"/>
            <w:hideMark/>
          </w:tcPr>
          <w:p w14:paraId="0467E087" w14:textId="0270D86B"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25,480</w:t>
            </w:r>
          </w:p>
        </w:tc>
        <w:tc>
          <w:tcPr>
            <w:tcW w:w="349" w:type="pct"/>
            <w:tcBorders>
              <w:top w:val="nil"/>
              <w:left w:val="nil"/>
              <w:bottom w:val="single" w:sz="4" w:space="0" w:color="auto"/>
              <w:right w:val="single" w:sz="4" w:space="0" w:color="auto"/>
            </w:tcBorders>
            <w:shd w:val="clear" w:color="000000" w:fill="FFFFFF"/>
            <w:noWrap/>
            <w:vAlign w:val="bottom"/>
            <w:hideMark/>
          </w:tcPr>
          <w:p w14:paraId="201D480A" w14:textId="18424601"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15,820</w:t>
            </w:r>
          </w:p>
        </w:tc>
        <w:tc>
          <w:tcPr>
            <w:tcW w:w="349" w:type="pct"/>
            <w:tcBorders>
              <w:top w:val="nil"/>
              <w:left w:val="nil"/>
              <w:bottom w:val="single" w:sz="4" w:space="0" w:color="auto"/>
              <w:right w:val="single" w:sz="4" w:space="0" w:color="auto"/>
            </w:tcBorders>
            <w:shd w:val="clear" w:color="000000" w:fill="FFFFFF"/>
            <w:noWrap/>
            <w:vAlign w:val="bottom"/>
            <w:hideMark/>
          </w:tcPr>
          <w:p w14:paraId="1E61712D" w14:textId="0BCD48E2"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24,535</w:t>
            </w:r>
          </w:p>
        </w:tc>
        <w:tc>
          <w:tcPr>
            <w:tcW w:w="349" w:type="pct"/>
            <w:tcBorders>
              <w:top w:val="nil"/>
              <w:left w:val="nil"/>
              <w:bottom w:val="single" w:sz="4" w:space="0" w:color="auto"/>
              <w:right w:val="single" w:sz="4" w:space="0" w:color="auto"/>
            </w:tcBorders>
            <w:shd w:val="clear" w:color="000000" w:fill="FFFFFF"/>
            <w:noWrap/>
            <w:vAlign w:val="bottom"/>
            <w:hideMark/>
          </w:tcPr>
          <w:p w14:paraId="1B3F9CC3" w14:textId="6F846D74"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25,725</w:t>
            </w:r>
          </w:p>
        </w:tc>
        <w:tc>
          <w:tcPr>
            <w:tcW w:w="349" w:type="pct"/>
            <w:tcBorders>
              <w:top w:val="nil"/>
              <w:left w:val="nil"/>
              <w:bottom w:val="single" w:sz="4" w:space="0" w:color="auto"/>
              <w:right w:val="single" w:sz="4" w:space="0" w:color="auto"/>
            </w:tcBorders>
            <w:shd w:val="clear" w:color="000000" w:fill="FFFFFF"/>
            <w:noWrap/>
            <w:vAlign w:val="bottom"/>
            <w:hideMark/>
          </w:tcPr>
          <w:p w14:paraId="726D92A8" w14:textId="19766685"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28,350</w:t>
            </w:r>
          </w:p>
        </w:tc>
        <w:tc>
          <w:tcPr>
            <w:tcW w:w="349" w:type="pct"/>
            <w:tcBorders>
              <w:top w:val="nil"/>
              <w:left w:val="nil"/>
              <w:bottom w:val="single" w:sz="4" w:space="0" w:color="auto"/>
              <w:right w:val="single" w:sz="4" w:space="0" w:color="auto"/>
            </w:tcBorders>
            <w:shd w:val="clear" w:color="000000" w:fill="FFFFFF"/>
            <w:noWrap/>
            <w:vAlign w:val="bottom"/>
            <w:hideMark/>
          </w:tcPr>
          <w:p w14:paraId="70A026DC" w14:textId="4E5DF9D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121,030</w:t>
            </w:r>
          </w:p>
        </w:tc>
        <w:tc>
          <w:tcPr>
            <w:tcW w:w="349" w:type="pct"/>
            <w:tcBorders>
              <w:top w:val="nil"/>
              <w:left w:val="nil"/>
              <w:bottom w:val="single" w:sz="4" w:space="0" w:color="auto"/>
              <w:right w:val="single" w:sz="4" w:space="0" w:color="auto"/>
            </w:tcBorders>
            <w:shd w:val="clear" w:color="000000" w:fill="FFFFFF"/>
            <w:noWrap/>
            <w:vAlign w:val="bottom"/>
            <w:hideMark/>
          </w:tcPr>
          <w:p w14:paraId="4AFFB6D7" w14:textId="767B43A1"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40,390</w:t>
            </w:r>
          </w:p>
        </w:tc>
        <w:tc>
          <w:tcPr>
            <w:tcW w:w="349" w:type="pct"/>
            <w:tcBorders>
              <w:top w:val="nil"/>
              <w:left w:val="nil"/>
              <w:bottom w:val="single" w:sz="4" w:space="0" w:color="auto"/>
              <w:right w:val="single" w:sz="4" w:space="0" w:color="auto"/>
            </w:tcBorders>
            <w:shd w:val="clear" w:color="000000" w:fill="FFFFFF"/>
            <w:noWrap/>
            <w:vAlign w:val="bottom"/>
            <w:hideMark/>
          </w:tcPr>
          <w:p w14:paraId="4F1625C1" w14:textId="7FF0040B"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46,375</w:t>
            </w:r>
          </w:p>
        </w:tc>
        <w:tc>
          <w:tcPr>
            <w:tcW w:w="349" w:type="pct"/>
            <w:tcBorders>
              <w:top w:val="nil"/>
              <w:left w:val="nil"/>
              <w:bottom w:val="single" w:sz="4" w:space="0" w:color="auto"/>
              <w:right w:val="single" w:sz="4" w:space="0" w:color="auto"/>
            </w:tcBorders>
            <w:shd w:val="clear" w:color="000000" w:fill="FFFFFF"/>
            <w:noWrap/>
            <w:vAlign w:val="bottom"/>
            <w:hideMark/>
          </w:tcPr>
          <w:p w14:paraId="1FB33A2D" w14:textId="3CC87B6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9,975</w:t>
            </w:r>
          </w:p>
        </w:tc>
        <w:tc>
          <w:tcPr>
            <w:tcW w:w="379" w:type="pct"/>
            <w:tcBorders>
              <w:top w:val="nil"/>
              <w:left w:val="nil"/>
              <w:bottom w:val="single" w:sz="4" w:space="0" w:color="auto"/>
              <w:right w:val="single" w:sz="8" w:space="0" w:color="auto"/>
            </w:tcBorders>
            <w:shd w:val="clear" w:color="000000" w:fill="FFFFFF"/>
            <w:noWrap/>
            <w:vAlign w:val="bottom"/>
            <w:hideMark/>
          </w:tcPr>
          <w:p w14:paraId="39CB9AC1" w14:textId="3A0EA27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406,770</w:t>
            </w:r>
          </w:p>
        </w:tc>
      </w:tr>
      <w:tr w:rsidR="00CA1084" w:rsidRPr="00E47FB2" w14:paraId="785B2FE6"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40896716"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Guanabana</w:t>
            </w:r>
          </w:p>
        </w:tc>
        <w:tc>
          <w:tcPr>
            <w:tcW w:w="349" w:type="pct"/>
            <w:tcBorders>
              <w:top w:val="nil"/>
              <w:left w:val="nil"/>
              <w:bottom w:val="single" w:sz="4" w:space="0" w:color="auto"/>
              <w:right w:val="single" w:sz="4" w:space="0" w:color="auto"/>
            </w:tcBorders>
            <w:shd w:val="clear" w:color="000000" w:fill="FFFFFF"/>
            <w:noWrap/>
            <w:vAlign w:val="bottom"/>
            <w:hideMark/>
          </w:tcPr>
          <w:p w14:paraId="724484C4" w14:textId="56D8B34E"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13,080</w:t>
            </w:r>
          </w:p>
        </w:tc>
        <w:tc>
          <w:tcPr>
            <w:tcW w:w="349" w:type="pct"/>
            <w:tcBorders>
              <w:top w:val="nil"/>
              <w:left w:val="nil"/>
              <w:bottom w:val="single" w:sz="4" w:space="0" w:color="auto"/>
              <w:right w:val="single" w:sz="4" w:space="0" w:color="auto"/>
            </w:tcBorders>
            <w:shd w:val="clear" w:color="000000" w:fill="FFFFFF"/>
            <w:noWrap/>
            <w:vAlign w:val="bottom"/>
            <w:hideMark/>
          </w:tcPr>
          <w:p w14:paraId="49A641DF" w14:textId="52912854"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3,940</w:t>
            </w:r>
          </w:p>
        </w:tc>
        <w:tc>
          <w:tcPr>
            <w:tcW w:w="349" w:type="pct"/>
            <w:tcBorders>
              <w:top w:val="nil"/>
              <w:left w:val="nil"/>
              <w:bottom w:val="single" w:sz="4" w:space="0" w:color="auto"/>
              <w:right w:val="single" w:sz="4" w:space="0" w:color="auto"/>
            </w:tcBorders>
            <w:shd w:val="clear" w:color="000000" w:fill="FFFFFF"/>
            <w:noWrap/>
            <w:vAlign w:val="bottom"/>
            <w:hideMark/>
          </w:tcPr>
          <w:p w14:paraId="0A39ECCB" w14:textId="0F5359ED"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15,700</w:t>
            </w:r>
          </w:p>
        </w:tc>
        <w:tc>
          <w:tcPr>
            <w:tcW w:w="349" w:type="pct"/>
            <w:tcBorders>
              <w:top w:val="nil"/>
              <w:left w:val="nil"/>
              <w:bottom w:val="single" w:sz="4" w:space="0" w:color="auto"/>
              <w:right w:val="single" w:sz="4" w:space="0" w:color="auto"/>
            </w:tcBorders>
            <w:shd w:val="clear" w:color="000000" w:fill="FFFFFF"/>
            <w:noWrap/>
            <w:vAlign w:val="bottom"/>
            <w:hideMark/>
          </w:tcPr>
          <w:p w14:paraId="6B3DE6FC" w14:textId="1BA638B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1,700</w:t>
            </w:r>
          </w:p>
        </w:tc>
        <w:tc>
          <w:tcPr>
            <w:tcW w:w="349" w:type="pct"/>
            <w:tcBorders>
              <w:top w:val="nil"/>
              <w:left w:val="nil"/>
              <w:bottom w:val="single" w:sz="4" w:space="0" w:color="auto"/>
              <w:right w:val="single" w:sz="4" w:space="0" w:color="auto"/>
            </w:tcBorders>
            <w:shd w:val="clear" w:color="000000" w:fill="FFFFFF"/>
            <w:noWrap/>
            <w:vAlign w:val="bottom"/>
            <w:hideMark/>
          </w:tcPr>
          <w:p w14:paraId="40D33713" w14:textId="0B340CC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1,240</w:t>
            </w:r>
          </w:p>
        </w:tc>
        <w:tc>
          <w:tcPr>
            <w:tcW w:w="349" w:type="pct"/>
            <w:tcBorders>
              <w:top w:val="nil"/>
              <w:left w:val="nil"/>
              <w:bottom w:val="single" w:sz="4" w:space="0" w:color="auto"/>
              <w:right w:val="single" w:sz="4" w:space="0" w:color="auto"/>
            </w:tcBorders>
            <w:shd w:val="clear" w:color="000000" w:fill="FFFFFF"/>
            <w:noWrap/>
            <w:vAlign w:val="bottom"/>
            <w:hideMark/>
          </w:tcPr>
          <w:p w14:paraId="01F4B28A" w14:textId="13FDBBB8"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17,040</w:t>
            </w:r>
          </w:p>
        </w:tc>
        <w:tc>
          <w:tcPr>
            <w:tcW w:w="349" w:type="pct"/>
            <w:tcBorders>
              <w:top w:val="nil"/>
              <w:left w:val="nil"/>
              <w:bottom w:val="single" w:sz="4" w:space="0" w:color="auto"/>
              <w:right w:val="single" w:sz="4" w:space="0" w:color="auto"/>
            </w:tcBorders>
            <w:shd w:val="clear" w:color="000000" w:fill="FFFFFF"/>
            <w:noWrap/>
            <w:vAlign w:val="bottom"/>
            <w:hideMark/>
          </w:tcPr>
          <w:p w14:paraId="23721B6C" w14:textId="7C57289D"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32,420</w:t>
            </w:r>
          </w:p>
        </w:tc>
        <w:tc>
          <w:tcPr>
            <w:tcW w:w="349" w:type="pct"/>
            <w:tcBorders>
              <w:top w:val="nil"/>
              <w:left w:val="nil"/>
              <w:bottom w:val="single" w:sz="4" w:space="0" w:color="auto"/>
              <w:right w:val="single" w:sz="4" w:space="0" w:color="auto"/>
            </w:tcBorders>
            <w:shd w:val="clear" w:color="000000" w:fill="FFFFFF"/>
            <w:noWrap/>
            <w:vAlign w:val="bottom"/>
            <w:hideMark/>
          </w:tcPr>
          <w:p w14:paraId="6B92B60E" w14:textId="34D9E338"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20,040</w:t>
            </w:r>
          </w:p>
        </w:tc>
        <w:tc>
          <w:tcPr>
            <w:tcW w:w="349" w:type="pct"/>
            <w:tcBorders>
              <w:top w:val="nil"/>
              <w:left w:val="nil"/>
              <w:bottom w:val="single" w:sz="4" w:space="0" w:color="auto"/>
              <w:right w:val="single" w:sz="4" w:space="0" w:color="auto"/>
            </w:tcBorders>
            <w:shd w:val="clear" w:color="000000" w:fill="FFFFFF"/>
            <w:noWrap/>
            <w:vAlign w:val="bottom"/>
            <w:hideMark/>
          </w:tcPr>
          <w:p w14:paraId="765F344A" w14:textId="4E76629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1,360</w:t>
            </w:r>
          </w:p>
        </w:tc>
        <w:tc>
          <w:tcPr>
            <w:tcW w:w="349" w:type="pct"/>
            <w:tcBorders>
              <w:top w:val="nil"/>
              <w:left w:val="nil"/>
              <w:bottom w:val="single" w:sz="4" w:space="0" w:color="auto"/>
              <w:right w:val="single" w:sz="4" w:space="0" w:color="auto"/>
            </w:tcBorders>
            <w:shd w:val="clear" w:color="000000" w:fill="FFFFFF"/>
            <w:noWrap/>
            <w:vAlign w:val="bottom"/>
            <w:hideMark/>
          </w:tcPr>
          <w:p w14:paraId="3D65E8CE" w14:textId="6F2B33B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25,080</w:t>
            </w:r>
          </w:p>
        </w:tc>
        <w:tc>
          <w:tcPr>
            <w:tcW w:w="349" w:type="pct"/>
            <w:tcBorders>
              <w:top w:val="nil"/>
              <w:left w:val="nil"/>
              <w:bottom w:val="single" w:sz="4" w:space="0" w:color="auto"/>
              <w:right w:val="single" w:sz="4" w:space="0" w:color="auto"/>
            </w:tcBorders>
            <w:shd w:val="clear" w:color="000000" w:fill="FFFFFF"/>
            <w:noWrap/>
            <w:vAlign w:val="bottom"/>
            <w:hideMark/>
          </w:tcPr>
          <w:p w14:paraId="09A0EC4C" w14:textId="4381B955"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28,420</w:t>
            </w:r>
          </w:p>
        </w:tc>
        <w:tc>
          <w:tcPr>
            <w:tcW w:w="349" w:type="pct"/>
            <w:tcBorders>
              <w:top w:val="nil"/>
              <w:left w:val="nil"/>
              <w:bottom w:val="single" w:sz="4" w:space="0" w:color="auto"/>
              <w:right w:val="single" w:sz="4" w:space="0" w:color="auto"/>
            </w:tcBorders>
            <w:shd w:val="clear" w:color="000000" w:fill="FFFFFF"/>
            <w:noWrap/>
            <w:vAlign w:val="bottom"/>
            <w:hideMark/>
          </w:tcPr>
          <w:p w14:paraId="7D95E1B1" w14:textId="0B07DBF6"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13,440</w:t>
            </w:r>
          </w:p>
        </w:tc>
        <w:tc>
          <w:tcPr>
            <w:tcW w:w="379" w:type="pct"/>
            <w:tcBorders>
              <w:top w:val="nil"/>
              <w:left w:val="nil"/>
              <w:bottom w:val="single" w:sz="4" w:space="0" w:color="auto"/>
              <w:right w:val="single" w:sz="8" w:space="0" w:color="auto"/>
            </w:tcBorders>
            <w:shd w:val="clear" w:color="000000" w:fill="FFFFFF"/>
            <w:noWrap/>
            <w:vAlign w:val="bottom"/>
            <w:hideMark/>
          </w:tcPr>
          <w:p w14:paraId="7A004B71" w14:textId="3414BFDF"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173,460</w:t>
            </w:r>
          </w:p>
        </w:tc>
      </w:tr>
      <w:tr w:rsidR="00CA1084" w:rsidRPr="00E47FB2" w14:paraId="4D093722"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5D498283"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Guayaba</w:t>
            </w:r>
          </w:p>
        </w:tc>
        <w:tc>
          <w:tcPr>
            <w:tcW w:w="349" w:type="pct"/>
            <w:tcBorders>
              <w:top w:val="nil"/>
              <w:left w:val="nil"/>
              <w:bottom w:val="single" w:sz="4" w:space="0" w:color="auto"/>
              <w:right w:val="single" w:sz="4" w:space="0" w:color="auto"/>
            </w:tcBorders>
            <w:shd w:val="clear" w:color="000000" w:fill="FFFFFF"/>
            <w:noWrap/>
            <w:vAlign w:val="bottom"/>
            <w:hideMark/>
          </w:tcPr>
          <w:p w14:paraId="6820D472" w14:textId="0F47490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5,862</w:t>
            </w:r>
          </w:p>
        </w:tc>
        <w:tc>
          <w:tcPr>
            <w:tcW w:w="349" w:type="pct"/>
            <w:tcBorders>
              <w:top w:val="nil"/>
              <w:left w:val="nil"/>
              <w:bottom w:val="single" w:sz="4" w:space="0" w:color="auto"/>
              <w:right w:val="single" w:sz="4" w:space="0" w:color="auto"/>
            </w:tcBorders>
            <w:shd w:val="clear" w:color="000000" w:fill="FFFFFF"/>
            <w:noWrap/>
            <w:vAlign w:val="bottom"/>
            <w:hideMark/>
          </w:tcPr>
          <w:p w14:paraId="4E831917" w14:textId="1BA7010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2,241</w:t>
            </w:r>
          </w:p>
        </w:tc>
        <w:tc>
          <w:tcPr>
            <w:tcW w:w="349" w:type="pct"/>
            <w:tcBorders>
              <w:top w:val="nil"/>
              <w:left w:val="nil"/>
              <w:bottom w:val="single" w:sz="4" w:space="0" w:color="auto"/>
              <w:right w:val="single" w:sz="4" w:space="0" w:color="auto"/>
            </w:tcBorders>
            <w:shd w:val="clear" w:color="000000" w:fill="FFFFFF"/>
            <w:noWrap/>
            <w:vAlign w:val="bottom"/>
            <w:hideMark/>
          </w:tcPr>
          <w:p w14:paraId="166674FA" w14:textId="488C17AB"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2,130</w:t>
            </w:r>
          </w:p>
        </w:tc>
        <w:tc>
          <w:tcPr>
            <w:tcW w:w="349" w:type="pct"/>
            <w:tcBorders>
              <w:top w:val="nil"/>
              <w:left w:val="nil"/>
              <w:bottom w:val="single" w:sz="4" w:space="0" w:color="auto"/>
              <w:right w:val="single" w:sz="4" w:space="0" w:color="auto"/>
            </w:tcBorders>
            <w:shd w:val="clear" w:color="000000" w:fill="FFFFFF"/>
            <w:noWrap/>
            <w:vAlign w:val="bottom"/>
            <w:hideMark/>
          </w:tcPr>
          <w:p w14:paraId="73A26AB1" w14:textId="38A503D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2,994</w:t>
            </w:r>
          </w:p>
        </w:tc>
        <w:tc>
          <w:tcPr>
            <w:tcW w:w="349" w:type="pct"/>
            <w:tcBorders>
              <w:top w:val="nil"/>
              <w:left w:val="nil"/>
              <w:bottom w:val="single" w:sz="4" w:space="0" w:color="auto"/>
              <w:right w:val="single" w:sz="4" w:space="0" w:color="auto"/>
            </w:tcBorders>
            <w:shd w:val="clear" w:color="000000" w:fill="FFFFFF"/>
            <w:noWrap/>
            <w:vAlign w:val="bottom"/>
            <w:hideMark/>
          </w:tcPr>
          <w:p w14:paraId="38E3FA44" w14:textId="45D6DA0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2,760</w:t>
            </w:r>
          </w:p>
        </w:tc>
        <w:tc>
          <w:tcPr>
            <w:tcW w:w="349" w:type="pct"/>
            <w:tcBorders>
              <w:top w:val="nil"/>
              <w:left w:val="nil"/>
              <w:bottom w:val="single" w:sz="4" w:space="0" w:color="auto"/>
              <w:right w:val="single" w:sz="4" w:space="0" w:color="auto"/>
            </w:tcBorders>
            <w:shd w:val="clear" w:color="000000" w:fill="FFFFFF"/>
            <w:noWrap/>
            <w:vAlign w:val="bottom"/>
            <w:hideMark/>
          </w:tcPr>
          <w:p w14:paraId="1D04E72F" w14:textId="342FCAE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5,160</w:t>
            </w:r>
          </w:p>
        </w:tc>
        <w:tc>
          <w:tcPr>
            <w:tcW w:w="349" w:type="pct"/>
            <w:tcBorders>
              <w:top w:val="nil"/>
              <w:left w:val="nil"/>
              <w:bottom w:val="single" w:sz="4" w:space="0" w:color="auto"/>
              <w:right w:val="single" w:sz="4" w:space="0" w:color="auto"/>
            </w:tcBorders>
            <w:shd w:val="clear" w:color="000000" w:fill="FFFFFF"/>
            <w:noWrap/>
            <w:vAlign w:val="bottom"/>
            <w:hideMark/>
          </w:tcPr>
          <w:p w14:paraId="6025BFCD" w14:textId="0947BF96"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2,736</w:t>
            </w:r>
          </w:p>
        </w:tc>
        <w:tc>
          <w:tcPr>
            <w:tcW w:w="349" w:type="pct"/>
            <w:tcBorders>
              <w:top w:val="nil"/>
              <w:left w:val="nil"/>
              <w:bottom w:val="single" w:sz="4" w:space="0" w:color="auto"/>
              <w:right w:val="single" w:sz="4" w:space="0" w:color="auto"/>
            </w:tcBorders>
            <w:shd w:val="clear" w:color="000000" w:fill="FFFFFF"/>
            <w:noWrap/>
            <w:vAlign w:val="bottom"/>
            <w:hideMark/>
          </w:tcPr>
          <w:p w14:paraId="233C117D" w14:textId="72108AFD"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4,197</w:t>
            </w:r>
          </w:p>
        </w:tc>
        <w:tc>
          <w:tcPr>
            <w:tcW w:w="349" w:type="pct"/>
            <w:tcBorders>
              <w:top w:val="nil"/>
              <w:left w:val="nil"/>
              <w:bottom w:val="single" w:sz="4" w:space="0" w:color="auto"/>
              <w:right w:val="single" w:sz="4" w:space="0" w:color="auto"/>
            </w:tcBorders>
            <w:shd w:val="clear" w:color="000000" w:fill="FFFFFF"/>
            <w:noWrap/>
            <w:vAlign w:val="bottom"/>
            <w:hideMark/>
          </w:tcPr>
          <w:p w14:paraId="52779F1B" w14:textId="4264B1B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5,061</w:t>
            </w:r>
          </w:p>
        </w:tc>
        <w:tc>
          <w:tcPr>
            <w:tcW w:w="349" w:type="pct"/>
            <w:tcBorders>
              <w:top w:val="nil"/>
              <w:left w:val="nil"/>
              <w:bottom w:val="single" w:sz="4" w:space="0" w:color="auto"/>
              <w:right w:val="single" w:sz="4" w:space="0" w:color="auto"/>
            </w:tcBorders>
            <w:shd w:val="clear" w:color="000000" w:fill="FFFFFF"/>
            <w:noWrap/>
            <w:vAlign w:val="bottom"/>
            <w:hideMark/>
          </w:tcPr>
          <w:p w14:paraId="521FBF93" w14:textId="182025CD"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4,356</w:t>
            </w:r>
          </w:p>
        </w:tc>
        <w:tc>
          <w:tcPr>
            <w:tcW w:w="349" w:type="pct"/>
            <w:tcBorders>
              <w:top w:val="nil"/>
              <w:left w:val="nil"/>
              <w:bottom w:val="single" w:sz="4" w:space="0" w:color="auto"/>
              <w:right w:val="single" w:sz="4" w:space="0" w:color="auto"/>
            </w:tcBorders>
            <w:shd w:val="clear" w:color="000000" w:fill="FFFFFF"/>
            <w:noWrap/>
            <w:vAlign w:val="bottom"/>
            <w:hideMark/>
          </w:tcPr>
          <w:p w14:paraId="27055268" w14:textId="3594CED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2,781</w:t>
            </w:r>
          </w:p>
        </w:tc>
        <w:tc>
          <w:tcPr>
            <w:tcW w:w="349" w:type="pct"/>
            <w:tcBorders>
              <w:top w:val="nil"/>
              <w:left w:val="nil"/>
              <w:bottom w:val="single" w:sz="4" w:space="0" w:color="auto"/>
              <w:right w:val="single" w:sz="4" w:space="0" w:color="auto"/>
            </w:tcBorders>
            <w:shd w:val="clear" w:color="000000" w:fill="FFFFFF"/>
            <w:noWrap/>
            <w:vAlign w:val="bottom"/>
            <w:hideMark/>
          </w:tcPr>
          <w:p w14:paraId="123717C1" w14:textId="689B2BAE"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6,963</w:t>
            </w:r>
          </w:p>
        </w:tc>
        <w:tc>
          <w:tcPr>
            <w:tcW w:w="379" w:type="pct"/>
            <w:tcBorders>
              <w:top w:val="nil"/>
              <w:left w:val="nil"/>
              <w:bottom w:val="single" w:sz="4" w:space="0" w:color="auto"/>
              <w:right w:val="single" w:sz="8" w:space="0" w:color="auto"/>
            </w:tcBorders>
            <w:shd w:val="clear" w:color="000000" w:fill="FFFFFF"/>
            <w:noWrap/>
            <w:vAlign w:val="bottom"/>
            <w:hideMark/>
          </w:tcPr>
          <w:p w14:paraId="669714E3" w14:textId="09B1A9D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47,241</w:t>
            </w:r>
          </w:p>
        </w:tc>
      </w:tr>
      <w:tr w:rsidR="00CA1084" w:rsidRPr="00E47FB2" w14:paraId="3FB8F6A9"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7594F80D"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Mango</w:t>
            </w:r>
          </w:p>
        </w:tc>
        <w:tc>
          <w:tcPr>
            <w:tcW w:w="349" w:type="pct"/>
            <w:tcBorders>
              <w:top w:val="nil"/>
              <w:left w:val="nil"/>
              <w:bottom w:val="single" w:sz="4" w:space="0" w:color="auto"/>
              <w:right w:val="single" w:sz="4" w:space="0" w:color="auto"/>
            </w:tcBorders>
            <w:shd w:val="clear" w:color="000000" w:fill="FFFFFF"/>
            <w:noWrap/>
            <w:vAlign w:val="bottom"/>
            <w:hideMark/>
          </w:tcPr>
          <w:p w14:paraId="6EFD0FB8" w14:textId="69A0556B"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7D50EF90" w14:textId="7C00334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72</w:t>
            </w:r>
          </w:p>
        </w:tc>
        <w:tc>
          <w:tcPr>
            <w:tcW w:w="349" w:type="pct"/>
            <w:tcBorders>
              <w:top w:val="nil"/>
              <w:left w:val="nil"/>
              <w:bottom w:val="single" w:sz="4" w:space="0" w:color="auto"/>
              <w:right w:val="single" w:sz="4" w:space="0" w:color="auto"/>
            </w:tcBorders>
            <w:shd w:val="clear" w:color="000000" w:fill="FFFFFF"/>
            <w:noWrap/>
            <w:vAlign w:val="bottom"/>
            <w:hideMark/>
          </w:tcPr>
          <w:p w14:paraId="250372E8" w14:textId="1E165B81"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14,832</w:t>
            </w:r>
          </w:p>
        </w:tc>
        <w:tc>
          <w:tcPr>
            <w:tcW w:w="349" w:type="pct"/>
            <w:tcBorders>
              <w:top w:val="nil"/>
              <w:left w:val="nil"/>
              <w:bottom w:val="single" w:sz="4" w:space="0" w:color="auto"/>
              <w:right w:val="single" w:sz="4" w:space="0" w:color="auto"/>
            </w:tcBorders>
            <w:shd w:val="clear" w:color="000000" w:fill="FFFFFF"/>
            <w:noWrap/>
            <w:vAlign w:val="bottom"/>
            <w:hideMark/>
          </w:tcPr>
          <w:p w14:paraId="105BF10C" w14:textId="400A6F5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31,208</w:t>
            </w:r>
          </w:p>
        </w:tc>
        <w:tc>
          <w:tcPr>
            <w:tcW w:w="349" w:type="pct"/>
            <w:tcBorders>
              <w:top w:val="nil"/>
              <w:left w:val="nil"/>
              <w:bottom w:val="single" w:sz="4" w:space="0" w:color="auto"/>
              <w:right w:val="single" w:sz="4" w:space="0" w:color="auto"/>
            </w:tcBorders>
            <w:shd w:val="clear" w:color="000000" w:fill="FFFFFF"/>
            <w:noWrap/>
            <w:vAlign w:val="bottom"/>
            <w:hideMark/>
          </w:tcPr>
          <w:p w14:paraId="323B06C4" w14:textId="279DF555"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10,408</w:t>
            </w:r>
          </w:p>
        </w:tc>
        <w:tc>
          <w:tcPr>
            <w:tcW w:w="349" w:type="pct"/>
            <w:tcBorders>
              <w:top w:val="nil"/>
              <w:left w:val="nil"/>
              <w:bottom w:val="single" w:sz="4" w:space="0" w:color="auto"/>
              <w:right w:val="single" w:sz="4" w:space="0" w:color="auto"/>
            </w:tcBorders>
            <w:shd w:val="clear" w:color="000000" w:fill="FFFFFF"/>
            <w:noWrap/>
            <w:vAlign w:val="bottom"/>
            <w:hideMark/>
          </w:tcPr>
          <w:p w14:paraId="1D7F69E4" w14:textId="43A3FF42"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287,992</w:t>
            </w:r>
          </w:p>
        </w:tc>
        <w:tc>
          <w:tcPr>
            <w:tcW w:w="349" w:type="pct"/>
            <w:tcBorders>
              <w:top w:val="nil"/>
              <w:left w:val="nil"/>
              <w:bottom w:val="single" w:sz="4" w:space="0" w:color="auto"/>
              <w:right w:val="single" w:sz="4" w:space="0" w:color="auto"/>
            </w:tcBorders>
            <w:shd w:val="clear" w:color="000000" w:fill="FFFFFF"/>
            <w:noWrap/>
            <w:vAlign w:val="bottom"/>
            <w:hideMark/>
          </w:tcPr>
          <w:p w14:paraId="3C0E1DC1" w14:textId="4135929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335,896</w:t>
            </w:r>
          </w:p>
        </w:tc>
        <w:tc>
          <w:tcPr>
            <w:tcW w:w="349" w:type="pct"/>
            <w:tcBorders>
              <w:top w:val="nil"/>
              <w:left w:val="nil"/>
              <w:bottom w:val="single" w:sz="4" w:space="0" w:color="auto"/>
              <w:right w:val="single" w:sz="4" w:space="0" w:color="auto"/>
            </w:tcBorders>
            <w:shd w:val="clear" w:color="000000" w:fill="FFFFFF"/>
            <w:noWrap/>
            <w:vAlign w:val="bottom"/>
            <w:hideMark/>
          </w:tcPr>
          <w:p w14:paraId="04984B5C" w14:textId="7715102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111,880</w:t>
            </w:r>
          </w:p>
        </w:tc>
        <w:tc>
          <w:tcPr>
            <w:tcW w:w="349" w:type="pct"/>
            <w:tcBorders>
              <w:top w:val="nil"/>
              <w:left w:val="nil"/>
              <w:bottom w:val="single" w:sz="4" w:space="0" w:color="auto"/>
              <w:right w:val="single" w:sz="4" w:space="0" w:color="auto"/>
            </w:tcBorders>
            <w:shd w:val="clear" w:color="000000" w:fill="FFFFFF"/>
            <w:noWrap/>
            <w:vAlign w:val="bottom"/>
            <w:hideMark/>
          </w:tcPr>
          <w:p w14:paraId="618FBE85" w14:textId="40BAC16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78,832</w:t>
            </w:r>
          </w:p>
        </w:tc>
        <w:tc>
          <w:tcPr>
            <w:tcW w:w="349" w:type="pct"/>
            <w:tcBorders>
              <w:top w:val="nil"/>
              <w:left w:val="nil"/>
              <w:bottom w:val="single" w:sz="4" w:space="0" w:color="auto"/>
              <w:right w:val="single" w:sz="4" w:space="0" w:color="auto"/>
            </w:tcBorders>
            <w:shd w:val="clear" w:color="000000" w:fill="FFFFFF"/>
            <w:noWrap/>
            <w:vAlign w:val="bottom"/>
            <w:hideMark/>
          </w:tcPr>
          <w:p w14:paraId="628CD3B3" w14:textId="745B8C3B"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45,512</w:t>
            </w:r>
          </w:p>
        </w:tc>
        <w:tc>
          <w:tcPr>
            <w:tcW w:w="349" w:type="pct"/>
            <w:tcBorders>
              <w:top w:val="nil"/>
              <w:left w:val="nil"/>
              <w:bottom w:val="single" w:sz="4" w:space="0" w:color="auto"/>
              <w:right w:val="single" w:sz="4" w:space="0" w:color="auto"/>
            </w:tcBorders>
            <w:shd w:val="clear" w:color="000000" w:fill="FFFFFF"/>
            <w:noWrap/>
            <w:vAlign w:val="bottom"/>
            <w:hideMark/>
          </w:tcPr>
          <w:p w14:paraId="4FA25CA2" w14:textId="124D333B"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8,888</w:t>
            </w:r>
          </w:p>
        </w:tc>
        <w:tc>
          <w:tcPr>
            <w:tcW w:w="349" w:type="pct"/>
            <w:tcBorders>
              <w:top w:val="nil"/>
              <w:left w:val="nil"/>
              <w:bottom w:val="single" w:sz="4" w:space="0" w:color="auto"/>
              <w:right w:val="single" w:sz="4" w:space="0" w:color="auto"/>
            </w:tcBorders>
            <w:shd w:val="clear" w:color="000000" w:fill="FFFFFF"/>
            <w:noWrap/>
            <w:vAlign w:val="bottom"/>
            <w:hideMark/>
          </w:tcPr>
          <w:p w14:paraId="22C88E31" w14:textId="0D6FB895"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336</w:t>
            </w:r>
          </w:p>
        </w:tc>
        <w:tc>
          <w:tcPr>
            <w:tcW w:w="379" w:type="pct"/>
            <w:tcBorders>
              <w:top w:val="nil"/>
              <w:left w:val="nil"/>
              <w:bottom w:val="single" w:sz="4" w:space="0" w:color="auto"/>
              <w:right w:val="single" w:sz="8" w:space="0" w:color="auto"/>
            </w:tcBorders>
            <w:shd w:val="clear" w:color="000000" w:fill="FFFFFF"/>
            <w:noWrap/>
            <w:vAlign w:val="bottom"/>
            <w:hideMark/>
          </w:tcPr>
          <w:p w14:paraId="0303B164" w14:textId="7788A53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925,856</w:t>
            </w:r>
          </w:p>
        </w:tc>
      </w:tr>
      <w:tr w:rsidR="00CA1084" w:rsidRPr="00E47FB2" w14:paraId="7822EB8E"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35DB871E"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Sandia</w:t>
            </w:r>
          </w:p>
        </w:tc>
        <w:tc>
          <w:tcPr>
            <w:tcW w:w="349" w:type="pct"/>
            <w:tcBorders>
              <w:top w:val="nil"/>
              <w:left w:val="nil"/>
              <w:bottom w:val="single" w:sz="4" w:space="0" w:color="auto"/>
              <w:right w:val="single" w:sz="4" w:space="0" w:color="auto"/>
            </w:tcBorders>
            <w:shd w:val="clear" w:color="000000" w:fill="FFFFFF"/>
            <w:noWrap/>
            <w:vAlign w:val="bottom"/>
            <w:hideMark/>
          </w:tcPr>
          <w:p w14:paraId="41DB4C96" w14:textId="7885CED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524,700</w:t>
            </w:r>
          </w:p>
        </w:tc>
        <w:tc>
          <w:tcPr>
            <w:tcW w:w="349" w:type="pct"/>
            <w:tcBorders>
              <w:top w:val="nil"/>
              <w:left w:val="nil"/>
              <w:bottom w:val="single" w:sz="4" w:space="0" w:color="auto"/>
              <w:right w:val="single" w:sz="4" w:space="0" w:color="auto"/>
            </w:tcBorders>
            <w:shd w:val="clear" w:color="000000" w:fill="FFFFFF"/>
            <w:noWrap/>
            <w:vAlign w:val="bottom"/>
            <w:hideMark/>
          </w:tcPr>
          <w:p w14:paraId="1515E34C" w14:textId="33B4417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981,000</w:t>
            </w:r>
          </w:p>
        </w:tc>
        <w:tc>
          <w:tcPr>
            <w:tcW w:w="349" w:type="pct"/>
            <w:tcBorders>
              <w:top w:val="nil"/>
              <w:left w:val="nil"/>
              <w:bottom w:val="single" w:sz="4" w:space="0" w:color="auto"/>
              <w:right w:val="single" w:sz="4" w:space="0" w:color="auto"/>
            </w:tcBorders>
            <w:shd w:val="clear" w:color="000000" w:fill="FFFFFF"/>
            <w:noWrap/>
            <w:vAlign w:val="bottom"/>
            <w:hideMark/>
          </w:tcPr>
          <w:p w14:paraId="03BD950F" w14:textId="4A4402B7"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897,600</w:t>
            </w:r>
          </w:p>
        </w:tc>
        <w:tc>
          <w:tcPr>
            <w:tcW w:w="349" w:type="pct"/>
            <w:tcBorders>
              <w:top w:val="nil"/>
              <w:left w:val="nil"/>
              <w:bottom w:val="single" w:sz="4" w:space="0" w:color="auto"/>
              <w:right w:val="single" w:sz="4" w:space="0" w:color="auto"/>
            </w:tcBorders>
            <w:shd w:val="clear" w:color="000000" w:fill="FFFFFF"/>
            <w:noWrap/>
            <w:vAlign w:val="bottom"/>
            <w:hideMark/>
          </w:tcPr>
          <w:p w14:paraId="1B0C07A4" w14:textId="7787E9BD"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640,650</w:t>
            </w:r>
          </w:p>
        </w:tc>
        <w:tc>
          <w:tcPr>
            <w:tcW w:w="349" w:type="pct"/>
            <w:tcBorders>
              <w:top w:val="nil"/>
              <w:left w:val="nil"/>
              <w:bottom w:val="single" w:sz="4" w:space="0" w:color="auto"/>
              <w:right w:val="single" w:sz="4" w:space="0" w:color="auto"/>
            </w:tcBorders>
            <w:shd w:val="clear" w:color="000000" w:fill="FFFFFF"/>
            <w:noWrap/>
            <w:vAlign w:val="bottom"/>
            <w:hideMark/>
          </w:tcPr>
          <w:p w14:paraId="378DD1FB" w14:textId="24A73922"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981,300</w:t>
            </w:r>
          </w:p>
        </w:tc>
        <w:tc>
          <w:tcPr>
            <w:tcW w:w="349" w:type="pct"/>
            <w:tcBorders>
              <w:top w:val="nil"/>
              <w:left w:val="nil"/>
              <w:bottom w:val="single" w:sz="4" w:space="0" w:color="auto"/>
              <w:right w:val="single" w:sz="4" w:space="0" w:color="auto"/>
            </w:tcBorders>
            <w:shd w:val="clear" w:color="000000" w:fill="FFFFFF"/>
            <w:noWrap/>
            <w:vAlign w:val="bottom"/>
            <w:hideMark/>
          </w:tcPr>
          <w:p w14:paraId="56BD54E3" w14:textId="5A901AE2"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1,034,250</w:t>
            </w:r>
          </w:p>
        </w:tc>
        <w:tc>
          <w:tcPr>
            <w:tcW w:w="349" w:type="pct"/>
            <w:tcBorders>
              <w:top w:val="nil"/>
              <w:left w:val="nil"/>
              <w:bottom w:val="single" w:sz="4" w:space="0" w:color="auto"/>
              <w:right w:val="single" w:sz="4" w:space="0" w:color="auto"/>
            </w:tcBorders>
            <w:shd w:val="clear" w:color="000000" w:fill="FFFFFF"/>
            <w:noWrap/>
            <w:vAlign w:val="bottom"/>
            <w:hideMark/>
          </w:tcPr>
          <w:p w14:paraId="386E65FA" w14:textId="4E0BBB56"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541,800</w:t>
            </w:r>
          </w:p>
        </w:tc>
        <w:tc>
          <w:tcPr>
            <w:tcW w:w="349" w:type="pct"/>
            <w:tcBorders>
              <w:top w:val="nil"/>
              <w:left w:val="nil"/>
              <w:bottom w:val="single" w:sz="4" w:space="0" w:color="auto"/>
              <w:right w:val="single" w:sz="4" w:space="0" w:color="auto"/>
            </w:tcBorders>
            <w:shd w:val="clear" w:color="000000" w:fill="FFFFFF"/>
            <w:noWrap/>
            <w:vAlign w:val="bottom"/>
            <w:hideMark/>
          </w:tcPr>
          <w:p w14:paraId="7E4AF5AB" w14:textId="3A241A28"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548,100</w:t>
            </w:r>
          </w:p>
        </w:tc>
        <w:tc>
          <w:tcPr>
            <w:tcW w:w="349" w:type="pct"/>
            <w:tcBorders>
              <w:top w:val="nil"/>
              <w:left w:val="nil"/>
              <w:bottom w:val="single" w:sz="4" w:space="0" w:color="auto"/>
              <w:right w:val="single" w:sz="4" w:space="0" w:color="auto"/>
            </w:tcBorders>
            <w:shd w:val="clear" w:color="000000" w:fill="FFFFFF"/>
            <w:noWrap/>
            <w:vAlign w:val="bottom"/>
            <w:hideMark/>
          </w:tcPr>
          <w:p w14:paraId="1CBF96C3" w14:textId="6EB9654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903,150</w:t>
            </w:r>
          </w:p>
        </w:tc>
        <w:tc>
          <w:tcPr>
            <w:tcW w:w="349" w:type="pct"/>
            <w:tcBorders>
              <w:top w:val="nil"/>
              <w:left w:val="nil"/>
              <w:bottom w:val="single" w:sz="4" w:space="0" w:color="auto"/>
              <w:right w:val="single" w:sz="4" w:space="0" w:color="auto"/>
            </w:tcBorders>
            <w:shd w:val="clear" w:color="000000" w:fill="FFFFFF"/>
            <w:noWrap/>
            <w:vAlign w:val="bottom"/>
            <w:hideMark/>
          </w:tcPr>
          <w:p w14:paraId="7D077135" w14:textId="053AD68F"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1,184,100</w:t>
            </w:r>
          </w:p>
        </w:tc>
        <w:tc>
          <w:tcPr>
            <w:tcW w:w="349" w:type="pct"/>
            <w:tcBorders>
              <w:top w:val="nil"/>
              <w:left w:val="nil"/>
              <w:bottom w:val="single" w:sz="4" w:space="0" w:color="auto"/>
              <w:right w:val="single" w:sz="4" w:space="0" w:color="auto"/>
            </w:tcBorders>
            <w:shd w:val="clear" w:color="000000" w:fill="FFFFFF"/>
            <w:noWrap/>
            <w:vAlign w:val="bottom"/>
            <w:hideMark/>
          </w:tcPr>
          <w:p w14:paraId="218EEB34" w14:textId="3C5CCCF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501,450</w:t>
            </w:r>
          </w:p>
        </w:tc>
        <w:tc>
          <w:tcPr>
            <w:tcW w:w="349" w:type="pct"/>
            <w:tcBorders>
              <w:top w:val="nil"/>
              <w:left w:val="nil"/>
              <w:bottom w:val="single" w:sz="4" w:space="0" w:color="auto"/>
              <w:right w:val="single" w:sz="4" w:space="0" w:color="auto"/>
            </w:tcBorders>
            <w:shd w:val="clear" w:color="000000" w:fill="FFFFFF"/>
            <w:noWrap/>
            <w:vAlign w:val="bottom"/>
            <w:hideMark/>
          </w:tcPr>
          <w:p w14:paraId="02E1E191" w14:textId="1CAC2C7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618,000</w:t>
            </w:r>
          </w:p>
        </w:tc>
        <w:tc>
          <w:tcPr>
            <w:tcW w:w="379" w:type="pct"/>
            <w:tcBorders>
              <w:top w:val="nil"/>
              <w:left w:val="nil"/>
              <w:bottom w:val="single" w:sz="4" w:space="0" w:color="auto"/>
              <w:right w:val="single" w:sz="8" w:space="0" w:color="auto"/>
            </w:tcBorders>
            <w:shd w:val="clear" w:color="000000" w:fill="FFFFFF"/>
            <w:noWrap/>
            <w:vAlign w:val="bottom"/>
            <w:hideMark/>
          </w:tcPr>
          <w:p w14:paraId="2E972994" w14:textId="7FD25BE0"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9,356,100</w:t>
            </w:r>
          </w:p>
        </w:tc>
      </w:tr>
      <w:tr w:rsidR="00CA1084" w:rsidRPr="00E47FB2" w14:paraId="4672F116"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6EB3A0CB"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Pitahaya</w:t>
            </w:r>
          </w:p>
        </w:tc>
        <w:tc>
          <w:tcPr>
            <w:tcW w:w="349" w:type="pct"/>
            <w:tcBorders>
              <w:top w:val="nil"/>
              <w:left w:val="nil"/>
              <w:bottom w:val="single" w:sz="4" w:space="0" w:color="auto"/>
              <w:right w:val="single" w:sz="4" w:space="0" w:color="auto"/>
            </w:tcBorders>
            <w:shd w:val="clear" w:color="000000" w:fill="FFFFFF"/>
            <w:noWrap/>
            <w:vAlign w:val="bottom"/>
            <w:hideMark/>
          </w:tcPr>
          <w:p w14:paraId="7C2C6F79" w14:textId="73D4F4F6"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32</w:t>
            </w:r>
          </w:p>
        </w:tc>
        <w:tc>
          <w:tcPr>
            <w:tcW w:w="349" w:type="pct"/>
            <w:tcBorders>
              <w:top w:val="nil"/>
              <w:left w:val="nil"/>
              <w:bottom w:val="single" w:sz="4" w:space="0" w:color="auto"/>
              <w:right w:val="single" w:sz="4" w:space="0" w:color="auto"/>
            </w:tcBorders>
            <w:shd w:val="clear" w:color="000000" w:fill="FFFFFF"/>
            <w:noWrap/>
            <w:vAlign w:val="bottom"/>
            <w:hideMark/>
          </w:tcPr>
          <w:p w14:paraId="4FBD6C2B" w14:textId="154C5F11"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14</w:t>
            </w:r>
          </w:p>
        </w:tc>
        <w:tc>
          <w:tcPr>
            <w:tcW w:w="349" w:type="pct"/>
            <w:tcBorders>
              <w:top w:val="nil"/>
              <w:left w:val="nil"/>
              <w:bottom w:val="single" w:sz="4" w:space="0" w:color="auto"/>
              <w:right w:val="single" w:sz="4" w:space="0" w:color="auto"/>
            </w:tcBorders>
            <w:shd w:val="clear" w:color="000000" w:fill="FFFFFF"/>
            <w:noWrap/>
            <w:vAlign w:val="bottom"/>
            <w:hideMark/>
          </w:tcPr>
          <w:p w14:paraId="30EB8729" w14:textId="325C4D3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21</w:t>
            </w:r>
          </w:p>
        </w:tc>
        <w:tc>
          <w:tcPr>
            <w:tcW w:w="349" w:type="pct"/>
            <w:tcBorders>
              <w:top w:val="nil"/>
              <w:left w:val="nil"/>
              <w:bottom w:val="single" w:sz="4" w:space="0" w:color="auto"/>
              <w:right w:val="single" w:sz="4" w:space="0" w:color="auto"/>
            </w:tcBorders>
            <w:shd w:val="clear" w:color="000000" w:fill="FFFFFF"/>
            <w:noWrap/>
            <w:vAlign w:val="bottom"/>
            <w:hideMark/>
          </w:tcPr>
          <w:p w14:paraId="56AD0C0E" w14:textId="41F96B0E"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w:t>
            </w:r>
          </w:p>
        </w:tc>
        <w:tc>
          <w:tcPr>
            <w:tcW w:w="349" w:type="pct"/>
            <w:tcBorders>
              <w:top w:val="nil"/>
              <w:left w:val="nil"/>
              <w:bottom w:val="single" w:sz="4" w:space="0" w:color="auto"/>
              <w:right w:val="single" w:sz="4" w:space="0" w:color="auto"/>
            </w:tcBorders>
            <w:shd w:val="clear" w:color="000000" w:fill="FFFFFF"/>
            <w:noWrap/>
            <w:vAlign w:val="bottom"/>
            <w:hideMark/>
          </w:tcPr>
          <w:p w14:paraId="47B45EF6" w14:textId="6F04CFC2"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w:t>
            </w:r>
          </w:p>
        </w:tc>
        <w:tc>
          <w:tcPr>
            <w:tcW w:w="349" w:type="pct"/>
            <w:tcBorders>
              <w:top w:val="nil"/>
              <w:left w:val="nil"/>
              <w:bottom w:val="single" w:sz="4" w:space="0" w:color="auto"/>
              <w:right w:val="single" w:sz="4" w:space="0" w:color="auto"/>
            </w:tcBorders>
            <w:shd w:val="clear" w:color="000000" w:fill="FFFFFF"/>
            <w:noWrap/>
            <w:vAlign w:val="bottom"/>
            <w:hideMark/>
          </w:tcPr>
          <w:p w14:paraId="6DABD017" w14:textId="5C178B0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54</w:t>
            </w:r>
          </w:p>
        </w:tc>
        <w:tc>
          <w:tcPr>
            <w:tcW w:w="349" w:type="pct"/>
            <w:tcBorders>
              <w:top w:val="nil"/>
              <w:left w:val="nil"/>
              <w:bottom w:val="single" w:sz="4" w:space="0" w:color="auto"/>
              <w:right w:val="single" w:sz="4" w:space="0" w:color="auto"/>
            </w:tcBorders>
            <w:shd w:val="clear" w:color="000000" w:fill="FFFFFF"/>
            <w:noWrap/>
            <w:vAlign w:val="bottom"/>
            <w:hideMark/>
          </w:tcPr>
          <w:p w14:paraId="735B028E" w14:textId="70B2C4A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325</w:t>
            </w:r>
          </w:p>
        </w:tc>
        <w:tc>
          <w:tcPr>
            <w:tcW w:w="349" w:type="pct"/>
            <w:tcBorders>
              <w:top w:val="nil"/>
              <w:left w:val="nil"/>
              <w:bottom w:val="single" w:sz="4" w:space="0" w:color="auto"/>
              <w:right w:val="single" w:sz="4" w:space="0" w:color="auto"/>
            </w:tcBorders>
            <w:shd w:val="clear" w:color="000000" w:fill="FFFFFF"/>
            <w:noWrap/>
            <w:vAlign w:val="bottom"/>
            <w:hideMark/>
          </w:tcPr>
          <w:p w14:paraId="057DF9B3" w14:textId="57C5D48B"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522</w:t>
            </w:r>
          </w:p>
        </w:tc>
        <w:tc>
          <w:tcPr>
            <w:tcW w:w="349" w:type="pct"/>
            <w:tcBorders>
              <w:top w:val="nil"/>
              <w:left w:val="nil"/>
              <w:bottom w:val="single" w:sz="4" w:space="0" w:color="auto"/>
              <w:right w:val="single" w:sz="4" w:space="0" w:color="auto"/>
            </w:tcBorders>
            <w:shd w:val="clear" w:color="000000" w:fill="FFFFFF"/>
            <w:noWrap/>
            <w:vAlign w:val="bottom"/>
            <w:hideMark/>
          </w:tcPr>
          <w:p w14:paraId="4CE10219" w14:textId="1AAAF74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659</w:t>
            </w:r>
          </w:p>
        </w:tc>
        <w:tc>
          <w:tcPr>
            <w:tcW w:w="349" w:type="pct"/>
            <w:tcBorders>
              <w:top w:val="nil"/>
              <w:left w:val="nil"/>
              <w:bottom w:val="single" w:sz="4" w:space="0" w:color="auto"/>
              <w:right w:val="single" w:sz="4" w:space="0" w:color="auto"/>
            </w:tcBorders>
            <w:shd w:val="clear" w:color="000000" w:fill="FFFFFF"/>
            <w:noWrap/>
            <w:vAlign w:val="bottom"/>
            <w:hideMark/>
          </w:tcPr>
          <w:p w14:paraId="6F1A4A27" w14:textId="6A4F633E"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385</w:t>
            </w:r>
          </w:p>
        </w:tc>
        <w:tc>
          <w:tcPr>
            <w:tcW w:w="349" w:type="pct"/>
            <w:tcBorders>
              <w:top w:val="nil"/>
              <w:left w:val="nil"/>
              <w:bottom w:val="single" w:sz="4" w:space="0" w:color="auto"/>
              <w:right w:val="single" w:sz="4" w:space="0" w:color="auto"/>
            </w:tcBorders>
            <w:shd w:val="clear" w:color="000000" w:fill="FFFFFF"/>
            <w:noWrap/>
            <w:vAlign w:val="bottom"/>
            <w:hideMark/>
          </w:tcPr>
          <w:p w14:paraId="5E9BA889" w14:textId="2E28A21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108</w:t>
            </w:r>
          </w:p>
        </w:tc>
        <w:tc>
          <w:tcPr>
            <w:tcW w:w="349" w:type="pct"/>
            <w:tcBorders>
              <w:top w:val="nil"/>
              <w:left w:val="nil"/>
              <w:bottom w:val="single" w:sz="4" w:space="0" w:color="auto"/>
              <w:right w:val="single" w:sz="4" w:space="0" w:color="auto"/>
            </w:tcBorders>
            <w:shd w:val="clear" w:color="000000" w:fill="FFFFFF"/>
            <w:noWrap/>
            <w:vAlign w:val="bottom"/>
            <w:hideMark/>
          </w:tcPr>
          <w:p w14:paraId="149D7F0B" w14:textId="086749EE"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11</w:t>
            </w:r>
          </w:p>
        </w:tc>
        <w:tc>
          <w:tcPr>
            <w:tcW w:w="379" w:type="pct"/>
            <w:tcBorders>
              <w:top w:val="nil"/>
              <w:left w:val="nil"/>
              <w:bottom w:val="single" w:sz="4" w:space="0" w:color="auto"/>
              <w:right w:val="single" w:sz="8" w:space="0" w:color="auto"/>
            </w:tcBorders>
            <w:shd w:val="clear" w:color="000000" w:fill="FFFFFF"/>
            <w:noWrap/>
            <w:vAlign w:val="bottom"/>
            <w:hideMark/>
          </w:tcPr>
          <w:p w14:paraId="791F725A" w14:textId="7BBE9526"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2,134</w:t>
            </w:r>
          </w:p>
        </w:tc>
      </w:tr>
      <w:tr w:rsidR="00CA1084" w:rsidRPr="00E47FB2" w14:paraId="14E04F66"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4297C5B7"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Zapote</w:t>
            </w:r>
          </w:p>
        </w:tc>
        <w:tc>
          <w:tcPr>
            <w:tcW w:w="349" w:type="pct"/>
            <w:tcBorders>
              <w:top w:val="nil"/>
              <w:left w:val="nil"/>
              <w:bottom w:val="single" w:sz="4" w:space="0" w:color="auto"/>
              <w:right w:val="single" w:sz="4" w:space="0" w:color="auto"/>
            </w:tcBorders>
            <w:shd w:val="clear" w:color="000000" w:fill="FFFFFF"/>
            <w:noWrap/>
            <w:vAlign w:val="bottom"/>
            <w:hideMark/>
          </w:tcPr>
          <w:p w14:paraId="5388C676" w14:textId="3C9D5FDB"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74,805</w:t>
            </w:r>
          </w:p>
        </w:tc>
        <w:tc>
          <w:tcPr>
            <w:tcW w:w="349" w:type="pct"/>
            <w:tcBorders>
              <w:top w:val="nil"/>
              <w:left w:val="nil"/>
              <w:bottom w:val="single" w:sz="4" w:space="0" w:color="auto"/>
              <w:right w:val="single" w:sz="4" w:space="0" w:color="auto"/>
            </w:tcBorders>
            <w:shd w:val="clear" w:color="000000" w:fill="FFFFFF"/>
            <w:noWrap/>
            <w:vAlign w:val="bottom"/>
            <w:hideMark/>
          </w:tcPr>
          <w:p w14:paraId="4132738F" w14:textId="6A436B2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145,560</w:t>
            </w:r>
          </w:p>
        </w:tc>
        <w:tc>
          <w:tcPr>
            <w:tcW w:w="349" w:type="pct"/>
            <w:tcBorders>
              <w:top w:val="nil"/>
              <w:left w:val="nil"/>
              <w:bottom w:val="single" w:sz="4" w:space="0" w:color="auto"/>
              <w:right w:val="single" w:sz="4" w:space="0" w:color="auto"/>
            </w:tcBorders>
            <w:shd w:val="clear" w:color="000000" w:fill="FFFFFF"/>
            <w:noWrap/>
            <w:vAlign w:val="bottom"/>
            <w:hideMark/>
          </w:tcPr>
          <w:p w14:paraId="478814DB" w14:textId="54932C2E"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353,205</w:t>
            </w:r>
          </w:p>
        </w:tc>
        <w:tc>
          <w:tcPr>
            <w:tcW w:w="349" w:type="pct"/>
            <w:tcBorders>
              <w:top w:val="nil"/>
              <w:left w:val="nil"/>
              <w:bottom w:val="single" w:sz="4" w:space="0" w:color="auto"/>
              <w:right w:val="single" w:sz="4" w:space="0" w:color="auto"/>
            </w:tcBorders>
            <w:shd w:val="clear" w:color="000000" w:fill="FFFFFF"/>
            <w:noWrap/>
            <w:vAlign w:val="bottom"/>
            <w:hideMark/>
          </w:tcPr>
          <w:p w14:paraId="4A950294" w14:textId="45DE5E9D"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104,535</w:t>
            </w:r>
          </w:p>
        </w:tc>
        <w:tc>
          <w:tcPr>
            <w:tcW w:w="349" w:type="pct"/>
            <w:tcBorders>
              <w:top w:val="nil"/>
              <w:left w:val="nil"/>
              <w:bottom w:val="single" w:sz="4" w:space="0" w:color="auto"/>
              <w:right w:val="single" w:sz="4" w:space="0" w:color="auto"/>
            </w:tcBorders>
            <w:shd w:val="clear" w:color="000000" w:fill="FFFFFF"/>
            <w:noWrap/>
            <w:vAlign w:val="bottom"/>
            <w:hideMark/>
          </w:tcPr>
          <w:p w14:paraId="5190CC9E" w14:textId="07BCC460"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123,675</w:t>
            </w:r>
          </w:p>
        </w:tc>
        <w:tc>
          <w:tcPr>
            <w:tcW w:w="349" w:type="pct"/>
            <w:tcBorders>
              <w:top w:val="nil"/>
              <w:left w:val="nil"/>
              <w:bottom w:val="single" w:sz="4" w:space="0" w:color="auto"/>
              <w:right w:val="single" w:sz="4" w:space="0" w:color="auto"/>
            </w:tcBorders>
            <w:shd w:val="clear" w:color="000000" w:fill="FFFFFF"/>
            <w:noWrap/>
            <w:vAlign w:val="bottom"/>
            <w:hideMark/>
          </w:tcPr>
          <w:p w14:paraId="3B06B5F8" w14:textId="27C591D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141,870</w:t>
            </w:r>
          </w:p>
        </w:tc>
        <w:tc>
          <w:tcPr>
            <w:tcW w:w="349" w:type="pct"/>
            <w:tcBorders>
              <w:top w:val="nil"/>
              <w:left w:val="nil"/>
              <w:bottom w:val="single" w:sz="4" w:space="0" w:color="auto"/>
              <w:right w:val="single" w:sz="4" w:space="0" w:color="auto"/>
            </w:tcBorders>
            <w:shd w:val="clear" w:color="000000" w:fill="FFFFFF"/>
            <w:noWrap/>
            <w:vAlign w:val="bottom"/>
            <w:hideMark/>
          </w:tcPr>
          <w:p w14:paraId="0B7FCC81" w14:textId="79B0AEF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140,340</w:t>
            </w:r>
          </w:p>
        </w:tc>
        <w:tc>
          <w:tcPr>
            <w:tcW w:w="349" w:type="pct"/>
            <w:tcBorders>
              <w:top w:val="nil"/>
              <w:left w:val="nil"/>
              <w:bottom w:val="single" w:sz="4" w:space="0" w:color="auto"/>
              <w:right w:val="single" w:sz="4" w:space="0" w:color="auto"/>
            </w:tcBorders>
            <w:shd w:val="clear" w:color="000000" w:fill="FFFFFF"/>
            <w:noWrap/>
            <w:vAlign w:val="bottom"/>
            <w:hideMark/>
          </w:tcPr>
          <w:p w14:paraId="40D5296F" w14:textId="1E9330B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488,160</w:t>
            </w:r>
          </w:p>
        </w:tc>
        <w:tc>
          <w:tcPr>
            <w:tcW w:w="349" w:type="pct"/>
            <w:tcBorders>
              <w:top w:val="nil"/>
              <w:left w:val="nil"/>
              <w:bottom w:val="single" w:sz="4" w:space="0" w:color="auto"/>
              <w:right w:val="single" w:sz="4" w:space="0" w:color="auto"/>
            </w:tcBorders>
            <w:shd w:val="clear" w:color="000000" w:fill="FFFFFF"/>
            <w:noWrap/>
            <w:vAlign w:val="bottom"/>
            <w:hideMark/>
          </w:tcPr>
          <w:p w14:paraId="4CA3667C" w14:textId="7EAC6657"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192,810</w:t>
            </w:r>
          </w:p>
        </w:tc>
        <w:tc>
          <w:tcPr>
            <w:tcW w:w="349" w:type="pct"/>
            <w:tcBorders>
              <w:top w:val="nil"/>
              <w:left w:val="nil"/>
              <w:bottom w:val="single" w:sz="4" w:space="0" w:color="auto"/>
              <w:right w:val="single" w:sz="4" w:space="0" w:color="auto"/>
            </w:tcBorders>
            <w:shd w:val="clear" w:color="000000" w:fill="FFFFFF"/>
            <w:noWrap/>
            <w:vAlign w:val="bottom"/>
            <w:hideMark/>
          </w:tcPr>
          <w:p w14:paraId="339F70C0" w14:textId="28D4C42F"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158,970</w:t>
            </w:r>
          </w:p>
        </w:tc>
        <w:tc>
          <w:tcPr>
            <w:tcW w:w="349" w:type="pct"/>
            <w:tcBorders>
              <w:top w:val="nil"/>
              <w:left w:val="nil"/>
              <w:bottom w:val="single" w:sz="4" w:space="0" w:color="auto"/>
              <w:right w:val="single" w:sz="4" w:space="0" w:color="auto"/>
            </w:tcBorders>
            <w:shd w:val="clear" w:color="000000" w:fill="FFFFFF"/>
            <w:noWrap/>
            <w:vAlign w:val="bottom"/>
            <w:hideMark/>
          </w:tcPr>
          <w:p w14:paraId="06B53717" w14:textId="4431C41F"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109,830</w:t>
            </w:r>
          </w:p>
        </w:tc>
        <w:tc>
          <w:tcPr>
            <w:tcW w:w="349" w:type="pct"/>
            <w:tcBorders>
              <w:top w:val="nil"/>
              <w:left w:val="nil"/>
              <w:bottom w:val="single" w:sz="4" w:space="0" w:color="auto"/>
              <w:right w:val="single" w:sz="4" w:space="0" w:color="auto"/>
            </w:tcBorders>
            <w:shd w:val="clear" w:color="000000" w:fill="FFFFFF"/>
            <w:noWrap/>
            <w:vAlign w:val="bottom"/>
            <w:hideMark/>
          </w:tcPr>
          <w:p w14:paraId="710F2FD0" w14:textId="0D12A95F"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119,370</w:t>
            </w:r>
          </w:p>
        </w:tc>
        <w:tc>
          <w:tcPr>
            <w:tcW w:w="379" w:type="pct"/>
            <w:tcBorders>
              <w:top w:val="nil"/>
              <w:left w:val="nil"/>
              <w:bottom w:val="single" w:sz="4" w:space="0" w:color="auto"/>
              <w:right w:val="single" w:sz="8" w:space="0" w:color="auto"/>
            </w:tcBorders>
            <w:shd w:val="clear" w:color="000000" w:fill="FFFFFF"/>
            <w:noWrap/>
            <w:vAlign w:val="bottom"/>
            <w:hideMark/>
          </w:tcPr>
          <w:p w14:paraId="6EAA432F" w14:textId="16CCC978"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2,153,130</w:t>
            </w:r>
          </w:p>
        </w:tc>
      </w:tr>
      <w:tr w:rsidR="00CA1084" w:rsidRPr="00E47FB2" w14:paraId="3FD7EC51"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7C52B020"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Guineo</w:t>
            </w:r>
          </w:p>
        </w:tc>
        <w:tc>
          <w:tcPr>
            <w:tcW w:w="349" w:type="pct"/>
            <w:tcBorders>
              <w:top w:val="nil"/>
              <w:left w:val="nil"/>
              <w:bottom w:val="single" w:sz="4" w:space="0" w:color="auto"/>
              <w:right w:val="single" w:sz="4" w:space="0" w:color="auto"/>
            </w:tcBorders>
            <w:shd w:val="clear" w:color="000000" w:fill="FFFFFF"/>
            <w:noWrap/>
            <w:vAlign w:val="bottom"/>
            <w:hideMark/>
          </w:tcPr>
          <w:p w14:paraId="0B3BC50C" w14:textId="14ED1F38"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1,872,272</w:t>
            </w:r>
          </w:p>
        </w:tc>
        <w:tc>
          <w:tcPr>
            <w:tcW w:w="349" w:type="pct"/>
            <w:tcBorders>
              <w:top w:val="nil"/>
              <w:left w:val="nil"/>
              <w:bottom w:val="single" w:sz="4" w:space="0" w:color="auto"/>
              <w:right w:val="single" w:sz="4" w:space="0" w:color="auto"/>
            </w:tcBorders>
            <w:shd w:val="clear" w:color="000000" w:fill="FFFFFF"/>
            <w:noWrap/>
            <w:vAlign w:val="bottom"/>
            <w:hideMark/>
          </w:tcPr>
          <w:p w14:paraId="0F0315EF" w14:textId="31F1203B"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2,125,844</w:t>
            </w:r>
          </w:p>
        </w:tc>
        <w:tc>
          <w:tcPr>
            <w:tcW w:w="349" w:type="pct"/>
            <w:tcBorders>
              <w:top w:val="nil"/>
              <w:left w:val="nil"/>
              <w:bottom w:val="single" w:sz="4" w:space="0" w:color="auto"/>
              <w:right w:val="single" w:sz="4" w:space="0" w:color="auto"/>
            </w:tcBorders>
            <w:shd w:val="clear" w:color="000000" w:fill="FFFFFF"/>
            <w:noWrap/>
            <w:vAlign w:val="bottom"/>
            <w:hideMark/>
          </w:tcPr>
          <w:p w14:paraId="046D2AA0" w14:textId="4281BB0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2,173,903</w:t>
            </w:r>
          </w:p>
        </w:tc>
        <w:tc>
          <w:tcPr>
            <w:tcW w:w="349" w:type="pct"/>
            <w:tcBorders>
              <w:top w:val="nil"/>
              <w:left w:val="nil"/>
              <w:bottom w:val="single" w:sz="4" w:space="0" w:color="auto"/>
              <w:right w:val="single" w:sz="4" w:space="0" w:color="auto"/>
            </w:tcBorders>
            <w:shd w:val="clear" w:color="000000" w:fill="FFFFFF"/>
            <w:noWrap/>
            <w:vAlign w:val="bottom"/>
            <w:hideMark/>
          </w:tcPr>
          <w:p w14:paraId="6B08E376" w14:textId="6A46A181"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2,294,707</w:t>
            </w:r>
          </w:p>
        </w:tc>
        <w:tc>
          <w:tcPr>
            <w:tcW w:w="349" w:type="pct"/>
            <w:tcBorders>
              <w:top w:val="nil"/>
              <w:left w:val="nil"/>
              <w:bottom w:val="single" w:sz="4" w:space="0" w:color="auto"/>
              <w:right w:val="single" w:sz="4" w:space="0" w:color="auto"/>
            </w:tcBorders>
            <w:shd w:val="clear" w:color="000000" w:fill="FFFFFF"/>
            <w:noWrap/>
            <w:vAlign w:val="bottom"/>
            <w:hideMark/>
          </w:tcPr>
          <w:p w14:paraId="4F0B0D91" w14:textId="7548242B"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2,314,447</w:t>
            </w:r>
          </w:p>
        </w:tc>
        <w:tc>
          <w:tcPr>
            <w:tcW w:w="349" w:type="pct"/>
            <w:tcBorders>
              <w:top w:val="nil"/>
              <w:left w:val="nil"/>
              <w:bottom w:val="single" w:sz="4" w:space="0" w:color="auto"/>
              <w:right w:val="single" w:sz="4" w:space="0" w:color="auto"/>
            </w:tcBorders>
            <w:shd w:val="clear" w:color="000000" w:fill="FFFFFF"/>
            <w:noWrap/>
            <w:vAlign w:val="bottom"/>
            <w:hideMark/>
          </w:tcPr>
          <w:p w14:paraId="76145C7F" w14:textId="056F01AE"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2,391,299</w:t>
            </w:r>
          </w:p>
        </w:tc>
        <w:tc>
          <w:tcPr>
            <w:tcW w:w="349" w:type="pct"/>
            <w:tcBorders>
              <w:top w:val="nil"/>
              <w:left w:val="nil"/>
              <w:bottom w:val="single" w:sz="4" w:space="0" w:color="auto"/>
              <w:right w:val="single" w:sz="4" w:space="0" w:color="auto"/>
            </w:tcBorders>
            <w:shd w:val="clear" w:color="000000" w:fill="FFFFFF"/>
            <w:noWrap/>
            <w:vAlign w:val="bottom"/>
            <w:hideMark/>
          </w:tcPr>
          <w:p w14:paraId="062D78C3" w14:textId="311B61E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2,472,013</w:t>
            </w:r>
          </w:p>
        </w:tc>
        <w:tc>
          <w:tcPr>
            <w:tcW w:w="349" w:type="pct"/>
            <w:tcBorders>
              <w:top w:val="nil"/>
              <w:left w:val="nil"/>
              <w:bottom w:val="single" w:sz="4" w:space="0" w:color="auto"/>
              <w:right w:val="single" w:sz="4" w:space="0" w:color="auto"/>
            </w:tcBorders>
            <w:shd w:val="clear" w:color="000000" w:fill="FFFFFF"/>
            <w:noWrap/>
            <w:vAlign w:val="bottom"/>
            <w:hideMark/>
          </w:tcPr>
          <w:p w14:paraId="197E97CD" w14:textId="10BFB896"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2,475,506</w:t>
            </w:r>
          </w:p>
        </w:tc>
        <w:tc>
          <w:tcPr>
            <w:tcW w:w="349" w:type="pct"/>
            <w:tcBorders>
              <w:top w:val="nil"/>
              <w:left w:val="nil"/>
              <w:bottom w:val="single" w:sz="4" w:space="0" w:color="auto"/>
              <w:right w:val="single" w:sz="4" w:space="0" w:color="auto"/>
            </w:tcBorders>
            <w:shd w:val="clear" w:color="000000" w:fill="FFFFFF"/>
            <w:noWrap/>
            <w:vAlign w:val="bottom"/>
            <w:hideMark/>
          </w:tcPr>
          <w:p w14:paraId="2892477A" w14:textId="2837ED15"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2,153,671</w:t>
            </w:r>
          </w:p>
        </w:tc>
        <w:tc>
          <w:tcPr>
            <w:tcW w:w="349" w:type="pct"/>
            <w:tcBorders>
              <w:top w:val="nil"/>
              <w:left w:val="nil"/>
              <w:bottom w:val="single" w:sz="4" w:space="0" w:color="auto"/>
              <w:right w:val="single" w:sz="4" w:space="0" w:color="auto"/>
            </w:tcBorders>
            <w:shd w:val="clear" w:color="000000" w:fill="FFFFFF"/>
            <w:noWrap/>
            <w:vAlign w:val="bottom"/>
            <w:hideMark/>
          </w:tcPr>
          <w:p w14:paraId="0ECCC90C" w14:textId="7DB68746"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2,461,273</w:t>
            </w:r>
          </w:p>
        </w:tc>
        <w:tc>
          <w:tcPr>
            <w:tcW w:w="349" w:type="pct"/>
            <w:tcBorders>
              <w:top w:val="nil"/>
              <w:left w:val="nil"/>
              <w:bottom w:val="single" w:sz="4" w:space="0" w:color="auto"/>
              <w:right w:val="single" w:sz="4" w:space="0" w:color="auto"/>
            </w:tcBorders>
            <w:shd w:val="clear" w:color="000000" w:fill="FFFFFF"/>
            <w:noWrap/>
            <w:vAlign w:val="bottom"/>
            <w:hideMark/>
          </w:tcPr>
          <w:p w14:paraId="61498DE6" w14:textId="1F9810C5"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1,725,486</w:t>
            </w:r>
          </w:p>
        </w:tc>
        <w:tc>
          <w:tcPr>
            <w:tcW w:w="349" w:type="pct"/>
            <w:tcBorders>
              <w:top w:val="nil"/>
              <w:left w:val="nil"/>
              <w:bottom w:val="single" w:sz="4" w:space="0" w:color="auto"/>
              <w:right w:val="single" w:sz="4" w:space="0" w:color="auto"/>
            </w:tcBorders>
            <w:shd w:val="clear" w:color="000000" w:fill="FFFFFF"/>
            <w:noWrap/>
            <w:vAlign w:val="bottom"/>
            <w:hideMark/>
          </w:tcPr>
          <w:p w14:paraId="5DD5A7C4" w14:textId="40DBD37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2,192,729</w:t>
            </w:r>
          </w:p>
        </w:tc>
        <w:tc>
          <w:tcPr>
            <w:tcW w:w="379" w:type="pct"/>
            <w:tcBorders>
              <w:top w:val="nil"/>
              <w:left w:val="nil"/>
              <w:bottom w:val="single" w:sz="4" w:space="0" w:color="auto"/>
              <w:right w:val="single" w:sz="8" w:space="0" w:color="auto"/>
            </w:tcBorders>
            <w:shd w:val="clear" w:color="000000" w:fill="FFFFFF"/>
            <w:noWrap/>
            <w:vAlign w:val="bottom"/>
            <w:hideMark/>
          </w:tcPr>
          <w:p w14:paraId="6891E3AA" w14:textId="46613F36"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26,653,151</w:t>
            </w:r>
          </w:p>
        </w:tc>
      </w:tr>
      <w:tr w:rsidR="00CA1084" w:rsidRPr="00E47FB2" w14:paraId="63AA3D2C" w14:textId="77777777" w:rsidTr="00CA1084">
        <w:trPr>
          <w:trHeight w:val="96"/>
          <w:jc w:val="center"/>
        </w:trPr>
        <w:tc>
          <w:tcPr>
            <w:tcW w:w="438" w:type="pct"/>
            <w:tcBorders>
              <w:top w:val="nil"/>
              <w:left w:val="single" w:sz="8" w:space="0" w:color="auto"/>
              <w:bottom w:val="single" w:sz="4" w:space="0" w:color="auto"/>
              <w:right w:val="single" w:sz="4" w:space="0" w:color="auto"/>
            </w:tcBorders>
            <w:shd w:val="clear" w:color="auto" w:fill="auto"/>
            <w:noWrap/>
            <w:vAlign w:val="bottom"/>
            <w:hideMark/>
          </w:tcPr>
          <w:p w14:paraId="5991A70E" w14:textId="77777777" w:rsidR="00CA1084" w:rsidRPr="00E47FB2" w:rsidRDefault="00CA1084" w:rsidP="00CA1084">
            <w:pPr>
              <w:spacing w:after="0"/>
              <w:rPr>
                <w:rFonts w:ascii="Times New Roman" w:hAnsi="Times New Roman"/>
                <w:sz w:val="20"/>
                <w:szCs w:val="20"/>
                <w:lang w:val="en-US" w:eastAsia="en-US"/>
              </w:rPr>
            </w:pPr>
            <w:r w:rsidRPr="00E47FB2">
              <w:rPr>
                <w:rFonts w:ascii="Times New Roman" w:hAnsi="Times New Roman"/>
                <w:sz w:val="20"/>
                <w:szCs w:val="20"/>
                <w:lang w:val="en-US" w:eastAsia="en-US"/>
              </w:rPr>
              <w:t>Plátano</w:t>
            </w:r>
          </w:p>
        </w:tc>
        <w:tc>
          <w:tcPr>
            <w:tcW w:w="349" w:type="pct"/>
            <w:tcBorders>
              <w:top w:val="nil"/>
              <w:left w:val="nil"/>
              <w:bottom w:val="single" w:sz="4" w:space="0" w:color="auto"/>
              <w:right w:val="single" w:sz="4" w:space="0" w:color="auto"/>
            </w:tcBorders>
            <w:shd w:val="clear" w:color="000000" w:fill="FFFFFF"/>
            <w:noWrap/>
            <w:vAlign w:val="bottom"/>
            <w:hideMark/>
          </w:tcPr>
          <w:p w14:paraId="43C2B6CD" w14:textId="1D06F68C"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1,343,916</w:t>
            </w:r>
          </w:p>
        </w:tc>
        <w:tc>
          <w:tcPr>
            <w:tcW w:w="349" w:type="pct"/>
            <w:tcBorders>
              <w:top w:val="nil"/>
              <w:left w:val="nil"/>
              <w:bottom w:val="single" w:sz="4" w:space="0" w:color="auto"/>
              <w:right w:val="single" w:sz="4" w:space="0" w:color="auto"/>
            </w:tcBorders>
            <w:shd w:val="clear" w:color="000000" w:fill="FFFFFF"/>
            <w:noWrap/>
            <w:vAlign w:val="bottom"/>
            <w:hideMark/>
          </w:tcPr>
          <w:p w14:paraId="1FEBB3D6" w14:textId="71FC45D9"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1,460,088</w:t>
            </w:r>
          </w:p>
        </w:tc>
        <w:tc>
          <w:tcPr>
            <w:tcW w:w="349" w:type="pct"/>
            <w:tcBorders>
              <w:top w:val="nil"/>
              <w:left w:val="nil"/>
              <w:bottom w:val="single" w:sz="4" w:space="0" w:color="auto"/>
              <w:right w:val="single" w:sz="4" w:space="0" w:color="auto"/>
            </w:tcBorders>
            <w:shd w:val="clear" w:color="000000" w:fill="FFFFFF"/>
            <w:noWrap/>
            <w:vAlign w:val="bottom"/>
            <w:hideMark/>
          </w:tcPr>
          <w:p w14:paraId="305ED8A8" w14:textId="70D7FCF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1,649,895</w:t>
            </w:r>
          </w:p>
        </w:tc>
        <w:tc>
          <w:tcPr>
            <w:tcW w:w="349" w:type="pct"/>
            <w:tcBorders>
              <w:top w:val="nil"/>
              <w:left w:val="nil"/>
              <w:bottom w:val="single" w:sz="4" w:space="0" w:color="auto"/>
              <w:right w:val="single" w:sz="4" w:space="0" w:color="auto"/>
            </w:tcBorders>
            <w:shd w:val="clear" w:color="000000" w:fill="FFFFFF"/>
            <w:noWrap/>
            <w:vAlign w:val="bottom"/>
            <w:hideMark/>
          </w:tcPr>
          <w:p w14:paraId="41AA7C8C" w14:textId="61284431"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3,202,623</w:t>
            </w:r>
          </w:p>
        </w:tc>
        <w:tc>
          <w:tcPr>
            <w:tcW w:w="349" w:type="pct"/>
            <w:tcBorders>
              <w:top w:val="nil"/>
              <w:left w:val="nil"/>
              <w:bottom w:val="single" w:sz="4" w:space="0" w:color="auto"/>
              <w:right w:val="single" w:sz="4" w:space="0" w:color="auto"/>
            </w:tcBorders>
            <w:shd w:val="clear" w:color="000000" w:fill="FFFFFF"/>
            <w:noWrap/>
            <w:vAlign w:val="bottom"/>
            <w:hideMark/>
          </w:tcPr>
          <w:p w14:paraId="4478E6B1" w14:textId="32A912B0"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2,839,176</w:t>
            </w:r>
          </w:p>
        </w:tc>
        <w:tc>
          <w:tcPr>
            <w:tcW w:w="349" w:type="pct"/>
            <w:tcBorders>
              <w:top w:val="nil"/>
              <w:left w:val="nil"/>
              <w:bottom w:val="single" w:sz="4" w:space="0" w:color="auto"/>
              <w:right w:val="single" w:sz="4" w:space="0" w:color="auto"/>
            </w:tcBorders>
            <w:shd w:val="clear" w:color="000000" w:fill="FFFFFF"/>
            <w:noWrap/>
            <w:vAlign w:val="bottom"/>
            <w:hideMark/>
          </w:tcPr>
          <w:p w14:paraId="6D36FA5A" w14:textId="4EBBFF90"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1,855,305</w:t>
            </w:r>
          </w:p>
        </w:tc>
        <w:tc>
          <w:tcPr>
            <w:tcW w:w="349" w:type="pct"/>
            <w:tcBorders>
              <w:top w:val="nil"/>
              <w:left w:val="nil"/>
              <w:bottom w:val="single" w:sz="4" w:space="0" w:color="auto"/>
              <w:right w:val="single" w:sz="4" w:space="0" w:color="auto"/>
            </w:tcBorders>
            <w:shd w:val="clear" w:color="000000" w:fill="FFFFFF"/>
            <w:noWrap/>
            <w:vAlign w:val="bottom"/>
            <w:hideMark/>
          </w:tcPr>
          <w:p w14:paraId="712F37AB" w14:textId="7302DD1A"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2,083,122</w:t>
            </w:r>
          </w:p>
        </w:tc>
        <w:tc>
          <w:tcPr>
            <w:tcW w:w="349" w:type="pct"/>
            <w:tcBorders>
              <w:top w:val="nil"/>
              <w:left w:val="nil"/>
              <w:bottom w:val="single" w:sz="4" w:space="0" w:color="auto"/>
              <w:right w:val="single" w:sz="4" w:space="0" w:color="auto"/>
            </w:tcBorders>
            <w:shd w:val="clear" w:color="000000" w:fill="FFFFFF"/>
            <w:noWrap/>
            <w:vAlign w:val="bottom"/>
            <w:hideMark/>
          </w:tcPr>
          <w:p w14:paraId="3B778765" w14:textId="3D7361B6"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2,381,265</w:t>
            </w:r>
          </w:p>
        </w:tc>
        <w:tc>
          <w:tcPr>
            <w:tcW w:w="349" w:type="pct"/>
            <w:tcBorders>
              <w:top w:val="nil"/>
              <w:left w:val="nil"/>
              <w:bottom w:val="single" w:sz="4" w:space="0" w:color="auto"/>
              <w:right w:val="single" w:sz="4" w:space="0" w:color="auto"/>
            </w:tcBorders>
            <w:shd w:val="clear" w:color="000000" w:fill="FFFFFF"/>
            <w:noWrap/>
            <w:vAlign w:val="bottom"/>
            <w:hideMark/>
          </w:tcPr>
          <w:p w14:paraId="7391F34C" w14:textId="3CAC7C7E"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1,836,009</w:t>
            </w:r>
          </w:p>
        </w:tc>
        <w:tc>
          <w:tcPr>
            <w:tcW w:w="349" w:type="pct"/>
            <w:tcBorders>
              <w:top w:val="nil"/>
              <w:left w:val="nil"/>
              <w:bottom w:val="single" w:sz="4" w:space="0" w:color="auto"/>
              <w:right w:val="single" w:sz="4" w:space="0" w:color="auto"/>
            </w:tcBorders>
            <w:shd w:val="clear" w:color="000000" w:fill="FFFFFF"/>
            <w:noWrap/>
            <w:vAlign w:val="bottom"/>
            <w:hideMark/>
          </w:tcPr>
          <w:p w14:paraId="412FA0FF" w14:textId="29D40A4E"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1,418,841</w:t>
            </w:r>
          </w:p>
        </w:tc>
        <w:tc>
          <w:tcPr>
            <w:tcW w:w="349" w:type="pct"/>
            <w:tcBorders>
              <w:top w:val="nil"/>
              <w:left w:val="nil"/>
              <w:bottom w:val="single" w:sz="4" w:space="0" w:color="auto"/>
              <w:right w:val="single" w:sz="4" w:space="0" w:color="auto"/>
            </w:tcBorders>
            <w:shd w:val="clear" w:color="000000" w:fill="FFFFFF"/>
            <w:noWrap/>
            <w:vAlign w:val="bottom"/>
            <w:hideMark/>
          </w:tcPr>
          <w:p w14:paraId="5B40302D" w14:textId="6D46CF53"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1,256,639</w:t>
            </w:r>
          </w:p>
        </w:tc>
        <w:tc>
          <w:tcPr>
            <w:tcW w:w="349" w:type="pct"/>
            <w:tcBorders>
              <w:top w:val="nil"/>
              <w:left w:val="nil"/>
              <w:bottom w:val="single" w:sz="4" w:space="0" w:color="auto"/>
              <w:right w:val="single" w:sz="4" w:space="0" w:color="auto"/>
            </w:tcBorders>
            <w:shd w:val="clear" w:color="000000" w:fill="FFFFFF"/>
            <w:noWrap/>
            <w:vAlign w:val="bottom"/>
            <w:hideMark/>
          </w:tcPr>
          <w:p w14:paraId="48850A82" w14:textId="3A72B920"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1,363,923</w:t>
            </w:r>
          </w:p>
        </w:tc>
        <w:tc>
          <w:tcPr>
            <w:tcW w:w="379" w:type="pct"/>
            <w:tcBorders>
              <w:top w:val="nil"/>
              <w:left w:val="nil"/>
              <w:bottom w:val="single" w:sz="4" w:space="0" w:color="auto"/>
              <w:right w:val="single" w:sz="8" w:space="0" w:color="auto"/>
            </w:tcBorders>
            <w:shd w:val="clear" w:color="000000" w:fill="FFFFFF"/>
            <w:noWrap/>
            <w:vAlign w:val="bottom"/>
            <w:hideMark/>
          </w:tcPr>
          <w:p w14:paraId="32F1071A" w14:textId="2AEA8D35" w:rsidR="00CA1084" w:rsidRPr="00E47FB2" w:rsidRDefault="00CA1084" w:rsidP="00CA1084">
            <w:pPr>
              <w:spacing w:after="0"/>
              <w:jc w:val="right"/>
              <w:rPr>
                <w:rFonts w:ascii="Times New Roman" w:hAnsi="Times New Roman"/>
                <w:sz w:val="18"/>
                <w:szCs w:val="20"/>
              </w:rPr>
            </w:pPr>
            <w:r w:rsidRPr="00E47FB2">
              <w:rPr>
                <w:rFonts w:ascii="Times New Roman" w:hAnsi="Times New Roman"/>
                <w:sz w:val="18"/>
                <w:szCs w:val="20"/>
              </w:rPr>
              <w:t>22,690,802</w:t>
            </w:r>
          </w:p>
        </w:tc>
      </w:tr>
      <w:tr w:rsidR="00CA1084" w:rsidRPr="0084573A" w14:paraId="7D8C3E9A" w14:textId="77777777" w:rsidTr="00CA1084">
        <w:trPr>
          <w:trHeight w:val="96"/>
          <w:jc w:val="center"/>
        </w:trPr>
        <w:tc>
          <w:tcPr>
            <w:tcW w:w="438" w:type="pct"/>
            <w:tcBorders>
              <w:top w:val="nil"/>
              <w:left w:val="single" w:sz="8" w:space="0" w:color="auto"/>
              <w:bottom w:val="single" w:sz="8" w:space="0" w:color="auto"/>
              <w:right w:val="single" w:sz="4" w:space="0" w:color="auto"/>
            </w:tcBorders>
            <w:shd w:val="clear" w:color="auto" w:fill="808080" w:themeFill="background1" w:themeFillShade="80"/>
            <w:noWrap/>
            <w:vAlign w:val="bottom"/>
            <w:hideMark/>
          </w:tcPr>
          <w:p w14:paraId="14F99AD4" w14:textId="77777777" w:rsidR="00CA1084" w:rsidRPr="00E47FB2" w:rsidRDefault="00CA1084" w:rsidP="00CA1084">
            <w:pPr>
              <w:spacing w:after="0"/>
              <w:rPr>
                <w:rFonts w:ascii="Times New Roman" w:hAnsi="Times New Roman"/>
                <w:b/>
                <w:bCs/>
                <w:color w:val="FFFFFF" w:themeColor="background1"/>
                <w:sz w:val="20"/>
                <w:szCs w:val="20"/>
                <w:lang w:val="en-US" w:eastAsia="en-US"/>
              </w:rPr>
            </w:pPr>
            <w:r w:rsidRPr="00E47FB2">
              <w:rPr>
                <w:rFonts w:ascii="Times New Roman" w:hAnsi="Times New Roman"/>
                <w:b/>
                <w:bCs/>
                <w:color w:val="FFFFFF" w:themeColor="background1"/>
                <w:sz w:val="20"/>
                <w:szCs w:val="20"/>
                <w:lang w:val="en-US" w:eastAsia="en-US"/>
              </w:rPr>
              <w:t>Total</w:t>
            </w:r>
          </w:p>
        </w:tc>
        <w:tc>
          <w:tcPr>
            <w:tcW w:w="349" w:type="pct"/>
            <w:tcBorders>
              <w:top w:val="nil"/>
              <w:left w:val="nil"/>
              <w:bottom w:val="single" w:sz="8" w:space="0" w:color="auto"/>
              <w:right w:val="single" w:sz="4" w:space="0" w:color="auto"/>
            </w:tcBorders>
            <w:shd w:val="clear" w:color="auto" w:fill="808080" w:themeFill="background1" w:themeFillShade="80"/>
            <w:noWrap/>
            <w:vAlign w:val="bottom"/>
            <w:hideMark/>
          </w:tcPr>
          <w:p w14:paraId="46B56253" w14:textId="162A4818" w:rsidR="00CA1084" w:rsidRPr="00E47FB2" w:rsidRDefault="00CA1084" w:rsidP="00CA1084">
            <w:pPr>
              <w:spacing w:after="0"/>
              <w:jc w:val="right"/>
              <w:rPr>
                <w:rFonts w:ascii="Times New Roman" w:hAnsi="Times New Roman"/>
                <w:b/>
                <w:bCs/>
                <w:color w:val="FFFFFF" w:themeColor="background1"/>
                <w:sz w:val="18"/>
                <w:szCs w:val="20"/>
              </w:rPr>
            </w:pPr>
            <w:r w:rsidRPr="00E47FB2">
              <w:rPr>
                <w:rFonts w:ascii="Times New Roman" w:hAnsi="Times New Roman"/>
                <w:b/>
                <w:bCs/>
                <w:color w:val="FFFFFF" w:themeColor="background1"/>
                <w:sz w:val="18"/>
                <w:szCs w:val="20"/>
              </w:rPr>
              <w:t>12,109,521</w:t>
            </w:r>
          </w:p>
        </w:tc>
        <w:tc>
          <w:tcPr>
            <w:tcW w:w="349" w:type="pct"/>
            <w:tcBorders>
              <w:top w:val="nil"/>
              <w:left w:val="nil"/>
              <w:bottom w:val="single" w:sz="8" w:space="0" w:color="auto"/>
              <w:right w:val="single" w:sz="4" w:space="0" w:color="auto"/>
            </w:tcBorders>
            <w:shd w:val="clear" w:color="auto" w:fill="808080" w:themeFill="background1" w:themeFillShade="80"/>
            <w:noWrap/>
            <w:vAlign w:val="bottom"/>
            <w:hideMark/>
          </w:tcPr>
          <w:p w14:paraId="3789E38B" w14:textId="31E4A7DE" w:rsidR="00CA1084" w:rsidRPr="00E47FB2" w:rsidRDefault="00CA1084" w:rsidP="00CA1084">
            <w:pPr>
              <w:spacing w:after="0"/>
              <w:jc w:val="right"/>
              <w:rPr>
                <w:rFonts w:ascii="Times New Roman" w:hAnsi="Times New Roman"/>
                <w:b/>
                <w:bCs/>
                <w:color w:val="FFFFFF" w:themeColor="background1"/>
                <w:sz w:val="18"/>
                <w:szCs w:val="20"/>
              </w:rPr>
            </w:pPr>
            <w:r w:rsidRPr="00E47FB2">
              <w:rPr>
                <w:rFonts w:ascii="Times New Roman" w:hAnsi="Times New Roman"/>
                <w:b/>
                <w:bCs/>
                <w:color w:val="FFFFFF" w:themeColor="background1"/>
                <w:sz w:val="18"/>
                <w:szCs w:val="20"/>
              </w:rPr>
              <w:t>15,276,308</w:t>
            </w:r>
          </w:p>
        </w:tc>
        <w:tc>
          <w:tcPr>
            <w:tcW w:w="349" w:type="pct"/>
            <w:tcBorders>
              <w:top w:val="nil"/>
              <w:left w:val="nil"/>
              <w:bottom w:val="single" w:sz="8" w:space="0" w:color="auto"/>
              <w:right w:val="single" w:sz="4" w:space="0" w:color="auto"/>
            </w:tcBorders>
            <w:shd w:val="clear" w:color="auto" w:fill="808080" w:themeFill="background1" w:themeFillShade="80"/>
            <w:noWrap/>
            <w:vAlign w:val="bottom"/>
            <w:hideMark/>
          </w:tcPr>
          <w:p w14:paraId="3FEB19B9" w14:textId="6404C1AC" w:rsidR="00CA1084" w:rsidRPr="00E47FB2" w:rsidRDefault="00CA1084" w:rsidP="00CA1084">
            <w:pPr>
              <w:spacing w:after="0"/>
              <w:jc w:val="right"/>
              <w:rPr>
                <w:rFonts w:ascii="Times New Roman" w:hAnsi="Times New Roman"/>
                <w:b/>
                <w:bCs/>
                <w:color w:val="FFFFFF" w:themeColor="background1"/>
                <w:sz w:val="18"/>
                <w:szCs w:val="20"/>
              </w:rPr>
            </w:pPr>
            <w:r w:rsidRPr="00E47FB2">
              <w:rPr>
                <w:rFonts w:ascii="Times New Roman" w:hAnsi="Times New Roman"/>
                <w:b/>
                <w:bCs/>
                <w:color w:val="FFFFFF" w:themeColor="background1"/>
                <w:sz w:val="18"/>
                <w:szCs w:val="20"/>
              </w:rPr>
              <w:t>14,699,241</w:t>
            </w:r>
          </w:p>
        </w:tc>
        <w:tc>
          <w:tcPr>
            <w:tcW w:w="349" w:type="pct"/>
            <w:tcBorders>
              <w:top w:val="nil"/>
              <w:left w:val="nil"/>
              <w:bottom w:val="single" w:sz="8" w:space="0" w:color="auto"/>
              <w:right w:val="single" w:sz="4" w:space="0" w:color="auto"/>
            </w:tcBorders>
            <w:shd w:val="clear" w:color="auto" w:fill="808080" w:themeFill="background1" w:themeFillShade="80"/>
            <w:noWrap/>
            <w:vAlign w:val="bottom"/>
            <w:hideMark/>
          </w:tcPr>
          <w:p w14:paraId="394699F6" w14:textId="4016886C" w:rsidR="00CA1084" w:rsidRPr="00E47FB2" w:rsidRDefault="00CA1084" w:rsidP="00CA1084">
            <w:pPr>
              <w:spacing w:after="0"/>
              <w:jc w:val="right"/>
              <w:rPr>
                <w:rFonts w:ascii="Times New Roman" w:hAnsi="Times New Roman"/>
                <w:b/>
                <w:bCs/>
                <w:color w:val="FFFFFF" w:themeColor="background1"/>
                <w:sz w:val="18"/>
                <w:szCs w:val="20"/>
              </w:rPr>
            </w:pPr>
            <w:r w:rsidRPr="00E47FB2">
              <w:rPr>
                <w:rFonts w:ascii="Times New Roman" w:hAnsi="Times New Roman"/>
                <w:b/>
                <w:bCs/>
                <w:color w:val="FFFFFF" w:themeColor="background1"/>
                <w:sz w:val="18"/>
                <w:szCs w:val="20"/>
              </w:rPr>
              <w:t>15,835,546</w:t>
            </w:r>
          </w:p>
        </w:tc>
        <w:tc>
          <w:tcPr>
            <w:tcW w:w="349" w:type="pct"/>
            <w:tcBorders>
              <w:top w:val="nil"/>
              <w:left w:val="nil"/>
              <w:bottom w:val="single" w:sz="8" w:space="0" w:color="auto"/>
              <w:right w:val="single" w:sz="4" w:space="0" w:color="auto"/>
            </w:tcBorders>
            <w:shd w:val="clear" w:color="auto" w:fill="808080" w:themeFill="background1" w:themeFillShade="80"/>
            <w:noWrap/>
            <w:vAlign w:val="bottom"/>
            <w:hideMark/>
          </w:tcPr>
          <w:p w14:paraId="648D3E58" w14:textId="326C1C29" w:rsidR="00CA1084" w:rsidRPr="00E47FB2" w:rsidRDefault="00CA1084" w:rsidP="00CA1084">
            <w:pPr>
              <w:spacing w:after="0"/>
              <w:jc w:val="right"/>
              <w:rPr>
                <w:rFonts w:ascii="Times New Roman" w:hAnsi="Times New Roman"/>
                <w:b/>
                <w:bCs/>
                <w:color w:val="FFFFFF" w:themeColor="background1"/>
                <w:sz w:val="18"/>
                <w:szCs w:val="20"/>
              </w:rPr>
            </w:pPr>
            <w:r w:rsidRPr="00E47FB2">
              <w:rPr>
                <w:rFonts w:ascii="Times New Roman" w:hAnsi="Times New Roman"/>
                <w:b/>
                <w:bCs/>
                <w:color w:val="FFFFFF" w:themeColor="background1"/>
                <w:sz w:val="18"/>
                <w:szCs w:val="20"/>
              </w:rPr>
              <w:t>15,258,238</w:t>
            </w:r>
          </w:p>
        </w:tc>
        <w:tc>
          <w:tcPr>
            <w:tcW w:w="349" w:type="pct"/>
            <w:tcBorders>
              <w:top w:val="nil"/>
              <w:left w:val="nil"/>
              <w:bottom w:val="single" w:sz="8" w:space="0" w:color="auto"/>
              <w:right w:val="single" w:sz="4" w:space="0" w:color="auto"/>
            </w:tcBorders>
            <w:shd w:val="clear" w:color="auto" w:fill="808080" w:themeFill="background1" w:themeFillShade="80"/>
            <w:noWrap/>
            <w:vAlign w:val="bottom"/>
            <w:hideMark/>
          </w:tcPr>
          <w:p w14:paraId="199D96DB" w14:textId="09CDB3F6" w:rsidR="00CA1084" w:rsidRPr="00E47FB2" w:rsidRDefault="00CA1084" w:rsidP="00CA1084">
            <w:pPr>
              <w:spacing w:after="0"/>
              <w:jc w:val="right"/>
              <w:rPr>
                <w:rFonts w:ascii="Times New Roman" w:hAnsi="Times New Roman"/>
                <w:b/>
                <w:bCs/>
                <w:color w:val="FFFFFF" w:themeColor="background1"/>
                <w:sz w:val="18"/>
                <w:szCs w:val="20"/>
              </w:rPr>
            </w:pPr>
            <w:r w:rsidRPr="00E47FB2">
              <w:rPr>
                <w:rFonts w:ascii="Times New Roman" w:hAnsi="Times New Roman"/>
                <w:b/>
                <w:bCs/>
                <w:color w:val="FFFFFF" w:themeColor="background1"/>
                <w:sz w:val="18"/>
                <w:szCs w:val="20"/>
              </w:rPr>
              <w:t>14,317,741</w:t>
            </w:r>
          </w:p>
        </w:tc>
        <w:tc>
          <w:tcPr>
            <w:tcW w:w="349" w:type="pct"/>
            <w:tcBorders>
              <w:top w:val="nil"/>
              <w:left w:val="nil"/>
              <w:bottom w:val="single" w:sz="8" w:space="0" w:color="auto"/>
              <w:right w:val="single" w:sz="4" w:space="0" w:color="auto"/>
            </w:tcBorders>
            <w:shd w:val="clear" w:color="auto" w:fill="808080" w:themeFill="background1" w:themeFillShade="80"/>
            <w:noWrap/>
            <w:vAlign w:val="bottom"/>
            <w:hideMark/>
          </w:tcPr>
          <w:p w14:paraId="4DB0FDB7" w14:textId="7533FFC2" w:rsidR="00CA1084" w:rsidRPr="00E47FB2" w:rsidRDefault="00CA1084" w:rsidP="00CA1084">
            <w:pPr>
              <w:spacing w:after="0"/>
              <w:jc w:val="right"/>
              <w:rPr>
                <w:rFonts w:ascii="Times New Roman" w:hAnsi="Times New Roman"/>
                <w:b/>
                <w:bCs/>
                <w:color w:val="FFFFFF" w:themeColor="background1"/>
                <w:sz w:val="18"/>
                <w:szCs w:val="20"/>
              </w:rPr>
            </w:pPr>
            <w:r w:rsidRPr="00E47FB2">
              <w:rPr>
                <w:rFonts w:ascii="Times New Roman" w:hAnsi="Times New Roman"/>
                <w:b/>
                <w:bCs/>
                <w:color w:val="FFFFFF" w:themeColor="background1"/>
                <w:sz w:val="18"/>
                <w:szCs w:val="20"/>
              </w:rPr>
              <w:t>13,790,837</w:t>
            </w:r>
          </w:p>
        </w:tc>
        <w:tc>
          <w:tcPr>
            <w:tcW w:w="349" w:type="pct"/>
            <w:tcBorders>
              <w:top w:val="nil"/>
              <w:left w:val="nil"/>
              <w:bottom w:val="single" w:sz="8" w:space="0" w:color="auto"/>
              <w:right w:val="single" w:sz="4" w:space="0" w:color="auto"/>
            </w:tcBorders>
            <w:shd w:val="clear" w:color="auto" w:fill="808080" w:themeFill="background1" w:themeFillShade="80"/>
            <w:noWrap/>
            <w:vAlign w:val="bottom"/>
            <w:hideMark/>
          </w:tcPr>
          <w:p w14:paraId="1A022B20" w14:textId="5F8584BC" w:rsidR="00CA1084" w:rsidRPr="00E47FB2" w:rsidRDefault="00CA1084" w:rsidP="00CA1084">
            <w:pPr>
              <w:spacing w:after="0"/>
              <w:jc w:val="right"/>
              <w:rPr>
                <w:rFonts w:ascii="Times New Roman" w:hAnsi="Times New Roman"/>
                <w:b/>
                <w:bCs/>
                <w:color w:val="FFFFFF" w:themeColor="background1"/>
                <w:sz w:val="18"/>
                <w:szCs w:val="20"/>
              </w:rPr>
            </w:pPr>
            <w:r w:rsidRPr="00E47FB2">
              <w:rPr>
                <w:rFonts w:ascii="Times New Roman" w:hAnsi="Times New Roman"/>
                <w:b/>
                <w:bCs/>
                <w:color w:val="FFFFFF" w:themeColor="background1"/>
                <w:sz w:val="18"/>
                <w:szCs w:val="20"/>
              </w:rPr>
              <w:t>14,487,992</w:t>
            </w:r>
          </w:p>
        </w:tc>
        <w:tc>
          <w:tcPr>
            <w:tcW w:w="349" w:type="pct"/>
            <w:tcBorders>
              <w:top w:val="nil"/>
              <w:left w:val="nil"/>
              <w:bottom w:val="single" w:sz="8" w:space="0" w:color="auto"/>
              <w:right w:val="single" w:sz="4" w:space="0" w:color="auto"/>
            </w:tcBorders>
            <w:shd w:val="clear" w:color="auto" w:fill="808080" w:themeFill="background1" w:themeFillShade="80"/>
            <w:noWrap/>
            <w:vAlign w:val="bottom"/>
            <w:hideMark/>
          </w:tcPr>
          <w:p w14:paraId="603D35B4" w14:textId="226191A2" w:rsidR="00CA1084" w:rsidRPr="00E47FB2" w:rsidRDefault="00CA1084" w:rsidP="00CA1084">
            <w:pPr>
              <w:spacing w:after="0"/>
              <w:jc w:val="right"/>
              <w:rPr>
                <w:rFonts w:ascii="Times New Roman" w:hAnsi="Times New Roman"/>
                <w:b/>
                <w:bCs/>
                <w:color w:val="FFFFFF" w:themeColor="background1"/>
                <w:sz w:val="18"/>
                <w:szCs w:val="20"/>
              </w:rPr>
            </w:pPr>
            <w:r w:rsidRPr="00E47FB2">
              <w:rPr>
                <w:rFonts w:ascii="Times New Roman" w:hAnsi="Times New Roman"/>
                <w:b/>
                <w:bCs/>
                <w:color w:val="FFFFFF" w:themeColor="background1"/>
                <w:sz w:val="18"/>
                <w:szCs w:val="20"/>
              </w:rPr>
              <w:t>14,938,295</w:t>
            </w:r>
          </w:p>
        </w:tc>
        <w:tc>
          <w:tcPr>
            <w:tcW w:w="349" w:type="pct"/>
            <w:tcBorders>
              <w:top w:val="nil"/>
              <w:left w:val="nil"/>
              <w:bottom w:val="single" w:sz="8" w:space="0" w:color="auto"/>
              <w:right w:val="single" w:sz="4" w:space="0" w:color="auto"/>
            </w:tcBorders>
            <w:shd w:val="clear" w:color="auto" w:fill="808080" w:themeFill="background1" w:themeFillShade="80"/>
            <w:noWrap/>
            <w:vAlign w:val="bottom"/>
            <w:hideMark/>
          </w:tcPr>
          <w:p w14:paraId="27421462" w14:textId="2D1D92BA" w:rsidR="00CA1084" w:rsidRPr="00E47FB2" w:rsidRDefault="00CA1084" w:rsidP="00CA1084">
            <w:pPr>
              <w:spacing w:after="0"/>
              <w:jc w:val="right"/>
              <w:rPr>
                <w:rFonts w:ascii="Times New Roman" w:hAnsi="Times New Roman"/>
                <w:b/>
                <w:bCs/>
                <w:color w:val="FFFFFF" w:themeColor="background1"/>
                <w:sz w:val="18"/>
                <w:szCs w:val="20"/>
              </w:rPr>
            </w:pPr>
            <w:r w:rsidRPr="00E47FB2">
              <w:rPr>
                <w:rFonts w:ascii="Times New Roman" w:hAnsi="Times New Roman"/>
                <w:b/>
                <w:bCs/>
                <w:color w:val="FFFFFF" w:themeColor="background1"/>
                <w:sz w:val="18"/>
                <w:szCs w:val="20"/>
              </w:rPr>
              <w:t>14,767,128</w:t>
            </w:r>
          </w:p>
        </w:tc>
        <w:tc>
          <w:tcPr>
            <w:tcW w:w="349" w:type="pct"/>
            <w:tcBorders>
              <w:top w:val="nil"/>
              <w:left w:val="nil"/>
              <w:bottom w:val="single" w:sz="8" w:space="0" w:color="auto"/>
              <w:right w:val="single" w:sz="4" w:space="0" w:color="auto"/>
            </w:tcBorders>
            <w:shd w:val="clear" w:color="auto" w:fill="808080" w:themeFill="background1" w:themeFillShade="80"/>
            <w:noWrap/>
            <w:vAlign w:val="bottom"/>
            <w:hideMark/>
          </w:tcPr>
          <w:p w14:paraId="2D14ACD9" w14:textId="3384C323" w:rsidR="00CA1084" w:rsidRPr="00E47FB2" w:rsidRDefault="00CA1084" w:rsidP="00CA1084">
            <w:pPr>
              <w:spacing w:after="0"/>
              <w:jc w:val="right"/>
              <w:rPr>
                <w:rFonts w:ascii="Times New Roman" w:hAnsi="Times New Roman"/>
                <w:b/>
                <w:bCs/>
                <w:color w:val="FFFFFF" w:themeColor="background1"/>
                <w:sz w:val="18"/>
                <w:szCs w:val="20"/>
              </w:rPr>
            </w:pPr>
            <w:r w:rsidRPr="00E47FB2">
              <w:rPr>
                <w:rFonts w:ascii="Times New Roman" w:hAnsi="Times New Roman"/>
                <w:b/>
                <w:bCs/>
                <w:color w:val="FFFFFF" w:themeColor="background1"/>
                <w:sz w:val="18"/>
                <w:szCs w:val="20"/>
              </w:rPr>
              <w:t>13,983,842</w:t>
            </w:r>
          </w:p>
        </w:tc>
        <w:tc>
          <w:tcPr>
            <w:tcW w:w="349" w:type="pct"/>
            <w:tcBorders>
              <w:top w:val="nil"/>
              <w:left w:val="nil"/>
              <w:bottom w:val="single" w:sz="8" w:space="0" w:color="auto"/>
              <w:right w:val="single" w:sz="4" w:space="0" w:color="auto"/>
            </w:tcBorders>
            <w:shd w:val="clear" w:color="auto" w:fill="808080" w:themeFill="background1" w:themeFillShade="80"/>
            <w:noWrap/>
            <w:vAlign w:val="bottom"/>
            <w:hideMark/>
          </w:tcPr>
          <w:p w14:paraId="0D37D1FC" w14:textId="1220274A" w:rsidR="00CA1084" w:rsidRPr="00E47FB2" w:rsidRDefault="00CA1084" w:rsidP="00CA1084">
            <w:pPr>
              <w:spacing w:after="0"/>
              <w:jc w:val="right"/>
              <w:rPr>
                <w:rFonts w:ascii="Times New Roman" w:hAnsi="Times New Roman"/>
                <w:b/>
                <w:bCs/>
                <w:color w:val="FFFFFF" w:themeColor="background1"/>
                <w:sz w:val="18"/>
                <w:szCs w:val="20"/>
              </w:rPr>
            </w:pPr>
            <w:r w:rsidRPr="00E47FB2">
              <w:rPr>
                <w:rFonts w:ascii="Times New Roman" w:hAnsi="Times New Roman"/>
                <w:b/>
                <w:bCs/>
                <w:color w:val="FFFFFF" w:themeColor="background1"/>
                <w:sz w:val="18"/>
                <w:szCs w:val="20"/>
              </w:rPr>
              <w:t>13,681,046</w:t>
            </w:r>
          </w:p>
        </w:tc>
        <w:tc>
          <w:tcPr>
            <w:tcW w:w="379" w:type="pct"/>
            <w:tcBorders>
              <w:top w:val="nil"/>
              <w:left w:val="nil"/>
              <w:bottom w:val="single" w:sz="8" w:space="0" w:color="auto"/>
              <w:right w:val="single" w:sz="8" w:space="0" w:color="auto"/>
            </w:tcBorders>
            <w:shd w:val="clear" w:color="auto" w:fill="808080" w:themeFill="background1" w:themeFillShade="80"/>
            <w:noWrap/>
            <w:vAlign w:val="bottom"/>
            <w:hideMark/>
          </w:tcPr>
          <w:p w14:paraId="317F5929" w14:textId="0E4B5F00" w:rsidR="00CA1084" w:rsidRPr="00B62067" w:rsidRDefault="00CA1084" w:rsidP="00CA1084">
            <w:pPr>
              <w:spacing w:after="0"/>
              <w:jc w:val="right"/>
              <w:rPr>
                <w:rFonts w:ascii="Times New Roman" w:hAnsi="Times New Roman"/>
                <w:b/>
                <w:bCs/>
                <w:color w:val="FFFFFF" w:themeColor="background1"/>
                <w:sz w:val="18"/>
                <w:szCs w:val="20"/>
              </w:rPr>
            </w:pPr>
            <w:r w:rsidRPr="00E47FB2">
              <w:rPr>
                <w:rFonts w:ascii="Times New Roman" w:hAnsi="Times New Roman"/>
                <w:b/>
                <w:bCs/>
                <w:color w:val="FFFFFF" w:themeColor="background1"/>
                <w:sz w:val="18"/>
                <w:szCs w:val="20"/>
              </w:rPr>
              <w:t>173,145,734</w:t>
            </w:r>
          </w:p>
        </w:tc>
      </w:tr>
    </w:tbl>
    <w:p w14:paraId="084A8971" w14:textId="77777777" w:rsidR="0084573A" w:rsidRDefault="0084573A" w:rsidP="009C4E7F">
      <w:pPr>
        <w:spacing w:after="0"/>
        <w:ind w:firstLine="720"/>
        <w:rPr>
          <w:rFonts w:ascii="Times New Roman" w:hAnsi="Times New Roman"/>
        </w:rPr>
      </w:pPr>
    </w:p>
    <w:p w14:paraId="2E877251" w14:textId="77777777" w:rsidR="00B22DE7" w:rsidRPr="0098414F" w:rsidRDefault="00B22DE7" w:rsidP="009C4E7F">
      <w:pPr>
        <w:spacing w:after="0" w:line="480" w:lineRule="auto"/>
        <w:ind w:left="90" w:right="144" w:firstLine="720"/>
        <w:contextualSpacing/>
        <w:jc w:val="both"/>
        <w:rPr>
          <w:rFonts w:ascii="Times New Roman" w:hAnsi="Times New Roman"/>
          <w:sz w:val="22"/>
          <w:lang w:val="es-ES_tradnl"/>
        </w:rPr>
      </w:pPr>
    </w:p>
    <w:p w14:paraId="1D396518" w14:textId="77777777" w:rsidR="00C83D53" w:rsidRPr="0098414F" w:rsidRDefault="00C83D53" w:rsidP="009C4E7F">
      <w:pPr>
        <w:spacing w:after="0" w:line="480" w:lineRule="auto"/>
        <w:ind w:left="90" w:right="144" w:firstLine="720"/>
        <w:contextualSpacing/>
        <w:jc w:val="both"/>
        <w:rPr>
          <w:rFonts w:ascii="Times New Roman" w:hAnsi="Times New Roman"/>
          <w:sz w:val="14"/>
          <w:lang w:val="es-ES_tradnl"/>
        </w:rPr>
        <w:sectPr w:rsidR="00C83D53" w:rsidRPr="0098414F" w:rsidSect="00F03C13">
          <w:headerReference w:type="first" r:id="rId115"/>
          <w:pgSz w:w="15840" w:h="12240" w:orient="landscape"/>
          <w:pgMar w:top="1276" w:right="1440" w:bottom="993" w:left="1440" w:header="720" w:footer="720" w:gutter="0"/>
          <w:cols w:space="720"/>
          <w:titlePg/>
          <w:docGrid w:linePitch="360"/>
        </w:sectPr>
      </w:pPr>
    </w:p>
    <w:p w14:paraId="361741FE" w14:textId="77777777" w:rsidR="00382354" w:rsidRPr="0098414F" w:rsidRDefault="00382354" w:rsidP="00382354">
      <w:pPr>
        <w:spacing w:after="0" w:line="480" w:lineRule="auto"/>
        <w:jc w:val="center"/>
        <w:rPr>
          <w:rFonts w:ascii="Times New Roman" w:hAnsi="Times New Roman"/>
          <w:b/>
          <w:sz w:val="28"/>
        </w:rPr>
      </w:pPr>
    </w:p>
    <w:p w14:paraId="354B76C7" w14:textId="77777777" w:rsidR="00382354" w:rsidRPr="0098414F" w:rsidRDefault="00382354" w:rsidP="00382354">
      <w:pPr>
        <w:spacing w:after="0" w:line="480" w:lineRule="auto"/>
        <w:jc w:val="center"/>
        <w:rPr>
          <w:rFonts w:ascii="Times New Roman" w:hAnsi="Times New Roman"/>
          <w:b/>
          <w:sz w:val="28"/>
        </w:rPr>
      </w:pPr>
    </w:p>
    <w:p w14:paraId="2B189167" w14:textId="77777777" w:rsidR="00382354" w:rsidRPr="0098414F" w:rsidRDefault="00382354" w:rsidP="00382354">
      <w:pPr>
        <w:spacing w:after="0" w:line="480" w:lineRule="auto"/>
        <w:jc w:val="center"/>
        <w:rPr>
          <w:rFonts w:ascii="Times New Roman" w:hAnsi="Times New Roman"/>
          <w:b/>
          <w:sz w:val="28"/>
        </w:rPr>
      </w:pPr>
    </w:p>
    <w:p w14:paraId="688EDF7A" w14:textId="77777777" w:rsidR="00382354" w:rsidRPr="0098414F" w:rsidRDefault="00382354" w:rsidP="00382354">
      <w:pPr>
        <w:spacing w:after="0" w:line="480" w:lineRule="auto"/>
        <w:jc w:val="center"/>
        <w:rPr>
          <w:rFonts w:ascii="Times New Roman" w:hAnsi="Times New Roman"/>
          <w:b/>
          <w:sz w:val="28"/>
        </w:rPr>
      </w:pPr>
    </w:p>
    <w:p w14:paraId="4C203AF7" w14:textId="77777777" w:rsidR="00382354" w:rsidRPr="0098414F" w:rsidRDefault="00382354" w:rsidP="00382354">
      <w:pPr>
        <w:spacing w:after="0" w:line="480" w:lineRule="auto"/>
        <w:jc w:val="center"/>
        <w:rPr>
          <w:rFonts w:ascii="Times New Roman" w:hAnsi="Times New Roman"/>
          <w:b/>
          <w:sz w:val="28"/>
        </w:rPr>
      </w:pPr>
    </w:p>
    <w:p w14:paraId="0B82E1F0" w14:textId="77777777" w:rsidR="00382354" w:rsidRPr="0098414F" w:rsidRDefault="00382354" w:rsidP="00382354">
      <w:pPr>
        <w:spacing w:after="0" w:line="480" w:lineRule="auto"/>
        <w:jc w:val="center"/>
        <w:rPr>
          <w:rFonts w:ascii="Times New Roman" w:hAnsi="Times New Roman"/>
          <w:b/>
          <w:sz w:val="28"/>
        </w:rPr>
      </w:pPr>
      <w:r w:rsidRPr="0098414F">
        <w:rPr>
          <w:rFonts w:ascii="Times New Roman" w:hAnsi="Times New Roman"/>
          <w:b/>
          <w:sz w:val="28"/>
        </w:rPr>
        <w:t xml:space="preserve">Anexo </w:t>
      </w:r>
      <w:r>
        <w:rPr>
          <w:rFonts w:ascii="Times New Roman" w:hAnsi="Times New Roman"/>
          <w:b/>
          <w:sz w:val="28"/>
        </w:rPr>
        <w:t>E</w:t>
      </w:r>
      <w:r w:rsidRPr="0098414F">
        <w:rPr>
          <w:rFonts w:ascii="Times New Roman" w:hAnsi="Times New Roman"/>
          <w:b/>
          <w:sz w:val="28"/>
        </w:rPr>
        <w:t>:</w:t>
      </w:r>
    </w:p>
    <w:p w14:paraId="37225D40" w14:textId="77777777" w:rsidR="00382354" w:rsidRPr="0098414F" w:rsidRDefault="00382354" w:rsidP="00382354">
      <w:pPr>
        <w:spacing w:after="0" w:line="480" w:lineRule="auto"/>
        <w:jc w:val="center"/>
        <w:rPr>
          <w:rFonts w:ascii="Times New Roman" w:hAnsi="Times New Roman"/>
          <w:b/>
          <w:sz w:val="28"/>
        </w:rPr>
      </w:pPr>
      <w:r w:rsidRPr="0098414F">
        <w:rPr>
          <w:rFonts w:ascii="Times New Roman" w:hAnsi="Times New Roman"/>
          <w:b/>
          <w:sz w:val="28"/>
        </w:rPr>
        <w:t>Ejecución física y financiera proyectos en el Marco del Sistema Nacional de Inversión Pública</w:t>
      </w:r>
    </w:p>
    <w:p w14:paraId="3C602868" w14:textId="77777777" w:rsidR="00382354" w:rsidRPr="0098414F" w:rsidRDefault="00382354" w:rsidP="00382354">
      <w:pPr>
        <w:spacing w:after="0" w:line="480" w:lineRule="auto"/>
        <w:jc w:val="center"/>
        <w:rPr>
          <w:rFonts w:ascii="Times New Roman" w:hAnsi="Times New Roman"/>
          <w:b/>
          <w:sz w:val="28"/>
        </w:rPr>
      </w:pPr>
    </w:p>
    <w:p w14:paraId="4FFAF48C" w14:textId="77777777" w:rsidR="00382354" w:rsidRPr="0098414F" w:rsidRDefault="00382354" w:rsidP="00382354">
      <w:pPr>
        <w:spacing w:after="0" w:line="480" w:lineRule="auto"/>
        <w:jc w:val="center"/>
        <w:rPr>
          <w:rFonts w:ascii="Times New Roman" w:hAnsi="Times New Roman"/>
          <w:b/>
          <w:sz w:val="28"/>
        </w:rPr>
      </w:pPr>
    </w:p>
    <w:p w14:paraId="698485BC" w14:textId="77777777" w:rsidR="00382354" w:rsidRPr="0098414F" w:rsidRDefault="00382354" w:rsidP="00382354">
      <w:pPr>
        <w:spacing w:after="0"/>
        <w:rPr>
          <w:rFonts w:ascii="Times New Roman" w:hAnsi="Times New Roman"/>
          <w:b/>
        </w:rPr>
        <w:sectPr w:rsidR="00382354" w:rsidRPr="0098414F" w:rsidSect="00731D0D">
          <w:headerReference w:type="default" r:id="rId116"/>
          <w:headerReference w:type="first" r:id="rId117"/>
          <w:pgSz w:w="15840" w:h="12240" w:orient="landscape"/>
          <w:pgMar w:top="851" w:right="1440" w:bottom="1276" w:left="851" w:header="720" w:footer="720" w:gutter="0"/>
          <w:cols w:space="720"/>
          <w:docGrid w:linePitch="360"/>
        </w:sectPr>
      </w:pPr>
      <w:r w:rsidRPr="0098414F">
        <w:rPr>
          <w:rFonts w:ascii="Times New Roman" w:hAnsi="Times New Roman"/>
          <w:noProof/>
          <w:lang w:eastAsia="es-DO"/>
        </w:rPr>
        <mc:AlternateContent>
          <mc:Choice Requires="wps">
            <w:drawing>
              <wp:anchor distT="0" distB="0" distL="114300" distR="114300" simplePos="0" relativeHeight="251719680" behindDoc="0" locked="0" layoutInCell="1" allowOverlap="1" wp14:anchorId="10000125" wp14:editId="6B38A1D6">
                <wp:simplePos x="0" y="0"/>
                <wp:positionH relativeFrom="column">
                  <wp:posOffset>7363918</wp:posOffset>
                </wp:positionH>
                <wp:positionV relativeFrom="paragraph">
                  <wp:posOffset>2631868</wp:posOffset>
                </wp:positionV>
                <wp:extent cx="1513205" cy="425450"/>
                <wp:effectExtent l="0" t="0" r="10795" b="12700"/>
                <wp:wrapNone/>
                <wp:docPr id="47" name="47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320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D7E29F2" id="47 Rectángulo" o:spid="_x0000_s1026" style="position:absolute;margin-left:579.85pt;margin-top:207.25pt;width:119.15pt;height:3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" fillcolor="white [3212]" strokecolor="white [3212]" strokeweight="2pt">
                <v:path arrowok="t"/>
              </v:rect>
            </w:pict>
          </mc:Fallback>
        </mc:AlternateContent>
      </w:r>
      <w:r w:rsidRPr="0098414F">
        <w:rPr>
          <w:rFonts w:ascii="Times New Roman" w:hAnsi="Times New Roman"/>
          <w:b/>
        </w:rPr>
        <w:br w:type="page"/>
      </w:r>
    </w:p>
    <w:p w14:paraId="1C0B6633" w14:textId="2E42A64B" w:rsidR="00382354" w:rsidRDefault="00382354" w:rsidP="00382354">
      <w:pPr>
        <w:ind w:firstLine="720"/>
        <w:rPr>
          <w:rFonts w:ascii="Times New Roman" w:hAnsi="Times New Roman"/>
          <w:b/>
          <w:bCs/>
          <w:color w:val="000000"/>
          <w:lang w:eastAsia="es-DO"/>
        </w:rPr>
      </w:pPr>
      <w:r w:rsidRPr="0098414F">
        <w:rPr>
          <w:rFonts w:ascii="Times New Roman" w:hAnsi="Times New Roman"/>
          <w:b/>
        </w:rPr>
        <w:lastRenderedPageBreak/>
        <w:t>Ejecución física</w:t>
      </w:r>
      <w:r w:rsidRPr="0098414F">
        <w:rPr>
          <w:rFonts w:ascii="Times New Roman" w:hAnsi="Times New Roman"/>
          <w:b/>
          <w:bCs/>
          <w:color w:val="000000"/>
          <w:lang w:eastAsia="es-DO"/>
        </w:rPr>
        <w:t xml:space="preserve"> mejoramiento de la sanidad e inocuidad agroalimentaria en la Rep</w:t>
      </w:r>
      <w:r w:rsidR="004F5C2C">
        <w:rPr>
          <w:rFonts w:ascii="Times New Roman" w:hAnsi="Times New Roman"/>
          <w:b/>
          <w:bCs/>
          <w:color w:val="000000"/>
          <w:lang w:eastAsia="es-DO"/>
        </w:rPr>
        <w:t>ú</w:t>
      </w:r>
      <w:r w:rsidRPr="0098414F">
        <w:rPr>
          <w:rFonts w:ascii="Times New Roman" w:hAnsi="Times New Roman"/>
          <w:b/>
          <w:bCs/>
          <w:color w:val="000000"/>
          <w:lang w:eastAsia="es-DO"/>
        </w:rPr>
        <w:t>blica Dominicana</w:t>
      </w:r>
    </w:p>
    <w:p w14:paraId="7C5C7164" w14:textId="77777777" w:rsidR="00382354" w:rsidRPr="000D2354" w:rsidRDefault="00382354" w:rsidP="00382354">
      <w:pPr>
        <w:spacing w:after="0"/>
        <w:ind w:firstLine="720"/>
        <w:rPr>
          <w:rFonts w:ascii="Times New Roman" w:hAnsi="Times New Roman"/>
          <w:b/>
          <w:sz w:val="22"/>
        </w:rPr>
      </w:pPr>
    </w:p>
    <w:tbl>
      <w:tblPr>
        <w:tblW w:w="9989" w:type="dxa"/>
        <w:jc w:val="center"/>
        <w:tblCellMar>
          <w:left w:w="70" w:type="dxa"/>
          <w:right w:w="70" w:type="dxa"/>
        </w:tblCellMar>
        <w:tblLook w:val="04A0" w:firstRow="1" w:lastRow="0" w:firstColumn="1" w:lastColumn="0" w:noHBand="0" w:noVBand="1"/>
      </w:tblPr>
      <w:tblGrid>
        <w:gridCol w:w="1350"/>
        <w:gridCol w:w="2969"/>
        <w:gridCol w:w="2409"/>
        <w:gridCol w:w="1277"/>
        <w:gridCol w:w="992"/>
        <w:gridCol w:w="992"/>
      </w:tblGrid>
      <w:tr w:rsidR="00382354" w:rsidRPr="00E47FB2" w14:paraId="1101BF5E" w14:textId="77777777" w:rsidTr="00E47FB2">
        <w:trPr>
          <w:trHeight w:val="64"/>
          <w:jc w:val="center"/>
        </w:trPr>
        <w:tc>
          <w:tcPr>
            <w:tcW w:w="998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33D480B" w14:textId="7DF92C64" w:rsidR="00382354" w:rsidRPr="00E47FB2" w:rsidRDefault="00382354" w:rsidP="00382354">
            <w:pPr>
              <w:spacing w:after="0"/>
              <w:rPr>
                <w:rFonts w:ascii="Times New Roman" w:hAnsi="Times New Roman"/>
                <w:b/>
                <w:bCs/>
                <w:sz w:val="22"/>
                <w:szCs w:val="16"/>
                <w:lang w:eastAsia="es-DO"/>
              </w:rPr>
            </w:pPr>
            <w:r w:rsidRPr="00E47FB2">
              <w:rPr>
                <w:rFonts w:ascii="Times New Roman" w:hAnsi="Times New Roman"/>
                <w:b/>
                <w:bCs/>
                <w:color w:val="000000"/>
                <w:sz w:val="22"/>
                <w:szCs w:val="22"/>
                <w:lang w:eastAsia="es-DO"/>
              </w:rPr>
              <w:t xml:space="preserve">MEJORAMIENTO DE LA SANIDAD E INOCUIDAD AGROALIMENTARIA EN LA REPUBLICA DOMINICANA (PATCA III) </w:t>
            </w:r>
            <w:r w:rsidRPr="00E47FB2">
              <w:rPr>
                <w:rFonts w:ascii="Times New Roman" w:hAnsi="Times New Roman"/>
                <w:b/>
                <w:bCs/>
                <w:color w:val="000000"/>
                <w:sz w:val="22"/>
                <w:szCs w:val="22"/>
                <w:lang w:eastAsia="es-DO"/>
              </w:rPr>
              <w:br/>
              <w:t>Organismo Financiador: Gobierno Dominicano y Banco Interamericano de Desarrollo – BID</w:t>
            </w:r>
            <w:r w:rsidRPr="00E47FB2">
              <w:rPr>
                <w:rFonts w:ascii="Times New Roman" w:hAnsi="Times New Roman"/>
                <w:b/>
                <w:bCs/>
                <w:color w:val="000000"/>
                <w:sz w:val="22"/>
                <w:szCs w:val="22"/>
                <w:lang w:eastAsia="es-DO"/>
              </w:rPr>
              <w:br/>
              <w:t>Código SNIP: 11327/1273</w:t>
            </w:r>
          </w:p>
        </w:tc>
      </w:tr>
      <w:tr w:rsidR="00382354" w:rsidRPr="00E47FB2" w14:paraId="5538DB95" w14:textId="77777777" w:rsidTr="00E47FB2">
        <w:trPr>
          <w:trHeight w:val="64"/>
          <w:jc w:val="center"/>
        </w:trPr>
        <w:tc>
          <w:tcPr>
            <w:tcW w:w="1350"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0176F262" w14:textId="77777777" w:rsidR="00382354" w:rsidRPr="00E47FB2" w:rsidRDefault="00382354" w:rsidP="00382354">
            <w:pPr>
              <w:spacing w:after="0"/>
              <w:jc w:val="center"/>
              <w:rPr>
                <w:rFonts w:ascii="Times New Roman" w:hAnsi="Times New Roman"/>
                <w:b/>
                <w:bCs/>
                <w:color w:val="FFFFFF" w:themeColor="background1"/>
                <w:sz w:val="22"/>
                <w:szCs w:val="16"/>
                <w:lang w:eastAsia="es-DO"/>
              </w:rPr>
            </w:pPr>
            <w:r w:rsidRPr="00E47FB2">
              <w:rPr>
                <w:rFonts w:ascii="Times New Roman" w:hAnsi="Times New Roman"/>
                <w:b/>
                <w:bCs/>
                <w:color w:val="FFFFFF" w:themeColor="background1"/>
                <w:sz w:val="22"/>
                <w:szCs w:val="16"/>
                <w:lang w:eastAsia="es-DO"/>
              </w:rPr>
              <w:t>Nombre de Proyecto</w:t>
            </w:r>
          </w:p>
        </w:tc>
        <w:tc>
          <w:tcPr>
            <w:tcW w:w="2969" w:type="dxa"/>
            <w:tcBorders>
              <w:top w:val="single" w:sz="4" w:space="0" w:color="auto"/>
              <w:left w:val="nil"/>
              <w:bottom w:val="single" w:sz="4" w:space="0" w:color="auto"/>
              <w:right w:val="single" w:sz="4" w:space="0" w:color="auto"/>
            </w:tcBorders>
            <w:shd w:val="clear" w:color="auto" w:fill="00B050"/>
            <w:vAlign w:val="center"/>
            <w:hideMark/>
          </w:tcPr>
          <w:p w14:paraId="4B3D4030" w14:textId="5E996FE6" w:rsidR="00382354" w:rsidRPr="00E47FB2" w:rsidRDefault="00382354" w:rsidP="00382354">
            <w:pPr>
              <w:spacing w:after="0"/>
              <w:jc w:val="center"/>
              <w:rPr>
                <w:rFonts w:ascii="Times New Roman" w:hAnsi="Times New Roman"/>
                <w:b/>
                <w:bCs/>
                <w:color w:val="FFFFFF" w:themeColor="background1"/>
                <w:sz w:val="22"/>
                <w:szCs w:val="16"/>
                <w:lang w:eastAsia="es-DO"/>
              </w:rPr>
            </w:pPr>
            <w:r w:rsidRPr="00E47FB2">
              <w:rPr>
                <w:rFonts w:ascii="Times New Roman" w:hAnsi="Times New Roman"/>
                <w:b/>
                <w:bCs/>
                <w:color w:val="FFFFFF" w:themeColor="background1"/>
                <w:sz w:val="22"/>
                <w:szCs w:val="16"/>
                <w:lang w:eastAsia="es-DO"/>
              </w:rPr>
              <w:t>Actividad / Obra / Producto / Bienes / Servicios</w:t>
            </w:r>
          </w:p>
        </w:tc>
        <w:tc>
          <w:tcPr>
            <w:tcW w:w="2409" w:type="dxa"/>
            <w:tcBorders>
              <w:top w:val="single" w:sz="4" w:space="0" w:color="auto"/>
              <w:left w:val="nil"/>
              <w:bottom w:val="single" w:sz="4" w:space="0" w:color="auto"/>
              <w:right w:val="single" w:sz="4" w:space="0" w:color="auto"/>
            </w:tcBorders>
            <w:shd w:val="clear" w:color="auto" w:fill="00B050"/>
            <w:vAlign w:val="center"/>
            <w:hideMark/>
          </w:tcPr>
          <w:p w14:paraId="07D46030" w14:textId="77777777" w:rsidR="00382354" w:rsidRPr="00E47FB2" w:rsidRDefault="00382354" w:rsidP="00382354">
            <w:pPr>
              <w:spacing w:after="0"/>
              <w:jc w:val="center"/>
              <w:rPr>
                <w:rFonts w:ascii="Times New Roman" w:hAnsi="Times New Roman"/>
                <w:b/>
                <w:bCs/>
                <w:color w:val="FFFFFF" w:themeColor="background1"/>
                <w:sz w:val="22"/>
                <w:szCs w:val="16"/>
                <w:lang w:eastAsia="es-DO"/>
              </w:rPr>
            </w:pPr>
            <w:r w:rsidRPr="00E47FB2">
              <w:rPr>
                <w:rFonts w:ascii="Times New Roman" w:hAnsi="Times New Roman"/>
                <w:b/>
                <w:bCs/>
                <w:color w:val="FFFFFF" w:themeColor="background1"/>
                <w:sz w:val="22"/>
                <w:szCs w:val="16"/>
                <w:lang w:eastAsia="es-DO"/>
              </w:rPr>
              <w:t>Meta 2019</w:t>
            </w:r>
          </w:p>
        </w:tc>
        <w:tc>
          <w:tcPr>
            <w:tcW w:w="1277" w:type="dxa"/>
            <w:tcBorders>
              <w:top w:val="single" w:sz="4" w:space="0" w:color="auto"/>
              <w:left w:val="nil"/>
              <w:bottom w:val="single" w:sz="4" w:space="0" w:color="auto"/>
              <w:right w:val="single" w:sz="4" w:space="0" w:color="auto"/>
            </w:tcBorders>
            <w:shd w:val="clear" w:color="auto" w:fill="00B050"/>
            <w:vAlign w:val="center"/>
            <w:hideMark/>
          </w:tcPr>
          <w:p w14:paraId="797ABBD8" w14:textId="77777777" w:rsidR="00382354" w:rsidRPr="00E47FB2" w:rsidRDefault="00382354" w:rsidP="00382354">
            <w:pPr>
              <w:spacing w:after="0"/>
              <w:jc w:val="center"/>
              <w:rPr>
                <w:rFonts w:ascii="Times New Roman" w:hAnsi="Times New Roman"/>
                <w:b/>
                <w:bCs/>
                <w:color w:val="FFFFFF" w:themeColor="background1"/>
                <w:sz w:val="22"/>
                <w:szCs w:val="16"/>
                <w:lang w:eastAsia="es-DO"/>
              </w:rPr>
            </w:pPr>
            <w:r w:rsidRPr="00E47FB2">
              <w:rPr>
                <w:rFonts w:ascii="Times New Roman" w:hAnsi="Times New Roman"/>
                <w:b/>
                <w:bCs/>
                <w:color w:val="FFFFFF" w:themeColor="background1"/>
                <w:sz w:val="22"/>
                <w:szCs w:val="16"/>
                <w:lang w:eastAsia="es-DO"/>
              </w:rPr>
              <w:t>Unidad de medida</w:t>
            </w:r>
          </w:p>
        </w:tc>
        <w:tc>
          <w:tcPr>
            <w:tcW w:w="992" w:type="dxa"/>
            <w:tcBorders>
              <w:top w:val="single" w:sz="4" w:space="0" w:color="auto"/>
              <w:left w:val="nil"/>
              <w:bottom w:val="single" w:sz="4" w:space="0" w:color="auto"/>
              <w:right w:val="single" w:sz="4" w:space="0" w:color="auto"/>
            </w:tcBorders>
            <w:shd w:val="clear" w:color="auto" w:fill="00B050"/>
            <w:vAlign w:val="center"/>
            <w:hideMark/>
          </w:tcPr>
          <w:p w14:paraId="74854653" w14:textId="77777777" w:rsidR="00382354" w:rsidRPr="00E47FB2" w:rsidRDefault="00382354" w:rsidP="00382354">
            <w:pPr>
              <w:spacing w:after="0"/>
              <w:jc w:val="center"/>
              <w:rPr>
                <w:rFonts w:ascii="Times New Roman" w:hAnsi="Times New Roman"/>
                <w:b/>
                <w:bCs/>
                <w:color w:val="FFFFFF" w:themeColor="background1"/>
                <w:sz w:val="22"/>
                <w:szCs w:val="16"/>
                <w:lang w:eastAsia="es-DO"/>
              </w:rPr>
            </w:pPr>
            <w:r w:rsidRPr="00E47FB2">
              <w:rPr>
                <w:rFonts w:ascii="Times New Roman" w:hAnsi="Times New Roman"/>
                <w:b/>
                <w:bCs/>
                <w:color w:val="FFFFFF" w:themeColor="background1"/>
                <w:sz w:val="22"/>
                <w:szCs w:val="16"/>
                <w:lang w:eastAsia="es-DO"/>
              </w:rPr>
              <w:t> Logros</w:t>
            </w:r>
          </w:p>
        </w:tc>
        <w:tc>
          <w:tcPr>
            <w:tcW w:w="992" w:type="dxa"/>
            <w:tcBorders>
              <w:top w:val="single" w:sz="4" w:space="0" w:color="auto"/>
              <w:left w:val="nil"/>
              <w:bottom w:val="single" w:sz="4" w:space="0" w:color="auto"/>
              <w:right w:val="single" w:sz="4" w:space="0" w:color="auto"/>
            </w:tcBorders>
            <w:shd w:val="clear" w:color="auto" w:fill="00B050"/>
            <w:vAlign w:val="center"/>
            <w:hideMark/>
          </w:tcPr>
          <w:p w14:paraId="37E7DDE8" w14:textId="77777777" w:rsidR="00382354" w:rsidRPr="00E47FB2" w:rsidRDefault="00382354" w:rsidP="00382354">
            <w:pPr>
              <w:spacing w:after="0"/>
              <w:jc w:val="center"/>
              <w:rPr>
                <w:rFonts w:ascii="Times New Roman" w:hAnsi="Times New Roman"/>
                <w:b/>
                <w:bCs/>
                <w:color w:val="FFFFFF" w:themeColor="background1"/>
                <w:sz w:val="22"/>
                <w:szCs w:val="16"/>
                <w:lang w:eastAsia="es-DO"/>
              </w:rPr>
            </w:pPr>
            <w:r w:rsidRPr="00E47FB2">
              <w:rPr>
                <w:rFonts w:ascii="Times New Roman" w:hAnsi="Times New Roman"/>
                <w:b/>
                <w:bCs/>
                <w:color w:val="FFFFFF" w:themeColor="background1"/>
                <w:sz w:val="22"/>
                <w:szCs w:val="16"/>
                <w:lang w:eastAsia="es-DO"/>
              </w:rPr>
              <w:t>% de avance</w:t>
            </w:r>
          </w:p>
        </w:tc>
      </w:tr>
      <w:tr w:rsidR="00382354" w:rsidRPr="00E47FB2" w14:paraId="303136DB" w14:textId="77777777" w:rsidTr="00E47FB2">
        <w:trPr>
          <w:trHeight w:val="64"/>
          <w:jc w:val="center"/>
        </w:trPr>
        <w:tc>
          <w:tcPr>
            <w:tcW w:w="1350" w:type="dxa"/>
            <w:tcBorders>
              <w:top w:val="nil"/>
              <w:left w:val="single" w:sz="4" w:space="0" w:color="auto"/>
              <w:bottom w:val="single" w:sz="4" w:space="0" w:color="auto"/>
              <w:right w:val="single" w:sz="4" w:space="0" w:color="auto"/>
            </w:tcBorders>
            <w:shd w:val="clear" w:color="auto" w:fill="808080" w:themeFill="background1" w:themeFillShade="80"/>
            <w:vAlign w:val="center"/>
            <w:hideMark/>
          </w:tcPr>
          <w:p w14:paraId="014CB5DB" w14:textId="77777777" w:rsidR="00382354" w:rsidRPr="00E47FB2" w:rsidRDefault="00382354" w:rsidP="00382354">
            <w:pPr>
              <w:spacing w:after="0"/>
              <w:rPr>
                <w:rFonts w:ascii="Times New Roman" w:hAnsi="Times New Roman"/>
                <w:b/>
                <w:bCs/>
                <w:color w:val="FFFFFF" w:themeColor="background1"/>
                <w:sz w:val="22"/>
                <w:szCs w:val="16"/>
                <w:lang w:eastAsia="es-DO"/>
              </w:rPr>
            </w:pPr>
            <w:r w:rsidRPr="00E47FB2">
              <w:rPr>
                <w:rFonts w:ascii="Times New Roman" w:hAnsi="Times New Roman"/>
                <w:b/>
                <w:bCs/>
                <w:color w:val="FFFFFF" w:themeColor="background1"/>
                <w:sz w:val="22"/>
                <w:szCs w:val="16"/>
                <w:lang w:eastAsia="es-DO"/>
              </w:rPr>
              <w:t>PATCA III</w:t>
            </w:r>
          </w:p>
        </w:tc>
        <w:tc>
          <w:tcPr>
            <w:tcW w:w="2969" w:type="dxa"/>
            <w:tcBorders>
              <w:top w:val="nil"/>
              <w:left w:val="nil"/>
              <w:bottom w:val="single" w:sz="4" w:space="0" w:color="auto"/>
              <w:right w:val="single" w:sz="4" w:space="0" w:color="auto"/>
            </w:tcBorders>
            <w:shd w:val="clear" w:color="auto" w:fill="808080" w:themeFill="background1" w:themeFillShade="80"/>
            <w:vAlign w:val="center"/>
            <w:hideMark/>
          </w:tcPr>
          <w:p w14:paraId="76E9340C" w14:textId="77777777" w:rsidR="00382354" w:rsidRPr="00E47FB2" w:rsidRDefault="00382354" w:rsidP="00382354">
            <w:pPr>
              <w:spacing w:after="0"/>
              <w:rPr>
                <w:rFonts w:ascii="Times New Roman" w:hAnsi="Times New Roman"/>
                <w:b/>
                <w:bCs/>
                <w:color w:val="FFFFFF" w:themeColor="background1"/>
                <w:sz w:val="22"/>
                <w:szCs w:val="16"/>
                <w:lang w:eastAsia="es-DO"/>
              </w:rPr>
            </w:pPr>
            <w:r w:rsidRPr="00E47FB2">
              <w:rPr>
                <w:rFonts w:ascii="Times New Roman" w:hAnsi="Times New Roman"/>
                <w:b/>
                <w:bCs/>
                <w:color w:val="FFFFFF" w:themeColor="background1"/>
                <w:sz w:val="22"/>
                <w:szCs w:val="16"/>
                <w:lang w:eastAsia="es-DO"/>
              </w:rPr>
              <w:t> </w:t>
            </w:r>
          </w:p>
        </w:tc>
        <w:tc>
          <w:tcPr>
            <w:tcW w:w="2409" w:type="dxa"/>
            <w:tcBorders>
              <w:top w:val="nil"/>
              <w:left w:val="nil"/>
              <w:bottom w:val="single" w:sz="4" w:space="0" w:color="auto"/>
              <w:right w:val="single" w:sz="4" w:space="0" w:color="auto"/>
            </w:tcBorders>
            <w:shd w:val="clear" w:color="auto" w:fill="808080" w:themeFill="background1" w:themeFillShade="80"/>
            <w:vAlign w:val="center"/>
            <w:hideMark/>
          </w:tcPr>
          <w:p w14:paraId="6B7EB7FA" w14:textId="77777777" w:rsidR="00382354" w:rsidRPr="00E47FB2" w:rsidRDefault="00382354" w:rsidP="00382354">
            <w:pPr>
              <w:spacing w:after="0"/>
              <w:rPr>
                <w:rFonts w:ascii="Times New Roman" w:hAnsi="Times New Roman"/>
                <w:b/>
                <w:bCs/>
                <w:color w:val="FFFFFF" w:themeColor="background1"/>
                <w:sz w:val="22"/>
                <w:szCs w:val="16"/>
                <w:lang w:eastAsia="es-DO"/>
              </w:rPr>
            </w:pPr>
            <w:r w:rsidRPr="00E47FB2">
              <w:rPr>
                <w:rFonts w:ascii="Times New Roman" w:hAnsi="Times New Roman"/>
                <w:b/>
                <w:bCs/>
                <w:color w:val="FFFFFF" w:themeColor="background1"/>
                <w:sz w:val="22"/>
                <w:szCs w:val="16"/>
                <w:lang w:eastAsia="es-DO"/>
              </w:rPr>
              <w:t> </w:t>
            </w:r>
          </w:p>
        </w:tc>
        <w:tc>
          <w:tcPr>
            <w:tcW w:w="1277" w:type="dxa"/>
            <w:tcBorders>
              <w:top w:val="nil"/>
              <w:left w:val="nil"/>
              <w:bottom w:val="single" w:sz="4" w:space="0" w:color="auto"/>
              <w:right w:val="single" w:sz="4" w:space="0" w:color="auto"/>
            </w:tcBorders>
            <w:shd w:val="clear" w:color="auto" w:fill="808080" w:themeFill="background1" w:themeFillShade="80"/>
            <w:vAlign w:val="center"/>
            <w:hideMark/>
          </w:tcPr>
          <w:p w14:paraId="7764F4B8" w14:textId="77777777" w:rsidR="00382354" w:rsidRPr="00E47FB2" w:rsidRDefault="00382354" w:rsidP="00382354">
            <w:pPr>
              <w:spacing w:after="0"/>
              <w:jc w:val="right"/>
              <w:rPr>
                <w:rFonts w:ascii="Times New Roman" w:hAnsi="Times New Roman"/>
                <w:b/>
                <w:bCs/>
                <w:color w:val="FFFFFF" w:themeColor="background1"/>
                <w:sz w:val="22"/>
                <w:szCs w:val="16"/>
                <w:lang w:eastAsia="es-DO"/>
              </w:rPr>
            </w:pPr>
            <w:r w:rsidRPr="00E47FB2">
              <w:rPr>
                <w:rFonts w:ascii="Times New Roman" w:hAnsi="Times New Roman"/>
                <w:b/>
                <w:bCs/>
                <w:color w:val="FFFFFF" w:themeColor="background1"/>
                <w:sz w:val="22"/>
                <w:szCs w:val="16"/>
                <w:lang w:eastAsia="es-DO"/>
              </w:rPr>
              <w:t> </w:t>
            </w:r>
          </w:p>
        </w:tc>
        <w:tc>
          <w:tcPr>
            <w:tcW w:w="992" w:type="dxa"/>
            <w:tcBorders>
              <w:top w:val="nil"/>
              <w:left w:val="nil"/>
              <w:bottom w:val="single" w:sz="4" w:space="0" w:color="auto"/>
              <w:right w:val="single" w:sz="4" w:space="0" w:color="auto"/>
            </w:tcBorders>
            <w:shd w:val="clear" w:color="auto" w:fill="808080" w:themeFill="background1" w:themeFillShade="80"/>
            <w:vAlign w:val="center"/>
            <w:hideMark/>
          </w:tcPr>
          <w:p w14:paraId="770D1D45" w14:textId="77777777" w:rsidR="00382354" w:rsidRPr="00E47FB2" w:rsidRDefault="00382354" w:rsidP="00382354">
            <w:pPr>
              <w:spacing w:after="0"/>
              <w:jc w:val="center"/>
              <w:rPr>
                <w:rFonts w:ascii="Times New Roman" w:hAnsi="Times New Roman"/>
                <w:b/>
                <w:bCs/>
                <w:color w:val="FFFFFF" w:themeColor="background1"/>
                <w:sz w:val="22"/>
                <w:szCs w:val="16"/>
                <w:lang w:eastAsia="es-DO"/>
              </w:rPr>
            </w:pPr>
            <w:r w:rsidRPr="00E47FB2">
              <w:rPr>
                <w:rFonts w:ascii="Times New Roman" w:hAnsi="Times New Roman"/>
                <w:b/>
                <w:bCs/>
                <w:color w:val="FFFFFF" w:themeColor="background1"/>
                <w:sz w:val="22"/>
                <w:szCs w:val="16"/>
                <w:lang w:eastAsia="es-DO"/>
              </w:rPr>
              <w:t> </w:t>
            </w:r>
          </w:p>
        </w:tc>
        <w:tc>
          <w:tcPr>
            <w:tcW w:w="992" w:type="dxa"/>
            <w:tcBorders>
              <w:top w:val="nil"/>
              <w:left w:val="nil"/>
              <w:bottom w:val="single" w:sz="4" w:space="0" w:color="auto"/>
              <w:right w:val="single" w:sz="4" w:space="0" w:color="auto"/>
            </w:tcBorders>
            <w:shd w:val="clear" w:color="auto" w:fill="808080" w:themeFill="background1" w:themeFillShade="80"/>
            <w:vAlign w:val="center"/>
            <w:hideMark/>
          </w:tcPr>
          <w:p w14:paraId="4D28C598" w14:textId="77777777" w:rsidR="00382354" w:rsidRPr="00E47FB2" w:rsidRDefault="00382354" w:rsidP="00382354">
            <w:pPr>
              <w:spacing w:after="0"/>
              <w:jc w:val="center"/>
              <w:rPr>
                <w:rFonts w:ascii="Times New Roman" w:hAnsi="Times New Roman"/>
                <w:b/>
                <w:bCs/>
                <w:color w:val="FFFFFF" w:themeColor="background1"/>
                <w:sz w:val="22"/>
                <w:szCs w:val="16"/>
                <w:lang w:eastAsia="es-DO"/>
              </w:rPr>
            </w:pPr>
            <w:r w:rsidRPr="00E47FB2">
              <w:rPr>
                <w:rFonts w:ascii="Times New Roman" w:hAnsi="Times New Roman"/>
                <w:b/>
                <w:bCs/>
                <w:color w:val="FFFFFF" w:themeColor="background1"/>
                <w:sz w:val="22"/>
                <w:szCs w:val="16"/>
                <w:lang w:eastAsia="es-DO"/>
              </w:rPr>
              <w:t> </w:t>
            </w:r>
          </w:p>
        </w:tc>
      </w:tr>
      <w:tr w:rsidR="00382354" w:rsidRPr="00E47FB2" w14:paraId="78B374CB" w14:textId="77777777" w:rsidTr="00E47FB2">
        <w:trPr>
          <w:trHeight w:val="358"/>
          <w:jc w:val="center"/>
        </w:trPr>
        <w:tc>
          <w:tcPr>
            <w:tcW w:w="13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1232D8" w14:textId="77777777" w:rsidR="00382354" w:rsidRPr="00E47FB2" w:rsidRDefault="00382354" w:rsidP="00382354">
            <w:pPr>
              <w:spacing w:after="0"/>
              <w:jc w:val="center"/>
              <w:rPr>
                <w:rFonts w:ascii="Times New Roman" w:hAnsi="Times New Roman"/>
                <w:bCs/>
                <w:sz w:val="22"/>
                <w:szCs w:val="16"/>
                <w:lang w:eastAsia="es-DO"/>
              </w:rPr>
            </w:pPr>
            <w:r w:rsidRPr="00E47FB2">
              <w:rPr>
                <w:rFonts w:ascii="Times New Roman" w:hAnsi="Times New Roman"/>
                <w:bCs/>
                <w:sz w:val="22"/>
                <w:szCs w:val="16"/>
                <w:lang w:eastAsia="es-DO"/>
              </w:rPr>
              <w:t>Componentes</w:t>
            </w:r>
          </w:p>
        </w:tc>
        <w:tc>
          <w:tcPr>
            <w:tcW w:w="2969" w:type="dxa"/>
            <w:tcBorders>
              <w:top w:val="nil"/>
              <w:left w:val="single" w:sz="4" w:space="0" w:color="auto"/>
              <w:bottom w:val="single" w:sz="4" w:space="0" w:color="auto"/>
              <w:right w:val="single" w:sz="4" w:space="0" w:color="auto"/>
            </w:tcBorders>
            <w:shd w:val="clear" w:color="auto" w:fill="auto"/>
            <w:vAlign w:val="center"/>
            <w:hideMark/>
          </w:tcPr>
          <w:p w14:paraId="343566A8" w14:textId="77777777" w:rsidR="00382354" w:rsidRPr="00E47FB2" w:rsidRDefault="00382354" w:rsidP="00382354">
            <w:pPr>
              <w:spacing w:after="0"/>
              <w:jc w:val="center"/>
              <w:rPr>
                <w:rFonts w:ascii="Times New Roman" w:hAnsi="Times New Roman"/>
                <w:bCs/>
                <w:color w:val="000000"/>
                <w:sz w:val="22"/>
                <w:szCs w:val="16"/>
                <w:lang w:eastAsia="es-DO"/>
              </w:rPr>
            </w:pPr>
            <w:r w:rsidRPr="00E47FB2">
              <w:rPr>
                <w:rFonts w:ascii="Times New Roman" w:hAnsi="Times New Roman"/>
                <w:bCs/>
                <w:color w:val="000000"/>
                <w:sz w:val="22"/>
                <w:szCs w:val="16"/>
                <w:lang w:eastAsia="es-DO"/>
              </w:rPr>
              <w:t>Inocuidad Agroalimentaria</w:t>
            </w:r>
          </w:p>
        </w:tc>
        <w:tc>
          <w:tcPr>
            <w:tcW w:w="2409" w:type="dxa"/>
            <w:tcBorders>
              <w:top w:val="single" w:sz="4" w:space="0" w:color="auto"/>
              <w:left w:val="nil"/>
              <w:bottom w:val="single" w:sz="4" w:space="0" w:color="auto"/>
              <w:right w:val="single" w:sz="4" w:space="0" w:color="auto"/>
            </w:tcBorders>
            <w:shd w:val="clear" w:color="auto" w:fill="auto"/>
            <w:vAlign w:val="center"/>
          </w:tcPr>
          <w:p w14:paraId="7FAFFAF1" w14:textId="77777777" w:rsidR="00382354" w:rsidRPr="00E47FB2" w:rsidRDefault="00382354" w:rsidP="00382354">
            <w:pPr>
              <w:spacing w:after="0"/>
              <w:rPr>
                <w:rFonts w:ascii="Times New Roman" w:hAnsi="Times New Roman"/>
                <w:bCs/>
                <w:color w:val="000000"/>
                <w:sz w:val="22"/>
                <w:szCs w:val="16"/>
                <w:lang w:eastAsia="es-DO"/>
              </w:rPr>
            </w:pPr>
            <w:r w:rsidRPr="00E47FB2">
              <w:rPr>
                <w:rFonts w:ascii="Times New Roman" w:hAnsi="Times New Roman"/>
                <w:bCs/>
                <w:color w:val="000000"/>
                <w:sz w:val="22"/>
                <w:szCs w:val="16"/>
                <w:lang w:eastAsia="es-DO"/>
              </w:rPr>
              <w:t>Empacadoras registradas y certificadas</w:t>
            </w:r>
          </w:p>
        </w:tc>
        <w:tc>
          <w:tcPr>
            <w:tcW w:w="3261" w:type="dxa"/>
            <w:gridSpan w:val="3"/>
            <w:vMerge w:val="restart"/>
            <w:tcBorders>
              <w:top w:val="single" w:sz="4" w:space="0" w:color="auto"/>
              <w:left w:val="nil"/>
              <w:bottom w:val="single" w:sz="4" w:space="0" w:color="auto"/>
              <w:right w:val="single" w:sz="4" w:space="0" w:color="auto"/>
            </w:tcBorders>
            <w:shd w:val="clear" w:color="auto" w:fill="auto"/>
            <w:vAlign w:val="center"/>
          </w:tcPr>
          <w:p w14:paraId="1D3AED6F" w14:textId="77777777" w:rsidR="00382354" w:rsidRPr="00E47FB2" w:rsidRDefault="00382354" w:rsidP="00382354">
            <w:pPr>
              <w:spacing w:after="0"/>
              <w:jc w:val="center"/>
              <w:rPr>
                <w:rFonts w:ascii="Times New Roman" w:hAnsi="Times New Roman"/>
                <w:bCs/>
                <w:color w:val="000000"/>
                <w:sz w:val="22"/>
                <w:szCs w:val="16"/>
                <w:lang w:eastAsia="es-DO"/>
              </w:rPr>
            </w:pPr>
            <w:r w:rsidRPr="00E47FB2">
              <w:rPr>
                <w:rFonts w:ascii="Times New Roman" w:hAnsi="Times New Roman"/>
                <w:bCs/>
                <w:color w:val="000000"/>
                <w:sz w:val="22"/>
                <w:szCs w:val="16"/>
                <w:lang w:eastAsia="es-DO"/>
              </w:rPr>
              <w:t>Durante el periodo, se utilizaron los fondos para efectuar el cierre de las obras de rehabilitación que bajo el programa se iniciaron en el año 2018; y la recepción de equipos informáticos, de laboratorios, de campo e insumos, así como la administración del programa cuyos procesos fueron efectuados en el año 2018/2019.</w:t>
            </w:r>
          </w:p>
        </w:tc>
      </w:tr>
      <w:tr w:rsidR="00382354" w:rsidRPr="00E47FB2" w14:paraId="63BB9DB5" w14:textId="77777777" w:rsidTr="00E47FB2">
        <w:trPr>
          <w:trHeight w:val="174"/>
          <w:jc w:val="center"/>
        </w:trPr>
        <w:tc>
          <w:tcPr>
            <w:tcW w:w="1350" w:type="dxa"/>
            <w:vMerge/>
            <w:tcBorders>
              <w:top w:val="nil"/>
              <w:left w:val="single" w:sz="4" w:space="0" w:color="auto"/>
              <w:bottom w:val="single" w:sz="4" w:space="0" w:color="auto"/>
              <w:right w:val="single" w:sz="4" w:space="0" w:color="auto"/>
            </w:tcBorders>
            <w:vAlign w:val="center"/>
            <w:hideMark/>
          </w:tcPr>
          <w:p w14:paraId="179475CD" w14:textId="77777777" w:rsidR="00382354" w:rsidRPr="00E47FB2" w:rsidRDefault="00382354" w:rsidP="00382354">
            <w:pPr>
              <w:spacing w:after="0"/>
              <w:rPr>
                <w:rFonts w:ascii="Times New Roman" w:hAnsi="Times New Roman"/>
                <w:bCs/>
                <w:sz w:val="22"/>
                <w:szCs w:val="16"/>
                <w:lang w:eastAsia="es-DO"/>
              </w:rPr>
            </w:pPr>
          </w:p>
        </w:tc>
        <w:tc>
          <w:tcPr>
            <w:tcW w:w="2969" w:type="dxa"/>
            <w:tcBorders>
              <w:top w:val="nil"/>
              <w:left w:val="single" w:sz="4" w:space="0" w:color="auto"/>
              <w:bottom w:val="single" w:sz="4" w:space="0" w:color="auto"/>
              <w:right w:val="single" w:sz="4" w:space="0" w:color="auto"/>
            </w:tcBorders>
            <w:shd w:val="clear" w:color="auto" w:fill="auto"/>
            <w:vAlign w:val="center"/>
            <w:hideMark/>
          </w:tcPr>
          <w:p w14:paraId="3577FC3C" w14:textId="77777777" w:rsidR="00382354" w:rsidRPr="00E47FB2" w:rsidRDefault="00382354" w:rsidP="00382354">
            <w:pPr>
              <w:spacing w:after="0"/>
              <w:jc w:val="center"/>
              <w:rPr>
                <w:rFonts w:ascii="Times New Roman" w:hAnsi="Times New Roman"/>
                <w:bCs/>
                <w:color w:val="000000"/>
                <w:sz w:val="22"/>
                <w:szCs w:val="16"/>
                <w:lang w:eastAsia="es-DO"/>
              </w:rPr>
            </w:pPr>
            <w:r w:rsidRPr="00E47FB2">
              <w:rPr>
                <w:rFonts w:ascii="Times New Roman" w:hAnsi="Times New Roman"/>
                <w:bCs/>
                <w:color w:val="000000"/>
                <w:sz w:val="22"/>
                <w:szCs w:val="16"/>
                <w:lang w:eastAsia="es-DO"/>
              </w:rPr>
              <w:t>Sanidad Animal</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57145D91" w14:textId="77777777" w:rsidR="00382354" w:rsidRPr="00E47FB2" w:rsidRDefault="00382354" w:rsidP="00382354">
            <w:pPr>
              <w:spacing w:after="0"/>
              <w:rPr>
                <w:rFonts w:ascii="Times New Roman" w:hAnsi="Times New Roman"/>
                <w:bCs/>
                <w:color w:val="000000"/>
                <w:sz w:val="22"/>
                <w:szCs w:val="16"/>
                <w:lang w:eastAsia="es-DO"/>
              </w:rPr>
            </w:pPr>
            <w:r w:rsidRPr="00E47FB2">
              <w:rPr>
                <w:rFonts w:ascii="Times New Roman" w:hAnsi="Times New Roman"/>
                <w:bCs/>
                <w:color w:val="000000"/>
                <w:sz w:val="22"/>
                <w:szCs w:val="16"/>
                <w:lang w:eastAsia="es-DO"/>
              </w:rPr>
              <w:t>Establecimientos veterinarios registrados0 y fiscalizados</w:t>
            </w:r>
          </w:p>
        </w:tc>
        <w:tc>
          <w:tcPr>
            <w:tcW w:w="3261" w:type="dxa"/>
            <w:gridSpan w:val="3"/>
            <w:vMerge/>
            <w:tcBorders>
              <w:top w:val="single" w:sz="4" w:space="0" w:color="auto"/>
              <w:left w:val="nil"/>
              <w:bottom w:val="single" w:sz="4" w:space="0" w:color="auto"/>
              <w:right w:val="single" w:sz="4" w:space="0" w:color="auto"/>
            </w:tcBorders>
            <w:shd w:val="clear" w:color="auto" w:fill="auto"/>
            <w:vAlign w:val="center"/>
          </w:tcPr>
          <w:p w14:paraId="4356605D" w14:textId="77777777" w:rsidR="00382354" w:rsidRPr="00E47FB2" w:rsidRDefault="00382354" w:rsidP="00382354">
            <w:pPr>
              <w:spacing w:after="0"/>
              <w:jc w:val="center"/>
              <w:rPr>
                <w:rFonts w:ascii="Times New Roman" w:hAnsi="Times New Roman"/>
                <w:b/>
                <w:bCs/>
                <w:color w:val="000000"/>
                <w:sz w:val="22"/>
                <w:szCs w:val="16"/>
                <w:lang w:eastAsia="es-DO"/>
              </w:rPr>
            </w:pPr>
          </w:p>
        </w:tc>
      </w:tr>
      <w:tr w:rsidR="00382354" w:rsidRPr="00E47FB2" w14:paraId="75E5F001" w14:textId="77777777" w:rsidTr="00E47FB2">
        <w:trPr>
          <w:trHeight w:val="174"/>
          <w:jc w:val="center"/>
        </w:trPr>
        <w:tc>
          <w:tcPr>
            <w:tcW w:w="1350" w:type="dxa"/>
            <w:vMerge/>
            <w:tcBorders>
              <w:top w:val="nil"/>
              <w:left w:val="single" w:sz="4" w:space="0" w:color="auto"/>
              <w:bottom w:val="single" w:sz="4" w:space="0" w:color="auto"/>
              <w:right w:val="single" w:sz="4" w:space="0" w:color="auto"/>
            </w:tcBorders>
            <w:vAlign w:val="center"/>
            <w:hideMark/>
          </w:tcPr>
          <w:p w14:paraId="2F9E255C" w14:textId="77777777" w:rsidR="00382354" w:rsidRPr="00E47FB2" w:rsidRDefault="00382354" w:rsidP="00382354">
            <w:pPr>
              <w:spacing w:after="0"/>
              <w:rPr>
                <w:rFonts w:ascii="Times New Roman" w:hAnsi="Times New Roman"/>
                <w:bCs/>
                <w:sz w:val="22"/>
                <w:szCs w:val="16"/>
                <w:lang w:eastAsia="es-DO"/>
              </w:rPr>
            </w:pPr>
          </w:p>
        </w:tc>
        <w:tc>
          <w:tcPr>
            <w:tcW w:w="2969" w:type="dxa"/>
            <w:tcBorders>
              <w:top w:val="nil"/>
              <w:left w:val="single" w:sz="4" w:space="0" w:color="auto"/>
              <w:bottom w:val="single" w:sz="4" w:space="0" w:color="auto"/>
              <w:right w:val="single" w:sz="4" w:space="0" w:color="auto"/>
            </w:tcBorders>
            <w:shd w:val="clear" w:color="auto" w:fill="auto"/>
            <w:vAlign w:val="center"/>
            <w:hideMark/>
          </w:tcPr>
          <w:p w14:paraId="610C16E2" w14:textId="77777777" w:rsidR="00382354" w:rsidRPr="00E47FB2" w:rsidRDefault="00382354" w:rsidP="00382354">
            <w:pPr>
              <w:spacing w:after="0"/>
              <w:jc w:val="center"/>
              <w:rPr>
                <w:rFonts w:ascii="Times New Roman" w:hAnsi="Times New Roman"/>
                <w:bCs/>
                <w:color w:val="000000"/>
                <w:sz w:val="22"/>
                <w:szCs w:val="16"/>
                <w:lang w:eastAsia="es-DO"/>
              </w:rPr>
            </w:pPr>
            <w:r w:rsidRPr="00E47FB2">
              <w:rPr>
                <w:rFonts w:ascii="Times New Roman" w:hAnsi="Times New Roman"/>
                <w:bCs/>
                <w:color w:val="000000"/>
                <w:sz w:val="22"/>
                <w:szCs w:val="16"/>
                <w:lang w:eastAsia="es-DO"/>
              </w:rPr>
              <w:t>Sanidad Vegetal</w:t>
            </w:r>
          </w:p>
        </w:tc>
        <w:tc>
          <w:tcPr>
            <w:tcW w:w="2409" w:type="dxa"/>
            <w:tcBorders>
              <w:top w:val="single" w:sz="4" w:space="0" w:color="auto"/>
              <w:left w:val="nil"/>
              <w:bottom w:val="single" w:sz="4" w:space="0" w:color="auto"/>
              <w:right w:val="single" w:sz="4" w:space="0" w:color="auto"/>
            </w:tcBorders>
            <w:shd w:val="clear" w:color="auto" w:fill="auto"/>
            <w:vAlign w:val="center"/>
          </w:tcPr>
          <w:p w14:paraId="27D6BB7D" w14:textId="77777777" w:rsidR="00382354" w:rsidRPr="00E47FB2" w:rsidRDefault="00382354" w:rsidP="00382354">
            <w:pPr>
              <w:spacing w:after="0"/>
              <w:rPr>
                <w:rFonts w:ascii="Times New Roman" w:hAnsi="Times New Roman"/>
                <w:bCs/>
                <w:color w:val="000000"/>
                <w:sz w:val="22"/>
                <w:szCs w:val="16"/>
                <w:lang w:eastAsia="es-DO"/>
              </w:rPr>
            </w:pPr>
            <w:r w:rsidRPr="00E47FB2">
              <w:rPr>
                <w:rFonts w:ascii="Times New Roman" w:hAnsi="Times New Roman"/>
                <w:bCs/>
                <w:color w:val="000000"/>
                <w:sz w:val="22"/>
                <w:szCs w:val="16"/>
                <w:lang w:eastAsia="es-DO"/>
              </w:rPr>
              <w:t>Establecimiento de plaguicidas registrados y fiscalizados</w:t>
            </w:r>
          </w:p>
        </w:tc>
        <w:tc>
          <w:tcPr>
            <w:tcW w:w="3261" w:type="dxa"/>
            <w:gridSpan w:val="3"/>
            <w:vMerge/>
            <w:tcBorders>
              <w:top w:val="single" w:sz="4" w:space="0" w:color="auto"/>
              <w:left w:val="nil"/>
              <w:bottom w:val="single" w:sz="4" w:space="0" w:color="auto"/>
              <w:right w:val="single" w:sz="4" w:space="0" w:color="auto"/>
            </w:tcBorders>
            <w:shd w:val="clear" w:color="auto" w:fill="auto"/>
            <w:vAlign w:val="center"/>
          </w:tcPr>
          <w:p w14:paraId="73E366A6" w14:textId="77777777" w:rsidR="00382354" w:rsidRPr="00E47FB2" w:rsidRDefault="00382354" w:rsidP="00382354">
            <w:pPr>
              <w:spacing w:after="0"/>
              <w:jc w:val="center"/>
              <w:rPr>
                <w:rFonts w:ascii="Times New Roman" w:hAnsi="Times New Roman"/>
                <w:b/>
                <w:bCs/>
                <w:color w:val="000000"/>
                <w:sz w:val="22"/>
                <w:szCs w:val="16"/>
                <w:lang w:eastAsia="es-DO"/>
              </w:rPr>
            </w:pPr>
          </w:p>
        </w:tc>
      </w:tr>
      <w:tr w:rsidR="00382354" w:rsidRPr="00382354" w14:paraId="2EA79D0F" w14:textId="77777777" w:rsidTr="00E47FB2">
        <w:trPr>
          <w:trHeight w:val="368"/>
          <w:jc w:val="center"/>
        </w:trPr>
        <w:tc>
          <w:tcPr>
            <w:tcW w:w="1350" w:type="dxa"/>
            <w:vMerge/>
            <w:tcBorders>
              <w:top w:val="nil"/>
              <w:left w:val="single" w:sz="4" w:space="0" w:color="auto"/>
              <w:bottom w:val="single" w:sz="4" w:space="0" w:color="auto"/>
              <w:right w:val="single" w:sz="4" w:space="0" w:color="auto"/>
            </w:tcBorders>
            <w:vAlign w:val="center"/>
            <w:hideMark/>
          </w:tcPr>
          <w:p w14:paraId="11354064" w14:textId="77777777" w:rsidR="00382354" w:rsidRPr="00E47FB2" w:rsidRDefault="00382354" w:rsidP="00382354">
            <w:pPr>
              <w:spacing w:after="0"/>
              <w:rPr>
                <w:rFonts w:ascii="Times New Roman" w:hAnsi="Times New Roman"/>
                <w:bCs/>
                <w:sz w:val="22"/>
                <w:szCs w:val="16"/>
                <w:lang w:eastAsia="es-DO"/>
              </w:rPr>
            </w:pPr>
          </w:p>
        </w:tc>
        <w:tc>
          <w:tcPr>
            <w:tcW w:w="2969" w:type="dxa"/>
            <w:tcBorders>
              <w:top w:val="nil"/>
              <w:left w:val="single" w:sz="4" w:space="0" w:color="auto"/>
              <w:bottom w:val="single" w:sz="4" w:space="0" w:color="auto"/>
              <w:right w:val="single" w:sz="4" w:space="0" w:color="auto"/>
            </w:tcBorders>
            <w:shd w:val="clear" w:color="auto" w:fill="auto"/>
            <w:vAlign w:val="center"/>
            <w:hideMark/>
          </w:tcPr>
          <w:p w14:paraId="42F3F0B4" w14:textId="77777777" w:rsidR="00382354" w:rsidRPr="00E47FB2" w:rsidRDefault="00382354" w:rsidP="00382354">
            <w:pPr>
              <w:spacing w:after="0"/>
              <w:jc w:val="center"/>
              <w:rPr>
                <w:rFonts w:ascii="Times New Roman" w:hAnsi="Times New Roman"/>
                <w:bCs/>
                <w:color w:val="000000"/>
                <w:sz w:val="22"/>
                <w:szCs w:val="16"/>
                <w:lang w:eastAsia="es-DO"/>
              </w:rPr>
            </w:pPr>
            <w:r w:rsidRPr="00E47FB2">
              <w:rPr>
                <w:rFonts w:ascii="Times New Roman" w:hAnsi="Times New Roman"/>
                <w:bCs/>
                <w:color w:val="000000"/>
                <w:sz w:val="22"/>
                <w:szCs w:val="16"/>
                <w:lang w:eastAsia="es-DO"/>
              </w:rPr>
              <w:t>Todos</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236601F5" w14:textId="77777777" w:rsidR="00382354" w:rsidRPr="00E47FB2" w:rsidRDefault="00382354" w:rsidP="00382354">
            <w:pPr>
              <w:spacing w:after="0"/>
              <w:rPr>
                <w:rFonts w:ascii="Times New Roman" w:hAnsi="Times New Roman"/>
                <w:bCs/>
                <w:color w:val="000000"/>
                <w:sz w:val="22"/>
                <w:szCs w:val="16"/>
                <w:lang w:eastAsia="es-DO"/>
              </w:rPr>
            </w:pPr>
            <w:r w:rsidRPr="00E47FB2">
              <w:rPr>
                <w:rFonts w:ascii="Times New Roman" w:hAnsi="Times New Roman"/>
                <w:bCs/>
                <w:color w:val="000000"/>
                <w:sz w:val="22"/>
                <w:szCs w:val="16"/>
                <w:lang w:eastAsia="es-DO"/>
              </w:rPr>
              <w:t>Técnicos y productores capacitados</w:t>
            </w:r>
          </w:p>
        </w:tc>
        <w:tc>
          <w:tcPr>
            <w:tcW w:w="3261" w:type="dxa"/>
            <w:gridSpan w:val="3"/>
            <w:vMerge/>
            <w:tcBorders>
              <w:top w:val="single" w:sz="4" w:space="0" w:color="auto"/>
              <w:left w:val="nil"/>
              <w:bottom w:val="single" w:sz="4" w:space="0" w:color="auto"/>
              <w:right w:val="single" w:sz="4" w:space="0" w:color="auto"/>
            </w:tcBorders>
            <w:shd w:val="clear" w:color="auto" w:fill="auto"/>
            <w:vAlign w:val="center"/>
          </w:tcPr>
          <w:p w14:paraId="1B65E24E" w14:textId="77777777" w:rsidR="00382354" w:rsidRPr="00382354" w:rsidRDefault="00382354" w:rsidP="00382354">
            <w:pPr>
              <w:spacing w:after="0"/>
              <w:jc w:val="center"/>
              <w:rPr>
                <w:rFonts w:ascii="Times New Roman" w:hAnsi="Times New Roman"/>
                <w:b/>
                <w:bCs/>
                <w:color w:val="000000"/>
                <w:sz w:val="22"/>
                <w:szCs w:val="16"/>
                <w:lang w:eastAsia="es-DO"/>
              </w:rPr>
            </w:pPr>
          </w:p>
        </w:tc>
      </w:tr>
    </w:tbl>
    <w:p w14:paraId="6F41104E" w14:textId="77777777" w:rsidR="00382354" w:rsidRPr="0098414F" w:rsidRDefault="00382354" w:rsidP="00382354">
      <w:pPr>
        <w:rPr>
          <w:rFonts w:ascii="Times New Roman" w:hAnsi="Times New Roman"/>
        </w:rPr>
      </w:pPr>
    </w:p>
    <w:p w14:paraId="2E1B6198" w14:textId="77777777" w:rsidR="00382354" w:rsidRDefault="00382354" w:rsidP="00382354">
      <w:pPr>
        <w:ind w:firstLine="720"/>
        <w:rPr>
          <w:rFonts w:ascii="Times New Roman" w:hAnsi="Times New Roman"/>
          <w:b/>
          <w:bCs/>
          <w:color w:val="000000"/>
          <w:lang w:eastAsia="es-DO"/>
        </w:rPr>
      </w:pPr>
      <w:r w:rsidRPr="0098414F">
        <w:rPr>
          <w:rFonts w:ascii="Times New Roman" w:hAnsi="Times New Roman"/>
          <w:b/>
        </w:rPr>
        <w:t>Ejecución financiera</w:t>
      </w:r>
      <w:r w:rsidRPr="0098414F">
        <w:rPr>
          <w:rFonts w:ascii="Times New Roman" w:hAnsi="Times New Roman"/>
          <w:b/>
          <w:bCs/>
          <w:color w:val="000000"/>
          <w:lang w:eastAsia="es-DO"/>
        </w:rPr>
        <w:t xml:space="preserve"> mejoramiento de la sanidad e inocuidad agroalimentaria en la Republica Dominicana</w:t>
      </w:r>
    </w:p>
    <w:p w14:paraId="6B7BD55D" w14:textId="77777777" w:rsidR="00382354" w:rsidRPr="0098414F" w:rsidRDefault="00382354" w:rsidP="00382354">
      <w:pPr>
        <w:spacing w:after="0"/>
        <w:ind w:firstLine="720"/>
        <w:rPr>
          <w:rFonts w:ascii="Times New Roman" w:hAnsi="Times New Roman"/>
          <w:b/>
        </w:rPr>
      </w:pPr>
    </w:p>
    <w:tbl>
      <w:tblPr>
        <w:tblW w:w="9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15"/>
        <w:gridCol w:w="5402"/>
        <w:gridCol w:w="1706"/>
      </w:tblGrid>
      <w:tr w:rsidR="00382354" w:rsidRPr="00E47FB2" w14:paraId="4DFD55DA" w14:textId="77777777" w:rsidTr="00E47FB2">
        <w:trPr>
          <w:trHeight w:val="71"/>
          <w:jc w:val="center"/>
        </w:trPr>
        <w:tc>
          <w:tcPr>
            <w:tcW w:w="1915" w:type="dxa"/>
            <w:shd w:val="clear" w:color="auto" w:fill="00B050"/>
            <w:vAlign w:val="center"/>
            <w:hideMark/>
          </w:tcPr>
          <w:p w14:paraId="4F189A42" w14:textId="77777777" w:rsidR="00382354" w:rsidRPr="00E47FB2" w:rsidRDefault="00382354" w:rsidP="005F634F">
            <w:pPr>
              <w:spacing w:after="0"/>
              <w:jc w:val="center"/>
              <w:rPr>
                <w:rFonts w:ascii="Times New Roman" w:hAnsi="Times New Roman"/>
                <w:b/>
                <w:bCs/>
                <w:color w:val="FFFFFF" w:themeColor="background1"/>
                <w:sz w:val="22"/>
                <w:szCs w:val="22"/>
                <w:lang w:eastAsia="es-DO"/>
              </w:rPr>
            </w:pPr>
            <w:r w:rsidRPr="00E47FB2">
              <w:rPr>
                <w:rFonts w:ascii="Times New Roman" w:hAnsi="Times New Roman"/>
                <w:b/>
                <w:bCs/>
                <w:color w:val="FFFFFF" w:themeColor="background1"/>
                <w:sz w:val="22"/>
                <w:szCs w:val="22"/>
                <w:lang w:eastAsia="es-DO"/>
              </w:rPr>
              <w:t>Nombre de Proyecto</w:t>
            </w:r>
          </w:p>
        </w:tc>
        <w:tc>
          <w:tcPr>
            <w:tcW w:w="5402" w:type="dxa"/>
            <w:shd w:val="clear" w:color="auto" w:fill="00B050"/>
            <w:vAlign w:val="center"/>
            <w:hideMark/>
          </w:tcPr>
          <w:p w14:paraId="7DE2C3D1" w14:textId="03129ABF" w:rsidR="00382354" w:rsidRPr="00E47FB2" w:rsidRDefault="00382354" w:rsidP="005F634F">
            <w:pPr>
              <w:spacing w:after="0"/>
              <w:jc w:val="center"/>
              <w:rPr>
                <w:rFonts w:ascii="Times New Roman" w:hAnsi="Times New Roman"/>
                <w:b/>
                <w:bCs/>
                <w:color w:val="FFFFFF" w:themeColor="background1"/>
                <w:sz w:val="22"/>
                <w:szCs w:val="22"/>
                <w:lang w:eastAsia="es-DO"/>
              </w:rPr>
            </w:pPr>
            <w:r w:rsidRPr="00E47FB2">
              <w:rPr>
                <w:rFonts w:ascii="Times New Roman" w:hAnsi="Times New Roman"/>
                <w:b/>
                <w:bCs/>
                <w:color w:val="FFFFFF" w:themeColor="background1"/>
                <w:sz w:val="22"/>
                <w:szCs w:val="22"/>
                <w:lang w:eastAsia="es-DO"/>
              </w:rPr>
              <w:t>Actividad / Obra / Producto / Bienes / Servicios</w:t>
            </w:r>
          </w:p>
        </w:tc>
        <w:tc>
          <w:tcPr>
            <w:tcW w:w="1706" w:type="dxa"/>
            <w:shd w:val="clear" w:color="auto" w:fill="00B050"/>
            <w:vAlign w:val="center"/>
            <w:hideMark/>
          </w:tcPr>
          <w:p w14:paraId="5B9344F4" w14:textId="77777777" w:rsidR="00382354" w:rsidRPr="00E47FB2" w:rsidRDefault="00382354" w:rsidP="005F634F">
            <w:pPr>
              <w:spacing w:after="0"/>
              <w:jc w:val="center"/>
              <w:rPr>
                <w:rFonts w:ascii="Times New Roman" w:hAnsi="Times New Roman"/>
                <w:b/>
                <w:bCs/>
                <w:color w:val="FFFFFF" w:themeColor="background1"/>
                <w:sz w:val="22"/>
                <w:szCs w:val="22"/>
                <w:lang w:eastAsia="es-DO"/>
              </w:rPr>
            </w:pPr>
            <w:r w:rsidRPr="00E47FB2">
              <w:rPr>
                <w:rFonts w:ascii="Times New Roman" w:hAnsi="Times New Roman"/>
                <w:b/>
                <w:bCs/>
                <w:color w:val="FFFFFF" w:themeColor="background1"/>
                <w:sz w:val="22"/>
                <w:szCs w:val="22"/>
                <w:lang w:eastAsia="es-DO"/>
              </w:rPr>
              <w:t>Total Año 2019</w:t>
            </w:r>
          </w:p>
          <w:p w14:paraId="7F7F3410" w14:textId="2EF936F8" w:rsidR="00382354" w:rsidRPr="00E47FB2" w:rsidRDefault="00382354" w:rsidP="005F634F">
            <w:pPr>
              <w:spacing w:after="0"/>
              <w:jc w:val="center"/>
              <w:rPr>
                <w:rFonts w:ascii="Times New Roman" w:hAnsi="Times New Roman"/>
                <w:b/>
                <w:bCs/>
                <w:color w:val="FFFFFF" w:themeColor="background1"/>
                <w:sz w:val="22"/>
                <w:szCs w:val="22"/>
                <w:lang w:eastAsia="es-DO"/>
              </w:rPr>
            </w:pPr>
            <w:r w:rsidRPr="00E47FB2">
              <w:rPr>
                <w:rFonts w:ascii="Times New Roman" w:hAnsi="Times New Roman"/>
                <w:b/>
                <w:bCs/>
                <w:color w:val="FFFFFF" w:themeColor="background1"/>
                <w:sz w:val="22"/>
                <w:szCs w:val="22"/>
                <w:lang w:eastAsia="es-DO"/>
              </w:rPr>
              <w:t>(RD$)</w:t>
            </w:r>
          </w:p>
        </w:tc>
      </w:tr>
      <w:tr w:rsidR="00382354" w:rsidRPr="00E47FB2" w14:paraId="71F6948A" w14:textId="77777777" w:rsidTr="00E47FB2">
        <w:trPr>
          <w:trHeight w:val="182"/>
          <w:jc w:val="center"/>
        </w:trPr>
        <w:tc>
          <w:tcPr>
            <w:tcW w:w="1915" w:type="dxa"/>
            <w:shd w:val="clear" w:color="auto" w:fill="808080" w:themeFill="background1" w:themeFillShade="80"/>
            <w:vAlign w:val="center"/>
            <w:hideMark/>
          </w:tcPr>
          <w:p w14:paraId="0AD378C5" w14:textId="77777777" w:rsidR="00382354" w:rsidRPr="00E47FB2" w:rsidRDefault="00382354" w:rsidP="005F634F">
            <w:pPr>
              <w:spacing w:after="0"/>
              <w:jc w:val="center"/>
              <w:rPr>
                <w:rFonts w:ascii="Times New Roman" w:hAnsi="Times New Roman"/>
                <w:b/>
                <w:bCs/>
                <w:color w:val="FFFFFF" w:themeColor="background1"/>
                <w:sz w:val="22"/>
                <w:szCs w:val="22"/>
                <w:lang w:eastAsia="es-DO"/>
              </w:rPr>
            </w:pPr>
            <w:r w:rsidRPr="00E47FB2">
              <w:rPr>
                <w:rFonts w:ascii="Times New Roman" w:hAnsi="Times New Roman"/>
                <w:b/>
                <w:bCs/>
                <w:color w:val="FFFFFF" w:themeColor="background1"/>
                <w:sz w:val="22"/>
                <w:szCs w:val="22"/>
                <w:lang w:eastAsia="es-DO"/>
              </w:rPr>
              <w:t>PATCA III</w:t>
            </w:r>
          </w:p>
        </w:tc>
        <w:tc>
          <w:tcPr>
            <w:tcW w:w="5402" w:type="dxa"/>
            <w:shd w:val="clear" w:color="auto" w:fill="808080" w:themeFill="background1" w:themeFillShade="80"/>
            <w:vAlign w:val="center"/>
            <w:hideMark/>
          </w:tcPr>
          <w:p w14:paraId="6DCCD89C" w14:textId="77777777" w:rsidR="00382354" w:rsidRPr="00E47FB2" w:rsidRDefault="00382354" w:rsidP="005F634F">
            <w:pPr>
              <w:spacing w:after="0"/>
              <w:jc w:val="right"/>
              <w:rPr>
                <w:rFonts w:ascii="Times New Roman" w:hAnsi="Times New Roman"/>
                <w:b/>
                <w:bCs/>
                <w:color w:val="FFFFFF" w:themeColor="background1"/>
                <w:sz w:val="22"/>
                <w:szCs w:val="22"/>
                <w:lang w:eastAsia="es-DO"/>
              </w:rPr>
            </w:pPr>
            <w:r w:rsidRPr="00E47FB2">
              <w:rPr>
                <w:rFonts w:ascii="Times New Roman" w:hAnsi="Times New Roman"/>
                <w:b/>
                <w:bCs/>
                <w:color w:val="FFFFFF" w:themeColor="background1"/>
                <w:sz w:val="22"/>
                <w:szCs w:val="22"/>
                <w:lang w:eastAsia="es-DO"/>
              </w:rPr>
              <w:t>Sanidad e Inocuidad Agroalimentaria</w:t>
            </w:r>
          </w:p>
        </w:tc>
        <w:tc>
          <w:tcPr>
            <w:tcW w:w="1706" w:type="dxa"/>
            <w:shd w:val="clear" w:color="auto" w:fill="808080" w:themeFill="background1" w:themeFillShade="80"/>
            <w:vAlign w:val="center"/>
            <w:hideMark/>
          </w:tcPr>
          <w:p w14:paraId="669EB79B" w14:textId="77777777" w:rsidR="00382354" w:rsidRPr="00E47FB2" w:rsidRDefault="00382354" w:rsidP="005F634F">
            <w:pPr>
              <w:spacing w:after="0"/>
              <w:jc w:val="center"/>
              <w:rPr>
                <w:rFonts w:ascii="Times New Roman" w:hAnsi="Times New Roman"/>
                <w:b/>
                <w:bCs/>
                <w:color w:val="FFFFFF" w:themeColor="background1"/>
                <w:sz w:val="22"/>
                <w:szCs w:val="22"/>
                <w:lang w:eastAsia="es-DO"/>
              </w:rPr>
            </w:pPr>
            <w:r w:rsidRPr="00E47FB2">
              <w:rPr>
                <w:rFonts w:ascii="Times New Roman" w:hAnsi="Times New Roman"/>
                <w:b/>
                <w:bCs/>
                <w:color w:val="FFFFFF" w:themeColor="background1"/>
                <w:sz w:val="22"/>
                <w:szCs w:val="22"/>
              </w:rPr>
              <w:t>33,242,783.48</w:t>
            </w:r>
          </w:p>
        </w:tc>
      </w:tr>
      <w:tr w:rsidR="00382354" w:rsidRPr="00E47FB2" w14:paraId="1FC0DD13" w14:textId="77777777" w:rsidTr="00E47FB2">
        <w:trPr>
          <w:trHeight w:val="65"/>
          <w:jc w:val="center"/>
        </w:trPr>
        <w:tc>
          <w:tcPr>
            <w:tcW w:w="1915" w:type="dxa"/>
            <w:vMerge w:val="restart"/>
            <w:shd w:val="clear" w:color="auto" w:fill="auto"/>
            <w:noWrap/>
            <w:vAlign w:val="center"/>
            <w:hideMark/>
          </w:tcPr>
          <w:p w14:paraId="1BAD6D2B" w14:textId="77777777" w:rsidR="00382354" w:rsidRPr="00E47FB2" w:rsidRDefault="00382354" w:rsidP="005F634F">
            <w:pPr>
              <w:spacing w:after="0"/>
              <w:jc w:val="center"/>
              <w:rPr>
                <w:rFonts w:ascii="Times New Roman" w:hAnsi="Times New Roman"/>
                <w:bCs/>
                <w:sz w:val="22"/>
                <w:szCs w:val="22"/>
                <w:lang w:eastAsia="es-DO"/>
              </w:rPr>
            </w:pPr>
            <w:r w:rsidRPr="00E47FB2">
              <w:rPr>
                <w:rFonts w:ascii="Times New Roman" w:hAnsi="Times New Roman"/>
                <w:bCs/>
                <w:sz w:val="22"/>
                <w:szCs w:val="22"/>
                <w:lang w:eastAsia="es-DO"/>
              </w:rPr>
              <w:t>Componentes</w:t>
            </w:r>
          </w:p>
        </w:tc>
        <w:tc>
          <w:tcPr>
            <w:tcW w:w="5402" w:type="dxa"/>
            <w:shd w:val="clear" w:color="auto" w:fill="auto"/>
            <w:vAlign w:val="center"/>
            <w:hideMark/>
          </w:tcPr>
          <w:p w14:paraId="6741C7FC" w14:textId="77777777" w:rsidR="00382354" w:rsidRPr="00E47FB2" w:rsidRDefault="00382354" w:rsidP="005F634F">
            <w:pPr>
              <w:spacing w:after="0"/>
              <w:jc w:val="right"/>
              <w:rPr>
                <w:rFonts w:ascii="Times New Roman" w:hAnsi="Times New Roman"/>
                <w:b/>
                <w:bCs/>
                <w:color w:val="000000"/>
                <w:sz w:val="22"/>
                <w:szCs w:val="22"/>
                <w:lang w:eastAsia="es-DO"/>
              </w:rPr>
            </w:pPr>
            <w:r w:rsidRPr="00E47FB2">
              <w:rPr>
                <w:rFonts w:ascii="Times New Roman" w:hAnsi="Times New Roman"/>
                <w:bCs/>
                <w:color w:val="000000"/>
                <w:sz w:val="22"/>
                <w:szCs w:val="22"/>
                <w:lang w:eastAsia="es-DO"/>
              </w:rPr>
              <w:t>Administración del programa</w:t>
            </w:r>
          </w:p>
        </w:tc>
        <w:tc>
          <w:tcPr>
            <w:tcW w:w="1706" w:type="dxa"/>
            <w:shd w:val="clear" w:color="auto" w:fill="auto"/>
            <w:vAlign w:val="center"/>
            <w:hideMark/>
          </w:tcPr>
          <w:p w14:paraId="61A205AE" w14:textId="77777777" w:rsidR="00382354" w:rsidRPr="00E47FB2" w:rsidRDefault="00382354" w:rsidP="005F634F">
            <w:pPr>
              <w:spacing w:after="0"/>
              <w:jc w:val="center"/>
              <w:rPr>
                <w:rFonts w:ascii="Times New Roman" w:hAnsi="Times New Roman"/>
                <w:color w:val="000000"/>
                <w:sz w:val="22"/>
                <w:szCs w:val="22"/>
                <w:lang w:eastAsia="es-DO"/>
              </w:rPr>
            </w:pPr>
            <w:r w:rsidRPr="00E47FB2">
              <w:rPr>
                <w:rFonts w:ascii="Times New Roman" w:hAnsi="Times New Roman"/>
                <w:bCs/>
                <w:color w:val="000000"/>
                <w:sz w:val="22"/>
                <w:szCs w:val="22"/>
              </w:rPr>
              <w:t>895,995.59</w:t>
            </w:r>
          </w:p>
        </w:tc>
      </w:tr>
      <w:tr w:rsidR="00382354" w:rsidRPr="00E47FB2" w14:paraId="5162FD39" w14:textId="77777777" w:rsidTr="00E47FB2">
        <w:trPr>
          <w:trHeight w:val="65"/>
          <w:jc w:val="center"/>
        </w:trPr>
        <w:tc>
          <w:tcPr>
            <w:tcW w:w="1915" w:type="dxa"/>
            <w:vMerge/>
            <w:vAlign w:val="center"/>
            <w:hideMark/>
          </w:tcPr>
          <w:p w14:paraId="44EDD4DB" w14:textId="77777777" w:rsidR="00382354" w:rsidRPr="00E47FB2" w:rsidRDefault="00382354" w:rsidP="005F634F">
            <w:pPr>
              <w:spacing w:after="0"/>
              <w:rPr>
                <w:rFonts w:ascii="Times New Roman" w:hAnsi="Times New Roman"/>
                <w:bCs/>
                <w:sz w:val="22"/>
                <w:szCs w:val="22"/>
                <w:lang w:eastAsia="es-DO"/>
              </w:rPr>
            </w:pPr>
          </w:p>
        </w:tc>
        <w:tc>
          <w:tcPr>
            <w:tcW w:w="5402" w:type="dxa"/>
            <w:shd w:val="clear" w:color="auto" w:fill="auto"/>
            <w:vAlign w:val="center"/>
            <w:hideMark/>
          </w:tcPr>
          <w:p w14:paraId="730B9CD0" w14:textId="77777777" w:rsidR="00382354" w:rsidRPr="00E47FB2" w:rsidRDefault="00382354" w:rsidP="005F634F">
            <w:pPr>
              <w:spacing w:after="0"/>
              <w:jc w:val="right"/>
              <w:rPr>
                <w:rFonts w:ascii="Times New Roman" w:hAnsi="Times New Roman"/>
                <w:b/>
                <w:bCs/>
                <w:color w:val="000000"/>
                <w:sz w:val="22"/>
                <w:szCs w:val="22"/>
                <w:lang w:eastAsia="es-DO"/>
              </w:rPr>
            </w:pPr>
            <w:r w:rsidRPr="00E47FB2">
              <w:rPr>
                <w:rFonts w:ascii="Times New Roman" w:hAnsi="Times New Roman"/>
                <w:bCs/>
                <w:color w:val="000000"/>
                <w:sz w:val="22"/>
                <w:szCs w:val="22"/>
                <w:lang w:eastAsia="es-DO"/>
              </w:rPr>
              <w:t>Costo directo</w:t>
            </w:r>
          </w:p>
        </w:tc>
        <w:tc>
          <w:tcPr>
            <w:tcW w:w="1706" w:type="dxa"/>
            <w:shd w:val="clear" w:color="auto" w:fill="auto"/>
            <w:vAlign w:val="center"/>
            <w:hideMark/>
          </w:tcPr>
          <w:p w14:paraId="1F8BCDCD" w14:textId="77777777" w:rsidR="00382354" w:rsidRPr="00E47FB2" w:rsidRDefault="00382354" w:rsidP="005F634F">
            <w:pPr>
              <w:spacing w:after="0"/>
              <w:jc w:val="center"/>
              <w:rPr>
                <w:rFonts w:ascii="Times New Roman" w:hAnsi="Times New Roman"/>
                <w:color w:val="000000"/>
                <w:sz w:val="22"/>
                <w:szCs w:val="22"/>
                <w:lang w:eastAsia="es-DO"/>
              </w:rPr>
            </w:pPr>
            <w:r w:rsidRPr="00E47FB2">
              <w:rPr>
                <w:rFonts w:ascii="Times New Roman" w:hAnsi="Times New Roman"/>
                <w:bCs/>
                <w:color w:val="000000"/>
                <w:sz w:val="22"/>
                <w:szCs w:val="22"/>
              </w:rPr>
              <w:t>346,974.10</w:t>
            </w:r>
          </w:p>
        </w:tc>
      </w:tr>
      <w:tr w:rsidR="00382354" w:rsidRPr="00E47FB2" w14:paraId="1F9F91A4" w14:textId="77777777" w:rsidTr="00E47FB2">
        <w:trPr>
          <w:trHeight w:val="65"/>
          <w:jc w:val="center"/>
        </w:trPr>
        <w:tc>
          <w:tcPr>
            <w:tcW w:w="1915" w:type="dxa"/>
            <w:vMerge/>
            <w:vAlign w:val="center"/>
            <w:hideMark/>
          </w:tcPr>
          <w:p w14:paraId="5D99660C" w14:textId="77777777" w:rsidR="00382354" w:rsidRPr="00E47FB2" w:rsidRDefault="00382354" w:rsidP="005F634F">
            <w:pPr>
              <w:spacing w:after="0"/>
              <w:rPr>
                <w:rFonts w:ascii="Times New Roman" w:hAnsi="Times New Roman"/>
                <w:bCs/>
                <w:sz w:val="22"/>
                <w:szCs w:val="22"/>
                <w:lang w:eastAsia="es-DO"/>
              </w:rPr>
            </w:pPr>
          </w:p>
        </w:tc>
        <w:tc>
          <w:tcPr>
            <w:tcW w:w="5402" w:type="dxa"/>
            <w:shd w:val="clear" w:color="auto" w:fill="auto"/>
            <w:vAlign w:val="center"/>
            <w:hideMark/>
          </w:tcPr>
          <w:p w14:paraId="60ECBB3D" w14:textId="77777777" w:rsidR="00382354" w:rsidRPr="00E47FB2" w:rsidRDefault="00382354" w:rsidP="005F634F">
            <w:pPr>
              <w:spacing w:after="0"/>
              <w:jc w:val="right"/>
              <w:rPr>
                <w:rFonts w:ascii="Times New Roman" w:hAnsi="Times New Roman"/>
                <w:b/>
                <w:bCs/>
                <w:color w:val="000000"/>
                <w:sz w:val="22"/>
                <w:szCs w:val="22"/>
                <w:lang w:eastAsia="es-DO"/>
              </w:rPr>
            </w:pPr>
            <w:r w:rsidRPr="00E47FB2">
              <w:rPr>
                <w:rFonts w:ascii="Times New Roman" w:hAnsi="Times New Roman"/>
                <w:bCs/>
                <w:color w:val="000000"/>
                <w:sz w:val="22"/>
                <w:szCs w:val="22"/>
                <w:lang w:eastAsia="es-DO"/>
              </w:rPr>
              <w:t>Inocuidad Alimentaria</w:t>
            </w:r>
          </w:p>
        </w:tc>
        <w:tc>
          <w:tcPr>
            <w:tcW w:w="1706" w:type="dxa"/>
            <w:shd w:val="clear" w:color="auto" w:fill="auto"/>
            <w:vAlign w:val="center"/>
            <w:hideMark/>
          </w:tcPr>
          <w:p w14:paraId="74D80E0A" w14:textId="77777777" w:rsidR="00382354" w:rsidRPr="00E47FB2" w:rsidRDefault="00382354" w:rsidP="005F634F">
            <w:pPr>
              <w:spacing w:after="0"/>
              <w:jc w:val="center"/>
              <w:rPr>
                <w:rFonts w:ascii="Times New Roman" w:hAnsi="Times New Roman"/>
                <w:color w:val="000000"/>
                <w:sz w:val="22"/>
                <w:szCs w:val="22"/>
                <w:lang w:eastAsia="es-DO"/>
              </w:rPr>
            </w:pPr>
            <w:r w:rsidRPr="00E47FB2">
              <w:rPr>
                <w:rFonts w:ascii="Times New Roman" w:hAnsi="Times New Roman"/>
                <w:color w:val="000000"/>
                <w:sz w:val="22"/>
                <w:szCs w:val="22"/>
              </w:rPr>
              <w:t>999,893.80</w:t>
            </w:r>
          </w:p>
        </w:tc>
      </w:tr>
      <w:tr w:rsidR="00382354" w:rsidRPr="00E47FB2" w14:paraId="6CC3EFF2" w14:textId="77777777" w:rsidTr="00E47FB2">
        <w:trPr>
          <w:trHeight w:val="65"/>
          <w:jc w:val="center"/>
        </w:trPr>
        <w:tc>
          <w:tcPr>
            <w:tcW w:w="1915" w:type="dxa"/>
            <w:vMerge/>
            <w:vAlign w:val="center"/>
            <w:hideMark/>
          </w:tcPr>
          <w:p w14:paraId="47A30BBB" w14:textId="77777777" w:rsidR="00382354" w:rsidRPr="00E47FB2" w:rsidRDefault="00382354" w:rsidP="005F634F">
            <w:pPr>
              <w:spacing w:after="0"/>
              <w:rPr>
                <w:rFonts w:ascii="Times New Roman" w:hAnsi="Times New Roman"/>
                <w:bCs/>
                <w:sz w:val="22"/>
                <w:szCs w:val="22"/>
                <w:lang w:eastAsia="es-DO"/>
              </w:rPr>
            </w:pPr>
          </w:p>
        </w:tc>
        <w:tc>
          <w:tcPr>
            <w:tcW w:w="5402" w:type="dxa"/>
            <w:shd w:val="clear" w:color="auto" w:fill="auto"/>
            <w:vAlign w:val="center"/>
            <w:hideMark/>
          </w:tcPr>
          <w:p w14:paraId="5505E5E4" w14:textId="77777777" w:rsidR="00382354" w:rsidRPr="00E47FB2" w:rsidRDefault="00382354" w:rsidP="005F634F">
            <w:pPr>
              <w:spacing w:after="0"/>
              <w:jc w:val="right"/>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Sanidad Animal</w:t>
            </w:r>
          </w:p>
        </w:tc>
        <w:tc>
          <w:tcPr>
            <w:tcW w:w="1706" w:type="dxa"/>
            <w:shd w:val="clear" w:color="auto" w:fill="auto"/>
            <w:vAlign w:val="center"/>
            <w:hideMark/>
          </w:tcPr>
          <w:p w14:paraId="5E513750" w14:textId="77777777" w:rsidR="00382354" w:rsidRPr="00E47FB2" w:rsidRDefault="00382354" w:rsidP="005F634F">
            <w:pPr>
              <w:spacing w:after="0"/>
              <w:jc w:val="center"/>
              <w:rPr>
                <w:rFonts w:ascii="Times New Roman" w:hAnsi="Times New Roman"/>
                <w:color w:val="000000"/>
                <w:sz w:val="22"/>
                <w:szCs w:val="22"/>
                <w:lang w:eastAsia="es-DO"/>
              </w:rPr>
            </w:pPr>
            <w:r w:rsidRPr="00E47FB2">
              <w:rPr>
                <w:rFonts w:ascii="Times New Roman" w:hAnsi="Times New Roman"/>
                <w:color w:val="000000"/>
                <w:sz w:val="22"/>
                <w:szCs w:val="22"/>
              </w:rPr>
              <w:t>867,164.90</w:t>
            </w:r>
          </w:p>
        </w:tc>
      </w:tr>
      <w:tr w:rsidR="00382354" w:rsidRPr="00E47FB2" w14:paraId="5E3E6225" w14:textId="77777777" w:rsidTr="00E47FB2">
        <w:trPr>
          <w:trHeight w:val="65"/>
          <w:jc w:val="center"/>
        </w:trPr>
        <w:tc>
          <w:tcPr>
            <w:tcW w:w="1915" w:type="dxa"/>
            <w:vMerge/>
            <w:vAlign w:val="center"/>
            <w:hideMark/>
          </w:tcPr>
          <w:p w14:paraId="33D908BB" w14:textId="77777777" w:rsidR="00382354" w:rsidRPr="00E47FB2" w:rsidRDefault="00382354" w:rsidP="005F634F">
            <w:pPr>
              <w:spacing w:after="0"/>
              <w:rPr>
                <w:rFonts w:ascii="Times New Roman" w:hAnsi="Times New Roman"/>
                <w:bCs/>
                <w:sz w:val="22"/>
                <w:szCs w:val="22"/>
                <w:lang w:eastAsia="es-DO"/>
              </w:rPr>
            </w:pPr>
          </w:p>
        </w:tc>
        <w:tc>
          <w:tcPr>
            <w:tcW w:w="5402" w:type="dxa"/>
            <w:shd w:val="clear" w:color="auto" w:fill="auto"/>
            <w:vAlign w:val="center"/>
            <w:hideMark/>
          </w:tcPr>
          <w:p w14:paraId="2830C47A" w14:textId="77777777" w:rsidR="00382354" w:rsidRPr="00E47FB2" w:rsidRDefault="00382354" w:rsidP="005F634F">
            <w:pPr>
              <w:spacing w:after="0"/>
              <w:jc w:val="right"/>
              <w:rPr>
                <w:rFonts w:ascii="Times New Roman" w:hAnsi="Times New Roman"/>
                <w:b/>
                <w:bCs/>
                <w:color w:val="000000"/>
                <w:sz w:val="22"/>
                <w:szCs w:val="22"/>
                <w:lang w:eastAsia="es-DO"/>
              </w:rPr>
            </w:pPr>
            <w:r w:rsidRPr="00E47FB2">
              <w:rPr>
                <w:rFonts w:ascii="Times New Roman" w:hAnsi="Times New Roman"/>
                <w:bCs/>
                <w:color w:val="000000"/>
                <w:sz w:val="22"/>
                <w:szCs w:val="22"/>
                <w:lang w:eastAsia="es-DO"/>
              </w:rPr>
              <w:t>Sanidad Vegetal</w:t>
            </w:r>
            <w:r w:rsidRPr="00E47FB2">
              <w:rPr>
                <w:rFonts w:ascii="Times New Roman" w:hAnsi="Times New Roman"/>
                <w:b/>
                <w:bCs/>
                <w:color w:val="000000"/>
                <w:sz w:val="22"/>
                <w:szCs w:val="22"/>
                <w:lang w:eastAsia="es-DO"/>
              </w:rPr>
              <w:t> </w:t>
            </w:r>
          </w:p>
        </w:tc>
        <w:tc>
          <w:tcPr>
            <w:tcW w:w="1706" w:type="dxa"/>
            <w:shd w:val="clear" w:color="auto" w:fill="auto"/>
            <w:vAlign w:val="center"/>
            <w:hideMark/>
          </w:tcPr>
          <w:p w14:paraId="71EE4E4A" w14:textId="77777777" w:rsidR="00382354" w:rsidRPr="00E47FB2" w:rsidRDefault="00382354" w:rsidP="005F634F">
            <w:pPr>
              <w:spacing w:after="0"/>
              <w:jc w:val="center"/>
              <w:rPr>
                <w:rFonts w:ascii="Times New Roman" w:hAnsi="Times New Roman"/>
                <w:color w:val="000000"/>
                <w:sz w:val="22"/>
                <w:szCs w:val="22"/>
                <w:lang w:eastAsia="es-DO"/>
              </w:rPr>
            </w:pPr>
            <w:r w:rsidRPr="00E47FB2">
              <w:rPr>
                <w:rFonts w:ascii="Times New Roman" w:hAnsi="Times New Roman"/>
                <w:color w:val="000000"/>
                <w:sz w:val="22"/>
                <w:szCs w:val="22"/>
              </w:rPr>
              <w:t>6,770,852.61</w:t>
            </w:r>
          </w:p>
        </w:tc>
      </w:tr>
      <w:tr w:rsidR="00382354" w:rsidRPr="00E47FB2" w14:paraId="2880B3FD" w14:textId="77777777" w:rsidTr="00E47FB2">
        <w:trPr>
          <w:trHeight w:val="65"/>
          <w:jc w:val="center"/>
        </w:trPr>
        <w:tc>
          <w:tcPr>
            <w:tcW w:w="1915" w:type="dxa"/>
            <w:vMerge/>
            <w:vAlign w:val="center"/>
            <w:hideMark/>
          </w:tcPr>
          <w:p w14:paraId="1A4809A0" w14:textId="77777777" w:rsidR="00382354" w:rsidRPr="00E47FB2" w:rsidRDefault="00382354" w:rsidP="005F634F">
            <w:pPr>
              <w:spacing w:after="0"/>
              <w:rPr>
                <w:rFonts w:ascii="Times New Roman" w:hAnsi="Times New Roman"/>
                <w:bCs/>
                <w:sz w:val="22"/>
                <w:szCs w:val="22"/>
                <w:lang w:eastAsia="es-DO"/>
              </w:rPr>
            </w:pPr>
          </w:p>
        </w:tc>
        <w:tc>
          <w:tcPr>
            <w:tcW w:w="5402" w:type="dxa"/>
            <w:shd w:val="clear" w:color="auto" w:fill="auto"/>
            <w:vAlign w:val="center"/>
            <w:hideMark/>
          </w:tcPr>
          <w:p w14:paraId="58A5ECFB" w14:textId="77777777" w:rsidR="00382354" w:rsidRPr="00E47FB2" w:rsidRDefault="00382354" w:rsidP="005F634F">
            <w:pPr>
              <w:spacing w:after="0"/>
              <w:jc w:val="right"/>
              <w:rPr>
                <w:rFonts w:ascii="Times New Roman" w:hAnsi="Times New Roman"/>
                <w:b/>
                <w:bCs/>
                <w:color w:val="000000"/>
                <w:sz w:val="22"/>
                <w:szCs w:val="22"/>
                <w:lang w:eastAsia="es-DO"/>
              </w:rPr>
            </w:pPr>
            <w:r w:rsidRPr="00E47FB2">
              <w:rPr>
                <w:rFonts w:ascii="Times New Roman" w:hAnsi="Times New Roman"/>
                <w:bCs/>
                <w:color w:val="000000"/>
                <w:sz w:val="22"/>
                <w:szCs w:val="22"/>
                <w:lang w:eastAsia="es-DO"/>
              </w:rPr>
              <w:t>Gestión Institucional</w:t>
            </w:r>
          </w:p>
        </w:tc>
        <w:tc>
          <w:tcPr>
            <w:tcW w:w="1706" w:type="dxa"/>
            <w:shd w:val="clear" w:color="auto" w:fill="auto"/>
            <w:vAlign w:val="center"/>
            <w:hideMark/>
          </w:tcPr>
          <w:p w14:paraId="70813950" w14:textId="77777777" w:rsidR="00382354" w:rsidRPr="00E47FB2" w:rsidRDefault="00382354" w:rsidP="005F634F">
            <w:pPr>
              <w:spacing w:after="0"/>
              <w:jc w:val="center"/>
              <w:rPr>
                <w:rFonts w:ascii="Times New Roman" w:hAnsi="Times New Roman"/>
                <w:color w:val="000000"/>
                <w:sz w:val="22"/>
                <w:szCs w:val="22"/>
                <w:lang w:eastAsia="es-DO"/>
              </w:rPr>
            </w:pPr>
            <w:r w:rsidRPr="00E47FB2">
              <w:rPr>
                <w:rFonts w:ascii="Times New Roman" w:hAnsi="Times New Roman"/>
                <w:color w:val="000000"/>
                <w:sz w:val="22"/>
                <w:szCs w:val="22"/>
              </w:rPr>
              <w:t>2,825,510.74</w:t>
            </w:r>
          </w:p>
        </w:tc>
      </w:tr>
      <w:tr w:rsidR="00382354" w:rsidRPr="00382354" w14:paraId="62B0EDD8" w14:textId="77777777" w:rsidTr="00E47FB2">
        <w:trPr>
          <w:trHeight w:val="65"/>
          <w:jc w:val="center"/>
        </w:trPr>
        <w:tc>
          <w:tcPr>
            <w:tcW w:w="1915" w:type="dxa"/>
            <w:vMerge/>
            <w:vAlign w:val="center"/>
            <w:hideMark/>
          </w:tcPr>
          <w:p w14:paraId="6C85C98C" w14:textId="77777777" w:rsidR="00382354" w:rsidRPr="00E47FB2" w:rsidRDefault="00382354" w:rsidP="005F634F">
            <w:pPr>
              <w:spacing w:after="0"/>
              <w:rPr>
                <w:rFonts w:ascii="Times New Roman" w:hAnsi="Times New Roman"/>
                <w:bCs/>
                <w:sz w:val="22"/>
                <w:szCs w:val="22"/>
                <w:lang w:eastAsia="es-DO"/>
              </w:rPr>
            </w:pPr>
          </w:p>
        </w:tc>
        <w:tc>
          <w:tcPr>
            <w:tcW w:w="5402" w:type="dxa"/>
            <w:shd w:val="clear" w:color="auto" w:fill="auto"/>
            <w:vAlign w:val="center"/>
            <w:hideMark/>
          </w:tcPr>
          <w:p w14:paraId="6391FB7D" w14:textId="77777777" w:rsidR="00382354" w:rsidRPr="00E47FB2" w:rsidRDefault="00382354" w:rsidP="005F634F">
            <w:pPr>
              <w:spacing w:after="0"/>
              <w:jc w:val="right"/>
              <w:rPr>
                <w:rFonts w:ascii="Times New Roman" w:hAnsi="Times New Roman"/>
                <w:b/>
                <w:bCs/>
                <w:color w:val="000000"/>
                <w:sz w:val="22"/>
                <w:szCs w:val="22"/>
                <w:lang w:eastAsia="es-DO"/>
              </w:rPr>
            </w:pPr>
            <w:r w:rsidRPr="00E47FB2">
              <w:rPr>
                <w:rFonts w:ascii="Times New Roman" w:hAnsi="Times New Roman"/>
                <w:bCs/>
                <w:color w:val="000000"/>
                <w:sz w:val="22"/>
                <w:szCs w:val="22"/>
                <w:lang w:eastAsia="es-DO"/>
              </w:rPr>
              <w:t>Seguimiento, Evaluación y Auditoría</w:t>
            </w:r>
          </w:p>
        </w:tc>
        <w:tc>
          <w:tcPr>
            <w:tcW w:w="1706" w:type="dxa"/>
            <w:shd w:val="clear" w:color="auto" w:fill="auto"/>
            <w:vAlign w:val="center"/>
            <w:hideMark/>
          </w:tcPr>
          <w:p w14:paraId="7269DF85" w14:textId="77777777" w:rsidR="00382354" w:rsidRPr="00E47FB2" w:rsidRDefault="00382354" w:rsidP="005F634F">
            <w:pPr>
              <w:spacing w:after="0"/>
              <w:jc w:val="center"/>
              <w:rPr>
                <w:rFonts w:ascii="Times New Roman" w:hAnsi="Times New Roman"/>
                <w:color w:val="000000"/>
                <w:sz w:val="22"/>
                <w:szCs w:val="22"/>
                <w:lang w:eastAsia="es-DO"/>
              </w:rPr>
            </w:pPr>
            <w:r w:rsidRPr="00E47FB2">
              <w:rPr>
                <w:rFonts w:ascii="Times New Roman" w:hAnsi="Times New Roman"/>
                <w:bCs/>
                <w:color w:val="000000"/>
                <w:sz w:val="22"/>
                <w:szCs w:val="22"/>
              </w:rPr>
              <w:t>20,536,391.74</w:t>
            </w:r>
          </w:p>
        </w:tc>
      </w:tr>
    </w:tbl>
    <w:p w14:paraId="24D7DA67" w14:textId="77777777" w:rsidR="00382354" w:rsidRPr="0098414F" w:rsidRDefault="00382354" w:rsidP="00382354">
      <w:pPr>
        <w:rPr>
          <w:rFonts w:ascii="Times New Roman" w:hAnsi="Times New Roman"/>
        </w:rPr>
      </w:pPr>
      <w:r w:rsidRPr="0098414F">
        <w:rPr>
          <w:rFonts w:ascii="Times New Roman" w:hAnsi="Times New Roman"/>
        </w:rPr>
        <w:br w:type="page"/>
      </w:r>
    </w:p>
    <w:p w14:paraId="10E5669C" w14:textId="77777777" w:rsidR="00382354" w:rsidRPr="0098414F" w:rsidRDefault="00382354" w:rsidP="00382354">
      <w:pPr>
        <w:ind w:firstLine="720"/>
        <w:rPr>
          <w:rFonts w:ascii="Times New Roman" w:hAnsi="Times New Roman"/>
          <w:b/>
        </w:rPr>
      </w:pPr>
      <w:r w:rsidRPr="0098414F">
        <w:rPr>
          <w:rFonts w:ascii="Times New Roman" w:hAnsi="Times New Roman"/>
          <w:b/>
        </w:rPr>
        <w:lastRenderedPageBreak/>
        <w:t xml:space="preserve">Ejecución física fortalecimiento de las capacidades para la gestión integral del riesgo en el sector agropecuario </w:t>
      </w:r>
    </w:p>
    <w:tbl>
      <w:tblPr>
        <w:tblW w:w="12757" w:type="dxa"/>
        <w:tblInd w:w="846" w:type="dxa"/>
        <w:tblCellMar>
          <w:left w:w="70" w:type="dxa"/>
          <w:right w:w="70" w:type="dxa"/>
        </w:tblCellMar>
        <w:tblLook w:val="04A0" w:firstRow="1" w:lastRow="0" w:firstColumn="1" w:lastColumn="0" w:noHBand="0" w:noVBand="1"/>
      </w:tblPr>
      <w:tblGrid>
        <w:gridCol w:w="1838"/>
        <w:gridCol w:w="690"/>
        <w:gridCol w:w="1533"/>
        <w:gridCol w:w="5436"/>
        <w:gridCol w:w="1559"/>
        <w:gridCol w:w="1701"/>
      </w:tblGrid>
      <w:tr w:rsidR="00382354" w:rsidRPr="00112DC6" w14:paraId="0B436C7B" w14:textId="77777777" w:rsidTr="005F634F">
        <w:trPr>
          <w:trHeight w:val="85"/>
        </w:trPr>
        <w:tc>
          <w:tcPr>
            <w:tcW w:w="12757"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E1975" w14:textId="77777777" w:rsidR="00382354" w:rsidRPr="00112DC6" w:rsidRDefault="00382354" w:rsidP="005F634F">
            <w:pPr>
              <w:spacing w:after="0"/>
              <w:rPr>
                <w:rFonts w:ascii="Times New Roman" w:hAnsi="Times New Roman"/>
                <w:color w:val="000000"/>
                <w:sz w:val="22"/>
                <w:szCs w:val="22"/>
                <w:lang w:eastAsia="es-DO"/>
              </w:rPr>
            </w:pPr>
            <w:r w:rsidRPr="00112DC6">
              <w:rPr>
                <w:rFonts w:ascii="Times New Roman" w:hAnsi="Times New Roman"/>
                <w:b/>
                <w:bCs/>
                <w:color w:val="000000"/>
                <w:sz w:val="22"/>
                <w:szCs w:val="22"/>
                <w:lang w:eastAsia="es-DO"/>
              </w:rPr>
              <w:t>CONSTRUCCIÓN SISTEMAS DE PRODUCCION PARA LA RECONVERSION AGRICOLA DE SAN JUAN DE LA MAGUANA</w:t>
            </w:r>
          </w:p>
        </w:tc>
      </w:tr>
      <w:tr w:rsidR="00382354" w:rsidRPr="00112DC6" w14:paraId="49AF3ED2" w14:textId="77777777" w:rsidTr="005F634F">
        <w:trPr>
          <w:trHeight w:val="70"/>
        </w:trPr>
        <w:tc>
          <w:tcPr>
            <w:tcW w:w="12757" w:type="dxa"/>
            <w:gridSpan w:val="6"/>
            <w:tcBorders>
              <w:top w:val="nil"/>
              <w:left w:val="single" w:sz="4" w:space="0" w:color="auto"/>
              <w:bottom w:val="single" w:sz="4" w:space="0" w:color="auto"/>
              <w:right w:val="single" w:sz="4" w:space="0" w:color="auto"/>
            </w:tcBorders>
            <w:shd w:val="clear" w:color="auto" w:fill="auto"/>
            <w:noWrap/>
            <w:vAlign w:val="center"/>
            <w:hideMark/>
          </w:tcPr>
          <w:p w14:paraId="34A56F65" w14:textId="77777777" w:rsidR="00382354" w:rsidRPr="00112DC6" w:rsidRDefault="00382354" w:rsidP="005F634F">
            <w:pPr>
              <w:spacing w:after="0"/>
              <w:rPr>
                <w:rFonts w:ascii="Times New Roman" w:hAnsi="Times New Roman"/>
                <w:sz w:val="22"/>
                <w:szCs w:val="22"/>
                <w:lang w:eastAsia="es-DO"/>
              </w:rPr>
            </w:pPr>
            <w:r w:rsidRPr="00112DC6">
              <w:rPr>
                <w:rFonts w:ascii="Times New Roman" w:hAnsi="Times New Roman"/>
                <w:b/>
                <w:bCs/>
                <w:color w:val="000000"/>
                <w:sz w:val="22"/>
                <w:szCs w:val="22"/>
                <w:lang w:eastAsia="es-DO"/>
              </w:rPr>
              <w:t>Organismo Financiador: Gobierno Dominicano y Banco Interamericano de Desarrollo - BID</w:t>
            </w:r>
          </w:p>
        </w:tc>
      </w:tr>
      <w:tr w:rsidR="00382354" w:rsidRPr="00112DC6" w14:paraId="0D53290A" w14:textId="77777777" w:rsidTr="005F634F">
        <w:trPr>
          <w:trHeight w:val="125"/>
        </w:trPr>
        <w:tc>
          <w:tcPr>
            <w:tcW w:w="12757" w:type="dxa"/>
            <w:gridSpan w:val="6"/>
            <w:tcBorders>
              <w:top w:val="nil"/>
              <w:left w:val="single" w:sz="4" w:space="0" w:color="auto"/>
              <w:bottom w:val="single" w:sz="4" w:space="0" w:color="auto"/>
              <w:right w:val="single" w:sz="4" w:space="0" w:color="auto"/>
            </w:tcBorders>
            <w:shd w:val="clear" w:color="auto" w:fill="auto"/>
            <w:noWrap/>
            <w:vAlign w:val="center"/>
            <w:hideMark/>
          </w:tcPr>
          <w:p w14:paraId="6309E2EA" w14:textId="77777777" w:rsidR="00382354" w:rsidRPr="00112DC6" w:rsidRDefault="00382354" w:rsidP="005F634F">
            <w:pPr>
              <w:spacing w:after="0"/>
              <w:rPr>
                <w:rFonts w:ascii="Times New Roman" w:hAnsi="Times New Roman"/>
                <w:sz w:val="22"/>
                <w:szCs w:val="22"/>
                <w:lang w:eastAsia="es-DO"/>
              </w:rPr>
            </w:pPr>
            <w:r w:rsidRPr="00112DC6">
              <w:rPr>
                <w:rFonts w:ascii="Times New Roman" w:hAnsi="Times New Roman"/>
                <w:b/>
                <w:bCs/>
                <w:color w:val="000000"/>
                <w:sz w:val="22"/>
                <w:szCs w:val="22"/>
                <w:lang w:eastAsia="es-DO"/>
              </w:rPr>
              <w:t>Código SNIP: 12954</w:t>
            </w:r>
          </w:p>
        </w:tc>
      </w:tr>
      <w:tr w:rsidR="00382354" w:rsidRPr="00112DC6" w14:paraId="28351819" w14:textId="77777777" w:rsidTr="005F634F">
        <w:trPr>
          <w:trHeight w:val="70"/>
        </w:trPr>
        <w:tc>
          <w:tcPr>
            <w:tcW w:w="1838" w:type="dxa"/>
            <w:vMerge w:val="restart"/>
            <w:tcBorders>
              <w:top w:val="single" w:sz="4" w:space="0" w:color="auto"/>
              <w:left w:val="single" w:sz="4" w:space="0" w:color="auto"/>
              <w:bottom w:val="single" w:sz="4" w:space="0" w:color="auto"/>
              <w:right w:val="single" w:sz="4" w:space="0" w:color="auto"/>
            </w:tcBorders>
            <w:shd w:val="clear" w:color="auto" w:fill="00B050"/>
            <w:vAlign w:val="center"/>
            <w:hideMark/>
          </w:tcPr>
          <w:p w14:paraId="4A5A2C0A" w14:textId="77777777" w:rsidR="00382354" w:rsidRPr="00112DC6" w:rsidRDefault="00382354" w:rsidP="005F634F">
            <w:pPr>
              <w:spacing w:after="0"/>
              <w:jc w:val="center"/>
              <w:rPr>
                <w:rFonts w:ascii="Times New Roman" w:hAnsi="Times New Roman"/>
                <w:b/>
                <w:bCs/>
                <w:color w:val="FFFFFF" w:themeColor="background1"/>
                <w:sz w:val="22"/>
                <w:szCs w:val="22"/>
                <w:lang w:eastAsia="es-DO"/>
              </w:rPr>
            </w:pPr>
            <w:r w:rsidRPr="00112DC6">
              <w:rPr>
                <w:rFonts w:ascii="Times New Roman" w:hAnsi="Times New Roman"/>
                <w:b/>
                <w:bCs/>
                <w:color w:val="FFFFFF" w:themeColor="background1"/>
                <w:sz w:val="22"/>
                <w:szCs w:val="22"/>
                <w:lang w:eastAsia="es-DO"/>
              </w:rPr>
              <w:t>Nombre de Proyecto</w:t>
            </w:r>
          </w:p>
        </w:tc>
        <w:tc>
          <w:tcPr>
            <w:tcW w:w="7659" w:type="dxa"/>
            <w:gridSpan w:val="3"/>
            <w:tcBorders>
              <w:top w:val="single" w:sz="4" w:space="0" w:color="auto"/>
              <w:left w:val="single" w:sz="4" w:space="0" w:color="auto"/>
              <w:bottom w:val="single" w:sz="4" w:space="0" w:color="auto"/>
              <w:right w:val="single" w:sz="4" w:space="0" w:color="auto"/>
            </w:tcBorders>
            <w:shd w:val="clear" w:color="auto" w:fill="00B050"/>
            <w:vAlign w:val="center"/>
            <w:hideMark/>
          </w:tcPr>
          <w:p w14:paraId="00585972" w14:textId="77777777" w:rsidR="00382354" w:rsidRPr="00112DC6" w:rsidRDefault="00382354" w:rsidP="005F634F">
            <w:pPr>
              <w:spacing w:after="0"/>
              <w:jc w:val="center"/>
              <w:rPr>
                <w:rFonts w:ascii="Times New Roman" w:hAnsi="Times New Roman"/>
                <w:b/>
                <w:bCs/>
                <w:color w:val="FFFFFF" w:themeColor="background1"/>
                <w:sz w:val="22"/>
                <w:szCs w:val="22"/>
                <w:lang w:eastAsia="es-DO"/>
              </w:rPr>
            </w:pPr>
            <w:r w:rsidRPr="00112DC6">
              <w:rPr>
                <w:rFonts w:ascii="Times New Roman" w:hAnsi="Times New Roman"/>
                <w:b/>
                <w:bCs/>
                <w:color w:val="FFFFFF" w:themeColor="background1"/>
                <w:sz w:val="22"/>
                <w:szCs w:val="22"/>
                <w:lang w:eastAsia="es-DO"/>
              </w:rPr>
              <w:t>Actividad / Obra / Producto </w:t>
            </w:r>
          </w:p>
        </w:tc>
        <w:tc>
          <w:tcPr>
            <w:tcW w:w="1559" w:type="dxa"/>
            <w:tcBorders>
              <w:top w:val="single" w:sz="4" w:space="0" w:color="auto"/>
              <w:left w:val="nil"/>
              <w:bottom w:val="single" w:sz="4" w:space="0" w:color="auto"/>
              <w:right w:val="single" w:sz="4" w:space="0" w:color="auto"/>
            </w:tcBorders>
            <w:shd w:val="clear" w:color="auto" w:fill="00B050"/>
            <w:vAlign w:val="center"/>
            <w:hideMark/>
          </w:tcPr>
          <w:p w14:paraId="586C2DC6" w14:textId="433C38C8" w:rsidR="00382354" w:rsidRPr="00112DC6" w:rsidRDefault="00382354" w:rsidP="005F634F">
            <w:pPr>
              <w:spacing w:after="0"/>
              <w:jc w:val="center"/>
              <w:rPr>
                <w:rFonts w:ascii="Times New Roman" w:hAnsi="Times New Roman"/>
                <w:b/>
                <w:bCs/>
                <w:color w:val="FFFFFF" w:themeColor="background1"/>
                <w:sz w:val="22"/>
                <w:szCs w:val="22"/>
                <w:lang w:eastAsia="es-DO"/>
              </w:rPr>
            </w:pPr>
            <w:r w:rsidRPr="00112DC6">
              <w:rPr>
                <w:rFonts w:ascii="Times New Roman" w:hAnsi="Times New Roman"/>
                <w:b/>
                <w:bCs/>
                <w:color w:val="FFFFFF" w:themeColor="background1"/>
                <w:sz w:val="22"/>
                <w:szCs w:val="22"/>
                <w:lang w:eastAsia="es-DO"/>
              </w:rPr>
              <w:t xml:space="preserve">Presupuesto </w:t>
            </w:r>
          </w:p>
        </w:tc>
        <w:tc>
          <w:tcPr>
            <w:tcW w:w="1701" w:type="dxa"/>
            <w:tcBorders>
              <w:top w:val="single" w:sz="4" w:space="0" w:color="auto"/>
              <w:left w:val="nil"/>
              <w:bottom w:val="single" w:sz="4" w:space="0" w:color="auto"/>
              <w:right w:val="single" w:sz="4" w:space="0" w:color="auto"/>
            </w:tcBorders>
            <w:shd w:val="clear" w:color="auto" w:fill="00B050"/>
            <w:vAlign w:val="center"/>
            <w:hideMark/>
          </w:tcPr>
          <w:p w14:paraId="4924EA16" w14:textId="2C3E3ED6" w:rsidR="00382354" w:rsidRPr="00112DC6" w:rsidRDefault="00382354" w:rsidP="005F634F">
            <w:pPr>
              <w:spacing w:after="0"/>
              <w:jc w:val="center"/>
              <w:rPr>
                <w:rFonts w:ascii="Times New Roman" w:hAnsi="Times New Roman"/>
                <w:b/>
                <w:bCs/>
                <w:color w:val="FFFFFF" w:themeColor="background1"/>
                <w:sz w:val="22"/>
                <w:szCs w:val="22"/>
                <w:lang w:eastAsia="es-DO"/>
              </w:rPr>
            </w:pPr>
            <w:r w:rsidRPr="00112DC6">
              <w:rPr>
                <w:rFonts w:ascii="Times New Roman" w:hAnsi="Times New Roman"/>
                <w:b/>
                <w:bCs/>
                <w:color w:val="FFFFFF" w:themeColor="background1"/>
                <w:sz w:val="22"/>
                <w:szCs w:val="22"/>
                <w:lang w:eastAsia="es-DO"/>
              </w:rPr>
              <w:t>Total Año 201</w:t>
            </w:r>
            <w:r w:rsidR="005F634F" w:rsidRPr="00112DC6">
              <w:rPr>
                <w:rFonts w:ascii="Times New Roman" w:hAnsi="Times New Roman"/>
                <w:b/>
                <w:bCs/>
                <w:color w:val="FFFFFF" w:themeColor="background1"/>
                <w:sz w:val="22"/>
                <w:szCs w:val="22"/>
                <w:lang w:eastAsia="es-DO"/>
              </w:rPr>
              <w:t>9</w:t>
            </w:r>
          </w:p>
        </w:tc>
      </w:tr>
      <w:tr w:rsidR="00382354" w:rsidRPr="00112DC6" w14:paraId="023B5308" w14:textId="77777777" w:rsidTr="005F634F">
        <w:trPr>
          <w:trHeight w:val="70"/>
        </w:trPr>
        <w:tc>
          <w:tcPr>
            <w:tcW w:w="1838" w:type="dxa"/>
            <w:vMerge/>
            <w:tcBorders>
              <w:top w:val="single" w:sz="4" w:space="0" w:color="auto"/>
              <w:left w:val="single" w:sz="4" w:space="0" w:color="auto"/>
              <w:bottom w:val="single" w:sz="4" w:space="0" w:color="auto"/>
              <w:right w:val="single" w:sz="4" w:space="0" w:color="auto"/>
            </w:tcBorders>
            <w:shd w:val="clear" w:color="C7C7DC" w:fill="D9D9D9"/>
            <w:vAlign w:val="center"/>
          </w:tcPr>
          <w:p w14:paraId="17EA4336" w14:textId="77777777" w:rsidR="00382354" w:rsidRPr="00112DC6" w:rsidRDefault="00382354" w:rsidP="005F634F">
            <w:pPr>
              <w:spacing w:after="0"/>
              <w:jc w:val="center"/>
              <w:rPr>
                <w:rFonts w:ascii="Times New Roman" w:hAnsi="Times New Roman"/>
                <w:b/>
                <w:bCs/>
                <w:color w:val="FFFFFF" w:themeColor="background1"/>
                <w:sz w:val="22"/>
                <w:szCs w:val="22"/>
                <w:lang w:eastAsia="es-DO"/>
              </w:rPr>
            </w:pPr>
          </w:p>
        </w:tc>
        <w:tc>
          <w:tcPr>
            <w:tcW w:w="69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11213713" w14:textId="77777777" w:rsidR="00382354" w:rsidRPr="00112DC6" w:rsidRDefault="00382354" w:rsidP="005F634F">
            <w:pPr>
              <w:spacing w:after="0"/>
              <w:jc w:val="center"/>
              <w:rPr>
                <w:rFonts w:ascii="Times New Roman" w:hAnsi="Times New Roman"/>
                <w:b/>
                <w:bCs/>
                <w:color w:val="FFFFFF" w:themeColor="background1"/>
                <w:sz w:val="22"/>
                <w:szCs w:val="22"/>
                <w:lang w:eastAsia="es-DO"/>
              </w:rPr>
            </w:pPr>
            <w:r w:rsidRPr="00112DC6">
              <w:rPr>
                <w:rFonts w:ascii="Times New Roman" w:hAnsi="Times New Roman"/>
                <w:b/>
                <w:bCs/>
                <w:color w:val="FFFFFF" w:themeColor="background1"/>
                <w:sz w:val="22"/>
                <w:szCs w:val="22"/>
                <w:lang w:eastAsia="es-DO"/>
              </w:rPr>
              <w:t>ID</w:t>
            </w:r>
          </w:p>
        </w:tc>
        <w:tc>
          <w:tcPr>
            <w:tcW w:w="1533"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24AA02E" w14:textId="77777777" w:rsidR="00382354" w:rsidRPr="00112DC6" w:rsidRDefault="00382354" w:rsidP="005F634F">
            <w:pPr>
              <w:spacing w:after="0"/>
              <w:jc w:val="center"/>
              <w:rPr>
                <w:rFonts w:ascii="Times New Roman" w:hAnsi="Times New Roman"/>
                <w:b/>
                <w:bCs/>
                <w:color w:val="FFFFFF" w:themeColor="background1"/>
                <w:sz w:val="22"/>
                <w:szCs w:val="22"/>
                <w:lang w:eastAsia="es-DO"/>
              </w:rPr>
            </w:pPr>
            <w:r w:rsidRPr="00112DC6">
              <w:rPr>
                <w:rFonts w:ascii="Times New Roman" w:hAnsi="Times New Roman"/>
                <w:b/>
                <w:bCs/>
                <w:color w:val="FFFFFF" w:themeColor="background1"/>
                <w:sz w:val="22"/>
                <w:szCs w:val="22"/>
                <w:lang w:eastAsia="es-DO"/>
              </w:rPr>
              <w:t>Tipo</w:t>
            </w:r>
          </w:p>
        </w:tc>
        <w:tc>
          <w:tcPr>
            <w:tcW w:w="5436" w:type="dxa"/>
            <w:tcBorders>
              <w:top w:val="single" w:sz="4" w:space="0" w:color="auto"/>
              <w:left w:val="nil"/>
              <w:bottom w:val="single" w:sz="4" w:space="0" w:color="auto"/>
              <w:right w:val="single" w:sz="4" w:space="0" w:color="auto"/>
            </w:tcBorders>
            <w:shd w:val="clear" w:color="auto" w:fill="808080" w:themeFill="background1" w:themeFillShade="80"/>
            <w:vAlign w:val="center"/>
          </w:tcPr>
          <w:p w14:paraId="43EFDB1A" w14:textId="77777777" w:rsidR="00382354" w:rsidRPr="00112DC6" w:rsidRDefault="00382354" w:rsidP="005F634F">
            <w:pPr>
              <w:spacing w:after="0"/>
              <w:jc w:val="center"/>
              <w:rPr>
                <w:rFonts w:ascii="Times New Roman" w:hAnsi="Times New Roman"/>
                <w:b/>
                <w:bCs/>
                <w:color w:val="FFFFFF" w:themeColor="background1"/>
                <w:sz w:val="22"/>
                <w:szCs w:val="22"/>
                <w:lang w:eastAsia="es-DO"/>
              </w:rPr>
            </w:pPr>
            <w:r w:rsidRPr="00112DC6">
              <w:rPr>
                <w:rFonts w:ascii="Times New Roman" w:hAnsi="Times New Roman"/>
                <w:b/>
                <w:bCs/>
                <w:color w:val="FFFFFF" w:themeColor="background1"/>
                <w:sz w:val="22"/>
                <w:szCs w:val="22"/>
                <w:lang w:eastAsia="es-DO"/>
              </w:rPr>
              <w:t>Descripción</w:t>
            </w:r>
          </w:p>
        </w:tc>
        <w:tc>
          <w:tcPr>
            <w:tcW w:w="155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63B55ED7" w14:textId="77777777" w:rsidR="00382354" w:rsidRPr="00112DC6" w:rsidRDefault="00382354" w:rsidP="005F634F">
            <w:pPr>
              <w:spacing w:after="0"/>
              <w:jc w:val="right"/>
              <w:rPr>
                <w:rFonts w:ascii="Times New Roman" w:hAnsi="Times New Roman"/>
                <w:b/>
                <w:bCs/>
                <w:color w:val="FFFFFF" w:themeColor="background1"/>
                <w:sz w:val="22"/>
                <w:szCs w:val="22"/>
                <w:lang w:eastAsia="es-DO"/>
              </w:rPr>
            </w:pPr>
            <w:r w:rsidRPr="00112DC6">
              <w:rPr>
                <w:rFonts w:ascii="Times New Roman" w:hAnsi="Times New Roman"/>
                <w:b/>
                <w:bCs/>
                <w:color w:val="FFFFFF" w:themeColor="background1"/>
                <w:sz w:val="22"/>
                <w:szCs w:val="22"/>
                <w:lang w:eastAsia="es-DO"/>
              </w:rPr>
              <w:t>499,479,847.00</w:t>
            </w:r>
          </w:p>
        </w:tc>
        <w:tc>
          <w:tcPr>
            <w:tcW w:w="1701"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40045B9C" w14:textId="77777777" w:rsidR="00382354" w:rsidRPr="00112DC6" w:rsidRDefault="00382354" w:rsidP="005F634F">
            <w:pPr>
              <w:spacing w:after="0"/>
              <w:jc w:val="center"/>
              <w:rPr>
                <w:rFonts w:ascii="Times New Roman" w:hAnsi="Times New Roman"/>
                <w:b/>
                <w:bCs/>
                <w:color w:val="FFFFFF" w:themeColor="background1"/>
                <w:sz w:val="22"/>
                <w:szCs w:val="22"/>
                <w:lang w:eastAsia="es-DO"/>
              </w:rPr>
            </w:pPr>
            <w:r w:rsidRPr="00112DC6">
              <w:rPr>
                <w:rFonts w:ascii="Times New Roman" w:hAnsi="Times New Roman"/>
                <w:b/>
                <w:bCs/>
                <w:color w:val="FFFFFF" w:themeColor="background1"/>
                <w:sz w:val="22"/>
                <w:szCs w:val="22"/>
                <w:lang w:eastAsia="es-DO"/>
              </w:rPr>
              <w:t>48,833,167.36</w:t>
            </w:r>
          </w:p>
        </w:tc>
      </w:tr>
      <w:tr w:rsidR="00382354" w:rsidRPr="00112DC6" w14:paraId="473E5213" w14:textId="77777777" w:rsidTr="005F634F">
        <w:trPr>
          <w:trHeight w:val="70"/>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ED07D7" w14:textId="77777777" w:rsidR="00382354" w:rsidRPr="00112DC6" w:rsidRDefault="00382354" w:rsidP="005F634F">
            <w:pPr>
              <w:spacing w:after="0"/>
              <w:jc w:val="center"/>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Componentes</w:t>
            </w: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785283D8" w14:textId="77777777" w:rsidR="00382354" w:rsidRPr="00112DC6" w:rsidRDefault="00382354" w:rsidP="005F634F">
            <w:pPr>
              <w:spacing w:after="0"/>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5315</w:t>
            </w:r>
          </w:p>
        </w:tc>
        <w:tc>
          <w:tcPr>
            <w:tcW w:w="1533" w:type="dxa"/>
            <w:tcBorders>
              <w:top w:val="single" w:sz="4" w:space="0" w:color="auto"/>
              <w:left w:val="nil"/>
              <w:bottom w:val="single" w:sz="4" w:space="0" w:color="auto"/>
              <w:right w:val="single" w:sz="4" w:space="0" w:color="auto"/>
            </w:tcBorders>
            <w:shd w:val="clear" w:color="auto" w:fill="auto"/>
            <w:vAlign w:val="center"/>
          </w:tcPr>
          <w:p w14:paraId="1098E3EB" w14:textId="61CEBC49" w:rsidR="00382354" w:rsidRPr="00112DC6" w:rsidRDefault="00382354" w:rsidP="005F634F">
            <w:pPr>
              <w:spacing w:after="0"/>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 xml:space="preserve">Obra </w:t>
            </w:r>
            <w:r w:rsidR="00112DC6" w:rsidRPr="00112DC6">
              <w:rPr>
                <w:rFonts w:ascii="Times New Roman" w:hAnsi="Times New Roman"/>
                <w:bCs/>
                <w:color w:val="000000"/>
                <w:sz w:val="22"/>
                <w:szCs w:val="22"/>
                <w:lang w:eastAsia="es-DO"/>
              </w:rPr>
              <w:t>Física</w:t>
            </w:r>
          </w:p>
        </w:tc>
        <w:tc>
          <w:tcPr>
            <w:tcW w:w="5436" w:type="dxa"/>
            <w:tcBorders>
              <w:top w:val="single" w:sz="4" w:space="0" w:color="auto"/>
              <w:left w:val="nil"/>
              <w:bottom w:val="single" w:sz="4" w:space="0" w:color="auto"/>
              <w:right w:val="single" w:sz="4" w:space="0" w:color="auto"/>
            </w:tcBorders>
            <w:shd w:val="clear" w:color="auto" w:fill="auto"/>
            <w:vAlign w:val="center"/>
          </w:tcPr>
          <w:p w14:paraId="546C57F5" w14:textId="4A9053B3" w:rsidR="00382354" w:rsidRPr="00112DC6" w:rsidRDefault="00112DC6" w:rsidP="005F634F">
            <w:pPr>
              <w:spacing w:after="0"/>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Construcción</w:t>
            </w:r>
            <w:r w:rsidR="00382354" w:rsidRPr="00112DC6">
              <w:rPr>
                <w:rFonts w:ascii="Times New Roman" w:hAnsi="Times New Roman"/>
                <w:bCs/>
                <w:color w:val="000000"/>
                <w:sz w:val="22"/>
                <w:szCs w:val="22"/>
                <w:lang w:eastAsia="es-DO"/>
              </w:rPr>
              <w:t xml:space="preserve"> de infraestructuras de </w:t>
            </w:r>
            <w:r w:rsidRPr="00112DC6">
              <w:rPr>
                <w:rFonts w:ascii="Times New Roman" w:hAnsi="Times New Roman"/>
                <w:bCs/>
                <w:color w:val="000000"/>
                <w:sz w:val="22"/>
                <w:szCs w:val="22"/>
                <w:lang w:eastAsia="es-DO"/>
              </w:rPr>
              <w:t>producción</w:t>
            </w:r>
            <w:r w:rsidR="00382354" w:rsidRPr="00112DC6">
              <w:rPr>
                <w:rFonts w:ascii="Times New Roman" w:hAnsi="Times New Roman"/>
                <w:bCs/>
                <w:color w:val="000000"/>
                <w:sz w:val="22"/>
                <w:szCs w:val="22"/>
                <w:lang w:eastAsia="es-DO"/>
              </w:rPr>
              <w:t xml:space="preserve"> Ministerio Agricultura (M</w:t>
            </w:r>
            <w:r w:rsidR="005F634F" w:rsidRPr="00112DC6">
              <w:rPr>
                <w:rFonts w:ascii="Times New Roman" w:hAnsi="Times New Roman"/>
                <w:bCs/>
                <w:color w:val="000000"/>
                <w:sz w:val="22"/>
                <w:szCs w:val="22"/>
                <w:lang w:eastAsia="es-DO"/>
              </w:rPr>
              <w:t>antenimiento Camino Productivo)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B772493" w14:textId="77777777" w:rsidR="00382354" w:rsidRPr="00112DC6" w:rsidRDefault="00382354" w:rsidP="005F634F">
            <w:pPr>
              <w:spacing w:after="0"/>
              <w:jc w:val="right"/>
              <w:rPr>
                <w:rFonts w:ascii="Times New Roman" w:hAnsi="Times New Roman"/>
                <w:b/>
                <w:bCs/>
                <w:color w:val="000000"/>
                <w:sz w:val="22"/>
                <w:szCs w:val="22"/>
                <w:lang w:eastAsia="es-DO"/>
              </w:rPr>
            </w:pPr>
            <w:r w:rsidRPr="00112DC6">
              <w:rPr>
                <w:rFonts w:ascii="Times New Roman" w:hAnsi="Times New Roman"/>
                <w:b/>
                <w:bCs/>
                <w:color w:val="000000"/>
                <w:sz w:val="22"/>
                <w:szCs w:val="22"/>
                <w:lang w:eastAsia="es-DO"/>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4C2FBB0" w14:textId="77777777" w:rsidR="00382354" w:rsidRPr="00112DC6" w:rsidRDefault="00382354" w:rsidP="005F634F">
            <w:pPr>
              <w:spacing w:after="0"/>
              <w:jc w:val="right"/>
              <w:rPr>
                <w:rFonts w:ascii="Times New Roman" w:hAnsi="Times New Roman"/>
                <w:color w:val="000000"/>
                <w:sz w:val="22"/>
                <w:szCs w:val="22"/>
                <w:lang w:eastAsia="es-DO"/>
              </w:rPr>
            </w:pPr>
            <w:r w:rsidRPr="00112DC6">
              <w:rPr>
                <w:rFonts w:ascii="Times New Roman" w:hAnsi="Times New Roman"/>
                <w:color w:val="000000"/>
                <w:sz w:val="22"/>
                <w:szCs w:val="22"/>
                <w:lang w:eastAsia="es-DO"/>
              </w:rPr>
              <w:t>0.00</w:t>
            </w:r>
          </w:p>
        </w:tc>
      </w:tr>
      <w:tr w:rsidR="00382354" w:rsidRPr="00112DC6" w14:paraId="5F568307" w14:textId="77777777" w:rsidTr="005F634F">
        <w:trPr>
          <w:trHeight w:val="70"/>
        </w:trPr>
        <w:tc>
          <w:tcPr>
            <w:tcW w:w="183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DF7327" w14:textId="77777777" w:rsidR="00382354" w:rsidRPr="00112DC6" w:rsidRDefault="00382354" w:rsidP="005F634F">
            <w:pPr>
              <w:spacing w:after="0"/>
              <w:jc w:val="center"/>
              <w:rPr>
                <w:rFonts w:ascii="Times New Roman" w:hAnsi="Times New Roman"/>
                <w:bCs/>
                <w:color w:val="000000"/>
                <w:sz w:val="22"/>
                <w:szCs w:val="22"/>
                <w:lang w:eastAsia="es-DO"/>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6351673F" w14:textId="77777777" w:rsidR="00382354" w:rsidRPr="00112DC6" w:rsidRDefault="00382354" w:rsidP="005F634F">
            <w:pPr>
              <w:spacing w:after="0"/>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5316</w:t>
            </w:r>
          </w:p>
        </w:tc>
        <w:tc>
          <w:tcPr>
            <w:tcW w:w="1533" w:type="dxa"/>
            <w:tcBorders>
              <w:top w:val="single" w:sz="4" w:space="0" w:color="auto"/>
              <w:left w:val="nil"/>
              <w:bottom w:val="single" w:sz="4" w:space="0" w:color="auto"/>
              <w:right w:val="single" w:sz="4" w:space="0" w:color="auto"/>
            </w:tcBorders>
            <w:shd w:val="clear" w:color="auto" w:fill="auto"/>
            <w:vAlign w:val="center"/>
          </w:tcPr>
          <w:p w14:paraId="44F2D20C" w14:textId="77777777" w:rsidR="00382354" w:rsidRPr="00112DC6" w:rsidRDefault="00382354" w:rsidP="005F634F">
            <w:pPr>
              <w:spacing w:after="0"/>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Fortalecimiento Institucional</w:t>
            </w:r>
          </w:p>
        </w:tc>
        <w:tc>
          <w:tcPr>
            <w:tcW w:w="5436" w:type="dxa"/>
            <w:tcBorders>
              <w:top w:val="single" w:sz="4" w:space="0" w:color="auto"/>
              <w:left w:val="nil"/>
              <w:bottom w:val="single" w:sz="4" w:space="0" w:color="auto"/>
              <w:right w:val="single" w:sz="4" w:space="0" w:color="auto"/>
            </w:tcBorders>
            <w:shd w:val="clear" w:color="auto" w:fill="auto"/>
            <w:vAlign w:val="center"/>
          </w:tcPr>
          <w:p w14:paraId="3271015C" w14:textId="3B616E58" w:rsidR="00382354" w:rsidRPr="00112DC6" w:rsidRDefault="00112DC6" w:rsidP="005F634F">
            <w:pPr>
              <w:spacing w:after="0"/>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Organización</w:t>
            </w:r>
            <w:r w:rsidR="00382354" w:rsidRPr="00112DC6">
              <w:rPr>
                <w:rFonts w:ascii="Times New Roman" w:hAnsi="Times New Roman"/>
                <w:bCs/>
                <w:color w:val="000000"/>
                <w:sz w:val="22"/>
                <w:szCs w:val="22"/>
                <w:lang w:eastAsia="es-DO"/>
              </w:rPr>
              <w:t xml:space="preserve"> y </w:t>
            </w:r>
            <w:r w:rsidRPr="00112DC6">
              <w:rPr>
                <w:rFonts w:ascii="Times New Roman" w:hAnsi="Times New Roman"/>
                <w:bCs/>
                <w:color w:val="000000"/>
                <w:sz w:val="22"/>
                <w:szCs w:val="22"/>
                <w:lang w:eastAsia="es-DO"/>
              </w:rPr>
              <w:t>capacitación</w:t>
            </w:r>
            <w:r w:rsidR="00382354" w:rsidRPr="00112DC6">
              <w:rPr>
                <w:rFonts w:ascii="Times New Roman" w:hAnsi="Times New Roman"/>
                <w:bCs/>
                <w:color w:val="000000"/>
                <w:sz w:val="22"/>
                <w:szCs w:val="22"/>
                <w:lang w:eastAsia="es-DO"/>
              </w:rPr>
              <w:t xml:space="preserve"> de los productores y gastos para </w:t>
            </w:r>
            <w:r w:rsidRPr="00112DC6">
              <w:rPr>
                <w:rFonts w:ascii="Times New Roman" w:hAnsi="Times New Roman"/>
                <w:bCs/>
                <w:color w:val="000000"/>
                <w:sz w:val="22"/>
                <w:szCs w:val="22"/>
                <w:lang w:eastAsia="es-DO"/>
              </w:rPr>
              <w:t>gerencial</w:t>
            </w:r>
            <w:r w:rsidR="00382354" w:rsidRPr="00112DC6">
              <w:rPr>
                <w:rFonts w:ascii="Times New Roman" w:hAnsi="Times New Roman"/>
                <w:bCs/>
                <w:color w:val="000000"/>
                <w:sz w:val="22"/>
                <w:szCs w:val="22"/>
                <w:lang w:eastAsia="es-DO"/>
              </w:rPr>
              <w:t xml:space="preserve"> el proyecto</w:t>
            </w:r>
          </w:p>
        </w:tc>
        <w:tc>
          <w:tcPr>
            <w:tcW w:w="1559" w:type="dxa"/>
            <w:tcBorders>
              <w:top w:val="single" w:sz="4" w:space="0" w:color="auto"/>
              <w:left w:val="nil"/>
              <w:bottom w:val="single" w:sz="4" w:space="0" w:color="auto"/>
              <w:right w:val="single" w:sz="4" w:space="0" w:color="auto"/>
            </w:tcBorders>
            <w:shd w:val="clear" w:color="auto" w:fill="auto"/>
            <w:vAlign w:val="center"/>
          </w:tcPr>
          <w:p w14:paraId="344DE896" w14:textId="77777777" w:rsidR="00382354" w:rsidRPr="00112DC6" w:rsidRDefault="00382354" w:rsidP="005F634F">
            <w:pPr>
              <w:spacing w:after="0"/>
              <w:jc w:val="right"/>
              <w:rPr>
                <w:rFonts w:ascii="Times New Roman" w:hAnsi="Times New Roman"/>
                <w:b/>
                <w:bCs/>
                <w:color w:val="000000"/>
                <w:sz w:val="22"/>
                <w:szCs w:val="22"/>
                <w:lang w:eastAsia="es-DO"/>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2BE084E1" w14:textId="77777777" w:rsidR="00382354" w:rsidRPr="00112DC6" w:rsidRDefault="00382354" w:rsidP="005F634F">
            <w:pPr>
              <w:spacing w:after="0"/>
              <w:jc w:val="right"/>
              <w:rPr>
                <w:rFonts w:ascii="Times New Roman" w:hAnsi="Times New Roman"/>
                <w:color w:val="000000"/>
                <w:sz w:val="22"/>
                <w:szCs w:val="22"/>
                <w:lang w:eastAsia="es-DO"/>
              </w:rPr>
            </w:pPr>
            <w:r w:rsidRPr="00112DC6">
              <w:rPr>
                <w:rFonts w:ascii="Times New Roman" w:hAnsi="Times New Roman"/>
                <w:color w:val="000000"/>
                <w:sz w:val="22"/>
                <w:szCs w:val="22"/>
                <w:lang w:eastAsia="es-DO"/>
              </w:rPr>
              <w:t>1,885,584.72</w:t>
            </w:r>
          </w:p>
        </w:tc>
      </w:tr>
      <w:tr w:rsidR="00382354" w:rsidRPr="00112DC6" w14:paraId="6BC577A4" w14:textId="77777777" w:rsidTr="005F634F">
        <w:trPr>
          <w:trHeight w:val="70"/>
        </w:trPr>
        <w:tc>
          <w:tcPr>
            <w:tcW w:w="183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D94D6" w14:textId="77777777" w:rsidR="00382354" w:rsidRPr="00112DC6" w:rsidRDefault="00382354" w:rsidP="005F634F">
            <w:pPr>
              <w:spacing w:after="0"/>
              <w:jc w:val="center"/>
              <w:rPr>
                <w:rFonts w:ascii="Times New Roman" w:hAnsi="Times New Roman"/>
                <w:bCs/>
                <w:color w:val="000000"/>
                <w:sz w:val="22"/>
                <w:szCs w:val="22"/>
                <w:lang w:eastAsia="es-DO"/>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7973A1CB" w14:textId="77777777" w:rsidR="00382354" w:rsidRPr="00112DC6" w:rsidRDefault="00382354" w:rsidP="005F634F">
            <w:pPr>
              <w:spacing w:after="0"/>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5319</w:t>
            </w:r>
          </w:p>
        </w:tc>
        <w:tc>
          <w:tcPr>
            <w:tcW w:w="1533" w:type="dxa"/>
            <w:tcBorders>
              <w:top w:val="single" w:sz="4" w:space="0" w:color="auto"/>
              <w:left w:val="nil"/>
              <w:bottom w:val="single" w:sz="4" w:space="0" w:color="auto"/>
              <w:right w:val="single" w:sz="4" w:space="0" w:color="auto"/>
            </w:tcBorders>
            <w:shd w:val="clear" w:color="auto" w:fill="auto"/>
            <w:vAlign w:val="center"/>
          </w:tcPr>
          <w:p w14:paraId="6412D098" w14:textId="77777777" w:rsidR="00382354" w:rsidRPr="00112DC6" w:rsidRDefault="00382354" w:rsidP="005F634F">
            <w:pPr>
              <w:spacing w:after="0"/>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Equipo</w:t>
            </w:r>
          </w:p>
        </w:tc>
        <w:tc>
          <w:tcPr>
            <w:tcW w:w="5436" w:type="dxa"/>
            <w:tcBorders>
              <w:top w:val="single" w:sz="4" w:space="0" w:color="auto"/>
              <w:left w:val="nil"/>
              <w:bottom w:val="single" w:sz="4" w:space="0" w:color="auto"/>
              <w:right w:val="single" w:sz="4" w:space="0" w:color="auto"/>
            </w:tcBorders>
            <w:shd w:val="clear" w:color="auto" w:fill="auto"/>
            <w:vAlign w:val="center"/>
          </w:tcPr>
          <w:p w14:paraId="40D94E21" w14:textId="700F42FE" w:rsidR="00382354" w:rsidRPr="00112DC6" w:rsidRDefault="00112DC6" w:rsidP="005F634F">
            <w:pPr>
              <w:spacing w:after="0"/>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Adquisición</w:t>
            </w:r>
            <w:r w:rsidR="00382354" w:rsidRPr="00112DC6">
              <w:rPr>
                <w:rFonts w:ascii="Times New Roman" w:hAnsi="Times New Roman"/>
                <w:bCs/>
                <w:color w:val="000000"/>
                <w:sz w:val="22"/>
                <w:szCs w:val="22"/>
                <w:lang w:eastAsia="es-DO"/>
              </w:rPr>
              <w:t xml:space="preserve"> e </w:t>
            </w:r>
            <w:r w:rsidRPr="00112DC6">
              <w:rPr>
                <w:rFonts w:ascii="Times New Roman" w:hAnsi="Times New Roman"/>
                <w:bCs/>
                <w:color w:val="000000"/>
                <w:sz w:val="22"/>
                <w:szCs w:val="22"/>
                <w:lang w:eastAsia="es-DO"/>
              </w:rPr>
              <w:t>instalación</w:t>
            </w:r>
            <w:r w:rsidR="00382354" w:rsidRPr="00112DC6">
              <w:rPr>
                <w:rFonts w:ascii="Times New Roman" w:hAnsi="Times New Roman"/>
                <w:bCs/>
                <w:color w:val="000000"/>
                <w:sz w:val="22"/>
                <w:szCs w:val="22"/>
                <w:lang w:eastAsia="es-DO"/>
              </w:rPr>
              <w:t xml:space="preserve"> de equipos de riego</w:t>
            </w:r>
          </w:p>
        </w:tc>
        <w:tc>
          <w:tcPr>
            <w:tcW w:w="1559" w:type="dxa"/>
            <w:tcBorders>
              <w:top w:val="single" w:sz="4" w:space="0" w:color="auto"/>
              <w:left w:val="nil"/>
              <w:bottom w:val="single" w:sz="4" w:space="0" w:color="auto"/>
              <w:right w:val="single" w:sz="4" w:space="0" w:color="auto"/>
            </w:tcBorders>
            <w:shd w:val="clear" w:color="auto" w:fill="auto"/>
            <w:vAlign w:val="center"/>
          </w:tcPr>
          <w:p w14:paraId="6B972BF1" w14:textId="77777777" w:rsidR="00382354" w:rsidRPr="00112DC6" w:rsidRDefault="00382354" w:rsidP="005F634F">
            <w:pPr>
              <w:spacing w:after="0"/>
              <w:jc w:val="right"/>
              <w:rPr>
                <w:rFonts w:ascii="Times New Roman" w:hAnsi="Times New Roman"/>
                <w:b/>
                <w:bCs/>
                <w:color w:val="000000"/>
                <w:sz w:val="22"/>
                <w:szCs w:val="22"/>
                <w:lang w:eastAsia="es-DO"/>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217DA23B" w14:textId="77777777" w:rsidR="00382354" w:rsidRPr="00112DC6" w:rsidRDefault="00382354" w:rsidP="005F634F">
            <w:pPr>
              <w:spacing w:after="0"/>
              <w:jc w:val="right"/>
              <w:rPr>
                <w:rFonts w:ascii="Times New Roman" w:hAnsi="Times New Roman"/>
                <w:color w:val="000000"/>
                <w:sz w:val="22"/>
                <w:szCs w:val="22"/>
                <w:lang w:eastAsia="es-DO"/>
              </w:rPr>
            </w:pPr>
            <w:r w:rsidRPr="00112DC6">
              <w:rPr>
                <w:rFonts w:ascii="Times New Roman" w:hAnsi="Times New Roman"/>
                <w:color w:val="000000"/>
                <w:sz w:val="22"/>
                <w:szCs w:val="22"/>
                <w:lang w:eastAsia="es-DO"/>
              </w:rPr>
              <w:t>39,875,329</w:t>
            </w:r>
          </w:p>
        </w:tc>
      </w:tr>
      <w:tr w:rsidR="00382354" w:rsidRPr="00112DC6" w14:paraId="1C5D840F" w14:textId="77777777" w:rsidTr="005F634F">
        <w:trPr>
          <w:trHeight w:val="7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118BAFFD" w14:textId="77777777" w:rsidR="00382354" w:rsidRPr="00112DC6" w:rsidRDefault="00382354" w:rsidP="005F634F">
            <w:pPr>
              <w:spacing w:after="0"/>
              <w:rPr>
                <w:rFonts w:ascii="Times New Roman" w:hAnsi="Times New Roman"/>
                <w:bCs/>
                <w:color w:val="000000"/>
                <w:sz w:val="22"/>
                <w:szCs w:val="22"/>
                <w:lang w:eastAsia="es-DO"/>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36EB357B" w14:textId="77777777" w:rsidR="00382354" w:rsidRPr="00112DC6" w:rsidRDefault="00382354" w:rsidP="005F634F">
            <w:pPr>
              <w:spacing w:after="0"/>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10079</w:t>
            </w:r>
          </w:p>
        </w:tc>
        <w:tc>
          <w:tcPr>
            <w:tcW w:w="1533" w:type="dxa"/>
            <w:tcBorders>
              <w:top w:val="single" w:sz="4" w:space="0" w:color="auto"/>
              <w:left w:val="nil"/>
              <w:bottom w:val="single" w:sz="4" w:space="0" w:color="auto"/>
              <w:right w:val="single" w:sz="4" w:space="0" w:color="auto"/>
            </w:tcBorders>
            <w:shd w:val="clear" w:color="auto" w:fill="auto"/>
            <w:vAlign w:val="center"/>
          </w:tcPr>
          <w:p w14:paraId="786F8ED7" w14:textId="2B96508F" w:rsidR="00382354" w:rsidRPr="00112DC6" w:rsidRDefault="00382354" w:rsidP="005F634F">
            <w:pPr>
              <w:spacing w:after="0"/>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 xml:space="preserve">Asistencia </w:t>
            </w:r>
            <w:r w:rsidR="00112DC6" w:rsidRPr="00112DC6">
              <w:rPr>
                <w:rFonts w:ascii="Times New Roman" w:hAnsi="Times New Roman"/>
                <w:bCs/>
                <w:color w:val="000000"/>
                <w:sz w:val="22"/>
                <w:szCs w:val="22"/>
                <w:lang w:eastAsia="es-DO"/>
              </w:rPr>
              <w:t>Técnica</w:t>
            </w:r>
          </w:p>
        </w:tc>
        <w:tc>
          <w:tcPr>
            <w:tcW w:w="5436" w:type="dxa"/>
            <w:tcBorders>
              <w:top w:val="single" w:sz="4" w:space="0" w:color="auto"/>
              <w:left w:val="nil"/>
              <w:bottom w:val="single" w:sz="4" w:space="0" w:color="auto"/>
              <w:right w:val="single" w:sz="4" w:space="0" w:color="auto"/>
            </w:tcBorders>
            <w:shd w:val="clear" w:color="auto" w:fill="auto"/>
            <w:vAlign w:val="center"/>
          </w:tcPr>
          <w:p w14:paraId="6AC7C22B" w14:textId="2A8E39D5" w:rsidR="00382354" w:rsidRPr="00112DC6" w:rsidRDefault="00112DC6" w:rsidP="005F634F">
            <w:pPr>
              <w:spacing w:after="0"/>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Cualificación</w:t>
            </w:r>
            <w:r w:rsidR="00382354" w:rsidRPr="00112DC6">
              <w:rPr>
                <w:rFonts w:ascii="Times New Roman" w:hAnsi="Times New Roman"/>
                <w:bCs/>
                <w:color w:val="000000"/>
                <w:sz w:val="22"/>
                <w:szCs w:val="22"/>
                <w:lang w:eastAsia="es-DO"/>
              </w:rPr>
              <w:t xml:space="preserve"> de los agricultores para el otorgamiento de </w:t>
            </w:r>
            <w:r w:rsidRPr="00112DC6">
              <w:rPr>
                <w:rFonts w:ascii="Times New Roman" w:hAnsi="Times New Roman"/>
                <w:bCs/>
                <w:color w:val="000000"/>
                <w:sz w:val="22"/>
                <w:szCs w:val="22"/>
                <w:lang w:eastAsia="es-DO"/>
              </w:rPr>
              <w:t>créditos</w:t>
            </w:r>
            <w:r w:rsidR="00382354" w:rsidRPr="00112DC6">
              <w:rPr>
                <w:rFonts w:ascii="Times New Roman" w:hAnsi="Times New Roman"/>
                <w:bCs/>
                <w:color w:val="000000"/>
                <w:sz w:val="22"/>
                <w:szCs w:val="22"/>
                <w:lang w:eastAsia="es-DO"/>
              </w:rPr>
              <w:t>. Componente de acceso al crédito.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C70D366" w14:textId="77777777" w:rsidR="00382354" w:rsidRPr="00112DC6" w:rsidRDefault="00382354" w:rsidP="005F634F">
            <w:pPr>
              <w:spacing w:after="0"/>
              <w:jc w:val="right"/>
              <w:rPr>
                <w:rFonts w:ascii="Times New Roman" w:hAnsi="Times New Roman"/>
                <w:b/>
                <w:bCs/>
                <w:color w:val="000000"/>
                <w:sz w:val="22"/>
                <w:szCs w:val="22"/>
                <w:lang w:eastAsia="es-DO"/>
              </w:rPr>
            </w:pPr>
            <w:r w:rsidRPr="00112DC6">
              <w:rPr>
                <w:rFonts w:ascii="Times New Roman" w:hAnsi="Times New Roman"/>
                <w:b/>
                <w:bCs/>
                <w:color w:val="000000"/>
                <w:sz w:val="22"/>
                <w:szCs w:val="22"/>
                <w:lang w:eastAsia="es-DO"/>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F6AB98F" w14:textId="77777777" w:rsidR="00382354" w:rsidRPr="00112DC6" w:rsidRDefault="00382354" w:rsidP="005F634F">
            <w:pPr>
              <w:spacing w:after="0"/>
              <w:jc w:val="center"/>
              <w:rPr>
                <w:rFonts w:ascii="Times New Roman" w:hAnsi="Times New Roman"/>
                <w:color w:val="000000"/>
                <w:sz w:val="22"/>
                <w:szCs w:val="22"/>
                <w:lang w:eastAsia="es-DO"/>
              </w:rPr>
            </w:pPr>
            <w:r w:rsidRPr="00112DC6">
              <w:rPr>
                <w:rFonts w:ascii="Times New Roman" w:hAnsi="Times New Roman"/>
                <w:color w:val="000000"/>
                <w:sz w:val="22"/>
                <w:szCs w:val="22"/>
                <w:lang w:eastAsia="es-DO"/>
              </w:rPr>
              <w:t>0.00</w:t>
            </w:r>
          </w:p>
        </w:tc>
      </w:tr>
      <w:tr w:rsidR="00382354" w:rsidRPr="00112DC6" w14:paraId="28A0FF9D" w14:textId="77777777" w:rsidTr="005F634F">
        <w:trPr>
          <w:trHeight w:val="70"/>
        </w:trPr>
        <w:tc>
          <w:tcPr>
            <w:tcW w:w="1838" w:type="dxa"/>
            <w:vMerge/>
            <w:tcBorders>
              <w:top w:val="single" w:sz="4" w:space="0" w:color="auto"/>
              <w:left w:val="single" w:sz="4" w:space="0" w:color="auto"/>
              <w:bottom w:val="single" w:sz="4" w:space="0" w:color="auto"/>
              <w:right w:val="single" w:sz="4" w:space="0" w:color="auto"/>
            </w:tcBorders>
            <w:vAlign w:val="center"/>
          </w:tcPr>
          <w:p w14:paraId="4A9FF682" w14:textId="77777777" w:rsidR="00382354" w:rsidRPr="00112DC6" w:rsidRDefault="00382354" w:rsidP="005F634F">
            <w:pPr>
              <w:spacing w:after="0"/>
              <w:rPr>
                <w:rFonts w:ascii="Times New Roman" w:hAnsi="Times New Roman"/>
                <w:bCs/>
                <w:color w:val="000000"/>
                <w:sz w:val="22"/>
                <w:szCs w:val="22"/>
                <w:lang w:eastAsia="es-DO"/>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75C0C8DE" w14:textId="77777777" w:rsidR="00382354" w:rsidRPr="00112DC6" w:rsidRDefault="00382354" w:rsidP="005F634F">
            <w:pPr>
              <w:spacing w:after="0"/>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10080</w:t>
            </w:r>
          </w:p>
        </w:tc>
        <w:tc>
          <w:tcPr>
            <w:tcW w:w="1533" w:type="dxa"/>
            <w:tcBorders>
              <w:top w:val="single" w:sz="4" w:space="0" w:color="auto"/>
              <w:left w:val="nil"/>
              <w:bottom w:val="single" w:sz="4" w:space="0" w:color="auto"/>
              <w:right w:val="single" w:sz="4" w:space="0" w:color="auto"/>
            </w:tcBorders>
            <w:shd w:val="clear" w:color="auto" w:fill="auto"/>
            <w:vAlign w:val="center"/>
          </w:tcPr>
          <w:p w14:paraId="7FE6DF36" w14:textId="77777777" w:rsidR="00382354" w:rsidRPr="00112DC6" w:rsidRDefault="00382354" w:rsidP="005F634F">
            <w:pPr>
              <w:spacing w:after="0"/>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Equipamiento</w:t>
            </w:r>
          </w:p>
        </w:tc>
        <w:tc>
          <w:tcPr>
            <w:tcW w:w="5436" w:type="dxa"/>
            <w:tcBorders>
              <w:top w:val="single" w:sz="4" w:space="0" w:color="auto"/>
              <w:left w:val="nil"/>
              <w:bottom w:val="single" w:sz="4" w:space="0" w:color="auto"/>
              <w:right w:val="single" w:sz="4" w:space="0" w:color="auto"/>
            </w:tcBorders>
            <w:shd w:val="clear" w:color="auto" w:fill="auto"/>
            <w:vAlign w:val="center"/>
          </w:tcPr>
          <w:p w14:paraId="570E107A" w14:textId="1C610483" w:rsidR="00382354" w:rsidRPr="00112DC6" w:rsidRDefault="00382354" w:rsidP="005F634F">
            <w:pPr>
              <w:spacing w:after="0"/>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Gastos para el equipamiento d</w:t>
            </w:r>
            <w:r w:rsidR="005F634F" w:rsidRPr="00112DC6">
              <w:rPr>
                <w:rFonts w:ascii="Times New Roman" w:hAnsi="Times New Roman"/>
                <w:bCs/>
                <w:color w:val="000000"/>
                <w:sz w:val="22"/>
                <w:szCs w:val="22"/>
                <w:lang w:eastAsia="es-DO"/>
              </w:rPr>
              <w:t>e las oficinas</w:t>
            </w:r>
          </w:p>
        </w:tc>
        <w:tc>
          <w:tcPr>
            <w:tcW w:w="1559" w:type="dxa"/>
            <w:tcBorders>
              <w:top w:val="single" w:sz="4" w:space="0" w:color="auto"/>
              <w:left w:val="nil"/>
              <w:bottom w:val="single" w:sz="4" w:space="0" w:color="auto"/>
              <w:right w:val="single" w:sz="4" w:space="0" w:color="auto"/>
            </w:tcBorders>
            <w:shd w:val="clear" w:color="auto" w:fill="auto"/>
            <w:vAlign w:val="center"/>
          </w:tcPr>
          <w:p w14:paraId="519B0DE2" w14:textId="77777777" w:rsidR="00382354" w:rsidRPr="00112DC6" w:rsidRDefault="00382354" w:rsidP="005F634F">
            <w:pPr>
              <w:spacing w:after="0"/>
              <w:jc w:val="right"/>
              <w:rPr>
                <w:rFonts w:ascii="Times New Roman" w:hAnsi="Times New Roman"/>
                <w:b/>
                <w:bCs/>
                <w:color w:val="000000"/>
                <w:sz w:val="22"/>
                <w:szCs w:val="22"/>
                <w:lang w:eastAsia="es-DO"/>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447070B7" w14:textId="77777777" w:rsidR="00382354" w:rsidRPr="00112DC6" w:rsidRDefault="00382354" w:rsidP="005F634F">
            <w:pPr>
              <w:spacing w:after="0"/>
              <w:jc w:val="right"/>
              <w:rPr>
                <w:rFonts w:ascii="Times New Roman" w:hAnsi="Times New Roman"/>
                <w:color w:val="000000"/>
                <w:sz w:val="22"/>
                <w:szCs w:val="22"/>
                <w:lang w:eastAsia="es-DO"/>
              </w:rPr>
            </w:pPr>
            <w:r w:rsidRPr="00112DC6">
              <w:rPr>
                <w:rFonts w:ascii="Times New Roman" w:hAnsi="Times New Roman"/>
                <w:color w:val="000000"/>
                <w:sz w:val="22"/>
                <w:szCs w:val="22"/>
                <w:lang w:eastAsia="es-DO"/>
              </w:rPr>
              <w:t>0.0</w:t>
            </w:r>
          </w:p>
        </w:tc>
      </w:tr>
      <w:tr w:rsidR="00382354" w:rsidRPr="00112DC6" w14:paraId="01BF72AD" w14:textId="77777777" w:rsidTr="005F634F">
        <w:trPr>
          <w:trHeight w:val="70"/>
        </w:trPr>
        <w:tc>
          <w:tcPr>
            <w:tcW w:w="1838" w:type="dxa"/>
            <w:vMerge/>
            <w:tcBorders>
              <w:top w:val="single" w:sz="4" w:space="0" w:color="auto"/>
              <w:left w:val="single" w:sz="4" w:space="0" w:color="auto"/>
              <w:bottom w:val="single" w:sz="4" w:space="0" w:color="auto"/>
              <w:right w:val="single" w:sz="4" w:space="0" w:color="auto"/>
            </w:tcBorders>
            <w:vAlign w:val="center"/>
          </w:tcPr>
          <w:p w14:paraId="437AE96D" w14:textId="77777777" w:rsidR="00382354" w:rsidRPr="00112DC6" w:rsidRDefault="00382354" w:rsidP="005F634F">
            <w:pPr>
              <w:spacing w:after="0"/>
              <w:rPr>
                <w:rFonts w:ascii="Times New Roman" w:hAnsi="Times New Roman"/>
                <w:bCs/>
                <w:color w:val="000000"/>
                <w:sz w:val="22"/>
                <w:szCs w:val="22"/>
                <w:lang w:eastAsia="es-DO"/>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5D59C7B3" w14:textId="77777777" w:rsidR="00382354" w:rsidRPr="00112DC6" w:rsidRDefault="00382354" w:rsidP="005F634F">
            <w:pPr>
              <w:spacing w:after="0"/>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10081</w:t>
            </w:r>
          </w:p>
        </w:tc>
        <w:tc>
          <w:tcPr>
            <w:tcW w:w="1533" w:type="dxa"/>
            <w:tcBorders>
              <w:top w:val="single" w:sz="4" w:space="0" w:color="auto"/>
              <w:left w:val="nil"/>
              <w:bottom w:val="single" w:sz="4" w:space="0" w:color="auto"/>
              <w:right w:val="single" w:sz="4" w:space="0" w:color="auto"/>
            </w:tcBorders>
            <w:shd w:val="clear" w:color="auto" w:fill="auto"/>
            <w:vAlign w:val="center"/>
          </w:tcPr>
          <w:p w14:paraId="584EF458" w14:textId="6EA838C7" w:rsidR="00382354" w:rsidRPr="00112DC6" w:rsidRDefault="00112DC6" w:rsidP="005F634F">
            <w:pPr>
              <w:spacing w:after="0"/>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Consultorías</w:t>
            </w:r>
          </w:p>
        </w:tc>
        <w:tc>
          <w:tcPr>
            <w:tcW w:w="5436" w:type="dxa"/>
            <w:tcBorders>
              <w:top w:val="single" w:sz="4" w:space="0" w:color="auto"/>
              <w:left w:val="nil"/>
              <w:bottom w:val="single" w:sz="4" w:space="0" w:color="auto"/>
              <w:right w:val="single" w:sz="4" w:space="0" w:color="auto"/>
            </w:tcBorders>
            <w:shd w:val="clear" w:color="auto" w:fill="auto"/>
            <w:vAlign w:val="center"/>
          </w:tcPr>
          <w:p w14:paraId="6800B765" w14:textId="77777777" w:rsidR="00382354" w:rsidRPr="00112DC6" w:rsidRDefault="00382354" w:rsidP="005F634F">
            <w:pPr>
              <w:spacing w:after="0"/>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Gastos destinados al acompañamiento de los agricultores para el desarrollo de las obras de riego y otras.</w:t>
            </w:r>
          </w:p>
        </w:tc>
        <w:tc>
          <w:tcPr>
            <w:tcW w:w="1559" w:type="dxa"/>
            <w:tcBorders>
              <w:top w:val="single" w:sz="4" w:space="0" w:color="auto"/>
              <w:left w:val="nil"/>
              <w:bottom w:val="single" w:sz="4" w:space="0" w:color="auto"/>
              <w:right w:val="single" w:sz="4" w:space="0" w:color="auto"/>
            </w:tcBorders>
            <w:shd w:val="clear" w:color="auto" w:fill="auto"/>
            <w:vAlign w:val="center"/>
          </w:tcPr>
          <w:p w14:paraId="7E889F50" w14:textId="77777777" w:rsidR="00382354" w:rsidRPr="00112DC6" w:rsidRDefault="00382354" w:rsidP="005F634F">
            <w:pPr>
              <w:spacing w:after="0"/>
              <w:jc w:val="right"/>
              <w:rPr>
                <w:rFonts w:ascii="Times New Roman" w:hAnsi="Times New Roman"/>
                <w:b/>
                <w:bCs/>
                <w:color w:val="000000"/>
                <w:sz w:val="22"/>
                <w:szCs w:val="22"/>
                <w:lang w:eastAsia="es-DO"/>
              </w:rPr>
            </w:pPr>
          </w:p>
        </w:tc>
        <w:tc>
          <w:tcPr>
            <w:tcW w:w="1701" w:type="dxa"/>
            <w:tcBorders>
              <w:top w:val="single" w:sz="4" w:space="0" w:color="auto"/>
              <w:left w:val="nil"/>
              <w:bottom w:val="single" w:sz="4" w:space="0" w:color="auto"/>
              <w:right w:val="single" w:sz="4" w:space="0" w:color="auto"/>
            </w:tcBorders>
            <w:shd w:val="clear" w:color="auto" w:fill="auto"/>
            <w:vAlign w:val="center"/>
          </w:tcPr>
          <w:p w14:paraId="5A54C968" w14:textId="77777777" w:rsidR="00382354" w:rsidRPr="00112DC6" w:rsidRDefault="00382354" w:rsidP="005F634F">
            <w:pPr>
              <w:spacing w:after="0"/>
              <w:jc w:val="right"/>
              <w:rPr>
                <w:rFonts w:ascii="Times New Roman" w:hAnsi="Times New Roman"/>
                <w:color w:val="000000"/>
                <w:sz w:val="22"/>
                <w:szCs w:val="22"/>
                <w:lang w:eastAsia="es-DO"/>
              </w:rPr>
            </w:pPr>
            <w:r w:rsidRPr="00112DC6">
              <w:rPr>
                <w:rFonts w:ascii="Times New Roman" w:hAnsi="Times New Roman"/>
                <w:color w:val="000000"/>
                <w:sz w:val="22"/>
                <w:szCs w:val="22"/>
                <w:lang w:eastAsia="es-DO"/>
              </w:rPr>
              <w:t>7,072,253.64</w:t>
            </w:r>
          </w:p>
        </w:tc>
      </w:tr>
      <w:tr w:rsidR="00382354" w:rsidRPr="005F634F" w14:paraId="30B8D5EF" w14:textId="77777777" w:rsidTr="005F634F">
        <w:trPr>
          <w:trHeight w:val="70"/>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89F0CCC" w14:textId="77777777" w:rsidR="00382354" w:rsidRPr="00112DC6" w:rsidRDefault="00382354" w:rsidP="005F634F">
            <w:pPr>
              <w:spacing w:after="0"/>
              <w:rPr>
                <w:rFonts w:ascii="Times New Roman" w:hAnsi="Times New Roman"/>
                <w:bCs/>
                <w:color w:val="000000"/>
                <w:sz w:val="22"/>
                <w:szCs w:val="22"/>
                <w:lang w:eastAsia="es-DO"/>
              </w:rPr>
            </w:pP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14:paraId="78BABF8E" w14:textId="77777777" w:rsidR="00382354" w:rsidRPr="00112DC6" w:rsidRDefault="00382354" w:rsidP="005F634F">
            <w:pPr>
              <w:spacing w:after="0"/>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10082</w:t>
            </w:r>
          </w:p>
        </w:tc>
        <w:tc>
          <w:tcPr>
            <w:tcW w:w="1533" w:type="dxa"/>
            <w:tcBorders>
              <w:top w:val="single" w:sz="4" w:space="0" w:color="auto"/>
              <w:left w:val="nil"/>
              <w:bottom w:val="single" w:sz="4" w:space="0" w:color="auto"/>
              <w:right w:val="single" w:sz="4" w:space="0" w:color="auto"/>
            </w:tcBorders>
            <w:shd w:val="clear" w:color="auto" w:fill="auto"/>
            <w:vAlign w:val="center"/>
          </w:tcPr>
          <w:p w14:paraId="2F53AC70" w14:textId="2DD37814" w:rsidR="00382354" w:rsidRPr="00112DC6" w:rsidRDefault="00112DC6" w:rsidP="005F634F">
            <w:pPr>
              <w:spacing w:after="0"/>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Vehículos</w:t>
            </w:r>
          </w:p>
        </w:tc>
        <w:tc>
          <w:tcPr>
            <w:tcW w:w="5436" w:type="dxa"/>
            <w:tcBorders>
              <w:top w:val="single" w:sz="4" w:space="0" w:color="auto"/>
              <w:left w:val="nil"/>
              <w:bottom w:val="single" w:sz="4" w:space="0" w:color="auto"/>
              <w:right w:val="single" w:sz="4" w:space="0" w:color="auto"/>
            </w:tcBorders>
            <w:shd w:val="clear" w:color="auto" w:fill="auto"/>
            <w:vAlign w:val="center"/>
          </w:tcPr>
          <w:p w14:paraId="380B1649" w14:textId="0B770026" w:rsidR="00382354" w:rsidRPr="00112DC6" w:rsidRDefault="00382354" w:rsidP="005F634F">
            <w:pPr>
              <w:spacing w:after="0"/>
              <w:rPr>
                <w:rFonts w:ascii="Times New Roman" w:hAnsi="Times New Roman"/>
                <w:bCs/>
                <w:color w:val="000000"/>
                <w:sz w:val="22"/>
                <w:szCs w:val="22"/>
                <w:lang w:eastAsia="es-DO"/>
              </w:rPr>
            </w:pPr>
            <w:r w:rsidRPr="00112DC6">
              <w:rPr>
                <w:rFonts w:ascii="Times New Roman" w:hAnsi="Times New Roman"/>
                <w:bCs/>
                <w:color w:val="000000"/>
                <w:sz w:val="22"/>
                <w:szCs w:val="22"/>
                <w:lang w:eastAsia="es-DO"/>
              </w:rPr>
              <w:t>Gastos</w:t>
            </w:r>
            <w:r w:rsidR="005F634F" w:rsidRPr="00112DC6">
              <w:rPr>
                <w:rFonts w:ascii="Times New Roman" w:hAnsi="Times New Roman"/>
                <w:bCs/>
                <w:color w:val="000000"/>
                <w:sz w:val="22"/>
                <w:szCs w:val="22"/>
                <w:lang w:eastAsia="es-DO"/>
              </w:rPr>
              <w:t xml:space="preserve"> para la compra de </w:t>
            </w:r>
            <w:r w:rsidR="00112DC6" w:rsidRPr="00112DC6">
              <w:rPr>
                <w:rFonts w:ascii="Times New Roman" w:hAnsi="Times New Roman"/>
                <w:bCs/>
                <w:color w:val="000000"/>
                <w:sz w:val="22"/>
                <w:szCs w:val="22"/>
                <w:lang w:eastAsia="es-DO"/>
              </w:rPr>
              <w:t>vehículos</w:t>
            </w:r>
            <w:r w:rsidR="005F634F" w:rsidRPr="00112DC6">
              <w:rPr>
                <w:rFonts w:ascii="Times New Roman" w:hAnsi="Times New Roman"/>
                <w:bCs/>
                <w:color w:val="000000"/>
                <w:sz w:val="22"/>
                <w:szCs w:val="22"/>
                <w:lang w:eastAsia="es-DO"/>
              </w:rPr>
              <w:t xml:space="preserve">.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C62C0F1" w14:textId="77777777" w:rsidR="00382354" w:rsidRPr="00112DC6" w:rsidRDefault="00382354" w:rsidP="005F634F">
            <w:pPr>
              <w:spacing w:after="0"/>
              <w:jc w:val="right"/>
              <w:rPr>
                <w:rFonts w:ascii="Times New Roman" w:hAnsi="Times New Roman"/>
                <w:b/>
                <w:bCs/>
                <w:color w:val="000000"/>
                <w:sz w:val="22"/>
                <w:szCs w:val="22"/>
                <w:lang w:eastAsia="es-DO"/>
              </w:rPr>
            </w:pPr>
            <w:r w:rsidRPr="00112DC6">
              <w:rPr>
                <w:rFonts w:ascii="Times New Roman" w:hAnsi="Times New Roman"/>
                <w:b/>
                <w:bCs/>
                <w:color w:val="000000"/>
                <w:sz w:val="22"/>
                <w:szCs w:val="22"/>
                <w:lang w:eastAsia="es-DO"/>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390AFE6" w14:textId="77777777" w:rsidR="00382354" w:rsidRPr="00112DC6" w:rsidRDefault="00382354" w:rsidP="005F634F">
            <w:pPr>
              <w:spacing w:after="0"/>
              <w:jc w:val="right"/>
              <w:rPr>
                <w:rFonts w:ascii="Times New Roman" w:hAnsi="Times New Roman"/>
                <w:color w:val="000000"/>
                <w:sz w:val="22"/>
                <w:szCs w:val="22"/>
                <w:lang w:eastAsia="es-DO"/>
              </w:rPr>
            </w:pPr>
            <w:r w:rsidRPr="00112DC6">
              <w:rPr>
                <w:rFonts w:ascii="Times New Roman" w:hAnsi="Times New Roman"/>
                <w:color w:val="000000"/>
                <w:sz w:val="22"/>
                <w:szCs w:val="22"/>
                <w:lang w:eastAsia="es-DO"/>
              </w:rPr>
              <w:t>0.0</w:t>
            </w:r>
          </w:p>
        </w:tc>
      </w:tr>
    </w:tbl>
    <w:p w14:paraId="3DF40153" w14:textId="77777777" w:rsidR="00382354" w:rsidRPr="0098414F" w:rsidRDefault="00382354" w:rsidP="00382354">
      <w:pPr>
        <w:jc w:val="center"/>
        <w:rPr>
          <w:rFonts w:ascii="Times New Roman" w:hAnsi="Times New Roman"/>
        </w:rPr>
      </w:pPr>
    </w:p>
    <w:p w14:paraId="54E39C47" w14:textId="77777777" w:rsidR="00382354" w:rsidRPr="0098414F" w:rsidRDefault="00382354" w:rsidP="00382354">
      <w:pPr>
        <w:ind w:firstLine="720"/>
        <w:rPr>
          <w:rFonts w:ascii="Times New Roman" w:hAnsi="Times New Roman"/>
          <w:b/>
        </w:rPr>
      </w:pPr>
      <w:r w:rsidRPr="0098414F">
        <w:rPr>
          <w:rFonts w:ascii="Times New Roman" w:hAnsi="Times New Roman"/>
          <w:b/>
        </w:rPr>
        <w:t xml:space="preserve">Ejecución financiera fortalecimiento de las capacidades para la gestión integral del riesgo en el sector agropecuario </w:t>
      </w:r>
    </w:p>
    <w:tbl>
      <w:tblPr>
        <w:tblW w:w="12616"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99"/>
        <w:gridCol w:w="690"/>
        <w:gridCol w:w="1533"/>
        <w:gridCol w:w="5475"/>
        <w:gridCol w:w="992"/>
        <w:gridCol w:w="993"/>
        <w:gridCol w:w="1134"/>
      </w:tblGrid>
      <w:tr w:rsidR="00382354" w:rsidRPr="00E47FB2" w14:paraId="5A8D7D47" w14:textId="77777777" w:rsidTr="005F634F">
        <w:trPr>
          <w:trHeight w:val="70"/>
        </w:trPr>
        <w:tc>
          <w:tcPr>
            <w:tcW w:w="1799" w:type="dxa"/>
            <w:vMerge w:val="restart"/>
            <w:shd w:val="clear" w:color="auto" w:fill="00B050"/>
            <w:vAlign w:val="center"/>
            <w:hideMark/>
          </w:tcPr>
          <w:p w14:paraId="3AEF2271" w14:textId="77777777" w:rsidR="00382354" w:rsidRPr="00E47FB2" w:rsidRDefault="00382354" w:rsidP="005F634F">
            <w:pPr>
              <w:spacing w:after="0"/>
              <w:jc w:val="center"/>
              <w:rPr>
                <w:rFonts w:ascii="Times New Roman" w:hAnsi="Times New Roman"/>
                <w:b/>
                <w:bCs/>
                <w:color w:val="FFFFFF" w:themeColor="background1"/>
                <w:sz w:val="22"/>
                <w:szCs w:val="22"/>
                <w:lang w:eastAsia="es-DO"/>
              </w:rPr>
            </w:pPr>
            <w:r w:rsidRPr="00E47FB2">
              <w:rPr>
                <w:rFonts w:ascii="Times New Roman" w:hAnsi="Times New Roman"/>
                <w:b/>
                <w:bCs/>
                <w:color w:val="FFFFFF" w:themeColor="background1"/>
                <w:sz w:val="22"/>
                <w:szCs w:val="22"/>
                <w:lang w:eastAsia="es-DO"/>
              </w:rPr>
              <w:t>Nombre de Proyecto</w:t>
            </w:r>
          </w:p>
        </w:tc>
        <w:tc>
          <w:tcPr>
            <w:tcW w:w="7698" w:type="dxa"/>
            <w:gridSpan w:val="3"/>
            <w:shd w:val="clear" w:color="auto" w:fill="00B050"/>
            <w:vAlign w:val="center"/>
            <w:hideMark/>
          </w:tcPr>
          <w:p w14:paraId="030909F1" w14:textId="77777777" w:rsidR="00382354" w:rsidRPr="00E47FB2" w:rsidRDefault="00382354" w:rsidP="005F634F">
            <w:pPr>
              <w:spacing w:after="0"/>
              <w:jc w:val="center"/>
              <w:rPr>
                <w:rFonts w:ascii="Times New Roman" w:hAnsi="Times New Roman"/>
                <w:b/>
                <w:bCs/>
                <w:color w:val="FFFFFF" w:themeColor="background1"/>
                <w:sz w:val="22"/>
                <w:szCs w:val="22"/>
                <w:lang w:eastAsia="es-DO"/>
              </w:rPr>
            </w:pPr>
            <w:r w:rsidRPr="00E47FB2">
              <w:rPr>
                <w:rFonts w:ascii="Times New Roman" w:hAnsi="Times New Roman"/>
                <w:b/>
                <w:bCs/>
                <w:color w:val="FFFFFF" w:themeColor="background1"/>
                <w:sz w:val="22"/>
                <w:szCs w:val="22"/>
                <w:lang w:eastAsia="es-DO"/>
              </w:rPr>
              <w:t>Actividad / Obra / Producto </w:t>
            </w:r>
          </w:p>
        </w:tc>
        <w:tc>
          <w:tcPr>
            <w:tcW w:w="992" w:type="dxa"/>
            <w:shd w:val="clear" w:color="auto" w:fill="00B050"/>
          </w:tcPr>
          <w:p w14:paraId="0CCF2192" w14:textId="77777777" w:rsidR="00382354" w:rsidRPr="00E47FB2" w:rsidRDefault="00382354" w:rsidP="005F634F">
            <w:pPr>
              <w:spacing w:after="0"/>
              <w:jc w:val="center"/>
              <w:rPr>
                <w:rFonts w:ascii="Times New Roman" w:hAnsi="Times New Roman"/>
                <w:b/>
                <w:bCs/>
                <w:color w:val="FFFFFF" w:themeColor="background1"/>
                <w:sz w:val="22"/>
                <w:szCs w:val="22"/>
                <w:lang w:eastAsia="es-DO"/>
              </w:rPr>
            </w:pPr>
            <w:r w:rsidRPr="00E47FB2">
              <w:rPr>
                <w:rFonts w:ascii="Times New Roman" w:hAnsi="Times New Roman"/>
                <w:b/>
                <w:bCs/>
                <w:color w:val="FFFFFF" w:themeColor="background1"/>
                <w:sz w:val="22"/>
                <w:szCs w:val="22"/>
                <w:lang w:eastAsia="es-DO"/>
              </w:rPr>
              <w:t>Meta</w:t>
            </w:r>
          </w:p>
        </w:tc>
        <w:tc>
          <w:tcPr>
            <w:tcW w:w="993" w:type="dxa"/>
            <w:shd w:val="clear" w:color="auto" w:fill="00B050"/>
            <w:vAlign w:val="center"/>
            <w:hideMark/>
          </w:tcPr>
          <w:p w14:paraId="0147884E" w14:textId="77777777" w:rsidR="00382354" w:rsidRPr="00E47FB2" w:rsidRDefault="00382354" w:rsidP="005F634F">
            <w:pPr>
              <w:spacing w:after="0"/>
              <w:jc w:val="center"/>
              <w:rPr>
                <w:rFonts w:ascii="Times New Roman" w:hAnsi="Times New Roman"/>
                <w:b/>
                <w:bCs/>
                <w:color w:val="FFFFFF" w:themeColor="background1"/>
                <w:sz w:val="22"/>
                <w:szCs w:val="22"/>
                <w:lang w:eastAsia="es-DO"/>
              </w:rPr>
            </w:pPr>
            <w:r w:rsidRPr="00E47FB2">
              <w:rPr>
                <w:rFonts w:ascii="Times New Roman" w:hAnsi="Times New Roman"/>
                <w:b/>
                <w:bCs/>
                <w:color w:val="FFFFFF" w:themeColor="background1"/>
                <w:sz w:val="22"/>
                <w:szCs w:val="22"/>
                <w:lang w:eastAsia="es-DO"/>
              </w:rPr>
              <w:t>Avance</w:t>
            </w:r>
          </w:p>
        </w:tc>
        <w:tc>
          <w:tcPr>
            <w:tcW w:w="1134" w:type="dxa"/>
            <w:shd w:val="clear" w:color="auto" w:fill="00B050"/>
            <w:vAlign w:val="center"/>
            <w:hideMark/>
          </w:tcPr>
          <w:p w14:paraId="3044CD87" w14:textId="77777777" w:rsidR="00382354" w:rsidRPr="00E47FB2" w:rsidRDefault="00382354" w:rsidP="005F634F">
            <w:pPr>
              <w:spacing w:after="0"/>
              <w:jc w:val="center"/>
              <w:rPr>
                <w:rFonts w:ascii="Times New Roman" w:hAnsi="Times New Roman"/>
                <w:b/>
                <w:bCs/>
                <w:color w:val="FFFFFF" w:themeColor="background1"/>
                <w:sz w:val="22"/>
                <w:szCs w:val="22"/>
                <w:lang w:eastAsia="es-DO"/>
              </w:rPr>
            </w:pPr>
            <w:r w:rsidRPr="00E47FB2">
              <w:rPr>
                <w:rFonts w:ascii="Times New Roman" w:hAnsi="Times New Roman"/>
                <w:b/>
                <w:bCs/>
                <w:color w:val="FFFFFF" w:themeColor="background1"/>
                <w:sz w:val="22"/>
                <w:szCs w:val="22"/>
                <w:lang w:eastAsia="es-DO"/>
              </w:rPr>
              <w:t>% avance</w:t>
            </w:r>
          </w:p>
        </w:tc>
      </w:tr>
      <w:tr w:rsidR="00382354" w:rsidRPr="00E47FB2" w14:paraId="3D2CCBA9" w14:textId="77777777" w:rsidTr="005F634F">
        <w:trPr>
          <w:trHeight w:val="70"/>
        </w:trPr>
        <w:tc>
          <w:tcPr>
            <w:tcW w:w="1799" w:type="dxa"/>
            <w:vMerge/>
            <w:shd w:val="clear" w:color="C7C7DC" w:fill="D9D9D9"/>
            <w:vAlign w:val="center"/>
          </w:tcPr>
          <w:p w14:paraId="010BE4F3" w14:textId="77777777" w:rsidR="00382354" w:rsidRPr="00E47FB2" w:rsidRDefault="00382354" w:rsidP="005F634F">
            <w:pPr>
              <w:spacing w:after="0"/>
              <w:jc w:val="center"/>
              <w:rPr>
                <w:rFonts w:ascii="Times New Roman" w:hAnsi="Times New Roman"/>
                <w:b/>
                <w:bCs/>
                <w:color w:val="000000"/>
                <w:sz w:val="22"/>
                <w:szCs w:val="22"/>
                <w:lang w:eastAsia="es-DO"/>
              </w:rPr>
            </w:pPr>
          </w:p>
        </w:tc>
        <w:tc>
          <w:tcPr>
            <w:tcW w:w="690" w:type="dxa"/>
            <w:shd w:val="clear" w:color="auto" w:fill="808080" w:themeFill="background1" w:themeFillShade="80"/>
            <w:vAlign w:val="center"/>
            <w:hideMark/>
          </w:tcPr>
          <w:p w14:paraId="405AF979" w14:textId="77777777" w:rsidR="00382354" w:rsidRPr="00E47FB2" w:rsidRDefault="00382354" w:rsidP="005F634F">
            <w:pPr>
              <w:spacing w:after="0"/>
              <w:jc w:val="center"/>
              <w:rPr>
                <w:rFonts w:ascii="Times New Roman" w:hAnsi="Times New Roman"/>
                <w:b/>
                <w:bCs/>
                <w:color w:val="FFFFFF" w:themeColor="background1"/>
                <w:sz w:val="22"/>
                <w:szCs w:val="22"/>
                <w:lang w:eastAsia="es-DO"/>
              </w:rPr>
            </w:pPr>
            <w:r w:rsidRPr="00E47FB2">
              <w:rPr>
                <w:rFonts w:ascii="Times New Roman" w:hAnsi="Times New Roman"/>
                <w:b/>
                <w:bCs/>
                <w:color w:val="FFFFFF" w:themeColor="background1"/>
                <w:sz w:val="22"/>
                <w:szCs w:val="22"/>
                <w:lang w:eastAsia="es-DO"/>
              </w:rPr>
              <w:t>ID</w:t>
            </w:r>
          </w:p>
        </w:tc>
        <w:tc>
          <w:tcPr>
            <w:tcW w:w="1533" w:type="dxa"/>
            <w:shd w:val="clear" w:color="auto" w:fill="808080" w:themeFill="background1" w:themeFillShade="80"/>
            <w:vAlign w:val="center"/>
          </w:tcPr>
          <w:p w14:paraId="7D215D76" w14:textId="77777777" w:rsidR="00382354" w:rsidRPr="00E47FB2" w:rsidRDefault="00382354" w:rsidP="005F634F">
            <w:pPr>
              <w:spacing w:after="0"/>
              <w:jc w:val="center"/>
              <w:rPr>
                <w:rFonts w:ascii="Times New Roman" w:hAnsi="Times New Roman"/>
                <w:b/>
                <w:bCs/>
                <w:color w:val="FFFFFF" w:themeColor="background1"/>
                <w:sz w:val="22"/>
                <w:szCs w:val="22"/>
                <w:lang w:eastAsia="es-DO"/>
              </w:rPr>
            </w:pPr>
            <w:r w:rsidRPr="00E47FB2">
              <w:rPr>
                <w:rFonts w:ascii="Times New Roman" w:hAnsi="Times New Roman"/>
                <w:b/>
                <w:bCs/>
                <w:color w:val="FFFFFF" w:themeColor="background1"/>
                <w:sz w:val="22"/>
                <w:szCs w:val="22"/>
                <w:lang w:eastAsia="es-DO"/>
              </w:rPr>
              <w:t>Tipo</w:t>
            </w:r>
          </w:p>
        </w:tc>
        <w:tc>
          <w:tcPr>
            <w:tcW w:w="5475" w:type="dxa"/>
            <w:shd w:val="clear" w:color="auto" w:fill="808080" w:themeFill="background1" w:themeFillShade="80"/>
            <w:vAlign w:val="center"/>
          </w:tcPr>
          <w:p w14:paraId="040B809E" w14:textId="77777777" w:rsidR="00382354" w:rsidRPr="00E47FB2" w:rsidRDefault="00382354" w:rsidP="005F634F">
            <w:pPr>
              <w:spacing w:after="0"/>
              <w:jc w:val="center"/>
              <w:rPr>
                <w:rFonts w:ascii="Times New Roman" w:hAnsi="Times New Roman"/>
                <w:b/>
                <w:bCs/>
                <w:color w:val="FFFFFF" w:themeColor="background1"/>
                <w:sz w:val="22"/>
                <w:szCs w:val="22"/>
                <w:lang w:eastAsia="es-DO"/>
              </w:rPr>
            </w:pPr>
            <w:r w:rsidRPr="00E47FB2">
              <w:rPr>
                <w:rFonts w:ascii="Times New Roman" w:hAnsi="Times New Roman"/>
                <w:b/>
                <w:bCs/>
                <w:color w:val="FFFFFF" w:themeColor="background1"/>
                <w:sz w:val="22"/>
                <w:szCs w:val="22"/>
                <w:lang w:eastAsia="es-DO"/>
              </w:rPr>
              <w:t>Descripción</w:t>
            </w:r>
          </w:p>
        </w:tc>
        <w:tc>
          <w:tcPr>
            <w:tcW w:w="992" w:type="dxa"/>
            <w:shd w:val="clear" w:color="auto" w:fill="808080" w:themeFill="background1" w:themeFillShade="80"/>
          </w:tcPr>
          <w:p w14:paraId="4851CD8B" w14:textId="77777777" w:rsidR="00382354" w:rsidRPr="00E47FB2" w:rsidRDefault="00382354" w:rsidP="005F634F">
            <w:pPr>
              <w:spacing w:after="0"/>
              <w:jc w:val="center"/>
              <w:rPr>
                <w:rFonts w:ascii="Times New Roman" w:hAnsi="Times New Roman"/>
                <w:b/>
                <w:bCs/>
                <w:color w:val="FFFFFF" w:themeColor="background1"/>
                <w:sz w:val="22"/>
                <w:szCs w:val="22"/>
                <w:lang w:eastAsia="es-DO"/>
              </w:rPr>
            </w:pPr>
            <w:r w:rsidRPr="00E47FB2">
              <w:rPr>
                <w:rFonts w:ascii="Times New Roman" w:hAnsi="Times New Roman"/>
                <w:b/>
                <w:bCs/>
                <w:color w:val="FFFFFF" w:themeColor="background1"/>
                <w:sz w:val="22"/>
                <w:szCs w:val="22"/>
                <w:lang w:eastAsia="es-DO"/>
              </w:rPr>
              <w:t>Anual</w:t>
            </w:r>
          </w:p>
        </w:tc>
        <w:tc>
          <w:tcPr>
            <w:tcW w:w="993" w:type="dxa"/>
            <w:shd w:val="clear" w:color="auto" w:fill="808080" w:themeFill="background1" w:themeFillShade="80"/>
            <w:vAlign w:val="center"/>
            <w:hideMark/>
          </w:tcPr>
          <w:p w14:paraId="0547246B" w14:textId="77777777" w:rsidR="00382354" w:rsidRPr="00E47FB2" w:rsidRDefault="00382354" w:rsidP="005F634F">
            <w:pPr>
              <w:spacing w:after="0"/>
              <w:jc w:val="center"/>
              <w:rPr>
                <w:rFonts w:ascii="Times New Roman" w:hAnsi="Times New Roman"/>
                <w:b/>
                <w:bCs/>
                <w:color w:val="FFFFFF" w:themeColor="background1"/>
                <w:sz w:val="22"/>
                <w:szCs w:val="22"/>
                <w:lang w:eastAsia="es-DO"/>
              </w:rPr>
            </w:pPr>
            <w:r w:rsidRPr="00E47FB2">
              <w:rPr>
                <w:rFonts w:ascii="Times New Roman" w:hAnsi="Times New Roman"/>
                <w:b/>
                <w:bCs/>
                <w:color w:val="FFFFFF" w:themeColor="background1"/>
                <w:sz w:val="22"/>
                <w:szCs w:val="22"/>
                <w:lang w:eastAsia="es-DO"/>
              </w:rPr>
              <w:t>Físico</w:t>
            </w:r>
          </w:p>
        </w:tc>
        <w:tc>
          <w:tcPr>
            <w:tcW w:w="1134" w:type="dxa"/>
            <w:shd w:val="clear" w:color="auto" w:fill="808080" w:themeFill="background1" w:themeFillShade="80"/>
            <w:vAlign w:val="center"/>
            <w:hideMark/>
          </w:tcPr>
          <w:p w14:paraId="154CC4F6" w14:textId="77777777" w:rsidR="00382354" w:rsidRPr="00E47FB2" w:rsidRDefault="00382354" w:rsidP="005F634F">
            <w:pPr>
              <w:spacing w:after="0"/>
              <w:jc w:val="center"/>
              <w:rPr>
                <w:rFonts w:ascii="Times New Roman" w:hAnsi="Times New Roman"/>
                <w:b/>
                <w:bCs/>
                <w:color w:val="FFFFFF" w:themeColor="background1"/>
                <w:sz w:val="22"/>
                <w:szCs w:val="22"/>
                <w:lang w:eastAsia="es-DO"/>
              </w:rPr>
            </w:pPr>
            <w:r w:rsidRPr="00E47FB2">
              <w:rPr>
                <w:rFonts w:ascii="Times New Roman" w:hAnsi="Times New Roman"/>
                <w:b/>
                <w:bCs/>
                <w:color w:val="FFFFFF" w:themeColor="background1"/>
                <w:sz w:val="22"/>
                <w:szCs w:val="22"/>
                <w:lang w:eastAsia="es-DO"/>
              </w:rPr>
              <w:t>Físico</w:t>
            </w:r>
          </w:p>
        </w:tc>
      </w:tr>
      <w:tr w:rsidR="00382354" w:rsidRPr="00E47FB2" w14:paraId="6D667FDE" w14:textId="77777777" w:rsidTr="005F634F">
        <w:trPr>
          <w:trHeight w:val="70"/>
        </w:trPr>
        <w:tc>
          <w:tcPr>
            <w:tcW w:w="1799" w:type="dxa"/>
            <w:vMerge w:val="restart"/>
            <w:shd w:val="clear" w:color="auto" w:fill="auto"/>
            <w:vAlign w:val="center"/>
            <w:hideMark/>
          </w:tcPr>
          <w:p w14:paraId="7A8DF85E" w14:textId="77777777" w:rsidR="00382354" w:rsidRPr="00E47FB2" w:rsidRDefault="00382354" w:rsidP="005F634F">
            <w:pPr>
              <w:spacing w:after="0"/>
              <w:jc w:val="center"/>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Componentes</w:t>
            </w:r>
          </w:p>
        </w:tc>
        <w:tc>
          <w:tcPr>
            <w:tcW w:w="690" w:type="dxa"/>
            <w:shd w:val="clear" w:color="auto" w:fill="auto"/>
            <w:vAlign w:val="center"/>
          </w:tcPr>
          <w:p w14:paraId="337E3685" w14:textId="77777777" w:rsidR="00382354" w:rsidRPr="00E47FB2" w:rsidRDefault="00382354" w:rsidP="005F634F">
            <w:pPr>
              <w:spacing w:after="0"/>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5315</w:t>
            </w:r>
          </w:p>
        </w:tc>
        <w:tc>
          <w:tcPr>
            <w:tcW w:w="1533" w:type="dxa"/>
            <w:shd w:val="clear" w:color="auto" w:fill="auto"/>
            <w:vAlign w:val="center"/>
          </w:tcPr>
          <w:p w14:paraId="0BFE5646" w14:textId="36754344" w:rsidR="00382354" w:rsidRPr="00E47FB2" w:rsidRDefault="00382354" w:rsidP="005F634F">
            <w:pPr>
              <w:spacing w:after="0"/>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 xml:space="preserve">Obra </w:t>
            </w:r>
            <w:r w:rsidR="00E47FB2" w:rsidRPr="00E47FB2">
              <w:rPr>
                <w:rFonts w:ascii="Times New Roman" w:hAnsi="Times New Roman"/>
                <w:bCs/>
                <w:color w:val="000000"/>
                <w:sz w:val="22"/>
                <w:szCs w:val="22"/>
                <w:lang w:eastAsia="es-DO"/>
              </w:rPr>
              <w:t>Física</w:t>
            </w:r>
          </w:p>
        </w:tc>
        <w:tc>
          <w:tcPr>
            <w:tcW w:w="5475" w:type="dxa"/>
            <w:shd w:val="clear" w:color="auto" w:fill="auto"/>
            <w:vAlign w:val="center"/>
          </w:tcPr>
          <w:p w14:paraId="3740799F" w14:textId="1DCFEADA" w:rsidR="00382354" w:rsidRPr="00E47FB2" w:rsidRDefault="00E47FB2" w:rsidP="005F634F">
            <w:pPr>
              <w:spacing w:after="0"/>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Construcción</w:t>
            </w:r>
            <w:r w:rsidR="00382354" w:rsidRPr="00E47FB2">
              <w:rPr>
                <w:rFonts w:ascii="Times New Roman" w:hAnsi="Times New Roman"/>
                <w:bCs/>
                <w:color w:val="000000"/>
                <w:sz w:val="22"/>
                <w:szCs w:val="22"/>
                <w:lang w:eastAsia="es-DO"/>
              </w:rPr>
              <w:t xml:space="preserve"> de infraestructuras de </w:t>
            </w:r>
            <w:r w:rsidRPr="00E47FB2">
              <w:rPr>
                <w:rFonts w:ascii="Times New Roman" w:hAnsi="Times New Roman"/>
                <w:bCs/>
                <w:color w:val="000000"/>
                <w:sz w:val="22"/>
                <w:szCs w:val="22"/>
                <w:lang w:eastAsia="es-DO"/>
              </w:rPr>
              <w:t>producción</w:t>
            </w:r>
            <w:r w:rsidR="00382354" w:rsidRPr="00E47FB2">
              <w:rPr>
                <w:rFonts w:ascii="Times New Roman" w:hAnsi="Times New Roman"/>
                <w:bCs/>
                <w:color w:val="000000"/>
                <w:sz w:val="22"/>
                <w:szCs w:val="22"/>
                <w:lang w:eastAsia="es-DO"/>
              </w:rPr>
              <w:t xml:space="preserve"> Ministerio Agricultura (M</w:t>
            </w:r>
            <w:r w:rsidR="005F634F" w:rsidRPr="00E47FB2">
              <w:rPr>
                <w:rFonts w:ascii="Times New Roman" w:hAnsi="Times New Roman"/>
                <w:bCs/>
                <w:color w:val="000000"/>
                <w:sz w:val="22"/>
                <w:szCs w:val="22"/>
                <w:lang w:eastAsia="es-DO"/>
              </w:rPr>
              <w:t>antenimiento Camino Productivo)</w:t>
            </w:r>
          </w:p>
        </w:tc>
        <w:tc>
          <w:tcPr>
            <w:tcW w:w="992" w:type="dxa"/>
            <w:vAlign w:val="center"/>
          </w:tcPr>
          <w:p w14:paraId="3F869976" w14:textId="77777777" w:rsidR="00382354" w:rsidRPr="00E47FB2" w:rsidRDefault="00382354" w:rsidP="005F634F">
            <w:pPr>
              <w:spacing w:after="0"/>
              <w:jc w:val="center"/>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0</w:t>
            </w:r>
          </w:p>
        </w:tc>
        <w:tc>
          <w:tcPr>
            <w:tcW w:w="993" w:type="dxa"/>
            <w:shd w:val="clear" w:color="auto" w:fill="auto"/>
            <w:vAlign w:val="center"/>
            <w:hideMark/>
          </w:tcPr>
          <w:p w14:paraId="29BA0F66" w14:textId="77777777" w:rsidR="00382354" w:rsidRPr="00E47FB2" w:rsidRDefault="00382354" w:rsidP="005F634F">
            <w:pPr>
              <w:spacing w:after="0"/>
              <w:jc w:val="center"/>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0</w:t>
            </w:r>
          </w:p>
        </w:tc>
        <w:tc>
          <w:tcPr>
            <w:tcW w:w="1134" w:type="dxa"/>
            <w:shd w:val="clear" w:color="auto" w:fill="auto"/>
            <w:vAlign w:val="center"/>
          </w:tcPr>
          <w:p w14:paraId="61ED7320" w14:textId="77777777" w:rsidR="00382354" w:rsidRPr="00E47FB2" w:rsidRDefault="00382354" w:rsidP="005F634F">
            <w:pPr>
              <w:spacing w:after="0"/>
              <w:jc w:val="center"/>
              <w:rPr>
                <w:rFonts w:ascii="Times New Roman" w:hAnsi="Times New Roman"/>
                <w:color w:val="000000"/>
                <w:sz w:val="22"/>
                <w:szCs w:val="22"/>
                <w:lang w:eastAsia="es-DO"/>
              </w:rPr>
            </w:pPr>
            <w:r w:rsidRPr="00E47FB2">
              <w:rPr>
                <w:rFonts w:ascii="Times New Roman" w:hAnsi="Times New Roman"/>
                <w:color w:val="000000"/>
                <w:sz w:val="22"/>
                <w:szCs w:val="22"/>
                <w:lang w:eastAsia="es-DO"/>
              </w:rPr>
              <w:t>0</w:t>
            </w:r>
          </w:p>
        </w:tc>
      </w:tr>
      <w:tr w:rsidR="00382354" w:rsidRPr="00E47FB2" w14:paraId="6669A10E" w14:textId="77777777" w:rsidTr="005F634F">
        <w:trPr>
          <w:trHeight w:val="70"/>
        </w:trPr>
        <w:tc>
          <w:tcPr>
            <w:tcW w:w="1799" w:type="dxa"/>
            <w:vMerge/>
            <w:shd w:val="clear" w:color="auto" w:fill="auto"/>
            <w:vAlign w:val="center"/>
          </w:tcPr>
          <w:p w14:paraId="10446169" w14:textId="77777777" w:rsidR="00382354" w:rsidRPr="00E47FB2" w:rsidRDefault="00382354" w:rsidP="005F634F">
            <w:pPr>
              <w:spacing w:after="0"/>
              <w:jc w:val="center"/>
              <w:rPr>
                <w:rFonts w:ascii="Times New Roman" w:hAnsi="Times New Roman"/>
                <w:bCs/>
                <w:color w:val="000000"/>
                <w:sz w:val="22"/>
                <w:szCs w:val="22"/>
                <w:lang w:eastAsia="es-DO"/>
              </w:rPr>
            </w:pPr>
          </w:p>
        </w:tc>
        <w:tc>
          <w:tcPr>
            <w:tcW w:w="690" w:type="dxa"/>
            <w:shd w:val="clear" w:color="auto" w:fill="auto"/>
            <w:vAlign w:val="center"/>
          </w:tcPr>
          <w:p w14:paraId="2A59B311" w14:textId="77777777" w:rsidR="00382354" w:rsidRPr="00E47FB2" w:rsidRDefault="00382354" w:rsidP="005F634F">
            <w:pPr>
              <w:spacing w:after="0"/>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5316</w:t>
            </w:r>
          </w:p>
        </w:tc>
        <w:tc>
          <w:tcPr>
            <w:tcW w:w="1533" w:type="dxa"/>
            <w:shd w:val="clear" w:color="auto" w:fill="auto"/>
            <w:vAlign w:val="center"/>
          </w:tcPr>
          <w:p w14:paraId="4E375650" w14:textId="77777777" w:rsidR="00382354" w:rsidRPr="00E47FB2" w:rsidRDefault="00382354" w:rsidP="005F634F">
            <w:pPr>
              <w:spacing w:after="0"/>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Fortalecimiento Institucional</w:t>
            </w:r>
          </w:p>
        </w:tc>
        <w:tc>
          <w:tcPr>
            <w:tcW w:w="5475" w:type="dxa"/>
            <w:shd w:val="clear" w:color="auto" w:fill="auto"/>
            <w:vAlign w:val="center"/>
          </w:tcPr>
          <w:p w14:paraId="3BF70B50" w14:textId="6C064A5E" w:rsidR="00382354" w:rsidRPr="00E47FB2" w:rsidRDefault="00E47FB2" w:rsidP="005F634F">
            <w:pPr>
              <w:spacing w:after="0"/>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Organización</w:t>
            </w:r>
            <w:r w:rsidR="00382354" w:rsidRPr="00E47FB2">
              <w:rPr>
                <w:rFonts w:ascii="Times New Roman" w:hAnsi="Times New Roman"/>
                <w:bCs/>
                <w:color w:val="000000"/>
                <w:sz w:val="22"/>
                <w:szCs w:val="22"/>
                <w:lang w:eastAsia="es-DO"/>
              </w:rPr>
              <w:t xml:space="preserve"> y </w:t>
            </w:r>
            <w:r w:rsidRPr="00E47FB2">
              <w:rPr>
                <w:rFonts w:ascii="Times New Roman" w:hAnsi="Times New Roman"/>
                <w:bCs/>
                <w:color w:val="000000"/>
                <w:sz w:val="22"/>
                <w:szCs w:val="22"/>
                <w:lang w:eastAsia="es-DO"/>
              </w:rPr>
              <w:t>capacitación</w:t>
            </w:r>
            <w:r w:rsidR="00382354" w:rsidRPr="00E47FB2">
              <w:rPr>
                <w:rFonts w:ascii="Times New Roman" w:hAnsi="Times New Roman"/>
                <w:bCs/>
                <w:color w:val="000000"/>
                <w:sz w:val="22"/>
                <w:szCs w:val="22"/>
                <w:lang w:eastAsia="es-DO"/>
              </w:rPr>
              <w:t xml:space="preserve"> de los productores y gastos para gerenciar el proyecto</w:t>
            </w:r>
          </w:p>
        </w:tc>
        <w:tc>
          <w:tcPr>
            <w:tcW w:w="992" w:type="dxa"/>
            <w:vAlign w:val="center"/>
          </w:tcPr>
          <w:p w14:paraId="0F79C426" w14:textId="77777777" w:rsidR="00382354" w:rsidRPr="00E47FB2" w:rsidRDefault="00382354" w:rsidP="005F634F">
            <w:pPr>
              <w:spacing w:after="0"/>
              <w:jc w:val="center"/>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10</w:t>
            </w:r>
          </w:p>
        </w:tc>
        <w:tc>
          <w:tcPr>
            <w:tcW w:w="993" w:type="dxa"/>
            <w:shd w:val="clear" w:color="auto" w:fill="auto"/>
            <w:vAlign w:val="center"/>
          </w:tcPr>
          <w:p w14:paraId="4D668F3D" w14:textId="77777777" w:rsidR="00382354" w:rsidRPr="00E47FB2" w:rsidRDefault="00382354" w:rsidP="005F634F">
            <w:pPr>
              <w:spacing w:after="0"/>
              <w:jc w:val="center"/>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2</w:t>
            </w:r>
          </w:p>
        </w:tc>
        <w:tc>
          <w:tcPr>
            <w:tcW w:w="1134" w:type="dxa"/>
            <w:shd w:val="clear" w:color="auto" w:fill="auto"/>
            <w:vAlign w:val="center"/>
          </w:tcPr>
          <w:p w14:paraId="72920228" w14:textId="77777777" w:rsidR="00382354" w:rsidRPr="00E47FB2" w:rsidRDefault="00382354" w:rsidP="005F634F">
            <w:pPr>
              <w:spacing w:after="0"/>
              <w:jc w:val="center"/>
              <w:rPr>
                <w:rFonts w:ascii="Times New Roman" w:hAnsi="Times New Roman"/>
                <w:color w:val="000000"/>
                <w:sz w:val="22"/>
                <w:szCs w:val="22"/>
                <w:lang w:eastAsia="es-DO"/>
              </w:rPr>
            </w:pPr>
            <w:r w:rsidRPr="00E47FB2">
              <w:rPr>
                <w:rFonts w:ascii="Times New Roman" w:hAnsi="Times New Roman"/>
                <w:color w:val="000000"/>
                <w:sz w:val="22"/>
                <w:szCs w:val="22"/>
                <w:lang w:eastAsia="es-DO"/>
              </w:rPr>
              <w:t>20</w:t>
            </w:r>
          </w:p>
        </w:tc>
      </w:tr>
      <w:tr w:rsidR="00382354" w:rsidRPr="00E47FB2" w14:paraId="50F31D48" w14:textId="77777777" w:rsidTr="005F634F">
        <w:trPr>
          <w:trHeight w:val="70"/>
        </w:trPr>
        <w:tc>
          <w:tcPr>
            <w:tcW w:w="1799" w:type="dxa"/>
            <w:vMerge/>
            <w:shd w:val="clear" w:color="auto" w:fill="auto"/>
            <w:vAlign w:val="center"/>
          </w:tcPr>
          <w:p w14:paraId="7D547EE8" w14:textId="77777777" w:rsidR="00382354" w:rsidRPr="00E47FB2" w:rsidRDefault="00382354" w:rsidP="005F634F">
            <w:pPr>
              <w:spacing w:after="0"/>
              <w:jc w:val="center"/>
              <w:rPr>
                <w:rFonts w:ascii="Times New Roman" w:hAnsi="Times New Roman"/>
                <w:bCs/>
                <w:color w:val="000000"/>
                <w:sz w:val="22"/>
                <w:szCs w:val="22"/>
                <w:lang w:eastAsia="es-DO"/>
              </w:rPr>
            </w:pPr>
          </w:p>
        </w:tc>
        <w:tc>
          <w:tcPr>
            <w:tcW w:w="690" w:type="dxa"/>
            <w:shd w:val="clear" w:color="auto" w:fill="auto"/>
            <w:vAlign w:val="center"/>
          </w:tcPr>
          <w:p w14:paraId="2D958EE8" w14:textId="77777777" w:rsidR="00382354" w:rsidRPr="00E47FB2" w:rsidRDefault="00382354" w:rsidP="005F634F">
            <w:pPr>
              <w:spacing w:after="0"/>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5319</w:t>
            </w:r>
          </w:p>
        </w:tc>
        <w:tc>
          <w:tcPr>
            <w:tcW w:w="1533" w:type="dxa"/>
            <w:shd w:val="clear" w:color="auto" w:fill="auto"/>
            <w:vAlign w:val="center"/>
          </w:tcPr>
          <w:p w14:paraId="5D98213D" w14:textId="77777777" w:rsidR="00382354" w:rsidRPr="00E47FB2" w:rsidRDefault="00382354" w:rsidP="005F634F">
            <w:pPr>
              <w:spacing w:after="0"/>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Equipo</w:t>
            </w:r>
          </w:p>
        </w:tc>
        <w:tc>
          <w:tcPr>
            <w:tcW w:w="5475" w:type="dxa"/>
            <w:shd w:val="clear" w:color="auto" w:fill="auto"/>
            <w:vAlign w:val="center"/>
          </w:tcPr>
          <w:p w14:paraId="303FFB86" w14:textId="77777777" w:rsidR="00382354" w:rsidRPr="00E47FB2" w:rsidRDefault="00382354" w:rsidP="005F634F">
            <w:pPr>
              <w:spacing w:after="0"/>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Adquisicion e instalacion de equipos de riego</w:t>
            </w:r>
          </w:p>
        </w:tc>
        <w:tc>
          <w:tcPr>
            <w:tcW w:w="992" w:type="dxa"/>
            <w:vAlign w:val="center"/>
          </w:tcPr>
          <w:p w14:paraId="21A11FC5" w14:textId="77777777" w:rsidR="00382354" w:rsidRPr="00E47FB2" w:rsidRDefault="00382354" w:rsidP="005F634F">
            <w:pPr>
              <w:spacing w:after="0"/>
              <w:jc w:val="center"/>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103</w:t>
            </w:r>
          </w:p>
        </w:tc>
        <w:tc>
          <w:tcPr>
            <w:tcW w:w="993" w:type="dxa"/>
            <w:shd w:val="clear" w:color="auto" w:fill="auto"/>
            <w:vAlign w:val="center"/>
          </w:tcPr>
          <w:p w14:paraId="3D4C851C" w14:textId="77777777" w:rsidR="00382354" w:rsidRPr="00E47FB2" w:rsidRDefault="00382354" w:rsidP="005F634F">
            <w:pPr>
              <w:spacing w:after="0"/>
              <w:jc w:val="center"/>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75</w:t>
            </w:r>
          </w:p>
        </w:tc>
        <w:tc>
          <w:tcPr>
            <w:tcW w:w="1134" w:type="dxa"/>
            <w:shd w:val="clear" w:color="auto" w:fill="auto"/>
            <w:vAlign w:val="center"/>
          </w:tcPr>
          <w:p w14:paraId="3B9B5405" w14:textId="77777777" w:rsidR="00382354" w:rsidRPr="00E47FB2" w:rsidRDefault="00382354" w:rsidP="005F634F">
            <w:pPr>
              <w:spacing w:after="0"/>
              <w:jc w:val="center"/>
              <w:rPr>
                <w:rFonts w:ascii="Times New Roman" w:hAnsi="Times New Roman"/>
                <w:color w:val="000000"/>
                <w:sz w:val="22"/>
                <w:szCs w:val="22"/>
                <w:lang w:eastAsia="es-DO"/>
              </w:rPr>
            </w:pPr>
            <w:r w:rsidRPr="00E47FB2">
              <w:rPr>
                <w:rFonts w:ascii="Times New Roman" w:hAnsi="Times New Roman"/>
                <w:color w:val="000000"/>
                <w:sz w:val="22"/>
                <w:szCs w:val="22"/>
                <w:lang w:eastAsia="es-DO"/>
              </w:rPr>
              <w:t>72.8</w:t>
            </w:r>
          </w:p>
        </w:tc>
      </w:tr>
      <w:tr w:rsidR="00382354" w:rsidRPr="00E47FB2" w14:paraId="258DAE2B" w14:textId="77777777" w:rsidTr="005F634F">
        <w:trPr>
          <w:trHeight w:val="70"/>
        </w:trPr>
        <w:tc>
          <w:tcPr>
            <w:tcW w:w="1799" w:type="dxa"/>
            <w:vMerge/>
            <w:vAlign w:val="center"/>
            <w:hideMark/>
          </w:tcPr>
          <w:p w14:paraId="19B7285A" w14:textId="77777777" w:rsidR="00382354" w:rsidRPr="00E47FB2" w:rsidRDefault="00382354" w:rsidP="005F634F">
            <w:pPr>
              <w:spacing w:after="0"/>
              <w:rPr>
                <w:rFonts w:ascii="Times New Roman" w:hAnsi="Times New Roman"/>
                <w:bCs/>
                <w:color w:val="000000"/>
                <w:sz w:val="22"/>
                <w:szCs w:val="22"/>
                <w:lang w:eastAsia="es-DO"/>
              </w:rPr>
            </w:pPr>
          </w:p>
        </w:tc>
        <w:tc>
          <w:tcPr>
            <w:tcW w:w="690" w:type="dxa"/>
            <w:shd w:val="clear" w:color="auto" w:fill="auto"/>
            <w:vAlign w:val="center"/>
          </w:tcPr>
          <w:p w14:paraId="2293CC54" w14:textId="77777777" w:rsidR="00382354" w:rsidRPr="00E47FB2" w:rsidRDefault="00382354" w:rsidP="005F634F">
            <w:pPr>
              <w:spacing w:after="0"/>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10079</w:t>
            </w:r>
          </w:p>
        </w:tc>
        <w:tc>
          <w:tcPr>
            <w:tcW w:w="1533" w:type="dxa"/>
            <w:shd w:val="clear" w:color="auto" w:fill="auto"/>
            <w:vAlign w:val="center"/>
          </w:tcPr>
          <w:p w14:paraId="1B127EDF" w14:textId="77777777" w:rsidR="00382354" w:rsidRPr="00E47FB2" w:rsidRDefault="00382354" w:rsidP="005F634F">
            <w:pPr>
              <w:spacing w:after="0"/>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Asistencia Tecnica</w:t>
            </w:r>
          </w:p>
        </w:tc>
        <w:tc>
          <w:tcPr>
            <w:tcW w:w="5475" w:type="dxa"/>
            <w:shd w:val="clear" w:color="auto" w:fill="auto"/>
            <w:vAlign w:val="center"/>
          </w:tcPr>
          <w:p w14:paraId="2F99E803" w14:textId="77777777" w:rsidR="00382354" w:rsidRPr="00E47FB2" w:rsidRDefault="00382354" w:rsidP="005F634F">
            <w:pPr>
              <w:spacing w:after="0"/>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Cualificacion de los agricultores para el otorgamiento de creditos. Componente de acceso al crédito.</w:t>
            </w:r>
          </w:p>
        </w:tc>
        <w:tc>
          <w:tcPr>
            <w:tcW w:w="992" w:type="dxa"/>
            <w:vAlign w:val="center"/>
          </w:tcPr>
          <w:p w14:paraId="3E667B01" w14:textId="77777777" w:rsidR="00382354" w:rsidRPr="00E47FB2" w:rsidRDefault="00382354" w:rsidP="005F634F">
            <w:pPr>
              <w:spacing w:after="0"/>
              <w:jc w:val="center"/>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30</w:t>
            </w:r>
          </w:p>
        </w:tc>
        <w:tc>
          <w:tcPr>
            <w:tcW w:w="993" w:type="dxa"/>
            <w:shd w:val="clear" w:color="auto" w:fill="auto"/>
            <w:vAlign w:val="center"/>
            <w:hideMark/>
          </w:tcPr>
          <w:p w14:paraId="7C89ACE0" w14:textId="77777777" w:rsidR="00382354" w:rsidRPr="00E47FB2" w:rsidRDefault="00382354" w:rsidP="005F634F">
            <w:pPr>
              <w:spacing w:after="0"/>
              <w:jc w:val="center"/>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0</w:t>
            </w:r>
          </w:p>
        </w:tc>
        <w:tc>
          <w:tcPr>
            <w:tcW w:w="1134" w:type="dxa"/>
            <w:shd w:val="clear" w:color="auto" w:fill="auto"/>
            <w:vAlign w:val="center"/>
          </w:tcPr>
          <w:p w14:paraId="48BA1392" w14:textId="77777777" w:rsidR="00382354" w:rsidRPr="00E47FB2" w:rsidRDefault="00382354" w:rsidP="005F634F">
            <w:pPr>
              <w:spacing w:after="0"/>
              <w:jc w:val="center"/>
              <w:rPr>
                <w:rFonts w:ascii="Times New Roman" w:hAnsi="Times New Roman"/>
                <w:color w:val="000000"/>
                <w:sz w:val="22"/>
                <w:szCs w:val="22"/>
                <w:lang w:eastAsia="es-DO"/>
              </w:rPr>
            </w:pPr>
            <w:r w:rsidRPr="00E47FB2">
              <w:rPr>
                <w:rFonts w:ascii="Times New Roman" w:hAnsi="Times New Roman"/>
                <w:color w:val="000000"/>
                <w:sz w:val="22"/>
                <w:szCs w:val="22"/>
                <w:lang w:eastAsia="es-DO"/>
              </w:rPr>
              <w:t>0</w:t>
            </w:r>
          </w:p>
        </w:tc>
      </w:tr>
      <w:tr w:rsidR="00382354" w:rsidRPr="00E47FB2" w14:paraId="2E6FA1C6" w14:textId="77777777" w:rsidTr="005F634F">
        <w:trPr>
          <w:trHeight w:val="70"/>
        </w:trPr>
        <w:tc>
          <w:tcPr>
            <w:tcW w:w="1799" w:type="dxa"/>
            <w:vMerge/>
            <w:vAlign w:val="center"/>
          </w:tcPr>
          <w:p w14:paraId="475F7133" w14:textId="77777777" w:rsidR="00382354" w:rsidRPr="00E47FB2" w:rsidRDefault="00382354" w:rsidP="005F634F">
            <w:pPr>
              <w:spacing w:after="0"/>
              <w:rPr>
                <w:rFonts w:ascii="Times New Roman" w:hAnsi="Times New Roman"/>
                <w:bCs/>
                <w:color w:val="000000"/>
                <w:sz w:val="22"/>
                <w:szCs w:val="22"/>
                <w:lang w:eastAsia="es-DO"/>
              </w:rPr>
            </w:pPr>
          </w:p>
        </w:tc>
        <w:tc>
          <w:tcPr>
            <w:tcW w:w="690" w:type="dxa"/>
            <w:shd w:val="clear" w:color="auto" w:fill="auto"/>
            <w:vAlign w:val="center"/>
          </w:tcPr>
          <w:p w14:paraId="3386999B" w14:textId="77777777" w:rsidR="00382354" w:rsidRPr="00E47FB2" w:rsidRDefault="00382354" w:rsidP="005F634F">
            <w:pPr>
              <w:spacing w:after="0"/>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10080</w:t>
            </w:r>
          </w:p>
        </w:tc>
        <w:tc>
          <w:tcPr>
            <w:tcW w:w="1533" w:type="dxa"/>
            <w:shd w:val="clear" w:color="auto" w:fill="auto"/>
            <w:vAlign w:val="center"/>
          </w:tcPr>
          <w:p w14:paraId="4DBF8E3F" w14:textId="77777777" w:rsidR="00382354" w:rsidRPr="00E47FB2" w:rsidRDefault="00382354" w:rsidP="005F634F">
            <w:pPr>
              <w:spacing w:after="0"/>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Equipamiento</w:t>
            </w:r>
          </w:p>
        </w:tc>
        <w:tc>
          <w:tcPr>
            <w:tcW w:w="5475" w:type="dxa"/>
            <w:shd w:val="clear" w:color="auto" w:fill="auto"/>
            <w:vAlign w:val="center"/>
          </w:tcPr>
          <w:p w14:paraId="48C0F6E8" w14:textId="4374D972" w:rsidR="00382354" w:rsidRPr="00E47FB2" w:rsidRDefault="00382354" w:rsidP="005F634F">
            <w:pPr>
              <w:spacing w:after="0"/>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Gastos para e</w:t>
            </w:r>
            <w:r w:rsidR="005F634F" w:rsidRPr="00E47FB2">
              <w:rPr>
                <w:rFonts w:ascii="Times New Roman" w:hAnsi="Times New Roman"/>
                <w:bCs/>
                <w:color w:val="000000"/>
                <w:sz w:val="22"/>
                <w:szCs w:val="22"/>
                <w:lang w:eastAsia="es-DO"/>
              </w:rPr>
              <w:t>l equipamiento de las oficinas</w:t>
            </w:r>
          </w:p>
        </w:tc>
        <w:tc>
          <w:tcPr>
            <w:tcW w:w="992" w:type="dxa"/>
            <w:vAlign w:val="center"/>
          </w:tcPr>
          <w:p w14:paraId="2DCCEAF7" w14:textId="77777777" w:rsidR="00382354" w:rsidRPr="00E47FB2" w:rsidRDefault="00382354" w:rsidP="005F634F">
            <w:pPr>
              <w:spacing w:after="0"/>
              <w:jc w:val="center"/>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0</w:t>
            </w:r>
          </w:p>
        </w:tc>
        <w:tc>
          <w:tcPr>
            <w:tcW w:w="993" w:type="dxa"/>
            <w:shd w:val="clear" w:color="auto" w:fill="auto"/>
            <w:vAlign w:val="center"/>
          </w:tcPr>
          <w:p w14:paraId="295EC08D" w14:textId="77777777" w:rsidR="00382354" w:rsidRPr="00E47FB2" w:rsidRDefault="00382354" w:rsidP="005F634F">
            <w:pPr>
              <w:spacing w:after="0"/>
              <w:jc w:val="center"/>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0</w:t>
            </w:r>
          </w:p>
        </w:tc>
        <w:tc>
          <w:tcPr>
            <w:tcW w:w="1134" w:type="dxa"/>
            <w:shd w:val="clear" w:color="auto" w:fill="auto"/>
            <w:vAlign w:val="center"/>
          </w:tcPr>
          <w:p w14:paraId="330DAB41" w14:textId="77777777" w:rsidR="00382354" w:rsidRPr="00E47FB2" w:rsidRDefault="00382354" w:rsidP="005F634F">
            <w:pPr>
              <w:spacing w:after="0"/>
              <w:jc w:val="center"/>
              <w:rPr>
                <w:rFonts w:ascii="Times New Roman" w:hAnsi="Times New Roman"/>
                <w:color w:val="000000"/>
                <w:sz w:val="22"/>
                <w:szCs w:val="22"/>
                <w:lang w:eastAsia="es-DO"/>
              </w:rPr>
            </w:pPr>
            <w:r w:rsidRPr="00E47FB2">
              <w:rPr>
                <w:rFonts w:ascii="Times New Roman" w:hAnsi="Times New Roman"/>
                <w:color w:val="000000"/>
                <w:sz w:val="22"/>
                <w:szCs w:val="22"/>
                <w:lang w:eastAsia="es-DO"/>
              </w:rPr>
              <w:t>0</w:t>
            </w:r>
          </w:p>
        </w:tc>
      </w:tr>
      <w:tr w:rsidR="00382354" w:rsidRPr="00E47FB2" w14:paraId="1A6AA32E" w14:textId="77777777" w:rsidTr="005F634F">
        <w:trPr>
          <w:trHeight w:val="70"/>
        </w:trPr>
        <w:tc>
          <w:tcPr>
            <w:tcW w:w="1799" w:type="dxa"/>
            <w:vMerge/>
            <w:vAlign w:val="center"/>
          </w:tcPr>
          <w:p w14:paraId="0B9DF583" w14:textId="77777777" w:rsidR="00382354" w:rsidRPr="00E47FB2" w:rsidRDefault="00382354" w:rsidP="005F634F">
            <w:pPr>
              <w:spacing w:after="0"/>
              <w:rPr>
                <w:rFonts w:ascii="Times New Roman" w:hAnsi="Times New Roman"/>
                <w:bCs/>
                <w:color w:val="000000"/>
                <w:sz w:val="22"/>
                <w:szCs w:val="22"/>
                <w:lang w:eastAsia="es-DO"/>
              </w:rPr>
            </w:pPr>
          </w:p>
        </w:tc>
        <w:tc>
          <w:tcPr>
            <w:tcW w:w="690" w:type="dxa"/>
            <w:shd w:val="clear" w:color="auto" w:fill="auto"/>
            <w:vAlign w:val="center"/>
          </w:tcPr>
          <w:p w14:paraId="45E04821" w14:textId="77777777" w:rsidR="00382354" w:rsidRPr="00E47FB2" w:rsidRDefault="00382354" w:rsidP="005F634F">
            <w:pPr>
              <w:spacing w:after="0"/>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10081</w:t>
            </w:r>
          </w:p>
        </w:tc>
        <w:tc>
          <w:tcPr>
            <w:tcW w:w="1533" w:type="dxa"/>
            <w:shd w:val="clear" w:color="auto" w:fill="auto"/>
            <w:vAlign w:val="center"/>
          </w:tcPr>
          <w:p w14:paraId="483BF3E7" w14:textId="77777777" w:rsidR="00382354" w:rsidRPr="00E47FB2" w:rsidRDefault="00382354" w:rsidP="005F634F">
            <w:pPr>
              <w:spacing w:after="0"/>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Consultorias</w:t>
            </w:r>
          </w:p>
        </w:tc>
        <w:tc>
          <w:tcPr>
            <w:tcW w:w="5475" w:type="dxa"/>
            <w:shd w:val="clear" w:color="auto" w:fill="auto"/>
            <w:vAlign w:val="center"/>
          </w:tcPr>
          <w:p w14:paraId="3F08BD8F" w14:textId="77777777" w:rsidR="00382354" w:rsidRPr="00E47FB2" w:rsidRDefault="00382354" w:rsidP="005F634F">
            <w:pPr>
              <w:spacing w:after="0"/>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Gastos destinados al acompañamiento de los agricultores para el desarrollo de las obras de riego y otras.</w:t>
            </w:r>
          </w:p>
        </w:tc>
        <w:tc>
          <w:tcPr>
            <w:tcW w:w="992" w:type="dxa"/>
            <w:vAlign w:val="center"/>
          </w:tcPr>
          <w:p w14:paraId="4D5CEC38" w14:textId="77777777" w:rsidR="00382354" w:rsidRPr="00E47FB2" w:rsidRDefault="00382354" w:rsidP="005F634F">
            <w:pPr>
              <w:spacing w:after="0"/>
              <w:jc w:val="center"/>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21</w:t>
            </w:r>
          </w:p>
        </w:tc>
        <w:tc>
          <w:tcPr>
            <w:tcW w:w="993" w:type="dxa"/>
            <w:shd w:val="clear" w:color="auto" w:fill="auto"/>
            <w:vAlign w:val="center"/>
          </w:tcPr>
          <w:p w14:paraId="00DEEEF3" w14:textId="77777777" w:rsidR="00382354" w:rsidRPr="00E47FB2" w:rsidRDefault="00382354" w:rsidP="005F634F">
            <w:pPr>
              <w:spacing w:after="0"/>
              <w:jc w:val="center"/>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10</w:t>
            </w:r>
          </w:p>
        </w:tc>
        <w:tc>
          <w:tcPr>
            <w:tcW w:w="1134" w:type="dxa"/>
            <w:shd w:val="clear" w:color="auto" w:fill="auto"/>
            <w:vAlign w:val="center"/>
          </w:tcPr>
          <w:p w14:paraId="03818226" w14:textId="77777777" w:rsidR="00382354" w:rsidRPr="00E47FB2" w:rsidRDefault="00382354" w:rsidP="005F634F">
            <w:pPr>
              <w:spacing w:after="0"/>
              <w:jc w:val="center"/>
              <w:rPr>
                <w:rFonts w:ascii="Times New Roman" w:hAnsi="Times New Roman"/>
                <w:color w:val="000000"/>
                <w:sz w:val="22"/>
                <w:szCs w:val="22"/>
                <w:lang w:eastAsia="es-DO"/>
              </w:rPr>
            </w:pPr>
            <w:r w:rsidRPr="00E47FB2">
              <w:rPr>
                <w:rFonts w:ascii="Times New Roman" w:hAnsi="Times New Roman"/>
                <w:color w:val="000000"/>
                <w:sz w:val="22"/>
                <w:szCs w:val="22"/>
                <w:lang w:eastAsia="es-DO"/>
              </w:rPr>
              <w:t>47.6</w:t>
            </w:r>
          </w:p>
        </w:tc>
      </w:tr>
      <w:tr w:rsidR="00382354" w:rsidRPr="005F634F" w14:paraId="7AF314EE" w14:textId="77777777" w:rsidTr="005F634F">
        <w:trPr>
          <w:trHeight w:val="70"/>
        </w:trPr>
        <w:tc>
          <w:tcPr>
            <w:tcW w:w="1799" w:type="dxa"/>
            <w:vMerge/>
            <w:vAlign w:val="center"/>
            <w:hideMark/>
          </w:tcPr>
          <w:p w14:paraId="0802E39B" w14:textId="77777777" w:rsidR="00382354" w:rsidRPr="00E47FB2" w:rsidRDefault="00382354" w:rsidP="005F634F">
            <w:pPr>
              <w:spacing w:after="0"/>
              <w:rPr>
                <w:rFonts w:ascii="Times New Roman" w:hAnsi="Times New Roman"/>
                <w:bCs/>
                <w:color w:val="000000"/>
                <w:sz w:val="22"/>
                <w:szCs w:val="22"/>
                <w:lang w:eastAsia="es-DO"/>
              </w:rPr>
            </w:pPr>
          </w:p>
        </w:tc>
        <w:tc>
          <w:tcPr>
            <w:tcW w:w="690" w:type="dxa"/>
            <w:shd w:val="clear" w:color="auto" w:fill="auto"/>
            <w:vAlign w:val="center"/>
          </w:tcPr>
          <w:p w14:paraId="71E254E1" w14:textId="77777777" w:rsidR="00382354" w:rsidRPr="00E47FB2" w:rsidRDefault="00382354" w:rsidP="005F634F">
            <w:pPr>
              <w:spacing w:after="0"/>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10082</w:t>
            </w:r>
          </w:p>
        </w:tc>
        <w:tc>
          <w:tcPr>
            <w:tcW w:w="1533" w:type="dxa"/>
            <w:shd w:val="clear" w:color="auto" w:fill="auto"/>
            <w:vAlign w:val="center"/>
          </w:tcPr>
          <w:p w14:paraId="12DF2825" w14:textId="77777777" w:rsidR="00382354" w:rsidRPr="00E47FB2" w:rsidRDefault="00382354" w:rsidP="005F634F">
            <w:pPr>
              <w:spacing w:after="0"/>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Vehiculos</w:t>
            </w:r>
          </w:p>
        </w:tc>
        <w:tc>
          <w:tcPr>
            <w:tcW w:w="5475" w:type="dxa"/>
            <w:shd w:val="clear" w:color="auto" w:fill="auto"/>
            <w:vAlign w:val="center"/>
          </w:tcPr>
          <w:p w14:paraId="1613C86B" w14:textId="265DAF53" w:rsidR="00382354" w:rsidRPr="00E47FB2" w:rsidRDefault="00382354" w:rsidP="005F634F">
            <w:pPr>
              <w:spacing w:after="0"/>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Gastos</w:t>
            </w:r>
            <w:r w:rsidR="005F634F" w:rsidRPr="00E47FB2">
              <w:rPr>
                <w:rFonts w:ascii="Times New Roman" w:hAnsi="Times New Roman"/>
                <w:bCs/>
                <w:color w:val="000000"/>
                <w:sz w:val="22"/>
                <w:szCs w:val="22"/>
                <w:lang w:eastAsia="es-DO"/>
              </w:rPr>
              <w:t xml:space="preserve"> para la compra de vehiculos. </w:t>
            </w:r>
          </w:p>
        </w:tc>
        <w:tc>
          <w:tcPr>
            <w:tcW w:w="992" w:type="dxa"/>
            <w:vAlign w:val="center"/>
          </w:tcPr>
          <w:p w14:paraId="0FFC7476" w14:textId="77777777" w:rsidR="00382354" w:rsidRPr="00E47FB2" w:rsidRDefault="00382354" w:rsidP="005F634F">
            <w:pPr>
              <w:spacing w:after="0"/>
              <w:jc w:val="center"/>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0</w:t>
            </w:r>
          </w:p>
        </w:tc>
        <w:tc>
          <w:tcPr>
            <w:tcW w:w="993" w:type="dxa"/>
            <w:shd w:val="clear" w:color="auto" w:fill="auto"/>
            <w:vAlign w:val="center"/>
            <w:hideMark/>
          </w:tcPr>
          <w:p w14:paraId="630C8032" w14:textId="77777777" w:rsidR="00382354" w:rsidRPr="00E47FB2" w:rsidRDefault="00382354" w:rsidP="005F634F">
            <w:pPr>
              <w:spacing w:after="0"/>
              <w:jc w:val="center"/>
              <w:rPr>
                <w:rFonts w:ascii="Times New Roman" w:hAnsi="Times New Roman"/>
                <w:bCs/>
                <w:color w:val="000000"/>
                <w:sz w:val="22"/>
                <w:szCs w:val="22"/>
                <w:lang w:eastAsia="es-DO"/>
              </w:rPr>
            </w:pPr>
            <w:r w:rsidRPr="00E47FB2">
              <w:rPr>
                <w:rFonts w:ascii="Times New Roman" w:hAnsi="Times New Roman"/>
                <w:bCs/>
                <w:color w:val="000000"/>
                <w:sz w:val="22"/>
                <w:szCs w:val="22"/>
                <w:lang w:eastAsia="es-DO"/>
              </w:rPr>
              <w:t>0</w:t>
            </w:r>
          </w:p>
        </w:tc>
        <w:tc>
          <w:tcPr>
            <w:tcW w:w="1134" w:type="dxa"/>
            <w:shd w:val="clear" w:color="auto" w:fill="auto"/>
            <w:vAlign w:val="center"/>
          </w:tcPr>
          <w:p w14:paraId="719EFA3E" w14:textId="77777777" w:rsidR="00382354" w:rsidRPr="00E47FB2" w:rsidRDefault="00382354" w:rsidP="005F634F">
            <w:pPr>
              <w:spacing w:after="0"/>
              <w:jc w:val="center"/>
              <w:rPr>
                <w:rFonts w:ascii="Times New Roman" w:hAnsi="Times New Roman"/>
                <w:color w:val="000000"/>
                <w:sz w:val="22"/>
                <w:szCs w:val="22"/>
                <w:lang w:eastAsia="es-DO"/>
              </w:rPr>
            </w:pPr>
            <w:r w:rsidRPr="00E47FB2">
              <w:rPr>
                <w:rFonts w:ascii="Times New Roman" w:hAnsi="Times New Roman"/>
                <w:color w:val="000000"/>
                <w:sz w:val="22"/>
                <w:szCs w:val="22"/>
                <w:lang w:eastAsia="es-DO"/>
              </w:rPr>
              <w:t>0</w:t>
            </w:r>
          </w:p>
        </w:tc>
      </w:tr>
    </w:tbl>
    <w:p w14:paraId="5A76EAC4" w14:textId="77777777" w:rsidR="00382354" w:rsidRPr="0098414F" w:rsidRDefault="00382354" w:rsidP="00382354">
      <w:pPr>
        <w:spacing w:after="0"/>
        <w:jc w:val="center"/>
        <w:rPr>
          <w:rFonts w:ascii="Times New Roman" w:hAnsi="Times New Roman"/>
        </w:rPr>
        <w:sectPr w:rsidR="00382354" w:rsidRPr="0098414F" w:rsidSect="00731D0D">
          <w:headerReference w:type="default" r:id="rId118"/>
          <w:pgSz w:w="15840" w:h="12240" w:orient="landscape"/>
          <w:pgMar w:top="851" w:right="1440" w:bottom="1276" w:left="851" w:header="720" w:footer="720" w:gutter="0"/>
          <w:cols w:space="720"/>
          <w:docGrid w:linePitch="360"/>
        </w:sectPr>
      </w:pPr>
      <w:r w:rsidRPr="0098414F">
        <w:rPr>
          <w:rFonts w:ascii="Times New Roman" w:hAnsi="Times New Roman"/>
        </w:rPr>
        <w:br w:type="page"/>
      </w:r>
    </w:p>
    <w:p w14:paraId="1F19483B" w14:textId="77777777" w:rsidR="00382354" w:rsidRPr="0098414F" w:rsidRDefault="00382354" w:rsidP="00382354">
      <w:pPr>
        <w:spacing w:after="0" w:line="480" w:lineRule="auto"/>
        <w:jc w:val="center"/>
        <w:rPr>
          <w:rFonts w:ascii="Times New Roman" w:hAnsi="Times New Roman"/>
          <w:b/>
          <w:sz w:val="28"/>
        </w:rPr>
      </w:pPr>
    </w:p>
    <w:p w14:paraId="27F4CFE9" w14:textId="77777777" w:rsidR="00382354" w:rsidRPr="0098414F" w:rsidRDefault="00382354" w:rsidP="00382354">
      <w:pPr>
        <w:spacing w:after="0" w:line="480" w:lineRule="auto"/>
        <w:jc w:val="center"/>
        <w:rPr>
          <w:rFonts w:ascii="Times New Roman" w:hAnsi="Times New Roman"/>
          <w:b/>
          <w:sz w:val="28"/>
        </w:rPr>
      </w:pPr>
    </w:p>
    <w:p w14:paraId="75D8D444" w14:textId="77777777" w:rsidR="00382354" w:rsidRPr="0098414F" w:rsidRDefault="00382354" w:rsidP="00382354">
      <w:pPr>
        <w:spacing w:after="0" w:line="480" w:lineRule="auto"/>
        <w:jc w:val="center"/>
        <w:rPr>
          <w:rFonts w:ascii="Times New Roman" w:hAnsi="Times New Roman"/>
          <w:b/>
          <w:sz w:val="28"/>
        </w:rPr>
      </w:pPr>
    </w:p>
    <w:p w14:paraId="1A541E81" w14:textId="77777777" w:rsidR="00382354" w:rsidRPr="0098414F" w:rsidRDefault="00382354" w:rsidP="00382354">
      <w:pPr>
        <w:spacing w:after="0" w:line="480" w:lineRule="auto"/>
        <w:jc w:val="center"/>
        <w:rPr>
          <w:rFonts w:ascii="Times New Roman" w:hAnsi="Times New Roman"/>
          <w:b/>
          <w:sz w:val="28"/>
        </w:rPr>
      </w:pPr>
    </w:p>
    <w:p w14:paraId="282300A0" w14:textId="77777777" w:rsidR="00382354" w:rsidRPr="0098414F" w:rsidRDefault="00382354" w:rsidP="00382354">
      <w:pPr>
        <w:spacing w:after="0" w:line="480" w:lineRule="auto"/>
        <w:jc w:val="center"/>
        <w:rPr>
          <w:rFonts w:ascii="Times New Roman" w:hAnsi="Times New Roman"/>
          <w:b/>
          <w:sz w:val="28"/>
        </w:rPr>
      </w:pPr>
    </w:p>
    <w:p w14:paraId="61DBB1B8" w14:textId="77777777" w:rsidR="00382354" w:rsidRPr="0098414F" w:rsidRDefault="00382354" w:rsidP="00382354">
      <w:pPr>
        <w:spacing w:after="0" w:line="480" w:lineRule="auto"/>
        <w:jc w:val="center"/>
        <w:rPr>
          <w:rFonts w:ascii="Times New Roman" w:hAnsi="Times New Roman"/>
          <w:b/>
          <w:sz w:val="28"/>
        </w:rPr>
      </w:pPr>
      <w:r>
        <w:rPr>
          <w:rFonts w:ascii="Times New Roman" w:hAnsi="Times New Roman"/>
          <w:b/>
          <w:sz w:val="28"/>
        </w:rPr>
        <w:t>Anexo F</w:t>
      </w:r>
      <w:r w:rsidRPr="0098414F">
        <w:rPr>
          <w:rFonts w:ascii="Times New Roman" w:hAnsi="Times New Roman"/>
          <w:b/>
          <w:sz w:val="28"/>
        </w:rPr>
        <w:t>:</w:t>
      </w:r>
    </w:p>
    <w:p w14:paraId="443DD781" w14:textId="77777777" w:rsidR="00382354" w:rsidRDefault="00382354" w:rsidP="00382354">
      <w:pPr>
        <w:spacing w:after="0" w:line="480" w:lineRule="auto"/>
        <w:jc w:val="center"/>
        <w:rPr>
          <w:rFonts w:ascii="Times New Roman" w:hAnsi="Times New Roman"/>
          <w:b/>
          <w:sz w:val="28"/>
        </w:rPr>
      </w:pPr>
      <w:r>
        <w:rPr>
          <w:rFonts w:ascii="Times New Roman" w:hAnsi="Times New Roman"/>
          <w:b/>
          <w:sz w:val="28"/>
        </w:rPr>
        <w:t>Indicadores de desempeño del sistema de monitoreo y medición de gestión pública, SMMGP</w:t>
      </w:r>
    </w:p>
    <w:p w14:paraId="13814CC7" w14:textId="77777777" w:rsidR="00382354" w:rsidRPr="0098414F" w:rsidRDefault="00382354" w:rsidP="00382354">
      <w:pPr>
        <w:spacing w:after="0" w:line="480" w:lineRule="auto"/>
        <w:jc w:val="center"/>
        <w:rPr>
          <w:rFonts w:ascii="Times New Roman" w:hAnsi="Times New Roman"/>
          <w:b/>
          <w:sz w:val="28"/>
        </w:rPr>
      </w:pPr>
      <w:r>
        <w:rPr>
          <w:rFonts w:ascii="Times New Roman" w:hAnsi="Times New Roman"/>
          <w:b/>
          <w:sz w:val="28"/>
        </w:rPr>
        <w:t>Instituciones Adscritas al Ministerio de Agricultura</w:t>
      </w:r>
    </w:p>
    <w:p w14:paraId="626B2AC2" w14:textId="77777777" w:rsidR="00382354" w:rsidRPr="0098414F" w:rsidRDefault="00382354" w:rsidP="00382354">
      <w:pPr>
        <w:spacing w:after="0" w:line="480" w:lineRule="auto"/>
        <w:jc w:val="center"/>
        <w:rPr>
          <w:rFonts w:ascii="Times New Roman" w:hAnsi="Times New Roman"/>
          <w:b/>
          <w:sz w:val="28"/>
        </w:rPr>
      </w:pPr>
    </w:p>
    <w:p w14:paraId="445444B8" w14:textId="77777777" w:rsidR="00382354" w:rsidRPr="0098414F" w:rsidRDefault="00382354" w:rsidP="00382354">
      <w:pPr>
        <w:spacing w:after="0" w:line="480" w:lineRule="auto"/>
        <w:jc w:val="center"/>
        <w:rPr>
          <w:rFonts w:ascii="Times New Roman" w:hAnsi="Times New Roman"/>
        </w:rPr>
      </w:pPr>
    </w:p>
    <w:p w14:paraId="6FDD246D" w14:textId="77777777" w:rsidR="00382354" w:rsidRPr="0098414F" w:rsidRDefault="00382354" w:rsidP="00382354">
      <w:pPr>
        <w:spacing w:after="0"/>
        <w:jc w:val="center"/>
        <w:rPr>
          <w:rFonts w:ascii="Times New Roman" w:hAnsi="Times New Roman"/>
        </w:rPr>
        <w:sectPr w:rsidR="00382354" w:rsidRPr="0098414F" w:rsidSect="00731D0D">
          <w:headerReference w:type="default" r:id="rId119"/>
          <w:pgSz w:w="15840" w:h="12240" w:orient="landscape"/>
          <w:pgMar w:top="851" w:right="1440" w:bottom="1276" w:left="851" w:header="720" w:footer="720" w:gutter="0"/>
          <w:cols w:space="720"/>
          <w:docGrid w:linePitch="360"/>
        </w:sectPr>
      </w:pPr>
      <w:r w:rsidRPr="0098414F">
        <w:rPr>
          <w:rFonts w:ascii="Times New Roman" w:hAnsi="Times New Roman"/>
          <w:noProof/>
          <w:lang w:eastAsia="es-DO"/>
        </w:rPr>
        <mc:AlternateContent>
          <mc:Choice Requires="wps">
            <w:drawing>
              <wp:anchor distT="0" distB="0" distL="114300" distR="114300" simplePos="0" relativeHeight="251720704" behindDoc="0" locked="0" layoutInCell="1" allowOverlap="1" wp14:anchorId="76A56DD3" wp14:editId="437324D3">
                <wp:simplePos x="0" y="0"/>
                <wp:positionH relativeFrom="column">
                  <wp:posOffset>7310755</wp:posOffset>
                </wp:positionH>
                <wp:positionV relativeFrom="paragraph">
                  <wp:posOffset>2396994</wp:posOffset>
                </wp:positionV>
                <wp:extent cx="1402715" cy="425450"/>
                <wp:effectExtent l="0" t="0" r="26035" b="12700"/>
                <wp:wrapNone/>
                <wp:docPr id="48" name="4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71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680DF0F" id="48 Rectángulo" o:spid="_x0000_s1026" style="position:absolute;margin-left:575.65pt;margin-top:188.75pt;width:110.45pt;height:3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" fillcolor="white [3212]" strokecolor="white [3212]" strokeweight="2pt">
                <v:path arrowok="t"/>
              </v:rect>
            </w:pict>
          </mc:Fallback>
        </mc:AlternateContent>
      </w:r>
      <w:r w:rsidRPr="0098414F">
        <w:rPr>
          <w:rFonts w:ascii="Times New Roman" w:hAnsi="Times New Roman"/>
        </w:rPr>
        <w:br w:type="page"/>
      </w:r>
    </w:p>
    <w:p w14:paraId="11CB64C8" w14:textId="6C358EB0" w:rsidR="00382354" w:rsidRDefault="00382354" w:rsidP="005F634F">
      <w:pPr>
        <w:spacing w:after="0" w:line="276" w:lineRule="auto"/>
        <w:ind w:left="709" w:firstLine="11"/>
        <w:rPr>
          <w:rFonts w:ascii="Times New Roman" w:hAnsi="Times New Roman"/>
          <w:b/>
          <w:bCs/>
          <w:color w:val="000000"/>
          <w:szCs w:val="28"/>
          <w:lang w:eastAsia="es-DO"/>
        </w:rPr>
      </w:pPr>
      <w:r w:rsidRPr="0079104E">
        <w:rPr>
          <w:rFonts w:ascii="Times New Roman" w:hAnsi="Times New Roman"/>
          <w:b/>
          <w:bCs/>
          <w:color w:val="000000"/>
          <w:szCs w:val="28"/>
          <w:lang w:eastAsia="es-DO"/>
        </w:rPr>
        <w:lastRenderedPageBreak/>
        <w:t xml:space="preserve">Relación de indicadores de desempeño del </w:t>
      </w:r>
      <w:r>
        <w:rPr>
          <w:rFonts w:ascii="Times New Roman" w:hAnsi="Times New Roman"/>
          <w:b/>
          <w:bCs/>
          <w:color w:val="000000"/>
          <w:szCs w:val="28"/>
          <w:lang w:eastAsia="es-DO"/>
        </w:rPr>
        <w:t>S</w:t>
      </w:r>
      <w:r w:rsidRPr="0079104E">
        <w:rPr>
          <w:rFonts w:ascii="Times New Roman" w:hAnsi="Times New Roman"/>
          <w:b/>
          <w:bCs/>
          <w:color w:val="000000"/>
          <w:szCs w:val="28"/>
          <w:lang w:eastAsia="es-DO"/>
        </w:rPr>
        <w:t xml:space="preserve">istema de </w:t>
      </w:r>
      <w:r>
        <w:rPr>
          <w:rFonts w:ascii="Times New Roman" w:hAnsi="Times New Roman"/>
          <w:b/>
          <w:bCs/>
          <w:color w:val="000000"/>
          <w:szCs w:val="28"/>
          <w:lang w:eastAsia="es-DO"/>
        </w:rPr>
        <w:t>M</w:t>
      </w:r>
      <w:r w:rsidRPr="0079104E">
        <w:rPr>
          <w:rFonts w:ascii="Times New Roman" w:hAnsi="Times New Roman"/>
          <w:b/>
          <w:bCs/>
          <w:color w:val="000000"/>
          <w:szCs w:val="28"/>
          <w:lang w:eastAsia="es-DO"/>
        </w:rPr>
        <w:t xml:space="preserve">edición y </w:t>
      </w:r>
      <w:r>
        <w:rPr>
          <w:rFonts w:ascii="Times New Roman" w:hAnsi="Times New Roman"/>
          <w:b/>
          <w:bCs/>
          <w:color w:val="000000"/>
          <w:szCs w:val="28"/>
          <w:lang w:eastAsia="es-DO"/>
        </w:rPr>
        <w:t>M</w:t>
      </w:r>
      <w:r w:rsidRPr="0079104E">
        <w:rPr>
          <w:rFonts w:ascii="Times New Roman" w:hAnsi="Times New Roman"/>
          <w:b/>
          <w:bCs/>
          <w:color w:val="000000"/>
          <w:szCs w:val="28"/>
          <w:lang w:eastAsia="es-DO"/>
        </w:rPr>
        <w:t xml:space="preserve">onitoreo de la </w:t>
      </w:r>
      <w:r>
        <w:rPr>
          <w:rFonts w:ascii="Times New Roman" w:hAnsi="Times New Roman"/>
          <w:b/>
          <w:bCs/>
          <w:color w:val="000000"/>
          <w:szCs w:val="28"/>
          <w:lang w:eastAsia="es-DO"/>
        </w:rPr>
        <w:t>G</w:t>
      </w:r>
      <w:r w:rsidRPr="0079104E">
        <w:rPr>
          <w:rFonts w:ascii="Times New Roman" w:hAnsi="Times New Roman"/>
          <w:b/>
          <w:bCs/>
          <w:color w:val="000000"/>
          <w:szCs w:val="28"/>
          <w:lang w:eastAsia="es-DO"/>
        </w:rPr>
        <w:t xml:space="preserve">estión </w:t>
      </w:r>
      <w:r>
        <w:rPr>
          <w:rFonts w:ascii="Times New Roman" w:hAnsi="Times New Roman"/>
          <w:b/>
          <w:bCs/>
          <w:color w:val="000000"/>
          <w:szCs w:val="28"/>
          <w:lang w:eastAsia="es-DO"/>
        </w:rPr>
        <w:t>Pú</w:t>
      </w:r>
      <w:r w:rsidRPr="0079104E">
        <w:rPr>
          <w:rFonts w:ascii="Times New Roman" w:hAnsi="Times New Roman"/>
          <w:b/>
          <w:bCs/>
          <w:color w:val="000000"/>
          <w:szCs w:val="28"/>
          <w:lang w:eastAsia="es-DO"/>
        </w:rPr>
        <w:t>blica de las</w:t>
      </w:r>
      <w:r>
        <w:rPr>
          <w:rFonts w:ascii="Times New Roman" w:hAnsi="Times New Roman"/>
          <w:b/>
          <w:bCs/>
          <w:color w:val="000000"/>
          <w:szCs w:val="28"/>
          <w:lang w:eastAsia="es-DO"/>
        </w:rPr>
        <w:t xml:space="preserve"> Instituciones relacionadas al S</w:t>
      </w:r>
      <w:r w:rsidRPr="0079104E">
        <w:rPr>
          <w:rFonts w:ascii="Times New Roman" w:hAnsi="Times New Roman"/>
          <w:b/>
          <w:bCs/>
          <w:color w:val="000000"/>
          <w:szCs w:val="28"/>
          <w:lang w:eastAsia="es-DO"/>
        </w:rPr>
        <w:t xml:space="preserve">ector </w:t>
      </w:r>
      <w:r>
        <w:rPr>
          <w:rFonts w:ascii="Times New Roman" w:hAnsi="Times New Roman"/>
          <w:b/>
          <w:bCs/>
          <w:color w:val="000000"/>
          <w:szCs w:val="28"/>
          <w:lang w:eastAsia="es-DO"/>
        </w:rPr>
        <w:t>A</w:t>
      </w:r>
      <w:r w:rsidRPr="0079104E">
        <w:rPr>
          <w:rFonts w:ascii="Times New Roman" w:hAnsi="Times New Roman"/>
          <w:b/>
          <w:bCs/>
          <w:color w:val="000000"/>
          <w:szCs w:val="28"/>
          <w:lang w:eastAsia="es-DO"/>
        </w:rPr>
        <w:t>gropecuario</w:t>
      </w:r>
    </w:p>
    <w:p w14:paraId="5DAFF457" w14:textId="77777777" w:rsidR="00B31EF6" w:rsidRPr="0079104E" w:rsidRDefault="00B31EF6" w:rsidP="005F634F">
      <w:pPr>
        <w:spacing w:after="0" w:line="276" w:lineRule="auto"/>
        <w:ind w:left="709" w:firstLine="11"/>
        <w:rPr>
          <w:rFonts w:ascii="Times New Roman" w:hAnsi="Times New Roman"/>
          <w:b/>
          <w:bCs/>
          <w:color w:val="000000"/>
          <w:szCs w:val="28"/>
          <w:lang w:eastAsia="es-DO"/>
        </w:rPr>
      </w:pPr>
    </w:p>
    <w:tbl>
      <w:tblPr>
        <w:tblW w:w="14500" w:type="dxa"/>
        <w:tblInd w:w="-80" w:type="dxa"/>
        <w:tblCellMar>
          <w:left w:w="70" w:type="dxa"/>
          <w:right w:w="70" w:type="dxa"/>
        </w:tblCellMar>
        <w:tblLook w:val="04A0" w:firstRow="1" w:lastRow="0" w:firstColumn="1" w:lastColumn="0" w:noHBand="0" w:noVBand="1"/>
      </w:tblPr>
      <w:tblGrid>
        <w:gridCol w:w="1982"/>
        <w:gridCol w:w="1563"/>
        <w:gridCol w:w="943"/>
        <w:gridCol w:w="984"/>
        <w:gridCol w:w="993"/>
        <w:gridCol w:w="988"/>
        <w:gridCol w:w="998"/>
        <w:gridCol w:w="1047"/>
        <w:gridCol w:w="857"/>
        <w:gridCol w:w="2052"/>
        <w:gridCol w:w="2223"/>
      </w:tblGrid>
      <w:tr w:rsidR="00382354" w:rsidRPr="00457E6C" w14:paraId="1023086A" w14:textId="77777777" w:rsidTr="005F634F">
        <w:trPr>
          <w:trHeight w:val="177"/>
        </w:trPr>
        <w:tc>
          <w:tcPr>
            <w:tcW w:w="1852" w:type="dxa"/>
            <w:tcBorders>
              <w:top w:val="single" w:sz="8" w:space="0" w:color="auto"/>
              <w:left w:val="single" w:sz="8" w:space="0" w:color="auto"/>
              <w:bottom w:val="single" w:sz="8" w:space="0" w:color="auto"/>
              <w:right w:val="single" w:sz="8" w:space="0" w:color="auto"/>
            </w:tcBorders>
            <w:shd w:val="clear" w:color="000000" w:fill="D3D3D3"/>
            <w:vAlign w:val="center"/>
            <w:hideMark/>
          </w:tcPr>
          <w:p w14:paraId="42E617CF" w14:textId="649E556C" w:rsidR="00382354" w:rsidRPr="00457E6C" w:rsidRDefault="00382354" w:rsidP="005F634F">
            <w:pPr>
              <w:spacing w:after="0"/>
              <w:jc w:val="center"/>
              <w:rPr>
                <w:rFonts w:ascii="Times New Roman" w:hAnsi="Times New Roman"/>
                <w:b/>
                <w:bCs/>
                <w:color w:val="000000"/>
                <w:sz w:val="20"/>
                <w:szCs w:val="16"/>
                <w:lang w:eastAsia="es-DO"/>
              </w:rPr>
            </w:pPr>
            <w:r w:rsidRPr="00457E6C">
              <w:rPr>
                <w:rFonts w:ascii="Times New Roman" w:hAnsi="Times New Roman"/>
                <w:b/>
                <w:bCs/>
                <w:color w:val="000000"/>
                <w:sz w:val="20"/>
                <w:szCs w:val="16"/>
                <w:lang w:val="en-US" w:eastAsia="es-DO"/>
              </w:rPr>
              <w:t>INSTITUCIÓN</w:t>
            </w:r>
            <w:r w:rsidR="005F634F">
              <w:rPr>
                <w:rStyle w:val="Refdenotaalpie"/>
                <w:rFonts w:ascii="Times New Roman" w:hAnsi="Times New Roman"/>
                <w:b/>
                <w:bCs/>
                <w:color w:val="000000"/>
                <w:sz w:val="20"/>
                <w:szCs w:val="16"/>
                <w:lang w:val="en-US" w:eastAsia="es-DO"/>
              </w:rPr>
              <w:footnoteReference w:id="43"/>
            </w:r>
          </w:p>
        </w:tc>
        <w:tc>
          <w:tcPr>
            <w:tcW w:w="1563" w:type="dxa"/>
            <w:tcBorders>
              <w:top w:val="single" w:sz="8" w:space="0" w:color="auto"/>
              <w:left w:val="nil"/>
              <w:bottom w:val="single" w:sz="8" w:space="0" w:color="auto"/>
              <w:right w:val="single" w:sz="8" w:space="0" w:color="auto"/>
            </w:tcBorders>
            <w:shd w:val="clear" w:color="000000" w:fill="D3D3D3"/>
            <w:vAlign w:val="center"/>
            <w:hideMark/>
          </w:tcPr>
          <w:p w14:paraId="102C4129" w14:textId="77777777" w:rsidR="00382354" w:rsidRPr="00457E6C" w:rsidRDefault="00382354" w:rsidP="005F634F">
            <w:pPr>
              <w:spacing w:after="0"/>
              <w:jc w:val="center"/>
              <w:rPr>
                <w:rFonts w:ascii="Times New Roman" w:hAnsi="Times New Roman"/>
                <w:b/>
                <w:bCs/>
                <w:color w:val="000000"/>
                <w:sz w:val="20"/>
                <w:szCs w:val="16"/>
                <w:lang w:eastAsia="es-DO"/>
              </w:rPr>
            </w:pPr>
            <w:r w:rsidRPr="00457E6C">
              <w:rPr>
                <w:rFonts w:ascii="Times New Roman" w:hAnsi="Times New Roman"/>
                <w:b/>
                <w:bCs/>
                <w:color w:val="000000"/>
                <w:sz w:val="20"/>
                <w:szCs w:val="16"/>
                <w:lang w:val="en-US" w:eastAsia="es-DO"/>
              </w:rPr>
              <w:t>PROMEDIO</w:t>
            </w:r>
            <w:r w:rsidRPr="000E48C3">
              <w:rPr>
                <w:rFonts w:ascii="Times New Roman" w:hAnsi="Times New Roman"/>
                <w:b/>
                <w:bCs/>
                <w:sz w:val="16"/>
                <w:szCs w:val="20"/>
                <w:vertAlign w:val="superscript"/>
                <w:lang w:val="en-US"/>
              </w:rPr>
              <w:footnoteReference w:id="44"/>
            </w:r>
            <w:r>
              <w:rPr>
                <w:rFonts w:ascii="Times New Roman" w:hAnsi="Times New Roman"/>
                <w:b/>
                <w:bCs/>
                <w:color w:val="000000"/>
                <w:sz w:val="20"/>
                <w:szCs w:val="16"/>
                <w:lang w:val="en-US" w:eastAsia="es-DO"/>
              </w:rPr>
              <w:t xml:space="preserve"> </w:t>
            </w:r>
            <w:r w:rsidRPr="00457E6C">
              <w:rPr>
                <w:rFonts w:ascii="Times New Roman" w:hAnsi="Times New Roman"/>
                <w:b/>
                <w:bCs/>
                <w:color w:val="000000"/>
                <w:sz w:val="20"/>
                <w:szCs w:val="16"/>
                <w:lang w:val="en-US" w:eastAsia="es-DO"/>
              </w:rPr>
              <w:t>INDICADORES</w:t>
            </w:r>
          </w:p>
        </w:tc>
        <w:tc>
          <w:tcPr>
            <w:tcW w:w="943" w:type="dxa"/>
            <w:tcBorders>
              <w:top w:val="single" w:sz="8" w:space="0" w:color="auto"/>
              <w:left w:val="nil"/>
              <w:bottom w:val="single" w:sz="8" w:space="0" w:color="auto"/>
              <w:right w:val="single" w:sz="8" w:space="0" w:color="auto"/>
            </w:tcBorders>
            <w:shd w:val="clear" w:color="000000" w:fill="4F81BD"/>
            <w:vAlign w:val="center"/>
            <w:hideMark/>
          </w:tcPr>
          <w:p w14:paraId="0CCC7706" w14:textId="77777777" w:rsidR="00382354" w:rsidRPr="000752EE" w:rsidRDefault="00382354" w:rsidP="005F634F">
            <w:pPr>
              <w:spacing w:after="0"/>
              <w:jc w:val="center"/>
              <w:rPr>
                <w:rFonts w:ascii="Times New Roman" w:hAnsi="Times New Roman"/>
                <w:b/>
                <w:bCs/>
                <w:color w:val="FFFFFF" w:themeColor="background1"/>
                <w:sz w:val="20"/>
                <w:szCs w:val="16"/>
                <w:lang w:eastAsia="es-DO"/>
              </w:rPr>
            </w:pPr>
            <w:r w:rsidRPr="000752EE">
              <w:rPr>
                <w:rFonts w:ascii="Times New Roman" w:hAnsi="Times New Roman"/>
                <w:b/>
                <w:bCs/>
                <w:color w:val="FFFFFF" w:themeColor="background1"/>
                <w:sz w:val="20"/>
                <w:szCs w:val="16"/>
                <w:lang w:val="en-US" w:eastAsia="es-DO"/>
              </w:rPr>
              <w:t>METAS</w:t>
            </w:r>
          </w:p>
        </w:tc>
        <w:tc>
          <w:tcPr>
            <w:tcW w:w="984" w:type="dxa"/>
            <w:tcBorders>
              <w:top w:val="single" w:sz="8" w:space="0" w:color="auto"/>
              <w:left w:val="nil"/>
              <w:bottom w:val="single" w:sz="8" w:space="0" w:color="auto"/>
              <w:right w:val="single" w:sz="8" w:space="0" w:color="auto"/>
            </w:tcBorders>
            <w:shd w:val="clear" w:color="000000" w:fill="4F81BD"/>
            <w:vAlign w:val="center"/>
            <w:hideMark/>
          </w:tcPr>
          <w:p w14:paraId="1AFECC57" w14:textId="77777777" w:rsidR="00382354" w:rsidRPr="000752EE" w:rsidRDefault="00382354" w:rsidP="005F634F">
            <w:pPr>
              <w:spacing w:after="0"/>
              <w:jc w:val="center"/>
              <w:rPr>
                <w:rFonts w:ascii="Times New Roman" w:hAnsi="Times New Roman"/>
                <w:b/>
                <w:bCs/>
                <w:color w:val="FFFFFF" w:themeColor="background1"/>
                <w:sz w:val="20"/>
                <w:szCs w:val="16"/>
                <w:lang w:eastAsia="es-DO"/>
              </w:rPr>
            </w:pPr>
            <w:r w:rsidRPr="000752EE">
              <w:rPr>
                <w:rFonts w:ascii="Times New Roman" w:hAnsi="Times New Roman"/>
                <w:b/>
                <w:bCs/>
                <w:color w:val="FFFFFF" w:themeColor="background1"/>
                <w:sz w:val="20"/>
                <w:szCs w:val="16"/>
                <w:lang w:val="en-US" w:eastAsia="es-DO"/>
              </w:rPr>
              <w:t>OBRAS</w:t>
            </w:r>
          </w:p>
        </w:tc>
        <w:tc>
          <w:tcPr>
            <w:tcW w:w="993" w:type="dxa"/>
            <w:tcBorders>
              <w:top w:val="single" w:sz="8" w:space="0" w:color="auto"/>
              <w:left w:val="nil"/>
              <w:bottom w:val="single" w:sz="8" w:space="0" w:color="auto"/>
              <w:right w:val="single" w:sz="8" w:space="0" w:color="auto"/>
            </w:tcBorders>
            <w:shd w:val="clear" w:color="000000" w:fill="F79646"/>
            <w:vAlign w:val="center"/>
            <w:hideMark/>
          </w:tcPr>
          <w:p w14:paraId="3BF1F10F" w14:textId="77777777" w:rsidR="00382354" w:rsidRPr="00457E6C" w:rsidRDefault="00382354" w:rsidP="005F634F">
            <w:pPr>
              <w:spacing w:after="0"/>
              <w:jc w:val="center"/>
              <w:rPr>
                <w:rFonts w:ascii="Times New Roman" w:hAnsi="Times New Roman"/>
                <w:b/>
                <w:bCs/>
                <w:color w:val="000000"/>
                <w:sz w:val="20"/>
                <w:szCs w:val="16"/>
                <w:lang w:eastAsia="es-DO"/>
              </w:rPr>
            </w:pPr>
            <w:r w:rsidRPr="00457E6C">
              <w:rPr>
                <w:rFonts w:ascii="Times New Roman" w:hAnsi="Times New Roman"/>
                <w:b/>
                <w:bCs/>
                <w:color w:val="000000"/>
                <w:sz w:val="20"/>
                <w:szCs w:val="16"/>
                <w:lang w:val="en-US" w:eastAsia="es-DO"/>
              </w:rPr>
              <w:t>SISMAP</w:t>
            </w:r>
          </w:p>
        </w:tc>
        <w:tc>
          <w:tcPr>
            <w:tcW w:w="988" w:type="dxa"/>
            <w:tcBorders>
              <w:top w:val="single" w:sz="8" w:space="0" w:color="auto"/>
              <w:left w:val="nil"/>
              <w:bottom w:val="single" w:sz="8" w:space="0" w:color="auto"/>
              <w:right w:val="single" w:sz="8" w:space="0" w:color="auto"/>
            </w:tcBorders>
            <w:shd w:val="clear" w:color="000000" w:fill="F79646"/>
            <w:vAlign w:val="center"/>
            <w:hideMark/>
          </w:tcPr>
          <w:p w14:paraId="4BB9A2EB" w14:textId="77777777" w:rsidR="00382354" w:rsidRPr="00457E6C" w:rsidRDefault="00382354" w:rsidP="005F634F">
            <w:pPr>
              <w:spacing w:after="0"/>
              <w:jc w:val="center"/>
              <w:rPr>
                <w:rFonts w:ascii="Times New Roman" w:hAnsi="Times New Roman"/>
                <w:b/>
                <w:bCs/>
                <w:color w:val="000000"/>
                <w:sz w:val="20"/>
                <w:szCs w:val="16"/>
                <w:lang w:eastAsia="es-DO"/>
              </w:rPr>
            </w:pPr>
            <w:r w:rsidRPr="00457E6C">
              <w:rPr>
                <w:rFonts w:ascii="Times New Roman" w:hAnsi="Times New Roman"/>
                <w:b/>
                <w:bCs/>
                <w:color w:val="000000"/>
                <w:sz w:val="20"/>
                <w:szCs w:val="16"/>
                <w:lang w:val="en-US" w:eastAsia="es-DO"/>
              </w:rPr>
              <w:t>ITICGE</w:t>
            </w:r>
          </w:p>
        </w:tc>
        <w:tc>
          <w:tcPr>
            <w:tcW w:w="998" w:type="dxa"/>
            <w:tcBorders>
              <w:top w:val="single" w:sz="8" w:space="0" w:color="auto"/>
              <w:left w:val="nil"/>
              <w:bottom w:val="single" w:sz="8" w:space="0" w:color="auto"/>
              <w:right w:val="single" w:sz="8" w:space="0" w:color="auto"/>
            </w:tcBorders>
            <w:shd w:val="clear" w:color="000000" w:fill="F79646"/>
            <w:vAlign w:val="center"/>
            <w:hideMark/>
          </w:tcPr>
          <w:p w14:paraId="2BABDC60" w14:textId="77777777" w:rsidR="00382354" w:rsidRPr="00457E6C" w:rsidRDefault="00382354" w:rsidP="005F634F">
            <w:pPr>
              <w:spacing w:after="0"/>
              <w:jc w:val="center"/>
              <w:rPr>
                <w:rFonts w:ascii="Times New Roman" w:hAnsi="Times New Roman"/>
                <w:b/>
                <w:bCs/>
                <w:color w:val="000000"/>
                <w:sz w:val="20"/>
                <w:szCs w:val="16"/>
                <w:lang w:eastAsia="es-DO"/>
              </w:rPr>
            </w:pPr>
            <w:r w:rsidRPr="00457E6C">
              <w:rPr>
                <w:rFonts w:ascii="Times New Roman" w:hAnsi="Times New Roman"/>
                <w:b/>
                <w:bCs/>
                <w:color w:val="000000"/>
                <w:sz w:val="20"/>
                <w:szCs w:val="16"/>
                <w:lang w:val="en-US" w:eastAsia="es-DO"/>
              </w:rPr>
              <w:t>NOBACI</w:t>
            </w:r>
          </w:p>
        </w:tc>
        <w:tc>
          <w:tcPr>
            <w:tcW w:w="1047" w:type="dxa"/>
            <w:tcBorders>
              <w:top w:val="single" w:sz="8" w:space="0" w:color="auto"/>
              <w:left w:val="nil"/>
              <w:bottom w:val="single" w:sz="8" w:space="0" w:color="auto"/>
              <w:right w:val="single" w:sz="8" w:space="0" w:color="auto"/>
            </w:tcBorders>
            <w:shd w:val="clear" w:color="000000" w:fill="F79646"/>
            <w:vAlign w:val="center"/>
            <w:hideMark/>
          </w:tcPr>
          <w:p w14:paraId="7B3221E4" w14:textId="77777777" w:rsidR="00382354" w:rsidRPr="00395787" w:rsidRDefault="00382354" w:rsidP="005F634F">
            <w:pPr>
              <w:spacing w:after="0"/>
              <w:jc w:val="center"/>
              <w:rPr>
                <w:rFonts w:ascii="Times New Roman" w:hAnsi="Times New Roman"/>
                <w:b/>
                <w:bCs/>
                <w:color w:val="000000"/>
                <w:sz w:val="20"/>
                <w:szCs w:val="16"/>
                <w:lang w:val="en-US" w:eastAsia="es-DO"/>
              </w:rPr>
            </w:pPr>
            <w:r>
              <w:rPr>
                <w:rFonts w:ascii="Times New Roman" w:hAnsi="Times New Roman"/>
                <w:b/>
                <w:bCs/>
                <w:color w:val="000000"/>
                <w:sz w:val="20"/>
                <w:szCs w:val="16"/>
                <w:lang w:val="en-US" w:eastAsia="es-DO"/>
              </w:rPr>
              <w:t>LEY n</w:t>
            </w:r>
            <w:r w:rsidRPr="00457E6C">
              <w:rPr>
                <w:rFonts w:ascii="Times New Roman" w:hAnsi="Times New Roman"/>
                <w:b/>
                <w:bCs/>
                <w:color w:val="000000"/>
                <w:sz w:val="20"/>
                <w:szCs w:val="16"/>
                <w:lang w:val="en-US" w:eastAsia="es-DO"/>
              </w:rPr>
              <w:t>. 200-04</w:t>
            </w:r>
          </w:p>
        </w:tc>
        <w:tc>
          <w:tcPr>
            <w:tcW w:w="857" w:type="dxa"/>
            <w:tcBorders>
              <w:top w:val="single" w:sz="8" w:space="0" w:color="auto"/>
              <w:left w:val="nil"/>
              <w:bottom w:val="single" w:sz="8" w:space="0" w:color="auto"/>
              <w:right w:val="single" w:sz="8" w:space="0" w:color="auto"/>
            </w:tcBorders>
            <w:shd w:val="clear" w:color="000000" w:fill="F79646"/>
            <w:vAlign w:val="center"/>
            <w:hideMark/>
          </w:tcPr>
          <w:p w14:paraId="4D4B31EC" w14:textId="77777777" w:rsidR="00382354" w:rsidRPr="00457E6C" w:rsidRDefault="00382354" w:rsidP="005F634F">
            <w:pPr>
              <w:spacing w:after="0"/>
              <w:jc w:val="center"/>
              <w:rPr>
                <w:rFonts w:ascii="Times New Roman" w:hAnsi="Times New Roman"/>
                <w:b/>
                <w:bCs/>
                <w:color w:val="000000"/>
                <w:sz w:val="20"/>
                <w:szCs w:val="16"/>
                <w:lang w:eastAsia="es-DO"/>
              </w:rPr>
            </w:pPr>
            <w:r w:rsidRPr="00457E6C">
              <w:rPr>
                <w:rFonts w:ascii="Times New Roman" w:hAnsi="Times New Roman"/>
                <w:b/>
                <w:bCs/>
                <w:color w:val="000000"/>
                <w:sz w:val="20"/>
                <w:szCs w:val="16"/>
                <w:lang w:val="en-US" w:eastAsia="es-DO"/>
              </w:rPr>
              <w:t>IGP</w:t>
            </w:r>
          </w:p>
        </w:tc>
        <w:tc>
          <w:tcPr>
            <w:tcW w:w="2052" w:type="dxa"/>
            <w:tcBorders>
              <w:top w:val="single" w:sz="8" w:space="0" w:color="auto"/>
              <w:left w:val="nil"/>
              <w:bottom w:val="single" w:sz="8" w:space="0" w:color="auto"/>
              <w:right w:val="single" w:sz="8" w:space="0" w:color="auto"/>
            </w:tcBorders>
            <w:shd w:val="clear" w:color="000000" w:fill="F79646"/>
            <w:vAlign w:val="center"/>
            <w:hideMark/>
          </w:tcPr>
          <w:p w14:paraId="58C6FB95" w14:textId="77777777" w:rsidR="00382354" w:rsidRPr="00457E6C" w:rsidRDefault="00382354" w:rsidP="005F634F">
            <w:pPr>
              <w:spacing w:after="0"/>
              <w:jc w:val="center"/>
              <w:rPr>
                <w:rFonts w:ascii="Times New Roman" w:hAnsi="Times New Roman"/>
                <w:b/>
                <w:bCs/>
                <w:color w:val="000000"/>
                <w:sz w:val="20"/>
                <w:szCs w:val="16"/>
                <w:lang w:eastAsia="es-DO"/>
              </w:rPr>
            </w:pPr>
            <w:r w:rsidRPr="00457E6C">
              <w:rPr>
                <w:rFonts w:ascii="Times New Roman" w:hAnsi="Times New Roman"/>
                <w:b/>
                <w:bCs/>
                <w:color w:val="000000"/>
                <w:sz w:val="20"/>
                <w:szCs w:val="16"/>
                <w:lang w:val="en-US" w:eastAsia="es-DO"/>
              </w:rPr>
              <w:t>CONTRATACIONES PÚBLICAS</w:t>
            </w:r>
          </w:p>
        </w:tc>
        <w:tc>
          <w:tcPr>
            <w:tcW w:w="2223" w:type="dxa"/>
            <w:tcBorders>
              <w:top w:val="single" w:sz="8" w:space="0" w:color="auto"/>
              <w:left w:val="nil"/>
              <w:bottom w:val="single" w:sz="8" w:space="0" w:color="auto"/>
              <w:right w:val="single" w:sz="8" w:space="0" w:color="auto"/>
            </w:tcBorders>
            <w:shd w:val="clear" w:color="000000" w:fill="F79646"/>
            <w:vAlign w:val="center"/>
            <w:hideMark/>
          </w:tcPr>
          <w:p w14:paraId="64AE5C97" w14:textId="77777777" w:rsidR="00382354" w:rsidRPr="00457E6C" w:rsidRDefault="00382354" w:rsidP="005F634F">
            <w:pPr>
              <w:spacing w:after="0"/>
              <w:jc w:val="center"/>
              <w:rPr>
                <w:rFonts w:ascii="Times New Roman" w:hAnsi="Times New Roman"/>
                <w:b/>
                <w:bCs/>
                <w:color w:val="000000"/>
                <w:sz w:val="20"/>
                <w:szCs w:val="16"/>
                <w:lang w:eastAsia="es-DO"/>
              </w:rPr>
            </w:pPr>
            <w:r w:rsidRPr="00457E6C">
              <w:rPr>
                <w:rFonts w:ascii="Times New Roman" w:hAnsi="Times New Roman"/>
                <w:b/>
                <w:bCs/>
                <w:color w:val="000000"/>
                <w:sz w:val="20"/>
                <w:szCs w:val="16"/>
                <w:lang w:val="en-US" w:eastAsia="es-DO"/>
              </w:rPr>
              <w:t>TRANSPARENCIA GUBERNAMENTAL</w:t>
            </w:r>
          </w:p>
        </w:tc>
      </w:tr>
      <w:tr w:rsidR="00382354" w:rsidRPr="00457E6C" w14:paraId="60EEAF1E" w14:textId="77777777" w:rsidTr="005F634F">
        <w:trPr>
          <w:trHeight w:val="315"/>
        </w:trPr>
        <w:tc>
          <w:tcPr>
            <w:tcW w:w="1852" w:type="dxa"/>
            <w:tcBorders>
              <w:top w:val="nil"/>
              <w:left w:val="single" w:sz="8" w:space="0" w:color="auto"/>
              <w:bottom w:val="single" w:sz="8" w:space="0" w:color="auto"/>
              <w:right w:val="single" w:sz="8" w:space="0" w:color="auto"/>
            </w:tcBorders>
            <w:shd w:val="clear" w:color="auto" w:fill="auto"/>
            <w:noWrap/>
            <w:vAlign w:val="center"/>
            <w:hideMark/>
          </w:tcPr>
          <w:p w14:paraId="2B069224" w14:textId="77777777" w:rsidR="00382354" w:rsidRPr="00A57704" w:rsidRDefault="00382354" w:rsidP="005F634F">
            <w:pPr>
              <w:spacing w:after="0"/>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BAGRICOLA</w:t>
            </w:r>
          </w:p>
        </w:tc>
        <w:tc>
          <w:tcPr>
            <w:tcW w:w="1563" w:type="dxa"/>
            <w:tcBorders>
              <w:top w:val="nil"/>
              <w:left w:val="nil"/>
              <w:bottom w:val="single" w:sz="8" w:space="0" w:color="auto"/>
              <w:right w:val="single" w:sz="8" w:space="0" w:color="auto"/>
            </w:tcBorders>
            <w:shd w:val="clear" w:color="000000" w:fill="E2EFD9"/>
            <w:noWrap/>
            <w:vAlign w:val="center"/>
            <w:hideMark/>
          </w:tcPr>
          <w:p w14:paraId="36213B6E"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eastAsia="es-DO"/>
              </w:rPr>
              <w:t>91.20</w:t>
            </w:r>
          </w:p>
        </w:tc>
        <w:tc>
          <w:tcPr>
            <w:tcW w:w="943" w:type="dxa"/>
            <w:tcBorders>
              <w:top w:val="nil"/>
              <w:left w:val="nil"/>
              <w:bottom w:val="single" w:sz="8" w:space="0" w:color="auto"/>
              <w:right w:val="single" w:sz="8" w:space="0" w:color="auto"/>
            </w:tcBorders>
            <w:shd w:val="clear" w:color="000000" w:fill="E2EFD9"/>
            <w:noWrap/>
            <w:vAlign w:val="center"/>
            <w:hideMark/>
          </w:tcPr>
          <w:p w14:paraId="33F1C853"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100</w:t>
            </w:r>
          </w:p>
        </w:tc>
        <w:tc>
          <w:tcPr>
            <w:tcW w:w="984" w:type="dxa"/>
            <w:tcBorders>
              <w:top w:val="nil"/>
              <w:left w:val="nil"/>
              <w:bottom w:val="single" w:sz="8" w:space="0" w:color="auto"/>
              <w:right w:val="single" w:sz="8" w:space="0" w:color="auto"/>
            </w:tcBorders>
            <w:shd w:val="clear" w:color="auto" w:fill="auto"/>
            <w:noWrap/>
            <w:vAlign w:val="center"/>
            <w:hideMark/>
          </w:tcPr>
          <w:p w14:paraId="5D9ED811"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93" w:type="dxa"/>
            <w:tcBorders>
              <w:top w:val="nil"/>
              <w:left w:val="nil"/>
              <w:bottom w:val="single" w:sz="8" w:space="0" w:color="auto"/>
              <w:right w:val="single" w:sz="8" w:space="0" w:color="auto"/>
            </w:tcBorders>
            <w:shd w:val="clear" w:color="000000" w:fill="E2EFD9"/>
            <w:noWrap/>
            <w:vAlign w:val="center"/>
            <w:hideMark/>
          </w:tcPr>
          <w:p w14:paraId="31D3DBB1"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87</w:t>
            </w:r>
          </w:p>
        </w:tc>
        <w:tc>
          <w:tcPr>
            <w:tcW w:w="988" w:type="dxa"/>
            <w:tcBorders>
              <w:top w:val="nil"/>
              <w:left w:val="nil"/>
              <w:bottom w:val="single" w:sz="8" w:space="0" w:color="auto"/>
              <w:right w:val="single" w:sz="8" w:space="0" w:color="auto"/>
            </w:tcBorders>
            <w:shd w:val="clear" w:color="000000" w:fill="FFEB9C"/>
            <w:noWrap/>
            <w:vAlign w:val="center"/>
            <w:hideMark/>
          </w:tcPr>
          <w:p w14:paraId="279FF523"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76</w:t>
            </w:r>
          </w:p>
        </w:tc>
        <w:tc>
          <w:tcPr>
            <w:tcW w:w="998" w:type="dxa"/>
            <w:tcBorders>
              <w:top w:val="nil"/>
              <w:left w:val="nil"/>
              <w:bottom w:val="single" w:sz="8" w:space="0" w:color="auto"/>
              <w:right w:val="single" w:sz="8" w:space="0" w:color="auto"/>
            </w:tcBorders>
            <w:shd w:val="clear" w:color="000000" w:fill="E2EFD9"/>
            <w:noWrap/>
            <w:vAlign w:val="center"/>
            <w:hideMark/>
          </w:tcPr>
          <w:p w14:paraId="3E8BFF68"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100</w:t>
            </w:r>
          </w:p>
        </w:tc>
        <w:tc>
          <w:tcPr>
            <w:tcW w:w="1047" w:type="dxa"/>
            <w:tcBorders>
              <w:top w:val="nil"/>
              <w:left w:val="nil"/>
              <w:bottom w:val="single" w:sz="8" w:space="0" w:color="auto"/>
              <w:right w:val="single" w:sz="8" w:space="0" w:color="auto"/>
            </w:tcBorders>
            <w:shd w:val="clear" w:color="000000" w:fill="E2EFD9"/>
            <w:noWrap/>
            <w:vAlign w:val="center"/>
            <w:hideMark/>
          </w:tcPr>
          <w:p w14:paraId="1BD1FB65"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98</w:t>
            </w:r>
          </w:p>
        </w:tc>
        <w:tc>
          <w:tcPr>
            <w:tcW w:w="857" w:type="dxa"/>
            <w:tcBorders>
              <w:top w:val="nil"/>
              <w:left w:val="nil"/>
              <w:bottom w:val="single" w:sz="8" w:space="0" w:color="auto"/>
              <w:right w:val="single" w:sz="8" w:space="0" w:color="auto"/>
            </w:tcBorders>
            <w:shd w:val="clear" w:color="auto" w:fill="auto"/>
            <w:noWrap/>
            <w:vAlign w:val="center"/>
            <w:hideMark/>
          </w:tcPr>
          <w:p w14:paraId="61A61786"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2052" w:type="dxa"/>
            <w:tcBorders>
              <w:top w:val="nil"/>
              <w:left w:val="nil"/>
              <w:bottom w:val="single" w:sz="8" w:space="0" w:color="auto"/>
              <w:right w:val="single" w:sz="8" w:space="0" w:color="auto"/>
            </w:tcBorders>
            <w:shd w:val="clear" w:color="000000" w:fill="E2EFD9"/>
            <w:noWrap/>
            <w:vAlign w:val="center"/>
            <w:hideMark/>
          </w:tcPr>
          <w:p w14:paraId="3BE1549C"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95</w:t>
            </w:r>
          </w:p>
        </w:tc>
        <w:tc>
          <w:tcPr>
            <w:tcW w:w="2223" w:type="dxa"/>
            <w:tcBorders>
              <w:top w:val="nil"/>
              <w:left w:val="nil"/>
              <w:bottom w:val="single" w:sz="8" w:space="0" w:color="auto"/>
              <w:right w:val="single" w:sz="8" w:space="0" w:color="auto"/>
            </w:tcBorders>
            <w:shd w:val="clear" w:color="auto" w:fill="auto"/>
            <w:noWrap/>
            <w:vAlign w:val="center"/>
            <w:hideMark/>
          </w:tcPr>
          <w:p w14:paraId="4E77B1D9"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r>
      <w:tr w:rsidR="00382354" w:rsidRPr="00457E6C" w14:paraId="38FA3B91" w14:textId="77777777" w:rsidTr="005F634F">
        <w:trPr>
          <w:trHeight w:val="315"/>
        </w:trPr>
        <w:tc>
          <w:tcPr>
            <w:tcW w:w="1852" w:type="dxa"/>
            <w:tcBorders>
              <w:top w:val="nil"/>
              <w:left w:val="single" w:sz="8" w:space="0" w:color="auto"/>
              <w:bottom w:val="single" w:sz="8" w:space="0" w:color="auto"/>
              <w:right w:val="single" w:sz="8" w:space="0" w:color="auto"/>
            </w:tcBorders>
            <w:shd w:val="clear" w:color="auto" w:fill="auto"/>
            <w:noWrap/>
            <w:vAlign w:val="center"/>
            <w:hideMark/>
          </w:tcPr>
          <w:p w14:paraId="3FC0F135" w14:textId="77777777" w:rsidR="00382354" w:rsidRPr="00A57704" w:rsidRDefault="00382354" w:rsidP="005F634F">
            <w:pPr>
              <w:spacing w:after="0"/>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AGRICULTURARD</w:t>
            </w:r>
            <w:r w:rsidRPr="00A57704">
              <w:rPr>
                <w:rStyle w:val="Refdenotaalpie"/>
                <w:rFonts w:ascii="Times New Roman" w:hAnsi="Times New Roman"/>
                <w:color w:val="000000"/>
                <w:sz w:val="20"/>
                <w:szCs w:val="20"/>
                <w:lang w:val="en-US" w:eastAsia="es-DO"/>
              </w:rPr>
              <w:footnoteReference w:id="45"/>
            </w:r>
          </w:p>
        </w:tc>
        <w:tc>
          <w:tcPr>
            <w:tcW w:w="1563" w:type="dxa"/>
            <w:tcBorders>
              <w:top w:val="nil"/>
              <w:left w:val="nil"/>
              <w:bottom w:val="single" w:sz="8" w:space="0" w:color="auto"/>
              <w:right w:val="single" w:sz="8" w:space="0" w:color="auto"/>
            </w:tcBorders>
            <w:shd w:val="clear" w:color="000000" w:fill="E2EFD9"/>
            <w:noWrap/>
            <w:vAlign w:val="center"/>
            <w:hideMark/>
          </w:tcPr>
          <w:p w14:paraId="67F259E4" w14:textId="6A6B11D9" w:rsidR="00382354" w:rsidRPr="00A57704" w:rsidRDefault="00A5770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eastAsia="es-DO"/>
              </w:rPr>
              <w:t>89.69</w:t>
            </w:r>
          </w:p>
        </w:tc>
        <w:tc>
          <w:tcPr>
            <w:tcW w:w="943" w:type="dxa"/>
            <w:tcBorders>
              <w:top w:val="nil"/>
              <w:left w:val="nil"/>
              <w:bottom w:val="single" w:sz="8" w:space="0" w:color="auto"/>
              <w:right w:val="single" w:sz="8" w:space="0" w:color="auto"/>
            </w:tcBorders>
            <w:shd w:val="clear" w:color="000000" w:fill="E2EFD9"/>
            <w:noWrap/>
            <w:vAlign w:val="center"/>
            <w:hideMark/>
          </w:tcPr>
          <w:p w14:paraId="576F5F49"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100</w:t>
            </w:r>
          </w:p>
        </w:tc>
        <w:tc>
          <w:tcPr>
            <w:tcW w:w="984" w:type="dxa"/>
            <w:tcBorders>
              <w:top w:val="nil"/>
              <w:left w:val="nil"/>
              <w:bottom w:val="single" w:sz="8" w:space="0" w:color="auto"/>
              <w:right w:val="single" w:sz="8" w:space="0" w:color="auto"/>
            </w:tcBorders>
            <w:shd w:val="clear" w:color="auto" w:fill="auto"/>
            <w:noWrap/>
            <w:vAlign w:val="center"/>
            <w:hideMark/>
          </w:tcPr>
          <w:p w14:paraId="66A75D17"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93" w:type="dxa"/>
            <w:tcBorders>
              <w:top w:val="nil"/>
              <w:left w:val="nil"/>
              <w:bottom w:val="single" w:sz="8" w:space="0" w:color="auto"/>
              <w:right w:val="single" w:sz="8" w:space="0" w:color="auto"/>
            </w:tcBorders>
            <w:shd w:val="clear" w:color="000000" w:fill="E2EFD9"/>
            <w:noWrap/>
            <w:vAlign w:val="center"/>
            <w:hideMark/>
          </w:tcPr>
          <w:p w14:paraId="3DAB38F0"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89.28</w:t>
            </w:r>
          </w:p>
        </w:tc>
        <w:tc>
          <w:tcPr>
            <w:tcW w:w="988" w:type="dxa"/>
            <w:tcBorders>
              <w:top w:val="nil"/>
              <w:left w:val="nil"/>
              <w:bottom w:val="single" w:sz="8" w:space="0" w:color="auto"/>
              <w:right w:val="single" w:sz="8" w:space="0" w:color="auto"/>
            </w:tcBorders>
            <w:shd w:val="clear" w:color="000000" w:fill="FFEB9C"/>
            <w:noWrap/>
            <w:vAlign w:val="center"/>
            <w:hideMark/>
          </w:tcPr>
          <w:p w14:paraId="6CB41325"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76.15</w:t>
            </w:r>
          </w:p>
        </w:tc>
        <w:tc>
          <w:tcPr>
            <w:tcW w:w="998" w:type="dxa"/>
            <w:tcBorders>
              <w:top w:val="nil"/>
              <w:left w:val="nil"/>
              <w:bottom w:val="single" w:sz="8" w:space="0" w:color="auto"/>
              <w:right w:val="single" w:sz="8" w:space="0" w:color="auto"/>
            </w:tcBorders>
            <w:shd w:val="clear" w:color="000000" w:fill="E2EFD9"/>
            <w:noWrap/>
            <w:vAlign w:val="center"/>
            <w:hideMark/>
          </w:tcPr>
          <w:p w14:paraId="534F68FA"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95.93</w:t>
            </w:r>
          </w:p>
        </w:tc>
        <w:tc>
          <w:tcPr>
            <w:tcW w:w="1047" w:type="dxa"/>
            <w:tcBorders>
              <w:top w:val="nil"/>
              <w:left w:val="nil"/>
              <w:bottom w:val="single" w:sz="8" w:space="0" w:color="auto"/>
              <w:right w:val="single" w:sz="8" w:space="0" w:color="auto"/>
            </w:tcBorders>
            <w:shd w:val="clear" w:color="000000" w:fill="E2EFD9"/>
            <w:noWrap/>
            <w:vAlign w:val="center"/>
            <w:hideMark/>
          </w:tcPr>
          <w:p w14:paraId="287B2673"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94</w:t>
            </w:r>
          </w:p>
        </w:tc>
        <w:tc>
          <w:tcPr>
            <w:tcW w:w="857" w:type="dxa"/>
            <w:tcBorders>
              <w:top w:val="nil"/>
              <w:left w:val="nil"/>
              <w:bottom w:val="single" w:sz="8" w:space="0" w:color="auto"/>
              <w:right w:val="single" w:sz="8" w:space="0" w:color="auto"/>
            </w:tcBorders>
            <w:shd w:val="clear" w:color="000000" w:fill="E2EFD9"/>
            <w:noWrap/>
            <w:vAlign w:val="center"/>
            <w:hideMark/>
          </w:tcPr>
          <w:p w14:paraId="177EC546" w14:textId="61A8D729" w:rsidR="00382354" w:rsidRPr="00A57704" w:rsidRDefault="00B31EF6" w:rsidP="005F634F">
            <w:pPr>
              <w:spacing w:after="0"/>
              <w:jc w:val="center"/>
              <w:rPr>
                <w:rFonts w:ascii="Times New Roman" w:hAnsi="Times New Roman"/>
                <w:color w:val="000000"/>
                <w:sz w:val="20"/>
                <w:szCs w:val="20"/>
                <w:lang w:eastAsia="es-DO"/>
              </w:rPr>
            </w:pPr>
            <w:r>
              <w:rPr>
                <w:rFonts w:ascii="Times New Roman" w:hAnsi="Times New Roman"/>
                <w:color w:val="000000"/>
                <w:sz w:val="20"/>
                <w:szCs w:val="20"/>
                <w:lang w:val="en-US" w:eastAsia="es-DO"/>
              </w:rPr>
              <w:t>95.05</w:t>
            </w:r>
          </w:p>
        </w:tc>
        <w:tc>
          <w:tcPr>
            <w:tcW w:w="2052" w:type="dxa"/>
            <w:tcBorders>
              <w:top w:val="nil"/>
              <w:left w:val="nil"/>
              <w:bottom w:val="single" w:sz="8" w:space="0" w:color="auto"/>
              <w:right w:val="single" w:sz="8" w:space="0" w:color="auto"/>
            </w:tcBorders>
            <w:shd w:val="clear" w:color="000000" w:fill="E2EFD9"/>
            <w:noWrap/>
            <w:vAlign w:val="center"/>
            <w:hideMark/>
          </w:tcPr>
          <w:p w14:paraId="7562CA72"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86</w:t>
            </w:r>
          </w:p>
        </w:tc>
        <w:tc>
          <w:tcPr>
            <w:tcW w:w="2223" w:type="dxa"/>
            <w:tcBorders>
              <w:top w:val="nil"/>
              <w:left w:val="nil"/>
              <w:bottom w:val="single" w:sz="8" w:space="0" w:color="auto"/>
              <w:right w:val="single" w:sz="8" w:space="0" w:color="auto"/>
            </w:tcBorders>
            <w:shd w:val="clear" w:color="000000" w:fill="E2EFD9"/>
            <w:noWrap/>
            <w:vAlign w:val="center"/>
            <w:hideMark/>
          </w:tcPr>
          <w:p w14:paraId="69FD6435"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91.41</w:t>
            </w:r>
          </w:p>
        </w:tc>
      </w:tr>
      <w:tr w:rsidR="00382354" w:rsidRPr="00457E6C" w14:paraId="571F9009" w14:textId="77777777" w:rsidTr="005F634F">
        <w:trPr>
          <w:trHeight w:val="315"/>
        </w:trPr>
        <w:tc>
          <w:tcPr>
            <w:tcW w:w="1852" w:type="dxa"/>
            <w:tcBorders>
              <w:top w:val="nil"/>
              <w:left w:val="single" w:sz="8" w:space="0" w:color="auto"/>
              <w:bottom w:val="single" w:sz="8" w:space="0" w:color="auto"/>
              <w:right w:val="single" w:sz="8" w:space="0" w:color="auto"/>
            </w:tcBorders>
            <w:shd w:val="clear" w:color="auto" w:fill="auto"/>
            <w:noWrap/>
            <w:vAlign w:val="center"/>
            <w:hideMark/>
          </w:tcPr>
          <w:p w14:paraId="72CBFC3E" w14:textId="77777777" w:rsidR="00382354" w:rsidRPr="00A57704" w:rsidRDefault="00382354" w:rsidP="005F634F">
            <w:pPr>
              <w:spacing w:after="0"/>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INESPRE</w:t>
            </w:r>
          </w:p>
        </w:tc>
        <w:tc>
          <w:tcPr>
            <w:tcW w:w="1563" w:type="dxa"/>
            <w:tcBorders>
              <w:top w:val="nil"/>
              <w:left w:val="nil"/>
              <w:bottom w:val="single" w:sz="8" w:space="0" w:color="auto"/>
              <w:right w:val="single" w:sz="8" w:space="0" w:color="auto"/>
            </w:tcBorders>
            <w:shd w:val="clear" w:color="000000" w:fill="E2EFD9"/>
            <w:noWrap/>
            <w:vAlign w:val="center"/>
            <w:hideMark/>
          </w:tcPr>
          <w:p w14:paraId="1698DD2C"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eastAsia="es-DO"/>
              </w:rPr>
              <w:t>89.20</w:t>
            </w:r>
          </w:p>
        </w:tc>
        <w:tc>
          <w:tcPr>
            <w:tcW w:w="943" w:type="dxa"/>
            <w:tcBorders>
              <w:top w:val="nil"/>
              <w:left w:val="nil"/>
              <w:bottom w:val="single" w:sz="8" w:space="0" w:color="auto"/>
              <w:right w:val="single" w:sz="8" w:space="0" w:color="auto"/>
            </w:tcBorders>
            <w:shd w:val="clear" w:color="auto" w:fill="auto"/>
            <w:noWrap/>
            <w:vAlign w:val="center"/>
            <w:hideMark/>
          </w:tcPr>
          <w:p w14:paraId="0169A433"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84" w:type="dxa"/>
            <w:tcBorders>
              <w:top w:val="nil"/>
              <w:left w:val="nil"/>
              <w:bottom w:val="single" w:sz="8" w:space="0" w:color="auto"/>
              <w:right w:val="single" w:sz="8" w:space="0" w:color="auto"/>
            </w:tcBorders>
            <w:shd w:val="clear" w:color="auto" w:fill="auto"/>
            <w:noWrap/>
            <w:vAlign w:val="center"/>
            <w:hideMark/>
          </w:tcPr>
          <w:p w14:paraId="4CCCE961"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93" w:type="dxa"/>
            <w:tcBorders>
              <w:top w:val="nil"/>
              <w:left w:val="nil"/>
              <w:bottom w:val="single" w:sz="8" w:space="0" w:color="auto"/>
              <w:right w:val="single" w:sz="8" w:space="0" w:color="auto"/>
            </w:tcBorders>
            <w:shd w:val="clear" w:color="000000" w:fill="E2EFD9"/>
            <w:noWrap/>
            <w:vAlign w:val="center"/>
            <w:hideMark/>
          </w:tcPr>
          <w:p w14:paraId="6C22188F"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80</w:t>
            </w:r>
          </w:p>
        </w:tc>
        <w:tc>
          <w:tcPr>
            <w:tcW w:w="988" w:type="dxa"/>
            <w:tcBorders>
              <w:top w:val="nil"/>
              <w:left w:val="nil"/>
              <w:bottom w:val="single" w:sz="8" w:space="0" w:color="auto"/>
              <w:right w:val="single" w:sz="8" w:space="0" w:color="auto"/>
            </w:tcBorders>
            <w:shd w:val="clear" w:color="000000" w:fill="E2EFD9"/>
            <w:noWrap/>
            <w:vAlign w:val="center"/>
            <w:hideMark/>
          </w:tcPr>
          <w:p w14:paraId="731527F2"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86</w:t>
            </w:r>
          </w:p>
        </w:tc>
        <w:tc>
          <w:tcPr>
            <w:tcW w:w="998" w:type="dxa"/>
            <w:tcBorders>
              <w:top w:val="nil"/>
              <w:left w:val="nil"/>
              <w:bottom w:val="single" w:sz="8" w:space="0" w:color="auto"/>
              <w:right w:val="single" w:sz="8" w:space="0" w:color="auto"/>
            </w:tcBorders>
            <w:shd w:val="clear" w:color="000000" w:fill="E2EFD9"/>
            <w:noWrap/>
            <w:vAlign w:val="center"/>
            <w:hideMark/>
          </w:tcPr>
          <w:p w14:paraId="0DAA74D0"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89</w:t>
            </w:r>
          </w:p>
        </w:tc>
        <w:tc>
          <w:tcPr>
            <w:tcW w:w="1047" w:type="dxa"/>
            <w:tcBorders>
              <w:top w:val="nil"/>
              <w:left w:val="nil"/>
              <w:bottom w:val="single" w:sz="8" w:space="0" w:color="auto"/>
              <w:right w:val="single" w:sz="8" w:space="0" w:color="auto"/>
            </w:tcBorders>
            <w:shd w:val="clear" w:color="000000" w:fill="E2EFD9"/>
            <w:noWrap/>
            <w:vAlign w:val="center"/>
            <w:hideMark/>
          </w:tcPr>
          <w:p w14:paraId="5F5019D1"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93</w:t>
            </w:r>
          </w:p>
        </w:tc>
        <w:tc>
          <w:tcPr>
            <w:tcW w:w="857" w:type="dxa"/>
            <w:tcBorders>
              <w:top w:val="nil"/>
              <w:left w:val="nil"/>
              <w:bottom w:val="single" w:sz="8" w:space="0" w:color="auto"/>
              <w:right w:val="single" w:sz="8" w:space="0" w:color="auto"/>
            </w:tcBorders>
            <w:shd w:val="clear" w:color="auto" w:fill="auto"/>
            <w:noWrap/>
            <w:vAlign w:val="center"/>
            <w:hideMark/>
          </w:tcPr>
          <w:p w14:paraId="1EFB40FE"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2052" w:type="dxa"/>
            <w:tcBorders>
              <w:top w:val="nil"/>
              <w:left w:val="nil"/>
              <w:bottom w:val="single" w:sz="8" w:space="0" w:color="auto"/>
              <w:right w:val="single" w:sz="8" w:space="0" w:color="auto"/>
            </w:tcBorders>
            <w:shd w:val="clear" w:color="000000" w:fill="E2EFD9"/>
            <w:noWrap/>
            <w:vAlign w:val="center"/>
            <w:hideMark/>
          </w:tcPr>
          <w:p w14:paraId="27F9107D"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98</w:t>
            </w:r>
          </w:p>
        </w:tc>
        <w:tc>
          <w:tcPr>
            <w:tcW w:w="2223" w:type="dxa"/>
            <w:tcBorders>
              <w:top w:val="nil"/>
              <w:left w:val="nil"/>
              <w:bottom w:val="single" w:sz="8" w:space="0" w:color="auto"/>
              <w:right w:val="single" w:sz="8" w:space="0" w:color="auto"/>
            </w:tcBorders>
            <w:shd w:val="clear" w:color="auto" w:fill="auto"/>
            <w:noWrap/>
            <w:vAlign w:val="center"/>
            <w:hideMark/>
          </w:tcPr>
          <w:p w14:paraId="18FA5870"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r>
      <w:tr w:rsidR="00382354" w:rsidRPr="00457E6C" w14:paraId="5F8A7F2C" w14:textId="77777777" w:rsidTr="005F634F">
        <w:trPr>
          <w:trHeight w:val="315"/>
        </w:trPr>
        <w:tc>
          <w:tcPr>
            <w:tcW w:w="1852" w:type="dxa"/>
            <w:tcBorders>
              <w:top w:val="nil"/>
              <w:left w:val="single" w:sz="8" w:space="0" w:color="auto"/>
              <w:bottom w:val="single" w:sz="8" w:space="0" w:color="auto"/>
              <w:right w:val="single" w:sz="8" w:space="0" w:color="auto"/>
            </w:tcBorders>
            <w:shd w:val="clear" w:color="auto" w:fill="auto"/>
            <w:noWrap/>
            <w:vAlign w:val="center"/>
            <w:hideMark/>
          </w:tcPr>
          <w:p w14:paraId="70E590D1" w14:textId="77777777" w:rsidR="00382354" w:rsidRPr="00A57704" w:rsidRDefault="00382354" w:rsidP="005F634F">
            <w:pPr>
              <w:spacing w:after="0"/>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CONIAF</w:t>
            </w:r>
          </w:p>
        </w:tc>
        <w:tc>
          <w:tcPr>
            <w:tcW w:w="1563" w:type="dxa"/>
            <w:tcBorders>
              <w:top w:val="nil"/>
              <w:left w:val="nil"/>
              <w:bottom w:val="single" w:sz="8" w:space="0" w:color="auto"/>
              <w:right w:val="single" w:sz="8" w:space="0" w:color="auto"/>
            </w:tcBorders>
            <w:shd w:val="clear" w:color="000000" w:fill="E2EFD9"/>
            <w:noWrap/>
            <w:vAlign w:val="center"/>
            <w:hideMark/>
          </w:tcPr>
          <w:p w14:paraId="31F1A32E"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eastAsia="es-DO"/>
              </w:rPr>
              <w:t>89.00</w:t>
            </w:r>
          </w:p>
        </w:tc>
        <w:tc>
          <w:tcPr>
            <w:tcW w:w="943" w:type="dxa"/>
            <w:tcBorders>
              <w:top w:val="nil"/>
              <w:left w:val="nil"/>
              <w:bottom w:val="single" w:sz="8" w:space="0" w:color="auto"/>
              <w:right w:val="single" w:sz="8" w:space="0" w:color="auto"/>
            </w:tcBorders>
            <w:shd w:val="clear" w:color="000000" w:fill="E2EFD9"/>
            <w:noWrap/>
            <w:vAlign w:val="center"/>
            <w:hideMark/>
          </w:tcPr>
          <w:p w14:paraId="1E0DDBED"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100</w:t>
            </w:r>
          </w:p>
        </w:tc>
        <w:tc>
          <w:tcPr>
            <w:tcW w:w="984" w:type="dxa"/>
            <w:tcBorders>
              <w:top w:val="nil"/>
              <w:left w:val="nil"/>
              <w:bottom w:val="single" w:sz="8" w:space="0" w:color="auto"/>
              <w:right w:val="single" w:sz="8" w:space="0" w:color="auto"/>
            </w:tcBorders>
            <w:shd w:val="clear" w:color="auto" w:fill="auto"/>
            <w:noWrap/>
            <w:vAlign w:val="center"/>
            <w:hideMark/>
          </w:tcPr>
          <w:p w14:paraId="14BAE020"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93" w:type="dxa"/>
            <w:tcBorders>
              <w:top w:val="nil"/>
              <w:left w:val="nil"/>
              <w:bottom w:val="single" w:sz="8" w:space="0" w:color="auto"/>
              <w:right w:val="single" w:sz="8" w:space="0" w:color="auto"/>
            </w:tcBorders>
            <w:shd w:val="clear" w:color="000000" w:fill="E2EFD9"/>
            <w:noWrap/>
            <w:vAlign w:val="center"/>
            <w:hideMark/>
          </w:tcPr>
          <w:p w14:paraId="6034FAF9"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92</w:t>
            </w:r>
          </w:p>
        </w:tc>
        <w:tc>
          <w:tcPr>
            <w:tcW w:w="988" w:type="dxa"/>
            <w:tcBorders>
              <w:top w:val="nil"/>
              <w:left w:val="nil"/>
              <w:bottom w:val="single" w:sz="8" w:space="0" w:color="auto"/>
              <w:right w:val="single" w:sz="8" w:space="0" w:color="auto"/>
            </w:tcBorders>
            <w:shd w:val="clear" w:color="000000" w:fill="FFE599"/>
            <w:noWrap/>
            <w:vAlign w:val="center"/>
            <w:hideMark/>
          </w:tcPr>
          <w:p w14:paraId="6B8D0A01"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74</w:t>
            </w:r>
          </w:p>
        </w:tc>
        <w:tc>
          <w:tcPr>
            <w:tcW w:w="998" w:type="dxa"/>
            <w:tcBorders>
              <w:top w:val="nil"/>
              <w:left w:val="nil"/>
              <w:bottom w:val="single" w:sz="8" w:space="0" w:color="auto"/>
              <w:right w:val="single" w:sz="8" w:space="0" w:color="auto"/>
            </w:tcBorders>
            <w:shd w:val="clear" w:color="000000" w:fill="FFEB9C"/>
            <w:noWrap/>
            <w:vAlign w:val="center"/>
            <w:hideMark/>
          </w:tcPr>
          <w:p w14:paraId="1CC5C99E"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75</w:t>
            </w:r>
          </w:p>
        </w:tc>
        <w:tc>
          <w:tcPr>
            <w:tcW w:w="1047" w:type="dxa"/>
            <w:tcBorders>
              <w:top w:val="nil"/>
              <w:left w:val="nil"/>
              <w:bottom w:val="single" w:sz="8" w:space="0" w:color="auto"/>
              <w:right w:val="single" w:sz="8" w:space="0" w:color="auto"/>
            </w:tcBorders>
            <w:shd w:val="clear" w:color="000000" w:fill="E2EFD9"/>
            <w:noWrap/>
            <w:vAlign w:val="center"/>
            <w:hideMark/>
          </w:tcPr>
          <w:p w14:paraId="6AD4729C"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98</w:t>
            </w:r>
          </w:p>
        </w:tc>
        <w:tc>
          <w:tcPr>
            <w:tcW w:w="857" w:type="dxa"/>
            <w:tcBorders>
              <w:top w:val="nil"/>
              <w:left w:val="nil"/>
              <w:bottom w:val="single" w:sz="8" w:space="0" w:color="auto"/>
              <w:right w:val="single" w:sz="8" w:space="0" w:color="auto"/>
            </w:tcBorders>
            <w:shd w:val="clear" w:color="000000" w:fill="E2EFD9"/>
            <w:noWrap/>
            <w:vAlign w:val="center"/>
            <w:hideMark/>
          </w:tcPr>
          <w:p w14:paraId="733DBE0F"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94</w:t>
            </w:r>
          </w:p>
        </w:tc>
        <w:tc>
          <w:tcPr>
            <w:tcW w:w="2052" w:type="dxa"/>
            <w:tcBorders>
              <w:top w:val="nil"/>
              <w:left w:val="nil"/>
              <w:bottom w:val="single" w:sz="8" w:space="0" w:color="auto"/>
              <w:right w:val="single" w:sz="8" w:space="0" w:color="auto"/>
            </w:tcBorders>
            <w:shd w:val="clear" w:color="000000" w:fill="E2EFD9"/>
            <w:noWrap/>
            <w:vAlign w:val="center"/>
            <w:hideMark/>
          </w:tcPr>
          <w:p w14:paraId="22B13B2A"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98</w:t>
            </w:r>
          </w:p>
        </w:tc>
        <w:tc>
          <w:tcPr>
            <w:tcW w:w="2223" w:type="dxa"/>
            <w:tcBorders>
              <w:top w:val="nil"/>
              <w:left w:val="nil"/>
              <w:bottom w:val="single" w:sz="8" w:space="0" w:color="auto"/>
              <w:right w:val="single" w:sz="8" w:space="0" w:color="auto"/>
            </w:tcBorders>
            <w:shd w:val="clear" w:color="000000" w:fill="E2EFD9"/>
            <w:noWrap/>
            <w:vAlign w:val="center"/>
            <w:hideMark/>
          </w:tcPr>
          <w:p w14:paraId="04377B86"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92</w:t>
            </w:r>
          </w:p>
        </w:tc>
      </w:tr>
      <w:tr w:rsidR="00382354" w:rsidRPr="00457E6C" w14:paraId="63808503" w14:textId="77777777" w:rsidTr="005F634F">
        <w:trPr>
          <w:trHeight w:val="315"/>
        </w:trPr>
        <w:tc>
          <w:tcPr>
            <w:tcW w:w="1852" w:type="dxa"/>
            <w:tcBorders>
              <w:top w:val="nil"/>
              <w:left w:val="single" w:sz="8" w:space="0" w:color="auto"/>
              <w:bottom w:val="single" w:sz="8" w:space="0" w:color="auto"/>
              <w:right w:val="single" w:sz="8" w:space="0" w:color="auto"/>
            </w:tcBorders>
            <w:shd w:val="clear" w:color="auto" w:fill="auto"/>
            <w:noWrap/>
            <w:vAlign w:val="center"/>
            <w:hideMark/>
          </w:tcPr>
          <w:p w14:paraId="5F3D9D5D" w14:textId="77777777" w:rsidR="00382354" w:rsidRPr="00A57704" w:rsidRDefault="00382354" w:rsidP="005F634F">
            <w:pPr>
              <w:spacing w:after="0"/>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IAD</w:t>
            </w:r>
          </w:p>
        </w:tc>
        <w:tc>
          <w:tcPr>
            <w:tcW w:w="1563" w:type="dxa"/>
            <w:tcBorders>
              <w:top w:val="nil"/>
              <w:left w:val="nil"/>
              <w:bottom w:val="single" w:sz="8" w:space="0" w:color="auto"/>
              <w:right w:val="single" w:sz="8" w:space="0" w:color="auto"/>
            </w:tcBorders>
            <w:shd w:val="clear" w:color="000000" w:fill="E2EFD9"/>
            <w:noWrap/>
            <w:vAlign w:val="center"/>
            <w:hideMark/>
          </w:tcPr>
          <w:p w14:paraId="59CAE594"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eastAsia="es-DO"/>
              </w:rPr>
              <w:t>83.14</w:t>
            </w:r>
          </w:p>
        </w:tc>
        <w:tc>
          <w:tcPr>
            <w:tcW w:w="943" w:type="dxa"/>
            <w:tcBorders>
              <w:top w:val="nil"/>
              <w:left w:val="nil"/>
              <w:bottom w:val="single" w:sz="8" w:space="0" w:color="auto"/>
              <w:right w:val="single" w:sz="8" w:space="0" w:color="auto"/>
            </w:tcBorders>
            <w:shd w:val="clear" w:color="000000" w:fill="E2EFD9"/>
            <w:noWrap/>
            <w:vAlign w:val="center"/>
            <w:hideMark/>
          </w:tcPr>
          <w:p w14:paraId="57D65514"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100</w:t>
            </w:r>
          </w:p>
        </w:tc>
        <w:tc>
          <w:tcPr>
            <w:tcW w:w="984" w:type="dxa"/>
            <w:tcBorders>
              <w:top w:val="nil"/>
              <w:left w:val="nil"/>
              <w:bottom w:val="single" w:sz="8" w:space="0" w:color="auto"/>
              <w:right w:val="single" w:sz="8" w:space="0" w:color="auto"/>
            </w:tcBorders>
            <w:shd w:val="clear" w:color="auto" w:fill="auto"/>
            <w:noWrap/>
            <w:vAlign w:val="center"/>
            <w:hideMark/>
          </w:tcPr>
          <w:p w14:paraId="548AB2D6"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93" w:type="dxa"/>
            <w:tcBorders>
              <w:top w:val="nil"/>
              <w:left w:val="nil"/>
              <w:bottom w:val="single" w:sz="8" w:space="0" w:color="auto"/>
              <w:right w:val="single" w:sz="8" w:space="0" w:color="auto"/>
            </w:tcBorders>
            <w:shd w:val="clear" w:color="000000" w:fill="FFEB9C"/>
            <w:noWrap/>
            <w:vAlign w:val="center"/>
            <w:hideMark/>
          </w:tcPr>
          <w:p w14:paraId="67FB9C06"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74</w:t>
            </w:r>
          </w:p>
        </w:tc>
        <w:tc>
          <w:tcPr>
            <w:tcW w:w="988" w:type="dxa"/>
            <w:tcBorders>
              <w:top w:val="nil"/>
              <w:left w:val="nil"/>
              <w:bottom w:val="single" w:sz="8" w:space="0" w:color="auto"/>
              <w:right w:val="single" w:sz="8" w:space="0" w:color="auto"/>
            </w:tcBorders>
            <w:shd w:val="clear" w:color="000000" w:fill="FFE599"/>
            <w:noWrap/>
            <w:vAlign w:val="center"/>
            <w:hideMark/>
          </w:tcPr>
          <w:p w14:paraId="3A9D7BAE"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73</w:t>
            </w:r>
          </w:p>
        </w:tc>
        <w:tc>
          <w:tcPr>
            <w:tcW w:w="998" w:type="dxa"/>
            <w:tcBorders>
              <w:top w:val="nil"/>
              <w:left w:val="nil"/>
              <w:bottom w:val="single" w:sz="8" w:space="0" w:color="auto"/>
              <w:right w:val="single" w:sz="8" w:space="0" w:color="auto"/>
            </w:tcBorders>
            <w:shd w:val="clear" w:color="000000" w:fill="E2EFD9"/>
            <w:noWrap/>
            <w:vAlign w:val="center"/>
            <w:hideMark/>
          </w:tcPr>
          <w:p w14:paraId="469E9276"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88</w:t>
            </w:r>
          </w:p>
        </w:tc>
        <w:tc>
          <w:tcPr>
            <w:tcW w:w="1047" w:type="dxa"/>
            <w:tcBorders>
              <w:top w:val="nil"/>
              <w:left w:val="nil"/>
              <w:bottom w:val="single" w:sz="8" w:space="0" w:color="auto"/>
              <w:right w:val="single" w:sz="8" w:space="0" w:color="auto"/>
            </w:tcBorders>
            <w:shd w:val="clear" w:color="000000" w:fill="E2EFD9"/>
            <w:noWrap/>
            <w:vAlign w:val="center"/>
            <w:hideMark/>
          </w:tcPr>
          <w:p w14:paraId="4C6580F3"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87</w:t>
            </w:r>
          </w:p>
        </w:tc>
        <w:tc>
          <w:tcPr>
            <w:tcW w:w="857" w:type="dxa"/>
            <w:tcBorders>
              <w:top w:val="nil"/>
              <w:left w:val="nil"/>
              <w:bottom w:val="single" w:sz="8" w:space="0" w:color="auto"/>
              <w:right w:val="single" w:sz="8" w:space="0" w:color="auto"/>
            </w:tcBorders>
            <w:shd w:val="clear" w:color="000000" w:fill="E2EFD9"/>
            <w:noWrap/>
            <w:vAlign w:val="center"/>
            <w:hideMark/>
          </w:tcPr>
          <w:p w14:paraId="6D10BA13"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88</w:t>
            </w:r>
          </w:p>
        </w:tc>
        <w:tc>
          <w:tcPr>
            <w:tcW w:w="2052" w:type="dxa"/>
            <w:tcBorders>
              <w:top w:val="nil"/>
              <w:left w:val="nil"/>
              <w:bottom w:val="single" w:sz="8" w:space="0" w:color="auto"/>
              <w:right w:val="single" w:sz="8" w:space="0" w:color="auto"/>
            </w:tcBorders>
            <w:shd w:val="clear" w:color="000000" w:fill="E2EFD9"/>
            <w:noWrap/>
            <w:vAlign w:val="center"/>
            <w:hideMark/>
          </w:tcPr>
          <w:p w14:paraId="35BF55E7"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87</w:t>
            </w:r>
          </w:p>
        </w:tc>
        <w:tc>
          <w:tcPr>
            <w:tcW w:w="2223" w:type="dxa"/>
            <w:tcBorders>
              <w:top w:val="nil"/>
              <w:left w:val="nil"/>
              <w:bottom w:val="single" w:sz="8" w:space="0" w:color="auto"/>
              <w:right w:val="single" w:sz="8" w:space="0" w:color="auto"/>
            </w:tcBorders>
            <w:shd w:val="clear" w:color="000000" w:fill="E2EFD9"/>
            <w:noWrap/>
            <w:vAlign w:val="center"/>
            <w:hideMark/>
          </w:tcPr>
          <w:p w14:paraId="084F4115"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85</w:t>
            </w:r>
          </w:p>
        </w:tc>
      </w:tr>
      <w:tr w:rsidR="00382354" w:rsidRPr="00457E6C" w14:paraId="3163C668" w14:textId="77777777" w:rsidTr="005F634F">
        <w:trPr>
          <w:trHeight w:val="315"/>
        </w:trPr>
        <w:tc>
          <w:tcPr>
            <w:tcW w:w="1852" w:type="dxa"/>
            <w:tcBorders>
              <w:top w:val="nil"/>
              <w:left w:val="single" w:sz="8" w:space="0" w:color="auto"/>
              <w:bottom w:val="single" w:sz="8" w:space="0" w:color="auto"/>
              <w:right w:val="single" w:sz="8" w:space="0" w:color="auto"/>
            </w:tcBorders>
            <w:shd w:val="clear" w:color="auto" w:fill="auto"/>
            <w:noWrap/>
            <w:vAlign w:val="center"/>
            <w:hideMark/>
          </w:tcPr>
          <w:p w14:paraId="547BC1BE" w14:textId="77777777" w:rsidR="00382354" w:rsidRPr="00A57704" w:rsidRDefault="00382354" w:rsidP="005F634F">
            <w:pPr>
              <w:spacing w:after="0"/>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MERCADOM</w:t>
            </w:r>
          </w:p>
        </w:tc>
        <w:tc>
          <w:tcPr>
            <w:tcW w:w="1563" w:type="dxa"/>
            <w:tcBorders>
              <w:top w:val="nil"/>
              <w:left w:val="nil"/>
              <w:bottom w:val="single" w:sz="8" w:space="0" w:color="auto"/>
              <w:right w:val="single" w:sz="8" w:space="0" w:color="auto"/>
            </w:tcBorders>
            <w:shd w:val="clear" w:color="000000" w:fill="E2EFD9"/>
            <w:noWrap/>
            <w:vAlign w:val="center"/>
            <w:hideMark/>
          </w:tcPr>
          <w:p w14:paraId="2AC48751"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eastAsia="es-DO"/>
              </w:rPr>
              <w:t>81.80</w:t>
            </w:r>
          </w:p>
        </w:tc>
        <w:tc>
          <w:tcPr>
            <w:tcW w:w="943" w:type="dxa"/>
            <w:tcBorders>
              <w:top w:val="nil"/>
              <w:left w:val="nil"/>
              <w:bottom w:val="single" w:sz="8" w:space="0" w:color="auto"/>
              <w:right w:val="single" w:sz="8" w:space="0" w:color="auto"/>
            </w:tcBorders>
            <w:shd w:val="clear" w:color="000000" w:fill="FFC7CE"/>
            <w:noWrap/>
            <w:vAlign w:val="center"/>
            <w:hideMark/>
          </w:tcPr>
          <w:p w14:paraId="5087FA7A"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0</w:t>
            </w:r>
          </w:p>
        </w:tc>
        <w:tc>
          <w:tcPr>
            <w:tcW w:w="984" w:type="dxa"/>
            <w:tcBorders>
              <w:top w:val="nil"/>
              <w:left w:val="nil"/>
              <w:bottom w:val="single" w:sz="8" w:space="0" w:color="auto"/>
              <w:right w:val="single" w:sz="8" w:space="0" w:color="auto"/>
            </w:tcBorders>
            <w:shd w:val="clear" w:color="auto" w:fill="auto"/>
            <w:noWrap/>
            <w:vAlign w:val="center"/>
            <w:hideMark/>
          </w:tcPr>
          <w:p w14:paraId="0BA1022D"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93" w:type="dxa"/>
            <w:tcBorders>
              <w:top w:val="nil"/>
              <w:left w:val="nil"/>
              <w:bottom w:val="single" w:sz="8" w:space="0" w:color="auto"/>
              <w:right w:val="single" w:sz="8" w:space="0" w:color="auto"/>
            </w:tcBorders>
            <w:shd w:val="clear" w:color="000000" w:fill="E2EFD9"/>
            <w:noWrap/>
            <w:vAlign w:val="center"/>
            <w:hideMark/>
          </w:tcPr>
          <w:p w14:paraId="3ADD2262"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86</w:t>
            </w:r>
          </w:p>
        </w:tc>
        <w:tc>
          <w:tcPr>
            <w:tcW w:w="988" w:type="dxa"/>
            <w:tcBorders>
              <w:top w:val="nil"/>
              <w:left w:val="nil"/>
              <w:bottom w:val="single" w:sz="8" w:space="0" w:color="auto"/>
              <w:right w:val="single" w:sz="8" w:space="0" w:color="auto"/>
            </w:tcBorders>
            <w:shd w:val="clear" w:color="000000" w:fill="FFEB9C"/>
            <w:noWrap/>
            <w:vAlign w:val="center"/>
            <w:hideMark/>
          </w:tcPr>
          <w:p w14:paraId="507CDF9E"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71</w:t>
            </w:r>
          </w:p>
        </w:tc>
        <w:tc>
          <w:tcPr>
            <w:tcW w:w="998" w:type="dxa"/>
            <w:tcBorders>
              <w:top w:val="nil"/>
              <w:left w:val="nil"/>
              <w:bottom w:val="single" w:sz="8" w:space="0" w:color="auto"/>
              <w:right w:val="single" w:sz="8" w:space="0" w:color="auto"/>
            </w:tcBorders>
            <w:shd w:val="clear" w:color="000000" w:fill="FFF2CC"/>
            <w:noWrap/>
            <w:vAlign w:val="center"/>
            <w:hideMark/>
          </w:tcPr>
          <w:p w14:paraId="619B9E51"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67</w:t>
            </w:r>
          </w:p>
        </w:tc>
        <w:tc>
          <w:tcPr>
            <w:tcW w:w="1047" w:type="dxa"/>
            <w:tcBorders>
              <w:top w:val="nil"/>
              <w:left w:val="nil"/>
              <w:bottom w:val="single" w:sz="8" w:space="0" w:color="auto"/>
              <w:right w:val="single" w:sz="8" w:space="0" w:color="auto"/>
            </w:tcBorders>
            <w:shd w:val="clear" w:color="000000" w:fill="E2EFD9"/>
            <w:noWrap/>
            <w:vAlign w:val="center"/>
            <w:hideMark/>
          </w:tcPr>
          <w:p w14:paraId="2A15752D"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95</w:t>
            </w:r>
          </w:p>
        </w:tc>
        <w:tc>
          <w:tcPr>
            <w:tcW w:w="857" w:type="dxa"/>
            <w:tcBorders>
              <w:top w:val="nil"/>
              <w:left w:val="nil"/>
              <w:bottom w:val="single" w:sz="8" w:space="0" w:color="auto"/>
              <w:right w:val="single" w:sz="8" w:space="0" w:color="auto"/>
            </w:tcBorders>
            <w:shd w:val="clear" w:color="auto" w:fill="auto"/>
            <w:noWrap/>
            <w:vAlign w:val="center"/>
            <w:hideMark/>
          </w:tcPr>
          <w:p w14:paraId="143CFA78"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2052" w:type="dxa"/>
            <w:tcBorders>
              <w:top w:val="nil"/>
              <w:left w:val="nil"/>
              <w:bottom w:val="single" w:sz="8" w:space="0" w:color="auto"/>
              <w:right w:val="single" w:sz="8" w:space="0" w:color="auto"/>
            </w:tcBorders>
            <w:shd w:val="clear" w:color="000000" w:fill="E2EFD9"/>
            <w:noWrap/>
            <w:vAlign w:val="center"/>
            <w:hideMark/>
          </w:tcPr>
          <w:p w14:paraId="02618D23"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90</w:t>
            </w:r>
          </w:p>
        </w:tc>
        <w:tc>
          <w:tcPr>
            <w:tcW w:w="2223" w:type="dxa"/>
            <w:tcBorders>
              <w:top w:val="nil"/>
              <w:left w:val="nil"/>
              <w:bottom w:val="single" w:sz="8" w:space="0" w:color="auto"/>
              <w:right w:val="single" w:sz="8" w:space="0" w:color="auto"/>
            </w:tcBorders>
            <w:shd w:val="clear" w:color="auto" w:fill="auto"/>
            <w:noWrap/>
            <w:vAlign w:val="center"/>
            <w:hideMark/>
          </w:tcPr>
          <w:p w14:paraId="73702C63"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r>
      <w:tr w:rsidR="00382354" w:rsidRPr="00457E6C" w14:paraId="01AAC178" w14:textId="77777777" w:rsidTr="005F634F">
        <w:trPr>
          <w:trHeight w:val="315"/>
        </w:trPr>
        <w:tc>
          <w:tcPr>
            <w:tcW w:w="1852" w:type="dxa"/>
            <w:tcBorders>
              <w:top w:val="nil"/>
              <w:left w:val="single" w:sz="8" w:space="0" w:color="auto"/>
              <w:bottom w:val="single" w:sz="8" w:space="0" w:color="auto"/>
              <w:right w:val="single" w:sz="8" w:space="0" w:color="auto"/>
            </w:tcBorders>
            <w:shd w:val="clear" w:color="auto" w:fill="auto"/>
            <w:noWrap/>
            <w:vAlign w:val="center"/>
            <w:hideMark/>
          </w:tcPr>
          <w:p w14:paraId="5BBF58AC" w14:textId="77777777" w:rsidR="00382354" w:rsidRPr="00A57704" w:rsidRDefault="00382354" w:rsidP="005F634F">
            <w:pPr>
              <w:spacing w:after="0"/>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IDIAF</w:t>
            </w:r>
          </w:p>
        </w:tc>
        <w:tc>
          <w:tcPr>
            <w:tcW w:w="1563" w:type="dxa"/>
            <w:tcBorders>
              <w:top w:val="nil"/>
              <w:left w:val="nil"/>
              <w:bottom w:val="single" w:sz="8" w:space="0" w:color="auto"/>
              <w:right w:val="single" w:sz="8" w:space="0" w:color="auto"/>
            </w:tcBorders>
            <w:shd w:val="clear" w:color="000000" w:fill="E2EFD9"/>
            <w:noWrap/>
            <w:vAlign w:val="center"/>
            <w:hideMark/>
          </w:tcPr>
          <w:p w14:paraId="56B9B6F8"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eastAsia="es-DO"/>
              </w:rPr>
              <w:t>80.57</w:t>
            </w:r>
          </w:p>
        </w:tc>
        <w:tc>
          <w:tcPr>
            <w:tcW w:w="943" w:type="dxa"/>
            <w:tcBorders>
              <w:top w:val="nil"/>
              <w:left w:val="nil"/>
              <w:bottom w:val="single" w:sz="8" w:space="0" w:color="auto"/>
              <w:right w:val="single" w:sz="8" w:space="0" w:color="auto"/>
            </w:tcBorders>
            <w:shd w:val="clear" w:color="000000" w:fill="E2EFD9"/>
            <w:noWrap/>
            <w:vAlign w:val="center"/>
            <w:hideMark/>
          </w:tcPr>
          <w:p w14:paraId="2DAD24EE"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100</w:t>
            </w:r>
          </w:p>
        </w:tc>
        <w:tc>
          <w:tcPr>
            <w:tcW w:w="984" w:type="dxa"/>
            <w:tcBorders>
              <w:top w:val="nil"/>
              <w:left w:val="nil"/>
              <w:bottom w:val="single" w:sz="8" w:space="0" w:color="auto"/>
              <w:right w:val="single" w:sz="8" w:space="0" w:color="auto"/>
            </w:tcBorders>
            <w:shd w:val="clear" w:color="auto" w:fill="auto"/>
            <w:noWrap/>
            <w:vAlign w:val="center"/>
            <w:hideMark/>
          </w:tcPr>
          <w:p w14:paraId="666E9A52"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93" w:type="dxa"/>
            <w:tcBorders>
              <w:top w:val="nil"/>
              <w:left w:val="nil"/>
              <w:bottom w:val="single" w:sz="8" w:space="0" w:color="auto"/>
              <w:right w:val="single" w:sz="8" w:space="0" w:color="auto"/>
            </w:tcBorders>
            <w:shd w:val="clear" w:color="000000" w:fill="E2EFD9"/>
            <w:noWrap/>
            <w:vAlign w:val="center"/>
            <w:hideMark/>
          </w:tcPr>
          <w:p w14:paraId="3C233027"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82</w:t>
            </w:r>
          </w:p>
        </w:tc>
        <w:tc>
          <w:tcPr>
            <w:tcW w:w="988" w:type="dxa"/>
            <w:tcBorders>
              <w:top w:val="nil"/>
              <w:left w:val="nil"/>
              <w:bottom w:val="single" w:sz="8" w:space="0" w:color="auto"/>
              <w:right w:val="single" w:sz="8" w:space="0" w:color="auto"/>
            </w:tcBorders>
            <w:shd w:val="clear" w:color="000000" w:fill="FFC7CE"/>
            <w:noWrap/>
            <w:vAlign w:val="center"/>
            <w:hideMark/>
          </w:tcPr>
          <w:p w14:paraId="2CFB2561"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56</w:t>
            </w:r>
          </w:p>
        </w:tc>
        <w:tc>
          <w:tcPr>
            <w:tcW w:w="998" w:type="dxa"/>
            <w:tcBorders>
              <w:top w:val="nil"/>
              <w:left w:val="nil"/>
              <w:bottom w:val="single" w:sz="8" w:space="0" w:color="auto"/>
              <w:right w:val="single" w:sz="8" w:space="0" w:color="auto"/>
            </w:tcBorders>
            <w:shd w:val="clear" w:color="000000" w:fill="E2EFD9"/>
            <w:noWrap/>
            <w:vAlign w:val="center"/>
            <w:hideMark/>
          </w:tcPr>
          <w:p w14:paraId="39D5D294"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85</w:t>
            </w:r>
          </w:p>
        </w:tc>
        <w:tc>
          <w:tcPr>
            <w:tcW w:w="1047" w:type="dxa"/>
            <w:tcBorders>
              <w:top w:val="nil"/>
              <w:left w:val="nil"/>
              <w:bottom w:val="single" w:sz="8" w:space="0" w:color="auto"/>
              <w:right w:val="single" w:sz="8" w:space="0" w:color="auto"/>
            </w:tcBorders>
            <w:shd w:val="clear" w:color="000000" w:fill="E2EFD9"/>
            <w:noWrap/>
            <w:vAlign w:val="center"/>
            <w:hideMark/>
          </w:tcPr>
          <w:p w14:paraId="5AFC5786"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83</w:t>
            </w:r>
          </w:p>
        </w:tc>
        <w:tc>
          <w:tcPr>
            <w:tcW w:w="857" w:type="dxa"/>
            <w:tcBorders>
              <w:top w:val="nil"/>
              <w:left w:val="nil"/>
              <w:bottom w:val="single" w:sz="8" w:space="0" w:color="auto"/>
              <w:right w:val="single" w:sz="8" w:space="0" w:color="auto"/>
            </w:tcBorders>
            <w:shd w:val="clear" w:color="000000" w:fill="E2EFD9"/>
            <w:noWrap/>
            <w:vAlign w:val="center"/>
            <w:hideMark/>
          </w:tcPr>
          <w:p w14:paraId="1DB68EC4"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89</w:t>
            </w:r>
          </w:p>
        </w:tc>
        <w:tc>
          <w:tcPr>
            <w:tcW w:w="2052" w:type="dxa"/>
            <w:tcBorders>
              <w:top w:val="nil"/>
              <w:left w:val="nil"/>
              <w:bottom w:val="single" w:sz="8" w:space="0" w:color="auto"/>
              <w:right w:val="single" w:sz="8" w:space="0" w:color="auto"/>
            </w:tcBorders>
            <w:shd w:val="clear" w:color="000000" w:fill="E2EFD9"/>
            <w:noWrap/>
            <w:vAlign w:val="center"/>
            <w:hideMark/>
          </w:tcPr>
          <w:p w14:paraId="7F8FBBEF"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89</w:t>
            </w:r>
          </w:p>
        </w:tc>
        <w:tc>
          <w:tcPr>
            <w:tcW w:w="2223" w:type="dxa"/>
            <w:tcBorders>
              <w:top w:val="nil"/>
              <w:left w:val="nil"/>
              <w:bottom w:val="single" w:sz="8" w:space="0" w:color="auto"/>
              <w:right w:val="single" w:sz="8" w:space="0" w:color="auto"/>
            </w:tcBorders>
            <w:shd w:val="clear" w:color="000000" w:fill="E2EFD9"/>
            <w:noWrap/>
            <w:vAlign w:val="center"/>
            <w:hideMark/>
          </w:tcPr>
          <w:p w14:paraId="4829ABA5"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80</w:t>
            </w:r>
          </w:p>
        </w:tc>
      </w:tr>
      <w:tr w:rsidR="00382354" w:rsidRPr="00457E6C" w14:paraId="678EE541" w14:textId="77777777" w:rsidTr="005F634F">
        <w:trPr>
          <w:trHeight w:val="315"/>
        </w:trPr>
        <w:tc>
          <w:tcPr>
            <w:tcW w:w="1852" w:type="dxa"/>
            <w:tcBorders>
              <w:top w:val="nil"/>
              <w:left w:val="single" w:sz="8" w:space="0" w:color="auto"/>
              <w:bottom w:val="single" w:sz="8" w:space="0" w:color="auto"/>
              <w:right w:val="single" w:sz="8" w:space="0" w:color="auto"/>
            </w:tcBorders>
            <w:shd w:val="clear" w:color="auto" w:fill="auto"/>
            <w:noWrap/>
            <w:vAlign w:val="center"/>
            <w:hideMark/>
          </w:tcPr>
          <w:p w14:paraId="0ECCDAFC" w14:textId="77777777" w:rsidR="00382354" w:rsidRPr="00A57704" w:rsidRDefault="00382354" w:rsidP="005F634F">
            <w:pPr>
              <w:spacing w:after="0"/>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DIGEGA</w:t>
            </w:r>
          </w:p>
        </w:tc>
        <w:tc>
          <w:tcPr>
            <w:tcW w:w="1563" w:type="dxa"/>
            <w:tcBorders>
              <w:top w:val="nil"/>
              <w:left w:val="nil"/>
              <w:bottom w:val="single" w:sz="8" w:space="0" w:color="auto"/>
              <w:right w:val="single" w:sz="8" w:space="0" w:color="auto"/>
            </w:tcBorders>
            <w:shd w:val="clear" w:color="000000" w:fill="E2EFD9"/>
            <w:noWrap/>
            <w:vAlign w:val="center"/>
            <w:hideMark/>
          </w:tcPr>
          <w:p w14:paraId="63F9A67A"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eastAsia="es-DO"/>
              </w:rPr>
              <w:t>80.00</w:t>
            </w:r>
          </w:p>
        </w:tc>
        <w:tc>
          <w:tcPr>
            <w:tcW w:w="943" w:type="dxa"/>
            <w:tcBorders>
              <w:top w:val="nil"/>
              <w:left w:val="nil"/>
              <w:bottom w:val="single" w:sz="8" w:space="0" w:color="auto"/>
              <w:right w:val="single" w:sz="8" w:space="0" w:color="auto"/>
            </w:tcBorders>
            <w:shd w:val="clear" w:color="auto" w:fill="auto"/>
            <w:noWrap/>
            <w:vAlign w:val="center"/>
            <w:hideMark/>
          </w:tcPr>
          <w:p w14:paraId="7B747840"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84" w:type="dxa"/>
            <w:tcBorders>
              <w:top w:val="nil"/>
              <w:left w:val="nil"/>
              <w:bottom w:val="single" w:sz="8" w:space="0" w:color="auto"/>
              <w:right w:val="single" w:sz="8" w:space="0" w:color="auto"/>
            </w:tcBorders>
            <w:shd w:val="clear" w:color="auto" w:fill="auto"/>
            <w:noWrap/>
            <w:vAlign w:val="center"/>
            <w:hideMark/>
          </w:tcPr>
          <w:p w14:paraId="3E36189A"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93" w:type="dxa"/>
            <w:tcBorders>
              <w:top w:val="nil"/>
              <w:left w:val="nil"/>
              <w:bottom w:val="single" w:sz="8" w:space="0" w:color="auto"/>
              <w:right w:val="single" w:sz="8" w:space="0" w:color="auto"/>
            </w:tcBorders>
            <w:shd w:val="clear" w:color="000000" w:fill="FFE599"/>
            <w:noWrap/>
            <w:vAlign w:val="center"/>
            <w:hideMark/>
          </w:tcPr>
          <w:p w14:paraId="3C5A8E68"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68</w:t>
            </w:r>
          </w:p>
        </w:tc>
        <w:tc>
          <w:tcPr>
            <w:tcW w:w="988" w:type="dxa"/>
            <w:tcBorders>
              <w:top w:val="nil"/>
              <w:left w:val="nil"/>
              <w:bottom w:val="single" w:sz="8" w:space="0" w:color="auto"/>
              <w:right w:val="single" w:sz="8" w:space="0" w:color="auto"/>
            </w:tcBorders>
            <w:shd w:val="clear" w:color="000000" w:fill="FFE599"/>
            <w:noWrap/>
            <w:vAlign w:val="center"/>
            <w:hideMark/>
          </w:tcPr>
          <w:p w14:paraId="79160A0A"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63</w:t>
            </w:r>
          </w:p>
        </w:tc>
        <w:tc>
          <w:tcPr>
            <w:tcW w:w="998" w:type="dxa"/>
            <w:tcBorders>
              <w:top w:val="nil"/>
              <w:left w:val="nil"/>
              <w:bottom w:val="single" w:sz="8" w:space="0" w:color="auto"/>
              <w:right w:val="single" w:sz="8" w:space="0" w:color="auto"/>
            </w:tcBorders>
            <w:shd w:val="clear" w:color="000000" w:fill="FFE599"/>
            <w:noWrap/>
            <w:vAlign w:val="center"/>
            <w:hideMark/>
          </w:tcPr>
          <w:p w14:paraId="5D8C0ECD"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72</w:t>
            </w:r>
          </w:p>
        </w:tc>
        <w:tc>
          <w:tcPr>
            <w:tcW w:w="1047" w:type="dxa"/>
            <w:tcBorders>
              <w:top w:val="nil"/>
              <w:left w:val="nil"/>
              <w:bottom w:val="single" w:sz="8" w:space="0" w:color="auto"/>
              <w:right w:val="single" w:sz="8" w:space="0" w:color="auto"/>
            </w:tcBorders>
            <w:shd w:val="clear" w:color="000000" w:fill="E2EFD9"/>
            <w:noWrap/>
            <w:vAlign w:val="center"/>
            <w:hideMark/>
          </w:tcPr>
          <w:p w14:paraId="6120C156"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84</w:t>
            </w:r>
          </w:p>
        </w:tc>
        <w:tc>
          <w:tcPr>
            <w:tcW w:w="857" w:type="dxa"/>
            <w:tcBorders>
              <w:top w:val="nil"/>
              <w:left w:val="nil"/>
              <w:bottom w:val="single" w:sz="8" w:space="0" w:color="auto"/>
              <w:right w:val="single" w:sz="8" w:space="0" w:color="auto"/>
            </w:tcBorders>
            <w:shd w:val="clear" w:color="000000" w:fill="E2EFD9"/>
            <w:noWrap/>
            <w:vAlign w:val="center"/>
            <w:hideMark/>
          </w:tcPr>
          <w:p w14:paraId="40A5EB8A"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88</w:t>
            </w:r>
          </w:p>
        </w:tc>
        <w:tc>
          <w:tcPr>
            <w:tcW w:w="2052" w:type="dxa"/>
            <w:tcBorders>
              <w:top w:val="nil"/>
              <w:left w:val="nil"/>
              <w:bottom w:val="single" w:sz="8" w:space="0" w:color="auto"/>
              <w:right w:val="single" w:sz="8" w:space="0" w:color="auto"/>
            </w:tcBorders>
            <w:shd w:val="clear" w:color="000000" w:fill="E2EFD9"/>
            <w:noWrap/>
            <w:vAlign w:val="center"/>
            <w:hideMark/>
          </w:tcPr>
          <w:p w14:paraId="3849EB2B"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98</w:t>
            </w:r>
          </w:p>
        </w:tc>
        <w:tc>
          <w:tcPr>
            <w:tcW w:w="2223" w:type="dxa"/>
            <w:tcBorders>
              <w:top w:val="nil"/>
              <w:left w:val="nil"/>
              <w:bottom w:val="single" w:sz="8" w:space="0" w:color="auto"/>
              <w:right w:val="single" w:sz="8" w:space="0" w:color="auto"/>
            </w:tcBorders>
            <w:shd w:val="clear" w:color="000000" w:fill="E2EFD9"/>
            <w:noWrap/>
            <w:vAlign w:val="center"/>
            <w:hideMark/>
          </w:tcPr>
          <w:p w14:paraId="06CFA8E4"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87</w:t>
            </w:r>
          </w:p>
        </w:tc>
      </w:tr>
      <w:tr w:rsidR="00382354" w:rsidRPr="00457E6C" w14:paraId="1DF911F5" w14:textId="77777777" w:rsidTr="005F634F">
        <w:trPr>
          <w:trHeight w:val="315"/>
        </w:trPr>
        <w:tc>
          <w:tcPr>
            <w:tcW w:w="1852" w:type="dxa"/>
            <w:tcBorders>
              <w:top w:val="nil"/>
              <w:left w:val="single" w:sz="8" w:space="0" w:color="auto"/>
              <w:bottom w:val="single" w:sz="8" w:space="0" w:color="auto"/>
              <w:right w:val="single" w:sz="8" w:space="0" w:color="auto"/>
            </w:tcBorders>
            <w:shd w:val="clear" w:color="auto" w:fill="auto"/>
            <w:noWrap/>
            <w:vAlign w:val="center"/>
            <w:hideMark/>
          </w:tcPr>
          <w:p w14:paraId="6FFDD1D1" w14:textId="77777777" w:rsidR="00382354" w:rsidRPr="00A57704" w:rsidRDefault="00382354" w:rsidP="005F634F">
            <w:pPr>
              <w:spacing w:after="0"/>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INTABACO</w:t>
            </w:r>
          </w:p>
        </w:tc>
        <w:tc>
          <w:tcPr>
            <w:tcW w:w="1563" w:type="dxa"/>
            <w:tcBorders>
              <w:top w:val="nil"/>
              <w:left w:val="nil"/>
              <w:bottom w:val="single" w:sz="8" w:space="0" w:color="auto"/>
              <w:right w:val="single" w:sz="8" w:space="0" w:color="auto"/>
            </w:tcBorders>
            <w:shd w:val="clear" w:color="000000" w:fill="FFE599"/>
            <w:noWrap/>
            <w:vAlign w:val="center"/>
            <w:hideMark/>
          </w:tcPr>
          <w:p w14:paraId="77672BA5"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eastAsia="es-DO"/>
              </w:rPr>
              <w:t>78.83</w:t>
            </w:r>
          </w:p>
        </w:tc>
        <w:tc>
          <w:tcPr>
            <w:tcW w:w="943" w:type="dxa"/>
            <w:tcBorders>
              <w:top w:val="nil"/>
              <w:left w:val="nil"/>
              <w:bottom w:val="single" w:sz="8" w:space="0" w:color="auto"/>
              <w:right w:val="single" w:sz="8" w:space="0" w:color="auto"/>
            </w:tcBorders>
            <w:shd w:val="clear" w:color="auto" w:fill="auto"/>
            <w:noWrap/>
            <w:vAlign w:val="center"/>
            <w:hideMark/>
          </w:tcPr>
          <w:p w14:paraId="4C02485C"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84" w:type="dxa"/>
            <w:tcBorders>
              <w:top w:val="nil"/>
              <w:left w:val="nil"/>
              <w:bottom w:val="single" w:sz="8" w:space="0" w:color="auto"/>
              <w:right w:val="single" w:sz="8" w:space="0" w:color="auto"/>
            </w:tcBorders>
            <w:shd w:val="clear" w:color="auto" w:fill="auto"/>
            <w:noWrap/>
            <w:vAlign w:val="center"/>
            <w:hideMark/>
          </w:tcPr>
          <w:p w14:paraId="0E9ECF29"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93" w:type="dxa"/>
            <w:tcBorders>
              <w:top w:val="nil"/>
              <w:left w:val="nil"/>
              <w:bottom w:val="single" w:sz="8" w:space="0" w:color="auto"/>
              <w:right w:val="single" w:sz="8" w:space="0" w:color="auto"/>
            </w:tcBorders>
            <w:shd w:val="clear" w:color="000000" w:fill="FFEB9C"/>
            <w:noWrap/>
            <w:vAlign w:val="center"/>
            <w:hideMark/>
          </w:tcPr>
          <w:p w14:paraId="7D7E1449"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74</w:t>
            </w:r>
          </w:p>
        </w:tc>
        <w:tc>
          <w:tcPr>
            <w:tcW w:w="988" w:type="dxa"/>
            <w:tcBorders>
              <w:top w:val="nil"/>
              <w:left w:val="nil"/>
              <w:bottom w:val="single" w:sz="8" w:space="0" w:color="auto"/>
              <w:right w:val="single" w:sz="8" w:space="0" w:color="auto"/>
            </w:tcBorders>
            <w:shd w:val="clear" w:color="000000" w:fill="FFEB9C"/>
            <w:noWrap/>
            <w:vAlign w:val="center"/>
            <w:hideMark/>
          </w:tcPr>
          <w:p w14:paraId="68DD1DCB"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61</w:t>
            </w:r>
          </w:p>
        </w:tc>
        <w:tc>
          <w:tcPr>
            <w:tcW w:w="998" w:type="dxa"/>
            <w:tcBorders>
              <w:top w:val="nil"/>
              <w:left w:val="nil"/>
              <w:bottom w:val="single" w:sz="8" w:space="0" w:color="auto"/>
              <w:right w:val="single" w:sz="8" w:space="0" w:color="auto"/>
            </w:tcBorders>
            <w:shd w:val="clear" w:color="000000" w:fill="FFFFFF"/>
            <w:noWrap/>
            <w:vAlign w:val="center"/>
            <w:hideMark/>
          </w:tcPr>
          <w:p w14:paraId="05CCD688"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1047" w:type="dxa"/>
            <w:tcBorders>
              <w:top w:val="nil"/>
              <w:left w:val="nil"/>
              <w:bottom w:val="single" w:sz="8" w:space="0" w:color="auto"/>
              <w:right w:val="single" w:sz="8" w:space="0" w:color="auto"/>
            </w:tcBorders>
            <w:shd w:val="clear" w:color="000000" w:fill="FFEB9C"/>
            <w:noWrap/>
            <w:vAlign w:val="center"/>
            <w:hideMark/>
          </w:tcPr>
          <w:p w14:paraId="1E4ED475"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77</w:t>
            </w:r>
          </w:p>
        </w:tc>
        <w:tc>
          <w:tcPr>
            <w:tcW w:w="857" w:type="dxa"/>
            <w:tcBorders>
              <w:top w:val="nil"/>
              <w:left w:val="nil"/>
              <w:bottom w:val="single" w:sz="8" w:space="0" w:color="auto"/>
              <w:right w:val="single" w:sz="8" w:space="0" w:color="auto"/>
            </w:tcBorders>
            <w:shd w:val="clear" w:color="000000" w:fill="E2EFD9"/>
            <w:noWrap/>
            <w:vAlign w:val="center"/>
            <w:hideMark/>
          </w:tcPr>
          <w:p w14:paraId="5139570F"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100</w:t>
            </w:r>
          </w:p>
        </w:tc>
        <w:tc>
          <w:tcPr>
            <w:tcW w:w="2052" w:type="dxa"/>
            <w:tcBorders>
              <w:top w:val="nil"/>
              <w:left w:val="nil"/>
              <w:bottom w:val="single" w:sz="8" w:space="0" w:color="auto"/>
              <w:right w:val="single" w:sz="8" w:space="0" w:color="auto"/>
            </w:tcBorders>
            <w:shd w:val="clear" w:color="000000" w:fill="E2EFD9"/>
            <w:noWrap/>
            <w:vAlign w:val="center"/>
            <w:hideMark/>
          </w:tcPr>
          <w:p w14:paraId="1FCDAA06"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80</w:t>
            </w:r>
          </w:p>
        </w:tc>
        <w:tc>
          <w:tcPr>
            <w:tcW w:w="2223" w:type="dxa"/>
            <w:tcBorders>
              <w:top w:val="nil"/>
              <w:left w:val="nil"/>
              <w:bottom w:val="single" w:sz="8" w:space="0" w:color="auto"/>
              <w:right w:val="single" w:sz="8" w:space="0" w:color="auto"/>
            </w:tcBorders>
            <w:shd w:val="clear" w:color="000000" w:fill="E2EFD9"/>
            <w:noWrap/>
            <w:vAlign w:val="center"/>
            <w:hideMark/>
          </w:tcPr>
          <w:p w14:paraId="30007E46"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81</w:t>
            </w:r>
          </w:p>
        </w:tc>
      </w:tr>
      <w:tr w:rsidR="00382354" w:rsidRPr="00457E6C" w14:paraId="118186EC" w14:textId="77777777" w:rsidTr="005F634F">
        <w:trPr>
          <w:trHeight w:val="315"/>
        </w:trPr>
        <w:tc>
          <w:tcPr>
            <w:tcW w:w="1852" w:type="dxa"/>
            <w:tcBorders>
              <w:top w:val="nil"/>
              <w:left w:val="single" w:sz="8" w:space="0" w:color="auto"/>
              <w:bottom w:val="single" w:sz="8" w:space="0" w:color="auto"/>
              <w:right w:val="single" w:sz="8" w:space="0" w:color="auto"/>
            </w:tcBorders>
            <w:shd w:val="clear" w:color="auto" w:fill="auto"/>
            <w:noWrap/>
            <w:vAlign w:val="center"/>
            <w:hideMark/>
          </w:tcPr>
          <w:p w14:paraId="7732A543" w14:textId="77777777" w:rsidR="00382354" w:rsidRPr="00A57704" w:rsidRDefault="00382354" w:rsidP="005F634F">
            <w:pPr>
              <w:spacing w:after="0"/>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CEA</w:t>
            </w:r>
          </w:p>
        </w:tc>
        <w:tc>
          <w:tcPr>
            <w:tcW w:w="1563" w:type="dxa"/>
            <w:tcBorders>
              <w:top w:val="nil"/>
              <w:left w:val="nil"/>
              <w:bottom w:val="single" w:sz="8" w:space="0" w:color="auto"/>
              <w:right w:val="single" w:sz="8" w:space="0" w:color="auto"/>
            </w:tcBorders>
            <w:shd w:val="clear" w:color="000000" w:fill="FFE599"/>
            <w:noWrap/>
            <w:vAlign w:val="center"/>
            <w:hideMark/>
          </w:tcPr>
          <w:p w14:paraId="6CFB038F"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eastAsia="es-DO"/>
              </w:rPr>
              <w:t>74.20</w:t>
            </w:r>
          </w:p>
        </w:tc>
        <w:tc>
          <w:tcPr>
            <w:tcW w:w="943" w:type="dxa"/>
            <w:tcBorders>
              <w:top w:val="nil"/>
              <w:left w:val="nil"/>
              <w:bottom w:val="single" w:sz="8" w:space="0" w:color="auto"/>
              <w:right w:val="single" w:sz="8" w:space="0" w:color="auto"/>
            </w:tcBorders>
            <w:shd w:val="clear" w:color="auto" w:fill="auto"/>
            <w:noWrap/>
            <w:vAlign w:val="center"/>
            <w:hideMark/>
          </w:tcPr>
          <w:p w14:paraId="74C4677A"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84" w:type="dxa"/>
            <w:tcBorders>
              <w:top w:val="nil"/>
              <w:left w:val="nil"/>
              <w:bottom w:val="single" w:sz="8" w:space="0" w:color="auto"/>
              <w:right w:val="single" w:sz="8" w:space="0" w:color="auto"/>
            </w:tcBorders>
            <w:shd w:val="clear" w:color="auto" w:fill="auto"/>
            <w:noWrap/>
            <w:vAlign w:val="center"/>
            <w:hideMark/>
          </w:tcPr>
          <w:p w14:paraId="2DC2AE21"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93" w:type="dxa"/>
            <w:tcBorders>
              <w:top w:val="nil"/>
              <w:left w:val="nil"/>
              <w:bottom w:val="single" w:sz="8" w:space="0" w:color="auto"/>
              <w:right w:val="single" w:sz="8" w:space="0" w:color="auto"/>
            </w:tcBorders>
            <w:shd w:val="clear" w:color="000000" w:fill="FFE599"/>
            <w:noWrap/>
            <w:vAlign w:val="center"/>
            <w:hideMark/>
          </w:tcPr>
          <w:p w14:paraId="209EF6BD"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62</w:t>
            </w:r>
          </w:p>
        </w:tc>
        <w:tc>
          <w:tcPr>
            <w:tcW w:w="988" w:type="dxa"/>
            <w:tcBorders>
              <w:top w:val="nil"/>
              <w:left w:val="nil"/>
              <w:bottom w:val="single" w:sz="8" w:space="0" w:color="auto"/>
              <w:right w:val="single" w:sz="8" w:space="0" w:color="auto"/>
            </w:tcBorders>
            <w:shd w:val="clear" w:color="000000" w:fill="FFE599"/>
            <w:noWrap/>
            <w:vAlign w:val="center"/>
            <w:hideMark/>
          </w:tcPr>
          <w:p w14:paraId="0D6C86D5"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66</w:t>
            </w:r>
          </w:p>
        </w:tc>
        <w:tc>
          <w:tcPr>
            <w:tcW w:w="998" w:type="dxa"/>
            <w:tcBorders>
              <w:top w:val="nil"/>
              <w:left w:val="nil"/>
              <w:bottom w:val="single" w:sz="8" w:space="0" w:color="auto"/>
              <w:right w:val="single" w:sz="8" w:space="0" w:color="auto"/>
            </w:tcBorders>
            <w:shd w:val="clear" w:color="000000" w:fill="FFE599"/>
            <w:noWrap/>
            <w:vAlign w:val="center"/>
            <w:hideMark/>
          </w:tcPr>
          <w:p w14:paraId="177D4883"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61</w:t>
            </w:r>
          </w:p>
        </w:tc>
        <w:tc>
          <w:tcPr>
            <w:tcW w:w="1047" w:type="dxa"/>
            <w:tcBorders>
              <w:top w:val="nil"/>
              <w:left w:val="nil"/>
              <w:bottom w:val="single" w:sz="8" w:space="0" w:color="auto"/>
              <w:right w:val="single" w:sz="8" w:space="0" w:color="auto"/>
            </w:tcBorders>
            <w:shd w:val="clear" w:color="000000" w:fill="E2EFD9"/>
            <w:noWrap/>
            <w:vAlign w:val="center"/>
            <w:hideMark/>
          </w:tcPr>
          <w:p w14:paraId="3C5386BB"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94</w:t>
            </w:r>
          </w:p>
        </w:tc>
        <w:tc>
          <w:tcPr>
            <w:tcW w:w="857" w:type="dxa"/>
            <w:tcBorders>
              <w:top w:val="nil"/>
              <w:left w:val="nil"/>
              <w:bottom w:val="single" w:sz="8" w:space="0" w:color="auto"/>
              <w:right w:val="single" w:sz="8" w:space="0" w:color="auto"/>
            </w:tcBorders>
            <w:shd w:val="clear" w:color="000000" w:fill="FFFFFF"/>
            <w:noWrap/>
            <w:vAlign w:val="center"/>
            <w:hideMark/>
          </w:tcPr>
          <w:p w14:paraId="6B64962A"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2052" w:type="dxa"/>
            <w:tcBorders>
              <w:top w:val="nil"/>
              <w:left w:val="nil"/>
              <w:bottom w:val="single" w:sz="8" w:space="0" w:color="auto"/>
              <w:right w:val="single" w:sz="8" w:space="0" w:color="auto"/>
            </w:tcBorders>
            <w:shd w:val="clear" w:color="000000" w:fill="E2EFD9"/>
            <w:noWrap/>
            <w:vAlign w:val="center"/>
            <w:hideMark/>
          </w:tcPr>
          <w:p w14:paraId="0CE1A81F"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88</w:t>
            </w:r>
          </w:p>
        </w:tc>
        <w:tc>
          <w:tcPr>
            <w:tcW w:w="2223" w:type="dxa"/>
            <w:tcBorders>
              <w:top w:val="nil"/>
              <w:left w:val="nil"/>
              <w:bottom w:val="single" w:sz="8" w:space="0" w:color="auto"/>
              <w:right w:val="single" w:sz="8" w:space="0" w:color="auto"/>
            </w:tcBorders>
            <w:shd w:val="clear" w:color="000000" w:fill="FFFFFF"/>
            <w:noWrap/>
            <w:vAlign w:val="center"/>
            <w:hideMark/>
          </w:tcPr>
          <w:p w14:paraId="47FB5F3D"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r>
      <w:tr w:rsidR="00382354" w:rsidRPr="00457E6C" w14:paraId="76640A5D" w14:textId="77777777" w:rsidTr="005F634F">
        <w:trPr>
          <w:trHeight w:val="315"/>
        </w:trPr>
        <w:tc>
          <w:tcPr>
            <w:tcW w:w="1852" w:type="dxa"/>
            <w:tcBorders>
              <w:top w:val="nil"/>
              <w:left w:val="single" w:sz="8" w:space="0" w:color="auto"/>
              <w:bottom w:val="single" w:sz="8" w:space="0" w:color="auto"/>
              <w:right w:val="single" w:sz="8" w:space="0" w:color="auto"/>
            </w:tcBorders>
            <w:shd w:val="clear" w:color="auto" w:fill="auto"/>
            <w:noWrap/>
            <w:vAlign w:val="center"/>
            <w:hideMark/>
          </w:tcPr>
          <w:p w14:paraId="3121C475" w14:textId="77777777" w:rsidR="00382354" w:rsidRPr="00A57704" w:rsidRDefault="00382354" w:rsidP="005F634F">
            <w:pPr>
              <w:spacing w:after="0"/>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IDECOOP</w:t>
            </w:r>
          </w:p>
        </w:tc>
        <w:tc>
          <w:tcPr>
            <w:tcW w:w="1563" w:type="dxa"/>
            <w:tcBorders>
              <w:top w:val="nil"/>
              <w:left w:val="nil"/>
              <w:bottom w:val="single" w:sz="8" w:space="0" w:color="auto"/>
              <w:right w:val="single" w:sz="8" w:space="0" w:color="auto"/>
            </w:tcBorders>
            <w:shd w:val="clear" w:color="000000" w:fill="FFE599"/>
            <w:noWrap/>
            <w:vAlign w:val="center"/>
            <w:hideMark/>
          </w:tcPr>
          <w:p w14:paraId="777A833C"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eastAsia="es-DO"/>
              </w:rPr>
              <w:t>73.00</w:t>
            </w:r>
          </w:p>
        </w:tc>
        <w:tc>
          <w:tcPr>
            <w:tcW w:w="943" w:type="dxa"/>
            <w:tcBorders>
              <w:top w:val="nil"/>
              <w:left w:val="nil"/>
              <w:bottom w:val="single" w:sz="8" w:space="0" w:color="auto"/>
              <w:right w:val="single" w:sz="8" w:space="0" w:color="auto"/>
            </w:tcBorders>
            <w:shd w:val="clear" w:color="auto" w:fill="auto"/>
            <w:noWrap/>
            <w:vAlign w:val="center"/>
            <w:hideMark/>
          </w:tcPr>
          <w:p w14:paraId="3209809F"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84" w:type="dxa"/>
            <w:tcBorders>
              <w:top w:val="nil"/>
              <w:left w:val="nil"/>
              <w:bottom w:val="single" w:sz="8" w:space="0" w:color="auto"/>
              <w:right w:val="single" w:sz="8" w:space="0" w:color="auto"/>
            </w:tcBorders>
            <w:shd w:val="clear" w:color="auto" w:fill="auto"/>
            <w:noWrap/>
            <w:vAlign w:val="center"/>
            <w:hideMark/>
          </w:tcPr>
          <w:p w14:paraId="319815ED"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93" w:type="dxa"/>
            <w:tcBorders>
              <w:top w:val="nil"/>
              <w:left w:val="nil"/>
              <w:bottom w:val="single" w:sz="8" w:space="0" w:color="auto"/>
              <w:right w:val="single" w:sz="8" w:space="0" w:color="auto"/>
            </w:tcBorders>
            <w:shd w:val="clear" w:color="000000" w:fill="FFE599"/>
            <w:noWrap/>
            <w:vAlign w:val="center"/>
            <w:hideMark/>
          </w:tcPr>
          <w:p w14:paraId="328DE77C"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73</w:t>
            </w:r>
          </w:p>
        </w:tc>
        <w:tc>
          <w:tcPr>
            <w:tcW w:w="988" w:type="dxa"/>
            <w:tcBorders>
              <w:top w:val="nil"/>
              <w:left w:val="nil"/>
              <w:bottom w:val="single" w:sz="8" w:space="0" w:color="auto"/>
              <w:right w:val="single" w:sz="8" w:space="0" w:color="auto"/>
            </w:tcBorders>
            <w:shd w:val="clear" w:color="000000" w:fill="FFC7CE"/>
            <w:noWrap/>
            <w:vAlign w:val="center"/>
            <w:hideMark/>
          </w:tcPr>
          <w:p w14:paraId="08F65758"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55</w:t>
            </w:r>
          </w:p>
        </w:tc>
        <w:tc>
          <w:tcPr>
            <w:tcW w:w="998" w:type="dxa"/>
            <w:tcBorders>
              <w:top w:val="nil"/>
              <w:left w:val="nil"/>
              <w:bottom w:val="single" w:sz="8" w:space="0" w:color="auto"/>
              <w:right w:val="single" w:sz="8" w:space="0" w:color="auto"/>
            </w:tcBorders>
            <w:shd w:val="clear" w:color="000000" w:fill="FFE599"/>
            <w:noWrap/>
            <w:vAlign w:val="center"/>
            <w:hideMark/>
          </w:tcPr>
          <w:p w14:paraId="6D816F88"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65</w:t>
            </w:r>
          </w:p>
        </w:tc>
        <w:tc>
          <w:tcPr>
            <w:tcW w:w="1047" w:type="dxa"/>
            <w:tcBorders>
              <w:top w:val="nil"/>
              <w:left w:val="nil"/>
              <w:bottom w:val="single" w:sz="8" w:space="0" w:color="auto"/>
              <w:right w:val="single" w:sz="8" w:space="0" w:color="auto"/>
            </w:tcBorders>
            <w:shd w:val="clear" w:color="000000" w:fill="E2EFD9"/>
            <w:noWrap/>
            <w:vAlign w:val="center"/>
            <w:hideMark/>
          </w:tcPr>
          <w:p w14:paraId="19A0A6D3"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98</w:t>
            </w:r>
          </w:p>
        </w:tc>
        <w:tc>
          <w:tcPr>
            <w:tcW w:w="857" w:type="dxa"/>
            <w:tcBorders>
              <w:top w:val="nil"/>
              <w:left w:val="nil"/>
              <w:bottom w:val="single" w:sz="8" w:space="0" w:color="auto"/>
              <w:right w:val="single" w:sz="8" w:space="0" w:color="auto"/>
            </w:tcBorders>
            <w:shd w:val="clear" w:color="000000" w:fill="FFC7CE"/>
            <w:noWrap/>
            <w:vAlign w:val="center"/>
            <w:hideMark/>
          </w:tcPr>
          <w:p w14:paraId="432CAE37"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47</w:t>
            </w:r>
          </w:p>
        </w:tc>
        <w:tc>
          <w:tcPr>
            <w:tcW w:w="2052" w:type="dxa"/>
            <w:tcBorders>
              <w:top w:val="nil"/>
              <w:left w:val="nil"/>
              <w:bottom w:val="single" w:sz="8" w:space="0" w:color="auto"/>
              <w:right w:val="single" w:sz="8" w:space="0" w:color="auto"/>
            </w:tcBorders>
            <w:shd w:val="clear" w:color="000000" w:fill="E2EFD9"/>
            <w:noWrap/>
            <w:vAlign w:val="center"/>
            <w:hideMark/>
          </w:tcPr>
          <w:p w14:paraId="24244B59"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87</w:t>
            </w:r>
          </w:p>
        </w:tc>
        <w:tc>
          <w:tcPr>
            <w:tcW w:w="2223" w:type="dxa"/>
            <w:tcBorders>
              <w:top w:val="nil"/>
              <w:left w:val="nil"/>
              <w:bottom w:val="single" w:sz="8" w:space="0" w:color="auto"/>
              <w:right w:val="single" w:sz="8" w:space="0" w:color="auto"/>
            </w:tcBorders>
            <w:shd w:val="clear" w:color="000000" w:fill="E2EFD9"/>
            <w:noWrap/>
            <w:vAlign w:val="center"/>
            <w:hideMark/>
          </w:tcPr>
          <w:p w14:paraId="1F6B673B"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86</w:t>
            </w:r>
          </w:p>
        </w:tc>
      </w:tr>
      <w:tr w:rsidR="00382354" w:rsidRPr="00457E6C" w14:paraId="01AF63E0" w14:textId="77777777" w:rsidTr="005F634F">
        <w:trPr>
          <w:trHeight w:val="315"/>
        </w:trPr>
        <w:tc>
          <w:tcPr>
            <w:tcW w:w="1852" w:type="dxa"/>
            <w:tcBorders>
              <w:top w:val="nil"/>
              <w:left w:val="single" w:sz="8" w:space="0" w:color="auto"/>
              <w:bottom w:val="single" w:sz="8" w:space="0" w:color="auto"/>
              <w:right w:val="single" w:sz="8" w:space="0" w:color="auto"/>
            </w:tcBorders>
            <w:shd w:val="clear" w:color="auto" w:fill="auto"/>
            <w:noWrap/>
            <w:vAlign w:val="center"/>
            <w:hideMark/>
          </w:tcPr>
          <w:p w14:paraId="76EE7A02" w14:textId="77777777" w:rsidR="00382354" w:rsidRPr="00A57704" w:rsidRDefault="00382354" w:rsidP="005F634F">
            <w:pPr>
              <w:spacing w:after="0"/>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DIGERA</w:t>
            </w:r>
          </w:p>
        </w:tc>
        <w:tc>
          <w:tcPr>
            <w:tcW w:w="1563" w:type="dxa"/>
            <w:tcBorders>
              <w:top w:val="nil"/>
              <w:left w:val="nil"/>
              <w:bottom w:val="single" w:sz="8" w:space="0" w:color="auto"/>
              <w:right w:val="single" w:sz="8" w:space="0" w:color="auto"/>
            </w:tcBorders>
            <w:shd w:val="clear" w:color="000000" w:fill="FFC7CE"/>
            <w:noWrap/>
            <w:vAlign w:val="center"/>
            <w:hideMark/>
          </w:tcPr>
          <w:p w14:paraId="35CB920B"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eastAsia="es-DO"/>
              </w:rPr>
              <w:t>61.00</w:t>
            </w:r>
          </w:p>
        </w:tc>
        <w:tc>
          <w:tcPr>
            <w:tcW w:w="943" w:type="dxa"/>
            <w:tcBorders>
              <w:top w:val="nil"/>
              <w:left w:val="nil"/>
              <w:bottom w:val="single" w:sz="8" w:space="0" w:color="auto"/>
              <w:right w:val="single" w:sz="8" w:space="0" w:color="auto"/>
            </w:tcBorders>
            <w:shd w:val="clear" w:color="auto" w:fill="auto"/>
            <w:noWrap/>
            <w:vAlign w:val="center"/>
            <w:hideMark/>
          </w:tcPr>
          <w:p w14:paraId="5DAE7873"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84" w:type="dxa"/>
            <w:tcBorders>
              <w:top w:val="nil"/>
              <w:left w:val="nil"/>
              <w:bottom w:val="single" w:sz="8" w:space="0" w:color="auto"/>
              <w:right w:val="single" w:sz="8" w:space="0" w:color="auto"/>
            </w:tcBorders>
            <w:shd w:val="clear" w:color="auto" w:fill="auto"/>
            <w:noWrap/>
            <w:vAlign w:val="center"/>
            <w:hideMark/>
          </w:tcPr>
          <w:p w14:paraId="094FC66C"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93" w:type="dxa"/>
            <w:tcBorders>
              <w:top w:val="nil"/>
              <w:left w:val="nil"/>
              <w:bottom w:val="single" w:sz="8" w:space="0" w:color="auto"/>
              <w:right w:val="single" w:sz="8" w:space="0" w:color="auto"/>
            </w:tcBorders>
            <w:shd w:val="clear" w:color="000000" w:fill="FFEB9C"/>
            <w:noWrap/>
            <w:vAlign w:val="center"/>
            <w:hideMark/>
          </w:tcPr>
          <w:p w14:paraId="547BCD43"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65</w:t>
            </w:r>
          </w:p>
        </w:tc>
        <w:tc>
          <w:tcPr>
            <w:tcW w:w="988" w:type="dxa"/>
            <w:tcBorders>
              <w:top w:val="nil"/>
              <w:left w:val="nil"/>
              <w:bottom w:val="single" w:sz="8" w:space="0" w:color="auto"/>
              <w:right w:val="single" w:sz="8" w:space="0" w:color="auto"/>
            </w:tcBorders>
            <w:shd w:val="clear" w:color="000000" w:fill="FFC7CE"/>
            <w:noWrap/>
            <w:vAlign w:val="center"/>
            <w:hideMark/>
          </w:tcPr>
          <w:p w14:paraId="2C7E6DBD"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57</w:t>
            </w:r>
          </w:p>
        </w:tc>
        <w:tc>
          <w:tcPr>
            <w:tcW w:w="998" w:type="dxa"/>
            <w:tcBorders>
              <w:top w:val="nil"/>
              <w:left w:val="nil"/>
              <w:bottom w:val="single" w:sz="8" w:space="0" w:color="auto"/>
              <w:right w:val="single" w:sz="8" w:space="0" w:color="auto"/>
            </w:tcBorders>
            <w:shd w:val="clear" w:color="auto" w:fill="auto"/>
            <w:noWrap/>
            <w:vAlign w:val="center"/>
            <w:hideMark/>
          </w:tcPr>
          <w:p w14:paraId="0944C2CE"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1047" w:type="dxa"/>
            <w:tcBorders>
              <w:top w:val="nil"/>
              <w:left w:val="nil"/>
              <w:bottom w:val="single" w:sz="8" w:space="0" w:color="auto"/>
              <w:right w:val="single" w:sz="8" w:space="0" w:color="auto"/>
            </w:tcBorders>
            <w:shd w:val="clear" w:color="auto" w:fill="auto"/>
            <w:noWrap/>
            <w:vAlign w:val="center"/>
            <w:hideMark/>
          </w:tcPr>
          <w:p w14:paraId="2DF215D4"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857" w:type="dxa"/>
            <w:tcBorders>
              <w:top w:val="nil"/>
              <w:left w:val="nil"/>
              <w:bottom w:val="single" w:sz="8" w:space="0" w:color="auto"/>
              <w:right w:val="single" w:sz="8" w:space="0" w:color="auto"/>
            </w:tcBorders>
            <w:shd w:val="clear" w:color="auto" w:fill="auto"/>
            <w:noWrap/>
            <w:vAlign w:val="center"/>
            <w:hideMark/>
          </w:tcPr>
          <w:p w14:paraId="3B3C3A50"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2052" w:type="dxa"/>
            <w:tcBorders>
              <w:top w:val="nil"/>
              <w:left w:val="nil"/>
              <w:bottom w:val="single" w:sz="8" w:space="0" w:color="auto"/>
              <w:right w:val="single" w:sz="8" w:space="0" w:color="auto"/>
            </w:tcBorders>
            <w:shd w:val="clear" w:color="auto" w:fill="auto"/>
            <w:noWrap/>
            <w:vAlign w:val="center"/>
            <w:hideMark/>
          </w:tcPr>
          <w:p w14:paraId="1095CFCE"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2223" w:type="dxa"/>
            <w:tcBorders>
              <w:top w:val="nil"/>
              <w:left w:val="nil"/>
              <w:bottom w:val="single" w:sz="8" w:space="0" w:color="auto"/>
              <w:right w:val="single" w:sz="8" w:space="0" w:color="auto"/>
            </w:tcBorders>
            <w:shd w:val="clear" w:color="auto" w:fill="auto"/>
            <w:noWrap/>
            <w:vAlign w:val="center"/>
            <w:hideMark/>
          </w:tcPr>
          <w:p w14:paraId="5E51C2EA"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r>
      <w:tr w:rsidR="00382354" w:rsidRPr="00457E6C" w14:paraId="78E0E048" w14:textId="77777777" w:rsidTr="005F634F">
        <w:trPr>
          <w:trHeight w:val="315"/>
        </w:trPr>
        <w:tc>
          <w:tcPr>
            <w:tcW w:w="1852" w:type="dxa"/>
            <w:tcBorders>
              <w:top w:val="nil"/>
              <w:left w:val="single" w:sz="8" w:space="0" w:color="auto"/>
              <w:bottom w:val="single" w:sz="8" w:space="0" w:color="auto"/>
              <w:right w:val="single" w:sz="8" w:space="0" w:color="auto"/>
            </w:tcBorders>
            <w:shd w:val="clear" w:color="auto" w:fill="auto"/>
            <w:noWrap/>
            <w:vAlign w:val="center"/>
            <w:hideMark/>
          </w:tcPr>
          <w:p w14:paraId="40974C2F" w14:textId="77777777" w:rsidR="00382354" w:rsidRPr="00A57704" w:rsidRDefault="00382354" w:rsidP="005F634F">
            <w:pPr>
              <w:spacing w:after="0"/>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CONALECHE</w:t>
            </w:r>
          </w:p>
        </w:tc>
        <w:tc>
          <w:tcPr>
            <w:tcW w:w="1563" w:type="dxa"/>
            <w:tcBorders>
              <w:top w:val="nil"/>
              <w:left w:val="nil"/>
              <w:bottom w:val="single" w:sz="8" w:space="0" w:color="auto"/>
              <w:right w:val="single" w:sz="8" w:space="0" w:color="auto"/>
            </w:tcBorders>
            <w:shd w:val="clear" w:color="000000" w:fill="FFC7CE"/>
            <w:noWrap/>
            <w:vAlign w:val="center"/>
            <w:hideMark/>
          </w:tcPr>
          <w:p w14:paraId="07528FAE"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eastAsia="es-DO"/>
              </w:rPr>
              <w:t>52.33</w:t>
            </w:r>
          </w:p>
        </w:tc>
        <w:tc>
          <w:tcPr>
            <w:tcW w:w="943" w:type="dxa"/>
            <w:tcBorders>
              <w:top w:val="nil"/>
              <w:left w:val="nil"/>
              <w:bottom w:val="single" w:sz="8" w:space="0" w:color="auto"/>
              <w:right w:val="single" w:sz="8" w:space="0" w:color="auto"/>
            </w:tcBorders>
            <w:shd w:val="clear" w:color="auto" w:fill="auto"/>
            <w:noWrap/>
            <w:vAlign w:val="center"/>
            <w:hideMark/>
          </w:tcPr>
          <w:p w14:paraId="055EC036"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84" w:type="dxa"/>
            <w:tcBorders>
              <w:top w:val="nil"/>
              <w:left w:val="nil"/>
              <w:bottom w:val="single" w:sz="8" w:space="0" w:color="auto"/>
              <w:right w:val="single" w:sz="8" w:space="0" w:color="auto"/>
            </w:tcBorders>
            <w:shd w:val="clear" w:color="auto" w:fill="auto"/>
            <w:noWrap/>
            <w:vAlign w:val="center"/>
            <w:hideMark/>
          </w:tcPr>
          <w:p w14:paraId="1F007B5C"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93" w:type="dxa"/>
            <w:tcBorders>
              <w:top w:val="nil"/>
              <w:left w:val="nil"/>
              <w:bottom w:val="single" w:sz="8" w:space="0" w:color="auto"/>
              <w:right w:val="single" w:sz="8" w:space="0" w:color="auto"/>
            </w:tcBorders>
            <w:shd w:val="clear" w:color="000000" w:fill="FFC7CE"/>
            <w:noWrap/>
            <w:vAlign w:val="center"/>
            <w:hideMark/>
          </w:tcPr>
          <w:p w14:paraId="7089448C"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51</w:t>
            </w:r>
          </w:p>
        </w:tc>
        <w:tc>
          <w:tcPr>
            <w:tcW w:w="988" w:type="dxa"/>
            <w:tcBorders>
              <w:top w:val="nil"/>
              <w:left w:val="nil"/>
              <w:bottom w:val="single" w:sz="8" w:space="0" w:color="auto"/>
              <w:right w:val="single" w:sz="8" w:space="0" w:color="auto"/>
            </w:tcBorders>
            <w:shd w:val="clear" w:color="000000" w:fill="FFC7CE"/>
            <w:noWrap/>
            <w:vAlign w:val="center"/>
            <w:hideMark/>
          </w:tcPr>
          <w:p w14:paraId="5D179DAD"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30</w:t>
            </w:r>
          </w:p>
        </w:tc>
        <w:tc>
          <w:tcPr>
            <w:tcW w:w="998" w:type="dxa"/>
            <w:tcBorders>
              <w:top w:val="nil"/>
              <w:left w:val="nil"/>
              <w:bottom w:val="single" w:sz="8" w:space="0" w:color="auto"/>
              <w:right w:val="single" w:sz="8" w:space="0" w:color="auto"/>
            </w:tcBorders>
            <w:shd w:val="clear" w:color="000000" w:fill="FFFFFF"/>
            <w:noWrap/>
            <w:vAlign w:val="center"/>
            <w:hideMark/>
          </w:tcPr>
          <w:p w14:paraId="6E08E88F"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1047" w:type="dxa"/>
            <w:tcBorders>
              <w:top w:val="nil"/>
              <w:left w:val="nil"/>
              <w:bottom w:val="single" w:sz="8" w:space="0" w:color="auto"/>
              <w:right w:val="single" w:sz="8" w:space="0" w:color="auto"/>
            </w:tcBorders>
            <w:shd w:val="clear" w:color="auto" w:fill="auto"/>
            <w:noWrap/>
            <w:vAlign w:val="center"/>
            <w:hideMark/>
          </w:tcPr>
          <w:p w14:paraId="66CEB9AC"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857" w:type="dxa"/>
            <w:tcBorders>
              <w:top w:val="nil"/>
              <w:left w:val="nil"/>
              <w:bottom w:val="single" w:sz="8" w:space="0" w:color="auto"/>
              <w:right w:val="single" w:sz="8" w:space="0" w:color="auto"/>
            </w:tcBorders>
            <w:shd w:val="clear" w:color="auto" w:fill="auto"/>
            <w:noWrap/>
            <w:vAlign w:val="center"/>
            <w:hideMark/>
          </w:tcPr>
          <w:p w14:paraId="23B5E1EA"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2052" w:type="dxa"/>
            <w:tcBorders>
              <w:top w:val="nil"/>
              <w:left w:val="nil"/>
              <w:bottom w:val="single" w:sz="8" w:space="0" w:color="auto"/>
              <w:right w:val="single" w:sz="8" w:space="0" w:color="auto"/>
            </w:tcBorders>
            <w:shd w:val="clear" w:color="000000" w:fill="FFE599"/>
            <w:noWrap/>
            <w:vAlign w:val="center"/>
            <w:hideMark/>
          </w:tcPr>
          <w:p w14:paraId="13A88D1A"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76</w:t>
            </w:r>
          </w:p>
        </w:tc>
        <w:tc>
          <w:tcPr>
            <w:tcW w:w="2223" w:type="dxa"/>
            <w:tcBorders>
              <w:top w:val="nil"/>
              <w:left w:val="nil"/>
              <w:bottom w:val="single" w:sz="8" w:space="0" w:color="auto"/>
              <w:right w:val="single" w:sz="8" w:space="0" w:color="auto"/>
            </w:tcBorders>
            <w:shd w:val="clear" w:color="auto" w:fill="auto"/>
            <w:noWrap/>
            <w:vAlign w:val="center"/>
            <w:hideMark/>
          </w:tcPr>
          <w:p w14:paraId="4439CFAC"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r>
      <w:tr w:rsidR="00382354" w:rsidRPr="00457E6C" w14:paraId="4AF1ADEB" w14:textId="77777777" w:rsidTr="005F634F">
        <w:trPr>
          <w:trHeight w:val="315"/>
        </w:trPr>
        <w:tc>
          <w:tcPr>
            <w:tcW w:w="1852" w:type="dxa"/>
            <w:tcBorders>
              <w:top w:val="nil"/>
              <w:left w:val="single" w:sz="8" w:space="0" w:color="auto"/>
              <w:bottom w:val="single" w:sz="8" w:space="0" w:color="auto"/>
              <w:right w:val="single" w:sz="8" w:space="0" w:color="auto"/>
            </w:tcBorders>
            <w:shd w:val="clear" w:color="auto" w:fill="auto"/>
            <w:noWrap/>
            <w:vAlign w:val="center"/>
            <w:hideMark/>
          </w:tcPr>
          <w:p w14:paraId="66093273" w14:textId="77777777" w:rsidR="00382354" w:rsidRPr="00A57704" w:rsidRDefault="00382354" w:rsidP="005F634F">
            <w:pPr>
              <w:spacing w:after="0"/>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INDOCAFE</w:t>
            </w:r>
          </w:p>
        </w:tc>
        <w:tc>
          <w:tcPr>
            <w:tcW w:w="1563" w:type="dxa"/>
            <w:tcBorders>
              <w:top w:val="nil"/>
              <w:left w:val="nil"/>
              <w:bottom w:val="single" w:sz="8" w:space="0" w:color="auto"/>
              <w:right w:val="single" w:sz="8" w:space="0" w:color="auto"/>
            </w:tcBorders>
            <w:shd w:val="clear" w:color="000000" w:fill="FFC7CE"/>
            <w:noWrap/>
            <w:vAlign w:val="center"/>
            <w:hideMark/>
          </w:tcPr>
          <w:p w14:paraId="09E14F34"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eastAsia="es-DO"/>
              </w:rPr>
              <w:t>50.67</w:t>
            </w:r>
          </w:p>
        </w:tc>
        <w:tc>
          <w:tcPr>
            <w:tcW w:w="943" w:type="dxa"/>
            <w:tcBorders>
              <w:top w:val="nil"/>
              <w:left w:val="nil"/>
              <w:bottom w:val="single" w:sz="8" w:space="0" w:color="auto"/>
              <w:right w:val="single" w:sz="8" w:space="0" w:color="auto"/>
            </w:tcBorders>
            <w:shd w:val="clear" w:color="000000" w:fill="FFC7CE"/>
            <w:noWrap/>
            <w:vAlign w:val="center"/>
            <w:hideMark/>
          </w:tcPr>
          <w:p w14:paraId="23A8472C"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0</w:t>
            </w:r>
          </w:p>
        </w:tc>
        <w:tc>
          <w:tcPr>
            <w:tcW w:w="984" w:type="dxa"/>
            <w:tcBorders>
              <w:top w:val="nil"/>
              <w:left w:val="nil"/>
              <w:bottom w:val="single" w:sz="8" w:space="0" w:color="auto"/>
              <w:right w:val="single" w:sz="8" w:space="0" w:color="auto"/>
            </w:tcBorders>
            <w:shd w:val="clear" w:color="auto" w:fill="auto"/>
            <w:noWrap/>
            <w:vAlign w:val="center"/>
            <w:hideMark/>
          </w:tcPr>
          <w:p w14:paraId="09BF2F31"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93" w:type="dxa"/>
            <w:tcBorders>
              <w:top w:val="nil"/>
              <w:left w:val="nil"/>
              <w:bottom w:val="single" w:sz="8" w:space="0" w:color="auto"/>
              <w:right w:val="single" w:sz="8" w:space="0" w:color="auto"/>
            </w:tcBorders>
            <w:shd w:val="clear" w:color="000000" w:fill="FFC7CE"/>
            <w:noWrap/>
            <w:vAlign w:val="center"/>
            <w:hideMark/>
          </w:tcPr>
          <w:p w14:paraId="068213DE"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23</w:t>
            </w:r>
          </w:p>
        </w:tc>
        <w:tc>
          <w:tcPr>
            <w:tcW w:w="988" w:type="dxa"/>
            <w:tcBorders>
              <w:top w:val="nil"/>
              <w:left w:val="nil"/>
              <w:bottom w:val="single" w:sz="8" w:space="0" w:color="auto"/>
              <w:right w:val="single" w:sz="8" w:space="0" w:color="auto"/>
            </w:tcBorders>
            <w:shd w:val="clear" w:color="000000" w:fill="FFEB9C"/>
            <w:noWrap/>
            <w:vAlign w:val="center"/>
            <w:hideMark/>
          </w:tcPr>
          <w:p w14:paraId="4740CD71"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69</w:t>
            </w:r>
          </w:p>
        </w:tc>
        <w:tc>
          <w:tcPr>
            <w:tcW w:w="998" w:type="dxa"/>
            <w:tcBorders>
              <w:top w:val="nil"/>
              <w:left w:val="nil"/>
              <w:bottom w:val="single" w:sz="8" w:space="0" w:color="auto"/>
              <w:right w:val="single" w:sz="8" w:space="0" w:color="auto"/>
            </w:tcBorders>
            <w:shd w:val="clear" w:color="000000" w:fill="FFFFFF"/>
            <w:noWrap/>
            <w:vAlign w:val="center"/>
            <w:hideMark/>
          </w:tcPr>
          <w:p w14:paraId="1C163ED2"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1047" w:type="dxa"/>
            <w:tcBorders>
              <w:top w:val="nil"/>
              <w:left w:val="nil"/>
              <w:bottom w:val="single" w:sz="8" w:space="0" w:color="auto"/>
              <w:right w:val="single" w:sz="8" w:space="0" w:color="auto"/>
            </w:tcBorders>
            <w:shd w:val="clear" w:color="000000" w:fill="FFC7CE"/>
            <w:noWrap/>
            <w:vAlign w:val="center"/>
            <w:hideMark/>
          </w:tcPr>
          <w:p w14:paraId="1C74BECE"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33</w:t>
            </w:r>
          </w:p>
        </w:tc>
        <w:tc>
          <w:tcPr>
            <w:tcW w:w="857" w:type="dxa"/>
            <w:tcBorders>
              <w:top w:val="nil"/>
              <w:left w:val="nil"/>
              <w:bottom w:val="single" w:sz="8" w:space="0" w:color="auto"/>
              <w:right w:val="single" w:sz="8" w:space="0" w:color="auto"/>
            </w:tcBorders>
            <w:shd w:val="clear" w:color="000000" w:fill="FFC7CE"/>
            <w:noWrap/>
            <w:vAlign w:val="center"/>
            <w:hideMark/>
          </w:tcPr>
          <w:p w14:paraId="45C8A75F"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33</w:t>
            </w:r>
          </w:p>
        </w:tc>
        <w:tc>
          <w:tcPr>
            <w:tcW w:w="2052" w:type="dxa"/>
            <w:tcBorders>
              <w:top w:val="nil"/>
              <w:left w:val="nil"/>
              <w:bottom w:val="single" w:sz="8" w:space="0" w:color="auto"/>
              <w:right w:val="single" w:sz="8" w:space="0" w:color="auto"/>
            </w:tcBorders>
            <w:shd w:val="clear" w:color="000000" w:fill="E2EFD9"/>
            <w:noWrap/>
            <w:vAlign w:val="center"/>
            <w:hideMark/>
          </w:tcPr>
          <w:p w14:paraId="3DC9CCBE"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88</w:t>
            </w:r>
          </w:p>
        </w:tc>
        <w:tc>
          <w:tcPr>
            <w:tcW w:w="2223" w:type="dxa"/>
            <w:tcBorders>
              <w:top w:val="nil"/>
              <w:left w:val="nil"/>
              <w:bottom w:val="single" w:sz="8" w:space="0" w:color="auto"/>
              <w:right w:val="single" w:sz="8" w:space="0" w:color="auto"/>
            </w:tcBorders>
            <w:shd w:val="clear" w:color="000000" w:fill="FFC7CE"/>
            <w:noWrap/>
            <w:vAlign w:val="center"/>
            <w:hideMark/>
          </w:tcPr>
          <w:p w14:paraId="01C057B7"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58</w:t>
            </w:r>
          </w:p>
        </w:tc>
      </w:tr>
      <w:tr w:rsidR="00382354" w:rsidRPr="00457E6C" w14:paraId="4D2BA41D" w14:textId="77777777" w:rsidTr="005F634F">
        <w:trPr>
          <w:trHeight w:val="315"/>
        </w:trPr>
        <w:tc>
          <w:tcPr>
            <w:tcW w:w="1852" w:type="dxa"/>
            <w:tcBorders>
              <w:top w:val="nil"/>
              <w:left w:val="single" w:sz="8" w:space="0" w:color="auto"/>
              <w:bottom w:val="single" w:sz="8" w:space="0" w:color="auto"/>
              <w:right w:val="single" w:sz="8" w:space="0" w:color="auto"/>
            </w:tcBorders>
            <w:shd w:val="clear" w:color="auto" w:fill="auto"/>
            <w:noWrap/>
            <w:vAlign w:val="center"/>
            <w:hideMark/>
          </w:tcPr>
          <w:p w14:paraId="34A9F12F" w14:textId="77777777" w:rsidR="00382354" w:rsidRPr="00A57704" w:rsidRDefault="00382354" w:rsidP="005F634F">
            <w:pPr>
              <w:spacing w:after="0"/>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CODOPESCA</w:t>
            </w:r>
          </w:p>
        </w:tc>
        <w:tc>
          <w:tcPr>
            <w:tcW w:w="1563" w:type="dxa"/>
            <w:tcBorders>
              <w:top w:val="nil"/>
              <w:left w:val="nil"/>
              <w:bottom w:val="single" w:sz="8" w:space="0" w:color="auto"/>
              <w:right w:val="single" w:sz="8" w:space="0" w:color="auto"/>
            </w:tcBorders>
            <w:shd w:val="clear" w:color="000000" w:fill="FFC7CE"/>
            <w:noWrap/>
            <w:vAlign w:val="center"/>
            <w:hideMark/>
          </w:tcPr>
          <w:p w14:paraId="76965643"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eastAsia="es-DO"/>
              </w:rPr>
              <w:t>48.33</w:t>
            </w:r>
          </w:p>
        </w:tc>
        <w:tc>
          <w:tcPr>
            <w:tcW w:w="943" w:type="dxa"/>
            <w:tcBorders>
              <w:top w:val="nil"/>
              <w:left w:val="nil"/>
              <w:bottom w:val="single" w:sz="8" w:space="0" w:color="auto"/>
              <w:right w:val="single" w:sz="8" w:space="0" w:color="auto"/>
            </w:tcBorders>
            <w:shd w:val="clear" w:color="auto" w:fill="auto"/>
            <w:noWrap/>
            <w:vAlign w:val="center"/>
            <w:hideMark/>
          </w:tcPr>
          <w:p w14:paraId="00783F68"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84" w:type="dxa"/>
            <w:tcBorders>
              <w:top w:val="nil"/>
              <w:left w:val="nil"/>
              <w:bottom w:val="single" w:sz="8" w:space="0" w:color="auto"/>
              <w:right w:val="single" w:sz="8" w:space="0" w:color="auto"/>
            </w:tcBorders>
            <w:shd w:val="clear" w:color="auto" w:fill="auto"/>
            <w:noWrap/>
            <w:vAlign w:val="center"/>
            <w:hideMark/>
          </w:tcPr>
          <w:p w14:paraId="20251E06"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93" w:type="dxa"/>
            <w:tcBorders>
              <w:top w:val="nil"/>
              <w:left w:val="nil"/>
              <w:bottom w:val="single" w:sz="8" w:space="0" w:color="auto"/>
              <w:right w:val="single" w:sz="8" w:space="0" w:color="auto"/>
            </w:tcBorders>
            <w:shd w:val="clear" w:color="000000" w:fill="FFEB9C"/>
            <w:noWrap/>
            <w:vAlign w:val="center"/>
            <w:hideMark/>
          </w:tcPr>
          <w:p w14:paraId="4AFD8A39"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75</w:t>
            </w:r>
          </w:p>
        </w:tc>
        <w:tc>
          <w:tcPr>
            <w:tcW w:w="988" w:type="dxa"/>
            <w:tcBorders>
              <w:top w:val="nil"/>
              <w:left w:val="nil"/>
              <w:bottom w:val="single" w:sz="8" w:space="0" w:color="auto"/>
              <w:right w:val="single" w:sz="8" w:space="0" w:color="auto"/>
            </w:tcBorders>
            <w:shd w:val="clear" w:color="000000" w:fill="FFC7CE"/>
            <w:noWrap/>
            <w:vAlign w:val="center"/>
            <w:hideMark/>
          </w:tcPr>
          <w:p w14:paraId="7BAC7AF7"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20</w:t>
            </w:r>
          </w:p>
        </w:tc>
        <w:tc>
          <w:tcPr>
            <w:tcW w:w="998" w:type="dxa"/>
            <w:tcBorders>
              <w:top w:val="nil"/>
              <w:left w:val="nil"/>
              <w:bottom w:val="single" w:sz="8" w:space="0" w:color="auto"/>
              <w:right w:val="single" w:sz="8" w:space="0" w:color="auto"/>
            </w:tcBorders>
            <w:shd w:val="clear" w:color="auto" w:fill="auto"/>
            <w:noWrap/>
            <w:vAlign w:val="center"/>
            <w:hideMark/>
          </w:tcPr>
          <w:p w14:paraId="22F65E8D"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1047" w:type="dxa"/>
            <w:tcBorders>
              <w:top w:val="nil"/>
              <w:left w:val="nil"/>
              <w:bottom w:val="single" w:sz="8" w:space="0" w:color="auto"/>
              <w:right w:val="single" w:sz="8" w:space="0" w:color="auto"/>
            </w:tcBorders>
            <w:shd w:val="clear" w:color="auto" w:fill="auto"/>
            <w:noWrap/>
            <w:vAlign w:val="center"/>
            <w:hideMark/>
          </w:tcPr>
          <w:p w14:paraId="609614C6"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857" w:type="dxa"/>
            <w:tcBorders>
              <w:top w:val="nil"/>
              <w:left w:val="nil"/>
              <w:bottom w:val="single" w:sz="8" w:space="0" w:color="auto"/>
              <w:right w:val="single" w:sz="8" w:space="0" w:color="auto"/>
            </w:tcBorders>
            <w:shd w:val="clear" w:color="000000" w:fill="FFC7CE"/>
            <w:noWrap/>
            <w:vAlign w:val="center"/>
            <w:hideMark/>
          </w:tcPr>
          <w:p w14:paraId="78A7C9B1"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50</w:t>
            </w:r>
          </w:p>
        </w:tc>
        <w:tc>
          <w:tcPr>
            <w:tcW w:w="2052" w:type="dxa"/>
            <w:tcBorders>
              <w:top w:val="nil"/>
              <w:left w:val="nil"/>
              <w:bottom w:val="single" w:sz="8" w:space="0" w:color="auto"/>
              <w:right w:val="single" w:sz="8" w:space="0" w:color="auto"/>
            </w:tcBorders>
            <w:shd w:val="clear" w:color="auto" w:fill="auto"/>
            <w:noWrap/>
            <w:vAlign w:val="center"/>
            <w:hideMark/>
          </w:tcPr>
          <w:p w14:paraId="57F17C5E"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2223" w:type="dxa"/>
            <w:tcBorders>
              <w:top w:val="nil"/>
              <w:left w:val="nil"/>
              <w:bottom w:val="single" w:sz="8" w:space="0" w:color="auto"/>
              <w:right w:val="single" w:sz="8" w:space="0" w:color="auto"/>
            </w:tcBorders>
            <w:shd w:val="clear" w:color="auto" w:fill="auto"/>
            <w:noWrap/>
            <w:vAlign w:val="center"/>
            <w:hideMark/>
          </w:tcPr>
          <w:p w14:paraId="663CFFBB"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r>
      <w:tr w:rsidR="00382354" w:rsidRPr="00457E6C" w14:paraId="75EDBFA2" w14:textId="77777777" w:rsidTr="005F634F">
        <w:trPr>
          <w:trHeight w:val="315"/>
        </w:trPr>
        <w:tc>
          <w:tcPr>
            <w:tcW w:w="1852" w:type="dxa"/>
            <w:tcBorders>
              <w:top w:val="nil"/>
              <w:left w:val="single" w:sz="8" w:space="0" w:color="auto"/>
              <w:bottom w:val="single" w:sz="8" w:space="0" w:color="auto"/>
              <w:right w:val="single" w:sz="8" w:space="0" w:color="auto"/>
            </w:tcBorders>
            <w:shd w:val="clear" w:color="auto" w:fill="auto"/>
            <w:noWrap/>
            <w:vAlign w:val="center"/>
            <w:hideMark/>
          </w:tcPr>
          <w:p w14:paraId="1E43DE0E" w14:textId="77777777" w:rsidR="00382354" w:rsidRPr="00A57704" w:rsidRDefault="00382354" w:rsidP="005F634F">
            <w:pPr>
              <w:spacing w:after="0"/>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FEDA</w:t>
            </w:r>
          </w:p>
        </w:tc>
        <w:tc>
          <w:tcPr>
            <w:tcW w:w="1563" w:type="dxa"/>
            <w:tcBorders>
              <w:top w:val="nil"/>
              <w:left w:val="nil"/>
              <w:bottom w:val="single" w:sz="8" w:space="0" w:color="auto"/>
              <w:right w:val="single" w:sz="8" w:space="0" w:color="auto"/>
            </w:tcBorders>
            <w:shd w:val="clear" w:color="000000" w:fill="FFC7CE"/>
            <w:noWrap/>
            <w:vAlign w:val="center"/>
            <w:hideMark/>
          </w:tcPr>
          <w:p w14:paraId="2CAA79AE"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eastAsia="es-DO"/>
              </w:rPr>
              <w:t>47.33</w:t>
            </w:r>
          </w:p>
        </w:tc>
        <w:tc>
          <w:tcPr>
            <w:tcW w:w="943" w:type="dxa"/>
            <w:tcBorders>
              <w:top w:val="nil"/>
              <w:left w:val="nil"/>
              <w:bottom w:val="single" w:sz="8" w:space="0" w:color="auto"/>
              <w:right w:val="single" w:sz="8" w:space="0" w:color="auto"/>
            </w:tcBorders>
            <w:shd w:val="clear" w:color="000000" w:fill="E2EFD9"/>
            <w:noWrap/>
            <w:vAlign w:val="center"/>
            <w:hideMark/>
          </w:tcPr>
          <w:p w14:paraId="230AE3B3" w14:textId="77777777" w:rsidR="00382354" w:rsidRPr="00A57704" w:rsidRDefault="00382354" w:rsidP="005F634F">
            <w:pPr>
              <w:spacing w:after="0"/>
              <w:jc w:val="center"/>
              <w:rPr>
                <w:rFonts w:ascii="Calibri" w:hAnsi="Calibri" w:cs="Calibri"/>
                <w:color w:val="000000"/>
                <w:lang w:eastAsia="es-DO"/>
              </w:rPr>
            </w:pPr>
          </w:p>
        </w:tc>
        <w:tc>
          <w:tcPr>
            <w:tcW w:w="984" w:type="dxa"/>
            <w:tcBorders>
              <w:top w:val="nil"/>
              <w:left w:val="nil"/>
              <w:bottom w:val="single" w:sz="8" w:space="0" w:color="auto"/>
              <w:right w:val="single" w:sz="8" w:space="0" w:color="auto"/>
            </w:tcBorders>
            <w:shd w:val="clear" w:color="auto" w:fill="auto"/>
            <w:noWrap/>
            <w:vAlign w:val="center"/>
            <w:hideMark/>
          </w:tcPr>
          <w:p w14:paraId="73CE1B8C"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93" w:type="dxa"/>
            <w:tcBorders>
              <w:top w:val="nil"/>
              <w:left w:val="nil"/>
              <w:bottom w:val="single" w:sz="8" w:space="0" w:color="auto"/>
              <w:right w:val="single" w:sz="8" w:space="0" w:color="auto"/>
            </w:tcBorders>
            <w:shd w:val="clear" w:color="000000" w:fill="E2EFD9"/>
            <w:noWrap/>
            <w:vAlign w:val="center"/>
            <w:hideMark/>
          </w:tcPr>
          <w:p w14:paraId="4503BBAD" w14:textId="77777777" w:rsidR="00382354" w:rsidRPr="00A57704" w:rsidRDefault="00382354" w:rsidP="005F634F">
            <w:pPr>
              <w:spacing w:after="0"/>
              <w:jc w:val="center"/>
              <w:rPr>
                <w:rFonts w:ascii="Calibri" w:hAnsi="Calibri" w:cs="Calibri"/>
                <w:color w:val="000000"/>
                <w:lang w:eastAsia="es-DO"/>
              </w:rPr>
            </w:pPr>
          </w:p>
        </w:tc>
        <w:tc>
          <w:tcPr>
            <w:tcW w:w="988" w:type="dxa"/>
            <w:tcBorders>
              <w:top w:val="nil"/>
              <w:left w:val="nil"/>
              <w:bottom w:val="single" w:sz="8" w:space="0" w:color="auto"/>
              <w:right w:val="single" w:sz="8" w:space="0" w:color="auto"/>
            </w:tcBorders>
            <w:shd w:val="clear" w:color="000000" w:fill="FFC7CE"/>
            <w:noWrap/>
            <w:vAlign w:val="center"/>
            <w:hideMark/>
          </w:tcPr>
          <w:p w14:paraId="3B43B264"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37</w:t>
            </w:r>
          </w:p>
        </w:tc>
        <w:tc>
          <w:tcPr>
            <w:tcW w:w="998" w:type="dxa"/>
            <w:tcBorders>
              <w:top w:val="nil"/>
              <w:left w:val="nil"/>
              <w:bottom w:val="single" w:sz="8" w:space="0" w:color="auto"/>
              <w:right w:val="single" w:sz="8" w:space="0" w:color="auto"/>
            </w:tcBorders>
            <w:shd w:val="clear" w:color="000000" w:fill="E2EFD9"/>
            <w:noWrap/>
            <w:vAlign w:val="center"/>
            <w:hideMark/>
          </w:tcPr>
          <w:p w14:paraId="2F1F784D"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98</w:t>
            </w:r>
          </w:p>
        </w:tc>
        <w:tc>
          <w:tcPr>
            <w:tcW w:w="1047" w:type="dxa"/>
            <w:tcBorders>
              <w:top w:val="nil"/>
              <w:left w:val="nil"/>
              <w:bottom w:val="single" w:sz="8" w:space="0" w:color="auto"/>
              <w:right w:val="single" w:sz="8" w:space="0" w:color="auto"/>
            </w:tcBorders>
            <w:shd w:val="clear" w:color="000000" w:fill="FFC7CE"/>
            <w:noWrap/>
            <w:vAlign w:val="center"/>
            <w:hideMark/>
          </w:tcPr>
          <w:p w14:paraId="6556F0DF"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7</w:t>
            </w:r>
          </w:p>
        </w:tc>
        <w:tc>
          <w:tcPr>
            <w:tcW w:w="857" w:type="dxa"/>
            <w:tcBorders>
              <w:top w:val="nil"/>
              <w:left w:val="nil"/>
              <w:bottom w:val="single" w:sz="8" w:space="0" w:color="auto"/>
              <w:right w:val="single" w:sz="8" w:space="0" w:color="auto"/>
            </w:tcBorders>
            <w:shd w:val="clear" w:color="000000" w:fill="FFFFFF"/>
            <w:noWrap/>
            <w:vAlign w:val="center"/>
            <w:hideMark/>
          </w:tcPr>
          <w:p w14:paraId="53637F1D"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2052" w:type="dxa"/>
            <w:tcBorders>
              <w:top w:val="nil"/>
              <w:left w:val="nil"/>
              <w:bottom w:val="single" w:sz="8" w:space="0" w:color="auto"/>
              <w:right w:val="single" w:sz="8" w:space="0" w:color="auto"/>
            </w:tcBorders>
            <w:shd w:val="clear" w:color="000000" w:fill="E2EFD9"/>
            <w:noWrap/>
            <w:vAlign w:val="center"/>
            <w:hideMark/>
          </w:tcPr>
          <w:p w14:paraId="2B106F27" w14:textId="77777777" w:rsidR="00382354" w:rsidRPr="00A57704" w:rsidRDefault="00382354" w:rsidP="005F634F">
            <w:pPr>
              <w:spacing w:after="0"/>
              <w:jc w:val="center"/>
              <w:rPr>
                <w:rFonts w:ascii="Calibri" w:hAnsi="Calibri" w:cs="Calibri"/>
                <w:color w:val="000000"/>
                <w:lang w:eastAsia="es-DO"/>
              </w:rPr>
            </w:pPr>
          </w:p>
        </w:tc>
        <w:tc>
          <w:tcPr>
            <w:tcW w:w="2223" w:type="dxa"/>
            <w:tcBorders>
              <w:top w:val="nil"/>
              <w:left w:val="nil"/>
              <w:bottom w:val="single" w:sz="8" w:space="0" w:color="auto"/>
              <w:right w:val="single" w:sz="8" w:space="0" w:color="auto"/>
            </w:tcBorders>
            <w:shd w:val="clear" w:color="000000" w:fill="E2EFD9"/>
            <w:noWrap/>
            <w:vAlign w:val="center"/>
            <w:hideMark/>
          </w:tcPr>
          <w:p w14:paraId="3084E90F" w14:textId="77777777" w:rsidR="00382354" w:rsidRPr="00A57704" w:rsidRDefault="00382354" w:rsidP="005F634F">
            <w:pPr>
              <w:spacing w:after="0"/>
              <w:jc w:val="center"/>
              <w:rPr>
                <w:rFonts w:ascii="Calibri" w:hAnsi="Calibri" w:cs="Calibri"/>
                <w:color w:val="000000"/>
                <w:lang w:eastAsia="es-DO"/>
              </w:rPr>
            </w:pPr>
          </w:p>
        </w:tc>
      </w:tr>
      <w:tr w:rsidR="00382354" w:rsidRPr="00457E6C" w14:paraId="0667B480" w14:textId="77777777" w:rsidTr="005F634F">
        <w:trPr>
          <w:trHeight w:val="315"/>
        </w:trPr>
        <w:tc>
          <w:tcPr>
            <w:tcW w:w="1852" w:type="dxa"/>
            <w:tcBorders>
              <w:top w:val="nil"/>
              <w:left w:val="single" w:sz="8" w:space="0" w:color="auto"/>
              <w:bottom w:val="single" w:sz="8" w:space="0" w:color="auto"/>
              <w:right w:val="single" w:sz="8" w:space="0" w:color="auto"/>
            </w:tcBorders>
            <w:shd w:val="clear" w:color="auto" w:fill="auto"/>
            <w:noWrap/>
            <w:vAlign w:val="center"/>
            <w:hideMark/>
          </w:tcPr>
          <w:p w14:paraId="3CDDAC3A" w14:textId="77777777" w:rsidR="00382354" w:rsidRPr="00A57704" w:rsidRDefault="00382354" w:rsidP="005F634F">
            <w:pPr>
              <w:spacing w:after="0"/>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INAZUCAR</w:t>
            </w:r>
          </w:p>
        </w:tc>
        <w:tc>
          <w:tcPr>
            <w:tcW w:w="1563" w:type="dxa"/>
            <w:tcBorders>
              <w:top w:val="nil"/>
              <w:left w:val="nil"/>
              <w:bottom w:val="single" w:sz="8" w:space="0" w:color="auto"/>
              <w:right w:val="single" w:sz="8" w:space="0" w:color="auto"/>
            </w:tcBorders>
            <w:shd w:val="clear" w:color="000000" w:fill="FFC7CE"/>
            <w:noWrap/>
            <w:vAlign w:val="center"/>
            <w:hideMark/>
          </w:tcPr>
          <w:p w14:paraId="1F250902"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eastAsia="es-DO"/>
              </w:rPr>
              <w:t>35.67</w:t>
            </w:r>
          </w:p>
        </w:tc>
        <w:tc>
          <w:tcPr>
            <w:tcW w:w="943" w:type="dxa"/>
            <w:tcBorders>
              <w:top w:val="nil"/>
              <w:left w:val="nil"/>
              <w:bottom w:val="single" w:sz="8" w:space="0" w:color="auto"/>
              <w:right w:val="single" w:sz="8" w:space="0" w:color="auto"/>
            </w:tcBorders>
            <w:shd w:val="clear" w:color="auto" w:fill="auto"/>
            <w:noWrap/>
            <w:vAlign w:val="center"/>
            <w:hideMark/>
          </w:tcPr>
          <w:p w14:paraId="6AD766B1"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84" w:type="dxa"/>
            <w:tcBorders>
              <w:top w:val="nil"/>
              <w:left w:val="nil"/>
              <w:bottom w:val="single" w:sz="8" w:space="0" w:color="auto"/>
              <w:right w:val="single" w:sz="8" w:space="0" w:color="auto"/>
            </w:tcBorders>
            <w:shd w:val="clear" w:color="auto" w:fill="auto"/>
            <w:noWrap/>
            <w:vAlign w:val="center"/>
            <w:hideMark/>
          </w:tcPr>
          <w:p w14:paraId="648B93C0"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93" w:type="dxa"/>
            <w:tcBorders>
              <w:top w:val="nil"/>
              <w:left w:val="nil"/>
              <w:bottom w:val="single" w:sz="8" w:space="0" w:color="auto"/>
              <w:right w:val="single" w:sz="8" w:space="0" w:color="auto"/>
            </w:tcBorders>
            <w:shd w:val="clear" w:color="000000" w:fill="FFC7CE"/>
            <w:noWrap/>
            <w:vAlign w:val="center"/>
            <w:hideMark/>
          </w:tcPr>
          <w:p w14:paraId="59B02BE7"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43</w:t>
            </w:r>
          </w:p>
        </w:tc>
        <w:tc>
          <w:tcPr>
            <w:tcW w:w="988" w:type="dxa"/>
            <w:tcBorders>
              <w:top w:val="nil"/>
              <w:left w:val="nil"/>
              <w:bottom w:val="single" w:sz="8" w:space="0" w:color="auto"/>
              <w:right w:val="single" w:sz="8" w:space="0" w:color="auto"/>
            </w:tcBorders>
            <w:shd w:val="clear" w:color="000000" w:fill="FFC7CE"/>
            <w:noWrap/>
            <w:vAlign w:val="center"/>
            <w:hideMark/>
          </w:tcPr>
          <w:p w14:paraId="5691201F"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14</w:t>
            </w:r>
          </w:p>
        </w:tc>
        <w:tc>
          <w:tcPr>
            <w:tcW w:w="998" w:type="dxa"/>
            <w:tcBorders>
              <w:top w:val="nil"/>
              <w:left w:val="nil"/>
              <w:bottom w:val="single" w:sz="8" w:space="0" w:color="auto"/>
              <w:right w:val="single" w:sz="8" w:space="0" w:color="auto"/>
            </w:tcBorders>
            <w:shd w:val="clear" w:color="auto" w:fill="auto"/>
            <w:noWrap/>
            <w:vAlign w:val="center"/>
            <w:hideMark/>
          </w:tcPr>
          <w:p w14:paraId="188A31FC"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1047" w:type="dxa"/>
            <w:tcBorders>
              <w:top w:val="nil"/>
              <w:left w:val="nil"/>
              <w:bottom w:val="single" w:sz="8" w:space="0" w:color="auto"/>
              <w:right w:val="single" w:sz="8" w:space="0" w:color="auto"/>
            </w:tcBorders>
            <w:shd w:val="clear" w:color="000000" w:fill="FFFFFF"/>
            <w:noWrap/>
            <w:vAlign w:val="center"/>
            <w:hideMark/>
          </w:tcPr>
          <w:p w14:paraId="08AC5988"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857" w:type="dxa"/>
            <w:tcBorders>
              <w:top w:val="nil"/>
              <w:left w:val="nil"/>
              <w:bottom w:val="single" w:sz="8" w:space="0" w:color="auto"/>
              <w:right w:val="single" w:sz="8" w:space="0" w:color="auto"/>
            </w:tcBorders>
            <w:shd w:val="clear" w:color="000000" w:fill="FFC7CE"/>
            <w:noWrap/>
            <w:vAlign w:val="center"/>
            <w:hideMark/>
          </w:tcPr>
          <w:p w14:paraId="56F366BC"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50</w:t>
            </w:r>
          </w:p>
        </w:tc>
        <w:tc>
          <w:tcPr>
            <w:tcW w:w="2052" w:type="dxa"/>
            <w:tcBorders>
              <w:top w:val="nil"/>
              <w:left w:val="nil"/>
              <w:bottom w:val="single" w:sz="8" w:space="0" w:color="auto"/>
              <w:right w:val="single" w:sz="8" w:space="0" w:color="auto"/>
            </w:tcBorders>
            <w:shd w:val="clear" w:color="auto" w:fill="auto"/>
            <w:noWrap/>
            <w:vAlign w:val="center"/>
            <w:hideMark/>
          </w:tcPr>
          <w:p w14:paraId="52B91A34"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2223" w:type="dxa"/>
            <w:tcBorders>
              <w:top w:val="nil"/>
              <w:left w:val="nil"/>
              <w:bottom w:val="single" w:sz="8" w:space="0" w:color="auto"/>
              <w:right w:val="single" w:sz="8" w:space="0" w:color="auto"/>
            </w:tcBorders>
            <w:shd w:val="clear" w:color="auto" w:fill="auto"/>
            <w:noWrap/>
            <w:vAlign w:val="center"/>
            <w:hideMark/>
          </w:tcPr>
          <w:p w14:paraId="222F29EA"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r>
      <w:tr w:rsidR="00382354" w:rsidRPr="00457E6C" w14:paraId="0DB667D4" w14:textId="77777777" w:rsidTr="005F634F">
        <w:trPr>
          <w:trHeight w:val="315"/>
        </w:trPr>
        <w:tc>
          <w:tcPr>
            <w:tcW w:w="1852" w:type="dxa"/>
            <w:tcBorders>
              <w:top w:val="nil"/>
              <w:left w:val="single" w:sz="8" w:space="0" w:color="auto"/>
              <w:bottom w:val="single" w:sz="8" w:space="0" w:color="auto"/>
              <w:right w:val="single" w:sz="8" w:space="0" w:color="auto"/>
            </w:tcBorders>
            <w:shd w:val="clear" w:color="auto" w:fill="auto"/>
            <w:noWrap/>
            <w:vAlign w:val="center"/>
            <w:hideMark/>
          </w:tcPr>
          <w:p w14:paraId="538458B5" w14:textId="77777777" w:rsidR="00382354" w:rsidRPr="00A57704" w:rsidRDefault="00382354" w:rsidP="005F634F">
            <w:pPr>
              <w:spacing w:after="0"/>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INUVA</w:t>
            </w:r>
          </w:p>
        </w:tc>
        <w:tc>
          <w:tcPr>
            <w:tcW w:w="1563" w:type="dxa"/>
            <w:tcBorders>
              <w:top w:val="nil"/>
              <w:left w:val="nil"/>
              <w:bottom w:val="single" w:sz="8" w:space="0" w:color="auto"/>
              <w:right w:val="single" w:sz="8" w:space="0" w:color="auto"/>
            </w:tcBorders>
            <w:shd w:val="clear" w:color="000000" w:fill="FFC7CE"/>
            <w:noWrap/>
            <w:vAlign w:val="center"/>
            <w:hideMark/>
          </w:tcPr>
          <w:p w14:paraId="174BF92A"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eastAsia="es-DO"/>
              </w:rPr>
              <w:t>31.50</w:t>
            </w:r>
          </w:p>
        </w:tc>
        <w:tc>
          <w:tcPr>
            <w:tcW w:w="943" w:type="dxa"/>
            <w:tcBorders>
              <w:top w:val="nil"/>
              <w:left w:val="nil"/>
              <w:bottom w:val="single" w:sz="8" w:space="0" w:color="auto"/>
              <w:right w:val="single" w:sz="8" w:space="0" w:color="auto"/>
            </w:tcBorders>
            <w:shd w:val="clear" w:color="auto" w:fill="auto"/>
            <w:noWrap/>
            <w:vAlign w:val="center"/>
            <w:hideMark/>
          </w:tcPr>
          <w:p w14:paraId="58A278D4"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84" w:type="dxa"/>
            <w:tcBorders>
              <w:top w:val="nil"/>
              <w:left w:val="nil"/>
              <w:bottom w:val="single" w:sz="8" w:space="0" w:color="auto"/>
              <w:right w:val="single" w:sz="8" w:space="0" w:color="auto"/>
            </w:tcBorders>
            <w:shd w:val="clear" w:color="auto" w:fill="auto"/>
            <w:noWrap/>
            <w:vAlign w:val="center"/>
            <w:hideMark/>
          </w:tcPr>
          <w:p w14:paraId="6C023C2C"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93" w:type="dxa"/>
            <w:tcBorders>
              <w:top w:val="nil"/>
              <w:left w:val="nil"/>
              <w:bottom w:val="single" w:sz="8" w:space="0" w:color="auto"/>
              <w:right w:val="single" w:sz="8" w:space="0" w:color="auto"/>
            </w:tcBorders>
            <w:shd w:val="clear" w:color="000000" w:fill="FFC7CE"/>
            <w:noWrap/>
            <w:vAlign w:val="center"/>
            <w:hideMark/>
          </w:tcPr>
          <w:p w14:paraId="2CCB580D"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48</w:t>
            </w:r>
          </w:p>
        </w:tc>
        <w:tc>
          <w:tcPr>
            <w:tcW w:w="988" w:type="dxa"/>
            <w:tcBorders>
              <w:top w:val="nil"/>
              <w:left w:val="nil"/>
              <w:bottom w:val="single" w:sz="8" w:space="0" w:color="auto"/>
              <w:right w:val="single" w:sz="8" w:space="0" w:color="auto"/>
            </w:tcBorders>
            <w:shd w:val="clear" w:color="000000" w:fill="FFC7CE"/>
            <w:noWrap/>
            <w:vAlign w:val="center"/>
            <w:hideMark/>
          </w:tcPr>
          <w:p w14:paraId="0FFDAC23"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15</w:t>
            </w:r>
          </w:p>
        </w:tc>
        <w:tc>
          <w:tcPr>
            <w:tcW w:w="998" w:type="dxa"/>
            <w:tcBorders>
              <w:top w:val="nil"/>
              <w:left w:val="nil"/>
              <w:bottom w:val="single" w:sz="8" w:space="0" w:color="auto"/>
              <w:right w:val="single" w:sz="8" w:space="0" w:color="auto"/>
            </w:tcBorders>
            <w:shd w:val="clear" w:color="000000" w:fill="FFFFFF"/>
            <w:noWrap/>
            <w:vAlign w:val="center"/>
            <w:hideMark/>
          </w:tcPr>
          <w:p w14:paraId="11C18426"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1047" w:type="dxa"/>
            <w:tcBorders>
              <w:top w:val="nil"/>
              <w:left w:val="nil"/>
              <w:bottom w:val="single" w:sz="8" w:space="0" w:color="auto"/>
              <w:right w:val="single" w:sz="8" w:space="0" w:color="auto"/>
            </w:tcBorders>
            <w:shd w:val="clear" w:color="000000" w:fill="FFFFFF"/>
            <w:noWrap/>
            <w:vAlign w:val="center"/>
            <w:hideMark/>
          </w:tcPr>
          <w:p w14:paraId="47F75994"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857" w:type="dxa"/>
            <w:tcBorders>
              <w:top w:val="nil"/>
              <w:left w:val="nil"/>
              <w:bottom w:val="single" w:sz="8" w:space="0" w:color="auto"/>
              <w:right w:val="single" w:sz="8" w:space="0" w:color="auto"/>
            </w:tcBorders>
            <w:shd w:val="clear" w:color="auto" w:fill="auto"/>
            <w:noWrap/>
            <w:vAlign w:val="center"/>
            <w:hideMark/>
          </w:tcPr>
          <w:p w14:paraId="7734704F"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2052" w:type="dxa"/>
            <w:tcBorders>
              <w:top w:val="nil"/>
              <w:left w:val="nil"/>
              <w:bottom w:val="single" w:sz="8" w:space="0" w:color="auto"/>
              <w:right w:val="single" w:sz="8" w:space="0" w:color="auto"/>
            </w:tcBorders>
            <w:shd w:val="clear" w:color="auto" w:fill="auto"/>
            <w:noWrap/>
            <w:vAlign w:val="center"/>
            <w:hideMark/>
          </w:tcPr>
          <w:p w14:paraId="31C575F8"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2223" w:type="dxa"/>
            <w:tcBorders>
              <w:top w:val="nil"/>
              <w:left w:val="nil"/>
              <w:bottom w:val="single" w:sz="8" w:space="0" w:color="auto"/>
              <w:right w:val="single" w:sz="8" w:space="0" w:color="auto"/>
            </w:tcBorders>
            <w:shd w:val="clear" w:color="auto" w:fill="auto"/>
            <w:noWrap/>
            <w:vAlign w:val="center"/>
            <w:hideMark/>
          </w:tcPr>
          <w:p w14:paraId="7F4B7AE4"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r>
      <w:tr w:rsidR="00382354" w:rsidRPr="00457E6C" w14:paraId="304270BF" w14:textId="77777777" w:rsidTr="005F634F">
        <w:trPr>
          <w:trHeight w:val="315"/>
        </w:trPr>
        <w:tc>
          <w:tcPr>
            <w:tcW w:w="1852" w:type="dxa"/>
            <w:tcBorders>
              <w:top w:val="nil"/>
              <w:left w:val="single" w:sz="8" w:space="0" w:color="auto"/>
              <w:bottom w:val="single" w:sz="8" w:space="0" w:color="auto"/>
              <w:right w:val="single" w:sz="8" w:space="0" w:color="auto"/>
            </w:tcBorders>
            <w:shd w:val="clear" w:color="auto" w:fill="auto"/>
            <w:noWrap/>
            <w:vAlign w:val="center"/>
            <w:hideMark/>
          </w:tcPr>
          <w:p w14:paraId="29B9F22E" w14:textId="77777777" w:rsidR="00382354" w:rsidRPr="00A57704" w:rsidRDefault="00382354" w:rsidP="005F634F">
            <w:pPr>
              <w:spacing w:after="0"/>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CONAPROPE</w:t>
            </w:r>
          </w:p>
        </w:tc>
        <w:tc>
          <w:tcPr>
            <w:tcW w:w="1563" w:type="dxa"/>
            <w:tcBorders>
              <w:top w:val="nil"/>
              <w:left w:val="nil"/>
              <w:bottom w:val="single" w:sz="8" w:space="0" w:color="auto"/>
              <w:right w:val="single" w:sz="8" w:space="0" w:color="auto"/>
            </w:tcBorders>
            <w:shd w:val="clear" w:color="000000" w:fill="FFC7CE"/>
            <w:noWrap/>
            <w:vAlign w:val="center"/>
            <w:hideMark/>
          </w:tcPr>
          <w:p w14:paraId="5D8C9119"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eastAsia="es-DO"/>
              </w:rPr>
              <w:t>8.00</w:t>
            </w:r>
          </w:p>
        </w:tc>
        <w:tc>
          <w:tcPr>
            <w:tcW w:w="943" w:type="dxa"/>
            <w:tcBorders>
              <w:top w:val="nil"/>
              <w:left w:val="nil"/>
              <w:bottom w:val="single" w:sz="8" w:space="0" w:color="auto"/>
              <w:right w:val="single" w:sz="8" w:space="0" w:color="auto"/>
            </w:tcBorders>
            <w:shd w:val="clear" w:color="auto" w:fill="auto"/>
            <w:noWrap/>
            <w:vAlign w:val="center"/>
            <w:hideMark/>
          </w:tcPr>
          <w:p w14:paraId="74A7435F"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84" w:type="dxa"/>
            <w:tcBorders>
              <w:top w:val="nil"/>
              <w:left w:val="nil"/>
              <w:bottom w:val="single" w:sz="8" w:space="0" w:color="auto"/>
              <w:right w:val="single" w:sz="8" w:space="0" w:color="auto"/>
            </w:tcBorders>
            <w:shd w:val="clear" w:color="auto" w:fill="auto"/>
            <w:noWrap/>
            <w:vAlign w:val="center"/>
            <w:hideMark/>
          </w:tcPr>
          <w:p w14:paraId="4FD084CD"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93" w:type="dxa"/>
            <w:tcBorders>
              <w:top w:val="nil"/>
              <w:left w:val="nil"/>
              <w:bottom w:val="single" w:sz="8" w:space="0" w:color="auto"/>
              <w:right w:val="single" w:sz="8" w:space="0" w:color="auto"/>
            </w:tcBorders>
            <w:shd w:val="clear" w:color="000000" w:fill="FFC7CE"/>
            <w:noWrap/>
            <w:vAlign w:val="center"/>
            <w:hideMark/>
          </w:tcPr>
          <w:p w14:paraId="0D839EE4"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8</w:t>
            </w:r>
          </w:p>
        </w:tc>
        <w:tc>
          <w:tcPr>
            <w:tcW w:w="988" w:type="dxa"/>
            <w:tcBorders>
              <w:top w:val="nil"/>
              <w:left w:val="nil"/>
              <w:bottom w:val="single" w:sz="8" w:space="0" w:color="auto"/>
              <w:right w:val="single" w:sz="8" w:space="0" w:color="auto"/>
            </w:tcBorders>
            <w:shd w:val="clear" w:color="auto" w:fill="auto"/>
            <w:noWrap/>
            <w:vAlign w:val="center"/>
            <w:hideMark/>
          </w:tcPr>
          <w:p w14:paraId="0D735252"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998" w:type="dxa"/>
            <w:tcBorders>
              <w:top w:val="nil"/>
              <w:left w:val="nil"/>
              <w:bottom w:val="single" w:sz="8" w:space="0" w:color="auto"/>
              <w:right w:val="single" w:sz="8" w:space="0" w:color="auto"/>
            </w:tcBorders>
            <w:shd w:val="clear" w:color="auto" w:fill="auto"/>
            <w:noWrap/>
            <w:vAlign w:val="center"/>
            <w:hideMark/>
          </w:tcPr>
          <w:p w14:paraId="1C29BDD4"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1047" w:type="dxa"/>
            <w:tcBorders>
              <w:top w:val="nil"/>
              <w:left w:val="nil"/>
              <w:bottom w:val="single" w:sz="8" w:space="0" w:color="auto"/>
              <w:right w:val="single" w:sz="8" w:space="0" w:color="auto"/>
            </w:tcBorders>
            <w:shd w:val="clear" w:color="auto" w:fill="auto"/>
            <w:noWrap/>
            <w:vAlign w:val="center"/>
            <w:hideMark/>
          </w:tcPr>
          <w:p w14:paraId="08641DAC"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857" w:type="dxa"/>
            <w:tcBorders>
              <w:top w:val="nil"/>
              <w:left w:val="nil"/>
              <w:bottom w:val="single" w:sz="8" w:space="0" w:color="auto"/>
              <w:right w:val="single" w:sz="8" w:space="0" w:color="auto"/>
            </w:tcBorders>
            <w:shd w:val="clear" w:color="auto" w:fill="auto"/>
            <w:noWrap/>
            <w:vAlign w:val="center"/>
            <w:hideMark/>
          </w:tcPr>
          <w:p w14:paraId="03D3170B"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2052" w:type="dxa"/>
            <w:tcBorders>
              <w:top w:val="nil"/>
              <w:left w:val="nil"/>
              <w:bottom w:val="single" w:sz="8" w:space="0" w:color="auto"/>
              <w:right w:val="single" w:sz="8" w:space="0" w:color="auto"/>
            </w:tcBorders>
            <w:shd w:val="clear" w:color="auto" w:fill="auto"/>
            <w:noWrap/>
            <w:vAlign w:val="center"/>
            <w:hideMark/>
          </w:tcPr>
          <w:p w14:paraId="5427C661"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c>
          <w:tcPr>
            <w:tcW w:w="2223" w:type="dxa"/>
            <w:tcBorders>
              <w:top w:val="nil"/>
              <w:left w:val="nil"/>
              <w:bottom w:val="single" w:sz="8" w:space="0" w:color="auto"/>
              <w:right w:val="single" w:sz="8" w:space="0" w:color="auto"/>
            </w:tcBorders>
            <w:shd w:val="clear" w:color="auto" w:fill="auto"/>
            <w:noWrap/>
            <w:vAlign w:val="center"/>
            <w:hideMark/>
          </w:tcPr>
          <w:p w14:paraId="14F258B9" w14:textId="77777777" w:rsidR="00382354" w:rsidRPr="00A57704" w:rsidRDefault="00382354" w:rsidP="005F634F">
            <w:pPr>
              <w:spacing w:after="0"/>
              <w:jc w:val="center"/>
              <w:rPr>
                <w:rFonts w:ascii="Times New Roman" w:hAnsi="Times New Roman"/>
                <w:color w:val="000000"/>
                <w:sz w:val="20"/>
                <w:szCs w:val="20"/>
                <w:lang w:eastAsia="es-DO"/>
              </w:rPr>
            </w:pPr>
            <w:r w:rsidRPr="00A57704">
              <w:rPr>
                <w:rFonts w:ascii="Times New Roman" w:hAnsi="Times New Roman"/>
                <w:color w:val="000000"/>
                <w:sz w:val="20"/>
                <w:szCs w:val="20"/>
                <w:lang w:val="en-US" w:eastAsia="es-DO"/>
              </w:rPr>
              <w:t>n/e</w:t>
            </w:r>
          </w:p>
        </w:tc>
      </w:tr>
    </w:tbl>
    <w:p w14:paraId="7FEC2A6C" w14:textId="77777777" w:rsidR="00382354" w:rsidRPr="0098414F" w:rsidRDefault="00382354" w:rsidP="00382354">
      <w:pPr>
        <w:spacing w:after="0"/>
        <w:ind w:firstLine="720"/>
        <w:rPr>
          <w:rFonts w:ascii="Times New Roman" w:hAnsi="Times New Roman"/>
        </w:rPr>
      </w:pPr>
      <w:r w:rsidRPr="0098414F">
        <w:rPr>
          <w:rFonts w:ascii="Times New Roman" w:hAnsi="Times New Roman"/>
        </w:rPr>
        <w:br w:type="page"/>
      </w:r>
    </w:p>
    <w:p w14:paraId="222465AD" w14:textId="77777777" w:rsidR="00382354" w:rsidRPr="0098414F" w:rsidRDefault="00382354" w:rsidP="00382354">
      <w:pPr>
        <w:spacing w:after="0"/>
        <w:ind w:firstLine="720"/>
        <w:rPr>
          <w:rFonts w:ascii="Times New Roman" w:hAnsi="Times New Roman"/>
        </w:rPr>
        <w:sectPr w:rsidR="00382354" w:rsidRPr="0098414F" w:rsidSect="00731D0D">
          <w:headerReference w:type="default" r:id="rId120"/>
          <w:pgSz w:w="15840" w:h="12240" w:orient="landscape"/>
          <w:pgMar w:top="851" w:right="1440" w:bottom="1276" w:left="851" w:header="720" w:footer="720" w:gutter="0"/>
          <w:cols w:space="720"/>
          <w:docGrid w:linePitch="360"/>
        </w:sectPr>
      </w:pPr>
    </w:p>
    <w:p w14:paraId="695D5BD0" w14:textId="77777777" w:rsidR="00382354" w:rsidRPr="0098414F" w:rsidRDefault="00382354" w:rsidP="00382354">
      <w:pPr>
        <w:spacing w:after="0" w:line="480" w:lineRule="auto"/>
        <w:jc w:val="center"/>
        <w:rPr>
          <w:rFonts w:ascii="Times New Roman" w:hAnsi="Times New Roman"/>
          <w:b/>
          <w:sz w:val="28"/>
        </w:rPr>
      </w:pPr>
    </w:p>
    <w:p w14:paraId="3D981CB8" w14:textId="77777777" w:rsidR="00382354" w:rsidRPr="0098414F" w:rsidRDefault="00382354" w:rsidP="00382354">
      <w:pPr>
        <w:spacing w:after="0" w:line="480" w:lineRule="auto"/>
        <w:jc w:val="center"/>
        <w:rPr>
          <w:rFonts w:ascii="Times New Roman" w:hAnsi="Times New Roman"/>
          <w:b/>
          <w:sz w:val="28"/>
        </w:rPr>
      </w:pPr>
    </w:p>
    <w:p w14:paraId="0F9296BD" w14:textId="77777777" w:rsidR="00382354" w:rsidRPr="0098414F" w:rsidRDefault="00382354" w:rsidP="00382354">
      <w:pPr>
        <w:spacing w:after="0" w:line="480" w:lineRule="auto"/>
        <w:jc w:val="center"/>
        <w:rPr>
          <w:rFonts w:ascii="Times New Roman" w:hAnsi="Times New Roman"/>
          <w:b/>
          <w:sz w:val="28"/>
        </w:rPr>
      </w:pPr>
    </w:p>
    <w:p w14:paraId="05AD869D" w14:textId="77777777" w:rsidR="00382354" w:rsidRPr="0098414F" w:rsidRDefault="00382354" w:rsidP="00382354">
      <w:pPr>
        <w:spacing w:after="0" w:line="480" w:lineRule="auto"/>
        <w:jc w:val="center"/>
        <w:rPr>
          <w:rFonts w:ascii="Times New Roman" w:hAnsi="Times New Roman"/>
          <w:b/>
          <w:sz w:val="28"/>
        </w:rPr>
      </w:pPr>
    </w:p>
    <w:p w14:paraId="6D11E01E" w14:textId="77777777" w:rsidR="00382354" w:rsidRPr="0098414F" w:rsidRDefault="00382354" w:rsidP="00382354">
      <w:pPr>
        <w:spacing w:after="0" w:line="480" w:lineRule="auto"/>
        <w:jc w:val="center"/>
        <w:rPr>
          <w:rFonts w:ascii="Times New Roman" w:hAnsi="Times New Roman"/>
          <w:b/>
          <w:sz w:val="28"/>
        </w:rPr>
      </w:pPr>
    </w:p>
    <w:p w14:paraId="61CFC9BF" w14:textId="77777777" w:rsidR="00382354" w:rsidRPr="0098414F" w:rsidRDefault="00382354" w:rsidP="00382354">
      <w:pPr>
        <w:spacing w:after="0" w:line="480" w:lineRule="auto"/>
        <w:jc w:val="center"/>
        <w:rPr>
          <w:rFonts w:ascii="Times New Roman" w:hAnsi="Times New Roman"/>
          <w:b/>
          <w:sz w:val="28"/>
        </w:rPr>
      </w:pPr>
      <w:r w:rsidRPr="0098414F">
        <w:rPr>
          <w:rFonts w:ascii="Times New Roman" w:hAnsi="Times New Roman"/>
          <w:b/>
          <w:sz w:val="28"/>
        </w:rPr>
        <w:t xml:space="preserve">Anexo </w:t>
      </w:r>
      <w:r>
        <w:rPr>
          <w:rFonts w:ascii="Times New Roman" w:hAnsi="Times New Roman"/>
          <w:b/>
          <w:sz w:val="28"/>
        </w:rPr>
        <w:t>G</w:t>
      </w:r>
      <w:r w:rsidRPr="0098414F">
        <w:rPr>
          <w:rFonts w:ascii="Times New Roman" w:hAnsi="Times New Roman"/>
          <w:b/>
          <w:sz w:val="28"/>
        </w:rPr>
        <w:t>:</w:t>
      </w:r>
    </w:p>
    <w:p w14:paraId="7B7B7F1F" w14:textId="77777777" w:rsidR="00382354" w:rsidRPr="0098414F" w:rsidRDefault="00382354" w:rsidP="00382354">
      <w:pPr>
        <w:spacing w:after="0" w:line="480" w:lineRule="auto"/>
        <w:jc w:val="center"/>
        <w:rPr>
          <w:rFonts w:ascii="Times New Roman" w:hAnsi="Times New Roman"/>
          <w:b/>
          <w:sz w:val="28"/>
        </w:rPr>
      </w:pPr>
      <w:r w:rsidRPr="0098414F">
        <w:rPr>
          <w:rFonts w:ascii="Times New Roman" w:hAnsi="Times New Roman"/>
          <w:b/>
          <w:sz w:val="28"/>
        </w:rPr>
        <w:t>Relación de avances de Metas Presidenciales</w:t>
      </w:r>
      <w:r>
        <w:rPr>
          <w:rFonts w:ascii="Times New Roman" w:hAnsi="Times New Roman"/>
          <w:b/>
          <w:sz w:val="28"/>
        </w:rPr>
        <w:t xml:space="preserve"> del Sector Agropecuario</w:t>
      </w:r>
      <w:r>
        <w:rPr>
          <w:rFonts w:ascii="Times New Roman" w:hAnsi="Times New Roman"/>
          <w:b/>
          <w:sz w:val="28"/>
        </w:rPr>
        <w:br/>
      </w:r>
      <w:r w:rsidRPr="0098414F">
        <w:rPr>
          <w:rFonts w:ascii="Times New Roman" w:hAnsi="Times New Roman"/>
          <w:b/>
          <w:sz w:val="28"/>
        </w:rPr>
        <w:t xml:space="preserve"> Plan de Gobierno 2016-2020</w:t>
      </w:r>
    </w:p>
    <w:p w14:paraId="4BC8C731" w14:textId="77777777" w:rsidR="00382354" w:rsidRPr="0098414F" w:rsidRDefault="00382354" w:rsidP="00382354">
      <w:pPr>
        <w:spacing w:after="0" w:line="480" w:lineRule="auto"/>
        <w:jc w:val="center"/>
        <w:rPr>
          <w:rFonts w:ascii="Times New Roman" w:hAnsi="Times New Roman"/>
          <w:b/>
          <w:sz w:val="28"/>
        </w:rPr>
      </w:pPr>
    </w:p>
    <w:p w14:paraId="708E7140" w14:textId="77777777" w:rsidR="00382354" w:rsidRPr="0098414F" w:rsidRDefault="00382354" w:rsidP="00382354">
      <w:pPr>
        <w:spacing w:after="0" w:line="480" w:lineRule="auto"/>
        <w:jc w:val="center"/>
        <w:rPr>
          <w:rFonts w:ascii="Times New Roman" w:hAnsi="Times New Roman"/>
          <w:b/>
          <w:sz w:val="28"/>
        </w:rPr>
      </w:pPr>
    </w:p>
    <w:p w14:paraId="239B84E9" w14:textId="77777777" w:rsidR="00382354" w:rsidRPr="0098414F" w:rsidRDefault="00382354" w:rsidP="00382354">
      <w:pPr>
        <w:spacing w:after="0"/>
        <w:ind w:firstLine="720"/>
        <w:rPr>
          <w:rFonts w:ascii="Times New Roman" w:hAnsi="Times New Roman"/>
          <w:b/>
          <w:bCs/>
          <w:szCs w:val="20"/>
          <w:lang w:eastAsia="es-DO"/>
        </w:rPr>
      </w:pPr>
    </w:p>
    <w:p w14:paraId="20469E69" w14:textId="77777777" w:rsidR="00382354" w:rsidRPr="0098414F" w:rsidRDefault="00382354" w:rsidP="00382354">
      <w:pPr>
        <w:spacing w:after="0"/>
        <w:rPr>
          <w:rFonts w:ascii="Times New Roman" w:hAnsi="Times New Roman"/>
          <w:b/>
          <w:bCs/>
          <w:szCs w:val="20"/>
          <w:lang w:eastAsia="es-DO"/>
        </w:rPr>
        <w:sectPr w:rsidR="00382354" w:rsidRPr="0098414F" w:rsidSect="00CB04D4">
          <w:headerReference w:type="default" r:id="rId121"/>
          <w:pgSz w:w="15840" w:h="12240" w:orient="landscape"/>
          <w:pgMar w:top="1276" w:right="851" w:bottom="851" w:left="1440" w:header="720" w:footer="720" w:gutter="0"/>
          <w:cols w:space="720"/>
          <w:docGrid w:linePitch="360"/>
        </w:sectPr>
      </w:pPr>
      <w:r w:rsidRPr="0098414F">
        <w:rPr>
          <w:rFonts w:ascii="Times New Roman" w:hAnsi="Times New Roman"/>
          <w:noProof/>
          <w:lang w:eastAsia="es-DO"/>
        </w:rPr>
        <mc:AlternateContent>
          <mc:Choice Requires="wps">
            <w:drawing>
              <wp:anchor distT="0" distB="0" distL="114300" distR="114300" simplePos="0" relativeHeight="251723776" behindDoc="0" locked="0" layoutInCell="1" allowOverlap="1" wp14:anchorId="33587F28" wp14:editId="6512E677">
                <wp:simplePos x="0" y="0"/>
                <wp:positionH relativeFrom="margin">
                  <wp:posOffset>7221111</wp:posOffset>
                </wp:positionH>
                <wp:positionV relativeFrom="paragraph">
                  <wp:posOffset>1511300</wp:posOffset>
                </wp:positionV>
                <wp:extent cx="1402715" cy="425450"/>
                <wp:effectExtent l="0" t="0" r="26035" b="12700"/>
                <wp:wrapNone/>
                <wp:docPr id="16" name="4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71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61BE80E" id="48 Rectángulo" o:spid="_x0000_s1026" style="position:absolute;margin-left:568.6pt;margin-top:119pt;width:110.45pt;height:33.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" fillcolor="white [3212]" strokecolor="white [3212]" strokeweight="2pt">
                <v:path arrowok="t"/>
                <w10:wrap anchorx="margin"/>
              </v:rect>
            </w:pict>
          </mc:Fallback>
        </mc:AlternateContent>
      </w:r>
      <w:r w:rsidRPr="0098414F">
        <w:rPr>
          <w:rFonts w:ascii="Times New Roman" w:hAnsi="Times New Roman"/>
          <w:noProof/>
          <w:lang w:eastAsia="es-DO"/>
        </w:rPr>
        <mc:AlternateContent>
          <mc:Choice Requires="wps">
            <w:drawing>
              <wp:anchor distT="0" distB="0" distL="114300" distR="114300" simplePos="0" relativeHeight="251721728" behindDoc="0" locked="0" layoutInCell="1" allowOverlap="1" wp14:anchorId="21204145" wp14:editId="6D74A5F7">
                <wp:simplePos x="0" y="0"/>
                <wp:positionH relativeFrom="column">
                  <wp:posOffset>7141845</wp:posOffset>
                </wp:positionH>
                <wp:positionV relativeFrom="paragraph">
                  <wp:posOffset>1957070</wp:posOffset>
                </wp:positionV>
                <wp:extent cx="1560830" cy="425450"/>
                <wp:effectExtent l="0" t="0" r="20320" b="12700"/>
                <wp:wrapNone/>
                <wp:docPr id="49" name="4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0830"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641623D" id="49 Rectángulo" o:spid="_x0000_s1026" style="position:absolute;margin-left:562.35pt;margin-top:154.1pt;width:122.9pt;height:3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" fillcolor="white [3212]" strokecolor="white [3212]" strokeweight="2pt">
                <v:path arrowok="t"/>
              </v:rect>
            </w:pict>
          </mc:Fallback>
        </mc:AlternateContent>
      </w:r>
      <w:r w:rsidRPr="0098414F">
        <w:rPr>
          <w:rFonts w:ascii="Times New Roman" w:hAnsi="Times New Roman"/>
          <w:b/>
          <w:bCs/>
          <w:szCs w:val="20"/>
          <w:lang w:eastAsia="es-DO"/>
        </w:rPr>
        <w:br w:type="page"/>
      </w:r>
    </w:p>
    <w:tbl>
      <w:tblPr>
        <w:tblW w:w="5000" w:type="pct"/>
        <w:tblLook w:val="04A0" w:firstRow="1" w:lastRow="0" w:firstColumn="1" w:lastColumn="0" w:noHBand="0" w:noVBand="1"/>
      </w:tblPr>
      <w:tblGrid>
        <w:gridCol w:w="1805"/>
        <w:gridCol w:w="95"/>
        <w:gridCol w:w="1503"/>
        <w:gridCol w:w="198"/>
        <w:gridCol w:w="5237"/>
        <w:gridCol w:w="100"/>
        <w:gridCol w:w="913"/>
        <w:gridCol w:w="92"/>
        <w:gridCol w:w="1538"/>
        <w:gridCol w:w="106"/>
        <w:gridCol w:w="1952"/>
      </w:tblGrid>
      <w:tr w:rsidR="00382354" w:rsidRPr="00240F6E" w14:paraId="635C8256" w14:textId="77777777" w:rsidTr="007C7256">
        <w:trPr>
          <w:trHeight w:val="85"/>
        </w:trPr>
        <w:tc>
          <w:tcPr>
            <w:tcW w:w="702" w:type="pct"/>
            <w:gridSpan w:val="2"/>
            <w:tcBorders>
              <w:top w:val="single" w:sz="4" w:space="0" w:color="auto"/>
              <w:left w:val="single" w:sz="4" w:space="0" w:color="auto"/>
              <w:bottom w:val="single" w:sz="4" w:space="0" w:color="auto"/>
              <w:right w:val="single" w:sz="4" w:space="0" w:color="auto"/>
            </w:tcBorders>
            <w:shd w:val="clear" w:color="auto" w:fill="00B050"/>
            <w:vAlign w:val="center"/>
            <w:hideMark/>
          </w:tcPr>
          <w:p w14:paraId="5037EBB9" w14:textId="77777777" w:rsidR="00382354" w:rsidRPr="00D837D0" w:rsidRDefault="00382354" w:rsidP="005F634F">
            <w:pPr>
              <w:spacing w:after="0"/>
              <w:jc w:val="center"/>
              <w:rPr>
                <w:rFonts w:ascii="Times New Roman" w:hAnsi="Times New Roman"/>
                <w:b/>
                <w:bCs/>
                <w:color w:val="FFFFFF" w:themeColor="background1"/>
                <w:sz w:val="22"/>
                <w:szCs w:val="22"/>
                <w:lang w:eastAsia="en-US"/>
              </w:rPr>
            </w:pPr>
            <w:r w:rsidRPr="00D837D0">
              <w:rPr>
                <w:rFonts w:ascii="Times New Roman" w:hAnsi="Times New Roman"/>
                <w:b/>
                <w:bCs/>
                <w:color w:val="FFFFFF" w:themeColor="background1"/>
                <w:sz w:val="22"/>
                <w:szCs w:val="22"/>
                <w:lang w:eastAsia="en-US"/>
              </w:rPr>
              <w:lastRenderedPageBreak/>
              <w:t>Meta(s) Presidencial(es)</w:t>
            </w:r>
          </w:p>
        </w:tc>
        <w:tc>
          <w:tcPr>
            <w:tcW w:w="555" w:type="pct"/>
            <w:tcBorders>
              <w:top w:val="single" w:sz="4" w:space="0" w:color="auto"/>
              <w:left w:val="nil"/>
              <w:bottom w:val="single" w:sz="4" w:space="0" w:color="auto"/>
              <w:right w:val="single" w:sz="4" w:space="0" w:color="auto"/>
            </w:tcBorders>
            <w:shd w:val="clear" w:color="auto" w:fill="00B050"/>
            <w:vAlign w:val="center"/>
            <w:hideMark/>
          </w:tcPr>
          <w:p w14:paraId="0C5B0049" w14:textId="77777777" w:rsidR="00382354" w:rsidRPr="00D837D0" w:rsidRDefault="00382354" w:rsidP="005F634F">
            <w:pPr>
              <w:spacing w:after="0"/>
              <w:jc w:val="center"/>
              <w:rPr>
                <w:rFonts w:ascii="Times New Roman" w:hAnsi="Times New Roman"/>
                <w:b/>
                <w:bCs/>
                <w:color w:val="FFFFFF" w:themeColor="background1"/>
                <w:sz w:val="22"/>
                <w:szCs w:val="22"/>
                <w:lang w:eastAsia="en-US"/>
              </w:rPr>
            </w:pPr>
            <w:r w:rsidRPr="00D837D0">
              <w:rPr>
                <w:rFonts w:ascii="Times New Roman" w:hAnsi="Times New Roman"/>
                <w:b/>
                <w:bCs/>
                <w:color w:val="FFFFFF" w:themeColor="background1"/>
                <w:sz w:val="22"/>
                <w:szCs w:val="22"/>
                <w:lang w:eastAsia="en-US"/>
              </w:rPr>
              <w:t>Institución Responsable</w:t>
            </w:r>
          </w:p>
        </w:tc>
        <w:tc>
          <w:tcPr>
            <w:tcW w:w="2007" w:type="pct"/>
            <w:gridSpan w:val="2"/>
            <w:tcBorders>
              <w:top w:val="single" w:sz="4" w:space="0" w:color="auto"/>
              <w:left w:val="nil"/>
              <w:bottom w:val="single" w:sz="4" w:space="0" w:color="auto"/>
              <w:right w:val="single" w:sz="4" w:space="0" w:color="auto"/>
            </w:tcBorders>
            <w:shd w:val="clear" w:color="auto" w:fill="00B050"/>
            <w:vAlign w:val="center"/>
            <w:hideMark/>
          </w:tcPr>
          <w:p w14:paraId="1A26AF76" w14:textId="77777777" w:rsidR="00382354" w:rsidRPr="00D837D0" w:rsidRDefault="00382354" w:rsidP="005F634F">
            <w:pPr>
              <w:spacing w:after="0"/>
              <w:jc w:val="center"/>
              <w:rPr>
                <w:rFonts w:ascii="Times New Roman" w:hAnsi="Times New Roman"/>
                <w:b/>
                <w:bCs/>
                <w:color w:val="FFFFFF" w:themeColor="background1"/>
                <w:sz w:val="22"/>
                <w:szCs w:val="22"/>
                <w:lang w:eastAsia="en-US"/>
              </w:rPr>
            </w:pPr>
            <w:r w:rsidRPr="00D837D0">
              <w:rPr>
                <w:rFonts w:ascii="Times New Roman" w:hAnsi="Times New Roman"/>
                <w:b/>
                <w:bCs/>
                <w:color w:val="FFFFFF" w:themeColor="background1"/>
                <w:sz w:val="22"/>
                <w:szCs w:val="22"/>
                <w:lang w:eastAsia="en-US"/>
              </w:rPr>
              <w:t>Logros Acumulados</w:t>
            </w:r>
            <w:r w:rsidRPr="00D837D0">
              <w:rPr>
                <w:rStyle w:val="Refdenotaalpie"/>
                <w:rFonts w:ascii="Times New Roman" w:hAnsi="Times New Roman"/>
                <w:b/>
                <w:bCs/>
                <w:color w:val="FFFFFF" w:themeColor="background1"/>
                <w:sz w:val="22"/>
                <w:szCs w:val="22"/>
                <w:lang w:eastAsia="en-US"/>
              </w:rPr>
              <w:footnoteReference w:id="46"/>
            </w:r>
            <w:r w:rsidRPr="00D837D0">
              <w:rPr>
                <w:rFonts w:ascii="Times New Roman" w:hAnsi="Times New Roman"/>
                <w:b/>
                <w:bCs/>
                <w:color w:val="FFFFFF" w:themeColor="background1"/>
                <w:sz w:val="22"/>
                <w:szCs w:val="22"/>
                <w:lang w:eastAsia="en-US"/>
              </w:rPr>
              <w:t xml:space="preserve"> </w:t>
            </w:r>
            <w:r w:rsidRPr="00D837D0">
              <w:rPr>
                <w:rFonts w:ascii="Times New Roman" w:hAnsi="Times New Roman"/>
                <w:b/>
                <w:bCs/>
                <w:color w:val="FFFFFF" w:themeColor="background1"/>
                <w:sz w:val="22"/>
                <w:szCs w:val="22"/>
                <w:lang w:val="en-US" w:eastAsia="en-US"/>
              </w:rPr>
              <w:t>2016 - 2019</w:t>
            </w:r>
          </w:p>
        </w:tc>
        <w:tc>
          <w:tcPr>
            <w:tcW w:w="374" w:type="pct"/>
            <w:gridSpan w:val="2"/>
            <w:tcBorders>
              <w:top w:val="single" w:sz="4" w:space="0" w:color="auto"/>
              <w:left w:val="nil"/>
              <w:bottom w:val="single" w:sz="4" w:space="0" w:color="auto"/>
              <w:right w:val="single" w:sz="4" w:space="0" w:color="auto"/>
            </w:tcBorders>
            <w:shd w:val="clear" w:color="auto" w:fill="00B050"/>
            <w:vAlign w:val="center"/>
            <w:hideMark/>
          </w:tcPr>
          <w:p w14:paraId="59260B85" w14:textId="77777777" w:rsidR="00382354" w:rsidRPr="00D837D0" w:rsidRDefault="00382354" w:rsidP="005F634F">
            <w:pPr>
              <w:spacing w:after="0"/>
              <w:jc w:val="center"/>
              <w:rPr>
                <w:rFonts w:ascii="Times New Roman" w:hAnsi="Times New Roman"/>
                <w:b/>
                <w:bCs/>
                <w:color w:val="FFFFFF" w:themeColor="background1"/>
                <w:sz w:val="22"/>
                <w:szCs w:val="22"/>
                <w:lang w:eastAsia="en-US"/>
              </w:rPr>
            </w:pPr>
            <w:r w:rsidRPr="00D837D0">
              <w:rPr>
                <w:rFonts w:ascii="Times New Roman" w:hAnsi="Times New Roman"/>
                <w:b/>
                <w:bCs/>
                <w:color w:val="FFFFFF" w:themeColor="background1"/>
                <w:sz w:val="22"/>
                <w:szCs w:val="22"/>
                <w:lang w:eastAsia="en-US"/>
              </w:rPr>
              <w:t>Estado</w:t>
            </w:r>
          </w:p>
        </w:tc>
        <w:tc>
          <w:tcPr>
            <w:tcW w:w="602" w:type="pct"/>
            <w:gridSpan w:val="2"/>
            <w:tcBorders>
              <w:top w:val="single" w:sz="4" w:space="0" w:color="auto"/>
              <w:left w:val="nil"/>
              <w:bottom w:val="single" w:sz="4" w:space="0" w:color="auto"/>
              <w:right w:val="single" w:sz="4" w:space="0" w:color="auto"/>
            </w:tcBorders>
            <w:shd w:val="clear" w:color="auto" w:fill="00B050"/>
            <w:vAlign w:val="center"/>
            <w:hideMark/>
          </w:tcPr>
          <w:p w14:paraId="2394DC5D" w14:textId="77777777" w:rsidR="00382354" w:rsidRPr="00D837D0" w:rsidRDefault="00382354" w:rsidP="005F634F">
            <w:pPr>
              <w:spacing w:after="0"/>
              <w:jc w:val="center"/>
              <w:rPr>
                <w:rFonts w:ascii="Times New Roman" w:hAnsi="Times New Roman"/>
                <w:b/>
                <w:bCs/>
                <w:color w:val="FFFFFF" w:themeColor="background1"/>
                <w:sz w:val="22"/>
                <w:szCs w:val="22"/>
                <w:lang w:eastAsia="en-US"/>
              </w:rPr>
            </w:pPr>
            <w:r w:rsidRPr="00D837D0">
              <w:rPr>
                <w:rFonts w:ascii="Times New Roman" w:hAnsi="Times New Roman"/>
                <w:b/>
                <w:bCs/>
                <w:color w:val="FFFFFF" w:themeColor="background1"/>
                <w:sz w:val="22"/>
                <w:szCs w:val="22"/>
                <w:lang w:eastAsia="en-US"/>
              </w:rPr>
              <w:t>Alertas y Restricciones</w:t>
            </w:r>
          </w:p>
        </w:tc>
        <w:tc>
          <w:tcPr>
            <w:tcW w:w="759" w:type="pct"/>
            <w:gridSpan w:val="2"/>
            <w:tcBorders>
              <w:top w:val="single" w:sz="4" w:space="0" w:color="auto"/>
              <w:left w:val="nil"/>
              <w:bottom w:val="single" w:sz="4" w:space="0" w:color="auto"/>
              <w:right w:val="single" w:sz="4" w:space="0" w:color="auto"/>
            </w:tcBorders>
            <w:shd w:val="clear" w:color="auto" w:fill="00B050"/>
            <w:vAlign w:val="center"/>
            <w:hideMark/>
          </w:tcPr>
          <w:p w14:paraId="20D6969B" w14:textId="77777777" w:rsidR="00382354" w:rsidRPr="00D837D0" w:rsidRDefault="00382354" w:rsidP="005F634F">
            <w:pPr>
              <w:spacing w:after="0"/>
              <w:jc w:val="center"/>
              <w:rPr>
                <w:rFonts w:ascii="Times New Roman" w:hAnsi="Times New Roman"/>
                <w:b/>
                <w:bCs/>
                <w:color w:val="FFFFFF" w:themeColor="background1"/>
                <w:sz w:val="22"/>
                <w:szCs w:val="22"/>
                <w:lang w:eastAsia="en-US"/>
              </w:rPr>
            </w:pPr>
            <w:r w:rsidRPr="00D837D0">
              <w:rPr>
                <w:rFonts w:ascii="Times New Roman" w:hAnsi="Times New Roman"/>
                <w:b/>
                <w:bCs/>
                <w:color w:val="FFFFFF" w:themeColor="background1"/>
                <w:sz w:val="22"/>
                <w:szCs w:val="22"/>
                <w:lang w:eastAsia="en-US"/>
              </w:rPr>
              <w:t>Acciones pendientes y próximos pasos</w:t>
            </w:r>
          </w:p>
        </w:tc>
      </w:tr>
      <w:tr w:rsidR="00382354" w:rsidRPr="00A57704" w14:paraId="69FAEC5B" w14:textId="77777777" w:rsidTr="007C7256">
        <w:trPr>
          <w:trHeight w:val="1005"/>
        </w:trPr>
        <w:tc>
          <w:tcPr>
            <w:tcW w:w="702" w:type="pct"/>
            <w:gridSpan w:val="2"/>
            <w:tcBorders>
              <w:top w:val="nil"/>
              <w:left w:val="single" w:sz="4" w:space="0" w:color="auto"/>
              <w:bottom w:val="single" w:sz="4" w:space="0" w:color="auto"/>
              <w:right w:val="single" w:sz="4" w:space="0" w:color="auto"/>
            </w:tcBorders>
            <w:shd w:val="clear" w:color="auto" w:fill="auto"/>
            <w:vAlign w:val="center"/>
            <w:hideMark/>
          </w:tcPr>
          <w:p w14:paraId="6F0108C3"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Financiamiento a proyectos de generación y/o validación de tecnologías agropecuarias y forestales.</w:t>
            </w:r>
          </w:p>
        </w:tc>
        <w:tc>
          <w:tcPr>
            <w:tcW w:w="555" w:type="pct"/>
            <w:tcBorders>
              <w:top w:val="nil"/>
              <w:left w:val="nil"/>
              <w:bottom w:val="single" w:sz="4" w:space="0" w:color="auto"/>
              <w:right w:val="single" w:sz="4" w:space="0" w:color="auto"/>
            </w:tcBorders>
            <w:shd w:val="clear" w:color="auto" w:fill="auto"/>
            <w:noWrap/>
            <w:vAlign w:val="center"/>
            <w:hideMark/>
          </w:tcPr>
          <w:p w14:paraId="15BA13C8"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CONIAF</w:t>
            </w:r>
          </w:p>
        </w:tc>
        <w:tc>
          <w:tcPr>
            <w:tcW w:w="2007" w:type="pct"/>
            <w:gridSpan w:val="2"/>
            <w:tcBorders>
              <w:top w:val="nil"/>
              <w:left w:val="nil"/>
              <w:bottom w:val="single" w:sz="4" w:space="0" w:color="auto"/>
              <w:right w:val="single" w:sz="4" w:space="0" w:color="auto"/>
            </w:tcBorders>
            <w:shd w:val="clear" w:color="auto" w:fill="auto"/>
            <w:vAlign w:val="center"/>
            <w:hideMark/>
          </w:tcPr>
          <w:p w14:paraId="1E95ABB6" w14:textId="333CB32D" w:rsidR="00382354" w:rsidRPr="00A57704" w:rsidRDefault="00382354" w:rsidP="008E580C">
            <w:pPr>
              <w:spacing w:after="0"/>
              <w:rPr>
                <w:rFonts w:ascii="Times New Roman" w:hAnsi="Times New Roman"/>
                <w:color w:val="000000"/>
                <w:sz w:val="22"/>
                <w:szCs w:val="22"/>
                <w:lang w:val="en-US" w:eastAsia="en-US"/>
              </w:rPr>
            </w:pPr>
            <w:r w:rsidRPr="00A57704">
              <w:rPr>
                <w:rFonts w:ascii="Times New Roman" w:hAnsi="Times New Roman"/>
                <w:color w:val="000000"/>
              </w:rPr>
              <w:t xml:space="preserve">▪ (45) transferencia de tecnologías agropecuarias. </w:t>
            </w:r>
            <w:r w:rsidRPr="00A57704">
              <w:rPr>
                <w:rFonts w:ascii="Times New Roman" w:hAnsi="Times New Roman"/>
                <w:color w:val="000000"/>
              </w:rPr>
              <w:br/>
              <w:t>▪ (133) capacitaciones dedicado a transferencia.</w:t>
            </w:r>
            <w:r w:rsidRPr="00A57704">
              <w:rPr>
                <w:rFonts w:ascii="Times New Roman" w:hAnsi="Times New Roman"/>
                <w:color w:val="000000"/>
              </w:rPr>
              <w:br/>
              <w:t>▪ (</w:t>
            </w:r>
            <w:r w:rsidR="008E580C">
              <w:rPr>
                <w:rFonts w:ascii="Times New Roman" w:hAnsi="Times New Roman"/>
                <w:color w:val="000000"/>
              </w:rPr>
              <w:t>5,640</w:t>
            </w:r>
            <w:r w:rsidRPr="00A57704">
              <w:rPr>
                <w:rFonts w:ascii="Times New Roman" w:hAnsi="Times New Roman"/>
                <w:color w:val="000000"/>
              </w:rPr>
              <w:t>)</w:t>
            </w:r>
            <w:r w:rsidR="008E580C">
              <w:rPr>
                <w:rFonts w:ascii="Times New Roman" w:hAnsi="Times New Roman"/>
                <w:color w:val="000000"/>
              </w:rPr>
              <w:t xml:space="preserve"> Productores líderes y </w:t>
            </w:r>
            <w:r w:rsidRPr="00A57704">
              <w:rPr>
                <w:rFonts w:ascii="Times New Roman" w:hAnsi="Times New Roman"/>
                <w:color w:val="000000"/>
              </w:rPr>
              <w:t>técnicos capacitados.</w:t>
            </w:r>
          </w:p>
        </w:tc>
        <w:tc>
          <w:tcPr>
            <w:tcW w:w="374" w:type="pct"/>
            <w:gridSpan w:val="2"/>
            <w:tcBorders>
              <w:top w:val="nil"/>
              <w:left w:val="nil"/>
              <w:bottom w:val="single" w:sz="4" w:space="0" w:color="auto"/>
              <w:right w:val="single" w:sz="4" w:space="0" w:color="auto"/>
            </w:tcBorders>
            <w:shd w:val="clear" w:color="auto" w:fill="auto"/>
            <w:vAlign w:val="center"/>
            <w:hideMark/>
          </w:tcPr>
          <w:p w14:paraId="6EE9269A"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Gestión normal</w:t>
            </w:r>
          </w:p>
        </w:tc>
        <w:tc>
          <w:tcPr>
            <w:tcW w:w="602" w:type="pct"/>
            <w:gridSpan w:val="2"/>
            <w:tcBorders>
              <w:top w:val="nil"/>
              <w:left w:val="nil"/>
              <w:bottom w:val="single" w:sz="4" w:space="0" w:color="auto"/>
              <w:right w:val="single" w:sz="4" w:space="0" w:color="auto"/>
            </w:tcBorders>
            <w:shd w:val="clear" w:color="auto" w:fill="auto"/>
            <w:vAlign w:val="center"/>
            <w:hideMark/>
          </w:tcPr>
          <w:p w14:paraId="017AD8B6"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n/a</w:t>
            </w:r>
          </w:p>
        </w:tc>
        <w:tc>
          <w:tcPr>
            <w:tcW w:w="759" w:type="pct"/>
            <w:gridSpan w:val="2"/>
            <w:tcBorders>
              <w:top w:val="nil"/>
              <w:left w:val="nil"/>
              <w:bottom w:val="single" w:sz="4" w:space="0" w:color="auto"/>
              <w:right w:val="single" w:sz="4" w:space="0" w:color="auto"/>
            </w:tcBorders>
            <w:shd w:val="clear" w:color="auto" w:fill="auto"/>
            <w:vAlign w:val="center"/>
            <w:hideMark/>
          </w:tcPr>
          <w:p w14:paraId="60D86DD8" w14:textId="77777777" w:rsidR="00382354" w:rsidRPr="00A57704" w:rsidRDefault="00382354" w:rsidP="005F634F">
            <w:pPr>
              <w:spacing w:after="0"/>
              <w:jc w:val="center"/>
              <w:rPr>
                <w:rFonts w:ascii="Times New Roman" w:hAnsi="Times New Roman"/>
                <w:color w:val="000000"/>
                <w:sz w:val="22"/>
                <w:szCs w:val="22"/>
                <w:lang w:eastAsia="en-US"/>
              </w:rPr>
            </w:pPr>
            <w:r w:rsidRPr="00A57704">
              <w:rPr>
                <w:rFonts w:ascii="Times New Roman" w:hAnsi="Times New Roman"/>
                <w:color w:val="000000"/>
                <w:sz w:val="22"/>
              </w:rPr>
              <w:t>▪ Aprobación de fondo por el MEPYD, metas sometidas en calidad de Proyectos de Inversión</w:t>
            </w:r>
          </w:p>
        </w:tc>
      </w:tr>
      <w:tr w:rsidR="00382354" w:rsidRPr="00A57704" w14:paraId="2FB50B2A" w14:textId="77777777" w:rsidTr="007C7256">
        <w:trPr>
          <w:trHeight w:val="1200"/>
        </w:trPr>
        <w:tc>
          <w:tcPr>
            <w:tcW w:w="702" w:type="pct"/>
            <w:gridSpan w:val="2"/>
            <w:tcBorders>
              <w:top w:val="nil"/>
              <w:left w:val="single" w:sz="4" w:space="0" w:color="auto"/>
              <w:bottom w:val="single" w:sz="4" w:space="0" w:color="auto"/>
              <w:right w:val="single" w:sz="4" w:space="0" w:color="auto"/>
            </w:tcBorders>
            <w:shd w:val="clear" w:color="auto" w:fill="auto"/>
            <w:vAlign w:val="center"/>
            <w:hideMark/>
          </w:tcPr>
          <w:p w14:paraId="5A4A5226"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Creación de capacidades para el desarrollo sostenible de la caficultura</w:t>
            </w:r>
          </w:p>
        </w:tc>
        <w:tc>
          <w:tcPr>
            <w:tcW w:w="555" w:type="pct"/>
            <w:tcBorders>
              <w:top w:val="nil"/>
              <w:left w:val="nil"/>
              <w:bottom w:val="single" w:sz="4" w:space="0" w:color="auto"/>
              <w:right w:val="single" w:sz="4" w:space="0" w:color="auto"/>
            </w:tcBorders>
            <w:shd w:val="clear" w:color="auto" w:fill="auto"/>
            <w:noWrap/>
            <w:vAlign w:val="center"/>
            <w:hideMark/>
          </w:tcPr>
          <w:p w14:paraId="703E55A4"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INDOCAFE</w:t>
            </w:r>
          </w:p>
        </w:tc>
        <w:tc>
          <w:tcPr>
            <w:tcW w:w="2007" w:type="pct"/>
            <w:gridSpan w:val="2"/>
            <w:tcBorders>
              <w:top w:val="nil"/>
              <w:left w:val="nil"/>
              <w:bottom w:val="single" w:sz="4" w:space="0" w:color="auto"/>
              <w:right w:val="single" w:sz="4" w:space="0" w:color="auto"/>
            </w:tcBorders>
            <w:shd w:val="clear" w:color="auto" w:fill="auto"/>
            <w:vAlign w:val="bottom"/>
            <w:hideMark/>
          </w:tcPr>
          <w:p w14:paraId="22686C9E" w14:textId="0BE60491" w:rsidR="00382354" w:rsidRPr="00A57704" w:rsidRDefault="00382354" w:rsidP="008E580C">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w:t>
            </w:r>
            <w:r w:rsidRPr="00A57704">
              <w:rPr>
                <w:rFonts w:ascii="Times New Roman" w:hAnsi="Times New Roman"/>
                <w:color w:val="000000"/>
                <w:sz w:val="19"/>
                <w:szCs w:val="19"/>
                <w:lang w:eastAsia="en-US"/>
              </w:rPr>
              <w:t xml:space="preserve"> (</w:t>
            </w:r>
            <w:r w:rsidRPr="00A57704">
              <w:rPr>
                <w:rFonts w:ascii="Times New Roman" w:hAnsi="Times New Roman"/>
                <w:color w:val="000000"/>
                <w:sz w:val="22"/>
                <w:szCs w:val="22"/>
                <w:lang w:eastAsia="en-US"/>
              </w:rPr>
              <w:t>7) capacitaciones sobre el sistema de alerta temprana para la roya del café (SATCAFE).</w:t>
            </w:r>
            <w:r w:rsidRPr="00A57704">
              <w:rPr>
                <w:rFonts w:ascii="Times New Roman" w:hAnsi="Times New Roman"/>
                <w:color w:val="000000"/>
                <w:sz w:val="22"/>
                <w:szCs w:val="22"/>
                <w:lang w:eastAsia="en-US"/>
              </w:rPr>
              <w:br/>
              <w:t>▪ (2 ) capacitaciones sobre producción sostenible de plantas de café.</w:t>
            </w:r>
            <w:r w:rsidRPr="00A57704">
              <w:rPr>
                <w:rFonts w:ascii="Times New Roman" w:hAnsi="Times New Roman"/>
                <w:color w:val="000000"/>
                <w:sz w:val="22"/>
                <w:szCs w:val="22"/>
                <w:lang w:eastAsia="en-US"/>
              </w:rPr>
              <w:br/>
              <w:t>▪ (</w:t>
            </w:r>
            <w:r w:rsidR="008E580C">
              <w:rPr>
                <w:rFonts w:ascii="Times New Roman" w:hAnsi="Times New Roman"/>
                <w:color w:val="000000"/>
                <w:sz w:val="22"/>
                <w:szCs w:val="22"/>
                <w:lang w:eastAsia="en-US"/>
              </w:rPr>
              <w:t>280</w:t>
            </w:r>
            <w:r w:rsidRPr="00A57704">
              <w:rPr>
                <w:rFonts w:ascii="Times New Roman" w:hAnsi="Times New Roman"/>
                <w:color w:val="000000"/>
                <w:sz w:val="22"/>
                <w:szCs w:val="22"/>
                <w:lang w:eastAsia="en-US"/>
              </w:rPr>
              <w:t xml:space="preserve">) productores </w:t>
            </w:r>
            <w:r w:rsidR="008E580C">
              <w:rPr>
                <w:rFonts w:ascii="Times New Roman" w:hAnsi="Times New Roman"/>
                <w:color w:val="000000"/>
                <w:sz w:val="22"/>
                <w:szCs w:val="22"/>
                <w:lang w:eastAsia="en-US"/>
              </w:rPr>
              <w:t>capacitados en el cultivo del café en centros Norte y Sur</w:t>
            </w:r>
            <w:r w:rsidRPr="00A57704">
              <w:rPr>
                <w:rFonts w:ascii="Times New Roman" w:hAnsi="Times New Roman"/>
                <w:color w:val="000000"/>
                <w:sz w:val="22"/>
                <w:szCs w:val="22"/>
                <w:lang w:eastAsia="en-US"/>
              </w:rPr>
              <w:t>.</w:t>
            </w:r>
            <w:r w:rsidRPr="00A57704">
              <w:rPr>
                <w:rFonts w:ascii="Times New Roman" w:hAnsi="Times New Roman"/>
                <w:color w:val="000000"/>
                <w:sz w:val="22"/>
                <w:szCs w:val="22"/>
                <w:lang w:eastAsia="en-US"/>
              </w:rPr>
              <w:br/>
              <w:t>▪ rehabilitación de (2) infraestructuras, centro la lanza y centro la cumbre.</w:t>
            </w:r>
          </w:p>
        </w:tc>
        <w:tc>
          <w:tcPr>
            <w:tcW w:w="374" w:type="pct"/>
            <w:gridSpan w:val="2"/>
            <w:tcBorders>
              <w:top w:val="nil"/>
              <w:left w:val="nil"/>
              <w:bottom w:val="single" w:sz="4" w:space="0" w:color="auto"/>
              <w:right w:val="single" w:sz="4" w:space="0" w:color="auto"/>
            </w:tcBorders>
            <w:shd w:val="clear" w:color="auto" w:fill="auto"/>
            <w:vAlign w:val="center"/>
            <w:hideMark/>
          </w:tcPr>
          <w:p w14:paraId="1B1B9C94"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Gestión atrasada</w:t>
            </w:r>
          </w:p>
        </w:tc>
        <w:tc>
          <w:tcPr>
            <w:tcW w:w="602" w:type="pct"/>
            <w:gridSpan w:val="2"/>
            <w:tcBorders>
              <w:top w:val="nil"/>
              <w:left w:val="nil"/>
              <w:bottom w:val="single" w:sz="4" w:space="0" w:color="auto"/>
              <w:right w:val="single" w:sz="4" w:space="0" w:color="auto"/>
            </w:tcBorders>
            <w:shd w:val="clear" w:color="auto" w:fill="auto"/>
            <w:vAlign w:val="center"/>
            <w:hideMark/>
          </w:tcPr>
          <w:p w14:paraId="0D528F91"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Disponibilidad de recursos</w:t>
            </w:r>
          </w:p>
        </w:tc>
        <w:tc>
          <w:tcPr>
            <w:tcW w:w="759" w:type="pct"/>
            <w:gridSpan w:val="2"/>
            <w:tcBorders>
              <w:top w:val="nil"/>
              <w:left w:val="nil"/>
              <w:bottom w:val="single" w:sz="4" w:space="0" w:color="auto"/>
              <w:right w:val="single" w:sz="4" w:space="0" w:color="auto"/>
            </w:tcBorders>
            <w:shd w:val="clear" w:color="auto" w:fill="auto"/>
            <w:vAlign w:val="center"/>
            <w:hideMark/>
          </w:tcPr>
          <w:p w14:paraId="335A7130" w14:textId="77777777" w:rsidR="00382354" w:rsidRPr="00A57704" w:rsidRDefault="00382354" w:rsidP="005F634F">
            <w:pPr>
              <w:spacing w:after="0"/>
              <w:jc w:val="center"/>
              <w:rPr>
                <w:rFonts w:ascii="Times New Roman" w:hAnsi="Times New Roman"/>
                <w:color w:val="000000"/>
                <w:sz w:val="22"/>
                <w:szCs w:val="22"/>
                <w:lang w:eastAsia="en-US"/>
              </w:rPr>
            </w:pPr>
            <w:r w:rsidRPr="00A57704">
              <w:rPr>
                <w:rFonts w:ascii="Times New Roman" w:hAnsi="Times New Roman"/>
                <w:color w:val="000000"/>
                <w:sz w:val="22"/>
                <w:szCs w:val="22"/>
                <w:lang w:eastAsia="en-US"/>
              </w:rPr>
              <w:t>▪ Solicitud y autorización de fondos</w:t>
            </w:r>
          </w:p>
        </w:tc>
      </w:tr>
      <w:tr w:rsidR="00382354" w:rsidRPr="00A57704" w14:paraId="5911DEB0" w14:textId="77777777" w:rsidTr="007C7256">
        <w:trPr>
          <w:trHeight w:val="3900"/>
        </w:trPr>
        <w:tc>
          <w:tcPr>
            <w:tcW w:w="702" w:type="pct"/>
            <w:gridSpan w:val="2"/>
            <w:tcBorders>
              <w:top w:val="nil"/>
              <w:left w:val="single" w:sz="4" w:space="0" w:color="auto"/>
              <w:bottom w:val="single" w:sz="4" w:space="0" w:color="auto"/>
              <w:right w:val="single" w:sz="4" w:space="0" w:color="auto"/>
            </w:tcBorders>
            <w:shd w:val="clear" w:color="auto" w:fill="auto"/>
            <w:vAlign w:val="center"/>
            <w:hideMark/>
          </w:tcPr>
          <w:p w14:paraId="4F7A2419"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xml:space="preserve">Renovación de cafetales con adaptación al Cambio Climático y uso de suelos </w:t>
            </w:r>
          </w:p>
        </w:tc>
        <w:tc>
          <w:tcPr>
            <w:tcW w:w="555" w:type="pct"/>
            <w:tcBorders>
              <w:top w:val="nil"/>
              <w:left w:val="nil"/>
              <w:bottom w:val="single" w:sz="4" w:space="0" w:color="auto"/>
              <w:right w:val="single" w:sz="4" w:space="0" w:color="auto"/>
            </w:tcBorders>
            <w:shd w:val="clear" w:color="auto" w:fill="auto"/>
            <w:noWrap/>
            <w:vAlign w:val="center"/>
            <w:hideMark/>
          </w:tcPr>
          <w:p w14:paraId="1BC7A4C2"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INDOCAFE</w:t>
            </w:r>
          </w:p>
        </w:tc>
        <w:tc>
          <w:tcPr>
            <w:tcW w:w="2007" w:type="pct"/>
            <w:gridSpan w:val="2"/>
            <w:tcBorders>
              <w:top w:val="nil"/>
              <w:left w:val="nil"/>
              <w:bottom w:val="single" w:sz="4" w:space="0" w:color="auto"/>
              <w:right w:val="single" w:sz="4" w:space="0" w:color="auto"/>
            </w:tcBorders>
            <w:shd w:val="clear" w:color="auto" w:fill="auto"/>
            <w:vAlign w:val="bottom"/>
            <w:hideMark/>
          </w:tcPr>
          <w:p w14:paraId="55085980" w14:textId="0AE2917D" w:rsidR="00382354" w:rsidRPr="007C7256" w:rsidRDefault="00382354" w:rsidP="007C7256">
            <w:pPr>
              <w:spacing w:after="0"/>
              <w:jc w:val="both"/>
              <w:rPr>
                <w:rFonts w:ascii="Times New Roman" w:hAnsi="Times New Roman"/>
                <w:color w:val="000000"/>
                <w:sz w:val="22"/>
                <w:szCs w:val="22"/>
                <w:lang w:eastAsia="en-US"/>
              </w:rPr>
            </w:pPr>
            <w:r w:rsidRPr="007C7256">
              <w:rPr>
                <w:rFonts w:ascii="Times New Roman" w:hAnsi="Times New Roman"/>
                <w:color w:val="000000"/>
                <w:sz w:val="22"/>
                <w:szCs w:val="22"/>
                <w:lang w:eastAsia="en-US"/>
              </w:rPr>
              <w:t>▪ (32.8 millones) de plantas de café de variedades con resistencia a la Roya, alta productividad, beneficiando a 6,875 caficultores.</w:t>
            </w:r>
            <w:r w:rsidRPr="007C7256">
              <w:rPr>
                <w:rFonts w:ascii="Times New Roman" w:hAnsi="Times New Roman"/>
                <w:color w:val="000000"/>
                <w:sz w:val="22"/>
                <w:szCs w:val="22"/>
                <w:lang w:eastAsia="en-US"/>
              </w:rPr>
              <w:br/>
              <w:t xml:space="preserve">▪ </w:t>
            </w:r>
            <w:r w:rsidR="005F634F" w:rsidRPr="007C7256">
              <w:rPr>
                <w:rFonts w:ascii="Times New Roman" w:hAnsi="Times New Roman"/>
                <w:color w:val="000000"/>
                <w:sz w:val="22"/>
                <w:szCs w:val="22"/>
                <w:lang w:eastAsia="en-US"/>
              </w:rPr>
              <w:t>Renovación</w:t>
            </w:r>
            <w:r w:rsidRPr="007C7256">
              <w:rPr>
                <w:rFonts w:ascii="Times New Roman" w:hAnsi="Times New Roman"/>
                <w:color w:val="000000"/>
                <w:sz w:val="22"/>
                <w:szCs w:val="22"/>
                <w:lang w:eastAsia="en-US"/>
              </w:rPr>
              <w:t xml:space="preserve"> de (</w:t>
            </w:r>
            <w:r w:rsidR="007C7256" w:rsidRPr="007C7256">
              <w:rPr>
                <w:rFonts w:ascii="Times New Roman" w:hAnsi="Times New Roman"/>
                <w:color w:val="000000"/>
                <w:sz w:val="22"/>
                <w:szCs w:val="22"/>
                <w:lang w:eastAsia="en-US"/>
              </w:rPr>
              <w:t>201,609</w:t>
            </w:r>
            <w:r w:rsidRPr="007C7256">
              <w:rPr>
                <w:rFonts w:ascii="Times New Roman" w:hAnsi="Times New Roman"/>
                <w:color w:val="000000"/>
                <w:sz w:val="22"/>
                <w:szCs w:val="22"/>
                <w:lang w:eastAsia="en-US"/>
              </w:rPr>
              <w:t xml:space="preserve">) tareas beneficiando a </w:t>
            </w:r>
            <w:r w:rsidR="007C7256" w:rsidRPr="007C7256">
              <w:rPr>
                <w:rFonts w:ascii="Times New Roman" w:hAnsi="Times New Roman"/>
                <w:color w:val="000000"/>
                <w:sz w:val="22"/>
                <w:szCs w:val="22"/>
                <w:lang w:eastAsia="en-US"/>
              </w:rPr>
              <w:t>10,091</w:t>
            </w:r>
            <w:r w:rsidRPr="007C7256">
              <w:rPr>
                <w:rFonts w:ascii="Times New Roman" w:hAnsi="Times New Roman"/>
                <w:color w:val="000000"/>
                <w:sz w:val="22"/>
                <w:szCs w:val="22"/>
                <w:lang w:eastAsia="en-US"/>
              </w:rPr>
              <w:t xml:space="preserve"> productores con plantas de café con resistencia a la Roya.</w:t>
            </w:r>
            <w:r w:rsidRPr="007C7256">
              <w:rPr>
                <w:rFonts w:ascii="Times New Roman" w:hAnsi="Times New Roman"/>
                <w:color w:val="000000"/>
                <w:sz w:val="22"/>
                <w:szCs w:val="22"/>
                <w:lang w:eastAsia="en-US"/>
              </w:rPr>
              <w:br/>
            </w:r>
            <w:r w:rsidR="007C7256" w:rsidRPr="007C7256">
              <w:rPr>
                <w:rFonts w:ascii="Times New Roman" w:hAnsi="Times New Roman"/>
                <w:color w:val="000000"/>
              </w:rPr>
              <w:t>▪ (RD$4 millones) proyecto de mejora de la producción de plantas, construcción y reparación de viveros, entrega fundas, semillas, mano de obra, insumos agrícola, equipos y herramientas.</w:t>
            </w:r>
            <w:r w:rsidRPr="007C7256">
              <w:rPr>
                <w:rFonts w:ascii="Times New Roman" w:hAnsi="Times New Roman"/>
                <w:color w:val="000000"/>
                <w:sz w:val="22"/>
                <w:szCs w:val="22"/>
                <w:lang w:eastAsia="en-US"/>
              </w:rPr>
              <w:br/>
              <w:t>▪ (48,479 actividades) de extensión y capacitación, realizadas a través de los Agentes de Desarrollo Cafetalero (ADC), beneficiando a</w:t>
            </w:r>
            <w:r w:rsidRPr="007C7256">
              <w:rPr>
                <w:rFonts w:ascii="Times New Roman" w:hAnsi="Times New Roman"/>
                <w:color w:val="FF0000"/>
                <w:sz w:val="22"/>
                <w:szCs w:val="22"/>
                <w:lang w:eastAsia="en-US"/>
              </w:rPr>
              <w:t xml:space="preserve"> </w:t>
            </w:r>
            <w:r w:rsidRPr="007C7256">
              <w:rPr>
                <w:rFonts w:ascii="Times New Roman" w:hAnsi="Times New Roman"/>
                <w:color w:val="000000"/>
                <w:sz w:val="22"/>
                <w:szCs w:val="22"/>
                <w:lang w:eastAsia="en-US"/>
              </w:rPr>
              <w:t>114,194 pequeños y medianos productores de café.</w:t>
            </w:r>
            <w:r w:rsidRPr="007C7256">
              <w:rPr>
                <w:rFonts w:ascii="Times New Roman" w:hAnsi="Times New Roman"/>
                <w:color w:val="000000"/>
                <w:sz w:val="22"/>
                <w:szCs w:val="22"/>
                <w:lang w:eastAsia="en-US"/>
              </w:rPr>
              <w:br/>
              <w:t>▪ (142) parcelas demostrativas implantadas con buenas prácticas para el manejo de la Roya del Café.</w:t>
            </w:r>
          </w:p>
        </w:tc>
        <w:tc>
          <w:tcPr>
            <w:tcW w:w="374" w:type="pct"/>
            <w:gridSpan w:val="2"/>
            <w:tcBorders>
              <w:top w:val="nil"/>
              <w:left w:val="nil"/>
              <w:bottom w:val="single" w:sz="4" w:space="0" w:color="auto"/>
              <w:right w:val="single" w:sz="4" w:space="0" w:color="auto"/>
            </w:tcBorders>
            <w:shd w:val="clear" w:color="auto" w:fill="auto"/>
            <w:vAlign w:val="center"/>
            <w:hideMark/>
          </w:tcPr>
          <w:p w14:paraId="3C5E7817"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Gestión atrasada</w:t>
            </w:r>
          </w:p>
        </w:tc>
        <w:tc>
          <w:tcPr>
            <w:tcW w:w="602" w:type="pct"/>
            <w:gridSpan w:val="2"/>
            <w:tcBorders>
              <w:top w:val="nil"/>
              <w:left w:val="nil"/>
              <w:bottom w:val="single" w:sz="4" w:space="0" w:color="auto"/>
              <w:right w:val="single" w:sz="4" w:space="0" w:color="auto"/>
            </w:tcBorders>
            <w:shd w:val="clear" w:color="auto" w:fill="auto"/>
            <w:vAlign w:val="center"/>
            <w:hideMark/>
          </w:tcPr>
          <w:p w14:paraId="0F31D61C"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Disponibilidad de recursos</w:t>
            </w:r>
          </w:p>
        </w:tc>
        <w:tc>
          <w:tcPr>
            <w:tcW w:w="759" w:type="pct"/>
            <w:gridSpan w:val="2"/>
            <w:tcBorders>
              <w:top w:val="nil"/>
              <w:left w:val="nil"/>
              <w:bottom w:val="single" w:sz="4" w:space="0" w:color="auto"/>
              <w:right w:val="single" w:sz="4" w:space="0" w:color="auto"/>
            </w:tcBorders>
            <w:shd w:val="clear" w:color="auto" w:fill="auto"/>
            <w:vAlign w:val="center"/>
            <w:hideMark/>
          </w:tcPr>
          <w:p w14:paraId="05EFBC27" w14:textId="77777777" w:rsidR="00382354" w:rsidRPr="00A57704" w:rsidRDefault="00382354" w:rsidP="005F634F">
            <w:pPr>
              <w:spacing w:after="0"/>
              <w:jc w:val="center"/>
              <w:rPr>
                <w:rFonts w:ascii="Times New Roman" w:hAnsi="Times New Roman"/>
                <w:color w:val="000000"/>
                <w:sz w:val="22"/>
                <w:szCs w:val="22"/>
                <w:lang w:eastAsia="en-US"/>
              </w:rPr>
            </w:pPr>
            <w:r w:rsidRPr="00A57704">
              <w:rPr>
                <w:rFonts w:ascii="Times New Roman" w:hAnsi="Times New Roman"/>
                <w:color w:val="000000"/>
                <w:sz w:val="22"/>
                <w:szCs w:val="22"/>
                <w:lang w:eastAsia="en-US"/>
              </w:rPr>
              <w:t>▪ Solicitud y autorización de fondos</w:t>
            </w:r>
          </w:p>
        </w:tc>
      </w:tr>
      <w:tr w:rsidR="00382354" w:rsidRPr="00A57704" w14:paraId="65B2DC0F" w14:textId="77777777" w:rsidTr="007C7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
        </w:trPr>
        <w:tc>
          <w:tcPr>
            <w:tcW w:w="667" w:type="pct"/>
            <w:shd w:val="clear" w:color="auto" w:fill="00B050"/>
            <w:vAlign w:val="center"/>
          </w:tcPr>
          <w:p w14:paraId="0C019027"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lastRenderedPageBreak/>
              <w:t>Meta(s) Presidencial(es)</w:t>
            </w:r>
          </w:p>
        </w:tc>
        <w:tc>
          <w:tcPr>
            <w:tcW w:w="663" w:type="pct"/>
            <w:gridSpan w:val="3"/>
            <w:shd w:val="clear" w:color="auto" w:fill="00B050"/>
            <w:vAlign w:val="center"/>
          </w:tcPr>
          <w:p w14:paraId="3303CCE2"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Institución Responsable</w:t>
            </w:r>
          </w:p>
        </w:tc>
        <w:tc>
          <w:tcPr>
            <w:tcW w:w="1971" w:type="pct"/>
            <w:gridSpan w:val="2"/>
            <w:shd w:val="clear" w:color="auto" w:fill="00B050"/>
            <w:vAlign w:val="center"/>
          </w:tcPr>
          <w:p w14:paraId="33D7D417" w14:textId="0F8EAAB9" w:rsidR="00382354" w:rsidRPr="00A57704" w:rsidRDefault="0017763E"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Logros Acumulados 2016 - 2019</w:t>
            </w:r>
          </w:p>
        </w:tc>
        <w:tc>
          <w:tcPr>
            <w:tcW w:w="371" w:type="pct"/>
            <w:gridSpan w:val="2"/>
            <w:shd w:val="clear" w:color="auto" w:fill="00B050"/>
            <w:vAlign w:val="center"/>
          </w:tcPr>
          <w:p w14:paraId="79F055F6"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Estado</w:t>
            </w:r>
          </w:p>
        </w:tc>
        <w:tc>
          <w:tcPr>
            <w:tcW w:w="607" w:type="pct"/>
            <w:gridSpan w:val="2"/>
            <w:shd w:val="clear" w:color="auto" w:fill="00B050"/>
            <w:vAlign w:val="center"/>
          </w:tcPr>
          <w:p w14:paraId="141EB5E1"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Alertas y Restricciones</w:t>
            </w:r>
          </w:p>
        </w:tc>
        <w:tc>
          <w:tcPr>
            <w:tcW w:w="722" w:type="pct"/>
            <w:shd w:val="clear" w:color="auto" w:fill="00B050"/>
            <w:vAlign w:val="center"/>
          </w:tcPr>
          <w:p w14:paraId="793447C9" w14:textId="77777777" w:rsidR="00382354" w:rsidRPr="00A57704" w:rsidRDefault="00382354" w:rsidP="005F634F">
            <w:pPr>
              <w:spacing w:after="0"/>
              <w:jc w:val="center"/>
              <w:rPr>
                <w:rFonts w:ascii="Times New Roman" w:hAnsi="Times New Roman"/>
                <w:b/>
                <w:bCs/>
                <w:color w:val="FFFFFF" w:themeColor="background1"/>
                <w:sz w:val="22"/>
                <w:szCs w:val="22"/>
                <w:lang w:eastAsia="en-US"/>
              </w:rPr>
            </w:pPr>
            <w:r w:rsidRPr="00A57704">
              <w:rPr>
                <w:rFonts w:ascii="Times New Roman" w:hAnsi="Times New Roman"/>
                <w:b/>
                <w:bCs/>
                <w:color w:val="FFFFFF" w:themeColor="background1"/>
                <w:sz w:val="22"/>
                <w:szCs w:val="22"/>
                <w:lang w:eastAsia="en-US"/>
              </w:rPr>
              <w:t>Acciones pendientes y próximos pasos</w:t>
            </w:r>
          </w:p>
        </w:tc>
      </w:tr>
      <w:tr w:rsidR="00382354" w:rsidRPr="00A57704" w14:paraId="30FBDC6D" w14:textId="77777777" w:rsidTr="007C7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00"/>
        </w:trPr>
        <w:tc>
          <w:tcPr>
            <w:tcW w:w="667" w:type="pct"/>
            <w:shd w:val="clear" w:color="auto" w:fill="auto"/>
            <w:vAlign w:val="center"/>
            <w:hideMark/>
          </w:tcPr>
          <w:p w14:paraId="19B116F9"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xml:space="preserve">Producción de material genético animal de alta calidad </w:t>
            </w:r>
          </w:p>
        </w:tc>
        <w:tc>
          <w:tcPr>
            <w:tcW w:w="663" w:type="pct"/>
            <w:gridSpan w:val="3"/>
            <w:shd w:val="clear" w:color="auto" w:fill="auto"/>
            <w:vAlign w:val="center"/>
            <w:hideMark/>
          </w:tcPr>
          <w:p w14:paraId="39CB1B09"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VITROGAN</w:t>
            </w:r>
          </w:p>
        </w:tc>
        <w:tc>
          <w:tcPr>
            <w:tcW w:w="1971" w:type="pct"/>
            <w:gridSpan w:val="2"/>
            <w:shd w:val="clear" w:color="auto" w:fill="auto"/>
            <w:vAlign w:val="center"/>
            <w:hideMark/>
          </w:tcPr>
          <w:p w14:paraId="3FD8F42C" w14:textId="01E722DE" w:rsidR="00382354" w:rsidRPr="00A57704" w:rsidRDefault="00382354" w:rsidP="007C7256">
            <w:pPr>
              <w:spacing w:after="0"/>
              <w:rPr>
                <w:rFonts w:ascii="Times New Roman" w:hAnsi="Times New Roman"/>
                <w:color w:val="000000"/>
                <w:sz w:val="22"/>
                <w:szCs w:val="22"/>
                <w:lang w:eastAsia="en-US"/>
              </w:rPr>
            </w:pPr>
            <w:r w:rsidRPr="00A57704">
              <w:rPr>
                <w:rFonts w:ascii="Times New Roman" w:hAnsi="Times New Roman"/>
                <w:color w:val="000000"/>
                <w:sz w:val="22"/>
              </w:rPr>
              <w:t>▪ Producción de (1,</w:t>
            </w:r>
            <w:r w:rsidR="007C7256">
              <w:rPr>
                <w:rFonts w:ascii="Times New Roman" w:hAnsi="Times New Roman"/>
                <w:color w:val="000000"/>
                <w:sz w:val="22"/>
              </w:rPr>
              <w:t>814</w:t>
            </w:r>
            <w:r w:rsidRPr="00A57704">
              <w:rPr>
                <w:rFonts w:ascii="Times New Roman" w:hAnsi="Times New Roman"/>
                <w:color w:val="000000"/>
                <w:sz w:val="22"/>
              </w:rPr>
              <w:t xml:space="preserve"> embriones) in vitro.</w:t>
            </w:r>
            <w:r w:rsidRPr="00A57704">
              <w:rPr>
                <w:rFonts w:ascii="Times New Roman" w:hAnsi="Times New Roman"/>
                <w:color w:val="000000"/>
                <w:sz w:val="22"/>
              </w:rPr>
              <w:br/>
              <w:t>▪ (641 transferencias) de embriones de alta calidad.</w:t>
            </w:r>
            <w:r w:rsidRPr="00A57704">
              <w:rPr>
                <w:rFonts w:ascii="Times New Roman" w:hAnsi="Times New Roman"/>
                <w:color w:val="000000"/>
                <w:sz w:val="22"/>
              </w:rPr>
              <w:br/>
              <w:t>▪ (1,843 inseminaciones) artificiales realizadas.</w:t>
            </w:r>
            <w:r w:rsidRPr="00A57704">
              <w:rPr>
                <w:rFonts w:ascii="Times New Roman" w:hAnsi="Times New Roman"/>
                <w:color w:val="000000"/>
                <w:sz w:val="22"/>
              </w:rPr>
              <w:br/>
              <w:t>▪ Adquisición de material genético: (1,602</w:t>
            </w:r>
            <w:r w:rsidRPr="00A57704">
              <w:rPr>
                <w:rFonts w:ascii="Times New Roman" w:hAnsi="Times New Roman"/>
                <w:color w:val="FF0000"/>
                <w:sz w:val="22"/>
              </w:rPr>
              <w:t xml:space="preserve"> </w:t>
            </w:r>
            <w:r w:rsidRPr="00A57704">
              <w:rPr>
                <w:rFonts w:ascii="Times New Roman" w:hAnsi="Times New Roman"/>
                <w:color w:val="000000"/>
                <w:sz w:val="22"/>
              </w:rPr>
              <w:t>pajillas) congeladas.</w:t>
            </w:r>
            <w:r w:rsidRPr="00A57704">
              <w:rPr>
                <w:rFonts w:ascii="Times New Roman" w:hAnsi="Times New Roman"/>
                <w:color w:val="000000"/>
                <w:sz w:val="22"/>
              </w:rPr>
              <w:br/>
              <w:t>▪ (193 actividades) de extensión y capacitación beneficiando a igual cantidad de productores.</w:t>
            </w:r>
          </w:p>
        </w:tc>
        <w:tc>
          <w:tcPr>
            <w:tcW w:w="371" w:type="pct"/>
            <w:gridSpan w:val="2"/>
            <w:shd w:val="clear" w:color="auto" w:fill="auto"/>
            <w:vAlign w:val="center"/>
            <w:hideMark/>
          </w:tcPr>
          <w:p w14:paraId="011C15E7"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Gestión en alerta</w:t>
            </w:r>
          </w:p>
        </w:tc>
        <w:tc>
          <w:tcPr>
            <w:tcW w:w="607" w:type="pct"/>
            <w:gridSpan w:val="2"/>
            <w:shd w:val="clear" w:color="auto" w:fill="auto"/>
            <w:vAlign w:val="center"/>
            <w:hideMark/>
          </w:tcPr>
          <w:p w14:paraId="2D80F132"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n/a</w:t>
            </w:r>
          </w:p>
        </w:tc>
        <w:tc>
          <w:tcPr>
            <w:tcW w:w="722" w:type="pct"/>
            <w:shd w:val="clear" w:color="auto" w:fill="auto"/>
            <w:vAlign w:val="bottom"/>
            <w:hideMark/>
          </w:tcPr>
          <w:p w14:paraId="46B1E06F"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Producción de 500 embriones</w:t>
            </w:r>
            <w:r w:rsidRPr="00A57704">
              <w:rPr>
                <w:rFonts w:ascii="Times New Roman" w:hAnsi="Times New Roman"/>
                <w:color w:val="000000"/>
                <w:sz w:val="22"/>
                <w:szCs w:val="22"/>
                <w:lang w:eastAsia="en-US"/>
              </w:rPr>
              <w:br/>
              <w:t>▪ continuación del programa de inseminación artificial</w:t>
            </w:r>
            <w:r w:rsidRPr="00A57704">
              <w:rPr>
                <w:rFonts w:ascii="Times New Roman" w:hAnsi="Times New Roman"/>
                <w:color w:val="000000"/>
                <w:sz w:val="22"/>
                <w:szCs w:val="22"/>
                <w:lang w:eastAsia="en-US"/>
              </w:rPr>
              <w:br/>
              <w:t>▪ adquisición de material genético</w:t>
            </w:r>
            <w:r w:rsidRPr="00A57704">
              <w:rPr>
                <w:rFonts w:ascii="Times New Roman" w:hAnsi="Times New Roman"/>
                <w:color w:val="000000"/>
                <w:sz w:val="22"/>
                <w:szCs w:val="22"/>
                <w:lang w:eastAsia="en-US"/>
              </w:rPr>
              <w:br/>
              <w:t>▪ sincronización de ovarios receptoras para la transferencia de embriones</w:t>
            </w:r>
          </w:p>
        </w:tc>
      </w:tr>
      <w:tr w:rsidR="007C7256" w:rsidRPr="00A57704" w14:paraId="4E6CF078" w14:textId="77777777" w:rsidTr="007C7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0"/>
        </w:trPr>
        <w:tc>
          <w:tcPr>
            <w:tcW w:w="667" w:type="pct"/>
            <w:shd w:val="clear" w:color="000000" w:fill="FFFFFF"/>
            <w:vAlign w:val="center"/>
            <w:hideMark/>
          </w:tcPr>
          <w:p w14:paraId="49441884" w14:textId="77777777" w:rsidR="007C7256" w:rsidRPr="00A57704" w:rsidRDefault="007C7256" w:rsidP="007C7256">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Registro Georeferenciado de fincas y Productores Agropecuarios, REGEA</w:t>
            </w:r>
          </w:p>
        </w:tc>
        <w:tc>
          <w:tcPr>
            <w:tcW w:w="663" w:type="pct"/>
            <w:gridSpan w:val="3"/>
            <w:shd w:val="clear" w:color="auto" w:fill="auto"/>
            <w:vAlign w:val="center"/>
            <w:hideMark/>
          </w:tcPr>
          <w:p w14:paraId="546D4E67" w14:textId="77777777" w:rsidR="007C7256" w:rsidRPr="00A57704" w:rsidRDefault="007C7256" w:rsidP="007C7256">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MINISTERIO AGRICULTURA</w:t>
            </w:r>
          </w:p>
        </w:tc>
        <w:tc>
          <w:tcPr>
            <w:tcW w:w="1971" w:type="pct"/>
            <w:gridSpan w:val="2"/>
            <w:shd w:val="clear" w:color="auto" w:fill="auto"/>
            <w:vAlign w:val="center"/>
            <w:hideMark/>
          </w:tcPr>
          <w:p w14:paraId="2EEC23DF" w14:textId="77777777" w:rsidR="007C7256" w:rsidRPr="007C7256" w:rsidRDefault="007C7256" w:rsidP="007C7256">
            <w:pPr>
              <w:spacing w:after="0"/>
              <w:rPr>
                <w:rFonts w:ascii="Times New Roman" w:hAnsi="Times New Roman"/>
                <w:color w:val="000000"/>
              </w:rPr>
            </w:pPr>
            <w:r w:rsidRPr="007C7256">
              <w:rPr>
                <w:rFonts w:ascii="Times New Roman" w:hAnsi="Times New Roman"/>
                <w:color w:val="000000"/>
              </w:rPr>
              <w:t>▪ 197,352 Productores registrados en el sistema.</w:t>
            </w:r>
            <w:r w:rsidRPr="007C7256">
              <w:rPr>
                <w:rFonts w:ascii="Times New Roman" w:hAnsi="Times New Roman"/>
                <w:color w:val="000000"/>
              </w:rPr>
              <w:br/>
              <w:t>▪ 90%Avance desarrollo de plataforma.</w:t>
            </w:r>
          </w:p>
          <w:p w14:paraId="3428E67F" w14:textId="77777777" w:rsidR="007C7256" w:rsidRPr="007C7256" w:rsidRDefault="007C7256" w:rsidP="007C7256">
            <w:pPr>
              <w:spacing w:after="0"/>
              <w:rPr>
                <w:rFonts w:ascii="Times New Roman" w:hAnsi="Times New Roman"/>
                <w:color w:val="000000"/>
              </w:rPr>
            </w:pPr>
            <w:r w:rsidRPr="007C7256">
              <w:rPr>
                <w:rFonts w:ascii="Times New Roman" w:hAnsi="Times New Roman"/>
                <w:color w:val="000000"/>
              </w:rPr>
              <w:t>▪ 1,811 Capacitaciones.</w:t>
            </w:r>
          </w:p>
          <w:p w14:paraId="201F70BA" w14:textId="77777777" w:rsidR="007C7256" w:rsidRPr="007C7256" w:rsidRDefault="007C7256" w:rsidP="007C7256">
            <w:pPr>
              <w:spacing w:after="0"/>
              <w:rPr>
                <w:rFonts w:ascii="Times New Roman" w:hAnsi="Times New Roman"/>
                <w:color w:val="000000"/>
              </w:rPr>
            </w:pPr>
            <w:r w:rsidRPr="007C7256">
              <w:rPr>
                <w:rFonts w:ascii="Times New Roman" w:hAnsi="Times New Roman"/>
                <w:color w:val="000000"/>
              </w:rPr>
              <w:t>▪51,136 Productores empadronados.</w:t>
            </w:r>
          </w:p>
          <w:p w14:paraId="71345A32" w14:textId="77777777" w:rsidR="007C7256" w:rsidRPr="007C7256" w:rsidRDefault="007C7256" w:rsidP="007C7256">
            <w:pPr>
              <w:spacing w:after="0"/>
              <w:rPr>
                <w:rFonts w:ascii="Times New Roman" w:hAnsi="Times New Roman"/>
                <w:color w:val="000000"/>
              </w:rPr>
            </w:pPr>
            <w:r w:rsidRPr="007C7256">
              <w:rPr>
                <w:rFonts w:ascii="Times New Roman" w:hAnsi="Times New Roman"/>
                <w:color w:val="000000"/>
              </w:rPr>
              <w:t>▪ 4,773 Base de datos provisional.</w:t>
            </w:r>
          </w:p>
          <w:p w14:paraId="00752D13" w14:textId="77777777" w:rsidR="007C7256" w:rsidRPr="007C7256" w:rsidRDefault="007C7256" w:rsidP="007C7256">
            <w:pPr>
              <w:spacing w:after="0"/>
              <w:rPr>
                <w:rFonts w:ascii="Times New Roman" w:hAnsi="Times New Roman"/>
                <w:color w:val="000000"/>
              </w:rPr>
            </w:pPr>
            <w:r w:rsidRPr="007C7256">
              <w:rPr>
                <w:rFonts w:ascii="Times New Roman" w:hAnsi="Times New Roman"/>
                <w:color w:val="000000"/>
              </w:rPr>
              <w:t>▪5,419 Productores empadronados proyectos de desarrollo agroforestales.</w:t>
            </w:r>
          </w:p>
          <w:p w14:paraId="56A10CE1" w14:textId="2A4EDD96" w:rsidR="007C7256" w:rsidRPr="007C7256" w:rsidRDefault="007C7256" w:rsidP="007C7256">
            <w:pPr>
              <w:spacing w:after="0"/>
              <w:rPr>
                <w:rFonts w:ascii="Times New Roman" w:hAnsi="Times New Roman"/>
                <w:color w:val="000000"/>
                <w:sz w:val="22"/>
                <w:szCs w:val="22"/>
                <w:lang w:eastAsia="en-US"/>
              </w:rPr>
            </w:pPr>
            <w:r w:rsidRPr="007C7256">
              <w:rPr>
                <w:rFonts w:ascii="Times New Roman" w:hAnsi="Times New Roman"/>
                <w:color w:val="000000"/>
              </w:rPr>
              <w:t>▪10 contrato renovados.</w:t>
            </w:r>
          </w:p>
        </w:tc>
        <w:tc>
          <w:tcPr>
            <w:tcW w:w="371" w:type="pct"/>
            <w:gridSpan w:val="2"/>
            <w:shd w:val="clear" w:color="auto" w:fill="auto"/>
            <w:vAlign w:val="center"/>
            <w:hideMark/>
          </w:tcPr>
          <w:p w14:paraId="7B77F5BE" w14:textId="77777777" w:rsidR="007C7256" w:rsidRPr="00A57704" w:rsidRDefault="007C7256" w:rsidP="007C7256">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Gestión normal</w:t>
            </w:r>
          </w:p>
        </w:tc>
        <w:tc>
          <w:tcPr>
            <w:tcW w:w="607" w:type="pct"/>
            <w:gridSpan w:val="2"/>
            <w:shd w:val="clear" w:color="auto" w:fill="auto"/>
            <w:vAlign w:val="center"/>
            <w:hideMark/>
          </w:tcPr>
          <w:p w14:paraId="441B78BA" w14:textId="77777777" w:rsidR="007C7256" w:rsidRPr="00A57704" w:rsidRDefault="007C7256" w:rsidP="007C7256">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n/a</w:t>
            </w:r>
          </w:p>
        </w:tc>
        <w:tc>
          <w:tcPr>
            <w:tcW w:w="722" w:type="pct"/>
            <w:shd w:val="clear" w:color="auto" w:fill="auto"/>
            <w:vAlign w:val="bottom"/>
            <w:hideMark/>
          </w:tcPr>
          <w:p w14:paraId="6CF35767" w14:textId="77777777" w:rsidR="007C7256" w:rsidRPr="00A57704" w:rsidRDefault="007C7256" w:rsidP="007C7256">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Continuar con las labores de terreno y gabinete para el registro de la totalidad de los productores agropecuario.</w:t>
            </w:r>
          </w:p>
        </w:tc>
      </w:tr>
      <w:tr w:rsidR="00382354" w:rsidRPr="00A57704" w14:paraId="5773DFBE" w14:textId="77777777" w:rsidTr="007C72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00"/>
        </w:trPr>
        <w:tc>
          <w:tcPr>
            <w:tcW w:w="667" w:type="pct"/>
            <w:shd w:val="clear" w:color="auto" w:fill="auto"/>
            <w:vAlign w:val="center"/>
            <w:hideMark/>
          </w:tcPr>
          <w:p w14:paraId="445214B8"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xml:space="preserve">Fomentar la Producción Acuícola en Jaulas Flotantes </w:t>
            </w:r>
          </w:p>
        </w:tc>
        <w:tc>
          <w:tcPr>
            <w:tcW w:w="663" w:type="pct"/>
            <w:gridSpan w:val="3"/>
            <w:shd w:val="clear" w:color="auto" w:fill="auto"/>
            <w:noWrap/>
            <w:vAlign w:val="center"/>
            <w:hideMark/>
          </w:tcPr>
          <w:p w14:paraId="1BF1AA9E"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CODOPESCA</w:t>
            </w:r>
          </w:p>
        </w:tc>
        <w:tc>
          <w:tcPr>
            <w:tcW w:w="1971" w:type="pct"/>
            <w:gridSpan w:val="2"/>
            <w:shd w:val="clear" w:color="auto" w:fill="auto"/>
            <w:vAlign w:val="bottom"/>
            <w:hideMark/>
          </w:tcPr>
          <w:p w14:paraId="212B25B9" w14:textId="77777777" w:rsidR="00382354" w:rsidRPr="00A57704" w:rsidRDefault="00382354" w:rsidP="005F634F">
            <w:pPr>
              <w:spacing w:after="0"/>
              <w:rPr>
                <w:rFonts w:ascii="Times New Roman" w:hAnsi="Times New Roman"/>
                <w:color w:val="000000"/>
                <w:sz w:val="22"/>
                <w:szCs w:val="22"/>
                <w:lang w:val="en-US" w:eastAsia="en-US"/>
              </w:rPr>
            </w:pPr>
            <w:r w:rsidRPr="00A57704">
              <w:rPr>
                <w:rFonts w:ascii="Times New Roman" w:hAnsi="Times New Roman"/>
                <w:color w:val="000000"/>
                <w:sz w:val="22"/>
                <w:szCs w:val="22"/>
                <w:lang w:eastAsia="en-US"/>
              </w:rPr>
              <w:t>▪ Conformación del equipo base para la ejecución del proyecto.</w:t>
            </w:r>
            <w:r w:rsidRPr="00A57704">
              <w:rPr>
                <w:rFonts w:ascii="Times New Roman" w:hAnsi="Times New Roman"/>
                <w:color w:val="000000"/>
                <w:sz w:val="22"/>
                <w:szCs w:val="22"/>
                <w:lang w:eastAsia="en-US"/>
              </w:rPr>
              <w:br/>
              <w:t>▪ Diseño del programa de capacitación para los beneficiarios del proyecto.</w:t>
            </w:r>
            <w:r w:rsidRPr="00A57704">
              <w:rPr>
                <w:rFonts w:ascii="Times New Roman" w:hAnsi="Times New Roman"/>
                <w:color w:val="000000"/>
                <w:sz w:val="22"/>
                <w:szCs w:val="22"/>
                <w:lang w:eastAsia="en-US"/>
              </w:rPr>
              <w:br/>
              <w:t>▪ Identificación de los embalses objetivo.</w:t>
            </w:r>
            <w:r w:rsidRPr="00A57704">
              <w:rPr>
                <w:rFonts w:ascii="Times New Roman" w:hAnsi="Times New Roman"/>
                <w:color w:val="000000"/>
                <w:sz w:val="22"/>
                <w:szCs w:val="22"/>
                <w:lang w:eastAsia="en-US"/>
              </w:rPr>
              <w:br/>
              <w:t>▪ Identificación de grupos comunitarios a ser involucrados en las actividades de cultivo.</w:t>
            </w:r>
            <w:r w:rsidRPr="00A57704">
              <w:rPr>
                <w:rFonts w:ascii="Times New Roman" w:hAnsi="Times New Roman"/>
                <w:color w:val="000000"/>
                <w:sz w:val="22"/>
                <w:szCs w:val="22"/>
                <w:lang w:eastAsia="en-US"/>
              </w:rPr>
              <w:br/>
            </w:r>
            <w:r w:rsidRPr="00A57704">
              <w:rPr>
                <w:rFonts w:ascii="Times New Roman" w:hAnsi="Times New Roman"/>
                <w:color w:val="000000"/>
                <w:sz w:val="22"/>
                <w:szCs w:val="22"/>
                <w:lang w:val="en-US" w:eastAsia="en-US"/>
              </w:rPr>
              <w:t>▪ Inicio de las visitas de promoción del proyecto.</w:t>
            </w:r>
          </w:p>
        </w:tc>
        <w:tc>
          <w:tcPr>
            <w:tcW w:w="371" w:type="pct"/>
            <w:gridSpan w:val="2"/>
            <w:shd w:val="clear" w:color="auto" w:fill="auto"/>
            <w:vAlign w:val="center"/>
            <w:hideMark/>
          </w:tcPr>
          <w:p w14:paraId="0F52F823"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Gestión atrasada</w:t>
            </w:r>
          </w:p>
        </w:tc>
        <w:tc>
          <w:tcPr>
            <w:tcW w:w="607" w:type="pct"/>
            <w:gridSpan w:val="2"/>
            <w:shd w:val="clear" w:color="auto" w:fill="auto"/>
            <w:vAlign w:val="center"/>
            <w:hideMark/>
          </w:tcPr>
          <w:p w14:paraId="7D060697" w14:textId="77777777" w:rsidR="00382354" w:rsidRPr="00A57704" w:rsidRDefault="00382354" w:rsidP="005F634F">
            <w:pPr>
              <w:rPr>
                <w:rFonts w:ascii="Times New Roman" w:hAnsi="Times New Roman"/>
                <w:sz w:val="22"/>
                <w:szCs w:val="22"/>
                <w:lang w:val="en-US" w:eastAsia="en-US"/>
              </w:rPr>
            </w:pPr>
            <w:r w:rsidRPr="00A57704">
              <w:rPr>
                <w:rFonts w:ascii="Times New Roman" w:hAnsi="Times New Roman"/>
              </w:rPr>
              <w:t>Disponibilidad de recursos</w:t>
            </w:r>
          </w:p>
        </w:tc>
        <w:tc>
          <w:tcPr>
            <w:tcW w:w="722" w:type="pct"/>
            <w:shd w:val="clear" w:color="auto" w:fill="auto"/>
            <w:vAlign w:val="center"/>
            <w:hideMark/>
          </w:tcPr>
          <w:p w14:paraId="6B37D1AE"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Solicitud y autorización de fondos.</w:t>
            </w:r>
            <w:r w:rsidRPr="00A57704">
              <w:rPr>
                <w:rFonts w:ascii="Times New Roman" w:hAnsi="Times New Roman"/>
                <w:color w:val="000000"/>
                <w:sz w:val="22"/>
                <w:szCs w:val="22"/>
                <w:lang w:eastAsia="en-US"/>
              </w:rPr>
              <w:br/>
              <w:t>▪ Realización de labores de promoción en los diferentes embalses.</w:t>
            </w:r>
          </w:p>
        </w:tc>
      </w:tr>
    </w:tbl>
    <w:p w14:paraId="135B6CA5" w14:textId="77777777" w:rsidR="00382354" w:rsidRPr="00A57704" w:rsidRDefault="00382354" w:rsidP="00382354"/>
    <w:p w14:paraId="3563A9A5" w14:textId="77777777" w:rsidR="00382354" w:rsidRPr="00A57704" w:rsidRDefault="00382354" w:rsidP="00382354"/>
    <w:p w14:paraId="4B6FDF28" w14:textId="77777777" w:rsidR="00382354" w:rsidRPr="00A57704" w:rsidRDefault="00382354" w:rsidP="00382354">
      <w:pPr>
        <w:spacing w:after="0"/>
      </w:pPr>
      <w:r w:rsidRPr="00A57704">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9"/>
        <w:gridCol w:w="74"/>
        <w:gridCol w:w="102"/>
        <w:gridCol w:w="1639"/>
        <w:gridCol w:w="74"/>
        <w:gridCol w:w="82"/>
        <w:gridCol w:w="5070"/>
        <w:gridCol w:w="228"/>
        <w:gridCol w:w="693"/>
        <w:gridCol w:w="44"/>
        <w:gridCol w:w="263"/>
        <w:gridCol w:w="1381"/>
        <w:gridCol w:w="143"/>
        <w:gridCol w:w="2027"/>
      </w:tblGrid>
      <w:tr w:rsidR="00382354" w:rsidRPr="00A57704" w14:paraId="438CEA84" w14:textId="77777777" w:rsidTr="005F634F">
        <w:trPr>
          <w:trHeight w:val="60"/>
        </w:trPr>
        <w:tc>
          <w:tcPr>
            <w:tcW w:w="636" w:type="pct"/>
            <w:shd w:val="clear" w:color="auto" w:fill="00B050"/>
            <w:vAlign w:val="center"/>
          </w:tcPr>
          <w:p w14:paraId="1DD0CE8F"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lastRenderedPageBreak/>
              <w:t>Meta(s) Presidencial(es)</w:t>
            </w:r>
          </w:p>
        </w:tc>
        <w:tc>
          <w:tcPr>
            <w:tcW w:w="670" w:type="pct"/>
            <w:gridSpan w:val="3"/>
            <w:shd w:val="clear" w:color="auto" w:fill="00B050"/>
            <w:vAlign w:val="center"/>
          </w:tcPr>
          <w:p w14:paraId="6E91134C"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Institución Responsable</w:t>
            </w:r>
          </w:p>
        </w:tc>
        <w:tc>
          <w:tcPr>
            <w:tcW w:w="1929" w:type="pct"/>
            <w:gridSpan w:val="3"/>
            <w:shd w:val="clear" w:color="auto" w:fill="00B050"/>
            <w:vAlign w:val="center"/>
          </w:tcPr>
          <w:p w14:paraId="4E9E3229"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Logros Acumulados 2016 - 2019</w:t>
            </w:r>
          </w:p>
        </w:tc>
        <w:tc>
          <w:tcPr>
            <w:tcW w:w="340" w:type="pct"/>
            <w:gridSpan w:val="2"/>
            <w:shd w:val="clear" w:color="auto" w:fill="00B050"/>
            <w:vAlign w:val="center"/>
          </w:tcPr>
          <w:p w14:paraId="25F729EF"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Estado</w:t>
            </w:r>
          </w:p>
        </w:tc>
        <w:tc>
          <w:tcPr>
            <w:tcW w:w="623" w:type="pct"/>
            <w:gridSpan w:val="3"/>
            <w:shd w:val="clear" w:color="auto" w:fill="00B050"/>
            <w:vAlign w:val="center"/>
          </w:tcPr>
          <w:p w14:paraId="161083E7"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Alertas y Restricciones</w:t>
            </w:r>
          </w:p>
        </w:tc>
        <w:tc>
          <w:tcPr>
            <w:tcW w:w="801" w:type="pct"/>
            <w:gridSpan w:val="2"/>
            <w:shd w:val="clear" w:color="auto" w:fill="00B050"/>
            <w:vAlign w:val="center"/>
          </w:tcPr>
          <w:p w14:paraId="12A0F2BD" w14:textId="77777777" w:rsidR="00382354" w:rsidRPr="00A57704" w:rsidRDefault="00382354" w:rsidP="005F634F">
            <w:pPr>
              <w:spacing w:after="0"/>
              <w:jc w:val="center"/>
              <w:rPr>
                <w:rFonts w:ascii="Times New Roman" w:hAnsi="Times New Roman"/>
                <w:b/>
                <w:bCs/>
                <w:color w:val="FFFFFF" w:themeColor="background1"/>
                <w:sz w:val="22"/>
                <w:szCs w:val="22"/>
                <w:lang w:eastAsia="en-US"/>
              </w:rPr>
            </w:pPr>
            <w:r w:rsidRPr="00A57704">
              <w:rPr>
                <w:rFonts w:ascii="Times New Roman" w:hAnsi="Times New Roman"/>
                <w:b/>
                <w:bCs/>
                <w:color w:val="FFFFFF" w:themeColor="background1"/>
                <w:sz w:val="22"/>
                <w:szCs w:val="22"/>
                <w:lang w:eastAsia="en-US"/>
              </w:rPr>
              <w:t>Acciones pendientes y próximos pasos</w:t>
            </w:r>
          </w:p>
        </w:tc>
      </w:tr>
      <w:tr w:rsidR="00382354" w:rsidRPr="00A57704" w14:paraId="7EE1179A" w14:textId="77777777" w:rsidTr="005F634F">
        <w:trPr>
          <w:trHeight w:val="568"/>
        </w:trPr>
        <w:tc>
          <w:tcPr>
            <w:tcW w:w="636" w:type="pct"/>
            <w:shd w:val="clear" w:color="auto" w:fill="auto"/>
            <w:vAlign w:val="center"/>
            <w:hideMark/>
          </w:tcPr>
          <w:p w14:paraId="100DAA17"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xml:space="preserve">Fortalecer el Programa de Sanidad Animal </w:t>
            </w:r>
          </w:p>
        </w:tc>
        <w:tc>
          <w:tcPr>
            <w:tcW w:w="670" w:type="pct"/>
            <w:gridSpan w:val="3"/>
            <w:shd w:val="clear" w:color="auto" w:fill="auto"/>
            <w:vAlign w:val="center"/>
            <w:hideMark/>
          </w:tcPr>
          <w:p w14:paraId="7742E98D"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DIGEGA</w:t>
            </w:r>
          </w:p>
        </w:tc>
        <w:tc>
          <w:tcPr>
            <w:tcW w:w="1929" w:type="pct"/>
            <w:gridSpan w:val="3"/>
            <w:shd w:val="clear" w:color="auto" w:fill="auto"/>
            <w:vAlign w:val="bottom"/>
            <w:hideMark/>
          </w:tcPr>
          <w:p w14:paraId="5D06C513" w14:textId="5B00F77A" w:rsidR="00382354" w:rsidRPr="00820F0F" w:rsidRDefault="00382354" w:rsidP="005F634F">
            <w:pPr>
              <w:spacing w:after="0"/>
              <w:rPr>
                <w:rFonts w:ascii="Times New Roman" w:hAnsi="Times New Roman"/>
                <w:color w:val="000000"/>
                <w:sz w:val="22"/>
                <w:szCs w:val="22"/>
              </w:rPr>
            </w:pPr>
            <w:r w:rsidRPr="00820F0F">
              <w:rPr>
                <w:rFonts w:ascii="Times New Roman" w:hAnsi="Times New Roman"/>
                <w:b/>
                <w:bCs/>
                <w:color w:val="000000"/>
                <w:sz w:val="22"/>
                <w:szCs w:val="22"/>
              </w:rPr>
              <w:t>Brucelosis:</w:t>
            </w:r>
            <w:r w:rsidRPr="00820F0F">
              <w:rPr>
                <w:rFonts w:ascii="Times New Roman" w:hAnsi="Times New Roman"/>
                <w:color w:val="000000"/>
                <w:sz w:val="22"/>
                <w:szCs w:val="22"/>
              </w:rPr>
              <w:br/>
            </w:r>
            <w:r w:rsidR="004805D8" w:rsidRPr="00820F0F">
              <w:rPr>
                <w:rFonts w:ascii="Times New Roman" w:hAnsi="Times New Roman"/>
                <w:color w:val="000000"/>
                <w:sz w:val="22"/>
                <w:szCs w:val="22"/>
              </w:rPr>
              <w:t>▪ 260,726 Vacunaciones contra brucelosis aplicadas.</w:t>
            </w:r>
            <w:r w:rsidR="004805D8" w:rsidRPr="00820F0F">
              <w:rPr>
                <w:rFonts w:ascii="Times New Roman" w:hAnsi="Times New Roman"/>
                <w:color w:val="000000"/>
                <w:sz w:val="22"/>
                <w:szCs w:val="22"/>
              </w:rPr>
              <w:br/>
              <w:t>▪ 22,391 Visitas realizadas con fines de vacunación contra brucelosis.</w:t>
            </w:r>
            <w:r w:rsidR="004805D8" w:rsidRPr="00820F0F">
              <w:rPr>
                <w:rFonts w:ascii="Times New Roman" w:hAnsi="Times New Roman"/>
                <w:color w:val="000000"/>
                <w:sz w:val="22"/>
                <w:szCs w:val="22"/>
              </w:rPr>
              <w:br/>
              <w:t>▪ 649,667 Animales sangrados para diagnóstico de brucelosis.</w:t>
            </w:r>
            <w:r w:rsidR="004805D8" w:rsidRPr="00820F0F">
              <w:rPr>
                <w:rFonts w:ascii="Times New Roman" w:hAnsi="Times New Roman"/>
                <w:color w:val="000000"/>
                <w:sz w:val="22"/>
                <w:szCs w:val="22"/>
              </w:rPr>
              <w:br/>
              <w:t>▪ 19,908 Visitas realizadas con fines de diagnóstico de brucelosis.</w:t>
            </w:r>
            <w:r w:rsidR="004805D8" w:rsidRPr="00820F0F">
              <w:rPr>
                <w:rFonts w:ascii="Times New Roman" w:hAnsi="Times New Roman"/>
                <w:color w:val="000000"/>
                <w:sz w:val="22"/>
                <w:szCs w:val="22"/>
              </w:rPr>
              <w:br/>
              <w:t>▪ 12,168 Fincas nuevas incorporadas al programa de brucelosis.</w:t>
            </w:r>
            <w:r w:rsidR="004805D8" w:rsidRPr="00820F0F">
              <w:rPr>
                <w:rFonts w:ascii="Times New Roman" w:hAnsi="Times New Roman"/>
                <w:color w:val="000000"/>
                <w:sz w:val="22"/>
                <w:szCs w:val="22"/>
              </w:rPr>
              <w:br/>
              <w:t>▪ 10,974 Ganaderos beneficiados con el programa de brucelosis.</w:t>
            </w:r>
          </w:p>
          <w:p w14:paraId="67C357AC" w14:textId="77777777" w:rsidR="00382354" w:rsidRPr="00820F0F" w:rsidRDefault="00382354" w:rsidP="005F634F">
            <w:pPr>
              <w:spacing w:after="0"/>
              <w:rPr>
                <w:rFonts w:ascii="Times New Roman" w:hAnsi="Times New Roman"/>
                <w:color w:val="000000"/>
                <w:sz w:val="22"/>
                <w:szCs w:val="22"/>
              </w:rPr>
            </w:pPr>
          </w:p>
          <w:p w14:paraId="50184698" w14:textId="5C848B40" w:rsidR="004805D8" w:rsidRPr="00820F0F" w:rsidRDefault="00382354" w:rsidP="004805D8">
            <w:pPr>
              <w:spacing w:after="0"/>
              <w:rPr>
                <w:rFonts w:ascii="Times New Roman" w:hAnsi="Times New Roman"/>
                <w:color w:val="000000"/>
                <w:sz w:val="22"/>
                <w:szCs w:val="22"/>
              </w:rPr>
            </w:pPr>
            <w:r w:rsidRPr="00820F0F">
              <w:rPr>
                <w:rFonts w:ascii="Times New Roman" w:hAnsi="Times New Roman"/>
                <w:b/>
                <w:bCs/>
                <w:color w:val="000000"/>
                <w:sz w:val="22"/>
                <w:szCs w:val="22"/>
              </w:rPr>
              <w:t>Tuberculosis:</w:t>
            </w:r>
            <w:r w:rsidR="004805D8" w:rsidRPr="00820F0F">
              <w:rPr>
                <w:rFonts w:ascii="Times New Roman" w:hAnsi="Times New Roman"/>
                <w:color w:val="000000"/>
                <w:sz w:val="22"/>
                <w:szCs w:val="22"/>
              </w:rPr>
              <w:br/>
              <w:t>▪ 1, 007,710 Pruebas de tuberculina realizadas.</w:t>
            </w:r>
            <w:r w:rsidR="004805D8" w:rsidRPr="00820F0F">
              <w:rPr>
                <w:rFonts w:ascii="Times New Roman" w:hAnsi="Times New Roman"/>
                <w:color w:val="000000"/>
                <w:sz w:val="22"/>
                <w:szCs w:val="22"/>
              </w:rPr>
              <w:br/>
              <w:t>▪ 19,505 Visitas realizadas para diagnóstico de tuberculosis.</w:t>
            </w:r>
          </w:p>
          <w:p w14:paraId="4E590F48" w14:textId="77777777" w:rsidR="004805D8" w:rsidRPr="00820F0F" w:rsidRDefault="004805D8" w:rsidP="004805D8">
            <w:pPr>
              <w:spacing w:after="0"/>
              <w:rPr>
                <w:rFonts w:ascii="Times New Roman" w:hAnsi="Times New Roman"/>
                <w:color w:val="000000"/>
                <w:sz w:val="22"/>
                <w:szCs w:val="22"/>
              </w:rPr>
            </w:pPr>
            <w:r w:rsidRPr="00820F0F">
              <w:rPr>
                <w:rFonts w:ascii="Times New Roman" w:hAnsi="Times New Roman"/>
                <w:color w:val="000000"/>
                <w:sz w:val="22"/>
                <w:szCs w:val="22"/>
              </w:rPr>
              <w:t>▪ 12,168 Fincas nuevas incorporadas al programa de tuberculosis.</w:t>
            </w:r>
          </w:p>
          <w:p w14:paraId="49AC23BC" w14:textId="77777777" w:rsidR="004805D8" w:rsidRPr="00820F0F" w:rsidRDefault="004805D8" w:rsidP="004805D8">
            <w:pPr>
              <w:spacing w:after="0"/>
              <w:rPr>
                <w:rFonts w:ascii="Times New Roman" w:hAnsi="Times New Roman"/>
                <w:color w:val="000000"/>
                <w:sz w:val="22"/>
                <w:szCs w:val="22"/>
              </w:rPr>
            </w:pPr>
            <w:r w:rsidRPr="00820F0F">
              <w:rPr>
                <w:rFonts w:ascii="Times New Roman" w:hAnsi="Times New Roman"/>
                <w:color w:val="000000"/>
                <w:sz w:val="22"/>
                <w:szCs w:val="22"/>
              </w:rPr>
              <w:t>▪ 10,974 Ganaderos beneficiados con el programa de tuberculosis.</w:t>
            </w:r>
          </w:p>
          <w:p w14:paraId="70DFD6F7" w14:textId="2BCC1A43" w:rsidR="00382354" w:rsidRPr="00820F0F" w:rsidRDefault="00382354" w:rsidP="005F634F">
            <w:pPr>
              <w:spacing w:after="0"/>
              <w:rPr>
                <w:rFonts w:ascii="Times New Roman" w:hAnsi="Times New Roman"/>
                <w:color w:val="000000"/>
                <w:sz w:val="22"/>
                <w:szCs w:val="22"/>
                <w:lang w:eastAsia="en-US"/>
              </w:rPr>
            </w:pPr>
          </w:p>
          <w:p w14:paraId="5646B904" w14:textId="1628FF26" w:rsidR="00382354" w:rsidRPr="00820F0F" w:rsidRDefault="00382354" w:rsidP="005F634F">
            <w:pPr>
              <w:spacing w:after="0"/>
              <w:rPr>
                <w:rFonts w:ascii="Times New Roman" w:hAnsi="Times New Roman"/>
                <w:color w:val="000000"/>
                <w:sz w:val="22"/>
                <w:szCs w:val="22"/>
                <w:lang w:eastAsia="en-US"/>
              </w:rPr>
            </w:pPr>
            <w:r w:rsidRPr="00820F0F">
              <w:rPr>
                <w:rFonts w:ascii="Times New Roman" w:hAnsi="Times New Roman"/>
                <w:b/>
                <w:bCs/>
                <w:color w:val="000000"/>
                <w:sz w:val="22"/>
                <w:szCs w:val="22"/>
              </w:rPr>
              <w:t>Peste Porcina Clásica:</w:t>
            </w:r>
            <w:r w:rsidRPr="00820F0F">
              <w:rPr>
                <w:rFonts w:ascii="Times New Roman" w:hAnsi="Times New Roman"/>
                <w:color w:val="000000"/>
                <w:sz w:val="22"/>
                <w:szCs w:val="22"/>
              </w:rPr>
              <w:br/>
            </w:r>
            <w:r w:rsidR="004805D8" w:rsidRPr="00820F0F">
              <w:rPr>
                <w:rFonts w:ascii="Times New Roman" w:hAnsi="Times New Roman"/>
                <w:color w:val="000000"/>
                <w:sz w:val="22"/>
                <w:szCs w:val="22"/>
              </w:rPr>
              <w:t>▪ 1, 493,106 Vacunaciones aplicadas contra PPC.</w:t>
            </w:r>
            <w:r w:rsidR="004805D8" w:rsidRPr="00820F0F">
              <w:rPr>
                <w:rFonts w:ascii="Times New Roman" w:hAnsi="Times New Roman"/>
                <w:color w:val="000000"/>
                <w:sz w:val="22"/>
                <w:szCs w:val="22"/>
              </w:rPr>
              <w:br/>
              <w:t>▪ 115,781 Visitas realizadas con fines de vacuna contra PPC</w:t>
            </w:r>
          </w:p>
          <w:p w14:paraId="7234AEE2" w14:textId="77777777" w:rsidR="00382354" w:rsidRPr="00820F0F" w:rsidRDefault="00382354" w:rsidP="005F634F">
            <w:pPr>
              <w:spacing w:after="0"/>
              <w:rPr>
                <w:rFonts w:ascii="Times New Roman" w:hAnsi="Times New Roman"/>
                <w:color w:val="000000"/>
                <w:sz w:val="22"/>
                <w:szCs w:val="22"/>
                <w:lang w:eastAsia="en-US"/>
              </w:rPr>
            </w:pPr>
          </w:p>
          <w:p w14:paraId="6A260B89" w14:textId="7FBA8A4C" w:rsidR="00382354" w:rsidRPr="00820F0F" w:rsidRDefault="00382354" w:rsidP="005F634F">
            <w:pPr>
              <w:spacing w:after="0"/>
              <w:rPr>
                <w:rFonts w:ascii="Times New Roman" w:hAnsi="Times New Roman"/>
                <w:color w:val="000000"/>
                <w:sz w:val="22"/>
                <w:szCs w:val="22"/>
              </w:rPr>
            </w:pPr>
            <w:r w:rsidRPr="00820F0F">
              <w:rPr>
                <w:rFonts w:ascii="Times New Roman" w:hAnsi="Times New Roman"/>
                <w:b/>
                <w:bCs/>
                <w:color w:val="000000"/>
                <w:sz w:val="22"/>
                <w:szCs w:val="22"/>
              </w:rPr>
              <w:t>Newcastle:</w:t>
            </w:r>
            <w:r w:rsidRPr="00820F0F">
              <w:rPr>
                <w:rFonts w:ascii="Times New Roman" w:hAnsi="Times New Roman"/>
                <w:color w:val="000000"/>
                <w:sz w:val="22"/>
                <w:szCs w:val="22"/>
              </w:rPr>
              <w:br/>
            </w:r>
            <w:r w:rsidR="004805D8" w:rsidRPr="00820F0F">
              <w:rPr>
                <w:rFonts w:ascii="Times New Roman" w:hAnsi="Times New Roman"/>
                <w:color w:val="000000"/>
                <w:sz w:val="22"/>
                <w:szCs w:val="22"/>
              </w:rPr>
              <w:t>▪ 744,849 Animales vacunados contra la enfermedad de Newcastle.</w:t>
            </w:r>
            <w:r w:rsidR="004805D8" w:rsidRPr="00820F0F">
              <w:rPr>
                <w:rFonts w:ascii="Times New Roman" w:hAnsi="Times New Roman"/>
                <w:color w:val="000000"/>
                <w:sz w:val="22"/>
                <w:szCs w:val="22"/>
              </w:rPr>
              <w:br/>
              <w:t>▪ 9,588 Explotaciones trabajadas para vacunación contra Newcastle.</w:t>
            </w:r>
          </w:p>
          <w:p w14:paraId="5095754A" w14:textId="77777777" w:rsidR="00382354" w:rsidRPr="00820F0F" w:rsidRDefault="00382354" w:rsidP="005F634F">
            <w:pPr>
              <w:spacing w:after="0"/>
              <w:rPr>
                <w:rFonts w:ascii="Times New Roman" w:hAnsi="Times New Roman"/>
                <w:color w:val="000000"/>
                <w:sz w:val="22"/>
                <w:szCs w:val="22"/>
                <w:lang w:eastAsia="en-US"/>
              </w:rPr>
            </w:pPr>
          </w:p>
          <w:p w14:paraId="0257CDB3" w14:textId="77777777" w:rsidR="00382354" w:rsidRDefault="00382354" w:rsidP="004805D8">
            <w:pPr>
              <w:spacing w:after="0"/>
              <w:rPr>
                <w:rFonts w:ascii="Times New Roman" w:hAnsi="Times New Roman"/>
                <w:color w:val="000000"/>
                <w:sz w:val="22"/>
                <w:szCs w:val="22"/>
              </w:rPr>
            </w:pPr>
            <w:r w:rsidRPr="00820F0F">
              <w:rPr>
                <w:rFonts w:ascii="Times New Roman" w:hAnsi="Times New Roman"/>
                <w:b/>
                <w:bCs/>
                <w:color w:val="000000"/>
                <w:sz w:val="22"/>
                <w:szCs w:val="22"/>
              </w:rPr>
              <w:t>Encefalopatía Espongiforme Bovina:</w:t>
            </w:r>
            <w:r w:rsidRPr="00820F0F">
              <w:rPr>
                <w:rFonts w:ascii="Times New Roman" w:hAnsi="Times New Roman"/>
                <w:color w:val="000000"/>
                <w:sz w:val="22"/>
                <w:szCs w:val="22"/>
              </w:rPr>
              <w:br/>
              <w:t>▪ 10,</w:t>
            </w:r>
            <w:r w:rsidR="004805D8" w:rsidRPr="00820F0F">
              <w:rPr>
                <w:rFonts w:ascii="Times New Roman" w:hAnsi="Times New Roman"/>
                <w:color w:val="000000"/>
                <w:sz w:val="22"/>
                <w:szCs w:val="22"/>
              </w:rPr>
              <w:t>58</w:t>
            </w:r>
            <w:r w:rsidRPr="00820F0F">
              <w:rPr>
                <w:rFonts w:ascii="Times New Roman" w:hAnsi="Times New Roman"/>
                <w:color w:val="000000"/>
                <w:sz w:val="22"/>
                <w:szCs w:val="22"/>
              </w:rPr>
              <w:t>7 Puntos de EEB acumulados.</w:t>
            </w:r>
          </w:p>
          <w:p w14:paraId="10C16EA7" w14:textId="2E36AB56" w:rsidR="00820F0F" w:rsidRPr="00820F0F" w:rsidRDefault="00820F0F" w:rsidP="004805D8">
            <w:pPr>
              <w:spacing w:after="0"/>
              <w:rPr>
                <w:rFonts w:ascii="Times New Roman" w:hAnsi="Times New Roman"/>
                <w:color w:val="000000"/>
                <w:sz w:val="22"/>
                <w:szCs w:val="22"/>
                <w:lang w:eastAsia="en-US"/>
              </w:rPr>
            </w:pPr>
          </w:p>
        </w:tc>
        <w:tc>
          <w:tcPr>
            <w:tcW w:w="340" w:type="pct"/>
            <w:gridSpan w:val="2"/>
            <w:shd w:val="clear" w:color="auto" w:fill="auto"/>
            <w:vAlign w:val="center"/>
            <w:hideMark/>
          </w:tcPr>
          <w:p w14:paraId="67BEBD2E"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Gestión normal</w:t>
            </w:r>
          </w:p>
        </w:tc>
        <w:tc>
          <w:tcPr>
            <w:tcW w:w="623" w:type="pct"/>
            <w:gridSpan w:val="3"/>
            <w:shd w:val="clear" w:color="auto" w:fill="auto"/>
            <w:vAlign w:val="center"/>
            <w:hideMark/>
          </w:tcPr>
          <w:p w14:paraId="1B6C769D" w14:textId="77777777" w:rsidR="00382354" w:rsidRPr="00A57704" w:rsidRDefault="00382354" w:rsidP="005F634F">
            <w:pPr>
              <w:spacing w:after="0"/>
              <w:jc w:val="center"/>
              <w:rPr>
                <w:rFonts w:ascii="Times New Roman" w:hAnsi="Times New Roman"/>
                <w:color w:val="000000"/>
                <w:sz w:val="22"/>
                <w:szCs w:val="22"/>
                <w:lang w:eastAsia="en-US"/>
              </w:rPr>
            </w:pPr>
            <w:r w:rsidRPr="00A57704">
              <w:rPr>
                <w:rFonts w:ascii="Times New Roman" w:hAnsi="Times New Roman"/>
                <w:color w:val="000000"/>
                <w:sz w:val="22"/>
                <w:szCs w:val="22"/>
                <w:lang w:eastAsia="en-US"/>
              </w:rPr>
              <w:t xml:space="preserve">Personal de campo insuficiente, Solicitud y autorización de fondos para contratación de personal nuevo </w:t>
            </w:r>
          </w:p>
        </w:tc>
        <w:tc>
          <w:tcPr>
            <w:tcW w:w="801" w:type="pct"/>
            <w:gridSpan w:val="2"/>
            <w:shd w:val="clear" w:color="auto" w:fill="auto"/>
            <w:vAlign w:val="center"/>
            <w:hideMark/>
          </w:tcPr>
          <w:p w14:paraId="2B0F23E7"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Continuar con el control y prevención de enfermedades.</w:t>
            </w:r>
          </w:p>
        </w:tc>
      </w:tr>
      <w:tr w:rsidR="00382354" w:rsidRPr="00A57704" w14:paraId="61516AFC" w14:textId="77777777" w:rsidTr="005F634F">
        <w:trPr>
          <w:trHeight w:val="60"/>
        </w:trPr>
        <w:tc>
          <w:tcPr>
            <w:tcW w:w="636" w:type="pct"/>
            <w:shd w:val="clear" w:color="auto" w:fill="00B050"/>
            <w:vAlign w:val="center"/>
          </w:tcPr>
          <w:p w14:paraId="1C53621D"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lastRenderedPageBreak/>
              <w:t>Meta(s) Presidencial(es)</w:t>
            </w:r>
          </w:p>
        </w:tc>
        <w:tc>
          <w:tcPr>
            <w:tcW w:w="670" w:type="pct"/>
            <w:gridSpan w:val="3"/>
            <w:shd w:val="clear" w:color="auto" w:fill="00B050"/>
            <w:vAlign w:val="center"/>
          </w:tcPr>
          <w:p w14:paraId="45E7AD0E"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Institución Responsable</w:t>
            </w:r>
          </w:p>
        </w:tc>
        <w:tc>
          <w:tcPr>
            <w:tcW w:w="1929" w:type="pct"/>
            <w:gridSpan w:val="3"/>
            <w:shd w:val="clear" w:color="auto" w:fill="00B050"/>
            <w:vAlign w:val="center"/>
          </w:tcPr>
          <w:p w14:paraId="63E6C69A" w14:textId="5D1B3670" w:rsidR="00382354" w:rsidRPr="00A57704" w:rsidRDefault="0017763E"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Logros Acumulados 2016 - 2019</w:t>
            </w:r>
          </w:p>
        </w:tc>
        <w:tc>
          <w:tcPr>
            <w:tcW w:w="340" w:type="pct"/>
            <w:gridSpan w:val="2"/>
            <w:shd w:val="clear" w:color="auto" w:fill="00B050"/>
            <w:vAlign w:val="center"/>
          </w:tcPr>
          <w:p w14:paraId="275DFDF4"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Estado</w:t>
            </w:r>
          </w:p>
        </w:tc>
        <w:tc>
          <w:tcPr>
            <w:tcW w:w="623" w:type="pct"/>
            <w:gridSpan w:val="3"/>
            <w:shd w:val="clear" w:color="auto" w:fill="00B050"/>
            <w:vAlign w:val="center"/>
          </w:tcPr>
          <w:p w14:paraId="5BE444B8"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Alertas y Restricciones</w:t>
            </w:r>
          </w:p>
        </w:tc>
        <w:tc>
          <w:tcPr>
            <w:tcW w:w="801" w:type="pct"/>
            <w:gridSpan w:val="2"/>
            <w:shd w:val="clear" w:color="auto" w:fill="00B050"/>
            <w:vAlign w:val="center"/>
          </w:tcPr>
          <w:p w14:paraId="5F2D20D5" w14:textId="77777777" w:rsidR="00382354" w:rsidRPr="00A57704" w:rsidRDefault="00382354" w:rsidP="005F634F">
            <w:pPr>
              <w:spacing w:after="0"/>
              <w:jc w:val="center"/>
              <w:rPr>
                <w:rFonts w:ascii="Times New Roman" w:hAnsi="Times New Roman"/>
                <w:b/>
                <w:bCs/>
                <w:color w:val="FFFFFF" w:themeColor="background1"/>
                <w:sz w:val="22"/>
                <w:szCs w:val="22"/>
                <w:lang w:eastAsia="en-US"/>
              </w:rPr>
            </w:pPr>
            <w:r w:rsidRPr="00A57704">
              <w:rPr>
                <w:rFonts w:ascii="Times New Roman" w:hAnsi="Times New Roman"/>
                <w:b/>
                <w:bCs/>
                <w:color w:val="FFFFFF" w:themeColor="background1"/>
                <w:sz w:val="22"/>
                <w:szCs w:val="22"/>
                <w:lang w:eastAsia="en-US"/>
              </w:rPr>
              <w:t>Acciones pendientes y próximos pasos</w:t>
            </w:r>
          </w:p>
        </w:tc>
      </w:tr>
      <w:tr w:rsidR="00382354" w:rsidRPr="00A57704" w14:paraId="1C0BCB14" w14:textId="77777777" w:rsidTr="005F634F">
        <w:trPr>
          <w:trHeight w:val="2400"/>
        </w:trPr>
        <w:tc>
          <w:tcPr>
            <w:tcW w:w="636" w:type="pct"/>
            <w:shd w:val="clear" w:color="auto" w:fill="auto"/>
            <w:vAlign w:val="center"/>
          </w:tcPr>
          <w:p w14:paraId="0B823D10"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xml:space="preserve">Desarrollar el Programa de Trazabilidad Bovina </w:t>
            </w:r>
          </w:p>
        </w:tc>
        <w:tc>
          <w:tcPr>
            <w:tcW w:w="670" w:type="pct"/>
            <w:gridSpan w:val="3"/>
            <w:shd w:val="clear" w:color="auto" w:fill="auto"/>
            <w:vAlign w:val="center"/>
          </w:tcPr>
          <w:p w14:paraId="1E6D376D"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DIGEGA</w:t>
            </w:r>
          </w:p>
        </w:tc>
        <w:tc>
          <w:tcPr>
            <w:tcW w:w="1929" w:type="pct"/>
            <w:gridSpan w:val="3"/>
            <w:shd w:val="clear" w:color="auto" w:fill="auto"/>
            <w:vAlign w:val="center"/>
          </w:tcPr>
          <w:p w14:paraId="5EF4154E" w14:textId="72D78D7E" w:rsidR="00382354" w:rsidRPr="00A57704" w:rsidRDefault="00AB27F7" w:rsidP="005F634F">
            <w:pPr>
              <w:spacing w:after="0"/>
              <w:rPr>
                <w:rFonts w:ascii="Times New Roman" w:hAnsi="Times New Roman"/>
                <w:color w:val="000000"/>
                <w:sz w:val="22"/>
                <w:szCs w:val="22"/>
                <w:lang w:eastAsia="en-US"/>
              </w:rPr>
            </w:pPr>
            <w:r>
              <w:rPr>
                <w:rFonts w:ascii="Times New Roman" w:hAnsi="Times New Roman"/>
                <w:color w:val="000000"/>
                <w:sz w:val="22"/>
                <w:szCs w:val="22"/>
                <w:lang w:eastAsia="en-US"/>
              </w:rPr>
              <w:t>▪ 374,494</w:t>
            </w:r>
            <w:r w:rsidR="00382354" w:rsidRPr="00A57704">
              <w:rPr>
                <w:rFonts w:ascii="Times New Roman" w:hAnsi="Times New Roman"/>
                <w:color w:val="000000"/>
                <w:sz w:val="22"/>
                <w:szCs w:val="22"/>
                <w:lang w:eastAsia="en-US"/>
              </w:rPr>
              <w:t xml:space="preserve"> de bovinos trazados y saneados.</w:t>
            </w:r>
          </w:p>
          <w:p w14:paraId="54E240D4" w14:textId="05C54E6D" w:rsidR="00382354" w:rsidRPr="00A57704" w:rsidRDefault="00382354" w:rsidP="00AB27F7">
            <w:pPr>
              <w:spacing w:after="0"/>
              <w:rPr>
                <w:rFonts w:ascii="Times New Roman" w:hAnsi="Times New Roman"/>
                <w:color w:val="000000"/>
                <w:sz w:val="22"/>
              </w:rPr>
            </w:pPr>
            <w:r w:rsidRPr="00A57704">
              <w:rPr>
                <w:rFonts w:ascii="Times New Roman" w:hAnsi="Times New Roman"/>
                <w:color w:val="000000"/>
                <w:sz w:val="22"/>
                <w:szCs w:val="22"/>
                <w:lang w:eastAsia="en-US"/>
              </w:rPr>
              <w:t xml:space="preserve">▪ </w:t>
            </w:r>
            <w:r w:rsidR="00AB27F7">
              <w:rPr>
                <w:rFonts w:ascii="Times New Roman" w:hAnsi="Times New Roman"/>
                <w:color w:val="000000"/>
                <w:sz w:val="22"/>
                <w:szCs w:val="22"/>
                <w:lang w:eastAsia="en-US"/>
              </w:rPr>
              <w:t>7,160</w:t>
            </w:r>
            <w:r w:rsidRPr="00A57704">
              <w:rPr>
                <w:rFonts w:ascii="Times New Roman" w:hAnsi="Times New Roman"/>
                <w:color w:val="000000"/>
                <w:sz w:val="22"/>
                <w:szCs w:val="22"/>
                <w:lang w:eastAsia="en-US"/>
              </w:rPr>
              <w:t xml:space="preserve"> establecimientos registrados y 7,</w:t>
            </w:r>
            <w:r w:rsidR="00AB27F7">
              <w:rPr>
                <w:rFonts w:ascii="Times New Roman" w:hAnsi="Times New Roman"/>
                <w:color w:val="000000"/>
                <w:sz w:val="22"/>
                <w:szCs w:val="22"/>
                <w:lang w:eastAsia="en-US"/>
              </w:rPr>
              <w:t>497</w:t>
            </w:r>
            <w:r w:rsidRPr="00A57704">
              <w:rPr>
                <w:rFonts w:ascii="Times New Roman" w:hAnsi="Times New Roman"/>
                <w:color w:val="000000"/>
                <w:sz w:val="22"/>
                <w:szCs w:val="22"/>
                <w:lang w:eastAsia="en-US"/>
              </w:rPr>
              <w:t xml:space="preserve"> productores ganaderos registrados.</w:t>
            </w:r>
          </w:p>
        </w:tc>
        <w:tc>
          <w:tcPr>
            <w:tcW w:w="340" w:type="pct"/>
            <w:gridSpan w:val="2"/>
            <w:shd w:val="clear" w:color="auto" w:fill="auto"/>
            <w:vAlign w:val="center"/>
          </w:tcPr>
          <w:p w14:paraId="06DDE9A6"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Gestión normal</w:t>
            </w:r>
          </w:p>
        </w:tc>
        <w:tc>
          <w:tcPr>
            <w:tcW w:w="623" w:type="pct"/>
            <w:gridSpan w:val="3"/>
            <w:shd w:val="clear" w:color="auto" w:fill="auto"/>
            <w:vAlign w:val="center"/>
          </w:tcPr>
          <w:p w14:paraId="0A59369C"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xml:space="preserve">▪ Personal de campo insuficiente, Solicitud y autorización de fondos para contratación de personal nuevo </w:t>
            </w:r>
          </w:p>
        </w:tc>
        <w:tc>
          <w:tcPr>
            <w:tcW w:w="801" w:type="pct"/>
            <w:gridSpan w:val="2"/>
            <w:shd w:val="clear" w:color="auto" w:fill="auto"/>
            <w:vAlign w:val="center"/>
          </w:tcPr>
          <w:p w14:paraId="1B90C615" w14:textId="77777777" w:rsidR="00382354" w:rsidRPr="00A57704" w:rsidRDefault="00382354" w:rsidP="005F634F">
            <w:pPr>
              <w:spacing w:after="0"/>
              <w:rPr>
                <w:rFonts w:ascii="Times New Roman" w:hAnsi="Times New Roman"/>
                <w:sz w:val="22"/>
              </w:rPr>
            </w:pPr>
            <w:r w:rsidRPr="00A57704">
              <w:rPr>
                <w:rFonts w:ascii="Times New Roman" w:hAnsi="Times New Roman"/>
                <w:color w:val="000000"/>
                <w:sz w:val="22"/>
                <w:szCs w:val="22"/>
                <w:lang w:eastAsia="en-US"/>
              </w:rPr>
              <w:t>▪ Implementación de las guías de movilización y realización campañas de divulgación.</w:t>
            </w:r>
          </w:p>
        </w:tc>
      </w:tr>
      <w:tr w:rsidR="00382354" w:rsidRPr="00A57704" w14:paraId="3763F4C0" w14:textId="77777777" w:rsidTr="005F634F">
        <w:trPr>
          <w:trHeight w:val="2400"/>
        </w:trPr>
        <w:tc>
          <w:tcPr>
            <w:tcW w:w="636" w:type="pct"/>
            <w:shd w:val="clear" w:color="auto" w:fill="auto"/>
            <w:vAlign w:val="center"/>
          </w:tcPr>
          <w:p w14:paraId="0B7A81A1"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Programa de Desarrollo Productivo y de Competitividad de la Provincia de San Juan</w:t>
            </w:r>
          </w:p>
        </w:tc>
        <w:tc>
          <w:tcPr>
            <w:tcW w:w="670" w:type="pct"/>
            <w:gridSpan w:val="3"/>
            <w:shd w:val="clear" w:color="auto" w:fill="auto"/>
            <w:vAlign w:val="center"/>
          </w:tcPr>
          <w:p w14:paraId="75CBBC46"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MINISTERIO AGRICULTURA</w:t>
            </w:r>
          </w:p>
        </w:tc>
        <w:tc>
          <w:tcPr>
            <w:tcW w:w="1929" w:type="pct"/>
            <w:gridSpan w:val="3"/>
            <w:shd w:val="clear" w:color="auto" w:fill="auto"/>
            <w:vAlign w:val="center"/>
          </w:tcPr>
          <w:p w14:paraId="2402D1E0"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rPr>
              <w:t>▪ (60,310 tareas) niveladas con tecnología a precisión, beneficiando a 1,405 pequeños y medianos productores agropecuarios.</w:t>
            </w:r>
            <w:r w:rsidRPr="00A57704">
              <w:rPr>
                <w:rFonts w:ascii="Times New Roman" w:hAnsi="Times New Roman"/>
                <w:color w:val="000000"/>
                <w:sz w:val="22"/>
              </w:rPr>
              <w:br/>
              <w:t>▪ (116,101 tareas) sembradas de maíz híbrido, beneficiando a 2,124 productores.</w:t>
            </w:r>
            <w:r w:rsidRPr="00A57704">
              <w:rPr>
                <w:rFonts w:ascii="Times New Roman" w:hAnsi="Times New Roman"/>
                <w:color w:val="000000"/>
                <w:sz w:val="22"/>
              </w:rPr>
              <w:br/>
              <w:t>▪ 380 créditos otorgados a 13,340 productores equivalente a RD$1, 170,000 millones en financiamiento.</w:t>
            </w:r>
            <w:r w:rsidRPr="00A57704">
              <w:rPr>
                <w:rFonts w:ascii="Times New Roman" w:hAnsi="Times New Roman"/>
                <w:color w:val="000000"/>
                <w:sz w:val="22"/>
              </w:rPr>
              <w:br/>
              <w:t>▪ 103 kilómetros de canales y bermas rehabilitados</w:t>
            </w:r>
            <w:r w:rsidRPr="00A57704">
              <w:rPr>
                <w:rFonts w:ascii="Times New Roman" w:hAnsi="Times New Roman"/>
                <w:color w:val="000000"/>
              </w:rPr>
              <w:t>.</w:t>
            </w:r>
          </w:p>
        </w:tc>
        <w:tc>
          <w:tcPr>
            <w:tcW w:w="340" w:type="pct"/>
            <w:gridSpan w:val="2"/>
            <w:shd w:val="clear" w:color="auto" w:fill="auto"/>
            <w:vAlign w:val="center"/>
          </w:tcPr>
          <w:p w14:paraId="1B3A4F60"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Gestión normal</w:t>
            </w:r>
          </w:p>
        </w:tc>
        <w:tc>
          <w:tcPr>
            <w:tcW w:w="623" w:type="pct"/>
            <w:gridSpan w:val="3"/>
            <w:shd w:val="clear" w:color="auto" w:fill="auto"/>
            <w:vAlign w:val="center"/>
          </w:tcPr>
          <w:p w14:paraId="2703D6EA" w14:textId="77777777" w:rsidR="00382354" w:rsidRPr="00A57704" w:rsidRDefault="00382354" w:rsidP="005F634F">
            <w:pPr>
              <w:spacing w:after="0"/>
              <w:jc w:val="center"/>
              <w:rPr>
                <w:rFonts w:ascii="Times New Roman" w:hAnsi="Times New Roman"/>
                <w:color w:val="000000"/>
                <w:sz w:val="22"/>
                <w:szCs w:val="22"/>
                <w:lang w:eastAsia="en-US"/>
              </w:rPr>
            </w:pPr>
            <w:r w:rsidRPr="00A57704">
              <w:rPr>
                <w:rFonts w:ascii="Times New Roman" w:hAnsi="Times New Roman"/>
                <w:color w:val="000000"/>
                <w:sz w:val="22"/>
                <w:szCs w:val="22"/>
                <w:lang w:val="en-US" w:eastAsia="en-US"/>
              </w:rPr>
              <w:t>n/a</w:t>
            </w:r>
          </w:p>
        </w:tc>
        <w:tc>
          <w:tcPr>
            <w:tcW w:w="801" w:type="pct"/>
            <w:gridSpan w:val="2"/>
            <w:shd w:val="clear" w:color="auto" w:fill="auto"/>
            <w:vAlign w:val="center"/>
          </w:tcPr>
          <w:p w14:paraId="59589BF5"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sz w:val="22"/>
              </w:rPr>
              <w:t>▪ Aumentar los créditos otorgados en 90.</w:t>
            </w:r>
            <w:r w:rsidRPr="00A57704">
              <w:rPr>
                <w:rFonts w:ascii="Times New Roman" w:hAnsi="Times New Roman"/>
                <w:color w:val="FF0000"/>
                <w:sz w:val="22"/>
              </w:rPr>
              <w:br/>
            </w:r>
            <w:r w:rsidRPr="00A57704">
              <w:rPr>
                <w:rFonts w:ascii="Times New Roman" w:hAnsi="Times New Roman"/>
                <w:sz w:val="22"/>
              </w:rPr>
              <w:t>▪ Construcción de 8 reservorios e instalación de 6 sistemas de riegos presurizados.</w:t>
            </w:r>
          </w:p>
        </w:tc>
      </w:tr>
      <w:tr w:rsidR="00382354" w:rsidRPr="00A57704" w14:paraId="16B0143C" w14:textId="77777777" w:rsidTr="005F634F">
        <w:trPr>
          <w:trHeight w:val="1500"/>
        </w:trPr>
        <w:tc>
          <w:tcPr>
            <w:tcW w:w="636" w:type="pct"/>
            <w:shd w:val="clear" w:color="auto" w:fill="auto"/>
            <w:vAlign w:val="center"/>
            <w:hideMark/>
          </w:tcPr>
          <w:p w14:paraId="10B12F10"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Mejorar las variedades de arroz propiedad del Estado</w:t>
            </w:r>
          </w:p>
        </w:tc>
        <w:tc>
          <w:tcPr>
            <w:tcW w:w="670" w:type="pct"/>
            <w:gridSpan w:val="3"/>
            <w:shd w:val="clear" w:color="auto" w:fill="auto"/>
            <w:vAlign w:val="center"/>
            <w:hideMark/>
          </w:tcPr>
          <w:p w14:paraId="78672CF6"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BIOARROZ</w:t>
            </w:r>
          </w:p>
        </w:tc>
        <w:tc>
          <w:tcPr>
            <w:tcW w:w="1929" w:type="pct"/>
            <w:gridSpan w:val="3"/>
            <w:shd w:val="clear" w:color="auto" w:fill="auto"/>
            <w:vAlign w:val="center"/>
            <w:hideMark/>
          </w:tcPr>
          <w:p w14:paraId="2934C364"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Mejoramiento de 2 variedades de arroz: Ámbar y Juma 67, desarrollo y liberación de una nueva variedad pública de arroz: Juma 68-18.</w:t>
            </w:r>
            <w:r w:rsidRPr="00A57704">
              <w:rPr>
                <w:rFonts w:ascii="Times New Roman" w:hAnsi="Times New Roman"/>
                <w:color w:val="000000"/>
                <w:sz w:val="22"/>
                <w:szCs w:val="22"/>
                <w:lang w:eastAsia="en-US"/>
              </w:rPr>
              <w:br/>
              <w:t xml:space="preserve">▪ </w:t>
            </w:r>
            <w:r w:rsidRPr="00A57704">
              <w:rPr>
                <w:rFonts w:ascii="Times New Roman" w:hAnsi="Times New Roman"/>
                <w:color w:val="000000"/>
                <w:sz w:val="22"/>
                <w:szCs w:val="22"/>
              </w:rPr>
              <w:t>Liberación de una 3era variedad pública de arroz: Juma 68-18 y liberación de una 4ta nueva variedad pública LRC Juma 69-20.</w:t>
            </w:r>
            <w:r w:rsidRPr="00A57704">
              <w:rPr>
                <w:rFonts w:ascii="Times New Roman" w:hAnsi="Times New Roman"/>
                <w:color w:val="000000"/>
                <w:sz w:val="22"/>
                <w:szCs w:val="22"/>
                <w:lang w:eastAsia="en-US"/>
              </w:rPr>
              <w:br/>
              <w:t xml:space="preserve">▪ Promoción y mercadeo de uso de semillas certificadas y con mayor vigor genético </w:t>
            </w:r>
            <w:r w:rsidRPr="00A57704">
              <w:rPr>
                <w:rFonts w:ascii="Times New Roman" w:hAnsi="Times New Roman"/>
                <w:color w:val="000000"/>
                <w:sz w:val="22"/>
                <w:szCs w:val="22"/>
                <w:lang w:eastAsia="en-US"/>
              </w:rPr>
              <w:br/>
              <w:t>▪ 2018 : 152,372 qqs., 16,000 productores beneficiados</w:t>
            </w:r>
            <w:r w:rsidRPr="00A57704">
              <w:rPr>
                <w:rFonts w:ascii="Times New Roman" w:hAnsi="Times New Roman"/>
                <w:color w:val="000000"/>
                <w:sz w:val="22"/>
                <w:szCs w:val="22"/>
                <w:lang w:eastAsia="en-US"/>
              </w:rPr>
              <w:br/>
              <w:t>▪ 2019: 145,690 qqs 21,300 productores beneficiados</w:t>
            </w:r>
          </w:p>
        </w:tc>
        <w:tc>
          <w:tcPr>
            <w:tcW w:w="340" w:type="pct"/>
            <w:gridSpan w:val="2"/>
            <w:shd w:val="clear" w:color="auto" w:fill="auto"/>
            <w:vAlign w:val="center"/>
            <w:hideMark/>
          </w:tcPr>
          <w:p w14:paraId="6838AE10"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Gestión normal</w:t>
            </w:r>
          </w:p>
        </w:tc>
        <w:tc>
          <w:tcPr>
            <w:tcW w:w="623" w:type="pct"/>
            <w:gridSpan w:val="3"/>
            <w:shd w:val="clear" w:color="auto" w:fill="auto"/>
            <w:vAlign w:val="center"/>
            <w:hideMark/>
          </w:tcPr>
          <w:p w14:paraId="617A9ABD"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n/a</w:t>
            </w:r>
          </w:p>
        </w:tc>
        <w:tc>
          <w:tcPr>
            <w:tcW w:w="801" w:type="pct"/>
            <w:gridSpan w:val="2"/>
            <w:shd w:val="clear" w:color="auto" w:fill="auto"/>
            <w:vAlign w:val="center"/>
            <w:hideMark/>
          </w:tcPr>
          <w:p w14:paraId="378F3953" w14:textId="77777777" w:rsidR="00382354" w:rsidRPr="00A57704" w:rsidRDefault="00382354" w:rsidP="005F634F">
            <w:pPr>
              <w:spacing w:after="0"/>
              <w:rPr>
                <w:rFonts w:ascii="Times New Roman" w:hAnsi="Times New Roman"/>
                <w:color w:val="000000" w:themeColor="text1"/>
                <w:sz w:val="22"/>
                <w:szCs w:val="22"/>
              </w:rPr>
            </w:pPr>
            <w:r w:rsidRPr="00A57704">
              <w:rPr>
                <w:rFonts w:ascii="Times New Roman" w:hAnsi="Times New Roman"/>
                <w:color w:val="000000" w:themeColor="text1"/>
                <w:sz w:val="22"/>
                <w:szCs w:val="22"/>
              </w:rPr>
              <w:t>▪ Implementación comercial de la nueva variedad publica LRC Juma 69-20.</w:t>
            </w:r>
          </w:p>
          <w:p w14:paraId="0C96F7E0"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themeColor="text1"/>
                <w:sz w:val="22"/>
                <w:szCs w:val="22"/>
              </w:rPr>
              <w:t>▪ Puesto en marcha de un programa de siembra con uso racional y reducido de agua.</w:t>
            </w:r>
          </w:p>
        </w:tc>
      </w:tr>
      <w:tr w:rsidR="00382354" w:rsidRPr="00A57704" w14:paraId="249D02BE" w14:textId="77777777" w:rsidTr="005F634F">
        <w:trPr>
          <w:trHeight w:val="1500"/>
        </w:trPr>
        <w:tc>
          <w:tcPr>
            <w:tcW w:w="636" w:type="pct"/>
            <w:shd w:val="clear" w:color="auto" w:fill="auto"/>
            <w:vAlign w:val="center"/>
          </w:tcPr>
          <w:p w14:paraId="7C04FCB0"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xml:space="preserve">Implementar el Programa de Huertos Familiares </w:t>
            </w:r>
          </w:p>
        </w:tc>
        <w:tc>
          <w:tcPr>
            <w:tcW w:w="670" w:type="pct"/>
            <w:gridSpan w:val="3"/>
            <w:shd w:val="clear" w:color="auto" w:fill="auto"/>
            <w:vAlign w:val="center"/>
          </w:tcPr>
          <w:p w14:paraId="665EE34C"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MINISTERIO AGRICULTURA</w:t>
            </w:r>
          </w:p>
        </w:tc>
        <w:tc>
          <w:tcPr>
            <w:tcW w:w="1929" w:type="pct"/>
            <w:gridSpan w:val="3"/>
            <w:shd w:val="clear" w:color="auto" w:fill="auto"/>
            <w:vAlign w:val="bottom"/>
          </w:tcPr>
          <w:p w14:paraId="6142C215"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rPr>
              <w:t>▪ Instalación de 30,483 huertos familiares</w:t>
            </w:r>
            <w:r w:rsidRPr="00A57704">
              <w:rPr>
                <w:rFonts w:ascii="Times New Roman" w:hAnsi="Times New Roman"/>
                <w:color w:val="000000"/>
                <w:sz w:val="22"/>
                <w:szCs w:val="22"/>
              </w:rPr>
              <w:br/>
              <w:t>▪ Instalación de 1,476 huertos escolares</w:t>
            </w:r>
            <w:r w:rsidRPr="00A57704">
              <w:rPr>
                <w:rFonts w:ascii="Times New Roman" w:hAnsi="Times New Roman"/>
                <w:color w:val="000000"/>
                <w:sz w:val="22"/>
                <w:szCs w:val="22"/>
              </w:rPr>
              <w:br/>
              <w:t>▪ realización de 365 actividades de extensión y capacitación, beneficiando a 7,232 productores de hortalizas</w:t>
            </w:r>
            <w:r w:rsidRPr="00A57704">
              <w:rPr>
                <w:rFonts w:ascii="Times New Roman" w:hAnsi="Times New Roman"/>
                <w:color w:val="000000"/>
                <w:sz w:val="22"/>
                <w:szCs w:val="22"/>
              </w:rPr>
              <w:br/>
              <w:t>▪ Distribución de material de siembra: (3,945.43 Lbs.) de hortalizas</w:t>
            </w:r>
          </w:p>
        </w:tc>
        <w:tc>
          <w:tcPr>
            <w:tcW w:w="340" w:type="pct"/>
            <w:gridSpan w:val="2"/>
            <w:shd w:val="clear" w:color="auto" w:fill="auto"/>
            <w:vAlign w:val="center"/>
          </w:tcPr>
          <w:p w14:paraId="591C99E9"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Gestión normal</w:t>
            </w:r>
          </w:p>
        </w:tc>
        <w:tc>
          <w:tcPr>
            <w:tcW w:w="623" w:type="pct"/>
            <w:gridSpan w:val="3"/>
            <w:shd w:val="clear" w:color="auto" w:fill="auto"/>
            <w:vAlign w:val="center"/>
          </w:tcPr>
          <w:p w14:paraId="39496A45"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n/a</w:t>
            </w:r>
          </w:p>
        </w:tc>
        <w:tc>
          <w:tcPr>
            <w:tcW w:w="801" w:type="pct"/>
            <w:gridSpan w:val="2"/>
            <w:shd w:val="clear" w:color="auto" w:fill="auto"/>
            <w:vAlign w:val="center"/>
          </w:tcPr>
          <w:p w14:paraId="507E9EC0"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Continuar el aumento de huertos a nivel nacional y producción de plántulas de hortalizas para ser distribuidas.</w:t>
            </w:r>
          </w:p>
        </w:tc>
      </w:tr>
      <w:tr w:rsidR="00382354" w:rsidRPr="00A57704" w14:paraId="13FDFA9C" w14:textId="77777777" w:rsidTr="005F634F">
        <w:trPr>
          <w:trHeight w:val="60"/>
        </w:trPr>
        <w:tc>
          <w:tcPr>
            <w:tcW w:w="663" w:type="pct"/>
            <w:gridSpan w:val="2"/>
            <w:shd w:val="clear" w:color="auto" w:fill="00B050"/>
            <w:vAlign w:val="center"/>
          </w:tcPr>
          <w:p w14:paraId="367F0871"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lastRenderedPageBreak/>
              <w:t>Meta(s) Presidencial(es)</w:t>
            </w:r>
          </w:p>
        </w:tc>
        <w:tc>
          <w:tcPr>
            <w:tcW w:w="670" w:type="pct"/>
            <w:gridSpan w:val="3"/>
            <w:shd w:val="clear" w:color="auto" w:fill="00B050"/>
            <w:vAlign w:val="center"/>
          </w:tcPr>
          <w:p w14:paraId="4273B396"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Institución Responsable</w:t>
            </w:r>
          </w:p>
        </w:tc>
        <w:tc>
          <w:tcPr>
            <w:tcW w:w="1903" w:type="pct"/>
            <w:gridSpan w:val="2"/>
            <w:shd w:val="clear" w:color="auto" w:fill="00B050"/>
            <w:vAlign w:val="center"/>
          </w:tcPr>
          <w:p w14:paraId="6BBD67D8"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Logros Acumulados 2016 - 2019</w:t>
            </w:r>
          </w:p>
        </w:tc>
        <w:tc>
          <w:tcPr>
            <w:tcW w:w="356" w:type="pct"/>
            <w:gridSpan w:val="3"/>
            <w:shd w:val="clear" w:color="auto" w:fill="00B050"/>
            <w:vAlign w:val="center"/>
          </w:tcPr>
          <w:p w14:paraId="5C45A7F4"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Estado</w:t>
            </w:r>
          </w:p>
        </w:tc>
        <w:tc>
          <w:tcPr>
            <w:tcW w:w="607" w:type="pct"/>
            <w:gridSpan w:val="2"/>
            <w:shd w:val="clear" w:color="auto" w:fill="00B050"/>
            <w:vAlign w:val="center"/>
          </w:tcPr>
          <w:p w14:paraId="7749176D"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Alertas y Restricciones</w:t>
            </w:r>
          </w:p>
        </w:tc>
        <w:tc>
          <w:tcPr>
            <w:tcW w:w="801" w:type="pct"/>
            <w:gridSpan w:val="2"/>
            <w:shd w:val="clear" w:color="auto" w:fill="00B050"/>
            <w:vAlign w:val="center"/>
          </w:tcPr>
          <w:p w14:paraId="4A149DFE" w14:textId="77777777" w:rsidR="00382354" w:rsidRPr="00A57704" w:rsidRDefault="00382354" w:rsidP="005F634F">
            <w:pPr>
              <w:spacing w:after="0"/>
              <w:jc w:val="center"/>
              <w:rPr>
                <w:rFonts w:ascii="Times New Roman" w:hAnsi="Times New Roman"/>
                <w:b/>
                <w:bCs/>
                <w:color w:val="FFFFFF" w:themeColor="background1"/>
                <w:sz w:val="22"/>
                <w:szCs w:val="22"/>
                <w:lang w:eastAsia="en-US"/>
              </w:rPr>
            </w:pPr>
            <w:r w:rsidRPr="00A57704">
              <w:rPr>
                <w:rFonts w:ascii="Times New Roman" w:hAnsi="Times New Roman"/>
                <w:b/>
                <w:bCs/>
                <w:color w:val="FFFFFF" w:themeColor="background1"/>
                <w:sz w:val="22"/>
                <w:szCs w:val="22"/>
                <w:lang w:eastAsia="en-US"/>
              </w:rPr>
              <w:t>Acciones pendientes y próximos pasos</w:t>
            </w:r>
          </w:p>
        </w:tc>
      </w:tr>
      <w:tr w:rsidR="00382354" w:rsidRPr="00A57704" w14:paraId="616A9E18" w14:textId="77777777" w:rsidTr="005F634F">
        <w:trPr>
          <w:trHeight w:val="900"/>
        </w:trPr>
        <w:tc>
          <w:tcPr>
            <w:tcW w:w="663" w:type="pct"/>
            <w:gridSpan w:val="2"/>
            <w:shd w:val="clear" w:color="auto" w:fill="auto"/>
            <w:vAlign w:val="center"/>
            <w:hideMark/>
          </w:tcPr>
          <w:p w14:paraId="1183E447"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xml:space="preserve">Financiamiento a Pequeños y Medianos Productores Agropecuarios </w:t>
            </w:r>
          </w:p>
        </w:tc>
        <w:tc>
          <w:tcPr>
            <w:tcW w:w="670" w:type="pct"/>
            <w:gridSpan w:val="3"/>
            <w:shd w:val="clear" w:color="auto" w:fill="auto"/>
            <w:vAlign w:val="center"/>
            <w:hideMark/>
          </w:tcPr>
          <w:p w14:paraId="0BD934B7"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BAGRICOLA</w:t>
            </w:r>
          </w:p>
        </w:tc>
        <w:tc>
          <w:tcPr>
            <w:tcW w:w="1903" w:type="pct"/>
            <w:gridSpan w:val="2"/>
            <w:shd w:val="clear" w:color="auto" w:fill="auto"/>
            <w:vAlign w:val="bottom"/>
            <w:hideMark/>
          </w:tcPr>
          <w:p w14:paraId="26C7F772"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rPr>
              <w:t>▪ RD$69, 970,341 millones formalizados, equivalente a una superficie de 4, 302,142 tareas con 74,547 préstamos colocados.</w:t>
            </w:r>
            <w:r w:rsidRPr="00A57704">
              <w:rPr>
                <w:rFonts w:ascii="Times New Roman" w:hAnsi="Times New Roman"/>
                <w:color w:val="000000"/>
                <w:sz w:val="22"/>
              </w:rPr>
              <w:br/>
              <w:t>▪ RD$9, 046,081 millones formalizados para la introducción de tecnologías.</w:t>
            </w:r>
          </w:p>
        </w:tc>
        <w:tc>
          <w:tcPr>
            <w:tcW w:w="356" w:type="pct"/>
            <w:gridSpan w:val="3"/>
            <w:shd w:val="clear" w:color="auto" w:fill="auto"/>
            <w:vAlign w:val="center"/>
            <w:hideMark/>
          </w:tcPr>
          <w:p w14:paraId="606C9546" w14:textId="77777777" w:rsidR="00382354" w:rsidRPr="00A57704" w:rsidRDefault="00382354" w:rsidP="005F634F">
            <w:pPr>
              <w:spacing w:after="0"/>
              <w:jc w:val="center"/>
              <w:rPr>
                <w:rFonts w:ascii="Times New Roman" w:hAnsi="Times New Roman"/>
                <w:color w:val="000000"/>
                <w:sz w:val="22"/>
                <w:szCs w:val="22"/>
                <w:lang w:eastAsia="en-US"/>
              </w:rPr>
            </w:pPr>
            <w:r w:rsidRPr="00A57704">
              <w:rPr>
                <w:rFonts w:ascii="Times New Roman" w:hAnsi="Times New Roman"/>
                <w:color w:val="000000"/>
                <w:sz w:val="22"/>
                <w:szCs w:val="22"/>
                <w:lang w:eastAsia="en-US"/>
              </w:rPr>
              <w:t>Gestión normal</w:t>
            </w:r>
          </w:p>
        </w:tc>
        <w:tc>
          <w:tcPr>
            <w:tcW w:w="607" w:type="pct"/>
            <w:gridSpan w:val="2"/>
            <w:shd w:val="clear" w:color="auto" w:fill="auto"/>
            <w:vAlign w:val="center"/>
            <w:hideMark/>
          </w:tcPr>
          <w:p w14:paraId="40A7757F" w14:textId="77777777" w:rsidR="00382354" w:rsidRPr="00A57704" w:rsidRDefault="00382354" w:rsidP="005F634F">
            <w:pPr>
              <w:spacing w:after="0"/>
              <w:jc w:val="center"/>
              <w:rPr>
                <w:rFonts w:ascii="Times New Roman" w:hAnsi="Times New Roman"/>
                <w:color w:val="000000"/>
                <w:sz w:val="22"/>
                <w:szCs w:val="22"/>
                <w:lang w:eastAsia="en-US"/>
              </w:rPr>
            </w:pPr>
            <w:r w:rsidRPr="00A57704">
              <w:rPr>
                <w:rFonts w:ascii="Times New Roman" w:hAnsi="Times New Roman"/>
                <w:color w:val="000000"/>
                <w:sz w:val="22"/>
                <w:szCs w:val="22"/>
                <w:lang w:eastAsia="en-US"/>
              </w:rPr>
              <w:t>n/a</w:t>
            </w:r>
          </w:p>
        </w:tc>
        <w:tc>
          <w:tcPr>
            <w:tcW w:w="801" w:type="pct"/>
            <w:gridSpan w:val="2"/>
            <w:shd w:val="clear" w:color="auto" w:fill="auto"/>
            <w:vAlign w:val="center"/>
            <w:hideMark/>
          </w:tcPr>
          <w:p w14:paraId="73536585"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Canalización de recursos por un monto ascendente a RD$1,943.2 millones</w:t>
            </w:r>
          </w:p>
        </w:tc>
      </w:tr>
      <w:tr w:rsidR="00382354" w:rsidRPr="00A57704" w14:paraId="42FE4147" w14:textId="77777777" w:rsidTr="005F634F">
        <w:trPr>
          <w:trHeight w:val="900"/>
        </w:trPr>
        <w:tc>
          <w:tcPr>
            <w:tcW w:w="663" w:type="pct"/>
            <w:gridSpan w:val="2"/>
            <w:shd w:val="clear" w:color="auto" w:fill="auto"/>
            <w:vAlign w:val="center"/>
            <w:hideMark/>
          </w:tcPr>
          <w:p w14:paraId="523FE572"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xml:space="preserve">Fomentar la organización de asociaciones y cooperativas de productores agropecuarios </w:t>
            </w:r>
          </w:p>
        </w:tc>
        <w:tc>
          <w:tcPr>
            <w:tcW w:w="670" w:type="pct"/>
            <w:gridSpan w:val="3"/>
            <w:shd w:val="clear" w:color="auto" w:fill="auto"/>
            <w:vAlign w:val="center"/>
            <w:hideMark/>
          </w:tcPr>
          <w:p w14:paraId="78522160" w14:textId="77777777" w:rsidR="00382354" w:rsidRPr="00A57704" w:rsidRDefault="00382354" w:rsidP="005F634F">
            <w:pPr>
              <w:spacing w:after="0"/>
              <w:jc w:val="center"/>
              <w:rPr>
                <w:rFonts w:ascii="Times New Roman" w:hAnsi="Times New Roman"/>
                <w:color w:val="000000"/>
                <w:sz w:val="22"/>
                <w:szCs w:val="22"/>
                <w:lang w:eastAsia="en-US"/>
              </w:rPr>
            </w:pPr>
            <w:r w:rsidRPr="00A57704">
              <w:rPr>
                <w:rFonts w:ascii="Times New Roman" w:hAnsi="Times New Roman"/>
                <w:color w:val="000000"/>
                <w:sz w:val="22"/>
                <w:szCs w:val="22"/>
                <w:lang w:eastAsia="en-US"/>
              </w:rPr>
              <w:t>IAD</w:t>
            </w:r>
          </w:p>
        </w:tc>
        <w:tc>
          <w:tcPr>
            <w:tcW w:w="1903" w:type="pct"/>
            <w:gridSpan w:val="2"/>
            <w:shd w:val="clear" w:color="auto" w:fill="auto"/>
            <w:vAlign w:val="center"/>
            <w:hideMark/>
          </w:tcPr>
          <w:p w14:paraId="01D74D59"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(30) Cooperativas de 1er grado incorporadas.</w:t>
            </w:r>
            <w:r w:rsidRPr="00A57704">
              <w:rPr>
                <w:rFonts w:ascii="Times New Roman" w:hAnsi="Times New Roman"/>
                <w:color w:val="000000"/>
                <w:sz w:val="22"/>
                <w:szCs w:val="22"/>
                <w:lang w:eastAsia="en-US"/>
              </w:rPr>
              <w:br/>
              <w:t>▪ (64) Organizaciones (asociaciones) estructuradas.</w:t>
            </w:r>
            <w:r w:rsidRPr="00A57704">
              <w:rPr>
                <w:rFonts w:ascii="Times New Roman" w:hAnsi="Times New Roman"/>
                <w:color w:val="000000"/>
                <w:sz w:val="22"/>
                <w:szCs w:val="22"/>
                <w:lang w:eastAsia="en-US"/>
              </w:rPr>
              <w:br/>
              <w:t>▪ (95) Organizaciones (asociaciones) reestructuradas.</w:t>
            </w:r>
          </w:p>
        </w:tc>
        <w:tc>
          <w:tcPr>
            <w:tcW w:w="356" w:type="pct"/>
            <w:gridSpan w:val="3"/>
            <w:shd w:val="clear" w:color="auto" w:fill="auto"/>
            <w:vAlign w:val="center"/>
            <w:hideMark/>
          </w:tcPr>
          <w:p w14:paraId="3BBF1158"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Gestión normal</w:t>
            </w:r>
          </w:p>
        </w:tc>
        <w:tc>
          <w:tcPr>
            <w:tcW w:w="607" w:type="pct"/>
            <w:gridSpan w:val="2"/>
            <w:shd w:val="clear" w:color="auto" w:fill="auto"/>
            <w:vAlign w:val="center"/>
            <w:hideMark/>
          </w:tcPr>
          <w:p w14:paraId="2C0937C9"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n/a</w:t>
            </w:r>
          </w:p>
        </w:tc>
        <w:tc>
          <w:tcPr>
            <w:tcW w:w="801" w:type="pct"/>
            <w:gridSpan w:val="2"/>
            <w:shd w:val="clear" w:color="auto" w:fill="auto"/>
            <w:vAlign w:val="center"/>
            <w:hideMark/>
          </w:tcPr>
          <w:p w14:paraId="78ADEA31"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En proceso de estructuración de (54) asociaciones.</w:t>
            </w:r>
          </w:p>
        </w:tc>
      </w:tr>
      <w:tr w:rsidR="00382354" w:rsidRPr="00A57704" w14:paraId="38F695E4" w14:textId="77777777" w:rsidTr="005F634F">
        <w:trPr>
          <w:trHeight w:val="2115"/>
        </w:trPr>
        <w:tc>
          <w:tcPr>
            <w:tcW w:w="663" w:type="pct"/>
            <w:gridSpan w:val="2"/>
            <w:shd w:val="clear" w:color="auto" w:fill="auto"/>
            <w:vAlign w:val="center"/>
            <w:hideMark/>
          </w:tcPr>
          <w:p w14:paraId="2F1B14CA"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Fortalecer la Capacidad de Producción de Plantas de Cacao a Nivel Nacional</w:t>
            </w:r>
          </w:p>
        </w:tc>
        <w:tc>
          <w:tcPr>
            <w:tcW w:w="670" w:type="pct"/>
            <w:gridSpan w:val="3"/>
            <w:shd w:val="clear" w:color="auto" w:fill="auto"/>
            <w:vAlign w:val="center"/>
            <w:hideMark/>
          </w:tcPr>
          <w:p w14:paraId="3CF9549D"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MINISTERIO AGRICULTURA</w:t>
            </w:r>
          </w:p>
        </w:tc>
        <w:tc>
          <w:tcPr>
            <w:tcW w:w="1903" w:type="pct"/>
            <w:gridSpan w:val="2"/>
            <w:shd w:val="clear" w:color="auto" w:fill="auto"/>
            <w:vAlign w:val="center"/>
            <w:hideMark/>
          </w:tcPr>
          <w:p w14:paraId="442FCC99"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rPr>
              <w:t>▪ 32 viveros de cacao rehabilitados.</w:t>
            </w:r>
            <w:r w:rsidRPr="00A57704">
              <w:rPr>
                <w:rFonts w:ascii="Times New Roman" w:hAnsi="Times New Roman"/>
                <w:color w:val="000000"/>
                <w:sz w:val="22"/>
              </w:rPr>
              <w:br/>
              <w:t>▪ 11, 121,140 Millones de plantas de cacao hibridas Producidas.</w:t>
            </w:r>
            <w:r w:rsidRPr="00A57704">
              <w:rPr>
                <w:rFonts w:ascii="Times New Roman" w:hAnsi="Times New Roman"/>
                <w:color w:val="000000"/>
                <w:sz w:val="22"/>
              </w:rPr>
              <w:br/>
              <w:t>▪ 7, 554,081 Millones de plantas de cacao distribuidas, beneficiando a 8,428 productores cacaotaleros.</w:t>
            </w:r>
          </w:p>
        </w:tc>
        <w:tc>
          <w:tcPr>
            <w:tcW w:w="356" w:type="pct"/>
            <w:gridSpan w:val="3"/>
            <w:shd w:val="clear" w:color="auto" w:fill="auto"/>
            <w:vAlign w:val="center"/>
            <w:hideMark/>
          </w:tcPr>
          <w:p w14:paraId="78C8E0F2"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Gestión normal</w:t>
            </w:r>
          </w:p>
        </w:tc>
        <w:tc>
          <w:tcPr>
            <w:tcW w:w="607" w:type="pct"/>
            <w:gridSpan w:val="2"/>
            <w:shd w:val="clear" w:color="auto" w:fill="auto"/>
            <w:vAlign w:val="center"/>
            <w:hideMark/>
          </w:tcPr>
          <w:p w14:paraId="4D6A9C2C"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n/a</w:t>
            </w:r>
          </w:p>
        </w:tc>
        <w:tc>
          <w:tcPr>
            <w:tcW w:w="801" w:type="pct"/>
            <w:gridSpan w:val="2"/>
            <w:shd w:val="clear" w:color="auto" w:fill="auto"/>
            <w:vAlign w:val="bottom"/>
            <w:hideMark/>
          </w:tcPr>
          <w:p w14:paraId="0DF6325B"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Capacitación los productores y los técnicos de nuevo ingreso, sobre la Monilia.</w:t>
            </w:r>
            <w:r w:rsidRPr="00A57704">
              <w:rPr>
                <w:rFonts w:ascii="Times New Roman" w:hAnsi="Times New Roman"/>
                <w:color w:val="000000"/>
                <w:sz w:val="22"/>
                <w:szCs w:val="22"/>
                <w:lang w:eastAsia="en-US"/>
              </w:rPr>
              <w:br/>
              <w:t>▪ implementación del protocolo contra la Monilia.</w:t>
            </w:r>
          </w:p>
        </w:tc>
      </w:tr>
      <w:tr w:rsidR="00382354" w:rsidRPr="00A57704" w14:paraId="5DC682BA" w14:textId="77777777" w:rsidTr="005F634F">
        <w:trPr>
          <w:trHeight w:val="78"/>
        </w:trPr>
        <w:tc>
          <w:tcPr>
            <w:tcW w:w="663" w:type="pct"/>
            <w:gridSpan w:val="2"/>
            <w:shd w:val="clear" w:color="auto" w:fill="auto"/>
            <w:vAlign w:val="center"/>
          </w:tcPr>
          <w:p w14:paraId="66E11495" w14:textId="77777777" w:rsidR="00382354" w:rsidRPr="00A57704" w:rsidRDefault="00382354" w:rsidP="005F634F">
            <w:pPr>
              <w:spacing w:after="0"/>
              <w:rPr>
                <w:rFonts w:ascii="Times New Roman" w:hAnsi="Times New Roman"/>
                <w:color w:val="000000"/>
                <w:sz w:val="22"/>
              </w:rPr>
            </w:pPr>
            <w:r w:rsidRPr="00A57704">
              <w:rPr>
                <w:rFonts w:ascii="Times New Roman" w:hAnsi="Times New Roman"/>
                <w:color w:val="000000"/>
                <w:sz w:val="22"/>
              </w:rPr>
              <w:t>Fortalecer la Sostenible de Frutales</w:t>
            </w:r>
          </w:p>
        </w:tc>
        <w:tc>
          <w:tcPr>
            <w:tcW w:w="670" w:type="pct"/>
            <w:gridSpan w:val="3"/>
            <w:shd w:val="clear" w:color="auto" w:fill="auto"/>
            <w:vAlign w:val="center"/>
          </w:tcPr>
          <w:p w14:paraId="63DF8047" w14:textId="77777777" w:rsidR="00382354" w:rsidRPr="00A57704" w:rsidRDefault="00382354" w:rsidP="005F634F">
            <w:pPr>
              <w:spacing w:after="0"/>
              <w:jc w:val="center"/>
              <w:rPr>
                <w:rFonts w:ascii="Times New Roman" w:hAnsi="Times New Roman"/>
                <w:color w:val="000000"/>
                <w:sz w:val="22"/>
                <w:lang w:val="en-US"/>
              </w:rPr>
            </w:pPr>
            <w:r w:rsidRPr="00A57704">
              <w:rPr>
                <w:rFonts w:ascii="Times New Roman" w:hAnsi="Times New Roman"/>
                <w:color w:val="000000"/>
                <w:sz w:val="22"/>
                <w:lang w:val="en-US"/>
              </w:rPr>
              <w:t>MINISTERIO AGRICULTURA</w:t>
            </w:r>
          </w:p>
        </w:tc>
        <w:tc>
          <w:tcPr>
            <w:tcW w:w="1903" w:type="pct"/>
            <w:gridSpan w:val="2"/>
            <w:shd w:val="clear" w:color="auto" w:fill="auto"/>
            <w:vAlign w:val="center"/>
          </w:tcPr>
          <w:p w14:paraId="10491011" w14:textId="77777777" w:rsidR="00382354" w:rsidRPr="00A57704" w:rsidRDefault="00382354" w:rsidP="005F634F">
            <w:pPr>
              <w:spacing w:after="0"/>
              <w:rPr>
                <w:rFonts w:ascii="Times New Roman" w:hAnsi="Times New Roman"/>
                <w:color w:val="000000"/>
                <w:sz w:val="22"/>
              </w:rPr>
            </w:pPr>
            <w:r w:rsidRPr="00A57704">
              <w:rPr>
                <w:rFonts w:ascii="Times New Roman" w:hAnsi="Times New Roman"/>
                <w:color w:val="000000"/>
                <w:sz w:val="22"/>
              </w:rPr>
              <w:t>▪ 18 construcciones de viveros frutales, producción de      2, 011,500 plantas, beneficiando a 1,314 productores.</w:t>
            </w:r>
            <w:r w:rsidRPr="00A57704">
              <w:rPr>
                <w:rFonts w:ascii="Times New Roman" w:hAnsi="Times New Roman"/>
                <w:color w:val="000000"/>
                <w:sz w:val="22"/>
              </w:rPr>
              <w:br/>
              <w:t xml:space="preserve">▪ </w:t>
            </w:r>
            <w:r w:rsidRPr="00A57704">
              <w:rPr>
                <w:rFonts w:ascii="Times New Roman" w:hAnsi="Times New Roman"/>
                <w:color w:val="000000"/>
                <w:sz w:val="22"/>
                <w:shd w:val="clear" w:color="auto" w:fill="FFFFFF" w:themeFill="background1"/>
              </w:rPr>
              <w:t>1 viveros construcción en Belloso, Luperón Plata, visita sorpresa No. 211, con capacidad de producir 20,000 plantas.</w:t>
            </w:r>
            <w:r w:rsidRPr="00A57704">
              <w:rPr>
                <w:rFonts w:ascii="Times New Roman" w:hAnsi="Times New Roman"/>
                <w:color w:val="000000"/>
                <w:sz w:val="22"/>
              </w:rPr>
              <w:t xml:space="preserve"> </w:t>
            </w:r>
          </w:p>
        </w:tc>
        <w:tc>
          <w:tcPr>
            <w:tcW w:w="356" w:type="pct"/>
            <w:gridSpan w:val="3"/>
            <w:shd w:val="clear" w:color="auto" w:fill="auto"/>
            <w:vAlign w:val="center"/>
          </w:tcPr>
          <w:p w14:paraId="5DFA21B5" w14:textId="77777777" w:rsidR="00382354" w:rsidRPr="00A57704" w:rsidRDefault="00382354" w:rsidP="005F634F">
            <w:pPr>
              <w:spacing w:after="0"/>
              <w:jc w:val="center"/>
              <w:rPr>
                <w:rFonts w:ascii="Times New Roman" w:hAnsi="Times New Roman"/>
                <w:color w:val="000000"/>
                <w:sz w:val="22"/>
              </w:rPr>
            </w:pPr>
            <w:r w:rsidRPr="00A57704">
              <w:rPr>
                <w:rFonts w:ascii="Times New Roman" w:hAnsi="Times New Roman"/>
                <w:color w:val="000000"/>
                <w:sz w:val="22"/>
              </w:rPr>
              <w:t>Gestión normal</w:t>
            </w:r>
          </w:p>
        </w:tc>
        <w:tc>
          <w:tcPr>
            <w:tcW w:w="607" w:type="pct"/>
            <w:gridSpan w:val="2"/>
            <w:shd w:val="clear" w:color="auto" w:fill="auto"/>
            <w:vAlign w:val="center"/>
          </w:tcPr>
          <w:p w14:paraId="5FEC0C2C" w14:textId="77777777" w:rsidR="00382354" w:rsidRPr="00A57704" w:rsidRDefault="00382354" w:rsidP="005F634F">
            <w:pPr>
              <w:spacing w:after="0"/>
              <w:jc w:val="center"/>
              <w:rPr>
                <w:rFonts w:ascii="Times New Roman" w:hAnsi="Times New Roman"/>
                <w:sz w:val="22"/>
              </w:rPr>
            </w:pPr>
            <w:r w:rsidRPr="00A57704">
              <w:rPr>
                <w:rFonts w:ascii="Times New Roman" w:hAnsi="Times New Roman"/>
                <w:color w:val="000000"/>
                <w:sz w:val="22"/>
              </w:rPr>
              <w:t>n/a</w:t>
            </w:r>
          </w:p>
        </w:tc>
        <w:tc>
          <w:tcPr>
            <w:tcW w:w="801" w:type="pct"/>
            <w:gridSpan w:val="2"/>
            <w:shd w:val="clear" w:color="auto" w:fill="auto"/>
            <w:vAlign w:val="center"/>
          </w:tcPr>
          <w:p w14:paraId="7D9BD1A4" w14:textId="77777777" w:rsidR="00382354" w:rsidRPr="00A57704" w:rsidRDefault="00382354" w:rsidP="005F634F">
            <w:pPr>
              <w:spacing w:after="0"/>
              <w:rPr>
                <w:rFonts w:ascii="Times New Roman" w:hAnsi="Times New Roman"/>
                <w:sz w:val="22"/>
              </w:rPr>
            </w:pPr>
            <w:r w:rsidRPr="00A57704">
              <w:rPr>
                <w:rFonts w:ascii="Times New Roman" w:hAnsi="Times New Roman"/>
                <w:color w:val="000000"/>
                <w:sz w:val="22"/>
              </w:rPr>
              <w:t> ▪ Actividades de asistencia técnica.</w:t>
            </w:r>
            <w:r w:rsidRPr="00A57704">
              <w:rPr>
                <w:rFonts w:ascii="Times New Roman" w:hAnsi="Times New Roman"/>
                <w:color w:val="000000"/>
                <w:sz w:val="22"/>
              </w:rPr>
              <w:br/>
              <w:t>▪ Producción sostenible de plántulas de frutales.</w:t>
            </w:r>
          </w:p>
        </w:tc>
      </w:tr>
      <w:tr w:rsidR="00382354" w:rsidRPr="00A57704" w14:paraId="14D7EFC4" w14:textId="77777777" w:rsidTr="005F634F">
        <w:trPr>
          <w:trHeight w:val="2115"/>
        </w:trPr>
        <w:tc>
          <w:tcPr>
            <w:tcW w:w="663" w:type="pct"/>
            <w:gridSpan w:val="2"/>
            <w:shd w:val="clear" w:color="auto" w:fill="auto"/>
            <w:vAlign w:val="center"/>
          </w:tcPr>
          <w:p w14:paraId="2392070B"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rPr>
              <w:t>Ampliación de la cobertura del Seguro Agropecuario</w:t>
            </w:r>
          </w:p>
        </w:tc>
        <w:tc>
          <w:tcPr>
            <w:tcW w:w="670" w:type="pct"/>
            <w:gridSpan w:val="3"/>
            <w:shd w:val="clear" w:color="auto" w:fill="auto"/>
            <w:vAlign w:val="center"/>
          </w:tcPr>
          <w:p w14:paraId="3424F2EF"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lang w:val="en-US"/>
              </w:rPr>
              <w:t>DIGERA</w:t>
            </w:r>
          </w:p>
        </w:tc>
        <w:tc>
          <w:tcPr>
            <w:tcW w:w="1903" w:type="pct"/>
            <w:gridSpan w:val="2"/>
            <w:shd w:val="clear" w:color="auto" w:fill="auto"/>
            <w:vAlign w:val="center"/>
          </w:tcPr>
          <w:p w14:paraId="08888EAC" w14:textId="77777777" w:rsidR="00382354" w:rsidRPr="00A57704" w:rsidRDefault="00382354" w:rsidP="005F634F">
            <w:pPr>
              <w:spacing w:after="0"/>
              <w:rPr>
                <w:rFonts w:ascii="Times New Roman" w:hAnsi="Times New Roman"/>
                <w:color w:val="000000"/>
                <w:sz w:val="22"/>
              </w:rPr>
            </w:pPr>
            <w:r w:rsidRPr="00A57704">
              <w:rPr>
                <w:rFonts w:ascii="Times New Roman" w:hAnsi="Times New Roman"/>
                <w:color w:val="000000"/>
              </w:rPr>
              <w:t>▪ Monto desembolsado RD$673, 503,258.54.</w:t>
            </w:r>
            <w:r w:rsidRPr="00A57704">
              <w:rPr>
                <w:rFonts w:ascii="Times New Roman" w:hAnsi="Times New Roman"/>
                <w:color w:val="000000"/>
              </w:rPr>
              <w:br/>
              <w:t>▪ 61,451 pólizas pagadas.</w:t>
            </w:r>
            <w:r w:rsidRPr="00A57704">
              <w:rPr>
                <w:rFonts w:ascii="Times New Roman" w:hAnsi="Times New Roman"/>
                <w:color w:val="000000"/>
              </w:rPr>
              <w:br/>
              <w:t>▪ 3, 930,466.26 tareas beneficiadas.</w:t>
            </w:r>
          </w:p>
        </w:tc>
        <w:tc>
          <w:tcPr>
            <w:tcW w:w="356" w:type="pct"/>
            <w:gridSpan w:val="3"/>
            <w:shd w:val="clear" w:color="auto" w:fill="auto"/>
            <w:vAlign w:val="center"/>
          </w:tcPr>
          <w:p w14:paraId="79D619C6"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rPr>
              <w:t>Gestión normal</w:t>
            </w:r>
          </w:p>
        </w:tc>
        <w:tc>
          <w:tcPr>
            <w:tcW w:w="607" w:type="pct"/>
            <w:gridSpan w:val="2"/>
            <w:shd w:val="clear" w:color="auto" w:fill="auto"/>
            <w:vAlign w:val="center"/>
          </w:tcPr>
          <w:p w14:paraId="25A7B119"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rPr>
              <w:t>Disponibilidad de recursos</w:t>
            </w:r>
          </w:p>
        </w:tc>
        <w:tc>
          <w:tcPr>
            <w:tcW w:w="801" w:type="pct"/>
            <w:gridSpan w:val="2"/>
            <w:shd w:val="clear" w:color="auto" w:fill="auto"/>
            <w:vAlign w:val="center"/>
          </w:tcPr>
          <w:p w14:paraId="2D41E2C7" w14:textId="77777777" w:rsidR="00382354" w:rsidRPr="00A57704" w:rsidRDefault="00382354" w:rsidP="005F634F">
            <w:pPr>
              <w:spacing w:after="0"/>
              <w:rPr>
                <w:rFonts w:ascii="Times New Roman" w:hAnsi="Times New Roman"/>
              </w:rPr>
            </w:pPr>
            <w:r w:rsidRPr="00A57704">
              <w:rPr>
                <w:rFonts w:ascii="Times New Roman" w:hAnsi="Times New Roman"/>
              </w:rPr>
              <w:t>▪ Solicitud y autorización de fondos en proceso de pago:</w:t>
            </w:r>
            <w:r w:rsidRPr="00A57704">
              <w:rPr>
                <w:rFonts w:ascii="Times New Roman" w:hAnsi="Times New Roman"/>
              </w:rPr>
              <w:br/>
              <w:t>▪ Monto a desembolsar RD$465,081,196.69</w:t>
            </w:r>
          </w:p>
          <w:p w14:paraId="53A5A5D6"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rPr>
              <w:t>▪ 27,573 pólizas a pagar.</w:t>
            </w:r>
            <w:r w:rsidRPr="00A57704">
              <w:rPr>
                <w:rFonts w:ascii="Times New Roman" w:hAnsi="Times New Roman"/>
              </w:rPr>
              <w:br/>
              <w:t>▪ 2, 087,470.50 tareas a beneficiar.</w:t>
            </w:r>
          </w:p>
        </w:tc>
      </w:tr>
      <w:tr w:rsidR="00382354" w:rsidRPr="00A57704" w14:paraId="522D76B4" w14:textId="77777777" w:rsidTr="005F634F">
        <w:trPr>
          <w:trHeight w:val="60"/>
        </w:trPr>
        <w:tc>
          <w:tcPr>
            <w:tcW w:w="700" w:type="pct"/>
            <w:gridSpan w:val="3"/>
            <w:shd w:val="clear" w:color="auto" w:fill="00B050"/>
            <w:vAlign w:val="center"/>
          </w:tcPr>
          <w:p w14:paraId="3B15F0B2"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lastRenderedPageBreak/>
              <w:t>Meta(s) Presidencial(es)</w:t>
            </w:r>
          </w:p>
        </w:tc>
        <w:tc>
          <w:tcPr>
            <w:tcW w:w="663" w:type="pct"/>
            <w:gridSpan w:val="3"/>
            <w:shd w:val="clear" w:color="auto" w:fill="00B050"/>
            <w:vAlign w:val="center"/>
          </w:tcPr>
          <w:p w14:paraId="53BFA2DF"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Institución Responsable</w:t>
            </w:r>
          </w:p>
        </w:tc>
        <w:tc>
          <w:tcPr>
            <w:tcW w:w="1957" w:type="pct"/>
            <w:gridSpan w:val="2"/>
            <w:shd w:val="clear" w:color="auto" w:fill="00B050"/>
            <w:vAlign w:val="center"/>
          </w:tcPr>
          <w:p w14:paraId="79D8266A" w14:textId="58AA7001" w:rsidR="00382354" w:rsidRPr="00A57704" w:rsidRDefault="0017763E"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Logros Acumulados 2016 - 2019</w:t>
            </w:r>
          </w:p>
        </w:tc>
        <w:tc>
          <w:tcPr>
            <w:tcW w:w="369" w:type="pct"/>
            <w:gridSpan w:val="3"/>
            <w:shd w:val="clear" w:color="auto" w:fill="00B050"/>
            <w:vAlign w:val="center"/>
          </w:tcPr>
          <w:p w14:paraId="7446B5CD"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Estado</w:t>
            </w:r>
          </w:p>
        </w:tc>
        <w:tc>
          <w:tcPr>
            <w:tcW w:w="563" w:type="pct"/>
            <w:gridSpan w:val="2"/>
            <w:shd w:val="clear" w:color="auto" w:fill="00B050"/>
            <w:vAlign w:val="center"/>
          </w:tcPr>
          <w:p w14:paraId="57B97F12" w14:textId="77777777" w:rsidR="00382354" w:rsidRPr="00A57704" w:rsidRDefault="00382354" w:rsidP="005F634F">
            <w:pPr>
              <w:spacing w:after="0"/>
              <w:jc w:val="center"/>
              <w:rPr>
                <w:rFonts w:ascii="Times New Roman" w:hAnsi="Times New Roman"/>
                <w:b/>
                <w:bCs/>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Alertas y Restricciones</w:t>
            </w:r>
          </w:p>
        </w:tc>
        <w:tc>
          <w:tcPr>
            <w:tcW w:w="747" w:type="pct"/>
            <w:shd w:val="clear" w:color="auto" w:fill="00B050"/>
            <w:vAlign w:val="center"/>
          </w:tcPr>
          <w:p w14:paraId="024CAA49" w14:textId="77777777" w:rsidR="00382354" w:rsidRPr="00A57704" w:rsidRDefault="00382354" w:rsidP="005F634F">
            <w:pPr>
              <w:spacing w:after="0"/>
              <w:jc w:val="center"/>
              <w:rPr>
                <w:rFonts w:ascii="Times New Roman" w:hAnsi="Times New Roman"/>
                <w:b/>
                <w:bCs/>
                <w:color w:val="FFFFFF" w:themeColor="background1"/>
                <w:sz w:val="22"/>
                <w:szCs w:val="22"/>
                <w:lang w:eastAsia="en-US"/>
              </w:rPr>
            </w:pPr>
            <w:r w:rsidRPr="00A57704">
              <w:rPr>
                <w:rFonts w:ascii="Times New Roman" w:hAnsi="Times New Roman"/>
                <w:b/>
                <w:bCs/>
                <w:color w:val="FFFFFF" w:themeColor="background1"/>
                <w:sz w:val="22"/>
                <w:szCs w:val="22"/>
                <w:lang w:eastAsia="en-US"/>
              </w:rPr>
              <w:t>Acciones pendientes y próximos pasos</w:t>
            </w:r>
          </w:p>
        </w:tc>
      </w:tr>
      <w:tr w:rsidR="00382354" w:rsidRPr="00A57704" w14:paraId="25ED1A75" w14:textId="77777777" w:rsidTr="005F634F">
        <w:trPr>
          <w:trHeight w:val="1800"/>
        </w:trPr>
        <w:tc>
          <w:tcPr>
            <w:tcW w:w="700" w:type="pct"/>
            <w:gridSpan w:val="3"/>
            <w:shd w:val="clear" w:color="auto" w:fill="auto"/>
            <w:vAlign w:val="center"/>
            <w:hideMark/>
          </w:tcPr>
          <w:p w14:paraId="352FBC79"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rPr>
              <w:t>Fortalecer el Programa de Inocuidad Agroalimentaria</w:t>
            </w:r>
          </w:p>
        </w:tc>
        <w:tc>
          <w:tcPr>
            <w:tcW w:w="663" w:type="pct"/>
            <w:gridSpan w:val="3"/>
            <w:shd w:val="clear" w:color="auto" w:fill="auto"/>
            <w:vAlign w:val="center"/>
            <w:hideMark/>
          </w:tcPr>
          <w:p w14:paraId="035E39B7" w14:textId="77777777" w:rsidR="00382354" w:rsidRPr="00A57704" w:rsidRDefault="00382354" w:rsidP="005F634F">
            <w:pPr>
              <w:spacing w:after="0"/>
              <w:jc w:val="center"/>
              <w:rPr>
                <w:rFonts w:ascii="Times New Roman" w:hAnsi="Times New Roman"/>
                <w:color w:val="000000"/>
                <w:sz w:val="22"/>
                <w:szCs w:val="22"/>
                <w:lang w:eastAsia="en-US"/>
              </w:rPr>
            </w:pPr>
            <w:r w:rsidRPr="00A57704">
              <w:rPr>
                <w:rFonts w:ascii="Times New Roman" w:hAnsi="Times New Roman"/>
                <w:color w:val="000000"/>
                <w:sz w:val="22"/>
              </w:rPr>
              <w:t>MINISTERIO AGRICULTURA</w:t>
            </w:r>
          </w:p>
        </w:tc>
        <w:tc>
          <w:tcPr>
            <w:tcW w:w="1957" w:type="pct"/>
            <w:gridSpan w:val="2"/>
            <w:shd w:val="clear" w:color="auto" w:fill="auto"/>
            <w:vAlign w:val="center"/>
            <w:hideMark/>
          </w:tcPr>
          <w:p w14:paraId="50D8C718" w14:textId="3BA8E2EC" w:rsidR="00382354" w:rsidRPr="00E331D5" w:rsidRDefault="00382354" w:rsidP="00E331D5">
            <w:pPr>
              <w:spacing w:after="0"/>
              <w:rPr>
                <w:rFonts w:ascii="Times New Roman" w:hAnsi="Times New Roman"/>
                <w:color w:val="000000"/>
                <w:sz w:val="22"/>
                <w:szCs w:val="22"/>
                <w:lang w:eastAsia="en-US"/>
              </w:rPr>
            </w:pPr>
            <w:r w:rsidRPr="00E331D5">
              <w:rPr>
                <w:rFonts w:ascii="Times New Roman" w:hAnsi="Times New Roman"/>
                <w:color w:val="000000"/>
                <w:sz w:val="22"/>
              </w:rPr>
              <w:t>▪ 5,324 (tomas de muestras) de frutas, vegetales, miel para de residuos de plaguicidas y microorganismos.</w:t>
            </w:r>
            <w:r w:rsidRPr="00E331D5">
              <w:rPr>
                <w:rFonts w:ascii="Times New Roman" w:hAnsi="Times New Roman"/>
                <w:color w:val="000000"/>
                <w:sz w:val="22"/>
              </w:rPr>
              <w:br/>
            </w:r>
            <w:r w:rsidRPr="00E331D5">
              <w:rPr>
                <w:rFonts w:ascii="Times New Roman" w:hAnsi="Times New Roman"/>
                <w:color w:val="000000" w:themeColor="text1"/>
                <w:sz w:val="22"/>
              </w:rPr>
              <w:t xml:space="preserve">▪ (93 </w:t>
            </w:r>
            <w:r w:rsidRPr="00E331D5">
              <w:rPr>
                <w:rFonts w:ascii="Times New Roman" w:hAnsi="Times New Roman"/>
                <w:color w:val="000000"/>
                <w:sz w:val="22"/>
              </w:rPr>
              <w:t>actividades) de extensión y capacitación en Buenas Practicas, sobre la Ley de modernización de la inocuidad de los alimentos e higiene beneficiando un total de (5,792)</w:t>
            </w:r>
            <w:r w:rsidR="00E331D5">
              <w:rPr>
                <w:rFonts w:ascii="Times New Roman" w:hAnsi="Times New Roman"/>
                <w:color w:val="000000"/>
                <w:sz w:val="22"/>
              </w:rPr>
              <w:t xml:space="preserve"> productores agropecuarios.</w:t>
            </w:r>
          </w:p>
        </w:tc>
        <w:tc>
          <w:tcPr>
            <w:tcW w:w="369" w:type="pct"/>
            <w:gridSpan w:val="3"/>
            <w:shd w:val="clear" w:color="auto" w:fill="auto"/>
            <w:vAlign w:val="center"/>
            <w:hideMark/>
          </w:tcPr>
          <w:p w14:paraId="275AC49A"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lang w:val="en-US"/>
              </w:rPr>
              <w:t>Gestión normal</w:t>
            </w:r>
          </w:p>
        </w:tc>
        <w:tc>
          <w:tcPr>
            <w:tcW w:w="563" w:type="pct"/>
            <w:gridSpan w:val="2"/>
            <w:shd w:val="clear" w:color="auto" w:fill="auto"/>
            <w:vAlign w:val="center"/>
            <w:hideMark/>
          </w:tcPr>
          <w:p w14:paraId="60351C76"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n/a</w:t>
            </w:r>
          </w:p>
        </w:tc>
        <w:tc>
          <w:tcPr>
            <w:tcW w:w="747" w:type="pct"/>
            <w:shd w:val="clear" w:color="auto" w:fill="auto"/>
            <w:vAlign w:val="center"/>
            <w:hideMark/>
          </w:tcPr>
          <w:p w14:paraId="7091D6DF"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rPr>
              <w:t>▪ Continuar con la captura de muestras de frutas, vegetales y miel para de residuos de plaguicidas y microorganismos.</w:t>
            </w:r>
          </w:p>
        </w:tc>
      </w:tr>
      <w:tr w:rsidR="00382354" w:rsidRPr="00A57704" w14:paraId="36BF5B6E" w14:textId="77777777" w:rsidTr="005F634F">
        <w:trPr>
          <w:trHeight w:val="1500"/>
        </w:trPr>
        <w:tc>
          <w:tcPr>
            <w:tcW w:w="700" w:type="pct"/>
            <w:gridSpan w:val="3"/>
            <w:shd w:val="clear" w:color="000000" w:fill="FFFFFF"/>
            <w:vAlign w:val="center"/>
            <w:hideMark/>
          </w:tcPr>
          <w:p w14:paraId="141CAE48"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xml:space="preserve">Fortalecer el Programa de Sanidad Vegetal </w:t>
            </w:r>
          </w:p>
        </w:tc>
        <w:tc>
          <w:tcPr>
            <w:tcW w:w="663" w:type="pct"/>
            <w:gridSpan w:val="3"/>
            <w:shd w:val="clear" w:color="auto" w:fill="auto"/>
            <w:vAlign w:val="center"/>
            <w:hideMark/>
          </w:tcPr>
          <w:p w14:paraId="2B56C757"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MINISTERIO AGRICULTURA</w:t>
            </w:r>
          </w:p>
        </w:tc>
        <w:tc>
          <w:tcPr>
            <w:tcW w:w="1957" w:type="pct"/>
            <w:gridSpan w:val="2"/>
            <w:shd w:val="clear" w:color="auto" w:fill="auto"/>
            <w:vAlign w:val="bottom"/>
            <w:hideMark/>
          </w:tcPr>
          <w:p w14:paraId="3B2A1D83" w14:textId="77777777" w:rsidR="00382354" w:rsidRPr="00A57704" w:rsidRDefault="00382354" w:rsidP="005F634F">
            <w:pPr>
              <w:spacing w:after="0"/>
              <w:rPr>
                <w:rFonts w:ascii="Times New Roman" w:hAnsi="Times New Roman"/>
                <w:color w:val="000000"/>
                <w:sz w:val="22"/>
              </w:rPr>
            </w:pPr>
            <w:r w:rsidRPr="00A57704">
              <w:rPr>
                <w:rFonts w:ascii="Times New Roman" w:hAnsi="Times New Roman"/>
                <w:color w:val="000000"/>
                <w:sz w:val="22"/>
              </w:rPr>
              <w:t>▪ Mantenimiento de condición de país libre de la mosca del mediterráneo (Ceratitis Capitata).</w:t>
            </w:r>
            <w:r w:rsidRPr="00A57704">
              <w:rPr>
                <w:rFonts w:ascii="Times New Roman" w:hAnsi="Times New Roman"/>
                <w:color w:val="000000"/>
                <w:sz w:val="22"/>
              </w:rPr>
              <w:br/>
              <w:t>▪ Prevención y control mosca de la fruta ( Anastrepha+ especies).</w:t>
            </w:r>
          </w:p>
          <w:p w14:paraId="59BAFA50"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rPr>
              <w:t>▪ 17,921 trampas instaladas a nivel nacional.</w:t>
            </w:r>
            <w:r w:rsidRPr="00A57704">
              <w:rPr>
                <w:rFonts w:ascii="Times New Roman" w:hAnsi="Times New Roman"/>
                <w:color w:val="000000"/>
                <w:sz w:val="22"/>
              </w:rPr>
              <w:br/>
              <w:t>▪ Fiscalización 8,319 centros expendios productos  del uso de plaguicidas.</w:t>
            </w:r>
          </w:p>
        </w:tc>
        <w:tc>
          <w:tcPr>
            <w:tcW w:w="369" w:type="pct"/>
            <w:gridSpan w:val="3"/>
            <w:shd w:val="clear" w:color="auto" w:fill="auto"/>
            <w:vAlign w:val="center"/>
            <w:hideMark/>
          </w:tcPr>
          <w:p w14:paraId="7521B317"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Gestión normal</w:t>
            </w:r>
          </w:p>
        </w:tc>
        <w:tc>
          <w:tcPr>
            <w:tcW w:w="563" w:type="pct"/>
            <w:gridSpan w:val="2"/>
            <w:shd w:val="clear" w:color="auto" w:fill="auto"/>
            <w:vAlign w:val="center"/>
            <w:hideMark/>
          </w:tcPr>
          <w:p w14:paraId="28E06601"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n/a</w:t>
            </w:r>
          </w:p>
        </w:tc>
        <w:tc>
          <w:tcPr>
            <w:tcW w:w="747" w:type="pct"/>
            <w:shd w:val="clear" w:color="auto" w:fill="auto"/>
            <w:vAlign w:val="center"/>
            <w:hideMark/>
          </w:tcPr>
          <w:p w14:paraId="43B5F686"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Fortalecimiento del Programa de prevención fitosanitaria.</w:t>
            </w:r>
          </w:p>
        </w:tc>
      </w:tr>
      <w:tr w:rsidR="00382354" w:rsidRPr="00A57704" w14:paraId="4C3A3B37" w14:textId="77777777" w:rsidTr="005F634F">
        <w:trPr>
          <w:trHeight w:val="870"/>
        </w:trPr>
        <w:tc>
          <w:tcPr>
            <w:tcW w:w="700" w:type="pct"/>
            <w:gridSpan w:val="3"/>
            <w:shd w:val="clear" w:color="auto" w:fill="auto"/>
            <w:vAlign w:val="center"/>
          </w:tcPr>
          <w:p w14:paraId="66236240" w14:textId="77777777" w:rsidR="00382354" w:rsidRPr="00A57704" w:rsidRDefault="00382354" w:rsidP="005F634F">
            <w:pPr>
              <w:spacing w:after="0"/>
              <w:rPr>
                <w:rFonts w:ascii="Times New Roman" w:hAnsi="Times New Roman"/>
                <w:sz w:val="22"/>
                <w:szCs w:val="22"/>
                <w:lang w:eastAsia="en-US"/>
              </w:rPr>
            </w:pPr>
            <w:r w:rsidRPr="00A57704">
              <w:rPr>
                <w:rFonts w:ascii="Times New Roman" w:hAnsi="Times New Roman"/>
                <w:color w:val="000000"/>
                <w:sz w:val="22"/>
              </w:rPr>
              <w:t>Incrementar la Producción de Alimentos y Agroexportaciones</w:t>
            </w:r>
          </w:p>
        </w:tc>
        <w:tc>
          <w:tcPr>
            <w:tcW w:w="663" w:type="pct"/>
            <w:gridSpan w:val="3"/>
            <w:shd w:val="clear" w:color="auto" w:fill="auto"/>
            <w:vAlign w:val="center"/>
          </w:tcPr>
          <w:p w14:paraId="767D228A" w14:textId="77777777" w:rsidR="00382354" w:rsidRPr="00A57704" w:rsidRDefault="00382354" w:rsidP="005F634F">
            <w:pPr>
              <w:spacing w:after="0"/>
              <w:jc w:val="center"/>
              <w:rPr>
                <w:rFonts w:ascii="Times New Roman" w:hAnsi="Times New Roman"/>
                <w:sz w:val="22"/>
                <w:szCs w:val="22"/>
                <w:lang w:val="en-US" w:eastAsia="en-US"/>
              </w:rPr>
            </w:pPr>
            <w:r w:rsidRPr="00A57704">
              <w:rPr>
                <w:rFonts w:ascii="Times New Roman" w:hAnsi="Times New Roman"/>
                <w:color w:val="000000"/>
                <w:sz w:val="22"/>
                <w:lang w:val="en-US"/>
              </w:rPr>
              <w:t>MINISTERIO AGRICULTURA</w:t>
            </w:r>
          </w:p>
        </w:tc>
        <w:tc>
          <w:tcPr>
            <w:tcW w:w="1957" w:type="pct"/>
            <w:gridSpan w:val="2"/>
            <w:shd w:val="clear" w:color="auto" w:fill="auto"/>
            <w:vAlign w:val="center"/>
          </w:tcPr>
          <w:p w14:paraId="39A2FA8D"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rPr>
              <w:t>▪ Producción pecuaria a nivel nacional creció 151,487.73 quintales en 2019.</w:t>
            </w:r>
            <w:r w:rsidRPr="00A57704">
              <w:rPr>
                <w:rFonts w:ascii="Times New Roman" w:hAnsi="Times New Roman"/>
                <w:color w:val="000000"/>
                <w:sz w:val="22"/>
              </w:rPr>
              <w:br/>
              <w:t>▪ Producción agrícola a nivel nacional creció 554,969 quintales en 2019 (Proyección cierre de año).</w:t>
            </w:r>
          </w:p>
        </w:tc>
        <w:tc>
          <w:tcPr>
            <w:tcW w:w="369" w:type="pct"/>
            <w:gridSpan w:val="3"/>
            <w:shd w:val="clear" w:color="auto" w:fill="auto"/>
            <w:vAlign w:val="center"/>
          </w:tcPr>
          <w:p w14:paraId="3C72B4C9"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rPr>
              <w:t>Gestión normal</w:t>
            </w:r>
          </w:p>
        </w:tc>
        <w:tc>
          <w:tcPr>
            <w:tcW w:w="563" w:type="pct"/>
            <w:gridSpan w:val="2"/>
            <w:shd w:val="clear" w:color="auto" w:fill="auto"/>
            <w:vAlign w:val="center"/>
          </w:tcPr>
          <w:p w14:paraId="178E5A64"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rPr>
              <w:t>n/a</w:t>
            </w:r>
          </w:p>
        </w:tc>
        <w:tc>
          <w:tcPr>
            <w:tcW w:w="747" w:type="pct"/>
            <w:shd w:val="clear" w:color="auto" w:fill="auto"/>
            <w:vAlign w:val="center"/>
          </w:tcPr>
          <w:p w14:paraId="4B2E59DC"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rPr>
              <w:t> ▪ Incrementar los volúmenes de producción para garantizar la disponibilidad de alimentos</w:t>
            </w:r>
          </w:p>
        </w:tc>
      </w:tr>
      <w:tr w:rsidR="00382354" w:rsidRPr="00A57704" w14:paraId="4570EF5A" w14:textId="77777777" w:rsidTr="005F634F">
        <w:trPr>
          <w:trHeight w:val="1500"/>
        </w:trPr>
        <w:tc>
          <w:tcPr>
            <w:tcW w:w="700" w:type="pct"/>
            <w:gridSpan w:val="3"/>
            <w:shd w:val="clear" w:color="auto" w:fill="auto"/>
            <w:vAlign w:val="center"/>
            <w:hideMark/>
          </w:tcPr>
          <w:p w14:paraId="70FE9534"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Fortalecimiento Institucional de Asociaciones Rurales</w:t>
            </w:r>
          </w:p>
        </w:tc>
        <w:tc>
          <w:tcPr>
            <w:tcW w:w="663" w:type="pct"/>
            <w:gridSpan w:val="3"/>
            <w:shd w:val="clear" w:color="auto" w:fill="auto"/>
            <w:vAlign w:val="center"/>
            <w:hideMark/>
          </w:tcPr>
          <w:p w14:paraId="71AEDF21"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MINISTERIO AGRICULTURA</w:t>
            </w:r>
          </w:p>
        </w:tc>
        <w:tc>
          <w:tcPr>
            <w:tcW w:w="1957" w:type="pct"/>
            <w:gridSpan w:val="2"/>
            <w:shd w:val="clear" w:color="auto" w:fill="auto"/>
            <w:vAlign w:val="center"/>
            <w:hideMark/>
          </w:tcPr>
          <w:p w14:paraId="5CB2DCEA"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rPr>
              <w:t>▪ 47 registro de nombres comerciales de asociaciones de productores.</w:t>
            </w:r>
            <w:r w:rsidRPr="00A57704">
              <w:rPr>
                <w:rFonts w:ascii="Times New Roman" w:hAnsi="Times New Roman"/>
                <w:color w:val="000000"/>
                <w:sz w:val="22"/>
              </w:rPr>
              <w:br/>
              <w:t>▪ 56 reuniones con asociaciones de productores.</w:t>
            </w:r>
          </w:p>
        </w:tc>
        <w:tc>
          <w:tcPr>
            <w:tcW w:w="369" w:type="pct"/>
            <w:gridSpan w:val="3"/>
            <w:shd w:val="clear" w:color="auto" w:fill="auto"/>
            <w:vAlign w:val="center"/>
            <w:hideMark/>
          </w:tcPr>
          <w:p w14:paraId="54D1D473"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Gestión normal</w:t>
            </w:r>
          </w:p>
        </w:tc>
        <w:tc>
          <w:tcPr>
            <w:tcW w:w="563" w:type="pct"/>
            <w:gridSpan w:val="2"/>
            <w:shd w:val="clear" w:color="auto" w:fill="auto"/>
            <w:vAlign w:val="center"/>
            <w:hideMark/>
          </w:tcPr>
          <w:p w14:paraId="10D018A5"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Disponibilidad de recursos</w:t>
            </w:r>
          </w:p>
        </w:tc>
        <w:tc>
          <w:tcPr>
            <w:tcW w:w="747" w:type="pct"/>
            <w:shd w:val="clear" w:color="auto" w:fill="auto"/>
            <w:vAlign w:val="center"/>
            <w:hideMark/>
          </w:tcPr>
          <w:p w14:paraId="1A4E35C1"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xml:space="preserve">▪ Solicitud y autorización de fondos </w:t>
            </w:r>
            <w:r w:rsidRPr="00A57704">
              <w:rPr>
                <w:rFonts w:ascii="Times New Roman" w:hAnsi="Times New Roman"/>
                <w:color w:val="000000"/>
                <w:sz w:val="22"/>
                <w:szCs w:val="22"/>
                <w:lang w:eastAsia="en-US"/>
              </w:rPr>
              <w:br/>
              <w:t>▪ Depósito de Expedientes de asociaciones en Procuraduría General para la incorporación de asociaciones según Ley No. 122-05</w:t>
            </w:r>
          </w:p>
        </w:tc>
      </w:tr>
      <w:tr w:rsidR="00382354" w:rsidRPr="00A57704" w14:paraId="1F1144A5" w14:textId="77777777" w:rsidTr="005F634F">
        <w:trPr>
          <w:trHeight w:val="70"/>
        </w:trPr>
        <w:tc>
          <w:tcPr>
            <w:tcW w:w="700" w:type="pct"/>
            <w:gridSpan w:val="3"/>
            <w:shd w:val="clear" w:color="auto" w:fill="auto"/>
            <w:vAlign w:val="center"/>
          </w:tcPr>
          <w:p w14:paraId="189B190E" w14:textId="77777777" w:rsidR="00382354" w:rsidRPr="00A57704" w:rsidRDefault="00382354" w:rsidP="005F634F">
            <w:pPr>
              <w:spacing w:after="0"/>
              <w:rPr>
                <w:rFonts w:ascii="Times New Roman" w:hAnsi="Times New Roman"/>
                <w:sz w:val="22"/>
                <w:szCs w:val="22"/>
                <w:lang w:eastAsia="en-US"/>
              </w:rPr>
            </w:pPr>
            <w:r w:rsidRPr="00A57704">
              <w:rPr>
                <w:rFonts w:ascii="Times New Roman" w:hAnsi="Times New Roman"/>
                <w:color w:val="000000"/>
                <w:sz w:val="22"/>
                <w:szCs w:val="22"/>
                <w:lang w:eastAsia="en-US"/>
              </w:rPr>
              <w:t>Fortalecer las Estructuras de Comercialización Agropecuaria</w:t>
            </w:r>
          </w:p>
        </w:tc>
        <w:tc>
          <w:tcPr>
            <w:tcW w:w="663" w:type="pct"/>
            <w:gridSpan w:val="3"/>
            <w:shd w:val="clear" w:color="auto" w:fill="auto"/>
            <w:vAlign w:val="center"/>
          </w:tcPr>
          <w:p w14:paraId="111CDAE5" w14:textId="77777777" w:rsidR="00382354" w:rsidRPr="00A57704" w:rsidRDefault="00382354" w:rsidP="005F634F">
            <w:pPr>
              <w:spacing w:after="0"/>
              <w:jc w:val="center"/>
              <w:rPr>
                <w:rFonts w:ascii="Times New Roman" w:hAnsi="Times New Roman"/>
                <w:sz w:val="22"/>
                <w:szCs w:val="22"/>
                <w:lang w:val="en-US" w:eastAsia="en-US"/>
              </w:rPr>
            </w:pPr>
            <w:r w:rsidRPr="00A57704">
              <w:rPr>
                <w:rFonts w:ascii="Times New Roman" w:hAnsi="Times New Roman"/>
                <w:color w:val="000000"/>
                <w:sz w:val="22"/>
                <w:szCs w:val="22"/>
                <w:lang w:val="en-US" w:eastAsia="en-US"/>
              </w:rPr>
              <w:t>MERCADOM</w:t>
            </w:r>
          </w:p>
        </w:tc>
        <w:tc>
          <w:tcPr>
            <w:tcW w:w="1957" w:type="pct"/>
            <w:gridSpan w:val="2"/>
            <w:shd w:val="clear" w:color="auto" w:fill="auto"/>
            <w:vAlign w:val="center"/>
          </w:tcPr>
          <w:p w14:paraId="1B064E7F"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Meta Presidencial No iniciada, no tiene logros acumulados dentro del Sistema de Metas Presidenciales</w:t>
            </w:r>
          </w:p>
        </w:tc>
        <w:tc>
          <w:tcPr>
            <w:tcW w:w="369" w:type="pct"/>
            <w:gridSpan w:val="3"/>
            <w:shd w:val="clear" w:color="auto" w:fill="auto"/>
            <w:vAlign w:val="center"/>
          </w:tcPr>
          <w:p w14:paraId="5BFE26AA"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Atrasada</w:t>
            </w:r>
          </w:p>
        </w:tc>
        <w:tc>
          <w:tcPr>
            <w:tcW w:w="563" w:type="pct"/>
            <w:gridSpan w:val="2"/>
            <w:shd w:val="clear" w:color="auto" w:fill="auto"/>
            <w:vAlign w:val="center"/>
          </w:tcPr>
          <w:p w14:paraId="401E415E"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Disponibilidad de recursos</w:t>
            </w:r>
          </w:p>
        </w:tc>
        <w:tc>
          <w:tcPr>
            <w:tcW w:w="747" w:type="pct"/>
            <w:shd w:val="clear" w:color="auto" w:fill="auto"/>
            <w:vAlign w:val="center"/>
          </w:tcPr>
          <w:p w14:paraId="63BE856B"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rPr>
              <w:t>▪ Aprobación de fondos, proyectos de sometidos al MEPYD</w:t>
            </w:r>
          </w:p>
        </w:tc>
      </w:tr>
      <w:tr w:rsidR="00382354" w:rsidRPr="00A57704" w14:paraId="5D52E941" w14:textId="77777777" w:rsidTr="005F634F">
        <w:trPr>
          <w:trHeight w:val="70"/>
        </w:trPr>
        <w:tc>
          <w:tcPr>
            <w:tcW w:w="700" w:type="pct"/>
            <w:gridSpan w:val="3"/>
            <w:shd w:val="clear" w:color="auto" w:fill="00B050"/>
            <w:vAlign w:val="center"/>
          </w:tcPr>
          <w:p w14:paraId="7483418F" w14:textId="77777777" w:rsidR="00382354" w:rsidRPr="00A57704" w:rsidRDefault="00382354" w:rsidP="005F634F">
            <w:pPr>
              <w:spacing w:after="0"/>
              <w:jc w:val="center"/>
              <w:rPr>
                <w:rFonts w:ascii="Times New Roman" w:hAnsi="Times New Roman"/>
                <w:color w:val="FFFFFF" w:themeColor="background1"/>
                <w:sz w:val="22"/>
                <w:szCs w:val="22"/>
                <w:lang w:eastAsia="en-US"/>
              </w:rPr>
            </w:pPr>
            <w:r w:rsidRPr="00A57704">
              <w:rPr>
                <w:rFonts w:ascii="Times New Roman" w:hAnsi="Times New Roman"/>
                <w:b/>
                <w:bCs/>
                <w:color w:val="FFFFFF" w:themeColor="background1"/>
                <w:sz w:val="22"/>
                <w:szCs w:val="22"/>
                <w:lang w:val="en-US" w:eastAsia="en-US"/>
              </w:rPr>
              <w:lastRenderedPageBreak/>
              <w:t>Meta(s) Presidencial(es)</w:t>
            </w:r>
          </w:p>
        </w:tc>
        <w:tc>
          <w:tcPr>
            <w:tcW w:w="663" w:type="pct"/>
            <w:gridSpan w:val="3"/>
            <w:shd w:val="clear" w:color="auto" w:fill="00B050"/>
            <w:vAlign w:val="center"/>
          </w:tcPr>
          <w:p w14:paraId="6A77000F" w14:textId="77777777" w:rsidR="00382354" w:rsidRPr="00A57704" w:rsidRDefault="00382354" w:rsidP="005F634F">
            <w:pPr>
              <w:spacing w:after="0"/>
              <w:jc w:val="center"/>
              <w:rPr>
                <w:rFonts w:ascii="Times New Roman" w:hAnsi="Times New Roman"/>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Institución Responsable</w:t>
            </w:r>
          </w:p>
        </w:tc>
        <w:tc>
          <w:tcPr>
            <w:tcW w:w="1957" w:type="pct"/>
            <w:gridSpan w:val="2"/>
            <w:shd w:val="clear" w:color="auto" w:fill="00B050"/>
            <w:vAlign w:val="center"/>
          </w:tcPr>
          <w:p w14:paraId="724A3C0D" w14:textId="77777777" w:rsidR="00382354" w:rsidRPr="00A57704" w:rsidRDefault="00382354" w:rsidP="005F634F">
            <w:pPr>
              <w:spacing w:after="0"/>
              <w:jc w:val="center"/>
              <w:rPr>
                <w:rFonts w:ascii="Times New Roman" w:hAnsi="Times New Roman"/>
                <w:color w:val="FFFFFF" w:themeColor="background1"/>
              </w:rPr>
            </w:pPr>
            <w:r w:rsidRPr="00A57704">
              <w:rPr>
                <w:rFonts w:ascii="Times New Roman" w:hAnsi="Times New Roman"/>
                <w:b/>
                <w:bCs/>
                <w:color w:val="FFFFFF" w:themeColor="background1"/>
                <w:sz w:val="22"/>
                <w:szCs w:val="22"/>
                <w:lang w:val="en-US" w:eastAsia="en-US"/>
              </w:rPr>
              <w:t>Logros Acumulados 2016 - 2019</w:t>
            </w:r>
          </w:p>
        </w:tc>
        <w:tc>
          <w:tcPr>
            <w:tcW w:w="369" w:type="pct"/>
            <w:gridSpan w:val="3"/>
            <w:shd w:val="clear" w:color="auto" w:fill="00B050"/>
            <w:vAlign w:val="center"/>
          </w:tcPr>
          <w:p w14:paraId="24EEC18D" w14:textId="77777777" w:rsidR="00382354" w:rsidRPr="00A57704" w:rsidRDefault="00382354" w:rsidP="005F634F">
            <w:pPr>
              <w:spacing w:after="0"/>
              <w:jc w:val="center"/>
              <w:rPr>
                <w:rFonts w:ascii="Times New Roman" w:hAnsi="Times New Roman"/>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Estado</w:t>
            </w:r>
          </w:p>
        </w:tc>
        <w:tc>
          <w:tcPr>
            <w:tcW w:w="563" w:type="pct"/>
            <w:gridSpan w:val="2"/>
            <w:shd w:val="clear" w:color="auto" w:fill="00B050"/>
            <w:vAlign w:val="center"/>
          </w:tcPr>
          <w:p w14:paraId="7683F764" w14:textId="77777777" w:rsidR="00382354" w:rsidRPr="00A57704" w:rsidRDefault="00382354" w:rsidP="005F634F">
            <w:pPr>
              <w:spacing w:after="0"/>
              <w:jc w:val="center"/>
              <w:rPr>
                <w:rFonts w:ascii="Times New Roman" w:hAnsi="Times New Roman"/>
                <w:color w:val="FFFFFF" w:themeColor="background1"/>
                <w:sz w:val="22"/>
                <w:szCs w:val="22"/>
                <w:lang w:val="en-US" w:eastAsia="en-US"/>
              </w:rPr>
            </w:pPr>
            <w:r w:rsidRPr="00A57704">
              <w:rPr>
                <w:rFonts w:ascii="Times New Roman" w:hAnsi="Times New Roman"/>
                <w:b/>
                <w:bCs/>
                <w:color w:val="FFFFFF" w:themeColor="background1"/>
                <w:sz w:val="22"/>
                <w:szCs w:val="22"/>
                <w:lang w:val="en-US" w:eastAsia="en-US"/>
              </w:rPr>
              <w:t>Alertas y Restricciones</w:t>
            </w:r>
          </w:p>
        </w:tc>
        <w:tc>
          <w:tcPr>
            <w:tcW w:w="747" w:type="pct"/>
            <w:shd w:val="clear" w:color="auto" w:fill="00B050"/>
            <w:vAlign w:val="center"/>
          </w:tcPr>
          <w:p w14:paraId="3FB6A7DF" w14:textId="77777777" w:rsidR="00382354" w:rsidRPr="00A57704" w:rsidRDefault="00382354" w:rsidP="005F634F">
            <w:pPr>
              <w:spacing w:after="0"/>
              <w:jc w:val="center"/>
              <w:rPr>
                <w:rFonts w:ascii="Times New Roman" w:hAnsi="Times New Roman"/>
                <w:color w:val="FFFFFF" w:themeColor="background1"/>
                <w:sz w:val="22"/>
                <w:szCs w:val="22"/>
                <w:lang w:eastAsia="en-US"/>
              </w:rPr>
            </w:pPr>
            <w:r w:rsidRPr="00A57704">
              <w:rPr>
                <w:rFonts w:ascii="Times New Roman" w:hAnsi="Times New Roman"/>
                <w:b/>
                <w:bCs/>
                <w:color w:val="FFFFFF" w:themeColor="background1"/>
                <w:sz w:val="22"/>
                <w:szCs w:val="22"/>
                <w:lang w:eastAsia="en-US"/>
              </w:rPr>
              <w:t>Acciones pendientes y próximos pasos</w:t>
            </w:r>
          </w:p>
        </w:tc>
      </w:tr>
      <w:tr w:rsidR="00382354" w:rsidRPr="00A57704" w14:paraId="026E8E52" w14:textId="77777777" w:rsidTr="005F634F">
        <w:trPr>
          <w:trHeight w:val="1200"/>
        </w:trPr>
        <w:tc>
          <w:tcPr>
            <w:tcW w:w="700" w:type="pct"/>
            <w:gridSpan w:val="3"/>
            <w:shd w:val="clear" w:color="auto" w:fill="auto"/>
            <w:vAlign w:val="center"/>
          </w:tcPr>
          <w:p w14:paraId="50CB5B3F"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Evaluado el Impacto de la Cadena de Valor del Cacao en Rep. Dominicana</w:t>
            </w:r>
          </w:p>
        </w:tc>
        <w:tc>
          <w:tcPr>
            <w:tcW w:w="663" w:type="pct"/>
            <w:gridSpan w:val="3"/>
            <w:shd w:val="clear" w:color="auto" w:fill="auto"/>
            <w:vAlign w:val="center"/>
          </w:tcPr>
          <w:p w14:paraId="24786AA9"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IDIAF</w:t>
            </w:r>
          </w:p>
        </w:tc>
        <w:tc>
          <w:tcPr>
            <w:tcW w:w="1957" w:type="pct"/>
            <w:gridSpan w:val="2"/>
            <w:shd w:val="clear" w:color="auto" w:fill="auto"/>
            <w:vAlign w:val="center"/>
          </w:tcPr>
          <w:p w14:paraId="3AA0A904" w14:textId="77777777" w:rsidR="00382354" w:rsidRPr="00A57704" w:rsidRDefault="00382354" w:rsidP="005F634F">
            <w:pPr>
              <w:spacing w:after="0"/>
              <w:rPr>
                <w:rFonts w:ascii="Times New Roman" w:hAnsi="Times New Roman"/>
                <w:color w:val="000000"/>
              </w:rPr>
            </w:pPr>
            <w:r w:rsidRPr="00A57704">
              <w:rPr>
                <w:rFonts w:ascii="Times New Roman" w:hAnsi="Times New Roman"/>
                <w:color w:val="000000"/>
              </w:rPr>
              <w:t>▪ 93% ejecutado de las encuestas planificada a productores provincia duarte, Sánchez Ramírez y María Trinidad Sánchez.</w:t>
            </w:r>
          </w:p>
          <w:p w14:paraId="4080CD34" w14:textId="77777777" w:rsidR="00382354" w:rsidRPr="00A57704" w:rsidRDefault="00382354" w:rsidP="005F634F">
            <w:pPr>
              <w:spacing w:after="0"/>
              <w:rPr>
                <w:rFonts w:ascii="Times New Roman" w:hAnsi="Times New Roman"/>
                <w:color w:val="000000"/>
                <w:sz w:val="22"/>
              </w:rPr>
            </w:pPr>
            <w:r w:rsidRPr="00A57704">
              <w:rPr>
                <w:rFonts w:ascii="Times New Roman" w:hAnsi="Times New Roman"/>
                <w:color w:val="000000"/>
              </w:rPr>
              <w:t>▪ 206 talleres sobre el  desarrollo de la cadena de valor del cacao.</w:t>
            </w:r>
          </w:p>
        </w:tc>
        <w:tc>
          <w:tcPr>
            <w:tcW w:w="369" w:type="pct"/>
            <w:gridSpan w:val="3"/>
            <w:shd w:val="clear" w:color="auto" w:fill="auto"/>
            <w:vAlign w:val="center"/>
          </w:tcPr>
          <w:p w14:paraId="284D1A0F"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Gestión normal</w:t>
            </w:r>
          </w:p>
        </w:tc>
        <w:tc>
          <w:tcPr>
            <w:tcW w:w="563" w:type="pct"/>
            <w:gridSpan w:val="2"/>
            <w:shd w:val="clear" w:color="auto" w:fill="auto"/>
            <w:vAlign w:val="center"/>
          </w:tcPr>
          <w:p w14:paraId="30ED86F2"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n/a</w:t>
            </w:r>
          </w:p>
        </w:tc>
        <w:tc>
          <w:tcPr>
            <w:tcW w:w="747" w:type="pct"/>
            <w:shd w:val="clear" w:color="auto" w:fill="auto"/>
            <w:vAlign w:val="center"/>
          </w:tcPr>
          <w:p w14:paraId="235EAF0F"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Continuar las encuestas a productores de cacao.</w:t>
            </w:r>
          </w:p>
        </w:tc>
      </w:tr>
      <w:tr w:rsidR="00382354" w:rsidRPr="00A57704" w14:paraId="5D933A84" w14:textId="77777777" w:rsidTr="005F634F">
        <w:trPr>
          <w:trHeight w:val="1200"/>
        </w:trPr>
        <w:tc>
          <w:tcPr>
            <w:tcW w:w="700" w:type="pct"/>
            <w:gridSpan w:val="3"/>
            <w:shd w:val="clear" w:color="auto" w:fill="auto"/>
            <w:vAlign w:val="center"/>
            <w:hideMark/>
          </w:tcPr>
          <w:p w14:paraId="66569848"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Eficientizar uso Alimentos No Convencionales por Sostenibilidad Sistemas de Producción Animal</w:t>
            </w:r>
          </w:p>
        </w:tc>
        <w:tc>
          <w:tcPr>
            <w:tcW w:w="663" w:type="pct"/>
            <w:gridSpan w:val="3"/>
            <w:shd w:val="clear" w:color="auto" w:fill="auto"/>
            <w:vAlign w:val="center"/>
            <w:hideMark/>
          </w:tcPr>
          <w:p w14:paraId="231D00B7"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IDIAF</w:t>
            </w:r>
          </w:p>
        </w:tc>
        <w:tc>
          <w:tcPr>
            <w:tcW w:w="1957" w:type="pct"/>
            <w:gridSpan w:val="2"/>
            <w:shd w:val="clear" w:color="auto" w:fill="auto"/>
            <w:vAlign w:val="center"/>
            <w:hideMark/>
          </w:tcPr>
          <w:p w14:paraId="2AB12EF2"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rPr>
              <w:t>▪ mazorca de cacao ensilado informe terminado 2019.</w:t>
            </w:r>
            <w:r w:rsidRPr="00A57704">
              <w:rPr>
                <w:rFonts w:ascii="Times New Roman" w:hAnsi="Times New Roman"/>
                <w:color w:val="000000"/>
                <w:sz w:val="22"/>
              </w:rPr>
              <w:br/>
              <w:t xml:space="preserve">▪ 24 jaulas metabólicas listas.  </w:t>
            </w:r>
            <w:r w:rsidRPr="00A57704">
              <w:rPr>
                <w:rFonts w:ascii="Times New Roman" w:hAnsi="Times New Roman"/>
                <w:color w:val="000000"/>
                <w:sz w:val="22"/>
              </w:rPr>
              <w:br/>
              <w:t xml:space="preserve">▪ 3 estudiantes en proceso hacen su tesis. </w:t>
            </w:r>
            <w:r w:rsidRPr="00A57704">
              <w:rPr>
                <w:rFonts w:ascii="Times New Roman" w:hAnsi="Times New Roman"/>
                <w:color w:val="000000"/>
                <w:sz w:val="22"/>
              </w:rPr>
              <w:br/>
              <w:t>▪ Ubicado y cuantificado subproductos del cacao con continuaciones en las zonas cacaotaleras y cafetaleras del país.</w:t>
            </w:r>
          </w:p>
        </w:tc>
        <w:tc>
          <w:tcPr>
            <w:tcW w:w="369" w:type="pct"/>
            <w:gridSpan w:val="3"/>
            <w:shd w:val="clear" w:color="auto" w:fill="auto"/>
            <w:vAlign w:val="center"/>
            <w:hideMark/>
          </w:tcPr>
          <w:p w14:paraId="6A62B1CF"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Gestión normal</w:t>
            </w:r>
          </w:p>
        </w:tc>
        <w:tc>
          <w:tcPr>
            <w:tcW w:w="563" w:type="pct"/>
            <w:gridSpan w:val="2"/>
            <w:shd w:val="clear" w:color="auto" w:fill="auto"/>
            <w:vAlign w:val="center"/>
            <w:hideMark/>
          </w:tcPr>
          <w:p w14:paraId="674C3F5E"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n/a</w:t>
            </w:r>
          </w:p>
        </w:tc>
        <w:tc>
          <w:tcPr>
            <w:tcW w:w="747" w:type="pct"/>
            <w:shd w:val="clear" w:color="auto" w:fill="auto"/>
            <w:vAlign w:val="center"/>
            <w:hideMark/>
          </w:tcPr>
          <w:p w14:paraId="7327EBF0"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Recolección de datos en campo realizado.</w:t>
            </w:r>
            <w:r w:rsidRPr="00A57704">
              <w:rPr>
                <w:rFonts w:ascii="Times New Roman" w:hAnsi="Times New Roman"/>
                <w:color w:val="000000"/>
                <w:sz w:val="22"/>
                <w:szCs w:val="22"/>
                <w:lang w:eastAsia="en-US"/>
              </w:rPr>
              <w:br/>
              <w:t>▪ Ensayo con animales instalado.</w:t>
            </w:r>
            <w:r w:rsidRPr="00A57704">
              <w:rPr>
                <w:rFonts w:ascii="Times New Roman" w:hAnsi="Times New Roman"/>
                <w:color w:val="000000"/>
                <w:sz w:val="22"/>
                <w:szCs w:val="22"/>
                <w:lang w:eastAsia="en-US"/>
              </w:rPr>
              <w:br/>
              <w:t>▪ Implementación de uso de alimentos</w:t>
            </w:r>
          </w:p>
        </w:tc>
      </w:tr>
      <w:tr w:rsidR="00382354" w:rsidRPr="00A57704" w14:paraId="2A3E471C" w14:textId="77777777" w:rsidTr="005F634F">
        <w:trPr>
          <w:trHeight w:val="900"/>
        </w:trPr>
        <w:tc>
          <w:tcPr>
            <w:tcW w:w="700" w:type="pct"/>
            <w:gridSpan w:val="3"/>
            <w:shd w:val="clear" w:color="auto" w:fill="auto"/>
            <w:vAlign w:val="center"/>
            <w:hideMark/>
          </w:tcPr>
          <w:p w14:paraId="7438BC2E"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Producción de Tabaco Criollo en las Zonas de la Isabela,Guayubín y Villa Vásquez</w:t>
            </w:r>
          </w:p>
        </w:tc>
        <w:tc>
          <w:tcPr>
            <w:tcW w:w="663" w:type="pct"/>
            <w:gridSpan w:val="3"/>
            <w:shd w:val="clear" w:color="auto" w:fill="auto"/>
            <w:vAlign w:val="center"/>
            <w:hideMark/>
          </w:tcPr>
          <w:p w14:paraId="3F9835EF"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MINISTERIO AGRICULTURA</w:t>
            </w:r>
          </w:p>
        </w:tc>
        <w:tc>
          <w:tcPr>
            <w:tcW w:w="1957" w:type="pct"/>
            <w:gridSpan w:val="2"/>
            <w:shd w:val="clear" w:color="auto" w:fill="auto"/>
            <w:vAlign w:val="center"/>
            <w:hideMark/>
          </w:tcPr>
          <w:p w14:paraId="4D59EA2A" w14:textId="77777777" w:rsidR="00382354" w:rsidRPr="00A57704" w:rsidRDefault="00382354" w:rsidP="005F634F">
            <w:pPr>
              <w:spacing w:after="240"/>
              <w:rPr>
                <w:rFonts w:ascii="Times New Roman" w:hAnsi="Times New Roman"/>
                <w:color w:val="000000"/>
                <w:sz w:val="22"/>
                <w:szCs w:val="22"/>
                <w:lang w:eastAsia="en-US"/>
              </w:rPr>
            </w:pPr>
            <w:r w:rsidRPr="00A57704">
              <w:rPr>
                <w:rFonts w:ascii="Times New Roman" w:hAnsi="Times New Roman"/>
                <w:color w:val="000000"/>
                <w:sz w:val="22"/>
                <w:szCs w:val="22"/>
                <w:lang w:eastAsia="en-US"/>
              </w:rPr>
              <w:t xml:space="preserve">▪ </w:t>
            </w:r>
            <w:r w:rsidRPr="00A57704">
              <w:rPr>
                <w:rFonts w:ascii="Times New Roman" w:hAnsi="Times New Roman"/>
                <w:color w:val="000000"/>
                <w:sz w:val="22"/>
                <w:szCs w:val="22"/>
              </w:rPr>
              <w:t xml:space="preserve">29,450 </w:t>
            </w:r>
            <w:r w:rsidRPr="00A57704">
              <w:rPr>
                <w:rFonts w:ascii="Times New Roman" w:hAnsi="Times New Roman"/>
                <w:color w:val="000000"/>
                <w:sz w:val="22"/>
                <w:szCs w:val="22"/>
                <w:lang w:eastAsia="en-US"/>
              </w:rPr>
              <w:t>tareas preparadas para siembra tabaco criollo.</w:t>
            </w:r>
          </w:p>
        </w:tc>
        <w:tc>
          <w:tcPr>
            <w:tcW w:w="369" w:type="pct"/>
            <w:gridSpan w:val="3"/>
            <w:shd w:val="clear" w:color="auto" w:fill="auto"/>
            <w:vAlign w:val="center"/>
            <w:hideMark/>
          </w:tcPr>
          <w:p w14:paraId="0D792D05"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Gestión normal</w:t>
            </w:r>
          </w:p>
        </w:tc>
        <w:tc>
          <w:tcPr>
            <w:tcW w:w="563" w:type="pct"/>
            <w:gridSpan w:val="2"/>
            <w:shd w:val="clear" w:color="auto" w:fill="auto"/>
            <w:vAlign w:val="center"/>
            <w:hideMark/>
          </w:tcPr>
          <w:p w14:paraId="7CC0D189"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n/a</w:t>
            </w:r>
          </w:p>
        </w:tc>
        <w:tc>
          <w:tcPr>
            <w:tcW w:w="747" w:type="pct"/>
            <w:shd w:val="clear" w:color="auto" w:fill="auto"/>
            <w:vAlign w:val="center"/>
            <w:hideMark/>
          </w:tcPr>
          <w:p w14:paraId="0C3361DE"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Continuar las preparaciones de tierras para siembras de tabaco.</w:t>
            </w:r>
          </w:p>
        </w:tc>
      </w:tr>
      <w:tr w:rsidR="00382354" w:rsidRPr="00A57704" w14:paraId="12218694" w14:textId="77777777" w:rsidTr="005F634F">
        <w:trPr>
          <w:trHeight w:val="900"/>
        </w:trPr>
        <w:tc>
          <w:tcPr>
            <w:tcW w:w="700" w:type="pct"/>
            <w:gridSpan w:val="3"/>
            <w:shd w:val="clear" w:color="auto" w:fill="auto"/>
            <w:vAlign w:val="center"/>
            <w:hideMark/>
          </w:tcPr>
          <w:p w14:paraId="323ABF43"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Renovación del Servicio de Extensión y Capacitación Agropecuaria</w:t>
            </w:r>
          </w:p>
        </w:tc>
        <w:tc>
          <w:tcPr>
            <w:tcW w:w="663" w:type="pct"/>
            <w:gridSpan w:val="3"/>
            <w:shd w:val="clear" w:color="auto" w:fill="auto"/>
            <w:vAlign w:val="center"/>
            <w:hideMark/>
          </w:tcPr>
          <w:p w14:paraId="12C828C3"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MINISTERIO AGRICULTURA</w:t>
            </w:r>
          </w:p>
        </w:tc>
        <w:tc>
          <w:tcPr>
            <w:tcW w:w="1957" w:type="pct"/>
            <w:gridSpan w:val="2"/>
            <w:shd w:val="clear" w:color="auto" w:fill="auto"/>
            <w:vAlign w:val="center"/>
            <w:hideMark/>
          </w:tcPr>
          <w:p w14:paraId="23D075E4"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Implementación de BPSA.</w:t>
            </w:r>
            <w:r w:rsidRPr="00A57704">
              <w:rPr>
                <w:rFonts w:ascii="Times New Roman" w:hAnsi="Times New Roman"/>
                <w:color w:val="000000"/>
                <w:sz w:val="22"/>
                <w:szCs w:val="22"/>
                <w:lang w:eastAsia="en-US"/>
              </w:rPr>
              <w:br/>
              <w:t>▪ Formación de 60 técnicos del M.A. en gestión de BPSA.</w:t>
            </w:r>
          </w:p>
        </w:tc>
        <w:tc>
          <w:tcPr>
            <w:tcW w:w="369" w:type="pct"/>
            <w:gridSpan w:val="3"/>
            <w:shd w:val="clear" w:color="auto" w:fill="auto"/>
            <w:vAlign w:val="center"/>
            <w:hideMark/>
          </w:tcPr>
          <w:p w14:paraId="0F477663"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Gestion normal</w:t>
            </w:r>
          </w:p>
        </w:tc>
        <w:tc>
          <w:tcPr>
            <w:tcW w:w="563" w:type="pct"/>
            <w:gridSpan w:val="2"/>
            <w:shd w:val="clear" w:color="auto" w:fill="auto"/>
            <w:vAlign w:val="center"/>
            <w:hideMark/>
          </w:tcPr>
          <w:p w14:paraId="43955D2D"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n/a</w:t>
            </w:r>
          </w:p>
        </w:tc>
        <w:tc>
          <w:tcPr>
            <w:tcW w:w="747" w:type="pct"/>
            <w:shd w:val="clear" w:color="auto" w:fill="auto"/>
            <w:vAlign w:val="center"/>
            <w:hideMark/>
          </w:tcPr>
          <w:p w14:paraId="54245D70"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Preparación de presupuesto y cronograma de ejecución para el año 2020.</w:t>
            </w:r>
          </w:p>
        </w:tc>
      </w:tr>
      <w:tr w:rsidR="00382354" w:rsidRPr="00046879" w14:paraId="627781B8" w14:textId="77777777" w:rsidTr="005F634F">
        <w:trPr>
          <w:trHeight w:val="1014"/>
        </w:trPr>
        <w:tc>
          <w:tcPr>
            <w:tcW w:w="700" w:type="pct"/>
            <w:gridSpan w:val="3"/>
            <w:shd w:val="clear" w:color="auto" w:fill="auto"/>
            <w:vAlign w:val="center"/>
            <w:hideMark/>
          </w:tcPr>
          <w:p w14:paraId="2B349D08" w14:textId="77777777" w:rsidR="00382354" w:rsidRPr="00A57704" w:rsidRDefault="00382354" w:rsidP="005F634F">
            <w:pPr>
              <w:spacing w:after="0"/>
              <w:rPr>
                <w:rFonts w:ascii="Times New Roman" w:hAnsi="Times New Roman"/>
                <w:sz w:val="22"/>
                <w:szCs w:val="22"/>
                <w:lang w:eastAsia="en-US"/>
              </w:rPr>
            </w:pPr>
            <w:r w:rsidRPr="00A57704">
              <w:rPr>
                <w:rFonts w:ascii="Times New Roman" w:hAnsi="Times New Roman"/>
                <w:sz w:val="22"/>
                <w:szCs w:val="22"/>
                <w:lang w:eastAsia="en-US"/>
              </w:rPr>
              <w:t>Producir Material Genético de Alta Calidad Vegetal In Vitro</w:t>
            </w:r>
          </w:p>
        </w:tc>
        <w:tc>
          <w:tcPr>
            <w:tcW w:w="663" w:type="pct"/>
            <w:gridSpan w:val="3"/>
            <w:shd w:val="clear" w:color="auto" w:fill="auto"/>
            <w:vAlign w:val="center"/>
            <w:hideMark/>
          </w:tcPr>
          <w:p w14:paraId="1C78F767"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MINISTERIO AGRICULTURA</w:t>
            </w:r>
          </w:p>
        </w:tc>
        <w:tc>
          <w:tcPr>
            <w:tcW w:w="1957" w:type="pct"/>
            <w:gridSpan w:val="2"/>
            <w:shd w:val="clear" w:color="auto" w:fill="auto"/>
            <w:vAlign w:val="center"/>
            <w:hideMark/>
          </w:tcPr>
          <w:p w14:paraId="67B7E66F"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rPr>
              <w:t>▪ 1,673,886 vitroplantas producidas.</w:t>
            </w:r>
            <w:r w:rsidRPr="00A57704">
              <w:rPr>
                <w:rFonts w:ascii="Times New Roman" w:hAnsi="Times New Roman"/>
                <w:color w:val="000000"/>
                <w:sz w:val="22"/>
              </w:rPr>
              <w:br/>
              <w:t>▪ 976,666 plantas vendidas in vitro de variedades musáceas, beneficiando a 140 productores.</w:t>
            </w:r>
            <w:r w:rsidRPr="00A57704">
              <w:rPr>
                <w:rFonts w:ascii="Times New Roman" w:hAnsi="Times New Roman"/>
                <w:color w:val="000000"/>
                <w:sz w:val="22"/>
              </w:rPr>
              <w:br/>
              <w:t xml:space="preserve">▪ </w:t>
            </w:r>
            <w:r w:rsidRPr="00A57704">
              <w:rPr>
                <w:rFonts w:ascii="Times New Roman" w:hAnsi="Times New Roman"/>
                <w:color w:val="000000"/>
                <w:sz w:val="22"/>
                <w:shd w:val="clear" w:color="auto" w:fill="FFFFFF" w:themeFill="background1"/>
              </w:rPr>
              <w:t>2,000 clones (fresa), 40,000 yautia blanca), 5,000 (yautía morada), nivel de laboratorio y de campo.</w:t>
            </w:r>
            <w:r w:rsidRPr="00A57704">
              <w:rPr>
                <w:rFonts w:ascii="Times New Roman" w:hAnsi="Times New Roman"/>
                <w:color w:val="000000"/>
                <w:sz w:val="22"/>
              </w:rPr>
              <w:br/>
              <w:t>▪ 11 capacitaciones en el proceso de producción cultivo in vitro, beneficiando 180 personas.</w:t>
            </w:r>
          </w:p>
        </w:tc>
        <w:tc>
          <w:tcPr>
            <w:tcW w:w="369" w:type="pct"/>
            <w:gridSpan w:val="3"/>
            <w:shd w:val="clear" w:color="auto" w:fill="auto"/>
            <w:vAlign w:val="center"/>
            <w:hideMark/>
          </w:tcPr>
          <w:p w14:paraId="15101D1F"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Gestión normal</w:t>
            </w:r>
          </w:p>
        </w:tc>
        <w:tc>
          <w:tcPr>
            <w:tcW w:w="563" w:type="pct"/>
            <w:gridSpan w:val="2"/>
            <w:shd w:val="clear" w:color="auto" w:fill="auto"/>
            <w:vAlign w:val="center"/>
            <w:hideMark/>
          </w:tcPr>
          <w:p w14:paraId="2639FE36" w14:textId="77777777" w:rsidR="00382354" w:rsidRPr="00A57704" w:rsidRDefault="00382354" w:rsidP="005F634F">
            <w:pPr>
              <w:spacing w:after="0"/>
              <w:jc w:val="center"/>
              <w:rPr>
                <w:rFonts w:ascii="Times New Roman" w:hAnsi="Times New Roman"/>
                <w:color w:val="000000"/>
                <w:sz w:val="22"/>
                <w:szCs w:val="22"/>
                <w:lang w:val="en-US" w:eastAsia="en-US"/>
              </w:rPr>
            </w:pPr>
            <w:r w:rsidRPr="00A57704">
              <w:rPr>
                <w:rFonts w:ascii="Times New Roman" w:hAnsi="Times New Roman"/>
                <w:color w:val="000000"/>
                <w:sz w:val="22"/>
                <w:szCs w:val="22"/>
                <w:lang w:val="en-US" w:eastAsia="en-US"/>
              </w:rPr>
              <w:t>n/a</w:t>
            </w:r>
          </w:p>
        </w:tc>
        <w:tc>
          <w:tcPr>
            <w:tcW w:w="747" w:type="pct"/>
            <w:shd w:val="clear" w:color="auto" w:fill="auto"/>
            <w:vAlign w:val="center"/>
            <w:hideMark/>
          </w:tcPr>
          <w:p w14:paraId="19DA3031" w14:textId="77777777" w:rsidR="00382354" w:rsidRPr="00A57704" w:rsidRDefault="00382354" w:rsidP="005F634F">
            <w:pPr>
              <w:spacing w:after="0"/>
              <w:rPr>
                <w:rFonts w:ascii="Times New Roman" w:hAnsi="Times New Roman"/>
                <w:color w:val="000000"/>
                <w:sz w:val="22"/>
                <w:szCs w:val="22"/>
                <w:lang w:eastAsia="en-US"/>
              </w:rPr>
            </w:pPr>
            <w:r w:rsidRPr="00A57704">
              <w:rPr>
                <w:rFonts w:ascii="Times New Roman" w:hAnsi="Times New Roman"/>
                <w:color w:val="000000"/>
                <w:sz w:val="22"/>
                <w:szCs w:val="22"/>
                <w:lang w:eastAsia="en-US"/>
              </w:rPr>
              <w:t>▪ Continuar la producción de vitroplantas, reactivos y equipos necesarios</w:t>
            </w:r>
            <w:r w:rsidRPr="00A57704">
              <w:rPr>
                <w:rFonts w:ascii="Times New Roman" w:hAnsi="Times New Roman"/>
                <w:color w:val="000000"/>
                <w:sz w:val="22"/>
                <w:szCs w:val="22"/>
                <w:lang w:eastAsia="en-US"/>
              </w:rPr>
              <w:br/>
              <w:t>▪ Aclimatar las plántulas enraizadas dentro del laboratorio.</w:t>
            </w:r>
          </w:p>
        </w:tc>
      </w:tr>
    </w:tbl>
    <w:p w14:paraId="1DB85958" w14:textId="77777777" w:rsidR="00382354" w:rsidRPr="0098414F" w:rsidRDefault="00382354" w:rsidP="00382354">
      <w:pPr>
        <w:rPr>
          <w:rFonts w:ascii="Times New Roman" w:hAnsi="Times New Roman"/>
        </w:rPr>
      </w:pPr>
    </w:p>
    <w:p w14:paraId="44485538" w14:textId="77777777" w:rsidR="00382354" w:rsidRPr="0098414F" w:rsidRDefault="00382354" w:rsidP="00382354">
      <w:pPr>
        <w:spacing w:after="0"/>
        <w:rPr>
          <w:rFonts w:ascii="Times New Roman" w:hAnsi="Times New Roman"/>
          <w:b/>
          <w:bCs/>
          <w:szCs w:val="20"/>
          <w:lang w:eastAsia="es-DO"/>
        </w:rPr>
        <w:sectPr w:rsidR="00382354" w:rsidRPr="0098414F" w:rsidSect="00CB04D4">
          <w:headerReference w:type="default" r:id="rId122"/>
          <w:pgSz w:w="15840" w:h="12240" w:orient="landscape"/>
          <w:pgMar w:top="1276" w:right="851" w:bottom="851" w:left="1440" w:header="720" w:footer="720" w:gutter="0"/>
          <w:cols w:space="720"/>
          <w:docGrid w:linePitch="360"/>
        </w:sectPr>
      </w:pPr>
      <w:r w:rsidRPr="0098414F">
        <w:rPr>
          <w:rFonts w:ascii="Times New Roman" w:hAnsi="Times New Roman"/>
          <w:b/>
          <w:bCs/>
          <w:szCs w:val="20"/>
          <w:lang w:eastAsia="es-DO"/>
        </w:rPr>
        <w:br w:type="page"/>
      </w:r>
    </w:p>
    <w:p w14:paraId="25FA0D6D" w14:textId="77777777" w:rsidR="00382354" w:rsidRPr="0098414F" w:rsidRDefault="00382354" w:rsidP="00382354">
      <w:pPr>
        <w:spacing w:after="0" w:line="480" w:lineRule="auto"/>
        <w:jc w:val="center"/>
        <w:rPr>
          <w:rFonts w:ascii="Times New Roman" w:hAnsi="Times New Roman"/>
          <w:b/>
          <w:sz w:val="28"/>
        </w:rPr>
      </w:pPr>
      <w:r w:rsidRPr="0098414F">
        <w:rPr>
          <w:rFonts w:ascii="Times New Roman" w:hAnsi="Times New Roman"/>
          <w:b/>
          <w:noProof/>
          <w:sz w:val="28"/>
          <w:lang w:eastAsia="es-DO"/>
        </w:rPr>
        <w:lastRenderedPageBreak/>
        <mc:AlternateContent>
          <mc:Choice Requires="wps">
            <w:drawing>
              <wp:anchor distT="0" distB="0" distL="114300" distR="114300" simplePos="0" relativeHeight="251722752" behindDoc="0" locked="0" layoutInCell="1" allowOverlap="1" wp14:anchorId="2F0FF3E3" wp14:editId="0FC4A8AC">
                <wp:simplePos x="0" y="0"/>
                <wp:positionH relativeFrom="column">
                  <wp:posOffset>7868093</wp:posOffset>
                </wp:positionH>
                <wp:positionV relativeFrom="paragraph">
                  <wp:posOffset>-384958</wp:posOffset>
                </wp:positionV>
                <wp:extent cx="967563" cy="372140"/>
                <wp:effectExtent l="0" t="0" r="23495" b="27940"/>
                <wp:wrapNone/>
                <wp:docPr id="9" name="9 Rectángulo"/>
                <wp:cNvGraphicFramePr/>
                <a:graphic xmlns:a="http://schemas.openxmlformats.org/drawingml/2006/main">
                  <a:graphicData uri="http://schemas.microsoft.com/office/word/2010/wordprocessingShape">
                    <wps:wsp>
                      <wps:cNvSpPr/>
                      <wps:spPr>
                        <a:xfrm>
                          <a:off x="0" y="0"/>
                          <a:ext cx="967563" cy="3721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D08D919" id="9 Rectángulo" o:spid="_x0000_s1026" style="position:absolute;margin-left:619.55pt;margin-top:-30.3pt;width:76.2pt;height:29.3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" fillcolor="white [3212]" strokecolor="white [3212]" strokeweight="2pt"/>
            </w:pict>
          </mc:Fallback>
        </mc:AlternateContent>
      </w:r>
    </w:p>
    <w:p w14:paraId="04E1DE66" w14:textId="77777777" w:rsidR="00382354" w:rsidRPr="0098414F" w:rsidRDefault="00382354" w:rsidP="00382354">
      <w:pPr>
        <w:spacing w:after="0" w:line="480" w:lineRule="auto"/>
        <w:jc w:val="center"/>
        <w:rPr>
          <w:rFonts w:ascii="Times New Roman" w:hAnsi="Times New Roman"/>
          <w:b/>
          <w:sz w:val="28"/>
        </w:rPr>
      </w:pPr>
    </w:p>
    <w:p w14:paraId="681DB3B0" w14:textId="77777777" w:rsidR="00382354" w:rsidRPr="0098414F" w:rsidRDefault="00382354" w:rsidP="00382354">
      <w:pPr>
        <w:spacing w:after="0" w:line="480" w:lineRule="auto"/>
        <w:jc w:val="center"/>
        <w:rPr>
          <w:rFonts w:ascii="Times New Roman" w:hAnsi="Times New Roman"/>
          <w:b/>
          <w:sz w:val="28"/>
        </w:rPr>
      </w:pPr>
    </w:p>
    <w:p w14:paraId="56834F76" w14:textId="77777777" w:rsidR="00382354" w:rsidRPr="0098414F" w:rsidRDefault="00382354" w:rsidP="00382354">
      <w:pPr>
        <w:spacing w:after="0" w:line="480" w:lineRule="auto"/>
        <w:jc w:val="center"/>
        <w:rPr>
          <w:rFonts w:ascii="Times New Roman" w:hAnsi="Times New Roman"/>
          <w:b/>
          <w:sz w:val="28"/>
        </w:rPr>
      </w:pPr>
    </w:p>
    <w:p w14:paraId="068C4A9F" w14:textId="77777777" w:rsidR="00382354" w:rsidRPr="0098414F" w:rsidRDefault="00382354" w:rsidP="00382354">
      <w:pPr>
        <w:spacing w:after="0" w:line="480" w:lineRule="auto"/>
        <w:jc w:val="center"/>
        <w:rPr>
          <w:rFonts w:ascii="Times New Roman" w:hAnsi="Times New Roman"/>
          <w:b/>
          <w:sz w:val="28"/>
        </w:rPr>
      </w:pPr>
    </w:p>
    <w:p w14:paraId="4F1766B0" w14:textId="77777777" w:rsidR="00382354" w:rsidRPr="0098414F" w:rsidRDefault="00382354" w:rsidP="00382354">
      <w:pPr>
        <w:spacing w:after="0" w:line="480" w:lineRule="auto"/>
        <w:jc w:val="center"/>
        <w:rPr>
          <w:rFonts w:ascii="Times New Roman" w:hAnsi="Times New Roman"/>
          <w:b/>
          <w:sz w:val="28"/>
        </w:rPr>
      </w:pPr>
      <w:r>
        <w:rPr>
          <w:rFonts w:ascii="Times New Roman" w:hAnsi="Times New Roman"/>
          <w:b/>
          <w:sz w:val="28"/>
        </w:rPr>
        <w:t>Anexo H</w:t>
      </w:r>
      <w:r w:rsidRPr="0098414F">
        <w:rPr>
          <w:rFonts w:ascii="Times New Roman" w:hAnsi="Times New Roman"/>
          <w:b/>
          <w:sz w:val="28"/>
        </w:rPr>
        <w:t>:</w:t>
      </w:r>
    </w:p>
    <w:p w14:paraId="4FCB5F3A" w14:textId="77777777" w:rsidR="00382354" w:rsidRPr="0098414F" w:rsidRDefault="00382354" w:rsidP="00382354">
      <w:pPr>
        <w:spacing w:after="0" w:line="480" w:lineRule="auto"/>
        <w:jc w:val="center"/>
        <w:rPr>
          <w:rFonts w:ascii="Times New Roman" w:hAnsi="Times New Roman"/>
          <w:b/>
          <w:sz w:val="28"/>
        </w:rPr>
      </w:pPr>
      <w:r>
        <w:rPr>
          <w:rFonts w:ascii="Times New Roman" w:hAnsi="Times New Roman"/>
          <w:b/>
          <w:sz w:val="28"/>
        </w:rPr>
        <w:t>Relación de proyectos de inversión pública a ejecutarse a corto y mediano plazo</w:t>
      </w:r>
      <w:r>
        <w:rPr>
          <w:rFonts w:ascii="Times New Roman" w:hAnsi="Times New Roman"/>
          <w:b/>
          <w:sz w:val="28"/>
        </w:rPr>
        <w:br/>
        <w:t>Proyectos del Sistema Nacional de Inversión Pública, SNIP.</w:t>
      </w:r>
    </w:p>
    <w:p w14:paraId="4811267C" w14:textId="77777777" w:rsidR="00382354" w:rsidRPr="0098414F" w:rsidRDefault="00382354" w:rsidP="00382354">
      <w:pPr>
        <w:spacing w:after="0" w:line="480" w:lineRule="auto"/>
        <w:jc w:val="center"/>
        <w:rPr>
          <w:rFonts w:ascii="Times New Roman" w:hAnsi="Times New Roman"/>
          <w:b/>
          <w:sz w:val="28"/>
        </w:rPr>
      </w:pPr>
    </w:p>
    <w:p w14:paraId="54FE4AE6" w14:textId="77777777" w:rsidR="00382354" w:rsidRPr="0098414F" w:rsidRDefault="00382354" w:rsidP="00382354">
      <w:pPr>
        <w:spacing w:after="0" w:line="480" w:lineRule="auto"/>
        <w:jc w:val="center"/>
        <w:rPr>
          <w:rFonts w:ascii="Times New Roman" w:hAnsi="Times New Roman"/>
          <w:b/>
          <w:sz w:val="28"/>
        </w:rPr>
      </w:pPr>
    </w:p>
    <w:p w14:paraId="3A8C29F4" w14:textId="77777777" w:rsidR="00382354" w:rsidRPr="003B2E97" w:rsidRDefault="00382354" w:rsidP="00382354">
      <w:pPr>
        <w:spacing w:after="0"/>
        <w:rPr>
          <w:rFonts w:ascii="Times New Roman" w:hAnsi="Times New Roman"/>
        </w:rPr>
        <w:sectPr w:rsidR="00382354" w:rsidRPr="003B2E97" w:rsidSect="00CB04D4">
          <w:headerReference w:type="default" r:id="rId123"/>
          <w:pgSz w:w="15840" w:h="12240" w:orient="landscape"/>
          <w:pgMar w:top="1276" w:right="851" w:bottom="851" w:left="1440" w:header="720" w:footer="720" w:gutter="0"/>
          <w:cols w:space="720"/>
          <w:docGrid w:linePitch="360"/>
        </w:sectPr>
      </w:pPr>
      <w:r w:rsidRPr="0098414F">
        <w:rPr>
          <w:rFonts w:ascii="Times New Roman" w:hAnsi="Times New Roman"/>
          <w:noProof/>
          <w:lang w:eastAsia="es-DO"/>
        </w:rPr>
        <mc:AlternateContent>
          <mc:Choice Requires="wps">
            <w:drawing>
              <wp:anchor distT="0" distB="0" distL="114300" distR="114300" simplePos="0" relativeHeight="251724800" behindDoc="0" locked="0" layoutInCell="1" allowOverlap="1" wp14:anchorId="72AA64ED" wp14:editId="0DEEC353">
                <wp:simplePos x="0" y="0"/>
                <wp:positionH relativeFrom="margin">
                  <wp:posOffset>7363460</wp:posOffset>
                </wp:positionH>
                <wp:positionV relativeFrom="paragraph">
                  <wp:posOffset>2162175</wp:posOffset>
                </wp:positionV>
                <wp:extent cx="1402715" cy="425450"/>
                <wp:effectExtent l="0" t="0" r="26035" b="12700"/>
                <wp:wrapNone/>
                <wp:docPr id="17" name="4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71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4B9E946" id="48 Rectángulo" o:spid="_x0000_s1026" style="position:absolute;margin-left:579.8pt;margin-top:170.25pt;width:110.45pt;height:33.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" fillcolor="white [3212]" strokecolor="white [3212]" strokeweight="2pt">
                <v:path arrowok="t"/>
                <w10:wrap anchorx="margin"/>
              </v:rect>
            </w:pict>
          </mc:Fallback>
        </mc:AlternateContent>
      </w:r>
      <w:r w:rsidRPr="0098414F">
        <w:rPr>
          <w:rFonts w:ascii="Times New Roman" w:hAnsi="Times New Roman"/>
        </w:rPr>
        <w:br w:type="page"/>
      </w:r>
    </w:p>
    <w:tbl>
      <w:tblPr>
        <w:tblW w:w="13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9"/>
        <w:gridCol w:w="2126"/>
        <w:gridCol w:w="2835"/>
        <w:gridCol w:w="1134"/>
        <w:gridCol w:w="1276"/>
        <w:gridCol w:w="1134"/>
        <w:gridCol w:w="1843"/>
        <w:gridCol w:w="1920"/>
      </w:tblGrid>
      <w:tr w:rsidR="00382354" w:rsidRPr="00307CE9" w14:paraId="54207ADF" w14:textId="77777777" w:rsidTr="005F634F">
        <w:trPr>
          <w:trHeight w:val="690"/>
          <w:jc w:val="center"/>
        </w:trPr>
        <w:tc>
          <w:tcPr>
            <w:tcW w:w="567" w:type="dxa"/>
            <w:shd w:val="clear" w:color="auto" w:fill="00B050"/>
            <w:vAlign w:val="center"/>
            <w:hideMark/>
          </w:tcPr>
          <w:p w14:paraId="2E324BA9" w14:textId="77777777" w:rsidR="00382354" w:rsidRPr="00A922E7" w:rsidRDefault="00382354" w:rsidP="005F634F">
            <w:pPr>
              <w:spacing w:after="0"/>
              <w:jc w:val="center"/>
              <w:rPr>
                <w:rFonts w:ascii="Times New Roman" w:hAnsi="Times New Roman"/>
                <w:b/>
                <w:bCs/>
                <w:color w:val="FFFFFF" w:themeColor="background1"/>
                <w:sz w:val="20"/>
                <w:szCs w:val="20"/>
                <w:lang w:val="en-US" w:eastAsia="en-US"/>
              </w:rPr>
            </w:pPr>
            <w:r w:rsidRPr="00A922E7">
              <w:rPr>
                <w:rFonts w:ascii="Times New Roman" w:hAnsi="Times New Roman"/>
                <w:b/>
                <w:bCs/>
                <w:color w:val="FFFFFF" w:themeColor="background1"/>
                <w:sz w:val="20"/>
                <w:szCs w:val="20"/>
                <w:lang w:val="en-US" w:eastAsia="en-US"/>
              </w:rPr>
              <w:lastRenderedPageBreak/>
              <w:t>No</w:t>
            </w:r>
          </w:p>
        </w:tc>
        <w:tc>
          <w:tcPr>
            <w:tcW w:w="709" w:type="dxa"/>
            <w:shd w:val="clear" w:color="auto" w:fill="00B050"/>
            <w:vAlign w:val="center"/>
          </w:tcPr>
          <w:p w14:paraId="5A8D59F3" w14:textId="77777777" w:rsidR="00382354" w:rsidRPr="00A922E7" w:rsidRDefault="00382354" w:rsidP="005F634F">
            <w:pPr>
              <w:spacing w:after="0"/>
              <w:rPr>
                <w:rFonts w:ascii="Times New Roman" w:hAnsi="Times New Roman"/>
                <w:b/>
                <w:bCs/>
                <w:color w:val="FFFFFF" w:themeColor="background1"/>
                <w:sz w:val="20"/>
                <w:szCs w:val="20"/>
                <w:lang w:val="en-US" w:eastAsia="en-US"/>
              </w:rPr>
            </w:pPr>
            <w:r w:rsidRPr="00A922E7">
              <w:rPr>
                <w:rFonts w:ascii="Times New Roman" w:hAnsi="Times New Roman"/>
                <w:b/>
                <w:bCs/>
                <w:color w:val="FFFFFF" w:themeColor="background1"/>
                <w:sz w:val="20"/>
                <w:szCs w:val="20"/>
                <w:lang w:val="en-US" w:eastAsia="en-US"/>
              </w:rPr>
              <w:t>SNIP</w:t>
            </w:r>
          </w:p>
        </w:tc>
        <w:tc>
          <w:tcPr>
            <w:tcW w:w="2126" w:type="dxa"/>
            <w:shd w:val="clear" w:color="auto" w:fill="00B050"/>
            <w:vAlign w:val="center"/>
            <w:hideMark/>
          </w:tcPr>
          <w:p w14:paraId="7BC0AB05" w14:textId="77777777" w:rsidR="00382354" w:rsidRPr="00A922E7" w:rsidRDefault="00382354" w:rsidP="005F634F">
            <w:pPr>
              <w:spacing w:after="0"/>
              <w:jc w:val="center"/>
              <w:rPr>
                <w:rFonts w:ascii="Times New Roman" w:hAnsi="Times New Roman"/>
                <w:b/>
                <w:bCs/>
                <w:color w:val="FFFFFF" w:themeColor="background1"/>
                <w:sz w:val="20"/>
                <w:szCs w:val="20"/>
                <w:lang w:val="en-US" w:eastAsia="en-US"/>
              </w:rPr>
            </w:pPr>
            <w:r w:rsidRPr="00A922E7">
              <w:rPr>
                <w:rFonts w:ascii="Times New Roman" w:hAnsi="Times New Roman"/>
                <w:b/>
                <w:bCs/>
                <w:color w:val="FFFFFF" w:themeColor="background1"/>
                <w:sz w:val="20"/>
                <w:szCs w:val="20"/>
                <w:lang w:val="en-US" w:eastAsia="en-US"/>
              </w:rPr>
              <w:t>Nombre proyecto</w:t>
            </w:r>
          </w:p>
        </w:tc>
        <w:tc>
          <w:tcPr>
            <w:tcW w:w="2835" w:type="dxa"/>
            <w:shd w:val="clear" w:color="auto" w:fill="00B050"/>
            <w:vAlign w:val="center"/>
            <w:hideMark/>
          </w:tcPr>
          <w:p w14:paraId="296DE6AA" w14:textId="77777777" w:rsidR="00382354" w:rsidRPr="00A922E7" w:rsidRDefault="00382354" w:rsidP="005F634F">
            <w:pPr>
              <w:spacing w:after="0"/>
              <w:jc w:val="center"/>
              <w:rPr>
                <w:rFonts w:ascii="Times New Roman" w:hAnsi="Times New Roman"/>
                <w:b/>
                <w:bCs/>
                <w:color w:val="FFFFFF" w:themeColor="background1"/>
                <w:sz w:val="20"/>
                <w:szCs w:val="20"/>
                <w:lang w:val="en-US" w:eastAsia="en-US"/>
              </w:rPr>
            </w:pPr>
            <w:r w:rsidRPr="00A922E7">
              <w:rPr>
                <w:rFonts w:ascii="Times New Roman" w:hAnsi="Times New Roman"/>
                <w:b/>
                <w:bCs/>
                <w:color w:val="FFFFFF" w:themeColor="background1"/>
                <w:sz w:val="20"/>
                <w:szCs w:val="20"/>
                <w:lang w:val="en-US" w:eastAsia="en-US"/>
              </w:rPr>
              <w:t>Objetivo general</w:t>
            </w:r>
          </w:p>
        </w:tc>
        <w:tc>
          <w:tcPr>
            <w:tcW w:w="1134" w:type="dxa"/>
            <w:shd w:val="clear" w:color="auto" w:fill="00B050"/>
            <w:vAlign w:val="center"/>
            <w:hideMark/>
          </w:tcPr>
          <w:p w14:paraId="7836C75E" w14:textId="77777777" w:rsidR="00382354" w:rsidRPr="00A922E7" w:rsidRDefault="00382354" w:rsidP="005F634F">
            <w:pPr>
              <w:spacing w:after="0"/>
              <w:jc w:val="center"/>
              <w:rPr>
                <w:rFonts w:ascii="Times New Roman" w:hAnsi="Times New Roman"/>
                <w:b/>
                <w:bCs/>
                <w:color w:val="FFFFFF" w:themeColor="background1"/>
                <w:sz w:val="20"/>
                <w:szCs w:val="20"/>
                <w:lang w:val="en-US" w:eastAsia="en-US"/>
              </w:rPr>
            </w:pPr>
            <w:r w:rsidRPr="00A922E7">
              <w:rPr>
                <w:rFonts w:ascii="Times New Roman" w:hAnsi="Times New Roman"/>
                <w:b/>
                <w:bCs/>
                <w:color w:val="FFFFFF" w:themeColor="background1"/>
                <w:sz w:val="20"/>
                <w:szCs w:val="20"/>
                <w:lang w:val="en-US" w:eastAsia="en-US"/>
              </w:rPr>
              <w:t>Ubicación geográfica</w:t>
            </w:r>
          </w:p>
        </w:tc>
        <w:tc>
          <w:tcPr>
            <w:tcW w:w="1276" w:type="dxa"/>
            <w:shd w:val="clear" w:color="auto" w:fill="00B050"/>
            <w:vAlign w:val="center"/>
            <w:hideMark/>
          </w:tcPr>
          <w:p w14:paraId="688B6984" w14:textId="77777777" w:rsidR="00382354" w:rsidRPr="00A922E7" w:rsidRDefault="00382354" w:rsidP="005F634F">
            <w:pPr>
              <w:spacing w:after="0"/>
              <w:jc w:val="center"/>
              <w:rPr>
                <w:rFonts w:ascii="Times New Roman" w:hAnsi="Times New Roman"/>
                <w:b/>
                <w:bCs/>
                <w:color w:val="FFFFFF" w:themeColor="background1"/>
                <w:sz w:val="20"/>
                <w:szCs w:val="20"/>
                <w:lang w:val="en-US" w:eastAsia="en-US"/>
              </w:rPr>
            </w:pPr>
            <w:r w:rsidRPr="00A922E7">
              <w:rPr>
                <w:rFonts w:ascii="Times New Roman" w:hAnsi="Times New Roman"/>
                <w:b/>
                <w:bCs/>
                <w:color w:val="FFFFFF" w:themeColor="background1"/>
                <w:sz w:val="20"/>
                <w:szCs w:val="20"/>
                <w:lang w:val="en-US" w:eastAsia="en-US"/>
              </w:rPr>
              <w:t>Institución ejecutora</w:t>
            </w:r>
          </w:p>
        </w:tc>
        <w:tc>
          <w:tcPr>
            <w:tcW w:w="1134" w:type="dxa"/>
            <w:shd w:val="clear" w:color="auto" w:fill="00B050"/>
            <w:vAlign w:val="center"/>
            <w:hideMark/>
          </w:tcPr>
          <w:p w14:paraId="475BDD45" w14:textId="77777777" w:rsidR="00382354" w:rsidRPr="00A922E7" w:rsidRDefault="00382354" w:rsidP="005F634F">
            <w:pPr>
              <w:spacing w:after="0"/>
              <w:jc w:val="center"/>
              <w:rPr>
                <w:rFonts w:ascii="Times New Roman" w:hAnsi="Times New Roman"/>
                <w:b/>
                <w:bCs/>
                <w:color w:val="FFFFFF" w:themeColor="background1"/>
                <w:sz w:val="20"/>
                <w:szCs w:val="20"/>
                <w:lang w:val="en-US" w:eastAsia="en-US"/>
              </w:rPr>
            </w:pPr>
            <w:r w:rsidRPr="00A922E7">
              <w:rPr>
                <w:rFonts w:ascii="Times New Roman" w:hAnsi="Times New Roman"/>
                <w:b/>
                <w:bCs/>
                <w:color w:val="FFFFFF" w:themeColor="background1"/>
                <w:sz w:val="20"/>
                <w:szCs w:val="20"/>
                <w:lang w:val="en-US" w:eastAsia="en-US"/>
              </w:rPr>
              <w:t>Duración proyecto</w:t>
            </w:r>
          </w:p>
        </w:tc>
        <w:tc>
          <w:tcPr>
            <w:tcW w:w="1843" w:type="dxa"/>
            <w:shd w:val="clear" w:color="auto" w:fill="00B050"/>
            <w:vAlign w:val="center"/>
            <w:hideMark/>
          </w:tcPr>
          <w:p w14:paraId="2A44849F" w14:textId="77777777" w:rsidR="00382354" w:rsidRPr="00A922E7" w:rsidRDefault="00382354" w:rsidP="005F634F">
            <w:pPr>
              <w:spacing w:after="0"/>
              <w:jc w:val="center"/>
              <w:rPr>
                <w:rFonts w:ascii="Times New Roman" w:hAnsi="Times New Roman"/>
                <w:b/>
                <w:bCs/>
                <w:color w:val="FFFFFF" w:themeColor="background1"/>
                <w:sz w:val="20"/>
                <w:szCs w:val="20"/>
                <w:lang w:val="en-US" w:eastAsia="en-US"/>
              </w:rPr>
            </w:pPr>
            <w:r w:rsidRPr="00A922E7">
              <w:rPr>
                <w:rFonts w:ascii="Times New Roman" w:hAnsi="Times New Roman"/>
                <w:b/>
                <w:bCs/>
                <w:color w:val="FFFFFF" w:themeColor="background1"/>
                <w:sz w:val="20"/>
                <w:szCs w:val="20"/>
                <w:lang w:val="en-US" w:eastAsia="en-US"/>
              </w:rPr>
              <w:t xml:space="preserve">Monto </w:t>
            </w:r>
            <w:r>
              <w:rPr>
                <w:rFonts w:ascii="Times New Roman" w:hAnsi="Times New Roman"/>
                <w:b/>
                <w:bCs/>
                <w:color w:val="FFFFFF" w:themeColor="background1"/>
                <w:sz w:val="20"/>
                <w:szCs w:val="20"/>
                <w:lang w:val="en-US" w:eastAsia="en-US"/>
              </w:rPr>
              <w:t>Asigando</w:t>
            </w:r>
          </w:p>
          <w:p w14:paraId="21A09876" w14:textId="77777777" w:rsidR="00382354" w:rsidRPr="00A922E7" w:rsidRDefault="00382354" w:rsidP="005F634F">
            <w:pPr>
              <w:spacing w:after="0"/>
              <w:jc w:val="center"/>
              <w:rPr>
                <w:rFonts w:ascii="Times New Roman" w:hAnsi="Times New Roman"/>
                <w:b/>
                <w:bCs/>
                <w:color w:val="FFFFFF" w:themeColor="background1"/>
                <w:sz w:val="20"/>
                <w:szCs w:val="20"/>
                <w:lang w:val="en-US" w:eastAsia="en-US"/>
              </w:rPr>
            </w:pPr>
            <w:r w:rsidRPr="00A922E7">
              <w:rPr>
                <w:rFonts w:ascii="Times New Roman" w:hAnsi="Times New Roman"/>
                <w:b/>
                <w:bCs/>
                <w:color w:val="FFFFFF" w:themeColor="background1"/>
                <w:sz w:val="20"/>
                <w:szCs w:val="20"/>
                <w:lang w:val="en-US" w:eastAsia="en-US"/>
              </w:rPr>
              <w:t>pre</w:t>
            </w:r>
            <w:r>
              <w:rPr>
                <w:rFonts w:ascii="Times New Roman" w:hAnsi="Times New Roman"/>
                <w:b/>
                <w:bCs/>
                <w:color w:val="FFFFFF" w:themeColor="background1"/>
                <w:sz w:val="20"/>
                <w:szCs w:val="20"/>
                <w:lang w:val="en-US" w:eastAsia="en-US"/>
              </w:rPr>
              <w:t>supuesto 2020</w:t>
            </w:r>
          </w:p>
          <w:p w14:paraId="2905B266" w14:textId="77777777" w:rsidR="00382354" w:rsidRPr="00A922E7" w:rsidRDefault="00382354" w:rsidP="005F634F">
            <w:pPr>
              <w:spacing w:after="0"/>
              <w:jc w:val="center"/>
              <w:rPr>
                <w:rFonts w:ascii="Times New Roman" w:hAnsi="Times New Roman"/>
                <w:b/>
                <w:bCs/>
                <w:color w:val="FFFFFF" w:themeColor="background1"/>
                <w:sz w:val="20"/>
                <w:szCs w:val="20"/>
                <w:lang w:val="en-US" w:eastAsia="en-US"/>
              </w:rPr>
            </w:pPr>
            <w:r w:rsidRPr="00A922E7">
              <w:rPr>
                <w:rFonts w:ascii="Times New Roman" w:hAnsi="Times New Roman"/>
                <w:b/>
                <w:bCs/>
                <w:color w:val="FFFFFF" w:themeColor="background1"/>
                <w:sz w:val="20"/>
                <w:szCs w:val="20"/>
                <w:lang w:val="en-US" w:eastAsia="en-US"/>
              </w:rPr>
              <w:t>(RD$)</w:t>
            </w:r>
          </w:p>
        </w:tc>
        <w:tc>
          <w:tcPr>
            <w:tcW w:w="1920" w:type="dxa"/>
            <w:shd w:val="clear" w:color="auto" w:fill="00B050"/>
            <w:vAlign w:val="center"/>
            <w:hideMark/>
          </w:tcPr>
          <w:p w14:paraId="5A99AA20" w14:textId="77777777" w:rsidR="00382354" w:rsidRPr="00A922E7" w:rsidRDefault="00382354" w:rsidP="005F634F">
            <w:pPr>
              <w:spacing w:after="0"/>
              <w:jc w:val="center"/>
              <w:rPr>
                <w:rFonts w:ascii="Times New Roman" w:hAnsi="Times New Roman"/>
                <w:b/>
                <w:bCs/>
                <w:color w:val="FFFFFF" w:themeColor="background1"/>
                <w:sz w:val="20"/>
                <w:szCs w:val="20"/>
                <w:lang w:val="en-US" w:eastAsia="en-US"/>
              </w:rPr>
            </w:pPr>
            <w:r w:rsidRPr="00A922E7">
              <w:rPr>
                <w:rFonts w:ascii="Times New Roman" w:hAnsi="Times New Roman"/>
                <w:b/>
                <w:bCs/>
                <w:color w:val="FFFFFF" w:themeColor="background1"/>
                <w:sz w:val="20"/>
                <w:szCs w:val="20"/>
                <w:lang w:val="en-US" w:eastAsia="en-US"/>
              </w:rPr>
              <w:t>Monto total proyecto (RD$)</w:t>
            </w:r>
          </w:p>
        </w:tc>
      </w:tr>
      <w:tr w:rsidR="00382354" w:rsidRPr="00307CE9" w14:paraId="65AEC5FD" w14:textId="77777777" w:rsidTr="005F634F">
        <w:trPr>
          <w:trHeight w:val="77"/>
          <w:jc w:val="center"/>
        </w:trPr>
        <w:tc>
          <w:tcPr>
            <w:tcW w:w="13544" w:type="dxa"/>
            <w:gridSpan w:val="9"/>
            <w:shd w:val="clear" w:color="auto" w:fill="auto"/>
            <w:vAlign w:val="center"/>
          </w:tcPr>
          <w:p w14:paraId="7D169067" w14:textId="77777777" w:rsidR="00382354" w:rsidRPr="001667E8" w:rsidRDefault="00382354" w:rsidP="005F634F">
            <w:pPr>
              <w:spacing w:after="0"/>
              <w:rPr>
                <w:rFonts w:ascii="Times New Roman" w:hAnsi="Times New Roman"/>
                <w:b/>
                <w:color w:val="000000"/>
                <w:sz w:val="22"/>
                <w:szCs w:val="18"/>
                <w:highlight w:val="yellow"/>
                <w:lang w:val="en-US" w:eastAsia="es-DO"/>
              </w:rPr>
            </w:pPr>
            <w:r w:rsidRPr="001667E8">
              <w:rPr>
                <w:rFonts w:ascii="Times New Roman" w:hAnsi="Times New Roman"/>
                <w:b/>
                <w:bCs/>
                <w:color w:val="4F6228"/>
                <w:szCs w:val="18"/>
                <w:lang w:eastAsia="es-DO"/>
              </w:rPr>
              <w:t>AGRICULTURARD</w:t>
            </w:r>
          </w:p>
        </w:tc>
      </w:tr>
      <w:tr w:rsidR="00382354" w:rsidRPr="00A57704" w14:paraId="7AC7B76B" w14:textId="77777777" w:rsidTr="005F634F">
        <w:trPr>
          <w:trHeight w:val="510"/>
          <w:jc w:val="center"/>
        </w:trPr>
        <w:tc>
          <w:tcPr>
            <w:tcW w:w="567" w:type="dxa"/>
            <w:shd w:val="clear" w:color="auto" w:fill="auto"/>
            <w:vAlign w:val="center"/>
            <w:hideMark/>
          </w:tcPr>
          <w:p w14:paraId="7CEE5D70"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val="en-US" w:eastAsia="en-US"/>
              </w:rPr>
              <w:t>1</w:t>
            </w:r>
          </w:p>
        </w:tc>
        <w:tc>
          <w:tcPr>
            <w:tcW w:w="709" w:type="dxa"/>
            <w:vAlign w:val="center"/>
          </w:tcPr>
          <w:p w14:paraId="5F838C6B"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s-DO"/>
              </w:rPr>
              <w:t>41119</w:t>
            </w:r>
          </w:p>
        </w:tc>
        <w:tc>
          <w:tcPr>
            <w:tcW w:w="2126" w:type="dxa"/>
            <w:shd w:val="clear" w:color="auto" w:fill="auto"/>
            <w:vAlign w:val="center"/>
            <w:hideMark/>
          </w:tcPr>
          <w:p w14:paraId="54AED317"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n-US"/>
              </w:rPr>
              <w:t>Mejoramiento de la Sanidad E Inocuidad  Agroalimentaria en la República Dominicana</w:t>
            </w:r>
          </w:p>
        </w:tc>
        <w:tc>
          <w:tcPr>
            <w:tcW w:w="2835" w:type="dxa"/>
            <w:shd w:val="clear" w:color="auto" w:fill="auto"/>
            <w:noWrap/>
            <w:vAlign w:val="center"/>
            <w:hideMark/>
          </w:tcPr>
          <w:p w14:paraId="51E4FA9D"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n-US"/>
              </w:rPr>
              <w:t>Elevar los niveles de acceso de los productos agropecuarios dominicanos a los mercados.</w:t>
            </w:r>
          </w:p>
        </w:tc>
        <w:tc>
          <w:tcPr>
            <w:tcW w:w="1134" w:type="dxa"/>
            <w:shd w:val="clear" w:color="000000" w:fill="FFFFFF"/>
            <w:vAlign w:val="center"/>
            <w:hideMark/>
          </w:tcPr>
          <w:p w14:paraId="586F2A08"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val="en-US" w:eastAsia="en-US"/>
              </w:rPr>
              <w:t>Nacional</w:t>
            </w:r>
          </w:p>
        </w:tc>
        <w:tc>
          <w:tcPr>
            <w:tcW w:w="1276" w:type="dxa"/>
            <w:shd w:val="clear" w:color="auto" w:fill="auto"/>
            <w:vAlign w:val="center"/>
            <w:hideMark/>
          </w:tcPr>
          <w:p w14:paraId="3BAC5C4F"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val="en-US" w:eastAsia="en-US"/>
              </w:rPr>
              <w:t>MA</w:t>
            </w:r>
          </w:p>
        </w:tc>
        <w:tc>
          <w:tcPr>
            <w:tcW w:w="1134" w:type="dxa"/>
            <w:shd w:val="clear" w:color="auto" w:fill="auto"/>
            <w:vAlign w:val="center"/>
            <w:hideMark/>
          </w:tcPr>
          <w:p w14:paraId="5E5E0FA6"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val="en-US" w:eastAsia="en-US"/>
              </w:rPr>
              <w:t>4 años</w:t>
            </w:r>
          </w:p>
        </w:tc>
        <w:tc>
          <w:tcPr>
            <w:tcW w:w="1843" w:type="dxa"/>
            <w:shd w:val="clear" w:color="auto" w:fill="auto"/>
            <w:noWrap/>
            <w:vAlign w:val="center"/>
            <w:hideMark/>
          </w:tcPr>
          <w:p w14:paraId="598B420C"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eastAsia="es-DO"/>
              </w:rPr>
              <w:t>189,446,875.00</w:t>
            </w:r>
          </w:p>
        </w:tc>
        <w:tc>
          <w:tcPr>
            <w:tcW w:w="1920" w:type="dxa"/>
            <w:shd w:val="clear" w:color="auto" w:fill="auto"/>
            <w:noWrap/>
            <w:vAlign w:val="center"/>
            <w:hideMark/>
          </w:tcPr>
          <w:p w14:paraId="4E71B208"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val="en-US" w:eastAsia="es-DO"/>
              </w:rPr>
              <w:t xml:space="preserve">RD$2,500,000,000.00 </w:t>
            </w:r>
          </w:p>
        </w:tc>
      </w:tr>
      <w:tr w:rsidR="00382354" w:rsidRPr="00A57704" w14:paraId="012C7F0F" w14:textId="77777777" w:rsidTr="005F634F">
        <w:trPr>
          <w:trHeight w:val="1275"/>
          <w:jc w:val="center"/>
        </w:trPr>
        <w:tc>
          <w:tcPr>
            <w:tcW w:w="567" w:type="dxa"/>
            <w:shd w:val="clear" w:color="auto" w:fill="auto"/>
            <w:vAlign w:val="center"/>
            <w:hideMark/>
          </w:tcPr>
          <w:p w14:paraId="5AD46DE5"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val="en-US" w:eastAsia="en-US"/>
              </w:rPr>
              <w:t>2</w:t>
            </w:r>
          </w:p>
        </w:tc>
        <w:tc>
          <w:tcPr>
            <w:tcW w:w="709" w:type="dxa"/>
            <w:vAlign w:val="center"/>
          </w:tcPr>
          <w:p w14:paraId="2288C4EF"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s-DO"/>
              </w:rPr>
              <w:t>14132</w:t>
            </w:r>
          </w:p>
        </w:tc>
        <w:tc>
          <w:tcPr>
            <w:tcW w:w="2126" w:type="dxa"/>
            <w:shd w:val="clear" w:color="auto" w:fill="auto"/>
            <w:vAlign w:val="center"/>
            <w:hideMark/>
          </w:tcPr>
          <w:p w14:paraId="73F7B706"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n-US"/>
              </w:rPr>
              <w:t>Ordenamiento y manejo de la parte alta y media de la cuenca del Río Yaque del Norte en la vertiente norte de la Cordillera Central.</w:t>
            </w:r>
          </w:p>
        </w:tc>
        <w:tc>
          <w:tcPr>
            <w:tcW w:w="2835" w:type="dxa"/>
            <w:shd w:val="clear" w:color="auto" w:fill="auto"/>
            <w:noWrap/>
            <w:vAlign w:val="center"/>
            <w:hideMark/>
          </w:tcPr>
          <w:p w14:paraId="013555D9"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n-US"/>
              </w:rPr>
              <w:t>Mejorar la función ecológica de la parte alta y media dela cuenca del río Yaque del Norte para la producción y disponibilidad de agua limpia y constante, así como otros servicios y bienes ambientales.</w:t>
            </w:r>
          </w:p>
        </w:tc>
        <w:tc>
          <w:tcPr>
            <w:tcW w:w="1134" w:type="dxa"/>
            <w:shd w:val="clear" w:color="000000" w:fill="FFFFFF"/>
            <w:vAlign w:val="center"/>
            <w:hideMark/>
          </w:tcPr>
          <w:p w14:paraId="762B1243"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n-US"/>
              </w:rPr>
              <w:t>Santiago, Santiago Rodríguez, Mao, Monte Cristi y Dajabón.</w:t>
            </w:r>
          </w:p>
        </w:tc>
        <w:tc>
          <w:tcPr>
            <w:tcW w:w="1276" w:type="dxa"/>
            <w:shd w:val="clear" w:color="auto" w:fill="auto"/>
            <w:vAlign w:val="center"/>
            <w:hideMark/>
          </w:tcPr>
          <w:p w14:paraId="6D688987"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val="en-US" w:eastAsia="en-US"/>
              </w:rPr>
              <w:t>MA/Plan Sierra</w:t>
            </w:r>
          </w:p>
        </w:tc>
        <w:tc>
          <w:tcPr>
            <w:tcW w:w="1134" w:type="dxa"/>
            <w:shd w:val="clear" w:color="auto" w:fill="auto"/>
            <w:vAlign w:val="center"/>
            <w:hideMark/>
          </w:tcPr>
          <w:p w14:paraId="5E70E8B7"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val="en-US" w:eastAsia="en-US"/>
              </w:rPr>
              <w:t>7 años</w:t>
            </w:r>
          </w:p>
        </w:tc>
        <w:tc>
          <w:tcPr>
            <w:tcW w:w="1843" w:type="dxa"/>
            <w:shd w:val="clear" w:color="auto" w:fill="auto"/>
            <w:noWrap/>
            <w:vAlign w:val="center"/>
            <w:hideMark/>
          </w:tcPr>
          <w:p w14:paraId="2C9CAB3E"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eastAsia="es-DO"/>
              </w:rPr>
              <w:t>1,540,668,755.00</w:t>
            </w:r>
          </w:p>
        </w:tc>
        <w:tc>
          <w:tcPr>
            <w:tcW w:w="1920" w:type="dxa"/>
            <w:shd w:val="clear" w:color="auto" w:fill="auto"/>
            <w:noWrap/>
            <w:vAlign w:val="center"/>
            <w:hideMark/>
          </w:tcPr>
          <w:p w14:paraId="11623F8B"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val="en-US" w:eastAsia="es-DO"/>
              </w:rPr>
              <w:t xml:space="preserve">RD$1,540,668,577.00 </w:t>
            </w:r>
          </w:p>
        </w:tc>
      </w:tr>
      <w:tr w:rsidR="00382354" w:rsidRPr="00A57704" w14:paraId="50A4D88B" w14:textId="77777777" w:rsidTr="005F634F">
        <w:trPr>
          <w:trHeight w:val="1020"/>
          <w:jc w:val="center"/>
        </w:trPr>
        <w:tc>
          <w:tcPr>
            <w:tcW w:w="567" w:type="dxa"/>
            <w:shd w:val="clear" w:color="000000" w:fill="FFFFFF"/>
            <w:vAlign w:val="center"/>
            <w:hideMark/>
          </w:tcPr>
          <w:p w14:paraId="23130179"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val="en-US" w:eastAsia="en-US"/>
              </w:rPr>
              <w:t>3</w:t>
            </w:r>
          </w:p>
        </w:tc>
        <w:tc>
          <w:tcPr>
            <w:tcW w:w="709" w:type="dxa"/>
            <w:vAlign w:val="center"/>
          </w:tcPr>
          <w:p w14:paraId="2B2C3A14"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s-DO"/>
              </w:rPr>
              <w:t>14199</w:t>
            </w:r>
          </w:p>
        </w:tc>
        <w:tc>
          <w:tcPr>
            <w:tcW w:w="2126" w:type="dxa"/>
            <w:shd w:val="clear" w:color="auto" w:fill="auto"/>
            <w:vAlign w:val="center"/>
            <w:hideMark/>
          </w:tcPr>
          <w:p w14:paraId="5ABCDC4E"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n-US"/>
              </w:rPr>
              <w:t>Reconstrucción de 44 km de Caminos   Productivos en la Provincia: Puerto Plata.</w:t>
            </w:r>
          </w:p>
        </w:tc>
        <w:tc>
          <w:tcPr>
            <w:tcW w:w="2835" w:type="dxa"/>
            <w:shd w:val="clear" w:color="auto" w:fill="auto"/>
            <w:noWrap/>
            <w:vAlign w:val="center"/>
            <w:hideMark/>
          </w:tcPr>
          <w:p w14:paraId="1A5C8606"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n-US"/>
              </w:rPr>
              <w:t>Mejorar el nivel de servicio de los caminos rurales de la zona central del país, contribuyendo así al acceso a los mercados locales y de exportación y al desarrollo del sector agropecuario nacional.</w:t>
            </w:r>
          </w:p>
        </w:tc>
        <w:tc>
          <w:tcPr>
            <w:tcW w:w="1134" w:type="dxa"/>
            <w:shd w:val="clear" w:color="000000" w:fill="FFFFFF"/>
            <w:vAlign w:val="center"/>
            <w:hideMark/>
          </w:tcPr>
          <w:p w14:paraId="6A8E62B4"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val="en-US" w:eastAsia="en-US"/>
              </w:rPr>
              <w:t>Puerto Plata</w:t>
            </w:r>
          </w:p>
        </w:tc>
        <w:tc>
          <w:tcPr>
            <w:tcW w:w="1276" w:type="dxa"/>
            <w:shd w:val="clear" w:color="000000" w:fill="FFFFFF"/>
            <w:vAlign w:val="center"/>
            <w:hideMark/>
          </w:tcPr>
          <w:p w14:paraId="736D7B03"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val="en-US" w:eastAsia="en-US"/>
              </w:rPr>
              <w:t>MA/Depto. Caminos</w:t>
            </w:r>
          </w:p>
        </w:tc>
        <w:tc>
          <w:tcPr>
            <w:tcW w:w="1134" w:type="dxa"/>
            <w:shd w:val="clear" w:color="auto" w:fill="auto"/>
            <w:vAlign w:val="center"/>
            <w:hideMark/>
          </w:tcPr>
          <w:p w14:paraId="4A152A4F"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val="en-US" w:eastAsia="en-US"/>
              </w:rPr>
              <w:t>1 año</w:t>
            </w:r>
          </w:p>
        </w:tc>
        <w:tc>
          <w:tcPr>
            <w:tcW w:w="1843" w:type="dxa"/>
            <w:shd w:val="clear" w:color="auto" w:fill="auto"/>
            <w:noWrap/>
            <w:vAlign w:val="center"/>
            <w:hideMark/>
          </w:tcPr>
          <w:p w14:paraId="2904FB3B"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eastAsia="es-DO"/>
              </w:rPr>
              <w:t>12,000,000.00</w:t>
            </w:r>
          </w:p>
        </w:tc>
        <w:tc>
          <w:tcPr>
            <w:tcW w:w="1920" w:type="dxa"/>
            <w:shd w:val="clear" w:color="auto" w:fill="auto"/>
            <w:noWrap/>
            <w:vAlign w:val="center"/>
            <w:hideMark/>
          </w:tcPr>
          <w:p w14:paraId="3F26DACE"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val="en-US" w:eastAsia="es-DO"/>
              </w:rPr>
              <w:t xml:space="preserve">RD$42,000,000.00 </w:t>
            </w:r>
          </w:p>
        </w:tc>
      </w:tr>
      <w:tr w:rsidR="00382354" w:rsidRPr="00A57704" w14:paraId="4AC752F5" w14:textId="77777777" w:rsidTr="005F634F">
        <w:trPr>
          <w:trHeight w:val="765"/>
          <w:jc w:val="center"/>
        </w:trPr>
        <w:tc>
          <w:tcPr>
            <w:tcW w:w="567" w:type="dxa"/>
            <w:shd w:val="clear" w:color="000000" w:fill="FFFFFF"/>
            <w:vAlign w:val="center"/>
            <w:hideMark/>
          </w:tcPr>
          <w:p w14:paraId="5F141FD1"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val="en-US" w:eastAsia="en-US"/>
              </w:rPr>
              <w:t>4</w:t>
            </w:r>
          </w:p>
        </w:tc>
        <w:tc>
          <w:tcPr>
            <w:tcW w:w="709" w:type="dxa"/>
            <w:vAlign w:val="center"/>
          </w:tcPr>
          <w:p w14:paraId="22156E2B"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s-DO"/>
              </w:rPr>
              <w:t>14379</w:t>
            </w:r>
          </w:p>
        </w:tc>
        <w:tc>
          <w:tcPr>
            <w:tcW w:w="2126" w:type="dxa"/>
            <w:shd w:val="clear" w:color="auto" w:fill="auto"/>
            <w:vAlign w:val="center"/>
          </w:tcPr>
          <w:p w14:paraId="2B3027E9"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s-DO"/>
              </w:rPr>
              <w:t>Construccion de camara termica para la produccion de material de siembra de platano de alta calidad en Rep.Dom</w:t>
            </w:r>
          </w:p>
        </w:tc>
        <w:tc>
          <w:tcPr>
            <w:tcW w:w="2835" w:type="dxa"/>
            <w:shd w:val="clear" w:color="auto" w:fill="auto"/>
            <w:noWrap/>
            <w:vAlign w:val="center"/>
          </w:tcPr>
          <w:p w14:paraId="7177E9A3"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s-DO"/>
              </w:rPr>
              <w:t>Construir 10 camara termica a nivel nacional para mejorar la productividad genetica y macropapagacion de material de siembra de alta calidad.</w:t>
            </w:r>
          </w:p>
        </w:tc>
        <w:tc>
          <w:tcPr>
            <w:tcW w:w="1134" w:type="dxa"/>
            <w:shd w:val="clear" w:color="000000" w:fill="FFFFFF"/>
            <w:vAlign w:val="center"/>
          </w:tcPr>
          <w:p w14:paraId="204B03CF"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s-DO"/>
              </w:rPr>
              <w:t>Nacional</w:t>
            </w:r>
          </w:p>
        </w:tc>
        <w:tc>
          <w:tcPr>
            <w:tcW w:w="1276" w:type="dxa"/>
            <w:shd w:val="clear" w:color="000000" w:fill="FFFFFF"/>
            <w:vAlign w:val="center"/>
          </w:tcPr>
          <w:p w14:paraId="78DDDDC2"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s-DO"/>
              </w:rPr>
              <w:t>MA/Depto. Producción y UEPIP</w:t>
            </w:r>
          </w:p>
        </w:tc>
        <w:tc>
          <w:tcPr>
            <w:tcW w:w="1134" w:type="dxa"/>
            <w:shd w:val="clear" w:color="auto" w:fill="auto"/>
            <w:vAlign w:val="center"/>
          </w:tcPr>
          <w:p w14:paraId="72915934"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s-DO"/>
              </w:rPr>
              <w:t>4 años</w:t>
            </w:r>
          </w:p>
        </w:tc>
        <w:tc>
          <w:tcPr>
            <w:tcW w:w="1843" w:type="dxa"/>
            <w:shd w:val="clear" w:color="auto" w:fill="auto"/>
            <w:noWrap/>
            <w:vAlign w:val="center"/>
          </w:tcPr>
          <w:p w14:paraId="4D18184D"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s-DO"/>
              </w:rPr>
              <w:t>5,000,000.00</w:t>
            </w:r>
          </w:p>
        </w:tc>
        <w:tc>
          <w:tcPr>
            <w:tcW w:w="1920" w:type="dxa"/>
            <w:shd w:val="clear" w:color="auto" w:fill="auto"/>
            <w:noWrap/>
            <w:vAlign w:val="center"/>
          </w:tcPr>
          <w:p w14:paraId="306917EB"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s-DO"/>
              </w:rPr>
              <w:t xml:space="preserve">RD$167,796,800.00 </w:t>
            </w:r>
          </w:p>
        </w:tc>
      </w:tr>
      <w:tr w:rsidR="00382354" w:rsidRPr="00A57704" w14:paraId="2B02EA23" w14:textId="77777777" w:rsidTr="005F634F">
        <w:trPr>
          <w:trHeight w:val="765"/>
          <w:jc w:val="center"/>
        </w:trPr>
        <w:tc>
          <w:tcPr>
            <w:tcW w:w="567" w:type="dxa"/>
            <w:shd w:val="clear" w:color="000000" w:fill="FFFFFF"/>
            <w:vAlign w:val="center"/>
          </w:tcPr>
          <w:p w14:paraId="5BC670DF"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n-US"/>
              </w:rPr>
              <w:t>5</w:t>
            </w:r>
          </w:p>
        </w:tc>
        <w:tc>
          <w:tcPr>
            <w:tcW w:w="709" w:type="dxa"/>
            <w:vAlign w:val="center"/>
          </w:tcPr>
          <w:p w14:paraId="66E4FC1E"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s-DO"/>
              </w:rPr>
              <w:t>14132</w:t>
            </w:r>
          </w:p>
        </w:tc>
        <w:tc>
          <w:tcPr>
            <w:tcW w:w="2126" w:type="dxa"/>
            <w:shd w:val="clear" w:color="auto" w:fill="auto"/>
            <w:vAlign w:val="center"/>
          </w:tcPr>
          <w:p w14:paraId="79A8F452"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n-US"/>
              </w:rPr>
              <w:t>Recuperación de los Recursos Naturales de la Subcuenca Jamao Veragua</w:t>
            </w:r>
          </w:p>
        </w:tc>
        <w:tc>
          <w:tcPr>
            <w:tcW w:w="2835" w:type="dxa"/>
            <w:shd w:val="clear" w:color="auto" w:fill="auto"/>
            <w:noWrap/>
            <w:vAlign w:val="center"/>
          </w:tcPr>
          <w:p w14:paraId="61B1DD6E"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n-US"/>
              </w:rPr>
              <w:t>Recuperar la cobertura boscosa de la subcuenca</w:t>
            </w:r>
          </w:p>
        </w:tc>
        <w:tc>
          <w:tcPr>
            <w:tcW w:w="1134" w:type="dxa"/>
            <w:shd w:val="clear" w:color="000000" w:fill="FFFFFF"/>
            <w:vAlign w:val="center"/>
          </w:tcPr>
          <w:p w14:paraId="7F88B7AC" w14:textId="77777777" w:rsidR="00382354" w:rsidRPr="00A57704" w:rsidRDefault="00382354" w:rsidP="005F634F">
            <w:pPr>
              <w:spacing w:after="0"/>
              <w:jc w:val="center"/>
              <w:rPr>
                <w:rFonts w:ascii="Times New Roman" w:hAnsi="Times New Roman"/>
                <w:color w:val="000000"/>
                <w:sz w:val="18"/>
                <w:szCs w:val="18"/>
                <w:lang w:eastAsia="en-US"/>
              </w:rPr>
            </w:pPr>
            <w:r w:rsidRPr="00A57704">
              <w:rPr>
                <w:rFonts w:ascii="Times New Roman" w:hAnsi="Times New Roman"/>
                <w:color w:val="000000"/>
                <w:sz w:val="18"/>
                <w:szCs w:val="18"/>
                <w:lang w:eastAsia="en-US"/>
              </w:rPr>
              <w:t>Provincia Espaillat y Hermanas Mirabal</w:t>
            </w:r>
          </w:p>
        </w:tc>
        <w:tc>
          <w:tcPr>
            <w:tcW w:w="1276" w:type="dxa"/>
            <w:shd w:val="clear" w:color="000000" w:fill="FFFFFF"/>
            <w:vAlign w:val="center"/>
          </w:tcPr>
          <w:p w14:paraId="3AFB4535"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val="en-US" w:eastAsia="en-US"/>
              </w:rPr>
              <w:t>MA/</w:t>
            </w:r>
            <w:r w:rsidRPr="00A57704">
              <w:rPr>
                <w:rFonts w:ascii="Times New Roman" w:hAnsi="Times New Roman"/>
                <w:color w:val="000000"/>
                <w:sz w:val="18"/>
                <w:szCs w:val="18"/>
                <w:lang w:eastAsia="es-DO"/>
              </w:rPr>
              <w:t xml:space="preserve"> UEPIP</w:t>
            </w:r>
          </w:p>
        </w:tc>
        <w:tc>
          <w:tcPr>
            <w:tcW w:w="1134" w:type="dxa"/>
            <w:shd w:val="clear" w:color="auto" w:fill="auto"/>
            <w:vAlign w:val="center"/>
          </w:tcPr>
          <w:p w14:paraId="549AE8AE"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val="en-US" w:eastAsia="en-US"/>
              </w:rPr>
              <w:t>4 año</w:t>
            </w:r>
          </w:p>
        </w:tc>
        <w:tc>
          <w:tcPr>
            <w:tcW w:w="1843" w:type="dxa"/>
            <w:shd w:val="clear" w:color="auto" w:fill="auto"/>
            <w:noWrap/>
            <w:vAlign w:val="center"/>
          </w:tcPr>
          <w:p w14:paraId="55DD40AA"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eastAsia="es-DO"/>
              </w:rPr>
              <w:t>20,000,000.00</w:t>
            </w:r>
          </w:p>
        </w:tc>
        <w:tc>
          <w:tcPr>
            <w:tcW w:w="1920" w:type="dxa"/>
            <w:shd w:val="clear" w:color="auto" w:fill="auto"/>
            <w:noWrap/>
            <w:vAlign w:val="center"/>
          </w:tcPr>
          <w:p w14:paraId="2406915A" w14:textId="77777777" w:rsidR="00382354" w:rsidRPr="00A57704" w:rsidRDefault="00382354" w:rsidP="005F634F">
            <w:pPr>
              <w:spacing w:after="0"/>
              <w:jc w:val="center"/>
              <w:rPr>
                <w:rFonts w:ascii="Times New Roman" w:hAnsi="Times New Roman"/>
                <w:color w:val="000000"/>
                <w:sz w:val="18"/>
                <w:szCs w:val="18"/>
                <w:lang w:val="en-US" w:eastAsia="en-US"/>
              </w:rPr>
            </w:pPr>
            <w:r w:rsidRPr="00A57704">
              <w:rPr>
                <w:rFonts w:ascii="Times New Roman" w:hAnsi="Times New Roman"/>
                <w:color w:val="000000"/>
                <w:sz w:val="18"/>
                <w:szCs w:val="18"/>
                <w:lang w:val="en-US" w:eastAsia="es-DO"/>
              </w:rPr>
              <w:t xml:space="preserve">RD$750,000,000.00 </w:t>
            </w:r>
          </w:p>
        </w:tc>
      </w:tr>
      <w:tr w:rsidR="00382354" w:rsidRPr="00A57704" w14:paraId="57B03C43" w14:textId="77777777" w:rsidTr="005F634F">
        <w:trPr>
          <w:trHeight w:val="255"/>
          <w:jc w:val="center"/>
        </w:trPr>
        <w:tc>
          <w:tcPr>
            <w:tcW w:w="567" w:type="dxa"/>
            <w:shd w:val="clear" w:color="auto" w:fill="808080" w:themeFill="background1" w:themeFillShade="80"/>
            <w:vAlign w:val="center"/>
            <w:hideMark/>
          </w:tcPr>
          <w:p w14:paraId="29DCFC49" w14:textId="77777777" w:rsidR="00382354" w:rsidRPr="00A57704" w:rsidRDefault="00382354" w:rsidP="005F634F">
            <w:pPr>
              <w:spacing w:after="0"/>
              <w:jc w:val="center"/>
              <w:rPr>
                <w:rFonts w:ascii="Times New Roman" w:hAnsi="Times New Roman"/>
                <w:color w:val="FFFFFF" w:themeColor="background1"/>
                <w:sz w:val="18"/>
                <w:szCs w:val="18"/>
                <w:lang w:val="en-US" w:eastAsia="en-US"/>
              </w:rPr>
            </w:pPr>
          </w:p>
        </w:tc>
        <w:tc>
          <w:tcPr>
            <w:tcW w:w="709" w:type="dxa"/>
            <w:shd w:val="clear" w:color="auto" w:fill="808080" w:themeFill="background1" w:themeFillShade="80"/>
          </w:tcPr>
          <w:p w14:paraId="1DC73F82" w14:textId="77777777" w:rsidR="00382354" w:rsidRPr="00A57704" w:rsidRDefault="00382354" w:rsidP="005F634F">
            <w:pPr>
              <w:spacing w:after="0"/>
              <w:jc w:val="center"/>
              <w:rPr>
                <w:rFonts w:ascii="Times New Roman" w:hAnsi="Times New Roman"/>
                <w:b/>
                <w:bCs/>
                <w:color w:val="FFFFFF" w:themeColor="background1"/>
                <w:sz w:val="18"/>
                <w:szCs w:val="18"/>
                <w:lang w:val="en-US" w:eastAsia="en-US"/>
              </w:rPr>
            </w:pPr>
          </w:p>
        </w:tc>
        <w:tc>
          <w:tcPr>
            <w:tcW w:w="8505" w:type="dxa"/>
            <w:gridSpan w:val="5"/>
            <w:shd w:val="clear" w:color="auto" w:fill="808080" w:themeFill="background1" w:themeFillShade="80"/>
            <w:vAlign w:val="center"/>
            <w:hideMark/>
          </w:tcPr>
          <w:p w14:paraId="7FDC2089" w14:textId="77777777" w:rsidR="00382354" w:rsidRPr="00A57704" w:rsidRDefault="00382354" w:rsidP="005F634F">
            <w:pPr>
              <w:spacing w:after="0"/>
              <w:jc w:val="center"/>
              <w:rPr>
                <w:rFonts w:ascii="Times New Roman" w:hAnsi="Times New Roman"/>
                <w:b/>
                <w:bCs/>
                <w:color w:val="FFFFFF" w:themeColor="background1"/>
                <w:sz w:val="18"/>
                <w:szCs w:val="18"/>
                <w:lang w:val="en-US" w:eastAsia="en-US"/>
              </w:rPr>
            </w:pPr>
            <w:r w:rsidRPr="00A57704">
              <w:rPr>
                <w:rFonts w:ascii="Times New Roman" w:hAnsi="Times New Roman"/>
                <w:b/>
                <w:bCs/>
                <w:color w:val="FFFFFF" w:themeColor="background1"/>
                <w:sz w:val="18"/>
                <w:szCs w:val="18"/>
                <w:lang w:val="en-US" w:eastAsia="en-US"/>
              </w:rPr>
              <w:t>SUB-TOTAL AGRICULTURA</w:t>
            </w:r>
          </w:p>
        </w:tc>
        <w:tc>
          <w:tcPr>
            <w:tcW w:w="1843" w:type="dxa"/>
            <w:shd w:val="clear" w:color="auto" w:fill="808080" w:themeFill="background1" w:themeFillShade="80"/>
            <w:vAlign w:val="center"/>
            <w:hideMark/>
          </w:tcPr>
          <w:p w14:paraId="3AD91E75" w14:textId="77777777" w:rsidR="00382354" w:rsidRPr="00A57704" w:rsidRDefault="00382354" w:rsidP="005F634F">
            <w:pPr>
              <w:spacing w:after="0"/>
              <w:jc w:val="center"/>
              <w:rPr>
                <w:rFonts w:ascii="Times New Roman" w:hAnsi="Times New Roman"/>
                <w:b/>
                <w:bCs/>
                <w:color w:val="FFFFFF" w:themeColor="background1"/>
                <w:sz w:val="18"/>
                <w:szCs w:val="18"/>
                <w:lang w:val="en-US" w:eastAsia="en-US"/>
              </w:rPr>
            </w:pPr>
            <w:r w:rsidRPr="00A57704">
              <w:rPr>
                <w:rFonts w:ascii="Times New Roman" w:hAnsi="Times New Roman"/>
                <w:b/>
                <w:bCs/>
                <w:color w:val="FFFFFF" w:themeColor="background1"/>
                <w:sz w:val="18"/>
                <w:szCs w:val="18"/>
                <w:lang w:eastAsia="es-DO"/>
              </w:rPr>
              <w:t xml:space="preserve">RD$1,767,115,630.00 </w:t>
            </w:r>
          </w:p>
        </w:tc>
        <w:tc>
          <w:tcPr>
            <w:tcW w:w="1920" w:type="dxa"/>
            <w:shd w:val="clear" w:color="auto" w:fill="808080" w:themeFill="background1" w:themeFillShade="80"/>
            <w:vAlign w:val="center"/>
            <w:hideMark/>
          </w:tcPr>
          <w:p w14:paraId="36723D8E" w14:textId="77777777" w:rsidR="00382354" w:rsidRPr="00A57704" w:rsidRDefault="00382354" w:rsidP="005F634F">
            <w:pPr>
              <w:spacing w:after="0"/>
              <w:jc w:val="center"/>
              <w:rPr>
                <w:rFonts w:ascii="Times New Roman" w:hAnsi="Times New Roman"/>
                <w:b/>
                <w:bCs/>
                <w:color w:val="FFFFFF" w:themeColor="background1"/>
                <w:sz w:val="18"/>
                <w:szCs w:val="18"/>
                <w:lang w:val="en-US" w:eastAsia="en-US"/>
              </w:rPr>
            </w:pPr>
            <w:r w:rsidRPr="00A57704">
              <w:rPr>
                <w:rFonts w:ascii="Times New Roman" w:hAnsi="Times New Roman"/>
                <w:b/>
                <w:bCs/>
                <w:color w:val="FFFFFF" w:themeColor="background1"/>
                <w:sz w:val="18"/>
                <w:szCs w:val="18"/>
                <w:lang w:eastAsia="es-DO"/>
              </w:rPr>
              <w:t xml:space="preserve">RD$5,000,465,377.00 </w:t>
            </w:r>
          </w:p>
        </w:tc>
      </w:tr>
    </w:tbl>
    <w:p w14:paraId="1F04C1B7" w14:textId="77777777" w:rsidR="00382354" w:rsidRPr="00A57704" w:rsidRDefault="00382354" w:rsidP="00382354"/>
    <w:p w14:paraId="14884820" w14:textId="77777777" w:rsidR="00382354" w:rsidRPr="00A57704" w:rsidRDefault="00382354" w:rsidP="00382354">
      <w:pPr>
        <w:spacing w:after="0"/>
      </w:pPr>
      <w:r w:rsidRPr="00A57704">
        <w:br w:type="page"/>
      </w:r>
    </w:p>
    <w:tbl>
      <w:tblPr>
        <w:tblW w:w="13495" w:type="dxa"/>
        <w:tblLook w:val="04A0" w:firstRow="1" w:lastRow="0" w:firstColumn="1" w:lastColumn="0" w:noHBand="0" w:noVBand="1"/>
      </w:tblPr>
      <w:tblGrid>
        <w:gridCol w:w="535"/>
        <w:gridCol w:w="680"/>
        <w:gridCol w:w="2196"/>
        <w:gridCol w:w="2782"/>
        <w:gridCol w:w="1199"/>
        <w:gridCol w:w="1420"/>
        <w:gridCol w:w="1016"/>
        <w:gridCol w:w="1777"/>
        <w:gridCol w:w="1890"/>
      </w:tblGrid>
      <w:tr w:rsidR="00AB27F7" w:rsidRPr="00AB27F7" w14:paraId="0EDDD1D1" w14:textId="77777777" w:rsidTr="00AB27F7">
        <w:trPr>
          <w:trHeight w:val="765"/>
        </w:trPr>
        <w:tc>
          <w:tcPr>
            <w:tcW w:w="535"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21D4A0A7" w14:textId="77777777" w:rsidR="00AB27F7" w:rsidRPr="00AB27F7" w:rsidRDefault="00AB27F7" w:rsidP="00AB27F7">
            <w:pPr>
              <w:spacing w:after="0"/>
              <w:jc w:val="center"/>
              <w:rPr>
                <w:rFonts w:ascii="Times New Roman" w:hAnsi="Times New Roman"/>
                <w:b/>
                <w:bCs/>
                <w:color w:val="FFFFFF"/>
                <w:sz w:val="20"/>
                <w:szCs w:val="20"/>
                <w:lang w:val="en-US" w:eastAsia="en-US"/>
              </w:rPr>
            </w:pPr>
            <w:r w:rsidRPr="00AB27F7">
              <w:rPr>
                <w:rFonts w:ascii="Times New Roman" w:hAnsi="Times New Roman"/>
                <w:b/>
                <w:bCs/>
                <w:color w:val="FFFFFF"/>
                <w:sz w:val="20"/>
                <w:szCs w:val="20"/>
                <w:lang w:val="en-US" w:eastAsia="en-US"/>
              </w:rPr>
              <w:lastRenderedPageBreak/>
              <w:t>No</w:t>
            </w:r>
          </w:p>
        </w:tc>
        <w:tc>
          <w:tcPr>
            <w:tcW w:w="680" w:type="dxa"/>
            <w:tcBorders>
              <w:top w:val="single" w:sz="4" w:space="0" w:color="auto"/>
              <w:left w:val="nil"/>
              <w:bottom w:val="single" w:sz="4" w:space="0" w:color="auto"/>
              <w:right w:val="single" w:sz="4" w:space="0" w:color="auto"/>
            </w:tcBorders>
            <w:shd w:val="clear" w:color="000000" w:fill="00B050"/>
            <w:vAlign w:val="center"/>
            <w:hideMark/>
          </w:tcPr>
          <w:p w14:paraId="7523EFF2" w14:textId="77777777" w:rsidR="00AB27F7" w:rsidRPr="00AB27F7" w:rsidRDefault="00AB27F7" w:rsidP="00AB27F7">
            <w:pPr>
              <w:spacing w:after="0"/>
              <w:jc w:val="center"/>
              <w:rPr>
                <w:rFonts w:ascii="Times New Roman" w:hAnsi="Times New Roman"/>
                <w:b/>
                <w:bCs/>
                <w:color w:val="FFFFFF"/>
                <w:sz w:val="20"/>
                <w:szCs w:val="20"/>
                <w:lang w:val="en-US" w:eastAsia="en-US"/>
              </w:rPr>
            </w:pPr>
            <w:r w:rsidRPr="00AB27F7">
              <w:rPr>
                <w:rFonts w:ascii="Times New Roman" w:hAnsi="Times New Roman"/>
                <w:b/>
                <w:bCs/>
                <w:color w:val="FFFFFF"/>
                <w:sz w:val="20"/>
                <w:szCs w:val="20"/>
                <w:lang w:val="en-US" w:eastAsia="en-US"/>
              </w:rPr>
              <w:t>SNIP</w:t>
            </w:r>
          </w:p>
        </w:tc>
        <w:tc>
          <w:tcPr>
            <w:tcW w:w="2196" w:type="dxa"/>
            <w:tcBorders>
              <w:top w:val="single" w:sz="4" w:space="0" w:color="auto"/>
              <w:left w:val="nil"/>
              <w:bottom w:val="single" w:sz="4" w:space="0" w:color="auto"/>
              <w:right w:val="single" w:sz="4" w:space="0" w:color="auto"/>
            </w:tcBorders>
            <w:shd w:val="clear" w:color="000000" w:fill="00B050"/>
            <w:vAlign w:val="center"/>
            <w:hideMark/>
          </w:tcPr>
          <w:p w14:paraId="7EB9097A" w14:textId="77777777" w:rsidR="00AB27F7" w:rsidRPr="00AB27F7" w:rsidRDefault="00AB27F7" w:rsidP="00AB27F7">
            <w:pPr>
              <w:spacing w:after="0"/>
              <w:jc w:val="center"/>
              <w:rPr>
                <w:rFonts w:ascii="Times New Roman" w:hAnsi="Times New Roman"/>
                <w:b/>
                <w:bCs/>
                <w:color w:val="FFFFFF"/>
                <w:sz w:val="20"/>
                <w:szCs w:val="20"/>
                <w:lang w:val="en-US" w:eastAsia="en-US"/>
              </w:rPr>
            </w:pPr>
            <w:r w:rsidRPr="00AB27F7">
              <w:rPr>
                <w:rFonts w:ascii="Times New Roman" w:hAnsi="Times New Roman"/>
                <w:b/>
                <w:bCs/>
                <w:color w:val="FFFFFF"/>
                <w:sz w:val="20"/>
                <w:szCs w:val="20"/>
                <w:lang w:val="en-US" w:eastAsia="en-US"/>
              </w:rPr>
              <w:t>Nombre proyecto</w:t>
            </w:r>
          </w:p>
        </w:tc>
        <w:tc>
          <w:tcPr>
            <w:tcW w:w="2782" w:type="dxa"/>
            <w:tcBorders>
              <w:top w:val="single" w:sz="4" w:space="0" w:color="auto"/>
              <w:left w:val="nil"/>
              <w:bottom w:val="single" w:sz="4" w:space="0" w:color="auto"/>
              <w:right w:val="single" w:sz="4" w:space="0" w:color="auto"/>
            </w:tcBorders>
            <w:shd w:val="clear" w:color="000000" w:fill="00B050"/>
            <w:vAlign w:val="center"/>
            <w:hideMark/>
          </w:tcPr>
          <w:p w14:paraId="1BAD832F" w14:textId="77777777" w:rsidR="00AB27F7" w:rsidRPr="00AB27F7" w:rsidRDefault="00AB27F7" w:rsidP="00AB27F7">
            <w:pPr>
              <w:spacing w:after="0"/>
              <w:jc w:val="center"/>
              <w:rPr>
                <w:rFonts w:ascii="Times New Roman" w:hAnsi="Times New Roman"/>
                <w:b/>
                <w:bCs/>
                <w:color w:val="FFFFFF"/>
                <w:sz w:val="20"/>
                <w:szCs w:val="20"/>
                <w:lang w:val="en-US" w:eastAsia="en-US"/>
              </w:rPr>
            </w:pPr>
            <w:r w:rsidRPr="00AB27F7">
              <w:rPr>
                <w:rFonts w:ascii="Times New Roman" w:hAnsi="Times New Roman"/>
                <w:b/>
                <w:bCs/>
                <w:color w:val="FFFFFF"/>
                <w:sz w:val="20"/>
                <w:szCs w:val="20"/>
                <w:lang w:val="en-US" w:eastAsia="en-US"/>
              </w:rPr>
              <w:t>Objetivo general</w:t>
            </w:r>
          </w:p>
        </w:tc>
        <w:tc>
          <w:tcPr>
            <w:tcW w:w="1199" w:type="dxa"/>
            <w:tcBorders>
              <w:top w:val="single" w:sz="4" w:space="0" w:color="auto"/>
              <w:left w:val="nil"/>
              <w:bottom w:val="single" w:sz="4" w:space="0" w:color="auto"/>
              <w:right w:val="single" w:sz="4" w:space="0" w:color="auto"/>
            </w:tcBorders>
            <w:shd w:val="clear" w:color="000000" w:fill="00B050"/>
            <w:vAlign w:val="center"/>
            <w:hideMark/>
          </w:tcPr>
          <w:p w14:paraId="6A8E7145" w14:textId="77777777" w:rsidR="00AB27F7" w:rsidRPr="00AB27F7" w:rsidRDefault="00AB27F7" w:rsidP="00AB27F7">
            <w:pPr>
              <w:spacing w:after="0"/>
              <w:jc w:val="center"/>
              <w:rPr>
                <w:rFonts w:ascii="Times New Roman" w:hAnsi="Times New Roman"/>
                <w:b/>
                <w:bCs/>
                <w:color w:val="FFFFFF"/>
                <w:sz w:val="20"/>
                <w:szCs w:val="20"/>
                <w:lang w:val="en-US" w:eastAsia="en-US"/>
              </w:rPr>
            </w:pPr>
            <w:r w:rsidRPr="00AB27F7">
              <w:rPr>
                <w:rFonts w:ascii="Times New Roman" w:hAnsi="Times New Roman"/>
                <w:b/>
                <w:bCs/>
                <w:color w:val="FFFFFF"/>
                <w:sz w:val="20"/>
                <w:szCs w:val="20"/>
                <w:lang w:val="en-US" w:eastAsia="en-US"/>
              </w:rPr>
              <w:t>Ubicación geográfica</w:t>
            </w:r>
          </w:p>
        </w:tc>
        <w:tc>
          <w:tcPr>
            <w:tcW w:w="1420" w:type="dxa"/>
            <w:tcBorders>
              <w:top w:val="single" w:sz="4" w:space="0" w:color="auto"/>
              <w:left w:val="nil"/>
              <w:bottom w:val="single" w:sz="4" w:space="0" w:color="auto"/>
              <w:right w:val="single" w:sz="4" w:space="0" w:color="auto"/>
            </w:tcBorders>
            <w:shd w:val="clear" w:color="000000" w:fill="00B050"/>
            <w:vAlign w:val="center"/>
            <w:hideMark/>
          </w:tcPr>
          <w:p w14:paraId="759C640A" w14:textId="77777777" w:rsidR="00AB27F7" w:rsidRPr="00AB27F7" w:rsidRDefault="00AB27F7" w:rsidP="00AB27F7">
            <w:pPr>
              <w:spacing w:after="0"/>
              <w:jc w:val="center"/>
              <w:rPr>
                <w:rFonts w:ascii="Times New Roman" w:hAnsi="Times New Roman"/>
                <w:b/>
                <w:bCs/>
                <w:color w:val="FFFFFF"/>
                <w:sz w:val="20"/>
                <w:szCs w:val="20"/>
                <w:lang w:val="en-US" w:eastAsia="en-US"/>
              </w:rPr>
            </w:pPr>
            <w:r w:rsidRPr="00AB27F7">
              <w:rPr>
                <w:rFonts w:ascii="Times New Roman" w:hAnsi="Times New Roman"/>
                <w:b/>
                <w:bCs/>
                <w:color w:val="FFFFFF"/>
                <w:sz w:val="20"/>
                <w:szCs w:val="20"/>
                <w:lang w:val="en-US" w:eastAsia="en-US"/>
              </w:rPr>
              <w:t>Institución ejecutora</w:t>
            </w:r>
          </w:p>
        </w:tc>
        <w:tc>
          <w:tcPr>
            <w:tcW w:w="1016" w:type="dxa"/>
            <w:tcBorders>
              <w:top w:val="single" w:sz="4" w:space="0" w:color="auto"/>
              <w:left w:val="nil"/>
              <w:bottom w:val="single" w:sz="4" w:space="0" w:color="auto"/>
              <w:right w:val="single" w:sz="4" w:space="0" w:color="auto"/>
            </w:tcBorders>
            <w:shd w:val="clear" w:color="000000" w:fill="00B050"/>
            <w:vAlign w:val="center"/>
            <w:hideMark/>
          </w:tcPr>
          <w:p w14:paraId="0BB6DD21" w14:textId="77777777" w:rsidR="00AB27F7" w:rsidRPr="00AB27F7" w:rsidRDefault="00AB27F7" w:rsidP="00AB27F7">
            <w:pPr>
              <w:spacing w:after="0"/>
              <w:jc w:val="center"/>
              <w:rPr>
                <w:rFonts w:ascii="Times New Roman" w:hAnsi="Times New Roman"/>
                <w:b/>
                <w:bCs/>
                <w:color w:val="FFFFFF"/>
                <w:sz w:val="20"/>
                <w:szCs w:val="20"/>
                <w:lang w:val="en-US" w:eastAsia="en-US"/>
              </w:rPr>
            </w:pPr>
            <w:r w:rsidRPr="00AB27F7">
              <w:rPr>
                <w:rFonts w:ascii="Times New Roman" w:hAnsi="Times New Roman"/>
                <w:b/>
                <w:bCs/>
                <w:color w:val="FFFFFF"/>
                <w:sz w:val="20"/>
                <w:szCs w:val="20"/>
                <w:lang w:val="en-US" w:eastAsia="en-US"/>
              </w:rPr>
              <w:t>Duración proyecto</w:t>
            </w:r>
          </w:p>
        </w:tc>
        <w:tc>
          <w:tcPr>
            <w:tcW w:w="1777" w:type="dxa"/>
            <w:tcBorders>
              <w:top w:val="single" w:sz="4" w:space="0" w:color="auto"/>
              <w:left w:val="nil"/>
              <w:bottom w:val="single" w:sz="4" w:space="0" w:color="auto"/>
              <w:right w:val="single" w:sz="4" w:space="0" w:color="auto"/>
            </w:tcBorders>
            <w:shd w:val="clear" w:color="000000" w:fill="00B050"/>
            <w:vAlign w:val="center"/>
            <w:hideMark/>
          </w:tcPr>
          <w:p w14:paraId="014DFA75" w14:textId="77777777" w:rsidR="00AB27F7" w:rsidRPr="00AB27F7" w:rsidRDefault="00AB27F7" w:rsidP="00AB27F7">
            <w:pPr>
              <w:spacing w:after="0"/>
              <w:jc w:val="center"/>
              <w:rPr>
                <w:rFonts w:ascii="Times New Roman" w:hAnsi="Times New Roman"/>
                <w:b/>
                <w:bCs/>
                <w:color w:val="FFFFFF"/>
                <w:sz w:val="20"/>
                <w:szCs w:val="20"/>
                <w:lang w:val="en-US" w:eastAsia="en-US"/>
              </w:rPr>
            </w:pPr>
            <w:r w:rsidRPr="00AB27F7">
              <w:rPr>
                <w:rFonts w:ascii="Times New Roman" w:hAnsi="Times New Roman"/>
                <w:b/>
                <w:bCs/>
                <w:color w:val="FFFFFF"/>
                <w:sz w:val="20"/>
                <w:szCs w:val="20"/>
                <w:lang w:val="en-US" w:eastAsia="en-US"/>
              </w:rPr>
              <w:t>Monto Asignado presupuesto 2020 (RD$)</w:t>
            </w:r>
          </w:p>
        </w:tc>
        <w:tc>
          <w:tcPr>
            <w:tcW w:w="1890" w:type="dxa"/>
            <w:tcBorders>
              <w:top w:val="single" w:sz="4" w:space="0" w:color="auto"/>
              <w:left w:val="nil"/>
              <w:bottom w:val="single" w:sz="4" w:space="0" w:color="auto"/>
              <w:right w:val="single" w:sz="4" w:space="0" w:color="auto"/>
            </w:tcBorders>
            <w:shd w:val="clear" w:color="000000" w:fill="00B050"/>
            <w:vAlign w:val="center"/>
            <w:hideMark/>
          </w:tcPr>
          <w:p w14:paraId="278E0836" w14:textId="77777777" w:rsidR="00AB27F7" w:rsidRPr="00AB27F7" w:rsidRDefault="00AB27F7" w:rsidP="00AB27F7">
            <w:pPr>
              <w:spacing w:after="0"/>
              <w:jc w:val="center"/>
              <w:rPr>
                <w:rFonts w:ascii="Times New Roman" w:hAnsi="Times New Roman"/>
                <w:b/>
                <w:bCs/>
                <w:color w:val="FFFFFF"/>
                <w:sz w:val="20"/>
                <w:szCs w:val="20"/>
                <w:lang w:val="en-US" w:eastAsia="en-US"/>
              </w:rPr>
            </w:pPr>
            <w:r w:rsidRPr="00AB27F7">
              <w:rPr>
                <w:rFonts w:ascii="Times New Roman" w:hAnsi="Times New Roman"/>
                <w:b/>
                <w:bCs/>
                <w:color w:val="FFFFFF"/>
                <w:sz w:val="20"/>
                <w:szCs w:val="20"/>
                <w:lang w:val="en-US" w:eastAsia="en-US"/>
              </w:rPr>
              <w:t>Monto total proyecto (RD$)</w:t>
            </w:r>
          </w:p>
        </w:tc>
      </w:tr>
      <w:tr w:rsidR="00AB27F7" w:rsidRPr="00AB27F7" w14:paraId="6485B609" w14:textId="77777777" w:rsidTr="00AB27F7">
        <w:trPr>
          <w:trHeight w:val="300"/>
        </w:trPr>
        <w:tc>
          <w:tcPr>
            <w:tcW w:w="13495" w:type="dxa"/>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6EC707DE" w14:textId="77777777" w:rsidR="00AB27F7" w:rsidRPr="00AB27F7" w:rsidRDefault="00AB27F7" w:rsidP="00AB27F7">
            <w:pPr>
              <w:spacing w:after="0"/>
              <w:rPr>
                <w:rFonts w:ascii="Times New Roman" w:hAnsi="Times New Roman"/>
                <w:b/>
                <w:bCs/>
                <w:color w:val="4F6228"/>
                <w:szCs w:val="18"/>
                <w:lang w:val="en-US" w:eastAsia="en-US"/>
              </w:rPr>
            </w:pPr>
            <w:r w:rsidRPr="00AB27F7">
              <w:rPr>
                <w:rFonts w:ascii="Times New Roman" w:hAnsi="Times New Roman"/>
                <w:b/>
                <w:bCs/>
                <w:color w:val="4F6228"/>
                <w:szCs w:val="18"/>
                <w:lang w:val="en-US" w:eastAsia="en-US"/>
              </w:rPr>
              <w:t>INSTITUCIONES SECTORIALES</w:t>
            </w:r>
          </w:p>
        </w:tc>
      </w:tr>
      <w:tr w:rsidR="00AB27F7" w:rsidRPr="00AB27F7" w14:paraId="0ED2F5B5" w14:textId="77777777" w:rsidTr="00AB27F7">
        <w:trPr>
          <w:trHeight w:val="960"/>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78A56C87"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1</w:t>
            </w:r>
          </w:p>
        </w:tc>
        <w:tc>
          <w:tcPr>
            <w:tcW w:w="680" w:type="dxa"/>
            <w:tcBorders>
              <w:top w:val="nil"/>
              <w:left w:val="nil"/>
              <w:bottom w:val="single" w:sz="4" w:space="0" w:color="auto"/>
              <w:right w:val="single" w:sz="4" w:space="0" w:color="auto"/>
            </w:tcBorders>
            <w:shd w:val="clear" w:color="auto" w:fill="auto"/>
            <w:vAlign w:val="center"/>
            <w:hideMark/>
          </w:tcPr>
          <w:p w14:paraId="7D418182"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14198</w:t>
            </w:r>
          </w:p>
        </w:tc>
        <w:tc>
          <w:tcPr>
            <w:tcW w:w="2196" w:type="dxa"/>
            <w:tcBorders>
              <w:top w:val="nil"/>
              <w:left w:val="nil"/>
              <w:bottom w:val="single" w:sz="4" w:space="0" w:color="auto"/>
              <w:right w:val="single" w:sz="4" w:space="0" w:color="auto"/>
            </w:tcBorders>
            <w:shd w:val="clear" w:color="auto" w:fill="auto"/>
            <w:vAlign w:val="center"/>
            <w:hideMark/>
          </w:tcPr>
          <w:p w14:paraId="55124BD7" w14:textId="77777777" w:rsidR="00AB27F7" w:rsidRPr="00AB27F7" w:rsidRDefault="00AB27F7" w:rsidP="00AB27F7">
            <w:pPr>
              <w:spacing w:after="0"/>
              <w:jc w:val="center"/>
              <w:rPr>
                <w:rFonts w:ascii="Times New Roman" w:hAnsi="Times New Roman"/>
                <w:color w:val="000000"/>
                <w:sz w:val="18"/>
                <w:szCs w:val="18"/>
                <w:lang w:eastAsia="en-US"/>
              </w:rPr>
            </w:pPr>
            <w:r w:rsidRPr="00AB27F7">
              <w:rPr>
                <w:rFonts w:ascii="Times New Roman" w:hAnsi="Times New Roman"/>
                <w:color w:val="000000"/>
                <w:sz w:val="18"/>
                <w:szCs w:val="18"/>
                <w:lang w:eastAsia="en-US"/>
              </w:rPr>
              <w:t>Fortalecimiento de las Capacidades De Exportación Frutales y Vegetales mediante Mejoramiento de la Calidad del Material de Siembra</w:t>
            </w:r>
          </w:p>
        </w:tc>
        <w:tc>
          <w:tcPr>
            <w:tcW w:w="2782" w:type="dxa"/>
            <w:tcBorders>
              <w:top w:val="nil"/>
              <w:left w:val="nil"/>
              <w:bottom w:val="single" w:sz="4" w:space="0" w:color="auto"/>
              <w:right w:val="single" w:sz="4" w:space="0" w:color="auto"/>
            </w:tcBorders>
            <w:shd w:val="clear" w:color="auto" w:fill="auto"/>
            <w:vAlign w:val="center"/>
            <w:hideMark/>
          </w:tcPr>
          <w:p w14:paraId="39F45B6F" w14:textId="77777777" w:rsidR="00AB27F7" w:rsidRPr="00AB27F7" w:rsidRDefault="00AB27F7" w:rsidP="00AB27F7">
            <w:pPr>
              <w:spacing w:after="0"/>
              <w:jc w:val="center"/>
              <w:rPr>
                <w:rFonts w:ascii="Times New Roman" w:hAnsi="Times New Roman"/>
                <w:color w:val="000000"/>
                <w:sz w:val="18"/>
                <w:szCs w:val="18"/>
                <w:lang w:eastAsia="en-US"/>
              </w:rPr>
            </w:pPr>
            <w:r w:rsidRPr="00AB27F7">
              <w:rPr>
                <w:rFonts w:ascii="Times New Roman" w:hAnsi="Times New Roman"/>
                <w:color w:val="000000"/>
                <w:sz w:val="18"/>
                <w:szCs w:val="18"/>
                <w:lang w:eastAsia="en-US"/>
              </w:rPr>
              <w:t>Fortalecer las capacidades de producción de material de siembra de frutas y vegetales para el mercado de exportación de la republica dominicana</w:t>
            </w:r>
          </w:p>
        </w:tc>
        <w:tc>
          <w:tcPr>
            <w:tcW w:w="1199" w:type="dxa"/>
            <w:tcBorders>
              <w:top w:val="nil"/>
              <w:left w:val="nil"/>
              <w:bottom w:val="single" w:sz="4" w:space="0" w:color="auto"/>
              <w:right w:val="single" w:sz="4" w:space="0" w:color="auto"/>
            </w:tcBorders>
            <w:shd w:val="clear" w:color="auto" w:fill="auto"/>
            <w:vAlign w:val="center"/>
            <w:hideMark/>
          </w:tcPr>
          <w:p w14:paraId="6E64937A"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Nacional</w:t>
            </w:r>
          </w:p>
        </w:tc>
        <w:tc>
          <w:tcPr>
            <w:tcW w:w="1420" w:type="dxa"/>
            <w:tcBorders>
              <w:top w:val="nil"/>
              <w:left w:val="nil"/>
              <w:bottom w:val="single" w:sz="4" w:space="0" w:color="auto"/>
              <w:right w:val="single" w:sz="4" w:space="0" w:color="auto"/>
            </w:tcBorders>
            <w:shd w:val="clear" w:color="auto" w:fill="auto"/>
            <w:vAlign w:val="center"/>
            <w:hideMark/>
          </w:tcPr>
          <w:p w14:paraId="237AAD94"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IDIAF</w:t>
            </w:r>
          </w:p>
        </w:tc>
        <w:tc>
          <w:tcPr>
            <w:tcW w:w="1016" w:type="dxa"/>
            <w:tcBorders>
              <w:top w:val="nil"/>
              <w:left w:val="nil"/>
              <w:bottom w:val="single" w:sz="4" w:space="0" w:color="auto"/>
              <w:right w:val="single" w:sz="4" w:space="0" w:color="auto"/>
            </w:tcBorders>
            <w:shd w:val="clear" w:color="auto" w:fill="auto"/>
            <w:vAlign w:val="center"/>
            <w:hideMark/>
          </w:tcPr>
          <w:p w14:paraId="3461BCCA"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4 años</w:t>
            </w:r>
          </w:p>
        </w:tc>
        <w:tc>
          <w:tcPr>
            <w:tcW w:w="1777" w:type="dxa"/>
            <w:tcBorders>
              <w:top w:val="nil"/>
              <w:left w:val="nil"/>
              <w:bottom w:val="single" w:sz="4" w:space="0" w:color="auto"/>
              <w:right w:val="single" w:sz="4" w:space="0" w:color="auto"/>
            </w:tcBorders>
            <w:shd w:val="clear" w:color="auto" w:fill="auto"/>
            <w:noWrap/>
            <w:vAlign w:val="center"/>
            <w:hideMark/>
          </w:tcPr>
          <w:p w14:paraId="249469CD"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 xml:space="preserve">RD$7,000,000.00 </w:t>
            </w:r>
          </w:p>
        </w:tc>
        <w:tc>
          <w:tcPr>
            <w:tcW w:w="1890" w:type="dxa"/>
            <w:tcBorders>
              <w:top w:val="nil"/>
              <w:left w:val="nil"/>
              <w:bottom w:val="single" w:sz="4" w:space="0" w:color="auto"/>
              <w:right w:val="single" w:sz="4" w:space="0" w:color="auto"/>
            </w:tcBorders>
            <w:shd w:val="clear" w:color="auto" w:fill="auto"/>
            <w:noWrap/>
            <w:vAlign w:val="center"/>
            <w:hideMark/>
          </w:tcPr>
          <w:p w14:paraId="6CAB9DD5"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 xml:space="preserve">RD$76,546,000.00 </w:t>
            </w:r>
          </w:p>
        </w:tc>
      </w:tr>
      <w:tr w:rsidR="00AB27F7" w:rsidRPr="00AB27F7" w14:paraId="7E84DAFD" w14:textId="77777777" w:rsidTr="00AB27F7">
        <w:trPr>
          <w:trHeight w:val="960"/>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4E28E803"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2</w:t>
            </w:r>
          </w:p>
        </w:tc>
        <w:tc>
          <w:tcPr>
            <w:tcW w:w="680" w:type="dxa"/>
            <w:tcBorders>
              <w:top w:val="nil"/>
              <w:left w:val="nil"/>
              <w:bottom w:val="single" w:sz="4" w:space="0" w:color="auto"/>
              <w:right w:val="single" w:sz="4" w:space="0" w:color="auto"/>
            </w:tcBorders>
            <w:shd w:val="clear" w:color="auto" w:fill="auto"/>
            <w:vAlign w:val="center"/>
            <w:hideMark/>
          </w:tcPr>
          <w:p w14:paraId="12598AF7"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14188</w:t>
            </w:r>
          </w:p>
        </w:tc>
        <w:tc>
          <w:tcPr>
            <w:tcW w:w="2196" w:type="dxa"/>
            <w:tcBorders>
              <w:top w:val="nil"/>
              <w:left w:val="nil"/>
              <w:bottom w:val="single" w:sz="4" w:space="0" w:color="auto"/>
              <w:right w:val="single" w:sz="4" w:space="0" w:color="auto"/>
            </w:tcBorders>
            <w:shd w:val="clear" w:color="auto" w:fill="auto"/>
            <w:vAlign w:val="center"/>
            <w:hideMark/>
          </w:tcPr>
          <w:p w14:paraId="1034F156" w14:textId="77777777" w:rsidR="00AB27F7" w:rsidRPr="00AB27F7" w:rsidRDefault="00AB27F7" w:rsidP="00AB27F7">
            <w:pPr>
              <w:spacing w:after="0"/>
              <w:jc w:val="center"/>
              <w:rPr>
                <w:rFonts w:ascii="Times New Roman" w:hAnsi="Times New Roman"/>
                <w:color w:val="000000"/>
                <w:sz w:val="18"/>
                <w:szCs w:val="18"/>
                <w:lang w:eastAsia="en-US"/>
              </w:rPr>
            </w:pPr>
            <w:r w:rsidRPr="00AB27F7">
              <w:rPr>
                <w:rFonts w:ascii="Times New Roman" w:hAnsi="Times New Roman"/>
                <w:color w:val="000000"/>
                <w:sz w:val="18"/>
                <w:szCs w:val="18"/>
                <w:lang w:eastAsia="en-US"/>
              </w:rPr>
              <w:t>Programa de Innovación y Desarrollo Tecnológico para el Mejoramiento de la Productividad y  Competitividad de Rubros Vinculados a la Seguridad</w:t>
            </w:r>
          </w:p>
        </w:tc>
        <w:tc>
          <w:tcPr>
            <w:tcW w:w="2782" w:type="dxa"/>
            <w:tcBorders>
              <w:top w:val="nil"/>
              <w:left w:val="nil"/>
              <w:bottom w:val="single" w:sz="4" w:space="0" w:color="auto"/>
              <w:right w:val="single" w:sz="4" w:space="0" w:color="auto"/>
            </w:tcBorders>
            <w:shd w:val="clear" w:color="auto" w:fill="auto"/>
            <w:vAlign w:val="center"/>
            <w:hideMark/>
          </w:tcPr>
          <w:p w14:paraId="5A1B2E48" w14:textId="77777777" w:rsidR="00AB27F7" w:rsidRPr="00AB27F7" w:rsidRDefault="00AB27F7" w:rsidP="00AB27F7">
            <w:pPr>
              <w:spacing w:after="0"/>
              <w:jc w:val="center"/>
              <w:rPr>
                <w:rFonts w:ascii="Times New Roman" w:hAnsi="Times New Roman"/>
                <w:color w:val="000000"/>
                <w:sz w:val="18"/>
                <w:szCs w:val="18"/>
                <w:lang w:eastAsia="en-US"/>
              </w:rPr>
            </w:pPr>
            <w:r w:rsidRPr="00AB27F7">
              <w:rPr>
                <w:rFonts w:ascii="Times New Roman" w:hAnsi="Times New Roman"/>
                <w:color w:val="000000"/>
                <w:sz w:val="18"/>
                <w:szCs w:val="18"/>
                <w:lang w:eastAsia="en-US"/>
              </w:rPr>
              <w:t>Transferir tecnologías para el manejo sostenible de los sistemas de cultivo que forman parte de la canasta básica de los dominicanos.</w:t>
            </w:r>
          </w:p>
        </w:tc>
        <w:tc>
          <w:tcPr>
            <w:tcW w:w="1199" w:type="dxa"/>
            <w:tcBorders>
              <w:top w:val="nil"/>
              <w:left w:val="nil"/>
              <w:bottom w:val="single" w:sz="4" w:space="0" w:color="auto"/>
              <w:right w:val="single" w:sz="4" w:space="0" w:color="auto"/>
            </w:tcBorders>
            <w:shd w:val="clear" w:color="auto" w:fill="auto"/>
            <w:vAlign w:val="center"/>
            <w:hideMark/>
          </w:tcPr>
          <w:p w14:paraId="5FCB6947"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Nacional</w:t>
            </w:r>
          </w:p>
        </w:tc>
        <w:tc>
          <w:tcPr>
            <w:tcW w:w="1420" w:type="dxa"/>
            <w:tcBorders>
              <w:top w:val="nil"/>
              <w:left w:val="nil"/>
              <w:bottom w:val="single" w:sz="4" w:space="0" w:color="auto"/>
              <w:right w:val="single" w:sz="4" w:space="0" w:color="auto"/>
            </w:tcBorders>
            <w:shd w:val="clear" w:color="auto" w:fill="auto"/>
            <w:vAlign w:val="center"/>
            <w:hideMark/>
          </w:tcPr>
          <w:p w14:paraId="1992C2EE"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IDIAF</w:t>
            </w:r>
          </w:p>
        </w:tc>
        <w:tc>
          <w:tcPr>
            <w:tcW w:w="1016" w:type="dxa"/>
            <w:tcBorders>
              <w:top w:val="nil"/>
              <w:left w:val="nil"/>
              <w:bottom w:val="single" w:sz="4" w:space="0" w:color="auto"/>
              <w:right w:val="single" w:sz="4" w:space="0" w:color="auto"/>
            </w:tcBorders>
            <w:shd w:val="clear" w:color="auto" w:fill="auto"/>
            <w:vAlign w:val="center"/>
            <w:hideMark/>
          </w:tcPr>
          <w:p w14:paraId="2E4CDAC9"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3 Años</w:t>
            </w:r>
          </w:p>
        </w:tc>
        <w:tc>
          <w:tcPr>
            <w:tcW w:w="1777" w:type="dxa"/>
            <w:tcBorders>
              <w:top w:val="nil"/>
              <w:left w:val="nil"/>
              <w:bottom w:val="single" w:sz="4" w:space="0" w:color="auto"/>
              <w:right w:val="single" w:sz="4" w:space="0" w:color="auto"/>
            </w:tcBorders>
            <w:shd w:val="clear" w:color="auto" w:fill="auto"/>
            <w:noWrap/>
            <w:vAlign w:val="center"/>
            <w:hideMark/>
          </w:tcPr>
          <w:p w14:paraId="55721EF2"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 xml:space="preserve">RD$7,000,000.00 </w:t>
            </w:r>
          </w:p>
        </w:tc>
        <w:tc>
          <w:tcPr>
            <w:tcW w:w="1890" w:type="dxa"/>
            <w:tcBorders>
              <w:top w:val="nil"/>
              <w:left w:val="nil"/>
              <w:bottom w:val="single" w:sz="4" w:space="0" w:color="auto"/>
              <w:right w:val="single" w:sz="4" w:space="0" w:color="auto"/>
            </w:tcBorders>
            <w:shd w:val="clear" w:color="auto" w:fill="auto"/>
            <w:noWrap/>
            <w:vAlign w:val="center"/>
            <w:hideMark/>
          </w:tcPr>
          <w:p w14:paraId="161A0029"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 xml:space="preserve">RD$48,311,000.00 </w:t>
            </w:r>
          </w:p>
        </w:tc>
      </w:tr>
      <w:tr w:rsidR="00AB27F7" w:rsidRPr="00AB27F7" w14:paraId="304C47D1" w14:textId="77777777" w:rsidTr="00AB27F7">
        <w:trPr>
          <w:trHeight w:val="1200"/>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49D221A8"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3</w:t>
            </w:r>
          </w:p>
        </w:tc>
        <w:tc>
          <w:tcPr>
            <w:tcW w:w="680" w:type="dxa"/>
            <w:tcBorders>
              <w:top w:val="nil"/>
              <w:left w:val="nil"/>
              <w:bottom w:val="single" w:sz="4" w:space="0" w:color="auto"/>
              <w:right w:val="single" w:sz="4" w:space="0" w:color="auto"/>
            </w:tcBorders>
            <w:shd w:val="clear" w:color="auto" w:fill="auto"/>
            <w:noWrap/>
            <w:vAlign w:val="center"/>
            <w:hideMark/>
          </w:tcPr>
          <w:p w14:paraId="1D620CB7"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14200</w:t>
            </w:r>
          </w:p>
        </w:tc>
        <w:tc>
          <w:tcPr>
            <w:tcW w:w="2196" w:type="dxa"/>
            <w:tcBorders>
              <w:top w:val="nil"/>
              <w:left w:val="nil"/>
              <w:bottom w:val="single" w:sz="4" w:space="0" w:color="auto"/>
              <w:right w:val="single" w:sz="4" w:space="0" w:color="auto"/>
            </w:tcBorders>
            <w:shd w:val="clear" w:color="auto" w:fill="auto"/>
            <w:vAlign w:val="center"/>
            <w:hideMark/>
          </w:tcPr>
          <w:p w14:paraId="558E846C" w14:textId="77777777" w:rsidR="00AB27F7" w:rsidRPr="00AB27F7" w:rsidRDefault="00AB27F7" w:rsidP="00AB27F7">
            <w:pPr>
              <w:spacing w:after="0"/>
              <w:jc w:val="center"/>
              <w:rPr>
                <w:rFonts w:ascii="Times New Roman" w:hAnsi="Times New Roman"/>
                <w:color w:val="000000"/>
                <w:sz w:val="18"/>
                <w:szCs w:val="18"/>
                <w:lang w:eastAsia="en-US"/>
              </w:rPr>
            </w:pPr>
            <w:r w:rsidRPr="00AB27F7">
              <w:rPr>
                <w:rFonts w:ascii="Times New Roman" w:hAnsi="Times New Roman"/>
                <w:color w:val="000000"/>
                <w:sz w:val="18"/>
                <w:szCs w:val="18"/>
                <w:lang w:eastAsia="en-US"/>
              </w:rPr>
              <w:t>Construcción y Remodelación de Mercados en República Dominicana</w:t>
            </w:r>
          </w:p>
        </w:tc>
        <w:tc>
          <w:tcPr>
            <w:tcW w:w="2782" w:type="dxa"/>
            <w:tcBorders>
              <w:top w:val="nil"/>
              <w:left w:val="nil"/>
              <w:bottom w:val="single" w:sz="4" w:space="0" w:color="auto"/>
              <w:right w:val="single" w:sz="4" w:space="0" w:color="auto"/>
            </w:tcBorders>
            <w:shd w:val="clear" w:color="auto" w:fill="auto"/>
            <w:vAlign w:val="center"/>
            <w:hideMark/>
          </w:tcPr>
          <w:p w14:paraId="577B0910" w14:textId="77777777" w:rsidR="00AB27F7" w:rsidRPr="00AB27F7" w:rsidRDefault="00AB27F7" w:rsidP="00AB27F7">
            <w:pPr>
              <w:spacing w:after="0"/>
              <w:rPr>
                <w:rFonts w:ascii="Times New Roman" w:hAnsi="Times New Roman"/>
                <w:color w:val="000000"/>
                <w:sz w:val="18"/>
                <w:szCs w:val="18"/>
                <w:lang w:eastAsia="en-US"/>
              </w:rPr>
            </w:pPr>
            <w:r w:rsidRPr="00AB27F7">
              <w:rPr>
                <w:rFonts w:ascii="Times New Roman" w:hAnsi="Times New Roman"/>
                <w:color w:val="000000"/>
                <w:sz w:val="18"/>
                <w:szCs w:val="18"/>
                <w:lang w:eastAsia="en-US"/>
              </w:rPr>
              <w:t>Construir unidades alimentarias que permitan el acceso a alimentos inocuos a toda la población de Santo Domingo, el Distrito Nacional y Santiago, con el fin de garantizar la sanidad de los alimentos, su expendio a un precio justo y la disponibilidad de  estructuras comerciales con un manejo adecuado de la oferta y demanda de cada uno de los productos.</w:t>
            </w:r>
          </w:p>
        </w:tc>
        <w:tc>
          <w:tcPr>
            <w:tcW w:w="1199" w:type="dxa"/>
            <w:tcBorders>
              <w:top w:val="nil"/>
              <w:left w:val="nil"/>
              <w:bottom w:val="single" w:sz="4" w:space="0" w:color="auto"/>
              <w:right w:val="single" w:sz="4" w:space="0" w:color="auto"/>
            </w:tcBorders>
            <w:shd w:val="clear" w:color="auto" w:fill="auto"/>
            <w:vAlign w:val="center"/>
            <w:hideMark/>
          </w:tcPr>
          <w:p w14:paraId="26177EE2"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Santo Domingo  y Santiago</w:t>
            </w:r>
          </w:p>
        </w:tc>
        <w:tc>
          <w:tcPr>
            <w:tcW w:w="1420" w:type="dxa"/>
            <w:tcBorders>
              <w:top w:val="nil"/>
              <w:left w:val="nil"/>
              <w:bottom w:val="single" w:sz="4" w:space="0" w:color="auto"/>
              <w:right w:val="single" w:sz="4" w:space="0" w:color="auto"/>
            </w:tcBorders>
            <w:shd w:val="clear" w:color="auto" w:fill="auto"/>
            <w:vAlign w:val="center"/>
            <w:hideMark/>
          </w:tcPr>
          <w:p w14:paraId="6E6B764C" w14:textId="77777777" w:rsidR="00AB27F7" w:rsidRPr="00AB27F7" w:rsidRDefault="00AB27F7" w:rsidP="00AB27F7">
            <w:pPr>
              <w:spacing w:after="0"/>
              <w:jc w:val="center"/>
              <w:rPr>
                <w:rFonts w:ascii="Times New Roman" w:hAnsi="Times New Roman"/>
                <w:color w:val="000000"/>
                <w:sz w:val="18"/>
                <w:szCs w:val="18"/>
                <w:lang w:eastAsia="en-US"/>
              </w:rPr>
            </w:pPr>
            <w:r w:rsidRPr="00AB27F7">
              <w:rPr>
                <w:rFonts w:ascii="Times New Roman" w:hAnsi="Times New Roman"/>
                <w:color w:val="000000"/>
                <w:sz w:val="18"/>
                <w:szCs w:val="18"/>
                <w:lang w:eastAsia="en-US"/>
              </w:rPr>
              <w:t>Mercados Dominicanos de Abasto Agropecuario, (MERCADOM)</w:t>
            </w:r>
          </w:p>
        </w:tc>
        <w:tc>
          <w:tcPr>
            <w:tcW w:w="1016" w:type="dxa"/>
            <w:tcBorders>
              <w:top w:val="nil"/>
              <w:left w:val="nil"/>
              <w:bottom w:val="single" w:sz="4" w:space="0" w:color="auto"/>
              <w:right w:val="single" w:sz="4" w:space="0" w:color="auto"/>
            </w:tcBorders>
            <w:shd w:val="clear" w:color="auto" w:fill="auto"/>
            <w:vAlign w:val="center"/>
            <w:hideMark/>
          </w:tcPr>
          <w:p w14:paraId="2BA6256A" w14:textId="77777777" w:rsidR="00AB27F7" w:rsidRPr="00AB27F7" w:rsidRDefault="00AB27F7" w:rsidP="00FE7530">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4 años</w:t>
            </w:r>
          </w:p>
        </w:tc>
        <w:tc>
          <w:tcPr>
            <w:tcW w:w="1777" w:type="dxa"/>
            <w:tcBorders>
              <w:top w:val="nil"/>
              <w:left w:val="nil"/>
              <w:bottom w:val="single" w:sz="4" w:space="0" w:color="auto"/>
              <w:right w:val="single" w:sz="4" w:space="0" w:color="auto"/>
            </w:tcBorders>
            <w:shd w:val="clear" w:color="auto" w:fill="auto"/>
            <w:noWrap/>
            <w:vAlign w:val="center"/>
            <w:hideMark/>
          </w:tcPr>
          <w:p w14:paraId="1FF62B40"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 xml:space="preserve">RD$13,000,000.00 </w:t>
            </w:r>
          </w:p>
        </w:tc>
        <w:tc>
          <w:tcPr>
            <w:tcW w:w="1890" w:type="dxa"/>
            <w:tcBorders>
              <w:top w:val="nil"/>
              <w:left w:val="nil"/>
              <w:bottom w:val="single" w:sz="4" w:space="0" w:color="auto"/>
              <w:right w:val="single" w:sz="4" w:space="0" w:color="auto"/>
            </w:tcBorders>
            <w:shd w:val="clear" w:color="auto" w:fill="auto"/>
            <w:vAlign w:val="center"/>
            <w:hideMark/>
          </w:tcPr>
          <w:p w14:paraId="41E604A0"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 xml:space="preserve">RD$127,600,000.00 </w:t>
            </w:r>
          </w:p>
        </w:tc>
      </w:tr>
      <w:tr w:rsidR="00AB27F7" w:rsidRPr="00AB27F7" w14:paraId="5C8D3F0E" w14:textId="77777777" w:rsidTr="00AB27F7">
        <w:trPr>
          <w:trHeight w:val="1680"/>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796BE0A8"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4</w:t>
            </w:r>
          </w:p>
        </w:tc>
        <w:tc>
          <w:tcPr>
            <w:tcW w:w="680" w:type="dxa"/>
            <w:tcBorders>
              <w:top w:val="nil"/>
              <w:left w:val="nil"/>
              <w:bottom w:val="single" w:sz="4" w:space="0" w:color="auto"/>
              <w:right w:val="single" w:sz="4" w:space="0" w:color="auto"/>
            </w:tcBorders>
            <w:shd w:val="clear" w:color="auto" w:fill="auto"/>
            <w:vAlign w:val="center"/>
            <w:hideMark/>
          </w:tcPr>
          <w:p w14:paraId="3A969507"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14186</w:t>
            </w:r>
          </w:p>
        </w:tc>
        <w:tc>
          <w:tcPr>
            <w:tcW w:w="2196" w:type="dxa"/>
            <w:tcBorders>
              <w:top w:val="nil"/>
              <w:left w:val="nil"/>
              <w:bottom w:val="single" w:sz="4" w:space="0" w:color="auto"/>
              <w:right w:val="single" w:sz="4" w:space="0" w:color="auto"/>
            </w:tcBorders>
            <w:shd w:val="clear" w:color="auto" w:fill="auto"/>
            <w:vAlign w:val="center"/>
            <w:hideMark/>
          </w:tcPr>
          <w:p w14:paraId="3DDFFB18" w14:textId="77777777" w:rsidR="00AB27F7" w:rsidRPr="00AB27F7" w:rsidRDefault="00AB27F7" w:rsidP="00AB27F7">
            <w:pPr>
              <w:spacing w:after="0"/>
              <w:jc w:val="center"/>
              <w:rPr>
                <w:rFonts w:ascii="Times New Roman" w:hAnsi="Times New Roman"/>
                <w:color w:val="000000"/>
                <w:sz w:val="18"/>
                <w:szCs w:val="18"/>
                <w:lang w:eastAsia="en-US"/>
              </w:rPr>
            </w:pPr>
            <w:r w:rsidRPr="00AB27F7">
              <w:rPr>
                <w:rFonts w:ascii="Times New Roman" w:hAnsi="Times New Roman"/>
                <w:color w:val="000000"/>
                <w:sz w:val="18"/>
                <w:szCs w:val="18"/>
                <w:lang w:eastAsia="en-US"/>
              </w:rPr>
              <w:t>Transferencia Tecnológica Para La Competitividad Del Sector Agro-Exportador</w:t>
            </w:r>
          </w:p>
        </w:tc>
        <w:tc>
          <w:tcPr>
            <w:tcW w:w="2782" w:type="dxa"/>
            <w:tcBorders>
              <w:top w:val="nil"/>
              <w:left w:val="nil"/>
              <w:bottom w:val="single" w:sz="4" w:space="0" w:color="auto"/>
              <w:right w:val="single" w:sz="4" w:space="0" w:color="auto"/>
            </w:tcBorders>
            <w:shd w:val="clear" w:color="auto" w:fill="auto"/>
            <w:vAlign w:val="center"/>
            <w:hideMark/>
          </w:tcPr>
          <w:p w14:paraId="54B0A17B" w14:textId="77777777" w:rsidR="00AB27F7" w:rsidRPr="00AB27F7" w:rsidRDefault="00AB27F7" w:rsidP="00AB27F7">
            <w:pPr>
              <w:spacing w:after="0"/>
              <w:jc w:val="center"/>
              <w:rPr>
                <w:rFonts w:ascii="Times New Roman" w:hAnsi="Times New Roman"/>
                <w:color w:val="000000"/>
                <w:sz w:val="18"/>
                <w:szCs w:val="18"/>
                <w:lang w:eastAsia="en-US"/>
              </w:rPr>
            </w:pPr>
            <w:r w:rsidRPr="00AB27F7">
              <w:rPr>
                <w:rFonts w:ascii="Times New Roman" w:hAnsi="Times New Roman"/>
                <w:color w:val="000000"/>
                <w:sz w:val="18"/>
                <w:szCs w:val="18"/>
                <w:lang w:eastAsia="en-US"/>
              </w:rPr>
              <w:t>Transferir a técnicos y productores líderes, las tecnologías validadas y/o generadas por el sistema y la correspondiente asistencia técnica para mejorar la productividad y competitividad de los rubros agrícolas con vocación exportadora.</w:t>
            </w:r>
          </w:p>
        </w:tc>
        <w:tc>
          <w:tcPr>
            <w:tcW w:w="1199" w:type="dxa"/>
            <w:tcBorders>
              <w:top w:val="nil"/>
              <w:left w:val="nil"/>
              <w:bottom w:val="single" w:sz="4" w:space="0" w:color="auto"/>
              <w:right w:val="single" w:sz="4" w:space="0" w:color="auto"/>
            </w:tcBorders>
            <w:shd w:val="clear" w:color="auto" w:fill="auto"/>
            <w:vAlign w:val="center"/>
            <w:hideMark/>
          </w:tcPr>
          <w:p w14:paraId="172FDCC1"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Nacional y Zona Fronteriza</w:t>
            </w:r>
          </w:p>
        </w:tc>
        <w:tc>
          <w:tcPr>
            <w:tcW w:w="1420" w:type="dxa"/>
            <w:tcBorders>
              <w:top w:val="nil"/>
              <w:left w:val="nil"/>
              <w:bottom w:val="single" w:sz="4" w:space="0" w:color="auto"/>
              <w:right w:val="single" w:sz="4" w:space="0" w:color="auto"/>
            </w:tcBorders>
            <w:shd w:val="clear" w:color="auto" w:fill="auto"/>
            <w:vAlign w:val="center"/>
            <w:hideMark/>
          </w:tcPr>
          <w:p w14:paraId="22348F43"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CONIAF</w:t>
            </w:r>
          </w:p>
        </w:tc>
        <w:tc>
          <w:tcPr>
            <w:tcW w:w="1016" w:type="dxa"/>
            <w:tcBorders>
              <w:top w:val="nil"/>
              <w:left w:val="nil"/>
              <w:bottom w:val="single" w:sz="4" w:space="0" w:color="auto"/>
              <w:right w:val="single" w:sz="4" w:space="0" w:color="auto"/>
            </w:tcBorders>
            <w:shd w:val="clear" w:color="auto" w:fill="auto"/>
            <w:vAlign w:val="center"/>
            <w:hideMark/>
          </w:tcPr>
          <w:p w14:paraId="5568CB30"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2 Años</w:t>
            </w:r>
          </w:p>
        </w:tc>
        <w:tc>
          <w:tcPr>
            <w:tcW w:w="1777" w:type="dxa"/>
            <w:tcBorders>
              <w:top w:val="nil"/>
              <w:left w:val="nil"/>
              <w:bottom w:val="single" w:sz="4" w:space="0" w:color="auto"/>
              <w:right w:val="single" w:sz="4" w:space="0" w:color="auto"/>
            </w:tcBorders>
            <w:shd w:val="clear" w:color="auto" w:fill="auto"/>
            <w:noWrap/>
            <w:vAlign w:val="center"/>
            <w:hideMark/>
          </w:tcPr>
          <w:p w14:paraId="3047E614"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 xml:space="preserve">RD$6,000,000.00 </w:t>
            </w:r>
          </w:p>
        </w:tc>
        <w:tc>
          <w:tcPr>
            <w:tcW w:w="1890" w:type="dxa"/>
            <w:tcBorders>
              <w:top w:val="nil"/>
              <w:left w:val="nil"/>
              <w:bottom w:val="single" w:sz="4" w:space="0" w:color="auto"/>
              <w:right w:val="single" w:sz="4" w:space="0" w:color="auto"/>
            </w:tcBorders>
            <w:shd w:val="clear" w:color="auto" w:fill="auto"/>
            <w:noWrap/>
            <w:vAlign w:val="center"/>
            <w:hideMark/>
          </w:tcPr>
          <w:p w14:paraId="5152477C"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 xml:space="preserve">RD$160,960,071.00 </w:t>
            </w:r>
          </w:p>
        </w:tc>
      </w:tr>
      <w:tr w:rsidR="00AB27F7" w:rsidRPr="00AB27F7" w14:paraId="15217F72" w14:textId="77777777" w:rsidTr="00AB27F7">
        <w:trPr>
          <w:trHeight w:val="1920"/>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31B8E237"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5</w:t>
            </w:r>
          </w:p>
        </w:tc>
        <w:tc>
          <w:tcPr>
            <w:tcW w:w="680" w:type="dxa"/>
            <w:tcBorders>
              <w:top w:val="nil"/>
              <w:left w:val="nil"/>
              <w:bottom w:val="single" w:sz="4" w:space="0" w:color="auto"/>
              <w:right w:val="single" w:sz="4" w:space="0" w:color="auto"/>
            </w:tcBorders>
            <w:shd w:val="clear" w:color="auto" w:fill="auto"/>
            <w:vAlign w:val="center"/>
            <w:hideMark/>
          </w:tcPr>
          <w:p w14:paraId="1CCB2190"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14187</w:t>
            </w:r>
          </w:p>
        </w:tc>
        <w:tc>
          <w:tcPr>
            <w:tcW w:w="2196" w:type="dxa"/>
            <w:tcBorders>
              <w:top w:val="nil"/>
              <w:left w:val="nil"/>
              <w:bottom w:val="single" w:sz="4" w:space="0" w:color="auto"/>
              <w:right w:val="single" w:sz="4" w:space="0" w:color="auto"/>
            </w:tcBorders>
            <w:shd w:val="clear" w:color="auto" w:fill="auto"/>
            <w:vAlign w:val="center"/>
            <w:hideMark/>
          </w:tcPr>
          <w:p w14:paraId="37D35307" w14:textId="77777777" w:rsidR="00AB27F7" w:rsidRPr="00AB27F7" w:rsidRDefault="00AB27F7" w:rsidP="00AB27F7">
            <w:pPr>
              <w:spacing w:after="0"/>
              <w:jc w:val="center"/>
              <w:rPr>
                <w:rFonts w:ascii="Times New Roman" w:hAnsi="Times New Roman"/>
                <w:color w:val="000000"/>
                <w:sz w:val="18"/>
                <w:szCs w:val="18"/>
                <w:lang w:eastAsia="en-US"/>
              </w:rPr>
            </w:pPr>
            <w:r w:rsidRPr="00AB27F7">
              <w:rPr>
                <w:rFonts w:ascii="Times New Roman" w:hAnsi="Times New Roman"/>
                <w:color w:val="000000"/>
                <w:sz w:val="18"/>
                <w:szCs w:val="18"/>
                <w:lang w:eastAsia="en-US"/>
              </w:rPr>
              <w:t>Transferencia Tecnológica para la Competitividad del Sector Agroalimentario</w:t>
            </w:r>
          </w:p>
        </w:tc>
        <w:tc>
          <w:tcPr>
            <w:tcW w:w="2782" w:type="dxa"/>
            <w:tcBorders>
              <w:top w:val="nil"/>
              <w:left w:val="nil"/>
              <w:bottom w:val="single" w:sz="4" w:space="0" w:color="auto"/>
              <w:right w:val="single" w:sz="4" w:space="0" w:color="auto"/>
            </w:tcBorders>
            <w:shd w:val="clear" w:color="auto" w:fill="auto"/>
            <w:vAlign w:val="center"/>
            <w:hideMark/>
          </w:tcPr>
          <w:p w14:paraId="4124F27C" w14:textId="77777777" w:rsidR="00AB27F7" w:rsidRPr="00AB27F7" w:rsidRDefault="00AB27F7" w:rsidP="00AB27F7">
            <w:pPr>
              <w:spacing w:after="0"/>
              <w:jc w:val="center"/>
              <w:rPr>
                <w:rFonts w:ascii="Times New Roman" w:hAnsi="Times New Roman"/>
                <w:color w:val="000000"/>
                <w:sz w:val="18"/>
                <w:szCs w:val="18"/>
                <w:lang w:eastAsia="en-US"/>
              </w:rPr>
            </w:pPr>
            <w:r w:rsidRPr="00AB27F7">
              <w:rPr>
                <w:rFonts w:ascii="Times New Roman" w:hAnsi="Times New Roman"/>
                <w:color w:val="000000"/>
                <w:sz w:val="18"/>
                <w:szCs w:val="18"/>
                <w:lang w:eastAsia="en-US"/>
              </w:rPr>
              <w:t>Transferir a técnicos y productores líderes, las tecnologías validadas y/o generadas por el sistema y la correspondiente asistencia técnica para incrementar la productividad y competitividad de los productos de la cadena agroalimentaria de los dominicanos</w:t>
            </w:r>
          </w:p>
        </w:tc>
        <w:tc>
          <w:tcPr>
            <w:tcW w:w="1199" w:type="dxa"/>
            <w:tcBorders>
              <w:top w:val="nil"/>
              <w:left w:val="nil"/>
              <w:bottom w:val="single" w:sz="4" w:space="0" w:color="auto"/>
              <w:right w:val="single" w:sz="4" w:space="0" w:color="auto"/>
            </w:tcBorders>
            <w:shd w:val="clear" w:color="auto" w:fill="auto"/>
            <w:vAlign w:val="center"/>
            <w:hideMark/>
          </w:tcPr>
          <w:p w14:paraId="417748B4"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Nacional y Zona Fronteriza</w:t>
            </w:r>
          </w:p>
        </w:tc>
        <w:tc>
          <w:tcPr>
            <w:tcW w:w="1420" w:type="dxa"/>
            <w:tcBorders>
              <w:top w:val="nil"/>
              <w:left w:val="nil"/>
              <w:bottom w:val="single" w:sz="4" w:space="0" w:color="auto"/>
              <w:right w:val="single" w:sz="4" w:space="0" w:color="auto"/>
            </w:tcBorders>
            <w:shd w:val="clear" w:color="auto" w:fill="auto"/>
            <w:vAlign w:val="center"/>
            <w:hideMark/>
          </w:tcPr>
          <w:p w14:paraId="182CEA13"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CONIAF</w:t>
            </w:r>
          </w:p>
        </w:tc>
        <w:tc>
          <w:tcPr>
            <w:tcW w:w="1016" w:type="dxa"/>
            <w:tcBorders>
              <w:top w:val="nil"/>
              <w:left w:val="nil"/>
              <w:bottom w:val="single" w:sz="4" w:space="0" w:color="auto"/>
              <w:right w:val="single" w:sz="4" w:space="0" w:color="auto"/>
            </w:tcBorders>
            <w:shd w:val="clear" w:color="auto" w:fill="auto"/>
            <w:noWrap/>
            <w:vAlign w:val="center"/>
            <w:hideMark/>
          </w:tcPr>
          <w:p w14:paraId="0E1C95B9"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2 Años</w:t>
            </w:r>
          </w:p>
        </w:tc>
        <w:tc>
          <w:tcPr>
            <w:tcW w:w="1777" w:type="dxa"/>
            <w:tcBorders>
              <w:top w:val="nil"/>
              <w:left w:val="nil"/>
              <w:bottom w:val="single" w:sz="4" w:space="0" w:color="auto"/>
              <w:right w:val="single" w:sz="4" w:space="0" w:color="auto"/>
            </w:tcBorders>
            <w:shd w:val="clear" w:color="auto" w:fill="auto"/>
            <w:noWrap/>
            <w:vAlign w:val="center"/>
            <w:hideMark/>
          </w:tcPr>
          <w:p w14:paraId="79A8A43C"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 xml:space="preserve">RD$6,000,000.00 </w:t>
            </w:r>
          </w:p>
        </w:tc>
        <w:tc>
          <w:tcPr>
            <w:tcW w:w="1890" w:type="dxa"/>
            <w:tcBorders>
              <w:top w:val="nil"/>
              <w:left w:val="nil"/>
              <w:bottom w:val="single" w:sz="4" w:space="0" w:color="auto"/>
              <w:right w:val="single" w:sz="4" w:space="0" w:color="auto"/>
            </w:tcBorders>
            <w:shd w:val="clear" w:color="auto" w:fill="auto"/>
            <w:vAlign w:val="center"/>
            <w:hideMark/>
          </w:tcPr>
          <w:p w14:paraId="55B17D51"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 xml:space="preserve">RD$88,142,010.00 </w:t>
            </w:r>
          </w:p>
        </w:tc>
      </w:tr>
      <w:tr w:rsidR="00AB27F7" w:rsidRPr="00AB27F7" w14:paraId="5EB868C2" w14:textId="77777777" w:rsidTr="00AB27F7">
        <w:trPr>
          <w:trHeight w:val="85"/>
        </w:trPr>
        <w:tc>
          <w:tcPr>
            <w:tcW w:w="535" w:type="dxa"/>
            <w:tcBorders>
              <w:top w:val="single" w:sz="4" w:space="0" w:color="auto"/>
              <w:left w:val="single" w:sz="4" w:space="0" w:color="auto"/>
              <w:bottom w:val="single" w:sz="4" w:space="0" w:color="auto"/>
              <w:right w:val="single" w:sz="4" w:space="0" w:color="auto"/>
            </w:tcBorders>
            <w:shd w:val="clear" w:color="auto" w:fill="00B050"/>
            <w:vAlign w:val="center"/>
          </w:tcPr>
          <w:p w14:paraId="3B400E72" w14:textId="06F57A3E" w:rsidR="00AB27F7" w:rsidRPr="00AB27F7" w:rsidRDefault="00AB27F7" w:rsidP="00AB27F7">
            <w:pPr>
              <w:spacing w:after="0"/>
              <w:jc w:val="center"/>
              <w:rPr>
                <w:rFonts w:ascii="Times New Roman" w:hAnsi="Times New Roman"/>
                <w:color w:val="FFFFFF" w:themeColor="background1"/>
                <w:sz w:val="18"/>
                <w:szCs w:val="18"/>
                <w:lang w:val="en-US" w:eastAsia="en-US"/>
              </w:rPr>
            </w:pPr>
            <w:r w:rsidRPr="00AB27F7">
              <w:rPr>
                <w:rFonts w:ascii="Times New Roman" w:hAnsi="Times New Roman"/>
                <w:b/>
                <w:bCs/>
                <w:color w:val="FFFFFF" w:themeColor="background1"/>
                <w:sz w:val="20"/>
                <w:szCs w:val="20"/>
                <w:lang w:val="en-US" w:eastAsia="en-US"/>
              </w:rPr>
              <w:lastRenderedPageBreak/>
              <w:t>No</w:t>
            </w:r>
          </w:p>
        </w:tc>
        <w:tc>
          <w:tcPr>
            <w:tcW w:w="680" w:type="dxa"/>
            <w:tcBorders>
              <w:top w:val="single" w:sz="4" w:space="0" w:color="auto"/>
              <w:left w:val="nil"/>
              <w:bottom w:val="single" w:sz="4" w:space="0" w:color="auto"/>
              <w:right w:val="single" w:sz="4" w:space="0" w:color="auto"/>
            </w:tcBorders>
            <w:shd w:val="clear" w:color="auto" w:fill="00B050"/>
            <w:vAlign w:val="center"/>
          </w:tcPr>
          <w:p w14:paraId="2376F585" w14:textId="125F3FE5" w:rsidR="00AB27F7" w:rsidRPr="00AB27F7" w:rsidRDefault="00AB27F7" w:rsidP="00AB27F7">
            <w:pPr>
              <w:spacing w:after="0"/>
              <w:jc w:val="center"/>
              <w:rPr>
                <w:rFonts w:ascii="Times New Roman" w:hAnsi="Times New Roman"/>
                <w:color w:val="FFFFFF" w:themeColor="background1"/>
                <w:sz w:val="18"/>
                <w:szCs w:val="18"/>
                <w:lang w:val="en-US" w:eastAsia="en-US"/>
              </w:rPr>
            </w:pPr>
            <w:r w:rsidRPr="00AB27F7">
              <w:rPr>
                <w:rFonts w:ascii="Times New Roman" w:hAnsi="Times New Roman"/>
                <w:b/>
                <w:bCs/>
                <w:color w:val="FFFFFF" w:themeColor="background1"/>
                <w:sz w:val="20"/>
                <w:szCs w:val="20"/>
                <w:lang w:val="en-US" w:eastAsia="en-US"/>
              </w:rPr>
              <w:t>SNIP</w:t>
            </w:r>
          </w:p>
        </w:tc>
        <w:tc>
          <w:tcPr>
            <w:tcW w:w="2196" w:type="dxa"/>
            <w:tcBorders>
              <w:top w:val="single" w:sz="4" w:space="0" w:color="auto"/>
              <w:left w:val="nil"/>
              <w:bottom w:val="single" w:sz="4" w:space="0" w:color="auto"/>
              <w:right w:val="single" w:sz="4" w:space="0" w:color="auto"/>
            </w:tcBorders>
            <w:shd w:val="clear" w:color="auto" w:fill="00B050"/>
            <w:vAlign w:val="center"/>
          </w:tcPr>
          <w:p w14:paraId="25B5BB72" w14:textId="6B22DD79" w:rsidR="00AB27F7" w:rsidRPr="00AB27F7" w:rsidRDefault="00AB27F7" w:rsidP="00AB27F7">
            <w:pPr>
              <w:spacing w:after="0"/>
              <w:jc w:val="center"/>
              <w:rPr>
                <w:rFonts w:ascii="Times New Roman" w:hAnsi="Times New Roman"/>
                <w:color w:val="FFFFFF" w:themeColor="background1"/>
                <w:sz w:val="18"/>
                <w:szCs w:val="18"/>
                <w:lang w:eastAsia="en-US"/>
              </w:rPr>
            </w:pPr>
            <w:r w:rsidRPr="00AB27F7">
              <w:rPr>
                <w:rFonts w:ascii="Times New Roman" w:hAnsi="Times New Roman"/>
                <w:b/>
                <w:bCs/>
                <w:color w:val="FFFFFF" w:themeColor="background1"/>
                <w:sz w:val="20"/>
                <w:szCs w:val="20"/>
                <w:lang w:val="en-US" w:eastAsia="en-US"/>
              </w:rPr>
              <w:t>Nombre proyecto</w:t>
            </w:r>
          </w:p>
        </w:tc>
        <w:tc>
          <w:tcPr>
            <w:tcW w:w="2782" w:type="dxa"/>
            <w:tcBorders>
              <w:top w:val="single" w:sz="4" w:space="0" w:color="auto"/>
              <w:left w:val="nil"/>
              <w:bottom w:val="single" w:sz="4" w:space="0" w:color="auto"/>
              <w:right w:val="single" w:sz="4" w:space="0" w:color="auto"/>
            </w:tcBorders>
            <w:shd w:val="clear" w:color="auto" w:fill="00B050"/>
            <w:vAlign w:val="center"/>
          </w:tcPr>
          <w:p w14:paraId="47E4CCDF" w14:textId="33976E62" w:rsidR="00AB27F7" w:rsidRPr="00AB27F7" w:rsidRDefault="00AB27F7" w:rsidP="00AB27F7">
            <w:pPr>
              <w:spacing w:after="0"/>
              <w:jc w:val="center"/>
              <w:rPr>
                <w:rFonts w:ascii="Times New Roman" w:hAnsi="Times New Roman"/>
                <w:color w:val="FFFFFF" w:themeColor="background1"/>
                <w:sz w:val="18"/>
                <w:szCs w:val="18"/>
                <w:lang w:eastAsia="en-US"/>
              </w:rPr>
            </w:pPr>
            <w:r w:rsidRPr="00AB27F7">
              <w:rPr>
                <w:rFonts w:ascii="Times New Roman" w:hAnsi="Times New Roman"/>
                <w:b/>
                <w:bCs/>
                <w:color w:val="FFFFFF" w:themeColor="background1"/>
                <w:sz w:val="20"/>
                <w:szCs w:val="20"/>
                <w:lang w:val="en-US" w:eastAsia="en-US"/>
              </w:rPr>
              <w:t>Objetivo general</w:t>
            </w:r>
          </w:p>
        </w:tc>
        <w:tc>
          <w:tcPr>
            <w:tcW w:w="1199" w:type="dxa"/>
            <w:tcBorders>
              <w:top w:val="single" w:sz="4" w:space="0" w:color="auto"/>
              <w:left w:val="nil"/>
              <w:bottom w:val="single" w:sz="4" w:space="0" w:color="auto"/>
              <w:right w:val="single" w:sz="4" w:space="0" w:color="auto"/>
            </w:tcBorders>
            <w:shd w:val="clear" w:color="auto" w:fill="00B050"/>
            <w:vAlign w:val="center"/>
          </w:tcPr>
          <w:p w14:paraId="2F94534A" w14:textId="53727028" w:rsidR="00AB27F7" w:rsidRPr="00AB27F7" w:rsidRDefault="00AB27F7" w:rsidP="00AB27F7">
            <w:pPr>
              <w:spacing w:after="0"/>
              <w:jc w:val="center"/>
              <w:rPr>
                <w:rFonts w:ascii="Times New Roman" w:hAnsi="Times New Roman"/>
                <w:color w:val="FFFFFF" w:themeColor="background1"/>
                <w:sz w:val="18"/>
                <w:szCs w:val="18"/>
                <w:lang w:val="en-US" w:eastAsia="en-US"/>
              </w:rPr>
            </w:pPr>
            <w:r w:rsidRPr="00AB27F7">
              <w:rPr>
                <w:rFonts w:ascii="Times New Roman" w:hAnsi="Times New Roman"/>
                <w:b/>
                <w:bCs/>
                <w:color w:val="FFFFFF" w:themeColor="background1"/>
                <w:sz w:val="20"/>
                <w:szCs w:val="20"/>
                <w:lang w:val="en-US" w:eastAsia="en-US"/>
              </w:rPr>
              <w:t>Ubicación geográfica</w:t>
            </w:r>
          </w:p>
        </w:tc>
        <w:tc>
          <w:tcPr>
            <w:tcW w:w="1420" w:type="dxa"/>
            <w:tcBorders>
              <w:top w:val="single" w:sz="4" w:space="0" w:color="auto"/>
              <w:left w:val="nil"/>
              <w:bottom w:val="single" w:sz="4" w:space="0" w:color="auto"/>
              <w:right w:val="single" w:sz="4" w:space="0" w:color="auto"/>
            </w:tcBorders>
            <w:shd w:val="clear" w:color="auto" w:fill="00B050"/>
            <w:vAlign w:val="center"/>
          </w:tcPr>
          <w:p w14:paraId="684C1446" w14:textId="68457E1A" w:rsidR="00AB27F7" w:rsidRPr="00AB27F7" w:rsidRDefault="00AB27F7" w:rsidP="00AB27F7">
            <w:pPr>
              <w:spacing w:after="0"/>
              <w:jc w:val="center"/>
              <w:rPr>
                <w:rFonts w:ascii="Times New Roman" w:hAnsi="Times New Roman"/>
                <w:color w:val="FFFFFF" w:themeColor="background1"/>
                <w:sz w:val="18"/>
                <w:szCs w:val="18"/>
                <w:lang w:val="en-US" w:eastAsia="en-US"/>
              </w:rPr>
            </w:pPr>
            <w:r w:rsidRPr="00AB27F7">
              <w:rPr>
                <w:rFonts w:ascii="Times New Roman" w:hAnsi="Times New Roman"/>
                <w:b/>
                <w:bCs/>
                <w:color w:val="FFFFFF" w:themeColor="background1"/>
                <w:sz w:val="20"/>
                <w:szCs w:val="20"/>
                <w:lang w:val="en-US" w:eastAsia="en-US"/>
              </w:rPr>
              <w:t>Institución ejecutora</w:t>
            </w:r>
          </w:p>
        </w:tc>
        <w:tc>
          <w:tcPr>
            <w:tcW w:w="1016" w:type="dxa"/>
            <w:tcBorders>
              <w:top w:val="single" w:sz="4" w:space="0" w:color="auto"/>
              <w:left w:val="nil"/>
              <w:bottom w:val="single" w:sz="4" w:space="0" w:color="auto"/>
              <w:right w:val="single" w:sz="4" w:space="0" w:color="auto"/>
            </w:tcBorders>
            <w:shd w:val="clear" w:color="auto" w:fill="00B050"/>
            <w:vAlign w:val="center"/>
          </w:tcPr>
          <w:p w14:paraId="49B2ABD4" w14:textId="4D03A7E7" w:rsidR="00AB27F7" w:rsidRPr="00AB27F7" w:rsidRDefault="00AB27F7" w:rsidP="00AB27F7">
            <w:pPr>
              <w:spacing w:after="0"/>
              <w:jc w:val="center"/>
              <w:rPr>
                <w:rFonts w:ascii="Times New Roman" w:hAnsi="Times New Roman"/>
                <w:color w:val="FFFFFF" w:themeColor="background1"/>
                <w:sz w:val="18"/>
                <w:szCs w:val="18"/>
                <w:lang w:val="en-US" w:eastAsia="en-US"/>
              </w:rPr>
            </w:pPr>
            <w:r w:rsidRPr="00AB27F7">
              <w:rPr>
                <w:rFonts w:ascii="Times New Roman" w:hAnsi="Times New Roman"/>
                <w:b/>
                <w:bCs/>
                <w:color w:val="FFFFFF" w:themeColor="background1"/>
                <w:sz w:val="20"/>
                <w:szCs w:val="20"/>
                <w:lang w:val="en-US" w:eastAsia="en-US"/>
              </w:rPr>
              <w:t>Duración proyecto</w:t>
            </w:r>
          </w:p>
        </w:tc>
        <w:tc>
          <w:tcPr>
            <w:tcW w:w="1777" w:type="dxa"/>
            <w:tcBorders>
              <w:top w:val="single" w:sz="4" w:space="0" w:color="auto"/>
              <w:left w:val="nil"/>
              <w:bottom w:val="single" w:sz="4" w:space="0" w:color="auto"/>
              <w:right w:val="single" w:sz="4" w:space="0" w:color="auto"/>
            </w:tcBorders>
            <w:shd w:val="clear" w:color="auto" w:fill="00B050"/>
            <w:noWrap/>
            <w:vAlign w:val="center"/>
          </w:tcPr>
          <w:p w14:paraId="6676BB28" w14:textId="204D1772" w:rsidR="00AB27F7" w:rsidRPr="00AB27F7" w:rsidRDefault="00AB27F7" w:rsidP="00AB27F7">
            <w:pPr>
              <w:spacing w:after="0"/>
              <w:jc w:val="center"/>
              <w:rPr>
                <w:rFonts w:ascii="Times New Roman" w:hAnsi="Times New Roman"/>
                <w:color w:val="FFFFFF" w:themeColor="background1"/>
                <w:sz w:val="18"/>
                <w:szCs w:val="18"/>
                <w:lang w:val="en-US" w:eastAsia="en-US"/>
              </w:rPr>
            </w:pPr>
            <w:r w:rsidRPr="00AB27F7">
              <w:rPr>
                <w:rFonts w:ascii="Times New Roman" w:hAnsi="Times New Roman"/>
                <w:b/>
                <w:bCs/>
                <w:color w:val="FFFFFF" w:themeColor="background1"/>
                <w:sz w:val="20"/>
                <w:szCs w:val="20"/>
                <w:lang w:val="en-US" w:eastAsia="en-US"/>
              </w:rPr>
              <w:t>Monto Asignado presupuesto 2020 (RD$)</w:t>
            </w:r>
          </w:p>
        </w:tc>
        <w:tc>
          <w:tcPr>
            <w:tcW w:w="1890" w:type="dxa"/>
            <w:tcBorders>
              <w:top w:val="single" w:sz="4" w:space="0" w:color="auto"/>
              <w:left w:val="nil"/>
              <w:bottom w:val="single" w:sz="4" w:space="0" w:color="auto"/>
              <w:right w:val="single" w:sz="4" w:space="0" w:color="auto"/>
            </w:tcBorders>
            <w:shd w:val="clear" w:color="auto" w:fill="00B050"/>
            <w:vAlign w:val="center"/>
          </w:tcPr>
          <w:p w14:paraId="73F6D0E2" w14:textId="488931AD" w:rsidR="00AB27F7" w:rsidRPr="00AB27F7" w:rsidRDefault="00AB27F7" w:rsidP="00AB27F7">
            <w:pPr>
              <w:spacing w:after="0"/>
              <w:jc w:val="center"/>
              <w:rPr>
                <w:rFonts w:ascii="Times New Roman" w:hAnsi="Times New Roman"/>
                <w:color w:val="FFFFFF" w:themeColor="background1"/>
                <w:sz w:val="18"/>
                <w:szCs w:val="18"/>
                <w:lang w:val="en-US" w:eastAsia="en-US"/>
              </w:rPr>
            </w:pPr>
            <w:r w:rsidRPr="00AB27F7">
              <w:rPr>
                <w:rFonts w:ascii="Times New Roman" w:hAnsi="Times New Roman"/>
                <w:b/>
                <w:bCs/>
                <w:color w:val="FFFFFF" w:themeColor="background1"/>
                <w:sz w:val="20"/>
                <w:szCs w:val="20"/>
                <w:lang w:val="en-US" w:eastAsia="en-US"/>
              </w:rPr>
              <w:t>Monto total proyecto (RD$)</w:t>
            </w:r>
          </w:p>
        </w:tc>
      </w:tr>
      <w:tr w:rsidR="00AB27F7" w:rsidRPr="00AB27F7" w14:paraId="03307AAA" w14:textId="77777777" w:rsidTr="00AB27F7">
        <w:trPr>
          <w:trHeight w:val="2640"/>
        </w:trPr>
        <w:tc>
          <w:tcPr>
            <w:tcW w:w="5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2E4EC"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6</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72B50786"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14130</w:t>
            </w:r>
          </w:p>
        </w:tc>
        <w:tc>
          <w:tcPr>
            <w:tcW w:w="2196" w:type="dxa"/>
            <w:tcBorders>
              <w:top w:val="single" w:sz="4" w:space="0" w:color="auto"/>
              <w:left w:val="nil"/>
              <w:bottom w:val="single" w:sz="4" w:space="0" w:color="auto"/>
              <w:right w:val="single" w:sz="4" w:space="0" w:color="auto"/>
            </w:tcBorders>
            <w:shd w:val="clear" w:color="auto" w:fill="auto"/>
            <w:vAlign w:val="center"/>
            <w:hideMark/>
          </w:tcPr>
          <w:p w14:paraId="25EE9F0F" w14:textId="77777777" w:rsidR="00AB27F7" w:rsidRPr="00AB27F7" w:rsidRDefault="00AB27F7" w:rsidP="00AB27F7">
            <w:pPr>
              <w:spacing w:after="0"/>
              <w:jc w:val="center"/>
              <w:rPr>
                <w:rFonts w:ascii="Times New Roman" w:hAnsi="Times New Roman"/>
                <w:color w:val="000000"/>
                <w:sz w:val="18"/>
                <w:szCs w:val="18"/>
                <w:lang w:eastAsia="en-US"/>
              </w:rPr>
            </w:pPr>
            <w:r w:rsidRPr="00AB27F7">
              <w:rPr>
                <w:rFonts w:ascii="Times New Roman" w:hAnsi="Times New Roman"/>
                <w:color w:val="000000"/>
                <w:sz w:val="18"/>
                <w:szCs w:val="18"/>
                <w:lang w:eastAsia="en-US"/>
              </w:rPr>
              <w:t>Prevención y  Control de la Tuberculosis,  Brucelosis y la Trazabilidad Bovina</w:t>
            </w:r>
          </w:p>
        </w:tc>
        <w:tc>
          <w:tcPr>
            <w:tcW w:w="2782" w:type="dxa"/>
            <w:tcBorders>
              <w:top w:val="single" w:sz="4" w:space="0" w:color="auto"/>
              <w:left w:val="nil"/>
              <w:bottom w:val="single" w:sz="4" w:space="0" w:color="auto"/>
              <w:right w:val="single" w:sz="4" w:space="0" w:color="auto"/>
            </w:tcBorders>
            <w:shd w:val="clear" w:color="auto" w:fill="auto"/>
            <w:vAlign w:val="center"/>
            <w:hideMark/>
          </w:tcPr>
          <w:p w14:paraId="4E58D432" w14:textId="77777777" w:rsidR="00AB27F7" w:rsidRPr="00AB27F7" w:rsidRDefault="00AB27F7" w:rsidP="00AB27F7">
            <w:pPr>
              <w:spacing w:after="0"/>
              <w:jc w:val="center"/>
              <w:rPr>
                <w:rFonts w:ascii="Times New Roman" w:hAnsi="Times New Roman"/>
                <w:color w:val="000000"/>
                <w:sz w:val="18"/>
                <w:szCs w:val="18"/>
                <w:lang w:eastAsia="en-US"/>
              </w:rPr>
            </w:pPr>
            <w:r w:rsidRPr="00AB27F7">
              <w:rPr>
                <w:rFonts w:ascii="Times New Roman" w:hAnsi="Times New Roman"/>
                <w:color w:val="000000"/>
                <w:sz w:val="18"/>
                <w:szCs w:val="18"/>
                <w:lang w:eastAsia="en-US"/>
              </w:rPr>
              <w:t>Garantizar la inocuidad y fortalecer el sistema de inspección, control y vigilancia de productos de la cadena de valor del ganado bovino (cárnicos y lácteos) de la República Dominicana a través de la implementación de un sistema de identificación individual y registro de bovinos que permita lograr el seguimiento de los mismos y, en consecuencia, la trazabilidad de sus productos y subproductos.</w:t>
            </w:r>
          </w:p>
        </w:tc>
        <w:tc>
          <w:tcPr>
            <w:tcW w:w="1199" w:type="dxa"/>
            <w:tcBorders>
              <w:top w:val="single" w:sz="4" w:space="0" w:color="auto"/>
              <w:left w:val="nil"/>
              <w:bottom w:val="single" w:sz="4" w:space="0" w:color="auto"/>
              <w:right w:val="single" w:sz="4" w:space="0" w:color="auto"/>
            </w:tcBorders>
            <w:shd w:val="clear" w:color="auto" w:fill="auto"/>
            <w:vAlign w:val="center"/>
            <w:hideMark/>
          </w:tcPr>
          <w:p w14:paraId="40D16286"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A nivel nacional</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3BBD78C9"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Dirección General de Ganadería</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14:paraId="6ECF8325" w14:textId="2B7BFB46" w:rsidR="00AB27F7" w:rsidRPr="00AB27F7" w:rsidRDefault="00FE7530" w:rsidP="00AB27F7">
            <w:pPr>
              <w:spacing w:after="0"/>
              <w:jc w:val="center"/>
              <w:rPr>
                <w:rFonts w:ascii="Times New Roman" w:hAnsi="Times New Roman"/>
                <w:color w:val="000000"/>
                <w:sz w:val="18"/>
                <w:szCs w:val="18"/>
                <w:lang w:val="en-US" w:eastAsia="en-US"/>
              </w:rPr>
            </w:pPr>
            <w:r>
              <w:rPr>
                <w:rFonts w:ascii="Times New Roman" w:hAnsi="Times New Roman"/>
                <w:color w:val="000000"/>
                <w:sz w:val="18"/>
                <w:szCs w:val="18"/>
                <w:lang w:val="en-US" w:eastAsia="en-US"/>
              </w:rPr>
              <w:t xml:space="preserve">4 </w:t>
            </w:r>
            <w:r w:rsidR="00AB27F7" w:rsidRPr="00AB27F7">
              <w:rPr>
                <w:rFonts w:ascii="Times New Roman" w:hAnsi="Times New Roman"/>
                <w:color w:val="000000"/>
                <w:sz w:val="18"/>
                <w:szCs w:val="18"/>
                <w:lang w:val="en-US" w:eastAsia="en-US"/>
              </w:rPr>
              <w:t>años</w:t>
            </w:r>
          </w:p>
        </w:tc>
        <w:tc>
          <w:tcPr>
            <w:tcW w:w="1777" w:type="dxa"/>
            <w:tcBorders>
              <w:top w:val="single" w:sz="4" w:space="0" w:color="auto"/>
              <w:left w:val="nil"/>
              <w:bottom w:val="single" w:sz="4" w:space="0" w:color="auto"/>
              <w:right w:val="single" w:sz="4" w:space="0" w:color="auto"/>
            </w:tcBorders>
            <w:shd w:val="clear" w:color="auto" w:fill="auto"/>
            <w:noWrap/>
            <w:vAlign w:val="center"/>
            <w:hideMark/>
          </w:tcPr>
          <w:p w14:paraId="29E71143"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 xml:space="preserve">RD$10,000,000.00 </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208E03B2"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 xml:space="preserve">RD$320,000,000.00 </w:t>
            </w:r>
          </w:p>
        </w:tc>
      </w:tr>
      <w:tr w:rsidR="00AB27F7" w:rsidRPr="00AB27F7" w14:paraId="13EC3275" w14:textId="77777777" w:rsidTr="00AB27F7">
        <w:trPr>
          <w:trHeight w:val="960"/>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75DE8BAB"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7</w:t>
            </w:r>
          </w:p>
        </w:tc>
        <w:tc>
          <w:tcPr>
            <w:tcW w:w="680" w:type="dxa"/>
            <w:tcBorders>
              <w:top w:val="nil"/>
              <w:left w:val="nil"/>
              <w:bottom w:val="single" w:sz="4" w:space="0" w:color="auto"/>
              <w:right w:val="single" w:sz="4" w:space="0" w:color="auto"/>
            </w:tcBorders>
            <w:shd w:val="clear" w:color="auto" w:fill="auto"/>
            <w:vAlign w:val="center"/>
            <w:hideMark/>
          </w:tcPr>
          <w:p w14:paraId="75A11D00"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14199</w:t>
            </w:r>
          </w:p>
        </w:tc>
        <w:tc>
          <w:tcPr>
            <w:tcW w:w="2196" w:type="dxa"/>
            <w:tcBorders>
              <w:top w:val="nil"/>
              <w:left w:val="nil"/>
              <w:bottom w:val="single" w:sz="4" w:space="0" w:color="auto"/>
              <w:right w:val="single" w:sz="4" w:space="0" w:color="auto"/>
            </w:tcBorders>
            <w:shd w:val="clear" w:color="auto" w:fill="auto"/>
            <w:vAlign w:val="center"/>
            <w:hideMark/>
          </w:tcPr>
          <w:p w14:paraId="40E27FE9" w14:textId="77777777" w:rsidR="00AB27F7" w:rsidRPr="00AB27F7" w:rsidRDefault="00AB27F7" w:rsidP="00AB27F7">
            <w:pPr>
              <w:spacing w:after="0"/>
              <w:jc w:val="center"/>
              <w:rPr>
                <w:rFonts w:ascii="Times New Roman" w:hAnsi="Times New Roman"/>
                <w:color w:val="000000"/>
                <w:sz w:val="18"/>
                <w:szCs w:val="18"/>
                <w:lang w:eastAsia="en-US"/>
              </w:rPr>
            </w:pPr>
            <w:r w:rsidRPr="00AB27F7">
              <w:rPr>
                <w:rFonts w:ascii="Times New Roman" w:hAnsi="Times New Roman"/>
                <w:color w:val="000000"/>
                <w:sz w:val="18"/>
                <w:szCs w:val="18"/>
                <w:lang w:eastAsia="en-US"/>
              </w:rPr>
              <w:t>Fortalecimiento de la crianza ovicaprina en la región froteteriza de la Rep.Dom</w:t>
            </w:r>
          </w:p>
        </w:tc>
        <w:tc>
          <w:tcPr>
            <w:tcW w:w="2782" w:type="dxa"/>
            <w:tcBorders>
              <w:top w:val="nil"/>
              <w:left w:val="nil"/>
              <w:bottom w:val="single" w:sz="4" w:space="0" w:color="auto"/>
              <w:right w:val="single" w:sz="4" w:space="0" w:color="auto"/>
            </w:tcBorders>
            <w:shd w:val="clear" w:color="auto" w:fill="auto"/>
            <w:vAlign w:val="center"/>
            <w:hideMark/>
          </w:tcPr>
          <w:p w14:paraId="4C51F1AC" w14:textId="77777777" w:rsidR="00AB27F7" w:rsidRPr="00AB27F7" w:rsidRDefault="00AB27F7" w:rsidP="00AB27F7">
            <w:pPr>
              <w:spacing w:after="0"/>
              <w:jc w:val="center"/>
              <w:rPr>
                <w:rFonts w:ascii="Times New Roman" w:hAnsi="Times New Roman"/>
                <w:color w:val="000000"/>
                <w:sz w:val="18"/>
                <w:szCs w:val="18"/>
                <w:lang w:eastAsia="en-US"/>
              </w:rPr>
            </w:pPr>
            <w:r w:rsidRPr="00AB27F7">
              <w:rPr>
                <w:rFonts w:ascii="Times New Roman" w:hAnsi="Times New Roman"/>
                <w:color w:val="000000"/>
                <w:sz w:val="18"/>
                <w:szCs w:val="18"/>
                <w:lang w:eastAsia="en-US"/>
              </w:rPr>
              <w:t>Lograr el desarrollo integral, mediante la diversificación productiva,  en base a fomento y desarrollo de especies pecuarias en sistemas silvopastoriles</w:t>
            </w:r>
          </w:p>
        </w:tc>
        <w:tc>
          <w:tcPr>
            <w:tcW w:w="1199" w:type="dxa"/>
            <w:tcBorders>
              <w:top w:val="nil"/>
              <w:left w:val="nil"/>
              <w:bottom w:val="single" w:sz="4" w:space="0" w:color="auto"/>
              <w:right w:val="single" w:sz="4" w:space="0" w:color="auto"/>
            </w:tcBorders>
            <w:shd w:val="clear" w:color="auto" w:fill="auto"/>
            <w:vAlign w:val="center"/>
            <w:hideMark/>
          </w:tcPr>
          <w:p w14:paraId="7EB14020"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A nivel nacional</w:t>
            </w:r>
          </w:p>
        </w:tc>
        <w:tc>
          <w:tcPr>
            <w:tcW w:w="1420" w:type="dxa"/>
            <w:tcBorders>
              <w:top w:val="nil"/>
              <w:left w:val="nil"/>
              <w:bottom w:val="single" w:sz="4" w:space="0" w:color="auto"/>
              <w:right w:val="single" w:sz="4" w:space="0" w:color="auto"/>
            </w:tcBorders>
            <w:shd w:val="clear" w:color="auto" w:fill="auto"/>
            <w:vAlign w:val="center"/>
            <w:hideMark/>
          </w:tcPr>
          <w:p w14:paraId="70F61A5C"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Dirección General de Ganadería</w:t>
            </w:r>
          </w:p>
        </w:tc>
        <w:tc>
          <w:tcPr>
            <w:tcW w:w="1016" w:type="dxa"/>
            <w:tcBorders>
              <w:top w:val="nil"/>
              <w:left w:val="nil"/>
              <w:bottom w:val="single" w:sz="4" w:space="0" w:color="auto"/>
              <w:right w:val="single" w:sz="4" w:space="0" w:color="auto"/>
            </w:tcBorders>
            <w:shd w:val="clear" w:color="auto" w:fill="auto"/>
            <w:vAlign w:val="center"/>
            <w:hideMark/>
          </w:tcPr>
          <w:p w14:paraId="2C5E3CAD" w14:textId="20658A70" w:rsidR="00AB27F7" w:rsidRPr="00AB27F7" w:rsidRDefault="00FE7530" w:rsidP="00AB27F7">
            <w:pPr>
              <w:spacing w:after="0"/>
              <w:jc w:val="center"/>
              <w:rPr>
                <w:rFonts w:ascii="Times New Roman" w:hAnsi="Times New Roman"/>
                <w:color w:val="000000"/>
                <w:sz w:val="18"/>
                <w:szCs w:val="18"/>
                <w:lang w:val="en-US" w:eastAsia="en-US"/>
              </w:rPr>
            </w:pPr>
            <w:r>
              <w:rPr>
                <w:rFonts w:ascii="Times New Roman" w:hAnsi="Times New Roman"/>
                <w:color w:val="000000"/>
                <w:sz w:val="18"/>
                <w:szCs w:val="18"/>
                <w:lang w:val="en-US" w:eastAsia="en-US"/>
              </w:rPr>
              <w:t xml:space="preserve">4 </w:t>
            </w:r>
            <w:r w:rsidR="00AB27F7" w:rsidRPr="00AB27F7">
              <w:rPr>
                <w:rFonts w:ascii="Times New Roman" w:hAnsi="Times New Roman"/>
                <w:color w:val="000000"/>
                <w:sz w:val="18"/>
                <w:szCs w:val="18"/>
                <w:lang w:val="en-US" w:eastAsia="en-US"/>
              </w:rPr>
              <w:t>años</w:t>
            </w:r>
          </w:p>
        </w:tc>
        <w:tc>
          <w:tcPr>
            <w:tcW w:w="1777" w:type="dxa"/>
            <w:tcBorders>
              <w:top w:val="nil"/>
              <w:left w:val="nil"/>
              <w:bottom w:val="single" w:sz="4" w:space="0" w:color="auto"/>
              <w:right w:val="single" w:sz="4" w:space="0" w:color="auto"/>
            </w:tcBorders>
            <w:shd w:val="clear" w:color="auto" w:fill="auto"/>
            <w:noWrap/>
            <w:vAlign w:val="center"/>
            <w:hideMark/>
          </w:tcPr>
          <w:p w14:paraId="364A7910"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 xml:space="preserve">RD$8,000,000.00 </w:t>
            </w:r>
          </w:p>
        </w:tc>
        <w:tc>
          <w:tcPr>
            <w:tcW w:w="1890" w:type="dxa"/>
            <w:tcBorders>
              <w:top w:val="nil"/>
              <w:left w:val="nil"/>
              <w:bottom w:val="single" w:sz="4" w:space="0" w:color="auto"/>
              <w:right w:val="single" w:sz="4" w:space="0" w:color="auto"/>
            </w:tcBorders>
            <w:shd w:val="clear" w:color="auto" w:fill="auto"/>
            <w:vAlign w:val="center"/>
            <w:hideMark/>
          </w:tcPr>
          <w:p w14:paraId="621327D6"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 xml:space="preserve">RD$86,000,000.00 </w:t>
            </w:r>
          </w:p>
        </w:tc>
      </w:tr>
      <w:tr w:rsidR="00AB27F7" w:rsidRPr="00AB27F7" w14:paraId="03FD5363" w14:textId="77777777" w:rsidTr="00AB27F7">
        <w:trPr>
          <w:trHeight w:val="2400"/>
        </w:trPr>
        <w:tc>
          <w:tcPr>
            <w:tcW w:w="535" w:type="dxa"/>
            <w:tcBorders>
              <w:top w:val="nil"/>
              <w:left w:val="single" w:sz="4" w:space="0" w:color="auto"/>
              <w:bottom w:val="single" w:sz="4" w:space="0" w:color="auto"/>
              <w:right w:val="single" w:sz="4" w:space="0" w:color="auto"/>
            </w:tcBorders>
            <w:shd w:val="clear" w:color="auto" w:fill="auto"/>
            <w:vAlign w:val="center"/>
            <w:hideMark/>
          </w:tcPr>
          <w:p w14:paraId="675873B0"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8</w:t>
            </w:r>
          </w:p>
        </w:tc>
        <w:tc>
          <w:tcPr>
            <w:tcW w:w="680" w:type="dxa"/>
            <w:tcBorders>
              <w:top w:val="nil"/>
              <w:left w:val="nil"/>
              <w:bottom w:val="single" w:sz="4" w:space="0" w:color="auto"/>
              <w:right w:val="single" w:sz="4" w:space="0" w:color="auto"/>
            </w:tcBorders>
            <w:shd w:val="clear" w:color="auto" w:fill="auto"/>
            <w:noWrap/>
            <w:vAlign w:val="center"/>
            <w:hideMark/>
          </w:tcPr>
          <w:p w14:paraId="475B2830"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14185</w:t>
            </w:r>
          </w:p>
        </w:tc>
        <w:tc>
          <w:tcPr>
            <w:tcW w:w="2196" w:type="dxa"/>
            <w:tcBorders>
              <w:top w:val="nil"/>
              <w:left w:val="nil"/>
              <w:bottom w:val="single" w:sz="4" w:space="0" w:color="auto"/>
              <w:right w:val="single" w:sz="4" w:space="0" w:color="auto"/>
            </w:tcBorders>
            <w:shd w:val="clear" w:color="auto" w:fill="auto"/>
            <w:vAlign w:val="center"/>
            <w:hideMark/>
          </w:tcPr>
          <w:p w14:paraId="0F219FF1" w14:textId="77777777" w:rsidR="00AB27F7" w:rsidRPr="00AB27F7" w:rsidRDefault="00AB27F7" w:rsidP="00AB27F7">
            <w:pPr>
              <w:spacing w:after="0"/>
              <w:jc w:val="center"/>
              <w:rPr>
                <w:rFonts w:ascii="Times New Roman" w:hAnsi="Times New Roman"/>
                <w:color w:val="000000"/>
                <w:sz w:val="18"/>
                <w:szCs w:val="18"/>
                <w:lang w:eastAsia="en-US"/>
              </w:rPr>
            </w:pPr>
            <w:r w:rsidRPr="00AB27F7">
              <w:rPr>
                <w:rFonts w:ascii="Times New Roman" w:hAnsi="Times New Roman"/>
                <w:color w:val="000000"/>
                <w:sz w:val="18"/>
                <w:szCs w:val="18"/>
                <w:lang w:eastAsia="en-US"/>
              </w:rPr>
              <w:t>Producción de Café Bajo Emisiones, para mitigar los efectos del Cambio Climático</w:t>
            </w:r>
          </w:p>
        </w:tc>
        <w:tc>
          <w:tcPr>
            <w:tcW w:w="2782" w:type="dxa"/>
            <w:tcBorders>
              <w:top w:val="nil"/>
              <w:left w:val="nil"/>
              <w:bottom w:val="single" w:sz="4" w:space="0" w:color="auto"/>
              <w:right w:val="single" w:sz="4" w:space="0" w:color="auto"/>
            </w:tcBorders>
            <w:shd w:val="clear" w:color="auto" w:fill="auto"/>
            <w:vAlign w:val="center"/>
            <w:hideMark/>
          </w:tcPr>
          <w:p w14:paraId="1801A69D" w14:textId="77777777" w:rsidR="00AB27F7" w:rsidRPr="00AB27F7" w:rsidRDefault="00AB27F7" w:rsidP="00AB27F7">
            <w:pPr>
              <w:spacing w:after="0"/>
              <w:jc w:val="center"/>
              <w:rPr>
                <w:rFonts w:ascii="Times New Roman" w:hAnsi="Times New Roman"/>
                <w:color w:val="000000"/>
                <w:sz w:val="18"/>
                <w:szCs w:val="18"/>
                <w:lang w:eastAsia="en-US"/>
              </w:rPr>
            </w:pPr>
            <w:r w:rsidRPr="00AB27F7">
              <w:rPr>
                <w:rFonts w:ascii="Times New Roman" w:hAnsi="Times New Roman"/>
                <w:color w:val="000000"/>
                <w:sz w:val="18"/>
                <w:szCs w:val="18"/>
                <w:lang w:eastAsia="en-US"/>
              </w:rPr>
              <w:t>Contribuir a elevar los niveles de productividad y competitividad del subsector cafetalero a través de la renovación y /o fomento de 90 mil tareas de café con plantas resistentes a la Roya, alto rendimiento y buena calidad de taza, para contribuir a elevar el área sembrada de café, la cobertura boscosa y los ingresos de los productores de café en la República Dominicana.</w:t>
            </w:r>
          </w:p>
        </w:tc>
        <w:tc>
          <w:tcPr>
            <w:tcW w:w="1199" w:type="dxa"/>
            <w:tcBorders>
              <w:top w:val="nil"/>
              <w:left w:val="nil"/>
              <w:bottom w:val="single" w:sz="4" w:space="0" w:color="auto"/>
              <w:right w:val="single" w:sz="4" w:space="0" w:color="auto"/>
            </w:tcBorders>
            <w:shd w:val="clear" w:color="auto" w:fill="auto"/>
            <w:vAlign w:val="center"/>
            <w:hideMark/>
          </w:tcPr>
          <w:p w14:paraId="12618225"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A nivel nacional</w:t>
            </w:r>
          </w:p>
        </w:tc>
        <w:tc>
          <w:tcPr>
            <w:tcW w:w="1420" w:type="dxa"/>
            <w:tcBorders>
              <w:top w:val="nil"/>
              <w:left w:val="nil"/>
              <w:bottom w:val="single" w:sz="4" w:space="0" w:color="auto"/>
              <w:right w:val="single" w:sz="4" w:space="0" w:color="auto"/>
            </w:tcBorders>
            <w:shd w:val="clear" w:color="auto" w:fill="auto"/>
            <w:vAlign w:val="center"/>
            <w:hideMark/>
          </w:tcPr>
          <w:p w14:paraId="41CA8641"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INDOCAFE</w:t>
            </w:r>
          </w:p>
        </w:tc>
        <w:tc>
          <w:tcPr>
            <w:tcW w:w="1016" w:type="dxa"/>
            <w:tcBorders>
              <w:top w:val="nil"/>
              <w:left w:val="nil"/>
              <w:bottom w:val="single" w:sz="4" w:space="0" w:color="auto"/>
              <w:right w:val="single" w:sz="4" w:space="0" w:color="auto"/>
            </w:tcBorders>
            <w:shd w:val="clear" w:color="auto" w:fill="auto"/>
            <w:noWrap/>
            <w:vAlign w:val="center"/>
            <w:hideMark/>
          </w:tcPr>
          <w:p w14:paraId="118D4A07"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4 años</w:t>
            </w:r>
          </w:p>
        </w:tc>
        <w:tc>
          <w:tcPr>
            <w:tcW w:w="1777" w:type="dxa"/>
            <w:tcBorders>
              <w:top w:val="nil"/>
              <w:left w:val="nil"/>
              <w:bottom w:val="single" w:sz="4" w:space="0" w:color="auto"/>
              <w:right w:val="single" w:sz="4" w:space="0" w:color="auto"/>
            </w:tcBorders>
            <w:shd w:val="clear" w:color="auto" w:fill="auto"/>
            <w:noWrap/>
            <w:vAlign w:val="center"/>
            <w:hideMark/>
          </w:tcPr>
          <w:p w14:paraId="745D9CEC"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 xml:space="preserve">RD$6,000,000.00 </w:t>
            </w:r>
          </w:p>
        </w:tc>
        <w:tc>
          <w:tcPr>
            <w:tcW w:w="1890" w:type="dxa"/>
            <w:tcBorders>
              <w:top w:val="nil"/>
              <w:left w:val="nil"/>
              <w:bottom w:val="single" w:sz="4" w:space="0" w:color="auto"/>
              <w:right w:val="single" w:sz="4" w:space="0" w:color="auto"/>
            </w:tcBorders>
            <w:shd w:val="clear" w:color="auto" w:fill="auto"/>
            <w:noWrap/>
            <w:vAlign w:val="center"/>
            <w:hideMark/>
          </w:tcPr>
          <w:p w14:paraId="4659F448" w14:textId="77777777" w:rsidR="00AB27F7" w:rsidRPr="00AB27F7" w:rsidRDefault="00AB27F7" w:rsidP="00AB27F7">
            <w:pPr>
              <w:spacing w:after="0"/>
              <w:jc w:val="center"/>
              <w:rPr>
                <w:rFonts w:ascii="Times New Roman" w:hAnsi="Times New Roman"/>
                <w:color w:val="000000"/>
                <w:sz w:val="18"/>
                <w:szCs w:val="18"/>
                <w:lang w:val="en-US" w:eastAsia="en-US"/>
              </w:rPr>
            </w:pPr>
            <w:r w:rsidRPr="00AB27F7">
              <w:rPr>
                <w:rFonts w:ascii="Times New Roman" w:hAnsi="Times New Roman"/>
                <w:color w:val="000000"/>
                <w:sz w:val="18"/>
                <w:szCs w:val="18"/>
                <w:lang w:val="en-US" w:eastAsia="en-US"/>
              </w:rPr>
              <w:t xml:space="preserve">RD$276,480,000.00 </w:t>
            </w:r>
          </w:p>
        </w:tc>
      </w:tr>
      <w:tr w:rsidR="00AB27F7" w:rsidRPr="00AB27F7" w14:paraId="20F38EF9" w14:textId="77777777" w:rsidTr="00AB27F7">
        <w:trPr>
          <w:trHeight w:val="300"/>
        </w:trPr>
        <w:tc>
          <w:tcPr>
            <w:tcW w:w="9828" w:type="dxa"/>
            <w:gridSpan w:val="7"/>
            <w:tcBorders>
              <w:top w:val="single" w:sz="4" w:space="0" w:color="auto"/>
              <w:left w:val="single" w:sz="4" w:space="0" w:color="auto"/>
              <w:bottom w:val="single" w:sz="4" w:space="0" w:color="auto"/>
              <w:right w:val="single" w:sz="4" w:space="0" w:color="auto"/>
            </w:tcBorders>
            <w:shd w:val="clear" w:color="000000" w:fill="808080"/>
            <w:vAlign w:val="center"/>
            <w:hideMark/>
          </w:tcPr>
          <w:p w14:paraId="2874BFA7" w14:textId="77777777" w:rsidR="00AB27F7" w:rsidRPr="00AB27F7" w:rsidRDefault="00AB27F7" w:rsidP="00AB27F7">
            <w:pPr>
              <w:spacing w:after="0"/>
              <w:jc w:val="center"/>
              <w:rPr>
                <w:rFonts w:ascii="Times New Roman" w:hAnsi="Times New Roman"/>
                <w:b/>
                <w:bCs/>
                <w:color w:val="FFFFFF"/>
                <w:sz w:val="18"/>
                <w:szCs w:val="18"/>
                <w:lang w:val="en-US" w:eastAsia="en-US"/>
              </w:rPr>
            </w:pPr>
            <w:r w:rsidRPr="00AB27F7">
              <w:rPr>
                <w:rFonts w:ascii="Times New Roman" w:hAnsi="Times New Roman"/>
                <w:b/>
                <w:bCs/>
                <w:color w:val="FFFFFF"/>
                <w:sz w:val="18"/>
                <w:szCs w:val="18"/>
                <w:lang w:val="en-US" w:eastAsia="en-US"/>
              </w:rPr>
              <w:t>Sub-Total Sectoriales</w:t>
            </w:r>
          </w:p>
        </w:tc>
        <w:tc>
          <w:tcPr>
            <w:tcW w:w="1777" w:type="dxa"/>
            <w:tcBorders>
              <w:top w:val="nil"/>
              <w:left w:val="nil"/>
              <w:bottom w:val="single" w:sz="4" w:space="0" w:color="auto"/>
              <w:right w:val="single" w:sz="4" w:space="0" w:color="auto"/>
            </w:tcBorders>
            <w:shd w:val="clear" w:color="000000" w:fill="808080"/>
            <w:noWrap/>
            <w:vAlign w:val="center"/>
            <w:hideMark/>
          </w:tcPr>
          <w:p w14:paraId="21E93679" w14:textId="77777777" w:rsidR="00AB27F7" w:rsidRPr="00AB27F7" w:rsidRDefault="00AB27F7" w:rsidP="00AB27F7">
            <w:pPr>
              <w:spacing w:after="0"/>
              <w:jc w:val="center"/>
              <w:rPr>
                <w:rFonts w:ascii="Times New Roman" w:hAnsi="Times New Roman"/>
                <w:b/>
                <w:bCs/>
                <w:color w:val="FFFFFF"/>
                <w:sz w:val="18"/>
                <w:szCs w:val="18"/>
                <w:lang w:val="en-US" w:eastAsia="en-US"/>
              </w:rPr>
            </w:pPr>
            <w:r w:rsidRPr="00AB27F7">
              <w:rPr>
                <w:rFonts w:ascii="Times New Roman" w:hAnsi="Times New Roman"/>
                <w:b/>
                <w:bCs/>
                <w:color w:val="FFFFFF"/>
                <w:sz w:val="18"/>
                <w:szCs w:val="18"/>
                <w:lang w:val="en-US" w:eastAsia="en-US"/>
              </w:rPr>
              <w:t xml:space="preserve">RD$63,000,000.00 </w:t>
            </w:r>
          </w:p>
        </w:tc>
        <w:tc>
          <w:tcPr>
            <w:tcW w:w="1890" w:type="dxa"/>
            <w:tcBorders>
              <w:top w:val="nil"/>
              <w:left w:val="nil"/>
              <w:bottom w:val="single" w:sz="4" w:space="0" w:color="auto"/>
              <w:right w:val="single" w:sz="4" w:space="0" w:color="auto"/>
            </w:tcBorders>
            <w:shd w:val="clear" w:color="000000" w:fill="808080"/>
            <w:noWrap/>
            <w:vAlign w:val="center"/>
            <w:hideMark/>
          </w:tcPr>
          <w:p w14:paraId="0ADB7A68" w14:textId="77777777" w:rsidR="00AB27F7" w:rsidRPr="00AB27F7" w:rsidRDefault="00AB27F7" w:rsidP="00AB27F7">
            <w:pPr>
              <w:spacing w:after="0"/>
              <w:jc w:val="center"/>
              <w:rPr>
                <w:rFonts w:ascii="Times New Roman" w:hAnsi="Times New Roman"/>
                <w:b/>
                <w:bCs/>
                <w:color w:val="FFFFFF"/>
                <w:sz w:val="18"/>
                <w:szCs w:val="18"/>
                <w:lang w:val="en-US" w:eastAsia="en-US"/>
              </w:rPr>
            </w:pPr>
            <w:r w:rsidRPr="00AB27F7">
              <w:rPr>
                <w:rFonts w:ascii="Times New Roman" w:hAnsi="Times New Roman"/>
                <w:b/>
                <w:bCs/>
                <w:color w:val="FFFFFF"/>
                <w:sz w:val="18"/>
                <w:szCs w:val="18"/>
                <w:lang w:val="en-US" w:eastAsia="en-US"/>
              </w:rPr>
              <w:t xml:space="preserve">RD$1,184,039,081.00 </w:t>
            </w:r>
          </w:p>
        </w:tc>
      </w:tr>
    </w:tbl>
    <w:p w14:paraId="039FF238" w14:textId="77777777" w:rsidR="00382354" w:rsidRDefault="00382354" w:rsidP="00382354">
      <w:pPr>
        <w:spacing w:after="0" w:line="480" w:lineRule="auto"/>
        <w:rPr>
          <w:rFonts w:ascii="Times New Roman" w:hAnsi="Times New Roman"/>
        </w:rPr>
      </w:pPr>
    </w:p>
    <w:p w14:paraId="564F9617" w14:textId="77777777" w:rsidR="004F5C2C" w:rsidRDefault="00382354" w:rsidP="00382354">
      <w:pPr>
        <w:spacing w:after="0"/>
        <w:rPr>
          <w:rFonts w:ascii="Times New Roman" w:hAnsi="Times New Roman"/>
        </w:rPr>
        <w:sectPr w:rsidR="004F5C2C" w:rsidSect="00F23205">
          <w:headerReference w:type="default" r:id="rId124"/>
          <w:pgSz w:w="15840" w:h="12240" w:orient="landscape"/>
          <w:pgMar w:top="1276" w:right="851" w:bottom="851" w:left="1440" w:header="720" w:footer="720" w:gutter="0"/>
          <w:cols w:space="720"/>
          <w:docGrid w:linePitch="360"/>
        </w:sectPr>
      </w:pPr>
      <w:r>
        <w:rPr>
          <w:rFonts w:ascii="Times New Roman" w:hAnsi="Times New Roman"/>
        </w:rPr>
        <w:br w:type="page"/>
      </w:r>
    </w:p>
    <w:p w14:paraId="6A5B8F14" w14:textId="47914329" w:rsidR="00392CAF" w:rsidRPr="0098414F" w:rsidRDefault="004F5C2C" w:rsidP="004F5C2C">
      <w:pPr>
        <w:spacing w:after="0" w:line="480" w:lineRule="auto"/>
        <w:jc w:val="center"/>
        <w:rPr>
          <w:rFonts w:ascii="Times New Roman" w:hAnsi="Times New Roman"/>
          <w:b/>
          <w:sz w:val="28"/>
        </w:rPr>
      </w:pPr>
      <w:r>
        <w:rPr>
          <w:rFonts w:ascii="Times New Roman" w:hAnsi="Times New Roman"/>
          <w:noProof/>
          <w:lang w:eastAsia="es-DO"/>
        </w:rPr>
        <w:lastRenderedPageBreak/>
        <mc:AlternateContent>
          <mc:Choice Requires="wps">
            <w:drawing>
              <wp:anchor distT="0" distB="0" distL="114300" distR="114300" simplePos="0" relativeHeight="251731968" behindDoc="0" locked="0" layoutInCell="1" allowOverlap="1" wp14:anchorId="7EC08E0D" wp14:editId="307A17D1">
                <wp:simplePos x="0" y="0"/>
                <wp:positionH relativeFrom="column">
                  <wp:posOffset>7878726</wp:posOffset>
                </wp:positionH>
                <wp:positionV relativeFrom="paragraph">
                  <wp:posOffset>-406223</wp:posOffset>
                </wp:positionV>
                <wp:extent cx="946297" cy="350875"/>
                <wp:effectExtent l="0" t="0" r="25400" b="11430"/>
                <wp:wrapNone/>
                <wp:docPr id="193" name="Rectángulo 193"/>
                <wp:cNvGraphicFramePr/>
                <a:graphic xmlns:a="http://schemas.openxmlformats.org/drawingml/2006/main">
                  <a:graphicData uri="http://schemas.microsoft.com/office/word/2010/wordprocessingShape">
                    <wps:wsp>
                      <wps:cNvSpPr/>
                      <wps:spPr>
                        <a:xfrm>
                          <a:off x="0" y="0"/>
                          <a:ext cx="946297" cy="3508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rect w14:anchorId="5386286D" id="Rectángulo 193" o:spid="_x0000_s1026" style="position:absolute;margin-left:620.35pt;margin-top:-32pt;width:74.5pt;height:27.6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" fillcolor="white [3212]" strokecolor="white [3212]" strokeweight="2pt"/>
            </w:pict>
          </mc:Fallback>
        </mc:AlternateContent>
      </w:r>
    </w:p>
    <w:p w14:paraId="558CD15A" w14:textId="77777777" w:rsidR="00392CAF" w:rsidRPr="0098414F" w:rsidRDefault="00392CAF" w:rsidP="00392CAF">
      <w:pPr>
        <w:spacing w:after="0" w:line="480" w:lineRule="auto"/>
        <w:jc w:val="center"/>
        <w:rPr>
          <w:rFonts w:ascii="Times New Roman" w:hAnsi="Times New Roman"/>
          <w:b/>
          <w:sz w:val="28"/>
        </w:rPr>
      </w:pPr>
    </w:p>
    <w:p w14:paraId="16483BE5" w14:textId="77777777" w:rsidR="00392CAF" w:rsidRPr="0098414F" w:rsidRDefault="00392CAF" w:rsidP="00392CAF">
      <w:pPr>
        <w:spacing w:after="0" w:line="480" w:lineRule="auto"/>
        <w:jc w:val="center"/>
        <w:rPr>
          <w:rFonts w:ascii="Times New Roman" w:hAnsi="Times New Roman"/>
          <w:b/>
          <w:sz w:val="28"/>
        </w:rPr>
      </w:pPr>
    </w:p>
    <w:p w14:paraId="6C2E7DA1" w14:textId="77777777" w:rsidR="00392CAF" w:rsidRPr="0098414F" w:rsidRDefault="00392CAF" w:rsidP="00392CAF">
      <w:pPr>
        <w:spacing w:after="0" w:line="480" w:lineRule="auto"/>
        <w:jc w:val="center"/>
        <w:rPr>
          <w:rFonts w:ascii="Times New Roman" w:hAnsi="Times New Roman"/>
          <w:b/>
          <w:sz w:val="28"/>
        </w:rPr>
      </w:pPr>
    </w:p>
    <w:p w14:paraId="4E968798" w14:textId="77777777" w:rsidR="00392CAF" w:rsidRPr="0098414F" w:rsidRDefault="00392CAF" w:rsidP="00392CAF">
      <w:pPr>
        <w:spacing w:after="0" w:line="480" w:lineRule="auto"/>
        <w:jc w:val="center"/>
        <w:rPr>
          <w:rFonts w:ascii="Times New Roman" w:hAnsi="Times New Roman"/>
          <w:b/>
          <w:sz w:val="28"/>
        </w:rPr>
      </w:pPr>
    </w:p>
    <w:p w14:paraId="7FDCA0AA" w14:textId="77777777" w:rsidR="00392CAF" w:rsidRPr="0098414F" w:rsidRDefault="00392CAF" w:rsidP="00392CAF">
      <w:pPr>
        <w:spacing w:after="0" w:line="480" w:lineRule="auto"/>
        <w:jc w:val="center"/>
        <w:rPr>
          <w:rFonts w:ascii="Times New Roman" w:hAnsi="Times New Roman"/>
          <w:b/>
          <w:sz w:val="28"/>
        </w:rPr>
      </w:pPr>
      <w:r>
        <w:rPr>
          <w:rFonts w:ascii="Times New Roman" w:hAnsi="Times New Roman"/>
          <w:b/>
          <w:sz w:val="28"/>
        </w:rPr>
        <w:t>Anexo I</w:t>
      </w:r>
      <w:r w:rsidRPr="0098414F">
        <w:rPr>
          <w:rFonts w:ascii="Times New Roman" w:hAnsi="Times New Roman"/>
          <w:b/>
          <w:sz w:val="28"/>
        </w:rPr>
        <w:t>:</w:t>
      </w:r>
    </w:p>
    <w:p w14:paraId="4E0CA0C7" w14:textId="77777777" w:rsidR="00392CAF" w:rsidRDefault="00392CAF" w:rsidP="00392CAF">
      <w:pPr>
        <w:spacing w:after="0" w:line="480" w:lineRule="auto"/>
        <w:jc w:val="center"/>
        <w:rPr>
          <w:rFonts w:ascii="Times New Roman" w:hAnsi="Times New Roman"/>
          <w:b/>
          <w:sz w:val="28"/>
        </w:rPr>
      </w:pPr>
      <w:r>
        <w:rPr>
          <w:rFonts w:ascii="Times New Roman" w:hAnsi="Times New Roman"/>
          <w:b/>
          <w:sz w:val="28"/>
        </w:rPr>
        <w:t>Comportamiento de las precipitaciones a nivel nacional.</w:t>
      </w:r>
    </w:p>
    <w:p w14:paraId="5580D86B" w14:textId="77777777" w:rsidR="00392CAF" w:rsidRPr="0098414F" w:rsidRDefault="00392CAF" w:rsidP="00392CAF">
      <w:pPr>
        <w:spacing w:after="0" w:line="480" w:lineRule="auto"/>
        <w:jc w:val="center"/>
        <w:rPr>
          <w:rFonts w:ascii="Times New Roman" w:hAnsi="Times New Roman"/>
          <w:b/>
          <w:sz w:val="28"/>
        </w:rPr>
      </w:pPr>
    </w:p>
    <w:p w14:paraId="4AFB70D0" w14:textId="77777777" w:rsidR="00392CAF" w:rsidRPr="0098414F" w:rsidRDefault="00392CAF" w:rsidP="00392CAF">
      <w:pPr>
        <w:spacing w:after="0" w:line="480" w:lineRule="auto"/>
        <w:jc w:val="center"/>
        <w:rPr>
          <w:rFonts w:ascii="Times New Roman" w:hAnsi="Times New Roman"/>
          <w:b/>
          <w:sz w:val="28"/>
        </w:rPr>
      </w:pPr>
    </w:p>
    <w:p w14:paraId="2B23C3A4" w14:textId="77777777" w:rsidR="00392CAF" w:rsidRPr="0098414F" w:rsidRDefault="00392CAF" w:rsidP="00392CAF">
      <w:pPr>
        <w:spacing w:after="0" w:line="480" w:lineRule="auto"/>
        <w:jc w:val="center"/>
        <w:rPr>
          <w:rFonts w:ascii="Times New Roman" w:hAnsi="Times New Roman"/>
          <w:b/>
          <w:sz w:val="28"/>
        </w:rPr>
      </w:pPr>
    </w:p>
    <w:p w14:paraId="16152985" w14:textId="77777777" w:rsidR="00392CAF" w:rsidRDefault="00392CAF" w:rsidP="00392CAF">
      <w:pPr>
        <w:spacing w:after="0"/>
        <w:rPr>
          <w:rFonts w:ascii="Times New Roman" w:hAnsi="Times New Roman"/>
        </w:rPr>
      </w:pPr>
      <w:r w:rsidRPr="0098414F">
        <w:rPr>
          <w:rFonts w:ascii="Times New Roman" w:hAnsi="Times New Roman"/>
          <w:noProof/>
          <w:lang w:eastAsia="es-DO"/>
        </w:rPr>
        <mc:AlternateContent>
          <mc:Choice Requires="wps">
            <w:drawing>
              <wp:anchor distT="0" distB="0" distL="114300" distR="114300" simplePos="0" relativeHeight="251705344" behindDoc="0" locked="0" layoutInCell="1" allowOverlap="1" wp14:anchorId="41FA06A8" wp14:editId="587D07F2">
                <wp:simplePos x="0" y="0"/>
                <wp:positionH relativeFrom="margin">
                  <wp:posOffset>7278399</wp:posOffset>
                </wp:positionH>
                <wp:positionV relativeFrom="paragraph">
                  <wp:posOffset>1960156</wp:posOffset>
                </wp:positionV>
                <wp:extent cx="1402715" cy="425450"/>
                <wp:effectExtent l="0" t="0" r="26035" b="12700"/>
                <wp:wrapNone/>
                <wp:docPr id="27" name="4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71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5B77F781" id="48 Rectángulo" o:spid="_x0000_s1026" style="position:absolute;margin-left:573.1pt;margin-top:154.35pt;width:110.45pt;height:33.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" fillcolor="white [3212]" strokecolor="white [3212]" strokeweight="2pt">
                <v:path arrowok="t"/>
                <w10:wrap anchorx="margin"/>
              </v:rect>
            </w:pict>
          </mc:Fallback>
        </mc:AlternateContent>
      </w:r>
      <w:r w:rsidRPr="0098414F">
        <w:rPr>
          <w:rFonts w:ascii="Times New Roman" w:hAnsi="Times New Roman"/>
        </w:rPr>
        <w:br w:type="page"/>
      </w:r>
    </w:p>
    <w:p w14:paraId="0944F4BA" w14:textId="77777777" w:rsidR="00A57704" w:rsidRPr="003B2E97" w:rsidRDefault="00A57704" w:rsidP="00392CAF">
      <w:pPr>
        <w:spacing w:after="0"/>
        <w:rPr>
          <w:rFonts w:ascii="Times New Roman" w:hAnsi="Times New Roman"/>
        </w:rPr>
        <w:sectPr w:rsidR="00A57704" w:rsidRPr="003B2E97" w:rsidSect="00F23205">
          <w:headerReference w:type="default" r:id="rId125"/>
          <w:pgSz w:w="15840" w:h="12240" w:orient="landscape"/>
          <w:pgMar w:top="1276" w:right="851" w:bottom="851" w:left="1440" w:header="720" w:footer="720" w:gutter="0"/>
          <w:cols w:space="720"/>
          <w:docGrid w:linePitch="360"/>
        </w:sectPr>
      </w:pPr>
    </w:p>
    <w:tbl>
      <w:tblPr>
        <w:tblW w:w="12712" w:type="dxa"/>
        <w:jc w:val="center"/>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A57704" w:rsidRPr="00C83490" w14:paraId="6A8B7601" w14:textId="77777777" w:rsidTr="00E331D5">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03F6DE9F"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lastRenderedPageBreak/>
              <w:t>Hato Mayor</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30C71BA1"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617BCD39"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657CE676"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03A22625"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7E9E14C8"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1903778"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64AC9EFA"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D5BD95A"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7AE2730"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F223FF1"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6FFBE2C7"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2D37F184"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56392D4B"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Año</w:t>
            </w:r>
          </w:p>
        </w:tc>
      </w:tr>
      <w:tr w:rsidR="00A57704" w:rsidRPr="00C83490" w14:paraId="3C9D5936" w14:textId="77777777" w:rsidTr="00A57704">
        <w:trPr>
          <w:trHeight w:val="300"/>
          <w:jc w:val="center"/>
        </w:trPr>
        <w:tc>
          <w:tcPr>
            <w:tcW w:w="2212" w:type="dxa"/>
            <w:tcBorders>
              <w:top w:val="nil"/>
              <w:left w:val="single" w:sz="4" w:space="0" w:color="auto"/>
              <w:bottom w:val="single" w:sz="4" w:space="0" w:color="auto"/>
              <w:right w:val="single" w:sz="4" w:space="0" w:color="auto"/>
            </w:tcBorders>
            <w:shd w:val="clear" w:color="auto" w:fill="auto"/>
            <w:noWrap/>
            <w:vAlign w:val="bottom"/>
            <w:hideMark/>
          </w:tcPr>
          <w:p w14:paraId="033AE374" w14:textId="77777777" w:rsidR="00A57704" w:rsidRPr="00C83490" w:rsidRDefault="00A57704" w:rsidP="00A57704">
            <w:pPr>
              <w:spacing w:after="0"/>
              <w:rPr>
                <w:rFonts w:ascii="Times New Roman" w:hAnsi="Times New Roman"/>
                <w:color w:val="000000"/>
                <w:lang w:eastAsia="es-DO"/>
              </w:rPr>
            </w:pPr>
            <w:r w:rsidRPr="00C83490">
              <w:rPr>
                <w:rFonts w:ascii="Times New Roman" w:hAnsi="Times New Roman"/>
                <w:color w:val="000000"/>
                <w:lang w:eastAsia="es-DO"/>
              </w:rPr>
              <w:t>Normal</w:t>
            </w:r>
          </w:p>
        </w:tc>
        <w:tc>
          <w:tcPr>
            <w:tcW w:w="760" w:type="dxa"/>
            <w:tcBorders>
              <w:top w:val="nil"/>
              <w:left w:val="nil"/>
              <w:bottom w:val="single" w:sz="4" w:space="0" w:color="auto"/>
              <w:right w:val="single" w:sz="4" w:space="0" w:color="auto"/>
            </w:tcBorders>
            <w:shd w:val="clear" w:color="auto" w:fill="auto"/>
            <w:noWrap/>
            <w:vAlign w:val="center"/>
            <w:hideMark/>
          </w:tcPr>
          <w:p w14:paraId="05347983" w14:textId="77777777" w:rsidR="00A57704" w:rsidRPr="000D7E29" w:rsidRDefault="00A57704" w:rsidP="00A57704">
            <w:pPr>
              <w:spacing w:after="0"/>
              <w:jc w:val="center"/>
              <w:rPr>
                <w:rFonts w:ascii="Times New Roman" w:hAnsi="Times New Roman"/>
                <w:szCs w:val="22"/>
                <w:lang w:eastAsia="es-DO"/>
              </w:rPr>
            </w:pPr>
            <w:r w:rsidRPr="000D7E29">
              <w:rPr>
                <w:rFonts w:ascii="Times New Roman" w:hAnsi="Times New Roman"/>
                <w:szCs w:val="22"/>
              </w:rPr>
              <w:t>61.0</w:t>
            </w:r>
          </w:p>
        </w:tc>
        <w:tc>
          <w:tcPr>
            <w:tcW w:w="760" w:type="dxa"/>
            <w:tcBorders>
              <w:top w:val="nil"/>
              <w:left w:val="nil"/>
              <w:bottom w:val="single" w:sz="4" w:space="0" w:color="auto"/>
              <w:right w:val="single" w:sz="4" w:space="0" w:color="auto"/>
            </w:tcBorders>
            <w:shd w:val="clear" w:color="auto" w:fill="auto"/>
            <w:noWrap/>
            <w:vAlign w:val="center"/>
            <w:hideMark/>
          </w:tcPr>
          <w:p w14:paraId="49265C0D" w14:textId="77777777" w:rsidR="00A57704" w:rsidRPr="000D7E29" w:rsidRDefault="00A57704" w:rsidP="00A57704">
            <w:pPr>
              <w:spacing w:after="0"/>
              <w:jc w:val="center"/>
              <w:rPr>
                <w:rFonts w:ascii="Times New Roman" w:hAnsi="Times New Roman"/>
                <w:szCs w:val="22"/>
              </w:rPr>
            </w:pPr>
            <w:r w:rsidRPr="000D7E29">
              <w:rPr>
                <w:rFonts w:ascii="Times New Roman" w:hAnsi="Times New Roman"/>
                <w:szCs w:val="22"/>
              </w:rPr>
              <w:t>50.1</w:t>
            </w:r>
          </w:p>
        </w:tc>
        <w:tc>
          <w:tcPr>
            <w:tcW w:w="720" w:type="dxa"/>
            <w:tcBorders>
              <w:top w:val="nil"/>
              <w:left w:val="nil"/>
              <w:bottom w:val="single" w:sz="4" w:space="0" w:color="auto"/>
              <w:right w:val="single" w:sz="4" w:space="0" w:color="auto"/>
            </w:tcBorders>
            <w:shd w:val="clear" w:color="auto" w:fill="auto"/>
            <w:noWrap/>
            <w:vAlign w:val="center"/>
            <w:hideMark/>
          </w:tcPr>
          <w:p w14:paraId="5FA637CD" w14:textId="77777777" w:rsidR="00A57704" w:rsidRPr="000D7E29" w:rsidRDefault="00A57704" w:rsidP="00A57704">
            <w:pPr>
              <w:spacing w:after="0"/>
              <w:jc w:val="center"/>
              <w:rPr>
                <w:rFonts w:ascii="Times New Roman" w:hAnsi="Times New Roman"/>
                <w:szCs w:val="22"/>
              </w:rPr>
            </w:pPr>
            <w:r w:rsidRPr="000D7E29">
              <w:rPr>
                <w:rFonts w:ascii="Times New Roman" w:hAnsi="Times New Roman"/>
                <w:szCs w:val="22"/>
              </w:rPr>
              <w:t>70.8</w:t>
            </w:r>
          </w:p>
        </w:tc>
        <w:tc>
          <w:tcPr>
            <w:tcW w:w="820" w:type="dxa"/>
            <w:tcBorders>
              <w:top w:val="nil"/>
              <w:left w:val="nil"/>
              <w:bottom w:val="single" w:sz="4" w:space="0" w:color="auto"/>
              <w:right w:val="single" w:sz="4" w:space="0" w:color="auto"/>
            </w:tcBorders>
            <w:shd w:val="clear" w:color="auto" w:fill="auto"/>
            <w:noWrap/>
            <w:vAlign w:val="center"/>
            <w:hideMark/>
          </w:tcPr>
          <w:p w14:paraId="06B7A345" w14:textId="77777777" w:rsidR="00A57704" w:rsidRPr="000D7E29" w:rsidRDefault="00A57704" w:rsidP="00A57704">
            <w:pPr>
              <w:spacing w:after="0"/>
              <w:jc w:val="center"/>
              <w:rPr>
                <w:rFonts w:ascii="Times New Roman" w:hAnsi="Times New Roman"/>
                <w:szCs w:val="22"/>
              </w:rPr>
            </w:pPr>
            <w:r w:rsidRPr="000D7E29">
              <w:rPr>
                <w:rFonts w:ascii="Times New Roman" w:hAnsi="Times New Roman"/>
                <w:szCs w:val="22"/>
              </w:rPr>
              <w:t>130.1</w:t>
            </w:r>
          </w:p>
        </w:tc>
        <w:tc>
          <w:tcPr>
            <w:tcW w:w="820" w:type="dxa"/>
            <w:tcBorders>
              <w:top w:val="nil"/>
              <w:left w:val="nil"/>
              <w:bottom w:val="single" w:sz="4" w:space="0" w:color="auto"/>
              <w:right w:val="single" w:sz="4" w:space="0" w:color="auto"/>
            </w:tcBorders>
            <w:shd w:val="clear" w:color="auto" w:fill="auto"/>
            <w:noWrap/>
            <w:vAlign w:val="center"/>
            <w:hideMark/>
          </w:tcPr>
          <w:p w14:paraId="4DFF41D7" w14:textId="77777777" w:rsidR="00A57704" w:rsidRPr="000D7E29" w:rsidRDefault="00A57704" w:rsidP="00A57704">
            <w:pPr>
              <w:spacing w:after="0"/>
              <w:jc w:val="center"/>
              <w:rPr>
                <w:rFonts w:ascii="Times New Roman" w:hAnsi="Times New Roman"/>
                <w:szCs w:val="22"/>
              </w:rPr>
            </w:pPr>
            <w:r w:rsidRPr="000D7E29">
              <w:rPr>
                <w:rFonts w:ascii="Times New Roman" w:hAnsi="Times New Roman"/>
                <w:szCs w:val="22"/>
              </w:rPr>
              <w:t>226.5</w:t>
            </w:r>
          </w:p>
        </w:tc>
        <w:tc>
          <w:tcPr>
            <w:tcW w:w="820" w:type="dxa"/>
            <w:tcBorders>
              <w:top w:val="nil"/>
              <w:left w:val="nil"/>
              <w:bottom w:val="single" w:sz="4" w:space="0" w:color="auto"/>
              <w:right w:val="single" w:sz="4" w:space="0" w:color="auto"/>
            </w:tcBorders>
            <w:shd w:val="clear" w:color="auto" w:fill="auto"/>
            <w:noWrap/>
            <w:vAlign w:val="center"/>
            <w:hideMark/>
          </w:tcPr>
          <w:p w14:paraId="548DC2A6" w14:textId="77777777" w:rsidR="00A57704" w:rsidRPr="000D7E29" w:rsidRDefault="00A57704" w:rsidP="00A57704">
            <w:pPr>
              <w:spacing w:after="0"/>
              <w:jc w:val="center"/>
              <w:rPr>
                <w:rFonts w:ascii="Times New Roman" w:hAnsi="Times New Roman"/>
                <w:szCs w:val="22"/>
              </w:rPr>
            </w:pPr>
            <w:r w:rsidRPr="000D7E29">
              <w:rPr>
                <w:rFonts w:ascii="Times New Roman" w:hAnsi="Times New Roman"/>
                <w:szCs w:val="22"/>
              </w:rPr>
              <w:t>159.7</w:t>
            </w:r>
          </w:p>
        </w:tc>
        <w:tc>
          <w:tcPr>
            <w:tcW w:w="760" w:type="dxa"/>
            <w:tcBorders>
              <w:top w:val="nil"/>
              <w:left w:val="nil"/>
              <w:bottom w:val="single" w:sz="4" w:space="0" w:color="auto"/>
              <w:right w:val="single" w:sz="4" w:space="0" w:color="auto"/>
            </w:tcBorders>
            <w:shd w:val="clear" w:color="auto" w:fill="auto"/>
            <w:noWrap/>
            <w:vAlign w:val="center"/>
            <w:hideMark/>
          </w:tcPr>
          <w:p w14:paraId="5D714992" w14:textId="77777777" w:rsidR="00A57704" w:rsidRPr="000D7E29" w:rsidRDefault="00A57704" w:rsidP="00A57704">
            <w:pPr>
              <w:spacing w:after="0"/>
              <w:jc w:val="center"/>
              <w:rPr>
                <w:rFonts w:ascii="Times New Roman" w:hAnsi="Times New Roman"/>
                <w:szCs w:val="22"/>
              </w:rPr>
            </w:pPr>
            <w:r w:rsidRPr="000D7E29">
              <w:rPr>
                <w:rFonts w:ascii="Times New Roman" w:hAnsi="Times New Roman"/>
                <w:szCs w:val="22"/>
              </w:rPr>
              <w:t>129.6</w:t>
            </w:r>
          </w:p>
        </w:tc>
        <w:tc>
          <w:tcPr>
            <w:tcW w:w="820" w:type="dxa"/>
            <w:tcBorders>
              <w:top w:val="nil"/>
              <w:left w:val="nil"/>
              <w:bottom w:val="single" w:sz="4" w:space="0" w:color="auto"/>
              <w:right w:val="single" w:sz="4" w:space="0" w:color="auto"/>
            </w:tcBorders>
            <w:shd w:val="clear" w:color="auto" w:fill="auto"/>
            <w:noWrap/>
            <w:vAlign w:val="center"/>
            <w:hideMark/>
          </w:tcPr>
          <w:p w14:paraId="5E205C20" w14:textId="77777777" w:rsidR="00A57704" w:rsidRPr="000D7E29" w:rsidRDefault="00A57704" w:rsidP="00A57704">
            <w:pPr>
              <w:spacing w:after="0"/>
              <w:jc w:val="center"/>
              <w:rPr>
                <w:rFonts w:ascii="Times New Roman" w:hAnsi="Times New Roman"/>
                <w:szCs w:val="22"/>
              </w:rPr>
            </w:pPr>
            <w:r w:rsidRPr="000D7E29">
              <w:rPr>
                <w:rFonts w:ascii="Times New Roman" w:hAnsi="Times New Roman"/>
                <w:szCs w:val="22"/>
              </w:rPr>
              <w:t>201.6</w:t>
            </w:r>
          </w:p>
        </w:tc>
        <w:tc>
          <w:tcPr>
            <w:tcW w:w="820" w:type="dxa"/>
            <w:tcBorders>
              <w:top w:val="nil"/>
              <w:left w:val="nil"/>
              <w:bottom w:val="single" w:sz="4" w:space="0" w:color="auto"/>
              <w:right w:val="single" w:sz="4" w:space="0" w:color="auto"/>
            </w:tcBorders>
            <w:shd w:val="clear" w:color="auto" w:fill="auto"/>
            <w:noWrap/>
            <w:vAlign w:val="center"/>
            <w:hideMark/>
          </w:tcPr>
          <w:p w14:paraId="1A7B1BA8" w14:textId="77777777" w:rsidR="00A57704" w:rsidRPr="000D7E29" w:rsidRDefault="00A57704" w:rsidP="00A57704">
            <w:pPr>
              <w:spacing w:after="0"/>
              <w:jc w:val="center"/>
              <w:rPr>
                <w:rFonts w:ascii="Times New Roman" w:hAnsi="Times New Roman"/>
                <w:szCs w:val="22"/>
              </w:rPr>
            </w:pPr>
            <w:r w:rsidRPr="000D7E29">
              <w:rPr>
                <w:rFonts w:ascii="Times New Roman" w:hAnsi="Times New Roman"/>
                <w:szCs w:val="22"/>
              </w:rPr>
              <w:t>204.8</w:t>
            </w:r>
          </w:p>
        </w:tc>
        <w:tc>
          <w:tcPr>
            <w:tcW w:w="820" w:type="dxa"/>
            <w:tcBorders>
              <w:top w:val="nil"/>
              <w:left w:val="nil"/>
              <w:bottom w:val="single" w:sz="4" w:space="0" w:color="auto"/>
              <w:right w:val="single" w:sz="4" w:space="0" w:color="auto"/>
            </w:tcBorders>
            <w:shd w:val="clear" w:color="auto" w:fill="auto"/>
            <w:noWrap/>
            <w:vAlign w:val="center"/>
            <w:hideMark/>
          </w:tcPr>
          <w:p w14:paraId="7FE0C24F" w14:textId="77777777" w:rsidR="00A57704" w:rsidRPr="000D7E29" w:rsidRDefault="00A57704" w:rsidP="00A57704">
            <w:pPr>
              <w:spacing w:after="0"/>
              <w:jc w:val="center"/>
              <w:rPr>
                <w:rFonts w:ascii="Times New Roman" w:hAnsi="Times New Roman"/>
                <w:szCs w:val="22"/>
              </w:rPr>
            </w:pPr>
            <w:r w:rsidRPr="000D7E29">
              <w:rPr>
                <w:rFonts w:ascii="Times New Roman" w:hAnsi="Times New Roman"/>
                <w:szCs w:val="22"/>
              </w:rPr>
              <w:t>236.4</w:t>
            </w:r>
          </w:p>
        </w:tc>
        <w:tc>
          <w:tcPr>
            <w:tcW w:w="760" w:type="dxa"/>
            <w:tcBorders>
              <w:top w:val="nil"/>
              <w:left w:val="nil"/>
              <w:bottom w:val="single" w:sz="4" w:space="0" w:color="auto"/>
              <w:right w:val="single" w:sz="4" w:space="0" w:color="auto"/>
            </w:tcBorders>
            <w:shd w:val="clear" w:color="auto" w:fill="auto"/>
            <w:noWrap/>
            <w:vAlign w:val="center"/>
            <w:hideMark/>
          </w:tcPr>
          <w:p w14:paraId="6C8B5F6F" w14:textId="77777777" w:rsidR="00A57704" w:rsidRPr="000D7E29" w:rsidRDefault="00A57704" w:rsidP="00A57704">
            <w:pPr>
              <w:spacing w:after="0"/>
              <w:jc w:val="center"/>
              <w:rPr>
                <w:rFonts w:ascii="Times New Roman" w:hAnsi="Times New Roman"/>
                <w:szCs w:val="22"/>
              </w:rPr>
            </w:pPr>
            <w:r w:rsidRPr="000D7E29">
              <w:rPr>
                <w:rFonts w:ascii="Times New Roman" w:hAnsi="Times New Roman"/>
                <w:szCs w:val="22"/>
              </w:rPr>
              <w:t>109.1</w:t>
            </w:r>
          </w:p>
        </w:tc>
        <w:tc>
          <w:tcPr>
            <w:tcW w:w="720" w:type="dxa"/>
            <w:tcBorders>
              <w:top w:val="nil"/>
              <w:left w:val="nil"/>
              <w:bottom w:val="single" w:sz="4" w:space="0" w:color="auto"/>
              <w:right w:val="single" w:sz="4" w:space="0" w:color="auto"/>
            </w:tcBorders>
            <w:shd w:val="clear" w:color="auto" w:fill="auto"/>
            <w:noWrap/>
            <w:vAlign w:val="center"/>
            <w:hideMark/>
          </w:tcPr>
          <w:p w14:paraId="39D92694" w14:textId="77777777" w:rsidR="00A57704" w:rsidRPr="000D7E29" w:rsidRDefault="00A57704" w:rsidP="00A57704">
            <w:pPr>
              <w:spacing w:after="0"/>
              <w:jc w:val="center"/>
              <w:rPr>
                <w:rFonts w:ascii="Times New Roman" w:hAnsi="Times New Roman"/>
                <w:szCs w:val="22"/>
              </w:rPr>
            </w:pPr>
            <w:r w:rsidRPr="000D7E29">
              <w:rPr>
                <w:rFonts w:ascii="Times New Roman" w:hAnsi="Times New Roman"/>
                <w:szCs w:val="22"/>
              </w:rPr>
              <w:t>61.8</w:t>
            </w:r>
          </w:p>
        </w:tc>
        <w:tc>
          <w:tcPr>
            <w:tcW w:w="1100" w:type="dxa"/>
            <w:tcBorders>
              <w:top w:val="nil"/>
              <w:left w:val="nil"/>
              <w:bottom w:val="single" w:sz="4" w:space="0" w:color="auto"/>
              <w:right w:val="single" w:sz="4" w:space="0" w:color="auto"/>
            </w:tcBorders>
            <w:shd w:val="clear" w:color="auto" w:fill="auto"/>
            <w:noWrap/>
            <w:vAlign w:val="center"/>
            <w:hideMark/>
          </w:tcPr>
          <w:p w14:paraId="5AA9BBFA" w14:textId="77777777" w:rsidR="00A57704" w:rsidRPr="000D7E29" w:rsidRDefault="00A57704" w:rsidP="00A57704">
            <w:pPr>
              <w:spacing w:after="0"/>
              <w:jc w:val="center"/>
              <w:rPr>
                <w:rFonts w:ascii="Times New Roman" w:hAnsi="Times New Roman"/>
                <w:szCs w:val="22"/>
              </w:rPr>
            </w:pPr>
            <w:r w:rsidRPr="000D7E29">
              <w:rPr>
                <w:rFonts w:ascii="Times New Roman" w:hAnsi="Times New Roman"/>
                <w:szCs w:val="22"/>
              </w:rPr>
              <w:t>1,641.5</w:t>
            </w:r>
          </w:p>
        </w:tc>
      </w:tr>
      <w:tr w:rsidR="00A57704" w:rsidRPr="00C83490" w14:paraId="2814D6B0" w14:textId="77777777" w:rsidTr="00A57704">
        <w:trPr>
          <w:trHeight w:val="300"/>
          <w:jc w:val="center"/>
        </w:trPr>
        <w:tc>
          <w:tcPr>
            <w:tcW w:w="2212" w:type="dxa"/>
            <w:tcBorders>
              <w:top w:val="nil"/>
              <w:left w:val="single" w:sz="4" w:space="0" w:color="auto"/>
              <w:bottom w:val="single" w:sz="4" w:space="0" w:color="auto"/>
              <w:right w:val="single" w:sz="4" w:space="0" w:color="auto"/>
            </w:tcBorders>
            <w:shd w:val="clear" w:color="auto" w:fill="auto"/>
            <w:noWrap/>
            <w:vAlign w:val="bottom"/>
            <w:hideMark/>
          </w:tcPr>
          <w:p w14:paraId="7B743BF7" w14:textId="77777777" w:rsidR="00A57704" w:rsidRPr="00C83490" w:rsidRDefault="00A57704" w:rsidP="00A57704">
            <w:pPr>
              <w:spacing w:after="0"/>
              <w:ind w:left="708" w:hanging="708"/>
              <w:rPr>
                <w:rFonts w:ascii="Times New Roman" w:hAnsi="Times New Roman"/>
                <w:color w:val="000000"/>
                <w:lang w:eastAsia="es-DO"/>
              </w:rPr>
            </w:pPr>
            <w:r w:rsidRPr="00C83490">
              <w:rPr>
                <w:rFonts w:ascii="Times New Roman" w:hAnsi="Times New Roman"/>
                <w:color w:val="000000"/>
                <w:lang w:eastAsia="es-DO"/>
              </w:rPr>
              <w:t xml:space="preserve">Precipitación </w:t>
            </w:r>
            <w:r>
              <w:rPr>
                <w:rFonts w:ascii="Times New Roman" w:hAnsi="Times New Roman"/>
                <w:color w:val="000000"/>
                <w:lang w:eastAsia="es-DO"/>
              </w:rPr>
              <w:t>2019</w:t>
            </w:r>
          </w:p>
        </w:tc>
        <w:tc>
          <w:tcPr>
            <w:tcW w:w="760" w:type="dxa"/>
            <w:tcBorders>
              <w:top w:val="nil"/>
              <w:left w:val="nil"/>
              <w:bottom w:val="single" w:sz="4" w:space="0" w:color="auto"/>
              <w:right w:val="single" w:sz="4" w:space="0" w:color="auto"/>
            </w:tcBorders>
            <w:shd w:val="clear" w:color="auto" w:fill="auto"/>
            <w:noWrap/>
            <w:vAlign w:val="center"/>
            <w:hideMark/>
          </w:tcPr>
          <w:p w14:paraId="352D5A48" w14:textId="77777777" w:rsidR="00A57704" w:rsidRPr="000D7E29" w:rsidRDefault="00A57704" w:rsidP="00A57704">
            <w:pPr>
              <w:spacing w:after="0"/>
              <w:jc w:val="center"/>
              <w:rPr>
                <w:rFonts w:ascii="Times New Roman" w:hAnsi="Times New Roman"/>
                <w:color w:val="000000"/>
                <w:szCs w:val="22"/>
              </w:rPr>
            </w:pPr>
            <w:r w:rsidRPr="000D7E29">
              <w:rPr>
                <w:rFonts w:ascii="Times New Roman" w:hAnsi="Times New Roman"/>
                <w:color w:val="000000"/>
                <w:szCs w:val="22"/>
              </w:rPr>
              <w:t>127.4</w:t>
            </w:r>
          </w:p>
        </w:tc>
        <w:tc>
          <w:tcPr>
            <w:tcW w:w="760" w:type="dxa"/>
            <w:tcBorders>
              <w:top w:val="nil"/>
              <w:left w:val="nil"/>
              <w:bottom w:val="single" w:sz="4" w:space="0" w:color="auto"/>
              <w:right w:val="single" w:sz="4" w:space="0" w:color="auto"/>
            </w:tcBorders>
            <w:shd w:val="clear" w:color="auto" w:fill="auto"/>
            <w:noWrap/>
            <w:vAlign w:val="center"/>
            <w:hideMark/>
          </w:tcPr>
          <w:p w14:paraId="27ED5732" w14:textId="77777777" w:rsidR="00A57704" w:rsidRPr="000D7E29" w:rsidRDefault="00A57704" w:rsidP="00A57704">
            <w:pPr>
              <w:spacing w:after="0"/>
              <w:jc w:val="center"/>
              <w:rPr>
                <w:rFonts w:ascii="Times New Roman" w:hAnsi="Times New Roman"/>
                <w:color w:val="000000"/>
                <w:szCs w:val="22"/>
              </w:rPr>
            </w:pPr>
            <w:r w:rsidRPr="000D7E29">
              <w:rPr>
                <w:rFonts w:ascii="Times New Roman" w:hAnsi="Times New Roman"/>
                <w:color w:val="000000"/>
                <w:szCs w:val="22"/>
              </w:rPr>
              <w:t>35.9</w:t>
            </w:r>
          </w:p>
        </w:tc>
        <w:tc>
          <w:tcPr>
            <w:tcW w:w="720" w:type="dxa"/>
            <w:tcBorders>
              <w:top w:val="nil"/>
              <w:left w:val="nil"/>
              <w:bottom w:val="single" w:sz="4" w:space="0" w:color="auto"/>
              <w:right w:val="single" w:sz="4" w:space="0" w:color="auto"/>
            </w:tcBorders>
            <w:shd w:val="clear" w:color="auto" w:fill="auto"/>
            <w:noWrap/>
            <w:vAlign w:val="center"/>
            <w:hideMark/>
          </w:tcPr>
          <w:p w14:paraId="5736E73D" w14:textId="77777777" w:rsidR="00A57704" w:rsidRPr="000D7E29" w:rsidRDefault="00A57704" w:rsidP="00A57704">
            <w:pPr>
              <w:spacing w:after="0"/>
              <w:jc w:val="center"/>
              <w:rPr>
                <w:rFonts w:ascii="Times New Roman" w:hAnsi="Times New Roman"/>
                <w:color w:val="000000"/>
                <w:szCs w:val="22"/>
              </w:rPr>
            </w:pPr>
            <w:r w:rsidRPr="000D7E29">
              <w:rPr>
                <w:rFonts w:ascii="Times New Roman" w:hAnsi="Times New Roman"/>
                <w:color w:val="000000"/>
                <w:szCs w:val="22"/>
              </w:rPr>
              <w:t>162.1</w:t>
            </w:r>
          </w:p>
        </w:tc>
        <w:tc>
          <w:tcPr>
            <w:tcW w:w="820" w:type="dxa"/>
            <w:tcBorders>
              <w:top w:val="nil"/>
              <w:left w:val="nil"/>
              <w:bottom w:val="single" w:sz="4" w:space="0" w:color="auto"/>
              <w:right w:val="single" w:sz="4" w:space="0" w:color="auto"/>
            </w:tcBorders>
            <w:shd w:val="clear" w:color="auto" w:fill="auto"/>
            <w:noWrap/>
            <w:vAlign w:val="center"/>
            <w:hideMark/>
          </w:tcPr>
          <w:p w14:paraId="7051F356" w14:textId="77777777" w:rsidR="00A57704" w:rsidRPr="000D7E29" w:rsidRDefault="00A57704" w:rsidP="00A57704">
            <w:pPr>
              <w:spacing w:after="0"/>
              <w:jc w:val="center"/>
              <w:rPr>
                <w:rFonts w:ascii="Times New Roman" w:hAnsi="Times New Roman"/>
                <w:color w:val="000000"/>
                <w:szCs w:val="22"/>
              </w:rPr>
            </w:pPr>
            <w:r w:rsidRPr="000D7E29">
              <w:rPr>
                <w:rFonts w:ascii="Times New Roman" w:hAnsi="Times New Roman"/>
                <w:color w:val="000000"/>
                <w:szCs w:val="22"/>
              </w:rPr>
              <w:t>70.0</w:t>
            </w:r>
          </w:p>
        </w:tc>
        <w:tc>
          <w:tcPr>
            <w:tcW w:w="820" w:type="dxa"/>
            <w:tcBorders>
              <w:top w:val="nil"/>
              <w:left w:val="nil"/>
              <w:bottom w:val="single" w:sz="4" w:space="0" w:color="auto"/>
              <w:right w:val="single" w:sz="4" w:space="0" w:color="auto"/>
            </w:tcBorders>
            <w:shd w:val="clear" w:color="auto" w:fill="auto"/>
            <w:noWrap/>
            <w:vAlign w:val="center"/>
            <w:hideMark/>
          </w:tcPr>
          <w:p w14:paraId="12F124D4" w14:textId="77777777" w:rsidR="00A57704" w:rsidRPr="000D7E29" w:rsidRDefault="00A57704" w:rsidP="00A57704">
            <w:pPr>
              <w:spacing w:after="0"/>
              <w:jc w:val="center"/>
              <w:rPr>
                <w:rFonts w:ascii="Times New Roman" w:hAnsi="Times New Roman"/>
                <w:color w:val="000000"/>
                <w:szCs w:val="22"/>
              </w:rPr>
            </w:pPr>
            <w:r w:rsidRPr="000D7E29">
              <w:rPr>
                <w:rFonts w:ascii="Times New Roman" w:hAnsi="Times New Roman"/>
                <w:color w:val="000000"/>
                <w:szCs w:val="22"/>
              </w:rPr>
              <w:t>414.0</w:t>
            </w:r>
          </w:p>
        </w:tc>
        <w:tc>
          <w:tcPr>
            <w:tcW w:w="820" w:type="dxa"/>
            <w:tcBorders>
              <w:top w:val="nil"/>
              <w:left w:val="nil"/>
              <w:bottom w:val="single" w:sz="4" w:space="0" w:color="auto"/>
              <w:right w:val="single" w:sz="4" w:space="0" w:color="auto"/>
            </w:tcBorders>
            <w:shd w:val="clear" w:color="auto" w:fill="auto"/>
            <w:noWrap/>
            <w:vAlign w:val="center"/>
            <w:hideMark/>
          </w:tcPr>
          <w:p w14:paraId="481E92C9" w14:textId="77777777" w:rsidR="00A57704" w:rsidRPr="000D7E29" w:rsidRDefault="00A57704" w:rsidP="00A57704">
            <w:pPr>
              <w:spacing w:after="0"/>
              <w:jc w:val="center"/>
              <w:rPr>
                <w:rFonts w:ascii="Times New Roman" w:hAnsi="Times New Roman"/>
                <w:color w:val="000000"/>
                <w:szCs w:val="22"/>
              </w:rPr>
            </w:pPr>
            <w:r w:rsidRPr="000D7E29">
              <w:rPr>
                <w:rFonts w:ascii="Times New Roman" w:hAnsi="Times New Roman"/>
                <w:color w:val="000000"/>
                <w:szCs w:val="22"/>
              </w:rPr>
              <w:t>103.6</w:t>
            </w:r>
          </w:p>
        </w:tc>
        <w:tc>
          <w:tcPr>
            <w:tcW w:w="760" w:type="dxa"/>
            <w:tcBorders>
              <w:top w:val="nil"/>
              <w:left w:val="nil"/>
              <w:bottom w:val="single" w:sz="4" w:space="0" w:color="auto"/>
              <w:right w:val="single" w:sz="4" w:space="0" w:color="auto"/>
            </w:tcBorders>
            <w:shd w:val="clear" w:color="auto" w:fill="auto"/>
            <w:noWrap/>
            <w:vAlign w:val="center"/>
            <w:hideMark/>
          </w:tcPr>
          <w:p w14:paraId="57F20495" w14:textId="77777777" w:rsidR="00A57704" w:rsidRPr="000D7E29" w:rsidRDefault="00A57704" w:rsidP="00A57704">
            <w:pPr>
              <w:spacing w:after="0"/>
              <w:jc w:val="center"/>
              <w:rPr>
                <w:rFonts w:ascii="Times New Roman" w:hAnsi="Times New Roman"/>
                <w:color w:val="000000"/>
                <w:szCs w:val="22"/>
              </w:rPr>
            </w:pPr>
            <w:r w:rsidRPr="000D7E29">
              <w:rPr>
                <w:rFonts w:ascii="Times New Roman" w:hAnsi="Times New Roman"/>
                <w:color w:val="000000"/>
                <w:szCs w:val="22"/>
              </w:rPr>
              <w:t>184.2</w:t>
            </w:r>
          </w:p>
        </w:tc>
        <w:tc>
          <w:tcPr>
            <w:tcW w:w="820" w:type="dxa"/>
            <w:tcBorders>
              <w:top w:val="nil"/>
              <w:left w:val="nil"/>
              <w:bottom w:val="single" w:sz="4" w:space="0" w:color="auto"/>
              <w:right w:val="single" w:sz="4" w:space="0" w:color="auto"/>
            </w:tcBorders>
            <w:shd w:val="clear" w:color="auto" w:fill="auto"/>
            <w:noWrap/>
            <w:vAlign w:val="center"/>
            <w:hideMark/>
          </w:tcPr>
          <w:p w14:paraId="7AA6A09E" w14:textId="77777777" w:rsidR="00A57704" w:rsidRPr="000D7E29" w:rsidRDefault="00A57704" w:rsidP="00A57704">
            <w:pPr>
              <w:spacing w:after="0"/>
              <w:jc w:val="center"/>
              <w:rPr>
                <w:rFonts w:ascii="Times New Roman" w:hAnsi="Times New Roman"/>
                <w:color w:val="000000"/>
                <w:szCs w:val="22"/>
              </w:rPr>
            </w:pPr>
            <w:r w:rsidRPr="000D7E29">
              <w:rPr>
                <w:rFonts w:ascii="Times New Roman" w:hAnsi="Times New Roman"/>
                <w:color w:val="000000"/>
                <w:szCs w:val="22"/>
              </w:rPr>
              <w:t>173.9</w:t>
            </w:r>
          </w:p>
        </w:tc>
        <w:tc>
          <w:tcPr>
            <w:tcW w:w="820" w:type="dxa"/>
            <w:tcBorders>
              <w:top w:val="nil"/>
              <w:left w:val="nil"/>
              <w:bottom w:val="single" w:sz="4" w:space="0" w:color="auto"/>
              <w:right w:val="single" w:sz="4" w:space="0" w:color="auto"/>
            </w:tcBorders>
            <w:shd w:val="clear" w:color="auto" w:fill="auto"/>
            <w:noWrap/>
            <w:vAlign w:val="center"/>
            <w:hideMark/>
          </w:tcPr>
          <w:p w14:paraId="656CBB17" w14:textId="77777777" w:rsidR="00A57704" w:rsidRPr="000D7E29" w:rsidRDefault="00A57704" w:rsidP="00A57704">
            <w:pPr>
              <w:spacing w:after="0"/>
              <w:jc w:val="center"/>
              <w:rPr>
                <w:rFonts w:ascii="Times New Roman" w:hAnsi="Times New Roman"/>
                <w:color w:val="000000"/>
                <w:szCs w:val="22"/>
              </w:rPr>
            </w:pPr>
            <w:r w:rsidRPr="000D7E29">
              <w:rPr>
                <w:rFonts w:ascii="Times New Roman" w:hAnsi="Times New Roman"/>
                <w:color w:val="000000"/>
                <w:szCs w:val="22"/>
              </w:rPr>
              <w:t>138.3</w:t>
            </w:r>
          </w:p>
        </w:tc>
        <w:tc>
          <w:tcPr>
            <w:tcW w:w="820" w:type="dxa"/>
            <w:tcBorders>
              <w:top w:val="nil"/>
              <w:left w:val="nil"/>
              <w:bottom w:val="single" w:sz="4" w:space="0" w:color="auto"/>
              <w:right w:val="single" w:sz="4" w:space="0" w:color="auto"/>
            </w:tcBorders>
            <w:shd w:val="clear" w:color="auto" w:fill="auto"/>
            <w:noWrap/>
            <w:vAlign w:val="center"/>
            <w:hideMark/>
          </w:tcPr>
          <w:p w14:paraId="17525E90" w14:textId="77777777" w:rsidR="00A57704" w:rsidRPr="000D7E29" w:rsidRDefault="00A57704" w:rsidP="00A57704">
            <w:pPr>
              <w:spacing w:after="0"/>
              <w:jc w:val="center"/>
              <w:rPr>
                <w:rFonts w:ascii="Times New Roman" w:hAnsi="Times New Roman"/>
                <w:color w:val="000000"/>
                <w:szCs w:val="22"/>
              </w:rPr>
            </w:pPr>
            <w:r w:rsidRPr="000D7E29">
              <w:rPr>
                <w:rFonts w:ascii="Times New Roman" w:hAnsi="Times New Roman"/>
                <w:color w:val="000000"/>
                <w:szCs w:val="22"/>
              </w:rPr>
              <w:t>222.0</w:t>
            </w:r>
          </w:p>
        </w:tc>
        <w:tc>
          <w:tcPr>
            <w:tcW w:w="760" w:type="dxa"/>
            <w:tcBorders>
              <w:top w:val="nil"/>
              <w:left w:val="nil"/>
              <w:bottom w:val="single" w:sz="4" w:space="0" w:color="auto"/>
              <w:right w:val="single" w:sz="4" w:space="0" w:color="auto"/>
            </w:tcBorders>
            <w:shd w:val="clear" w:color="auto" w:fill="auto"/>
            <w:noWrap/>
            <w:vAlign w:val="center"/>
            <w:hideMark/>
          </w:tcPr>
          <w:p w14:paraId="4E0281CB" w14:textId="77777777" w:rsidR="00A57704" w:rsidRPr="000D7E29" w:rsidRDefault="00A57704" w:rsidP="00A57704">
            <w:pPr>
              <w:spacing w:after="0"/>
              <w:jc w:val="center"/>
              <w:rPr>
                <w:rFonts w:ascii="Times New Roman" w:hAnsi="Times New Roman"/>
                <w:color w:val="000000"/>
                <w:szCs w:val="22"/>
              </w:rPr>
            </w:pPr>
            <w:r>
              <w:rPr>
                <w:rFonts w:ascii="Times New Roman" w:hAnsi="Times New Roman"/>
                <w:color w:val="000000"/>
                <w:szCs w:val="22"/>
              </w:rPr>
              <w:t>101.3</w:t>
            </w:r>
          </w:p>
        </w:tc>
        <w:tc>
          <w:tcPr>
            <w:tcW w:w="720" w:type="dxa"/>
            <w:tcBorders>
              <w:top w:val="nil"/>
              <w:left w:val="nil"/>
              <w:bottom w:val="single" w:sz="4" w:space="0" w:color="auto"/>
              <w:right w:val="single" w:sz="4" w:space="0" w:color="auto"/>
            </w:tcBorders>
            <w:shd w:val="clear" w:color="auto" w:fill="auto"/>
            <w:noWrap/>
            <w:vAlign w:val="center"/>
            <w:hideMark/>
          </w:tcPr>
          <w:p w14:paraId="513A2D86" w14:textId="77777777" w:rsidR="00A57704" w:rsidRPr="000D7E29" w:rsidRDefault="00A57704" w:rsidP="00A57704">
            <w:pPr>
              <w:spacing w:after="0"/>
              <w:jc w:val="center"/>
              <w:rPr>
                <w:rFonts w:ascii="Times New Roman" w:hAnsi="Times New Roman"/>
                <w:color w:val="000000"/>
                <w:szCs w:val="22"/>
              </w:rPr>
            </w:pPr>
            <w:r>
              <w:rPr>
                <w:rFonts w:ascii="Times New Roman" w:hAnsi="Times New Roman"/>
                <w:color w:val="000000"/>
                <w:szCs w:val="22"/>
              </w:rPr>
              <w:t>0</w:t>
            </w:r>
          </w:p>
        </w:tc>
        <w:tc>
          <w:tcPr>
            <w:tcW w:w="1100" w:type="dxa"/>
            <w:tcBorders>
              <w:top w:val="nil"/>
              <w:left w:val="nil"/>
              <w:bottom w:val="single" w:sz="4" w:space="0" w:color="auto"/>
              <w:right w:val="single" w:sz="4" w:space="0" w:color="auto"/>
            </w:tcBorders>
            <w:shd w:val="clear" w:color="auto" w:fill="auto"/>
            <w:noWrap/>
            <w:vAlign w:val="center"/>
            <w:hideMark/>
          </w:tcPr>
          <w:p w14:paraId="3FF15348" w14:textId="77777777" w:rsidR="00A57704" w:rsidRPr="000D7E29" w:rsidRDefault="00A57704" w:rsidP="00A57704">
            <w:pPr>
              <w:spacing w:after="0"/>
              <w:jc w:val="center"/>
              <w:rPr>
                <w:rFonts w:ascii="Times New Roman" w:hAnsi="Times New Roman"/>
                <w:color w:val="000000"/>
                <w:szCs w:val="22"/>
              </w:rPr>
            </w:pPr>
            <w:r w:rsidRPr="000D7E29">
              <w:rPr>
                <w:rFonts w:ascii="Times New Roman" w:hAnsi="Times New Roman"/>
                <w:color w:val="000000"/>
                <w:szCs w:val="22"/>
              </w:rPr>
              <w:t>1,732.</w:t>
            </w:r>
            <w:r>
              <w:rPr>
                <w:rFonts w:ascii="Times New Roman" w:hAnsi="Times New Roman"/>
                <w:color w:val="000000"/>
                <w:szCs w:val="22"/>
              </w:rPr>
              <w:t>7</w:t>
            </w:r>
          </w:p>
        </w:tc>
      </w:tr>
      <w:tr w:rsidR="00A57704" w:rsidRPr="00C83490" w14:paraId="0F261AD7" w14:textId="77777777" w:rsidTr="00A57704">
        <w:trPr>
          <w:trHeight w:val="300"/>
          <w:jc w:val="center"/>
        </w:trPr>
        <w:tc>
          <w:tcPr>
            <w:tcW w:w="2212" w:type="dxa"/>
            <w:tcBorders>
              <w:top w:val="nil"/>
              <w:left w:val="single" w:sz="4" w:space="0" w:color="auto"/>
              <w:bottom w:val="single" w:sz="4" w:space="0" w:color="auto"/>
              <w:right w:val="single" w:sz="4" w:space="0" w:color="auto"/>
            </w:tcBorders>
            <w:shd w:val="clear" w:color="auto" w:fill="auto"/>
            <w:noWrap/>
            <w:vAlign w:val="bottom"/>
            <w:hideMark/>
          </w:tcPr>
          <w:p w14:paraId="427CD622" w14:textId="77777777" w:rsidR="00A57704" w:rsidRPr="00C83490" w:rsidRDefault="00A57704" w:rsidP="00A57704">
            <w:pPr>
              <w:spacing w:after="0"/>
              <w:rPr>
                <w:rFonts w:ascii="Times New Roman" w:hAnsi="Times New Roman"/>
                <w:color w:val="000000"/>
                <w:lang w:eastAsia="es-DO"/>
              </w:rPr>
            </w:pPr>
            <w:r w:rsidRPr="00C83490">
              <w:rPr>
                <w:rFonts w:ascii="Times New Roman" w:hAnsi="Times New Roman"/>
                <w:color w:val="000000"/>
                <w:lang w:eastAsia="es-DO"/>
              </w:rPr>
              <w:t>D. Prec (%)</w:t>
            </w:r>
          </w:p>
        </w:tc>
        <w:tc>
          <w:tcPr>
            <w:tcW w:w="760" w:type="dxa"/>
            <w:tcBorders>
              <w:top w:val="nil"/>
              <w:left w:val="nil"/>
              <w:bottom w:val="single" w:sz="4" w:space="0" w:color="auto"/>
              <w:right w:val="single" w:sz="4" w:space="0" w:color="auto"/>
            </w:tcBorders>
            <w:shd w:val="clear" w:color="auto" w:fill="auto"/>
            <w:noWrap/>
            <w:vAlign w:val="center"/>
            <w:hideMark/>
          </w:tcPr>
          <w:p w14:paraId="4A2FB908" w14:textId="77777777" w:rsidR="00A57704" w:rsidRPr="000D7E29" w:rsidRDefault="00A57704" w:rsidP="00A57704">
            <w:pPr>
              <w:spacing w:after="0"/>
              <w:jc w:val="center"/>
              <w:rPr>
                <w:rFonts w:ascii="Times New Roman" w:hAnsi="Times New Roman"/>
                <w:color w:val="000000"/>
                <w:szCs w:val="22"/>
              </w:rPr>
            </w:pPr>
            <w:r w:rsidRPr="000D7E29">
              <w:rPr>
                <w:rFonts w:ascii="Times New Roman" w:hAnsi="Times New Roman"/>
                <w:color w:val="000000"/>
                <w:szCs w:val="22"/>
              </w:rPr>
              <w:t>108.9</w:t>
            </w:r>
          </w:p>
        </w:tc>
        <w:tc>
          <w:tcPr>
            <w:tcW w:w="760" w:type="dxa"/>
            <w:tcBorders>
              <w:top w:val="nil"/>
              <w:left w:val="nil"/>
              <w:bottom w:val="single" w:sz="4" w:space="0" w:color="auto"/>
              <w:right w:val="single" w:sz="4" w:space="0" w:color="auto"/>
            </w:tcBorders>
            <w:shd w:val="clear" w:color="auto" w:fill="auto"/>
            <w:noWrap/>
            <w:vAlign w:val="center"/>
            <w:hideMark/>
          </w:tcPr>
          <w:p w14:paraId="23DA4A37" w14:textId="77777777" w:rsidR="00A57704" w:rsidRPr="000D7E29" w:rsidRDefault="00A57704" w:rsidP="00A57704">
            <w:pPr>
              <w:spacing w:after="0"/>
              <w:jc w:val="center"/>
              <w:rPr>
                <w:rFonts w:ascii="Times New Roman" w:hAnsi="Times New Roman"/>
                <w:color w:val="000000"/>
                <w:szCs w:val="22"/>
              </w:rPr>
            </w:pPr>
            <w:r w:rsidRPr="000D7E29">
              <w:rPr>
                <w:rFonts w:ascii="Times New Roman" w:hAnsi="Times New Roman"/>
                <w:color w:val="000000"/>
                <w:szCs w:val="22"/>
              </w:rPr>
              <w:t>-28.3</w:t>
            </w:r>
          </w:p>
        </w:tc>
        <w:tc>
          <w:tcPr>
            <w:tcW w:w="720" w:type="dxa"/>
            <w:tcBorders>
              <w:top w:val="nil"/>
              <w:left w:val="nil"/>
              <w:bottom w:val="single" w:sz="4" w:space="0" w:color="auto"/>
              <w:right w:val="single" w:sz="4" w:space="0" w:color="auto"/>
            </w:tcBorders>
            <w:shd w:val="clear" w:color="auto" w:fill="auto"/>
            <w:noWrap/>
            <w:vAlign w:val="center"/>
            <w:hideMark/>
          </w:tcPr>
          <w:p w14:paraId="085DDF73" w14:textId="77777777" w:rsidR="00A57704" w:rsidRPr="000D7E29" w:rsidRDefault="00A57704" w:rsidP="00A57704">
            <w:pPr>
              <w:spacing w:after="0"/>
              <w:jc w:val="center"/>
              <w:rPr>
                <w:rFonts w:ascii="Times New Roman" w:hAnsi="Times New Roman"/>
                <w:color w:val="000000"/>
                <w:szCs w:val="22"/>
              </w:rPr>
            </w:pPr>
            <w:r w:rsidRPr="000D7E29">
              <w:rPr>
                <w:rFonts w:ascii="Times New Roman" w:hAnsi="Times New Roman"/>
                <w:color w:val="000000"/>
                <w:szCs w:val="22"/>
              </w:rPr>
              <w:t>129.0</w:t>
            </w:r>
          </w:p>
        </w:tc>
        <w:tc>
          <w:tcPr>
            <w:tcW w:w="820" w:type="dxa"/>
            <w:tcBorders>
              <w:top w:val="nil"/>
              <w:left w:val="nil"/>
              <w:bottom w:val="single" w:sz="4" w:space="0" w:color="auto"/>
              <w:right w:val="single" w:sz="4" w:space="0" w:color="auto"/>
            </w:tcBorders>
            <w:shd w:val="clear" w:color="auto" w:fill="auto"/>
            <w:noWrap/>
            <w:vAlign w:val="center"/>
            <w:hideMark/>
          </w:tcPr>
          <w:p w14:paraId="1451EC7D" w14:textId="77777777" w:rsidR="00A57704" w:rsidRPr="000D7E29" w:rsidRDefault="00A57704" w:rsidP="00A57704">
            <w:pPr>
              <w:spacing w:after="0"/>
              <w:jc w:val="center"/>
              <w:rPr>
                <w:rFonts w:ascii="Times New Roman" w:hAnsi="Times New Roman"/>
                <w:color w:val="000000"/>
                <w:szCs w:val="22"/>
              </w:rPr>
            </w:pPr>
            <w:r w:rsidRPr="000D7E29">
              <w:rPr>
                <w:rFonts w:ascii="Times New Roman" w:hAnsi="Times New Roman"/>
                <w:color w:val="000000"/>
                <w:szCs w:val="22"/>
              </w:rPr>
              <w:t>-46.2</w:t>
            </w:r>
          </w:p>
        </w:tc>
        <w:tc>
          <w:tcPr>
            <w:tcW w:w="820" w:type="dxa"/>
            <w:tcBorders>
              <w:top w:val="nil"/>
              <w:left w:val="nil"/>
              <w:bottom w:val="single" w:sz="4" w:space="0" w:color="auto"/>
              <w:right w:val="single" w:sz="4" w:space="0" w:color="auto"/>
            </w:tcBorders>
            <w:shd w:val="clear" w:color="auto" w:fill="auto"/>
            <w:noWrap/>
            <w:vAlign w:val="center"/>
            <w:hideMark/>
          </w:tcPr>
          <w:p w14:paraId="25EA233F" w14:textId="77777777" w:rsidR="00A57704" w:rsidRPr="000D7E29" w:rsidRDefault="00A57704" w:rsidP="00A57704">
            <w:pPr>
              <w:spacing w:after="0"/>
              <w:jc w:val="center"/>
              <w:rPr>
                <w:rFonts w:ascii="Times New Roman" w:hAnsi="Times New Roman"/>
                <w:color w:val="000000"/>
                <w:szCs w:val="22"/>
              </w:rPr>
            </w:pPr>
            <w:r w:rsidRPr="000D7E29">
              <w:rPr>
                <w:rFonts w:ascii="Times New Roman" w:hAnsi="Times New Roman"/>
                <w:color w:val="000000"/>
                <w:szCs w:val="22"/>
              </w:rPr>
              <w:t>82.8</w:t>
            </w:r>
          </w:p>
        </w:tc>
        <w:tc>
          <w:tcPr>
            <w:tcW w:w="820" w:type="dxa"/>
            <w:tcBorders>
              <w:top w:val="nil"/>
              <w:left w:val="nil"/>
              <w:bottom w:val="single" w:sz="4" w:space="0" w:color="auto"/>
              <w:right w:val="single" w:sz="4" w:space="0" w:color="auto"/>
            </w:tcBorders>
            <w:shd w:val="clear" w:color="auto" w:fill="auto"/>
            <w:noWrap/>
            <w:vAlign w:val="center"/>
            <w:hideMark/>
          </w:tcPr>
          <w:p w14:paraId="2256E554" w14:textId="77777777" w:rsidR="00A57704" w:rsidRPr="000D7E29" w:rsidRDefault="00A57704" w:rsidP="00A57704">
            <w:pPr>
              <w:spacing w:after="0"/>
              <w:jc w:val="center"/>
              <w:rPr>
                <w:rFonts w:ascii="Times New Roman" w:hAnsi="Times New Roman"/>
                <w:szCs w:val="22"/>
              </w:rPr>
            </w:pPr>
            <w:r w:rsidRPr="000D7E29">
              <w:rPr>
                <w:rFonts w:ascii="Times New Roman" w:hAnsi="Times New Roman"/>
                <w:szCs w:val="22"/>
              </w:rPr>
              <w:t>-35.1</w:t>
            </w:r>
          </w:p>
        </w:tc>
        <w:tc>
          <w:tcPr>
            <w:tcW w:w="760" w:type="dxa"/>
            <w:tcBorders>
              <w:top w:val="nil"/>
              <w:left w:val="nil"/>
              <w:bottom w:val="single" w:sz="4" w:space="0" w:color="auto"/>
              <w:right w:val="single" w:sz="4" w:space="0" w:color="auto"/>
            </w:tcBorders>
            <w:shd w:val="clear" w:color="auto" w:fill="auto"/>
            <w:noWrap/>
            <w:vAlign w:val="center"/>
            <w:hideMark/>
          </w:tcPr>
          <w:p w14:paraId="7AA89F41" w14:textId="77777777" w:rsidR="00A57704" w:rsidRPr="000D7E29" w:rsidRDefault="00A57704" w:rsidP="00A57704">
            <w:pPr>
              <w:spacing w:after="0"/>
              <w:jc w:val="center"/>
              <w:rPr>
                <w:rFonts w:ascii="Times New Roman" w:hAnsi="Times New Roman"/>
                <w:szCs w:val="22"/>
              </w:rPr>
            </w:pPr>
            <w:r w:rsidRPr="000D7E29">
              <w:rPr>
                <w:rFonts w:ascii="Times New Roman" w:hAnsi="Times New Roman"/>
                <w:szCs w:val="22"/>
              </w:rPr>
              <w:t>42.1</w:t>
            </w:r>
          </w:p>
        </w:tc>
        <w:tc>
          <w:tcPr>
            <w:tcW w:w="820" w:type="dxa"/>
            <w:tcBorders>
              <w:top w:val="nil"/>
              <w:left w:val="nil"/>
              <w:bottom w:val="single" w:sz="4" w:space="0" w:color="auto"/>
              <w:right w:val="single" w:sz="4" w:space="0" w:color="auto"/>
            </w:tcBorders>
            <w:shd w:val="clear" w:color="auto" w:fill="auto"/>
            <w:noWrap/>
            <w:vAlign w:val="center"/>
            <w:hideMark/>
          </w:tcPr>
          <w:p w14:paraId="31F2755A" w14:textId="77777777" w:rsidR="00A57704" w:rsidRPr="000D7E29" w:rsidRDefault="00A57704" w:rsidP="00A57704">
            <w:pPr>
              <w:spacing w:after="0"/>
              <w:jc w:val="center"/>
              <w:rPr>
                <w:rFonts w:ascii="Times New Roman" w:hAnsi="Times New Roman"/>
                <w:szCs w:val="22"/>
              </w:rPr>
            </w:pPr>
            <w:r w:rsidRPr="000D7E29">
              <w:rPr>
                <w:rFonts w:ascii="Times New Roman" w:hAnsi="Times New Roman"/>
                <w:szCs w:val="22"/>
              </w:rPr>
              <w:t>-13.7</w:t>
            </w:r>
          </w:p>
        </w:tc>
        <w:tc>
          <w:tcPr>
            <w:tcW w:w="820" w:type="dxa"/>
            <w:tcBorders>
              <w:top w:val="nil"/>
              <w:left w:val="nil"/>
              <w:bottom w:val="single" w:sz="4" w:space="0" w:color="auto"/>
              <w:right w:val="single" w:sz="4" w:space="0" w:color="auto"/>
            </w:tcBorders>
            <w:shd w:val="clear" w:color="auto" w:fill="auto"/>
            <w:noWrap/>
            <w:vAlign w:val="center"/>
            <w:hideMark/>
          </w:tcPr>
          <w:p w14:paraId="3D8CD789" w14:textId="77777777" w:rsidR="00A57704" w:rsidRPr="000D7E29" w:rsidRDefault="00A57704" w:rsidP="00A57704">
            <w:pPr>
              <w:spacing w:after="0"/>
              <w:jc w:val="center"/>
              <w:rPr>
                <w:rFonts w:ascii="Times New Roman" w:hAnsi="Times New Roman"/>
                <w:szCs w:val="22"/>
              </w:rPr>
            </w:pPr>
            <w:r w:rsidRPr="000D7E29">
              <w:rPr>
                <w:rFonts w:ascii="Times New Roman" w:hAnsi="Times New Roman"/>
                <w:szCs w:val="22"/>
              </w:rPr>
              <w:t>-32.5</w:t>
            </w:r>
          </w:p>
        </w:tc>
        <w:tc>
          <w:tcPr>
            <w:tcW w:w="820" w:type="dxa"/>
            <w:tcBorders>
              <w:top w:val="nil"/>
              <w:left w:val="nil"/>
              <w:bottom w:val="single" w:sz="4" w:space="0" w:color="auto"/>
              <w:right w:val="single" w:sz="4" w:space="0" w:color="auto"/>
            </w:tcBorders>
            <w:shd w:val="clear" w:color="auto" w:fill="auto"/>
            <w:noWrap/>
            <w:vAlign w:val="center"/>
            <w:hideMark/>
          </w:tcPr>
          <w:p w14:paraId="5F357471" w14:textId="77777777" w:rsidR="00A57704" w:rsidRPr="000D7E29" w:rsidRDefault="00A57704" w:rsidP="00A57704">
            <w:pPr>
              <w:spacing w:after="0"/>
              <w:jc w:val="center"/>
              <w:rPr>
                <w:rFonts w:ascii="Times New Roman" w:hAnsi="Times New Roman"/>
                <w:szCs w:val="22"/>
              </w:rPr>
            </w:pPr>
            <w:r w:rsidRPr="000D7E29">
              <w:rPr>
                <w:rFonts w:ascii="Times New Roman" w:hAnsi="Times New Roman"/>
                <w:szCs w:val="22"/>
              </w:rPr>
              <w:t>-6.1</w:t>
            </w:r>
          </w:p>
        </w:tc>
        <w:tc>
          <w:tcPr>
            <w:tcW w:w="760" w:type="dxa"/>
            <w:tcBorders>
              <w:top w:val="nil"/>
              <w:left w:val="nil"/>
              <w:bottom w:val="single" w:sz="4" w:space="0" w:color="auto"/>
              <w:right w:val="single" w:sz="4" w:space="0" w:color="auto"/>
            </w:tcBorders>
            <w:shd w:val="clear" w:color="auto" w:fill="auto"/>
            <w:noWrap/>
            <w:vAlign w:val="center"/>
            <w:hideMark/>
          </w:tcPr>
          <w:p w14:paraId="20C0EC71" w14:textId="77777777" w:rsidR="00A57704" w:rsidRPr="000D7E29" w:rsidRDefault="00A57704" w:rsidP="00A57704">
            <w:pPr>
              <w:spacing w:after="0"/>
              <w:jc w:val="center"/>
              <w:rPr>
                <w:rFonts w:ascii="Times New Roman" w:hAnsi="Times New Roman"/>
                <w:szCs w:val="22"/>
              </w:rPr>
            </w:pPr>
            <w:r w:rsidRPr="000D7E29">
              <w:rPr>
                <w:rFonts w:ascii="Times New Roman" w:hAnsi="Times New Roman"/>
                <w:szCs w:val="22"/>
              </w:rPr>
              <w:t>-7.1</w:t>
            </w:r>
          </w:p>
        </w:tc>
        <w:tc>
          <w:tcPr>
            <w:tcW w:w="720" w:type="dxa"/>
            <w:tcBorders>
              <w:top w:val="nil"/>
              <w:left w:val="nil"/>
              <w:bottom w:val="single" w:sz="4" w:space="0" w:color="auto"/>
              <w:right w:val="single" w:sz="4" w:space="0" w:color="auto"/>
            </w:tcBorders>
            <w:shd w:val="clear" w:color="auto" w:fill="auto"/>
            <w:noWrap/>
            <w:vAlign w:val="center"/>
            <w:hideMark/>
          </w:tcPr>
          <w:p w14:paraId="243B7947" w14:textId="77777777" w:rsidR="00A57704" w:rsidRPr="000D7E29" w:rsidRDefault="00A57704" w:rsidP="00A57704">
            <w:pPr>
              <w:spacing w:after="0"/>
              <w:jc w:val="center"/>
              <w:rPr>
                <w:rFonts w:ascii="Times New Roman" w:hAnsi="Times New Roman"/>
                <w:color w:val="000000"/>
                <w:szCs w:val="22"/>
              </w:rPr>
            </w:pPr>
            <w:r>
              <w:rPr>
                <w:rFonts w:ascii="Times New Roman" w:hAnsi="Times New Roman"/>
                <w:color w:val="000000"/>
                <w:szCs w:val="22"/>
              </w:rPr>
              <w:t>0</w:t>
            </w:r>
          </w:p>
        </w:tc>
        <w:tc>
          <w:tcPr>
            <w:tcW w:w="1100" w:type="dxa"/>
            <w:tcBorders>
              <w:top w:val="nil"/>
              <w:left w:val="nil"/>
              <w:bottom w:val="single" w:sz="4" w:space="0" w:color="auto"/>
              <w:right w:val="single" w:sz="4" w:space="0" w:color="auto"/>
            </w:tcBorders>
            <w:shd w:val="clear" w:color="auto" w:fill="auto"/>
            <w:noWrap/>
            <w:vAlign w:val="center"/>
            <w:hideMark/>
          </w:tcPr>
          <w:p w14:paraId="18A8648C" w14:textId="77777777" w:rsidR="00A57704" w:rsidRPr="000D7E29" w:rsidRDefault="00A57704" w:rsidP="00A57704">
            <w:pPr>
              <w:spacing w:after="0"/>
              <w:jc w:val="center"/>
              <w:rPr>
                <w:rFonts w:ascii="Times New Roman" w:hAnsi="Times New Roman"/>
                <w:color w:val="000000"/>
                <w:szCs w:val="22"/>
              </w:rPr>
            </w:pPr>
            <w:r w:rsidRPr="000D7E29">
              <w:rPr>
                <w:rFonts w:ascii="Times New Roman" w:hAnsi="Times New Roman"/>
                <w:color w:val="000000"/>
                <w:szCs w:val="22"/>
              </w:rPr>
              <w:t>-25.6</w:t>
            </w:r>
          </w:p>
        </w:tc>
      </w:tr>
    </w:tbl>
    <w:p w14:paraId="43E064A0" w14:textId="77777777" w:rsidR="00A57704" w:rsidRPr="00C83490" w:rsidRDefault="00A57704" w:rsidP="00A57704">
      <w:pPr>
        <w:spacing w:after="0"/>
        <w:rPr>
          <w:rFonts w:ascii="Times New Roman" w:hAnsi="Times New Roman"/>
        </w:rPr>
        <w:sectPr w:rsidR="00A57704" w:rsidRPr="00C83490" w:rsidSect="00A57704">
          <w:headerReference w:type="default" r:id="rId126"/>
          <w:type w:val="continuous"/>
          <w:pgSz w:w="15840" w:h="12240" w:orient="landscape" w:code="1"/>
          <w:pgMar w:top="1276" w:right="1665" w:bottom="851" w:left="1440" w:header="720" w:footer="720" w:gutter="0"/>
          <w:cols w:space="720"/>
          <w:docGrid w:linePitch="360"/>
        </w:sectPr>
      </w:pPr>
    </w:p>
    <w:p w14:paraId="128122A6" w14:textId="77777777" w:rsidR="00A57704" w:rsidRPr="00C83490" w:rsidRDefault="00A57704" w:rsidP="00A57704">
      <w:pPr>
        <w:spacing w:after="0"/>
        <w:rPr>
          <w:rFonts w:ascii="Times New Roman" w:hAnsi="Times New Roman"/>
        </w:rPr>
      </w:pPr>
    </w:p>
    <w:p w14:paraId="7F1AE995"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Comportamiento precipitaciones Hato Mayor</w:t>
      </w:r>
      <w:r>
        <w:rPr>
          <w:rFonts w:ascii="Times New Roman" w:hAnsi="Times New Roman"/>
        </w:rPr>
        <w:t xml:space="preserve"> </w:t>
      </w:r>
    </w:p>
    <w:p w14:paraId="467FEA92" w14:textId="77777777" w:rsidR="00A57704" w:rsidRPr="00C83490" w:rsidRDefault="00A57704" w:rsidP="00A57704">
      <w:pPr>
        <w:spacing w:after="0"/>
        <w:rPr>
          <w:rFonts w:ascii="Times New Roman" w:hAnsi="Times New Roman"/>
        </w:rPr>
      </w:pPr>
      <w:r>
        <w:rPr>
          <w:noProof/>
          <w:lang w:eastAsia="es-DO"/>
        </w:rPr>
        <w:drawing>
          <wp:inline distT="0" distB="0" distL="0" distR="0" wp14:anchorId="4BD71BEA" wp14:editId="40E23C90">
            <wp:extent cx="3667125" cy="1620520"/>
            <wp:effectExtent l="0" t="0" r="0" b="0"/>
            <wp:docPr id="144" name="Gráfico 14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DD95C416-D24D-4225-A595-14FDC627E4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3456BD2E" w14:textId="77777777" w:rsidR="00A57704" w:rsidRPr="002D5B20" w:rsidRDefault="00A57704" w:rsidP="00A57704">
      <w:pPr>
        <w:spacing w:after="0"/>
        <w:rPr>
          <w:rFonts w:ascii="Times New Roman" w:hAnsi="Times New Roman"/>
          <w:sz w:val="4"/>
        </w:rPr>
      </w:pPr>
    </w:p>
    <w:p w14:paraId="7EA454E4" w14:textId="77777777" w:rsidR="00A57704" w:rsidRPr="002D5B20" w:rsidRDefault="00A57704" w:rsidP="00A57704">
      <w:pPr>
        <w:spacing w:after="0"/>
        <w:rPr>
          <w:rFonts w:ascii="Times New Roman" w:hAnsi="Times New Roman"/>
          <w:sz w:val="4"/>
        </w:rPr>
      </w:pPr>
    </w:p>
    <w:p w14:paraId="01599E1A" w14:textId="77777777" w:rsidR="00A57704" w:rsidRPr="002D5B20" w:rsidRDefault="00A57704" w:rsidP="00A57704">
      <w:pPr>
        <w:spacing w:after="0"/>
        <w:rPr>
          <w:rFonts w:ascii="Times New Roman" w:hAnsi="Times New Roman"/>
          <w:sz w:val="4"/>
        </w:rPr>
      </w:pPr>
    </w:p>
    <w:p w14:paraId="6612F4E1" w14:textId="77777777" w:rsidR="00A57704" w:rsidRPr="002D5B20" w:rsidRDefault="00A57704" w:rsidP="00A57704">
      <w:pPr>
        <w:spacing w:after="0"/>
        <w:rPr>
          <w:rFonts w:ascii="Times New Roman" w:hAnsi="Times New Roman"/>
        </w:rPr>
      </w:pPr>
    </w:p>
    <w:p w14:paraId="004946BE" w14:textId="77777777" w:rsidR="00A57704"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162B8E4A"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19C838A0" wp14:editId="39902B00">
            <wp:extent cx="3533775" cy="1619250"/>
            <wp:effectExtent l="0" t="0" r="0" b="0"/>
            <wp:docPr id="145" name="Gráfico 145">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F22DED5D-7DF1-4A84-8509-BF7CEFC24B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tbl>
      <w:tblPr>
        <w:tblW w:w="12704" w:type="dxa"/>
        <w:tblInd w:w="-5" w:type="dxa"/>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A57704" w:rsidRPr="002D5B20" w14:paraId="328A404F" w14:textId="77777777" w:rsidTr="00E331D5">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1FFE6741"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Higuey</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7DCBFD8F"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15CB5E46"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35EC58B4"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713D0D9"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E3FFE68"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80FB2FF"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6D52CAF5"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C410F8B"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06FE08C3"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AA2DC55"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34EB8B43"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4B4A4FC6"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7CE32EE0"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Año</w:t>
            </w:r>
          </w:p>
        </w:tc>
      </w:tr>
      <w:tr w:rsidR="00A57704" w:rsidRPr="002D5B20" w14:paraId="7DABDA42" w14:textId="77777777" w:rsidTr="00E331D5">
        <w:trPr>
          <w:trHeight w:val="300"/>
        </w:trPr>
        <w:tc>
          <w:tcPr>
            <w:tcW w:w="2204" w:type="dxa"/>
            <w:tcBorders>
              <w:top w:val="nil"/>
              <w:left w:val="single" w:sz="4" w:space="0" w:color="auto"/>
              <w:bottom w:val="single" w:sz="4" w:space="0" w:color="auto"/>
              <w:right w:val="single" w:sz="4" w:space="0" w:color="auto"/>
            </w:tcBorders>
            <w:shd w:val="clear" w:color="auto" w:fill="auto"/>
            <w:noWrap/>
            <w:vAlign w:val="bottom"/>
            <w:hideMark/>
          </w:tcPr>
          <w:p w14:paraId="7CD1F721" w14:textId="77777777" w:rsidR="00A57704" w:rsidRPr="002D5B20" w:rsidRDefault="00A57704" w:rsidP="00A57704">
            <w:pPr>
              <w:spacing w:after="0"/>
              <w:rPr>
                <w:rFonts w:ascii="Times New Roman" w:hAnsi="Times New Roman"/>
                <w:color w:val="000000"/>
                <w:szCs w:val="20"/>
                <w:lang w:eastAsia="es-DO"/>
              </w:rPr>
            </w:pPr>
            <w:r w:rsidRPr="002D5B20">
              <w:rPr>
                <w:rFonts w:ascii="Times New Roman" w:hAnsi="Times New Roman"/>
                <w:color w:val="000000"/>
                <w:szCs w:val="20"/>
                <w:lang w:eastAsia="es-DO"/>
              </w:rPr>
              <w:t>Normal</w:t>
            </w:r>
          </w:p>
        </w:tc>
        <w:tc>
          <w:tcPr>
            <w:tcW w:w="760" w:type="dxa"/>
            <w:tcBorders>
              <w:top w:val="nil"/>
              <w:left w:val="nil"/>
              <w:bottom w:val="single" w:sz="4" w:space="0" w:color="auto"/>
              <w:right w:val="single" w:sz="4" w:space="0" w:color="auto"/>
            </w:tcBorders>
            <w:shd w:val="clear" w:color="auto" w:fill="auto"/>
            <w:noWrap/>
            <w:vAlign w:val="bottom"/>
            <w:hideMark/>
          </w:tcPr>
          <w:p w14:paraId="1E02A46D" w14:textId="77777777" w:rsidR="00A57704" w:rsidRPr="002D5B20" w:rsidRDefault="00A57704" w:rsidP="00A57704">
            <w:pPr>
              <w:spacing w:after="0"/>
              <w:jc w:val="center"/>
              <w:rPr>
                <w:rFonts w:ascii="Times New Roman" w:hAnsi="Times New Roman"/>
                <w:szCs w:val="20"/>
                <w:lang w:eastAsia="es-DO"/>
              </w:rPr>
            </w:pPr>
            <w:r w:rsidRPr="002D5B20">
              <w:rPr>
                <w:rFonts w:ascii="Times New Roman" w:hAnsi="Times New Roman"/>
                <w:szCs w:val="20"/>
                <w:lang w:eastAsia="es-DO"/>
              </w:rPr>
              <w:t>82.0</w:t>
            </w:r>
          </w:p>
        </w:tc>
        <w:tc>
          <w:tcPr>
            <w:tcW w:w="760" w:type="dxa"/>
            <w:tcBorders>
              <w:top w:val="nil"/>
              <w:left w:val="nil"/>
              <w:bottom w:val="single" w:sz="4" w:space="0" w:color="auto"/>
              <w:right w:val="single" w:sz="4" w:space="0" w:color="auto"/>
            </w:tcBorders>
            <w:shd w:val="clear" w:color="auto" w:fill="auto"/>
            <w:noWrap/>
            <w:vAlign w:val="bottom"/>
            <w:hideMark/>
          </w:tcPr>
          <w:p w14:paraId="666AB1C0" w14:textId="77777777" w:rsidR="00A57704" w:rsidRPr="002D5B20" w:rsidRDefault="00A57704" w:rsidP="00A57704">
            <w:pPr>
              <w:spacing w:after="0"/>
              <w:jc w:val="center"/>
              <w:rPr>
                <w:rFonts w:ascii="Times New Roman" w:hAnsi="Times New Roman"/>
                <w:szCs w:val="20"/>
                <w:lang w:eastAsia="es-DO"/>
              </w:rPr>
            </w:pPr>
            <w:r w:rsidRPr="002D5B20">
              <w:rPr>
                <w:rFonts w:ascii="Times New Roman" w:hAnsi="Times New Roman"/>
                <w:szCs w:val="20"/>
                <w:lang w:eastAsia="es-DO"/>
              </w:rPr>
              <w:t>75.2</w:t>
            </w:r>
          </w:p>
        </w:tc>
        <w:tc>
          <w:tcPr>
            <w:tcW w:w="720" w:type="dxa"/>
            <w:tcBorders>
              <w:top w:val="nil"/>
              <w:left w:val="nil"/>
              <w:bottom w:val="single" w:sz="4" w:space="0" w:color="auto"/>
              <w:right w:val="single" w:sz="4" w:space="0" w:color="auto"/>
            </w:tcBorders>
            <w:shd w:val="clear" w:color="auto" w:fill="auto"/>
            <w:noWrap/>
            <w:vAlign w:val="bottom"/>
            <w:hideMark/>
          </w:tcPr>
          <w:p w14:paraId="26320FE2" w14:textId="77777777" w:rsidR="00A57704" w:rsidRPr="002D5B20" w:rsidRDefault="00A57704" w:rsidP="00A57704">
            <w:pPr>
              <w:spacing w:after="0"/>
              <w:jc w:val="center"/>
              <w:rPr>
                <w:rFonts w:ascii="Times New Roman" w:hAnsi="Times New Roman"/>
                <w:szCs w:val="20"/>
                <w:lang w:eastAsia="es-DO"/>
              </w:rPr>
            </w:pPr>
            <w:r w:rsidRPr="002D5B20">
              <w:rPr>
                <w:rFonts w:ascii="Times New Roman" w:hAnsi="Times New Roman"/>
                <w:szCs w:val="20"/>
                <w:lang w:eastAsia="es-DO"/>
              </w:rPr>
              <w:t>74.9</w:t>
            </w:r>
          </w:p>
        </w:tc>
        <w:tc>
          <w:tcPr>
            <w:tcW w:w="820" w:type="dxa"/>
            <w:tcBorders>
              <w:top w:val="nil"/>
              <w:left w:val="nil"/>
              <w:bottom w:val="single" w:sz="4" w:space="0" w:color="auto"/>
              <w:right w:val="single" w:sz="4" w:space="0" w:color="auto"/>
            </w:tcBorders>
            <w:shd w:val="clear" w:color="auto" w:fill="auto"/>
            <w:noWrap/>
            <w:vAlign w:val="bottom"/>
            <w:hideMark/>
          </w:tcPr>
          <w:p w14:paraId="6998119D" w14:textId="77777777" w:rsidR="00A57704" w:rsidRPr="002D5B20" w:rsidRDefault="00A57704" w:rsidP="00A57704">
            <w:pPr>
              <w:spacing w:after="0"/>
              <w:jc w:val="center"/>
              <w:rPr>
                <w:rFonts w:ascii="Times New Roman" w:hAnsi="Times New Roman"/>
                <w:szCs w:val="20"/>
                <w:lang w:eastAsia="es-DO"/>
              </w:rPr>
            </w:pPr>
            <w:r w:rsidRPr="002D5B20">
              <w:rPr>
                <w:rFonts w:ascii="Times New Roman" w:hAnsi="Times New Roman"/>
                <w:szCs w:val="20"/>
                <w:lang w:eastAsia="es-DO"/>
              </w:rPr>
              <w:t>110.4</w:t>
            </w:r>
          </w:p>
        </w:tc>
        <w:tc>
          <w:tcPr>
            <w:tcW w:w="820" w:type="dxa"/>
            <w:tcBorders>
              <w:top w:val="nil"/>
              <w:left w:val="nil"/>
              <w:bottom w:val="single" w:sz="4" w:space="0" w:color="auto"/>
              <w:right w:val="single" w:sz="4" w:space="0" w:color="auto"/>
            </w:tcBorders>
            <w:shd w:val="clear" w:color="auto" w:fill="auto"/>
            <w:noWrap/>
            <w:vAlign w:val="bottom"/>
            <w:hideMark/>
          </w:tcPr>
          <w:p w14:paraId="09E89CF0" w14:textId="77777777" w:rsidR="00A57704" w:rsidRPr="002D5B20" w:rsidRDefault="00A57704" w:rsidP="00A57704">
            <w:pPr>
              <w:spacing w:after="0"/>
              <w:jc w:val="center"/>
              <w:rPr>
                <w:rFonts w:ascii="Times New Roman" w:hAnsi="Times New Roman"/>
                <w:szCs w:val="20"/>
                <w:lang w:eastAsia="es-DO"/>
              </w:rPr>
            </w:pPr>
            <w:r w:rsidRPr="002D5B20">
              <w:rPr>
                <w:rFonts w:ascii="Times New Roman" w:hAnsi="Times New Roman"/>
                <w:szCs w:val="20"/>
                <w:lang w:eastAsia="es-DO"/>
              </w:rPr>
              <w:t>210.1</w:t>
            </w:r>
          </w:p>
        </w:tc>
        <w:tc>
          <w:tcPr>
            <w:tcW w:w="820" w:type="dxa"/>
            <w:tcBorders>
              <w:top w:val="nil"/>
              <w:left w:val="nil"/>
              <w:bottom w:val="single" w:sz="4" w:space="0" w:color="auto"/>
              <w:right w:val="single" w:sz="4" w:space="0" w:color="auto"/>
            </w:tcBorders>
            <w:shd w:val="clear" w:color="auto" w:fill="auto"/>
            <w:noWrap/>
            <w:vAlign w:val="bottom"/>
            <w:hideMark/>
          </w:tcPr>
          <w:p w14:paraId="3BD9620E" w14:textId="77777777" w:rsidR="00A57704" w:rsidRPr="002D5B20" w:rsidRDefault="00A57704" w:rsidP="00A57704">
            <w:pPr>
              <w:spacing w:after="0"/>
              <w:jc w:val="center"/>
              <w:rPr>
                <w:rFonts w:ascii="Times New Roman" w:hAnsi="Times New Roman"/>
                <w:szCs w:val="20"/>
                <w:lang w:eastAsia="es-DO"/>
              </w:rPr>
            </w:pPr>
            <w:r w:rsidRPr="002D5B20">
              <w:rPr>
                <w:rFonts w:ascii="Times New Roman" w:hAnsi="Times New Roman"/>
                <w:szCs w:val="20"/>
                <w:lang w:eastAsia="es-DO"/>
              </w:rPr>
              <w:t>81.1</w:t>
            </w:r>
          </w:p>
        </w:tc>
        <w:tc>
          <w:tcPr>
            <w:tcW w:w="760" w:type="dxa"/>
            <w:tcBorders>
              <w:top w:val="nil"/>
              <w:left w:val="nil"/>
              <w:bottom w:val="single" w:sz="4" w:space="0" w:color="auto"/>
              <w:right w:val="single" w:sz="4" w:space="0" w:color="auto"/>
            </w:tcBorders>
            <w:shd w:val="clear" w:color="auto" w:fill="auto"/>
            <w:noWrap/>
            <w:vAlign w:val="bottom"/>
            <w:hideMark/>
          </w:tcPr>
          <w:p w14:paraId="1D9375C6" w14:textId="77777777" w:rsidR="00A57704" w:rsidRPr="002D5B20" w:rsidRDefault="00A57704" w:rsidP="00A57704">
            <w:pPr>
              <w:spacing w:after="0"/>
              <w:jc w:val="center"/>
              <w:rPr>
                <w:rFonts w:ascii="Times New Roman" w:hAnsi="Times New Roman"/>
                <w:szCs w:val="20"/>
                <w:lang w:eastAsia="es-DO"/>
              </w:rPr>
            </w:pPr>
            <w:r w:rsidRPr="002D5B20">
              <w:rPr>
                <w:rFonts w:ascii="Times New Roman" w:hAnsi="Times New Roman"/>
                <w:szCs w:val="20"/>
                <w:lang w:eastAsia="es-DO"/>
              </w:rPr>
              <w:t>105.7</w:t>
            </w:r>
          </w:p>
        </w:tc>
        <w:tc>
          <w:tcPr>
            <w:tcW w:w="820" w:type="dxa"/>
            <w:tcBorders>
              <w:top w:val="nil"/>
              <w:left w:val="nil"/>
              <w:bottom w:val="single" w:sz="4" w:space="0" w:color="auto"/>
              <w:right w:val="single" w:sz="4" w:space="0" w:color="auto"/>
            </w:tcBorders>
            <w:shd w:val="clear" w:color="auto" w:fill="auto"/>
            <w:noWrap/>
            <w:vAlign w:val="bottom"/>
            <w:hideMark/>
          </w:tcPr>
          <w:p w14:paraId="3D19F9BB" w14:textId="77777777" w:rsidR="00A57704" w:rsidRPr="002D5B20" w:rsidRDefault="00A57704" w:rsidP="00A57704">
            <w:pPr>
              <w:spacing w:after="0"/>
              <w:jc w:val="center"/>
              <w:rPr>
                <w:rFonts w:ascii="Times New Roman" w:hAnsi="Times New Roman"/>
                <w:szCs w:val="20"/>
                <w:lang w:eastAsia="es-DO"/>
              </w:rPr>
            </w:pPr>
            <w:r w:rsidRPr="002D5B20">
              <w:rPr>
                <w:rFonts w:ascii="Times New Roman" w:hAnsi="Times New Roman"/>
                <w:szCs w:val="20"/>
                <w:lang w:eastAsia="es-DO"/>
              </w:rPr>
              <w:t>140.0</w:t>
            </w:r>
          </w:p>
        </w:tc>
        <w:tc>
          <w:tcPr>
            <w:tcW w:w="820" w:type="dxa"/>
            <w:tcBorders>
              <w:top w:val="nil"/>
              <w:left w:val="nil"/>
              <w:bottom w:val="single" w:sz="4" w:space="0" w:color="auto"/>
              <w:right w:val="single" w:sz="4" w:space="0" w:color="auto"/>
            </w:tcBorders>
            <w:shd w:val="clear" w:color="auto" w:fill="auto"/>
            <w:noWrap/>
            <w:vAlign w:val="bottom"/>
            <w:hideMark/>
          </w:tcPr>
          <w:p w14:paraId="288E5BBE" w14:textId="77777777" w:rsidR="00A57704" w:rsidRPr="002D5B20" w:rsidRDefault="00A57704" w:rsidP="00A57704">
            <w:pPr>
              <w:spacing w:after="0"/>
              <w:jc w:val="center"/>
              <w:rPr>
                <w:rFonts w:ascii="Times New Roman" w:hAnsi="Times New Roman"/>
                <w:szCs w:val="20"/>
                <w:lang w:eastAsia="es-DO"/>
              </w:rPr>
            </w:pPr>
            <w:r w:rsidRPr="002D5B20">
              <w:rPr>
                <w:rFonts w:ascii="Times New Roman" w:hAnsi="Times New Roman"/>
                <w:szCs w:val="20"/>
                <w:lang w:eastAsia="es-DO"/>
              </w:rPr>
              <w:t>138.8</w:t>
            </w:r>
          </w:p>
        </w:tc>
        <w:tc>
          <w:tcPr>
            <w:tcW w:w="820" w:type="dxa"/>
            <w:tcBorders>
              <w:top w:val="nil"/>
              <w:left w:val="nil"/>
              <w:bottom w:val="single" w:sz="4" w:space="0" w:color="auto"/>
              <w:right w:val="single" w:sz="4" w:space="0" w:color="auto"/>
            </w:tcBorders>
            <w:shd w:val="clear" w:color="auto" w:fill="auto"/>
            <w:noWrap/>
            <w:vAlign w:val="bottom"/>
            <w:hideMark/>
          </w:tcPr>
          <w:p w14:paraId="78625592" w14:textId="77777777" w:rsidR="00A57704" w:rsidRPr="002D5B20" w:rsidRDefault="00A57704" w:rsidP="00A57704">
            <w:pPr>
              <w:spacing w:after="0"/>
              <w:jc w:val="center"/>
              <w:rPr>
                <w:rFonts w:ascii="Times New Roman" w:hAnsi="Times New Roman"/>
                <w:szCs w:val="20"/>
                <w:lang w:eastAsia="es-DO"/>
              </w:rPr>
            </w:pPr>
            <w:r w:rsidRPr="002D5B20">
              <w:rPr>
                <w:rFonts w:ascii="Times New Roman" w:hAnsi="Times New Roman"/>
                <w:szCs w:val="20"/>
                <w:lang w:eastAsia="es-DO"/>
              </w:rPr>
              <w:t>168.0</w:t>
            </w:r>
          </w:p>
        </w:tc>
        <w:tc>
          <w:tcPr>
            <w:tcW w:w="760" w:type="dxa"/>
            <w:tcBorders>
              <w:top w:val="nil"/>
              <w:left w:val="nil"/>
              <w:bottom w:val="single" w:sz="4" w:space="0" w:color="auto"/>
              <w:right w:val="single" w:sz="4" w:space="0" w:color="auto"/>
            </w:tcBorders>
            <w:shd w:val="clear" w:color="auto" w:fill="auto"/>
            <w:noWrap/>
            <w:vAlign w:val="bottom"/>
            <w:hideMark/>
          </w:tcPr>
          <w:p w14:paraId="6F79C22A" w14:textId="77777777" w:rsidR="00A57704" w:rsidRPr="002D5B20" w:rsidRDefault="00A57704" w:rsidP="00A57704">
            <w:pPr>
              <w:spacing w:after="0"/>
              <w:jc w:val="center"/>
              <w:rPr>
                <w:rFonts w:ascii="Times New Roman" w:hAnsi="Times New Roman"/>
                <w:szCs w:val="20"/>
                <w:lang w:eastAsia="es-DO"/>
              </w:rPr>
            </w:pPr>
            <w:r w:rsidRPr="002D5B20">
              <w:rPr>
                <w:rFonts w:ascii="Times New Roman" w:hAnsi="Times New Roman"/>
                <w:szCs w:val="20"/>
                <w:lang w:eastAsia="es-DO"/>
              </w:rPr>
              <w:t>153.6</w:t>
            </w:r>
          </w:p>
        </w:tc>
        <w:tc>
          <w:tcPr>
            <w:tcW w:w="720" w:type="dxa"/>
            <w:tcBorders>
              <w:top w:val="nil"/>
              <w:left w:val="nil"/>
              <w:bottom w:val="single" w:sz="4" w:space="0" w:color="auto"/>
              <w:right w:val="single" w:sz="4" w:space="0" w:color="auto"/>
            </w:tcBorders>
            <w:shd w:val="clear" w:color="auto" w:fill="auto"/>
            <w:noWrap/>
            <w:vAlign w:val="bottom"/>
            <w:hideMark/>
          </w:tcPr>
          <w:p w14:paraId="2D1AB67A" w14:textId="77777777" w:rsidR="00A57704" w:rsidRPr="002D5B20" w:rsidRDefault="00A57704" w:rsidP="00A57704">
            <w:pPr>
              <w:spacing w:after="0"/>
              <w:jc w:val="center"/>
              <w:rPr>
                <w:rFonts w:ascii="Times New Roman" w:hAnsi="Times New Roman"/>
                <w:szCs w:val="20"/>
                <w:lang w:eastAsia="es-DO"/>
              </w:rPr>
            </w:pPr>
            <w:r w:rsidRPr="002D5B20">
              <w:rPr>
                <w:rFonts w:ascii="Times New Roman" w:hAnsi="Times New Roman"/>
                <w:szCs w:val="20"/>
                <w:lang w:eastAsia="es-DO"/>
              </w:rPr>
              <w:t>104.0</w:t>
            </w:r>
          </w:p>
        </w:tc>
        <w:tc>
          <w:tcPr>
            <w:tcW w:w="1100" w:type="dxa"/>
            <w:tcBorders>
              <w:top w:val="nil"/>
              <w:left w:val="nil"/>
              <w:bottom w:val="single" w:sz="4" w:space="0" w:color="auto"/>
              <w:right w:val="single" w:sz="4" w:space="0" w:color="auto"/>
            </w:tcBorders>
            <w:shd w:val="clear" w:color="auto" w:fill="auto"/>
            <w:noWrap/>
            <w:vAlign w:val="bottom"/>
            <w:hideMark/>
          </w:tcPr>
          <w:p w14:paraId="74D72B7A" w14:textId="77777777" w:rsidR="00A57704" w:rsidRPr="002D5B20" w:rsidRDefault="00A57704" w:rsidP="00A57704">
            <w:pPr>
              <w:spacing w:after="0"/>
              <w:jc w:val="center"/>
              <w:rPr>
                <w:rFonts w:ascii="Times New Roman" w:hAnsi="Times New Roman"/>
                <w:szCs w:val="20"/>
                <w:lang w:eastAsia="es-DO"/>
              </w:rPr>
            </w:pPr>
            <w:r w:rsidRPr="002D5B20">
              <w:rPr>
                <w:rFonts w:ascii="Times New Roman" w:hAnsi="Times New Roman"/>
                <w:szCs w:val="20"/>
                <w:lang w:eastAsia="es-DO"/>
              </w:rPr>
              <w:t>1,443.8</w:t>
            </w:r>
          </w:p>
        </w:tc>
      </w:tr>
      <w:tr w:rsidR="00A57704" w:rsidRPr="002D5B20" w14:paraId="55FD9D96" w14:textId="77777777" w:rsidTr="00E331D5">
        <w:trPr>
          <w:trHeight w:val="300"/>
        </w:trPr>
        <w:tc>
          <w:tcPr>
            <w:tcW w:w="2204" w:type="dxa"/>
            <w:tcBorders>
              <w:top w:val="nil"/>
              <w:left w:val="single" w:sz="4" w:space="0" w:color="auto"/>
              <w:bottom w:val="single" w:sz="4" w:space="0" w:color="auto"/>
              <w:right w:val="single" w:sz="4" w:space="0" w:color="auto"/>
            </w:tcBorders>
            <w:shd w:val="clear" w:color="auto" w:fill="auto"/>
            <w:noWrap/>
            <w:vAlign w:val="bottom"/>
            <w:hideMark/>
          </w:tcPr>
          <w:p w14:paraId="44E10864" w14:textId="77777777" w:rsidR="00A57704" w:rsidRPr="002D5B20" w:rsidRDefault="00A57704" w:rsidP="00A57704">
            <w:pPr>
              <w:spacing w:after="0"/>
              <w:rPr>
                <w:rFonts w:ascii="Times New Roman" w:hAnsi="Times New Roman"/>
                <w:color w:val="000000"/>
                <w:szCs w:val="20"/>
                <w:lang w:eastAsia="es-DO"/>
              </w:rPr>
            </w:pPr>
            <w:r w:rsidRPr="002D5B20">
              <w:rPr>
                <w:rFonts w:ascii="Times New Roman" w:hAnsi="Times New Roman"/>
                <w:color w:val="000000"/>
                <w:szCs w:val="20"/>
                <w:lang w:eastAsia="es-DO"/>
              </w:rPr>
              <w:t xml:space="preserve">Precipitación </w:t>
            </w:r>
            <w:r>
              <w:rPr>
                <w:rFonts w:ascii="Times New Roman" w:hAnsi="Times New Roman"/>
                <w:color w:val="000000"/>
                <w:szCs w:val="20"/>
                <w:lang w:eastAsia="es-DO"/>
              </w:rPr>
              <w:t>2019</w:t>
            </w:r>
          </w:p>
        </w:tc>
        <w:tc>
          <w:tcPr>
            <w:tcW w:w="760" w:type="dxa"/>
            <w:tcBorders>
              <w:top w:val="nil"/>
              <w:left w:val="nil"/>
              <w:bottom w:val="single" w:sz="4" w:space="0" w:color="auto"/>
              <w:right w:val="single" w:sz="4" w:space="0" w:color="auto"/>
            </w:tcBorders>
            <w:shd w:val="clear" w:color="auto" w:fill="auto"/>
            <w:noWrap/>
            <w:vAlign w:val="bottom"/>
            <w:hideMark/>
          </w:tcPr>
          <w:p w14:paraId="080BCC42"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25.9</w:t>
            </w:r>
          </w:p>
        </w:tc>
        <w:tc>
          <w:tcPr>
            <w:tcW w:w="760" w:type="dxa"/>
            <w:tcBorders>
              <w:top w:val="nil"/>
              <w:left w:val="nil"/>
              <w:bottom w:val="single" w:sz="4" w:space="0" w:color="auto"/>
              <w:right w:val="single" w:sz="4" w:space="0" w:color="auto"/>
            </w:tcBorders>
            <w:shd w:val="clear" w:color="auto" w:fill="auto"/>
            <w:noWrap/>
            <w:vAlign w:val="bottom"/>
            <w:hideMark/>
          </w:tcPr>
          <w:p w14:paraId="47A7B0FB"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37.5</w:t>
            </w:r>
          </w:p>
        </w:tc>
        <w:tc>
          <w:tcPr>
            <w:tcW w:w="720" w:type="dxa"/>
            <w:tcBorders>
              <w:top w:val="nil"/>
              <w:left w:val="nil"/>
              <w:bottom w:val="single" w:sz="4" w:space="0" w:color="auto"/>
              <w:right w:val="single" w:sz="4" w:space="0" w:color="auto"/>
            </w:tcBorders>
            <w:shd w:val="clear" w:color="auto" w:fill="auto"/>
            <w:noWrap/>
            <w:vAlign w:val="bottom"/>
            <w:hideMark/>
          </w:tcPr>
          <w:p w14:paraId="073D5F16"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195.3</w:t>
            </w:r>
          </w:p>
        </w:tc>
        <w:tc>
          <w:tcPr>
            <w:tcW w:w="820" w:type="dxa"/>
            <w:tcBorders>
              <w:top w:val="nil"/>
              <w:left w:val="nil"/>
              <w:bottom w:val="single" w:sz="4" w:space="0" w:color="auto"/>
              <w:right w:val="single" w:sz="4" w:space="0" w:color="auto"/>
            </w:tcBorders>
            <w:shd w:val="clear" w:color="auto" w:fill="auto"/>
            <w:noWrap/>
            <w:vAlign w:val="bottom"/>
            <w:hideMark/>
          </w:tcPr>
          <w:p w14:paraId="5875708F"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38.1</w:t>
            </w:r>
          </w:p>
        </w:tc>
        <w:tc>
          <w:tcPr>
            <w:tcW w:w="820" w:type="dxa"/>
            <w:tcBorders>
              <w:top w:val="nil"/>
              <w:left w:val="nil"/>
              <w:bottom w:val="single" w:sz="4" w:space="0" w:color="auto"/>
              <w:right w:val="single" w:sz="4" w:space="0" w:color="auto"/>
            </w:tcBorders>
            <w:shd w:val="clear" w:color="auto" w:fill="auto"/>
            <w:noWrap/>
            <w:vAlign w:val="bottom"/>
            <w:hideMark/>
          </w:tcPr>
          <w:p w14:paraId="2C6C062D"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0.8</w:t>
            </w:r>
          </w:p>
        </w:tc>
        <w:tc>
          <w:tcPr>
            <w:tcW w:w="820" w:type="dxa"/>
            <w:tcBorders>
              <w:top w:val="nil"/>
              <w:left w:val="nil"/>
              <w:bottom w:val="single" w:sz="4" w:space="0" w:color="auto"/>
              <w:right w:val="single" w:sz="4" w:space="0" w:color="auto"/>
            </w:tcBorders>
            <w:shd w:val="clear" w:color="auto" w:fill="auto"/>
            <w:noWrap/>
            <w:vAlign w:val="bottom"/>
            <w:hideMark/>
          </w:tcPr>
          <w:p w14:paraId="4735B939"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27.9</w:t>
            </w:r>
          </w:p>
        </w:tc>
        <w:tc>
          <w:tcPr>
            <w:tcW w:w="760" w:type="dxa"/>
            <w:tcBorders>
              <w:top w:val="nil"/>
              <w:left w:val="nil"/>
              <w:bottom w:val="single" w:sz="4" w:space="0" w:color="auto"/>
              <w:right w:val="single" w:sz="4" w:space="0" w:color="auto"/>
            </w:tcBorders>
            <w:shd w:val="clear" w:color="auto" w:fill="auto"/>
            <w:noWrap/>
            <w:vAlign w:val="bottom"/>
            <w:hideMark/>
          </w:tcPr>
          <w:p w14:paraId="730FA77B"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134.5</w:t>
            </w:r>
          </w:p>
        </w:tc>
        <w:tc>
          <w:tcPr>
            <w:tcW w:w="820" w:type="dxa"/>
            <w:tcBorders>
              <w:top w:val="nil"/>
              <w:left w:val="nil"/>
              <w:bottom w:val="single" w:sz="4" w:space="0" w:color="auto"/>
              <w:right w:val="single" w:sz="4" w:space="0" w:color="auto"/>
            </w:tcBorders>
            <w:shd w:val="clear" w:color="auto" w:fill="auto"/>
            <w:noWrap/>
            <w:vAlign w:val="bottom"/>
            <w:hideMark/>
          </w:tcPr>
          <w:p w14:paraId="3A99097A"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39.0</w:t>
            </w:r>
          </w:p>
        </w:tc>
        <w:tc>
          <w:tcPr>
            <w:tcW w:w="820" w:type="dxa"/>
            <w:tcBorders>
              <w:top w:val="nil"/>
              <w:left w:val="nil"/>
              <w:bottom w:val="single" w:sz="4" w:space="0" w:color="auto"/>
              <w:right w:val="single" w:sz="4" w:space="0" w:color="auto"/>
            </w:tcBorders>
            <w:shd w:val="clear" w:color="auto" w:fill="auto"/>
            <w:noWrap/>
            <w:vAlign w:val="bottom"/>
            <w:hideMark/>
          </w:tcPr>
          <w:p w14:paraId="1C0D6776"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262.8</w:t>
            </w:r>
          </w:p>
        </w:tc>
        <w:tc>
          <w:tcPr>
            <w:tcW w:w="820" w:type="dxa"/>
            <w:tcBorders>
              <w:top w:val="nil"/>
              <w:left w:val="nil"/>
              <w:bottom w:val="single" w:sz="4" w:space="0" w:color="auto"/>
              <w:right w:val="single" w:sz="4" w:space="0" w:color="auto"/>
            </w:tcBorders>
            <w:shd w:val="clear" w:color="auto" w:fill="auto"/>
            <w:noWrap/>
            <w:vAlign w:val="bottom"/>
            <w:hideMark/>
          </w:tcPr>
          <w:p w14:paraId="4946E10C"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89.2</w:t>
            </w:r>
          </w:p>
        </w:tc>
        <w:tc>
          <w:tcPr>
            <w:tcW w:w="760" w:type="dxa"/>
            <w:tcBorders>
              <w:top w:val="nil"/>
              <w:left w:val="nil"/>
              <w:bottom w:val="single" w:sz="4" w:space="0" w:color="auto"/>
              <w:right w:val="single" w:sz="4" w:space="0" w:color="auto"/>
            </w:tcBorders>
            <w:shd w:val="clear" w:color="auto" w:fill="auto"/>
            <w:noWrap/>
            <w:vAlign w:val="bottom"/>
            <w:hideMark/>
          </w:tcPr>
          <w:p w14:paraId="3F3478A1"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38.6</w:t>
            </w:r>
          </w:p>
        </w:tc>
        <w:tc>
          <w:tcPr>
            <w:tcW w:w="720" w:type="dxa"/>
            <w:tcBorders>
              <w:top w:val="nil"/>
              <w:left w:val="nil"/>
              <w:bottom w:val="single" w:sz="4" w:space="0" w:color="auto"/>
              <w:right w:val="single" w:sz="4" w:space="0" w:color="auto"/>
            </w:tcBorders>
            <w:shd w:val="clear" w:color="auto" w:fill="auto"/>
            <w:noWrap/>
            <w:vAlign w:val="bottom"/>
            <w:hideMark/>
          </w:tcPr>
          <w:p w14:paraId="5B048836"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0</w:t>
            </w:r>
          </w:p>
        </w:tc>
        <w:tc>
          <w:tcPr>
            <w:tcW w:w="1100" w:type="dxa"/>
            <w:tcBorders>
              <w:top w:val="nil"/>
              <w:left w:val="nil"/>
              <w:bottom w:val="single" w:sz="4" w:space="0" w:color="auto"/>
              <w:right w:val="single" w:sz="4" w:space="0" w:color="auto"/>
            </w:tcBorders>
            <w:shd w:val="clear" w:color="auto" w:fill="auto"/>
            <w:noWrap/>
            <w:vAlign w:val="bottom"/>
            <w:hideMark/>
          </w:tcPr>
          <w:p w14:paraId="57EA63A5"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889.6</w:t>
            </w:r>
          </w:p>
        </w:tc>
      </w:tr>
      <w:tr w:rsidR="00A57704" w:rsidRPr="002D5B20" w14:paraId="663A3795" w14:textId="77777777" w:rsidTr="00E331D5">
        <w:trPr>
          <w:trHeight w:val="300"/>
        </w:trPr>
        <w:tc>
          <w:tcPr>
            <w:tcW w:w="2204" w:type="dxa"/>
            <w:tcBorders>
              <w:top w:val="nil"/>
              <w:left w:val="single" w:sz="4" w:space="0" w:color="auto"/>
              <w:bottom w:val="single" w:sz="4" w:space="0" w:color="auto"/>
              <w:right w:val="single" w:sz="4" w:space="0" w:color="auto"/>
            </w:tcBorders>
            <w:shd w:val="clear" w:color="auto" w:fill="auto"/>
            <w:noWrap/>
            <w:vAlign w:val="bottom"/>
            <w:hideMark/>
          </w:tcPr>
          <w:p w14:paraId="7D936BDD" w14:textId="77777777" w:rsidR="00A57704" w:rsidRPr="002D5B20" w:rsidRDefault="00A57704" w:rsidP="00A57704">
            <w:pPr>
              <w:spacing w:after="0"/>
              <w:rPr>
                <w:rFonts w:ascii="Times New Roman" w:hAnsi="Times New Roman"/>
                <w:color w:val="000000"/>
                <w:szCs w:val="20"/>
                <w:lang w:eastAsia="es-DO"/>
              </w:rPr>
            </w:pPr>
            <w:r w:rsidRPr="002D5B20">
              <w:rPr>
                <w:rFonts w:ascii="Times New Roman" w:hAnsi="Times New Roman"/>
                <w:color w:val="000000"/>
                <w:szCs w:val="20"/>
                <w:lang w:eastAsia="es-DO"/>
              </w:rPr>
              <w:t>D. Prec (%)</w:t>
            </w:r>
          </w:p>
        </w:tc>
        <w:tc>
          <w:tcPr>
            <w:tcW w:w="760" w:type="dxa"/>
            <w:tcBorders>
              <w:top w:val="nil"/>
              <w:left w:val="nil"/>
              <w:bottom w:val="single" w:sz="4" w:space="0" w:color="auto"/>
              <w:right w:val="single" w:sz="4" w:space="0" w:color="auto"/>
            </w:tcBorders>
            <w:shd w:val="clear" w:color="auto" w:fill="auto"/>
            <w:noWrap/>
            <w:vAlign w:val="bottom"/>
            <w:hideMark/>
          </w:tcPr>
          <w:p w14:paraId="1B9DFE77"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-68.4</w:t>
            </w:r>
          </w:p>
        </w:tc>
        <w:tc>
          <w:tcPr>
            <w:tcW w:w="760" w:type="dxa"/>
            <w:tcBorders>
              <w:top w:val="nil"/>
              <w:left w:val="nil"/>
              <w:bottom w:val="single" w:sz="4" w:space="0" w:color="auto"/>
              <w:right w:val="single" w:sz="4" w:space="0" w:color="auto"/>
            </w:tcBorders>
            <w:shd w:val="clear" w:color="auto" w:fill="auto"/>
            <w:noWrap/>
            <w:vAlign w:val="bottom"/>
            <w:hideMark/>
          </w:tcPr>
          <w:p w14:paraId="1737D467"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-50.1</w:t>
            </w:r>
          </w:p>
        </w:tc>
        <w:tc>
          <w:tcPr>
            <w:tcW w:w="720" w:type="dxa"/>
            <w:tcBorders>
              <w:top w:val="nil"/>
              <w:left w:val="nil"/>
              <w:bottom w:val="single" w:sz="4" w:space="0" w:color="auto"/>
              <w:right w:val="single" w:sz="4" w:space="0" w:color="auto"/>
            </w:tcBorders>
            <w:shd w:val="clear" w:color="auto" w:fill="auto"/>
            <w:noWrap/>
            <w:vAlign w:val="bottom"/>
            <w:hideMark/>
          </w:tcPr>
          <w:p w14:paraId="53DC3D99"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160.7</w:t>
            </w:r>
          </w:p>
        </w:tc>
        <w:tc>
          <w:tcPr>
            <w:tcW w:w="820" w:type="dxa"/>
            <w:tcBorders>
              <w:top w:val="nil"/>
              <w:left w:val="nil"/>
              <w:bottom w:val="single" w:sz="4" w:space="0" w:color="auto"/>
              <w:right w:val="single" w:sz="4" w:space="0" w:color="auto"/>
            </w:tcBorders>
            <w:shd w:val="clear" w:color="auto" w:fill="auto"/>
            <w:noWrap/>
            <w:vAlign w:val="bottom"/>
            <w:hideMark/>
          </w:tcPr>
          <w:p w14:paraId="4333E9AD"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-65.5</w:t>
            </w:r>
          </w:p>
        </w:tc>
        <w:tc>
          <w:tcPr>
            <w:tcW w:w="820" w:type="dxa"/>
            <w:tcBorders>
              <w:top w:val="nil"/>
              <w:left w:val="nil"/>
              <w:bottom w:val="single" w:sz="4" w:space="0" w:color="auto"/>
              <w:right w:val="single" w:sz="4" w:space="0" w:color="auto"/>
            </w:tcBorders>
            <w:shd w:val="clear" w:color="auto" w:fill="auto"/>
            <w:noWrap/>
            <w:vAlign w:val="bottom"/>
            <w:hideMark/>
          </w:tcPr>
          <w:p w14:paraId="39987C8C"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-99.6</w:t>
            </w:r>
          </w:p>
        </w:tc>
        <w:tc>
          <w:tcPr>
            <w:tcW w:w="820" w:type="dxa"/>
            <w:tcBorders>
              <w:top w:val="nil"/>
              <w:left w:val="nil"/>
              <w:bottom w:val="single" w:sz="4" w:space="0" w:color="auto"/>
              <w:right w:val="single" w:sz="4" w:space="0" w:color="auto"/>
            </w:tcBorders>
            <w:shd w:val="clear" w:color="auto" w:fill="auto"/>
            <w:noWrap/>
            <w:vAlign w:val="bottom"/>
            <w:hideMark/>
          </w:tcPr>
          <w:p w14:paraId="29EED383"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-65.6</w:t>
            </w:r>
          </w:p>
        </w:tc>
        <w:tc>
          <w:tcPr>
            <w:tcW w:w="760" w:type="dxa"/>
            <w:tcBorders>
              <w:top w:val="nil"/>
              <w:left w:val="nil"/>
              <w:bottom w:val="single" w:sz="4" w:space="0" w:color="auto"/>
              <w:right w:val="single" w:sz="4" w:space="0" w:color="auto"/>
            </w:tcBorders>
            <w:shd w:val="clear" w:color="auto" w:fill="auto"/>
            <w:noWrap/>
            <w:vAlign w:val="bottom"/>
            <w:hideMark/>
          </w:tcPr>
          <w:p w14:paraId="4A351B76"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27.2</w:t>
            </w:r>
          </w:p>
        </w:tc>
        <w:tc>
          <w:tcPr>
            <w:tcW w:w="820" w:type="dxa"/>
            <w:tcBorders>
              <w:top w:val="nil"/>
              <w:left w:val="nil"/>
              <w:bottom w:val="single" w:sz="4" w:space="0" w:color="auto"/>
              <w:right w:val="single" w:sz="4" w:space="0" w:color="auto"/>
            </w:tcBorders>
            <w:shd w:val="clear" w:color="auto" w:fill="auto"/>
            <w:noWrap/>
            <w:vAlign w:val="bottom"/>
            <w:hideMark/>
          </w:tcPr>
          <w:p w14:paraId="726B53A8"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-72.1</w:t>
            </w:r>
          </w:p>
        </w:tc>
        <w:tc>
          <w:tcPr>
            <w:tcW w:w="820" w:type="dxa"/>
            <w:tcBorders>
              <w:top w:val="nil"/>
              <w:left w:val="nil"/>
              <w:bottom w:val="single" w:sz="4" w:space="0" w:color="auto"/>
              <w:right w:val="single" w:sz="4" w:space="0" w:color="auto"/>
            </w:tcBorders>
            <w:shd w:val="clear" w:color="auto" w:fill="auto"/>
            <w:noWrap/>
            <w:vAlign w:val="bottom"/>
            <w:hideMark/>
          </w:tcPr>
          <w:p w14:paraId="1A755369"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89.3</w:t>
            </w:r>
          </w:p>
        </w:tc>
        <w:tc>
          <w:tcPr>
            <w:tcW w:w="820" w:type="dxa"/>
            <w:tcBorders>
              <w:top w:val="nil"/>
              <w:left w:val="nil"/>
              <w:bottom w:val="single" w:sz="4" w:space="0" w:color="auto"/>
              <w:right w:val="single" w:sz="4" w:space="0" w:color="auto"/>
            </w:tcBorders>
            <w:shd w:val="clear" w:color="auto" w:fill="auto"/>
            <w:noWrap/>
            <w:vAlign w:val="bottom"/>
            <w:hideMark/>
          </w:tcPr>
          <w:p w14:paraId="220DB4E5"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-46.9</w:t>
            </w:r>
          </w:p>
        </w:tc>
        <w:tc>
          <w:tcPr>
            <w:tcW w:w="760" w:type="dxa"/>
            <w:tcBorders>
              <w:top w:val="nil"/>
              <w:left w:val="nil"/>
              <w:bottom w:val="single" w:sz="4" w:space="0" w:color="auto"/>
              <w:right w:val="single" w:sz="4" w:space="0" w:color="auto"/>
            </w:tcBorders>
            <w:shd w:val="clear" w:color="auto" w:fill="auto"/>
            <w:noWrap/>
            <w:vAlign w:val="bottom"/>
            <w:hideMark/>
          </w:tcPr>
          <w:p w14:paraId="02E16F31"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-74.9</w:t>
            </w:r>
          </w:p>
        </w:tc>
        <w:tc>
          <w:tcPr>
            <w:tcW w:w="720" w:type="dxa"/>
            <w:tcBorders>
              <w:top w:val="nil"/>
              <w:left w:val="nil"/>
              <w:bottom w:val="single" w:sz="4" w:space="0" w:color="auto"/>
              <w:right w:val="single" w:sz="4" w:space="0" w:color="auto"/>
            </w:tcBorders>
            <w:shd w:val="clear" w:color="auto" w:fill="auto"/>
            <w:noWrap/>
            <w:vAlign w:val="bottom"/>
            <w:hideMark/>
          </w:tcPr>
          <w:p w14:paraId="1D734E8B" w14:textId="77777777" w:rsidR="00A57704" w:rsidRPr="002D5B20" w:rsidRDefault="00A57704" w:rsidP="00A57704">
            <w:pPr>
              <w:spacing w:after="0"/>
              <w:jc w:val="center"/>
              <w:rPr>
                <w:rFonts w:ascii="Times New Roman" w:hAnsi="Times New Roman"/>
                <w:color w:val="000000"/>
                <w:szCs w:val="20"/>
                <w:lang w:eastAsia="es-DO"/>
              </w:rPr>
            </w:pPr>
            <w:r>
              <w:rPr>
                <w:rFonts w:ascii="Times New Roman" w:hAnsi="Times New Roman"/>
                <w:color w:val="000000"/>
                <w:szCs w:val="20"/>
                <w:lang w:eastAsia="es-DO"/>
              </w:rPr>
              <w:t>0</w:t>
            </w:r>
          </w:p>
        </w:tc>
        <w:tc>
          <w:tcPr>
            <w:tcW w:w="1100" w:type="dxa"/>
            <w:tcBorders>
              <w:top w:val="nil"/>
              <w:left w:val="nil"/>
              <w:bottom w:val="single" w:sz="4" w:space="0" w:color="auto"/>
              <w:right w:val="single" w:sz="4" w:space="0" w:color="auto"/>
            </w:tcBorders>
            <w:shd w:val="clear" w:color="auto" w:fill="auto"/>
            <w:noWrap/>
            <w:vAlign w:val="bottom"/>
            <w:hideMark/>
          </w:tcPr>
          <w:p w14:paraId="6B98F6A0" w14:textId="77777777" w:rsidR="00A57704" w:rsidRPr="002D5B20" w:rsidRDefault="00A57704" w:rsidP="00A57704">
            <w:pPr>
              <w:spacing w:after="0"/>
              <w:jc w:val="center"/>
              <w:rPr>
                <w:rFonts w:ascii="Times New Roman" w:hAnsi="Times New Roman"/>
                <w:color w:val="000000"/>
                <w:szCs w:val="20"/>
                <w:lang w:eastAsia="es-DO"/>
              </w:rPr>
            </w:pPr>
            <w:r w:rsidRPr="002D5B20">
              <w:rPr>
                <w:rFonts w:ascii="Times New Roman" w:hAnsi="Times New Roman"/>
                <w:color w:val="000000"/>
                <w:szCs w:val="20"/>
                <w:lang w:eastAsia="es-DO"/>
              </w:rPr>
              <w:t>-22.0</w:t>
            </w:r>
          </w:p>
        </w:tc>
      </w:tr>
    </w:tbl>
    <w:p w14:paraId="627338DA" w14:textId="77777777" w:rsidR="00A57704" w:rsidRDefault="00A57704" w:rsidP="00A57704">
      <w:pPr>
        <w:spacing w:after="0"/>
        <w:rPr>
          <w:rFonts w:ascii="Times New Roman" w:hAnsi="Times New Roman"/>
        </w:rPr>
      </w:pPr>
    </w:p>
    <w:p w14:paraId="7958E858"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space="720"/>
          <w:docGrid w:linePitch="360"/>
        </w:sectPr>
      </w:pPr>
    </w:p>
    <w:p w14:paraId="62D68069" w14:textId="77777777" w:rsidR="00A57704" w:rsidRPr="00C83490" w:rsidRDefault="00A57704" w:rsidP="00A57704">
      <w:pPr>
        <w:spacing w:after="0"/>
        <w:rPr>
          <w:rFonts w:ascii="Times New Roman" w:hAnsi="Times New Roman"/>
        </w:rPr>
      </w:pPr>
    </w:p>
    <w:p w14:paraId="5A093381"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Higuey</w:t>
      </w:r>
    </w:p>
    <w:p w14:paraId="2E09C344" w14:textId="77777777" w:rsidR="00A57704" w:rsidRPr="00C83490" w:rsidRDefault="00A57704" w:rsidP="00A57704">
      <w:pPr>
        <w:spacing w:after="0"/>
        <w:rPr>
          <w:rFonts w:ascii="Times New Roman" w:hAnsi="Times New Roman"/>
        </w:rPr>
      </w:pPr>
      <w:r>
        <w:rPr>
          <w:noProof/>
          <w:lang w:eastAsia="es-DO"/>
        </w:rPr>
        <w:drawing>
          <wp:inline distT="0" distB="0" distL="0" distR="0" wp14:anchorId="42712271" wp14:editId="7601FB4D">
            <wp:extent cx="3629025" cy="1495425"/>
            <wp:effectExtent l="0" t="0" r="0" b="0"/>
            <wp:docPr id="182" name="Gráfico 18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7B588358-1C27-418D-9045-4771F95790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4794D4A8" w14:textId="77777777" w:rsidR="00A57704" w:rsidRPr="002D5B20" w:rsidRDefault="00A57704" w:rsidP="00A57704">
      <w:pPr>
        <w:spacing w:after="0"/>
        <w:rPr>
          <w:rFonts w:ascii="Times New Roman" w:hAnsi="Times New Roman"/>
          <w:sz w:val="4"/>
        </w:rPr>
      </w:pPr>
    </w:p>
    <w:p w14:paraId="33AEF96A" w14:textId="77777777" w:rsidR="00A57704" w:rsidRPr="002D5B20" w:rsidRDefault="00A57704" w:rsidP="00A57704">
      <w:pPr>
        <w:spacing w:after="0"/>
        <w:rPr>
          <w:rFonts w:ascii="Times New Roman" w:hAnsi="Times New Roman"/>
          <w:sz w:val="4"/>
        </w:rPr>
      </w:pPr>
    </w:p>
    <w:p w14:paraId="5AA31CD1" w14:textId="77777777" w:rsidR="00A57704" w:rsidRPr="002D5B20" w:rsidRDefault="00A57704" w:rsidP="00A57704">
      <w:pPr>
        <w:spacing w:after="0"/>
        <w:rPr>
          <w:rFonts w:ascii="Times New Roman" w:hAnsi="Times New Roman"/>
          <w:sz w:val="4"/>
        </w:rPr>
      </w:pPr>
    </w:p>
    <w:p w14:paraId="3E955871" w14:textId="77777777" w:rsidR="00A57704" w:rsidRPr="002D5B20" w:rsidRDefault="00A57704" w:rsidP="00A57704">
      <w:pPr>
        <w:spacing w:after="0"/>
        <w:rPr>
          <w:rFonts w:ascii="Times New Roman" w:hAnsi="Times New Roman"/>
        </w:rPr>
      </w:pPr>
    </w:p>
    <w:p w14:paraId="026EAAB7" w14:textId="77777777" w:rsidR="00A57704" w:rsidRPr="00064DDF"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6A97E2C7"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70F1873D" wp14:editId="59B1C237">
            <wp:extent cx="3400425" cy="1600200"/>
            <wp:effectExtent l="0" t="0" r="0" b="0"/>
            <wp:docPr id="201" name="Gráfico 201">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C293AACB-99CD-4539-AAB5-C0F39441A0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5FE3E441"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num="2" w:space="720"/>
          <w:docGrid w:linePitch="360"/>
        </w:sectPr>
      </w:pPr>
    </w:p>
    <w:tbl>
      <w:tblPr>
        <w:tblW w:w="12712" w:type="dxa"/>
        <w:tblInd w:w="-5" w:type="dxa"/>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A57704" w:rsidRPr="00BD5839" w14:paraId="222875A0" w14:textId="77777777" w:rsidTr="00E331D5">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7AB79835"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lastRenderedPageBreak/>
              <w:t>La Romana</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70571F1D"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59519119"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293845C6"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6ED980AA"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929DB64"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5D258E1"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31A88981"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9AFE492"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BE06C2F"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BA33B4A"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50265528"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699DC01D"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63DFF78B"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Año</w:t>
            </w:r>
          </w:p>
        </w:tc>
      </w:tr>
      <w:tr w:rsidR="00A57704" w:rsidRPr="00BD5839" w14:paraId="3DA2EF2F" w14:textId="77777777" w:rsidTr="00E331D5">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544B5" w14:textId="77777777" w:rsidR="00A57704" w:rsidRPr="00BD5839" w:rsidRDefault="00A57704" w:rsidP="00A57704">
            <w:pPr>
              <w:spacing w:after="0"/>
              <w:rPr>
                <w:rFonts w:ascii="Times New Roman" w:hAnsi="Times New Roman"/>
                <w:bCs/>
                <w:color w:val="000000"/>
                <w:lang w:eastAsia="es-DO"/>
              </w:rPr>
            </w:pPr>
            <w:r w:rsidRPr="00BD5839">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7999577"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27.1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A07DB8A"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26.2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A7DE06C"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30.8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A177E46"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48.8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2544AF9"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92.2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6CD22ED"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43.7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6C1AA4D"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46.1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EAF1B65"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100.6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EBAE036"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141.2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2384E75"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210.7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526CC59"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64.9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C7A5742"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47.4</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2C727298" w14:textId="77777777" w:rsidR="00A57704" w:rsidRPr="00BD5839" w:rsidRDefault="00A57704" w:rsidP="00A57704">
            <w:pPr>
              <w:spacing w:after="0"/>
              <w:jc w:val="center"/>
              <w:rPr>
                <w:rFonts w:ascii="Times New Roman" w:hAnsi="Times New Roman"/>
                <w:bCs/>
                <w:lang w:eastAsia="es-DO"/>
              </w:rPr>
            </w:pPr>
            <w:r w:rsidRPr="00BD5839">
              <w:rPr>
                <w:rFonts w:ascii="Times New Roman" w:hAnsi="Times New Roman"/>
                <w:bCs/>
                <w:lang w:eastAsia="es-DO"/>
              </w:rPr>
              <w:t>879.7</w:t>
            </w:r>
          </w:p>
        </w:tc>
      </w:tr>
      <w:tr w:rsidR="00A57704" w:rsidRPr="00BD5839" w14:paraId="41AA9D2C" w14:textId="77777777" w:rsidTr="00E331D5">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EC03B" w14:textId="77777777" w:rsidR="00A57704" w:rsidRPr="00BD5839" w:rsidRDefault="00A57704" w:rsidP="00A57704">
            <w:pPr>
              <w:spacing w:after="0"/>
              <w:rPr>
                <w:rFonts w:ascii="Times New Roman" w:hAnsi="Times New Roman"/>
                <w:bCs/>
                <w:color w:val="000000"/>
                <w:lang w:eastAsia="es-DO"/>
              </w:rPr>
            </w:pPr>
            <w:r w:rsidRPr="00BD5839">
              <w:rPr>
                <w:rFonts w:ascii="Times New Roman" w:hAnsi="Times New Roman"/>
                <w:bCs/>
                <w:color w:val="000000"/>
                <w:lang w:eastAsia="es-DO"/>
              </w:rPr>
              <w:t xml:space="preserve">Precipitación </w:t>
            </w:r>
            <w:r>
              <w:rPr>
                <w:rFonts w:ascii="Times New Roman" w:hAnsi="Times New Roman"/>
                <w:bCs/>
                <w:color w:val="00000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6E16F53"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43.5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1789F76"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19.7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B8A69AE"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69.8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804FCC5"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40.6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261F321"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188.0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2B8D923"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37.3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86EC446"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141.9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C6C7084"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79.9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72547ED"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154.2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C44F370"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60.9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C3BED33"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197.6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2078B60"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567AD783" w14:textId="77777777" w:rsidR="00A57704" w:rsidRPr="00BD5839" w:rsidRDefault="00A57704" w:rsidP="00A57704">
            <w:pPr>
              <w:spacing w:after="0"/>
              <w:jc w:val="center"/>
              <w:rPr>
                <w:rFonts w:ascii="Times New Roman" w:hAnsi="Times New Roman"/>
                <w:bCs/>
                <w:lang w:eastAsia="es-DO"/>
              </w:rPr>
            </w:pPr>
            <w:r>
              <w:rPr>
                <w:rFonts w:ascii="Times New Roman" w:hAnsi="Times New Roman"/>
                <w:bCs/>
                <w:lang w:eastAsia="es-DO"/>
              </w:rPr>
              <w:t>1,033.4</w:t>
            </w:r>
          </w:p>
        </w:tc>
      </w:tr>
      <w:tr w:rsidR="00A57704" w:rsidRPr="00BD5839" w14:paraId="57B17444" w14:textId="77777777" w:rsidTr="00E331D5">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C7FFE" w14:textId="77777777" w:rsidR="00A57704" w:rsidRPr="00BD5839" w:rsidRDefault="00A57704" w:rsidP="00A57704">
            <w:pPr>
              <w:spacing w:after="0"/>
              <w:rPr>
                <w:rFonts w:ascii="Times New Roman" w:hAnsi="Times New Roman"/>
                <w:bCs/>
                <w:color w:val="000000"/>
                <w:lang w:eastAsia="es-DO"/>
              </w:rPr>
            </w:pPr>
            <w:r w:rsidRPr="00BD5839">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CA71966"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60.5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1864E00"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-24.8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86B17DE"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126.6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F7F462A"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-16.8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0B37AAC"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103.9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075E1EB"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-14.6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568A825"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207.8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B0780FC"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-20.6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9EC32D0"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9.2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5664BBA"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-71.1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073E334"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204.5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8E02A6A"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2AC80D42" w14:textId="77777777" w:rsidR="00A57704" w:rsidRPr="00BD5839" w:rsidRDefault="00A57704" w:rsidP="00A57704">
            <w:pPr>
              <w:spacing w:after="0"/>
              <w:jc w:val="center"/>
              <w:rPr>
                <w:rFonts w:ascii="Times New Roman" w:hAnsi="Times New Roman"/>
                <w:bCs/>
                <w:lang w:eastAsia="es-DO"/>
              </w:rPr>
            </w:pPr>
            <w:r w:rsidRPr="00BD5839">
              <w:rPr>
                <w:rFonts w:ascii="Times New Roman" w:hAnsi="Times New Roman"/>
                <w:bCs/>
                <w:lang w:eastAsia="es-DO"/>
              </w:rPr>
              <w:t>0.6</w:t>
            </w:r>
          </w:p>
        </w:tc>
      </w:tr>
    </w:tbl>
    <w:p w14:paraId="4DC645FF" w14:textId="77777777" w:rsidR="00A57704" w:rsidRPr="00C83490" w:rsidRDefault="00A57704" w:rsidP="00A57704">
      <w:pPr>
        <w:spacing w:after="0"/>
        <w:rPr>
          <w:rFonts w:ascii="Times New Roman" w:hAnsi="Times New Roman"/>
        </w:rPr>
        <w:sectPr w:rsidR="00A57704" w:rsidRPr="00C83490" w:rsidSect="00A57704">
          <w:headerReference w:type="default" r:id="rId131"/>
          <w:type w:val="continuous"/>
          <w:pgSz w:w="15840" w:h="12240" w:orient="landscape"/>
          <w:pgMar w:top="1276" w:right="851" w:bottom="851" w:left="1440" w:header="720" w:footer="720" w:gutter="0"/>
          <w:cols w:space="720"/>
          <w:docGrid w:linePitch="360"/>
        </w:sectPr>
      </w:pPr>
    </w:p>
    <w:p w14:paraId="4A7813B0" w14:textId="77777777" w:rsidR="00A57704" w:rsidRPr="00C83490" w:rsidRDefault="00A57704" w:rsidP="00A57704">
      <w:pPr>
        <w:spacing w:after="0"/>
        <w:rPr>
          <w:rFonts w:ascii="Times New Roman" w:hAnsi="Times New Roman"/>
        </w:rPr>
      </w:pPr>
    </w:p>
    <w:p w14:paraId="7B982EC9"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La Romana</w:t>
      </w:r>
    </w:p>
    <w:p w14:paraId="1847CBC9" w14:textId="77777777" w:rsidR="00A57704" w:rsidRPr="00C83490" w:rsidRDefault="00A57704" w:rsidP="00A57704">
      <w:pPr>
        <w:spacing w:after="0"/>
        <w:rPr>
          <w:rFonts w:ascii="Times New Roman" w:hAnsi="Times New Roman"/>
        </w:rPr>
      </w:pPr>
      <w:r>
        <w:rPr>
          <w:noProof/>
          <w:lang w:eastAsia="es-DO"/>
        </w:rPr>
        <w:drawing>
          <wp:inline distT="0" distB="0" distL="0" distR="0" wp14:anchorId="6ED8020D" wp14:editId="6AFCA266">
            <wp:extent cx="3581400" cy="1562100"/>
            <wp:effectExtent l="0" t="0" r="0" b="0"/>
            <wp:docPr id="205" name="Gráfico 205">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5C01669B-8645-4F9B-81C7-667568689D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15618DC0" w14:textId="77777777" w:rsidR="00A57704" w:rsidRPr="002D5B20" w:rsidRDefault="00A57704" w:rsidP="00A57704">
      <w:pPr>
        <w:spacing w:after="0"/>
        <w:rPr>
          <w:rFonts w:ascii="Times New Roman" w:hAnsi="Times New Roman"/>
          <w:sz w:val="4"/>
        </w:rPr>
      </w:pPr>
    </w:p>
    <w:p w14:paraId="5A87CD46" w14:textId="77777777" w:rsidR="00A57704" w:rsidRPr="002D5B20" w:rsidRDefault="00A57704" w:rsidP="00A57704">
      <w:pPr>
        <w:spacing w:after="0"/>
        <w:rPr>
          <w:rFonts w:ascii="Times New Roman" w:hAnsi="Times New Roman"/>
          <w:sz w:val="4"/>
        </w:rPr>
      </w:pPr>
    </w:p>
    <w:p w14:paraId="26DADE0F" w14:textId="77777777" w:rsidR="00A57704" w:rsidRPr="002D5B20" w:rsidRDefault="00A57704" w:rsidP="00A57704">
      <w:pPr>
        <w:spacing w:after="0"/>
        <w:rPr>
          <w:rFonts w:ascii="Times New Roman" w:hAnsi="Times New Roman"/>
          <w:sz w:val="4"/>
        </w:rPr>
      </w:pPr>
    </w:p>
    <w:p w14:paraId="3585A0F1" w14:textId="77777777" w:rsidR="00A57704" w:rsidRPr="002D5B20" w:rsidRDefault="00A57704" w:rsidP="00A57704">
      <w:pPr>
        <w:spacing w:after="0"/>
        <w:rPr>
          <w:rFonts w:ascii="Times New Roman" w:hAnsi="Times New Roman"/>
        </w:rPr>
      </w:pPr>
    </w:p>
    <w:p w14:paraId="627C1FEE"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4EE1DA42"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2686D2E2" wp14:editId="4F5A8D70">
            <wp:extent cx="3552825" cy="1514475"/>
            <wp:effectExtent l="0" t="0" r="0" b="0"/>
            <wp:docPr id="206" name="Gráfico 206">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B8554991-45AD-4A0B-97CC-4D3DA295FB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tbl>
      <w:tblPr>
        <w:tblW w:w="12704" w:type="dxa"/>
        <w:tblInd w:w="-5" w:type="dxa"/>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A57704" w:rsidRPr="00BD5839" w14:paraId="7CD42E32" w14:textId="77777777" w:rsidTr="00E331D5">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497EE5ED"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San José Llanos</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244787AC"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672C8B67"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32ECD7EB"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324229F"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C50F5D7"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8F42F45"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3AC62EB4"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FFA718D"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5E316F9"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3F525C0"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3EB601AE"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676B3C43"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17F3BE31"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Año</w:t>
            </w:r>
          </w:p>
        </w:tc>
      </w:tr>
      <w:tr w:rsidR="00A57704" w:rsidRPr="00BD5839" w14:paraId="3CFC1491" w14:textId="77777777" w:rsidTr="00E331D5">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D308B" w14:textId="77777777" w:rsidR="00A57704" w:rsidRPr="00BD5839" w:rsidRDefault="00A57704" w:rsidP="00A57704">
            <w:pPr>
              <w:spacing w:after="0"/>
              <w:rPr>
                <w:rFonts w:ascii="Times New Roman" w:hAnsi="Times New Roman"/>
                <w:bCs/>
                <w:color w:val="000000"/>
                <w:szCs w:val="20"/>
                <w:lang w:eastAsia="es-DO"/>
              </w:rPr>
            </w:pPr>
            <w:r w:rsidRPr="00BD5839">
              <w:rPr>
                <w:rFonts w:ascii="Times New Roman" w:hAnsi="Times New Roman"/>
                <w:bCs/>
                <w:color w:val="000000"/>
                <w:szCs w:val="2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63C326A" w14:textId="77777777" w:rsidR="00A57704" w:rsidRPr="00BD5839" w:rsidRDefault="00A57704" w:rsidP="00A57704">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40.4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E66F853" w14:textId="77777777" w:rsidR="00A57704" w:rsidRPr="00BD5839" w:rsidRDefault="00A57704" w:rsidP="00A57704">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59.4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F51970A" w14:textId="77777777" w:rsidR="00A57704" w:rsidRPr="00BD5839" w:rsidRDefault="00A57704" w:rsidP="00A57704">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64.6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81C4376" w14:textId="77777777" w:rsidR="00A57704" w:rsidRPr="00BD5839" w:rsidRDefault="00A57704" w:rsidP="00A57704">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96.5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F54BDC4" w14:textId="77777777" w:rsidR="00A57704" w:rsidRPr="00BD5839" w:rsidRDefault="00A57704" w:rsidP="00A57704">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185.8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100CF03" w14:textId="77777777" w:rsidR="00A57704" w:rsidRPr="00BD5839" w:rsidRDefault="00A57704" w:rsidP="00A57704">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114.6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7127285" w14:textId="77777777" w:rsidR="00A57704" w:rsidRPr="00BD5839" w:rsidRDefault="00A57704" w:rsidP="00A57704">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166.8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9C01648" w14:textId="77777777" w:rsidR="00A57704" w:rsidRPr="00BD5839" w:rsidRDefault="00A57704" w:rsidP="00A57704">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186.9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923AA51" w14:textId="77777777" w:rsidR="00A57704" w:rsidRPr="00BD5839" w:rsidRDefault="00A57704" w:rsidP="00A57704">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201.7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84996F4" w14:textId="77777777" w:rsidR="00A57704" w:rsidRPr="00BD5839" w:rsidRDefault="00A57704" w:rsidP="00A57704">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192.8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A30EAF3" w14:textId="77777777" w:rsidR="00A57704" w:rsidRPr="00BD5839" w:rsidRDefault="00A57704" w:rsidP="00A57704">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92.8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1B26417" w14:textId="77777777" w:rsidR="00A57704" w:rsidRPr="00BD5839" w:rsidRDefault="00A57704" w:rsidP="00A57704">
            <w:pPr>
              <w:spacing w:after="0"/>
              <w:jc w:val="center"/>
              <w:rPr>
                <w:rFonts w:ascii="Times New Roman" w:hAnsi="Times New Roman"/>
                <w:bCs/>
                <w:color w:val="000000"/>
                <w:szCs w:val="20"/>
                <w:lang w:eastAsia="es-DO"/>
              </w:rPr>
            </w:pPr>
            <w:r w:rsidRPr="00BD5839">
              <w:rPr>
                <w:rFonts w:ascii="Times New Roman" w:hAnsi="Times New Roman"/>
                <w:bCs/>
                <w:color w:val="000000"/>
                <w:szCs w:val="20"/>
                <w:lang w:eastAsia="es-DO"/>
              </w:rPr>
              <w:t>47.9</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73B68AE9" w14:textId="77777777" w:rsidR="00A57704" w:rsidRPr="00BD5839" w:rsidRDefault="00A57704" w:rsidP="00A57704">
            <w:pPr>
              <w:spacing w:after="0"/>
              <w:jc w:val="center"/>
              <w:rPr>
                <w:rFonts w:ascii="Times New Roman" w:hAnsi="Times New Roman"/>
                <w:bCs/>
                <w:szCs w:val="20"/>
                <w:lang w:eastAsia="es-DO"/>
              </w:rPr>
            </w:pPr>
            <w:r w:rsidRPr="00BD5839">
              <w:rPr>
                <w:rFonts w:ascii="Times New Roman" w:hAnsi="Times New Roman"/>
                <w:bCs/>
                <w:szCs w:val="20"/>
                <w:lang w:eastAsia="es-DO"/>
              </w:rPr>
              <w:t>1,450.2</w:t>
            </w:r>
          </w:p>
        </w:tc>
      </w:tr>
      <w:tr w:rsidR="00A57704" w:rsidRPr="00BD5839" w14:paraId="0737CF13" w14:textId="77777777" w:rsidTr="00E331D5">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DC556" w14:textId="77777777" w:rsidR="00A57704" w:rsidRPr="00BD5839" w:rsidRDefault="00A57704" w:rsidP="00A57704">
            <w:pPr>
              <w:spacing w:after="0"/>
              <w:rPr>
                <w:rFonts w:ascii="Times New Roman" w:hAnsi="Times New Roman"/>
                <w:bCs/>
                <w:color w:val="000000"/>
                <w:szCs w:val="20"/>
                <w:lang w:eastAsia="es-DO"/>
              </w:rPr>
            </w:pPr>
            <w:r w:rsidRPr="00BD5839">
              <w:rPr>
                <w:rFonts w:ascii="Times New Roman" w:hAnsi="Times New Roman"/>
                <w:bCs/>
                <w:color w:val="000000"/>
                <w:szCs w:val="20"/>
                <w:lang w:eastAsia="es-DO"/>
              </w:rPr>
              <w:t xml:space="preserve">Precipitación </w:t>
            </w:r>
            <w:r>
              <w:rPr>
                <w:rFonts w:ascii="Times New Roman" w:hAnsi="Times New Roman"/>
                <w:bCs/>
                <w:color w:val="000000"/>
                <w:szCs w:val="2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E7832BB"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79.9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43F1C81"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26.7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4356258"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105.4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F0AAFDE"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31.1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809D90E"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235.6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CD895DF"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63.7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BFA7729"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179.5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2BA3024"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45.3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BD5C385"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134.8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2BABBA2"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115.1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0BCE222"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46.0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93C199A"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11AF2554" w14:textId="77777777" w:rsidR="00A57704" w:rsidRPr="00BD5839" w:rsidRDefault="00A57704" w:rsidP="00A57704">
            <w:pPr>
              <w:spacing w:after="0"/>
              <w:jc w:val="center"/>
              <w:rPr>
                <w:rFonts w:ascii="Times New Roman" w:hAnsi="Times New Roman"/>
                <w:bCs/>
                <w:szCs w:val="20"/>
                <w:lang w:eastAsia="es-DO"/>
              </w:rPr>
            </w:pPr>
            <w:r>
              <w:rPr>
                <w:rFonts w:ascii="Times New Roman" w:hAnsi="Times New Roman"/>
                <w:bCs/>
                <w:szCs w:val="20"/>
                <w:lang w:eastAsia="es-DO"/>
              </w:rPr>
              <w:t>1,063.1</w:t>
            </w:r>
          </w:p>
        </w:tc>
      </w:tr>
      <w:tr w:rsidR="00A57704" w:rsidRPr="00BD5839" w14:paraId="465F3BE1" w14:textId="77777777" w:rsidTr="00E331D5">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FD14A" w14:textId="77777777" w:rsidR="00A57704" w:rsidRPr="00BD5839" w:rsidRDefault="00A57704" w:rsidP="00A57704">
            <w:pPr>
              <w:spacing w:after="0"/>
              <w:rPr>
                <w:rFonts w:ascii="Times New Roman" w:hAnsi="Times New Roman"/>
                <w:bCs/>
                <w:color w:val="000000"/>
                <w:szCs w:val="20"/>
                <w:lang w:eastAsia="es-DO"/>
              </w:rPr>
            </w:pPr>
            <w:r w:rsidRPr="00BD5839">
              <w:rPr>
                <w:rFonts w:ascii="Times New Roman" w:hAnsi="Times New Roman"/>
                <w:bCs/>
                <w:color w:val="000000"/>
                <w:szCs w:val="2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0DCBF01"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97.8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F9848E7"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-55.1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031B7F6"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63.2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E6B1D86"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-67.8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E58909E"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26.8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6B0EFAA"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-44.4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CE726AC"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7.6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AC36D21"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-75.8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63E39E6"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-33.2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C3FD4CB"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-40.3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7D337FA"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-50.4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D174F8E" w14:textId="77777777" w:rsidR="00A57704" w:rsidRPr="00BD5839"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6253DD57" w14:textId="77777777" w:rsidR="00A57704" w:rsidRPr="00BD5839" w:rsidRDefault="00A57704" w:rsidP="00A57704">
            <w:pPr>
              <w:spacing w:after="0"/>
              <w:jc w:val="center"/>
              <w:rPr>
                <w:rFonts w:ascii="Times New Roman" w:hAnsi="Times New Roman"/>
                <w:bCs/>
                <w:szCs w:val="20"/>
                <w:lang w:eastAsia="es-DO"/>
              </w:rPr>
            </w:pPr>
            <w:r w:rsidRPr="00BD5839">
              <w:rPr>
                <w:rFonts w:ascii="Times New Roman" w:hAnsi="Times New Roman"/>
                <w:bCs/>
                <w:szCs w:val="20"/>
                <w:lang w:eastAsia="es-DO"/>
              </w:rPr>
              <w:t>-1.3</w:t>
            </w:r>
          </w:p>
        </w:tc>
      </w:tr>
    </w:tbl>
    <w:p w14:paraId="4E890872" w14:textId="77777777" w:rsidR="00A57704" w:rsidRDefault="00A57704" w:rsidP="00A57704">
      <w:pPr>
        <w:spacing w:after="0"/>
        <w:rPr>
          <w:rFonts w:ascii="Times New Roman" w:hAnsi="Times New Roman"/>
        </w:rPr>
      </w:pPr>
    </w:p>
    <w:p w14:paraId="7A15D1DB"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space="720"/>
          <w:docGrid w:linePitch="360"/>
        </w:sectPr>
      </w:pPr>
    </w:p>
    <w:p w14:paraId="3D3AB98E" w14:textId="77777777" w:rsidR="00E331D5" w:rsidRDefault="00E331D5" w:rsidP="00E331D5">
      <w:pPr>
        <w:pStyle w:val="Prrafodelista"/>
        <w:spacing w:after="0"/>
        <w:ind w:left="567"/>
        <w:rPr>
          <w:rFonts w:ascii="Times New Roman" w:hAnsi="Times New Roman"/>
        </w:rPr>
      </w:pPr>
    </w:p>
    <w:p w14:paraId="2B96C3EF" w14:textId="0B0440E8"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San José de los Llanos</w:t>
      </w:r>
    </w:p>
    <w:p w14:paraId="51E76903" w14:textId="77777777" w:rsidR="00A57704" w:rsidRPr="00C83490" w:rsidRDefault="00A57704" w:rsidP="00A57704">
      <w:pPr>
        <w:spacing w:after="0"/>
        <w:rPr>
          <w:rFonts w:ascii="Times New Roman" w:hAnsi="Times New Roman"/>
        </w:rPr>
      </w:pPr>
      <w:r>
        <w:rPr>
          <w:noProof/>
          <w:lang w:eastAsia="es-DO"/>
        </w:rPr>
        <w:drawing>
          <wp:inline distT="0" distB="0" distL="0" distR="0" wp14:anchorId="5BA68C5E" wp14:editId="01868088">
            <wp:extent cx="3581400" cy="1609725"/>
            <wp:effectExtent l="0" t="0" r="0" b="0"/>
            <wp:docPr id="10" name="Gráfico 10">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45CB32B1-DFED-4B89-A80F-FC7D4EC856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35B472FB" w14:textId="77777777" w:rsidR="00A57704" w:rsidRPr="002D5B20" w:rsidRDefault="00A57704" w:rsidP="00A57704">
      <w:pPr>
        <w:spacing w:after="0"/>
        <w:rPr>
          <w:rFonts w:ascii="Times New Roman" w:hAnsi="Times New Roman"/>
          <w:sz w:val="4"/>
        </w:rPr>
      </w:pPr>
    </w:p>
    <w:p w14:paraId="66ABC752" w14:textId="77777777" w:rsidR="00A57704" w:rsidRPr="002D5B20" w:rsidRDefault="00A57704" w:rsidP="00A57704">
      <w:pPr>
        <w:spacing w:after="0"/>
        <w:rPr>
          <w:rFonts w:ascii="Times New Roman" w:hAnsi="Times New Roman"/>
          <w:sz w:val="4"/>
        </w:rPr>
      </w:pPr>
    </w:p>
    <w:p w14:paraId="670A8135" w14:textId="77777777" w:rsidR="00A57704" w:rsidRPr="002D5B20" w:rsidRDefault="00A57704" w:rsidP="00A57704">
      <w:pPr>
        <w:spacing w:after="0"/>
        <w:rPr>
          <w:rFonts w:ascii="Times New Roman" w:hAnsi="Times New Roman"/>
          <w:sz w:val="4"/>
        </w:rPr>
      </w:pPr>
    </w:p>
    <w:p w14:paraId="28935095" w14:textId="77777777" w:rsidR="00E331D5" w:rsidRDefault="00E331D5" w:rsidP="00E331D5">
      <w:pPr>
        <w:pStyle w:val="Prrafodelista"/>
        <w:spacing w:after="0" w:line="240" w:lineRule="auto"/>
        <w:ind w:left="567"/>
        <w:rPr>
          <w:rFonts w:ascii="Times New Roman" w:hAnsi="Times New Roman"/>
        </w:rPr>
      </w:pPr>
    </w:p>
    <w:p w14:paraId="6C6FDF07" w14:textId="016F5EC5"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1ACC0AA7" w14:textId="77777777" w:rsidR="00A57704" w:rsidRDefault="00A57704" w:rsidP="00A57704">
      <w:pPr>
        <w:spacing w:after="0"/>
        <w:rPr>
          <w:rFonts w:ascii="Times New Roman" w:hAnsi="Times New Roman"/>
        </w:rPr>
      </w:pPr>
      <w:r>
        <w:rPr>
          <w:noProof/>
          <w:lang w:eastAsia="es-DO"/>
        </w:rPr>
        <w:drawing>
          <wp:inline distT="0" distB="0" distL="0" distR="0" wp14:anchorId="542228BC" wp14:editId="11C3FF78">
            <wp:extent cx="3638550" cy="1504950"/>
            <wp:effectExtent l="0" t="0" r="0" b="0"/>
            <wp:docPr id="11" name="Gráfico 11">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63D64BE0-0D0F-4E7A-A623-52C5CDE66D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20C16CEE" w14:textId="77777777" w:rsidR="00A57704" w:rsidRDefault="00A57704" w:rsidP="00A57704">
      <w:pPr>
        <w:spacing w:after="0"/>
        <w:rPr>
          <w:rFonts w:ascii="Times New Roman" w:hAnsi="Times New Roman"/>
        </w:rPr>
      </w:pPr>
    </w:p>
    <w:p w14:paraId="377CAC25" w14:textId="77777777" w:rsidR="00A57704" w:rsidRDefault="00A57704" w:rsidP="00A57704">
      <w:pPr>
        <w:spacing w:after="0"/>
        <w:rPr>
          <w:rFonts w:ascii="Times New Roman" w:hAnsi="Times New Roman"/>
        </w:rPr>
        <w:sectPr w:rsidR="00A57704" w:rsidSect="00A57704">
          <w:headerReference w:type="default" r:id="rId136"/>
          <w:type w:val="continuous"/>
          <w:pgSz w:w="15840" w:h="12240" w:orient="landscape"/>
          <w:pgMar w:top="1276" w:right="851" w:bottom="851" w:left="1440" w:header="720" w:footer="720" w:gutter="0"/>
          <w:cols w:num="2" w:space="720"/>
          <w:docGrid w:linePitch="360"/>
        </w:sectPr>
      </w:pPr>
    </w:p>
    <w:p w14:paraId="44E4DE6F" w14:textId="77777777" w:rsidR="00A57704" w:rsidRDefault="00A57704" w:rsidP="00A57704">
      <w:pPr>
        <w:spacing w:after="0"/>
        <w:rPr>
          <w:rFonts w:ascii="Times New Roman" w:hAnsi="Times New Roman"/>
        </w:rPr>
      </w:pPr>
    </w:p>
    <w:tbl>
      <w:tblPr>
        <w:tblW w:w="12712" w:type="dxa"/>
        <w:tblInd w:w="-5" w:type="dxa"/>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A57704" w:rsidRPr="00BD5839" w14:paraId="3F93AB81" w14:textId="77777777" w:rsidTr="00E331D5">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1B361DBF"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lastRenderedPageBreak/>
              <w:t>Santo Domingo</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061FDE90"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0FA9FA4E"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06F43A76"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62737637"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028B0269"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9E8353C"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4C4F1664"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11AD1C6"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CEE4B6E"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6CD0A522"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1B5BF1F4"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315DE6FF"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7A7397CE"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Año</w:t>
            </w:r>
          </w:p>
        </w:tc>
      </w:tr>
      <w:tr w:rsidR="00A57704" w:rsidRPr="00BD5839" w14:paraId="1044BE01" w14:textId="77777777" w:rsidTr="00E331D5">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73C79" w14:textId="77777777" w:rsidR="00A57704" w:rsidRPr="00BD5839" w:rsidRDefault="00A57704" w:rsidP="00A57704">
            <w:pPr>
              <w:spacing w:after="0"/>
              <w:rPr>
                <w:rFonts w:ascii="Times New Roman" w:hAnsi="Times New Roman"/>
                <w:bCs/>
                <w:color w:val="000000"/>
                <w:lang w:eastAsia="es-DO"/>
              </w:rPr>
            </w:pPr>
            <w:r w:rsidRPr="00BD5839">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F47A1CF"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74.5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A17505A"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67.9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B72517B"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61.9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BACABC8"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72.1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A46F82B"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176.6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FAB3B4C"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116.4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70EBCDC"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131.2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B700D21"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178.1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4B47039"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208.7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9420E41"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186.2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6299B65"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132.5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53B4BFB" w14:textId="77777777" w:rsidR="00A57704" w:rsidRPr="00BD5839" w:rsidRDefault="00A57704" w:rsidP="00A57704">
            <w:pPr>
              <w:spacing w:after="0"/>
              <w:jc w:val="center"/>
              <w:rPr>
                <w:rFonts w:ascii="Times New Roman" w:hAnsi="Times New Roman"/>
                <w:bCs/>
                <w:color w:val="000000"/>
                <w:lang w:eastAsia="es-DO"/>
              </w:rPr>
            </w:pPr>
            <w:r w:rsidRPr="00BD5839">
              <w:rPr>
                <w:rFonts w:ascii="Times New Roman" w:hAnsi="Times New Roman"/>
                <w:bCs/>
                <w:color w:val="000000"/>
                <w:lang w:eastAsia="es-DO"/>
              </w:rPr>
              <w:t>82.9</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0EDEB14E" w14:textId="77777777" w:rsidR="00A57704" w:rsidRPr="00BD5839" w:rsidRDefault="00A57704" w:rsidP="00A57704">
            <w:pPr>
              <w:spacing w:after="0"/>
              <w:jc w:val="center"/>
              <w:rPr>
                <w:rFonts w:ascii="Times New Roman" w:hAnsi="Times New Roman"/>
                <w:bCs/>
                <w:lang w:eastAsia="es-DO"/>
              </w:rPr>
            </w:pPr>
            <w:r w:rsidRPr="00BD5839">
              <w:rPr>
                <w:rFonts w:ascii="Times New Roman" w:hAnsi="Times New Roman"/>
                <w:bCs/>
                <w:lang w:eastAsia="es-DO"/>
              </w:rPr>
              <w:t>1,489.0</w:t>
            </w:r>
          </w:p>
        </w:tc>
      </w:tr>
      <w:tr w:rsidR="00A57704" w:rsidRPr="00BD5839" w14:paraId="18F37220" w14:textId="77777777" w:rsidTr="00E331D5">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9D679" w14:textId="77777777" w:rsidR="00A57704" w:rsidRPr="00BD5839" w:rsidRDefault="00A57704" w:rsidP="00A57704">
            <w:pPr>
              <w:spacing w:after="0"/>
              <w:rPr>
                <w:rFonts w:ascii="Times New Roman" w:hAnsi="Times New Roman"/>
                <w:bCs/>
                <w:color w:val="000000"/>
                <w:lang w:eastAsia="es-DO"/>
              </w:rPr>
            </w:pPr>
            <w:r w:rsidRPr="00BD5839">
              <w:rPr>
                <w:rFonts w:ascii="Times New Roman" w:hAnsi="Times New Roman"/>
                <w:bCs/>
                <w:color w:val="000000"/>
                <w:lang w:eastAsia="es-DO"/>
              </w:rPr>
              <w:t xml:space="preserve">Precipitación </w:t>
            </w:r>
            <w:r>
              <w:rPr>
                <w:rFonts w:ascii="Times New Roman" w:hAnsi="Times New Roman"/>
                <w:bCs/>
                <w:color w:val="00000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DE5BCF2"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36.8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18E535A"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10.9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C206975"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34.0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27A651A"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42.0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C8567BE"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56.8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4E9C0EF"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11.1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69B73A9"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147.3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4B0BDEA"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62.8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B72713B"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88.3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06EB940"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63.8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2C5BDC4"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70.7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70DE929"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2BB6A562" w14:textId="77777777" w:rsidR="00A57704" w:rsidRPr="00BD5839" w:rsidRDefault="00A57704" w:rsidP="00A57704">
            <w:pPr>
              <w:spacing w:after="0"/>
              <w:jc w:val="center"/>
              <w:rPr>
                <w:rFonts w:ascii="Times New Roman" w:hAnsi="Times New Roman"/>
                <w:bCs/>
                <w:lang w:eastAsia="es-DO"/>
              </w:rPr>
            </w:pPr>
            <w:r>
              <w:rPr>
                <w:rFonts w:ascii="Times New Roman" w:hAnsi="Times New Roman"/>
                <w:bCs/>
                <w:lang w:eastAsia="es-DO"/>
              </w:rPr>
              <w:t>624.5</w:t>
            </w:r>
          </w:p>
        </w:tc>
      </w:tr>
      <w:tr w:rsidR="00A57704" w:rsidRPr="00BD5839" w14:paraId="5BCB2AEF" w14:textId="77777777" w:rsidTr="00E331D5">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E0114" w14:textId="77777777" w:rsidR="00A57704" w:rsidRPr="00BD5839" w:rsidRDefault="00A57704" w:rsidP="00A57704">
            <w:pPr>
              <w:spacing w:after="0"/>
              <w:rPr>
                <w:rFonts w:ascii="Times New Roman" w:hAnsi="Times New Roman"/>
                <w:bCs/>
                <w:color w:val="000000"/>
                <w:lang w:eastAsia="es-DO"/>
              </w:rPr>
            </w:pPr>
            <w:r w:rsidRPr="00BD5839">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D2C32BB"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-50.6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3A3214D"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-83.9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4415A12"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-45.1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A2928E0"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-41.7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811E607"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-67.8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1B26D6A"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-90.5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51C514D"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12.3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A67CFFC"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-64.7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BA2EEA9"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-57.7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4AA8364"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-65.7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C7F5D6F"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-46.6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D303773" w14:textId="77777777" w:rsidR="00A57704" w:rsidRPr="00BD5839"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3DCC2599" w14:textId="77777777" w:rsidR="00A57704" w:rsidRPr="00BD5839" w:rsidRDefault="00A57704" w:rsidP="00A57704">
            <w:pPr>
              <w:spacing w:after="0"/>
              <w:jc w:val="center"/>
              <w:rPr>
                <w:rFonts w:ascii="Times New Roman" w:hAnsi="Times New Roman"/>
                <w:bCs/>
                <w:lang w:eastAsia="es-DO"/>
              </w:rPr>
            </w:pPr>
            <w:r w:rsidRPr="00BD5839">
              <w:rPr>
                <w:rFonts w:ascii="Times New Roman" w:hAnsi="Times New Roman"/>
                <w:bCs/>
                <w:lang w:eastAsia="es-DO"/>
              </w:rPr>
              <w:t>16.0</w:t>
            </w:r>
          </w:p>
        </w:tc>
      </w:tr>
    </w:tbl>
    <w:p w14:paraId="1C3AF030" w14:textId="77777777" w:rsidR="00A57704" w:rsidRPr="00C83490" w:rsidRDefault="00A57704" w:rsidP="00A57704">
      <w:pPr>
        <w:spacing w:after="0"/>
        <w:rPr>
          <w:rFonts w:ascii="Times New Roman" w:hAnsi="Times New Roman"/>
        </w:rPr>
        <w:sectPr w:rsidR="00A57704" w:rsidRPr="00C83490" w:rsidSect="00A57704">
          <w:type w:val="continuous"/>
          <w:pgSz w:w="15840" w:h="12240" w:orient="landscape"/>
          <w:pgMar w:top="1276" w:right="851" w:bottom="851" w:left="1440" w:header="720" w:footer="720" w:gutter="0"/>
          <w:cols w:space="720"/>
          <w:docGrid w:linePitch="360"/>
        </w:sectPr>
      </w:pPr>
    </w:p>
    <w:p w14:paraId="1C1D215B" w14:textId="77777777" w:rsidR="00A57704" w:rsidRPr="00C83490" w:rsidRDefault="00A57704" w:rsidP="00A57704">
      <w:pPr>
        <w:spacing w:after="0"/>
        <w:rPr>
          <w:rFonts w:ascii="Times New Roman" w:hAnsi="Times New Roman"/>
        </w:rPr>
      </w:pPr>
    </w:p>
    <w:p w14:paraId="24955137"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Santo Domingo</w:t>
      </w:r>
    </w:p>
    <w:p w14:paraId="0F596474" w14:textId="77777777" w:rsidR="00A57704" w:rsidRPr="00C83490" w:rsidRDefault="00A57704" w:rsidP="00A57704">
      <w:pPr>
        <w:spacing w:after="0"/>
        <w:rPr>
          <w:rFonts w:ascii="Times New Roman" w:hAnsi="Times New Roman"/>
        </w:rPr>
      </w:pPr>
      <w:r>
        <w:rPr>
          <w:noProof/>
          <w:lang w:eastAsia="es-DO"/>
        </w:rPr>
        <w:drawing>
          <wp:inline distT="0" distB="0" distL="0" distR="0" wp14:anchorId="2F281B86" wp14:editId="7F9410C4">
            <wp:extent cx="3599815" cy="1666875"/>
            <wp:effectExtent l="0" t="0" r="635" b="0"/>
            <wp:docPr id="12" name="Gráfico 1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C2B24568-03ED-4E23-938D-882C197F78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736F75D4" w14:textId="77777777" w:rsidR="00A57704" w:rsidRPr="002D5B20" w:rsidRDefault="00A57704" w:rsidP="00A57704">
      <w:pPr>
        <w:spacing w:after="0"/>
        <w:rPr>
          <w:rFonts w:ascii="Times New Roman" w:hAnsi="Times New Roman"/>
          <w:sz w:val="4"/>
        </w:rPr>
      </w:pPr>
    </w:p>
    <w:p w14:paraId="16082EFE" w14:textId="77777777" w:rsidR="00A57704" w:rsidRPr="002D5B20" w:rsidRDefault="00A57704" w:rsidP="00A57704">
      <w:pPr>
        <w:spacing w:after="0"/>
        <w:rPr>
          <w:rFonts w:ascii="Times New Roman" w:hAnsi="Times New Roman"/>
          <w:sz w:val="4"/>
        </w:rPr>
      </w:pPr>
    </w:p>
    <w:p w14:paraId="52FF8C2E" w14:textId="77777777" w:rsidR="00A57704" w:rsidRPr="002D5B20" w:rsidRDefault="00A57704" w:rsidP="00A57704">
      <w:pPr>
        <w:spacing w:after="0"/>
        <w:rPr>
          <w:rFonts w:ascii="Times New Roman" w:hAnsi="Times New Roman"/>
          <w:sz w:val="4"/>
        </w:rPr>
      </w:pPr>
    </w:p>
    <w:p w14:paraId="30B1AC9C" w14:textId="77777777" w:rsidR="00A57704" w:rsidRPr="002D5B20" w:rsidRDefault="00A57704" w:rsidP="00A57704">
      <w:pPr>
        <w:spacing w:after="0"/>
        <w:rPr>
          <w:rFonts w:ascii="Times New Roman" w:hAnsi="Times New Roman"/>
        </w:rPr>
      </w:pPr>
    </w:p>
    <w:p w14:paraId="2B37A5BB"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10DDAE3C"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20A3AB51" wp14:editId="6B237B55">
            <wp:extent cx="3638550" cy="1685925"/>
            <wp:effectExtent l="0" t="0" r="0" b="0"/>
            <wp:docPr id="207" name="Gráfico 207">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9DF79ADE-B649-4DF8-9FBE-FD54B93646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tbl>
      <w:tblPr>
        <w:tblW w:w="12704" w:type="dxa"/>
        <w:tblInd w:w="-5" w:type="dxa"/>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A57704" w:rsidRPr="00FD78AB" w14:paraId="785FD09B" w14:textId="77777777" w:rsidTr="00E331D5">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2371E939"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San Cristobal</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640CF6BD"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606291FE"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4087953D"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C752871"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59D4461"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D55021A"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613E5026"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E959E31"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3CE29637"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BA9A2B5"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15D3D4B8"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7A945DF3"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28E51B94"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Año</w:t>
            </w:r>
          </w:p>
        </w:tc>
      </w:tr>
      <w:tr w:rsidR="00A57704" w:rsidRPr="00FD78AB" w14:paraId="10845BBC" w14:textId="77777777" w:rsidTr="00E331D5">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2D454" w14:textId="77777777" w:rsidR="00A57704" w:rsidRPr="00FD78AB" w:rsidRDefault="00A57704" w:rsidP="00A57704">
            <w:pPr>
              <w:spacing w:after="0"/>
              <w:rPr>
                <w:rFonts w:ascii="Times New Roman" w:hAnsi="Times New Roman"/>
                <w:bCs/>
                <w:color w:val="000000"/>
                <w:szCs w:val="20"/>
                <w:lang w:eastAsia="es-DO"/>
              </w:rPr>
            </w:pPr>
            <w:r w:rsidRPr="00FD78AB">
              <w:rPr>
                <w:rFonts w:ascii="Times New Roman" w:hAnsi="Times New Roman"/>
                <w:bCs/>
                <w:color w:val="000000"/>
                <w:szCs w:val="2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9286478" w14:textId="77777777" w:rsidR="00A57704" w:rsidRPr="00FD78AB" w:rsidRDefault="00A57704" w:rsidP="00A57704">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68.0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DA33426" w14:textId="77777777" w:rsidR="00A57704" w:rsidRPr="00FD78AB" w:rsidRDefault="00A57704" w:rsidP="00A57704">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61.2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9146680" w14:textId="77777777" w:rsidR="00A57704" w:rsidRPr="00FD78AB" w:rsidRDefault="00A57704" w:rsidP="00A57704">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68.0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EAD2E64" w14:textId="77777777" w:rsidR="00A57704" w:rsidRPr="00FD78AB" w:rsidRDefault="00A57704" w:rsidP="00A57704">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77.3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4D98FC3" w14:textId="77777777" w:rsidR="00A57704" w:rsidRPr="00FD78AB" w:rsidRDefault="00A57704" w:rsidP="00A57704">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195.4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96D1917" w14:textId="77777777" w:rsidR="00A57704" w:rsidRPr="00FD78AB" w:rsidRDefault="00A57704" w:rsidP="00A57704">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180.2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9683463" w14:textId="77777777" w:rsidR="00A57704" w:rsidRPr="00FD78AB" w:rsidRDefault="00A57704" w:rsidP="00A57704">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131.0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DAE9A2C" w14:textId="77777777" w:rsidR="00A57704" w:rsidRPr="00FD78AB" w:rsidRDefault="00A57704" w:rsidP="00A57704">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186.3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E5D6C83" w14:textId="77777777" w:rsidR="00A57704" w:rsidRPr="00FD78AB" w:rsidRDefault="00A57704" w:rsidP="00A57704">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194.9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118D866" w14:textId="77777777" w:rsidR="00A57704" w:rsidRPr="00FD78AB" w:rsidRDefault="00A57704" w:rsidP="00A57704">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181.8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1328FBA" w14:textId="77777777" w:rsidR="00A57704" w:rsidRPr="00FD78AB" w:rsidRDefault="00A57704" w:rsidP="00A57704">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127.9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BC0C822" w14:textId="77777777" w:rsidR="00A57704" w:rsidRPr="00FD78AB" w:rsidRDefault="00A57704" w:rsidP="00A57704">
            <w:pPr>
              <w:spacing w:after="0"/>
              <w:jc w:val="center"/>
              <w:rPr>
                <w:rFonts w:ascii="Times New Roman" w:hAnsi="Times New Roman"/>
                <w:bCs/>
                <w:color w:val="000000"/>
                <w:szCs w:val="20"/>
                <w:lang w:eastAsia="es-DO"/>
              </w:rPr>
            </w:pPr>
            <w:r w:rsidRPr="00FD78AB">
              <w:rPr>
                <w:rFonts w:ascii="Times New Roman" w:hAnsi="Times New Roman"/>
                <w:bCs/>
                <w:color w:val="000000"/>
                <w:szCs w:val="20"/>
                <w:lang w:eastAsia="es-DO"/>
              </w:rPr>
              <w:t>70.2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6DCA9A0A" w14:textId="77777777" w:rsidR="00A57704" w:rsidRPr="00FD78AB" w:rsidRDefault="00A57704" w:rsidP="00A57704">
            <w:pPr>
              <w:spacing w:after="0"/>
              <w:jc w:val="center"/>
              <w:rPr>
                <w:rFonts w:ascii="Times New Roman" w:hAnsi="Times New Roman"/>
                <w:bCs/>
                <w:szCs w:val="20"/>
                <w:lang w:eastAsia="es-DO"/>
              </w:rPr>
            </w:pPr>
            <w:r w:rsidRPr="00FD78AB">
              <w:rPr>
                <w:rFonts w:ascii="Times New Roman" w:hAnsi="Times New Roman"/>
                <w:bCs/>
                <w:szCs w:val="20"/>
                <w:lang w:eastAsia="es-DO"/>
              </w:rPr>
              <w:t>1,542.2</w:t>
            </w:r>
          </w:p>
        </w:tc>
      </w:tr>
      <w:tr w:rsidR="00A57704" w:rsidRPr="00FD78AB" w14:paraId="317B79A9" w14:textId="77777777" w:rsidTr="00E331D5">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FF691" w14:textId="77777777" w:rsidR="00A57704" w:rsidRPr="00FD78AB" w:rsidRDefault="00A57704" w:rsidP="00A57704">
            <w:pPr>
              <w:spacing w:after="0"/>
              <w:rPr>
                <w:rFonts w:ascii="Times New Roman" w:hAnsi="Times New Roman"/>
                <w:bCs/>
                <w:color w:val="000000"/>
                <w:szCs w:val="20"/>
                <w:lang w:eastAsia="es-DO"/>
              </w:rPr>
            </w:pPr>
            <w:r w:rsidRPr="00FD78AB">
              <w:rPr>
                <w:rFonts w:ascii="Times New Roman" w:hAnsi="Times New Roman"/>
                <w:bCs/>
                <w:color w:val="000000"/>
                <w:szCs w:val="20"/>
                <w:lang w:eastAsia="es-DO"/>
              </w:rPr>
              <w:t xml:space="preserve">Precipitación </w:t>
            </w:r>
            <w:r>
              <w:rPr>
                <w:rFonts w:ascii="Times New Roman" w:hAnsi="Times New Roman"/>
                <w:bCs/>
                <w:color w:val="000000"/>
                <w:szCs w:val="2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F62E627"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59.2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02438F7"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29.1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8AA2A8D"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117.8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32F66B9"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61.8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C8498A8"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158.2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5E12984"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54.8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A02878A"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141.6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E16AA1F"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102.0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689642B"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175.8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FD497AB"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46.7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9CB50FD"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45.1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7EED9E5"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3129F3D1" w14:textId="77777777" w:rsidR="00A57704" w:rsidRPr="00FD78AB" w:rsidRDefault="00A57704" w:rsidP="00A57704">
            <w:pPr>
              <w:spacing w:after="0"/>
              <w:jc w:val="center"/>
              <w:rPr>
                <w:rFonts w:ascii="Times New Roman" w:hAnsi="Times New Roman"/>
                <w:bCs/>
                <w:szCs w:val="20"/>
                <w:lang w:eastAsia="es-DO"/>
              </w:rPr>
            </w:pPr>
            <w:r>
              <w:rPr>
                <w:rFonts w:ascii="Times New Roman" w:hAnsi="Times New Roman"/>
                <w:bCs/>
                <w:szCs w:val="20"/>
                <w:lang w:eastAsia="es-DO"/>
              </w:rPr>
              <w:t>992.1</w:t>
            </w:r>
          </w:p>
        </w:tc>
      </w:tr>
      <w:tr w:rsidR="00A57704" w:rsidRPr="00FD78AB" w14:paraId="588F5227" w14:textId="77777777" w:rsidTr="00E331D5">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70EFA" w14:textId="77777777" w:rsidR="00A57704" w:rsidRPr="00FD78AB" w:rsidRDefault="00A57704" w:rsidP="00A57704">
            <w:pPr>
              <w:spacing w:after="0"/>
              <w:rPr>
                <w:rFonts w:ascii="Times New Roman" w:hAnsi="Times New Roman"/>
                <w:bCs/>
                <w:color w:val="000000"/>
                <w:szCs w:val="20"/>
                <w:lang w:eastAsia="es-DO"/>
              </w:rPr>
            </w:pPr>
            <w:r w:rsidRPr="00FD78AB">
              <w:rPr>
                <w:rFonts w:ascii="Times New Roman" w:hAnsi="Times New Roman"/>
                <w:bCs/>
                <w:color w:val="000000"/>
                <w:szCs w:val="2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9066AB4"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-12.9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6386C15"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-52.5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D9742AA"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73.2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EE52FDA"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-20.1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9698B98"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-19.0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11D3869"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-69.9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909E718"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8.1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BF33A1E"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-45.2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D0965CB"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-9.8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C92EEDE"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-74.3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BE2977D"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-64.7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EDA4BEA" w14:textId="77777777" w:rsidR="00A57704" w:rsidRPr="00FD78AB"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679EF7A5" w14:textId="77777777" w:rsidR="00A57704" w:rsidRPr="00FD78AB" w:rsidRDefault="00A57704" w:rsidP="00A57704">
            <w:pPr>
              <w:spacing w:after="0"/>
              <w:jc w:val="center"/>
              <w:rPr>
                <w:rFonts w:ascii="Times New Roman" w:hAnsi="Times New Roman"/>
                <w:bCs/>
                <w:szCs w:val="20"/>
                <w:lang w:eastAsia="es-DO"/>
              </w:rPr>
            </w:pPr>
            <w:r w:rsidRPr="00FD78AB">
              <w:rPr>
                <w:rFonts w:ascii="Times New Roman" w:hAnsi="Times New Roman"/>
                <w:bCs/>
                <w:szCs w:val="20"/>
                <w:lang w:eastAsia="es-DO"/>
              </w:rPr>
              <w:t>-2.2</w:t>
            </w:r>
          </w:p>
        </w:tc>
      </w:tr>
    </w:tbl>
    <w:p w14:paraId="0D4F7A83" w14:textId="77777777" w:rsidR="00A57704" w:rsidRDefault="00A57704" w:rsidP="00A57704">
      <w:pPr>
        <w:spacing w:after="0"/>
        <w:rPr>
          <w:rFonts w:ascii="Times New Roman" w:hAnsi="Times New Roman"/>
        </w:rPr>
      </w:pPr>
    </w:p>
    <w:p w14:paraId="3D1BACFC"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space="720"/>
          <w:docGrid w:linePitch="360"/>
        </w:sectPr>
      </w:pPr>
    </w:p>
    <w:p w14:paraId="69C81EA1" w14:textId="77777777" w:rsidR="00A57704" w:rsidRPr="00C83490" w:rsidRDefault="00A57704" w:rsidP="00A57704">
      <w:pPr>
        <w:spacing w:after="0"/>
        <w:rPr>
          <w:rFonts w:ascii="Times New Roman" w:hAnsi="Times New Roman"/>
        </w:rPr>
      </w:pPr>
    </w:p>
    <w:p w14:paraId="3D4BF396" w14:textId="77777777" w:rsidR="00A57704" w:rsidRDefault="00A57704" w:rsidP="001C6B1A">
      <w:pPr>
        <w:pStyle w:val="Prrafodelista"/>
        <w:numPr>
          <w:ilvl w:val="0"/>
          <w:numId w:val="28"/>
        </w:numPr>
        <w:spacing w:after="0"/>
        <w:ind w:left="0" w:firstLine="0"/>
        <w:rPr>
          <w:rFonts w:ascii="Times New Roman" w:hAnsi="Times New Roman"/>
        </w:rPr>
      </w:pPr>
      <w:r w:rsidRPr="00C83490">
        <w:rPr>
          <w:rFonts w:ascii="Times New Roman" w:hAnsi="Times New Roman"/>
        </w:rPr>
        <w:t xml:space="preserve">Comportamiento precipitaciones </w:t>
      </w:r>
      <w:r>
        <w:rPr>
          <w:rFonts w:ascii="Times New Roman" w:hAnsi="Times New Roman"/>
        </w:rPr>
        <w:t>San Cristóbal</w:t>
      </w:r>
    </w:p>
    <w:p w14:paraId="25CC86F4" w14:textId="77777777" w:rsidR="00A57704" w:rsidRPr="00C83490" w:rsidRDefault="00A57704" w:rsidP="00A57704">
      <w:pPr>
        <w:pStyle w:val="Prrafodelista"/>
        <w:spacing w:after="0"/>
        <w:ind w:left="0"/>
        <w:rPr>
          <w:rFonts w:ascii="Times New Roman" w:hAnsi="Times New Roman"/>
        </w:rPr>
      </w:pPr>
      <w:r>
        <w:rPr>
          <w:noProof/>
          <w:lang w:eastAsia="es-DO"/>
        </w:rPr>
        <w:drawing>
          <wp:inline distT="0" distB="0" distL="0" distR="0" wp14:anchorId="3306338D" wp14:editId="20E93219">
            <wp:extent cx="3752850" cy="1743075"/>
            <wp:effectExtent l="0" t="0" r="0" b="0"/>
            <wp:docPr id="208" name="Gráfico 208">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8049A65-9194-494B-9580-B1A1B8D4C6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326200BB" w14:textId="77777777" w:rsidR="00A57704" w:rsidRPr="002D5B20" w:rsidRDefault="00A57704" w:rsidP="00A57704">
      <w:pPr>
        <w:spacing w:after="0"/>
        <w:rPr>
          <w:rFonts w:ascii="Times New Roman" w:hAnsi="Times New Roman"/>
          <w:sz w:val="4"/>
        </w:rPr>
      </w:pPr>
    </w:p>
    <w:p w14:paraId="74C2C159" w14:textId="77777777" w:rsidR="00A57704" w:rsidRPr="002D5B20" w:rsidRDefault="00A57704" w:rsidP="00A57704">
      <w:pPr>
        <w:spacing w:after="0"/>
        <w:rPr>
          <w:rFonts w:ascii="Times New Roman" w:hAnsi="Times New Roman"/>
          <w:sz w:val="4"/>
        </w:rPr>
      </w:pPr>
    </w:p>
    <w:p w14:paraId="6E80751B" w14:textId="77777777" w:rsidR="00A57704" w:rsidRPr="002D5B20" w:rsidRDefault="00A57704" w:rsidP="00A57704">
      <w:pPr>
        <w:spacing w:after="0"/>
        <w:rPr>
          <w:rFonts w:ascii="Times New Roman" w:hAnsi="Times New Roman"/>
          <w:sz w:val="4"/>
        </w:rPr>
      </w:pPr>
    </w:p>
    <w:p w14:paraId="51197DBA" w14:textId="78CC422D" w:rsidR="00A57704" w:rsidRPr="002D5B20" w:rsidRDefault="00A57704" w:rsidP="001C6B1A">
      <w:pPr>
        <w:pStyle w:val="Prrafodelista"/>
        <w:numPr>
          <w:ilvl w:val="0"/>
          <w:numId w:val="28"/>
        </w:numPr>
        <w:spacing w:before="240" w:after="0" w:line="240" w:lineRule="auto"/>
        <w:ind w:left="567" w:hanging="567"/>
        <w:rPr>
          <w:rFonts w:ascii="Times New Roman" w:hAnsi="Times New Roman"/>
        </w:rPr>
      </w:pPr>
      <w:r w:rsidRPr="002D5B20">
        <w:rPr>
          <w:rFonts w:ascii="Times New Roman" w:hAnsi="Times New Roman"/>
        </w:rPr>
        <w:t>Desviación precipitaciones (%)</w:t>
      </w:r>
    </w:p>
    <w:p w14:paraId="59F91838" w14:textId="77777777" w:rsidR="00A57704" w:rsidRDefault="00A57704" w:rsidP="00A57704">
      <w:pPr>
        <w:spacing w:after="0"/>
        <w:rPr>
          <w:rFonts w:ascii="Times New Roman" w:hAnsi="Times New Roman"/>
        </w:rPr>
      </w:pPr>
      <w:r>
        <w:rPr>
          <w:noProof/>
          <w:lang w:eastAsia="es-DO"/>
        </w:rPr>
        <w:drawing>
          <wp:inline distT="0" distB="0" distL="0" distR="0" wp14:anchorId="2E1260D2" wp14:editId="2EE6AF35">
            <wp:extent cx="3629025" cy="1504950"/>
            <wp:effectExtent l="0" t="0" r="0" b="0"/>
            <wp:docPr id="209" name="Gráfico 209">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BC29700E-0CFB-43FA-910D-F257B98E6D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4422F968" w14:textId="77777777" w:rsidR="00A57704" w:rsidRDefault="00A57704" w:rsidP="00A57704">
      <w:pPr>
        <w:spacing w:after="0"/>
        <w:rPr>
          <w:rFonts w:ascii="Times New Roman" w:hAnsi="Times New Roman"/>
        </w:rPr>
      </w:pPr>
    </w:p>
    <w:p w14:paraId="0CC6D530"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num="2" w:space="720"/>
          <w:docGrid w:linePitch="360"/>
        </w:sectPr>
      </w:pPr>
    </w:p>
    <w:tbl>
      <w:tblPr>
        <w:tblW w:w="12712" w:type="dxa"/>
        <w:tblInd w:w="-5" w:type="dxa"/>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A57704" w:rsidRPr="009E58FD" w14:paraId="707E11A4" w14:textId="77777777" w:rsidTr="00E331D5">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25BF3B3D"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lastRenderedPageBreak/>
              <w:t>San José De Ocoa</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345060F0"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0AA39F7F"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422A897A"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74E8EBF4"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6B0D94B"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698CCA37"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5936941E"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DDD3192"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9C36C61"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6921A3DF"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4A988BA9"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5932B094"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08AD03F9" w14:textId="77777777" w:rsidR="00A57704" w:rsidRPr="00E331D5" w:rsidRDefault="00A57704" w:rsidP="00E331D5">
            <w:pPr>
              <w:spacing w:after="0"/>
              <w:jc w:val="center"/>
              <w:rPr>
                <w:rFonts w:ascii="Times New Roman" w:hAnsi="Times New Roman"/>
                <w:b/>
                <w:bCs/>
                <w:color w:val="FFFFFF" w:themeColor="background1"/>
                <w:lang w:eastAsia="es-DO"/>
              </w:rPr>
            </w:pPr>
            <w:r w:rsidRPr="00E331D5">
              <w:rPr>
                <w:rFonts w:ascii="Times New Roman" w:hAnsi="Times New Roman"/>
                <w:b/>
                <w:bCs/>
                <w:color w:val="FFFFFF" w:themeColor="background1"/>
                <w:lang w:eastAsia="es-DO"/>
              </w:rPr>
              <w:t>Año</w:t>
            </w:r>
          </w:p>
        </w:tc>
      </w:tr>
      <w:tr w:rsidR="00A57704" w:rsidRPr="009E58FD" w14:paraId="375B460F" w14:textId="77777777" w:rsidTr="00E331D5">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7A489" w14:textId="77777777" w:rsidR="00A57704" w:rsidRPr="009E58FD" w:rsidRDefault="00A57704" w:rsidP="00A57704">
            <w:pPr>
              <w:spacing w:after="0"/>
              <w:rPr>
                <w:rFonts w:ascii="Times New Roman" w:hAnsi="Times New Roman"/>
                <w:bCs/>
                <w:color w:val="000000"/>
                <w:lang w:eastAsia="es-DO"/>
              </w:rPr>
            </w:pPr>
            <w:r w:rsidRPr="009E58FD">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BEFDB3C"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21.2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BBA60DD"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29.6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822F6D9"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47.6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064A047"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65.0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F65752B"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153.4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24CE75B"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109.9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B548E44"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64.3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5E27216"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104.1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B3F965A"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160.5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177C4CC"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112.2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AC5B89A"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52.8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E47B467"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28.5</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0FE09FB3" w14:textId="77777777" w:rsidR="00A57704" w:rsidRPr="009E58FD" w:rsidRDefault="00A57704" w:rsidP="00A57704">
            <w:pPr>
              <w:spacing w:after="0"/>
              <w:jc w:val="center"/>
              <w:rPr>
                <w:rFonts w:ascii="Times New Roman" w:hAnsi="Times New Roman"/>
                <w:bCs/>
                <w:lang w:eastAsia="es-DO"/>
              </w:rPr>
            </w:pPr>
            <w:r w:rsidRPr="009E58FD">
              <w:rPr>
                <w:rFonts w:ascii="Times New Roman" w:hAnsi="Times New Roman"/>
                <w:bCs/>
                <w:lang w:eastAsia="es-DO"/>
              </w:rPr>
              <w:t>949.1</w:t>
            </w:r>
          </w:p>
        </w:tc>
      </w:tr>
      <w:tr w:rsidR="00A57704" w:rsidRPr="009E58FD" w14:paraId="33265BB5" w14:textId="77777777" w:rsidTr="00E331D5">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B717C" w14:textId="77777777" w:rsidR="00A57704" w:rsidRPr="009E58FD" w:rsidRDefault="00A57704" w:rsidP="00A57704">
            <w:pPr>
              <w:spacing w:after="0"/>
              <w:rPr>
                <w:rFonts w:ascii="Times New Roman" w:hAnsi="Times New Roman"/>
                <w:bCs/>
                <w:color w:val="000000"/>
                <w:lang w:eastAsia="es-DO"/>
              </w:rPr>
            </w:pPr>
            <w:r w:rsidRPr="009E58FD">
              <w:rPr>
                <w:rFonts w:ascii="Times New Roman" w:hAnsi="Times New Roman"/>
                <w:bCs/>
                <w:color w:val="000000"/>
                <w:lang w:eastAsia="es-DO"/>
              </w:rPr>
              <w:t xml:space="preserve">Precipitación </w:t>
            </w:r>
            <w:r>
              <w:rPr>
                <w:rFonts w:ascii="Times New Roman" w:hAnsi="Times New Roman"/>
                <w:bCs/>
                <w:color w:val="00000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D5D7930"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60.2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5FF09CB"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24.2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427850A"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136.7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B27B7BC"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106.2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DC07EBE"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277.1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CCAF186"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13.2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0A08BDB"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35.0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A2212DE"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66.9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83AC557"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110.9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1B1434A"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32.0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86F5FED"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85.0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3BFCC1C"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70060CCF" w14:textId="77777777" w:rsidR="00A57704" w:rsidRPr="009E58FD" w:rsidRDefault="00A57704" w:rsidP="00A57704">
            <w:pPr>
              <w:spacing w:after="0"/>
              <w:jc w:val="center"/>
              <w:rPr>
                <w:rFonts w:ascii="Times New Roman" w:hAnsi="Times New Roman"/>
                <w:bCs/>
                <w:lang w:eastAsia="es-DO"/>
              </w:rPr>
            </w:pPr>
            <w:r>
              <w:rPr>
                <w:rFonts w:ascii="Times New Roman" w:hAnsi="Times New Roman"/>
                <w:bCs/>
                <w:lang w:eastAsia="es-DO"/>
              </w:rPr>
              <w:t>947.4</w:t>
            </w:r>
          </w:p>
        </w:tc>
      </w:tr>
      <w:tr w:rsidR="00A57704" w:rsidRPr="009E58FD" w14:paraId="69F5C326" w14:textId="77777777" w:rsidTr="00E331D5">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907FE" w14:textId="77777777" w:rsidR="00A57704" w:rsidRPr="009E58FD" w:rsidRDefault="00A57704" w:rsidP="00A57704">
            <w:pPr>
              <w:spacing w:after="0"/>
              <w:rPr>
                <w:rFonts w:ascii="Times New Roman" w:hAnsi="Times New Roman"/>
                <w:bCs/>
                <w:color w:val="000000"/>
                <w:lang w:eastAsia="es-DO"/>
              </w:rPr>
            </w:pPr>
            <w:r w:rsidRPr="009E58FD">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6D481ED"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184.0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1893517"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-18.2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7C6A4F2"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187.2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AB2BFD7"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63.4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6767279"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80.6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9125DDA"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-88.0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0A7627D"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-45.6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07A3DA3"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-35.7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C9B6318"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-30.9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0355122"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-71.5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8764EC9"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61.0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DB928CC"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035EE14C" w14:textId="77777777" w:rsidR="00A57704" w:rsidRPr="009E58FD" w:rsidRDefault="00A57704" w:rsidP="00A57704">
            <w:pPr>
              <w:spacing w:after="0"/>
              <w:jc w:val="center"/>
              <w:rPr>
                <w:rFonts w:ascii="Times New Roman" w:hAnsi="Times New Roman"/>
                <w:bCs/>
                <w:lang w:eastAsia="es-DO"/>
              </w:rPr>
            </w:pPr>
            <w:r w:rsidRPr="009E58FD">
              <w:rPr>
                <w:rFonts w:ascii="Times New Roman" w:hAnsi="Times New Roman"/>
                <w:bCs/>
                <w:lang w:eastAsia="es-DO"/>
              </w:rPr>
              <w:t>-13.9</w:t>
            </w:r>
          </w:p>
        </w:tc>
      </w:tr>
    </w:tbl>
    <w:p w14:paraId="144C7EE5" w14:textId="77777777" w:rsidR="00A57704" w:rsidRPr="00C83490" w:rsidRDefault="00A57704" w:rsidP="00A57704">
      <w:pPr>
        <w:spacing w:after="0"/>
        <w:rPr>
          <w:rFonts w:ascii="Times New Roman" w:hAnsi="Times New Roman"/>
        </w:rPr>
        <w:sectPr w:rsidR="00A57704" w:rsidRPr="00C83490" w:rsidSect="00A57704">
          <w:type w:val="continuous"/>
          <w:pgSz w:w="15840" w:h="12240" w:orient="landscape"/>
          <w:pgMar w:top="1276" w:right="851" w:bottom="851" w:left="1440" w:header="720" w:footer="720" w:gutter="0"/>
          <w:cols w:space="720"/>
          <w:docGrid w:linePitch="360"/>
        </w:sectPr>
      </w:pPr>
    </w:p>
    <w:p w14:paraId="55ACD4DB" w14:textId="77777777" w:rsidR="00A57704" w:rsidRPr="00C83490" w:rsidRDefault="00A57704" w:rsidP="00A57704">
      <w:pPr>
        <w:spacing w:after="0"/>
        <w:rPr>
          <w:rFonts w:ascii="Times New Roman" w:hAnsi="Times New Roman"/>
        </w:rPr>
      </w:pPr>
    </w:p>
    <w:p w14:paraId="626EC234"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San José de Ocoa</w:t>
      </w:r>
    </w:p>
    <w:p w14:paraId="4E1D2D44" w14:textId="77777777" w:rsidR="00A57704" w:rsidRPr="009E58FD" w:rsidRDefault="00A57704" w:rsidP="00A57704">
      <w:pPr>
        <w:spacing w:after="0"/>
        <w:rPr>
          <w:rFonts w:ascii="Times New Roman" w:hAnsi="Times New Roman"/>
        </w:rPr>
      </w:pPr>
      <w:r>
        <w:rPr>
          <w:noProof/>
          <w:lang w:eastAsia="es-DO"/>
        </w:rPr>
        <w:drawing>
          <wp:inline distT="0" distB="0" distL="0" distR="0" wp14:anchorId="67A59BB3" wp14:editId="57A97B27">
            <wp:extent cx="3599815" cy="1438275"/>
            <wp:effectExtent l="0" t="0" r="635" b="0"/>
            <wp:docPr id="214" name="Gráfico 21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55C1AD05-7106-4A7E-9E40-C06399E4ED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505E6484" w14:textId="77777777" w:rsidR="00A57704" w:rsidRPr="002D5B20" w:rsidRDefault="00A57704" w:rsidP="00A57704">
      <w:pPr>
        <w:spacing w:after="0"/>
        <w:rPr>
          <w:rFonts w:ascii="Times New Roman" w:hAnsi="Times New Roman"/>
          <w:sz w:val="4"/>
        </w:rPr>
      </w:pPr>
    </w:p>
    <w:p w14:paraId="5042FB7C" w14:textId="3F044ACB" w:rsidR="00A57704" w:rsidRDefault="00A57704" w:rsidP="00A57704">
      <w:pPr>
        <w:spacing w:after="0"/>
        <w:rPr>
          <w:rFonts w:ascii="Times New Roman" w:hAnsi="Times New Roman"/>
          <w:sz w:val="4"/>
        </w:rPr>
      </w:pPr>
    </w:p>
    <w:p w14:paraId="22B6172E" w14:textId="1CD08BF8" w:rsidR="00E331D5" w:rsidRDefault="00E331D5" w:rsidP="00A57704">
      <w:pPr>
        <w:spacing w:after="0"/>
        <w:rPr>
          <w:rFonts w:ascii="Times New Roman" w:hAnsi="Times New Roman"/>
          <w:sz w:val="4"/>
        </w:rPr>
      </w:pPr>
    </w:p>
    <w:p w14:paraId="07967526" w14:textId="77777777" w:rsidR="00E331D5" w:rsidRPr="002D5B20" w:rsidRDefault="00E331D5" w:rsidP="00A57704">
      <w:pPr>
        <w:spacing w:after="0"/>
        <w:rPr>
          <w:rFonts w:ascii="Times New Roman" w:hAnsi="Times New Roman"/>
          <w:sz w:val="4"/>
        </w:rPr>
      </w:pPr>
    </w:p>
    <w:p w14:paraId="34B6B497" w14:textId="77777777" w:rsidR="00A57704" w:rsidRPr="002D5B20" w:rsidRDefault="00A57704" w:rsidP="00A57704">
      <w:pPr>
        <w:spacing w:after="0"/>
        <w:rPr>
          <w:rFonts w:ascii="Times New Roman" w:hAnsi="Times New Roman"/>
          <w:sz w:val="4"/>
        </w:rPr>
      </w:pPr>
    </w:p>
    <w:p w14:paraId="603AD7F3" w14:textId="77777777" w:rsidR="00A57704" w:rsidRPr="002D5B20" w:rsidRDefault="00A57704" w:rsidP="00A57704">
      <w:pPr>
        <w:spacing w:after="0"/>
        <w:rPr>
          <w:rFonts w:ascii="Times New Roman" w:hAnsi="Times New Roman"/>
        </w:rPr>
      </w:pPr>
    </w:p>
    <w:p w14:paraId="4C7B6FFA"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36839679"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26E87610" wp14:editId="0D912028">
            <wp:extent cx="3648075" cy="1457325"/>
            <wp:effectExtent l="0" t="0" r="0" b="0"/>
            <wp:docPr id="215" name="Gráfico 215">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6FC52BE6-BC3C-44EF-BCE4-D7E412965F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tbl>
      <w:tblPr>
        <w:tblW w:w="12704" w:type="dxa"/>
        <w:tblInd w:w="-5" w:type="dxa"/>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A57704" w:rsidRPr="009E58FD" w14:paraId="6E7FBF6E" w14:textId="77777777" w:rsidTr="00E331D5">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713072D3"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Villa Altagracia</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6AB204CE"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4A6F524A"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2BB4B999"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F40FED1"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0B7C88C5"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397B62C"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2E349033"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318CC2AE"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00155200"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CF773BC"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4C1FD3CE"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7C0D6B83"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29E26D16" w14:textId="77777777" w:rsidR="00A57704" w:rsidRPr="00E331D5" w:rsidRDefault="00A57704" w:rsidP="00E331D5">
            <w:pPr>
              <w:spacing w:after="0"/>
              <w:jc w:val="center"/>
              <w:rPr>
                <w:rFonts w:ascii="Times New Roman" w:hAnsi="Times New Roman"/>
                <w:b/>
                <w:bCs/>
                <w:color w:val="FFFFFF" w:themeColor="background1"/>
                <w:szCs w:val="20"/>
                <w:lang w:eastAsia="es-DO"/>
              </w:rPr>
            </w:pPr>
            <w:r w:rsidRPr="00E331D5">
              <w:rPr>
                <w:rFonts w:ascii="Times New Roman" w:hAnsi="Times New Roman"/>
                <w:b/>
                <w:bCs/>
                <w:color w:val="FFFFFF" w:themeColor="background1"/>
                <w:szCs w:val="20"/>
                <w:lang w:eastAsia="es-DO"/>
              </w:rPr>
              <w:t>Año</w:t>
            </w:r>
          </w:p>
        </w:tc>
      </w:tr>
      <w:tr w:rsidR="00A57704" w:rsidRPr="009E58FD" w14:paraId="3BFA8F30" w14:textId="77777777" w:rsidTr="00E331D5">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FC204" w14:textId="77777777" w:rsidR="00A57704" w:rsidRPr="009E58FD" w:rsidRDefault="00A57704" w:rsidP="00A57704">
            <w:pPr>
              <w:spacing w:after="0"/>
              <w:rPr>
                <w:rFonts w:ascii="Times New Roman" w:hAnsi="Times New Roman"/>
                <w:bCs/>
                <w:color w:val="000000"/>
                <w:szCs w:val="20"/>
                <w:lang w:eastAsia="es-DO"/>
              </w:rPr>
            </w:pPr>
            <w:r w:rsidRPr="009E58FD">
              <w:rPr>
                <w:rFonts w:ascii="Times New Roman" w:hAnsi="Times New Roman"/>
                <w:bCs/>
                <w:color w:val="000000"/>
                <w:szCs w:val="2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422F263" w14:textId="77777777" w:rsidR="00A57704" w:rsidRPr="009E58FD" w:rsidRDefault="00A57704" w:rsidP="00A57704">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112.5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BB99F20" w14:textId="77777777" w:rsidR="00A57704" w:rsidRPr="009E58FD" w:rsidRDefault="00A57704" w:rsidP="00A57704">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109.4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B1A5C54" w14:textId="77777777" w:rsidR="00A57704" w:rsidRPr="009E58FD" w:rsidRDefault="00A57704" w:rsidP="00A57704">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120.3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D54C3DB" w14:textId="77777777" w:rsidR="00A57704" w:rsidRPr="009E58FD" w:rsidRDefault="00A57704" w:rsidP="00A57704">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136.5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7EA6B06" w14:textId="77777777" w:rsidR="00A57704" w:rsidRPr="009E58FD" w:rsidRDefault="00A57704" w:rsidP="00A57704">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258.7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7187D13" w14:textId="77777777" w:rsidR="00A57704" w:rsidRPr="009E58FD" w:rsidRDefault="00A57704" w:rsidP="00A57704">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204.8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1832F13" w14:textId="77777777" w:rsidR="00A57704" w:rsidRPr="009E58FD" w:rsidRDefault="00A57704" w:rsidP="00A57704">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193.7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0B1B854" w14:textId="77777777" w:rsidR="00A57704" w:rsidRPr="009E58FD" w:rsidRDefault="00A57704" w:rsidP="00A57704">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247.8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CF952D8" w14:textId="77777777" w:rsidR="00A57704" w:rsidRPr="009E58FD" w:rsidRDefault="00A57704" w:rsidP="00A57704">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234.6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3EC0AB3" w14:textId="77777777" w:rsidR="00A57704" w:rsidRPr="009E58FD" w:rsidRDefault="00A57704" w:rsidP="00A57704">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215.3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16353F7" w14:textId="77777777" w:rsidR="00A57704" w:rsidRPr="009E58FD" w:rsidRDefault="00A57704" w:rsidP="00A57704">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200.8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A98E386" w14:textId="77777777" w:rsidR="00A57704" w:rsidRPr="009E58FD" w:rsidRDefault="00A57704" w:rsidP="00A57704">
            <w:pPr>
              <w:spacing w:after="0"/>
              <w:jc w:val="center"/>
              <w:rPr>
                <w:rFonts w:ascii="Times New Roman" w:hAnsi="Times New Roman"/>
                <w:bCs/>
                <w:color w:val="000000"/>
                <w:szCs w:val="20"/>
                <w:lang w:eastAsia="es-DO"/>
              </w:rPr>
            </w:pPr>
            <w:r w:rsidRPr="009E58FD">
              <w:rPr>
                <w:rFonts w:ascii="Times New Roman" w:hAnsi="Times New Roman"/>
                <w:bCs/>
                <w:color w:val="000000"/>
                <w:szCs w:val="20"/>
                <w:lang w:eastAsia="es-DO"/>
              </w:rPr>
              <w:t>114.7</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365D7FBF" w14:textId="77777777" w:rsidR="00A57704" w:rsidRPr="009E58FD" w:rsidRDefault="00A57704" w:rsidP="00A57704">
            <w:pPr>
              <w:spacing w:after="0"/>
              <w:jc w:val="center"/>
              <w:rPr>
                <w:rFonts w:ascii="Times New Roman" w:hAnsi="Times New Roman"/>
                <w:bCs/>
                <w:szCs w:val="20"/>
                <w:lang w:eastAsia="es-DO"/>
              </w:rPr>
            </w:pPr>
            <w:r w:rsidRPr="009E58FD">
              <w:rPr>
                <w:rFonts w:ascii="Times New Roman" w:hAnsi="Times New Roman"/>
                <w:bCs/>
                <w:szCs w:val="20"/>
                <w:lang w:eastAsia="es-DO"/>
              </w:rPr>
              <w:t>2,149.1</w:t>
            </w:r>
          </w:p>
        </w:tc>
      </w:tr>
      <w:tr w:rsidR="00A57704" w:rsidRPr="009E58FD" w14:paraId="79921AF8" w14:textId="77777777" w:rsidTr="00E331D5">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4053F" w14:textId="77777777" w:rsidR="00A57704" w:rsidRPr="009E58FD" w:rsidRDefault="00A57704" w:rsidP="00A57704">
            <w:pPr>
              <w:spacing w:after="0"/>
              <w:rPr>
                <w:rFonts w:ascii="Times New Roman" w:hAnsi="Times New Roman"/>
                <w:bCs/>
                <w:color w:val="000000"/>
                <w:szCs w:val="20"/>
                <w:lang w:eastAsia="es-DO"/>
              </w:rPr>
            </w:pPr>
            <w:r w:rsidRPr="009E58FD">
              <w:rPr>
                <w:rFonts w:ascii="Times New Roman" w:hAnsi="Times New Roman"/>
                <w:bCs/>
                <w:color w:val="000000"/>
                <w:szCs w:val="20"/>
                <w:lang w:eastAsia="es-DO"/>
              </w:rPr>
              <w:t xml:space="preserve">Precipitación </w:t>
            </w:r>
            <w:r>
              <w:rPr>
                <w:rFonts w:ascii="Times New Roman" w:hAnsi="Times New Roman"/>
                <w:bCs/>
                <w:color w:val="000000"/>
                <w:szCs w:val="2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05A0F70"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88.1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A0F1575"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51.2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FB6CDD7"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201.0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303B4FB"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217.0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042CF08"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352.9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E0D5B8A"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107.9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17DC414"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312.4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0D8125A"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195.8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C44CD6D"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281.4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689BA6C"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182.1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CC18366"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164.7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6DAA270"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3C96A058" w14:textId="77777777" w:rsidR="00A57704" w:rsidRPr="009E58FD" w:rsidRDefault="00A57704" w:rsidP="00A57704">
            <w:pPr>
              <w:spacing w:after="0"/>
              <w:jc w:val="center"/>
              <w:rPr>
                <w:rFonts w:ascii="Times New Roman" w:hAnsi="Times New Roman"/>
                <w:bCs/>
                <w:szCs w:val="20"/>
                <w:lang w:eastAsia="es-DO"/>
              </w:rPr>
            </w:pPr>
            <w:r>
              <w:rPr>
                <w:rFonts w:ascii="Times New Roman" w:hAnsi="Times New Roman"/>
                <w:bCs/>
                <w:szCs w:val="20"/>
                <w:lang w:eastAsia="es-DO"/>
              </w:rPr>
              <w:t>2,154.5</w:t>
            </w:r>
          </w:p>
        </w:tc>
      </w:tr>
      <w:tr w:rsidR="00A57704" w:rsidRPr="009E58FD" w14:paraId="4FF89709" w14:textId="77777777" w:rsidTr="00E331D5">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1957A" w14:textId="77777777" w:rsidR="00A57704" w:rsidRPr="009E58FD" w:rsidRDefault="00A57704" w:rsidP="00A57704">
            <w:pPr>
              <w:spacing w:after="0"/>
              <w:rPr>
                <w:rFonts w:ascii="Times New Roman" w:hAnsi="Times New Roman"/>
                <w:bCs/>
                <w:color w:val="000000"/>
                <w:szCs w:val="20"/>
                <w:lang w:eastAsia="es-DO"/>
              </w:rPr>
            </w:pPr>
            <w:r w:rsidRPr="009E58FD">
              <w:rPr>
                <w:rFonts w:ascii="Times New Roman" w:hAnsi="Times New Roman"/>
                <w:bCs/>
                <w:color w:val="000000"/>
                <w:szCs w:val="2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4704D0D"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-21.7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348BC93"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-53.2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8770682"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67.1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9415810"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59.0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ADC1615"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36.4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8480D46"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-47.3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F323AF9"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61.3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50D6F19"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-21.0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F6BE9AD"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19.9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9F05249"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-15.4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3919C73"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-18.0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42BD121" w14:textId="77777777" w:rsidR="00A57704" w:rsidRPr="009E58F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1002A174" w14:textId="77777777" w:rsidR="00A57704" w:rsidRPr="009E58FD" w:rsidRDefault="00A57704" w:rsidP="00A57704">
            <w:pPr>
              <w:spacing w:after="0"/>
              <w:jc w:val="center"/>
              <w:rPr>
                <w:rFonts w:ascii="Times New Roman" w:hAnsi="Times New Roman"/>
                <w:bCs/>
                <w:szCs w:val="20"/>
                <w:lang w:eastAsia="es-DO"/>
              </w:rPr>
            </w:pPr>
            <w:r w:rsidRPr="009E58FD">
              <w:rPr>
                <w:rFonts w:ascii="Times New Roman" w:hAnsi="Times New Roman"/>
                <w:bCs/>
                <w:szCs w:val="20"/>
                <w:lang w:eastAsia="es-DO"/>
              </w:rPr>
              <w:t>24.2</w:t>
            </w:r>
          </w:p>
        </w:tc>
      </w:tr>
    </w:tbl>
    <w:p w14:paraId="0EC72172" w14:textId="77777777" w:rsidR="00A57704" w:rsidRDefault="00A57704" w:rsidP="00A57704">
      <w:pPr>
        <w:spacing w:after="0"/>
        <w:rPr>
          <w:rFonts w:ascii="Times New Roman" w:hAnsi="Times New Roman"/>
        </w:rPr>
      </w:pPr>
    </w:p>
    <w:p w14:paraId="085AB87B"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space="720"/>
          <w:docGrid w:linePitch="360"/>
        </w:sectPr>
      </w:pPr>
    </w:p>
    <w:p w14:paraId="1B6404A7" w14:textId="77777777" w:rsidR="00A57704" w:rsidRPr="00C83490" w:rsidRDefault="00A57704" w:rsidP="00A57704">
      <w:pPr>
        <w:spacing w:after="0"/>
        <w:rPr>
          <w:rFonts w:ascii="Times New Roman" w:hAnsi="Times New Roman"/>
        </w:rPr>
      </w:pPr>
    </w:p>
    <w:p w14:paraId="67133675"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Villa Altagracia</w:t>
      </w:r>
    </w:p>
    <w:p w14:paraId="671D24C2" w14:textId="77777777" w:rsidR="00A57704" w:rsidRPr="002D5B20" w:rsidRDefault="00A57704" w:rsidP="00A57704">
      <w:pPr>
        <w:spacing w:after="0"/>
        <w:rPr>
          <w:rFonts w:ascii="Times New Roman" w:hAnsi="Times New Roman"/>
          <w:sz w:val="4"/>
        </w:rPr>
      </w:pPr>
    </w:p>
    <w:p w14:paraId="641802C9" w14:textId="77777777" w:rsidR="00A57704" w:rsidRDefault="00A57704" w:rsidP="00A57704">
      <w:pPr>
        <w:spacing w:after="0"/>
        <w:rPr>
          <w:rFonts w:ascii="Times New Roman" w:hAnsi="Times New Roman"/>
          <w:sz w:val="4"/>
        </w:rPr>
      </w:pPr>
      <w:r>
        <w:rPr>
          <w:noProof/>
          <w:lang w:eastAsia="es-DO"/>
        </w:rPr>
        <w:drawing>
          <wp:inline distT="0" distB="0" distL="0" distR="0" wp14:anchorId="64B88EDC" wp14:editId="001AEA42">
            <wp:extent cx="3762375" cy="1543050"/>
            <wp:effectExtent l="0" t="0" r="0" b="0"/>
            <wp:docPr id="216" name="Gráfico 216">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11E7648C-C28A-4606-9098-601976DE3B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082FD0D5" w14:textId="77777777" w:rsidR="00A57704" w:rsidRPr="002D5B20" w:rsidRDefault="00A57704" w:rsidP="00A57704">
      <w:pPr>
        <w:spacing w:after="0"/>
        <w:rPr>
          <w:rFonts w:ascii="Times New Roman" w:hAnsi="Times New Roman"/>
          <w:sz w:val="4"/>
        </w:rPr>
      </w:pPr>
    </w:p>
    <w:p w14:paraId="2D6B3FDD" w14:textId="77777777" w:rsidR="00A57704" w:rsidRPr="002D5B20" w:rsidRDefault="00A57704" w:rsidP="00A57704">
      <w:pPr>
        <w:spacing w:after="0"/>
        <w:rPr>
          <w:rFonts w:ascii="Times New Roman" w:hAnsi="Times New Roman"/>
          <w:sz w:val="4"/>
        </w:rPr>
      </w:pPr>
    </w:p>
    <w:p w14:paraId="067DDBE1" w14:textId="77777777" w:rsidR="00A57704" w:rsidRDefault="00A57704" w:rsidP="00A57704">
      <w:pPr>
        <w:spacing w:after="0"/>
        <w:rPr>
          <w:rFonts w:ascii="Times New Roman" w:hAnsi="Times New Roman"/>
        </w:rPr>
      </w:pPr>
    </w:p>
    <w:p w14:paraId="2568EB01"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450C5BE8" w14:textId="77777777" w:rsidR="00A57704" w:rsidRDefault="00A57704" w:rsidP="00A57704">
      <w:pPr>
        <w:spacing w:after="0"/>
        <w:rPr>
          <w:rFonts w:ascii="Times New Roman" w:hAnsi="Times New Roman"/>
        </w:rPr>
      </w:pPr>
      <w:r>
        <w:rPr>
          <w:noProof/>
          <w:lang w:eastAsia="es-DO"/>
        </w:rPr>
        <w:drawing>
          <wp:inline distT="0" distB="0" distL="0" distR="0" wp14:anchorId="142D007E" wp14:editId="72944801">
            <wp:extent cx="3599815" cy="1504950"/>
            <wp:effectExtent l="0" t="0" r="635" b="0"/>
            <wp:docPr id="217" name="Gráfico 217">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775F5BD1-9980-44AD-835D-26CEBD04EA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14:paraId="062EA542" w14:textId="77777777" w:rsidR="00A57704" w:rsidRDefault="00A57704" w:rsidP="00A57704">
      <w:pPr>
        <w:spacing w:after="0"/>
        <w:rPr>
          <w:rFonts w:ascii="Times New Roman" w:hAnsi="Times New Roman"/>
        </w:rPr>
      </w:pPr>
    </w:p>
    <w:p w14:paraId="46867D83"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num="2" w:space="720"/>
          <w:docGrid w:linePitch="360"/>
        </w:sectPr>
      </w:pPr>
    </w:p>
    <w:p w14:paraId="3089EEB2" w14:textId="77777777" w:rsidR="00A57704" w:rsidRDefault="00A57704" w:rsidP="00A57704">
      <w:pPr>
        <w:spacing w:after="0"/>
        <w:rPr>
          <w:rFonts w:ascii="Times New Roman" w:hAnsi="Times New Roman"/>
        </w:rPr>
      </w:pPr>
    </w:p>
    <w:tbl>
      <w:tblPr>
        <w:tblW w:w="12712" w:type="dxa"/>
        <w:tblInd w:w="-5" w:type="dxa"/>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A57704" w:rsidRPr="009E58FD" w14:paraId="50FDE273"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3696EFEB"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lastRenderedPageBreak/>
              <w:t>Monte Plata</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577EC843"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35D58D87"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5CA3500E"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00430507"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6248C26"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632166E5"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1375464C"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51682B1"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BA072CE"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75610CA5"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272EFE8B"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50E7E3DA"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6B1CF55D"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Año</w:t>
            </w:r>
          </w:p>
        </w:tc>
      </w:tr>
      <w:tr w:rsidR="00A57704" w:rsidRPr="009E58FD" w14:paraId="3F324455"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544BF" w14:textId="77777777" w:rsidR="00A57704" w:rsidRPr="009E58FD" w:rsidRDefault="00A57704" w:rsidP="00A57704">
            <w:pPr>
              <w:spacing w:after="0"/>
              <w:rPr>
                <w:rFonts w:ascii="Times New Roman" w:hAnsi="Times New Roman"/>
                <w:bCs/>
                <w:color w:val="000000"/>
                <w:lang w:eastAsia="es-DO"/>
              </w:rPr>
            </w:pPr>
            <w:r w:rsidRPr="009E58FD">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48B2D9A"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66.9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A613B19"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86.5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F24F2DE"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117.0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785FEC0"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123.5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A8AC5E5"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288.1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8D6BA3B"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238.8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0B353AE"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243.9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A9E29ED"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360.4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0BB62A3"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277.5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FC3AC28"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226.5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0B04311"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129.2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5099B90" w14:textId="77777777" w:rsidR="00A57704" w:rsidRPr="009E58FD" w:rsidRDefault="00A57704" w:rsidP="00A57704">
            <w:pPr>
              <w:spacing w:after="0"/>
              <w:jc w:val="center"/>
              <w:rPr>
                <w:rFonts w:ascii="Times New Roman" w:hAnsi="Times New Roman"/>
                <w:bCs/>
                <w:color w:val="000000"/>
                <w:lang w:eastAsia="es-DO"/>
              </w:rPr>
            </w:pPr>
            <w:r w:rsidRPr="009E58FD">
              <w:rPr>
                <w:rFonts w:ascii="Times New Roman" w:hAnsi="Times New Roman"/>
                <w:bCs/>
                <w:color w:val="000000"/>
                <w:lang w:eastAsia="es-DO"/>
              </w:rPr>
              <w:t>67.8</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5CA19DDE" w14:textId="77777777" w:rsidR="00A57704" w:rsidRPr="009E58FD" w:rsidRDefault="00A57704" w:rsidP="00A57704">
            <w:pPr>
              <w:spacing w:after="0"/>
              <w:jc w:val="center"/>
              <w:rPr>
                <w:rFonts w:ascii="Times New Roman" w:hAnsi="Times New Roman"/>
                <w:bCs/>
                <w:lang w:eastAsia="es-DO"/>
              </w:rPr>
            </w:pPr>
            <w:r w:rsidRPr="009E58FD">
              <w:rPr>
                <w:rFonts w:ascii="Times New Roman" w:hAnsi="Times New Roman"/>
                <w:bCs/>
                <w:lang w:eastAsia="es-DO"/>
              </w:rPr>
              <w:t>2,226.1</w:t>
            </w:r>
          </w:p>
        </w:tc>
      </w:tr>
      <w:tr w:rsidR="00A57704" w:rsidRPr="009E58FD" w14:paraId="6C4A1C9F"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4384A" w14:textId="77777777" w:rsidR="00A57704" w:rsidRPr="009E58FD" w:rsidRDefault="00A57704" w:rsidP="00A57704">
            <w:pPr>
              <w:spacing w:after="0"/>
              <w:rPr>
                <w:rFonts w:ascii="Times New Roman" w:hAnsi="Times New Roman"/>
                <w:bCs/>
                <w:color w:val="000000"/>
                <w:lang w:eastAsia="es-DO"/>
              </w:rPr>
            </w:pPr>
            <w:r w:rsidRPr="009E58FD">
              <w:rPr>
                <w:rFonts w:ascii="Times New Roman" w:hAnsi="Times New Roman"/>
                <w:bCs/>
                <w:color w:val="000000"/>
                <w:lang w:eastAsia="es-DO"/>
              </w:rPr>
              <w:t xml:space="preserve">Precipitación </w:t>
            </w:r>
            <w:r>
              <w:rPr>
                <w:rFonts w:ascii="Times New Roman" w:hAnsi="Times New Roman"/>
                <w:bCs/>
                <w:color w:val="00000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3A02655"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36.1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1EB4E3E"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36.6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B255F50"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62.2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3C66225"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119.1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CAFF65E"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165.2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58B2E37"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172.8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778EB6A"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274.6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4EC3006"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148.5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3FB5363"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100.3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BBAC485"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218.0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7120E10"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68.0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AB25D72"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47B7ABE4" w14:textId="77777777" w:rsidR="00A57704" w:rsidRPr="009E58FD" w:rsidRDefault="00A57704" w:rsidP="00A57704">
            <w:pPr>
              <w:spacing w:after="0"/>
              <w:jc w:val="center"/>
              <w:rPr>
                <w:rFonts w:ascii="Times New Roman" w:hAnsi="Times New Roman"/>
                <w:bCs/>
                <w:lang w:eastAsia="es-DO"/>
              </w:rPr>
            </w:pPr>
            <w:r>
              <w:rPr>
                <w:rFonts w:ascii="Times New Roman" w:hAnsi="Times New Roman"/>
                <w:bCs/>
                <w:lang w:eastAsia="es-DO"/>
              </w:rPr>
              <w:t>1,401.4</w:t>
            </w:r>
          </w:p>
        </w:tc>
      </w:tr>
      <w:tr w:rsidR="00A57704" w:rsidRPr="009E58FD" w14:paraId="4A342F3E"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8F4F2" w14:textId="77777777" w:rsidR="00A57704" w:rsidRPr="009E58FD" w:rsidRDefault="00A57704" w:rsidP="00A57704">
            <w:pPr>
              <w:spacing w:after="0"/>
              <w:rPr>
                <w:rFonts w:ascii="Times New Roman" w:hAnsi="Times New Roman"/>
                <w:bCs/>
                <w:color w:val="000000"/>
                <w:lang w:eastAsia="es-DO"/>
              </w:rPr>
            </w:pPr>
            <w:r w:rsidRPr="009E58FD">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E19EB6B"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-46.0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36912F5"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-57.7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109057D"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-46.8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2246700"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99035A2"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-42.7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C663808"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-27.6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8805CE2"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12.6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F77F2A3"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-58.8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7A43B51"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-63.9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284860A"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11711F6"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-47.4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D18EC99" w14:textId="77777777" w:rsidR="00A57704" w:rsidRPr="009E58FD"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50398871" w14:textId="77777777" w:rsidR="00A57704" w:rsidRPr="009E58FD" w:rsidRDefault="00A57704" w:rsidP="00A57704">
            <w:pPr>
              <w:spacing w:after="0"/>
              <w:jc w:val="center"/>
              <w:rPr>
                <w:rFonts w:ascii="Times New Roman" w:hAnsi="Times New Roman"/>
                <w:bCs/>
                <w:lang w:eastAsia="es-DO"/>
              </w:rPr>
            </w:pPr>
            <w:r w:rsidRPr="009E58FD">
              <w:rPr>
                <w:rFonts w:ascii="Times New Roman" w:hAnsi="Times New Roman"/>
                <w:bCs/>
                <w:lang w:eastAsia="es-DO"/>
              </w:rPr>
              <w:t>-29.5</w:t>
            </w:r>
          </w:p>
        </w:tc>
      </w:tr>
    </w:tbl>
    <w:p w14:paraId="4F052F58" w14:textId="77777777" w:rsidR="00A57704" w:rsidRPr="00C83490" w:rsidRDefault="00A57704" w:rsidP="00A57704">
      <w:pPr>
        <w:spacing w:after="0"/>
        <w:rPr>
          <w:rFonts w:ascii="Times New Roman" w:hAnsi="Times New Roman"/>
        </w:rPr>
        <w:sectPr w:rsidR="00A57704" w:rsidRPr="00C83490" w:rsidSect="00A57704">
          <w:type w:val="continuous"/>
          <w:pgSz w:w="15840" w:h="12240" w:orient="landscape"/>
          <w:pgMar w:top="1276" w:right="851" w:bottom="851" w:left="1440" w:header="720" w:footer="720" w:gutter="0"/>
          <w:cols w:space="720"/>
          <w:docGrid w:linePitch="360"/>
        </w:sectPr>
      </w:pPr>
    </w:p>
    <w:p w14:paraId="14F62A4C" w14:textId="77777777" w:rsidR="00A57704" w:rsidRPr="00C83490" w:rsidRDefault="00A57704" w:rsidP="00A57704">
      <w:pPr>
        <w:spacing w:after="0"/>
        <w:rPr>
          <w:rFonts w:ascii="Times New Roman" w:hAnsi="Times New Roman"/>
        </w:rPr>
      </w:pPr>
    </w:p>
    <w:p w14:paraId="42C16B98"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Monte Plata</w:t>
      </w:r>
    </w:p>
    <w:p w14:paraId="114972B9" w14:textId="77777777" w:rsidR="00A57704" w:rsidRPr="009E58FD" w:rsidRDefault="00A57704" w:rsidP="00A57704">
      <w:pPr>
        <w:spacing w:after="0"/>
        <w:rPr>
          <w:rFonts w:ascii="Times New Roman" w:hAnsi="Times New Roman"/>
        </w:rPr>
      </w:pPr>
      <w:r>
        <w:rPr>
          <w:noProof/>
          <w:lang w:eastAsia="es-DO"/>
        </w:rPr>
        <w:drawing>
          <wp:inline distT="0" distB="0" distL="0" distR="0" wp14:anchorId="35B20D8B" wp14:editId="16D0A0E4">
            <wp:extent cx="3619500" cy="1790700"/>
            <wp:effectExtent l="0" t="0" r="0" b="0"/>
            <wp:docPr id="222" name="Gráfico 22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AEF68BA1-F3C0-49B9-B34C-6808C2A441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14:paraId="49C2E824" w14:textId="77777777" w:rsidR="00A57704" w:rsidRPr="002D5B20" w:rsidRDefault="00A57704" w:rsidP="00A57704">
      <w:pPr>
        <w:spacing w:after="0"/>
        <w:rPr>
          <w:rFonts w:ascii="Times New Roman" w:hAnsi="Times New Roman"/>
          <w:sz w:val="4"/>
        </w:rPr>
      </w:pPr>
    </w:p>
    <w:p w14:paraId="55508B1D" w14:textId="77777777" w:rsidR="00A57704" w:rsidRPr="002D5B20" w:rsidRDefault="00A57704" w:rsidP="00A57704">
      <w:pPr>
        <w:spacing w:after="0"/>
        <w:rPr>
          <w:rFonts w:ascii="Times New Roman" w:hAnsi="Times New Roman"/>
          <w:sz w:val="4"/>
        </w:rPr>
      </w:pPr>
    </w:p>
    <w:p w14:paraId="0DF5AFCE" w14:textId="77777777" w:rsidR="00A57704" w:rsidRPr="002D5B20" w:rsidRDefault="00A57704" w:rsidP="00A57704">
      <w:pPr>
        <w:spacing w:after="0"/>
        <w:rPr>
          <w:rFonts w:ascii="Times New Roman" w:hAnsi="Times New Roman"/>
          <w:sz w:val="4"/>
        </w:rPr>
      </w:pPr>
    </w:p>
    <w:p w14:paraId="25662444" w14:textId="77777777" w:rsidR="00A57704" w:rsidRPr="002D5B20" w:rsidRDefault="00A57704" w:rsidP="00A57704">
      <w:pPr>
        <w:spacing w:after="0"/>
        <w:rPr>
          <w:rFonts w:ascii="Times New Roman" w:hAnsi="Times New Roman"/>
        </w:rPr>
      </w:pPr>
    </w:p>
    <w:p w14:paraId="5A8A018B"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7B6A1E37"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4589602C" wp14:editId="250827D5">
            <wp:extent cx="3599815" cy="1743075"/>
            <wp:effectExtent l="0" t="0" r="635" b="0"/>
            <wp:docPr id="223" name="Gráfico 22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BF824877-1D35-4643-9191-23C873039A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tbl>
      <w:tblPr>
        <w:tblW w:w="12704" w:type="dxa"/>
        <w:tblInd w:w="-5" w:type="dxa"/>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A57704" w:rsidRPr="00FD41DE" w14:paraId="74C3B015"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31161353"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San Juan De La M.</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36F02DFF"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3721571F"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1517FEAE"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4921873"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03C0D94F"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85D63E6"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51CE2ADF"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6D4F8F51"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039FC41"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6B8F1DC1"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6C7574A4"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71089769"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71A57D45"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Año</w:t>
            </w:r>
          </w:p>
        </w:tc>
      </w:tr>
      <w:tr w:rsidR="00A57704" w:rsidRPr="00FD41DE" w14:paraId="14550132"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704C0" w14:textId="77777777" w:rsidR="00A57704" w:rsidRPr="00FD41DE" w:rsidRDefault="00A57704" w:rsidP="00A57704">
            <w:pPr>
              <w:spacing w:after="0"/>
              <w:rPr>
                <w:rFonts w:ascii="Times New Roman" w:hAnsi="Times New Roman"/>
                <w:bCs/>
                <w:color w:val="000000"/>
                <w:szCs w:val="20"/>
                <w:lang w:eastAsia="es-DO"/>
              </w:rPr>
            </w:pPr>
            <w:r w:rsidRPr="00FD41DE">
              <w:rPr>
                <w:rFonts w:ascii="Times New Roman" w:hAnsi="Times New Roman"/>
                <w:bCs/>
                <w:color w:val="000000"/>
                <w:szCs w:val="2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98DFB9D" w14:textId="77777777" w:rsidR="00A57704" w:rsidRPr="00FD41DE" w:rsidRDefault="00A57704" w:rsidP="00A57704">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20.2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6FA82E9" w14:textId="77777777" w:rsidR="00A57704" w:rsidRPr="00FD41DE" w:rsidRDefault="00A57704" w:rsidP="00A57704">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17.6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37D0C6C" w14:textId="77777777" w:rsidR="00A57704" w:rsidRPr="00FD41DE" w:rsidRDefault="00A57704" w:rsidP="00A57704">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42.5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F5254AA" w14:textId="77777777" w:rsidR="00A57704" w:rsidRPr="00FD41DE" w:rsidRDefault="00A57704" w:rsidP="00A57704">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67.9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486D7E5" w14:textId="77777777" w:rsidR="00A57704" w:rsidRPr="00FD41DE" w:rsidRDefault="00A57704" w:rsidP="00A57704">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125.9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41559BC" w14:textId="77777777" w:rsidR="00A57704" w:rsidRPr="00FD41DE" w:rsidRDefault="00A57704" w:rsidP="00A57704">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84.9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22070B6" w14:textId="77777777" w:rsidR="00A57704" w:rsidRPr="00FD41DE" w:rsidRDefault="00A57704" w:rsidP="00A57704">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101.6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190FA37" w14:textId="77777777" w:rsidR="00A57704" w:rsidRPr="00FD41DE" w:rsidRDefault="00A57704" w:rsidP="00A57704">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126.3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1DBF2D0" w14:textId="77777777" w:rsidR="00A57704" w:rsidRPr="00FD41DE" w:rsidRDefault="00A57704" w:rsidP="00A57704">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155.3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DFEDF71" w14:textId="77777777" w:rsidR="00A57704" w:rsidRPr="00FD41DE" w:rsidRDefault="00A57704" w:rsidP="00A57704">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120.4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5CECFA2" w14:textId="77777777" w:rsidR="00A57704" w:rsidRPr="00FD41DE" w:rsidRDefault="00A57704" w:rsidP="00A57704">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60.1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A007509" w14:textId="77777777" w:rsidR="00A57704" w:rsidRPr="00FD41DE" w:rsidRDefault="00A57704" w:rsidP="00A57704">
            <w:pPr>
              <w:spacing w:after="0"/>
              <w:jc w:val="center"/>
              <w:rPr>
                <w:rFonts w:ascii="Times New Roman" w:hAnsi="Times New Roman"/>
                <w:bCs/>
                <w:color w:val="000000"/>
                <w:szCs w:val="20"/>
                <w:lang w:eastAsia="es-DO"/>
              </w:rPr>
            </w:pPr>
            <w:r w:rsidRPr="00FD41DE">
              <w:rPr>
                <w:rFonts w:ascii="Times New Roman" w:hAnsi="Times New Roman"/>
                <w:bCs/>
                <w:color w:val="000000"/>
                <w:szCs w:val="20"/>
                <w:lang w:eastAsia="es-DO"/>
              </w:rPr>
              <w:t>16.0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1E96A56D" w14:textId="77777777" w:rsidR="00A57704" w:rsidRPr="00FD41DE" w:rsidRDefault="00A57704" w:rsidP="00A57704">
            <w:pPr>
              <w:spacing w:after="0"/>
              <w:jc w:val="center"/>
              <w:rPr>
                <w:rFonts w:ascii="Times New Roman" w:hAnsi="Times New Roman"/>
                <w:bCs/>
                <w:szCs w:val="20"/>
                <w:lang w:eastAsia="es-DO"/>
              </w:rPr>
            </w:pPr>
            <w:r w:rsidRPr="00FD41DE">
              <w:rPr>
                <w:rFonts w:ascii="Times New Roman" w:hAnsi="Times New Roman"/>
                <w:bCs/>
                <w:szCs w:val="20"/>
                <w:lang w:eastAsia="es-DO"/>
              </w:rPr>
              <w:t>938.7</w:t>
            </w:r>
          </w:p>
        </w:tc>
      </w:tr>
      <w:tr w:rsidR="00A57704" w:rsidRPr="00FD41DE" w14:paraId="718BD11B"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B904A" w14:textId="77777777" w:rsidR="00A57704" w:rsidRPr="00FD41DE" w:rsidRDefault="00A57704" w:rsidP="00A57704">
            <w:pPr>
              <w:spacing w:after="0"/>
              <w:rPr>
                <w:rFonts w:ascii="Times New Roman" w:hAnsi="Times New Roman"/>
                <w:bCs/>
                <w:color w:val="000000"/>
                <w:szCs w:val="20"/>
                <w:lang w:eastAsia="es-DO"/>
              </w:rPr>
            </w:pPr>
            <w:r w:rsidRPr="00FD41DE">
              <w:rPr>
                <w:rFonts w:ascii="Times New Roman" w:hAnsi="Times New Roman"/>
                <w:bCs/>
                <w:color w:val="000000"/>
                <w:szCs w:val="20"/>
                <w:lang w:eastAsia="es-DO"/>
              </w:rPr>
              <w:t xml:space="preserve">Precipitación </w:t>
            </w:r>
            <w:r>
              <w:rPr>
                <w:rFonts w:ascii="Times New Roman" w:hAnsi="Times New Roman"/>
                <w:bCs/>
                <w:color w:val="000000"/>
                <w:szCs w:val="2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87B3867"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3.9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A2FB93C"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3E20943"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34.0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18A40B5"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FE132D9"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123.7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D689988"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22.4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0D6C30F"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84.2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A05E951"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37.1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FD4C494"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156.3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0866125"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33.8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E499A30"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7.3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8AD03CC"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30777337" w14:textId="77777777" w:rsidR="00A57704" w:rsidRPr="00FD41DE" w:rsidRDefault="00A57704" w:rsidP="00A57704">
            <w:pPr>
              <w:spacing w:after="0"/>
              <w:jc w:val="center"/>
              <w:rPr>
                <w:rFonts w:ascii="Times New Roman" w:hAnsi="Times New Roman"/>
                <w:bCs/>
                <w:szCs w:val="20"/>
                <w:lang w:eastAsia="es-DO"/>
              </w:rPr>
            </w:pPr>
            <w:r>
              <w:rPr>
                <w:rFonts w:ascii="Times New Roman" w:hAnsi="Times New Roman"/>
                <w:bCs/>
                <w:szCs w:val="20"/>
                <w:lang w:eastAsia="es-DO"/>
              </w:rPr>
              <w:t>530.3</w:t>
            </w:r>
          </w:p>
        </w:tc>
      </w:tr>
      <w:tr w:rsidR="00A57704" w:rsidRPr="00FD41DE" w14:paraId="574DEB23"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1E7A1" w14:textId="77777777" w:rsidR="00A57704" w:rsidRPr="00FD41DE" w:rsidRDefault="00A57704" w:rsidP="00A57704">
            <w:pPr>
              <w:spacing w:after="0"/>
              <w:rPr>
                <w:rFonts w:ascii="Times New Roman" w:hAnsi="Times New Roman"/>
                <w:bCs/>
                <w:color w:val="000000"/>
                <w:szCs w:val="20"/>
                <w:lang w:eastAsia="es-DO"/>
              </w:rPr>
            </w:pPr>
            <w:r w:rsidRPr="00FD41DE">
              <w:rPr>
                <w:rFonts w:ascii="Times New Roman" w:hAnsi="Times New Roman"/>
                <w:bCs/>
                <w:color w:val="000000"/>
                <w:szCs w:val="2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47FD7D7"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-80.7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7883077"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-92.6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EB82B82"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-20.0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A69F1D2"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-61.3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D6EC5BB"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DA45280"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-73.6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3FDE1D9"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-17.1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DCE2AA8"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-70.6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9474D4A"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0.6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F6CFD0E"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-71.9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334CE96"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-87.9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BE63BCB" w14:textId="77777777" w:rsidR="00A57704" w:rsidRPr="00FD41DE"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3A90926B" w14:textId="77777777" w:rsidR="00A57704" w:rsidRPr="00FD41DE" w:rsidRDefault="00A57704" w:rsidP="00A57704">
            <w:pPr>
              <w:spacing w:after="0"/>
              <w:jc w:val="center"/>
              <w:rPr>
                <w:rFonts w:ascii="Times New Roman" w:hAnsi="Times New Roman"/>
                <w:bCs/>
                <w:szCs w:val="20"/>
                <w:lang w:eastAsia="es-DO"/>
              </w:rPr>
            </w:pPr>
            <w:r w:rsidRPr="00FD41DE">
              <w:rPr>
                <w:rFonts w:ascii="Times New Roman" w:hAnsi="Times New Roman"/>
                <w:bCs/>
                <w:szCs w:val="20"/>
                <w:lang w:eastAsia="es-DO"/>
              </w:rPr>
              <w:t>-18.9</w:t>
            </w:r>
          </w:p>
        </w:tc>
      </w:tr>
    </w:tbl>
    <w:p w14:paraId="63427681" w14:textId="77777777" w:rsidR="00A57704" w:rsidRDefault="00A57704" w:rsidP="00A57704">
      <w:pPr>
        <w:spacing w:after="0"/>
        <w:rPr>
          <w:rFonts w:ascii="Times New Roman" w:hAnsi="Times New Roman"/>
        </w:rPr>
      </w:pPr>
    </w:p>
    <w:p w14:paraId="07C91612"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space="720"/>
          <w:docGrid w:linePitch="360"/>
        </w:sectPr>
      </w:pPr>
    </w:p>
    <w:p w14:paraId="486076E6" w14:textId="77777777" w:rsidR="00A57704" w:rsidRPr="00C83490" w:rsidRDefault="00A57704" w:rsidP="00A57704">
      <w:pPr>
        <w:spacing w:after="0"/>
        <w:rPr>
          <w:rFonts w:ascii="Times New Roman" w:hAnsi="Times New Roman"/>
        </w:rPr>
      </w:pPr>
    </w:p>
    <w:p w14:paraId="37BE1E89"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San Juan De La Mag.</w:t>
      </w:r>
    </w:p>
    <w:p w14:paraId="13A64477" w14:textId="77777777" w:rsidR="00A57704" w:rsidRPr="002D5B20" w:rsidRDefault="00A57704" w:rsidP="00A57704">
      <w:pPr>
        <w:spacing w:after="0"/>
        <w:rPr>
          <w:rFonts w:ascii="Times New Roman" w:hAnsi="Times New Roman"/>
          <w:sz w:val="4"/>
        </w:rPr>
      </w:pPr>
      <w:r>
        <w:rPr>
          <w:noProof/>
          <w:lang w:eastAsia="es-DO"/>
        </w:rPr>
        <w:drawing>
          <wp:inline distT="0" distB="0" distL="0" distR="0" wp14:anchorId="79E9CFDF" wp14:editId="62F70374">
            <wp:extent cx="3562350" cy="1466850"/>
            <wp:effectExtent l="0" t="0" r="0" b="0"/>
            <wp:docPr id="252" name="Gráfico 25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756B604A-63A8-4A7B-9898-03B50DD10E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14:paraId="6C9D42C6" w14:textId="77777777" w:rsidR="00A57704" w:rsidRPr="002D5B20" w:rsidRDefault="00A57704" w:rsidP="00A57704">
      <w:pPr>
        <w:spacing w:after="0"/>
        <w:rPr>
          <w:rFonts w:ascii="Times New Roman" w:hAnsi="Times New Roman"/>
          <w:sz w:val="4"/>
        </w:rPr>
      </w:pPr>
    </w:p>
    <w:p w14:paraId="681792F3" w14:textId="77777777" w:rsidR="00A57704" w:rsidRPr="002D5B20" w:rsidRDefault="00A57704" w:rsidP="00A57704">
      <w:pPr>
        <w:spacing w:after="0"/>
        <w:rPr>
          <w:rFonts w:ascii="Times New Roman" w:hAnsi="Times New Roman"/>
          <w:sz w:val="4"/>
        </w:rPr>
      </w:pPr>
    </w:p>
    <w:p w14:paraId="6B6D5934" w14:textId="77777777" w:rsidR="00A57704" w:rsidRDefault="00A57704" w:rsidP="00A57704">
      <w:pPr>
        <w:spacing w:after="0"/>
        <w:rPr>
          <w:rFonts w:ascii="Times New Roman" w:hAnsi="Times New Roman"/>
        </w:rPr>
      </w:pPr>
    </w:p>
    <w:p w14:paraId="5D04136E" w14:textId="77777777" w:rsidR="00A57704" w:rsidRDefault="00A57704" w:rsidP="00A57704">
      <w:pPr>
        <w:spacing w:after="0"/>
        <w:rPr>
          <w:rFonts w:ascii="Times New Roman" w:hAnsi="Times New Roman"/>
        </w:rPr>
      </w:pPr>
    </w:p>
    <w:p w14:paraId="006A4067"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07354FF1" w14:textId="77777777" w:rsidR="00A57704" w:rsidRDefault="00A57704" w:rsidP="00A57704">
      <w:pPr>
        <w:spacing w:after="0"/>
        <w:rPr>
          <w:rFonts w:ascii="Times New Roman" w:hAnsi="Times New Roman"/>
        </w:rPr>
      </w:pPr>
      <w:r>
        <w:rPr>
          <w:noProof/>
          <w:lang w:eastAsia="es-DO"/>
        </w:rPr>
        <w:drawing>
          <wp:inline distT="0" distB="0" distL="0" distR="0" wp14:anchorId="252C41E3" wp14:editId="7A402784">
            <wp:extent cx="3599815" cy="1543050"/>
            <wp:effectExtent l="0" t="0" r="0" b="0"/>
            <wp:docPr id="253" name="Gráfico 25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7862B3AA-F830-4A98-8135-BC829698BE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14:paraId="23487D96" w14:textId="77777777" w:rsidR="00A57704" w:rsidRDefault="00A57704" w:rsidP="00A57704">
      <w:pPr>
        <w:spacing w:after="0"/>
        <w:rPr>
          <w:rFonts w:ascii="Times New Roman" w:hAnsi="Times New Roman"/>
        </w:rPr>
      </w:pPr>
    </w:p>
    <w:p w14:paraId="2F06A8D7"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num="2" w:space="720"/>
          <w:docGrid w:linePitch="360"/>
        </w:sectPr>
      </w:pPr>
    </w:p>
    <w:p w14:paraId="2D880AEC"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p>
    <w:tbl>
      <w:tblPr>
        <w:tblW w:w="12712" w:type="dxa"/>
        <w:tblInd w:w="-5" w:type="dxa"/>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A57704" w:rsidRPr="00966DC2" w14:paraId="0D567DB3"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4840A6CE"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lastRenderedPageBreak/>
              <w:t>Azua</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734BFCB5"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452A9DB8"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0EF18053"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61D4B9E1"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38EBE2C0"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C66BCCF"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1C6641F8"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9FD88BC"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E734C45"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841C0D8"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2D8FE6C7"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04951EA3"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67C50B7C"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Año</w:t>
            </w:r>
          </w:p>
        </w:tc>
      </w:tr>
      <w:tr w:rsidR="00A57704" w:rsidRPr="00966DC2" w14:paraId="7F25C8D3"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0F3D9" w14:textId="77777777" w:rsidR="00A57704" w:rsidRPr="00966DC2" w:rsidRDefault="00A57704" w:rsidP="00A57704">
            <w:pPr>
              <w:spacing w:after="0"/>
              <w:rPr>
                <w:rFonts w:ascii="Times New Roman" w:hAnsi="Times New Roman"/>
                <w:bCs/>
                <w:color w:val="000000"/>
                <w:lang w:eastAsia="es-DO"/>
              </w:rPr>
            </w:pPr>
            <w:r w:rsidRPr="00966DC2">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D37B208"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22.7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CB5D3D2"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16.1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68BDCF5"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38.3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EA8694A"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42.7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DDBFDE6"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78.1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BA81501"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70.6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A3AA6E7"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40.4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7218FBD"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83.7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D93F265"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142.2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FC6D107"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110.6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94DC632"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41.1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7B93F09"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22.2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08B41211" w14:textId="77777777" w:rsidR="00A57704" w:rsidRPr="00966DC2" w:rsidRDefault="00A57704" w:rsidP="00A57704">
            <w:pPr>
              <w:spacing w:after="0"/>
              <w:jc w:val="center"/>
              <w:rPr>
                <w:rFonts w:ascii="Times New Roman" w:hAnsi="Times New Roman"/>
                <w:bCs/>
                <w:lang w:eastAsia="es-DO"/>
              </w:rPr>
            </w:pPr>
            <w:r w:rsidRPr="00966DC2">
              <w:rPr>
                <w:rFonts w:ascii="Times New Roman" w:hAnsi="Times New Roman"/>
                <w:bCs/>
                <w:lang w:eastAsia="es-DO"/>
              </w:rPr>
              <w:t>708.7</w:t>
            </w:r>
          </w:p>
        </w:tc>
      </w:tr>
      <w:tr w:rsidR="00A57704" w:rsidRPr="00966DC2" w14:paraId="26A716DC"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63EC3" w14:textId="77777777" w:rsidR="00A57704" w:rsidRPr="00966DC2" w:rsidRDefault="00A57704" w:rsidP="00A57704">
            <w:pPr>
              <w:spacing w:after="0"/>
              <w:rPr>
                <w:rFonts w:ascii="Times New Roman" w:hAnsi="Times New Roman"/>
                <w:bCs/>
                <w:color w:val="000000"/>
                <w:lang w:eastAsia="es-DO"/>
              </w:rPr>
            </w:pPr>
            <w:r w:rsidRPr="00966DC2">
              <w:rPr>
                <w:rFonts w:ascii="Times New Roman" w:hAnsi="Times New Roman"/>
                <w:bCs/>
                <w:color w:val="000000"/>
                <w:lang w:eastAsia="es-DO"/>
              </w:rPr>
              <w:t xml:space="preserve">Precipitación </w:t>
            </w:r>
            <w:r>
              <w:rPr>
                <w:rFonts w:ascii="Times New Roman" w:hAnsi="Times New Roman"/>
                <w:bCs/>
                <w:color w:val="00000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9F29F47"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10.2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BD51181"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80D49DE"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64.2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0D7B8D8"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30.6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EDAFF39"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75.8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27E15DC"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9.2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A195ED5"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42.0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A57D6EA"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29.4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6DC9810"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75.9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7C27B79"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B07ACBF"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16.5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07AE26C"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754D0433" w14:textId="77777777" w:rsidR="00A57704" w:rsidRPr="00966DC2" w:rsidRDefault="00A57704" w:rsidP="00A57704">
            <w:pPr>
              <w:spacing w:after="0"/>
              <w:jc w:val="center"/>
              <w:rPr>
                <w:rFonts w:ascii="Times New Roman" w:hAnsi="Times New Roman"/>
                <w:bCs/>
                <w:lang w:eastAsia="es-DO"/>
              </w:rPr>
            </w:pPr>
            <w:r>
              <w:rPr>
                <w:rFonts w:ascii="Times New Roman" w:hAnsi="Times New Roman"/>
                <w:bCs/>
                <w:lang w:eastAsia="es-DO"/>
              </w:rPr>
              <w:t>357.8</w:t>
            </w:r>
          </w:p>
        </w:tc>
      </w:tr>
      <w:tr w:rsidR="00A57704" w:rsidRPr="00966DC2" w14:paraId="08DE6AAD"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4B2FC" w14:textId="77777777" w:rsidR="00A57704" w:rsidRPr="00966DC2" w:rsidRDefault="00A57704" w:rsidP="00A57704">
            <w:pPr>
              <w:spacing w:after="0"/>
              <w:rPr>
                <w:rFonts w:ascii="Times New Roman" w:hAnsi="Times New Roman"/>
                <w:bCs/>
                <w:color w:val="000000"/>
                <w:lang w:eastAsia="es-DO"/>
              </w:rPr>
            </w:pPr>
            <w:r w:rsidRPr="00966DC2">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1F36F2C"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-55.1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2FCCE1D"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-98.8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77C144A"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67.6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E2327FB"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-28.3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5C1C4DE"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5AA35B8"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-87.0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DDB88BE"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A19C401"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-64.9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981322E"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-46.6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C6EE40E"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-96.6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52FC2A8"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-59.9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44B6B25"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5C5A2230" w14:textId="77777777" w:rsidR="00A57704" w:rsidRPr="00966DC2" w:rsidRDefault="00A57704" w:rsidP="00A57704">
            <w:pPr>
              <w:spacing w:after="0"/>
              <w:jc w:val="center"/>
              <w:rPr>
                <w:rFonts w:ascii="Times New Roman" w:hAnsi="Times New Roman"/>
                <w:bCs/>
                <w:lang w:eastAsia="es-DO"/>
              </w:rPr>
            </w:pPr>
            <w:r w:rsidRPr="00966DC2">
              <w:rPr>
                <w:rFonts w:ascii="Times New Roman" w:hAnsi="Times New Roman"/>
                <w:bCs/>
                <w:lang w:eastAsia="es-DO"/>
              </w:rPr>
              <w:t>-51.2</w:t>
            </w:r>
          </w:p>
        </w:tc>
      </w:tr>
    </w:tbl>
    <w:p w14:paraId="57AF1D27" w14:textId="77777777" w:rsidR="00A57704" w:rsidRPr="00C83490" w:rsidRDefault="00A57704" w:rsidP="00A57704">
      <w:pPr>
        <w:spacing w:after="0"/>
        <w:rPr>
          <w:rFonts w:ascii="Times New Roman" w:hAnsi="Times New Roman"/>
        </w:rPr>
        <w:sectPr w:rsidR="00A57704" w:rsidRPr="00C83490" w:rsidSect="00A57704">
          <w:type w:val="continuous"/>
          <w:pgSz w:w="15840" w:h="12240" w:orient="landscape"/>
          <w:pgMar w:top="1276" w:right="851" w:bottom="851" w:left="1440" w:header="720" w:footer="720" w:gutter="0"/>
          <w:cols w:space="720"/>
          <w:docGrid w:linePitch="360"/>
        </w:sectPr>
      </w:pPr>
    </w:p>
    <w:p w14:paraId="73FE44BF" w14:textId="77777777" w:rsidR="00A57704" w:rsidRPr="00C83490" w:rsidRDefault="00A57704" w:rsidP="00A57704">
      <w:pPr>
        <w:spacing w:after="0"/>
        <w:rPr>
          <w:rFonts w:ascii="Times New Roman" w:hAnsi="Times New Roman"/>
        </w:rPr>
      </w:pPr>
    </w:p>
    <w:p w14:paraId="7CA03C95"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Azua</w:t>
      </w:r>
    </w:p>
    <w:p w14:paraId="2A41213B" w14:textId="77777777" w:rsidR="00A57704" w:rsidRPr="009E58FD" w:rsidRDefault="00A57704" w:rsidP="00A57704">
      <w:pPr>
        <w:spacing w:after="0"/>
        <w:rPr>
          <w:rFonts w:ascii="Times New Roman" w:hAnsi="Times New Roman"/>
        </w:rPr>
      </w:pPr>
      <w:r>
        <w:rPr>
          <w:noProof/>
          <w:lang w:eastAsia="es-DO"/>
        </w:rPr>
        <w:drawing>
          <wp:inline distT="0" distB="0" distL="0" distR="0" wp14:anchorId="46994181" wp14:editId="34B3E87E">
            <wp:extent cx="3505200" cy="1600200"/>
            <wp:effectExtent l="0" t="0" r="0" b="0"/>
            <wp:docPr id="254" name="Gráfico 25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43EA7BC8-B2A2-470E-A2BA-D3CF1F4C3F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14:paraId="1FA4AD13" w14:textId="77777777" w:rsidR="00A57704" w:rsidRPr="002D5B20" w:rsidRDefault="00A57704" w:rsidP="00A57704">
      <w:pPr>
        <w:spacing w:after="0"/>
        <w:rPr>
          <w:rFonts w:ascii="Times New Roman" w:hAnsi="Times New Roman"/>
          <w:sz w:val="4"/>
        </w:rPr>
      </w:pPr>
    </w:p>
    <w:p w14:paraId="0B90872D" w14:textId="77777777" w:rsidR="00A57704" w:rsidRPr="002D5B20" w:rsidRDefault="00A57704" w:rsidP="00A57704">
      <w:pPr>
        <w:spacing w:after="0"/>
        <w:rPr>
          <w:rFonts w:ascii="Times New Roman" w:hAnsi="Times New Roman"/>
          <w:sz w:val="4"/>
        </w:rPr>
      </w:pPr>
    </w:p>
    <w:p w14:paraId="429E7196" w14:textId="77777777" w:rsidR="00A57704" w:rsidRPr="002D5B20" w:rsidRDefault="00A57704" w:rsidP="00A57704">
      <w:pPr>
        <w:spacing w:after="0"/>
        <w:rPr>
          <w:rFonts w:ascii="Times New Roman" w:hAnsi="Times New Roman"/>
          <w:sz w:val="4"/>
        </w:rPr>
      </w:pPr>
    </w:p>
    <w:p w14:paraId="53784FB9" w14:textId="77777777" w:rsidR="00A57704" w:rsidRPr="002D5B20" w:rsidRDefault="00A57704" w:rsidP="00A57704">
      <w:pPr>
        <w:spacing w:after="0"/>
        <w:rPr>
          <w:rFonts w:ascii="Times New Roman" w:hAnsi="Times New Roman"/>
        </w:rPr>
      </w:pPr>
    </w:p>
    <w:p w14:paraId="499749F1"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4BFC854E"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508D1816" wp14:editId="2FC59471">
            <wp:extent cx="3438525" cy="1562100"/>
            <wp:effectExtent l="0" t="0" r="0" b="0"/>
            <wp:docPr id="255" name="Gráfico 255">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A43DE790-95C2-4879-A70D-69B2344FEF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tbl>
      <w:tblPr>
        <w:tblW w:w="12704" w:type="dxa"/>
        <w:tblInd w:w="-5" w:type="dxa"/>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A57704" w:rsidRPr="00966DC2" w14:paraId="0636F6BF"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3192EA9D"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Elías Piña</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6C3F4460"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522F11AF"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72C63552"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38F88752"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316C2A6F"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DA4AF68"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51E9DC68"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3B96165"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9DA0A7A"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CD0B94B"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7E615D51"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7845DBEA"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2B12AB00"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Año</w:t>
            </w:r>
          </w:p>
        </w:tc>
      </w:tr>
      <w:tr w:rsidR="00A57704" w:rsidRPr="00966DC2" w14:paraId="0BE3F343"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4A567" w14:textId="77777777" w:rsidR="00A57704" w:rsidRPr="00966DC2" w:rsidRDefault="00A57704" w:rsidP="00A57704">
            <w:pPr>
              <w:spacing w:after="0"/>
              <w:rPr>
                <w:rFonts w:ascii="Times New Roman" w:hAnsi="Times New Roman"/>
                <w:bCs/>
                <w:color w:val="000000"/>
                <w:szCs w:val="20"/>
                <w:lang w:eastAsia="es-DO"/>
              </w:rPr>
            </w:pPr>
            <w:r w:rsidRPr="00966DC2">
              <w:rPr>
                <w:rFonts w:ascii="Times New Roman" w:hAnsi="Times New Roman"/>
                <w:bCs/>
                <w:color w:val="000000"/>
                <w:szCs w:val="2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86A13BF" w14:textId="77777777" w:rsidR="00A57704" w:rsidRPr="00966DC2" w:rsidRDefault="00A57704" w:rsidP="00A57704">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21.1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8844A1F" w14:textId="77777777" w:rsidR="00A57704" w:rsidRPr="00966DC2" w:rsidRDefault="00A57704" w:rsidP="00A57704">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35.3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61C68E5" w14:textId="77777777" w:rsidR="00A57704" w:rsidRPr="00966DC2" w:rsidRDefault="00A57704" w:rsidP="00A57704">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95.4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AF0E6AB" w14:textId="77777777" w:rsidR="00A57704" w:rsidRPr="00966DC2" w:rsidRDefault="00A57704" w:rsidP="00A57704">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200.1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6CE00EB" w14:textId="77777777" w:rsidR="00A57704" w:rsidRPr="00966DC2" w:rsidRDefault="00A57704" w:rsidP="00A57704">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352.0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8060631" w14:textId="77777777" w:rsidR="00A57704" w:rsidRPr="00966DC2" w:rsidRDefault="00A57704" w:rsidP="00A57704">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220.5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A28894D" w14:textId="77777777" w:rsidR="00A57704" w:rsidRPr="00966DC2" w:rsidRDefault="00A57704" w:rsidP="00A57704">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177.0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028206C" w14:textId="77777777" w:rsidR="00A57704" w:rsidRPr="00966DC2" w:rsidRDefault="00A57704" w:rsidP="00A57704">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269.3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E7093B8" w14:textId="77777777" w:rsidR="00A57704" w:rsidRPr="00966DC2" w:rsidRDefault="00A57704" w:rsidP="00A57704">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296.3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FDFD46E" w14:textId="77777777" w:rsidR="00A57704" w:rsidRPr="00966DC2" w:rsidRDefault="00A57704" w:rsidP="00A57704">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249.5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8E570F4" w14:textId="77777777" w:rsidR="00A57704" w:rsidRPr="00966DC2" w:rsidRDefault="00A57704" w:rsidP="00A57704">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97.2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52B172F" w14:textId="77777777" w:rsidR="00A57704" w:rsidRPr="00966DC2" w:rsidRDefault="00A57704" w:rsidP="00A57704">
            <w:pPr>
              <w:spacing w:after="0"/>
              <w:jc w:val="center"/>
              <w:rPr>
                <w:rFonts w:ascii="Times New Roman" w:hAnsi="Times New Roman"/>
                <w:bCs/>
                <w:color w:val="000000"/>
                <w:szCs w:val="20"/>
                <w:lang w:eastAsia="es-DO"/>
              </w:rPr>
            </w:pPr>
            <w:r w:rsidRPr="00966DC2">
              <w:rPr>
                <w:rFonts w:ascii="Times New Roman" w:hAnsi="Times New Roman"/>
                <w:bCs/>
                <w:color w:val="000000"/>
                <w:szCs w:val="20"/>
                <w:lang w:eastAsia="es-DO"/>
              </w:rPr>
              <w:t>27.2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0125380D" w14:textId="77777777" w:rsidR="00A57704" w:rsidRPr="00966DC2" w:rsidRDefault="00A57704" w:rsidP="00A57704">
            <w:pPr>
              <w:spacing w:after="0"/>
              <w:jc w:val="center"/>
              <w:rPr>
                <w:rFonts w:ascii="Times New Roman" w:hAnsi="Times New Roman"/>
                <w:bCs/>
                <w:szCs w:val="20"/>
                <w:lang w:eastAsia="es-DO"/>
              </w:rPr>
            </w:pPr>
            <w:r w:rsidRPr="00966DC2">
              <w:rPr>
                <w:rFonts w:ascii="Times New Roman" w:hAnsi="Times New Roman"/>
                <w:bCs/>
                <w:szCs w:val="20"/>
                <w:lang w:eastAsia="es-DO"/>
              </w:rPr>
              <w:t>2,040.9</w:t>
            </w:r>
          </w:p>
        </w:tc>
      </w:tr>
      <w:tr w:rsidR="00A57704" w:rsidRPr="00966DC2" w14:paraId="5632E8B7"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80F15" w14:textId="77777777" w:rsidR="00A57704" w:rsidRPr="00966DC2" w:rsidRDefault="00A57704" w:rsidP="00A57704">
            <w:pPr>
              <w:spacing w:after="0"/>
              <w:rPr>
                <w:rFonts w:ascii="Times New Roman" w:hAnsi="Times New Roman"/>
                <w:bCs/>
                <w:color w:val="000000"/>
                <w:szCs w:val="20"/>
                <w:lang w:eastAsia="es-DO"/>
              </w:rPr>
            </w:pPr>
            <w:r w:rsidRPr="00966DC2">
              <w:rPr>
                <w:rFonts w:ascii="Times New Roman" w:hAnsi="Times New Roman"/>
                <w:bCs/>
                <w:color w:val="000000"/>
                <w:szCs w:val="20"/>
                <w:lang w:eastAsia="es-DO"/>
              </w:rPr>
              <w:t xml:space="preserve">Precipitación </w:t>
            </w:r>
            <w:r>
              <w:rPr>
                <w:rFonts w:ascii="Times New Roman" w:hAnsi="Times New Roman"/>
                <w:bCs/>
                <w:color w:val="000000"/>
                <w:szCs w:val="2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1677162"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8.9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875892E"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01C759E"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78.2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ED8E1F3"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41.9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160FFEB"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231.6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146AFA5"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FCCF52D"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139.8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4E6ADF1"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85.3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0ABD44A"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237.9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AFBD746"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111.6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A7E81B4"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32.4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242B819"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749D6B86" w14:textId="77777777" w:rsidR="00A57704" w:rsidRPr="00966DC2" w:rsidRDefault="00A57704" w:rsidP="00A57704">
            <w:pPr>
              <w:spacing w:after="0"/>
              <w:jc w:val="center"/>
              <w:rPr>
                <w:rFonts w:ascii="Times New Roman" w:hAnsi="Times New Roman"/>
                <w:bCs/>
                <w:szCs w:val="20"/>
                <w:lang w:eastAsia="es-DO"/>
              </w:rPr>
            </w:pPr>
            <w:r>
              <w:rPr>
                <w:rFonts w:ascii="Times New Roman" w:hAnsi="Times New Roman"/>
                <w:bCs/>
                <w:szCs w:val="20"/>
                <w:lang w:eastAsia="es-DO"/>
              </w:rPr>
              <w:t>989.4</w:t>
            </w:r>
          </w:p>
        </w:tc>
      </w:tr>
      <w:tr w:rsidR="00A57704" w:rsidRPr="00966DC2" w14:paraId="04E0CDD6"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6AA31" w14:textId="77777777" w:rsidR="00A57704" w:rsidRPr="00966DC2" w:rsidRDefault="00A57704" w:rsidP="00A57704">
            <w:pPr>
              <w:spacing w:after="0"/>
              <w:rPr>
                <w:rFonts w:ascii="Times New Roman" w:hAnsi="Times New Roman"/>
                <w:bCs/>
                <w:color w:val="000000"/>
                <w:szCs w:val="20"/>
                <w:lang w:eastAsia="es-DO"/>
              </w:rPr>
            </w:pPr>
            <w:r w:rsidRPr="00966DC2">
              <w:rPr>
                <w:rFonts w:ascii="Times New Roman" w:hAnsi="Times New Roman"/>
                <w:bCs/>
                <w:color w:val="000000"/>
                <w:szCs w:val="2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28C015A"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-57.8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01CB4BB"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-100.0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84E5E5F"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-18.0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18746B2"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-79.1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DAFC885"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-34.2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BAC7674"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-90.1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24900CE"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-21.0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5B0AF50"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-68.3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64246AF"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-19.7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79E9160"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-55.3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93BD5A2"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-66.7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77F85D0" w14:textId="77777777" w:rsidR="00A57704" w:rsidRPr="00966DC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023D4DDD" w14:textId="77777777" w:rsidR="00A57704" w:rsidRPr="00966DC2" w:rsidRDefault="00A57704" w:rsidP="00A57704">
            <w:pPr>
              <w:spacing w:after="0"/>
              <w:jc w:val="center"/>
              <w:rPr>
                <w:rFonts w:ascii="Times New Roman" w:hAnsi="Times New Roman"/>
                <w:bCs/>
                <w:szCs w:val="20"/>
                <w:lang w:eastAsia="es-DO"/>
              </w:rPr>
            </w:pPr>
            <w:r w:rsidRPr="00966DC2">
              <w:rPr>
                <w:rFonts w:ascii="Times New Roman" w:hAnsi="Times New Roman"/>
                <w:bCs/>
                <w:szCs w:val="20"/>
                <w:lang w:eastAsia="es-DO"/>
              </w:rPr>
              <w:t>-64.0</w:t>
            </w:r>
          </w:p>
        </w:tc>
      </w:tr>
    </w:tbl>
    <w:p w14:paraId="3F454736" w14:textId="77777777" w:rsidR="00A57704" w:rsidRDefault="00A57704" w:rsidP="00A57704">
      <w:pPr>
        <w:spacing w:after="0"/>
        <w:rPr>
          <w:rFonts w:ascii="Times New Roman" w:hAnsi="Times New Roman"/>
        </w:rPr>
      </w:pPr>
    </w:p>
    <w:p w14:paraId="5FC9C37D"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space="720"/>
          <w:docGrid w:linePitch="360"/>
        </w:sectPr>
      </w:pPr>
    </w:p>
    <w:p w14:paraId="5A5D7E02" w14:textId="77777777" w:rsidR="00A57704" w:rsidRPr="00C83490" w:rsidRDefault="00A57704" w:rsidP="00A57704">
      <w:pPr>
        <w:spacing w:after="0"/>
        <w:rPr>
          <w:rFonts w:ascii="Times New Roman" w:hAnsi="Times New Roman"/>
        </w:rPr>
      </w:pPr>
    </w:p>
    <w:p w14:paraId="4FB7E645"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Elías Piña.</w:t>
      </w:r>
    </w:p>
    <w:p w14:paraId="5D09D336" w14:textId="77777777" w:rsidR="00A57704" w:rsidRPr="002D5B20" w:rsidRDefault="00A57704" w:rsidP="00A57704">
      <w:pPr>
        <w:spacing w:after="0"/>
        <w:rPr>
          <w:rFonts w:ascii="Times New Roman" w:hAnsi="Times New Roman"/>
          <w:sz w:val="4"/>
        </w:rPr>
      </w:pPr>
      <w:r>
        <w:rPr>
          <w:noProof/>
          <w:lang w:eastAsia="es-DO"/>
        </w:rPr>
        <w:drawing>
          <wp:inline distT="0" distB="0" distL="0" distR="0" wp14:anchorId="275B6DC4" wp14:editId="46B2C9E3">
            <wp:extent cx="3524250" cy="1590675"/>
            <wp:effectExtent l="0" t="0" r="0" b="0"/>
            <wp:docPr id="26" name="Gráfico 26">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6BEDC98F-B596-4069-9EB4-B4558A7A76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14:paraId="5CF898E8" w14:textId="77777777" w:rsidR="00A57704" w:rsidRPr="002D5B20" w:rsidRDefault="00A57704" w:rsidP="00A57704">
      <w:pPr>
        <w:spacing w:after="0"/>
        <w:rPr>
          <w:rFonts w:ascii="Times New Roman" w:hAnsi="Times New Roman"/>
          <w:sz w:val="4"/>
        </w:rPr>
      </w:pPr>
    </w:p>
    <w:p w14:paraId="480ED166" w14:textId="77777777" w:rsidR="00A57704" w:rsidRPr="002D5B20" w:rsidRDefault="00A57704" w:rsidP="00A57704">
      <w:pPr>
        <w:spacing w:after="0"/>
        <w:rPr>
          <w:rFonts w:ascii="Times New Roman" w:hAnsi="Times New Roman"/>
          <w:sz w:val="4"/>
        </w:rPr>
      </w:pPr>
    </w:p>
    <w:p w14:paraId="7B841D14" w14:textId="77777777" w:rsidR="00A57704" w:rsidRDefault="00A57704" w:rsidP="00A57704">
      <w:pPr>
        <w:spacing w:after="0"/>
        <w:rPr>
          <w:rFonts w:ascii="Times New Roman" w:hAnsi="Times New Roman"/>
        </w:rPr>
      </w:pPr>
    </w:p>
    <w:p w14:paraId="0BFD7B9A" w14:textId="77777777" w:rsidR="00BC5AB8" w:rsidRDefault="00BC5AB8" w:rsidP="00BC5AB8">
      <w:pPr>
        <w:pStyle w:val="Prrafodelista"/>
        <w:spacing w:after="0" w:line="240" w:lineRule="auto"/>
        <w:ind w:left="567"/>
        <w:rPr>
          <w:rFonts w:ascii="Times New Roman" w:hAnsi="Times New Roman"/>
        </w:rPr>
      </w:pPr>
    </w:p>
    <w:p w14:paraId="165C7F1B" w14:textId="5EEB8295"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7584E594" w14:textId="77777777" w:rsidR="00A57704" w:rsidRDefault="00A57704" w:rsidP="00A57704">
      <w:pPr>
        <w:spacing w:after="0"/>
        <w:rPr>
          <w:rFonts w:ascii="Times New Roman" w:hAnsi="Times New Roman"/>
        </w:rPr>
      </w:pPr>
      <w:r>
        <w:rPr>
          <w:noProof/>
          <w:lang w:eastAsia="es-DO"/>
        </w:rPr>
        <w:drawing>
          <wp:inline distT="0" distB="0" distL="0" distR="0" wp14:anchorId="752E57E9" wp14:editId="57006FA7">
            <wp:extent cx="3657600" cy="1571625"/>
            <wp:effectExtent l="0" t="0" r="0" b="0"/>
            <wp:docPr id="35" name="Gráfico 35">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E6C2234A-57B6-4670-B0A6-3D828DECAA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14:paraId="06685681" w14:textId="77777777" w:rsidR="00A57704" w:rsidRDefault="00A57704" w:rsidP="00A57704">
      <w:pPr>
        <w:spacing w:after="0"/>
        <w:rPr>
          <w:rFonts w:ascii="Times New Roman" w:hAnsi="Times New Roman"/>
        </w:rPr>
      </w:pPr>
    </w:p>
    <w:p w14:paraId="6BCB5087"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num="2" w:space="720"/>
          <w:docGrid w:linePitch="360"/>
        </w:sectPr>
      </w:pPr>
    </w:p>
    <w:tbl>
      <w:tblPr>
        <w:tblW w:w="12712" w:type="dxa"/>
        <w:tblInd w:w="-5" w:type="dxa"/>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A57704" w:rsidRPr="00966DC2" w14:paraId="45AB0512"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4EAE4376"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lastRenderedPageBreak/>
              <w:t>Padre Las Casas</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0E5EEEB2"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6AF7DA8F"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41888D1F"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E9AAAC4"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7E95E622"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7AAAAC0"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49656017"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124321D"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74A3619E"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3AE4D77F"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782BE898"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4786F7AB"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1FD83D0E"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Año</w:t>
            </w:r>
          </w:p>
        </w:tc>
      </w:tr>
      <w:tr w:rsidR="00A57704" w:rsidRPr="00966DC2" w14:paraId="7D2AA546"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E6C37" w14:textId="77777777" w:rsidR="00A57704" w:rsidRPr="00966DC2" w:rsidRDefault="00A57704" w:rsidP="00A57704">
            <w:pPr>
              <w:spacing w:after="0"/>
              <w:rPr>
                <w:rFonts w:ascii="Times New Roman" w:hAnsi="Times New Roman"/>
                <w:bCs/>
                <w:color w:val="000000"/>
                <w:lang w:eastAsia="es-DO"/>
              </w:rPr>
            </w:pPr>
            <w:r w:rsidRPr="00966DC2">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1BA4A4D"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12.4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2C16163"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17.9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FC1DEB8"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36.7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B8A04D2"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61.0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8E7CD2C"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99.8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FB6E594"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70.6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6923B61"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57.0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2FCBF32"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91.9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53FBB88"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114.5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90A0622"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104.2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09A02E5"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57.5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F6DDC0B" w14:textId="77777777" w:rsidR="00A57704" w:rsidRPr="00966DC2" w:rsidRDefault="00A57704" w:rsidP="00A57704">
            <w:pPr>
              <w:spacing w:after="0"/>
              <w:jc w:val="center"/>
              <w:rPr>
                <w:rFonts w:ascii="Times New Roman" w:hAnsi="Times New Roman"/>
                <w:bCs/>
                <w:color w:val="000000"/>
                <w:lang w:eastAsia="es-DO"/>
              </w:rPr>
            </w:pPr>
            <w:r w:rsidRPr="00966DC2">
              <w:rPr>
                <w:rFonts w:ascii="Times New Roman" w:hAnsi="Times New Roman"/>
                <w:bCs/>
                <w:color w:val="000000"/>
                <w:lang w:eastAsia="es-DO"/>
              </w:rPr>
              <w:t>13.9</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549F4519" w14:textId="77777777" w:rsidR="00A57704" w:rsidRPr="00966DC2" w:rsidRDefault="00A57704" w:rsidP="00A57704">
            <w:pPr>
              <w:spacing w:after="0"/>
              <w:jc w:val="center"/>
              <w:rPr>
                <w:rFonts w:ascii="Times New Roman" w:hAnsi="Times New Roman"/>
                <w:bCs/>
                <w:lang w:eastAsia="es-DO"/>
              </w:rPr>
            </w:pPr>
            <w:r w:rsidRPr="00966DC2">
              <w:rPr>
                <w:rFonts w:ascii="Times New Roman" w:hAnsi="Times New Roman"/>
                <w:bCs/>
                <w:lang w:eastAsia="es-DO"/>
              </w:rPr>
              <w:t>737.4</w:t>
            </w:r>
          </w:p>
        </w:tc>
      </w:tr>
      <w:tr w:rsidR="00A57704" w:rsidRPr="00966DC2" w14:paraId="7422560B"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35C6C" w14:textId="77777777" w:rsidR="00A57704" w:rsidRPr="00966DC2" w:rsidRDefault="00A57704" w:rsidP="00A57704">
            <w:pPr>
              <w:spacing w:after="0"/>
              <w:rPr>
                <w:rFonts w:ascii="Times New Roman" w:hAnsi="Times New Roman"/>
                <w:bCs/>
                <w:color w:val="000000"/>
                <w:lang w:eastAsia="es-DO"/>
              </w:rPr>
            </w:pPr>
            <w:r w:rsidRPr="00966DC2">
              <w:rPr>
                <w:rFonts w:ascii="Times New Roman" w:hAnsi="Times New Roman"/>
                <w:bCs/>
                <w:color w:val="000000"/>
                <w:lang w:eastAsia="es-DO"/>
              </w:rPr>
              <w:t xml:space="preserve">Precipitación </w:t>
            </w:r>
            <w:r>
              <w:rPr>
                <w:rFonts w:ascii="Times New Roman" w:hAnsi="Times New Roman"/>
                <w:bCs/>
                <w:color w:val="00000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9CD8DF3"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DCB80A3"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8.4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312D37E"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41.3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448605D"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26.5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7A5B697"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124.1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B5A7A6C"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10.1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9176A95"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36.9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260BECE"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30.7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484B529"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66.6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226B4F2"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60.6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1F87397"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139.7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377533B"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63C0BD12" w14:textId="77777777" w:rsidR="00A57704" w:rsidRPr="00966DC2" w:rsidRDefault="00A57704" w:rsidP="00A57704">
            <w:pPr>
              <w:spacing w:after="0"/>
              <w:jc w:val="center"/>
              <w:rPr>
                <w:rFonts w:ascii="Times New Roman" w:hAnsi="Times New Roman"/>
                <w:bCs/>
                <w:lang w:eastAsia="es-DO"/>
              </w:rPr>
            </w:pPr>
            <w:r>
              <w:rPr>
                <w:rFonts w:ascii="Times New Roman" w:hAnsi="Times New Roman"/>
                <w:bCs/>
                <w:lang w:eastAsia="es-DO"/>
              </w:rPr>
              <w:t>544.9</w:t>
            </w:r>
          </w:p>
        </w:tc>
      </w:tr>
      <w:tr w:rsidR="00A57704" w:rsidRPr="00966DC2" w14:paraId="60771D7B"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BE386" w14:textId="77777777" w:rsidR="00A57704" w:rsidRPr="00966DC2" w:rsidRDefault="00A57704" w:rsidP="00A57704">
            <w:pPr>
              <w:spacing w:after="0"/>
              <w:rPr>
                <w:rFonts w:ascii="Times New Roman" w:hAnsi="Times New Roman"/>
                <w:bCs/>
                <w:color w:val="000000"/>
                <w:lang w:eastAsia="es-DO"/>
              </w:rPr>
            </w:pPr>
            <w:r w:rsidRPr="00966DC2">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E646B83"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-100.0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D7D66A4"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-53.1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ED78A8D"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12.5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DEB2F7F"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-56.6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289E0AD"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24.3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E7CEF89"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-85.7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9FE5ECC"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-35.3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E87849C"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-66.6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FF73FF8"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-41.8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B5DEB22"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-41.8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D122941"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143.0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CC57B68" w14:textId="77777777" w:rsidR="00A57704" w:rsidRPr="00966DC2"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2F1C01A0" w14:textId="77777777" w:rsidR="00A57704" w:rsidRPr="00966DC2" w:rsidRDefault="00A57704" w:rsidP="00A57704">
            <w:pPr>
              <w:spacing w:after="0"/>
              <w:jc w:val="center"/>
              <w:rPr>
                <w:rFonts w:ascii="Times New Roman" w:hAnsi="Times New Roman"/>
                <w:bCs/>
                <w:lang w:eastAsia="es-DO"/>
              </w:rPr>
            </w:pPr>
            <w:r w:rsidRPr="00966DC2">
              <w:rPr>
                <w:rFonts w:ascii="Times New Roman" w:hAnsi="Times New Roman"/>
                <w:bCs/>
                <w:lang w:eastAsia="es-DO"/>
              </w:rPr>
              <w:t>-11.9</w:t>
            </w:r>
          </w:p>
        </w:tc>
      </w:tr>
    </w:tbl>
    <w:p w14:paraId="54B2E707" w14:textId="77777777" w:rsidR="00A57704" w:rsidRPr="00C83490" w:rsidRDefault="00A57704" w:rsidP="00A57704">
      <w:pPr>
        <w:spacing w:after="0"/>
        <w:rPr>
          <w:rFonts w:ascii="Times New Roman" w:hAnsi="Times New Roman"/>
        </w:rPr>
        <w:sectPr w:rsidR="00A57704" w:rsidRPr="00C83490" w:rsidSect="00A57704">
          <w:type w:val="continuous"/>
          <w:pgSz w:w="15840" w:h="12240" w:orient="landscape"/>
          <w:pgMar w:top="1276" w:right="851" w:bottom="851" w:left="1440" w:header="720" w:footer="720" w:gutter="0"/>
          <w:cols w:space="720"/>
          <w:docGrid w:linePitch="360"/>
        </w:sectPr>
      </w:pPr>
    </w:p>
    <w:p w14:paraId="6E55CE3C" w14:textId="77777777" w:rsidR="00A57704" w:rsidRPr="00C83490" w:rsidRDefault="00A57704" w:rsidP="00A57704">
      <w:pPr>
        <w:spacing w:after="0"/>
        <w:rPr>
          <w:rFonts w:ascii="Times New Roman" w:hAnsi="Times New Roman"/>
        </w:rPr>
      </w:pPr>
    </w:p>
    <w:p w14:paraId="6CD5B3B4"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Padre Las Casas</w:t>
      </w:r>
    </w:p>
    <w:p w14:paraId="5D5BED69" w14:textId="77777777" w:rsidR="00A57704" w:rsidRPr="009E58FD" w:rsidRDefault="00A57704" w:rsidP="00A57704">
      <w:pPr>
        <w:spacing w:after="0"/>
        <w:rPr>
          <w:rFonts w:ascii="Times New Roman" w:hAnsi="Times New Roman"/>
        </w:rPr>
      </w:pPr>
      <w:r>
        <w:rPr>
          <w:noProof/>
          <w:lang w:eastAsia="es-DO"/>
        </w:rPr>
        <w:drawing>
          <wp:inline distT="0" distB="0" distL="0" distR="0" wp14:anchorId="35E0CAC2" wp14:editId="282B391A">
            <wp:extent cx="3609975" cy="1733550"/>
            <wp:effectExtent l="0" t="0" r="0" b="0"/>
            <wp:docPr id="256" name="Gráfico 256">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BD0ADB09-9B34-480A-8DC8-69E56D021A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14:paraId="2AAFBA13" w14:textId="77777777" w:rsidR="00A57704" w:rsidRPr="002D5B20" w:rsidRDefault="00A57704" w:rsidP="00A57704">
      <w:pPr>
        <w:spacing w:after="0"/>
        <w:rPr>
          <w:rFonts w:ascii="Times New Roman" w:hAnsi="Times New Roman"/>
          <w:sz w:val="4"/>
        </w:rPr>
      </w:pPr>
    </w:p>
    <w:p w14:paraId="32823814" w14:textId="77777777" w:rsidR="00A57704" w:rsidRPr="002D5B20" w:rsidRDefault="00A57704" w:rsidP="00A57704">
      <w:pPr>
        <w:spacing w:after="0"/>
        <w:rPr>
          <w:rFonts w:ascii="Times New Roman" w:hAnsi="Times New Roman"/>
          <w:sz w:val="4"/>
        </w:rPr>
      </w:pPr>
    </w:p>
    <w:p w14:paraId="48AE348D" w14:textId="77777777" w:rsidR="00A57704" w:rsidRPr="002D5B20" w:rsidRDefault="00A57704" w:rsidP="00A57704">
      <w:pPr>
        <w:spacing w:after="0"/>
        <w:rPr>
          <w:rFonts w:ascii="Times New Roman" w:hAnsi="Times New Roman"/>
          <w:sz w:val="4"/>
        </w:rPr>
      </w:pPr>
    </w:p>
    <w:p w14:paraId="5E22E488" w14:textId="77777777" w:rsidR="00A57704" w:rsidRPr="002D5B20" w:rsidRDefault="00A57704" w:rsidP="00A57704">
      <w:pPr>
        <w:spacing w:after="0"/>
        <w:rPr>
          <w:rFonts w:ascii="Times New Roman" w:hAnsi="Times New Roman"/>
        </w:rPr>
      </w:pPr>
    </w:p>
    <w:p w14:paraId="7BA6110A"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2CE8B275"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27789394" wp14:editId="156202B8">
            <wp:extent cx="3638550" cy="1724025"/>
            <wp:effectExtent l="0" t="0" r="0" b="0"/>
            <wp:docPr id="257" name="Gráfico 257">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636EDC1A-3A29-409F-8260-D1F1038EFB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tbl>
      <w:tblPr>
        <w:tblW w:w="12704" w:type="dxa"/>
        <w:tblInd w:w="-5" w:type="dxa"/>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A57704" w:rsidRPr="00D5266D" w14:paraId="407904E3"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7612F5DD"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El Cercado</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506F0470"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4E0A1EEB"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7550FC3A"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3EE93BA0"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4A13B06"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08621D1D"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3703A366"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1A04CEF"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DB42E3D"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45EA398"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5DB6B1FE"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44D74AD2"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125E2333"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Año</w:t>
            </w:r>
          </w:p>
        </w:tc>
      </w:tr>
      <w:tr w:rsidR="00A57704" w:rsidRPr="00D5266D" w14:paraId="286300B2"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D5C7E" w14:textId="77777777" w:rsidR="00A57704" w:rsidRPr="00D5266D" w:rsidRDefault="00A57704" w:rsidP="00A57704">
            <w:pPr>
              <w:spacing w:after="0"/>
              <w:rPr>
                <w:rFonts w:ascii="Times New Roman" w:hAnsi="Times New Roman"/>
                <w:bCs/>
                <w:color w:val="000000"/>
                <w:szCs w:val="20"/>
                <w:lang w:eastAsia="es-DO"/>
              </w:rPr>
            </w:pPr>
            <w:r w:rsidRPr="00D5266D">
              <w:rPr>
                <w:rFonts w:ascii="Times New Roman" w:hAnsi="Times New Roman"/>
                <w:bCs/>
                <w:color w:val="000000"/>
                <w:szCs w:val="2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4923A6B" w14:textId="77777777" w:rsidR="00A57704" w:rsidRPr="00D5266D" w:rsidRDefault="00A57704" w:rsidP="00A57704">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16.8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8D80365" w14:textId="77777777" w:rsidR="00A57704" w:rsidRPr="00D5266D" w:rsidRDefault="00A57704" w:rsidP="00A57704">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27.9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2072270" w14:textId="77777777" w:rsidR="00A57704" w:rsidRPr="00D5266D" w:rsidRDefault="00A57704" w:rsidP="00A57704">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61.5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6C12058" w14:textId="77777777" w:rsidR="00A57704" w:rsidRPr="00D5266D" w:rsidRDefault="00A57704" w:rsidP="00A57704">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114.7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A029AFA" w14:textId="77777777" w:rsidR="00A57704" w:rsidRPr="00D5266D" w:rsidRDefault="00A57704" w:rsidP="00A57704">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201.6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100157B" w14:textId="77777777" w:rsidR="00A57704" w:rsidRPr="00D5266D" w:rsidRDefault="00A57704" w:rsidP="00A57704">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90.1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B44CD0D" w14:textId="77777777" w:rsidR="00A57704" w:rsidRPr="00D5266D" w:rsidRDefault="00A57704" w:rsidP="00A57704">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72.0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97B3C7F" w14:textId="77777777" w:rsidR="00A57704" w:rsidRPr="00D5266D" w:rsidRDefault="00A57704" w:rsidP="00A57704">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129.5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7CCA6A2" w14:textId="77777777" w:rsidR="00A57704" w:rsidRPr="00D5266D" w:rsidRDefault="00A57704" w:rsidP="00A57704">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147.7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1216E2B" w14:textId="77777777" w:rsidR="00A57704" w:rsidRPr="00D5266D" w:rsidRDefault="00A57704" w:rsidP="00A57704">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150.9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A8C2EE1" w14:textId="77777777" w:rsidR="00A57704" w:rsidRPr="00D5266D" w:rsidRDefault="00A57704" w:rsidP="00A57704">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79.0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EEF3D9C" w14:textId="77777777" w:rsidR="00A57704" w:rsidRPr="00D5266D" w:rsidRDefault="00A57704" w:rsidP="00A57704">
            <w:pPr>
              <w:spacing w:after="0"/>
              <w:jc w:val="center"/>
              <w:rPr>
                <w:rFonts w:ascii="Times New Roman" w:hAnsi="Times New Roman"/>
                <w:bCs/>
                <w:color w:val="000000"/>
                <w:szCs w:val="20"/>
                <w:lang w:eastAsia="es-DO"/>
              </w:rPr>
            </w:pPr>
            <w:r w:rsidRPr="00D5266D">
              <w:rPr>
                <w:rFonts w:ascii="Times New Roman" w:hAnsi="Times New Roman"/>
                <w:bCs/>
                <w:color w:val="000000"/>
                <w:szCs w:val="20"/>
                <w:lang w:eastAsia="es-DO"/>
              </w:rPr>
              <w:t>20.7</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3B1B7BA3" w14:textId="77777777" w:rsidR="00A57704" w:rsidRPr="00D5266D" w:rsidRDefault="00A57704" w:rsidP="00A57704">
            <w:pPr>
              <w:spacing w:after="0"/>
              <w:jc w:val="center"/>
              <w:rPr>
                <w:rFonts w:ascii="Times New Roman" w:hAnsi="Times New Roman"/>
                <w:bCs/>
                <w:szCs w:val="20"/>
                <w:lang w:eastAsia="es-DO"/>
              </w:rPr>
            </w:pPr>
            <w:r w:rsidRPr="00D5266D">
              <w:rPr>
                <w:rFonts w:ascii="Times New Roman" w:hAnsi="Times New Roman"/>
                <w:bCs/>
                <w:szCs w:val="20"/>
                <w:lang w:eastAsia="es-DO"/>
              </w:rPr>
              <w:t>1,112.4</w:t>
            </w:r>
          </w:p>
        </w:tc>
      </w:tr>
      <w:tr w:rsidR="00A57704" w:rsidRPr="00D5266D" w14:paraId="30A95E74"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E7664" w14:textId="77777777" w:rsidR="00A57704" w:rsidRPr="00D5266D" w:rsidRDefault="00A57704" w:rsidP="00A57704">
            <w:pPr>
              <w:spacing w:after="0"/>
              <w:rPr>
                <w:rFonts w:ascii="Times New Roman" w:hAnsi="Times New Roman"/>
                <w:bCs/>
                <w:color w:val="000000"/>
                <w:szCs w:val="20"/>
                <w:lang w:eastAsia="es-DO"/>
              </w:rPr>
            </w:pPr>
            <w:r w:rsidRPr="00D5266D">
              <w:rPr>
                <w:rFonts w:ascii="Times New Roman" w:hAnsi="Times New Roman"/>
                <w:bCs/>
                <w:color w:val="000000"/>
                <w:szCs w:val="20"/>
                <w:lang w:eastAsia="es-DO"/>
              </w:rPr>
              <w:t xml:space="preserve">Precipitación </w:t>
            </w:r>
            <w:r>
              <w:rPr>
                <w:rFonts w:ascii="Times New Roman" w:hAnsi="Times New Roman"/>
                <w:bCs/>
                <w:color w:val="000000"/>
                <w:szCs w:val="2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0B0D058"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28.9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A3576BE"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0.1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0192866"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34.0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02F8E92"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165.8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B7D55C0"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220.2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24F7102"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77.5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CAF0D6D"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120.9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2A2F52D"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91.6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0A48C61"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524.8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3AA0E39"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96.7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DF08842"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104.4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FA83254"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329F9F27" w14:textId="77777777" w:rsidR="00A57704" w:rsidRPr="00D5266D" w:rsidRDefault="00A57704" w:rsidP="00A57704">
            <w:pPr>
              <w:spacing w:after="0"/>
              <w:jc w:val="center"/>
              <w:rPr>
                <w:rFonts w:ascii="Times New Roman" w:hAnsi="Times New Roman"/>
                <w:bCs/>
                <w:szCs w:val="20"/>
                <w:lang w:eastAsia="es-DO"/>
              </w:rPr>
            </w:pPr>
            <w:r>
              <w:rPr>
                <w:rFonts w:ascii="Times New Roman" w:hAnsi="Times New Roman"/>
                <w:bCs/>
                <w:szCs w:val="20"/>
                <w:lang w:eastAsia="es-DO"/>
              </w:rPr>
              <w:t>1,464.9</w:t>
            </w:r>
          </w:p>
        </w:tc>
      </w:tr>
      <w:tr w:rsidR="00A57704" w:rsidRPr="00D5266D" w14:paraId="074B61C5"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96653" w14:textId="77777777" w:rsidR="00A57704" w:rsidRPr="00D5266D" w:rsidRDefault="00A57704" w:rsidP="00A57704">
            <w:pPr>
              <w:spacing w:after="0"/>
              <w:rPr>
                <w:rFonts w:ascii="Times New Roman" w:hAnsi="Times New Roman"/>
                <w:bCs/>
                <w:color w:val="000000"/>
                <w:szCs w:val="20"/>
                <w:lang w:eastAsia="es-DO"/>
              </w:rPr>
            </w:pPr>
            <w:r w:rsidRPr="00D5266D">
              <w:rPr>
                <w:rFonts w:ascii="Times New Roman" w:hAnsi="Times New Roman"/>
                <w:bCs/>
                <w:color w:val="000000"/>
                <w:szCs w:val="2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3F7645B"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72.0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4D1C79B"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-99.6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EE36944"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-44.7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54A1504"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44.6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61526F3"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9.2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48412B8"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-14.0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9CED989"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67.9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F7C3B8E"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-29.3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C0587CE"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255.3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B37E624"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-35.9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A84DA1B"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32.2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5B00E5B" w14:textId="77777777" w:rsidR="00A57704" w:rsidRPr="00D5266D"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0E239D04" w14:textId="77777777" w:rsidR="00A57704" w:rsidRPr="00D5266D" w:rsidRDefault="00A57704" w:rsidP="00A57704">
            <w:pPr>
              <w:spacing w:after="0"/>
              <w:jc w:val="center"/>
              <w:rPr>
                <w:rFonts w:ascii="Times New Roman" w:hAnsi="Times New Roman"/>
                <w:bCs/>
                <w:szCs w:val="20"/>
                <w:lang w:eastAsia="es-DO"/>
              </w:rPr>
            </w:pPr>
            <w:r w:rsidRPr="00D5266D">
              <w:rPr>
                <w:rFonts w:ascii="Times New Roman" w:hAnsi="Times New Roman"/>
                <w:bCs/>
                <w:szCs w:val="20"/>
                <w:lang w:eastAsia="es-DO"/>
              </w:rPr>
              <w:t>-23.2</w:t>
            </w:r>
          </w:p>
        </w:tc>
      </w:tr>
    </w:tbl>
    <w:p w14:paraId="71F288B2" w14:textId="77777777" w:rsidR="00A57704" w:rsidRDefault="00A57704" w:rsidP="00A57704">
      <w:pPr>
        <w:spacing w:after="0"/>
        <w:rPr>
          <w:rFonts w:ascii="Times New Roman" w:hAnsi="Times New Roman"/>
        </w:rPr>
      </w:pPr>
    </w:p>
    <w:p w14:paraId="00731578"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space="720"/>
          <w:docGrid w:linePitch="360"/>
        </w:sectPr>
      </w:pPr>
    </w:p>
    <w:p w14:paraId="5A0B595C" w14:textId="77777777" w:rsidR="00A57704" w:rsidRPr="00C83490" w:rsidRDefault="00A57704" w:rsidP="00A57704">
      <w:pPr>
        <w:spacing w:after="0"/>
        <w:rPr>
          <w:rFonts w:ascii="Times New Roman" w:hAnsi="Times New Roman"/>
        </w:rPr>
      </w:pPr>
    </w:p>
    <w:p w14:paraId="0070042E"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El Cercado.</w:t>
      </w:r>
    </w:p>
    <w:p w14:paraId="645D0AE9" w14:textId="77777777" w:rsidR="00A57704" w:rsidRPr="002D5B20" w:rsidRDefault="00A57704" w:rsidP="00A57704">
      <w:pPr>
        <w:spacing w:after="0"/>
        <w:rPr>
          <w:rFonts w:ascii="Times New Roman" w:hAnsi="Times New Roman"/>
          <w:sz w:val="4"/>
        </w:rPr>
      </w:pPr>
      <w:r>
        <w:rPr>
          <w:noProof/>
          <w:lang w:eastAsia="es-DO"/>
        </w:rPr>
        <w:drawing>
          <wp:inline distT="0" distB="0" distL="0" distR="0" wp14:anchorId="56DDFBB7" wp14:editId="4B33AE93">
            <wp:extent cx="3495675" cy="1685925"/>
            <wp:effectExtent l="0" t="0" r="0" b="0"/>
            <wp:docPr id="258" name="Gráfico 258">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40FCF199-D9F0-479B-85EF-23BA1DC4E3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14:paraId="6078814F" w14:textId="77777777" w:rsidR="00A57704" w:rsidRPr="002D5B20" w:rsidRDefault="00A57704" w:rsidP="00A57704">
      <w:pPr>
        <w:spacing w:after="0"/>
        <w:rPr>
          <w:rFonts w:ascii="Times New Roman" w:hAnsi="Times New Roman"/>
          <w:sz w:val="4"/>
        </w:rPr>
      </w:pPr>
    </w:p>
    <w:p w14:paraId="0A0591E3" w14:textId="77777777" w:rsidR="00A57704" w:rsidRPr="002D5B20" w:rsidRDefault="00A57704" w:rsidP="00A57704">
      <w:pPr>
        <w:spacing w:after="0"/>
        <w:rPr>
          <w:rFonts w:ascii="Times New Roman" w:hAnsi="Times New Roman"/>
          <w:sz w:val="4"/>
        </w:rPr>
      </w:pPr>
    </w:p>
    <w:p w14:paraId="12BA714F" w14:textId="77777777" w:rsidR="00A57704" w:rsidRDefault="00A57704" w:rsidP="00A57704">
      <w:pPr>
        <w:spacing w:after="0"/>
        <w:rPr>
          <w:rFonts w:ascii="Times New Roman" w:hAnsi="Times New Roman"/>
        </w:rPr>
      </w:pPr>
    </w:p>
    <w:p w14:paraId="15998DE3"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3EE4FB0E" w14:textId="77777777" w:rsidR="00A57704" w:rsidRPr="00D5266D" w:rsidRDefault="00A57704" w:rsidP="00A57704">
      <w:pPr>
        <w:spacing w:after="0"/>
        <w:rPr>
          <w:rFonts w:ascii="Times New Roman" w:hAnsi="Times New Roman"/>
        </w:rPr>
        <w:sectPr w:rsidR="00A57704" w:rsidRPr="00D5266D"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50D12447" wp14:editId="16379AA3">
            <wp:extent cx="3543300" cy="1676400"/>
            <wp:effectExtent l="0" t="0" r="0" b="0"/>
            <wp:docPr id="259" name="Gráfico 259">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D9BE7427-A258-461F-A8BC-B544F2379B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tbl>
      <w:tblPr>
        <w:tblW w:w="12712" w:type="dxa"/>
        <w:jc w:val="center"/>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A57704" w:rsidRPr="00EB34A3" w14:paraId="38485765" w14:textId="77777777" w:rsidTr="00BC5AB8">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5D687E56"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lastRenderedPageBreak/>
              <w:t>Barahona</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0CC383AF"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439F8D44"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5AFB487C"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7518B4A1"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FD680CB"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7317D2C5"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73FDC666"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69B13A8D"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F202B08"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01FBCC2"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7C9912B3"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176F4E06"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2410EC5C"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Año</w:t>
            </w:r>
          </w:p>
        </w:tc>
      </w:tr>
      <w:tr w:rsidR="00A57704" w:rsidRPr="00EB34A3" w14:paraId="461FE744" w14:textId="77777777" w:rsidTr="00A57704">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D8C97" w14:textId="77777777" w:rsidR="00A57704" w:rsidRPr="00EB34A3" w:rsidRDefault="00A57704" w:rsidP="00A57704">
            <w:pPr>
              <w:spacing w:after="0"/>
              <w:rPr>
                <w:rFonts w:ascii="Times New Roman" w:hAnsi="Times New Roman"/>
                <w:bCs/>
                <w:color w:val="000000"/>
                <w:lang w:eastAsia="es-DO"/>
              </w:rPr>
            </w:pPr>
            <w:r w:rsidRPr="00C346B1">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C1760F6"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28.7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7EF8A9E"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29.6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BA5B3A7"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66.7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EE9E8DB"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87.2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E96F592"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172.7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057BDF9"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100.3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11FF4CB"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54.6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1FEC279"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68.8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57774AD"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147.5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2C3C6B8"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138.9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BAB71B0"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88.5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B35358B"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49.2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0353EFB7" w14:textId="77777777" w:rsidR="00A57704" w:rsidRPr="00EB34A3" w:rsidRDefault="00A57704" w:rsidP="00A57704">
            <w:pPr>
              <w:spacing w:after="0"/>
              <w:jc w:val="center"/>
              <w:rPr>
                <w:rFonts w:ascii="Times New Roman" w:hAnsi="Times New Roman"/>
                <w:bCs/>
                <w:lang w:eastAsia="es-DO"/>
              </w:rPr>
            </w:pPr>
            <w:r w:rsidRPr="00EB34A3">
              <w:rPr>
                <w:rFonts w:ascii="Times New Roman" w:hAnsi="Times New Roman"/>
                <w:bCs/>
                <w:lang w:eastAsia="es-DO"/>
              </w:rPr>
              <w:t>1,032.7</w:t>
            </w:r>
          </w:p>
        </w:tc>
      </w:tr>
      <w:tr w:rsidR="00A57704" w:rsidRPr="00EB34A3" w14:paraId="717151D1" w14:textId="77777777" w:rsidTr="00A57704">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806DA" w14:textId="77777777" w:rsidR="00A57704" w:rsidRPr="00EB34A3" w:rsidRDefault="00A57704" w:rsidP="00A57704">
            <w:pPr>
              <w:spacing w:after="0"/>
              <w:rPr>
                <w:rFonts w:ascii="Times New Roman" w:hAnsi="Times New Roman"/>
                <w:bCs/>
                <w:color w:val="000000"/>
                <w:lang w:eastAsia="es-DO"/>
              </w:rPr>
            </w:pPr>
            <w:r w:rsidRPr="00EB34A3">
              <w:rPr>
                <w:rFonts w:ascii="Times New Roman" w:hAnsi="Times New Roman"/>
                <w:bCs/>
                <w:color w:val="000000"/>
                <w:lang w:eastAsia="es-DO"/>
              </w:rPr>
              <w:t xml:space="preserve">Precipitación </w:t>
            </w:r>
            <w:r>
              <w:rPr>
                <w:rFonts w:ascii="Times New Roman" w:hAnsi="Times New Roman"/>
                <w:bCs/>
                <w:color w:val="00000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62BC04C"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37.8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77CFB0C"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11.1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0B7FA97"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57.9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D1536AA"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40.3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1DF005B"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109.3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31D92C7"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38.6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094AF76"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39.7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31C3389"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46.0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BF1D74D"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513.8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7DD7837"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78.7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659CE9E"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22.6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E5847F5"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5BCD638F" w14:textId="77777777" w:rsidR="00A57704" w:rsidRPr="00EB34A3" w:rsidRDefault="00A57704" w:rsidP="00A57704">
            <w:pPr>
              <w:spacing w:after="0"/>
              <w:jc w:val="center"/>
              <w:rPr>
                <w:rFonts w:ascii="Times New Roman" w:hAnsi="Times New Roman"/>
                <w:bCs/>
                <w:lang w:eastAsia="es-DO"/>
              </w:rPr>
            </w:pPr>
            <w:r>
              <w:rPr>
                <w:rFonts w:ascii="Times New Roman" w:hAnsi="Times New Roman"/>
                <w:bCs/>
                <w:lang w:eastAsia="es-DO"/>
              </w:rPr>
              <w:t>995.8</w:t>
            </w:r>
          </w:p>
        </w:tc>
      </w:tr>
      <w:tr w:rsidR="00A57704" w:rsidRPr="00EB34A3" w14:paraId="454E89F7" w14:textId="77777777" w:rsidTr="00A57704">
        <w:trPr>
          <w:trHeight w:val="300"/>
          <w:jc w:val="center"/>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CBC35" w14:textId="77777777" w:rsidR="00A57704" w:rsidRPr="00EB34A3" w:rsidRDefault="00A57704" w:rsidP="00A57704">
            <w:pPr>
              <w:spacing w:after="0"/>
              <w:rPr>
                <w:rFonts w:ascii="Times New Roman" w:hAnsi="Times New Roman"/>
                <w:bCs/>
                <w:color w:val="000000"/>
                <w:lang w:eastAsia="es-DO"/>
              </w:rPr>
            </w:pPr>
            <w:r w:rsidRPr="00EB34A3">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7AD0BB4"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31.7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4A6D90D"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-62.5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FE18757"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-13.2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A11D03F"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-53.8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86EF133"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-36.7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3283C72"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-61.5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9A3B243"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-27.3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7FA8DCE"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-33.1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21EED07"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248.3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778138B"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-43.3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492617D"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-74.5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EB2AF69"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48000F0F" w14:textId="77777777" w:rsidR="00A57704" w:rsidRPr="00EB34A3" w:rsidRDefault="00A57704" w:rsidP="00A57704">
            <w:pPr>
              <w:spacing w:after="0"/>
              <w:jc w:val="center"/>
              <w:rPr>
                <w:rFonts w:ascii="Times New Roman" w:hAnsi="Times New Roman"/>
                <w:bCs/>
                <w:lang w:eastAsia="es-DO"/>
              </w:rPr>
            </w:pPr>
            <w:r w:rsidRPr="00EB34A3">
              <w:rPr>
                <w:rFonts w:ascii="Times New Roman" w:hAnsi="Times New Roman"/>
                <w:bCs/>
                <w:lang w:eastAsia="es-DO"/>
              </w:rPr>
              <w:t>-28.8</w:t>
            </w:r>
          </w:p>
        </w:tc>
      </w:tr>
    </w:tbl>
    <w:p w14:paraId="710FA890" w14:textId="77777777" w:rsidR="00A57704" w:rsidRPr="00C83490" w:rsidRDefault="00A57704" w:rsidP="00A57704">
      <w:pPr>
        <w:spacing w:after="0"/>
        <w:rPr>
          <w:rFonts w:ascii="Times New Roman" w:hAnsi="Times New Roman"/>
        </w:rPr>
        <w:sectPr w:rsidR="00A57704" w:rsidRPr="00C83490" w:rsidSect="00A57704">
          <w:type w:val="continuous"/>
          <w:pgSz w:w="15840" w:h="12240" w:orient="landscape"/>
          <w:pgMar w:top="1276" w:right="851" w:bottom="851" w:left="1440" w:header="720" w:footer="720" w:gutter="0"/>
          <w:cols w:space="720"/>
          <w:docGrid w:linePitch="360"/>
        </w:sectPr>
      </w:pPr>
    </w:p>
    <w:p w14:paraId="00C2825E" w14:textId="77777777" w:rsidR="00A57704" w:rsidRPr="00C83490" w:rsidRDefault="00A57704" w:rsidP="00A57704">
      <w:pPr>
        <w:spacing w:after="0"/>
        <w:rPr>
          <w:rFonts w:ascii="Times New Roman" w:hAnsi="Times New Roman"/>
        </w:rPr>
      </w:pPr>
    </w:p>
    <w:p w14:paraId="411012E9"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Barahona</w:t>
      </w:r>
    </w:p>
    <w:p w14:paraId="20B2486B" w14:textId="77777777" w:rsidR="00A57704" w:rsidRPr="009E58FD" w:rsidRDefault="00A57704" w:rsidP="00A57704">
      <w:pPr>
        <w:spacing w:after="0"/>
        <w:rPr>
          <w:rFonts w:ascii="Times New Roman" w:hAnsi="Times New Roman"/>
        </w:rPr>
      </w:pPr>
      <w:r>
        <w:rPr>
          <w:noProof/>
          <w:lang w:eastAsia="es-DO"/>
        </w:rPr>
        <w:drawing>
          <wp:inline distT="0" distB="0" distL="0" distR="0" wp14:anchorId="26722C1F" wp14:editId="04487D19">
            <wp:extent cx="3571875" cy="1762125"/>
            <wp:effectExtent l="0" t="0" r="0" b="0"/>
            <wp:docPr id="260" name="Gráfico 260">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EF17E42D-8ACB-46C2-8BFD-7CD64DFAD9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14:paraId="7290F2A8" w14:textId="77777777" w:rsidR="00A57704" w:rsidRPr="002D5B20" w:rsidRDefault="00A57704" w:rsidP="00A57704">
      <w:pPr>
        <w:spacing w:after="0"/>
        <w:rPr>
          <w:rFonts w:ascii="Times New Roman" w:hAnsi="Times New Roman"/>
          <w:sz w:val="4"/>
        </w:rPr>
      </w:pPr>
    </w:p>
    <w:p w14:paraId="3DBA034E" w14:textId="77777777" w:rsidR="00A57704" w:rsidRPr="002D5B20" w:rsidRDefault="00A57704" w:rsidP="00A57704">
      <w:pPr>
        <w:spacing w:after="0"/>
        <w:rPr>
          <w:rFonts w:ascii="Times New Roman" w:hAnsi="Times New Roman"/>
          <w:sz w:val="4"/>
        </w:rPr>
      </w:pPr>
    </w:p>
    <w:p w14:paraId="241D8CF2" w14:textId="77777777" w:rsidR="00A57704" w:rsidRPr="002D5B20" w:rsidRDefault="00A57704" w:rsidP="00A57704">
      <w:pPr>
        <w:spacing w:after="0"/>
        <w:rPr>
          <w:rFonts w:ascii="Times New Roman" w:hAnsi="Times New Roman"/>
          <w:sz w:val="4"/>
        </w:rPr>
      </w:pPr>
    </w:p>
    <w:p w14:paraId="1CB4EFF1" w14:textId="77777777" w:rsidR="00A57704" w:rsidRPr="002D5B20" w:rsidRDefault="00A57704" w:rsidP="00A57704">
      <w:pPr>
        <w:spacing w:after="0"/>
        <w:rPr>
          <w:rFonts w:ascii="Times New Roman" w:hAnsi="Times New Roman"/>
        </w:rPr>
      </w:pPr>
    </w:p>
    <w:p w14:paraId="6465A3BA"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2A46F2BC"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5455C06D" wp14:editId="55199FD5">
            <wp:extent cx="3648075" cy="1504950"/>
            <wp:effectExtent l="0" t="0" r="0" b="0"/>
            <wp:docPr id="261" name="Gráfico 261">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F57E18BD-F6FF-41AD-80EC-73B3F6DDF3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8"/>
              </a:graphicData>
            </a:graphic>
          </wp:inline>
        </w:drawing>
      </w:r>
    </w:p>
    <w:tbl>
      <w:tblPr>
        <w:tblW w:w="12704" w:type="dxa"/>
        <w:tblInd w:w="-5" w:type="dxa"/>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A57704" w:rsidRPr="00EB34A3" w14:paraId="0D8EB9C9"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7EDAD9CE"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Neyba</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2CE2A6ED"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0E2AABF1"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1612E7DD"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6E55BC4F"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6A261749"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2583DA2"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1E416232"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D60D2AF"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67F5819"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E63665D"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365AC8DD"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53D8A046"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38897D0A"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Año</w:t>
            </w:r>
          </w:p>
        </w:tc>
      </w:tr>
      <w:tr w:rsidR="00A57704" w:rsidRPr="00EB34A3" w14:paraId="47C2D55C"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9FCA2" w14:textId="77777777" w:rsidR="00A57704" w:rsidRPr="00EB34A3" w:rsidRDefault="00A57704" w:rsidP="00A57704">
            <w:pPr>
              <w:spacing w:after="0"/>
              <w:rPr>
                <w:rFonts w:ascii="Times New Roman" w:hAnsi="Times New Roman"/>
                <w:bCs/>
                <w:color w:val="000000"/>
                <w:szCs w:val="20"/>
                <w:lang w:eastAsia="es-DO"/>
              </w:rPr>
            </w:pPr>
            <w:r w:rsidRPr="00EB34A3">
              <w:rPr>
                <w:rFonts w:ascii="Times New Roman" w:hAnsi="Times New Roman"/>
                <w:bCs/>
                <w:color w:val="000000"/>
                <w:szCs w:val="2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DDD978F" w14:textId="77777777" w:rsidR="00A57704" w:rsidRPr="00EB34A3" w:rsidRDefault="00A57704" w:rsidP="00A57704">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8.6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90C3872" w14:textId="77777777" w:rsidR="00A57704" w:rsidRPr="00EB34A3" w:rsidRDefault="00A57704" w:rsidP="00A57704">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14.5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4DE2BAF" w14:textId="77777777" w:rsidR="00A57704" w:rsidRPr="00EB34A3" w:rsidRDefault="00A57704" w:rsidP="00A57704">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25.5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A3E89E0" w14:textId="77777777" w:rsidR="00A57704" w:rsidRPr="00EB34A3" w:rsidRDefault="00A57704" w:rsidP="00A57704">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43.3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C3C4425" w14:textId="77777777" w:rsidR="00A57704" w:rsidRPr="00EB34A3" w:rsidRDefault="00A57704" w:rsidP="00A57704">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101.0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F0F1D41" w14:textId="77777777" w:rsidR="00A57704" w:rsidRPr="00EB34A3" w:rsidRDefault="00A57704" w:rsidP="00A57704">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45.7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1E209FA" w14:textId="77777777" w:rsidR="00A57704" w:rsidRPr="00EB34A3" w:rsidRDefault="00A57704" w:rsidP="00A57704">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35.4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7A57A9B" w14:textId="77777777" w:rsidR="00A57704" w:rsidRPr="00EB34A3" w:rsidRDefault="00A57704" w:rsidP="00A57704">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56.7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25D94C1" w14:textId="77777777" w:rsidR="00A57704" w:rsidRPr="00EB34A3" w:rsidRDefault="00A57704" w:rsidP="00A57704">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78.8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B20811C" w14:textId="77777777" w:rsidR="00A57704" w:rsidRPr="00EB34A3" w:rsidRDefault="00A57704" w:rsidP="00A57704">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67.7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905F693" w14:textId="77777777" w:rsidR="00A57704" w:rsidRPr="00EB34A3" w:rsidRDefault="00A57704" w:rsidP="00A57704">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41.3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4D1325A" w14:textId="77777777" w:rsidR="00A57704" w:rsidRPr="00EB34A3" w:rsidRDefault="00A57704" w:rsidP="00A57704">
            <w:pPr>
              <w:spacing w:after="0"/>
              <w:jc w:val="center"/>
              <w:rPr>
                <w:rFonts w:ascii="Times New Roman" w:hAnsi="Times New Roman"/>
                <w:bCs/>
                <w:color w:val="000000"/>
                <w:szCs w:val="20"/>
                <w:lang w:eastAsia="es-DO"/>
              </w:rPr>
            </w:pPr>
            <w:r w:rsidRPr="00EB34A3">
              <w:rPr>
                <w:rFonts w:ascii="Times New Roman" w:hAnsi="Times New Roman"/>
                <w:bCs/>
                <w:color w:val="000000"/>
                <w:szCs w:val="20"/>
                <w:lang w:eastAsia="es-DO"/>
              </w:rPr>
              <w:t>19.0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48859570" w14:textId="77777777" w:rsidR="00A57704" w:rsidRPr="00EB34A3" w:rsidRDefault="00A57704" w:rsidP="00A57704">
            <w:pPr>
              <w:spacing w:after="0"/>
              <w:jc w:val="center"/>
              <w:rPr>
                <w:rFonts w:ascii="Times New Roman" w:hAnsi="Times New Roman"/>
                <w:bCs/>
                <w:szCs w:val="20"/>
                <w:lang w:eastAsia="es-DO"/>
              </w:rPr>
            </w:pPr>
            <w:r w:rsidRPr="00EB34A3">
              <w:rPr>
                <w:rFonts w:ascii="Times New Roman" w:hAnsi="Times New Roman"/>
                <w:bCs/>
                <w:szCs w:val="20"/>
                <w:lang w:eastAsia="es-DO"/>
              </w:rPr>
              <w:t>537.5</w:t>
            </w:r>
          </w:p>
        </w:tc>
      </w:tr>
      <w:tr w:rsidR="00A57704" w:rsidRPr="00EB34A3" w14:paraId="1EF9DB58"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004F0" w14:textId="77777777" w:rsidR="00A57704" w:rsidRPr="00EB34A3" w:rsidRDefault="00A57704" w:rsidP="00A57704">
            <w:pPr>
              <w:spacing w:after="0"/>
              <w:rPr>
                <w:rFonts w:ascii="Times New Roman" w:hAnsi="Times New Roman"/>
                <w:bCs/>
                <w:color w:val="000000"/>
                <w:szCs w:val="20"/>
                <w:lang w:eastAsia="es-DO"/>
              </w:rPr>
            </w:pPr>
            <w:r w:rsidRPr="00EB34A3">
              <w:rPr>
                <w:rFonts w:ascii="Times New Roman" w:hAnsi="Times New Roman"/>
                <w:bCs/>
                <w:color w:val="000000"/>
                <w:szCs w:val="20"/>
                <w:lang w:eastAsia="es-DO"/>
              </w:rPr>
              <w:t xml:space="preserve">Precipitación </w:t>
            </w:r>
            <w:r>
              <w:rPr>
                <w:rFonts w:ascii="Times New Roman" w:hAnsi="Times New Roman"/>
                <w:bCs/>
                <w:color w:val="000000"/>
                <w:szCs w:val="2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24A2EDA"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8.9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2F4157E"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8E97ABD"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71.4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01667B8"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44.9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695ED7E"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27.3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0C4A09D"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17.7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2527675"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48.3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0975506"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7.9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8A59DF3"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156.6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4A933CA"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32.0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A34B547"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93.6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31B7062"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5EB348B9" w14:textId="77777777" w:rsidR="00A57704" w:rsidRPr="00EB34A3" w:rsidRDefault="00A57704" w:rsidP="00A57704">
            <w:pPr>
              <w:spacing w:after="0"/>
              <w:jc w:val="center"/>
              <w:rPr>
                <w:rFonts w:ascii="Times New Roman" w:hAnsi="Times New Roman"/>
                <w:bCs/>
                <w:szCs w:val="20"/>
                <w:lang w:eastAsia="es-DO"/>
              </w:rPr>
            </w:pPr>
            <w:r>
              <w:rPr>
                <w:rFonts w:ascii="Times New Roman" w:hAnsi="Times New Roman"/>
                <w:bCs/>
                <w:szCs w:val="20"/>
                <w:lang w:eastAsia="es-DO"/>
              </w:rPr>
              <w:t>510.1</w:t>
            </w:r>
          </w:p>
        </w:tc>
      </w:tr>
      <w:tr w:rsidR="00A57704" w:rsidRPr="00EB34A3" w14:paraId="34E1DEC5"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0754A" w14:textId="77777777" w:rsidR="00A57704" w:rsidRPr="00EB34A3" w:rsidRDefault="00A57704" w:rsidP="00A57704">
            <w:pPr>
              <w:spacing w:after="0"/>
              <w:rPr>
                <w:rFonts w:ascii="Times New Roman" w:hAnsi="Times New Roman"/>
                <w:bCs/>
                <w:color w:val="000000"/>
                <w:szCs w:val="20"/>
                <w:lang w:eastAsia="es-DO"/>
              </w:rPr>
            </w:pPr>
            <w:r w:rsidRPr="00EB34A3">
              <w:rPr>
                <w:rFonts w:ascii="Times New Roman" w:hAnsi="Times New Roman"/>
                <w:bCs/>
                <w:color w:val="000000"/>
                <w:szCs w:val="2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9808C2B"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3.5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38E4A3A"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-89.7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4C26F9C"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180.0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24073AA"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3.7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DA1F8E0"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-73.0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9D5AB74"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-61.3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51F5849"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36.4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E8AA583"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-86.1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7FC66E2"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98.7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903D334"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-52.7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2CA4956"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126.6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56C1ABF" w14:textId="77777777" w:rsidR="00A57704" w:rsidRPr="00EB34A3"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3F4AD533" w14:textId="77777777" w:rsidR="00A57704" w:rsidRPr="00EB34A3" w:rsidRDefault="00A57704" w:rsidP="00A57704">
            <w:pPr>
              <w:spacing w:after="0"/>
              <w:jc w:val="center"/>
              <w:rPr>
                <w:rFonts w:ascii="Times New Roman" w:hAnsi="Times New Roman"/>
                <w:bCs/>
                <w:szCs w:val="20"/>
                <w:lang w:eastAsia="es-DO"/>
              </w:rPr>
            </w:pPr>
            <w:r w:rsidRPr="00EB34A3">
              <w:rPr>
                <w:rFonts w:ascii="Times New Roman" w:hAnsi="Times New Roman"/>
                <w:bCs/>
                <w:szCs w:val="20"/>
                <w:lang w:eastAsia="es-DO"/>
              </w:rPr>
              <w:t>-17.8</w:t>
            </w:r>
          </w:p>
        </w:tc>
      </w:tr>
    </w:tbl>
    <w:p w14:paraId="582BEBDB" w14:textId="77777777" w:rsidR="00A57704" w:rsidRDefault="00A57704" w:rsidP="00A57704">
      <w:pPr>
        <w:spacing w:after="0"/>
        <w:rPr>
          <w:rFonts w:ascii="Times New Roman" w:hAnsi="Times New Roman"/>
        </w:rPr>
      </w:pPr>
    </w:p>
    <w:p w14:paraId="2804048E"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space="720"/>
          <w:docGrid w:linePitch="360"/>
        </w:sectPr>
      </w:pPr>
    </w:p>
    <w:p w14:paraId="3D2F86D0" w14:textId="77777777" w:rsidR="00A57704" w:rsidRPr="00C83490" w:rsidRDefault="00A57704" w:rsidP="00A57704">
      <w:pPr>
        <w:spacing w:after="0"/>
        <w:rPr>
          <w:rFonts w:ascii="Times New Roman" w:hAnsi="Times New Roman"/>
        </w:rPr>
      </w:pPr>
    </w:p>
    <w:p w14:paraId="6353C17C"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Neyba.</w:t>
      </w:r>
    </w:p>
    <w:p w14:paraId="1F32AFC7" w14:textId="77777777" w:rsidR="00A57704" w:rsidRPr="002D5B20" w:rsidRDefault="00A57704" w:rsidP="00A57704">
      <w:pPr>
        <w:spacing w:after="0"/>
        <w:rPr>
          <w:rFonts w:ascii="Times New Roman" w:hAnsi="Times New Roman"/>
          <w:sz w:val="4"/>
        </w:rPr>
      </w:pPr>
      <w:r>
        <w:rPr>
          <w:noProof/>
          <w:lang w:eastAsia="es-DO"/>
        </w:rPr>
        <w:drawing>
          <wp:inline distT="0" distB="0" distL="0" distR="0" wp14:anchorId="10386831" wp14:editId="24E7C46E">
            <wp:extent cx="3552825" cy="1647825"/>
            <wp:effectExtent l="0" t="0" r="0" b="0"/>
            <wp:docPr id="262" name="Gráfico 26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A5484873-E96B-496A-8E9D-14288C6FA8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14:paraId="768E3730" w14:textId="77777777" w:rsidR="00A57704" w:rsidRPr="002D5B20" w:rsidRDefault="00A57704" w:rsidP="00A57704">
      <w:pPr>
        <w:spacing w:after="0"/>
        <w:rPr>
          <w:rFonts w:ascii="Times New Roman" w:hAnsi="Times New Roman"/>
          <w:sz w:val="4"/>
        </w:rPr>
      </w:pPr>
    </w:p>
    <w:p w14:paraId="48E81ABB" w14:textId="77777777" w:rsidR="00A57704" w:rsidRPr="002D5B20" w:rsidRDefault="00A57704" w:rsidP="00A57704">
      <w:pPr>
        <w:spacing w:after="0"/>
        <w:rPr>
          <w:rFonts w:ascii="Times New Roman" w:hAnsi="Times New Roman"/>
          <w:sz w:val="4"/>
        </w:rPr>
      </w:pPr>
    </w:p>
    <w:p w14:paraId="0B56602A" w14:textId="77777777" w:rsidR="00A57704" w:rsidRDefault="00A57704" w:rsidP="00A57704">
      <w:pPr>
        <w:spacing w:after="0"/>
        <w:rPr>
          <w:rFonts w:ascii="Times New Roman" w:hAnsi="Times New Roman"/>
        </w:rPr>
      </w:pPr>
    </w:p>
    <w:p w14:paraId="0BB3D1C6"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0C835A58" w14:textId="77777777" w:rsidR="00A57704" w:rsidRPr="00D5266D" w:rsidRDefault="00A57704" w:rsidP="00A57704">
      <w:pPr>
        <w:spacing w:after="0"/>
        <w:rPr>
          <w:rFonts w:ascii="Times New Roman" w:hAnsi="Times New Roman"/>
        </w:rPr>
        <w:sectPr w:rsidR="00A57704" w:rsidRPr="00D5266D"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6252B0A3" wp14:editId="4270FDB5">
            <wp:extent cx="3581400" cy="1533525"/>
            <wp:effectExtent l="0" t="0" r="0" b="0"/>
            <wp:docPr id="40" name="Gráfico 40">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C7151B9A-F22A-4B67-A1D3-B528606F59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tbl>
      <w:tblPr>
        <w:tblW w:w="12712" w:type="dxa"/>
        <w:tblInd w:w="-5" w:type="dxa"/>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A57704" w:rsidRPr="00EB34A3" w14:paraId="0F2FC986"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41154232"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lastRenderedPageBreak/>
              <w:t>Jimaní</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67993F58"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7D20023C"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5002ADE2"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1D59B22"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AAD2DA2"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70BC8839"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0BC2F3E3"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11304A2"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61A5AB64"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BAD14CA"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2A034DB8"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5BC9587E"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5654D302"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Año</w:t>
            </w:r>
          </w:p>
        </w:tc>
      </w:tr>
      <w:tr w:rsidR="00A57704" w:rsidRPr="00EB34A3" w14:paraId="300CD568"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2CC55" w14:textId="77777777" w:rsidR="00A57704" w:rsidRPr="00EB34A3" w:rsidRDefault="00A57704" w:rsidP="00A57704">
            <w:pPr>
              <w:spacing w:after="0"/>
              <w:rPr>
                <w:rFonts w:ascii="Times New Roman" w:hAnsi="Times New Roman"/>
                <w:bCs/>
                <w:color w:val="000000"/>
                <w:lang w:eastAsia="es-DO"/>
              </w:rPr>
            </w:pPr>
            <w:r w:rsidRPr="00EB34A3">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E75AA9F"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16.7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31F9C7D"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31.3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EC30B4C"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54.1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B95630A"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83.1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D054DED"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128.5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F8B4807"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42.7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D570098"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24.2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DBEAF12"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57.0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74F1616"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93.1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00F2DF3"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95.1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1628298"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57.9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B38C75A" w14:textId="77777777" w:rsidR="00A57704" w:rsidRPr="00EB34A3" w:rsidRDefault="00A57704" w:rsidP="00A57704">
            <w:pPr>
              <w:spacing w:after="0"/>
              <w:jc w:val="center"/>
              <w:rPr>
                <w:rFonts w:ascii="Times New Roman" w:hAnsi="Times New Roman"/>
                <w:bCs/>
                <w:color w:val="000000"/>
                <w:lang w:eastAsia="es-DO"/>
              </w:rPr>
            </w:pPr>
            <w:r w:rsidRPr="00EB34A3">
              <w:rPr>
                <w:rFonts w:ascii="Times New Roman" w:hAnsi="Times New Roman"/>
                <w:bCs/>
                <w:color w:val="000000"/>
                <w:lang w:eastAsia="es-DO"/>
              </w:rPr>
              <w:t>16.2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3C44A222" w14:textId="77777777" w:rsidR="00A57704" w:rsidRPr="00EB34A3" w:rsidRDefault="00A57704" w:rsidP="00A57704">
            <w:pPr>
              <w:spacing w:after="0"/>
              <w:jc w:val="center"/>
              <w:rPr>
                <w:rFonts w:ascii="Times New Roman" w:hAnsi="Times New Roman"/>
                <w:bCs/>
                <w:lang w:eastAsia="es-DO"/>
              </w:rPr>
            </w:pPr>
            <w:r w:rsidRPr="00EB34A3">
              <w:rPr>
                <w:rFonts w:ascii="Times New Roman" w:hAnsi="Times New Roman"/>
                <w:bCs/>
                <w:lang w:eastAsia="es-DO"/>
              </w:rPr>
              <w:t>699.9</w:t>
            </w:r>
          </w:p>
        </w:tc>
      </w:tr>
      <w:tr w:rsidR="00A57704" w:rsidRPr="00EB34A3" w14:paraId="5E946C04"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3D590" w14:textId="77777777" w:rsidR="00A57704" w:rsidRPr="00EB34A3" w:rsidRDefault="00A57704" w:rsidP="00A57704">
            <w:pPr>
              <w:spacing w:after="0"/>
              <w:rPr>
                <w:rFonts w:ascii="Times New Roman" w:hAnsi="Times New Roman"/>
                <w:bCs/>
                <w:color w:val="000000"/>
                <w:lang w:eastAsia="es-DO"/>
              </w:rPr>
            </w:pPr>
            <w:r w:rsidRPr="00EB34A3">
              <w:rPr>
                <w:rFonts w:ascii="Times New Roman" w:hAnsi="Times New Roman"/>
                <w:bCs/>
                <w:color w:val="000000"/>
                <w:lang w:eastAsia="es-DO"/>
              </w:rPr>
              <w:t xml:space="preserve">Precipitación </w:t>
            </w:r>
            <w:r>
              <w:rPr>
                <w:rFonts w:ascii="Times New Roman" w:hAnsi="Times New Roman"/>
                <w:bCs/>
                <w:color w:val="00000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C04ECE6"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401097F"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6D63416"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79.7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2992003"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112.4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76DDBC6"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47.4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C94F5C0"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9A490C8"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19.1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9530DD0"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44.2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245D780"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175.9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C693BC4"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25.9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C26A81E"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55.6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20C5F8A"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3FBA0667" w14:textId="77777777" w:rsidR="00A57704" w:rsidRPr="00EB34A3" w:rsidRDefault="00A57704" w:rsidP="00A57704">
            <w:pPr>
              <w:spacing w:after="0"/>
              <w:jc w:val="center"/>
              <w:rPr>
                <w:rFonts w:ascii="Times New Roman" w:hAnsi="Times New Roman"/>
                <w:bCs/>
                <w:lang w:eastAsia="es-DO"/>
              </w:rPr>
            </w:pPr>
            <w:r>
              <w:rPr>
                <w:rFonts w:ascii="Times New Roman" w:hAnsi="Times New Roman"/>
                <w:bCs/>
                <w:lang w:eastAsia="es-DO"/>
              </w:rPr>
              <w:t>573.9</w:t>
            </w:r>
          </w:p>
        </w:tc>
      </w:tr>
      <w:tr w:rsidR="00A57704" w:rsidRPr="00EB34A3" w14:paraId="6529A202"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0C40B" w14:textId="77777777" w:rsidR="00A57704" w:rsidRPr="00EB34A3" w:rsidRDefault="00A57704" w:rsidP="00A57704">
            <w:pPr>
              <w:spacing w:after="0"/>
              <w:rPr>
                <w:rFonts w:ascii="Times New Roman" w:hAnsi="Times New Roman"/>
                <w:bCs/>
                <w:color w:val="000000"/>
                <w:lang w:eastAsia="es-DO"/>
              </w:rPr>
            </w:pPr>
            <w:r w:rsidRPr="00EB34A3">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B6DDE18"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-55.7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0EE218D"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-85.9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A89E81A"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47.3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79A0B08"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35.3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BA606B9"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-63.1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B5CD8BA"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-95.6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3F3123E"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-21.1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F0F909E"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-22.5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32BCACC"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88.9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20FE64D"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-72.8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702EAEB"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5FB1622" w14:textId="77777777" w:rsidR="00A57704" w:rsidRPr="00EB34A3"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1C8CEB3F" w14:textId="77777777" w:rsidR="00A57704" w:rsidRPr="00EB34A3" w:rsidRDefault="00A57704" w:rsidP="00A57704">
            <w:pPr>
              <w:spacing w:after="0"/>
              <w:jc w:val="center"/>
              <w:rPr>
                <w:rFonts w:ascii="Times New Roman" w:hAnsi="Times New Roman"/>
                <w:bCs/>
                <w:lang w:eastAsia="es-DO"/>
              </w:rPr>
            </w:pPr>
            <w:r w:rsidRPr="00EB34A3">
              <w:rPr>
                <w:rFonts w:ascii="Times New Roman" w:hAnsi="Times New Roman"/>
                <w:bCs/>
                <w:lang w:eastAsia="es-DO"/>
              </w:rPr>
              <w:t>-43.3</w:t>
            </w:r>
          </w:p>
        </w:tc>
      </w:tr>
    </w:tbl>
    <w:p w14:paraId="09390391" w14:textId="77777777" w:rsidR="00A57704" w:rsidRPr="00C83490" w:rsidRDefault="00A57704" w:rsidP="00A57704">
      <w:pPr>
        <w:spacing w:after="0"/>
        <w:rPr>
          <w:rFonts w:ascii="Times New Roman" w:hAnsi="Times New Roman"/>
        </w:rPr>
        <w:sectPr w:rsidR="00A57704" w:rsidRPr="00C83490" w:rsidSect="00A57704">
          <w:type w:val="continuous"/>
          <w:pgSz w:w="15840" w:h="12240" w:orient="landscape"/>
          <w:pgMar w:top="1276" w:right="851" w:bottom="851" w:left="1440" w:header="720" w:footer="720" w:gutter="0"/>
          <w:cols w:space="720"/>
          <w:docGrid w:linePitch="360"/>
        </w:sectPr>
      </w:pPr>
    </w:p>
    <w:p w14:paraId="6B4A872C" w14:textId="77777777" w:rsidR="00A57704" w:rsidRPr="00C83490" w:rsidRDefault="00A57704" w:rsidP="00A57704">
      <w:pPr>
        <w:spacing w:after="0"/>
        <w:rPr>
          <w:rFonts w:ascii="Times New Roman" w:hAnsi="Times New Roman"/>
        </w:rPr>
      </w:pPr>
    </w:p>
    <w:p w14:paraId="2530975A"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Jimaní</w:t>
      </w:r>
    </w:p>
    <w:p w14:paraId="542B0E9E" w14:textId="77777777" w:rsidR="00A57704" w:rsidRPr="002D5B20" w:rsidRDefault="00A57704" w:rsidP="00A57704">
      <w:pPr>
        <w:spacing w:after="0"/>
        <w:rPr>
          <w:rFonts w:ascii="Times New Roman" w:hAnsi="Times New Roman"/>
          <w:sz w:val="4"/>
        </w:rPr>
      </w:pPr>
      <w:r>
        <w:rPr>
          <w:noProof/>
          <w:lang w:eastAsia="es-DO"/>
        </w:rPr>
        <w:drawing>
          <wp:inline distT="0" distB="0" distL="0" distR="0" wp14:anchorId="1349F45C" wp14:editId="7B6E85BA">
            <wp:extent cx="3619500" cy="1666875"/>
            <wp:effectExtent l="0" t="0" r="0" b="0"/>
            <wp:docPr id="263" name="Gráfico 26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81728D6C-A5F7-417C-8BAE-5694493ACA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14:paraId="12DCA2B6" w14:textId="77777777" w:rsidR="00A57704" w:rsidRPr="002D5B20" w:rsidRDefault="00A57704" w:rsidP="00A57704">
      <w:pPr>
        <w:spacing w:after="0"/>
        <w:rPr>
          <w:rFonts w:ascii="Times New Roman" w:hAnsi="Times New Roman"/>
          <w:sz w:val="4"/>
        </w:rPr>
      </w:pPr>
    </w:p>
    <w:p w14:paraId="355AD564" w14:textId="77777777" w:rsidR="00A57704" w:rsidRPr="002D5B20" w:rsidRDefault="00A57704" w:rsidP="00A57704">
      <w:pPr>
        <w:spacing w:after="0"/>
        <w:rPr>
          <w:rFonts w:ascii="Times New Roman" w:hAnsi="Times New Roman"/>
          <w:sz w:val="4"/>
        </w:rPr>
      </w:pPr>
    </w:p>
    <w:p w14:paraId="78B93CC9" w14:textId="77777777" w:rsidR="00A57704" w:rsidRPr="002D5B20" w:rsidRDefault="00A57704" w:rsidP="00A57704">
      <w:pPr>
        <w:spacing w:after="0"/>
        <w:rPr>
          <w:rFonts w:ascii="Times New Roman" w:hAnsi="Times New Roman"/>
        </w:rPr>
      </w:pPr>
    </w:p>
    <w:p w14:paraId="2918A922" w14:textId="77777777" w:rsidR="00BC5AB8" w:rsidRDefault="00BC5AB8" w:rsidP="00BC5AB8">
      <w:pPr>
        <w:pStyle w:val="Prrafodelista"/>
        <w:spacing w:after="0" w:line="240" w:lineRule="auto"/>
        <w:ind w:left="567"/>
        <w:rPr>
          <w:rFonts w:ascii="Times New Roman" w:hAnsi="Times New Roman"/>
        </w:rPr>
      </w:pPr>
    </w:p>
    <w:p w14:paraId="755DD497" w14:textId="6FA85D85"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2BB1A283" w14:textId="783A5818" w:rsidR="00A57704" w:rsidRDefault="00A57704" w:rsidP="00A57704">
      <w:pPr>
        <w:spacing w:after="0"/>
        <w:rPr>
          <w:rFonts w:ascii="Times New Roman" w:hAnsi="Times New Roman"/>
        </w:rPr>
      </w:pPr>
      <w:r>
        <w:rPr>
          <w:noProof/>
          <w:lang w:eastAsia="es-DO"/>
        </w:rPr>
        <w:drawing>
          <wp:inline distT="0" distB="0" distL="0" distR="0" wp14:anchorId="2C25EC55" wp14:editId="28E6C235">
            <wp:extent cx="3657600" cy="1638300"/>
            <wp:effectExtent l="0" t="0" r="0" b="0"/>
            <wp:docPr id="43" name="Gráfico 4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AADE491-1AB3-4FC3-A09D-A25FE4DBA7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14:paraId="71528EBF" w14:textId="78C94977" w:rsidR="00BC5AB8" w:rsidRDefault="00BC5AB8" w:rsidP="00A57704">
      <w:pPr>
        <w:spacing w:after="0"/>
        <w:rPr>
          <w:rFonts w:ascii="Times New Roman" w:hAnsi="Times New Roman"/>
        </w:rPr>
      </w:pPr>
    </w:p>
    <w:p w14:paraId="5D144035" w14:textId="77777777" w:rsidR="00BC5AB8" w:rsidRPr="002D5B20" w:rsidRDefault="00BC5AB8" w:rsidP="00A57704">
      <w:pPr>
        <w:spacing w:after="0"/>
        <w:rPr>
          <w:rFonts w:ascii="Times New Roman" w:hAnsi="Times New Roman"/>
        </w:rPr>
        <w:sectPr w:rsidR="00BC5AB8" w:rsidRPr="002D5B20" w:rsidSect="00A57704">
          <w:type w:val="continuous"/>
          <w:pgSz w:w="15840" w:h="12240" w:orient="landscape"/>
          <w:pgMar w:top="1276" w:right="851" w:bottom="851" w:left="1440" w:header="720" w:footer="720" w:gutter="0"/>
          <w:cols w:num="2" w:space="720"/>
          <w:docGrid w:linePitch="360"/>
        </w:sectPr>
      </w:pPr>
    </w:p>
    <w:tbl>
      <w:tblPr>
        <w:tblW w:w="12704" w:type="dxa"/>
        <w:tblInd w:w="-5" w:type="dxa"/>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A57704" w:rsidRPr="00644BF2" w14:paraId="24D9A2F7"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58B44698"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Polo</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1705083E"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3719EFE4"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7914CE99"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E46BC71"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6AB81470"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32F50147"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7C3ECC8B"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039E2D7"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7C00CC7"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3DB6EA63"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2D4AA55E"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23B6D2FA"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37C893C4" w14:textId="77777777" w:rsidR="00A57704" w:rsidRPr="00BC5AB8" w:rsidRDefault="00A57704" w:rsidP="00BC5AB8">
            <w:pPr>
              <w:spacing w:after="0"/>
              <w:jc w:val="center"/>
              <w:rPr>
                <w:rFonts w:ascii="Times New Roman" w:hAnsi="Times New Roman"/>
                <w:b/>
                <w:bCs/>
                <w:color w:val="FFFFFF" w:themeColor="background1"/>
                <w:szCs w:val="20"/>
                <w:lang w:eastAsia="es-DO"/>
              </w:rPr>
            </w:pPr>
            <w:r w:rsidRPr="00BC5AB8">
              <w:rPr>
                <w:rFonts w:ascii="Times New Roman" w:hAnsi="Times New Roman"/>
                <w:b/>
                <w:bCs/>
                <w:color w:val="FFFFFF" w:themeColor="background1"/>
                <w:szCs w:val="20"/>
                <w:lang w:eastAsia="es-DO"/>
              </w:rPr>
              <w:t>Año</w:t>
            </w:r>
          </w:p>
        </w:tc>
      </w:tr>
      <w:tr w:rsidR="00A57704" w:rsidRPr="00644BF2" w14:paraId="15EB2548"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DB2A0" w14:textId="77777777" w:rsidR="00A57704" w:rsidRPr="00644BF2" w:rsidRDefault="00A57704" w:rsidP="00A57704">
            <w:pPr>
              <w:spacing w:after="0"/>
              <w:rPr>
                <w:rFonts w:ascii="Times New Roman" w:hAnsi="Times New Roman"/>
                <w:bCs/>
                <w:color w:val="000000"/>
                <w:szCs w:val="20"/>
                <w:lang w:eastAsia="es-DO"/>
              </w:rPr>
            </w:pPr>
            <w:r w:rsidRPr="00644BF2">
              <w:rPr>
                <w:rFonts w:ascii="Times New Roman" w:hAnsi="Times New Roman"/>
                <w:bCs/>
                <w:color w:val="000000"/>
                <w:szCs w:val="2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BCA763F" w14:textId="77777777" w:rsidR="00A57704" w:rsidRPr="00644BF2" w:rsidRDefault="00A57704" w:rsidP="00A57704">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70.1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1272BBA" w14:textId="77777777" w:rsidR="00A57704" w:rsidRPr="00644BF2" w:rsidRDefault="00A57704" w:rsidP="00A57704">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73.5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6C53411" w14:textId="77777777" w:rsidR="00A57704" w:rsidRPr="00644BF2" w:rsidRDefault="00A57704" w:rsidP="00A57704">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69.3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66B648A" w14:textId="77777777" w:rsidR="00A57704" w:rsidRPr="00644BF2" w:rsidRDefault="00A57704" w:rsidP="00A57704">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84.4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0FCEACF" w14:textId="77777777" w:rsidR="00A57704" w:rsidRPr="00644BF2" w:rsidRDefault="00A57704" w:rsidP="00A57704">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165.5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1C8D786" w14:textId="77777777" w:rsidR="00A57704" w:rsidRPr="00644BF2" w:rsidRDefault="00A57704" w:rsidP="00A57704">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230.9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100FEBA" w14:textId="77777777" w:rsidR="00A57704" w:rsidRPr="00644BF2" w:rsidRDefault="00A57704" w:rsidP="00A57704">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161.9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E39179D" w14:textId="77777777" w:rsidR="00A57704" w:rsidRPr="00644BF2" w:rsidRDefault="00A57704" w:rsidP="00A57704">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213.3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F4BA70B" w14:textId="77777777" w:rsidR="00A57704" w:rsidRPr="00644BF2" w:rsidRDefault="00A57704" w:rsidP="00A57704">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247.8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45435FF" w14:textId="77777777" w:rsidR="00A57704" w:rsidRPr="00644BF2" w:rsidRDefault="00A57704" w:rsidP="00A57704">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187.0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DA87225" w14:textId="77777777" w:rsidR="00A57704" w:rsidRPr="00644BF2" w:rsidRDefault="00A57704" w:rsidP="00A57704">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133.3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22FCEAF" w14:textId="77777777" w:rsidR="00A57704" w:rsidRPr="00644BF2" w:rsidRDefault="00A57704" w:rsidP="00A57704">
            <w:pPr>
              <w:spacing w:after="0"/>
              <w:jc w:val="center"/>
              <w:rPr>
                <w:rFonts w:ascii="Times New Roman" w:hAnsi="Times New Roman"/>
                <w:bCs/>
                <w:color w:val="000000"/>
                <w:szCs w:val="20"/>
                <w:lang w:eastAsia="es-DO"/>
              </w:rPr>
            </w:pPr>
            <w:r w:rsidRPr="00644BF2">
              <w:rPr>
                <w:rFonts w:ascii="Times New Roman" w:hAnsi="Times New Roman"/>
                <w:bCs/>
                <w:color w:val="000000"/>
                <w:szCs w:val="20"/>
                <w:lang w:eastAsia="es-DO"/>
              </w:rPr>
              <w:t>84.4</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1F18CFDD" w14:textId="77777777" w:rsidR="00A57704" w:rsidRPr="00644BF2" w:rsidRDefault="00A57704" w:rsidP="00A57704">
            <w:pPr>
              <w:spacing w:after="0"/>
              <w:jc w:val="center"/>
              <w:rPr>
                <w:rFonts w:ascii="Times New Roman" w:hAnsi="Times New Roman"/>
                <w:bCs/>
                <w:szCs w:val="20"/>
                <w:lang w:eastAsia="es-DO"/>
              </w:rPr>
            </w:pPr>
            <w:r w:rsidRPr="00644BF2">
              <w:rPr>
                <w:rFonts w:ascii="Times New Roman" w:hAnsi="Times New Roman"/>
                <w:bCs/>
                <w:szCs w:val="20"/>
                <w:lang w:eastAsia="es-DO"/>
              </w:rPr>
              <w:t>1,721.4</w:t>
            </w:r>
          </w:p>
        </w:tc>
      </w:tr>
      <w:tr w:rsidR="00A57704" w:rsidRPr="00644BF2" w14:paraId="2AA7E8D1"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20662" w14:textId="77777777" w:rsidR="00A57704" w:rsidRPr="00644BF2" w:rsidRDefault="00A57704" w:rsidP="00A57704">
            <w:pPr>
              <w:spacing w:after="0"/>
              <w:rPr>
                <w:rFonts w:ascii="Times New Roman" w:hAnsi="Times New Roman"/>
                <w:bCs/>
                <w:color w:val="000000"/>
                <w:szCs w:val="20"/>
                <w:lang w:eastAsia="es-DO"/>
              </w:rPr>
            </w:pPr>
            <w:r w:rsidRPr="00644BF2">
              <w:rPr>
                <w:rFonts w:ascii="Times New Roman" w:hAnsi="Times New Roman"/>
                <w:bCs/>
                <w:color w:val="000000"/>
                <w:szCs w:val="20"/>
                <w:lang w:eastAsia="es-DO"/>
              </w:rPr>
              <w:t xml:space="preserve">Precipitación </w:t>
            </w:r>
            <w:r>
              <w:rPr>
                <w:rFonts w:ascii="Times New Roman" w:hAnsi="Times New Roman"/>
                <w:bCs/>
                <w:color w:val="000000"/>
                <w:szCs w:val="2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DBBC587"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90.3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795A37D"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51.7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2ADA4EA"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92.9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A9C68D2"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64.0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D6E0286"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163.0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063BE67"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84.2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D8C2239"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290.6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409D65F"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139.2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871E967"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570.2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5140E06"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134.8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D6AF4D1"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52.5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B3EBA7D"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2085089B" w14:textId="77777777" w:rsidR="00A57704" w:rsidRPr="00644BF2" w:rsidRDefault="00A57704" w:rsidP="00A57704">
            <w:pPr>
              <w:spacing w:after="0"/>
              <w:jc w:val="center"/>
              <w:rPr>
                <w:rFonts w:ascii="Times New Roman" w:hAnsi="Times New Roman"/>
                <w:bCs/>
                <w:szCs w:val="20"/>
                <w:lang w:eastAsia="es-DO"/>
              </w:rPr>
            </w:pPr>
            <w:r>
              <w:rPr>
                <w:rFonts w:ascii="Times New Roman" w:hAnsi="Times New Roman"/>
                <w:bCs/>
                <w:szCs w:val="20"/>
                <w:lang w:eastAsia="es-DO"/>
              </w:rPr>
              <w:t>1,733.4</w:t>
            </w:r>
          </w:p>
        </w:tc>
      </w:tr>
      <w:tr w:rsidR="00A57704" w:rsidRPr="00644BF2" w14:paraId="67E7CB20"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B70D9" w14:textId="77777777" w:rsidR="00A57704" w:rsidRPr="00644BF2" w:rsidRDefault="00A57704" w:rsidP="00A57704">
            <w:pPr>
              <w:spacing w:after="0"/>
              <w:rPr>
                <w:rFonts w:ascii="Times New Roman" w:hAnsi="Times New Roman"/>
                <w:bCs/>
                <w:color w:val="000000"/>
                <w:szCs w:val="20"/>
                <w:lang w:eastAsia="es-DO"/>
              </w:rPr>
            </w:pPr>
            <w:r w:rsidRPr="00644BF2">
              <w:rPr>
                <w:rFonts w:ascii="Times New Roman" w:hAnsi="Times New Roman"/>
                <w:bCs/>
                <w:color w:val="000000"/>
                <w:szCs w:val="2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444DCEC"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28.8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0DC0408"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-29.7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3936686"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34.1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8D0DE53"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-24.2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FEDE01C"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3BB505D"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-63.5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406D07C"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79.5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478F094"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-34.7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EB214D7"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130.1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0D642FE"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-27.9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6D4B74E"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-60.6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9890B8C" w14:textId="77777777" w:rsidR="00A57704" w:rsidRPr="00644BF2" w:rsidRDefault="00A57704" w:rsidP="00A57704">
            <w:pPr>
              <w:spacing w:after="0"/>
              <w:jc w:val="center"/>
              <w:rPr>
                <w:rFonts w:ascii="Times New Roman" w:hAnsi="Times New Roman"/>
                <w:bCs/>
                <w:color w:val="000000"/>
                <w:szCs w:val="20"/>
                <w:lang w:eastAsia="es-DO"/>
              </w:rPr>
            </w:pPr>
            <w:r>
              <w:rPr>
                <w:rFonts w:ascii="Times New Roman" w:hAnsi="Times New Roman"/>
                <w:bCs/>
                <w:color w:val="000000"/>
                <w:szCs w:val="2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398CC17E" w14:textId="77777777" w:rsidR="00A57704" w:rsidRPr="00644BF2" w:rsidRDefault="00A57704" w:rsidP="00A57704">
            <w:pPr>
              <w:spacing w:after="0"/>
              <w:jc w:val="center"/>
              <w:rPr>
                <w:rFonts w:ascii="Times New Roman" w:hAnsi="Times New Roman"/>
                <w:bCs/>
                <w:szCs w:val="20"/>
                <w:lang w:eastAsia="es-DO"/>
              </w:rPr>
            </w:pPr>
            <w:r w:rsidRPr="00644BF2">
              <w:rPr>
                <w:rFonts w:ascii="Times New Roman" w:hAnsi="Times New Roman"/>
                <w:bCs/>
                <w:szCs w:val="20"/>
                <w:lang w:eastAsia="es-DO"/>
              </w:rPr>
              <w:t>30.6</w:t>
            </w:r>
          </w:p>
        </w:tc>
      </w:tr>
    </w:tbl>
    <w:p w14:paraId="426867FC" w14:textId="77777777" w:rsidR="00A57704" w:rsidRDefault="00A57704" w:rsidP="00A57704">
      <w:pPr>
        <w:spacing w:after="0"/>
        <w:rPr>
          <w:rFonts w:ascii="Times New Roman" w:hAnsi="Times New Roman"/>
        </w:rPr>
      </w:pPr>
    </w:p>
    <w:p w14:paraId="3A6A14D3"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space="720"/>
          <w:docGrid w:linePitch="360"/>
        </w:sectPr>
      </w:pPr>
    </w:p>
    <w:p w14:paraId="7FE97EE9" w14:textId="77777777" w:rsidR="00BC5AB8" w:rsidRPr="00BC5AB8" w:rsidRDefault="00BC5AB8" w:rsidP="00BC5AB8">
      <w:pPr>
        <w:spacing w:after="0"/>
        <w:rPr>
          <w:rFonts w:ascii="Times New Roman" w:hAnsi="Times New Roman"/>
        </w:rPr>
      </w:pPr>
    </w:p>
    <w:p w14:paraId="2DCBE375" w14:textId="4FEADB3C"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Polo.</w:t>
      </w:r>
    </w:p>
    <w:p w14:paraId="01E1BF32" w14:textId="77777777" w:rsidR="00A57704" w:rsidRPr="002D5B20" w:rsidRDefault="00A57704" w:rsidP="00A57704">
      <w:pPr>
        <w:spacing w:after="0"/>
        <w:rPr>
          <w:rFonts w:ascii="Times New Roman" w:hAnsi="Times New Roman"/>
          <w:sz w:val="4"/>
        </w:rPr>
      </w:pPr>
    </w:p>
    <w:p w14:paraId="4C70A3C6" w14:textId="77777777" w:rsidR="00A57704" w:rsidRPr="002D5B20" w:rsidRDefault="00A57704" w:rsidP="00A57704">
      <w:pPr>
        <w:spacing w:after="0"/>
        <w:rPr>
          <w:rFonts w:ascii="Times New Roman" w:hAnsi="Times New Roman"/>
          <w:sz w:val="4"/>
        </w:rPr>
      </w:pPr>
      <w:r>
        <w:rPr>
          <w:noProof/>
          <w:lang w:eastAsia="es-DO"/>
        </w:rPr>
        <w:drawing>
          <wp:inline distT="0" distB="0" distL="0" distR="0" wp14:anchorId="7A3C0B39" wp14:editId="4C131FA0">
            <wp:extent cx="3524250" cy="1671145"/>
            <wp:effectExtent l="0" t="0" r="0" b="5715"/>
            <wp:docPr id="264" name="Gráfico 26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6D06F867-3158-441B-891C-E56413FE5A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14:paraId="1847CF22" w14:textId="77777777" w:rsidR="00A57704" w:rsidRPr="002D5B20" w:rsidRDefault="00A57704" w:rsidP="00A57704">
      <w:pPr>
        <w:spacing w:after="0"/>
        <w:rPr>
          <w:rFonts w:ascii="Times New Roman" w:hAnsi="Times New Roman"/>
          <w:sz w:val="4"/>
        </w:rPr>
      </w:pPr>
    </w:p>
    <w:p w14:paraId="15E1FA8F" w14:textId="77777777" w:rsidR="00A57704" w:rsidRDefault="00A57704" w:rsidP="00A57704">
      <w:pPr>
        <w:spacing w:after="0"/>
        <w:rPr>
          <w:rFonts w:ascii="Times New Roman" w:hAnsi="Times New Roman"/>
        </w:rPr>
      </w:pPr>
    </w:p>
    <w:p w14:paraId="19560410"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13E69190" w14:textId="77777777" w:rsidR="00A57704" w:rsidRPr="00D5266D" w:rsidRDefault="00A57704" w:rsidP="00A57704">
      <w:pPr>
        <w:spacing w:after="0"/>
        <w:rPr>
          <w:rFonts w:ascii="Times New Roman" w:hAnsi="Times New Roman"/>
        </w:rPr>
        <w:sectPr w:rsidR="00A57704" w:rsidRPr="00D5266D"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25D10C42" wp14:editId="4549F533">
            <wp:extent cx="3752194" cy="1628775"/>
            <wp:effectExtent l="0" t="0" r="1270" b="0"/>
            <wp:docPr id="37" name="Gráfico 37">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15462B48-4CE7-48C5-861D-CD1585D577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tbl>
      <w:tblPr>
        <w:tblW w:w="12712" w:type="dxa"/>
        <w:tblInd w:w="-5" w:type="dxa"/>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A57704" w:rsidRPr="004D642A" w14:paraId="58254816"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160CB1BF"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lastRenderedPageBreak/>
              <w:t>La Vega</w:t>
            </w:r>
          </w:p>
        </w:tc>
        <w:tc>
          <w:tcPr>
            <w:tcW w:w="760" w:type="dxa"/>
            <w:tcBorders>
              <w:top w:val="single" w:sz="4" w:space="0" w:color="auto"/>
              <w:left w:val="nil"/>
              <w:bottom w:val="single" w:sz="4" w:space="0" w:color="auto"/>
              <w:right w:val="single" w:sz="4" w:space="0" w:color="auto"/>
            </w:tcBorders>
            <w:shd w:val="clear" w:color="auto" w:fill="00B050"/>
            <w:noWrap/>
            <w:vAlign w:val="center"/>
            <w:hideMark/>
          </w:tcPr>
          <w:p w14:paraId="000BA99B"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center"/>
            <w:hideMark/>
          </w:tcPr>
          <w:p w14:paraId="5A766225"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center"/>
            <w:hideMark/>
          </w:tcPr>
          <w:p w14:paraId="0AA0002F"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center"/>
            <w:hideMark/>
          </w:tcPr>
          <w:p w14:paraId="3733CAEA"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center"/>
            <w:hideMark/>
          </w:tcPr>
          <w:p w14:paraId="58FC438E"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center"/>
            <w:hideMark/>
          </w:tcPr>
          <w:p w14:paraId="60B8828A"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center"/>
            <w:hideMark/>
          </w:tcPr>
          <w:p w14:paraId="2174CDD0"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center"/>
            <w:hideMark/>
          </w:tcPr>
          <w:p w14:paraId="19086AB3"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center"/>
            <w:hideMark/>
          </w:tcPr>
          <w:p w14:paraId="72F2091A"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center"/>
            <w:hideMark/>
          </w:tcPr>
          <w:p w14:paraId="4A540D80"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center"/>
            <w:hideMark/>
          </w:tcPr>
          <w:p w14:paraId="1596C670"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center"/>
            <w:hideMark/>
          </w:tcPr>
          <w:p w14:paraId="54476F7B"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center"/>
            <w:hideMark/>
          </w:tcPr>
          <w:p w14:paraId="538CB5BF"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Año</w:t>
            </w:r>
          </w:p>
        </w:tc>
      </w:tr>
      <w:tr w:rsidR="00A57704" w:rsidRPr="004D642A" w14:paraId="3BF658B9"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B5CD2" w14:textId="77777777" w:rsidR="00A57704" w:rsidRPr="004D642A" w:rsidRDefault="00A57704" w:rsidP="00A57704">
            <w:pPr>
              <w:spacing w:after="0"/>
              <w:rPr>
                <w:rFonts w:ascii="Times New Roman" w:hAnsi="Times New Roman"/>
                <w:bCs/>
                <w:color w:val="000000"/>
                <w:lang w:eastAsia="es-DO"/>
              </w:rPr>
            </w:pPr>
            <w:r w:rsidRPr="00EB34A3">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B349C2F" w14:textId="77777777" w:rsidR="00A57704" w:rsidRPr="004D642A" w:rsidRDefault="00A57704" w:rsidP="00A57704">
            <w:pPr>
              <w:spacing w:after="0"/>
              <w:jc w:val="center"/>
              <w:rPr>
                <w:rFonts w:ascii="Times New Roman" w:hAnsi="Times New Roman"/>
                <w:bCs/>
                <w:color w:val="000000"/>
                <w:lang w:eastAsia="es-DO"/>
              </w:rPr>
            </w:pPr>
            <w:r w:rsidRPr="004D642A">
              <w:rPr>
                <w:rFonts w:ascii="Times New Roman" w:hAnsi="Times New Roman"/>
                <w:bCs/>
                <w:color w:val="000000"/>
                <w:lang w:eastAsia="es-DO"/>
              </w:rPr>
              <w:t>96.0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C58A43F" w14:textId="77777777" w:rsidR="00A57704" w:rsidRPr="004D642A" w:rsidRDefault="00A57704" w:rsidP="00A57704">
            <w:pPr>
              <w:spacing w:after="0"/>
              <w:jc w:val="center"/>
              <w:rPr>
                <w:rFonts w:ascii="Times New Roman" w:hAnsi="Times New Roman"/>
                <w:bCs/>
                <w:color w:val="000000"/>
                <w:lang w:eastAsia="es-DO"/>
              </w:rPr>
            </w:pPr>
            <w:r w:rsidRPr="004D642A">
              <w:rPr>
                <w:rFonts w:ascii="Times New Roman" w:hAnsi="Times New Roman"/>
                <w:bCs/>
                <w:color w:val="000000"/>
                <w:lang w:eastAsia="es-DO"/>
              </w:rPr>
              <w:t>84.9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FA1D151" w14:textId="77777777" w:rsidR="00A57704" w:rsidRPr="004D642A" w:rsidRDefault="00A57704" w:rsidP="00A57704">
            <w:pPr>
              <w:spacing w:after="0"/>
              <w:jc w:val="center"/>
              <w:rPr>
                <w:rFonts w:ascii="Times New Roman" w:hAnsi="Times New Roman"/>
                <w:bCs/>
                <w:color w:val="000000"/>
                <w:lang w:eastAsia="es-DO"/>
              </w:rPr>
            </w:pPr>
            <w:r w:rsidRPr="004D642A">
              <w:rPr>
                <w:rFonts w:ascii="Times New Roman" w:hAnsi="Times New Roman"/>
                <w:bCs/>
                <w:color w:val="000000"/>
                <w:lang w:eastAsia="es-DO"/>
              </w:rPr>
              <w:t>103.2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DE7CE64" w14:textId="77777777" w:rsidR="00A57704" w:rsidRPr="004D642A" w:rsidRDefault="00A57704" w:rsidP="00A57704">
            <w:pPr>
              <w:spacing w:after="0"/>
              <w:jc w:val="center"/>
              <w:rPr>
                <w:rFonts w:ascii="Times New Roman" w:hAnsi="Times New Roman"/>
                <w:bCs/>
                <w:color w:val="000000"/>
                <w:lang w:eastAsia="es-DO"/>
              </w:rPr>
            </w:pPr>
            <w:r w:rsidRPr="004D642A">
              <w:rPr>
                <w:rFonts w:ascii="Times New Roman" w:hAnsi="Times New Roman"/>
                <w:bCs/>
                <w:color w:val="000000"/>
                <w:lang w:eastAsia="es-DO"/>
              </w:rPr>
              <w:t>153.0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0E5B47B" w14:textId="77777777" w:rsidR="00A57704" w:rsidRPr="004D642A" w:rsidRDefault="00A57704" w:rsidP="00A57704">
            <w:pPr>
              <w:spacing w:after="0"/>
              <w:jc w:val="center"/>
              <w:rPr>
                <w:rFonts w:ascii="Times New Roman" w:hAnsi="Times New Roman"/>
                <w:bCs/>
                <w:color w:val="000000"/>
                <w:lang w:eastAsia="es-DO"/>
              </w:rPr>
            </w:pPr>
            <w:r w:rsidRPr="004D642A">
              <w:rPr>
                <w:rFonts w:ascii="Times New Roman" w:hAnsi="Times New Roman"/>
                <w:bCs/>
                <w:color w:val="000000"/>
                <w:lang w:eastAsia="es-DO"/>
              </w:rPr>
              <w:t>200.7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749D117" w14:textId="77777777" w:rsidR="00A57704" w:rsidRPr="004D642A" w:rsidRDefault="00A57704" w:rsidP="00A57704">
            <w:pPr>
              <w:spacing w:after="0"/>
              <w:jc w:val="center"/>
              <w:rPr>
                <w:rFonts w:ascii="Times New Roman" w:hAnsi="Times New Roman"/>
                <w:bCs/>
                <w:color w:val="000000"/>
                <w:lang w:eastAsia="es-DO"/>
              </w:rPr>
            </w:pPr>
            <w:r w:rsidRPr="004D642A">
              <w:rPr>
                <w:rFonts w:ascii="Times New Roman" w:hAnsi="Times New Roman"/>
                <w:bCs/>
                <w:color w:val="000000"/>
                <w:lang w:eastAsia="es-DO"/>
              </w:rPr>
              <w:t>80.5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5E72351" w14:textId="77777777" w:rsidR="00A57704" w:rsidRPr="004D642A" w:rsidRDefault="00A57704" w:rsidP="00A57704">
            <w:pPr>
              <w:spacing w:after="0"/>
              <w:jc w:val="center"/>
              <w:rPr>
                <w:rFonts w:ascii="Times New Roman" w:hAnsi="Times New Roman"/>
                <w:bCs/>
                <w:color w:val="000000"/>
                <w:lang w:eastAsia="es-DO"/>
              </w:rPr>
            </w:pPr>
            <w:r w:rsidRPr="004D642A">
              <w:rPr>
                <w:rFonts w:ascii="Times New Roman" w:hAnsi="Times New Roman"/>
                <w:bCs/>
                <w:color w:val="000000"/>
                <w:lang w:eastAsia="es-DO"/>
              </w:rPr>
              <w:t>92.6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F42AA9A" w14:textId="77777777" w:rsidR="00A57704" w:rsidRPr="004D642A" w:rsidRDefault="00A57704" w:rsidP="00A57704">
            <w:pPr>
              <w:spacing w:after="0"/>
              <w:jc w:val="center"/>
              <w:rPr>
                <w:rFonts w:ascii="Times New Roman" w:hAnsi="Times New Roman"/>
                <w:bCs/>
                <w:color w:val="000000"/>
                <w:lang w:eastAsia="es-DO"/>
              </w:rPr>
            </w:pPr>
            <w:r w:rsidRPr="004D642A">
              <w:rPr>
                <w:rFonts w:ascii="Times New Roman" w:hAnsi="Times New Roman"/>
                <w:bCs/>
                <w:color w:val="000000"/>
                <w:lang w:eastAsia="es-DO"/>
              </w:rPr>
              <w:t>110.1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B97970F" w14:textId="77777777" w:rsidR="00A57704" w:rsidRPr="004D642A" w:rsidRDefault="00A57704" w:rsidP="00A57704">
            <w:pPr>
              <w:spacing w:after="0"/>
              <w:jc w:val="center"/>
              <w:rPr>
                <w:rFonts w:ascii="Times New Roman" w:hAnsi="Times New Roman"/>
                <w:bCs/>
                <w:color w:val="000000"/>
                <w:lang w:eastAsia="es-DO"/>
              </w:rPr>
            </w:pPr>
            <w:r w:rsidRPr="004D642A">
              <w:rPr>
                <w:rFonts w:ascii="Times New Roman" w:hAnsi="Times New Roman"/>
                <w:bCs/>
                <w:color w:val="000000"/>
                <w:lang w:eastAsia="es-DO"/>
              </w:rPr>
              <w:t>128.3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18AEE5E" w14:textId="77777777" w:rsidR="00A57704" w:rsidRPr="004D642A" w:rsidRDefault="00A57704" w:rsidP="00A57704">
            <w:pPr>
              <w:spacing w:after="0"/>
              <w:jc w:val="center"/>
              <w:rPr>
                <w:rFonts w:ascii="Times New Roman" w:hAnsi="Times New Roman"/>
                <w:bCs/>
                <w:color w:val="000000"/>
                <w:lang w:eastAsia="es-DO"/>
              </w:rPr>
            </w:pPr>
            <w:r w:rsidRPr="004D642A">
              <w:rPr>
                <w:rFonts w:ascii="Times New Roman" w:hAnsi="Times New Roman"/>
                <w:bCs/>
                <w:color w:val="000000"/>
                <w:lang w:eastAsia="es-DO"/>
              </w:rPr>
              <w:t>161.3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9E776C5" w14:textId="77777777" w:rsidR="00A57704" w:rsidRPr="004D642A" w:rsidRDefault="00A57704" w:rsidP="00A57704">
            <w:pPr>
              <w:spacing w:after="0"/>
              <w:jc w:val="center"/>
              <w:rPr>
                <w:rFonts w:ascii="Times New Roman" w:hAnsi="Times New Roman"/>
                <w:bCs/>
                <w:color w:val="000000"/>
                <w:lang w:eastAsia="es-DO"/>
              </w:rPr>
            </w:pPr>
            <w:r w:rsidRPr="004D642A">
              <w:rPr>
                <w:rFonts w:ascii="Times New Roman" w:hAnsi="Times New Roman"/>
                <w:bCs/>
                <w:color w:val="000000"/>
                <w:lang w:eastAsia="es-DO"/>
              </w:rPr>
              <w:t>151.2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FC44FB0" w14:textId="77777777" w:rsidR="00A57704" w:rsidRPr="004D642A" w:rsidRDefault="00A57704" w:rsidP="00A57704">
            <w:pPr>
              <w:spacing w:after="0"/>
              <w:jc w:val="center"/>
              <w:rPr>
                <w:rFonts w:ascii="Times New Roman" w:hAnsi="Times New Roman"/>
                <w:bCs/>
                <w:color w:val="000000"/>
                <w:lang w:eastAsia="es-DO"/>
              </w:rPr>
            </w:pPr>
            <w:r w:rsidRPr="004D642A">
              <w:rPr>
                <w:rFonts w:ascii="Times New Roman" w:hAnsi="Times New Roman"/>
                <w:bCs/>
                <w:color w:val="000000"/>
                <w:lang w:eastAsia="es-DO"/>
              </w:rPr>
              <w:t>110.2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6931F0F8" w14:textId="77777777" w:rsidR="00A57704" w:rsidRPr="004D642A" w:rsidRDefault="00A57704" w:rsidP="00A57704">
            <w:pPr>
              <w:spacing w:after="0"/>
              <w:jc w:val="center"/>
              <w:rPr>
                <w:rFonts w:ascii="Times New Roman" w:hAnsi="Times New Roman"/>
                <w:bCs/>
                <w:lang w:eastAsia="es-DO"/>
              </w:rPr>
            </w:pPr>
            <w:r w:rsidRPr="004D642A">
              <w:rPr>
                <w:rFonts w:ascii="Times New Roman" w:hAnsi="Times New Roman"/>
                <w:bCs/>
                <w:lang w:eastAsia="es-DO"/>
              </w:rPr>
              <w:t>1,472.0</w:t>
            </w:r>
          </w:p>
        </w:tc>
      </w:tr>
      <w:tr w:rsidR="00A57704" w:rsidRPr="004D642A" w14:paraId="6C834BED"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689FF" w14:textId="77777777" w:rsidR="00A57704" w:rsidRPr="004D642A" w:rsidRDefault="00A57704" w:rsidP="00A57704">
            <w:pPr>
              <w:spacing w:after="0"/>
              <w:rPr>
                <w:rFonts w:ascii="Times New Roman" w:hAnsi="Times New Roman"/>
                <w:bCs/>
                <w:color w:val="000000"/>
                <w:lang w:eastAsia="es-DO"/>
              </w:rPr>
            </w:pPr>
            <w:r w:rsidRPr="004D642A">
              <w:rPr>
                <w:rFonts w:ascii="Times New Roman" w:hAnsi="Times New Roman"/>
                <w:bCs/>
                <w:color w:val="000000"/>
                <w:lang w:eastAsia="es-DO"/>
              </w:rPr>
              <w:t xml:space="preserve">Precipitación </w:t>
            </w:r>
            <w:r>
              <w:rPr>
                <w:rFonts w:ascii="Times New Roman" w:hAnsi="Times New Roman"/>
                <w:bCs/>
                <w:color w:val="00000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9D8DED8"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17.1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FE9CAD4"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17.5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716EFFF"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134.6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601E055"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126.5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107D66D"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188.8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4B9DA41"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41.1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8F6D478"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72.6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041C5F3"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57.1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653EAA0"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175.6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C5CAC74"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100.9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A50BE0C"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73.9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697BF62"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7695D117" w14:textId="77777777" w:rsidR="00A57704" w:rsidRPr="004D642A" w:rsidRDefault="00A57704" w:rsidP="00A57704">
            <w:pPr>
              <w:spacing w:after="0"/>
              <w:jc w:val="center"/>
              <w:rPr>
                <w:rFonts w:ascii="Times New Roman" w:hAnsi="Times New Roman"/>
                <w:bCs/>
                <w:lang w:eastAsia="es-DO"/>
              </w:rPr>
            </w:pPr>
            <w:r>
              <w:rPr>
                <w:rFonts w:ascii="Times New Roman" w:hAnsi="Times New Roman"/>
                <w:bCs/>
                <w:lang w:eastAsia="es-DO"/>
              </w:rPr>
              <w:t>1,005.7</w:t>
            </w:r>
          </w:p>
        </w:tc>
      </w:tr>
      <w:tr w:rsidR="00A57704" w:rsidRPr="004D642A" w14:paraId="49EA4D36"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4A495" w14:textId="77777777" w:rsidR="00A57704" w:rsidRPr="004D642A" w:rsidRDefault="00A57704" w:rsidP="00A57704">
            <w:pPr>
              <w:spacing w:after="0"/>
              <w:rPr>
                <w:rFonts w:ascii="Times New Roman" w:hAnsi="Times New Roman"/>
                <w:bCs/>
                <w:color w:val="000000"/>
                <w:lang w:eastAsia="es-DO"/>
              </w:rPr>
            </w:pPr>
            <w:r w:rsidRPr="004D642A">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12AA7BE"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-82.2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C720608"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-79.4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D5E2ADC"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30.4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09F1E7B"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-17.3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360FF04"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B242E58"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-48.9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612CEF1"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-21.6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A99DFD2"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-48.1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C2C672F"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39.9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E7F657E"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-37.4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8657083"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-51.1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69A0DFC" w14:textId="77777777" w:rsidR="00A57704" w:rsidRPr="004D642A"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4F173F75" w14:textId="77777777" w:rsidR="00A57704" w:rsidRPr="004D642A" w:rsidRDefault="00A57704" w:rsidP="00A57704">
            <w:pPr>
              <w:spacing w:after="0"/>
              <w:jc w:val="center"/>
              <w:rPr>
                <w:rFonts w:ascii="Times New Roman" w:hAnsi="Times New Roman"/>
                <w:bCs/>
                <w:lang w:eastAsia="es-DO"/>
              </w:rPr>
            </w:pPr>
            <w:r w:rsidRPr="004D642A">
              <w:rPr>
                <w:rFonts w:ascii="Times New Roman" w:hAnsi="Times New Roman"/>
                <w:bCs/>
                <w:lang w:eastAsia="es-DO"/>
              </w:rPr>
              <w:t>-2.6</w:t>
            </w:r>
          </w:p>
        </w:tc>
      </w:tr>
    </w:tbl>
    <w:p w14:paraId="3CA0E510" w14:textId="77777777" w:rsidR="00A57704" w:rsidRPr="00C83490" w:rsidRDefault="00A57704" w:rsidP="00A57704">
      <w:pPr>
        <w:spacing w:after="0"/>
        <w:rPr>
          <w:rFonts w:ascii="Times New Roman" w:hAnsi="Times New Roman"/>
        </w:rPr>
        <w:sectPr w:rsidR="00A57704" w:rsidRPr="00C83490" w:rsidSect="00A57704">
          <w:type w:val="continuous"/>
          <w:pgSz w:w="15840" w:h="12240" w:orient="landscape"/>
          <w:pgMar w:top="1276" w:right="851" w:bottom="851" w:left="1440" w:header="720" w:footer="720" w:gutter="0"/>
          <w:cols w:space="720"/>
          <w:docGrid w:linePitch="360"/>
        </w:sectPr>
      </w:pPr>
    </w:p>
    <w:p w14:paraId="0380657E" w14:textId="77777777" w:rsidR="00A57704" w:rsidRPr="00C83490" w:rsidRDefault="00A57704" w:rsidP="00A57704">
      <w:pPr>
        <w:spacing w:after="0"/>
        <w:rPr>
          <w:rFonts w:ascii="Times New Roman" w:hAnsi="Times New Roman"/>
        </w:rPr>
      </w:pPr>
    </w:p>
    <w:p w14:paraId="6FC23B9B"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La Vega</w:t>
      </w:r>
    </w:p>
    <w:p w14:paraId="0975A94A" w14:textId="77777777" w:rsidR="00A57704" w:rsidRPr="009E58FD" w:rsidRDefault="00A57704" w:rsidP="00A57704">
      <w:pPr>
        <w:spacing w:after="0"/>
        <w:rPr>
          <w:rFonts w:ascii="Times New Roman" w:hAnsi="Times New Roman"/>
        </w:rPr>
      </w:pPr>
      <w:r>
        <w:rPr>
          <w:noProof/>
          <w:lang w:eastAsia="es-DO"/>
        </w:rPr>
        <w:drawing>
          <wp:inline distT="0" distB="0" distL="0" distR="0" wp14:anchorId="48DAEDE1" wp14:editId="7FC9B846">
            <wp:extent cx="3609975" cy="1800225"/>
            <wp:effectExtent l="0" t="0" r="0" b="0"/>
            <wp:docPr id="265" name="Gráfico 265">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799F42D3-CBC6-432B-A4E7-CF55600250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14:paraId="01EC38A7" w14:textId="77777777" w:rsidR="00A57704" w:rsidRPr="002D5B20" w:rsidRDefault="00A57704" w:rsidP="00A57704">
      <w:pPr>
        <w:spacing w:after="0"/>
        <w:rPr>
          <w:rFonts w:ascii="Times New Roman" w:hAnsi="Times New Roman"/>
          <w:sz w:val="4"/>
        </w:rPr>
      </w:pPr>
    </w:p>
    <w:p w14:paraId="5E461E0E" w14:textId="77777777" w:rsidR="00A57704" w:rsidRPr="002D5B20" w:rsidRDefault="00A57704" w:rsidP="00A57704">
      <w:pPr>
        <w:spacing w:after="0"/>
        <w:rPr>
          <w:rFonts w:ascii="Times New Roman" w:hAnsi="Times New Roman"/>
          <w:sz w:val="4"/>
        </w:rPr>
      </w:pPr>
    </w:p>
    <w:p w14:paraId="42FBF28E" w14:textId="77777777" w:rsidR="00A57704" w:rsidRPr="002D5B20" w:rsidRDefault="00A57704" w:rsidP="00A57704">
      <w:pPr>
        <w:spacing w:after="0"/>
        <w:rPr>
          <w:rFonts w:ascii="Times New Roman" w:hAnsi="Times New Roman"/>
          <w:sz w:val="4"/>
        </w:rPr>
      </w:pPr>
    </w:p>
    <w:p w14:paraId="5694F88B" w14:textId="77777777" w:rsidR="00A57704" w:rsidRPr="002D5B20" w:rsidRDefault="00A57704" w:rsidP="00A57704">
      <w:pPr>
        <w:spacing w:after="0"/>
        <w:rPr>
          <w:rFonts w:ascii="Times New Roman" w:hAnsi="Times New Roman"/>
        </w:rPr>
      </w:pPr>
    </w:p>
    <w:p w14:paraId="2C0FC6DC"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744CC202"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0DDAF125" wp14:editId="7F930AD9">
            <wp:extent cx="3599815" cy="1676400"/>
            <wp:effectExtent l="0" t="0" r="635" b="0"/>
            <wp:docPr id="266" name="Gráfico 266">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62A42BF1-EEE7-4A0B-92BD-CE42525F2A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tbl>
      <w:tblPr>
        <w:tblW w:w="12704" w:type="dxa"/>
        <w:tblInd w:w="-5" w:type="dxa"/>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A57704" w:rsidRPr="004D642A" w14:paraId="7B37D181"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3FBBA9A2" w14:textId="77777777" w:rsidR="00A57704" w:rsidRPr="00BC5AB8" w:rsidRDefault="00A57704" w:rsidP="00BC5AB8">
            <w:pPr>
              <w:spacing w:after="0"/>
              <w:jc w:val="center"/>
              <w:rPr>
                <w:rFonts w:ascii="Times New Roman" w:hAnsi="Times New Roman"/>
                <w:b/>
                <w:color w:val="FFFFFF" w:themeColor="background1"/>
              </w:rPr>
            </w:pPr>
            <w:r w:rsidRPr="00BC5AB8">
              <w:rPr>
                <w:rFonts w:ascii="Times New Roman" w:hAnsi="Times New Roman"/>
                <w:b/>
                <w:color w:val="FFFFFF" w:themeColor="background1"/>
              </w:rPr>
              <w:t>Salcedo</w:t>
            </w:r>
          </w:p>
        </w:tc>
        <w:tc>
          <w:tcPr>
            <w:tcW w:w="760" w:type="dxa"/>
            <w:tcBorders>
              <w:top w:val="single" w:sz="4" w:space="0" w:color="auto"/>
              <w:left w:val="nil"/>
              <w:bottom w:val="single" w:sz="4" w:space="0" w:color="auto"/>
              <w:right w:val="single" w:sz="4" w:space="0" w:color="auto"/>
            </w:tcBorders>
            <w:shd w:val="clear" w:color="auto" w:fill="00B050"/>
            <w:noWrap/>
            <w:vAlign w:val="center"/>
            <w:hideMark/>
          </w:tcPr>
          <w:p w14:paraId="1D677CB4" w14:textId="77777777" w:rsidR="00A57704" w:rsidRPr="00BC5AB8" w:rsidRDefault="00A57704" w:rsidP="00BC5AB8">
            <w:pPr>
              <w:spacing w:after="0"/>
              <w:jc w:val="center"/>
              <w:rPr>
                <w:rFonts w:ascii="Times New Roman" w:hAnsi="Times New Roman"/>
                <w:b/>
                <w:color w:val="FFFFFF" w:themeColor="background1"/>
              </w:rPr>
            </w:pPr>
            <w:r w:rsidRPr="00BC5AB8">
              <w:rPr>
                <w:rFonts w:ascii="Times New Roman" w:hAnsi="Times New Roman"/>
                <w:b/>
                <w:color w:val="FFFFFF" w:themeColor="background1"/>
              </w:rPr>
              <w:t>Ene</w:t>
            </w:r>
          </w:p>
        </w:tc>
        <w:tc>
          <w:tcPr>
            <w:tcW w:w="760" w:type="dxa"/>
            <w:tcBorders>
              <w:top w:val="single" w:sz="4" w:space="0" w:color="auto"/>
              <w:left w:val="nil"/>
              <w:bottom w:val="single" w:sz="4" w:space="0" w:color="auto"/>
              <w:right w:val="single" w:sz="4" w:space="0" w:color="auto"/>
            </w:tcBorders>
            <w:shd w:val="clear" w:color="auto" w:fill="00B050"/>
            <w:noWrap/>
            <w:vAlign w:val="center"/>
            <w:hideMark/>
          </w:tcPr>
          <w:p w14:paraId="2627B87E" w14:textId="77777777" w:rsidR="00A57704" w:rsidRPr="00BC5AB8" w:rsidRDefault="00A57704" w:rsidP="00BC5AB8">
            <w:pPr>
              <w:spacing w:after="0"/>
              <w:jc w:val="center"/>
              <w:rPr>
                <w:rFonts w:ascii="Times New Roman" w:hAnsi="Times New Roman"/>
                <w:b/>
                <w:color w:val="FFFFFF" w:themeColor="background1"/>
              </w:rPr>
            </w:pPr>
            <w:r w:rsidRPr="00BC5AB8">
              <w:rPr>
                <w:rFonts w:ascii="Times New Roman" w:hAnsi="Times New Roman"/>
                <w:b/>
                <w:color w:val="FFFFFF" w:themeColor="background1"/>
              </w:rPr>
              <w:t>Feb</w:t>
            </w:r>
          </w:p>
        </w:tc>
        <w:tc>
          <w:tcPr>
            <w:tcW w:w="720" w:type="dxa"/>
            <w:tcBorders>
              <w:top w:val="single" w:sz="4" w:space="0" w:color="auto"/>
              <w:left w:val="nil"/>
              <w:bottom w:val="single" w:sz="4" w:space="0" w:color="auto"/>
              <w:right w:val="single" w:sz="4" w:space="0" w:color="auto"/>
            </w:tcBorders>
            <w:shd w:val="clear" w:color="auto" w:fill="00B050"/>
            <w:noWrap/>
            <w:vAlign w:val="center"/>
            <w:hideMark/>
          </w:tcPr>
          <w:p w14:paraId="5CDD8EF7" w14:textId="77777777" w:rsidR="00A57704" w:rsidRPr="00BC5AB8" w:rsidRDefault="00A57704" w:rsidP="00BC5AB8">
            <w:pPr>
              <w:spacing w:after="0"/>
              <w:jc w:val="center"/>
              <w:rPr>
                <w:rFonts w:ascii="Times New Roman" w:hAnsi="Times New Roman"/>
                <w:b/>
                <w:color w:val="FFFFFF" w:themeColor="background1"/>
              </w:rPr>
            </w:pPr>
            <w:r w:rsidRPr="00BC5AB8">
              <w:rPr>
                <w:rFonts w:ascii="Times New Roman" w:hAnsi="Times New Roman"/>
                <w:b/>
                <w:color w:val="FFFFFF" w:themeColor="background1"/>
              </w:rPr>
              <w:t>Mar</w:t>
            </w:r>
          </w:p>
        </w:tc>
        <w:tc>
          <w:tcPr>
            <w:tcW w:w="820" w:type="dxa"/>
            <w:tcBorders>
              <w:top w:val="single" w:sz="4" w:space="0" w:color="auto"/>
              <w:left w:val="nil"/>
              <w:bottom w:val="single" w:sz="4" w:space="0" w:color="auto"/>
              <w:right w:val="single" w:sz="4" w:space="0" w:color="auto"/>
            </w:tcBorders>
            <w:shd w:val="clear" w:color="auto" w:fill="00B050"/>
            <w:noWrap/>
            <w:vAlign w:val="center"/>
            <w:hideMark/>
          </w:tcPr>
          <w:p w14:paraId="3AC287BA" w14:textId="77777777" w:rsidR="00A57704" w:rsidRPr="00BC5AB8" w:rsidRDefault="00A57704" w:rsidP="00BC5AB8">
            <w:pPr>
              <w:spacing w:after="0"/>
              <w:jc w:val="center"/>
              <w:rPr>
                <w:rFonts w:ascii="Times New Roman" w:hAnsi="Times New Roman"/>
                <w:b/>
                <w:color w:val="FFFFFF" w:themeColor="background1"/>
              </w:rPr>
            </w:pPr>
            <w:r w:rsidRPr="00BC5AB8">
              <w:rPr>
                <w:rFonts w:ascii="Times New Roman" w:hAnsi="Times New Roman"/>
                <w:b/>
                <w:color w:val="FFFFFF" w:themeColor="background1"/>
              </w:rPr>
              <w:t>Abr</w:t>
            </w:r>
          </w:p>
        </w:tc>
        <w:tc>
          <w:tcPr>
            <w:tcW w:w="820" w:type="dxa"/>
            <w:tcBorders>
              <w:top w:val="single" w:sz="4" w:space="0" w:color="auto"/>
              <w:left w:val="nil"/>
              <w:bottom w:val="single" w:sz="4" w:space="0" w:color="auto"/>
              <w:right w:val="single" w:sz="4" w:space="0" w:color="auto"/>
            </w:tcBorders>
            <w:shd w:val="clear" w:color="auto" w:fill="00B050"/>
            <w:noWrap/>
            <w:vAlign w:val="center"/>
            <w:hideMark/>
          </w:tcPr>
          <w:p w14:paraId="53DDB6EC" w14:textId="77777777" w:rsidR="00A57704" w:rsidRPr="00BC5AB8" w:rsidRDefault="00A57704" w:rsidP="00BC5AB8">
            <w:pPr>
              <w:spacing w:after="0"/>
              <w:jc w:val="center"/>
              <w:rPr>
                <w:rFonts w:ascii="Times New Roman" w:hAnsi="Times New Roman"/>
                <w:b/>
                <w:color w:val="FFFFFF" w:themeColor="background1"/>
              </w:rPr>
            </w:pPr>
            <w:r w:rsidRPr="00BC5AB8">
              <w:rPr>
                <w:rFonts w:ascii="Times New Roman" w:hAnsi="Times New Roman"/>
                <w:b/>
                <w:color w:val="FFFFFF" w:themeColor="background1"/>
              </w:rPr>
              <w:t>May</w:t>
            </w:r>
          </w:p>
        </w:tc>
        <w:tc>
          <w:tcPr>
            <w:tcW w:w="820" w:type="dxa"/>
            <w:tcBorders>
              <w:top w:val="single" w:sz="4" w:space="0" w:color="auto"/>
              <w:left w:val="nil"/>
              <w:bottom w:val="single" w:sz="4" w:space="0" w:color="auto"/>
              <w:right w:val="single" w:sz="4" w:space="0" w:color="auto"/>
            </w:tcBorders>
            <w:shd w:val="clear" w:color="auto" w:fill="00B050"/>
            <w:noWrap/>
            <w:vAlign w:val="center"/>
            <w:hideMark/>
          </w:tcPr>
          <w:p w14:paraId="7BBF5917" w14:textId="77777777" w:rsidR="00A57704" w:rsidRPr="00BC5AB8" w:rsidRDefault="00A57704" w:rsidP="00BC5AB8">
            <w:pPr>
              <w:spacing w:after="0"/>
              <w:jc w:val="center"/>
              <w:rPr>
                <w:rFonts w:ascii="Times New Roman" w:hAnsi="Times New Roman"/>
                <w:b/>
                <w:color w:val="FFFFFF" w:themeColor="background1"/>
              </w:rPr>
            </w:pPr>
            <w:r w:rsidRPr="00BC5AB8">
              <w:rPr>
                <w:rFonts w:ascii="Times New Roman" w:hAnsi="Times New Roman"/>
                <w:b/>
                <w:color w:val="FFFFFF" w:themeColor="background1"/>
              </w:rPr>
              <w:t>Jun</w:t>
            </w:r>
          </w:p>
        </w:tc>
        <w:tc>
          <w:tcPr>
            <w:tcW w:w="760" w:type="dxa"/>
            <w:tcBorders>
              <w:top w:val="single" w:sz="4" w:space="0" w:color="auto"/>
              <w:left w:val="nil"/>
              <w:bottom w:val="single" w:sz="4" w:space="0" w:color="auto"/>
              <w:right w:val="single" w:sz="4" w:space="0" w:color="auto"/>
            </w:tcBorders>
            <w:shd w:val="clear" w:color="auto" w:fill="00B050"/>
            <w:noWrap/>
            <w:vAlign w:val="center"/>
            <w:hideMark/>
          </w:tcPr>
          <w:p w14:paraId="76C9D3FE" w14:textId="77777777" w:rsidR="00A57704" w:rsidRPr="00BC5AB8" w:rsidRDefault="00A57704" w:rsidP="00BC5AB8">
            <w:pPr>
              <w:spacing w:after="0"/>
              <w:jc w:val="center"/>
              <w:rPr>
                <w:rFonts w:ascii="Times New Roman" w:hAnsi="Times New Roman"/>
                <w:b/>
                <w:color w:val="FFFFFF" w:themeColor="background1"/>
              </w:rPr>
            </w:pPr>
            <w:r w:rsidRPr="00BC5AB8">
              <w:rPr>
                <w:rFonts w:ascii="Times New Roman" w:hAnsi="Times New Roman"/>
                <w:b/>
                <w:color w:val="FFFFFF" w:themeColor="background1"/>
              </w:rPr>
              <w:t>Jul</w:t>
            </w:r>
          </w:p>
        </w:tc>
        <w:tc>
          <w:tcPr>
            <w:tcW w:w="820" w:type="dxa"/>
            <w:tcBorders>
              <w:top w:val="single" w:sz="4" w:space="0" w:color="auto"/>
              <w:left w:val="nil"/>
              <w:bottom w:val="single" w:sz="4" w:space="0" w:color="auto"/>
              <w:right w:val="single" w:sz="4" w:space="0" w:color="auto"/>
            </w:tcBorders>
            <w:shd w:val="clear" w:color="auto" w:fill="00B050"/>
            <w:noWrap/>
            <w:vAlign w:val="center"/>
            <w:hideMark/>
          </w:tcPr>
          <w:p w14:paraId="37D6B53B" w14:textId="77777777" w:rsidR="00A57704" w:rsidRPr="00BC5AB8" w:rsidRDefault="00A57704" w:rsidP="00BC5AB8">
            <w:pPr>
              <w:spacing w:after="0"/>
              <w:jc w:val="center"/>
              <w:rPr>
                <w:rFonts w:ascii="Times New Roman" w:hAnsi="Times New Roman"/>
                <w:b/>
                <w:color w:val="FFFFFF" w:themeColor="background1"/>
              </w:rPr>
            </w:pPr>
            <w:r w:rsidRPr="00BC5AB8">
              <w:rPr>
                <w:rFonts w:ascii="Times New Roman" w:hAnsi="Times New Roman"/>
                <w:b/>
                <w:color w:val="FFFFFF" w:themeColor="background1"/>
              </w:rPr>
              <w:t>Ago</w:t>
            </w:r>
          </w:p>
        </w:tc>
        <w:tc>
          <w:tcPr>
            <w:tcW w:w="820" w:type="dxa"/>
            <w:tcBorders>
              <w:top w:val="single" w:sz="4" w:space="0" w:color="auto"/>
              <w:left w:val="nil"/>
              <w:bottom w:val="single" w:sz="4" w:space="0" w:color="auto"/>
              <w:right w:val="single" w:sz="4" w:space="0" w:color="auto"/>
            </w:tcBorders>
            <w:shd w:val="clear" w:color="auto" w:fill="00B050"/>
            <w:noWrap/>
            <w:vAlign w:val="center"/>
            <w:hideMark/>
          </w:tcPr>
          <w:p w14:paraId="42F358F2" w14:textId="77777777" w:rsidR="00A57704" w:rsidRPr="00BC5AB8" w:rsidRDefault="00A57704" w:rsidP="00BC5AB8">
            <w:pPr>
              <w:spacing w:after="0"/>
              <w:jc w:val="center"/>
              <w:rPr>
                <w:rFonts w:ascii="Times New Roman" w:hAnsi="Times New Roman"/>
                <w:b/>
                <w:color w:val="FFFFFF" w:themeColor="background1"/>
              </w:rPr>
            </w:pPr>
            <w:r w:rsidRPr="00BC5AB8">
              <w:rPr>
                <w:rFonts w:ascii="Times New Roman" w:hAnsi="Times New Roman"/>
                <w:b/>
                <w:color w:val="FFFFFF" w:themeColor="background1"/>
              </w:rPr>
              <w:t>Sep</w:t>
            </w:r>
          </w:p>
        </w:tc>
        <w:tc>
          <w:tcPr>
            <w:tcW w:w="820" w:type="dxa"/>
            <w:tcBorders>
              <w:top w:val="single" w:sz="4" w:space="0" w:color="auto"/>
              <w:left w:val="nil"/>
              <w:bottom w:val="single" w:sz="4" w:space="0" w:color="auto"/>
              <w:right w:val="single" w:sz="4" w:space="0" w:color="auto"/>
            </w:tcBorders>
            <w:shd w:val="clear" w:color="auto" w:fill="00B050"/>
            <w:noWrap/>
            <w:vAlign w:val="center"/>
            <w:hideMark/>
          </w:tcPr>
          <w:p w14:paraId="0CA824D1" w14:textId="77777777" w:rsidR="00A57704" w:rsidRPr="00BC5AB8" w:rsidRDefault="00A57704" w:rsidP="00BC5AB8">
            <w:pPr>
              <w:spacing w:after="0"/>
              <w:jc w:val="center"/>
              <w:rPr>
                <w:rFonts w:ascii="Times New Roman" w:hAnsi="Times New Roman"/>
                <w:b/>
                <w:color w:val="FFFFFF" w:themeColor="background1"/>
              </w:rPr>
            </w:pPr>
            <w:r w:rsidRPr="00BC5AB8">
              <w:rPr>
                <w:rFonts w:ascii="Times New Roman" w:hAnsi="Times New Roman"/>
                <w:b/>
                <w:color w:val="FFFFFF" w:themeColor="background1"/>
              </w:rPr>
              <w:t>Oct</w:t>
            </w:r>
          </w:p>
        </w:tc>
        <w:tc>
          <w:tcPr>
            <w:tcW w:w="760" w:type="dxa"/>
            <w:tcBorders>
              <w:top w:val="single" w:sz="4" w:space="0" w:color="auto"/>
              <w:left w:val="nil"/>
              <w:bottom w:val="single" w:sz="4" w:space="0" w:color="auto"/>
              <w:right w:val="single" w:sz="4" w:space="0" w:color="auto"/>
            </w:tcBorders>
            <w:shd w:val="clear" w:color="auto" w:fill="00B050"/>
            <w:noWrap/>
            <w:vAlign w:val="center"/>
            <w:hideMark/>
          </w:tcPr>
          <w:p w14:paraId="299924CB" w14:textId="77777777" w:rsidR="00A57704" w:rsidRPr="00BC5AB8" w:rsidRDefault="00A57704" w:rsidP="00BC5AB8">
            <w:pPr>
              <w:spacing w:after="0"/>
              <w:jc w:val="center"/>
              <w:rPr>
                <w:rFonts w:ascii="Times New Roman" w:hAnsi="Times New Roman"/>
                <w:b/>
                <w:color w:val="FFFFFF" w:themeColor="background1"/>
              </w:rPr>
            </w:pPr>
            <w:r w:rsidRPr="00BC5AB8">
              <w:rPr>
                <w:rFonts w:ascii="Times New Roman" w:hAnsi="Times New Roman"/>
                <w:b/>
                <w:color w:val="FFFFFF" w:themeColor="background1"/>
              </w:rPr>
              <w:t>Nov</w:t>
            </w:r>
          </w:p>
        </w:tc>
        <w:tc>
          <w:tcPr>
            <w:tcW w:w="720" w:type="dxa"/>
            <w:tcBorders>
              <w:top w:val="single" w:sz="4" w:space="0" w:color="auto"/>
              <w:left w:val="nil"/>
              <w:bottom w:val="single" w:sz="4" w:space="0" w:color="auto"/>
              <w:right w:val="single" w:sz="4" w:space="0" w:color="auto"/>
            </w:tcBorders>
            <w:shd w:val="clear" w:color="auto" w:fill="00B050"/>
            <w:noWrap/>
            <w:vAlign w:val="center"/>
            <w:hideMark/>
          </w:tcPr>
          <w:p w14:paraId="7325426E" w14:textId="77777777" w:rsidR="00A57704" w:rsidRPr="00BC5AB8" w:rsidRDefault="00A57704" w:rsidP="00BC5AB8">
            <w:pPr>
              <w:spacing w:after="0"/>
              <w:jc w:val="center"/>
              <w:rPr>
                <w:rFonts w:ascii="Times New Roman" w:hAnsi="Times New Roman"/>
                <w:b/>
                <w:color w:val="FFFFFF" w:themeColor="background1"/>
              </w:rPr>
            </w:pPr>
            <w:r w:rsidRPr="00BC5AB8">
              <w:rPr>
                <w:rFonts w:ascii="Times New Roman" w:hAnsi="Times New Roman"/>
                <w:b/>
                <w:color w:val="FFFFFF" w:themeColor="background1"/>
              </w:rPr>
              <w:t>Dic</w:t>
            </w:r>
          </w:p>
        </w:tc>
        <w:tc>
          <w:tcPr>
            <w:tcW w:w="1100" w:type="dxa"/>
            <w:tcBorders>
              <w:top w:val="single" w:sz="4" w:space="0" w:color="auto"/>
              <w:left w:val="nil"/>
              <w:bottom w:val="single" w:sz="4" w:space="0" w:color="auto"/>
              <w:right w:val="single" w:sz="4" w:space="0" w:color="auto"/>
            </w:tcBorders>
            <w:shd w:val="clear" w:color="auto" w:fill="00B050"/>
            <w:noWrap/>
            <w:vAlign w:val="center"/>
            <w:hideMark/>
          </w:tcPr>
          <w:p w14:paraId="7772691F" w14:textId="77777777" w:rsidR="00A57704" w:rsidRPr="00BC5AB8" w:rsidRDefault="00A57704" w:rsidP="00BC5AB8">
            <w:pPr>
              <w:spacing w:after="0"/>
              <w:jc w:val="center"/>
              <w:rPr>
                <w:rFonts w:ascii="Times New Roman" w:hAnsi="Times New Roman"/>
                <w:b/>
                <w:color w:val="FFFFFF" w:themeColor="background1"/>
              </w:rPr>
            </w:pPr>
            <w:r w:rsidRPr="00BC5AB8">
              <w:rPr>
                <w:rFonts w:ascii="Times New Roman" w:hAnsi="Times New Roman"/>
                <w:b/>
                <w:color w:val="FFFFFF" w:themeColor="background1"/>
              </w:rPr>
              <w:t>Año</w:t>
            </w:r>
          </w:p>
        </w:tc>
      </w:tr>
      <w:tr w:rsidR="00A57704" w:rsidRPr="004D642A" w14:paraId="1721C483"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276D3CD3" w14:textId="77777777" w:rsidR="00A57704" w:rsidRPr="004D642A" w:rsidRDefault="00A57704" w:rsidP="00A57704">
            <w:pPr>
              <w:spacing w:after="0"/>
              <w:rPr>
                <w:rFonts w:ascii="Times New Roman" w:hAnsi="Times New Roman"/>
              </w:rPr>
            </w:pPr>
            <w:r w:rsidRPr="004D642A">
              <w:rPr>
                <w:rFonts w:ascii="Times New Roman" w:hAnsi="Times New Roman"/>
              </w:rPr>
              <w:t>Normal</w:t>
            </w:r>
          </w:p>
        </w:tc>
        <w:tc>
          <w:tcPr>
            <w:tcW w:w="760" w:type="dxa"/>
            <w:tcBorders>
              <w:top w:val="single" w:sz="4" w:space="0" w:color="auto"/>
              <w:left w:val="nil"/>
              <w:bottom w:val="single" w:sz="4" w:space="0" w:color="auto"/>
              <w:right w:val="single" w:sz="4" w:space="0" w:color="auto"/>
            </w:tcBorders>
            <w:shd w:val="clear" w:color="auto" w:fill="auto"/>
            <w:noWrap/>
            <w:hideMark/>
          </w:tcPr>
          <w:p w14:paraId="24C320FA" w14:textId="77777777" w:rsidR="00A57704" w:rsidRPr="004D642A" w:rsidRDefault="00A57704" w:rsidP="00A57704">
            <w:pPr>
              <w:spacing w:after="0"/>
              <w:jc w:val="center"/>
              <w:rPr>
                <w:rFonts w:ascii="Times New Roman" w:hAnsi="Times New Roman"/>
              </w:rPr>
            </w:pPr>
            <w:r w:rsidRPr="004D642A">
              <w:rPr>
                <w:rFonts w:ascii="Times New Roman" w:hAnsi="Times New Roman"/>
              </w:rPr>
              <w:t>92.0</w:t>
            </w:r>
          </w:p>
        </w:tc>
        <w:tc>
          <w:tcPr>
            <w:tcW w:w="760" w:type="dxa"/>
            <w:tcBorders>
              <w:top w:val="single" w:sz="4" w:space="0" w:color="auto"/>
              <w:left w:val="nil"/>
              <w:bottom w:val="single" w:sz="4" w:space="0" w:color="auto"/>
              <w:right w:val="single" w:sz="4" w:space="0" w:color="auto"/>
            </w:tcBorders>
            <w:shd w:val="clear" w:color="auto" w:fill="auto"/>
            <w:noWrap/>
            <w:hideMark/>
          </w:tcPr>
          <w:p w14:paraId="6CD4E4BE" w14:textId="77777777" w:rsidR="00A57704" w:rsidRPr="004D642A" w:rsidRDefault="00A57704" w:rsidP="00A57704">
            <w:pPr>
              <w:spacing w:after="0"/>
              <w:jc w:val="center"/>
              <w:rPr>
                <w:rFonts w:ascii="Times New Roman" w:hAnsi="Times New Roman"/>
              </w:rPr>
            </w:pPr>
            <w:r w:rsidRPr="004D642A">
              <w:rPr>
                <w:rFonts w:ascii="Times New Roman" w:hAnsi="Times New Roman"/>
              </w:rPr>
              <w:t>71.5</w:t>
            </w:r>
          </w:p>
        </w:tc>
        <w:tc>
          <w:tcPr>
            <w:tcW w:w="720" w:type="dxa"/>
            <w:tcBorders>
              <w:top w:val="single" w:sz="4" w:space="0" w:color="auto"/>
              <w:left w:val="nil"/>
              <w:bottom w:val="single" w:sz="4" w:space="0" w:color="auto"/>
              <w:right w:val="single" w:sz="4" w:space="0" w:color="auto"/>
            </w:tcBorders>
            <w:shd w:val="clear" w:color="auto" w:fill="auto"/>
            <w:noWrap/>
            <w:hideMark/>
          </w:tcPr>
          <w:p w14:paraId="3E5849A1" w14:textId="77777777" w:rsidR="00A57704" w:rsidRPr="004D642A" w:rsidRDefault="00A57704" w:rsidP="00A57704">
            <w:pPr>
              <w:spacing w:after="0"/>
              <w:jc w:val="center"/>
              <w:rPr>
                <w:rFonts w:ascii="Times New Roman" w:hAnsi="Times New Roman"/>
              </w:rPr>
            </w:pPr>
            <w:r w:rsidRPr="004D642A">
              <w:rPr>
                <w:rFonts w:ascii="Times New Roman" w:hAnsi="Times New Roman"/>
              </w:rPr>
              <w:t>80.8</w:t>
            </w:r>
          </w:p>
        </w:tc>
        <w:tc>
          <w:tcPr>
            <w:tcW w:w="820" w:type="dxa"/>
            <w:tcBorders>
              <w:top w:val="single" w:sz="4" w:space="0" w:color="auto"/>
              <w:left w:val="nil"/>
              <w:bottom w:val="single" w:sz="4" w:space="0" w:color="auto"/>
              <w:right w:val="single" w:sz="4" w:space="0" w:color="auto"/>
            </w:tcBorders>
            <w:shd w:val="clear" w:color="auto" w:fill="auto"/>
            <w:noWrap/>
            <w:hideMark/>
          </w:tcPr>
          <w:p w14:paraId="5C0D8206" w14:textId="77777777" w:rsidR="00A57704" w:rsidRPr="004D642A" w:rsidRDefault="00A57704" w:rsidP="00A57704">
            <w:pPr>
              <w:spacing w:after="0"/>
              <w:jc w:val="center"/>
              <w:rPr>
                <w:rFonts w:ascii="Times New Roman" w:hAnsi="Times New Roman"/>
              </w:rPr>
            </w:pPr>
            <w:r w:rsidRPr="004D642A">
              <w:rPr>
                <w:rFonts w:ascii="Times New Roman" w:hAnsi="Times New Roman"/>
              </w:rPr>
              <w:t>111.7</w:t>
            </w:r>
          </w:p>
        </w:tc>
        <w:tc>
          <w:tcPr>
            <w:tcW w:w="820" w:type="dxa"/>
            <w:tcBorders>
              <w:top w:val="single" w:sz="4" w:space="0" w:color="auto"/>
              <w:left w:val="nil"/>
              <w:bottom w:val="single" w:sz="4" w:space="0" w:color="auto"/>
              <w:right w:val="single" w:sz="4" w:space="0" w:color="auto"/>
            </w:tcBorders>
            <w:shd w:val="clear" w:color="auto" w:fill="auto"/>
            <w:noWrap/>
            <w:hideMark/>
          </w:tcPr>
          <w:p w14:paraId="0D420689" w14:textId="77777777" w:rsidR="00A57704" w:rsidRPr="004D642A" w:rsidRDefault="00A57704" w:rsidP="00A57704">
            <w:pPr>
              <w:spacing w:after="0"/>
              <w:jc w:val="center"/>
              <w:rPr>
                <w:rFonts w:ascii="Times New Roman" w:hAnsi="Times New Roman"/>
              </w:rPr>
            </w:pPr>
            <w:r w:rsidRPr="004D642A">
              <w:rPr>
                <w:rFonts w:ascii="Times New Roman" w:hAnsi="Times New Roman"/>
              </w:rPr>
              <w:t>144.1</w:t>
            </w:r>
          </w:p>
        </w:tc>
        <w:tc>
          <w:tcPr>
            <w:tcW w:w="820" w:type="dxa"/>
            <w:tcBorders>
              <w:top w:val="single" w:sz="4" w:space="0" w:color="auto"/>
              <w:left w:val="nil"/>
              <w:bottom w:val="single" w:sz="4" w:space="0" w:color="auto"/>
              <w:right w:val="single" w:sz="4" w:space="0" w:color="auto"/>
            </w:tcBorders>
            <w:shd w:val="clear" w:color="auto" w:fill="auto"/>
            <w:noWrap/>
            <w:hideMark/>
          </w:tcPr>
          <w:p w14:paraId="39016DE4" w14:textId="77777777" w:rsidR="00A57704" w:rsidRPr="004D642A" w:rsidRDefault="00A57704" w:rsidP="00A57704">
            <w:pPr>
              <w:spacing w:after="0"/>
              <w:jc w:val="center"/>
              <w:rPr>
                <w:rFonts w:ascii="Times New Roman" w:hAnsi="Times New Roman"/>
              </w:rPr>
            </w:pPr>
            <w:r w:rsidRPr="004D642A">
              <w:rPr>
                <w:rFonts w:ascii="Times New Roman" w:hAnsi="Times New Roman"/>
              </w:rPr>
              <w:t>81.4</w:t>
            </w:r>
          </w:p>
        </w:tc>
        <w:tc>
          <w:tcPr>
            <w:tcW w:w="760" w:type="dxa"/>
            <w:tcBorders>
              <w:top w:val="single" w:sz="4" w:space="0" w:color="auto"/>
              <w:left w:val="nil"/>
              <w:bottom w:val="single" w:sz="4" w:space="0" w:color="auto"/>
              <w:right w:val="single" w:sz="4" w:space="0" w:color="auto"/>
            </w:tcBorders>
            <w:shd w:val="clear" w:color="auto" w:fill="auto"/>
            <w:noWrap/>
            <w:hideMark/>
          </w:tcPr>
          <w:p w14:paraId="06E19F8B" w14:textId="77777777" w:rsidR="00A57704" w:rsidRPr="004D642A" w:rsidRDefault="00A57704" w:rsidP="00A57704">
            <w:pPr>
              <w:spacing w:after="0"/>
              <w:jc w:val="center"/>
              <w:rPr>
                <w:rFonts w:ascii="Times New Roman" w:hAnsi="Times New Roman"/>
              </w:rPr>
            </w:pPr>
            <w:r w:rsidRPr="004D642A">
              <w:rPr>
                <w:rFonts w:ascii="Times New Roman" w:hAnsi="Times New Roman"/>
              </w:rPr>
              <w:t>102.0</w:t>
            </w:r>
          </w:p>
        </w:tc>
        <w:tc>
          <w:tcPr>
            <w:tcW w:w="820" w:type="dxa"/>
            <w:tcBorders>
              <w:top w:val="single" w:sz="4" w:space="0" w:color="auto"/>
              <w:left w:val="nil"/>
              <w:bottom w:val="single" w:sz="4" w:space="0" w:color="auto"/>
              <w:right w:val="single" w:sz="4" w:space="0" w:color="auto"/>
            </w:tcBorders>
            <w:shd w:val="clear" w:color="auto" w:fill="auto"/>
            <w:noWrap/>
            <w:hideMark/>
          </w:tcPr>
          <w:p w14:paraId="18B25790" w14:textId="77777777" w:rsidR="00A57704" w:rsidRPr="004D642A" w:rsidRDefault="00A57704" w:rsidP="00A57704">
            <w:pPr>
              <w:spacing w:after="0"/>
              <w:jc w:val="center"/>
              <w:rPr>
                <w:rFonts w:ascii="Times New Roman" w:hAnsi="Times New Roman"/>
              </w:rPr>
            </w:pPr>
            <w:r w:rsidRPr="004D642A">
              <w:rPr>
                <w:rFonts w:ascii="Times New Roman" w:hAnsi="Times New Roman"/>
              </w:rPr>
              <w:t>130.0</w:t>
            </w:r>
          </w:p>
        </w:tc>
        <w:tc>
          <w:tcPr>
            <w:tcW w:w="820" w:type="dxa"/>
            <w:tcBorders>
              <w:top w:val="single" w:sz="4" w:space="0" w:color="auto"/>
              <w:left w:val="nil"/>
              <w:bottom w:val="single" w:sz="4" w:space="0" w:color="auto"/>
              <w:right w:val="single" w:sz="4" w:space="0" w:color="auto"/>
            </w:tcBorders>
            <w:shd w:val="clear" w:color="auto" w:fill="auto"/>
            <w:noWrap/>
            <w:hideMark/>
          </w:tcPr>
          <w:p w14:paraId="0CD5EE68" w14:textId="77777777" w:rsidR="00A57704" w:rsidRPr="004D642A" w:rsidRDefault="00A57704" w:rsidP="00A57704">
            <w:pPr>
              <w:spacing w:after="0"/>
              <w:jc w:val="center"/>
              <w:rPr>
                <w:rFonts w:ascii="Times New Roman" w:hAnsi="Times New Roman"/>
              </w:rPr>
            </w:pPr>
            <w:r w:rsidRPr="004D642A">
              <w:rPr>
                <w:rFonts w:ascii="Times New Roman" w:hAnsi="Times New Roman"/>
              </w:rPr>
              <w:t>125.1</w:t>
            </w:r>
          </w:p>
        </w:tc>
        <w:tc>
          <w:tcPr>
            <w:tcW w:w="820" w:type="dxa"/>
            <w:tcBorders>
              <w:top w:val="single" w:sz="4" w:space="0" w:color="auto"/>
              <w:left w:val="nil"/>
              <w:bottom w:val="single" w:sz="4" w:space="0" w:color="auto"/>
              <w:right w:val="single" w:sz="4" w:space="0" w:color="auto"/>
            </w:tcBorders>
            <w:shd w:val="clear" w:color="auto" w:fill="auto"/>
            <w:noWrap/>
            <w:hideMark/>
          </w:tcPr>
          <w:p w14:paraId="0627BD03" w14:textId="77777777" w:rsidR="00A57704" w:rsidRPr="004D642A" w:rsidRDefault="00A57704" w:rsidP="00A57704">
            <w:pPr>
              <w:spacing w:after="0"/>
              <w:jc w:val="center"/>
              <w:rPr>
                <w:rFonts w:ascii="Times New Roman" w:hAnsi="Times New Roman"/>
              </w:rPr>
            </w:pPr>
            <w:r w:rsidRPr="004D642A">
              <w:rPr>
                <w:rFonts w:ascii="Times New Roman" w:hAnsi="Times New Roman"/>
              </w:rPr>
              <w:t>141.9</w:t>
            </w:r>
          </w:p>
        </w:tc>
        <w:tc>
          <w:tcPr>
            <w:tcW w:w="760" w:type="dxa"/>
            <w:tcBorders>
              <w:top w:val="single" w:sz="4" w:space="0" w:color="auto"/>
              <w:left w:val="nil"/>
              <w:bottom w:val="single" w:sz="4" w:space="0" w:color="auto"/>
              <w:right w:val="single" w:sz="4" w:space="0" w:color="auto"/>
            </w:tcBorders>
            <w:shd w:val="clear" w:color="auto" w:fill="auto"/>
            <w:noWrap/>
            <w:hideMark/>
          </w:tcPr>
          <w:p w14:paraId="3D8ADC87" w14:textId="77777777" w:rsidR="00A57704" w:rsidRPr="004D642A" w:rsidRDefault="00A57704" w:rsidP="00A57704">
            <w:pPr>
              <w:spacing w:after="0"/>
              <w:jc w:val="center"/>
              <w:rPr>
                <w:rFonts w:ascii="Times New Roman" w:hAnsi="Times New Roman"/>
              </w:rPr>
            </w:pPr>
            <w:r w:rsidRPr="004D642A">
              <w:rPr>
                <w:rFonts w:ascii="Times New Roman" w:hAnsi="Times New Roman"/>
              </w:rPr>
              <w:t>163.8</w:t>
            </w:r>
          </w:p>
        </w:tc>
        <w:tc>
          <w:tcPr>
            <w:tcW w:w="720" w:type="dxa"/>
            <w:tcBorders>
              <w:top w:val="single" w:sz="4" w:space="0" w:color="auto"/>
              <w:left w:val="nil"/>
              <w:bottom w:val="single" w:sz="4" w:space="0" w:color="auto"/>
              <w:right w:val="single" w:sz="4" w:space="0" w:color="auto"/>
            </w:tcBorders>
            <w:shd w:val="clear" w:color="auto" w:fill="auto"/>
            <w:noWrap/>
            <w:hideMark/>
          </w:tcPr>
          <w:p w14:paraId="133B08FA" w14:textId="77777777" w:rsidR="00A57704" w:rsidRPr="004D642A" w:rsidRDefault="00A57704" w:rsidP="00A57704">
            <w:pPr>
              <w:spacing w:after="0"/>
              <w:jc w:val="center"/>
              <w:rPr>
                <w:rFonts w:ascii="Times New Roman" w:hAnsi="Times New Roman"/>
              </w:rPr>
            </w:pPr>
            <w:r w:rsidRPr="004D642A">
              <w:rPr>
                <w:rFonts w:ascii="Times New Roman" w:hAnsi="Times New Roman"/>
              </w:rPr>
              <w:t>124.1</w:t>
            </w:r>
          </w:p>
        </w:tc>
        <w:tc>
          <w:tcPr>
            <w:tcW w:w="1100" w:type="dxa"/>
            <w:tcBorders>
              <w:top w:val="single" w:sz="4" w:space="0" w:color="auto"/>
              <w:left w:val="nil"/>
              <w:bottom w:val="single" w:sz="4" w:space="0" w:color="auto"/>
              <w:right w:val="single" w:sz="4" w:space="0" w:color="auto"/>
            </w:tcBorders>
            <w:shd w:val="clear" w:color="auto" w:fill="auto"/>
            <w:noWrap/>
            <w:hideMark/>
          </w:tcPr>
          <w:p w14:paraId="5AD421CE" w14:textId="77777777" w:rsidR="00A57704" w:rsidRPr="004D642A" w:rsidRDefault="00A57704" w:rsidP="00A57704">
            <w:pPr>
              <w:spacing w:after="0"/>
              <w:jc w:val="center"/>
              <w:rPr>
                <w:rFonts w:ascii="Times New Roman" w:hAnsi="Times New Roman"/>
              </w:rPr>
            </w:pPr>
            <w:r w:rsidRPr="004D642A">
              <w:rPr>
                <w:rFonts w:ascii="Times New Roman" w:hAnsi="Times New Roman"/>
              </w:rPr>
              <w:t>1,368.4</w:t>
            </w:r>
          </w:p>
        </w:tc>
      </w:tr>
      <w:tr w:rsidR="00A57704" w:rsidRPr="004D642A" w14:paraId="4FC85497"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057CA5EB" w14:textId="77777777" w:rsidR="00A57704" w:rsidRPr="004D642A" w:rsidRDefault="00A57704" w:rsidP="00A57704">
            <w:pPr>
              <w:spacing w:after="0"/>
              <w:rPr>
                <w:rFonts w:ascii="Times New Roman" w:hAnsi="Times New Roman"/>
              </w:rPr>
            </w:pPr>
            <w:r w:rsidRPr="004D642A">
              <w:rPr>
                <w:rFonts w:ascii="Times New Roman" w:hAnsi="Times New Roman"/>
              </w:rPr>
              <w:t xml:space="preserve">Precipitación </w:t>
            </w:r>
            <w:r>
              <w:rPr>
                <w:rFonts w:ascii="Times New Roman" w:hAnsi="Times New Roman"/>
              </w:rPr>
              <w:t>2019</w:t>
            </w:r>
          </w:p>
        </w:tc>
        <w:tc>
          <w:tcPr>
            <w:tcW w:w="760" w:type="dxa"/>
            <w:tcBorders>
              <w:top w:val="single" w:sz="4" w:space="0" w:color="auto"/>
              <w:left w:val="nil"/>
              <w:bottom w:val="single" w:sz="4" w:space="0" w:color="auto"/>
              <w:right w:val="single" w:sz="4" w:space="0" w:color="auto"/>
            </w:tcBorders>
            <w:shd w:val="clear" w:color="auto" w:fill="auto"/>
            <w:noWrap/>
            <w:hideMark/>
          </w:tcPr>
          <w:p w14:paraId="19F5D10F" w14:textId="77777777" w:rsidR="00A57704" w:rsidRPr="004D642A" w:rsidRDefault="00A57704" w:rsidP="00A57704">
            <w:pPr>
              <w:spacing w:after="0"/>
              <w:jc w:val="center"/>
              <w:rPr>
                <w:rFonts w:ascii="Times New Roman" w:hAnsi="Times New Roman"/>
              </w:rPr>
            </w:pPr>
            <w:r>
              <w:rPr>
                <w:rFonts w:ascii="Times New Roman" w:hAnsi="Times New Roman"/>
              </w:rPr>
              <w:t>49.3</w:t>
            </w:r>
          </w:p>
        </w:tc>
        <w:tc>
          <w:tcPr>
            <w:tcW w:w="760" w:type="dxa"/>
            <w:tcBorders>
              <w:top w:val="single" w:sz="4" w:space="0" w:color="auto"/>
              <w:left w:val="nil"/>
              <w:bottom w:val="single" w:sz="4" w:space="0" w:color="auto"/>
              <w:right w:val="single" w:sz="4" w:space="0" w:color="auto"/>
            </w:tcBorders>
            <w:shd w:val="clear" w:color="auto" w:fill="auto"/>
            <w:noWrap/>
            <w:hideMark/>
          </w:tcPr>
          <w:p w14:paraId="0661F821" w14:textId="77777777" w:rsidR="00A57704" w:rsidRPr="004D642A" w:rsidRDefault="00A57704" w:rsidP="00A57704">
            <w:pPr>
              <w:spacing w:after="0"/>
              <w:jc w:val="center"/>
              <w:rPr>
                <w:rFonts w:ascii="Times New Roman" w:hAnsi="Times New Roman"/>
              </w:rPr>
            </w:pPr>
            <w:r>
              <w:rPr>
                <w:rFonts w:ascii="Times New Roman" w:hAnsi="Times New Roman"/>
              </w:rPr>
              <w:t>116.8</w:t>
            </w:r>
          </w:p>
        </w:tc>
        <w:tc>
          <w:tcPr>
            <w:tcW w:w="720" w:type="dxa"/>
            <w:tcBorders>
              <w:top w:val="single" w:sz="4" w:space="0" w:color="auto"/>
              <w:left w:val="nil"/>
              <w:bottom w:val="single" w:sz="4" w:space="0" w:color="auto"/>
              <w:right w:val="single" w:sz="4" w:space="0" w:color="auto"/>
            </w:tcBorders>
            <w:shd w:val="clear" w:color="auto" w:fill="auto"/>
            <w:noWrap/>
            <w:hideMark/>
          </w:tcPr>
          <w:p w14:paraId="7778CEFF" w14:textId="77777777" w:rsidR="00A57704" w:rsidRPr="004D642A" w:rsidRDefault="00A57704" w:rsidP="00A57704">
            <w:pPr>
              <w:spacing w:after="0"/>
              <w:jc w:val="center"/>
              <w:rPr>
                <w:rFonts w:ascii="Times New Roman" w:hAnsi="Times New Roman"/>
              </w:rPr>
            </w:pPr>
            <w:r>
              <w:rPr>
                <w:rFonts w:ascii="Times New Roman" w:hAnsi="Times New Roman"/>
              </w:rPr>
              <w:t>136.4</w:t>
            </w:r>
          </w:p>
        </w:tc>
        <w:tc>
          <w:tcPr>
            <w:tcW w:w="820" w:type="dxa"/>
            <w:tcBorders>
              <w:top w:val="single" w:sz="4" w:space="0" w:color="auto"/>
              <w:left w:val="nil"/>
              <w:bottom w:val="single" w:sz="4" w:space="0" w:color="auto"/>
              <w:right w:val="single" w:sz="4" w:space="0" w:color="auto"/>
            </w:tcBorders>
            <w:shd w:val="clear" w:color="auto" w:fill="auto"/>
            <w:noWrap/>
            <w:hideMark/>
          </w:tcPr>
          <w:p w14:paraId="70A9F1A3" w14:textId="77777777" w:rsidR="00A57704" w:rsidRPr="004D642A" w:rsidRDefault="00A57704" w:rsidP="00A57704">
            <w:pPr>
              <w:spacing w:after="0"/>
              <w:jc w:val="center"/>
              <w:rPr>
                <w:rFonts w:ascii="Times New Roman" w:hAnsi="Times New Roman"/>
              </w:rPr>
            </w:pPr>
            <w:r>
              <w:rPr>
                <w:rFonts w:ascii="Times New Roman" w:hAnsi="Times New Roman"/>
              </w:rPr>
              <w:t>98.1</w:t>
            </w:r>
          </w:p>
        </w:tc>
        <w:tc>
          <w:tcPr>
            <w:tcW w:w="820" w:type="dxa"/>
            <w:tcBorders>
              <w:top w:val="single" w:sz="4" w:space="0" w:color="auto"/>
              <w:left w:val="nil"/>
              <w:bottom w:val="single" w:sz="4" w:space="0" w:color="auto"/>
              <w:right w:val="single" w:sz="4" w:space="0" w:color="auto"/>
            </w:tcBorders>
            <w:shd w:val="clear" w:color="auto" w:fill="auto"/>
            <w:noWrap/>
            <w:hideMark/>
          </w:tcPr>
          <w:p w14:paraId="42A7F4B9" w14:textId="77777777" w:rsidR="00A57704" w:rsidRPr="004D642A" w:rsidRDefault="00A57704" w:rsidP="00A57704">
            <w:pPr>
              <w:spacing w:after="0"/>
              <w:jc w:val="center"/>
              <w:rPr>
                <w:rFonts w:ascii="Times New Roman" w:hAnsi="Times New Roman"/>
              </w:rPr>
            </w:pPr>
            <w:r>
              <w:rPr>
                <w:rFonts w:ascii="Times New Roman" w:hAnsi="Times New Roman"/>
              </w:rPr>
              <w:t>109.0</w:t>
            </w:r>
          </w:p>
        </w:tc>
        <w:tc>
          <w:tcPr>
            <w:tcW w:w="820" w:type="dxa"/>
            <w:tcBorders>
              <w:top w:val="single" w:sz="4" w:space="0" w:color="auto"/>
              <w:left w:val="nil"/>
              <w:bottom w:val="single" w:sz="4" w:space="0" w:color="auto"/>
              <w:right w:val="single" w:sz="4" w:space="0" w:color="auto"/>
            </w:tcBorders>
            <w:shd w:val="clear" w:color="auto" w:fill="auto"/>
            <w:noWrap/>
            <w:hideMark/>
          </w:tcPr>
          <w:p w14:paraId="40643672" w14:textId="77777777" w:rsidR="00A57704" w:rsidRPr="004D642A" w:rsidRDefault="00A57704" w:rsidP="00A57704">
            <w:pPr>
              <w:spacing w:after="0"/>
              <w:jc w:val="center"/>
              <w:rPr>
                <w:rFonts w:ascii="Times New Roman" w:hAnsi="Times New Roman"/>
              </w:rPr>
            </w:pPr>
            <w:r>
              <w:rPr>
                <w:rFonts w:ascii="Times New Roman" w:hAnsi="Times New Roman"/>
              </w:rPr>
              <w:t>131.9</w:t>
            </w:r>
          </w:p>
        </w:tc>
        <w:tc>
          <w:tcPr>
            <w:tcW w:w="760" w:type="dxa"/>
            <w:tcBorders>
              <w:top w:val="single" w:sz="4" w:space="0" w:color="auto"/>
              <w:left w:val="nil"/>
              <w:bottom w:val="single" w:sz="4" w:space="0" w:color="auto"/>
              <w:right w:val="single" w:sz="4" w:space="0" w:color="auto"/>
            </w:tcBorders>
            <w:shd w:val="clear" w:color="auto" w:fill="auto"/>
            <w:noWrap/>
            <w:hideMark/>
          </w:tcPr>
          <w:p w14:paraId="5F899A10" w14:textId="77777777" w:rsidR="00A57704" w:rsidRPr="004D642A" w:rsidRDefault="00A57704" w:rsidP="00A57704">
            <w:pPr>
              <w:spacing w:after="0"/>
              <w:jc w:val="center"/>
              <w:rPr>
                <w:rFonts w:ascii="Times New Roman" w:hAnsi="Times New Roman"/>
              </w:rPr>
            </w:pPr>
            <w:r>
              <w:rPr>
                <w:rFonts w:ascii="Times New Roman" w:hAnsi="Times New Roman"/>
              </w:rPr>
              <w:t>101.9</w:t>
            </w:r>
          </w:p>
        </w:tc>
        <w:tc>
          <w:tcPr>
            <w:tcW w:w="820" w:type="dxa"/>
            <w:tcBorders>
              <w:top w:val="single" w:sz="4" w:space="0" w:color="auto"/>
              <w:left w:val="nil"/>
              <w:bottom w:val="single" w:sz="4" w:space="0" w:color="auto"/>
              <w:right w:val="single" w:sz="4" w:space="0" w:color="auto"/>
            </w:tcBorders>
            <w:shd w:val="clear" w:color="auto" w:fill="auto"/>
            <w:noWrap/>
            <w:hideMark/>
          </w:tcPr>
          <w:p w14:paraId="3CE8522C" w14:textId="77777777" w:rsidR="00A57704" w:rsidRPr="004D642A" w:rsidRDefault="00A57704" w:rsidP="00A57704">
            <w:pPr>
              <w:spacing w:after="0"/>
              <w:jc w:val="center"/>
              <w:rPr>
                <w:rFonts w:ascii="Times New Roman" w:hAnsi="Times New Roman"/>
              </w:rPr>
            </w:pPr>
            <w:r>
              <w:rPr>
                <w:rFonts w:ascii="Times New Roman" w:hAnsi="Times New Roman"/>
              </w:rPr>
              <w:t>79.1</w:t>
            </w:r>
          </w:p>
        </w:tc>
        <w:tc>
          <w:tcPr>
            <w:tcW w:w="820" w:type="dxa"/>
            <w:tcBorders>
              <w:top w:val="single" w:sz="4" w:space="0" w:color="auto"/>
              <w:left w:val="nil"/>
              <w:bottom w:val="single" w:sz="4" w:space="0" w:color="auto"/>
              <w:right w:val="single" w:sz="4" w:space="0" w:color="auto"/>
            </w:tcBorders>
            <w:shd w:val="clear" w:color="auto" w:fill="auto"/>
            <w:noWrap/>
            <w:hideMark/>
          </w:tcPr>
          <w:p w14:paraId="37A52D37" w14:textId="77777777" w:rsidR="00A57704" w:rsidRPr="004D642A" w:rsidRDefault="00A57704" w:rsidP="00A57704">
            <w:pPr>
              <w:spacing w:after="0"/>
              <w:jc w:val="center"/>
              <w:rPr>
                <w:rFonts w:ascii="Times New Roman" w:hAnsi="Times New Roman"/>
              </w:rPr>
            </w:pPr>
            <w:r>
              <w:rPr>
                <w:rFonts w:ascii="Times New Roman" w:hAnsi="Times New Roman"/>
              </w:rPr>
              <w:t>189.4</w:t>
            </w:r>
          </w:p>
        </w:tc>
        <w:tc>
          <w:tcPr>
            <w:tcW w:w="820" w:type="dxa"/>
            <w:tcBorders>
              <w:top w:val="single" w:sz="4" w:space="0" w:color="auto"/>
              <w:left w:val="nil"/>
              <w:bottom w:val="single" w:sz="4" w:space="0" w:color="auto"/>
              <w:right w:val="single" w:sz="4" w:space="0" w:color="auto"/>
            </w:tcBorders>
            <w:shd w:val="clear" w:color="auto" w:fill="auto"/>
            <w:noWrap/>
            <w:hideMark/>
          </w:tcPr>
          <w:p w14:paraId="56C4588B" w14:textId="77777777" w:rsidR="00A57704" w:rsidRPr="004D642A" w:rsidRDefault="00A57704" w:rsidP="00A57704">
            <w:pPr>
              <w:spacing w:after="0"/>
              <w:jc w:val="center"/>
              <w:rPr>
                <w:rFonts w:ascii="Times New Roman" w:hAnsi="Times New Roman"/>
              </w:rPr>
            </w:pPr>
            <w:r>
              <w:rPr>
                <w:rFonts w:ascii="Times New Roman" w:hAnsi="Times New Roman"/>
              </w:rPr>
              <w:t>125.2</w:t>
            </w:r>
          </w:p>
        </w:tc>
        <w:tc>
          <w:tcPr>
            <w:tcW w:w="760" w:type="dxa"/>
            <w:tcBorders>
              <w:top w:val="single" w:sz="4" w:space="0" w:color="auto"/>
              <w:left w:val="nil"/>
              <w:bottom w:val="single" w:sz="4" w:space="0" w:color="auto"/>
              <w:right w:val="single" w:sz="4" w:space="0" w:color="auto"/>
            </w:tcBorders>
            <w:shd w:val="clear" w:color="auto" w:fill="auto"/>
            <w:noWrap/>
            <w:hideMark/>
          </w:tcPr>
          <w:p w14:paraId="4585A3DD" w14:textId="77777777" w:rsidR="00A57704" w:rsidRPr="004D642A" w:rsidRDefault="00A57704" w:rsidP="00A57704">
            <w:pPr>
              <w:spacing w:after="0"/>
              <w:jc w:val="center"/>
              <w:rPr>
                <w:rFonts w:ascii="Times New Roman" w:hAnsi="Times New Roman"/>
              </w:rPr>
            </w:pPr>
            <w:r>
              <w:rPr>
                <w:rFonts w:ascii="Times New Roman" w:hAnsi="Times New Roman"/>
              </w:rPr>
              <w:t>91.8</w:t>
            </w:r>
          </w:p>
        </w:tc>
        <w:tc>
          <w:tcPr>
            <w:tcW w:w="720" w:type="dxa"/>
            <w:tcBorders>
              <w:top w:val="single" w:sz="4" w:space="0" w:color="auto"/>
              <w:left w:val="nil"/>
              <w:bottom w:val="single" w:sz="4" w:space="0" w:color="auto"/>
              <w:right w:val="single" w:sz="4" w:space="0" w:color="auto"/>
            </w:tcBorders>
            <w:shd w:val="clear" w:color="auto" w:fill="auto"/>
            <w:noWrap/>
            <w:hideMark/>
          </w:tcPr>
          <w:p w14:paraId="32EC272F" w14:textId="77777777" w:rsidR="00A57704" w:rsidRPr="004D642A" w:rsidRDefault="00A57704" w:rsidP="00A57704">
            <w:pPr>
              <w:spacing w:after="0"/>
              <w:jc w:val="center"/>
              <w:rPr>
                <w:rFonts w:ascii="Times New Roman" w:hAnsi="Times New Roman"/>
              </w:rPr>
            </w:pPr>
            <w:r>
              <w:rPr>
                <w:rFonts w:ascii="Times New Roman" w:hAnsi="Times New Roman"/>
              </w:rPr>
              <w:t>0</w:t>
            </w:r>
          </w:p>
        </w:tc>
        <w:tc>
          <w:tcPr>
            <w:tcW w:w="1100" w:type="dxa"/>
            <w:tcBorders>
              <w:top w:val="single" w:sz="4" w:space="0" w:color="auto"/>
              <w:left w:val="nil"/>
              <w:bottom w:val="single" w:sz="4" w:space="0" w:color="auto"/>
              <w:right w:val="single" w:sz="4" w:space="0" w:color="auto"/>
            </w:tcBorders>
            <w:shd w:val="clear" w:color="auto" w:fill="auto"/>
            <w:noWrap/>
            <w:hideMark/>
          </w:tcPr>
          <w:p w14:paraId="28A7FE02" w14:textId="77777777" w:rsidR="00A57704" w:rsidRPr="004D642A" w:rsidRDefault="00A57704" w:rsidP="00A57704">
            <w:pPr>
              <w:spacing w:after="0"/>
              <w:jc w:val="center"/>
              <w:rPr>
                <w:rFonts w:ascii="Times New Roman" w:hAnsi="Times New Roman"/>
              </w:rPr>
            </w:pPr>
            <w:r>
              <w:rPr>
                <w:rFonts w:ascii="Times New Roman" w:hAnsi="Times New Roman"/>
              </w:rPr>
              <w:t>1,228.9</w:t>
            </w:r>
          </w:p>
        </w:tc>
      </w:tr>
      <w:tr w:rsidR="00A57704" w:rsidRPr="004D642A" w14:paraId="7A171A9B"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5361F1BB" w14:textId="77777777" w:rsidR="00A57704" w:rsidRPr="004D642A" w:rsidRDefault="00A57704" w:rsidP="00A57704">
            <w:pPr>
              <w:spacing w:after="0"/>
              <w:rPr>
                <w:rFonts w:ascii="Times New Roman" w:hAnsi="Times New Roman"/>
              </w:rPr>
            </w:pPr>
            <w:r w:rsidRPr="004D642A">
              <w:rPr>
                <w:rFonts w:ascii="Times New Roman" w:hAnsi="Times New Roman"/>
              </w:rPr>
              <w:t>D. Prec (%)</w:t>
            </w:r>
          </w:p>
        </w:tc>
        <w:tc>
          <w:tcPr>
            <w:tcW w:w="760" w:type="dxa"/>
            <w:tcBorders>
              <w:top w:val="single" w:sz="4" w:space="0" w:color="auto"/>
              <w:left w:val="nil"/>
              <w:bottom w:val="single" w:sz="4" w:space="0" w:color="auto"/>
              <w:right w:val="single" w:sz="4" w:space="0" w:color="auto"/>
            </w:tcBorders>
            <w:shd w:val="clear" w:color="auto" w:fill="auto"/>
            <w:noWrap/>
            <w:hideMark/>
          </w:tcPr>
          <w:p w14:paraId="6F837AB5" w14:textId="77777777" w:rsidR="00A57704" w:rsidRPr="004D642A" w:rsidRDefault="00A57704" w:rsidP="00A57704">
            <w:pPr>
              <w:spacing w:after="0"/>
              <w:jc w:val="center"/>
              <w:rPr>
                <w:rFonts w:ascii="Times New Roman" w:hAnsi="Times New Roman"/>
              </w:rPr>
            </w:pPr>
            <w:r>
              <w:rPr>
                <w:rFonts w:ascii="Times New Roman" w:hAnsi="Times New Roman"/>
              </w:rPr>
              <w:t>-46.4</w:t>
            </w:r>
          </w:p>
        </w:tc>
        <w:tc>
          <w:tcPr>
            <w:tcW w:w="760" w:type="dxa"/>
            <w:tcBorders>
              <w:top w:val="single" w:sz="4" w:space="0" w:color="auto"/>
              <w:left w:val="nil"/>
              <w:bottom w:val="single" w:sz="4" w:space="0" w:color="auto"/>
              <w:right w:val="single" w:sz="4" w:space="0" w:color="auto"/>
            </w:tcBorders>
            <w:shd w:val="clear" w:color="auto" w:fill="auto"/>
            <w:noWrap/>
            <w:hideMark/>
          </w:tcPr>
          <w:p w14:paraId="2207618D" w14:textId="77777777" w:rsidR="00A57704" w:rsidRPr="004D642A" w:rsidRDefault="00A57704" w:rsidP="00A57704">
            <w:pPr>
              <w:spacing w:after="0"/>
              <w:jc w:val="center"/>
              <w:rPr>
                <w:rFonts w:ascii="Times New Roman" w:hAnsi="Times New Roman"/>
              </w:rPr>
            </w:pPr>
            <w:r>
              <w:rPr>
                <w:rFonts w:ascii="Times New Roman" w:hAnsi="Times New Roman"/>
              </w:rPr>
              <w:t>63.4</w:t>
            </w:r>
          </w:p>
        </w:tc>
        <w:tc>
          <w:tcPr>
            <w:tcW w:w="720" w:type="dxa"/>
            <w:tcBorders>
              <w:top w:val="single" w:sz="4" w:space="0" w:color="auto"/>
              <w:left w:val="nil"/>
              <w:bottom w:val="single" w:sz="4" w:space="0" w:color="auto"/>
              <w:right w:val="single" w:sz="4" w:space="0" w:color="auto"/>
            </w:tcBorders>
            <w:shd w:val="clear" w:color="auto" w:fill="auto"/>
            <w:noWrap/>
            <w:hideMark/>
          </w:tcPr>
          <w:p w14:paraId="10361200" w14:textId="77777777" w:rsidR="00A57704" w:rsidRPr="004D642A" w:rsidRDefault="00A57704" w:rsidP="00A57704">
            <w:pPr>
              <w:spacing w:after="0"/>
              <w:jc w:val="center"/>
              <w:rPr>
                <w:rFonts w:ascii="Times New Roman" w:hAnsi="Times New Roman"/>
              </w:rPr>
            </w:pPr>
            <w:r>
              <w:rPr>
                <w:rFonts w:ascii="Times New Roman" w:hAnsi="Times New Roman"/>
              </w:rPr>
              <w:t>68.8</w:t>
            </w:r>
          </w:p>
        </w:tc>
        <w:tc>
          <w:tcPr>
            <w:tcW w:w="820" w:type="dxa"/>
            <w:tcBorders>
              <w:top w:val="single" w:sz="4" w:space="0" w:color="auto"/>
              <w:left w:val="nil"/>
              <w:bottom w:val="single" w:sz="4" w:space="0" w:color="auto"/>
              <w:right w:val="single" w:sz="4" w:space="0" w:color="auto"/>
            </w:tcBorders>
            <w:shd w:val="clear" w:color="auto" w:fill="auto"/>
            <w:noWrap/>
            <w:hideMark/>
          </w:tcPr>
          <w:p w14:paraId="055D5130" w14:textId="77777777" w:rsidR="00A57704" w:rsidRPr="004D642A" w:rsidRDefault="00A57704" w:rsidP="00A57704">
            <w:pPr>
              <w:spacing w:after="0"/>
              <w:jc w:val="center"/>
              <w:rPr>
                <w:rFonts w:ascii="Times New Roman" w:hAnsi="Times New Roman"/>
              </w:rPr>
            </w:pPr>
            <w:r>
              <w:rPr>
                <w:rFonts w:ascii="Times New Roman" w:hAnsi="Times New Roman"/>
              </w:rPr>
              <w:t>-12.2</w:t>
            </w:r>
          </w:p>
        </w:tc>
        <w:tc>
          <w:tcPr>
            <w:tcW w:w="820" w:type="dxa"/>
            <w:tcBorders>
              <w:top w:val="single" w:sz="4" w:space="0" w:color="auto"/>
              <w:left w:val="nil"/>
              <w:bottom w:val="single" w:sz="4" w:space="0" w:color="auto"/>
              <w:right w:val="single" w:sz="4" w:space="0" w:color="auto"/>
            </w:tcBorders>
            <w:shd w:val="clear" w:color="auto" w:fill="auto"/>
            <w:noWrap/>
            <w:hideMark/>
          </w:tcPr>
          <w:p w14:paraId="680040FA" w14:textId="77777777" w:rsidR="00A57704" w:rsidRPr="004D642A" w:rsidRDefault="00A57704" w:rsidP="00A57704">
            <w:pPr>
              <w:spacing w:after="0"/>
              <w:jc w:val="center"/>
              <w:rPr>
                <w:rFonts w:ascii="Times New Roman" w:hAnsi="Times New Roman"/>
              </w:rPr>
            </w:pPr>
            <w:r>
              <w:rPr>
                <w:rFonts w:ascii="Times New Roman" w:hAnsi="Times New Roman"/>
              </w:rPr>
              <w:t>-24.4</w:t>
            </w:r>
          </w:p>
        </w:tc>
        <w:tc>
          <w:tcPr>
            <w:tcW w:w="820" w:type="dxa"/>
            <w:tcBorders>
              <w:top w:val="single" w:sz="4" w:space="0" w:color="auto"/>
              <w:left w:val="nil"/>
              <w:bottom w:val="single" w:sz="4" w:space="0" w:color="auto"/>
              <w:right w:val="single" w:sz="4" w:space="0" w:color="auto"/>
            </w:tcBorders>
            <w:shd w:val="clear" w:color="auto" w:fill="auto"/>
            <w:noWrap/>
            <w:hideMark/>
          </w:tcPr>
          <w:p w14:paraId="6CC9ACE8" w14:textId="77777777" w:rsidR="00A57704" w:rsidRPr="004D642A" w:rsidRDefault="00A57704" w:rsidP="00A57704">
            <w:pPr>
              <w:spacing w:after="0"/>
              <w:jc w:val="center"/>
              <w:rPr>
                <w:rFonts w:ascii="Times New Roman" w:hAnsi="Times New Roman"/>
              </w:rPr>
            </w:pPr>
            <w:r>
              <w:rPr>
                <w:rFonts w:ascii="Times New Roman" w:hAnsi="Times New Roman"/>
              </w:rPr>
              <w:t>62.0</w:t>
            </w:r>
          </w:p>
        </w:tc>
        <w:tc>
          <w:tcPr>
            <w:tcW w:w="760" w:type="dxa"/>
            <w:tcBorders>
              <w:top w:val="single" w:sz="4" w:space="0" w:color="auto"/>
              <w:left w:val="nil"/>
              <w:bottom w:val="single" w:sz="4" w:space="0" w:color="auto"/>
              <w:right w:val="single" w:sz="4" w:space="0" w:color="auto"/>
            </w:tcBorders>
            <w:shd w:val="clear" w:color="auto" w:fill="auto"/>
            <w:noWrap/>
            <w:hideMark/>
          </w:tcPr>
          <w:p w14:paraId="0FFB2450" w14:textId="77777777" w:rsidR="00A57704" w:rsidRPr="004D642A" w:rsidRDefault="00A57704" w:rsidP="00A57704">
            <w:pPr>
              <w:spacing w:after="0"/>
              <w:jc w:val="center"/>
              <w:rPr>
                <w:rFonts w:ascii="Times New Roman" w:hAnsi="Times New Roman"/>
              </w:rPr>
            </w:pPr>
            <w:r>
              <w:rPr>
                <w:rFonts w:ascii="Times New Roman" w:hAnsi="Times New Roman"/>
              </w:rPr>
              <w:t>-0.1</w:t>
            </w:r>
          </w:p>
        </w:tc>
        <w:tc>
          <w:tcPr>
            <w:tcW w:w="820" w:type="dxa"/>
            <w:tcBorders>
              <w:top w:val="single" w:sz="4" w:space="0" w:color="auto"/>
              <w:left w:val="nil"/>
              <w:bottom w:val="single" w:sz="4" w:space="0" w:color="auto"/>
              <w:right w:val="single" w:sz="4" w:space="0" w:color="auto"/>
            </w:tcBorders>
            <w:shd w:val="clear" w:color="auto" w:fill="auto"/>
            <w:noWrap/>
            <w:hideMark/>
          </w:tcPr>
          <w:p w14:paraId="30ACD76C" w14:textId="77777777" w:rsidR="00A57704" w:rsidRPr="004D642A" w:rsidRDefault="00A57704" w:rsidP="00A57704">
            <w:pPr>
              <w:spacing w:after="0"/>
              <w:jc w:val="center"/>
              <w:rPr>
                <w:rFonts w:ascii="Times New Roman" w:hAnsi="Times New Roman"/>
              </w:rPr>
            </w:pPr>
            <w:r>
              <w:rPr>
                <w:rFonts w:ascii="Times New Roman" w:hAnsi="Times New Roman"/>
              </w:rPr>
              <w:t>-39.2</w:t>
            </w:r>
          </w:p>
        </w:tc>
        <w:tc>
          <w:tcPr>
            <w:tcW w:w="820" w:type="dxa"/>
            <w:tcBorders>
              <w:top w:val="single" w:sz="4" w:space="0" w:color="auto"/>
              <w:left w:val="nil"/>
              <w:bottom w:val="single" w:sz="4" w:space="0" w:color="auto"/>
              <w:right w:val="single" w:sz="4" w:space="0" w:color="auto"/>
            </w:tcBorders>
            <w:shd w:val="clear" w:color="auto" w:fill="auto"/>
            <w:noWrap/>
            <w:hideMark/>
          </w:tcPr>
          <w:p w14:paraId="71D11336" w14:textId="77777777" w:rsidR="00A57704" w:rsidRPr="004D642A" w:rsidRDefault="00A57704" w:rsidP="00A57704">
            <w:pPr>
              <w:spacing w:after="0"/>
              <w:jc w:val="center"/>
              <w:rPr>
                <w:rFonts w:ascii="Times New Roman" w:hAnsi="Times New Roman"/>
              </w:rPr>
            </w:pPr>
            <w:r>
              <w:rPr>
                <w:rFonts w:ascii="Times New Roman" w:hAnsi="Times New Roman"/>
              </w:rPr>
              <w:t>51.4</w:t>
            </w:r>
          </w:p>
        </w:tc>
        <w:tc>
          <w:tcPr>
            <w:tcW w:w="820" w:type="dxa"/>
            <w:tcBorders>
              <w:top w:val="single" w:sz="4" w:space="0" w:color="auto"/>
              <w:left w:val="nil"/>
              <w:bottom w:val="single" w:sz="4" w:space="0" w:color="auto"/>
              <w:right w:val="single" w:sz="4" w:space="0" w:color="auto"/>
            </w:tcBorders>
            <w:shd w:val="clear" w:color="auto" w:fill="auto"/>
            <w:noWrap/>
            <w:hideMark/>
          </w:tcPr>
          <w:p w14:paraId="7CDAFBAB" w14:textId="77777777" w:rsidR="00A57704" w:rsidRPr="004D642A" w:rsidRDefault="00A57704" w:rsidP="00A57704">
            <w:pPr>
              <w:spacing w:after="0"/>
              <w:jc w:val="center"/>
              <w:rPr>
                <w:rFonts w:ascii="Times New Roman" w:hAnsi="Times New Roman"/>
              </w:rPr>
            </w:pPr>
            <w:r>
              <w:rPr>
                <w:rFonts w:ascii="Times New Roman" w:hAnsi="Times New Roman"/>
              </w:rPr>
              <w:t>-11.8</w:t>
            </w:r>
          </w:p>
        </w:tc>
        <w:tc>
          <w:tcPr>
            <w:tcW w:w="760" w:type="dxa"/>
            <w:tcBorders>
              <w:top w:val="single" w:sz="4" w:space="0" w:color="auto"/>
              <w:left w:val="nil"/>
              <w:bottom w:val="single" w:sz="4" w:space="0" w:color="auto"/>
              <w:right w:val="single" w:sz="4" w:space="0" w:color="auto"/>
            </w:tcBorders>
            <w:shd w:val="clear" w:color="auto" w:fill="auto"/>
            <w:noWrap/>
            <w:hideMark/>
          </w:tcPr>
          <w:p w14:paraId="77F5D577" w14:textId="77777777" w:rsidR="00A57704" w:rsidRPr="004D642A" w:rsidRDefault="00A57704" w:rsidP="00A57704">
            <w:pPr>
              <w:spacing w:after="0"/>
              <w:jc w:val="center"/>
              <w:rPr>
                <w:rFonts w:ascii="Times New Roman" w:hAnsi="Times New Roman"/>
              </w:rPr>
            </w:pPr>
            <w:r>
              <w:rPr>
                <w:rFonts w:ascii="Times New Roman" w:hAnsi="Times New Roman"/>
              </w:rPr>
              <w:t>-44.0</w:t>
            </w:r>
          </w:p>
        </w:tc>
        <w:tc>
          <w:tcPr>
            <w:tcW w:w="720" w:type="dxa"/>
            <w:tcBorders>
              <w:top w:val="single" w:sz="4" w:space="0" w:color="auto"/>
              <w:left w:val="nil"/>
              <w:bottom w:val="single" w:sz="4" w:space="0" w:color="auto"/>
              <w:right w:val="single" w:sz="4" w:space="0" w:color="auto"/>
            </w:tcBorders>
            <w:shd w:val="clear" w:color="auto" w:fill="auto"/>
            <w:noWrap/>
            <w:hideMark/>
          </w:tcPr>
          <w:p w14:paraId="2D0B2A4C" w14:textId="77777777" w:rsidR="00A57704" w:rsidRPr="004D642A" w:rsidRDefault="00A57704" w:rsidP="00A57704">
            <w:pPr>
              <w:spacing w:after="0"/>
              <w:jc w:val="center"/>
              <w:rPr>
                <w:rFonts w:ascii="Times New Roman" w:hAnsi="Times New Roman"/>
              </w:rPr>
            </w:pPr>
            <w:r>
              <w:rPr>
                <w:rFonts w:ascii="Times New Roman" w:hAnsi="Times New Roman"/>
              </w:rPr>
              <w:t>0</w:t>
            </w:r>
          </w:p>
        </w:tc>
        <w:tc>
          <w:tcPr>
            <w:tcW w:w="1100" w:type="dxa"/>
            <w:tcBorders>
              <w:top w:val="single" w:sz="4" w:space="0" w:color="auto"/>
              <w:left w:val="nil"/>
              <w:bottom w:val="single" w:sz="4" w:space="0" w:color="auto"/>
              <w:right w:val="single" w:sz="4" w:space="0" w:color="auto"/>
            </w:tcBorders>
            <w:shd w:val="clear" w:color="auto" w:fill="auto"/>
            <w:noWrap/>
            <w:hideMark/>
          </w:tcPr>
          <w:p w14:paraId="20626706" w14:textId="77777777" w:rsidR="00A57704" w:rsidRPr="004D642A" w:rsidRDefault="00A57704" w:rsidP="00A57704">
            <w:pPr>
              <w:spacing w:after="0"/>
              <w:jc w:val="center"/>
              <w:rPr>
                <w:rFonts w:ascii="Times New Roman" w:hAnsi="Times New Roman"/>
              </w:rPr>
            </w:pPr>
            <w:r w:rsidRPr="004D642A">
              <w:rPr>
                <w:rFonts w:ascii="Times New Roman" w:hAnsi="Times New Roman"/>
              </w:rPr>
              <w:t>15.0</w:t>
            </w:r>
          </w:p>
        </w:tc>
      </w:tr>
    </w:tbl>
    <w:p w14:paraId="6364ACCF" w14:textId="77777777" w:rsidR="00A57704" w:rsidRDefault="00A57704" w:rsidP="00A57704">
      <w:pPr>
        <w:spacing w:after="0"/>
        <w:rPr>
          <w:rFonts w:ascii="Times New Roman" w:hAnsi="Times New Roman"/>
        </w:rPr>
      </w:pPr>
    </w:p>
    <w:p w14:paraId="28466ED2"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space="720"/>
          <w:docGrid w:linePitch="360"/>
        </w:sectPr>
      </w:pPr>
    </w:p>
    <w:p w14:paraId="31163E2A" w14:textId="77777777" w:rsidR="00A57704" w:rsidRPr="00C83490" w:rsidRDefault="00A57704" w:rsidP="00A57704">
      <w:pPr>
        <w:spacing w:after="0"/>
        <w:rPr>
          <w:rFonts w:ascii="Times New Roman" w:hAnsi="Times New Roman"/>
        </w:rPr>
      </w:pPr>
    </w:p>
    <w:p w14:paraId="3D5B9CDC"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Salcedo.</w:t>
      </w:r>
    </w:p>
    <w:p w14:paraId="7E9D8853" w14:textId="77777777" w:rsidR="00A57704" w:rsidRPr="002D5B20" w:rsidRDefault="00A57704" w:rsidP="00A57704">
      <w:pPr>
        <w:spacing w:after="0"/>
        <w:rPr>
          <w:rFonts w:ascii="Times New Roman" w:hAnsi="Times New Roman"/>
          <w:sz w:val="4"/>
        </w:rPr>
      </w:pPr>
      <w:r>
        <w:rPr>
          <w:noProof/>
          <w:lang w:eastAsia="es-DO"/>
        </w:rPr>
        <w:drawing>
          <wp:inline distT="0" distB="0" distL="0" distR="0" wp14:anchorId="7C73AA09" wp14:editId="4B6F3AD2">
            <wp:extent cx="3552825" cy="1619250"/>
            <wp:effectExtent l="0" t="0" r="0" b="0"/>
            <wp:docPr id="267" name="Gráfico 267">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C1077A42-0A62-465B-A36B-50CFE89747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14:paraId="7C83C146" w14:textId="77777777" w:rsidR="00A57704" w:rsidRPr="002D5B20" w:rsidRDefault="00A57704" w:rsidP="00A57704">
      <w:pPr>
        <w:spacing w:after="0"/>
        <w:rPr>
          <w:rFonts w:ascii="Times New Roman" w:hAnsi="Times New Roman"/>
          <w:sz w:val="4"/>
        </w:rPr>
      </w:pPr>
    </w:p>
    <w:p w14:paraId="659A94A3" w14:textId="77777777" w:rsidR="00A57704" w:rsidRPr="002D5B20" w:rsidRDefault="00A57704" w:rsidP="00A57704">
      <w:pPr>
        <w:spacing w:after="0"/>
        <w:rPr>
          <w:rFonts w:ascii="Times New Roman" w:hAnsi="Times New Roman"/>
          <w:sz w:val="4"/>
        </w:rPr>
      </w:pPr>
    </w:p>
    <w:p w14:paraId="764514F1" w14:textId="77777777" w:rsidR="00A57704" w:rsidRDefault="00A57704" w:rsidP="00A57704">
      <w:pPr>
        <w:spacing w:after="0"/>
        <w:rPr>
          <w:rFonts w:ascii="Times New Roman" w:hAnsi="Times New Roman"/>
        </w:rPr>
      </w:pPr>
    </w:p>
    <w:p w14:paraId="534158B0"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0CF42A96"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023F7E50" wp14:editId="6C2187D9">
            <wp:extent cx="3609975" cy="1371600"/>
            <wp:effectExtent l="0" t="0" r="0" b="0"/>
            <wp:docPr id="268" name="Gráfico 268">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ABF3AA9E-70ED-44FB-A44D-133629EF9C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tbl>
      <w:tblPr>
        <w:tblW w:w="12712" w:type="dxa"/>
        <w:tblInd w:w="-5" w:type="dxa"/>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A57704" w:rsidRPr="001474CB" w14:paraId="69C799D8"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7660D79D"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lastRenderedPageBreak/>
              <w:t>Juma/Bonao</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7C3C9905"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3BC73FBD"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65E5174A"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0BB65B9"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03A3D01"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65431E30"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5AE9F492"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C587CC6"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9B79BCF"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3E132E9"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116ADEE7"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4BF5F79E"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36294EFA" w14:textId="77777777" w:rsidR="00A57704" w:rsidRPr="00BC5AB8" w:rsidRDefault="00A57704" w:rsidP="00BC5AB8">
            <w:pPr>
              <w:spacing w:after="0"/>
              <w:jc w:val="center"/>
              <w:rPr>
                <w:rFonts w:ascii="Times New Roman" w:hAnsi="Times New Roman"/>
                <w:b/>
                <w:bCs/>
                <w:color w:val="FFFFFF" w:themeColor="background1"/>
                <w:lang w:eastAsia="es-DO"/>
              </w:rPr>
            </w:pPr>
            <w:r w:rsidRPr="00BC5AB8">
              <w:rPr>
                <w:rFonts w:ascii="Times New Roman" w:hAnsi="Times New Roman"/>
                <w:b/>
                <w:bCs/>
                <w:color w:val="FFFFFF" w:themeColor="background1"/>
                <w:lang w:eastAsia="es-DO"/>
              </w:rPr>
              <w:t>Año</w:t>
            </w:r>
          </w:p>
        </w:tc>
      </w:tr>
      <w:tr w:rsidR="00A57704" w:rsidRPr="001474CB" w14:paraId="2B2662A5"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5E92F" w14:textId="77777777" w:rsidR="00A57704" w:rsidRPr="001474CB" w:rsidRDefault="00A57704" w:rsidP="00A57704">
            <w:pPr>
              <w:spacing w:after="0"/>
              <w:rPr>
                <w:rFonts w:ascii="Times New Roman" w:hAnsi="Times New Roman"/>
                <w:bCs/>
                <w:color w:val="000000"/>
                <w:lang w:eastAsia="es-DO"/>
              </w:rPr>
            </w:pPr>
            <w:r w:rsidRPr="001474CB">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5AF7143"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125.9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698F23A"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128.5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4918192"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140.3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D24AA76"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200.3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2AC4456"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134.8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5C67E6B"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148.1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AECAD49"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184.5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4C077E7"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218.2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6C49D1A"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184.4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FCBD386"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256.3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97E96CB"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258.2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86BBECA"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145.8</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08832B72" w14:textId="77777777" w:rsidR="00A57704" w:rsidRPr="001474CB" w:rsidRDefault="00A57704" w:rsidP="00A57704">
            <w:pPr>
              <w:spacing w:after="0"/>
              <w:jc w:val="center"/>
              <w:rPr>
                <w:rFonts w:ascii="Times New Roman" w:hAnsi="Times New Roman"/>
                <w:bCs/>
                <w:lang w:eastAsia="es-DO"/>
              </w:rPr>
            </w:pPr>
            <w:r w:rsidRPr="001474CB">
              <w:rPr>
                <w:rFonts w:ascii="Times New Roman" w:hAnsi="Times New Roman"/>
                <w:bCs/>
                <w:lang w:eastAsia="es-DO"/>
              </w:rPr>
              <w:t>2,125.3</w:t>
            </w:r>
          </w:p>
        </w:tc>
      </w:tr>
      <w:tr w:rsidR="00A57704" w:rsidRPr="001474CB" w14:paraId="15A955BB"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3308D" w14:textId="77777777" w:rsidR="00A57704" w:rsidRPr="001474CB" w:rsidRDefault="00A57704" w:rsidP="00A57704">
            <w:pPr>
              <w:spacing w:after="0"/>
              <w:rPr>
                <w:rFonts w:ascii="Times New Roman" w:hAnsi="Times New Roman"/>
                <w:bCs/>
                <w:color w:val="000000"/>
                <w:lang w:eastAsia="es-DO"/>
              </w:rPr>
            </w:pPr>
            <w:r w:rsidRPr="001474CB">
              <w:rPr>
                <w:rFonts w:ascii="Times New Roman" w:hAnsi="Times New Roman"/>
                <w:bCs/>
                <w:color w:val="000000"/>
                <w:lang w:eastAsia="es-DO"/>
              </w:rPr>
              <w:t xml:space="preserve">Precipitación </w:t>
            </w:r>
            <w:r>
              <w:rPr>
                <w:rFonts w:ascii="Times New Roman" w:hAnsi="Times New Roman"/>
                <w:bCs/>
                <w:color w:val="00000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18A7E8B"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84.0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92574F0"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57.4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D03D7E1"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198.0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77DB186"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169.8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C1032E8"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180.5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47D9DDD"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48.3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21DE7DF"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113.1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05545E1"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70.5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266A9D8"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308.3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78EACE4"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182.4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78B9679"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73.7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1186C50"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20FFF010" w14:textId="77777777" w:rsidR="00A57704" w:rsidRPr="001474CB" w:rsidRDefault="00A57704" w:rsidP="00A57704">
            <w:pPr>
              <w:spacing w:after="0"/>
              <w:jc w:val="center"/>
              <w:rPr>
                <w:rFonts w:ascii="Times New Roman" w:hAnsi="Times New Roman"/>
                <w:bCs/>
                <w:lang w:eastAsia="es-DO"/>
              </w:rPr>
            </w:pPr>
            <w:r>
              <w:rPr>
                <w:rFonts w:ascii="Times New Roman" w:hAnsi="Times New Roman"/>
                <w:bCs/>
                <w:lang w:eastAsia="es-DO"/>
              </w:rPr>
              <w:t>1,486.0</w:t>
            </w:r>
          </w:p>
        </w:tc>
      </w:tr>
      <w:tr w:rsidR="00A57704" w:rsidRPr="001474CB" w14:paraId="0291D678" w14:textId="77777777" w:rsidTr="00BC5AB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AA397" w14:textId="77777777" w:rsidR="00A57704" w:rsidRPr="001474CB" w:rsidRDefault="00A57704" w:rsidP="00A57704">
            <w:pPr>
              <w:spacing w:after="0"/>
              <w:rPr>
                <w:rFonts w:ascii="Times New Roman" w:hAnsi="Times New Roman"/>
                <w:bCs/>
                <w:color w:val="000000"/>
                <w:lang w:eastAsia="es-DO"/>
              </w:rPr>
            </w:pPr>
            <w:r w:rsidRPr="001474CB">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6729FF9"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-33.3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66FF9EC"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-55.3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0D3A887"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41.1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2F51C0F"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-15.2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0423D32"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33.9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8328786"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-67.4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585E9C8"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-38.7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D669025"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-67.7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2B4CA43"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67.2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CC0389E"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-28.8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548DBCA"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-71.5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724BEC8"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17B7D5CD" w14:textId="77777777" w:rsidR="00A57704" w:rsidRPr="001474CB" w:rsidRDefault="00A57704" w:rsidP="00A57704">
            <w:pPr>
              <w:spacing w:after="0"/>
              <w:jc w:val="center"/>
              <w:rPr>
                <w:rFonts w:ascii="Times New Roman" w:hAnsi="Times New Roman"/>
                <w:bCs/>
                <w:lang w:eastAsia="es-DO"/>
              </w:rPr>
            </w:pPr>
            <w:r w:rsidRPr="001474CB">
              <w:rPr>
                <w:rFonts w:ascii="Times New Roman" w:hAnsi="Times New Roman"/>
                <w:bCs/>
                <w:lang w:eastAsia="es-DO"/>
              </w:rPr>
              <w:t>0.6</w:t>
            </w:r>
          </w:p>
        </w:tc>
      </w:tr>
    </w:tbl>
    <w:p w14:paraId="2FDD6787" w14:textId="77777777" w:rsidR="00A57704" w:rsidRPr="00C83490" w:rsidRDefault="00A57704" w:rsidP="00A57704">
      <w:pPr>
        <w:spacing w:after="0"/>
        <w:rPr>
          <w:rFonts w:ascii="Times New Roman" w:hAnsi="Times New Roman"/>
        </w:rPr>
        <w:sectPr w:rsidR="00A57704" w:rsidRPr="00C83490" w:rsidSect="00A57704">
          <w:type w:val="continuous"/>
          <w:pgSz w:w="15840" w:h="12240" w:orient="landscape"/>
          <w:pgMar w:top="1276" w:right="851" w:bottom="851" w:left="1440" w:header="720" w:footer="720" w:gutter="0"/>
          <w:cols w:space="720"/>
          <w:docGrid w:linePitch="360"/>
        </w:sectPr>
      </w:pPr>
    </w:p>
    <w:p w14:paraId="5BD966C8" w14:textId="77777777" w:rsidR="00A57704" w:rsidRPr="00C83490" w:rsidRDefault="00A57704" w:rsidP="00A57704">
      <w:pPr>
        <w:spacing w:after="0"/>
        <w:rPr>
          <w:rFonts w:ascii="Times New Roman" w:hAnsi="Times New Roman"/>
        </w:rPr>
      </w:pPr>
    </w:p>
    <w:p w14:paraId="3E48F51A"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Juma/Bonao</w:t>
      </w:r>
    </w:p>
    <w:p w14:paraId="0FEFB63F" w14:textId="77777777" w:rsidR="00A57704" w:rsidRPr="009E58FD" w:rsidRDefault="00A57704" w:rsidP="00A57704">
      <w:pPr>
        <w:spacing w:after="0"/>
        <w:rPr>
          <w:rFonts w:ascii="Times New Roman" w:hAnsi="Times New Roman"/>
        </w:rPr>
      </w:pPr>
      <w:r>
        <w:rPr>
          <w:noProof/>
          <w:lang w:eastAsia="es-DO"/>
        </w:rPr>
        <w:drawing>
          <wp:inline distT="0" distB="0" distL="0" distR="0" wp14:anchorId="40563D9F" wp14:editId="5DBE9C87">
            <wp:extent cx="3599815" cy="1619250"/>
            <wp:effectExtent l="0" t="0" r="635" b="0"/>
            <wp:docPr id="269" name="Gráfico 269">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74CFFEAF-C218-4BB8-A036-9D03817D6B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7A2F5385" w14:textId="77777777" w:rsidR="00A57704" w:rsidRPr="002D5B20" w:rsidRDefault="00A57704" w:rsidP="00A57704">
      <w:pPr>
        <w:spacing w:after="0"/>
        <w:rPr>
          <w:rFonts w:ascii="Times New Roman" w:hAnsi="Times New Roman"/>
          <w:sz w:val="4"/>
        </w:rPr>
      </w:pPr>
    </w:p>
    <w:p w14:paraId="04A3FDD8" w14:textId="77777777" w:rsidR="00A57704" w:rsidRPr="002D5B20" w:rsidRDefault="00A57704" w:rsidP="00A57704">
      <w:pPr>
        <w:spacing w:after="0"/>
        <w:rPr>
          <w:rFonts w:ascii="Times New Roman" w:hAnsi="Times New Roman"/>
          <w:sz w:val="4"/>
        </w:rPr>
      </w:pPr>
    </w:p>
    <w:p w14:paraId="224E09EF" w14:textId="77777777" w:rsidR="00A57704" w:rsidRPr="002D5B20" w:rsidRDefault="00A57704" w:rsidP="00A57704">
      <w:pPr>
        <w:spacing w:after="0"/>
        <w:rPr>
          <w:rFonts w:ascii="Times New Roman" w:hAnsi="Times New Roman"/>
          <w:sz w:val="4"/>
        </w:rPr>
      </w:pPr>
    </w:p>
    <w:p w14:paraId="26DFCDB9" w14:textId="77777777" w:rsidR="00A57704" w:rsidRPr="002D5B20" w:rsidRDefault="00A57704" w:rsidP="00A57704">
      <w:pPr>
        <w:spacing w:after="0"/>
        <w:rPr>
          <w:rFonts w:ascii="Times New Roman" w:hAnsi="Times New Roman"/>
        </w:rPr>
      </w:pPr>
    </w:p>
    <w:p w14:paraId="72E3F903"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2ED4DAE2" w14:textId="162A7618" w:rsidR="00A57704" w:rsidRDefault="00A57704" w:rsidP="00A57704">
      <w:pPr>
        <w:spacing w:after="0"/>
        <w:rPr>
          <w:rFonts w:ascii="Times New Roman" w:hAnsi="Times New Roman"/>
        </w:rPr>
      </w:pPr>
      <w:r>
        <w:rPr>
          <w:noProof/>
          <w:lang w:eastAsia="es-DO"/>
        </w:rPr>
        <w:drawing>
          <wp:inline distT="0" distB="0" distL="0" distR="0" wp14:anchorId="1AF7C2B7" wp14:editId="6CD841FA">
            <wp:extent cx="3619500" cy="1571625"/>
            <wp:effectExtent l="0" t="0" r="0" b="0"/>
            <wp:docPr id="270" name="Gráfico 270">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96E918C6-599E-48C9-8218-C73BEE7FCC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14:paraId="760145EA" w14:textId="5D70CD92" w:rsidR="00BC5AB8" w:rsidRDefault="00BC5AB8" w:rsidP="00A57704">
      <w:pPr>
        <w:spacing w:after="0"/>
        <w:rPr>
          <w:rFonts w:ascii="Times New Roman" w:hAnsi="Times New Roman"/>
        </w:rPr>
      </w:pPr>
    </w:p>
    <w:p w14:paraId="4B8B324E" w14:textId="77777777" w:rsidR="00BC5AB8" w:rsidRPr="002D5B20" w:rsidRDefault="00BC5AB8" w:rsidP="00A57704">
      <w:pPr>
        <w:spacing w:after="0"/>
        <w:rPr>
          <w:rFonts w:ascii="Times New Roman" w:hAnsi="Times New Roman"/>
        </w:rPr>
        <w:sectPr w:rsidR="00BC5AB8" w:rsidRPr="002D5B20" w:rsidSect="00A57704">
          <w:type w:val="continuous"/>
          <w:pgSz w:w="15840" w:h="12240" w:orient="landscape"/>
          <w:pgMar w:top="1276" w:right="851" w:bottom="851" w:left="1440" w:header="720" w:footer="720" w:gutter="0"/>
          <w:cols w:num="2" w:space="720"/>
          <w:docGrid w:linePitch="360"/>
        </w:sectPr>
      </w:pPr>
    </w:p>
    <w:tbl>
      <w:tblPr>
        <w:tblW w:w="12704" w:type="dxa"/>
        <w:tblInd w:w="-5" w:type="dxa"/>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A57704" w:rsidRPr="001474CB" w14:paraId="3E9AEA3F"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00B050"/>
            <w:noWrap/>
            <w:hideMark/>
          </w:tcPr>
          <w:p w14:paraId="36DDCE11" w14:textId="77777777" w:rsidR="00A57704" w:rsidRPr="00BC5AB8" w:rsidRDefault="00A57704" w:rsidP="00BC5AB8">
            <w:pPr>
              <w:spacing w:after="0"/>
              <w:rPr>
                <w:rFonts w:ascii="Times New Roman" w:hAnsi="Times New Roman"/>
                <w:b/>
                <w:color w:val="FFFFFF" w:themeColor="background1"/>
              </w:rPr>
            </w:pPr>
            <w:r w:rsidRPr="00BC5AB8">
              <w:rPr>
                <w:rFonts w:ascii="Times New Roman" w:hAnsi="Times New Roman"/>
                <w:b/>
                <w:color w:val="FFFFFF" w:themeColor="background1"/>
              </w:rPr>
              <w:t>Constanza</w:t>
            </w:r>
          </w:p>
        </w:tc>
        <w:tc>
          <w:tcPr>
            <w:tcW w:w="760" w:type="dxa"/>
            <w:tcBorders>
              <w:top w:val="single" w:sz="4" w:space="0" w:color="auto"/>
              <w:left w:val="nil"/>
              <w:bottom w:val="single" w:sz="4" w:space="0" w:color="auto"/>
              <w:right w:val="single" w:sz="4" w:space="0" w:color="auto"/>
            </w:tcBorders>
            <w:shd w:val="clear" w:color="auto" w:fill="00B050"/>
            <w:noWrap/>
            <w:hideMark/>
          </w:tcPr>
          <w:p w14:paraId="76374454" w14:textId="77777777" w:rsidR="00A57704" w:rsidRPr="00BC5AB8" w:rsidRDefault="00A57704" w:rsidP="00BC5AB8">
            <w:pPr>
              <w:spacing w:after="0"/>
              <w:rPr>
                <w:rFonts w:ascii="Times New Roman" w:hAnsi="Times New Roman"/>
                <w:b/>
                <w:color w:val="FFFFFF" w:themeColor="background1"/>
              </w:rPr>
            </w:pPr>
            <w:r w:rsidRPr="00BC5AB8">
              <w:rPr>
                <w:rFonts w:ascii="Times New Roman" w:hAnsi="Times New Roman"/>
                <w:b/>
                <w:color w:val="FFFFFF" w:themeColor="background1"/>
              </w:rPr>
              <w:t>Ene</w:t>
            </w:r>
          </w:p>
        </w:tc>
        <w:tc>
          <w:tcPr>
            <w:tcW w:w="760" w:type="dxa"/>
            <w:tcBorders>
              <w:top w:val="single" w:sz="4" w:space="0" w:color="auto"/>
              <w:left w:val="nil"/>
              <w:bottom w:val="single" w:sz="4" w:space="0" w:color="auto"/>
              <w:right w:val="single" w:sz="4" w:space="0" w:color="auto"/>
            </w:tcBorders>
            <w:shd w:val="clear" w:color="auto" w:fill="00B050"/>
            <w:noWrap/>
            <w:hideMark/>
          </w:tcPr>
          <w:p w14:paraId="414548C5" w14:textId="77777777" w:rsidR="00A57704" w:rsidRPr="00BC5AB8" w:rsidRDefault="00A57704" w:rsidP="00BC5AB8">
            <w:pPr>
              <w:spacing w:after="0"/>
              <w:rPr>
                <w:rFonts w:ascii="Times New Roman" w:hAnsi="Times New Roman"/>
                <w:b/>
                <w:color w:val="FFFFFF" w:themeColor="background1"/>
              </w:rPr>
            </w:pPr>
            <w:r w:rsidRPr="00BC5AB8">
              <w:rPr>
                <w:rFonts w:ascii="Times New Roman" w:hAnsi="Times New Roman"/>
                <w:b/>
                <w:color w:val="FFFFFF" w:themeColor="background1"/>
              </w:rPr>
              <w:t>Feb</w:t>
            </w:r>
          </w:p>
        </w:tc>
        <w:tc>
          <w:tcPr>
            <w:tcW w:w="720" w:type="dxa"/>
            <w:tcBorders>
              <w:top w:val="single" w:sz="4" w:space="0" w:color="auto"/>
              <w:left w:val="nil"/>
              <w:bottom w:val="single" w:sz="4" w:space="0" w:color="auto"/>
              <w:right w:val="single" w:sz="4" w:space="0" w:color="auto"/>
            </w:tcBorders>
            <w:shd w:val="clear" w:color="auto" w:fill="00B050"/>
            <w:noWrap/>
            <w:hideMark/>
          </w:tcPr>
          <w:p w14:paraId="1A0589F5" w14:textId="77777777" w:rsidR="00A57704" w:rsidRPr="00BC5AB8" w:rsidRDefault="00A57704" w:rsidP="00BC5AB8">
            <w:pPr>
              <w:spacing w:after="0"/>
              <w:rPr>
                <w:rFonts w:ascii="Times New Roman" w:hAnsi="Times New Roman"/>
                <w:b/>
                <w:color w:val="FFFFFF" w:themeColor="background1"/>
              </w:rPr>
            </w:pPr>
            <w:r w:rsidRPr="00BC5AB8">
              <w:rPr>
                <w:rFonts w:ascii="Times New Roman" w:hAnsi="Times New Roman"/>
                <w:b/>
                <w:color w:val="FFFFFF" w:themeColor="background1"/>
              </w:rPr>
              <w:t>Mar</w:t>
            </w:r>
          </w:p>
        </w:tc>
        <w:tc>
          <w:tcPr>
            <w:tcW w:w="820" w:type="dxa"/>
            <w:tcBorders>
              <w:top w:val="single" w:sz="4" w:space="0" w:color="auto"/>
              <w:left w:val="nil"/>
              <w:bottom w:val="single" w:sz="4" w:space="0" w:color="auto"/>
              <w:right w:val="single" w:sz="4" w:space="0" w:color="auto"/>
            </w:tcBorders>
            <w:shd w:val="clear" w:color="auto" w:fill="00B050"/>
            <w:noWrap/>
            <w:hideMark/>
          </w:tcPr>
          <w:p w14:paraId="618A2E0E" w14:textId="77777777" w:rsidR="00A57704" w:rsidRPr="00BC5AB8" w:rsidRDefault="00A57704" w:rsidP="00BC5AB8">
            <w:pPr>
              <w:spacing w:after="0"/>
              <w:rPr>
                <w:rFonts w:ascii="Times New Roman" w:hAnsi="Times New Roman"/>
                <w:b/>
                <w:color w:val="FFFFFF" w:themeColor="background1"/>
              </w:rPr>
            </w:pPr>
            <w:r w:rsidRPr="00BC5AB8">
              <w:rPr>
                <w:rFonts w:ascii="Times New Roman" w:hAnsi="Times New Roman"/>
                <w:b/>
                <w:color w:val="FFFFFF" w:themeColor="background1"/>
              </w:rPr>
              <w:t>Abr</w:t>
            </w:r>
          </w:p>
        </w:tc>
        <w:tc>
          <w:tcPr>
            <w:tcW w:w="820" w:type="dxa"/>
            <w:tcBorders>
              <w:top w:val="single" w:sz="4" w:space="0" w:color="auto"/>
              <w:left w:val="nil"/>
              <w:bottom w:val="single" w:sz="4" w:space="0" w:color="auto"/>
              <w:right w:val="single" w:sz="4" w:space="0" w:color="auto"/>
            </w:tcBorders>
            <w:shd w:val="clear" w:color="auto" w:fill="00B050"/>
            <w:noWrap/>
            <w:hideMark/>
          </w:tcPr>
          <w:p w14:paraId="0D15B5D1" w14:textId="77777777" w:rsidR="00A57704" w:rsidRPr="00BC5AB8" w:rsidRDefault="00A57704" w:rsidP="00BC5AB8">
            <w:pPr>
              <w:spacing w:after="0"/>
              <w:rPr>
                <w:rFonts w:ascii="Times New Roman" w:hAnsi="Times New Roman"/>
                <w:b/>
                <w:color w:val="FFFFFF" w:themeColor="background1"/>
              </w:rPr>
            </w:pPr>
            <w:r w:rsidRPr="00BC5AB8">
              <w:rPr>
                <w:rFonts w:ascii="Times New Roman" w:hAnsi="Times New Roman"/>
                <w:b/>
                <w:color w:val="FFFFFF" w:themeColor="background1"/>
              </w:rPr>
              <w:t>May</w:t>
            </w:r>
          </w:p>
        </w:tc>
        <w:tc>
          <w:tcPr>
            <w:tcW w:w="820" w:type="dxa"/>
            <w:tcBorders>
              <w:top w:val="single" w:sz="4" w:space="0" w:color="auto"/>
              <w:left w:val="nil"/>
              <w:bottom w:val="single" w:sz="4" w:space="0" w:color="auto"/>
              <w:right w:val="single" w:sz="4" w:space="0" w:color="auto"/>
            </w:tcBorders>
            <w:shd w:val="clear" w:color="auto" w:fill="00B050"/>
            <w:noWrap/>
            <w:hideMark/>
          </w:tcPr>
          <w:p w14:paraId="14ECC787" w14:textId="77777777" w:rsidR="00A57704" w:rsidRPr="00BC5AB8" w:rsidRDefault="00A57704" w:rsidP="00BC5AB8">
            <w:pPr>
              <w:spacing w:after="0"/>
              <w:rPr>
                <w:rFonts w:ascii="Times New Roman" w:hAnsi="Times New Roman"/>
                <w:b/>
                <w:color w:val="FFFFFF" w:themeColor="background1"/>
              </w:rPr>
            </w:pPr>
            <w:r w:rsidRPr="00BC5AB8">
              <w:rPr>
                <w:rFonts w:ascii="Times New Roman" w:hAnsi="Times New Roman"/>
                <w:b/>
                <w:color w:val="FFFFFF" w:themeColor="background1"/>
              </w:rPr>
              <w:t>Jun</w:t>
            </w:r>
          </w:p>
        </w:tc>
        <w:tc>
          <w:tcPr>
            <w:tcW w:w="760" w:type="dxa"/>
            <w:tcBorders>
              <w:top w:val="single" w:sz="4" w:space="0" w:color="auto"/>
              <w:left w:val="nil"/>
              <w:bottom w:val="single" w:sz="4" w:space="0" w:color="auto"/>
              <w:right w:val="single" w:sz="4" w:space="0" w:color="auto"/>
            </w:tcBorders>
            <w:shd w:val="clear" w:color="auto" w:fill="00B050"/>
            <w:noWrap/>
            <w:hideMark/>
          </w:tcPr>
          <w:p w14:paraId="5AAF4D26" w14:textId="77777777" w:rsidR="00A57704" w:rsidRPr="00BC5AB8" w:rsidRDefault="00A57704" w:rsidP="00BC5AB8">
            <w:pPr>
              <w:spacing w:after="0"/>
              <w:rPr>
                <w:rFonts w:ascii="Times New Roman" w:hAnsi="Times New Roman"/>
                <w:b/>
                <w:color w:val="FFFFFF" w:themeColor="background1"/>
              </w:rPr>
            </w:pPr>
            <w:r w:rsidRPr="00BC5AB8">
              <w:rPr>
                <w:rFonts w:ascii="Times New Roman" w:hAnsi="Times New Roman"/>
                <w:b/>
                <w:color w:val="FFFFFF" w:themeColor="background1"/>
              </w:rPr>
              <w:t>Jul</w:t>
            </w:r>
          </w:p>
        </w:tc>
        <w:tc>
          <w:tcPr>
            <w:tcW w:w="820" w:type="dxa"/>
            <w:tcBorders>
              <w:top w:val="single" w:sz="4" w:space="0" w:color="auto"/>
              <w:left w:val="nil"/>
              <w:bottom w:val="single" w:sz="4" w:space="0" w:color="auto"/>
              <w:right w:val="single" w:sz="4" w:space="0" w:color="auto"/>
            </w:tcBorders>
            <w:shd w:val="clear" w:color="auto" w:fill="00B050"/>
            <w:noWrap/>
            <w:hideMark/>
          </w:tcPr>
          <w:p w14:paraId="122F931C" w14:textId="77777777" w:rsidR="00A57704" w:rsidRPr="00BC5AB8" w:rsidRDefault="00A57704" w:rsidP="00BC5AB8">
            <w:pPr>
              <w:spacing w:after="0"/>
              <w:rPr>
                <w:rFonts w:ascii="Times New Roman" w:hAnsi="Times New Roman"/>
                <w:b/>
                <w:color w:val="FFFFFF" w:themeColor="background1"/>
              </w:rPr>
            </w:pPr>
            <w:r w:rsidRPr="00BC5AB8">
              <w:rPr>
                <w:rFonts w:ascii="Times New Roman" w:hAnsi="Times New Roman"/>
                <w:b/>
                <w:color w:val="FFFFFF" w:themeColor="background1"/>
              </w:rPr>
              <w:t>Ago</w:t>
            </w:r>
          </w:p>
        </w:tc>
        <w:tc>
          <w:tcPr>
            <w:tcW w:w="820" w:type="dxa"/>
            <w:tcBorders>
              <w:top w:val="single" w:sz="4" w:space="0" w:color="auto"/>
              <w:left w:val="nil"/>
              <w:bottom w:val="single" w:sz="4" w:space="0" w:color="auto"/>
              <w:right w:val="single" w:sz="4" w:space="0" w:color="auto"/>
            </w:tcBorders>
            <w:shd w:val="clear" w:color="auto" w:fill="00B050"/>
            <w:noWrap/>
            <w:hideMark/>
          </w:tcPr>
          <w:p w14:paraId="462B46A7" w14:textId="77777777" w:rsidR="00A57704" w:rsidRPr="00BC5AB8" w:rsidRDefault="00A57704" w:rsidP="00BC5AB8">
            <w:pPr>
              <w:spacing w:after="0"/>
              <w:rPr>
                <w:rFonts w:ascii="Times New Roman" w:hAnsi="Times New Roman"/>
                <w:b/>
                <w:color w:val="FFFFFF" w:themeColor="background1"/>
              </w:rPr>
            </w:pPr>
            <w:r w:rsidRPr="00BC5AB8">
              <w:rPr>
                <w:rFonts w:ascii="Times New Roman" w:hAnsi="Times New Roman"/>
                <w:b/>
                <w:color w:val="FFFFFF" w:themeColor="background1"/>
              </w:rPr>
              <w:t>Sep</w:t>
            </w:r>
          </w:p>
        </w:tc>
        <w:tc>
          <w:tcPr>
            <w:tcW w:w="820" w:type="dxa"/>
            <w:tcBorders>
              <w:top w:val="single" w:sz="4" w:space="0" w:color="auto"/>
              <w:left w:val="nil"/>
              <w:bottom w:val="single" w:sz="4" w:space="0" w:color="auto"/>
              <w:right w:val="single" w:sz="4" w:space="0" w:color="auto"/>
            </w:tcBorders>
            <w:shd w:val="clear" w:color="auto" w:fill="00B050"/>
            <w:noWrap/>
            <w:hideMark/>
          </w:tcPr>
          <w:p w14:paraId="05425854" w14:textId="77777777" w:rsidR="00A57704" w:rsidRPr="00BC5AB8" w:rsidRDefault="00A57704" w:rsidP="00BC5AB8">
            <w:pPr>
              <w:spacing w:after="0"/>
              <w:rPr>
                <w:rFonts w:ascii="Times New Roman" w:hAnsi="Times New Roman"/>
                <w:b/>
                <w:color w:val="FFFFFF" w:themeColor="background1"/>
              </w:rPr>
            </w:pPr>
            <w:r w:rsidRPr="00BC5AB8">
              <w:rPr>
                <w:rFonts w:ascii="Times New Roman" w:hAnsi="Times New Roman"/>
                <w:b/>
                <w:color w:val="FFFFFF" w:themeColor="background1"/>
              </w:rPr>
              <w:t>Oct</w:t>
            </w:r>
          </w:p>
        </w:tc>
        <w:tc>
          <w:tcPr>
            <w:tcW w:w="760" w:type="dxa"/>
            <w:tcBorders>
              <w:top w:val="single" w:sz="4" w:space="0" w:color="auto"/>
              <w:left w:val="nil"/>
              <w:bottom w:val="single" w:sz="4" w:space="0" w:color="auto"/>
              <w:right w:val="single" w:sz="4" w:space="0" w:color="auto"/>
            </w:tcBorders>
            <w:shd w:val="clear" w:color="auto" w:fill="00B050"/>
            <w:noWrap/>
            <w:hideMark/>
          </w:tcPr>
          <w:p w14:paraId="5D4331F5" w14:textId="77777777" w:rsidR="00A57704" w:rsidRPr="00BC5AB8" w:rsidRDefault="00A57704" w:rsidP="00BC5AB8">
            <w:pPr>
              <w:spacing w:after="0"/>
              <w:rPr>
                <w:rFonts w:ascii="Times New Roman" w:hAnsi="Times New Roman"/>
                <w:b/>
                <w:color w:val="FFFFFF" w:themeColor="background1"/>
              </w:rPr>
            </w:pPr>
            <w:r w:rsidRPr="00BC5AB8">
              <w:rPr>
                <w:rFonts w:ascii="Times New Roman" w:hAnsi="Times New Roman"/>
                <w:b/>
                <w:color w:val="FFFFFF" w:themeColor="background1"/>
              </w:rPr>
              <w:t>Nov</w:t>
            </w:r>
          </w:p>
        </w:tc>
        <w:tc>
          <w:tcPr>
            <w:tcW w:w="720" w:type="dxa"/>
            <w:tcBorders>
              <w:top w:val="single" w:sz="4" w:space="0" w:color="auto"/>
              <w:left w:val="nil"/>
              <w:bottom w:val="single" w:sz="4" w:space="0" w:color="auto"/>
              <w:right w:val="single" w:sz="4" w:space="0" w:color="auto"/>
            </w:tcBorders>
            <w:shd w:val="clear" w:color="auto" w:fill="00B050"/>
            <w:noWrap/>
            <w:hideMark/>
          </w:tcPr>
          <w:p w14:paraId="75E05A9E" w14:textId="77777777" w:rsidR="00A57704" w:rsidRPr="00BC5AB8" w:rsidRDefault="00A57704" w:rsidP="00BC5AB8">
            <w:pPr>
              <w:spacing w:after="0"/>
              <w:rPr>
                <w:rFonts w:ascii="Times New Roman" w:hAnsi="Times New Roman"/>
                <w:b/>
                <w:color w:val="FFFFFF" w:themeColor="background1"/>
              </w:rPr>
            </w:pPr>
            <w:r w:rsidRPr="00BC5AB8">
              <w:rPr>
                <w:rFonts w:ascii="Times New Roman" w:hAnsi="Times New Roman"/>
                <w:b/>
                <w:color w:val="FFFFFF" w:themeColor="background1"/>
              </w:rPr>
              <w:t>Dic</w:t>
            </w:r>
          </w:p>
        </w:tc>
        <w:tc>
          <w:tcPr>
            <w:tcW w:w="1100" w:type="dxa"/>
            <w:tcBorders>
              <w:top w:val="single" w:sz="4" w:space="0" w:color="auto"/>
              <w:left w:val="nil"/>
              <w:bottom w:val="single" w:sz="4" w:space="0" w:color="auto"/>
              <w:right w:val="single" w:sz="4" w:space="0" w:color="auto"/>
            </w:tcBorders>
            <w:shd w:val="clear" w:color="auto" w:fill="00B050"/>
            <w:noWrap/>
            <w:hideMark/>
          </w:tcPr>
          <w:p w14:paraId="3B015EB4" w14:textId="77777777" w:rsidR="00A57704" w:rsidRPr="00BC5AB8" w:rsidRDefault="00A57704" w:rsidP="00BC5AB8">
            <w:pPr>
              <w:spacing w:after="0"/>
              <w:rPr>
                <w:rFonts w:ascii="Times New Roman" w:hAnsi="Times New Roman"/>
                <w:b/>
                <w:color w:val="FFFFFF" w:themeColor="background1"/>
              </w:rPr>
            </w:pPr>
            <w:r w:rsidRPr="00BC5AB8">
              <w:rPr>
                <w:rFonts w:ascii="Times New Roman" w:hAnsi="Times New Roman"/>
                <w:b/>
                <w:color w:val="FFFFFF" w:themeColor="background1"/>
              </w:rPr>
              <w:t>Año</w:t>
            </w:r>
          </w:p>
        </w:tc>
      </w:tr>
      <w:tr w:rsidR="00A57704" w:rsidRPr="001474CB" w14:paraId="608AF934"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581937F8" w14:textId="77777777" w:rsidR="00A57704" w:rsidRPr="001474CB" w:rsidRDefault="00A57704" w:rsidP="00A57704">
            <w:pPr>
              <w:spacing w:after="0"/>
              <w:rPr>
                <w:rFonts w:ascii="Times New Roman" w:hAnsi="Times New Roman"/>
              </w:rPr>
            </w:pPr>
            <w:r w:rsidRPr="001474CB">
              <w:rPr>
                <w:rFonts w:ascii="Times New Roman" w:hAnsi="Times New Roman"/>
              </w:rPr>
              <w:t>Normal</w:t>
            </w:r>
          </w:p>
        </w:tc>
        <w:tc>
          <w:tcPr>
            <w:tcW w:w="760" w:type="dxa"/>
            <w:tcBorders>
              <w:top w:val="single" w:sz="4" w:space="0" w:color="auto"/>
              <w:left w:val="nil"/>
              <w:bottom w:val="single" w:sz="4" w:space="0" w:color="auto"/>
              <w:right w:val="single" w:sz="4" w:space="0" w:color="auto"/>
            </w:tcBorders>
            <w:shd w:val="clear" w:color="auto" w:fill="auto"/>
            <w:noWrap/>
            <w:hideMark/>
          </w:tcPr>
          <w:p w14:paraId="5A851110" w14:textId="77777777" w:rsidR="00A57704" w:rsidRPr="001474CB" w:rsidRDefault="00A57704" w:rsidP="00A57704">
            <w:pPr>
              <w:spacing w:after="0"/>
              <w:jc w:val="center"/>
              <w:rPr>
                <w:rFonts w:ascii="Times New Roman" w:hAnsi="Times New Roman"/>
              </w:rPr>
            </w:pPr>
            <w:r w:rsidRPr="001474CB">
              <w:rPr>
                <w:rFonts w:ascii="Times New Roman" w:hAnsi="Times New Roman"/>
              </w:rPr>
              <w:t>26.9</w:t>
            </w:r>
          </w:p>
        </w:tc>
        <w:tc>
          <w:tcPr>
            <w:tcW w:w="760" w:type="dxa"/>
            <w:tcBorders>
              <w:top w:val="single" w:sz="4" w:space="0" w:color="auto"/>
              <w:left w:val="nil"/>
              <w:bottom w:val="single" w:sz="4" w:space="0" w:color="auto"/>
              <w:right w:val="single" w:sz="4" w:space="0" w:color="auto"/>
            </w:tcBorders>
            <w:shd w:val="clear" w:color="auto" w:fill="auto"/>
            <w:noWrap/>
            <w:hideMark/>
          </w:tcPr>
          <w:p w14:paraId="3DEC8933" w14:textId="77777777" w:rsidR="00A57704" w:rsidRPr="001474CB" w:rsidRDefault="00A57704" w:rsidP="00A57704">
            <w:pPr>
              <w:spacing w:after="0"/>
              <w:jc w:val="center"/>
              <w:rPr>
                <w:rFonts w:ascii="Times New Roman" w:hAnsi="Times New Roman"/>
              </w:rPr>
            </w:pPr>
            <w:r w:rsidRPr="001474CB">
              <w:rPr>
                <w:rFonts w:ascii="Times New Roman" w:hAnsi="Times New Roman"/>
              </w:rPr>
              <w:t>31.2</w:t>
            </w:r>
          </w:p>
        </w:tc>
        <w:tc>
          <w:tcPr>
            <w:tcW w:w="720" w:type="dxa"/>
            <w:tcBorders>
              <w:top w:val="single" w:sz="4" w:space="0" w:color="auto"/>
              <w:left w:val="nil"/>
              <w:bottom w:val="single" w:sz="4" w:space="0" w:color="auto"/>
              <w:right w:val="single" w:sz="4" w:space="0" w:color="auto"/>
            </w:tcBorders>
            <w:shd w:val="clear" w:color="auto" w:fill="auto"/>
            <w:noWrap/>
            <w:hideMark/>
          </w:tcPr>
          <w:p w14:paraId="36584311" w14:textId="77777777" w:rsidR="00A57704" w:rsidRPr="001474CB" w:rsidRDefault="00A57704" w:rsidP="00A57704">
            <w:pPr>
              <w:spacing w:after="0"/>
              <w:jc w:val="center"/>
              <w:rPr>
                <w:rFonts w:ascii="Times New Roman" w:hAnsi="Times New Roman"/>
              </w:rPr>
            </w:pPr>
            <w:r w:rsidRPr="001474CB">
              <w:rPr>
                <w:rFonts w:ascii="Times New Roman" w:hAnsi="Times New Roman"/>
              </w:rPr>
              <w:t>36.4</w:t>
            </w:r>
          </w:p>
        </w:tc>
        <w:tc>
          <w:tcPr>
            <w:tcW w:w="820" w:type="dxa"/>
            <w:tcBorders>
              <w:top w:val="single" w:sz="4" w:space="0" w:color="auto"/>
              <w:left w:val="nil"/>
              <w:bottom w:val="single" w:sz="4" w:space="0" w:color="auto"/>
              <w:right w:val="single" w:sz="4" w:space="0" w:color="auto"/>
            </w:tcBorders>
            <w:shd w:val="clear" w:color="auto" w:fill="auto"/>
            <w:noWrap/>
            <w:hideMark/>
          </w:tcPr>
          <w:p w14:paraId="7311BF56" w14:textId="77777777" w:rsidR="00A57704" w:rsidRPr="001474CB" w:rsidRDefault="00A57704" w:rsidP="00A57704">
            <w:pPr>
              <w:spacing w:after="0"/>
              <w:jc w:val="center"/>
              <w:rPr>
                <w:rFonts w:ascii="Times New Roman" w:hAnsi="Times New Roman"/>
              </w:rPr>
            </w:pPr>
            <w:r w:rsidRPr="001474CB">
              <w:rPr>
                <w:rFonts w:ascii="Times New Roman" w:hAnsi="Times New Roman"/>
              </w:rPr>
              <w:t>57.8</w:t>
            </w:r>
          </w:p>
        </w:tc>
        <w:tc>
          <w:tcPr>
            <w:tcW w:w="820" w:type="dxa"/>
            <w:tcBorders>
              <w:top w:val="single" w:sz="4" w:space="0" w:color="auto"/>
              <w:left w:val="nil"/>
              <w:bottom w:val="single" w:sz="4" w:space="0" w:color="auto"/>
              <w:right w:val="single" w:sz="4" w:space="0" w:color="auto"/>
            </w:tcBorders>
            <w:shd w:val="clear" w:color="auto" w:fill="auto"/>
            <w:noWrap/>
            <w:hideMark/>
          </w:tcPr>
          <w:p w14:paraId="0AE6301F" w14:textId="77777777" w:rsidR="00A57704" w:rsidRPr="001474CB" w:rsidRDefault="00A57704" w:rsidP="00A57704">
            <w:pPr>
              <w:spacing w:after="0"/>
              <w:jc w:val="center"/>
              <w:rPr>
                <w:rFonts w:ascii="Times New Roman" w:hAnsi="Times New Roman"/>
              </w:rPr>
            </w:pPr>
            <w:r w:rsidRPr="001474CB">
              <w:rPr>
                <w:rFonts w:ascii="Times New Roman" w:hAnsi="Times New Roman"/>
              </w:rPr>
              <w:t>167.5</w:t>
            </w:r>
          </w:p>
        </w:tc>
        <w:tc>
          <w:tcPr>
            <w:tcW w:w="820" w:type="dxa"/>
            <w:tcBorders>
              <w:top w:val="single" w:sz="4" w:space="0" w:color="auto"/>
              <w:left w:val="nil"/>
              <w:bottom w:val="single" w:sz="4" w:space="0" w:color="auto"/>
              <w:right w:val="single" w:sz="4" w:space="0" w:color="auto"/>
            </w:tcBorders>
            <w:shd w:val="clear" w:color="auto" w:fill="auto"/>
            <w:noWrap/>
            <w:hideMark/>
          </w:tcPr>
          <w:p w14:paraId="3BD0BBB3" w14:textId="77777777" w:rsidR="00A57704" w:rsidRPr="001474CB" w:rsidRDefault="00A57704" w:rsidP="00A57704">
            <w:pPr>
              <w:spacing w:after="0"/>
              <w:jc w:val="center"/>
              <w:rPr>
                <w:rFonts w:ascii="Times New Roman" w:hAnsi="Times New Roman"/>
              </w:rPr>
            </w:pPr>
            <w:r w:rsidRPr="001474CB">
              <w:rPr>
                <w:rFonts w:ascii="Times New Roman" w:hAnsi="Times New Roman"/>
              </w:rPr>
              <w:t>96.1</w:t>
            </w:r>
          </w:p>
        </w:tc>
        <w:tc>
          <w:tcPr>
            <w:tcW w:w="760" w:type="dxa"/>
            <w:tcBorders>
              <w:top w:val="single" w:sz="4" w:space="0" w:color="auto"/>
              <w:left w:val="nil"/>
              <w:bottom w:val="single" w:sz="4" w:space="0" w:color="auto"/>
              <w:right w:val="single" w:sz="4" w:space="0" w:color="auto"/>
            </w:tcBorders>
            <w:shd w:val="clear" w:color="auto" w:fill="auto"/>
            <w:noWrap/>
            <w:hideMark/>
          </w:tcPr>
          <w:p w14:paraId="51BDA2D5" w14:textId="77777777" w:rsidR="00A57704" w:rsidRPr="001474CB" w:rsidRDefault="00A57704" w:rsidP="00A57704">
            <w:pPr>
              <w:spacing w:after="0"/>
              <w:jc w:val="center"/>
              <w:rPr>
                <w:rFonts w:ascii="Times New Roman" w:hAnsi="Times New Roman"/>
              </w:rPr>
            </w:pPr>
            <w:r w:rsidRPr="001474CB">
              <w:rPr>
                <w:rFonts w:ascii="Times New Roman" w:hAnsi="Times New Roman"/>
              </w:rPr>
              <w:t>64.3</w:t>
            </w:r>
          </w:p>
        </w:tc>
        <w:tc>
          <w:tcPr>
            <w:tcW w:w="820" w:type="dxa"/>
            <w:tcBorders>
              <w:top w:val="single" w:sz="4" w:space="0" w:color="auto"/>
              <w:left w:val="nil"/>
              <w:bottom w:val="single" w:sz="4" w:space="0" w:color="auto"/>
              <w:right w:val="single" w:sz="4" w:space="0" w:color="auto"/>
            </w:tcBorders>
            <w:shd w:val="clear" w:color="auto" w:fill="auto"/>
            <w:noWrap/>
            <w:hideMark/>
          </w:tcPr>
          <w:p w14:paraId="731CB94A" w14:textId="77777777" w:rsidR="00A57704" w:rsidRPr="001474CB" w:rsidRDefault="00A57704" w:rsidP="00A57704">
            <w:pPr>
              <w:spacing w:after="0"/>
              <w:jc w:val="center"/>
              <w:rPr>
                <w:rFonts w:ascii="Times New Roman" w:hAnsi="Times New Roman"/>
              </w:rPr>
            </w:pPr>
            <w:r w:rsidRPr="001474CB">
              <w:rPr>
                <w:rFonts w:ascii="Times New Roman" w:hAnsi="Times New Roman"/>
              </w:rPr>
              <w:t>133.4</w:t>
            </w:r>
          </w:p>
        </w:tc>
        <w:tc>
          <w:tcPr>
            <w:tcW w:w="820" w:type="dxa"/>
            <w:tcBorders>
              <w:top w:val="single" w:sz="4" w:space="0" w:color="auto"/>
              <w:left w:val="nil"/>
              <w:bottom w:val="single" w:sz="4" w:space="0" w:color="auto"/>
              <w:right w:val="single" w:sz="4" w:space="0" w:color="auto"/>
            </w:tcBorders>
            <w:shd w:val="clear" w:color="auto" w:fill="auto"/>
            <w:noWrap/>
            <w:hideMark/>
          </w:tcPr>
          <w:p w14:paraId="2FFD4C03" w14:textId="77777777" w:rsidR="00A57704" w:rsidRPr="001474CB" w:rsidRDefault="00A57704" w:rsidP="00A57704">
            <w:pPr>
              <w:spacing w:after="0"/>
              <w:jc w:val="center"/>
              <w:rPr>
                <w:rFonts w:ascii="Times New Roman" w:hAnsi="Times New Roman"/>
              </w:rPr>
            </w:pPr>
            <w:r w:rsidRPr="001474CB">
              <w:rPr>
                <w:rFonts w:ascii="Times New Roman" w:hAnsi="Times New Roman"/>
              </w:rPr>
              <w:t>128.5</w:t>
            </w:r>
          </w:p>
        </w:tc>
        <w:tc>
          <w:tcPr>
            <w:tcW w:w="820" w:type="dxa"/>
            <w:tcBorders>
              <w:top w:val="single" w:sz="4" w:space="0" w:color="auto"/>
              <w:left w:val="nil"/>
              <w:bottom w:val="single" w:sz="4" w:space="0" w:color="auto"/>
              <w:right w:val="single" w:sz="4" w:space="0" w:color="auto"/>
            </w:tcBorders>
            <w:shd w:val="clear" w:color="auto" w:fill="auto"/>
            <w:noWrap/>
            <w:hideMark/>
          </w:tcPr>
          <w:p w14:paraId="2359D9F2" w14:textId="77777777" w:rsidR="00A57704" w:rsidRPr="001474CB" w:rsidRDefault="00A57704" w:rsidP="00A57704">
            <w:pPr>
              <w:spacing w:after="0"/>
              <w:jc w:val="center"/>
              <w:rPr>
                <w:rFonts w:ascii="Times New Roman" w:hAnsi="Times New Roman"/>
              </w:rPr>
            </w:pPr>
            <w:r w:rsidRPr="001474CB">
              <w:rPr>
                <w:rFonts w:ascii="Times New Roman" w:hAnsi="Times New Roman"/>
              </w:rPr>
              <w:t>101.8</w:t>
            </w:r>
          </w:p>
        </w:tc>
        <w:tc>
          <w:tcPr>
            <w:tcW w:w="760" w:type="dxa"/>
            <w:tcBorders>
              <w:top w:val="single" w:sz="4" w:space="0" w:color="auto"/>
              <w:left w:val="nil"/>
              <w:bottom w:val="single" w:sz="4" w:space="0" w:color="auto"/>
              <w:right w:val="single" w:sz="4" w:space="0" w:color="auto"/>
            </w:tcBorders>
            <w:shd w:val="clear" w:color="auto" w:fill="auto"/>
            <w:noWrap/>
            <w:hideMark/>
          </w:tcPr>
          <w:p w14:paraId="490ADDFF" w14:textId="77777777" w:rsidR="00A57704" w:rsidRPr="001474CB" w:rsidRDefault="00A57704" w:rsidP="00A57704">
            <w:pPr>
              <w:spacing w:after="0"/>
              <w:jc w:val="center"/>
              <w:rPr>
                <w:rFonts w:ascii="Times New Roman" w:hAnsi="Times New Roman"/>
              </w:rPr>
            </w:pPr>
            <w:r w:rsidRPr="001474CB">
              <w:rPr>
                <w:rFonts w:ascii="Times New Roman" w:hAnsi="Times New Roman"/>
              </w:rPr>
              <w:t>70.7</w:t>
            </w:r>
          </w:p>
        </w:tc>
        <w:tc>
          <w:tcPr>
            <w:tcW w:w="720" w:type="dxa"/>
            <w:tcBorders>
              <w:top w:val="single" w:sz="4" w:space="0" w:color="auto"/>
              <w:left w:val="nil"/>
              <w:bottom w:val="single" w:sz="4" w:space="0" w:color="auto"/>
              <w:right w:val="single" w:sz="4" w:space="0" w:color="auto"/>
            </w:tcBorders>
            <w:shd w:val="clear" w:color="auto" w:fill="auto"/>
            <w:noWrap/>
            <w:hideMark/>
          </w:tcPr>
          <w:p w14:paraId="40F36B9C" w14:textId="77777777" w:rsidR="00A57704" w:rsidRPr="001474CB" w:rsidRDefault="00A57704" w:rsidP="00A57704">
            <w:pPr>
              <w:spacing w:after="0"/>
              <w:jc w:val="center"/>
              <w:rPr>
                <w:rFonts w:ascii="Times New Roman" w:hAnsi="Times New Roman"/>
              </w:rPr>
            </w:pPr>
            <w:r w:rsidRPr="001474CB">
              <w:rPr>
                <w:rFonts w:ascii="Times New Roman" w:hAnsi="Times New Roman"/>
              </w:rPr>
              <w:t>41.8</w:t>
            </w:r>
          </w:p>
        </w:tc>
        <w:tc>
          <w:tcPr>
            <w:tcW w:w="1100" w:type="dxa"/>
            <w:tcBorders>
              <w:top w:val="single" w:sz="4" w:space="0" w:color="auto"/>
              <w:left w:val="nil"/>
              <w:bottom w:val="single" w:sz="4" w:space="0" w:color="auto"/>
              <w:right w:val="single" w:sz="4" w:space="0" w:color="auto"/>
            </w:tcBorders>
            <w:shd w:val="clear" w:color="auto" w:fill="auto"/>
            <w:noWrap/>
            <w:hideMark/>
          </w:tcPr>
          <w:p w14:paraId="55740FB2" w14:textId="77777777" w:rsidR="00A57704" w:rsidRPr="001474CB" w:rsidRDefault="00A57704" w:rsidP="00A57704">
            <w:pPr>
              <w:spacing w:after="0"/>
              <w:jc w:val="center"/>
              <w:rPr>
                <w:rFonts w:ascii="Times New Roman" w:hAnsi="Times New Roman"/>
              </w:rPr>
            </w:pPr>
            <w:r w:rsidRPr="001474CB">
              <w:rPr>
                <w:rFonts w:ascii="Times New Roman" w:hAnsi="Times New Roman"/>
              </w:rPr>
              <w:t>956.4</w:t>
            </w:r>
          </w:p>
        </w:tc>
      </w:tr>
      <w:tr w:rsidR="00A57704" w:rsidRPr="001474CB" w14:paraId="1A6EBBC9"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4E871C0D" w14:textId="77777777" w:rsidR="00A57704" w:rsidRPr="001474CB" w:rsidRDefault="00A57704" w:rsidP="00A57704">
            <w:pPr>
              <w:spacing w:after="0"/>
              <w:rPr>
                <w:rFonts w:ascii="Times New Roman" w:hAnsi="Times New Roman"/>
              </w:rPr>
            </w:pPr>
            <w:r w:rsidRPr="001474CB">
              <w:rPr>
                <w:rFonts w:ascii="Times New Roman" w:hAnsi="Times New Roman"/>
              </w:rPr>
              <w:t xml:space="preserve">Precipitación </w:t>
            </w:r>
            <w:r>
              <w:rPr>
                <w:rFonts w:ascii="Times New Roman" w:hAnsi="Times New Roman"/>
              </w:rPr>
              <w:t>2019</w:t>
            </w:r>
          </w:p>
        </w:tc>
        <w:tc>
          <w:tcPr>
            <w:tcW w:w="760" w:type="dxa"/>
            <w:tcBorders>
              <w:top w:val="single" w:sz="4" w:space="0" w:color="auto"/>
              <w:left w:val="nil"/>
              <w:bottom w:val="single" w:sz="4" w:space="0" w:color="auto"/>
              <w:right w:val="single" w:sz="4" w:space="0" w:color="auto"/>
            </w:tcBorders>
            <w:shd w:val="clear" w:color="auto" w:fill="auto"/>
            <w:noWrap/>
            <w:hideMark/>
          </w:tcPr>
          <w:p w14:paraId="304C0899" w14:textId="77777777" w:rsidR="00A57704" w:rsidRPr="001474CB" w:rsidRDefault="00A57704" w:rsidP="00A57704">
            <w:pPr>
              <w:spacing w:after="0"/>
              <w:jc w:val="center"/>
              <w:rPr>
                <w:rFonts w:ascii="Times New Roman" w:hAnsi="Times New Roman"/>
              </w:rPr>
            </w:pPr>
            <w:r>
              <w:rPr>
                <w:rFonts w:ascii="Times New Roman" w:hAnsi="Times New Roman"/>
              </w:rPr>
              <w:t>9.3</w:t>
            </w:r>
          </w:p>
        </w:tc>
        <w:tc>
          <w:tcPr>
            <w:tcW w:w="760" w:type="dxa"/>
            <w:tcBorders>
              <w:top w:val="single" w:sz="4" w:space="0" w:color="auto"/>
              <w:left w:val="nil"/>
              <w:bottom w:val="single" w:sz="4" w:space="0" w:color="auto"/>
              <w:right w:val="single" w:sz="4" w:space="0" w:color="auto"/>
            </w:tcBorders>
            <w:shd w:val="clear" w:color="auto" w:fill="auto"/>
            <w:noWrap/>
            <w:hideMark/>
          </w:tcPr>
          <w:p w14:paraId="6FF2A24E" w14:textId="77777777" w:rsidR="00A57704" w:rsidRPr="001474CB" w:rsidRDefault="00A57704" w:rsidP="00A57704">
            <w:pPr>
              <w:spacing w:after="0"/>
              <w:jc w:val="center"/>
              <w:rPr>
                <w:rFonts w:ascii="Times New Roman" w:hAnsi="Times New Roman"/>
              </w:rPr>
            </w:pPr>
            <w:r>
              <w:rPr>
                <w:rFonts w:ascii="Times New Roman" w:hAnsi="Times New Roman"/>
              </w:rPr>
              <w:t>11.8</w:t>
            </w:r>
          </w:p>
        </w:tc>
        <w:tc>
          <w:tcPr>
            <w:tcW w:w="720" w:type="dxa"/>
            <w:tcBorders>
              <w:top w:val="single" w:sz="4" w:space="0" w:color="auto"/>
              <w:left w:val="nil"/>
              <w:bottom w:val="single" w:sz="4" w:space="0" w:color="auto"/>
              <w:right w:val="single" w:sz="4" w:space="0" w:color="auto"/>
            </w:tcBorders>
            <w:shd w:val="clear" w:color="auto" w:fill="auto"/>
            <w:noWrap/>
            <w:hideMark/>
          </w:tcPr>
          <w:p w14:paraId="4A498A8A" w14:textId="77777777" w:rsidR="00A57704" w:rsidRPr="001474CB" w:rsidRDefault="00A57704" w:rsidP="00A57704">
            <w:pPr>
              <w:spacing w:after="0"/>
              <w:jc w:val="center"/>
              <w:rPr>
                <w:rFonts w:ascii="Times New Roman" w:hAnsi="Times New Roman"/>
              </w:rPr>
            </w:pPr>
            <w:r>
              <w:rPr>
                <w:rFonts w:ascii="Times New Roman" w:hAnsi="Times New Roman"/>
              </w:rPr>
              <w:t>74.9</w:t>
            </w:r>
          </w:p>
        </w:tc>
        <w:tc>
          <w:tcPr>
            <w:tcW w:w="820" w:type="dxa"/>
            <w:tcBorders>
              <w:top w:val="single" w:sz="4" w:space="0" w:color="auto"/>
              <w:left w:val="nil"/>
              <w:bottom w:val="single" w:sz="4" w:space="0" w:color="auto"/>
              <w:right w:val="single" w:sz="4" w:space="0" w:color="auto"/>
            </w:tcBorders>
            <w:shd w:val="clear" w:color="auto" w:fill="auto"/>
            <w:noWrap/>
            <w:hideMark/>
          </w:tcPr>
          <w:p w14:paraId="0254A1E2" w14:textId="77777777" w:rsidR="00A57704" w:rsidRPr="001474CB" w:rsidRDefault="00A57704" w:rsidP="00A57704">
            <w:pPr>
              <w:spacing w:after="0"/>
              <w:jc w:val="center"/>
              <w:rPr>
                <w:rFonts w:ascii="Times New Roman" w:hAnsi="Times New Roman"/>
              </w:rPr>
            </w:pPr>
            <w:r>
              <w:rPr>
                <w:rFonts w:ascii="Times New Roman" w:hAnsi="Times New Roman"/>
              </w:rPr>
              <w:t>19.1</w:t>
            </w:r>
          </w:p>
        </w:tc>
        <w:tc>
          <w:tcPr>
            <w:tcW w:w="820" w:type="dxa"/>
            <w:tcBorders>
              <w:top w:val="single" w:sz="4" w:space="0" w:color="auto"/>
              <w:left w:val="nil"/>
              <w:bottom w:val="single" w:sz="4" w:space="0" w:color="auto"/>
              <w:right w:val="single" w:sz="4" w:space="0" w:color="auto"/>
            </w:tcBorders>
            <w:shd w:val="clear" w:color="auto" w:fill="auto"/>
            <w:noWrap/>
            <w:hideMark/>
          </w:tcPr>
          <w:p w14:paraId="03D3151A" w14:textId="77777777" w:rsidR="00A57704" w:rsidRPr="001474CB" w:rsidRDefault="00A57704" w:rsidP="00A57704">
            <w:pPr>
              <w:spacing w:after="0"/>
              <w:jc w:val="center"/>
              <w:rPr>
                <w:rFonts w:ascii="Times New Roman" w:hAnsi="Times New Roman"/>
              </w:rPr>
            </w:pPr>
            <w:r>
              <w:rPr>
                <w:rFonts w:ascii="Times New Roman" w:hAnsi="Times New Roman"/>
              </w:rPr>
              <w:t>207.5</w:t>
            </w:r>
          </w:p>
        </w:tc>
        <w:tc>
          <w:tcPr>
            <w:tcW w:w="820" w:type="dxa"/>
            <w:tcBorders>
              <w:top w:val="single" w:sz="4" w:space="0" w:color="auto"/>
              <w:left w:val="nil"/>
              <w:bottom w:val="single" w:sz="4" w:space="0" w:color="auto"/>
              <w:right w:val="single" w:sz="4" w:space="0" w:color="auto"/>
            </w:tcBorders>
            <w:shd w:val="clear" w:color="auto" w:fill="auto"/>
            <w:noWrap/>
            <w:hideMark/>
          </w:tcPr>
          <w:p w14:paraId="53DD2A30" w14:textId="77777777" w:rsidR="00A57704" w:rsidRPr="001474CB" w:rsidRDefault="00A57704" w:rsidP="00A57704">
            <w:pPr>
              <w:spacing w:after="0"/>
              <w:jc w:val="center"/>
              <w:rPr>
                <w:rFonts w:ascii="Times New Roman" w:hAnsi="Times New Roman"/>
              </w:rPr>
            </w:pPr>
            <w:r>
              <w:rPr>
                <w:rFonts w:ascii="Times New Roman" w:hAnsi="Times New Roman"/>
              </w:rPr>
              <w:t>64.5</w:t>
            </w:r>
          </w:p>
        </w:tc>
        <w:tc>
          <w:tcPr>
            <w:tcW w:w="760" w:type="dxa"/>
            <w:tcBorders>
              <w:top w:val="single" w:sz="4" w:space="0" w:color="auto"/>
              <w:left w:val="nil"/>
              <w:bottom w:val="single" w:sz="4" w:space="0" w:color="auto"/>
              <w:right w:val="single" w:sz="4" w:space="0" w:color="auto"/>
            </w:tcBorders>
            <w:shd w:val="clear" w:color="auto" w:fill="auto"/>
            <w:noWrap/>
            <w:hideMark/>
          </w:tcPr>
          <w:p w14:paraId="66A8568E" w14:textId="77777777" w:rsidR="00A57704" w:rsidRPr="001474CB" w:rsidRDefault="00A57704" w:rsidP="00A57704">
            <w:pPr>
              <w:spacing w:after="0"/>
              <w:jc w:val="center"/>
              <w:rPr>
                <w:rFonts w:ascii="Times New Roman" w:hAnsi="Times New Roman"/>
              </w:rPr>
            </w:pPr>
            <w:r>
              <w:rPr>
                <w:rFonts w:ascii="Times New Roman" w:hAnsi="Times New Roman"/>
              </w:rPr>
              <w:t>30.4</w:t>
            </w:r>
          </w:p>
        </w:tc>
        <w:tc>
          <w:tcPr>
            <w:tcW w:w="820" w:type="dxa"/>
            <w:tcBorders>
              <w:top w:val="single" w:sz="4" w:space="0" w:color="auto"/>
              <w:left w:val="nil"/>
              <w:bottom w:val="single" w:sz="4" w:space="0" w:color="auto"/>
              <w:right w:val="single" w:sz="4" w:space="0" w:color="auto"/>
            </w:tcBorders>
            <w:shd w:val="clear" w:color="auto" w:fill="auto"/>
            <w:noWrap/>
            <w:hideMark/>
          </w:tcPr>
          <w:p w14:paraId="630D826A" w14:textId="77777777" w:rsidR="00A57704" w:rsidRPr="001474CB" w:rsidRDefault="00A57704" w:rsidP="00A57704">
            <w:pPr>
              <w:spacing w:after="0"/>
              <w:jc w:val="center"/>
              <w:rPr>
                <w:rFonts w:ascii="Times New Roman" w:hAnsi="Times New Roman"/>
              </w:rPr>
            </w:pPr>
            <w:r>
              <w:rPr>
                <w:rFonts w:ascii="Times New Roman" w:hAnsi="Times New Roman"/>
              </w:rPr>
              <w:t>34.1</w:t>
            </w:r>
          </w:p>
        </w:tc>
        <w:tc>
          <w:tcPr>
            <w:tcW w:w="820" w:type="dxa"/>
            <w:tcBorders>
              <w:top w:val="single" w:sz="4" w:space="0" w:color="auto"/>
              <w:left w:val="nil"/>
              <w:bottom w:val="single" w:sz="4" w:space="0" w:color="auto"/>
              <w:right w:val="single" w:sz="4" w:space="0" w:color="auto"/>
            </w:tcBorders>
            <w:shd w:val="clear" w:color="auto" w:fill="auto"/>
            <w:noWrap/>
            <w:hideMark/>
          </w:tcPr>
          <w:p w14:paraId="18510DE1" w14:textId="77777777" w:rsidR="00A57704" w:rsidRPr="001474CB" w:rsidRDefault="00A57704" w:rsidP="00A57704">
            <w:pPr>
              <w:spacing w:after="0"/>
              <w:jc w:val="center"/>
              <w:rPr>
                <w:rFonts w:ascii="Times New Roman" w:hAnsi="Times New Roman"/>
              </w:rPr>
            </w:pPr>
            <w:r>
              <w:rPr>
                <w:rFonts w:ascii="Times New Roman" w:hAnsi="Times New Roman"/>
              </w:rPr>
              <w:t>240.4</w:t>
            </w:r>
          </w:p>
        </w:tc>
        <w:tc>
          <w:tcPr>
            <w:tcW w:w="820" w:type="dxa"/>
            <w:tcBorders>
              <w:top w:val="single" w:sz="4" w:space="0" w:color="auto"/>
              <w:left w:val="nil"/>
              <w:bottom w:val="single" w:sz="4" w:space="0" w:color="auto"/>
              <w:right w:val="single" w:sz="4" w:space="0" w:color="auto"/>
            </w:tcBorders>
            <w:shd w:val="clear" w:color="auto" w:fill="auto"/>
            <w:noWrap/>
            <w:hideMark/>
          </w:tcPr>
          <w:p w14:paraId="788E1D64" w14:textId="77777777" w:rsidR="00A57704" w:rsidRPr="001474CB" w:rsidRDefault="00A57704" w:rsidP="00A57704">
            <w:pPr>
              <w:spacing w:after="0"/>
              <w:jc w:val="center"/>
              <w:rPr>
                <w:rFonts w:ascii="Times New Roman" w:hAnsi="Times New Roman"/>
              </w:rPr>
            </w:pPr>
            <w:r>
              <w:rPr>
                <w:rFonts w:ascii="Times New Roman" w:hAnsi="Times New Roman"/>
              </w:rPr>
              <w:t>52.8</w:t>
            </w:r>
          </w:p>
        </w:tc>
        <w:tc>
          <w:tcPr>
            <w:tcW w:w="760" w:type="dxa"/>
            <w:tcBorders>
              <w:top w:val="single" w:sz="4" w:space="0" w:color="auto"/>
              <w:left w:val="nil"/>
              <w:bottom w:val="single" w:sz="4" w:space="0" w:color="auto"/>
              <w:right w:val="single" w:sz="4" w:space="0" w:color="auto"/>
            </w:tcBorders>
            <w:shd w:val="clear" w:color="auto" w:fill="auto"/>
            <w:noWrap/>
            <w:hideMark/>
          </w:tcPr>
          <w:p w14:paraId="7F0A8F6B" w14:textId="77777777" w:rsidR="00A57704" w:rsidRPr="001474CB" w:rsidRDefault="00A57704" w:rsidP="00A57704">
            <w:pPr>
              <w:spacing w:after="0"/>
              <w:jc w:val="center"/>
              <w:rPr>
                <w:rFonts w:ascii="Times New Roman" w:hAnsi="Times New Roman"/>
              </w:rPr>
            </w:pPr>
            <w:r>
              <w:rPr>
                <w:rFonts w:ascii="Times New Roman" w:hAnsi="Times New Roman"/>
              </w:rPr>
              <w:t>37.0</w:t>
            </w:r>
          </w:p>
        </w:tc>
        <w:tc>
          <w:tcPr>
            <w:tcW w:w="720" w:type="dxa"/>
            <w:tcBorders>
              <w:top w:val="single" w:sz="4" w:space="0" w:color="auto"/>
              <w:left w:val="nil"/>
              <w:bottom w:val="single" w:sz="4" w:space="0" w:color="auto"/>
              <w:right w:val="single" w:sz="4" w:space="0" w:color="auto"/>
            </w:tcBorders>
            <w:shd w:val="clear" w:color="auto" w:fill="auto"/>
            <w:noWrap/>
            <w:hideMark/>
          </w:tcPr>
          <w:p w14:paraId="532CF315" w14:textId="77777777" w:rsidR="00A57704" w:rsidRPr="001474CB" w:rsidRDefault="00A57704" w:rsidP="00A57704">
            <w:pPr>
              <w:spacing w:after="0"/>
              <w:jc w:val="center"/>
              <w:rPr>
                <w:rFonts w:ascii="Times New Roman" w:hAnsi="Times New Roman"/>
              </w:rPr>
            </w:pPr>
            <w:r>
              <w:rPr>
                <w:rFonts w:ascii="Times New Roman" w:hAnsi="Times New Roman"/>
              </w:rPr>
              <w:t>0</w:t>
            </w:r>
          </w:p>
        </w:tc>
        <w:tc>
          <w:tcPr>
            <w:tcW w:w="1100" w:type="dxa"/>
            <w:tcBorders>
              <w:top w:val="single" w:sz="4" w:space="0" w:color="auto"/>
              <w:left w:val="nil"/>
              <w:bottom w:val="single" w:sz="4" w:space="0" w:color="auto"/>
              <w:right w:val="single" w:sz="4" w:space="0" w:color="auto"/>
            </w:tcBorders>
            <w:shd w:val="clear" w:color="auto" w:fill="auto"/>
            <w:noWrap/>
            <w:hideMark/>
          </w:tcPr>
          <w:p w14:paraId="7E76462A" w14:textId="77777777" w:rsidR="00A57704" w:rsidRPr="001474CB" w:rsidRDefault="00A57704" w:rsidP="00A57704">
            <w:pPr>
              <w:spacing w:after="0"/>
              <w:jc w:val="center"/>
              <w:rPr>
                <w:rFonts w:ascii="Times New Roman" w:hAnsi="Times New Roman"/>
              </w:rPr>
            </w:pPr>
            <w:r>
              <w:rPr>
                <w:rFonts w:ascii="Times New Roman" w:hAnsi="Times New Roman"/>
              </w:rPr>
              <w:t>781.8</w:t>
            </w:r>
          </w:p>
        </w:tc>
      </w:tr>
      <w:tr w:rsidR="00A57704" w:rsidRPr="001474CB" w14:paraId="599611AC" w14:textId="77777777" w:rsidTr="00BC5AB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2526D1AF" w14:textId="77777777" w:rsidR="00A57704" w:rsidRPr="001474CB" w:rsidRDefault="00A57704" w:rsidP="00A57704">
            <w:pPr>
              <w:spacing w:after="0"/>
              <w:rPr>
                <w:rFonts w:ascii="Times New Roman" w:hAnsi="Times New Roman"/>
              </w:rPr>
            </w:pPr>
            <w:r w:rsidRPr="001474CB">
              <w:rPr>
                <w:rFonts w:ascii="Times New Roman" w:hAnsi="Times New Roman"/>
              </w:rPr>
              <w:t>D. Prec (%)</w:t>
            </w:r>
          </w:p>
        </w:tc>
        <w:tc>
          <w:tcPr>
            <w:tcW w:w="760" w:type="dxa"/>
            <w:tcBorders>
              <w:top w:val="single" w:sz="4" w:space="0" w:color="auto"/>
              <w:left w:val="nil"/>
              <w:bottom w:val="single" w:sz="4" w:space="0" w:color="auto"/>
              <w:right w:val="single" w:sz="4" w:space="0" w:color="auto"/>
            </w:tcBorders>
            <w:shd w:val="clear" w:color="auto" w:fill="auto"/>
            <w:noWrap/>
            <w:hideMark/>
          </w:tcPr>
          <w:p w14:paraId="5D46DADF" w14:textId="77777777" w:rsidR="00A57704" w:rsidRPr="001474CB" w:rsidRDefault="00A57704" w:rsidP="00A57704">
            <w:pPr>
              <w:spacing w:after="0"/>
              <w:jc w:val="center"/>
              <w:rPr>
                <w:rFonts w:ascii="Times New Roman" w:hAnsi="Times New Roman"/>
              </w:rPr>
            </w:pPr>
            <w:r>
              <w:rPr>
                <w:rFonts w:ascii="Times New Roman" w:hAnsi="Times New Roman"/>
              </w:rPr>
              <w:t>-65.4</w:t>
            </w:r>
          </w:p>
        </w:tc>
        <w:tc>
          <w:tcPr>
            <w:tcW w:w="760" w:type="dxa"/>
            <w:tcBorders>
              <w:top w:val="single" w:sz="4" w:space="0" w:color="auto"/>
              <w:left w:val="nil"/>
              <w:bottom w:val="single" w:sz="4" w:space="0" w:color="auto"/>
              <w:right w:val="single" w:sz="4" w:space="0" w:color="auto"/>
            </w:tcBorders>
            <w:shd w:val="clear" w:color="auto" w:fill="auto"/>
            <w:noWrap/>
            <w:hideMark/>
          </w:tcPr>
          <w:p w14:paraId="024794FA" w14:textId="77777777" w:rsidR="00A57704" w:rsidRPr="001474CB" w:rsidRDefault="00A57704" w:rsidP="00A57704">
            <w:pPr>
              <w:spacing w:after="0"/>
              <w:jc w:val="center"/>
              <w:rPr>
                <w:rFonts w:ascii="Times New Roman" w:hAnsi="Times New Roman"/>
              </w:rPr>
            </w:pPr>
            <w:r>
              <w:rPr>
                <w:rFonts w:ascii="Times New Roman" w:hAnsi="Times New Roman"/>
              </w:rPr>
              <w:t>-62.2</w:t>
            </w:r>
          </w:p>
        </w:tc>
        <w:tc>
          <w:tcPr>
            <w:tcW w:w="720" w:type="dxa"/>
            <w:tcBorders>
              <w:top w:val="single" w:sz="4" w:space="0" w:color="auto"/>
              <w:left w:val="nil"/>
              <w:bottom w:val="single" w:sz="4" w:space="0" w:color="auto"/>
              <w:right w:val="single" w:sz="4" w:space="0" w:color="auto"/>
            </w:tcBorders>
            <w:shd w:val="clear" w:color="auto" w:fill="auto"/>
            <w:noWrap/>
            <w:hideMark/>
          </w:tcPr>
          <w:p w14:paraId="0F2AE6E2" w14:textId="77777777" w:rsidR="00A57704" w:rsidRPr="001474CB" w:rsidRDefault="00A57704" w:rsidP="00A57704">
            <w:pPr>
              <w:spacing w:after="0"/>
              <w:jc w:val="center"/>
              <w:rPr>
                <w:rFonts w:ascii="Times New Roman" w:hAnsi="Times New Roman"/>
              </w:rPr>
            </w:pPr>
            <w:r>
              <w:rPr>
                <w:rFonts w:ascii="Times New Roman" w:hAnsi="Times New Roman"/>
              </w:rPr>
              <w:t>105.8</w:t>
            </w:r>
          </w:p>
        </w:tc>
        <w:tc>
          <w:tcPr>
            <w:tcW w:w="820" w:type="dxa"/>
            <w:tcBorders>
              <w:top w:val="single" w:sz="4" w:space="0" w:color="auto"/>
              <w:left w:val="nil"/>
              <w:bottom w:val="single" w:sz="4" w:space="0" w:color="auto"/>
              <w:right w:val="single" w:sz="4" w:space="0" w:color="auto"/>
            </w:tcBorders>
            <w:shd w:val="clear" w:color="auto" w:fill="auto"/>
            <w:noWrap/>
            <w:hideMark/>
          </w:tcPr>
          <w:p w14:paraId="7BE81815" w14:textId="77777777" w:rsidR="00A57704" w:rsidRPr="001474CB" w:rsidRDefault="00A57704" w:rsidP="00A57704">
            <w:pPr>
              <w:spacing w:after="0"/>
              <w:jc w:val="center"/>
              <w:rPr>
                <w:rFonts w:ascii="Times New Roman" w:hAnsi="Times New Roman"/>
              </w:rPr>
            </w:pPr>
            <w:r>
              <w:rPr>
                <w:rFonts w:ascii="Times New Roman" w:hAnsi="Times New Roman"/>
              </w:rPr>
              <w:t>-67.0</w:t>
            </w:r>
          </w:p>
        </w:tc>
        <w:tc>
          <w:tcPr>
            <w:tcW w:w="820" w:type="dxa"/>
            <w:tcBorders>
              <w:top w:val="single" w:sz="4" w:space="0" w:color="auto"/>
              <w:left w:val="nil"/>
              <w:bottom w:val="single" w:sz="4" w:space="0" w:color="auto"/>
              <w:right w:val="single" w:sz="4" w:space="0" w:color="auto"/>
            </w:tcBorders>
            <w:shd w:val="clear" w:color="auto" w:fill="auto"/>
            <w:noWrap/>
            <w:hideMark/>
          </w:tcPr>
          <w:p w14:paraId="11F0E660" w14:textId="77777777" w:rsidR="00A57704" w:rsidRPr="001474CB" w:rsidRDefault="00A57704" w:rsidP="00A57704">
            <w:pPr>
              <w:spacing w:after="0"/>
              <w:jc w:val="center"/>
              <w:rPr>
                <w:rFonts w:ascii="Times New Roman" w:hAnsi="Times New Roman"/>
              </w:rPr>
            </w:pPr>
            <w:r>
              <w:rPr>
                <w:rFonts w:ascii="Times New Roman" w:hAnsi="Times New Roman"/>
              </w:rPr>
              <w:t>23.9</w:t>
            </w:r>
          </w:p>
        </w:tc>
        <w:tc>
          <w:tcPr>
            <w:tcW w:w="820" w:type="dxa"/>
            <w:tcBorders>
              <w:top w:val="single" w:sz="4" w:space="0" w:color="auto"/>
              <w:left w:val="nil"/>
              <w:bottom w:val="single" w:sz="4" w:space="0" w:color="auto"/>
              <w:right w:val="single" w:sz="4" w:space="0" w:color="auto"/>
            </w:tcBorders>
            <w:shd w:val="clear" w:color="auto" w:fill="auto"/>
            <w:noWrap/>
            <w:hideMark/>
          </w:tcPr>
          <w:p w14:paraId="61C2B761" w14:textId="77777777" w:rsidR="00A57704" w:rsidRPr="001474CB" w:rsidRDefault="00A57704" w:rsidP="00A57704">
            <w:pPr>
              <w:spacing w:after="0"/>
              <w:jc w:val="center"/>
              <w:rPr>
                <w:rFonts w:ascii="Times New Roman" w:hAnsi="Times New Roman"/>
              </w:rPr>
            </w:pPr>
            <w:r>
              <w:rPr>
                <w:rFonts w:ascii="Times New Roman" w:hAnsi="Times New Roman"/>
              </w:rPr>
              <w:t>-32.9</w:t>
            </w:r>
          </w:p>
        </w:tc>
        <w:tc>
          <w:tcPr>
            <w:tcW w:w="760" w:type="dxa"/>
            <w:tcBorders>
              <w:top w:val="single" w:sz="4" w:space="0" w:color="auto"/>
              <w:left w:val="nil"/>
              <w:bottom w:val="single" w:sz="4" w:space="0" w:color="auto"/>
              <w:right w:val="single" w:sz="4" w:space="0" w:color="auto"/>
            </w:tcBorders>
            <w:shd w:val="clear" w:color="auto" w:fill="auto"/>
            <w:noWrap/>
            <w:hideMark/>
          </w:tcPr>
          <w:p w14:paraId="06020186" w14:textId="77777777" w:rsidR="00A57704" w:rsidRPr="001474CB" w:rsidRDefault="00A57704" w:rsidP="00A57704">
            <w:pPr>
              <w:spacing w:after="0"/>
              <w:jc w:val="center"/>
              <w:rPr>
                <w:rFonts w:ascii="Times New Roman" w:hAnsi="Times New Roman"/>
              </w:rPr>
            </w:pPr>
            <w:r>
              <w:rPr>
                <w:rFonts w:ascii="Times New Roman" w:hAnsi="Times New Roman"/>
              </w:rPr>
              <w:t>-52.7</w:t>
            </w:r>
          </w:p>
        </w:tc>
        <w:tc>
          <w:tcPr>
            <w:tcW w:w="820" w:type="dxa"/>
            <w:tcBorders>
              <w:top w:val="single" w:sz="4" w:space="0" w:color="auto"/>
              <w:left w:val="nil"/>
              <w:bottom w:val="single" w:sz="4" w:space="0" w:color="auto"/>
              <w:right w:val="single" w:sz="4" w:space="0" w:color="auto"/>
            </w:tcBorders>
            <w:shd w:val="clear" w:color="auto" w:fill="auto"/>
            <w:noWrap/>
            <w:hideMark/>
          </w:tcPr>
          <w:p w14:paraId="160119C5" w14:textId="77777777" w:rsidR="00A57704" w:rsidRPr="001474CB" w:rsidRDefault="00A57704" w:rsidP="00A57704">
            <w:pPr>
              <w:spacing w:after="0"/>
              <w:jc w:val="center"/>
              <w:rPr>
                <w:rFonts w:ascii="Times New Roman" w:hAnsi="Times New Roman"/>
              </w:rPr>
            </w:pPr>
            <w:r>
              <w:rPr>
                <w:rFonts w:ascii="Times New Roman" w:hAnsi="Times New Roman"/>
              </w:rPr>
              <w:t>-74.4</w:t>
            </w:r>
          </w:p>
        </w:tc>
        <w:tc>
          <w:tcPr>
            <w:tcW w:w="820" w:type="dxa"/>
            <w:tcBorders>
              <w:top w:val="single" w:sz="4" w:space="0" w:color="auto"/>
              <w:left w:val="nil"/>
              <w:bottom w:val="single" w:sz="4" w:space="0" w:color="auto"/>
              <w:right w:val="single" w:sz="4" w:space="0" w:color="auto"/>
            </w:tcBorders>
            <w:shd w:val="clear" w:color="auto" w:fill="auto"/>
            <w:noWrap/>
            <w:hideMark/>
          </w:tcPr>
          <w:p w14:paraId="434654DC" w14:textId="77777777" w:rsidR="00A57704" w:rsidRPr="001474CB" w:rsidRDefault="00A57704" w:rsidP="00A57704">
            <w:pPr>
              <w:spacing w:after="0"/>
              <w:jc w:val="center"/>
              <w:rPr>
                <w:rFonts w:ascii="Times New Roman" w:hAnsi="Times New Roman"/>
              </w:rPr>
            </w:pPr>
            <w:r>
              <w:rPr>
                <w:rFonts w:ascii="Times New Roman" w:hAnsi="Times New Roman"/>
              </w:rPr>
              <w:t>87.1</w:t>
            </w:r>
          </w:p>
        </w:tc>
        <w:tc>
          <w:tcPr>
            <w:tcW w:w="820" w:type="dxa"/>
            <w:tcBorders>
              <w:top w:val="single" w:sz="4" w:space="0" w:color="auto"/>
              <w:left w:val="nil"/>
              <w:bottom w:val="single" w:sz="4" w:space="0" w:color="auto"/>
              <w:right w:val="single" w:sz="4" w:space="0" w:color="auto"/>
            </w:tcBorders>
            <w:shd w:val="clear" w:color="auto" w:fill="auto"/>
            <w:noWrap/>
            <w:hideMark/>
          </w:tcPr>
          <w:p w14:paraId="7C3261E5" w14:textId="77777777" w:rsidR="00A57704" w:rsidRPr="001474CB" w:rsidRDefault="00A57704" w:rsidP="00A57704">
            <w:pPr>
              <w:spacing w:after="0"/>
              <w:jc w:val="center"/>
              <w:rPr>
                <w:rFonts w:ascii="Times New Roman" w:hAnsi="Times New Roman"/>
              </w:rPr>
            </w:pPr>
            <w:r>
              <w:rPr>
                <w:rFonts w:ascii="Times New Roman" w:hAnsi="Times New Roman"/>
              </w:rPr>
              <w:t>-48.1</w:t>
            </w:r>
          </w:p>
        </w:tc>
        <w:tc>
          <w:tcPr>
            <w:tcW w:w="760" w:type="dxa"/>
            <w:tcBorders>
              <w:top w:val="single" w:sz="4" w:space="0" w:color="auto"/>
              <w:left w:val="nil"/>
              <w:bottom w:val="single" w:sz="4" w:space="0" w:color="auto"/>
              <w:right w:val="single" w:sz="4" w:space="0" w:color="auto"/>
            </w:tcBorders>
            <w:shd w:val="clear" w:color="auto" w:fill="auto"/>
            <w:noWrap/>
            <w:hideMark/>
          </w:tcPr>
          <w:p w14:paraId="33E29690" w14:textId="77777777" w:rsidR="00A57704" w:rsidRPr="001474CB" w:rsidRDefault="00A57704" w:rsidP="00A57704">
            <w:pPr>
              <w:spacing w:after="0"/>
              <w:jc w:val="center"/>
              <w:rPr>
                <w:rFonts w:ascii="Times New Roman" w:hAnsi="Times New Roman"/>
              </w:rPr>
            </w:pPr>
            <w:r>
              <w:rPr>
                <w:rFonts w:ascii="Times New Roman" w:hAnsi="Times New Roman"/>
              </w:rPr>
              <w:t>-47.7</w:t>
            </w:r>
          </w:p>
        </w:tc>
        <w:tc>
          <w:tcPr>
            <w:tcW w:w="720" w:type="dxa"/>
            <w:tcBorders>
              <w:top w:val="single" w:sz="4" w:space="0" w:color="auto"/>
              <w:left w:val="nil"/>
              <w:bottom w:val="single" w:sz="4" w:space="0" w:color="auto"/>
              <w:right w:val="single" w:sz="4" w:space="0" w:color="auto"/>
            </w:tcBorders>
            <w:shd w:val="clear" w:color="auto" w:fill="auto"/>
            <w:noWrap/>
            <w:hideMark/>
          </w:tcPr>
          <w:p w14:paraId="16B6DC45" w14:textId="77777777" w:rsidR="00A57704" w:rsidRPr="001474CB" w:rsidRDefault="00A57704" w:rsidP="00A57704">
            <w:pPr>
              <w:spacing w:after="0"/>
              <w:jc w:val="center"/>
              <w:rPr>
                <w:rFonts w:ascii="Times New Roman" w:hAnsi="Times New Roman"/>
              </w:rPr>
            </w:pPr>
            <w:r>
              <w:rPr>
                <w:rFonts w:ascii="Times New Roman" w:hAnsi="Times New Roman"/>
              </w:rPr>
              <w:t>0</w:t>
            </w:r>
          </w:p>
        </w:tc>
        <w:tc>
          <w:tcPr>
            <w:tcW w:w="1100" w:type="dxa"/>
            <w:tcBorders>
              <w:top w:val="single" w:sz="4" w:space="0" w:color="auto"/>
              <w:left w:val="nil"/>
              <w:bottom w:val="single" w:sz="4" w:space="0" w:color="auto"/>
              <w:right w:val="single" w:sz="4" w:space="0" w:color="auto"/>
            </w:tcBorders>
            <w:shd w:val="clear" w:color="auto" w:fill="auto"/>
            <w:noWrap/>
            <w:hideMark/>
          </w:tcPr>
          <w:p w14:paraId="002D0143" w14:textId="77777777" w:rsidR="00A57704" w:rsidRPr="001474CB" w:rsidRDefault="00A57704" w:rsidP="00A57704">
            <w:pPr>
              <w:spacing w:after="0"/>
              <w:jc w:val="center"/>
              <w:rPr>
                <w:rFonts w:ascii="Times New Roman" w:hAnsi="Times New Roman"/>
              </w:rPr>
            </w:pPr>
            <w:r w:rsidRPr="001474CB">
              <w:rPr>
                <w:rFonts w:ascii="Times New Roman" w:hAnsi="Times New Roman"/>
              </w:rPr>
              <w:t>-8.1</w:t>
            </w:r>
          </w:p>
        </w:tc>
      </w:tr>
    </w:tbl>
    <w:p w14:paraId="6D30E560" w14:textId="77777777" w:rsidR="00A57704" w:rsidRDefault="00A57704" w:rsidP="00A57704">
      <w:pPr>
        <w:spacing w:after="0"/>
        <w:rPr>
          <w:rFonts w:ascii="Times New Roman" w:hAnsi="Times New Roman"/>
        </w:rPr>
      </w:pPr>
    </w:p>
    <w:p w14:paraId="07DC7FB3"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space="720"/>
          <w:docGrid w:linePitch="360"/>
        </w:sectPr>
      </w:pPr>
    </w:p>
    <w:p w14:paraId="311BB831" w14:textId="77777777" w:rsidR="00A57704" w:rsidRPr="00C83490" w:rsidRDefault="00A57704" w:rsidP="00A57704">
      <w:pPr>
        <w:spacing w:after="0"/>
        <w:rPr>
          <w:rFonts w:ascii="Times New Roman" w:hAnsi="Times New Roman"/>
        </w:rPr>
      </w:pPr>
    </w:p>
    <w:p w14:paraId="0F75F231"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Constanza.</w:t>
      </w:r>
    </w:p>
    <w:p w14:paraId="3AD8F2BB" w14:textId="77777777" w:rsidR="00A57704" w:rsidRPr="002D5B20" w:rsidRDefault="00A57704" w:rsidP="00A57704">
      <w:pPr>
        <w:spacing w:after="0"/>
        <w:rPr>
          <w:rFonts w:ascii="Times New Roman" w:hAnsi="Times New Roman"/>
          <w:sz w:val="4"/>
        </w:rPr>
      </w:pPr>
      <w:r>
        <w:rPr>
          <w:noProof/>
          <w:lang w:eastAsia="es-DO"/>
        </w:rPr>
        <w:drawing>
          <wp:inline distT="0" distB="0" distL="0" distR="0" wp14:anchorId="437BEE07" wp14:editId="3E25F8E7">
            <wp:extent cx="3599815" cy="1623849"/>
            <wp:effectExtent l="0" t="0" r="635" b="0"/>
            <wp:docPr id="168" name="Gráfico 168">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2DF243F4-B29B-4AD7-A73C-223A7A1DD9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14:paraId="2FE4BADD" w14:textId="77777777" w:rsidR="00A57704" w:rsidRPr="002D5B20" w:rsidRDefault="00A57704" w:rsidP="00A57704">
      <w:pPr>
        <w:spacing w:after="0"/>
        <w:rPr>
          <w:rFonts w:ascii="Times New Roman" w:hAnsi="Times New Roman"/>
          <w:sz w:val="4"/>
        </w:rPr>
      </w:pPr>
    </w:p>
    <w:p w14:paraId="74E17C56" w14:textId="77777777" w:rsidR="00A57704" w:rsidRPr="002D5B20" w:rsidRDefault="00A57704" w:rsidP="00A57704">
      <w:pPr>
        <w:spacing w:after="0"/>
        <w:rPr>
          <w:rFonts w:ascii="Times New Roman" w:hAnsi="Times New Roman"/>
          <w:sz w:val="4"/>
        </w:rPr>
      </w:pPr>
    </w:p>
    <w:p w14:paraId="096BD719" w14:textId="77777777" w:rsidR="00A57704" w:rsidRDefault="00A57704" w:rsidP="00A57704">
      <w:pPr>
        <w:spacing w:after="0"/>
        <w:rPr>
          <w:rFonts w:ascii="Times New Roman" w:hAnsi="Times New Roman"/>
        </w:rPr>
      </w:pPr>
    </w:p>
    <w:p w14:paraId="09278445"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4C0A08A8"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0C418DEC" wp14:editId="3A0CB161">
            <wp:extent cx="3562985" cy="1560195"/>
            <wp:effectExtent l="0" t="0" r="0" b="1905"/>
            <wp:docPr id="38" name="Gráfico 38">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4D7BE940-C3F9-4A77-95AD-5A3EA5912B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14:paraId="37FAFAB6" w14:textId="77777777" w:rsidR="00A57704" w:rsidRDefault="00A57704" w:rsidP="00A57704">
      <w:pPr>
        <w:spacing w:after="0"/>
        <w:rPr>
          <w:rFonts w:ascii="Times New Roman" w:hAnsi="Times New Roman"/>
        </w:rPr>
      </w:pPr>
    </w:p>
    <w:tbl>
      <w:tblPr>
        <w:tblW w:w="12712" w:type="dxa"/>
        <w:tblInd w:w="-5" w:type="dxa"/>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A57704" w:rsidRPr="001474CB" w14:paraId="6C2E64E3"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3270DE40"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lastRenderedPageBreak/>
              <w:t>Jarabacoa</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2F0B17B1"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57989DFE"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14F1F810"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1C628AC"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A13246D"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B69508C"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7243FAB9"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34F692AE"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7265E045"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959A6B6"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0F5D6079"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0C4AB8F5"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29A64EEB"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Año</w:t>
            </w:r>
          </w:p>
        </w:tc>
      </w:tr>
      <w:tr w:rsidR="00A57704" w:rsidRPr="001474CB" w14:paraId="52CDA938"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1384C" w14:textId="77777777" w:rsidR="00A57704" w:rsidRPr="001474CB" w:rsidRDefault="00A57704" w:rsidP="00A57704">
            <w:pPr>
              <w:spacing w:after="0"/>
              <w:rPr>
                <w:rFonts w:ascii="Times New Roman" w:hAnsi="Times New Roman"/>
                <w:bCs/>
                <w:color w:val="000000"/>
                <w:lang w:eastAsia="es-DO"/>
              </w:rPr>
            </w:pPr>
            <w:r w:rsidRPr="001474CB">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D39A1BD"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130.6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6FE993D"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110.8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049A13C"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112.3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3BB601A"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163.3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6628F1A"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210.7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E18A11F"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88.6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1EA29CF"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89.4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F52B44D"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115.5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2DBE078"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137.2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83EFDB0"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158.6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3971538"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194.2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615CC60"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153.9</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4D4E6035" w14:textId="77777777" w:rsidR="00A57704" w:rsidRPr="001474CB" w:rsidRDefault="00A57704" w:rsidP="00A57704">
            <w:pPr>
              <w:spacing w:after="0"/>
              <w:jc w:val="center"/>
              <w:rPr>
                <w:rFonts w:ascii="Times New Roman" w:hAnsi="Times New Roman"/>
                <w:bCs/>
                <w:lang w:eastAsia="es-DO"/>
              </w:rPr>
            </w:pPr>
            <w:r w:rsidRPr="001474CB">
              <w:rPr>
                <w:rFonts w:ascii="Times New Roman" w:hAnsi="Times New Roman"/>
                <w:bCs/>
                <w:lang w:eastAsia="es-DO"/>
              </w:rPr>
              <w:t>1,665.1</w:t>
            </w:r>
          </w:p>
        </w:tc>
      </w:tr>
      <w:tr w:rsidR="00A57704" w:rsidRPr="001474CB" w14:paraId="47E623B3"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1ACA0" w14:textId="77777777" w:rsidR="00A57704" w:rsidRPr="001474CB" w:rsidRDefault="00A57704" w:rsidP="00A57704">
            <w:pPr>
              <w:spacing w:after="0"/>
              <w:rPr>
                <w:rFonts w:ascii="Times New Roman" w:hAnsi="Times New Roman"/>
                <w:bCs/>
                <w:color w:val="000000"/>
                <w:lang w:eastAsia="es-DO"/>
              </w:rPr>
            </w:pPr>
            <w:r w:rsidRPr="001474CB">
              <w:rPr>
                <w:rFonts w:ascii="Times New Roman" w:hAnsi="Times New Roman"/>
                <w:bCs/>
                <w:color w:val="000000"/>
                <w:lang w:eastAsia="es-DO"/>
              </w:rPr>
              <w:t xml:space="preserve">Precipitación </w:t>
            </w:r>
            <w:r>
              <w:rPr>
                <w:rFonts w:ascii="Times New Roman" w:hAnsi="Times New Roman"/>
                <w:bCs/>
                <w:color w:val="00000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AA84374"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20.1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4307DFF"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52.3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35E9D12"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113.5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FBC71B6"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51.8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B633978"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164.0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8A08F15"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104.3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29DCDFB"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92.4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AF3D63F"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72.0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76F1458"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167.2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B6C2532"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119.9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EDBD5F8"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71.3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2AC46AA"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461FAABE" w14:textId="77777777" w:rsidR="00A57704" w:rsidRPr="001474CB" w:rsidRDefault="00A57704" w:rsidP="00A57704">
            <w:pPr>
              <w:spacing w:after="0"/>
              <w:jc w:val="center"/>
              <w:rPr>
                <w:rFonts w:ascii="Times New Roman" w:hAnsi="Times New Roman"/>
                <w:bCs/>
                <w:lang w:eastAsia="es-DO"/>
              </w:rPr>
            </w:pPr>
            <w:r>
              <w:rPr>
                <w:rFonts w:ascii="Times New Roman" w:hAnsi="Times New Roman"/>
                <w:bCs/>
                <w:lang w:eastAsia="es-DO"/>
              </w:rPr>
              <w:t>1,028.8</w:t>
            </w:r>
          </w:p>
        </w:tc>
      </w:tr>
      <w:tr w:rsidR="00A57704" w:rsidRPr="001474CB" w14:paraId="1A96CDE6"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45A59" w14:textId="77777777" w:rsidR="00A57704" w:rsidRPr="001474CB" w:rsidRDefault="00A57704" w:rsidP="00A57704">
            <w:pPr>
              <w:spacing w:after="0"/>
              <w:rPr>
                <w:rFonts w:ascii="Times New Roman" w:hAnsi="Times New Roman"/>
                <w:bCs/>
                <w:color w:val="000000"/>
                <w:lang w:eastAsia="es-DO"/>
              </w:rPr>
            </w:pPr>
            <w:r w:rsidRPr="001474CB">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33AFDBE"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-84.6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9255411"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-52.8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816D52F"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EFD5114"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-68.3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71C4069"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-22.2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1DFD550"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17.7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3071762"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218E2B7"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-37.7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FBE77B2"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21.9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902D31C"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-24.4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C69C54A"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-63.3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0C2AC49"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47581E7F" w14:textId="77777777" w:rsidR="00A57704" w:rsidRPr="001474CB" w:rsidRDefault="00A57704" w:rsidP="00A57704">
            <w:pPr>
              <w:spacing w:after="0"/>
              <w:jc w:val="center"/>
              <w:rPr>
                <w:rFonts w:ascii="Times New Roman" w:hAnsi="Times New Roman"/>
                <w:bCs/>
                <w:lang w:eastAsia="es-DO"/>
              </w:rPr>
            </w:pPr>
            <w:r w:rsidRPr="001474CB">
              <w:rPr>
                <w:rFonts w:ascii="Times New Roman" w:hAnsi="Times New Roman"/>
                <w:bCs/>
                <w:lang w:eastAsia="es-DO"/>
              </w:rPr>
              <w:t>-13.0</w:t>
            </w:r>
          </w:p>
        </w:tc>
      </w:tr>
    </w:tbl>
    <w:p w14:paraId="2665B4BE" w14:textId="77777777" w:rsidR="00A57704" w:rsidRPr="00C83490" w:rsidRDefault="00A57704" w:rsidP="00A57704">
      <w:pPr>
        <w:spacing w:after="0"/>
        <w:rPr>
          <w:rFonts w:ascii="Times New Roman" w:hAnsi="Times New Roman"/>
        </w:rPr>
        <w:sectPr w:rsidR="00A57704" w:rsidRPr="00C83490" w:rsidSect="00A57704">
          <w:type w:val="continuous"/>
          <w:pgSz w:w="15840" w:h="12240" w:orient="landscape"/>
          <w:pgMar w:top="1276" w:right="851" w:bottom="851" w:left="1440" w:header="720" w:footer="720" w:gutter="0"/>
          <w:cols w:space="720"/>
          <w:docGrid w:linePitch="360"/>
        </w:sectPr>
      </w:pPr>
    </w:p>
    <w:p w14:paraId="26D39BBE" w14:textId="77777777" w:rsidR="00A57704" w:rsidRPr="00C83490" w:rsidRDefault="00A57704" w:rsidP="00A57704">
      <w:pPr>
        <w:spacing w:after="0"/>
        <w:rPr>
          <w:rFonts w:ascii="Times New Roman" w:hAnsi="Times New Roman"/>
        </w:rPr>
      </w:pPr>
    </w:p>
    <w:p w14:paraId="1F0A7CC6"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Jarabacoa</w:t>
      </w:r>
    </w:p>
    <w:p w14:paraId="70618CF8" w14:textId="77777777" w:rsidR="00A57704" w:rsidRDefault="00A57704" w:rsidP="00A57704">
      <w:pPr>
        <w:spacing w:after="0"/>
        <w:rPr>
          <w:rFonts w:ascii="Times New Roman" w:hAnsi="Times New Roman"/>
        </w:rPr>
      </w:pPr>
      <w:r>
        <w:rPr>
          <w:noProof/>
          <w:lang w:eastAsia="es-DO"/>
        </w:rPr>
        <w:drawing>
          <wp:inline distT="0" distB="0" distL="0" distR="0" wp14:anchorId="58A70880" wp14:editId="77BDE022">
            <wp:extent cx="3609975" cy="1485900"/>
            <wp:effectExtent l="0" t="0" r="0" b="0"/>
            <wp:docPr id="39" name="Gráfico 39">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54620C9C-785F-4D8F-80C8-064F75E1DA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p w14:paraId="696A0C83" w14:textId="77777777" w:rsidR="00A57704" w:rsidRPr="009E58FD" w:rsidRDefault="00A57704" w:rsidP="00A57704">
      <w:pPr>
        <w:spacing w:after="0"/>
        <w:rPr>
          <w:rFonts w:ascii="Times New Roman" w:hAnsi="Times New Roman"/>
        </w:rPr>
      </w:pPr>
    </w:p>
    <w:p w14:paraId="246EF8B3" w14:textId="77777777" w:rsidR="00A57704" w:rsidRPr="002D5B20" w:rsidRDefault="00A57704" w:rsidP="00A57704">
      <w:pPr>
        <w:spacing w:after="0"/>
        <w:rPr>
          <w:rFonts w:ascii="Times New Roman" w:hAnsi="Times New Roman"/>
          <w:sz w:val="4"/>
        </w:rPr>
      </w:pPr>
    </w:p>
    <w:p w14:paraId="5047AF36" w14:textId="77777777" w:rsidR="00A57704" w:rsidRPr="002D5B20" w:rsidRDefault="00A57704" w:rsidP="00A57704">
      <w:pPr>
        <w:spacing w:after="0"/>
        <w:rPr>
          <w:rFonts w:ascii="Times New Roman" w:hAnsi="Times New Roman"/>
          <w:sz w:val="4"/>
        </w:rPr>
      </w:pPr>
    </w:p>
    <w:p w14:paraId="69198FB1" w14:textId="77777777" w:rsidR="00A57704" w:rsidRPr="002D5B20" w:rsidRDefault="00A57704" w:rsidP="00A57704">
      <w:pPr>
        <w:spacing w:after="0"/>
        <w:rPr>
          <w:rFonts w:ascii="Times New Roman" w:hAnsi="Times New Roman"/>
          <w:sz w:val="4"/>
        </w:rPr>
      </w:pPr>
    </w:p>
    <w:p w14:paraId="14AA7AC8" w14:textId="77777777" w:rsidR="00A57704" w:rsidRPr="002D5B20" w:rsidRDefault="00A57704" w:rsidP="00A57704">
      <w:pPr>
        <w:spacing w:after="0"/>
        <w:rPr>
          <w:rFonts w:ascii="Times New Roman" w:hAnsi="Times New Roman"/>
        </w:rPr>
      </w:pPr>
    </w:p>
    <w:p w14:paraId="6B34F956"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6A4E384C"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1B812534" wp14:editId="52EFF17E">
            <wp:extent cx="3629025" cy="1543050"/>
            <wp:effectExtent l="0" t="0" r="0" b="0"/>
            <wp:docPr id="41" name="Gráfico 41">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7920CAD2-2B33-4138-8EB6-F9AE9B6F62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tbl>
      <w:tblPr>
        <w:tblW w:w="12704" w:type="dxa"/>
        <w:tblInd w:w="-5" w:type="dxa"/>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A57704" w:rsidRPr="001474CB" w14:paraId="63CC0134"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00B050"/>
            <w:noWrap/>
            <w:hideMark/>
          </w:tcPr>
          <w:p w14:paraId="55D2B6B7" w14:textId="77777777" w:rsidR="00A57704" w:rsidRPr="0076339A" w:rsidRDefault="00A57704" w:rsidP="0076339A">
            <w:pPr>
              <w:spacing w:after="0"/>
              <w:jc w:val="center"/>
              <w:rPr>
                <w:rFonts w:ascii="Times New Roman" w:hAnsi="Times New Roman"/>
                <w:b/>
                <w:color w:val="FFFFFF" w:themeColor="background1"/>
              </w:rPr>
            </w:pPr>
            <w:r w:rsidRPr="0076339A">
              <w:rPr>
                <w:rFonts w:ascii="Times New Roman" w:hAnsi="Times New Roman"/>
                <w:b/>
                <w:color w:val="FFFFFF" w:themeColor="background1"/>
              </w:rPr>
              <w:t>Samaná</w:t>
            </w:r>
          </w:p>
        </w:tc>
        <w:tc>
          <w:tcPr>
            <w:tcW w:w="760" w:type="dxa"/>
            <w:tcBorders>
              <w:top w:val="single" w:sz="4" w:space="0" w:color="auto"/>
              <w:left w:val="nil"/>
              <w:bottom w:val="single" w:sz="4" w:space="0" w:color="auto"/>
              <w:right w:val="single" w:sz="4" w:space="0" w:color="auto"/>
            </w:tcBorders>
            <w:shd w:val="clear" w:color="auto" w:fill="00B050"/>
            <w:noWrap/>
            <w:hideMark/>
          </w:tcPr>
          <w:p w14:paraId="0FB87508" w14:textId="77777777" w:rsidR="00A57704" w:rsidRPr="0076339A" w:rsidRDefault="00A57704" w:rsidP="0076339A">
            <w:pPr>
              <w:spacing w:after="0"/>
              <w:jc w:val="center"/>
              <w:rPr>
                <w:rFonts w:ascii="Times New Roman" w:hAnsi="Times New Roman"/>
                <w:b/>
                <w:color w:val="FFFFFF" w:themeColor="background1"/>
              </w:rPr>
            </w:pPr>
            <w:r w:rsidRPr="0076339A">
              <w:rPr>
                <w:rFonts w:ascii="Times New Roman" w:hAnsi="Times New Roman"/>
                <w:b/>
                <w:color w:val="FFFFFF" w:themeColor="background1"/>
              </w:rPr>
              <w:t>Ene</w:t>
            </w:r>
          </w:p>
        </w:tc>
        <w:tc>
          <w:tcPr>
            <w:tcW w:w="760" w:type="dxa"/>
            <w:tcBorders>
              <w:top w:val="single" w:sz="4" w:space="0" w:color="auto"/>
              <w:left w:val="nil"/>
              <w:bottom w:val="single" w:sz="4" w:space="0" w:color="auto"/>
              <w:right w:val="single" w:sz="4" w:space="0" w:color="auto"/>
            </w:tcBorders>
            <w:shd w:val="clear" w:color="auto" w:fill="00B050"/>
            <w:noWrap/>
            <w:hideMark/>
          </w:tcPr>
          <w:p w14:paraId="326E729F" w14:textId="77777777" w:rsidR="00A57704" w:rsidRPr="0076339A" w:rsidRDefault="00A57704" w:rsidP="0076339A">
            <w:pPr>
              <w:spacing w:after="0"/>
              <w:jc w:val="center"/>
              <w:rPr>
                <w:rFonts w:ascii="Times New Roman" w:hAnsi="Times New Roman"/>
                <w:b/>
                <w:color w:val="FFFFFF" w:themeColor="background1"/>
              </w:rPr>
            </w:pPr>
            <w:r w:rsidRPr="0076339A">
              <w:rPr>
                <w:rFonts w:ascii="Times New Roman" w:hAnsi="Times New Roman"/>
                <w:b/>
                <w:color w:val="FFFFFF" w:themeColor="background1"/>
              </w:rPr>
              <w:t>Feb</w:t>
            </w:r>
          </w:p>
        </w:tc>
        <w:tc>
          <w:tcPr>
            <w:tcW w:w="720" w:type="dxa"/>
            <w:tcBorders>
              <w:top w:val="single" w:sz="4" w:space="0" w:color="auto"/>
              <w:left w:val="nil"/>
              <w:bottom w:val="single" w:sz="4" w:space="0" w:color="auto"/>
              <w:right w:val="single" w:sz="4" w:space="0" w:color="auto"/>
            </w:tcBorders>
            <w:shd w:val="clear" w:color="auto" w:fill="00B050"/>
            <w:noWrap/>
            <w:hideMark/>
          </w:tcPr>
          <w:p w14:paraId="523018E0" w14:textId="77777777" w:rsidR="00A57704" w:rsidRPr="0076339A" w:rsidRDefault="00A57704" w:rsidP="0076339A">
            <w:pPr>
              <w:spacing w:after="0"/>
              <w:jc w:val="center"/>
              <w:rPr>
                <w:rFonts w:ascii="Times New Roman" w:hAnsi="Times New Roman"/>
                <w:b/>
                <w:color w:val="FFFFFF" w:themeColor="background1"/>
              </w:rPr>
            </w:pPr>
            <w:r w:rsidRPr="0076339A">
              <w:rPr>
                <w:rFonts w:ascii="Times New Roman" w:hAnsi="Times New Roman"/>
                <w:b/>
                <w:color w:val="FFFFFF" w:themeColor="background1"/>
              </w:rPr>
              <w:t>Mar</w:t>
            </w:r>
          </w:p>
        </w:tc>
        <w:tc>
          <w:tcPr>
            <w:tcW w:w="820" w:type="dxa"/>
            <w:tcBorders>
              <w:top w:val="single" w:sz="4" w:space="0" w:color="auto"/>
              <w:left w:val="nil"/>
              <w:bottom w:val="single" w:sz="4" w:space="0" w:color="auto"/>
              <w:right w:val="single" w:sz="4" w:space="0" w:color="auto"/>
            </w:tcBorders>
            <w:shd w:val="clear" w:color="auto" w:fill="00B050"/>
            <w:noWrap/>
            <w:hideMark/>
          </w:tcPr>
          <w:p w14:paraId="1A371E6C" w14:textId="77777777" w:rsidR="00A57704" w:rsidRPr="0076339A" w:rsidRDefault="00A57704" w:rsidP="0076339A">
            <w:pPr>
              <w:spacing w:after="0"/>
              <w:jc w:val="center"/>
              <w:rPr>
                <w:rFonts w:ascii="Times New Roman" w:hAnsi="Times New Roman"/>
                <w:b/>
                <w:color w:val="FFFFFF" w:themeColor="background1"/>
              </w:rPr>
            </w:pPr>
            <w:r w:rsidRPr="0076339A">
              <w:rPr>
                <w:rFonts w:ascii="Times New Roman" w:hAnsi="Times New Roman"/>
                <w:b/>
                <w:color w:val="FFFFFF" w:themeColor="background1"/>
              </w:rPr>
              <w:t>Abr</w:t>
            </w:r>
          </w:p>
        </w:tc>
        <w:tc>
          <w:tcPr>
            <w:tcW w:w="820" w:type="dxa"/>
            <w:tcBorders>
              <w:top w:val="single" w:sz="4" w:space="0" w:color="auto"/>
              <w:left w:val="nil"/>
              <w:bottom w:val="single" w:sz="4" w:space="0" w:color="auto"/>
              <w:right w:val="single" w:sz="4" w:space="0" w:color="auto"/>
            </w:tcBorders>
            <w:shd w:val="clear" w:color="auto" w:fill="00B050"/>
            <w:noWrap/>
            <w:hideMark/>
          </w:tcPr>
          <w:p w14:paraId="4F96CEEE" w14:textId="77777777" w:rsidR="00A57704" w:rsidRPr="0076339A" w:rsidRDefault="00A57704" w:rsidP="0076339A">
            <w:pPr>
              <w:spacing w:after="0"/>
              <w:jc w:val="center"/>
              <w:rPr>
                <w:rFonts w:ascii="Times New Roman" w:hAnsi="Times New Roman"/>
                <w:b/>
                <w:color w:val="FFFFFF" w:themeColor="background1"/>
              </w:rPr>
            </w:pPr>
            <w:r w:rsidRPr="0076339A">
              <w:rPr>
                <w:rFonts w:ascii="Times New Roman" w:hAnsi="Times New Roman"/>
                <w:b/>
                <w:color w:val="FFFFFF" w:themeColor="background1"/>
              </w:rPr>
              <w:t>May</w:t>
            </w:r>
          </w:p>
        </w:tc>
        <w:tc>
          <w:tcPr>
            <w:tcW w:w="820" w:type="dxa"/>
            <w:tcBorders>
              <w:top w:val="single" w:sz="4" w:space="0" w:color="auto"/>
              <w:left w:val="nil"/>
              <w:bottom w:val="single" w:sz="4" w:space="0" w:color="auto"/>
              <w:right w:val="single" w:sz="4" w:space="0" w:color="auto"/>
            </w:tcBorders>
            <w:shd w:val="clear" w:color="auto" w:fill="00B050"/>
            <w:noWrap/>
            <w:hideMark/>
          </w:tcPr>
          <w:p w14:paraId="678D550E" w14:textId="77777777" w:rsidR="00A57704" w:rsidRPr="0076339A" w:rsidRDefault="00A57704" w:rsidP="0076339A">
            <w:pPr>
              <w:spacing w:after="0"/>
              <w:jc w:val="center"/>
              <w:rPr>
                <w:rFonts w:ascii="Times New Roman" w:hAnsi="Times New Roman"/>
                <w:b/>
                <w:color w:val="FFFFFF" w:themeColor="background1"/>
              </w:rPr>
            </w:pPr>
            <w:r w:rsidRPr="0076339A">
              <w:rPr>
                <w:rFonts w:ascii="Times New Roman" w:hAnsi="Times New Roman"/>
                <w:b/>
                <w:color w:val="FFFFFF" w:themeColor="background1"/>
              </w:rPr>
              <w:t>Jun</w:t>
            </w:r>
          </w:p>
        </w:tc>
        <w:tc>
          <w:tcPr>
            <w:tcW w:w="760" w:type="dxa"/>
            <w:tcBorders>
              <w:top w:val="single" w:sz="4" w:space="0" w:color="auto"/>
              <w:left w:val="nil"/>
              <w:bottom w:val="single" w:sz="4" w:space="0" w:color="auto"/>
              <w:right w:val="single" w:sz="4" w:space="0" w:color="auto"/>
            </w:tcBorders>
            <w:shd w:val="clear" w:color="auto" w:fill="00B050"/>
            <w:noWrap/>
            <w:hideMark/>
          </w:tcPr>
          <w:p w14:paraId="3404D6B3" w14:textId="77777777" w:rsidR="00A57704" w:rsidRPr="0076339A" w:rsidRDefault="00A57704" w:rsidP="0076339A">
            <w:pPr>
              <w:spacing w:after="0"/>
              <w:jc w:val="center"/>
              <w:rPr>
                <w:rFonts w:ascii="Times New Roman" w:hAnsi="Times New Roman"/>
                <w:b/>
                <w:color w:val="FFFFFF" w:themeColor="background1"/>
              </w:rPr>
            </w:pPr>
            <w:r w:rsidRPr="0076339A">
              <w:rPr>
                <w:rFonts w:ascii="Times New Roman" w:hAnsi="Times New Roman"/>
                <w:b/>
                <w:color w:val="FFFFFF" w:themeColor="background1"/>
              </w:rPr>
              <w:t>Jul</w:t>
            </w:r>
          </w:p>
        </w:tc>
        <w:tc>
          <w:tcPr>
            <w:tcW w:w="820" w:type="dxa"/>
            <w:tcBorders>
              <w:top w:val="single" w:sz="4" w:space="0" w:color="auto"/>
              <w:left w:val="nil"/>
              <w:bottom w:val="single" w:sz="4" w:space="0" w:color="auto"/>
              <w:right w:val="single" w:sz="4" w:space="0" w:color="auto"/>
            </w:tcBorders>
            <w:shd w:val="clear" w:color="auto" w:fill="00B050"/>
            <w:noWrap/>
            <w:hideMark/>
          </w:tcPr>
          <w:p w14:paraId="38AD57FC" w14:textId="77777777" w:rsidR="00A57704" w:rsidRPr="0076339A" w:rsidRDefault="00A57704" w:rsidP="0076339A">
            <w:pPr>
              <w:spacing w:after="0"/>
              <w:jc w:val="center"/>
              <w:rPr>
                <w:rFonts w:ascii="Times New Roman" w:hAnsi="Times New Roman"/>
                <w:b/>
                <w:color w:val="FFFFFF" w:themeColor="background1"/>
              </w:rPr>
            </w:pPr>
            <w:r w:rsidRPr="0076339A">
              <w:rPr>
                <w:rFonts w:ascii="Times New Roman" w:hAnsi="Times New Roman"/>
                <w:b/>
                <w:color w:val="FFFFFF" w:themeColor="background1"/>
              </w:rPr>
              <w:t>Ago</w:t>
            </w:r>
          </w:p>
        </w:tc>
        <w:tc>
          <w:tcPr>
            <w:tcW w:w="820" w:type="dxa"/>
            <w:tcBorders>
              <w:top w:val="single" w:sz="4" w:space="0" w:color="auto"/>
              <w:left w:val="nil"/>
              <w:bottom w:val="single" w:sz="4" w:space="0" w:color="auto"/>
              <w:right w:val="single" w:sz="4" w:space="0" w:color="auto"/>
            </w:tcBorders>
            <w:shd w:val="clear" w:color="auto" w:fill="00B050"/>
            <w:noWrap/>
            <w:hideMark/>
          </w:tcPr>
          <w:p w14:paraId="6D1538E8" w14:textId="77777777" w:rsidR="00A57704" w:rsidRPr="0076339A" w:rsidRDefault="00A57704" w:rsidP="0076339A">
            <w:pPr>
              <w:spacing w:after="0"/>
              <w:jc w:val="center"/>
              <w:rPr>
                <w:rFonts w:ascii="Times New Roman" w:hAnsi="Times New Roman"/>
                <w:b/>
                <w:color w:val="FFFFFF" w:themeColor="background1"/>
              </w:rPr>
            </w:pPr>
            <w:r w:rsidRPr="0076339A">
              <w:rPr>
                <w:rFonts w:ascii="Times New Roman" w:hAnsi="Times New Roman"/>
                <w:b/>
                <w:color w:val="FFFFFF" w:themeColor="background1"/>
              </w:rPr>
              <w:t>Sep</w:t>
            </w:r>
          </w:p>
        </w:tc>
        <w:tc>
          <w:tcPr>
            <w:tcW w:w="820" w:type="dxa"/>
            <w:tcBorders>
              <w:top w:val="single" w:sz="4" w:space="0" w:color="auto"/>
              <w:left w:val="nil"/>
              <w:bottom w:val="single" w:sz="4" w:space="0" w:color="auto"/>
              <w:right w:val="single" w:sz="4" w:space="0" w:color="auto"/>
            </w:tcBorders>
            <w:shd w:val="clear" w:color="auto" w:fill="00B050"/>
            <w:noWrap/>
            <w:hideMark/>
          </w:tcPr>
          <w:p w14:paraId="62351EBB" w14:textId="77777777" w:rsidR="00A57704" w:rsidRPr="0076339A" w:rsidRDefault="00A57704" w:rsidP="0076339A">
            <w:pPr>
              <w:spacing w:after="0"/>
              <w:jc w:val="center"/>
              <w:rPr>
                <w:rFonts w:ascii="Times New Roman" w:hAnsi="Times New Roman"/>
                <w:b/>
                <w:color w:val="FFFFFF" w:themeColor="background1"/>
              </w:rPr>
            </w:pPr>
            <w:r w:rsidRPr="0076339A">
              <w:rPr>
                <w:rFonts w:ascii="Times New Roman" w:hAnsi="Times New Roman"/>
                <w:b/>
                <w:color w:val="FFFFFF" w:themeColor="background1"/>
              </w:rPr>
              <w:t>Oct</w:t>
            </w:r>
          </w:p>
        </w:tc>
        <w:tc>
          <w:tcPr>
            <w:tcW w:w="760" w:type="dxa"/>
            <w:tcBorders>
              <w:top w:val="single" w:sz="4" w:space="0" w:color="auto"/>
              <w:left w:val="nil"/>
              <w:bottom w:val="single" w:sz="4" w:space="0" w:color="auto"/>
              <w:right w:val="single" w:sz="4" w:space="0" w:color="auto"/>
            </w:tcBorders>
            <w:shd w:val="clear" w:color="auto" w:fill="00B050"/>
            <w:noWrap/>
            <w:hideMark/>
          </w:tcPr>
          <w:p w14:paraId="2AE8CEEA" w14:textId="77777777" w:rsidR="00A57704" w:rsidRPr="0076339A" w:rsidRDefault="00A57704" w:rsidP="0076339A">
            <w:pPr>
              <w:spacing w:after="0"/>
              <w:jc w:val="center"/>
              <w:rPr>
                <w:rFonts w:ascii="Times New Roman" w:hAnsi="Times New Roman"/>
                <w:b/>
                <w:color w:val="FFFFFF" w:themeColor="background1"/>
              </w:rPr>
            </w:pPr>
            <w:r w:rsidRPr="0076339A">
              <w:rPr>
                <w:rFonts w:ascii="Times New Roman" w:hAnsi="Times New Roman"/>
                <w:b/>
                <w:color w:val="FFFFFF" w:themeColor="background1"/>
              </w:rPr>
              <w:t>Nov</w:t>
            </w:r>
          </w:p>
        </w:tc>
        <w:tc>
          <w:tcPr>
            <w:tcW w:w="720" w:type="dxa"/>
            <w:tcBorders>
              <w:top w:val="single" w:sz="4" w:space="0" w:color="auto"/>
              <w:left w:val="nil"/>
              <w:bottom w:val="single" w:sz="4" w:space="0" w:color="auto"/>
              <w:right w:val="single" w:sz="4" w:space="0" w:color="auto"/>
            </w:tcBorders>
            <w:shd w:val="clear" w:color="auto" w:fill="00B050"/>
            <w:noWrap/>
            <w:hideMark/>
          </w:tcPr>
          <w:p w14:paraId="4056BED3" w14:textId="77777777" w:rsidR="00A57704" w:rsidRPr="0076339A" w:rsidRDefault="00A57704" w:rsidP="0076339A">
            <w:pPr>
              <w:spacing w:after="0"/>
              <w:jc w:val="center"/>
              <w:rPr>
                <w:rFonts w:ascii="Times New Roman" w:hAnsi="Times New Roman"/>
                <w:b/>
                <w:color w:val="FFFFFF" w:themeColor="background1"/>
              </w:rPr>
            </w:pPr>
            <w:r w:rsidRPr="0076339A">
              <w:rPr>
                <w:rFonts w:ascii="Times New Roman" w:hAnsi="Times New Roman"/>
                <w:b/>
                <w:color w:val="FFFFFF" w:themeColor="background1"/>
              </w:rPr>
              <w:t>Dic</w:t>
            </w:r>
          </w:p>
        </w:tc>
        <w:tc>
          <w:tcPr>
            <w:tcW w:w="1100" w:type="dxa"/>
            <w:tcBorders>
              <w:top w:val="single" w:sz="4" w:space="0" w:color="auto"/>
              <w:left w:val="nil"/>
              <w:bottom w:val="single" w:sz="4" w:space="0" w:color="auto"/>
              <w:right w:val="single" w:sz="4" w:space="0" w:color="auto"/>
            </w:tcBorders>
            <w:shd w:val="clear" w:color="auto" w:fill="00B050"/>
            <w:noWrap/>
            <w:hideMark/>
          </w:tcPr>
          <w:p w14:paraId="5AE379FF" w14:textId="77777777" w:rsidR="00A57704" w:rsidRPr="0076339A" w:rsidRDefault="00A57704" w:rsidP="0076339A">
            <w:pPr>
              <w:spacing w:after="0"/>
              <w:jc w:val="center"/>
              <w:rPr>
                <w:rFonts w:ascii="Times New Roman" w:hAnsi="Times New Roman"/>
                <w:b/>
                <w:color w:val="FFFFFF" w:themeColor="background1"/>
              </w:rPr>
            </w:pPr>
            <w:r w:rsidRPr="0076339A">
              <w:rPr>
                <w:rFonts w:ascii="Times New Roman" w:hAnsi="Times New Roman"/>
                <w:b/>
                <w:color w:val="FFFFFF" w:themeColor="background1"/>
              </w:rPr>
              <w:t>Año</w:t>
            </w:r>
          </w:p>
        </w:tc>
      </w:tr>
      <w:tr w:rsidR="00A57704" w:rsidRPr="001474CB" w14:paraId="2A3885A7"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2457125E" w14:textId="77777777" w:rsidR="00A57704" w:rsidRPr="001474CB" w:rsidRDefault="00A57704" w:rsidP="00A57704">
            <w:pPr>
              <w:spacing w:after="0"/>
              <w:rPr>
                <w:rFonts w:ascii="Times New Roman" w:hAnsi="Times New Roman"/>
              </w:rPr>
            </w:pPr>
            <w:r w:rsidRPr="001474CB">
              <w:rPr>
                <w:rFonts w:ascii="Times New Roman" w:hAnsi="Times New Roman"/>
              </w:rPr>
              <w:t>Normal</w:t>
            </w:r>
          </w:p>
        </w:tc>
        <w:tc>
          <w:tcPr>
            <w:tcW w:w="760" w:type="dxa"/>
            <w:tcBorders>
              <w:top w:val="single" w:sz="4" w:space="0" w:color="auto"/>
              <w:left w:val="nil"/>
              <w:bottom w:val="single" w:sz="4" w:space="0" w:color="auto"/>
              <w:right w:val="single" w:sz="4" w:space="0" w:color="auto"/>
            </w:tcBorders>
            <w:shd w:val="clear" w:color="auto" w:fill="auto"/>
            <w:noWrap/>
            <w:hideMark/>
          </w:tcPr>
          <w:p w14:paraId="3B6857E5" w14:textId="77777777" w:rsidR="00A57704" w:rsidRPr="001474CB" w:rsidRDefault="00A57704" w:rsidP="00A57704">
            <w:pPr>
              <w:spacing w:after="0"/>
              <w:jc w:val="center"/>
              <w:rPr>
                <w:rFonts w:ascii="Times New Roman" w:hAnsi="Times New Roman"/>
              </w:rPr>
            </w:pPr>
            <w:r w:rsidRPr="001474CB">
              <w:rPr>
                <w:rFonts w:ascii="Times New Roman" w:hAnsi="Times New Roman"/>
              </w:rPr>
              <w:t>154.1</w:t>
            </w:r>
          </w:p>
        </w:tc>
        <w:tc>
          <w:tcPr>
            <w:tcW w:w="760" w:type="dxa"/>
            <w:tcBorders>
              <w:top w:val="single" w:sz="4" w:space="0" w:color="auto"/>
              <w:left w:val="nil"/>
              <w:bottom w:val="single" w:sz="4" w:space="0" w:color="auto"/>
              <w:right w:val="single" w:sz="4" w:space="0" w:color="auto"/>
            </w:tcBorders>
            <w:shd w:val="clear" w:color="auto" w:fill="auto"/>
            <w:noWrap/>
            <w:hideMark/>
          </w:tcPr>
          <w:p w14:paraId="2D00CB6D" w14:textId="77777777" w:rsidR="00A57704" w:rsidRPr="001474CB" w:rsidRDefault="00A57704" w:rsidP="00A57704">
            <w:pPr>
              <w:spacing w:after="0"/>
              <w:jc w:val="center"/>
              <w:rPr>
                <w:rFonts w:ascii="Times New Roman" w:hAnsi="Times New Roman"/>
              </w:rPr>
            </w:pPr>
            <w:r w:rsidRPr="001474CB">
              <w:rPr>
                <w:rFonts w:ascii="Times New Roman" w:hAnsi="Times New Roman"/>
              </w:rPr>
              <w:t>126.0</w:t>
            </w:r>
          </w:p>
        </w:tc>
        <w:tc>
          <w:tcPr>
            <w:tcW w:w="720" w:type="dxa"/>
            <w:tcBorders>
              <w:top w:val="single" w:sz="4" w:space="0" w:color="auto"/>
              <w:left w:val="nil"/>
              <w:bottom w:val="single" w:sz="4" w:space="0" w:color="auto"/>
              <w:right w:val="single" w:sz="4" w:space="0" w:color="auto"/>
            </w:tcBorders>
            <w:shd w:val="clear" w:color="auto" w:fill="auto"/>
            <w:noWrap/>
            <w:hideMark/>
          </w:tcPr>
          <w:p w14:paraId="1288E945" w14:textId="77777777" w:rsidR="00A57704" w:rsidRPr="001474CB" w:rsidRDefault="00A57704" w:rsidP="00A57704">
            <w:pPr>
              <w:spacing w:after="0"/>
              <w:jc w:val="center"/>
              <w:rPr>
                <w:rFonts w:ascii="Times New Roman" w:hAnsi="Times New Roman"/>
              </w:rPr>
            </w:pPr>
            <w:r w:rsidRPr="001474CB">
              <w:rPr>
                <w:rFonts w:ascii="Times New Roman" w:hAnsi="Times New Roman"/>
              </w:rPr>
              <w:t>132.4</w:t>
            </w:r>
          </w:p>
        </w:tc>
        <w:tc>
          <w:tcPr>
            <w:tcW w:w="820" w:type="dxa"/>
            <w:tcBorders>
              <w:top w:val="single" w:sz="4" w:space="0" w:color="auto"/>
              <w:left w:val="nil"/>
              <w:bottom w:val="single" w:sz="4" w:space="0" w:color="auto"/>
              <w:right w:val="single" w:sz="4" w:space="0" w:color="auto"/>
            </w:tcBorders>
            <w:shd w:val="clear" w:color="auto" w:fill="auto"/>
            <w:noWrap/>
            <w:hideMark/>
          </w:tcPr>
          <w:p w14:paraId="2969B949" w14:textId="77777777" w:rsidR="00A57704" w:rsidRPr="001474CB" w:rsidRDefault="00A57704" w:rsidP="00A57704">
            <w:pPr>
              <w:spacing w:after="0"/>
              <w:jc w:val="center"/>
              <w:rPr>
                <w:rFonts w:ascii="Times New Roman" w:hAnsi="Times New Roman"/>
              </w:rPr>
            </w:pPr>
            <w:r w:rsidRPr="001474CB">
              <w:rPr>
                <w:rFonts w:ascii="Times New Roman" w:hAnsi="Times New Roman"/>
              </w:rPr>
              <w:t>126.6</w:t>
            </w:r>
          </w:p>
        </w:tc>
        <w:tc>
          <w:tcPr>
            <w:tcW w:w="820" w:type="dxa"/>
            <w:tcBorders>
              <w:top w:val="single" w:sz="4" w:space="0" w:color="auto"/>
              <w:left w:val="nil"/>
              <w:bottom w:val="single" w:sz="4" w:space="0" w:color="auto"/>
              <w:right w:val="single" w:sz="4" w:space="0" w:color="auto"/>
            </w:tcBorders>
            <w:shd w:val="clear" w:color="auto" w:fill="auto"/>
            <w:noWrap/>
            <w:hideMark/>
          </w:tcPr>
          <w:p w14:paraId="57F5E85B" w14:textId="77777777" w:rsidR="00A57704" w:rsidRPr="001474CB" w:rsidRDefault="00A57704" w:rsidP="00A57704">
            <w:pPr>
              <w:spacing w:after="0"/>
              <w:jc w:val="center"/>
              <w:rPr>
                <w:rFonts w:ascii="Times New Roman" w:hAnsi="Times New Roman"/>
              </w:rPr>
            </w:pPr>
            <w:r w:rsidRPr="001474CB">
              <w:rPr>
                <w:rFonts w:ascii="Times New Roman" w:hAnsi="Times New Roman"/>
              </w:rPr>
              <w:t>200.3</w:t>
            </w:r>
          </w:p>
        </w:tc>
        <w:tc>
          <w:tcPr>
            <w:tcW w:w="820" w:type="dxa"/>
            <w:tcBorders>
              <w:top w:val="single" w:sz="4" w:space="0" w:color="auto"/>
              <w:left w:val="nil"/>
              <w:bottom w:val="single" w:sz="4" w:space="0" w:color="auto"/>
              <w:right w:val="single" w:sz="4" w:space="0" w:color="auto"/>
            </w:tcBorders>
            <w:shd w:val="clear" w:color="auto" w:fill="auto"/>
            <w:noWrap/>
            <w:hideMark/>
          </w:tcPr>
          <w:p w14:paraId="0FDFC5CD" w14:textId="77777777" w:rsidR="00A57704" w:rsidRPr="001474CB" w:rsidRDefault="00A57704" w:rsidP="00A57704">
            <w:pPr>
              <w:spacing w:after="0"/>
              <w:jc w:val="center"/>
              <w:rPr>
                <w:rFonts w:ascii="Times New Roman" w:hAnsi="Times New Roman"/>
              </w:rPr>
            </w:pPr>
            <w:r w:rsidRPr="001474CB">
              <w:rPr>
                <w:rFonts w:ascii="Times New Roman" w:hAnsi="Times New Roman"/>
              </w:rPr>
              <w:t>129.2</w:t>
            </w:r>
          </w:p>
        </w:tc>
        <w:tc>
          <w:tcPr>
            <w:tcW w:w="760" w:type="dxa"/>
            <w:tcBorders>
              <w:top w:val="single" w:sz="4" w:space="0" w:color="auto"/>
              <w:left w:val="nil"/>
              <w:bottom w:val="single" w:sz="4" w:space="0" w:color="auto"/>
              <w:right w:val="single" w:sz="4" w:space="0" w:color="auto"/>
            </w:tcBorders>
            <w:shd w:val="clear" w:color="auto" w:fill="auto"/>
            <w:noWrap/>
            <w:hideMark/>
          </w:tcPr>
          <w:p w14:paraId="16B3FBAD" w14:textId="77777777" w:rsidR="00A57704" w:rsidRPr="001474CB" w:rsidRDefault="00A57704" w:rsidP="00A57704">
            <w:pPr>
              <w:spacing w:after="0"/>
              <w:jc w:val="center"/>
              <w:rPr>
                <w:rFonts w:ascii="Times New Roman" w:hAnsi="Times New Roman"/>
              </w:rPr>
            </w:pPr>
            <w:r w:rsidRPr="001474CB">
              <w:rPr>
                <w:rFonts w:ascii="Times New Roman" w:hAnsi="Times New Roman"/>
              </w:rPr>
              <w:t>166.1</w:t>
            </w:r>
          </w:p>
        </w:tc>
        <w:tc>
          <w:tcPr>
            <w:tcW w:w="820" w:type="dxa"/>
            <w:tcBorders>
              <w:top w:val="single" w:sz="4" w:space="0" w:color="auto"/>
              <w:left w:val="nil"/>
              <w:bottom w:val="single" w:sz="4" w:space="0" w:color="auto"/>
              <w:right w:val="single" w:sz="4" w:space="0" w:color="auto"/>
            </w:tcBorders>
            <w:shd w:val="clear" w:color="auto" w:fill="auto"/>
            <w:noWrap/>
            <w:hideMark/>
          </w:tcPr>
          <w:p w14:paraId="11CAEA27" w14:textId="77777777" w:rsidR="00A57704" w:rsidRPr="001474CB" w:rsidRDefault="00A57704" w:rsidP="00A57704">
            <w:pPr>
              <w:spacing w:after="0"/>
              <w:jc w:val="center"/>
              <w:rPr>
                <w:rFonts w:ascii="Times New Roman" w:hAnsi="Times New Roman"/>
              </w:rPr>
            </w:pPr>
            <w:r w:rsidRPr="001474CB">
              <w:rPr>
                <w:rFonts w:ascii="Times New Roman" w:hAnsi="Times New Roman"/>
              </w:rPr>
              <w:t>211.0</w:t>
            </w:r>
          </w:p>
        </w:tc>
        <w:tc>
          <w:tcPr>
            <w:tcW w:w="820" w:type="dxa"/>
            <w:tcBorders>
              <w:top w:val="single" w:sz="4" w:space="0" w:color="auto"/>
              <w:left w:val="nil"/>
              <w:bottom w:val="single" w:sz="4" w:space="0" w:color="auto"/>
              <w:right w:val="single" w:sz="4" w:space="0" w:color="auto"/>
            </w:tcBorders>
            <w:shd w:val="clear" w:color="auto" w:fill="auto"/>
            <w:noWrap/>
            <w:hideMark/>
          </w:tcPr>
          <w:p w14:paraId="30858687" w14:textId="77777777" w:rsidR="00A57704" w:rsidRPr="001474CB" w:rsidRDefault="00A57704" w:rsidP="00A57704">
            <w:pPr>
              <w:spacing w:after="0"/>
              <w:jc w:val="center"/>
              <w:rPr>
                <w:rFonts w:ascii="Times New Roman" w:hAnsi="Times New Roman"/>
              </w:rPr>
            </w:pPr>
            <w:r w:rsidRPr="001474CB">
              <w:rPr>
                <w:rFonts w:ascii="Times New Roman" w:hAnsi="Times New Roman"/>
              </w:rPr>
              <w:t>206.5</w:t>
            </w:r>
          </w:p>
        </w:tc>
        <w:tc>
          <w:tcPr>
            <w:tcW w:w="820" w:type="dxa"/>
            <w:tcBorders>
              <w:top w:val="single" w:sz="4" w:space="0" w:color="auto"/>
              <w:left w:val="nil"/>
              <w:bottom w:val="single" w:sz="4" w:space="0" w:color="auto"/>
              <w:right w:val="single" w:sz="4" w:space="0" w:color="auto"/>
            </w:tcBorders>
            <w:shd w:val="clear" w:color="auto" w:fill="auto"/>
            <w:noWrap/>
            <w:hideMark/>
          </w:tcPr>
          <w:p w14:paraId="0D86B0E7" w14:textId="77777777" w:rsidR="00A57704" w:rsidRPr="001474CB" w:rsidRDefault="00A57704" w:rsidP="00A57704">
            <w:pPr>
              <w:spacing w:after="0"/>
              <w:jc w:val="center"/>
              <w:rPr>
                <w:rFonts w:ascii="Times New Roman" w:hAnsi="Times New Roman"/>
              </w:rPr>
            </w:pPr>
            <w:r w:rsidRPr="001474CB">
              <w:rPr>
                <w:rFonts w:ascii="Times New Roman" w:hAnsi="Times New Roman"/>
              </w:rPr>
              <w:t>272.1</w:t>
            </w:r>
          </w:p>
        </w:tc>
        <w:tc>
          <w:tcPr>
            <w:tcW w:w="760" w:type="dxa"/>
            <w:tcBorders>
              <w:top w:val="single" w:sz="4" w:space="0" w:color="auto"/>
              <w:left w:val="nil"/>
              <w:bottom w:val="single" w:sz="4" w:space="0" w:color="auto"/>
              <w:right w:val="single" w:sz="4" w:space="0" w:color="auto"/>
            </w:tcBorders>
            <w:shd w:val="clear" w:color="auto" w:fill="auto"/>
            <w:noWrap/>
            <w:hideMark/>
          </w:tcPr>
          <w:p w14:paraId="033D48D1" w14:textId="77777777" w:rsidR="00A57704" w:rsidRPr="001474CB" w:rsidRDefault="00A57704" w:rsidP="00A57704">
            <w:pPr>
              <w:spacing w:after="0"/>
              <w:jc w:val="center"/>
              <w:rPr>
                <w:rFonts w:ascii="Times New Roman" w:hAnsi="Times New Roman"/>
              </w:rPr>
            </w:pPr>
            <w:r w:rsidRPr="001474CB">
              <w:rPr>
                <w:rFonts w:ascii="Times New Roman" w:hAnsi="Times New Roman"/>
              </w:rPr>
              <w:t>276.7</w:t>
            </w:r>
          </w:p>
        </w:tc>
        <w:tc>
          <w:tcPr>
            <w:tcW w:w="720" w:type="dxa"/>
            <w:tcBorders>
              <w:top w:val="single" w:sz="4" w:space="0" w:color="auto"/>
              <w:left w:val="nil"/>
              <w:bottom w:val="single" w:sz="4" w:space="0" w:color="auto"/>
              <w:right w:val="single" w:sz="4" w:space="0" w:color="auto"/>
            </w:tcBorders>
            <w:shd w:val="clear" w:color="auto" w:fill="auto"/>
            <w:noWrap/>
            <w:hideMark/>
          </w:tcPr>
          <w:p w14:paraId="611F248F" w14:textId="77777777" w:rsidR="00A57704" w:rsidRPr="001474CB" w:rsidRDefault="00A57704" w:rsidP="00A57704">
            <w:pPr>
              <w:spacing w:after="0"/>
              <w:jc w:val="center"/>
              <w:rPr>
                <w:rFonts w:ascii="Times New Roman" w:hAnsi="Times New Roman"/>
              </w:rPr>
            </w:pPr>
            <w:r w:rsidRPr="001474CB">
              <w:rPr>
                <w:rFonts w:ascii="Times New Roman" w:hAnsi="Times New Roman"/>
              </w:rPr>
              <w:t>191.8</w:t>
            </w:r>
          </w:p>
        </w:tc>
        <w:tc>
          <w:tcPr>
            <w:tcW w:w="1100" w:type="dxa"/>
            <w:tcBorders>
              <w:top w:val="single" w:sz="4" w:space="0" w:color="auto"/>
              <w:left w:val="nil"/>
              <w:bottom w:val="single" w:sz="4" w:space="0" w:color="auto"/>
              <w:right w:val="single" w:sz="4" w:space="0" w:color="auto"/>
            </w:tcBorders>
            <w:shd w:val="clear" w:color="auto" w:fill="auto"/>
            <w:noWrap/>
            <w:hideMark/>
          </w:tcPr>
          <w:p w14:paraId="02CA695B" w14:textId="77777777" w:rsidR="00A57704" w:rsidRPr="001474CB" w:rsidRDefault="00A57704" w:rsidP="00A57704">
            <w:pPr>
              <w:spacing w:after="0"/>
              <w:jc w:val="center"/>
              <w:rPr>
                <w:rFonts w:ascii="Times New Roman" w:hAnsi="Times New Roman"/>
              </w:rPr>
            </w:pPr>
            <w:r w:rsidRPr="001474CB">
              <w:rPr>
                <w:rFonts w:ascii="Times New Roman" w:hAnsi="Times New Roman"/>
              </w:rPr>
              <w:t>2,192.8</w:t>
            </w:r>
          </w:p>
        </w:tc>
      </w:tr>
      <w:tr w:rsidR="00A57704" w:rsidRPr="001474CB" w14:paraId="61CF43E8"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556C16FC" w14:textId="77777777" w:rsidR="00A57704" w:rsidRPr="001474CB" w:rsidRDefault="00A57704" w:rsidP="00A57704">
            <w:pPr>
              <w:spacing w:after="0"/>
              <w:rPr>
                <w:rFonts w:ascii="Times New Roman" w:hAnsi="Times New Roman"/>
              </w:rPr>
            </w:pPr>
            <w:r w:rsidRPr="001474CB">
              <w:rPr>
                <w:rFonts w:ascii="Times New Roman" w:hAnsi="Times New Roman"/>
              </w:rPr>
              <w:t xml:space="preserve">Precipitación </w:t>
            </w:r>
            <w:r>
              <w:rPr>
                <w:rFonts w:ascii="Times New Roman" w:hAnsi="Times New Roman"/>
              </w:rPr>
              <w:t>2019</w:t>
            </w:r>
          </w:p>
        </w:tc>
        <w:tc>
          <w:tcPr>
            <w:tcW w:w="760" w:type="dxa"/>
            <w:tcBorders>
              <w:top w:val="single" w:sz="4" w:space="0" w:color="auto"/>
              <w:left w:val="nil"/>
              <w:bottom w:val="single" w:sz="4" w:space="0" w:color="auto"/>
              <w:right w:val="single" w:sz="4" w:space="0" w:color="auto"/>
            </w:tcBorders>
            <w:shd w:val="clear" w:color="auto" w:fill="auto"/>
            <w:noWrap/>
            <w:hideMark/>
          </w:tcPr>
          <w:p w14:paraId="2EBA9EAF" w14:textId="77777777" w:rsidR="00A57704" w:rsidRPr="001474CB" w:rsidRDefault="00A57704" w:rsidP="00A57704">
            <w:pPr>
              <w:spacing w:after="0"/>
              <w:jc w:val="center"/>
              <w:rPr>
                <w:rFonts w:ascii="Times New Roman" w:hAnsi="Times New Roman"/>
              </w:rPr>
            </w:pPr>
            <w:r>
              <w:rPr>
                <w:rFonts w:ascii="Times New Roman" w:hAnsi="Times New Roman"/>
              </w:rPr>
              <w:t>78.8</w:t>
            </w:r>
          </w:p>
        </w:tc>
        <w:tc>
          <w:tcPr>
            <w:tcW w:w="760" w:type="dxa"/>
            <w:tcBorders>
              <w:top w:val="single" w:sz="4" w:space="0" w:color="auto"/>
              <w:left w:val="nil"/>
              <w:bottom w:val="single" w:sz="4" w:space="0" w:color="auto"/>
              <w:right w:val="single" w:sz="4" w:space="0" w:color="auto"/>
            </w:tcBorders>
            <w:shd w:val="clear" w:color="auto" w:fill="auto"/>
            <w:noWrap/>
            <w:hideMark/>
          </w:tcPr>
          <w:p w14:paraId="486670F2" w14:textId="77777777" w:rsidR="00A57704" w:rsidRPr="001474CB" w:rsidRDefault="00A57704" w:rsidP="00A57704">
            <w:pPr>
              <w:spacing w:after="0"/>
              <w:jc w:val="center"/>
              <w:rPr>
                <w:rFonts w:ascii="Times New Roman" w:hAnsi="Times New Roman"/>
              </w:rPr>
            </w:pPr>
            <w:r>
              <w:rPr>
                <w:rFonts w:ascii="Times New Roman" w:hAnsi="Times New Roman"/>
              </w:rPr>
              <w:t>60.9</w:t>
            </w:r>
          </w:p>
        </w:tc>
        <w:tc>
          <w:tcPr>
            <w:tcW w:w="720" w:type="dxa"/>
            <w:tcBorders>
              <w:top w:val="single" w:sz="4" w:space="0" w:color="auto"/>
              <w:left w:val="nil"/>
              <w:bottom w:val="single" w:sz="4" w:space="0" w:color="auto"/>
              <w:right w:val="single" w:sz="4" w:space="0" w:color="auto"/>
            </w:tcBorders>
            <w:shd w:val="clear" w:color="auto" w:fill="auto"/>
            <w:noWrap/>
            <w:hideMark/>
          </w:tcPr>
          <w:p w14:paraId="1D07D7CC" w14:textId="77777777" w:rsidR="00A57704" w:rsidRPr="001474CB" w:rsidRDefault="00A57704" w:rsidP="00A57704">
            <w:pPr>
              <w:spacing w:after="0"/>
              <w:jc w:val="center"/>
              <w:rPr>
                <w:rFonts w:ascii="Times New Roman" w:hAnsi="Times New Roman"/>
              </w:rPr>
            </w:pPr>
            <w:r>
              <w:rPr>
                <w:rFonts w:ascii="Times New Roman" w:hAnsi="Times New Roman"/>
              </w:rPr>
              <w:t>93.4</w:t>
            </w:r>
          </w:p>
        </w:tc>
        <w:tc>
          <w:tcPr>
            <w:tcW w:w="820" w:type="dxa"/>
            <w:tcBorders>
              <w:top w:val="single" w:sz="4" w:space="0" w:color="auto"/>
              <w:left w:val="nil"/>
              <w:bottom w:val="single" w:sz="4" w:space="0" w:color="auto"/>
              <w:right w:val="single" w:sz="4" w:space="0" w:color="auto"/>
            </w:tcBorders>
            <w:shd w:val="clear" w:color="auto" w:fill="auto"/>
            <w:noWrap/>
            <w:hideMark/>
          </w:tcPr>
          <w:p w14:paraId="50EE6574" w14:textId="77777777" w:rsidR="00A57704" w:rsidRPr="001474CB" w:rsidRDefault="00A57704" w:rsidP="00A57704">
            <w:pPr>
              <w:spacing w:after="0"/>
              <w:jc w:val="center"/>
              <w:rPr>
                <w:rFonts w:ascii="Times New Roman" w:hAnsi="Times New Roman"/>
              </w:rPr>
            </w:pPr>
            <w:r>
              <w:rPr>
                <w:rFonts w:ascii="Times New Roman" w:hAnsi="Times New Roman"/>
              </w:rPr>
              <w:t>32.0</w:t>
            </w:r>
          </w:p>
        </w:tc>
        <w:tc>
          <w:tcPr>
            <w:tcW w:w="820" w:type="dxa"/>
            <w:tcBorders>
              <w:top w:val="single" w:sz="4" w:space="0" w:color="auto"/>
              <w:left w:val="nil"/>
              <w:bottom w:val="single" w:sz="4" w:space="0" w:color="auto"/>
              <w:right w:val="single" w:sz="4" w:space="0" w:color="auto"/>
            </w:tcBorders>
            <w:shd w:val="clear" w:color="auto" w:fill="auto"/>
            <w:noWrap/>
            <w:hideMark/>
          </w:tcPr>
          <w:p w14:paraId="64B703C2" w14:textId="77777777" w:rsidR="00A57704" w:rsidRPr="001474CB" w:rsidRDefault="00A57704" w:rsidP="00A57704">
            <w:pPr>
              <w:spacing w:after="0"/>
              <w:jc w:val="center"/>
              <w:rPr>
                <w:rFonts w:ascii="Times New Roman" w:hAnsi="Times New Roman"/>
              </w:rPr>
            </w:pPr>
            <w:r>
              <w:rPr>
                <w:rFonts w:ascii="Times New Roman" w:hAnsi="Times New Roman"/>
              </w:rPr>
              <w:t>113.9</w:t>
            </w:r>
          </w:p>
        </w:tc>
        <w:tc>
          <w:tcPr>
            <w:tcW w:w="820" w:type="dxa"/>
            <w:tcBorders>
              <w:top w:val="single" w:sz="4" w:space="0" w:color="auto"/>
              <w:left w:val="nil"/>
              <w:bottom w:val="single" w:sz="4" w:space="0" w:color="auto"/>
              <w:right w:val="single" w:sz="4" w:space="0" w:color="auto"/>
            </w:tcBorders>
            <w:shd w:val="clear" w:color="auto" w:fill="auto"/>
            <w:noWrap/>
            <w:hideMark/>
          </w:tcPr>
          <w:p w14:paraId="5C18038A" w14:textId="77777777" w:rsidR="00A57704" w:rsidRPr="001474CB" w:rsidRDefault="00A57704" w:rsidP="00A57704">
            <w:pPr>
              <w:spacing w:after="0"/>
              <w:jc w:val="center"/>
              <w:rPr>
                <w:rFonts w:ascii="Times New Roman" w:hAnsi="Times New Roman"/>
              </w:rPr>
            </w:pPr>
            <w:r>
              <w:rPr>
                <w:rFonts w:ascii="Times New Roman" w:hAnsi="Times New Roman"/>
              </w:rPr>
              <w:t>40.7</w:t>
            </w:r>
          </w:p>
        </w:tc>
        <w:tc>
          <w:tcPr>
            <w:tcW w:w="760" w:type="dxa"/>
            <w:tcBorders>
              <w:top w:val="single" w:sz="4" w:space="0" w:color="auto"/>
              <w:left w:val="nil"/>
              <w:bottom w:val="single" w:sz="4" w:space="0" w:color="auto"/>
              <w:right w:val="single" w:sz="4" w:space="0" w:color="auto"/>
            </w:tcBorders>
            <w:shd w:val="clear" w:color="auto" w:fill="auto"/>
            <w:noWrap/>
            <w:hideMark/>
          </w:tcPr>
          <w:p w14:paraId="204CABB6" w14:textId="77777777" w:rsidR="00A57704" w:rsidRPr="001474CB" w:rsidRDefault="00A57704" w:rsidP="00A57704">
            <w:pPr>
              <w:spacing w:after="0"/>
              <w:jc w:val="center"/>
              <w:rPr>
                <w:rFonts w:ascii="Times New Roman" w:hAnsi="Times New Roman"/>
              </w:rPr>
            </w:pPr>
            <w:r>
              <w:rPr>
                <w:rFonts w:ascii="Times New Roman" w:hAnsi="Times New Roman"/>
              </w:rPr>
              <w:t>190.4</w:t>
            </w:r>
          </w:p>
        </w:tc>
        <w:tc>
          <w:tcPr>
            <w:tcW w:w="820" w:type="dxa"/>
            <w:tcBorders>
              <w:top w:val="single" w:sz="4" w:space="0" w:color="auto"/>
              <w:left w:val="nil"/>
              <w:bottom w:val="single" w:sz="4" w:space="0" w:color="auto"/>
              <w:right w:val="single" w:sz="4" w:space="0" w:color="auto"/>
            </w:tcBorders>
            <w:shd w:val="clear" w:color="auto" w:fill="auto"/>
            <w:noWrap/>
            <w:hideMark/>
          </w:tcPr>
          <w:p w14:paraId="38643225" w14:textId="77777777" w:rsidR="00A57704" w:rsidRPr="001474CB" w:rsidRDefault="00A57704" w:rsidP="00A57704">
            <w:pPr>
              <w:spacing w:after="0"/>
              <w:jc w:val="center"/>
              <w:rPr>
                <w:rFonts w:ascii="Times New Roman" w:hAnsi="Times New Roman"/>
              </w:rPr>
            </w:pPr>
            <w:r>
              <w:rPr>
                <w:rFonts w:ascii="Times New Roman" w:hAnsi="Times New Roman"/>
              </w:rPr>
              <w:t>140.2</w:t>
            </w:r>
          </w:p>
        </w:tc>
        <w:tc>
          <w:tcPr>
            <w:tcW w:w="820" w:type="dxa"/>
            <w:tcBorders>
              <w:top w:val="single" w:sz="4" w:space="0" w:color="auto"/>
              <w:left w:val="nil"/>
              <w:bottom w:val="single" w:sz="4" w:space="0" w:color="auto"/>
              <w:right w:val="single" w:sz="4" w:space="0" w:color="auto"/>
            </w:tcBorders>
            <w:shd w:val="clear" w:color="auto" w:fill="auto"/>
            <w:noWrap/>
            <w:hideMark/>
          </w:tcPr>
          <w:p w14:paraId="76E484CA" w14:textId="77777777" w:rsidR="00A57704" w:rsidRPr="001474CB" w:rsidRDefault="00A57704" w:rsidP="00A57704">
            <w:pPr>
              <w:spacing w:after="0"/>
              <w:jc w:val="center"/>
              <w:rPr>
                <w:rFonts w:ascii="Times New Roman" w:hAnsi="Times New Roman"/>
              </w:rPr>
            </w:pPr>
            <w:r>
              <w:rPr>
                <w:rFonts w:ascii="Times New Roman" w:hAnsi="Times New Roman"/>
              </w:rPr>
              <w:t>152.7</w:t>
            </w:r>
          </w:p>
        </w:tc>
        <w:tc>
          <w:tcPr>
            <w:tcW w:w="820" w:type="dxa"/>
            <w:tcBorders>
              <w:top w:val="single" w:sz="4" w:space="0" w:color="auto"/>
              <w:left w:val="nil"/>
              <w:bottom w:val="single" w:sz="4" w:space="0" w:color="auto"/>
              <w:right w:val="single" w:sz="4" w:space="0" w:color="auto"/>
            </w:tcBorders>
            <w:shd w:val="clear" w:color="auto" w:fill="auto"/>
            <w:noWrap/>
            <w:hideMark/>
          </w:tcPr>
          <w:p w14:paraId="37C720EF" w14:textId="77777777" w:rsidR="00A57704" w:rsidRPr="001474CB" w:rsidRDefault="00A57704" w:rsidP="00A57704">
            <w:pPr>
              <w:spacing w:after="0"/>
              <w:jc w:val="center"/>
              <w:rPr>
                <w:rFonts w:ascii="Times New Roman" w:hAnsi="Times New Roman"/>
              </w:rPr>
            </w:pPr>
            <w:r>
              <w:rPr>
                <w:rFonts w:ascii="Times New Roman" w:hAnsi="Times New Roman"/>
              </w:rPr>
              <w:t>142.0</w:t>
            </w:r>
          </w:p>
        </w:tc>
        <w:tc>
          <w:tcPr>
            <w:tcW w:w="760" w:type="dxa"/>
            <w:tcBorders>
              <w:top w:val="single" w:sz="4" w:space="0" w:color="auto"/>
              <w:left w:val="nil"/>
              <w:bottom w:val="single" w:sz="4" w:space="0" w:color="auto"/>
              <w:right w:val="single" w:sz="4" w:space="0" w:color="auto"/>
            </w:tcBorders>
            <w:shd w:val="clear" w:color="auto" w:fill="auto"/>
            <w:noWrap/>
            <w:hideMark/>
          </w:tcPr>
          <w:p w14:paraId="6D474BDC" w14:textId="77777777" w:rsidR="00A57704" w:rsidRPr="001474CB" w:rsidRDefault="00A57704" w:rsidP="00A57704">
            <w:pPr>
              <w:spacing w:after="0"/>
              <w:jc w:val="center"/>
              <w:rPr>
                <w:rFonts w:ascii="Times New Roman" w:hAnsi="Times New Roman"/>
              </w:rPr>
            </w:pPr>
            <w:r>
              <w:rPr>
                <w:rFonts w:ascii="Times New Roman" w:hAnsi="Times New Roman"/>
              </w:rPr>
              <w:t>152.0</w:t>
            </w:r>
          </w:p>
        </w:tc>
        <w:tc>
          <w:tcPr>
            <w:tcW w:w="720" w:type="dxa"/>
            <w:tcBorders>
              <w:top w:val="single" w:sz="4" w:space="0" w:color="auto"/>
              <w:left w:val="nil"/>
              <w:bottom w:val="single" w:sz="4" w:space="0" w:color="auto"/>
              <w:right w:val="single" w:sz="4" w:space="0" w:color="auto"/>
            </w:tcBorders>
            <w:shd w:val="clear" w:color="auto" w:fill="auto"/>
            <w:noWrap/>
            <w:hideMark/>
          </w:tcPr>
          <w:p w14:paraId="63362B5C" w14:textId="77777777" w:rsidR="00A57704" w:rsidRPr="001474CB" w:rsidRDefault="00A57704" w:rsidP="00A57704">
            <w:pPr>
              <w:spacing w:after="0"/>
              <w:jc w:val="center"/>
              <w:rPr>
                <w:rFonts w:ascii="Times New Roman" w:hAnsi="Times New Roman"/>
              </w:rPr>
            </w:pPr>
            <w:r>
              <w:rPr>
                <w:rFonts w:ascii="Times New Roman" w:hAnsi="Times New Roman"/>
              </w:rPr>
              <w:t>0</w:t>
            </w:r>
          </w:p>
        </w:tc>
        <w:tc>
          <w:tcPr>
            <w:tcW w:w="1100" w:type="dxa"/>
            <w:tcBorders>
              <w:top w:val="single" w:sz="4" w:space="0" w:color="auto"/>
              <w:left w:val="nil"/>
              <w:bottom w:val="single" w:sz="4" w:space="0" w:color="auto"/>
              <w:right w:val="single" w:sz="4" w:space="0" w:color="auto"/>
            </w:tcBorders>
            <w:shd w:val="clear" w:color="auto" w:fill="auto"/>
            <w:noWrap/>
            <w:hideMark/>
          </w:tcPr>
          <w:p w14:paraId="302A4CC1" w14:textId="77777777" w:rsidR="00A57704" w:rsidRPr="001474CB" w:rsidRDefault="00A57704" w:rsidP="00A57704">
            <w:pPr>
              <w:spacing w:after="0"/>
              <w:jc w:val="center"/>
              <w:rPr>
                <w:rFonts w:ascii="Times New Roman" w:hAnsi="Times New Roman"/>
              </w:rPr>
            </w:pPr>
            <w:r>
              <w:rPr>
                <w:rFonts w:ascii="Times New Roman" w:hAnsi="Times New Roman"/>
              </w:rPr>
              <w:t>1,197.0</w:t>
            </w:r>
          </w:p>
        </w:tc>
      </w:tr>
      <w:tr w:rsidR="00A57704" w:rsidRPr="001474CB" w14:paraId="6FF0DBF2"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676CF32C" w14:textId="77777777" w:rsidR="00A57704" w:rsidRPr="001474CB" w:rsidRDefault="00A57704" w:rsidP="00A57704">
            <w:pPr>
              <w:spacing w:after="0"/>
              <w:rPr>
                <w:rFonts w:ascii="Times New Roman" w:hAnsi="Times New Roman"/>
              </w:rPr>
            </w:pPr>
            <w:r w:rsidRPr="001474CB">
              <w:rPr>
                <w:rFonts w:ascii="Times New Roman" w:hAnsi="Times New Roman"/>
              </w:rPr>
              <w:t>D. Prec (%)</w:t>
            </w:r>
          </w:p>
        </w:tc>
        <w:tc>
          <w:tcPr>
            <w:tcW w:w="760" w:type="dxa"/>
            <w:tcBorders>
              <w:top w:val="single" w:sz="4" w:space="0" w:color="auto"/>
              <w:left w:val="nil"/>
              <w:bottom w:val="single" w:sz="4" w:space="0" w:color="auto"/>
              <w:right w:val="single" w:sz="4" w:space="0" w:color="auto"/>
            </w:tcBorders>
            <w:shd w:val="clear" w:color="auto" w:fill="auto"/>
            <w:noWrap/>
            <w:hideMark/>
          </w:tcPr>
          <w:p w14:paraId="59B9BB4B" w14:textId="77777777" w:rsidR="00A57704" w:rsidRPr="001474CB" w:rsidRDefault="00A57704" w:rsidP="00A57704">
            <w:pPr>
              <w:spacing w:after="0"/>
              <w:jc w:val="center"/>
              <w:rPr>
                <w:rFonts w:ascii="Times New Roman" w:hAnsi="Times New Roman"/>
              </w:rPr>
            </w:pPr>
            <w:r>
              <w:rPr>
                <w:rFonts w:ascii="Times New Roman" w:hAnsi="Times New Roman"/>
              </w:rPr>
              <w:t>-48.9</w:t>
            </w:r>
          </w:p>
        </w:tc>
        <w:tc>
          <w:tcPr>
            <w:tcW w:w="760" w:type="dxa"/>
            <w:tcBorders>
              <w:top w:val="single" w:sz="4" w:space="0" w:color="auto"/>
              <w:left w:val="nil"/>
              <w:bottom w:val="single" w:sz="4" w:space="0" w:color="auto"/>
              <w:right w:val="single" w:sz="4" w:space="0" w:color="auto"/>
            </w:tcBorders>
            <w:shd w:val="clear" w:color="auto" w:fill="auto"/>
            <w:noWrap/>
            <w:hideMark/>
          </w:tcPr>
          <w:p w14:paraId="4553240E" w14:textId="77777777" w:rsidR="00A57704" w:rsidRPr="001474CB" w:rsidRDefault="00A57704" w:rsidP="00A57704">
            <w:pPr>
              <w:spacing w:after="0"/>
              <w:jc w:val="center"/>
              <w:rPr>
                <w:rFonts w:ascii="Times New Roman" w:hAnsi="Times New Roman"/>
              </w:rPr>
            </w:pPr>
            <w:r>
              <w:rPr>
                <w:rFonts w:ascii="Times New Roman" w:hAnsi="Times New Roman"/>
              </w:rPr>
              <w:t>-51.7</w:t>
            </w:r>
          </w:p>
        </w:tc>
        <w:tc>
          <w:tcPr>
            <w:tcW w:w="720" w:type="dxa"/>
            <w:tcBorders>
              <w:top w:val="single" w:sz="4" w:space="0" w:color="auto"/>
              <w:left w:val="nil"/>
              <w:bottom w:val="single" w:sz="4" w:space="0" w:color="auto"/>
              <w:right w:val="single" w:sz="4" w:space="0" w:color="auto"/>
            </w:tcBorders>
            <w:shd w:val="clear" w:color="auto" w:fill="auto"/>
            <w:noWrap/>
            <w:hideMark/>
          </w:tcPr>
          <w:p w14:paraId="219B17F0" w14:textId="77777777" w:rsidR="00A57704" w:rsidRPr="001474CB" w:rsidRDefault="00A57704" w:rsidP="00A57704">
            <w:pPr>
              <w:spacing w:after="0"/>
              <w:jc w:val="center"/>
              <w:rPr>
                <w:rFonts w:ascii="Times New Roman" w:hAnsi="Times New Roman"/>
              </w:rPr>
            </w:pPr>
            <w:r>
              <w:rPr>
                <w:rFonts w:ascii="Times New Roman" w:hAnsi="Times New Roman"/>
              </w:rPr>
              <w:t>-29.5</w:t>
            </w:r>
          </w:p>
        </w:tc>
        <w:tc>
          <w:tcPr>
            <w:tcW w:w="820" w:type="dxa"/>
            <w:tcBorders>
              <w:top w:val="single" w:sz="4" w:space="0" w:color="auto"/>
              <w:left w:val="nil"/>
              <w:bottom w:val="single" w:sz="4" w:space="0" w:color="auto"/>
              <w:right w:val="single" w:sz="4" w:space="0" w:color="auto"/>
            </w:tcBorders>
            <w:shd w:val="clear" w:color="auto" w:fill="auto"/>
            <w:noWrap/>
            <w:hideMark/>
          </w:tcPr>
          <w:p w14:paraId="55F20669" w14:textId="77777777" w:rsidR="00A57704" w:rsidRPr="001474CB" w:rsidRDefault="00A57704" w:rsidP="00A57704">
            <w:pPr>
              <w:spacing w:after="0"/>
              <w:jc w:val="center"/>
              <w:rPr>
                <w:rFonts w:ascii="Times New Roman" w:hAnsi="Times New Roman"/>
              </w:rPr>
            </w:pPr>
            <w:r>
              <w:rPr>
                <w:rFonts w:ascii="Times New Roman" w:hAnsi="Times New Roman"/>
              </w:rPr>
              <w:t>-74.7</w:t>
            </w:r>
          </w:p>
        </w:tc>
        <w:tc>
          <w:tcPr>
            <w:tcW w:w="820" w:type="dxa"/>
            <w:tcBorders>
              <w:top w:val="single" w:sz="4" w:space="0" w:color="auto"/>
              <w:left w:val="nil"/>
              <w:bottom w:val="single" w:sz="4" w:space="0" w:color="auto"/>
              <w:right w:val="single" w:sz="4" w:space="0" w:color="auto"/>
            </w:tcBorders>
            <w:shd w:val="clear" w:color="auto" w:fill="auto"/>
            <w:noWrap/>
            <w:hideMark/>
          </w:tcPr>
          <w:p w14:paraId="40ECDB23" w14:textId="77777777" w:rsidR="00A57704" w:rsidRPr="001474CB" w:rsidRDefault="00A57704" w:rsidP="00A57704">
            <w:pPr>
              <w:spacing w:after="0"/>
              <w:jc w:val="center"/>
              <w:rPr>
                <w:rFonts w:ascii="Times New Roman" w:hAnsi="Times New Roman"/>
              </w:rPr>
            </w:pPr>
            <w:r>
              <w:rPr>
                <w:rFonts w:ascii="Times New Roman" w:hAnsi="Times New Roman"/>
              </w:rPr>
              <w:t>-43.1</w:t>
            </w:r>
          </w:p>
        </w:tc>
        <w:tc>
          <w:tcPr>
            <w:tcW w:w="820" w:type="dxa"/>
            <w:tcBorders>
              <w:top w:val="single" w:sz="4" w:space="0" w:color="auto"/>
              <w:left w:val="nil"/>
              <w:bottom w:val="single" w:sz="4" w:space="0" w:color="auto"/>
              <w:right w:val="single" w:sz="4" w:space="0" w:color="auto"/>
            </w:tcBorders>
            <w:shd w:val="clear" w:color="auto" w:fill="auto"/>
            <w:noWrap/>
            <w:hideMark/>
          </w:tcPr>
          <w:p w14:paraId="599FA441" w14:textId="77777777" w:rsidR="00A57704" w:rsidRPr="001474CB" w:rsidRDefault="00A57704" w:rsidP="00A57704">
            <w:pPr>
              <w:spacing w:after="0"/>
              <w:jc w:val="center"/>
              <w:rPr>
                <w:rFonts w:ascii="Times New Roman" w:hAnsi="Times New Roman"/>
              </w:rPr>
            </w:pPr>
            <w:r>
              <w:rPr>
                <w:rFonts w:ascii="Times New Roman" w:hAnsi="Times New Roman"/>
              </w:rPr>
              <w:t>-68.5</w:t>
            </w:r>
          </w:p>
        </w:tc>
        <w:tc>
          <w:tcPr>
            <w:tcW w:w="760" w:type="dxa"/>
            <w:tcBorders>
              <w:top w:val="single" w:sz="4" w:space="0" w:color="auto"/>
              <w:left w:val="nil"/>
              <w:bottom w:val="single" w:sz="4" w:space="0" w:color="auto"/>
              <w:right w:val="single" w:sz="4" w:space="0" w:color="auto"/>
            </w:tcBorders>
            <w:shd w:val="clear" w:color="auto" w:fill="auto"/>
            <w:noWrap/>
            <w:hideMark/>
          </w:tcPr>
          <w:p w14:paraId="5C6D49F2" w14:textId="77777777" w:rsidR="00A57704" w:rsidRPr="001474CB" w:rsidRDefault="00A57704" w:rsidP="00A57704">
            <w:pPr>
              <w:spacing w:after="0"/>
              <w:jc w:val="center"/>
              <w:rPr>
                <w:rFonts w:ascii="Times New Roman" w:hAnsi="Times New Roman"/>
              </w:rPr>
            </w:pPr>
            <w:r>
              <w:rPr>
                <w:rFonts w:ascii="Times New Roman" w:hAnsi="Times New Roman"/>
              </w:rPr>
              <w:t>14.6</w:t>
            </w:r>
          </w:p>
        </w:tc>
        <w:tc>
          <w:tcPr>
            <w:tcW w:w="820" w:type="dxa"/>
            <w:tcBorders>
              <w:top w:val="single" w:sz="4" w:space="0" w:color="auto"/>
              <w:left w:val="nil"/>
              <w:bottom w:val="single" w:sz="4" w:space="0" w:color="auto"/>
              <w:right w:val="single" w:sz="4" w:space="0" w:color="auto"/>
            </w:tcBorders>
            <w:shd w:val="clear" w:color="auto" w:fill="auto"/>
            <w:noWrap/>
            <w:hideMark/>
          </w:tcPr>
          <w:p w14:paraId="67BABE2D" w14:textId="77777777" w:rsidR="00A57704" w:rsidRPr="001474CB" w:rsidRDefault="00A57704" w:rsidP="00A57704">
            <w:pPr>
              <w:spacing w:after="0"/>
              <w:jc w:val="center"/>
              <w:rPr>
                <w:rFonts w:ascii="Times New Roman" w:hAnsi="Times New Roman"/>
              </w:rPr>
            </w:pPr>
            <w:r>
              <w:rPr>
                <w:rFonts w:ascii="Times New Roman" w:hAnsi="Times New Roman"/>
              </w:rPr>
              <w:t>-33.6</w:t>
            </w:r>
          </w:p>
        </w:tc>
        <w:tc>
          <w:tcPr>
            <w:tcW w:w="820" w:type="dxa"/>
            <w:tcBorders>
              <w:top w:val="single" w:sz="4" w:space="0" w:color="auto"/>
              <w:left w:val="nil"/>
              <w:bottom w:val="single" w:sz="4" w:space="0" w:color="auto"/>
              <w:right w:val="single" w:sz="4" w:space="0" w:color="auto"/>
            </w:tcBorders>
            <w:shd w:val="clear" w:color="auto" w:fill="auto"/>
            <w:noWrap/>
            <w:hideMark/>
          </w:tcPr>
          <w:p w14:paraId="021EA875" w14:textId="77777777" w:rsidR="00A57704" w:rsidRPr="001474CB" w:rsidRDefault="00A57704" w:rsidP="00A57704">
            <w:pPr>
              <w:spacing w:after="0"/>
              <w:jc w:val="center"/>
              <w:rPr>
                <w:rFonts w:ascii="Times New Roman" w:hAnsi="Times New Roman"/>
              </w:rPr>
            </w:pPr>
            <w:r>
              <w:rPr>
                <w:rFonts w:ascii="Times New Roman" w:hAnsi="Times New Roman"/>
              </w:rPr>
              <w:t>-26.1</w:t>
            </w:r>
          </w:p>
        </w:tc>
        <w:tc>
          <w:tcPr>
            <w:tcW w:w="820" w:type="dxa"/>
            <w:tcBorders>
              <w:top w:val="single" w:sz="4" w:space="0" w:color="auto"/>
              <w:left w:val="nil"/>
              <w:bottom w:val="single" w:sz="4" w:space="0" w:color="auto"/>
              <w:right w:val="single" w:sz="4" w:space="0" w:color="auto"/>
            </w:tcBorders>
            <w:shd w:val="clear" w:color="auto" w:fill="auto"/>
            <w:noWrap/>
            <w:hideMark/>
          </w:tcPr>
          <w:p w14:paraId="6D313764" w14:textId="77777777" w:rsidR="00A57704" w:rsidRPr="001474CB" w:rsidRDefault="00A57704" w:rsidP="00A57704">
            <w:pPr>
              <w:spacing w:after="0"/>
              <w:jc w:val="center"/>
              <w:rPr>
                <w:rFonts w:ascii="Times New Roman" w:hAnsi="Times New Roman"/>
              </w:rPr>
            </w:pPr>
            <w:r>
              <w:rPr>
                <w:rFonts w:ascii="Times New Roman" w:hAnsi="Times New Roman"/>
              </w:rPr>
              <w:t>-47.8</w:t>
            </w:r>
          </w:p>
        </w:tc>
        <w:tc>
          <w:tcPr>
            <w:tcW w:w="760" w:type="dxa"/>
            <w:tcBorders>
              <w:top w:val="single" w:sz="4" w:space="0" w:color="auto"/>
              <w:left w:val="nil"/>
              <w:bottom w:val="single" w:sz="4" w:space="0" w:color="auto"/>
              <w:right w:val="single" w:sz="4" w:space="0" w:color="auto"/>
            </w:tcBorders>
            <w:shd w:val="clear" w:color="auto" w:fill="auto"/>
            <w:noWrap/>
            <w:hideMark/>
          </w:tcPr>
          <w:p w14:paraId="1426DB96" w14:textId="77777777" w:rsidR="00A57704" w:rsidRPr="001474CB" w:rsidRDefault="00A57704" w:rsidP="00A57704">
            <w:pPr>
              <w:spacing w:after="0"/>
              <w:jc w:val="center"/>
              <w:rPr>
                <w:rFonts w:ascii="Times New Roman" w:hAnsi="Times New Roman"/>
              </w:rPr>
            </w:pPr>
            <w:r>
              <w:rPr>
                <w:rFonts w:ascii="Times New Roman" w:hAnsi="Times New Roman"/>
              </w:rPr>
              <w:t>-45.1</w:t>
            </w:r>
          </w:p>
        </w:tc>
        <w:tc>
          <w:tcPr>
            <w:tcW w:w="720" w:type="dxa"/>
            <w:tcBorders>
              <w:top w:val="single" w:sz="4" w:space="0" w:color="auto"/>
              <w:left w:val="nil"/>
              <w:bottom w:val="single" w:sz="4" w:space="0" w:color="auto"/>
              <w:right w:val="single" w:sz="4" w:space="0" w:color="auto"/>
            </w:tcBorders>
            <w:shd w:val="clear" w:color="auto" w:fill="auto"/>
            <w:noWrap/>
            <w:hideMark/>
          </w:tcPr>
          <w:p w14:paraId="31C2D565" w14:textId="77777777" w:rsidR="00A57704" w:rsidRPr="001474CB" w:rsidRDefault="00A57704" w:rsidP="00A57704">
            <w:pPr>
              <w:spacing w:after="0"/>
              <w:jc w:val="center"/>
              <w:rPr>
                <w:rFonts w:ascii="Times New Roman" w:hAnsi="Times New Roman"/>
              </w:rPr>
            </w:pPr>
            <w:r>
              <w:rPr>
                <w:rFonts w:ascii="Times New Roman" w:hAnsi="Times New Roman"/>
              </w:rPr>
              <w:t>0</w:t>
            </w:r>
          </w:p>
        </w:tc>
        <w:tc>
          <w:tcPr>
            <w:tcW w:w="1100" w:type="dxa"/>
            <w:tcBorders>
              <w:top w:val="single" w:sz="4" w:space="0" w:color="auto"/>
              <w:left w:val="nil"/>
              <w:bottom w:val="single" w:sz="4" w:space="0" w:color="auto"/>
              <w:right w:val="single" w:sz="4" w:space="0" w:color="auto"/>
            </w:tcBorders>
            <w:shd w:val="clear" w:color="auto" w:fill="auto"/>
            <w:noWrap/>
            <w:hideMark/>
          </w:tcPr>
          <w:p w14:paraId="1A815D9C" w14:textId="77777777" w:rsidR="00A57704" w:rsidRPr="001474CB" w:rsidRDefault="00A57704" w:rsidP="00A57704">
            <w:pPr>
              <w:spacing w:after="0"/>
              <w:jc w:val="center"/>
              <w:rPr>
                <w:rFonts w:ascii="Times New Roman" w:hAnsi="Times New Roman"/>
              </w:rPr>
            </w:pPr>
            <w:r w:rsidRPr="001474CB">
              <w:rPr>
                <w:rFonts w:ascii="Times New Roman" w:hAnsi="Times New Roman"/>
              </w:rPr>
              <w:t>0.7</w:t>
            </w:r>
          </w:p>
        </w:tc>
      </w:tr>
    </w:tbl>
    <w:p w14:paraId="0632CE8D" w14:textId="77777777" w:rsidR="00A57704" w:rsidRDefault="00A57704" w:rsidP="00A57704">
      <w:pPr>
        <w:spacing w:after="0"/>
        <w:rPr>
          <w:rFonts w:ascii="Times New Roman" w:hAnsi="Times New Roman"/>
        </w:rPr>
      </w:pPr>
    </w:p>
    <w:p w14:paraId="662A9F9B"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space="720"/>
          <w:docGrid w:linePitch="360"/>
        </w:sectPr>
      </w:pPr>
    </w:p>
    <w:p w14:paraId="0C39F9D8" w14:textId="77777777" w:rsidR="00A57704" w:rsidRPr="00C83490" w:rsidRDefault="00A57704" w:rsidP="00A57704">
      <w:pPr>
        <w:spacing w:after="0"/>
        <w:rPr>
          <w:rFonts w:ascii="Times New Roman" w:hAnsi="Times New Roman"/>
        </w:rPr>
      </w:pPr>
    </w:p>
    <w:p w14:paraId="2732829A"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Samaná.</w:t>
      </w:r>
    </w:p>
    <w:p w14:paraId="57C90B16" w14:textId="77777777" w:rsidR="00A57704" w:rsidRPr="002D5B20" w:rsidRDefault="00A57704" w:rsidP="00A57704">
      <w:pPr>
        <w:spacing w:after="0"/>
        <w:rPr>
          <w:rFonts w:ascii="Times New Roman" w:hAnsi="Times New Roman"/>
          <w:sz w:val="4"/>
        </w:rPr>
      </w:pPr>
      <w:r>
        <w:rPr>
          <w:noProof/>
          <w:lang w:eastAsia="es-DO"/>
        </w:rPr>
        <w:drawing>
          <wp:inline distT="0" distB="0" distL="0" distR="0" wp14:anchorId="079E9ED5" wp14:editId="49EE74AF">
            <wp:extent cx="3562350" cy="1562100"/>
            <wp:effectExtent l="0" t="0" r="0" b="0"/>
            <wp:docPr id="50" name="Gráfico 50">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B8FA2C20-8733-4099-A0B4-7EFBA124AE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p w14:paraId="56BB2D39" w14:textId="77777777" w:rsidR="00A57704" w:rsidRPr="002D5B20" w:rsidRDefault="00A57704" w:rsidP="00A57704">
      <w:pPr>
        <w:spacing w:after="0"/>
        <w:rPr>
          <w:rFonts w:ascii="Times New Roman" w:hAnsi="Times New Roman"/>
          <w:sz w:val="4"/>
        </w:rPr>
      </w:pPr>
    </w:p>
    <w:p w14:paraId="65C2C290" w14:textId="77777777" w:rsidR="00A57704" w:rsidRPr="002D5B20" w:rsidRDefault="00A57704" w:rsidP="00A57704">
      <w:pPr>
        <w:spacing w:after="0"/>
        <w:rPr>
          <w:rFonts w:ascii="Times New Roman" w:hAnsi="Times New Roman"/>
          <w:sz w:val="4"/>
        </w:rPr>
      </w:pPr>
    </w:p>
    <w:p w14:paraId="7BAF0CDD" w14:textId="77777777" w:rsidR="00A57704" w:rsidRDefault="00A57704" w:rsidP="00A57704">
      <w:pPr>
        <w:spacing w:after="0"/>
        <w:rPr>
          <w:rFonts w:ascii="Times New Roman" w:hAnsi="Times New Roman"/>
        </w:rPr>
      </w:pPr>
    </w:p>
    <w:p w14:paraId="058D7279"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1E6D4CEC"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13DBA227" wp14:editId="1F55CC4D">
            <wp:extent cx="3638550" cy="1560786"/>
            <wp:effectExtent l="0" t="0" r="0" b="1905"/>
            <wp:docPr id="271" name="Gráfico 271">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C0BA5E91-6B79-4F1A-AAD5-EAB58BE111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p w14:paraId="622CBFB7" w14:textId="77777777" w:rsidR="00A57704" w:rsidRDefault="00A57704" w:rsidP="00A57704">
      <w:pPr>
        <w:spacing w:after="0"/>
        <w:rPr>
          <w:rFonts w:ascii="Times New Roman" w:hAnsi="Times New Roman"/>
        </w:rPr>
      </w:pPr>
    </w:p>
    <w:tbl>
      <w:tblPr>
        <w:tblW w:w="12712" w:type="dxa"/>
        <w:tblInd w:w="-5" w:type="dxa"/>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A57704" w:rsidRPr="001474CB" w14:paraId="39D761AA"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69C3C258"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lastRenderedPageBreak/>
              <w:t>Cabrera</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16039545"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22822FBE"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776E3DEC"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B4A85E3"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4FF38BE"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E30C4B6"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0FF76558"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0F791AD"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49C4FDF"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0BB0F66E"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1EEA9A54"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292F3D1E"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14486F02"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Año</w:t>
            </w:r>
          </w:p>
        </w:tc>
      </w:tr>
      <w:tr w:rsidR="00A57704" w:rsidRPr="001474CB" w14:paraId="5EF6A3EC"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A8A9B" w14:textId="77777777" w:rsidR="00A57704" w:rsidRPr="001474CB" w:rsidRDefault="00A57704" w:rsidP="00A57704">
            <w:pPr>
              <w:spacing w:after="0"/>
              <w:rPr>
                <w:rFonts w:ascii="Times New Roman" w:hAnsi="Times New Roman"/>
                <w:bCs/>
                <w:color w:val="000000"/>
                <w:lang w:eastAsia="es-DO"/>
              </w:rPr>
            </w:pPr>
            <w:r w:rsidRPr="001474CB">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3341999"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115.0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0C6F2C0"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80.3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B5B8671"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78.4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1417CF5"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120.5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863B007"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138.2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364BB09"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92.1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A680E7B"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111.2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5003FBB"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110.1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599A182"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121.3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1D5B106"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187.0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DF500E1"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231.0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B2F9F70" w14:textId="77777777" w:rsidR="00A57704" w:rsidRPr="001474CB" w:rsidRDefault="00A57704" w:rsidP="00A57704">
            <w:pPr>
              <w:spacing w:after="0"/>
              <w:jc w:val="center"/>
              <w:rPr>
                <w:rFonts w:ascii="Times New Roman" w:hAnsi="Times New Roman"/>
                <w:bCs/>
                <w:color w:val="000000"/>
                <w:lang w:eastAsia="es-DO"/>
              </w:rPr>
            </w:pPr>
            <w:r w:rsidRPr="001474CB">
              <w:rPr>
                <w:rFonts w:ascii="Times New Roman" w:hAnsi="Times New Roman"/>
                <w:bCs/>
                <w:color w:val="000000"/>
                <w:lang w:eastAsia="es-DO"/>
              </w:rPr>
              <w:t>127.6</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6D047482" w14:textId="77777777" w:rsidR="00A57704" w:rsidRPr="001474CB" w:rsidRDefault="00A57704" w:rsidP="00A57704">
            <w:pPr>
              <w:spacing w:after="0"/>
              <w:jc w:val="center"/>
              <w:rPr>
                <w:rFonts w:ascii="Times New Roman" w:hAnsi="Times New Roman"/>
                <w:bCs/>
                <w:lang w:eastAsia="es-DO"/>
              </w:rPr>
            </w:pPr>
            <w:r w:rsidRPr="001474CB">
              <w:rPr>
                <w:rFonts w:ascii="Times New Roman" w:hAnsi="Times New Roman"/>
                <w:bCs/>
                <w:lang w:eastAsia="es-DO"/>
              </w:rPr>
              <w:t>1,512.7</w:t>
            </w:r>
          </w:p>
        </w:tc>
      </w:tr>
      <w:tr w:rsidR="00A57704" w:rsidRPr="001474CB" w14:paraId="0483A1A7"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B88F3" w14:textId="77777777" w:rsidR="00A57704" w:rsidRPr="001474CB" w:rsidRDefault="00A57704" w:rsidP="00A57704">
            <w:pPr>
              <w:spacing w:after="0"/>
              <w:rPr>
                <w:rFonts w:ascii="Times New Roman" w:hAnsi="Times New Roman"/>
                <w:bCs/>
                <w:color w:val="000000"/>
                <w:lang w:eastAsia="es-DO"/>
              </w:rPr>
            </w:pPr>
            <w:r w:rsidRPr="001474CB">
              <w:rPr>
                <w:rFonts w:ascii="Times New Roman" w:hAnsi="Times New Roman"/>
                <w:bCs/>
                <w:color w:val="000000"/>
                <w:lang w:eastAsia="es-DO"/>
              </w:rPr>
              <w:t xml:space="preserve">Precipitación </w:t>
            </w:r>
            <w:r>
              <w:rPr>
                <w:rFonts w:ascii="Times New Roman" w:hAnsi="Times New Roman"/>
                <w:bCs/>
                <w:color w:val="00000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AC1A18D"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102.3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15F7ECF"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91.3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79083D8"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63.4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E1EDB99"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96.9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0DB4629"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42.8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71F7AF9"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84.1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DBD6178"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194.2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5512F94"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154.7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69B2BAF"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48.7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9E7E07F"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140.4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F9C2ECC"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104.3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5BC0699"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49560827" w14:textId="77777777" w:rsidR="00A57704" w:rsidRPr="001474CB" w:rsidRDefault="00A57704" w:rsidP="00A57704">
            <w:pPr>
              <w:spacing w:after="0"/>
              <w:jc w:val="center"/>
              <w:rPr>
                <w:rFonts w:ascii="Times New Roman" w:hAnsi="Times New Roman"/>
                <w:bCs/>
                <w:lang w:eastAsia="es-DO"/>
              </w:rPr>
            </w:pPr>
            <w:r>
              <w:rPr>
                <w:rFonts w:ascii="Times New Roman" w:hAnsi="Times New Roman"/>
                <w:bCs/>
                <w:lang w:eastAsia="es-DO"/>
              </w:rPr>
              <w:t>1,123.1</w:t>
            </w:r>
          </w:p>
        </w:tc>
      </w:tr>
      <w:tr w:rsidR="00A57704" w:rsidRPr="001474CB" w14:paraId="7E9DCE67"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D4335" w14:textId="77777777" w:rsidR="00A57704" w:rsidRPr="001474CB" w:rsidRDefault="00A57704" w:rsidP="00A57704">
            <w:pPr>
              <w:spacing w:after="0"/>
              <w:rPr>
                <w:rFonts w:ascii="Times New Roman" w:hAnsi="Times New Roman"/>
                <w:bCs/>
                <w:color w:val="000000"/>
                <w:lang w:eastAsia="es-DO"/>
              </w:rPr>
            </w:pPr>
            <w:r w:rsidRPr="001474CB">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B68234A"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-11.0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51EC253"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13.7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811A81E"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-19.1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86B690E"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-19.6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BAA15FB"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-69.0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719F423"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-8.7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9B78DCC"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74.6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1C7B5F4"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40.5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59C5298"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-59.9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9195BED"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-24.9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CE84A3F"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-54.8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67520BE" w14:textId="77777777" w:rsidR="00A57704" w:rsidRPr="001474CB"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5675C1EF" w14:textId="77777777" w:rsidR="00A57704" w:rsidRPr="001474CB" w:rsidRDefault="00A57704" w:rsidP="00A57704">
            <w:pPr>
              <w:spacing w:after="0"/>
              <w:jc w:val="center"/>
              <w:rPr>
                <w:rFonts w:ascii="Times New Roman" w:hAnsi="Times New Roman"/>
                <w:bCs/>
                <w:lang w:eastAsia="es-DO"/>
              </w:rPr>
            </w:pPr>
            <w:r w:rsidRPr="001474CB">
              <w:rPr>
                <w:rFonts w:ascii="Times New Roman" w:hAnsi="Times New Roman"/>
                <w:bCs/>
                <w:lang w:eastAsia="es-DO"/>
              </w:rPr>
              <w:t>55.9</w:t>
            </w:r>
          </w:p>
        </w:tc>
      </w:tr>
    </w:tbl>
    <w:p w14:paraId="07044ACB" w14:textId="77777777" w:rsidR="00A57704" w:rsidRPr="00C83490" w:rsidRDefault="00A57704" w:rsidP="00A57704">
      <w:pPr>
        <w:spacing w:after="0"/>
        <w:rPr>
          <w:rFonts w:ascii="Times New Roman" w:hAnsi="Times New Roman"/>
        </w:rPr>
        <w:sectPr w:rsidR="00A57704" w:rsidRPr="00C83490" w:rsidSect="00A57704">
          <w:type w:val="continuous"/>
          <w:pgSz w:w="15840" w:h="12240" w:orient="landscape"/>
          <w:pgMar w:top="1276" w:right="851" w:bottom="851" w:left="1440" w:header="720" w:footer="720" w:gutter="0"/>
          <w:cols w:space="720"/>
          <w:docGrid w:linePitch="360"/>
        </w:sectPr>
      </w:pPr>
    </w:p>
    <w:p w14:paraId="4AB60D82" w14:textId="77777777" w:rsidR="00A57704" w:rsidRPr="00C83490" w:rsidRDefault="00A57704" w:rsidP="00A57704">
      <w:pPr>
        <w:spacing w:after="0"/>
        <w:rPr>
          <w:rFonts w:ascii="Times New Roman" w:hAnsi="Times New Roman"/>
        </w:rPr>
      </w:pPr>
    </w:p>
    <w:p w14:paraId="4531242B" w14:textId="77777777" w:rsidR="00A57704" w:rsidRPr="00A37D31" w:rsidRDefault="00A57704" w:rsidP="001C6B1A">
      <w:pPr>
        <w:pStyle w:val="Prrafodelista"/>
        <w:numPr>
          <w:ilvl w:val="0"/>
          <w:numId w:val="28"/>
        </w:numPr>
        <w:spacing w:after="0"/>
        <w:ind w:left="567" w:hanging="567"/>
        <w:rPr>
          <w:rFonts w:ascii="Times New Roman" w:hAnsi="Times New Roman"/>
        </w:rPr>
      </w:pPr>
      <w:r w:rsidRPr="00A37D31">
        <w:rPr>
          <w:rFonts w:ascii="Times New Roman" w:hAnsi="Times New Roman"/>
        </w:rPr>
        <w:t>Comportamiento precipitaciones Cabrera</w:t>
      </w:r>
    </w:p>
    <w:p w14:paraId="09456DB3" w14:textId="77777777" w:rsidR="00A57704" w:rsidRPr="009E58FD" w:rsidRDefault="00A57704" w:rsidP="00A57704">
      <w:pPr>
        <w:spacing w:after="0"/>
        <w:rPr>
          <w:rFonts w:ascii="Times New Roman" w:hAnsi="Times New Roman"/>
        </w:rPr>
      </w:pPr>
      <w:r>
        <w:rPr>
          <w:noProof/>
          <w:lang w:eastAsia="es-DO"/>
        </w:rPr>
        <w:drawing>
          <wp:inline distT="0" distB="0" distL="0" distR="0" wp14:anchorId="50535CCC" wp14:editId="48CEC4EA">
            <wp:extent cx="3609975" cy="1609725"/>
            <wp:effectExtent l="0" t="0" r="0" b="0"/>
            <wp:docPr id="272" name="Gráfico 27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52790FBD-6653-4BCF-9E11-9B9431BEB0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14:paraId="478E2AF8" w14:textId="77777777" w:rsidR="00A57704" w:rsidRPr="002D5B20" w:rsidRDefault="00A57704" w:rsidP="00A57704">
      <w:pPr>
        <w:spacing w:after="0"/>
        <w:rPr>
          <w:rFonts w:ascii="Times New Roman" w:hAnsi="Times New Roman"/>
          <w:sz w:val="4"/>
        </w:rPr>
      </w:pPr>
    </w:p>
    <w:p w14:paraId="341335C0" w14:textId="77777777" w:rsidR="00A57704" w:rsidRPr="002D5B20" w:rsidRDefault="00A57704" w:rsidP="00A57704">
      <w:pPr>
        <w:spacing w:after="0"/>
        <w:rPr>
          <w:rFonts w:ascii="Times New Roman" w:hAnsi="Times New Roman"/>
          <w:sz w:val="4"/>
        </w:rPr>
      </w:pPr>
    </w:p>
    <w:p w14:paraId="6001CF6E" w14:textId="77777777" w:rsidR="00A57704" w:rsidRPr="002D5B20" w:rsidRDefault="00A57704" w:rsidP="00A57704">
      <w:pPr>
        <w:spacing w:after="0"/>
        <w:rPr>
          <w:rFonts w:ascii="Times New Roman" w:hAnsi="Times New Roman"/>
          <w:sz w:val="4"/>
        </w:rPr>
      </w:pPr>
    </w:p>
    <w:p w14:paraId="407F9025" w14:textId="77777777" w:rsidR="00A57704" w:rsidRPr="002D5B20" w:rsidRDefault="00A57704" w:rsidP="00A57704">
      <w:pPr>
        <w:spacing w:after="0"/>
        <w:rPr>
          <w:rFonts w:ascii="Times New Roman" w:hAnsi="Times New Roman"/>
        </w:rPr>
      </w:pPr>
    </w:p>
    <w:p w14:paraId="2F14B3AF" w14:textId="77777777" w:rsidR="0076339A" w:rsidRDefault="0076339A" w:rsidP="0076339A">
      <w:pPr>
        <w:pStyle w:val="Prrafodelista"/>
        <w:spacing w:after="0" w:line="240" w:lineRule="auto"/>
        <w:ind w:left="567"/>
        <w:rPr>
          <w:rFonts w:ascii="Times New Roman" w:hAnsi="Times New Roman"/>
        </w:rPr>
      </w:pPr>
    </w:p>
    <w:p w14:paraId="78C9A578" w14:textId="010EC7D4"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6ADDD81D" w14:textId="392BB9BD" w:rsidR="00A57704" w:rsidRDefault="00A57704" w:rsidP="00A57704">
      <w:pPr>
        <w:spacing w:after="0"/>
        <w:rPr>
          <w:rFonts w:ascii="Times New Roman" w:hAnsi="Times New Roman"/>
        </w:rPr>
      </w:pPr>
      <w:r>
        <w:rPr>
          <w:noProof/>
          <w:lang w:eastAsia="es-DO"/>
        </w:rPr>
        <w:drawing>
          <wp:inline distT="0" distB="0" distL="0" distR="0" wp14:anchorId="2F7431B4" wp14:editId="3B7992EE">
            <wp:extent cx="3648075" cy="1638300"/>
            <wp:effectExtent l="0" t="0" r="0" b="0"/>
            <wp:docPr id="273" name="Gráfico 27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E90FE293-7427-40AA-A6CA-E883F498F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p w14:paraId="5D814ACB" w14:textId="2E9CAEC4" w:rsidR="0076339A" w:rsidRDefault="0076339A" w:rsidP="00A57704">
      <w:pPr>
        <w:spacing w:after="0"/>
        <w:rPr>
          <w:rFonts w:ascii="Times New Roman" w:hAnsi="Times New Roman"/>
        </w:rPr>
      </w:pPr>
    </w:p>
    <w:p w14:paraId="4BE97124" w14:textId="77777777" w:rsidR="0076339A" w:rsidRPr="002D5B20" w:rsidRDefault="0076339A" w:rsidP="00A57704">
      <w:pPr>
        <w:spacing w:after="0"/>
        <w:rPr>
          <w:rFonts w:ascii="Times New Roman" w:hAnsi="Times New Roman"/>
        </w:rPr>
        <w:sectPr w:rsidR="0076339A" w:rsidRPr="002D5B20" w:rsidSect="00A57704">
          <w:type w:val="continuous"/>
          <w:pgSz w:w="15840" w:h="12240" w:orient="landscape"/>
          <w:pgMar w:top="1276" w:right="851" w:bottom="851" w:left="1440" w:header="720" w:footer="720" w:gutter="0"/>
          <w:cols w:num="2" w:space="720"/>
          <w:docGrid w:linePitch="360"/>
        </w:sectPr>
      </w:pPr>
    </w:p>
    <w:tbl>
      <w:tblPr>
        <w:tblW w:w="12704" w:type="dxa"/>
        <w:tblInd w:w="-5" w:type="dxa"/>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A57704" w:rsidRPr="00A37D31" w14:paraId="3B7F1A14"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00B050"/>
            <w:noWrap/>
            <w:hideMark/>
          </w:tcPr>
          <w:p w14:paraId="5BB8C38C"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Villa Riva</w:t>
            </w:r>
          </w:p>
        </w:tc>
        <w:tc>
          <w:tcPr>
            <w:tcW w:w="760" w:type="dxa"/>
            <w:tcBorders>
              <w:top w:val="single" w:sz="4" w:space="0" w:color="auto"/>
              <w:left w:val="nil"/>
              <w:bottom w:val="single" w:sz="4" w:space="0" w:color="auto"/>
              <w:right w:val="single" w:sz="4" w:space="0" w:color="auto"/>
            </w:tcBorders>
            <w:shd w:val="clear" w:color="auto" w:fill="00B050"/>
            <w:noWrap/>
            <w:hideMark/>
          </w:tcPr>
          <w:p w14:paraId="5A32CB2B"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Ene</w:t>
            </w:r>
          </w:p>
        </w:tc>
        <w:tc>
          <w:tcPr>
            <w:tcW w:w="760" w:type="dxa"/>
            <w:tcBorders>
              <w:top w:val="single" w:sz="4" w:space="0" w:color="auto"/>
              <w:left w:val="nil"/>
              <w:bottom w:val="single" w:sz="4" w:space="0" w:color="auto"/>
              <w:right w:val="single" w:sz="4" w:space="0" w:color="auto"/>
            </w:tcBorders>
            <w:shd w:val="clear" w:color="auto" w:fill="00B050"/>
            <w:noWrap/>
            <w:hideMark/>
          </w:tcPr>
          <w:p w14:paraId="69A90D61"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Feb</w:t>
            </w:r>
          </w:p>
        </w:tc>
        <w:tc>
          <w:tcPr>
            <w:tcW w:w="720" w:type="dxa"/>
            <w:tcBorders>
              <w:top w:val="single" w:sz="4" w:space="0" w:color="auto"/>
              <w:left w:val="nil"/>
              <w:bottom w:val="single" w:sz="4" w:space="0" w:color="auto"/>
              <w:right w:val="single" w:sz="4" w:space="0" w:color="auto"/>
            </w:tcBorders>
            <w:shd w:val="clear" w:color="auto" w:fill="00B050"/>
            <w:noWrap/>
            <w:hideMark/>
          </w:tcPr>
          <w:p w14:paraId="15733D80"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Mar</w:t>
            </w:r>
          </w:p>
        </w:tc>
        <w:tc>
          <w:tcPr>
            <w:tcW w:w="820" w:type="dxa"/>
            <w:tcBorders>
              <w:top w:val="single" w:sz="4" w:space="0" w:color="auto"/>
              <w:left w:val="nil"/>
              <w:bottom w:val="single" w:sz="4" w:space="0" w:color="auto"/>
              <w:right w:val="single" w:sz="4" w:space="0" w:color="auto"/>
            </w:tcBorders>
            <w:shd w:val="clear" w:color="auto" w:fill="00B050"/>
            <w:noWrap/>
            <w:hideMark/>
          </w:tcPr>
          <w:p w14:paraId="010B0343"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Abr</w:t>
            </w:r>
          </w:p>
        </w:tc>
        <w:tc>
          <w:tcPr>
            <w:tcW w:w="820" w:type="dxa"/>
            <w:tcBorders>
              <w:top w:val="single" w:sz="4" w:space="0" w:color="auto"/>
              <w:left w:val="nil"/>
              <w:bottom w:val="single" w:sz="4" w:space="0" w:color="auto"/>
              <w:right w:val="single" w:sz="4" w:space="0" w:color="auto"/>
            </w:tcBorders>
            <w:shd w:val="clear" w:color="auto" w:fill="00B050"/>
            <w:noWrap/>
            <w:hideMark/>
          </w:tcPr>
          <w:p w14:paraId="1E88D7D1"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May</w:t>
            </w:r>
          </w:p>
        </w:tc>
        <w:tc>
          <w:tcPr>
            <w:tcW w:w="820" w:type="dxa"/>
            <w:tcBorders>
              <w:top w:val="single" w:sz="4" w:space="0" w:color="auto"/>
              <w:left w:val="nil"/>
              <w:bottom w:val="single" w:sz="4" w:space="0" w:color="auto"/>
              <w:right w:val="single" w:sz="4" w:space="0" w:color="auto"/>
            </w:tcBorders>
            <w:shd w:val="clear" w:color="auto" w:fill="00B050"/>
            <w:noWrap/>
            <w:hideMark/>
          </w:tcPr>
          <w:p w14:paraId="02CC226E"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Jun</w:t>
            </w:r>
          </w:p>
        </w:tc>
        <w:tc>
          <w:tcPr>
            <w:tcW w:w="760" w:type="dxa"/>
            <w:tcBorders>
              <w:top w:val="single" w:sz="4" w:space="0" w:color="auto"/>
              <w:left w:val="nil"/>
              <w:bottom w:val="single" w:sz="4" w:space="0" w:color="auto"/>
              <w:right w:val="single" w:sz="4" w:space="0" w:color="auto"/>
            </w:tcBorders>
            <w:shd w:val="clear" w:color="auto" w:fill="00B050"/>
            <w:noWrap/>
            <w:hideMark/>
          </w:tcPr>
          <w:p w14:paraId="6C518919"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Jul</w:t>
            </w:r>
          </w:p>
        </w:tc>
        <w:tc>
          <w:tcPr>
            <w:tcW w:w="820" w:type="dxa"/>
            <w:tcBorders>
              <w:top w:val="single" w:sz="4" w:space="0" w:color="auto"/>
              <w:left w:val="nil"/>
              <w:bottom w:val="single" w:sz="4" w:space="0" w:color="auto"/>
              <w:right w:val="single" w:sz="4" w:space="0" w:color="auto"/>
            </w:tcBorders>
            <w:shd w:val="clear" w:color="auto" w:fill="00B050"/>
            <w:noWrap/>
            <w:hideMark/>
          </w:tcPr>
          <w:p w14:paraId="0F056FF2"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Ago</w:t>
            </w:r>
          </w:p>
        </w:tc>
        <w:tc>
          <w:tcPr>
            <w:tcW w:w="820" w:type="dxa"/>
            <w:tcBorders>
              <w:top w:val="single" w:sz="4" w:space="0" w:color="auto"/>
              <w:left w:val="nil"/>
              <w:bottom w:val="single" w:sz="4" w:space="0" w:color="auto"/>
              <w:right w:val="single" w:sz="4" w:space="0" w:color="auto"/>
            </w:tcBorders>
            <w:shd w:val="clear" w:color="auto" w:fill="00B050"/>
            <w:noWrap/>
            <w:hideMark/>
          </w:tcPr>
          <w:p w14:paraId="5EA4606B"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Sep</w:t>
            </w:r>
          </w:p>
        </w:tc>
        <w:tc>
          <w:tcPr>
            <w:tcW w:w="820" w:type="dxa"/>
            <w:tcBorders>
              <w:top w:val="single" w:sz="4" w:space="0" w:color="auto"/>
              <w:left w:val="nil"/>
              <w:bottom w:val="single" w:sz="4" w:space="0" w:color="auto"/>
              <w:right w:val="single" w:sz="4" w:space="0" w:color="auto"/>
            </w:tcBorders>
            <w:shd w:val="clear" w:color="auto" w:fill="00B050"/>
            <w:noWrap/>
            <w:hideMark/>
          </w:tcPr>
          <w:p w14:paraId="6313C9FA"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Oct</w:t>
            </w:r>
          </w:p>
        </w:tc>
        <w:tc>
          <w:tcPr>
            <w:tcW w:w="760" w:type="dxa"/>
            <w:tcBorders>
              <w:top w:val="single" w:sz="4" w:space="0" w:color="auto"/>
              <w:left w:val="nil"/>
              <w:bottom w:val="single" w:sz="4" w:space="0" w:color="auto"/>
              <w:right w:val="single" w:sz="4" w:space="0" w:color="auto"/>
            </w:tcBorders>
            <w:shd w:val="clear" w:color="auto" w:fill="00B050"/>
            <w:noWrap/>
            <w:hideMark/>
          </w:tcPr>
          <w:p w14:paraId="09386540"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Nov</w:t>
            </w:r>
          </w:p>
        </w:tc>
        <w:tc>
          <w:tcPr>
            <w:tcW w:w="720" w:type="dxa"/>
            <w:tcBorders>
              <w:top w:val="single" w:sz="4" w:space="0" w:color="auto"/>
              <w:left w:val="nil"/>
              <w:bottom w:val="single" w:sz="4" w:space="0" w:color="auto"/>
              <w:right w:val="single" w:sz="4" w:space="0" w:color="auto"/>
            </w:tcBorders>
            <w:shd w:val="clear" w:color="auto" w:fill="00B050"/>
            <w:noWrap/>
            <w:hideMark/>
          </w:tcPr>
          <w:p w14:paraId="5390EB2A"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Dic</w:t>
            </w:r>
          </w:p>
        </w:tc>
        <w:tc>
          <w:tcPr>
            <w:tcW w:w="1100" w:type="dxa"/>
            <w:tcBorders>
              <w:top w:val="single" w:sz="4" w:space="0" w:color="auto"/>
              <w:left w:val="nil"/>
              <w:bottom w:val="single" w:sz="4" w:space="0" w:color="auto"/>
              <w:right w:val="single" w:sz="4" w:space="0" w:color="auto"/>
            </w:tcBorders>
            <w:shd w:val="clear" w:color="auto" w:fill="00B050"/>
            <w:noWrap/>
            <w:hideMark/>
          </w:tcPr>
          <w:p w14:paraId="799A9CD2"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Año</w:t>
            </w:r>
          </w:p>
        </w:tc>
      </w:tr>
      <w:tr w:rsidR="00A57704" w:rsidRPr="00A37D31" w14:paraId="6A941512"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1618396D" w14:textId="77777777" w:rsidR="00A57704" w:rsidRPr="00A37D31" w:rsidRDefault="00A57704" w:rsidP="00A57704">
            <w:pPr>
              <w:spacing w:after="0"/>
              <w:rPr>
                <w:rFonts w:ascii="Times New Roman" w:hAnsi="Times New Roman"/>
              </w:rPr>
            </w:pPr>
            <w:r w:rsidRPr="00A37D31">
              <w:rPr>
                <w:rFonts w:ascii="Times New Roman" w:hAnsi="Times New Roman"/>
              </w:rPr>
              <w:t>Normal</w:t>
            </w:r>
          </w:p>
        </w:tc>
        <w:tc>
          <w:tcPr>
            <w:tcW w:w="760" w:type="dxa"/>
            <w:tcBorders>
              <w:top w:val="single" w:sz="4" w:space="0" w:color="auto"/>
              <w:left w:val="nil"/>
              <w:bottom w:val="single" w:sz="4" w:space="0" w:color="auto"/>
              <w:right w:val="single" w:sz="4" w:space="0" w:color="auto"/>
            </w:tcBorders>
            <w:shd w:val="clear" w:color="auto" w:fill="auto"/>
            <w:noWrap/>
            <w:hideMark/>
          </w:tcPr>
          <w:p w14:paraId="3A5FBB01" w14:textId="77777777" w:rsidR="00A57704" w:rsidRPr="00A37D31" w:rsidRDefault="00A57704" w:rsidP="00A57704">
            <w:pPr>
              <w:spacing w:after="0"/>
              <w:jc w:val="center"/>
              <w:rPr>
                <w:rFonts w:ascii="Times New Roman" w:hAnsi="Times New Roman"/>
              </w:rPr>
            </w:pPr>
            <w:r w:rsidRPr="00A37D31">
              <w:rPr>
                <w:rFonts w:ascii="Times New Roman" w:hAnsi="Times New Roman"/>
              </w:rPr>
              <w:t>150.9</w:t>
            </w:r>
          </w:p>
        </w:tc>
        <w:tc>
          <w:tcPr>
            <w:tcW w:w="760" w:type="dxa"/>
            <w:tcBorders>
              <w:top w:val="single" w:sz="4" w:space="0" w:color="auto"/>
              <w:left w:val="nil"/>
              <w:bottom w:val="single" w:sz="4" w:space="0" w:color="auto"/>
              <w:right w:val="single" w:sz="4" w:space="0" w:color="auto"/>
            </w:tcBorders>
            <w:shd w:val="clear" w:color="auto" w:fill="auto"/>
            <w:noWrap/>
            <w:hideMark/>
          </w:tcPr>
          <w:p w14:paraId="0595D5E1" w14:textId="77777777" w:rsidR="00A57704" w:rsidRPr="00A37D31" w:rsidRDefault="00A57704" w:rsidP="00A57704">
            <w:pPr>
              <w:spacing w:after="0"/>
              <w:jc w:val="center"/>
              <w:rPr>
                <w:rFonts w:ascii="Times New Roman" w:hAnsi="Times New Roman"/>
              </w:rPr>
            </w:pPr>
            <w:r w:rsidRPr="00A37D31">
              <w:rPr>
                <w:rFonts w:ascii="Times New Roman" w:hAnsi="Times New Roman"/>
              </w:rPr>
              <w:t>120.5</w:t>
            </w:r>
          </w:p>
        </w:tc>
        <w:tc>
          <w:tcPr>
            <w:tcW w:w="720" w:type="dxa"/>
            <w:tcBorders>
              <w:top w:val="single" w:sz="4" w:space="0" w:color="auto"/>
              <w:left w:val="nil"/>
              <w:bottom w:val="single" w:sz="4" w:space="0" w:color="auto"/>
              <w:right w:val="single" w:sz="4" w:space="0" w:color="auto"/>
            </w:tcBorders>
            <w:shd w:val="clear" w:color="auto" w:fill="auto"/>
            <w:noWrap/>
            <w:hideMark/>
          </w:tcPr>
          <w:p w14:paraId="603ADB46" w14:textId="77777777" w:rsidR="00A57704" w:rsidRPr="00A37D31" w:rsidRDefault="00A57704" w:rsidP="00A57704">
            <w:pPr>
              <w:spacing w:after="0"/>
              <w:jc w:val="center"/>
              <w:rPr>
                <w:rFonts w:ascii="Times New Roman" w:hAnsi="Times New Roman"/>
              </w:rPr>
            </w:pPr>
            <w:r w:rsidRPr="00A37D31">
              <w:rPr>
                <w:rFonts w:ascii="Times New Roman" w:hAnsi="Times New Roman"/>
              </w:rPr>
              <w:t>110.3</w:t>
            </w:r>
          </w:p>
        </w:tc>
        <w:tc>
          <w:tcPr>
            <w:tcW w:w="820" w:type="dxa"/>
            <w:tcBorders>
              <w:top w:val="single" w:sz="4" w:space="0" w:color="auto"/>
              <w:left w:val="nil"/>
              <w:bottom w:val="single" w:sz="4" w:space="0" w:color="auto"/>
              <w:right w:val="single" w:sz="4" w:space="0" w:color="auto"/>
            </w:tcBorders>
            <w:shd w:val="clear" w:color="auto" w:fill="auto"/>
            <w:noWrap/>
            <w:hideMark/>
          </w:tcPr>
          <w:p w14:paraId="4CFAF1A8" w14:textId="77777777" w:rsidR="00A57704" w:rsidRPr="00A37D31" w:rsidRDefault="00A57704" w:rsidP="00A57704">
            <w:pPr>
              <w:spacing w:after="0"/>
              <w:jc w:val="center"/>
              <w:rPr>
                <w:rFonts w:ascii="Times New Roman" w:hAnsi="Times New Roman"/>
              </w:rPr>
            </w:pPr>
            <w:r w:rsidRPr="00A37D31">
              <w:rPr>
                <w:rFonts w:ascii="Times New Roman" w:hAnsi="Times New Roman"/>
              </w:rPr>
              <w:t>165.9</w:t>
            </w:r>
          </w:p>
        </w:tc>
        <w:tc>
          <w:tcPr>
            <w:tcW w:w="820" w:type="dxa"/>
            <w:tcBorders>
              <w:top w:val="single" w:sz="4" w:space="0" w:color="auto"/>
              <w:left w:val="nil"/>
              <w:bottom w:val="single" w:sz="4" w:space="0" w:color="auto"/>
              <w:right w:val="single" w:sz="4" w:space="0" w:color="auto"/>
            </w:tcBorders>
            <w:shd w:val="clear" w:color="auto" w:fill="auto"/>
            <w:noWrap/>
            <w:hideMark/>
          </w:tcPr>
          <w:p w14:paraId="5215A314" w14:textId="77777777" w:rsidR="00A57704" w:rsidRPr="00A37D31" w:rsidRDefault="00A57704" w:rsidP="00A57704">
            <w:pPr>
              <w:spacing w:after="0"/>
              <w:jc w:val="center"/>
              <w:rPr>
                <w:rFonts w:ascii="Times New Roman" w:hAnsi="Times New Roman"/>
              </w:rPr>
            </w:pPr>
            <w:r w:rsidRPr="00A37D31">
              <w:rPr>
                <w:rFonts w:ascii="Times New Roman" w:hAnsi="Times New Roman"/>
              </w:rPr>
              <w:t>230.9</w:t>
            </w:r>
          </w:p>
        </w:tc>
        <w:tc>
          <w:tcPr>
            <w:tcW w:w="820" w:type="dxa"/>
            <w:tcBorders>
              <w:top w:val="single" w:sz="4" w:space="0" w:color="auto"/>
              <w:left w:val="nil"/>
              <w:bottom w:val="single" w:sz="4" w:space="0" w:color="auto"/>
              <w:right w:val="single" w:sz="4" w:space="0" w:color="auto"/>
            </w:tcBorders>
            <w:shd w:val="clear" w:color="auto" w:fill="auto"/>
            <w:noWrap/>
            <w:hideMark/>
          </w:tcPr>
          <w:p w14:paraId="231E296F" w14:textId="77777777" w:rsidR="00A57704" w:rsidRPr="00A37D31" w:rsidRDefault="00A57704" w:rsidP="00A57704">
            <w:pPr>
              <w:spacing w:after="0"/>
              <w:jc w:val="center"/>
              <w:rPr>
                <w:rFonts w:ascii="Times New Roman" w:hAnsi="Times New Roman"/>
              </w:rPr>
            </w:pPr>
            <w:r w:rsidRPr="00A37D31">
              <w:rPr>
                <w:rFonts w:ascii="Times New Roman" w:hAnsi="Times New Roman"/>
              </w:rPr>
              <w:t>202.7</w:t>
            </w:r>
          </w:p>
        </w:tc>
        <w:tc>
          <w:tcPr>
            <w:tcW w:w="760" w:type="dxa"/>
            <w:tcBorders>
              <w:top w:val="single" w:sz="4" w:space="0" w:color="auto"/>
              <w:left w:val="nil"/>
              <w:bottom w:val="single" w:sz="4" w:space="0" w:color="auto"/>
              <w:right w:val="single" w:sz="4" w:space="0" w:color="auto"/>
            </w:tcBorders>
            <w:shd w:val="clear" w:color="auto" w:fill="auto"/>
            <w:noWrap/>
            <w:hideMark/>
          </w:tcPr>
          <w:p w14:paraId="572841C4" w14:textId="77777777" w:rsidR="00A57704" w:rsidRPr="00A37D31" w:rsidRDefault="00A57704" w:rsidP="00A57704">
            <w:pPr>
              <w:spacing w:after="0"/>
              <w:jc w:val="center"/>
              <w:rPr>
                <w:rFonts w:ascii="Times New Roman" w:hAnsi="Times New Roman"/>
              </w:rPr>
            </w:pPr>
            <w:r w:rsidRPr="00A37D31">
              <w:rPr>
                <w:rFonts w:ascii="Times New Roman" w:hAnsi="Times New Roman"/>
              </w:rPr>
              <w:t>180.0</w:t>
            </w:r>
          </w:p>
        </w:tc>
        <w:tc>
          <w:tcPr>
            <w:tcW w:w="820" w:type="dxa"/>
            <w:tcBorders>
              <w:top w:val="single" w:sz="4" w:space="0" w:color="auto"/>
              <w:left w:val="nil"/>
              <w:bottom w:val="single" w:sz="4" w:space="0" w:color="auto"/>
              <w:right w:val="single" w:sz="4" w:space="0" w:color="auto"/>
            </w:tcBorders>
            <w:shd w:val="clear" w:color="auto" w:fill="auto"/>
            <w:noWrap/>
            <w:hideMark/>
          </w:tcPr>
          <w:p w14:paraId="3E6FF01E" w14:textId="77777777" w:rsidR="00A57704" w:rsidRPr="00A37D31" w:rsidRDefault="00A57704" w:rsidP="00A57704">
            <w:pPr>
              <w:spacing w:after="0"/>
              <w:jc w:val="center"/>
              <w:rPr>
                <w:rFonts w:ascii="Times New Roman" w:hAnsi="Times New Roman"/>
              </w:rPr>
            </w:pPr>
            <w:r w:rsidRPr="00A37D31">
              <w:rPr>
                <w:rFonts w:ascii="Times New Roman" w:hAnsi="Times New Roman"/>
              </w:rPr>
              <w:t>220.6</w:t>
            </w:r>
          </w:p>
        </w:tc>
        <w:tc>
          <w:tcPr>
            <w:tcW w:w="820" w:type="dxa"/>
            <w:tcBorders>
              <w:top w:val="single" w:sz="4" w:space="0" w:color="auto"/>
              <w:left w:val="nil"/>
              <w:bottom w:val="single" w:sz="4" w:space="0" w:color="auto"/>
              <w:right w:val="single" w:sz="4" w:space="0" w:color="auto"/>
            </w:tcBorders>
            <w:shd w:val="clear" w:color="auto" w:fill="auto"/>
            <w:noWrap/>
            <w:hideMark/>
          </w:tcPr>
          <w:p w14:paraId="675B88A9" w14:textId="77777777" w:rsidR="00A57704" w:rsidRPr="00A37D31" w:rsidRDefault="00A57704" w:rsidP="00A57704">
            <w:pPr>
              <w:spacing w:after="0"/>
              <w:jc w:val="center"/>
              <w:rPr>
                <w:rFonts w:ascii="Times New Roman" w:hAnsi="Times New Roman"/>
              </w:rPr>
            </w:pPr>
            <w:r w:rsidRPr="00A37D31">
              <w:rPr>
                <w:rFonts w:ascii="Times New Roman" w:hAnsi="Times New Roman"/>
              </w:rPr>
              <w:t>216.9</w:t>
            </w:r>
          </w:p>
        </w:tc>
        <w:tc>
          <w:tcPr>
            <w:tcW w:w="820" w:type="dxa"/>
            <w:tcBorders>
              <w:top w:val="single" w:sz="4" w:space="0" w:color="auto"/>
              <w:left w:val="nil"/>
              <w:bottom w:val="single" w:sz="4" w:space="0" w:color="auto"/>
              <w:right w:val="single" w:sz="4" w:space="0" w:color="auto"/>
            </w:tcBorders>
            <w:shd w:val="clear" w:color="auto" w:fill="auto"/>
            <w:noWrap/>
            <w:hideMark/>
          </w:tcPr>
          <w:p w14:paraId="3D96AC76" w14:textId="77777777" w:rsidR="00A57704" w:rsidRPr="00A37D31" w:rsidRDefault="00A57704" w:rsidP="00A57704">
            <w:pPr>
              <w:spacing w:after="0"/>
              <w:jc w:val="center"/>
              <w:rPr>
                <w:rFonts w:ascii="Times New Roman" w:hAnsi="Times New Roman"/>
              </w:rPr>
            </w:pPr>
            <w:r w:rsidRPr="00A37D31">
              <w:rPr>
                <w:rFonts w:ascii="Times New Roman" w:hAnsi="Times New Roman"/>
              </w:rPr>
              <w:t>189.4</w:t>
            </w:r>
          </w:p>
        </w:tc>
        <w:tc>
          <w:tcPr>
            <w:tcW w:w="760" w:type="dxa"/>
            <w:tcBorders>
              <w:top w:val="single" w:sz="4" w:space="0" w:color="auto"/>
              <w:left w:val="nil"/>
              <w:bottom w:val="single" w:sz="4" w:space="0" w:color="auto"/>
              <w:right w:val="single" w:sz="4" w:space="0" w:color="auto"/>
            </w:tcBorders>
            <w:shd w:val="clear" w:color="auto" w:fill="auto"/>
            <w:noWrap/>
            <w:hideMark/>
          </w:tcPr>
          <w:p w14:paraId="58630860" w14:textId="77777777" w:rsidR="00A57704" w:rsidRPr="00A37D31" w:rsidRDefault="00A57704" w:rsidP="00A57704">
            <w:pPr>
              <w:spacing w:after="0"/>
              <w:jc w:val="center"/>
              <w:rPr>
                <w:rFonts w:ascii="Times New Roman" w:hAnsi="Times New Roman"/>
              </w:rPr>
            </w:pPr>
            <w:r w:rsidRPr="00A37D31">
              <w:rPr>
                <w:rFonts w:ascii="Times New Roman" w:hAnsi="Times New Roman"/>
              </w:rPr>
              <w:t>220.7</w:t>
            </w:r>
          </w:p>
        </w:tc>
        <w:tc>
          <w:tcPr>
            <w:tcW w:w="720" w:type="dxa"/>
            <w:tcBorders>
              <w:top w:val="single" w:sz="4" w:space="0" w:color="auto"/>
              <w:left w:val="nil"/>
              <w:bottom w:val="single" w:sz="4" w:space="0" w:color="auto"/>
              <w:right w:val="single" w:sz="4" w:space="0" w:color="auto"/>
            </w:tcBorders>
            <w:shd w:val="clear" w:color="auto" w:fill="auto"/>
            <w:noWrap/>
            <w:hideMark/>
          </w:tcPr>
          <w:p w14:paraId="6A453F16" w14:textId="77777777" w:rsidR="00A57704" w:rsidRPr="00A37D31" w:rsidRDefault="00A57704" w:rsidP="00A57704">
            <w:pPr>
              <w:spacing w:after="0"/>
              <w:jc w:val="center"/>
              <w:rPr>
                <w:rFonts w:ascii="Times New Roman" w:hAnsi="Times New Roman"/>
              </w:rPr>
            </w:pPr>
            <w:r w:rsidRPr="00A37D31">
              <w:rPr>
                <w:rFonts w:ascii="Times New Roman" w:hAnsi="Times New Roman"/>
              </w:rPr>
              <w:t>170.6</w:t>
            </w:r>
          </w:p>
        </w:tc>
        <w:tc>
          <w:tcPr>
            <w:tcW w:w="1100" w:type="dxa"/>
            <w:tcBorders>
              <w:top w:val="single" w:sz="4" w:space="0" w:color="auto"/>
              <w:left w:val="nil"/>
              <w:bottom w:val="single" w:sz="4" w:space="0" w:color="auto"/>
              <w:right w:val="single" w:sz="4" w:space="0" w:color="auto"/>
            </w:tcBorders>
            <w:shd w:val="clear" w:color="auto" w:fill="auto"/>
            <w:noWrap/>
            <w:hideMark/>
          </w:tcPr>
          <w:p w14:paraId="7D9224A0" w14:textId="77777777" w:rsidR="00A57704" w:rsidRPr="00A37D31" w:rsidRDefault="00A57704" w:rsidP="00A57704">
            <w:pPr>
              <w:spacing w:after="0"/>
              <w:jc w:val="center"/>
              <w:rPr>
                <w:rFonts w:ascii="Times New Roman" w:hAnsi="Times New Roman"/>
              </w:rPr>
            </w:pPr>
            <w:r w:rsidRPr="00A37D31">
              <w:rPr>
                <w:rFonts w:ascii="Times New Roman" w:hAnsi="Times New Roman"/>
              </w:rPr>
              <w:t>2,179.4</w:t>
            </w:r>
          </w:p>
        </w:tc>
      </w:tr>
      <w:tr w:rsidR="00A57704" w:rsidRPr="00A37D31" w14:paraId="3A798E57"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4DF9329F" w14:textId="77777777" w:rsidR="00A57704" w:rsidRPr="00A37D31" w:rsidRDefault="00A57704" w:rsidP="00A57704">
            <w:pPr>
              <w:spacing w:after="0"/>
              <w:rPr>
                <w:rFonts w:ascii="Times New Roman" w:hAnsi="Times New Roman"/>
              </w:rPr>
            </w:pPr>
            <w:r w:rsidRPr="00A37D31">
              <w:rPr>
                <w:rFonts w:ascii="Times New Roman" w:hAnsi="Times New Roman"/>
              </w:rPr>
              <w:t xml:space="preserve">Precipitación </w:t>
            </w:r>
            <w:r>
              <w:rPr>
                <w:rFonts w:ascii="Times New Roman" w:hAnsi="Times New Roman"/>
              </w:rPr>
              <w:t>2019</w:t>
            </w:r>
          </w:p>
        </w:tc>
        <w:tc>
          <w:tcPr>
            <w:tcW w:w="760" w:type="dxa"/>
            <w:tcBorders>
              <w:top w:val="single" w:sz="4" w:space="0" w:color="auto"/>
              <w:left w:val="nil"/>
              <w:bottom w:val="single" w:sz="4" w:space="0" w:color="auto"/>
              <w:right w:val="single" w:sz="4" w:space="0" w:color="auto"/>
            </w:tcBorders>
            <w:shd w:val="clear" w:color="auto" w:fill="auto"/>
            <w:noWrap/>
            <w:hideMark/>
          </w:tcPr>
          <w:p w14:paraId="6C17EADB" w14:textId="77777777" w:rsidR="00A57704" w:rsidRPr="00A37D31" w:rsidRDefault="00A57704" w:rsidP="00A57704">
            <w:pPr>
              <w:spacing w:after="0"/>
              <w:jc w:val="center"/>
              <w:rPr>
                <w:rFonts w:ascii="Times New Roman" w:hAnsi="Times New Roman"/>
              </w:rPr>
            </w:pPr>
            <w:r>
              <w:rPr>
                <w:rFonts w:ascii="Times New Roman" w:hAnsi="Times New Roman"/>
              </w:rPr>
              <w:t>58.9</w:t>
            </w:r>
          </w:p>
        </w:tc>
        <w:tc>
          <w:tcPr>
            <w:tcW w:w="760" w:type="dxa"/>
            <w:tcBorders>
              <w:top w:val="single" w:sz="4" w:space="0" w:color="auto"/>
              <w:left w:val="nil"/>
              <w:bottom w:val="single" w:sz="4" w:space="0" w:color="auto"/>
              <w:right w:val="single" w:sz="4" w:space="0" w:color="auto"/>
            </w:tcBorders>
            <w:shd w:val="clear" w:color="auto" w:fill="auto"/>
            <w:noWrap/>
            <w:hideMark/>
          </w:tcPr>
          <w:p w14:paraId="6C99BF61" w14:textId="77777777" w:rsidR="00A57704" w:rsidRPr="00A37D31" w:rsidRDefault="00A57704" w:rsidP="00A57704">
            <w:pPr>
              <w:spacing w:after="0"/>
              <w:jc w:val="center"/>
              <w:rPr>
                <w:rFonts w:ascii="Times New Roman" w:hAnsi="Times New Roman"/>
              </w:rPr>
            </w:pPr>
            <w:r>
              <w:rPr>
                <w:rFonts w:ascii="Times New Roman" w:hAnsi="Times New Roman"/>
              </w:rPr>
              <w:t>47.6</w:t>
            </w:r>
          </w:p>
        </w:tc>
        <w:tc>
          <w:tcPr>
            <w:tcW w:w="720" w:type="dxa"/>
            <w:tcBorders>
              <w:top w:val="single" w:sz="4" w:space="0" w:color="auto"/>
              <w:left w:val="nil"/>
              <w:bottom w:val="single" w:sz="4" w:space="0" w:color="auto"/>
              <w:right w:val="single" w:sz="4" w:space="0" w:color="auto"/>
            </w:tcBorders>
            <w:shd w:val="clear" w:color="auto" w:fill="auto"/>
            <w:noWrap/>
            <w:hideMark/>
          </w:tcPr>
          <w:p w14:paraId="614FD4C3" w14:textId="77777777" w:rsidR="00A57704" w:rsidRPr="00A37D31" w:rsidRDefault="00A57704" w:rsidP="00A57704">
            <w:pPr>
              <w:spacing w:after="0"/>
              <w:jc w:val="center"/>
              <w:rPr>
                <w:rFonts w:ascii="Times New Roman" w:hAnsi="Times New Roman"/>
              </w:rPr>
            </w:pPr>
            <w:r>
              <w:rPr>
                <w:rFonts w:ascii="Times New Roman" w:hAnsi="Times New Roman"/>
              </w:rPr>
              <w:t>140.2</w:t>
            </w:r>
          </w:p>
        </w:tc>
        <w:tc>
          <w:tcPr>
            <w:tcW w:w="820" w:type="dxa"/>
            <w:tcBorders>
              <w:top w:val="single" w:sz="4" w:space="0" w:color="auto"/>
              <w:left w:val="nil"/>
              <w:bottom w:val="single" w:sz="4" w:space="0" w:color="auto"/>
              <w:right w:val="single" w:sz="4" w:space="0" w:color="auto"/>
            </w:tcBorders>
            <w:shd w:val="clear" w:color="auto" w:fill="auto"/>
            <w:noWrap/>
            <w:hideMark/>
          </w:tcPr>
          <w:p w14:paraId="4EA225AA" w14:textId="77777777" w:rsidR="00A57704" w:rsidRPr="00A37D31" w:rsidRDefault="00A57704" w:rsidP="00A57704">
            <w:pPr>
              <w:spacing w:after="0"/>
              <w:jc w:val="center"/>
              <w:rPr>
                <w:rFonts w:ascii="Times New Roman" w:hAnsi="Times New Roman"/>
              </w:rPr>
            </w:pPr>
            <w:r>
              <w:rPr>
                <w:rFonts w:ascii="Times New Roman" w:hAnsi="Times New Roman"/>
              </w:rPr>
              <w:t>129.2</w:t>
            </w:r>
          </w:p>
        </w:tc>
        <w:tc>
          <w:tcPr>
            <w:tcW w:w="820" w:type="dxa"/>
            <w:tcBorders>
              <w:top w:val="single" w:sz="4" w:space="0" w:color="auto"/>
              <w:left w:val="nil"/>
              <w:bottom w:val="single" w:sz="4" w:space="0" w:color="auto"/>
              <w:right w:val="single" w:sz="4" w:space="0" w:color="auto"/>
            </w:tcBorders>
            <w:shd w:val="clear" w:color="auto" w:fill="auto"/>
            <w:noWrap/>
            <w:hideMark/>
          </w:tcPr>
          <w:p w14:paraId="3D8BC905" w14:textId="77777777" w:rsidR="00A57704" w:rsidRPr="00A37D31" w:rsidRDefault="00A57704" w:rsidP="00A57704">
            <w:pPr>
              <w:spacing w:after="0"/>
              <w:jc w:val="center"/>
              <w:rPr>
                <w:rFonts w:ascii="Times New Roman" w:hAnsi="Times New Roman"/>
              </w:rPr>
            </w:pPr>
            <w:r>
              <w:rPr>
                <w:rFonts w:ascii="Times New Roman" w:hAnsi="Times New Roman"/>
              </w:rPr>
              <w:t>188.5</w:t>
            </w:r>
          </w:p>
        </w:tc>
        <w:tc>
          <w:tcPr>
            <w:tcW w:w="820" w:type="dxa"/>
            <w:tcBorders>
              <w:top w:val="single" w:sz="4" w:space="0" w:color="auto"/>
              <w:left w:val="nil"/>
              <w:bottom w:val="single" w:sz="4" w:space="0" w:color="auto"/>
              <w:right w:val="single" w:sz="4" w:space="0" w:color="auto"/>
            </w:tcBorders>
            <w:shd w:val="clear" w:color="auto" w:fill="auto"/>
            <w:noWrap/>
            <w:hideMark/>
          </w:tcPr>
          <w:p w14:paraId="36AB8BA0" w14:textId="77777777" w:rsidR="00A57704" w:rsidRPr="00A37D31" w:rsidRDefault="00A57704" w:rsidP="00A57704">
            <w:pPr>
              <w:spacing w:after="0"/>
              <w:jc w:val="center"/>
              <w:rPr>
                <w:rFonts w:ascii="Times New Roman" w:hAnsi="Times New Roman"/>
              </w:rPr>
            </w:pPr>
            <w:r>
              <w:rPr>
                <w:rFonts w:ascii="Times New Roman" w:hAnsi="Times New Roman"/>
              </w:rPr>
              <w:t>145.9</w:t>
            </w:r>
          </w:p>
        </w:tc>
        <w:tc>
          <w:tcPr>
            <w:tcW w:w="760" w:type="dxa"/>
            <w:tcBorders>
              <w:top w:val="single" w:sz="4" w:space="0" w:color="auto"/>
              <w:left w:val="nil"/>
              <w:bottom w:val="single" w:sz="4" w:space="0" w:color="auto"/>
              <w:right w:val="single" w:sz="4" w:space="0" w:color="auto"/>
            </w:tcBorders>
            <w:shd w:val="clear" w:color="auto" w:fill="auto"/>
            <w:noWrap/>
            <w:hideMark/>
          </w:tcPr>
          <w:p w14:paraId="6E18458D" w14:textId="77777777" w:rsidR="00A57704" w:rsidRPr="00A37D31" w:rsidRDefault="00A57704" w:rsidP="00A57704">
            <w:pPr>
              <w:spacing w:after="0"/>
              <w:jc w:val="center"/>
              <w:rPr>
                <w:rFonts w:ascii="Times New Roman" w:hAnsi="Times New Roman"/>
              </w:rPr>
            </w:pPr>
            <w:r>
              <w:rPr>
                <w:rFonts w:ascii="Times New Roman" w:hAnsi="Times New Roman"/>
              </w:rPr>
              <w:t>134.6</w:t>
            </w:r>
          </w:p>
        </w:tc>
        <w:tc>
          <w:tcPr>
            <w:tcW w:w="820" w:type="dxa"/>
            <w:tcBorders>
              <w:top w:val="single" w:sz="4" w:space="0" w:color="auto"/>
              <w:left w:val="nil"/>
              <w:bottom w:val="single" w:sz="4" w:space="0" w:color="auto"/>
              <w:right w:val="single" w:sz="4" w:space="0" w:color="auto"/>
            </w:tcBorders>
            <w:shd w:val="clear" w:color="auto" w:fill="auto"/>
            <w:noWrap/>
            <w:hideMark/>
          </w:tcPr>
          <w:p w14:paraId="3431168D" w14:textId="77777777" w:rsidR="00A57704" w:rsidRPr="00A37D31" w:rsidRDefault="00A57704" w:rsidP="00A57704">
            <w:pPr>
              <w:spacing w:after="0"/>
              <w:jc w:val="center"/>
              <w:rPr>
                <w:rFonts w:ascii="Times New Roman" w:hAnsi="Times New Roman"/>
              </w:rPr>
            </w:pPr>
            <w:r>
              <w:rPr>
                <w:rFonts w:ascii="Times New Roman" w:hAnsi="Times New Roman"/>
              </w:rPr>
              <w:t>308.6</w:t>
            </w:r>
          </w:p>
        </w:tc>
        <w:tc>
          <w:tcPr>
            <w:tcW w:w="820" w:type="dxa"/>
            <w:tcBorders>
              <w:top w:val="single" w:sz="4" w:space="0" w:color="auto"/>
              <w:left w:val="nil"/>
              <w:bottom w:val="single" w:sz="4" w:space="0" w:color="auto"/>
              <w:right w:val="single" w:sz="4" w:space="0" w:color="auto"/>
            </w:tcBorders>
            <w:shd w:val="clear" w:color="auto" w:fill="auto"/>
            <w:noWrap/>
            <w:hideMark/>
          </w:tcPr>
          <w:p w14:paraId="5A3B0174" w14:textId="77777777" w:rsidR="00A57704" w:rsidRPr="00A37D31" w:rsidRDefault="00A57704" w:rsidP="00A57704">
            <w:pPr>
              <w:spacing w:after="0"/>
              <w:jc w:val="center"/>
              <w:rPr>
                <w:rFonts w:ascii="Times New Roman" w:hAnsi="Times New Roman"/>
              </w:rPr>
            </w:pPr>
            <w:r>
              <w:rPr>
                <w:rFonts w:ascii="Times New Roman" w:hAnsi="Times New Roman"/>
              </w:rPr>
              <w:t>42.8</w:t>
            </w:r>
          </w:p>
        </w:tc>
        <w:tc>
          <w:tcPr>
            <w:tcW w:w="820" w:type="dxa"/>
            <w:tcBorders>
              <w:top w:val="single" w:sz="4" w:space="0" w:color="auto"/>
              <w:left w:val="nil"/>
              <w:bottom w:val="single" w:sz="4" w:space="0" w:color="auto"/>
              <w:right w:val="single" w:sz="4" w:space="0" w:color="auto"/>
            </w:tcBorders>
            <w:shd w:val="clear" w:color="auto" w:fill="auto"/>
            <w:noWrap/>
            <w:hideMark/>
          </w:tcPr>
          <w:p w14:paraId="24B39E00" w14:textId="77777777" w:rsidR="00A57704" w:rsidRPr="00A37D31" w:rsidRDefault="00A57704" w:rsidP="00A57704">
            <w:pPr>
              <w:spacing w:after="0"/>
              <w:jc w:val="center"/>
              <w:rPr>
                <w:rFonts w:ascii="Times New Roman" w:hAnsi="Times New Roman"/>
              </w:rPr>
            </w:pPr>
            <w:r>
              <w:rPr>
                <w:rFonts w:ascii="Times New Roman" w:hAnsi="Times New Roman"/>
              </w:rPr>
              <w:t>72.1</w:t>
            </w:r>
          </w:p>
        </w:tc>
        <w:tc>
          <w:tcPr>
            <w:tcW w:w="760" w:type="dxa"/>
            <w:tcBorders>
              <w:top w:val="single" w:sz="4" w:space="0" w:color="auto"/>
              <w:left w:val="nil"/>
              <w:bottom w:val="single" w:sz="4" w:space="0" w:color="auto"/>
              <w:right w:val="single" w:sz="4" w:space="0" w:color="auto"/>
            </w:tcBorders>
            <w:shd w:val="clear" w:color="auto" w:fill="auto"/>
            <w:noWrap/>
            <w:hideMark/>
          </w:tcPr>
          <w:p w14:paraId="19C13E31" w14:textId="77777777" w:rsidR="00A57704" w:rsidRPr="00A37D31" w:rsidRDefault="00A57704" w:rsidP="00A57704">
            <w:pPr>
              <w:spacing w:after="0"/>
              <w:jc w:val="center"/>
              <w:rPr>
                <w:rFonts w:ascii="Times New Roman" w:hAnsi="Times New Roman"/>
              </w:rPr>
            </w:pPr>
            <w:r>
              <w:rPr>
                <w:rFonts w:ascii="Times New Roman" w:hAnsi="Times New Roman"/>
              </w:rPr>
              <w:t>171.1</w:t>
            </w:r>
          </w:p>
        </w:tc>
        <w:tc>
          <w:tcPr>
            <w:tcW w:w="720" w:type="dxa"/>
            <w:tcBorders>
              <w:top w:val="single" w:sz="4" w:space="0" w:color="auto"/>
              <w:left w:val="nil"/>
              <w:bottom w:val="single" w:sz="4" w:space="0" w:color="auto"/>
              <w:right w:val="single" w:sz="4" w:space="0" w:color="auto"/>
            </w:tcBorders>
            <w:shd w:val="clear" w:color="auto" w:fill="auto"/>
            <w:noWrap/>
            <w:hideMark/>
          </w:tcPr>
          <w:p w14:paraId="257BAFA0" w14:textId="77777777" w:rsidR="00A57704" w:rsidRPr="00A37D31" w:rsidRDefault="00A57704" w:rsidP="00A57704">
            <w:pPr>
              <w:spacing w:after="0"/>
              <w:jc w:val="center"/>
              <w:rPr>
                <w:rFonts w:ascii="Times New Roman" w:hAnsi="Times New Roman"/>
              </w:rPr>
            </w:pPr>
            <w:r>
              <w:rPr>
                <w:rFonts w:ascii="Times New Roman" w:hAnsi="Times New Roman"/>
              </w:rPr>
              <w:t>0</w:t>
            </w:r>
          </w:p>
        </w:tc>
        <w:tc>
          <w:tcPr>
            <w:tcW w:w="1100" w:type="dxa"/>
            <w:tcBorders>
              <w:top w:val="single" w:sz="4" w:space="0" w:color="auto"/>
              <w:left w:val="nil"/>
              <w:bottom w:val="single" w:sz="4" w:space="0" w:color="auto"/>
              <w:right w:val="single" w:sz="4" w:space="0" w:color="auto"/>
            </w:tcBorders>
            <w:shd w:val="clear" w:color="auto" w:fill="auto"/>
            <w:noWrap/>
            <w:hideMark/>
          </w:tcPr>
          <w:p w14:paraId="150D4E17" w14:textId="77777777" w:rsidR="00A57704" w:rsidRPr="00A37D31" w:rsidRDefault="00A57704" w:rsidP="00A57704">
            <w:pPr>
              <w:spacing w:after="0"/>
              <w:jc w:val="center"/>
              <w:rPr>
                <w:rFonts w:ascii="Times New Roman" w:hAnsi="Times New Roman"/>
              </w:rPr>
            </w:pPr>
            <w:r>
              <w:rPr>
                <w:rFonts w:ascii="Times New Roman" w:hAnsi="Times New Roman"/>
              </w:rPr>
              <w:t>1,439.5</w:t>
            </w:r>
          </w:p>
        </w:tc>
      </w:tr>
      <w:tr w:rsidR="00A57704" w:rsidRPr="00A37D31" w14:paraId="7EF0968A"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64566C1B" w14:textId="77777777" w:rsidR="00A57704" w:rsidRPr="00A37D31" w:rsidRDefault="00A57704" w:rsidP="00A57704">
            <w:pPr>
              <w:spacing w:after="0"/>
              <w:rPr>
                <w:rFonts w:ascii="Times New Roman" w:hAnsi="Times New Roman"/>
              </w:rPr>
            </w:pPr>
            <w:r w:rsidRPr="00A37D31">
              <w:rPr>
                <w:rFonts w:ascii="Times New Roman" w:hAnsi="Times New Roman"/>
              </w:rPr>
              <w:t>D. Prec (%)</w:t>
            </w:r>
          </w:p>
        </w:tc>
        <w:tc>
          <w:tcPr>
            <w:tcW w:w="760" w:type="dxa"/>
            <w:tcBorders>
              <w:top w:val="single" w:sz="4" w:space="0" w:color="auto"/>
              <w:left w:val="nil"/>
              <w:bottom w:val="single" w:sz="4" w:space="0" w:color="auto"/>
              <w:right w:val="single" w:sz="4" w:space="0" w:color="auto"/>
            </w:tcBorders>
            <w:shd w:val="clear" w:color="auto" w:fill="auto"/>
            <w:noWrap/>
            <w:hideMark/>
          </w:tcPr>
          <w:p w14:paraId="627E331B" w14:textId="77777777" w:rsidR="00A57704" w:rsidRPr="00A37D31" w:rsidRDefault="00A57704" w:rsidP="00A57704">
            <w:pPr>
              <w:spacing w:after="0"/>
              <w:jc w:val="center"/>
              <w:rPr>
                <w:rFonts w:ascii="Times New Roman" w:hAnsi="Times New Roman"/>
              </w:rPr>
            </w:pPr>
            <w:r>
              <w:rPr>
                <w:rFonts w:ascii="Times New Roman" w:hAnsi="Times New Roman"/>
              </w:rPr>
              <w:t>-61.0</w:t>
            </w:r>
          </w:p>
        </w:tc>
        <w:tc>
          <w:tcPr>
            <w:tcW w:w="760" w:type="dxa"/>
            <w:tcBorders>
              <w:top w:val="single" w:sz="4" w:space="0" w:color="auto"/>
              <w:left w:val="nil"/>
              <w:bottom w:val="single" w:sz="4" w:space="0" w:color="auto"/>
              <w:right w:val="single" w:sz="4" w:space="0" w:color="auto"/>
            </w:tcBorders>
            <w:shd w:val="clear" w:color="auto" w:fill="auto"/>
            <w:noWrap/>
            <w:hideMark/>
          </w:tcPr>
          <w:p w14:paraId="1E7B70D9" w14:textId="77777777" w:rsidR="00A57704" w:rsidRPr="00A37D31" w:rsidRDefault="00A57704" w:rsidP="00A57704">
            <w:pPr>
              <w:spacing w:after="0"/>
              <w:jc w:val="center"/>
              <w:rPr>
                <w:rFonts w:ascii="Times New Roman" w:hAnsi="Times New Roman"/>
              </w:rPr>
            </w:pPr>
            <w:r>
              <w:rPr>
                <w:rFonts w:ascii="Times New Roman" w:hAnsi="Times New Roman"/>
              </w:rPr>
              <w:t>-60.5</w:t>
            </w:r>
          </w:p>
        </w:tc>
        <w:tc>
          <w:tcPr>
            <w:tcW w:w="720" w:type="dxa"/>
            <w:tcBorders>
              <w:top w:val="single" w:sz="4" w:space="0" w:color="auto"/>
              <w:left w:val="nil"/>
              <w:bottom w:val="single" w:sz="4" w:space="0" w:color="auto"/>
              <w:right w:val="single" w:sz="4" w:space="0" w:color="auto"/>
            </w:tcBorders>
            <w:shd w:val="clear" w:color="auto" w:fill="auto"/>
            <w:noWrap/>
            <w:hideMark/>
          </w:tcPr>
          <w:p w14:paraId="00A4E6BD" w14:textId="77777777" w:rsidR="00A57704" w:rsidRPr="00A37D31" w:rsidRDefault="00A57704" w:rsidP="00A57704">
            <w:pPr>
              <w:spacing w:after="0"/>
              <w:jc w:val="center"/>
              <w:rPr>
                <w:rFonts w:ascii="Times New Roman" w:hAnsi="Times New Roman"/>
              </w:rPr>
            </w:pPr>
            <w:r>
              <w:rPr>
                <w:rFonts w:ascii="Times New Roman" w:hAnsi="Times New Roman"/>
              </w:rPr>
              <w:t>27.1</w:t>
            </w:r>
          </w:p>
        </w:tc>
        <w:tc>
          <w:tcPr>
            <w:tcW w:w="820" w:type="dxa"/>
            <w:tcBorders>
              <w:top w:val="single" w:sz="4" w:space="0" w:color="auto"/>
              <w:left w:val="nil"/>
              <w:bottom w:val="single" w:sz="4" w:space="0" w:color="auto"/>
              <w:right w:val="single" w:sz="4" w:space="0" w:color="auto"/>
            </w:tcBorders>
            <w:shd w:val="clear" w:color="auto" w:fill="auto"/>
            <w:noWrap/>
            <w:hideMark/>
          </w:tcPr>
          <w:p w14:paraId="51349316" w14:textId="77777777" w:rsidR="00A57704" w:rsidRPr="00A37D31" w:rsidRDefault="00A57704" w:rsidP="00A57704">
            <w:pPr>
              <w:spacing w:after="0"/>
              <w:jc w:val="center"/>
              <w:rPr>
                <w:rFonts w:ascii="Times New Roman" w:hAnsi="Times New Roman"/>
              </w:rPr>
            </w:pPr>
            <w:r>
              <w:rPr>
                <w:rFonts w:ascii="Times New Roman" w:hAnsi="Times New Roman"/>
              </w:rPr>
              <w:t>-22.1</w:t>
            </w:r>
          </w:p>
        </w:tc>
        <w:tc>
          <w:tcPr>
            <w:tcW w:w="820" w:type="dxa"/>
            <w:tcBorders>
              <w:top w:val="single" w:sz="4" w:space="0" w:color="auto"/>
              <w:left w:val="nil"/>
              <w:bottom w:val="single" w:sz="4" w:space="0" w:color="auto"/>
              <w:right w:val="single" w:sz="4" w:space="0" w:color="auto"/>
            </w:tcBorders>
            <w:shd w:val="clear" w:color="auto" w:fill="auto"/>
            <w:noWrap/>
            <w:hideMark/>
          </w:tcPr>
          <w:p w14:paraId="68FB9632" w14:textId="77777777" w:rsidR="00A57704" w:rsidRPr="00A37D31" w:rsidRDefault="00A57704" w:rsidP="00A57704">
            <w:pPr>
              <w:spacing w:after="0"/>
              <w:jc w:val="center"/>
              <w:rPr>
                <w:rFonts w:ascii="Times New Roman" w:hAnsi="Times New Roman"/>
              </w:rPr>
            </w:pPr>
            <w:r>
              <w:rPr>
                <w:rFonts w:ascii="Times New Roman" w:hAnsi="Times New Roman"/>
              </w:rPr>
              <w:t>-18.4</w:t>
            </w:r>
          </w:p>
        </w:tc>
        <w:tc>
          <w:tcPr>
            <w:tcW w:w="820" w:type="dxa"/>
            <w:tcBorders>
              <w:top w:val="single" w:sz="4" w:space="0" w:color="auto"/>
              <w:left w:val="nil"/>
              <w:bottom w:val="single" w:sz="4" w:space="0" w:color="auto"/>
              <w:right w:val="single" w:sz="4" w:space="0" w:color="auto"/>
            </w:tcBorders>
            <w:shd w:val="clear" w:color="auto" w:fill="auto"/>
            <w:noWrap/>
            <w:hideMark/>
          </w:tcPr>
          <w:p w14:paraId="16BDF45A" w14:textId="77777777" w:rsidR="00A57704" w:rsidRPr="00A37D31" w:rsidRDefault="00A57704" w:rsidP="00A57704">
            <w:pPr>
              <w:spacing w:after="0"/>
              <w:jc w:val="center"/>
              <w:rPr>
                <w:rFonts w:ascii="Times New Roman" w:hAnsi="Times New Roman"/>
              </w:rPr>
            </w:pPr>
            <w:r>
              <w:rPr>
                <w:rFonts w:ascii="Times New Roman" w:hAnsi="Times New Roman"/>
              </w:rPr>
              <w:t>-28.0</w:t>
            </w:r>
          </w:p>
        </w:tc>
        <w:tc>
          <w:tcPr>
            <w:tcW w:w="760" w:type="dxa"/>
            <w:tcBorders>
              <w:top w:val="single" w:sz="4" w:space="0" w:color="auto"/>
              <w:left w:val="nil"/>
              <w:bottom w:val="single" w:sz="4" w:space="0" w:color="auto"/>
              <w:right w:val="single" w:sz="4" w:space="0" w:color="auto"/>
            </w:tcBorders>
            <w:shd w:val="clear" w:color="auto" w:fill="auto"/>
            <w:noWrap/>
            <w:hideMark/>
          </w:tcPr>
          <w:p w14:paraId="1053E1A9" w14:textId="77777777" w:rsidR="00A57704" w:rsidRPr="00A37D31" w:rsidRDefault="00A57704" w:rsidP="00A57704">
            <w:pPr>
              <w:spacing w:after="0"/>
              <w:jc w:val="center"/>
              <w:rPr>
                <w:rFonts w:ascii="Times New Roman" w:hAnsi="Times New Roman"/>
              </w:rPr>
            </w:pPr>
            <w:r>
              <w:rPr>
                <w:rFonts w:ascii="Times New Roman" w:hAnsi="Times New Roman"/>
              </w:rPr>
              <w:t>-25.2</w:t>
            </w:r>
          </w:p>
        </w:tc>
        <w:tc>
          <w:tcPr>
            <w:tcW w:w="820" w:type="dxa"/>
            <w:tcBorders>
              <w:top w:val="single" w:sz="4" w:space="0" w:color="auto"/>
              <w:left w:val="nil"/>
              <w:bottom w:val="single" w:sz="4" w:space="0" w:color="auto"/>
              <w:right w:val="single" w:sz="4" w:space="0" w:color="auto"/>
            </w:tcBorders>
            <w:shd w:val="clear" w:color="auto" w:fill="auto"/>
            <w:noWrap/>
            <w:hideMark/>
          </w:tcPr>
          <w:p w14:paraId="7D04D660" w14:textId="77777777" w:rsidR="00A57704" w:rsidRPr="00A37D31" w:rsidRDefault="00A57704" w:rsidP="00A57704">
            <w:pPr>
              <w:spacing w:after="0"/>
              <w:jc w:val="center"/>
              <w:rPr>
                <w:rFonts w:ascii="Times New Roman" w:hAnsi="Times New Roman"/>
              </w:rPr>
            </w:pPr>
            <w:r>
              <w:rPr>
                <w:rFonts w:ascii="Times New Roman" w:hAnsi="Times New Roman"/>
              </w:rPr>
              <w:t>39.9</w:t>
            </w:r>
          </w:p>
        </w:tc>
        <w:tc>
          <w:tcPr>
            <w:tcW w:w="820" w:type="dxa"/>
            <w:tcBorders>
              <w:top w:val="single" w:sz="4" w:space="0" w:color="auto"/>
              <w:left w:val="nil"/>
              <w:bottom w:val="single" w:sz="4" w:space="0" w:color="auto"/>
              <w:right w:val="single" w:sz="4" w:space="0" w:color="auto"/>
            </w:tcBorders>
            <w:shd w:val="clear" w:color="auto" w:fill="auto"/>
            <w:noWrap/>
            <w:hideMark/>
          </w:tcPr>
          <w:p w14:paraId="3DA113BE" w14:textId="77777777" w:rsidR="00A57704" w:rsidRPr="00A37D31" w:rsidRDefault="00A57704" w:rsidP="00A57704">
            <w:pPr>
              <w:spacing w:after="0"/>
              <w:jc w:val="center"/>
              <w:rPr>
                <w:rFonts w:ascii="Times New Roman" w:hAnsi="Times New Roman"/>
              </w:rPr>
            </w:pPr>
            <w:r>
              <w:rPr>
                <w:rFonts w:ascii="Times New Roman" w:hAnsi="Times New Roman"/>
              </w:rPr>
              <w:t>-80.3</w:t>
            </w:r>
          </w:p>
        </w:tc>
        <w:tc>
          <w:tcPr>
            <w:tcW w:w="820" w:type="dxa"/>
            <w:tcBorders>
              <w:top w:val="single" w:sz="4" w:space="0" w:color="auto"/>
              <w:left w:val="nil"/>
              <w:bottom w:val="single" w:sz="4" w:space="0" w:color="auto"/>
              <w:right w:val="single" w:sz="4" w:space="0" w:color="auto"/>
            </w:tcBorders>
            <w:shd w:val="clear" w:color="auto" w:fill="auto"/>
            <w:noWrap/>
            <w:hideMark/>
          </w:tcPr>
          <w:p w14:paraId="677F2508" w14:textId="77777777" w:rsidR="00A57704" w:rsidRPr="00A37D31" w:rsidRDefault="00A57704" w:rsidP="00A57704">
            <w:pPr>
              <w:spacing w:after="0"/>
              <w:jc w:val="center"/>
              <w:rPr>
                <w:rFonts w:ascii="Times New Roman" w:hAnsi="Times New Roman"/>
              </w:rPr>
            </w:pPr>
            <w:r>
              <w:rPr>
                <w:rFonts w:ascii="Times New Roman" w:hAnsi="Times New Roman"/>
              </w:rPr>
              <w:t>-61.9</w:t>
            </w:r>
          </w:p>
        </w:tc>
        <w:tc>
          <w:tcPr>
            <w:tcW w:w="760" w:type="dxa"/>
            <w:tcBorders>
              <w:top w:val="single" w:sz="4" w:space="0" w:color="auto"/>
              <w:left w:val="nil"/>
              <w:bottom w:val="single" w:sz="4" w:space="0" w:color="auto"/>
              <w:right w:val="single" w:sz="4" w:space="0" w:color="auto"/>
            </w:tcBorders>
            <w:shd w:val="clear" w:color="auto" w:fill="auto"/>
            <w:noWrap/>
            <w:hideMark/>
          </w:tcPr>
          <w:p w14:paraId="13BC88EA" w14:textId="77777777" w:rsidR="00A57704" w:rsidRPr="00A37D31" w:rsidRDefault="00A57704" w:rsidP="00A57704">
            <w:pPr>
              <w:spacing w:after="0"/>
              <w:jc w:val="center"/>
              <w:rPr>
                <w:rFonts w:ascii="Times New Roman" w:hAnsi="Times New Roman"/>
              </w:rPr>
            </w:pPr>
            <w:r>
              <w:rPr>
                <w:rFonts w:ascii="Times New Roman" w:hAnsi="Times New Roman"/>
              </w:rPr>
              <w:t>-23.7</w:t>
            </w:r>
          </w:p>
        </w:tc>
        <w:tc>
          <w:tcPr>
            <w:tcW w:w="720" w:type="dxa"/>
            <w:tcBorders>
              <w:top w:val="single" w:sz="4" w:space="0" w:color="auto"/>
              <w:left w:val="nil"/>
              <w:bottom w:val="single" w:sz="4" w:space="0" w:color="auto"/>
              <w:right w:val="single" w:sz="4" w:space="0" w:color="auto"/>
            </w:tcBorders>
            <w:shd w:val="clear" w:color="auto" w:fill="auto"/>
            <w:noWrap/>
            <w:hideMark/>
          </w:tcPr>
          <w:p w14:paraId="42DD26CA" w14:textId="77777777" w:rsidR="00A57704" w:rsidRPr="00A37D31" w:rsidRDefault="00A57704" w:rsidP="00A57704">
            <w:pPr>
              <w:spacing w:after="0"/>
              <w:jc w:val="center"/>
              <w:rPr>
                <w:rFonts w:ascii="Times New Roman" w:hAnsi="Times New Roman"/>
              </w:rPr>
            </w:pPr>
            <w:r>
              <w:rPr>
                <w:rFonts w:ascii="Times New Roman" w:hAnsi="Times New Roman"/>
              </w:rPr>
              <w:t>0</w:t>
            </w:r>
          </w:p>
        </w:tc>
        <w:tc>
          <w:tcPr>
            <w:tcW w:w="1100" w:type="dxa"/>
            <w:tcBorders>
              <w:top w:val="single" w:sz="4" w:space="0" w:color="auto"/>
              <w:left w:val="nil"/>
              <w:bottom w:val="single" w:sz="4" w:space="0" w:color="auto"/>
              <w:right w:val="single" w:sz="4" w:space="0" w:color="auto"/>
            </w:tcBorders>
            <w:shd w:val="clear" w:color="auto" w:fill="auto"/>
            <w:noWrap/>
            <w:hideMark/>
          </w:tcPr>
          <w:p w14:paraId="3925EC8C" w14:textId="77777777" w:rsidR="00A57704" w:rsidRPr="00A37D31" w:rsidRDefault="00A57704" w:rsidP="00A57704">
            <w:pPr>
              <w:spacing w:after="0"/>
              <w:jc w:val="center"/>
              <w:rPr>
                <w:rFonts w:ascii="Times New Roman" w:hAnsi="Times New Roman"/>
              </w:rPr>
            </w:pPr>
            <w:r w:rsidRPr="00A37D31">
              <w:rPr>
                <w:rFonts w:ascii="Times New Roman" w:hAnsi="Times New Roman"/>
              </w:rPr>
              <w:t>1.6</w:t>
            </w:r>
          </w:p>
        </w:tc>
      </w:tr>
    </w:tbl>
    <w:p w14:paraId="6ECC2A9C" w14:textId="77777777" w:rsidR="00A57704" w:rsidRDefault="00A57704" w:rsidP="00A57704">
      <w:pPr>
        <w:spacing w:after="0"/>
        <w:rPr>
          <w:rFonts w:ascii="Times New Roman" w:hAnsi="Times New Roman"/>
        </w:rPr>
      </w:pPr>
    </w:p>
    <w:p w14:paraId="298B93E4"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space="720"/>
          <w:docGrid w:linePitch="360"/>
        </w:sectPr>
      </w:pPr>
    </w:p>
    <w:p w14:paraId="6AB556FC" w14:textId="77777777" w:rsidR="00A57704" w:rsidRPr="00C83490" w:rsidRDefault="00A57704" w:rsidP="00A57704">
      <w:pPr>
        <w:spacing w:after="0"/>
        <w:rPr>
          <w:rFonts w:ascii="Times New Roman" w:hAnsi="Times New Roman"/>
        </w:rPr>
      </w:pPr>
    </w:p>
    <w:p w14:paraId="49D6F47D"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Villa Riva.</w:t>
      </w:r>
    </w:p>
    <w:p w14:paraId="566E2B50" w14:textId="77777777" w:rsidR="00A57704" w:rsidRPr="002D5B20" w:rsidRDefault="00A57704" w:rsidP="00A57704">
      <w:pPr>
        <w:spacing w:after="0"/>
        <w:rPr>
          <w:rFonts w:ascii="Times New Roman" w:hAnsi="Times New Roman"/>
          <w:sz w:val="4"/>
        </w:rPr>
      </w:pPr>
    </w:p>
    <w:p w14:paraId="5B8075FA" w14:textId="77777777" w:rsidR="00A57704" w:rsidRPr="002D5B20" w:rsidRDefault="00A57704" w:rsidP="00A57704">
      <w:pPr>
        <w:spacing w:after="0"/>
        <w:rPr>
          <w:rFonts w:ascii="Times New Roman" w:hAnsi="Times New Roman"/>
          <w:sz w:val="4"/>
        </w:rPr>
      </w:pPr>
      <w:r>
        <w:rPr>
          <w:noProof/>
          <w:lang w:eastAsia="es-DO"/>
        </w:rPr>
        <w:drawing>
          <wp:inline distT="0" distB="0" distL="0" distR="0" wp14:anchorId="7B9185BD" wp14:editId="0AC8A154">
            <wp:extent cx="3638550" cy="1590675"/>
            <wp:effectExtent l="0" t="0" r="0" b="0"/>
            <wp:docPr id="274" name="Gráfico 27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1AD74DC6-018D-44EB-A6DD-5518F59AF6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p w14:paraId="6A3AD075" w14:textId="77777777" w:rsidR="00A57704" w:rsidRPr="002D5B20" w:rsidRDefault="00A57704" w:rsidP="00A57704">
      <w:pPr>
        <w:spacing w:after="0"/>
        <w:rPr>
          <w:rFonts w:ascii="Times New Roman" w:hAnsi="Times New Roman"/>
          <w:sz w:val="4"/>
        </w:rPr>
      </w:pPr>
    </w:p>
    <w:p w14:paraId="6D5C1422" w14:textId="77777777" w:rsidR="00A57704" w:rsidRDefault="00A57704" w:rsidP="00A57704">
      <w:pPr>
        <w:spacing w:after="0"/>
        <w:rPr>
          <w:rFonts w:ascii="Times New Roman" w:hAnsi="Times New Roman"/>
        </w:rPr>
      </w:pPr>
    </w:p>
    <w:p w14:paraId="007D5152"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62A558BB"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4BEE9A19" wp14:editId="50481163">
            <wp:extent cx="3619500" cy="1695450"/>
            <wp:effectExtent l="0" t="0" r="0" b="0"/>
            <wp:docPr id="275" name="Gráfico 275">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983867B0-B854-4E1D-B2FB-11974585EE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14:paraId="7C49E2A3" w14:textId="77777777" w:rsidR="00A57704" w:rsidRDefault="00A57704" w:rsidP="00A57704">
      <w:pPr>
        <w:spacing w:after="0"/>
        <w:rPr>
          <w:rFonts w:ascii="Times New Roman" w:hAnsi="Times New Roman"/>
        </w:rPr>
      </w:pPr>
    </w:p>
    <w:tbl>
      <w:tblPr>
        <w:tblW w:w="12712" w:type="dxa"/>
        <w:tblInd w:w="-5" w:type="dxa"/>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A57704" w:rsidRPr="00A37D31" w14:paraId="205D35A4"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39887150"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Santiago/Licey</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426FEBB2"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5AB1D923"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73E40CDF"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0ECEBC34"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C16CDAA"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01DCC422"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0D5D09DF"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550685C"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38C072AE"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9FC4E35"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6F512EA7"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1877AFFC"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42A71F01"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Año</w:t>
            </w:r>
          </w:p>
        </w:tc>
      </w:tr>
      <w:tr w:rsidR="00A57704" w:rsidRPr="00A37D31" w14:paraId="4C8B54B2"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FAAF9" w14:textId="77777777" w:rsidR="00A57704" w:rsidRPr="00A37D31" w:rsidRDefault="00A57704" w:rsidP="00A57704">
            <w:pPr>
              <w:spacing w:after="0"/>
              <w:rPr>
                <w:rFonts w:ascii="Times New Roman" w:hAnsi="Times New Roman"/>
                <w:bCs/>
                <w:color w:val="000000"/>
                <w:lang w:eastAsia="es-DO"/>
              </w:rPr>
            </w:pPr>
            <w:r w:rsidRPr="00A37D31">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9AED67E" w14:textId="77777777" w:rsidR="00A57704" w:rsidRPr="00A37D31" w:rsidRDefault="00A57704" w:rsidP="00A57704">
            <w:pPr>
              <w:spacing w:after="0"/>
              <w:jc w:val="center"/>
              <w:rPr>
                <w:rFonts w:ascii="Times New Roman" w:hAnsi="Times New Roman"/>
                <w:bCs/>
                <w:color w:val="000000"/>
                <w:lang w:eastAsia="es-DO"/>
              </w:rPr>
            </w:pPr>
            <w:r w:rsidRPr="00A37D31">
              <w:rPr>
                <w:rFonts w:ascii="Times New Roman" w:hAnsi="Times New Roman"/>
                <w:bCs/>
                <w:color w:val="000000"/>
                <w:lang w:eastAsia="es-DO"/>
              </w:rPr>
              <w:t>55.9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36776EA" w14:textId="77777777" w:rsidR="00A57704" w:rsidRPr="00A37D31" w:rsidRDefault="00A57704" w:rsidP="00A57704">
            <w:pPr>
              <w:spacing w:after="0"/>
              <w:jc w:val="center"/>
              <w:rPr>
                <w:rFonts w:ascii="Times New Roman" w:hAnsi="Times New Roman"/>
                <w:bCs/>
                <w:color w:val="000000"/>
                <w:lang w:eastAsia="es-DO"/>
              </w:rPr>
            </w:pPr>
            <w:r w:rsidRPr="00A37D31">
              <w:rPr>
                <w:rFonts w:ascii="Times New Roman" w:hAnsi="Times New Roman"/>
                <w:bCs/>
                <w:color w:val="000000"/>
                <w:lang w:eastAsia="es-DO"/>
              </w:rPr>
              <w:t>42.3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349D25D" w14:textId="77777777" w:rsidR="00A57704" w:rsidRPr="00A37D31" w:rsidRDefault="00A57704" w:rsidP="00A57704">
            <w:pPr>
              <w:spacing w:after="0"/>
              <w:jc w:val="center"/>
              <w:rPr>
                <w:rFonts w:ascii="Times New Roman" w:hAnsi="Times New Roman"/>
                <w:bCs/>
                <w:color w:val="000000"/>
                <w:lang w:eastAsia="es-DO"/>
              </w:rPr>
            </w:pPr>
            <w:r w:rsidRPr="00A37D31">
              <w:rPr>
                <w:rFonts w:ascii="Times New Roman" w:hAnsi="Times New Roman"/>
                <w:bCs/>
                <w:color w:val="000000"/>
                <w:lang w:eastAsia="es-DO"/>
              </w:rPr>
              <w:t>61.9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2180E15" w14:textId="77777777" w:rsidR="00A57704" w:rsidRPr="00A37D31" w:rsidRDefault="00A57704" w:rsidP="00A57704">
            <w:pPr>
              <w:spacing w:after="0"/>
              <w:jc w:val="center"/>
              <w:rPr>
                <w:rFonts w:ascii="Times New Roman" w:hAnsi="Times New Roman"/>
                <w:bCs/>
                <w:color w:val="000000"/>
                <w:lang w:eastAsia="es-DO"/>
              </w:rPr>
            </w:pPr>
            <w:r w:rsidRPr="00A37D31">
              <w:rPr>
                <w:rFonts w:ascii="Times New Roman" w:hAnsi="Times New Roman"/>
                <w:bCs/>
                <w:color w:val="000000"/>
                <w:lang w:eastAsia="es-DO"/>
              </w:rPr>
              <w:t>109.3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FE0FC5D" w14:textId="77777777" w:rsidR="00A57704" w:rsidRPr="00A37D31" w:rsidRDefault="00A57704" w:rsidP="00A57704">
            <w:pPr>
              <w:spacing w:after="0"/>
              <w:jc w:val="center"/>
              <w:rPr>
                <w:rFonts w:ascii="Times New Roman" w:hAnsi="Times New Roman"/>
                <w:bCs/>
                <w:color w:val="000000"/>
                <w:lang w:eastAsia="es-DO"/>
              </w:rPr>
            </w:pPr>
            <w:r w:rsidRPr="00A37D31">
              <w:rPr>
                <w:rFonts w:ascii="Times New Roman" w:hAnsi="Times New Roman"/>
                <w:bCs/>
                <w:color w:val="000000"/>
                <w:lang w:eastAsia="es-DO"/>
              </w:rPr>
              <w:t>133.1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53E7998" w14:textId="77777777" w:rsidR="00A57704" w:rsidRPr="00A37D31" w:rsidRDefault="00A57704" w:rsidP="00A57704">
            <w:pPr>
              <w:spacing w:after="0"/>
              <w:jc w:val="center"/>
              <w:rPr>
                <w:rFonts w:ascii="Times New Roman" w:hAnsi="Times New Roman"/>
                <w:bCs/>
                <w:color w:val="000000"/>
                <w:lang w:eastAsia="es-DO"/>
              </w:rPr>
            </w:pPr>
            <w:r w:rsidRPr="00A37D31">
              <w:rPr>
                <w:rFonts w:ascii="Times New Roman" w:hAnsi="Times New Roman"/>
                <w:bCs/>
                <w:color w:val="000000"/>
                <w:lang w:eastAsia="es-DO"/>
              </w:rPr>
              <w:t>63.7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8CB85B9" w14:textId="77777777" w:rsidR="00A57704" w:rsidRPr="00A37D31" w:rsidRDefault="00A57704" w:rsidP="00A57704">
            <w:pPr>
              <w:spacing w:after="0"/>
              <w:jc w:val="center"/>
              <w:rPr>
                <w:rFonts w:ascii="Times New Roman" w:hAnsi="Times New Roman"/>
                <w:bCs/>
                <w:color w:val="000000"/>
                <w:lang w:eastAsia="es-DO"/>
              </w:rPr>
            </w:pPr>
            <w:r w:rsidRPr="00A37D31">
              <w:rPr>
                <w:rFonts w:ascii="Times New Roman" w:hAnsi="Times New Roman"/>
                <w:bCs/>
                <w:color w:val="000000"/>
                <w:lang w:eastAsia="es-DO"/>
              </w:rPr>
              <w:t>48.1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2D5EB50" w14:textId="77777777" w:rsidR="00A57704" w:rsidRPr="00A37D31" w:rsidRDefault="00A57704" w:rsidP="00A57704">
            <w:pPr>
              <w:spacing w:after="0"/>
              <w:jc w:val="center"/>
              <w:rPr>
                <w:rFonts w:ascii="Times New Roman" w:hAnsi="Times New Roman"/>
                <w:bCs/>
                <w:color w:val="000000"/>
                <w:lang w:eastAsia="es-DO"/>
              </w:rPr>
            </w:pPr>
            <w:r w:rsidRPr="00A37D31">
              <w:rPr>
                <w:rFonts w:ascii="Times New Roman" w:hAnsi="Times New Roman"/>
                <w:bCs/>
                <w:color w:val="000000"/>
                <w:lang w:eastAsia="es-DO"/>
              </w:rPr>
              <w:t>71.3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3B1457D" w14:textId="77777777" w:rsidR="00A57704" w:rsidRPr="00A37D31" w:rsidRDefault="00A57704" w:rsidP="00A57704">
            <w:pPr>
              <w:spacing w:after="0"/>
              <w:jc w:val="center"/>
              <w:rPr>
                <w:rFonts w:ascii="Times New Roman" w:hAnsi="Times New Roman"/>
                <w:bCs/>
                <w:color w:val="000000"/>
                <w:lang w:eastAsia="es-DO"/>
              </w:rPr>
            </w:pPr>
            <w:r w:rsidRPr="00A37D31">
              <w:rPr>
                <w:rFonts w:ascii="Times New Roman" w:hAnsi="Times New Roman"/>
                <w:bCs/>
                <w:color w:val="000000"/>
                <w:lang w:eastAsia="es-DO"/>
              </w:rPr>
              <w:t>85.3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2C395B2" w14:textId="77777777" w:rsidR="00A57704" w:rsidRPr="00A37D31" w:rsidRDefault="00A57704" w:rsidP="00A57704">
            <w:pPr>
              <w:spacing w:after="0"/>
              <w:jc w:val="center"/>
              <w:rPr>
                <w:rFonts w:ascii="Times New Roman" w:hAnsi="Times New Roman"/>
                <w:bCs/>
                <w:color w:val="000000"/>
                <w:lang w:eastAsia="es-DO"/>
              </w:rPr>
            </w:pPr>
            <w:r w:rsidRPr="00A37D31">
              <w:rPr>
                <w:rFonts w:ascii="Times New Roman" w:hAnsi="Times New Roman"/>
                <w:bCs/>
                <w:color w:val="000000"/>
                <w:lang w:eastAsia="es-DO"/>
              </w:rPr>
              <w:t>112.8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4527381" w14:textId="77777777" w:rsidR="00A57704" w:rsidRPr="00A37D31" w:rsidRDefault="00A57704" w:rsidP="00A57704">
            <w:pPr>
              <w:spacing w:after="0"/>
              <w:jc w:val="center"/>
              <w:rPr>
                <w:rFonts w:ascii="Times New Roman" w:hAnsi="Times New Roman"/>
                <w:bCs/>
                <w:color w:val="000000"/>
                <w:lang w:eastAsia="es-DO"/>
              </w:rPr>
            </w:pPr>
            <w:r w:rsidRPr="00A37D31">
              <w:rPr>
                <w:rFonts w:ascii="Times New Roman" w:hAnsi="Times New Roman"/>
                <w:bCs/>
                <w:color w:val="000000"/>
                <w:lang w:eastAsia="es-DO"/>
              </w:rPr>
              <w:t>94.4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A25EB4B" w14:textId="77777777" w:rsidR="00A57704" w:rsidRPr="00A37D31" w:rsidRDefault="00A57704" w:rsidP="00A57704">
            <w:pPr>
              <w:spacing w:after="0"/>
              <w:jc w:val="center"/>
              <w:rPr>
                <w:rFonts w:ascii="Times New Roman" w:hAnsi="Times New Roman"/>
                <w:bCs/>
                <w:color w:val="000000"/>
                <w:lang w:eastAsia="es-DO"/>
              </w:rPr>
            </w:pPr>
            <w:r w:rsidRPr="00A37D31">
              <w:rPr>
                <w:rFonts w:ascii="Times New Roman" w:hAnsi="Times New Roman"/>
                <w:bCs/>
                <w:color w:val="000000"/>
                <w:lang w:eastAsia="es-DO"/>
              </w:rPr>
              <w:t>68.2</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6BC0550A" w14:textId="77777777" w:rsidR="00A57704" w:rsidRPr="00A37D31" w:rsidRDefault="00A57704" w:rsidP="00A57704">
            <w:pPr>
              <w:spacing w:after="0"/>
              <w:jc w:val="center"/>
              <w:rPr>
                <w:rFonts w:ascii="Times New Roman" w:hAnsi="Times New Roman"/>
                <w:bCs/>
                <w:lang w:eastAsia="es-DO"/>
              </w:rPr>
            </w:pPr>
            <w:r w:rsidRPr="00A37D31">
              <w:rPr>
                <w:rFonts w:ascii="Times New Roman" w:hAnsi="Times New Roman"/>
                <w:bCs/>
                <w:lang w:eastAsia="es-DO"/>
              </w:rPr>
              <w:t>946.3</w:t>
            </w:r>
          </w:p>
        </w:tc>
      </w:tr>
      <w:tr w:rsidR="00A57704" w:rsidRPr="00A37D31" w14:paraId="004D4EAE"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D1871" w14:textId="77777777" w:rsidR="00A57704" w:rsidRPr="00A37D31" w:rsidRDefault="00A57704" w:rsidP="00A57704">
            <w:pPr>
              <w:spacing w:after="0"/>
              <w:rPr>
                <w:rFonts w:ascii="Times New Roman" w:hAnsi="Times New Roman"/>
                <w:bCs/>
                <w:color w:val="000000"/>
                <w:lang w:eastAsia="es-DO"/>
              </w:rPr>
            </w:pPr>
            <w:r w:rsidRPr="00A37D31">
              <w:rPr>
                <w:rFonts w:ascii="Times New Roman" w:hAnsi="Times New Roman"/>
                <w:bCs/>
                <w:color w:val="000000"/>
                <w:lang w:eastAsia="es-DO"/>
              </w:rPr>
              <w:t xml:space="preserve">Precipitación </w:t>
            </w:r>
            <w:r>
              <w:rPr>
                <w:rFonts w:ascii="Times New Roman" w:hAnsi="Times New Roman"/>
                <w:bCs/>
                <w:color w:val="00000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ADF707A"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48.0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8EAF8D2"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31.7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9587DE9"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131.7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2E32384"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55.6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ED670EC"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43.3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3B6CBD9"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36.2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6B733ED"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50.6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D4FDABF"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41.2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B87AE72"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239.9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F3C3C2D"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38.2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4DD98B6"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61.3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4385C75"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013F9BEC" w14:textId="77777777" w:rsidR="00A57704" w:rsidRPr="00A37D31" w:rsidRDefault="00A57704" w:rsidP="00A57704">
            <w:pPr>
              <w:spacing w:after="0"/>
              <w:jc w:val="center"/>
              <w:rPr>
                <w:rFonts w:ascii="Times New Roman" w:hAnsi="Times New Roman"/>
                <w:bCs/>
                <w:lang w:eastAsia="es-DO"/>
              </w:rPr>
            </w:pPr>
            <w:r>
              <w:rPr>
                <w:rFonts w:ascii="Times New Roman" w:hAnsi="Times New Roman"/>
                <w:bCs/>
                <w:lang w:eastAsia="es-DO"/>
              </w:rPr>
              <w:t>777.7</w:t>
            </w:r>
          </w:p>
        </w:tc>
      </w:tr>
      <w:tr w:rsidR="00A57704" w:rsidRPr="00A37D31" w14:paraId="27675A0F"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0278E" w14:textId="77777777" w:rsidR="00A57704" w:rsidRPr="00A37D31" w:rsidRDefault="00A57704" w:rsidP="00A57704">
            <w:pPr>
              <w:spacing w:after="0"/>
              <w:rPr>
                <w:rFonts w:ascii="Times New Roman" w:hAnsi="Times New Roman"/>
                <w:bCs/>
                <w:color w:val="000000"/>
                <w:lang w:eastAsia="es-DO"/>
              </w:rPr>
            </w:pPr>
            <w:r w:rsidRPr="00A37D31">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C8A365B"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-14.1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D54253D"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-25.1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0256961"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112.8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6488E5E"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-49.1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88AAE13"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-67.5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B44E78B"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-43.2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D7394C3"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61EF1CD"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-42.2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C2F3423"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181.2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9F02DC8"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-66.1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E19304A"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-35.1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75E7088" w14:textId="77777777" w:rsidR="00A57704" w:rsidRPr="00A37D31"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3D0FEF97" w14:textId="77777777" w:rsidR="00A57704" w:rsidRPr="00A37D31" w:rsidRDefault="00A57704" w:rsidP="00A57704">
            <w:pPr>
              <w:spacing w:after="0"/>
              <w:jc w:val="center"/>
              <w:rPr>
                <w:rFonts w:ascii="Times New Roman" w:hAnsi="Times New Roman"/>
                <w:bCs/>
                <w:lang w:eastAsia="es-DO"/>
              </w:rPr>
            </w:pPr>
            <w:r w:rsidRPr="00A37D31">
              <w:rPr>
                <w:rFonts w:ascii="Times New Roman" w:hAnsi="Times New Roman"/>
                <w:bCs/>
                <w:lang w:eastAsia="es-DO"/>
              </w:rPr>
              <w:t>-30.3</w:t>
            </w:r>
          </w:p>
        </w:tc>
      </w:tr>
    </w:tbl>
    <w:p w14:paraId="42F6C1FF" w14:textId="77777777" w:rsidR="00A57704" w:rsidRPr="00C83490" w:rsidRDefault="00A57704" w:rsidP="00A57704">
      <w:pPr>
        <w:spacing w:after="0"/>
        <w:rPr>
          <w:rFonts w:ascii="Times New Roman" w:hAnsi="Times New Roman"/>
        </w:rPr>
        <w:sectPr w:rsidR="00A57704" w:rsidRPr="00C83490" w:rsidSect="00A57704">
          <w:type w:val="continuous"/>
          <w:pgSz w:w="15840" w:h="12240" w:orient="landscape"/>
          <w:pgMar w:top="1276" w:right="851" w:bottom="851" w:left="1440" w:header="720" w:footer="720" w:gutter="0"/>
          <w:cols w:space="720"/>
          <w:docGrid w:linePitch="360"/>
        </w:sectPr>
      </w:pPr>
    </w:p>
    <w:p w14:paraId="0F7D3798" w14:textId="77777777" w:rsidR="00A57704" w:rsidRPr="00C83490" w:rsidRDefault="00A57704" w:rsidP="00A57704">
      <w:pPr>
        <w:spacing w:after="0"/>
        <w:rPr>
          <w:rFonts w:ascii="Times New Roman" w:hAnsi="Times New Roman"/>
        </w:rPr>
      </w:pPr>
    </w:p>
    <w:p w14:paraId="51CA8188" w14:textId="77777777" w:rsidR="00A57704" w:rsidRPr="00A37D31" w:rsidRDefault="00A57704" w:rsidP="001C6B1A">
      <w:pPr>
        <w:pStyle w:val="Prrafodelista"/>
        <w:numPr>
          <w:ilvl w:val="0"/>
          <w:numId w:val="28"/>
        </w:numPr>
        <w:spacing w:after="0"/>
        <w:ind w:left="567" w:hanging="567"/>
        <w:rPr>
          <w:rFonts w:ascii="Times New Roman" w:hAnsi="Times New Roman"/>
        </w:rPr>
      </w:pPr>
      <w:r w:rsidRPr="00A37D31">
        <w:rPr>
          <w:rFonts w:ascii="Times New Roman" w:hAnsi="Times New Roman"/>
        </w:rPr>
        <w:t xml:space="preserve">Comportamiento precipitaciones </w:t>
      </w:r>
      <w:r>
        <w:rPr>
          <w:rFonts w:ascii="Times New Roman" w:hAnsi="Times New Roman"/>
        </w:rPr>
        <w:t>Santiago/Licey</w:t>
      </w:r>
    </w:p>
    <w:p w14:paraId="60D82AE7" w14:textId="77777777" w:rsidR="00A57704" w:rsidRPr="009E58FD" w:rsidRDefault="00A57704" w:rsidP="00A57704">
      <w:pPr>
        <w:spacing w:after="0"/>
        <w:rPr>
          <w:rFonts w:ascii="Times New Roman" w:hAnsi="Times New Roman"/>
        </w:rPr>
      </w:pPr>
      <w:r>
        <w:rPr>
          <w:noProof/>
          <w:lang w:eastAsia="es-DO"/>
        </w:rPr>
        <w:drawing>
          <wp:inline distT="0" distB="0" distL="0" distR="0" wp14:anchorId="1545D516" wp14:editId="0018D88B">
            <wp:extent cx="3720662" cy="1476375"/>
            <wp:effectExtent l="0" t="0" r="0" b="0"/>
            <wp:docPr id="276" name="Gráfico 276">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FFBF22D4-E0B7-46FF-B2DD-90575D103B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p w14:paraId="5FF2BA5B" w14:textId="77777777" w:rsidR="00A57704" w:rsidRPr="002D5B20" w:rsidRDefault="00A57704" w:rsidP="00A57704">
      <w:pPr>
        <w:spacing w:after="0"/>
        <w:rPr>
          <w:rFonts w:ascii="Times New Roman" w:hAnsi="Times New Roman"/>
          <w:sz w:val="4"/>
        </w:rPr>
      </w:pPr>
    </w:p>
    <w:p w14:paraId="7DE4181C" w14:textId="77777777" w:rsidR="00A57704" w:rsidRPr="002D5B20" w:rsidRDefault="00A57704" w:rsidP="00A57704">
      <w:pPr>
        <w:spacing w:after="0"/>
        <w:rPr>
          <w:rFonts w:ascii="Times New Roman" w:hAnsi="Times New Roman"/>
          <w:sz w:val="4"/>
        </w:rPr>
      </w:pPr>
    </w:p>
    <w:p w14:paraId="327DEF52" w14:textId="77777777" w:rsidR="00A57704" w:rsidRPr="002D5B20" w:rsidRDefault="00A57704" w:rsidP="00A57704">
      <w:pPr>
        <w:spacing w:after="0"/>
        <w:rPr>
          <w:rFonts w:ascii="Times New Roman" w:hAnsi="Times New Roman"/>
          <w:sz w:val="4"/>
        </w:rPr>
      </w:pPr>
    </w:p>
    <w:p w14:paraId="2452EE17" w14:textId="77777777" w:rsidR="00A57704" w:rsidRDefault="00A57704" w:rsidP="00A57704">
      <w:pPr>
        <w:spacing w:after="0"/>
        <w:rPr>
          <w:rFonts w:ascii="Times New Roman" w:hAnsi="Times New Roman"/>
        </w:rPr>
      </w:pPr>
    </w:p>
    <w:p w14:paraId="1C849EE8" w14:textId="77777777" w:rsidR="00A57704" w:rsidRPr="002D5B20" w:rsidRDefault="00A57704" w:rsidP="00A57704">
      <w:pPr>
        <w:spacing w:after="0"/>
        <w:rPr>
          <w:rFonts w:ascii="Times New Roman" w:hAnsi="Times New Roman"/>
        </w:rPr>
      </w:pPr>
    </w:p>
    <w:p w14:paraId="26D0E6C0" w14:textId="77777777" w:rsidR="00A57704" w:rsidRPr="002D5B20" w:rsidRDefault="00A57704" w:rsidP="001C6B1A">
      <w:pPr>
        <w:pStyle w:val="Prrafodelista"/>
        <w:numPr>
          <w:ilvl w:val="0"/>
          <w:numId w:val="28"/>
        </w:numPr>
        <w:spacing w:after="0" w:line="240" w:lineRule="auto"/>
        <w:ind w:left="0" w:firstLine="0"/>
        <w:rPr>
          <w:rFonts w:ascii="Times New Roman" w:hAnsi="Times New Roman"/>
        </w:rPr>
      </w:pPr>
      <w:r w:rsidRPr="002D5B20">
        <w:rPr>
          <w:rFonts w:ascii="Times New Roman" w:hAnsi="Times New Roman"/>
        </w:rPr>
        <w:t>Desviación precipitaciones (%)</w:t>
      </w:r>
      <w:r>
        <w:rPr>
          <w:noProof/>
          <w:lang w:eastAsia="es-DO"/>
        </w:rPr>
        <w:drawing>
          <wp:inline distT="0" distB="0" distL="0" distR="0" wp14:anchorId="7F86EE9D" wp14:editId="39875E16">
            <wp:extent cx="3833648" cy="1571625"/>
            <wp:effectExtent l="0" t="0" r="0" b="0"/>
            <wp:docPr id="277" name="Gráfico 277">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E49C0266-B234-4AA3-8E00-DA8D6F25C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14:paraId="37311DA1"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p>
    <w:tbl>
      <w:tblPr>
        <w:tblW w:w="12704" w:type="dxa"/>
        <w:tblInd w:w="-5" w:type="dxa"/>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A57704" w:rsidRPr="00860DCF" w14:paraId="1E9B0115"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00B050"/>
            <w:noWrap/>
            <w:hideMark/>
          </w:tcPr>
          <w:p w14:paraId="724A8712"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Moca</w:t>
            </w:r>
          </w:p>
        </w:tc>
        <w:tc>
          <w:tcPr>
            <w:tcW w:w="760" w:type="dxa"/>
            <w:tcBorders>
              <w:top w:val="single" w:sz="4" w:space="0" w:color="auto"/>
              <w:left w:val="nil"/>
              <w:bottom w:val="single" w:sz="4" w:space="0" w:color="auto"/>
              <w:right w:val="single" w:sz="4" w:space="0" w:color="auto"/>
            </w:tcBorders>
            <w:shd w:val="clear" w:color="auto" w:fill="00B050"/>
            <w:noWrap/>
            <w:hideMark/>
          </w:tcPr>
          <w:p w14:paraId="302CB8B9"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Ene</w:t>
            </w:r>
          </w:p>
        </w:tc>
        <w:tc>
          <w:tcPr>
            <w:tcW w:w="760" w:type="dxa"/>
            <w:tcBorders>
              <w:top w:val="single" w:sz="4" w:space="0" w:color="auto"/>
              <w:left w:val="nil"/>
              <w:bottom w:val="single" w:sz="4" w:space="0" w:color="auto"/>
              <w:right w:val="single" w:sz="4" w:space="0" w:color="auto"/>
            </w:tcBorders>
            <w:shd w:val="clear" w:color="auto" w:fill="00B050"/>
            <w:noWrap/>
            <w:hideMark/>
          </w:tcPr>
          <w:p w14:paraId="3EB75C5C"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Feb</w:t>
            </w:r>
          </w:p>
        </w:tc>
        <w:tc>
          <w:tcPr>
            <w:tcW w:w="720" w:type="dxa"/>
            <w:tcBorders>
              <w:top w:val="single" w:sz="4" w:space="0" w:color="auto"/>
              <w:left w:val="nil"/>
              <w:bottom w:val="single" w:sz="4" w:space="0" w:color="auto"/>
              <w:right w:val="single" w:sz="4" w:space="0" w:color="auto"/>
            </w:tcBorders>
            <w:shd w:val="clear" w:color="auto" w:fill="00B050"/>
            <w:noWrap/>
            <w:hideMark/>
          </w:tcPr>
          <w:p w14:paraId="1B5F1662"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Mar</w:t>
            </w:r>
          </w:p>
        </w:tc>
        <w:tc>
          <w:tcPr>
            <w:tcW w:w="820" w:type="dxa"/>
            <w:tcBorders>
              <w:top w:val="single" w:sz="4" w:space="0" w:color="auto"/>
              <w:left w:val="nil"/>
              <w:bottom w:val="single" w:sz="4" w:space="0" w:color="auto"/>
              <w:right w:val="single" w:sz="4" w:space="0" w:color="auto"/>
            </w:tcBorders>
            <w:shd w:val="clear" w:color="auto" w:fill="00B050"/>
            <w:noWrap/>
            <w:hideMark/>
          </w:tcPr>
          <w:p w14:paraId="29EA62BA"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Abr</w:t>
            </w:r>
          </w:p>
        </w:tc>
        <w:tc>
          <w:tcPr>
            <w:tcW w:w="820" w:type="dxa"/>
            <w:tcBorders>
              <w:top w:val="single" w:sz="4" w:space="0" w:color="auto"/>
              <w:left w:val="nil"/>
              <w:bottom w:val="single" w:sz="4" w:space="0" w:color="auto"/>
              <w:right w:val="single" w:sz="4" w:space="0" w:color="auto"/>
            </w:tcBorders>
            <w:shd w:val="clear" w:color="auto" w:fill="00B050"/>
            <w:noWrap/>
            <w:hideMark/>
          </w:tcPr>
          <w:p w14:paraId="1FDA4B18"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May</w:t>
            </w:r>
          </w:p>
        </w:tc>
        <w:tc>
          <w:tcPr>
            <w:tcW w:w="820" w:type="dxa"/>
            <w:tcBorders>
              <w:top w:val="single" w:sz="4" w:space="0" w:color="auto"/>
              <w:left w:val="nil"/>
              <w:bottom w:val="single" w:sz="4" w:space="0" w:color="auto"/>
              <w:right w:val="single" w:sz="4" w:space="0" w:color="auto"/>
            </w:tcBorders>
            <w:shd w:val="clear" w:color="auto" w:fill="00B050"/>
            <w:noWrap/>
            <w:hideMark/>
          </w:tcPr>
          <w:p w14:paraId="147FA32D"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Jun</w:t>
            </w:r>
          </w:p>
        </w:tc>
        <w:tc>
          <w:tcPr>
            <w:tcW w:w="760" w:type="dxa"/>
            <w:tcBorders>
              <w:top w:val="single" w:sz="4" w:space="0" w:color="auto"/>
              <w:left w:val="nil"/>
              <w:bottom w:val="single" w:sz="4" w:space="0" w:color="auto"/>
              <w:right w:val="single" w:sz="4" w:space="0" w:color="auto"/>
            </w:tcBorders>
            <w:shd w:val="clear" w:color="auto" w:fill="00B050"/>
            <w:noWrap/>
            <w:hideMark/>
          </w:tcPr>
          <w:p w14:paraId="7FA3A573"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Jul</w:t>
            </w:r>
          </w:p>
        </w:tc>
        <w:tc>
          <w:tcPr>
            <w:tcW w:w="820" w:type="dxa"/>
            <w:tcBorders>
              <w:top w:val="single" w:sz="4" w:space="0" w:color="auto"/>
              <w:left w:val="nil"/>
              <w:bottom w:val="single" w:sz="4" w:space="0" w:color="auto"/>
              <w:right w:val="single" w:sz="4" w:space="0" w:color="auto"/>
            </w:tcBorders>
            <w:shd w:val="clear" w:color="auto" w:fill="00B050"/>
            <w:noWrap/>
            <w:hideMark/>
          </w:tcPr>
          <w:p w14:paraId="440F1E25"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Ago</w:t>
            </w:r>
          </w:p>
        </w:tc>
        <w:tc>
          <w:tcPr>
            <w:tcW w:w="820" w:type="dxa"/>
            <w:tcBorders>
              <w:top w:val="single" w:sz="4" w:space="0" w:color="auto"/>
              <w:left w:val="nil"/>
              <w:bottom w:val="single" w:sz="4" w:space="0" w:color="auto"/>
              <w:right w:val="single" w:sz="4" w:space="0" w:color="auto"/>
            </w:tcBorders>
            <w:shd w:val="clear" w:color="auto" w:fill="00B050"/>
            <w:noWrap/>
            <w:hideMark/>
          </w:tcPr>
          <w:p w14:paraId="1304448A"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Sep</w:t>
            </w:r>
          </w:p>
        </w:tc>
        <w:tc>
          <w:tcPr>
            <w:tcW w:w="820" w:type="dxa"/>
            <w:tcBorders>
              <w:top w:val="single" w:sz="4" w:space="0" w:color="auto"/>
              <w:left w:val="nil"/>
              <w:bottom w:val="single" w:sz="4" w:space="0" w:color="auto"/>
              <w:right w:val="single" w:sz="4" w:space="0" w:color="auto"/>
            </w:tcBorders>
            <w:shd w:val="clear" w:color="auto" w:fill="00B050"/>
            <w:noWrap/>
            <w:hideMark/>
          </w:tcPr>
          <w:p w14:paraId="25C62678"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Oct</w:t>
            </w:r>
          </w:p>
        </w:tc>
        <w:tc>
          <w:tcPr>
            <w:tcW w:w="760" w:type="dxa"/>
            <w:tcBorders>
              <w:top w:val="single" w:sz="4" w:space="0" w:color="auto"/>
              <w:left w:val="nil"/>
              <w:bottom w:val="single" w:sz="4" w:space="0" w:color="auto"/>
              <w:right w:val="single" w:sz="4" w:space="0" w:color="auto"/>
            </w:tcBorders>
            <w:shd w:val="clear" w:color="auto" w:fill="00B050"/>
            <w:noWrap/>
            <w:hideMark/>
          </w:tcPr>
          <w:p w14:paraId="3DBE963F"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Nov</w:t>
            </w:r>
          </w:p>
        </w:tc>
        <w:tc>
          <w:tcPr>
            <w:tcW w:w="720" w:type="dxa"/>
            <w:tcBorders>
              <w:top w:val="single" w:sz="4" w:space="0" w:color="auto"/>
              <w:left w:val="nil"/>
              <w:bottom w:val="single" w:sz="4" w:space="0" w:color="auto"/>
              <w:right w:val="single" w:sz="4" w:space="0" w:color="auto"/>
            </w:tcBorders>
            <w:shd w:val="clear" w:color="auto" w:fill="00B050"/>
            <w:noWrap/>
            <w:hideMark/>
          </w:tcPr>
          <w:p w14:paraId="5396C1C2"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Dic</w:t>
            </w:r>
          </w:p>
        </w:tc>
        <w:tc>
          <w:tcPr>
            <w:tcW w:w="1100" w:type="dxa"/>
            <w:tcBorders>
              <w:top w:val="single" w:sz="4" w:space="0" w:color="auto"/>
              <w:left w:val="nil"/>
              <w:bottom w:val="single" w:sz="4" w:space="0" w:color="auto"/>
              <w:right w:val="single" w:sz="4" w:space="0" w:color="auto"/>
            </w:tcBorders>
            <w:shd w:val="clear" w:color="auto" w:fill="00B050"/>
            <w:noWrap/>
            <w:hideMark/>
          </w:tcPr>
          <w:p w14:paraId="59940545"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Año</w:t>
            </w:r>
          </w:p>
        </w:tc>
      </w:tr>
      <w:tr w:rsidR="00A57704" w:rsidRPr="00860DCF" w14:paraId="5E9FF1A0"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3B855460" w14:textId="77777777" w:rsidR="00A57704" w:rsidRPr="00860DCF" w:rsidRDefault="00A57704" w:rsidP="00A57704">
            <w:pPr>
              <w:spacing w:after="0"/>
              <w:rPr>
                <w:rFonts w:ascii="Times New Roman" w:hAnsi="Times New Roman"/>
              </w:rPr>
            </w:pPr>
            <w:r w:rsidRPr="00860DCF">
              <w:rPr>
                <w:rFonts w:ascii="Times New Roman" w:hAnsi="Times New Roman"/>
              </w:rPr>
              <w:t>Normal</w:t>
            </w:r>
          </w:p>
        </w:tc>
        <w:tc>
          <w:tcPr>
            <w:tcW w:w="760" w:type="dxa"/>
            <w:tcBorders>
              <w:top w:val="single" w:sz="4" w:space="0" w:color="auto"/>
              <w:left w:val="nil"/>
              <w:bottom w:val="single" w:sz="4" w:space="0" w:color="auto"/>
              <w:right w:val="single" w:sz="4" w:space="0" w:color="auto"/>
            </w:tcBorders>
            <w:shd w:val="clear" w:color="auto" w:fill="auto"/>
            <w:noWrap/>
            <w:hideMark/>
          </w:tcPr>
          <w:p w14:paraId="0502C73D" w14:textId="77777777" w:rsidR="00A57704" w:rsidRPr="00860DCF" w:rsidRDefault="00A57704" w:rsidP="00A57704">
            <w:pPr>
              <w:spacing w:after="0"/>
              <w:jc w:val="center"/>
              <w:rPr>
                <w:rFonts w:ascii="Times New Roman" w:hAnsi="Times New Roman"/>
              </w:rPr>
            </w:pPr>
            <w:r w:rsidRPr="00860DCF">
              <w:rPr>
                <w:rFonts w:ascii="Times New Roman" w:hAnsi="Times New Roman"/>
              </w:rPr>
              <w:t>72.5</w:t>
            </w:r>
          </w:p>
        </w:tc>
        <w:tc>
          <w:tcPr>
            <w:tcW w:w="760" w:type="dxa"/>
            <w:tcBorders>
              <w:top w:val="single" w:sz="4" w:space="0" w:color="auto"/>
              <w:left w:val="nil"/>
              <w:bottom w:val="single" w:sz="4" w:space="0" w:color="auto"/>
              <w:right w:val="single" w:sz="4" w:space="0" w:color="auto"/>
            </w:tcBorders>
            <w:shd w:val="clear" w:color="auto" w:fill="auto"/>
            <w:noWrap/>
            <w:hideMark/>
          </w:tcPr>
          <w:p w14:paraId="56A212E6" w14:textId="77777777" w:rsidR="00A57704" w:rsidRPr="00860DCF" w:rsidRDefault="00A57704" w:rsidP="00A57704">
            <w:pPr>
              <w:spacing w:after="0"/>
              <w:jc w:val="center"/>
              <w:rPr>
                <w:rFonts w:ascii="Times New Roman" w:hAnsi="Times New Roman"/>
              </w:rPr>
            </w:pPr>
            <w:r w:rsidRPr="00860DCF">
              <w:rPr>
                <w:rFonts w:ascii="Times New Roman" w:hAnsi="Times New Roman"/>
              </w:rPr>
              <w:t>61.7</w:t>
            </w:r>
          </w:p>
        </w:tc>
        <w:tc>
          <w:tcPr>
            <w:tcW w:w="720" w:type="dxa"/>
            <w:tcBorders>
              <w:top w:val="single" w:sz="4" w:space="0" w:color="auto"/>
              <w:left w:val="nil"/>
              <w:bottom w:val="single" w:sz="4" w:space="0" w:color="auto"/>
              <w:right w:val="single" w:sz="4" w:space="0" w:color="auto"/>
            </w:tcBorders>
            <w:shd w:val="clear" w:color="auto" w:fill="auto"/>
            <w:noWrap/>
            <w:hideMark/>
          </w:tcPr>
          <w:p w14:paraId="22BBF40C" w14:textId="77777777" w:rsidR="00A57704" w:rsidRPr="00860DCF" w:rsidRDefault="00A57704" w:rsidP="00A57704">
            <w:pPr>
              <w:spacing w:after="0"/>
              <w:jc w:val="center"/>
              <w:rPr>
                <w:rFonts w:ascii="Times New Roman" w:hAnsi="Times New Roman"/>
              </w:rPr>
            </w:pPr>
            <w:r w:rsidRPr="00860DCF">
              <w:rPr>
                <w:rFonts w:ascii="Times New Roman" w:hAnsi="Times New Roman"/>
              </w:rPr>
              <w:t>75.7</w:t>
            </w:r>
          </w:p>
        </w:tc>
        <w:tc>
          <w:tcPr>
            <w:tcW w:w="820" w:type="dxa"/>
            <w:tcBorders>
              <w:top w:val="single" w:sz="4" w:space="0" w:color="auto"/>
              <w:left w:val="nil"/>
              <w:bottom w:val="single" w:sz="4" w:space="0" w:color="auto"/>
              <w:right w:val="single" w:sz="4" w:space="0" w:color="auto"/>
            </w:tcBorders>
            <w:shd w:val="clear" w:color="auto" w:fill="auto"/>
            <w:noWrap/>
            <w:hideMark/>
          </w:tcPr>
          <w:p w14:paraId="1F8E38D1" w14:textId="77777777" w:rsidR="00A57704" w:rsidRPr="00860DCF" w:rsidRDefault="00A57704" w:rsidP="00A57704">
            <w:pPr>
              <w:spacing w:after="0"/>
              <w:jc w:val="center"/>
              <w:rPr>
                <w:rFonts w:ascii="Times New Roman" w:hAnsi="Times New Roman"/>
              </w:rPr>
            </w:pPr>
            <w:r w:rsidRPr="00860DCF">
              <w:rPr>
                <w:rFonts w:ascii="Times New Roman" w:hAnsi="Times New Roman"/>
              </w:rPr>
              <w:t>105.1</w:t>
            </w:r>
          </w:p>
        </w:tc>
        <w:tc>
          <w:tcPr>
            <w:tcW w:w="820" w:type="dxa"/>
            <w:tcBorders>
              <w:top w:val="single" w:sz="4" w:space="0" w:color="auto"/>
              <w:left w:val="nil"/>
              <w:bottom w:val="single" w:sz="4" w:space="0" w:color="auto"/>
              <w:right w:val="single" w:sz="4" w:space="0" w:color="auto"/>
            </w:tcBorders>
            <w:shd w:val="clear" w:color="auto" w:fill="auto"/>
            <w:noWrap/>
            <w:hideMark/>
          </w:tcPr>
          <w:p w14:paraId="2E267634" w14:textId="77777777" w:rsidR="00A57704" w:rsidRPr="00860DCF" w:rsidRDefault="00A57704" w:rsidP="00A57704">
            <w:pPr>
              <w:spacing w:after="0"/>
              <w:jc w:val="center"/>
              <w:rPr>
                <w:rFonts w:ascii="Times New Roman" w:hAnsi="Times New Roman"/>
              </w:rPr>
            </w:pPr>
            <w:r w:rsidRPr="00860DCF">
              <w:rPr>
                <w:rFonts w:ascii="Times New Roman" w:hAnsi="Times New Roman"/>
              </w:rPr>
              <w:t>148.9</w:t>
            </w:r>
          </w:p>
        </w:tc>
        <w:tc>
          <w:tcPr>
            <w:tcW w:w="820" w:type="dxa"/>
            <w:tcBorders>
              <w:top w:val="single" w:sz="4" w:space="0" w:color="auto"/>
              <w:left w:val="nil"/>
              <w:bottom w:val="single" w:sz="4" w:space="0" w:color="auto"/>
              <w:right w:val="single" w:sz="4" w:space="0" w:color="auto"/>
            </w:tcBorders>
            <w:shd w:val="clear" w:color="auto" w:fill="auto"/>
            <w:noWrap/>
            <w:hideMark/>
          </w:tcPr>
          <w:p w14:paraId="14917F49" w14:textId="77777777" w:rsidR="00A57704" w:rsidRPr="00860DCF" w:rsidRDefault="00A57704" w:rsidP="00A57704">
            <w:pPr>
              <w:spacing w:after="0"/>
              <w:jc w:val="center"/>
              <w:rPr>
                <w:rFonts w:ascii="Times New Roman" w:hAnsi="Times New Roman"/>
              </w:rPr>
            </w:pPr>
            <w:r w:rsidRPr="00860DCF">
              <w:rPr>
                <w:rFonts w:ascii="Times New Roman" w:hAnsi="Times New Roman"/>
              </w:rPr>
              <w:t>69.0</w:t>
            </w:r>
          </w:p>
        </w:tc>
        <w:tc>
          <w:tcPr>
            <w:tcW w:w="760" w:type="dxa"/>
            <w:tcBorders>
              <w:top w:val="single" w:sz="4" w:space="0" w:color="auto"/>
              <w:left w:val="nil"/>
              <w:bottom w:val="single" w:sz="4" w:space="0" w:color="auto"/>
              <w:right w:val="single" w:sz="4" w:space="0" w:color="auto"/>
            </w:tcBorders>
            <w:shd w:val="clear" w:color="auto" w:fill="auto"/>
            <w:noWrap/>
            <w:hideMark/>
          </w:tcPr>
          <w:p w14:paraId="2CCCD78E" w14:textId="77777777" w:rsidR="00A57704" w:rsidRPr="00860DCF" w:rsidRDefault="00A57704" w:rsidP="00A57704">
            <w:pPr>
              <w:spacing w:after="0"/>
              <w:jc w:val="center"/>
              <w:rPr>
                <w:rFonts w:ascii="Times New Roman" w:hAnsi="Times New Roman"/>
              </w:rPr>
            </w:pPr>
            <w:r w:rsidRPr="00860DCF">
              <w:rPr>
                <w:rFonts w:ascii="Times New Roman" w:hAnsi="Times New Roman"/>
              </w:rPr>
              <w:t>85.9</w:t>
            </w:r>
          </w:p>
        </w:tc>
        <w:tc>
          <w:tcPr>
            <w:tcW w:w="820" w:type="dxa"/>
            <w:tcBorders>
              <w:top w:val="single" w:sz="4" w:space="0" w:color="auto"/>
              <w:left w:val="nil"/>
              <w:bottom w:val="single" w:sz="4" w:space="0" w:color="auto"/>
              <w:right w:val="single" w:sz="4" w:space="0" w:color="auto"/>
            </w:tcBorders>
            <w:shd w:val="clear" w:color="auto" w:fill="auto"/>
            <w:noWrap/>
            <w:hideMark/>
          </w:tcPr>
          <w:p w14:paraId="497639BA" w14:textId="77777777" w:rsidR="00A57704" w:rsidRPr="00860DCF" w:rsidRDefault="00A57704" w:rsidP="00A57704">
            <w:pPr>
              <w:spacing w:after="0"/>
              <w:jc w:val="center"/>
              <w:rPr>
                <w:rFonts w:ascii="Times New Roman" w:hAnsi="Times New Roman"/>
              </w:rPr>
            </w:pPr>
            <w:r w:rsidRPr="00860DCF">
              <w:rPr>
                <w:rFonts w:ascii="Times New Roman" w:hAnsi="Times New Roman"/>
              </w:rPr>
              <w:t>85.8</w:t>
            </w:r>
          </w:p>
        </w:tc>
        <w:tc>
          <w:tcPr>
            <w:tcW w:w="820" w:type="dxa"/>
            <w:tcBorders>
              <w:top w:val="single" w:sz="4" w:space="0" w:color="auto"/>
              <w:left w:val="nil"/>
              <w:bottom w:val="single" w:sz="4" w:space="0" w:color="auto"/>
              <w:right w:val="single" w:sz="4" w:space="0" w:color="auto"/>
            </w:tcBorders>
            <w:shd w:val="clear" w:color="auto" w:fill="auto"/>
            <w:noWrap/>
            <w:hideMark/>
          </w:tcPr>
          <w:p w14:paraId="579177ED" w14:textId="77777777" w:rsidR="00A57704" w:rsidRPr="00860DCF" w:rsidRDefault="00A57704" w:rsidP="00A57704">
            <w:pPr>
              <w:spacing w:after="0"/>
              <w:jc w:val="center"/>
              <w:rPr>
                <w:rFonts w:ascii="Times New Roman" w:hAnsi="Times New Roman"/>
              </w:rPr>
            </w:pPr>
            <w:r w:rsidRPr="00860DCF">
              <w:rPr>
                <w:rFonts w:ascii="Times New Roman" w:hAnsi="Times New Roman"/>
              </w:rPr>
              <w:t>100.7</w:t>
            </w:r>
          </w:p>
        </w:tc>
        <w:tc>
          <w:tcPr>
            <w:tcW w:w="820" w:type="dxa"/>
            <w:tcBorders>
              <w:top w:val="single" w:sz="4" w:space="0" w:color="auto"/>
              <w:left w:val="nil"/>
              <w:bottom w:val="single" w:sz="4" w:space="0" w:color="auto"/>
              <w:right w:val="single" w:sz="4" w:space="0" w:color="auto"/>
            </w:tcBorders>
            <w:shd w:val="clear" w:color="auto" w:fill="auto"/>
            <w:noWrap/>
            <w:hideMark/>
          </w:tcPr>
          <w:p w14:paraId="02B29365" w14:textId="77777777" w:rsidR="00A57704" w:rsidRPr="00860DCF" w:rsidRDefault="00A57704" w:rsidP="00A57704">
            <w:pPr>
              <w:spacing w:after="0"/>
              <w:jc w:val="center"/>
              <w:rPr>
                <w:rFonts w:ascii="Times New Roman" w:hAnsi="Times New Roman"/>
              </w:rPr>
            </w:pPr>
            <w:r w:rsidRPr="00860DCF">
              <w:rPr>
                <w:rFonts w:ascii="Times New Roman" w:hAnsi="Times New Roman"/>
              </w:rPr>
              <w:t>130.9</w:t>
            </w:r>
          </w:p>
        </w:tc>
        <w:tc>
          <w:tcPr>
            <w:tcW w:w="760" w:type="dxa"/>
            <w:tcBorders>
              <w:top w:val="single" w:sz="4" w:space="0" w:color="auto"/>
              <w:left w:val="nil"/>
              <w:bottom w:val="single" w:sz="4" w:space="0" w:color="auto"/>
              <w:right w:val="single" w:sz="4" w:space="0" w:color="auto"/>
            </w:tcBorders>
            <w:shd w:val="clear" w:color="auto" w:fill="auto"/>
            <w:noWrap/>
            <w:hideMark/>
          </w:tcPr>
          <w:p w14:paraId="17CD4A6F" w14:textId="77777777" w:rsidR="00A57704" w:rsidRPr="00860DCF" w:rsidRDefault="00A57704" w:rsidP="00A57704">
            <w:pPr>
              <w:spacing w:after="0"/>
              <w:jc w:val="center"/>
              <w:rPr>
                <w:rFonts w:ascii="Times New Roman" w:hAnsi="Times New Roman"/>
              </w:rPr>
            </w:pPr>
            <w:r w:rsidRPr="00860DCF">
              <w:rPr>
                <w:rFonts w:ascii="Times New Roman" w:hAnsi="Times New Roman"/>
              </w:rPr>
              <w:t>120.7</w:t>
            </w:r>
          </w:p>
        </w:tc>
        <w:tc>
          <w:tcPr>
            <w:tcW w:w="720" w:type="dxa"/>
            <w:tcBorders>
              <w:top w:val="single" w:sz="4" w:space="0" w:color="auto"/>
              <w:left w:val="nil"/>
              <w:bottom w:val="single" w:sz="4" w:space="0" w:color="auto"/>
              <w:right w:val="single" w:sz="4" w:space="0" w:color="auto"/>
            </w:tcBorders>
            <w:shd w:val="clear" w:color="auto" w:fill="auto"/>
            <w:noWrap/>
            <w:hideMark/>
          </w:tcPr>
          <w:p w14:paraId="39AD3568" w14:textId="77777777" w:rsidR="00A57704" w:rsidRPr="00860DCF" w:rsidRDefault="00A57704" w:rsidP="00A57704">
            <w:pPr>
              <w:spacing w:after="0"/>
              <w:jc w:val="center"/>
              <w:rPr>
                <w:rFonts w:ascii="Times New Roman" w:hAnsi="Times New Roman"/>
              </w:rPr>
            </w:pPr>
            <w:r w:rsidRPr="00860DCF">
              <w:rPr>
                <w:rFonts w:ascii="Times New Roman" w:hAnsi="Times New Roman"/>
              </w:rPr>
              <w:t>100.2</w:t>
            </w:r>
          </w:p>
        </w:tc>
        <w:tc>
          <w:tcPr>
            <w:tcW w:w="1100" w:type="dxa"/>
            <w:tcBorders>
              <w:top w:val="single" w:sz="4" w:space="0" w:color="auto"/>
              <w:left w:val="nil"/>
              <w:bottom w:val="single" w:sz="4" w:space="0" w:color="auto"/>
              <w:right w:val="single" w:sz="4" w:space="0" w:color="auto"/>
            </w:tcBorders>
            <w:shd w:val="clear" w:color="auto" w:fill="auto"/>
            <w:noWrap/>
            <w:hideMark/>
          </w:tcPr>
          <w:p w14:paraId="44E6A049" w14:textId="77777777" w:rsidR="00A57704" w:rsidRPr="00860DCF" w:rsidRDefault="00A57704" w:rsidP="00A57704">
            <w:pPr>
              <w:spacing w:after="0"/>
              <w:jc w:val="center"/>
              <w:rPr>
                <w:rFonts w:ascii="Times New Roman" w:hAnsi="Times New Roman"/>
              </w:rPr>
            </w:pPr>
            <w:r w:rsidRPr="00860DCF">
              <w:rPr>
                <w:rFonts w:ascii="Times New Roman" w:hAnsi="Times New Roman"/>
              </w:rPr>
              <w:t>1,157.1</w:t>
            </w:r>
          </w:p>
        </w:tc>
      </w:tr>
      <w:tr w:rsidR="00A57704" w:rsidRPr="00860DCF" w14:paraId="019BE56E"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3905708D" w14:textId="77777777" w:rsidR="00A57704" w:rsidRPr="00860DCF" w:rsidRDefault="00A57704" w:rsidP="00A57704">
            <w:pPr>
              <w:spacing w:after="0"/>
              <w:rPr>
                <w:rFonts w:ascii="Times New Roman" w:hAnsi="Times New Roman"/>
              </w:rPr>
            </w:pPr>
            <w:r w:rsidRPr="00860DCF">
              <w:rPr>
                <w:rFonts w:ascii="Times New Roman" w:hAnsi="Times New Roman"/>
              </w:rPr>
              <w:t xml:space="preserve">Precipitación </w:t>
            </w:r>
            <w:r>
              <w:rPr>
                <w:rFonts w:ascii="Times New Roman" w:hAnsi="Times New Roman"/>
              </w:rPr>
              <w:t>2019</w:t>
            </w:r>
          </w:p>
        </w:tc>
        <w:tc>
          <w:tcPr>
            <w:tcW w:w="760" w:type="dxa"/>
            <w:tcBorders>
              <w:top w:val="single" w:sz="4" w:space="0" w:color="auto"/>
              <w:left w:val="nil"/>
              <w:bottom w:val="single" w:sz="4" w:space="0" w:color="auto"/>
              <w:right w:val="single" w:sz="4" w:space="0" w:color="auto"/>
            </w:tcBorders>
            <w:shd w:val="clear" w:color="auto" w:fill="auto"/>
            <w:noWrap/>
            <w:hideMark/>
          </w:tcPr>
          <w:p w14:paraId="20BB9A81" w14:textId="77777777" w:rsidR="00A57704" w:rsidRPr="00860DCF" w:rsidRDefault="00A57704" w:rsidP="00A57704">
            <w:pPr>
              <w:spacing w:after="0"/>
              <w:jc w:val="center"/>
              <w:rPr>
                <w:rFonts w:ascii="Times New Roman" w:hAnsi="Times New Roman"/>
              </w:rPr>
            </w:pPr>
            <w:r>
              <w:rPr>
                <w:rFonts w:ascii="Times New Roman" w:hAnsi="Times New Roman"/>
              </w:rPr>
              <w:t>4.2</w:t>
            </w:r>
          </w:p>
        </w:tc>
        <w:tc>
          <w:tcPr>
            <w:tcW w:w="760" w:type="dxa"/>
            <w:tcBorders>
              <w:top w:val="single" w:sz="4" w:space="0" w:color="auto"/>
              <w:left w:val="nil"/>
              <w:bottom w:val="single" w:sz="4" w:space="0" w:color="auto"/>
              <w:right w:val="single" w:sz="4" w:space="0" w:color="auto"/>
            </w:tcBorders>
            <w:shd w:val="clear" w:color="auto" w:fill="auto"/>
            <w:noWrap/>
            <w:hideMark/>
          </w:tcPr>
          <w:p w14:paraId="58231310" w14:textId="77777777" w:rsidR="00A57704" w:rsidRPr="00860DCF" w:rsidRDefault="00A57704" w:rsidP="00A57704">
            <w:pPr>
              <w:spacing w:after="0"/>
              <w:jc w:val="center"/>
              <w:rPr>
                <w:rFonts w:ascii="Times New Roman" w:hAnsi="Times New Roman"/>
              </w:rPr>
            </w:pPr>
            <w:r>
              <w:rPr>
                <w:rFonts w:ascii="Times New Roman" w:hAnsi="Times New Roman"/>
              </w:rPr>
              <w:t>42.7</w:t>
            </w:r>
          </w:p>
        </w:tc>
        <w:tc>
          <w:tcPr>
            <w:tcW w:w="720" w:type="dxa"/>
            <w:tcBorders>
              <w:top w:val="single" w:sz="4" w:space="0" w:color="auto"/>
              <w:left w:val="nil"/>
              <w:bottom w:val="single" w:sz="4" w:space="0" w:color="auto"/>
              <w:right w:val="single" w:sz="4" w:space="0" w:color="auto"/>
            </w:tcBorders>
            <w:shd w:val="clear" w:color="auto" w:fill="auto"/>
            <w:noWrap/>
            <w:hideMark/>
          </w:tcPr>
          <w:p w14:paraId="549F4299" w14:textId="77777777" w:rsidR="00A57704" w:rsidRPr="00860DCF" w:rsidRDefault="00A57704" w:rsidP="00A57704">
            <w:pPr>
              <w:spacing w:after="0"/>
              <w:jc w:val="center"/>
              <w:rPr>
                <w:rFonts w:ascii="Times New Roman" w:hAnsi="Times New Roman"/>
              </w:rPr>
            </w:pPr>
            <w:r>
              <w:rPr>
                <w:rFonts w:ascii="Times New Roman" w:hAnsi="Times New Roman"/>
              </w:rPr>
              <w:t>89.5</w:t>
            </w:r>
          </w:p>
        </w:tc>
        <w:tc>
          <w:tcPr>
            <w:tcW w:w="820" w:type="dxa"/>
            <w:tcBorders>
              <w:top w:val="single" w:sz="4" w:space="0" w:color="auto"/>
              <w:left w:val="nil"/>
              <w:bottom w:val="single" w:sz="4" w:space="0" w:color="auto"/>
              <w:right w:val="single" w:sz="4" w:space="0" w:color="auto"/>
            </w:tcBorders>
            <w:shd w:val="clear" w:color="auto" w:fill="auto"/>
            <w:noWrap/>
            <w:hideMark/>
          </w:tcPr>
          <w:p w14:paraId="7CCAD619" w14:textId="77777777" w:rsidR="00A57704" w:rsidRPr="00860DCF" w:rsidRDefault="00A57704" w:rsidP="00A57704">
            <w:pPr>
              <w:spacing w:after="0"/>
              <w:jc w:val="center"/>
              <w:rPr>
                <w:rFonts w:ascii="Times New Roman" w:hAnsi="Times New Roman"/>
              </w:rPr>
            </w:pPr>
            <w:r>
              <w:rPr>
                <w:rFonts w:ascii="Times New Roman" w:hAnsi="Times New Roman"/>
              </w:rPr>
              <w:t>72.3</w:t>
            </w:r>
          </w:p>
        </w:tc>
        <w:tc>
          <w:tcPr>
            <w:tcW w:w="820" w:type="dxa"/>
            <w:tcBorders>
              <w:top w:val="single" w:sz="4" w:space="0" w:color="auto"/>
              <w:left w:val="nil"/>
              <w:bottom w:val="single" w:sz="4" w:space="0" w:color="auto"/>
              <w:right w:val="single" w:sz="4" w:space="0" w:color="auto"/>
            </w:tcBorders>
            <w:shd w:val="clear" w:color="auto" w:fill="auto"/>
            <w:noWrap/>
            <w:hideMark/>
          </w:tcPr>
          <w:p w14:paraId="0C847A37" w14:textId="77777777" w:rsidR="00A57704" w:rsidRPr="00860DCF" w:rsidRDefault="00A57704" w:rsidP="00A57704">
            <w:pPr>
              <w:spacing w:after="0"/>
              <w:jc w:val="center"/>
              <w:rPr>
                <w:rFonts w:ascii="Times New Roman" w:hAnsi="Times New Roman"/>
              </w:rPr>
            </w:pPr>
            <w:r>
              <w:rPr>
                <w:rFonts w:ascii="Times New Roman" w:hAnsi="Times New Roman"/>
              </w:rPr>
              <w:t>60.3</w:t>
            </w:r>
          </w:p>
        </w:tc>
        <w:tc>
          <w:tcPr>
            <w:tcW w:w="820" w:type="dxa"/>
            <w:tcBorders>
              <w:top w:val="single" w:sz="4" w:space="0" w:color="auto"/>
              <w:left w:val="nil"/>
              <w:bottom w:val="single" w:sz="4" w:space="0" w:color="auto"/>
              <w:right w:val="single" w:sz="4" w:space="0" w:color="auto"/>
            </w:tcBorders>
            <w:shd w:val="clear" w:color="auto" w:fill="auto"/>
            <w:noWrap/>
            <w:hideMark/>
          </w:tcPr>
          <w:p w14:paraId="515150A5" w14:textId="77777777" w:rsidR="00A57704" w:rsidRPr="00860DCF" w:rsidRDefault="00A57704" w:rsidP="00A57704">
            <w:pPr>
              <w:spacing w:after="0"/>
              <w:jc w:val="center"/>
              <w:rPr>
                <w:rFonts w:ascii="Times New Roman" w:hAnsi="Times New Roman"/>
              </w:rPr>
            </w:pPr>
            <w:r>
              <w:rPr>
                <w:rFonts w:ascii="Times New Roman" w:hAnsi="Times New Roman"/>
              </w:rPr>
              <w:t>0</w:t>
            </w:r>
          </w:p>
        </w:tc>
        <w:tc>
          <w:tcPr>
            <w:tcW w:w="760" w:type="dxa"/>
            <w:tcBorders>
              <w:top w:val="single" w:sz="4" w:space="0" w:color="auto"/>
              <w:left w:val="nil"/>
              <w:bottom w:val="single" w:sz="4" w:space="0" w:color="auto"/>
              <w:right w:val="single" w:sz="4" w:space="0" w:color="auto"/>
            </w:tcBorders>
            <w:shd w:val="clear" w:color="auto" w:fill="auto"/>
            <w:noWrap/>
            <w:hideMark/>
          </w:tcPr>
          <w:p w14:paraId="378F9A6A" w14:textId="77777777" w:rsidR="00A57704" w:rsidRPr="00860DCF" w:rsidRDefault="00A57704" w:rsidP="00A57704">
            <w:pPr>
              <w:spacing w:after="0"/>
              <w:jc w:val="center"/>
              <w:rPr>
                <w:rFonts w:ascii="Times New Roman" w:hAnsi="Times New Roman"/>
              </w:rPr>
            </w:pPr>
            <w:r>
              <w:rPr>
                <w:rFonts w:ascii="Times New Roman" w:hAnsi="Times New Roman"/>
              </w:rPr>
              <w:t>23.5</w:t>
            </w:r>
          </w:p>
        </w:tc>
        <w:tc>
          <w:tcPr>
            <w:tcW w:w="820" w:type="dxa"/>
            <w:tcBorders>
              <w:top w:val="single" w:sz="4" w:space="0" w:color="auto"/>
              <w:left w:val="nil"/>
              <w:bottom w:val="single" w:sz="4" w:space="0" w:color="auto"/>
              <w:right w:val="single" w:sz="4" w:space="0" w:color="auto"/>
            </w:tcBorders>
            <w:shd w:val="clear" w:color="auto" w:fill="auto"/>
            <w:noWrap/>
            <w:hideMark/>
          </w:tcPr>
          <w:p w14:paraId="1B23B17F" w14:textId="77777777" w:rsidR="00A57704" w:rsidRPr="00860DCF" w:rsidRDefault="00A57704" w:rsidP="00A57704">
            <w:pPr>
              <w:spacing w:after="0"/>
              <w:jc w:val="center"/>
              <w:rPr>
                <w:rFonts w:ascii="Times New Roman" w:hAnsi="Times New Roman"/>
              </w:rPr>
            </w:pPr>
            <w:r>
              <w:rPr>
                <w:rFonts w:ascii="Times New Roman" w:hAnsi="Times New Roman"/>
              </w:rPr>
              <w:t>10.5</w:t>
            </w:r>
          </w:p>
        </w:tc>
        <w:tc>
          <w:tcPr>
            <w:tcW w:w="820" w:type="dxa"/>
            <w:tcBorders>
              <w:top w:val="single" w:sz="4" w:space="0" w:color="auto"/>
              <w:left w:val="nil"/>
              <w:bottom w:val="single" w:sz="4" w:space="0" w:color="auto"/>
              <w:right w:val="single" w:sz="4" w:space="0" w:color="auto"/>
            </w:tcBorders>
            <w:shd w:val="clear" w:color="auto" w:fill="auto"/>
            <w:noWrap/>
            <w:hideMark/>
          </w:tcPr>
          <w:p w14:paraId="435D1893" w14:textId="77777777" w:rsidR="00A57704" w:rsidRPr="00860DCF" w:rsidRDefault="00A57704" w:rsidP="00A57704">
            <w:pPr>
              <w:spacing w:after="0"/>
              <w:jc w:val="center"/>
              <w:rPr>
                <w:rFonts w:ascii="Times New Roman" w:hAnsi="Times New Roman"/>
              </w:rPr>
            </w:pPr>
            <w:r>
              <w:rPr>
                <w:rFonts w:ascii="Times New Roman" w:hAnsi="Times New Roman"/>
              </w:rPr>
              <w:t>382.8</w:t>
            </w:r>
          </w:p>
        </w:tc>
        <w:tc>
          <w:tcPr>
            <w:tcW w:w="820" w:type="dxa"/>
            <w:tcBorders>
              <w:top w:val="single" w:sz="4" w:space="0" w:color="auto"/>
              <w:left w:val="nil"/>
              <w:bottom w:val="single" w:sz="4" w:space="0" w:color="auto"/>
              <w:right w:val="single" w:sz="4" w:space="0" w:color="auto"/>
            </w:tcBorders>
            <w:shd w:val="clear" w:color="auto" w:fill="auto"/>
            <w:noWrap/>
            <w:hideMark/>
          </w:tcPr>
          <w:p w14:paraId="65848529" w14:textId="77777777" w:rsidR="00A57704" w:rsidRPr="00860DCF" w:rsidRDefault="00A57704" w:rsidP="00A57704">
            <w:pPr>
              <w:spacing w:after="0"/>
              <w:jc w:val="center"/>
              <w:rPr>
                <w:rFonts w:ascii="Times New Roman" w:hAnsi="Times New Roman"/>
              </w:rPr>
            </w:pPr>
            <w:r>
              <w:rPr>
                <w:rFonts w:ascii="Times New Roman" w:hAnsi="Times New Roman"/>
              </w:rPr>
              <w:t>43.8</w:t>
            </w:r>
          </w:p>
        </w:tc>
        <w:tc>
          <w:tcPr>
            <w:tcW w:w="760" w:type="dxa"/>
            <w:tcBorders>
              <w:top w:val="single" w:sz="4" w:space="0" w:color="auto"/>
              <w:left w:val="nil"/>
              <w:bottom w:val="single" w:sz="4" w:space="0" w:color="auto"/>
              <w:right w:val="single" w:sz="4" w:space="0" w:color="auto"/>
            </w:tcBorders>
            <w:shd w:val="clear" w:color="auto" w:fill="auto"/>
            <w:noWrap/>
            <w:hideMark/>
          </w:tcPr>
          <w:p w14:paraId="27F553DB" w14:textId="77777777" w:rsidR="00A57704" w:rsidRPr="00860DCF" w:rsidRDefault="00A57704" w:rsidP="00A57704">
            <w:pPr>
              <w:spacing w:after="0"/>
              <w:jc w:val="center"/>
              <w:rPr>
                <w:rFonts w:ascii="Times New Roman" w:hAnsi="Times New Roman"/>
              </w:rPr>
            </w:pPr>
            <w:r>
              <w:rPr>
                <w:rFonts w:ascii="Times New Roman" w:hAnsi="Times New Roman"/>
              </w:rPr>
              <w:t>73.5</w:t>
            </w:r>
          </w:p>
        </w:tc>
        <w:tc>
          <w:tcPr>
            <w:tcW w:w="720" w:type="dxa"/>
            <w:tcBorders>
              <w:top w:val="single" w:sz="4" w:space="0" w:color="auto"/>
              <w:left w:val="nil"/>
              <w:bottom w:val="single" w:sz="4" w:space="0" w:color="auto"/>
              <w:right w:val="single" w:sz="4" w:space="0" w:color="auto"/>
            </w:tcBorders>
            <w:shd w:val="clear" w:color="auto" w:fill="auto"/>
            <w:noWrap/>
            <w:hideMark/>
          </w:tcPr>
          <w:p w14:paraId="099EC9DC" w14:textId="77777777" w:rsidR="00A57704" w:rsidRPr="00860DCF" w:rsidRDefault="00A57704" w:rsidP="00A57704">
            <w:pPr>
              <w:spacing w:after="0"/>
              <w:jc w:val="center"/>
              <w:rPr>
                <w:rFonts w:ascii="Times New Roman" w:hAnsi="Times New Roman"/>
              </w:rPr>
            </w:pPr>
            <w:r>
              <w:rPr>
                <w:rFonts w:ascii="Times New Roman" w:hAnsi="Times New Roman"/>
              </w:rPr>
              <w:t>0</w:t>
            </w:r>
          </w:p>
        </w:tc>
        <w:tc>
          <w:tcPr>
            <w:tcW w:w="1100" w:type="dxa"/>
            <w:tcBorders>
              <w:top w:val="single" w:sz="4" w:space="0" w:color="auto"/>
              <w:left w:val="nil"/>
              <w:bottom w:val="single" w:sz="4" w:space="0" w:color="auto"/>
              <w:right w:val="single" w:sz="4" w:space="0" w:color="auto"/>
            </w:tcBorders>
            <w:shd w:val="clear" w:color="auto" w:fill="auto"/>
            <w:noWrap/>
            <w:hideMark/>
          </w:tcPr>
          <w:p w14:paraId="2BB2B379" w14:textId="77777777" w:rsidR="00A57704" w:rsidRPr="00860DCF" w:rsidRDefault="00A57704" w:rsidP="00A57704">
            <w:pPr>
              <w:spacing w:after="0"/>
              <w:jc w:val="center"/>
              <w:rPr>
                <w:rFonts w:ascii="Times New Roman" w:hAnsi="Times New Roman"/>
              </w:rPr>
            </w:pPr>
            <w:r>
              <w:rPr>
                <w:rFonts w:ascii="Times New Roman" w:hAnsi="Times New Roman"/>
              </w:rPr>
              <w:t>803.1</w:t>
            </w:r>
          </w:p>
        </w:tc>
      </w:tr>
      <w:tr w:rsidR="00A57704" w:rsidRPr="00860DCF" w14:paraId="5C54E781"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54BD507A" w14:textId="77777777" w:rsidR="00A57704" w:rsidRPr="00860DCF" w:rsidRDefault="00A57704" w:rsidP="00A57704">
            <w:pPr>
              <w:spacing w:after="0"/>
              <w:rPr>
                <w:rFonts w:ascii="Times New Roman" w:hAnsi="Times New Roman"/>
              </w:rPr>
            </w:pPr>
            <w:r w:rsidRPr="00860DCF">
              <w:rPr>
                <w:rFonts w:ascii="Times New Roman" w:hAnsi="Times New Roman"/>
              </w:rPr>
              <w:t>D. Prec (%)</w:t>
            </w:r>
          </w:p>
        </w:tc>
        <w:tc>
          <w:tcPr>
            <w:tcW w:w="760" w:type="dxa"/>
            <w:tcBorders>
              <w:top w:val="single" w:sz="4" w:space="0" w:color="auto"/>
              <w:left w:val="nil"/>
              <w:bottom w:val="single" w:sz="4" w:space="0" w:color="auto"/>
              <w:right w:val="single" w:sz="4" w:space="0" w:color="auto"/>
            </w:tcBorders>
            <w:shd w:val="clear" w:color="auto" w:fill="auto"/>
            <w:noWrap/>
            <w:hideMark/>
          </w:tcPr>
          <w:p w14:paraId="7DC535E7" w14:textId="77777777" w:rsidR="00A57704" w:rsidRPr="00860DCF" w:rsidRDefault="00A57704" w:rsidP="00A57704">
            <w:pPr>
              <w:spacing w:after="0"/>
              <w:jc w:val="center"/>
              <w:rPr>
                <w:rFonts w:ascii="Times New Roman" w:hAnsi="Times New Roman"/>
              </w:rPr>
            </w:pPr>
            <w:r>
              <w:rPr>
                <w:rFonts w:ascii="Times New Roman" w:hAnsi="Times New Roman"/>
              </w:rPr>
              <w:t>-94.2</w:t>
            </w:r>
          </w:p>
        </w:tc>
        <w:tc>
          <w:tcPr>
            <w:tcW w:w="760" w:type="dxa"/>
            <w:tcBorders>
              <w:top w:val="single" w:sz="4" w:space="0" w:color="auto"/>
              <w:left w:val="nil"/>
              <w:bottom w:val="single" w:sz="4" w:space="0" w:color="auto"/>
              <w:right w:val="single" w:sz="4" w:space="0" w:color="auto"/>
            </w:tcBorders>
            <w:shd w:val="clear" w:color="auto" w:fill="auto"/>
            <w:noWrap/>
            <w:hideMark/>
          </w:tcPr>
          <w:p w14:paraId="11B1E591" w14:textId="77777777" w:rsidR="00A57704" w:rsidRPr="00860DCF" w:rsidRDefault="00A57704" w:rsidP="00A57704">
            <w:pPr>
              <w:spacing w:after="0"/>
              <w:jc w:val="center"/>
              <w:rPr>
                <w:rFonts w:ascii="Times New Roman" w:hAnsi="Times New Roman"/>
              </w:rPr>
            </w:pPr>
            <w:r>
              <w:rPr>
                <w:rFonts w:ascii="Times New Roman" w:hAnsi="Times New Roman"/>
              </w:rPr>
              <w:t>-30.8</w:t>
            </w:r>
          </w:p>
        </w:tc>
        <w:tc>
          <w:tcPr>
            <w:tcW w:w="720" w:type="dxa"/>
            <w:tcBorders>
              <w:top w:val="single" w:sz="4" w:space="0" w:color="auto"/>
              <w:left w:val="nil"/>
              <w:bottom w:val="single" w:sz="4" w:space="0" w:color="auto"/>
              <w:right w:val="single" w:sz="4" w:space="0" w:color="auto"/>
            </w:tcBorders>
            <w:shd w:val="clear" w:color="auto" w:fill="auto"/>
            <w:noWrap/>
            <w:hideMark/>
          </w:tcPr>
          <w:p w14:paraId="70C0AEE2" w14:textId="77777777" w:rsidR="00A57704" w:rsidRPr="00860DCF" w:rsidRDefault="00A57704" w:rsidP="00A57704">
            <w:pPr>
              <w:spacing w:after="0"/>
              <w:jc w:val="center"/>
              <w:rPr>
                <w:rFonts w:ascii="Times New Roman" w:hAnsi="Times New Roman"/>
              </w:rPr>
            </w:pPr>
            <w:r>
              <w:rPr>
                <w:rFonts w:ascii="Times New Roman" w:hAnsi="Times New Roman"/>
              </w:rPr>
              <w:t>18.2</w:t>
            </w:r>
          </w:p>
        </w:tc>
        <w:tc>
          <w:tcPr>
            <w:tcW w:w="820" w:type="dxa"/>
            <w:tcBorders>
              <w:top w:val="single" w:sz="4" w:space="0" w:color="auto"/>
              <w:left w:val="nil"/>
              <w:bottom w:val="single" w:sz="4" w:space="0" w:color="auto"/>
              <w:right w:val="single" w:sz="4" w:space="0" w:color="auto"/>
            </w:tcBorders>
            <w:shd w:val="clear" w:color="auto" w:fill="auto"/>
            <w:noWrap/>
            <w:hideMark/>
          </w:tcPr>
          <w:p w14:paraId="2B0211AF" w14:textId="77777777" w:rsidR="00A57704" w:rsidRPr="00860DCF" w:rsidRDefault="00A57704" w:rsidP="00A57704">
            <w:pPr>
              <w:spacing w:after="0"/>
              <w:jc w:val="center"/>
              <w:rPr>
                <w:rFonts w:ascii="Times New Roman" w:hAnsi="Times New Roman"/>
              </w:rPr>
            </w:pPr>
            <w:r>
              <w:rPr>
                <w:rFonts w:ascii="Times New Roman" w:hAnsi="Times New Roman"/>
              </w:rPr>
              <w:t>-31.2</w:t>
            </w:r>
          </w:p>
        </w:tc>
        <w:tc>
          <w:tcPr>
            <w:tcW w:w="820" w:type="dxa"/>
            <w:tcBorders>
              <w:top w:val="single" w:sz="4" w:space="0" w:color="auto"/>
              <w:left w:val="nil"/>
              <w:bottom w:val="single" w:sz="4" w:space="0" w:color="auto"/>
              <w:right w:val="single" w:sz="4" w:space="0" w:color="auto"/>
            </w:tcBorders>
            <w:shd w:val="clear" w:color="auto" w:fill="auto"/>
            <w:noWrap/>
            <w:hideMark/>
          </w:tcPr>
          <w:p w14:paraId="096D2A8A" w14:textId="77777777" w:rsidR="00A57704" w:rsidRPr="00860DCF" w:rsidRDefault="00A57704" w:rsidP="00A57704">
            <w:pPr>
              <w:spacing w:after="0"/>
              <w:jc w:val="center"/>
              <w:rPr>
                <w:rFonts w:ascii="Times New Roman" w:hAnsi="Times New Roman"/>
              </w:rPr>
            </w:pPr>
            <w:r>
              <w:rPr>
                <w:rFonts w:ascii="Times New Roman" w:hAnsi="Times New Roman"/>
              </w:rPr>
              <w:t>-59.5</w:t>
            </w:r>
          </w:p>
        </w:tc>
        <w:tc>
          <w:tcPr>
            <w:tcW w:w="820" w:type="dxa"/>
            <w:tcBorders>
              <w:top w:val="single" w:sz="4" w:space="0" w:color="auto"/>
              <w:left w:val="nil"/>
              <w:bottom w:val="single" w:sz="4" w:space="0" w:color="auto"/>
              <w:right w:val="single" w:sz="4" w:space="0" w:color="auto"/>
            </w:tcBorders>
            <w:shd w:val="clear" w:color="auto" w:fill="auto"/>
            <w:noWrap/>
            <w:hideMark/>
          </w:tcPr>
          <w:p w14:paraId="3C0599F2" w14:textId="77777777" w:rsidR="00A57704" w:rsidRPr="00860DCF" w:rsidRDefault="00A57704" w:rsidP="00A57704">
            <w:pPr>
              <w:spacing w:after="0"/>
              <w:jc w:val="center"/>
              <w:rPr>
                <w:rFonts w:ascii="Times New Roman" w:hAnsi="Times New Roman"/>
              </w:rPr>
            </w:pPr>
            <w:r>
              <w:rPr>
                <w:rFonts w:ascii="Times New Roman" w:hAnsi="Times New Roman"/>
              </w:rPr>
              <w:t>-100.0</w:t>
            </w:r>
          </w:p>
        </w:tc>
        <w:tc>
          <w:tcPr>
            <w:tcW w:w="760" w:type="dxa"/>
            <w:tcBorders>
              <w:top w:val="single" w:sz="4" w:space="0" w:color="auto"/>
              <w:left w:val="nil"/>
              <w:bottom w:val="single" w:sz="4" w:space="0" w:color="auto"/>
              <w:right w:val="single" w:sz="4" w:space="0" w:color="auto"/>
            </w:tcBorders>
            <w:shd w:val="clear" w:color="auto" w:fill="auto"/>
            <w:noWrap/>
            <w:hideMark/>
          </w:tcPr>
          <w:p w14:paraId="3DEF9A07" w14:textId="77777777" w:rsidR="00A57704" w:rsidRPr="00860DCF" w:rsidRDefault="00A57704" w:rsidP="00A57704">
            <w:pPr>
              <w:spacing w:after="0"/>
              <w:jc w:val="center"/>
              <w:rPr>
                <w:rFonts w:ascii="Times New Roman" w:hAnsi="Times New Roman"/>
              </w:rPr>
            </w:pPr>
            <w:r>
              <w:rPr>
                <w:rFonts w:ascii="Times New Roman" w:hAnsi="Times New Roman"/>
              </w:rPr>
              <w:t>-72.6</w:t>
            </w:r>
          </w:p>
        </w:tc>
        <w:tc>
          <w:tcPr>
            <w:tcW w:w="820" w:type="dxa"/>
            <w:tcBorders>
              <w:top w:val="single" w:sz="4" w:space="0" w:color="auto"/>
              <w:left w:val="nil"/>
              <w:bottom w:val="single" w:sz="4" w:space="0" w:color="auto"/>
              <w:right w:val="single" w:sz="4" w:space="0" w:color="auto"/>
            </w:tcBorders>
            <w:shd w:val="clear" w:color="auto" w:fill="auto"/>
            <w:noWrap/>
            <w:hideMark/>
          </w:tcPr>
          <w:p w14:paraId="2BF4D277" w14:textId="77777777" w:rsidR="00A57704" w:rsidRPr="00860DCF" w:rsidRDefault="00A57704" w:rsidP="00A57704">
            <w:pPr>
              <w:spacing w:after="0"/>
              <w:jc w:val="center"/>
              <w:rPr>
                <w:rFonts w:ascii="Times New Roman" w:hAnsi="Times New Roman"/>
              </w:rPr>
            </w:pPr>
            <w:r>
              <w:rPr>
                <w:rFonts w:ascii="Times New Roman" w:hAnsi="Times New Roman"/>
              </w:rPr>
              <w:t>-87.8</w:t>
            </w:r>
          </w:p>
        </w:tc>
        <w:tc>
          <w:tcPr>
            <w:tcW w:w="820" w:type="dxa"/>
            <w:tcBorders>
              <w:top w:val="single" w:sz="4" w:space="0" w:color="auto"/>
              <w:left w:val="nil"/>
              <w:bottom w:val="single" w:sz="4" w:space="0" w:color="auto"/>
              <w:right w:val="single" w:sz="4" w:space="0" w:color="auto"/>
            </w:tcBorders>
            <w:shd w:val="clear" w:color="auto" w:fill="auto"/>
            <w:noWrap/>
            <w:hideMark/>
          </w:tcPr>
          <w:p w14:paraId="6A3AE37D" w14:textId="77777777" w:rsidR="00A57704" w:rsidRPr="00860DCF" w:rsidRDefault="00A57704" w:rsidP="00A57704">
            <w:pPr>
              <w:spacing w:after="0"/>
              <w:jc w:val="center"/>
              <w:rPr>
                <w:rFonts w:ascii="Times New Roman" w:hAnsi="Times New Roman"/>
              </w:rPr>
            </w:pPr>
            <w:r>
              <w:rPr>
                <w:rFonts w:ascii="Times New Roman" w:hAnsi="Times New Roman"/>
              </w:rPr>
              <w:t>280.1</w:t>
            </w:r>
          </w:p>
        </w:tc>
        <w:tc>
          <w:tcPr>
            <w:tcW w:w="820" w:type="dxa"/>
            <w:tcBorders>
              <w:top w:val="single" w:sz="4" w:space="0" w:color="auto"/>
              <w:left w:val="nil"/>
              <w:bottom w:val="single" w:sz="4" w:space="0" w:color="auto"/>
              <w:right w:val="single" w:sz="4" w:space="0" w:color="auto"/>
            </w:tcBorders>
            <w:shd w:val="clear" w:color="auto" w:fill="auto"/>
            <w:noWrap/>
            <w:hideMark/>
          </w:tcPr>
          <w:p w14:paraId="70361E74" w14:textId="77777777" w:rsidR="00A57704" w:rsidRPr="00860DCF" w:rsidRDefault="00A57704" w:rsidP="00A57704">
            <w:pPr>
              <w:spacing w:after="0"/>
              <w:jc w:val="center"/>
              <w:rPr>
                <w:rFonts w:ascii="Times New Roman" w:hAnsi="Times New Roman"/>
              </w:rPr>
            </w:pPr>
            <w:r>
              <w:rPr>
                <w:rFonts w:ascii="Times New Roman" w:hAnsi="Times New Roman"/>
              </w:rPr>
              <w:t>-66.5</w:t>
            </w:r>
          </w:p>
        </w:tc>
        <w:tc>
          <w:tcPr>
            <w:tcW w:w="760" w:type="dxa"/>
            <w:tcBorders>
              <w:top w:val="single" w:sz="4" w:space="0" w:color="auto"/>
              <w:left w:val="nil"/>
              <w:bottom w:val="single" w:sz="4" w:space="0" w:color="auto"/>
              <w:right w:val="single" w:sz="4" w:space="0" w:color="auto"/>
            </w:tcBorders>
            <w:shd w:val="clear" w:color="auto" w:fill="auto"/>
            <w:noWrap/>
            <w:hideMark/>
          </w:tcPr>
          <w:p w14:paraId="673B457E" w14:textId="77777777" w:rsidR="00A57704" w:rsidRPr="00860DCF" w:rsidRDefault="00A57704" w:rsidP="00A57704">
            <w:pPr>
              <w:spacing w:after="0"/>
              <w:jc w:val="center"/>
              <w:rPr>
                <w:rFonts w:ascii="Times New Roman" w:hAnsi="Times New Roman"/>
              </w:rPr>
            </w:pPr>
            <w:r>
              <w:rPr>
                <w:rFonts w:ascii="Times New Roman" w:hAnsi="Times New Roman"/>
              </w:rPr>
              <w:t>-39.1</w:t>
            </w:r>
          </w:p>
        </w:tc>
        <w:tc>
          <w:tcPr>
            <w:tcW w:w="720" w:type="dxa"/>
            <w:tcBorders>
              <w:top w:val="single" w:sz="4" w:space="0" w:color="auto"/>
              <w:left w:val="nil"/>
              <w:bottom w:val="single" w:sz="4" w:space="0" w:color="auto"/>
              <w:right w:val="single" w:sz="4" w:space="0" w:color="auto"/>
            </w:tcBorders>
            <w:shd w:val="clear" w:color="auto" w:fill="auto"/>
            <w:noWrap/>
            <w:hideMark/>
          </w:tcPr>
          <w:p w14:paraId="67E5EEA1" w14:textId="77777777" w:rsidR="00A57704" w:rsidRPr="00860DCF" w:rsidRDefault="00A57704" w:rsidP="00A57704">
            <w:pPr>
              <w:spacing w:after="0"/>
              <w:jc w:val="center"/>
              <w:rPr>
                <w:rFonts w:ascii="Times New Roman" w:hAnsi="Times New Roman"/>
              </w:rPr>
            </w:pPr>
            <w:r>
              <w:rPr>
                <w:rFonts w:ascii="Times New Roman" w:hAnsi="Times New Roman"/>
              </w:rPr>
              <w:t>0</w:t>
            </w:r>
          </w:p>
        </w:tc>
        <w:tc>
          <w:tcPr>
            <w:tcW w:w="1100" w:type="dxa"/>
            <w:tcBorders>
              <w:top w:val="single" w:sz="4" w:space="0" w:color="auto"/>
              <w:left w:val="nil"/>
              <w:bottom w:val="single" w:sz="4" w:space="0" w:color="auto"/>
              <w:right w:val="single" w:sz="4" w:space="0" w:color="auto"/>
            </w:tcBorders>
            <w:shd w:val="clear" w:color="auto" w:fill="auto"/>
            <w:noWrap/>
            <w:hideMark/>
          </w:tcPr>
          <w:p w14:paraId="7B0079FD" w14:textId="77777777" w:rsidR="00A57704" w:rsidRPr="00860DCF" w:rsidRDefault="00A57704" w:rsidP="00A57704">
            <w:pPr>
              <w:spacing w:after="0"/>
              <w:jc w:val="center"/>
              <w:rPr>
                <w:rFonts w:ascii="Times New Roman" w:hAnsi="Times New Roman"/>
              </w:rPr>
            </w:pPr>
            <w:r w:rsidRPr="00860DCF">
              <w:rPr>
                <w:rFonts w:ascii="Times New Roman" w:hAnsi="Times New Roman"/>
              </w:rPr>
              <w:t>-34.2</w:t>
            </w:r>
          </w:p>
        </w:tc>
      </w:tr>
    </w:tbl>
    <w:p w14:paraId="40421ECC" w14:textId="77777777" w:rsidR="00A57704" w:rsidRDefault="00A57704" w:rsidP="00A57704">
      <w:pPr>
        <w:spacing w:after="0"/>
        <w:rPr>
          <w:rFonts w:ascii="Times New Roman" w:hAnsi="Times New Roman"/>
        </w:rPr>
      </w:pPr>
    </w:p>
    <w:p w14:paraId="43A45745"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space="720"/>
          <w:docGrid w:linePitch="360"/>
        </w:sectPr>
      </w:pPr>
    </w:p>
    <w:p w14:paraId="3B2DA9E8"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Moca.</w:t>
      </w:r>
    </w:p>
    <w:p w14:paraId="61DBEBBE" w14:textId="77777777" w:rsidR="00A57704" w:rsidRPr="002D5B20" w:rsidRDefault="00A57704" w:rsidP="00A57704">
      <w:pPr>
        <w:spacing w:after="0"/>
        <w:rPr>
          <w:rFonts w:ascii="Times New Roman" w:hAnsi="Times New Roman"/>
          <w:sz w:val="4"/>
        </w:rPr>
      </w:pPr>
      <w:r>
        <w:rPr>
          <w:noProof/>
          <w:lang w:eastAsia="es-DO"/>
        </w:rPr>
        <w:drawing>
          <wp:inline distT="0" distB="0" distL="0" distR="0" wp14:anchorId="31571E27" wp14:editId="26929A75">
            <wp:extent cx="3552825" cy="1676400"/>
            <wp:effectExtent l="0" t="0" r="0" b="0"/>
            <wp:docPr id="278" name="Gráfico 278">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22E47C0C-2360-4446-8A23-E7EF7009B1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14:paraId="4CEFB648" w14:textId="77777777" w:rsidR="00A57704" w:rsidRPr="002D5B20" w:rsidRDefault="00A57704" w:rsidP="00A57704">
      <w:pPr>
        <w:spacing w:after="0"/>
        <w:rPr>
          <w:rFonts w:ascii="Times New Roman" w:hAnsi="Times New Roman"/>
          <w:sz w:val="4"/>
        </w:rPr>
      </w:pPr>
    </w:p>
    <w:p w14:paraId="2330D554" w14:textId="77777777" w:rsidR="00A57704" w:rsidRPr="002D5B20" w:rsidRDefault="00A57704" w:rsidP="00A57704">
      <w:pPr>
        <w:spacing w:after="0"/>
        <w:rPr>
          <w:rFonts w:ascii="Times New Roman" w:hAnsi="Times New Roman"/>
          <w:sz w:val="4"/>
        </w:rPr>
      </w:pPr>
    </w:p>
    <w:p w14:paraId="2374C3F2" w14:textId="77777777" w:rsidR="00A57704" w:rsidRDefault="00A57704" w:rsidP="00A57704">
      <w:pPr>
        <w:spacing w:after="0"/>
        <w:rPr>
          <w:rFonts w:ascii="Times New Roman" w:hAnsi="Times New Roman"/>
        </w:rPr>
      </w:pPr>
    </w:p>
    <w:p w14:paraId="518DD8E1"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49C611E5"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23750894" wp14:editId="0065601C">
            <wp:extent cx="3619500" cy="1695450"/>
            <wp:effectExtent l="0" t="0" r="0" b="0"/>
            <wp:docPr id="61" name="Gráfico 61">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FBDEF13B-AEA3-44D0-AAB8-11D02B1372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tbl>
      <w:tblPr>
        <w:tblW w:w="12712" w:type="dxa"/>
        <w:tblInd w:w="-5" w:type="dxa"/>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A57704" w:rsidRPr="00860DCF" w14:paraId="4F2C5E55"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51583FF1"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lastRenderedPageBreak/>
              <w:t>La Unión/Pto. Plata</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4199D200"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451A0E7C"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13AA85A3"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0FD588D9"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0DEF9D04"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3C674E10"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622A8AB6"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5184C39"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6030F3F5"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10BE242"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4FF3D92A"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58DEFC45"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7D80BF00"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Año</w:t>
            </w:r>
          </w:p>
        </w:tc>
      </w:tr>
      <w:tr w:rsidR="00A57704" w:rsidRPr="00860DCF" w14:paraId="6A47D4BD"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BBC1E" w14:textId="77777777" w:rsidR="00A57704" w:rsidRPr="00860DCF" w:rsidRDefault="00A57704" w:rsidP="00A57704">
            <w:pPr>
              <w:spacing w:after="0"/>
              <w:rPr>
                <w:rFonts w:ascii="Times New Roman" w:hAnsi="Times New Roman"/>
                <w:bCs/>
                <w:color w:val="000000"/>
                <w:lang w:eastAsia="es-DO"/>
              </w:rPr>
            </w:pPr>
            <w:r w:rsidRPr="00860DCF">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CDCB18D" w14:textId="77777777" w:rsidR="00A57704" w:rsidRPr="00860DCF" w:rsidRDefault="00A57704" w:rsidP="00A57704">
            <w:pPr>
              <w:spacing w:after="0"/>
              <w:jc w:val="center"/>
              <w:rPr>
                <w:rFonts w:ascii="Times New Roman" w:hAnsi="Times New Roman"/>
                <w:bCs/>
                <w:color w:val="000000"/>
                <w:lang w:eastAsia="es-DO"/>
              </w:rPr>
            </w:pPr>
            <w:r w:rsidRPr="00860DCF">
              <w:rPr>
                <w:rFonts w:ascii="Times New Roman" w:hAnsi="Times New Roman"/>
                <w:bCs/>
                <w:color w:val="000000"/>
                <w:lang w:eastAsia="es-DO"/>
              </w:rPr>
              <w:t>175.3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994425E" w14:textId="77777777" w:rsidR="00A57704" w:rsidRPr="00860DCF" w:rsidRDefault="00A57704" w:rsidP="00A57704">
            <w:pPr>
              <w:spacing w:after="0"/>
              <w:jc w:val="center"/>
              <w:rPr>
                <w:rFonts w:ascii="Times New Roman" w:hAnsi="Times New Roman"/>
                <w:bCs/>
                <w:color w:val="000000"/>
                <w:lang w:eastAsia="es-DO"/>
              </w:rPr>
            </w:pPr>
            <w:r w:rsidRPr="00860DCF">
              <w:rPr>
                <w:rFonts w:ascii="Times New Roman" w:hAnsi="Times New Roman"/>
                <w:bCs/>
                <w:color w:val="000000"/>
                <w:lang w:eastAsia="es-DO"/>
              </w:rPr>
              <w:t>136.6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7C2E950" w14:textId="77777777" w:rsidR="00A57704" w:rsidRPr="00860DCF" w:rsidRDefault="00A57704" w:rsidP="00A57704">
            <w:pPr>
              <w:spacing w:after="0"/>
              <w:jc w:val="center"/>
              <w:rPr>
                <w:rFonts w:ascii="Times New Roman" w:hAnsi="Times New Roman"/>
                <w:bCs/>
                <w:color w:val="000000"/>
                <w:lang w:eastAsia="es-DO"/>
              </w:rPr>
            </w:pPr>
            <w:r w:rsidRPr="00860DCF">
              <w:rPr>
                <w:rFonts w:ascii="Times New Roman" w:hAnsi="Times New Roman"/>
                <w:bCs/>
                <w:color w:val="000000"/>
                <w:lang w:eastAsia="es-DO"/>
              </w:rPr>
              <w:t>116.3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B7D81BE" w14:textId="77777777" w:rsidR="00A57704" w:rsidRPr="00860DCF" w:rsidRDefault="00A57704" w:rsidP="00A57704">
            <w:pPr>
              <w:spacing w:after="0"/>
              <w:jc w:val="center"/>
              <w:rPr>
                <w:rFonts w:ascii="Times New Roman" w:hAnsi="Times New Roman"/>
                <w:bCs/>
                <w:color w:val="000000"/>
                <w:lang w:eastAsia="es-DO"/>
              </w:rPr>
            </w:pPr>
            <w:r w:rsidRPr="00860DCF">
              <w:rPr>
                <w:rFonts w:ascii="Times New Roman" w:hAnsi="Times New Roman"/>
                <w:bCs/>
                <w:color w:val="000000"/>
                <w:lang w:eastAsia="es-DO"/>
              </w:rPr>
              <w:t>115.0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8E75481" w14:textId="77777777" w:rsidR="00A57704" w:rsidRPr="00860DCF" w:rsidRDefault="00A57704" w:rsidP="00A57704">
            <w:pPr>
              <w:spacing w:after="0"/>
              <w:jc w:val="center"/>
              <w:rPr>
                <w:rFonts w:ascii="Times New Roman" w:hAnsi="Times New Roman"/>
                <w:bCs/>
                <w:color w:val="000000"/>
                <w:lang w:eastAsia="es-DO"/>
              </w:rPr>
            </w:pPr>
            <w:r w:rsidRPr="00860DCF">
              <w:rPr>
                <w:rFonts w:ascii="Times New Roman" w:hAnsi="Times New Roman"/>
                <w:bCs/>
                <w:color w:val="000000"/>
                <w:lang w:eastAsia="es-DO"/>
              </w:rPr>
              <w:t>129.0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DA1A3B7" w14:textId="77777777" w:rsidR="00A57704" w:rsidRPr="00860DCF" w:rsidRDefault="00A57704" w:rsidP="00A57704">
            <w:pPr>
              <w:spacing w:after="0"/>
              <w:jc w:val="center"/>
              <w:rPr>
                <w:rFonts w:ascii="Times New Roman" w:hAnsi="Times New Roman"/>
                <w:bCs/>
                <w:color w:val="000000"/>
                <w:lang w:eastAsia="es-DO"/>
              </w:rPr>
            </w:pPr>
            <w:r w:rsidRPr="00860DCF">
              <w:rPr>
                <w:rFonts w:ascii="Times New Roman" w:hAnsi="Times New Roman"/>
                <w:bCs/>
                <w:color w:val="000000"/>
                <w:lang w:eastAsia="es-DO"/>
              </w:rPr>
              <w:t>51.0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D128EED" w14:textId="77777777" w:rsidR="00A57704" w:rsidRPr="00860DCF" w:rsidRDefault="00A57704" w:rsidP="00A57704">
            <w:pPr>
              <w:spacing w:after="0"/>
              <w:jc w:val="center"/>
              <w:rPr>
                <w:rFonts w:ascii="Times New Roman" w:hAnsi="Times New Roman"/>
                <w:bCs/>
                <w:color w:val="000000"/>
                <w:lang w:eastAsia="es-DO"/>
              </w:rPr>
            </w:pPr>
            <w:r w:rsidRPr="00860DCF">
              <w:rPr>
                <w:rFonts w:ascii="Times New Roman" w:hAnsi="Times New Roman"/>
                <w:bCs/>
                <w:color w:val="000000"/>
                <w:lang w:eastAsia="es-DO"/>
              </w:rPr>
              <w:t>62.0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C020637" w14:textId="77777777" w:rsidR="00A57704" w:rsidRPr="00860DCF" w:rsidRDefault="00A57704" w:rsidP="00A57704">
            <w:pPr>
              <w:spacing w:after="0"/>
              <w:jc w:val="center"/>
              <w:rPr>
                <w:rFonts w:ascii="Times New Roman" w:hAnsi="Times New Roman"/>
                <w:bCs/>
                <w:color w:val="000000"/>
                <w:lang w:eastAsia="es-DO"/>
              </w:rPr>
            </w:pPr>
            <w:r w:rsidRPr="00860DCF">
              <w:rPr>
                <w:rFonts w:ascii="Times New Roman" w:hAnsi="Times New Roman"/>
                <w:bCs/>
                <w:color w:val="000000"/>
                <w:lang w:eastAsia="es-DO"/>
              </w:rPr>
              <w:t>66.5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4B57060" w14:textId="77777777" w:rsidR="00A57704" w:rsidRPr="00860DCF" w:rsidRDefault="00A57704" w:rsidP="00A57704">
            <w:pPr>
              <w:spacing w:after="0"/>
              <w:jc w:val="center"/>
              <w:rPr>
                <w:rFonts w:ascii="Times New Roman" w:hAnsi="Times New Roman"/>
                <w:bCs/>
                <w:color w:val="000000"/>
                <w:lang w:eastAsia="es-DO"/>
              </w:rPr>
            </w:pPr>
            <w:r w:rsidRPr="00860DCF">
              <w:rPr>
                <w:rFonts w:ascii="Times New Roman" w:hAnsi="Times New Roman"/>
                <w:bCs/>
                <w:color w:val="000000"/>
                <w:lang w:eastAsia="es-DO"/>
              </w:rPr>
              <w:t>63.7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FA51193" w14:textId="77777777" w:rsidR="00A57704" w:rsidRPr="00860DCF" w:rsidRDefault="00A57704" w:rsidP="00A57704">
            <w:pPr>
              <w:spacing w:after="0"/>
              <w:jc w:val="center"/>
              <w:rPr>
                <w:rFonts w:ascii="Times New Roman" w:hAnsi="Times New Roman"/>
                <w:bCs/>
                <w:color w:val="000000"/>
                <w:lang w:eastAsia="es-DO"/>
              </w:rPr>
            </w:pPr>
            <w:r w:rsidRPr="00860DCF">
              <w:rPr>
                <w:rFonts w:ascii="Times New Roman" w:hAnsi="Times New Roman"/>
                <w:bCs/>
                <w:color w:val="000000"/>
                <w:lang w:eastAsia="es-DO"/>
              </w:rPr>
              <w:t>113.3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AA03A9A" w14:textId="77777777" w:rsidR="00A57704" w:rsidRPr="00860DCF" w:rsidRDefault="00A57704" w:rsidP="00A57704">
            <w:pPr>
              <w:spacing w:after="0"/>
              <w:jc w:val="center"/>
              <w:rPr>
                <w:rFonts w:ascii="Times New Roman" w:hAnsi="Times New Roman"/>
                <w:bCs/>
                <w:color w:val="000000"/>
                <w:lang w:eastAsia="es-DO"/>
              </w:rPr>
            </w:pPr>
            <w:r w:rsidRPr="00860DCF">
              <w:rPr>
                <w:rFonts w:ascii="Times New Roman" w:hAnsi="Times New Roman"/>
                <w:bCs/>
                <w:color w:val="000000"/>
                <w:lang w:eastAsia="es-DO"/>
              </w:rPr>
              <w:t>229.0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FF4E5B5" w14:textId="77777777" w:rsidR="00A57704" w:rsidRPr="00860DCF" w:rsidRDefault="00A57704" w:rsidP="00A57704">
            <w:pPr>
              <w:spacing w:after="0"/>
              <w:jc w:val="center"/>
              <w:rPr>
                <w:rFonts w:ascii="Times New Roman" w:hAnsi="Times New Roman"/>
                <w:bCs/>
                <w:color w:val="000000"/>
                <w:lang w:eastAsia="es-DO"/>
              </w:rPr>
            </w:pPr>
            <w:r w:rsidRPr="00860DCF">
              <w:rPr>
                <w:rFonts w:ascii="Times New Roman" w:hAnsi="Times New Roman"/>
                <w:bCs/>
                <w:color w:val="000000"/>
                <w:lang w:eastAsia="es-DO"/>
              </w:rPr>
              <w:t>192.7</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511D40B2" w14:textId="77777777" w:rsidR="00A57704" w:rsidRPr="00860DCF" w:rsidRDefault="00A57704" w:rsidP="00A57704">
            <w:pPr>
              <w:spacing w:after="0"/>
              <w:jc w:val="center"/>
              <w:rPr>
                <w:rFonts w:ascii="Times New Roman" w:hAnsi="Times New Roman"/>
                <w:bCs/>
                <w:lang w:eastAsia="es-DO"/>
              </w:rPr>
            </w:pPr>
            <w:r w:rsidRPr="00860DCF">
              <w:rPr>
                <w:rFonts w:ascii="Times New Roman" w:hAnsi="Times New Roman"/>
                <w:bCs/>
                <w:lang w:eastAsia="es-DO"/>
              </w:rPr>
              <w:t>1,450.4</w:t>
            </w:r>
          </w:p>
        </w:tc>
      </w:tr>
      <w:tr w:rsidR="00A57704" w:rsidRPr="00860DCF" w14:paraId="4398C9B8"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93BF6" w14:textId="77777777" w:rsidR="00A57704" w:rsidRPr="00860DCF" w:rsidRDefault="00A57704" w:rsidP="00A57704">
            <w:pPr>
              <w:spacing w:after="0"/>
              <w:rPr>
                <w:rFonts w:ascii="Times New Roman" w:hAnsi="Times New Roman"/>
                <w:bCs/>
                <w:color w:val="000000"/>
                <w:lang w:eastAsia="es-DO"/>
              </w:rPr>
            </w:pPr>
            <w:r w:rsidRPr="00860DCF">
              <w:rPr>
                <w:rFonts w:ascii="Times New Roman" w:hAnsi="Times New Roman"/>
                <w:bCs/>
                <w:color w:val="000000"/>
                <w:lang w:eastAsia="es-DO"/>
              </w:rPr>
              <w:t xml:space="preserve">Precipitación </w:t>
            </w:r>
            <w:r>
              <w:rPr>
                <w:rFonts w:ascii="Times New Roman" w:hAnsi="Times New Roman"/>
                <w:bCs/>
                <w:color w:val="00000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D3E3C63"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49.3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79F6AA6"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119.3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9CB1D1F"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55.2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0291EA7"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30.8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489D831"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29.3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7379C60"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64.5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B770125"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45.5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F739BFD"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34.6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13437EA"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82.9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B51E15B"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26.1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F3F0F43"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120.4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13967D1"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625074AC" w14:textId="77777777" w:rsidR="00A57704" w:rsidRPr="00860DCF" w:rsidRDefault="00A57704" w:rsidP="00A57704">
            <w:pPr>
              <w:spacing w:after="0"/>
              <w:jc w:val="center"/>
              <w:rPr>
                <w:rFonts w:ascii="Times New Roman" w:hAnsi="Times New Roman"/>
                <w:bCs/>
                <w:lang w:eastAsia="es-DO"/>
              </w:rPr>
            </w:pPr>
            <w:r>
              <w:rPr>
                <w:rFonts w:ascii="Times New Roman" w:hAnsi="Times New Roman"/>
                <w:bCs/>
                <w:lang w:eastAsia="es-DO"/>
              </w:rPr>
              <w:t>657.9</w:t>
            </w:r>
          </w:p>
        </w:tc>
      </w:tr>
      <w:tr w:rsidR="00A57704" w:rsidRPr="00860DCF" w14:paraId="063C0E3B"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F6C83" w14:textId="77777777" w:rsidR="00A57704" w:rsidRPr="00860DCF" w:rsidRDefault="00A57704" w:rsidP="00A57704">
            <w:pPr>
              <w:spacing w:after="0"/>
              <w:rPr>
                <w:rFonts w:ascii="Times New Roman" w:hAnsi="Times New Roman"/>
                <w:bCs/>
                <w:color w:val="000000"/>
                <w:lang w:eastAsia="es-DO"/>
              </w:rPr>
            </w:pPr>
            <w:r w:rsidRPr="00860DCF">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E72C12B"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36977D3"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-12.7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0268E08"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-52.5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2237B1D"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-73.2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636AF79"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-77.3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AF687AF"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26.5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EBFFD11"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-26.6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65C73BB"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-48.0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3D09ED5"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30.1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56A1950"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-77.0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259D3ED"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-47.4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B23F7FA" w14:textId="77777777" w:rsidR="00A57704" w:rsidRPr="00860DCF"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7DECF33B" w14:textId="77777777" w:rsidR="00A57704" w:rsidRPr="00860DCF" w:rsidRDefault="00A57704" w:rsidP="00A57704">
            <w:pPr>
              <w:spacing w:after="0"/>
              <w:jc w:val="center"/>
              <w:rPr>
                <w:rFonts w:ascii="Times New Roman" w:hAnsi="Times New Roman"/>
                <w:bCs/>
                <w:lang w:eastAsia="es-DO"/>
              </w:rPr>
            </w:pPr>
            <w:r w:rsidRPr="00860DCF">
              <w:rPr>
                <w:rFonts w:ascii="Times New Roman" w:hAnsi="Times New Roman"/>
                <w:bCs/>
                <w:lang w:eastAsia="es-DO"/>
              </w:rPr>
              <w:t>10.5</w:t>
            </w:r>
          </w:p>
        </w:tc>
      </w:tr>
    </w:tbl>
    <w:p w14:paraId="48FAA135" w14:textId="77777777" w:rsidR="00A57704" w:rsidRPr="00C83490" w:rsidRDefault="00A57704" w:rsidP="00A57704">
      <w:pPr>
        <w:spacing w:after="0"/>
        <w:rPr>
          <w:rFonts w:ascii="Times New Roman" w:hAnsi="Times New Roman"/>
        </w:rPr>
        <w:sectPr w:rsidR="00A57704" w:rsidRPr="00C83490" w:rsidSect="00A57704">
          <w:type w:val="continuous"/>
          <w:pgSz w:w="15840" w:h="12240" w:orient="landscape"/>
          <w:pgMar w:top="1276" w:right="851" w:bottom="851" w:left="1440" w:header="720" w:footer="720" w:gutter="0"/>
          <w:cols w:space="720"/>
          <w:docGrid w:linePitch="360"/>
        </w:sectPr>
      </w:pPr>
    </w:p>
    <w:p w14:paraId="52075BCC" w14:textId="77777777" w:rsidR="00A57704" w:rsidRPr="00C83490" w:rsidRDefault="00A57704" w:rsidP="00A57704">
      <w:pPr>
        <w:spacing w:after="0"/>
        <w:rPr>
          <w:rFonts w:ascii="Times New Roman" w:hAnsi="Times New Roman"/>
        </w:rPr>
      </w:pPr>
    </w:p>
    <w:p w14:paraId="7F599060" w14:textId="77777777" w:rsidR="00A57704" w:rsidRPr="00A37D31" w:rsidRDefault="00A57704" w:rsidP="001C6B1A">
      <w:pPr>
        <w:pStyle w:val="Prrafodelista"/>
        <w:numPr>
          <w:ilvl w:val="0"/>
          <w:numId w:val="28"/>
        </w:numPr>
        <w:spacing w:after="0"/>
        <w:ind w:left="567" w:hanging="567"/>
        <w:rPr>
          <w:rFonts w:ascii="Times New Roman" w:hAnsi="Times New Roman"/>
        </w:rPr>
      </w:pPr>
      <w:r w:rsidRPr="00A37D31">
        <w:rPr>
          <w:rFonts w:ascii="Times New Roman" w:hAnsi="Times New Roman"/>
        </w:rPr>
        <w:t xml:space="preserve">Comportamiento precipitaciones </w:t>
      </w:r>
      <w:r>
        <w:rPr>
          <w:rFonts w:ascii="Times New Roman" w:hAnsi="Times New Roman"/>
        </w:rPr>
        <w:t>La Unión/Puerto Plata</w:t>
      </w:r>
    </w:p>
    <w:p w14:paraId="2A04A8F7" w14:textId="77777777" w:rsidR="00A57704" w:rsidRDefault="00A57704" w:rsidP="00A57704">
      <w:pPr>
        <w:spacing w:after="0"/>
        <w:rPr>
          <w:rFonts w:ascii="Times New Roman" w:hAnsi="Times New Roman"/>
        </w:rPr>
      </w:pPr>
      <w:r>
        <w:rPr>
          <w:noProof/>
          <w:lang w:eastAsia="es-DO"/>
        </w:rPr>
        <w:drawing>
          <wp:inline distT="0" distB="0" distL="0" distR="0" wp14:anchorId="5DCFF4B5" wp14:editId="124AB536">
            <wp:extent cx="3767959" cy="1560195"/>
            <wp:effectExtent l="0" t="0" r="4445" b="1905"/>
            <wp:docPr id="279" name="Gráfico 279">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F00F990A-0DF9-4B7B-960B-13E52B3251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14:paraId="0FD2C966" w14:textId="77777777" w:rsidR="00A57704" w:rsidRPr="009E58FD" w:rsidRDefault="00A57704" w:rsidP="00A57704">
      <w:pPr>
        <w:spacing w:after="0"/>
        <w:rPr>
          <w:rFonts w:ascii="Times New Roman" w:hAnsi="Times New Roman"/>
        </w:rPr>
      </w:pPr>
    </w:p>
    <w:p w14:paraId="24851457" w14:textId="77777777" w:rsidR="00A57704" w:rsidRPr="002D5B20" w:rsidRDefault="00A57704" w:rsidP="00A57704">
      <w:pPr>
        <w:spacing w:after="0"/>
        <w:rPr>
          <w:rFonts w:ascii="Times New Roman" w:hAnsi="Times New Roman"/>
          <w:sz w:val="4"/>
        </w:rPr>
      </w:pPr>
    </w:p>
    <w:p w14:paraId="206A0F9F" w14:textId="77777777" w:rsidR="00A57704" w:rsidRPr="002D5B20" w:rsidRDefault="00A57704" w:rsidP="00A57704">
      <w:pPr>
        <w:spacing w:after="0"/>
        <w:rPr>
          <w:rFonts w:ascii="Times New Roman" w:hAnsi="Times New Roman"/>
          <w:sz w:val="4"/>
        </w:rPr>
      </w:pPr>
    </w:p>
    <w:p w14:paraId="1FE5FB37" w14:textId="77777777" w:rsidR="00A57704" w:rsidRPr="002D5B20" w:rsidRDefault="00A57704" w:rsidP="00A57704">
      <w:pPr>
        <w:spacing w:after="0"/>
        <w:rPr>
          <w:rFonts w:ascii="Times New Roman" w:hAnsi="Times New Roman"/>
          <w:sz w:val="4"/>
        </w:rPr>
      </w:pPr>
    </w:p>
    <w:p w14:paraId="54E32626" w14:textId="77777777" w:rsidR="00A57704" w:rsidRPr="002D5B20" w:rsidRDefault="00A57704" w:rsidP="00A57704">
      <w:pPr>
        <w:spacing w:after="0"/>
        <w:rPr>
          <w:rFonts w:ascii="Times New Roman" w:hAnsi="Times New Roman"/>
        </w:rPr>
      </w:pPr>
    </w:p>
    <w:p w14:paraId="293B7059"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6851D96D"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233D5F91" wp14:editId="41A80E51">
            <wp:extent cx="3648075" cy="1497133"/>
            <wp:effectExtent l="0" t="0" r="0" b="8255"/>
            <wp:docPr id="280" name="Gráfico 280">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20085D2E-83E3-4203-9F8B-10BECE3358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tbl>
      <w:tblPr>
        <w:tblW w:w="12704" w:type="dxa"/>
        <w:tblInd w:w="-5" w:type="dxa"/>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A57704" w:rsidRPr="00860DCF" w14:paraId="208ED13B"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00B050"/>
            <w:noWrap/>
            <w:hideMark/>
          </w:tcPr>
          <w:p w14:paraId="270F154C"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Luperón/Pto. Plata</w:t>
            </w:r>
          </w:p>
        </w:tc>
        <w:tc>
          <w:tcPr>
            <w:tcW w:w="760" w:type="dxa"/>
            <w:tcBorders>
              <w:top w:val="single" w:sz="4" w:space="0" w:color="auto"/>
              <w:left w:val="nil"/>
              <w:bottom w:val="single" w:sz="4" w:space="0" w:color="auto"/>
              <w:right w:val="single" w:sz="4" w:space="0" w:color="auto"/>
            </w:tcBorders>
            <w:shd w:val="clear" w:color="auto" w:fill="00B050"/>
            <w:noWrap/>
            <w:hideMark/>
          </w:tcPr>
          <w:p w14:paraId="08B0D144"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Ene</w:t>
            </w:r>
          </w:p>
        </w:tc>
        <w:tc>
          <w:tcPr>
            <w:tcW w:w="760" w:type="dxa"/>
            <w:tcBorders>
              <w:top w:val="single" w:sz="4" w:space="0" w:color="auto"/>
              <w:left w:val="nil"/>
              <w:bottom w:val="single" w:sz="4" w:space="0" w:color="auto"/>
              <w:right w:val="single" w:sz="4" w:space="0" w:color="auto"/>
            </w:tcBorders>
            <w:shd w:val="clear" w:color="auto" w:fill="00B050"/>
            <w:noWrap/>
            <w:hideMark/>
          </w:tcPr>
          <w:p w14:paraId="0258CA37"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Feb</w:t>
            </w:r>
          </w:p>
        </w:tc>
        <w:tc>
          <w:tcPr>
            <w:tcW w:w="720" w:type="dxa"/>
            <w:tcBorders>
              <w:top w:val="single" w:sz="4" w:space="0" w:color="auto"/>
              <w:left w:val="nil"/>
              <w:bottom w:val="single" w:sz="4" w:space="0" w:color="auto"/>
              <w:right w:val="single" w:sz="4" w:space="0" w:color="auto"/>
            </w:tcBorders>
            <w:shd w:val="clear" w:color="auto" w:fill="00B050"/>
            <w:noWrap/>
            <w:hideMark/>
          </w:tcPr>
          <w:p w14:paraId="23524F6A"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Mar</w:t>
            </w:r>
          </w:p>
        </w:tc>
        <w:tc>
          <w:tcPr>
            <w:tcW w:w="820" w:type="dxa"/>
            <w:tcBorders>
              <w:top w:val="single" w:sz="4" w:space="0" w:color="auto"/>
              <w:left w:val="nil"/>
              <w:bottom w:val="single" w:sz="4" w:space="0" w:color="auto"/>
              <w:right w:val="single" w:sz="4" w:space="0" w:color="auto"/>
            </w:tcBorders>
            <w:shd w:val="clear" w:color="auto" w:fill="00B050"/>
            <w:noWrap/>
            <w:hideMark/>
          </w:tcPr>
          <w:p w14:paraId="27BD482A"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Abr</w:t>
            </w:r>
          </w:p>
        </w:tc>
        <w:tc>
          <w:tcPr>
            <w:tcW w:w="820" w:type="dxa"/>
            <w:tcBorders>
              <w:top w:val="single" w:sz="4" w:space="0" w:color="auto"/>
              <w:left w:val="nil"/>
              <w:bottom w:val="single" w:sz="4" w:space="0" w:color="auto"/>
              <w:right w:val="single" w:sz="4" w:space="0" w:color="auto"/>
            </w:tcBorders>
            <w:shd w:val="clear" w:color="auto" w:fill="00B050"/>
            <w:noWrap/>
            <w:hideMark/>
          </w:tcPr>
          <w:p w14:paraId="238635A5"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May</w:t>
            </w:r>
          </w:p>
        </w:tc>
        <w:tc>
          <w:tcPr>
            <w:tcW w:w="820" w:type="dxa"/>
            <w:tcBorders>
              <w:top w:val="single" w:sz="4" w:space="0" w:color="auto"/>
              <w:left w:val="nil"/>
              <w:bottom w:val="single" w:sz="4" w:space="0" w:color="auto"/>
              <w:right w:val="single" w:sz="4" w:space="0" w:color="auto"/>
            </w:tcBorders>
            <w:shd w:val="clear" w:color="auto" w:fill="00B050"/>
            <w:noWrap/>
            <w:hideMark/>
          </w:tcPr>
          <w:p w14:paraId="6EC4D23B"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Jun</w:t>
            </w:r>
          </w:p>
        </w:tc>
        <w:tc>
          <w:tcPr>
            <w:tcW w:w="760" w:type="dxa"/>
            <w:tcBorders>
              <w:top w:val="single" w:sz="4" w:space="0" w:color="auto"/>
              <w:left w:val="nil"/>
              <w:bottom w:val="single" w:sz="4" w:space="0" w:color="auto"/>
              <w:right w:val="single" w:sz="4" w:space="0" w:color="auto"/>
            </w:tcBorders>
            <w:shd w:val="clear" w:color="auto" w:fill="00B050"/>
            <w:noWrap/>
            <w:hideMark/>
          </w:tcPr>
          <w:p w14:paraId="0FC212BA"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Jul</w:t>
            </w:r>
          </w:p>
        </w:tc>
        <w:tc>
          <w:tcPr>
            <w:tcW w:w="820" w:type="dxa"/>
            <w:tcBorders>
              <w:top w:val="single" w:sz="4" w:space="0" w:color="auto"/>
              <w:left w:val="nil"/>
              <w:bottom w:val="single" w:sz="4" w:space="0" w:color="auto"/>
              <w:right w:val="single" w:sz="4" w:space="0" w:color="auto"/>
            </w:tcBorders>
            <w:shd w:val="clear" w:color="auto" w:fill="00B050"/>
            <w:noWrap/>
            <w:hideMark/>
          </w:tcPr>
          <w:p w14:paraId="235535A0"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Ago</w:t>
            </w:r>
          </w:p>
        </w:tc>
        <w:tc>
          <w:tcPr>
            <w:tcW w:w="820" w:type="dxa"/>
            <w:tcBorders>
              <w:top w:val="single" w:sz="4" w:space="0" w:color="auto"/>
              <w:left w:val="nil"/>
              <w:bottom w:val="single" w:sz="4" w:space="0" w:color="auto"/>
              <w:right w:val="single" w:sz="4" w:space="0" w:color="auto"/>
            </w:tcBorders>
            <w:shd w:val="clear" w:color="auto" w:fill="00B050"/>
            <w:noWrap/>
            <w:hideMark/>
          </w:tcPr>
          <w:p w14:paraId="16F6FC9D"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Sep</w:t>
            </w:r>
          </w:p>
        </w:tc>
        <w:tc>
          <w:tcPr>
            <w:tcW w:w="820" w:type="dxa"/>
            <w:tcBorders>
              <w:top w:val="single" w:sz="4" w:space="0" w:color="auto"/>
              <w:left w:val="nil"/>
              <w:bottom w:val="single" w:sz="4" w:space="0" w:color="auto"/>
              <w:right w:val="single" w:sz="4" w:space="0" w:color="auto"/>
            </w:tcBorders>
            <w:shd w:val="clear" w:color="auto" w:fill="00B050"/>
            <w:noWrap/>
            <w:hideMark/>
          </w:tcPr>
          <w:p w14:paraId="1C45E370"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Oct</w:t>
            </w:r>
          </w:p>
        </w:tc>
        <w:tc>
          <w:tcPr>
            <w:tcW w:w="760" w:type="dxa"/>
            <w:tcBorders>
              <w:top w:val="single" w:sz="4" w:space="0" w:color="auto"/>
              <w:left w:val="nil"/>
              <w:bottom w:val="single" w:sz="4" w:space="0" w:color="auto"/>
              <w:right w:val="single" w:sz="4" w:space="0" w:color="auto"/>
            </w:tcBorders>
            <w:shd w:val="clear" w:color="auto" w:fill="00B050"/>
            <w:noWrap/>
            <w:hideMark/>
          </w:tcPr>
          <w:p w14:paraId="4032EF58"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Nov</w:t>
            </w:r>
          </w:p>
        </w:tc>
        <w:tc>
          <w:tcPr>
            <w:tcW w:w="720" w:type="dxa"/>
            <w:tcBorders>
              <w:top w:val="single" w:sz="4" w:space="0" w:color="auto"/>
              <w:left w:val="nil"/>
              <w:bottom w:val="single" w:sz="4" w:space="0" w:color="auto"/>
              <w:right w:val="single" w:sz="4" w:space="0" w:color="auto"/>
            </w:tcBorders>
            <w:shd w:val="clear" w:color="auto" w:fill="00B050"/>
            <w:noWrap/>
            <w:hideMark/>
          </w:tcPr>
          <w:p w14:paraId="7D14CA86"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Dic</w:t>
            </w:r>
          </w:p>
        </w:tc>
        <w:tc>
          <w:tcPr>
            <w:tcW w:w="1100" w:type="dxa"/>
            <w:tcBorders>
              <w:top w:val="single" w:sz="4" w:space="0" w:color="auto"/>
              <w:left w:val="nil"/>
              <w:bottom w:val="single" w:sz="4" w:space="0" w:color="auto"/>
              <w:right w:val="single" w:sz="4" w:space="0" w:color="auto"/>
            </w:tcBorders>
            <w:shd w:val="clear" w:color="auto" w:fill="00B050"/>
            <w:noWrap/>
            <w:hideMark/>
          </w:tcPr>
          <w:p w14:paraId="21AA626E"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Año</w:t>
            </w:r>
          </w:p>
        </w:tc>
      </w:tr>
      <w:tr w:rsidR="00A57704" w:rsidRPr="00860DCF" w14:paraId="467B8000"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21FD91E9" w14:textId="77777777" w:rsidR="00A57704" w:rsidRPr="00860DCF" w:rsidRDefault="00A57704" w:rsidP="00A57704">
            <w:pPr>
              <w:spacing w:after="0"/>
              <w:rPr>
                <w:rFonts w:ascii="Times New Roman" w:hAnsi="Times New Roman"/>
              </w:rPr>
            </w:pPr>
            <w:r w:rsidRPr="00860DCF">
              <w:rPr>
                <w:rFonts w:ascii="Times New Roman" w:hAnsi="Times New Roman"/>
              </w:rPr>
              <w:t>Normal</w:t>
            </w:r>
          </w:p>
        </w:tc>
        <w:tc>
          <w:tcPr>
            <w:tcW w:w="760" w:type="dxa"/>
            <w:tcBorders>
              <w:top w:val="single" w:sz="4" w:space="0" w:color="auto"/>
              <w:left w:val="nil"/>
              <w:bottom w:val="single" w:sz="4" w:space="0" w:color="auto"/>
              <w:right w:val="single" w:sz="4" w:space="0" w:color="auto"/>
            </w:tcBorders>
            <w:shd w:val="clear" w:color="auto" w:fill="auto"/>
            <w:noWrap/>
            <w:hideMark/>
          </w:tcPr>
          <w:p w14:paraId="17D36A71" w14:textId="77777777" w:rsidR="00A57704" w:rsidRPr="00860DCF" w:rsidRDefault="00A57704" w:rsidP="00A57704">
            <w:pPr>
              <w:spacing w:after="0"/>
              <w:jc w:val="center"/>
              <w:rPr>
                <w:rFonts w:ascii="Times New Roman" w:hAnsi="Times New Roman"/>
              </w:rPr>
            </w:pPr>
            <w:r w:rsidRPr="00860DCF">
              <w:rPr>
                <w:rFonts w:ascii="Times New Roman" w:hAnsi="Times New Roman"/>
              </w:rPr>
              <w:t>142.0</w:t>
            </w:r>
          </w:p>
        </w:tc>
        <w:tc>
          <w:tcPr>
            <w:tcW w:w="760" w:type="dxa"/>
            <w:tcBorders>
              <w:top w:val="single" w:sz="4" w:space="0" w:color="auto"/>
              <w:left w:val="nil"/>
              <w:bottom w:val="single" w:sz="4" w:space="0" w:color="auto"/>
              <w:right w:val="single" w:sz="4" w:space="0" w:color="auto"/>
            </w:tcBorders>
            <w:shd w:val="clear" w:color="auto" w:fill="auto"/>
            <w:noWrap/>
            <w:hideMark/>
          </w:tcPr>
          <w:p w14:paraId="24A73FE1" w14:textId="77777777" w:rsidR="00A57704" w:rsidRPr="00860DCF" w:rsidRDefault="00A57704" w:rsidP="00A57704">
            <w:pPr>
              <w:spacing w:after="0"/>
              <w:jc w:val="center"/>
              <w:rPr>
                <w:rFonts w:ascii="Times New Roman" w:hAnsi="Times New Roman"/>
              </w:rPr>
            </w:pPr>
            <w:r w:rsidRPr="00860DCF">
              <w:rPr>
                <w:rFonts w:ascii="Times New Roman" w:hAnsi="Times New Roman"/>
              </w:rPr>
              <w:t>103.5</w:t>
            </w:r>
          </w:p>
        </w:tc>
        <w:tc>
          <w:tcPr>
            <w:tcW w:w="720" w:type="dxa"/>
            <w:tcBorders>
              <w:top w:val="single" w:sz="4" w:space="0" w:color="auto"/>
              <w:left w:val="nil"/>
              <w:bottom w:val="single" w:sz="4" w:space="0" w:color="auto"/>
              <w:right w:val="single" w:sz="4" w:space="0" w:color="auto"/>
            </w:tcBorders>
            <w:shd w:val="clear" w:color="auto" w:fill="auto"/>
            <w:noWrap/>
            <w:hideMark/>
          </w:tcPr>
          <w:p w14:paraId="3F4A5183" w14:textId="77777777" w:rsidR="00A57704" w:rsidRPr="00860DCF" w:rsidRDefault="00A57704" w:rsidP="00A57704">
            <w:pPr>
              <w:spacing w:after="0"/>
              <w:jc w:val="center"/>
              <w:rPr>
                <w:rFonts w:ascii="Times New Roman" w:hAnsi="Times New Roman"/>
              </w:rPr>
            </w:pPr>
            <w:r w:rsidRPr="00860DCF">
              <w:rPr>
                <w:rFonts w:ascii="Times New Roman" w:hAnsi="Times New Roman"/>
              </w:rPr>
              <w:t>97.6</w:t>
            </w:r>
          </w:p>
        </w:tc>
        <w:tc>
          <w:tcPr>
            <w:tcW w:w="820" w:type="dxa"/>
            <w:tcBorders>
              <w:top w:val="single" w:sz="4" w:space="0" w:color="auto"/>
              <w:left w:val="nil"/>
              <w:bottom w:val="single" w:sz="4" w:space="0" w:color="auto"/>
              <w:right w:val="single" w:sz="4" w:space="0" w:color="auto"/>
            </w:tcBorders>
            <w:shd w:val="clear" w:color="auto" w:fill="auto"/>
            <w:noWrap/>
            <w:hideMark/>
          </w:tcPr>
          <w:p w14:paraId="2125DFF7" w14:textId="77777777" w:rsidR="00A57704" w:rsidRPr="00860DCF" w:rsidRDefault="00A57704" w:rsidP="00A57704">
            <w:pPr>
              <w:spacing w:after="0"/>
              <w:jc w:val="center"/>
              <w:rPr>
                <w:rFonts w:ascii="Times New Roman" w:hAnsi="Times New Roman"/>
              </w:rPr>
            </w:pPr>
            <w:r w:rsidRPr="00860DCF">
              <w:rPr>
                <w:rFonts w:ascii="Times New Roman" w:hAnsi="Times New Roman"/>
              </w:rPr>
              <w:t>99.8</w:t>
            </w:r>
          </w:p>
        </w:tc>
        <w:tc>
          <w:tcPr>
            <w:tcW w:w="820" w:type="dxa"/>
            <w:tcBorders>
              <w:top w:val="single" w:sz="4" w:space="0" w:color="auto"/>
              <w:left w:val="nil"/>
              <w:bottom w:val="single" w:sz="4" w:space="0" w:color="auto"/>
              <w:right w:val="single" w:sz="4" w:space="0" w:color="auto"/>
            </w:tcBorders>
            <w:shd w:val="clear" w:color="auto" w:fill="auto"/>
            <w:noWrap/>
            <w:hideMark/>
          </w:tcPr>
          <w:p w14:paraId="450DC43F" w14:textId="77777777" w:rsidR="00A57704" w:rsidRPr="00860DCF" w:rsidRDefault="00A57704" w:rsidP="00A57704">
            <w:pPr>
              <w:spacing w:after="0"/>
              <w:jc w:val="center"/>
              <w:rPr>
                <w:rFonts w:ascii="Times New Roman" w:hAnsi="Times New Roman"/>
              </w:rPr>
            </w:pPr>
            <w:r w:rsidRPr="00860DCF">
              <w:rPr>
                <w:rFonts w:ascii="Times New Roman" w:hAnsi="Times New Roman"/>
              </w:rPr>
              <w:t>91.5</w:t>
            </w:r>
          </w:p>
        </w:tc>
        <w:tc>
          <w:tcPr>
            <w:tcW w:w="820" w:type="dxa"/>
            <w:tcBorders>
              <w:top w:val="single" w:sz="4" w:space="0" w:color="auto"/>
              <w:left w:val="nil"/>
              <w:bottom w:val="single" w:sz="4" w:space="0" w:color="auto"/>
              <w:right w:val="single" w:sz="4" w:space="0" w:color="auto"/>
            </w:tcBorders>
            <w:shd w:val="clear" w:color="auto" w:fill="auto"/>
            <w:noWrap/>
            <w:hideMark/>
          </w:tcPr>
          <w:p w14:paraId="3C2E8399" w14:textId="77777777" w:rsidR="00A57704" w:rsidRPr="00860DCF" w:rsidRDefault="00A57704" w:rsidP="00A57704">
            <w:pPr>
              <w:spacing w:after="0"/>
              <w:jc w:val="center"/>
              <w:rPr>
                <w:rFonts w:ascii="Times New Roman" w:hAnsi="Times New Roman"/>
              </w:rPr>
            </w:pPr>
            <w:r w:rsidRPr="00860DCF">
              <w:rPr>
                <w:rFonts w:ascii="Times New Roman" w:hAnsi="Times New Roman"/>
              </w:rPr>
              <w:t>30.2</w:t>
            </w:r>
          </w:p>
        </w:tc>
        <w:tc>
          <w:tcPr>
            <w:tcW w:w="760" w:type="dxa"/>
            <w:tcBorders>
              <w:top w:val="single" w:sz="4" w:space="0" w:color="auto"/>
              <w:left w:val="nil"/>
              <w:bottom w:val="single" w:sz="4" w:space="0" w:color="auto"/>
              <w:right w:val="single" w:sz="4" w:space="0" w:color="auto"/>
            </w:tcBorders>
            <w:shd w:val="clear" w:color="auto" w:fill="auto"/>
            <w:noWrap/>
            <w:hideMark/>
          </w:tcPr>
          <w:p w14:paraId="5F7B4ED6" w14:textId="77777777" w:rsidR="00A57704" w:rsidRPr="00860DCF" w:rsidRDefault="00A57704" w:rsidP="00A57704">
            <w:pPr>
              <w:spacing w:after="0"/>
              <w:jc w:val="center"/>
              <w:rPr>
                <w:rFonts w:ascii="Times New Roman" w:hAnsi="Times New Roman"/>
              </w:rPr>
            </w:pPr>
            <w:r w:rsidRPr="00860DCF">
              <w:rPr>
                <w:rFonts w:ascii="Times New Roman" w:hAnsi="Times New Roman"/>
              </w:rPr>
              <w:t>37.9</w:t>
            </w:r>
          </w:p>
        </w:tc>
        <w:tc>
          <w:tcPr>
            <w:tcW w:w="820" w:type="dxa"/>
            <w:tcBorders>
              <w:top w:val="single" w:sz="4" w:space="0" w:color="auto"/>
              <w:left w:val="nil"/>
              <w:bottom w:val="single" w:sz="4" w:space="0" w:color="auto"/>
              <w:right w:val="single" w:sz="4" w:space="0" w:color="auto"/>
            </w:tcBorders>
            <w:shd w:val="clear" w:color="auto" w:fill="auto"/>
            <w:noWrap/>
            <w:hideMark/>
          </w:tcPr>
          <w:p w14:paraId="188C41CF" w14:textId="77777777" w:rsidR="00A57704" w:rsidRPr="00860DCF" w:rsidRDefault="00A57704" w:rsidP="00A57704">
            <w:pPr>
              <w:spacing w:after="0"/>
              <w:jc w:val="center"/>
              <w:rPr>
                <w:rFonts w:ascii="Times New Roman" w:hAnsi="Times New Roman"/>
              </w:rPr>
            </w:pPr>
            <w:r w:rsidRPr="00860DCF">
              <w:rPr>
                <w:rFonts w:ascii="Times New Roman" w:hAnsi="Times New Roman"/>
              </w:rPr>
              <w:t>40.7</w:t>
            </w:r>
          </w:p>
        </w:tc>
        <w:tc>
          <w:tcPr>
            <w:tcW w:w="820" w:type="dxa"/>
            <w:tcBorders>
              <w:top w:val="single" w:sz="4" w:space="0" w:color="auto"/>
              <w:left w:val="nil"/>
              <w:bottom w:val="single" w:sz="4" w:space="0" w:color="auto"/>
              <w:right w:val="single" w:sz="4" w:space="0" w:color="auto"/>
            </w:tcBorders>
            <w:shd w:val="clear" w:color="auto" w:fill="auto"/>
            <w:noWrap/>
            <w:hideMark/>
          </w:tcPr>
          <w:p w14:paraId="57C56269" w14:textId="77777777" w:rsidR="00A57704" w:rsidRPr="00860DCF" w:rsidRDefault="00A57704" w:rsidP="00A57704">
            <w:pPr>
              <w:spacing w:after="0"/>
              <w:jc w:val="center"/>
              <w:rPr>
                <w:rFonts w:ascii="Times New Roman" w:hAnsi="Times New Roman"/>
              </w:rPr>
            </w:pPr>
            <w:r w:rsidRPr="00860DCF">
              <w:rPr>
                <w:rFonts w:ascii="Times New Roman" w:hAnsi="Times New Roman"/>
              </w:rPr>
              <w:t>66.3</w:t>
            </w:r>
          </w:p>
        </w:tc>
        <w:tc>
          <w:tcPr>
            <w:tcW w:w="820" w:type="dxa"/>
            <w:tcBorders>
              <w:top w:val="single" w:sz="4" w:space="0" w:color="auto"/>
              <w:left w:val="nil"/>
              <w:bottom w:val="single" w:sz="4" w:space="0" w:color="auto"/>
              <w:right w:val="single" w:sz="4" w:space="0" w:color="auto"/>
            </w:tcBorders>
            <w:shd w:val="clear" w:color="auto" w:fill="auto"/>
            <w:noWrap/>
            <w:hideMark/>
          </w:tcPr>
          <w:p w14:paraId="4A5D4989" w14:textId="77777777" w:rsidR="00A57704" w:rsidRPr="00860DCF" w:rsidRDefault="00A57704" w:rsidP="00A57704">
            <w:pPr>
              <w:spacing w:after="0"/>
              <w:jc w:val="center"/>
              <w:rPr>
                <w:rFonts w:ascii="Times New Roman" w:hAnsi="Times New Roman"/>
              </w:rPr>
            </w:pPr>
            <w:r w:rsidRPr="00860DCF">
              <w:rPr>
                <w:rFonts w:ascii="Times New Roman" w:hAnsi="Times New Roman"/>
              </w:rPr>
              <w:t>107.9</w:t>
            </w:r>
          </w:p>
        </w:tc>
        <w:tc>
          <w:tcPr>
            <w:tcW w:w="760" w:type="dxa"/>
            <w:tcBorders>
              <w:top w:val="single" w:sz="4" w:space="0" w:color="auto"/>
              <w:left w:val="nil"/>
              <w:bottom w:val="single" w:sz="4" w:space="0" w:color="auto"/>
              <w:right w:val="single" w:sz="4" w:space="0" w:color="auto"/>
            </w:tcBorders>
            <w:shd w:val="clear" w:color="auto" w:fill="auto"/>
            <w:noWrap/>
            <w:hideMark/>
          </w:tcPr>
          <w:p w14:paraId="77DADC1E" w14:textId="77777777" w:rsidR="00A57704" w:rsidRPr="00860DCF" w:rsidRDefault="00A57704" w:rsidP="00A57704">
            <w:pPr>
              <w:spacing w:after="0"/>
              <w:jc w:val="center"/>
              <w:rPr>
                <w:rFonts w:ascii="Times New Roman" w:hAnsi="Times New Roman"/>
              </w:rPr>
            </w:pPr>
            <w:r w:rsidRPr="00860DCF">
              <w:rPr>
                <w:rFonts w:ascii="Times New Roman" w:hAnsi="Times New Roman"/>
              </w:rPr>
              <w:t>163.9</w:t>
            </w:r>
          </w:p>
        </w:tc>
        <w:tc>
          <w:tcPr>
            <w:tcW w:w="720" w:type="dxa"/>
            <w:tcBorders>
              <w:top w:val="single" w:sz="4" w:space="0" w:color="auto"/>
              <w:left w:val="nil"/>
              <w:bottom w:val="single" w:sz="4" w:space="0" w:color="auto"/>
              <w:right w:val="single" w:sz="4" w:space="0" w:color="auto"/>
            </w:tcBorders>
            <w:shd w:val="clear" w:color="auto" w:fill="auto"/>
            <w:noWrap/>
            <w:hideMark/>
          </w:tcPr>
          <w:p w14:paraId="223B5274" w14:textId="77777777" w:rsidR="00A57704" w:rsidRPr="00860DCF" w:rsidRDefault="00A57704" w:rsidP="00A57704">
            <w:pPr>
              <w:spacing w:after="0"/>
              <w:jc w:val="center"/>
              <w:rPr>
                <w:rFonts w:ascii="Times New Roman" w:hAnsi="Times New Roman"/>
              </w:rPr>
            </w:pPr>
            <w:r w:rsidRPr="00860DCF">
              <w:rPr>
                <w:rFonts w:ascii="Times New Roman" w:hAnsi="Times New Roman"/>
              </w:rPr>
              <w:t>171.5</w:t>
            </w:r>
          </w:p>
        </w:tc>
        <w:tc>
          <w:tcPr>
            <w:tcW w:w="1100" w:type="dxa"/>
            <w:tcBorders>
              <w:top w:val="single" w:sz="4" w:space="0" w:color="auto"/>
              <w:left w:val="nil"/>
              <w:bottom w:val="single" w:sz="4" w:space="0" w:color="auto"/>
              <w:right w:val="single" w:sz="4" w:space="0" w:color="auto"/>
            </w:tcBorders>
            <w:shd w:val="clear" w:color="auto" w:fill="auto"/>
            <w:noWrap/>
            <w:hideMark/>
          </w:tcPr>
          <w:p w14:paraId="58D6E0D0" w14:textId="77777777" w:rsidR="00A57704" w:rsidRPr="00860DCF" w:rsidRDefault="00A57704" w:rsidP="00A57704">
            <w:pPr>
              <w:spacing w:after="0"/>
              <w:jc w:val="center"/>
              <w:rPr>
                <w:rFonts w:ascii="Times New Roman" w:hAnsi="Times New Roman"/>
              </w:rPr>
            </w:pPr>
            <w:r w:rsidRPr="00860DCF">
              <w:rPr>
                <w:rFonts w:ascii="Times New Roman" w:hAnsi="Times New Roman"/>
              </w:rPr>
              <w:t>1,152.8</w:t>
            </w:r>
          </w:p>
        </w:tc>
      </w:tr>
      <w:tr w:rsidR="00A57704" w:rsidRPr="00860DCF" w14:paraId="655D0ADC"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0AEA642F" w14:textId="77777777" w:rsidR="00A57704" w:rsidRPr="00860DCF" w:rsidRDefault="00A57704" w:rsidP="00A57704">
            <w:pPr>
              <w:spacing w:after="0"/>
              <w:rPr>
                <w:rFonts w:ascii="Times New Roman" w:hAnsi="Times New Roman"/>
              </w:rPr>
            </w:pPr>
            <w:r w:rsidRPr="00860DCF">
              <w:rPr>
                <w:rFonts w:ascii="Times New Roman" w:hAnsi="Times New Roman"/>
              </w:rPr>
              <w:t xml:space="preserve">Precipitación </w:t>
            </w:r>
            <w:r>
              <w:rPr>
                <w:rFonts w:ascii="Times New Roman" w:hAnsi="Times New Roman"/>
              </w:rPr>
              <w:t>2019</w:t>
            </w:r>
          </w:p>
        </w:tc>
        <w:tc>
          <w:tcPr>
            <w:tcW w:w="760" w:type="dxa"/>
            <w:tcBorders>
              <w:top w:val="single" w:sz="4" w:space="0" w:color="auto"/>
              <w:left w:val="nil"/>
              <w:bottom w:val="single" w:sz="4" w:space="0" w:color="auto"/>
              <w:right w:val="single" w:sz="4" w:space="0" w:color="auto"/>
            </w:tcBorders>
            <w:shd w:val="clear" w:color="auto" w:fill="auto"/>
            <w:noWrap/>
            <w:hideMark/>
          </w:tcPr>
          <w:p w14:paraId="5D120CEE" w14:textId="77777777" w:rsidR="00A57704" w:rsidRPr="00860DCF" w:rsidRDefault="00A57704" w:rsidP="00A57704">
            <w:pPr>
              <w:spacing w:after="0"/>
              <w:jc w:val="center"/>
              <w:rPr>
                <w:rFonts w:ascii="Times New Roman" w:hAnsi="Times New Roman"/>
              </w:rPr>
            </w:pPr>
            <w:r>
              <w:rPr>
                <w:rFonts w:ascii="Times New Roman" w:hAnsi="Times New Roman"/>
              </w:rPr>
              <w:t>0.5</w:t>
            </w:r>
          </w:p>
        </w:tc>
        <w:tc>
          <w:tcPr>
            <w:tcW w:w="760" w:type="dxa"/>
            <w:tcBorders>
              <w:top w:val="single" w:sz="4" w:space="0" w:color="auto"/>
              <w:left w:val="nil"/>
              <w:bottom w:val="single" w:sz="4" w:space="0" w:color="auto"/>
              <w:right w:val="single" w:sz="4" w:space="0" w:color="auto"/>
            </w:tcBorders>
            <w:shd w:val="clear" w:color="auto" w:fill="auto"/>
            <w:noWrap/>
            <w:hideMark/>
          </w:tcPr>
          <w:p w14:paraId="1886E699" w14:textId="77777777" w:rsidR="00A57704" w:rsidRPr="00860DCF" w:rsidRDefault="00A57704" w:rsidP="00A57704">
            <w:pPr>
              <w:spacing w:after="0"/>
              <w:jc w:val="center"/>
              <w:rPr>
                <w:rFonts w:ascii="Times New Roman" w:hAnsi="Times New Roman"/>
              </w:rPr>
            </w:pPr>
            <w:r>
              <w:rPr>
                <w:rFonts w:ascii="Times New Roman" w:hAnsi="Times New Roman"/>
              </w:rPr>
              <w:t>25.1</w:t>
            </w:r>
          </w:p>
        </w:tc>
        <w:tc>
          <w:tcPr>
            <w:tcW w:w="720" w:type="dxa"/>
            <w:tcBorders>
              <w:top w:val="single" w:sz="4" w:space="0" w:color="auto"/>
              <w:left w:val="nil"/>
              <w:bottom w:val="single" w:sz="4" w:space="0" w:color="auto"/>
              <w:right w:val="single" w:sz="4" w:space="0" w:color="auto"/>
            </w:tcBorders>
            <w:shd w:val="clear" w:color="auto" w:fill="auto"/>
            <w:noWrap/>
            <w:hideMark/>
          </w:tcPr>
          <w:p w14:paraId="0A4930C9" w14:textId="77777777" w:rsidR="00A57704" w:rsidRPr="00860DCF" w:rsidRDefault="00A57704" w:rsidP="00A57704">
            <w:pPr>
              <w:spacing w:after="0"/>
              <w:jc w:val="center"/>
              <w:rPr>
                <w:rFonts w:ascii="Times New Roman" w:hAnsi="Times New Roman"/>
              </w:rPr>
            </w:pPr>
            <w:r>
              <w:rPr>
                <w:rFonts w:ascii="Times New Roman" w:hAnsi="Times New Roman"/>
              </w:rPr>
              <w:t>3.8</w:t>
            </w:r>
          </w:p>
        </w:tc>
        <w:tc>
          <w:tcPr>
            <w:tcW w:w="820" w:type="dxa"/>
            <w:tcBorders>
              <w:top w:val="single" w:sz="4" w:space="0" w:color="auto"/>
              <w:left w:val="nil"/>
              <w:bottom w:val="single" w:sz="4" w:space="0" w:color="auto"/>
              <w:right w:val="single" w:sz="4" w:space="0" w:color="auto"/>
            </w:tcBorders>
            <w:shd w:val="clear" w:color="auto" w:fill="auto"/>
            <w:noWrap/>
            <w:hideMark/>
          </w:tcPr>
          <w:p w14:paraId="34E14126" w14:textId="77777777" w:rsidR="00A57704" w:rsidRPr="00860DCF" w:rsidRDefault="00A57704" w:rsidP="00A57704">
            <w:pPr>
              <w:spacing w:after="0"/>
              <w:jc w:val="center"/>
              <w:rPr>
                <w:rFonts w:ascii="Times New Roman" w:hAnsi="Times New Roman"/>
              </w:rPr>
            </w:pPr>
            <w:r>
              <w:rPr>
                <w:rFonts w:ascii="Times New Roman" w:hAnsi="Times New Roman"/>
              </w:rPr>
              <w:t>0</w:t>
            </w:r>
          </w:p>
        </w:tc>
        <w:tc>
          <w:tcPr>
            <w:tcW w:w="820" w:type="dxa"/>
            <w:tcBorders>
              <w:top w:val="single" w:sz="4" w:space="0" w:color="auto"/>
              <w:left w:val="nil"/>
              <w:bottom w:val="single" w:sz="4" w:space="0" w:color="auto"/>
              <w:right w:val="single" w:sz="4" w:space="0" w:color="auto"/>
            </w:tcBorders>
            <w:shd w:val="clear" w:color="auto" w:fill="auto"/>
            <w:noWrap/>
            <w:hideMark/>
          </w:tcPr>
          <w:p w14:paraId="408D1623" w14:textId="77777777" w:rsidR="00A57704" w:rsidRPr="00860DCF" w:rsidRDefault="00A57704" w:rsidP="00A57704">
            <w:pPr>
              <w:spacing w:after="0"/>
              <w:jc w:val="center"/>
              <w:rPr>
                <w:rFonts w:ascii="Times New Roman" w:hAnsi="Times New Roman"/>
              </w:rPr>
            </w:pPr>
            <w:r>
              <w:rPr>
                <w:rFonts w:ascii="Times New Roman" w:hAnsi="Times New Roman"/>
              </w:rPr>
              <w:t>0</w:t>
            </w:r>
          </w:p>
        </w:tc>
        <w:tc>
          <w:tcPr>
            <w:tcW w:w="820" w:type="dxa"/>
            <w:tcBorders>
              <w:top w:val="single" w:sz="4" w:space="0" w:color="auto"/>
              <w:left w:val="nil"/>
              <w:bottom w:val="single" w:sz="4" w:space="0" w:color="auto"/>
              <w:right w:val="single" w:sz="4" w:space="0" w:color="auto"/>
            </w:tcBorders>
            <w:shd w:val="clear" w:color="auto" w:fill="auto"/>
            <w:noWrap/>
            <w:hideMark/>
          </w:tcPr>
          <w:p w14:paraId="7F97138E" w14:textId="77777777" w:rsidR="00A57704" w:rsidRPr="00860DCF" w:rsidRDefault="00A57704" w:rsidP="00A57704">
            <w:pPr>
              <w:spacing w:after="0"/>
              <w:jc w:val="center"/>
              <w:rPr>
                <w:rFonts w:ascii="Times New Roman" w:hAnsi="Times New Roman"/>
              </w:rPr>
            </w:pPr>
            <w:r>
              <w:rPr>
                <w:rFonts w:ascii="Times New Roman" w:hAnsi="Times New Roman"/>
              </w:rPr>
              <w:t>39.6</w:t>
            </w:r>
          </w:p>
        </w:tc>
        <w:tc>
          <w:tcPr>
            <w:tcW w:w="760" w:type="dxa"/>
            <w:tcBorders>
              <w:top w:val="single" w:sz="4" w:space="0" w:color="auto"/>
              <w:left w:val="nil"/>
              <w:bottom w:val="single" w:sz="4" w:space="0" w:color="auto"/>
              <w:right w:val="single" w:sz="4" w:space="0" w:color="auto"/>
            </w:tcBorders>
            <w:shd w:val="clear" w:color="auto" w:fill="auto"/>
            <w:noWrap/>
            <w:hideMark/>
          </w:tcPr>
          <w:p w14:paraId="61D61C6E" w14:textId="77777777" w:rsidR="00A57704" w:rsidRPr="00860DCF" w:rsidRDefault="00A57704" w:rsidP="00A57704">
            <w:pPr>
              <w:spacing w:after="0"/>
              <w:jc w:val="center"/>
              <w:rPr>
                <w:rFonts w:ascii="Times New Roman" w:hAnsi="Times New Roman"/>
              </w:rPr>
            </w:pPr>
            <w:r>
              <w:rPr>
                <w:rFonts w:ascii="Times New Roman" w:hAnsi="Times New Roman"/>
              </w:rPr>
              <w:t>1.2</w:t>
            </w:r>
          </w:p>
        </w:tc>
        <w:tc>
          <w:tcPr>
            <w:tcW w:w="820" w:type="dxa"/>
            <w:tcBorders>
              <w:top w:val="single" w:sz="4" w:space="0" w:color="auto"/>
              <w:left w:val="nil"/>
              <w:bottom w:val="single" w:sz="4" w:space="0" w:color="auto"/>
              <w:right w:val="single" w:sz="4" w:space="0" w:color="auto"/>
            </w:tcBorders>
            <w:shd w:val="clear" w:color="auto" w:fill="auto"/>
            <w:noWrap/>
            <w:hideMark/>
          </w:tcPr>
          <w:p w14:paraId="6E0D8CE3" w14:textId="77777777" w:rsidR="00A57704" w:rsidRPr="00860DCF" w:rsidRDefault="00A57704" w:rsidP="00A57704">
            <w:pPr>
              <w:spacing w:after="0"/>
              <w:jc w:val="center"/>
              <w:rPr>
                <w:rFonts w:ascii="Times New Roman" w:hAnsi="Times New Roman"/>
              </w:rPr>
            </w:pPr>
            <w:r>
              <w:rPr>
                <w:rFonts w:ascii="Times New Roman" w:hAnsi="Times New Roman"/>
              </w:rPr>
              <w:t>1.0</w:t>
            </w:r>
          </w:p>
        </w:tc>
        <w:tc>
          <w:tcPr>
            <w:tcW w:w="820" w:type="dxa"/>
            <w:tcBorders>
              <w:top w:val="single" w:sz="4" w:space="0" w:color="auto"/>
              <w:left w:val="nil"/>
              <w:bottom w:val="single" w:sz="4" w:space="0" w:color="auto"/>
              <w:right w:val="single" w:sz="4" w:space="0" w:color="auto"/>
            </w:tcBorders>
            <w:shd w:val="clear" w:color="auto" w:fill="auto"/>
            <w:noWrap/>
            <w:hideMark/>
          </w:tcPr>
          <w:p w14:paraId="18E2D402" w14:textId="77777777" w:rsidR="00A57704" w:rsidRPr="00860DCF" w:rsidRDefault="00A57704" w:rsidP="00A57704">
            <w:pPr>
              <w:spacing w:after="0"/>
              <w:jc w:val="center"/>
              <w:rPr>
                <w:rFonts w:ascii="Times New Roman" w:hAnsi="Times New Roman"/>
              </w:rPr>
            </w:pPr>
            <w:r>
              <w:rPr>
                <w:rFonts w:ascii="Times New Roman" w:hAnsi="Times New Roman"/>
              </w:rPr>
              <w:t>46.3</w:t>
            </w:r>
          </w:p>
        </w:tc>
        <w:tc>
          <w:tcPr>
            <w:tcW w:w="820" w:type="dxa"/>
            <w:tcBorders>
              <w:top w:val="single" w:sz="4" w:space="0" w:color="auto"/>
              <w:left w:val="nil"/>
              <w:bottom w:val="single" w:sz="4" w:space="0" w:color="auto"/>
              <w:right w:val="single" w:sz="4" w:space="0" w:color="auto"/>
            </w:tcBorders>
            <w:shd w:val="clear" w:color="auto" w:fill="auto"/>
            <w:noWrap/>
            <w:hideMark/>
          </w:tcPr>
          <w:p w14:paraId="50EC07CC" w14:textId="77777777" w:rsidR="00A57704" w:rsidRPr="00860DCF" w:rsidRDefault="00A57704" w:rsidP="00A57704">
            <w:pPr>
              <w:spacing w:after="0"/>
              <w:jc w:val="center"/>
              <w:rPr>
                <w:rFonts w:ascii="Times New Roman" w:hAnsi="Times New Roman"/>
              </w:rPr>
            </w:pPr>
            <w:r>
              <w:rPr>
                <w:rFonts w:ascii="Times New Roman" w:hAnsi="Times New Roman"/>
              </w:rPr>
              <w:t>0.4</w:t>
            </w:r>
          </w:p>
        </w:tc>
        <w:tc>
          <w:tcPr>
            <w:tcW w:w="760" w:type="dxa"/>
            <w:tcBorders>
              <w:top w:val="single" w:sz="4" w:space="0" w:color="auto"/>
              <w:left w:val="nil"/>
              <w:bottom w:val="single" w:sz="4" w:space="0" w:color="auto"/>
              <w:right w:val="single" w:sz="4" w:space="0" w:color="auto"/>
            </w:tcBorders>
            <w:shd w:val="clear" w:color="auto" w:fill="auto"/>
            <w:noWrap/>
            <w:hideMark/>
          </w:tcPr>
          <w:p w14:paraId="09F40A5C" w14:textId="77777777" w:rsidR="00A57704" w:rsidRPr="00860DCF" w:rsidRDefault="00A57704" w:rsidP="00A57704">
            <w:pPr>
              <w:spacing w:after="0"/>
              <w:jc w:val="center"/>
              <w:rPr>
                <w:rFonts w:ascii="Times New Roman" w:hAnsi="Times New Roman"/>
              </w:rPr>
            </w:pPr>
            <w:r>
              <w:rPr>
                <w:rFonts w:ascii="Times New Roman" w:hAnsi="Times New Roman"/>
              </w:rPr>
              <w:t>48.3</w:t>
            </w:r>
          </w:p>
        </w:tc>
        <w:tc>
          <w:tcPr>
            <w:tcW w:w="720" w:type="dxa"/>
            <w:tcBorders>
              <w:top w:val="single" w:sz="4" w:space="0" w:color="auto"/>
              <w:left w:val="nil"/>
              <w:bottom w:val="single" w:sz="4" w:space="0" w:color="auto"/>
              <w:right w:val="single" w:sz="4" w:space="0" w:color="auto"/>
            </w:tcBorders>
            <w:shd w:val="clear" w:color="auto" w:fill="auto"/>
            <w:noWrap/>
            <w:hideMark/>
          </w:tcPr>
          <w:p w14:paraId="723E1873" w14:textId="77777777" w:rsidR="00A57704" w:rsidRPr="00860DCF" w:rsidRDefault="00A57704" w:rsidP="00A57704">
            <w:pPr>
              <w:spacing w:after="0"/>
              <w:jc w:val="center"/>
              <w:rPr>
                <w:rFonts w:ascii="Times New Roman" w:hAnsi="Times New Roman"/>
              </w:rPr>
            </w:pPr>
            <w:r>
              <w:rPr>
                <w:rFonts w:ascii="Times New Roman" w:hAnsi="Times New Roman"/>
              </w:rPr>
              <w:t>0</w:t>
            </w:r>
          </w:p>
        </w:tc>
        <w:tc>
          <w:tcPr>
            <w:tcW w:w="1100" w:type="dxa"/>
            <w:tcBorders>
              <w:top w:val="single" w:sz="4" w:space="0" w:color="auto"/>
              <w:left w:val="nil"/>
              <w:bottom w:val="single" w:sz="4" w:space="0" w:color="auto"/>
              <w:right w:val="single" w:sz="4" w:space="0" w:color="auto"/>
            </w:tcBorders>
            <w:shd w:val="clear" w:color="auto" w:fill="auto"/>
            <w:noWrap/>
            <w:hideMark/>
          </w:tcPr>
          <w:p w14:paraId="533CFA59" w14:textId="77777777" w:rsidR="00A57704" w:rsidRPr="00860DCF" w:rsidRDefault="00A57704" w:rsidP="00A57704">
            <w:pPr>
              <w:spacing w:after="0"/>
              <w:jc w:val="center"/>
              <w:rPr>
                <w:rFonts w:ascii="Times New Roman" w:hAnsi="Times New Roman"/>
              </w:rPr>
            </w:pPr>
            <w:r>
              <w:rPr>
                <w:rFonts w:ascii="Times New Roman" w:hAnsi="Times New Roman"/>
              </w:rPr>
              <w:t>166.2</w:t>
            </w:r>
          </w:p>
        </w:tc>
      </w:tr>
      <w:tr w:rsidR="00A57704" w:rsidRPr="00860DCF" w14:paraId="065C015A"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3D7694A8" w14:textId="77777777" w:rsidR="00A57704" w:rsidRPr="00860DCF" w:rsidRDefault="00A57704" w:rsidP="00A57704">
            <w:pPr>
              <w:spacing w:after="0"/>
              <w:rPr>
                <w:rFonts w:ascii="Times New Roman" w:hAnsi="Times New Roman"/>
              </w:rPr>
            </w:pPr>
            <w:r w:rsidRPr="00860DCF">
              <w:rPr>
                <w:rFonts w:ascii="Times New Roman" w:hAnsi="Times New Roman"/>
              </w:rPr>
              <w:t>D. Prec (%)</w:t>
            </w:r>
          </w:p>
        </w:tc>
        <w:tc>
          <w:tcPr>
            <w:tcW w:w="760" w:type="dxa"/>
            <w:tcBorders>
              <w:top w:val="single" w:sz="4" w:space="0" w:color="auto"/>
              <w:left w:val="nil"/>
              <w:bottom w:val="single" w:sz="4" w:space="0" w:color="auto"/>
              <w:right w:val="single" w:sz="4" w:space="0" w:color="auto"/>
            </w:tcBorders>
            <w:shd w:val="clear" w:color="auto" w:fill="auto"/>
            <w:noWrap/>
            <w:hideMark/>
          </w:tcPr>
          <w:p w14:paraId="0931B8BE" w14:textId="77777777" w:rsidR="00A57704" w:rsidRPr="00860DCF" w:rsidRDefault="00A57704" w:rsidP="00A57704">
            <w:pPr>
              <w:spacing w:after="0"/>
              <w:jc w:val="center"/>
              <w:rPr>
                <w:rFonts w:ascii="Times New Roman" w:hAnsi="Times New Roman"/>
              </w:rPr>
            </w:pPr>
            <w:r>
              <w:rPr>
                <w:rFonts w:ascii="Times New Roman" w:hAnsi="Times New Roman"/>
              </w:rPr>
              <w:t>-99.6</w:t>
            </w:r>
          </w:p>
        </w:tc>
        <w:tc>
          <w:tcPr>
            <w:tcW w:w="760" w:type="dxa"/>
            <w:tcBorders>
              <w:top w:val="single" w:sz="4" w:space="0" w:color="auto"/>
              <w:left w:val="nil"/>
              <w:bottom w:val="single" w:sz="4" w:space="0" w:color="auto"/>
              <w:right w:val="single" w:sz="4" w:space="0" w:color="auto"/>
            </w:tcBorders>
            <w:shd w:val="clear" w:color="auto" w:fill="auto"/>
            <w:noWrap/>
            <w:hideMark/>
          </w:tcPr>
          <w:p w14:paraId="5388FDFB" w14:textId="77777777" w:rsidR="00A57704" w:rsidRPr="00860DCF" w:rsidRDefault="00A57704" w:rsidP="00A57704">
            <w:pPr>
              <w:spacing w:after="0"/>
              <w:jc w:val="center"/>
              <w:rPr>
                <w:rFonts w:ascii="Times New Roman" w:hAnsi="Times New Roman"/>
              </w:rPr>
            </w:pPr>
            <w:r>
              <w:rPr>
                <w:rFonts w:ascii="Times New Roman" w:hAnsi="Times New Roman"/>
              </w:rPr>
              <w:t>-75.7</w:t>
            </w:r>
          </w:p>
        </w:tc>
        <w:tc>
          <w:tcPr>
            <w:tcW w:w="720" w:type="dxa"/>
            <w:tcBorders>
              <w:top w:val="single" w:sz="4" w:space="0" w:color="auto"/>
              <w:left w:val="nil"/>
              <w:bottom w:val="single" w:sz="4" w:space="0" w:color="auto"/>
              <w:right w:val="single" w:sz="4" w:space="0" w:color="auto"/>
            </w:tcBorders>
            <w:shd w:val="clear" w:color="auto" w:fill="auto"/>
            <w:noWrap/>
            <w:hideMark/>
          </w:tcPr>
          <w:p w14:paraId="49845F6C" w14:textId="77777777" w:rsidR="00A57704" w:rsidRPr="00860DCF" w:rsidRDefault="00A57704" w:rsidP="00A57704">
            <w:pPr>
              <w:spacing w:after="0"/>
              <w:jc w:val="center"/>
              <w:rPr>
                <w:rFonts w:ascii="Times New Roman" w:hAnsi="Times New Roman"/>
              </w:rPr>
            </w:pPr>
            <w:r>
              <w:rPr>
                <w:rFonts w:ascii="Times New Roman" w:hAnsi="Times New Roman"/>
              </w:rPr>
              <w:t>-96.2</w:t>
            </w:r>
          </w:p>
        </w:tc>
        <w:tc>
          <w:tcPr>
            <w:tcW w:w="820" w:type="dxa"/>
            <w:tcBorders>
              <w:top w:val="single" w:sz="4" w:space="0" w:color="auto"/>
              <w:left w:val="nil"/>
              <w:bottom w:val="single" w:sz="4" w:space="0" w:color="auto"/>
              <w:right w:val="single" w:sz="4" w:space="0" w:color="auto"/>
            </w:tcBorders>
            <w:shd w:val="clear" w:color="auto" w:fill="auto"/>
            <w:noWrap/>
            <w:hideMark/>
          </w:tcPr>
          <w:p w14:paraId="764D98E2" w14:textId="77777777" w:rsidR="00A57704" w:rsidRPr="00860DCF" w:rsidRDefault="00A57704" w:rsidP="00A57704">
            <w:pPr>
              <w:spacing w:after="0"/>
              <w:jc w:val="center"/>
              <w:rPr>
                <w:rFonts w:ascii="Times New Roman" w:hAnsi="Times New Roman"/>
              </w:rPr>
            </w:pPr>
            <w:r>
              <w:rPr>
                <w:rFonts w:ascii="Times New Roman" w:hAnsi="Times New Roman"/>
              </w:rPr>
              <w:t>-100.0</w:t>
            </w:r>
          </w:p>
        </w:tc>
        <w:tc>
          <w:tcPr>
            <w:tcW w:w="820" w:type="dxa"/>
            <w:tcBorders>
              <w:top w:val="single" w:sz="4" w:space="0" w:color="auto"/>
              <w:left w:val="nil"/>
              <w:bottom w:val="single" w:sz="4" w:space="0" w:color="auto"/>
              <w:right w:val="single" w:sz="4" w:space="0" w:color="auto"/>
            </w:tcBorders>
            <w:shd w:val="clear" w:color="auto" w:fill="auto"/>
            <w:noWrap/>
            <w:hideMark/>
          </w:tcPr>
          <w:p w14:paraId="19EF1076" w14:textId="77777777" w:rsidR="00A57704" w:rsidRPr="00860DCF" w:rsidRDefault="00A57704" w:rsidP="00A57704">
            <w:pPr>
              <w:spacing w:after="0"/>
              <w:jc w:val="center"/>
              <w:rPr>
                <w:rFonts w:ascii="Times New Roman" w:hAnsi="Times New Roman"/>
              </w:rPr>
            </w:pPr>
            <w:r>
              <w:rPr>
                <w:rFonts w:ascii="Times New Roman" w:hAnsi="Times New Roman"/>
              </w:rPr>
              <w:t>-100.0</w:t>
            </w:r>
          </w:p>
        </w:tc>
        <w:tc>
          <w:tcPr>
            <w:tcW w:w="820" w:type="dxa"/>
            <w:tcBorders>
              <w:top w:val="single" w:sz="4" w:space="0" w:color="auto"/>
              <w:left w:val="nil"/>
              <w:bottom w:val="single" w:sz="4" w:space="0" w:color="auto"/>
              <w:right w:val="single" w:sz="4" w:space="0" w:color="auto"/>
            </w:tcBorders>
            <w:shd w:val="clear" w:color="auto" w:fill="auto"/>
            <w:noWrap/>
            <w:hideMark/>
          </w:tcPr>
          <w:p w14:paraId="03574A2D" w14:textId="77777777" w:rsidR="00A57704" w:rsidRPr="00860DCF" w:rsidRDefault="00A57704" w:rsidP="00A57704">
            <w:pPr>
              <w:spacing w:after="0"/>
              <w:jc w:val="center"/>
              <w:rPr>
                <w:rFonts w:ascii="Times New Roman" w:hAnsi="Times New Roman"/>
              </w:rPr>
            </w:pPr>
            <w:r>
              <w:rPr>
                <w:rFonts w:ascii="Times New Roman" w:hAnsi="Times New Roman"/>
              </w:rPr>
              <w:t>31.1</w:t>
            </w:r>
          </w:p>
        </w:tc>
        <w:tc>
          <w:tcPr>
            <w:tcW w:w="760" w:type="dxa"/>
            <w:tcBorders>
              <w:top w:val="single" w:sz="4" w:space="0" w:color="auto"/>
              <w:left w:val="nil"/>
              <w:bottom w:val="single" w:sz="4" w:space="0" w:color="auto"/>
              <w:right w:val="single" w:sz="4" w:space="0" w:color="auto"/>
            </w:tcBorders>
            <w:shd w:val="clear" w:color="auto" w:fill="auto"/>
            <w:noWrap/>
            <w:hideMark/>
          </w:tcPr>
          <w:p w14:paraId="46C54284" w14:textId="77777777" w:rsidR="00A57704" w:rsidRPr="00860DCF" w:rsidRDefault="00A57704" w:rsidP="00A57704">
            <w:pPr>
              <w:spacing w:after="0"/>
              <w:jc w:val="center"/>
              <w:rPr>
                <w:rFonts w:ascii="Times New Roman" w:hAnsi="Times New Roman"/>
              </w:rPr>
            </w:pPr>
            <w:r>
              <w:rPr>
                <w:rFonts w:ascii="Times New Roman" w:hAnsi="Times New Roman"/>
              </w:rPr>
              <w:t>-96.8</w:t>
            </w:r>
          </w:p>
        </w:tc>
        <w:tc>
          <w:tcPr>
            <w:tcW w:w="820" w:type="dxa"/>
            <w:tcBorders>
              <w:top w:val="single" w:sz="4" w:space="0" w:color="auto"/>
              <w:left w:val="nil"/>
              <w:bottom w:val="single" w:sz="4" w:space="0" w:color="auto"/>
              <w:right w:val="single" w:sz="4" w:space="0" w:color="auto"/>
            </w:tcBorders>
            <w:shd w:val="clear" w:color="auto" w:fill="auto"/>
            <w:noWrap/>
            <w:hideMark/>
          </w:tcPr>
          <w:p w14:paraId="18959534" w14:textId="77777777" w:rsidR="00A57704" w:rsidRPr="00860DCF" w:rsidRDefault="00A57704" w:rsidP="00A57704">
            <w:pPr>
              <w:spacing w:after="0"/>
              <w:jc w:val="center"/>
              <w:rPr>
                <w:rFonts w:ascii="Times New Roman" w:hAnsi="Times New Roman"/>
              </w:rPr>
            </w:pPr>
            <w:r>
              <w:rPr>
                <w:rFonts w:ascii="Times New Roman" w:hAnsi="Times New Roman"/>
              </w:rPr>
              <w:t>-97.5</w:t>
            </w:r>
          </w:p>
        </w:tc>
        <w:tc>
          <w:tcPr>
            <w:tcW w:w="820" w:type="dxa"/>
            <w:tcBorders>
              <w:top w:val="single" w:sz="4" w:space="0" w:color="auto"/>
              <w:left w:val="nil"/>
              <w:bottom w:val="single" w:sz="4" w:space="0" w:color="auto"/>
              <w:right w:val="single" w:sz="4" w:space="0" w:color="auto"/>
            </w:tcBorders>
            <w:shd w:val="clear" w:color="auto" w:fill="auto"/>
            <w:noWrap/>
            <w:hideMark/>
          </w:tcPr>
          <w:p w14:paraId="3D8997CD" w14:textId="77777777" w:rsidR="00A57704" w:rsidRPr="00860DCF" w:rsidRDefault="00A57704" w:rsidP="00A57704">
            <w:pPr>
              <w:spacing w:after="0"/>
              <w:jc w:val="center"/>
              <w:rPr>
                <w:rFonts w:ascii="Times New Roman" w:hAnsi="Times New Roman"/>
              </w:rPr>
            </w:pPr>
            <w:r>
              <w:rPr>
                <w:rFonts w:ascii="Times New Roman" w:hAnsi="Times New Roman"/>
              </w:rPr>
              <w:t>-30.2</w:t>
            </w:r>
          </w:p>
        </w:tc>
        <w:tc>
          <w:tcPr>
            <w:tcW w:w="820" w:type="dxa"/>
            <w:tcBorders>
              <w:top w:val="single" w:sz="4" w:space="0" w:color="auto"/>
              <w:left w:val="nil"/>
              <w:bottom w:val="single" w:sz="4" w:space="0" w:color="auto"/>
              <w:right w:val="single" w:sz="4" w:space="0" w:color="auto"/>
            </w:tcBorders>
            <w:shd w:val="clear" w:color="auto" w:fill="auto"/>
            <w:noWrap/>
            <w:hideMark/>
          </w:tcPr>
          <w:p w14:paraId="629157E1" w14:textId="77777777" w:rsidR="00A57704" w:rsidRPr="00860DCF" w:rsidRDefault="00A57704" w:rsidP="00A57704">
            <w:pPr>
              <w:spacing w:after="0"/>
              <w:jc w:val="center"/>
              <w:rPr>
                <w:rFonts w:ascii="Times New Roman" w:hAnsi="Times New Roman"/>
              </w:rPr>
            </w:pPr>
            <w:r>
              <w:rPr>
                <w:rFonts w:ascii="Times New Roman" w:hAnsi="Times New Roman"/>
              </w:rPr>
              <w:t>-99.6</w:t>
            </w:r>
          </w:p>
        </w:tc>
        <w:tc>
          <w:tcPr>
            <w:tcW w:w="760" w:type="dxa"/>
            <w:tcBorders>
              <w:top w:val="single" w:sz="4" w:space="0" w:color="auto"/>
              <w:left w:val="nil"/>
              <w:bottom w:val="single" w:sz="4" w:space="0" w:color="auto"/>
              <w:right w:val="single" w:sz="4" w:space="0" w:color="auto"/>
            </w:tcBorders>
            <w:shd w:val="clear" w:color="auto" w:fill="auto"/>
            <w:noWrap/>
            <w:hideMark/>
          </w:tcPr>
          <w:p w14:paraId="7CE54CB8" w14:textId="77777777" w:rsidR="00A57704" w:rsidRPr="00860DCF" w:rsidRDefault="00A57704" w:rsidP="00A57704">
            <w:pPr>
              <w:spacing w:after="0"/>
              <w:jc w:val="center"/>
              <w:rPr>
                <w:rFonts w:ascii="Times New Roman" w:hAnsi="Times New Roman"/>
              </w:rPr>
            </w:pPr>
            <w:r>
              <w:rPr>
                <w:rFonts w:ascii="Times New Roman" w:hAnsi="Times New Roman"/>
              </w:rPr>
              <w:t>-70.5</w:t>
            </w:r>
          </w:p>
        </w:tc>
        <w:tc>
          <w:tcPr>
            <w:tcW w:w="720" w:type="dxa"/>
            <w:tcBorders>
              <w:top w:val="single" w:sz="4" w:space="0" w:color="auto"/>
              <w:left w:val="nil"/>
              <w:bottom w:val="single" w:sz="4" w:space="0" w:color="auto"/>
              <w:right w:val="single" w:sz="4" w:space="0" w:color="auto"/>
            </w:tcBorders>
            <w:shd w:val="clear" w:color="auto" w:fill="auto"/>
            <w:noWrap/>
            <w:hideMark/>
          </w:tcPr>
          <w:p w14:paraId="03BD23F6" w14:textId="77777777" w:rsidR="00A57704" w:rsidRPr="00860DCF" w:rsidRDefault="00A57704" w:rsidP="00A57704">
            <w:pPr>
              <w:spacing w:after="0"/>
              <w:jc w:val="center"/>
              <w:rPr>
                <w:rFonts w:ascii="Times New Roman" w:hAnsi="Times New Roman"/>
              </w:rPr>
            </w:pPr>
            <w:r>
              <w:rPr>
                <w:rFonts w:ascii="Times New Roman" w:hAnsi="Times New Roman"/>
              </w:rPr>
              <w:t>0</w:t>
            </w:r>
          </w:p>
        </w:tc>
        <w:tc>
          <w:tcPr>
            <w:tcW w:w="1100" w:type="dxa"/>
            <w:tcBorders>
              <w:top w:val="single" w:sz="4" w:space="0" w:color="auto"/>
              <w:left w:val="nil"/>
              <w:bottom w:val="single" w:sz="4" w:space="0" w:color="auto"/>
              <w:right w:val="single" w:sz="4" w:space="0" w:color="auto"/>
            </w:tcBorders>
            <w:shd w:val="clear" w:color="auto" w:fill="auto"/>
            <w:noWrap/>
            <w:hideMark/>
          </w:tcPr>
          <w:p w14:paraId="0A194440" w14:textId="77777777" w:rsidR="00A57704" w:rsidRPr="00860DCF" w:rsidRDefault="00A57704" w:rsidP="00A57704">
            <w:pPr>
              <w:spacing w:after="0"/>
              <w:jc w:val="center"/>
              <w:rPr>
                <w:rFonts w:ascii="Times New Roman" w:hAnsi="Times New Roman"/>
              </w:rPr>
            </w:pPr>
            <w:r w:rsidRPr="00860DCF">
              <w:rPr>
                <w:rFonts w:ascii="Times New Roman" w:hAnsi="Times New Roman"/>
              </w:rPr>
              <w:t>-21.2</w:t>
            </w:r>
          </w:p>
        </w:tc>
      </w:tr>
    </w:tbl>
    <w:p w14:paraId="12AC92B8" w14:textId="77777777" w:rsidR="00A57704" w:rsidRDefault="00A57704" w:rsidP="00A57704">
      <w:pPr>
        <w:spacing w:after="0"/>
        <w:rPr>
          <w:rFonts w:ascii="Times New Roman" w:hAnsi="Times New Roman"/>
        </w:rPr>
      </w:pPr>
    </w:p>
    <w:p w14:paraId="01855917"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space="720"/>
          <w:docGrid w:linePitch="360"/>
        </w:sectPr>
      </w:pPr>
    </w:p>
    <w:p w14:paraId="61298C77"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Luperón/Puerto Plata</w:t>
      </w:r>
    </w:p>
    <w:p w14:paraId="11FE9078" w14:textId="77777777" w:rsidR="00A57704" w:rsidRPr="002D5B20" w:rsidRDefault="00A57704" w:rsidP="00A57704">
      <w:pPr>
        <w:spacing w:after="0"/>
        <w:rPr>
          <w:rFonts w:ascii="Times New Roman" w:hAnsi="Times New Roman"/>
          <w:sz w:val="4"/>
        </w:rPr>
      </w:pPr>
    </w:p>
    <w:p w14:paraId="6DF8F9E6" w14:textId="77777777" w:rsidR="00A57704" w:rsidRPr="002D5B20" w:rsidRDefault="00A57704" w:rsidP="00A57704">
      <w:pPr>
        <w:spacing w:after="0"/>
        <w:rPr>
          <w:rFonts w:ascii="Times New Roman" w:hAnsi="Times New Roman"/>
          <w:sz w:val="4"/>
        </w:rPr>
      </w:pPr>
      <w:r>
        <w:rPr>
          <w:noProof/>
          <w:lang w:eastAsia="es-DO"/>
        </w:rPr>
        <w:drawing>
          <wp:inline distT="0" distB="0" distL="0" distR="0" wp14:anchorId="6E8BB337" wp14:editId="3CFB451A">
            <wp:extent cx="4057650" cy="1762125"/>
            <wp:effectExtent l="0" t="0" r="0" b="0"/>
            <wp:docPr id="281" name="Gráfico 281">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C657E21F-24FF-45ED-BDBE-551EBFD18E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14:paraId="0397D023" w14:textId="77777777" w:rsidR="00A57704" w:rsidRPr="002D5B20" w:rsidRDefault="00A57704" w:rsidP="00A57704">
      <w:pPr>
        <w:spacing w:after="0"/>
        <w:rPr>
          <w:rFonts w:ascii="Times New Roman" w:hAnsi="Times New Roman"/>
          <w:sz w:val="4"/>
        </w:rPr>
      </w:pPr>
    </w:p>
    <w:p w14:paraId="339788D5"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576927D2"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14B92F1E" wp14:editId="2FE4E431">
            <wp:extent cx="3629025" cy="1771650"/>
            <wp:effectExtent l="0" t="0" r="0" b="0"/>
            <wp:docPr id="282" name="Gráfico 28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E671B6FE-5E07-40F1-B3C4-3D464BD389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tbl>
      <w:tblPr>
        <w:tblW w:w="12712" w:type="dxa"/>
        <w:tblInd w:w="-5" w:type="dxa"/>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A57704" w:rsidRPr="00EF52B7" w14:paraId="041E9C4C"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6EC59DB6"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lastRenderedPageBreak/>
              <w:t>Gaspar Hernández</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2E404F2C"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742A0ECB"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0C866A59"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BAAA1B0"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7C09B01B"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1AB5ED7A"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506429ED"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DA94350"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1882236"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6E955CC3"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73149B4C"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7896B98D"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49595BAB"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Año</w:t>
            </w:r>
          </w:p>
        </w:tc>
      </w:tr>
      <w:tr w:rsidR="00A57704" w:rsidRPr="00EF52B7" w14:paraId="14F5FF66"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EB5AD" w14:textId="77777777" w:rsidR="00A57704" w:rsidRPr="00EF52B7" w:rsidRDefault="00A57704" w:rsidP="00A57704">
            <w:pPr>
              <w:spacing w:after="0"/>
              <w:rPr>
                <w:rFonts w:ascii="Times New Roman" w:hAnsi="Times New Roman"/>
                <w:bCs/>
                <w:color w:val="000000"/>
                <w:lang w:eastAsia="es-DO"/>
              </w:rPr>
            </w:pPr>
            <w:r w:rsidRPr="00EF52B7">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D6C6BD0"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174.1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370ECB9"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153.1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E3626BD"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158.1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E78D69C"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180.4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CCDF01F"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174.5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38199C0"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109.1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DF40EFA"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113.9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6EF5773"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120.3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6FAAD52"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95.4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9D7F4C3"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179.3</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CD5ABBC"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278.3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C2A55C4"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208.0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6F290D74" w14:textId="77777777" w:rsidR="00A57704" w:rsidRPr="00EF52B7" w:rsidRDefault="00A57704" w:rsidP="00A57704">
            <w:pPr>
              <w:spacing w:after="0"/>
              <w:jc w:val="center"/>
              <w:rPr>
                <w:rFonts w:ascii="Times New Roman" w:hAnsi="Times New Roman"/>
                <w:bCs/>
                <w:lang w:eastAsia="es-DO"/>
              </w:rPr>
            </w:pPr>
            <w:r w:rsidRPr="00EF52B7">
              <w:rPr>
                <w:rFonts w:ascii="Times New Roman" w:hAnsi="Times New Roman"/>
                <w:bCs/>
                <w:lang w:eastAsia="es-DO"/>
              </w:rPr>
              <w:t>1,944.5</w:t>
            </w:r>
          </w:p>
        </w:tc>
      </w:tr>
      <w:tr w:rsidR="00A57704" w:rsidRPr="00EF52B7" w14:paraId="3F6BD3EE"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3A108" w14:textId="77777777" w:rsidR="00A57704" w:rsidRPr="00EF52B7" w:rsidRDefault="00A57704" w:rsidP="00A57704">
            <w:pPr>
              <w:spacing w:after="0"/>
              <w:rPr>
                <w:rFonts w:ascii="Times New Roman" w:hAnsi="Times New Roman"/>
                <w:bCs/>
                <w:color w:val="000000"/>
                <w:lang w:eastAsia="es-DO"/>
              </w:rPr>
            </w:pPr>
            <w:r w:rsidRPr="00EF52B7">
              <w:rPr>
                <w:rFonts w:ascii="Times New Roman" w:hAnsi="Times New Roman"/>
                <w:bCs/>
                <w:color w:val="000000"/>
                <w:lang w:eastAsia="es-DO"/>
              </w:rPr>
              <w:t xml:space="preserve">Precipitación </w:t>
            </w:r>
            <w:r>
              <w:rPr>
                <w:rFonts w:ascii="Times New Roman" w:hAnsi="Times New Roman"/>
                <w:bCs/>
                <w:color w:val="00000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F55737D"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68.2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C3C7C78"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174.1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77FDD62"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25.3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F5CF7FA"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60.7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CA229EF"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42.4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42F6FE4"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13.2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AE47544"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111.1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97379B5"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62.8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E1103F2"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107.9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DD14A08"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41.7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111FD0E"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48.6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A25EE5B"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7C360507" w14:textId="77777777" w:rsidR="00A57704" w:rsidRPr="00EF52B7" w:rsidRDefault="00A57704" w:rsidP="00A57704">
            <w:pPr>
              <w:spacing w:after="0"/>
              <w:jc w:val="center"/>
              <w:rPr>
                <w:rFonts w:ascii="Times New Roman" w:hAnsi="Times New Roman"/>
                <w:bCs/>
                <w:lang w:eastAsia="es-DO"/>
              </w:rPr>
            </w:pPr>
            <w:r>
              <w:rPr>
                <w:rFonts w:ascii="Times New Roman" w:hAnsi="Times New Roman"/>
                <w:bCs/>
                <w:lang w:eastAsia="es-DO"/>
              </w:rPr>
              <w:t>756.0</w:t>
            </w:r>
          </w:p>
        </w:tc>
      </w:tr>
      <w:tr w:rsidR="00A57704" w:rsidRPr="00EF52B7" w14:paraId="5D953B77"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E2B01" w14:textId="77777777" w:rsidR="00A57704" w:rsidRPr="00EF52B7" w:rsidRDefault="00A57704" w:rsidP="00A57704">
            <w:pPr>
              <w:spacing w:after="0"/>
              <w:rPr>
                <w:rFonts w:ascii="Times New Roman" w:hAnsi="Times New Roman"/>
                <w:bCs/>
                <w:color w:val="000000"/>
                <w:lang w:eastAsia="es-DO"/>
              </w:rPr>
            </w:pPr>
            <w:r w:rsidRPr="00EF52B7">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2B47B2A"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-60.8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0E5BDC4"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13.7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8ADFB4B"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-84.0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58E5D16"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-66.4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19603F5"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-75.7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322CEA8"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-87.9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95ED83A"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699F0B4"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-47.8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AB3F5BF"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13.1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4E75762"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-76.7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A1030E1"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-82.5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A2FFF41"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4E604072" w14:textId="77777777" w:rsidR="00A57704" w:rsidRPr="00EF52B7" w:rsidRDefault="00A57704" w:rsidP="00A57704">
            <w:pPr>
              <w:spacing w:after="0"/>
              <w:jc w:val="center"/>
              <w:rPr>
                <w:rFonts w:ascii="Times New Roman" w:hAnsi="Times New Roman"/>
                <w:bCs/>
                <w:lang w:eastAsia="es-DO"/>
              </w:rPr>
            </w:pPr>
            <w:r w:rsidRPr="00EF52B7">
              <w:rPr>
                <w:rFonts w:ascii="Times New Roman" w:hAnsi="Times New Roman"/>
                <w:bCs/>
                <w:lang w:eastAsia="es-DO"/>
              </w:rPr>
              <w:t>-20.0</w:t>
            </w:r>
          </w:p>
        </w:tc>
      </w:tr>
    </w:tbl>
    <w:p w14:paraId="41172D35" w14:textId="77777777" w:rsidR="00A57704" w:rsidRPr="00C83490" w:rsidRDefault="00A57704" w:rsidP="00A57704">
      <w:pPr>
        <w:spacing w:after="0"/>
        <w:rPr>
          <w:rFonts w:ascii="Times New Roman" w:hAnsi="Times New Roman"/>
        </w:rPr>
        <w:sectPr w:rsidR="00A57704" w:rsidRPr="00C83490" w:rsidSect="00A57704">
          <w:type w:val="continuous"/>
          <w:pgSz w:w="15840" w:h="12240" w:orient="landscape"/>
          <w:pgMar w:top="1276" w:right="851" w:bottom="851" w:left="1440" w:header="720" w:footer="720" w:gutter="0"/>
          <w:cols w:space="720"/>
          <w:docGrid w:linePitch="360"/>
        </w:sectPr>
      </w:pPr>
    </w:p>
    <w:p w14:paraId="312E1017" w14:textId="77777777" w:rsidR="00A57704" w:rsidRPr="00C83490" w:rsidRDefault="00A57704" w:rsidP="00A57704">
      <w:pPr>
        <w:spacing w:after="0"/>
        <w:rPr>
          <w:rFonts w:ascii="Times New Roman" w:hAnsi="Times New Roman"/>
        </w:rPr>
      </w:pPr>
    </w:p>
    <w:p w14:paraId="4F2C00EC" w14:textId="77777777" w:rsidR="00A57704" w:rsidRPr="00A37D31" w:rsidRDefault="00A57704" w:rsidP="001C6B1A">
      <w:pPr>
        <w:pStyle w:val="Prrafodelista"/>
        <w:numPr>
          <w:ilvl w:val="0"/>
          <w:numId w:val="28"/>
        </w:numPr>
        <w:spacing w:after="0"/>
        <w:ind w:left="567" w:hanging="567"/>
        <w:rPr>
          <w:rFonts w:ascii="Times New Roman" w:hAnsi="Times New Roman"/>
        </w:rPr>
      </w:pPr>
      <w:r w:rsidRPr="00A37D31">
        <w:rPr>
          <w:rFonts w:ascii="Times New Roman" w:hAnsi="Times New Roman"/>
        </w:rPr>
        <w:t xml:space="preserve">Comportamiento precipitaciones </w:t>
      </w:r>
      <w:r>
        <w:rPr>
          <w:rFonts w:ascii="Times New Roman" w:hAnsi="Times New Roman"/>
        </w:rPr>
        <w:t>Gaspar Hernández</w:t>
      </w:r>
    </w:p>
    <w:p w14:paraId="662C2AE9" w14:textId="77777777" w:rsidR="00A57704" w:rsidRDefault="00A57704" w:rsidP="00A57704">
      <w:pPr>
        <w:spacing w:after="0"/>
        <w:rPr>
          <w:rFonts w:ascii="Times New Roman" w:hAnsi="Times New Roman"/>
        </w:rPr>
      </w:pPr>
      <w:r>
        <w:rPr>
          <w:noProof/>
          <w:lang w:eastAsia="es-DO"/>
        </w:rPr>
        <w:drawing>
          <wp:inline distT="0" distB="0" distL="0" distR="0" wp14:anchorId="0D46A3C1" wp14:editId="7FF813E1">
            <wp:extent cx="3638550" cy="1676400"/>
            <wp:effectExtent l="0" t="0" r="0" b="0"/>
            <wp:docPr id="283" name="Gráfico 283">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7DD0C649-76C3-4418-A412-698950B4B9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p w14:paraId="477709EE" w14:textId="77777777" w:rsidR="00A57704" w:rsidRPr="009E58FD" w:rsidRDefault="00A57704" w:rsidP="00A57704">
      <w:pPr>
        <w:spacing w:after="0"/>
        <w:rPr>
          <w:rFonts w:ascii="Times New Roman" w:hAnsi="Times New Roman"/>
        </w:rPr>
      </w:pPr>
    </w:p>
    <w:p w14:paraId="3CC4CEC5" w14:textId="77777777" w:rsidR="00A57704" w:rsidRPr="002D5B20" w:rsidRDefault="00A57704" w:rsidP="00A57704">
      <w:pPr>
        <w:spacing w:after="0"/>
        <w:rPr>
          <w:rFonts w:ascii="Times New Roman" w:hAnsi="Times New Roman"/>
          <w:sz w:val="4"/>
        </w:rPr>
      </w:pPr>
    </w:p>
    <w:p w14:paraId="653D3734" w14:textId="77777777" w:rsidR="00A57704" w:rsidRPr="002D5B20" w:rsidRDefault="00A57704" w:rsidP="00A57704">
      <w:pPr>
        <w:spacing w:after="0"/>
        <w:rPr>
          <w:rFonts w:ascii="Times New Roman" w:hAnsi="Times New Roman"/>
          <w:sz w:val="4"/>
        </w:rPr>
      </w:pPr>
    </w:p>
    <w:p w14:paraId="787BA559" w14:textId="77777777" w:rsidR="00A57704" w:rsidRPr="002D5B20" w:rsidRDefault="00A57704" w:rsidP="00A57704">
      <w:pPr>
        <w:spacing w:after="0"/>
        <w:rPr>
          <w:rFonts w:ascii="Times New Roman" w:hAnsi="Times New Roman"/>
          <w:sz w:val="4"/>
        </w:rPr>
      </w:pPr>
    </w:p>
    <w:p w14:paraId="3A8330E8" w14:textId="77777777" w:rsidR="00A57704" w:rsidRPr="002D5B20" w:rsidRDefault="00A57704" w:rsidP="00A57704">
      <w:pPr>
        <w:spacing w:after="0"/>
        <w:rPr>
          <w:rFonts w:ascii="Times New Roman" w:hAnsi="Times New Roman"/>
        </w:rPr>
      </w:pPr>
    </w:p>
    <w:p w14:paraId="55F80B92"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27E0D155"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54984853" wp14:editId="769C5D44">
            <wp:extent cx="3686175" cy="1733550"/>
            <wp:effectExtent l="0" t="0" r="0" b="0"/>
            <wp:docPr id="284" name="Gráfico 28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C1C1665C-47DC-418C-A66E-454A487039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p>
    <w:tbl>
      <w:tblPr>
        <w:tblW w:w="12704" w:type="dxa"/>
        <w:tblInd w:w="-5" w:type="dxa"/>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A57704" w:rsidRPr="00EF52B7" w14:paraId="4010F7C3"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00B050"/>
            <w:noWrap/>
            <w:hideMark/>
          </w:tcPr>
          <w:p w14:paraId="76CB75EE"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Mao</w:t>
            </w:r>
          </w:p>
        </w:tc>
        <w:tc>
          <w:tcPr>
            <w:tcW w:w="760" w:type="dxa"/>
            <w:tcBorders>
              <w:top w:val="single" w:sz="4" w:space="0" w:color="auto"/>
              <w:left w:val="nil"/>
              <w:bottom w:val="single" w:sz="4" w:space="0" w:color="auto"/>
              <w:right w:val="single" w:sz="4" w:space="0" w:color="auto"/>
            </w:tcBorders>
            <w:shd w:val="clear" w:color="auto" w:fill="00B050"/>
            <w:noWrap/>
            <w:hideMark/>
          </w:tcPr>
          <w:p w14:paraId="7678134F"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Ene</w:t>
            </w:r>
          </w:p>
        </w:tc>
        <w:tc>
          <w:tcPr>
            <w:tcW w:w="760" w:type="dxa"/>
            <w:tcBorders>
              <w:top w:val="single" w:sz="4" w:space="0" w:color="auto"/>
              <w:left w:val="nil"/>
              <w:bottom w:val="single" w:sz="4" w:space="0" w:color="auto"/>
              <w:right w:val="single" w:sz="4" w:space="0" w:color="auto"/>
            </w:tcBorders>
            <w:shd w:val="clear" w:color="auto" w:fill="00B050"/>
            <w:noWrap/>
            <w:hideMark/>
          </w:tcPr>
          <w:p w14:paraId="7789B49B"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Feb</w:t>
            </w:r>
          </w:p>
        </w:tc>
        <w:tc>
          <w:tcPr>
            <w:tcW w:w="720" w:type="dxa"/>
            <w:tcBorders>
              <w:top w:val="single" w:sz="4" w:space="0" w:color="auto"/>
              <w:left w:val="nil"/>
              <w:bottom w:val="single" w:sz="4" w:space="0" w:color="auto"/>
              <w:right w:val="single" w:sz="4" w:space="0" w:color="auto"/>
            </w:tcBorders>
            <w:shd w:val="clear" w:color="auto" w:fill="00B050"/>
            <w:noWrap/>
            <w:hideMark/>
          </w:tcPr>
          <w:p w14:paraId="78E2A8B3"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Mar</w:t>
            </w:r>
          </w:p>
        </w:tc>
        <w:tc>
          <w:tcPr>
            <w:tcW w:w="820" w:type="dxa"/>
            <w:tcBorders>
              <w:top w:val="single" w:sz="4" w:space="0" w:color="auto"/>
              <w:left w:val="nil"/>
              <w:bottom w:val="single" w:sz="4" w:space="0" w:color="auto"/>
              <w:right w:val="single" w:sz="4" w:space="0" w:color="auto"/>
            </w:tcBorders>
            <w:shd w:val="clear" w:color="auto" w:fill="00B050"/>
            <w:noWrap/>
            <w:hideMark/>
          </w:tcPr>
          <w:p w14:paraId="2A6EC7C0"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Abr</w:t>
            </w:r>
          </w:p>
        </w:tc>
        <w:tc>
          <w:tcPr>
            <w:tcW w:w="820" w:type="dxa"/>
            <w:tcBorders>
              <w:top w:val="single" w:sz="4" w:space="0" w:color="auto"/>
              <w:left w:val="nil"/>
              <w:bottom w:val="single" w:sz="4" w:space="0" w:color="auto"/>
              <w:right w:val="single" w:sz="4" w:space="0" w:color="auto"/>
            </w:tcBorders>
            <w:shd w:val="clear" w:color="auto" w:fill="00B050"/>
            <w:noWrap/>
            <w:hideMark/>
          </w:tcPr>
          <w:p w14:paraId="76F1D9CD"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May</w:t>
            </w:r>
          </w:p>
        </w:tc>
        <w:tc>
          <w:tcPr>
            <w:tcW w:w="820" w:type="dxa"/>
            <w:tcBorders>
              <w:top w:val="single" w:sz="4" w:space="0" w:color="auto"/>
              <w:left w:val="nil"/>
              <w:bottom w:val="single" w:sz="4" w:space="0" w:color="auto"/>
              <w:right w:val="single" w:sz="4" w:space="0" w:color="auto"/>
            </w:tcBorders>
            <w:shd w:val="clear" w:color="auto" w:fill="00B050"/>
            <w:noWrap/>
            <w:hideMark/>
          </w:tcPr>
          <w:p w14:paraId="373D917F"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Jun</w:t>
            </w:r>
          </w:p>
        </w:tc>
        <w:tc>
          <w:tcPr>
            <w:tcW w:w="760" w:type="dxa"/>
            <w:tcBorders>
              <w:top w:val="single" w:sz="4" w:space="0" w:color="auto"/>
              <w:left w:val="nil"/>
              <w:bottom w:val="single" w:sz="4" w:space="0" w:color="auto"/>
              <w:right w:val="single" w:sz="4" w:space="0" w:color="auto"/>
            </w:tcBorders>
            <w:shd w:val="clear" w:color="auto" w:fill="00B050"/>
            <w:noWrap/>
            <w:hideMark/>
          </w:tcPr>
          <w:p w14:paraId="50039113"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Jul</w:t>
            </w:r>
          </w:p>
        </w:tc>
        <w:tc>
          <w:tcPr>
            <w:tcW w:w="820" w:type="dxa"/>
            <w:tcBorders>
              <w:top w:val="single" w:sz="4" w:space="0" w:color="auto"/>
              <w:left w:val="nil"/>
              <w:bottom w:val="single" w:sz="4" w:space="0" w:color="auto"/>
              <w:right w:val="single" w:sz="4" w:space="0" w:color="auto"/>
            </w:tcBorders>
            <w:shd w:val="clear" w:color="auto" w:fill="00B050"/>
            <w:noWrap/>
            <w:hideMark/>
          </w:tcPr>
          <w:p w14:paraId="33E15ADF"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Ago</w:t>
            </w:r>
          </w:p>
        </w:tc>
        <w:tc>
          <w:tcPr>
            <w:tcW w:w="820" w:type="dxa"/>
            <w:tcBorders>
              <w:top w:val="single" w:sz="4" w:space="0" w:color="auto"/>
              <w:left w:val="nil"/>
              <w:bottom w:val="single" w:sz="4" w:space="0" w:color="auto"/>
              <w:right w:val="single" w:sz="4" w:space="0" w:color="auto"/>
            </w:tcBorders>
            <w:shd w:val="clear" w:color="auto" w:fill="00B050"/>
            <w:noWrap/>
            <w:hideMark/>
          </w:tcPr>
          <w:p w14:paraId="6767F619"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Sep</w:t>
            </w:r>
          </w:p>
        </w:tc>
        <w:tc>
          <w:tcPr>
            <w:tcW w:w="820" w:type="dxa"/>
            <w:tcBorders>
              <w:top w:val="single" w:sz="4" w:space="0" w:color="auto"/>
              <w:left w:val="nil"/>
              <w:bottom w:val="single" w:sz="4" w:space="0" w:color="auto"/>
              <w:right w:val="single" w:sz="4" w:space="0" w:color="auto"/>
            </w:tcBorders>
            <w:shd w:val="clear" w:color="auto" w:fill="00B050"/>
            <w:noWrap/>
            <w:hideMark/>
          </w:tcPr>
          <w:p w14:paraId="1A591C2A"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Oct</w:t>
            </w:r>
          </w:p>
        </w:tc>
        <w:tc>
          <w:tcPr>
            <w:tcW w:w="760" w:type="dxa"/>
            <w:tcBorders>
              <w:top w:val="single" w:sz="4" w:space="0" w:color="auto"/>
              <w:left w:val="nil"/>
              <w:bottom w:val="single" w:sz="4" w:space="0" w:color="auto"/>
              <w:right w:val="single" w:sz="4" w:space="0" w:color="auto"/>
            </w:tcBorders>
            <w:shd w:val="clear" w:color="auto" w:fill="00B050"/>
            <w:noWrap/>
            <w:hideMark/>
          </w:tcPr>
          <w:p w14:paraId="679A2D21"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Nov</w:t>
            </w:r>
          </w:p>
        </w:tc>
        <w:tc>
          <w:tcPr>
            <w:tcW w:w="720" w:type="dxa"/>
            <w:tcBorders>
              <w:top w:val="single" w:sz="4" w:space="0" w:color="auto"/>
              <w:left w:val="nil"/>
              <w:bottom w:val="single" w:sz="4" w:space="0" w:color="auto"/>
              <w:right w:val="single" w:sz="4" w:space="0" w:color="auto"/>
            </w:tcBorders>
            <w:shd w:val="clear" w:color="auto" w:fill="00B050"/>
            <w:noWrap/>
            <w:hideMark/>
          </w:tcPr>
          <w:p w14:paraId="20C23BD5"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Dic</w:t>
            </w:r>
          </w:p>
        </w:tc>
        <w:tc>
          <w:tcPr>
            <w:tcW w:w="1100" w:type="dxa"/>
            <w:tcBorders>
              <w:top w:val="single" w:sz="4" w:space="0" w:color="auto"/>
              <w:left w:val="nil"/>
              <w:bottom w:val="single" w:sz="4" w:space="0" w:color="auto"/>
              <w:right w:val="single" w:sz="4" w:space="0" w:color="auto"/>
            </w:tcBorders>
            <w:shd w:val="clear" w:color="auto" w:fill="00B050"/>
            <w:noWrap/>
            <w:hideMark/>
          </w:tcPr>
          <w:p w14:paraId="567E22FC"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Año</w:t>
            </w:r>
          </w:p>
        </w:tc>
      </w:tr>
      <w:tr w:rsidR="00A57704" w:rsidRPr="00EF52B7" w14:paraId="076D15FC"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65FDC1FD" w14:textId="77777777" w:rsidR="00A57704" w:rsidRPr="00EF52B7" w:rsidRDefault="00A57704" w:rsidP="00A57704">
            <w:pPr>
              <w:spacing w:after="0"/>
              <w:rPr>
                <w:rFonts w:ascii="Times New Roman" w:hAnsi="Times New Roman"/>
              </w:rPr>
            </w:pPr>
            <w:r w:rsidRPr="00EF52B7">
              <w:rPr>
                <w:rFonts w:ascii="Times New Roman" w:hAnsi="Times New Roman"/>
              </w:rPr>
              <w:t>Normal</w:t>
            </w:r>
          </w:p>
        </w:tc>
        <w:tc>
          <w:tcPr>
            <w:tcW w:w="760" w:type="dxa"/>
            <w:tcBorders>
              <w:top w:val="single" w:sz="4" w:space="0" w:color="auto"/>
              <w:left w:val="nil"/>
              <w:bottom w:val="single" w:sz="4" w:space="0" w:color="auto"/>
              <w:right w:val="single" w:sz="4" w:space="0" w:color="auto"/>
            </w:tcBorders>
            <w:shd w:val="clear" w:color="auto" w:fill="auto"/>
            <w:noWrap/>
            <w:hideMark/>
          </w:tcPr>
          <w:p w14:paraId="5307F20F" w14:textId="77777777" w:rsidR="00A57704" w:rsidRPr="00EF52B7" w:rsidRDefault="00A57704" w:rsidP="00A57704">
            <w:pPr>
              <w:spacing w:after="0"/>
              <w:jc w:val="center"/>
              <w:rPr>
                <w:rFonts w:ascii="Times New Roman" w:hAnsi="Times New Roman"/>
              </w:rPr>
            </w:pPr>
            <w:r w:rsidRPr="00EF52B7">
              <w:rPr>
                <w:rFonts w:ascii="Times New Roman" w:hAnsi="Times New Roman"/>
              </w:rPr>
              <w:t>29.3</w:t>
            </w:r>
          </w:p>
        </w:tc>
        <w:tc>
          <w:tcPr>
            <w:tcW w:w="760" w:type="dxa"/>
            <w:tcBorders>
              <w:top w:val="single" w:sz="4" w:space="0" w:color="auto"/>
              <w:left w:val="nil"/>
              <w:bottom w:val="single" w:sz="4" w:space="0" w:color="auto"/>
              <w:right w:val="single" w:sz="4" w:space="0" w:color="auto"/>
            </w:tcBorders>
            <w:shd w:val="clear" w:color="auto" w:fill="auto"/>
            <w:noWrap/>
            <w:hideMark/>
          </w:tcPr>
          <w:p w14:paraId="72DDF98B" w14:textId="77777777" w:rsidR="00A57704" w:rsidRPr="00EF52B7" w:rsidRDefault="00A57704" w:rsidP="00A57704">
            <w:pPr>
              <w:spacing w:after="0"/>
              <w:jc w:val="center"/>
              <w:rPr>
                <w:rFonts w:ascii="Times New Roman" w:hAnsi="Times New Roman"/>
              </w:rPr>
            </w:pPr>
            <w:r w:rsidRPr="00EF52B7">
              <w:rPr>
                <w:rFonts w:ascii="Times New Roman" w:hAnsi="Times New Roman"/>
              </w:rPr>
              <w:t>36.5</w:t>
            </w:r>
          </w:p>
        </w:tc>
        <w:tc>
          <w:tcPr>
            <w:tcW w:w="720" w:type="dxa"/>
            <w:tcBorders>
              <w:top w:val="single" w:sz="4" w:space="0" w:color="auto"/>
              <w:left w:val="nil"/>
              <w:bottom w:val="single" w:sz="4" w:space="0" w:color="auto"/>
              <w:right w:val="single" w:sz="4" w:space="0" w:color="auto"/>
            </w:tcBorders>
            <w:shd w:val="clear" w:color="auto" w:fill="auto"/>
            <w:noWrap/>
            <w:hideMark/>
          </w:tcPr>
          <w:p w14:paraId="48BB505E" w14:textId="77777777" w:rsidR="00A57704" w:rsidRPr="00EF52B7" w:rsidRDefault="00A57704" w:rsidP="00A57704">
            <w:pPr>
              <w:spacing w:after="0"/>
              <w:jc w:val="center"/>
              <w:rPr>
                <w:rFonts w:ascii="Times New Roman" w:hAnsi="Times New Roman"/>
              </w:rPr>
            </w:pPr>
            <w:r w:rsidRPr="00EF52B7">
              <w:rPr>
                <w:rFonts w:ascii="Times New Roman" w:hAnsi="Times New Roman"/>
              </w:rPr>
              <w:t>43.2</w:t>
            </w:r>
          </w:p>
        </w:tc>
        <w:tc>
          <w:tcPr>
            <w:tcW w:w="820" w:type="dxa"/>
            <w:tcBorders>
              <w:top w:val="single" w:sz="4" w:space="0" w:color="auto"/>
              <w:left w:val="nil"/>
              <w:bottom w:val="single" w:sz="4" w:space="0" w:color="auto"/>
              <w:right w:val="single" w:sz="4" w:space="0" w:color="auto"/>
            </w:tcBorders>
            <w:shd w:val="clear" w:color="auto" w:fill="auto"/>
            <w:noWrap/>
            <w:hideMark/>
          </w:tcPr>
          <w:p w14:paraId="5506FE30" w14:textId="77777777" w:rsidR="00A57704" w:rsidRPr="00EF52B7" w:rsidRDefault="00A57704" w:rsidP="00A57704">
            <w:pPr>
              <w:spacing w:after="0"/>
              <w:jc w:val="center"/>
              <w:rPr>
                <w:rFonts w:ascii="Times New Roman" w:hAnsi="Times New Roman"/>
              </w:rPr>
            </w:pPr>
            <w:r w:rsidRPr="00EF52B7">
              <w:rPr>
                <w:rFonts w:ascii="Times New Roman" w:hAnsi="Times New Roman"/>
              </w:rPr>
              <w:t>77.1</w:t>
            </w:r>
          </w:p>
        </w:tc>
        <w:tc>
          <w:tcPr>
            <w:tcW w:w="820" w:type="dxa"/>
            <w:tcBorders>
              <w:top w:val="single" w:sz="4" w:space="0" w:color="auto"/>
              <w:left w:val="nil"/>
              <w:bottom w:val="single" w:sz="4" w:space="0" w:color="auto"/>
              <w:right w:val="single" w:sz="4" w:space="0" w:color="auto"/>
            </w:tcBorders>
            <w:shd w:val="clear" w:color="auto" w:fill="auto"/>
            <w:noWrap/>
            <w:hideMark/>
          </w:tcPr>
          <w:p w14:paraId="085261B1" w14:textId="77777777" w:rsidR="00A57704" w:rsidRPr="00EF52B7" w:rsidRDefault="00A57704" w:rsidP="00A57704">
            <w:pPr>
              <w:spacing w:after="0"/>
              <w:jc w:val="center"/>
              <w:rPr>
                <w:rFonts w:ascii="Times New Roman" w:hAnsi="Times New Roman"/>
              </w:rPr>
            </w:pPr>
            <w:r w:rsidRPr="00EF52B7">
              <w:rPr>
                <w:rFonts w:ascii="Times New Roman" w:hAnsi="Times New Roman"/>
              </w:rPr>
              <w:t>128.4</w:t>
            </w:r>
          </w:p>
        </w:tc>
        <w:tc>
          <w:tcPr>
            <w:tcW w:w="820" w:type="dxa"/>
            <w:tcBorders>
              <w:top w:val="single" w:sz="4" w:space="0" w:color="auto"/>
              <w:left w:val="nil"/>
              <w:bottom w:val="single" w:sz="4" w:space="0" w:color="auto"/>
              <w:right w:val="single" w:sz="4" w:space="0" w:color="auto"/>
            </w:tcBorders>
            <w:shd w:val="clear" w:color="auto" w:fill="auto"/>
            <w:noWrap/>
            <w:hideMark/>
          </w:tcPr>
          <w:p w14:paraId="5B7A6624" w14:textId="77777777" w:rsidR="00A57704" w:rsidRPr="00EF52B7" w:rsidRDefault="00A57704" w:rsidP="00A57704">
            <w:pPr>
              <w:spacing w:after="0"/>
              <w:jc w:val="center"/>
              <w:rPr>
                <w:rFonts w:ascii="Times New Roman" w:hAnsi="Times New Roman"/>
              </w:rPr>
            </w:pPr>
            <w:r w:rsidRPr="00EF52B7">
              <w:rPr>
                <w:rFonts w:ascii="Times New Roman" w:hAnsi="Times New Roman"/>
              </w:rPr>
              <w:t>69.6</w:t>
            </w:r>
          </w:p>
        </w:tc>
        <w:tc>
          <w:tcPr>
            <w:tcW w:w="760" w:type="dxa"/>
            <w:tcBorders>
              <w:top w:val="single" w:sz="4" w:space="0" w:color="auto"/>
              <w:left w:val="nil"/>
              <w:bottom w:val="single" w:sz="4" w:space="0" w:color="auto"/>
              <w:right w:val="single" w:sz="4" w:space="0" w:color="auto"/>
            </w:tcBorders>
            <w:shd w:val="clear" w:color="auto" w:fill="auto"/>
            <w:noWrap/>
            <w:hideMark/>
          </w:tcPr>
          <w:p w14:paraId="01AD5EAE" w14:textId="77777777" w:rsidR="00A57704" w:rsidRPr="00EF52B7" w:rsidRDefault="00A57704" w:rsidP="00A57704">
            <w:pPr>
              <w:spacing w:after="0"/>
              <w:jc w:val="center"/>
              <w:rPr>
                <w:rFonts w:ascii="Times New Roman" w:hAnsi="Times New Roman"/>
              </w:rPr>
            </w:pPr>
            <w:r w:rsidRPr="00EF52B7">
              <w:rPr>
                <w:rFonts w:ascii="Times New Roman" w:hAnsi="Times New Roman"/>
              </w:rPr>
              <w:t>28.7</w:t>
            </w:r>
          </w:p>
        </w:tc>
        <w:tc>
          <w:tcPr>
            <w:tcW w:w="820" w:type="dxa"/>
            <w:tcBorders>
              <w:top w:val="single" w:sz="4" w:space="0" w:color="auto"/>
              <w:left w:val="nil"/>
              <w:bottom w:val="single" w:sz="4" w:space="0" w:color="auto"/>
              <w:right w:val="single" w:sz="4" w:space="0" w:color="auto"/>
            </w:tcBorders>
            <w:shd w:val="clear" w:color="auto" w:fill="auto"/>
            <w:noWrap/>
            <w:hideMark/>
          </w:tcPr>
          <w:p w14:paraId="7315E664" w14:textId="77777777" w:rsidR="00A57704" w:rsidRPr="00EF52B7" w:rsidRDefault="00A57704" w:rsidP="00A57704">
            <w:pPr>
              <w:spacing w:after="0"/>
              <w:jc w:val="center"/>
              <w:rPr>
                <w:rFonts w:ascii="Times New Roman" w:hAnsi="Times New Roman"/>
              </w:rPr>
            </w:pPr>
            <w:r w:rsidRPr="00EF52B7">
              <w:rPr>
                <w:rFonts w:ascii="Times New Roman" w:hAnsi="Times New Roman"/>
              </w:rPr>
              <w:t>41.7</w:t>
            </w:r>
          </w:p>
        </w:tc>
        <w:tc>
          <w:tcPr>
            <w:tcW w:w="820" w:type="dxa"/>
            <w:tcBorders>
              <w:top w:val="single" w:sz="4" w:space="0" w:color="auto"/>
              <w:left w:val="nil"/>
              <w:bottom w:val="single" w:sz="4" w:space="0" w:color="auto"/>
              <w:right w:val="single" w:sz="4" w:space="0" w:color="auto"/>
            </w:tcBorders>
            <w:shd w:val="clear" w:color="auto" w:fill="auto"/>
            <w:noWrap/>
            <w:hideMark/>
          </w:tcPr>
          <w:p w14:paraId="2A34787A" w14:textId="77777777" w:rsidR="00A57704" w:rsidRPr="00EF52B7" w:rsidRDefault="00A57704" w:rsidP="00A57704">
            <w:pPr>
              <w:spacing w:after="0"/>
              <w:jc w:val="center"/>
              <w:rPr>
                <w:rFonts w:ascii="Times New Roman" w:hAnsi="Times New Roman"/>
              </w:rPr>
            </w:pPr>
            <w:r w:rsidRPr="00EF52B7">
              <w:rPr>
                <w:rFonts w:ascii="Times New Roman" w:hAnsi="Times New Roman"/>
              </w:rPr>
              <w:t>73.3</w:t>
            </w:r>
          </w:p>
        </w:tc>
        <w:tc>
          <w:tcPr>
            <w:tcW w:w="820" w:type="dxa"/>
            <w:tcBorders>
              <w:top w:val="single" w:sz="4" w:space="0" w:color="auto"/>
              <w:left w:val="nil"/>
              <w:bottom w:val="single" w:sz="4" w:space="0" w:color="auto"/>
              <w:right w:val="single" w:sz="4" w:space="0" w:color="auto"/>
            </w:tcBorders>
            <w:shd w:val="clear" w:color="auto" w:fill="auto"/>
            <w:noWrap/>
            <w:hideMark/>
          </w:tcPr>
          <w:p w14:paraId="39FEAB53" w14:textId="77777777" w:rsidR="00A57704" w:rsidRPr="00EF52B7" w:rsidRDefault="00A57704" w:rsidP="00A57704">
            <w:pPr>
              <w:spacing w:after="0"/>
              <w:jc w:val="center"/>
              <w:rPr>
                <w:rFonts w:ascii="Times New Roman" w:hAnsi="Times New Roman"/>
              </w:rPr>
            </w:pPr>
            <w:r w:rsidRPr="00EF52B7">
              <w:rPr>
                <w:rFonts w:ascii="Times New Roman" w:hAnsi="Times New Roman"/>
              </w:rPr>
              <w:t>83.5</w:t>
            </w:r>
          </w:p>
        </w:tc>
        <w:tc>
          <w:tcPr>
            <w:tcW w:w="760" w:type="dxa"/>
            <w:tcBorders>
              <w:top w:val="single" w:sz="4" w:space="0" w:color="auto"/>
              <w:left w:val="nil"/>
              <w:bottom w:val="single" w:sz="4" w:space="0" w:color="auto"/>
              <w:right w:val="single" w:sz="4" w:space="0" w:color="auto"/>
            </w:tcBorders>
            <w:shd w:val="clear" w:color="auto" w:fill="auto"/>
            <w:noWrap/>
            <w:hideMark/>
          </w:tcPr>
          <w:p w14:paraId="79FF622B" w14:textId="77777777" w:rsidR="00A57704" w:rsidRPr="00EF52B7" w:rsidRDefault="00A57704" w:rsidP="00A57704">
            <w:pPr>
              <w:spacing w:after="0"/>
              <w:jc w:val="center"/>
              <w:rPr>
                <w:rFonts w:ascii="Times New Roman" w:hAnsi="Times New Roman"/>
              </w:rPr>
            </w:pPr>
            <w:r w:rsidRPr="00EF52B7">
              <w:rPr>
                <w:rFonts w:ascii="Times New Roman" w:hAnsi="Times New Roman"/>
              </w:rPr>
              <w:t>49.8</w:t>
            </w:r>
          </w:p>
        </w:tc>
        <w:tc>
          <w:tcPr>
            <w:tcW w:w="720" w:type="dxa"/>
            <w:tcBorders>
              <w:top w:val="single" w:sz="4" w:space="0" w:color="auto"/>
              <w:left w:val="nil"/>
              <w:bottom w:val="single" w:sz="4" w:space="0" w:color="auto"/>
              <w:right w:val="single" w:sz="4" w:space="0" w:color="auto"/>
            </w:tcBorders>
            <w:shd w:val="clear" w:color="auto" w:fill="auto"/>
            <w:noWrap/>
            <w:hideMark/>
          </w:tcPr>
          <w:p w14:paraId="556615B7" w14:textId="77777777" w:rsidR="00A57704" w:rsidRPr="00EF52B7" w:rsidRDefault="00A57704" w:rsidP="00A57704">
            <w:pPr>
              <w:spacing w:after="0"/>
              <w:jc w:val="center"/>
              <w:rPr>
                <w:rFonts w:ascii="Times New Roman" w:hAnsi="Times New Roman"/>
              </w:rPr>
            </w:pPr>
            <w:r w:rsidRPr="00EF52B7">
              <w:rPr>
                <w:rFonts w:ascii="Times New Roman" w:hAnsi="Times New Roman"/>
              </w:rPr>
              <w:t>28.3</w:t>
            </w:r>
          </w:p>
        </w:tc>
        <w:tc>
          <w:tcPr>
            <w:tcW w:w="1100" w:type="dxa"/>
            <w:tcBorders>
              <w:top w:val="single" w:sz="4" w:space="0" w:color="auto"/>
              <w:left w:val="nil"/>
              <w:bottom w:val="single" w:sz="4" w:space="0" w:color="auto"/>
              <w:right w:val="single" w:sz="4" w:space="0" w:color="auto"/>
            </w:tcBorders>
            <w:shd w:val="clear" w:color="auto" w:fill="auto"/>
            <w:noWrap/>
            <w:hideMark/>
          </w:tcPr>
          <w:p w14:paraId="485BDE54" w14:textId="77777777" w:rsidR="00A57704" w:rsidRPr="00EF52B7" w:rsidRDefault="00A57704" w:rsidP="00A57704">
            <w:pPr>
              <w:spacing w:after="0"/>
              <w:jc w:val="center"/>
              <w:rPr>
                <w:rFonts w:ascii="Times New Roman" w:hAnsi="Times New Roman"/>
              </w:rPr>
            </w:pPr>
            <w:r w:rsidRPr="00EF52B7">
              <w:rPr>
                <w:rFonts w:ascii="Times New Roman" w:hAnsi="Times New Roman"/>
              </w:rPr>
              <w:t>689.4</w:t>
            </w:r>
          </w:p>
        </w:tc>
      </w:tr>
      <w:tr w:rsidR="00A57704" w:rsidRPr="00EF52B7" w14:paraId="7745CC2A"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7EF11360" w14:textId="77777777" w:rsidR="00A57704" w:rsidRPr="00EF52B7" w:rsidRDefault="00A57704" w:rsidP="00A57704">
            <w:pPr>
              <w:spacing w:after="0"/>
              <w:rPr>
                <w:rFonts w:ascii="Times New Roman" w:hAnsi="Times New Roman"/>
              </w:rPr>
            </w:pPr>
            <w:r w:rsidRPr="00EF52B7">
              <w:rPr>
                <w:rFonts w:ascii="Times New Roman" w:hAnsi="Times New Roman"/>
              </w:rPr>
              <w:t xml:space="preserve">Precipitación </w:t>
            </w:r>
            <w:r>
              <w:rPr>
                <w:rFonts w:ascii="Times New Roman" w:hAnsi="Times New Roman"/>
              </w:rPr>
              <w:t>2019</w:t>
            </w:r>
          </w:p>
        </w:tc>
        <w:tc>
          <w:tcPr>
            <w:tcW w:w="760" w:type="dxa"/>
            <w:tcBorders>
              <w:top w:val="single" w:sz="4" w:space="0" w:color="auto"/>
              <w:left w:val="nil"/>
              <w:bottom w:val="single" w:sz="4" w:space="0" w:color="auto"/>
              <w:right w:val="single" w:sz="4" w:space="0" w:color="auto"/>
            </w:tcBorders>
            <w:shd w:val="clear" w:color="auto" w:fill="auto"/>
            <w:noWrap/>
            <w:hideMark/>
          </w:tcPr>
          <w:p w14:paraId="018137E0" w14:textId="77777777" w:rsidR="00A57704" w:rsidRPr="00EF52B7" w:rsidRDefault="00A57704" w:rsidP="00A57704">
            <w:pPr>
              <w:spacing w:after="0"/>
              <w:jc w:val="center"/>
              <w:rPr>
                <w:rFonts w:ascii="Times New Roman" w:hAnsi="Times New Roman"/>
              </w:rPr>
            </w:pPr>
            <w:r>
              <w:rPr>
                <w:rFonts w:ascii="Times New Roman" w:hAnsi="Times New Roman"/>
              </w:rPr>
              <w:t>0.8</w:t>
            </w:r>
          </w:p>
        </w:tc>
        <w:tc>
          <w:tcPr>
            <w:tcW w:w="760" w:type="dxa"/>
            <w:tcBorders>
              <w:top w:val="single" w:sz="4" w:space="0" w:color="auto"/>
              <w:left w:val="nil"/>
              <w:bottom w:val="single" w:sz="4" w:space="0" w:color="auto"/>
              <w:right w:val="single" w:sz="4" w:space="0" w:color="auto"/>
            </w:tcBorders>
            <w:shd w:val="clear" w:color="auto" w:fill="auto"/>
            <w:noWrap/>
            <w:hideMark/>
          </w:tcPr>
          <w:p w14:paraId="5549325D" w14:textId="77777777" w:rsidR="00A57704" w:rsidRPr="00EF52B7" w:rsidRDefault="00A57704" w:rsidP="00A57704">
            <w:pPr>
              <w:spacing w:after="0"/>
              <w:jc w:val="center"/>
              <w:rPr>
                <w:rFonts w:ascii="Times New Roman" w:hAnsi="Times New Roman"/>
              </w:rPr>
            </w:pPr>
            <w:r>
              <w:rPr>
                <w:rFonts w:ascii="Times New Roman" w:hAnsi="Times New Roman"/>
              </w:rPr>
              <w:t>2.7</w:t>
            </w:r>
          </w:p>
        </w:tc>
        <w:tc>
          <w:tcPr>
            <w:tcW w:w="720" w:type="dxa"/>
            <w:tcBorders>
              <w:top w:val="single" w:sz="4" w:space="0" w:color="auto"/>
              <w:left w:val="nil"/>
              <w:bottom w:val="single" w:sz="4" w:space="0" w:color="auto"/>
              <w:right w:val="single" w:sz="4" w:space="0" w:color="auto"/>
            </w:tcBorders>
            <w:shd w:val="clear" w:color="auto" w:fill="auto"/>
            <w:noWrap/>
            <w:hideMark/>
          </w:tcPr>
          <w:p w14:paraId="741DF725" w14:textId="77777777" w:rsidR="00A57704" w:rsidRPr="00EF52B7" w:rsidRDefault="00A57704" w:rsidP="00A57704">
            <w:pPr>
              <w:spacing w:after="0"/>
              <w:jc w:val="center"/>
              <w:rPr>
                <w:rFonts w:ascii="Times New Roman" w:hAnsi="Times New Roman"/>
              </w:rPr>
            </w:pPr>
            <w:r>
              <w:rPr>
                <w:rFonts w:ascii="Times New Roman" w:hAnsi="Times New Roman"/>
              </w:rPr>
              <w:t>145.0</w:t>
            </w:r>
          </w:p>
        </w:tc>
        <w:tc>
          <w:tcPr>
            <w:tcW w:w="820" w:type="dxa"/>
            <w:tcBorders>
              <w:top w:val="single" w:sz="4" w:space="0" w:color="auto"/>
              <w:left w:val="nil"/>
              <w:bottom w:val="single" w:sz="4" w:space="0" w:color="auto"/>
              <w:right w:val="single" w:sz="4" w:space="0" w:color="auto"/>
            </w:tcBorders>
            <w:shd w:val="clear" w:color="auto" w:fill="auto"/>
            <w:noWrap/>
            <w:hideMark/>
          </w:tcPr>
          <w:p w14:paraId="3C9F382F" w14:textId="77777777" w:rsidR="00A57704" w:rsidRPr="00EF52B7" w:rsidRDefault="00A57704" w:rsidP="00A57704">
            <w:pPr>
              <w:spacing w:after="0"/>
              <w:jc w:val="center"/>
              <w:rPr>
                <w:rFonts w:ascii="Times New Roman" w:hAnsi="Times New Roman"/>
              </w:rPr>
            </w:pPr>
            <w:r>
              <w:rPr>
                <w:rFonts w:ascii="Times New Roman" w:hAnsi="Times New Roman"/>
              </w:rPr>
              <w:t>6.6</w:t>
            </w:r>
          </w:p>
        </w:tc>
        <w:tc>
          <w:tcPr>
            <w:tcW w:w="820" w:type="dxa"/>
            <w:tcBorders>
              <w:top w:val="single" w:sz="4" w:space="0" w:color="auto"/>
              <w:left w:val="nil"/>
              <w:bottom w:val="single" w:sz="4" w:space="0" w:color="auto"/>
              <w:right w:val="single" w:sz="4" w:space="0" w:color="auto"/>
            </w:tcBorders>
            <w:shd w:val="clear" w:color="auto" w:fill="auto"/>
            <w:noWrap/>
            <w:hideMark/>
          </w:tcPr>
          <w:p w14:paraId="433B32B9" w14:textId="77777777" w:rsidR="00A57704" w:rsidRPr="00EF52B7" w:rsidRDefault="00A57704" w:rsidP="00A57704">
            <w:pPr>
              <w:spacing w:after="0"/>
              <w:jc w:val="center"/>
              <w:rPr>
                <w:rFonts w:ascii="Times New Roman" w:hAnsi="Times New Roman"/>
              </w:rPr>
            </w:pPr>
            <w:r>
              <w:rPr>
                <w:rFonts w:ascii="Times New Roman" w:hAnsi="Times New Roman"/>
              </w:rPr>
              <w:t>22.3</w:t>
            </w:r>
          </w:p>
        </w:tc>
        <w:tc>
          <w:tcPr>
            <w:tcW w:w="820" w:type="dxa"/>
            <w:tcBorders>
              <w:top w:val="single" w:sz="4" w:space="0" w:color="auto"/>
              <w:left w:val="nil"/>
              <w:bottom w:val="single" w:sz="4" w:space="0" w:color="auto"/>
              <w:right w:val="single" w:sz="4" w:space="0" w:color="auto"/>
            </w:tcBorders>
            <w:shd w:val="clear" w:color="auto" w:fill="auto"/>
            <w:noWrap/>
            <w:hideMark/>
          </w:tcPr>
          <w:p w14:paraId="5115C044" w14:textId="77777777" w:rsidR="00A57704" w:rsidRPr="00EF52B7" w:rsidRDefault="00A57704" w:rsidP="00A57704">
            <w:pPr>
              <w:spacing w:after="0"/>
              <w:jc w:val="center"/>
              <w:rPr>
                <w:rFonts w:ascii="Times New Roman" w:hAnsi="Times New Roman"/>
              </w:rPr>
            </w:pPr>
            <w:r>
              <w:rPr>
                <w:rFonts w:ascii="Times New Roman" w:hAnsi="Times New Roman"/>
              </w:rPr>
              <w:t>40.9</w:t>
            </w:r>
          </w:p>
        </w:tc>
        <w:tc>
          <w:tcPr>
            <w:tcW w:w="760" w:type="dxa"/>
            <w:tcBorders>
              <w:top w:val="single" w:sz="4" w:space="0" w:color="auto"/>
              <w:left w:val="nil"/>
              <w:bottom w:val="single" w:sz="4" w:space="0" w:color="auto"/>
              <w:right w:val="single" w:sz="4" w:space="0" w:color="auto"/>
            </w:tcBorders>
            <w:shd w:val="clear" w:color="auto" w:fill="auto"/>
            <w:noWrap/>
            <w:hideMark/>
          </w:tcPr>
          <w:p w14:paraId="4A7DE178" w14:textId="77777777" w:rsidR="00A57704" w:rsidRPr="00EF52B7" w:rsidRDefault="00A57704" w:rsidP="00A57704">
            <w:pPr>
              <w:spacing w:after="0"/>
              <w:jc w:val="center"/>
              <w:rPr>
                <w:rFonts w:ascii="Times New Roman" w:hAnsi="Times New Roman"/>
              </w:rPr>
            </w:pPr>
            <w:r>
              <w:rPr>
                <w:rFonts w:ascii="Times New Roman" w:hAnsi="Times New Roman"/>
              </w:rPr>
              <w:t>8.9</w:t>
            </w:r>
          </w:p>
        </w:tc>
        <w:tc>
          <w:tcPr>
            <w:tcW w:w="820" w:type="dxa"/>
            <w:tcBorders>
              <w:top w:val="single" w:sz="4" w:space="0" w:color="auto"/>
              <w:left w:val="nil"/>
              <w:bottom w:val="single" w:sz="4" w:space="0" w:color="auto"/>
              <w:right w:val="single" w:sz="4" w:space="0" w:color="auto"/>
            </w:tcBorders>
            <w:shd w:val="clear" w:color="auto" w:fill="auto"/>
            <w:noWrap/>
            <w:hideMark/>
          </w:tcPr>
          <w:p w14:paraId="5A3FA098" w14:textId="77777777" w:rsidR="00A57704" w:rsidRPr="00EF52B7" w:rsidRDefault="00A57704" w:rsidP="00A57704">
            <w:pPr>
              <w:spacing w:after="0"/>
              <w:jc w:val="center"/>
              <w:rPr>
                <w:rFonts w:ascii="Times New Roman" w:hAnsi="Times New Roman"/>
              </w:rPr>
            </w:pPr>
            <w:r>
              <w:rPr>
                <w:rFonts w:ascii="Times New Roman" w:hAnsi="Times New Roman"/>
              </w:rPr>
              <w:t>43.3</w:t>
            </w:r>
          </w:p>
        </w:tc>
        <w:tc>
          <w:tcPr>
            <w:tcW w:w="820" w:type="dxa"/>
            <w:tcBorders>
              <w:top w:val="single" w:sz="4" w:space="0" w:color="auto"/>
              <w:left w:val="nil"/>
              <w:bottom w:val="single" w:sz="4" w:space="0" w:color="auto"/>
              <w:right w:val="single" w:sz="4" w:space="0" w:color="auto"/>
            </w:tcBorders>
            <w:shd w:val="clear" w:color="auto" w:fill="auto"/>
            <w:noWrap/>
            <w:hideMark/>
          </w:tcPr>
          <w:p w14:paraId="5600C58D" w14:textId="77777777" w:rsidR="00A57704" w:rsidRPr="00EF52B7" w:rsidRDefault="00A57704" w:rsidP="00A57704">
            <w:pPr>
              <w:spacing w:after="0"/>
              <w:jc w:val="center"/>
              <w:rPr>
                <w:rFonts w:ascii="Times New Roman" w:hAnsi="Times New Roman"/>
              </w:rPr>
            </w:pPr>
            <w:r>
              <w:rPr>
                <w:rFonts w:ascii="Times New Roman" w:hAnsi="Times New Roman"/>
              </w:rPr>
              <w:t>54.5</w:t>
            </w:r>
          </w:p>
        </w:tc>
        <w:tc>
          <w:tcPr>
            <w:tcW w:w="820" w:type="dxa"/>
            <w:tcBorders>
              <w:top w:val="single" w:sz="4" w:space="0" w:color="auto"/>
              <w:left w:val="nil"/>
              <w:bottom w:val="single" w:sz="4" w:space="0" w:color="auto"/>
              <w:right w:val="single" w:sz="4" w:space="0" w:color="auto"/>
            </w:tcBorders>
            <w:shd w:val="clear" w:color="auto" w:fill="auto"/>
            <w:noWrap/>
            <w:hideMark/>
          </w:tcPr>
          <w:p w14:paraId="76A7A65C" w14:textId="77777777" w:rsidR="00A57704" w:rsidRPr="00EF52B7" w:rsidRDefault="00A57704" w:rsidP="00A57704">
            <w:pPr>
              <w:spacing w:after="0"/>
              <w:jc w:val="center"/>
              <w:rPr>
                <w:rFonts w:ascii="Times New Roman" w:hAnsi="Times New Roman"/>
              </w:rPr>
            </w:pPr>
            <w:r>
              <w:rPr>
                <w:rFonts w:ascii="Times New Roman" w:hAnsi="Times New Roman"/>
              </w:rPr>
              <w:t>0</w:t>
            </w:r>
          </w:p>
        </w:tc>
        <w:tc>
          <w:tcPr>
            <w:tcW w:w="760" w:type="dxa"/>
            <w:tcBorders>
              <w:top w:val="single" w:sz="4" w:space="0" w:color="auto"/>
              <w:left w:val="nil"/>
              <w:bottom w:val="single" w:sz="4" w:space="0" w:color="auto"/>
              <w:right w:val="single" w:sz="4" w:space="0" w:color="auto"/>
            </w:tcBorders>
            <w:shd w:val="clear" w:color="auto" w:fill="auto"/>
            <w:noWrap/>
            <w:hideMark/>
          </w:tcPr>
          <w:p w14:paraId="18A60618" w14:textId="77777777" w:rsidR="00A57704" w:rsidRPr="00EF52B7" w:rsidRDefault="00A57704" w:rsidP="00A57704">
            <w:pPr>
              <w:spacing w:after="0"/>
              <w:jc w:val="center"/>
              <w:rPr>
                <w:rFonts w:ascii="Times New Roman" w:hAnsi="Times New Roman"/>
              </w:rPr>
            </w:pPr>
            <w:r>
              <w:rPr>
                <w:rFonts w:ascii="Times New Roman" w:hAnsi="Times New Roman"/>
              </w:rPr>
              <w:t>67.9</w:t>
            </w:r>
          </w:p>
        </w:tc>
        <w:tc>
          <w:tcPr>
            <w:tcW w:w="720" w:type="dxa"/>
            <w:tcBorders>
              <w:top w:val="single" w:sz="4" w:space="0" w:color="auto"/>
              <w:left w:val="nil"/>
              <w:bottom w:val="single" w:sz="4" w:space="0" w:color="auto"/>
              <w:right w:val="single" w:sz="4" w:space="0" w:color="auto"/>
            </w:tcBorders>
            <w:shd w:val="clear" w:color="auto" w:fill="auto"/>
            <w:noWrap/>
            <w:hideMark/>
          </w:tcPr>
          <w:p w14:paraId="34448523" w14:textId="77777777" w:rsidR="00A57704" w:rsidRPr="00EF52B7" w:rsidRDefault="00A57704" w:rsidP="00A57704">
            <w:pPr>
              <w:spacing w:after="0"/>
              <w:jc w:val="center"/>
              <w:rPr>
                <w:rFonts w:ascii="Times New Roman" w:hAnsi="Times New Roman"/>
              </w:rPr>
            </w:pPr>
            <w:r>
              <w:rPr>
                <w:rFonts w:ascii="Times New Roman" w:hAnsi="Times New Roman"/>
              </w:rPr>
              <w:t>0</w:t>
            </w:r>
          </w:p>
        </w:tc>
        <w:tc>
          <w:tcPr>
            <w:tcW w:w="1100" w:type="dxa"/>
            <w:tcBorders>
              <w:top w:val="single" w:sz="4" w:space="0" w:color="auto"/>
              <w:left w:val="nil"/>
              <w:bottom w:val="single" w:sz="4" w:space="0" w:color="auto"/>
              <w:right w:val="single" w:sz="4" w:space="0" w:color="auto"/>
            </w:tcBorders>
            <w:shd w:val="clear" w:color="auto" w:fill="auto"/>
            <w:noWrap/>
            <w:hideMark/>
          </w:tcPr>
          <w:p w14:paraId="43B44EF4" w14:textId="77777777" w:rsidR="00A57704" w:rsidRPr="00EF52B7" w:rsidRDefault="00A57704" w:rsidP="00A57704">
            <w:pPr>
              <w:spacing w:after="0"/>
              <w:jc w:val="center"/>
              <w:rPr>
                <w:rFonts w:ascii="Times New Roman" w:hAnsi="Times New Roman"/>
              </w:rPr>
            </w:pPr>
            <w:r>
              <w:rPr>
                <w:rFonts w:ascii="Times New Roman" w:hAnsi="Times New Roman"/>
              </w:rPr>
              <w:t>392.9</w:t>
            </w:r>
          </w:p>
        </w:tc>
      </w:tr>
      <w:tr w:rsidR="00A57704" w:rsidRPr="00EF52B7" w14:paraId="6FC005A9"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4BB66C2E" w14:textId="77777777" w:rsidR="00A57704" w:rsidRPr="00EF52B7" w:rsidRDefault="00A57704" w:rsidP="00A57704">
            <w:pPr>
              <w:spacing w:after="0"/>
              <w:rPr>
                <w:rFonts w:ascii="Times New Roman" w:hAnsi="Times New Roman"/>
              </w:rPr>
            </w:pPr>
            <w:r w:rsidRPr="00EF52B7">
              <w:rPr>
                <w:rFonts w:ascii="Times New Roman" w:hAnsi="Times New Roman"/>
              </w:rPr>
              <w:t>D. Prec (%)</w:t>
            </w:r>
          </w:p>
        </w:tc>
        <w:tc>
          <w:tcPr>
            <w:tcW w:w="760" w:type="dxa"/>
            <w:tcBorders>
              <w:top w:val="single" w:sz="4" w:space="0" w:color="auto"/>
              <w:left w:val="nil"/>
              <w:bottom w:val="single" w:sz="4" w:space="0" w:color="auto"/>
              <w:right w:val="single" w:sz="4" w:space="0" w:color="auto"/>
            </w:tcBorders>
            <w:shd w:val="clear" w:color="auto" w:fill="auto"/>
            <w:noWrap/>
            <w:hideMark/>
          </w:tcPr>
          <w:p w14:paraId="3061038B" w14:textId="77777777" w:rsidR="00A57704" w:rsidRPr="00EF52B7" w:rsidRDefault="00A57704" w:rsidP="00A57704">
            <w:pPr>
              <w:spacing w:after="0"/>
              <w:jc w:val="center"/>
              <w:rPr>
                <w:rFonts w:ascii="Times New Roman" w:hAnsi="Times New Roman"/>
              </w:rPr>
            </w:pPr>
            <w:r>
              <w:rPr>
                <w:rFonts w:ascii="Times New Roman" w:hAnsi="Times New Roman"/>
              </w:rPr>
              <w:t>-97.3</w:t>
            </w:r>
          </w:p>
        </w:tc>
        <w:tc>
          <w:tcPr>
            <w:tcW w:w="760" w:type="dxa"/>
            <w:tcBorders>
              <w:top w:val="single" w:sz="4" w:space="0" w:color="auto"/>
              <w:left w:val="nil"/>
              <w:bottom w:val="single" w:sz="4" w:space="0" w:color="auto"/>
              <w:right w:val="single" w:sz="4" w:space="0" w:color="auto"/>
            </w:tcBorders>
            <w:shd w:val="clear" w:color="auto" w:fill="auto"/>
            <w:noWrap/>
            <w:hideMark/>
          </w:tcPr>
          <w:p w14:paraId="14D1B561" w14:textId="77777777" w:rsidR="00A57704" w:rsidRPr="00EF52B7" w:rsidRDefault="00A57704" w:rsidP="00A57704">
            <w:pPr>
              <w:spacing w:after="0"/>
              <w:jc w:val="center"/>
              <w:rPr>
                <w:rFonts w:ascii="Times New Roman" w:hAnsi="Times New Roman"/>
              </w:rPr>
            </w:pPr>
            <w:r>
              <w:rPr>
                <w:rFonts w:ascii="Times New Roman" w:hAnsi="Times New Roman"/>
              </w:rPr>
              <w:t>-92.6</w:t>
            </w:r>
          </w:p>
        </w:tc>
        <w:tc>
          <w:tcPr>
            <w:tcW w:w="720" w:type="dxa"/>
            <w:tcBorders>
              <w:top w:val="single" w:sz="4" w:space="0" w:color="auto"/>
              <w:left w:val="nil"/>
              <w:bottom w:val="single" w:sz="4" w:space="0" w:color="auto"/>
              <w:right w:val="single" w:sz="4" w:space="0" w:color="auto"/>
            </w:tcBorders>
            <w:shd w:val="clear" w:color="auto" w:fill="auto"/>
            <w:noWrap/>
            <w:hideMark/>
          </w:tcPr>
          <w:p w14:paraId="4C280176" w14:textId="77777777" w:rsidR="00A57704" w:rsidRPr="00EF52B7" w:rsidRDefault="00A57704" w:rsidP="00A57704">
            <w:pPr>
              <w:spacing w:after="0"/>
              <w:jc w:val="center"/>
              <w:rPr>
                <w:rFonts w:ascii="Times New Roman" w:hAnsi="Times New Roman"/>
              </w:rPr>
            </w:pPr>
            <w:r>
              <w:rPr>
                <w:rFonts w:ascii="Times New Roman" w:hAnsi="Times New Roman"/>
              </w:rPr>
              <w:t>235.6</w:t>
            </w:r>
          </w:p>
        </w:tc>
        <w:tc>
          <w:tcPr>
            <w:tcW w:w="820" w:type="dxa"/>
            <w:tcBorders>
              <w:top w:val="single" w:sz="4" w:space="0" w:color="auto"/>
              <w:left w:val="nil"/>
              <w:bottom w:val="single" w:sz="4" w:space="0" w:color="auto"/>
              <w:right w:val="single" w:sz="4" w:space="0" w:color="auto"/>
            </w:tcBorders>
            <w:shd w:val="clear" w:color="auto" w:fill="auto"/>
            <w:noWrap/>
            <w:hideMark/>
          </w:tcPr>
          <w:p w14:paraId="35CCE0B0" w14:textId="77777777" w:rsidR="00A57704" w:rsidRPr="00EF52B7" w:rsidRDefault="00A57704" w:rsidP="00A57704">
            <w:pPr>
              <w:spacing w:after="0"/>
              <w:jc w:val="center"/>
              <w:rPr>
                <w:rFonts w:ascii="Times New Roman" w:hAnsi="Times New Roman"/>
              </w:rPr>
            </w:pPr>
            <w:r>
              <w:rPr>
                <w:rFonts w:ascii="Times New Roman" w:hAnsi="Times New Roman"/>
              </w:rPr>
              <w:t>-91.4</w:t>
            </w:r>
          </w:p>
        </w:tc>
        <w:tc>
          <w:tcPr>
            <w:tcW w:w="820" w:type="dxa"/>
            <w:tcBorders>
              <w:top w:val="single" w:sz="4" w:space="0" w:color="auto"/>
              <w:left w:val="nil"/>
              <w:bottom w:val="single" w:sz="4" w:space="0" w:color="auto"/>
              <w:right w:val="single" w:sz="4" w:space="0" w:color="auto"/>
            </w:tcBorders>
            <w:shd w:val="clear" w:color="auto" w:fill="auto"/>
            <w:noWrap/>
            <w:hideMark/>
          </w:tcPr>
          <w:p w14:paraId="0FD48B18" w14:textId="77777777" w:rsidR="00A57704" w:rsidRPr="00EF52B7" w:rsidRDefault="00A57704" w:rsidP="00A57704">
            <w:pPr>
              <w:spacing w:after="0"/>
              <w:jc w:val="center"/>
              <w:rPr>
                <w:rFonts w:ascii="Times New Roman" w:hAnsi="Times New Roman"/>
              </w:rPr>
            </w:pPr>
            <w:r>
              <w:rPr>
                <w:rFonts w:ascii="Times New Roman" w:hAnsi="Times New Roman"/>
              </w:rPr>
              <w:t>-82.6</w:t>
            </w:r>
          </w:p>
        </w:tc>
        <w:tc>
          <w:tcPr>
            <w:tcW w:w="820" w:type="dxa"/>
            <w:tcBorders>
              <w:top w:val="single" w:sz="4" w:space="0" w:color="auto"/>
              <w:left w:val="nil"/>
              <w:bottom w:val="single" w:sz="4" w:space="0" w:color="auto"/>
              <w:right w:val="single" w:sz="4" w:space="0" w:color="auto"/>
            </w:tcBorders>
            <w:shd w:val="clear" w:color="auto" w:fill="auto"/>
            <w:noWrap/>
            <w:hideMark/>
          </w:tcPr>
          <w:p w14:paraId="67E8D250" w14:textId="77777777" w:rsidR="00A57704" w:rsidRPr="00EF52B7" w:rsidRDefault="00A57704" w:rsidP="00A57704">
            <w:pPr>
              <w:spacing w:after="0"/>
              <w:jc w:val="center"/>
              <w:rPr>
                <w:rFonts w:ascii="Times New Roman" w:hAnsi="Times New Roman"/>
              </w:rPr>
            </w:pPr>
            <w:r>
              <w:rPr>
                <w:rFonts w:ascii="Times New Roman" w:hAnsi="Times New Roman"/>
              </w:rPr>
              <w:t>-41.2</w:t>
            </w:r>
          </w:p>
        </w:tc>
        <w:tc>
          <w:tcPr>
            <w:tcW w:w="760" w:type="dxa"/>
            <w:tcBorders>
              <w:top w:val="single" w:sz="4" w:space="0" w:color="auto"/>
              <w:left w:val="nil"/>
              <w:bottom w:val="single" w:sz="4" w:space="0" w:color="auto"/>
              <w:right w:val="single" w:sz="4" w:space="0" w:color="auto"/>
            </w:tcBorders>
            <w:shd w:val="clear" w:color="auto" w:fill="auto"/>
            <w:noWrap/>
            <w:hideMark/>
          </w:tcPr>
          <w:p w14:paraId="69D9228C" w14:textId="77777777" w:rsidR="00A57704" w:rsidRPr="00EF52B7" w:rsidRDefault="00A57704" w:rsidP="00A57704">
            <w:pPr>
              <w:spacing w:after="0"/>
              <w:jc w:val="center"/>
              <w:rPr>
                <w:rFonts w:ascii="Times New Roman" w:hAnsi="Times New Roman"/>
              </w:rPr>
            </w:pPr>
            <w:r>
              <w:rPr>
                <w:rFonts w:ascii="Times New Roman" w:hAnsi="Times New Roman"/>
              </w:rPr>
              <w:t>-69.0</w:t>
            </w:r>
          </w:p>
        </w:tc>
        <w:tc>
          <w:tcPr>
            <w:tcW w:w="820" w:type="dxa"/>
            <w:tcBorders>
              <w:top w:val="single" w:sz="4" w:space="0" w:color="auto"/>
              <w:left w:val="nil"/>
              <w:bottom w:val="single" w:sz="4" w:space="0" w:color="auto"/>
              <w:right w:val="single" w:sz="4" w:space="0" w:color="auto"/>
            </w:tcBorders>
            <w:shd w:val="clear" w:color="auto" w:fill="auto"/>
            <w:noWrap/>
            <w:hideMark/>
          </w:tcPr>
          <w:p w14:paraId="4A0F4CBF" w14:textId="77777777" w:rsidR="00A57704" w:rsidRPr="00EF52B7" w:rsidRDefault="00A57704" w:rsidP="00A57704">
            <w:pPr>
              <w:spacing w:after="0"/>
              <w:jc w:val="center"/>
              <w:rPr>
                <w:rFonts w:ascii="Times New Roman" w:hAnsi="Times New Roman"/>
              </w:rPr>
            </w:pPr>
            <w:r>
              <w:rPr>
                <w:rFonts w:ascii="Times New Roman" w:hAnsi="Times New Roman"/>
              </w:rPr>
              <w:t>3.8</w:t>
            </w:r>
          </w:p>
        </w:tc>
        <w:tc>
          <w:tcPr>
            <w:tcW w:w="820" w:type="dxa"/>
            <w:tcBorders>
              <w:top w:val="single" w:sz="4" w:space="0" w:color="auto"/>
              <w:left w:val="nil"/>
              <w:bottom w:val="single" w:sz="4" w:space="0" w:color="auto"/>
              <w:right w:val="single" w:sz="4" w:space="0" w:color="auto"/>
            </w:tcBorders>
            <w:shd w:val="clear" w:color="auto" w:fill="auto"/>
            <w:noWrap/>
            <w:hideMark/>
          </w:tcPr>
          <w:p w14:paraId="480006D7" w14:textId="77777777" w:rsidR="00A57704" w:rsidRPr="00EF52B7" w:rsidRDefault="00A57704" w:rsidP="00A57704">
            <w:pPr>
              <w:spacing w:after="0"/>
              <w:jc w:val="center"/>
              <w:rPr>
                <w:rFonts w:ascii="Times New Roman" w:hAnsi="Times New Roman"/>
              </w:rPr>
            </w:pPr>
            <w:r>
              <w:rPr>
                <w:rFonts w:ascii="Times New Roman" w:hAnsi="Times New Roman"/>
              </w:rPr>
              <w:t>-25.6</w:t>
            </w:r>
          </w:p>
        </w:tc>
        <w:tc>
          <w:tcPr>
            <w:tcW w:w="820" w:type="dxa"/>
            <w:tcBorders>
              <w:top w:val="single" w:sz="4" w:space="0" w:color="auto"/>
              <w:left w:val="nil"/>
              <w:bottom w:val="single" w:sz="4" w:space="0" w:color="auto"/>
              <w:right w:val="single" w:sz="4" w:space="0" w:color="auto"/>
            </w:tcBorders>
            <w:shd w:val="clear" w:color="auto" w:fill="auto"/>
            <w:noWrap/>
            <w:hideMark/>
          </w:tcPr>
          <w:p w14:paraId="44133C93" w14:textId="77777777" w:rsidR="00A57704" w:rsidRPr="00EF52B7" w:rsidRDefault="00A57704" w:rsidP="00A57704">
            <w:pPr>
              <w:spacing w:after="0"/>
              <w:jc w:val="center"/>
              <w:rPr>
                <w:rFonts w:ascii="Times New Roman" w:hAnsi="Times New Roman"/>
              </w:rPr>
            </w:pPr>
            <w:r>
              <w:rPr>
                <w:rFonts w:ascii="Times New Roman" w:hAnsi="Times New Roman"/>
              </w:rPr>
              <w:t>-100.0</w:t>
            </w:r>
          </w:p>
        </w:tc>
        <w:tc>
          <w:tcPr>
            <w:tcW w:w="760" w:type="dxa"/>
            <w:tcBorders>
              <w:top w:val="single" w:sz="4" w:space="0" w:color="auto"/>
              <w:left w:val="nil"/>
              <w:bottom w:val="single" w:sz="4" w:space="0" w:color="auto"/>
              <w:right w:val="single" w:sz="4" w:space="0" w:color="auto"/>
            </w:tcBorders>
            <w:shd w:val="clear" w:color="auto" w:fill="auto"/>
            <w:noWrap/>
            <w:hideMark/>
          </w:tcPr>
          <w:p w14:paraId="31079E68" w14:textId="77777777" w:rsidR="00A57704" w:rsidRPr="00EF52B7" w:rsidRDefault="00A57704" w:rsidP="00A57704">
            <w:pPr>
              <w:spacing w:after="0"/>
              <w:jc w:val="center"/>
              <w:rPr>
                <w:rFonts w:ascii="Times New Roman" w:hAnsi="Times New Roman"/>
              </w:rPr>
            </w:pPr>
            <w:r>
              <w:rPr>
                <w:rFonts w:ascii="Times New Roman" w:hAnsi="Times New Roman"/>
              </w:rPr>
              <w:t>36.3</w:t>
            </w:r>
          </w:p>
        </w:tc>
        <w:tc>
          <w:tcPr>
            <w:tcW w:w="720" w:type="dxa"/>
            <w:tcBorders>
              <w:top w:val="single" w:sz="4" w:space="0" w:color="auto"/>
              <w:left w:val="nil"/>
              <w:bottom w:val="single" w:sz="4" w:space="0" w:color="auto"/>
              <w:right w:val="single" w:sz="4" w:space="0" w:color="auto"/>
            </w:tcBorders>
            <w:shd w:val="clear" w:color="auto" w:fill="auto"/>
            <w:noWrap/>
            <w:hideMark/>
          </w:tcPr>
          <w:p w14:paraId="0C54CECE" w14:textId="77777777" w:rsidR="00A57704" w:rsidRPr="00EF52B7" w:rsidRDefault="00A57704" w:rsidP="00A57704">
            <w:pPr>
              <w:spacing w:after="0"/>
              <w:jc w:val="center"/>
              <w:rPr>
                <w:rFonts w:ascii="Times New Roman" w:hAnsi="Times New Roman"/>
              </w:rPr>
            </w:pPr>
            <w:r>
              <w:rPr>
                <w:rFonts w:ascii="Times New Roman" w:hAnsi="Times New Roman"/>
              </w:rPr>
              <w:t>0</w:t>
            </w:r>
          </w:p>
        </w:tc>
        <w:tc>
          <w:tcPr>
            <w:tcW w:w="1100" w:type="dxa"/>
            <w:tcBorders>
              <w:top w:val="single" w:sz="4" w:space="0" w:color="auto"/>
              <w:left w:val="nil"/>
              <w:bottom w:val="single" w:sz="4" w:space="0" w:color="auto"/>
              <w:right w:val="single" w:sz="4" w:space="0" w:color="auto"/>
            </w:tcBorders>
            <w:shd w:val="clear" w:color="auto" w:fill="auto"/>
            <w:noWrap/>
            <w:hideMark/>
          </w:tcPr>
          <w:p w14:paraId="2C8E7234" w14:textId="77777777" w:rsidR="00A57704" w:rsidRPr="00EF52B7" w:rsidRDefault="00A57704" w:rsidP="00A57704">
            <w:pPr>
              <w:spacing w:after="0"/>
              <w:jc w:val="center"/>
              <w:rPr>
                <w:rFonts w:ascii="Times New Roman" w:hAnsi="Times New Roman"/>
              </w:rPr>
            </w:pPr>
            <w:r w:rsidRPr="00EF52B7">
              <w:rPr>
                <w:rFonts w:ascii="Times New Roman" w:hAnsi="Times New Roman"/>
              </w:rPr>
              <w:t>-57.4</w:t>
            </w:r>
          </w:p>
        </w:tc>
      </w:tr>
    </w:tbl>
    <w:p w14:paraId="34A61D41" w14:textId="77777777" w:rsidR="00A57704" w:rsidRDefault="00A57704" w:rsidP="00A57704">
      <w:pPr>
        <w:spacing w:after="0"/>
        <w:rPr>
          <w:rFonts w:ascii="Times New Roman" w:hAnsi="Times New Roman"/>
        </w:rPr>
      </w:pPr>
    </w:p>
    <w:p w14:paraId="63BD2000"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space="720"/>
          <w:docGrid w:linePitch="360"/>
        </w:sectPr>
      </w:pPr>
    </w:p>
    <w:p w14:paraId="69819496" w14:textId="77777777" w:rsidR="00A57704" w:rsidRPr="00C83490" w:rsidRDefault="00A57704" w:rsidP="00A57704">
      <w:pPr>
        <w:spacing w:after="0"/>
        <w:rPr>
          <w:rFonts w:ascii="Times New Roman" w:hAnsi="Times New Roman"/>
        </w:rPr>
      </w:pPr>
    </w:p>
    <w:p w14:paraId="2B2E309C"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Mao</w:t>
      </w:r>
    </w:p>
    <w:p w14:paraId="260B9CA7" w14:textId="77777777" w:rsidR="00A57704" w:rsidRPr="002D5B20" w:rsidRDefault="00A57704" w:rsidP="00A57704">
      <w:pPr>
        <w:spacing w:after="0"/>
        <w:rPr>
          <w:rFonts w:ascii="Times New Roman" w:hAnsi="Times New Roman"/>
          <w:sz w:val="4"/>
        </w:rPr>
      </w:pPr>
      <w:r>
        <w:rPr>
          <w:noProof/>
          <w:lang w:eastAsia="es-DO"/>
        </w:rPr>
        <w:drawing>
          <wp:inline distT="0" distB="0" distL="0" distR="0" wp14:anchorId="4386BF3E" wp14:editId="0244618E">
            <wp:extent cx="3629025" cy="1576552"/>
            <wp:effectExtent l="0" t="0" r="0" b="5080"/>
            <wp:docPr id="285" name="Gráfico 285">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6D7AEE27-4E0B-448E-8C3C-089453967D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p w14:paraId="26856D30" w14:textId="77777777" w:rsidR="00A57704" w:rsidRPr="002D5B20" w:rsidRDefault="00A57704" w:rsidP="00A57704">
      <w:pPr>
        <w:spacing w:after="0"/>
        <w:rPr>
          <w:rFonts w:ascii="Times New Roman" w:hAnsi="Times New Roman"/>
          <w:sz w:val="4"/>
        </w:rPr>
      </w:pPr>
    </w:p>
    <w:p w14:paraId="67BA9EF4" w14:textId="77777777" w:rsidR="00A57704" w:rsidRPr="002D5B20" w:rsidRDefault="00A57704" w:rsidP="00A57704">
      <w:pPr>
        <w:spacing w:after="0"/>
        <w:rPr>
          <w:rFonts w:ascii="Times New Roman" w:hAnsi="Times New Roman"/>
          <w:sz w:val="4"/>
        </w:rPr>
      </w:pPr>
    </w:p>
    <w:p w14:paraId="7D70F2A5" w14:textId="77777777" w:rsidR="00A57704" w:rsidRDefault="00A57704" w:rsidP="00A57704">
      <w:pPr>
        <w:spacing w:after="0"/>
        <w:rPr>
          <w:rFonts w:ascii="Times New Roman" w:hAnsi="Times New Roman"/>
        </w:rPr>
      </w:pPr>
    </w:p>
    <w:p w14:paraId="71199561"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7D84AABD"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398F6C03" wp14:editId="11679C04">
            <wp:extent cx="3562350" cy="1513490"/>
            <wp:effectExtent l="0" t="0" r="0" b="0"/>
            <wp:docPr id="286" name="Gráfico 286">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A9D50936-82A5-4F0B-B228-994CF07926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tbl>
      <w:tblPr>
        <w:tblW w:w="12712" w:type="dxa"/>
        <w:tblInd w:w="-5" w:type="dxa"/>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A57704" w:rsidRPr="00EF52B7" w14:paraId="1F11618A"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6D3F541A"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lastRenderedPageBreak/>
              <w:t>Santiago Rodríguez</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318A6261"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24ED03AC"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33B2AE8F"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68DF6BF4"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5E3D5ED5"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736C007F"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115BF04A"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0F1E0CF2"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0EE34D06"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10E9FFE"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691CB1AE"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0CD95B52"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09911CFA" w14:textId="77777777" w:rsidR="00A57704" w:rsidRPr="0076339A" w:rsidRDefault="00A57704" w:rsidP="0076339A">
            <w:pPr>
              <w:spacing w:after="0"/>
              <w:jc w:val="center"/>
              <w:rPr>
                <w:rFonts w:ascii="Times New Roman" w:hAnsi="Times New Roman"/>
                <w:b/>
                <w:bCs/>
                <w:color w:val="FFFFFF" w:themeColor="background1"/>
                <w:lang w:eastAsia="es-DO"/>
              </w:rPr>
            </w:pPr>
            <w:r w:rsidRPr="0076339A">
              <w:rPr>
                <w:rFonts w:ascii="Times New Roman" w:hAnsi="Times New Roman"/>
                <w:b/>
                <w:bCs/>
                <w:color w:val="FFFFFF" w:themeColor="background1"/>
                <w:lang w:eastAsia="es-DO"/>
              </w:rPr>
              <w:t>Año</w:t>
            </w:r>
          </w:p>
        </w:tc>
      </w:tr>
      <w:tr w:rsidR="00A57704" w:rsidRPr="00EF52B7" w14:paraId="375DF6DD"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79FE1" w14:textId="77777777" w:rsidR="00A57704" w:rsidRPr="00EF52B7" w:rsidRDefault="00A57704" w:rsidP="00A57704">
            <w:pPr>
              <w:spacing w:after="0"/>
              <w:rPr>
                <w:rFonts w:ascii="Times New Roman" w:hAnsi="Times New Roman"/>
                <w:bCs/>
                <w:color w:val="000000"/>
                <w:lang w:eastAsia="es-DO"/>
              </w:rPr>
            </w:pPr>
            <w:r w:rsidRPr="00EF52B7">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31D7626"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37.6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C4A4994"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40.4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8F567F7"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51.2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9A25E3A"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122.6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5059556"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190.4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23EDBE8"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128.8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087410D"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70.7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FD76D88"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91.3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691E422"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142.9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15E9AB38"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144.1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05A4608"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81.1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23D6DB5" w14:textId="77777777" w:rsidR="00A57704" w:rsidRPr="00EF52B7" w:rsidRDefault="00A57704" w:rsidP="00A57704">
            <w:pPr>
              <w:spacing w:after="0"/>
              <w:jc w:val="center"/>
              <w:rPr>
                <w:rFonts w:ascii="Times New Roman" w:hAnsi="Times New Roman"/>
                <w:bCs/>
                <w:color w:val="000000"/>
                <w:lang w:eastAsia="es-DO"/>
              </w:rPr>
            </w:pPr>
            <w:r w:rsidRPr="00EF52B7">
              <w:rPr>
                <w:rFonts w:ascii="Times New Roman" w:hAnsi="Times New Roman"/>
                <w:bCs/>
                <w:color w:val="000000"/>
                <w:lang w:eastAsia="es-DO"/>
              </w:rPr>
              <w:t>30.4</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69A6998F" w14:textId="77777777" w:rsidR="00A57704" w:rsidRPr="00EF52B7" w:rsidRDefault="00A57704" w:rsidP="00A57704">
            <w:pPr>
              <w:spacing w:after="0"/>
              <w:jc w:val="center"/>
              <w:rPr>
                <w:rFonts w:ascii="Times New Roman" w:hAnsi="Times New Roman"/>
                <w:bCs/>
                <w:lang w:eastAsia="es-DO"/>
              </w:rPr>
            </w:pPr>
            <w:r w:rsidRPr="00EF52B7">
              <w:rPr>
                <w:rFonts w:ascii="Times New Roman" w:hAnsi="Times New Roman"/>
                <w:bCs/>
                <w:lang w:eastAsia="es-DO"/>
              </w:rPr>
              <w:t>1,131.5</w:t>
            </w:r>
          </w:p>
        </w:tc>
      </w:tr>
      <w:tr w:rsidR="00A57704" w:rsidRPr="00EF52B7" w14:paraId="6570C7C3"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4560D" w14:textId="77777777" w:rsidR="00A57704" w:rsidRPr="00EF52B7" w:rsidRDefault="00A57704" w:rsidP="00A57704">
            <w:pPr>
              <w:spacing w:after="0"/>
              <w:rPr>
                <w:rFonts w:ascii="Times New Roman" w:hAnsi="Times New Roman"/>
                <w:bCs/>
                <w:color w:val="000000"/>
                <w:lang w:eastAsia="es-DO"/>
              </w:rPr>
            </w:pPr>
            <w:r w:rsidRPr="00EF52B7">
              <w:rPr>
                <w:rFonts w:ascii="Times New Roman" w:hAnsi="Times New Roman"/>
                <w:bCs/>
                <w:color w:val="000000"/>
                <w:lang w:eastAsia="es-DO"/>
              </w:rPr>
              <w:t xml:space="preserve">Precipitación </w:t>
            </w:r>
            <w:r>
              <w:rPr>
                <w:rFonts w:ascii="Times New Roman" w:hAnsi="Times New Roman"/>
                <w:bCs/>
                <w:color w:val="00000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EF5FB6D"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DBB621C"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11.1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8AF9A07"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98.7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3B4A774"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4.5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488EDB9"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300.5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414B138"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87.1</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8DF711C"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63.8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F0308C0"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348.6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27395D3"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375.8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747A4F4"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109.6</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29014A8"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220.9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C756014"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5DF39A3C" w14:textId="77777777" w:rsidR="00A57704" w:rsidRPr="00EF52B7" w:rsidRDefault="00A57704" w:rsidP="00A57704">
            <w:pPr>
              <w:spacing w:after="0"/>
              <w:jc w:val="center"/>
              <w:rPr>
                <w:rFonts w:ascii="Times New Roman" w:hAnsi="Times New Roman"/>
                <w:bCs/>
                <w:lang w:eastAsia="es-DO"/>
              </w:rPr>
            </w:pPr>
            <w:r>
              <w:rPr>
                <w:rFonts w:ascii="Times New Roman" w:hAnsi="Times New Roman"/>
                <w:bCs/>
                <w:lang w:eastAsia="es-DO"/>
              </w:rPr>
              <w:t>1,627.1</w:t>
            </w:r>
          </w:p>
        </w:tc>
      </w:tr>
      <w:tr w:rsidR="00A57704" w:rsidRPr="00EF52B7" w14:paraId="0ACCA536" w14:textId="77777777" w:rsidTr="0076339A">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C671F" w14:textId="77777777" w:rsidR="00A57704" w:rsidRPr="00EF52B7" w:rsidRDefault="00A57704" w:rsidP="00A57704">
            <w:pPr>
              <w:spacing w:after="0"/>
              <w:rPr>
                <w:rFonts w:ascii="Times New Roman" w:hAnsi="Times New Roman"/>
                <w:bCs/>
                <w:color w:val="000000"/>
                <w:lang w:eastAsia="es-DO"/>
              </w:rPr>
            </w:pPr>
            <w:r w:rsidRPr="00EF52B7">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AFCDD97"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-82.7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1CDAEB6"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-72.5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AB4798B"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92.8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8A7CC65"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-96.3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859251E"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57.8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EF1D56C"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-32.4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E959528"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-9.8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B88025C"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281.8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BCF73AB"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163.0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30951E58"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-23.9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63B9EAC9"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172.4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E711289" w14:textId="77777777" w:rsidR="00A57704" w:rsidRPr="00EF52B7"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02E0F2BB" w14:textId="77777777" w:rsidR="00A57704" w:rsidRPr="00EF52B7" w:rsidRDefault="00A57704" w:rsidP="00A57704">
            <w:pPr>
              <w:spacing w:after="0"/>
              <w:jc w:val="center"/>
              <w:rPr>
                <w:rFonts w:ascii="Times New Roman" w:hAnsi="Times New Roman"/>
                <w:bCs/>
                <w:lang w:eastAsia="es-DO"/>
              </w:rPr>
            </w:pPr>
            <w:r w:rsidRPr="00EF52B7">
              <w:rPr>
                <w:rFonts w:ascii="Times New Roman" w:hAnsi="Times New Roman"/>
                <w:bCs/>
                <w:lang w:eastAsia="es-DO"/>
              </w:rPr>
              <w:t>-23.3</w:t>
            </w:r>
          </w:p>
        </w:tc>
      </w:tr>
    </w:tbl>
    <w:p w14:paraId="67EAC1B6" w14:textId="77777777" w:rsidR="00A57704" w:rsidRPr="00C83490" w:rsidRDefault="00A57704" w:rsidP="00A57704">
      <w:pPr>
        <w:spacing w:after="0"/>
        <w:rPr>
          <w:rFonts w:ascii="Times New Roman" w:hAnsi="Times New Roman"/>
        </w:rPr>
        <w:sectPr w:rsidR="00A57704" w:rsidRPr="00C83490" w:rsidSect="00A57704">
          <w:type w:val="continuous"/>
          <w:pgSz w:w="15840" w:h="12240" w:orient="landscape"/>
          <w:pgMar w:top="1276" w:right="851" w:bottom="851" w:left="1440" w:header="720" w:footer="720" w:gutter="0"/>
          <w:cols w:space="720"/>
          <w:docGrid w:linePitch="360"/>
        </w:sectPr>
      </w:pPr>
    </w:p>
    <w:p w14:paraId="341663B0" w14:textId="77777777" w:rsidR="00A57704" w:rsidRPr="00C83490" w:rsidRDefault="00A57704" w:rsidP="00A57704">
      <w:pPr>
        <w:spacing w:after="0"/>
        <w:rPr>
          <w:rFonts w:ascii="Times New Roman" w:hAnsi="Times New Roman"/>
        </w:rPr>
      </w:pPr>
    </w:p>
    <w:p w14:paraId="59FB15CD" w14:textId="77777777" w:rsidR="00A57704" w:rsidRDefault="00A57704" w:rsidP="001C6B1A">
      <w:pPr>
        <w:pStyle w:val="Prrafodelista"/>
        <w:numPr>
          <w:ilvl w:val="0"/>
          <w:numId w:val="28"/>
        </w:numPr>
        <w:spacing w:after="0"/>
        <w:ind w:left="567" w:hanging="567"/>
        <w:rPr>
          <w:rFonts w:ascii="Times New Roman" w:hAnsi="Times New Roman"/>
        </w:rPr>
      </w:pPr>
      <w:r w:rsidRPr="00A37D31">
        <w:rPr>
          <w:rFonts w:ascii="Times New Roman" w:hAnsi="Times New Roman"/>
        </w:rPr>
        <w:t xml:space="preserve">Comportamiento precipitaciones </w:t>
      </w:r>
      <w:r>
        <w:rPr>
          <w:rFonts w:ascii="Times New Roman" w:hAnsi="Times New Roman"/>
        </w:rPr>
        <w:t>Santiago Rodríguez</w:t>
      </w:r>
    </w:p>
    <w:p w14:paraId="10804286" w14:textId="77777777" w:rsidR="00A57704" w:rsidRPr="007F5ADD" w:rsidRDefault="00A57704" w:rsidP="00A57704">
      <w:pPr>
        <w:pStyle w:val="Prrafodelista"/>
        <w:spacing w:after="0"/>
        <w:ind w:left="567"/>
        <w:rPr>
          <w:rFonts w:ascii="Times New Roman" w:hAnsi="Times New Roman"/>
          <w:sz w:val="14"/>
        </w:rPr>
      </w:pPr>
    </w:p>
    <w:p w14:paraId="2384DB7C" w14:textId="77777777" w:rsidR="00A57704" w:rsidRPr="009E58FD" w:rsidRDefault="00A57704" w:rsidP="00A57704">
      <w:pPr>
        <w:spacing w:after="0"/>
        <w:rPr>
          <w:rFonts w:ascii="Times New Roman" w:hAnsi="Times New Roman"/>
        </w:rPr>
      </w:pPr>
      <w:r>
        <w:rPr>
          <w:noProof/>
          <w:lang w:eastAsia="es-DO"/>
        </w:rPr>
        <w:drawing>
          <wp:inline distT="0" distB="0" distL="0" distR="0" wp14:anchorId="11CA16F2" wp14:editId="687A75F0">
            <wp:extent cx="3629025" cy="1762125"/>
            <wp:effectExtent l="0" t="0" r="0" b="0"/>
            <wp:docPr id="287" name="Gráfico 287">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3BCA47BD-3A65-4993-A4F0-B4EB37C781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14:paraId="3AE4DE7E" w14:textId="77777777" w:rsidR="00A57704" w:rsidRPr="002D5B20" w:rsidRDefault="00A57704" w:rsidP="00A57704">
      <w:pPr>
        <w:spacing w:after="0"/>
        <w:rPr>
          <w:rFonts w:ascii="Times New Roman" w:hAnsi="Times New Roman"/>
          <w:sz w:val="4"/>
        </w:rPr>
      </w:pPr>
    </w:p>
    <w:p w14:paraId="79385552" w14:textId="77777777" w:rsidR="00A57704" w:rsidRPr="0002388F" w:rsidRDefault="00A57704" w:rsidP="00A57704">
      <w:pPr>
        <w:spacing w:after="0"/>
        <w:rPr>
          <w:rFonts w:ascii="Times New Roman" w:hAnsi="Times New Roman"/>
          <w:sz w:val="10"/>
        </w:rPr>
      </w:pPr>
    </w:p>
    <w:p w14:paraId="012E2AEC" w14:textId="77777777" w:rsidR="00A57704" w:rsidRPr="002D5B20" w:rsidRDefault="00A57704" w:rsidP="00A57704">
      <w:pPr>
        <w:spacing w:after="0"/>
        <w:rPr>
          <w:rFonts w:ascii="Times New Roman" w:hAnsi="Times New Roman"/>
          <w:sz w:val="4"/>
        </w:rPr>
      </w:pPr>
    </w:p>
    <w:p w14:paraId="63314439" w14:textId="77777777" w:rsidR="00A57704" w:rsidRPr="002D5B20" w:rsidRDefault="00A57704" w:rsidP="00A57704">
      <w:pPr>
        <w:spacing w:after="0"/>
        <w:rPr>
          <w:rFonts w:ascii="Times New Roman" w:hAnsi="Times New Roman"/>
        </w:rPr>
      </w:pPr>
    </w:p>
    <w:p w14:paraId="74132A27"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1E45119B"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54A6CCEE" wp14:editId="40454D7C">
            <wp:extent cx="3629025" cy="1714500"/>
            <wp:effectExtent l="0" t="0" r="0" b="0"/>
            <wp:docPr id="135" name="Gráfico 135">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298F4E77-FF70-4C73-A78B-422BCB509A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tbl>
      <w:tblPr>
        <w:tblW w:w="12704" w:type="dxa"/>
        <w:tblInd w:w="-5" w:type="dxa"/>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A57704" w:rsidRPr="002A3CE3" w14:paraId="08D12CF2"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00B050"/>
            <w:noWrap/>
            <w:hideMark/>
          </w:tcPr>
          <w:p w14:paraId="5AC12F77"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Villa Vásquez</w:t>
            </w:r>
          </w:p>
        </w:tc>
        <w:tc>
          <w:tcPr>
            <w:tcW w:w="760" w:type="dxa"/>
            <w:tcBorders>
              <w:top w:val="single" w:sz="4" w:space="0" w:color="auto"/>
              <w:left w:val="nil"/>
              <w:bottom w:val="single" w:sz="4" w:space="0" w:color="auto"/>
              <w:right w:val="single" w:sz="4" w:space="0" w:color="auto"/>
            </w:tcBorders>
            <w:shd w:val="clear" w:color="auto" w:fill="00B050"/>
            <w:noWrap/>
            <w:hideMark/>
          </w:tcPr>
          <w:p w14:paraId="4046BEFF"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Ene</w:t>
            </w:r>
          </w:p>
        </w:tc>
        <w:tc>
          <w:tcPr>
            <w:tcW w:w="760" w:type="dxa"/>
            <w:tcBorders>
              <w:top w:val="single" w:sz="4" w:space="0" w:color="auto"/>
              <w:left w:val="nil"/>
              <w:bottom w:val="single" w:sz="4" w:space="0" w:color="auto"/>
              <w:right w:val="single" w:sz="4" w:space="0" w:color="auto"/>
            </w:tcBorders>
            <w:shd w:val="clear" w:color="auto" w:fill="00B050"/>
            <w:noWrap/>
            <w:hideMark/>
          </w:tcPr>
          <w:p w14:paraId="751A2383"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Feb</w:t>
            </w:r>
          </w:p>
        </w:tc>
        <w:tc>
          <w:tcPr>
            <w:tcW w:w="720" w:type="dxa"/>
            <w:tcBorders>
              <w:top w:val="single" w:sz="4" w:space="0" w:color="auto"/>
              <w:left w:val="nil"/>
              <w:bottom w:val="single" w:sz="4" w:space="0" w:color="auto"/>
              <w:right w:val="single" w:sz="4" w:space="0" w:color="auto"/>
            </w:tcBorders>
            <w:shd w:val="clear" w:color="auto" w:fill="00B050"/>
            <w:noWrap/>
            <w:hideMark/>
          </w:tcPr>
          <w:p w14:paraId="06D1417E"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Mar</w:t>
            </w:r>
          </w:p>
        </w:tc>
        <w:tc>
          <w:tcPr>
            <w:tcW w:w="820" w:type="dxa"/>
            <w:tcBorders>
              <w:top w:val="single" w:sz="4" w:space="0" w:color="auto"/>
              <w:left w:val="nil"/>
              <w:bottom w:val="single" w:sz="4" w:space="0" w:color="auto"/>
              <w:right w:val="single" w:sz="4" w:space="0" w:color="auto"/>
            </w:tcBorders>
            <w:shd w:val="clear" w:color="auto" w:fill="00B050"/>
            <w:noWrap/>
            <w:hideMark/>
          </w:tcPr>
          <w:p w14:paraId="24CA3DA4"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Abr</w:t>
            </w:r>
          </w:p>
        </w:tc>
        <w:tc>
          <w:tcPr>
            <w:tcW w:w="820" w:type="dxa"/>
            <w:tcBorders>
              <w:top w:val="single" w:sz="4" w:space="0" w:color="auto"/>
              <w:left w:val="nil"/>
              <w:bottom w:val="single" w:sz="4" w:space="0" w:color="auto"/>
              <w:right w:val="single" w:sz="4" w:space="0" w:color="auto"/>
            </w:tcBorders>
            <w:shd w:val="clear" w:color="auto" w:fill="00B050"/>
            <w:noWrap/>
            <w:hideMark/>
          </w:tcPr>
          <w:p w14:paraId="7DAB7F43"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May</w:t>
            </w:r>
          </w:p>
        </w:tc>
        <w:tc>
          <w:tcPr>
            <w:tcW w:w="820" w:type="dxa"/>
            <w:tcBorders>
              <w:top w:val="single" w:sz="4" w:space="0" w:color="auto"/>
              <w:left w:val="nil"/>
              <w:bottom w:val="single" w:sz="4" w:space="0" w:color="auto"/>
              <w:right w:val="single" w:sz="4" w:space="0" w:color="auto"/>
            </w:tcBorders>
            <w:shd w:val="clear" w:color="auto" w:fill="00B050"/>
            <w:noWrap/>
            <w:hideMark/>
          </w:tcPr>
          <w:p w14:paraId="373E2081"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Jun</w:t>
            </w:r>
          </w:p>
        </w:tc>
        <w:tc>
          <w:tcPr>
            <w:tcW w:w="760" w:type="dxa"/>
            <w:tcBorders>
              <w:top w:val="single" w:sz="4" w:space="0" w:color="auto"/>
              <w:left w:val="nil"/>
              <w:bottom w:val="single" w:sz="4" w:space="0" w:color="auto"/>
              <w:right w:val="single" w:sz="4" w:space="0" w:color="auto"/>
            </w:tcBorders>
            <w:shd w:val="clear" w:color="auto" w:fill="00B050"/>
            <w:noWrap/>
            <w:hideMark/>
          </w:tcPr>
          <w:p w14:paraId="6571D5BE"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Jul</w:t>
            </w:r>
          </w:p>
        </w:tc>
        <w:tc>
          <w:tcPr>
            <w:tcW w:w="820" w:type="dxa"/>
            <w:tcBorders>
              <w:top w:val="single" w:sz="4" w:space="0" w:color="auto"/>
              <w:left w:val="nil"/>
              <w:bottom w:val="single" w:sz="4" w:space="0" w:color="auto"/>
              <w:right w:val="single" w:sz="4" w:space="0" w:color="auto"/>
            </w:tcBorders>
            <w:shd w:val="clear" w:color="auto" w:fill="00B050"/>
            <w:noWrap/>
            <w:hideMark/>
          </w:tcPr>
          <w:p w14:paraId="5B21D4E8"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Ago</w:t>
            </w:r>
          </w:p>
        </w:tc>
        <w:tc>
          <w:tcPr>
            <w:tcW w:w="820" w:type="dxa"/>
            <w:tcBorders>
              <w:top w:val="single" w:sz="4" w:space="0" w:color="auto"/>
              <w:left w:val="nil"/>
              <w:bottom w:val="single" w:sz="4" w:space="0" w:color="auto"/>
              <w:right w:val="single" w:sz="4" w:space="0" w:color="auto"/>
            </w:tcBorders>
            <w:shd w:val="clear" w:color="auto" w:fill="00B050"/>
            <w:noWrap/>
            <w:hideMark/>
          </w:tcPr>
          <w:p w14:paraId="3BF19DED"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Sep</w:t>
            </w:r>
          </w:p>
        </w:tc>
        <w:tc>
          <w:tcPr>
            <w:tcW w:w="820" w:type="dxa"/>
            <w:tcBorders>
              <w:top w:val="single" w:sz="4" w:space="0" w:color="auto"/>
              <w:left w:val="nil"/>
              <w:bottom w:val="single" w:sz="4" w:space="0" w:color="auto"/>
              <w:right w:val="single" w:sz="4" w:space="0" w:color="auto"/>
            </w:tcBorders>
            <w:shd w:val="clear" w:color="auto" w:fill="00B050"/>
            <w:noWrap/>
            <w:hideMark/>
          </w:tcPr>
          <w:p w14:paraId="3F44582D"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Oct</w:t>
            </w:r>
          </w:p>
        </w:tc>
        <w:tc>
          <w:tcPr>
            <w:tcW w:w="760" w:type="dxa"/>
            <w:tcBorders>
              <w:top w:val="single" w:sz="4" w:space="0" w:color="auto"/>
              <w:left w:val="nil"/>
              <w:bottom w:val="single" w:sz="4" w:space="0" w:color="auto"/>
              <w:right w:val="single" w:sz="4" w:space="0" w:color="auto"/>
            </w:tcBorders>
            <w:shd w:val="clear" w:color="auto" w:fill="00B050"/>
            <w:noWrap/>
            <w:hideMark/>
          </w:tcPr>
          <w:p w14:paraId="3BF79056"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Nov</w:t>
            </w:r>
          </w:p>
        </w:tc>
        <w:tc>
          <w:tcPr>
            <w:tcW w:w="720" w:type="dxa"/>
            <w:tcBorders>
              <w:top w:val="single" w:sz="4" w:space="0" w:color="auto"/>
              <w:left w:val="nil"/>
              <w:bottom w:val="single" w:sz="4" w:space="0" w:color="auto"/>
              <w:right w:val="single" w:sz="4" w:space="0" w:color="auto"/>
            </w:tcBorders>
            <w:shd w:val="clear" w:color="auto" w:fill="00B050"/>
            <w:noWrap/>
            <w:hideMark/>
          </w:tcPr>
          <w:p w14:paraId="236912DA"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Dic</w:t>
            </w:r>
          </w:p>
        </w:tc>
        <w:tc>
          <w:tcPr>
            <w:tcW w:w="1100" w:type="dxa"/>
            <w:tcBorders>
              <w:top w:val="single" w:sz="4" w:space="0" w:color="auto"/>
              <w:left w:val="nil"/>
              <w:bottom w:val="single" w:sz="4" w:space="0" w:color="auto"/>
              <w:right w:val="single" w:sz="4" w:space="0" w:color="auto"/>
            </w:tcBorders>
            <w:shd w:val="clear" w:color="auto" w:fill="00B050"/>
            <w:noWrap/>
            <w:hideMark/>
          </w:tcPr>
          <w:p w14:paraId="11050659" w14:textId="77777777" w:rsidR="00A57704" w:rsidRPr="0076339A" w:rsidRDefault="00A57704" w:rsidP="00A57704">
            <w:pPr>
              <w:spacing w:after="0"/>
              <w:jc w:val="center"/>
              <w:rPr>
                <w:rFonts w:ascii="Times New Roman" w:hAnsi="Times New Roman"/>
                <w:b/>
                <w:color w:val="FFFFFF" w:themeColor="background1"/>
              </w:rPr>
            </w:pPr>
            <w:r w:rsidRPr="0076339A">
              <w:rPr>
                <w:rFonts w:ascii="Times New Roman" w:hAnsi="Times New Roman"/>
                <w:b/>
                <w:color w:val="FFFFFF" w:themeColor="background1"/>
              </w:rPr>
              <w:t>Año</w:t>
            </w:r>
          </w:p>
        </w:tc>
      </w:tr>
      <w:tr w:rsidR="00A57704" w:rsidRPr="002A3CE3" w14:paraId="4F6E53A6"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5BB6049F" w14:textId="77777777" w:rsidR="00A57704" w:rsidRPr="002A3CE3" w:rsidRDefault="00A57704" w:rsidP="00A57704">
            <w:pPr>
              <w:spacing w:after="0"/>
              <w:rPr>
                <w:rFonts w:ascii="Times New Roman" w:hAnsi="Times New Roman"/>
              </w:rPr>
            </w:pPr>
            <w:r w:rsidRPr="002A3CE3">
              <w:rPr>
                <w:rFonts w:ascii="Times New Roman" w:hAnsi="Times New Roman"/>
              </w:rPr>
              <w:t>Normal</w:t>
            </w:r>
          </w:p>
        </w:tc>
        <w:tc>
          <w:tcPr>
            <w:tcW w:w="760" w:type="dxa"/>
            <w:tcBorders>
              <w:top w:val="single" w:sz="4" w:space="0" w:color="auto"/>
              <w:left w:val="nil"/>
              <w:bottom w:val="single" w:sz="4" w:space="0" w:color="auto"/>
              <w:right w:val="single" w:sz="4" w:space="0" w:color="auto"/>
            </w:tcBorders>
            <w:shd w:val="clear" w:color="auto" w:fill="auto"/>
            <w:noWrap/>
            <w:hideMark/>
          </w:tcPr>
          <w:p w14:paraId="70DC3741" w14:textId="77777777" w:rsidR="00A57704" w:rsidRPr="002A3CE3" w:rsidRDefault="00A57704" w:rsidP="00A57704">
            <w:pPr>
              <w:spacing w:after="0"/>
              <w:jc w:val="center"/>
              <w:rPr>
                <w:rFonts w:ascii="Times New Roman" w:hAnsi="Times New Roman"/>
              </w:rPr>
            </w:pPr>
            <w:r w:rsidRPr="002A3CE3">
              <w:rPr>
                <w:rFonts w:ascii="Times New Roman" w:hAnsi="Times New Roman"/>
              </w:rPr>
              <w:t>48.9</w:t>
            </w:r>
          </w:p>
        </w:tc>
        <w:tc>
          <w:tcPr>
            <w:tcW w:w="760" w:type="dxa"/>
            <w:tcBorders>
              <w:top w:val="single" w:sz="4" w:space="0" w:color="auto"/>
              <w:left w:val="nil"/>
              <w:bottom w:val="single" w:sz="4" w:space="0" w:color="auto"/>
              <w:right w:val="single" w:sz="4" w:space="0" w:color="auto"/>
            </w:tcBorders>
            <w:shd w:val="clear" w:color="auto" w:fill="auto"/>
            <w:noWrap/>
            <w:hideMark/>
          </w:tcPr>
          <w:p w14:paraId="4B409D3E" w14:textId="77777777" w:rsidR="00A57704" w:rsidRPr="002A3CE3" w:rsidRDefault="00A57704" w:rsidP="00A57704">
            <w:pPr>
              <w:spacing w:after="0"/>
              <w:jc w:val="center"/>
              <w:rPr>
                <w:rFonts w:ascii="Times New Roman" w:hAnsi="Times New Roman"/>
              </w:rPr>
            </w:pPr>
            <w:r w:rsidRPr="002A3CE3">
              <w:rPr>
                <w:rFonts w:ascii="Times New Roman" w:hAnsi="Times New Roman"/>
              </w:rPr>
              <w:t>36.1</w:t>
            </w:r>
          </w:p>
        </w:tc>
        <w:tc>
          <w:tcPr>
            <w:tcW w:w="720" w:type="dxa"/>
            <w:tcBorders>
              <w:top w:val="single" w:sz="4" w:space="0" w:color="auto"/>
              <w:left w:val="nil"/>
              <w:bottom w:val="single" w:sz="4" w:space="0" w:color="auto"/>
              <w:right w:val="single" w:sz="4" w:space="0" w:color="auto"/>
            </w:tcBorders>
            <w:shd w:val="clear" w:color="auto" w:fill="auto"/>
            <w:noWrap/>
            <w:hideMark/>
          </w:tcPr>
          <w:p w14:paraId="08DD2B45" w14:textId="77777777" w:rsidR="00A57704" w:rsidRPr="002A3CE3" w:rsidRDefault="00A57704" w:rsidP="00A57704">
            <w:pPr>
              <w:spacing w:after="0"/>
              <w:jc w:val="center"/>
              <w:rPr>
                <w:rFonts w:ascii="Times New Roman" w:hAnsi="Times New Roman"/>
              </w:rPr>
            </w:pPr>
            <w:r w:rsidRPr="002A3CE3">
              <w:rPr>
                <w:rFonts w:ascii="Times New Roman" w:hAnsi="Times New Roman"/>
              </w:rPr>
              <w:t>46.1</w:t>
            </w:r>
          </w:p>
        </w:tc>
        <w:tc>
          <w:tcPr>
            <w:tcW w:w="820" w:type="dxa"/>
            <w:tcBorders>
              <w:top w:val="single" w:sz="4" w:space="0" w:color="auto"/>
              <w:left w:val="nil"/>
              <w:bottom w:val="single" w:sz="4" w:space="0" w:color="auto"/>
              <w:right w:val="single" w:sz="4" w:space="0" w:color="auto"/>
            </w:tcBorders>
            <w:shd w:val="clear" w:color="auto" w:fill="auto"/>
            <w:noWrap/>
            <w:hideMark/>
          </w:tcPr>
          <w:p w14:paraId="27D19E14" w14:textId="77777777" w:rsidR="00A57704" w:rsidRPr="002A3CE3" w:rsidRDefault="00A57704" w:rsidP="00A57704">
            <w:pPr>
              <w:spacing w:after="0"/>
              <w:jc w:val="center"/>
              <w:rPr>
                <w:rFonts w:ascii="Times New Roman" w:hAnsi="Times New Roman"/>
              </w:rPr>
            </w:pPr>
            <w:r w:rsidRPr="002A3CE3">
              <w:rPr>
                <w:rFonts w:ascii="Times New Roman" w:hAnsi="Times New Roman"/>
              </w:rPr>
              <w:t>58.8</w:t>
            </w:r>
          </w:p>
        </w:tc>
        <w:tc>
          <w:tcPr>
            <w:tcW w:w="820" w:type="dxa"/>
            <w:tcBorders>
              <w:top w:val="single" w:sz="4" w:space="0" w:color="auto"/>
              <w:left w:val="nil"/>
              <w:bottom w:val="single" w:sz="4" w:space="0" w:color="auto"/>
              <w:right w:val="single" w:sz="4" w:space="0" w:color="auto"/>
            </w:tcBorders>
            <w:shd w:val="clear" w:color="auto" w:fill="auto"/>
            <w:noWrap/>
            <w:hideMark/>
          </w:tcPr>
          <w:p w14:paraId="2FAA3EF5" w14:textId="77777777" w:rsidR="00A57704" w:rsidRPr="002A3CE3" w:rsidRDefault="00A57704" w:rsidP="00A57704">
            <w:pPr>
              <w:spacing w:after="0"/>
              <w:jc w:val="center"/>
              <w:rPr>
                <w:rFonts w:ascii="Times New Roman" w:hAnsi="Times New Roman"/>
              </w:rPr>
            </w:pPr>
            <w:r w:rsidRPr="002A3CE3">
              <w:rPr>
                <w:rFonts w:ascii="Times New Roman" w:hAnsi="Times New Roman"/>
              </w:rPr>
              <w:t>79.8</w:t>
            </w:r>
          </w:p>
        </w:tc>
        <w:tc>
          <w:tcPr>
            <w:tcW w:w="820" w:type="dxa"/>
            <w:tcBorders>
              <w:top w:val="single" w:sz="4" w:space="0" w:color="auto"/>
              <w:left w:val="nil"/>
              <w:bottom w:val="single" w:sz="4" w:space="0" w:color="auto"/>
              <w:right w:val="single" w:sz="4" w:space="0" w:color="auto"/>
            </w:tcBorders>
            <w:shd w:val="clear" w:color="auto" w:fill="auto"/>
            <w:noWrap/>
            <w:hideMark/>
          </w:tcPr>
          <w:p w14:paraId="313E00BE" w14:textId="77777777" w:rsidR="00A57704" w:rsidRPr="002A3CE3" w:rsidRDefault="00A57704" w:rsidP="00A57704">
            <w:pPr>
              <w:spacing w:after="0"/>
              <w:jc w:val="center"/>
              <w:rPr>
                <w:rFonts w:ascii="Times New Roman" w:hAnsi="Times New Roman"/>
              </w:rPr>
            </w:pPr>
            <w:r w:rsidRPr="002A3CE3">
              <w:rPr>
                <w:rFonts w:ascii="Times New Roman" w:hAnsi="Times New Roman"/>
              </w:rPr>
              <w:t>56.2</w:t>
            </w:r>
          </w:p>
        </w:tc>
        <w:tc>
          <w:tcPr>
            <w:tcW w:w="760" w:type="dxa"/>
            <w:tcBorders>
              <w:top w:val="single" w:sz="4" w:space="0" w:color="auto"/>
              <w:left w:val="nil"/>
              <w:bottom w:val="single" w:sz="4" w:space="0" w:color="auto"/>
              <w:right w:val="single" w:sz="4" w:space="0" w:color="auto"/>
            </w:tcBorders>
            <w:shd w:val="clear" w:color="auto" w:fill="auto"/>
            <w:noWrap/>
            <w:hideMark/>
          </w:tcPr>
          <w:p w14:paraId="32AF344B" w14:textId="77777777" w:rsidR="00A57704" w:rsidRPr="002A3CE3" w:rsidRDefault="00A57704" w:rsidP="00A57704">
            <w:pPr>
              <w:spacing w:after="0"/>
              <w:jc w:val="center"/>
              <w:rPr>
                <w:rFonts w:ascii="Times New Roman" w:hAnsi="Times New Roman"/>
              </w:rPr>
            </w:pPr>
            <w:r w:rsidRPr="002A3CE3">
              <w:rPr>
                <w:rFonts w:ascii="Times New Roman" w:hAnsi="Times New Roman"/>
              </w:rPr>
              <w:t>40.2</w:t>
            </w:r>
          </w:p>
        </w:tc>
        <w:tc>
          <w:tcPr>
            <w:tcW w:w="820" w:type="dxa"/>
            <w:tcBorders>
              <w:top w:val="single" w:sz="4" w:space="0" w:color="auto"/>
              <w:left w:val="nil"/>
              <w:bottom w:val="single" w:sz="4" w:space="0" w:color="auto"/>
              <w:right w:val="single" w:sz="4" w:space="0" w:color="auto"/>
            </w:tcBorders>
            <w:shd w:val="clear" w:color="auto" w:fill="auto"/>
            <w:noWrap/>
            <w:hideMark/>
          </w:tcPr>
          <w:p w14:paraId="0675EEBA" w14:textId="77777777" w:rsidR="00A57704" w:rsidRPr="002A3CE3" w:rsidRDefault="00A57704" w:rsidP="00A57704">
            <w:pPr>
              <w:spacing w:after="0"/>
              <w:jc w:val="center"/>
              <w:rPr>
                <w:rFonts w:ascii="Times New Roman" w:hAnsi="Times New Roman"/>
              </w:rPr>
            </w:pPr>
            <w:r w:rsidRPr="002A3CE3">
              <w:rPr>
                <w:rFonts w:ascii="Times New Roman" w:hAnsi="Times New Roman"/>
              </w:rPr>
              <w:t>52.4</w:t>
            </w:r>
          </w:p>
        </w:tc>
        <w:tc>
          <w:tcPr>
            <w:tcW w:w="820" w:type="dxa"/>
            <w:tcBorders>
              <w:top w:val="single" w:sz="4" w:space="0" w:color="auto"/>
              <w:left w:val="nil"/>
              <w:bottom w:val="single" w:sz="4" w:space="0" w:color="auto"/>
              <w:right w:val="single" w:sz="4" w:space="0" w:color="auto"/>
            </w:tcBorders>
            <w:shd w:val="clear" w:color="auto" w:fill="auto"/>
            <w:noWrap/>
            <w:hideMark/>
          </w:tcPr>
          <w:p w14:paraId="75540200" w14:textId="77777777" w:rsidR="00A57704" w:rsidRPr="002A3CE3" w:rsidRDefault="00A57704" w:rsidP="00A57704">
            <w:pPr>
              <w:spacing w:after="0"/>
              <w:jc w:val="center"/>
              <w:rPr>
                <w:rFonts w:ascii="Times New Roman" w:hAnsi="Times New Roman"/>
              </w:rPr>
            </w:pPr>
            <w:r w:rsidRPr="002A3CE3">
              <w:rPr>
                <w:rFonts w:ascii="Times New Roman" w:hAnsi="Times New Roman"/>
              </w:rPr>
              <w:t>57.1</w:t>
            </w:r>
          </w:p>
        </w:tc>
        <w:tc>
          <w:tcPr>
            <w:tcW w:w="820" w:type="dxa"/>
            <w:tcBorders>
              <w:top w:val="single" w:sz="4" w:space="0" w:color="auto"/>
              <w:left w:val="nil"/>
              <w:bottom w:val="single" w:sz="4" w:space="0" w:color="auto"/>
              <w:right w:val="single" w:sz="4" w:space="0" w:color="auto"/>
            </w:tcBorders>
            <w:shd w:val="clear" w:color="auto" w:fill="auto"/>
            <w:noWrap/>
            <w:hideMark/>
          </w:tcPr>
          <w:p w14:paraId="32DDAF30" w14:textId="77777777" w:rsidR="00A57704" w:rsidRPr="002A3CE3" w:rsidRDefault="00A57704" w:rsidP="00A57704">
            <w:pPr>
              <w:spacing w:after="0"/>
              <w:jc w:val="center"/>
              <w:rPr>
                <w:rFonts w:ascii="Times New Roman" w:hAnsi="Times New Roman"/>
              </w:rPr>
            </w:pPr>
            <w:r w:rsidRPr="002A3CE3">
              <w:rPr>
                <w:rFonts w:ascii="Times New Roman" w:hAnsi="Times New Roman"/>
              </w:rPr>
              <w:t>73.9</w:t>
            </w:r>
          </w:p>
        </w:tc>
        <w:tc>
          <w:tcPr>
            <w:tcW w:w="760" w:type="dxa"/>
            <w:tcBorders>
              <w:top w:val="single" w:sz="4" w:space="0" w:color="auto"/>
              <w:left w:val="nil"/>
              <w:bottom w:val="single" w:sz="4" w:space="0" w:color="auto"/>
              <w:right w:val="single" w:sz="4" w:space="0" w:color="auto"/>
            </w:tcBorders>
            <w:shd w:val="clear" w:color="auto" w:fill="auto"/>
            <w:noWrap/>
            <w:hideMark/>
          </w:tcPr>
          <w:p w14:paraId="7D96A192" w14:textId="77777777" w:rsidR="00A57704" w:rsidRPr="002A3CE3" w:rsidRDefault="00A57704" w:rsidP="00A57704">
            <w:pPr>
              <w:spacing w:after="0"/>
              <w:jc w:val="center"/>
              <w:rPr>
                <w:rFonts w:ascii="Times New Roman" w:hAnsi="Times New Roman"/>
              </w:rPr>
            </w:pPr>
            <w:r w:rsidRPr="002A3CE3">
              <w:rPr>
                <w:rFonts w:ascii="Times New Roman" w:hAnsi="Times New Roman"/>
              </w:rPr>
              <w:t>64.2</w:t>
            </w:r>
          </w:p>
        </w:tc>
        <w:tc>
          <w:tcPr>
            <w:tcW w:w="720" w:type="dxa"/>
            <w:tcBorders>
              <w:top w:val="single" w:sz="4" w:space="0" w:color="auto"/>
              <w:left w:val="nil"/>
              <w:bottom w:val="single" w:sz="4" w:space="0" w:color="auto"/>
              <w:right w:val="single" w:sz="4" w:space="0" w:color="auto"/>
            </w:tcBorders>
            <w:shd w:val="clear" w:color="auto" w:fill="auto"/>
            <w:noWrap/>
            <w:hideMark/>
          </w:tcPr>
          <w:p w14:paraId="16C155C7" w14:textId="77777777" w:rsidR="00A57704" w:rsidRPr="002A3CE3" w:rsidRDefault="00A57704" w:rsidP="00A57704">
            <w:pPr>
              <w:spacing w:after="0"/>
              <w:jc w:val="center"/>
              <w:rPr>
                <w:rFonts w:ascii="Times New Roman" w:hAnsi="Times New Roman"/>
              </w:rPr>
            </w:pPr>
            <w:r w:rsidRPr="002A3CE3">
              <w:rPr>
                <w:rFonts w:ascii="Times New Roman" w:hAnsi="Times New Roman"/>
              </w:rPr>
              <w:t>59.4</w:t>
            </w:r>
          </w:p>
        </w:tc>
        <w:tc>
          <w:tcPr>
            <w:tcW w:w="1100" w:type="dxa"/>
            <w:tcBorders>
              <w:top w:val="single" w:sz="4" w:space="0" w:color="auto"/>
              <w:left w:val="nil"/>
              <w:bottom w:val="single" w:sz="4" w:space="0" w:color="auto"/>
              <w:right w:val="single" w:sz="4" w:space="0" w:color="auto"/>
            </w:tcBorders>
            <w:shd w:val="clear" w:color="auto" w:fill="auto"/>
            <w:noWrap/>
            <w:hideMark/>
          </w:tcPr>
          <w:p w14:paraId="120470F6" w14:textId="77777777" w:rsidR="00A57704" w:rsidRPr="002A3CE3" w:rsidRDefault="00A57704" w:rsidP="00A57704">
            <w:pPr>
              <w:spacing w:after="0"/>
              <w:jc w:val="center"/>
              <w:rPr>
                <w:rFonts w:ascii="Times New Roman" w:hAnsi="Times New Roman"/>
              </w:rPr>
            </w:pPr>
            <w:r w:rsidRPr="002A3CE3">
              <w:rPr>
                <w:rFonts w:ascii="Times New Roman" w:hAnsi="Times New Roman"/>
              </w:rPr>
              <w:t>673.1</w:t>
            </w:r>
          </w:p>
        </w:tc>
      </w:tr>
      <w:tr w:rsidR="00A57704" w:rsidRPr="002A3CE3" w14:paraId="4E9756BE"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568BEFAE" w14:textId="77777777" w:rsidR="00A57704" w:rsidRPr="002A3CE3" w:rsidRDefault="00A57704" w:rsidP="00A57704">
            <w:pPr>
              <w:spacing w:after="0"/>
              <w:rPr>
                <w:rFonts w:ascii="Times New Roman" w:hAnsi="Times New Roman"/>
              </w:rPr>
            </w:pPr>
            <w:r w:rsidRPr="002A3CE3">
              <w:rPr>
                <w:rFonts w:ascii="Times New Roman" w:hAnsi="Times New Roman"/>
              </w:rPr>
              <w:t xml:space="preserve">Precipitación </w:t>
            </w:r>
            <w:r>
              <w:rPr>
                <w:rFonts w:ascii="Times New Roman" w:hAnsi="Times New Roman"/>
              </w:rPr>
              <w:t>2019</w:t>
            </w:r>
          </w:p>
        </w:tc>
        <w:tc>
          <w:tcPr>
            <w:tcW w:w="760" w:type="dxa"/>
            <w:tcBorders>
              <w:top w:val="single" w:sz="4" w:space="0" w:color="auto"/>
              <w:left w:val="nil"/>
              <w:bottom w:val="single" w:sz="4" w:space="0" w:color="auto"/>
              <w:right w:val="single" w:sz="4" w:space="0" w:color="auto"/>
            </w:tcBorders>
            <w:shd w:val="clear" w:color="auto" w:fill="auto"/>
            <w:noWrap/>
            <w:hideMark/>
          </w:tcPr>
          <w:p w14:paraId="5176C106" w14:textId="77777777" w:rsidR="00A57704" w:rsidRPr="002A3CE3" w:rsidRDefault="00A57704" w:rsidP="00A57704">
            <w:pPr>
              <w:spacing w:after="0"/>
              <w:jc w:val="center"/>
              <w:rPr>
                <w:rFonts w:ascii="Times New Roman" w:hAnsi="Times New Roman"/>
              </w:rPr>
            </w:pPr>
            <w:r>
              <w:rPr>
                <w:rFonts w:ascii="Times New Roman" w:hAnsi="Times New Roman"/>
              </w:rPr>
              <w:t>0.1</w:t>
            </w:r>
          </w:p>
        </w:tc>
        <w:tc>
          <w:tcPr>
            <w:tcW w:w="760" w:type="dxa"/>
            <w:tcBorders>
              <w:top w:val="single" w:sz="4" w:space="0" w:color="auto"/>
              <w:left w:val="nil"/>
              <w:bottom w:val="single" w:sz="4" w:space="0" w:color="auto"/>
              <w:right w:val="single" w:sz="4" w:space="0" w:color="auto"/>
            </w:tcBorders>
            <w:shd w:val="clear" w:color="auto" w:fill="auto"/>
            <w:noWrap/>
            <w:hideMark/>
          </w:tcPr>
          <w:p w14:paraId="53D7E2B6" w14:textId="77777777" w:rsidR="00A57704" w:rsidRPr="002A3CE3" w:rsidRDefault="00A57704" w:rsidP="00A57704">
            <w:pPr>
              <w:spacing w:after="0"/>
              <w:jc w:val="center"/>
              <w:rPr>
                <w:rFonts w:ascii="Times New Roman" w:hAnsi="Times New Roman"/>
              </w:rPr>
            </w:pPr>
            <w:r>
              <w:rPr>
                <w:rFonts w:ascii="Times New Roman" w:hAnsi="Times New Roman"/>
              </w:rPr>
              <w:t>23.8</w:t>
            </w:r>
          </w:p>
        </w:tc>
        <w:tc>
          <w:tcPr>
            <w:tcW w:w="720" w:type="dxa"/>
            <w:tcBorders>
              <w:top w:val="single" w:sz="4" w:space="0" w:color="auto"/>
              <w:left w:val="nil"/>
              <w:bottom w:val="single" w:sz="4" w:space="0" w:color="auto"/>
              <w:right w:val="single" w:sz="4" w:space="0" w:color="auto"/>
            </w:tcBorders>
            <w:shd w:val="clear" w:color="auto" w:fill="auto"/>
            <w:noWrap/>
            <w:hideMark/>
          </w:tcPr>
          <w:p w14:paraId="1C2150A9" w14:textId="77777777" w:rsidR="00A57704" w:rsidRPr="002A3CE3" w:rsidRDefault="00A57704" w:rsidP="00A57704">
            <w:pPr>
              <w:spacing w:after="0"/>
              <w:jc w:val="center"/>
              <w:rPr>
                <w:rFonts w:ascii="Times New Roman" w:hAnsi="Times New Roman"/>
              </w:rPr>
            </w:pPr>
            <w:r>
              <w:rPr>
                <w:rFonts w:ascii="Times New Roman" w:hAnsi="Times New Roman"/>
              </w:rPr>
              <w:t>47.6</w:t>
            </w:r>
          </w:p>
        </w:tc>
        <w:tc>
          <w:tcPr>
            <w:tcW w:w="820" w:type="dxa"/>
            <w:tcBorders>
              <w:top w:val="single" w:sz="4" w:space="0" w:color="auto"/>
              <w:left w:val="nil"/>
              <w:bottom w:val="single" w:sz="4" w:space="0" w:color="auto"/>
              <w:right w:val="single" w:sz="4" w:space="0" w:color="auto"/>
            </w:tcBorders>
            <w:shd w:val="clear" w:color="auto" w:fill="auto"/>
            <w:noWrap/>
            <w:hideMark/>
          </w:tcPr>
          <w:p w14:paraId="4520367D" w14:textId="77777777" w:rsidR="00A57704" w:rsidRPr="002A3CE3" w:rsidRDefault="00A57704" w:rsidP="00A57704">
            <w:pPr>
              <w:spacing w:after="0"/>
              <w:jc w:val="center"/>
              <w:rPr>
                <w:rFonts w:ascii="Times New Roman" w:hAnsi="Times New Roman"/>
              </w:rPr>
            </w:pPr>
            <w:r>
              <w:rPr>
                <w:rFonts w:ascii="Times New Roman" w:hAnsi="Times New Roman"/>
              </w:rPr>
              <w:t>5.5</w:t>
            </w:r>
          </w:p>
        </w:tc>
        <w:tc>
          <w:tcPr>
            <w:tcW w:w="820" w:type="dxa"/>
            <w:tcBorders>
              <w:top w:val="single" w:sz="4" w:space="0" w:color="auto"/>
              <w:left w:val="nil"/>
              <w:bottom w:val="single" w:sz="4" w:space="0" w:color="auto"/>
              <w:right w:val="single" w:sz="4" w:space="0" w:color="auto"/>
            </w:tcBorders>
            <w:shd w:val="clear" w:color="auto" w:fill="auto"/>
            <w:noWrap/>
            <w:hideMark/>
          </w:tcPr>
          <w:p w14:paraId="7FD7441B" w14:textId="77777777" w:rsidR="00A57704" w:rsidRPr="002A3CE3" w:rsidRDefault="00A57704" w:rsidP="00A57704">
            <w:pPr>
              <w:spacing w:after="0"/>
              <w:jc w:val="center"/>
              <w:rPr>
                <w:rFonts w:ascii="Times New Roman" w:hAnsi="Times New Roman"/>
              </w:rPr>
            </w:pPr>
            <w:r>
              <w:rPr>
                <w:rFonts w:ascii="Times New Roman" w:hAnsi="Times New Roman"/>
              </w:rPr>
              <w:t>39.9</w:t>
            </w:r>
          </w:p>
        </w:tc>
        <w:tc>
          <w:tcPr>
            <w:tcW w:w="820" w:type="dxa"/>
            <w:tcBorders>
              <w:top w:val="single" w:sz="4" w:space="0" w:color="auto"/>
              <w:left w:val="nil"/>
              <w:bottom w:val="single" w:sz="4" w:space="0" w:color="auto"/>
              <w:right w:val="single" w:sz="4" w:space="0" w:color="auto"/>
            </w:tcBorders>
            <w:shd w:val="clear" w:color="auto" w:fill="auto"/>
            <w:noWrap/>
            <w:hideMark/>
          </w:tcPr>
          <w:p w14:paraId="005CB2D4" w14:textId="77777777" w:rsidR="00A57704" w:rsidRPr="002A3CE3" w:rsidRDefault="00A57704" w:rsidP="00A57704">
            <w:pPr>
              <w:spacing w:after="0"/>
              <w:jc w:val="center"/>
              <w:rPr>
                <w:rFonts w:ascii="Times New Roman" w:hAnsi="Times New Roman"/>
              </w:rPr>
            </w:pPr>
            <w:r>
              <w:rPr>
                <w:rFonts w:ascii="Times New Roman" w:hAnsi="Times New Roman"/>
              </w:rPr>
              <w:t>30.9</w:t>
            </w:r>
          </w:p>
        </w:tc>
        <w:tc>
          <w:tcPr>
            <w:tcW w:w="760" w:type="dxa"/>
            <w:tcBorders>
              <w:top w:val="single" w:sz="4" w:space="0" w:color="auto"/>
              <w:left w:val="nil"/>
              <w:bottom w:val="single" w:sz="4" w:space="0" w:color="auto"/>
              <w:right w:val="single" w:sz="4" w:space="0" w:color="auto"/>
            </w:tcBorders>
            <w:shd w:val="clear" w:color="auto" w:fill="auto"/>
            <w:noWrap/>
            <w:hideMark/>
          </w:tcPr>
          <w:p w14:paraId="7F451B98" w14:textId="77777777" w:rsidR="00A57704" w:rsidRPr="002A3CE3" w:rsidRDefault="00A57704" w:rsidP="00A57704">
            <w:pPr>
              <w:spacing w:after="0"/>
              <w:jc w:val="center"/>
              <w:rPr>
                <w:rFonts w:ascii="Times New Roman" w:hAnsi="Times New Roman"/>
              </w:rPr>
            </w:pPr>
            <w:r>
              <w:rPr>
                <w:rFonts w:ascii="Times New Roman" w:hAnsi="Times New Roman"/>
              </w:rPr>
              <w:t>54.0</w:t>
            </w:r>
          </w:p>
        </w:tc>
        <w:tc>
          <w:tcPr>
            <w:tcW w:w="820" w:type="dxa"/>
            <w:tcBorders>
              <w:top w:val="single" w:sz="4" w:space="0" w:color="auto"/>
              <w:left w:val="nil"/>
              <w:bottom w:val="single" w:sz="4" w:space="0" w:color="auto"/>
              <w:right w:val="single" w:sz="4" w:space="0" w:color="auto"/>
            </w:tcBorders>
            <w:shd w:val="clear" w:color="auto" w:fill="auto"/>
            <w:noWrap/>
            <w:hideMark/>
          </w:tcPr>
          <w:p w14:paraId="19409959" w14:textId="77777777" w:rsidR="00A57704" w:rsidRPr="002A3CE3" w:rsidRDefault="00A57704" w:rsidP="00A57704">
            <w:pPr>
              <w:spacing w:after="0"/>
              <w:jc w:val="center"/>
              <w:rPr>
                <w:rFonts w:ascii="Times New Roman" w:hAnsi="Times New Roman"/>
              </w:rPr>
            </w:pPr>
            <w:r>
              <w:rPr>
                <w:rFonts w:ascii="Times New Roman" w:hAnsi="Times New Roman"/>
              </w:rPr>
              <w:t>40.9</w:t>
            </w:r>
          </w:p>
        </w:tc>
        <w:tc>
          <w:tcPr>
            <w:tcW w:w="820" w:type="dxa"/>
            <w:tcBorders>
              <w:top w:val="single" w:sz="4" w:space="0" w:color="auto"/>
              <w:left w:val="nil"/>
              <w:bottom w:val="single" w:sz="4" w:space="0" w:color="auto"/>
              <w:right w:val="single" w:sz="4" w:space="0" w:color="auto"/>
            </w:tcBorders>
            <w:shd w:val="clear" w:color="auto" w:fill="auto"/>
            <w:noWrap/>
            <w:hideMark/>
          </w:tcPr>
          <w:p w14:paraId="5E47A83F" w14:textId="77777777" w:rsidR="00A57704" w:rsidRPr="002A3CE3" w:rsidRDefault="00A57704" w:rsidP="00A57704">
            <w:pPr>
              <w:spacing w:after="0"/>
              <w:jc w:val="center"/>
              <w:rPr>
                <w:rFonts w:ascii="Times New Roman" w:hAnsi="Times New Roman"/>
              </w:rPr>
            </w:pPr>
            <w:r>
              <w:rPr>
                <w:rFonts w:ascii="Times New Roman" w:hAnsi="Times New Roman"/>
              </w:rPr>
              <w:t>94.4</w:t>
            </w:r>
          </w:p>
        </w:tc>
        <w:tc>
          <w:tcPr>
            <w:tcW w:w="820" w:type="dxa"/>
            <w:tcBorders>
              <w:top w:val="single" w:sz="4" w:space="0" w:color="auto"/>
              <w:left w:val="nil"/>
              <w:bottom w:val="single" w:sz="4" w:space="0" w:color="auto"/>
              <w:right w:val="single" w:sz="4" w:space="0" w:color="auto"/>
            </w:tcBorders>
            <w:shd w:val="clear" w:color="auto" w:fill="auto"/>
            <w:noWrap/>
            <w:hideMark/>
          </w:tcPr>
          <w:p w14:paraId="7E0E6C93" w14:textId="77777777" w:rsidR="00A57704" w:rsidRPr="002A3CE3" w:rsidRDefault="00A57704" w:rsidP="00A57704">
            <w:pPr>
              <w:spacing w:after="0"/>
              <w:jc w:val="center"/>
              <w:rPr>
                <w:rFonts w:ascii="Times New Roman" w:hAnsi="Times New Roman"/>
              </w:rPr>
            </w:pPr>
            <w:r>
              <w:rPr>
                <w:rFonts w:ascii="Times New Roman" w:hAnsi="Times New Roman"/>
              </w:rPr>
              <w:t>26.6</w:t>
            </w:r>
          </w:p>
        </w:tc>
        <w:tc>
          <w:tcPr>
            <w:tcW w:w="760" w:type="dxa"/>
            <w:tcBorders>
              <w:top w:val="single" w:sz="4" w:space="0" w:color="auto"/>
              <w:left w:val="nil"/>
              <w:bottom w:val="single" w:sz="4" w:space="0" w:color="auto"/>
              <w:right w:val="single" w:sz="4" w:space="0" w:color="auto"/>
            </w:tcBorders>
            <w:shd w:val="clear" w:color="auto" w:fill="auto"/>
            <w:noWrap/>
            <w:hideMark/>
          </w:tcPr>
          <w:p w14:paraId="0A682EA1" w14:textId="77777777" w:rsidR="00A57704" w:rsidRPr="002A3CE3" w:rsidRDefault="00A57704" w:rsidP="00A57704">
            <w:pPr>
              <w:spacing w:after="0"/>
              <w:jc w:val="center"/>
              <w:rPr>
                <w:rFonts w:ascii="Times New Roman" w:hAnsi="Times New Roman"/>
              </w:rPr>
            </w:pPr>
            <w:r>
              <w:rPr>
                <w:rFonts w:ascii="Times New Roman" w:hAnsi="Times New Roman"/>
              </w:rPr>
              <w:t>89.6</w:t>
            </w:r>
          </w:p>
        </w:tc>
        <w:tc>
          <w:tcPr>
            <w:tcW w:w="720" w:type="dxa"/>
            <w:tcBorders>
              <w:top w:val="single" w:sz="4" w:space="0" w:color="auto"/>
              <w:left w:val="nil"/>
              <w:bottom w:val="single" w:sz="4" w:space="0" w:color="auto"/>
              <w:right w:val="single" w:sz="4" w:space="0" w:color="auto"/>
            </w:tcBorders>
            <w:shd w:val="clear" w:color="auto" w:fill="auto"/>
            <w:noWrap/>
            <w:hideMark/>
          </w:tcPr>
          <w:p w14:paraId="59D18744" w14:textId="77777777" w:rsidR="00A57704" w:rsidRPr="002A3CE3" w:rsidRDefault="00A57704" w:rsidP="00A57704">
            <w:pPr>
              <w:spacing w:after="0"/>
              <w:jc w:val="center"/>
              <w:rPr>
                <w:rFonts w:ascii="Times New Roman" w:hAnsi="Times New Roman"/>
              </w:rPr>
            </w:pPr>
            <w:r>
              <w:rPr>
                <w:rFonts w:ascii="Times New Roman" w:hAnsi="Times New Roman"/>
              </w:rPr>
              <w:t>0</w:t>
            </w:r>
          </w:p>
        </w:tc>
        <w:tc>
          <w:tcPr>
            <w:tcW w:w="1100" w:type="dxa"/>
            <w:tcBorders>
              <w:top w:val="single" w:sz="4" w:space="0" w:color="auto"/>
              <w:left w:val="nil"/>
              <w:bottom w:val="single" w:sz="4" w:space="0" w:color="auto"/>
              <w:right w:val="single" w:sz="4" w:space="0" w:color="auto"/>
            </w:tcBorders>
            <w:shd w:val="clear" w:color="auto" w:fill="auto"/>
            <w:noWrap/>
            <w:hideMark/>
          </w:tcPr>
          <w:p w14:paraId="563F1F0F" w14:textId="77777777" w:rsidR="00A57704" w:rsidRPr="002A3CE3" w:rsidRDefault="00A57704" w:rsidP="00A57704">
            <w:pPr>
              <w:spacing w:after="0"/>
              <w:jc w:val="center"/>
              <w:rPr>
                <w:rFonts w:ascii="Times New Roman" w:hAnsi="Times New Roman"/>
              </w:rPr>
            </w:pPr>
            <w:r>
              <w:rPr>
                <w:rFonts w:ascii="Times New Roman" w:hAnsi="Times New Roman"/>
              </w:rPr>
              <w:t>453.3</w:t>
            </w:r>
          </w:p>
        </w:tc>
      </w:tr>
      <w:tr w:rsidR="00A57704" w:rsidRPr="002A3CE3" w14:paraId="1D195FE6" w14:textId="77777777" w:rsidTr="0076339A">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1EE79E21" w14:textId="77777777" w:rsidR="00A57704" w:rsidRPr="002A3CE3" w:rsidRDefault="00A57704" w:rsidP="00A57704">
            <w:pPr>
              <w:spacing w:after="0"/>
              <w:rPr>
                <w:rFonts w:ascii="Times New Roman" w:hAnsi="Times New Roman"/>
              </w:rPr>
            </w:pPr>
            <w:r w:rsidRPr="002A3CE3">
              <w:rPr>
                <w:rFonts w:ascii="Times New Roman" w:hAnsi="Times New Roman"/>
              </w:rPr>
              <w:t>D. Prec (%)</w:t>
            </w:r>
          </w:p>
        </w:tc>
        <w:tc>
          <w:tcPr>
            <w:tcW w:w="760" w:type="dxa"/>
            <w:tcBorders>
              <w:top w:val="single" w:sz="4" w:space="0" w:color="auto"/>
              <w:left w:val="nil"/>
              <w:bottom w:val="single" w:sz="4" w:space="0" w:color="auto"/>
              <w:right w:val="single" w:sz="4" w:space="0" w:color="auto"/>
            </w:tcBorders>
            <w:shd w:val="clear" w:color="auto" w:fill="auto"/>
            <w:noWrap/>
            <w:hideMark/>
          </w:tcPr>
          <w:p w14:paraId="36AA0911" w14:textId="77777777" w:rsidR="00A57704" w:rsidRPr="002A3CE3" w:rsidRDefault="00A57704" w:rsidP="00A57704">
            <w:pPr>
              <w:spacing w:after="0"/>
              <w:jc w:val="center"/>
              <w:rPr>
                <w:rFonts w:ascii="Times New Roman" w:hAnsi="Times New Roman"/>
              </w:rPr>
            </w:pPr>
            <w:r>
              <w:rPr>
                <w:rFonts w:ascii="Times New Roman" w:hAnsi="Times New Roman"/>
              </w:rPr>
              <w:t>-99.8</w:t>
            </w:r>
          </w:p>
        </w:tc>
        <w:tc>
          <w:tcPr>
            <w:tcW w:w="760" w:type="dxa"/>
            <w:tcBorders>
              <w:top w:val="single" w:sz="4" w:space="0" w:color="auto"/>
              <w:left w:val="nil"/>
              <w:bottom w:val="single" w:sz="4" w:space="0" w:color="auto"/>
              <w:right w:val="single" w:sz="4" w:space="0" w:color="auto"/>
            </w:tcBorders>
            <w:shd w:val="clear" w:color="auto" w:fill="auto"/>
            <w:noWrap/>
            <w:hideMark/>
          </w:tcPr>
          <w:p w14:paraId="342AAA0B" w14:textId="77777777" w:rsidR="00A57704" w:rsidRPr="002A3CE3" w:rsidRDefault="00A57704" w:rsidP="00A57704">
            <w:pPr>
              <w:spacing w:after="0"/>
              <w:jc w:val="center"/>
              <w:rPr>
                <w:rFonts w:ascii="Times New Roman" w:hAnsi="Times New Roman"/>
              </w:rPr>
            </w:pPr>
            <w:r>
              <w:rPr>
                <w:rFonts w:ascii="Times New Roman" w:hAnsi="Times New Roman"/>
              </w:rPr>
              <w:t>-34.1</w:t>
            </w:r>
          </w:p>
        </w:tc>
        <w:tc>
          <w:tcPr>
            <w:tcW w:w="720" w:type="dxa"/>
            <w:tcBorders>
              <w:top w:val="single" w:sz="4" w:space="0" w:color="auto"/>
              <w:left w:val="nil"/>
              <w:bottom w:val="single" w:sz="4" w:space="0" w:color="auto"/>
              <w:right w:val="single" w:sz="4" w:space="0" w:color="auto"/>
            </w:tcBorders>
            <w:shd w:val="clear" w:color="auto" w:fill="auto"/>
            <w:noWrap/>
            <w:hideMark/>
          </w:tcPr>
          <w:p w14:paraId="63CA2BCE" w14:textId="77777777" w:rsidR="00A57704" w:rsidRPr="002A3CE3" w:rsidRDefault="00A57704" w:rsidP="00A57704">
            <w:pPr>
              <w:spacing w:after="0"/>
              <w:jc w:val="center"/>
              <w:rPr>
                <w:rFonts w:ascii="Times New Roman" w:hAnsi="Times New Roman"/>
              </w:rPr>
            </w:pPr>
            <w:r>
              <w:rPr>
                <w:rFonts w:ascii="Times New Roman" w:hAnsi="Times New Roman"/>
              </w:rPr>
              <w:t>3.3</w:t>
            </w:r>
          </w:p>
        </w:tc>
        <w:tc>
          <w:tcPr>
            <w:tcW w:w="820" w:type="dxa"/>
            <w:tcBorders>
              <w:top w:val="single" w:sz="4" w:space="0" w:color="auto"/>
              <w:left w:val="nil"/>
              <w:bottom w:val="single" w:sz="4" w:space="0" w:color="auto"/>
              <w:right w:val="single" w:sz="4" w:space="0" w:color="auto"/>
            </w:tcBorders>
            <w:shd w:val="clear" w:color="auto" w:fill="auto"/>
            <w:noWrap/>
            <w:hideMark/>
          </w:tcPr>
          <w:p w14:paraId="5DFF666F" w14:textId="77777777" w:rsidR="00A57704" w:rsidRPr="002A3CE3" w:rsidRDefault="00A57704" w:rsidP="00A57704">
            <w:pPr>
              <w:spacing w:after="0"/>
              <w:jc w:val="center"/>
              <w:rPr>
                <w:rFonts w:ascii="Times New Roman" w:hAnsi="Times New Roman"/>
              </w:rPr>
            </w:pPr>
            <w:r>
              <w:rPr>
                <w:rFonts w:ascii="Times New Roman" w:hAnsi="Times New Roman"/>
              </w:rPr>
              <w:t>-90.6</w:t>
            </w:r>
          </w:p>
        </w:tc>
        <w:tc>
          <w:tcPr>
            <w:tcW w:w="820" w:type="dxa"/>
            <w:tcBorders>
              <w:top w:val="single" w:sz="4" w:space="0" w:color="auto"/>
              <w:left w:val="nil"/>
              <w:bottom w:val="single" w:sz="4" w:space="0" w:color="auto"/>
              <w:right w:val="single" w:sz="4" w:space="0" w:color="auto"/>
            </w:tcBorders>
            <w:shd w:val="clear" w:color="auto" w:fill="auto"/>
            <w:noWrap/>
            <w:hideMark/>
          </w:tcPr>
          <w:p w14:paraId="2A09A00B" w14:textId="77777777" w:rsidR="00A57704" w:rsidRPr="002A3CE3" w:rsidRDefault="00A57704" w:rsidP="00A57704">
            <w:pPr>
              <w:spacing w:after="0"/>
              <w:jc w:val="center"/>
              <w:rPr>
                <w:rFonts w:ascii="Times New Roman" w:hAnsi="Times New Roman"/>
              </w:rPr>
            </w:pPr>
            <w:r>
              <w:rPr>
                <w:rFonts w:ascii="Times New Roman" w:hAnsi="Times New Roman"/>
              </w:rPr>
              <w:t>-50.0</w:t>
            </w:r>
          </w:p>
        </w:tc>
        <w:tc>
          <w:tcPr>
            <w:tcW w:w="820" w:type="dxa"/>
            <w:tcBorders>
              <w:top w:val="single" w:sz="4" w:space="0" w:color="auto"/>
              <w:left w:val="nil"/>
              <w:bottom w:val="single" w:sz="4" w:space="0" w:color="auto"/>
              <w:right w:val="single" w:sz="4" w:space="0" w:color="auto"/>
            </w:tcBorders>
            <w:shd w:val="clear" w:color="auto" w:fill="auto"/>
            <w:noWrap/>
            <w:hideMark/>
          </w:tcPr>
          <w:p w14:paraId="4E4D992A" w14:textId="77777777" w:rsidR="00A57704" w:rsidRPr="002A3CE3" w:rsidRDefault="00A57704" w:rsidP="00A57704">
            <w:pPr>
              <w:spacing w:after="0"/>
              <w:jc w:val="center"/>
              <w:rPr>
                <w:rFonts w:ascii="Times New Roman" w:hAnsi="Times New Roman"/>
              </w:rPr>
            </w:pPr>
            <w:r>
              <w:rPr>
                <w:rFonts w:ascii="Times New Roman" w:hAnsi="Times New Roman"/>
              </w:rPr>
              <w:t>-45.0</w:t>
            </w:r>
          </w:p>
        </w:tc>
        <w:tc>
          <w:tcPr>
            <w:tcW w:w="760" w:type="dxa"/>
            <w:tcBorders>
              <w:top w:val="single" w:sz="4" w:space="0" w:color="auto"/>
              <w:left w:val="nil"/>
              <w:bottom w:val="single" w:sz="4" w:space="0" w:color="auto"/>
              <w:right w:val="single" w:sz="4" w:space="0" w:color="auto"/>
            </w:tcBorders>
            <w:shd w:val="clear" w:color="auto" w:fill="auto"/>
            <w:noWrap/>
            <w:hideMark/>
          </w:tcPr>
          <w:p w14:paraId="11F9D1ED" w14:textId="77777777" w:rsidR="00A57704" w:rsidRPr="002A3CE3" w:rsidRDefault="00A57704" w:rsidP="00A57704">
            <w:pPr>
              <w:spacing w:after="0"/>
              <w:jc w:val="center"/>
              <w:rPr>
                <w:rFonts w:ascii="Times New Roman" w:hAnsi="Times New Roman"/>
              </w:rPr>
            </w:pPr>
            <w:r>
              <w:rPr>
                <w:rFonts w:ascii="Times New Roman" w:hAnsi="Times New Roman"/>
              </w:rPr>
              <w:t>34.3</w:t>
            </w:r>
          </w:p>
        </w:tc>
        <w:tc>
          <w:tcPr>
            <w:tcW w:w="820" w:type="dxa"/>
            <w:tcBorders>
              <w:top w:val="single" w:sz="4" w:space="0" w:color="auto"/>
              <w:left w:val="nil"/>
              <w:bottom w:val="single" w:sz="4" w:space="0" w:color="auto"/>
              <w:right w:val="single" w:sz="4" w:space="0" w:color="auto"/>
            </w:tcBorders>
            <w:shd w:val="clear" w:color="auto" w:fill="auto"/>
            <w:noWrap/>
            <w:hideMark/>
          </w:tcPr>
          <w:p w14:paraId="37F739A1" w14:textId="77777777" w:rsidR="00A57704" w:rsidRPr="002A3CE3" w:rsidRDefault="00A57704" w:rsidP="00A57704">
            <w:pPr>
              <w:spacing w:after="0"/>
              <w:jc w:val="center"/>
              <w:rPr>
                <w:rFonts w:ascii="Times New Roman" w:hAnsi="Times New Roman"/>
              </w:rPr>
            </w:pPr>
            <w:r>
              <w:rPr>
                <w:rFonts w:ascii="Times New Roman" w:hAnsi="Times New Roman"/>
              </w:rPr>
              <w:t>-21.9</w:t>
            </w:r>
          </w:p>
        </w:tc>
        <w:tc>
          <w:tcPr>
            <w:tcW w:w="820" w:type="dxa"/>
            <w:tcBorders>
              <w:top w:val="single" w:sz="4" w:space="0" w:color="auto"/>
              <w:left w:val="nil"/>
              <w:bottom w:val="single" w:sz="4" w:space="0" w:color="auto"/>
              <w:right w:val="single" w:sz="4" w:space="0" w:color="auto"/>
            </w:tcBorders>
            <w:shd w:val="clear" w:color="auto" w:fill="auto"/>
            <w:noWrap/>
            <w:hideMark/>
          </w:tcPr>
          <w:p w14:paraId="226AA8BC" w14:textId="77777777" w:rsidR="00A57704" w:rsidRPr="002A3CE3" w:rsidRDefault="00A57704" w:rsidP="00A57704">
            <w:pPr>
              <w:spacing w:after="0"/>
              <w:jc w:val="center"/>
              <w:rPr>
                <w:rFonts w:ascii="Times New Roman" w:hAnsi="Times New Roman"/>
              </w:rPr>
            </w:pPr>
            <w:r>
              <w:rPr>
                <w:rFonts w:ascii="Times New Roman" w:hAnsi="Times New Roman"/>
              </w:rPr>
              <w:t>65.3</w:t>
            </w:r>
          </w:p>
        </w:tc>
        <w:tc>
          <w:tcPr>
            <w:tcW w:w="820" w:type="dxa"/>
            <w:tcBorders>
              <w:top w:val="single" w:sz="4" w:space="0" w:color="auto"/>
              <w:left w:val="nil"/>
              <w:bottom w:val="single" w:sz="4" w:space="0" w:color="auto"/>
              <w:right w:val="single" w:sz="4" w:space="0" w:color="auto"/>
            </w:tcBorders>
            <w:shd w:val="clear" w:color="auto" w:fill="auto"/>
            <w:noWrap/>
            <w:hideMark/>
          </w:tcPr>
          <w:p w14:paraId="70D80691" w14:textId="77777777" w:rsidR="00A57704" w:rsidRPr="002A3CE3" w:rsidRDefault="00A57704" w:rsidP="00A57704">
            <w:pPr>
              <w:spacing w:after="0"/>
              <w:jc w:val="center"/>
              <w:rPr>
                <w:rFonts w:ascii="Times New Roman" w:hAnsi="Times New Roman"/>
              </w:rPr>
            </w:pPr>
            <w:r>
              <w:rPr>
                <w:rFonts w:ascii="Times New Roman" w:hAnsi="Times New Roman"/>
              </w:rPr>
              <w:t>-64.0</w:t>
            </w:r>
          </w:p>
        </w:tc>
        <w:tc>
          <w:tcPr>
            <w:tcW w:w="760" w:type="dxa"/>
            <w:tcBorders>
              <w:top w:val="single" w:sz="4" w:space="0" w:color="auto"/>
              <w:left w:val="nil"/>
              <w:bottom w:val="single" w:sz="4" w:space="0" w:color="auto"/>
              <w:right w:val="single" w:sz="4" w:space="0" w:color="auto"/>
            </w:tcBorders>
            <w:shd w:val="clear" w:color="auto" w:fill="auto"/>
            <w:noWrap/>
            <w:hideMark/>
          </w:tcPr>
          <w:p w14:paraId="2A80D373" w14:textId="77777777" w:rsidR="00A57704" w:rsidRPr="002A3CE3" w:rsidRDefault="00A57704" w:rsidP="00A57704">
            <w:pPr>
              <w:spacing w:after="0"/>
              <w:jc w:val="center"/>
              <w:rPr>
                <w:rFonts w:ascii="Times New Roman" w:hAnsi="Times New Roman"/>
              </w:rPr>
            </w:pPr>
            <w:r>
              <w:rPr>
                <w:rFonts w:ascii="Times New Roman" w:hAnsi="Times New Roman"/>
              </w:rPr>
              <w:t>39.6</w:t>
            </w:r>
          </w:p>
        </w:tc>
        <w:tc>
          <w:tcPr>
            <w:tcW w:w="720" w:type="dxa"/>
            <w:tcBorders>
              <w:top w:val="single" w:sz="4" w:space="0" w:color="auto"/>
              <w:left w:val="nil"/>
              <w:bottom w:val="single" w:sz="4" w:space="0" w:color="auto"/>
              <w:right w:val="single" w:sz="4" w:space="0" w:color="auto"/>
            </w:tcBorders>
            <w:shd w:val="clear" w:color="auto" w:fill="auto"/>
            <w:noWrap/>
            <w:hideMark/>
          </w:tcPr>
          <w:p w14:paraId="2B3CB679" w14:textId="77777777" w:rsidR="00A57704" w:rsidRPr="002A3CE3" w:rsidRDefault="00A57704" w:rsidP="00A57704">
            <w:pPr>
              <w:spacing w:after="0"/>
              <w:jc w:val="center"/>
              <w:rPr>
                <w:rFonts w:ascii="Times New Roman" w:hAnsi="Times New Roman"/>
              </w:rPr>
            </w:pPr>
            <w:r>
              <w:rPr>
                <w:rFonts w:ascii="Times New Roman" w:hAnsi="Times New Roman"/>
              </w:rPr>
              <w:t>0</w:t>
            </w:r>
          </w:p>
        </w:tc>
        <w:tc>
          <w:tcPr>
            <w:tcW w:w="1100" w:type="dxa"/>
            <w:tcBorders>
              <w:top w:val="single" w:sz="4" w:space="0" w:color="auto"/>
              <w:left w:val="nil"/>
              <w:bottom w:val="single" w:sz="4" w:space="0" w:color="auto"/>
              <w:right w:val="single" w:sz="4" w:space="0" w:color="auto"/>
            </w:tcBorders>
            <w:shd w:val="clear" w:color="auto" w:fill="auto"/>
            <w:noWrap/>
            <w:hideMark/>
          </w:tcPr>
          <w:p w14:paraId="533115AD" w14:textId="77777777" w:rsidR="00A57704" w:rsidRPr="002A3CE3" w:rsidRDefault="00A57704" w:rsidP="00A57704">
            <w:pPr>
              <w:spacing w:after="0"/>
              <w:jc w:val="center"/>
              <w:rPr>
                <w:rFonts w:ascii="Times New Roman" w:hAnsi="Times New Roman"/>
              </w:rPr>
            </w:pPr>
            <w:r w:rsidRPr="002A3CE3">
              <w:rPr>
                <w:rFonts w:ascii="Times New Roman" w:hAnsi="Times New Roman"/>
              </w:rPr>
              <w:t>-48.0</w:t>
            </w:r>
          </w:p>
        </w:tc>
      </w:tr>
    </w:tbl>
    <w:p w14:paraId="7180AA0E" w14:textId="77777777" w:rsidR="00A57704" w:rsidRDefault="00A57704" w:rsidP="00A57704">
      <w:pPr>
        <w:spacing w:after="0"/>
        <w:rPr>
          <w:rFonts w:ascii="Times New Roman" w:hAnsi="Times New Roman"/>
        </w:rPr>
      </w:pPr>
    </w:p>
    <w:p w14:paraId="7008E16E"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space="720"/>
          <w:docGrid w:linePitch="360"/>
        </w:sectPr>
      </w:pPr>
    </w:p>
    <w:p w14:paraId="1FBD2D07" w14:textId="77777777" w:rsidR="00A57704" w:rsidRPr="00C83490" w:rsidRDefault="00A57704" w:rsidP="00A57704">
      <w:pPr>
        <w:spacing w:after="0"/>
        <w:rPr>
          <w:rFonts w:ascii="Times New Roman" w:hAnsi="Times New Roman"/>
        </w:rPr>
      </w:pPr>
    </w:p>
    <w:p w14:paraId="377526F5"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Villa Vásquez</w:t>
      </w:r>
    </w:p>
    <w:p w14:paraId="24644E70" w14:textId="77777777" w:rsidR="00A57704" w:rsidRPr="002D5B20" w:rsidRDefault="00A57704" w:rsidP="00A57704">
      <w:pPr>
        <w:spacing w:after="0"/>
        <w:rPr>
          <w:rFonts w:ascii="Times New Roman" w:hAnsi="Times New Roman"/>
          <w:sz w:val="4"/>
        </w:rPr>
      </w:pPr>
    </w:p>
    <w:p w14:paraId="3721D277" w14:textId="77777777" w:rsidR="00A57704" w:rsidRPr="002D5B20" w:rsidRDefault="00A57704" w:rsidP="00A57704">
      <w:pPr>
        <w:spacing w:after="0"/>
        <w:rPr>
          <w:rFonts w:ascii="Times New Roman" w:hAnsi="Times New Roman"/>
          <w:sz w:val="4"/>
        </w:rPr>
      </w:pPr>
    </w:p>
    <w:p w14:paraId="2793E66A" w14:textId="77777777" w:rsidR="00A57704" w:rsidRPr="002D5B20" w:rsidRDefault="00A57704" w:rsidP="00A57704">
      <w:pPr>
        <w:spacing w:after="0"/>
        <w:rPr>
          <w:rFonts w:ascii="Times New Roman" w:hAnsi="Times New Roman"/>
          <w:sz w:val="4"/>
        </w:rPr>
      </w:pPr>
      <w:r>
        <w:rPr>
          <w:noProof/>
          <w:lang w:eastAsia="es-DO"/>
        </w:rPr>
        <w:drawing>
          <wp:inline distT="0" distB="0" distL="0" distR="0" wp14:anchorId="006F29CD" wp14:editId="2638A6C4">
            <wp:extent cx="3686175" cy="1504950"/>
            <wp:effectExtent l="0" t="0" r="0" b="0"/>
            <wp:docPr id="288" name="Gráfico 288">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C91C3A33-C773-4036-9036-B07748EC69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p w14:paraId="6FFB3969" w14:textId="77777777" w:rsidR="00A57704" w:rsidRDefault="00A57704" w:rsidP="00A57704">
      <w:pPr>
        <w:spacing w:after="0"/>
        <w:rPr>
          <w:rFonts w:ascii="Times New Roman" w:hAnsi="Times New Roman"/>
        </w:rPr>
      </w:pPr>
    </w:p>
    <w:p w14:paraId="13D6673C"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23432677"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6C56C116" wp14:editId="37C2C419">
            <wp:extent cx="3599815" cy="1513490"/>
            <wp:effectExtent l="0" t="0" r="635" b="0"/>
            <wp:docPr id="137" name="Gráfico 137">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AEDDD643-9406-4752-8000-CBF2CFD729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tbl>
      <w:tblPr>
        <w:tblW w:w="12712" w:type="dxa"/>
        <w:tblInd w:w="-5" w:type="dxa"/>
        <w:tblCellMar>
          <w:left w:w="70" w:type="dxa"/>
          <w:right w:w="70" w:type="dxa"/>
        </w:tblCellMar>
        <w:tblLook w:val="04A0" w:firstRow="1" w:lastRow="0" w:firstColumn="1" w:lastColumn="0" w:noHBand="0" w:noVBand="1"/>
      </w:tblPr>
      <w:tblGrid>
        <w:gridCol w:w="2212"/>
        <w:gridCol w:w="760"/>
        <w:gridCol w:w="760"/>
        <w:gridCol w:w="720"/>
        <w:gridCol w:w="820"/>
        <w:gridCol w:w="820"/>
        <w:gridCol w:w="820"/>
        <w:gridCol w:w="760"/>
        <w:gridCol w:w="820"/>
        <w:gridCol w:w="820"/>
        <w:gridCol w:w="820"/>
        <w:gridCol w:w="760"/>
        <w:gridCol w:w="720"/>
        <w:gridCol w:w="1100"/>
      </w:tblGrid>
      <w:tr w:rsidR="00A57704" w:rsidRPr="00D8474E" w14:paraId="64CA3CF4" w14:textId="77777777" w:rsidTr="008522D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1D07AEF8" w14:textId="77777777" w:rsidR="00A57704" w:rsidRPr="008522D8" w:rsidRDefault="00A57704" w:rsidP="008522D8">
            <w:pPr>
              <w:spacing w:after="0"/>
              <w:jc w:val="center"/>
              <w:rPr>
                <w:rFonts w:ascii="Times New Roman" w:hAnsi="Times New Roman"/>
                <w:b/>
                <w:bCs/>
                <w:color w:val="FFFFFF" w:themeColor="background1"/>
                <w:lang w:eastAsia="es-DO"/>
              </w:rPr>
            </w:pPr>
            <w:r w:rsidRPr="008522D8">
              <w:rPr>
                <w:rFonts w:ascii="Times New Roman" w:hAnsi="Times New Roman"/>
                <w:b/>
                <w:bCs/>
                <w:color w:val="FFFFFF" w:themeColor="background1"/>
                <w:lang w:eastAsia="es-DO"/>
              </w:rPr>
              <w:lastRenderedPageBreak/>
              <w:t>Montecristi</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4AD0148B" w14:textId="77777777" w:rsidR="00A57704" w:rsidRPr="008522D8" w:rsidRDefault="00A57704" w:rsidP="008522D8">
            <w:pPr>
              <w:spacing w:after="0"/>
              <w:jc w:val="center"/>
              <w:rPr>
                <w:rFonts w:ascii="Times New Roman" w:hAnsi="Times New Roman"/>
                <w:b/>
                <w:bCs/>
                <w:color w:val="FFFFFF" w:themeColor="background1"/>
                <w:lang w:eastAsia="es-DO"/>
              </w:rPr>
            </w:pPr>
            <w:r w:rsidRPr="008522D8">
              <w:rPr>
                <w:rFonts w:ascii="Times New Roman" w:hAnsi="Times New Roman"/>
                <w:b/>
                <w:bCs/>
                <w:color w:val="FFFFFF" w:themeColor="background1"/>
                <w:lang w:eastAsia="es-DO"/>
              </w:rPr>
              <w:t>Ene</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2BB0F808" w14:textId="77777777" w:rsidR="00A57704" w:rsidRPr="008522D8" w:rsidRDefault="00A57704" w:rsidP="008522D8">
            <w:pPr>
              <w:spacing w:after="0"/>
              <w:jc w:val="center"/>
              <w:rPr>
                <w:rFonts w:ascii="Times New Roman" w:hAnsi="Times New Roman"/>
                <w:b/>
                <w:bCs/>
                <w:color w:val="FFFFFF" w:themeColor="background1"/>
                <w:lang w:eastAsia="es-DO"/>
              </w:rPr>
            </w:pPr>
            <w:r w:rsidRPr="008522D8">
              <w:rPr>
                <w:rFonts w:ascii="Times New Roman" w:hAnsi="Times New Roman"/>
                <w:b/>
                <w:bCs/>
                <w:color w:val="FFFFFF" w:themeColor="background1"/>
                <w:lang w:eastAsia="es-DO"/>
              </w:rPr>
              <w:t>Feb</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3F281516" w14:textId="77777777" w:rsidR="00A57704" w:rsidRPr="008522D8" w:rsidRDefault="00A57704" w:rsidP="008522D8">
            <w:pPr>
              <w:spacing w:after="0"/>
              <w:jc w:val="center"/>
              <w:rPr>
                <w:rFonts w:ascii="Times New Roman" w:hAnsi="Times New Roman"/>
                <w:b/>
                <w:bCs/>
                <w:color w:val="FFFFFF" w:themeColor="background1"/>
                <w:lang w:eastAsia="es-DO"/>
              </w:rPr>
            </w:pPr>
            <w:r w:rsidRPr="008522D8">
              <w:rPr>
                <w:rFonts w:ascii="Times New Roman" w:hAnsi="Times New Roman"/>
                <w:b/>
                <w:bCs/>
                <w:color w:val="FFFFFF" w:themeColor="background1"/>
                <w:lang w:eastAsia="es-DO"/>
              </w:rPr>
              <w:t>Mar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7FBDC016" w14:textId="77777777" w:rsidR="00A57704" w:rsidRPr="008522D8" w:rsidRDefault="00A57704" w:rsidP="008522D8">
            <w:pPr>
              <w:spacing w:after="0"/>
              <w:jc w:val="center"/>
              <w:rPr>
                <w:rFonts w:ascii="Times New Roman" w:hAnsi="Times New Roman"/>
                <w:b/>
                <w:bCs/>
                <w:color w:val="FFFFFF" w:themeColor="background1"/>
                <w:lang w:eastAsia="es-DO"/>
              </w:rPr>
            </w:pPr>
            <w:r w:rsidRPr="008522D8">
              <w:rPr>
                <w:rFonts w:ascii="Times New Roman" w:hAnsi="Times New Roman"/>
                <w:b/>
                <w:bCs/>
                <w:color w:val="FFFFFF" w:themeColor="background1"/>
                <w:lang w:eastAsia="es-DO"/>
              </w:rPr>
              <w:t>Abr</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D7EF6B1" w14:textId="77777777" w:rsidR="00A57704" w:rsidRPr="008522D8" w:rsidRDefault="00A57704" w:rsidP="008522D8">
            <w:pPr>
              <w:spacing w:after="0"/>
              <w:jc w:val="center"/>
              <w:rPr>
                <w:rFonts w:ascii="Times New Roman" w:hAnsi="Times New Roman"/>
                <w:b/>
                <w:bCs/>
                <w:color w:val="FFFFFF" w:themeColor="background1"/>
                <w:lang w:eastAsia="es-DO"/>
              </w:rPr>
            </w:pPr>
            <w:r w:rsidRPr="008522D8">
              <w:rPr>
                <w:rFonts w:ascii="Times New Roman" w:hAnsi="Times New Roman"/>
                <w:b/>
                <w:bCs/>
                <w:color w:val="FFFFFF" w:themeColor="background1"/>
                <w:lang w:eastAsia="es-DO"/>
              </w:rPr>
              <w:t>May</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7ACAB0F3" w14:textId="77777777" w:rsidR="00A57704" w:rsidRPr="008522D8" w:rsidRDefault="00A57704" w:rsidP="008522D8">
            <w:pPr>
              <w:spacing w:after="0"/>
              <w:jc w:val="center"/>
              <w:rPr>
                <w:rFonts w:ascii="Times New Roman" w:hAnsi="Times New Roman"/>
                <w:b/>
                <w:bCs/>
                <w:color w:val="FFFFFF" w:themeColor="background1"/>
                <w:lang w:eastAsia="es-DO"/>
              </w:rPr>
            </w:pPr>
            <w:r w:rsidRPr="008522D8">
              <w:rPr>
                <w:rFonts w:ascii="Times New Roman" w:hAnsi="Times New Roman"/>
                <w:b/>
                <w:bCs/>
                <w:color w:val="FFFFFF" w:themeColor="background1"/>
                <w:lang w:eastAsia="es-DO"/>
              </w:rPr>
              <w:t>Jun</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4CF35383" w14:textId="77777777" w:rsidR="00A57704" w:rsidRPr="008522D8" w:rsidRDefault="00A57704" w:rsidP="008522D8">
            <w:pPr>
              <w:spacing w:after="0"/>
              <w:jc w:val="center"/>
              <w:rPr>
                <w:rFonts w:ascii="Times New Roman" w:hAnsi="Times New Roman"/>
                <w:b/>
                <w:bCs/>
                <w:color w:val="FFFFFF" w:themeColor="background1"/>
                <w:lang w:eastAsia="es-DO"/>
              </w:rPr>
            </w:pPr>
            <w:r w:rsidRPr="008522D8">
              <w:rPr>
                <w:rFonts w:ascii="Times New Roman" w:hAnsi="Times New Roman"/>
                <w:b/>
                <w:bCs/>
                <w:color w:val="FFFFFF" w:themeColor="background1"/>
                <w:lang w:eastAsia="es-DO"/>
              </w:rPr>
              <w:t>Jul</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2DD79E89" w14:textId="77777777" w:rsidR="00A57704" w:rsidRPr="008522D8" w:rsidRDefault="00A57704" w:rsidP="008522D8">
            <w:pPr>
              <w:spacing w:after="0"/>
              <w:jc w:val="center"/>
              <w:rPr>
                <w:rFonts w:ascii="Times New Roman" w:hAnsi="Times New Roman"/>
                <w:b/>
                <w:bCs/>
                <w:color w:val="FFFFFF" w:themeColor="background1"/>
                <w:lang w:eastAsia="es-DO"/>
              </w:rPr>
            </w:pPr>
            <w:r w:rsidRPr="008522D8">
              <w:rPr>
                <w:rFonts w:ascii="Times New Roman" w:hAnsi="Times New Roman"/>
                <w:b/>
                <w:bCs/>
                <w:color w:val="FFFFFF" w:themeColor="background1"/>
                <w:lang w:eastAsia="es-DO"/>
              </w:rPr>
              <w:t>Ago</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43E9AE5C" w14:textId="77777777" w:rsidR="00A57704" w:rsidRPr="008522D8" w:rsidRDefault="00A57704" w:rsidP="008522D8">
            <w:pPr>
              <w:spacing w:after="0"/>
              <w:jc w:val="center"/>
              <w:rPr>
                <w:rFonts w:ascii="Times New Roman" w:hAnsi="Times New Roman"/>
                <w:b/>
                <w:bCs/>
                <w:color w:val="FFFFFF" w:themeColor="background1"/>
                <w:lang w:eastAsia="es-DO"/>
              </w:rPr>
            </w:pPr>
            <w:r w:rsidRPr="008522D8">
              <w:rPr>
                <w:rFonts w:ascii="Times New Roman" w:hAnsi="Times New Roman"/>
                <w:b/>
                <w:bCs/>
                <w:color w:val="FFFFFF" w:themeColor="background1"/>
                <w:lang w:eastAsia="es-DO"/>
              </w:rPr>
              <w:t>Sep</w:t>
            </w:r>
          </w:p>
        </w:tc>
        <w:tc>
          <w:tcPr>
            <w:tcW w:w="820" w:type="dxa"/>
            <w:tcBorders>
              <w:top w:val="single" w:sz="4" w:space="0" w:color="auto"/>
              <w:left w:val="nil"/>
              <w:bottom w:val="single" w:sz="4" w:space="0" w:color="auto"/>
              <w:right w:val="single" w:sz="4" w:space="0" w:color="auto"/>
            </w:tcBorders>
            <w:shd w:val="clear" w:color="auto" w:fill="00B050"/>
            <w:noWrap/>
            <w:vAlign w:val="bottom"/>
            <w:hideMark/>
          </w:tcPr>
          <w:p w14:paraId="76D2C8EC" w14:textId="77777777" w:rsidR="00A57704" w:rsidRPr="008522D8" w:rsidRDefault="00A57704" w:rsidP="008522D8">
            <w:pPr>
              <w:spacing w:after="0"/>
              <w:jc w:val="center"/>
              <w:rPr>
                <w:rFonts w:ascii="Times New Roman" w:hAnsi="Times New Roman"/>
                <w:b/>
                <w:bCs/>
                <w:color w:val="FFFFFF" w:themeColor="background1"/>
                <w:lang w:eastAsia="es-DO"/>
              </w:rPr>
            </w:pPr>
            <w:r w:rsidRPr="008522D8">
              <w:rPr>
                <w:rFonts w:ascii="Times New Roman" w:hAnsi="Times New Roman"/>
                <w:b/>
                <w:bCs/>
                <w:color w:val="FFFFFF" w:themeColor="background1"/>
                <w:lang w:eastAsia="es-DO"/>
              </w:rPr>
              <w:t>Oct</w:t>
            </w:r>
          </w:p>
        </w:tc>
        <w:tc>
          <w:tcPr>
            <w:tcW w:w="760" w:type="dxa"/>
            <w:tcBorders>
              <w:top w:val="single" w:sz="4" w:space="0" w:color="auto"/>
              <w:left w:val="nil"/>
              <w:bottom w:val="single" w:sz="4" w:space="0" w:color="auto"/>
              <w:right w:val="single" w:sz="4" w:space="0" w:color="auto"/>
            </w:tcBorders>
            <w:shd w:val="clear" w:color="auto" w:fill="00B050"/>
            <w:noWrap/>
            <w:vAlign w:val="bottom"/>
            <w:hideMark/>
          </w:tcPr>
          <w:p w14:paraId="0F730D35" w14:textId="77777777" w:rsidR="00A57704" w:rsidRPr="008522D8" w:rsidRDefault="00A57704" w:rsidP="008522D8">
            <w:pPr>
              <w:spacing w:after="0"/>
              <w:jc w:val="center"/>
              <w:rPr>
                <w:rFonts w:ascii="Times New Roman" w:hAnsi="Times New Roman"/>
                <w:b/>
                <w:bCs/>
                <w:color w:val="FFFFFF" w:themeColor="background1"/>
                <w:lang w:eastAsia="es-DO"/>
              </w:rPr>
            </w:pPr>
            <w:r w:rsidRPr="008522D8">
              <w:rPr>
                <w:rFonts w:ascii="Times New Roman" w:hAnsi="Times New Roman"/>
                <w:b/>
                <w:bCs/>
                <w:color w:val="FFFFFF" w:themeColor="background1"/>
                <w:lang w:eastAsia="es-DO"/>
              </w:rPr>
              <w:t>Nov</w:t>
            </w:r>
          </w:p>
        </w:tc>
        <w:tc>
          <w:tcPr>
            <w:tcW w:w="720" w:type="dxa"/>
            <w:tcBorders>
              <w:top w:val="single" w:sz="4" w:space="0" w:color="auto"/>
              <w:left w:val="nil"/>
              <w:bottom w:val="single" w:sz="4" w:space="0" w:color="auto"/>
              <w:right w:val="single" w:sz="4" w:space="0" w:color="auto"/>
            </w:tcBorders>
            <w:shd w:val="clear" w:color="auto" w:fill="00B050"/>
            <w:noWrap/>
            <w:vAlign w:val="bottom"/>
            <w:hideMark/>
          </w:tcPr>
          <w:p w14:paraId="4BCE6D50" w14:textId="77777777" w:rsidR="00A57704" w:rsidRPr="008522D8" w:rsidRDefault="00A57704" w:rsidP="008522D8">
            <w:pPr>
              <w:spacing w:after="0"/>
              <w:jc w:val="center"/>
              <w:rPr>
                <w:rFonts w:ascii="Times New Roman" w:hAnsi="Times New Roman"/>
                <w:b/>
                <w:bCs/>
                <w:color w:val="FFFFFF" w:themeColor="background1"/>
                <w:lang w:eastAsia="es-DO"/>
              </w:rPr>
            </w:pPr>
            <w:r w:rsidRPr="008522D8">
              <w:rPr>
                <w:rFonts w:ascii="Times New Roman" w:hAnsi="Times New Roman"/>
                <w:b/>
                <w:bCs/>
                <w:color w:val="FFFFFF" w:themeColor="background1"/>
                <w:lang w:eastAsia="es-DO"/>
              </w:rPr>
              <w:t>Dic</w:t>
            </w:r>
          </w:p>
        </w:tc>
        <w:tc>
          <w:tcPr>
            <w:tcW w:w="1100" w:type="dxa"/>
            <w:tcBorders>
              <w:top w:val="single" w:sz="4" w:space="0" w:color="auto"/>
              <w:left w:val="nil"/>
              <w:bottom w:val="single" w:sz="4" w:space="0" w:color="auto"/>
              <w:right w:val="single" w:sz="4" w:space="0" w:color="auto"/>
            </w:tcBorders>
            <w:shd w:val="clear" w:color="auto" w:fill="00B050"/>
            <w:noWrap/>
            <w:vAlign w:val="bottom"/>
            <w:hideMark/>
          </w:tcPr>
          <w:p w14:paraId="494485B5" w14:textId="77777777" w:rsidR="00A57704" w:rsidRPr="008522D8" w:rsidRDefault="00A57704" w:rsidP="008522D8">
            <w:pPr>
              <w:spacing w:after="0"/>
              <w:jc w:val="center"/>
              <w:rPr>
                <w:rFonts w:ascii="Times New Roman" w:hAnsi="Times New Roman"/>
                <w:b/>
                <w:bCs/>
                <w:color w:val="FFFFFF" w:themeColor="background1"/>
                <w:lang w:eastAsia="es-DO"/>
              </w:rPr>
            </w:pPr>
            <w:r w:rsidRPr="008522D8">
              <w:rPr>
                <w:rFonts w:ascii="Times New Roman" w:hAnsi="Times New Roman"/>
                <w:b/>
                <w:bCs/>
                <w:color w:val="FFFFFF" w:themeColor="background1"/>
                <w:lang w:eastAsia="es-DO"/>
              </w:rPr>
              <w:t>Año</w:t>
            </w:r>
          </w:p>
        </w:tc>
      </w:tr>
      <w:tr w:rsidR="00A57704" w:rsidRPr="00D8474E" w14:paraId="3E09A2B1" w14:textId="77777777" w:rsidTr="008522D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1526E" w14:textId="77777777" w:rsidR="00A57704" w:rsidRPr="00D8474E" w:rsidRDefault="00A57704" w:rsidP="00A57704">
            <w:pPr>
              <w:spacing w:after="0"/>
              <w:rPr>
                <w:rFonts w:ascii="Times New Roman" w:hAnsi="Times New Roman"/>
                <w:bCs/>
                <w:color w:val="000000"/>
                <w:lang w:eastAsia="es-DO"/>
              </w:rPr>
            </w:pPr>
            <w:r w:rsidRPr="00D8474E">
              <w:rPr>
                <w:rFonts w:ascii="Times New Roman" w:hAnsi="Times New Roman"/>
                <w:bCs/>
                <w:color w:val="000000"/>
                <w:lang w:eastAsia="es-DO"/>
              </w:rPr>
              <w:t>Normal</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B140E1F" w14:textId="77777777" w:rsidR="00A57704" w:rsidRPr="00D8474E" w:rsidRDefault="00A57704" w:rsidP="00A57704">
            <w:pPr>
              <w:spacing w:after="0"/>
              <w:jc w:val="center"/>
              <w:rPr>
                <w:rFonts w:ascii="Times New Roman" w:hAnsi="Times New Roman"/>
                <w:bCs/>
                <w:color w:val="000000"/>
                <w:lang w:eastAsia="es-DO"/>
              </w:rPr>
            </w:pPr>
            <w:r w:rsidRPr="00D8474E">
              <w:rPr>
                <w:rFonts w:ascii="Times New Roman" w:hAnsi="Times New Roman"/>
                <w:bCs/>
                <w:color w:val="000000"/>
                <w:lang w:eastAsia="es-DO"/>
              </w:rPr>
              <w:t>67.8</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B6E6BAB" w14:textId="77777777" w:rsidR="00A57704" w:rsidRPr="00D8474E" w:rsidRDefault="00A57704" w:rsidP="00A57704">
            <w:pPr>
              <w:spacing w:after="0"/>
              <w:jc w:val="center"/>
              <w:rPr>
                <w:rFonts w:ascii="Times New Roman" w:hAnsi="Times New Roman"/>
                <w:bCs/>
                <w:color w:val="000000"/>
                <w:lang w:eastAsia="es-DO"/>
              </w:rPr>
            </w:pPr>
            <w:r w:rsidRPr="00D8474E">
              <w:rPr>
                <w:rFonts w:ascii="Times New Roman" w:hAnsi="Times New Roman"/>
                <w:bCs/>
                <w:color w:val="000000"/>
                <w:lang w:eastAsia="es-DO"/>
              </w:rPr>
              <w:t>47.2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6253FA2" w14:textId="77777777" w:rsidR="00A57704" w:rsidRPr="00D8474E" w:rsidRDefault="00A57704" w:rsidP="00A57704">
            <w:pPr>
              <w:spacing w:after="0"/>
              <w:jc w:val="center"/>
              <w:rPr>
                <w:rFonts w:ascii="Times New Roman" w:hAnsi="Times New Roman"/>
                <w:bCs/>
                <w:color w:val="000000"/>
                <w:lang w:eastAsia="es-DO"/>
              </w:rPr>
            </w:pPr>
            <w:r w:rsidRPr="00D8474E">
              <w:rPr>
                <w:rFonts w:ascii="Times New Roman" w:hAnsi="Times New Roman"/>
                <w:bCs/>
                <w:color w:val="000000"/>
                <w:lang w:eastAsia="es-DO"/>
              </w:rPr>
              <w:t>53.5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E0712C1" w14:textId="77777777" w:rsidR="00A57704" w:rsidRPr="00D8474E" w:rsidRDefault="00A57704" w:rsidP="00A57704">
            <w:pPr>
              <w:spacing w:after="0"/>
              <w:jc w:val="center"/>
              <w:rPr>
                <w:rFonts w:ascii="Times New Roman" w:hAnsi="Times New Roman"/>
                <w:bCs/>
                <w:color w:val="000000"/>
                <w:lang w:eastAsia="es-DO"/>
              </w:rPr>
            </w:pPr>
            <w:r w:rsidRPr="00D8474E">
              <w:rPr>
                <w:rFonts w:ascii="Times New Roman" w:hAnsi="Times New Roman"/>
                <w:bCs/>
                <w:color w:val="000000"/>
                <w:lang w:eastAsia="es-DO"/>
              </w:rPr>
              <w:t>70.9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06734FA" w14:textId="77777777" w:rsidR="00A57704" w:rsidRPr="00D8474E" w:rsidRDefault="00A57704" w:rsidP="00A57704">
            <w:pPr>
              <w:spacing w:after="0"/>
              <w:jc w:val="center"/>
              <w:rPr>
                <w:rFonts w:ascii="Times New Roman" w:hAnsi="Times New Roman"/>
                <w:bCs/>
                <w:color w:val="000000"/>
                <w:lang w:eastAsia="es-DO"/>
              </w:rPr>
            </w:pPr>
            <w:r w:rsidRPr="00D8474E">
              <w:rPr>
                <w:rFonts w:ascii="Times New Roman" w:hAnsi="Times New Roman"/>
                <w:bCs/>
                <w:color w:val="000000"/>
                <w:lang w:eastAsia="es-DO"/>
              </w:rPr>
              <w:t>52.7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26843DE" w14:textId="77777777" w:rsidR="00A57704" w:rsidRPr="00D8474E" w:rsidRDefault="00A57704" w:rsidP="00A57704">
            <w:pPr>
              <w:spacing w:after="0"/>
              <w:jc w:val="center"/>
              <w:rPr>
                <w:rFonts w:ascii="Times New Roman" w:hAnsi="Times New Roman"/>
                <w:bCs/>
                <w:color w:val="000000"/>
                <w:lang w:eastAsia="es-DO"/>
              </w:rPr>
            </w:pPr>
            <w:r w:rsidRPr="00D8474E">
              <w:rPr>
                <w:rFonts w:ascii="Times New Roman" w:hAnsi="Times New Roman"/>
                <w:bCs/>
                <w:color w:val="000000"/>
                <w:lang w:eastAsia="es-DO"/>
              </w:rPr>
              <w:t>31.0</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5008ED1" w14:textId="77777777" w:rsidR="00A57704" w:rsidRPr="00D8474E" w:rsidRDefault="00A57704" w:rsidP="00A57704">
            <w:pPr>
              <w:spacing w:after="0"/>
              <w:jc w:val="center"/>
              <w:rPr>
                <w:rFonts w:ascii="Times New Roman" w:hAnsi="Times New Roman"/>
                <w:bCs/>
                <w:color w:val="000000"/>
                <w:lang w:eastAsia="es-DO"/>
              </w:rPr>
            </w:pPr>
            <w:r w:rsidRPr="00D8474E">
              <w:rPr>
                <w:rFonts w:ascii="Times New Roman" w:hAnsi="Times New Roman"/>
                <w:bCs/>
                <w:color w:val="000000"/>
                <w:lang w:eastAsia="es-DO"/>
              </w:rPr>
              <w:t>15.4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173A260" w14:textId="77777777" w:rsidR="00A57704" w:rsidRPr="00D8474E" w:rsidRDefault="00A57704" w:rsidP="00A57704">
            <w:pPr>
              <w:spacing w:after="0"/>
              <w:jc w:val="center"/>
              <w:rPr>
                <w:rFonts w:ascii="Times New Roman" w:hAnsi="Times New Roman"/>
                <w:bCs/>
                <w:color w:val="000000"/>
                <w:lang w:eastAsia="es-DO"/>
              </w:rPr>
            </w:pPr>
            <w:r w:rsidRPr="00D8474E">
              <w:rPr>
                <w:rFonts w:ascii="Times New Roman" w:hAnsi="Times New Roman"/>
                <w:bCs/>
                <w:color w:val="000000"/>
                <w:lang w:eastAsia="es-DO"/>
              </w:rPr>
              <w:t>27.0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C28E410" w14:textId="77777777" w:rsidR="00A57704" w:rsidRPr="00D8474E" w:rsidRDefault="00A57704" w:rsidP="00A57704">
            <w:pPr>
              <w:spacing w:after="0"/>
              <w:jc w:val="center"/>
              <w:rPr>
                <w:rFonts w:ascii="Times New Roman" w:hAnsi="Times New Roman"/>
                <w:bCs/>
                <w:color w:val="000000"/>
                <w:lang w:eastAsia="es-DO"/>
              </w:rPr>
            </w:pPr>
            <w:r w:rsidRPr="00D8474E">
              <w:rPr>
                <w:rFonts w:ascii="Times New Roman" w:hAnsi="Times New Roman"/>
                <w:bCs/>
                <w:color w:val="000000"/>
                <w:lang w:eastAsia="es-DO"/>
              </w:rPr>
              <w:t>33.4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7C21394" w14:textId="77777777" w:rsidR="00A57704" w:rsidRPr="00D8474E" w:rsidRDefault="00A57704" w:rsidP="00A57704">
            <w:pPr>
              <w:spacing w:after="0"/>
              <w:jc w:val="center"/>
              <w:rPr>
                <w:rFonts w:ascii="Times New Roman" w:hAnsi="Times New Roman"/>
                <w:bCs/>
                <w:color w:val="000000"/>
                <w:lang w:eastAsia="es-DO"/>
              </w:rPr>
            </w:pPr>
            <w:r w:rsidRPr="00D8474E">
              <w:rPr>
                <w:rFonts w:ascii="Times New Roman" w:hAnsi="Times New Roman"/>
                <w:bCs/>
                <w:color w:val="000000"/>
                <w:lang w:eastAsia="es-DO"/>
              </w:rPr>
              <w:t>59.9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B75EAEF" w14:textId="77777777" w:rsidR="00A57704" w:rsidRPr="00D8474E" w:rsidRDefault="00A57704" w:rsidP="00A57704">
            <w:pPr>
              <w:spacing w:after="0"/>
              <w:jc w:val="center"/>
              <w:rPr>
                <w:rFonts w:ascii="Times New Roman" w:hAnsi="Times New Roman"/>
                <w:bCs/>
                <w:color w:val="000000"/>
                <w:lang w:eastAsia="es-DO"/>
              </w:rPr>
            </w:pPr>
            <w:r w:rsidRPr="00D8474E">
              <w:rPr>
                <w:rFonts w:ascii="Times New Roman" w:hAnsi="Times New Roman"/>
                <w:bCs/>
                <w:color w:val="000000"/>
                <w:lang w:eastAsia="es-DO"/>
              </w:rPr>
              <w:t>66.4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5C2A852" w14:textId="77777777" w:rsidR="00A57704" w:rsidRPr="00D8474E" w:rsidRDefault="00A57704" w:rsidP="00A57704">
            <w:pPr>
              <w:spacing w:after="0"/>
              <w:jc w:val="center"/>
              <w:rPr>
                <w:rFonts w:ascii="Times New Roman" w:hAnsi="Times New Roman"/>
                <w:bCs/>
                <w:color w:val="000000"/>
                <w:lang w:eastAsia="es-DO"/>
              </w:rPr>
            </w:pPr>
            <w:r w:rsidRPr="00D8474E">
              <w:rPr>
                <w:rFonts w:ascii="Times New Roman" w:hAnsi="Times New Roman"/>
                <w:bCs/>
                <w:color w:val="000000"/>
                <w:lang w:eastAsia="es-DO"/>
              </w:rPr>
              <w:t>70.0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17C00EEF" w14:textId="77777777" w:rsidR="00A57704" w:rsidRPr="00D8474E" w:rsidRDefault="00A57704" w:rsidP="00A57704">
            <w:pPr>
              <w:spacing w:after="0"/>
              <w:jc w:val="center"/>
              <w:rPr>
                <w:rFonts w:ascii="Times New Roman" w:hAnsi="Times New Roman"/>
                <w:bCs/>
                <w:lang w:eastAsia="es-DO"/>
              </w:rPr>
            </w:pPr>
            <w:r w:rsidRPr="00D8474E">
              <w:rPr>
                <w:rFonts w:ascii="Times New Roman" w:hAnsi="Times New Roman"/>
                <w:bCs/>
                <w:lang w:eastAsia="es-DO"/>
              </w:rPr>
              <w:t>595.2</w:t>
            </w:r>
          </w:p>
        </w:tc>
      </w:tr>
      <w:tr w:rsidR="00A57704" w:rsidRPr="00D8474E" w14:paraId="231E27E2" w14:textId="77777777" w:rsidTr="008522D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33F2A" w14:textId="77777777" w:rsidR="00A57704" w:rsidRPr="00D8474E" w:rsidRDefault="00A57704" w:rsidP="00A57704">
            <w:pPr>
              <w:spacing w:after="0"/>
              <w:rPr>
                <w:rFonts w:ascii="Times New Roman" w:hAnsi="Times New Roman"/>
                <w:bCs/>
                <w:color w:val="000000"/>
                <w:lang w:eastAsia="es-DO"/>
              </w:rPr>
            </w:pPr>
            <w:r w:rsidRPr="00D8474E">
              <w:rPr>
                <w:rFonts w:ascii="Times New Roman" w:hAnsi="Times New Roman"/>
                <w:bCs/>
                <w:color w:val="000000"/>
                <w:lang w:eastAsia="es-DO"/>
              </w:rPr>
              <w:t xml:space="preserve">Precipitación </w:t>
            </w:r>
            <w:r>
              <w:rPr>
                <w:rFonts w:ascii="Times New Roman" w:hAnsi="Times New Roman"/>
                <w:bCs/>
                <w:color w:val="000000"/>
                <w:lang w:eastAsia="es-DO"/>
              </w:rPr>
              <w:t>2019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18AE017"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7C37DD0"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21.6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1BE7BE4"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17.8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73A3AB46"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16.5</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8EE8746"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19.0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1C88989"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29.9</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550FEF9"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2F5264C2"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6F03934"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119.3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8CF2162"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26.7</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D408DDC"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113.8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08F01EB"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49497BC6" w14:textId="77777777" w:rsidR="00A57704" w:rsidRPr="00D8474E" w:rsidRDefault="00A57704" w:rsidP="00A57704">
            <w:pPr>
              <w:spacing w:after="0"/>
              <w:jc w:val="center"/>
              <w:rPr>
                <w:rFonts w:ascii="Times New Roman" w:hAnsi="Times New Roman"/>
                <w:bCs/>
                <w:lang w:eastAsia="es-DO"/>
              </w:rPr>
            </w:pPr>
            <w:r>
              <w:rPr>
                <w:rFonts w:ascii="Times New Roman" w:hAnsi="Times New Roman"/>
                <w:bCs/>
                <w:lang w:eastAsia="es-DO"/>
              </w:rPr>
              <w:t>371.8</w:t>
            </w:r>
          </w:p>
        </w:tc>
      </w:tr>
      <w:tr w:rsidR="00A57704" w:rsidRPr="00D8474E" w14:paraId="64A3765A" w14:textId="77777777" w:rsidTr="008522D8">
        <w:trPr>
          <w:trHeight w:val="300"/>
        </w:trPr>
        <w:tc>
          <w:tcPr>
            <w:tcW w:w="22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CD17B" w14:textId="77777777" w:rsidR="00A57704" w:rsidRPr="00D8474E" w:rsidRDefault="00A57704" w:rsidP="00A57704">
            <w:pPr>
              <w:spacing w:after="0"/>
              <w:rPr>
                <w:rFonts w:ascii="Times New Roman" w:hAnsi="Times New Roman"/>
                <w:bCs/>
                <w:color w:val="000000"/>
                <w:lang w:eastAsia="es-DO"/>
              </w:rPr>
            </w:pPr>
            <w:r w:rsidRPr="00D8474E">
              <w:rPr>
                <w:rFonts w:ascii="Times New Roman" w:hAnsi="Times New Roman"/>
                <w:bCs/>
                <w:color w:val="000000"/>
                <w:lang w:eastAsia="es-DO"/>
              </w:rPr>
              <w:t>D. Prec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62D475B"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-94.2</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2174893"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-54.2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247F30F"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-66.7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D44877A"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-76.7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590E2511"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-36.9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0EB0DD89"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-3.5</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22F9AE0"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-78.6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7554F80"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-100.0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ED7D052"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257.2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485FA611"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-55.4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1872B092"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71.4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2EC9514" w14:textId="77777777" w:rsidR="00A57704" w:rsidRPr="00D8474E" w:rsidRDefault="00A57704" w:rsidP="00A57704">
            <w:pPr>
              <w:spacing w:after="0"/>
              <w:jc w:val="center"/>
              <w:rPr>
                <w:rFonts w:ascii="Times New Roman" w:hAnsi="Times New Roman"/>
                <w:bCs/>
                <w:color w:val="000000"/>
                <w:lang w:eastAsia="es-DO"/>
              </w:rPr>
            </w:pPr>
            <w:r>
              <w:rPr>
                <w:rFonts w:ascii="Times New Roman" w:hAnsi="Times New Roman"/>
                <w:bCs/>
                <w:color w:val="000000"/>
                <w:lang w:eastAsia="es-DO"/>
              </w:rPr>
              <w:t>0</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491FD10B" w14:textId="77777777" w:rsidR="00A57704" w:rsidRPr="00D8474E" w:rsidRDefault="00A57704" w:rsidP="00A57704">
            <w:pPr>
              <w:spacing w:after="0"/>
              <w:jc w:val="center"/>
              <w:rPr>
                <w:rFonts w:ascii="Times New Roman" w:hAnsi="Times New Roman"/>
                <w:bCs/>
                <w:lang w:eastAsia="es-DO"/>
              </w:rPr>
            </w:pPr>
            <w:r w:rsidRPr="00D8474E">
              <w:rPr>
                <w:rFonts w:ascii="Times New Roman" w:hAnsi="Times New Roman"/>
                <w:bCs/>
                <w:lang w:eastAsia="es-DO"/>
              </w:rPr>
              <w:t>-33.4</w:t>
            </w:r>
          </w:p>
        </w:tc>
      </w:tr>
    </w:tbl>
    <w:p w14:paraId="6E0045FD" w14:textId="77777777" w:rsidR="00A57704" w:rsidRPr="00C83490" w:rsidRDefault="00A57704" w:rsidP="00A57704">
      <w:pPr>
        <w:spacing w:after="0"/>
        <w:rPr>
          <w:rFonts w:ascii="Times New Roman" w:hAnsi="Times New Roman"/>
        </w:rPr>
        <w:sectPr w:rsidR="00A57704" w:rsidRPr="00C83490" w:rsidSect="00A57704">
          <w:type w:val="continuous"/>
          <w:pgSz w:w="15840" w:h="12240" w:orient="landscape"/>
          <w:pgMar w:top="1276" w:right="851" w:bottom="851" w:left="1440" w:header="720" w:footer="720" w:gutter="0"/>
          <w:cols w:space="720"/>
          <w:docGrid w:linePitch="360"/>
        </w:sectPr>
      </w:pPr>
    </w:p>
    <w:p w14:paraId="1B89FF50" w14:textId="77777777" w:rsidR="00A57704" w:rsidRPr="00C83490" w:rsidRDefault="00A57704" w:rsidP="00A57704">
      <w:pPr>
        <w:spacing w:after="0"/>
        <w:rPr>
          <w:rFonts w:ascii="Times New Roman" w:hAnsi="Times New Roman"/>
        </w:rPr>
      </w:pPr>
    </w:p>
    <w:p w14:paraId="1814520B" w14:textId="77777777" w:rsidR="00A57704" w:rsidRPr="00A37D31" w:rsidRDefault="00A57704" w:rsidP="001C6B1A">
      <w:pPr>
        <w:pStyle w:val="Prrafodelista"/>
        <w:numPr>
          <w:ilvl w:val="0"/>
          <w:numId w:val="28"/>
        </w:numPr>
        <w:spacing w:after="0"/>
        <w:ind w:left="567" w:hanging="567"/>
        <w:rPr>
          <w:rFonts w:ascii="Times New Roman" w:hAnsi="Times New Roman"/>
        </w:rPr>
      </w:pPr>
      <w:r w:rsidRPr="00A37D31">
        <w:rPr>
          <w:rFonts w:ascii="Times New Roman" w:hAnsi="Times New Roman"/>
        </w:rPr>
        <w:t xml:space="preserve">Comportamiento precipitaciones </w:t>
      </w:r>
      <w:r>
        <w:rPr>
          <w:rFonts w:ascii="Times New Roman" w:hAnsi="Times New Roman"/>
        </w:rPr>
        <w:t>Montecristi</w:t>
      </w:r>
    </w:p>
    <w:p w14:paraId="5E9C2964" w14:textId="77777777" w:rsidR="00A57704" w:rsidRDefault="00A57704" w:rsidP="00A57704">
      <w:pPr>
        <w:spacing w:after="0"/>
        <w:rPr>
          <w:rFonts w:ascii="Times New Roman" w:hAnsi="Times New Roman"/>
        </w:rPr>
      </w:pPr>
      <w:r>
        <w:rPr>
          <w:noProof/>
          <w:lang w:eastAsia="es-DO"/>
        </w:rPr>
        <w:drawing>
          <wp:inline distT="0" distB="0" distL="0" distR="0" wp14:anchorId="72A6C5BD" wp14:editId="0D1F99B2">
            <wp:extent cx="3673366" cy="1485900"/>
            <wp:effectExtent l="0" t="0" r="3810" b="0"/>
            <wp:docPr id="138" name="Gráfico 138">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3E9C3B17-3116-4760-8F29-E80D014E74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p w14:paraId="27ECC06A" w14:textId="77777777" w:rsidR="00A57704" w:rsidRPr="009E58FD" w:rsidRDefault="00A57704" w:rsidP="00A57704">
      <w:pPr>
        <w:spacing w:after="0"/>
        <w:rPr>
          <w:rFonts w:ascii="Times New Roman" w:hAnsi="Times New Roman"/>
        </w:rPr>
      </w:pPr>
    </w:p>
    <w:p w14:paraId="409E693E" w14:textId="77777777" w:rsidR="00A57704" w:rsidRPr="002D5B20" w:rsidRDefault="00A57704" w:rsidP="00A57704">
      <w:pPr>
        <w:spacing w:after="0"/>
        <w:rPr>
          <w:rFonts w:ascii="Times New Roman" w:hAnsi="Times New Roman"/>
          <w:sz w:val="4"/>
        </w:rPr>
      </w:pPr>
    </w:p>
    <w:p w14:paraId="183834FC" w14:textId="77777777" w:rsidR="00A57704" w:rsidRPr="002D5B20" w:rsidRDefault="00A57704" w:rsidP="00A57704">
      <w:pPr>
        <w:spacing w:after="0"/>
        <w:rPr>
          <w:rFonts w:ascii="Times New Roman" w:hAnsi="Times New Roman"/>
          <w:sz w:val="4"/>
        </w:rPr>
      </w:pPr>
    </w:p>
    <w:p w14:paraId="3F5569A2" w14:textId="77777777" w:rsidR="00A57704" w:rsidRPr="002D5B20" w:rsidRDefault="00A57704" w:rsidP="00A57704">
      <w:pPr>
        <w:spacing w:after="0"/>
        <w:rPr>
          <w:rFonts w:ascii="Times New Roman" w:hAnsi="Times New Roman"/>
          <w:sz w:val="4"/>
        </w:rPr>
      </w:pPr>
    </w:p>
    <w:p w14:paraId="4AC24DA2" w14:textId="77777777" w:rsidR="00A57704" w:rsidRPr="002D5B20" w:rsidRDefault="00A57704" w:rsidP="00A57704">
      <w:pPr>
        <w:spacing w:after="0"/>
        <w:rPr>
          <w:rFonts w:ascii="Times New Roman" w:hAnsi="Times New Roman"/>
        </w:rPr>
      </w:pPr>
    </w:p>
    <w:p w14:paraId="1B291B44"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1307CA43"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39E11111" wp14:editId="7287BD69">
            <wp:extent cx="3599815" cy="1533525"/>
            <wp:effectExtent l="0" t="0" r="635" b="0"/>
            <wp:docPr id="139" name="Gráfico 139">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71F5029-F8FC-436E-9116-10F8A5EDDE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tbl>
      <w:tblPr>
        <w:tblW w:w="12704" w:type="dxa"/>
        <w:tblInd w:w="-5" w:type="dxa"/>
        <w:tblCellMar>
          <w:left w:w="70" w:type="dxa"/>
          <w:right w:w="70" w:type="dxa"/>
        </w:tblCellMar>
        <w:tblLook w:val="04A0" w:firstRow="1" w:lastRow="0" w:firstColumn="1" w:lastColumn="0" w:noHBand="0" w:noVBand="1"/>
      </w:tblPr>
      <w:tblGrid>
        <w:gridCol w:w="2204"/>
        <w:gridCol w:w="760"/>
        <w:gridCol w:w="760"/>
        <w:gridCol w:w="720"/>
        <w:gridCol w:w="820"/>
        <w:gridCol w:w="820"/>
        <w:gridCol w:w="820"/>
        <w:gridCol w:w="760"/>
        <w:gridCol w:w="820"/>
        <w:gridCol w:w="820"/>
        <w:gridCol w:w="820"/>
        <w:gridCol w:w="760"/>
        <w:gridCol w:w="720"/>
        <w:gridCol w:w="1100"/>
      </w:tblGrid>
      <w:tr w:rsidR="00A57704" w:rsidRPr="00D8474E" w14:paraId="4F01933E" w14:textId="77777777" w:rsidTr="008522D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00B050"/>
            <w:noWrap/>
            <w:hideMark/>
          </w:tcPr>
          <w:p w14:paraId="2CE7158D" w14:textId="77777777" w:rsidR="00A57704" w:rsidRPr="008522D8" w:rsidRDefault="00A57704" w:rsidP="00A57704">
            <w:pPr>
              <w:spacing w:after="0"/>
              <w:jc w:val="center"/>
              <w:rPr>
                <w:rFonts w:ascii="Times New Roman" w:hAnsi="Times New Roman"/>
                <w:b/>
                <w:color w:val="FFFFFF" w:themeColor="background1"/>
              </w:rPr>
            </w:pPr>
            <w:r w:rsidRPr="008522D8">
              <w:rPr>
                <w:rFonts w:ascii="Times New Roman" w:hAnsi="Times New Roman"/>
                <w:b/>
                <w:color w:val="FFFFFF" w:themeColor="background1"/>
              </w:rPr>
              <w:t>Loma de Cabrera</w:t>
            </w:r>
          </w:p>
        </w:tc>
        <w:tc>
          <w:tcPr>
            <w:tcW w:w="760" w:type="dxa"/>
            <w:tcBorders>
              <w:top w:val="single" w:sz="4" w:space="0" w:color="auto"/>
              <w:left w:val="nil"/>
              <w:bottom w:val="single" w:sz="4" w:space="0" w:color="auto"/>
              <w:right w:val="single" w:sz="4" w:space="0" w:color="auto"/>
            </w:tcBorders>
            <w:shd w:val="clear" w:color="auto" w:fill="00B050"/>
            <w:noWrap/>
            <w:hideMark/>
          </w:tcPr>
          <w:p w14:paraId="38329851" w14:textId="77777777" w:rsidR="00A57704" w:rsidRPr="008522D8" w:rsidRDefault="00A57704" w:rsidP="00A57704">
            <w:pPr>
              <w:spacing w:after="0"/>
              <w:jc w:val="center"/>
              <w:rPr>
                <w:rFonts w:ascii="Times New Roman" w:hAnsi="Times New Roman"/>
                <w:b/>
                <w:color w:val="FFFFFF" w:themeColor="background1"/>
              </w:rPr>
            </w:pPr>
            <w:r w:rsidRPr="008522D8">
              <w:rPr>
                <w:rFonts w:ascii="Times New Roman" w:hAnsi="Times New Roman"/>
                <w:b/>
                <w:color w:val="FFFFFF" w:themeColor="background1"/>
              </w:rPr>
              <w:t>Ene</w:t>
            </w:r>
          </w:p>
        </w:tc>
        <w:tc>
          <w:tcPr>
            <w:tcW w:w="760" w:type="dxa"/>
            <w:tcBorders>
              <w:top w:val="single" w:sz="4" w:space="0" w:color="auto"/>
              <w:left w:val="nil"/>
              <w:bottom w:val="single" w:sz="4" w:space="0" w:color="auto"/>
              <w:right w:val="single" w:sz="4" w:space="0" w:color="auto"/>
            </w:tcBorders>
            <w:shd w:val="clear" w:color="auto" w:fill="00B050"/>
            <w:noWrap/>
            <w:hideMark/>
          </w:tcPr>
          <w:p w14:paraId="080A29F4" w14:textId="77777777" w:rsidR="00A57704" w:rsidRPr="008522D8" w:rsidRDefault="00A57704" w:rsidP="00A57704">
            <w:pPr>
              <w:spacing w:after="0"/>
              <w:jc w:val="center"/>
              <w:rPr>
                <w:rFonts w:ascii="Times New Roman" w:hAnsi="Times New Roman"/>
                <w:b/>
                <w:color w:val="FFFFFF" w:themeColor="background1"/>
              </w:rPr>
            </w:pPr>
            <w:r w:rsidRPr="008522D8">
              <w:rPr>
                <w:rFonts w:ascii="Times New Roman" w:hAnsi="Times New Roman"/>
                <w:b/>
                <w:color w:val="FFFFFF" w:themeColor="background1"/>
              </w:rPr>
              <w:t>Feb</w:t>
            </w:r>
          </w:p>
        </w:tc>
        <w:tc>
          <w:tcPr>
            <w:tcW w:w="720" w:type="dxa"/>
            <w:tcBorders>
              <w:top w:val="single" w:sz="4" w:space="0" w:color="auto"/>
              <w:left w:val="nil"/>
              <w:bottom w:val="single" w:sz="4" w:space="0" w:color="auto"/>
              <w:right w:val="single" w:sz="4" w:space="0" w:color="auto"/>
            </w:tcBorders>
            <w:shd w:val="clear" w:color="auto" w:fill="00B050"/>
            <w:noWrap/>
            <w:hideMark/>
          </w:tcPr>
          <w:p w14:paraId="08F836E8" w14:textId="77777777" w:rsidR="00A57704" w:rsidRPr="008522D8" w:rsidRDefault="00A57704" w:rsidP="00A57704">
            <w:pPr>
              <w:spacing w:after="0"/>
              <w:jc w:val="center"/>
              <w:rPr>
                <w:rFonts w:ascii="Times New Roman" w:hAnsi="Times New Roman"/>
                <w:b/>
                <w:color w:val="FFFFFF" w:themeColor="background1"/>
              </w:rPr>
            </w:pPr>
            <w:r w:rsidRPr="008522D8">
              <w:rPr>
                <w:rFonts w:ascii="Times New Roman" w:hAnsi="Times New Roman"/>
                <w:b/>
                <w:color w:val="FFFFFF" w:themeColor="background1"/>
              </w:rPr>
              <w:t>Mar</w:t>
            </w:r>
          </w:p>
        </w:tc>
        <w:tc>
          <w:tcPr>
            <w:tcW w:w="820" w:type="dxa"/>
            <w:tcBorders>
              <w:top w:val="single" w:sz="4" w:space="0" w:color="auto"/>
              <w:left w:val="nil"/>
              <w:bottom w:val="single" w:sz="4" w:space="0" w:color="auto"/>
              <w:right w:val="single" w:sz="4" w:space="0" w:color="auto"/>
            </w:tcBorders>
            <w:shd w:val="clear" w:color="auto" w:fill="00B050"/>
            <w:noWrap/>
            <w:hideMark/>
          </w:tcPr>
          <w:p w14:paraId="355F1DC6" w14:textId="77777777" w:rsidR="00A57704" w:rsidRPr="008522D8" w:rsidRDefault="00A57704" w:rsidP="00A57704">
            <w:pPr>
              <w:spacing w:after="0"/>
              <w:jc w:val="center"/>
              <w:rPr>
                <w:rFonts w:ascii="Times New Roman" w:hAnsi="Times New Roman"/>
                <w:b/>
                <w:color w:val="FFFFFF" w:themeColor="background1"/>
              </w:rPr>
            </w:pPr>
            <w:r w:rsidRPr="008522D8">
              <w:rPr>
                <w:rFonts w:ascii="Times New Roman" w:hAnsi="Times New Roman"/>
                <w:b/>
                <w:color w:val="FFFFFF" w:themeColor="background1"/>
              </w:rPr>
              <w:t>Abr</w:t>
            </w:r>
          </w:p>
        </w:tc>
        <w:tc>
          <w:tcPr>
            <w:tcW w:w="820" w:type="dxa"/>
            <w:tcBorders>
              <w:top w:val="single" w:sz="4" w:space="0" w:color="auto"/>
              <w:left w:val="nil"/>
              <w:bottom w:val="single" w:sz="4" w:space="0" w:color="auto"/>
              <w:right w:val="single" w:sz="4" w:space="0" w:color="auto"/>
            </w:tcBorders>
            <w:shd w:val="clear" w:color="auto" w:fill="00B050"/>
            <w:noWrap/>
            <w:hideMark/>
          </w:tcPr>
          <w:p w14:paraId="1D061750" w14:textId="77777777" w:rsidR="00A57704" w:rsidRPr="008522D8" w:rsidRDefault="00A57704" w:rsidP="00A57704">
            <w:pPr>
              <w:spacing w:after="0"/>
              <w:jc w:val="center"/>
              <w:rPr>
                <w:rFonts w:ascii="Times New Roman" w:hAnsi="Times New Roman"/>
                <w:b/>
                <w:color w:val="FFFFFF" w:themeColor="background1"/>
              </w:rPr>
            </w:pPr>
            <w:r w:rsidRPr="008522D8">
              <w:rPr>
                <w:rFonts w:ascii="Times New Roman" w:hAnsi="Times New Roman"/>
                <w:b/>
                <w:color w:val="FFFFFF" w:themeColor="background1"/>
              </w:rPr>
              <w:t>May</w:t>
            </w:r>
          </w:p>
        </w:tc>
        <w:tc>
          <w:tcPr>
            <w:tcW w:w="820" w:type="dxa"/>
            <w:tcBorders>
              <w:top w:val="single" w:sz="4" w:space="0" w:color="auto"/>
              <w:left w:val="nil"/>
              <w:bottom w:val="single" w:sz="4" w:space="0" w:color="auto"/>
              <w:right w:val="single" w:sz="4" w:space="0" w:color="auto"/>
            </w:tcBorders>
            <w:shd w:val="clear" w:color="auto" w:fill="00B050"/>
            <w:noWrap/>
            <w:hideMark/>
          </w:tcPr>
          <w:p w14:paraId="0DB91E80" w14:textId="77777777" w:rsidR="00A57704" w:rsidRPr="008522D8" w:rsidRDefault="00A57704" w:rsidP="00A57704">
            <w:pPr>
              <w:spacing w:after="0"/>
              <w:jc w:val="center"/>
              <w:rPr>
                <w:rFonts w:ascii="Times New Roman" w:hAnsi="Times New Roman"/>
                <w:b/>
                <w:color w:val="FFFFFF" w:themeColor="background1"/>
              </w:rPr>
            </w:pPr>
            <w:r w:rsidRPr="008522D8">
              <w:rPr>
                <w:rFonts w:ascii="Times New Roman" w:hAnsi="Times New Roman"/>
                <w:b/>
                <w:color w:val="FFFFFF" w:themeColor="background1"/>
              </w:rPr>
              <w:t>Jun</w:t>
            </w:r>
          </w:p>
        </w:tc>
        <w:tc>
          <w:tcPr>
            <w:tcW w:w="760" w:type="dxa"/>
            <w:tcBorders>
              <w:top w:val="single" w:sz="4" w:space="0" w:color="auto"/>
              <w:left w:val="nil"/>
              <w:bottom w:val="single" w:sz="4" w:space="0" w:color="auto"/>
              <w:right w:val="single" w:sz="4" w:space="0" w:color="auto"/>
            </w:tcBorders>
            <w:shd w:val="clear" w:color="auto" w:fill="00B050"/>
            <w:noWrap/>
            <w:hideMark/>
          </w:tcPr>
          <w:p w14:paraId="11D3BE17" w14:textId="77777777" w:rsidR="00A57704" w:rsidRPr="008522D8" w:rsidRDefault="00A57704" w:rsidP="00A57704">
            <w:pPr>
              <w:spacing w:after="0"/>
              <w:jc w:val="center"/>
              <w:rPr>
                <w:rFonts w:ascii="Times New Roman" w:hAnsi="Times New Roman"/>
                <w:b/>
                <w:color w:val="FFFFFF" w:themeColor="background1"/>
              </w:rPr>
            </w:pPr>
            <w:r w:rsidRPr="008522D8">
              <w:rPr>
                <w:rFonts w:ascii="Times New Roman" w:hAnsi="Times New Roman"/>
                <w:b/>
                <w:color w:val="FFFFFF" w:themeColor="background1"/>
              </w:rPr>
              <w:t>Jul</w:t>
            </w:r>
          </w:p>
        </w:tc>
        <w:tc>
          <w:tcPr>
            <w:tcW w:w="820" w:type="dxa"/>
            <w:tcBorders>
              <w:top w:val="single" w:sz="4" w:space="0" w:color="auto"/>
              <w:left w:val="nil"/>
              <w:bottom w:val="single" w:sz="4" w:space="0" w:color="auto"/>
              <w:right w:val="single" w:sz="4" w:space="0" w:color="auto"/>
            </w:tcBorders>
            <w:shd w:val="clear" w:color="auto" w:fill="00B050"/>
            <w:noWrap/>
            <w:hideMark/>
          </w:tcPr>
          <w:p w14:paraId="03302491" w14:textId="77777777" w:rsidR="00A57704" w:rsidRPr="008522D8" w:rsidRDefault="00A57704" w:rsidP="00A57704">
            <w:pPr>
              <w:spacing w:after="0"/>
              <w:jc w:val="center"/>
              <w:rPr>
                <w:rFonts w:ascii="Times New Roman" w:hAnsi="Times New Roman"/>
                <w:b/>
                <w:color w:val="FFFFFF" w:themeColor="background1"/>
              </w:rPr>
            </w:pPr>
            <w:r w:rsidRPr="008522D8">
              <w:rPr>
                <w:rFonts w:ascii="Times New Roman" w:hAnsi="Times New Roman"/>
                <w:b/>
                <w:color w:val="FFFFFF" w:themeColor="background1"/>
              </w:rPr>
              <w:t>Ago</w:t>
            </w:r>
          </w:p>
        </w:tc>
        <w:tc>
          <w:tcPr>
            <w:tcW w:w="820" w:type="dxa"/>
            <w:tcBorders>
              <w:top w:val="single" w:sz="4" w:space="0" w:color="auto"/>
              <w:left w:val="nil"/>
              <w:bottom w:val="single" w:sz="4" w:space="0" w:color="auto"/>
              <w:right w:val="single" w:sz="4" w:space="0" w:color="auto"/>
            </w:tcBorders>
            <w:shd w:val="clear" w:color="auto" w:fill="00B050"/>
            <w:noWrap/>
            <w:hideMark/>
          </w:tcPr>
          <w:p w14:paraId="68F78898" w14:textId="77777777" w:rsidR="00A57704" w:rsidRPr="008522D8" w:rsidRDefault="00A57704" w:rsidP="00A57704">
            <w:pPr>
              <w:spacing w:after="0"/>
              <w:jc w:val="center"/>
              <w:rPr>
                <w:rFonts w:ascii="Times New Roman" w:hAnsi="Times New Roman"/>
                <w:b/>
                <w:color w:val="FFFFFF" w:themeColor="background1"/>
              </w:rPr>
            </w:pPr>
            <w:r w:rsidRPr="008522D8">
              <w:rPr>
                <w:rFonts w:ascii="Times New Roman" w:hAnsi="Times New Roman"/>
                <w:b/>
                <w:color w:val="FFFFFF" w:themeColor="background1"/>
              </w:rPr>
              <w:t>Sep</w:t>
            </w:r>
          </w:p>
        </w:tc>
        <w:tc>
          <w:tcPr>
            <w:tcW w:w="820" w:type="dxa"/>
            <w:tcBorders>
              <w:top w:val="single" w:sz="4" w:space="0" w:color="auto"/>
              <w:left w:val="nil"/>
              <w:bottom w:val="single" w:sz="4" w:space="0" w:color="auto"/>
              <w:right w:val="single" w:sz="4" w:space="0" w:color="auto"/>
            </w:tcBorders>
            <w:shd w:val="clear" w:color="auto" w:fill="00B050"/>
            <w:noWrap/>
            <w:hideMark/>
          </w:tcPr>
          <w:p w14:paraId="7B4018B8" w14:textId="77777777" w:rsidR="00A57704" w:rsidRPr="008522D8" w:rsidRDefault="00A57704" w:rsidP="00A57704">
            <w:pPr>
              <w:spacing w:after="0"/>
              <w:jc w:val="center"/>
              <w:rPr>
                <w:rFonts w:ascii="Times New Roman" w:hAnsi="Times New Roman"/>
                <w:b/>
                <w:color w:val="FFFFFF" w:themeColor="background1"/>
              </w:rPr>
            </w:pPr>
            <w:r w:rsidRPr="008522D8">
              <w:rPr>
                <w:rFonts w:ascii="Times New Roman" w:hAnsi="Times New Roman"/>
                <w:b/>
                <w:color w:val="FFFFFF" w:themeColor="background1"/>
              </w:rPr>
              <w:t>Oct</w:t>
            </w:r>
          </w:p>
        </w:tc>
        <w:tc>
          <w:tcPr>
            <w:tcW w:w="760" w:type="dxa"/>
            <w:tcBorders>
              <w:top w:val="single" w:sz="4" w:space="0" w:color="auto"/>
              <w:left w:val="nil"/>
              <w:bottom w:val="single" w:sz="4" w:space="0" w:color="auto"/>
              <w:right w:val="single" w:sz="4" w:space="0" w:color="auto"/>
            </w:tcBorders>
            <w:shd w:val="clear" w:color="auto" w:fill="00B050"/>
            <w:noWrap/>
            <w:hideMark/>
          </w:tcPr>
          <w:p w14:paraId="65013218" w14:textId="77777777" w:rsidR="00A57704" w:rsidRPr="008522D8" w:rsidRDefault="00A57704" w:rsidP="00A57704">
            <w:pPr>
              <w:spacing w:after="0"/>
              <w:jc w:val="center"/>
              <w:rPr>
                <w:rFonts w:ascii="Times New Roman" w:hAnsi="Times New Roman"/>
                <w:b/>
                <w:color w:val="FFFFFF" w:themeColor="background1"/>
              </w:rPr>
            </w:pPr>
            <w:r w:rsidRPr="008522D8">
              <w:rPr>
                <w:rFonts w:ascii="Times New Roman" w:hAnsi="Times New Roman"/>
                <w:b/>
                <w:color w:val="FFFFFF" w:themeColor="background1"/>
              </w:rPr>
              <w:t>Nov</w:t>
            </w:r>
          </w:p>
        </w:tc>
        <w:tc>
          <w:tcPr>
            <w:tcW w:w="720" w:type="dxa"/>
            <w:tcBorders>
              <w:top w:val="single" w:sz="4" w:space="0" w:color="auto"/>
              <w:left w:val="nil"/>
              <w:bottom w:val="single" w:sz="4" w:space="0" w:color="auto"/>
              <w:right w:val="single" w:sz="4" w:space="0" w:color="auto"/>
            </w:tcBorders>
            <w:shd w:val="clear" w:color="auto" w:fill="00B050"/>
            <w:noWrap/>
            <w:hideMark/>
          </w:tcPr>
          <w:p w14:paraId="79EBA83E" w14:textId="77777777" w:rsidR="00A57704" w:rsidRPr="008522D8" w:rsidRDefault="00A57704" w:rsidP="00A57704">
            <w:pPr>
              <w:spacing w:after="0"/>
              <w:jc w:val="center"/>
              <w:rPr>
                <w:rFonts w:ascii="Times New Roman" w:hAnsi="Times New Roman"/>
                <w:b/>
                <w:color w:val="FFFFFF" w:themeColor="background1"/>
              </w:rPr>
            </w:pPr>
            <w:r w:rsidRPr="008522D8">
              <w:rPr>
                <w:rFonts w:ascii="Times New Roman" w:hAnsi="Times New Roman"/>
                <w:b/>
                <w:color w:val="FFFFFF" w:themeColor="background1"/>
              </w:rPr>
              <w:t>Dic</w:t>
            </w:r>
          </w:p>
        </w:tc>
        <w:tc>
          <w:tcPr>
            <w:tcW w:w="1100" w:type="dxa"/>
            <w:tcBorders>
              <w:top w:val="single" w:sz="4" w:space="0" w:color="auto"/>
              <w:left w:val="nil"/>
              <w:bottom w:val="single" w:sz="4" w:space="0" w:color="auto"/>
              <w:right w:val="single" w:sz="4" w:space="0" w:color="auto"/>
            </w:tcBorders>
            <w:shd w:val="clear" w:color="auto" w:fill="00B050"/>
            <w:noWrap/>
            <w:hideMark/>
          </w:tcPr>
          <w:p w14:paraId="60A25772" w14:textId="77777777" w:rsidR="00A57704" w:rsidRPr="008522D8" w:rsidRDefault="00A57704" w:rsidP="00A57704">
            <w:pPr>
              <w:spacing w:after="0"/>
              <w:jc w:val="center"/>
              <w:rPr>
                <w:rFonts w:ascii="Times New Roman" w:hAnsi="Times New Roman"/>
                <w:b/>
                <w:color w:val="FFFFFF" w:themeColor="background1"/>
              </w:rPr>
            </w:pPr>
            <w:r w:rsidRPr="008522D8">
              <w:rPr>
                <w:rFonts w:ascii="Times New Roman" w:hAnsi="Times New Roman"/>
                <w:b/>
                <w:color w:val="FFFFFF" w:themeColor="background1"/>
              </w:rPr>
              <w:t>Año</w:t>
            </w:r>
          </w:p>
        </w:tc>
      </w:tr>
      <w:tr w:rsidR="00A57704" w:rsidRPr="00D8474E" w14:paraId="37BEDA16" w14:textId="77777777" w:rsidTr="008522D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0A7AA1C5" w14:textId="77777777" w:rsidR="00A57704" w:rsidRPr="00D8474E" w:rsidRDefault="00A57704" w:rsidP="00A57704">
            <w:pPr>
              <w:spacing w:after="0"/>
              <w:rPr>
                <w:rFonts w:ascii="Times New Roman" w:hAnsi="Times New Roman"/>
              </w:rPr>
            </w:pPr>
            <w:r w:rsidRPr="00D8474E">
              <w:rPr>
                <w:rFonts w:ascii="Times New Roman" w:hAnsi="Times New Roman"/>
              </w:rPr>
              <w:t>Normal</w:t>
            </w:r>
          </w:p>
        </w:tc>
        <w:tc>
          <w:tcPr>
            <w:tcW w:w="760" w:type="dxa"/>
            <w:tcBorders>
              <w:top w:val="single" w:sz="4" w:space="0" w:color="auto"/>
              <w:left w:val="nil"/>
              <w:bottom w:val="single" w:sz="4" w:space="0" w:color="auto"/>
              <w:right w:val="single" w:sz="4" w:space="0" w:color="auto"/>
            </w:tcBorders>
            <w:shd w:val="clear" w:color="auto" w:fill="auto"/>
            <w:noWrap/>
            <w:hideMark/>
          </w:tcPr>
          <w:p w14:paraId="1D9CB9CA" w14:textId="77777777" w:rsidR="00A57704" w:rsidRPr="00D8474E" w:rsidRDefault="00A57704" w:rsidP="00A57704">
            <w:pPr>
              <w:spacing w:after="0"/>
              <w:jc w:val="center"/>
              <w:rPr>
                <w:rFonts w:ascii="Times New Roman" w:hAnsi="Times New Roman"/>
              </w:rPr>
            </w:pPr>
            <w:r w:rsidRPr="00D8474E">
              <w:rPr>
                <w:rFonts w:ascii="Times New Roman" w:hAnsi="Times New Roman"/>
              </w:rPr>
              <w:t>37.6</w:t>
            </w:r>
          </w:p>
        </w:tc>
        <w:tc>
          <w:tcPr>
            <w:tcW w:w="760" w:type="dxa"/>
            <w:tcBorders>
              <w:top w:val="single" w:sz="4" w:space="0" w:color="auto"/>
              <w:left w:val="nil"/>
              <w:bottom w:val="single" w:sz="4" w:space="0" w:color="auto"/>
              <w:right w:val="single" w:sz="4" w:space="0" w:color="auto"/>
            </w:tcBorders>
            <w:shd w:val="clear" w:color="auto" w:fill="auto"/>
            <w:noWrap/>
            <w:hideMark/>
          </w:tcPr>
          <w:p w14:paraId="20904F34" w14:textId="77777777" w:rsidR="00A57704" w:rsidRPr="00D8474E" w:rsidRDefault="00A57704" w:rsidP="00A57704">
            <w:pPr>
              <w:spacing w:after="0"/>
              <w:jc w:val="center"/>
              <w:rPr>
                <w:rFonts w:ascii="Times New Roman" w:hAnsi="Times New Roman"/>
              </w:rPr>
            </w:pPr>
            <w:r w:rsidRPr="00D8474E">
              <w:rPr>
                <w:rFonts w:ascii="Times New Roman" w:hAnsi="Times New Roman"/>
              </w:rPr>
              <w:t>48.6</w:t>
            </w:r>
          </w:p>
        </w:tc>
        <w:tc>
          <w:tcPr>
            <w:tcW w:w="720" w:type="dxa"/>
            <w:tcBorders>
              <w:top w:val="single" w:sz="4" w:space="0" w:color="auto"/>
              <w:left w:val="nil"/>
              <w:bottom w:val="single" w:sz="4" w:space="0" w:color="auto"/>
              <w:right w:val="single" w:sz="4" w:space="0" w:color="auto"/>
            </w:tcBorders>
            <w:shd w:val="clear" w:color="auto" w:fill="auto"/>
            <w:noWrap/>
            <w:hideMark/>
          </w:tcPr>
          <w:p w14:paraId="5B3B490B" w14:textId="77777777" w:rsidR="00A57704" w:rsidRPr="00D8474E" w:rsidRDefault="00A57704" w:rsidP="00A57704">
            <w:pPr>
              <w:spacing w:after="0"/>
              <w:jc w:val="center"/>
              <w:rPr>
                <w:rFonts w:ascii="Times New Roman" w:hAnsi="Times New Roman"/>
              </w:rPr>
            </w:pPr>
            <w:r w:rsidRPr="00D8474E">
              <w:rPr>
                <w:rFonts w:ascii="Times New Roman" w:hAnsi="Times New Roman"/>
              </w:rPr>
              <w:t>75.9</w:t>
            </w:r>
          </w:p>
        </w:tc>
        <w:tc>
          <w:tcPr>
            <w:tcW w:w="820" w:type="dxa"/>
            <w:tcBorders>
              <w:top w:val="single" w:sz="4" w:space="0" w:color="auto"/>
              <w:left w:val="nil"/>
              <w:bottom w:val="single" w:sz="4" w:space="0" w:color="auto"/>
              <w:right w:val="single" w:sz="4" w:space="0" w:color="auto"/>
            </w:tcBorders>
            <w:shd w:val="clear" w:color="auto" w:fill="auto"/>
            <w:noWrap/>
            <w:hideMark/>
          </w:tcPr>
          <w:p w14:paraId="0C6E0BF5" w14:textId="77777777" w:rsidR="00A57704" w:rsidRPr="00D8474E" w:rsidRDefault="00A57704" w:rsidP="00A57704">
            <w:pPr>
              <w:spacing w:after="0"/>
              <w:jc w:val="center"/>
              <w:rPr>
                <w:rFonts w:ascii="Times New Roman" w:hAnsi="Times New Roman"/>
              </w:rPr>
            </w:pPr>
            <w:r w:rsidRPr="00D8474E">
              <w:rPr>
                <w:rFonts w:ascii="Times New Roman" w:hAnsi="Times New Roman"/>
              </w:rPr>
              <w:t>122.6</w:t>
            </w:r>
          </w:p>
        </w:tc>
        <w:tc>
          <w:tcPr>
            <w:tcW w:w="820" w:type="dxa"/>
            <w:tcBorders>
              <w:top w:val="single" w:sz="4" w:space="0" w:color="auto"/>
              <w:left w:val="nil"/>
              <w:bottom w:val="single" w:sz="4" w:space="0" w:color="auto"/>
              <w:right w:val="single" w:sz="4" w:space="0" w:color="auto"/>
            </w:tcBorders>
            <w:shd w:val="clear" w:color="auto" w:fill="auto"/>
            <w:noWrap/>
            <w:hideMark/>
          </w:tcPr>
          <w:p w14:paraId="74CD6B20" w14:textId="77777777" w:rsidR="00A57704" w:rsidRPr="00D8474E" w:rsidRDefault="00A57704" w:rsidP="00A57704">
            <w:pPr>
              <w:spacing w:after="0"/>
              <w:jc w:val="center"/>
              <w:rPr>
                <w:rFonts w:ascii="Times New Roman" w:hAnsi="Times New Roman"/>
              </w:rPr>
            </w:pPr>
            <w:r w:rsidRPr="00D8474E">
              <w:rPr>
                <w:rFonts w:ascii="Times New Roman" w:hAnsi="Times New Roman"/>
              </w:rPr>
              <w:t>168.8</w:t>
            </w:r>
          </w:p>
        </w:tc>
        <w:tc>
          <w:tcPr>
            <w:tcW w:w="820" w:type="dxa"/>
            <w:tcBorders>
              <w:top w:val="single" w:sz="4" w:space="0" w:color="auto"/>
              <w:left w:val="nil"/>
              <w:bottom w:val="single" w:sz="4" w:space="0" w:color="auto"/>
              <w:right w:val="single" w:sz="4" w:space="0" w:color="auto"/>
            </w:tcBorders>
            <w:shd w:val="clear" w:color="auto" w:fill="auto"/>
            <w:noWrap/>
            <w:hideMark/>
          </w:tcPr>
          <w:p w14:paraId="0793A284" w14:textId="77777777" w:rsidR="00A57704" w:rsidRPr="00D8474E" w:rsidRDefault="00A57704" w:rsidP="00A57704">
            <w:pPr>
              <w:spacing w:after="0"/>
              <w:jc w:val="center"/>
              <w:rPr>
                <w:rFonts w:ascii="Times New Roman" w:hAnsi="Times New Roman"/>
              </w:rPr>
            </w:pPr>
            <w:r w:rsidRPr="00D8474E">
              <w:rPr>
                <w:rFonts w:ascii="Times New Roman" w:hAnsi="Times New Roman"/>
              </w:rPr>
              <w:t>145.1</w:t>
            </w:r>
          </w:p>
        </w:tc>
        <w:tc>
          <w:tcPr>
            <w:tcW w:w="760" w:type="dxa"/>
            <w:tcBorders>
              <w:top w:val="single" w:sz="4" w:space="0" w:color="auto"/>
              <w:left w:val="nil"/>
              <w:bottom w:val="single" w:sz="4" w:space="0" w:color="auto"/>
              <w:right w:val="single" w:sz="4" w:space="0" w:color="auto"/>
            </w:tcBorders>
            <w:shd w:val="clear" w:color="auto" w:fill="auto"/>
            <w:noWrap/>
            <w:hideMark/>
          </w:tcPr>
          <w:p w14:paraId="45CE470B" w14:textId="77777777" w:rsidR="00A57704" w:rsidRPr="00D8474E" w:rsidRDefault="00A57704" w:rsidP="00A57704">
            <w:pPr>
              <w:spacing w:after="0"/>
              <w:jc w:val="center"/>
              <w:rPr>
                <w:rFonts w:ascii="Times New Roman" w:hAnsi="Times New Roman"/>
              </w:rPr>
            </w:pPr>
            <w:r w:rsidRPr="00D8474E">
              <w:rPr>
                <w:rFonts w:ascii="Times New Roman" w:hAnsi="Times New Roman"/>
              </w:rPr>
              <w:t>124.5</w:t>
            </w:r>
          </w:p>
        </w:tc>
        <w:tc>
          <w:tcPr>
            <w:tcW w:w="820" w:type="dxa"/>
            <w:tcBorders>
              <w:top w:val="single" w:sz="4" w:space="0" w:color="auto"/>
              <w:left w:val="nil"/>
              <w:bottom w:val="single" w:sz="4" w:space="0" w:color="auto"/>
              <w:right w:val="single" w:sz="4" w:space="0" w:color="auto"/>
            </w:tcBorders>
            <w:shd w:val="clear" w:color="auto" w:fill="auto"/>
            <w:noWrap/>
            <w:hideMark/>
          </w:tcPr>
          <w:p w14:paraId="15884777" w14:textId="77777777" w:rsidR="00A57704" w:rsidRPr="00D8474E" w:rsidRDefault="00A57704" w:rsidP="00A57704">
            <w:pPr>
              <w:spacing w:after="0"/>
              <w:jc w:val="center"/>
              <w:rPr>
                <w:rFonts w:ascii="Times New Roman" w:hAnsi="Times New Roman"/>
              </w:rPr>
            </w:pPr>
            <w:r w:rsidRPr="00D8474E">
              <w:rPr>
                <w:rFonts w:ascii="Times New Roman" w:hAnsi="Times New Roman"/>
              </w:rPr>
              <w:t>140.0</w:t>
            </w:r>
          </w:p>
        </w:tc>
        <w:tc>
          <w:tcPr>
            <w:tcW w:w="820" w:type="dxa"/>
            <w:tcBorders>
              <w:top w:val="single" w:sz="4" w:space="0" w:color="auto"/>
              <w:left w:val="nil"/>
              <w:bottom w:val="single" w:sz="4" w:space="0" w:color="auto"/>
              <w:right w:val="single" w:sz="4" w:space="0" w:color="auto"/>
            </w:tcBorders>
            <w:shd w:val="clear" w:color="auto" w:fill="auto"/>
            <w:noWrap/>
            <w:hideMark/>
          </w:tcPr>
          <w:p w14:paraId="282A6B3C" w14:textId="77777777" w:rsidR="00A57704" w:rsidRPr="00D8474E" w:rsidRDefault="00A57704" w:rsidP="00A57704">
            <w:pPr>
              <w:spacing w:after="0"/>
              <w:jc w:val="center"/>
              <w:rPr>
                <w:rFonts w:ascii="Times New Roman" w:hAnsi="Times New Roman"/>
              </w:rPr>
            </w:pPr>
            <w:r w:rsidRPr="00D8474E">
              <w:rPr>
                <w:rFonts w:ascii="Times New Roman" w:hAnsi="Times New Roman"/>
              </w:rPr>
              <w:t>199.7</w:t>
            </w:r>
          </w:p>
        </w:tc>
        <w:tc>
          <w:tcPr>
            <w:tcW w:w="820" w:type="dxa"/>
            <w:tcBorders>
              <w:top w:val="single" w:sz="4" w:space="0" w:color="auto"/>
              <w:left w:val="nil"/>
              <w:bottom w:val="single" w:sz="4" w:space="0" w:color="auto"/>
              <w:right w:val="single" w:sz="4" w:space="0" w:color="auto"/>
            </w:tcBorders>
            <w:shd w:val="clear" w:color="auto" w:fill="auto"/>
            <w:noWrap/>
            <w:hideMark/>
          </w:tcPr>
          <w:p w14:paraId="7E60AFD0" w14:textId="77777777" w:rsidR="00A57704" w:rsidRPr="00D8474E" w:rsidRDefault="00A57704" w:rsidP="00A57704">
            <w:pPr>
              <w:spacing w:after="0"/>
              <w:jc w:val="center"/>
              <w:rPr>
                <w:rFonts w:ascii="Times New Roman" w:hAnsi="Times New Roman"/>
              </w:rPr>
            </w:pPr>
            <w:r w:rsidRPr="00D8474E">
              <w:rPr>
                <w:rFonts w:ascii="Times New Roman" w:hAnsi="Times New Roman"/>
              </w:rPr>
              <w:t>168.0</w:t>
            </w:r>
          </w:p>
        </w:tc>
        <w:tc>
          <w:tcPr>
            <w:tcW w:w="760" w:type="dxa"/>
            <w:tcBorders>
              <w:top w:val="single" w:sz="4" w:space="0" w:color="auto"/>
              <w:left w:val="nil"/>
              <w:bottom w:val="single" w:sz="4" w:space="0" w:color="auto"/>
              <w:right w:val="single" w:sz="4" w:space="0" w:color="auto"/>
            </w:tcBorders>
            <w:shd w:val="clear" w:color="auto" w:fill="auto"/>
            <w:noWrap/>
            <w:hideMark/>
          </w:tcPr>
          <w:p w14:paraId="5E45C8A7" w14:textId="77777777" w:rsidR="00A57704" w:rsidRPr="00D8474E" w:rsidRDefault="00A57704" w:rsidP="00A57704">
            <w:pPr>
              <w:spacing w:after="0"/>
              <w:jc w:val="center"/>
              <w:rPr>
                <w:rFonts w:ascii="Times New Roman" w:hAnsi="Times New Roman"/>
              </w:rPr>
            </w:pPr>
            <w:r w:rsidRPr="00D8474E">
              <w:rPr>
                <w:rFonts w:ascii="Times New Roman" w:hAnsi="Times New Roman"/>
              </w:rPr>
              <w:t>81.7</w:t>
            </w:r>
          </w:p>
        </w:tc>
        <w:tc>
          <w:tcPr>
            <w:tcW w:w="720" w:type="dxa"/>
            <w:tcBorders>
              <w:top w:val="single" w:sz="4" w:space="0" w:color="auto"/>
              <w:left w:val="nil"/>
              <w:bottom w:val="single" w:sz="4" w:space="0" w:color="auto"/>
              <w:right w:val="single" w:sz="4" w:space="0" w:color="auto"/>
            </w:tcBorders>
            <w:shd w:val="clear" w:color="auto" w:fill="auto"/>
            <w:noWrap/>
            <w:hideMark/>
          </w:tcPr>
          <w:p w14:paraId="362FA5E1" w14:textId="77777777" w:rsidR="00A57704" w:rsidRPr="00D8474E" w:rsidRDefault="00A57704" w:rsidP="00A57704">
            <w:pPr>
              <w:spacing w:after="0"/>
              <w:jc w:val="center"/>
              <w:rPr>
                <w:rFonts w:ascii="Times New Roman" w:hAnsi="Times New Roman"/>
              </w:rPr>
            </w:pPr>
            <w:r w:rsidRPr="00D8474E">
              <w:rPr>
                <w:rFonts w:ascii="Times New Roman" w:hAnsi="Times New Roman"/>
              </w:rPr>
              <w:t>39.9</w:t>
            </w:r>
          </w:p>
        </w:tc>
        <w:tc>
          <w:tcPr>
            <w:tcW w:w="1100" w:type="dxa"/>
            <w:tcBorders>
              <w:top w:val="single" w:sz="4" w:space="0" w:color="auto"/>
              <w:left w:val="nil"/>
              <w:bottom w:val="single" w:sz="4" w:space="0" w:color="auto"/>
              <w:right w:val="single" w:sz="4" w:space="0" w:color="auto"/>
            </w:tcBorders>
            <w:shd w:val="clear" w:color="auto" w:fill="auto"/>
            <w:noWrap/>
            <w:hideMark/>
          </w:tcPr>
          <w:p w14:paraId="5CFB8234" w14:textId="77777777" w:rsidR="00A57704" w:rsidRPr="00D8474E" w:rsidRDefault="00A57704" w:rsidP="00A57704">
            <w:pPr>
              <w:spacing w:after="0"/>
              <w:jc w:val="center"/>
              <w:rPr>
                <w:rFonts w:ascii="Times New Roman" w:hAnsi="Times New Roman"/>
              </w:rPr>
            </w:pPr>
            <w:r w:rsidRPr="00D8474E">
              <w:rPr>
                <w:rFonts w:ascii="Times New Roman" w:hAnsi="Times New Roman"/>
              </w:rPr>
              <w:t>1,352.4</w:t>
            </w:r>
          </w:p>
        </w:tc>
      </w:tr>
      <w:tr w:rsidR="00A57704" w:rsidRPr="00D8474E" w14:paraId="43DA1E27" w14:textId="77777777" w:rsidTr="008522D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2FC145A0" w14:textId="77777777" w:rsidR="00A57704" w:rsidRPr="00D8474E" w:rsidRDefault="00A57704" w:rsidP="00A57704">
            <w:pPr>
              <w:spacing w:after="0"/>
              <w:rPr>
                <w:rFonts w:ascii="Times New Roman" w:hAnsi="Times New Roman"/>
              </w:rPr>
            </w:pPr>
            <w:r w:rsidRPr="00D8474E">
              <w:rPr>
                <w:rFonts w:ascii="Times New Roman" w:hAnsi="Times New Roman"/>
              </w:rPr>
              <w:t xml:space="preserve">Precipitación </w:t>
            </w:r>
            <w:r>
              <w:rPr>
                <w:rFonts w:ascii="Times New Roman" w:hAnsi="Times New Roman"/>
              </w:rPr>
              <w:t>2019</w:t>
            </w:r>
          </w:p>
        </w:tc>
        <w:tc>
          <w:tcPr>
            <w:tcW w:w="760" w:type="dxa"/>
            <w:tcBorders>
              <w:top w:val="single" w:sz="4" w:space="0" w:color="auto"/>
              <w:left w:val="nil"/>
              <w:bottom w:val="single" w:sz="4" w:space="0" w:color="auto"/>
              <w:right w:val="single" w:sz="4" w:space="0" w:color="auto"/>
            </w:tcBorders>
            <w:shd w:val="clear" w:color="auto" w:fill="auto"/>
            <w:noWrap/>
            <w:hideMark/>
          </w:tcPr>
          <w:p w14:paraId="2498D77B" w14:textId="77777777" w:rsidR="00A57704" w:rsidRPr="00D8474E" w:rsidRDefault="00A57704" w:rsidP="00A57704">
            <w:pPr>
              <w:spacing w:after="0"/>
              <w:jc w:val="center"/>
              <w:rPr>
                <w:rFonts w:ascii="Times New Roman" w:hAnsi="Times New Roman"/>
              </w:rPr>
            </w:pPr>
            <w:r>
              <w:rPr>
                <w:rFonts w:ascii="Times New Roman" w:hAnsi="Times New Roman"/>
              </w:rPr>
              <w:t>87.1</w:t>
            </w:r>
          </w:p>
        </w:tc>
        <w:tc>
          <w:tcPr>
            <w:tcW w:w="760" w:type="dxa"/>
            <w:tcBorders>
              <w:top w:val="single" w:sz="4" w:space="0" w:color="auto"/>
              <w:left w:val="nil"/>
              <w:bottom w:val="single" w:sz="4" w:space="0" w:color="auto"/>
              <w:right w:val="single" w:sz="4" w:space="0" w:color="auto"/>
            </w:tcBorders>
            <w:shd w:val="clear" w:color="auto" w:fill="auto"/>
            <w:noWrap/>
            <w:hideMark/>
          </w:tcPr>
          <w:p w14:paraId="168F40AF" w14:textId="77777777" w:rsidR="00A57704" w:rsidRPr="00D8474E" w:rsidRDefault="00A57704" w:rsidP="00A57704">
            <w:pPr>
              <w:spacing w:after="0"/>
              <w:jc w:val="center"/>
              <w:rPr>
                <w:rFonts w:ascii="Times New Roman" w:hAnsi="Times New Roman"/>
              </w:rPr>
            </w:pPr>
            <w:r>
              <w:rPr>
                <w:rFonts w:ascii="Times New Roman" w:hAnsi="Times New Roman"/>
              </w:rPr>
              <w:t>10.9</w:t>
            </w:r>
          </w:p>
        </w:tc>
        <w:tc>
          <w:tcPr>
            <w:tcW w:w="720" w:type="dxa"/>
            <w:tcBorders>
              <w:top w:val="single" w:sz="4" w:space="0" w:color="auto"/>
              <w:left w:val="nil"/>
              <w:bottom w:val="single" w:sz="4" w:space="0" w:color="auto"/>
              <w:right w:val="single" w:sz="4" w:space="0" w:color="auto"/>
            </w:tcBorders>
            <w:shd w:val="clear" w:color="auto" w:fill="auto"/>
            <w:noWrap/>
            <w:hideMark/>
          </w:tcPr>
          <w:p w14:paraId="10B1397E" w14:textId="77777777" w:rsidR="00A57704" w:rsidRPr="00D8474E" w:rsidRDefault="00A57704" w:rsidP="00A57704">
            <w:pPr>
              <w:spacing w:after="0"/>
              <w:jc w:val="center"/>
              <w:rPr>
                <w:rFonts w:ascii="Times New Roman" w:hAnsi="Times New Roman"/>
              </w:rPr>
            </w:pPr>
            <w:r>
              <w:rPr>
                <w:rFonts w:ascii="Times New Roman" w:hAnsi="Times New Roman"/>
              </w:rPr>
              <w:t>82.1</w:t>
            </w:r>
          </w:p>
        </w:tc>
        <w:tc>
          <w:tcPr>
            <w:tcW w:w="820" w:type="dxa"/>
            <w:tcBorders>
              <w:top w:val="single" w:sz="4" w:space="0" w:color="auto"/>
              <w:left w:val="nil"/>
              <w:bottom w:val="single" w:sz="4" w:space="0" w:color="auto"/>
              <w:right w:val="single" w:sz="4" w:space="0" w:color="auto"/>
            </w:tcBorders>
            <w:shd w:val="clear" w:color="auto" w:fill="auto"/>
            <w:noWrap/>
            <w:hideMark/>
          </w:tcPr>
          <w:p w14:paraId="79F747EC" w14:textId="77777777" w:rsidR="00A57704" w:rsidRPr="00D8474E" w:rsidRDefault="00A57704" w:rsidP="00A57704">
            <w:pPr>
              <w:spacing w:after="0"/>
              <w:jc w:val="center"/>
              <w:rPr>
                <w:rFonts w:ascii="Times New Roman" w:hAnsi="Times New Roman"/>
              </w:rPr>
            </w:pPr>
            <w:r>
              <w:rPr>
                <w:rFonts w:ascii="Times New Roman" w:hAnsi="Times New Roman"/>
              </w:rPr>
              <w:t>117.9</w:t>
            </w:r>
          </w:p>
        </w:tc>
        <w:tc>
          <w:tcPr>
            <w:tcW w:w="820" w:type="dxa"/>
            <w:tcBorders>
              <w:top w:val="single" w:sz="4" w:space="0" w:color="auto"/>
              <w:left w:val="nil"/>
              <w:bottom w:val="single" w:sz="4" w:space="0" w:color="auto"/>
              <w:right w:val="single" w:sz="4" w:space="0" w:color="auto"/>
            </w:tcBorders>
            <w:shd w:val="clear" w:color="auto" w:fill="auto"/>
            <w:noWrap/>
            <w:hideMark/>
          </w:tcPr>
          <w:p w14:paraId="1E8F2EEF" w14:textId="77777777" w:rsidR="00A57704" w:rsidRPr="00D8474E" w:rsidRDefault="00A57704" w:rsidP="00A57704">
            <w:pPr>
              <w:spacing w:after="0"/>
              <w:jc w:val="center"/>
              <w:rPr>
                <w:rFonts w:ascii="Times New Roman" w:hAnsi="Times New Roman"/>
              </w:rPr>
            </w:pPr>
            <w:r>
              <w:rPr>
                <w:rFonts w:ascii="Times New Roman" w:hAnsi="Times New Roman"/>
              </w:rPr>
              <w:t>256.0</w:t>
            </w:r>
          </w:p>
        </w:tc>
        <w:tc>
          <w:tcPr>
            <w:tcW w:w="820" w:type="dxa"/>
            <w:tcBorders>
              <w:top w:val="single" w:sz="4" w:space="0" w:color="auto"/>
              <w:left w:val="nil"/>
              <w:bottom w:val="single" w:sz="4" w:space="0" w:color="auto"/>
              <w:right w:val="single" w:sz="4" w:space="0" w:color="auto"/>
            </w:tcBorders>
            <w:shd w:val="clear" w:color="auto" w:fill="auto"/>
            <w:noWrap/>
            <w:hideMark/>
          </w:tcPr>
          <w:p w14:paraId="76084696" w14:textId="77777777" w:rsidR="00A57704" w:rsidRPr="00D8474E" w:rsidRDefault="00A57704" w:rsidP="00A57704">
            <w:pPr>
              <w:spacing w:after="0"/>
              <w:jc w:val="center"/>
              <w:rPr>
                <w:rFonts w:ascii="Times New Roman" w:hAnsi="Times New Roman"/>
              </w:rPr>
            </w:pPr>
            <w:r>
              <w:rPr>
                <w:rFonts w:ascii="Times New Roman" w:hAnsi="Times New Roman"/>
              </w:rPr>
              <w:t>143.9</w:t>
            </w:r>
          </w:p>
        </w:tc>
        <w:tc>
          <w:tcPr>
            <w:tcW w:w="760" w:type="dxa"/>
            <w:tcBorders>
              <w:top w:val="single" w:sz="4" w:space="0" w:color="auto"/>
              <w:left w:val="nil"/>
              <w:bottom w:val="single" w:sz="4" w:space="0" w:color="auto"/>
              <w:right w:val="single" w:sz="4" w:space="0" w:color="auto"/>
            </w:tcBorders>
            <w:shd w:val="clear" w:color="auto" w:fill="auto"/>
            <w:noWrap/>
            <w:hideMark/>
          </w:tcPr>
          <w:p w14:paraId="3688D870" w14:textId="77777777" w:rsidR="00A57704" w:rsidRPr="00D8474E" w:rsidRDefault="00A57704" w:rsidP="00A57704">
            <w:pPr>
              <w:spacing w:after="0"/>
              <w:jc w:val="center"/>
              <w:rPr>
                <w:rFonts w:ascii="Times New Roman" w:hAnsi="Times New Roman"/>
              </w:rPr>
            </w:pPr>
            <w:r>
              <w:rPr>
                <w:rFonts w:ascii="Times New Roman" w:hAnsi="Times New Roman"/>
              </w:rPr>
              <w:t>138.7</w:t>
            </w:r>
          </w:p>
        </w:tc>
        <w:tc>
          <w:tcPr>
            <w:tcW w:w="820" w:type="dxa"/>
            <w:tcBorders>
              <w:top w:val="single" w:sz="4" w:space="0" w:color="auto"/>
              <w:left w:val="nil"/>
              <w:bottom w:val="single" w:sz="4" w:space="0" w:color="auto"/>
              <w:right w:val="single" w:sz="4" w:space="0" w:color="auto"/>
            </w:tcBorders>
            <w:shd w:val="clear" w:color="auto" w:fill="auto"/>
            <w:noWrap/>
            <w:hideMark/>
          </w:tcPr>
          <w:p w14:paraId="3AE4028D" w14:textId="77777777" w:rsidR="00A57704" w:rsidRPr="00D8474E" w:rsidRDefault="00A57704" w:rsidP="00A57704">
            <w:pPr>
              <w:spacing w:after="0"/>
              <w:jc w:val="center"/>
              <w:rPr>
                <w:rFonts w:ascii="Times New Roman" w:hAnsi="Times New Roman"/>
              </w:rPr>
            </w:pPr>
            <w:r>
              <w:rPr>
                <w:rFonts w:ascii="Times New Roman" w:hAnsi="Times New Roman"/>
              </w:rPr>
              <w:t>262.0</w:t>
            </w:r>
          </w:p>
        </w:tc>
        <w:tc>
          <w:tcPr>
            <w:tcW w:w="820" w:type="dxa"/>
            <w:tcBorders>
              <w:top w:val="single" w:sz="4" w:space="0" w:color="auto"/>
              <w:left w:val="nil"/>
              <w:bottom w:val="single" w:sz="4" w:space="0" w:color="auto"/>
              <w:right w:val="single" w:sz="4" w:space="0" w:color="auto"/>
            </w:tcBorders>
            <w:shd w:val="clear" w:color="auto" w:fill="auto"/>
            <w:noWrap/>
            <w:hideMark/>
          </w:tcPr>
          <w:p w14:paraId="5842A819" w14:textId="77777777" w:rsidR="00A57704" w:rsidRPr="00D8474E" w:rsidRDefault="00A57704" w:rsidP="00A57704">
            <w:pPr>
              <w:spacing w:after="0"/>
              <w:jc w:val="center"/>
              <w:rPr>
                <w:rFonts w:ascii="Times New Roman" w:hAnsi="Times New Roman"/>
              </w:rPr>
            </w:pPr>
            <w:r>
              <w:rPr>
                <w:rFonts w:ascii="Times New Roman" w:hAnsi="Times New Roman"/>
              </w:rPr>
              <w:t>533.8</w:t>
            </w:r>
          </w:p>
        </w:tc>
        <w:tc>
          <w:tcPr>
            <w:tcW w:w="820" w:type="dxa"/>
            <w:tcBorders>
              <w:top w:val="single" w:sz="4" w:space="0" w:color="auto"/>
              <w:left w:val="nil"/>
              <w:bottom w:val="single" w:sz="4" w:space="0" w:color="auto"/>
              <w:right w:val="single" w:sz="4" w:space="0" w:color="auto"/>
            </w:tcBorders>
            <w:shd w:val="clear" w:color="auto" w:fill="auto"/>
            <w:noWrap/>
            <w:hideMark/>
          </w:tcPr>
          <w:p w14:paraId="1037AEDC" w14:textId="77777777" w:rsidR="00A57704" w:rsidRPr="00D8474E" w:rsidRDefault="00A57704" w:rsidP="00A57704">
            <w:pPr>
              <w:spacing w:after="0"/>
              <w:jc w:val="center"/>
              <w:rPr>
                <w:rFonts w:ascii="Times New Roman" w:hAnsi="Times New Roman"/>
              </w:rPr>
            </w:pPr>
            <w:r>
              <w:rPr>
                <w:rFonts w:ascii="Times New Roman" w:hAnsi="Times New Roman"/>
              </w:rPr>
              <w:t>95.3</w:t>
            </w:r>
          </w:p>
        </w:tc>
        <w:tc>
          <w:tcPr>
            <w:tcW w:w="760" w:type="dxa"/>
            <w:tcBorders>
              <w:top w:val="single" w:sz="4" w:space="0" w:color="auto"/>
              <w:left w:val="nil"/>
              <w:bottom w:val="single" w:sz="4" w:space="0" w:color="auto"/>
              <w:right w:val="single" w:sz="4" w:space="0" w:color="auto"/>
            </w:tcBorders>
            <w:shd w:val="clear" w:color="auto" w:fill="auto"/>
            <w:noWrap/>
            <w:hideMark/>
          </w:tcPr>
          <w:p w14:paraId="433BF75A" w14:textId="77777777" w:rsidR="00A57704" w:rsidRPr="00D8474E" w:rsidRDefault="00A57704" w:rsidP="00A57704">
            <w:pPr>
              <w:spacing w:after="0"/>
              <w:jc w:val="center"/>
              <w:rPr>
                <w:rFonts w:ascii="Times New Roman" w:hAnsi="Times New Roman"/>
              </w:rPr>
            </w:pPr>
            <w:r>
              <w:rPr>
                <w:rFonts w:ascii="Times New Roman" w:hAnsi="Times New Roman"/>
              </w:rPr>
              <w:t>140.2</w:t>
            </w:r>
          </w:p>
        </w:tc>
        <w:tc>
          <w:tcPr>
            <w:tcW w:w="720" w:type="dxa"/>
            <w:tcBorders>
              <w:top w:val="single" w:sz="4" w:space="0" w:color="auto"/>
              <w:left w:val="nil"/>
              <w:bottom w:val="single" w:sz="4" w:space="0" w:color="auto"/>
              <w:right w:val="single" w:sz="4" w:space="0" w:color="auto"/>
            </w:tcBorders>
            <w:shd w:val="clear" w:color="auto" w:fill="auto"/>
            <w:noWrap/>
            <w:hideMark/>
          </w:tcPr>
          <w:p w14:paraId="6E8D11D5" w14:textId="77777777" w:rsidR="00A57704" w:rsidRPr="00D8474E" w:rsidRDefault="00A57704" w:rsidP="00A57704">
            <w:pPr>
              <w:spacing w:after="0"/>
              <w:jc w:val="center"/>
              <w:rPr>
                <w:rFonts w:ascii="Times New Roman" w:hAnsi="Times New Roman"/>
              </w:rPr>
            </w:pPr>
            <w:r>
              <w:rPr>
                <w:rFonts w:ascii="Times New Roman" w:hAnsi="Times New Roman"/>
              </w:rPr>
              <w:t>0</w:t>
            </w:r>
          </w:p>
        </w:tc>
        <w:tc>
          <w:tcPr>
            <w:tcW w:w="1100" w:type="dxa"/>
            <w:tcBorders>
              <w:top w:val="single" w:sz="4" w:space="0" w:color="auto"/>
              <w:left w:val="nil"/>
              <w:bottom w:val="single" w:sz="4" w:space="0" w:color="auto"/>
              <w:right w:val="single" w:sz="4" w:space="0" w:color="auto"/>
            </w:tcBorders>
            <w:shd w:val="clear" w:color="auto" w:fill="auto"/>
            <w:noWrap/>
            <w:hideMark/>
          </w:tcPr>
          <w:p w14:paraId="34F205ED" w14:textId="77777777" w:rsidR="00A57704" w:rsidRPr="00D8474E" w:rsidRDefault="00A57704" w:rsidP="00A57704">
            <w:pPr>
              <w:spacing w:after="0"/>
              <w:jc w:val="center"/>
              <w:rPr>
                <w:rFonts w:ascii="Times New Roman" w:hAnsi="Times New Roman"/>
              </w:rPr>
            </w:pPr>
            <w:r>
              <w:rPr>
                <w:rFonts w:ascii="Times New Roman" w:hAnsi="Times New Roman"/>
              </w:rPr>
              <w:t>1,867.9</w:t>
            </w:r>
          </w:p>
        </w:tc>
      </w:tr>
      <w:tr w:rsidR="00A57704" w:rsidRPr="00D8474E" w14:paraId="0DA02DC5" w14:textId="77777777" w:rsidTr="008522D8">
        <w:trPr>
          <w:trHeight w:val="300"/>
        </w:trPr>
        <w:tc>
          <w:tcPr>
            <w:tcW w:w="2204" w:type="dxa"/>
            <w:tcBorders>
              <w:top w:val="single" w:sz="4" w:space="0" w:color="auto"/>
              <w:left w:val="single" w:sz="4" w:space="0" w:color="auto"/>
              <w:bottom w:val="single" w:sz="4" w:space="0" w:color="auto"/>
              <w:right w:val="single" w:sz="4" w:space="0" w:color="auto"/>
            </w:tcBorders>
            <w:shd w:val="clear" w:color="auto" w:fill="auto"/>
            <w:noWrap/>
            <w:hideMark/>
          </w:tcPr>
          <w:p w14:paraId="21C39BD5" w14:textId="77777777" w:rsidR="00A57704" w:rsidRPr="00D8474E" w:rsidRDefault="00A57704" w:rsidP="00A57704">
            <w:pPr>
              <w:spacing w:after="0"/>
              <w:rPr>
                <w:rFonts w:ascii="Times New Roman" w:hAnsi="Times New Roman"/>
              </w:rPr>
            </w:pPr>
            <w:r w:rsidRPr="00D8474E">
              <w:rPr>
                <w:rFonts w:ascii="Times New Roman" w:hAnsi="Times New Roman"/>
              </w:rPr>
              <w:t>D. Prec (%)</w:t>
            </w:r>
          </w:p>
        </w:tc>
        <w:tc>
          <w:tcPr>
            <w:tcW w:w="760" w:type="dxa"/>
            <w:tcBorders>
              <w:top w:val="single" w:sz="4" w:space="0" w:color="auto"/>
              <w:left w:val="nil"/>
              <w:bottom w:val="single" w:sz="4" w:space="0" w:color="auto"/>
              <w:right w:val="single" w:sz="4" w:space="0" w:color="auto"/>
            </w:tcBorders>
            <w:shd w:val="clear" w:color="auto" w:fill="auto"/>
            <w:noWrap/>
            <w:hideMark/>
          </w:tcPr>
          <w:p w14:paraId="683DEFCD" w14:textId="77777777" w:rsidR="00A57704" w:rsidRPr="00D8474E" w:rsidRDefault="00A57704" w:rsidP="00A57704">
            <w:pPr>
              <w:spacing w:after="0"/>
              <w:jc w:val="center"/>
              <w:rPr>
                <w:rFonts w:ascii="Times New Roman" w:hAnsi="Times New Roman"/>
              </w:rPr>
            </w:pPr>
            <w:r>
              <w:rPr>
                <w:rFonts w:ascii="Times New Roman" w:hAnsi="Times New Roman"/>
              </w:rPr>
              <w:t>131.6</w:t>
            </w:r>
          </w:p>
        </w:tc>
        <w:tc>
          <w:tcPr>
            <w:tcW w:w="760" w:type="dxa"/>
            <w:tcBorders>
              <w:top w:val="single" w:sz="4" w:space="0" w:color="auto"/>
              <w:left w:val="nil"/>
              <w:bottom w:val="single" w:sz="4" w:space="0" w:color="auto"/>
              <w:right w:val="single" w:sz="4" w:space="0" w:color="auto"/>
            </w:tcBorders>
            <w:shd w:val="clear" w:color="auto" w:fill="auto"/>
            <w:noWrap/>
            <w:hideMark/>
          </w:tcPr>
          <w:p w14:paraId="2B2578DF" w14:textId="77777777" w:rsidR="00A57704" w:rsidRPr="00D8474E" w:rsidRDefault="00A57704" w:rsidP="00A57704">
            <w:pPr>
              <w:spacing w:after="0"/>
              <w:jc w:val="center"/>
              <w:rPr>
                <w:rFonts w:ascii="Times New Roman" w:hAnsi="Times New Roman"/>
              </w:rPr>
            </w:pPr>
            <w:r>
              <w:rPr>
                <w:rFonts w:ascii="Times New Roman" w:hAnsi="Times New Roman"/>
              </w:rPr>
              <w:t>-77.6</w:t>
            </w:r>
          </w:p>
        </w:tc>
        <w:tc>
          <w:tcPr>
            <w:tcW w:w="720" w:type="dxa"/>
            <w:tcBorders>
              <w:top w:val="single" w:sz="4" w:space="0" w:color="auto"/>
              <w:left w:val="nil"/>
              <w:bottom w:val="single" w:sz="4" w:space="0" w:color="auto"/>
              <w:right w:val="single" w:sz="4" w:space="0" w:color="auto"/>
            </w:tcBorders>
            <w:shd w:val="clear" w:color="auto" w:fill="auto"/>
            <w:noWrap/>
            <w:hideMark/>
          </w:tcPr>
          <w:p w14:paraId="579ABDFB" w14:textId="77777777" w:rsidR="00A57704" w:rsidRPr="00D8474E" w:rsidRDefault="00A57704" w:rsidP="00A57704">
            <w:pPr>
              <w:spacing w:after="0"/>
              <w:jc w:val="center"/>
              <w:rPr>
                <w:rFonts w:ascii="Times New Roman" w:hAnsi="Times New Roman"/>
              </w:rPr>
            </w:pPr>
            <w:r>
              <w:rPr>
                <w:rFonts w:ascii="Times New Roman" w:hAnsi="Times New Roman"/>
              </w:rPr>
              <w:t>8.2</w:t>
            </w:r>
          </w:p>
        </w:tc>
        <w:tc>
          <w:tcPr>
            <w:tcW w:w="820" w:type="dxa"/>
            <w:tcBorders>
              <w:top w:val="single" w:sz="4" w:space="0" w:color="auto"/>
              <w:left w:val="nil"/>
              <w:bottom w:val="single" w:sz="4" w:space="0" w:color="auto"/>
              <w:right w:val="single" w:sz="4" w:space="0" w:color="auto"/>
            </w:tcBorders>
            <w:shd w:val="clear" w:color="auto" w:fill="auto"/>
            <w:noWrap/>
            <w:hideMark/>
          </w:tcPr>
          <w:p w14:paraId="66771E26" w14:textId="77777777" w:rsidR="00A57704" w:rsidRPr="00D8474E" w:rsidRDefault="00A57704" w:rsidP="00A57704">
            <w:pPr>
              <w:spacing w:after="0"/>
              <w:jc w:val="center"/>
              <w:rPr>
                <w:rFonts w:ascii="Times New Roman" w:hAnsi="Times New Roman"/>
              </w:rPr>
            </w:pPr>
            <w:r>
              <w:rPr>
                <w:rFonts w:ascii="Times New Roman" w:hAnsi="Times New Roman"/>
              </w:rPr>
              <w:t>-3.8</w:t>
            </w:r>
          </w:p>
        </w:tc>
        <w:tc>
          <w:tcPr>
            <w:tcW w:w="820" w:type="dxa"/>
            <w:tcBorders>
              <w:top w:val="single" w:sz="4" w:space="0" w:color="auto"/>
              <w:left w:val="nil"/>
              <w:bottom w:val="single" w:sz="4" w:space="0" w:color="auto"/>
              <w:right w:val="single" w:sz="4" w:space="0" w:color="auto"/>
            </w:tcBorders>
            <w:shd w:val="clear" w:color="auto" w:fill="auto"/>
            <w:noWrap/>
            <w:hideMark/>
          </w:tcPr>
          <w:p w14:paraId="02CC7B17" w14:textId="77777777" w:rsidR="00A57704" w:rsidRPr="00D8474E" w:rsidRDefault="00A57704" w:rsidP="00A57704">
            <w:pPr>
              <w:spacing w:after="0"/>
              <w:jc w:val="center"/>
              <w:rPr>
                <w:rFonts w:ascii="Times New Roman" w:hAnsi="Times New Roman"/>
              </w:rPr>
            </w:pPr>
            <w:r>
              <w:rPr>
                <w:rFonts w:ascii="Times New Roman" w:hAnsi="Times New Roman"/>
              </w:rPr>
              <w:t>51.7</w:t>
            </w:r>
          </w:p>
        </w:tc>
        <w:tc>
          <w:tcPr>
            <w:tcW w:w="820" w:type="dxa"/>
            <w:tcBorders>
              <w:top w:val="single" w:sz="4" w:space="0" w:color="auto"/>
              <w:left w:val="nil"/>
              <w:bottom w:val="single" w:sz="4" w:space="0" w:color="auto"/>
              <w:right w:val="single" w:sz="4" w:space="0" w:color="auto"/>
            </w:tcBorders>
            <w:shd w:val="clear" w:color="auto" w:fill="auto"/>
            <w:noWrap/>
            <w:hideMark/>
          </w:tcPr>
          <w:p w14:paraId="799AC851" w14:textId="77777777" w:rsidR="00A57704" w:rsidRPr="00D8474E" w:rsidRDefault="00A57704" w:rsidP="00A57704">
            <w:pPr>
              <w:spacing w:after="0"/>
              <w:jc w:val="center"/>
              <w:rPr>
                <w:rFonts w:ascii="Times New Roman" w:hAnsi="Times New Roman"/>
              </w:rPr>
            </w:pPr>
            <w:r>
              <w:rPr>
                <w:rFonts w:ascii="Times New Roman" w:hAnsi="Times New Roman"/>
              </w:rPr>
              <w:t>-0.8</w:t>
            </w:r>
          </w:p>
        </w:tc>
        <w:tc>
          <w:tcPr>
            <w:tcW w:w="760" w:type="dxa"/>
            <w:tcBorders>
              <w:top w:val="single" w:sz="4" w:space="0" w:color="auto"/>
              <w:left w:val="nil"/>
              <w:bottom w:val="single" w:sz="4" w:space="0" w:color="auto"/>
              <w:right w:val="single" w:sz="4" w:space="0" w:color="auto"/>
            </w:tcBorders>
            <w:shd w:val="clear" w:color="auto" w:fill="auto"/>
            <w:noWrap/>
            <w:hideMark/>
          </w:tcPr>
          <w:p w14:paraId="4203B6A7" w14:textId="77777777" w:rsidR="00A57704" w:rsidRPr="00D8474E" w:rsidRDefault="00A57704" w:rsidP="00A57704">
            <w:pPr>
              <w:spacing w:after="0"/>
              <w:jc w:val="center"/>
              <w:rPr>
                <w:rFonts w:ascii="Times New Roman" w:hAnsi="Times New Roman"/>
              </w:rPr>
            </w:pPr>
            <w:r>
              <w:rPr>
                <w:rFonts w:ascii="Times New Roman" w:hAnsi="Times New Roman"/>
              </w:rPr>
              <w:t>11.4</w:t>
            </w:r>
          </w:p>
        </w:tc>
        <w:tc>
          <w:tcPr>
            <w:tcW w:w="820" w:type="dxa"/>
            <w:tcBorders>
              <w:top w:val="single" w:sz="4" w:space="0" w:color="auto"/>
              <w:left w:val="nil"/>
              <w:bottom w:val="single" w:sz="4" w:space="0" w:color="auto"/>
              <w:right w:val="single" w:sz="4" w:space="0" w:color="auto"/>
            </w:tcBorders>
            <w:shd w:val="clear" w:color="auto" w:fill="auto"/>
            <w:noWrap/>
            <w:hideMark/>
          </w:tcPr>
          <w:p w14:paraId="2382EC60" w14:textId="77777777" w:rsidR="00A57704" w:rsidRPr="00D8474E" w:rsidRDefault="00A57704" w:rsidP="00A57704">
            <w:pPr>
              <w:spacing w:after="0"/>
              <w:jc w:val="center"/>
              <w:rPr>
                <w:rFonts w:ascii="Times New Roman" w:hAnsi="Times New Roman"/>
              </w:rPr>
            </w:pPr>
            <w:r>
              <w:rPr>
                <w:rFonts w:ascii="Times New Roman" w:hAnsi="Times New Roman"/>
              </w:rPr>
              <w:t>87.1</w:t>
            </w:r>
          </w:p>
        </w:tc>
        <w:tc>
          <w:tcPr>
            <w:tcW w:w="820" w:type="dxa"/>
            <w:tcBorders>
              <w:top w:val="single" w:sz="4" w:space="0" w:color="auto"/>
              <w:left w:val="nil"/>
              <w:bottom w:val="single" w:sz="4" w:space="0" w:color="auto"/>
              <w:right w:val="single" w:sz="4" w:space="0" w:color="auto"/>
            </w:tcBorders>
            <w:shd w:val="clear" w:color="auto" w:fill="auto"/>
            <w:noWrap/>
            <w:hideMark/>
          </w:tcPr>
          <w:p w14:paraId="70B2F231" w14:textId="77777777" w:rsidR="00A57704" w:rsidRPr="00D8474E" w:rsidRDefault="00A57704" w:rsidP="00A57704">
            <w:pPr>
              <w:spacing w:after="0"/>
              <w:jc w:val="center"/>
              <w:rPr>
                <w:rFonts w:ascii="Times New Roman" w:hAnsi="Times New Roman"/>
              </w:rPr>
            </w:pPr>
            <w:r>
              <w:rPr>
                <w:rFonts w:ascii="Times New Roman" w:hAnsi="Times New Roman"/>
              </w:rPr>
              <w:t>167.3</w:t>
            </w:r>
          </w:p>
        </w:tc>
        <w:tc>
          <w:tcPr>
            <w:tcW w:w="820" w:type="dxa"/>
            <w:tcBorders>
              <w:top w:val="single" w:sz="4" w:space="0" w:color="auto"/>
              <w:left w:val="nil"/>
              <w:bottom w:val="single" w:sz="4" w:space="0" w:color="auto"/>
              <w:right w:val="single" w:sz="4" w:space="0" w:color="auto"/>
            </w:tcBorders>
            <w:shd w:val="clear" w:color="auto" w:fill="auto"/>
            <w:noWrap/>
            <w:hideMark/>
          </w:tcPr>
          <w:p w14:paraId="1C024168" w14:textId="77777777" w:rsidR="00A57704" w:rsidRPr="00D8474E" w:rsidRDefault="00A57704" w:rsidP="00A57704">
            <w:pPr>
              <w:spacing w:after="0"/>
              <w:jc w:val="center"/>
              <w:rPr>
                <w:rFonts w:ascii="Times New Roman" w:hAnsi="Times New Roman"/>
              </w:rPr>
            </w:pPr>
            <w:r>
              <w:rPr>
                <w:rFonts w:ascii="Times New Roman" w:hAnsi="Times New Roman"/>
              </w:rPr>
              <w:t>-43.3</w:t>
            </w:r>
          </w:p>
        </w:tc>
        <w:tc>
          <w:tcPr>
            <w:tcW w:w="760" w:type="dxa"/>
            <w:tcBorders>
              <w:top w:val="single" w:sz="4" w:space="0" w:color="auto"/>
              <w:left w:val="nil"/>
              <w:bottom w:val="single" w:sz="4" w:space="0" w:color="auto"/>
              <w:right w:val="single" w:sz="4" w:space="0" w:color="auto"/>
            </w:tcBorders>
            <w:shd w:val="clear" w:color="auto" w:fill="auto"/>
            <w:noWrap/>
            <w:hideMark/>
          </w:tcPr>
          <w:p w14:paraId="1D93F326" w14:textId="77777777" w:rsidR="00A57704" w:rsidRPr="00D8474E" w:rsidRDefault="00A57704" w:rsidP="00A57704">
            <w:pPr>
              <w:spacing w:after="0"/>
              <w:jc w:val="center"/>
              <w:rPr>
                <w:rFonts w:ascii="Times New Roman" w:hAnsi="Times New Roman"/>
              </w:rPr>
            </w:pPr>
            <w:r>
              <w:rPr>
                <w:rFonts w:ascii="Times New Roman" w:hAnsi="Times New Roman"/>
              </w:rPr>
              <w:t>71.6</w:t>
            </w:r>
          </w:p>
        </w:tc>
        <w:tc>
          <w:tcPr>
            <w:tcW w:w="720" w:type="dxa"/>
            <w:tcBorders>
              <w:top w:val="single" w:sz="4" w:space="0" w:color="auto"/>
              <w:left w:val="nil"/>
              <w:bottom w:val="single" w:sz="4" w:space="0" w:color="auto"/>
              <w:right w:val="single" w:sz="4" w:space="0" w:color="auto"/>
            </w:tcBorders>
            <w:shd w:val="clear" w:color="auto" w:fill="auto"/>
            <w:noWrap/>
            <w:hideMark/>
          </w:tcPr>
          <w:p w14:paraId="4FE3AD67" w14:textId="77777777" w:rsidR="00A57704" w:rsidRPr="00D8474E" w:rsidRDefault="00A57704" w:rsidP="00A57704">
            <w:pPr>
              <w:spacing w:after="0"/>
              <w:jc w:val="center"/>
              <w:rPr>
                <w:rFonts w:ascii="Times New Roman" w:hAnsi="Times New Roman"/>
              </w:rPr>
            </w:pPr>
            <w:r>
              <w:rPr>
                <w:rFonts w:ascii="Times New Roman" w:hAnsi="Times New Roman"/>
              </w:rPr>
              <w:t>0</w:t>
            </w:r>
          </w:p>
        </w:tc>
        <w:tc>
          <w:tcPr>
            <w:tcW w:w="1100" w:type="dxa"/>
            <w:tcBorders>
              <w:top w:val="single" w:sz="4" w:space="0" w:color="auto"/>
              <w:left w:val="nil"/>
              <w:bottom w:val="single" w:sz="4" w:space="0" w:color="auto"/>
              <w:right w:val="single" w:sz="4" w:space="0" w:color="auto"/>
            </w:tcBorders>
            <w:shd w:val="clear" w:color="auto" w:fill="auto"/>
            <w:noWrap/>
            <w:hideMark/>
          </w:tcPr>
          <w:p w14:paraId="6C8035E3" w14:textId="77777777" w:rsidR="00A57704" w:rsidRPr="00D8474E" w:rsidRDefault="00A57704" w:rsidP="00A57704">
            <w:pPr>
              <w:spacing w:after="0"/>
              <w:jc w:val="center"/>
              <w:rPr>
                <w:rFonts w:ascii="Times New Roman" w:hAnsi="Times New Roman"/>
              </w:rPr>
            </w:pPr>
            <w:r w:rsidRPr="00D8474E">
              <w:rPr>
                <w:rFonts w:ascii="Times New Roman" w:hAnsi="Times New Roman"/>
              </w:rPr>
              <w:t>31.2</w:t>
            </w:r>
          </w:p>
        </w:tc>
      </w:tr>
    </w:tbl>
    <w:p w14:paraId="55088C0C" w14:textId="77777777" w:rsidR="00A57704" w:rsidRDefault="00A57704" w:rsidP="00A57704">
      <w:pPr>
        <w:spacing w:after="0"/>
        <w:rPr>
          <w:rFonts w:ascii="Times New Roman" w:hAnsi="Times New Roman"/>
        </w:rPr>
      </w:pPr>
    </w:p>
    <w:p w14:paraId="43F18C04" w14:textId="77777777" w:rsidR="00A57704" w:rsidRDefault="00A57704" w:rsidP="00A57704">
      <w:pPr>
        <w:spacing w:after="0"/>
        <w:rPr>
          <w:rFonts w:ascii="Times New Roman" w:hAnsi="Times New Roman"/>
        </w:rPr>
        <w:sectPr w:rsidR="00A57704" w:rsidSect="00A57704">
          <w:type w:val="continuous"/>
          <w:pgSz w:w="15840" w:h="12240" w:orient="landscape"/>
          <w:pgMar w:top="1276" w:right="851" w:bottom="851" w:left="1440" w:header="720" w:footer="720" w:gutter="0"/>
          <w:cols w:space="720"/>
          <w:docGrid w:linePitch="360"/>
        </w:sectPr>
      </w:pPr>
    </w:p>
    <w:p w14:paraId="24953F42" w14:textId="77777777" w:rsidR="00A57704" w:rsidRPr="00C83490" w:rsidRDefault="00A57704" w:rsidP="00A57704">
      <w:pPr>
        <w:spacing w:after="0"/>
        <w:rPr>
          <w:rFonts w:ascii="Times New Roman" w:hAnsi="Times New Roman"/>
        </w:rPr>
      </w:pPr>
    </w:p>
    <w:p w14:paraId="0CA89D99" w14:textId="77777777" w:rsidR="00A57704" w:rsidRPr="00C83490" w:rsidRDefault="00A57704" w:rsidP="001C6B1A">
      <w:pPr>
        <w:pStyle w:val="Prrafodelista"/>
        <w:numPr>
          <w:ilvl w:val="0"/>
          <w:numId w:val="28"/>
        </w:numPr>
        <w:spacing w:after="0"/>
        <w:ind w:left="567" w:hanging="567"/>
        <w:rPr>
          <w:rFonts w:ascii="Times New Roman" w:hAnsi="Times New Roman"/>
        </w:rPr>
      </w:pPr>
      <w:r w:rsidRPr="00C83490">
        <w:rPr>
          <w:rFonts w:ascii="Times New Roman" w:hAnsi="Times New Roman"/>
        </w:rPr>
        <w:t xml:space="preserve">Comportamiento precipitaciones </w:t>
      </w:r>
      <w:r>
        <w:rPr>
          <w:rFonts w:ascii="Times New Roman" w:hAnsi="Times New Roman"/>
        </w:rPr>
        <w:t>Loca de Cabrera</w:t>
      </w:r>
    </w:p>
    <w:p w14:paraId="3BB2A929" w14:textId="77777777" w:rsidR="00A57704" w:rsidRPr="002D5B20" w:rsidRDefault="00A57704" w:rsidP="00A57704">
      <w:pPr>
        <w:spacing w:after="0"/>
        <w:rPr>
          <w:rFonts w:ascii="Times New Roman" w:hAnsi="Times New Roman"/>
          <w:sz w:val="4"/>
        </w:rPr>
      </w:pPr>
      <w:r>
        <w:rPr>
          <w:noProof/>
          <w:lang w:eastAsia="es-DO"/>
        </w:rPr>
        <w:drawing>
          <wp:inline distT="0" distB="0" distL="0" distR="0" wp14:anchorId="00E22218" wp14:editId="58AB7632">
            <wp:extent cx="3893820" cy="1623848"/>
            <wp:effectExtent l="0" t="0" r="0" b="0"/>
            <wp:docPr id="140" name="Gráfico 140">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308D0CDB-7DD3-46DE-AEF0-41C9B4B2E4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p w14:paraId="501054AC" w14:textId="77777777" w:rsidR="00A57704" w:rsidRPr="002D5B20" w:rsidRDefault="00A57704" w:rsidP="00A57704">
      <w:pPr>
        <w:spacing w:after="0"/>
        <w:rPr>
          <w:rFonts w:ascii="Times New Roman" w:hAnsi="Times New Roman"/>
          <w:sz w:val="4"/>
        </w:rPr>
      </w:pPr>
    </w:p>
    <w:p w14:paraId="1D8D2EF7" w14:textId="77777777" w:rsidR="00A57704" w:rsidRPr="002D5B20" w:rsidRDefault="00A57704" w:rsidP="00A57704">
      <w:pPr>
        <w:spacing w:after="0"/>
        <w:rPr>
          <w:rFonts w:ascii="Times New Roman" w:hAnsi="Times New Roman"/>
          <w:sz w:val="4"/>
        </w:rPr>
      </w:pPr>
    </w:p>
    <w:p w14:paraId="4C4F8376" w14:textId="77777777" w:rsidR="00A57704" w:rsidRDefault="00A57704" w:rsidP="00A57704">
      <w:pPr>
        <w:spacing w:after="0"/>
        <w:rPr>
          <w:rFonts w:ascii="Times New Roman" w:hAnsi="Times New Roman"/>
        </w:rPr>
      </w:pPr>
    </w:p>
    <w:p w14:paraId="21731585" w14:textId="77777777" w:rsidR="00A57704" w:rsidRPr="002D5B20" w:rsidRDefault="00A57704" w:rsidP="001C6B1A">
      <w:pPr>
        <w:pStyle w:val="Prrafodelista"/>
        <w:numPr>
          <w:ilvl w:val="0"/>
          <w:numId w:val="28"/>
        </w:numPr>
        <w:spacing w:after="0" w:line="240" w:lineRule="auto"/>
        <w:ind w:left="567" w:hanging="567"/>
        <w:rPr>
          <w:rFonts w:ascii="Times New Roman" w:hAnsi="Times New Roman"/>
        </w:rPr>
      </w:pPr>
      <w:r w:rsidRPr="002D5B20">
        <w:rPr>
          <w:rFonts w:ascii="Times New Roman" w:hAnsi="Times New Roman"/>
        </w:rPr>
        <w:t>Desviación precipitaciones (%)</w:t>
      </w:r>
    </w:p>
    <w:p w14:paraId="570D4603" w14:textId="77777777" w:rsidR="00A57704" w:rsidRPr="002D5B20" w:rsidRDefault="00A57704" w:rsidP="00A57704">
      <w:pPr>
        <w:spacing w:after="0"/>
        <w:rPr>
          <w:rFonts w:ascii="Times New Roman" w:hAnsi="Times New Roman"/>
        </w:rPr>
        <w:sectPr w:rsidR="00A57704" w:rsidRPr="002D5B20" w:rsidSect="00A57704">
          <w:type w:val="continuous"/>
          <w:pgSz w:w="15840" w:h="12240" w:orient="landscape"/>
          <w:pgMar w:top="1276" w:right="851" w:bottom="851" w:left="1440" w:header="720" w:footer="720" w:gutter="0"/>
          <w:cols w:num="2" w:space="720"/>
          <w:docGrid w:linePitch="360"/>
        </w:sectPr>
      </w:pPr>
      <w:r>
        <w:rPr>
          <w:noProof/>
          <w:lang w:eastAsia="es-DO"/>
        </w:rPr>
        <w:drawing>
          <wp:inline distT="0" distB="0" distL="0" distR="0" wp14:anchorId="5AF7BFFA" wp14:editId="55004206">
            <wp:extent cx="3704897" cy="1654810"/>
            <wp:effectExtent l="0" t="0" r="0" b="2540"/>
            <wp:docPr id="141" name="Gráfico 141">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59742FB0-48B0-4209-BC5D-2E0CD7B29C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p w14:paraId="4BD6A68F" w14:textId="49FAF8C9" w:rsidR="00A57704" w:rsidRDefault="00A57704" w:rsidP="00A57704">
      <w:pPr>
        <w:spacing w:after="0"/>
        <w:rPr>
          <w:rFonts w:ascii="Times New Roman" w:hAnsi="Times New Roman"/>
        </w:rPr>
      </w:pPr>
    </w:p>
    <w:p w14:paraId="04C09A4A" w14:textId="77777777" w:rsidR="00A57704" w:rsidRDefault="00A57704" w:rsidP="00A57704">
      <w:pPr>
        <w:spacing w:after="0" w:line="480" w:lineRule="auto"/>
        <w:jc w:val="center"/>
        <w:rPr>
          <w:rFonts w:ascii="Times New Roman" w:hAnsi="Times New Roman"/>
          <w:b/>
          <w:sz w:val="28"/>
        </w:rPr>
        <w:sectPr w:rsidR="00A57704" w:rsidSect="00A57704">
          <w:type w:val="continuous"/>
          <w:pgSz w:w="15840" w:h="12240" w:orient="landscape"/>
          <w:pgMar w:top="1276" w:right="851" w:bottom="851" w:left="1440" w:header="720" w:footer="720" w:gutter="0"/>
          <w:cols w:num="2" w:space="720"/>
          <w:docGrid w:linePitch="360"/>
        </w:sectPr>
      </w:pPr>
    </w:p>
    <w:p w14:paraId="6BEBB04B" w14:textId="77777777" w:rsidR="00A57704" w:rsidRPr="0098414F" w:rsidRDefault="00A57704" w:rsidP="00A57704">
      <w:pPr>
        <w:spacing w:after="0" w:line="480" w:lineRule="auto"/>
        <w:jc w:val="center"/>
        <w:rPr>
          <w:rFonts w:ascii="Times New Roman" w:hAnsi="Times New Roman"/>
          <w:b/>
          <w:sz w:val="28"/>
        </w:rPr>
      </w:pPr>
    </w:p>
    <w:p w14:paraId="351C2A74" w14:textId="77777777" w:rsidR="00392CAF" w:rsidRDefault="00392CAF" w:rsidP="00392CAF">
      <w:pPr>
        <w:spacing w:after="0" w:line="480" w:lineRule="auto"/>
        <w:jc w:val="center"/>
        <w:rPr>
          <w:rFonts w:ascii="Times New Roman" w:hAnsi="Times New Roman"/>
          <w:b/>
          <w:sz w:val="28"/>
        </w:rPr>
      </w:pPr>
    </w:p>
    <w:p w14:paraId="42FE1B29" w14:textId="77777777" w:rsidR="00392CAF" w:rsidRDefault="00392CAF" w:rsidP="00392CAF">
      <w:pPr>
        <w:spacing w:after="0" w:line="480" w:lineRule="auto"/>
        <w:jc w:val="center"/>
        <w:rPr>
          <w:rFonts w:ascii="Times New Roman" w:hAnsi="Times New Roman"/>
          <w:b/>
          <w:sz w:val="28"/>
        </w:rPr>
      </w:pPr>
    </w:p>
    <w:p w14:paraId="55465762" w14:textId="77777777" w:rsidR="00A57704" w:rsidRPr="0098414F" w:rsidRDefault="00A57704" w:rsidP="00392CAF">
      <w:pPr>
        <w:spacing w:after="0" w:line="480" w:lineRule="auto"/>
        <w:jc w:val="center"/>
        <w:rPr>
          <w:rFonts w:ascii="Times New Roman" w:hAnsi="Times New Roman"/>
          <w:b/>
          <w:sz w:val="28"/>
        </w:rPr>
      </w:pPr>
    </w:p>
    <w:p w14:paraId="2964D9CC" w14:textId="77777777" w:rsidR="00392CAF" w:rsidRPr="0098414F" w:rsidRDefault="00392CAF" w:rsidP="00392CAF">
      <w:pPr>
        <w:spacing w:after="0" w:line="480" w:lineRule="auto"/>
        <w:jc w:val="center"/>
        <w:rPr>
          <w:rFonts w:ascii="Times New Roman" w:hAnsi="Times New Roman"/>
          <w:b/>
          <w:sz w:val="28"/>
        </w:rPr>
      </w:pPr>
    </w:p>
    <w:p w14:paraId="1D044226" w14:textId="77777777" w:rsidR="00392CAF" w:rsidRPr="0098414F" w:rsidRDefault="00392CAF" w:rsidP="00392CAF">
      <w:pPr>
        <w:spacing w:after="0" w:line="480" w:lineRule="auto"/>
        <w:jc w:val="center"/>
        <w:rPr>
          <w:rFonts w:ascii="Times New Roman" w:hAnsi="Times New Roman"/>
          <w:b/>
          <w:sz w:val="28"/>
        </w:rPr>
      </w:pPr>
      <w:r>
        <w:rPr>
          <w:rFonts w:ascii="Times New Roman" w:hAnsi="Times New Roman"/>
          <w:b/>
          <w:sz w:val="28"/>
        </w:rPr>
        <w:t>Anexo J</w:t>
      </w:r>
      <w:r w:rsidRPr="0098414F">
        <w:rPr>
          <w:rFonts w:ascii="Times New Roman" w:hAnsi="Times New Roman"/>
          <w:b/>
          <w:sz w:val="28"/>
        </w:rPr>
        <w:t>:</w:t>
      </w:r>
    </w:p>
    <w:p w14:paraId="476A79E1" w14:textId="77777777" w:rsidR="00392CAF" w:rsidRDefault="00392CAF" w:rsidP="00392CAF">
      <w:pPr>
        <w:spacing w:after="0" w:line="480" w:lineRule="auto"/>
        <w:jc w:val="center"/>
        <w:rPr>
          <w:rFonts w:ascii="Times New Roman" w:hAnsi="Times New Roman"/>
          <w:b/>
          <w:sz w:val="28"/>
        </w:rPr>
      </w:pPr>
      <w:r>
        <w:rPr>
          <w:rFonts w:ascii="Times New Roman" w:hAnsi="Times New Roman"/>
          <w:b/>
          <w:sz w:val="28"/>
        </w:rPr>
        <w:t>Evolución y gráfico mensual de las reservas de agua por embalse y región hidrográfica</w:t>
      </w:r>
    </w:p>
    <w:p w14:paraId="5AD290EB" w14:textId="77777777" w:rsidR="00392CAF" w:rsidRPr="0098414F" w:rsidRDefault="00392CAF" w:rsidP="00392CAF">
      <w:pPr>
        <w:spacing w:after="0" w:line="480" w:lineRule="auto"/>
        <w:jc w:val="center"/>
        <w:rPr>
          <w:rFonts w:ascii="Times New Roman" w:hAnsi="Times New Roman"/>
          <w:b/>
          <w:sz w:val="28"/>
        </w:rPr>
      </w:pPr>
      <w:r>
        <w:rPr>
          <w:rFonts w:ascii="Times New Roman" w:hAnsi="Times New Roman"/>
          <w:b/>
          <w:sz w:val="28"/>
        </w:rPr>
        <w:t>Valores expresados en millones de metros cúbicos, mmc)</w:t>
      </w:r>
    </w:p>
    <w:p w14:paraId="5B0E5B97" w14:textId="77777777" w:rsidR="00392CAF" w:rsidRPr="0098414F" w:rsidRDefault="00392CAF" w:rsidP="00392CAF">
      <w:pPr>
        <w:spacing w:after="0" w:line="480" w:lineRule="auto"/>
        <w:jc w:val="center"/>
        <w:rPr>
          <w:rFonts w:ascii="Times New Roman" w:hAnsi="Times New Roman"/>
          <w:b/>
          <w:sz w:val="28"/>
        </w:rPr>
      </w:pPr>
    </w:p>
    <w:p w14:paraId="50DC8FFD" w14:textId="77777777" w:rsidR="00392CAF" w:rsidRPr="0098414F" w:rsidRDefault="00392CAF" w:rsidP="00392CAF">
      <w:pPr>
        <w:spacing w:after="0" w:line="480" w:lineRule="auto"/>
        <w:jc w:val="center"/>
        <w:rPr>
          <w:rFonts w:ascii="Times New Roman" w:hAnsi="Times New Roman"/>
          <w:b/>
          <w:sz w:val="28"/>
        </w:rPr>
      </w:pPr>
    </w:p>
    <w:p w14:paraId="388CB879" w14:textId="77777777" w:rsidR="00392CAF" w:rsidRDefault="00392CAF" w:rsidP="00392CAF">
      <w:pPr>
        <w:spacing w:after="0"/>
        <w:rPr>
          <w:rFonts w:ascii="Times New Roman" w:hAnsi="Times New Roman"/>
        </w:rPr>
        <w:sectPr w:rsidR="00392CAF" w:rsidSect="00F23205">
          <w:headerReference w:type="default" r:id="rId201"/>
          <w:type w:val="continuous"/>
          <w:pgSz w:w="15840" w:h="12240" w:orient="landscape"/>
          <w:pgMar w:top="1276" w:right="851" w:bottom="851" w:left="1440" w:header="720" w:footer="720" w:gutter="0"/>
          <w:cols w:space="720"/>
          <w:docGrid w:linePitch="360"/>
        </w:sectPr>
      </w:pPr>
    </w:p>
    <w:p w14:paraId="098DD273" w14:textId="77777777" w:rsidR="00392CAF" w:rsidRDefault="00392CAF" w:rsidP="00392CAF">
      <w:pPr>
        <w:spacing w:after="0"/>
        <w:rPr>
          <w:rFonts w:ascii="Times New Roman" w:hAnsi="Times New Roman"/>
        </w:rPr>
      </w:pPr>
      <w:r w:rsidRPr="0098414F">
        <w:rPr>
          <w:rFonts w:ascii="Times New Roman" w:hAnsi="Times New Roman"/>
          <w:noProof/>
          <w:lang w:eastAsia="es-DO"/>
        </w:rPr>
        <mc:AlternateContent>
          <mc:Choice Requires="wps">
            <w:drawing>
              <wp:anchor distT="0" distB="0" distL="114300" distR="114300" simplePos="0" relativeHeight="251704320" behindDoc="0" locked="0" layoutInCell="1" allowOverlap="1" wp14:anchorId="2C772624" wp14:editId="71FEF22A">
                <wp:simplePos x="0" y="0"/>
                <wp:positionH relativeFrom="margin">
                  <wp:posOffset>7363460</wp:posOffset>
                </wp:positionH>
                <wp:positionV relativeFrom="paragraph">
                  <wp:posOffset>2130381</wp:posOffset>
                </wp:positionV>
                <wp:extent cx="1402715" cy="425450"/>
                <wp:effectExtent l="0" t="0" r="26035" b="12700"/>
                <wp:wrapNone/>
                <wp:docPr id="230" name="4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71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630E70F" id="48 Rectángulo" o:spid="_x0000_s1026" style="position:absolute;margin-left:579.8pt;margin-top:167.75pt;width:110.45pt;height:33.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" fillcolor="white [3212]" strokecolor="white [3212]" strokeweight="2pt">
                <v:path arrowok="t"/>
                <w10:wrap anchorx="margin"/>
              </v:rect>
            </w:pict>
          </mc:Fallback>
        </mc:AlternateContent>
      </w:r>
      <w:r w:rsidRPr="0098414F">
        <w:rPr>
          <w:rFonts w:ascii="Times New Roman" w:hAnsi="Times New Roman"/>
        </w:rPr>
        <w:br w:type="page"/>
      </w:r>
    </w:p>
    <w:p w14:paraId="20CF4D1C" w14:textId="77777777" w:rsidR="00392CAF" w:rsidRDefault="00392CAF" w:rsidP="00392CAF">
      <w:pPr>
        <w:spacing w:after="0"/>
        <w:rPr>
          <w:rFonts w:ascii="Times New Roman" w:hAnsi="Times New Roman"/>
        </w:rPr>
      </w:pPr>
    </w:p>
    <w:p w14:paraId="4BCE0203" w14:textId="77777777" w:rsidR="00392CAF" w:rsidRDefault="00392CAF" w:rsidP="00392CAF">
      <w:pPr>
        <w:spacing w:after="0" w:line="480" w:lineRule="auto"/>
        <w:jc w:val="center"/>
        <w:rPr>
          <w:rFonts w:ascii="Times New Roman" w:hAnsi="Times New Roman"/>
          <w:b/>
          <w:sz w:val="28"/>
        </w:rPr>
      </w:pPr>
      <w:r>
        <w:rPr>
          <w:rFonts w:ascii="Times New Roman" w:hAnsi="Times New Roman"/>
          <w:b/>
          <w:sz w:val="28"/>
        </w:rPr>
        <w:t xml:space="preserve">Evolución mensual </w:t>
      </w:r>
      <w:r w:rsidR="00665F10">
        <w:rPr>
          <w:rFonts w:ascii="Times New Roman" w:hAnsi="Times New Roman"/>
          <w:b/>
          <w:sz w:val="28"/>
        </w:rPr>
        <w:t xml:space="preserve">(inicio de mes) </w:t>
      </w:r>
      <w:r>
        <w:rPr>
          <w:rFonts w:ascii="Times New Roman" w:hAnsi="Times New Roman"/>
          <w:b/>
          <w:sz w:val="28"/>
        </w:rPr>
        <w:t>de las reservas de agua por embalse y región hidrográfica</w:t>
      </w:r>
      <w:r w:rsidR="00DC18EA">
        <w:rPr>
          <w:rStyle w:val="Refdenotaalpie"/>
          <w:rFonts w:ascii="Times New Roman" w:hAnsi="Times New Roman"/>
          <w:b/>
          <w:sz w:val="28"/>
        </w:rPr>
        <w:footnoteReference w:id="47"/>
      </w:r>
    </w:p>
    <w:p w14:paraId="39301AEF" w14:textId="77777777" w:rsidR="00392CAF" w:rsidRDefault="00392CAF" w:rsidP="00392CAF">
      <w:pPr>
        <w:spacing w:after="0"/>
        <w:rPr>
          <w:rFonts w:ascii="Times New Roman" w:hAnsi="Times New Roman"/>
        </w:rPr>
      </w:pPr>
    </w:p>
    <w:p w14:paraId="0586279B" w14:textId="7D884006" w:rsidR="00392CAF" w:rsidRDefault="00665F10" w:rsidP="00392CAF">
      <w:pPr>
        <w:spacing w:after="0"/>
        <w:rPr>
          <w:rFonts w:ascii="Times New Roman" w:hAnsi="Times New Roman"/>
        </w:rPr>
      </w:pPr>
      <w:r w:rsidRPr="00665F10">
        <w:rPr>
          <w:noProof/>
          <w:lang w:eastAsia="es-DO"/>
        </w:rPr>
        <w:drawing>
          <wp:inline distT="0" distB="0" distL="0" distR="0" wp14:anchorId="2B4E0D79" wp14:editId="51FF39E3">
            <wp:extent cx="8894901" cy="3138985"/>
            <wp:effectExtent l="0" t="0" r="1905" b="4445"/>
            <wp:docPr id="175"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8900727" cy="3141041"/>
                    </a:xfrm>
                    <a:prstGeom prst="rect">
                      <a:avLst/>
                    </a:prstGeom>
                    <a:noFill/>
                    <a:ln>
                      <a:noFill/>
                    </a:ln>
                  </pic:spPr>
                </pic:pic>
              </a:graphicData>
            </a:graphic>
          </wp:inline>
        </w:drawing>
      </w:r>
    </w:p>
    <w:p w14:paraId="06AA248D" w14:textId="77777777" w:rsidR="00392CAF" w:rsidRDefault="00392CAF" w:rsidP="00392CAF">
      <w:pPr>
        <w:spacing w:after="0"/>
        <w:rPr>
          <w:rFonts w:ascii="Times New Roman" w:hAnsi="Times New Roman"/>
        </w:rPr>
      </w:pPr>
    </w:p>
    <w:p w14:paraId="4848F463" w14:textId="77777777" w:rsidR="00392CAF" w:rsidRDefault="00392CAF" w:rsidP="00392CAF">
      <w:pPr>
        <w:spacing w:after="0"/>
        <w:rPr>
          <w:rFonts w:ascii="Times New Roman" w:hAnsi="Times New Roman"/>
        </w:rPr>
      </w:pPr>
    </w:p>
    <w:p w14:paraId="31D45887" w14:textId="77777777" w:rsidR="00392CAF" w:rsidRDefault="00392CAF" w:rsidP="00392CAF">
      <w:pPr>
        <w:spacing w:after="0"/>
        <w:rPr>
          <w:rFonts w:ascii="Times New Roman" w:hAnsi="Times New Roman"/>
        </w:rPr>
      </w:pPr>
    </w:p>
    <w:p w14:paraId="3A54EF5C" w14:textId="77777777" w:rsidR="00392CAF" w:rsidRDefault="00392CAF" w:rsidP="00392CAF">
      <w:pPr>
        <w:spacing w:after="0"/>
        <w:rPr>
          <w:rFonts w:ascii="Times New Roman" w:hAnsi="Times New Roman"/>
        </w:rPr>
      </w:pPr>
    </w:p>
    <w:p w14:paraId="676F7EBA" w14:textId="77777777" w:rsidR="00392CAF" w:rsidRDefault="00392CAF" w:rsidP="00392CAF">
      <w:pPr>
        <w:spacing w:after="0"/>
        <w:rPr>
          <w:rFonts w:ascii="Times New Roman" w:hAnsi="Times New Roman"/>
        </w:rPr>
      </w:pPr>
    </w:p>
    <w:p w14:paraId="3B5D8B66" w14:textId="77777777" w:rsidR="00392CAF" w:rsidRDefault="00392CAF" w:rsidP="00392CAF">
      <w:pPr>
        <w:spacing w:after="0"/>
        <w:rPr>
          <w:rFonts w:ascii="Times New Roman" w:hAnsi="Times New Roman"/>
        </w:rPr>
      </w:pPr>
    </w:p>
    <w:p w14:paraId="0EB99C21" w14:textId="77777777" w:rsidR="00392CAF" w:rsidRDefault="00392CAF" w:rsidP="00392CAF">
      <w:pPr>
        <w:spacing w:after="0"/>
        <w:rPr>
          <w:rFonts w:ascii="Times New Roman" w:hAnsi="Times New Roman"/>
        </w:rPr>
      </w:pPr>
    </w:p>
    <w:p w14:paraId="01A749D3" w14:textId="77777777" w:rsidR="00392CAF" w:rsidRDefault="00392CAF" w:rsidP="00392CAF"/>
    <w:p w14:paraId="09C7E119" w14:textId="77777777" w:rsidR="00392CAF" w:rsidRDefault="00392CAF" w:rsidP="00392CAF"/>
    <w:p w14:paraId="54132D76" w14:textId="6C2CB7CF" w:rsidR="00392CAF" w:rsidRDefault="004F5C2C" w:rsidP="00392CAF">
      <w:r>
        <w:rPr>
          <w:noProof/>
          <w:lang w:eastAsia="es-DO"/>
        </w:rPr>
        <w:lastRenderedPageBreak/>
        <mc:AlternateContent>
          <mc:Choice Requires="wps">
            <w:drawing>
              <wp:anchor distT="0" distB="0" distL="114300" distR="114300" simplePos="0" relativeHeight="251732992" behindDoc="0" locked="0" layoutInCell="1" allowOverlap="1" wp14:anchorId="0A946774" wp14:editId="638C51FB">
                <wp:simplePos x="0" y="0"/>
                <wp:positionH relativeFrom="column">
                  <wp:posOffset>7825563</wp:posOffset>
                </wp:positionH>
                <wp:positionV relativeFrom="paragraph">
                  <wp:posOffset>-436068</wp:posOffset>
                </wp:positionV>
                <wp:extent cx="945515" cy="318977"/>
                <wp:effectExtent l="0" t="0" r="26035" b="24130"/>
                <wp:wrapNone/>
                <wp:docPr id="194" name="Rectángulo 194"/>
                <wp:cNvGraphicFramePr/>
                <a:graphic xmlns:a="http://schemas.openxmlformats.org/drawingml/2006/main">
                  <a:graphicData uri="http://schemas.microsoft.com/office/word/2010/wordprocessingShape">
                    <wps:wsp>
                      <wps:cNvSpPr/>
                      <wps:spPr>
                        <a:xfrm>
                          <a:off x="0" y="0"/>
                          <a:ext cx="945515" cy="31897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rect w14:anchorId="3EF43A18" id="Rectángulo 194" o:spid="_x0000_s1026" style="position:absolute;margin-left:616.2pt;margin-top:-34.35pt;width:74.45pt;height:25.1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" fillcolor="white [3212]" strokecolor="white [3212]" strokeweight="2pt"/>
            </w:pict>
          </mc:Fallback>
        </mc:AlternateContent>
      </w:r>
    </w:p>
    <w:p w14:paraId="43744E69" w14:textId="1466847F" w:rsidR="00373B1A" w:rsidRPr="0098414F" w:rsidRDefault="004828C2" w:rsidP="00373B1A">
      <w:pPr>
        <w:spacing w:after="0" w:line="480" w:lineRule="auto"/>
        <w:jc w:val="center"/>
        <w:rPr>
          <w:rFonts w:ascii="Times New Roman" w:hAnsi="Times New Roman"/>
          <w:b/>
          <w:sz w:val="28"/>
        </w:rPr>
      </w:pPr>
      <w:r>
        <w:rPr>
          <w:rFonts w:ascii="Times New Roman" w:hAnsi="Times New Roman"/>
          <w:b/>
          <w:noProof/>
          <w:sz w:val="28"/>
          <w:lang w:eastAsia="es-DO"/>
        </w:rPr>
        <mc:AlternateContent>
          <mc:Choice Requires="wps">
            <w:drawing>
              <wp:anchor distT="0" distB="0" distL="114300" distR="114300" simplePos="0" relativeHeight="251730944" behindDoc="0" locked="0" layoutInCell="1" allowOverlap="1" wp14:anchorId="3BF5BC80" wp14:editId="3002D925">
                <wp:simplePos x="0" y="0"/>
                <wp:positionH relativeFrom="column">
                  <wp:posOffset>7902054</wp:posOffset>
                </wp:positionH>
                <wp:positionV relativeFrom="paragraph">
                  <wp:posOffset>-417024</wp:posOffset>
                </wp:positionV>
                <wp:extent cx="846161" cy="300250"/>
                <wp:effectExtent l="0" t="0" r="11430" b="24130"/>
                <wp:wrapNone/>
                <wp:docPr id="183" name="Rectángulo 183"/>
                <wp:cNvGraphicFramePr/>
                <a:graphic xmlns:a="http://schemas.openxmlformats.org/drawingml/2006/main">
                  <a:graphicData uri="http://schemas.microsoft.com/office/word/2010/wordprocessingShape">
                    <wps:wsp>
                      <wps:cNvSpPr/>
                      <wps:spPr>
                        <a:xfrm>
                          <a:off x="0" y="0"/>
                          <a:ext cx="846161" cy="300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54BC91B" id="Rectángulo 183" o:spid="_x0000_s1026" style="position:absolute;margin-left:622.2pt;margin-top:-32.85pt;width:66.65pt;height:23.6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" fillcolor="white [3212]" strokecolor="white [3212]" strokeweight="2pt"/>
            </w:pict>
          </mc:Fallback>
        </mc:AlternateContent>
      </w:r>
    </w:p>
    <w:p w14:paraId="5FF0E3BD" w14:textId="77777777" w:rsidR="00373B1A" w:rsidRPr="0098414F" w:rsidRDefault="00373B1A" w:rsidP="00373B1A">
      <w:pPr>
        <w:spacing w:after="0" w:line="480" w:lineRule="auto"/>
        <w:jc w:val="center"/>
        <w:rPr>
          <w:rFonts w:ascii="Times New Roman" w:hAnsi="Times New Roman"/>
          <w:b/>
          <w:sz w:val="28"/>
        </w:rPr>
      </w:pPr>
    </w:p>
    <w:p w14:paraId="375DC272" w14:textId="77777777" w:rsidR="00373B1A" w:rsidRPr="0098414F" w:rsidRDefault="00373B1A" w:rsidP="00373B1A">
      <w:pPr>
        <w:spacing w:after="0" w:line="480" w:lineRule="auto"/>
        <w:jc w:val="center"/>
        <w:rPr>
          <w:rFonts w:ascii="Times New Roman" w:hAnsi="Times New Roman"/>
          <w:b/>
          <w:sz w:val="28"/>
        </w:rPr>
      </w:pPr>
    </w:p>
    <w:p w14:paraId="22F961C3" w14:textId="77777777" w:rsidR="00373B1A" w:rsidRPr="0098414F" w:rsidRDefault="00373B1A" w:rsidP="00373B1A">
      <w:pPr>
        <w:spacing w:after="0" w:line="480" w:lineRule="auto"/>
        <w:jc w:val="center"/>
        <w:rPr>
          <w:rFonts w:ascii="Times New Roman" w:hAnsi="Times New Roman"/>
          <w:b/>
          <w:sz w:val="28"/>
        </w:rPr>
      </w:pPr>
    </w:p>
    <w:p w14:paraId="54284138" w14:textId="77777777" w:rsidR="00373B1A" w:rsidRPr="0098414F" w:rsidRDefault="00373B1A" w:rsidP="00373B1A">
      <w:pPr>
        <w:spacing w:after="0" w:line="480" w:lineRule="auto"/>
        <w:jc w:val="center"/>
        <w:rPr>
          <w:rFonts w:ascii="Times New Roman" w:hAnsi="Times New Roman"/>
          <w:b/>
          <w:sz w:val="28"/>
        </w:rPr>
      </w:pPr>
    </w:p>
    <w:p w14:paraId="275AD0D8" w14:textId="08452F2E" w:rsidR="00373B1A" w:rsidRPr="0098414F" w:rsidRDefault="00373B1A" w:rsidP="00373B1A">
      <w:pPr>
        <w:spacing w:after="0" w:line="480" w:lineRule="auto"/>
        <w:jc w:val="center"/>
        <w:rPr>
          <w:rFonts w:ascii="Times New Roman" w:hAnsi="Times New Roman"/>
          <w:b/>
          <w:sz w:val="28"/>
        </w:rPr>
      </w:pPr>
      <w:r>
        <w:rPr>
          <w:rFonts w:ascii="Times New Roman" w:hAnsi="Times New Roman"/>
          <w:b/>
          <w:sz w:val="28"/>
        </w:rPr>
        <w:t>Anexo K</w:t>
      </w:r>
      <w:r w:rsidRPr="0098414F">
        <w:rPr>
          <w:rFonts w:ascii="Times New Roman" w:hAnsi="Times New Roman"/>
          <w:b/>
          <w:sz w:val="28"/>
        </w:rPr>
        <w:t>:</w:t>
      </w:r>
    </w:p>
    <w:p w14:paraId="5A2ED344" w14:textId="77777777" w:rsidR="00373B1A" w:rsidRDefault="00373B1A" w:rsidP="00373B1A">
      <w:pPr>
        <w:spacing w:after="0" w:line="480" w:lineRule="auto"/>
        <w:jc w:val="center"/>
        <w:rPr>
          <w:rFonts w:ascii="Times New Roman" w:hAnsi="Times New Roman"/>
          <w:b/>
          <w:sz w:val="28"/>
        </w:rPr>
      </w:pPr>
      <w:r>
        <w:rPr>
          <w:rFonts w:ascii="Times New Roman" w:hAnsi="Times New Roman"/>
          <w:b/>
          <w:sz w:val="28"/>
        </w:rPr>
        <w:t>Gráfico mensual de las reservas de agua por embalse y región hidrográfica</w:t>
      </w:r>
    </w:p>
    <w:p w14:paraId="620ABD97" w14:textId="48680905" w:rsidR="00373B1A" w:rsidRDefault="00373B1A" w:rsidP="00373B1A">
      <w:pPr>
        <w:spacing w:after="0" w:line="480" w:lineRule="auto"/>
        <w:jc w:val="center"/>
        <w:rPr>
          <w:rFonts w:ascii="Times New Roman" w:hAnsi="Times New Roman"/>
          <w:b/>
          <w:sz w:val="28"/>
        </w:rPr>
      </w:pPr>
    </w:p>
    <w:p w14:paraId="511842DD" w14:textId="77777777" w:rsidR="00373B1A" w:rsidRPr="0098414F" w:rsidRDefault="00373B1A" w:rsidP="00373B1A">
      <w:pPr>
        <w:spacing w:after="0" w:line="480" w:lineRule="auto"/>
        <w:jc w:val="center"/>
        <w:rPr>
          <w:rFonts w:ascii="Times New Roman" w:hAnsi="Times New Roman"/>
          <w:b/>
          <w:sz w:val="28"/>
        </w:rPr>
      </w:pPr>
    </w:p>
    <w:p w14:paraId="2AC9FF8A" w14:textId="77777777" w:rsidR="00373B1A" w:rsidRPr="0098414F" w:rsidRDefault="00373B1A" w:rsidP="00373B1A">
      <w:pPr>
        <w:spacing w:after="0" w:line="480" w:lineRule="auto"/>
        <w:jc w:val="center"/>
        <w:rPr>
          <w:rFonts w:ascii="Times New Roman" w:hAnsi="Times New Roman"/>
          <w:b/>
          <w:sz w:val="28"/>
        </w:rPr>
      </w:pPr>
    </w:p>
    <w:p w14:paraId="225D1026" w14:textId="77777777" w:rsidR="00373B1A" w:rsidRPr="0098414F" w:rsidRDefault="00373B1A" w:rsidP="00373B1A">
      <w:pPr>
        <w:spacing w:after="0" w:line="480" w:lineRule="auto"/>
        <w:jc w:val="center"/>
        <w:rPr>
          <w:rFonts w:ascii="Times New Roman" w:hAnsi="Times New Roman"/>
          <w:b/>
          <w:sz w:val="28"/>
        </w:rPr>
      </w:pPr>
    </w:p>
    <w:p w14:paraId="55B4304F" w14:textId="77777777" w:rsidR="004828C2" w:rsidRDefault="00373B1A" w:rsidP="00373B1A">
      <w:pPr>
        <w:spacing w:after="0"/>
        <w:rPr>
          <w:rFonts w:ascii="Times New Roman" w:hAnsi="Times New Roman"/>
        </w:rPr>
        <w:sectPr w:rsidR="004828C2" w:rsidSect="00392CAF">
          <w:headerReference w:type="default" r:id="rId203"/>
          <w:type w:val="continuous"/>
          <w:pgSz w:w="15840" w:h="12240" w:orient="landscape"/>
          <w:pgMar w:top="1276" w:right="851" w:bottom="851" w:left="1440" w:header="720" w:footer="720" w:gutter="0"/>
          <w:cols w:space="720"/>
          <w:docGrid w:linePitch="360"/>
        </w:sectPr>
      </w:pPr>
      <w:r w:rsidRPr="0098414F">
        <w:rPr>
          <w:rFonts w:ascii="Times New Roman" w:hAnsi="Times New Roman"/>
          <w:noProof/>
          <w:lang w:eastAsia="es-DO"/>
        </w:rPr>
        <mc:AlternateContent>
          <mc:Choice Requires="wps">
            <w:drawing>
              <wp:anchor distT="0" distB="0" distL="114300" distR="114300" simplePos="0" relativeHeight="251728896" behindDoc="0" locked="0" layoutInCell="1" allowOverlap="1" wp14:anchorId="50040A85" wp14:editId="461471DF">
                <wp:simplePos x="0" y="0"/>
                <wp:positionH relativeFrom="margin">
                  <wp:posOffset>7363460</wp:posOffset>
                </wp:positionH>
                <wp:positionV relativeFrom="paragraph">
                  <wp:posOffset>2162175</wp:posOffset>
                </wp:positionV>
                <wp:extent cx="1402715" cy="425450"/>
                <wp:effectExtent l="0" t="0" r="26035" b="12700"/>
                <wp:wrapNone/>
                <wp:docPr id="177" name="4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71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9C6A45D" id="48 Rectángulo" o:spid="_x0000_s1026" style="position:absolute;margin-left:579.8pt;margin-top:170.25pt;width:110.45pt;height:33.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" fillcolor="white [3212]" strokecolor="white [3212]" strokeweight="2pt">
                <v:path arrowok="t"/>
                <w10:wrap anchorx="margin"/>
              </v:rect>
            </w:pict>
          </mc:Fallback>
        </mc:AlternateContent>
      </w:r>
      <w:r w:rsidRPr="0098414F">
        <w:rPr>
          <w:rFonts w:ascii="Times New Roman" w:hAnsi="Times New Roman"/>
        </w:rPr>
        <w:br w:type="page"/>
      </w:r>
    </w:p>
    <w:p w14:paraId="6741526D" w14:textId="0E7265B3" w:rsidR="00373B1A" w:rsidRDefault="00373B1A" w:rsidP="00373B1A">
      <w:pPr>
        <w:spacing w:after="0"/>
        <w:rPr>
          <w:rFonts w:ascii="Times New Roman" w:hAnsi="Times New Roman"/>
        </w:rPr>
      </w:pPr>
    </w:p>
    <w:p w14:paraId="61FC2378" w14:textId="11C80B2D" w:rsidR="00A91E4E" w:rsidRDefault="00665F10" w:rsidP="00392CAF">
      <w:r w:rsidRPr="00665F10">
        <w:rPr>
          <w:noProof/>
          <w:lang w:eastAsia="es-DO"/>
        </w:rPr>
        <w:drawing>
          <wp:inline distT="0" distB="0" distL="0" distR="0" wp14:anchorId="22C97401" wp14:editId="5AADE1C4">
            <wp:extent cx="8603615" cy="5753100"/>
            <wp:effectExtent l="0" t="0" r="6985" b="0"/>
            <wp:docPr id="176" name="Gráfico 176">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0000000-0008-0000-02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inline>
        </w:drawing>
      </w:r>
    </w:p>
    <w:p w14:paraId="426184D4" w14:textId="32319DCC" w:rsidR="00373B1A" w:rsidRDefault="00373B1A" w:rsidP="00392CAF"/>
    <w:p w14:paraId="3423B9B5" w14:textId="0EB13055" w:rsidR="00373B1A" w:rsidRPr="0098414F" w:rsidRDefault="004828C2" w:rsidP="00373B1A">
      <w:pPr>
        <w:spacing w:after="0" w:line="480" w:lineRule="auto"/>
        <w:jc w:val="center"/>
        <w:rPr>
          <w:rFonts w:ascii="Times New Roman" w:hAnsi="Times New Roman"/>
          <w:b/>
          <w:sz w:val="28"/>
        </w:rPr>
      </w:pPr>
      <w:r>
        <w:rPr>
          <w:rFonts w:ascii="Times New Roman" w:hAnsi="Times New Roman"/>
          <w:b/>
          <w:noProof/>
          <w:sz w:val="28"/>
          <w:lang w:eastAsia="es-DO"/>
        </w:rPr>
        <w:lastRenderedPageBreak/>
        <mc:AlternateContent>
          <mc:Choice Requires="wps">
            <w:drawing>
              <wp:anchor distT="0" distB="0" distL="114300" distR="114300" simplePos="0" relativeHeight="251729920" behindDoc="0" locked="0" layoutInCell="1" allowOverlap="1" wp14:anchorId="3E97D45E" wp14:editId="0316BEEC">
                <wp:simplePos x="0" y="0"/>
                <wp:positionH relativeFrom="column">
                  <wp:posOffset>7833815</wp:posOffset>
                </wp:positionH>
                <wp:positionV relativeFrom="paragraph">
                  <wp:posOffset>-471615</wp:posOffset>
                </wp:positionV>
                <wp:extent cx="938691" cy="327546"/>
                <wp:effectExtent l="0" t="0" r="13970" b="15875"/>
                <wp:wrapNone/>
                <wp:docPr id="178" name="Rectángulo 178"/>
                <wp:cNvGraphicFramePr/>
                <a:graphic xmlns:a="http://schemas.openxmlformats.org/drawingml/2006/main">
                  <a:graphicData uri="http://schemas.microsoft.com/office/word/2010/wordprocessingShape">
                    <wps:wsp>
                      <wps:cNvSpPr/>
                      <wps:spPr>
                        <a:xfrm>
                          <a:off x="0" y="0"/>
                          <a:ext cx="938691" cy="32754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4059B00" id="Rectángulo 178" o:spid="_x0000_s1026" style="position:absolute;margin-left:616.85pt;margin-top:-37.15pt;width:73.9pt;height:25.8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" fillcolor="white [3212]" strokecolor="white [3212]" strokeweight="2pt"/>
            </w:pict>
          </mc:Fallback>
        </mc:AlternateContent>
      </w:r>
    </w:p>
    <w:p w14:paraId="59981A49" w14:textId="77777777" w:rsidR="00373B1A" w:rsidRPr="0098414F" w:rsidRDefault="00373B1A" w:rsidP="00373B1A">
      <w:pPr>
        <w:spacing w:after="0" w:line="480" w:lineRule="auto"/>
        <w:jc w:val="center"/>
        <w:rPr>
          <w:rFonts w:ascii="Times New Roman" w:hAnsi="Times New Roman"/>
          <w:b/>
          <w:sz w:val="28"/>
        </w:rPr>
      </w:pPr>
    </w:p>
    <w:p w14:paraId="3B3551F0" w14:textId="77777777" w:rsidR="00373B1A" w:rsidRPr="0098414F" w:rsidRDefault="00373B1A" w:rsidP="00373B1A">
      <w:pPr>
        <w:spacing w:after="0" w:line="480" w:lineRule="auto"/>
        <w:jc w:val="center"/>
        <w:rPr>
          <w:rFonts w:ascii="Times New Roman" w:hAnsi="Times New Roman"/>
          <w:b/>
          <w:sz w:val="28"/>
        </w:rPr>
      </w:pPr>
    </w:p>
    <w:p w14:paraId="079541DA" w14:textId="77777777" w:rsidR="00373B1A" w:rsidRPr="0098414F" w:rsidRDefault="00373B1A" w:rsidP="00373B1A">
      <w:pPr>
        <w:spacing w:after="0" w:line="480" w:lineRule="auto"/>
        <w:jc w:val="center"/>
        <w:rPr>
          <w:rFonts w:ascii="Times New Roman" w:hAnsi="Times New Roman"/>
          <w:b/>
          <w:sz w:val="28"/>
        </w:rPr>
      </w:pPr>
    </w:p>
    <w:p w14:paraId="040BFDA0" w14:textId="77777777" w:rsidR="00373B1A" w:rsidRPr="0098414F" w:rsidRDefault="00373B1A" w:rsidP="00373B1A">
      <w:pPr>
        <w:spacing w:after="0" w:line="480" w:lineRule="auto"/>
        <w:jc w:val="center"/>
        <w:rPr>
          <w:rFonts w:ascii="Times New Roman" w:hAnsi="Times New Roman"/>
          <w:b/>
          <w:sz w:val="28"/>
        </w:rPr>
      </w:pPr>
    </w:p>
    <w:p w14:paraId="5B0D83CB" w14:textId="619ACA47" w:rsidR="00373B1A" w:rsidRPr="0098414F" w:rsidRDefault="00373B1A" w:rsidP="00373B1A">
      <w:pPr>
        <w:spacing w:after="0" w:line="480" w:lineRule="auto"/>
        <w:jc w:val="center"/>
        <w:rPr>
          <w:rFonts w:ascii="Times New Roman" w:hAnsi="Times New Roman"/>
          <w:b/>
          <w:sz w:val="28"/>
        </w:rPr>
      </w:pPr>
      <w:r>
        <w:rPr>
          <w:rFonts w:ascii="Times New Roman" w:hAnsi="Times New Roman"/>
          <w:b/>
          <w:sz w:val="28"/>
        </w:rPr>
        <w:t xml:space="preserve">Anexo </w:t>
      </w:r>
      <w:r w:rsidR="004828C2">
        <w:rPr>
          <w:rFonts w:ascii="Times New Roman" w:hAnsi="Times New Roman"/>
          <w:b/>
          <w:sz w:val="28"/>
        </w:rPr>
        <w:t>L</w:t>
      </w:r>
      <w:r w:rsidRPr="0098414F">
        <w:rPr>
          <w:rFonts w:ascii="Times New Roman" w:hAnsi="Times New Roman"/>
          <w:b/>
          <w:sz w:val="28"/>
        </w:rPr>
        <w:t>:</w:t>
      </w:r>
    </w:p>
    <w:p w14:paraId="3085E414" w14:textId="5235296F" w:rsidR="00373B1A" w:rsidRDefault="004828C2" w:rsidP="00373B1A">
      <w:pPr>
        <w:spacing w:after="0" w:line="480" w:lineRule="auto"/>
        <w:jc w:val="center"/>
        <w:rPr>
          <w:rFonts w:ascii="Times New Roman" w:hAnsi="Times New Roman"/>
          <w:b/>
          <w:sz w:val="28"/>
        </w:rPr>
      </w:pPr>
      <w:r>
        <w:rPr>
          <w:rFonts w:ascii="Times New Roman" w:hAnsi="Times New Roman"/>
          <w:b/>
          <w:sz w:val="28"/>
        </w:rPr>
        <w:t xml:space="preserve">Imágenes de productos, bienes y servicios </w:t>
      </w:r>
      <w:r w:rsidR="004F5C2C">
        <w:rPr>
          <w:rFonts w:ascii="Times New Roman" w:hAnsi="Times New Roman"/>
          <w:b/>
          <w:sz w:val="28"/>
        </w:rPr>
        <w:t>públicos</w:t>
      </w:r>
    </w:p>
    <w:p w14:paraId="1B8BAB3C" w14:textId="77777777" w:rsidR="00373B1A" w:rsidRPr="0098414F" w:rsidRDefault="00373B1A" w:rsidP="00373B1A">
      <w:pPr>
        <w:spacing w:after="0" w:line="480" w:lineRule="auto"/>
        <w:jc w:val="center"/>
        <w:rPr>
          <w:rFonts w:ascii="Times New Roman" w:hAnsi="Times New Roman"/>
          <w:b/>
          <w:sz w:val="28"/>
        </w:rPr>
      </w:pPr>
    </w:p>
    <w:p w14:paraId="5834D9B6" w14:textId="77777777" w:rsidR="00373B1A" w:rsidRPr="0098414F" w:rsidRDefault="00373B1A" w:rsidP="00373B1A">
      <w:pPr>
        <w:spacing w:after="0" w:line="480" w:lineRule="auto"/>
        <w:jc w:val="center"/>
        <w:rPr>
          <w:rFonts w:ascii="Times New Roman" w:hAnsi="Times New Roman"/>
          <w:b/>
          <w:sz w:val="28"/>
        </w:rPr>
      </w:pPr>
    </w:p>
    <w:p w14:paraId="7E910ECE" w14:textId="77777777" w:rsidR="00373B1A" w:rsidRPr="0098414F" w:rsidRDefault="00373B1A" w:rsidP="00373B1A">
      <w:pPr>
        <w:spacing w:after="0" w:line="480" w:lineRule="auto"/>
        <w:jc w:val="center"/>
        <w:rPr>
          <w:rFonts w:ascii="Times New Roman" w:hAnsi="Times New Roman"/>
          <w:b/>
          <w:sz w:val="28"/>
        </w:rPr>
      </w:pPr>
    </w:p>
    <w:p w14:paraId="52D24399" w14:textId="77777777" w:rsidR="00373B1A" w:rsidRDefault="00373B1A" w:rsidP="00373B1A">
      <w:pPr>
        <w:spacing w:after="0"/>
        <w:rPr>
          <w:rFonts w:ascii="Times New Roman" w:hAnsi="Times New Roman"/>
        </w:rPr>
        <w:sectPr w:rsidR="00373B1A" w:rsidSect="004828C2">
          <w:headerReference w:type="default" r:id="rId205"/>
          <w:pgSz w:w="15840" w:h="12240" w:orient="landscape"/>
          <w:pgMar w:top="1276" w:right="851" w:bottom="851" w:left="1440" w:header="720" w:footer="720" w:gutter="0"/>
          <w:cols w:space="720"/>
          <w:docGrid w:linePitch="360"/>
        </w:sectPr>
      </w:pPr>
      <w:r w:rsidRPr="0098414F">
        <w:rPr>
          <w:rFonts w:ascii="Times New Roman" w:hAnsi="Times New Roman"/>
          <w:noProof/>
          <w:lang w:eastAsia="es-DO"/>
        </w:rPr>
        <mc:AlternateContent>
          <mc:Choice Requires="wps">
            <w:drawing>
              <wp:anchor distT="0" distB="0" distL="114300" distR="114300" simplePos="0" relativeHeight="251726848" behindDoc="0" locked="0" layoutInCell="1" allowOverlap="1" wp14:anchorId="632D7697" wp14:editId="622B6235">
                <wp:simplePos x="0" y="0"/>
                <wp:positionH relativeFrom="margin">
                  <wp:posOffset>7363460</wp:posOffset>
                </wp:positionH>
                <wp:positionV relativeFrom="paragraph">
                  <wp:posOffset>2162175</wp:posOffset>
                </wp:positionV>
                <wp:extent cx="1402715" cy="425450"/>
                <wp:effectExtent l="0" t="0" r="26035" b="12700"/>
                <wp:wrapNone/>
                <wp:docPr id="173" name="4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715" cy="425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23C0699" id="48 Rectángulo" o:spid="_x0000_s1026" style="position:absolute;margin-left:579.8pt;margin-top:170.25pt;width:110.45pt;height:33.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" fillcolor="white [3212]" strokecolor="white [3212]" strokeweight="2pt">
                <v:path arrowok="t"/>
                <w10:wrap anchorx="margin"/>
              </v:rect>
            </w:pict>
          </mc:Fallback>
        </mc:AlternateContent>
      </w:r>
      <w:r w:rsidRPr="0098414F">
        <w:rPr>
          <w:rFonts w:ascii="Times New Roman" w:hAnsi="Times New Roman"/>
        </w:rPr>
        <w:br w:type="page"/>
      </w:r>
    </w:p>
    <w:p w14:paraId="6D7EF3AA" w14:textId="77777777" w:rsidR="001103BF" w:rsidRPr="009F2276" w:rsidRDefault="001103BF" w:rsidP="001103BF">
      <w:pPr>
        <w:tabs>
          <w:tab w:val="left" w:pos="1689"/>
        </w:tabs>
        <w:jc w:val="both"/>
        <w:rPr>
          <w:rFonts w:ascii="Times New Roman" w:hAnsi="Times New Roman"/>
          <w:b/>
          <w:sz w:val="28"/>
          <w:lang w:eastAsia="es-DO"/>
        </w:rPr>
      </w:pPr>
      <w:r w:rsidRPr="009F2276">
        <w:rPr>
          <w:rFonts w:ascii="Times New Roman" w:hAnsi="Times New Roman"/>
          <w:b/>
          <w:sz w:val="28"/>
          <w:lang w:eastAsia="es-DO"/>
        </w:rPr>
        <w:lastRenderedPageBreak/>
        <w:t>Equipos Pesados y Livianos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gridCol w:w="320"/>
      </w:tblGrid>
      <w:tr w:rsidR="001103BF" w14:paraId="2C079CC5" w14:textId="77777777" w:rsidTr="001103BF">
        <w:trPr>
          <w:gridAfter w:val="1"/>
          <w:wAfter w:w="320" w:type="dxa"/>
          <w:jc w:val="center"/>
        </w:trPr>
        <w:tc>
          <w:tcPr>
            <w:tcW w:w="8720" w:type="dxa"/>
          </w:tcPr>
          <w:p w14:paraId="3A56B918" w14:textId="77777777" w:rsidR="001103BF" w:rsidRDefault="001103BF" w:rsidP="001103BF">
            <w:pPr>
              <w:tabs>
                <w:tab w:val="left" w:pos="1689"/>
              </w:tabs>
              <w:jc w:val="center"/>
              <w:rPr>
                <w:rFonts w:ascii="Times New Roman" w:hAnsi="Times New Roman"/>
                <w:lang w:eastAsia="es-DO"/>
              </w:rPr>
            </w:pPr>
            <w:r w:rsidRPr="00030FC6">
              <w:rPr>
                <w:rFonts w:ascii="Times New Roman" w:hAnsi="Times New Roman"/>
                <w:noProof/>
                <w:lang w:eastAsia="es-DO"/>
              </w:rPr>
              <w:drawing>
                <wp:inline distT="0" distB="0" distL="0" distR="0" wp14:anchorId="2F23575E" wp14:editId="24C123A7">
                  <wp:extent cx="5400040" cy="3530009"/>
                  <wp:effectExtent l="0" t="0" r="0" b="0"/>
                  <wp:docPr id="10737418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5408070" cy="3535258"/>
                          </a:xfrm>
                          <a:prstGeom prst="rect">
                            <a:avLst/>
                          </a:prstGeom>
                          <a:ln>
                            <a:noFill/>
                          </a:ln>
                          <a:effectLst>
                            <a:softEdge rad="112500"/>
                          </a:effectLst>
                        </pic:spPr>
                      </pic:pic>
                    </a:graphicData>
                  </a:graphic>
                </wp:inline>
              </w:drawing>
            </w:r>
          </w:p>
        </w:tc>
      </w:tr>
      <w:tr w:rsidR="001103BF" w14:paraId="212B1C32" w14:textId="77777777" w:rsidTr="001103BF">
        <w:trPr>
          <w:jc w:val="center"/>
        </w:trPr>
        <w:tc>
          <w:tcPr>
            <w:tcW w:w="9040" w:type="dxa"/>
            <w:gridSpan w:val="2"/>
          </w:tcPr>
          <w:p w14:paraId="55A11EE5" w14:textId="77777777" w:rsidR="001103BF" w:rsidRDefault="001103BF" w:rsidP="001103BF">
            <w:pPr>
              <w:tabs>
                <w:tab w:val="left" w:pos="1689"/>
              </w:tabs>
              <w:jc w:val="center"/>
              <w:rPr>
                <w:rFonts w:ascii="Times New Roman" w:hAnsi="Times New Roman"/>
                <w:lang w:eastAsia="es-DO"/>
              </w:rPr>
            </w:pPr>
            <w:r w:rsidRPr="00030FC6">
              <w:rPr>
                <w:rFonts w:ascii="Times New Roman" w:hAnsi="Times New Roman"/>
                <w:noProof/>
                <w:lang w:eastAsia="es-DO"/>
              </w:rPr>
              <w:drawing>
                <wp:inline distT="0" distB="0" distL="0" distR="0" wp14:anchorId="7222EF1C" wp14:editId="0A6C0012">
                  <wp:extent cx="5400040" cy="3924494"/>
                  <wp:effectExtent l="0" t="0" r="0" b="0"/>
                  <wp:docPr id="10737418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07">
                            <a:extLst>
                              <a:ext uri="{28A0092B-C50C-407E-A947-70E740481C1C}">
                                <a14:useLocalDpi xmlns:a14="http://schemas.microsoft.com/office/drawing/2010/main" val="0"/>
                              </a:ext>
                            </a:extLst>
                          </a:blip>
                          <a:stretch>
                            <a:fillRect/>
                          </a:stretch>
                        </pic:blipFill>
                        <pic:spPr>
                          <a:xfrm>
                            <a:off x="0" y="0"/>
                            <a:ext cx="5411054" cy="3932498"/>
                          </a:xfrm>
                          <a:prstGeom prst="rect">
                            <a:avLst/>
                          </a:prstGeom>
                          <a:ln>
                            <a:noFill/>
                          </a:ln>
                          <a:effectLst>
                            <a:softEdge rad="112500"/>
                          </a:effectLst>
                        </pic:spPr>
                      </pic:pic>
                    </a:graphicData>
                  </a:graphic>
                </wp:inline>
              </w:drawing>
            </w:r>
          </w:p>
        </w:tc>
      </w:tr>
    </w:tbl>
    <w:p w14:paraId="0DE57E50" w14:textId="77777777" w:rsidR="001103BF" w:rsidRDefault="001103BF" w:rsidP="001103BF">
      <w:pPr>
        <w:tabs>
          <w:tab w:val="left" w:pos="1689"/>
        </w:tabs>
        <w:jc w:val="both"/>
        <w:rPr>
          <w:rFonts w:ascii="Times New Roman" w:hAnsi="Times New Roman"/>
          <w:lang w:eastAsia="es-DO"/>
        </w:rPr>
      </w:pPr>
    </w:p>
    <w:p w14:paraId="76557EF7" w14:textId="77777777" w:rsidR="001103BF" w:rsidRPr="009F2276" w:rsidRDefault="001103BF" w:rsidP="001103BF">
      <w:r w:rsidRPr="009F2276">
        <w:rPr>
          <w:rFonts w:ascii="Times New Roman" w:hAnsi="Times New Roman"/>
          <w:b/>
          <w:sz w:val="28"/>
          <w:lang w:eastAsia="es-DO"/>
        </w:rPr>
        <w:lastRenderedPageBreak/>
        <w:t>Centros de secado vallejuelo y San Juan de la Maguana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6"/>
      </w:tblGrid>
      <w:tr w:rsidR="001103BF" w:rsidRPr="00FF0594" w14:paraId="71B18A78" w14:textId="77777777" w:rsidTr="001103BF">
        <w:tc>
          <w:tcPr>
            <w:tcW w:w="8504" w:type="dxa"/>
          </w:tcPr>
          <w:p w14:paraId="48F4C836" w14:textId="77777777" w:rsidR="001103BF" w:rsidRPr="00FF0594" w:rsidRDefault="001103BF" w:rsidP="001103BF">
            <w:pPr>
              <w:tabs>
                <w:tab w:val="left" w:pos="1689"/>
              </w:tabs>
              <w:jc w:val="both"/>
              <w:rPr>
                <w:rFonts w:ascii="Times New Roman" w:hAnsi="Times New Roman"/>
                <w:lang w:eastAsia="es-DO"/>
              </w:rPr>
            </w:pPr>
            <w:r w:rsidRPr="00FF0594">
              <w:rPr>
                <w:rFonts w:ascii="Times New Roman" w:hAnsi="Times New Roman"/>
                <w:noProof/>
                <w:lang w:eastAsia="es-DO"/>
              </w:rPr>
              <w:drawing>
                <wp:inline distT="0" distB="0" distL="0" distR="0" wp14:anchorId="376A7CD4" wp14:editId="0B43A5B0">
                  <wp:extent cx="5330726" cy="2998381"/>
                  <wp:effectExtent l="0" t="0" r="3810" b="0"/>
                  <wp:docPr id="1073741861" name="Imagen 107374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336329" cy="3001533"/>
                          </a:xfrm>
                          <a:prstGeom prst="rect">
                            <a:avLst/>
                          </a:prstGeom>
                          <a:ln>
                            <a:noFill/>
                          </a:ln>
                          <a:effectLst>
                            <a:softEdge rad="112500"/>
                          </a:effectLst>
                        </pic:spPr>
                      </pic:pic>
                    </a:graphicData>
                  </a:graphic>
                </wp:inline>
              </w:drawing>
            </w:r>
          </w:p>
        </w:tc>
      </w:tr>
    </w:tbl>
    <w:p w14:paraId="431A090B" w14:textId="77777777" w:rsidR="001103BF" w:rsidRPr="00FF0594" w:rsidRDefault="001103BF" w:rsidP="001103BF">
      <w:pPr>
        <w:tabs>
          <w:tab w:val="left" w:pos="1689"/>
        </w:tabs>
        <w:jc w:val="both"/>
        <w:rPr>
          <w:rFonts w:ascii="Times New Roman" w:hAnsi="Times New Roman"/>
          <w:lang w:eastAsia="es-D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1"/>
      </w:tblGrid>
      <w:tr w:rsidR="001103BF" w:rsidRPr="00FF0594" w14:paraId="325EBA13" w14:textId="77777777" w:rsidTr="001103BF">
        <w:tc>
          <w:tcPr>
            <w:tcW w:w="8494" w:type="dxa"/>
          </w:tcPr>
          <w:p w14:paraId="58D9B0C1" w14:textId="77777777" w:rsidR="001103BF" w:rsidRPr="00FF0594" w:rsidRDefault="001103BF" w:rsidP="001103BF">
            <w:pPr>
              <w:tabs>
                <w:tab w:val="left" w:pos="1689"/>
              </w:tabs>
              <w:jc w:val="both"/>
              <w:rPr>
                <w:rFonts w:ascii="Times New Roman" w:hAnsi="Times New Roman"/>
                <w:lang w:eastAsia="es-DO"/>
              </w:rPr>
            </w:pPr>
            <w:r w:rsidRPr="00FF0594">
              <w:rPr>
                <w:rFonts w:ascii="Times New Roman" w:hAnsi="Times New Roman"/>
                <w:noProof/>
                <w:lang w:eastAsia="es-DO"/>
              </w:rPr>
              <w:drawing>
                <wp:inline distT="0" distB="0" distL="0" distR="0" wp14:anchorId="3D380E28" wp14:editId="2A83D75E">
                  <wp:extent cx="5305647" cy="3037697"/>
                  <wp:effectExtent l="0" t="0" r="0" b="0"/>
                  <wp:docPr id="2" name="Imagen 1" descr="C:\Users\Jesús Abraham\AppData\Local\Microsoft\Windows\INetCache\Content.Word\IMG-20181217-WA0001.jpg"/>
                  <wp:cNvGraphicFramePr/>
                  <a:graphic xmlns:a="http://schemas.openxmlformats.org/drawingml/2006/main">
                    <a:graphicData uri="http://schemas.openxmlformats.org/drawingml/2006/picture">
                      <pic:pic xmlns:pic="http://schemas.openxmlformats.org/drawingml/2006/picture">
                        <pic:nvPicPr>
                          <pic:cNvPr id="2" name="Imagen 1" descr="C:\Users\Jesús Abraham\AppData\Local\Microsoft\Windows\INetCache\Content.Word\IMG-20181217-WA0001.jpg"/>
                          <pic:cNvPicPr/>
                        </pic:nvPicPr>
                        <pic:blipFill rotWithShape="1">
                          <a:blip r:embed="rId209" cstate="print">
                            <a:extLst>
                              <a:ext uri="{28A0092B-C50C-407E-A947-70E740481C1C}">
                                <a14:useLocalDpi xmlns:a14="http://schemas.microsoft.com/office/drawing/2010/main" val="0"/>
                              </a:ext>
                            </a:extLst>
                          </a:blip>
                          <a:srcRect r="3892" b="20912"/>
                          <a:stretch/>
                        </pic:blipFill>
                        <pic:spPr bwMode="auto">
                          <a:xfrm>
                            <a:off x="0" y="0"/>
                            <a:ext cx="5312776" cy="3041779"/>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bl>
    <w:p w14:paraId="77153C32" w14:textId="77777777" w:rsidR="001103BF" w:rsidRDefault="001103BF" w:rsidP="001103BF">
      <w:pPr>
        <w:rPr>
          <w:rFonts w:ascii="Times New Roman" w:hAnsi="Times New Roman"/>
          <w:b/>
          <w:lang w:eastAsia="es-DO"/>
        </w:rPr>
      </w:pPr>
    </w:p>
    <w:p w14:paraId="04B34D71" w14:textId="77777777" w:rsidR="001103BF" w:rsidRDefault="001103BF" w:rsidP="001103BF">
      <w:pPr>
        <w:rPr>
          <w:rFonts w:ascii="Times New Roman" w:hAnsi="Times New Roman"/>
          <w:b/>
          <w:lang w:eastAsia="es-DO"/>
        </w:rPr>
      </w:pPr>
      <w:r>
        <w:rPr>
          <w:rFonts w:ascii="Times New Roman" w:hAnsi="Times New Roman"/>
          <w:b/>
          <w:lang w:eastAsia="es-DO"/>
        </w:rPr>
        <w:br w:type="page"/>
      </w:r>
    </w:p>
    <w:p w14:paraId="6DAEA484" w14:textId="77777777" w:rsidR="001103BF" w:rsidRPr="009F2276" w:rsidRDefault="001103BF" w:rsidP="001103BF">
      <w:pPr>
        <w:tabs>
          <w:tab w:val="left" w:pos="1689"/>
        </w:tabs>
        <w:jc w:val="both"/>
        <w:rPr>
          <w:rFonts w:ascii="Times New Roman" w:hAnsi="Times New Roman"/>
          <w:b/>
          <w:sz w:val="28"/>
          <w:lang w:eastAsia="es-DO"/>
        </w:rPr>
      </w:pPr>
      <w:r w:rsidRPr="009F2276">
        <w:rPr>
          <w:rFonts w:ascii="Times New Roman" w:hAnsi="Times New Roman"/>
          <w:b/>
          <w:sz w:val="28"/>
          <w:lang w:eastAsia="es-DO"/>
        </w:rPr>
        <w:lastRenderedPageBreak/>
        <w:t>Construcción y Rehabilitación OFICINAS REGIONALES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1103BF" w14:paraId="3A79F7E6" w14:textId="77777777" w:rsidTr="001103BF">
        <w:tc>
          <w:tcPr>
            <w:tcW w:w="8494" w:type="dxa"/>
          </w:tcPr>
          <w:p w14:paraId="5FEA4C32" w14:textId="77777777" w:rsidR="001103BF" w:rsidRDefault="001103BF" w:rsidP="001103BF">
            <w:pPr>
              <w:tabs>
                <w:tab w:val="left" w:pos="1689"/>
              </w:tabs>
              <w:jc w:val="both"/>
              <w:rPr>
                <w:rFonts w:ascii="Times New Roman" w:hAnsi="Times New Roman"/>
                <w:lang w:eastAsia="es-DO"/>
              </w:rPr>
            </w:pPr>
            <w:r w:rsidRPr="001A5984">
              <w:rPr>
                <w:rFonts w:ascii="Times New Roman" w:hAnsi="Times New Roman"/>
                <w:noProof/>
                <w:lang w:eastAsia="es-DO"/>
              </w:rPr>
              <w:drawing>
                <wp:inline distT="0" distB="0" distL="0" distR="0" wp14:anchorId="1EEA0BE4" wp14:editId="13D6DC08">
                  <wp:extent cx="5400040" cy="3476847"/>
                  <wp:effectExtent l="0" t="0" r="0" b="9525"/>
                  <wp:docPr id="1073741862" name="Imagen 1" descr="WhatsApp Image 2019-05-02 at 6"/>
                  <wp:cNvGraphicFramePr/>
                  <a:graphic xmlns:a="http://schemas.openxmlformats.org/drawingml/2006/main">
                    <a:graphicData uri="http://schemas.openxmlformats.org/drawingml/2006/picture">
                      <pic:pic xmlns:pic="http://schemas.openxmlformats.org/drawingml/2006/picture">
                        <pic:nvPicPr>
                          <pic:cNvPr id="2" name="Imagen 1" descr="WhatsApp Image 2019-05-02 at 6"/>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402548" cy="3478462"/>
                          </a:xfrm>
                          <a:prstGeom prst="rect">
                            <a:avLst/>
                          </a:prstGeom>
                          <a:ln>
                            <a:noFill/>
                          </a:ln>
                          <a:effectLst>
                            <a:softEdge rad="112500"/>
                          </a:effectLst>
                        </pic:spPr>
                      </pic:pic>
                    </a:graphicData>
                  </a:graphic>
                </wp:inline>
              </w:drawing>
            </w:r>
          </w:p>
        </w:tc>
      </w:tr>
      <w:tr w:rsidR="001103BF" w14:paraId="1583123E" w14:textId="77777777" w:rsidTr="001103BF">
        <w:tc>
          <w:tcPr>
            <w:tcW w:w="8494" w:type="dxa"/>
          </w:tcPr>
          <w:p w14:paraId="7428154F" w14:textId="77777777" w:rsidR="001103BF" w:rsidRDefault="001103BF" w:rsidP="001103BF">
            <w:pPr>
              <w:tabs>
                <w:tab w:val="left" w:pos="1689"/>
              </w:tabs>
              <w:jc w:val="both"/>
              <w:rPr>
                <w:rFonts w:ascii="Times New Roman" w:hAnsi="Times New Roman"/>
                <w:lang w:eastAsia="es-DO"/>
              </w:rPr>
            </w:pPr>
          </w:p>
          <w:p w14:paraId="40C660F9" w14:textId="77777777" w:rsidR="001103BF" w:rsidRDefault="001103BF" w:rsidP="001103BF">
            <w:pPr>
              <w:tabs>
                <w:tab w:val="left" w:pos="1689"/>
              </w:tabs>
              <w:jc w:val="both"/>
              <w:rPr>
                <w:rFonts w:ascii="Times New Roman" w:hAnsi="Times New Roman"/>
                <w:lang w:eastAsia="es-DO"/>
              </w:rPr>
            </w:pPr>
            <w:r w:rsidRPr="001A5984">
              <w:rPr>
                <w:rFonts w:ascii="Times New Roman" w:hAnsi="Times New Roman"/>
                <w:noProof/>
                <w:lang w:eastAsia="es-DO"/>
              </w:rPr>
              <w:drawing>
                <wp:inline distT="0" distB="0" distL="0" distR="0" wp14:anchorId="34C3ED35" wp14:editId="5B6FDCF9">
                  <wp:extent cx="5400040" cy="3551274"/>
                  <wp:effectExtent l="0" t="0" r="0" b="0"/>
                  <wp:docPr id="1073741863" name="Imagen 1" descr="WhatsApp Image 2019-05-02 at 6"/>
                  <wp:cNvGraphicFramePr/>
                  <a:graphic xmlns:a="http://schemas.openxmlformats.org/drawingml/2006/main">
                    <a:graphicData uri="http://schemas.openxmlformats.org/drawingml/2006/picture">
                      <pic:pic xmlns:pic="http://schemas.openxmlformats.org/drawingml/2006/picture">
                        <pic:nvPicPr>
                          <pic:cNvPr id="2" name="Imagen 1" descr="WhatsApp Image 2019-05-02 at 6"/>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401039" cy="3551931"/>
                          </a:xfrm>
                          <a:prstGeom prst="rect">
                            <a:avLst/>
                          </a:prstGeom>
                          <a:ln>
                            <a:noFill/>
                          </a:ln>
                          <a:effectLst>
                            <a:softEdge rad="112500"/>
                          </a:effectLst>
                        </pic:spPr>
                      </pic:pic>
                    </a:graphicData>
                  </a:graphic>
                </wp:inline>
              </w:drawing>
            </w:r>
          </w:p>
        </w:tc>
      </w:tr>
    </w:tbl>
    <w:p w14:paraId="605F8992" w14:textId="77777777" w:rsidR="001103BF" w:rsidRDefault="001103BF" w:rsidP="001103BF">
      <w:pPr>
        <w:tabs>
          <w:tab w:val="left" w:pos="1689"/>
        </w:tabs>
        <w:jc w:val="both"/>
        <w:rPr>
          <w:rFonts w:ascii="Times New Roman" w:hAnsi="Times New Roman"/>
          <w:lang w:eastAsia="es-DO"/>
        </w:rPr>
      </w:pPr>
    </w:p>
    <w:p w14:paraId="378D77DC" w14:textId="77777777" w:rsidR="001103BF" w:rsidRPr="00FF0594" w:rsidRDefault="001103BF" w:rsidP="001103BF">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imes New Roman" w:hAnsi="Times New Roman" w:cs="Times New Roman"/>
          <w:b/>
          <w:color w:val="auto"/>
        </w:rPr>
      </w:pPr>
      <w:r>
        <w:rPr>
          <w:rFonts w:ascii="Times New Roman" w:hAnsi="Times New Roman" w:cs="Times New Roman"/>
          <w:b/>
          <w:color w:val="auto"/>
        </w:rPr>
        <w:lastRenderedPageBreak/>
        <w:t xml:space="preserve">Variedad de arroz </w:t>
      </w:r>
      <w:r w:rsidRPr="00FF0594">
        <w:rPr>
          <w:rFonts w:ascii="Times New Roman" w:hAnsi="Times New Roman" w:cs="Times New Roman"/>
          <w:b/>
          <w:color w:val="auto"/>
        </w:rPr>
        <w:t xml:space="preserve">LRC juma 69-20 </w:t>
      </w:r>
      <w:r w:rsidRPr="00FF0594">
        <w:rPr>
          <w:rFonts w:ascii="Times New Roman" w:hAnsi="Times New Roman" w:cs="Times New Roman"/>
          <w:b/>
          <w:color w:val="auto"/>
          <w:u w:val="single"/>
        </w:rPr>
        <w:t>con</w:t>
      </w:r>
      <w:r w:rsidRPr="00FF0594">
        <w:rPr>
          <w:rFonts w:ascii="Times New Roman" w:hAnsi="Times New Roman" w:cs="Times New Roman"/>
          <w:b/>
          <w:color w:val="auto"/>
        </w:rPr>
        <w:t xml:space="preserve"> herbicida quizalofop-BIOARRO</w:t>
      </w:r>
      <w:r>
        <w:rPr>
          <w:rFonts w:ascii="Times New Roman" w:hAnsi="Times New Roman" w:cs="Times New Roman"/>
          <w:b/>
          <w:color w:val="auto"/>
        </w:rPr>
        <w:t>Z</w:t>
      </w:r>
    </w:p>
    <w:tbl>
      <w:tblPr>
        <w:tblStyle w:val="Tablaconcuadrcula"/>
        <w:tblpPr w:leftFromText="141" w:rightFromText="141" w:vertAnchor="page" w:horzAnchor="margin" w:tblpX="548" w:tblpY="22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1103BF" w:rsidRPr="00FF0594" w14:paraId="1E105A0B" w14:textId="77777777" w:rsidTr="00151228">
        <w:trPr>
          <w:trHeight w:val="4597"/>
        </w:trPr>
        <w:tc>
          <w:tcPr>
            <w:tcW w:w="8789" w:type="dxa"/>
          </w:tcPr>
          <w:p w14:paraId="493C0172" w14:textId="77777777" w:rsidR="001103BF" w:rsidRPr="00FF0594" w:rsidRDefault="001103BF" w:rsidP="001103BF">
            <w:pPr>
              <w:jc w:val="center"/>
              <w:rPr>
                <w:rFonts w:ascii="Times New Roman" w:hAnsi="Times New Roman"/>
              </w:rPr>
            </w:pPr>
            <w:r w:rsidRPr="00FF0594">
              <w:rPr>
                <w:rFonts w:ascii="Times New Roman" w:hAnsi="Times New Roman"/>
                <w:noProof/>
                <w:lang w:eastAsia="es-DO"/>
              </w:rPr>
              <w:drawing>
                <wp:inline distT="0" distB="0" distL="0" distR="0" wp14:anchorId="6D7D2AAD" wp14:editId="2FCFF4FD">
                  <wp:extent cx="4513220" cy="2907695"/>
                  <wp:effectExtent l="0" t="0" r="1905" b="6985"/>
                  <wp:docPr id="1073741825" name="unkn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unknown.jpg"/>
                          <pic:cNvPicPr>
                            <a:picLocks noChangeAspect="1"/>
                          </pic:cNvPicPr>
                        </pic:nvPicPr>
                        <pic:blipFill>
                          <a:blip r:embed="rId212">
                            <a:extLst>
                              <a:ext uri="{28A0092B-C50C-407E-A947-70E740481C1C}">
                                <a14:useLocalDpi xmlns:a14="http://schemas.microsoft.com/office/drawing/2010/main" val="0"/>
                              </a:ext>
                            </a:extLst>
                          </a:blip>
                          <a:srcRect/>
                          <a:stretch>
                            <a:fillRect/>
                          </a:stretch>
                        </pic:blipFill>
                        <pic:spPr>
                          <a:xfrm>
                            <a:off x="0" y="0"/>
                            <a:ext cx="4513220" cy="2907695"/>
                          </a:xfrm>
                          <a:prstGeom prst="rect">
                            <a:avLst/>
                          </a:prstGeom>
                          <a:ln>
                            <a:noFill/>
                          </a:ln>
                          <a:effectLst>
                            <a:softEdge rad="112500"/>
                          </a:effectLst>
                        </pic:spPr>
                      </pic:pic>
                    </a:graphicData>
                  </a:graphic>
                </wp:inline>
              </w:drawing>
            </w:r>
          </w:p>
        </w:tc>
      </w:tr>
      <w:tr w:rsidR="001103BF" w:rsidRPr="00FF0594" w14:paraId="650784CA" w14:textId="77777777" w:rsidTr="00151228">
        <w:trPr>
          <w:trHeight w:val="204"/>
        </w:trPr>
        <w:tc>
          <w:tcPr>
            <w:tcW w:w="8789" w:type="dxa"/>
          </w:tcPr>
          <w:p w14:paraId="745B137C" w14:textId="77777777" w:rsidR="001103BF" w:rsidRPr="00FF0594" w:rsidRDefault="001103BF" w:rsidP="001103BF">
            <w:pPr>
              <w:spacing w:after="0"/>
              <w:rPr>
                <w:rFonts w:ascii="Times New Roman" w:hAnsi="Times New Roman"/>
                <w:sz w:val="18"/>
                <w:szCs w:val="18"/>
              </w:rPr>
            </w:pPr>
            <w:r w:rsidRPr="00FF0594">
              <w:rPr>
                <w:rFonts w:ascii="Times New Roman" w:hAnsi="Times New Roman"/>
                <w:sz w:val="18"/>
                <w:szCs w:val="18"/>
              </w:rPr>
              <w:t>Izq. Efecto del herbicida quizalofop sobre  las variedades jaragua Y LRCJUMA 69-20</w:t>
            </w:r>
          </w:p>
        </w:tc>
      </w:tr>
      <w:tr w:rsidR="001103BF" w:rsidRPr="00FF0594" w14:paraId="3E8E6288" w14:textId="77777777" w:rsidTr="00151228">
        <w:trPr>
          <w:trHeight w:val="106"/>
        </w:trPr>
        <w:tc>
          <w:tcPr>
            <w:tcW w:w="8789" w:type="dxa"/>
          </w:tcPr>
          <w:p w14:paraId="6C7E2640" w14:textId="77777777" w:rsidR="001103BF" w:rsidRPr="00FF0594" w:rsidRDefault="001103BF" w:rsidP="001103BF">
            <w:pPr>
              <w:spacing w:after="0"/>
              <w:rPr>
                <w:rFonts w:ascii="Times New Roman" w:hAnsi="Times New Roman"/>
                <w:sz w:val="18"/>
                <w:szCs w:val="18"/>
              </w:rPr>
            </w:pPr>
            <w:r w:rsidRPr="00FF0594">
              <w:rPr>
                <w:rFonts w:ascii="Times New Roman" w:hAnsi="Times New Roman"/>
                <w:sz w:val="18"/>
                <w:szCs w:val="18"/>
              </w:rPr>
              <w:t>Central:  JARAGUA CON HERBICIDA QUIZALOFOP</w:t>
            </w:r>
          </w:p>
        </w:tc>
      </w:tr>
      <w:tr w:rsidR="001103BF" w:rsidRPr="00FF0594" w14:paraId="3D5AB737" w14:textId="77777777" w:rsidTr="00151228">
        <w:trPr>
          <w:trHeight w:val="204"/>
        </w:trPr>
        <w:tc>
          <w:tcPr>
            <w:tcW w:w="8789" w:type="dxa"/>
          </w:tcPr>
          <w:p w14:paraId="7766C9DA" w14:textId="469F4FAB" w:rsidR="001103BF" w:rsidRPr="00FF0594" w:rsidRDefault="001103BF" w:rsidP="001103BF">
            <w:pPr>
              <w:spacing w:after="0"/>
              <w:rPr>
                <w:rFonts w:ascii="Times New Roman" w:hAnsi="Times New Roman"/>
                <w:sz w:val="18"/>
              </w:rPr>
            </w:pPr>
            <w:r w:rsidRPr="00FF0594">
              <w:rPr>
                <w:rFonts w:ascii="Times New Roman" w:hAnsi="Times New Roman"/>
                <w:sz w:val="18"/>
              </w:rPr>
              <w:t>Derecha: LRC JUMA 69-20 SIN HERBICIDA</w:t>
            </w:r>
          </w:p>
        </w:tc>
      </w:tr>
      <w:tr w:rsidR="00151228" w:rsidRPr="00FF0594" w14:paraId="337A009C" w14:textId="77777777" w:rsidTr="00151228">
        <w:trPr>
          <w:trHeight w:val="204"/>
        </w:trPr>
        <w:tc>
          <w:tcPr>
            <w:tcW w:w="8789" w:type="dxa"/>
          </w:tcPr>
          <w:p w14:paraId="3512F627" w14:textId="68D5F86E" w:rsidR="00151228" w:rsidRPr="00FF0594" w:rsidRDefault="00151228" w:rsidP="001103BF">
            <w:pPr>
              <w:spacing w:after="0"/>
              <w:rPr>
                <w:rFonts w:ascii="Times New Roman" w:hAnsi="Times New Roman"/>
                <w:sz w:val="18"/>
              </w:rPr>
            </w:pPr>
            <w:r w:rsidRPr="00FF0594">
              <w:rPr>
                <w:rFonts w:ascii="Times New Roman" w:hAnsi="Times New Roman"/>
                <w:noProof/>
                <w:lang w:eastAsia="es-DO"/>
              </w:rPr>
              <w:drawing>
                <wp:anchor distT="0" distB="0" distL="114300" distR="114300" simplePos="0" relativeHeight="251739136" behindDoc="0" locked="0" layoutInCell="1" allowOverlap="1" wp14:anchorId="73A8900A" wp14:editId="6323F1B0">
                  <wp:simplePos x="0" y="0"/>
                  <wp:positionH relativeFrom="column">
                    <wp:posOffset>423081</wp:posOffset>
                  </wp:positionH>
                  <wp:positionV relativeFrom="paragraph">
                    <wp:posOffset>77811</wp:posOffset>
                  </wp:positionV>
                  <wp:extent cx="4699000" cy="3343275"/>
                  <wp:effectExtent l="0" t="0" r="6350" b="9525"/>
                  <wp:wrapThrough wrapText="bothSides">
                    <wp:wrapPolygon edited="0">
                      <wp:start x="350" y="0"/>
                      <wp:lineTo x="0" y="246"/>
                      <wp:lineTo x="0" y="21415"/>
                      <wp:lineTo x="350" y="21538"/>
                      <wp:lineTo x="21191" y="21538"/>
                      <wp:lineTo x="21542" y="21415"/>
                      <wp:lineTo x="21542" y="246"/>
                      <wp:lineTo x="21191" y="0"/>
                      <wp:lineTo x="350" y="0"/>
                    </wp:wrapPolygon>
                  </wp:wrapThrough>
                  <wp:docPr id="1073741864" name="Imagen 4" descr="Planta verde en el pasto&#10;&#10;Descripción generada automáticamente">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3AD0151-25AB-42E7-8CD4-DEEA20AE52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Planta verde en el pasto&#10;&#10;Descripción generada automáticamente">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3AD0151-25AB-42E7-8CD4-DEEA20AE5206}"/>
                              </a:ext>
                            </a:extLst>
                          </pic:cNvPr>
                          <pic:cNvPicPr>
                            <a:picLocks noChangeAspect="1"/>
                          </pic:cNvPicPr>
                        </pic:nvPicPr>
                        <pic:blipFill>
                          <a:blip r:embed="rId213">
                            <a:extLst>
                              <a:ext uri="{28A0092B-C50C-407E-A947-70E740481C1C}">
                                <a14:useLocalDpi xmlns:a14="http://schemas.microsoft.com/office/drawing/2010/main" val="0"/>
                              </a:ext>
                            </a:extLst>
                          </a:blip>
                          <a:stretch>
                            <a:fillRect/>
                          </a:stretch>
                        </pic:blipFill>
                        <pic:spPr>
                          <a:xfrm>
                            <a:off x="0" y="0"/>
                            <a:ext cx="4699000" cy="33432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tc>
      </w:tr>
      <w:tr w:rsidR="00151228" w:rsidRPr="00FF0594" w14:paraId="17F4B9F0" w14:textId="77777777" w:rsidTr="00151228">
        <w:trPr>
          <w:trHeight w:val="204"/>
        </w:trPr>
        <w:tc>
          <w:tcPr>
            <w:tcW w:w="8789" w:type="dxa"/>
          </w:tcPr>
          <w:p w14:paraId="547497E9" w14:textId="228DDC12" w:rsidR="00151228" w:rsidRPr="00FF0594" w:rsidRDefault="00151228" w:rsidP="001103BF">
            <w:pPr>
              <w:spacing w:after="0"/>
              <w:rPr>
                <w:rFonts w:ascii="Times New Roman" w:hAnsi="Times New Roman"/>
                <w:sz w:val="18"/>
              </w:rPr>
            </w:pPr>
            <w:r w:rsidRPr="00FF0594">
              <w:rPr>
                <w:rFonts w:ascii="Times New Roman" w:eastAsia="Calibri" w:hAnsi="Times New Roman"/>
              </w:rPr>
              <w:t>Variedad LRC JUMA 69-20 para evaluación en el registro nacional de variedades tales como pruebas regionales a nivel experimental y en campos comerciales por parte de productores.</w:t>
            </w:r>
          </w:p>
        </w:tc>
      </w:tr>
    </w:tbl>
    <w:p w14:paraId="4A2FE777" w14:textId="77777777" w:rsidR="001103BF" w:rsidRPr="00030FC6" w:rsidRDefault="001103BF" w:rsidP="001103BF">
      <w:pPr>
        <w:spacing w:after="0"/>
        <w:jc w:val="center"/>
        <w:rPr>
          <w:rFonts w:ascii="Times New Roman" w:hAnsi="Times New Roman"/>
        </w:rPr>
      </w:pPr>
      <w:r w:rsidRPr="00030FC6">
        <w:rPr>
          <w:rFonts w:ascii="Times New Roman" w:hAnsi="Times New Roman"/>
          <w:b/>
          <w:bCs/>
        </w:rPr>
        <w:t xml:space="preserve">Estación De Bombeo Aglipo I </w:t>
      </w:r>
      <w:r w:rsidRPr="00030FC6">
        <w:rPr>
          <w:rFonts w:ascii="Times New Roman" w:hAnsi="Times New Roman"/>
        </w:rPr>
        <w:t xml:space="preserve"> </w:t>
      </w:r>
      <w:r w:rsidRPr="00030FC6">
        <w:rPr>
          <w:rFonts w:ascii="Times New Roman" w:hAnsi="Times New Roman"/>
          <w:b/>
          <w:bCs/>
        </w:rPr>
        <w:t>Arenoso, Maria Trinidad Sanchez</w:t>
      </w:r>
    </w:p>
    <w:p w14:paraId="2ACF98DF" w14:textId="77777777" w:rsidR="001103BF" w:rsidRPr="00FF0594" w:rsidRDefault="001103BF" w:rsidP="001103BF">
      <w:pPr>
        <w:jc w:val="center"/>
        <w:rPr>
          <w:rFonts w:ascii="Times New Roman" w:hAnsi="Times New Roman"/>
          <w:noProof/>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0"/>
      </w:tblGrid>
      <w:tr w:rsidR="001103BF" w:rsidRPr="00FF0594" w14:paraId="209B30C2" w14:textId="77777777" w:rsidTr="001103BF">
        <w:trPr>
          <w:trHeight w:val="4692"/>
        </w:trPr>
        <w:tc>
          <w:tcPr>
            <w:tcW w:w="7900" w:type="dxa"/>
          </w:tcPr>
          <w:p w14:paraId="79287847" w14:textId="26E50485" w:rsidR="001103BF" w:rsidRPr="00FF0594" w:rsidRDefault="001103BF" w:rsidP="001103BF">
            <w:pPr>
              <w:tabs>
                <w:tab w:val="left" w:pos="1689"/>
              </w:tabs>
              <w:jc w:val="right"/>
              <w:rPr>
                <w:rFonts w:ascii="Times New Roman" w:hAnsi="Times New Roman"/>
                <w:lang w:eastAsia="es-DO"/>
              </w:rPr>
            </w:pPr>
            <w:r>
              <w:rPr>
                <w:rFonts w:ascii="Times New Roman" w:hAnsi="Times New Roman"/>
                <w:b/>
                <w:bCs/>
                <w:noProof/>
                <w:sz w:val="40"/>
                <w:szCs w:val="48"/>
                <w:lang w:eastAsia="es-DO"/>
              </w:rPr>
              <w:lastRenderedPageBreak/>
              <w:drawing>
                <wp:anchor distT="0" distB="0" distL="114300" distR="114300" simplePos="0" relativeHeight="251737088" behindDoc="0" locked="0" layoutInCell="1" allowOverlap="1" wp14:anchorId="637A7F9F" wp14:editId="669CC2AB">
                  <wp:simplePos x="0" y="0"/>
                  <wp:positionH relativeFrom="column">
                    <wp:posOffset>33655</wp:posOffset>
                  </wp:positionH>
                  <wp:positionV relativeFrom="paragraph">
                    <wp:posOffset>155575</wp:posOffset>
                  </wp:positionV>
                  <wp:extent cx="4921885" cy="2708910"/>
                  <wp:effectExtent l="95250" t="95250" r="88265" b="110490"/>
                  <wp:wrapNone/>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14">
                            <a:extLst>
                              <a:ext uri="{28A0092B-C50C-407E-A947-70E740481C1C}">
                                <a14:useLocalDpi xmlns:a14="http://schemas.microsoft.com/office/drawing/2010/main" val="0"/>
                              </a:ext>
                            </a:extLst>
                          </a:blip>
                          <a:srcRect t="20952" b="12885"/>
                          <a:stretch>
                            <a:fillRect/>
                          </a:stretch>
                        </pic:blipFill>
                        <pic:spPr bwMode="auto">
                          <a:xfrm>
                            <a:off x="0" y="0"/>
                            <a:ext cx="4921885" cy="2708910"/>
                          </a:xfrm>
                          <a:prstGeom prst="rect">
                            <a:avLst/>
                          </a:prstGeom>
                          <a:solidFill>
                            <a:srgbClr val="EDEDED"/>
                          </a:solidFill>
                          <a:ln w="88900" cap="sq">
                            <a:solidFill>
                              <a:srgbClr val="FFFFFF"/>
                            </a:solidFill>
                            <a:miter lim="800000"/>
                            <a:headEnd/>
                            <a:tailEnd/>
                          </a:ln>
                          <a:effectLst>
                            <a:outerShdw dist="18000" dir="5400000" algn="tl" rotWithShape="0">
                              <a:srgbClr val="000000">
                                <a:alpha val="39999"/>
                              </a:srgbClr>
                            </a:outerShdw>
                          </a:effectLst>
                        </pic:spPr>
                      </pic:pic>
                    </a:graphicData>
                  </a:graphic>
                  <wp14:sizeRelH relativeFrom="page">
                    <wp14:pctWidth>0</wp14:pctWidth>
                  </wp14:sizeRelH>
                  <wp14:sizeRelV relativeFrom="page">
                    <wp14:pctHeight>0</wp14:pctHeight>
                  </wp14:sizeRelV>
                </wp:anchor>
              </w:drawing>
            </w:r>
          </w:p>
        </w:tc>
      </w:tr>
      <w:tr w:rsidR="001103BF" w:rsidRPr="009F2276" w14:paraId="2C03BF5D" w14:textId="77777777" w:rsidTr="001103BF">
        <w:trPr>
          <w:trHeight w:val="294"/>
        </w:trPr>
        <w:tc>
          <w:tcPr>
            <w:tcW w:w="7900" w:type="dxa"/>
          </w:tcPr>
          <w:p w14:paraId="7CAA4AC7" w14:textId="77777777" w:rsidR="001103BF" w:rsidRPr="009F2276" w:rsidRDefault="001103BF" w:rsidP="001103BF">
            <w:pPr>
              <w:tabs>
                <w:tab w:val="left" w:pos="1689"/>
              </w:tabs>
              <w:rPr>
                <w:rFonts w:ascii="Times New Roman" w:hAnsi="Times New Roman"/>
                <w:b/>
                <w:lang w:eastAsia="es-DO"/>
              </w:rPr>
            </w:pPr>
            <w:r w:rsidRPr="009F2276">
              <w:rPr>
                <w:rFonts w:ascii="Times New Roman" w:hAnsi="Times New Roman"/>
                <w:b/>
                <w:lang w:eastAsia="es-DO"/>
              </w:rPr>
              <w:t>Antes</w:t>
            </w:r>
          </w:p>
        </w:tc>
      </w:tr>
    </w:tbl>
    <w:p w14:paraId="26D10B0F" w14:textId="77777777" w:rsidR="001103BF" w:rsidRPr="009F2276" w:rsidRDefault="001103BF" w:rsidP="001103BF">
      <w:pPr>
        <w:tabs>
          <w:tab w:val="left" w:pos="1689"/>
        </w:tabs>
        <w:rPr>
          <w:rFonts w:ascii="Times New Roman" w:hAnsi="Times New Roman"/>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0"/>
      </w:tblGrid>
      <w:tr w:rsidR="001103BF" w:rsidRPr="009F2276" w14:paraId="2E29677C" w14:textId="77777777" w:rsidTr="00151228">
        <w:trPr>
          <w:trHeight w:val="5079"/>
        </w:trPr>
        <w:tc>
          <w:tcPr>
            <w:tcW w:w="7900" w:type="dxa"/>
          </w:tcPr>
          <w:p w14:paraId="3CA201BC" w14:textId="77777777" w:rsidR="001103BF" w:rsidRPr="009F2276" w:rsidRDefault="001103BF" w:rsidP="001103BF">
            <w:pPr>
              <w:tabs>
                <w:tab w:val="left" w:pos="1689"/>
              </w:tabs>
              <w:jc w:val="right"/>
              <w:rPr>
                <w:rFonts w:ascii="Times New Roman" w:hAnsi="Times New Roman"/>
                <w:lang w:eastAsia="es-DO"/>
              </w:rPr>
            </w:pPr>
            <w:r w:rsidRPr="009F2276">
              <w:rPr>
                <w:rFonts w:ascii="Times New Roman" w:hAnsi="Times New Roman"/>
                <w:b/>
                <w:noProof/>
                <w:lang w:eastAsia="es-DO"/>
              </w:rPr>
              <w:drawing>
                <wp:anchor distT="0" distB="0" distL="114300" distR="114300" simplePos="0" relativeHeight="251736064" behindDoc="1" locked="0" layoutInCell="1" allowOverlap="1" wp14:anchorId="4E609ED6" wp14:editId="6BBA6A15">
                  <wp:simplePos x="0" y="0"/>
                  <wp:positionH relativeFrom="margin">
                    <wp:posOffset>-53603</wp:posOffset>
                  </wp:positionH>
                  <wp:positionV relativeFrom="paragraph">
                    <wp:posOffset>62252</wp:posOffset>
                  </wp:positionV>
                  <wp:extent cx="4897120" cy="3136900"/>
                  <wp:effectExtent l="0" t="0" r="0" b="635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897120" cy="31369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tc>
      </w:tr>
      <w:tr w:rsidR="001103BF" w:rsidRPr="009F2276" w14:paraId="44953803" w14:textId="77777777" w:rsidTr="001103BF">
        <w:trPr>
          <w:trHeight w:val="294"/>
        </w:trPr>
        <w:tc>
          <w:tcPr>
            <w:tcW w:w="7900" w:type="dxa"/>
          </w:tcPr>
          <w:p w14:paraId="0573BFE4" w14:textId="0DD85E08" w:rsidR="001103BF" w:rsidRPr="009F2276" w:rsidRDefault="00151228" w:rsidP="001103BF">
            <w:pPr>
              <w:tabs>
                <w:tab w:val="left" w:pos="1689"/>
              </w:tabs>
              <w:rPr>
                <w:rFonts w:ascii="Times New Roman" w:hAnsi="Times New Roman"/>
                <w:b/>
                <w:lang w:eastAsia="es-DO"/>
              </w:rPr>
            </w:pPr>
            <w:r w:rsidRPr="009F2276">
              <w:rPr>
                <w:rFonts w:ascii="Times New Roman" w:hAnsi="Times New Roman"/>
                <w:b/>
                <w:lang w:eastAsia="es-DO"/>
              </w:rPr>
              <w:t>Después</w:t>
            </w:r>
          </w:p>
        </w:tc>
      </w:tr>
    </w:tbl>
    <w:p w14:paraId="2B92AF0C" w14:textId="77777777" w:rsidR="001103BF" w:rsidRPr="009F2276" w:rsidRDefault="001103BF" w:rsidP="001103BF">
      <w:pPr>
        <w:tabs>
          <w:tab w:val="left" w:pos="1689"/>
        </w:tabs>
        <w:rPr>
          <w:rFonts w:ascii="Times New Roman" w:hAnsi="Times New Roman"/>
          <w:b/>
        </w:rPr>
      </w:pPr>
    </w:p>
    <w:p w14:paraId="35521EAD" w14:textId="77777777" w:rsidR="001103BF" w:rsidRPr="009F2276" w:rsidRDefault="001103BF" w:rsidP="001103BF">
      <w:pPr>
        <w:tabs>
          <w:tab w:val="left" w:pos="1689"/>
        </w:tabs>
        <w:rPr>
          <w:rFonts w:ascii="Times New Roman" w:hAnsi="Times New Roman"/>
          <w:b/>
        </w:rPr>
      </w:pPr>
    </w:p>
    <w:p w14:paraId="2A6F98FB" w14:textId="77777777" w:rsidR="001103BF" w:rsidRPr="00FF0594" w:rsidRDefault="001103BF" w:rsidP="001103BF">
      <w:pPr>
        <w:tabs>
          <w:tab w:val="left" w:pos="1689"/>
        </w:tabs>
        <w:rPr>
          <w:rFonts w:ascii="Times New Roman" w:hAnsi="Times New Roman"/>
          <w:b/>
          <w:sz w:val="12"/>
        </w:rPr>
      </w:pPr>
    </w:p>
    <w:p w14:paraId="164CAFA0" w14:textId="77777777" w:rsidR="001103BF" w:rsidRPr="00FF0594" w:rsidRDefault="001103BF" w:rsidP="001103BF">
      <w:pPr>
        <w:rPr>
          <w:rFonts w:ascii="Times New Roman" w:hAnsi="Times New Roman"/>
          <w:b/>
          <w:sz w:val="48"/>
        </w:rPr>
      </w:pPr>
      <w:r w:rsidRPr="00FF0594">
        <w:rPr>
          <w:rFonts w:ascii="Times New Roman" w:hAnsi="Times New Roman"/>
          <w:b/>
          <w:sz w:val="48"/>
        </w:rPr>
        <w:br w:type="page"/>
      </w:r>
    </w:p>
    <w:p w14:paraId="16FA49D2" w14:textId="77777777" w:rsidR="001103BF" w:rsidRPr="00FF0594" w:rsidRDefault="001103BF" w:rsidP="00151228">
      <w:pPr>
        <w:spacing w:after="0"/>
        <w:jc w:val="center"/>
        <w:rPr>
          <w:rFonts w:ascii="Times New Roman" w:hAnsi="Times New Roman"/>
          <w:b/>
          <w:bCs/>
          <w:sz w:val="28"/>
          <w:szCs w:val="48"/>
        </w:rPr>
      </w:pPr>
      <w:r>
        <w:rPr>
          <w:rFonts w:ascii="Times New Roman" w:hAnsi="Times New Roman"/>
          <w:b/>
          <w:bCs/>
          <w:sz w:val="28"/>
          <w:szCs w:val="48"/>
        </w:rPr>
        <w:lastRenderedPageBreak/>
        <w:t xml:space="preserve">Limpieza </w:t>
      </w:r>
      <w:r w:rsidRPr="00FF0594">
        <w:rPr>
          <w:rFonts w:ascii="Times New Roman" w:hAnsi="Times New Roman"/>
          <w:b/>
          <w:bCs/>
          <w:sz w:val="28"/>
          <w:szCs w:val="48"/>
        </w:rPr>
        <w:t>canal comendador. El llano, Elías</w:t>
      </w:r>
      <w:r>
        <w:rPr>
          <w:rFonts w:ascii="Times New Roman" w:hAnsi="Times New Roman"/>
          <w:b/>
          <w:bCs/>
          <w:sz w:val="28"/>
          <w:szCs w:val="48"/>
        </w:rPr>
        <w:t xml:space="preserve"> p</w:t>
      </w:r>
      <w:r w:rsidRPr="00FF0594">
        <w:rPr>
          <w:rFonts w:ascii="Times New Roman" w:hAnsi="Times New Roman"/>
          <w:b/>
          <w:bCs/>
          <w:sz w:val="28"/>
          <w:szCs w:val="48"/>
        </w:rPr>
        <w:t>iña</w:t>
      </w:r>
    </w:p>
    <w:p w14:paraId="1AEEB5B6" w14:textId="77777777" w:rsidR="001103BF" w:rsidRPr="00FF0594" w:rsidRDefault="001103BF" w:rsidP="001103BF">
      <w:pPr>
        <w:rPr>
          <w:rFonts w:ascii="Times New Roman" w:hAnsi="Times New Roman"/>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0"/>
      </w:tblGrid>
      <w:tr w:rsidR="001103BF" w:rsidRPr="00FF0594" w14:paraId="5821578C" w14:textId="77777777" w:rsidTr="001103BF">
        <w:trPr>
          <w:trHeight w:val="4692"/>
        </w:trPr>
        <w:tc>
          <w:tcPr>
            <w:tcW w:w="7900" w:type="dxa"/>
          </w:tcPr>
          <w:p w14:paraId="52BDD857" w14:textId="77777777" w:rsidR="001103BF" w:rsidRPr="00FF0594" w:rsidRDefault="001103BF" w:rsidP="001103BF">
            <w:pPr>
              <w:tabs>
                <w:tab w:val="left" w:pos="1689"/>
              </w:tabs>
              <w:jc w:val="right"/>
              <w:rPr>
                <w:rFonts w:ascii="Times New Roman" w:hAnsi="Times New Roman"/>
                <w:lang w:eastAsia="es-DO"/>
              </w:rPr>
            </w:pPr>
            <w:r w:rsidRPr="00FF0594">
              <w:rPr>
                <w:rFonts w:ascii="Times New Roman" w:hAnsi="Times New Roman"/>
                <w:noProof/>
                <w:lang w:eastAsia="es-DO"/>
              </w:rPr>
              <w:drawing>
                <wp:inline distT="0" distB="0" distL="0" distR="0" wp14:anchorId="69848882" wp14:editId="1C75DE30">
                  <wp:extent cx="4832396" cy="2870200"/>
                  <wp:effectExtent l="0" t="0" r="0" b="6350"/>
                  <wp:docPr id="1073741865" name="Imagen 107374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850352" cy="2880865"/>
                          </a:xfrm>
                          <a:prstGeom prst="rect">
                            <a:avLst/>
                          </a:prstGeom>
                          <a:ln>
                            <a:noFill/>
                          </a:ln>
                          <a:effectLst>
                            <a:softEdge rad="112500"/>
                          </a:effectLst>
                        </pic:spPr>
                      </pic:pic>
                    </a:graphicData>
                  </a:graphic>
                </wp:inline>
              </w:drawing>
            </w:r>
          </w:p>
        </w:tc>
      </w:tr>
      <w:tr w:rsidR="001103BF" w:rsidRPr="00FF0594" w14:paraId="36490111" w14:textId="77777777" w:rsidTr="001103BF">
        <w:trPr>
          <w:trHeight w:val="294"/>
        </w:trPr>
        <w:tc>
          <w:tcPr>
            <w:tcW w:w="7900" w:type="dxa"/>
          </w:tcPr>
          <w:p w14:paraId="12287CD0" w14:textId="77777777" w:rsidR="001103BF" w:rsidRPr="00FF0594" w:rsidRDefault="001103BF" w:rsidP="001103BF">
            <w:pPr>
              <w:tabs>
                <w:tab w:val="left" w:pos="1689"/>
              </w:tabs>
              <w:rPr>
                <w:rFonts w:ascii="Times New Roman" w:hAnsi="Times New Roman"/>
                <w:b/>
                <w:lang w:eastAsia="es-DO"/>
              </w:rPr>
            </w:pPr>
            <w:r w:rsidRPr="00FF0594">
              <w:rPr>
                <w:rFonts w:ascii="Times New Roman" w:hAnsi="Times New Roman"/>
                <w:b/>
                <w:lang w:eastAsia="es-DO"/>
              </w:rPr>
              <w:t>Antes</w:t>
            </w:r>
          </w:p>
        </w:tc>
      </w:tr>
    </w:tbl>
    <w:p w14:paraId="29BACA49" w14:textId="77777777" w:rsidR="001103BF" w:rsidRPr="00FF0594" w:rsidRDefault="001103BF" w:rsidP="001103BF">
      <w:pPr>
        <w:tabs>
          <w:tab w:val="left" w:pos="1689"/>
        </w:tabs>
        <w:rPr>
          <w:rFonts w:ascii="Times New Roman" w:hAnsi="Times New Roman"/>
          <w:lang w:eastAsia="es-D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tblGrid>
      <w:tr w:rsidR="001103BF" w:rsidRPr="00FF0594" w14:paraId="581BBE68" w14:textId="77777777" w:rsidTr="001103BF">
        <w:trPr>
          <w:trHeight w:val="301"/>
        </w:trPr>
        <w:tc>
          <w:tcPr>
            <w:tcW w:w="7933" w:type="dxa"/>
          </w:tcPr>
          <w:p w14:paraId="7DEF1594" w14:textId="77777777" w:rsidR="001103BF" w:rsidRPr="00FF0594" w:rsidRDefault="001103BF" w:rsidP="001103BF">
            <w:pPr>
              <w:tabs>
                <w:tab w:val="left" w:pos="1689"/>
              </w:tabs>
              <w:jc w:val="right"/>
              <w:rPr>
                <w:rFonts w:ascii="Times New Roman" w:hAnsi="Times New Roman"/>
                <w:lang w:eastAsia="es-DO"/>
              </w:rPr>
            </w:pPr>
            <w:r w:rsidRPr="00FF0594">
              <w:rPr>
                <w:rFonts w:ascii="Times New Roman" w:hAnsi="Times New Roman"/>
                <w:noProof/>
                <w:lang w:eastAsia="es-DO"/>
              </w:rPr>
              <w:drawing>
                <wp:inline distT="0" distB="0" distL="0" distR="0" wp14:anchorId="70D98DAF" wp14:editId="651D5FE5">
                  <wp:extent cx="4828540" cy="3189768"/>
                  <wp:effectExtent l="0" t="0" r="0" b="0"/>
                  <wp:docPr id="1073741866" name="Imagen 107374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845966" cy="3201280"/>
                          </a:xfrm>
                          <a:prstGeom prst="rect">
                            <a:avLst/>
                          </a:prstGeom>
                          <a:ln>
                            <a:noFill/>
                          </a:ln>
                          <a:effectLst>
                            <a:softEdge rad="112500"/>
                          </a:effectLst>
                        </pic:spPr>
                      </pic:pic>
                    </a:graphicData>
                  </a:graphic>
                </wp:inline>
              </w:drawing>
            </w:r>
          </w:p>
        </w:tc>
      </w:tr>
      <w:tr w:rsidR="001103BF" w:rsidRPr="00FF0594" w14:paraId="1BBB7B80" w14:textId="77777777" w:rsidTr="001103BF">
        <w:trPr>
          <w:trHeight w:val="301"/>
        </w:trPr>
        <w:tc>
          <w:tcPr>
            <w:tcW w:w="7933" w:type="dxa"/>
          </w:tcPr>
          <w:p w14:paraId="3B648E7F" w14:textId="77777777" w:rsidR="001103BF" w:rsidRPr="00FF0594" w:rsidRDefault="001103BF" w:rsidP="001103BF">
            <w:pPr>
              <w:tabs>
                <w:tab w:val="left" w:pos="1689"/>
              </w:tabs>
              <w:rPr>
                <w:rFonts w:ascii="Times New Roman" w:hAnsi="Times New Roman"/>
                <w:b/>
                <w:lang w:eastAsia="es-DO"/>
              </w:rPr>
            </w:pPr>
            <w:r w:rsidRPr="00FF0594">
              <w:rPr>
                <w:rFonts w:ascii="Times New Roman" w:hAnsi="Times New Roman"/>
                <w:b/>
                <w:lang w:eastAsia="es-DO"/>
              </w:rPr>
              <w:t>Después</w:t>
            </w:r>
          </w:p>
        </w:tc>
      </w:tr>
    </w:tbl>
    <w:p w14:paraId="027D9D6B" w14:textId="77777777" w:rsidR="001103BF" w:rsidRPr="00FF0594" w:rsidRDefault="001103BF" w:rsidP="001103BF">
      <w:pPr>
        <w:tabs>
          <w:tab w:val="left" w:pos="1689"/>
        </w:tabs>
        <w:rPr>
          <w:rFonts w:ascii="Times New Roman" w:hAnsi="Times New Roman"/>
          <w:lang w:eastAsia="es-DO"/>
        </w:rPr>
      </w:pPr>
    </w:p>
    <w:p w14:paraId="280CC307" w14:textId="77777777" w:rsidR="001103BF" w:rsidRPr="00FF0594" w:rsidRDefault="001103BF" w:rsidP="001103BF">
      <w:pPr>
        <w:rPr>
          <w:rFonts w:ascii="Times New Roman" w:hAnsi="Times New Roman"/>
          <w:lang w:eastAsia="es-DO"/>
        </w:rPr>
      </w:pPr>
      <w:r w:rsidRPr="00FF0594">
        <w:rPr>
          <w:rFonts w:ascii="Times New Roman" w:hAnsi="Times New Roman"/>
          <w:lang w:eastAsia="es-DO"/>
        </w:rPr>
        <w:br w:type="page"/>
      </w:r>
    </w:p>
    <w:p w14:paraId="0CA29D05" w14:textId="77777777" w:rsidR="001103BF" w:rsidRPr="009F2276" w:rsidRDefault="001103BF" w:rsidP="001103BF">
      <w:pPr>
        <w:rPr>
          <w:rFonts w:ascii="Times New Roman" w:hAnsi="Times New Roman"/>
          <w:sz w:val="28"/>
          <w:szCs w:val="28"/>
          <w:lang w:eastAsia="es-DO"/>
        </w:rPr>
      </w:pPr>
      <w:r w:rsidRPr="009F2276">
        <w:rPr>
          <w:rFonts w:ascii="Times New Roman" w:hAnsi="Times New Roman"/>
          <w:b/>
          <w:sz w:val="28"/>
          <w:szCs w:val="28"/>
          <w:lang w:eastAsia="es-DO"/>
        </w:rPr>
        <w:lastRenderedPageBreak/>
        <w:t xml:space="preserve">Distribución de Pacas </w:t>
      </w:r>
      <w:r w:rsidRPr="009F2276">
        <w:rPr>
          <w:rFonts w:ascii="Times New Roman" w:hAnsi="Times New Roman"/>
          <w:b/>
          <w:sz w:val="28"/>
          <w:szCs w:val="28"/>
        </w:rPr>
        <w:t>de Heno para Mitigación de Sequia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1103BF" w:rsidRPr="00FF0594" w14:paraId="0A2A605A" w14:textId="77777777" w:rsidTr="001103BF">
        <w:tc>
          <w:tcPr>
            <w:tcW w:w="8504" w:type="dxa"/>
          </w:tcPr>
          <w:p w14:paraId="556E7925" w14:textId="77777777" w:rsidR="001103BF" w:rsidRPr="00FF0594" w:rsidRDefault="001103BF" w:rsidP="001103BF">
            <w:pPr>
              <w:tabs>
                <w:tab w:val="left" w:pos="1689"/>
              </w:tabs>
              <w:jc w:val="both"/>
              <w:rPr>
                <w:rFonts w:ascii="Times New Roman" w:hAnsi="Times New Roman"/>
                <w:lang w:eastAsia="es-DO"/>
              </w:rPr>
            </w:pPr>
            <w:r w:rsidRPr="00FF0594">
              <w:rPr>
                <w:rFonts w:ascii="Times New Roman" w:hAnsi="Times New Roman"/>
                <w:noProof/>
                <w:lang w:eastAsia="es-DO"/>
              </w:rPr>
              <w:drawing>
                <wp:inline distT="0" distB="0" distL="0" distR="0" wp14:anchorId="32F4AEA2" wp14:editId="6FDC398A">
                  <wp:extent cx="5400040" cy="3424555"/>
                  <wp:effectExtent l="0" t="0" r="0" b="4445"/>
                  <wp:docPr id="1073741867" name="Imagen 1"/>
                  <wp:cNvGraphicFramePr/>
                  <a:graphic xmlns:a="http://schemas.openxmlformats.org/drawingml/2006/main">
                    <a:graphicData uri="http://schemas.openxmlformats.org/drawingml/2006/picture">
                      <pic:pic xmlns:pic="http://schemas.openxmlformats.org/drawingml/2006/picture">
                        <pic:nvPicPr>
                          <pic:cNvPr id="2" name="Imagen 1"/>
                          <pic:cNvPicPr/>
                        </pic:nvPicPr>
                        <pic:blipFill rotWithShape="1">
                          <a:blip r:embed="rId218" cstate="print"/>
                          <a:srcRect l="19521" t="32471" r="44332" b="31842"/>
                          <a:stretch/>
                        </pic:blipFill>
                        <pic:spPr bwMode="auto">
                          <a:xfrm>
                            <a:off x="0" y="0"/>
                            <a:ext cx="5400040" cy="342455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1103BF" w:rsidRPr="00FF0594" w14:paraId="3DBC188D" w14:textId="77777777" w:rsidTr="001103BF">
        <w:tc>
          <w:tcPr>
            <w:tcW w:w="8504" w:type="dxa"/>
          </w:tcPr>
          <w:p w14:paraId="16BF235B" w14:textId="77777777" w:rsidR="001103BF" w:rsidRPr="00FF0594" w:rsidRDefault="001103BF" w:rsidP="001103BF">
            <w:pPr>
              <w:tabs>
                <w:tab w:val="left" w:pos="1689"/>
              </w:tabs>
              <w:jc w:val="both"/>
              <w:rPr>
                <w:rFonts w:ascii="Times New Roman" w:hAnsi="Times New Roman"/>
                <w:lang w:eastAsia="es-DO"/>
              </w:rPr>
            </w:pPr>
          </w:p>
        </w:tc>
      </w:tr>
      <w:tr w:rsidR="001103BF" w:rsidRPr="00FF0594" w14:paraId="3D1F205E" w14:textId="77777777" w:rsidTr="001103BF">
        <w:tc>
          <w:tcPr>
            <w:tcW w:w="8504" w:type="dxa"/>
          </w:tcPr>
          <w:p w14:paraId="74069F6D" w14:textId="77777777" w:rsidR="001103BF" w:rsidRPr="00FF0594" w:rsidRDefault="001103BF" w:rsidP="001103BF">
            <w:pPr>
              <w:tabs>
                <w:tab w:val="left" w:pos="1689"/>
              </w:tabs>
              <w:jc w:val="both"/>
              <w:rPr>
                <w:rFonts w:ascii="Times New Roman" w:hAnsi="Times New Roman"/>
                <w:lang w:eastAsia="es-DO"/>
              </w:rPr>
            </w:pPr>
            <w:r w:rsidRPr="00FF0594">
              <w:rPr>
                <w:rFonts w:ascii="Times New Roman" w:hAnsi="Times New Roman"/>
                <w:noProof/>
                <w:lang w:eastAsia="es-DO"/>
              </w:rPr>
              <w:drawing>
                <wp:inline distT="0" distB="0" distL="0" distR="0" wp14:anchorId="6E986847" wp14:editId="67E56374">
                  <wp:extent cx="5400040" cy="3645535"/>
                  <wp:effectExtent l="0" t="0" r="0" b="0"/>
                  <wp:docPr id="1073741868" name="Imagen 1" descr="C:\Users\Jesús Abraham\AppData\Local\Microsoft\Windows\INetCache\Content.Word\WhatsApp Image 2019-04-25 at 5.44.50 PM.JPEG"/>
                  <wp:cNvGraphicFramePr/>
                  <a:graphic xmlns:a="http://schemas.openxmlformats.org/drawingml/2006/main">
                    <a:graphicData uri="http://schemas.openxmlformats.org/drawingml/2006/picture">
                      <pic:pic xmlns:pic="http://schemas.openxmlformats.org/drawingml/2006/picture">
                        <pic:nvPicPr>
                          <pic:cNvPr id="2" name="Imagen 1" descr="C:\Users\Jesús Abraham\AppData\Local\Microsoft\Windows\INetCache\Content.Word\WhatsApp Image 2019-04-25 at 5.44.50 PM.JPEG"/>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5400040" cy="3645535"/>
                          </a:xfrm>
                          <a:prstGeom prst="rect">
                            <a:avLst/>
                          </a:prstGeom>
                          <a:ln>
                            <a:noFill/>
                          </a:ln>
                          <a:effectLst>
                            <a:softEdge rad="112500"/>
                          </a:effectLst>
                        </pic:spPr>
                      </pic:pic>
                    </a:graphicData>
                  </a:graphic>
                </wp:inline>
              </w:drawing>
            </w:r>
          </w:p>
        </w:tc>
      </w:tr>
      <w:tr w:rsidR="001103BF" w:rsidRPr="00FF0594" w14:paraId="4C4925CA" w14:textId="77777777" w:rsidTr="001103BF">
        <w:tc>
          <w:tcPr>
            <w:tcW w:w="8504" w:type="dxa"/>
          </w:tcPr>
          <w:p w14:paraId="6E299515" w14:textId="77777777" w:rsidR="001103BF" w:rsidRPr="009F2276" w:rsidRDefault="001103BF" w:rsidP="001103BF">
            <w:pPr>
              <w:tabs>
                <w:tab w:val="left" w:pos="1689"/>
              </w:tabs>
              <w:jc w:val="both"/>
              <w:rPr>
                <w:rFonts w:ascii="Times New Roman" w:hAnsi="Times New Roman"/>
                <w:b/>
                <w:lang w:eastAsia="es-DO"/>
              </w:rPr>
            </w:pPr>
            <w:r w:rsidRPr="009F2276">
              <w:rPr>
                <w:rFonts w:ascii="Times New Roman" w:hAnsi="Times New Roman"/>
                <w:b/>
                <w:lang w:eastAsia="es-DO"/>
              </w:rPr>
              <w:t>Distribución de Silos Bolsa</w:t>
            </w:r>
          </w:p>
        </w:tc>
      </w:tr>
    </w:tbl>
    <w:p w14:paraId="1E97B020" w14:textId="77777777" w:rsidR="001103BF" w:rsidRPr="00151228" w:rsidRDefault="001103BF" w:rsidP="001103BF">
      <w:pPr>
        <w:rPr>
          <w:rFonts w:ascii="Times New Roman" w:hAnsi="Times New Roman"/>
          <w:b/>
          <w:sz w:val="28"/>
          <w:lang w:eastAsia="es-DO"/>
        </w:rPr>
      </w:pPr>
      <w:r w:rsidRPr="00151228">
        <w:rPr>
          <w:rFonts w:ascii="Times New Roman" w:hAnsi="Times New Roman"/>
          <w:b/>
          <w:sz w:val="28"/>
          <w:lang w:eastAsia="es-DO"/>
        </w:rPr>
        <w:lastRenderedPageBreak/>
        <w:t>Construcción de Lagunas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1103BF" w:rsidRPr="00FF0594" w14:paraId="5C156131" w14:textId="77777777" w:rsidTr="001103BF">
        <w:tc>
          <w:tcPr>
            <w:tcW w:w="8494" w:type="dxa"/>
          </w:tcPr>
          <w:p w14:paraId="3C4C7445" w14:textId="77777777" w:rsidR="001103BF" w:rsidRPr="00151228" w:rsidRDefault="001103BF" w:rsidP="001103BF">
            <w:pPr>
              <w:tabs>
                <w:tab w:val="left" w:pos="1689"/>
              </w:tabs>
              <w:jc w:val="both"/>
              <w:rPr>
                <w:rFonts w:ascii="Times New Roman" w:hAnsi="Times New Roman"/>
                <w:b/>
                <w:lang w:eastAsia="es-DO"/>
              </w:rPr>
            </w:pPr>
            <w:r w:rsidRPr="00151228">
              <w:rPr>
                <w:rFonts w:ascii="Times New Roman" w:hAnsi="Times New Roman"/>
                <w:b/>
                <w:lang w:eastAsia="es-DO"/>
              </w:rPr>
              <w:t>Antes</w:t>
            </w:r>
          </w:p>
        </w:tc>
      </w:tr>
      <w:tr w:rsidR="001103BF" w:rsidRPr="00FF0594" w14:paraId="68775519" w14:textId="77777777" w:rsidTr="001103BF">
        <w:tc>
          <w:tcPr>
            <w:tcW w:w="8494" w:type="dxa"/>
          </w:tcPr>
          <w:p w14:paraId="3B3E84BF" w14:textId="77777777" w:rsidR="001103BF" w:rsidRPr="00FF0594" w:rsidRDefault="001103BF" w:rsidP="001103BF">
            <w:pPr>
              <w:tabs>
                <w:tab w:val="left" w:pos="1689"/>
              </w:tabs>
              <w:jc w:val="both"/>
              <w:rPr>
                <w:rFonts w:ascii="Times New Roman" w:hAnsi="Times New Roman"/>
                <w:lang w:eastAsia="es-DO"/>
              </w:rPr>
            </w:pPr>
            <w:r w:rsidRPr="00FF0594">
              <w:rPr>
                <w:rFonts w:ascii="Times New Roman" w:hAnsi="Times New Roman"/>
                <w:noProof/>
                <w:lang w:eastAsia="es-DO"/>
              </w:rPr>
              <w:drawing>
                <wp:inline distT="0" distB="0" distL="0" distR="0" wp14:anchorId="66253620" wp14:editId="3C9A536D">
                  <wp:extent cx="5400040" cy="3232298"/>
                  <wp:effectExtent l="0" t="0" r="0" b="6350"/>
                  <wp:docPr id="1073741869" name="Imagen 1" descr="C:\Users\jesus pena\AppData\Local\Microsoft\Windows\INetCache\Content.Word\WhatsApp Image 2019-05-06 at 5.26.21 PM.JPEG"/>
                  <wp:cNvGraphicFramePr/>
                  <a:graphic xmlns:a="http://schemas.openxmlformats.org/drawingml/2006/main">
                    <a:graphicData uri="http://schemas.openxmlformats.org/drawingml/2006/picture">
                      <pic:pic xmlns:pic="http://schemas.openxmlformats.org/drawingml/2006/picture">
                        <pic:nvPicPr>
                          <pic:cNvPr id="2" name="Imagen 1" descr="C:\Users\jesus pena\AppData\Local\Microsoft\Windows\INetCache\Content.Word\WhatsApp Image 2019-05-06 at 5.26.21 PM.JPEG"/>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403701" cy="3234489"/>
                          </a:xfrm>
                          <a:prstGeom prst="rect">
                            <a:avLst/>
                          </a:prstGeom>
                          <a:ln>
                            <a:noFill/>
                          </a:ln>
                          <a:effectLst>
                            <a:softEdge rad="112500"/>
                          </a:effectLst>
                        </pic:spPr>
                      </pic:pic>
                    </a:graphicData>
                  </a:graphic>
                </wp:inline>
              </w:drawing>
            </w:r>
          </w:p>
        </w:tc>
      </w:tr>
      <w:tr w:rsidR="001103BF" w:rsidRPr="00FF0594" w14:paraId="46A8CC71" w14:textId="77777777" w:rsidTr="001103BF">
        <w:tc>
          <w:tcPr>
            <w:tcW w:w="8494" w:type="dxa"/>
          </w:tcPr>
          <w:p w14:paraId="45088563" w14:textId="77777777" w:rsidR="001103BF" w:rsidRPr="00151228" w:rsidRDefault="001103BF" w:rsidP="001103BF">
            <w:pPr>
              <w:tabs>
                <w:tab w:val="left" w:pos="1689"/>
              </w:tabs>
              <w:jc w:val="both"/>
              <w:rPr>
                <w:rFonts w:ascii="Times New Roman" w:hAnsi="Times New Roman"/>
                <w:b/>
                <w:lang w:eastAsia="es-DO"/>
              </w:rPr>
            </w:pPr>
            <w:r w:rsidRPr="00151228">
              <w:rPr>
                <w:rFonts w:ascii="Times New Roman" w:hAnsi="Times New Roman"/>
                <w:b/>
                <w:lang w:eastAsia="es-DO"/>
              </w:rPr>
              <w:t>Después</w:t>
            </w:r>
          </w:p>
          <w:p w14:paraId="72F1F09E" w14:textId="77777777" w:rsidR="001103BF" w:rsidRPr="00FF0594" w:rsidRDefault="001103BF" w:rsidP="001103BF">
            <w:pPr>
              <w:tabs>
                <w:tab w:val="left" w:pos="1689"/>
              </w:tabs>
              <w:jc w:val="both"/>
              <w:rPr>
                <w:rFonts w:ascii="Times New Roman" w:hAnsi="Times New Roman"/>
                <w:lang w:eastAsia="es-DO"/>
              </w:rPr>
            </w:pPr>
          </w:p>
        </w:tc>
      </w:tr>
      <w:tr w:rsidR="001103BF" w:rsidRPr="00FF0594" w14:paraId="2EF44392" w14:textId="77777777" w:rsidTr="001103BF">
        <w:tc>
          <w:tcPr>
            <w:tcW w:w="8494" w:type="dxa"/>
          </w:tcPr>
          <w:p w14:paraId="54B7EC62" w14:textId="77777777" w:rsidR="001103BF" w:rsidRPr="00FF0594" w:rsidRDefault="001103BF" w:rsidP="001103BF">
            <w:pPr>
              <w:tabs>
                <w:tab w:val="left" w:pos="1689"/>
              </w:tabs>
              <w:jc w:val="both"/>
              <w:rPr>
                <w:rFonts w:ascii="Times New Roman" w:hAnsi="Times New Roman"/>
                <w:lang w:eastAsia="es-DO"/>
              </w:rPr>
            </w:pPr>
            <w:r w:rsidRPr="00FF0594">
              <w:rPr>
                <w:rFonts w:ascii="Times New Roman" w:hAnsi="Times New Roman"/>
                <w:noProof/>
                <w:lang w:eastAsia="es-DO"/>
              </w:rPr>
              <w:drawing>
                <wp:inline distT="0" distB="0" distL="0" distR="0" wp14:anchorId="077F425C" wp14:editId="38217B05">
                  <wp:extent cx="5396820" cy="3211033"/>
                  <wp:effectExtent l="0" t="0" r="0" b="8890"/>
                  <wp:docPr id="1073741870" name="Imagen 1" descr="C:\Users\jesus pena\AppData\Local\Microsoft\Windows\INetCache\Content.Word\WhatsApp Image 2019-05-06 at 5.26.15 PM (3).jpeg"/>
                  <wp:cNvGraphicFramePr/>
                  <a:graphic xmlns:a="http://schemas.openxmlformats.org/drawingml/2006/main">
                    <a:graphicData uri="http://schemas.openxmlformats.org/drawingml/2006/picture">
                      <pic:pic xmlns:pic="http://schemas.openxmlformats.org/drawingml/2006/picture">
                        <pic:nvPicPr>
                          <pic:cNvPr id="2" name="Imagen 1" descr="C:\Users\jesus pena\AppData\Local\Microsoft\Windows\INetCache\Content.Word\WhatsApp Image 2019-05-06 at 5.26.15 PM (3).jpeg"/>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417326" cy="3223234"/>
                          </a:xfrm>
                          <a:prstGeom prst="rect">
                            <a:avLst/>
                          </a:prstGeom>
                          <a:ln>
                            <a:noFill/>
                          </a:ln>
                          <a:effectLst>
                            <a:softEdge rad="112500"/>
                          </a:effectLst>
                        </pic:spPr>
                      </pic:pic>
                    </a:graphicData>
                  </a:graphic>
                </wp:inline>
              </w:drawing>
            </w:r>
          </w:p>
        </w:tc>
      </w:tr>
    </w:tbl>
    <w:p w14:paraId="6BD0F4F4" w14:textId="77777777" w:rsidR="001103BF" w:rsidRDefault="001103BF" w:rsidP="001103BF">
      <w:pPr>
        <w:rPr>
          <w:rFonts w:ascii="Times New Roman" w:hAnsi="Times New Roman"/>
          <w:lang w:eastAsia="es-DO"/>
        </w:rPr>
      </w:pPr>
      <w:r w:rsidRPr="00FF0594">
        <w:rPr>
          <w:rFonts w:ascii="Times New Roman" w:hAnsi="Times New Roman"/>
          <w:lang w:eastAsia="es-DO"/>
        </w:rPr>
        <w:br w:type="page"/>
      </w:r>
    </w:p>
    <w:p w14:paraId="4A522854" w14:textId="77777777" w:rsidR="001103BF" w:rsidRPr="009F2276" w:rsidRDefault="001103BF" w:rsidP="001103BF">
      <w:pPr>
        <w:rPr>
          <w:rFonts w:ascii="Times New Roman" w:hAnsi="Times New Roman"/>
          <w:b/>
          <w:sz w:val="28"/>
          <w:lang w:eastAsia="es-DO"/>
        </w:rPr>
      </w:pPr>
      <w:r>
        <w:rPr>
          <w:rFonts w:ascii="Times New Roman" w:hAnsi="Times New Roman"/>
          <w:b/>
          <w:sz w:val="28"/>
          <w:lang w:eastAsia="es-DO"/>
        </w:rPr>
        <w:lastRenderedPageBreak/>
        <w:t xml:space="preserve">Limpieza de </w:t>
      </w:r>
      <w:r w:rsidRPr="009F2276">
        <w:rPr>
          <w:rFonts w:ascii="Times New Roman" w:hAnsi="Times New Roman"/>
          <w:b/>
          <w:sz w:val="28"/>
          <w:lang w:eastAsia="es-DO"/>
        </w:rPr>
        <w:t xml:space="preserve">Canal El Jobo, Mao Valverde. Antes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2"/>
      </w:tblGrid>
      <w:tr w:rsidR="001103BF" w14:paraId="169C6EBB" w14:textId="77777777" w:rsidTr="001103BF">
        <w:trPr>
          <w:trHeight w:val="3235"/>
        </w:trPr>
        <w:tc>
          <w:tcPr>
            <w:tcW w:w="6674" w:type="dxa"/>
          </w:tcPr>
          <w:p w14:paraId="4CE209BD" w14:textId="77777777" w:rsidR="001103BF" w:rsidRDefault="001103BF" w:rsidP="001103BF">
            <w:pPr>
              <w:tabs>
                <w:tab w:val="left" w:pos="1689"/>
              </w:tabs>
              <w:jc w:val="both"/>
              <w:rPr>
                <w:rFonts w:ascii="Times New Roman" w:hAnsi="Times New Roman"/>
                <w:lang w:eastAsia="es-DO"/>
              </w:rPr>
            </w:pPr>
            <w:r>
              <w:rPr>
                <w:rFonts w:ascii="Times New Roman" w:hAnsi="Times New Roman"/>
                <w:noProof/>
                <w:lang w:eastAsia="es-DO"/>
              </w:rPr>
              <w:drawing>
                <wp:inline distT="0" distB="0" distL="0" distR="0" wp14:anchorId="7779401C" wp14:editId="019D7573">
                  <wp:extent cx="4988945" cy="2850078"/>
                  <wp:effectExtent l="0" t="0" r="0" b="7620"/>
                  <wp:docPr id="1073741871" name="Imagen 107374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054285" cy="2887405"/>
                          </a:xfrm>
                          <a:prstGeom prst="rect">
                            <a:avLst/>
                          </a:prstGeom>
                          <a:noFill/>
                        </pic:spPr>
                      </pic:pic>
                    </a:graphicData>
                  </a:graphic>
                </wp:inline>
              </w:drawing>
            </w:r>
          </w:p>
        </w:tc>
      </w:tr>
      <w:tr w:rsidR="001103BF" w14:paraId="54C7DC6B" w14:textId="77777777" w:rsidTr="001103BF">
        <w:trPr>
          <w:trHeight w:val="228"/>
        </w:trPr>
        <w:tc>
          <w:tcPr>
            <w:tcW w:w="6674" w:type="dxa"/>
          </w:tcPr>
          <w:p w14:paraId="0A50B1F6" w14:textId="77777777" w:rsidR="001103BF" w:rsidRPr="009F2276" w:rsidRDefault="001103BF" w:rsidP="001103BF">
            <w:pPr>
              <w:tabs>
                <w:tab w:val="left" w:pos="1689"/>
              </w:tabs>
              <w:jc w:val="both"/>
              <w:rPr>
                <w:rFonts w:ascii="Times New Roman" w:hAnsi="Times New Roman"/>
                <w:b/>
                <w:noProof/>
                <w:lang w:eastAsia="es-DO"/>
              </w:rPr>
            </w:pPr>
            <w:r w:rsidRPr="009F2276">
              <w:rPr>
                <w:rFonts w:ascii="Times New Roman" w:hAnsi="Times New Roman"/>
                <w:b/>
                <w:noProof/>
                <w:lang w:eastAsia="es-DO"/>
              </w:rPr>
              <w:t>Antes</w:t>
            </w:r>
          </w:p>
        </w:tc>
      </w:tr>
    </w:tbl>
    <w:p w14:paraId="125FDB9A" w14:textId="77777777" w:rsidR="001103BF" w:rsidRDefault="001103BF" w:rsidP="001103BF">
      <w:pPr>
        <w:tabs>
          <w:tab w:val="left" w:pos="1689"/>
        </w:tabs>
        <w:jc w:val="both"/>
        <w:rPr>
          <w:rFonts w:ascii="Times New Roman" w:hAnsi="Times New Roman"/>
          <w:lang w:eastAsia="es-D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75"/>
      </w:tblGrid>
      <w:tr w:rsidR="001103BF" w14:paraId="5DC35CF7" w14:textId="77777777" w:rsidTr="001103BF">
        <w:trPr>
          <w:trHeight w:val="4067"/>
        </w:trPr>
        <w:tc>
          <w:tcPr>
            <w:tcW w:w="8075" w:type="dxa"/>
          </w:tcPr>
          <w:p w14:paraId="0278578D" w14:textId="77777777" w:rsidR="001103BF" w:rsidRDefault="001103BF" w:rsidP="001103BF">
            <w:pPr>
              <w:tabs>
                <w:tab w:val="left" w:pos="1689"/>
              </w:tabs>
              <w:jc w:val="both"/>
              <w:rPr>
                <w:rFonts w:ascii="Times New Roman" w:hAnsi="Times New Roman"/>
                <w:lang w:eastAsia="es-DO"/>
              </w:rPr>
            </w:pPr>
            <w:r>
              <w:rPr>
                <w:rFonts w:ascii="Times New Roman" w:hAnsi="Times New Roman"/>
                <w:noProof/>
                <w:lang w:eastAsia="es-DO"/>
              </w:rPr>
              <w:drawing>
                <wp:inline distT="0" distB="0" distL="0" distR="0" wp14:anchorId="10AF793F" wp14:editId="36CB2FC5">
                  <wp:extent cx="5088255" cy="3630305"/>
                  <wp:effectExtent l="0" t="0" r="0" b="0"/>
                  <wp:docPr id="1073741824" name="Imagen 107374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117570" cy="3651220"/>
                          </a:xfrm>
                          <a:prstGeom prst="rect">
                            <a:avLst/>
                          </a:prstGeom>
                          <a:ln>
                            <a:noFill/>
                          </a:ln>
                          <a:effectLst>
                            <a:softEdge rad="112500"/>
                          </a:effectLst>
                        </pic:spPr>
                      </pic:pic>
                    </a:graphicData>
                  </a:graphic>
                </wp:inline>
              </w:drawing>
            </w:r>
          </w:p>
        </w:tc>
      </w:tr>
      <w:tr w:rsidR="001103BF" w14:paraId="628815C1" w14:textId="77777777" w:rsidTr="001103BF">
        <w:trPr>
          <w:trHeight w:val="137"/>
        </w:trPr>
        <w:tc>
          <w:tcPr>
            <w:tcW w:w="8075" w:type="dxa"/>
          </w:tcPr>
          <w:p w14:paraId="2AD25809" w14:textId="77777777" w:rsidR="001103BF" w:rsidRPr="009F2276" w:rsidRDefault="001103BF" w:rsidP="001103BF">
            <w:pPr>
              <w:tabs>
                <w:tab w:val="left" w:pos="1689"/>
              </w:tabs>
              <w:jc w:val="both"/>
              <w:rPr>
                <w:rFonts w:ascii="Times New Roman" w:hAnsi="Times New Roman"/>
                <w:b/>
                <w:lang w:eastAsia="es-DO"/>
              </w:rPr>
            </w:pPr>
            <w:r w:rsidRPr="009F2276">
              <w:rPr>
                <w:rFonts w:ascii="Times New Roman" w:hAnsi="Times New Roman"/>
                <w:b/>
                <w:lang w:eastAsia="es-DO"/>
              </w:rPr>
              <w:t xml:space="preserve">Después </w:t>
            </w:r>
          </w:p>
        </w:tc>
      </w:tr>
    </w:tbl>
    <w:p w14:paraId="19B767B4" w14:textId="77777777" w:rsidR="001103BF" w:rsidRPr="00FF0594" w:rsidRDefault="001103BF" w:rsidP="001103BF">
      <w:pPr>
        <w:rPr>
          <w:rFonts w:ascii="Times New Roman" w:hAnsi="Times New Roman"/>
          <w:lang w:eastAsia="es-DO"/>
        </w:rPr>
      </w:pPr>
      <w:r w:rsidRPr="00FF0594">
        <w:rPr>
          <w:rFonts w:ascii="Times New Roman" w:hAnsi="Times New Roman"/>
          <w:lang w:eastAsia="es-DO"/>
        </w:rPr>
        <w:br w:type="page"/>
      </w:r>
    </w:p>
    <w:p w14:paraId="2C122F05" w14:textId="77777777" w:rsidR="001103BF" w:rsidRPr="009F2276" w:rsidRDefault="001103BF" w:rsidP="001103BF">
      <w:pPr>
        <w:tabs>
          <w:tab w:val="left" w:pos="1689"/>
        </w:tabs>
        <w:jc w:val="both"/>
        <w:rPr>
          <w:rFonts w:ascii="Times New Roman" w:hAnsi="Times New Roman"/>
          <w:b/>
          <w:bCs/>
          <w:sz w:val="28"/>
          <w:lang w:eastAsia="es-DO"/>
        </w:rPr>
      </w:pPr>
      <w:r w:rsidRPr="009F2276">
        <w:rPr>
          <w:rFonts w:ascii="Times New Roman" w:hAnsi="Times New Roman"/>
          <w:b/>
          <w:sz w:val="28"/>
          <w:lang w:eastAsia="es-DO"/>
        </w:rPr>
        <w:lastRenderedPageBreak/>
        <w:t>Camino interparcelario de Belloso, Subzona Villa Isabela de Puerto Plata</w:t>
      </w:r>
    </w:p>
    <w:p w14:paraId="50A2A95C" w14:textId="77777777" w:rsidR="001103BF" w:rsidRDefault="001103BF" w:rsidP="001103BF"/>
    <w:tbl>
      <w:tblPr>
        <w:tblStyle w:val="Tablaconcuadrcula"/>
        <w:tblW w:w="8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1103BF" w:rsidRPr="00FF0594" w14:paraId="6443F197" w14:textId="77777777" w:rsidTr="001103BF">
        <w:trPr>
          <w:trHeight w:val="329"/>
        </w:trPr>
        <w:tc>
          <w:tcPr>
            <w:tcW w:w="8720" w:type="dxa"/>
          </w:tcPr>
          <w:p w14:paraId="0B480066" w14:textId="23720C00" w:rsidR="001103BF" w:rsidRPr="00FF0594" w:rsidRDefault="00151228" w:rsidP="001103BF">
            <w:pPr>
              <w:tabs>
                <w:tab w:val="left" w:pos="1689"/>
              </w:tabs>
              <w:jc w:val="both"/>
              <w:rPr>
                <w:rFonts w:ascii="Times New Roman" w:hAnsi="Times New Roman"/>
                <w:lang w:eastAsia="es-DO"/>
              </w:rPr>
            </w:pPr>
            <w:r>
              <w:rPr>
                <w:rFonts w:ascii="Times New Roman" w:hAnsi="Times New Roman"/>
                <w:b/>
                <w:bCs/>
                <w:lang w:eastAsia="es-DO"/>
              </w:rPr>
              <w:t>Antes</w:t>
            </w:r>
          </w:p>
        </w:tc>
      </w:tr>
      <w:tr w:rsidR="001103BF" w:rsidRPr="00FF0594" w14:paraId="6DF5D79E" w14:textId="77777777" w:rsidTr="001103BF">
        <w:trPr>
          <w:trHeight w:val="4724"/>
        </w:trPr>
        <w:tc>
          <w:tcPr>
            <w:tcW w:w="8720" w:type="dxa"/>
          </w:tcPr>
          <w:p w14:paraId="1D9811F6" w14:textId="77777777" w:rsidR="001103BF" w:rsidRPr="00FF0594" w:rsidRDefault="001103BF" w:rsidP="001103BF">
            <w:pPr>
              <w:tabs>
                <w:tab w:val="left" w:pos="1689"/>
              </w:tabs>
              <w:jc w:val="both"/>
              <w:rPr>
                <w:rFonts w:ascii="Times New Roman" w:hAnsi="Times New Roman"/>
                <w:lang w:eastAsia="es-DO"/>
              </w:rPr>
            </w:pPr>
            <w:r w:rsidRPr="00FF0594">
              <w:rPr>
                <w:rFonts w:ascii="Times New Roman" w:hAnsi="Times New Roman"/>
                <w:noProof/>
                <w:lang w:eastAsia="es-DO"/>
              </w:rPr>
              <w:drawing>
                <wp:inline distT="0" distB="0" distL="0" distR="0" wp14:anchorId="2BF45B4B" wp14:editId="585F0963">
                  <wp:extent cx="5400040" cy="3037205"/>
                  <wp:effectExtent l="0" t="0" r="0" b="0"/>
                  <wp:docPr id="1073741872" name="Imagen 1" descr="C:\Users\jesus pena\AppData\Local\Microsoft\Windows\INetCache\Content.Word\20170530_115042.jpg"/>
                  <wp:cNvGraphicFramePr/>
                  <a:graphic xmlns:a="http://schemas.openxmlformats.org/drawingml/2006/main">
                    <a:graphicData uri="http://schemas.openxmlformats.org/drawingml/2006/picture">
                      <pic:pic xmlns:pic="http://schemas.openxmlformats.org/drawingml/2006/picture">
                        <pic:nvPicPr>
                          <pic:cNvPr id="2" name="Imagen 1" descr="C:\Users\jesus pena\AppData\Local\Microsoft\Windows\INetCache\Content.Word\20170530_115042.jpg"/>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5400040" cy="3037205"/>
                          </a:xfrm>
                          <a:prstGeom prst="rect">
                            <a:avLst/>
                          </a:prstGeom>
                          <a:ln>
                            <a:noFill/>
                          </a:ln>
                          <a:effectLst>
                            <a:softEdge rad="112500"/>
                          </a:effectLst>
                        </pic:spPr>
                      </pic:pic>
                    </a:graphicData>
                  </a:graphic>
                </wp:inline>
              </w:drawing>
            </w:r>
          </w:p>
        </w:tc>
      </w:tr>
      <w:tr w:rsidR="001103BF" w:rsidRPr="00FF0594" w14:paraId="23B55E02" w14:textId="77777777" w:rsidTr="001103BF">
        <w:trPr>
          <w:trHeight w:val="329"/>
        </w:trPr>
        <w:tc>
          <w:tcPr>
            <w:tcW w:w="8720" w:type="dxa"/>
          </w:tcPr>
          <w:p w14:paraId="0B5DACA8" w14:textId="4E5EF9DA" w:rsidR="001103BF" w:rsidRPr="00FF0594" w:rsidRDefault="00151228" w:rsidP="001103BF">
            <w:pPr>
              <w:tabs>
                <w:tab w:val="left" w:pos="1689"/>
              </w:tabs>
              <w:jc w:val="both"/>
              <w:rPr>
                <w:rFonts w:ascii="Times New Roman" w:hAnsi="Times New Roman"/>
                <w:lang w:eastAsia="es-DO"/>
              </w:rPr>
            </w:pPr>
            <w:r>
              <w:rPr>
                <w:rFonts w:ascii="Times New Roman" w:hAnsi="Times New Roman"/>
                <w:b/>
                <w:bCs/>
                <w:lang w:eastAsia="es-DO"/>
              </w:rPr>
              <w:t>Después</w:t>
            </w:r>
          </w:p>
        </w:tc>
      </w:tr>
      <w:tr w:rsidR="001103BF" w:rsidRPr="00FF0594" w14:paraId="71046EC1" w14:textId="77777777" w:rsidTr="001103BF">
        <w:trPr>
          <w:trHeight w:val="5105"/>
        </w:trPr>
        <w:tc>
          <w:tcPr>
            <w:tcW w:w="8720" w:type="dxa"/>
          </w:tcPr>
          <w:p w14:paraId="7FE4364F" w14:textId="77777777" w:rsidR="001103BF" w:rsidRPr="00FF0594" w:rsidRDefault="001103BF" w:rsidP="001103BF">
            <w:pPr>
              <w:tabs>
                <w:tab w:val="left" w:pos="1689"/>
              </w:tabs>
              <w:jc w:val="both"/>
              <w:rPr>
                <w:rFonts w:ascii="Times New Roman" w:hAnsi="Times New Roman"/>
                <w:lang w:eastAsia="es-DO"/>
              </w:rPr>
            </w:pPr>
            <w:r w:rsidRPr="00FF0594">
              <w:rPr>
                <w:rFonts w:ascii="Times New Roman" w:hAnsi="Times New Roman"/>
                <w:noProof/>
                <w:lang w:eastAsia="es-DO"/>
              </w:rPr>
              <w:drawing>
                <wp:inline distT="0" distB="0" distL="0" distR="0" wp14:anchorId="50F7FD32" wp14:editId="54B94606">
                  <wp:extent cx="5400040" cy="3037840"/>
                  <wp:effectExtent l="0" t="0" r="0" b="0"/>
                  <wp:docPr id="3" name="Imagen 2" descr="IMAG5830"/>
                  <wp:cNvGraphicFramePr/>
                  <a:graphic xmlns:a="http://schemas.openxmlformats.org/drawingml/2006/main">
                    <a:graphicData uri="http://schemas.openxmlformats.org/drawingml/2006/picture">
                      <pic:pic xmlns:pic="http://schemas.openxmlformats.org/drawingml/2006/picture">
                        <pic:nvPicPr>
                          <pic:cNvPr id="3" name="Imagen 2" descr="IMAG5830"/>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5400040" cy="3037840"/>
                          </a:xfrm>
                          <a:prstGeom prst="rect">
                            <a:avLst/>
                          </a:prstGeom>
                          <a:ln>
                            <a:noFill/>
                          </a:ln>
                          <a:effectLst>
                            <a:softEdge rad="112500"/>
                          </a:effectLst>
                        </pic:spPr>
                      </pic:pic>
                    </a:graphicData>
                  </a:graphic>
                </wp:inline>
              </w:drawing>
            </w:r>
          </w:p>
        </w:tc>
      </w:tr>
    </w:tbl>
    <w:p w14:paraId="5219DE45" w14:textId="77777777" w:rsidR="001103BF" w:rsidRPr="00FF0594" w:rsidRDefault="001103BF" w:rsidP="001103BF">
      <w:pPr>
        <w:tabs>
          <w:tab w:val="left" w:pos="1689"/>
        </w:tabs>
        <w:jc w:val="both"/>
        <w:rPr>
          <w:rFonts w:ascii="Times New Roman" w:hAnsi="Times New Roman"/>
          <w:lang w:eastAsia="es-DO"/>
        </w:rPr>
      </w:pPr>
    </w:p>
    <w:p w14:paraId="4570D628" w14:textId="77777777" w:rsidR="001103BF" w:rsidRPr="009F2276" w:rsidRDefault="001103BF" w:rsidP="001103BF">
      <w:pPr>
        <w:rPr>
          <w:rFonts w:ascii="Times New Roman" w:hAnsi="Times New Roman"/>
          <w:b/>
          <w:lang w:eastAsia="es-DO"/>
        </w:rPr>
      </w:pPr>
      <w:r w:rsidRPr="00FF0594">
        <w:rPr>
          <w:rFonts w:ascii="Times New Roman" w:hAnsi="Times New Roman"/>
          <w:lang w:eastAsia="es-DO"/>
        </w:rPr>
        <w:br w:type="page"/>
      </w:r>
    </w:p>
    <w:p w14:paraId="14D49540" w14:textId="77777777" w:rsidR="001103BF" w:rsidRPr="002D6BCB" w:rsidRDefault="001103BF" w:rsidP="001103BF">
      <w:pPr>
        <w:tabs>
          <w:tab w:val="left" w:pos="1689"/>
        </w:tabs>
        <w:jc w:val="both"/>
        <w:rPr>
          <w:rFonts w:ascii="Times New Roman" w:hAnsi="Times New Roman"/>
          <w:b/>
          <w:sz w:val="28"/>
          <w:lang w:eastAsia="es-DO"/>
        </w:rPr>
      </w:pPr>
      <w:r w:rsidRPr="002D6BCB">
        <w:rPr>
          <w:rFonts w:ascii="Times New Roman" w:hAnsi="Times New Roman"/>
          <w:b/>
          <w:sz w:val="28"/>
          <w:lang w:eastAsia="es-DO"/>
        </w:rPr>
        <w:lastRenderedPageBreak/>
        <w:t>Sanidad vegetal y animal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1103BF" w14:paraId="39838C1B" w14:textId="77777777" w:rsidTr="001103BF">
        <w:tc>
          <w:tcPr>
            <w:tcW w:w="8494" w:type="dxa"/>
          </w:tcPr>
          <w:p w14:paraId="3A6E6E20" w14:textId="4FF21E03" w:rsidR="001103BF" w:rsidRPr="00151228" w:rsidRDefault="001103BF" w:rsidP="00151228">
            <w:pPr>
              <w:tabs>
                <w:tab w:val="left" w:pos="1689"/>
                <w:tab w:val="left" w:pos="3503"/>
              </w:tabs>
              <w:jc w:val="both"/>
              <w:rPr>
                <w:rFonts w:ascii="Times New Roman" w:hAnsi="Times New Roman"/>
                <w:b/>
                <w:lang w:eastAsia="es-DO"/>
              </w:rPr>
            </w:pPr>
            <w:r w:rsidRPr="00151228">
              <w:rPr>
                <w:rFonts w:ascii="Times New Roman" w:hAnsi="Times New Roman"/>
                <w:b/>
                <w:lang w:eastAsia="es-DO"/>
              </w:rPr>
              <w:t>Control fitosanitario vegetal</w:t>
            </w:r>
            <w:r w:rsidR="00151228" w:rsidRPr="00151228">
              <w:rPr>
                <w:rFonts w:ascii="Times New Roman" w:hAnsi="Times New Roman"/>
                <w:b/>
                <w:lang w:eastAsia="es-DO"/>
              </w:rPr>
              <w:tab/>
            </w:r>
          </w:p>
        </w:tc>
      </w:tr>
      <w:tr w:rsidR="001103BF" w14:paraId="2A56ACB9" w14:textId="77777777" w:rsidTr="001103BF">
        <w:tc>
          <w:tcPr>
            <w:tcW w:w="8494" w:type="dxa"/>
          </w:tcPr>
          <w:p w14:paraId="06A2B06B" w14:textId="77777777" w:rsidR="001103BF" w:rsidRDefault="001103BF" w:rsidP="001103BF">
            <w:pPr>
              <w:tabs>
                <w:tab w:val="left" w:pos="1689"/>
              </w:tabs>
              <w:jc w:val="both"/>
              <w:rPr>
                <w:rFonts w:ascii="Times New Roman" w:hAnsi="Times New Roman"/>
                <w:lang w:eastAsia="es-DO"/>
              </w:rPr>
            </w:pPr>
            <w:r w:rsidRPr="002D6BCB">
              <w:rPr>
                <w:rFonts w:ascii="Times New Roman" w:hAnsi="Times New Roman"/>
                <w:noProof/>
                <w:lang w:eastAsia="es-DO"/>
              </w:rPr>
              <w:drawing>
                <wp:inline distT="0" distB="0" distL="0" distR="0" wp14:anchorId="62C02C5E" wp14:editId="01730A56">
                  <wp:extent cx="5400040" cy="3173095"/>
                  <wp:effectExtent l="0" t="0" r="0" b="8255"/>
                  <wp:docPr id="1073741873" name="Picture 2" descr="Related image"/>
                  <wp:cNvGraphicFramePr/>
                  <a:graphic xmlns:a="http://schemas.openxmlformats.org/drawingml/2006/main">
                    <a:graphicData uri="http://schemas.openxmlformats.org/drawingml/2006/picture">
                      <pic:pic xmlns:pic="http://schemas.openxmlformats.org/drawingml/2006/picture">
                        <pic:nvPicPr>
                          <pic:cNvPr id="3" name="Picture 2" descr="Related image"/>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5400040" cy="3173095"/>
                          </a:xfrm>
                          <a:prstGeom prst="rect">
                            <a:avLst/>
                          </a:prstGeom>
                          <a:ln>
                            <a:noFill/>
                          </a:ln>
                          <a:effectLst>
                            <a:softEdge rad="112500"/>
                          </a:effectLst>
                          <a:extLst/>
                        </pic:spPr>
                      </pic:pic>
                    </a:graphicData>
                  </a:graphic>
                </wp:inline>
              </w:drawing>
            </w:r>
          </w:p>
        </w:tc>
      </w:tr>
    </w:tbl>
    <w:p w14:paraId="5A2D035B" w14:textId="77777777" w:rsidR="001103BF" w:rsidRDefault="001103BF" w:rsidP="001103BF">
      <w:pPr>
        <w:tabs>
          <w:tab w:val="left" w:pos="1689"/>
        </w:tabs>
        <w:jc w:val="both"/>
        <w:rPr>
          <w:rFonts w:ascii="Times New Roman" w:hAnsi="Times New Roman"/>
          <w:lang w:eastAsia="es-D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1103BF" w14:paraId="2A5CB25B" w14:textId="77777777" w:rsidTr="001103BF">
        <w:tc>
          <w:tcPr>
            <w:tcW w:w="8494" w:type="dxa"/>
          </w:tcPr>
          <w:p w14:paraId="0BE6A536" w14:textId="77777777" w:rsidR="001103BF" w:rsidRPr="009F2276" w:rsidRDefault="001103BF" w:rsidP="001103BF">
            <w:pPr>
              <w:tabs>
                <w:tab w:val="left" w:pos="1689"/>
              </w:tabs>
              <w:jc w:val="both"/>
              <w:rPr>
                <w:rFonts w:ascii="Times New Roman" w:hAnsi="Times New Roman"/>
                <w:b/>
                <w:sz w:val="28"/>
                <w:lang w:eastAsia="es-DO"/>
              </w:rPr>
            </w:pPr>
            <w:r w:rsidRPr="009F2276">
              <w:rPr>
                <w:rFonts w:ascii="Times New Roman" w:hAnsi="Times New Roman"/>
                <w:b/>
                <w:sz w:val="28"/>
                <w:lang w:eastAsia="es-DO"/>
              </w:rPr>
              <w:t>Aplicación de fungicidas en finca de cítricos, finca Barceló, Hato Mayor</w:t>
            </w:r>
          </w:p>
        </w:tc>
      </w:tr>
      <w:tr w:rsidR="001103BF" w14:paraId="5DA82DEE" w14:textId="77777777" w:rsidTr="001103BF">
        <w:tc>
          <w:tcPr>
            <w:tcW w:w="8494" w:type="dxa"/>
          </w:tcPr>
          <w:p w14:paraId="41330734" w14:textId="77777777" w:rsidR="001103BF" w:rsidRDefault="001103BF" w:rsidP="001103BF">
            <w:pPr>
              <w:tabs>
                <w:tab w:val="left" w:pos="1689"/>
              </w:tabs>
              <w:jc w:val="both"/>
              <w:rPr>
                <w:rFonts w:ascii="Times New Roman" w:hAnsi="Times New Roman"/>
                <w:lang w:eastAsia="es-DO"/>
              </w:rPr>
            </w:pPr>
            <w:r w:rsidRPr="002D6BCB">
              <w:rPr>
                <w:rFonts w:ascii="Times New Roman" w:hAnsi="Times New Roman"/>
                <w:noProof/>
                <w:lang w:eastAsia="es-DO"/>
              </w:rPr>
              <w:drawing>
                <wp:inline distT="0" distB="0" distL="0" distR="0" wp14:anchorId="35604635" wp14:editId="4972253D">
                  <wp:extent cx="5400040" cy="3258185"/>
                  <wp:effectExtent l="0" t="0" r="0" b="0"/>
                  <wp:docPr id="1073741874" name="Imagen 1" descr="aplicacin_plaguicidas_1"/>
                  <wp:cNvGraphicFramePr/>
                  <a:graphic xmlns:a="http://schemas.openxmlformats.org/drawingml/2006/main">
                    <a:graphicData uri="http://schemas.openxmlformats.org/drawingml/2006/picture">
                      <pic:pic xmlns:pic="http://schemas.openxmlformats.org/drawingml/2006/picture">
                        <pic:nvPicPr>
                          <pic:cNvPr id="2" name="Imagen 1" descr="aplicacin_plaguicidas_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400040" cy="3258185"/>
                          </a:xfrm>
                          <a:prstGeom prst="rect">
                            <a:avLst/>
                          </a:prstGeom>
                          <a:ln>
                            <a:noFill/>
                          </a:ln>
                          <a:effectLst>
                            <a:softEdge rad="112500"/>
                          </a:effectLst>
                        </pic:spPr>
                      </pic:pic>
                    </a:graphicData>
                  </a:graphic>
                </wp:inline>
              </w:drawing>
            </w:r>
          </w:p>
        </w:tc>
      </w:tr>
    </w:tbl>
    <w:p w14:paraId="770A2852" w14:textId="77777777" w:rsidR="001103BF" w:rsidRDefault="001103BF" w:rsidP="001103BF">
      <w:pPr>
        <w:rPr>
          <w:rFonts w:ascii="Times New Roman" w:hAnsi="Times New Roman"/>
          <w:lang w:eastAsia="es-DO"/>
        </w:rPr>
      </w:pPr>
      <w:r>
        <w:rPr>
          <w:rFonts w:ascii="Times New Roman" w:hAnsi="Times New Roman"/>
          <w:lang w:eastAsia="es-DO"/>
        </w:rPr>
        <w:br w:type="page"/>
      </w:r>
    </w:p>
    <w:p w14:paraId="5BB9BD62" w14:textId="77777777" w:rsidR="001103BF" w:rsidRPr="009F2276" w:rsidRDefault="001103BF" w:rsidP="001103BF">
      <w:pPr>
        <w:tabs>
          <w:tab w:val="left" w:pos="1689"/>
        </w:tabs>
        <w:jc w:val="both"/>
        <w:rPr>
          <w:rFonts w:ascii="Times New Roman" w:hAnsi="Times New Roman"/>
          <w:b/>
          <w:sz w:val="28"/>
          <w:lang w:eastAsia="es-DO"/>
        </w:rPr>
      </w:pPr>
      <w:r w:rsidRPr="009F2276">
        <w:rPr>
          <w:rFonts w:ascii="Times New Roman" w:hAnsi="Times New Roman"/>
          <w:b/>
          <w:sz w:val="28"/>
          <w:lang w:eastAsia="es-DO"/>
        </w:rPr>
        <w:lastRenderedPageBreak/>
        <w:t>Asistencia técnica de Manejo Fitosanitario en finca de plátanos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gridCol w:w="226"/>
      </w:tblGrid>
      <w:tr w:rsidR="001103BF" w14:paraId="37A1335F" w14:textId="77777777" w:rsidTr="00151228">
        <w:tc>
          <w:tcPr>
            <w:tcW w:w="8720" w:type="dxa"/>
            <w:gridSpan w:val="2"/>
          </w:tcPr>
          <w:p w14:paraId="7FA35282" w14:textId="77777777" w:rsidR="001103BF" w:rsidRDefault="001103BF" w:rsidP="001103BF">
            <w:pPr>
              <w:tabs>
                <w:tab w:val="left" w:pos="1689"/>
              </w:tabs>
              <w:jc w:val="both"/>
              <w:rPr>
                <w:rFonts w:ascii="Times New Roman" w:hAnsi="Times New Roman"/>
                <w:lang w:eastAsia="es-DO"/>
              </w:rPr>
            </w:pPr>
            <w:r w:rsidRPr="002D6BCB">
              <w:rPr>
                <w:rFonts w:ascii="Times New Roman" w:hAnsi="Times New Roman"/>
                <w:noProof/>
                <w:lang w:eastAsia="es-DO"/>
              </w:rPr>
              <w:drawing>
                <wp:inline distT="0" distB="0" distL="0" distR="0" wp14:anchorId="3B0B6D2A" wp14:editId="6EE36919">
                  <wp:extent cx="5117910" cy="3848669"/>
                  <wp:effectExtent l="0" t="0" r="6985" b="0"/>
                  <wp:docPr id="1073741875" name="Imagen 1" descr="IMG-20181117-WA0019"/>
                  <wp:cNvGraphicFramePr/>
                  <a:graphic xmlns:a="http://schemas.openxmlformats.org/drawingml/2006/main">
                    <a:graphicData uri="http://schemas.openxmlformats.org/drawingml/2006/picture">
                      <pic:pic xmlns:pic="http://schemas.openxmlformats.org/drawingml/2006/picture">
                        <pic:nvPicPr>
                          <pic:cNvPr id="2" name="Imagen 1" descr="IMG-20181117-WA0019"/>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119207" cy="3849644"/>
                          </a:xfrm>
                          <a:prstGeom prst="rect">
                            <a:avLst/>
                          </a:prstGeom>
                          <a:ln>
                            <a:noFill/>
                          </a:ln>
                          <a:effectLst>
                            <a:softEdge rad="112500"/>
                          </a:effectLst>
                        </pic:spPr>
                      </pic:pic>
                    </a:graphicData>
                  </a:graphic>
                </wp:inline>
              </w:drawing>
            </w:r>
          </w:p>
        </w:tc>
      </w:tr>
      <w:tr w:rsidR="001103BF" w14:paraId="0DF0D9AB" w14:textId="77777777" w:rsidTr="001103BF">
        <w:trPr>
          <w:gridAfter w:val="1"/>
          <w:wAfter w:w="226" w:type="dxa"/>
        </w:trPr>
        <w:tc>
          <w:tcPr>
            <w:tcW w:w="8494" w:type="dxa"/>
          </w:tcPr>
          <w:p w14:paraId="36845655" w14:textId="77777777" w:rsidR="001103BF" w:rsidRPr="009F2276" w:rsidRDefault="001103BF" w:rsidP="001103BF">
            <w:pPr>
              <w:tabs>
                <w:tab w:val="left" w:pos="1689"/>
              </w:tabs>
              <w:jc w:val="both"/>
              <w:rPr>
                <w:rFonts w:ascii="Times New Roman" w:hAnsi="Times New Roman"/>
                <w:b/>
                <w:sz w:val="28"/>
                <w:lang w:eastAsia="es-DO"/>
              </w:rPr>
            </w:pPr>
            <w:r w:rsidRPr="009F2276">
              <w:rPr>
                <w:rFonts w:ascii="Times New Roman" w:hAnsi="Times New Roman"/>
                <w:b/>
                <w:sz w:val="28"/>
                <w:lang w:eastAsia="es-DO"/>
              </w:rPr>
              <w:t>Areteo de vacas para la Trazabilidad Bovina.</w:t>
            </w:r>
          </w:p>
        </w:tc>
      </w:tr>
      <w:tr w:rsidR="001103BF" w14:paraId="5066B620" w14:textId="77777777" w:rsidTr="001103BF">
        <w:trPr>
          <w:gridAfter w:val="1"/>
          <w:wAfter w:w="226" w:type="dxa"/>
        </w:trPr>
        <w:tc>
          <w:tcPr>
            <w:tcW w:w="8494" w:type="dxa"/>
          </w:tcPr>
          <w:p w14:paraId="6BDB1FFA" w14:textId="77777777" w:rsidR="001103BF" w:rsidRDefault="001103BF" w:rsidP="001103BF">
            <w:pPr>
              <w:tabs>
                <w:tab w:val="left" w:pos="1689"/>
              </w:tabs>
              <w:jc w:val="both"/>
              <w:rPr>
                <w:rFonts w:ascii="Times New Roman" w:hAnsi="Times New Roman"/>
                <w:lang w:eastAsia="es-DO"/>
              </w:rPr>
            </w:pPr>
            <w:r w:rsidRPr="002D6BCB">
              <w:rPr>
                <w:rFonts w:ascii="Times New Roman" w:hAnsi="Times New Roman"/>
                <w:noProof/>
                <w:lang w:eastAsia="es-DO"/>
              </w:rPr>
              <w:drawing>
                <wp:inline distT="0" distB="0" distL="0" distR="0" wp14:anchorId="6606017C" wp14:editId="14DC81AE">
                  <wp:extent cx="4640239" cy="3521123"/>
                  <wp:effectExtent l="0" t="0" r="8255" b="3175"/>
                  <wp:docPr id="1073741876" name="Imagen 1" descr="IMG_0414"/>
                  <wp:cNvGraphicFramePr/>
                  <a:graphic xmlns:a="http://schemas.openxmlformats.org/drawingml/2006/main">
                    <a:graphicData uri="http://schemas.openxmlformats.org/drawingml/2006/picture">
                      <pic:pic xmlns:pic="http://schemas.openxmlformats.org/drawingml/2006/picture">
                        <pic:nvPicPr>
                          <pic:cNvPr id="2" name="Imagen 1" descr="IMG_0414"/>
                          <pic:cNvPicPr/>
                        </pic:nvPicPr>
                        <pic:blipFill>
                          <a:blip r:embed="rId229" cstate="print">
                            <a:extLst>
                              <a:ext uri="{28A0092B-C50C-407E-A947-70E740481C1C}">
                                <a14:useLocalDpi xmlns:a14="http://schemas.microsoft.com/office/drawing/2010/main" val="0"/>
                              </a:ext>
                            </a:extLst>
                          </a:blip>
                          <a:srcRect b="21739"/>
                          <a:stretch>
                            <a:fillRect/>
                          </a:stretch>
                        </pic:blipFill>
                        <pic:spPr bwMode="auto">
                          <a:xfrm>
                            <a:off x="0" y="0"/>
                            <a:ext cx="4652381" cy="3530336"/>
                          </a:xfrm>
                          <a:prstGeom prst="rect">
                            <a:avLst/>
                          </a:prstGeom>
                          <a:ln>
                            <a:noFill/>
                          </a:ln>
                          <a:effectLst>
                            <a:softEdge rad="112500"/>
                          </a:effectLst>
                        </pic:spPr>
                      </pic:pic>
                    </a:graphicData>
                  </a:graphic>
                </wp:inline>
              </w:drawing>
            </w:r>
          </w:p>
        </w:tc>
      </w:tr>
      <w:tr w:rsidR="001103BF" w14:paraId="073BAD11" w14:textId="77777777" w:rsidTr="001103BF">
        <w:trPr>
          <w:gridAfter w:val="1"/>
          <w:wAfter w:w="226" w:type="dxa"/>
        </w:trPr>
        <w:tc>
          <w:tcPr>
            <w:tcW w:w="8494" w:type="dxa"/>
          </w:tcPr>
          <w:p w14:paraId="50026724" w14:textId="77777777" w:rsidR="001103BF" w:rsidRPr="009F2276" w:rsidRDefault="001103BF" w:rsidP="001103BF">
            <w:pPr>
              <w:rPr>
                <w:rFonts w:ascii="Times New Roman" w:hAnsi="Times New Roman"/>
                <w:b/>
                <w:sz w:val="28"/>
                <w:lang w:eastAsia="es-DO"/>
              </w:rPr>
            </w:pPr>
            <w:r w:rsidRPr="009F2276">
              <w:rPr>
                <w:rFonts w:ascii="Times New Roman" w:hAnsi="Times New Roman"/>
                <w:b/>
                <w:sz w:val="28"/>
                <w:lang w:eastAsia="es-DO"/>
              </w:rPr>
              <w:lastRenderedPageBreak/>
              <w:t>Vacuna contra Peste Porcina Clásica, PPC, en cerdos</w:t>
            </w:r>
          </w:p>
        </w:tc>
      </w:tr>
      <w:tr w:rsidR="001103BF" w14:paraId="0501D4CC" w14:textId="77777777" w:rsidTr="001103BF">
        <w:trPr>
          <w:gridAfter w:val="1"/>
          <w:wAfter w:w="226" w:type="dxa"/>
        </w:trPr>
        <w:tc>
          <w:tcPr>
            <w:tcW w:w="8494" w:type="dxa"/>
          </w:tcPr>
          <w:p w14:paraId="176B289D" w14:textId="77777777" w:rsidR="001103BF" w:rsidRDefault="001103BF" w:rsidP="001103BF">
            <w:pPr>
              <w:jc w:val="center"/>
              <w:rPr>
                <w:rFonts w:ascii="Times New Roman" w:hAnsi="Times New Roman"/>
                <w:lang w:eastAsia="es-DO"/>
              </w:rPr>
            </w:pPr>
            <w:r w:rsidRPr="002D6BCB">
              <w:rPr>
                <w:rFonts w:ascii="Times New Roman" w:hAnsi="Times New Roman"/>
                <w:noProof/>
                <w:lang w:eastAsia="es-DO"/>
              </w:rPr>
              <w:drawing>
                <wp:inline distT="0" distB="0" distL="0" distR="0" wp14:anchorId="6D947942" wp14:editId="73FCBC7A">
                  <wp:extent cx="4858603" cy="3402216"/>
                  <wp:effectExtent l="0" t="0" r="0" b="8255"/>
                  <wp:docPr id="1073741877" name="Imagen 2"/>
                  <wp:cNvGraphicFramePr/>
                  <a:graphic xmlns:a="http://schemas.openxmlformats.org/drawingml/2006/main">
                    <a:graphicData uri="http://schemas.openxmlformats.org/drawingml/2006/picture">
                      <pic:pic xmlns:pic="http://schemas.openxmlformats.org/drawingml/2006/picture">
                        <pic:nvPicPr>
                          <pic:cNvPr id="3" name="Imagen 2"/>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4869289" cy="3409699"/>
                          </a:xfrm>
                          <a:prstGeom prst="rect">
                            <a:avLst/>
                          </a:prstGeom>
                          <a:ln>
                            <a:noFill/>
                          </a:ln>
                          <a:effectLst>
                            <a:softEdge rad="112500"/>
                          </a:effectLst>
                        </pic:spPr>
                      </pic:pic>
                    </a:graphicData>
                  </a:graphic>
                </wp:inline>
              </w:drawing>
            </w:r>
          </w:p>
        </w:tc>
      </w:tr>
    </w:tbl>
    <w:p w14:paraId="324D4DB5" w14:textId="77777777" w:rsidR="001103BF" w:rsidRDefault="001103BF" w:rsidP="001103BF">
      <w:pPr>
        <w:rPr>
          <w:rFonts w:ascii="Times New Roman" w:hAnsi="Times New Roman"/>
          <w:lang w:eastAsia="es-DO"/>
        </w:rPr>
      </w:pPr>
    </w:p>
    <w:tbl>
      <w:tblPr>
        <w:tblStyle w:val="Tablaconcuadrcula"/>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0"/>
      </w:tblGrid>
      <w:tr w:rsidR="001103BF" w14:paraId="69E1D1A2" w14:textId="77777777" w:rsidTr="001103BF">
        <w:trPr>
          <w:trHeight w:val="284"/>
        </w:trPr>
        <w:tc>
          <w:tcPr>
            <w:tcW w:w="8500" w:type="dxa"/>
          </w:tcPr>
          <w:p w14:paraId="5AAAEA0D" w14:textId="77777777" w:rsidR="001103BF" w:rsidRPr="009F2276" w:rsidRDefault="001103BF" w:rsidP="001103BF">
            <w:pPr>
              <w:rPr>
                <w:rFonts w:ascii="Times New Roman" w:hAnsi="Times New Roman"/>
                <w:b/>
                <w:sz w:val="28"/>
                <w:lang w:eastAsia="es-DO"/>
              </w:rPr>
            </w:pPr>
            <w:r w:rsidRPr="009F2276">
              <w:rPr>
                <w:rFonts w:ascii="Times New Roman" w:hAnsi="Times New Roman"/>
                <w:b/>
                <w:sz w:val="28"/>
                <w:lang w:eastAsia="es-DO"/>
              </w:rPr>
              <w:t>Vacuna contra tuberculosis bovina</w:t>
            </w:r>
          </w:p>
        </w:tc>
      </w:tr>
      <w:tr w:rsidR="001103BF" w14:paraId="44570174" w14:textId="77777777" w:rsidTr="001103BF">
        <w:trPr>
          <w:trHeight w:val="5088"/>
        </w:trPr>
        <w:tc>
          <w:tcPr>
            <w:tcW w:w="8500" w:type="dxa"/>
          </w:tcPr>
          <w:p w14:paraId="173416AF" w14:textId="77777777" w:rsidR="001103BF" w:rsidRDefault="001103BF" w:rsidP="001103BF">
            <w:pPr>
              <w:jc w:val="center"/>
              <w:rPr>
                <w:rFonts w:ascii="Times New Roman" w:hAnsi="Times New Roman"/>
                <w:lang w:eastAsia="es-DO"/>
              </w:rPr>
            </w:pPr>
            <w:r w:rsidRPr="002D6BCB">
              <w:rPr>
                <w:rFonts w:ascii="Times New Roman" w:hAnsi="Times New Roman"/>
                <w:noProof/>
                <w:lang w:eastAsia="es-DO"/>
              </w:rPr>
              <w:drawing>
                <wp:inline distT="0" distB="0" distL="0" distR="0" wp14:anchorId="41D79CEA" wp14:editId="07AB9BF2">
                  <wp:extent cx="5400040" cy="3047365"/>
                  <wp:effectExtent l="0" t="0" r="0" b="635"/>
                  <wp:docPr id="1073741878" name="Imagen 1" descr="20170117_104007"/>
                  <wp:cNvGraphicFramePr/>
                  <a:graphic xmlns:a="http://schemas.openxmlformats.org/drawingml/2006/main">
                    <a:graphicData uri="http://schemas.openxmlformats.org/drawingml/2006/picture">
                      <pic:pic xmlns:pic="http://schemas.openxmlformats.org/drawingml/2006/picture">
                        <pic:nvPicPr>
                          <pic:cNvPr id="2" name="Imagen 1" descr="20170117_104007"/>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5400040" cy="3047365"/>
                          </a:xfrm>
                          <a:prstGeom prst="rect">
                            <a:avLst/>
                          </a:prstGeom>
                          <a:ln>
                            <a:noFill/>
                          </a:ln>
                          <a:effectLst>
                            <a:softEdge rad="112500"/>
                          </a:effectLst>
                        </pic:spPr>
                      </pic:pic>
                    </a:graphicData>
                  </a:graphic>
                </wp:inline>
              </w:drawing>
            </w:r>
          </w:p>
        </w:tc>
      </w:tr>
    </w:tbl>
    <w:p w14:paraId="58DF9CBA" w14:textId="77777777" w:rsidR="001103BF" w:rsidRDefault="001103BF" w:rsidP="001103BF">
      <w:pPr>
        <w:rPr>
          <w:rFonts w:ascii="Times New Roman" w:hAnsi="Times New Roman"/>
          <w:lang w:eastAsia="es-DO"/>
        </w:rPr>
      </w:pPr>
    </w:p>
    <w:p w14:paraId="158C6064" w14:textId="77777777" w:rsidR="001103BF" w:rsidRDefault="001103BF" w:rsidP="001103BF">
      <w:pPr>
        <w:rPr>
          <w:rFonts w:ascii="Times New Roman" w:hAnsi="Times New Roman"/>
          <w:lang w:eastAsia="es-DO"/>
        </w:rPr>
      </w:pPr>
      <w:r>
        <w:rPr>
          <w:rFonts w:ascii="Times New Roman" w:hAnsi="Times New Roman"/>
          <w:lang w:eastAsia="es-DO"/>
        </w:rPr>
        <w:br w:type="page"/>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1103BF" w14:paraId="41D7FAA4" w14:textId="77777777" w:rsidTr="00151228">
        <w:tc>
          <w:tcPr>
            <w:tcW w:w="8720" w:type="dxa"/>
          </w:tcPr>
          <w:p w14:paraId="455AA77B" w14:textId="77777777" w:rsidR="001103BF" w:rsidRPr="009F2276" w:rsidRDefault="001103BF" w:rsidP="001103BF">
            <w:pPr>
              <w:rPr>
                <w:rFonts w:ascii="Times New Roman" w:hAnsi="Times New Roman"/>
                <w:b/>
                <w:sz w:val="28"/>
                <w:lang w:eastAsia="es-DO"/>
              </w:rPr>
            </w:pPr>
            <w:r w:rsidRPr="009F2276">
              <w:rPr>
                <w:rFonts w:ascii="Times New Roman" w:hAnsi="Times New Roman"/>
                <w:b/>
                <w:sz w:val="28"/>
                <w:lang w:eastAsia="es-DO"/>
              </w:rPr>
              <w:lastRenderedPageBreak/>
              <w:t>Mecanización de terrenos</w:t>
            </w:r>
          </w:p>
        </w:tc>
      </w:tr>
      <w:tr w:rsidR="001103BF" w14:paraId="3247FAB3" w14:textId="77777777" w:rsidTr="00151228">
        <w:tc>
          <w:tcPr>
            <w:tcW w:w="8720" w:type="dxa"/>
          </w:tcPr>
          <w:p w14:paraId="15B74112" w14:textId="77777777" w:rsidR="001103BF" w:rsidRDefault="001103BF" w:rsidP="001103BF">
            <w:pPr>
              <w:rPr>
                <w:rFonts w:ascii="Times New Roman" w:hAnsi="Times New Roman"/>
                <w:lang w:eastAsia="es-DO"/>
              </w:rPr>
            </w:pPr>
            <w:r w:rsidRPr="002D6BCB">
              <w:rPr>
                <w:rFonts w:ascii="Times New Roman" w:hAnsi="Times New Roman"/>
                <w:noProof/>
                <w:lang w:eastAsia="es-DO"/>
              </w:rPr>
              <w:drawing>
                <wp:inline distT="0" distB="0" distL="0" distR="0" wp14:anchorId="5D8A4BB5" wp14:editId="1D8752D2">
                  <wp:extent cx="5400040" cy="3668232"/>
                  <wp:effectExtent l="0" t="0" r="0" b="8890"/>
                  <wp:docPr id="1073741879" name="Imagen 3"/>
                  <wp:cNvGraphicFramePr/>
                  <a:graphic xmlns:a="http://schemas.openxmlformats.org/drawingml/2006/main">
                    <a:graphicData uri="http://schemas.openxmlformats.org/drawingml/2006/picture">
                      <pic:pic xmlns:pic="http://schemas.openxmlformats.org/drawingml/2006/picture">
                        <pic:nvPicPr>
                          <pic:cNvPr id="4" name="Imagen 3"/>
                          <pic:cNvPicPr/>
                        </pic:nvPicPr>
                        <pic:blipFill rotWithShape="1">
                          <a:blip r:embed="rId232" cstate="print">
                            <a:extLst>
                              <a:ext uri="{28A0092B-C50C-407E-A947-70E740481C1C}">
                                <a14:useLocalDpi xmlns:a14="http://schemas.microsoft.com/office/drawing/2010/main" val="0"/>
                              </a:ext>
                            </a:extLst>
                          </a:blip>
                          <a:srcRect b="9776"/>
                          <a:stretch/>
                        </pic:blipFill>
                        <pic:spPr bwMode="auto">
                          <a:xfrm>
                            <a:off x="0" y="0"/>
                            <a:ext cx="5403035" cy="3670266"/>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1103BF" w14:paraId="5225A42C" w14:textId="77777777" w:rsidTr="00151228">
        <w:tc>
          <w:tcPr>
            <w:tcW w:w="8720" w:type="dxa"/>
          </w:tcPr>
          <w:p w14:paraId="7E0CF526" w14:textId="77777777" w:rsidR="001103BF" w:rsidRPr="009F2276" w:rsidRDefault="001103BF" w:rsidP="001103BF">
            <w:pPr>
              <w:rPr>
                <w:rFonts w:ascii="Times New Roman" w:hAnsi="Times New Roman"/>
                <w:b/>
                <w:sz w:val="28"/>
                <w:lang w:eastAsia="es-DO"/>
              </w:rPr>
            </w:pPr>
            <w:r w:rsidRPr="009F2276">
              <w:rPr>
                <w:rFonts w:ascii="Times New Roman" w:hAnsi="Times New Roman"/>
                <w:b/>
                <w:sz w:val="28"/>
                <w:lang w:eastAsia="es-DO"/>
              </w:rPr>
              <w:t>Mecanización de terrenos para siembra de Maíz Híbrido</w:t>
            </w:r>
          </w:p>
        </w:tc>
      </w:tr>
      <w:tr w:rsidR="001103BF" w14:paraId="78A18CF6" w14:textId="77777777" w:rsidTr="00151228">
        <w:tc>
          <w:tcPr>
            <w:tcW w:w="8720" w:type="dxa"/>
          </w:tcPr>
          <w:p w14:paraId="0917FF15" w14:textId="77777777" w:rsidR="001103BF" w:rsidRDefault="001103BF" w:rsidP="001103BF">
            <w:pPr>
              <w:rPr>
                <w:rFonts w:ascii="Times New Roman" w:hAnsi="Times New Roman"/>
                <w:lang w:eastAsia="es-DO"/>
              </w:rPr>
            </w:pPr>
            <w:r w:rsidRPr="002D6BCB">
              <w:rPr>
                <w:rFonts w:ascii="Times New Roman" w:hAnsi="Times New Roman"/>
                <w:noProof/>
                <w:lang w:eastAsia="es-DO"/>
              </w:rPr>
              <w:drawing>
                <wp:inline distT="0" distB="0" distL="0" distR="0" wp14:anchorId="6B8103A0" wp14:editId="7E865F2B">
                  <wp:extent cx="5254388" cy="3630305"/>
                  <wp:effectExtent l="0" t="0" r="3810" b="8255"/>
                  <wp:docPr id="1073741880" name="Imagen 1"/>
                  <wp:cNvGraphicFramePr/>
                  <a:graphic xmlns:a="http://schemas.openxmlformats.org/drawingml/2006/main">
                    <a:graphicData uri="http://schemas.openxmlformats.org/drawingml/2006/picture">
                      <pic:pic xmlns:pic="http://schemas.openxmlformats.org/drawingml/2006/picture">
                        <pic:nvPicPr>
                          <pic:cNvPr id="2" name="Imagen 1"/>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5256129" cy="3631508"/>
                          </a:xfrm>
                          <a:prstGeom prst="rect">
                            <a:avLst/>
                          </a:prstGeom>
                          <a:ln>
                            <a:noFill/>
                          </a:ln>
                          <a:effectLst>
                            <a:softEdge rad="112500"/>
                          </a:effectLst>
                        </pic:spPr>
                      </pic:pic>
                    </a:graphicData>
                  </a:graphic>
                </wp:inline>
              </w:drawing>
            </w:r>
          </w:p>
        </w:tc>
      </w:tr>
    </w:tbl>
    <w:p w14:paraId="4EA01D9F" w14:textId="77777777" w:rsidR="001103BF" w:rsidRPr="009F2276" w:rsidRDefault="001103BF" w:rsidP="001103BF">
      <w:pPr>
        <w:rPr>
          <w:rFonts w:ascii="Times New Roman" w:hAnsi="Times New Roman"/>
          <w:b/>
          <w:sz w:val="28"/>
          <w:lang w:eastAsia="es-DO"/>
        </w:rPr>
      </w:pPr>
      <w:r w:rsidRPr="009F2276">
        <w:rPr>
          <w:rFonts w:ascii="Times New Roman" w:hAnsi="Times New Roman"/>
          <w:b/>
          <w:sz w:val="28"/>
          <w:lang w:eastAsia="es-DO"/>
        </w:rPr>
        <w:lastRenderedPageBreak/>
        <w:t>Viveros oficiales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1103BF" w14:paraId="7C86CC26" w14:textId="77777777" w:rsidTr="001103BF">
        <w:tc>
          <w:tcPr>
            <w:tcW w:w="8494" w:type="dxa"/>
          </w:tcPr>
          <w:p w14:paraId="6F9D31A7" w14:textId="77777777" w:rsidR="001103BF" w:rsidRDefault="001103BF" w:rsidP="001103BF">
            <w:pPr>
              <w:rPr>
                <w:rFonts w:ascii="Times New Roman" w:hAnsi="Times New Roman"/>
                <w:lang w:eastAsia="es-DO"/>
              </w:rPr>
            </w:pPr>
            <w:r w:rsidRPr="000944EC">
              <w:rPr>
                <w:rFonts w:ascii="Times New Roman" w:hAnsi="Times New Roman"/>
                <w:noProof/>
                <w:lang w:eastAsia="es-DO"/>
              </w:rPr>
              <w:drawing>
                <wp:inline distT="0" distB="0" distL="0" distR="0" wp14:anchorId="55A5BD9C" wp14:editId="5267FDCF">
                  <wp:extent cx="5400040" cy="3296093"/>
                  <wp:effectExtent l="0" t="0" r="0" b="0"/>
                  <wp:docPr id="10737418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34">
                            <a:extLst>
                              <a:ext uri="{28A0092B-C50C-407E-A947-70E740481C1C}">
                                <a14:useLocalDpi xmlns:a14="http://schemas.microsoft.com/office/drawing/2010/main" val="0"/>
                              </a:ext>
                            </a:extLst>
                          </a:blip>
                          <a:stretch>
                            <a:fillRect/>
                          </a:stretch>
                        </pic:blipFill>
                        <pic:spPr>
                          <a:xfrm>
                            <a:off x="0" y="0"/>
                            <a:ext cx="5402513" cy="3297602"/>
                          </a:xfrm>
                          <a:prstGeom prst="rect">
                            <a:avLst/>
                          </a:prstGeom>
                          <a:ln>
                            <a:noFill/>
                          </a:ln>
                          <a:effectLst>
                            <a:softEdge rad="112500"/>
                          </a:effectLst>
                        </pic:spPr>
                      </pic:pic>
                    </a:graphicData>
                  </a:graphic>
                </wp:inline>
              </w:drawing>
            </w:r>
          </w:p>
        </w:tc>
      </w:tr>
    </w:tbl>
    <w:p w14:paraId="5A52D101" w14:textId="77777777" w:rsidR="001103BF" w:rsidRDefault="001103BF" w:rsidP="001103BF">
      <w:pPr>
        <w:rPr>
          <w:rFonts w:ascii="Times New Roman" w:hAnsi="Times New Roman"/>
          <w:lang w:eastAsia="es-D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8"/>
      </w:tblGrid>
      <w:tr w:rsidR="001103BF" w14:paraId="5B7131F1" w14:textId="77777777" w:rsidTr="001103BF">
        <w:tc>
          <w:tcPr>
            <w:tcW w:w="8494" w:type="dxa"/>
          </w:tcPr>
          <w:p w14:paraId="3628EF4D" w14:textId="77777777" w:rsidR="001103BF" w:rsidRDefault="001103BF" w:rsidP="001103BF">
            <w:pPr>
              <w:rPr>
                <w:rFonts w:ascii="Times New Roman" w:hAnsi="Times New Roman"/>
                <w:lang w:eastAsia="es-DO"/>
              </w:rPr>
            </w:pPr>
            <w:r w:rsidRPr="000944EC">
              <w:rPr>
                <w:rFonts w:ascii="Times New Roman" w:hAnsi="Times New Roman"/>
                <w:noProof/>
                <w:lang w:eastAsia="es-DO"/>
              </w:rPr>
              <w:drawing>
                <wp:inline distT="0" distB="0" distL="0" distR="0" wp14:anchorId="7A80DCDD" wp14:editId="3CA6155A">
                  <wp:extent cx="5399186" cy="3630305"/>
                  <wp:effectExtent l="0" t="0" r="0" b="8255"/>
                  <wp:docPr id="10737418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235">
                            <a:extLst>
                              <a:ext uri="{28A0092B-C50C-407E-A947-70E740481C1C}">
                                <a14:useLocalDpi xmlns:a14="http://schemas.microsoft.com/office/drawing/2010/main" val="0"/>
                              </a:ext>
                            </a:extLst>
                          </a:blip>
                          <a:stretch>
                            <a:fillRect/>
                          </a:stretch>
                        </pic:blipFill>
                        <pic:spPr>
                          <a:xfrm>
                            <a:off x="0" y="0"/>
                            <a:ext cx="5407382" cy="3635816"/>
                          </a:xfrm>
                          <a:prstGeom prst="rect">
                            <a:avLst/>
                          </a:prstGeom>
                          <a:ln>
                            <a:noFill/>
                          </a:ln>
                          <a:effectLst>
                            <a:softEdge rad="112500"/>
                          </a:effectLst>
                        </pic:spPr>
                      </pic:pic>
                    </a:graphicData>
                  </a:graphic>
                </wp:inline>
              </w:drawing>
            </w:r>
          </w:p>
        </w:tc>
      </w:tr>
    </w:tbl>
    <w:p w14:paraId="2095C3A5" w14:textId="77777777" w:rsidR="001103BF" w:rsidRDefault="001103BF" w:rsidP="001103BF">
      <w:pPr>
        <w:rPr>
          <w:rFonts w:ascii="Times New Roman" w:hAnsi="Times New Roman"/>
          <w:lang w:eastAsia="es-DO"/>
        </w:rPr>
      </w:pPr>
    </w:p>
    <w:p w14:paraId="2945707C" w14:textId="3E924C66" w:rsidR="001103BF" w:rsidRDefault="001103BF" w:rsidP="001103BF">
      <w:pPr>
        <w:rPr>
          <w:rFonts w:ascii="Times New Roman" w:hAnsi="Times New Roman"/>
          <w:lang w:eastAsia="es-DO"/>
        </w:rPr>
      </w:pPr>
    </w:p>
    <w:p w14:paraId="67F90F86" w14:textId="77777777" w:rsidR="001103BF" w:rsidRPr="00151228" w:rsidRDefault="001103BF" w:rsidP="001103BF">
      <w:pPr>
        <w:rPr>
          <w:rFonts w:ascii="Times New Roman" w:hAnsi="Times New Roman"/>
          <w:b/>
          <w:sz w:val="28"/>
          <w:lang w:val="es-ES" w:eastAsia="es-DO"/>
        </w:rPr>
      </w:pPr>
      <w:r w:rsidRPr="00151228">
        <w:rPr>
          <w:rFonts w:ascii="Times New Roman" w:hAnsi="Times New Roman"/>
          <w:b/>
          <w:sz w:val="28"/>
          <w:lang w:val="es-ES" w:eastAsia="es-DO"/>
        </w:rPr>
        <w:lastRenderedPageBreak/>
        <w:t>Jornadas junto al Ministerio de Agricultura para recoger Plásticos en diferentes zonas del País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gridCol w:w="225"/>
      </w:tblGrid>
      <w:tr w:rsidR="001103BF" w14:paraId="05376462" w14:textId="77777777" w:rsidTr="00151228">
        <w:trPr>
          <w:gridAfter w:val="1"/>
          <w:wAfter w:w="225" w:type="dxa"/>
          <w:trHeight w:val="5194"/>
        </w:trPr>
        <w:tc>
          <w:tcPr>
            <w:tcW w:w="8494" w:type="dxa"/>
          </w:tcPr>
          <w:p w14:paraId="58D576A6" w14:textId="77777777" w:rsidR="001103BF" w:rsidRDefault="001103BF" w:rsidP="001103BF">
            <w:pPr>
              <w:rPr>
                <w:rFonts w:ascii="Times New Roman" w:hAnsi="Times New Roman"/>
                <w:lang w:eastAsia="es-DO"/>
              </w:rPr>
            </w:pPr>
          </w:p>
          <w:p w14:paraId="7328F477" w14:textId="35154532" w:rsidR="001103BF" w:rsidRDefault="001103BF" w:rsidP="001103BF">
            <w:pPr>
              <w:rPr>
                <w:rFonts w:ascii="Times New Roman" w:hAnsi="Times New Roman"/>
                <w:lang w:eastAsia="es-DO"/>
              </w:rPr>
            </w:pPr>
            <w:r>
              <w:rPr>
                <w:rFonts w:ascii="Times New Roman" w:hAnsi="Times New Roman"/>
                <w:noProof/>
                <w:lang w:eastAsia="es-DO"/>
              </w:rPr>
              <w:drawing>
                <wp:inline distT="0" distB="0" distL="0" distR="0" wp14:anchorId="4A8DFC54" wp14:editId="44160C2A">
                  <wp:extent cx="5199797" cy="3340595"/>
                  <wp:effectExtent l="0" t="0" r="0" b="0"/>
                  <wp:docPr id="1073741827" name="Imagen 107374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241810" cy="3367586"/>
                          </a:xfrm>
                          <a:prstGeom prst="rect">
                            <a:avLst/>
                          </a:prstGeom>
                          <a:ln>
                            <a:noFill/>
                          </a:ln>
                          <a:effectLst>
                            <a:softEdge rad="112500"/>
                          </a:effectLst>
                        </pic:spPr>
                      </pic:pic>
                    </a:graphicData>
                  </a:graphic>
                </wp:inline>
              </w:drawing>
            </w:r>
          </w:p>
        </w:tc>
      </w:tr>
      <w:tr w:rsidR="001103BF" w14:paraId="4F671D92" w14:textId="77777777" w:rsidTr="00151228">
        <w:tc>
          <w:tcPr>
            <w:tcW w:w="8719" w:type="dxa"/>
            <w:gridSpan w:val="2"/>
          </w:tcPr>
          <w:p w14:paraId="1C965C7E" w14:textId="77777777" w:rsidR="001103BF" w:rsidRDefault="001103BF" w:rsidP="001103BF">
            <w:pPr>
              <w:rPr>
                <w:rFonts w:ascii="Times New Roman" w:hAnsi="Times New Roman"/>
                <w:lang w:eastAsia="es-DO"/>
              </w:rPr>
            </w:pPr>
            <w:r w:rsidRPr="000944EC">
              <w:rPr>
                <w:rFonts w:ascii="Times New Roman" w:hAnsi="Times New Roman"/>
                <w:lang w:eastAsia="es-DO"/>
              </w:rPr>
              <w:t>Producción de arroz,</w:t>
            </w:r>
            <w:r>
              <w:rPr>
                <w:rFonts w:ascii="Times New Roman" w:hAnsi="Times New Roman"/>
                <w:lang w:eastAsia="es-DO"/>
              </w:rPr>
              <w:t xml:space="preserve"> </w:t>
            </w:r>
            <w:r w:rsidRPr="000944EC">
              <w:rPr>
                <w:rFonts w:ascii="Times New Roman" w:hAnsi="Times New Roman"/>
                <w:lang w:eastAsia="es-DO"/>
              </w:rPr>
              <w:t>Estación experimental Dr. Yin Tieh Shieh, Juma, Bonao - BIOARROZ</w:t>
            </w:r>
          </w:p>
        </w:tc>
      </w:tr>
      <w:tr w:rsidR="001103BF" w14:paraId="3C5922CC" w14:textId="77777777" w:rsidTr="00151228">
        <w:tc>
          <w:tcPr>
            <w:tcW w:w="8719" w:type="dxa"/>
            <w:gridSpan w:val="2"/>
          </w:tcPr>
          <w:p w14:paraId="41E65509" w14:textId="77777777" w:rsidR="001103BF" w:rsidRDefault="001103BF" w:rsidP="001103BF">
            <w:pPr>
              <w:rPr>
                <w:rFonts w:ascii="Times New Roman" w:hAnsi="Times New Roman"/>
                <w:lang w:eastAsia="es-DO"/>
              </w:rPr>
            </w:pPr>
            <w:r w:rsidRPr="000944EC">
              <w:rPr>
                <w:rFonts w:ascii="Times New Roman" w:hAnsi="Times New Roman"/>
                <w:noProof/>
                <w:lang w:eastAsia="es-DO"/>
              </w:rPr>
              <w:drawing>
                <wp:inline distT="0" distB="0" distL="0" distR="0" wp14:anchorId="1CDD8572" wp14:editId="79552640">
                  <wp:extent cx="5399824" cy="3275463"/>
                  <wp:effectExtent l="0" t="0" r="0" b="1270"/>
                  <wp:docPr id="1073741883" name="Imagen 1" descr="C:\Users\jesus pena\Downloads\IMG_20190508_145610.jpg"/>
                  <wp:cNvGraphicFramePr/>
                  <a:graphic xmlns:a="http://schemas.openxmlformats.org/drawingml/2006/main">
                    <a:graphicData uri="http://schemas.openxmlformats.org/drawingml/2006/picture">
                      <pic:pic xmlns:pic="http://schemas.openxmlformats.org/drawingml/2006/picture">
                        <pic:nvPicPr>
                          <pic:cNvPr id="2" name="Imagen 1" descr="C:\Users\jesus pena\Downloads\IMG_20190508_145610.jpg"/>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5406729" cy="3279651"/>
                          </a:xfrm>
                          <a:prstGeom prst="rect">
                            <a:avLst/>
                          </a:prstGeom>
                          <a:ln>
                            <a:noFill/>
                          </a:ln>
                          <a:effectLst>
                            <a:softEdge rad="112500"/>
                          </a:effectLst>
                        </pic:spPr>
                      </pic:pic>
                    </a:graphicData>
                  </a:graphic>
                </wp:inline>
              </w:drawing>
            </w:r>
          </w:p>
        </w:tc>
      </w:tr>
    </w:tbl>
    <w:p w14:paraId="0521E7E5" w14:textId="77777777" w:rsidR="001103BF" w:rsidRPr="005B6AC8" w:rsidRDefault="001103BF" w:rsidP="001103BF">
      <w:pPr>
        <w:rPr>
          <w:rFonts w:ascii="Times New Roman" w:hAnsi="Times New Roman"/>
          <w:b/>
          <w:sz w:val="28"/>
          <w:lang w:eastAsia="es-DO"/>
        </w:rPr>
      </w:pPr>
      <w:r w:rsidRPr="005B6AC8">
        <w:rPr>
          <w:rFonts w:ascii="Times New Roman" w:hAnsi="Times New Roman"/>
          <w:b/>
          <w:sz w:val="28"/>
          <w:lang w:eastAsia="es-DO"/>
        </w:rPr>
        <w:lastRenderedPageBreak/>
        <w:t>Distribución de Material de Siembra</w:t>
      </w:r>
    </w:p>
    <w:tbl>
      <w:tblPr>
        <w:tblStyle w:val="Tablaconcuadrcula"/>
        <w:tblW w:w="8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1103BF" w14:paraId="5BEB5C96" w14:textId="77777777" w:rsidTr="001103BF">
        <w:trPr>
          <w:trHeight w:val="4721"/>
        </w:trPr>
        <w:tc>
          <w:tcPr>
            <w:tcW w:w="8343" w:type="dxa"/>
          </w:tcPr>
          <w:p w14:paraId="00C9E1E2" w14:textId="77777777" w:rsidR="001103BF" w:rsidRDefault="001103BF" w:rsidP="001103BF">
            <w:pPr>
              <w:rPr>
                <w:rFonts w:ascii="Times New Roman" w:hAnsi="Times New Roman"/>
                <w:lang w:eastAsia="es-DO"/>
              </w:rPr>
            </w:pPr>
            <w:r w:rsidRPr="00FB32B8">
              <w:rPr>
                <w:rFonts w:ascii="Times New Roman" w:hAnsi="Times New Roman"/>
                <w:noProof/>
                <w:lang w:eastAsia="es-DO"/>
              </w:rPr>
              <w:drawing>
                <wp:inline distT="0" distB="0" distL="0" distR="0" wp14:anchorId="52A95C29" wp14:editId="464174EC">
                  <wp:extent cx="5400040" cy="3551274"/>
                  <wp:effectExtent l="0" t="0" r="0" b="0"/>
                  <wp:docPr id="1073741884" name="Imagen 1" descr="C:\Users\Jesús Abraham\AppData\Local\Microsoft\Windows\INetCache\Content.Word\WhatsApp Image 2019-04-23 at 4.32.44 PM(1).jpeg"/>
                  <wp:cNvGraphicFramePr/>
                  <a:graphic xmlns:a="http://schemas.openxmlformats.org/drawingml/2006/main">
                    <a:graphicData uri="http://schemas.openxmlformats.org/drawingml/2006/picture">
                      <pic:pic xmlns:pic="http://schemas.openxmlformats.org/drawingml/2006/picture">
                        <pic:nvPicPr>
                          <pic:cNvPr id="2" name="Imagen 1" descr="C:\Users\Jesús Abraham\AppData\Local\Microsoft\Windows\INetCache\Content.Word\WhatsApp Image 2019-04-23 at 4.32.44 PM(1).jpeg"/>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402937" cy="3553179"/>
                          </a:xfrm>
                          <a:prstGeom prst="rect">
                            <a:avLst/>
                          </a:prstGeom>
                          <a:ln>
                            <a:noFill/>
                          </a:ln>
                          <a:effectLst>
                            <a:softEdge rad="112500"/>
                          </a:effectLst>
                        </pic:spPr>
                      </pic:pic>
                    </a:graphicData>
                  </a:graphic>
                </wp:inline>
              </w:drawing>
            </w:r>
          </w:p>
        </w:tc>
      </w:tr>
    </w:tbl>
    <w:p w14:paraId="6F4BDD41" w14:textId="77777777" w:rsidR="001103BF" w:rsidRDefault="001103BF" w:rsidP="001103BF">
      <w:pPr>
        <w:rPr>
          <w:rFonts w:ascii="Times New Roman" w:hAnsi="Times New Roman"/>
          <w:lang w:eastAsia="es-D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1103BF" w14:paraId="159BC6B3" w14:textId="77777777" w:rsidTr="001103BF">
        <w:tc>
          <w:tcPr>
            <w:tcW w:w="8494" w:type="dxa"/>
          </w:tcPr>
          <w:p w14:paraId="4C73E818" w14:textId="77777777" w:rsidR="001103BF" w:rsidRDefault="001103BF" w:rsidP="001103BF">
            <w:pPr>
              <w:rPr>
                <w:rFonts w:ascii="Times New Roman" w:hAnsi="Times New Roman"/>
                <w:lang w:eastAsia="es-DO"/>
              </w:rPr>
            </w:pPr>
            <w:r w:rsidRPr="00FB32B8">
              <w:rPr>
                <w:rFonts w:ascii="Times New Roman" w:hAnsi="Times New Roman"/>
                <w:noProof/>
                <w:lang w:eastAsia="es-DO"/>
              </w:rPr>
              <w:drawing>
                <wp:inline distT="0" distB="0" distL="0" distR="0" wp14:anchorId="582F6E61" wp14:editId="2EAA679D">
                  <wp:extent cx="5400040" cy="3455582"/>
                  <wp:effectExtent l="0" t="0" r="0" b="0"/>
                  <wp:docPr id="1073741885" name="Imagen 1" descr="WhatsApp Image 2019-04-23 at 4"/>
                  <wp:cNvGraphicFramePr/>
                  <a:graphic xmlns:a="http://schemas.openxmlformats.org/drawingml/2006/main">
                    <a:graphicData uri="http://schemas.openxmlformats.org/drawingml/2006/picture">
                      <pic:pic xmlns:pic="http://schemas.openxmlformats.org/drawingml/2006/picture">
                        <pic:nvPicPr>
                          <pic:cNvPr id="2" name="Imagen 1" descr="WhatsApp Image 2019-04-23 at 4"/>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403424" cy="3457748"/>
                          </a:xfrm>
                          <a:prstGeom prst="rect">
                            <a:avLst/>
                          </a:prstGeom>
                          <a:ln>
                            <a:noFill/>
                          </a:ln>
                          <a:effectLst>
                            <a:softEdge rad="112500"/>
                          </a:effectLst>
                        </pic:spPr>
                      </pic:pic>
                    </a:graphicData>
                  </a:graphic>
                </wp:inline>
              </w:drawing>
            </w:r>
          </w:p>
        </w:tc>
      </w:tr>
    </w:tbl>
    <w:p w14:paraId="14227CAC" w14:textId="77777777" w:rsidR="001103BF" w:rsidRDefault="001103BF" w:rsidP="001103BF">
      <w:pPr>
        <w:rPr>
          <w:rFonts w:ascii="Times New Roman" w:hAnsi="Times New Roman"/>
          <w:lang w:eastAsia="es-DO"/>
        </w:rPr>
      </w:pPr>
    </w:p>
    <w:p w14:paraId="7A1F593D" w14:textId="77777777" w:rsidR="001103BF" w:rsidRPr="005B6AC8" w:rsidRDefault="001103BF" w:rsidP="001103BF">
      <w:pPr>
        <w:rPr>
          <w:rFonts w:ascii="Times New Roman" w:hAnsi="Times New Roman"/>
          <w:b/>
          <w:sz w:val="28"/>
          <w:lang w:eastAsia="es-DO"/>
        </w:rPr>
      </w:pPr>
      <w:r w:rsidRPr="005B6AC8">
        <w:rPr>
          <w:rFonts w:ascii="Times New Roman" w:hAnsi="Times New Roman"/>
          <w:b/>
          <w:sz w:val="28"/>
          <w:lang w:eastAsia="es-DO"/>
        </w:rPr>
        <w:lastRenderedPageBreak/>
        <w:t>Programa de apoyo a la mujer rural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1103BF" w14:paraId="28710650" w14:textId="77777777" w:rsidTr="00151228">
        <w:tc>
          <w:tcPr>
            <w:tcW w:w="8720" w:type="dxa"/>
          </w:tcPr>
          <w:p w14:paraId="1FAF7039" w14:textId="77777777" w:rsidR="001103BF" w:rsidRDefault="001103BF" w:rsidP="001103BF">
            <w:pPr>
              <w:rPr>
                <w:rFonts w:ascii="Times New Roman" w:hAnsi="Times New Roman"/>
                <w:lang w:eastAsia="es-DO"/>
              </w:rPr>
            </w:pPr>
            <w:r w:rsidRPr="00FB32B8">
              <w:rPr>
                <w:rFonts w:ascii="Times New Roman" w:hAnsi="Times New Roman"/>
                <w:noProof/>
                <w:lang w:eastAsia="es-DO"/>
              </w:rPr>
              <w:drawing>
                <wp:inline distT="0" distB="0" distL="0" distR="0" wp14:anchorId="5A55CCD9" wp14:editId="65B677F3">
                  <wp:extent cx="4967785" cy="3944203"/>
                  <wp:effectExtent l="0" t="0" r="4445" b="0"/>
                  <wp:docPr id="1073741886" name="Imagen 1"/>
                  <wp:cNvGraphicFramePr/>
                  <a:graphic xmlns:a="http://schemas.openxmlformats.org/drawingml/2006/main">
                    <a:graphicData uri="http://schemas.openxmlformats.org/drawingml/2006/picture">
                      <pic:pic xmlns:pic="http://schemas.openxmlformats.org/drawingml/2006/picture">
                        <pic:nvPicPr>
                          <pic:cNvPr id="2" name="Imagen 1"/>
                          <pic:cNvPicPr/>
                        </pic:nvPicPr>
                        <pic:blipFill rotWithShape="1">
                          <a:blip r:embed="rId240" cstate="print">
                            <a:extLst>
                              <a:ext uri="{28A0092B-C50C-407E-A947-70E740481C1C}">
                                <a14:useLocalDpi xmlns:a14="http://schemas.microsoft.com/office/drawing/2010/main" val="0"/>
                              </a:ext>
                            </a:extLst>
                          </a:blip>
                          <a:srcRect t="16267" b="23546"/>
                          <a:stretch/>
                        </pic:blipFill>
                        <pic:spPr bwMode="auto">
                          <a:xfrm>
                            <a:off x="0" y="0"/>
                            <a:ext cx="4973017" cy="3948357"/>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1103BF" w14:paraId="05307BD0" w14:textId="77777777" w:rsidTr="00151228">
        <w:tc>
          <w:tcPr>
            <w:tcW w:w="8720" w:type="dxa"/>
          </w:tcPr>
          <w:p w14:paraId="4AFA7392" w14:textId="77777777" w:rsidR="001103BF" w:rsidRDefault="001103BF" w:rsidP="001103BF">
            <w:pPr>
              <w:rPr>
                <w:rFonts w:ascii="Times New Roman" w:hAnsi="Times New Roman"/>
                <w:lang w:eastAsia="es-DO"/>
              </w:rPr>
            </w:pPr>
            <w:r w:rsidRPr="00FB32B8">
              <w:rPr>
                <w:rFonts w:ascii="Times New Roman" w:hAnsi="Times New Roman"/>
                <w:noProof/>
                <w:lang w:eastAsia="es-DO"/>
              </w:rPr>
              <w:drawing>
                <wp:inline distT="0" distB="0" distL="0" distR="0" wp14:anchorId="30696054" wp14:editId="44FA1CC4">
                  <wp:extent cx="5172501" cy="3698543"/>
                  <wp:effectExtent l="0" t="0" r="9525" b="0"/>
                  <wp:docPr id="1073741887" name="Imagen 4"/>
                  <wp:cNvGraphicFramePr/>
                  <a:graphic xmlns:a="http://schemas.openxmlformats.org/drawingml/2006/main">
                    <a:graphicData uri="http://schemas.openxmlformats.org/drawingml/2006/picture">
                      <pic:pic xmlns:pic="http://schemas.openxmlformats.org/drawingml/2006/picture">
                        <pic:nvPicPr>
                          <pic:cNvPr id="5" name="Imagen 4"/>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5174871" cy="3700238"/>
                          </a:xfrm>
                          <a:prstGeom prst="rect">
                            <a:avLst/>
                          </a:prstGeom>
                          <a:ln>
                            <a:noFill/>
                          </a:ln>
                          <a:effectLst>
                            <a:softEdge rad="112500"/>
                          </a:effectLst>
                        </pic:spPr>
                      </pic:pic>
                    </a:graphicData>
                  </a:graphic>
                </wp:inline>
              </w:drawing>
            </w:r>
          </w:p>
        </w:tc>
      </w:tr>
    </w:tbl>
    <w:p w14:paraId="300A90E3" w14:textId="77777777" w:rsidR="001103BF" w:rsidRPr="005B6AC8" w:rsidRDefault="001103BF" w:rsidP="001103BF">
      <w:pPr>
        <w:rPr>
          <w:rFonts w:ascii="Times New Roman" w:hAnsi="Times New Roman"/>
          <w:b/>
          <w:sz w:val="28"/>
          <w:lang w:eastAsia="es-DO"/>
        </w:rPr>
      </w:pPr>
      <w:r w:rsidRPr="005B6AC8">
        <w:rPr>
          <w:rFonts w:ascii="Times New Roman" w:hAnsi="Times New Roman"/>
          <w:b/>
          <w:sz w:val="28"/>
          <w:lang w:eastAsia="es-DO"/>
        </w:rPr>
        <w:lastRenderedPageBreak/>
        <w:t>Programa de Saneamiento Básico de Pequeñas Infraestructuras Rurales</w:t>
      </w:r>
    </w:p>
    <w:p w14:paraId="20652264" w14:textId="77777777" w:rsidR="001103BF" w:rsidRPr="005B6AC8" w:rsidRDefault="001103BF" w:rsidP="001103BF">
      <w:pPr>
        <w:rPr>
          <w:rFonts w:ascii="Times New Roman" w:hAnsi="Times New Roman"/>
          <w:b/>
          <w:lang w:eastAsia="es-DO"/>
        </w:rPr>
      </w:pPr>
      <w:r w:rsidRPr="005B6AC8">
        <w:rPr>
          <w:rFonts w:ascii="Times New Roman" w:hAnsi="Times New Roman"/>
          <w:b/>
          <w:lang w:eastAsia="es-DO"/>
        </w:rPr>
        <w:t xml:space="preserve">Antes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1103BF" w14:paraId="0CEBB981" w14:textId="77777777" w:rsidTr="001103BF">
        <w:tc>
          <w:tcPr>
            <w:tcW w:w="8494" w:type="dxa"/>
          </w:tcPr>
          <w:p w14:paraId="62E52C92" w14:textId="77777777" w:rsidR="001103BF" w:rsidRDefault="001103BF" w:rsidP="001103BF">
            <w:pPr>
              <w:rPr>
                <w:rFonts w:ascii="Times New Roman" w:hAnsi="Times New Roman"/>
                <w:lang w:eastAsia="es-DO"/>
              </w:rPr>
            </w:pPr>
            <w:r w:rsidRPr="00EE36B0">
              <w:rPr>
                <w:rFonts w:ascii="Times New Roman" w:hAnsi="Times New Roman"/>
                <w:noProof/>
                <w:lang w:eastAsia="es-DO"/>
              </w:rPr>
              <w:drawing>
                <wp:inline distT="0" distB="0" distL="0" distR="0" wp14:anchorId="2791D05F" wp14:editId="1FF3992A">
                  <wp:extent cx="5400040" cy="3306726"/>
                  <wp:effectExtent l="0" t="0" r="0" b="8255"/>
                  <wp:docPr id="81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Imagen 1"/>
                          <pic:cNvPicPr>
                            <a:picLocks noChangeAspect="1" noChangeArrowheads="1"/>
                          </pic:cNvPicPr>
                        </pic:nvPicPr>
                        <pic:blipFill>
                          <a:blip r:embed="rId242"/>
                          <a:srcRect/>
                          <a:stretch>
                            <a:fillRect/>
                          </a:stretch>
                        </pic:blipFill>
                        <pic:spPr bwMode="auto">
                          <a:xfrm>
                            <a:off x="0" y="0"/>
                            <a:ext cx="5403493" cy="3308840"/>
                          </a:xfrm>
                          <a:prstGeom prst="rect">
                            <a:avLst/>
                          </a:prstGeom>
                          <a:ln>
                            <a:noFill/>
                          </a:ln>
                          <a:effectLst>
                            <a:softEdge rad="112500"/>
                          </a:effectLst>
                        </pic:spPr>
                      </pic:pic>
                    </a:graphicData>
                  </a:graphic>
                </wp:inline>
              </w:drawing>
            </w:r>
          </w:p>
        </w:tc>
      </w:tr>
    </w:tbl>
    <w:p w14:paraId="6B6ABAB4" w14:textId="77777777" w:rsidR="001103BF" w:rsidRPr="005B6AC8" w:rsidRDefault="001103BF" w:rsidP="001103BF">
      <w:pPr>
        <w:rPr>
          <w:rFonts w:ascii="Times New Roman" w:hAnsi="Times New Roman"/>
          <w:b/>
          <w:lang w:eastAsia="es-DO"/>
        </w:rPr>
      </w:pPr>
      <w:r w:rsidRPr="005B6AC8">
        <w:rPr>
          <w:rFonts w:ascii="Times New Roman" w:hAnsi="Times New Roman"/>
          <w:b/>
          <w:lang w:eastAsia="es-DO"/>
        </w:rPr>
        <w:t xml:space="preserve">Después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1103BF" w14:paraId="4FF69561" w14:textId="77777777" w:rsidTr="001103BF">
        <w:tc>
          <w:tcPr>
            <w:tcW w:w="8494" w:type="dxa"/>
          </w:tcPr>
          <w:p w14:paraId="78898D17" w14:textId="77777777" w:rsidR="001103BF" w:rsidRDefault="001103BF" w:rsidP="001103BF">
            <w:pPr>
              <w:rPr>
                <w:rFonts w:ascii="Times New Roman" w:hAnsi="Times New Roman"/>
                <w:lang w:eastAsia="es-DO"/>
              </w:rPr>
            </w:pPr>
            <w:r w:rsidRPr="00EE36B0">
              <w:rPr>
                <w:rFonts w:ascii="Times New Roman" w:hAnsi="Times New Roman"/>
                <w:noProof/>
                <w:lang w:eastAsia="es-DO"/>
              </w:rPr>
              <w:drawing>
                <wp:inline distT="0" distB="0" distL="0" distR="0" wp14:anchorId="5F47B320" wp14:editId="5CAFCEC8">
                  <wp:extent cx="5400040" cy="3665220"/>
                  <wp:effectExtent l="0" t="0" r="0" b="0"/>
                  <wp:docPr id="81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5" name="Imagen 1"/>
                          <pic:cNvPicPr>
                            <a:picLocks noChangeAspect="1" noChangeArrowheads="1"/>
                          </pic:cNvPicPr>
                        </pic:nvPicPr>
                        <pic:blipFill>
                          <a:blip r:embed="rId243"/>
                          <a:srcRect/>
                          <a:stretch>
                            <a:fillRect/>
                          </a:stretch>
                        </pic:blipFill>
                        <pic:spPr bwMode="auto">
                          <a:xfrm>
                            <a:off x="0" y="0"/>
                            <a:ext cx="5400040" cy="3665220"/>
                          </a:xfrm>
                          <a:prstGeom prst="rect">
                            <a:avLst/>
                          </a:prstGeom>
                          <a:ln>
                            <a:noFill/>
                          </a:ln>
                          <a:effectLst>
                            <a:softEdge rad="112500"/>
                          </a:effectLst>
                        </pic:spPr>
                      </pic:pic>
                    </a:graphicData>
                  </a:graphic>
                </wp:inline>
              </w:drawing>
            </w:r>
          </w:p>
        </w:tc>
      </w:tr>
    </w:tbl>
    <w:p w14:paraId="54ECFB44" w14:textId="77777777" w:rsidR="001103BF" w:rsidRPr="005B6AC8" w:rsidRDefault="001103BF" w:rsidP="001103BF">
      <w:pPr>
        <w:rPr>
          <w:rFonts w:ascii="Times New Roman" w:hAnsi="Times New Roman"/>
          <w:b/>
          <w:sz w:val="28"/>
          <w:lang w:eastAsia="es-DO"/>
        </w:rPr>
      </w:pPr>
      <w:r w:rsidRPr="005B6AC8">
        <w:rPr>
          <w:rFonts w:ascii="Times New Roman" w:hAnsi="Times New Roman"/>
          <w:b/>
          <w:sz w:val="28"/>
          <w:lang w:eastAsia="es-DO"/>
        </w:rPr>
        <w:lastRenderedPageBreak/>
        <w:t xml:space="preserve">Habilitación de camino vecinal en rancho arriba, </w:t>
      </w:r>
      <w:r>
        <w:rPr>
          <w:rFonts w:ascii="Times New Roman" w:hAnsi="Times New Roman"/>
          <w:b/>
          <w:sz w:val="28"/>
          <w:lang w:eastAsia="es-DO"/>
        </w:rPr>
        <w:t>S</w:t>
      </w:r>
      <w:r w:rsidRPr="005B6AC8">
        <w:rPr>
          <w:rFonts w:ascii="Times New Roman" w:hAnsi="Times New Roman"/>
          <w:b/>
          <w:sz w:val="28"/>
          <w:lang w:eastAsia="es-DO"/>
        </w:rPr>
        <w:t xml:space="preserve">an </w:t>
      </w:r>
      <w:r>
        <w:rPr>
          <w:rFonts w:ascii="Times New Roman" w:hAnsi="Times New Roman"/>
          <w:b/>
          <w:sz w:val="28"/>
          <w:lang w:eastAsia="es-DO"/>
        </w:rPr>
        <w:t>J</w:t>
      </w:r>
      <w:r w:rsidRPr="005B6AC8">
        <w:rPr>
          <w:rFonts w:ascii="Times New Roman" w:hAnsi="Times New Roman"/>
          <w:b/>
          <w:sz w:val="28"/>
          <w:lang w:eastAsia="es-DO"/>
        </w:rPr>
        <w:t xml:space="preserve">osé de </w:t>
      </w:r>
      <w:r>
        <w:rPr>
          <w:rFonts w:ascii="Times New Roman" w:hAnsi="Times New Roman"/>
          <w:b/>
          <w:sz w:val="28"/>
          <w:lang w:eastAsia="es-DO"/>
        </w:rPr>
        <w:t>O</w:t>
      </w:r>
      <w:r w:rsidRPr="005B6AC8">
        <w:rPr>
          <w:rFonts w:ascii="Times New Roman" w:hAnsi="Times New Roman"/>
          <w:b/>
          <w:sz w:val="28"/>
          <w:lang w:eastAsia="es-DO"/>
        </w:rPr>
        <w:t>coa</w:t>
      </w:r>
    </w:p>
    <w:p w14:paraId="2270326D" w14:textId="77777777" w:rsidR="001103BF" w:rsidRPr="005B6AC8" w:rsidRDefault="001103BF" w:rsidP="001103BF">
      <w:pPr>
        <w:rPr>
          <w:rFonts w:ascii="Times New Roman" w:hAnsi="Times New Roman"/>
          <w:b/>
          <w:lang w:eastAsia="es-DO"/>
        </w:rPr>
      </w:pPr>
      <w:r w:rsidRPr="005B6AC8">
        <w:rPr>
          <w:rFonts w:ascii="Times New Roman" w:hAnsi="Times New Roman"/>
          <w:b/>
          <w:lang w:eastAsia="es-DO"/>
        </w:rPr>
        <w:t xml:space="preserve">Antes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8"/>
      </w:tblGrid>
      <w:tr w:rsidR="001103BF" w14:paraId="6792300D" w14:textId="77777777" w:rsidTr="00151228">
        <w:trPr>
          <w:trHeight w:val="3312"/>
        </w:trPr>
        <w:tc>
          <w:tcPr>
            <w:tcW w:w="8498" w:type="dxa"/>
          </w:tcPr>
          <w:p w14:paraId="454B4774" w14:textId="77777777" w:rsidR="001103BF" w:rsidRDefault="001103BF" w:rsidP="001103BF">
            <w:pPr>
              <w:rPr>
                <w:rFonts w:ascii="Times New Roman" w:hAnsi="Times New Roman"/>
                <w:lang w:eastAsia="es-DO"/>
              </w:rPr>
            </w:pPr>
          </w:p>
          <w:p w14:paraId="74010E65" w14:textId="77777777" w:rsidR="001103BF" w:rsidRDefault="001103BF" w:rsidP="001103BF">
            <w:pPr>
              <w:rPr>
                <w:rFonts w:ascii="Times New Roman" w:hAnsi="Times New Roman"/>
                <w:lang w:eastAsia="es-DO"/>
              </w:rPr>
            </w:pPr>
            <w:r>
              <w:rPr>
                <w:rFonts w:ascii="Times New Roman" w:hAnsi="Times New Roman"/>
                <w:noProof/>
                <w:lang w:eastAsia="es-DO"/>
              </w:rPr>
              <w:drawing>
                <wp:inline distT="0" distB="0" distL="0" distR="0" wp14:anchorId="5F9CA7AB" wp14:editId="17D9433C">
                  <wp:extent cx="5259415" cy="3004457"/>
                  <wp:effectExtent l="0" t="0" r="0" b="5715"/>
                  <wp:docPr id="1073741829" name="Imagen 107374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328769" cy="3044076"/>
                          </a:xfrm>
                          <a:prstGeom prst="rect">
                            <a:avLst/>
                          </a:prstGeom>
                          <a:ln>
                            <a:noFill/>
                          </a:ln>
                          <a:effectLst>
                            <a:softEdge rad="112500"/>
                          </a:effectLst>
                        </pic:spPr>
                      </pic:pic>
                    </a:graphicData>
                  </a:graphic>
                </wp:inline>
              </w:drawing>
            </w:r>
          </w:p>
        </w:tc>
      </w:tr>
      <w:tr w:rsidR="001103BF" w14:paraId="7FE1EF50" w14:textId="77777777" w:rsidTr="001103BF">
        <w:tc>
          <w:tcPr>
            <w:tcW w:w="8494" w:type="dxa"/>
          </w:tcPr>
          <w:p w14:paraId="2253B20A" w14:textId="28416728" w:rsidR="001103BF" w:rsidRDefault="001103BF" w:rsidP="001103BF">
            <w:pPr>
              <w:rPr>
                <w:rFonts w:ascii="Times New Roman" w:hAnsi="Times New Roman"/>
                <w:lang w:eastAsia="es-DO"/>
              </w:rPr>
            </w:pPr>
            <w:r>
              <w:rPr>
                <w:rFonts w:ascii="Times New Roman" w:hAnsi="Times New Roman"/>
                <w:noProof/>
                <w:lang w:eastAsia="es-DO"/>
              </w:rPr>
              <w:drawing>
                <wp:inline distT="0" distB="0" distL="0" distR="0" wp14:anchorId="04F50ECC" wp14:editId="73449B33">
                  <wp:extent cx="5131558" cy="3651189"/>
                  <wp:effectExtent l="0" t="0" r="0" b="0"/>
                  <wp:docPr id="1073741830" name="Imagen 107374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158848" cy="3670606"/>
                          </a:xfrm>
                          <a:prstGeom prst="rect">
                            <a:avLst/>
                          </a:prstGeom>
                          <a:ln>
                            <a:noFill/>
                          </a:ln>
                          <a:effectLst>
                            <a:softEdge rad="112500"/>
                          </a:effectLst>
                        </pic:spPr>
                      </pic:pic>
                    </a:graphicData>
                  </a:graphic>
                </wp:inline>
              </w:drawing>
            </w:r>
          </w:p>
        </w:tc>
      </w:tr>
    </w:tbl>
    <w:p w14:paraId="19A6CD6C" w14:textId="77777777" w:rsidR="001103BF" w:rsidRPr="001103BF" w:rsidRDefault="001103BF" w:rsidP="001103BF">
      <w:pPr>
        <w:rPr>
          <w:rFonts w:ascii="Times New Roman" w:hAnsi="Times New Roman"/>
          <w:b/>
          <w:lang w:eastAsia="es-DO"/>
        </w:rPr>
      </w:pPr>
      <w:r w:rsidRPr="001103BF">
        <w:rPr>
          <w:rFonts w:ascii="Times New Roman" w:hAnsi="Times New Roman"/>
          <w:b/>
          <w:lang w:eastAsia="es-DO"/>
        </w:rPr>
        <w:t xml:space="preserve">Después </w:t>
      </w:r>
    </w:p>
    <w:sectPr w:rsidR="001103BF" w:rsidRPr="001103BF" w:rsidSect="001103BF">
      <w:headerReference w:type="default" r:id="rId246"/>
      <w:pgSz w:w="12240" w:h="15840"/>
      <w:pgMar w:top="851" w:right="851" w:bottom="1440" w:left="12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531BBD" w14:textId="77777777" w:rsidR="0083125C" w:rsidRDefault="0083125C" w:rsidP="0021635C">
      <w:pPr>
        <w:spacing w:after="0"/>
      </w:pPr>
      <w:r>
        <w:separator/>
      </w:r>
    </w:p>
  </w:endnote>
  <w:endnote w:type="continuationSeparator" w:id="0">
    <w:p w14:paraId="0166E5AA" w14:textId="77777777" w:rsidR="0083125C" w:rsidRDefault="0083125C" w:rsidP="002163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1388647147"/>
      <w:docPartObj>
        <w:docPartGallery w:val="Page Numbers (Bottom of Page)"/>
        <w:docPartUnique/>
      </w:docPartObj>
    </w:sdtPr>
    <w:sdtEndPr/>
    <w:sdtContent>
      <w:p w14:paraId="409B58A1" w14:textId="245E10E7" w:rsidR="0059163A" w:rsidRPr="00455913" w:rsidRDefault="0059163A" w:rsidP="005F77A2">
        <w:pPr>
          <w:pStyle w:val="Piedepgina"/>
          <w:jc w:val="right"/>
          <w:rPr>
            <w:rFonts w:ascii="Times New Roman" w:hAnsi="Times New Roman"/>
          </w:rPr>
        </w:pPr>
        <w:r w:rsidRPr="00455913">
          <w:rPr>
            <w:rFonts w:ascii="Times New Roman" w:hAnsi="Times New Roman"/>
            <w:lang w:val="es-ES"/>
          </w:rPr>
          <w:t xml:space="preserve">Página </w:t>
        </w:r>
        <w:r w:rsidRPr="00455913">
          <w:rPr>
            <w:rFonts w:ascii="Times New Roman" w:hAnsi="Times New Roman"/>
            <w:b/>
          </w:rPr>
          <w:fldChar w:fldCharType="begin"/>
        </w:r>
        <w:r w:rsidRPr="00455913">
          <w:rPr>
            <w:rFonts w:ascii="Times New Roman" w:hAnsi="Times New Roman"/>
            <w:b/>
          </w:rPr>
          <w:instrText>PAGE  \* Arabic  \* MERGEFORMAT</w:instrText>
        </w:r>
        <w:r w:rsidRPr="00455913">
          <w:rPr>
            <w:rFonts w:ascii="Times New Roman" w:hAnsi="Times New Roman"/>
            <w:b/>
          </w:rPr>
          <w:fldChar w:fldCharType="separate"/>
        </w:r>
        <w:r w:rsidR="003270EA" w:rsidRPr="003270EA">
          <w:rPr>
            <w:rFonts w:ascii="Times New Roman" w:hAnsi="Times New Roman"/>
            <w:b/>
            <w:noProof/>
            <w:lang w:val="es-ES"/>
          </w:rPr>
          <w:t>283</w:t>
        </w:r>
        <w:r w:rsidRPr="00455913">
          <w:rPr>
            <w:rFonts w:ascii="Times New Roman" w:hAnsi="Times New Roman"/>
            <w:b/>
          </w:rPr>
          <w:fldChar w:fldCharType="end"/>
        </w:r>
        <w:r w:rsidRPr="00455913">
          <w:rPr>
            <w:rFonts w:ascii="Times New Roman" w:hAnsi="Times New Roman"/>
            <w:lang w:val="es-ES"/>
          </w:rPr>
          <w:t xml:space="preserve"> de </w:t>
        </w:r>
        <w:r w:rsidRPr="00455913">
          <w:rPr>
            <w:rFonts w:ascii="Times New Roman" w:hAnsi="Times New Roman"/>
          </w:rPr>
          <w:fldChar w:fldCharType="begin"/>
        </w:r>
        <w:r w:rsidRPr="00455913">
          <w:rPr>
            <w:rFonts w:ascii="Times New Roman" w:hAnsi="Times New Roman"/>
          </w:rPr>
          <w:instrText>NUMPAGES  \* Arabic  \* MERGEFORMAT</w:instrText>
        </w:r>
        <w:r w:rsidRPr="00455913">
          <w:rPr>
            <w:rFonts w:ascii="Times New Roman" w:hAnsi="Times New Roman"/>
          </w:rPr>
          <w:fldChar w:fldCharType="separate"/>
        </w:r>
        <w:r w:rsidR="003270EA" w:rsidRPr="003270EA">
          <w:rPr>
            <w:rFonts w:ascii="Times New Roman" w:hAnsi="Times New Roman"/>
            <w:b/>
            <w:noProof/>
            <w:lang w:val="es-ES"/>
          </w:rPr>
          <w:t>304</w:t>
        </w:r>
        <w:r w:rsidRPr="00455913">
          <w:rPr>
            <w:rFonts w:ascii="Times New Roman" w:hAnsi="Times New Roman"/>
            <w:b/>
            <w:noProof/>
            <w:lang w:val="es-ES"/>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CB825" w14:textId="75DA4645" w:rsidR="0059163A" w:rsidRDefault="0059163A" w:rsidP="00C11FA2">
    <w:pPr>
      <w:pStyle w:val="Piedepgina"/>
      <w:jc w:val="right"/>
    </w:pPr>
    <w:r>
      <w:rPr>
        <w:lang w:val="es-ES"/>
      </w:rPr>
      <w:t xml:space="preserve">Página </w:t>
    </w:r>
    <w:r>
      <w:rPr>
        <w:b/>
      </w:rPr>
      <w:fldChar w:fldCharType="begin"/>
    </w:r>
    <w:r>
      <w:rPr>
        <w:b/>
      </w:rPr>
      <w:instrText>PAGE  \* Arabic  \* MERGEFORMAT</w:instrText>
    </w:r>
    <w:r>
      <w:rPr>
        <w:b/>
      </w:rPr>
      <w:fldChar w:fldCharType="separate"/>
    </w:r>
    <w:r w:rsidR="0050467E" w:rsidRPr="0050467E">
      <w:rPr>
        <w:b/>
        <w:noProof/>
        <w:lang w:val="es-ES"/>
      </w:rPr>
      <w:t>238</w:t>
    </w:r>
    <w:r>
      <w:rPr>
        <w:b/>
      </w:rPr>
      <w:fldChar w:fldCharType="end"/>
    </w:r>
    <w:r>
      <w:rPr>
        <w:lang w:val="es-ES"/>
      </w:rPr>
      <w:t xml:space="preserve"> de </w:t>
    </w:r>
    <w:r>
      <w:rPr>
        <w:b/>
        <w:noProof/>
        <w:lang w:val="es-ES"/>
      </w:rPr>
      <w:fldChar w:fldCharType="begin"/>
    </w:r>
    <w:r>
      <w:rPr>
        <w:b/>
        <w:noProof/>
        <w:lang w:val="es-ES"/>
      </w:rPr>
      <w:instrText>NUMPAGES  \* Arabic  \* MERGEFORMAT</w:instrText>
    </w:r>
    <w:r>
      <w:rPr>
        <w:b/>
        <w:noProof/>
        <w:lang w:val="es-ES"/>
      </w:rPr>
      <w:fldChar w:fldCharType="separate"/>
    </w:r>
    <w:r w:rsidR="0050467E">
      <w:rPr>
        <w:b/>
        <w:noProof/>
        <w:lang w:val="es-ES"/>
      </w:rPr>
      <w:t>304</w:t>
    </w:r>
    <w:r>
      <w:rPr>
        <w:b/>
        <w:noProof/>
        <w:lang w:val="es-E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02B8F" w14:textId="5109B0BD" w:rsidR="0059163A" w:rsidRDefault="0059163A" w:rsidP="00C11FA2">
    <w:pPr>
      <w:pStyle w:val="Piedepgina"/>
      <w:jc w:val="right"/>
    </w:pPr>
    <w:r>
      <w:rPr>
        <w:lang w:val="es-ES"/>
      </w:rPr>
      <w:t xml:space="preserve">Página </w:t>
    </w:r>
    <w:r>
      <w:rPr>
        <w:b/>
      </w:rPr>
      <w:fldChar w:fldCharType="begin"/>
    </w:r>
    <w:r>
      <w:rPr>
        <w:b/>
      </w:rPr>
      <w:instrText>PAGE  \* Arabic  \* MERGEFORMAT</w:instrText>
    </w:r>
    <w:r>
      <w:rPr>
        <w:b/>
      </w:rPr>
      <w:fldChar w:fldCharType="separate"/>
    </w:r>
    <w:r w:rsidR="0050467E" w:rsidRPr="0050467E">
      <w:rPr>
        <w:b/>
        <w:noProof/>
        <w:lang w:val="es-ES"/>
      </w:rPr>
      <w:t>242</w:t>
    </w:r>
    <w:r>
      <w:rPr>
        <w:b/>
      </w:rPr>
      <w:fldChar w:fldCharType="end"/>
    </w:r>
    <w:r>
      <w:rPr>
        <w:lang w:val="es-ES"/>
      </w:rPr>
      <w:t xml:space="preserve"> de </w:t>
    </w:r>
    <w:r>
      <w:rPr>
        <w:b/>
        <w:noProof/>
        <w:lang w:val="es-ES"/>
      </w:rPr>
      <w:fldChar w:fldCharType="begin"/>
    </w:r>
    <w:r>
      <w:rPr>
        <w:b/>
        <w:noProof/>
        <w:lang w:val="es-ES"/>
      </w:rPr>
      <w:instrText>NUMPAGES  \* Arabic  \* MERGEFORMAT</w:instrText>
    </w:r>
    <w:r>
      <w:rPr>
        <w:b/>
        <w:noProof/>
        <w:lang w:val="es-ES"/>
      </w:rPr>
      <w:fldChar w:fldCharType="separate"/>
    </w:r>
    <w:r w:rsidR="0050467E">
      <w:rPr>
        <w:b/>
        <w:noProof/>
        <w:lang w:val="es-ES"/>
      </w:rPr>
      <w:t>304</w:t>
    </w:r>
    <w:r>
      <w:rPr>
        <w:b/>
        <w:noProof/>
        <w:lang w:val="es-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6F781C" w14:textId="77777777" w:rsidR="0083125C" w:rsidRDefault="0083125C" w:rsidP="0021635C">
      <w:pPr>
        <w:spacing w:after="0"/>
      </w:pPr>
      <w:r>
        <w:separator/>
      </w:r>
    </w:p>
  </w:footnote>
  <w:footnote w:type="continuationSeparator" w:id="0">
    <w:p w14:paraId="2E7B4575" w14:textId="77777777" w:rsidR="0083125C" w:rsidRDefault="0083125C" w:rsidP="0021635C">
      <w:pPr>
        <w:spacing w:after="0"/>
      </w:pPr>
      <w:r>
        <w:continuationSeparator/>
      </w:r>
    </w:p>
  </w:footnote>
  <w:footnote w:id="1">
    <w:p w14:paraId="4EB80ADE" w14:textId="711652BF" w:rsidR="0059163A" w:rsidRPr="002413AB" w:rsidRDefault="0059163A" w:rsidP="0098745F">
      <w:pPr>
        <w:pStyle w:val="Textonotapie"/>
        <w:jc w:val="both"/>
        <w:rPr>
          <w:rFonts w:ascii="Times New Roman" w:hAnsi="Times New Roman"/>
        </w:rPr>
      </w:pPr>
      <w:r w:rsidRPr="002413AB">
        <w:rPr>
          <w:rStyle w:val="Refdenotaalpie"/>
          <w:rFonts w:ascii="Times New Roman" w:hAnsi="Times New Roman"/>
        </w:rPr>
        <w:footnoteRef/>
      </w:r>
      <w:r w:rsidRPr="002413AB">
        <w:rPr>
          <w:rFonts w:ascii="Times New Roman" w:hAnsi="Times New Roman"/>
        </w:rPr>
        <w:t xml:space="preserve"> </w:t>
      </w:r>
      <w:r w:rsidRPr="002413AB">
        <w:rPr>
          <w:rFonts w:ascii="Times New Roman" w:hAnsi="Times New Roman"/>
          <w:color w:val="000000"/>
          <w:sz w:val="20"/>
          <w:szCs w:val="22"/>
          <w:lang w:eastAsia="es-DO"/>
        </w:rPr>
        <w:t>Fuente: Plan Nacional Plurianual del Sector Público 2017-2020</w:t>
      </w:r>
      <w:r>
        <w:rPr>
          <w:rFonts w:ascii="Times New Roman" w:hAnsi="Times New Roman"/>
          <w:color w:val="000000"/>
          <w:sz w:val="20"/>
          <w:szCs w:val="22"/>
          <w:lang w:eastAsia="es-DO"/>
        </w:rPr>
        <w:t>.</w:t>
      </w:r>
    </w:p>
  </w:footnote>
  <w:footnote w:id="2">
    <w:p w14:paraId="2FBBA42D" w14:textId="77777777" w:rsidR="0050467E" w:rsidRPr="002413AB" w:rsidRDefault="0050467E" w:rsidP="000554CE">
      <w:pPr>
        <w:pStyle w:val="Textonotapie"/>
        <w:jc w:val="both"/>
        <w:rPr>
          <w:rFonts w:ascii="Times New Roman" w:hAnsi="Times New Roman"/>
        </w:rPr>
      </w:pPr>
      <w:r w:rsidRPr="002413AB">
        <w:rPr>
          <w:rStyle w:val="Refdenotaalpie"/>
          <w:rFonts w:ascii="Times New Roman" w:hAnsi="Times New Roman"/>
        </w:rPr>
        <w:footnoteRef/>
      </w:r>
      <w:r w:rsidRPr="002413AB">
        <w:rPr>
          <w:rFonts w:ascii="Times New Roman" w:hAnsi="Times New Roman"/>
        </w:rPr>
        <w:t xml:space="preserve"> </w:t>
      </w:r>
      <w:r w:rsidRPr="00F12CE7">
        <w:rPr>
          <w:rFonts w:ascii="Times New Roman" w:hAnsi="Times New Roman"/>
          <w:sz w:val="20"/>
          <w:szCs w:val="22"/>
          <w:lang w:eastAsia="es-DO"/>
        </w:rPr>
        <w:t>Meta establecida por el departamento de Planificación a través del POA. La ejecución del material de siembra</w:t>
      </w:r>
      <w:r>
        <w:rPr>
          <w:rFonts w:ascii="Times New Roman" w:hAnsi="Times New Roman"/>
          <w:sz w:val="20"/>
          <w:szCs w:val="22"/>
          <w:lang w:eastAsia="es-DO"/>
        </w:rPr>
        <w:t>,</w:t>
      </w:r>
      <w:r w:rsidRPr="00F12CE7">
        <w:rPr>
          <w:rFonts w:ascii="Times New Roman" w:hAnsi="Times New Roman"/>
          <w:sz w:val="20"/>
          <w:szCs w:val="22"/>
          <w:lang w:eastAsia="es-DO"/>
        </w:rPr>
        <w:t xml:space="preserve"> incluye la equivalencia en tareas de las carnadas distribuidas por el programa para el control de ratas en los cultivos de cacao y arroz, así como también la aplicación en café, frutales, tabaco.</w:t>
      </w:r>
    </w:p>
  </w:footnote>
  <w:footnote w:id="3">
    <w:p w14:paraId="4C961CC0" w14:textId="6AD4643C" w:rsidR="0050467E" w:rsidRPr="002413AB" w:rsidRDefault="0050467E" w:rsidP="000554CE">
      <w:pPr>
        <w:pStyle w:val="Textonotapie"/>
        <w:jc w:val="both"/>
        <w:rPr>
          <w:rFonts w:ascii="Times New Roman" w:hAnsi="Times New Roman"/>
          <w:sz w:val="20"/>
          <w:szCs w:val="20"/>
        </w:rPr>
      </w:pPr>
      <w:r w:rsidRPr="002413AB">
        <w:rPr>
          <w:rStyle w:val="Refdenotaalpie"/>
          <w:rFonts w:ascii="Times New Roman" w:hAnsi="Times New Roman"/>
        </w:rPr>
        <w:footnoteRef/>
      </w:r>
      <w:r w:rsidRPr="002413AB">
        <w:rPr>
          <w:rFonts w:ascii="Times New Roman" w:hAnsi="Times New Roman"/>
          <w:sz w:val="20"/>
          <w:szCs w:val="20"/>
        </w:rPr>
        <w:t xml:space="preserve"> Fuente: total de kilómetros de caminos construidos y rehabilitados reportados por el departamento de caminos del M</w:t>
      </w:r>
      <w:r>
        <w:rPr>
          <w:rFonts w:ascii="Times New Roman" w:hAnsi="Times New Roman"/>
          <w:sz w:val="20"/>
          <w:szCs w:val="20"/>
        </w:rPr>
        <w:t>inisterio de Agricultura e Instituciones Sectoriales.</w:t>
      </w:r>
    </w:p>
  </w:footnote>
  <w:footnote w:id="4">
    <w:p w14:paraId="35D9D9C0" w14:textId="34B64936" w:rsidR="0050467E" w:rsidRPr="0052136E" w:rsidRDefault="0050467E" w:rsidP="000554CE">
      <w:pPr>
        <w:pStyle w:val="Textonotapie"/>
        <w:jc w:val="both"/>
      </w:pPr>
      <w:r w:rsidRPr="002413AB">
        <w:rPr>
          <w:rStyle w:val="Refdenotaalpie"/>
          <w:rFonts w:ascii="Times New Roman" w:hAnsi="Times New Roman"/>
        </w:rPr>
        <w:footnoteRef/>
      </w:r>
      <w:r w:rsidRPr="002413AB">
        <w:rPr>
          <w:rFonts w:ascii="Times New Roman" w:hAnsi="Times New Roman"/>
        </w:rPr>
        <w:t xml:space="preserve"> </w:t>
      </w:r>
      <w:r w:rsidRPr="002413AB">
        <w:rPr>
          <w:rFonts w:ascii="Times New Roman" w:hAnsi="Times New Roman"/>
          <w:sz w:val="20"/>
          <w:szCs w:val="20"/>
        </w:rPr>
        <w:t>Instituciones Financieras,</w:t>
      </w:r>
      <w:r w:rsidRPr="002413AB">
        <w:rPr>
          <w:rFonts w:ascii="Times New Roman" w:hAnsi="Times New Roman"/>
        </w:rPr>
        <w:t xml:space="preserve"> </w:t>
      </w:r>
      <w:r w:rsidRPr="002413AB">
        <w:rPr>
          <w:rFonts w:ascii="Times New Roman" w:hAnsi="Times New Roman"/>
          <w:color w:val="000000"/>
          <w:sz w:val="20"/>
          <w:szCs w:val="22"/>
          <w:lang w:eastAsia="es-DO"/>
        </w:rPr>
        <w:t>Banco Agrícola y FEDA, valores reales de enero a octubre y estimación correspondiente a</w:t>
      </w:r>
      <w:r>
        <w:rPr>
          <w:rFonts w:ascii="Times New Roman" w:hAnsi="Times New Roman"/>
          <w:color w:val="000000"/>
          <w:sz w:val="20"/>
          <w:szCs w:val="22"/>
          <w:lang w:eastAsia="es-DO"/>
        </w:rPr>
        <w:t xml:space="preserve"> </w:t>
      </w:r>
      <w:r w:rsidRPr="002413AB">
        <w:rPr>
          <w:rFonts w:ascii="Times New Roman" w:hAnsi="Times New Roman"/>
          <w:color w:val="000000"/>
          <w:sz w:val="20"/>
          <w:szCs w:val="22"/>
          <w:lang w:eastAsia="es-DO"/>
        </w:rPr>
        <w:t>l</w:t>
      </w:r>
      <w:r>
        <w:rPr>
          <w:rFonts w:ascii="Times New Roman" w:hAnsi="Times New Roman"/>
          <w:color w:val="000000"/>
          <w:sz w:val="20"/>
          <w:szCs w:val="22"/>
          <w:lang w:eastAsia="es-DO"/>
        </w:rPr>
        <w:t>os</w:t>
      </w:r>
      <w:r w:rsidRPr="002413AB">
        <w:rPr>
          <w:rFonts w:ascii="Times New Roman" w:hAnsi="Times New Roman"/>
          <w:color w:val="000000"/>
          <w:sz w:val="20"/>
          <w:szCs w:val="22"/>
          <w:lang w:eastAsia="es-DO"/>
        </w:rPr>
        <w:t xml:space="preserve"> mes</w:t>
      </w:r>
      <w:r>
        <w:rPr>
          <w:rFonts w:ascii="Times New Roman" w:hAnsi="Times New Roman"/>
          <w:color w:val="000000"/>
          <w:sz w:val="20"/>
          <w:szCs w:val="22"/>
          <w:lang w:eastAsia="es-DO"/>
        </w:rPr>
        <w:t>es noviembre y diciembre del 2019</w:t>
      </w:r>
      <w:r w:rsidRPr="002413AB">
        <w:rPr>
          <w:rFonts w:ascii="Times New Roman" w:hAnsi="Times New Roman"/>
          <w:color w:val="000000"/>
          <w:sz w:val="20"/>
          <w:szCs w:val="22"/>
          <w:lang w:eastAsia="es-DO"/>
        </w:rPr>
        <w:t>.</w:t>
      </w:r>
    </w:p>
  </w:footnote>
  <w:footnote w:id="5">
    <w:p w14:paraId="01837917" w14:textId="77777777" w:rsidR="0059163A" w:rsidRDefault="0059163A">
      <w:pPr>
        <w:pStyle w:val="Textonotapie"/>
      </w:pPr>
      <w:r>
        <w:rPr>
          <w:rStyle w:val="Refdenotaalpie"/>
        </w:rPr>
        <w:footnoteRef/>
      </w:r>
      <w:r w:rsidRPr="0020338F">
        <w:rPr>
          <w:rFonts w:ascii="Times New Roman" w:hAnsi="Times New Roman"/>
          <w:sz w:val="20"/>
          <w:szCs w:val="20"/>
        </w:rPr>
        <w:t xml:space="preserve"> Datos preliminares</w:t>
      </w:r>
    </w:p>
  </w:footnote>
  <w:footnote w:id="6">
    <w:p w14:paraId="2BC90EC5" w14:textId="566BE36F" w:rsidR="0059163A" w:rsidRPr="008914E7" w:rsidRDefault="0059163A" w:rsidP="00DF6635">
      <w:pPr>
        <w:pStyle w:val="Textonotapie"/>
        <w:rPr>
          <w:rFonts w:ascii="Times New Roman" w:hAnsi="Times New Roman"/>
          <w:sz w:val="20"/>
          <w:szCs w:val="20"/>
        </w:rPr>
      </w:pPr>
      <w:r w:rsidRPr="00B01775">
        <w:rPr>
          <w:rStyle w:val="Refdenotaalpie"/>
          <w:sz w:val="20"/>
          <w:szCs w:val="20"/>
        </w:rPr>
        <w:footnoteRef/>
      </w:r>
      <w:r w:rsidRPr="00B01775">
        <w:rPr>
          <w:rFonts w:ascii="Times New Roman" w:hAnsi="Times New Roman"/>
          <w:sz w:val="20"/>
          <w:szCs w:val="20"/>
        </w:rPr>
        <w:t xml:space="preserve"> Valores reales desde enero-octubre y estimaciones noviembre-diciembre 2019.</w:t>
      </w:r>
    </w:p>
  </w:footnote>
  <w:footnote w:id="7">
    <w:p w14:paraId="6C63BA60" w14:textId="425F57BA" w:rsidR="0059163A" w:rsidRPr="00E556A8" w:rsidRDefault="0059163A" w:rsidP="00B11634">
      <w:pPr>
        <w:pStyle w:val="Textonotapie"/>
        <w:rPr>
          <w:rFonts w:ascii="Times New Roman" w:hAnsi="Times New Roman"/>
          <w:sz w:val="20"/>
          <w:szCs w:val="20"/>
        </w:rPr>
      </w:pPr>
      <w:r>
        <w:rPr>
          <w:rStyle w:val="Refdenotaalpie"/>
        </w:rPr>
        <w:footnoteRef/>
      </w:r>
      <w:r>
        <w:t xml:space="preserve"> </w:t>
      </w:r>
      <w:r>
        <w:rPr>
          <w:rFonts w:ascii="Times New Roman" w:hAnsi="Times New Roman"/>
          <w:sz w:val="20"/>
          <w:szCs w:val="20"/>
        </w:rPr>
        <w:t>Valores estimados al cierre del año 2019.</w:t>
      </w:r>
    </w:p>
  </w:footnote>
  <w:footnote w:id="8">
    <w:p w14:paraId="032C5239" w14:textId="01801712" w:rsidR="0059163A" w:rsidRDefault="0059163A">
      <w:pPr>
        <w:pStyle w:val="Textonotapie"/>
      </w:pPr>
      <w:r w:rsidRPr="00B01775">
        <w:rPr>
          <w:rStyle w:val="Refdenotaalpie"/>
        </w:rPr>
        <w:footnoteRef/>
      </w:r>
      <w:r w:rsidRPr="00B01775">
        <w:t xml:space="preserve"> </w:t>
      </w:r>
      <w:r w:rsidRPr="00B01775">
        <w:rPr>
          <w:rFonts w:ascii="Times New Roman" w:hAnsi="Times New Roman"/>
          <w:sz w:val="20"/>
          <w:szCs w:val="20"/>
        </w:rPr>
        <w:t>Valores reales desde enero-octubre y estimaciones noviembre-diciembre 2019.</w:t>
      </w:r>
    </w:p>
  </w:footnote>
  <w:footnote w:id="9">
    <w:p w14:paraId="565AF53A" w14:textId="77777777" w:rsidR="0059163A" w:rsidRDefault="0059163A" w:rsidP="00142499">
      <w:pPr>
        <w:pStyle w:val="Textonotapie"/>
      </w:pPr>
      <w:r>
        <w:rPr>
          <w:rStyle w:val="Refdenotaalpie"/>
        </w:rPr>
        <w:footnoteRef/>
      </w:r>
      <w:r>
        <w:t xml:space="preserve"> </w:t>
      </w:r>
      <w:r w:rsidRPr="000C0401">
        <w:rPr>
          <w:rFonts w:ascii="Times New Roman" w:hAnsi="Times New Roman"/>
          <w:sz w:val="20"/>
          <w:szCs w:val="20"/>
        </w:rPr>
        <w:t>En este caso el Banco es compensado con un 3% a través del FEDA.</w:t>
      </w:r>
    </w:p>
  </w:footnote>
  <w:footnote w:id="10">
    <w:p w14:paraId="7A7E8577" w14:textId="77777777" w:rsidR="0059163A" w:rsidRDefault="0059163A" w:rsidP="00142499">
      <w:pPr>
        <w:pStyle w:val="Textonotapie"/>
      </w:pPr>
      <w:r>
        <w:rPr>
          <w:rStyle w:val="Refdenotaalpie"/>
        </w:rPr>
        <w:footnoteRef/>
      </w:r>
      <w:r>
        <w:t xml:space="preserve"> </w:t>
      </w:r>
      <w:r w:rsidRPr="007A5236">
        <w:rPr>
          <w:rFonts w:ascii="Times New Roman" w:hAnsi="Times New Roman"/>
          <w:sz w:val="20"/>
          <w:szCs w:val="20"/>
        </w:rPr>
        <w:t>Cifras preliminares.</w:t>
      </w:r>
    </w:p>
  </w:footnote>
  <w:footnote w:id="11">
    <w:p w14:paraId="62D31D71" w14:textId="0A57BF27" w:rsidR="0059163A" w:rsidRDefault="0059163A" w:rsidP="00523C87">
      <w:pPr>
        <w:pStyle w:val="Textonotapie"/>
        <w:jc w:val="both"/>
      </w:pPr>
      <w:r>
        <w:rPr>
          <w:rStyle w:val="Refdenotaalpie"/>
        </w:rPr>
        <w:footnoteRef/>
      </w:r>
      <w:r w:rsidRPr="00A701B7">
        <w:rPr>
          <w:rFonts w:ascii="Times New Roman" w:hAnsi="Times New Roman"/>
          <w:sz w:val="20"/>
          <w:szCs w:val="20"/>
        </w:rPr>
        <w:t xml:space="preserve"> Datos elaborados por la unidad técnica de ejecución de los </w:t>
      </w:r>
      <w:r>
        <w:rPr>
          <w:rFonts w:ascii="Times New Roman" w:hAnsi="Times New Roman"/>
          <w:sz w:val="20"/>
          <w:szCs w:val="20"/>
        </w:rPr>
        <w:t>P</w:t>
      </w:r>
      <w:r w:rsidRPr="00A701B7">
        <w:rPr>
          <w:rFonts w:ascii="Times New Roman" w:hAnsi="Times New Roman"/>
          <w:sz w:val="20"/>
          <w:szCs w:val="20"/>
        </w:rPr>
        <w:t xml:space="preserve">royectos </w:t>
      </w:r>
      <w:r>
        <w:rPr>
          <w:rFonts w:ascii="Times New Roman" w:hAnsi="Times New Roman"/>
          <w:sz w:val="20"/>
          <w:szCs w:val="20"/>
        </w:rPr>
        <w:t>de Desarrollo A</w:t>
      </w:r>
      <w:r w:rsidRPr="00A701B7">
        <w:rPr>
          <w:rFonts w:ascii="Times New Roman" w:hAnsi="Times New Roman"/>
          <w:sz w:val="20"/>
          <w:szCs w:val="20"/>
        </w:rPr>
        <w:t xml:space="preserve">groforestales del Ministerio de Agricultura al </w:t>
      </w:r>
      <w:r>
        <w:rPr>
          <w:rFonts w:ascii="Times New Roman" w:hAnsi="Times New Roman"/>
          <w:sz w:val="20"/>
          <w:szCs w:val="20"/>
        </w:rPr>
        <w:t>28</w:t>
      </w:r>
      <w:r w:rsidRPr="00A701B7">
        <w:rPr>
          <w:rFonts w:ascii="Times New Roman" w:hAnsi="Times New Roman"/>
          <w:sz w:val="20"/>
          <w:szCs w:val="20"/>
        </w:rPr>
        <w:t xml:space="preserve"> de </w:t>
      </w:r>
      <w:r>
        <w:rPr>
          <w:rFonts w:ascii="Times New Roman" w:hAnsi="Times New Roman"/>
          <w:sz w:val="20"/>
          <w:szCs w:val="20"/>
        </w:rPr>
        <w:t>noviembre 2019</w:t>
      </w:r>
      <w:r w:rsidRPr="00A701B7">
        <w:rPr>
          <w:rFonts w:ascii="Times New Roman" w:hAnsi="Times New Roman"/>
          <w:sz w:val="20"/>
          <w:szCs w:val="20"/>
        </w:rPr>
        <w:t>.</w:t>
      </w:r>
    </w:p>
  </w:footnote>
  <w:footnote w:id="12">
    <w:p w14:paraId="18FF1254" w14:textId="68A3A9CD" w:rsidR="0059163A" w:rsidRDefault="0059163A">
      <w:pPr>
        <w:pStyle w:val="Textonotapie"/>
      </w:pPr>
      <w:r>
        <w:rPr>
          <w:rStyle w:val="Refdenotaalpie"/>
        </w:rPr>
        <w:footnoteRef/>
      </w:r>
      <w:r>
        <w:t xml:space="preserve"> </w:t>
      </w:r>
      <w:r w:rsidRPr="00AB36F6">
        <w:rPr>
          <w:rFonts w:ascii="Times New Roman" w:hAnsi="Times New Roman"/>
          <w:sz w:val="20"/>
          <w:szCs w:val="20"/>
        </w:rPr>
        <w:t>Informaciones cortadas</w:t>
      </w:r>
      <w:r w:rsidRPr="00AB36F6">
        <w:rPr>
          <w:sz w:val="20"/>
          <w:szCs w:val="20"/>
        </w:rPr>
        <w:t xml:space="preserve"> </w:t>
      </w:r>
      <w:r w:rsidRPr="003E07CF">
        <w:rPr>
          <w:rFonts w:ascii="Times New Roman" w:hAnsi="Times New Roman"/>
          <w:sz w:val="20"/>
        </w:rPr>
        <w:t>al 25 nov. 2019</w:t>
      </w:r>
    </w:p>
  </w:footnote>
  <w:footnote w:id="13">
    <w:p w14:paraId="581D5197" w14:textId="77777777" w:rsidR="0059163A" w:rsidRPr="00D30392" w:rsidRDefault="0059163A" w:rsidP="00693520">
      <w:pPr>
        <w:pStyle w:val="Textonotapie"/>
        <w:jc w:val="both"/>
        <w:rPr>
          <w:rFonts w:ascii="Times New Roman" w:hAnsi="Times New Roman"/>
          <w:sz w:val="20"/>
          <w:szCs w:val="20"/>
        </w:rPr>
      </w:pPr>
      <w:r>
        <w:rPr>
          <w:rStyle w:val="Refdenotaalpie"/>
        </w:rPr>
        <w:footnoteRef/>
      </w:r>
      <w:r>
        <w:t xml:space="preserve"> </w:t>
      </w:r>
      <w:r w:rsidRPr="00D30392">
        <w:rPr>
          <w:rFonts w:ascii="Times New Roman" w:hAnsi="Times New Roman"/>
          <w:sz w:val="20"/>
          <w:szCs w:val="20"/>
        </w:rPr>
        <w:t xml:space="preserve">La producción de material </w:t>
      </w:r>
      <w:r>
        <w:rPr>
          <w:rFonts w:ascii="Times New Roman" w:hAnsi="Times New Roman"/>
          <w:sz w:val="20"/>
          <w:szCs w:val="20"/>
        </w:rPr>
        <w:t>animal</w:t>
      </w:r>
      <w:r w:rsidRPr="00D30392">
        <w:rPr>
          <w:rFonts w:ascii="Times New Roman" w:hAnsi="Times New Roman"/>
          <w:sz w:val="20"/>
          <w:szCs w:val="20"/>
        </w:rPr>
        <w:t xml:space="preserve"> de alta calidad </w:t>
      </w:r>
      <w:r>
        <w:rPr>
          <w:rFonts w:ascii="Times New Roman" w:hAnsi="Times New Roman"/>
          <w:sz w:val="20"/>
          <w:szCs w:val="20"/>
        </w:rPr>
        <w:t>es ejecutada</w:t>
      </w:r>
      <w:r w:rsidRPr="00D30392">
        <w:rPr>
          <w:rFonts w:ascii="Times New Roman" w:hAnsi="Times New Roman"/>
          <w:sz w:val="20"/>
          <w:szCs w:val="20"/>
        </w:rPr>
        <w:t xml:space="preserve"> en el marco de </w:t>
      </w:r>
      <w:r>
        <w:rPr>
          <w:rFonts w:ascii="Times New Roman" w:hAnsi="Times New Roman"/>
          <w:sz w:val="20"/>
          <w:szCs w:val="20"/>
        </w:rPr>
        <w:t xml:space="preserve">Metas Presidenciales, como </w:t>
      </w:r>
      <w:r w:rsidRPr="00D30392">
        <w:rPr>
          <w:rFonts w:ascii="Times New Roman" w:hAnsi="Times New Roman"/>
          <w:sz w:val="20"/>
          <w:szCs w:val="20"/>
        </w:rPr>
        <w:t xml:space="preserve">proyecto para </w:t>
      </w:r>
      <w:r w:rsidRPr="00D3585B">
        <w:rPr>
          <w:rFonts w:ascii="Times New Roman" w:hAnsi="Times New Roman"/>
          <w:sz w:val="20"/>
          <w:szCs w:val="20"/>
        </w:rPr>
        <w:t>Producción de material genético animal de alta calidad</w:t>
      </w:r>
      <w:r>
        <w:rPr>
          <w:rFonts w:ascii="Times New Roman" w:hAnsi="Times New Roman"/>
          <w:sz w:val="20"/>
          <w:szCs w:val="20"/>
        </w:rPr>
        <w:t>, por el MA a través del Laboratorio VITROGAN-RD</w:t>
      </w:r>
      <w:r w:rsidRPr="00D30392">
        <w:rPr>
          <w:rFonts w:ascii="Times New Roman" w:hAnsi="Times New Roman"/>
          <w:sz w:val="20"/>
          <w:szCs w:val="20"/>
        </w:rPr>
        <w:t>.</w:t>
      </w:r>
    </w:p>
  </w:footnote>
  <w:footnote w:id="14">
    <w:p w14:paraId="77CFEA04" w14:textId="77777777" w:rsidR="0059163A" w:rsidRPr="00D30392" w:rsidRDefault="0059163A" w:rsidP="00693520">
      <w:pPr>
        <w:pStyle w:val="Textonotapie"/>
        <w:jc w:val="both"/>
        <w:rPr>
          <w:rFonts w:ascii="Times New Roman" w:hAnsi="Times New Roman"/>
          <w:sz w:val="20"/>
          <w:szCs w:val="20"/>
        </w:rPr>
      </w:pPr>
      <w:r>
        <w:rPr>
          <w:rStyle w:val="Refdenotaalpie"/>
        </w:rPr>
        <w:footnoteRef/>
      </w:r>
      <w:r>
        <w:t xml:space="preserve"> </w:t>
      </w:r>
      <w:r w:rsidRPr="00D30392">
        <w:rPr>
          <w:rFonts w:ascii="Times New Roman" w:hAnsi="Times New Roman"/>
          <w:sz w:val="20"/>
          <w:szCs w:val="20"/>
        </w:rPr>
        <w:t xml:space="preserve">La producción de material vegetal de alta calidad </w:t>
      </w:r>
      <w:r>
        <w:rPr>
          <w:rFonts w:ascii="Times New Roman" w:hAnsi="Times New Roman"/>
          <w:sz w:val="20"/>
          <w:szCs w:val="20"/>
        </w:rPr>
        <w:t xml:space="preserve">ejecutado </w:t>
      </w:r>
      <w:r w:rsidRPr="00D30392">
        <w:rPr>
          <w:rFonts w:ascii="Times New Roman" w:hAnsi="Times New Roman"/>
          <w:sz w:val="20"/>
          <w:szCs w:val="20"/>
        </w:rPr>
        <w:t xml:space="preserve">en el marco de </w:t>
      </w:r>
      <w:r>
        <w:rPr>
          <w:rFonts w:ascii="Times New Roman" w:hAnsi="Times New Roman"/>
          <w:sz w:val="20"/>
          <w:szCs w:val="20"/>
        </w:rPr>
        <w:t xml:space="preserve">Metas Presidenciales, como </w:t>
      </w:r>
      <w:r w:rsidRPr="00D30392">
        <w:rPr>
          <w:rFonts w:ascii="Times New Roman" w:hAnsi="Times New Roman"/>
          <w:sz w:val="20"/>
          <w:szCs w:val="20"/>
        </w:rPr>
        <w:t xml:space="preserve">proyecto para </w:t>
      </w:r>
      <w:r>
        <w:rPr>
          <w:rFonts w:ascii="Times New Roman" w:hAnsi="Times New Roman"/>
          <w:sz w:val="20"/>
          <w:szCs w:val="20"/>
        </w:rPr>
        <w:t>p</w:t>
      </w:r>
      <w:r w:rsidRPr="00D30392">
        <w:rPr>
          <w:rFonts w:ascii="Times New Roman" w:hAnsi="Times New Roman"/>
          <w:sz w:val="20"/>
          <w:szCs w:val="20"/>
        </w:rPr>
        <w:t>roducir material genético de alta calidad vegetal in vitro</w:t>
      </w:r>
      <w:r>
        <w:rPr>
          <w:rFonts w:ascii="Times New Roman" w:hAnsi="Times New Roman"/>
          <w:sz w:val="20"/>
          <w:szCs w:val="20"/>
        </w:rPr>
        <w:t>, por el MA a través del Laboratorio BIOVEGA.</w:t>
      </w:r>
    </w:p>
  </w:footnote>
  <w:footnote w:id="15">
    <w:p w14:paraId="7E518553" w14:textId="77777777" w:rsidR="0059163A" w:rsidRPr="00D30392" w:rsidRDefault="0059163A" w:rsidP="00693520">
      <w:pPr>
        <w:pStyle w:val="Textonotapie"/>
        <w:jc w:val="both"/>
        <w:rPr>
          <w:rFonts w:ascii="Times New Roman" w:hAnsi="Times New Roman"/>
          <w:sz w:val="20"/>
          <w:szCs w:val="20"/>
        </w:rPr>
      </w:pPr>
      <w:r>
        <w:rPr>
          <w:rStyle w:val="Refdenotaalpie"/>
        </w:rPr>
        <w:footnoteRef/>
      </w:r>
      <w:r>
        <w:t xml:space="preserve"> </w:t>
      </w:r>
      <w:r>
        <w:rPr>
          <w:rFonts w:ascii="Times New Roman" w:hAnsi="Times New Roman"/>
          <w:sz w:val="20"/>
          <w:szCs w:val="20"/>
        </w:rPr>
        <w:t xml:space="preserve">Esta iniciativa es parte integral de las Metas Presidenciales como </w:t>
      </w:r>
      <w:r w:rsidRPr="00D30392">
        <w:rPr>
          <w:rFonts w:ascii="Times New Roman" w:hAnsi="Times New Roman"/>
          <w:sz w:val="20"/>
          <w:szCs w:val="20"/>
        </w:rPr>
        <w:t xml:space="preserve">proyecto para </w:t>
      </w:r>
      <w:r>
        <w:rPr>
          <w:rFonts w:ascii="Times New Roman" w:hAnsi="Times New Roman"/>
          <w:sz w:val="20"/>
          <w:szCs w:val="20"/>
        </w:rPr>
        <w:t>m</w:t>
      </w:r>
      <w:r w:rsidRPr="002C29A7">
        <w:rPr>
          <w:rFonts w:ascii="Times New Roman" w:hAnsi="Times New Roman"/>
          <w:sz w:val="20"/>
          <w:szCs w:val="20"/>
        </w:rPr>
        <w:t>ejorar las variedades de arroz propiedad del Estado</w:t>
      </w:r>
      <w:r>
        <w:rPr>
          <w:rFonts w:ascii="Times New Roman" w:hAnsi="Times New Roman"/>
          <w:sz w:val="20"/>
          <w:szCs w:val="20"/>
        </w:rPr>
        <w:t>, por el MA a través de BIO-ARROZ.</w:t>
      </w:r>
    </w:p>
  </w:footnote>
  <w:footnote w:id="16">
    <w:p w14:paraId="1874B452" w14:textId="78D82B8F" w:rsidR="0059163A" w:rsidRPr="00D91DD6" w:rsidRDefault="0059163A" w:rsidP="00D91DD6">
      <w:pPr>
        <w:pStyle w:val="Textonotapie"/>
        <w:jc w:val="both"/>
        <w:rPr>
          <w:rFonts w:ascii="Times New Roman" w:hAnsi="Times New Roman"/>
          <w:sz w:val="20"/>
        </w:rPr>
      </w:pPr>
      <w:r w:rsidRPr="00D91DD6">
        <w:rPr>
          <w:rStyle w:val="Refdenotaalpie"/>
          <w:rFonts w:ascii="Times New Roman" w:hAnsi="Times New Roman"/>
        </w:rPr>
        <w:footnoteRef/>
      </w:r>
      <w:r w:rsidRPr="00D91DD6">
        <w:rPr>
          <w:rFonts w:ascii="Times New Roman" w:hAnsi="Times New Roman"/>
        </w:rPr>
        <w:t xml:space="preserve"> </w:t>
      </w:r>
      <w:r>
        <w:rPr>
          <w:rFonts w:ascii="Times New Roman" w:hAnsi="Times New Roman"/>
          <w:sz w:val="20"/>
        </w:rPr>
        <w:t>Fuente:</w:t>
      </w:r>
      <w:r w:rsidRPr="00433B99">
        <w:rPr>
          <w:rFonts w:ascii="Times New Roman" w:hAnsi="Times New Roman"/>
          <w:sz w:val="20"/>
        </w:rPr>
        <w:t xml:space="preserve"> proyecto para Desarrollar el Programa de Trazabilidad Bovina, ejecutado por la</w:t>
      </w:r>
      <w:r>
        <w:rPr>
          <w:rFonts w:ascii="Times New Roman" w:hAnsi="Times New Roman"/>
          <w:sz w:val="20"/>
        </w:rPr>
        <w:t xml:space="preserve"> Dirección General de Ganadería, en el sistema de Metas Presidenciales, </w:t>
      </w:r>
      <w:hyperlink r:id="rId1" w:history="1">
        <w:r w:rsidRPr="001103BF">
          <w:rPr>
            <w:rStyle w:val="Hipervnculo"/>
            <w:rFonts w:ascii="Times New Roman" w:hAnsi="Times New Roman"/>
            <w:sz w:val="20"/>
            <w:szCs w:val="20"/>
          </w:rPr>
          <w:t>http://www.sigob.gob.do/Metas2016/seguridad/login.aspx</w:t>
        </w:r>
      </w:hyperlink>
    </w:p>
  </w:footnote>
  <w:footnote w:id="17">
    <w:p w14:paraId="5036684F" w14:textId="2251C19C" w:rsidR="0059163A" w:rsidRPr="00486514" w:rsidRDefault="0059163A" w:rsidP="00486514">
      <w:pPr>
        <w:pStyle w:val="Textonotapie"/>
        <w:tabs>
          <w:tab w:val="left" w:pos="935"/>
        </w:tabs>
        <w:jc w:val="both"/>
        <w:rPr>
          <w:rFonts w:ascii="Times New Roman" w:hAnsi="Times New Roman"/>
          <w:sz w:val="20"/>
        </w:rPr>
      </w:pPr>
      <w:r w:rsidRPr="00486514">
        <w:rPr>
          <w:rStyle w:val="Refdenotaalpie"/>
          <w:rFonts w:ascii="Times New Roman" w:hAnsi="Times New Roman"/>
        </w:rPr>
        <w:footnoteRef/>
      </w:r>
      <w:r w:rsidRPr="00486514">
        <w:rPr>
          <w:rFonts w:ascii="Times New Roman" w:hAnsi="Times New Roman"/>
        </w:rPr>
        <w:t xml:space="preserve"> </w:t>
      </w:r>
      <w:r>
        <w:rPr>
          <w:rFonts w:ascii="Times New Roman" w:hAnsi="Times New Roman"/>
          <w:sz w:val="20"/>
          <w:szCs w:val="20"/>
        </w:rPr>
        <w:t>Fuente:</w:t>
      </w:r>
      <w:r w:rsidRPr="00486514">
        <w:rPr>
          <w:rFonts w:ascii="Times New Roman" w:hAnsi="Times New Roman"/>
          <w:sz w:val="20"/>
          <w:szCs w:val="20"/>
        </w:rPr>
        <w:t xml:space="preserve"> </w:t>
      </w:r>
      <w:r>
        <w:rPr>
          <w:rFonts w:ascii="Times New Roman" w:hAnsi="Times New Roman"/>
          <w:sz w:val="20"/>
          <w:szCs w:val="20"/>
        </w:rPr>
        <w:t xml:space="preserve">meta intermedia del </w:t>
      </w:r>
      <w:r w:rsidRPr="00486514">
        <w:rPr>
          <w:rFonts w:ascii="Times New Roman" w:hAnsi="Times New Roman"/>
          <w:sz w:val="20"/>
          <w:szCs w:val="20"/>
        </w:rPr>
        <w:t>proyecto para Fortalecer el Programa de Sanidad Animal, ejecutado por la</w:t>
      </w:r>
      <w:r>
        <w:rPr>
          <w:rFonts w:ascii="Times New Roman" w:hAnsi="Times New Roman"/>
          <w:sz w:val="20"/>
          <w:szCs w:val="20"/>
        </w:rPr>
        <w:t xml:space="preserve"> Dirección General de Ganadería </w:t>
      </w:r>
      <w:r>
        <w:rPr>
          <w:rFonts w:ascii="Times New Roman" w:hAnsi="Times New Roman"/>
          <w:sz w:val="20"/>
        </w:rPr>
        <w:t xml:space="preserve">en el sistema de Metas Presidenciales, </w:t>
      </w:r>
      <w:hyperlink r:id="rId2" w:history="1">
        <w:r w:rsidRPr="001103BF">
          <w:rPr>
            <w:rStyle w:val="Hipervnculo"/>
            <w:rFonts w:ascii="Times New Roman" w:hAnsi="Times New Roman"/>
            <w:sz w:val="20"/>
            <w:szCs w:val="20"/>
          </w:rPr>
          <w:t>http://www.sigob.gob.do/Metas2016/seguridad/login.aspx</w:t>
        </w:r>
      </w:hyperlink>
    </w:p>
  </w:footnote>
  <w:footnote w:id="18">
    <w:p w14:paraId="524C7338" w14:textId="4CCB7BE6" w:rsidR="0059163A" w:rsidRPr="00486514" w:rsidRDefault="0059163A" w:rsidP="00486514">
      <w:pPr>
        <w:pStyle w:val="Textonotapie"/>
        <w:tabs>
          <w:tab w:val="left" w:pos="935"/>
        </w:tabs>
        <w:jc w:val="both"/>
        <w:rPr>
          <w:rFonts w:ascii="Times New Roman" w:hAnsi="Times New Roman"/>
          <w:sz w:val="20"/>
        </w:rPr>
      </w:pPr>
      <w:r w:rsidRPr="00486514">
        <w:rPr>
          <w:rStyle w:val="Refdenotaalpie"/>
          <w:rFonts w:ascii="Times New Roman" w:hAnsi="Times New Roman"/>
        </w:rPr>
        <w:footnoteRef/>
      </w:r>
      <w:r w:rsidRPr="00486514">
        <w:rPr>
          <w:rFonts w:ascii="Times New Roman" w:hAnsi="Times New Roman"/>
        </w:rPr>
        <w:t xml:space="preserve"> </w:t>
      </w:r>
      <w:r w:rsidRPr="001103BF">
        <w:rPr>
          <w:rFonts w:ascii="Times New Roman" w:hAnsi="Times New Roman"/>
          <w:sz w:val="22"/>
        </w:rPr>
        <w:t xml:space="preserve">Fuente: </w:t>
      </w:r>
      <w:r>
        <w:rPr>
          <w:rFonts w:ascii="Times New Roman" w:hAnsi="Times New Roman"/>
          <w:sz w:val="20"/>
          <w:szCs w:val="20"/>
        </w:rPr>
        <w:t xml:space="preserve">meta intermedia del </w:t>
      </w:r>
      <w:r w:rsidRPr="00486514">
        <w:rPr>
          <w:rFonts w:ascii="Times New Roman" w:hAnsi="Times New Roman"/>
          <w:sz w:val="20"/>
          <w:szCs w:val="20"/>
        </w:rPr>
        <w:t>proyecto para Fortalecer el Programa de Sanidad Animal, ejecutado por la Dir</w:t>
      </w:r>
      <w:r>
        <w:rPr>
          <w:rFonts w:ascii="Times New Roman" w:hAnsi="Times New Roman"/>
          <w:sz w:val="20"/>
          <w:szCs w:val="20"/>
        </w:rPr>
        <w:t xml:space="preserve">ección General de Ganadería </w:t>
      </w:r>
      <w:r>
        <w:rPr>
          <w:rFonts w:ascii="Times New Roman" w:hAnsi="Times New Roman"/>
          <w:sz w:val="20"/>
        </w:rPr>
        <w:t xml:space="preserve">en el sistema de Metas Presidenciales, </w:t>
      </w:r>
      <w:hyperlink r:id="rId3" w:history="1">
        <w:r w:rsidRPr="001103BF">
          <w:rPr>
            <w:rStyle w:val="Hipervnculo"/>
            <w:rFonts w:ascii="Times New Roman" w:hAnsi="Times New Roman"/>
            <w:sz w:val="20"/>
            <w:szCs w:val="20"/>
          </w:rPr>
          <w:t>http://www.sigob.gob.do/Metas2016/seguridad/login.aspx</w:t>
        </w:r>
      </w:hyperlink>
    </w:p>
  </w:footnote>
  <w:footnote w:id="19">
    <w:p w14:paraId="59ED00FC" w14:textId="2FE53FEC" w:rsidR="0059163A" w:rsidRPr="00486514" w:rsidRDefault="0059163A" w:rsidP="00486514">
      <w:pPr>
        <w:pStyle w:val="Textonotapie"/>
        <w:tabs>
          <w:tab w:val="left" w:pos="935"/>
        </w:tabs>
        <w:jc w:val="both"/>
        <w:rPr>
          <w:rFonts w:ascii="Times New Roman" w:hAnsi="Times New Roman"/>
          <w:sz w:val="20"/>
        </w:rPr>
      </w:pPr>
      <w:r w:rsidRPr="00486514">
        <w:rPr>
          <w:rStyle w:val="Refdenotaalpie"/>
          <w:rFonts w:ascii="Times New Roman" w:hAnsi="Times New Roman"/>
        </w:rPr>
        <w:footnoteRef/>
      </w:r>
      <w:r w:rsidRPr="00486514">
        <w:rPr>
          <w:rFonts w:ascii="Times New Roman" w:hAnsi="Times New Roman"/>
        </w:rPr>
        <w:t xml:space="preserve"> </w:t>
      </w:r>
      <w:r>
        <w:rPr>
          <w:rFonts w:ascii="Times New Roman" w:hAnsi="Times New Roman"/>
          <w:sz w:val="20"/>
          <w:szCs w:val="20"/>
        </w:rPr>
        <w:t>Fuente:</w:t>
      </w:r>
      <w:r w:rsidRPr="00486514">
        <w:rPr>
          <w:rFonts w:ascii="Times New Roman" w:hAnsi="Times New Roman"/>
          <w:sz w:val="20"/>
          <w:szCs w:val="20"/>
        </w:rPr>
        <w:t xml:space="preserve"> </w:t>
      </w:r>
      <w:r>
        <w:rPr>
          <w:rFonts w:ascii="Times New Roman" w:hAnsi="Times New Roman"/>
          <w:sz w:val="20"/>
          <w:szCs w:val="20"/>
        </w:rPr>
        <w:t xml:space="preserve">meta intermedia del </w:t>
      </w:r>
      <w:r w:rsidRPr="00486514">
        <w:rPr>
          <w:rFonts w:ascii="Times New Roman" w:hAnsi="Times New Roman"/>
          <w:sz w:val="20"/>
          <w:szCs w:val="20"/>
        </w:rPr>
        <w:t>proyecto para Fortalecer el Programa de Sanidad Animal, ejecutado por la</w:t>
      </w:r>
      <w:r>
        <w:rPr>
          <w:rFonts w:ascii="Times New Roman" w:hAnsi="Times New Roman"/>
          <w:sz w:val="20"/>
          <w:szCs w:val="20"/>
        </w:rPr>
        <w:t xml:space="preserve"> Dirección General de Ganadería , </w:t>
      </w:r>
      <w:r>
        <w:rPr>
          <w:rFonts w:ascii="Times New Roman" w:hAnsi="Times New Roman"/>
          <w:sz w:val="20"/>
        </w:rPr>
        <w:t xml:space="preserve">en el sistema de Metas Presidenciales, </w:t>
      </w:r>
      <w:hyperlink r:id="rId4" w:history="1">
        <w:r w:rsidRPr="001103BF">
          <w:rPr>
            <w:rStyle w:val="Hipervnculo"/>
            <w:rFonts w:ascii="Times New Roman" w:hAnsi="Times New Roman"/>
            <w:sz w:val="20"/>
            <w:szCs w:val="20"/>
          </w:rPr>
          <w:t>http://www.sigob.gob.do/Metas2016/seguridad/login.aspx</w:t>
        </w:r>
      </w:hyperlink>
    </w:p>
  </w:footnote>
  <w:footnote w:id="20">
    <w:p w14:paraId="744BB4FC" w14:textId="77777777" w:rsidR="0059163A" w:rsidRPr="00D30392" w:rsidRDefault="0059163A" w:rsidP="00792ADF">
      <w:pPr>
        <w:pStyle w:val="Textonotapie"/>
        <w:jc w:val="both"/>
        <w:rPr>
          <w:rFonts w:ascii="Times New Roman" w:hAnsi="Times New Roman"/>
          <w:sz w:val="20"/>
          <w:szCs w:val="20"/>
        </w:rPr>
      </w:pPr>
      <w:r>
        <w:rPr>
          <w:rStyle w:val="Refdenotaalpie"/>
        </w:rPr>
        <w:footnoteRef/>
      </w:r>
      <w:r w:rsidRPr="0046433D">
        <w:rPr>
          <w:rFonts w:ascii="Times New Roman" w:hAnsi="Times New Roman"/>
          <w:sz w:val="20"/>
          <w:szCs w:val="20"/>
        </w:rPr>
        <w:t xml:space="preserve"> </w:t>
      </w:r>
      <w:r>
        <w:rPr>
          <w:rFonts w:ascii="Times New Roman" w:hAnsi="Times New Roman"/>
          <w:sz w:val="20"/>
          <w:szCs w:val="20"/>
        </w:rPr>
        <w:t>Este proyecto es ejecutado</w:t>
      </w:r>
      <w:r w:rsidRPr="00D30392">
        <w:rPr>
          <w:rFonts w:ascii="Times New Roman" w:hAnsi="Times New Roman"/>
          <w:sz w:val="20"/>
          <w:szCs w:val="20"/>
        </w:rPr>
        <w:t xml:space="preserve"> en el marco de </w:t>
      </w:r>
      <w:r>
        <w:rPr>
          <w:rFonts w:ascii="Times New Roman" w:hAnsi="Times New Roman"/>
          <w:sz w:val="20"/>
          <w:szCs w:val="20"/>
        </w:rPr>
        <w:t>las Metas Presidenciales, como el p</w:t>
      </w:r>
      <w:r w:rsidRPr="00792ADF">
        <w:rPr>
          <w:rFonts w:ascii="Times New Roman" w:hAnsi="Times New Roman"/>
          <w:sz w:val="20"/>
          <w:szCs w:val="20"/>
        </w:rPr>
        <w:t>rograma de Desarrollo Productivo y de Competitividad de la Provincia de San Juan</w:t>
      </w:r>
      <w:r>
        <w:rPr>
          <w:rFonts w:ascii="Times New Roman" w:hAnsi="Times New Roman"/>
          <w:sz w:val="20"/>
          <w:szCs w:val="20"/>
        </w:rPr>
        <w:t>, por el MA.</w:t>
      </w:r>
    </w:p>
  </w:footnote>
  <w:footnote w:id="21">
    <w:p w14:paraId="6235E355" w14:textId="77777777" w:rsidR="0059163A" w:rsidRDefault="0059163A" w:rsidP="009C1704">
      <w:pPr>
        <w:pStyle w:val="Textonotapie"/>
      </w:pPr>
      <w:r>
        <w:rPr>
          <w:rStyle w:val="Refdenotaalpie"/>
        </w:rPr>
        <w:footnoteRef/>
      </w:r>
      <w:r>
        <w:t xml:space="preserve"> </w:t>
      </w:r>
      <w:r w:rsidRPr="00DA2EE3">
        <w:rPr>
          <w:rFonts w:ascii="Times New Roman" w:hAnsi="Times New Roman"/>
          <w:sz w:val="20"/>
          <w:szCs w:val="20"/>
        </w:rPr>
        <w:t>Persona física y/o jurídica</w:t>
      </w:r>
    </w:p>
  </w:footnote>
  <w:footnote w:id="22">
    <w:p w14:paraId="132A9513" w14:textId="77777777" w:rsidR="0059163A" w:rsidRPr="00E020CB" w:rsidRDefault="0059163A" w:rsidP="00073148">
      <w:pPr>
        <w:pStyle w:val="Textonotapie"/>
        <w:rPr>
          <w:rFonts w:ascii="Times New Roman" w:hAnsi="Times New Roman"/>
          <w:sz w:val="20"/>
          <w:szCs w:val="20"/>
        </w:rPr>
      </w:pPr>
      <w:r>
        <w:rPr>
          <w:rStyle w:val="Refdenotaalpie"/>
        </w:rPr>
        <w:footnoteRef/>
      </w:r>
      <w:r>
        <w:t xml:space="preserve"> </w:t>
      </w:r>
      <w:r>
        <w:rPr>
          <w:rFonts w:ascii="Times New Roman" w:hAnsi="Times New Roman"/>
          <w:sz w:val="20"/>
          <w:szCs w:val="20"/>
        </w:rPr>
        <w:t>El mecanismo se mantendrá activado hasta el 31 de diciembre del año en curso.</w:t>
      </w:r>
    </w:p>
  </w:footnote>
  <w:footnote w:id="23">
    <w:p w14:paraId="5555A7B8" w14:textId="77777777" w:rsidR="0059163A" w:rsidRDefault="0059163A" w:rsidP="00DF0FA3">
      <w:pPr>
        <w:pStyle w:val="Textonotapie"/>
        <w:jc w:val="both"/>
        <w:rPr>
          <w:rFonts w:ascii="Times New Roman" w:hAnsi="Times New Roman"/>
          <w:sz w:val="20"/>
          <w:szCs w:val="20"/>
        </w:rPr>
      </w:pPr>
      <w:r>
        <w:rPr>
          <w:rStyle w:val="Refdenotaalpie"/>
        </w:rPr>
        <w:footnoteRef/>
      </w:r>
      <w:r>
        <w:t xml:space="preserve"> </w:t>
      </w:r>
      <w:r w:rsidRPr="001435A6">
        <w:rPr>
          <w:rFonts w:ascii="Times New Roman" w:hAnsi="Times New Roman"/>
          <w:b/>
          <w:sz w:val="20"/>
          <w:szCs w:val="20"/>
        </w:rPr>
        <w:t>Fuente:</w:t>
      </w:r>
      <w:r w:rsidRPr="001435A6">
        <w:rPr>
          <w:rFonts w:ascii="Times New Roman" w:hAnsi="Times New Roman"/>
          <w:sz w:val="20"/>
          <w:szCs w:val="20"/>
        </w:rPr>
        <w:t xml:space="preserve"> </w:t>
      </w:r>
      <w:r>
        <w:rPr>
          <w:rFonts w:ascii="Times New Roman" w:hAnsi="Times New Roman"/>
          <w:sz w:val="20"/>
          <w:szCs w:val="20"/>
          <w:lang w:val="es-ES_tradnl"/>
        </w:rPr>
        <w:t xml:space="preserve">Base de datos </w:t>
      </w:r>
      <w:r w:rsidRPr="001435A6">
        <w:rPr>
          <w:rFonts w:ascii="Times New Roman" w:hAnsi="Times New Roman"/>
          <w:sz w:val="20"/>
          <w:szCs w:val="20"/>
          <w:lang w:val="es-ES_tradnl"/>
        </w:rPr>
        <w:t>suministrad</w:t>
      </w:r>
      <w:r>
        <w:rPr>
          <w:rFonts w:ascii="Times New Roman" w:hAnsi="Times New Roman"/>
          <w:sz w:val="20"/>
          <w:szCs w:val="20"/>
          <w:lang w:val="es-ES_tradnl"/>
        </w:rPr>
        <w:t>a</w:t>
      </w:r>
      <w:r w:rsidRPr="001435A6">
        <w:rPr>
          <w:rFonts w:ascii="Times New Roman" w:hAnsi="Times New Roman"/>
          <w:sz w:val="20"/>
          <w:szCs w:val="20"/>
          <w:lang w:val="es-ES_tradnl"/>
        </w:rPr>
        <w:t xml:space="preserve"> por el Depto</w:t>
      </w:r>
      <w:r>
        <w:rPr>
          <w:rFonts w:ascii="Times New Roman" w:hAnsi="Times New Roman"/>
          <w:sz w:val="20"/>
          <w:szCs w:val="20"/>
          <w:lang w:val="es-ES_tradnl"/>
        </w:rPr>
        <w:t>.</w:t>
      </w:r>
      <w:r w:rsidRPr="001435A6">
        <w:rPr>
          <w:rFonts w:ascii="Times New Roman" w:hAnsi="Times New Roman"/>
          <w:sz w:val="20"/>
          <w:szCs w:val="20"/>
          <w:lang w:val="es-ES_tradnl"/>
        </w:rPr>
        <w:t xml:space="preserve"> de Estadísticas de la </w:t>
      </w:r>
      <w:r>
        <w:rPr>
          <w:rFonts w:ascii="Times New Roman" w:hAnsi="Times New Roman"/>
          <w:sz w:val="20"/>
          <w:szCs w:val="20"/>
          <w:lang w:val="es-ES_tradnl"/>
        </w:rPr>
        <w:t>DGA,</w:t>
      </w:r>
      <w:r w:rsidRPr="004D1766">
        <w:rPr>
          <w:rFonts w:ascii="Times New Roman" w:hAnsi="Times New Roman"/>
          <w:sz w:val="20"/>
          <w:szCs w:val="20"/>
        </w:rPr>
        <w:t xml:space="preserve"> (Archivo 1</w:t>
      </w:r>
      <w:r>
        <w:rPr>
          <w:rFonts w:ascii="Times New Roman" w:hAnsi="Times New Roman"/>
          <w:sz w:val="20"/>
          <w:szCs w:val="20"/>
        </w:rPr>
        <w:t>9</w:t>
      </w:r>
      <w:r w:rsidRPr="004D1766">
        <w:rPr>
          <w:rFonts w:ascii="Times New Roman" w:hAnsi="Times New Roman"/>
          <w:sz w:val="20"/>
          <w:szCs w:val="20"/>
        </w:rPr>
        <w:t>-</w:t>
      </w:r>
      <w:r>
        <w:rPr>
          <w:rFonts w:ascii="Times New Roman" w:hAnsi="Times New Roman"/>
          <w:sz w:val="20"/>
          <w:szCs w:val="20"/>
        </w:rPr>
        <w:t>3402</w:t>
      </w:r>
      <w:r w:rsidRPr="004D1766">
        <w:rPr>
          <w:rFonts w:ascii="Times New Roman" w:hAnsi="Times New Roman"/>
          <w:sz w:val="20"/>
          <w:szCs w:val="20"/>
        </w:rPr>
        <w:t>). Los datos presentados se encuentran sujetos a revisión y/o corrección</w:t>
      </w:r>
      <w:r>
        <w:rPr>
          <w:rFonts w:ascii="Times New Roman" w:hAnsi="Times New Roman"/>
          <w:sz w:val="20"/>
          <w:szCs w:val="20"/>
        </w:rPr>
        <w:t xml:space="preserve">, </w:t>
      </w:r>
    </w:p>
    <w:p w14:paraId="176B27E7" w14:textId="1185489F" w:rsidR="0059163A" w:rsidRDefault="0059163A" w:rsidP="00DF0FA3">
      <w:pPr>
        <w:pStyle w:val="Textonotapie"/>
        <w:jc w:val="both"/>
      </w:pPr>
      <w:r>
        <w:rPr>
          <w:rFonts w:ascii="Times New Roman" w:hAnsi="Times New Roman"/>
          <w:sz w:val="20"/>
          <w:szCs w:val="20"/>
        </w:rPr>
        <w:t>Valores expresados en Toneladas Métricas, TM.</w:t>
      </w:r>
    </w:p>
  </w:footnote>
  <w:footnote w:id="24">
    <w:p w14:paraId="04E6823E" w14:textId="77777777" w:rsidR="0059163A" w:rsidRPr="006F0FEA" w:rsidRDefault="0059163A" w:rsidP="00D14D5A">
      <w:pPr>
        <w:pStyle w:val="Textonotapie"/>
        <w:rPr>
          <w:rFonts w:ascii="Times New Roman" w:hAnsi="Times New Roman"/>
          <w:sz w:val="20"/>
          <w:szCs w:val="20"/>
        </w:rPr>
      </w:pPr>
    </w:p>
  </w:footnote>
  <w:footnote w:id="25">
    <w:p w14:paraId="1A5016BC" w14:textId="3444C915" w:rsidR="0059163A" w:rsidRDefault="0059163A">
      <w:pPr>
        <w:pStyle w:val="Textonotapie"/>
      </w:pPr>
      <w:r>
        <w:rPr>
          <w:rStyle w:val="Refdenotaalpie"/>
        </w:rPr>
        <w:footnoteRef/>
      </w:r>
      <w:r>
        <w:t xml:space="preserve"> </w:t>
      </w:r>
      <w:r w:rsidRPr="00C064DD">
        <w:rPr>
          <w:rFonts w:ascii="Times New Roman" w:hAnsi="Times New Roman"/>
          <w:sz w:val="20"/>
          <w:szCs w:val="20"/>
        </w:rPr>
        <w:t>Persona física y/o jurídica.</w:t>
      </w:r>
    </w:p>
  </w:footnote>
  <w:footnote w:id="26">
    <w:p w14:paraId="353E7915" w14:textId="68E3948B" w:rsidR="0059163A" w:rsidRDefault="0059163A" w:rsidP="00C064DD">
      <w:pPr>
        <w:pStyle w:val="Textonotapie"/>
        <w:jc w:val="both"/>
      </w:pPr>
      <w:r>
        <w:rPr>
          <w:rStyle w:val="Refdenotaalpie"/>
        </w:rPr>
        <w:footnoteRef/>
      </w:r>
      <w:r w:rsidRPr="00C064DD">
        <w:rPr>
          <w:rFonts w:ascii="Times New Roman" w:hAnsi="Times New Roman"/>
          <w:sz w:val="20"/>
        </w:rPr>
        <w:t xml:space="preserve"> </w:t>
      </w:r>
      <w:r w:rsidRPr="00C064DD">
        <w:rPr>
          <w:rFonts w:ascii="Times New Roman" w:hAnsi="Times New Roman"/>
          <w:b/>
          <w:sz w:val="20"/>
          <w:u w:val="single"/>
        </w:rPr>
        <w:t>Nota:</w:t>
      </w:r>
      <w:r>
        <w:rPr>
          <w:rFonts w:ascii="Times New Roman" w:hAnsi="Times New Roman"/>
          <w:sz w:val="20"/>
        </w:rPr>
        <w:t xml:space="preserve"> </w:t>
      </w:r>
      <w:r w:rsidRPr="00C064DD">
        <w:rPr>
          <w:rFonts w:ascii="Times New Roman" w:hAnsi="Times New Roman"/>
          <w:sz w:val="20"/>
        </w:rPr>
        <w:t xml:space="preserve">El contingente de arroz descascarillado fue asignado, pero actualmente la Republica </w:t>
      </w:r>
      <w:r>
        <w:rPr>
          <w:rFonts w:ascii="Times New Roman" w:hAnsi="Times New Roman"/>
          <w:sz w:val="20"/>
        </w:rPr>
        <w:t>D</w:t>
      </w:r>
      <w:r w:rsidRPr="00C064DD">
        <w:rPr>
          <w:rFonts w:ascii="Times New Roman" w:hAnsi="Times New Roman"/>
          <w:sz w:val="20"/>
        </w:rPr>
        <w:t>ominicana prohíbe la importación de este producto debido a medidas fitosanitarias referente a detecciones del Ho</w:t>
      </w:r>
      <w:r>
        <w:rPr>
          <w:rFonts w:ascii="Times New Roman" w:hAnsi="Times New Roman"/>
          <w:sz w:val="20"/>
        </w:rPr>
        <w:t>n</w:t>
      </w:r>
      <w:r w:rsidRPr="00C064DD">
        <w:rPr>
          <w:rFonts w:ascii="Times New Roman" w:hAnsi="Times New Roman"/>
          <w:sz w:val="20"/>
        </w:rPr>
        <w:t>go Tilletia</w:t>
      </w:r>
      <w:r>
        <w:rPr>
          <w:rFonts w:ascii="Times New Roman" w:hAnsi="Times New Roman"/>
          <w:sz w:val="20"/>
        </w:rPr>
        <w:t>.</w:t>
      </w:r>
    </w:p>
  </w:footnote>
  <w:footnote w:id="27">
    <w:p w14:paraId="15234F9C" w14:textId="02E5EAA4" w:rsidR="0059163A" w:rsidRPr="00D823BB" w:rsidRDefault="0059163A" w:rsidP="00A610B6">
      <w:pPr>
        <w:pStyle w:val="Textonotapie"/>
        <w:rPr>
          <w:rFonts w:ascii="Times New Roman" w:hAnsi="Times New Roman"/>
        </w:rPr>
      </w:pPr>
      <w:r w:rsidRPr="00D823BB">
        <w:rPr>
          <w:rStyle w:val="Refdenotaalpie"/>
          <w:rFonts w:ascii="Times New Roman" w:hAnsi="Times New Roman"/>
        </w:rPr>
        <w:footnoteRef/>
      </w:r>
      <w:r w:rsidRPr="00D823BB">
        <w:rPr>
          <w:rFonts w:ascii="Times New Roman" w:hAnsi="Times New Roman"/>
        </w:rPr>
        <w:t xml:space="preserve"> </w:t>
      </w:r>
      <w:r w:rsidRPr="00D823BB">
        <w:rPr>
          <w:rFonts w:ascii="Times New Roman" w:hAnsi="Times New Roman"/>
          <w:sz w:val="18"/>
        </w:rPr>
        <w:t>Este programa inició el 23/01/2019</w:t>
      </w:r>
    </w:p>
  </w:footnote>
  <w:footnote w:id="28">
    <w:p w14:paraId="1DFC01D6" w14:textId="4062689C" w:rsidR="0059163A" w:rsidRPr="004C2370" w:rsidRDefault="0059163A">
      <w:pPr>
        <w:pStyle w:val="Textonotapie"/>
        <w:rPr>
          <w:rFonts w:ascii="Times New Roman" w:hAnsi="Times New Roman"/>
          <w:sz w:val="20"/>
        </w:rPr>
      </w:pPr>
      <w:r>
        <w:rPr>
          <w:rStyle w:val="Refdenotaalpie"/>
        </w:rPr>
        <w:footnoteRef/>
      </w:r>
      <w:r>
        <w:t xml:space="preserve"> </w:t>
      </w:r>
      <w:r w:rsidRPr="004C2370">
        <w:rPr>
          <w:rFonts w:ascii="Times New Roman" w:hAnsi="Times New Roman"/>
          <w:sz w:val="20"/>
          <w:szCs w:val="20"/>
        </w:rPr>
        <w:t xml:space="preserve">Proyección </w:t>
      </w:r>
      <w:r>
        <w:rPr>
          <w:rFonts w:ascii="Times New Roman" w:hAnsi="Times New Roman"/>
          <w:sz w:val="20"/>
          <w:szCs w:val="20"/>
        </w:rPr>
        <w:t>de c</w:t>
      </w:r>
      <w:r w:rsidRPr="004C2370">
        <w:rPr>
          <w:rFonts w:ascii="Times New Roman" w:hAnsi="Times New Roman"/>
          <w:sz w:val="20"/>
          <w:szCs w:val="20"/>
        </w:rPr>
        <w:t>ierre de año (trimestre 4-2019)</w:t>
      </w:r>
      <w:r>
        <w:rPr>
          <w:rFonts w:ascii="Times New Roman" w:hAnsi="Times New Roman"/>
          <w:sz w:val="20"/>
          <w:szCs w:val="20"/>
        </w:rPr>
        <w:t>, ver anexo F: Resultados otras Intituciones</w:t>
      </w:r>
    </w:p>
  </w:footnote>
  <w:footnote w:id="29">
    <w:p w14:paraId="6D146347" w14:textId="77777777" w:rsidR="0059163A" w:rsidRPr="00BE2821" w:rsidRDefault="0059163A" w:rsidP="00646828">
      <w:pPr>
        <w:pStyle w:val="Textonotapie"/>
      </w:pPr>
      <w:r>
        <w:rPr>
          <w:rStyle w:val="Refdenotaalpie"/>
        </w:rPr>
        <w:footnoteRef/>
      </w:r>
      <w:r w:rsidRPr="00BE2821">
        <w:rPr>
          <w:sz w:val="16"/>
        </w:rPr>
        <w:t>Unidad de medida</w:t>
      </w:r>
      <w:r>
        <w:rPr>
          <w:sz w:val="16"/>
        </w:rPr>
        <w:t xml:space="preserve">: cantidades de eventos unitarios, evidencia: acción de personal </w:t>
      </w:r>
    </w:p>
  </w:footnote>
  <w:footnote w:id="30">
    <w:p w14:paraId="42318245" w14:textId="77777777" w:rsidR="0059163A" w:rsidRPr="00B64EFB" w:rsidRDefault="0059163A" w:rsidP="00646828">
      <w:pPr>
        <w:pStyle w:val="Textonotapie"/>
        <w:rPr>
          <w:rFonts w:ascii="Times New Roman" w:hAnsi="Times New Roman"/>
        </w:rPr>
      </w:pPr>
      <w:r w:rsidRPr="00B64EFB">
        <w:rPr>
          <w:rStyle w:val="Refdenotaalpie"/>
          <w:rFonts w:ascii="Times New Roman" w:hAnsi="Times New Roman"/>
        </w:rPr>
        <w:footnoteRef/>
      </w:r>
      <w:r w:rsidRPr="00B64EFB">
        <w:rPr>
          <w:rFonts w:ascii="Times New Roman" w:hAnsi="Times New Roman"/>
        </w:rPr>
        <w:t xml:space="preserve"> </w:t>
      </w:r>
      <w:r w:rsidRPr="00B64EFB">
        <w:rPr>
          <w:rFonts w:ascii="Times New Roman" w:hAnsi="Times New Roman"/>
          <w:sz w:val="20"/>
          <w:szCs w:val="20"/>
        </w:rPr>
        <w:t>ambulatorios de 7 a 10 años</w:t>
      </w:r>
    </w:p>
  </w:footnote>
  <w:footnote w:id="31">
    <w:p w14:paraId="753BFC35" w14:textId="77777777" w:rsidR="0059163A" w:rsidRPr="00AC03F8" w:rsidRDefault="0059163A" w:rsidP="00646828">
      <w:pPr>
        <w:pStyle w:val="Textonotapie"/>
        <w:rPr>
          <w:rFonts w:ascii="Times New Roman" w:hAnsi="Times New Roman"/>
        </w:rPr>
      </w:pPr>
      <w:r w:rsidRPr="00AC03F8">
        <w:rPr>
          <w:rStyle w:val="Refdenotaalpie"/>
          <w:rFonts w:ascii="Times New Roman" w:hAnsi="Times New Roman"/>
        </w:rPr>
        <w:footnoteRef/>
      </w:r>
      <w:r w:rsidRPr="00AC03F8">
        <w:rPr>
          <w:rFonts w:ascii="Times New Roman" w:hAnsi="Times New Roman"/>
          <w:sz w:val="20"/>
        </w:rPr>
        <w:t xml:space="preserve"> Evaluación fechada </w:t>
      </w:r>
      <w:r>
        <w:rPr>
          <w:rFonts w:ascii="Times New Roman" w:hAnsi="Times New Roman"/>
          <w:sz w:val="20"/>
        </w:rPr>
        <w:t xml:space="preserve">al </w:t>
      </w:r>
      <w:r w:rsidRPr="00AC03F8">
        <w:rPr>
          <w:rFonts w:ascii="Times New Roman" w:hAnsi="Times New Roman"/>
          <w:sz w:val="20"/>
        </w:rPr>
        <w:t xml:space="preserve">mes de </w:t>
      </w:r>
      <w:r>
        <w:rPr>
          <w:rFonts w:ascii="Times New Roman" w:hAnsi="Times New Roman"/>
          <w:sz w:val="20"/>
        </w:rPr>
        <w:t>noviembre 2019</w:t>
      </w:r>
      <w:r w:rsidRPr="00AC03F8">
        <w:rPr>
          <w:rFonts w:ascii="Times New Roman" w:hAnsi="Times New Roman"/>
          <w:sz w:val="20"/>
        </w:rPr>
        <w:t>.</w:t>
      </w:r>
    </w:p>
  </w:footnote>
  <w:footnote w:id="32">
    <w:p w14:paraId="12BF7626" w14:textId="77777777" w:rsidR="0059163A" w:rsidRPr="008A3A80" w:rsidRDefault="0059163A" w:rsidP="00646828">
      <w:pPr>
        <w:pStyle w:val="Textonotapie"/>
      </w:pPr>
      <w:r>
        <w:rPr>
          <w:rStyle w:val="Refdenotaalpie"/>
        </w:rPr>
        <w:footnoteRef/>
      </w:r>
      <w:r w:rsidRPr="008A3A80">
        <w:t xml:space="preserve"> </w:t>
      </w:r>
      <w:r w:rsidRPr="008A3A80">
        <w:rPr>
          <w:rFonts w:ascii="Times New Roman" w:hAnsi="Times New Roman"/>
          <w:sz w:val="20"/>
          <w:szCs w:val="20"/>
        </w:rPr>
        <w:t>Línea 311</w:t>
      </w:r>
    </w:p>
  </w:footnote>
  <w:footnote w:id="33">
    <w:p w14:paraId="0D0B1409" w14:textId="77777777" w:rsidR="0059163A" w:rsidRPr="00F24283" w:rsidRDefault="0059163A" w:rsidP="0004267C">
      <w:pPr>
        <w:pStyle w:val="Textonotapie"/>
      </w:pPr>
      <w:r>
        <w:rPr>
          <w:rStyle w:val="Refdenotaalpie"/>
        </w:rPr>
        <w:footnoteRef/>
      </w:r>
      <w:r w:rsidRPr="00F24283">
        <w:t xml:space="preserve"> </w:t>
      </w:r>
      <w:r w:rsidRPr="00F2330B">
        <w:rPr>
          <w:rFonts w:ascii="Times New Roman" w:hAnsi="Times New Roman"/>
          <w:sz w:val="20"/>
          <w:szCs w:val="20"/>
        </w:rPr>
        <w:t>Cifras cortadas al 31 de octubre 2019</w:t>
      </w:r>
    </w:p>
  </w:footnote>
  <w:footnote w:id="34">
    <w:p w14:paraId="2E983CF9" w14:textId="77777777" w:rsidR="0059163A" w:rsidRPr="00B85855" w:rsidRDefault="0059163A" w:rsidP="00304F26">
      <w:pPr>
        <w:pStyle w:val="Textonotapie"/>
        <w:rPr>
          <w:rFonts w:ascii="Times New Roman" w:hAnsi="Times New Roman"/>
        </w:rPr>
      </w:pPr>
      <w:r w:rsidRPr="00B85855">
        <w:rPr>
          <w:rStyle w:val="Refdenotaalpie"/>
          <w:rFonts w:ascii="Times New Roman" w:hAnsi="Times New Roman"/>
        </w:rPr>
        <w:footnoteRef/>
      </w:r>
      <w:r w:rsidRPr="00B85855">
        <w:rPr>
          <w:rFonts w:ascii="Times New Roman" w:hAnsi="Times New Roman"/>
        </w:rPr>
        <w:t xml:space="preserve"> Datos reales al </w:t>
      </w:r>
      <w:r>
        <w:rPr>
          <w:rFonts w:ascii="Times New Roman" w:hAnsi="Times New Roman"/>
        </w:rPr>
        <w:t xml:space="preserve">3 </w:t>
      </w:r>
      <w:r w:rsidRPr="00B85855">
        <w:rPr>
          <w:rFonts w:ascii="Times New Roman" w:hAnsi="Times New Roman"/>
        </w:rPr>
        <w:t>de diciembre 201</w:t>
      </w:r>
      <w:r>
        <w:rPr>
          <w:rFonts w:ascii="Times New Roman" w:hAnsi="Times New Roman"/>
        </w:rPr>
        <w:t>9</w:t>
      </w:r>
      <w:r w:rsidRPr="00B85855">
        <w:rPr>
          <w:rFonts w:ascii="Times New Roman" w:hAnsi="Times New Roman"/>
        </w:rPr>
        <w:t>.</w:t>
      </w:r>
    </w:p>
  </w:footnote>
  <w:footnote w:id="35">
    <w:p w14:paraId="6A4C04F4" w14:textId="77777777" w:rsidR="0059163A" w:rsidRPr="003E0EB4" w:rsidRDefault="0059163A" w:rsidP="00304F26">
      <w:pPr>
        <w:rPr>
          <w:rFonts w:ascii="Arial" w:hAnsi="Arial" w:cs="Arial"/>
          <w:color w:val="000000" w:themeColor="text1"/>
          <w:sz w:val="14"/>
          <w:szCs w:val="14"/>
          <w:lang w:val="es-ES"/>
        </w:rPr>
      </w:pPr>
      <w:r w:rsidRPr="003E0EB4">
        <w:rPr>
          <w:rStyle w:val="Refdenotaalpie"/>
          <w:sz w:val="14"/>
          <w:szCs w:val="14"/>
        </w:rPr>
        <w:footnoteRef/>
      </w:r>
      <w:r w:rsidRPr="003E0EB4">
        <w:rPr>
          <w:sz w:val="14"/>
          <w:szCs w:val="14"/>
        </w:rPr>
        <w:t xml:space="preserve"> </w:t>
      </w:r>
      <w:r w:rsidRPr="003E0EB4">
        <w:rPr>
          <w:rFonts w:ascii="Arial" w:hAnsi="Arial" w:cs="Arial"/>
          <w:color w:val="000000" w:themeColor="text1"/>
          <w:sz w:val="14"/>
          <w:szCs w:val="14"/>
        </w:rPr>
        <w:t>Corresponde a la diferencia de las adjudicaciones de procesos publicados en el 2018 vs los publicados y adjudicados en el 2019.</w:t>
      </w:r>
    </w:p>
    <w:p w14:paraId="0166E381" w14:textId="77777777" w:rsidR="0059163A" w:rsidRPr="003E0EB4" w:rsidRDefault="0059163A" w:rsidP="00304F26">
      <w:pPr>
        <w:pStyle w:val="Textonotapie"/>
        <w:rPr>
          <w:lang w:val="es-ES"/>
        </w:rPr>
      </w:pPr>
    </w:p>
  </w:footnote>
  <w:footnote w:id="36">
    <w:p w14:paraId="49FA47D6" w14:textId="60E35345" w:rsidR="0059163A" w:rsidRDefault="0059163A">
      <w:pPr>
        <w:pStyle w:val="Textonotapie"/>
      </w:pPr>
      <w:r>
        <w:rPr>
          <w:rStyle w:val="Refdenotaalpie"/>
        </w:rPr>
        <w:footnoteRef/>
      </w:r>
      <w:r w:rsidRPr="00291D6E">
        <w:rPr>
          <w:rFonts w:ascii="Times New Roman" w:hAnsi="Times New Roman"/>
          <w:sz w:val="20"/>
          <w:szCs w:val="20"/>
        </w:rPr>
        <w:t xml:space="preserve"> Plan de </w:t>
      </w:r>
      <w:r>
        <w:rPr>
          <w:rFonts w:ascii="Times New Roman" w:hAnsi="Times New Roman"/>
          <w:sz w:val="20"/>
          <w:szCs w:val="20"/>
        </w:rPr>
        <w:t>compra no reportado</w:t>
      </w:r>
    </w:p>
  </w:footnote>
  <w:footnote w:id="37">
    <w:p w14:paraId="2339CD15" w14:textId="77777777" w:rsidR="0059163A" w:rsidRDefault="0059163A" w:rsidP="002E323B">
      <w:pPr>
        <w:pStyle w:val="Textonotapie"/>
      </w:pPr>
      <w:r>
        <w:rPr>
          <w:rStyle w:val="Refdenotaalpie"/>
        </w:rPr>
        <w:footnoteRef/>
      </w:r>
      <w:r>
        <w:t xml:space="preserve"> </w:t>
      </w:r>
      <w:r w:rsidRPr="00A02FEF">
        <w:rPr>
          <w:rFonts w:ascii="Times New Roman" w:hAnsi="Times New Roman"/>
          <w:sz w:val="20"/>
          <w:szCs w:val="20"/>
        </w:rPr>
        <w:t>Incluye valores reales enero-octubre y proyección noviembre-diciembre 2018.</w:t>
      </w:r>
    </w:p>
  </w:footnote>
  <w:footnote w:id="38">
    <w:p w14:paraId="081F7228" w14:textId="6B85117E" w:rsidR="0059163A" w:rsidRDefault="0059163A" w:rsidP="002E323B">
      <w:pPr>
        <w:pStyle w:val="Textonotapie"/>
      </w:pPr>
      <w:r>
        <w:rPr>
          <w:rStyle w:val="Refdenotaalpie"/>
        </w:rPr>
        <w:footnoteRef/>
      </w:r>
      <w:r>
        <w:t xml:space="preserve"> </w:t>
      </w:r>
      <w:r w:rsidRPr="00A02FEF">
        <w:rPr>
          <w:rFonts w:ascii="Times New Roman" w:hAnsi="Times New Roman"/>
          <w:sz w:val="20"/>
          <w:szCs w:val="20"/>
        </w:rPr>
        <w:t>Incluye valores reales enero-octubre y proyección noviembre-diciembre 201</w:t>
      </w:r>
      <w:r>
        <w:rPr>
          <w:rFonts w:ascii="Times New Roman" w:hAnsi="Times New Roman"/>
          <w:sz w:val="20"/>
          <w:szCs w:val="20"/>
        </w:rPr>
        <w:t>9</w:t>
      </w:r>
      <w:r w:rsidRPr="00A02FEF">
        <w:rPr>
          <w:rFonts w:ascii="Times New Roman" w:hAnsi="Times New Roman"/>
          <w:sz w:val="20"/>
          <w:szCs w:val="20"/>
        </w:rPr>
        <w:t>.</w:t>
      </w:r>
    </w:p>
  </w:footnote>
  <w:footnote w:id="39">
    <w:p w14:paraId="3E9B1317" w14:textId="16F62C88" w:rsidR="0059163A" w:rsidRDefault="0059163A" w:rsidP="002E323B">
      <w:pPr>
        <w:pStyle w:val="Textonotapie"/>
      </w:pPr>
      <w:r>
        <w:rPr>
          <w:rStyle w:val="Refdenotaalpie"/>
        </w:rPr>
        <w:footnoteRef/>
      </w:r>
      <w:r>
        <w:t xml:space="preserve"> </w:t>
      </w:r>
      <w:r w:rsidRPr="00A02FEF">
        <w:rPr>
          <w:rFonts w:ascii="Times New Roman" w:hAnsi="Times New Roman"/>
          <w:sz w:val="20"/>
          <w:szCs w:val="20"/>
        </w:rPr>
        <w:t>Incluye valores reales enero-octubre y pro</w:t>
      </w:r>
      <w:r>
        <w:rPr>
          <w:rFonts w:ascii="Times New Roman" w:hAnsi="Times New Roman"/>
          <w:sz w:val="20"/>
          <w:szCs w:val="20"/>
        </w:rPr>
        <w:t>yección noviembre-diciembre 2019</w:t>
      </w:r>
      <w:r w:rsidRPr="00A02FEF">
        <w:rPr>
          <w:rFonts w:ascii="Times New Roman" w:hAnsi="Times New Roman"/>
          <w:sz w:val="20"/>
          <w:szCs w:val="20"/>
        </w:rPr>
        <w:t>.</w:t>
      </w:r>
    </w:p>
  </w:footnote>
  <w:footnote w:id="40">
    <w:p w14:paraId="270C16CF" w14:textId="7F47CCD8" w:rsidR="0059163A" w:rsidRDefault="0059163A" w:rsidP="002E323B">
      <w:pPr>
        <w:pStyle w:val="Textonotapie"/>
      </w:pPr>
      <w:r>
        <w:rPr>
          <w:rStyle w:val="Refdenotaalpie"/>
        </w:rPr>
        <w:footnoteRef/>
      </w:r>
      <w:r>
        <w:t xml:space="preserve"> </w:t>
      </w:r>
      <w:r w:rsidRPr="00A02FEF">
        <w:rPr>
          <w:rFonts w:ascii="Times New Roman" w:hAnsi="Times New Roman"/>
          <w:sz w:val="20"/>
          <w:szCs w:val="20"/>
        </w:rPr>
        <w:t>Incluye valores reales enero-octubre y pro</w:t>
      </w:r>
      <w:r>
        <w:rPr>
          <w:rFonts w:ascii="Times New Roman" w:hAnsi="Times New Roman"/>
          <w:sz w:val="20"/>
          <w:szCs w:val="20"/>
        </w:rPr>
        <w:t>yección noviembre-diciembre 2019</w:t>
      </w:r>
      <w:r w:rsidRPr="00A02FEF">
        <w:rPr>
          <w:rFonts w:ascii="Times New Roman" w:hAnsi="Times New Roman"/>
          <w:sz w:val="20"/>
          <w:szCs w:val="20"/>
        </w:rPr>
        <w:t>.</w:t>
      </w:r>
    </w:p>
  </w:footnote>
  <w:footnote w:id="41">
    <w:p w14:paraId="35DE47F5" w14:textId="4C778160" w:rsidR="0059163A" w:rsidRDefault="0059163A" w:rsidP="002E323B">
      <w:pPr>
        <w:pStyle w:val="Textonotapie"/>
      </w:pPr>
      <w:r>
        <w:rPr>
          <w:rStyle w:val="Refdenotaalpie"/>
        </w:rPr>
        <w:footnoteRef/>
      </w:r>
      <w:r>
        <w:t xml:space="preserve"> </w:t>
      </w:r>
      <w:r w:rsidRPr="00A02FEF">
        <w:rPr>
          <w:rFonts w:ascii="Times New Roman" w:hAnsi="Times New Roman"/>
          <w:sz w:val="20"/>
          <w:szCs w:val="20"/>
        </w:rPr>
        <w:t>Incluye valores reales enero-octubre y pro</w:t>
      </w:r>
      <w:r>
        <w:rPr>
          <w:rFonts w:ascii="Times New Roman" w:hAnsi="Times New Roman"/>
          <w:sz w:val="20"/>
          <w:szCs w:val="20"/>
        </w:rPr>
        <w:t>yección noviembre-diciembre 2019</w:t>
      </w:r>
      <w:r w:rsidRPr="00A02FEF">
        <w:rPr>
          <w:rFonts w:ascii="Times New Roman" w:hAnsi="Times New Roman"/>
          <w:sz w:val="20"/>
          <w:szCs w:val="20"/>
        </w:rPr>
        <w:t>.</w:t>
      </w:r>
    </w:p>
  </w:footnote>
  <w:footnote w:id="42">
    <w:p w14:paraId="769D1B10" w14:textId="77777777" w:rsidR="0059163A" w:rsidRPr="00994D5C" w:rsidRDefault="0059163A" w:rsidP="0075519C">
      <w:pPr>
        <w:pStyle w:val="Textonotapie"/>
      </w:pPr>
      <w:r>
        <w:rPr>
          <w:rStyle w:val="Refdenotaalpie"/>
        </w:rPr>
        <w:footnoteRef/>
      </w:r>
      <w:r w:rsidRPr="00994D5C">
        <w:t xml:space="preserve"> </w:t>
      </w:r>
      <w:r w:rsidRPr="00994D5C">
        <w:rPr>
          <w:b/>
          <w:sz w:val="20"/>
        </w:rPr>
        <w:t>Fuente</w:t>
      </w:r>
      <w:r>
        <w:rPr>
          <w:b/>
          <w:sz w:val="20"/>
        </w:rPr>
        <w:t xml:space="preserve"> r</w:t>
      </w:r>
      <w:r w:rsidRPr="00994D5C">
        <w:rPr>
          <w:b/>
          <w:sz w:val="20"/>
        </w:rPr>
        <w:t>esto de productos:</w:t>
      </w:r>
      <w:r w:rsidRPr="00994D5C">
        <w:rPr>
          <w:sz w:val="20"/>
        </w:rPr>
        <w:t xml:space="preserve"> Unidades Regionales Planificación y Economía (URPEs)</w:t>
      </w:r>
    </w:p>
  </w:footnote>
  <w:footnote w:id="43">
    <w:p w14:paraId="294003B3" w14:textId="0606F8EE" w:rsidR="0059163A" w:rsidRDefault="0059163A">
      <w:pPr>
        <w:pStyle w:val="Textonotapie"/>
      </w:pPr>
      <w:r>
        <w:rPr>
          <w:rStyle w:val="Refdenotaalpie"/>
        </w:rPr>
        <w:footnoteRef/>
      </w:r>
      <w:r>
        <w:t xml:space="preserve"> </w:t>
      </w:r>
      <w:r w:rsidRPr="005F634F">
        <w:rPr>
          <w:rFonts w:ascii="Times New Roman" w:hAnsi="Times New Roman"/>
          <w:sz w:val="20"/>
          <w:szCs w:val="20"/>
        </w:rPr>
        <w:t>Fuente: sistema de medición y monitoreo de la Gestión Pública, SMMGP,</w:t>
      </w:r>
      <w:r>
        <w:t xml:space="preserve"> </w:t>
      </w:r>
      <w:hyperlink r:id="rId5" w:history="1">
        <w:r w:rsidRPr="005F634F">
          <w:rPr>
            <w:rStyle w:val="Hipervnculo"/>
            <w:rFonts w:ascii="Times New Roman" w:hAnsi="Times New Roman"/>
            <w:sz w:val="20"/>
            <w:szCs w:val="20"/>
          </w:rPr>
          <w:t>http://www.sigob.gob.do/app/smmgp</w:t>
        </w:r>
      </w:hyperlink>
    </w:p>
  </w:footnote>
  <w:footnote w:id="44">
    <w:p w14:paraId="1BC7F7EF" w14:textId="16F1D83A" w:rsidR="0059163A" w:rsidRDefault="0059163A" w:rsidP="00382354">
      <w:pPr>
        <w:pStyle w:val="Textonotapie"/>
      </w:pPr>
      <w:r>
        <w:rPr>
          <w:rStyle w:val="Refdenotaalpie"/>
        </w:rPr>
        <w:footnoteRef/>
      </w:r>
      <w:r w:rsidRPr="0079104E">
        <w:rPr>
          <w:rFonts w:ascii="Times New Roman" w:hAnsi="Times New Roman"/>
          <w:sz w:val="20"/>
          <w:szCs w:val="20"/>
        </w:rPr>
        <w:t xml:space="preserve"> Excluye </w:t>
      </w:r>
      <w:r>
        <w:rPr>
          <w:rFonts w:ascii="Times New Roman" w:hAnsi="Times New Roman"/>
          <w:sz w:val="20"/>
          <w:szCs w:val="20"/>
        </w:rPr>
        <w:t>r</w:t>
      </w:r>
      <w:r w:rsidRPr="0079104E">
        <w:rPr>
          <w:rFonts w:ascii="Times New Roman" w:hAnsi="Times New Roman"/>
          <w:sz w:val="20"/>
          <w:szCs w:val="20"/>
        </w:rPr>
        <w:t>esultados de los Indicadores: Metas Presidenciales y Obras</w:t>
      </w:r>
      <w:r>
        <w:rPr>
          <w:rFonts w:ascii="Times New Roman" w:hAnsi="Times New Roman"/>
          <w:sz w:val="20"/>
          <w:szCs w:val="20"/>
        </w:rPr>
        <w:t>,</w:t>
      </w:r>
      <w:r w:rsidRPr="00E331D5">
        <w:rPr>
          <w:rFonts w:ascii="Times New Roman" w:hAnsi="Times New Roman"/>
          <w:sz w:val="20"/>
        </w:rPr>
        <w:t xml:space="preserve"> </w:t>
      </w:r>
      <w:r>
        <w:rPr>
          <w:rFonts w:ascii="Times New Roman" w:hAnsi="Times New Roman"/>
          <w:sz w:val="20"/>
        </w:rPr>
        <w:t>n/e = no evaluado</w:t>
      </w:r>
    </w:p>
  </w:footnote>
  <w:footnote w:id="45">
    <w:p w14:paraId="617F48D0" w14:textId="2ED603AA" w:rsidR="0059163A" w:rsidRDefault="0059163A" w:rsidP="00382354">
      <w:pPr>
        <w:pStyle w:val="Textonotapie"/>
      </w:pPr>
      <w:r>
        <w:rPr>
          <w:rStyle w:val="Refdenotaalpie"/>
        </w:rPr>
        <w:footnoteRef/>
      </w:r>
      <w:r>
        <w:t xml:space="preserve"> </w:t>
      </w:r>
      <w:r w:rsidRPr="00395787">
        <w:rPr>
          <w:rFonts w:ascii="Times New Roman" w:hAnsi="Times New Roman"/>
          <w:sz w:val="20"/>
        </w:rPr>
        <w:t xml:space="preserve">AGRICULTURARD, Informaciones </w:t>
      </w:r>
      <w:r>
        <w:rPr>
          <w:rFonts w:ascii="Times New Roman" w:hAnsi="Times New Roman"/>
          <w:sz w:val="20"/>
        </w:rPr>
        <w:t>p</w:t>
      </w:r>
      <w:r w:rsidRPr="00395787">
        <w:rPr>
          <w:rFonts w:ascii="Times New Roman" w:hAnsi="Times New Roman"/>
          <w:sz w:val="20"/>
        </w:rPr>
        <w:t>royectadas al cierre de año</w:t>
      </w:r>
      <w:r>
        <w:rPr>
          <w:rFonts w:ascii="Times New Roman" w:hAnsi="Times New Roman"/>
          <w:sz w:val="20"/>
        </w:rPr>
        <w:t xml:space="preserve">. Instituciones sectoriales, informaciones preliminares cortadas a 6 de diciembre 2019. </w:t>
      </w:r>
    </w:p>
  </w:footnote>
  <w:footnote w:id="46">
    <w:p w14:paraId="6B194E38" w14:textId="77777777" w:rsidR="0059163A" w:rsidRDefault="0059163A" w:rsidP="00382354">
      <w:pPr>
        <w:pStyle w:val="Textonotapie"/>
      </w:pPr>
      <w:r>
        <w:rPr>
          <w:rStyle w:val="Refdenotaalpie"/>
        </w:rPr>
        <w:footnoteRef/>
      </w:r>
      <w:r>
        <w:t xml:space="preserve"> </w:t>
      </w:r>
      <w:r w:rsidRPr="00B96049">
        <w:rPr>
          <w:rFonts w:ascii="Times New Roman" w:hAnsi="Times New Roman"/>
          <w:sz w:val="20"/>
          <w:szCs w:val="20"/>
        </w:rPr>
        <w:t xml:space="preserve">Informaciones cortadas al </w:t>
      </w:r>
      <w:r>
        <w:rPr>
          <w:rFonts w:ascii="Times New Roman" w:hAnsi="Times New Roman"/>
          <w:sz w:val="20"/>
          <w:szCs w:val="20"/>
        </w:rPr>
        <w:t xml:space="preserve">6 de diciembre 2019 de reportes ejecutivos, avance de metas intermedias e indicadores de gestión del sistema de Seguimiento a Metas Presidenciales, </w:t>
      </w:r>
      <w:hyperlink r:id="rId6" w:history="1">
        <w:r w:rsidRPr="00D837D0">
          <w:rPr>
            <w:rStyle w:val="Hipervnculo"/>
            <w:rFonts w:ascii="Times New Roman" w:hAnsi="Times New Roman"/>
            <w:sz w:val="20"/>
            <w:szCs w:val="20"/>
          </w:rPr>
          <w:t>http://www.sigob.gob.do/Metas2016/componentes/</w:t>
        </w:r>
      </w:hyperlink>
    </w:p>
  </w:footnote>
  <w:footnote w:id="47">
    <w:p w14:paraId="681DA57A" w14:textId="77777777" w:rsidR="0059163A" w:rsidRDefault="0059163A">
      <w:pPr>
        <w:pStyle w:val="Textonotapie"/>
      </w:pPr>
      <w:r>
        <w:rPr>
          <w:rStyle w:val="Refdenotaalpie"/>
        </w:rPr>
        <w:footnoteRef/>
      </w:r>
      <w:r>
        <w:t xml:space="preserve"> </w:t>
      </w:r>
      <w:r w:rsidRPr="00405D40">
        <w:rPr>
          <w:rFonts w:ascii="Times New Roman" w:hAnsi="Times New Roman"/>
          <w:sz w:val="20"/>
          <w:szCs w:val="20"/>
        </w:rPr>
        <w:t>Fuente: Instituto Nacional de Recursos Hidráulicos, INDRHI.</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0A513" w14:textId="77777777" w:rsidR="0059163A" w:rsidRPr="00730C89" w:rsidRDefault="0059163A" w:rsidP="00730C89">
    <w:pPr>
      <w:pStyle w:val="Encabezad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B6B0F" w14:textId="77777777" w:rsidR="0059163A" w:rsidRPr="00116422" w:rsidRDefault="0059163A" w:rsidP="00994D5C">
    <w:pPr>
      <w:ind w:right="144"/>
      <w:contextualSpacing/>
      <w:jc w:val="right"/>
      <w:rPr>
        <w:rFonts w:ascii="Times New Roman" w:hAnsi="Times New Roman"/>
        <w:b/>
        <w:color w:val="A6A6A6"/>
        <w:sz w:val="28"/>
        <w:szCs w:val="32"/>
        <w:lang w:val="es-ES_tradnl"/>
      </w:rPr>
    </w:pPr>
    <w:r w:rsidRPr="00116422">
      <w:rPr>
        <w:rFonts w:ascii="Times New Roman" w:hAnsi="Times New Roman"/>
        <w:b/>
        <w:color w:val="A6A6A6"/>
        <w:sz w:val="28"/>
        <w:szCs w:val="32"/>
        <w:lang w:val="es-ES_tradnl"/>
      </w:rPr>
      <w:t xml:space="preserve">Anexo </w:t>
    </w:r>
    <w:r>
      <w:rPr>
        <w:rFonts w:ascii="Times New Roman" w:hAnsi="Times New Roman"/>
        <w:b/>
        <w:color w:val="A6A6A6"/>
        <w:sz w:val="28"/>
        <w:szCs w:val="32"/>
        <w:lang w:val="es-ES_tradnl"/>
      </w:rPr>
      <w:t>D</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7864E" w14:textId="77777777" w:rsidR="0059163A" w:rsidRPr="00AC313A" w:rsidRDefault="0059163A" w:rsidP="00F03C13">
    <w:pPr>
      <w:ind w:right="144"/>
      <w:contextualSpacing/>
      <w:jc w:val="right"/>
      <w:rPr>
        <w:rFonts w:ascii="Times New Roman" w:hAnsi="Times New Roman"/>
        <w:b/>
        <w:color w:val="A6A6A6"/>
        <w:sz w:val="28"/>
        <w:szCs w:val="32"/>
        <w:lang w:val="es-ES_tradnl"/>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B9537" w14:textId="77777777" w:rsidR="0059163A" w:rsidRPr="00AC313A" w:rsidRDefault="0059163A" w:rsidP="00F03C13">
    <w:pPr>
      <w:ind w:right="144"/>
      <w:contextualSpacing/>
      <w:jc w:val="right"/>
      <w:rPr>
        <w:rFonts w:ascii="Times New Roman" w:hAnsi="Times New Roman"/>
        <w:b/>
        <w:color w:val="A6A6A6"/>
        <w:sz w:val="28"/>
        <w:szCs w:val="32"/>
        <w:lang w:val="es-ES_tradnl"/>
      </w:rPr>
    </w:pPr>
    <w:r w:rsidRPr="00AC313A">
      <w:rPr>
        <w:rFonts w:ascii="Times New Roman" w:hAnsi="Times New Roman"/>
        <w:b/>
        <w:color w:val="A6A6A6"/>
        <w:sz w:val="28"/>
        <w:szCs w:val="32"/>
        <w:lang w:val="es-ES_tradnl"/>
      </w:rPr>
      <w:t xml:space="preserve">Anexo </w:t>
    </w:r>
    <w:r>
      <w:rPr>
        <w:rFonts w:ascii="Times New Roman" w:hAnsi="Times New Roman"/>
        <w:b/>
        <w:color w:val="A6A6A6"/>
        <w:sz w:val="28"/>
        <w:szCs w:val="32"/>
        <w:lang w:val="es-ES_tradnl"/>
      </w:rPr>
      <w:t>D</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AA172" w14:textId="77777777" w:rsidR="0059163A" w:rsidRPr="00FA3241" w:rsidRDefault="0059163A" w:rsidP="00FA3241">
    <w:pPr>
      <w:pStyle w:val="Encabezado"/>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9CF6C" w14:textId="77777777" w:rsidR="0059163A" w:rsidRPr="00AE5BDB" w:rsidRDefault="0059163A" w:rsidP="00AE5BDB">
    <w:pPr>
      <w:pStyle w:val="Encabezado"/>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B1A74" w14:textId="77777777" w:rsidR="0059163A" w:rsidRPr="00731D0D" w:rsidRDefault="0059163A" w:rsidP="00F03C13">
    <w:pPr>
      <w:spacing w:line="480" w:lineRule="auto"/>
      <w:ind w:right="144"/>
      <w:contextualSpacing/>
      <w:jc w:val="right"/>
      <w:rPr>
        <w:rFonts w:ascii="Times New Roman" w:hAnsi="Times New Roman"/>
        <w:b/>
        <w:color w:val="A6A6A6"/>
        <w:sz w:val="32"/>
        <w:szCs w:val="32"/>
        <w:lang w:val="es-ES_tradnl"/>
      </w:rPr>
    </w:pPr>
    <w:r w:rsidRPr="00731D0D">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E</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BF610" w14:textId="77777777" w:rsidR="0059163A" w:rsidRPr="00FA3241" w:rsidRDefault="0059163A" w:rsidP="00FA3241">
    <w:pPr>
      <w:pStyle w:val="Encabezado"/>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C57B8" w14:textId="77777777" w:rsidR="0059163A" w:rsidRPr="00731D0D" w:rsidRDefault="0059163A" w:rsidP="00F03C13">
    <w:pPr>
      <w:spacing w:line="480" w:lineRule="auto"/>
      <w:ind w:right="144"/>
      <w:contextualSpacing/>
      <w:jc w:val="right"/>
      <w:rPr>
        <w:rFonts w:ascii="Times New Roman" w:hAnsi="Times New Roman"/>
        <w:b/>
        <w:color w:val="A6A6A6"/>
        <w:sz w:val="32"/>
        <w:szCs w:val="32"/>
        <w:lang w:val="es-ES_tradnl"/>
      </w:rPr>
    </w:pPr>
    <w:r w:rsidRPr="00731D0D">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F</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FAD03" w14:textId="77777777" w:rsidR="0059163A" w:rsidRPr="00FA3241" w:rsidRDefault="0059163A" w:rsidP="00FA3241">
    <w:pPr>
      <w:pStyle w:val="Encabezado"/>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9F655" w14:textId="77777777" w:rsidR="0059163A" w:rsidRPr="00FA3241" w:rsidRDefault="0059163A" w:rsidP="00A07CEE">
    <w:pPr>
      <w:pStyle w:val="Encabezado"/>
      <w:jc w:val="right"/>
    </w:pPr>
    <w:r w:rsidRPr="005330A4">
      <w:rPr>
        <w:rFonts w:ascii="Times New Roman" w:hAnsi="Times New Roman"/>
        <w:b/>
        <w:sz w:val="28"/>
      </w:rPr>
      <w:t xml:space="preserve">Anexo </w:t>
    </w:r>
    <w:r>
      <w:rPr>
        <w:rFonts w:ascii="Times New Roman" w:hAnsi="Times New Roman"/>
        <w:b/>
        <w:sz w:val="28"/>
      </w:rPr>
      <w:t>G</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8D9A3" w14:textId="77777777" w:rsidR="0059163A" w:rsidRPr="00AC313A" w:rsidRDefault="0059163A" w:rsidP="00F03C13">
    <w:pPr>
      <w:ind w:right="144"/>
      <w:contextualSpacing/>
      <w:jc w:val="right"/>
      <w:rPr>
        <w:rFonts w:ascii="Times New Roman" w:hAnsi="Times New Roman"/>
        <w:b/>
        <w:color w:val="A6A6A6"/>
        <w:sz w:val="32"/>
        <w:szCs w:val="32"/>
        <w:lang w:val="es-ES_tradnl"/>
      </w:rPr>
    </w:pPr>
    <w:r w:rsidRPr="00AC313A">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B</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1967B" w14:textId="77777777" w:rsidR="0059163A" w:rsidRPr="00FA3241" w:rsidRDefault="0059163A" w:rsidP="00A07CEE">
    <w:pPr>
      <w:pStyle w:val="Encabezado"/>
      <w:jc w:val="right"/>
    </w:pPr>
    <w:r w:rsidRPr="005330A4">
      <w:rPr>
        <w:rFonts w:ascii="Times New Roman" w:hAnsi="Times New Roman"/>
        <w:b/>
        <w:sz w:val="28"/>
      </w:rPr>
      <w:t xml:space="preserve">Anexo </w:t>
    </w:r>
    <w:r>
      <w:rPr>
        <w:rFonts w:ascii="Times New Roman" w:hAnsi="Times New Roman"/>
        <w:b/>
        <w:sz w:val="28"/>
      </w:rPr>
      <w:t>H</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BA3D8" w14:textId="31A419FF" w:rsidR="0059163A" w:rsidRPr="00FA3241" w:rsidRDefault="0059163A" w:rsidP="00F23205">
    <w:pPr>
      <w:pStyle w:val="Encabezado"/>
      <w:jc w:val="right"/>
    </w:pPr>
    <w:r w:rsidRPr="005330A4">
      <w:rPr>
        <w:rFonts w:ascii="Times New Roman" w:hAnsi="Times New Roman"/>
        <w:b/>
        <w:sz w:val="28"/>
      </w:rPr>
      <w:t xml:space="preserve">Anexo </w:t>
    </w:r>
    <w:r>
      <w:rPr>
        <w:rFonts w:ascii="Times New Roman" w:hAnsi="Times New Roman"/>
        <w:b/>
        <w:sz w:val="28"/>
      </w:rPr>
      <w:t>H</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7A016" w14:textId="29761D24" w:rsidR="0059163A" w:rsidRPr="00FA3241" w:rsidRDefault="0059163A" w:rsidP="00F23205">
    <w:pPr>
      <w:pStyle w:val="Encabezado"/>
      <w:jc w:val="right"/>
    </w:pPr>
    <w:r w:rsidRPr="005330A4">
      <w:rPr>
        <w:rFonts w:ascii="Times New Roman" w:hAnsi="Times New Roman"/>
        <w:b/>
        <w:sz w:val="28"/>
      </w:rPr>
      <w:t xml:space="preserve">Anexo </w:t>
    </w:r>
    <w:r>
      <w:rPr>
        <w:rFonts w:ascii="Times New Roman" w:hAnsi="Times New Roman"/>
        <w:b/>
        <w:sz w:val="28"/>
      </w:rPr>
      <w:t>I</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F8121" w14:textId="77777777" w:rsidR="0059163A" w:rsidRPr="00FA3241" w:rsidRDefault="0059163A" w:rsidP="00A57704">
    <w:pPr>
      <w:pStyle w:val="Encabezado"/>
      <w:jc w:val="right"/>
    </w:pPr>
    <w:r w:rsidRPr="005330A4">
      <w:rPr>
        <w:rFonts w:ascii="Times New Roman" w:hAnsi="Times New Roman"/>
        <w:b/>
        <w:sz w:val="28"/>
      </w:rPr>
      <w:t xml:space="preserve">Anexo </w:t>
    </w:r>
    <w:r>
      <w:rPr>
        <w:rFonts w:ascii="Times New Roman" w:hAnsi="Times New Roman"/>
        <w:b/>
        <w:sz w:val="28"/>
      </w:rPr>
      <w:t>I</w:t>
    </w:r>
  </w:p>
  <w:p w14:paraId="1559B56B" w14:textId="77777777" w:rsidR="0059163A" w:rsidRPr="004F282E" w:rsidRDefault="0059163A" w:rsidP="00A57704">
    <w:pPr>
      <w:pStyle w:val="Encabezado"/>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01CF5" w14:textId="77777777" w:rsidR="0059163A" w:rsidRPr="00FA3241" w:rsidRDefault="0059163A" w:rsidP="00A57704">
    <w:pPr>
      <w:pStyle w:val="Encabezado"/>
      <w:jc w:val="right"/>
    </w:pPr>
    <w:r w:rsidRPr="005330A4">
      <w:rPr>
        <w:rFonts w:ascii="Times New Roman" w:hAnsi="Times New Roman"/>
        <w:b/>
        <w:sz w:val="28"/>
      </w:rPr>
      <w:t xml:space="preserve">Anexo </w:t>
    </w:r>
    <w:r>
      <w:rPr>
        <w:rFonts w:ascii="Times New Roman" w:hAnsi="Times New Roman"/>
        <w:b/>
        <w:sz w:val="28"/>
      </w:rPr>
      <w:t>I</w:t>
    </w:r>
  </w:p>
  <w:p w14:paraId="0DA3C9CF" w14:textId="77777777" w:rsidR="0059163A" w:rsidRPr="004F282E" w:rsidRDefault="0059163A" w:rsidP="00A57704">
    <w:pPr>
      <w:pStyle w:val="Encabezado"/>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CD98E" w14:textId="77777777" w:rsidR="0059163A" w:rsidRPr="00FA3241" w:rsidRDefault="0059163A" w:rsidP="00A57704">
    <w:pPr>
      <w:pStyle w:val="Encabezado"/>
      <w:jc w:val="right"/>
    </w:pPr>
    <w:r w:rsidRPr="005330A4">
      <w:rPr>
        <w:rFonts w:ascii="Times New Roman" w:hAnsi="Times New Roman"/>
        <w:b/>
        <w:sz w:val="28"/>
      </w:rPr>
      <w:t xml:space="preserve">Anexo </w:t>
    </w:r>
    <w:r>
      <w:rPr>
        <w:rFonts w:ascii="Times New Roman" w:hAnsi="Times New Roman"/>
        <w:b/>
        <w:sz w:val="28"/>
      </w:rPr>
      <w:t>I</w:t>
    </w:r>
  </w:p>
  <w:p w14:paraId="0682DEE7" w14:textId="77777777" w:rsidR="0059163A" w:rsidRPr="004F282E" w:rsidRDefault="0059163A" w:rsidP="00A57704">
    <w:pPr>
      <w:pStyle w:val="Encabezado"/>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A1AD1" w14:textId="77777777" w:rsidR="0059163A" w:rsidRPr="00FA3241" w:rsidRDefault="0059163A" w:rsidP="00F23205">
    <w:pPr>
      <w:pStyle w:val="Encabezado"/>
      <w:jc w:val="right"/>
    </w:pPr>
  </w:p>
  <w:p w14:paraId="0413B286" w14:textId="77777777" w:rsidR="0059163A" w:rsidRPr="004F282E" w:rsidRDefault="0059163A" w:rsidP="00F23205">
    <w:pPr>
      <w:pStyle w:val="Encabezado"/>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1B37A" w14:textId="77777777" w:rsidR="0059163A" w:rsidRPr="00FA3241" w:rsidRDefault="0059163A" w:rsidP="004F282E">
    <w:pPr>
      <w:pStyle w:val="Encabezado"/>
      <w:jc w:val="right"/>
    </w:pPr>
    <w:r w:rsidRPr="005330A4">
      <w:rPr>
        <w:rFonts w:ascii="Times New Roman" w:hAnsi="Times New Roman"/>
        <w:b/>
        <w:sz w:val="28"/>
      </w:rPr>
      <w:t xml:space="preserve">Anexo </w:t>
    </w:r>
    <w:r>
      <w:rPr>
        <w:rFonts w:ascii="Times New Roman" w:hAnsi="Times New Roman"/>
        <w:b/>
        <w:sz w:val="28"/>
      </w:rPr>
      <w:t>J</w:t>
    </w:r>
  </w:p>
  <w:p w14:paraId="07EF389A" w14:textId="77777777" w:rsidR="0059163A" w:rsidRPr="004F282E" w:rsidRDefault="0059163A" w:rsidP="004F282E">
    <w:pPr>
      <w:pStyle w:val="Encabezado"/>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C99DE" w14:textId="6072548D" w:rsidR="0059163A" w:rsidRPr="00FA3241" w:rsidRDefault="0059163A" w:rsidP="004F282E">
    <w:pPr>
      <w:pStyle w:val="Encabezado"/>
      <w:jc w:val="right"/>
    </w:pPr>
    <w:r w:rsidRPr="005330A4">
      <w:rPr>
        <w:rFonts w:ascii="Times New Roman" w:hAnsi="Times New Roman"/>
        <w:b/>
        <w:sz w:val="28"/>
      </w:rPr>
      <w:t xml:space="preserve">Anexo </w:t>
    </w:r>
    <w:r>
      <w:rPr>
        <w:rFonts w:ascii="Times New Roman" w:hAnsi="Times New Roman"/>
        <w:b/>
        <w:sz w:val="28"/>
      </w:rPr>
      <w:t>K</w:t>
    </w:r>
  </w:p>
  <w:p w14:paraId="07B79B24" w14:textId="77777777" w:rsidR="0059163A" w:rsidRPr="004F282E" w:rsidRDefault="0059163A" w:rsidP="004F282E">
    <w:pPr>
      <w:pStyle w:val="Encabezado"/>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86ABD" w14:textId="4259018B" w:rsidR="0059163A" w:rsidRPr="00FA3241" w:rsidRDefault="0059163A" w:rsidP="004F282E">
    <w:pPr>
      <w:pStyle w:val="Encabezado"/>
      <w:jc w:val="right"/>
    </w:pPr>
    <w:r w:rsidRPr="005330A4">
      <w:rPr>
        <w:rFonts w:ascii="Times New Roman" w:hAnsi="Times New Roman"/>
        <w:b/>
        <w:sz w:val="28"/>
      </w:rPr>
      <w:t xml:space="preserve">Anexo </w:t>
    </w:r>
    <w:r>
      <w:rPr>
        <w:rFonts w:ascii="Times New Roman" w:hAnsi="Times New Roman"/>
        <w:b/>
        <w:sz w:val="28"/>
      </w:rPr>
      <w:t>L</w:t>
    </w:r>
  </w:p>
  <w:p w14:paraId="25A386A4" w14:textId="77777777" w:rsidR="0059163A" w:rsidRPr="004F282E" w:rsidRDefault="0059163A" w:rsidP="004F282E">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ED46F" w14:textId="77777777" w:rsidR="0059163A" w:rsidRPr="00746F60" w:rsidRDefault="0059163A" w:rsidP="00F03C13">
    <w:pPr>
      <w:spacing w:line="480" w:lineRule="auto"/>
      <w:ind w:right="144"/>
      <w:contextualSpacing/>
      <w:jc w:val="right"/>
      <w:rPr>
        <w:rFonts w:ascii="Times New Roman" w:hAnsi="Times New Roman"/>
        <w:b/>
        <w:color w:val="A6A6A6"/>
        <w:sz w:val="32"/>
        <w:szCs w:val="32"/>
        <w:lang w:val="es-ES_tradnl"/>
      </w:rPr>
    </w:pPr>
    <w:r w:rsidRPr="00746F60">
      <w:rPr>
        <w:rFonts w:ascii="Times New Roman" w:hAnsi="Times New Roman"/>
        <w:b/>
        <w:color w:val="A6A6A6"/>
        <w:sz w:val="32"/>
        <w:szCs w:val="32"/>
        <w:lang w:val="es-ES_tradnl"/>
      </w:rPr>
      <w:t>Anexo 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A5B87" w14:textId="77777777" w:rsidR="0059163A" w:rsidRPr="00746F60" w:rsidRDefault="0059163A" w:rsidP="00F03C13">
    <w:pPr>
      <w:spacing w:line="480" w:lineRule="auto"/>
      <w:ind w:right="144"/>
      <w:contextualSpacing/>
      <w:jc w:val="right"/>
      <w:rPr>
        <w:rFonts w:ascii="Times New Roman" w:hAnsi="Times New Roman"/>
        <w:b/>
        <w:color w:val="A6A6A6"/>
        <w:sz w:val="32"/>
        <w:szCs w:val="32"/>
        <w:lang w:val="es-ES_tradnl"/>
      </w:rPr>
    </w:pPr>
    <w:r w:rsidRPr="00746F60">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B</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EEA48" w14:textId="77777777" w:rsidR="0059163A" w:rsidRPr="00730C89" w:rsidRDefault="0059163A" w:rsidP="00730C89">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EF52B" w14:textId="77777777" w:rsidR="0059163A" w:rsidRPr="00AC313A" w:rsidRDefault="0059163A" w:rsidP="00F03C13">
    <w:pPr>
      <w:ind w:right="144"/>
      <w:contextualSpacing/>
      <w:jc w:val="right"/>
      <w:rPr>
        <w:rFonts w:ascii="Times New Roman" w:hAnsi="Times New Roman"/>
        <w:b/>
        <w:color w:val="A6A6A6"/>
        <w:sz w:val="32"/>
        <w:szCs w:val="32"/>
        <w:lang w:val="es-ES_tradnl"/>
      </w:rPr>
    </w:pPr>
    <w:r w:rsidRPr="00AC313A">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B</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68CD8" w14:textId="77777777" w:rsidR="0059163A" w:rsidRPr="00E24367" w:rsidRDefault="0059163A" w:rsidP="003547E0">
    <w:pPr>
      <w:spacing w:line="480" w:lineRule="auto"/>
      <w:ind w:right="144"/>
      <w:contextualSpacing/>
      <w:jc w:val="right"/>
      <w:rPr>
        <w:rFonts w:ascii="Times New Roman" w:hAnsi="Times New Roman"/>
        <w:b/>
        <w:color w:val="A6A6A6"/>
        <w:sz w:val="32"/>
        <w:szCs w:val="32"/>
        <w:lang w:val="es-ES_tradnl"/>
      </w:rPr>
    </w:pPr>
    <w:r w:rsidRPr="00E24367">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C</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F0416F" w14:textId="77777777" w:rsidR="0059163A" w:rsidRPr="00AB0F28" w:rsidRDefault="0059163A" w:rsidP="00AB0F28">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41C33" w14:textId="77777777" w:rsidR="0059163A" w:rsidRPr="00E24367" w:rsidRDefault="0059163A" w:rsidP="00F03C13">
    <w:pPr>
      <w:spacing w:line="480" w:lineRule="auto"/>
      <w:ind w:right="144"/>
      <w:contextualSpacing/>
      <w:jc w:val="right"/>
      <w:rPr>
        <w:rFonts w:ascii="Times New Roman" w:hAnsi="Times New Roman"/>
        <w:b/>
        <w:color w:val="A6A6A6"/>
        <w:sz w:val="32"/>
        <w:szCs w:val="32"/>
        <w:lang w:val="es-ES_tradnl"/>
      </w:rPr>
    </w:pPr>
    <w:r w:rsidRPr="00E24367">
      <w:rPr>
        <w:rFonts w:ascii="Times New Roman" w:hAnsi="Times New Roman"/>
        <w:b/>
        <w:color w:val="A6A6A6"/>
        <w:sz w:val="32"/>
        <w:szCs w:val="32"/>
        <w:lang w:val="es-ES_tradnl"/>
      </w:rPr>
      <w:t xml:space="preserve">Anexo </w:t>
    </w:r>
    <w:r>
      <w:rPr>
        <w:rFonts w:ascii="Times New Roman" w:hAnsi="Times New Roman"/>
        <w:b/>
        <w:color w:val="A6A6A6"/>
        <w:sz w:val="32"/>
        <w:szCs w:val="32"/>
        <w:lang w:val="es-ES_tradnl"/>
      </w:rPr>
      <w:t>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85F73"/>
    <w:multiLevelType w:val="hybridMultilevel"/>
    <w:tmpl w:val="F39AF0E6"/>
    <w:lvl w:ilvl="0" w:tplc="278EF2A6">
      <w:start w:val="1"/>
      <w:numFmt w:val="bullet"/>
      <w:lvlText w:val="o"/>
      <w:lvlJc w:val="left"/>
      <w:pPr>
        <w:ind w:left="1440" w:hanging="360"/>
      </w:pPr>
      <w:rPr>
        <w:rFonts w:ascii="Courier New" w:hAnsi="Courier New" w:cs="Courier New" w:hint="default"/>
        <w:color w:val="auto"/>
      </w:rPr>
    </w:lvl>
    <w:lvl w:ilvl="1" w:tplc="1C0A0003">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 w15:restartNumberingAfterBreak="0">
    <w:nsid w:val="05925B39"/>
    <w:multiLevelType w:val="hybridMultilevel"/>
    <w:tmpl w:val="A866E74A"/>
    <w:lvl w:ilvl="0" w:tplc="0C0A0001">
      <w:start w:val="1"/>
      <w:numFmt w:val="bullet"/>
      <w:lvlText w:val=""/>
      <w:lvlJc w:val="left"/>
      <w:pPr>
        <w:tabs>
          <w:tab w:val="num" w:pos="928"/>
        </w:tabs>
        <w:ind w:left="928" w:hanging="360"/>
      </w:pPr>
      <w:rPr>
        <w:rFonts w:ascii="Symbol" w:hAnsi="Symbol" w:hint="default"/>
      </w:rPr>
    </w:lvl>
    <w:lvl w:ilvl="1" w:tplc="0C0A0003">
      <w:start w:val="1"/>
      <w:numFmt w:val="decimal"/>
      <w:lvlText w:val="%2."/>
      <w:lvlJc w:val="left"/>
      <w:pPr>
        <w:tabs>
          <w:tab w:val="num" w:pos="2008"/>
        </w:tabs>
        <w:ind w:left="2008" w:hanging="360"/>
      </w:pPr>
    </w:lvl>
    <w:lvl w:ilvl="2" w:tplc="0C0A0005">
      <w:start w:val="1"/>
      <w:numFmt w:val="decimal"/>
      <w:lvlText w:val="%3."/>
      <w:lvlJc w:val="left"/>
      <w:pPr>
        <w:tabs>
          <w:tab w:val="num" w:pos="2728"/>
        </w:tabs>
        <w:ind w:left="2728" w:hanging="360"/>
      </w:pPr>
    </w:lvl>
    <w:lvl w:ilvl="3" w:tplc="0C0A0001">
      <w:start w:val="1"/>
      <w:numFmt w:val="decimal"/>
      <w:lvlText w:val="%4."/>
      <w:lvlJc w:val="left"/>
      <w:pPr>
        <w:tabs>
          <w:tab w:val="num" w:pos="3448"/>
        </w:tabs>
        <w:ind w:left="3448" w:hanging="360"/>
      </w:pPr>
    </w:lvl>
    <w:lvl w:ilvl="4" w:tplc="0C0A0003">
      <w:start w:val="1"/>
      <w:numFmt w:val="decimal"/>
      <w:lvlText w:val="%5."/>
      <w:lvlJc w:val="left"/>
      <w:pPr>
        <w:tabs>
          <w:tab w:val="num" w:pos="4168"/>
        </w:tabs>
        <w:ind w:left="4168" w:hanging="360"/>
      </w:pPr>
    </w:lvl>
    <w:lvl w:ilvl="5" w:tplc="0C0A0005">
      <w:start w:val="1"/>
      <w:numFmt w:val="decimal"/>
      <w:lvlText w:val="%6."/>
      <w:lvlJc w:val="left"/>
      <w:pPr>
        <w:tabs>
          <w:tab w:val="num" w:pos="4888"/>
        </w:tabs>
        <w:ind w:left="4888" w:hanging="360"/>
      </w:pPr>
    </w:lvl>
    <w:lvl w:ilvl="6" w:tplc="0C0A0001">
      <w:start w:val="1"/>
      <w:numFmt w:val="decimal"/>
      <w:lvlText w:val="%7."/>
      <w:lvlJc w:val="left"/>
      <w:pPr>
        <w:tabs>
          <w:tab w:val="num" w:pos="5608"/>
        </w:tabs>
        <w:ind w:left="5608" w:hanging="360"/>
      </w:pPr>
    </w:lvl>
    <w:lvl w:ilvl="7" w:tplc="0C0A0003">
      <w:start w:val="1"/>
      <w:numFmt w:val="decimal"/>
      <w:lvlText w:val="%8."/>
      <w:lvlJc w:val="left"/>
      <w:pPr>
        <w:tabs>
          <w:tab w:val="num" w:pos="6328"/>
        </w:tabs>
        <w:ind w:left="6328" w:hanging="360"/>
      </w:pPr>
    </w:lvl>
    <w:lvl w:ilvl="8" w:tplc="0C0A0005">
      <w:start w:val="1"/>
      <w:numFmt w:val="decimal"/>
      <w:lvlText w:val="%9."/>
      <w:lvlJc w:val="left"/>
      <w:pPr>
        <w:tabs>
          <w:tab w:val="num" w:pos="7048"/>
        </w:tabs>
        <w:ind w:left="7048" w:hanging="360"/>
      </w:pPr>
    </w:lvl>
  </w:abstractNum>
  <w:abstractNum w:abstractNumId="2" w15:restartNumberingAfterBreak="0">
    <w:nsid w:val="05EE199B"/>
    <w:multiLevelType w:val="hybridMultilevel"/>
    <w:tmpl w:val="334A10C8"/>
    <w:lvl w:ilvl="0" w:tplc="478E67BA">
      <w:start w:val="1"/>
      <w:numFmt w:val="decimal"/>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07B85BAD"/>
    <w:multiLevelType w:val="hybridMultilevel"/>
    <w:tmpl w:val="82186ECA"/>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 w15:restartNumberingAfterBreak="0">
    <w:nsid w:val="09065BEC"/>
    <w:multiLevelType w:val="hybridMultilevel"/>
    <w:tmpl w:val="CBD07F04"/>
    <w:lvl w:ilvl="0" w:tplc="C6CE76E0">
      <w:start w:val="1"/>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5" w15:restartNumberingAfterBreak="0">
    <w:nsid w:val="092F7800"/>
    <w:multiLevelType w:val="hybridMultilevel"/>
    <w:tmpl w:val="17CA211C"/>
    <w:lvl w:ilvl="0" w:tplc="1C0A0001">
      <w:start w:val="1"/>
      <w:numFmt w:val="bullet"/>
      <w:lvlText w:val=""/>
      <w:lvlJc w:val="left"/>
      <w:pPr>
        <w:ind w:left="502" w:hanging="360"/>
      </w:pPr>
      <w:rPr>
        <w:rFonts w:ascii="Symbol" w:hAnsi="Symbol" w:hint="default"/>
      </w:rPr>
    </w:lvl>
    <w:lvl w:ilvl="1" w:tplc="93FA7BDC">
      <w:start w:val="5"/>
      <w:numFmt w:val="bullet"/>
      <w:lvlText w:val="-"/>
      <w:lvlJc w:val="left"/>
      <w:pPr>
        <w:ind w:left="1637" w:hanging="360"/>
      </w:pPr>
      <w:rPr>
        <w:rFonts w:ascii="Century Gothic" w:eastAsia="Times New Roman" w:hAnsi="Century Gothic" w:cs="Times New Roman" w:hint="default"/>
        <w:color w:val="auto"/>
      </w:rPr>
    </w:lvl>
    <w:lvl w:ilvl="2" w:tplc="1C0A0005" w:tentative="1">
      <w:start w:val="1"/>
      <w:numFmt w:val="bullet"/>
      <w:lvlText w:val=""/>
      <w:lvlJc w:val="left"/>
      <w:pPr>
        <w:ind w:left="1942" w:hanging="360"/>
      </w:pPr>
      <w:rPr>
        <w:rFonts w:ascii="Wingdings" w:hAnsi="Wingdings" w:hint="default"/>
      </w:rPr>
    </w:lvl>
    <w:lvl w:ilvl="3" w:tplc="1C0A0001" w:tentative="1">
      <w:start w:val="1"/>
      <w:numFmt w:val="bullet"/>
      <w:lvlText w:val=""/>
      <w:lvlJc w:val="left"/>
      <w:pPr>
        <w:ind w:left="2662" w:hanging="360"/>
      </w:pPr>
      <w:rPr>
        <w:rFonts w:ascii="Symbol" w:hAnsi="Symbol" w:hint="default"/>
      </w:rPr>
    </w:lvl>
    <w:lvl w:ilvl="4" w:tplc="1C0A0003" w:tentative="1">
      <w:start w:val="1"/>
      <w:numFmt w:val="bullet"/>
      <w:lvlText w:val="o"/>
      <w:lvlJc w:val="left"/>
      <w:pPr>
        <w:ind w:left="3382" w:hanging="360"/>
      </w:pPr>
      <w:rPr>
        <w:rFonts w:ascii="Courier New" w:hAnsi="Courier New" w:cs="Courier New" w:hint="default"/>
      </w:rPr>
    </w:lvl>
    <w:lvl w:ilvl="5" w:tplc="1C0A0005" w:tentative="1">
      <w:start w:val="1"/>
      <w:numFmt w:val="bullet"/>
      <w:lvlText w:val=""/>
      <w:lvlJc w:val="left"/>
      <w:pPr>
        <w:ind w:left="4102" w:hanging="360"/>
      </w:pPr>
      <w:rPr>
        <w:rFonts w:ascii="Wingdings" w:hAnsi="Wingdings" w:hint="default"/>
      </w:rPr>
    </w:lvl>
    <w:lvl w:ilvl="6" w:tplc="1C0A0001" w:tentative="1">
      <w:start w:val="1"/>
      <w:numFmt w:val="bullet"/>
      <w:lvlText w:val=""/>
      <w:lvlJc w:val="left"/>
      <w:pPr>
        <w:ind w:left="4822" w:hanging="360"/>
      </w:pPr>
      <w:rPr>
        <w:rFonts w:ascii="Symbol" w:hAnsi="Symbol" w:hint="default"/>
      </w:rPr>
    </w:lvl>
    <w:lvl w:ilvl="7" w:tplc="1C0A0003" w:tentative="1">
      <w:start w:val="1"/>
      <w:numFmt w:val="bullet"/>
      <w:lvlText w:val="o"/>
      <w:lvlJc w:val="left"/>
      <w:pPr>
        <w:ind w:left="5542" w:hanging="360"/>
      </w:pPr>
      <w:rPr>
        <w:rFonts w:ascii="Courier New" w:hAnsi="Courier New" w:cs="Courier New" w:hint="default"/>
      </w:rPr>
    </w:lvl>
    <w:lvl w:ilvl="8" w:tplc="1C0A0005" w:tentative="1">
      <w:start w:val="1"/>
      <w:numFmt w:val="bullet"/>
      <w:lvlText w:val=""/>
      <w:lvlJc w:val="left"/>
      <w:pPr>
        <w:ind w:left="6262" w:hanging="360"/>
      </w:pPr>
      <w:rPr>
        <w:rFonts w:ascii="Wingdings" w:hAnsi="Wingdings" w:hint="default"/>
      </w:rPr>
    </w:lvl>
  </w:abstractNum>
  <w:abstractNum w:abstractNumId="6" w15:restartNumberingAfterBreak="0">
    <w:nsid w:val="0B462655"/>
    <w:multiLevelType w:val="hybridMultilevel"/>
    <w:tmpl w:val="A120B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CA07529"/>
    <w:multiLevelType w:val="multilevel"/>
    <w:tmpl w:val="EA6CD3C6"/>
    <w:lvl w:ilvl="0">
      <w:start w:val="1"/>
      <w:numFmt w:val="decimal"/>
      <w:lvlText w:val="%1."/>
      <w:lvlJc w:val="left"/>
      <w:pPr>
        <w:ind w:left="720" w:hanging="360"/>
      </w:pPr>
      <w:rPr>
        <w:rFonts w:ascii="Times New Roman" w:eastAsiaTheme="minorHAnsi" w:hAnsi="Times New Roman"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0D63399C"/>
    <w:multiLevelType w:val="hybridMultilevel"/>
    <w:tmpl w:val="AB64968E"/>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9" w15:restartNumberingAfterBreak="0">
    <w:nsid w:val="102B67CD"/>
    <w:multiLevelType w:val="hybridMultilevel"/>
    <w:tmpl w:val="EDC67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EB6EE2"/>
    <w:multiLevelType w:val="hybridMultilevel"/>
    <w:tmpl w:val="6AA833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78864F3"/>
    <w:multiLevelType w:val="hybridMultilevel"/>
    <w:tmpl w:val="DC3C7294"/>
    <w:lvl w:ilvl="0" w:tplc="93FA7BDC">
      <w:start w:val="5"/>
      <w:numFmt w:val="bullet"/>
      <w:lvlText w:val="-"/>
      <w:lvlJc w:val="left"/>
      <w:pPr>
        <w:ind w:left="1440" w:hanging="360"/>
      </w:pPr>
      <w:rPr>
        <w:rFonts w:ascii="Century Gothic" w:eastAsia="Times New Roman" w:hAnsi="Century Gothic" w:cs="Times New Roman" w:hint="default"/>
        <w:color w:val="auto"/>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2" w15:restartNumberingAfterBreak="0">
    <w:nsid w:val="185E7215"/>
    <w:multiLevelType w:val="hybridMultilevel"/>
    <w:tmpl w:val="168EB12A"/>
    <w:lvl w:ilvl="0" w:tplc="04BAD2B0">
      <w:start w:val="1"/>
      <w:numFmt w:val="decimal"/>
      <w:lvlText w:val="Tabla %1:"/>
      <w:lvlJc w:val="left"/>
      <w:pPr>
        <w:ind w:left="644" w:hanging="360"/>
      </w:pPr>
      <w:rPr>
        <w:rFonts w:ascii="Times New Roman" w:hAnsi="Times New Roman" w:hint="default"/>
        <w:b/>
        <w:i w:val="0"/>
        <w:color w:val="auto"/>
        <w:sz w:val="24"/>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3" w15:restartNumberingAfterBreak="0">
    <w:nsid w:val="193C55C4"/>
    <w:multiLevelType w:val="hybridMultilevel"/>
    <w:tmpl w:val="27740670"/>
    <w:lvl w:ilvl="0" w:tplc="93FA7BDC">
      <w:start w:val="5"/>
      <w:numFmt w:val="bullet"/>
      <w:lvlText w:val="-"/>
      <w:lvlJc w:val="left"/>
      <w:pPr>
        <w:ind w:left="1440" w:hanging="360"/>
      </w:pPr>
      <w:rPr>
        <w:rFonts w:ascii="Century Gothic" w:eastAsia="Times New Roman" w:hAnsi="Century Gothic" w:cs="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D54504A"/>
    <w:multiLevelType w:val="hybridMultilevel"/>
    <w:tmpl w:val="EDF44896"/>
    <w:lvl w:ilvl="0" w:tplc="215ACC1E">
      <w:start w:val="1"/>
      <w:numFmt w:val="decimal"/>
      <w:lvlText w:val="%1."/>
      <w:lvlJc w:val="left"/>
      <w:pPr>
        <w:ind w:left="2136" w:hanging="360"/>
      </w:pPr>
      <w:rPr>
        <w:rFonts w:hint="default"/>
        <w:b/>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15" w15:restartNumberingAfterBreak="0">
    <w:nsid w:val="1E764F9D"/>
    <w:multiLevelType w:val="hybridMultilevel"/>
    <w:tmpl w:val="095A1B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9542D8C"/>
    <w:multiLevelType w:val="hybridMultilevel"/>
    <w:tmpl w:val="5C302C7A"/>
    <w:lvl w:ilvl="0" w:tplc="97EE05DA">
      <w:start w:val="1"/>
      <w:numFmt w:val="decimal"/>
      <w:lvlText w:val="Gráfico %1: "/>
      <w:lvlJc w:val="left"/>
      <w:pPr>
        <w:ind w:left="644" w:hanging="360"/>
      </w:pPr>
      <w:rPr>
        <w:rFonts w:ascii="Times New Roman" w:hAnsi="Times New Roman" w:hint="default"/>
        <w:b/>
        <w:i w:val="0"/>
        <w:color w:val="auto"/>
        <w:sz w:val="24"/>
        <w:szCs w:val="24"/>
        <w:lang w:val="es-ES_tradnl"/>
      </w:rPr>
    </w:lvl>
    <w:lvl w:ilvl="1" w:tplc="1C0A0001">
      <w:start w:val="1"/>
      <w:numFmt w:val="bullet"/>
      <w:lvlText w:val=""/>
      <w:lvlJc w:val="left"/>
      <w:pPr>
        <w:ind w:left="796" w:hanging="720"/>
      </w:pPr>
      <w:rPr>
        <w:rFonts w:ascii="Symbol" w:hAnsi="Symbol" w:hint="default"/>
      </w:rPr>
    </w:lvl>
    <w:lvl w:ilvl="2" w:tplc="1C0A001B" w:tentative="1">
      <w:start w:val="1"/>
      <w:numFmt w:val="lowerRoman"/>
      <w:lvlText w:val="%3."/>
      <w:lvlJc w:val="right"/>
      <w:pPr>
        <w:ind w:left="1156" w:hanging="180"/>
      </w:pPr>
    </w:lvl>
    <w:lvl w:ilvl="3" w:tplc="1C0A000F" w:tentative="1">
      <w:start w:val="1"/>
      <w:numFmt w:val="decimal"/>
      <w:lvlText w:val="%4."/>
      <w:lvlJc w:val="left"/>
      <w:pPr>
        <w:ind w:left="1876" w:hanging="360"/>
      </w:pPr>
    </w:lvl>
    <w:lvl w:ilvl="4" w:tplc="1C0A0019" w:tentative="1">
      <w:start w:val="1"/>
      <w:numFmt w:val="lowerLetter"/>
      <w:lvlText w:val="%5."/>
      <w:lvlJc w:val="left"/>
      <w:pPr>
        <w:ind w:left="2596" w:hanging="360"/>
      </w:pPr>
    </w:lvl>
    <w:lvl w:ilvl="5" w:tplc="1C0A001B" w:tentative="1">
      <w:start w:val="1"/>
      <w:numFmt w:val="lowerRoman"/>
      <w:lvlText w:val="%6."/>
      <w:lvlJc w:val="right"/>
      <w:pPr>
        <w:ind w:left="3316" w:hanging="180"/>
      </w:pPr>
    </w:lvl>
    <w:lvl w:ilvl="6" w:tplc="1C0A000F" w:tentative="1">
      <w:start w:val="1"/>
      <w:numFmt w:val="decimal"/>
      <w:lvlText w:val="%7."/>
      <w:lvlJc w:val="left"/>
      <w:pPr>
        <w:ind w:left="4036" w:hanging="360"/>
      </w:pPr>
    </w:lvl>
    <w:lvl w:ilvl="7" w:tplc="1C0A0019" w:tentative="1">
      <w:start w:val="1"/>
      <w:numFmt w:val="lowerLetter"/>
      <w:lvlText w:val="%8."/>
      <w:lvlJc w:val="left"/>
      <w:pPr>
        <w:ind w:left="4756" w:hanging="360"/>
      </w:pPr>
    </w:lvl>
    <w:lvl w:ilvl="8" w:tplc="1C0A001B" w:tentative="1">
      <w:start w:val="1"/>
      <w:numFmt w:val="lowerRoman"/>
      <w:lvlText w:val="%9."/>
      <w:lvlJc w:val="right"/>
      <w:pPr>
        <w:ind w:left="5476" w:hanging="180"/>
      </w:pPr>
    </w:lvl>
  </w:abstractNum>
  <w:abstractNum w:abstractNumId="17" w15:restartNumberingAfterBreak="0">
    <w:nsid w:val="2A9D773B"/>
    <w:multiLevelType w:val="hybridMultilevel"/>
    <w:tmpl w:val="9112C44A"/>
    <w:lvl w:ilvl="0" w:tplc="C62AD04A">
      <w:start w:val="1"/>
      <w:numFmt w:val="upperLetter"/>
      <w:lvlText w:val="%1."/>
      <w:lvlJc w:val="left"/>
      <w:pPr>
        <w:ind w:left="360" w:hanging="360"/>
      </w:pPr>
      <w:rPr>
        <w:rFonts w:hint="default"/>
        <w:b/>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3061F55"/>
    <w:multiLevelType w:val="hybridMultilevel"/>
    <w:tmpl w:val="BB982F7A"/>
    <w:lvl w:ilvl="0" w:tplc="04090001">
      <w:start w:val="1"/>
      <w:numFmt w:val="bullet"/>
      <w:lvlText w:val=""/>
      <w:lvlJc w:val="left"/>
      <w:pPr>
        <w:ind w:left="1080" w:hanging="360"/>
      </w:pPr>
      <w:rPr>
        <w:rFonts w:ascii="Symbol" w:hAnsi="Symbol"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9" w15:restartNumberingAfterBreak="0">
    <w:nsid w:val="33E51D37"/>
    <w:multiLevelType w:val="hybridMultilevel"/>
    <w:tmpl w:val="FFBEB786"/>
    <w:lvl w:ilvl="0" w:tplc="41327908">
      <w:start w:val="1"/>
      <w:numFmt w:val="upp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A2C6D17"/>
    <w:multiLevelType w:val="hybridMultilevel"/>
    <w:tmpl w:val="D182FBEC"/>
    <w:lvl w:ilvl="0" w:tplc="4FC81CB2">
      <w:start w:val="1"/>
      <w:numFmt w:val="decimal"/>
      <w:lvlText w:val="%1."/>
      <w:lvlJc w:val="left"/>
      <w:pPr>
        <w:ind w:left="786" w:hanging="360"/>
      </w:pPr>
      <w:rPr>
        <w:rFonts w:hint="default"/>
        <w:sz w:val="28"/>
        <w:szCs w:val="24"/>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1" w15:restartNumberingAfterBreak="0">
    <w:nsid w:val="3D510906"/>
    <w:multiLevelType w:val="hybridMultilevel"/>
    <w:tmpl w:val="B2560964"/>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2" w15:restartNumberingAfterBreak="0">
    <w:nsid w:val="3DAB1AD4"/>
    <w:multiLevelType w:val="hybridMultilevel"/>
    <w:tmpl w:val="BA306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5F16807"/>
    <w:multiLevelType w:val="hybridMultilevel"/>
    <w:tmpl w:val="5B16E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6DC2892"/>
    <w:multiLevelType w:val="hybridMultilevel"/>
    <w:tmpl w:val="9062758C"/>
    <w:lvl w:ilvl="0" w:tplc="15E2D45E">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A282E25"/>
    <w:multiLevelType w:val="hybridMultilevel"/>
    <w:tmpl w:val="044C2B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CCB3FE9"/>
    <w:multiLevelType w:val="hybridMultilevel"/>
    <w:tmpl w:val="3C8E5F18"/>
    <w:lvl w:ilvl="0" w:tplc="E6607FCC">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CF5055F"/>
    <w:multiLevelType w:val="hybridMultilevel"/>
    <w:tmpl w:val="BFCEC310"/>
    <w:lvl w:ilvl="0" w:tplc="1C0A0001">
      <w:start w:val="1"/>
      <w:numFmt w:val="bullet"/>
      <w:lvlText w:val=""/>
      <w:lvlJc w:val="left"/>
      <w:pPr>
        <w:ind w:left="295" w:hanging="360"/>
      </w:pPr>
      <w:rPr>
        <w:rFonts w:ascii="Symbol" w:hAnsi="Symbol" w:hint="default"/>
      </w:rPr>
    </w:lvl>
    <w:lvl w:ilvl="1" w:tplc="93FA7BDC">
      <w:start w:val="5"/>
      <w:numFmt w:val="bullet"/>
      <w:lvlText w:val="-"/>
      <w:lvlJc w:val="left"/>
      <w:pPr>
        <w:ind w:left="1015" w:hanging="360"/>
      </w:pPr>
      <w:rPr>
        <w:rFonts w:ascii="Century Gothic" w:eastAsia="Times New Roman" w:hAnsi="Century Gothic" w:cs="Times New Roman" w:hint="default"/>
        <w:color w:val="auto"/>
      </w:rPr>
    </w:lvl>
    <w:lvl w:ilvl="2" w:tplc="1C0A0005" w:tentative="1">
      <w:start w:val="1"/>
      <w:numFmt w:val="bullet"/>
      <w:lvlText w:val=""/>
      <w:lvlJc w:val="left"/>
      <w:pPr>
        <w:ind w:left="1735" w:hanging="360"/>
      </w:pPr>
      <w:rPr>
        <w:rFonts w:ascii="Wingdings" w:hAnsi="Wingdings" w:hint="default"/>
      </w:rPr>
    </w:lvl>
    <w:lvl w:ilvl="3" w:tplc="1C0A0001" w:tentative="1">
      <w:start w:val="1"/>
      <w:numFmt w:val="bullet"/>
      <w:lvlText w:val=""/>
      <w:lvlJc w:val="left"/>
      <w:pPr>
        <w:ind w:left="2455" w:hanging="360"/>
      </w:pPr>
      <w:rPr>
        <w:rFonts w:ascii="Symbol" w:hAnsi="Symbol" w:hint="default"/>
      </w:rPr>
    </w:lvl>
    <w:lvl w:ilvl="4" w:tplc="1C0A0003" w:tentative="1">
      <w:start w:val="1"/>
      <w:numFmt w:val="bullet"/>
      <w:lvlText w:val="o"/>
      <w:lvlJc w:val="left"/>
      <w:pPr>
        <w:ind w:left="3175" w:hanging="360"/>
      </w:pPr>
      <w:rPr>
        <w:rFonts w:ascii="Courier New" w:hAnsi="Courier New" w:cs="Courier New" w:hint="default"/>
      </w:rPr>
    </w:lvl>
    <w:lvl w:ilvl="5" w:tplc="1C0A0005" w:tentative="1">
      <w:start w:val="1"/>
      <w:numFmt w:val="bullet"/>
      <w:lvlText w:val=""/>
      <w:lvlJc w:val="left"/>
      <w:pPr>
        <w:ind w:left="3895" w:hanging="360"/>
      </w:pPr>
      <w:rPr>
        <w:rFonts w:ascii="Wingdings" w:hAnsi="Wingdings" w:hint="default"/>
      </w:rPr>
    </w:lvl>
    <w:lvl w:ilvl="6" w:tplc="1C0A0001" w:tentative="1">
      <w:start w:val="1"/>
      <w:numFmt w:val="bullet"/>
      <w:lvlText w:val=""/>
      <w:lvlJc w:val="left"/>
      <w:pPr>
        <w:ind w:left="4615" w:hanging="360"/>
      </w:pPr>
      <w:rPr>
        <w:rFonts w:ascii="Symbol" w:hAnsi="Symbol" w:hint="default"/>
      </w:rPr>
    </w:lvl>
    <w:lvl w:ilvl="7" w:tplc="1C0A0003" w:tentative="1">
      <w:start w:val="1"/>
      <w:numFmt w:val="bullet"/>
      <w:lvlText w:val="o"/>
      <w:lvlJc w:val="left"/>
      <w:pPr>
        <w:ind w:left="5335" w:hanging="360"/>
      </w:pPr>
      <w:rPr>
        <w:rFonts w:ascii="Courier New" w:hAnsi="Courier New" w:cs="Courier New" w:hint="default"/>
      </w:rPr>
    </w:lvl>
    <w:lvl w:ilvl="8" w:tplc="1C0A0005" w:tentative="1">
      <w:start w:val="1"/>
      <w:numFmt w:val="bullet"/>
      <w:lvlText w:val=""/>
      <w:lvlJc w:val="left"/>
      <w:pPr>
        <w:ind w:left="6055" w:hanging="360"/>
      </w:pPr>
      <w:rPr>
        <w:rFonts w:ascii="Wingdings" w:hAnsi="Wingdings" w:hint="default"/>
      </w:rPr>
    </w:lvl>
  </w:abstractNum>
  <w:abstractNum w:abstractNumId="28" w15:restartNumberingAfterBreak="0">
    <w:nsid w:val="4E043C64"/>
    <w:multiLevelType w:val="hybridMultilevel"/>
    <w:tmpl w:val="23946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3D3FC0"/>
    <w:multiLevelType w:val="hybridMultilevel"/>
    <w:tmpl w:val="EDFC8C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2A016B7"/>
    <w:multiLevelType w:val="hybridMultilevel"/>
    <w:tmpl w:val="46F81636"/>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720" w:hanging="360"/>
      </w:pPr>
      <w:rPr>
        <w:rFonts w:ascii="Courier New" w:hAnsi="Courier New" w:cs="Courier New" w:hint="default"/>
      </w:rPr>
    </w:lvl>
    <w:lvl w:ilvl="2" w:tplc="1C0A0005">
      <w:start w:val="1"/>
      <w:numFmt w:val="bullet"/>
      <w:lvlText w:val=""/>
      <w:lvlJc w:val="left"/>
      <w:pPr>
        <w:ind w:left="1440" w:hanging="360"/>
      </w:pPr>
      <w:rPr>
        <w:rFonts w:ascii="Wingdings" w:hAnsi="Wingdings" w:hint="default"/>
      </w:rPr>
    </w:lvl>
    <w:lvl w:ilvl="3" w:tplc="1C0A0001" w:tentative="1">
      <w:start w:val="1"/>
      <w:numFmt w:val="bullet"/>
      <w:lvlText w:val=""/>
      <w:lvlJc w:val="left"/>
      <w:pPr>
        <w:ind w:left="2160" w:hanging="360"/>
      </w:pPr>
      <w:rPr>
        <w:rFonts w:ascii="Symbol" w:hAnsi="Symbol" w:hint="default"/>
      </w:rPr>
    </w:lvl>
    <w:lvl w:ilvl="4" w:tplc="1C0A0003" w:tentative="1">
      <w:start w:val="1"/>
      <w:numFmt w:val="bullet"/>
      <w:lvlText w:val="o"/>
      <w:lvlJc w:val="left"/>
      <w:pPr>
        <w:ind w:left="2880" w:hanging="360"/>
      </w:pPr>
      <w:rPr>
        <w:rFonts w:ascii="Courier New" w:hAnsi="Courier New" w:cs="Courier New" w:hint="default"/>
      </w:rPr>
    </w:lvl>
    <w:lvl w:ilvl="5" w:tplc="1C0A0005" w:tentative="1">
      <w:start w:val="1"/>
      <w:numFmt w:val="bullet"/>
      <w:lvlText w:val=""/>
      <w:lvlJc w:val="left"/>
      <w:pPr>
        <w:ind w:left="3600" w:hanging="360"/>
      </w:pPr>
      <w:rPr>
        <w:rFonts w:ascii="Wingdings" w:hAnsi="Wingdings" w:hint="default"/>
      </w:rPr>
    </w:lvl>
    <w:lvl w:ilvl="6" w:tplc="1C0A0001" w:tentative="1">
      <w:start w:val="1"/>
      <w:numFmt w:val="bullet"/>
      <w:lvlText w:val=""/>
      <w:lvlJc w:val="left"/>
      <w:pPr>
        <w:ind w:left="4320" w:hanging="360"/>
      </w:pPr>
      <w:rPr>
        <w:rFonts w:ascii="Symbol" w:hAnsi="Symbol" w:hint="default"/>
      </w:rPr>
    </w:lvl>
    <w:lvl w:ilvl="7" w:tplc="1C0A0003" w:tentative="1">
      <w:start w:val="1"/>
      <w:numFmt w:val="bullet"/>
      <w:lvlText w:val="o"/>
      <w:lvlJc w:val="left"/>
      <w:pPr>
        <w:ind w:left="5040" w:hanging="360"/>
      </w:pPr>
      <w:rPr>
        <w:rFonts w:ascii="Courier New" w:hAnsi="Courier New" w:cs="Courier New" w:hint="default"/>
      </w:rPr>
    </w:lvl>
    <w:lvl w:ilvl="8" w:tplc="1C0A0005" w:tentative="1">
      <w:start w:val="1"/>
      <w:numFmt w:val="bullet"/>
      <w:lvlText w:val=""/>
      <w:lvlJc w:val="left"/>
      <w:pPr>
        <w:ind w:left="5760" w:hanging="360"/>
      </w:pPr>
      <w:rPr>
        <w:rFonts w:ascii="Wingdings" w:hAnsi="Wingdings" w:hint="default"/>
      </w:rPr>
    </w:lvl>
  </w:abstractNum>
  <w:abstractNum w:abstractNumId="31" w15:restartNumberingAfterBreak="0">
    <w:nsid w:val="584178ED"/>
    <w:multiLevelType w:val="hybridMultilevel"/>
    <w:tmpl w:val="DEDC46DC"/>
    <w:lvl w:ilvl="0" w:tplc="1C0A0011">
      <w:start w:val="1"/>
      <w:numFmt w:val="decimal"/>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32" w15:restartNumberingAfterBreak="0">
    <w:nsid w:val="5A721B52"/>
    <w:multiLevelType w:val="hybridMultilevel"/>
    <w:tmpl w:val="A84C03A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5BCD06FA"/>
    <w:multiLevelType w:val="hybridMultilevel"/>
    <w:tmpl w:val="A0928E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F8A0510"/>
    <w:multiLevelType w:val="hybridMultilevel"/>
    <w:tmpl w:val="AD6CB54E"/>
    <w:lvl w:ilvl="0" w:tplc="1C0A0001">
      <w:start w:val="1"/>
      <w:numFmt w:val="bullet"/>
      <w:lvlText w:val=""/>
      <w:lvlJc w:val="left"/>
      <w:pPr>
        <w:ind w:left="-708" w:hanging="360"/>
      </w:pPr>
      <w:rPr>
        <w:rFonts w:ascii="Symbol" w:hAnsi="Symbol" w:hint="default"/>
      </w:rPr>
    </w:lvl>
    <w:lvl w:ilvl="1" w:tplc="1C0A0003" w:tentative="1">
      <w:start w:val="1"/>
      <w:numFmt w:val="bullet"/>
      <w:lvlText w:val="o"/>
      <w:lvlJc w:val="left"/>
      <w:pPr>
        <w:ind w:left="12" w:hanging="360"/>
      </w:pPr>
      <w:rPr>
        <w:rFonts w:ascii="Courier New" w:hAnsi="Courier New" w:cs="Courier New" w:hint="default"/>
      </w:rPr>
    </w:lvl>
    <w:lvl w:ilvl="2" w:tplc="1C0A0005" w:tentative="1">
      <w:start w:val="1"/>
      <w:numFmt w:val="bullet"/>
      <w:lvlText w:val=""/>
      <w:lvlJc w:val="left"/>
      <w:pPr>
        <w:ind w:left="732" w:hanging="360"/>
      </w:pPr>
      <w:rPr>
        <w:rFonts w:ascii="Wingdings" w:hAnsi="Wingdings" w:hint="default"/>
      </w:rPr>
    </w:lvl>
    <w:lvl w:ilvl="3" w:tplc="1C0A0001" w:tentative="1">
      <w:start w:val="1"/>
      <w:numFmt w:val="bullet"/>
      <w:lvlText w:val=""/>
      <w:lvlJc w:val="left"/>
      <w:pPr>
        <w:ind w:left="1452" w:hanging="360"/>
      </w:pPr>
      <w:rPr>
        <w:rFonts w:ascii="Symbol" w:hAnsi="Symbol" w:hint="default"/>
      </w:rPr>
    </w:lvl>
    <w:lvl w:ilvl="4" w:tplc="1C0A0003" w:tentative="1">
      <w:start w:val="1"/>
      <w:numFmt w:val="bullet"/>
      <w:lvlText w:val="o"/>
      <w:lvlJc w:val="left"/>
      <w:pPr>
        <w:ind w:left="2172" w:hanging="360"/>
      </w:pPr>
      <w:rPr>
        <w:rFonts w:ascii="Courier New" w:hAnsi="Courier New" w:cs="Courier New" w:hint="default"/>
      </w:rPr>
    </w:lvl>
    <w:lvl w:ilvl="5" w:tplc="1C0A0005" w:tentative="1">
      <w:start w:val="1"/>
      <w:numFmt w:val="bullet"/>
      <w:lvlText w:val=""/>
      <w:lvlJc w:val="left"/>
      <w:pPr>
        <w:ind w:left="2892" w:hanging="360"/>
      </w:pPr>
      <w:rPr>
        <w:rFonts w:ascii="Wingdings" w:hAnsi="Wingdings" w:hint="default"/>
      </w:rPr>
    </w:lvl>
    <w:lvl w:ilvl="6" w:tplc="1C0A0001" w:tentative="1">
      <w:start w:val="1"/>
      <w:numFmt w:val="bullet"/>
      <w:lvlText w:val=""/>
      <w:lvlJc w:val="left"/>
      <w:pPr>
        <w:ind w:left="3612" w:hanging="360"/>
      </w:pPr>
      <w:rPr>
        <w:rFonts w:ascii="Symbol" w:hAnsi="Symbol" w:hint="default"/>
      </w:rPr>
    </w:lvl>
    <w:lvl w:ilvl="7" w:tplc="1C0A0003" w:tentative="1">
      <w:start w:val="1"/>
      <w:numFmt w:val="bullet"/>
      <w:lvlText w:val="o"/>
      <w:lvlJc w:val="left"/>
      <w:pPr>
        <w:ind w:left="4332" w:hanging="360"/>
      </w:pPr>
      <w:rPr>
        <w:rFonts w:ascii="Courier New" w:hAnsi="Courier New" w:cs="Courier New" w:hint="default"/>
      </w:rPr>
    </w:lvl>
    <w:lvl w:ilvl="8" w:tplc="1C0A0005" w:tentative="1">
      <w:start w:val="1"/>
      <w:numFmt w:val="bullet"/>
      <w:lvlText w:val=""/>
      <w:lvlJc w:val="left"/>
      <w:pPr>
        <w:ind w:left="5052" w:hanging="360"/>
      </w:pPr>
      <w:rPr>
        <w:rFonts w:ascii="Wingdings" w:hAnsi="Wingdings" w:hint="default"/>
      </w:rPr>
    </w:lvl>
  </w:abstractNum>
  <w:abstractNum w:abstractNumId="35" w15:restartNumberingAfterBreak="0">
    <w:nsid w:val="62E70BAF"/>
    <w:multiLevelType w:val="hybridMultilevel"/>
    <w:tmpl w:val="E8B055E6"/>
    <w:lvl w:ilvl="0" w:tplc="B2948772">
      <w:start w:val="1"/>
      <w:numFmt w:val="bullet"/>
      <w:lvlText w:val=""/>
      <w:lvlJc w:val="left"/>
      <w:pPr>
        <w:ind w:left="1440" w:hanging="360"/>
      </w:pPr>
      <w:rPr>
        <w:rFonts w:ascii="Symbol" w:hAnsi="Symbol" w:hint="default"/>
        <w:color w:val="auto"/>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3A33F5F"/>
    <w:multiLevelType w:val="hybridMultilevel"/>
    <w:tmpl w:val="B218DD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73B0354"/>
    <w:multiLevelType w:val="hybridMultilevel"/>
    <w:tmpl w:val="AD400922"/>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8" w15:restartNumberingAfterBreak="0">
    <w:nsid w:val="68A016EC"/>
    <w:multiLevelType w:val="hybridMultilevel"/>
    <w:tmpl w:val="F476058C"/>
    <w:lvl w:ilvl="0" w:tplc="0D78FE74">
      <w:start w:val="1"/>
      <w:numFmt w:val="bullet"/>
      <w:pStyle w:val="TDC3"/>
      <w:lvlText w:val=""/>
      <w:lvlJc w:val="left"/>
      <w:pPr>
        <w:ind w:left="960" w:hanging="360"/>
      </w:pPr>
      <w:rPr>
        <w:rFonts w:ascii="Wingdings" w:hAnsi="Wingdings" w:hint="default"/>
      </w:rPr>
    </w:lvl>
    <w:lvl w:ilvl="1" w:tplc="1C0A0003" w:tentative="1">
      <w:start w:val="1"/>
      <w:numFmt w:val="bullet"/>
      <w:lvlText w:val="o"/>
      <w:lvlJc w:val="left"/>
      <w:pPr>
        <w:ind w:left="1680" w:hanging="360"/>
      </w:pPr>
      <w:rPr>
        <w:rFonts w:ascii="Courier New" w:hAnsi="Courier New" w:cs="Courier New" w:hint="default"/>
      </w:rPr>
    </w:lvl>
    <w:lvl w:ilvl="2" w:tplc="1C0A0005" w:tentative="1">
      <w:start w:val="1"/>
      <w:numFmt w:val="bullet"/>
      <w:lvlText w:val=""/>
      <w:lvlJc w:val="left"/>
      <w:pPr>
        <w:ind w:left="2400" w:hanging="360"/>
      </w:pPr>
      <w:rPr>
        <w:rFonts w:ascii="Wingdings" w:hAnsi="Wingdings" w:hint="default"/>
      </w:rPr>
    </w:lvl>
    <w:lvl w:ilvl="3" w:tplc="1C0A0001" w:tentative="1">
      <w:start w:val="1"/>
      <w:numFmt w:val="bullet"/>
      <w:lvlText w:val=""/>
      <w:lvlJc w:val="left"/>
      <w:pPr>
        <w:ind w:left="3120" w:hanging="360"/>
      </w:pPr>
      <w:rPr>
        <w:rFonts w:ascii="Symbol" w:hAnsi="Symbol" w:hint="default"/>
      </w:rPr>
    </w:lvl>
    <w:lvl w:ilvl="4" w:tplc="1C0A0003" w:tentative="1">
      <w:start w:val="1"/>
      <w:numFmt w:val="bullet"/>
      <w:lvlText w:val="o"/>
      <w:lvlJc w:val="left"/>
      <w:pPr>
        <w:ind w:left="3840" w:hanging="360"/>
      </w:pPr>
      <w:rPr>
        <w:rFonts w:ascii="Courier New" w:hAnsi="Courier New" w:cs="Courier New" w:hint="default"/>
      </w:rPr>
    </w:lvl>
    <w:lvl w:ilvl="5" w:tplc="1C0A0005" w:tentative="1">
      <w:start w:val="1"/>
      <w:numFmt w:val="bullet"/>
      <w:lvlText w:val=""/>
      <w:lvlJc w:val="left"/>
      <w:pPr>
        <w:ind w:left="4560" w:hanging="360"/>
      </w:pPr>
      <w:rPr>
        <w:rFonts w:ascii="Wingdings" w:hAnsi="Wingdings" w:hint="default"/>
      </w:rPr>
    </w:lvl>
    <w:lvl w:ilvl="6" w:tplc="1C0A0001" w:tentative="1">
      <w:start w:val="1"/>
      <w:numFmt w:val="bullet"/>
      <w:lvlText w:val=""/>
      <w:lvlJc w:val="left"/>
      <w:pPr>
        <w:ind w:left="5280" w:hanging="360"/>
      </w:pPr>
      <w:rPr>
        <w:rFonts w:ascii="Symbol" w:hAnsi="Symbol" w:hint="default"/>
      </w:rPr>
    </w:lvl>
    <w:lvl w:ilvl="7" w:tplc="1C0A0003" w:tentative="1">
      <w:start w:val="1"/>
      <w:numFmt w:val="bullet"/>
      <w:lvlText w:val="o"/>
      <w:lvlJc w:val="left"/>
      <w:pPr>
        <w:ind w:left="6000" w:hanging="360"/>
      </w:pPr>
      <w:rPr>
        <w:rFonts w:ascii="Courier New" w:hAnsi="Courier New" w:cs="Courier New" w:hint="default"/>
      </w:rPr>
    </w:lvl>
    <w:lvl w:ilvl="8" w:tplc="1C0A0005" w:tentative="1">
      <w:start w:val="1"/>
      <w:numFmt w:val="bullet"/>
      <w:lvlText w:val=""/>
      <w:lvlJc w:val="left"/>
      <w:pPr>
        <w:ind w:left="6720" w:hanging="360"/>
      </w:pPr>
      <w:rPr>
        <w:rFonts w:ascii="Wingdings" w:hAnsi="Wingdings" w:hint="default"/>
      </w:rPr>
    </w:lvl>
  </w:abstractNum>
  <w:abstractNum w:abstractNumId="39" w15:restartNumberingAfterBreak="0">
    <w:nsid w:val="6A4B161E"/>
    <w:multiLevelType w:val="hybridMultilevel"/>
    <w:tmpl w:val="CD6E855A"/>
    <w:lvl w:ilvl="0" w:tplc="04DE2528">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0" w15:restartNumberingAfterBreak="0">
    <w:nsid w:val="6B5E5589"/>
    <w:multiLevelType w:val="hybridMultilevel"/>
    <w:tmpl w:val="53706836"/>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1" w15:restartNumberingAfterBreak="0">
    <w:nsid w:val="6BF97FC9"/>
    <w:multiLevelType w:val="hybridMultilevel"/>
    <w:tmpl w:val="2260438C"/>
    <w:lvl w:ilvl="0" w:tplc="E7DEED32">
      <w:start w:val="1"/>
      <w:numFmt w:val="upperRoman"/>
      <w:pStyle w:val="Ttulo1"/>
      <w:lvlText w:val="%1."/>
      <w:lvlJc w:val="right"/>
      <w:pPr>
        <w:ind w:left="360" w:hanging="360"/>
      </w:pPr>
    </w:lvl>
    <w:lvl w:ilvl="1" w:tplc="1C0A0019">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42" w15:restartNumberingAfterBreak="0">
    <w:nsid w:val="6FFE26CA"/>
    <w:multiLevelType w:val="hybridMultilevel"/>
    <w:tmpl w:val="644657E4"/>
    <w:lvl w:ilvl="0" w:tplc="1ABAA128">
      <w:start w:val="1"/>
      <w:numFmt w:val="decimal"/>
      <w:lvlText w:val="Gráfico %1: "/>
      <w:lvlJc w:val="left"/>
      <w:pPr>
        <w:ind w:left="644" w:hanging="360"/>
      </w:pPr>
      <w:rPr>
        <w:rFonts w:ascii="Times New Roman" w:hAnsi="Times New Roman" w:hint="default"/>
        <w:b/>
        <w:i w:val="0"/>
        <w:color w:val="auto"/>
        <w:sz w:val="24"/>
        <w:szCs w:val="24"/>
      </w:rPr>
    </w:lvl>
    <w:lvl w:ilvl="1" w:tplc="1C0A0001">
      <w:start w:val="1"/>
      <w:numFmt w:val="bullet"/>
      <w:lvlText w:val=""/>
      <w:lvlJc w:val="left"/>
      <w:pPr>
        <w:ind w:left="796" w:hanging="720"/>
      </w:pPr>
      <w:rPr>
        <w:rFonts w:ascii="Symbol" w:hAnsi="Symbol" w:hint="default"/>
      </w:rPr>
    </w:lvl>
    <w:lvl w:ilvl="2" w:tplc="1C0A001B" w:tentative="1">
      <w:start w:val="1"/>
      <w:numFmt w:val="lowerRoman"/>
      <w:lvlText w:val="%3."/>
      <w:lvlJc w:val="right"/>
      <w:pPr>
        <w:ind w:left="1156" w:hanging="180"/>
      </w:pPr>
    </w:lvl>
    <w:lvl w:ilvl="3" w:tplc="1C0A000F" w:tentative="1">
      <w:start w:val="1"/>
      <w:numFmt w:val="decimal"/>
      <w:lvlText w:val="%4."/>
      <w:lvlJc w:val="left"/>
      <w:pPr>
        <w:ind w:left="1876" w:hanging="360"/>
      </w:pPr>
    </w:lvl>
    <w:lvl w:ilvl="4" w:tplc="1C0A0019" w:tentative="1">
      <w:start w:val="1"/>
      <w:numFmt w:val="lowerLetter"/>
      <w:lvlText w:val="%5."/>
      <w:lvlJc w:val="left"/>
      <w:pPr>
        <w:ind w:left="2596" w:hanging="360"/>
      </w:pPr>
    </w:lvl>
    <w:lvl w:ilvl="5" w:tplc="1C0A001B" w:tentative="1">
      <w:start w:val="1"/>
      <w:numFmt w:val="lowerRoman"/>
      <w:lvlText w:val="%6."/>
      <w:lvlJc w:val="right"/>
      <w:pPr>
        <w:ind w:left="3316" w:hanging="180"/>
      </w:pPr>
    </w:lvl>
    <w:lvl w:ilvl="6" w:tplc="1C0A000F" w:tentative="1">
      <w:start w:val="1"/>
      <w:numFmt w:val="decimal"/>
      <w:lvlText w:val="%7."/>
      <w:lvlJc w:val="left"/>
      <w:pPr>
        <w:ind w:left="4036" w:hanging="360"/>
      </w:pPr>
    </w:lvl>
    <w:lvl w:ilvl="7" w:tplc="1C0A0019" w:tentative="1">
      <w:start w:val="1"/>
      <w:numFmt w:val="lowerLetter"/>
      <w:lvlText w:val="%8."/>
      <w:lvlJc w:val="left"/>
      <w:pPr>
        <w:ind w:left="4756" w:hanging="360"/>
      </w:pPr>
    </w:lvl>
    <w:lvl w:ilvl="8" w:tplc="1C0A001B" w:tentative="1">
      <w:start w:val="1"/>
      <w:numFmt w:val="lowerRoman"/>
      <w:lvlText w:val="%9."/>
      <w:lvlJc w:val="right"/>
      <w:pPr>
        <w:ind w:left="5476" w:hanging="180"/>
      </w:pPr>
    </w:lvl>
  </w:abstractNum>
  <w:abstractNum w:abstractNumId="43" w15:restartNumberingAfterBreak="0">
    <w:nsid w:val="701A6EB2"/>
    <w:multiLevelType w:val="hybridMultilevel"/>
    <w:tmpl w:val="00FAEC5C"/>
    <w:lvl w:ilvl="0" w:tplc="90FEE80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5A2252"/>
    <w:multiLevelType w:val="hybridMultilevel"/>
    <w:tmpl w:val="DF9052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4A365AC"/>
    <w:multiLevelType w:val="hybridMultilevel"/>
    <w:tmpl w:val="9948E650"/>
    <w:lvl w:ilvl="0" w:tplc="C6D0CC02">
      <w:start w:val="1"/>
      <w:numFmt w:val="decimal"/>
      <w:lvlText w:val="Figura %1:"/>
      <w:lvlJc w:val="left"/>
      <w:pPr>
        <w:ind w:left="644" w:hanging="360"/>
      </w:pPr>
      <w:rPr>
        <w:rFonts w:ascii="Times New Roman" w:hAnsi="Times New Roman" w:hint="default"/>
        <w:b/>
        <w:i w:val="0"/>
        <w:sz w:val="24"/>
        <w:szCs w:val="24"/>
      </w:rPr>
    </w:lvl>
    <w:lvl w:ilvl="1" w:tplc="168A2E40">
      <w:start w:val="1"/>
      <w:numFmt w:val="decimal"/>
      <w:lvlText w:val="%2)"/>
      <w:lvlJc w:val="left"/>
      <w:pPr>
        <w:ind w:left="1830" w:hanging="1110"/>
      </w:pPr>
      <w:rPr>
        <w:rFonts w:hint="default"/>
      </w:r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46" w15:restartNumberingAfterBreak="0">
    <w:nsid w:val="759F1DF6"/>
    <w:multiLevelType w:val="hybridMultilevel"/>
    <w:tmpl w:val="E77AF32E"/>
    <w:lvl w:ilvl="0" w:tplc="B962578A">
      <w:start w:val="1"/>
      <w:numFmt w:val="decimal"/>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7" w15:restartNumberingAfterBreak="0">
    <w:nsid w:val="77357951"/>
    <w:multiLevelType w:val="hybridMultilevel"/>
    <w:tmpl w:val="C0CE25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BA54C72"/>
    <w:multiLevelType w:val="hybridMultilevel"/>
    <w:tmpl w:val="DFE4E100"/>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9" w15:restartNumberingAfterBreak="0">
    <w:nsid w:val="7E7406BB"/>
    <w:multiLevelType w:val="hybridMultilevel"/>
    <w:tmpl w:val="B6EE65A8"/>
    <w:lvl w:ilvl="0" w:tplc="1C0A0001">
      <w:start w:val="1"/>
      <w:numFmt w:val="bullet"/>
      <w:lvlText w:val=""/>
      <w:lvlJc w:val="left"/>
      <w:pPr>
        <w:tabs>
          <w:tab w:val="num" w:pos="720"/>
        </w:tabs>
        <w:ind w:left="720" w:hanging="360"/>
      </w:pPr>
      <w:rPr>
        <w:rFonts w:ascii="Symbol" w:hAnsi="Symbol" w:hint="default"/>
        <w:b w:val="0"/>
        <w:color w:val="auto"/>
      </w:rPr>
    </w:lvl>
    <w:lvl w:ilvl="1" w:tplc="0C0A0005">
      <w:start w:val="1"/>
      <w:numFmt w:val="bullet"/>
      <w:lvlText w:val=""/>
      <w:lvlJc w:val="left"/>
      <w:pPr>
        <w:tabs>
          <w:tab w:val="num" w:pos="1440"/>
        </w:tabs>
        <w:ind w:left="1440" w:hanging="360"/>
      </w:pPr>
      <w:rPr>
        <w:rFonts w:ascii="Wingdings" w:hAnsi="Wingding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15:restartNumberingAfterBreak="0">
    <w:nsid w:val="7F6F191C"/>
    <w:multiLevelType w:val="hybridMultilevel"/>
    <w:tmpl w:val="1FD816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1"/>
  </w:num>
  <w:num w:numId="4">
    <w:abstractNumId w:val="20"/>
  </w:num>
  <w:num w:numId="5">
    <w:abstractNumId w:val="34"/>
  </w:num>
  <w:num w:numId="6">
    <w:abstractNumId w:val="30"/>
  </w:num>
  <w:num w:numId="7">
    <w:abstractNumId w:val="27"/>
  </w:num>
  <w:num w:numId="8">
    <w:abstractNumId w:val="16"/>
  </w:num>
  <w:num w:numId="9">
    <w:abstractNumId w:val="12"/>
  </w:num>
  <w:num w:numId="10">
    <w:abstractNumId w:val="45"/>
  </w:num>
  <w:num w:numId="11">
    <w:abstractNumId w:val="0"/>
  </w:num>
  <w:num w:numId="12">
    <w:abstractNumId w:val="1"/>
  </w:num>
  <w:num w:numId="13">
    <w:abstractNumId w:val="48"/>
  </w:num>
  <w:num w:numId="14">
    <w:abstractNumId w:val="26"/>
  </w:num>
  <w:num w:numId="15">
    <w:abstractNumId w:val="38"/>
  </w:num>
  <w:num w:numId="16">
    <w:abstractNumId w:val="50"/>
  </w:num>
  <w:num w:numId="17">
    <w:abstractNumId w:val="25"/>
  </w:num>
  <w:num w:numId="18">
    <w:abstractNumId w:val="35"/>
  </w:num>
  <w:num w:numId="19">
    <w:abstractNumId w:val="40"/>
  </w:num>
  <w:num w:numId="20">
    <w:abstractNumId w:val="29"/>
  </w:num>
  <w:num w:numId="21">
    <w:abstractNumId w:val="32"/>
  </w:num>
  <w:num w:numId="22">
    <w:abstractNumId w:val="11"/>
  </w:num>
  <w:num w:numId="23">
    <w:abstractNumId w:val="4"/>
  </w:num>
  <w:num w:numId="24">
    <w:abstractNumId w:val="18"/>
  </w:num>
  <w:num w:numId="25">
    <w:abstractNumId w:val="6"/>
  </w:num>
  <w:num w:numId="26">
    <w:abstractNumId w:val="47"/>
  </w:num>
  <w:num w:numId="27">
    <w:abstractNumId w:val="13"/>
  </w:num>
  <w:num w:numId="28">
    <w:abstractNumId w:val="42"/>
  </w:num>
  <w:num w:numId="29">
    <w:abstractNumId w:val="8"/>
  </w:num>
  <w:num w:numId="30">
    <w:abstractNumId w:val="21"/>
  </w:num>
  <w:num w:numId="31">
    <w:abstractNumId w:val="22"/>
  </w:num>
  <w:num w:numId="32">
    <w:abstractNumId w:val="44"/>
  </w:num>
  <w:num w:numId="33">
    <w:abstractNumId w:val="19"/>
  </w:num>
  <w:num w:numId="34">
    <w:abstractNumId w:val="17"/>
  </w:num>
  <w:num w:numId="35">
    <w:abstractNumId w:val="15"/>
  </w:num>
  <w:num w:numId="36">
    <w:abstractNumId w:val="33"/>
  </w:num>
  <w:num w:numId="37">
    <w:abstractNumId w:val="14"/>
  </w:num>
  <w:num w:numId="38">
    <w:abstractNumId w:val="39"/>
  </w:num>
  <w:num w:numId="39">
    <w:abstractNumId w:val="24"/>
  </w:num>
  <w:num w:numId="40">
    <w:abstractNumId w:val="49"/>
  </w:num>
  <w:num w:numId="41">
    <w:abstractNumId w:val="3"/>
  </w:num>
  <w:num w:numId="42">
    <w:abstractNumId w:val="7"/>
  </w:num>
  <w:num w:numId="43">
    <w:abstractNumId w:val="2"/>
  </w:num>
  <w:num w:numId="44">
    <w:abstractNumId w:val="46"/>
  </w:num>
  <w:num w:numId="45">
    <w:abstractNumId w:val="31"/>
  </w:num>
  <w:num w:numId="46">
    <w:abstractNumId w:val="23"/>
  </w:num>
  <w:num w:numId="47">
    <w:abstractNumId w:val="28"/>
  </w:num>
  <w:num w:numId="48">
    <w:abstractNumId w:val="43"/>
  </w:num>
  <w:num w:numId="49">
    <w:abstractNumId w:val="10"/>
  </w:num>
  <w:num w:numId="50">
    <w:abstractNumId w:val="36"/>
  </w:num>
  <w:num w:numId="51">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activeWritingStyle w:appName="MSWord" w:lang="pt-BR" w:vendorID="64" w:dllVersion="6" w:nlCheck="1" w:checkStyle="0"/>
  <w:activeWritingStyle w:appName="MSWord" w:lang="es-DO" w:vendorID="64" w:dllVersion="6" w:nlCheck="1" w:checkStyle="0"/>
  <w:activeWritingStyle w:appName="MSWord" w:lang="es-ES_tradnl" w:vendorID="64" w:dllVersion="6" w:nlCheck="1" w:checkStyle="0"/>
  <w:activeWritingStyle w:appName="MSWord" w:lang="en-US" w:vendorID="64" w:dllVersion="6" w:nlCheck="1" w:checkStyle="0"/>
  <w:activeWritingStyle w:appName="MSWord" w:lang="en-GB" w:vendorID="64" w:dllVersion="6" w:nlCheck="1" w:checkStyle="0"/>
  <w:activeWritingStyle w:appName="MSWord" w:lang="fr-FR" w:vendorID="64" w:dllVersion="6" w:nlCheck="1" w:checkStyle="1"/>
  <w:activeWritingStyle w:appName="MSWord" w:lang="es-ES" w:vendorID="64" w:dllVersion="6" w:nlCheck="1" w:checkStyle="0"/>
  <w:activeWritingStyle w:appName="MSWord" w:lang="es-MX" w:vendorID="64" w:dllVersion="6" w:nlCheck="1" w:checkStyle="0"/>
  <w:activeWritingStyle w:appName="MSWord" w:lang="es-419" w:vendorID="64" w:dllVersion="6" w:nlCheck="1" w:checkStyle="1"/>
  <w:activeWritingStyle w:appName="MSWord" w:lang="es-US" w:vendorID="64" w:dllVersion="6" w:nlCheck="1" w:checkStyle="1"/>
  <w:activeWritingStyle w:appName="MSWord" w:lang="es-ES_tradnl" w:vendorID="64" w:dllVersion="4096" w:nlCheck="1" w:checkStyle="0"/>
  <w:activeWritingStyle w:appName="MSWord" w:lang="es-DO"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s-ES_tradnl" w:vendorID="64" w:dllVersion="131078" w:nlCheck="1" w:checkStyle="0"/>
  <w:activeWritingStyle w:appName="MSWord" w:lang="es-DO"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pt-BR" w:vendorID="64" w:dllVersion="131078" w:nlCheck="1" w:checkStyle="0"/>
  <w:activeWritingStyle w:appName="MSWord" w:lang="en-GB" w:vendorID="64" w:dllVersion="131078" w:nlCheck="1" w:checkStyle="0"/>
  <w:activeWritingStyle w:appName="MSWord" w:lang="fr-FR" w:vendorID="64" w:dllVersion="131078" w:nlCheck="1" w:checkStyle="1"/>
  <w:defaultTabStop w:val="720"/>
  <w:hyphenationZone w:val="425"/>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35C"/>
    <w:rsid w:val="0000073D"/>
    <w:rsid w:val="00000AFA"/>
    <w:rsid w:val="000016CB"/>
    <w:rsid w:val="0000178F"/>
    <w:rsid w:val="00002455"/>
    <w:rsid w:val="00003579"/>
    <w:rsid w:val="00003BE5"/>
    <w:rsid w:val="00004429"/>
    <w:rsid w:val="000046B3"/>
    <w:rsid w:val="00004AE2"/>
    <w:rsid w:val="00005724"/>
    <w:rsid w:val="00005830"/>
    <w:rsid w:val="00005DAE"/>
    <w:rsid w:val="00005E95"/>
    <w:rsid w:val="000061FB"/>
    <w:rsid w:val="00006918"/>
    <w:rsid w:val="00007F6D"/>
    <w:rsid w:val="0001001F"/>
    <w:rsid w:val="00010580"/>
    <w:rsid w:val="0001067E"/>
    <w:rsid w:val="00010A15"/>
    <w:rsid w:val="00010FD2"/>
    <w:rsid w:val="0001153A"/>
    <w:rsid w:val="00012562"/>
    <w:rsid w:val="000126D3"/>
    <w:rsid w:val="000135C0"/>
    <w:rsid w:val="0001373D"/>
    <w:rsid w:val="00014B28"/>
    <w:rsid w:val="00014CCE"/>
    <w:rsid w:val="00015836"/>
    <w:rsid w:val="00016029"/>
    <w:rsid w:val="000163BD"/>
    <w:rsid w:val="0001678C"/>
    <w:rsid w:val="00016C7E"/>
    <w:rsid w:val="00016D63"/>
    <w:rsid w:val="0001704E"/>
    <w:rsid w:val="000171A6"/>
    <w:rsid w:val="00017649"/>
    <w:rsid w:val="00017F13"/>
    <w:rsid w:val="00017F86"/>
    <w:rsid w:val="00020C1C"/>
    <w:rsid w:val="00021233"/>
    <w:rsid w:val="0002269E"/>
    <w:rsid w:val="00023673"/>
    <w:rsid w:val="00023D17"/>
    <w:rsid w:val="00023F55"/>
    <w:rsid w:val="0002406E"/>
    <w:rsid w:val="0002431A"/>
    <w:rsid w:val="00024DA3"/>
    <w:rsid w:val="0002504E"/>
    <w:rsid w:val="00025888"/>
    <w:rsid w:val="00025D0C"/>
    <w:rsid w:val="000261D2"/>
    <w:rsid w:val="000300E1"/>
    <w:rsid w:val="0003043C"/>
    <w:rsid w:val="0003048A"/>
    <w:rsid w:val="00031EC9"/>
    <w:rsid w:val="000321B5"/>
    <w:rsid w:val="00032C89"/>
    <w:rsid w:val="00033267"/>
    <w:rsid w:val="0003331D"/>
    <w:rsid w:val="00034782"/>
    <w:rsid w:val="000347FF"/>
    <w:rsid w:val="00034A77"/>
    <w:rsid w:val="00034C2F"/>
    <w:rsid w:val="00034FF7"/>
    <w:rsid w:val="00035131"/>
    <w:rsid w:val="0003545F"/>
    <w:rsid w:val="000354EC"/>
    <w:rsid w:val="00035B4E"/>
    <w:rsid w:val="00036367"/>
    <w:rsid w:val="00036A72"/>
    <w:rsid w:val="000374A1"/>
    <w:rsid w:val="00037FE8"/>
    <w:rsid w:val="000400AB"/>
    <w:rsid w:val="0004032C"/>
    <w:rsid w:val="00040333"/>
    <w:rsid w:val="000404A0"/>
    <w:rsid w:val="00041C5A"/>
    <w:rsid w:val="00041DBE"/>
    <w:rsid w:val="00041EFE"/>
    <w:rsid w:val="0004267C"/>
    <w:rsid w:val="00042CF3"/>
    <w:rsid w:val="000435E5"/>
    <w:rsid w:val="000437A2"/>
    <w:rsid w:val="00044A83"/>
    <w:rsid w:val="00044D35"/>
    <w:rsid w:val="000460B0"/>
    <w:rsid w:val="00046186"/>
    <w:rsid w:val="00046879"/>
    <w:rsid w:val="00046C9D"/>
    <w:rsid w:val="00047A20"/>
    <w:rsid w:val="00050C52"/>
    <w:rsid w:val="0005107A"/>
    <w:rsid w:val="0005117B"/>
    <w:rsid w:val="00051934"/>
    <w:rsid w:val="00051F28"/>
    <w:rsid w:val="000526DF"/>
    <w:rsid w:val="00053002"/>
    <w:rsid w:val="00053A55"/>
    <w:rsid w:val="00053EEE"/>
    <w:rsid w:val="00053F10"/>
    <w:rsid w:val="000542A7"/>
    <w:rsid w:val="00054397"/>
    <w:rsid w:val="000554CE"/>
    <w:rsid w:val="0005643A"/>
    <w:rsid w:val="000604B9"/>
    <w:rsid w:val="0006078C"/>
    <w:rsid w:val="00060A94"/>
    <w:rsid w:val="000612A9"/>
    <w:rsid w:val="000617E9"/>
    <w:rsid w:val="00061B16"/>
    <w:rsid w:val="000620FA"/>
    <w:rsid w:val="000641F8"/>
    <w:rsid w:val="00064222"/>
    <w:rsid w:val="00064BB6"/>
    <w:rsid w:val="00064BE7"/>
    <w:rsid w:val="00064C7E"/>
    <w:rsid w:val="00064F45"/>
    <w:rsid w:val="000650BE"/>
    <w:rsid w:val="00065470"/>
    <w:rsid w:val="0006556E"/>
    <w:rsid w:val="000667DE"/>
    <w:rsid w:val="00066F51"/>
    <w:rsid w:val="00066FC4"/>
    <w:rsid w:val="00067B6B"/>
    <w:rsid w:val="00067C3C"/>
    <w:rsid w:val="000704A1"/>
    <w:rsid w:val="00070C6A"/>
    <w:rsid w:val="00070D81"/>
    <w:rsid w:val="00070F13"/>
    <w:rsid w:val="000720B8"/>
    <w:rsid w:val="000724CE"/>
    <w:rsid w:val="00072AB6"/>
    <w:rsid w:val="00072E22"/>
    <w:rsid w:val="00073148"/>
    <w:rsid w:val="000731C4"/>
    <w:rsid w:val="0007389A"/>
    <w:rsid w:val="00074584"/>
    <w:rsid w:val="00074C4E"/>
    <w:rsid w:val="00075482"/>
    <w:rsid w:val="00075823"/>
    <w:rsid w:val="00076689"/>
    <w:rsid w:val="000779D3"/>
    <w:rsid w:val="00080A89"/>
    <w:rsid w:val="000819BC"/>
    <w:rsid w:val="000819FD"/>
    <w:rsid w:val="0008242C"/>
    <w:rsid w:val="0008334A"/>
    <w:rsid w:val="00083D8D"/>
    <w:rsid w:val="00083EFC"/>
    <w:rsid w:val="0008434B"/>
    <w:rsid w:val="00084857"/>
    <w:rsid w:val="000853A8"/>
    <w:rsid w:val="00086E60"/>
    <w:rsid w:val="00087227"/>
    <w:rsid w:val="000902E8"/>
    <w:rsid w:val="000905AE"/>
    <w:rsid w:val="00090A0D"/>
    <w:rsid w:val="00090B85"/>
    <w:rsid w:val="00090BD0"/>
    <w:rsid w:val="000918BA"/>
    <w:rsid w:val="00091964"/>
    <w:rsid w:val="00092192"/>
    <w:rsid w:val="000934B6"/>
    <w:rsid w:val="0009370E"/>
    <w:rsid w:val="00093CC3"/>
    <w:rsid w:val="00093DC0"/>
    <w:rsid w:val="000943F6"/>
    <w:rsid w:val="00095156"/>
    <w:rsid w:val="0009548E"/>
    <w:rsid w:val="00095789"/>
    <w:rsid w:val="00095D4D"/>
    <w:rsid w:val="00096386"/>
    <w:rsid w:val="000971B4"/>
    <w:rsid w:val="00097E86"/>
    <w:rsid w:val="000A0045"/>
    <w:rsid w:val="000A0271"/>
    <w:rsid w:val="000A160E"/>
    <w:rsid w:val="000A1693"/>
    <w:rsid w:val="000A19FA"/>
    <w:rsid w:val="000A248E"/>
    <w:rsid w:val="000A3325"/>
    <w:rsid w:val="000A3976"/>
    <w:rsid w:val="000A3B68"/>
    <w:rsid w:val="000A3B76"/>
    <w:rsid w:val="000A58B1"/>
    <w:rsid w:val="000A5E4C"/>
    <w:rsid w:val="000A675B"/>
    <w:rsid w:val="000A7718"/>
    <w:rsid w:val="000A7B3C"/>
    <w:rsid w:val="000A7D03"/>
    <w:rsid w:val="000B00CE"/>
    <w:rsid w:val="000B03B8"/>
    <w:rsid w:val="000B05D6"/>
    <w:rsid w:val="000B0E6D"/>
    <w:rsid w:val="000B13F8"/>
    <w:rsid w:val="000B1596"/>
    <w:rsid w:val="000B1660"/>
    <w:rsid w:val="000B17E2"/>
    <w:rsid w:val="000B22AE"/>
    <w:rsid w:val="000B2598"/>
    <w:rsid w:val="000B298C"/>
    <w:rsid w:val="000B3150"/>
    <w:rsid w:val="000B446C"/>
    <w:rsid w:val="000B4C02"/>
    <w:rsid w:val="000B506F"/>
    <w:rsid w:val="000B5F0D"/>
    <w:rsid w:val="000B66A4"/>
    <w:rsid w:val="000B68AD"/>
    <w:rsid w:val="000B6E99"/>
    <w:rsid w:val="000B6F74"/>
    <w:rsid w:val="000B721C"/>
    <w:rsid w:val="000B7786"/>
    <w:rsid w:val="000B7964"/>
    <w:rsid w:val="000B7F3E"/>
    <w:rsid w:val="000C0296"/>
    <w:rsid w:val="000C0401"/>
    <w:rsid w:val="000C07EA"/>
    <w:rsid w:val="000C1DED"/>
    <w:rsid w:val="000C28FC"/>
    <w:rsid w:val="000C2B64"/>
    <w:rsid w:val="000C31DB"/>
    <w:rsid w:val="000C32B6"/>
    <w:rsid w:val="000C3885"/>
    <w:rsid w:val="000C4E3D"/>
    <w:rsid w:val="000C5230"/>
    <w:rsid w:val="000C5711"/>
    <w:rsid w:val="000C6097"/>
    <w:rsid w:val="000C783B"/>
    <w:rsid w:val="000D00DF"/>
    <w:rsid w:val="000D2319"/>
    <w:rsid w:val="000D2516"/>
    <w:rsid w:val="000D25D4"/>
    <w:rsid w:val="000D2727"/>
    <w:rsid w:val="000D2D53"/>
    <w:rsid w:val="000D2E31"/>
    <w:rsid w:val="000D2F45"/>
    <w:rsid w:val="000D336B"/>
    <w:rsid w:val="000D34E2"/>
    <w:rsid w:val="000D378F"/>
    <w:rsid w:val="000D392B"/>
    <w:rsid w:val="000D4215"/>
    <w:rsid w:val="000D52A0"/>
    <w:rsid w:val="000D58F0"/>
    <w:rsid w:val="000D5FE0"/>
    <w:rsid w:val="000D7E75"/>
    <w:rsid w:val="000E0975"/>
    <w:rsid w:val="000E1434"/>
    <w:rsid w:val="000E1910"/>
    <w:rsid w:val="000E1A89"/>
    <w:rsid w:val="000E1F34"/>
    <w:rsid w:val="000E2E0B"/>
    <w:rsid w:val="000E2EE0"/>
    <w:rsid w:val="000E31AC"/>
    <w:rsid w:val="000E3572"/>
    <w:rsid w:val="000E3617"/>
    <w:rsid w:val="000E3E81"/>
    <w:rsid w:val="000E3EBE"/>
    <w:rsid w:val="000E540F"/>
    <w:rsid w:val="000E5707"/>
    <w:rsid w:val="000E58BB"/>
    <w:rsid w:val="000E5F74"/>
    <w:rsid w:val="000E74F6"/>
    <w:rsid w:val="000E7693"/>
    <w:rsid w:val="000F0479"/>
    <w:rsid w:val="000F07F9"/>
    <w:rsid w:val="000F0A0E"/>
    <w:rsid w:val="000F1145"/>
    <w:rsid w:val="000F2139"/>
    <w:rsid w:val="000F3261"/>
    <w:rsid w:val="000F3F8B"/>
    <w:rsid w:val="000F4CD4"/>
    <w:rsid w:val="000F4E56"/>
    <w:rsid w:val="000F522E"/>
    <w:rsid w:val="000F5B9D"/>
    <w:rsid w:val="000F6C9B"/>
    <w:rsid w:val="000F768A"/>
    <w:rsid w:val="000F76CB"/>
    <w:rsid w:val="0010002C"/>
    <w:rsid w:val="0010165B"/>
    <w:rsid w:val="00102154"/>
    <w:rsid w:val="001035B9"/>
    <w:rsid w:val="00103934"/>
    <w:rsid w:val="00103DE4"/>
    <w:rsid w:val="0010420C"/>
    <w:rsid w:val="00104332"/>
    <w:rsid w:val="0010486C"/>
    <w:rsid w:val="0010505D"/>
    <w:rsid w:val="00106910"/>
    <w:rsid w:val="0010778D"/>
    <w:rsid w:val="001103BF"/>
    <w:rsid w:val="00110763"/>
    <w:rsid w:val="00111126"/>
    <w:rsid w:val="0011132F"/>
    <w:rsid w:val="00111346"/>
    <w:rsid w:val="001119A0"/>
    <w:rsid w:val="00111A0F"/>
    <w:rsid w:val="00112B4B"/>
    <w:rsid w:val="00112BDF"/>
    <w:rsid w:val="00112DC6"/>
    <w:rsid w:val="0011358B"/>
    <w:rsid w:val="00113A82"/>
    <w:rsid w:val="00113BE6"/>
    <w:rsid w:val="00114C37"/>
    <w:rsid w:val="00114D2E"/>
    <w:rsid w:val="00114F48"/>
    <w:rsid w:val="00115B9C"/>
    <w:rsid w:val="00116422"/>
    <w:rsid w:val="001165CA"/>
    <w:rsid w:val="00117C41"/>
    <w:rsid w:val="00117E3F"/>
    <w:rsid w:val="0012065D"/>
    <w:rsid w:val="001212DE"/>
    <w:rsid w:val="001216FB"/>
    <w:rsid w:val="00121B08"/>
    <w:rsid w:val="00122C27"/>
    <w:rsid w:val="0012325A"/>
    <w:rsid w:val="00123360"/>
    <w:rsid w:val="001235E4"/>
    <w:rsid w:val="0012470A"/>
    <w:rsid w:val="0012558E"/>
    <w:rsid w:val="0012631D"/>
    <w:rsid w:val="00126870"/>
    <w:rsid w:val="00126E27"/>
    <w:rsid w:val="00127462"/>
    <w:rsid w:val="00127AE9"/>
    <w:rsid w:val="00131D72"/>
    <w:rsid w:val="00132770"/>
    <w:rsid w:val="00132A38"/>
    <w:rsid w:val="00133B02"/>
    <w:rsid w:val="00133CAC"/>
    <w:rsid w:val="0013440D"/>
    <w:rsid w:val="00134595"/>
    <w:rsid w:val="00134735"/>
    <w:rsid w:val="00134D1D"/>
    <w:rsid w:val="00134DFB"/>
    <w:rsid w:val="001353C1"/>
    <w:rsid w:val="00135B57"/>
    <w:rsid w:val="00136B97"/>
    <w:rsid w:val="0013707F"/>
    <w:rsid w:val="001371F5"/>
    <w:rsid w:val="001371FC"/>
    <w:rsid w:val="00140983"/>
    <w:rsid w:val="0014117F"/>
    <w:rsid w:val="00141452"/>
    <w:rsid w:val="00141ACD"/>
    <w:rsid w:val="00141B2B"/>
    <w:rsid w:val="001422F5"/>
    <w:rsid w:val="00142396"/>
    <w:rsid w:val="00142499"/>
    <w:rsid w:val="001435A6"/>
    <w:rsid w:val="00143F08"/>
    <w:rsid w:val="00144923"/>
    <w:rsid w:val="00144AFA"/>
    <w:rsid w:val="00145477"/>
    <w:rsid w:val="00145756"/>
    <w:rsid w:val="00146250"/>
    <w:rsid w:val="00147731"/>
    <w:rsid w:val="00147FBD"/>
    <w:rsid w:val="00150475"/>
    <w:rsid w:val="00151228"/>
    <w:rsid w:val="001512B4"/>
    <w:rsid w:val="0015146E"/>
    <w:rsid w:val="00151C33"/>
    <w:rsid w:val="00152763"/>
    <w:rsid w:val="00152A33"/>
    <w:rsid w:val="00152A78"/>
    <w:rsid w:val="00152E6B"/>
    <w:rsid w:val="001531B4"/>
    <w:rsid w:val="0015320C"/>
    <w:rsid w:val="001532A4"/>
    <w:rsid w:val="001539D9"/>
    <w:rsid w:val="0015428E"/>
    <w:rsid w:val="0015452E"/>
    <w:rsid w:val="00154CB2"/>
    <w:rsid w:val="00154F5C"/>
    <w:rsid w:val="001559D2"/>
    <w:rsid w:val="00155BFB"/>
    <w:rsid w:val="00156012"/>
    <w:rsid w:val="00156CE4"/>
    <w:rsid w:val="0015762B"/>
    <w:rsid w:val="0015789D"/>
    <w:rsid w:val="00157F1F"/>
    <w:rsid w:val="001604D5"/>
    <w:rsid w:val="00160F7D"/>
    <w:rsid w:val="00162184"/>
    <w:rsid w:val="001623BB"/>
    <w:rsid w:val="00162499"/>
    <w:rsid w:val="00162866"/>
    <w:rsid w:val="00162CD2"/>
    <w:rsid w:val="00163B53"/>
    <w:rsid w:val="00163B69"/>
    <w:rsid w:val="00164637"/>
    <w:rsid w:val="00164F63"/>
    <w:rsid w:val="001654C8"/>
    <w:rsid w:val="00165591"/>
    <w:rsid w:val="00165B9C"/>
    <w:rsid w:val="00165EBC"/>
    <w:rsid w:val="00166AC9"/>
    <w:rsid w:val="00167245"/>
    <w:rsid w:val="00167260"/>
    <w:rsid w:val="001672BA"/>
    <w:rsid w:val="00167487"/>
    <w:rsid w:val="0016749E"/>
    <w:rsid w:val="00167B3B"/>
    <w:rsid w:val="00167EAF"/>
    <w:rsid w:val="00167FE7"/>
    <w:rsid w:val="00170F2D"/>
    <w:rsid w:val="00170FE5"/>
    <w:rsid w:val="0017109D"/>
    <w:rsid w:val="001715B4"/>
    <w:rsid w:val="00171A86"/>
    <w:rsid w:val="00172229"/>
    <w:rsid w:val="00172620"/>
    <w:rsid w:val="00172A98"/>
    <w:rsid w:val="00172B1A"/>
    <w:rsid w:val="00172D65"/>
    <w:rsid w:val="00173548"/>
    <w:rsid w:val="00173D17"/>
    <w:rsid w:val="0017419C"/>
    <w:rsid w:val="00174981"/>
    <w:rsid w:val="00174AA1"/>
    <w:rsid w:val="001751C7"/>
    <w:rsid w:val="001751F3"/>
    <w:rsid w:val="001752BC"/>
    <w:rsid w:val="0017539C"/>
    <w:rsid w:val="00176523"/>
    <w:rsid w:val="001769D7"/>
    <w:rsid w:val="00176B15"/>
    <w:rsid w:val="00176DB1"/>
    <w:rsid w:val="001774CC"/>
    <w:rsid w:val="0017763E"/>
    <w:rsid w:val="00177799"/>
    <w:rsid w:val="001778DC"/>
    <w:rsid w:val="0018016F"/>
    <w:rsid w:val="00180DF0"/>
    <w:rsid w:val="00180FF7"/>
    <w:rsid w:val="0018311F"/>
    <w:rsid w:val="001846E6"/>
    <w:rsid w:val="001859F0"/>
    <w:rsid w:val="00185D2A"/>
    <w:rsid w:val="00186622"/>
    <w:rsid w:val="001872E0"/>
    <w:rsid w:val="001900AA"/>
    <w:rsid w:val="001907F9"/>
    <w:rsid w:val="00190DAE"/>
    <w:rsid w:val="00191802"/>
    <w:rsid w:val="00192499"/>
    <w:rsid w:val="001927B6"/>
    <w:rsid w:val="00193535"/>
    <w:rsid w:val="00193AC5"/>
    <w:rsid w:val="001943D1"/>
    <w:rsid w:val="001946E7"/>
    <w:rsid w:val="00194C3B"/>
    <w:rsid w:val="00195E72"/>
    <w:rsid w:val="00195EF4"/>
    <w:rsid w:val="00195FE5"/>
    <w:rsid w:val="00196297"/>
    <w:rsid w:val="00196782"/>
    <w:rsid w:val="00196814"/>
    <w:rsid w:val="00196900"/>
    <w:rsid w:val="00196B07"/>
    <w:rsid w:val="00196C41"/>
    <w:rsid w:val="001971A4"/>
    <w:rsid w:val="001972F2"/>
    <w:rsid w:val="0019762D"/>
    <w:rsid w:val="001A055D"/>
    <w:rsid w:val="001A14F1"/>
    <w:rsid w:val="001A1853"/>
    <w:rsid w:val="001A2F6E"/>
    <w:rsid w:val="001A3EE2"/>
    <w:rsid w:val="001A3FE8"/>
    <w:rsid w:val="001A4E1A"/>
    <w:rsid w:val="001A5C2C"/>
    <w:rsid w:val="001A6450"/>
    <w:rsid w:val="001A6596"/>
    <w:rsid w:val="001A6662"/>
    <w:rsid w:val="001A6847"/>
    <w:rsid w:val="001A6F59"/>
    <w:rsid w:val="001A6FB5"/>
    <w:rsid w:val="001A73C8"/>
    <w:rsid w:val="001A788F"/>
    <w:rsid w:val="001B0026"/>
    <w:rsid w:val="001B002F"/>
    <w:rsid w:val="001B0D8D"/>
    <w:rsid w:val="001B1104"/>
    <w:rsid w:val="001B1172"/>
    <w:rsid w:val="001B11EF"/>
    <w:rsid w:val="001B1507"/>
    <w:rsid w:val="001B187E"/>
    <w:rsid w:val="001B1CE9"/>
    <w:rsid w:val="001B1CF7"/>
    <w:rsid w:val="001B24B8"/>
    <w:rsid w:val="001B2998"/>
    <w:rsid w:val="001B46B7"/>
    <w:rsid w:val="001B46CF"/>
    <w:rsid w:val="001B5301"/>
    <w:rsid w:val="001B53B1"/>
    <w:rsid w:val="001B59B9"/>
    <w:rsid w:val="001B60BF"/>
    <w:rsid w:val="001B63EA"/>
    <w:rsid w:val="001B661E"/>
    <w:rsid w:val="001B6807"/>
    <w:rsid w:val="001B7CA4"/>
    <w:rsid w:val="001C00E8"/>
    <w:rsid w:val="001C031E"/>
    <w:rsid w:val="001C0446"/>
    <w:rsid w:val="001C082F"/>
    <w:rsid w:val="001C0EF3"/>
    <w:rsid w:val="001C137D"/>
    <w:rsid w:val="001C1693"/>
    <w:rsid w:val="001C21F0"/>
    <w:rsid w:val="001C2426"/>
    <w:rsid w:val="001C2B3B"/>
    <w:rsid w:val="001C2F9B"/>
    <w:rsid w:val="001C3B07"/>
    <w:rsid w:val="001C3D61"/>
    <w:rsid w:val="001C4478"/>
    <w:rsid w:val="001C4CA6"/>
    <w:rsid w:val="001C4E1E"/>
    <w:rsid w:val="001C61CD"/>
    <w:rsid w:val="001C6A76"/>
    <w:rsid w:val="001C6B1A"/>
    <w:rsid w:val="001C6C13"/>
    <w:rsid w:val="001C728F"/>
    <w:rsid w:val="001C732E"/>
    <w:rsid w:val="001C76C4"/>
    <w:rsid w:val="001C78E2"/>
    <w:rsid w:val="001C7ACB"/>
    <w:rsid w:val="001C7B81"/>
    <w:rsid w:val="001D0673"/>
    <w:rsid w:val="001D0842"/>
    <w:rsid w:val="001D088B"/>
    <w:rsid w:val="001D10B0"/>
    <w:rsid w:val="001D1287"/>
    <w:rsid w:val="001D143E"/>
    <w:rsid w:val="001D2901"/>
    <w:rsid w:val="001D3727"/>
    <w:rsid w:val="001D3CBB"/>
    <w:rsid w:val="001D3E23"/>
    <w:rsid w:val="001D3F1A"/>
    <w:rsid w:val="001D474C"/>
    <w:rsid w:val="001D4AEB"/>
    <w:rsid w:val="001D4E29"/>
    <w:rsid w:val="001D5882"/>
    <w:rsid w:val="001D5D7C"/>
    <w:rsid w:val="001D5D7D"/>
    <w:rsid w:val="001D6C75"/>
    <w:rsid w:val="001E0920"/>
    <w:rsid w:val="001E0F37"/>
    <w:rsid w:val="001E1C95"/>
    <w:rsid w:val="001E3158"/>
    <w:rsid w:val="001E3361"/>
    <w:rsid w:val="001E33EA"/>
    <w:rsid w:val="001E36CE"/>
    <w:rsid w:val="001E39EC"/>
    <w:rsid w:val="001E42EE"/>
    <w:rsid w:val="001E4B3F"/>
    <w:rsid w:val="001E4C81"/>
    <w:rsid w:val="001E5487"/>
    <w:rsid w:val="001E6519"/>
    <w:rsid w:val="001E6DD9"/>
    <w:rsid w:val="001E7A53"/>
    <w:rsid w:val="001F01E0"/>
    <w:rsid w:val="001F1159"/>
    <w:rsid w:val="001F1C06"/>
    <w:rsid w:val="001F1E02"/>
    <w:rsid w:val="001F2950"/>
    <w:rsid w:val="001F3568"/>
    <w:rsid w:val="001F3D78"/>
    <w:rsid w:val="001F47A3"/>
    <w:rsid w:val="001F4BCB"/>
    <w:rsid w:val="001F5481"/>
    <w:rsid w:val="001F5E8C"/>
    <w:rsid w:val="001F6301"/>
    <w:rsid w:val="001F67E2"/>
    <w:rsid w:val="001F6982"/>
    <w:rsid w:val="001F6EAB"/>
    <w:rsid w:val="001F7475"/>
    <w:rsid w:val="001F7512"/>
    <w:rsid w:val="001F7937"/>
    <w:rsid w:val="0020047B"/>
    <w:rsid w:val="00200CE3"/>
    <w:rsid w:val="00202082"/>
    <w:rsid w:val="002024D7"/>
    <w:rsid w:val="0020338F"/>
    <w:rsid w:val="0020363C"/>
    <w:rsid w:val="002039DE"/>
    <w:rsid w:val="00203FE2"/>
    <w:rsid w:val="00204818"/>
    <w:rsid w:val="00204C5B"/>
    <w:rsid w:val="00204C69"/>
    <w:rsid w:val="002050A7"/>
    <w:rsid w:val="0020521B"/>
    <w:rsid w:val="00205323"/>
    <w:rsid w:val="00205863"/>
    <w:rsid w:val="0020631F"/>
    <w:rsid w:val="00206451"/>
    <w:rsid w:val="00206901"/>
    <w:rsid w:val="00206FA3"/>
    <w:rsid w:val="002071ED"/>
    <w:rsid w:val="002072F8"/>
    <w:rsid w:val="00207377"/>
    <w:rsid w:val="002077FD"/>
    <w:rsid w:val="0020783A"/>
    <w:rsid w:val="00207E2B"/>
    <w:rsid w:val="002102B4"/>
    <w:rsid w:val="00210DEF"/>
    <w:rsid w:val="00211B2F"/>
    <w:rsid w:val="00211BE4"/>
    <w:rsid w:val="00212433"/>
    <w:rsid w:val="00212DCF"/>
    <w:rsid w:val="00212F64"/>
    <w:rsid w:val="002133CF"/>
    <w:rsid w:val="002141BE"/>
    <w:rsid w:val="0021485A"/>
    <w:rsid w:val="0021506C"/>
    <w:rsid w:val="00215A29"/>
    <w:rsid w:val="00215C4C"/>
    <w:rsid w:val="0021635C"/>
    <w:rsid w:val="00216716"/>
    <w:rsid w:val="00216F01"/>
    <w:rsid w:val="002209F2"/>
    <w:rsid w:val="00222352"/>
    <w:rsid w:val="0022321C"/>
    <w:rsid w:val="00224130"/>
    <w:rsid w:val="00224171"/>
    <w:rsid w:val="0022529B"/>
    <w:rsid w:val="00225476"/>
    <w:rsid w:val="0022552D"/>
    <w:rsid w:val="00227059"/>
    <w:rsid w:val="00227A54"/>
    <w:rsid w:val="00227B1A"/>
    <w:rsid w:val="00227F7B"/>
    <w:rsid w:val="00230D16"/>
    <w:rsid w:val="002316BE"/>
    <w:rsid w:val="0023170D"/>
    <w:rsid w:val="00232307"/>
    <w:rsid w:val="002323BA"/>
    <w:rsid w:val="00232F8A"/>
    <w:rsid w:val="00233722"/>
    <w:rsid w:val="00233B39"/>
    <w:rsid w:val="00235ADD"/>
    <w:rsid w:val="00235F02"/>
    <w:rsid w:val="00235F59"/>
    <w:rsid w:val="00236634"/>
    <w:rsid w:val="00237905"/>
    <w:rsid w:val="00240371"/>
    <w:rsid w:val="0024068E"/>
    <w:rsid w:val="002408B4"/>
    <w:rsid w:val="002408D8"/>
    <w:rsid w:val="00240F6E"/>
    <w:rsid w:val="002413AB"/>
    <w:rsid w:val="00241D85"/>
    <w:rsid w:val="002423A5"/>
    <w:rsid w:val="002427A4"/>
    <w:rsid w:val="00242902"/>
    <w:rsid w:val="00242D34"/>
    <w:rsid w:val="00243096"/>
    <w:rsid w:val="002432E8"/>
    <w:rsid w:val="00243867"/>
    <w:rsid w:val="00243F6A"/>
    <w:rsid w:val="002442F4"/>
    <w:rsid w:val="002449E8"/>
    <w:rsid w:val="00244DB2"/>
    <w:rsid w:val="0024594C"/>
    <w:rsid w:val="00245976"/>
    <w:rsid w:val="00245990"/>
    <w:rsid w:val="00245BA4"/>
    <w:rsid w:val="002464FE"/>
    <w:rsid w:val="0024754C"/>
    <w:rsid w:val="00247DED"/>
    <w:rsid w:val="002511BC"/>
    <w:rsid w:val="0025169C"/>
    <w:rsid w:val="00252222"/>
    <w:rsid w:val="00253936"/>
    <w:rsid w:val="002548E5"/>
    <w:rsid w:val="00255321"/>
    <w:rsid w:val="002557E6"/>
    <w:rsid w:val="00255E49"/>
    <w:rsid w:val="00256604"/>
    <w:rsid w:val="00256B87"/>
    <w:rsid w:val="00257233"/>
    <w:rsid w:val="00260355"/>
    <w:rsid w:val="00260EDB"/>
    <w:rsid w:val="00261726"/>
    <w:rsid w:val="00262440"/>
    <w:rsid w:val="00262C62"/>
    <w:rsid w:val="00263037"/>
    <w:rsid w:val="0026320D"/>
    <w:rsid w:val="0026397F"/>
    <w:rsid w:val="00263ABB"/>
    <w:rsid w:val="00263AF2"/>
    <w:rsid w:val="00263FBD"/>
    <w:rsid w:val="00265279"/>
    <w:rsid w:val="002659F0"/>
    <w:rsid w:val="00265D7E"/>
    <w:rsid w:val="00265DBE"/>
    <w:rsid w:val="00265E8D"/>
    <w:rsid w:val="00266288"/>
    <w:rsid w:val="00266299"/>
    <w:rsid w:val="00266305"/>
    <w:rsid w:val="002668F2"/>
    <w:rsid w:val="00267091"/>
    <w:rsid w:val="002671D7"/>
    <w:rsid w:val="00267338"/>
    <w:rsid w:val="0026740A"/>
    <w:rsid w:val="00270CC4"/>
    <w:rsid w:val="002712FA"/>
    <w:rsid w:val="00271F8D"/>
    <w:rsid w:val="00272949"/>
    <w:rsid w:val="00273544"/>
    <w:rsid w:val="002741DB"/>
    <w:rsid w:val="00274DF3"/>
    <w:rsid w:val="00275225"/>
    <w:rsid w:val="00275AA9"/>
    <w:rsid w:val="00275BAA"/>
    <w:rsid w:val="00275E50"/>
    <w:rsid w:val="00277C74"/>
    <w:rsid w:val="0028041D"/>
    <w:rsid w:val="0028044F"/>
    <w:rsid w:val="00281032"/>
    <w:rsid w:val="00281212"/>
    <w:rsid w:val="0028192D"/>
    <w:rsid w:val="00282255"/>
    <w:rsid w:val="00282ACE"/>
    <w:rsid w:val="002832D8"/>
    <w:rsid w:val="0028398D"/>
    <w:rsid w:val="00283F4D"/>
    <w:rsid w:val="00283FAD"/>
    <w:rsid w:val="00284280"/>
    <w:rsid w:val="002845F8"/>
    <w:rsid w:val="00284688"/>
    <w:rsid w:val="00284B2A"/>
    <w:rsid w:val="0028636D"/>
    <w:rsid w:val="002870C3"/>
    <w:rsid w:val="002870E7"/>
    <w:rsid w:val="00287609"/>
    <w:rsid w:val="002908C0"/>
    <w:rsid w:val="00290D44"/>
    <w:rsid w:val="00290F82"/>
    <w:rsid w:val="0029180B"/>
    <w:rsid w:val="00291D6E"/>
    <w:rsid w:val="00292230"/>
    <w:rsid w:val="00293638"/>
    <w:rsid w:val="00293CDD"/>
    <w:rsid w:val="00293D2E"/>
    <w:rsid w:val="00294079"/>
    <w:rsid w:val="0029423F"/>
    <w:rsid w:val="002944EE"/>
    <w:rsid w:val="00295267"/>
    <w:rsid w:val="00295CB8"/>
    <w:rsid w:val="00295DED"/>
    <w:rsid w:val="0029635D"/>
    <w:rsid w:val="002971EF"/>
    <w:rsid w:val="002A0995"/>
    <w:rsid w:val="002A1289"/>
    <w:rsid w:val="002A1640"/>
    <w:rsid w:val="002A1D88"/>
    <w:rsid w:val="002A1F99"/>
    <w:rsid w:val="002A277D"/>
    <w:rsid w:val="002A29D1"/>
    <w:rsid w:val="002A2D51"/>
    <w:rsid w:val="002A3125"/>
    <w:rsid w:val="002A4437"/>
    <w:rsid w:val="002A4F83"/>
    <w:rsid w:val="002A5AE4"/>
    <w:rsid w:val="002A5F76"/>
    <w:rsid w:val="002A6423"/>
    <w:rsid w:val="002A68D2"/>
    <w:rsid w:val="002A728D"/>
    <w:rsid w:val="002A7822"/>
    <w:rsid w:val="002A7EBA"/>
    <w:rsid w:val="002B05F3"/>
    <w:rsid w:val="002B2049"/>
    <w:rsid w:val="002B2730"/>
    <w:rsid w:val="002B3574"/>
    <w:rsid w:val="002B494E"/>
    <w:rsid w:val="002B4AC7"/>
    <w:rsid w:val="002B5D68"/>
    <w:rsid w:val="002B5EBB"/>
    <w:rsid w:val="002B699A"/>
    <w:rsid w:val="002B6F92"/>
    <w:rsid w:val="002C1C1B"/>
    <w:rsid w:val="002C1E47"/>
    <w:rsid w:val="002C1F2C"/>
    <w:rsid w:val="002C29A7"/>
    <w:rsid w:val="002C34A3"/>
    <w:rsid w:val="002C3530"/>
    <w:rsid w:val="002C3CBD"/>
    <w:rsid w:val="002C3E1C"/>
    <w:rsid w:val="002C6E80"/>
    <w:rsid w:val="002C75E0"/>
    <w:rsid w:val="002D2114"/>
    <w:rsid w:val="002D215F"/>
    <w:rsid w:val="002D328F"/>
    <w:rsid w:val="002D36D2"/>
    <w:rsid w:val="002D376F"/>
    <w:rsid w:val="002D390A"/>
    <w:rsid w:val="002D3CE8"/>
    <w:rsid w:val="002D3FA8"/>
    <w:rsid w:val="002D47EC"/>
    <w:rsid w:val="002D4A5F"/>
    <w:rsid w:val="002D54B8"/>
    <w:rsid w:val="002D5AB1"/>
    <w:rsid w:val="002D5B20"/>
    <w:rsid w:val="002D639F"/>
    <w:rsid w:val="002D6C23"/>
    <w:rsid w:val="002D6D4F"/>
    <w:rsid w:val="002D730B"/>
    <w:rsid w:val="002D73C9"/>
    <w:rsid w:val="002D7472"/>
    <w:rsid w:val="002D7A51"/>
    <w:rsid w:val="002E0A1C"/>
    <w:rsid w:val="002E0CE4"/>
    <w:rsid w:val="002E103D"/>
    <w:rsid w:val="002E119C"/>
    <w:rsid w:val="002E1A38"/>
    <w:rsid w:val="002E1B5E"/>
    <w:rsid w:val="002E1B7B"/>
    <w:rsid w:val="002E1D0F"/>
    <w:rsid w:val="002E2703"/>
    <w:rsid w:val="002E2A20"/>
    <w:rsid w:val="002E2D72"/>
    <w:rsid w:val="002E323B"/>
    <w:rsid w:val="002E3784"/>
    <w:rsid w:val="002E3C79"/>
    <w:rsid w:val="002E3EC7"/>
    <w:rsid w:val="002E400A"/>
    <w:rsid w:val="002E4884"/>
    <w:rsid w:val="002E493C"/>
    <w:rsid w:val="002E605B"/>
    <w:rsid w:val="002E7982"/>
    <w:rsid w:val="002E7D15"/>
    <w:rsid w:val="002E7D7C"/>
    <w:rsid w:val="002F06AC"/>
    <w:rsid w:val="002F0E29"/>
    <w:rsid w:val="002F0F07"/>
    <w:rsid w:val="002F23D4"/>
    <w:rsid w:val="002F2447"/>
    <w:rsid w:val="002F29FE"/>
    <w:rsid w:val="002F2CD0"/>
    <w:rsid w:val="002F2FFA"/>
    <w:rsid w:val="002F3641"/>
    <w:rsid w:val="002F3E36"/>
    <w:rsid w:val="002F3EEC"/>
    <w:rsid w:val="002F56D8"/>
    <w:rsid w:val="002F5987"/>
    <w:rsid w:val="002F5A68"/>
    <w:rsid w:val="002F7074"/>
    <w:rsid w:val="002F7556"/>
    <w:rsid w:val="002F78A9"/>
    <w:rsid w:val="002F7CA2"/>
    <w:rsid w:val="003007A1"/>
    <w:rsid w:val="0030101C"/>
    <w:rsid w:val="00301A22"/>
    <w:rsid w:val="0030216A"/>
    <w:rsid w:val="003036BD"/>
    <w:rsid w:val="0030443A"/>
    <w:rsid w:val="00304F26"/>
    <w:rsid w:val="00305647"/>
    <w:rsid w:val="00305FBC"/>
    <w:rsid w:val="003061E3"/>
    <w:rsid w:val="00306F4B"/>
    <w:rsid w:val="0030703A"/>
    <w:rsid w:val="003074DB"/>
    <w:rsid w:val="00307982"/>
    <w:rsid w:val="00307A9E"/>
    <w:rsid w:val="00307CE9"/>
    <w:rsid w:val="00307F80"/>
    <w:rsid w:val="003106AC"/>
    <w:rsid w:val="00310BE9"/>
    <w:rsid w:val="003110E7"/>
    <w:rsid w:val="00312A2E"/>
    <w:rsid w:val="00313400"/>
    <w:rsid w:val="00313B78"/>
    <w:rsid w:val="00313D97"/>
    <w:rsid w:val="00314384"/>
    <w:rsid w:val="00314390"/>
    <w:rsid w:val="00314686"/>
    <w:rsid w:val="00315AEE"/>
    <w:rsid w:val="00315B81"/>
    <w:rsid w:val="003209C3"/>
    <w:rsid w:val="00320E33"/>
    <w:rsid w:val="00320F50"/>
    <w:rsid w:val="003211DD"/>
    <w:rsid w:val="00321B2A"/>
    <w:rsid w:val="00322102"/>
    <w:rsid w:val="003226E0"/>
    <w:rsid w:val="00323447"/>
    <w:rsid w:val="00323787"/>
    <w:rsid w:val="00324094"/>
    <w:rsid w:val="0032499F"/>
    <w:rsid w:val="00324FED"/>
    <w:rsid w:val="003253BC"/>
    <w:rsid w:val="00325438"/>
    <w:rsid w:val="0032633C"/>
    <w:rsid w:val="003270EA"/>
    <w:rsid w:val="00327395"/>
    <w:rsid w:val="0032790D"/>
    <w:rsid w:val="00327ACC"/>
    <w:rsid w:val="00327E9E"/>
    <w:rsid w:val="0033018B"/>
    <w:rsid w:val="00330E8B"/>
    <w:rsid w:val="0033105F"/>
    <w:rsid w:val="0033160D"/>
    <w:rsid w:val="0033185D"/>
    <w:rsid w:val="003318F9"/>
    <w:rsid w:val="00332568"/>
    <w:rsid w:val="003326CD"/>
    <w:rsid w:val="0033328C"/>
    <w:rsid w:val="0033337E"/>
    <w:rsid w:val="00333A1B"/>
    <w:rsid w:val="003348DA"/>
    <w:rsid w:val="00335762"/>
    <w:rsid w:val="0033589B"/>
    <w:rsid w:val="0033663A"/>
    <w:rsid w:val="0033742F"/>
    <w:rsid w:val="0033771D"/>
    <w:rsid w:val="00337C2E"/>
    <w:rsid w:val="00340AF0"/>
    <w:rsid w:val="00340E63"/>
    <w:rsid w:val="00340FB4"/>
    <w:rsid w:val="003414C8"/>
    <w:rsid w:val="00343552"/>
    <w:rsid w:val="00343E63"/>
    <w:rsid w:val="003443EF"/>
    <w:rsid w:val="0034444F"/>
    <w:rsid w:val="003445DD"/>
    <w:rsid w:val="00344C31"/>
    <w:rsid w:val="0034624D"/>
    <w:rsid w:val="00346B23"/>
    <w:rsid w:val="00347667"/>
    <w:rsid w:val="00347DB2"/>
    <w:rsid w:val="0035019E"/>
    <w:rsid w:val="00351501"/>
    <w:rsid w:val="003519AE"/>
    <w:rsid w:val="00351C04"/>
    <w:rsid w:val="00351EA9"/>
    <w:rsid w:val="003537FB"/>
    <w:rsid w:val="00354308"/>
    <w:rsid w:val="003547E0"/>
    <w:rsid w:val="00354D8C"/>
    <w:rsid w:val="003556E6"/>
    <w:rsid w:val="00355AE1"/>
    <w:rsid w:val="00355D8B"/>
    <w:rsid w:val="00356161"/>
    <w:rsid w:val="0035734D"/>
    <w:rsid w:val="003577E7"/>
    <w:rsid w:val="00357C2F"/>
    <w:rsid w:val="00357FFA"/>
    <w:rsid w:val="00360EE4"/>
    <w:rsid w:val="00361A30"/>
    <w:rsid w:val="003621CF"/>
    <w:rsid w:val="0036277D"/>
    <w:rsid w:val="003627B3"/>
    <w:rsid w:val="00362AAF"/>
    <w:rsid w:val="00364269"/>
    <w:rsid w:val="003642F4"/>
    <w:rsid w:val="0036460B"/>
    <w:rsid w:val="0036479E"/>
    <w:rsid w:val="003647D9"/>
    <w:rsid w:val="003647DF"/>
    <w:rsid w:val="0036481B"/>
    <w:rsid w:val="00364FD2"/>
    <w:rsid w:val="003653F3"/>
    <w:rsid w:val="00365EDF"/>
    <w:rsid w:val="0036615B"/>
    <w:rsid w:val="003663A7"/>
    <w:rsid w:val="003668EB"/>
    <w:rsid w:val="00366C3E"/>
    <w:rsid w:val="00366DEE"/>
    <w:rsid w:val="0036739A"/>
    <w:rsid w:val="00367C1F"/>
    <w:rsid w:val="00370372"/>
    <w:rsid w:val="0037135A"/>
    <w:rsid w:val="00371F59"/>
    <w:rsid w:val="00372CD1"/>
    <w:rsid w:val="003735CD"/>
    <w:rsid w:val="00373B1A"/>
    <w:rsid w:val="00373D39"/>
    <w:rsid w:val="00374E80"/>
    <w:rsid w:val="00376514"/>
    <w:rsid w:val="00377172"/>
    <w:rsid w:val="003777BF"/>
    <w:rsid w:val="0038037F"/>
    <w:rsid w:val="003803CA"/>
    <w:rsid w:val="0038096C"/>
    <w:rsid w:val="0038194D"/>
    <w:rsid w:val="00381961"/>
    <w:rsid w:val="003819B6"/>
    <w:rsid w:val="00381E78"/>
    <w:rsid w:val="00382354"/>
    <w:rsid w:val="003824E5"/>
    <w:rsid w:val="00382DF8"/>
    <w:rsid w:val="00383AB4"/>
    <w:rsid w:val="00383B88"/>
    <w:rsid w:val="00383FC5"/>
    <w:rsid w:val="003842DC"/>
    <w:rsid w:val="00384988"/>
    <w:rsid w:val="00385228"/>
    <w:rsid w:val="003853D7"/>
    <w:rsid w:val="00386226"/>
    <w:rsid w:val="00386B33"/>
    <w:rsid w:val="00387F0D"/>
    <w:rsid w:val="00390148"/>
    <w:rsid w:val="003904CC"/>
    <w:rsid w:val="00391311"/>
    <w:rsid w:val="0039137F"/>
    <w:rsid w:val="003918CB"/>
    <w:rsid w:val="00391DA5"/>
    <w:rsid w:val="00392CAF"/>
    <w:rsid w:val="0039368A"/>
    <w:rsid w:val="00393E2E"/>
    <w:rsid w:val="00394E9E"/>
    <w:rsid w:val="0039543C"/>
    <w:rsid w:val="003957D2"/>
    <w:rsid w:val="00395A92"/>
    <w:rsid w:val="00397C19"/>
    <w:rsid w:val="003A10CB"/>
    <w:rsid w:val="003A22A9"/>
    <w:rsid w:val="003A387D"/>
    <w:rsid w:val="003A3C93"/>
    <w:rsid w:val="003A3E5F"/>
    <w:rsid w:val="003A4111"/>
    <w:rsid w:val="003A5858"/>
    <w:rsid w:val="003A5B5E"/>
    <w:rsid w:val="003A5DC2"/>
    <w:rsid w:val="003A6B11"/>
    <w:rsid w:val="003A6CAF"/>
    <w:rsid w:val="003A790B"/>
    <w:rsid w:val="003A7EB8"/>
    <w:rsid w:val="003B07B3"/>
    <w:rsid w:val="003B135E"/>
    <w:rsid w:val="003B1646"/>
    <w:rsid w:val="003B1772"/>
    <w:rsid w:val="003B233B"/>
    <w:rsid w:val="003B2E97"/>
    <w:rsid w:val="003B32CA"/>
    <w:rsid w:val="003B3B33"/>
    <w:rsid w:val="003B3C2D"/>
    <w:rsid w:val="003B44AA"/>
    <w:rsid w:val="003B44D0"/>
    <w:rsid w:val="003B4A29"/>
    <w:rsid w:val="003B4E58"/>
    <w:rsid w:val="003B5132"/>
    <w:rsid w:val="003B64C0"/>
    <w:rsid w:val="003B66FA"/>
    <w:rsid w:val="003B72D3"/>
    <w:rsid w:val="003B7638"/>
    <w:rsid w:val="003C1241"/>
    <w:rsid w:val="003C3084"/>
    <w:rsid w:val="003C3C21"/>
    <w:rsid w:val="003C3F85"/>
    <w:rsid w:val="003C3F91"/>
    <w:rsid w:val="003C41B7"/>
    <w:rsid w:val="003C4675"/>
    <w:rsid w:val="003C4C36"/>
    <w:rsid w:val="003C5175"/>
    <w:rsid w:val="003C523B"/>
    <w:rsid w:val="003C5890"/>
    <w:rsid w:val="003C591D"/>
    <w:rsid w:val="003C5ADE"/>
    <w:rsid w:val="003C63FA"/>
    <w:rsid w:val="003C7EAC"/>
    <w:rsid w:val="003D0596"/>
    <w:rsid w:val="003D05C8"/>
    <w:rsid w:val="003D07F0"/>
    <w:rsid w:val="003D1320"/>
    <w:rsid w:val="003D1660"/>
    <w:rsid w:val="003D1FC0"/>
    <w:rsid w:val="003D214B"/>
    <w:rsid w:val="003D2758"/>
    <w:rsid w:val="003D2826"/>
    <w:rsid w:val="003D2925"/>
    <w:rsid w:val="003D3001"/>
    <w:rsid w:val="003D4E2D"/>
    <w:rsid w:val="003D5EB3"/>
    <w:rsid w:val="003D615B"/>
    <w:rsid w:val="003D63E3"/>
    <w:rsid w:val="003D6724"/>
    <w:rsid w:val="003D6E1B"/>
    <w:rsid w:val="003D78C6"/>
    <w:rsid w:val="003D7ADC"/>
    <w:rsid w:val="003E030C"/>
    <w:rsid w:val="003E05C1"/>
    <w:rsid w:val="003E07A0"/>
    <w:rsid w:val="003E07CF"/>
    <w:rsid w:val="003E1896"/>
    <w:rsid w:val="003E1D38"/>
    <w:rsid w:val="003E1EB1"/>
    <w:rsid w:val="003E1EB3"/>
    <w:rsid w:val="003E1FCE"/>
    <w:rsid w:val="003E2B62"/>
    <w:rsid w:val="003E552E"/>
    <w:rsid w:val="003E55A6"/>
    <w:rsid w:val="003E5D89"/>
    <w:rsid w:val="003E6464"/>
    <w:rsid w:val="003E6BAC"/>
    <w:rsid w:val="003E6DA9"/>
    <w:rsid w:val="003E6FF0"/>
    <w:rsid w:val="003E7F1F"/>
    <w:rsid w:val="003F0B8A"/>
    <w:rsid w:val="003F0E03"/>
    <w:rsid w:val="003F1A9C"/>
    <w:rsid w:val="003F2784"/>
    <w:rsid w:val="003F2BA8"/>
    <w:rsid w:val="003F35BB"/>
    <w:rsid w:val="003F3C4A"/>
    <w:rsid w:val="003F6656"/>
    <w:rsid w:val="003F686D"/>
    <w:rsid w:val="003F6DB1"/>
    <w:rsid w:val="0040003D"/>
    <w:rsid w:val="00401368"/>
    <w:rsid w:val="004015B0"/>
    <w:rsid w:val="00401FAD"/>
    <w:rsid w:val="0040225C"/>
    <w:rsid w:val="00402556"/>
    <w:rsid w:val="00402931"/>
    <w:rsid w:val="00402F99"/>
    <w:rsid w:val="004031DF"/>
    <w:rsid w:val="00403F5F"/>
    <w:rsid w:val="00405249"/>
    <w:rsid w:val="00405294"/>
    <w:rsid w:val="00405A3A"/>
    <w:rsid w:val="00405D40"/>
    <w:rsid w:val="00405D41"/>
    <w:rsid w:val="004062C8"/>
    <w:rsid w:val="004065D1"/>
    <w:rsid w:val="004075F5"/>
    <w:rsid w:val="004077B5"/>
    <w:rsid w:val="00411553"/>
    <w:rsid w:val="00411928"/>
    <w:rsid w:val="00411BB1"/>
    <w:rsid w:val="004125C6"/>
    <w:rsid w:val="004129D4"/>
    <w:rsid w:val="00412A58"/>
    <w:rsid w:val="004135EB"/>
    <w:rsid w:val="004145C7"/>
    <w:rsid w:val="00415987"/>
    <w:rsid w:val="0041693D"/>
    <w:rsid w:val="004174A9"/>
    <w:rsid w:val="00417865"/>
    <w:rsid w:val="0042057F"/>
    <w:rsid w:val="00420BD3"/>
    <w:rsid w:val="00422014"/>
    <w:rsid w:val="0042246D"/>
    <w:rsid w:val="00422E09"/>
    <w:rsid w:val="0042368E"/>
    <w:rsid w:val="0042381C"/>
    <w:rsid w:val="00423C5B"/>
    <w:rsid w:val="00423D76"/>
    <w:rsid w:val="004240F6"/>
    <w:rsid w:val="004245EB"/>
    <w:rsid w:val="004246DF"/>
    <w:rsid w:val="00424A2A"/>
    <w:rsid w:val="00425CE3"/>
    <w:rsid w:val="004269EB"/>
    <w:rsid w:val="00426BD6"/>
    <w:rsid w:val="00426C7D"/>
    <w:rsid w:val="00426D70"/>
    <w:rsid w:val="00426E11"/>
    <w:rsid w:val="00427EA6"/>
    <w:rsid w:val="00430978"/>
    <w:rsid w:val="004309B9"/>
    <w:rsid w:val="004309FE"/>
    <w:rsid w:val="00430B51"/>
    <w:rsid w:val="0043135F"/>
    <w:rsid w:val="00431405"/>
    <w:rsid w:val="004316E4"/>
    <w:rsid w:val="00432059"/>
    <w:rsid w:val="00432482"/>
    <w:rsid w:val="00432582"/>
    <w:rsid w:val="00432D11"/>
    <w:rsid w:val="00432D4C"/>
    <w:rsid w:val="0043396C"/>
    <w:rsid w:val="00433B99"/>
    <w:rsid w:val="00433F28"/>
    <w:rsid w:val="00434190"/>
    <w:rsid w:val="004341A5"/>
    <w:rsid w:val="00434E05"/>
    <w:rsid w:val="004356F4"/>
    <w:rsid w:val="00436083"/>
    <w:rsid w:val="00436967"/>
    <w:rsid w:val="004404DF"/>
    <w:rsid w:val="0044226E"/>
    <w:rsid w:val="00442299"/>
    <w:rsid w:val="00442720"/>
    <w:rsid w:val="00442C29"/>
    <w:rsid w:val="00442CAF"/>
    <w:rsid w:val="00443141"/>
    <w:rsid w:val="0044332A"/>
    <w:rsid w:val="00444112"/>
    <w:rsid w:val="0044441D"/>
    <w:rsid w:val="0044494A"/>
    <w:rsid w:val="00444A97"/>
    <w:rsid w:val="00444E2B"/>
    <w:rsid w:val="00444E32"/>
    <w:rsid w:val="0044547C"/>
    <w:rsid w:val="004468DA"/>
    <w:rsid w:val="00446E7E"/>
    <w:rsid w:val="00450240"/>
    <w:rsid w:val="00450465"/>
    <w:rsid w:val="00451225"/>
    <w:rsid w:val="0045192E"/>
    <w:rsid w:val="0045254A"/>
    <w:rsid w:val="00452623"/>
    <w:rsid w:val="00452846"/>
    <w:rsid w:val="00453508"/>
    <w:rsid w:val="00453D77"/>
    <w:rsid w:val="00453FA1"/>
    <w:rsid w:val="00454397"/>
    <w:rsid w:val="00454E10"/>
    <w:rsid w:val="0045547E"/>
    <w:rsid w:val="00455913"/>
    <w:rsid w:val="00456028"/>
    <w:rsid w:val="004560CF"/>
    <w:rsid w:val="004560D3"/>
    <w:rsid w:val="00456BB5"/>
    <w:rsid w:val="00456BDF"/>
    <w:rsid w:val="00456F0E"/>
    <w:rsid w:val="00457455"/>
    <w:rsid w:val="004574CA"/>
    <w:rsid w:val="00460204"/>
    <w:rsid w:val="00460B35"/>
    <w:rsid w:val="00461A74"/>
    <w:rsid w:val="00461DB7"/>
    <w:rsid w:val="00461F2B"/>
    <w:rsid w:val="00462900"/>
    <w:rsid w:val="004629EA"/>
    <w:rsid w:val="00462BFC"/>
    <w:rsid w:val="00463745"/>
    <w:rsid w:val="00463D80"/>
    <w:rsid w:val="00464195"/>
    <w:rsid w:val="0046433D"/>
    <w:rsid w:val="0046471F"/>
    <w:rsid w:val="0046478C"/>
    <w:rsid w:val="00464B38"/>
    <w:rsid w:val="00465069"/>
    <w:rsid w:val="00465BD7"/>
    <w:rsid w:val="00465C26"/>
    <w:rsid w:val="00465FFE"/>
    <w:rsid w:val="0046604F"/>
    <w:rsid w:val="0046610E"/>
    <w:rsid w:val="004678D0"/>
    <w:rsid w:val="00467C07"/>
    <w:rsid w:val="004701D8"/>
    <w:rsid w:val="004703B5"/>
    <w:rsid w:val="00470B11"/>
    <w:rsid w:val="00471524"/>
    <w:rsid w:val="004718A6"/>
    <w:rsid w:val="004718FD"/>
    <w:rsid w:val="004720C4"/>
    <w:rsid w:val="004725F1"/>
    <w:rsid w:val="004728B3"/>
    <w:rsid w:val="00473056"/>
    <w:rsid w:val="00473235"/>
    <w:rsid w:val="004732F0"/>
    <w:rsid w:val="00474206"/>
    <w:rsid w:val="00474889"/>
    <w:rsid w:val="004750A1"/>
    <w:rsid w:val="004750B6"/>
    <w:rsid w:val="00475540"/>
    <w:rsid w:val="00475559"/>
    <w:rsid w:val="00477D02"/>
    <w:rsid w:val="004805D8"/>
    <w:rsid w:val="004818ED"/>
    <w:rsid w:val="00481B21"/>
    <w:rsid w:val="00481B6E"/>
    <w:rsid w:val="00481D97"/>
    <w:rsid w:val="00481E17"/>
    <w:rsid w:val="004828C2"/>
    <w:rsid w:val="00482C99"/>
    <w:rsid w:val="0048324E"/>
    <w:rsid w:val="0048496E"/>
    <w:rsid w:val="00484F3C"/>
    <w:rsid w:val="00484F5D"/>
    <w:rsid w:val="00485FCD"/>
    <w:rsid w:val="00486514"/>
    <w:rsid w:val="004865CA"/>
    <w:rsid w:val="004867E5"/>
    <w:rsid w:val="00486815"/>
    <w:rsid w:val="004875E8"/>
    <w:rsid w:val="00490CA2"/>
    <w:rsid w:val="00491420"/>
    <w:rsid w:val="00491786"/>
    <w:rsid w:val="0049215D"/>
    <w:rsid w:val="00492459"/>
    <w:rsid w:val="004925EB"/>
    <w:rsid w:val="004928F7"/>
    <w:rsid w:val="004931E7"/>
    <w:rsid w:val="00494684"/>
    <w:rsid w:val="00494721"/>
    <w:rsid w:val="00494B7C"/>
    <w:rsid w:val="00494BA2"/>
    <w:rsid w:val="0049528A"/>
    <w:rsid w:val="00495AB4"/>
    <w:rsid w:val="00495CC9"/>
    <w:rsid w:val="00495E23"/>
    <w:rsid w:val="004971CB"/>
    <w:rsid w:val="00497212"/>
    <w:rsid w:val="00497EC8"/>
    <w:rsid w:val="004A08C2"/>
    <w:rsid w:val="004A0E5D"/>
    <w:rsid w:val="004A1570"/>
    <w:rsid w:val="004A1B6C"/>
    <w:rsid w:val="004A1C21"/>
    <w:rsid w:val="004A1C9D"/>
    <w:rsid w:val="004A1D03"/>
    <w:rsid w:val="004A2905"/>
    <w:rsid w:val="004A32A2"/>
    <w:rsid w:val="004A32A5"/>
    <w:rsid w:val="004A3626"/>
    <w:rsid w:val="004A387B"/>
    <w:rsid w:val="004A3880"/>
    <w:rsid w:val="004A46E0"/>
    <w:rsid w:val="004A4E3A"/>
    <w:rsid w:val="004A591C"/>
    <w:rsid w:val="004A595F"/>
    <w:rsid w:val="004A5AF6"/>
    <w:rsid w:val="004A6369"/>
    <w:rsid w:val="004B00E0"/>
    <w:rsid w:val="004B1305"/>
    <w:rsid w:val="004B16EA"/>
    <w:rsid w:val="004B2177"/>
    <w:rsid w:val="004B2DC9"/>
    <w:rsid w:val="004B3EB6"/>
    <w:rsid w:val="004B4000"/>
    <w:rsid w:val="004B4C01"/>
    <w:rsid w:val="004B4FAC"/>
    <w:rsid w:val="004B51F9"/>
    <w:rsid w:val="004B5319"/>
    <w:rsid w:val="004B536B"/>
    <w:rsid w:val="004B5654"/>
    <w:rsid w:val="004B5C88"/>
    <w:rsid w:val="004B68AD"/>
    <w:rsid w:val="004B6A65"/>
    <w:rsid w:val="004B7372"/>
    <w:rsid w:val="004C0A34"/>
    <w:rsid w:val="004C0FE9"/>
    <w:rsid w:val="004C1032"/>
    <w:rsid w:val="004C1EAE"/>
    <w:rsid w:val="004C2247"/>
    <w:rsid w:val="004C2370"/>
    <w:rsid w:val="004C264B"/>
    <w:rsid w:val="004C3E15"/>
    <w:rsid w:val="004C43B5"/>
    <w:rsid w:val="004C4E4D"/>
    <w:rsid w:val="004C51AB"/>
    <w:rsid w:val="004C5220"/>
    <w:rsid w:val="004C5294"/>
    <w:rsid w:val="004C5A55"/>
    <w:rsid w:val="004C612A"/>
    <w:rsid w:val="004C650A"/>
    <w:rsid w:val="004C6C66"/>
    <w:rsid w:val="004C6CFD"/>
    <w:rsid w:val="004C7206"/>
    <w:rsid w:val="004D028A"/>
    <w:rsid w:val="004D04C1"/>
    <w:rsid w:val="004D0526"/>
    <w:rsid w:val="004D1611"/>
    <w:rsid w:val="004D173D"/>
    <w:rsid w:val="004D1766"/>
    <w:rsid w:val="004D1EAB"/>
    <w:rsid w:val="004D22AE"/>
    <w:rsid w:val="004D26EE"/>
    <w:rsid w:val="004D26FF"/>
    <w:rsid w:val="004D295C"/>
    <w:rsid w:val="004D2F4B"/>
    <w:rsid w:val="004D38FB"/>
    <w:rsid w:val="004D3C7E"/>
    <w:rsid w:val="004D3F49"/>
    <w:rsid w:val="004D489C"/>
    <w:rsid w:val="004D5701"/>
    <w:rsid w:val="004D6621"/>
    <w:rsid w:val="004D6CFE"/>
    <w:rsid w:val="004D76F3"/>
    <w:rsid w:val="004E222E"/>
    <w:rsid w:val="004E2BA1"/>
    <w:rsid w:val="004E35DF"/>
    <w:rsid w:val="004E3A3B"/>
    <w:rsid w:val="004E3ABA"/>
    <w:rsid w:val="004E3EF5"/>
    <w:rsid w:val="004E4398"/>
    <w:rsid w:val="004E4925"/>
    <w:rsid w:val="004E4BC1"/>
    <w:rsid w:val="004E4D14"/>
    <w:rsid w:val="004E54BF"/>
    <w:rsid w:val="004E5653"/>
    <w:rsid w:val="004E5C46"/>
    <w:rsid w:val="004E5E65"/>
    <w:rsid w:val="004E6D3B"/>
    <w:rsid w:val="004E775A"/>
    <w:rsid w:val="004E7EDA"/>
    <w:rsid w:val="004F0173"/>
    <w:rsid w:val="004F0C23"/>
    <w:rsid w:val="004F0F1C"/>
    <w:rsid w:val="004F0F31"/>
    <w:rsid w:val="004F1060"/>
    <w:rsid w:val="004F152A"/>
    <w:rsid w:val="004F15C2"/>
    <w:rsid w:val="004F282E"/>
    <w:rsid w:val="004F303A"/>
    <w:rsid w:val="004F33D6"/>
    <w:rsid w:val="004F3A16"/>
    <w:rsid w:val="004F49E2"/>
    <w:rsid w:val="004F5129"/>
    <w:rsid w:val="004F5540"/>
    <w:rsid w:val="004F59B1"/>
    <w:rsid w:val="004F5C2C"/>
    <w:rsid w:val="004F602B"/>
    <w:rsid w:val="004F7DA4"/>
    <w:rsid w:val="00500B67"/>
    <w:rsid w:val="00500B9E"/>
    <w:rsid w:val="00501FCE"/>
    <w:rsid w:val="00502DB6"/>
    <w:rsid w:val="00503243"/>
    <w:rsid w:val="0050401E"/>
    <w:rsid w:val="00504193"/>
    <w:rsid w:val="0050467E"/>
    <w:rsid w:val="005046D6"/>
    <w:rsid w:val="00505CF8"/>
    <w:rsid w:val="005062C1"/>
    <w:rsid w:val="005063D2"/>
    <w:rsid w:val="0050670F"/>
    <w:rsid w:val="00506AE8"/>
    <w:rsid w:val="00506EE9"/>
    <w:rsid w:val="00510F8F"/>
    <w:rsid w:val="0051126F"/>
    <w:rsid w:val="00511873"/>
    <w:rsid w:val="00511DE1"/>
    <w:rsid w:val="00511F16"/>
    <w:rsid w:val="00512AA8"/>
    <w:rsid w:val="00512CBD"/>
    <w:rsid w:val="00513781"/>
    <w:rsid w:val="005142B6"/>
    <w:rsid w:val="0051472D"/>
    <w:rsid w:val="00514830"/>
    <w:rsid w:val="0051530D"/>
    <w:rsid w:val="005155E2"/>
    <w:rsid w:val="005156F0"/>
    <w:rsid w:val="00515825"/>
    <w:rsid w:val="00520D88"/>
    <w:rsid w:val="0052136E"/>
    <w:rsid w:val="00521480"/>
    <w:rsid w:val="0052194A"/>
    <w:rsid w:val="00521B7D"/>
    <w:rsid w:val="00522E6D"/>
    <w:rsid w:val="00523329"/>
    <w:rsid w:val="005239C1"/>
    <w:rsid w:val="00523C87"/>
    <w:rsid w:val="005240AC"/>
    <w:rsid w:val="0052460F"/>
    <w:rsid w:val="00524760"/>
    <w:rsid w:val="005253F9"/>
    <w:rsid w:val="00525E9A"/>
    <w:rsid w:val="005260D4"/>
    <w:rsid w:val="005262E1"/>
    <w:rsid w:val="005266C5"/>
    <w:rsid w:val="00526A8B"/>
    <w:rsid w:val="00526F80"/>
    <w:rsid w:val="00527061"/>
    <w:rsid w:val="0052735B"/>
    <w:rsid w:val="005277C7"/>
    <w:rsid w:val="00530395"/>
    <w:rsid w:val="005303F6"/>
    <w:rsid w:val="00530E9A"/>
    <w:rsid w:val="00531046"/>
    <w:rsid w:val="0053132C"/>
    <w:rsid w:val="00532032"/>
    <w:rsid w:val="005324D1"/>
    <w:rsid w:val="005330A4"/>
    <w:rsid w:val="005342BD"/>
    <w:rsid w:val="00534C32"/>
    <w:rsid w:val="005356E9"/>
    <w:rsid w:val="005357D7"/>
    <w:rsid w:val="005361F1"/>
    <w:rsid w:val="00536617"/>
    <w:rsid w:val="00536CB3"/>
    <w:rsid w:val="00536D7C"/>
    <w:rsid w:val="00537EB0"/>
    <w:rsid w:val="00540F43"/>
    <w:rsid w:val="005412B2"/>
    <w:rsid w:val="0054133D"/>
    <w:rsid w:val="00541684"/>
    <w:rsid w:val="00541C86"/>
    <w:rsid w:val="0054237A"/>
    <w:rsid w:val="00542968"/>
    <w:rsid w:val="00542984"/>
    <w:rsid w:val="00542E39"/>
    <w:rsid w:val="005430C6"/>
    <w:rsid w:val="005443CA"/>
    <w:rsid w:val="00544411"/>
    <w:rsid w:val="00544EE4"/>
    <w:rsid w:val="00545549"/>
    <w:rsid w:val="0054673D"/>
    <w:rsid w:val="005469F1"/>
    <w:rsid w:val="0054767A"/>
    <w:rsid w:val="0054775C"/>
    <w:rsid w:val="0055056A"/>
    <w:rsid w:val="00550E50"/>
    <w:rsid w:val="0055110F"/>
    <w:rsid w:val="00551F27"/>
    <w:rsid w:val="0055230E"/>
    <w:rsid w:val="0055250F"/>
    <w:rsid w:val="00552679"/>
    <w:rsid w:val="00552A86"/>
    <w:rsid w:val="005533D9"/>
    <w:rsid w:val="0055389B"/>
    <w:rsid w:val="00553BE4"/>
    <w:rsid w:val="00553D9A"/>
    <w:rsid w:val="00553E1F"/>
    <w:rsid w:val="00554262"/>
    <w:rsid w:val="00554684"/>
    <w:rsid w:val="00554801"/>
    <w:rsid w:val="005553FD"/>
    <w:rsid w:val="005558F3"/>
    <w:rsid w:val="00555FA4"/>
    <w:rsid w:val="0055618B"/>
    <w:rsid w:val="00556444"/>
    <w:rsid w:val="0055678A"/>
    <w:rsid w:val="0055774F"/>
    <w:rsid w:val="00557857"/>
    <w:rsid w:val="00557A35"/>
    <w:rsid w:val="00557A44"/>
    <w:rsid w:val="0056046A"/>
    <w:rsid w:val="0056056D"/>
    <w:rsid w:val="00560B2C"/>
    <w:rsid w:val="00560DA4"/>
    <w:rsid w:val="0056153A"/>
    <w:rsid w:val="00561974"/>
    <w:rsid w:val="00561CC1"/>
    <w:rsid w:val="00561F8D"/>
    <w:rsid w:val="00563A0F"/>
    <w:rsid w:val="00564167"/>
    <w:rsid w:val="00564A5D"/>
    <w:rsid w:val="00565E4F"/>
    <w:rsid w:val="00565FC5"/>
    <w:rsid w:val="00566009"/>
    <w:rsid w:val="0056616A"/>
    <w:rsid w:val="00566CBB"/>
    <w:rsid w:val="00567413"/>
    <w:rsid w:val="005678B0"/>
    <w:rsid w:val="00567DE5"/>
    <w:rsid w:val="00570ADB"/>
    <w:rsid w:val="005717DC"/>
    <w:rsid w:val="00571A3C"/>
    <w:rsid w:val="00571F2D"/>
    <w:rsid w:val="00572084"/>
    <w:rsid w:val="005721DF"/>
    <w:rsid w:val="0057275F"/>
    <w:rsid w:val="005728C5"/>
    <w:rsid w:val="00572EAF"/>
    <w:rsid w:val="00573917"/>
    <w:rsid w:val="00573B22"/>
    <w:rsid w:val="00573B69"/>
    <w:rsid w:val="00574853"/>
    <w:rsid w:val="005748FF"/>
    <w:rsid w:val="005753DB"/>
    <w:rsid w:val="0057587E"/>
    <w:rsid w:val="00575FB8"/>
    <w:rsid w:val="00575FC9"/>
    <w:rsid w:val="0057630E"/>
    <w:rsid w:val="00576C95"/>
    <w:rsid w:val="00576F0F"/>
    <w:rsid w:val="00576FAB"/>
    <w:rsid w:val="00576FFF"/>
    <w:rsid w:val="00577BA1"/>
    <w:rsid w:val="0058069F"/>
    <w:rsid w:val="00581405"/>
    <w:rsid w:val="005819A4"/>
    <w:rsid w:val="005827BD"/>
    <w:rsid w:val="005831EB"/>
    <w:rsid w:val="00583A9A"/>
    <w:rsid w:val="005840DB"/>
    <w:rsid w:val="005840E2"/>
    <w:rsid w:val="00584356"/>
    <w:rsid w:val="00584CB2"/>
    <w:rsid w:val="00585854"/>
    <w:rsid w:val="00585938"/>
    <w:rsid w:val="00585EC6"/>
    <w:rsid w:val="00587381"/>
    <w:rsid w:val="00587483"/>
    <w:rsid w:val="005877A9"/>
    <w:rsid w:val="00587A28"/>
    <w:rsid w:val="0059001A"/>
    <w:rsid w:val="005907F2"/>
    <w:rsid w:val="00591221"/>
    <w:rsid w:val="0059163A"/>
    <w:rsid w:val="005916BC"/>
    <w:rsid w:val="005916FB"/>
    <w:rsid w:val="00591F97"/>
    <w:rsid w:val="005933A1"/>
    <w:rsid w:val="00593A31"/>
    <w:rsid w:val="00593ED9"/>
    <w:rsid w:val="00594F98"/>
    <w:rsid w:val="005950F8"/>
    <w:rsid w:val="00595173"/>
    <w:rsid w:val="005957DB"/>
    <w:rsid w:val="00595A42"/>
    <w:rsid w:val="00597399"/>
    <w:rsid w:val="005A1566"/>
    <w:rsid w:val="005A1C5C"/>
    <w:rsid w:val="005A1E3B"/>
    <w:rsid w:val="005A29F2"/>
    <w:rsid w:val="005A35DE"/>
    <w:rsid w:val="005A3ECD"/>
    <w:rsid w:val="005A41E9"/>
    <w:rsid w:val="005A435A"/>
    <w:rsid w:val="005A4745"/>
    <w:rsid w:val="005A4969"/>
    <w:rsid w:val="005A4E27"/>
    <w:rsid w:val="005A5821"/>
    <w:rsid w:val="005A61C4"/>
    <w:rsid w:val="005A6888"/>
    <w:rsid w:val="005A72A8"/>
    <w:rsid w:val="005B0978"/>
    <w:rsid w:val="005B0CDA"/>
    <w:rsid w:val="005B1623"/>
    <w:rsid w:val="005B1705"/>
    <w:rsid w:val="005B175B"/>
    <w:rsid w:val="005B2171"/>
    <w:rsid w:val="005B299F"/>
    <w:rsid w:val="005B2BE5"/>
    <w:rsid w:val="005B54B3"/>
    <w:rsid w:val="005B68E1"/>
    <w:rsid w:val="005B7AE2"/>
    <w:rsid w:val="005C073C"/>
    <w:rsid w:val="005C11BF"/>
    <w:rsid w:val="005C1264"/>
    <w:rsid w:val="005C1764"/>
    <w:rsid w:val="005C1BBD"/>
    <w:rsid w:val="005C3614"/>
    <w:rsid w:val="005C4528"/>
    <w:rsid w:val="005C46B8"/>
    <w:rsid w:val="005C4700"/>
    <w:rsid w:val="005C4B62"/>
    <w:rsid w:val="005C5D51"/>
    <w:rsid w:val="005C62B2"/>
    <w:rsid w:val="005C6344"/>
    <w:rsid w:val="005C65ED"/>
    <w:rsid w:val="005C6F96"/>
    <w:rsid w:val="005C7A52"/>
    <w:rsid w:val="005D1490"/>
    <w:rsid w:val="005D2226"/>
    <w:rsid w:val="005D2CF1"/>
    <w:rsid w:val="005D380F"/>
    <w:rsid w:val="005D4283"/>
    <w:rsid w:val="005D491D"/>
    <w:rsid w:val="005D4C2F"/>
    <w:rsid w:val="005D4E24"/>
    <w:rsid w:val="005D5548"/>
    <w:rsid w:val="005D5FAE"/>
    <w:rsid w:val="005D61D0"/>
    <w:rsid w:val="005D65BB"/>
    <w:rsid w:val="005D7AE1"/>
    <w:rsid w:val="005E05BB"/>
    <w:rsid w:val="005E0C0A"/>
    <w:rsid w:val="005E11BB"/>
    <w:rsid w:val="005E1803"/>
    <w:rsid w:val="005E3803"/>
    <w:rsid w:val="005E42FB"/>
    <w:rsid w:val="005E4C7B"/>
    <w:rsid w:val="005E5333"/>
    <w:rsid w:val="005E5579"/>
    <w:rsid w:val="005E5B05"/>
    <w:rsid w:val="005E5D2C"/>
    <w:rsid w:val="005E62D9"/>
    <w:rsid w:val="005E6382"/>
    <w:rsid w:val="005E6C7D"/>
    <w:rsid w:val="005E70C1"/>
    <w:rsid w:val="005E731F"/>
    <w:rsid w:val="005E7F6A"/>
    <w:rsid w:val="005F091B"/>
    <w:rsid w:val="005F0BF0"/>
    <w:rsid w:val="005F1952"/>
    <w:rsid w:val="005F262D"/>
    <w:rsid w:val="005F28FE"/>
    <w:rsid w:val="005F34DF"/>
    <w:rsid w:val="005F35CE"/>
    <w:rsid w:val="005F4B65"/>
    <w:rsid w:val="005F4FDC"/>
    <w:rsid w:val="005F5A92"/>
    <w:rsid w:val="005F634F"/>
    <w:rsid w:val="005F73E4"/>
    <w:rsid w:val="005F769A"/>
    <w:rsid w:val="005F77A2"/>
    <w:rsid w:val="006004BF"/>
    <w:rsid w:val="006007EE"/>
    <w:rsid w:val="00601224"/>
    <w:rsid w:val="00601474"/>
    <w:rsid w:val="00601F87"/>
    <w:rsid w:val="00602CE3"/>
    <w:rsid w:val="006034A8"/>
    <w:rsid w:val="0060462A"/>
    <w:rsid w:val="00605397"/>
    <w:rsid w:val="00605EAF"/>
    <w:rsid w:val="006074A4"/>
    <w:rsid w:val="00607DC6"/>
    <w:rsid w:val="006102CB"/>
    <w:rsid w:val="00610AB1"/>
    <w:rsid w:val="00610B59"/>
    <w:rsid w:val="00612440"/>
    <w:rsid w:val="00612715"/>
    <w:rsid w:val="006137DC"/>
    <w:rsid w:val="00613843"/>
    <w:rsid w:val="00613C28"/>
    <w:rsid w:val="0061491E"/>
    <w:rsid w:val="00614AA8"/>
    <w:rsid w:val="00615526"/>
    <w:rsid w:val="00615582"/>
    <w:rsid w:val="0061582F"/>
    <w:rsid w:val="00616251"/>
    <w:rsid w:val="006167EC"/>
    <w:rsid w:val="00617877"/>
    <w:rsid w:val="00617B3A"/>
    <w:rsid w:val="0062032E"/>
    <w:rsid w:val="00620EE6"/>
    <w:rsid w:val="006213C4"/>
    <w:rsid w:val="0062290A"/>
    <w:rsid w:val="0062309B"/>
    <w:rsid w:val="006235B9"/>
    <w:rsid w:val="0062367E"/>
    <w:rsid w:val="0062375F"/>
    <w:rsid w:val="006237EF"/>
    <w:rsid w:val="006241A9"/>
    <w:rsid w:val="006242C6"/>
    <w:rsid w:val="00624CE3"/>
    <w:rsid w:val="00624DD7"/>
    <w:rsid w:val="0062550B"/>
    <w:rsid w:val="00625625"/>
    <w:rsid w:val="00626859"/>
    <w:rsid w:val="006268CB"/>
    <w:rsid w:val="00626E04"/>
    <w:rsid w:val="00626F5C"/>
    <w:rsid w:val="00630C2C"/>
    <w:rsid w:val="006328F2"/>
    <w:rsid w:val="00632A5E"/>
    <w:rsid w:val="00632CDC"/>
    <w:rsid w:val="0063359A"/>
    <w:rsid w:val="00634BC2"/>
    <w:rsid w:val="00635FD3"/>
    <w:rsid w:val="00636278"/>
    <w:rsid w:val="00636450"/>
    <w:rsid w:val="00636748"/>
    <w:rsid w:val="00636E73"/>
    <w:rsid w:val="0063710C"/>
    <w:rsid w:val="0063768E"/>
    <w:rsid w:val="006407BE"/>
    <w:rsid w:val="00640974"/>
    <w:rsid w:val="00640B50"/>
    <w:rsid w:val="006410BC"/>
    <w:rsid w:val="006410CD"/>
    <w:rsid w:val="0064111C"/>
    <w:rsid w:val="00641864"/>
    <w:rsid w:val="0064228E"/>
    <w:rsid w:val="0064302F"/>
    <w:rsid w:val="006431AA"/>
    <w:rsid w:val="006432B0"/>
    <w:rsid w:val="006433A6"/>
    <w:rsid w:val="0064352B"/>
    <w:rsid w:val="00643718"/>
    <w:rsid w:val="00643C02"/>
    <w:rsid w:val="00644488"/>
    <w:rsid w:val="00644A0E"/>
    <w:rsid w:val="00644F3E"/>
    <w:rsid w:val="006451D1"/>
    <w:rsid w:val="00645E43"/>
    <w:rsid w:val="00646828"/>
    <w:rsid w:val="00647595"/>
    <w:rsid w:val="00650884"/>
    <w:rsid w:val="00650B55"/>
    <w:rsid w:val="00650DF3"/>
    <w:rsid w:val="00650E03"/>
    <w:rsid w:val="00651FF6"/>
    <w:rsid w:val="006520AE"/>
    <w:rsid w:val="00652243"/>
    <w:rsid w:val="00653729"/>
    <w:rsid w:val="006545ED"/>
    <w:rsid w:val="00654828"/>
    <w:rsid w:val="00654C96"/>
    <w:rsid w:val="00655038"/>
    <w:rsid w:val="00655848"/>
    <w:rsid w:val="00655B96"/>
    <w:rsid w:val="00655D2D"/>
    <w:rsid w:val="00656266"/>
    <w:rsid w:val="006569D0"/>
    <w:rsid w:val="00657273"/>
    <w:rsid w:val="006574BB"/>
    <w:rsid w:val="00657CBC"/>
    <w:rsid w:val="006611D0"/>
    <w:rsid w:val="006623DB"/>
    <w:rsid w:val="0066301B"/>
    <w:rsid w:val="006632E6"/>
    <w:rsid w:val="00663405"/>
    <w:rsid w:val="00663B3F"/>
    <w:rsid w:val="00663B5D"/>
    <w:rsid w:val="00663BC2"/>
    <w:rsid w:val="00665453"/>
    <w:rsid w:val="00665623"/>
    <w:rsid w:val="00665750"/>
    <w:rsid w:val="006657EA"/>
    <w:rsid w:val="00665F10"/>
    <w:rsid w:val="006660D0"/>
    <w:rsid w:val="0066674F"/>
    <w:rsid w:val="006667B7"/>
    <w:rsid w:val="00666AB3"/>
    <w:rsid w:val="00666C1E"/>
    <w:rsid w:val="00666C3A"/>
    <w:rsid w:val="00667075"/>
    <w:rsid w:val="006710CE"/>
    <w:rsid w:val="006715B1"/>
    <w:rsid w:val="006716DF"/>
    <w:rsid w:val="00671D5C"/>
    <w:rsid w:val="00672127"/>
    <w:rsid w:val="006721B5"/>
    <w:rsid w:val="006723D0"/>
    <w:rsid w:val="0067296B"/>
    <w:rsid w:val="00673A9D"/>
    <w:rsid w:val="00673D31"/>
    <w:rsid w:val="00673E00"/>
    <w:rsid w:val="00673E81"/>
    <w:rsid w:val="00674862"/>
    <w:rsid w:val="00674BE8"/>
    <w:rsid w:val="0067678C"/>
    <w:rsid w:val="0067758A"/>
    <w:rsid w:val="00677A7A"/>
    <w:rsid w:val="00677F58"/>
    <w:rsid w:val="006808E2"/>
    <w:rsid w:val="00680D76"/>
    <w:rsid w:val="00680E49"/>
    <w:rsid w:val="00680F42"/>
    <w:rsid w:val="00680F65"/>
    <w:rsid w:val="006820B4"/>
    <w:rsid w:val="00682D17"/>
    <w:rsid w:val="00682F7D"/>
    <w:rsid w:val="00682FF0"/>
    <w:rsid w:val="00683243"/>
    <w:rsid w:val="00683438"/>
    <w:rsid w:val="00683A7C"/>
    <w:rsid w:val="0068480F"/>
    <w:rsid w:val="00685021"/>
    <w:rsid w:val="0068518D"/>
    <w:rsid w:val="006853B2"/>
    <w:rsid w:val="0068547F"/>
    <w:rsid w:val="00685DA1"/>
    <w:rsid w:val="00685F50"/>
    <w:rsid w:val="00686222"/>
    <w:rsid w:val="00686416"/>
    <w:rsid w:val="006866D1"/>
    <w:rsid w:val="0068675C"/>
    <w:rsid w:val="00686BBC"/>
    <w:rsid w:val="00687E81"/>
    <w:rsid w:val="00691361"/>
    <w:rsid w:val="006913F5"/>
    <w:rsid w:val="006926E4"/>
    <w:rsid w:val="006930BC"/>
    <w:rsid w:val="00693224"/>
    <w:rsid w:val="00693520"/>
    <w:rsid w:val="0069378C"/>
    <w:rsid w:val="00694D2B"/>
    <w:rsid w:val="006953A4"/>
    <w:rsid w:val="0069551D"/>
    <w:rsid w:val="00695EED"/>
    <w:rsid w:val="00696728"/>
    <w:rsid w:val="00697AD0"/>
    <w:rsid w:val="00697B5B"/>
    <w:rsid w:val="006A058E"/>
    <w:rsid w:val="006A08F3"/>
    <w:rsid w:val="006A0A64"/>
    <w:rsid w:val="006A0B20"/>
    <w:rsid w:val="006A0BD9"/>
    <w:rsid w:val="006A0EE5"/>
    <w:rsid w:val="006A13E0"/>
    <w:rsid w:val="006A1733"/>
    <w:rsid w:val="006A191F"/>
    <w:rsid w:val="006A213F"/>
    <w:rsid w:val="006A25F5"/>
    <w:rsid w:val="006A3040"/>
    <w:rsid w:val="006A36AA"/>
    <w:rsid w:val="006A3851"/>
    <w:rsid w:val="006A3E58"/>
    <w:rsid w:val="006A4652"/>
    <w:rsid w:val="006A4C70"/>
    <w:rsid w:val="006A4D75"/>
    <w:rsid w:val="006A513B"/>
    <w:rsid w:val="006A5B53"/>
    <w:rsid w:val="006A5EC1"/>
    <w:rsid w:val="006A60FB"/>
    <w:rsid w:val="006A6486"/>
    <w:rsid w:val="006A6970"/>
    <w:rsid w:val="006A6D95"/>
    <w:rsid w:val="006A74A4"/>
    <w:rsid w:val="006B04CD"/>
    <w:rsid w:val="006B0B82"/>
    <w:rsid w:val="006B198A"/>
    <w:rsid w:val="006B1B89"/>
    <w:rsid w:val="006B1E56"/>
    <w:rsid w:val="006B1E82"/>
    <w:rsid w:val="006B2B20"/>
    <w:rsid w:val="006B3019"/>
    <w:rsid w:val="006B3AA0"/>
    <w:rsid w:val="006B4379"/>
    <w:rsid w:val="006B4AE1"/>
    <w:rsid w:val="006B4DF9"/>
    <w:rsid w:val="006B5526"/>
    <w:rsid w:val="006B5C69"/>
    <w:rsid w:val="006B65B8"/>
    <w:rsid w:val="006B6CC4"/>
    <w:rsid w:val="006B6EB4"/>
    <w:rsid w:val="006B70D0"/>
    <w:rsid w:val="006B7613"/>
    <w:rsid w:val="006C04BD"/>
    <w:rsid w:val="006C18ED"/>
    <w:rsid w:val="006C1E1C"/>
    <w:rsid w:val="006C2FFE"/>
    <w:rsid w:val="006C3C83"/>
    <w:rsid w:val="006C429B"/>
    <w:rsid w:val="006C4609"/>
    <w:rsid w:val="006C50E5"/>
    <w:rsid w:val="006C556C"/>
    <w:rsid w:val="006C5B56"/>
    <w:rsid w:val="006C5B88"/>
    <w:rsid w:val="006C5D96"/>
    <w:rsid w:val="006C5E64"/>
    <w:rsid w:val="006C6243"/>
    <w:rsid w:val="006C6522"/>
    <w:rsid w:val="006C6752"/>
    <w:rsid w:val="006C755F"/>
    <w:rsid w:val="006C7C59"/>
    <w:rsid w:val="006D06AB"/>
    <w:rsid w:val="006D090B"/>
    <w:rsid w:val="006D22ED"/>
    <w:rsid w:val="006D3412"/>
    <w:rsid w:val="006D3B7C"/>
    <w:rsid w:val="006D3D28"/>
    <w:rsid w:val="006D44A5"/>
    <w:rsid w:val="006D5D51"/>
    <w:rsid w:val="006D5F27"/>
    <w:rsid w:val="006D6650"/>
    <w:rsid w:val="006D6B7F"/>
    <w:rsid w:val="006D73FD"/>
    <w:rsid w:val="006D7652"/>
    <w:rsid w:val="006E0FED"/>
    <w:rsid w:val="006E128E"/>
    <w:rsid w:val="006E1C80"/>
    <w:rsid w:val="006E1E65"/>
    <w:rsid w:val="006E2005"/>
    <w:rsid w:val="006E2050"/>
    <w:rsid w:val="006E2208"/>
    <w:rsid w:val="006E24E8"/>
    <w:rsid w:val="006E2E77"/>
    <w:rsid w:val="006E3242"/>
    <w:rsid w:val="006E3CF6"/>
    <w:rsid w:val="006E4E6C"/>
    <w:rsid w:val="006E511A"/>
    <w:rsid w:val="006E60BF"/>
    <w:rsid w:val="006E6406"/>
    <w:rsid w:val="006E66EA"/>
    <w:rsid w:val="006E6799"/>
    <w:rsid w:val="006E6D5A"/>
    <w:rsid w:val="006E72AD"/>
    <w:rsid w:val="006E7855"/>
    <w:rsid w:val="006E79D9"/>
    <w:rsid w:val="006E7CCC"/>
    <w:rsid w:val="006E7F95"/>
    <w:rsid w:val="006F0FEA"/>
    <w:rsid w:val="006F134C"/>
    <w:rsid w:val="006F1F23"/>
    <w:rsid w:val="006F2CA2"/>
    <w:rsid w:val="006F39A8"/>
    <w:rsid w:val="006F3C48"/>
    <w:rsid w:val="006F3E4C"/>
    <w:rsid w:val="006F4503"/>
    <w:rsid w:val="006F470C"/>
    <w:rsid w:val="006F5C89"/>
    <w:rsid w:val="006F5E37"/>
    <w:rsid w:val="006F66DD"/>
    <w:rsid w:val="006F6732"/>
    <w:rsid w:val="006F676C"/>
    <w:rsid w:val="006F7472"/>
    <w:rsid w:val="006F7673"/>
    <w:rsid w:val="006F7FBF"/>
    <w:rsid w:val="00700B29"/>
    <w:rsid w:val="00700C22"/>
    <w:rsid w:val="00700CBE"/>
    <w:rsid w:val="0070177A"/>
    <w:rsid w:val="00702054"/>
    <w:rsid w:val="00702233"/>
    <w:rsid w:val="00702C0D"/>
    <w:rsid w:val="0070401A"/>
    <w:rsid w:val="00704477"/>
    <w:rsid w:val="00704C57"/>
    <w:rsid w:val="00704D2A"/>
    <w:rsid w:val="007055C1"/>
    <w:rsid w:val="0070589E"/>
    <w:rsid w:val="00705D7E"/>
    <w:rsid w:val="0070621A"/>
    <w:rsid w:val="00707B7F"/>
    <w:rsid w:val="00707BC3"/>
    <w:rsid w:val="00707D9D"/>
    <w:rsid w:val="00710167"/>
    <w:rsid w:val="007101CC"/>
    <w:rsid w:val="0071045E"/>
    <w:rsid w:val="00711A7A"/>
    <w:rsid w:val="00712AEF"/>
    <w:rsid w:val="00712C0C"/>
    <w:rsid w:val="00712C9E"/>
    <w:rsid w:val="00714580"/>
    <w:rsid w:val="0071511A"/>
    <w:rsid w:val="007156E1"/>
    <w:rsid w:val="00716695"/>
    <w:rsid w:val="00716FE8"/>
    <w:rsid w:val="00717640"/>
    <w:rsid w:val="00717667"/>
    <w:rsid w:val="00717F39"/>
    <w:rsid w:val="00720685"/>
    <w:rsid w:val="0072107F"/>
    <w:rsid w:val="00721206"/>
    <w:rsid w:val="00721C69"/>
    <w:rsid w:val="00721DC6"/>
    <w:rsid w:val="00722D3E"/>
    <w:rsid w:val="00722E2A"/>
    <w:rsid w:val="00724209"/>
    <w:rsid w:val="0072439F"/>
    <w:rsid w:val="00724463"/>
    <w:rsid w:val="007250D3"/>
    <w:rsid w:val="007258E5"/>
    <w:rsid w:val="00725B0F"/>
    <w:rsid w:val="007261AC"/>
    <w:rsid w:val="007267B2"/>
    <w:rsid w:val="00726E59"/>
    <w:rsid w:val="00727D73"/>
    <w:rsid w:val="00730532"/>
    <w:rsid w:val="007309D9"/>
    <w:rsid w:val="00730C89"/>
    <w:rsid w:val="00730D06"/>
    <w:rsid w:val="00731D0D"/>
    <w:rsid w:val="007321E5"/>
    <w:rsid w:val="007337C0"/>
    <w:rsid w:val="00733F77"/>
    <w:rsid w:val="00734640"/>
    <w:rsid w:val="007348F5"/>
    <w:rsid w:val="00735127"/>
    <w:rsid w:val="00735BCD"/>
    <w:rsid w:val="0073603F"/>
    <w:rsid w:val="007362BA"/>
    <w:rsid w:val="00736AA1"/>
    <w:rsid w:val="00736E60"/>
    <w:rsid w:val="00736FC3"/>
    <w:rsid w:val="0073752D"/>
    <w:rsid w:val="00737E25"/>
    <w:rsid w:val="00740A3C"/>
    <w:rsid w:val="00741536"/>
    <w:rsid w:val="00741AC4"/>
    <w:rsid w:val="0074330C"/>
    <w:rsid w:val="00743BCD"/>
    <w:rsid w:val="00743DE8"/>
    <w:rsid w:val="00743E32"/>
    <w:rsid w:val="007440C2"/>
    <w:rsid w:val="00744BB5"/>
    <w:rsid w:val="00744FA7"/>
    <w:rsid w:val="00745319"/>
    <w:rsid w:val="00746EF3"/>
    <w:rsid w:val="00746F60"/>
    <w:rsid w:val="007503CE"/>
    <w:rsid w:val="007504F0"/>
    <w:rsid w:val="0075133F"/>
    <w:rsid w:val="007519A3"/>
    <w:rsid w:val="00751AC3"/>
    <w:rsid w:val="00751C30"/>
    <w:rsid w:val="00752030"/>
    <w:rsid w:val="00752598"/>
    <w:rsid w:val="00752741"/>
    <w:rsid w:val="0075293E"/>
    <w:rsid w:val="0075382F"/>
    <w:rsid w:val="00753D56"/>
    <w:rsid w:val="00753EA4"/>
    <w:rsid w:val="00753F97"/>
    <w:rsid w:val="00754257"/>
    <w:rsid w:val="00754259"/>
    <w:rsid w:val="0075472F"/>
    <w:rsid w:val="0075478D"/>
    <w:rsid w:val="007549FD"/>
    <w:rsid w:val="0075519C"/>
    <w:rsid w:val="0075642F"/>
    <w:rsid w:val="0075649E"/>
    <w:rsid w:val="00756897"/>
    <w:rsid w:val="00760047"/>
    <w:rsid w:val="00760C1C"/>
    <w:rsid w:val="007629D7"/>
    <w:rsid w:val="0076303E"/>
    <w:rsid w:val="0076339A"/>
    <w:rsid w:val="0076341C"/>
    <w:rsid w:val="007639D4"/>
    <w:rsid w:val="00763B01"/>
    <w:rsid w:val="00763CAD"/>
    <w:rsid w:val="00765634"/>
    <w:rsid w:val="00766E85"/>
    <w:rsid w:val="007671A8"/>
    <w:rsid w:val="0076727D"/>
    <w:rsid w:val="007674E6"/>
    <w:rsid w:val="007679D7"/>
    <w:rsid w:val="00767AB7"/>
    <w:rsid w:val="00767E66"/>
    <w:rsid w:val="00770B91"/>
    <w:rsid w:val="007712AC"/>
    <w:rsid w:val="007714AD"/>
    <w:rsid w:val="00771672"/>
    <w:rsid w:val="00772002"/>
    <w:rsid w:val="007721A0"/>
    <w:rsid w:val="00772777"/>
    <w:rsid w:val="00773486"/>
    <w:rsid w:val="00774459"/>
    <w:rsid w:val="00774B59"/>
    <w:rsid w:val="00774EA0"/>
    <w:rsid w:val="00774FA7"/>
    <w:rsid w:val="00775411"/>
    <w:rsid w:val="00775AFB"/>
    <w:rsid w:val="007771D7"/>
    <w:rsid w:val="00777642"/>
    <w:rsid w:val="00777839"/>
    <w:rsid w:val="007778EA"/>
    <w:rsid w:val="0078065A"/>
    <w:rsid w:val="00780C00"/>
    <w:rsid w:val="007817E8"/>
    <w:rsid w:val="00781A3D"/>
    <w:rsid w:val="00781B92"/>
    <w:rsid w:val="007822A6"/>
    <w:rsid w:val="00782488"/>
    <w:rsid w:val="00782F45"/>
    <w:rsid w:val="007834FE"/>
    <w:rsid w:val="00785292"/>
    <w:rsid w:val="00785EA6"/>
    <w:rsid w:val="00787A26"/>
    <w:rsid w:val="007905FE"/>
    <w:rsid w:val="00790C2D"/>
    <w:rsid w:val="00790FBE"/>
    <w:rsid w:val="0079104E"/>
    <w:rsid w:val="0079143C"/>
    <w:rsid w:val="0079157B"/>
    <w:rsid w:val="00791896"/>
    <w:rsid w:val="00792ADF"/>
    <w:rsid w:val="00793B3E"/>
    <w:rsid w:val="00794FA7"/>
    <w:rsid w:val="0079522A"/>
    <w:rsid w:val="0079564E"/>
    <w:rsid w:val="007957F9"/>
    <w:rsid w:val="00795A24"/>
    <w:rsid w:val="007964D6"/>
    <w:rsid w:val="007965BB"/>
    <w:rsid w:val="00796623"/>
    <w:rsid w:val="00796CF8"/>
    <w:rsid w:val="00796F66"/>
    <w:rsid w:val="007A0A9D"/>
    <w:rsid w:val="007A13FD"/>
    <w:rsid w:val="007A30DE"/>
    <w:rsid w:val="007A30F0"/>
    <w:rsid w:val="007A40C8"/>
    <w:rsid w:val="007A4C5F"/>
    <w:rsid w:val="007A4DDC"/>
    <w:rsid w:val="007A4E19"/>
    <w:rsid w:val="007A521C"/>
    <w:rsid w:val="007A5236"/>
    <w:rsid w:val="007A535D"/>
    <w:rsid w:val="007A5B34"/>
    <w:rsid w:val="007A5D9D"/>
    <w:rsid w:val="007A5DCA"/>
    <w:rsid w:val="007A5DCD"/>
    <w:rsid w:val="007A66AF"/>
    <w:rsid w:val="007A7DE5"/>
    <w:rsid w:val="007A7E2D"/>
    <w:rsid w:val="007A7FBF"/>
    <w:rsid w:val="007B0121"/>
    <w:rsid w:val="007B1626"/>
    <w:rsid w:val="007B170A"/>
    <w:rsid w:val="007B2E67"/>
    <w:rsid w:val="007B43BA"/>
    <w:rsid w:val="007B5090"/>
    <w:rsid w:val="007B688B"/>
    <w:rsid w:val="007B69F9"/>
    <w:rsid w:val="007B6A87"/>
    <w:rsid w:val="007B6EE7"/>
    <w:rsid w:val="007B79F2"/>
    <w:rsid w:val="007B7E7D"/>
    <w:rsid w:val="007C003A"/>
    <w:rsid w:val="007C026C"/>
    <w:rsid w:val="007C09C6"/>
    <w:rsid w:val="007C0B55"/>
    <w:rsid w:val="007C0D79"/>
    <w:rsid w:val="007C1644"/>
    <w:rsid w:val="007C1BD1"/>
    <w:rsid w:val="007C1D8A"/>
    <w:rsid w:val="007C1E7B"/>
    <w:rsid w:val="007C372D"/>
    <w:rsid w:val="007C37DD"/>
    <w:rsid w:val="007C39F8"/>
    <w:rsid w:val="007C3F33"/>
    <w:rsid w:val="007C47D4"/>
    <w:rsid w:val="007C5742"/>
    <w:rsid w:val="007C6187"/>
    <w:rsid w:val="007C61D0"/>
    <w:rsid w:val="007C6AC3"/>
    <w:rsid w:val="007C6FC3"/>
    <w:rsid w:val="007C7256"/>
    <w:rsid w:val="007C787B"/>
    <w:rsid w:val="007C78F0"/>
    <w:rsid w:val="007D19E4"/>
    <w:rsid w:val="007D237A"/>
    <w:rsid w:val="007D27B2"/>
    <w:rsid w:val="007D28EB"/>
    <w:rsid w:val="007D3FB3"/>
    <w:rsid w:val="007D51B8"/>
    <w:rsid w:val="007D5220"/>
    <w:rsid w:val="007D6991"/>
    <w:rsid w:val="007D72B9"/>
    <w:rsid w:val="007D76A0"/>
    <w:rsid w:val="007E16B7"/>
    <w:rsid w:val="007E2193"/>
    <w:rsid w:val="007E35F1"/>
    <w:rsid w:val="007E4BA5"/>
    <w:rsid w:val="007E52C5"/>
    <w:rsid w:val="007E688F"/>
    <w:rsid w:val="007E6A3B"/>
    <w:rsid w:val="007E6D43"/>
    <w:rsid w:val="007E7109"/>
    <w:rsid w:val="007E78B9"/>
    <w:rsid w:val="007F1BF5"/>
    <w:rsid w:val="007F2399"/>
    <w:rsid w:val="007F240E"/>
    <w:rsid w:val="007F3414"/>
    <w:rsid w:val="007F3EEF"/>
    <w:rsid w:val="007F3F43"/>
    <w:rsid w:val="007F4DA2"/>
    <w:rsid w:val="007F5189"/>
    <w:rsid w:val="007F58F1"/>
    <w:rsid w:val="007F5DF6"/>
    <w:rsid w:val="007F6950"/>
    <w:rsid w:val="007F6D34"/>
    <w:rsid w:val="007F6FD1"/>
    <w:rsid w:val="007F7017"/>
    <w:rsid w:val="007F744E"/>
    <w:rsid w:val="007F78AB"/>
    <w:rsid w:val="007F7C74"/>
    <w:rsid w:val="00800925"/>
    <w:rsid w:val="008019D6"/>
    <w:rsid w:val="00801CD5"/>
    <w:rsid w:val="008021FD"/>
    <w:rsid w:val="008023E7"/>
    <w:rsid w:val="008024CD"/>
    <w:rsid w:val="00802C88"/>
    <w:rsid w:val="0080372F"/>
    <w:rsid w:val="0080392A"/>
    <w:rsid w:val="00803F65"/>
    <w:rsid w:val="00805305"/>
    <w:rsid w:val="00805CB6"/>
    <w:rsid w:val="00806565"/>
    <w:rsid w:val="008069F0"/>
    <w:rsid w:val="00806B66"/>
    <w:rsid w:val="00807055"/>
    <w:rsid w:val="008106A5"/>
    <w:rsid w:val="00810CF6"/>
    <w:rsid w:val="00810F97"/>
    <w:rsid w:val="0081236E"/>
    <w:rsid w:val="00812893"/>
    <w:rsid w:val="0081324D"/>
    <w:rsid w:val="0081329C"/>
    <w:rsid w:val="008142BA"/>
    <w:rsid w:val="00815DA8"/>
    <w:rsid w:val="00815E34"/>
    <w:rsid w:val="008166F4"/>
    <w:rsid w:val="00816771"/>
    <w:rsid w:val="00817E44"/>
    <w:rsid w:val="00817F4E"/>
    <w:rsid w:val="0082049A"/>
    <w:rsid w:val="0082072B"/>
    <w:rsid w:val="0082072C"/>
    <w:rsid w:val="00820F0F"/>
    <w:rsid w:val="0082107A"/>
    <w:rsid w:val="00822489"/>
    <w:rsid w:val="00822916"/>
    <w:rsid w:val="00823277"/>
    <w:rsid w:val="00823521"/>
    <w:rsid w:val="008240D0"/>
    <w:rsid w:val="0082595D"/>
    <w:rsid w:val="00826922"/>
    <w:rsid w:val="00826BD9"/>
    <w:rsid w:val="00826CCF"/>
    <w:rsid w:val="0082710E"/>
    <w:rsid w:val="00827E8F"/>
    <w:rsid w:val="0083024F"/>
    <w:rsid w:val="00830A8D"/>
    <w:rsid w:val="0083125C"/>
    <w:rsid w:val="008316B6"/>
    <w:rsid w:val="008324AD"/>
    <w:rsid w:val="0083319E"/>
    <w:rsid w:val="008335EA"/>
    <w:rsid w:val="00833A1C"/>
    <w:rsid w:val="00833E00"/>
    <w:rsid w:val="00834ED9"/>
    <w:rsid w:val="008354C5"/>
    <w:rsid w:val="008368BC"/>
    <w:rsid w:val="00836F75"/>
    <w:rsid w:val="00837BB2"/>
    <w:rsid w:val="00840827"/>
    <w:rsid w:val="00841563"/>
    <w:rsid w:val="00841B4B"/>
    <w:rsid w:val="00841E9C"/>
    <w:rsid w:val="00843731"/>
    <w:rsid w:val="0084384D"/>
    <w:rsid w:val="00843959"/>
    <w:rsid w:val="00843BBA"/>
    <w:rsid w:val="008443A7"/>
    <w:rsid w:val="0084573A"/>
    <w:rsid w:val="0084595D"/>
    <w:rsid w:val="00846321"/>
    <w:rsid w:val="00846508"/>
    <w:rsid w:val="0084690D"/>
    <w:rsid w:val="00846A34"/>
    <w:rsid w:val="00847886"/>
    <w:rsid w:val="0084790B"/>
    <w:rsid w:val="00850974"/>
    <w:rsid w:val="00850BA9"/>
    <w:rsid w:val="00850EBA"/>
    <w:rsid w:val="00852216"/>
    <w:rsid w:val="008522D8"/>
    <w:rsid w:val="00852DAC"/>
    <w:rsid w:val="00852E45"/>
    <w:rsid w:val="00853445"/>
    <w:rsid w:val="00853B13"/>
    <w:rsid w:val="00853B87"/>
    <w:rsid w:val="00853EC2"/>
    <w:rsid w:val="008541D1"/>
    <w:rsid w:val="00854667"/>
    <w:rsid w:val="008558BA"/>
    <w:rsid w:val="00855ED8"/>
    <w:rsid w:val="008562BA"/>
    <w:rsid w:val="00856464"/>
    <w:rsid w:val="00856650"/>
    <w:rsid w:val="0085701B"/>
    <w:rsid w:val="0085711D"/>
    <w:rsid w:val="0085734B"/>
    <w:rsid w:val="00857882"/>
    <w:rsid w:val="008604FC"/>
    <w:rsid w:val="00861244"/>
    <w:rsid w:val="00861B7E"/>
    <w:rsid w:val="00861BDE"/>
    <w:rsid w:val="00861D48"/>
    <w:rsid w:val="00862FB7"/>
    <w:rsid w:val="00863058"/>
    <w:rsid w:val="008636E7"/>
    <w:rsid w:val="008643CB"/>
    <w:rsid w:val="008643D6"/>
    <w:rsid w:val="00864AED"/>
    <w:rsid w:val="0086543B"/>
    <w:rsid w:val="008662E9"/>
    <w:rsid w:val="00866327"/>
    <w:rsid w:val="00866570"/>
    <w:rsid w:val="00866AA9"/>
    <w:rsid w:val="00866AB2"/>
    <w:rsid w:val="00866C21"/>
    <w:rsid w:val="00866C37"/>
    <w:rsid w:val="00867360"/>
    <w:rsid w:val="00867819"/>
    <w:rsid w:val="00867A04"/>
    <w:rsid w:val="00867E60"/>
    <w:rsid w:val="00870496"/>
    <w:rsid w:val="0087051C"/>
    <w:rsid w:val="00870CC2"/>
    <w:rsid w:val="00870EC9"/>
    <w:rsid w:val="0087140E"/>
    <w:rsid w:val="0087144B"/>
    <w:rsid w:val="0087156A"/>
    <w:rsid w:val="0087270F"/>
    <w:rsid w:val="00872CD4"/>
    <w:rsid w:val="00873DE5"/>
    <w:rsid w:val="00874C98"/>
    <w:rsid w:val="008750FA"/>
    <w:rsid w:val="00875594"/>
    <w:rsid w:val="00876103"/>
    <w:rsid w:val="0087636A"/>
    <w:rsid w:val="008767AC"/>
    <w:rsid w:val="0087689D"/>
    <w:rsid w:val="00876AC1"/>
    <w:rsid w:val="00876F39"/>
    <w:rsid w:val="00877141"/>
    <w:rsid w:val="00877BC4"/>
    <w:rsid w:val="00880409"/>
    <w:rsid w:val="008809E9"/>
    <w:rsid w:val="00880E4F"/>
    <w:rsid w:val="008811C7"/>
    <w:rsid w:val="008813B5"/>
    <w:rsid w:val="00881F8E"/>
    <w:rsid w:val="00881FDA"/>
    <w:rsid w:val="00882A1D"/>
    <w:rsid w:val="00883F51"/>
    <w:rsid w:val="008845F6"/>
    <w:rsid w:val="00884C51"/>
    <w:rsid w:val="008854A1"/>
    <w:rsid w:val="008856BB"/>
    <w:rsid w:val="00885C7F"/>
    <w:rsid w:val="00887177"/>
    <w:rsid w:val="0088759C"/>
    <w:rsid w:val="00890004"/>
    <w:rsid w:val="00891317"/>
    <w:rsid w:val="008914E7"/>
    <w:rsid w:val="0089163B"/>
    <w:rsid w:val="008917C8"/>
    <w:rsid w:val="0089193B"/>
    <w:rsid w:val="008923A9"/>
    <w:rsid w:val="008925F5"/>
    <w:rsid w:val="00892802"/>
    <w:rsid w:val="00892E09"/>
    <w:rsid w:val="00892FDC"/>
    <w:rsid w:val="008931FB"/>
    <w:rsid w:val="008938CB"/>
    <w:rsid w:val="00893F08"/>
    <w:rsid w:val="00895B0D"/>
    <w:rsid w:val="00897AF4"/>
    <w:rsid w:val="008A046D"/>
    <w:rsid w:val="008A062A"/>
    <w:rsid w:val="008A0C21"/>
    <w:rsid w:val="008A0C4D"/>
    <w:rsid w:val="008A0DCB"/>
    <w:rsid w:val="008A0E2B"/>
    <w:rsid w:val="008A1070"/>
    <w:rsid w:val="008A175F"/>
    <w:rsid w:val="008A1FF0"/>
    <w:rsid w:val="008A22B8"/>
    <w:rsid w:val="008A2516"/>
    <w:rsid w:val="008A2A17"/>
    <w:rsid w:val="008A2A31"/>
    <w:rsid w:val="008A334A"/>
    <w:rsid w:val="008A3A80"/>
    <w:rsid w:val="008A438E"/>
    <w:rsid w:val="008A4417"/>
    <w:rsid w:val="008A4451"/>
    <w:rsid w:val="008A585F"/>
    <w:rsid w:val="008A5D22"/>
    <w:rsid w:val="008A77DB"/>
    <w:rsid w:val="008A7DD9"/>
    <w:rsid w:val="008B069A"/>
    <w:rsid w:val="008B1AE9"/>
    <w:rsid w:val="008B1BB6"/>
    <w:rsid w:val="008B1D25"/>
    <w:rsid w:val="008B210D"/>
    <w:rsid w:val="008B25F5"/>
    <w:rsid w:val="008B261B"/>
    <w:rsid w:val="008B27B2"/>
    <w:rsid w:val="008B357B"/>
    <w:rsid w:val="008B594D"/>
    <w:rsid w:val="008B6227"/>
    <w:rsid w:val="008B7CF4"/>
    <w:rsid w:val="008C0123"/>
    <w:rsid w:val="008C0440"/>
    <w:rsid w:val="008C16EF"/>
    <w:rsid w:val="008C1E7C"/>
    <w:rsid w:val="008C20E4"/>
    <w:rsid w:val="008C2202"/>
    <w:rsid w:val="008C3602"/>
    <w:rsid w:val="008C3E28"/>
    <w:rsid w:val="008C43BF"/>
    <w:rsid w:val="008C5100"/>
    <w:rsid w:val="008C526B"/>
    <w:rsid w:val="008C52E1"/>
    <w:rsid w:val="008C6123"/>
    <w:rsid w:val="008C6271"/>
    <w:rsid w:val="008C64D4"/>
    <w:rsid w:val="008C7A3F"/>
    <w:rsid w:val="008D08E3"/>
    <w:rsid w:val="008D093C"/>
    <w:rsid w:val="008D149C"/>
    <w:rsid w:val="008D150A"/>
    <w:rsid w:val="008D1984"/>
    <w:rsid w:val="008D1996"/>
    <w:rsid w:val="008D1DE8"/>
    <w:rsid w:val="008D2649"/>
    <w:rsid w:val="008D2B37"/>
    <w:rsid w:val="008D2D60"/>
    <w:rsid w:val="008D3335"/>
    <w:rsid w:val="008D38EE"/>
    <w:rsid w:val="008D3ABC"/>
    <w:rsid w:val="008D4039"/>
    <w:rsid w:val="008D415C"/>
    <w:rsid w:val="008D4B34"/>
    <w:rsid w:val="008D4C77"/>
    <w:rsid w:val="008D53DA"/>
    <w:rsid w:val="008D5839"/>
    <w:rsid w:val="008D5B80"/>
    <w:rsid w:val="008D639F"/>
    <w:rsid w:val="008D67CC"/>
    <w:rsid w:val="008D6F3B"/>
    <w:rsid w:val="008D7CB7"/>
    <w:rsid w:val="008E0B66"/>
    <w:rsid w:val="008E14F1"/>
    <w:rsid w:val="008E2178"/>
    <w:rsid w:val="008E2C4F"/>
    <w:rsid w:val="008E30D3"/>
    <w:rsid w:val="008E3684"/>
    <w:rsid w:val="008E3E6B"/>
    <w:rsid w:val="008E421D"/>
    <w:rsid w:val="008E4769"/>
    <w:rsid w:val="008E4C8A"/>
    <w:rsid w:val="008E5050"/>
    <w:rsid w:val="008E5090"/>
    <w:rsid w:val="008E580C"/>
    <w:rsid w:val="008E5AB6"/>
    <w:rsid w:val="008E7465"/>
    <w:rsid w:val="008E7C3C"/>
    <w:rsid w:val="008E7E0B"/>
    <w:rsid w:val="008F02AD"/>
    <w:rsid w:val="008F0B9B"/>
    <w:rsid w:val="008F0C57"/>
    <w:rsid w:val="008F107E"/>
    <w:rsid w:val="008F1223"/>
    <w:rsid w:val="008F14D2"/>
    <w:rsid w:val="008F1A2D"/>
    <w:rsid w:val="008F1C9E"/>
    <w:rsid w:val="008F2890"/>
    <w:rsid w:val="008F2CC1"/>
    <w:rsid w:val="008F39F7"/>
    <w:rsid w:val="008F3A55"/>
    <w:rsid w:val="008F3EE7"/>
    <w:rsid w:val="008F4649"/>
    <w:rsid w:val="008F4A7F"/>
    <w:rsid w:val="008F4BE0"/>
    <w:rsid w:val="008F55C6"/>
    <w:rsid w:val="008F591B"/>
    <w:rsid w:val="008F6019"/>
    <w:rsid w:val="008F6D6C"/>
    <w:rsid w:val="008F73EA"/>
    <w:rsid w:val="008F775F"/>
    <w:rsid w:val="008F7951"/>
    <w:rsid w:val="008F7BE6"/>
    <w:rsid w:val="009007DC"/>
    <w:rsid w:val="009013BE"/>
    <w:rsid w:val="00901BE5"/>
    <w:rsid w:val="00902428"/>
    <w:rsid w:val="009026AC"/>
    <w:rsid w:val="009034A3"/>
    <w:rsid w:val="0090429D"/>
    <w:rsid w:val="009045A1"/>
    <w:rsid w:val="00904EAD"/>
    <w:rsid w:val="009050B8"/>
    <w:rsid w:val="009051D4"/>
    <w:rsid w:val="00905CB5"/>
    <w:rsid w:val="00905CEB"/>
    <w:rsid w:val="00907540"/>
    <w:rsid w:val="009101F9"/>
    <w:rsid w:val="00910453"/>
    <w:rsid w:val="00910C14"/>
    <w:rsid w:val="00911380"/>
    <w:rsid w:val="00911A0C"/>
    <w:rsid w:val="00911DA5"/>
    <w:rsid w:val="009125BC"/>
    <w:rsid w:val="00912BCA"/>
    <w:rsid w:val="00913505"/>
    <w:rsid w:val="009141FF"/>
    <w:rsid w:val="00914940"/>
    <w:rsid w:val="00915744"/>
    <w:rsid w:val="00915A37"/>
    <w:rsid w:val="0091612E"/>
    <w:rsid w:val="0091686C"/>
    <w:rsid w:val="0091693D"/>
    <w:rsid w:val="00916A42"/>
    <w:rsid w:val="0092067F"/>
    <w:rsid w:val="00920906"/>
    <w:rsid w:val="0092112D"/>
    <w:rsid w:val="00922909"/>
    <w:rsid w:val="00922CDE"/>
    <w:rsid w:val="00924132"/>
    <w:rsid w:val="009250B4"/>
    <w:rsid w:val="0092545C"/>
    <w:rsid w:val="0092582A"/>
    <w:rsid w:val="00926054"/>
    <w:rsid w:val="00926420"/>
    <w:rsid w:val="009270AC"/>
    <w:rsid w:val="0092752B"/>
    <w:rsid w:val="0093009A"/>
    <w:rsid w:val="00930694"/>
    <w:rsid w:val="0093100D"/>
    <w:rsid w:val="0093133A"/>
    <w:rsid w:val="009315CA"/>
    <w:rsid w:val="009316FA"/>
    <w:rsid w:val="009323B9"/>
    <w:rsid w:val="00932A60"/>
    <w:rsid w:val="00932C6C"/>
    <w:rsid w:val="00933505"/>
    <w:rsid w:val="009338DC"/>
    <w:rsid w:val="00934ABF"/>
    <w:rsid w:val="00934D28"/>
    <w:rsid w:val="00935035"/>
    <w:rsid w:val="009356D7"/>
    <w:rsid w:val="00935B39"/>
    <w:rsid w:val="009362ED"/>
    <w:rsid w:val="00936AD8"/>
    <w:rsid w:val="009372CB"/>
    <w:rsid w:val="00937598"/>
    <w:rsid w:val="0094002E"/>
    <w:rsid w:val="0094068E"/>
    <w:rsid w:val="009406B6"/>
    <w:rsid w:val="00941358"/>
    <w:rsid w:val="00941675"/>
    <w:rsid w:val="009436B2"/>
    <w:rsid w:val="00944758"/>
    <w:rsid w:val="00944B25"/>
    <w:rsid w:val="00945A97"/>
    <w:rsid w:val="009461EC"/>
    <w:rsid w:val="00947E08"/>
    <w:rsid w:val="00947E62"/>
    <w:rsid w:val="0095018E"/>
    <w:rsid w:val="009502AB"/>
    <w:rsid w:val="00951096"/>
    <w:rsid w:val="00951101"/>
    <w:rsid w:val="009513BF"/>
    <w:rsid w:val="00951568"/>
    <w:rsid w:val="00952689"/>
    <w:rsid w:val="009533D7"/>
    <w:rsid w:val="009539A8"/>
    <w:rsid w:val="00954002"/>
    <w:rsid w:val="00954283"/>
    <w:rsid w:val="0095492E"/>
    <w:rsid w:val="00954CA7"/>
    <w:rsid w:val="00955110"/>
    <w:rsid w:val="00955320"/>
    <w:rsid w:val="00956652"/>
    <w:rsid w:val="009578A5"/>
    <w:rsid w:val="0095791B"/>
    <w:rsid w:val="00957E3C"/>
    <w:rsid w:val="00957EF0"/>
    <w:rsid w:val="00962099"/>
    <w:rsid w:val="009626A0"/>
    <w:rsid w:val="00962BE9"/>
    <w:rsid w:val="00962D8C"/>
    <w:rsid w:val="009632E5"/>
    <w:rsid w:val="00963A86"/>
    <w:rsid w:val="00963A91"/>
    <w:rsid w:val="00963DB8"/>
    <w:rsid w:val="00964133"/>
    <w:rsid w:val="00964830"/>
    <w:rsid w:val="009664D6"/>
    <w:rsid w:val="009665A5"/>
    <w:rsid w:val="00966B64"/>
    <w:rsid w:val="00966F38"/>
    <w:rsid w:val="00967FF2"/>
    <w:rsid w:val="00970817"/>
    <w:rsid w:val="00971391"/>
    <w:rsid w:val="00971E24"/>
    <w:rsid w:val="00971E3D"/>
    <w:rsid w:val="00971FE3"/>
    <w:rsid w:val="00972D8A"/>
    <w:rsid w:val="00972F12"/>
    <w:rsid w:val="00973E16"/>
    <w:rsid w:val="00973F51"/>
    <w:rsid w:val="00974268"/>
    <w:rsid w:val="009746B0"/>
    <w:rsid w:val="00974A1A"/>
    <w:rsid w:val="00975192"/>
    <w:rsid w:val="0097606C"/>
    <w:rsid w:val="009762C2"/>
    <w:rsid w:val="0097632D"/>
    <w:rsid w:val="00977469"/>
    <w:rsid w:val="00977977"/>
    <w:rsid w:val="00977EF0"/>
    <w:rsid w:val="0098002D"/>
    <w:rsid w:val="00980A26"/>
    <w:rsid w:val="00980DEF"/>
    <w:rsid w:val="00980E34"/>
    <w:rsid w:val="00981271"/>
    <w:rsid w:val="009812B3"/>
    <w:rsid w:val="00981B02"/>
    <w:rsid w:val="00982139"/>
    <w:rsid w:val="0098249D"/>
    <w:rsid w:val="00983315"/>
    <w:rsid w:val="00983597"/>
    <w:rsid w:val="009837AE"/>
    <w:rsid w:val="00983E53"/>
    <w:rsid w:val="00984019"/>
    <w:rsid w:val="0098414F"/>
    <w:rsid w:val="009844DB"/>
    <w:rsid w:val="00984B06"/>
    <w:rsid w:val="00986B58"/>
    <w:rsid w:val="00986C79"/>
    <w:rsid w:val="009870C2"/>
    <w:rsid w:val="0098745F"/>
    <w:rsid w:val="00987933"/>
    <w:rsid w:val="00987A6E"/>
    <w:rsid w:val="00987B95"/>
    <w:rsid w:val="009904C7"/>
    <w:rsid w:val="00990F66"/>
    <w:rsid w:val="00991352"/>
    <w:rsid w:val="0099153B"/>
    <w:rsid w:val="009922CC"/>
    <w:rsid w:val="0099246E"/>
    <w:rsid w:val="00993008"/>
    <w:rsid w:val="00994D5C"/>
    <w:rsid w:val="00994E5F"/>
    <w:rsid w:val="0099549C"/>
    <w:rsid w:val="0099567A"/>
    <w:rsid w:val="009963E9"/>
    <w:rsid w:val="0099689A"/>
    <w:rsid w:val="009A042E"/>
    <w:rsid w:val="009A063A"/>
    <w:rsid w:val="009A0D06"/>
    <w:rsid w:val="009A17D6"/>
    <w:rsid w:val="009A247C"/>
    <w:rsid w:val="009A2B07"/>
    <w:rsid w:val="009A2DEF"/>
    <w:rsid w:val="009A346E"/>
    <w:rsid w:val="009A3AB0"/>
    <w:rsid w:val="009A3BD3"/>
    <w:rsid w:val="009A5289"/>
    <w:rsid w:val="009A5512"/>
    <w:rsid w:val="009A55ED"/>
    <w:rsid w:val="009A5E31"/>
    <w:rsid w:val="009A65F7"/>
    <w:rsid w:val="009A6E9A"/>
    <w:rsid w:val="009B0106"/>
    <w:rsid w:val="009B0B74"/>
    <w:rsid w:val="009B0C48"/>
    <w:rsid w:val="009B2AA8"/>
    <w:rsid w:val="009B2B3F"/>
    <w:rsid w:val="009B30AF"/>
    <w:rsid w:val="009B3549"/>
    <w:rsid w:val="009B38C2"/>
    <w:rsid w:val="009B3BA3"/>
    <w:rsid w:val="009B3CD9"/>
    <w:rsid w:val="009B46CE"/>
    <w:rsid w:val="009B4A08"/>
    <w:rsid w:val="009B4B9F"/>
    <w:rsid w:val="009B4FC3"/>
    <w:rsid w:val="009B66E8"/>
    <w:rsid w:val="009B6BBB"/>
    <w:rsid w:val="009B6FE0"/>
    <w:rsid w:val="009B7251"/>
    <w:rsid w:val="009B79FB"/>
    <w:rsid w:val="009C134C"/>
    <w:rsid w:val="009C15BA"/>
    <w:rsid w:val="009C1704"/>
    <w:rsid w:val="009C2009"/>
    <w:rsid w:val="009C203E"/>
    <w:rsid w:val="009C3411"/>
    <w:rsid w:val="009C3648"/>
    <w:rsid w:val="009C3F99"/>
    <w:rsid w:val="009C429D"/>
    <w:rsid w:val="009C47CD"/>
    <w:rsid w:val="009C4A6B"/>
    <w:rsid w:val="009C4E7F"/>
    <w:rsid w:val="009C54FB"/>
    <w:rsid w:val="009C5A42"/>
    <w:rsid w:val="009C7D9F"/>
    <w:rsid w:val="009D0937"/>
    <w:rsid w:val="009D0C9A"/>
    <w:rsid w:val="009D1553"/>
    <w:rsid w:val="009D157A"/>
    <w:rsid w:val="009D1A8C"/>
    <w:rsid w:val="009D2CCA"/>
    <w:rsid w:val="009D2CEE"/>
    <w:rsid w:val="009D398C"/>
    <w:rsid w:val="009D4256"/>
    <w:rsid w:val="009D4555"/>
    <w:rsid w:val="009D47CE"/>
    <w:rsid w:val="009D4BFF"/>
    <w:rsid w:val="009D566A"/>
    <w:rsid w:val="009D5EF2"/>
    <w:rsid w:val="009D6222"/>
    <w:rsid w:val="009D6759"/>
    <w:rsid w:val="009D6BCC"/>
    <w:rsid w:val="009D6BD3"/>
    <w:rsid w:val="009D76A9"/>
    <w:rsid w:val="009D7A52"/>
    <w:rsid w:val="009E08D0"/>
    <w:rsid w:val="009E1EA1"/>
    <w:rsid w:val="009E259D"/>
    <w:rsid w:val="009E27C2"/>
    <w:rsid w:val="009E3047"/>
    <w:rsid w:val="009E375A"/>
    <w:rsid w:val="009E3CAF"/>
    <w:rsid w:val="009E435B"/>
    <w:rsid w:val="009E4909"/>
    <w:rsid w:val="009E4D6E"/>
    <w:rsid w:val="009E4DD3"/>
    <w:rsid w:val="009E6D06"/>
    <w:rsid w:val="009F015F"/>
    <w:rsid w:val="009F0510"/>
    <w:rsid w:val="009F095D"/>
    <w:rsid w:val="009F11A0"/>
    <w:rsid w:val="009F11F9"/>
    <w:rsid w:val="009F1486"/>
    <w:rsid w:val="009F2406"/>
    <w:rsid w:val="009F2DA0"/>
    <w:rsid w:val="009F3632"/>
    <w:rsid w:val="009F3821"/>
    <w:rsid w:val="009F3E90"/>
    <w:rsid w:val="009F3EA3"/>
    <w:rsid w:val="009F3FCA"/>
    <w:rsid w:val="009F47AA"/>
    <w:rsid w:val="009F4E6D"/>
    <w:rsid w:val="009F560F"/>
    <w:rsid w:val="009F62E7"/>
    <w:rsid w:val="009F6A0A"/>
    <w:rsid w:val="009F70B0"/>
    <w:rsid w:val="009F7252"/>
    <w:rsid w:val="009F729F"/>
    <w:rsid w:val="009F73B5"/>
    <w:rsid w:val="009F7589"/>
    <w:rsid w:val="009F7B9F"/>
    <w:rsid w:val="00A021D9"/>
    <w:rsid w:val="00A022D7"/>
    <w:rsid w:val="00A027C3"/>
    <w:rsid w:val="00A02FEF"/>
    <w:rsid w:val="00A03842"/>
    <w:rsid w:val="00A03B1F"/>
    <w:rsid w:val="00A03C58"/>
    <w:rsid w:val="00A040CC"/>
    <w:rsid w:val="00A04943"/>
    <w:rsid w:val="00A04D0D"/>
    <w:rsid w:val="00A0565B"/>
    <w:rsid w:val="00A06CDB"/>
    <w:rsid w:val="00A06F02"/>
    <w:rsid w:val="00A071FD"/>
    <w:rsid w:val="00A07CEE"/>
    <w:rsid w:val="00A10905"/>
    <w:rsid w:val="00A10AA1"/>
    <w:rsid w:val="00A10D7C"/>
    <w:rsid w:val="00A10EC1"/>
    <w:rsid w:val="00A115F8"/>
    <w:rsid w:val="00A1170C"/>
    <w:rsid w:val="00A1254F"/>
    <w:rsid w:val="00A13404"/>
    <w:rsid w:val="00A13AAF"/>
    <w:rsid w:val="00A13FD6"/>
    <w:rsid w:val="00A1462A"/>
    <w:rsid w:val="00A15343"/>
    <w:rsid w:val="00A159B9"/>
    <w:rsid w:val="00A16794"/>
    <w:rsid w:val="00A167E3"/>
    <w:rsid w:val="00A16F5C"/>
    <w:rsid w:val="00A17724"/>
    <w:rsid w:val="00A17EF7"/>
    <w:rsid w:val="00A2017F"/>
    <w:rsid w:val="00A204A1"/>
    <w:rsid w:val="00A2090C"/>
    <w:rsid w:val="00A2120F"/>
    <w:rsid w:val="00A21BF8"/>
    <w:rsid w:val="00A222E4"/>
    <w:rsid w:val="00A2238C"/>
    <w:rsid w:val="00A22C53"/>
    <w:rsid w:val="00A22CBA"/>
    <w:rsid w:val="00A23501"/>
    <w:rsid w:val="00A247E9"/>
    <w:rsid w:val="00A24B39"/>
    <w:rsid w:val="00A24C7C"/>
    <w:rsid w:val="00A24F73"/>
    <w:rsid w:val="00A25BB8"/>
    <w:rsid w:val="00A26C4F"/>
    <w:rsid w:val="00A26FF2"/>
    <w:rsid w:val="00A27C86"/>
    <w:rsid w:val="00A31073"/>
    <w:rsid w:val="00A314EF"/>
    <w:rsid w:val="00A31C61"/>
    <w:rsid w:val="00A3242B"/>
    <w:rsid w:val="00A34071"/>
    <w:rsid w:val="00A345C5"/>
    <w:rsid w:val="00A35380"/>
    <w:rsid w:val="00A359FE"/>
    <w:rsid w:val="00A36491"/>
    <w:rsid w:val="00A36769"/>
    <w:rsid w:val="00A405A6"/>
    <w:rsid w:val="00A409A3"/>
    <w:rsid w:val="00A41296"/>
    <w:rsid w:val="00A428CF"/>
    <w:rsid w:val="00A42BCB"/>
    <w:rsid w:val="00A4399C"/>
    <w:rsid w:val="00A43AF9"/>
    <w:rsid w:val="00A440B2"/>
    <w:rsid w:val="00A4508C"/>
    <w:rsid w:val="00A4518C"/>
    <w:rsid w:val="00A452A8"/>
    <w:rsid w:val="00A4560A"/>
    <w:rsid w:val="00A459BB"/>
    <w:rsid w:val="00A46E47"/>
    <w:rsid w:val="00A47882"/>
    <w:rsid w:val="00A50222"/>
    <w:rsid w:val="00A51177"/>
    <w:rsid w:val="00A5119E"/>
    <w:rsid w:val="00A51585"/>
    <w:rsid w:val="00A51A53"/>
    <w:rsid w:val="00A51D47"/>
    <w:rsid w:val="00A53050"/>
    <w:rsid w:val="00A53477"/>
    <w:rsid w:val="00A53879"/>
    <w:rsid w:val="00A53EBB"/>
    <w:rsid w:val="00A5477D"/>
    <w:rsid w:val="00A54A87"/>
    <w:rsid w:val="00A56100"/>
    <w:rsid w:val="00A561A8"/>
    <w:rsid w:val="00A56D1B"/>
    <w:rsid w:val="00A57704"/>
    <w:rsid w:val="00A57A1A"/>
    <w:rsid w:val="00A601E3"/>
    <w:rsid w:val="00A605D1"/>
    <w:rsid w:val="00A610B6"/>
    <w:rsid w:val="00A61E63"/>
    <w:rsid w:val="00A633A3"/>
    <w:rsid w:val="00A64191"/>
    <w:rsid w:val="00A64437"/>
    <w:rsid w:val="00A6537B"/>
    <w:rsid w:val="00A6608E"/>
    <w:rsid w:val="00A666BF"/>
    <w:rsid w:val="00A6686A"/>
    <w:rsid w:val="00A66ACB"/>
    <w:rsid w:val="00A67955"/>
    <w:rsid w:val="00A701B7"/>
    <w:rsid w:val="00A71BAA"/>
    <w:rsid w:val="00A721BF"/>
    <w:rsid w:val="00A7259D"/>
    <w:rsid w:val="00A73032"/>
    <w:rsid w:val="00A734C1"/>
    <w:rsid w:val="00A741F5"/>
    <w:rsid w:val="00A7424B"/>
    <w:rsid w:val="00A77D90"/>
    <w:rsid w:val="00A8022D"/>
    <w:rsid w:val="00A804EB"/>
    <w:rsid w:val="00A80E87"/>
    <w:rsid w:val="00A8144B"/>
    <w:rsid w:val="00A81E7B"/>
    <w:rsid w:val="00A824D6"/>
    <w:rsid w:val="00A829FD"/>
    <w:rsid w:val="00A832DC"/>
    <w:rsid w:val="00A84716"/>
    <w:rsid w:val="00A84833"/>
    <w:rsid w:val="00A85496"/>
    <w:rsid w:val="00A87D23"/>
    <w:rsid w:val="00A901CF"/>
    <w:rsid w:val="00A903BE"/>
    <w:rsid w:val="00A9137A"/>
    <w:rsid w:val="00A918F7"/>
    <w:rsid w:val="00A91BAA"/>
    <w:rsid w:val="00A91E4E"/>
    <w:rsid w:val="00A93002"/>
    <w:rsid w:val="00A93450"/>
    <w:rsid w:val="00A93E02"/>
    <w:rsid w:val="00A94807"/>
    <w:rsid w:val="00A94C17"/>
    <w:rsid w:val="00A94E3B"/>
    <w:rsid w:val="00A94FF3"/>
    <w:rsid w:val="00A954AB"/>
    <w:rsid w:val="00A9576C"/>
    <w:rsid w:val="00A96930"/>
    <w:rsid w:val="00A9771B"/>
    <w:rsid w:val="00A97AB7"/>
    <w:rsid w:val="00AA039F"/>
    <w:rsid w:val="00AA05C9"/>
    <w:rsid w:val="00AA063D"/>
    <w:rsid w:val="00AA0ADE"/>
    <w:rsid w:val="00AA1365"/>
    <w:rsid w:val="00AA18D8"/>
    <w:rsid w:val="00AA22BF"/>
    <w:rsid w:val="00AA26DB"/>
    <w:rsid w:val="00AA29D3"/>
    <w:rsid w:val="00AA2D5F"/>
    <w:rsid w:val="00AA32F4"/>
    <w:rsid w:val="00AA35EF"/>
    <w:rsid w:val="00AA41C9"/>
    <w:rsid w:val="00AA4C34"/>
    <w:rsid w:val="00AA5336"/>
    <w:rsid w:val="00AA5897"/>
    <w:rsid w:val="00AA5DB1"/>
    <w:rsid w:val="00AA6386"/>
    <w:rsid w:val="00AA66C8"/>
    <w:rsid w:val="00AA6CCC"/>
    <w:rsid w:val="00AA7B9D"/>
    <w:rsid w:val="00AB0848"/>
    <w:rsid w:val="00AB0D56"/>
    <w:rsid w:val="00AB0D67"/>
    <w:rsid w:val="00AB0D6D"/>
    <w:rsid w:val="00AB0F28"/>
    <w:rsid w:val="00AB101E"/>
    <w:rsid w:val="00AB22E5"/>
    <w:rsid w:val="00AB26D4"/>
    <w:rsid w:val="00AB27F7"/>
    <w:rsid w:val="00AB2D97"/>
    <w:rsid w:val="00AB36F6"/>
    <w:rsid w:val="00AB38DA"/>
    <w:rsid w:val="00AB3945"/>
    <w:rsid w:val="00AB3E03"/>
    <w:rsid w:val="00AB3FAC"/>
    <w:rsid w:val="00AB4116"/>
    <w:rsid w:val="00AB41B5"/>
    <w:rsid w:val="00AB65BE"/>
    <w:rsid w:val="00AB69B4"/>
    <w:rsid w:val="00AB74A2"/>
    <w:rsid w:val="00AB7939"/>
    <w:rsid w:val="00AC03F8"/>
    <w:rsid w:val="00AC055A"/>
    <w:rsid w:val="00AC088D"/>
    <w:rsid w:val="00AC0B66"/>
    <w:rsid w:val="00AC1036"/>
    <w:rsid w:val="00AC10D4"/>
    <w:rsid w:val="00AC1430"/>
    <w:rsid w:val="00AC197F"/>
    <w:rsid w:val="00AC2135"/>
    <w:rsid w:val="00AC21DB"/>
    <w:rsid w:val="00AC313A"/>
    <w:rsid w:val="00AC32C7"/>
    <w:rsid w:val="00AC349A"/>
    <w:rsid w:val="00AC3FF9"/>
    <w:rsid w:val="00AC4439"/>
    <w:rsid w:val="00AC46F6"/>
    <w:rsid w:val="00AC57A7"/>
    <w:rsid w:val="00AC6200"/>
    <w:rsid w:val="00AC65A9"/>
    <w:rsid w:val="00AC67DF"/>
    <w:rsid w:val="00AC6862"/>
    <w:rsid w:val="00AC71E4"/>
    <w:rsid w:val="00AC734A"/>
    <w:rsid w:val="00AC7C30"/>
    <w:rsid w:val="00AC7F91"/>
    <w:rsid w:val="00AD00A1"/>
    <w:rsid w:val="00AD07A5"/>
    <w:rsid w:val="00AD08C6"/>
    <w:rsid w:val="00AD0B11"/>
    <w:rsid w:val="00AD0E7B"/>
    <w:rsid w:val="00AD136E"/>
    <w:rsid w:val="00AD29C4"/>
    <w:rsid w:val="00AD2E93"/>
    <w:rsid w:val="00AD346E"/>
    <w:rsid w:val="00AD3654"/>
    <w:rsid w:val="00AD3878"/>
    <w:rsid w:val="00AD4ABE"/>
    <w:rsid w:val="00AD52EF"/>
    <w:rsid w:val="00AD6434"/>
    <w:rsid w:val="00AD644E"/>
    <w:rsid w:val="00AD74A6"/>
    <w:rsid w:val="00AD7A57"/>
    <w:rsid w:val="00AE055F"/>
    <w:rsid w:val="00AE0D16"/>
    <w:rsid w:val="00AE120D"/>
    <w:rsid w:val="00AE124B"/>
    <w:rsid w:val="00AE16BA"/>
    <w:rsid w:val="00AE19FB"/>
    <w:rsid w:val="00AE1A16"/>
    <w:rsid w:val="00AE1E08"/>
    <w:rsid w:val="00AE1E2C"/>
    <w:rsid w:val="00AE207D"/>
    <w:rsid w:val="00AE22BC"/>
    <w:rsid w:val="00AE28F7"/>
    <w:rsid w:val="00AE2C97"/>
    <w:rsid w:val="00AE3AA7"/>
    <w:rsid w:val="00AE3B70"/>
    <w:rsid w:val="00AE409A"/>
    <w:rsid w:val="00AE4D38"/>
    <w:rsid w:val="00AE507E"/>
    <w:rsid w:val="00AE531E"/>
    <w:rsid w:val="00AE55A6"/>
    <w:rsid w:val="00AE5BDB"/>
    <w:rsid w:val="00AE5FE4"/>
    <w:rsid w:val="00AE6064"/>
    <w:rsid w:val="00AE65E6"/>
    <w:rsid w:val="00AE68FA"/>
    <w:rsid w:val="00AE6B95"/>
    <w:rsid w:val="00AE6D3C"/>
    <w:rsid w:val="00AE6ECA"/>
    <w:rsid w:val="00AE7E63"/>
    <w:rsid w:val="00AF0CA9"/>
    <w:rsid w:val="00AF1106"/>
    <w:rsid w:val="00AF1B1C"/>
    <w:rsid w:val="00AF2287"/>
    <w:rsid w:val="00AF2A3E"/>
    <w:rsid w:val="00AF2FEB"/>
    <w:rsid w:val="00AF38C9"/>
    <w:rsid w:val="00AF45B4"/>
    <w:rsid w:val="00AF47E5"/>
    <w:rsid w:val="00AF5A87"/>
    <w:rsid w:val="00AF5D67"/>
    <w:rsid w:val="00AF6690"/>
    <w:rsid w:val="00AF6D6D"/>
    <w:rsid w:val="00AF7611"/>
    <w:rsid w:val="00AF7794"/>
    <w:rsid w:val="00AF7B4A"/>
    <w:rsid w:val="00AF7DE6"/>
    <w:rsid w:val="00B006D7"/>
    <w:rsid w:val="00B00A55"/>
    <w:rsid w:val="00B00BD7"/>
    <w:rsid w:val="00B012B1"/>
    <w:rsid w:val="00B0170C"/>
    <w:rsid w:val="00B01775"/>
    <w:rsid w:val="00B019B6"/>
    <w:rsid w:val="00B02B79"/>
    <w:rsid w:val="00B03FE9"/>
    <w:rsid w:val="00B049EE"/>
    <w:rsid w:val="00B04DDE"/>
    <w:rsid w:val="00B04FF5"/>
    <w:rsid w:val="00B05083"/>
    <w:rsid w:val="00B0508E"/>
    <w:rsid w:val="00B0534D"/>
    <w:rsid w:val="00B05769"/>
    <w:rsid w:val="00B05DBA"/>
    <w:rsid w:val="00B06034"/>
    <w:rsid w:val="00B0603A"/>
    <w:rsid w:val="00B066A7"/>
    <w:rsid w:val="00B06A62"/>
    <w:rsid w:val="00B070E4"/>
    <w:rsid w:val="00B072D1"/>
    <w:rsid w:val="00B07E8C"/>
    <w:rsid w:val="00B1027C"/>
    <w:rsid w:val="00B105A1"/>
    <w:rsid w:val="00B106A5"/>
    <w:rsid w:val="00B10A65"/>
    <w:rsid w:val="00B11634"/>
    <w:rsid w:val="00B13DC0"/>
    <w:rsid w:val="00B15233"/>
    <w:rsid w:val="00B159C1"/>
    <w:rsid w:val="00B15A1C"/>
    <w:rsid w:val="00B15A2F"/>
    <w:rsid w:val="00B15D59"/>
    <w:rsid w:val="00B1670F"/>
    <w:rsid w:val="00B178F6"/>
    <w:rsid w:val="00B17A5E"/>
    <w:rsid w:val="00B203A9"/>
    <w:rsid w:val="00B203D6"/>
    <w:rsid w:val="00B2105C"/>
    <w:rsid w:val="00B21A6A"/>
    <w:rsid w:val="00B21E23"/>
    <w:rsid w:val="00B22DE7"/>
    <w:rsid w:val="00B23980"/>
    <w:rsid w:val="00B242BB"/>
    <w:rsid w:val="00B256C4"/>
    <w:rsid w:val="00B26B3D"/>
    <w:rsid w:val="00B26C59"/>
    <w:rsid w:val="00B26CED"/>
    <w:rsid w:val="00B271C6"/>
    <w:rsid w:val="00B27210"/>
    <w:rsid w:val="00B27D47"/>
    <w:rsid w:val="00B30D24"/>
    <w:rsid w:val="00B30DE3"/>
    <w:rsid w:val="00B31580"/>
    <w:rsid w:val="00B3168C"/>
    <w:rsid w:val="00B31EF6"/>
    <w:rsid w:val="00B324DD"/>
    <w:rsid w:val="00B3279D"/>
    <w:rsid w:val="00B32C09"/>
    <w:rsid w:val="00B33631"/>
    <w:rsid w:val="00B33982"/>
    <w:rsid w:val="00B348E1"/>
    <w:rsid w:val="00B34CD2"/>
    <w:rsid w:val="00B35EA4"/>
    <w:rsid w:val="00B360E6"/>
    <w:rsid w:val="00B3677F"/>
    <w:rsid w:val="00B369C5"/>
    <w:rsid w:val="00B3745D"/>
    <w:rsid w:val="00B40CCA"/>
    <w:rsid w:val="00B40D67"/>
    <w:rsid w:val="00B40DEB"/>
    <w:rsid w:val="00B413A2"/>
    <w:rsid w:val="00B41415"/>
    <w:rsid w:val="00B41B3B"/>
    <w:rsid w:val="00B41B7A"/>
    <w:rsid w:val="00B426B8"/>
    <w:rsid w:val="00B433D6"/>
    <w:rsid w:val="00B43858"/>
    <w:rsid w:val="00B43CAD"/>
    <w:rsid w:val="00B458DD"/>
    <w:rsid w:val="00B45B3A"/>
    <w:rsid w:val="00B47994"/>
    <w:rsid w:val="00B515AE"/>
    <w:rsid w:val="00B519FD"/>
    <w:rsid w:val="00B51E9E"/>
    <w:rsid w:val="00B53199"/>
    <w:rsid w:val="00B54475"/>
    <w:rsid w:val="00B546CF"/>
    <w:rsid w:val="00B54C7D"/>
    <w:rsid w:val="00B550BB"/>
    <w:rsid w:val="00B55688"/>
    <w:rsid w:val="00B55844"/>
    <w:rsid w:val="00B55BE4"/>
    <w:rsid w:val="00B561DA"/>
    <w:rsid w:val="00B568D5"/>
    <w:rsid w:val="00B56DEE"/>
    <w:rsid w:val="00B56E2A"/>
    <w:rsid w:val="00B57511"/>
    <w:rsid w:val="00B57E42"/>
    <w:rsid w:val="00B60154"/>
    <w:rsid w:val="00B60EA9"/>
    <w:rsid w:val="00B61002"/>
    <w:rsid w:val="00B6151B"/>
    <w:rsid w:val="00B61C9E"/>
    <w:rsid w:val="00B6203F"/>
    <w:rsid w:val="00B62067"/>
    <w:rsid w:val="00B626AE"/>
    <w:rsid w:val="00B63380"/>
    <w:rsid w:val="00B63911"/>
    <w:rsid w:val="00B63B1A"/>
    <w:rsid w:val="00B63C37"/>
    <w:rsid w:val="00B641D9"/>
    <w:rsid w:val="00B64355"/>
    <w:rsid w:val="00B645BC"/>
    <w:rsid w:val="00B64B01"/>
    <w:rsid w:val="00B64CEA"/>
    <w:rsid w:val="00B64D11"/>
    <w:rsid w:val="00B64EFB"/>
    <w:rsid w:val="00B65596"/>
    <w:rsid w:val="00B66240"/>
    <w:rsid w:val="00B66651"/>
    <w:rsid w:val="00B66BE4"/>
    <w:rsid w:val="00B67604"/>
    <w:rsid w:val="00B67D58"/>
    <w:rsid w:val="00B70148"/>
    <w:rsid w:val="00B70628"/>
    <w:rsid w:val="00B70985"/>
    <w:rsid w:val="00B70A5C"/>
    <w:rsid w:val="00B70D7A"/>
    <w:rsid w:val="00B70FF8"/>
    <w:rsid w:val="00B714B0"/>
    <w:rsid w:val="00B7171A"/>
    <w:rsid w:val="00B71B77"/>
    <w:rsid w:val="00B7214D"/>
    <w:rsid w:val="00B72A7F"/>
    <w:rsid w:val="00B72D3B"/>
    <w:rsid w:val="00B731B0"/>
    <w:rsid w:val="00B7334B"/>
    <w:rsid w:val="00B738AB"/>
    <w:rsid w:val="00B74B7C"/>
    <w:rsid w:val="00B74C71"/>
    <w:rsid w:val="00B75D5C"/>
    <w:rsid w:val="00B75D8B"/>
    <w:rsid w:val="00B76179"/>
    <w:rsid w:val="00B76AFC"/>
    <w:rsid w:val="00B80B77"/>
    <w:rsid w:val="00B80C33"/>
    <w:rsid w:val="00B81F05"/>
    <w:rsid w:val="00B82AE4"/>
    <w:rsid w:val="00B838BB"/>
    <w:rsid w:val="00B83D49"/>
    <w:rsid w:val="00B84857"/>
    <w:rsid w:val="00B85210"/>
    <w:rsid w:val="00B85253"/>
    <w:rsid w:val="00B857AB"/>
    <w:rsid w:val="00B85F24"/>
    <w:rsid w:val="00B85F4A"/>
    <w:rsid w:val="00B86DEB"/>
    <w:rsid w:val="00B8731E"/>
    <w:rsid w:val="00B87FE2"/>
    <w:rsid w:val="00B90DF5"/>
    <w:rsid w:val="00B9233B"/>
    <w:rsid w:val="00B9355D"/>
    <w:rsid w:val="00B9440F"/>
    <w:rsid w:val="00B94A00"/>
    <w:rsid w:val="00B96049"/>
    <w:rsid w:val="00B96290"/>
    <w:rsid w:val="00B972C2"/>
    <w:rsid w:val="00B976FA"/>
    <w:rsid w:val="00B97780"/>
    <w:rsid w:val="00B97D3C"/>
    <w:rsid w:val="00BA05F8"/>
    <w:rsid w:val="00BA1F2E"/>
    <w:rsid w:val="00BA2381"/>
    <w:rsid w:val="00BA23AB"/>
    <w:rsid w:val="00BA26A2"/>
    <w:rsid w:val="00BA296C"/>
    <w:rsid w:val="00BA339A"/>
    <w:rsid w:val="00BA36D3"/>
    <w:rsid w:val="00BA4840"/>
    <w:rsid w:val="00BA53D6"/>
    <w:rsid w:val="00BA5D31"/>
    <w:rsid w:val="00BA713E"/>
    <w:rsid w:val="00BB0F84"/>
    <w:rsid w:val="00BB0FA4"/>
    <w:rsid w:val="00BB3510"/>
    <w:rsid w:val="00BB3813"/>
    <w:rsid w:val="00BB4C2E"/>
    <w:rsid w:val="00BB5054"/>
    <w:rsid w:val="00BB5F83"/>
    <w:rsid w:val="00BB62DA"/>
    <w:rsid w:val="00BB7411"/>
    <w:rsid w:val="00BB796D"/>
    <w:rsid w:val="00BB7D3F"/>
    <w:rsid w:val="00BB7F45"/>
    <w:rsid w:val="00BC0897"/>
    <w:rsid w:val="00BC1E79"/>
    <w:rsid w:val="00BC2994"/>
    <w:rsid w:val="00BC3B21"/>
    <w:rsid w:val="00BC4385"/>
    <w:rsid w:val="00BC4F9F"/>
    <w:rsid w:val="00BC56F0"/>
    <w:rsid w:val="00BC5AB8"/>
    <w:rsid w:val="00BC64B6"/>
    <w:rsid w:val="00BC6613"/>
    <w:rsid w:val="00BC72C3"/>
    <w:rsid w:val="00BC7B66"/>
    <w:rsid w:val="00BD0D96"/>
    <w:rsid w:val="00BD0F4C"/>
    <w:rsid w:val="00BD12F5"/>
    <w:rsid w:val="00BD1DCD"/>
    <w:rsid w:val="00BD2B71"/>
    <w:rsid w:val="00BD2BD5"/>
    <w:rsid w:val="00BD3221"/>
    <w:rsid w:val="00BD3886"/>
    <w:rsid w:val="00BD3A4D"/>
    <w:rsid w:val="00BD431B"/>
    <w:rsid w:val="00BD4360"/>
    <w:rsid w:val="00BD4581"/>
    <w:rsid w:val="00BD4644"/>
    <w:rsid w:val="00BD59BE"/>
    <w:rsid w:val="00BD5D06"/>
    <w:rsid w:val="00BD5D0B"/>
    <w:rsid w:val="00BD66F3"/>
    <w:rsid w:val="00BD693A"/>
    <w:rsid w:val="00BD6C59"/>
    <w:rsid w:val="00BD78F1"/>
    <w:rsid w:val="00BD7D63"/>
    <w:rsid w:val="00BE028C"/>
    <w:rsid w:val="00BE0C90"/>
    <w:rsid w:val="00BE1006"/>
    <w:rsid w:val="00BE1019"/>
    <w:rsid w:val="00BE136A"/>
    <w:rsid w:val="00BE1488"/>
    <w:rsid w:val="00BE2117"/>
    <w:rsid w:val="00BE2821"/>
    <w:rsid w:val="00BE28CE"/>
    <w:rsid w:val="00BE2EAC"/>
    <w:rsid w:val="00BE32F2"/>
    <w:rsid w:val="00BE3991"/>
    <w:rsid w:val="00BE3C9E"/>
    <w:rsid w:val="00BE4576"/>
    <w:rsid w:val="00BE4FA0"/>
    <w:rsid w:val="00BE5103"/>
    <w:rsid w:val="00BE533B"/>
    <w:rsid w:val="00BE5D83"/>
    <w:rsid w:val="00BE6199"/>
    <w:rsid w:val="00BE69D2"/>
    <w:rsid w:val="00BE6B48"/>
    <w:rsid w:val="00BE740D"/>
    <w:rsid w:val="00BE7478"/>
    <w:rsid w:val="00BE7621"/>
    <w:rsid w:val="00BE776D"/>
    <w:rsid w:val="00BE7B98"/>
    <w:rsid w:val="00BF0071"/>
    <w:rsid w:val="00BF01A3"/>
    <w:rsid w:val="00BF0B58"/>
    <w:rsid w:val="00BF1669"/>
    <w:rsid w:val="00BF17C8"/>
    <w:rsid w:val="00BF25FA"/>
    <w:rsid w:val="00BF2915"/>
    <w:rsid w:val="00BF35F6"/>
    <w:rsid w:val="00BF3936"/>
    <w:rsid w:val="00BF590A"/>
    <w:rsid w:val="00BF6B1B"/>
    <w:rsid w:val="00BF6F04"/>
    <w:rsid w:val="00BF7471"/>
    <w:rsid w:val="00BF7573"/>
    <w:rsid w:val="00BF759E"/>
    <w:rsid w:val="00C007DD"/>
    <w:rsid w:val="00C01119"/>
    <w:rsid w:val="00C01549"/>
    <w:rsid w:val="00C02060"/>
    <w:rsid w:val="00C022A6"/>
    <w:rsid w:val="00C025D3"/>
    <w:rsid w:val="00C02AF7"/>
    <w:rsid w:val="00C02FB8"/>
    <w:rsid w:val="00C03097"/>
    <w:rsid w:val="00C040C8"/>
    <w:rsid w:val="00C0441E"/>
    <w:rsid w:val="00C048B2"/>
    <w:rsid w:val="00C05279"/>
    <w:rsid w:val="00C05F23"/>
    <w:rsid w:val="00C060B8"/>
    <w:rsid w:val="00C064DD"/>
    <w:rsid w:val="00C07173"/>
    <w:rsid w:val="00C105F8"/>
    <w:rsid w:val="00C10A7A"/>
    <w:rsid w:val="00C1107E"/>
    <w:rsid w:val="00C11FA2"/>
    <w:rsid w:val="00C126AB"/>
    <w:rsid w:val="00C13C79"/>
    <w:rsid w:val="00C14ABF"/>
    <w:rsid w:val="00C15C04"/>
    <w:rsid w:val="00C15D0E"/>
    <w:rsid w:val="00C16677"/>
    <w:rsid w:val="00C170F0"/>
    <w:rsid w:val="00C17AD5"/>
    <w:rsid w:val="00C20686"/>
    <w:rsid w:val="00C21501"/>
    <w:rsid w:val="00C21528"/>
    <w:rsid w:val="00C218B4"/>
    <w:rsid w:val="00C23DB1"/>
    <w:rsid w:val="00C24998"/>
    <w:rsid w:val="00C24A0D"/>
    <w:rsid w:val="00C254F0"/>
    <w:rsid w:val="00C26717"/>
    <w:rsid w:val="00C267F2"/>
    <w:rsid w:val="00C268B1"/>
    <w:rsid w:val="00C26DA8"/>
    <w:rsid w:val="00C27B47"/>
    <w:rsid w:val="00C27CD7"/>
    <w:rsid w:val="00C27D23"/>
    <w:rsid w:val="00C30134"/>
    <w:rsid w:val="00C304A3"/>
    <w:rsid w:val="00C30902"/>
    <w:rsid w:val="00C30A7E"/>
    <w:rsid w:val="00C31A85"/>
    <w:rsid w:val="00C31F23"/>
    <w:rsid w:val="00C3478D"/>
    <w:rsid w:val="00C353F5"/>
    <w:rsid w:val="00C35422"/>
    <w:rsid w:val="00C35428"/>
    <w:rsid w:val="00C35487"/>
    <w:rsid w:val="00C373D8"/>
    <w:rsid w:val="00C40200"/>
    <w:rsid w:val="00C403C5"/>
    <w:rsid w:val="00C41658"/>
    <w:rsid w:val="00C41DBE"/>
    <w:rsid w:val="00C41F96"/>
    <w:rsid w:val="00C42219"/>
    <w:rsid w:val="00C423D7"/>
    <w:rsid w:val="00C42491"/>
    <w:rsid w:val="00C44799"/>
    <w:rsid w:val="00C44A5A"/>
    <w:rsid w:val="00C45489"/>
    <w:rsid w:val="00C46053"/>
    <w:rsid w:val="00C462C2"/>
    <w:rsid w:val="00C46C40"/>
    <w:rsid w:val="00C46DD9"/>
    <w:rsid w:val="00C4718A"/>
    <w:rsid w:val="00C47A7C"/>
    <w:rsid w:val="00C47D22"/>
    <w:rsid w:val="00C47D73"/>
    <w:rsid w:val="00C50254"/>
    <w:rsid w:val="00C5060D"/>
    <w:rsid w:val="00C513FE"/>
    <w:rsid w:val="00C514A0"/>
    <w:rsid w:val="00C51709"/>
    <w:rsid w:val="00C51869"/>
    <w:rsid w:val="00C51D05"/>
    <w:rsid w:val="00C52E55"/>
    <w:rsid w:val="00C531B9"/>
    <w:rsid w:val="00C53A1F"/>
    <w:rsid w:val="00C5402C"/>
    <w:rsid w:val="00C54B50"/>
    <w:rsid w:val="00C54E54"/>
    <w:rsid w:val="00C5596B"/>
    <w:rsid w:val="00C56220"/>
    <w:rsid w:val="00C569BF"/>
    <w:rsid w:val="00C56AF5"/>
    <w:rsid w:val="00C57342"/>
    <w:rsid w:val="00C57396"/>
    <w:rsid w:val="00C577C5"/>
    <w:rsid w:val="00C60138"/>
    <w:rsid w:val="00C6085C"/>
    <w:rsid w:val="00C60AA4"/>
    <w:rsid w:val="00C61677"/>
    <w:rsid w:val="00C61748"/>
    <w:rsid w:val="00C61FD3"/>
    <w:rsid w:val="00C6236D"/>
    <w:rsid w:val="00C637E3"/>
    <w:rsid w:val="00C64177"/>
    <w:rsid w:val="00C64A20"/>
    <w:rsid w:val="00C650F7"/>
    <w:rsid w:val="00C654D3"/>
    <w:rsid w:val="00C65D20"/>
    <w:rsid w:val="00C66F0C"/>
    <w:rsid w:val="00C70971"/>
    <w:rsid w:val="00C70A0A"/>
    <w:rsid w:val="00C710AD"/>
    <w:rsid w:val="00C71258"/>
    <w:rsid w:val="00C725F0"/>
    <w:rsid w:val="00C730FE"/>
    <w:rsid w:val="00C73B80"/>
    <w:rsid w:val="00C73B84"/>
    <w:rsid w:val="00C74806"/>
    <w:rsid w:val="00C74BC2"/>
    <w:rsid w:val="00C751A2"/>
    <w:rsid w:val="00C757E4"/>
    <w:rsid w:val="00C75A3D"/>
    <w:rsid w:val="00C75BAE"/>
    <w:rsid w:val="00C765F6"/>
    <w:rsid w:val="00C7689E"/>
    <w:rsid w:val="00C76977"/>
    <w:rsid w:val="00C77083"/>
    <w:rsid w:val="00C7763A"/>
    <w:rsid w:val="00C80956"/>
    <w:rsid w:val="00C80BA0"/>
    <w:rsid w:val="00C8139C"/>
    <w:rsid w:val="00C818A3"/>
    <w:rsid w:val="00C82783"/>
    <w:rsid w:val="00C8327A"/>
    <w:rsid w:val="00C83490"/>
    <w:rsid w:val="00C83D53"/>
    <w:rsid w:val="00C842CF"/>
    <w:rsid w:val="00C8546D"/>
    <w:rsid w:val="00C85603"/>
    <w:rsid w:val="00C86393"/>
    <w:rsid w:val="00C86508"/>
    <w:rsid w:val="00C87005"/>
    <w:rsid w:val="00C87036"/>
    <w:rsid w:val="00C903AF"/>
    <w:rsid w:val="00C9269C"/>
    <w:rsid w:val="00C92811"/>
    <w:rsid w:val="00C92A83"/>
    <w:rsid w:val="00C935BD"/>
    <w:rsid w:val="00C93756"/>
    <w:rsid w:val="00C93B09"/>
    <w:rsid w:val="00C93D06"/>
    <w:rsid w:val="00C9448D"/>
    <w:rsid w:val="00C94D53"/>
    <w:rsid w:val="00C9557A"/>
    <w:rsid w:val="00C96A93"/>
    <w:rsid w:val="00C97F27"/>
    <w:rsid w:val="00C97F7E"/>
    <w:rsid w:val="00CA01BF"/>
    <w:rsid w:val="00CA06F2"/>
    <w:rsid w:val="00CA1084"/>
    <w:rsid w:val="00CA164D"/>
    <w:rsid w:val="00CA1BD1"/>
    <w:rsid w:val="00CA26F8"/>
    <w:rsid w:val="00CA2ED4"/>
    <w:rsid w:val="00CA37A0"/>
    <w:rsid w:val="00CA3A6A"/>
    <w:rsid w:val="00CA3DDE"/>
    <w:rsid w:val="00CA4CD5"/>
    <w:rsid w:val="00CA4DE8"/>
    <w:rsid w:val="00CA4EAF"/>
    <w:rsid w:val="00CA515C"/>
    <w:rsid w:val="00CA51F0"/>
    <w:rsid w:val="00CA548B"/>
    <w:rsid w:val="00CA5792"/>
    <w:rsid w:val="00CA7249"/>
    <w:rsid w:val="00CA7944"/>
    <w:rsid w:val="00CA7A8B"/>
    <w:rsid w:val="00CA7B72"/>
    <w:rsid w:val="00CA7C03"/>
    <w:rsid w:val="00CA7F99"/>
    <w:rsid w:val="00CB04D4"/>
    <w:rsid w:val="00CB09AB"/>
    <w:rsid w:val="00CB204E"/>
    <w:rsid w:val="00CB3119"/>
    <w:rsid w:val="00CB37EA"/>
    <w:rsid w:val="00CB38E8"/>
    <w:rsid w:val="00CB4B72"/>
    <w:rsid w:val="00CB5202"/>
    <w:rsid w:val="00CB53A6"/>
    <w:rsid w:val="00CB5BE5"/>
    <w:rsid w:val="00CB6E0E"/>
    <w:rsid w:val="00CB7422"/>
    <w:rsid w:val="00CB7552"/>
    <w:rsid w:val="00CB77B5"/>
    <w:rsid w:val="00CB7907"/>
    <w:rsid w:val="00CB7CE4"/>
    <w:rsid w:val="00CB7F71"/>
    <w:rsid w:val="00CC0F61"/>
    <w:rsid w:val="00CC2094"/>
    <w:rsid w:val="00CC2628"/>
    <w:rsid w:val="00CC2BC3"/>
    <w:rsid w:val="00CC49D0"/>
    <w:rsid w:val="00CC5032"/>
    <w:rsid w:val="00CC5362"/>
    <w:rsid w:val="00CC566E"/>
    <w:rsid w:val="00CC5935"/>
    <w:rsid w:val="00CC5DAB"/>
    <w:rsid w:val="00CC65CB"/>
    <w:rsid w:val="00CC6998"/>
    <w:rsid w:val="00CC762E"/>
    <w:rsid w:val="00CC7792"/>
    <w:rsid w:val="00CC7B79"/>
    <w:rsid w:val="00CC7C4A"/>
    <w:rsid w:val="00CC7EC6"/>
    <w:rsid w:val="00CD085D"/>
    <w:rsid w:val="00CD09BE"/>
    <w:rsid w:val="00CD1331"/>
    <w:rsid w:val="00CD2FC6"/>
    <w:rsid w:val="00CD5736"/>
    <w:rsid w:val="00CD5FCB"/>
    <w:rsid w:val="00CD7126"/>
    <w:rsid w:val="00CE0266"/>
    <w:rsid w:val="00CE0432"/>
    <w:rsid w:val="00CE0B49"/>
    <w:rsid w:val="00CE0F02"/>
    <w:rsid w:val="00CE135C"/>
    <w:rsid w:val="00CE1759"/>
    <w:rsid w:val="00CE1CFF"/>
    <w:rsid w:val="00CE1F50"/>
    <w:rsid w:val="00CE1FB6"/>
    <w:rsid w:val="00CE3CD7"/>
    <w:rsid w:val="00CE42B4"/>
    <w:rsid w:val="00CE51F0"/>
    <w:rsid w:val="00CE543E"/>
    <w:rsid w:val="00CE5462"/>
    <w:rsid w:val="00CE5612"/>
    <w:rsid w:val="00CE5C42"/>
    <w:rsid w:val="00CE6CBA"/>
    <w:rsid w:val="00CE7639"/>
    <w:rsid w:val="00CE79A7"/>
    <w:rsid w:val="00CF0574"/>
    <w:rsid w:val="00CF059D"/>
    <w:rsid w:val="00CF0637"/>
    <w:rsid w:val="00CF0C87"/>
    <w:rsid w:val="00CF0ECA"/>
    <w:rsid w:val="00CF0F89"/>
    <w:rsid w:val="00CF1F17"/>
    <w:rsid w:val="00CF249C"/>
    <w:rsid w:val="00CF2A98"/>
    <w:rsid w:val="00CF2CBA"/>
    <w:rsid w:val="00CF3141"/>
    <w:rsid w:val="00CF3246"/>
    <w:rsid w:val="00CF39EC"/>
    <w:rsid w:val="00CF3D0E"/>
    <w:rsid w:val="00CF5B92"/>
    <w:rsid w:val="00CF5F7A"/>
    <w:rsid w:val="00CF64CD"/>
    <w:rsid w:val="00CF6F81"/>
    <w:rsid w:val="00CF7BCB"/>
    <w:rsid w:val="00CF7BCF"/>
    <w:rsid w:val="00D00C6C"/>
    <w:rsid w:val="00D0108B"/>
    <w:rsid w:val="00D0109F"/>
    <w:rsid w:val="00D022B2"/>
    <w:rsid w:val="00D0241B"/>
    <w:rsid w:val="00D025D9"/>
    <w:rsid w:val="00D0345D"/>
    <w:rsid w:val="00D03E5C"/>
    <w:rsid w:val="00D04388"/>
    <w:rsid w:val="00D04946"/>
    <w:rsid w:val="00D04A08"/>
    <w:rsid w:val="00D05417"/>
    <w:rsid w:val="00D0682D"/>
    <w:rsid w:val="00D0710E"/>
    <w:rsid w:val="00D075E1"/>
    <w:rsid w:val="00D10069"/>
    <w:rsid w:val="00D112E7"/>
    <w:rsid w:val="00D118FB"/>
    <w:rsid w:val="00D121C9"/>
    <w:rsid w:val="00D121FE"/>
    <w:rsid w:val="00D12716"/>
    <w:rsid w:val="00D12ED8"/>
    <w:rsid w:val="00D12FE1"/>
    <w:rsid w:val="00D13541"/>
    <w:rsid w:val="00D13FFE"/>
    <w:rsid w:val="00D14194"/>
    <w:rsid w:val="00D141FA"/>
    <w:rsid w:val="00D14644"/>
    <w:rsid w:val="00D14D5A"/>
    <w:rsid w:val="00D151A1"/>
    <w:rsid w:val="00D1547A"/>
    <w:rsid w:val="00D15AC3"/>
    <w:rsid w:val="00D15FBF"/>
    <w:rsid w:val="00D16489"/>
    <w:rsid w:val="00D20747"/>
    <w:rsid w:val="00D2105B"/>
    <w:rsid w:val="00D21682"/>
    <w:rsid w:val="00D21E00"/>
    <w:rsid w:val="00D21EE6"/>
    <w:rsid w:val="00D2288C"/>
    <w:rsid w:val="00D22C07"/>
    <w:rsid w:val="00D23175"/>
    <w:rsid w:val="00D23AEB"/>
    <w:rsid w:val="00D240AC"/>
    <w:rsid w:val="00D24B25"/>
    <w:rsid w:val="00D24DC5"/>
    <w:rsid w:val="00D2564D"/>
    <w:rsid w:val="00D25F2C"/>
    <w:rsid w:val="00D2617F"/>
    <w:rsid w:val="00D275C9"/>
    <w:rsid w:val="00D27615"/>
    <w:rsid w:val="00D30392"/>
    <w:rsid w:val="00D30C72"/>
    <w:rsid w:val="00D3179E"/>
    <w:rsid w:val="00D3197E"/>
    <w:rsid w:val="00D31B8D"/>
    <w:rsid w:val="00D31EAD"/>
    <w:rsid w:val="00D32F1B"/>
    <w:rsid w:val="00D33236"/>
    <w:rsid w:val="00D33AD4"/>
    <w:rsid w:val="00D34112"/>
    <w:rsid w:val="00D34EF0"/>
    <w:rsid w:val="00D351BF"/>
    <w:rsid w:val="00D3585B"/>
    <w:rsid w:val="00D37463"/>
    <w:rsid w:val="00D4020F"/>
    <w:rsid w:val="00D40420"/>
    <w:rsid w:val="00D40E41"/>
    <w:rsid w:val="00D419A7"/>
    <w:rsid w:val="00D42EF3"/>
    <w:rsid w:val="00D43554"/>
    <w:rsid w:val="00D43780"/>
    <w:rsid w:val="00D43AD7"/>
    <w:rsid w:val="00D43AF2"/>
    <w:rsid w:val="00D44EDF"/>
    <w:rsid w:val="00D45AA9"/>
    <w:rsid w:val="00D45C38"/>
    <w:rsid w:val="00D45F7A"/>
    <w:rsid w:val="00D46787"/>
    <w:rsid w:val="00D46895"/>
    <w:rsid w:val="00D46A33"/>
    <w:rsid w:val="00D46C77"/>
    <w:rsid w:val="00D473D8"/>
    <w:rsid w:val="00D47889"/>
    <w:rsid w:val="00D47F53"/>
    <w:rsid w:val="00D507B7"/>
    <w:rsid w:val="00D514CC"/>
    <w:rsid w:val="00D51646"/>
    <w:rsid w:val="00D51873"/>
    <w:rsid w:val="00D5277D"/>
    <w:rsid w:val="00D52849"/>
    <w:rsid w:val="00D53882"/>
    <w:rsid w:val="00D5431C"/>
    <w:rsid w:val="00D5469E"/>
    <w:rsid w:val="00D54F1D"/>
    <w:rsid w:val="00D5555F"/>
    <w:rsid w:val="00D555AD"/>
    <w:rsid w:val="00D564F2"/>
    <w:rsid w:val="00D56704"/>
    <w:rsid w:val="00D56D53"/>
    <w:rsid w:val="00D56EAE"/>
    <w:rsid w:val="00D56F82"/>
    <w:rsid w:val="00D579F2"/>
    <w:rsid w:val="00D6012A"/>
    <w:rsid w:val="00D602A4"/>
    <w:rsid w:val="00D60576"/>
    <w:rsid w:val="00D6075D"/>
    <w:rsid w:val="00D60C45"/>
    <w:rsid w:val="00D6118E"/>
    <w:rsid w:val="00D61619"/>
    <w:rsid w:val="00D61C75"/>
    <w:rsid w:val="00D62049"/>
    <w:rsid w:val="00D62857"/>
    <w:rsid w:val="00D639A7"/>
    <w:rsid w:val="00D63D55"/>
    <w:rsid w:val="00D64600"/>
    <w:rsid w:val="00D6470B"/>
    <w:rsid w:val="00D64EC1"/>
    <w:rsid w:val="00D6530E"/>
    <w:rsid w:val="00D65C0B"/>
    <w:rsid w:val="00D65D49"/>
    <w:rsid w:val="00D66275"/>
    <w:rsid w:val="00D662C3"/>
    <w:rsid w:val="00D6691A"/>
    <w:rsid w:val="00D66F57"/>
    <w:rsid w:val="00D67DFF"/>
    <w:rsid w:val="00D7237A"/>
    <w:rsid w:val="00D72CB7"/>
    <w:rsid w:val="00D73BBC"/>
    <w:rsid w:val="00D73DA3"/>
    <w:rsid w:val="00D73F34"/>
    <w:rsid w:val="00D75087"/>
    <w:rsid w:val="00D75111"/>
    <w:rsid w:val="00D75A26"/>
    <w:rsid w:val="00D7628A"/>
    <w:rsid w:val="00D76F93"/>
    <w:rsid w:val="00D7747D"/>
    <w:rsid w:val="00D77799"/>
    <w:rsid w:val="00D77B6D"/>
    <w:rsid w:val="00D81106"/>
    <w:rsid w:val="00D81ACE"/>
    <w:rsid w:val="00D81C01"/>
    <w:rsid w:val="00D823BB"/>
    <w:rsid w:val="00D836C8"/>
    <w:rsid w:val="00D84282"/>
    <w:rsid w:val="00D84A5C"/>
    <w:rsid w:val="00D85887"/>
    <w:rsid w:val="00D85A09"/>
    <w:rsid w:val="00D863D9"/>
    <w:rsid w:val="00D865AC"/>
    <w:rsid w:val="00D90EE7"/>
    <w:rsid w:val="00D91320"/>
    <w:rsid w:val="00D91443"/>
    <w:rsid w:val="00D91AE8"/>
    <w:rsid w:val="00D91DD6"/>
    <w:rsid w:val="00D91DFE"/>
    <w:rsid w:val="00D92343"/>
    <w:rsid w:val="00D936F9"/>
    <w:rsid w:val="00D93C4E"/>
    <w:rsid w:val="00D944C4"/>
    <w:rsid w:val="00D94554"/>
    <w:rsid w:val="00D949FA"/>
    <w:rsid w:val="00D95AB6"/>
    <w:rsid w:val="00D9696D"/>
    <w:rsid w:val="00D96EE3"/>
    <w:rsid w:val="00D97888"/>
    <w:rsid w:val="00D97BE5"/>
    <w:rsid w:val="00D97D5D"/>
    <w:rsid w:val="00D97DC3"/>
    <w:rsid w:val="00D97E32"/>
    <w:rsid w:val="00DA013F"/>
    <w:rsid w:val="00DA1A9C"/>
    <w:rsid w:val="00DA1ACF"/>
    <w:rsid w:val="00DA1B4C"/>
    <w:rsid w:val="00DA1CBF"/>
    <w:rsid w:val="00DA27EB"/>
    <w:rsid w:val="00DA2EE3"/>
    <w:rsid w:val="00DA35AA"/>
    <w:rsid w:val="00DA443D"/>
    <w:rsid w:val="00DA4DB6"/>
    <w:rsid w:val="00DA572E"/>
    <w:rsid w:val="00DA5C4B"/>
    <w:rsid w:val="00DA6031"/>
    <w:rsid w:val="00DA6512"/>
    <w:rsid w:val="00DA6BC8"/>
    <w:rsid w:val="00DA6C1E"/>
    <w:rsid w:val="00DA75B3"/>
    <w:rsid w:val="00DB0154"/>
    <w:rsid w:val="00DB016B"/>
    <w:rsid w:val="00DB036A"/>
    <w:rsid w:val="00DB0655"/>
    <w:rsid w:val="00DB097A"/>
    <w:rsid w:val="00DB1594"/>
    <w:rsid w:val="00DB1E19"/>
    <w:rsid w:val="00DB352E"/>
    <w:rsid w:val="00DB35F6"/>
    <w:rsid w:val="00DB38B9"/>
    <w:rsid w:val="00DB607C"/>
    <w:rsid w:val="00DB610A"/>
    <w:rsid w:val="00DB63F6"/>
    <w:rsid w:val="00DB6479"/>
    <w:rsid w:val="00DB6A17"/>
    <w:rsid w:val="00DB7D80"/>
    <w:rsid w:val="00DC0DE7"/>
    <w:rsid w:val="00DC18EA"/>
    <w:rsid w:val="00DC287A"/>
    <w:rsid w:val="00DC332B"/>
    <w:rsid w:val="00DC410F"/>
    <w:rsid w:val="00DC467B"/>
    <w:rsid w:val="00DC4904"/>
    <w:rsid w:val="00DC4A5B"/>
    <w:rsid w:val="00DC5664"/>
    <w:rsid w:val="00DC5972"/>
    <w:rsid w:val="00DC59E5"/>
    <w:rsid w:val="00DC5CCD"/>
    <w:rsid w:val="00DC6702"/>
    <w:rsid w:val="00DC6BB8"/>
    <w:rsid w:val="00DC7D3D"/>
    <w:rsid w:val="00DC7D7F"/>
    <w:rsid w:val="00DD01A7"/>
    <w:rsid w:val="00DD01D7"/>
    <w:rsid w:val="00DD02CF"/>
    <w:rsid w:val="00DD0CB1"/>
    <w:rsid w:val="00DD1003"/>
    <w:rsid w:val="00DD156C"/>
    <w:rsid w:val="00DD17D3"/>
    <w:rsid w:val="00DD1E11"/>
    <w:rsid w:val="00DD2562"/>
    <w:rsid w:val="00DD2931"/>
    <w:rsid w:val="00DD3816"/>
    <w:rsid w:val="00DD3B28"/>
    <w:rsid w:val="00DD3D77"/>
    <w:rsid w:val="00DD445B"/>
    <w:rsid w:val="00DD45F6"/>
    <w:rsid w:val="00DD481A"/>
    <w:rsid w:val="00DE0839"/>
    <w:rsid w:val="00DE0C2B"/>
    <w:rsid w:val="00DE185C"/>
    <w:rsid w:val="00DE18C9"/>
    <w:rsid w:val="00DE2583"/>
    <w:rsid w:val="00DE2BCD"/>
    <w:rsid w:val="00DE3DEB"/>
    <w:rsid w:val="00DE40DB"/>
    <w:rsid w:val="00DE433A"/>
    <w:rsid w:val="00DE439B"/>
    <w:rsid w:val="00DE4556"/>
    <w:rsid w:val="00DE4586"/>
    <w:rsid w:val="00DE4588"/>
    <w:rsid w:val="00DE52B1"/>
    <w:rsid w:val="00DE60A8"/>
    <w:rsid w:val="00DE65E8"/>
    <w:rsid w:val="00DE69E9"/>
    <w:rsid w:val="00DE6AA5"/>
    <w:rsid w:val="00DE70E7"/>
    <w:rsid w:val="00DF01EE"/>
    <w:rsid w:val="00DF0FA3"/>
    <w:rsid w:val="00DF2E96"/>
    <w:rsid w:val="00DF3335"/>
    <w:rsid w:val="00DF3430"/>
    <w:rsid w:val="00DF3B25"/>
    <w:rsid w:val="00DF3F8D"/>
    <w:rsid w:val="00DF43EC"/>
    <w:rsid w:val="00DF4AA1"/>
    <w:rsid w:val="00DF52FB"/>
    <w:rsid w:val="00DF6635"/>
    <w:rsid w:val="00DF6B51"/>
    <w:rsid w:val="00DF6C26"/>
    <w:rsid w:val="00DF79BA"/>
    <w:rsid w:val="00DF7A53"/>
    <w:rsid w:val="00E00CD7"/>
    <w:rsid w:val="00E015E6"/>
    <w:rsid w:val="00E017C0"/>
    <w:rsid w:val="00E01A39"/>
    <w:rsid w:val="00E01BB7"/>
    <w:rsid w:val="00E01C14"/>
    <w:rsid w:val="00E020CB"/>
    <w:rsid w:val="00E0243B"/>
    <w:rsid w:val="00E028E4"/>
    <w:rsid w:val="00E03280"/>
    <w:rsid w:val="00E03A0C"/>
    <w:rsid w:val="00E03A99"/>
    <w:rsid w:val="00E04A58"/>
    <w:rsid w:val="00E051A2"/>
    <w:rsid w:val="00E054E3"/>
    <w:rsid w:val="00E05A49"/>
    <w:rsid w:val="00E0632E"/>
    <w:rsid w:val="00E06897"/>
    <w:rsid w:val="00E0706D"/>
    <w:rsid w:val="00E07097"/>
    <w:rsid w:val="00E0726E"/>
    <w:rsid w:val="00E07FFE"/>
    <w:rsid w:val="00E10063"/>
    <w:rsid w:val="00E11235"/>
    <w:rsid w:val="00E115F0"/>
    <w:rsid w:val="00E1189D"/>
    <w:rsid w:val="00E1193C"/>
    <w:rsid w:val="00E11DB1"/>
    <w:rsid w:val="00E11E76"/>
    <w:rsid w:val="00E141FF"/>
    <w:rsid w:val="00E14AAA"/>
    <w:rsid w:val="00E14F5A"/>
    <w:rsid w:val="00E15A46"/>
    <w:rsid w:val="00E16EA5"/>
    <w:rsid w:val="00E16FBE"/>
    <w:rsid w:val="00E17207"/>
    <w:rsid w:val="00E17E25"/>
    <w:rsid w:val="00E204AE"/>
    <w:rsid w:val="00E20DD0"/>
    <w:rsid w:val="00E210A9"/>
    <w:rsid w:val="00E212A4"/>
    <w:rsid w:val="00E21955"/>
    <w:rsid w:val="00E21A62"/>
    <w:rsid w:val="00E229BE"/>
    <w:rsid w:val="00E23216"/>
    <w:rsid w:val="00E24367"/>
    <w:rsid w:val="00E243AA"/>
    <w:rsid w:val="00E246B9"/>
    <w:rsid w:val="00E2472F"/>
    <w:rsid w:val="00E24C7C"/>
    <w:rsid w:val="00E251F7"/>
    <w:rsid w:val="00E259D0"/>
    <w:rsid w:val="00E25A6A"/>
    <w:rsid w:val="00E25B45"/>
    <w:rsid w:val="00E2619B"/>
    <w:rsid w:val="00E2767D"/>
    <w:rsid w:val="00E3007E"/>
    <w:rsid w:val="00E30653"/>
    <w:rsid w:val="00E30A10"/>
    <w:rsid w:val="00E30BD3"/>
    <w:rsid w:val="00E3106B"/>
    <w:rsid w:val="00E316CA"/>
    <w:rsid w:val="00E3252E"/>
    <w:rsid w:val="00E331D5"/>
    <w:rsid w:val="00E331F3"/>
    <w:rsid w:val="00E341E2"/>
    <w:rsid w:val="00E342D9"/>
    <w:rsid w:val="00E348E8"/>
    <w:rsid w:val="00E34C23"/>
    <w:rsid w:val="00E34CA3"/>
    <w:rsid w:val="00E34D8E"/>
    <w:rsid w:val="00E3508A"/>
    <w:rsid w:val="00E35B32"/>
    <w:rsid w:val="00E35D15"/>
    <w:rsid w:val="00E36A64"/>
    <w:rsid w:val="00E36CB6"/>
    <w:rsid w:val="00E37208"/>
    <w:rsid w:val="00E416BC"/>
    <w:rsid w:val="00E419B5"/>
    <w:rsid w:val="00E41A7F"/>
    <w:rsid w:val="00E42553"/>
    <w:rsid w:val="00E43A18"/>
    <w:rsid w:val="00E4549E"/>
    <w:rsid w:val="00E4633E"/>
    <w:rsid w:val="00E46C8E"/>
    <w:rsid w:val="00E470C5"/>
    <w:rsid w:val="00E47FB2"/>
    <w:rsid w:val="00E51D0C"/>
    <w:rsid w:val="00E51E72"/>
    <w:rsid w:val="00E5202F"/>
    <w:rsid w:val="00E53232"/>
    <w:rsid w:val="00E53754"/>
    <w:rsid w:val="00E540ED"/>
    <w:rsid w:val="00E54D52"/>
    <w:rsid w:val="00E55128"/>
    <w:rsid w:val="00E556A8"/>
    <w:rsid w:val="00E566E5"/>
    <w:rsid w:val="00E575E1"/>
    <w:rsid w:val="00E57EE1"/>
    <w:rsid w:val="00E60648"/>
    <w:rsid w:val="00E60775"/>
    <w:rsid w:val="00E60864"/>
    <w:rsid w:val="00E60C74"/>
    <w:rsid w:val="00E6119C"/>
    <w:rsid w:val="00E61B01"/>
    <w:rsid w:val="00E61B08"/>
    <w:rsid w:val="00E62002"/>
    <w:rsid w:val="00E6239C"/>
    <w:rsid w:val="00E628A6"/>
    <w:rsid w:val="00E62917"/>
    <w:rsid w:val="00E62ABB"/>
    <w:rsid w:val="00E635F0"/>
    <w:rsid w:val="00E63AB6"/>
    <w:rsid w:val="00E63BA3"/>
    <w:rsid w:val="00E651DD"/>
    <w:rsid w:val="00E65901"/>
    <w:rsid w:val="00E66AEB"/>
    <w:rsid w:val="00E66EC4"/>
    <w:rsid w:val="00E66F8A"/>
    <w:rsid w:val="00E6714E"/>
    <w:rsid w:val="00E67370"/>
    <w:rsid w:val="00E679D5"/>
    <w:rsid w:val="00E67B79"/>
    <w:rsid w:val="00E70B3F"/>
    <w:rsid w:val="00E70D46"/>
    <w:rsid w:val="00E70F31"/>
    <w:rsid w:val="00E71145"/>
    <w:rsid w:val="00E72DAD"/>
    <w:rsid w:val="00E730CD"/>
    <w:rsid w:val="00E7343D"/>
    <w:rsid w:val="00E73DDA"/>
    <w:rsid w:val="00E73EE0"/>
    <w:rsid w:val="00E7496A"/>
    <w:rsid w:val="00E75714"/>
    <w:rsid w:val="00E76DED"/>
    <w:rsid w:val="00E770B0"/>
    <w:rsid w:val="00E7750F"/>
    <w:rsid w:val="00E77723"/>
    <w:rsid w:val="00E77F03"/>
    <w:rsid w:val="00E80029"/>
    <w:rsid w:val="00E80B94"/>
    <w:rsid w:val="00E811A3"/>
    <w:rsid w:val="00E817D5"/>
    <w:rsid w:val="00E81FD3"/>
    <w:rsid w:val="00E82268"/>
    <w:rsid w:val="00E82305"/>
    <w:rsid w:val="00E8337B"/>
    <w:rsid w:val="00E83A84"/>
    <w:rsid w:val="00E83C7C"/>
    <w:rsid w:val="00E83D42"/>
    <w:rsid w:val="00E83DDE"/>
    <w:rsid w:val="00E848C5"/>
    <w:rsid w:val="00E84AF4"/>
    <w:rsid w:val="00E84BF0"/>
    <w:rsid w:val="00E84CB1"/>
    <w:rsid w:val="00E84DE8"/>
    <w:rsid w:val="00E84E52"/>
    <w:rsid w:val="00E854A6"/>
    <w:rsid w:val="00E85546"/>
    <w:rsid w:val="00E85CBF"/>
    <w:rsid w:val="00E86228"/>
    <w:rsid w:val="00E865B2"/>
    <w:rsid w:val="00E8674D"/>
    <w:rsid w:val="00E87CDA"/>
    <w:rsid w:val="00E87F70"/>
    <w:rsid w:val="00E9018B"/>
    <w:rsid w:val="00E91EF1"/>
    <w:rsid w:val="00E926B4"/>
    <w:rsid w:val="00E92DD3"/>
    <w:rsid w:val="00E93044"/>
    <w:rsid w:val="00E93B4E"/>
    <w:rsid w:val="00E93F44"/>
    <w:rsid w:val="00E941C4"/>
    <w:rsid w:val="00E9485D"/>
    <w:rsid w:val="00E9495C"/>
    <w:rsid w:val="00E95023"/>
    <w:rsid w:val="00E9530A"/>
    <w:rsid w:val="00E97083"/>
    <w:rsid w:val="00E979AE"/>
    <w:rsid w:val="00EA016C"/>
    <w:rsid w:val="00EA175E"/>
    <w:rsid w:val="00EA1889"/>
    <w:rsid w:val="00EA3397"/>
    <w:rsid w:val="00EA396D"/>
    <w:rsid w:val="00EA41BD"/>
    <w:rsid w:val="00EA4338"/>
    <w:rsid w:val="00EA4340"/>
    <w:rsid w:val="00EA582F"/>
    <w:rsid w:val="00EA6057"/>
    <w:rsid w:val="00EA6EC4"/>
    <w:rsid w:val="00EA6F4E"/>
    <w:rsid w:val="00EA768E"/>
    <w:rsid w:val="00EB0134"/>
    <w:rsid w:val="00EB2A1D"/>
    <w:rsid w:val="00EB3757"/>
    <w:rsid w:val="00EB3AB2"/>
    <w:rsid w:val="00EB3C5B"/>
    <w:rsid w:val="00EB4131"/>
    <w:rsid w:val="00EB4D71"/>
    <w:rsid w:val="00EB550B"/>
    <w:rsid w:val="00EB570B"/>
    <w:rsid w:val="00EB58AA"/>
    <w:rsid w:val="00EB5C21"/>
    <w:rsid w:val="00EB5DCE"/>
    <w:rsid w:val="00EB5F2D"/>
    <w:rsid w:val="00EB61C9"/>
    <w:rsid w:val="00EB6703"/>
    <w:rsid w:val="00EB6BA2"/>
    <w:rsid w:val="00EB6FF1"/>
    <w:rsid w:val="00EB72F6"/>
    <w:rsid w:val="00EB7F45"/>
    <w:rsid w:val="00EC0CEC"/>
    <w:rsid w:val="00EC15CE"/>
    <w:rsid w:val="00EC186C"/>
    <w:rsid w:val="00EC1A2D"/>
    <w:rsid w:val="00EC28EB"/>
    <w:rsid w:val="00EC3088"/>
    <w:rsid w:val="00EC4105"/>
    <w:rsid w:val="00EC44A8"/>
    <w:rsid w:val="00EC6100"/>
    <w:rsid w:val="00EC66A6"/>
    <w:rsid w:val="00EC67CB"/>
    <w:rsid w:val="00EC7383"/>
    <w:rsid w:val="00EC7AF0"/>
    <w:rsid w:val="00EC7E3C"/>
    <w:rsid w:val="00ED07ED"/>
    <w:rsid w:val="00ED10CE"/>
    <w:rsid w:val="00ED15C9"/>
    <w:rsid w:val="00ED21CA"/>
    <w:rsid w:val="00ED2249"/>
    <w:rsid w:val="00ED3002"/>
    <w:rsid w:val="00ED3823"/>
    <w:rsid w:val="00ED4140"/>
    <w:rsid w:val="00ED4343"/>
    <w:rsid w:val="00ED4C38"/>
    <w:rsid w:val="00ED4EE6"/>
    <w:rsid w:val="00ED4F97"/>
    <w:rsid w:val="00ED68C4"/>
    <w:rsid w:val="00EE17B9"/>
    <w:rsid w:val="00EE17D9"/>
    <w:rsid w:val="00EE1A16"/>
    <w:rsid w:val="00EE1AB9"/>
    <w:rsid w:val="00EE1DB1"/>
    <w:rsid w:val="00EE3357"/>
    <w:rsid w:val="00EE33D4"/>
    <w:rsid w:val="00EE3630"/>
    <w:rsid w:val="00EE4095"/>
    <w:rsid w:val="00EE4A1C"/>
    <w:rsid w:val="00EE4C25"/>
    <w:rsid w:val="00EE56B5"/>
    <w:rsid w:val="00EE5950"/>
    <w:rsid w:val="00EE66C7"/>
    <w:rsid w:val="00EE6969"/>
    <w:rsid w:val="00EE6A8D"/>
    <w:rsid w:val="00EE6B5F"/>
    <w:rsid w:val="00EE749D"/>
    <w:rsid w:val="00EE78B5"/>
    <w:rsid w:val="00EE7CBC"/>
    <w:rsid w:val="00EE7D83"/>
    <w:rsid w:val="00EE7FBB"/>
    <w:rsid w:val="00EF074A"/>
    <w:rsid w:val="00EF0902"/>
    <w:rsid w:val="00EF0EF6"/>
    <w:rsid w:val="00EF21AB"/>
    <w:rsid w:val="00EF2CBD"/>
    <w:rsid w:val="00EF3001"/>
    <w:rsid w:val="00EF36BC"/>
    <w:rsid w:val="00EF4229"/>
    <w:rsid w:val="00EF4263"/>
    <w:rsid w:val="00EF42D2"/>
    <w:rsid w:val="00EF4C00"/>
    <w:rsid w:val="00EF537F"/>
    <w:rsid w:val="00EF53CF"/>
    <w:rsid w:val="00EF5D81"/>
    <w:rsid w:val="00EF6919"/>
    <w:rsid w:val="00EF74EC"/>
    <w:rsid w:val="00F00062"/>
    <w:rsid w:val="00F0162E"/>
    <w:rsid w:val="00F01E12"/>
    <w:rsid w:val="00F02007"/>
    <w:rsid w:val="00F021B2"/>
    <w:rsid w:val="00F02B17"/>
    <w:rsid w:val="00F02CC8"/>
    <w:rsid w:val="00F03088"/>
    <w:rsid w:val="00F03349"/>
    <w:rsid w:val="00F03C13"/>
    <w:rsid w:val="00F03E04"/>
    <w:rsid w:val="00F04BD3"/>
    <w:rsid w:val="00F050E3"/>
    <w:rsid w:val="00F07A94"/>
    <w:rsid w:val="00F10258"/>
    <w:rsid w:val="00F1084B"/>
    <w:rsid w:val="00F110D0"/>
    <w:rsid w:val="00F114F3"/>
    <w:rsid w:val="00F11A44"/>
    <w:rsid w:val="00F12CE7"/>
    <w:rsid w:val="00F148DE"/>
    <w:rsid w:val="00F14BD3"/>
    <w:rsid w:val="00F14C1A"/>
    <w:rsid w:val="00F14FBC"/>
    <w:rsid w:val="00F151E3"/>
    <w:rsid w:val="00F151EA"/>
    <w:rsid w:val="00F15BB1"/>
    <w:rsid w:val="00F164B5"/>
    <w:rsid w:val="00F167E3"/>
    <w:rsid w:val="00F16FD3"/>
    <w:rsid w:val="00F1759B"/>
    <w:rsid w:val="00F17673"/>
    <w:rsid w:val="00F17713"/>
    <w:rsid w:val="00F224D8"/>
    <w:rsid w:val="00F23205"/>
    <w:rsid w:val="00F2330B"/>
    <w:rsid w:val="00F2343E"/>
    <w:rsid w:val="00F23708"/>
    <w:rsid w:val="00F23752"/>
    <w:rsid w:val="00F23E38"/>
    <w:rsid w:val="00F2401F"/>
    <w:rsid w:val="00F248DD"/>
    <w:rsid w:val="00F249A6"/>
    <w:rsid w:val="00F2554B"/>
    <w:rsid w:val="00F259D2"/>
    <w:rsid w:val="00F25AC0"/>
    <w:rsid w:val="00F261B2"/>
    <w:rsid w:val="00F268AB"/>
    <w:rsid w:val="00F301FD"/>
    <w:rsid w:val="00F304E9"/>
    <w:rsid w:val="00F32152"/>
    <w:rsid w:val="00F32B45"/>
    <w:rsid w:val="00F33500"/>
    <w:rsid w:val="00F339EC"/>
    <w:rsid w:val="00F33E71"/>
    <w:rsid w:val="00F34F68"/>
    <w:rsid w:val="00F352AA"/>
    <w:rsid w:val="00F366F2"/>
    <w:rsid w:val="00F37234"/>
    <w:rsid w:val="00F37254"/>
    <w:rsid w:val="00F37353"/>
    <w:rsid w:val="00F40EA1"/>
    <w:rsid w:val="00F41446"/>
    <w:rsid w:val="00F41754"/>
    <w:rsid w:val="00F4199F"/>
    <w:rsid w:val="00F41BCD"/>
    <w:rsid w:val="00F420E6"/>
    <w:rsid w:val="00F42250"/>
    <w:rsid w:val="00F42307"/>
    <w:rsid w:val="00F4263E"/>
    <w:rsid w:val="00F4281D"/>
    <w:rsid w:val="00F42A46"/>
    <w:rsid w:val="00F42A4F"/>
    <w:rsid w:val="00F4316F"/>
    <w:rsid w:val="00F432E9"/>
    <w:rsid w:val="00F4345B"/>
    <w:rsid w:val="00F43637"/>
    <w:rsid w:val="00F43C48"/>
    <w:rsid w:val="00F4566B"/>
    <w:rsid w:val="00F4567E"/>
    <w:rsid w:val="00F45AC0"/>
    <w:rsid w:val="00F465A2"/>
    <w:rsid w:val="00F46641"/>
    <w:rsid w:val="00F4672D"/>
    <w:rsid w:val="00F471C3"/>
    <w:rsid w:val="00F47DC5"/>
    <w:rsid w:val="00F50DCD"/>
    <w:rsid w:val="00F511AB"/>
    <w:rsid w:val="00F515BA"/>
    <w:rsid w:val="00F52036"/>
    <w:rsid w:val="00F526D0"/>
    <w:rsid w:val="00F52770"/>
    <w:rsid w:val="00F5296B"/>
    <w:rsid w:val="00F52BBA"/>
    <w:rsid w:val="00F52CB3"/>
    <w:rsid w:val="00F52E4D"/>
    <w:rsid w:val="00F538A2"/>
    <w:rsid w:val="00F5399D"/>
    <w:rsid w:val="00F53DEE"/>
    <w:rsid w:val="00F541A4"/>
    <w:rsid w:val="00F54698"/>
    <w:rsid w:val="00F55530"/>
    <w:rsid w:val="00F555D2"/>
    <w:rsid w:val="00F55EE3"/>
    <w:rsid w:val="00F5672D"/>
    <w:rsid w:val="00F56AA2"/>
    <w:rsid w:val="00F575F8"/>
    <w:rsid w:val="00F57763"/>
    <w:rsid w:val="00F57B6D"/>
    <w:rsid w:val="00F608E0"/>
    <w:rsid w:val="00F60C96"/>
    <w:rsid w:val="00F60D6C"/>
    <w:rsid w:val="00F61208"/>
    <w:rsid w:val="00F618C3"/>
    <w:rsid w:val="00F61FDB"/>
    <w:rsid w:val="00F626F6"/>
    <w:rsid w:val="00F62962"/>
    <w:rsid w:val="00F62E5C"/>
    <w:rsid w:val="00F63455"/>
    <w:rsid w:val="00F63D55"/>
    <w:rsid w:val="00F64FF9"/>
    <w:rsid w:val="00F651C8"/>
    <w:rsid w:val="00F65520"/>
    <w:rsid w:val="00F656BA"/>
    <w:rsid w:val="00F65E7D"/>
    <w:rsid w:val="00F66341"/>
    <w:rsid w:val="00F67D4D"/>
    <w:rsid w:val="00F70147"/>
    <w:rsid w:val="00F7124C"/>
    <w:rsid w:val="00F7177F"/>
    <w:rsid w:val="00F7234C"/>
    <w:rsid w:val="00F727E2"/>
    <w:rsid w:val="00F72CB0"/>
    <w:rsid w:val="00F734AC"/>
    <w:rsid w:val="00F737D9"/>
    <w:rsid w:val="00F73DAF"/>
    <w:rsid w:val="00F73FE8"/>
    <w:rsid w:val="00F7514A"/>
    <w:rsid w:val="00F75666"/>
    <w:rsid w:val="00F76253"/>
    <w:rsid w:val="00F769D3"/>
    <w:rsid w:val="00F76AAB"/>
    <w:rsid w:val="00F77100"/>
    <w:rsid w:val="00F77420"/>
    <w:rsid w:val="00F77656"/>
    <w:rsid w:val="00F77828"/>
    <w:rsid w:val="00F77C15"/>
    <w:rsid w:val="00F77F2F"/>
    <w:rsid w:val="00F801B0"/>
    <w:rsid w:val="00F80385"/>
    <w:rsid w:val="00F807C4"/>
    <w:rsid w:val="00F819A7"/>
    <w:rsid w:val="00F82924"/>
    <w:rsid w:val="00F834CD"/>
    <w:rsid w:val="00F83929"/>
    <w:rsid w:val="00F839E5"/>
    <w:rsid w:val="00F83CBE"/>
    <w:rsid w:val="00F843EB"/>
    <w:rsid w:val="00F84FFD"/>
    <w:rsid w:val="00F866E7"/>
    <w:rsid w:val="00F86C02"/>
    <w:rsid w:val="00F86ECC"/>
    <w:rsid w:val="00F8766C"/>
    <w:rsid w:val="00F878F3"/>
    <w:rsid w:val="00F87AEB"/>
    <w:rsid w:val="00F90CFE"/>
    <w:rsid w:val="00F91385"/>
    <w:rsid w:val="00F917B3"/>
    <w:rsid w:val="00F92C35"/>
    <w:rsid w:val="00F941C2"/>
    <w:rsid w:val="00F94208"/>
    <w:rsid w:val="00F94645"/>
    <w:rsid w:val="00F94ACF"/>
    <w:rsid w:val="00F95038"/>
    <w:rsid w:val="00F95B49"/>
    <w:rsid w:val="00F96029"/>
    <w:rsid w:val="00F960DA"/>
    <w:rsid w:val="00F9705C"/>
    <w:rsid w:val="00F97624"/>
    <w:rsid w:val="00FA0D0A"/>
    <w:rsid w:val="00FA177A"/>
    <w:rsid w:val="00FA180E"/>
    <w:rsid w:val="00FA1EA3"/>
    <w:rsid w:val="00FA2049"/>
    <w:rsid w:val="00FA269D"/>
    <w:rsid w:val="00FA2DD9"/>
    <w:rsid w:val="00FA3241"/>
    <w:rsid w:val="00FA4418"/>
    <w:rsid w:val="00FA4566"/>
    <w:rsid w:val="00FA5954"/>
    <w:rsid w:val="00FA5ACD"/>
    <w:rsid w:val="00FA5AEF"/>
    <w:rsid w:val="00FA641D"/>
    <w:rsid w:val="00FA6862"/>
    <w:rsid w:val="00FA6AD4"/>
    <w:rsid w:val="00FA6D86"/>
    <w:rsid w:val="00FA73B6"/>
    <w:rsid w:val="00FA7E74"/>
    <w:rsid w:val="00FB00C2"/>
    <w:rsid w:val="00FB019A"/>
    <w:rsid w:val="00FB033C"/>
    <w:rsid w:val="00FB107E"/>
    <w:rsid w:val="00FB14CA"/>
    <w:rsid w:val="00FB2C54"/>
    <w:rsid w:val="00FB4696"/>
    <w:rsid w:val="00FB47EB"/>
    <w:rsid w:val="00FB4B43"/>
    <w:rsid w:val="00FB5257"/>
    <w:rsid w:val="00FB530A"/>
    <w:rsid w:val="00FB6583"/>
    <w:rsid w:val="00FB65C8"/>
    <w:rsid w:val="00FB6ADE"/>
    <w:rsid w:val="00FB740D"/>
    <w:rsid w:val="00FC06C4"/>
    <w:rsid w:val="00FC0C59"/>
    <w:rsid w:val="00FC0CE9"/>
    <w:rsid w:val="00FC1B16"/>
    <w:rsid w:val="00FC1B41"/>
    <w:rsid w:val="00FC4941"/>
    <w:rsid w:val="00FC69D4"/>
    <w:rsid w:val="00FC6FB2"/>
    <w:rsid w:val="00FC7252"/>
    <w:rsid w:val="00FC7E69"/>
    <w:rsid w:val="00FC7F9B"/>
    <w:rsid w:val="00FD02EE"/>
    <w:rsid w:val="00FD0734"/>
    <w:rsid w:val="00FD0764"/>
    <w:rsid w:val="00FD0BB0"/>
    <w:rsid w:val="00FD0E45"/>
    <w:rsid w:val="00FD0FB3"/>
    <w:rsid w:val="00FD1442"/>
    <w:rsid w:val="00FD1BAB"/>
    <w:rsid w:val="00FD1FA9"/>
    <w:rsid w:val="00FD26CD"/>
    <w:rsid w:val="00FD448E"/>
    <w:rsid w:val="00FD487F"/>
    <w:rsid w:val="00FD557C"/>
    <w:rsid w:val="00FD5F87"/>
    <w:rsid w:val="00FD6D4D"/>
    <w:rsid w:val="00FD7864"/>
    <w:rsid w:val="00FE02BE"/>
    <w:rsid w:val="00FE04DA"/>
    <w:rsid w:val="00FE1045"/>
    <w:rsid w:val="00FE1257"/>
    <w:rsid w:val="00FE22BE"/>
    <w:rsid w:val="00FE2885"/>
    <w:rsid w:val="00FE2D84"/>
    <w:rsid w:val="00FE4DD9"/>
    <w:rsid w:val="00FE513B"/>
    <w:rsid w:val="00FE53F9"/>
    <w:rsid w:val="00FE5B1F"/>
    <w:rsid w:val="00FE5F72"/>
    <w:rsid w:val="00FE623B"/>
    <w:rsid w:val="00FE7530"/>
    <w:rsid w:val="00FE7E39"/>
    <w:rsid w:val="00FE7FA1"/>
    <w:rsid w:val="00FF020E"/>
    <w:rsid w:val="00FF037F"/>
    <w:rsid w:val="00FF0A53"/>
    <w:rsid w:val="00FF0E31"/>
    <w:rsid w:val="00FF0F89"/>
    <w:rsid w:val="00FF1B4E"/>
    <w:rsid w:val="00FF28D5"/>
    <w:rsid w:val="00FF2D87"/>
    <w:rsid w:val="00FF3267"/>
    <w:rsid w:val="00FF3568"/>
    <w:rsid w:val="00FF4162"/>
    <w:rsid w:val="00FF4489"/>
    <w:rsid w:val="00FF4A45"/>
    <w:rsid w:val="00FF4D20"/>
    <w:rsid w:val="00FF63E3"/>
    <w:rsid w:val="00FF6F0D"/>
    <w:rsid w:val="00FF714A"/>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BACCB13"/>
  <w15:docId w15:val="{37E85ACB-F47F-4240-9443-EE4702940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imes New Roman"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C62"/>
    <w:pPr>
      <w:spacing w:after="200"/>
    </w:pPr>
    <w:rPr>
      <w:sz w:val="24"/>
      <w:szCs w:val="24"/>
      <w:lang w:val="es-DO" w:eastAsia="ja-JP"/>
    </w:rPr>
  </w:style>
  <w:style w:type="paragraph" w:styleId="Ttulo1">
    <w:name w:val="heading 1"/>
    <w:basedOn w:val="Listavistosa-nfasis11"/>
    <w:next w:val="Normal"/>
    <w:link w:val="Ttulo1Car"/>
    <w:autoRedefine/>
    <w:uiPriority w:val="9"/>
    <w:qFormat/>
    <w:rsid w:val="007440C2"/>
    <w:pPr>
      <w:numPr>
        <w:numId w:val="3"/>
      </w:numPr>
      <w:spacing w:line="360" w:lineRule="auto"/>
      <w:jc w:val="both"/>
      <w:outlineLvl w:val="0"/>
    </w:pPr>
    <w:rPr>
      <w:b/>
      <w:sz w:val="32"/>
      <w:szCs w:val="32"/>
      <w:lang w:val="es-ES_tradnl"/>
    </w:rPr>
  </w:style>
  <w:style w:type="paragraph" w:styleId="Ttulo2">
    <w:name w:val="heading 2"/>
    <w:basedOn w:val="Listavistosa-nfasis11"/>
    <w:next w:val="Normal"/>
    <w:link w:val="Ttulo2Car"/>
    <w:autoRedefine/>
    <w:qFormat/>
    <w:rsid w:val="00954002"/>
    <w:pPr>
      <w:spacing w:line="360" w:lineRule="auto"/>
      <w:ind w:left="0"/>
      <w:jc w:val="both"/>
      <w:outlineLvl w:val="1"/>
    </w:pPr>
    <w:rPr>
      <w:rFonts w:eastAsia="Calibri"/>
      <w:b/>
      <w:sz w:val="28"/>
      <w:szCs w:val="28"/>
      <w:lang w:val="es-ES_tradnl" w:bidi="en-US"/>
    </w:rPr>
  </w:style>
  <w:style w:type="paragraph" w:styleId="Ttulo3">
    <w:name w:val="heading 3"/>
    <w:basedOn w:val="Listavistosa-nfasis11"/>
    <w:next w:val="Normal"/>
    <w:link w:val="Ttulo3Car"/>
    <w:autoRedefine/>
    <w:uiPriority w:val="9"/>
    <w:qFormat/>
    <w:rsid w:val="00CA5792"/>
    <w:pPr>
      <w:spacing w:line="480" w:lineRule="auto"/>
      <w:ind w:left="0"/>
      <w:jc w:val="both"/>
      <w:outlineLvl w:val="2"/>
    </w:pPr>
    <w:rPr>
      <w:rFonts w:eastAsiaTheme="majorEastAsia"/>
      <w:b/>
      <w:sz w:val="28"/>
      <w:lang w:val="es-ES_tradnl" w:bidi="en-US"/>
    </w:rPr>
  </w:style>
  <w:style w:type="paragraph" w:styleId="Ttulo4">
    <w:name w:val="heading 4"/>
    <w:basedOn w:val="Ttulo3"/>
    <w:next w:val="Normal"/>
    <w:link w:val="Ttulo4Car"/>
    <w:uiPriority w:val="9"/>
    <w:unhideWhenUsed/>
    <w:qFormat/>
    <w:rsid w:val="00304F26"/>
    <w:pPr>
      <w:outlineLvl w:val="3"/>
    </w:pPr>
    <w:rPr>
      <w:lang w:val="es-ES"/>
    </w:rPr>
  </w:style>
  <w:style w:type="paragraph" w:styleId="Ttulo5">
    <w:name w:val="heading 5"/>
    <w:basedOn w:val="Normal"/>
    <w:next w:val="Normal"/>
    <w:link w:val="Ttulo5Car"/>
    <w:uiPriority w:val="9"/>
    <w:semiHidden/>
    <w:unhideWhenUsed/>
    <w:qFormat/>
    <w:rsid w:val="00616251"/>
    <w:pPr>
      <w:spacing w:before="240" w:after="60"/>
      <w:outlineLvl w:val="4"/>
    </w:pPr>
    <w:rPr>
      <w:rFonts w:ascii="Calibri" w:hAnsi="Calibri"/>
      <w:b/>
      <w:bCs/>
      <w:i/>
      <w:iCs/>
      <w:sz w:val="26"/>
      <w:szCs w:val="26"/>
    </w:rPr>
  </w:style>
  <w:style w:type="paragraph" w:styleId="Ttulo6">
    <w:name w:val="heading 6"/>
    <w:basedOn w:val="Normal"/>
    <w:next w:val="Normal"/>
    <w:link w:val="Ttulo6Car"/>
    <w:uiPriority w:val="9"/>
    <w:semiHidden/>
    <w:unhideWhenUsed/>
    <w:qFormat/>
    <w:rsid w:val="0068343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68343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68343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68343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basedOn w:val="Normal"/>
    <w:uiPriority w:val="34"/>
    <w:qFormat/>
    <w:rsid w:val="0021635C"/>
    <w:pPr>
      <w:spacing w:after="0"/>
      <w:ind w:left="720"/>
      <w:contextualSpacing/>
    </w:pPr>
    <w:rPr>
      <w:rFonts w:ascii="Times New Roman" w:hAnsi="Times New Roman"/>
      <w:lang w:eastAsia="en-US"/>
    </w:rPr>
  </w:style>
  <w:style w:type="character" w:customStyle="1" w:styleId="Ttulo1Car">
    <w:name w:val="Título 1 Car"/>
    <w:link w:val="Ttulo1"/>
    <w:uiPriority w:val="9"/>
    <w:rsid w:val="007440C2"/>
    <w:rPr>
      <w:rFonts w:ascii="Times New Roman" w:hAnsi="Times New Roman"/>
      <w:b/>
      <w:sz w:val="32"/>
      <w:szCs w:val="32"/>
      <w:lang w:val="es-ES_tradnl"/>
    </w:rPr>
  </w:style>
  <w:style w:type="character" w:customStyle="1" w:styleId="Ttulo2Car">
    <w:name w:val="Título 2 Car"/>
    <w:link w:val="Ttulo2"/>
    <w:rsid w:val="00954002"/>
    <w:rPr>
      <w:rFonts w:ascii="Times New Roman" w:eastAsia="Calibri" w:hAnsi="Times New Roman"/>
      <w:b/>
      <w:sz w:val="28"/>
      <w:szCs w:val="28"/>
      <w:lang w:val="es-ES_tradnl" w:bidi="en-US"/>
    </w:rPr>
  </w:style>
  <w:style w:type="character" w:customStyle="1" w:styleId="Ttulo3Car">
    <w:name w:val="Título 3 Car"/>
    <w:link w:val="Ttulo3"/>
    <w:uiPriority w:val="9"/>
    <w:rsid w:val="00CA5792"/>
    <w:rPr>
      <w:rFonts w:ascii="Times New Roman" w:eastAsiaTheme="majorEastAsia" w:hAnsi="Times New Roman"/>
      <w:b/>
      <w:sz w:val="28"/>
      <w:szCs w:val="24"/>
      <w:lang w:val="es-ES_tradnl" w:bidi="en-US"/>
    </w:rPr>
  </w:style>
  <w:style w:type="character" w:customStyle="1" w:styleId="Ttulo4Car">
    <w:name w:val="Título 4 Car"/>
    <w:link w:val="Ttulo4"/>
    <w:uiPriority w:val="9"/>
    <w:rsid w:val="00304F26"/>
    <w:rPr>
      <w:rFonts w:ascii="Times New Roman" w:hAnsi="Times New Roman"/>
      <w:b/>
      <w:sz w:val="28"/>
      <w:szCs w:val="24"/>
      <w:lang w:val="es-ES" w:bidi="en-US"/>
    </w:rPr>
  </w:style>
  <w:style w:type="character" w:customStyle="1" w:styleId="Ttulo5Car">
    <w:name w:val="Título 5 Car"/>
    <w:link w:val="Ttulo5"/>
    <w:uiPriority w:val="9"/>
    <w:semiHidden/>
    <w:rsid w:val="00616251"/>
    <w:rPr>
      <w:rFonts w:ascii="Calibri" w:eastAsia="Times New Roman" w:hAnsi="Calibri" w:cs="Times New Roman"/>
      <w:b/>
      <w:bCs/>
      <w:i/>
      <w:iCs/>
      <w:sz w:val="26"/>
      <w:szCs w:val="26"/>
      <w:lang w:val="en-US" w:eastAsia="ja-JP"/>
    </w:rPr>
  </w:style>
  <w:style w:type="character" w:customStyle="1" w:styleId="Ttulo6Car">
    <w:name w:val="Título 6 Car"/>
    <w:basedOn w:val="Fuentedeprrafopredeter"/>
    <w:link w:val="Ttulo6"/>
    <w:uiPriority w:val="9"/>
    <w:semiHidden/>
    <w:rsid w:val="00683438"/>
    <w:rPr>
      <w:rFonts w:asciiTheme="majorHAnsi" w:eastAsiaTheme="majorEastAsia" w:hAnsiTheme="majorHAnsi" w:cstheme="majorBidi"/>
      <w:i/>
      <w:iCs/>
      <w:color w:val="243F60" w:themeColor="accent1" w:themeShade="7F"/>
      <w:sz w:val="24"/>
      <w:szCs w:val="24"/>
      <w:lang w:val="es-DO" w:eastAsia="ja-JP"/>
    </w:rPr>
  </w:style>
  <w:style w:type="character" w:customStyle="1" w:styleId="Ttulo7Car">
    <w:name w:val="Título 7 Car"/>
    <w:basedOn w:val="Fuentedeprrafopredeter"/>
    <w:link w:val="Ttulo7"/>
    <w:uiPriority w:val="9"/>
    <w:semiHidden/>
    <w:rsid w:val="00683438"/>
    <w:rPr>
      <w:rFonts w:asciiTheme="majorHAnsi" w:eastAsiaTheme="majorEastAsia" w:hAnsiTheme="majorHAnsi" w:cstheme="majorBidi"/>
      <w:i/>
      <w:iCs/>
      <w:color w:val="404040" w:themeColor="text1" w:themeTint="BF"/>
      <w:sz w:val="24"/>
      <w:szCs w:val="24"/>
      <w:lang w:val="es-DO" w:eastAsia="ja-JP"/>
    </w:rPr>
  </w:style>
  <w:style w:type="character" w:customStyle="1" w:styleId="Ttulo8Car">
    <w:name w:val="Título 8 Car"/>
    <w:basedOn w:val="Fuentedeprrafopredeter"/>
    <w:link w:val="Ttulo8"/>
    <w:uiPriority w:val="9"/>
    <w:semiHidden/>
    <w:rsid w:val="00683438"/>
    <w:rPr>
      <w:rFonts w:asciiTheme="majorHAnsi" w:eastAsiaTheme="majorEastAsia" w:hAnsiTheme="majorHAnsi" w:cstheme="majorBidi"/>
      <w:color w:val="404040" w:themeColor="text1" w:themeTint="BF"/>
      <w:lang w:val="es-DO" w:eastAsia="ja-JP"/>
    </w:rPr>
  </w:style>
  <w:style w:type="character" w:customStyle="1" w:styleId="Ttulo9Car">
    <w:name w:val="Título 9 Car"/>
    <w:basedOn w:val="Fuentedeprrafopredeter"/>
    <w:link w:val="Ttulo9"/>
    <w:uiPriority w:val="9"/>
    <w:semiHidden/>
    <w:rsid w:val="00683438"/>
    <w:rPr>
      <w:rFonts w:asciiTheme="majorHAnsi" w:eastAsiaTheme="majorEastAsia" w:hAnsiTheme="majorHAnsi" w:cstheme="majorBidi"/>
      <w:i/>
      <w:iCs/>
      <w:color w:val="404040" w:themeColor="text1" w:themeTint="BF"/>
      <w:lang w:val="es-DO" w:eastAsia="ja-JP"/>
    </w:rPr>
  </w:style>
  <w:style w:type="paragraph" w:customStyle="1" w:styleId="Style1">
    <w:name w:val="Style1"/>
    <w:basedOn w:val="TDC7"/>
    <w:qFormat/>
    <w:rsid w:val="00B203A9"/>
    <w:pPr>
      <w:pBdr>
        <w:between w:val="double" w:sz="6" w:space="0" w:color="auto"/>
      </w:pBdr>
      <w:spacing w:line="276" w:lineRule="auto"/>
      <w:ind w:left="1100"/>
    </w:pPr>
    <w:rPr>
      <w:lang w:val="es-ES" w:eastAsia="es-ES"/>
    </w:rPr>
  </w:style>
  <w:style w:type="paragraph" w:styleId="TDC7">
    <w:name w:val="toc 7"/>
    <w:basedOn w:val="Normal"/>
    <w:next w:val="Normal"/>
    <w:autoRedefine/>
    <w:uiPriority w:val="39"/>
    <w:unhideWhenUsed/>
    <w:rsid w:val="00B203A9"/>
    <w:pPr>
      <w:spacing w:after="0"/>
      <w:ind w:left="1440"/>
    </w:pPr>
    <w:rPr>
      <w:rFonts w:asciiTheme="minorHAnsi" w:hAnsiTheme="minorHAnsi"/>
      <w:sz w:val="18"/>
      <w:szCs w:val="18"/>
    </w:rPr>
  </w:style>
  <w:style w:type="paragraph" w:styleId="Textodeglobo">
    <w:name w:val="Balloon Text"/>
    <w:basedOn w:val="Normal"/>
    <w:link w:val="TextodegloboCar"/>
    <w:uiPriority w:val="99"/>
    <w:semiHidden/>
    <w:unhideWhenUsed/>
    <w:rsid w:val="005469F1"/>
    <w:pPr>
      <w:spacing w:after="0"/>
    </w:pPr>
    <w:rPr>
      <w:rFonts w:ascii="Lucida Grande" w:hAnsi="Lucida Grande"/>
      <w:sz w:val="18"/>
      <w:szCs w:val="18"/>
    </w:rPr>
  </w:style>
  <w:style w:type="character" w:customStyle="1" w:styleId="TextodegloboCar">
    <w:name w:val="Texto de globo Car"/>
    <w:link w:val="Textodeglobo"/>
    <w:uiPriority w:val="99"/>
    <w:semiHidden/>
    <w:rsid w:val="005469F1"/>
    <w:rPr>
      <w:rFonts w:ascii="Lucida Grande" w:hAnsi="Lucida Grande" w:cs="Lucida Grande"/>
      <w:sz w:val="18"/>
      <w:szCs w:val="18"/>
    </w:rPr>
  </w:style>
  <w:style w:type="paragraph" w:styleId="Piedepgina">
    <w:name w:val="footer"/>
    <w:basedOn w:val="Normal"/>
    <w:link w:val="PiedepginaCar"/>
    <w:uiPriority w:val="99"/>
    <w:unhideWhenUsed/>
    <w:rsid w:val="0021635C"/>
    <w:pPr>
      <w:tabs>
        <w:tab w:val="center" w:pos="4320"/>
        <w:tab w:val="right" w:pos="8640"/>
      </w:tabs>
      <w:spacing w:after="0"/>
    </w:pPr>
  </w:style>
  <w:style w:type="character" w:customStyle="1" w:styleId="PiedepginaCar">
    <w:name w:val="Pie de página Car"/>
    <w:link w:val="Piedepgina"/>
    <w:uiPriority w:val="99"/>
    <w:rsid w:val="0021635C"/>
    <w:rPr>
      <w:sz w:val="24"/>
      <w:szCs w:val="24"/>
    </w:rPr>
  </w:style>
  <w:style w:type="character" w:styleId="Nmerodepgina">
    <w:name w:val="page number"/>
    <w:basedOn w:val="Fuentedeprrafopredeter"/>
    <w:uiPriority w:val="99"/>
    <w:semiHidden/>
    <w:unhideWhenUsed/>
    <w:rsid w:val="0021635C"/>
  </w:style>
  <w:style w:type="paragraph" w:customStyle="1" w:styleId="NoSpacing1">
    <w:name w:val="No Spacing1"/>
    <w:link w:val="NoSpacingChar"/>
    <w:uiPriority w:val="1"/>
    <w:qFormat/>
    <w:rsid w:val="00207E2B"/>
    <w:rPr>
      <w:rFonts w:eastAsia="Cambria"/>
      <w:sz w:val="22"/>
      <w:szCs w:val="22"/>
      <w:lang w:val="es-DO"/>
    </w:rPr>
  </w:style>
  <w:style w:type="character" w:customStyle="1" w:styleId="NoSpacingChar">
    <w:name w:val="No Spacing Char"/>
    <w:link w:val="NoSpacing1"/>
    <w:uiPriority w:val="1"/>
    <w:rsid w:val="00207E2B"/>
    <w:rPr>
      <w:rFonts w:eastAsia="Cambria"/>
      <w:sz w:val="22"/>
      <w:szCs w:val="22"/>
      <w:lang w:val="es-DO" w:eastAsia="en-US" w:bidi="ar-SA"/>
    </w:rPr>
  </w:style>
  <w:style w:type="paragraph" w:styleId="Encabezado">
    <w:name w:val="header"/>
    <w:basedOn w:val="Normal"/>
    <w:link w:val="EncabezadoCar"/>
    <w:uiPriority w:val="99"/>
    <w:unhideWhenUsed/>
    <w:rsid w:val="008845F6"/>
    <w:pPr>
      <w:tabs>
        <w:tab w:val="center" w:pos="4320"/>
        <w:tab w:val="right" w:pos="8640"/>
      </w:tabs>
      <w:spacing w:after="0"/>
    </w:pPr>
  </w:style>
  <w:style w:type="character" w:customStyle="1" w:styleId="EncabezadoCar">
    <w:name w:val="Encabezado Car"/>
    <w:link w:val="Encabezado"/>
    <w:uiPriority w:val="99"/>
    <w:rsid w:val="008845F6"/>
    <w:rPr>
      <w:sz w:val="24"/>
      <w:szCs w:val="24"/>
    </w:rPr>
  </w:style>
  <w:style w:type="character" w:styleId="Refdecomentario">
    <w:name w:val="annotation reference"/>
    <w:uiPriority w:val="99"/>
    <w:semiHidden/>
    <w:unhideWhenUsed/>
    <w:rsid w:val="002F7074"/>
    <w:rPr>
      <w:sz w:val="18"/>
      <w:szCs w:val="18"/>
    </w:rPr>
  </w:style>
  <w:style w:type="paragraph" w:styleId="Textocomentario">
    <w:name w:val="annotation text"/>
    <w:basedOn w:val="Normal"/>
    <w:link w:val="TextocomentarioCar"/>
    <w:uiPriority w:val="99"/>
    <w:semiHidden/>
    <w:unhideWhenUsed/>
    <w:rsid w:val="002F7074"/>
  </w:style>
  <w:style w:type="character" w:customStyle="1" w:styleId="TextocomentarioCar">
    <w:name w:val="Texto comentario Car"/>
    <w:link w:val="Textocomentario"/>
    <w:uiPriority w:val="99"/>
    <w:semiHidden/>
    <w:rsid w:val="002F7074"/>
    <w:rPr>
      <w:sz w:val="24"/>
      <w:szCs w:val="24"/>
    </w:rPr>
  </w:style>
  <w:style w:type="paragraph" w:styleId="Asuntodelcomentario">
    <w:name w:val="annotation subject"/>
    <w:basedOn w:val="Textocomentario"/>
    <w:next w:val="Textocomentario"/>
    <w:link w:val="AsuntodelcomentarioCar"/>
    <w:uiPriority w:val="99"/>
    <w:semiHidden/>
    <w:unhideWhenUsed/>
    <w:rsid w:val="00601224"/>
    <w:rPr>
      <w:b/>
      <w:bCs/>
    </w:rPr>
  </w:style>
  <w:style w:type="character" w:customStyle="1" w:styleId="AsuntodelcomentarioCar">
    <w:name w:val="Asunto del comentario Car"/>
    <w:link w:val="Asuntodelcomentario"/>
    <w:uiPriority w:val="99"/>
    <w:semiHidden/>
    <w:rsid w:val="00601224"/>
    <w:rPr>
      <w:b/>
      <w:bCs/>
      <w:sz w:val="24"/>
      <w:szCs w:val="24"/>
    </w:rPr>
  </w:style>
  <w:style w:type="paragraph" w:styleId="Textonotapie">
    <w:name w:val="footnote text"/>
    <w:basedOn w:val="Normal"/>
    <w:link w:val="TextonotapieCar"/>
    <w:uiPriority w:val="99"/>
    <w:unhideWhenUsed/>
    <w:rsid w:val="003537FB"/>
    <w:pPr>
      <w:spacing w:after="0"/>
    </w:pPr>
  </w:style>
  <w:style w:type="character" w:customStyle="1" w:styleId="TextonotapieCar">
    <w:name w:val="Texto nota pie Car"/>
    <w:link w:val="Textonotapie"/>
    <w:uiPriority w:val="99"/>
    <w:rsid w:val="003537FB"/>
    <w:rPr>
      <w:sz w:val="24"/>
      <w:szCs w:val="24"/>
    </w:rPr>
  </w:style>
  <w:style w:type="character" w:styleId="Refdenotaalpie">
    <w:name w:val="footnote reference"/>
    <w:uiPriority w:val="99"/>
    <w:unhideWhenUsed/>
    <w:rsid w:val="003537FB"/>
    <w:rPr>
      <w:vertAlign w:val="superscript"/>
    </w:rPr>
  </w:style>
  <w:style w:type="paragraph" w:styleId="Descripcin">
    <w:name w:val="caption"/>
    <w:basedOn w:val="Normal"/>
    <w:next w:val="Normal"/>
    <w:uiPriority w:val="35"/>
    <w:qFormat/>
    <w:rsid w:val="00EA3397"/>
    <w:rPr>
      <w:rFonts w:ascii="Times New Roman" w:hAnsi="Times New Roman"/>
      <w:b/>
      <w:bCs/>
      <w:color w:val="4F81BD"/>
      <w:sz w:val="18"/>
      <w:szCs w:val="18"/>
      <w:lang w:eastAsia="en-US"/>
    </w:rPr>
  </w:style>
  <w:style w:type="paragraph" w:styleId="TDC1">
    <w:name w:val="toc 1"/>
    <w:basedOn w:val="Normal"/>
    <w:next w:val="Normal"/>
    <w:autoRedefine/>
    <w:uiPriority w:val="39"/>
    <w:unhideWhenUsed/>
    <w:qFormat/>
    <w:rsid w:val="006E1E65"/>
    <w:pPr>
      <w:tabs>
        <w:tab w:val="left" w:pos="284"/>
        <w:tab w:val="right" w:leader="dot" w:pos="9072"/>
      </w:tabs>
      <w:spacing w:before="120" w:after="0"/>
      <w:ind w:left="-284"/>
      <w:jc w:val="both"/>
    </w:pPr>
    <w:rPr>
      <w:rFonts w:ascii="Times New Roman" w:hAnsi="Times New Roman"/>
      <w:b/>
      <w:bCs/>
      <w:noProof/>
    </w:rPr>
  </w:style>
  <w:style w:type="paragraph" w:styleId="TDC2">
    <w:name w:val="toc 2"/>
    <w:basedOn w:val="Normal"/>
    <w:next w:val="Normal"/>
    <w:autoRedefine/>
    <w:uiPriority w:val="39"/>
    <w:unhideWhenUsed/>
    <w:qFormat/>
    <w:rsid w:val="003621CF"/>
    <w:pPr>
      <w:tabs>
        <w:tab w:val="right" w:leader="dot" w:pos="9062"/>
      </w:tabs>
      <w:spacing w:after="0"/>
      <w:ind w:left="240"/>
    </w:pPr>
    <w:rPr>
      <w:rFonts w:ascii="Times New Roman" w:eastAsiaTheme="majorEastAsia" w:hAnsi="Times New Roman"/>
      <w:b/>
      <w:smallCaps/>
      <w:noProof/>
      <w:sz w:val="20"/>
      <w:szCs w:val="20"/>
      <w:lang w:bidi="en-US"/>
    </w:rPr>
  </w:style>
  <w:style w:type="paragraph" w:styleId="TDC3">
    <w:name w:val="toc 3"/>
    <w:basedOn w:val="Normal"/>
    <w:next w:val="Normal"/>
    <w:autoRedefine/>
    <w:uiPriority w:val="39"/>
    <w:unhideWhenUsed/>
    <w:qFormat/>
    <w:rsid w:val="00F23205"/>
    <w:pPr>
      <w:numPr>
        <w:numId w:val="15"/>
      </w:numPr>
      <w:tabs>
        <w:tab w:val="right" w:leader="dot" w:pos="9072"/>
      </w:tabs>
      <w:spacing w:after="0"/>
    </w:pPr>
    <w:rPr>
      <w:rFonts w:ascii="Times New Roman" w:eastAsiaTheme="majorEastAsia" w:hAnsi="Times New Roman"/>
      <w:b/>
      <w:iCs/>
      <w:noProof/>
      <w:sz w:val="20"/>
      <w:szCs w:val="20"/>
      <w:lang w:val="es-ES_tradnl" w:bidi="en-US"/>
    </w:rPr>
  </w:style>
  <w:style w:type="paragraph" w:styleId="TDC4">
    <w:name w:val="toc 4"/>
    <w:basedOn w:val="Normal"/>
    <w:next w:val="Normal"/>
    <w:autoRedefine/>
    <w:uiPriority w:val="39"/>
    <w:unhideWhenUsed/>
    <w:rsid w:val="00112BDF"/>
    <w:pPr>
      <w:spacing w:after="0"/>
      <w:ind w:left="720"/>
    </w:pPr>
    <w:rPr>
      <w:rFonts w:asciiTheme="minorHAnsi" w:hAnsiTheme="minorHAnsi"/>
      <w:sz w:val="18"/>
      <w:szCs w:val="18"/>
    </w:rPr>
  </w:style>
  <w:style w:type="paragraph" w:styleId="TDC5">
    <w:name w:val="toc 5"/>
    <w:basedOn w:val="Normal"/>
    <w:next w:val="Normal"/>
    <w:autoRedefine/>
    <w:uiPriority w:val="39"/>
    <w:unhideWhenUsed/>
    <w:rsid w:val="00EA3397"/>
    <w:pPr>
      <w:spacing w:after="0"/>
      <w:ind w:left="960"/>
    </w:pPr>
    <w:rPr>
      <w:rFonts w:asciiTheme="minorHAnsi" w:hAnsiTheme="minorHAnsi"/>
      <w:sz w:val="18"/>
      <w:szCs w:val="18"/>
    </w:rPr>
  </w:style>
  <w:style w:type="paragraph" w:styleId="TDC6">
    <w:name w:val="toc 6"/>
    <w:basedOn w:val="Normal"/>
    <w:next w:val="Normal"/>
    <w:autoRedefine/>
    <w:uiPriority w:val="39"/>
    <w:unhideWhenUsed/>
    <w:rsid w:val="00EA3397"/>
    <w:pPr>
      <w:spacing w:after="0"/>
      <w:ind w:left="1200"/>
    </w:pPr>
    <w:rPr>
      <w:rFonts w:asciiTheme="minorHAnsi" w:hAnsiTheme="minorHAnsi"/>
      <w:sz w:val="18"/>
      <w:szCs w:val="18"/>
    </w:rPr>
  </w:style>
  <w:style w:type="paragraph" w:styleId="TDC8">
    <w:name w:val="toc 8"/>
    <w:basedOn w:val="Normal"/>
    <w:next w:val="Normal"/>
    <w:autoRedefine/>
    <w:uiPriority w:val="39"/>
    <w:unhideWhenUsed/>
    <w:rsid w:val="00EA3397"/>
    <w:pPr>
      <w:spacing w:after="0"/>
      <w:ind w:left="1680"/>
    </w:pPr>
    <w:rPr>
      <w:rFonts w:asciiTheme="minorHAnsi" w:hAnsiTheme="minorHAnsi"/>
      <w:sz w:val="18"/>
      <w:szCs w:val="18"/>
    </w:rPr>
  </w:style>
  <w:style w:type="paragraph" w:styleId="TDC9">
    <w:name w:val="toc 9"/>
    <w:basedOn w:val="Normal"/>
    <w:next w:val="Normal"/>
    <w:autoRedefine/>
    <w:uiPriority w:val="39"/>
    <w:unhideWhenUsed/>
    <w:rsid w:val="00EA3397"/>
    <w:pPr>
      <w:spacing w:after="0"/>
      <w:ind w:left="1920"/>
    </w:pPr>
    <w:rPr>
      <w:rFonts w:asciiTheme="minorHAnsi" w:hAnsiTheme="minorHAnsi"/>
      <w:sz w:val="18"/>
      <w:szCs w:val="18"/>
    </w:rPr>
  </w:style>
  <w:style w:type="character" w:styleId="Hipervnculo">
    <w:name w:val="Hyperlink"/>
    <w:uiPriority w:val="99"/>
    <w:unhideWhenUsed/>
    <w:rsid w:val="00857882"/>
    <w:rPr>
      <w:color w:val="0000D4"/>
      <w:u w:val="single"/>
    </w:rPr>
  </w:style>
  <w:style w:type="paragraph" w:customStyle="1" w:styleId="xl70">
    <w:name w:val="xl70"/>
    <w:basedOn w:val="Normal"/>
    <w:rsid w:val="00857882"/>
    <w:pPr>
      <w:shd w:val="clear" w:color="000000" w:fill="FFFFFF"/>
      <w:spacing w:before="100" w:beforeAutospacing="1" w:after="100" w:afterAutospacing="1"/>
    </w:pPr>
    <w:rPr>
      <w:rFonts w:ascii="Times" w:hAnsi="Times"/>
      <w:b/>
      <w:bCs/>
      <w:sz w:val="16"/>
      <w:szCs w:val="16"/>
      <w:lang w:eastAsia="en-US"/>
    </w:rPr>
  </w:style>
  <w:style w:type="paragraph" w:customStyle="1" w:styleId="xl71">
    <w:name w:val="xl71"/>
    <w:basedOn w:val="Normal"/>
    <w:rsid w:val="00857882"/>
    <w:pPr>
      <w:shd w:val="clear" w:color="000000" w:fill="FFFFFF"/>
      <w:spacing w:before="100" w:beforeAutospacing="1" w:after="100" w:afterAutospacing="1"/>
    </w:pPr>
    <w:rPr>
      <w:rFonts w:ascii="Times" w:hAnsi="Times"/>
      <w:sz w:val="16"/>
      <w:szCs w:val="16"/>
      <w:lang w:eastAsia="en-US"/>
    </w:rPr>
  </w:style>
  <w:style w:type="paragraph" w:customStyle="1" w:styleId="xl72">
    <w:name w:val="xl72"/>
    <w:basedOn w:val="Normal"/>
    <w:rsid w:val="00857882"/>
    <w:pPr>
      <w:spacing w:before="100" w:beforeAutospacing="1" w:after="100" w:afterAutospacing="1"/>
    </w:pPr>
    <w:rPr>
      <w:rFonts w:ascii="Times" w:hAnsi="Times"/>
      <w:sz w:val="16"/>
      <w:szCs w:val="16"/>
      <w:lang w:eastAsia="en-US"/>
    </w:rPr>
  </w:style>
  <w:style w:type="paragraph" w:customStyle="1" w:styleId="xl73">
    <w:name w:val="xl73"/>
    <w:basedOn w:val="Normal"/>
    <w:rsid w:val="00857882"/>
    <w:pPr>
      <w:spacing w:before="100" w:beforeAutospacing="1" w:after="100" w:afterAutospacing="1"/>
      <w:jc w:val="center"/>
    </w:pPr>
    <w:rPr>
      <w:rFonts w:ascii="Times" w:hAnsi="Times"/>
      <w:b/>
      <w:bCs/>
      <w:sz w:val="16"/>
      <w:szCs w:val="16"/>
      <w:lang w:eastAsia="en-US"/>
    </w:rPr>
  </w:style>
  <w:style w:type="paragraph" w:customStyle="1" w:styleId="xl74">
    <w:name w:val="xl74"/>
    <w:basedOn w:val="Normal"/>
    <w:rsid w:val="00857882"/>
    <w:pPr>
      <w:pBdr>
        <w:left w:val="single" w:sz="8" w:space="0" w:color="auto"/>
      </w:pBdr>
      <w:shd w:val="clear" w:color="000000" w:fill="FFFFFF"/>
      <w:spacing w:before="100" w:beforeAutospacing="1" w:after="100" w:afterAutospacing="1"/>
      <w:jc w:val="center"/>
    </w:pPr>
    <w:rPr>
      <w:rFonts w:ascii="Times" w:hAnsi="Times"/>
      <w:b/>
      <w:bCs/>
      <w:sz w:val="16"/>
      <w:szCs w:val="16"/>
      <w:lang w:eastAsia="en-US"/>
    </w:rPr>
  </w:style>
  <w:style w:type="paragraph" w:customStyle="1" w:styleId="xl75">
    <w:name w:val="xl75"/>
    <w:basedOn w:val="Normal"/>
    <w:rsid w:val="00857882"/>
    <w:pPr>
      <w:shd w:val="clear" w:color="000000" w:fill="FFFFFF"/>
      <w:spacing w:before="100" w:beforeAutospacing="1" w:after="100" w:afterAutospacing="1"/>
      <w:jc w:val="center"/>
    </w:pPr>
    <w:rPr>
      <w:rFonts w:ascii="Times" w:hAnsi="Times"/>
      <w:b/>
      <w:bCs/>
      <w:sz w:val="16"/>
      <w:szCs w:val="16"/>
      <w:lang w:eastAsia="en-US"/>
    </w:rPr>
  </w:style>
  <w:style w:type="paragraph" w:customStyle="1" w:styleId="xl76">
    <w:name w:val="xl76"/>
    <w:basedOn w:val="Normal"/>
    <w:rsid w:val="00857882"/>
    <w:pPr>
      <w:pBdr>
        <w:right w:val="single" w:sz="8" w:space="0" w:color="auto"/>
      </w:pBdr>
      <w:shd w:val="clear" w:color="000000" w:fill="FFFFFF"/>
      <w:spacing w:before="100" w:beforeAutospacing="1" w:after="100" w:afterAutospacing="1"/>
      <w:jc w:val="center"/>
    </w:pPr>
    <w:rPr>
      <w:rFonts w:ascii="Times" w:hAnsi="Times"/>
      <w:b/>
      <w:bCs/>
      <w:sz w:val="16"/>
      <w:szCs w:val="16"/>
      <w:lang w:eastAsia="en-US"/>
    </w:rPr>
  </w:style>
  <w:style w:type="paragraph" w:customStyle="1" w:styleId="xl77">
    <w:name w:val="xl77"/>
    <w:basedOn w:val="Normal"/>
    <w:rsid w:val="00857882"/>
    <w:pPr>
      <w:pBdr>
        <w:left w:val="single" w:sz="8" w:space="0" w:color="auto"/>
        <w:bottom w:val="single" w:sz="8" w:space="0" w:color="auto"/>
      </w:pBdr>
      <w:shd w:val="clear" w:color="000000" w:fill="FFFFFF"/>
      <w:spacing w:before="100" w:beforeAutospacing="1" w:after="100" w:afterAutospacing="1"/>
    </w:pPr>
    <w:rPr>
      <w:rFonts w:ascii="Times" w:hAnsi="Times"/>
      <w:sz w:val="16"/>
      <w:szCs w:val="16"/>
      <w:lang w:eastAsia="en-US"/>
    </w:rPr>
  </w:style>
  <w:style w:type="paragraph" w:customStyle="1" w:styleId="xl78">
    <w:name w:val="xl78"/>
    <w:basedOn w:val="Normal"/>
    <w:rsid w:val="00857882"/>
    <w:pPr>
      <w:pBdr>
        <w:bottom w:val="single" w:sz="8" w:space="0" w:color="auto"/>
      </w:pBdr>
      <w:shd w:val="clear" w:color="000000" w:fill="FFFFFF"/>
      <w:spacing w:before="100" w:beforeAutospacing="1" w:after="100" w:afterAutospacing="1"/>
    </w:pPr>
    <w:rPr>
      <w:rFonts w:ascii="Times" w:hAnsi="Times"/>
      <w:sz w:val="16"/>
      <w:szCs w:val="16"/>
      <w:lang w:eastAsia="en-US"/>
    </w:rPr>
  </w:style>
  <w:style w:type="paragraph" w:customStyle="1" w:styleId="xl79">
    <w:name w:val="xl79"/>
    <w:basedOn w:val="Normal"/>
    <w:rsid w:val="00857882"/>
    <w:pPr>
      <w:pBdr>
        <w:bottom w:val="single" w:sz="8" w:space="0" w:color="auto"/>
        <w:right w:val="single" w:sz="8" w:space="0" w:color="auto"/>
      </w:pBdr>
      <w:shd w:val="clear" w:color="000000" w:fill="FFFFFF"/>
      <w:spacing w:before="100" w:beforeAutospacing="1" w:after="100" w:afterAutospacing="1"/>
    </w:pPr>
    <w:rPr>
      <w:rFonts w:ascii="Times" w:hAnsi="Times"/>
      <w:sz w:val="16"/>
      <w:szCs w:val="16"/>
      <w:lang w:eastAsia="en-US"/>
    </w:rPr>
  </w:style>
  <w:style w:type="paragraph" w:customStyle="1" w:styleId="xl80">
    <w:name w:val="xl80"/>
    <w:basedOn w:val="Normal"/>
    <w:rsid w:val="00857882"/>
    <w:pPr>
      <w:pBdr>
        <w:top w:val="single" w:sz="8" w:space="0" w:color="auto"/>
        <w:left w:val="single" w:sz="8" w:space="0" w:color="auto"/>
      </w:pBdr>
      <w:shd w:val="clear" w:color="000000" w:fill="99CC00"/>
      <w:spacing w:before="100" w:beforeAutospacing="1" w:after="100" w:afterAutospacing="1"/>
      <w:jc w:val="center"/>
      <w:textAlignment w:val="center"/>
    </w:pPr>
    <w:rPr>
      <w:rFonts w:ascii="Times" w:hAnsi="Times"/>
      <w:b/>
      <w:bCs/>
      <w:sz w:val="16"/>
      <w:szCs w:val="16"/>
      <w:lang w:eastAsia="en-US"/>
    </w:rPr>
  </w:style>
  <w:style w:type="paragraph" w:customStyle="1" w:styleId="xl81">
    <w:name w:val="xl81"/>
    <w:basedOn w:val="Normal"/>
    <w:rsid w:val="00857882"/>
    <w:pPr>
      <w:pBdr>
        <w:top w:val="single" w:sz="8" w:space="0" w:color="auto"/>
        <w:left w:val="single" w:sz="8" w:space="0" w:color="auto"/>
        <w:right w:val="single" w:sz="4" w:space="0" w:color="auto"/>
      </w:pBdr>
      <w:shd w:val="clear" w:color="000000" w:fill="99CC00"/>
      <w:spacing w:before="100" w:beforeAutospacing="1" w:after="100" w:afterAutospacing="1"/>
      <w:jc w:val="center"/>
      <w:textAlignment w:val="center"/>
    </w:pPr>
    <w:rPr>
      <w:rFonts w:ascii="Times" w:hAnsi="Times"/>
      <w:b/>
      <w:bCs/>
      <w:sz w:val="16"/>
      <w:szCs w:val="16"/>
      <w:lang w:eastAsia="en-US"/>
    </w:rPr>
  </w:style>
  <w:style w:type="paragraph" w:customStyle="1" w:styleId="xl82">
    <w:name w:val="xl82"/>
    <w:basedOn w:val="Normal"/>
    <w:rsid w:val="00857882"/>
    <w:pPr>
      <w:pBdr>
        <w:top w:val="single" w:sz="8" w:space="0" w:color="auto"/>
        <w:left w:val="single" w:sz="4" w:space="0" w:color="auto"/>
        <w:right w:val="single" w:sz="4" w:space="0" w:color="auto"/>
      </w:pBdr>
      <w:shd w:val="clear" w:color="000000" w:fill="99CC00"/>
      <w:spacing w:before="100" w:beforeAutospacing="1" w:after="100" w:afterAutospacing="1"/>
      <w:jc w:val="center"/>
      <w:textAlignment w:val="center"/>
    </w:pPr>
    <w:rPr>
      <w:rFonts w:ascii="Times" w:hAnsi="Times"/>
      <w:b/>
      <w:bCs/>
      <w:sz w:val="16"/>
      <w:szCs w:val="16"/>
      <w:lang w:eastAsia="en-US"/>
    </w:rPr>
  </w:style>
  <w:style w:type="paragraph" w:customStyle="1" w:styleId="xl83">
    <w:name w:val="xl83"/>
    <w:basedOn w:val="Normal"/>
    <w:rsid w:val="00857882"/>
    <w:pPr>
      <w:pBdr>
        <w:top w:val="single" w:sz="8" w:space="0" w:color="auto"/>
        <w:left w:val="single" w:sz="4" w:space="0" w:color="auto"/>
        <w:right w:val="single" w:sz="8" w:space="0" w:color="auto"/>
      </w:pBdr>
      <w:shd w:val="clear" w:color="000000" w:fill="99CC00"/>
      <w:spacing w:before="100" w:beforeAutospacing="1" w:after="100" w:afterAutospacing="1"/>
      <w:jc w:val="center"/>
      <w:textAlignment w:val="center"/>
    </w:pPr>
    <w:rPr>
      <w:rFonts w:ascii="Times" w:hAnsi="Times"/>
      <w:b/>
      <w:bCs/>
      <w:sz w:val="16"/>
      <w:szCs w:val="16"/>
      <w:lang w:eastAsia="en-US"/>
    </w:rPr>
  </w:style>
  <w:style w:type="paragraph" w:customStyle="1" w:styleId="xl84">
    <w:name w:val="xl84"/>
    <w:basedOn w:val="Normal"/>
    <w:rsid w:val="008578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w:hAnsi="Times"/>
      <w:sz w:val="16"/>
      <w:szCs w:val="16"/>
      <w:lang w:eastAsia="en-US"/>
    </w:rPr>
  </w:style>
  <w:style w:type="paragraph" w:customStyle="1" w:styleId="xl85">
    <w:name w:val="xl85"/>
    <w:basedOn w:val="Normal"/>
    <w:rsid w:val="008578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w:hAnsi="Times"/>
      <w:sz w:val="16"/>
      <w:szCs w:val="16"/>
      <w:lang w:eastAsia="en-US"/>
    </w:rPr>
  </w:style>
  <w:style w:type="paragraph" w:customStyle="1" w:styleId="xl86">
    <w:name w:val="xl86"/>
    <w:basedOn w:val="Normal"/>
    <w:rsid w:val="00857882"/>
    <w:pPr>
      <w:pBdr>
        <w:left w:val="single" w:sz="8" w:space="0" w:color="auto"/>
        <w:bottom w:val="single" w:sz="8"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87">
    <w:name w:val="xl87"/>
    <w:basedOn w:val="Normal"/>
    <w:rsid w:val="00857882"/>
    <w:pPr>
      <w:pBdr>
        <w:left w:val="single" w:sz="8" w:space="0" w:color="auto"/>
        <w:bottom w:val="single" w:sz="8" w:space="0" w:color="auto"/>
        <w:right w:val="single" w:sz="4"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88">
    <w:name w:val="xl88"/>
    <w:basedOn w:val="Normal"/>
    <w:rsid w:val="00857882"/>
    <w:pPr>
      <w:pBdr>
        <w:left w:val="single" w:sz="4" w:space="0" w:color="auto"/>
        <w:bottom w:val="single" w:sz="8" w:space="0" w:color="auto"/>
        <w:right w:val="single" w:sz="4"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89">
    <w:name w:val="xl89"/>
    <w:basedOn w:val="Normal"/>
    <w:rsid w:val="00857882"/>
    <w:pPr>
      <w:pBdr>
        <w:left w:val="single" w:sz="4" w:space="0" w:color="auto"/>
        <w:bottom w:val="single" w:sz="8" w:space="0" w:color="auto"/>
        <w:right w:val="single" w:sz="8"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90">
    <w:name w:val="xl90"/>
    <w:basedOn w:val="Normal"/>
    <w:rsid w:val="00857882"/>
    <w:pPr>
      <w:pBdr>
        <w:left w:val="single" w:sz="8" w:space="0" w:color="auto"/>
      </w:pBdr>
      <w:spacing w:before="100" w:beforeAutospacing="1" w:after="100" w:afterAutospacing="1"/>
      <w:jc w:val="center"/>
    </w:pPr>
    <w:rPr>
      <w:rFonts w:ascii="Times" w:hAnsi="Times"/>
      <w:b/>
      <w:bCs/>
      <w:sz w:val="16"/>
      <w:szCs w:val="16"/>
      <w:lang w:eastAsia="en-US"/>
    </w:rPr>
  </w:style>
  <w:style w:type="paragraph" w:customStyle="1" w:styleId="xl91">
    <w:name w:val="xl91"/>
    <w:basedOn w:val="Normal"/>
    <w:rsid w:val="00857882"/>
    <w:pPr>
      <w:pBdr>
        <w:right w:val="single" w:sz="8" w:space="0" w:color="auto"/>
      </w:pBdr>
      <w:spacing w:before="100" w:beforeAutospacing="1" w:after="100" w:afterAutospacing="1"/>
      <w:jc w:val="center"/>
    </w:pPr>
    <w:rPr>
      <w:rFonts w:ascii="Times" w:hAnsi="Times"/>
      <w:b/>
      <w:bCs/>
      <w:sz w:val="16"/>
      <w:szCs w:val="16"/>
      <w:lang w:eastAsia="en-US"/>
    </w:rPr>
  </w:style>
  <w:style w:type="paragraph" w:customStyle="1" w:styleId="xl92">
    <w:name w:val="xl92"/>
    <w:basedOn w:val="Normal"/>
    <w:rsid w:val="00857882"/>
    <w:pPr>
      <w:pBdr>
        <w:left w:val="single" w:sz="8" w:space="0" w:color="auto"/>
        <w:bottom w:val="single" w:sz="8" w:space="0" w:color="auto"/>
      </w:pBdr>
      <w:spacing w:before="100" w:beforeAutospacing="1" w:after="100" w:afterAutospacing="1"/>
    </w:pPr>
    <w:rPr>
      <w:rFonts w:ascii="Times" w:hAnsi="Times"/>
      <w:sz w:val="16"/>
      <w:szCs w:val="16"/>
      <w:lang w:eastAsia="en-US"/>
    </w:rPr>
  </w:style>
  <w:style w:type="paragraph" w:customStyle="1" w:styleId="xl93">
    <w:name w:val="xl93"/>
    <w:basedOn w:val="Normal"/>
    <w:rsid w:val="00857882"/>
    <w:pPr>
      <w:pBdr>
        <w:bottom w:val="single" w:sz="8" w:space="0" w:color="auto"/>
      </w:pBdr>
      <w:spacing w:before="100" w:beforeAutospacing="1" w:after="100" w:afterAutospacing="1"/>
    </w:pPr>
    <w:rPr>
      <w:rFonts w:ascii="Times" w:hAnsi="Times"/>
      <w:sz w:val="16"/>
      <w:szCs w:val="16"/>
      <w:lang w:eastAsia="en-US"/>
    </w:rPr>
  </w:style>
  <w:style w:type="paragraph" w:customStyle="1" w:styleId="xl94">
    <w:name w:val="xl94"/>
    <w:basedOn w:val="Normal"/>
    <w:rsid w:val="00857882"/>
    <w:pPr>
      <w:pBdr>
        <w:bottom w:val="single" w:sz="8" w:space="0" w:color="auto"/>
        <w:right w:val="single" w:sz="8" w:space="0" w:color="auto"/>
      </w:pBdr>
      <w:spacing w:before="100" w:beforeAutospacing="1" w:after="100" w:afterAutospacing="1"/>
    </w:pPr>
    <w:rPr>
      <w:rFonts w:ascii="Times" w:hAnsi="Times"/>
      <w:sz w:val="16"/>
      <w:szCs w:val="16"/>
      <w:lang w:eastAsia="en-US"/>
    </w:rPr>
  </w:style>
  <w:style w:type="paragraph" w:customStyle="1" w:styleId="xl95">
    <w:name w:val="xl95"/>
    <w:basedOn w:val="Normal"/>
    <w:rsid w:val="0085788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sz w:val="16"/>
      <w:szCs w:val="16"/>
      <w:lang w:eastAsia="en-US"/>
    </w:rPr>
  </w:style>
  <w:style w:type="paragraph" w:customStyle="1" w:styleId="xl96">
    <w:name w:val="xl96"/>
    <w:basedOn w:val="Normal"/>
    <w:rsid w:val="0085788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w:hAnsi="Times"/>
      <w:sz w:val="16"/>
      <w:szCs w:val="16"/>
      <w:lang w:eastAsia="en-US"/>
    </w:rPr>
  </w:style>
  <w:style w:type="paragraph" w:customStyle="1" w:styleId="xl97">
    <w:name w:val="xl97"/>
    <w:basedOn w:val="Normal"/>
    <w:rsid w:val="00857882"/>
    <w:pPr>
      <w:spacing w:before="100" w:beforeAutospacing="1" w:after="100" w:afterAutospacing="1"/>
    </w:pPr>
    <w:rPr>
      <w:rFonts w:ascii="Times" w:hAnsi="Times"/>
      <w:b/>
      <w:bCs/>
      <w:sz w:val="16"/>
      <w:szCs w:val="16"/>
      <w:lang w:eastAsia="en-US"/>
    </w:rPr>
  </w:style>
  <w:style w:type="paragraph" w:customStyle="1" w:styleId="xl98">
    <w:name w:val="xl98"/>
    <w:basedOn w:val="Normal"/>
    <w:rsid w:val="00857882"/>
    <w:pPr>
      <w:pBdr>
        <w:top w:val="single" w:sz="4" w:space="0" w:color="auto"/>
        <w:left w:val="single" w:sz="4" w:space="0" w:color="auto"/>
        <w:right w:val="single" w:sz="4" w:space="0" w:color="auto"/>
      </w:pBdr>
      <w:spacing w:before="100" w:beforeAutospacing="1" w:after="100" w:afterAutospacing="1"/>
    </w:pPr>
    <w:rPr>
      <w:rFonts w:ascii="Times" w:hAnsi="Times"/>
      <w:sz w:val="16"/>
      <w:szCs w:val="16"/>
      <w:lang w:eastAsia="en-US"/>
    </w:rPr>
  </w:style>
  <w:style w:type="paragraph" w:customStyle="1" w:styleId="xl99">
    <w:name w:val="xl99"/>
    <w:basedOn w:val="Normal"/>
    <w:rsid w:val="00857882"/>
    <w:pPr>
      <w:pBdr>
        <w:top w:val="single" w:sz="4" w:space="0" w:color="auto"/>
        <w:left w:val="single" w:sz="4" w:space="0" w:color="auto"/>
        <w:right w:val="single" w:sz="4" w:space="0" w:color="auto"/>
      </w:pBdr>
      <w:spacing w:before="100" w:beforeAutospacing="1" w:after="100" w:afterAutospacing="1"/>
    </w:pPr>
    <w:rPr>
      <w:rFonts w:ascii="Times" w:hAnsi="Times"/>
      <w:sz w:val="16"/>
      <w:szCs w:val="16"/>
      <w:lang w:eastAsia="en-US"/>
    </w:rPr>
  </w:style>
  <w:style w:type="paragraph" w:customStyle="1" w:styleId="xl100">
    <w:name w:val="xl100"/>
    <w:basedOn w:val="Normal"/>
    <w:rsid w:val="00857882"/>
    <w:pPr>
      <w:pBdr>
        <w:top w:val="single" w:sz="8" w:space="0" w:color="auto"/>
        <w:left w:val="single" w:sz="8" w:space="0" w:color="auto"/>
        <w:bottom w:val="single" w:sz="8"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101">
    <w:name w:val="xl101"/>
    <w:basedOn w:val="Normal"/>
    <w:rsid w:val="00857882"/>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102">
    <w:name w:val="xl102"/>
    <w:basedOn w:val="Normal"/>
    <w:rsid w:val="00857882"/>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xl103">
    <w:name w:val="xl103"/>
    <w:basedOn w:val="Normal"/>
    <w:rsid w:val="00857882"/>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pPr>
    <w:rPr>
      <w:rFonts w:ascii="Times" w:hAnsi="Times"/>
      <w:b/>
      <w:bCs/>
      <w:sz w:val="16"/>
      <w:szCs w:val="16"/>
      <w:lang w:eastAsia="en-US"/>
    </w:rPr>
  </w:style>
  <w:style w:type="paragraph" w:customStyle="1" w:styleId="Prrafodelista1">
    <w:name w:val="Párrafo de lista1"/>
    <w:basedOn w:val="Normal"/>
    <w:rsid w:val="00BC56F0"/>
    <w:pPr>
      <w:spacing w:line="276" w:lineRule="auto"/>
      <w:ind w:left="720"/>
      <w:contextualSpacing/>
    </w:pPr>
    <w:rPr>
      <w:rFonts w:ascii="Calibri" w:hAnsi="Calibri"/>
      <w:sz w:val="22"/>
      <w:szCs w:val="22"/>
      <w:lang w:eastAsia="es-DO"/>
    </w:rPr>
  </w:style>
  <w:style w:type="table" w:styleId="Tablaconcuadrcula">
    <w:name w:val="Table Grid"/>
    <w:basedOn w:val="Tablanormal"/>
    <w:uiPriority w:val="39"/>
    <w:rsid w:val="00BE6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6199"/>
    <w:pPr>
      <w:widowControl w:val="0"/>
      <w:autoSpaceDE w:val="0"/>
      <w:autoSpaceDN w:val="0"/>
      <w:adjustRightInd w:val="0"/>
    </w:pPr>
    <w:rPr>
      <w:rFonts w:ascii="Arial" w:hAnsi="Arial" w:cs="Arial"/>
      <w:color w:val="000000"/>
      <w:sz w:val="24"/>
      <w:szCs w:val="24"/>
      <w:lang w:val="es-ES" w:eastAsia="es-ES"/>
    </w:rPr>
  </w:style>
  <w:style w:type="paragraph" w:customStyle="1" w:styleId="Direccin">
    <w:name w:val="Dirección"/>
    <w:basedOn w:val="Normal"/>
    <w:rsid w:val="00464B38"/>
    <w:pPr>
      <w:spacing w:after="0"/>
      <w:jc w:val="center"/>
    </w:pPr>
    <w:rPr>
      <w:rFonts w:ascii="Arial" w:hAnsi="Arial" w:cs="Arial"/>
      <w:b/>
      <w:bCs/>
      <w:smallCaps/>
      <w:kern w:val="28"/>
      <w:sz w:val="28"/>
      <w:szCs w:val="28"/>
      <w:lang w:eastAsia="en-US" w:bidi="en-US"/>
    </w:rPr>
  </w:style>
  <w:style w:type="paragraph" w:customStyle="1" w:styleId="Direccin2">
    <w:name w:val="Dirección 2"/>
    <w:rsid w:val="00464B38"/>
    <w:pPr>
      <w:jc w:val="center"/>
    </w:pPr>
    <w:rPr>
      <w:rFonts w:ascii="Arial" w:hAnsi="Arial" w:cs="Arial"/>
      <w:kern w:val="28"/>
      <w:sz w:val="22"/>
      <w:szCs w:val="22"/>
      <w:lang w:bidi="en-US"/>
    </w:rPr>
  </w:style>
  <w:style w:type="paragraph" w:customStyle="1" w:styleId="Chapter">
    <w:name w:val="Chapter"/>
    <w:basedOn w:val="Normal"/>
    <w:next w:val="Normal"/>
    <w:rsid w:val="00464B38"/>
    <w:pPr>
      <w:tabs>
        <w:tab w:val="num" w:pos="648"/>
        <w:tab w:val="left" w:pos="1440"/>
      </w:tabs>
      <w:spacing w:before="240" w:after="240"/>
      <w:ind w:firstLine="288"/>
      <w:jc w:val="center"/>
    </w:pPr>
    <w:rPr>
      <w:rFonts w:ascii="Times New Roman" w:hAnsi="Times New Roman"/>
      <w:b/>
      <w:smallCaps/>
      <w:szCs w:val="20"/>
      <w:lang w:val="es-ES_tradnl" w:eastAsia="es-ES"/>
    </w:rPr>
  </w:style>
  <w:style w:type="paragraph" w:customStyle="1" w:styleId="Paragraph">
    <w:name w:val="Paragraph"/>
    <w:basedOn w:val="Sangradetextonormal"/>
    <w:rsid w:val="00464B38"/>
    <w:pPr>
      <w:spacing w:before="120"/>
      <w:ind w:left="1440" w:hanging="360"/>
      <w:jc w:val="both"/>
      <w:outlineLvl w:val="1"/>
    </w:pPr>
    <w:rPr>
      <w:rFonts w:ascii="Times New Roman" w:hAnsi="Times New Roman"/>
      <w:szCs w:val="20"/>
      <w:lang w:val="es-ES" w:eastAsia="es-ES"/>
    </w:rPr>
  </w:style>
  <w:style w:type="paragraph" w:styleId="Sangradetextonormal">
    <w:name w:val="Body Text Indent"/>
    <w:basedOn w:val="Normal"/>
    <w:link w:val="SangradetextonormalCar"/>
    <w:uiPriority w:val="99"/>
    <w:semiHidden/>
    <w:unhideWhenUsed/>
    <w:rsid w:val="00464B38"/>
    <w:pPr>
      <w:spacing w:after="120"/>
      <w:ind w:left="360"/>
    </w:pPr>
  </w:style>
  <w:style w:type="character" w:customStyle="1" w:styleId="SangradetextonormalCar">
    <w:name w:val="Sangría de texto normal Car"/>
    <w:link w:val="Sangradetextonormal"/>
    <w:uiPriority w:val="99"/>
    <w:semiHidden/>
    <w:rsid w:val="00464B38"/>
    <w:rPr>
      <w:sz w:val="24"/>
      <w:szCs w:val="24"/>
    </w:rPr>
  </w:style>
  <w:style w:type="paragraph" w:customStyle="1" w:styleId="subpar">
    <w:name w:val="subpar"/>
    <w:basedOn w:val="Sangra3detindependiente"/>
    <w:rsid w:val="00464B38"/>
    <w:pPr>
      <w:spacing w:before="120"/>
      <w:ind w:left="2160" w:hanging="180"/>
      <w:jc w:val="both"/>
      <w:outlineLvl w:val="2"/>
    </w:pPr>
    <w:rPr>
      <w:rFonts w:ascii="Times New Roman" w:hAnsi="Times New Roman"/>
      <w:sz w:val="24"/>
      <w:szCs w:val="20"/>
      <w:lang w:val="es-ES_tradnl" w:eastAsia="es-ES"/>
    </w:rPr>
  </w:style>
  <w:style w:type="paragraph" w:styleId="Sangra3detindependiente">
    <w:name w:val="Body Text Indent 3"/>
    <w:basedOn w:val="Normal"/>
    <w:link w:val="Sangra3detindependienteCar"/>
    <w:uiPriority w:val="99"/>
    <w:semiHidden/>
    <w:unhideWhenUsed/>
    <w:rsid w:val="00464B38"/>
    <w:pPr>
      <w:spacing w:after="120"/>
      <w:ind w:left="360"/>
    </w:pPr>
    <w:rPr>
      <w:sz w:val="16"/>
      <w:szCs w:val="16"/>
    </w:rPr>
  </w:style>
  <w:style w:type="character" w:customStyle="1" w:styleId="Sangra3detindependienteCar">
    <w:name w:val="Sangría 3 de t. independiente Car"/>
    <w:link w:val="Sangra3detindependiente"/>
    <w:uiPriority w:val="99"/>
    <w:semiHidden/>
    <w:rsid w:val="00464B38"/>
    <w:rPr>
      <w:sz w:val="16"/>
      <w:szCs w:val="16"/>
    </w:rPr>
  </w:style>
  <w:style w:type="paragraph" w:customStyle="1" w:styleId="SubSubPar">
    <w:name w:val="SubSubPar"/>
    <w:basedOn w:val="subpar"/>
    <w:rsid w:val="00464B38"/>
    <w:pPr>
      <w:tabs>
        <w:tab w:val="left" w:pos="0"/>
      </w:tabs>
      <w:ind w:left="2880" w:hanging="360"/>
    </w:pPr>
  </w:style>
  <w:style w:type="paragraph" w:customStyle="1" w:styleId="ListParagraph2">
    <w:name w:val="List Paragraph2"/>
    <w:basedOn w:val="Normal"/>
    <w:rsid w:val="001859F0"/>
    <w:pPr>
      <w:spacing w:line="276" w:lineRule="auto"/>
      <w:ind w:left="720"/>
      <w:contextualSpacing/>
    </w:pPr>
    <w:rPr>
      <w:rFonts w:ascii="Calibri" w:hAnsi="Calibri"/>
      <w:sz w:val="22"/>
      <w:szCs w:val="22"/>
      <w:lang w:val="es-ES" w:eastAsia="en-US"/>
    </w:rPr>
  </w:style>
  <w:style w:type="paragraph" w:styleId="Prrafodelista">
    <w:name w:val="List Paragraph"/>
    <w:basedOn w:val="Normal"/>
    <w:link w:val="PrrafodelistaCar"/>
    <w:uiPriority w:val="34"/>
    <w:qFormat/>
    <w:rsid w:val="00F4316F"/>
    <w:pPr>
      <w:spacing w:line="276" w:lineRule="auto"/>
      <w:ind w:left="720"/>
      <w:contextualSpacing/>
    </w:pPr>
    <w:rPr>
      <w:rFonts w:ascii="Calibri" w:eastAsia="Calibri" w:hAnsi="Calibri"/>
      <w:sz w:val="22"/>
      <w:szCs w:val="22"/>
      <w:lang w:eastAsia="en-US"/>
    </w:rPr>
  </w:style>
  <w:style w:type="character" w:customStyle="1" w:styleId="PrrafodelistaCar">
    <w:name w:val="Párrafo de lista Car"/>
    <w:link w:val="Prrafodelista"/>
    <w:uiPriority w:val="34"/>
    <w:locked/>
    <w:rsid w:val="00620EE6"/>
    <w:rPr>
      <w:rFonts w:ascii="Calibri" w:eastAsia="Calibri" w:hAnsi="Calibri"/>
      <w:sz w:val="22"/>
      <w:szCs w:val="22"/>
      <w:lang w:val="es-DO"/>
    </w:rPr>
  </w:style>
  <w:style w:type="paragraph" w:styleId="NormalWeb">
    <w:name w:val="Normal (Web)"/>
    <w:basedOn w:val="Normal"/>
    <w:uiPriority w:val="99"/>
    <w:unhideWhenUsed/>
    <w:rsid w:val="00BE2821"/>
    <w:pPr>
      <w:spacing w:before="100" w:beforeAutospacing="1" w:after="100" w:afterAutospacing="1"/>
    </w:pPr>
    <w:rPr>
      <w:rFonts w:ascii="Times New Roman" w:hAnsi="Times New Roman"/>
      <w:lang w:eastAsia="es-DO"/>
    </w:rPr>
  </w:style>
  <w:style w:type="character" w:styleId="Nmerodelnea">
    <w:name w:val="line number"/>
    <w:uiPriority w:val="99"/>
    <w:semiHidden/>
    <w:unhideWhenUsed/>
    <w:rsid w:val="00E23216"/>
  </w:style>
  <w:style w:type="paragraph" w:styleId="TtulodeTDC">
    <w:name w:val="TOC Heading"/>
    <w:basedOn w:val="Ttulo1"/>
    <w:next w:val="Normal"/>
    <w:uiPriority w:val="39"/>
    <w:unhideWhenUsed/>
    <w:qFormat/>
    <w:rsid w:val="009F3E90"/>
    <w:pPr>
      <w:keepNext/>
      <w:keepLines/>
      <w:numPr>
        <w:numId w:val="0"/>
      </w:numPr>
      <w:spacing w:before="480" w:line="276" w:lineRule="auto"/>
      <w:contextualSpacing w:val="0"/>
      <w:jc w:val="left"/>
      <w:outlineLvl w:val="9"/>
    </w:pPr>
    <w:rPr>
      <w:rFonts w:ascii="Cambria" w:hAnsi="Cambria"/>
      <w:bCs/>
      <w:color w:val="365F91"/>
      <w:sz w:val="28"/>
      <w:szCs w:val="28"/>
      <w:lang w:val="es-DO" w:eastAsia="es-DO"/>
    </w:rPr>
  </w:style>
  <w:style w:type="table" w:customStyle="1" w:styleId="Tabladecuadrcula2-nfasis11">
    <w:name w:val="Tabla de cuadrícula 2 - Énfasis 11"/>
    <w:basedOn w:val="Tablanormal"/>
    <w:uiPriority w:val="47"/>
    <w:rsid w:val="008F02AD"/>
    <w:rPr>
      <w:rFonts w:ascii="Calibri" w:hAnsi="Calibri"/>
      <w:sz w:val="22"/>
      <w:szCs w:val="22"/>
      <w:lang w:val="es-ES"/>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apple-converted-space">
    <w:name w:val="apple-converted-space"/>
    <w:basedOn w:val="Fuentedeprrafopredeter"/>
    <w:rsid w:val="00E6239C"/>
  </w:style>
  <w:style w:type="paragraph" w:styleId="Mapadeldocumento">
    <w:name w:val="Document Map"/>
    <w:basedOn w:val="Normal"/>
    <w:link w:val="MapadeldocumentoCar"/>
    <w:uiPriority w:val="99"/>
    <w:semiHidden/>
    <w:unhideWhenUsed/>
    <w:rsid w:val="001D3E23"/>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D3E23"/>
    <w:rPr>
      <w:rFonts w:ascii="Tahoma" w:hAnsi="Tahoma" w:cs="Tahoma"/>
      <w:sz w:val="16"/>
      <w:szCs w:val="16"/>
      <w:lang w:eastAsia="ja-JP"/>
    </w:rPr>
  </w:style>
  <w:style w:type="character" w:styleId="Hipervnculovisitado">
    <w:name w:val="FollowedHyperlink"/>
    <w:basedOn w:val="Fuentedeprrafopredeter"/>
    <w:uiPriority w:val="99"/>
    <w:semiHidden/>
    <w:unhideWhenUsed/>
    <w:rsid w:val="00656266"/>
    <w:rPr>
      <w:color w:val="800080" w:themeColor="followedHyperlink"/>
      <w:u w:val="single"/>
    </w:rPr>
  </w:style>
  <w:style w:type="paragraph" w:styleId="Puesto">
    <w:name w:val="Title"/>
    <w:basedOn w:val="Normal"/>
    <w:next w:val="Normal"/>
    <w:link w:val="PuestoCar"/>
    <w:uiPriority w:val="10"/>
    <w:qFormat/>
    <w:rsid w:val="006834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683438"/>
    <w:rPr>
      <w:rFonts w:asciiTheme="majorHAnsi" w:eastAsiaTheme="majorEastAsia" w:hAnsiTheme="majorHAnsi" w:cstheme="majorBidi"/>
      <w:color w:val="17365D" w:themeColor="text2" w:themeShade="BF"/>
      <w:spacing w:val="5"/>
      <w:kern w:val="28"/>
      <w:sz w:val="52"/>
      <w:szCs w:val="52"/>
      <w:lang w:val="es-DO" w:eastAsia="ja-JP"/>
    </w:rPr>
  </w:style>
  <w:style w:type="paragraph" w:styleId="Subttulo">
    <w:name w:val="Subtitle"/>
    <w:basedOn w:val="Normal"/>
    <w:next w:val="Normal"/>
    <w:link w:val="SubttuloCar"/>
    <w:uiPriority w:val="11"/>
    <w:qFormat/>
    <w:rsid w:val="00683438"/>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uiPriority w:val="11"/>
    <w:rsid w:val="00683438"/>
    <w:rPr>
      <w:rFonts w:asciiTheme="majorHAnsi" w:eastAsiaTheme="majorEastAsia" w:hAnsiTheme="majorHAnsi" w:cstheme="majorBidi"/>
      <w:i/>
      <w:iCs/>
      <w:color w:val="4F81BD" w:themeColor="accent1"/>
      <w:spacing w:val="15"/>
      <w:sz w:val="24"/>
      <w:szCs w:val="24"/>
      <w:lang w:val="es-DO" w:eastAsia="ja-JP"/>
    </w:rPr>
  </w:style>
  <w:style w:type="character" w:styleId="Textoennegrita">
    <w:name w:val="Strong"/>
    <w:uiPriority w:val="22"/>
    <w:qFormat/>
    <w:rsid w:val="00683438"/>
    <w:rPr>
      <w:b/>
      <w:bCs/>
    </w:rPr>
  </w:style>
  <w:style w:type="character" w:styleId="nfasis">
    <w:name w:val="Emphasis"/>
    <w:uiPriority w:val="20"/>
    <w:qFormat/>
    <w:rsid w:val="00683438"/>
    <w:rPr>
      <w:i/>
      <w:iCs/>
    </w:rPr>
  </w:style>
  <w:style w:type="paragraph" w:styleId="Sinespaciado">
    <w:name w:val="No Spacing"/>
    <w:basedOn w:val="Normal"/>
    <w:link w:val="SinespaciadoCar"/>
    <w:uiPriority w:val="1"/>
    <w:qFormat/>
    <w:rsid w:val="00683438"/>
    <w:pPr>
      <w:spacing w:after="0"/>
    </w:pPr>
  </w:style>
  <w:style w:type="character" w:customStyle="1" w:styleId="SinespaciadoCar">
    <w:name w:val="Sin espaciado Car"/>
    <w:basedOn w:val="Fuentedeprrafopredeter"/>
    <w:link w:val="Sinespaciado"/>
    <w:uiPriority w:val="1"/>
    <w:rsid w:val="00683438"/>
    <w:rPr>
      <w:sz w:val="24"/>
      <w:szCs w:val="24"/>
      <w:lang w:val="es-DO" w:eastAsia="ja-JP"/>
    </w:rPr>
  </w:style>
  <w:style w:type="paragraph" w:styleId="Cita">
    <w:name w:val="Quote"/>
    <w:basedOn w:val="Normal"/>
    <w:next w:val="Normal"/>
    <w:link w:val="CitaCar"/>
    <w:uiPriority w:val="29"/>
    <w:qFormat/>
    <w:rsid w:val="00683438"/>
    <w:rPr>
      <w:i/>
      <w:iCs/>
      <w:color w:val="000000" w:themeColor="text1"/>
    </w:rPr>
  </w:style>
  <w:style w:type="character" w:customStyle="1" w:styleId="CitaCar">
    <w:name w:val="Cita Car"/>
    <w:basedOn w:val="Fuentedeprrafopredeter"/>
    <w:link w:val="Cita"/>
    <w:uiPriority w:val="29"/>
    <w:rsid w:val="00683438"/>
    <w:rPr>
      <w:i/>
      <w:iCs/>
      <w:color w:val="000000" w:themeColor="text1"/>
      <w:sz w:val="24"/>
      <w:szCs w:val="24"/>
      <w:lang w:val="es-DO" w:eastAsia="ja-JP"/>
    </w:rPr>
  </w:style>
  <w:style w:type="paragraph" w:styleId="Citadestacada">
    <w:name w:val="Intense Quote"/>
    <w:basedOn w:val="Normal"/>
    <w:next w:val="Normal"/>
    <w:link w:val="CitadestacadaCar"/>
    <w:uiPriority w:val="30"/>
    <w:qFormat/>
    <w:rsid w:val="00683438"/>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683438"/>
    <w:rPr>
      <w:b/>
      <w:bCs/>
      <w:i/>
      <w:iCs/>
      <w:color w:val="4F81BD" w:themeColor="accent1"/>
      <w:sz w:val="24"/>
      <w:szCs w:val="24"/>
      <w:lang w:val="es-DO" w:eastAsia="ja-JP"/>
    </w:rPr>
  </w:style>
  <w:style w:type="character" w:styleId="nfasissutil">
    <w:name w:val="Subtle Emphasis"/>
    <w:uiPriority w:val="19"/>
    <w:qFormat/>
    <w:rsid w:val="00683438"/>
    <w:rPr>
      <w:i/>
      <w:iCs/>
      <w:color w:val="808080" w:themeColor="text1" w:themeTint="7F"/>
    </w:rPr>
  </w:style>
  <w:style w:type="character" w:styleId="nfasisintenso">
    <w:name w:val="Intense Emphasis"/>
    <w:uiPriority w:val="21"/>
    <w:qFormat/>
    <w:rsid w:val="00683438"/>
    <w:rPr>
      <w:b/>
      <w:bCs/>
      <w:i/>
      <w:iCs/>
      <w:color w:val="4F81BD" w:themeColor="accent1"/>
    </w:rPr>
  </w:style>
  <w:style w:type="character" w:styleId="Referenciasutil">
    <w:name w:val="Subtle Reference"/>
    <w:uiPriority w:val="31"/>
    <w:qFormat/>
    <w:rsid w:val="00683438"/>
    <w:rPr>
      <w:smallCaps/>
      <w:color w:val="C0504D" w:themeColor="accent2"/>
      <w:u w:val="single"/>
    </w:rPr>
  </w:style>
  <w:style w:type="character" w:styleId="Referenciaintensa">
    <w:name w:val="Intense Reference"/>
    <w:uiPriority w:val="32"/>
    <w:qFormat/>
    <w:rsid w:val="00683438"/>
    <w:rPr>
      <w:b/>
      <w:bCs/>
      <w:smallCaps/>
      <w:color w:val="C0504D" w:themeColor="accent2"/>
      <w:spacing w:val="5"/>
      <w:u w:val="single"/>
    </w:rPr>
  </w:style>
  <w:style w:type="character" w:styleId="Ttulodellibro">
    <w:name w:val="Book Title"/>
    <w:uiPriority w:val="33"/>
    <w:qFormat/>
    <w:rsid w:val="00683438"/>
    <w:rPr>
      <w:b/>
      <w:bCs/>
      <w:smallCaps/>
      <w:spacing w:val="5"/>
    </w:rPr>
  </w:style>
  <w:style w:type="paragraph" w:styleId="Textoindependiente">
    <w:name w:val="Body Text"/>
    <w:basedOn w:val="Normal"/>
    <w:link w:val="TextoindependienteCar"/>
    <w:uiPriority w:val="99"/>
    <w:semiHidden/>
    <w:unhideWhenUsed/>
    <w:rsid w:val="00CB7F71"/>
    <w:pPr>
      <w:spacing w:after="120"/>
    </w:pPr>
  </w:style>
  <w:style w:type="character" w:customStyle="1" w:styleId="TextoindependienteCar">
    <w:name w:val="Texto independiente Car"/>
    <w:basedOn w:val="Fuentedeprrafopredeter"/>
    <w:link w:val="Textoindependiente"/>
    <w:uiPriority w:val="99"/>
    <w:semiHidden/>
    <w:rsid w:val="00CB7F71"/>
    <w:rPr>
      <w:sz w:val="24"/>
      <w:szCs w:val="24"/>
      <w:lang w:val="es-DO" w:eastAsia="ja-JP"/>
    </w:rPr>
  </w:style>
  <w:style w:type="character" w:customStyle="1" w:styleId="subtitulos1">
    <w:name w:val="subtitulos1"/>
    <w:basedOn w:val="Fuentedeprrafopredeter"/>
    <w:rsid w:val="00CB7F71"/>
    <w:rPr>
      <w:rFonts w:ascii="Arial" w:hAnsi="Arial" w:cs="Arial" w:hint="default"/>
      <w:b/>
      <w:bCs/>
      <w:color w:val="006633"/>
      <w:sz w:val="21"/>
      <w:szCs w:val="21"/>
    </w:rPr>
  </w:style>
  <w:style w:type="paragraph" w:styleId="Sangra2detindependiente">
    <w:name w:val="Body Text Indent 2"/>
    <w:basedOn w:val="Normal"/>
    <w:link w:val="Sangra2detindependienteCar"/>
    <w:uiPriority w:val="99"/>
    <w:semiHidden/>
    <w:unhideWhenUsed/>
    <w:rsid w:val="00F70147"/>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F70147"/>
    <w:rPr>
      <w:sz w:val="24"/>
      <w:szCs w:val="24"/>
      <w:lang w:val="es-DO" w:eastAsia="ja-JP"/>
    </w:rPr>
  </w:style>
  <w:style w:type="paragraph" w:customStyle="1" w:styleId="Body">
    <w:name w:val="Body"/>
    <w:rsid w:val="001103BF"/>
    <w:pPr>
      <w:pBdr>
        <w:top w:val="nil"/>
        <w:left w:val="nil"/>
        <w:bottom w:val="nil"/>
        <w:right w:val="nil"/>
        <w:between w:val="nil"/>
        <w:bar w:val="nil"/>
      </w:pBdr>
    </w:pPr>
    <w:rPr>
      <w:rFonts w:ascii="Helvetica Neue" w:eastAsia="Helvetica Neue" w:hAnsi="Helvetica Neue" w:cs="Helvetica Neue"/>
      <w:color w:val="000000"/>
      <w:sz w:val="22"/>
      <w:szCs w:val="22"/>
      <w:bdr w:val="nil"/>
      <w:lang w:val="es-DO" w:eastAsia="es-DO"/>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1422">
      <w:bodyDiv w:val="1"/>
      <w:marLeft w:val="0"/>
      <w:marRight w:val="0"/>
      <w:marTop w:val="0"/>
      <w:marBottom w:val="0"/>
      <w:divBdr>
        <w:top w:val="none" w:sz="0" w:space="0" w:color="auto"/>
        <w:left w:val="none" w:sz="0" w:space="0" w:color="auto"/>
        <w:bottom w:val="none" w:sz="0" w:space="0" w:color="auto"/>
        <w:right w:val="none" w:sz="0" w:space="0" w:color="auto"/>
      </w:divBdr>
    </w:div>
    <w:div w:id="11030560">
      <w:bodyDiv w:val="1"/>
      <w:marLeft w:val="0"/>
      <w:marRight w:val="0"/>
      <w:marTop w:val="0"/>
      <w:marBottom w:val="0"/>
      <w:divBdr>
        <w:top w:val="none" w:sz="0" w:space="0" w:color="auto"/>
        <w:left w:val="none" w:sz="0" w:space="0" w:color="auto"/>
        <w:bottom w:val="none" w:sz="0" w:space="0" w:color="auto"/>
        <w:right w:val="none" w:sz="0" w:space="0" w:color="auto"/>
      </w:divBdr>
    </w:div>
    <w:div w:id="12850191">
      <w:bodyDiv w:val="1"/>
      <w:marLeft w:val="0"/>
      <w:marRight w:val="0"/>
      <w:marTop w:val="0"/>
      <w:marBottom w:val="0"/>
      <w:divBdr>
        <w:top w:val="none" w:sz="0" w:space="0" w:color="auto"/>
        <w:left w:val="none" w:sz="0" w:space="0" w:color="auto"/>
        <w:bottom w:val="none" w:sz="0" w:space="0" w:color="auto"/>
        <w:right w:val="none" w:sz="0" w:space="0" w:color="auto"/>
      </w:divBdr>
    </w:div>
    <w:div w:id="13188952">
      <w:bodyDiv w:val="1"/>
      <w:marLeft w:val="0"/>
      <w:marRight w:val="0"/>
      <w:marTop w:val="0"/>
      <w:marBottom w:val="0"/>
      <w:divBdr>
        <w:top w:val="none" w:sz="0" w:space="0" w:color="auto"/>
        <w:left w:val="none" w:sz="0" w:space="0" w:color="auto"/>
        <w:bottom w:val="none" w:sz="0" w:space="0" w:color="auto"/>
        <w:right w:val="none" w:sz="0" w:space="0" w:color="auto"/>
      </w:divBdr>
    </w:div>
    <w:div w:id="13504251">
      <w:bodyDiv w:val="1"/>
      <w:marLeft w:val="0"/>
      <w:marRight w:val="0"/>
      <w:marTop w:val="0"/>
      <w:marBottom w:val="0"/>
      <w:divBdr>
        <w:top w:val="none" w:sz="0" w:space="0" w:color="auto"/>
        <w:left w:val="none" w:sz="0" w:space="0" w:color="auto"/>
        <w:bottom w:val="none" w:sz="0" w:space="0" w:color="auto"/>
        <w:right w:val="none" w:sz="0" w:space="0" w:color="auto"/>
      </w:divBdr>
    </w:div>
    <w:div w:id="21903374">
      <w:bodyDiv w:val="1"/>
      <w:marLeft w:val="0"/>
      <w:marRight w:val="0"/>
      <w:marTop w:val="0"/>
      <w:marBottom w:val="0"/>
      <w:divBdr>
        <w:top w:val="none" w:sz="0" w:space="0" w:color="auto"/>
        <w:left w:val="none" w:sz="0" w:space="0" w:color="auto"/>
        <w:bottom w:val="none" w:sz="0" w:space="0" w:color="auto"/>
        <w:right w:val="none" w:sz="0" w:space="0" w:color="auto"/>
      </w:divBdr>
    </w:div>
    <w:div w:id="25297255">
      <w:bodyDiv w:val="1"/>
      <w:marLeft w:val="0"/>
      <w:marRight w:val="0"/>
      <w:marTop w:val="0"/>
      <w:marBottom w:val="0"/>
      <w:divBdr>
        <w:top w:val="none" w:sz="0" w:space="0" w:color="auto"/>
        <w:left w:val="none" w:sz="0" w:space="0" w:color="auto"/>
        <w:bottom w:val="none" w:sz="0" w:space="0" w:color="auto"/>
        <w:right w:val="none" w:sz="0" w:space="0" w:color="auto"/>
      </w:divBdr>
    </w:div>
    <w:div w:id="31810824">
      <w:bodyDiv w:val="1"/>
      <w:marLeft w:val="0"/>
      <w:marRight w:val="0"/>
      <w:marTop w:val="0"/>
      <w:marBottom w:val="0"/>
      <w:divBdr>
        <w:top w:val="none" w:sz="0" w:space="0" w:color="auto"/>
        <w:left w:val="none" w:sz="0" w:space="0" w:color="auto"/>
        <w:bottom w:val="none" w:sz="0" w:space="0" w:color="auto"/>
        <w:right w:val="none" w:sz="0" w:space="0" w:color="auto"/>
      </w:divBdr>
    </w:div>
    <w:div w:id="42144173">
      <w:bodyDiv w:val="1"/>
      <w:marLeft w:val="0"/>
      <w:marRight w:val="0"/>
      <w:marTop w:val="0"/>
      <w:marBottom w:val="0"/>
      <w:divBdr>
        <w:top w:val="none" w:sz="0" w:space="0" w:color="auto"/>
        <w:left w:val="none" w:sz="0" w:space="0" w:color="auto"/>
        <w:bottom w:val="none" w:sz="0" w:space="0" w:color="auto"/>
        <w:right w:val="none" w:sz="0" w:space="0" w:color="auto"/>
      </w:divBdr>
    </w:div>
    <w:div w:id="51077233">
      <w:bodyDiv w:val="1"/>
      <w:marLeft w:val="0"/>
      <w:marRight w:val="0"/>
      <w:marTop w:val="0"/>
      <w:marBottom w:val="0"/>
      <w:divBdr>
        <w:top w:val="none" w:sz="0" w:space="0" w:color="auto"/>
        <w:left w:val="none" w:sz="0" w:space="0" w:color="auto"/>
        <w:bottom w:val="none" w:sz="0" w:space="0" w:color="auto"/>
        <w:right w:val="none" w:sz="0" w:space="0" w:color="auto"/>
      </w:divBdr>
    </w:div>
    <w:div w:id="53429729">
      <w:bodyDiv w:val="1"/>
      <w:marLeft w:val="0"/>
      <w:marRight w:val="0"/>
      <w:marTop w:val="0"/>
      <w:marBottom w:val="0"/>
      <w:divBdr>
        <w:top w:val="none" w:sz="0" w:space="0" w:color="auto"/>
        <w:left w:val="none" w:sz="0" w:space="0" w:color="auto"/>
        <w:bottom w:val="none" w:sz="0" w:space="0" w:color="auto"/>
        <w:right w:val="none" w:sz="0" w:space="0" w:color="auto"/>
      </w:divBdr>
    </w:div>
    <w:div w:id="63992161">
      <w:bodyDiv w:val="1"/>
      <w:marLeft w:val="0"/>
      <w:marRight w:val="0"/>
      <w:marTop w:val="0"/>
      <w:marBottom w:val="0"/>
      <w:divBdr>
        <w:top w:val="none" w:sz="0" w:space="0" w:color="auto"/>
        <w:left w:val="none" w:sz="0" w:space="0" w:color="auto"/>
        <w:bottom w:val="none" w:sz="0" w:space="0" w:color="auto"/>
        <w:right w:val="none" w:sz="0" w:space="0" w:color="auto"/>
      </w:divBdr>
    </w:div>
    <w:div w:id="69353724">
      <w:bodyDiv w:val="1"/>
      <w:marLeft w:val="0"/>
      <w:marRight w:val="0"/>
      <w:marTop w:val="0"/>
      <w:marBottom w:val="0"/>
      <w:divBdr>
        <w:top w:val="none" w:sz="0" w:space="0" w:color="auto"/>
        <w:left w:val="none" w:sz="0" w:space="0" w:color="auto"/>
        <w:bottom w:val="none" w:sz="0" w:space="0" w:color="auto"/>
        <w:right w:val="none" w:sz="0" w:space="0" w:color="auto"/>
      </w:divBdr>
    </w:div>
    <w:div w:id="77220150">
      <w:bodyDiv w:val="1"/>
      <w:marLeft w:val="0"/>
      <w:marRight w:val="0"/>
      <w:marTop w:val="0"/>
      <w:marBottom w:val="0"/>
      <w:divBdr>
        <w:top w:val="none" w:sz="0" w:space="0" w:color="auto"/>
        <w:left w:val="none" w:sz="0" w:space="0" w:color="auto"/>
        <w:bottom w:val="none" w:sz="0" w:space="0" w:color="auto"/>
        <w:right w:val="none" w:sz="0" w:space="0" w:color="auto"/>
      </w:divBdr>
    </w:div>
    <w:div w:id="83499382">
      <w:bodyDiv w:val="1"/>
      <w:marLeft w:val="0"/>
      <w:marRight w:val="0"/>
      <w:marTop w:val="0"/>
      <w:marBottom w:val="0"/>
      <w:divBdr>
        <w:top w:val="none" w:sz="0" w:space="0" w:color="auto"/>
        <w:left w:val="none" w:sz="0" w:space="0" w:color="auto"/>
        <w:bottom w:val="none" w:sz="0" w:space="0" w:color="auto"/>
        <w:right w:val="none" w:sz="0" w:space="0" w:color="auto"/>
      </w:divBdr>
    </w:div>
    <w:div w:id="87778554">
      <w:bodyDiv w:val="1"/>
      <w:marLeft w:val="0"/>
      <w:marRight w:val="0"/>
      <w:marTop w:val="0"/>
      <w:marBottom w:val="0"/>
      <w:divBdr>
        <w:top w:val="none" w:sz="0" w:space="0" w:color="auto"/>
        <w:left w:val="none" w:sz="0" w:space="0" w:color="auto"/>
        <w:bottom w:val="none" w:sz="0" w:space="0" w:color="auto"/>
        <w:right w:val="none" w:sz="0" w:space="0" w:color="auto"/>
      </w:divBdr>
    </w:div>
    <w:div w:id="89473879">
      <w:bodyDiv w:val="1"/>
      <w:marLeft w:val="0"/>
      <w:marRight w:val="0"/>
      <w:marTop w:val="0"/>
      <w:marBottom w:val="0"/>
      <w:divBdr>
        <w:top w:val="none" w:sz="0" w:space="0" w:color="auto"/>
        <w:left w:val="none" w:sz="0" w:space="0" w:color="auto"/>
        <w:bottom w:val="none" w:sz="0" w:space="0" w:color="auto"/>
        <w:right w:val="none" w:sz="0" w:space="0" w:color="auto"/>
      </w:divBdr>
    </w:div>
    <w:div w:id="91559241">
      <w:bodyDiv w:val="1"/>
      <w:marLeft w:val="0"/>
      <w:marRight w:val="0"/>
      <w:marTop w:val="0"/>
      <w:marBottom w:val="0"/>
      <w:divBdr>
        <w:top w:val="none" w:sz="0" w:space="0" w:color="auto"/>
        <w:left w:val="none" w:sz="0" w:space="0" w:color="auto"/>
        <w:bottom w:val="none" w:sz="0" w:space="0" w:color="auto"/>
        <w:right w:val="none" w:sz="0" w:space="0" w:color="auto"/>
      </w:divBdr>
    </w:div>
    <w:div w:id="105005151">
      <w:bodyDiv w:val="1"/>
      <w:marLeft w:val="0"/>
      <w:marRight w:val="0"/>
      <w:marTop w:val="0"/>
      <w:marBottom w:val="0"/>
      <w:divBdr>
        <w:top w:val="none" w:sz="0" w:space="0" w:color="auto"/>
        <w:left w:val="none" w:sz="0" w:space="0" w:color="auto"/>
        <w:bottom w:val="none" w:sz="0" w:space="0" w:color="auto"/>
        <w:right w:val="none" w:sz="0" w:space="0" w:color="auto"/>
      </w:divBdr>
    </w:div>
    <w:div w:id="119039087">
      <w:bodyDiv w:val="1"/>
      <w:marLeft w:val="0"/>
      <w:marRight w:val="0"/>
      <w:marTop w:val="0"/>
      <w:marBottom w:val="0"/>
      <w:divBdr>
        <w:top w:val="none" w:sz="0" w:space="0" w:color="auto"/>
        <w:left w:val="none" w:sz="0" w:space="0" w:color="auto"/>
        <w:bottom w:val="none" w:sz="0" w:space="0" w:color="auto"/>
        <w:right w:val="none" w:sz="0" w:space="0" w:color="auto"/>
      </w:divBdr>
    </w:div>
    <w:div w:id="119886270">
      <w:bodyDiv w:val="1"/>
      <w:marLeft w:val="0"/>
      <w:marRight w:val="0"/>
      <w:marTop w:val="0"/>
      <w:marBottom w:val="0"/>
      <w:divBdr>
        <w:top w:val="none" w:sz="0" w:space="0" w:color="auto"/>
        <w:left w:val="none" w:sz="0" w:space="0" w:color="auto"/>
        <w:bottom w:val="none" w:sz="0" w:space="0" w:color="auto"/>
        <w:right w:val="none" w:sz="0" w:space="0" w:color="auto"/>
      </w:divBdr>
    </w:div>
    <w:div w:id="120467494">
      <w:bodyDiv w:val="1"/>
      <w:marLeft w:val="0"/>
      <w:marRight w:val="0"/>
      <w:marTop w:val="0"/>
      <w:marBottom w:val="0"/>
      <w:divBdr>
        <w:top w:val="none" w:sz="0" w:space="0" w:color="auto"/>
        <w:left w:val="none" w:sz="0" w:space="0" w:color="auto"/>
        <w:bottom w:val="none" w:sz="0" w:space="0" w:color="auto"/>
        <w:right w:val="none" w:sz="0" w:space="0" w:color="auto"/>
      </w:divBdr>
    </w:div>
    <w:div w:id="126435822">
      <w:bodyDiv w:val="1"/>
      <w:marLeft w:val="0"/>
      <w:marRight w:val="0"/>
      <w:marTop w:val="0"/>
      <w:marBottom w:val="0"/>
      <w:divBdr>
        <w:top w:val="none" w:sz="0" w:space="0" w:color="auto"/>
        <w:left w:val="none" w:sz="0" w:space="0" w:color="auto"/>
        <w:bottom w:val="none" w:sz="0" w:space="0" w:color="auto"/>
        <w:right w:val="none" w:sz="0" w:space="0" w:color="auto"/>
      </w:divBdr>
    </w:div>
    <w:div w:id="145048616">
      <w:bodyDiv w:val="1"/>
      <w:marLeft w:val="0"/>
      <w:marRight w:val="0"/>
      <w:marTop w:val="0"/>
      <w:marBottom w:val="0"/>
      <w:divBdr>
        <w:top w:val="none" w:sz="0" w:space="0" w:color="auto"/>
        <w:left w:val="none" w:sz="0" w:space="0" w:color="auto"/>
        <w:bottom w:val="none" w:sz="0" w:space="0" w:color="auto"/>
        <w:right w:val="none" w:sz="0" w:space="0" w:color="auto"/>
      </w:divBdr>
    </w:div>
    <w:div w:id="153228371">
      <w:bodyDiv w:val="1"/>
      <w:marLeft w:val="0"/>
      <w:marRight w:val="0"/>
      <w:marTop w:val="0"/>
      <w:marBottom w:val="0"/>
      <w:divBdr>
        <w:top w:val="none" w:sz="0" w:space="0" w:color="auto"/>
        <w:left w:val="none" w:sz="0" w:space="0" w:color="auto"/>
        <w:bottom w:val="none" w:sz="0" w:space="0" w:color="auto"/>
        <w:right w:val="none" w:sz="0" w:space="0" w:color="auto"/>
      </w:divBdr>
    </w:div>
    <w:div w:id="153881988">
      <w:bodyDiv w:val="1"/>
      <w:marLeft w:val="0"/>
      <w:marRight w:val="0"/>
      <w:marTop w:val="0"/>
      <w:marBottom w:val="0"/>
      <w:divBdr>
        <w:top w:val="none" w:sz="0" w:space="0" w:color="auto"/>
        <w:left w:val="none" w:sz="0" w:space="0" w:color="auto"/>
        <w:bottom w:val="none" w:sz="0" w:space="0" w:color="auto"/>
        <w:right w:val="none" w:sz="0" w:space="0" w:color="auto"/>
      </w:divBdr>
    </w:div>
    <w:div w:id="156119012">
      <w:bodyDiv w:val="1"/>
      <w:marLeft w:val="0"/>
      <w:marRight w:val="0"/>
      <w:marTop w:val="0"/>
      <w:marBottom w:val="0"/>
      <w:divBdr>
        <w:top w:val="none" w:sz="0" w:space="0" w:color="auto"/>
        <w:left w:val="none" w:sz="0" w:space="0" w:color="auto"/>
        <w:bottom w:val="none" w:sz="0" w:space="0" w:color="auto"/>
        <w:right w:val="none" w:sz="0" w:space="0" w:color="auto"/>
      </w:divBdr>
    </w:div>
    <w:div w:id="167869586">
      <w:bodyDiv w:val="1"/>
      <w:marLeft w:val="0"/>
      <w:marRight w:val="0"/>
      <w:marTop w:val="0"/>
      <w:marBottom w:val="0"/>
      <w:divBdr>
        <w:top w:val="none" w:sz="0" w:space="0" w:color="auto"/>
        <w:left w:val="none" w:sz="0" w:space="0" w:color="auto"/>
        <w:bottom w:val="none" w:sz="0" w:space="0" w:color="auto"/>
        <w:right w:val="none" w:sz="0" w:space="0" w:color="auto"/>
      </w:divBdr>
    </w:div>
    <w:div w:id="184563894">
      <w:bodyDiv w:val="1"/>
      <w:marLeft w:val="0"/>
      <w:marRight w:val="0"/>
      <w:marTop w:val="0"/>
      <w:marBottom w:val="0"/>
      <w:divBdr>
        <w:top w:val="none" w:sz="0" w:space="0" w:color="auto"/>
        <w:left w:val="none" w:sz="0" w:space="0" w:color="auto"/>
        <w:bottom w:val="none" w:sz="0" w:space="0" w:color="auto"/>
        <w:right w:val="none" w:sz="0" w:space="0" w:color="auto"/>
      </w:divBdr>
    </w:div>
    <w:div w:id="185683085">
      <w:bodyDiv w:val="1"/>
      <w:marLeft w:val="0"/>
      <w:marRight w:val="0"/>
      <w:marTop w:val="0"/>
      <w:marBottom w:val="0"/>
      <w:divBdr>
        <w:top w:val="none" w:sz="0" w:space="0" w:color="auto"/>
        <w:left w:val="none" w:sz="0" w:space="0" w:color="auto"/>
        <w:bottom w:val="none" w:sz="0" w:space="0" w:color="auto"/>
        <w:right w:val="none" w:sz="0" w:space="0" w:color="auto"/>
      </w:divBdr>
    </w:div>
    <w:div w:id="187833969">
      <w:bodyDiv w:val="1"/>
      <w:marLeft w:val="0"/>
      <w:marRight w:val="0"/>
      <w:marTop w:val="0"/>
      <w:marBottom w:val="0"/>
      <w:divBdr>
        <w:top w:val="none" w:sz="0" w:space="0" w:color="auto"/>
        <w:left w:val="none" w:sz="0" w:space="0" w:color="auto"/>
        <w:bottom w:val="none" w:sz="0" w:space="0" w:color="auto"/>
        <w:right w:val="none" w:sz="0" w:space="0" w:color="auto"/>
      </w:divBdr>
    </w:div>
    <w:div w:id="203100134">
      <w:bodyDiv w:val="1"/>
      <w:marLeft w:val="0"/>
      <w:marRight w:val="0"/>
      <w:marTop w:val="0"/>
      <w:marBottom w:val="0"/>
      <w:divBdr>
        <w:top w:val="none" w:sz="0" w:space="0" w:color="auto"/>
        <w:left w:val="none" w:sz="0" w:space="0" w:color="auto"/>
        <w:bottom w:val="none" w:sz="0" w:space="0" w:color="auto"/>
        <w:right w:val="none" w:sz="0" w:space="0" w:color="auto"/>
      </w:divBdr>
    </w:div>
    <w:div w:id="206572695">
      <w:bodyDiv w:val="1"/>
      <w:marLeft w:val="0"/>
      <w:marRight w:val="0"/>
      <w:marTop w:val="0"/>
      <w:marBottom w:val="0"/>
      <w:divBdr>
        <w:top w:val="none" w:sz="0" w:space="0" w:color="auto"/>
        <w:left w:val="none" w:sz="0" w:space="0" w:color="auto"/>
        <w:bottom w:val="none" w:sz="0" w:space="0" w:color="auto"/>
        <w:right w:val="none" w:sz="0" w:space="0" w:color="auto"/>
      </w:divBdr>
    </w:div>
    <w:div w:id="217982625">
      <w:bodyDiv w:val="1"/>
      <w:marLeft w:val="0"/>
      <w:marRight w:val="0"/>
      <w:marTop w:val="0"/>
      <w:marBottom w:val="0"/>
      <w:divBdr>
        <w:top w:val="none" w:sz="0" w:space="0" w:color="auto"/>
        <w:left w:val="none" w:sz="0" w:space="0" w:color="auto"/>
        <w:bottom w:val="none" w:sz="0" w:space="0" w:color="auto"/>
        <w:right w:val="none" w:sz="0" w:space="0" w:color="auto"/>
      </w:divBdr>
    </w:div>
    <w:div w:id="226764755">
      <w:bodyDiv w:val="1"/>
      <w:marLeft w:val="0"/>
      <w:marRight w:val="0"/>
      <w:marTop w:val="0"/>
      <w:marBottom w:val="0"/>
      <w:divBdr>
        <w:top w:val="none" w:sz="0" w:space="0" w:color="auto"/>
        <w:left w:val="none" w:sz="0" w:space="0" w:color="auto"/>
        <w:bottom w:val="none" w:sz="0" w:space="0" w:color="auto"/>
        <w:right w:val="none" w:sz="0" w:space="0" w:color="auto"/>
      </w:divBdr>
    </w:div>
    <w:div w:id="230190423">
      <w:bodyDiv w:val="1"/>
      <w:marLeft w:val="0"/>
      <w:marRight w:val="0"/>
      <w:marTop w:val="0"/>
      <w:marBottom w:val="0"/>
      <w:divBdr>
        <w:top w:val="none" w:sz="0" w:space="0" w:color="auto"/>
        <w:left w:val="none" w:sz="0" w:space="0" w:color="auto"/>
        <w:bottom w:val="none" w:sz="0" w:space="0" w:color="auto"/>
        <w:right w:val="none" w:sz="0" w:space="0" w:color="auto"/>
      </w:divBdr>
    </w:div>
    <w:div w:id="231359349">
      <w:bodyDiv w:val="1"/>
      <w:marLeft w:val="0"/>
      <w:marRight w:val="0"/>
      <w:marTop w:val="0"/>
      <w:marBottom w:val="0"/>
      <w:divBdr>
        <w:top w:val="none" w:sz="0" w:space="0" w:color="auto"/>
        <w:left w:val="none" w:sz="0" w:space="0" w:color="auto"/>
        <w:bottom w:val="none" w:sz="0" w:space="0" w:color="auto"/>
        <w:right w:val="none" w:sz="0" w:space="0" w:color="auto"/>
      </w:divBdr>
    </w:div>
    <w:div w:id="246425199">
      <w:bodyDiv w:val="1"/>
      <w:marLeft w:val="0"/>
      <w:marRight w:val="0"/>
      <w:marTop w:val="0"/>
      <w:marBottom w:val="0"/>
      <w:divBdr>
        <w:top w:val="none" w:sz="0" w:space="0" w:color="auto"/>
        <w:left w:val="none" w:sz="0" w:space="0" w:color="auto"/>
        <w:bottom w:val="none" w:sz="0" w:space="0" w:color="auto"/>
        <w:right w:val="none" w:sz="0" w:space="0" w:color="auto"/>
      </w:divBdr>
    </w:div>
    <w:div w:id="254631709">
      <w:bodyDiv w:val="1"/>
      <w:marLeft w:val="0"/>
      <w:marRight w:val="0"/>
      <w:marTop w:val="0"/>
      <w:marBottom w:val="0"/>
      <w:divBdr>
        <w:top w:val="none" w:sz="0" w:space="0" w:color="auto"/>
        <w:left w:val="none" w:sz="0" w:space="0" w:color="auto"/>
        <w:bottom w:val="none" w:sz="0" w:space="0" w:color="auto"/>
        <w:right w:val="none" w:sz="0" w:space="0" w:color="auto"/>
      </w:divBdr>
    </w:div>
    <w:div w:id="257763155">
      <w:bodyDiv w:val="1"/>
      <w:marLeft w:val="0"/>
      <w:marRight w:val="0"/>
      <w:marTop w:val="0"/>
      <w:marBottom w:val="0"/>
      <w:divBdr>
        <w:top w:val="none" w:sz="0" w:space="0" w:color="auto"/>
        <w:left w:val="none" w:sz="0" w:space="0" w:color="auto"/>
        <w:bottom w:val="none" w:sz="0" w:space="0" w:color="auto"/>
        <w:right w:val="none" w:sz="0" w:space="0" w:color="auto"/>
      </w:divBdr>
    </w:div>
    <w:div w:id="270548153">
      <w:bodyDiv w:val="1"/>
      <w:marLeft w:val="0"/>
      <w:marRight w:val="0"/>
      <w:marTop w:val="0"/>
      <w:marBottom w:val="0"/>
      <w:divBdr>
        <w:top w:val="none" w:sz="0" w:space="0" w:color="auto"/>
        <w:left w:val="none" w:sz="0" w:space="0" w:color="auto"/>
        <w:bottom w:val="none" w:sz="0" w:space="0" w:color="auto"/>
        <w:right w:val="none" w:sz="0" w:space="0" w:color="auto"/>
      </w:divBdr>
    </w:div>
    <w:div w:id="275798824">
      <w:bodyDiv w:val="1"/>
      <w:marLeft w:val="0"/>
      <w:marRight w:val="0"/>
      <w:marTop w:val="0"/>
      <w:marBottom w:val="0"/>
      <w:divBdr>
        <w:top w:val="none" w:sz="0" w:space="0" w:color="auto"/>
        <w:left w:val="none" w:sz="0" w:space="0" w:color="auto"/>
        <w:bottom w:val="none" w:sz="0" w:space="0" w:color="auto"/>
        <w:right w:val="none" w:sz="0" w:space="0" w:color="auto"/>
      </w:divBdr>
    </w:div>
    <w:div w:id="277224543">
      <w:bodyDiv w:val="1"/>
      <w:marLeft w:val="0"/>
      <w:marRight w:val="0"/>
      <w:marTop w:val="0"/>
      <w:marBottom w:val="0"/>
      <w:divBdr>
        <w:top w:val="none" w:sz="0" w:space="0" w:color="auto"/>
        <w:left w:val="none" w:sz="0" w:space="0" w:color="auto"/>
        <w:bottom w:val="none" w:sz="0" w:space="0" w:color="auto"/>
        <w:right w:val="none" w:sz="0" w:space="0" w:color="auto"/>
      </w:divBdr>
    </w:div>
    <w:div w:id="283705614">
      <w:bodyDiv w:val="1"/>
      <w:marLeft w:val="0"/>
      <w:marRight w:val="0"/>
      <w:marTop w:val="0"/>
      <w:marBottom w:val="0"/>
      <w:divBdr>
        <w:top w:val="none" w:sz="0" w:space="0" w:color="auto"/>
        <w:left w:val="none" w:sz="0" w:space="0" w:color="auto"/>
        <w:bottom w:val="none" w:sz="0" w:space="0" w:color="auto"/>
        <w:right w:val="none" w:sz="0" w:space="0" w:color="auto"/>
      </w:divBdr>
    </w:div>
    <w:div w:id="293566833">
      <w:bodyDiv w:val="1"/>
      <w:marLeft w:val="0"/>
      <w:marRight w:val="0"/>
      <w:marTop w:val="0"/>
      <w:marBottom w:val="0"/>
      <w:divBdr>
        <w:top w:val="none" w:sz="0" w:space="0" w:color="auto"/>
        <w:left w:val="none" w:sz="0" w:space="0" w:color="auto"/>
        <w:bottom w:val="none" w:sz="0" w:space="0" w:color="auto"/>
        <w:right w:val="none" w:sz="0" w:space="0" w:color="auto"/>
      </w:divBdr>
    </w:div>
    <w:div w:id="296449774">
      <w:bodyDiv w:val="1"/>
      <w:marLeft w:val="0"/>
      <w:marRight w:val="0"/>
      <w:marTop w:val="0"/>
      <w:marBottom w:val="0"/>
      <w:divBdr>
        <w:top w:val="none" w:sz="0" w:space="0" w:color="auto"/>
        <w:left w:val="none" w:sz="0" w:space="0" w:color="auto"/>
        <w:bottom w:val="none" w:sz="0" w:space="0" w:color="auto"/>
        <w:right w:val="none" w:sz="0" w:space="0" w:color="auto"/>
      </w:divBdr>
    </w:div>
    <w:div w:id="298074475">
      <w:bodyDiv w:val="1"/>
      <w:marLeft w:val="0"/>
      <w:marRight w:val="0"/>
      <w:marTop w:val="0"/>
      <w:marBottom w:val="0"/>
      <w:divBdr>
        <w:top w:val="none" w:sz="0" w:space="0" w:color="auto"/>
        <w:left w:val="none" w:sz="0" w:space="0" w:color="auto"/>
        <w:bottom w:val="none" w:sz="0" w:space="0" w:color="auto"/>
        <w:right w:val="none" w:sz="0" w:space="0" w:color="auto"/>
      </w:divBdr>
    </w:div>
    <w:div w:id="301928431">
      <w:bodyDiv w:val="1"/>
      <w:marLeft w:val="0"/>
      <w:marRight w:val="0"/>
      <w:marTop w:val="0"/>
      <w:marBottom w:val="0"/>
      <w:divBdr>
        <w:top w:val="none" w:sz="0" w:space="0" w:color="auto"/>
        <w:left w:val="none" w:sz="0" w:space="0" w:color="auto"/>
        <w:bottom w:val="none" w:sz="0" w:space="0" w:color="auto"/>
        <w:right w:val="none" w:sz="0" w:space="0" w:color="auto"/>
      </w:divBdr>
    </w:div>
    <w:div w:id="304359720">
      <w:bodyDiv w:val="1"/>
      <w:marLeft w:val="0"/>
      <w:marRight w:val="0"/>
      <w:marTop w:val="0"/>
      <w:marBottom w:val="0"/>
      <w:divBdr>
        <w:top w:val="none" w:sz="0" w:space="0" w:color="auto"/>
        <w:left w:val="none" w:sz="0" w:space="0" w:color="auto"/>
        <w:bottom w:val="none" w:sz="0" w:space="0" w:color="auto"/>
        <w:right w:val="none" w:sz="0" w:space="0" w:color="auto"/>
      </w:divBdr>
    </w:div>
    <w:div w:id="305358954">
      <w:bodyDiv w:val="1"/>
      <w:marLeft w:val="0"/>
      <w:marRight w:val="0"/>
      <w:marTop w:val="0"/>
      <w:marBottom w:val="0"/>
      <w:divBdr>
        <w:top w:val="none" w:sz="0" w:space="0" w:color="auto"/>
        <w:left w:val="none" w:sz="0" w:space="0" w:color="auto"/>
        <w:bottom w:val="none" w:sz="0" w:space="0" w:color="auto"/>
        <w:right w:val="none" w:sz="0" w:space="0" w:color="auto"/>
      </w:divBdr>
    </w:div>
    <w:div w:id="343286636">
      <w:bodyDiv w:val="1"/>
      <w:marLeft w:val="0"/>
      <w:marRight w:val="0"/>
      <w:marTop w:val="0"/>
      <w:marBottom w:val="0"/>
      <w:divBdr>
        <w:top w:val="none" w:sz="0" w:space="0" w:color="auto"/>
        <w:left w:val="none" w:sz="0" w:space="0" w:color="auto"/>
        <w:bottom w:val="none" w:sz="0" w:space="0" w:color="auto"/>
        <w:right w:val="none" w:sz="0" w:space="0" w:color="auto"/>
      </w:divBdr>
    </w:div>
    <w:div w:id="344014236">
      <w:bodyDiv w:val="1"/>
      <w:marLeft w:val="0"/>
      <w:marRight w:val="0"/>
      <w:marTop w:val="0"/>
      <w:marBottom w:val="0"/>
      <w:divBdr>
        <w:top w:val="none" w:sz="0" w:space="0" w:color="auto"/>
        <w:left w:val="none" w:sz="0" w:space="0" w:color="auto"/>
        <w:bottom w:val="none" w:sz="0" w:space="0" w:color="auto"/>
        <w:right w:val="none" w:sz="0" w:space="0" w:color="auto"/>
      </w:divBdr>
    </w:div>
    <w:div w:id="345595215">
      <w:bodyDiv w:val="1"/>
      <w:marLeft w:val="0"/>
      <w:marRight w:val="0"/>
      <w:marTop w:val="0"/>
      <w:marBottom w:val="0"/>
      <w:divBdr>
        <w:top w:val="none" w:sz="0" w:space="0" w:color="auto"/>
        <w:left w:val="none" w:sz="0" w:space="0" w:color="auto"/>
        <w:bottom w:val="none" w:sz="0" w:space="0" w:color="auto"/>
        <w:right w:val="none" w:sz="0" w:space="0" w:color="auto"/>
      </w:divBdr>
    </w:div>
    <w:div w:id="360934021">
      <w:bodyDiv w:val="1"/>
      <w:marLeft w:val="0"/>
      <w:marRight w:val="0"/>
      <w:marTop w:val="0"/>
      <w:marBottom w:val="0"/>
      <w:divBdr>
        <w:top w:val="none" w:sz="0" w:space="0" w:color="auto"/>
        <w:left w:val="none" w:sz="0" w:space="0" w:color="auto"/>
        <w:bottom w:val="none" w:sz="0" w:space="0" w:color="auto"/>
        <w:right w:val="none" w:sz="0" w:space="0" w:color="auto"/>
      </w:divBdr>
    </w:div>
    <w:div w:id="364453710">
      <w:bodyDiv w:val="1"/>
      <w:marLeft w:val="0"/>
      <w:marRight w:val="0"/>
      <w:marTop w:val="0"/>
      <w:marBottom w:val="0"/>
      <w:divBdr>
        <w:top w:val="none" w:sz="0" w:space="0" w:color="auto"/>
        <w:left w:val="none" w:sz="0" w:space="0" w:color="auto"/>
        <w:bottom w:val="none" w:sz="0" w:space="0" w:color="auto"/>
        <w:right w:val="none" w:sz="0" w:space="0" w:color="auto"/>
      </w:divBdr>
    </w:div>
    <w:div w:id="370765926">
      <w:bodyDiv w:val="1"/>
      <w:marLeft w:val="0"/>
      <w:marRight w:val="0"/>
      <w:marTop w:val="0"/>
      <w:marBottom w:val="0"/>
      <w:divBdr>
        <w:top w:val="none" w:sz="0" w:space="0" w:color="auto"/>
        <w:left w:val="none" w:sz="0" w:space="0" w:color="auto"/>
        <w:bottom w:val="none" w:sz="0" w:space="0" w:color="auto"/>
        <w:right w:val="none" w:sz="0" w:space="0" w:color="auto"/>
      </w:divBdr>
    </w:div>
    <w:div w:id="371149535">
      <w:bodyDiv w:val="1"/>
      <w:marLeft w:val="0"/>
      <w:marRight w:val="0"/>
      <w:marTop w:val="0"/>
      <w:marBottom w:val="0"/>
      <w:divBdr>
        <w:top w:val="none" w:sz="0" w:space="0" w:color="auto"/>
        <w:left w:val="none" w:sz="0" w:space="0" w:color="auto"/>
        <w:bottom w:val="none" w:sz="0" w:space="0" w:color="auto"/>
        <w:right w:val="none" w:sz="0" w:space="0" w:color="auto"/>
      </w:divBdr>
    </w:div>
    <w:div w:id="377516371">
      <w:bodyDiv w:val="1"/>
      <w:marLeft w:val="0"/>
      <w:marRight w:val="0"/>
      <w:marTop w:val="0"/>
      <w:marBottom w:val="0"/>
      <w:divBdr>
        <w:top w:val="none" w:sz="0" w:space="0" w:color="auto"/>
        <w:left w:val="none" w:sz="0" w:space="0" w:color="auto"/>
        <w:bottom w:val="none" w:sz="0" w:space="0" w:color="auto"/>
        <w:right w:val="none" w:sz="0" w:space="0" w:color="auto"/>
      </w:divBdr>
    </w:div>
    <w:div w:id="380639383">
      <w:bodyDiv w:val="1"/>
      <w:marLeft w:val="0"/>
      <w:marRight w:val="0"/>
      <w:marTop w:val="0"/>
      <w:marBottom w:val="0"/>
      <w:divBdr>
        <w:top w:val="none" w:sz="0" w:space="0" w:color="auto"/>
        <w:left w:val="none" w:sz="0" w:space="0" w:color="auto"/>
        <w:bottom w:val="none" w:sz="0" w:space="0" w:color="auto"/>
        <w:right w:val="none" w:sz="0" w:space="0" w:color="auto"/>
      </w:divBdr>
    </w:div>
    <w:div w:id="382146609">
      <w:bodyDiv w:val="1"/>
      <w:marLeft w:val="0"/>
      <w:marRight w:val="0"/>
      <w:marTop w:val="0"/>
      <w:marBottom w:val="0"/>
      <w:divBdr>
        <w:top w:val="none" w:sz="0" w:space="0" w:color="auto"/>
        <w:left w:val="none" w:sz="0" w:space="0" w:color="auto"/>
        <w:bottom w:val="none" w:sz="0" w:space="0" w:color="auto"/>
        <w:right w:val="none" w:sz="0" w:space="0" w:color="auto"/>
      </w:divBdr>
    </w:div>
    <w:div w:id="382369629">
      <w:bodyDiv w:val="1"/>
      <w:marLeft w:val="0"/>
      <w:marRight w:val="0"/>
      <w:marTop w:val="0"/>
      <w:marBottom w:val="0"/>
      <w:divBdr>
        <w:top w:val="none" w:sz="0" w:space="0" w:color="auto"/>
        <w:left w:val="none" w:sz="0" w:space="0" w:color="auto"/>
        <w:bottom w:val="none" w:sz="0" w:space="0" w:color="auto"/>
        <w:right w:val="none" w:sz="0" w:space="0" w:color="auto"/>
      </w:divBdr>
    </w:div>
    <w:div w:id="386926402">
      <w:bodyDiv w:val="1"/>
      <w:marLeft w:val="0"/>
      <w:marRight w:val="0"/>
      <w:marTop w:val="0"/>
      <w:marBottom w:val="0"/>
      <w:divBdr>
        <w:top w:val="none" w:sz="0" w:space="0" w:color="auto"/>
        <w:left w:val="none" w:sz="0" w:space="0" w:color="auto"/>
        <w:bottom w:val="none" w:sz="0" w:space="0" w:color="auto"/>
        <w:right w:val="none" w:sz="0" w:space="0" w:color="auto"/>
      </w:divBdr>
    </w:div>
    <w:div w:id="389039601">
      <w:bodyDiv w:val="1"/>
      <w:marLeft w:val="0"/>
      <w:marRight w:val="0"/>
      <w:marTop w:val="0"/>
      <w:marBottom w:val="0"/>
      <w:divBdr>
        <w:top w:val="none" w:sz="0" w:space="0" w:color="auto"/>
        <w:left w:val="none" w:sz="0" w:space="0" w:color="auto"/>
        <w:bottom w:val="none" w:sz="0" w:space="0" w:color="auto"/>
        <w:right w:val="none" w:sz="0" w:space="0" w:color="auto"/>
      </w:divBdr>
    </w:div>
    <w:div w:id="389304087">
      <w:bodyDiv w:val="1"/>
      <w:marLeft w:val="0"/>
      <w:marRight w:val="0"/>
      <w:marTop w:val="0"/>
      <w:marBottom w:val="0"/>
      <w:divBdr>
        <w:top w:val="none" w:sz="0" w:space="0" w:color="auto"/>
        <w:left w:val="none" w:sz="0" w:space="0" w:color="auto"/>
        <w:bottom w:val="none" w:sz="0" w:space="0" w:color="auto"/>
        <w:right w:val="none" w:sz="0" w:space="0" w:color="auto"/>
      </w:divBdr>
    </w:div>
    <w:div w:id="396633305">
      <w:bodyDiv w:val="1"/>
      <w:marLeft w:val="0"/>
      <w:marRight w:val="0"/>
      <w:marTop w:val="0"/>
      <w:marBottom w:val="0"/>
      <w:divBdr>
        <w:top w:val="none" w:sz="0" w:space="0" w:color="auto"/>
        <w:left w:val="none" w:sz="0" w:space="0" w:color="auto"/>
        <w:bottom w:val="none" w:sz="0" w:space="0" w:color="auto"/>
        <w:right w:val="none" w:sz="0" w:space="0" w:color="auto"/>
      </w:divBdr>
    </w:div>
    <w:div w:id="397829264">
      <w:bodyDiv w:val="1"/>
      <w:marLeft w:val="0"/>
      <w:marRight w:val="0"/>
      <w:marTop w:val="0"/>
      <w:marBottom w:val="0"/>
      <w:divBdr>
        <w:top w:val="none" w:sz="0" w:space="0" w:color="auto"/>
        <w:left w:val="none" w:sz="0" w:space="0" w:color="auto"/>
        <w:bottom w:val="none" w:sz="0" w:space="0" w:color="auto"/>
        <w:right w:val="none" w:sz="0" w:space="0" w:color="auto"/>
      </w:divBdr>
    </w:div>
    <w:div w:id="407994038">
      <w:bodyDiv w:val="1"/>
      <w:marLeft w:val="0"/>
      <w:marRight w:val="0"/>
      <w:marTop w:val="0"/>
      <w:marBottom w:val="0"/>
      <w:divBdr>
        <w:top w:val="none" w:sz="0" w:space="0" w:color="auto"/>
        <w:left w:val="none" w:sz="0" w:space="0" w:color="auto"/>
        <w:bottom w:val="none" w:sz="0" w:space="0" w:color="auto"/>
        <w:right w:val="none" w:sz="0" w:space="0" w:color="auto"/>
      </w:divBdr>
    </w:div>
    <w:div w:id="418792426">
      <w:bodyDiv w:val="1"/>
      <w:marLeft w:val="0"/>
      <w:marRight w:val="0"/>
      <w:marTop w:val="0"/>
      <w:marBottom w:val="0"/>
      <w:divBdr>
        <w:top w:val="none" w:sz="0" w:space="0" w:color="auto"/>
        <w:left w:val="none" w:sz="0" w:space="0" w:color="auto"/>
        <w:bottom w:val="none" w:sz="0" w:space="0" w:color="auto"/>
        <w:right w:val="none" w:sz="0" w:space="0" w:color="auto"/>
      </w:divBdr>
    </w:div>
    <w:div w:id="419378319">
      <w:bodyDiv w:val="1"/>
      <w:marLeft w:val="0"/>
      <w:marRight w:val="0"/>
      <w:marTop w:val="0"/>
      <w:marBottom w:val="0"/>
      <w:divBdr>
        <w:top w:val="none" w:sz="0" w:space="0" w:color="auto"/>
        <w:left w:val="none" w:sz="0" w:space="0" w:color="auto"/>
        <w:bottom w:val="none" w:sz="0" w:space="0" w:color="auto"/>
        <w:right w:val="none" w:sz="0" w:space="0" w:color="auto"/>
      </w:divBdr>
    </w:div>
    <w:div w:id="422846442">
      <w:bodyDiv w:val="1"/>
      <w:marLeft w:val="0"/>
      <w:marRight w:val="0"/>
      <w:marTop w:val="0"/>
      <w:marBottom w:val="0"/>
      <w:divBdr>
        <w:top w:val="none" w:sz="0" w:space="0" w:color="auto"/>
        <w:left w:val="none" w:sz="0" w:space="0" w:color="auto"/>
        <w:bottom w:val="none" w:sz="0" w:space="0" w:color="auto"/>
        <w:right w:val="none" w:sz="0" w:space="0" w:color="auto"/>
      </w:divBdr>
    </w:div>
    <w:div w:id="431510836">
      <w:bodyDiv w:val="1"/>
      <w:marLeft w:val="0"/>
      <w:marRight w:val="0"/>
      <w:marTop w:val="0"/>
      <w:marBottom w:val="0"/>
      <w:divBdr>
        <w:top w:val="none" w:sz="0" w:space="0" w:color="auto"/>
        <w:left w:val="none" w:sz="0" w:space="0" w:color="auto"/>
        <w:bottom w:val="none" w:sz="0" w:space="0" w:color="auto"/>
        <w:right w:val="none" w:sz="0" w:space="0" w:color="auto"/>
      </w:divBdr>
    </w:div>
    <w:div w:id="440422053">
      <w:bodyDiv w:val="1"/>
      <w:marLeft w:val="0"/>
      <w:marRight w:val="0"/>
      <w:marTop w:val="0"/>
      <w:marBottom w:val="0"/>
      <w:divBdr>
        <w:top w:val="none" w:sz="0" w:space="0" w:color="auto"/>
        <w:left w:val="none" w:sz="0" w:space="0" w:color="auto"/>
        <w:bottom w:val="none" w:sz="0" w:space="0" w:color="auto"/>
        <w:right w:val="none" w:sz="0" w:space="0" w:color="auto"/>
      </w:divBdr>
    </w:div>
    <w:div w:id="454443602">
      <w:bodyDiv w:val="1"/>
      <w:marLeft w:val="0"/>
      <w:marRight w:val="0"/>
      <w:marTop w:val="0"/>
      <w:marBottom w:val="0"/>
      <w:divBdr>
        <w:top w:val="none" w:sz="0" w:space="0" w:color="auto"/>
        <w:left w:val="none" w:sz="0" w:space="0" w:color="auto"/>
        <w:bottom w:val="none" w:sz="0" w:space="0" w:color="auto"/>
        <w:right w:val="none" w:sz="0" w:space="0" w:color="auto"/>
      </w:divBdr>
    </w:div>
    <w:div w:id="455295613">
      <w:bodyDiv w:val="1"/>
      <w:marLeft w:val="0"/>
      <w:marRight w:val="0"/>
      <w:marTop w:val="0"/>
      <w:marBottom w:val="0"/>
      <w:divBdr>
        <w:top w:val="none" w:sz="0" w:space="0" w:color="auto"/>
        <w:left w:val="none" w:sz="0" w:space="0" w:color="auto"/>
        <w:bottom w:val="none" w:sz="0" w:space="0" w:color="auto"/>
        <w:right w:val="none" w:sz="0" w:space="0" w:color="auto"/>
      </w:divBdr>
    </w:div>
    <w:div w:id="478377998">
      <w:bodyDiv w:val="1"/>
      <w:marLeft w:val="0"/>
      <w:marRight w:val="0"/>
      <w:marTop w:val="0"/>
      <w:marBottom w:val="0"/>
      <w:divBdr>
        <w:top w:val="none" w:sz="0" w:space="0" w:color="auto"/>
        <w:left w:val="none" w:sz="0" w:space="0" w:color="auto"/>
        <w:bottom w:val="none" w:sz="0" w:space="0" w:color="auto"/>
        <w:right w:val="none" w:sz="0" w:space="0" w:color="auto"/>
      </w:divBdr>
    </w:div>
    <w:div w:id="490944301">
      <w:bodyDiv w:val="1"/>
      <w:marLeft w:val="0"/>
      <w:marRight w:val="0"/>
      <w:marTop w:val="0"/>
      <w:marBottom w:val="0"/>
      <w:divBdr>
        <w:top w:val="none" w:sz="0" w:space="0" w:color="auto"/>
        <w:left w:val="none" w:sz="0" w:space="0" w:color="auto"/>
        <w:bottom w:val="none" w:sz="0" w:space="0" w:color="auto"/>
        <w:right w:val="none" w:sz="0" w:space="0" w:color="auto"/>
      </w:divBdr>
    </w:div>
    <w:div w:id="495346327">
      <w:bodyDiv w:val="1"/>
      <w:marLeft w:val="0"/>
      <w:marRight w:val="0"/>
      <w:marTop w:val="0"/>
      <w:marBottom w:val="0"/>
      <w:divBdr>
        <w:top w:val="none" w:sz="0" w:space="0" w:color="auto"/>
        <w:left w:val="none" w:sz="0" w:space="0" w:color="auto"/>
        <w:bottom w:val="none" w:sz="0" w:space="0" w:color="auto"/>
        <w:right w:val="none" w:sz="0" w:space="0" w:color="auto"/>
      </w:divBdr>
    </w:div>
    <w:div w:id="520167170">
      <w:bodyDiv w:val="1"/>
      <w:marLeft w:val="0"/>
      <w:marRight w:val="0"/>
      <w:marTop w:val="0"/>
      <w:marBottom w:val="0"/>
      <w:divBdr>
        <w:top w:val="none" w:sz="0" w:space="0" w:color="auto"/>
        <w:left w:val="none" w:sz="0" w:space="0" w:color="auto"/>
        <w:bottom w:val="none" w:sz="0" w:space="0" w:color="auto"/>
        <w:right w:val="none" w:sz="0" w:space="0" w:color="auto"/>
      </w:divBdr>
    </w:div>
    <w:div w:id="546263036">
      <w:bodyDiv w:val="1"/>
      <w:marLeft w:val="0"/>
      <w:marRight w:val="0"/>
      <w:marTop w:val="0"/>
      <w:marBottom w:val="0"/>
      <w:divBdr>
        <w:top w:val="none" w:sz="0" w:space="0" w:color="auto"/>
        <w:left w:val="none" w:sz="0" w:space="0" w:color="auto"/>
        <w:bottom w:val="none" w:sz="0" w:space="0" w:color="auto"/>
        <w:right w:val="none" w:sz="0" w:space="0" w:color="auto"/>
      </w:divBdr>
    </w:div>
    <w:div w:id="550773730">
      <w:bodyDiv w:val="1"/>
      <w:marLeft w:val="0"/>
      <w:marRight w:val="0"/>
      <w:marTop w:val="0"/>
      <w:marBottom w:val="0"/>
      <w:divBdr>
        <w:top w:val="none" w:sz="0" w:space="0" w:color="auto"/>
        <w:left w:val="none" w:sz="0" w:space="0" w:color="auto"/>
        <w:bottom w:val="none" w:sz="0" w:space="0" w:color="auto"/>
        <w:right w:val="none" w:sz="0" w:space="0" w:color="auto"/>
      </w:divBdr>
    </w:div>
    <w:div w:id="551044250">
      <w:bodyDiv w:val="1"/>
      <w:marLeft w:val="0"/>
      <w:marRight w:val="0"/>
      <w:marTop w:val="0"/>
      <w:marBottom w:val="0"/>
      <w:divBdr>
        <w:top w:val="none" w:sz="0" w:space="0" w:color="auto"/>
        <w:left w:val="none" w:sz="0" w:space="0" w:color="auto"/>
        <w:bottom w:val="none" w:sz="0" w:space="0" w:color="auto"/>
        <w:right w:val="none" w:sz="0" w:space="0" w:color="auto"/>
      </w:divBdr>
    </w:div>
    <w:div w:id="556286525">
      <w:bodyDiv w:val="1"/>
      <w:marLeft w:val="0"/>
      <w:marRight w:val="0"/>
      <w:marTop w:val="0"/>
      <w:marBottom w:val="0"/>
      <w:divBdr>
        <w:top w:val="none" w:sz="0" w:space="0" w:color="auto"/>
        <w:left w:val="none" w:sz="0" w:space="0" w:color="auto"/>
        <w:bottom w:val="none" w:sz="0" w:space="0" w:color="auto"/>
        <w:right w:val="none" w:sz="0" w:space="0" w:color="auto"/>
      </w:divBdr>
    </w:div>
    <w:div w:id="583341189">
      <w:bodyDiv w:val="1"/>
      <w:marLeft w:val="0"/>
      <w:marRight w:val="0"/>
      <w:marTop w:val="0"/>
      <w:marBottom w:val="0"/>
      <w:divBdr>
        <w:top w:val="none" w:sz="0" w:space="0" w:color="auto"/>
        <w:left w:val="none" w:sz="0" w:space="0" w:color="auto"/>
        <w:bottom w:val="none" w:sz="0" w:space="0" w:color="auto"/>
        <w:right w:val="none" w:sz="0" w:space="0" w:color="auto"/>
      </w:divBdr>
    </w:div>
    <w:div w:id="600918731">
      <w:bodyDiv w:val="1"/>
      <w:marLeft w:val="0"/>
      <w:marRight w:val="0"/>
      <w:marTop w:val="0"/>
      <w:marBottom w:val="0"/>
      <w:divBdr>
        <w:top w:val="none" w:sz="0" w:space="0" w:color="auto"/>
        <w:left w:val="none" w:sz="0" w:space="0" w:color="auto"/>
        <w:bottom w:val="none" w:sz="0" w:space="0" w:color="auto"/>
        <w:right w:val="none" w:sz="0" w:space="0" w:color="auto"/>
      </w:divBdr>
    </w:div>
    <w:div w:id="603924119">
      <w:bodyDiv w:val="1"/>
      <w:marLeft w:val="0"/>
      <w:marRight w:val="0"/>
      <w:marTop w:val="0"/>
      <w:marBottom w:val="0"/>
      <w:divBdr>
        <w:top w:val="none" w:sz="0" w:space="0" w:color="auto"/>
        <w:left w:val="none" w:sz="0" w:space="0" w:color="auto"/>
        <w:bottom w:val="none" w:sz="0" w:space="0" w:color="auto"/>
        <w:right w:val="none" w:sz="0" w:space="0" w:color="auto"/>
      </w:divBdr>
    </w:div>
    <w:div w:id="610165419">
      <w:bodyDiv w:val="1"/>
      <w:marLeft w:val="0"/>
      <w:marRight w:val="0"/>
      <w:marTop w:val="0"/>
      <w:marBottom w:val="0"/>
      <w:divBdr>
        <w:top w:val="none" w:sz="0" w:space="0" w:color="auto"/>
        <w:left w:val="none" w:sz="0" w:space="0" w:color="auto"/>
        <w:bottom w:val="none" w:sz="0" w:space="0" w:color="auto"/>
        <w:right w:val="none" w:sz="0" w:space="0" w:color="auto"/>
      </w:divBdr>
    </w:div>
    <w:div w:id="612244460">
      <w:bodyDiv w:val="1"/>
      <w:marLeft w:val="0"/>
      <w:marRight w:val="0"/>
      <w:marTop w:val="0"/>
      <w:marBottom w:val="0"/>
      <w:divBdr>
        <w:top w:val="none" w:sz="0" w:space="0" w:color="auto"/>
        <w:left w:val="none" w:sz="0" w:space="0" w:color="auto"/>
        <w:bottom w:val="none" w:sz="0" w:space="0" w:color="auto"/>
        <w:right w:val="none" w:sz="0" w:space="0" w:color="auto"/>
      </w:divBdr>
    </w:div>
    <w:div w:id="622271022">
      <w:bodyDiv w:val="1"/>
      <w:marLeft w:val="0"/>
      <w:marRight w:val="0"/>
      <w:marTop w:val="0"/>
      <w:marBottom w:val="0"/>
      <w:divBdr>
        <w:top w:val="none" w:sz="0" w:space="0" w:color="auto"/>
        <w:left w:val="none" w:sz="0" w:space="0" w:color="auto"/>
        <w:bottom w:val="none" w:sz="0" w:space="0" w:color="auto"/>
        <w:right w:val="none" w:sz="0" w:space="0" w:color="auto"/>
      </w:divBdr>
    </w:div>
    <w:div w:id="622545036">
      <w:bodyDiv w:val="1"/>
      <w:marLeft w:val="0"/>
      <w:marRight w:val="0"/>
      <w:marTop w:val="0"/>
      <w:marBottom w:val="0"/>
      <w:divBdr>
        <w:top w:val="none" w:sz="0" w:space="0" w:color="auto"/>
        <w:left w:val="none" w:sz="0" w:space="0" w:color="auto"/>
        <w:bottom w:val="none" w:sz="0" w:space="0" w:color="auto"/>
        <w:right w:val="none" w:sz="0" w:space="0" w:color="auto"/>
      </w:divBdr>
    </w:div>
    <w:div w:id="622882321">
      <w:bodyDiv w:val="1"/>
      <w:marLeft w:val="0"/>
      <w:marRight w:val="0"/>
      <w:marTop w:val="0"/>
      <w:marBottom w:val="0"/>
      <w:divBdr>
        <w:top w:val="none" w:sz="0" w:space="0" w:color="auto"/>
        <w:left w:val="none" w:sz="0" w:space="0" w:color="auto"/>
        <w:bottom w:val="none" w:sz="0" w:space="0" w:color="auto"/>
        <w:right w:val="none" w:sz="0" w:space="0" w:color="auto"/>
      </w:divBdr>
    </w:div>
    <w:div w:id="624894508">
      <w:bodyDiv w:val="1"/>
      <w:marLeft w:val="0"/>
      <w:marRight w:val="0"/>
      <w:marTop w:val="0"/>
      <w:marBottom w:val="0"/>
      <w:divBdr>
        <w:top w:val="none" w:sz="0" w:space="0" w:color="auto"/>
        <w:left w:val="none" w:sz="0" w:space="0" w:color="auto"/>
        <w:bottom w:val="none" w:sz="0" w:space="0" w:color="auto"/>
        <w:right w:val="none" w:sz="0" w:space="0" w:color="auto"/>
      </w:divBdr>
    </w:div>
    <w:div w:id="627971762">
      <w:bodyDiv w:val="1"/>
      <w:marLeft w:val="0"/>
      <w:marRight w:val="0"/>
      <w:marTop w:val="0"/>
      <w:marBottom w:val="0"/>
      <w:divBdr>
        <w:top w:val="none" w:sz="0" w:space="0" w:color="auto"/>
        <w:left w:val="none" w:sz="0" w:space="0" w:color="auto"/>
        <w:bottom w:val="none" w:sz="0" w:space="0" w:color="auto"/>
        <w:right w:val="none" w:sz="0" w:space="0" w:color="auto"/>
      </w:divBdr>
    </w:div>
    <w:div w:id="651250397">
      <w:bodyDiv w:val="1"/>
      <w:marLeft w:val="0"/>
      <w:marRight w:val="0"/>
      <w:marTop w:val="0"/>
      <w:marBottom w:val="0"/>
      <w:divBdr>
        <w:top w:val="none" w:sz="0" w:space="0" w:color="auto"/>
        <w:left w:val="none" w:sz="0" w:space="0" w:color="auto"/>
        <w:bottom w:val="none" w:sz="0" w:space="0" w:color="auto"/>
        <w:right w:val="none" w:sz="0" w:space="0" w:color="auto"/>
      </w:divBdr>
    </w:div>
    <w:div w:id="661858463">
      <w:bodyDiv w:val="1"/>
      <w:marLeft w:val="0"/>
      <w:marRight w:val="0"/>
      <w:marTop w:val="0"/>
      <w:marBottom w:val="0"/>
      <w:divBdr>
        <w:top w:val="none" w:sz="0" w:space="0" w:color="auto"/>
        <w:left w:val="none" w:sz="0" w:space="0" w:color="auto"/>
        <w:bottom w:val="none" w:sz="0" w:space="0" w:color="auto"/>
        <w:right w:val="none" w:sz="0" w:space="0" w:color="auto"/>
      </w:divBdr>
    </w:div>
    <w:div w:id="666128723">
      <w:bodyDiv w:val="1"/>
      <w:marLeft w:val="0"/>
      <w:marRight w:val="0"/>
      <w:marTop w:val="0"/>
      <w:marBottom w:val="0"/>
      <w:divBdr>
        <w:top w:val="none" w:sz="0" w:space="0" w:color="auto"/>
        <w:left w:val="none" w:sz="0" w:space="0" w:color="auto"/>
        <w:bottom w:val="none" w:sz="0" w:space="0" w:color="auto"/>
        <w:right w:val="none" w:sz="0" w:space="0" w:color="auto"/>
      </w:divBdr>
    </w:div>
    <w:div w:id="668798717">
      <w:bodyDiv w:val="1"/>
      <w:marLeft w:val="0"/>
      <w:marRight w:val="0"/>
      <w:marTop w:val="0"/>
      <w:marBottom w:val="0"/>
      <w:divBdr>
        <w:top w:val="none" w:sz="0" w:space="0" w:color="auto"/>
        <w:left w:val="none" w:sz="0" w:space="0" w:color="auto"/>
        <w:bottom w:val="none" w:sz="0" w:space="0" w:color="auto"/>
        <w:right w:val="none" w:sz="0" w:space="0" w:color="auto"/>
      </w:divBdr>
    </w:div>
    <w:div w:id="674184293">
      <w:bodyDiv w:val="1"/>
      <w:marLeft w:val="0"/>
      <w:marRight w:val="0"/>
      <w:marTop w:val="0"/>
      <w:marBottom w:val="0"/>
      <w:divBdr>
        <w:top w:val="none" w:sz="0" w:space="0" w:color="auto"/>
        <w:left w:val="none" w:sz="0" w:space="0" w:color="auto"/>
        <w:bottom w:val="none" w:sz="0" w:space="0" w:color="auto"/>
        <w:right w:val="none" w:sz="0" w:space="0" w:color="auto"/>
      </w:divBdr>
    </w:div>
    <w:div w:id="677198359">
      <w:bodyDiv w:val="1"/>
      <w:marLeft w:val="0"/>
      <w:marRight w:val="0"/>
      <w:marTop w:val="0"/>
      <w:marBottom w:val="0"/>
      <w:divBdr>
        <w:top w:val="none" w:sz="0" w:space="0" w:color="auto"/>
        <w:left w:val="none" w:sz="0" w:space="0" w:color="auto"/>
        <w:bottom w:val="none" w:sz="0" w:space="0" w:color="auto"/>
        <w:right w:val="none" w:sz="0" w:space="0" w:color="auto"/>
      </w:divBdr>
    </w:div>
    <w:div w:id="680395734">
      <w:bodyDiv w:val="1"/>
      <w:marLeft w:val="0"/>
      <w:marRight w:val="0"/>
      <w:marTop w:val="0"/>
      <w:marBottom w:val="0"/>
      <w:divBdr>
        <w:top w:val="none" w:sz="0" w:space="0" w:color="auto"/>
        <w:left w:val="none" w:sz="0" w:space="0" w:color="auto"/>
        <w:bottom w:val="none" w:sz="0" w:space="0" w:color="auto"/>
        <w:right w:val="none" w:sz="0" w:space="0" w:color="auto"/>
      </w:divBdr>
    </w:div>
    <w:div w:id="690111211">
      <w:bodyDiv w:val="1"/>
      <w:marLeft w:val="0"/>
      <w:marRight w:val="0"/>
      <w:marTop w:val="0"/>
      <w:marBottom w:val="0"/>
      <w:divBdr>
        <w:top w:val="none" w:sz="0" w:space="0" w:color="auto"/>
        <w:left w:val="none" w:sz="0" w:space="0" w:color="auto"/>
        <w:bottom w:val="none" w:sz="0" w:space="0" w:color="auto"/>
        <w:right w:val="none" w:sz="0" w:space="0" w:color="auto"/>
      </w:divBdr>
    </w:div>
    <w:div w:id="692846896">
      <w:bodyDiv w:val="1"/>
      <w:marLeft w:val="0"/>
      <w:marRight w:val="0"/>
      <w:marTop w:val="0"/>
      <w:marBottom w:val="0"/>
      <w:divBdr>
        <w:top w:val="none" w:sz="0" w:space="0" w:color="auto"/>
        <w:left w:val="none" w:sz="0" w:space="0" w:color="auto"/>
        <w:bottom w:val="none" w:sz="0" w:space="0" w:color="auto"/>
        <w:right w:val="none" w:sz="0" w:space="0" w:color="auto"/>
      </w:divBdr>
    </w:div>
    <w:div w:id="693843115">
      <w:bodyDiv w:val="1"/>
      <w:marLeft w:val="0"/>
      <w:marRight w:val="0"/>
      <w:marTop w:val="0"/>
      <w:marBottom w:val="0"/>
      <w:divBdr>
        <w:top w:val="none" w:sz="0" w:space="0" w:color="auto"/>
        <w:left w:val="none" w:sz="0" w:space="0" w:color="auto"/>
        <w:bottom w:val="none" w:sz="0" w:space="0" w:color="auto"/>
        <w:right w:val="none" w:sz="0" w:space="0" w:color="auto"/>
      </w:divBdr>
    </w:div>
    <w:div w:id="694768826">
      <w:bodyDiv w:val="1"/>
      <w:marLeft w:val="0"/>
      <w:marRight w:val="0"/>
      <w:marTop w:val="0"/>
      <w:marBottom w:val="0"/>
      <w:divBdr>
        <w:top w:val="none" w:sz="0" w:space="0" w:color="auto"/>
        <w:left w:val="none" w:sz="0" w:space="0" w:color="auto"/>
        <w:bottom w:val="none" w:sz="0" w:space="0" w:color="auto"/>
        <w:right w:val="none" w:sz="0" w:space="0" w:color="auto"/>
      </w:divBdr>
    </w:div>
    <w:div w:id="701053987">
      <w:bodyDiv w:val="1"/>
      <w:marLeft w:val="0"/>
      <w:marRight w:val="0"/>
      <w:marTop w:val="0"/>
      <w:marBottom w:val="0"/>
      <w:divBdr>
        <w:top w:val="none" w:sz="0" w:space="0" w:color="auto"/>
        <w:left w:val="none" w:sz="0" w:space="0" w:color="auto"/>
        <w:bottom w:val="none" w:sz="0" w:space="0" w:color="auto"/>
        <w:right w:val="none" w:sz="0" w:space="0" w:color="auto"/>
      </w:divBdr>
    </w:div>
    <w:div w:id="705835823">
      <w:bodyDiv w:val="1"/>
      <w:marLeft w:val="0"/>
      <w:marRight w:val="0"/>
      <w:marTop w:val="0"/>
      <w:marBottom w:val="0"/>
      <w:divBdr>
        <w:top w:val="none" w:sz="0" w:space="0" w:color="auto"/>
        <w:left w:val="none" w:sz="0" w:space="0" w:color="auto"/>
        <w:bottom w:val="none" w:sz="0" w:space="0" w:color="auto"/>
        <w:right w:val="none" w:sz="0" w:space="0" w:color="auto"/>
      </w:divBdr>
    </w:div>
    <w:div w:id="711536012">
      <w:bodyDiv w:val="1"/>
      <w:marLeft w:val="0"/>
      <w:marRight w:val="0"/>
      <w:marTop w:val="0"/>
      <w:marBottom w:val="0"/>
      <w:divBdr>
        <w:top w:val="none" w:sz="0" w:space="0" w:color="auto"/>
        <w:left w:val="none" w:sz="0" w:space="0" w:color="auto"/>
        <w:bottom w:val="none" w:sz="0" w:space="0" w:color="auto"/>
        <w:right w:val="none" w:sz="0" w:space="0" w:color="auto"/>
      </w:divBdr>
    </w:div>
    <w:div w:id="739911056">
      <w:bodyDiv w:val="1"/>
      <w:marLeft w:val="0"/>
      <w:marRight w:val="0"/>
      <w:marTop w:val="0"/>
      <w:marBottom w:val="0"/>
      <w:divBdr>
        <w:top w:val="none" w:sz="0" w:space="0" w:color="auto"/>
        <w:left w:val="none" w:sz="0" w:space="0" w:color="auto"/>
        <w:bottom w:val="none" w:sz="0" w:space="0" w:color="auto"/>
        <w:right w:val="none" w:sz="0" w:space="0" w:color="auto"/>
      </w:divBdr>
    </w:div>
    <w:div w:id="740449955">
      <w:bodyDiv w:val="1"/>
      <w:marLeft w:val="0"/>
      <w:marRight w:val="0"/>
      <w:marTop w:val="0"/>
      <w:marBottom w:val="0"/>
      <w:divBdr>
        <w:top w:val="none" w:sz="0" w:space="0" w:color="auto"/>
        <w:left w:val="none" w:sz="0" w:space="0" w:color="auto"/>
        <w:bottom w:val="none" w:sz="0" w:space="0" w:color="auto"/>
        <w:right w:val="none" w:sz="0" w:space="0" w:color="auto"/>
      </w:divBdr>
    </w:div>
    <w:div w:id="741803761">
      <w:bodyDiv w:val="1"/>
      <w:marLeft w:val="0"/>
      <w:marRight w:val="0"/>
      <w:marTop w:val="0"/>
      <w:marBottom w:val="0"/>
      <w:divBdr>
        <w:top w:val="none" w:sz="0" w:space="0" w:color="auto"/>
        <w:left w:val="none" w:sz="0" w:space="0" w:color="auto"/>
        <w:bottom w:val="none" w:sz="0" w:space="0" w:color="auto"/>
        <w:right w:val="none" w:sz="0" w:space="0" w:color="auto"/>
      </w:divBdr>
    </w:div>
    <w:div w:id="741832137">
      <w:bodyDiv w:val="1"/>
      <w:marLeft w:val="0"/>
      <w:marRight w:val="0"/>
      <w:marTop w:val="0"/>
      <w:marBottom w:val="0"/>
      <w:divBdr>
        <w:top w:val="none" w:sz="0" w:space="0" w:color="auto"/>
        <w:left w:val="none" w:sz="0" w:space="0" w:color="auto"/>
        <w:bottom w:val="none" w:sz="0" w:space="0" w:color="auto"/>
        <w:right w:val="none" w:sz="0" w:space="0" w:color="auto"/>
      </w:divBdr>
    </w:div>
    <w:div w:id="742916147">
      <w:bodyDiv w:val="1"/>
      <w:marLeft w:val="0"/>
      <w:marRight w:val="0"/>
      <w:marTop w:val="0"/>
      <w:marBottom w:val="0"/>
      <w:divBdr>
        <w:top w:val="none" w:sz="0" w:space="0" w:color="auto"/>
        <w:left w:val="none" w:sz="0" w:space="0" w:color="auto"/>
        <w:bottom w:val="none" w:sz="0" w:space="0" w:color="auto"/>
        <w:right w:val="none" w:sz="0" w:space="0" w:color="auto"/>
      </w:divBdr>
    </w:div>
    <w:div w:id="745614247">
      <w:bodyDiv w:val="1"/>
      <w:marLeft w:val="0"/>
      <w:marRight w:val="0"/>
      <w:marTop w:val="0"/>
      <w:marBottom w:val="0"/>
      <w:divBdr>
        <w:top w:val="none" w:sz="0" w:space="0" w:color="auto"/>
        <w:left w:val="none" w:sz="0" w:space="0" w:color="auto"/>
        <w:bottom w:val="none" w:sz="0" w:space="0" w:color="auto"/>
        <w:right w:val="none" w:sz="0" w:space="0" w:color="auto"/>
      </w:divBdr>
    </w:div>
    <w:div w:id="746533366">
      <w:bodyDiv w:val="1"/>
      <w:marLeft w:val="0"/>
      <w:marRight w:val="0"/>
      <w:marTop w:val="0"/>
      <w:marBottom w:val="0"/>
      <w:divBdr>
        <w:top w:val="none" w:sz="0" w:space="0" w:color="auto"/>
        <w:left w:val="none" w:sz="0" w:space="0" w:color="auto"/>
        <w:bottom w:val="none" w:sz="0" w:space="0" w:color="auto"/>
        <w:right w:val="none" w:sz="0" w:space="0" w:color="auto"/>
      </w:divBdr>
    </w:div>
    <w:div w:id="761144170">
      <w:bodyDiv w:val="1"/>
      <w:marLeft w:val="0"/>
      <w:marRight w:val="0"/>
      <w:marTop w:val="0"/>
      <w:marBottom w:val="0"/>
      <w:divBdr>
        <w:top w:val="none" w:sz="0" w:space="0" w:color="auto"/>
        <w:left w:val="none" w:sz="0" w:space="0" w:color="auto"/>
        <w:bottom w:val="none" w:sz="0" w:space="0" w:color="auto"/>
        <w:right w:val="none" w:sz="0" w:space="0" w:color="auto"/>
      </w:divBdr>
    </w:div>
    <w:div w:id="762072791">
      <w:bodyDiv w:val="1"/>
      <w:marLeft w:val="0"/>
      <w:marRight w:val="0"/>
      <w:marTop w:val="0"/>
      <w:marBottom w:val="0"/>
      <w:divBdr>
        <w:top w:val="none" w:sz="0" w:space="0" w:color="auto"/>
        <w:left w:val="none" w:sz="0" w:space="0" w:color="auto"/>
        <w:bottom w:val="none" w:sz="0" w:space="0" w:color="auto"/>
        <w:right w:val="none" w:sz="0" w:space="0" w:color="auto"/>
      </w:divBdr>
    </w:div>
    <w:div w:id="762262284">
      <w:bodyDiv w:val="1"/>
      <w:marLeft w:val="0"/>
      <w:marRight w:val="0"/>
      <w:marTop w:val="0"/>
      <w:marBottom w:val="0"/>
      <w:divBdr>
        <w:top w:val="none" w:sz="0" w:space="0" w:color="auto"/>
        <w:left w:val="none" w:sz="0" w:space="0" w:color="auto"/>
        <w:bottom w:val="none" w:sz="0" w:space="0" w:color="auto"/>
        <w:right w:val="none" w:sz="0" w:space="0" w:color="auto"/>
      </w:divBdr>
    </w:div>
    <w:div w:id="764375822">
      <w:bodyDiv w:val="1"/>
      <w:marLeft w:val="0"/>
      <w:marRight w:val="0"/>
      <w:marTop w:val="0"/>
      <w:marBottom w:val="0"/>
      <w:divBdr>
        <w:top w:val="none" w:sz="0" w:space="0" w:color="auto"/>
        <w:left w:val="none" w:sz="0" w:space="0" w:color="auto"/>
        <w:bottom w:val="none" w:sz="0" w:space="0" w:color="auto"/>
        <w:right w:val="none" w:sz="0" w:space="0" w:color="auto"/>
      </w:divBdr>
    </w:div>
    <w:div w:id="787773166">
      <w:bodyDiv w:val="1"/>
      <w:marLeft w:val="0"/>
      <w:marRight w:val="0"/>
      <w:marTop w:val="0"/>
      <w:marBottom w:val="0"/>
      <w:divBdr>
        <w:top w:val="none" w:sz="0" w:space="0" w:color="auto"/>
        <w:left w:val="none" w:sz="0" w:space="0" w:color="auto"/>
        <w:bottom w:val="none" w:sz="0" w:space="0" w:color="auto"/>
        <w:right w:val="none" w:sz="0" w:space="0" w:color="auto"/>
      </w:divBdr>
    </w:div>
    <w:div w:id="790171561">
      <w:bodyDiv w:val="1"/>
      <w:marLeft w:val="0"/>
      <w:marRight w:val="0"/>
      <w:marTop w:val="0"/>
      <w:marBottom w:val="0"/>
      <w:divBdr>
        <w:top w:val="none" w:sz="0" w:space="0" w:color="auto"/>
        <w:left w:val="none" w:sz="0" w:space="0" w:color="auto"/>
        <w:bottom w:val="none" w:sz="0" w:space="0" w:color="auto"/>
        <w:right w:val="none" w:sz="0" w:space="0" w:color="auto"/>
      </w:divBdr>
    </w:div>
    <w:div w:id="795831178">
      <w:bodyDiv w:val="1"/>
      <w:marLeft w:val="0"/>
      <w:marRight w:val="0"/>
      <w:marTop w:val="0"/>
      <w:marBottom w:val="0"/>
      <w:divBdr>
        <w:top w:val="none" w:sz="0" w:space="0" w:color="auto"/>
        <w:left w:val="none" w:sz="0" w:space="0" w:color="auto"/>
        <w:bottom w:val="none" w:sz="0" w:space="0" w:color="auto"/>
        <w:right w:val="none" w:sz="0" w:space="0" w:color="auto"/>
      </w:divBdr>
    </w:div>
    <w:div w:id="797648190">
      <w:bodyDiv w:val="1"/>
      <w:marLeft w:val="0"/>
      <w:marRight w:val="0"/>
      <w:marTop w:val="0"/>
      <w:marBottom w:val="0"/>
      <w:divBdr>
        <w:top w:val="none" w:sz="0" w:space="0" w:color="auto"/>
        <w:left w:val="none" w:sz="0" w:space="0" w:color="auto"/>
        <w:bottom w:val="none" w:sz="0" w:space="0" w:color="auto"/>
        <w:right w:val="none" w:sz="0" w:space="0" w:color="auto"/>
      </w:divBdr>
    </w:div>
    <w:div w:id="799298109">
      <w:bodyDiv w:val="1"/>
      <w:marLeft w:val="0"/>
      <w:marRight w:val="0"/>
      <w:marTop w:val="0"/>
      <w:marBottom w:val="0"/>
      <w:divBdr>
        <w:top w:val="none" w:sz="0" w:space="0" w:color="auto"/>
        <w:left w:val="none" w:sz="0" w:space="0" w:color="auto"/>
        <w:bottom w:val="none" w:sz="0" w:space="0" w:color="auto"/>
        <w:right w:val="none" w:sz="0" w:space="0" w:color="auto"/>
      </w:divBdr>
    </w:div>
    <w:div w:id="809857289">
      <w:bodyDiv w:val="1"/>
      <w:marLeft w:val="0"/>
      <w:marRight w:val="0"/>
      <w:marTop w:val="0"/>
      <w:marBottom w:val="0"/>
      <w:divBdr>
        <w:top w:val="none" w:sz="0" w:space="0" w:color="auto"/>
        <w:left w:val="none" w:sz="0" w:space="0" w:color="auto"/>
        <w:bottom w:val="none" w:sz="0" w:space="0" w:color="auto"/>
        <w:right w:val="none" w:sz="0" w:space="0" w:color="auto"/>
      </w:divBdr>
    </w:div>
    <w:div w:id="816916886">
      <w:bodyDiv w:val="1"/>
      <w:marLeft w:val="0"/>
      <w:marRight w:val="0"/>
      <w:marTop w:val="0"/>
      <w:marBottom w:val="0"/>
      <w:divBdr>
        <w:top w:val="none" w:sz="0" w:space="0" w:color="auto"/>
        <w:left w:val="none" w:sz="0" w:space="0" w:color="auto"/>
        <w:bottom w:val="none" w:sz="0" w:space="0" w:color="auto"/>
        <w:right w:val="none" w:sz="0" w:space="0" w:color="auto"/>
      </w:divBdr>
    </w:div>
    <w:div w:id="823357443">
      <w:bodyDiv w:val="1"/>
      <w:marLeft w:val="0"/>
      <w:marRight w:val="0"/>
      <w:marTop w:val="0"/>
      <w:marBottom w:val="0"/>
      <w:divBdr>
        <w:top w:val="none" w:sz="0" w:space="0" w:color="auto"/>
        <w:left w:val="none" w:sz="0" w:space="0" w:color="auto"/>
        <w:bottom w:val="none" w:sz="0" w:space="0" w:color="auto"/>
        <w:right w:val="none" w:sz="0" w:space="0" w:color="auto"/>
      </w:divBdr>
    </w:div>
    <w:div w:id="824976279">
      <w:bodyDiv w:val="1"/>
      <w:marLeft w:val="0"/>
      <w:marRight w:val="0"/>
      <w:marTop w:val="0"/>
      <w:marBottom w:val="0"/>
      <w:divBdr>
        <w:top w:val="none" w:sz="0" w:space="0" w:color="auto"/>
        <w:left w:val="none" w:sz="0" w:space="0" w:color="auto"/>
        <w:bottom w:val="none" w:sz="0" w:space="0" w:color="auto"/>
        <w:right w:val="none" w:sz="0" w:space="0" w:color="auto"/>
      </w:divBdr>
    </w:div>
    <w:div w:id="828520527">
      <w:bodyDiv w:val="1"/>
      <w:marLeft w:val="0"/>
      <w:marRight w:val="0"/>
      <w:marTop w:val="0"/>
      <w:marBottom w:val="0"/>
      <w:divBdr>
        <w:top w:val="none" w:sz="0" w:space="0" w:color="auto"/>
        <w:left w:val="none" w:sz="0" w:space="0" w:color="auto"/>
        <w:bottom w:val="none" w:sz="0" w:space="0" w:color="auto"/>
        <w:right w:val="none" w:sz="0" w:space="0" w:color="auto"/>
      </w:divBdr>
    </w:div>
    <w:div w:id="833569904">
      <w:bodyDiv w:val="1"/>
      <w:marLeft w:val="0"/>
      <w:marRight w:val="0"/>
      <w:marTop w:val="0"/>
      <w:marBottom w:val="0"/>
      <w:divBdr>
        <w:top w:val="none" w:sz="0" w:space="0" w:color="auto"/>
        <w:left w:val="none" w:sz="0" w:space="0" w:color="auto"/>
        <w:bottom w:val="none" w:sz="0" w:space="0" w:color="auto"/>
        <w:right w:val="none" w:sz="0" w:space="0" w:color="auto"/>
      </w:divBdr>
    </w:div>
    <w:div w:id="837889609">
      <w:bodyDiv w:val="1"/>
      <w:marLeft w:val="0"/>
      <w:marRight w:val="0"/>
      <w:marTop w:val="0"/>
      <w:marBottom w:val="0"/>
      <w:divBdr>
        <w:top w:val="none" w:sz="0" w:space="0" w:color="auto"/>
        <w:left w:val="none" w:sz="0" w:space="0" w:color="auto"/>
        <w:bottom w:val="none" w:sz="0" w:space="0" w:color="auto"/>
        <w:right w:val="none" w:sz="0" w:space="0" w:color="auto"/>
      </w:divBdr>
    </w:div>
    <w:div w:id="838929186">
      <w:bodyDiv w:val="1"/>
      <w:marLeft w:val="0"/>
      <w:marRight w:val="0"/>
      <w:marTop w:val="0"/>
      <w:marBottom w:val="0"/>
      <w:divBdr>
        <w:top w:val="none" w:sz="0" w:space="0" w:color="auto"/>
        <w:left w:val="none" w:sz="0" w:space="0" w:color="auto"/>
        <w:bottom w:val="none" w:sz="0" w:space="0" w:color="auto"/>
        <w:right w:val="none" w:sz="0" w:space="0" w:color="auto"/>
      </w:divBdr>
    </w:div>
    <w:div w:id="843206034">
      <w:bodyDiv w:val="1"/>
      <w:marLeft w:val="0"/>
      <w:marRight w:val="0"/>
      <w:marTop w:val="0"/>
      <w:marBottom w:val="0"/>
      <w:divBdr>
        <w:top w:val="none" w:sz="0" w:space="0" w:color="auto"/>
        <w:left w:val="none" w:sz="0" w:space="0" w:color="auto"/>
        <w:bottom w:val="none" w:sz="0" w:space="0" w:color="auto"/>
        <w:right w:val="none" w:sz="0" w:space="0" w:color="auto"/>
      </w:divBdr>
    </w:div>
    <w:div w:id="851989392">
      <w:bodyDiv w:val="1"/>
      <w:marLeft w:val="0"/>
      <w:marRight w:val="0"/>
      <w:marTop w:val="0"/>
      <w:marBottom w:val="0"/>
      <w:divBdr>
        <w:top w:val="none" w:sz="0" w:space="0" w:color="auto"/>
        <w:left w:val="none" w:sz="0" w:space="0" w:color="auto"/>
        <w:bottom w:val="none" w:sz="0" w:space="0" w:color="auto"/>
        <w:right w:val="none" w:sz="0" w:space="0" w:color="auto"/>
      </w:divBdr>
    </w:div>
    <w:div w:id="853616064">
      <w:bodyDiv w:val="1"/>
      <w:marLeft w:val="0"/>
      <w:marRight w:val="0"/>
      <w:marTop w:val="0"/>
      <w:marBottom w:val="0"/>
      <w:divBdr>
        <w:top w:val="none" w:sz="0" w:space="0" w:color="auto"/>
        <w:left w:val="none" w:sz="0" w:space="0" w:color="auto"/>
        <w:bottom w:val="none" w:sz="0" w:space="0" w:color="auto"/>
        <w:right w:val="none" w:sz="0" w:space="0" w:color="auto"/>
      </w:divBdr>
    </w:div>
    <w:div w:id="862474807">
      <w:bodyDiv w:val="1"/>
      <w:marLeft w:val="0"/>
      <w:marRight w:val="0"/>
      <w:marTop w:val="0"/>
      <w:marBottom w:val="0"/>
      <w:divBdr>
        <w:top w:val="none" w:sz="0" w:space="0" w:color="auto"/>
        <w:left w:val="none" w:sz="0" w:space="0" w:color="auto"/>
        <w:bottom w:val="none" w:sz="0" w:space="0" w:color="auto"/>
        <w:right w:val="none" w:sz="0" w:space="0" w:color="auto"/>
      </w:divBdr>
    </w:div>
    <w:div w:id="871576046">
      <w:bodyDiv w:val="1"/>
      <w:marLeft w:val="0"/>
      <w:marRight w:val="0"/>
      <w:marTop w:val="0"/>
      <w:marBottom w:val="0"/>
      <w:divBdr>
        <w:top w:val="none" w:sz="0" w:space="0" w:color="auto"/>
        <w:left w:val="none" w:sz="0" w:space="0" w:color="auto"/>
        <w:bottom w:val="none" w:sz="0" w:space="0" w:color="auto"/>
        <w:right w:val="none" w:sz="0" w:space="0" w:color="auto"/>
      </w:divBdr>
    </w:div>
    <w:div w:id="883904311">
      <w:bodyDiv w:val="1"/>
      <w:marLeft w:val="0"/>
      <w:marRight w:val="0"/>
      <w:marTop w:val="0"/>
      <w:marBottom w:val="0"/>
      <w:divBdr>
        <w:top w:val="none" w:sz="0" w:space="0" w:color="auto"/>
        <w:left w:val="none" w:sz="0" w:space="0" w:color="auto"/>
        <w:bottom w:val="none" w:sz="0" w:space="0" w:color="auto"/>
        <w:right w:val="none" w:sz="0" w:space="0" w:color="auto"/>
      </w:divBdr>
    </w:div>
    <w:div w:id="891770681">
      <w:bodyDiv w:val="1"/>
      <w:marLeft w:val="0"/>
      <w:marRight w:val="0"/>
      <w:marTop w:val="0"/>
      <w:marBottom w:val="0"/>
      <w:divBdr>
        <w:top w:val="none" w:sz="0" w:space="0" w:color="auto"/>
        <w:left w:val="none" w:sz="0" w:space="0" w:color="auto"/>
        <w:bottom w:val="none" w:sz="0" w:space="0" w:color="auto"/>
        <w:right w:val="none" w:sz="0" w:space="0" w:color="auto"/>
      </w:divBdr>
    </w:div>
    <w:div w:id="892085994">
      <w:bodyDiv w:val="1"/>
      <w:marLeft w:val="0"/>
      <w:marRight w:val="0"/>
      <w:marTop w:val="0"/>
      <w:marBottom w:val="0"/>
      <w:divBdr>
        <w:top w:val="none" w:sz="0" w:space="0" w:color="auto"/>
        <w:left w:val="none" w:sz="0" w:space="0" w:color="auto"/>
        <w:bottom w:val="none" w:sz="0" w:space="0" w:color="auto"/>
        <w:right w:val="none" w:sz="0" w:space="0" w:color="auto"/>
      </w:divBdr>
    </w:div>
    <w:div w:id="895507999">
      <w:bodyDiv w:val="1"/>
      <w:marLeft w:val="0"/>
      <w:marRight w:val="0"/>
      <w:marTop w:val="0"/>
      <w:marBottom w:val="0"/>
      <w:divBdr>
        <w:top w:val="none" w:sz="0" w:space="0" w:color="auto"/>
        <w:left w:val="none" w:sz="0" w:space="0" w:color="auto"/>
        <w:bottom w:val="none" w:sz="0" w:space="0" w:color="auto"/>
        <w:right w:val="none" w:sz="0" w:space="0" w:color="auto"/>
      </w:divBdr>
    </w:div>
    <w:div w:id="897977024">
      <w:bodyDiv w:val="1"/>
      <w:marLeft w:val="0"/>
      <w:marRight w:val="0"/>
      <w:marTop w:val="0"/>
      <w:marBottom w:val="0"/>
      <w:divBdr>
        <w:top w:val="none" w:sz="0" w:space="0" w:color="auto"/>
        <w:left w:val="none" w:sz="0" w:space="0" w:color="auto"/>
        <w:bottom w:val="none" w:sz="0" w:space="0" w:color="auto"/>
        <w:right w:val="none" w:sz="0" w:space="0" w:color="auto"/>
      </w:divBdr>
    </w:div>
    <w:div w:id="899826983">
      <w:bodyDiv w:val="1"/>
      <w:marLeft w:val="0"/>
      <w:marRight w:val="0"/>
      <w:marTop w:val="0"/>
      <w:marBottom w:val="0"/>
      <w:divBdr>
        <w:top w:val="none" w:sz="0" w:space="0" w:color="auto"/>
        <w:left w:val="none" w:sz="0" w:space="0" w:color="auto"/>
        <w:bottom w:val="none" w:sz="0" w:space="0" w:color="auto"/>
        <w:right w:val="none" w:sz="0" w:space="0" w:color="auto"/>
      </w:divBdr>
    </w:div>
    <w:div w:id="902955626">
      <w:bodyDiv w:val="1"/>
      <w:marLeft w:val="0"/>
      <w:marRight w:val="0"/>
      <w:marTop w:val="0"/>
      <w:marBottom w:val="0"/>
      <w:divBdr>
        <w:top w:val="none" w:sz="0" w:space="0" w:color="auto"/>
        <w:left w:val="none" w:sz="0" w:space="0" w:color="auto"/>
        <w:bottom w:val="none" w:sz="0" w:space="0" w:color="auto"/>
        <w:right w:val="none" w:sz="0" w:space="0" w:color="auto"/>
      </w:divBdr>
    </w:div>
    <w:div w:id="930892199">
      <w:bodyDiv w:val="1"/>
      <w:marLeft w:val="0"/>
      <w:marRight w:val="0"/>
      <w:marTop w:val="0"/>
      <w:marBottom w:val="0"/>
      <w:divBdr>
        <w:top w:val="none" w:sz="0" w:space="0" w:color="auto"/>
        <w:left w:val="none" w:sz="0" w:space="0" w:color="auto"/>
        <w:bottom w:val="none" w:sz="0" w:space="0" w:color="auto"/>
        <w:right w:val="none" w:sz="0" w:space="0" w:color="auto"/>
      </w:divBdr>
    </w:div>
    <w:div w:id="942300934">
      <w:bodyDiv w:val="1"/>
      <w:marLeft w:val="0"/>
      <w:marRight w:val="0"/>
      <w:marTop w:val="0"/>
      <w:marBottom w:val="0"/>
      <w:divBdr>
        <w:top w:val="none" w:sz="0" w:space="0" w:color="auto"/>
        <w:left w:val="none" w:sz="0" w:space="0" w:color="auto"/>
        <w:bottom w:val="none" w:sz="0" w:space="0" w:color="auto"/>
        <w:right w:val="none" w:sz="0" w:space="0" w:color="auto"/>
      </w:divBdr>
    </w:div>
    <w:div w:id="944120319">
      <w:bodyDiv w:val="1"/>
      <w:marLeft w:val="0"/>
      <w:marRight w:val="0"/>
      <w:marTop w:val="0"/>
      <w:marBottom w:val="0"/>
      <w:divBdr>
        <w:top w:val="none" w:sz="0" w:space="0" w:color="auto"/>
        <w:left w:val="none" w:sz="0" w:space="0" w:color="auto"/>
        <w:bottom w:val="none" w:sz="0" w:space="0" w:color="auto"/>
        <w:right w:val="none" w:sz="0" w:space="0" w:color="auto"/>
      </w:divBdr>
    </w:div>
    <w:div w:id="944383455">
      <w:bodyDiv w:val="1"/>
      <w:marLeft w:val="0"/>
      <w:marRight w:val="0"/>
      <w:marTop w:val="0"/>
      <w:marBottom w:val="0"/>
      <w:divBdr>
        <w:top w:val="none" w:sz="0" w:space="0" w:color="auto"/>
        <w:left w:val="none" w:sz="0" w:space="0" w:color="auto"/>
        <w:bottom w:val="none" w:sz="0" w:space="0" w:color="auto"/>
        <w:right w:val="none" w:sz="0" w:space="0" w:color="auto"/>
      </w:divBdr>
    </w:div>
    <w:div w:id="947128577">
      <w:bodyDiv w:val="1"/>
      <w:marLeft w:val="0"/>
      <w:marRight w:val="0"/>
      <w:marTop w:val="0"/>
      <w:marBottom w:val="0"/>
      <w:divBdr>
        <w:top w:val="none" w:sz="0" w:space="0" w:color="auto"/>
        <w:left w:val="none" w:sz="0" w:space="0" w:color="auto"/>
        <w:bottom w:val="none" w:sz="0" w:space="0" w:color="auto"/>
        <w:right w:val="none" w:sz="0" w:space="0" w:color="auto"/>
      </w:divBdr>
    </w:div>
    <w:div w:id="948390319">
      <w:bodyDiv w:val="1"/>
      <w:marLeft w:val="0"/>
      <w:marRight w:val="0"/>
      <w:marTop w:val="0"/>
      <w:marBottom w:val="0"/>
      <w:divBdr>
        <w:top w:val="none" w:sz="0" w:space="0" w:color="auto"/>
        <w:left w:val="none" w:sz="0" w:space="0" w:color="auto"/>
        <w:bottom w:val="none" w:sz="0" w:space="0" w:color="auto"/>
        <w:right w:val="none" w:sz="0" w:space="0" w:color="auto"/>
      </w:divBdr>
    </w:div>
    <w:div w:id="965622651">
      <w:bodyDiv w:val="1"/>
      <w:marLeft w:val="0"/>
      <w:marRight w:val="0"/>
      <w:marTop w:val="0"/>
      <w:marBottom w:val="0"/>
      <w:divBdr>
        <w:top w:val="none" w:sz="0" w:space="0" w:color="auto"/>
        <w:left w:val="none" w:sz="0" w:space="0" w:color="auto"/>
        <w:bottom w:val="none" w:sz="0" w:space="0" w:color="auto"/>
        <w:right w:val="none" w:sz="0" w:space="0" w:color="auto"/>
      </w:divBdr>
    </w:div>
    <w:div w:id="969243024">
      <w:bodyDiv w:val="1"/>
      <w:marLeft w:val="0"/>
      <w:marRight w:val="0"/>
      <w:marTop w:val="0"/>
      <w:marBottom w:val="0"/>
      <w:divBdr>
        <w:top w:val="none" w:sz="0" w:space="0" w:color="auto"/>
        <w:left w:val="none" w:sz="0" w:space="0" w:color="auto"/>
        <w:bottom w:val="none" w:sz="0" w:space="0" w:color="auto"/>
        <w:right w:val="none" w:sz="0" w:space="0" w:color="auto"/>
      </w:divBdr>
    </w:div>
    <w:div w:id="984703595">
      <w:bodyDiv w:val="1"/>
      <w:marLeft w:val="0"/>
      <w:marRight w:val="0"/>
      <w:marTop w:val="0"/>
      <w:marBottom w:val="0"/>
      <w:divBdr>
        <w:top w:val="none" w:sz="0" w:space="0" w:color="auto"/>
        <w:left w:val="none" w:sz="0" w:space="0" w:color="auto"/>
        <w:bottom w:val="none" w:sz="0" w:space="0" w:color="auto"/>
        <w:right w:val="none" w:sz="0" w:space="0" w:color="auto"/>
      </w:divBdr>
    </w:div>
    <w:div w:id="986595176">
      <w:bodyDiv w:val="1"/>
      <w:marLeft w:val="0"/>
      <w:marRight w:val="0"/>
      <w:marTop w:val="0"/>
      <w:marBottom w:val="0"/>
      <w:divBdr>
        <w:top w:val="none" w:sz="0" w:space="0" w:color="auto"/>
        <w:left w:val="none" w:sz="0" w:space="0" w:color="auto"/>
        <w:bottom w:val="none" w:sz="0" w:space="0" w:color="auto"/>
        <w:right w:val="none" w:sz="0" w:space="0" w:color="auto"/>
      </w:divBdr>
    </w:div>
    <w:div w:id="988636058">
      <w:bodyDiv w:val="1"/>
      <w:marLeft w:val="0"/>
      <w:marRight w:val="0"/>
      <w:marTop w:val="0"/>
      <w:marBottom w:val="0"/>
      <w:divBdr>
        <w:top w:val="none" w:sz="0" w:space="0" w:color="auto"/>
        <w:left w:val="none" w:sz="0" w:space="0" w:color="auto"/>
        <w:bottom w:val="none" w:sz="0" w:space="0" w:color="auto"/>
        <w:right w:val="none" w:sz="0" w:space="0" w:color="auto"/>
      </w:divBdr>
    </w:div>
    <w:div w:id="999843578">
      <w:bodyDiv w:val="1"/>
      <w:marLeft w:val="0"/>
      <w:marRight w:val="0"/>
      <w:marTop w:val="0"/>
      <w:marBottom w:val="0"/>
      <w:divBdr>
        <w:top w:val="none" w:sz="0" w:space="0" w:color="auto"/>
        <w:left w:val="none" w:sz="0" w:space="0" w:color="auto"/>
        <w:bottom w:val="none" w:sz="0" w:space="0" w:color="auto"/>
        <w:right w:val="none" w:sz="0" w:space="0" w:color="auto"/>
      </w:divBdr>
    </w:div>
    <w:div w:id="1010332642">
      <w:bodyDiv w:val="1"/>
      <w:marLeft w:val="0"/>
      <w:marRight w:val="0"/>
      <w:marTop w:val="0"/>
      <w:marBottom w:val="0"/>
      <w:divBdr>
        <w:top w:val="none" w:sz="0" w:space="0" w:color="auto"/>
        <w:left w:val="none" w:sz="0" w:space="0" w:color="auto"/>
        <w:bottom w:val="none" w:sz="0" w:space="0" w:color="auto"/>
        <w:right w:val="none" w:sz="0" w:space="0" w:color="auto"/>
      </w:divBdr>
    </w:div>
    <w:div w:id="1011419895">
      <w:bodyDiv w:val="1"/>
      <w:marLeft w:val="0"/>
      <w:marRight w:val="0"/>
      <w:marTop w:val="0"/>
      <w:marBottom w:val="0"/>
      <w:divBdr>
        <w:top w:val="none" w:sz="0" w:space="0" w:color="auto"/>
        <w:left w:val="none" w:sz="0" w:space="0" w:color="auto"/>
        <w:bottom w:val="none" w:sz="0" w:space="0" w:color="auto"/>
        <w:right w:val="none" w:sz="0" w:space="0" w:color="auto"/>
      </w:divBdr>
    </w:div>
    <w:div w:id="1024290536">
      <w:bodyDiv w:val="1"/>
      <w:marLeft w:val="0"/>
      <w:marRight w:val="0"/>
      <w:marTop w:val="0"/>
      <w:marBottom w:val="0"/>
      <w:divBdr>
        <w:top w:val="none" w:sz="0" w:space="0" w:color="auto"/>
        <w:left w:val="none" w:sz="0" w:space="0" w:color="auto"/>
        <w:bottom w:val="none" w:sz="0" w:space="0" w:color="auto"/>
        <w:right w:val="none" w:sz="0" w:space="0" w:color="auto"/>
      </w:divBdr>
    </w:div>
    <w:div w:id="1025641796">
      <w:bodyDiv w:val="1"/>
      <w:marLeft w:val="0"/>
      <w:marRight w:val="0"/>
      <w:marTop w:val="0"/>
      <w:marBottom w:val="0"/>
      <w:divBdr>
        <w:top w:val="none" w:sz="0" w:space="0" w:color="auto"/>
        <w:left w:val="none" w:sz="0" w:space="0" w:color="auto"/>
        <w:bottom w:val="none" w:sz="0" w:space="0" w:color="auto"/>
        <w:right w:val="none" w:sz="0" w:space="0" w:color="auto"/>
      </w:divBdr>
    </w:div>
    <w:div w:id="1029140055">
      <w:bodyDiv w:val="1"/>
      <w:marLeft w:val="0"/>
      <w:marRight w:val="0"/>
      <w:marTop w:val="0"/>
      <w:marBottom w:val="0"/>
      <w:divBdr>
        <w:top w:val="none" w:sz="0" w:space="0" w:color="auto"/>
        <w:left w:val="none" w:sz="0" w:space="0" w:color="auto"/>
        <w:bottom w:val="none" w:sz="0" w:space="0" w:color="auto"/>
        <w:right w:val="none" w:sz="0" w:space="0" w:color="auto"/>
      </w:divBdr>
    </w:div>
    <w:div w:id="1040279533">
      <w:bodyDiv w:val="1"/>
      <w:marLeft w:val="0"/>
      <w:marRight w:val="0"/>
      <w:marTop w:val="0"/>
      <w:marBottom w:val="0"/>
      <w:divBdr>
        <w:top w:val="none" w:sz="0" w:space="0" w:color="auto"/>
        <w:left w:val="none" w:sz="0" w:space="0" w:color="auto"/>
        <w:bottom w:val="none" w:sz="0" w:space="0" w:color="auto"/>
        <w:right w:val="none" w:sz="0" w:space="0" w:color="auto"/>
      </w:divBdr>
    </w:div>
    <w:div w:id="1041172654">
      <w:bodyDiv w:val="1"/>
      <w:marLeft w:val="0"/>
      <w:marRight w:val="0"/>
      <w:marTop w:val="0"/>
      <w:marBottom w:val="0"/>
      <w:divBdr>
        <w:top w:val="none" w:sz="0" w:space="0" w:color="auto"/>
        <w:left w:val="none" w:sz="0" w:space="0" w:color="auto"/>
        <w:bottom w:val="none" w:sz="0" w:space="0" w:color="auto"/>
        <w:right w:val="none" w:sz="0" w:space="0" w:color="auto"/>
      </w:divBdr>
    </w:div>
    <w:div w:id="1049960731">
      <w:bodyDiv w:val="1"/>
      <w:marLeft w:val="0"/>
      <w:marRight w:val="0"/>
      <w:marTop w:val="0"/>
      <w:marBottom w:val="0"/>
      <w:divBdr>
        <w:top w:val="none" w:sz="0" w:space="0" w:color="auto"/>
        <w:left w:val="none" w:sz="0" w:space="0" w:color="auto"/>
        <w:bottom w:val="none" w:sz="0" w:space="0" w:color="auto"/>
        <w:right w:val="none" w:sz="0" w:space="0" w:color="auto"/>
      </w:divBdr>
    </w:div>
    <w:div w:id="1059982576">
      <w:bodyDiv w:val="1"/>
      <w:marLeft w:val="0"/>
      <w:marRight w:val="0"/>
      <w:marTop w:val="0"/>
      <w:marBottom w:val="0"/>
      <w:divBdr>
        <w:top w:val="none" w:sz="0" w:space="0" w:color="auto"/>
        <w:left w:val="none" w:sz="0" w:space="0" w:color="auto"/>
        <w:bottom w:val="none" w:sz="0" w:space="0" w:color="auto"/>
        <w:right w:val="none" w:sz="0" w:space="0" w:color="auto"/>
      </w:divBdr>
    </w:div>
    <w:div w:id="1079327558">
      <w:bodyDiv w:val="1"/>
      <w:marLeft w:val="0"/>
      <w:marRight w:val="0"/>
      <w:marTop w:val="0"/>
      <w:marBottom w:val="0"/>
      <w:divBdr>
        <w:top w:val="none" w:sz="0" w:space="0" w:color="auto"/>
        <w:left w:val="none" w:sz="0" w:space="0" w:color="auto"/>
        <w:bottom w:val="none" w:sz="0" w:space="0" w:color="auto"/>
        <w:right w:val="none" w:sz="0" w:space="0" w:color="auto"/>
      </w:divBdr>
    </w:div>
    <w:div w:id="1095439756">
      <w:bodyDiv w:val="1"/>
      <w:marLeft w:val="0"/>
      <w:marRight w:val="0"/>
      <w:marTop w:val="0"/>
      <w:marBottom w:val="0"/>
      <w:divBdr>
        <w:top w:val="none" w:sz="0" w:space="0" w:color="auto"/>
        <w:left w:val="none" w:sz="0" w:space="0" w:color="auto"/>
        <w:bottom w:val="none" w:sz="0" w:space="0" w:color="auto"/>
        <w:right w:val="none" w:sz="0" w:space="0" w:color="auto"/>
      </w:divBdr>
    </w:div>
    <w:div w:id="1103308535">
      <w:bodyDiv w:val="1"/>
      <w:marLeft w:val="0"/>
      <w:marRight w:val="0"/>
      <w:marTop w:val="0"/>
      <w:marBottom w:val="0"/>
      <w:divBdr>
        <w:top w:val="none" w:sz="0" w:space="0" w:color="auto"/>
        <w:left w:val="none" w:sz="0" w:space="0" w:color="auto"/>
        <w:bottom w:val="none" w:sz="0" w:space="0" w:color="auto"/>
        <w:right w:val="none" w:sz="0" w:space="0" w:color="auto"/>
      </w:divBdr>
    </w:div>
    <w:div w:id="1106385964">
      <w:bodyDiv w:val="1"/>
      <w:marLeft w:val="0"/>
      <w:marRight w:val="0"/>
      <w:marTop w:val="0"/>
      <w:marBottom w:val="0"/>
      <w:divBdr>
        <w:top w:val="none" w:sz="0" w:space="0" w:color="auto"/>
        <w:left w:val="none" w:sz="0" w:space="0" w:color="auto"/>
        <w:bottom w:val="none" w:sz="0" w:space="0" w:color="auto"/>
        <w:right w:val="none" w:sz="0" w:space="0" w:color="auto"/>
      </w:divBdr>
    </w:div>
    <w:div w:id="1109426111">
      <w:bodyDiv w:val="1"/>
      <w:marLeft w:val="0"/>
      <w:marRight w:val="0"/>
      <w:marTop w:val="0"/>
      <w:marBottom w:val="0"/>
      <w:divBdr>
        <w:top w:val="none" w:sz="0" w:space="0" w:color="auto"/>
        <w:left w:val="none" w:sz="0" w:space="0" w:color="auto"/>
        <w:bottom w:val="none" w:sz="0" w:space="0" w:color="auto"/>
        <w:right w:val="none" w:sz="0" w:space="0" w:color="auto"/>
      </w:divBdr>
    </w:div>
    <w:div w:id="1116364873">
      <w:bodyDiv w:val="1"/>
      <w:marLeft w:val="0"/>
      <w:marRight w:val="0"/>
      <w:marTop w:val="0"/>
      <w:marBottom w:val="0"/>
      <w:divBdr>
        <w:top w:val="none" w:sz="0" w:space="0" w:color="auto"/>
        <w:left w:val="none" w:sz="0" w:space="0" w:color="auto"/>
        <w:bottom w:val="none" w:sz="0" w:space="0" w:color="auto"/>
        <w:right w:val="none" w:sz="0" w:space="0" w:color="auto"/>
      </w:divBdr>
    </w:div>
    <w:div w:id="1122915875">
      <w:bodyDiv w:val="1"/>
      <w:marLeft w:val="0"/>
      <w:marRight w:val="0"/>
      <w:marTop w:val="0"/>
      <w:marBottom w:val="0"/>
      <w:divBdr>
        <w:top w:val="none" w:sz="0" w:space="0" w:color="auto"/>
        <w:left w:val="none" w:sz="0" w:space="0" w:color="auto"/>
        <w:bottom w:val="none" w:sz="0" w:space="0" w:color="auto"/>
        <w:right w:val="none" w:sz="0" w:space="0" w:color="auto"/>
      </w:divBdr>
    </w:div>
    <w:div w:id="1129666773">
      <w:bodyDiv w:val="1"/>
      <w:marLeft w:val="0"/>
      <w:marRight w:val="0"/>
      <w:marTop w:val="0"/>
      <w:marBottom w:val="0"/>
      <w:divBdr>
        <w:top w:val="none" w:sz="0" w:space="0" w:color="auto"/>
        <w:left w:val="none" w:sz="0" w:space="0" w:color="auto"/>
        <w:bottom w:val="none" w:sz="0" w:space="0" w:color="auto"/>
        <w:right w:val="none" w:sz="0" w:space="0" w:color="auto"/>
      </w:divBdr>
    </w:div>
    <w:div w:id="1129787195">
      <w:bodyDiv w:val="1"/>
      <w:marLeft w:val="0"/>
      <w:marRight w:val="0"/>
      <w:marTop w:val="0"/>
      <w:marBottom w:val="0"/>
      <w:divBdr>
        <w:top w:val="none" w:sz="0" w:space="0" w:color="auto"/>
        <w:left w:val="none" w:sz="0" w:space="0" w:color="auto"/>
        <w:bottom w:val="none" w:sz="0" w:space="0" w:color="auto"/>
        <w:right w:val="none" w:sz="0" w:space="0" w:color="auto"/>
      </w:divBdr>
    </w:div>
    <w:div w:id="1131437199">
      <w:bodyDiv w:val="1"/>
      <w:marLeft w:val="0"/>
      <w:marRight w:val="0"/>
      <w:marTop w:val="0"/>
      <w:marBottom w:val="0"/>
      <w:divBdr>
        <w:top w:val="none" w:sz="0" w:space="0" w:color="auto"/>
        <w:left w:val="none" w:sz="0" w:space="0" w:color="auto"/>
        <w:bottom w:val="none" w:sz="0" w:space="0" w:color="auto"/>
        <w:right w:val="none" w:sz="0" w:space="0" w:color="auto"/>
      </w:divBdr>
    </w:div>
    <w:div w:id="1158807601">
      <w:bodyDiv w:val="1"/>
      <w:marLeft w:val="0"/>
      <w:marRight w:val="0"/>
      <w:marTop w:val="0"/>
      <w:marBottom w:val="0"/>
      <w:divBdr>
        <w:top w:val="none" w:sz="0" w:space="0" w:color="auto"/>
        <w:left w:val="none" w:sz="0" w:space="0" w:color="auto"/>
        <w:bottom w:val="none" w:sz="0" w:space="0" w:color="auto"/>
        <w:right w:val="none" w:sz="0" w:space="0" w:color="auto"/>
      </w:divBdr>
    </w:div>
    <w:div w:id="1162549350">
      <w:bodyDiv w:val="1"/>
      <w:marLeft w:val="0"/>
      <w:marRight w:val="0"/>
      <w:marTop w:val="0"/>
      <w:marBottom w:val="0"/>
      <w:divBdr>
        <w:top w:val="none" w:sz="0" w:space="0" w:color="auto"/>
        <w:left w:val="none" w:sz="0" w:space="0" w:color="auto"/>
        <w:bottom w:val="none" w:sz="0" w:space="0" w:color="auto"/>
        <w:right w:val="none" w:sz="0" w:space="0" w:color="auto"/>
      </w:divBdr>
    </w:div>
    <w:div w:id="1166432982">
      <w:bodyDiv w:val="1"/>
      <w:marLeft w:val="0"/>
      <w:marRight w:val="0"/>
      <w:marTop w:val="0"/>
      <w:marBottom w:val="0"/>
      <w:divBdr>
        <w:top w:val="none" w:sz="0" w:space="0" w:color="auto"/>
        <w:left w:val="none" w:sz="0" w:space="0" w:color="auto"/>
        <w:bottom w:val="none" w:sz="0" w:space="0" w:color="auto"/>
        <w:right w:val="none" w:sz="0" w:space="0" w:color="auto"/>
      </w:divBdr>
    </w:div>
    <w:div w:id="1168984411">
      <w:bodyDiv w:val="1"/>
      <w:marLeft w:val="0"/>
      <w:marRight w:val="0"/>
      <w:marTop w:val="0"/>
      <w:marBottom w:val="0"/>
      <w:divBdr>
        <w:top w:val="none" w:sz="0" w:space="0" w:color="auto"/>
        <w:left w:val="none" w:sz="0" w:space="0" w:color="auto"/>
        <w:bottom w:val="none" w:sz="0" w:space="0" w:color="auto"/>
        <w:right w:val="none" w:sz="0" w:space="0" w:color="auto"/>
      </w:divBdr>
    </w:div>
    <w:div w:id="1183319357">
      <w:bodyDiv w:val="1"/>
      <w:marLeft w:val="0"/>
      <w:marRight w:val="0"/>
      <w:marTop w:val="0"/>
      <w:marBottom w:val="0"/>
      <w:divBdr>
        <w:top w:val="none" w:sz="0" w:space="0" w:color="auto"/>
        <w:left w:val="none" w:sz="0" w:space="0" w:color="auto"/>
        <w:bottom w:val="none" w:sz="0" w:space="0" w:color="auto"/>
        <w:right w:val="none" w:sz="0" w:space="0" w:color="auto"/>
      </w:divBdr>
    </w:div>
    <w:div w:id="1198858488">
      <w:bodyDiv w:val="1"/>
      <w:marLeft w:val="0"/>
      <w:marRight w:val="0"/>
      <w:marTop w:val="0"/>
      <w:marBottom w:val="0"/>
      <w:divBdr>
        <w:top w:val="none" w:sz="0" w:space="0" w:color="auto"/>
        <w:left w:val="none" w:sz="0" w:space="0" w:color="auto"/>
        <w:bottom w:val="none" w:sz="0" w:space="0" w:color="auto"/>
        <w:right w:val="none" w:sz="0" w:space="0" w:color="auto"/>
      </w:divBdr>
    </w:div>
    <w:div w:id="1203710120">
      <w:bodyDiv w:val="1"/>
      <w:marLeft w:val="0"/>
      <w:marRight w:val="0"/>
      <w:marTop w:val="0"/>
      <w:marBottom w:val="0"/>
      <w:divBdr>
        <w:top w:val="none" w:sz="0" w:space="0" w:color="auto"/>
        <w:left w:val="none" w:sz="0" w:space="0" w:color="auto"/>
        <w:bottom w:val="none" w:sz="0" w:space="0" w:color="auto"/>
        <w:right w:val="none" w:sz="0" w:space="0" w:color="auto"/>
      </w:divBdr>
    </w:div>
    <w:div w:id="1219122875">
      <w:bodyDiv w:val="1"/>
      <w:marLeft w:val="0"/>
      <w:marRight w:val="0"/>
      <w:marTop w:val="0"/>
      <w:marBottom w:val="0"/>
      <w:divBdr>
        <w:top w:val="none" w:sz="0" w:space="0" w:color="auto"/>
        <w:left w:val="none" w:sz="0" w:space="0" w:color="auto"/>
        <w:bottom w:val="none" w:sz="0" w:space="0" w:color="auto"/>
        <w:right w:val="none" w:sz="0" w:space="0" w:color="auto"/>
      </w:divBdr>
    </w:div>
    <w:div w:id="1224411237">
      <w:bodyDiv w:val="1"/>
      <w:marLeft w:val="0"/>
      <w:marRight w:val="0"/>
      <w:marTop w:val="0"/>
      <w:marBottom w:val="0"/>
      <w:divBdr>
        <w:top w:val="none" w:sz="0" w:space="0" w:color="auto"/>
        <w:left w:val="none" w:sz="0" w:space="0" w:color="auto"/>
        <w:bottom w:val="none" w:sz="0" w:space="0" w:color="auto"/>
        <w:right w:val="none" w:sz="0" w:space="0" w:color="auto"/>
      </w:divBdr>
    </w:div>
    <w:div w:id="1225750502">
      <w:bodyDiv w:val="1"/>
      <w:marLeft w:val="0"/>
      <w:marRight w:val="0"/>
      <w:marTop w:val="0"/>
      <w:marBottom w:val="0"/>
      <w:divBdr>
        <w:top w:val="none" w:sz="0" w:space="0" w:color="auto"/>
        <w:left w:val="none" w:sz="0" w:space="0" w:color="auto"/>
        <w:bottom w:val="none" w:sz="0" w:space="0" w:color="auto"/>
        <w:right w:val="none" w:sz="0" w:space="0" w:color="auto"/>
      </w:divBdr>
    </w:div>
    <w:div w:id="1236283455">
      <w:bodyDiv w:val="1"/>
      <w:marLeft w:val="0"/>
      <w:marRight w:val="0"/>
      <w:marTop w:val="0"/>
      <w:marBottom w:val="0"/>
      <w:divBdr>
        <w:top w:val="none" w:sz="0" w:space="0" w:color="auto"/>
        <w:left w:val="none" w:sz="0" w:space="0" w:color="auto"/>
        <w:bottom w:val="none" w:sz="0" w:space="0" w:color="auto"/>
        <w:right w:val="none" w:sz="0" w:space="0" w:color="auto"/>
      </w:divBdr>
    </w:div>
    <w:div w:id="1238174706">
      <w:bodyDiv w:val="1"/>
      <w:marLeft w:val="0"/>
      <w:marRight w:val="0"/>
      <w:marTop w:val="0"/>
      <w:marBottom w:val="0"/>
      <w:divBdr>
        <w:top w:val="none" w:sz="0" w:space="0" w:color="auto"/>
        <w:left w:val="none" w:sz="0" w:space="0" w:color="auto"/>
        <w:bottom w:val="none" w:sz="0" w:space="0" w:color="auto"/>
        <w:right w:val="none" w:sz="0" w:space="0" w:color="auto"/>
      </w:divBdr>
    </w:div>
    <w:div w:id="1240753107">
      <w:bodyDiv w:val="1"/>
      <w:marLeft w:val="0"/>
      <w:marRight w:val="0"/>
      <w:marTop w:val="0"/>
      <w:marBottom w:val="0"/>
      <w:divBdr>
        <w:top w:val="none" w:sz="0" w:space="0" w:color="auto"/>
        <w:left w:val="none" w:sz="0" w:space="0" w:color="auto"/>
        <w:bottom w:val="none" w:sz="0" w:space="0" w:color="auto"/>
        <w:right w:val="none" w:sz="0" w:space="0" w:color="auto"/>
      </w:divBdr>
    </w:div>
    <w:div w:id="1243686140">
      <w:bodyDiv w:val="1"/>
      <w:marLeft w:val="0"/>
      <w:marRight w:val="0"/>
      <w:marTop w:val="0"/>
      <w:marBottom w:val="0"/>
      <w:divBdr>
        <w:top w:val="none" w:sz="0" w:space="0" w:color="auto"/>
        <w:left w:val="none" w:sz="0" w:space="0" w:color="auto"/>
        <w:bottom w:val="none" w:sz="0" w:space="0" w:color="auto"/>
        <w:right w:val="none" w:sz="0" w:space="0" w:color="auto"/>
      </w:divBdr>
    </w:div>
    <w:div w:id="1250042765">
      <w:bodyDiv w:val="1"/>
      <w:marLeft w:val="0"/>
      <w:marRight w:val="0"/>
      <w:marTop w:val="0"/>
      <w:marBottom w:val="0"/>
      <w:divBdr>
        <w:top w:val="none" w:sz="0" w:space="0" w:color="auto"/>
        <w:left w:val="none" w:sz="0" w:space="0" w:color="auto"/>
        <w:bottom w:val="none" w:sz="0" w:space="0" w:color="auto"/>
        <w:right w:val="none" w:sz="0" w:space="0" w:color="auto"/>
      </w:divBdr>
    </w:div>
    <w:div w:id="1254821122">
      <w:bodyDiv w:val="1"/>
      <w:marLeft w:val="0"/>
      <w:marRight w:val="0"/>
      <w:marTop w:val="0"/>
      <w:marBottom w:val="0"/>
      <w:divBdr>
        <w:top w:val="none" w:sz="0" w:space="0" w:color="auto"/>
        <w:left w:val="none" w:sz="0" w:space="0" w:color="auto"/>
        <w:bottom w:val="none" w:sz="0" w:space="0" w:color="auto"/>
        <w:right w:val="none" w:sz="0" w:space="0" w:color="auto"/>
      </w:divBdr>
    </w:div>
    <w:div w:id="1255280597">
      <w:bodyDiv w:val="1"/>
      <w:marLeft w:val="0"/>
      <w:marRight w:val="0"/>
      <w:marTop w:val="0"/>
      <w:marBottom w:val="0"/>
      <w:divBdr>
        <w:top w:val="none" w:sz="0" w:space="0" w:color="auto"/>
        <w:left w:val="none" w:sz="0" w:space="0" w:color="auto"/>
        <w:bottom w:val="none" w:sz="0" w:space="0" w:color="auto"/>
        <w:right w:val="none" w:sz="0" w:space="0" w:color="auto"/>
      </w:divBdr>
    </w:div>
    <w:div w:id="1255477044">
      <w:bodyDiv w:val="1"/>
      <w:marLeft w:val="0"/>
      <w:marRight w:val="0"/>
      <w:marTop w:val="0"/>
      <w:marBottom w:val="0"/>
      <w:divBdr>
        <w:top w:val="none" w:sz="0" w:space="0" w:color="auto"/>
        <w:left w:val="none" w:sz="0" w:space="0" w:color="auto"/>
        <w:bottom w:val="none" w:sz="0" w:space="0" w:color="auto"/>
        <w:right w:val="none" w:sz="0" w:space="0" w:color="auto"/>
      </w:divBdr>
    </w:div>
    <w:div w:id="1256862282">
      <w:bodyDiv w:val="1"/>
      <w:marLeft w:val="0"/>
      <w:marRight w:val="0"/>
      <w:marTop w:val="0"/>
      <w:marBottom w:val="0"/>
      <w:divBdr>
        <w:top w:val="none" w:sz="0" w:space="0" w:color="auto"/>
        <w:left w:val="none" w:sz="0" w:space="0" w:color="auto"/>
        <w:bottom w:val="none" w:sz="0" w:space="0" w:color="auto"/>
        <w:right w:val="none" w:sz="0" w:space="0" w:color="auto"/>
      </w:divBdr>
    </w:div>
    <w:div w:id="1259437715">
      <w:bodyDiv w:val="1"/>
      <w:marLeft w:val="0"/>
      <w:marRight w:val="0"/>
      <w:marTop w:val="0"/>
      <w:marBottom w:val="0"/>
      <w:divBdr>
        <w:top w:val="none" w:sz="0" w:space="0" w:color="auto"/>
        <w:left w:val="none" w:sz="0" w:space="0" w:color="auto"/>
        <w:bottom w:val="none" w:sz="0" w:space="0" w:color="auto"/>
        <w:right w:val="none" w:sz="0" w:space="0" w:color="auto"/>
      </w:divBdr>
    </w:div>
    <w:div w:id="1263613013">
      <w:bodyDiv w:val="1"/>
      <w:marLeft w:val="0"/>
      <w:marRight w:val="0"/>
      <w:marTop w:val="0"/>
      <w:marBottom w:val="0"/>
      <w:divBdr>
        <w:top w:val="none" w:sz="0" w:space="0" w:color="auto"/>
        <w:left w:val="none" w:sz="0" w:space="0" w:color="auto"/>
        <w:bottom w:val="none" w:sz="0" w:space="0" w:color="auto"/>
        <w:right w:val="none" w:sz="0" w:space="0" w:color="auto"/>
      </w:divBdr>
    </w:div>
    <w:div w:id="1267496189">
      <w:bodyDiv w:val="1"/>
      <w:marLeft w:val="0"/>
      <w:marRight w:val="0"/>
      <w:marTop w:val="0"/>
      <w:marBottom w:val="0"/>
      <w:divBdr>
        <w:top w:val="none" w:sz="0" w:space="0" w:color="auto"/>
        <w:left w:val="none" w:sz="0" w:space="0" w:color="auto"/>
        <w:bottom w:val="none" w:sz="0" w:space="0" w:color="auto"/>
        <w:right w:val="none" w:sz="0" w:space="0" w:color="auto"/>
      </w:divBdr>
    </w:div>
    <w:div w:id="1272972385">
      <w:bodyDiv w:val="1"/>
      <w:marLeft w:val="0"/>
      <w:marRight w:val="0"/>
      <w:marTop w:val="0"/>
      <w:marBottom w:val="0"/>
      <w:divBdr>
        <w:top w:val="none" w:sz="0" w:space="0" w:color="auto"/>
        <w:left w:val="none" w:sz="0" w:space="0" w:color="auto"/>
        <w:bottom w:val="none" w:sz="0" w:space="0" w:color="auto"/>
        <w:right w:val="none" w:sz="0" w:space="0" w:color="auto"/>
      </w:divBdr>
    </w:div>
    <w:div w:id="1274050917">
      <w:bodyDiv w:val="1"/>
      <w:marLeft w:val="0"/>
      <w:marRight w:val="0"/>
      <w:marTop w:val="0"/>
      <w:marBottom w:val="0"/>
      <w:divBdr>
        <w:top w:val="none" w:sz="0" w:space="0" w:color="auto"/>
        <w:left w:val="none" w:sz="0" w:space="0" w:color="auto"/>
        <w:bottom w:val="none" w:sz="0" w:space="0" w:color="auto"/>
        <w:right w:val="none" w:sz="0" w:space="0" w:color="auto"/>
      </w:divBdr>
    </w:div>
    <w:div w:id="1285117824">
      <w:bodyDiv w:val="1"/>
      <w:marLeft w:val="0"/>
      <w:marRight w:val="0"/>
      <w:marTop w:val="0"/>
      <w:marBottom w:val="0"/>
      <w:divBdr>
        <w:top w:val="none" w:sz="0" w:space="0" w:color="auto"/>
        <w:left w:val="none" w:sz="0" w:space="0" w:color="auto"/>
        <w:bottom w:val="none" w:sz="0" w:space="0" w:color="auto"/>
        <w:right w:val="none" w:sz="0" w:space="0" w:color="auto"/>
      </w:divBdr>
    </w:div>
    <w:div w:id="1285696945">
      <w:bodyDiv w:val="1"/>
      <w:marLeft w:val="0"/>
      <w:marRight w:val="0"/>
      <w:marTop w:val="0"/>
      <w:marBottom w:val="0"/>
      <w:divBdr>
        <w:top w:val="none" w:sz="0" w:space="0" w:color="auto"/>
        <w:left w:val="none" w:sz="0" w:space="0" w:color="auto"/>
        <w:bottom w:val="none" w:sz="0" w:space="0" w:color="auto"/>
        <w:right w:val="none" w:sz="0" w:space="0" w:color="auto"/>
      </w:divBdr>
    </w:div>
    <w:div w:id="1288466972">
      <w:bodyDiv w:val="1"/>
      <w:marLeft w:val="0"/>
      <w:marRight w:val="0"/>
      <w:marTop w:val="0"/>
      <w:marBottom w:val="0"/>
      <w:divBdr>
        <w:top w:val="none" w:sz="0" w:space="0" w:color="auto"/>
        <w:left w:val="none" w:sz="0" w:space="0" w:color="auto"/>
        <w:bottom w:val="none" w:sz="0" w:space="0" w:color="auto"/>
        <w:right w:val="none" w:sz="0" w:space="0" w:color="auto"/>
      </w:divBdr>
    </w:div>
    <w:div w:id="1291864804">
      <w:bodyDiv w:val="1"/>
      <w:marLeft w:val="0"/>
      <w:marRight w:val="0"/>
      <w:marTop w:val="0"/>
      <w:marBottom w:val="0"/>
      <w:divBdr>
        <w:top w:val="none" w:sz="0" w:space="0" w:color="auto"/>
        <w:left w:val="none" w:sz="0" w:space="0" w:color="auto"/>
        <w:bottom w:val="none" w:sz="0" w:space="0" w:color="auto"/>
        <w:right w:val="none" w:sz="0" w:space="0" w:color="auto"/>
      </w:divBdr>
    </w:div>
    <w:div w:id="1292007901">
      <w:bodyDiv w:val="1"/>
      <w:marLeft w:val="0"/>
      <w:marRight w:val="0"/>
      <w:marTop w:val="0"/>
      <w:marBottom w:val="0"/>
      <w:divBdr>
        <w:top w:val="none" w:sz="0" w:space="0" w:color="auto"/>
        <w:left w:val="none" w:sz="0" w:space="0" w:color="auto"/>
        <w:bottom w:val="none" w:sz="0" w:space="0" w:color="auto"/>
        <w:right w:val="none" w:sz="0" w:space="0" w:color="auto"/>
      </w:divBdr>
    </w:div>
    <w:div w:id="1304502525">
      <w:bodyDiv w:val="1"/>
      <w:marLeft w:val="0"/>
      <w:marRight w:val="0"/>
      <w:marTop w:val="0"/>
      <w:marBottom w:val="0"/>
      <w:divBdr>
        <w:top w:val="none" w:sz="0" w:space="0" w:color="auto"/>
        <w:left w:val="none" w:sz="0" w:space="0" w:color="auto"/>
        <w:bottom w:val="none" w:sz="0" w:space="0" w:color="auto"/>
        <w:right w:val="none" w:sz="0" w:space="0" w:color="auto"/>
      </w:divBdr>
    </w:div>
    <w:div w:id="1305693513">
      <w:bodyDiv w:val="1"/>
      <w:marLeft w:val="0"/>
      <w:marRight w:val="0"/>
      <w:marTop w:val="0"/>
      <w:marBottom w:val="0"/>
      <w:divBdr>
        <w:top w:val="none" w:sz="0" w:space="0" w:color="auto"/>
        <w:left w:val="none" w:sz="0" w:space="0" w:color="auto"/>
        <w:bottom w:val="none" w:sz="0" w:space="0" w:color="auto"/>
        <w:right w:val="none" w:sz="0" w:space="0" w:color="auto"/>
      </w:divBdr>
    </w:div>
    <w:div w:id="1306276417">
      <w:bodyDiv w:val="1"/>
      <w:marLeft w:val="0"/>
      <w:marRight w:val="0"/>
      <w:marTop w:val="0"/>
      <w:marBottom w:val="0"/>
      <w:divBdr>
        <w:top w:val="none" w:sz="0" w:space="0" w:color="auto"/>
        <w:left w:val="none" w:sz="0" w:space="0" w:color="auto"/>
        <w:bottom w:val="none" w:sz="0" w:space="0" w:color="auto"/>
        <w:right w:val="none" w:sz="0" w:space="0" w:color="auto"/>
      </w:divBdr>
    </w:div>
    <w:div w:id="1307012783">
      <w:bodyDiv w:val="1"/>
      <w:marLeft w:val="0"/>
      <w:marRight w:val="0"/>
      <w:marTop w:val="0"/>
      <w:marBottom w:val="0"/>
      <w:divBdr>
        <w:top w:val="none" w:sz="0" w:space="0" w:color="auto"/>
        <w:left w:val="none" w:sz="0" w:space="0" w:color="auto"/>
        <w:bottom w:val="none" w:sz="0" w:space="0" w:color="auto"/>
        <w:right w:val="none" w:sz="0" w:space="0" w:color="auto"/>
      </w:divBdr>
    </w:div>
    <w:div w:id="1310012049">
      <w:bodyDiv w:val="1"/>
      <w:marLeft w:val="0"/>
      <w:marRight w:val="0"/>
      <w:marTop w:val="0"/>
      <w:marBottom w:val="0"/>
      <w:divBdr>
        <w:top w:val="none" w:sz="0" w:space="0" w:color="auto"/>
        <w:left w:val="none" w:sz="0" w:space="0" w:color="auto"/>
        <w:bottom w:val="none" w:sz="0" w:space="0" w:color="auto"/>
        <w:right w:val="none" w:sz="0" w:space="0" w:color="auto"/>
      </w:divBdr>
    </w:div>
    <w:div w:id="1310863838">
      <w:bodyDiv w:val="1"/>
      <w:marLeft w:val="0"/>
      <w:marRight w:val="0"/>
      <w:marTop w:val="0"/>
      <w:marBottom w:val="0"/>
      <w:divBdr>
        <w:top w:val="none" w:sz="0" w:space="0" w:color="auto"/>
        <w:left w:val="none" w:sz="0" w:space="0" w:color="auto"/>
        <w:bottom w:val="none" w:sz="0" w:space="0" w:color="auto"/>
        <w:right w:val="none" w:sz="0" w:space="0" w:color="auto"/>
      </w:divBdr>
    </w:div>
    <w:div w:id="1311249976">
      <w:bodyDiv w:val="1"/>
      <w:marLeft w:val="0"/>
      <w:marRight w:val="0"/>
      <w:marTop w:val="0"/>
      <w:marBottom w:val="0"/>
      <w:divBdr>
        <w:top w:val="none" w:sz="0" w:space="0" w:color="auto"/>
        <w:left w:val="none" w:sz="0" w:space="0" w:color="auto"/>
        <w:bottom w:val="none" w:sz="0" w:space="0" w:color="auto"/>
        <w:right w:val="none" w:sz="0" w:space="0" w:color="auto"/>
      </w:divBdr>
    </w:div>
    <w:div w:id="1311983612">
      <w:bodyDiv w:val="1"/>
      <w:marLeft w:val="0"/>
      <w:marRight w:val="0"/>
      <w:marTop w:val="0"/>
      <w:marBottom w:val="0"/>
      <w:divBdr>
        <w:top w:val="none" w:sz="0" w:space="0" w:color="auto"/>
        <w:left w:val="none" w:sz="0" w:space="0" w:color="auto"/>
        <w:bottom w:val="none" w:sz="0" w:space="0" w:color="auto"/>
        <w:right w:val="none" w:sz="0" w:space="0" w:color="auto"/>
      </w:divBdr>
    </w:div>
    <w:div w:id="1312519753">
      <w:bodyDiv w:val="1"/>
      <w:marLeft w:val="0"/>
      <w:marRight w:val="0"/>
      <w:marTop w:val="0"/>
      <w:marBottom w:val="0"/>
      <w:divBdr>
        <w:top w:val="none" w:sz="0" w:space="0" w:color="auto"/>
        <w:left w:val="none" w:sz="0" w:space="0" w:color="auto"/>
        <w:bottom w:val="none" w:sz="0" w:space="0" w:color="auto"/>
        <w:right w:val="none" w:sz="0" w:space="0" w:color="auto"/>
      </w:divBdr>
    </w:div>
    <w:div w:id="1315255066">
      <w:bodyDiv w:val="1"/>
      <w:marLeft w:val="0"/>
      <w:marRight w:val="0"/>
      <w:marTop w:val="0"/>
      <w:marBottom w:val="0"/>
      <w:divBdr>
        <w:top w:val="none" w:sz="0" w:space="0" w:color="auto"/>
        <w:left w:val="none" w:sz="0" w:space="0" w:color="auto"/>
        <w:bottom w:val="none" w:sz="0" w:space="0" w:color="auto"/>
        <w:right w:val="none" w:sz="0" w:space="0" w:color="auto"/>
      </w:divBdr>
    </w:div>
    <w:div w:id="1329869102">
      <w:bodyDiv w:val="1"/>
      <w:marLeft w:val="0"/>
      <w:marRight w:val="0"/>
      <w:marTop w:val="0"/>
      <w:marBottom w:val="0"/>
      <w:divBdr>
        <w:top w:val="none" w:sz="0" w:space="0" w:color="auto"/>
        <w:left w:val="none" w:sz="0" w:space="0" w:color="auto"/>
        <w:bottom w:val="none" w:sz="0" w:space="0" w:color="auto"/>
        <w:right w:val="none" w:sz="0" w:space="0" w:color="auto"/>
      </w:divBdr>
    </w:div>
    <w:div w:id="1337921675">
      <w:bodyDiv w:val="1"/>
      <w:marLeft w:val="0"/>
      <w:marRight w:val="0"/>
      <w:marTop w:val="0"/>
      <w:marBottom w:val="0"/>
      <w:divBdr>
        <w:top w:val="none" w:sz="0" w:space="0" w:color="auto"/>
        <w:left w:val="none" w:sz="0" w:space="0" w:color="auto"/>
        <w:bottom w:val="none" w:sz="0" w:space="0" w:color="auto"/>
        <w:right w:val="none" w:sz="0" w:space="0" w:color="auto"/>
      </w:divBdr>
    </w:div>
    <w:div w:id="1354303700">
      <w:bodyDiv w:val="1"/>
      <w:marLeft w:val="0"/>
      <w:marRight w:val="0"/>
      <w:marTop w:val="0"/>
      <w:marBottom w:val="0"/>
      <w:divBdr>
        <w:top w:val="none" w:sz="0" w:space="0" w:color="auto"/>
        <w:left w:val="none" w:sz="0" w:space="0" w:color="auto"/>
        <w:bottom w:val="none" w:sz="0" w:space="0" w:color="auto"/>
        <w:right w:val="none" w:sz="0" w:space="0" w:color="auto"/>
      </w:divBdr>
    </w:div>
    <w:div w:id="1356228113">
      <w:bodyDiv w:val="1"/>
      <w:marLeft w:val="0"/>
      <w:marRight w:val="0"/>
      <w:marTop w:val="0"/>
      <w:marBottom w:val="0"/>
      <w:divBdr>
        <w:top w:val="none" w:sz="0" w:space="0" w:color="auto"/>
        <w:left w:val="none" w:sz="0" w:space="0" w:color="auto"/>
        <w:bottom w:val="none" w:sz="0" w:space="0" w:color="auto"/>
        <w:right w:val="none" w:sz="0" w:space="0" w:color="auto"/>
      </w:divBdr>
    </w:div>
    <w:div w:id="1358196020">
      <w:bodyDiv w:val="1"/>
      <w:marLeft w:val="0"/>
      <w:marRight w:val="0"/>
      <w:marTop w:val="0"/>
      <w:marBottom w:val="0"/>
      <w:divBdr>
        <w:top w:val="none" w:sz="0" w:space="0" w:color="auto"/>
        <w:left w:val="none" w:sz="0" w:space="0" w:color="auto"/>
        <w:bottom w:val="none" w:sz="0" w:space="0" w:color="auto"/>
        <w:right w:val="none" w:sz="0" w:space="0" w:color="auto"/>
      </w:divBdr>
    </w:div>
    <w:div w:id="1361664662">
      <w:bodyDiv w:val="1"/>
      <w:marLeft w:val="0"/>
      <w:marRight w:val="0"/>
      <w:marTop w:val="0"/>
      <w:marBottom w:val="0"/>
      <w:divBdr>
        <w:top w:val="none" w:sz="0" w:space="0" w:color="auto"/>
        <w:left w:val="none" w:sz="0" w:space="0" w:color="auto"/>
        <w:bottom w:val="none" w:sz="0" w:space="0" w:color="auto"/>
        <w:right w:val="none" w:sz="0" w:space="0" w:color="auto"/>
      </w:divBdr>
    </w:div>
    <w:div w:id="1362509642">
      <w:bodyDiv w:val="1"/>
      <w:marLeft w:val="0"/>
      <w:marRight w:val="0"/>
      <w:marTop w:val="0"/>
      <w:marBottom w:val="0"/>
      <w:divBdr>
        <w:top w:val="none" w:sz="0" w:space="0" w:color="auto"/>
        <w:left w:val="none" w:sz="0" w:space="0" w:color="auto"/>
        <w:bottom w:val="none" w:sz="0" w:space="0" w:color="auto"/>
        <w:right w:val="none" w:sz="0" w:space="0" w:color="auto"/>
      </w:divBdr>
    </w:div>
    <w:div w:id="1364790611">
      <w:bodyDiv w:val="1"/>
      <w:marLeft w:val="0"/>
      <w:marRight w:val="0"/>
      <w:marTop w:val="0"/>
      <w:marBottom w:val="0"/>
      <w:divBdr>
        <w:top w:val="none" w:sz="0" w:space="0" w:color="auto"/>
        <w:left w:val="none" w:sz="0" w:space="0" w:color="auto"/>
        <w:bottom w:val="none" w:sz="0" w:space="0" w:color="auto"/>
        <w:right w:val="none" w:sz="0" w:space="0" w:color="auto"/>
      </w:divBdr>
    </w:div>
    <w:div w:id="1372999623">
      <w:bodyDiv w:val="1"/>
      <w:marLeft w:val="0"/>
      <w:marRight w:val="0"/>
      <w:marTop w:val="0"/>
      <w:marBottom w:val="0"/>
      <w:divBdr>
        <w:top w:val="none" w:sz="0" w:space="0" w:color="auto"/>
        <w:left w:val="none" w:sz="0" w:space="0" w:color="auto"/>
        <w:bottom w:val="none" w:sz="0" w:space="0" w:color="auto"/>
        <w:right w:val="none" w:sz="0" w:space="0" w:color="auto"/>
      </w:divBdr>
    </w:div>
    <w:div w:id="1377970829">
      <w:bodyDiv w:val="1"/>
      <w:marLeft w:val="0"/>
      <w:marRight w:val="0"/>
      <w:marTop w:val="0"/>
      <w:marBottom w:val="0"/>
      <w:divBdr>
        <w:top w:val="none" w:sz="0" w:space="0" w:color="auto"/>
        <w:left w:val="none" w:sz="0" w:space="0" w:color="auto"/>
        <w:bottom w:val="none" w:sz="0" w:space="0" w:color="auto"/>
        <w:right w:val="none" w:sz="0" w:space="0" w:color="auto"/>
      </w:divBdr>
    </w:div>
    <w:div w:id="1389525402">
      <w:bodyDiv w:val="1"/>
      <w:marLeft w:val="0"/>
      <w:marRight w:val="0"/>
      <w:marTop w:val="0"/>
      <w:marBottom w:val="0"/>
      <w:divBdr>
        <w:top w:val="none" w:sz="0" w:space="0" w:color="auto"/>
        <w:left w:val="none" w:sz="0" w:space="0" w:color="auto"/>
        <w:bottom w:val="none" w:sz="0" w:space="0" w:color="auto"/>
        <w:right w:val="none" w:sz="0" w:space="0" w:color="auto"/>
      </w:divBdr>
    </w:div>
    <w:div w:id="1394154209">
      <w:bodyDiv w:val="1"/>
      <w:marLeft w:val="0"/>
      <w:marRight w:val="0"/>
      <w:marTop w:val="0"/>
      <w:marBottom w:val="0"/>
      <w:divBdr>
        <w:top w:val="none" w:sz="0" w:space="0" w:color="auto"/>
        <w:left w:val="none" w:sz="0" w:space="0" w:color="auto"/>
        <w:bottom w:val="none" w:sz="0" w:space="0" w:color="auto"/>
        <w:right w:val="none" w:sz="0" w:space="0" w:color="auto"/>
      </w:divBdr>
    </w:div>
    <w:div w:id="1396472434">
      <w:bodyDiv w:val="1"/>
      <w:marLeft w:val="0"/>
      <w:marRight w:val="0"/>
      <w:marTop w:val="0"/>
      <w:marBottom w:val="0"/>
      <w:divBdr>
        <w:top w:val="none" w:sz="0" w:space="0" w:color="auto"/>
        <w:left w:val="none" w:sz="0" w:space="0" w:color="auto"/>
        <w:bottom w:val="none" w:sz="0" w:space="0" w:color="auto"/>
        <w:right w:val="none" w:sz="0" w:space="0" w:color="auto"/>
      </w:divBdr>
    </w:div>
    <w:div w:id="1400590030">
      <w:bodyDiv w:val="1"/>
      <w:marLeft w:val="0"/>
      <w:marRight w:val="0"/>
      <w:marTop w:val="0"/>
      <w:marBottom w:val="0"/>
      <w:divBdr>
        <w:top w:val="none" w:sz="0" w:space="0" w:color="auto"/>
        <w:left w:val="none" w:sz="0" w:space="0" w:color="auto"/>
        <w:bottom w:val="none" w:sz="0" w:space="0" w:color="auto"/>
        <w:right w:val="none" w:sz="0" w:space="0" w:color="auto"/>
      </w:divBdr>
    </w:div>
    <w:div w:id="1404446005">
      <w:bodyDiv w:val="1"/>
      <w:marLeft w:val="0"/>
      <w:marRight w:val="0"/>
      <w:marTop w:val="0"/>
      <w:marBottom w:val="0"/>
      <w:divBdr>
        <w:top w:val="none" w:sz="0" w:space="0" w:color="auto"/>
        <w:left w:val="none" w:sz="0" w:space="0" w:color="auto"/>
        <w:bottom w:val="none" w:sz="0" w:space="0" w:color="auto"/>
        <w:right w:val="none" w:sz="0" w:space="0" w:color="auto"/>
      </w:divBdr>
    </w:div>
    <w:div w:id="1414280609">
      <w:bodyDiv w:val="1"/>
      <w:marLeft w:val="0"/>
      <w:marRight w:val="0"/>
      <w:marTop w:val="0"/>
      <w:marBottom w:val="0"/>
      <w:divBdr>
        <w:top w:val="none" w:sz="0" w:space="0" w:color="auto"/>
        <w:left w:val="none" w:sz="0" w:space="0" w:color="auto"/>
        <w:bottom w:val="none" w:sz="0" w:space="0" w:color="auto"/>
        <w:right w:val="none" w:sz="0" w:space="0" w:color="auto"/>
      </w:divBdr>
    </w:div>
    <w:div w:id="1417021399">
      <w:bodyDiv w:val="1"/>
      <w:marLeft w:val="0"/>
      <w:marRight w:val="0"/>
      <w:marTop w:val="0"/>
      <w:marBottom w:val="0"/>
      <w:divBdr>
        <w:top w:val="none" w:sz="0" w:space="0" w:color="auto"/>
        <w:left w:val="none" w:sz="0" w:space="0" w:color="auto"/>
        <w:bottom w:val="none" w:sz="0" w:space="0" w:color="auto"/>
        <w:right w:val="none" w:sz="0" w:space="0" w:color="auto"/>
      </w:divBdr>
    </w:div>
    <w:div w:id="1426076631">
      <w:bodyDiv w:val="1"/>
      <w:marLeft w:val="0"/>
      <w:marRight w:val="0"/>
      <w:marTop w:val="0"/>
      <w:marBottom w:val="0"/>
      <w:divBdr>
        <w:top w:val="none" w:sz="0" w:space="0" w:color="auto"/>
        <w:left w:val="none" w:sz="0" w:space="0" w:color="auto"/>
        <w:bottom w:val="none" w:sz="0" w:space="0" w:color="auto"/>
        <w:right w:val="none" w:sz="0" w:space="0" w:color="auto"/>
      </w:divBdr>
    </w:div>
    <w:div w:id="1430082581">
      <w:bodyDiv w:val="1"/>
      <w:marLeft w:val="0"/>
      <w:marRight w:val="0"/>
      <w:marTop w:val="0"/>
      <w:marBottom w:val="0"/>
      <w:divBdr>
        <w:top w:val="none" w:sz="0" w:space="0" w:color="auto"/>
        <w:left w:val="none" w:sz="0" w:space="0" w:color="auto"/>
        <w:bottom w:val="none" w:sz="0" w:space="0" w:color="auto"/>
        <w:right w:val="none" w:sz="0" w:space="0" w:color="auto"/>
      </w:divBdr>
    </w:div>
    <w:div w:id="1434398487">
      <w:bodyDiv w:val="1"/>
      <w:marLeft w:val="0"/>
      <w:marRight w:val="0"/>
      <w:marTop w:val="0"/>
      <w:marBottom w:val="0"/>
      <w:divBdr>
        <w:top w:val="none" w:sz="0" w:space="0" w:color="auto"/>
        <w:left w:val="none" w:sz="0" w:space="0" w:color="auto"/>
        <w:bottom w:val="none" w:sz="0" w:space="0" w:color="auto"/>
        <w:right w:val="none" w:sz="0" w:space="0" w:color="auto"/>
      </w:divBdr>
    </w:div>
    <w:div w:id="1436680841">
      <w:bodyDiv w:val="1"/>
      <w:marLeft w:val="0"/>
      <w:marRight w:val="0"/>
      <w:marTop w:val="0"/>
      <w:marBottom w:val="0"/>
      <w:divBdr>
        <w:top w:val="none" w:sz="0" w:space="0" w:color="auto"/>
        <w:left w:val="none" w:sz="0" w:space="0" w:color="auto"/>
        <w:bottom w:val="none" w:sz="0" w:space="0" w:color="auto"/>
        <w:right w:val="none" w:sz="0" w:space="0" w:color="auto"/>
      </w:divBdr>
    </w:div>
    <w:div w:id="1443916030">
      <w:bodyDiv w:val="1"/>
      <w:marLeft w:val="0"/>
      <w:marRight w:val="0"/>
      <w:marTop w:val="0"/>
      <w:marBottom w:val="0"/>
      <w:divBdr>
        <w:top w:val="none" w:sz="0" w:space="0" w:color="auto"/>
        <w:left w:val="none" w:sz="0" w:space="0" w:color="auto"/>
        <w:bottom w:val="none" w:sz="0" w:space="0" w:color="auto"/>
        <w:right w:val="none" w:sz="0" w:space="0" w:color="auto"/>
      </w:divBdr>
    </w:div>
    <w:div w:id="1444426177">
      <w:bodyDiv w:val="1"/>
      <w:marLeft w:val="0"/>
      <w:marRight w:val="0"/>
      <w:marTop w:val="0"/>
      <w:marBottom w:val="0"/>
      <w:divBdr>
        <w:top w:val="none" w:sz="0" w:space="0" w:color="auto"/>
        <w:left w:val="none" w:sz="0" w:space="0" w:color="auto"/>
        <w:bottom w:val="none" w:sz="0" w:space="0" w:color="auto"/>
        <w:right w:val="none" w:sz="0" w:space="0" w:color="auto"/>
      </w:divBdr>
    </w:div>
    <w:div w:id="1482431590">
      <w:bodyDiv w:val="1"/>
      <w:marLeft w:val="0"/>
      <w:marRight w:val="0"/>
      <w:marTop w:val="0"/>
      <w:marBottom w:val="0"/>
      <w:divBdr>
        <w:top w:val="none" w:sz="0" w:space="0" w:color="auto"/>
        <w:left w:val="none" w:sz="0" w:space="0" w:color="auto"/>
        <w:bottom w:val="none" w:sz="0" w:space="0" w:color="auto"/>
        <w:right w:val="none" w:sz="0" w:space="0" w:color="auto"/>
      </w:divBdr>
    </w:div>
    <w:div w:id="1499926546">
      <w:bodyDiv w:val="1"/>
      <w:marLeft w:val="0"/>
      <w:marRight w:val="0"/>
      <w:marTop w:val="0"/>
      <w:marBottom w:val="0"/>
      <w:divBdr>
        <w:top w:val="none" w:sz="0" w:space="0" w:color="auto"/>
        <w:left w:val="none" w:sz="0" w:space="0" w:color="auto"/>
        <w:bottom w:val="none" w:sz="0" w:space="0" w:color="auto"/>
        <w:right w:val="none" w:sz="0" w:space="0" w:color="auto"/>
      </w:divBdr>
    </w:div>
    <w:div w:id="1507986426">
      <w:bodyDiv w:val="1"/>
      <w:marLeft w:val="0"/>
      <w:marRight w:val="0"/>
      <w:marTop w:val="0"/>
      <w:marBottom w:val="0"/>
      <w:divBdr>
        <w:top w:val="none" w:sz="0" w:space="0" w:color="auto"/>
        <w:left w:val="none" w:sz="0" w:space="0" w:color="auto"/>
        <w:bottom w:val="none" w:sz="0" w:space="0" w:color="auto"/>
        <w:right w:val="none" w:sz="0" w:space="0" w:color="auto"/>
      </w:divBdr>
    </w:div>
    <w:div w:id="1516115897">
      <w:bodyDiv w:val="1"/>
      <w:marLeft w:val="0"/>
      <w:marRight w:val="0"/>
      <w:marTop w:val="0"/>
      <w:marBottom w:val="0"/>
      <w:divBdr>
        <w:top w:val="none" w:sz="0" w:space="0" w:color="auto"/>
        <w:left w:val="none" w:sz="0" w:space="0" w:color="auto"/>
        <w:bottom w:val="none" w:sz="0" w:space="0" w:color="auto"/>
        <w:right w:val="none" w:sz="0" w:space="0" w:color="auto"/>
      </w:divBdr>
    </w:div>
    <w:div w:id="1517885908">
      <w:bodyDiv w:val="1"/>
      <w:marLeft w:val="0"/>
      <w:marRight w:val="0"/>
      <w:marTop w:val="0"/>
      <w:marBottom w:val="0"/>
      <w:divBdr>
        <w:top w:val="none" w:sz="0" w:space="0" w:color="auto"/>
        <w:left w:val="none" w:sz="0" w:space="0" w:color="auto"/>
        <w:bottom w:val="none" w:sz="0" w:space="0" w:color="auto"/>
        <w:right w:val="none" w:sz="0" w:space="0" w:color="auto"/>
      </w:divBdr>
    </w:div>
    <w:div w:id="1518615695">
      <w:bodyDiv w:val="1"/>
      <w:marLeft w:val="0"/>
      <w:marRight w:val="0"/>
      <w:marTop w:val="0"/>
      <w:marBottom w:val="0"/>
      <w:divBdr>
        <w:top w:val="none" w:sz="0" w:space="0" w:color="auto"/>
        <w:left w:val="none" w:sz="0" w:space="0" w:color="auto"/>
        <w:bottom w:val="none" w:sz="0" w:space="0" w:color="auto"/>
        <w:right w:val="none" w:sz="0" w:space="0" w:color="auto"/>
      </w:divBdr>
    </w:div>
    <w:div w:id="1524435364">
      <w:bodyDiv w:val="1"/>
      <w:marLeft w:val="0"/>
      <w:marRight w:val="0"/>
      <w:marTop w:val="0"/>
      <w:marBottom w:val="0"/>
      <w:divBdr>
        <w:top w:val="none" w:sz="0" w:space="0" w:color="auto"/>
        <w:left w:val="none" w:sz="0" w:space="0" w:color="auto"/>
        <w:bottom w:val="none" w:sz="0" w:space="0" w:color="auto"/>
        <w:right w:val="none" w:sz="0" w:space="0" w:color="auto"/>
      </w:divBdr>
    </w:div>
    <w:div w:id="1530335629">
      <w:bodyDiv w:val="1"/>
      <w:marLeft w:val="0"/>
      <w:marRight w:val="0"/>
      <w:marTop w:val="0"/>
      <w:marBottom w:val="0"/>
      <w:divBdr>
        <w:top w:val="none" w:sz="0" w:space="0" w:color="auto"/>
        <w:left w:val="none" w:sz="0" w:space="0" w:color="auto"/>
        <w:bottom w:val="none" w:sz="0" w:space="0" w:color="auto"/>
        <w:right w:val="none" w:sz="0" w:space="0" w:color="auto"/>
      </w:divBdr>
    </w:div>
    <w:div w:id="1534461963">
      <w:bodyDiv w:val="1"/>
      <w:marLeft w:val="0"/>
      <w:marRight w:val="0"/>
      <w:marTop w:val="0"/>
      <w:marBottom w:val="0"/>
      <w:divBdr>
        <w:top w:val="none" w:sz="0" w:space="0" w:color="auto"/>
        <w:left w:val="none" w:sz="0" w:space="0" w:color="auto"/>
        <w:bottom w:val="none" w:sz="0" w:space="0" w:color="auto"/>
        <w:right w:val="none" w:sz="0" w:space="0" w:color="auto"/>
      </w:divBdr>
    </w:div>
    <w:div w:id="1540436920">
      <w:bodyDiv w:val="1"/>
      <w:marLeft w:val="0"/>
      <w:marRight w:val="0"/>
      <w:marTop w:val="0"/>
      <w:marBottom w:val="0"/>
      <w:divBdr>
        <w:top w:val="none" w:sz="0" w:space="0" w:color="auto"/>
        <w:left w:val="none" w:sz="0" w:space="0" w:color="auto"/>
        <w:bottom w:val="none" w:sz="0" w:space="0" w:color="auto"/>
        <w:right w:val="none" w:sz="0" w:space="0" w:color="auto"/>
      </w:divBdr>
    </w:div>
    <w:div w:id="1543443269">
      <w:bodyDiv w:val="1"/>
      <w:marLeft w:val="0"/>
      <w:marRight w:val="0"/>
      <w:marTop w:val="0"/>
      <w:marBottom w:val="0"/>
      <w:divBdr>
        <w:top w:val="none" w:sz="0" w:space="0" w:color="auto"/>
        <w:left w:val="none" w:sz="0" w:space="0" w:color="auto"/>
        <w:bottom w:val="none" w:sz="0" w:space="0" w:color="auto"/>
        <w:right w:val="none" w:sz="0" w:space="0" w:color="auto"/>
      </w:divBdr>
    </w:div>
    <w:div w:id="1565675820">
      <w:bodyDiv w:val="1"/>
      <w:marLeft w:val="0"/>
      <w:marRight w:val="0"/>
      <w:marTop w:val="0"/>
      <w:marBottom w:val="0"/>
      <w:divBdr>
        <w:top w:val="none" w:sz="0" w:space="0" w:color="auto"/>
        <w:left w:val="none" w:sz="0" w:space="0" w:color="auto"/>
        <w:bottom w:val="none" w:sz="0" w:space="0" w:color="auto"/>
        <w:right w:val="none" w:sz="0" w:space="0" w:color="auto"/>
      </w:divBdr>
    </w:div>
    <w:div w:id="1585996098">
      <w:bodyDiv w:val="1"/>
      <w:marLeft w:val="0"/>
      <w:marRight w:val="0"/>
      <w:marTop w:val="0"/>
      <w:marBottom w:val="0"/>
      <w:divBdr>
        <w:top w:val="none" w:sz="0" w:space="0" w:color="auto"/>
        <w:left w:val="none" w:sz="0" w:space="0" w:color="auto"/>
        <w:bottom w:val="none" w:sz="0" w:space="0" w:color="auto"/>
        <w:right w:val="none" w:sz="0" w:space="0" w:color="auto"/>
      </w:divBdr>
    </w:div>
    <w:div w:id="1604604066">
      <w:bodyDiv w:val="1"/>
      <w:marLeft w:val="0"/>
      <w:marRight w:val="0"/>
      <w:marTop w:val="0"/>
      <w:marBottom w:val="0"/>
      <w:divBdr>
        <w:top w:val="none" w:sz="0" w:space="0" w:color="auto"/>
        <w:left w:val="none" w:sz="0" w:space="0" w:color="auto"/>
        <w:bottom w:val="none" w:sz="0" w:space="0" w:color="auto"/>
        <w:right w:val="none" w:sz="0" w:space="0" w:color="auto"/>
      </w:divBdr>
    </w:div>
    <w:div w:id="1606036114">
      <w:bodyDiv w:val="1"/>
      <w:marLeft w:val="0"/>
      <w:marRight w:val="0"/>
      <w:marTop w:val="0"/>
      <w:marBottom w:val="0"/>
      <w:divBdr>
        <w:top w:val="none" w:sz="0" w:space="0" w:color="auto"/>
        <w:left w:val="none" w:sz="0" w:space="0" w:color="auto"/>
        <w:bottom w:val="none" w:sz="0" w:space="0" w:color="auto"/>
        <w:right w:val="none" w:sz="0" w:space="0" w:color="auto"/>
      </w:divBdr>
    </w:div>
    <w:div w:id="1608269282">
      <w:bodyDiv w:val="1"/>
      <w:marLeft w:val="0"/>
      <w:marRight w:val="0"/>
      <w:marTop w:val="0"/>
      <w:marBottom w:val="0"/>
      <w:divBdr>
        <w:top w:val="none" w:sz="0" w:space="0" w:color="auto"/>
        <w:left w:val="none" w:sz="0" w:space="0" w:color="auto"/>
        <w:bottom w:val="none" w:sz="0" w:space="0" w:color="auto"/>
        <w:right w:val="none" w:sz="0" w:space="0" w:color="auto"/>
      </w:divBdr>
    </w:div>
    <w:div w:id="1612471467">
      <w:bodyDiv w:val="1"/>
      <w:marLeft w:val="0"/>
      <w:marRight w:val="0"/>
      <w:marTop w:val="0"/>
      <w:marBottom w:val="0"/>
      <w:divBdr>
        <w:top w:val="none" w:sz="0" w:space="0" w:color="auto"/>
        <w:left w:val="none" w:sz="0" w:space="0" w:color="auto"/>
        <w:bottom w:val="none" w:sz="0" w:space="0" w:color="auto"/>
        <w:right w:val="none" w:sz="0" w:space="0" w:color="auto"/>
      </w:divBdr>
    </w:div>
    <w:div w:id="1616597468">
      <w:bodyDiv w:val="1"/>
      <w:marLeft w:val="0"/>
      <w:marRight w:val="0"/>
      <w:marTop w:val="0"/>
      <w:marBottom w:val="0"/>
      <w:divBdr>
        <w:top w:val="none" w:sz="0" w:space="0" w:color="auto"/>
        <w:left w:val="none" w:sz="0" w:space="0" w:color="auto"/>
        <w:bottom w:val="none" w:sz="0" w:space="0" w:color="auto"/>
        <w:right w:val="none" w:sz="0" w:space="0" w:color="auto"/>
      </w:divBdr>
    </w:div>
    <w:div w:id="1623196441">
      <w:bodyDiv w:val="1"/>
      <w:marLeft w:val="0"/>
      <w:marRight w:val="0"/>
      <w:marTop w:val="0"/>
      <w:marBottom w:val="0"/>
      <w:divBdr>
        <w:top w:val="none" w:sz="0" w:space="0" w:color="auto"/>
        <w:left w:val="none" w:sz="0" w:space="0" w:color="auto"/>
        <w:bottom w:val="none" w:sz="0" w:space="0" w:color="auto"/>
        <w:right w:val="none" w:sz="0" w:space="0" w:color="auto"/>
      </w:divBdr>
    </w:div>
    <w:div w:id="1624845415">
      <w:bodyDiv w:val="1"/>
      <w:marLeft w:val="0"/>
      <w:marRight w:val="0"/>
      <w:marTop w:val="0"/>
      <w:marBottom w:val="0"/>
      <w:divBdr>
        <w:top w:val="none" w:sz="0" w:space="0" w:color="auto"/>
        <w:left w:val="none" w:sz="0" w:space="0" w:color="auto"/>
        <w:bottom w:val="none" w:sz="0" w:space="0" w:color="auto"/>
        <w:right w:val="none" w:sz="0" w:space="0" w:color="auto"/>
      </w:divBdr>
    </w:div>
    <w:div w:id="1632832259">
      <w:bodyDiv w:val="1"/>
      <w:marLeft w:val="0"/>
      <w:marRight w:val="0"/>
      <w:marTop w:val="0"/>
      <w:marBottom w:val="0"/>
      <w:divBdr>
        <w:top w:val="none" w:sz="0" w:space="0" w:color="auto"/>
        <w:left w:val="none" w:sz="0" w:space="0" w:color="auto"/>
        <w:bottom w:val="none" w:sz="0" w:space="0" w:color="auto"/>
        <w:right w:val="none" w:sz="0" w:space="0" w:color="auto"/>
      </w:divBdr>
    </w:div>
    <w:div w:id="1635719655">
      <w:bodyDiv w:val="1"/>
      <w:marLeft w:val="0"/>
      <w:marRight w:val="0"/>
      <w:marTop w:val="0"/>
      <w:marBottom w:val="0"/>
      <w:divBdr>
        <w:top w:val="none" w:sz="0" w:space="0" w:color="auto"/>
        <w:left w:val="none" w:sz="0" w:space="0" w:color="auto"/>
        <w:bottom w:val="none" w:sz="0" w:space="0" w:color="auto"/>
        <w:right w:val="none" w:sz="0" w:space="0" w:color="auto"/>
      </w:divBdr>
    </w:div>
    <w:div w:id="1638025923">
      <w:bodyDiv w:val="1"/>
      <w:marLeft w:val="0"/>
      <w:marRight w:val="0"/>
      <w:marTop w:val="0"/>
      <w:marBottom w:val="0"/>
      <w:divBdr>
        <w:top w:val="none" w:sz="0" w:space="0" w:color="auto"/>
        <w:left w:val="none" w:sz="0" w:space="0" w:color="auto"/>
        <w:bottom w:val="none" w:sz="0" w:space="0" w:color="auto"/>
        <w:right w:val="none" w:sz="0" w:space="0" w:color="auto"/>
      </w:divBdr>
    </w:div>
    <w:div w:id="1641154653">
      <w:bodyDiv w:val="1"/>
      <w:marLeft w:val="0"/>
      <w:marRight w:val="0"/>
      <w:marTop w:val="0"/>
      <w:marBottom w:val="0"/>
      <w:divBdr>
        <w:top w:val="none" w:sz="0" w:space="0" w:color="auto"/>
        <w:left w:val="none" w:sz="0" w:space="0" w:color="auto"/>
        <w:bottom w:val="none" w:sz="0" w:space="0" w:color="auto"/>
        <w:right w:val="none" w:sz="0" w:space="0" w:color="auto"/>
      </w:divBdr>
    </w:div>
    <w:div w:id="1644500191">
      <w:bodyDiv w:val="1"/>
      <w:marLeft w:val="0"/>
      <w:marRight w:val="0"/>
      <w:marTop w:val="0"/>
      <w:marBottom w:val="0"/>
      <w:divBdr>
        <w:top w:val="none" w:sz="0" w:space="0" w:color="auto"/>
        <w:left w:val="none" w:sz="0" w:space="0" w:color="auto"/>
        <w:bottom w:val="none" w:sz="0" w:space="0" w:color="auto"/>
        <w:right w:val="none" w:sz="0" w:space="0" w:color="auto"/>
      </w:divBdr>
    </w:div>
    <w:div w:id="1644574917">
      <w:bodyDiv w:val="1"/>
      <w:marLeft w:val="0"/>
      <w:marRight w:val="0"/>
      <w:marTop w:val="0"/>
      <w:marBottom w:val="0"/>
      <w:divBdr>
        <w:top w:val="none" w:sz="0" w:space="0" w:color="auto"/>
        <w:left w:val="none" w:sz="0" w:space="0" w:color="auto"/>
        <w:bottom w:val="none" w:sz="0" w:space="0" w:color="auto"/>
        <w:right w:val="none" w:sz="0" w:space="0" w:color="auto"/>
      </w:divBdr>
    </w:div>
    <w:div w:id="1655908077">
      <w:bodyDiv w:val="1"/>
      <w:marLeft w:val="0"/>
      <w:marRight w:val="0"/>
      <w:marTop w:val="0"/>
      <w:marBottom w:val="0"/>
      <w:divBdr>
        <w:top w:val="none" w:sz="0" w:space="0" w:color="auto"/>
        <w:left w:val="none" w:sz="0" w:space="0" w:color="auto"/>
        <w:bottom w:val="none" w:sz="0" w:space="0" w:color="auto"/>
        <w:right w:val="none" w:sz="0" w:space="0" w:color="auto"/>
      </w:divBdr>
    </w:div>
    <w:div w:id="1657341010">
      <w:bodyDiv w:val="1"/>
      <w:marLeft w:val="0"/>
      <w:marRight w:val="0"/>
      <w:marTop w:val="0"/>
      <w:marBottom w:val="0"/>
      <w:divBdr>
        <w:top w:val="none" w:sz="0" w:space="0" w:color="auto"/>
        <w:left w:val="none" w:sz="0" w:space="0" w:color="auto"/>
        <w:bottom w:val="none" w:sz="0" w:space="0" w:color="auto"/>
        <w:right w:val="none" w:sz="0" w:space="0" w:color="auto"/>
      </w:divBdr>
    </w:div>
    <w:div w:id="1667056192">
      <w:bodyDiv w:val="1"/>
      <w:marLeft w:val="0"/>
      <w:marRight w:val="0"/>
      <w:marTop w:val="0"/>
      <w:marBottom w:val="0"/>
      <w:divBdr>
        <w:top w:val="none" w:sz="0" w:space="0" w:color="auto"/>
        <w:left w:val="none" w:sz="0" w:space="0" w:color="auto"/>
        <w:bottom w:val="none" w:sz="0" w:space="0" w:color="auto"/>
        <w:right w:val="none" w:sz="0" w:space="0" w:color="auto"/>
      </w:divBdr>
    </w:div>
    <w:div w:id="1677223682">
      <w:bodyDiv w:val="1"/>
      <w:marLeft w:val="0"/>
      <w:marRight w:val="0"/>
      <w:marTop w:val="0"/>
      <w:marBottom w:val="0"/>
      <w:divBdr>
        <w:top w:val="none" w:sz="0" w:space="0" w:color="auto"/>
        <w:left w:val="none" w:sz="0" w:space="0" w:color="auto"/>
        <w:bottom w:val="none" w:sz="0" w:space="0" w:color="auto"/>
        <w:right w:val="none" w:sz="0" w:space="0" w:color="auto"/>
      </w:divBdr>
    </w:div>
    <w:div w:id="1677804512">
      <w:bodyDiv w:val="1"/>
      <w:marLeft w:val="0"/>
      <w:marRight w:val="0"/>
      <w:marTop w:val="0"/>
      <w:marBottom w:val="0"/>
      <w:divBdr>
        <w:top w:val="none" w:sz="0" w:space="0" w:color="auto"/>
        <w:left w:val="none" w:sz="0" w:space="0" w:color="auto"/>
        <w:bottom w:val="none" w:sz="0" w:space="0" w:color="auto"/>
        <w:right w:val="none" w:sz="0" w:space="0" w:color="auto"/>
      </w:divBdr>
    </w:div>
    <w:div w:id="1683897005">
      <w:bodyDiv w:val="1"/>
      <w:marLeft w:val="0"/>
      <w:marRight w:val="0"/>
      <w:marTop w:val="0"/>
      <w:marBottom w:val="0"/>
      <w:divBdr>
        <w:top w:val="none" w:sz="0" w:space="0" w:color="auto"/>
        <w:left w:val="none" w:sz="0" w:space="0" w:color="auto"/>
        <w:bottom w:val="none" w:sz="0" w:space="0" w:color="auto"/>
        <w:right w:val="none" w:sz="0" w:space="0" w:color="auto"/>
      </w:divBdr>
    </w:div>
    <w:div w:id="1698040676">
      <w:bodyDiv w:val="1"/>
      <w:marLeft w:val="0"/>
      <w:marRight w:val="0"/>
      <w:marTop w:val="0"/>
      <w:marBottom w:val="0"/>
      <w:divBdr>
        <w:top w:val="none" w:sz="0" w:space="0" w:color="auto"/>
        <w:left w:val="none" w:sz="0" w:space="0" w:color="auto"/>
        <w:bottom w:val="none" w:sz="0" w:space="0" w:color="auto"/>
        <w:right w:val="none" w:sz="0" w:space="0" w:color="auto"/>
      </w:divBdr>
    </w:div>
    <w:div w:id="1699432493">
      <w:bodyDiv w:val="1"/>
      <w:marLeft w:val="0"/>
      <w:marRight w:val="0"/>
      <w:marTop w:val="0"/>
      <w:marBottom w:val="0"/>
      <w:divBdr>
        <w:top w:val="none" w:sz="0" w:space="0" w:color="auto"/>
        <w:left w:val="none" w:sz="0" w:space="0" w:color="auto"/>
        <w:bottom w:val="none" w:sz="0" w:space="0" w:color="auto"/>
        <w:right w:val="none" w:sz="0" w:space="0" w:color="auto"/>
      </w:divBdr>
    </w:div>
    <w:div w:id="1703558511">
      <w:bodyDiv w:val="1"/>
      <w:marLeft w:val="0"/>
      <w:marRight w:val="0"/>
      <w:marTop w:val="0"/>
      <w:marBottom w:val="0"/>
      <w:divBdr>
        <w:top w:val="none" w:sz="0" w:space="0" w:color="auto"/>
        <w:left w:val="none" w:sz="0" w:space="0" w:color="auto"/>
        <w:bottom w:val="none" w:sz="0" w:space="0" w:color="auto"/>
        <w:right w:val="none" w:sz="0" w:space="0" w:color="auto"/>
      </w:divBdr>
    </w:div>
    <w:div w:id="1706978892">
      <w:bodyDiv w:val="1"/>
      <w:marLeft w:val="0"/>
      <w:marRight w:val="0"/>
      <w:marTop w:val="0"/>
      <w:marBottom w:val="0"/>
      <w:divBdr>
        <w:top w:val="none" w:sz="0" w:space="0" w:color="auto"/>
        <w:left w:val="none" w:sz="0" w:space="0" w:color="auto"/>
        <w:bottom w:val="none" w:sz="0" w:space="0" w:color="auto"/>
        <w:right w:val="none" w:sz="0" w:space="0" w:color="auto"/>
      </w:divBdr>
    </w:div>
    <w:div w:id="1710686949">
      <w:bodyDiv w:val="1"/>
      <w:marLeft w:val="0"/>
      <w:marRight w:val="0"/>
      <w:marTop w:val="0"/>
      <w:marBottom w:val="0"/>
      <w:divBdr>
        <w:top w:val="none" w:sz="0" w:space="0" w:color="auto"/>
        <w:left w:val="none" w:sz="0" w:space="0" w:color="auto"/>
        <w:bottom w:val="none" w:sz="0" w:space="0" w:color="auto"/>
        <w:right w:val="none" w:sz="0" w:space="0" w:color="auto"/>
      </w:divBdr>
    </w:div>
    <w:div w:id="1715346368">
      <w:bodyDiv w:val="1"/>
      <w:marLeft w:val="0"/>
      <w:marRight w:val="0"/>
      <w:marTop w:val="0"/>
      <w:marBottom w:val="0"/>
      <w:divBdr>
        <w:top w:val="none" w:sz="0" w:space="0" w:color="auto"/>
        <w:left w:val="none" w:sz="0" w:space="0" w:color="auto"/>
        <w:bottom w:val="none" w:sz="0" w:space="0" w:color="auto"/>
        <w:right w:val="none" w:sz="0" w:space="0" w:color="auto"/>
      </w:divBdr>
    </w:div>
    <w:div w:id="1723485088">
      <w:bodyDiv w:val="1"/>
      <w:marLeft w:val="0"/>
      <w:marRight w:val="0"/>
      <w:marTop w:val="0"/>
      <w:marBottom w:val="0"/>
      <w:divBdr>
        <w:top w:val="none" w:sz="0" w:space="0" w:color="auto"/>
        <w:left w:val="none" w:sz="0" w:space="0" w:color="auto"/>
        <w:bottom w:val="none" w:sz="0" w:space="0" w:color="auto"/>
        <w:right w:val="none" w:sz="0" w:space="0" w:color="auto"/>
      </w:divBdr>
    </w:div>
    <w:div w:id="1734159280">
      <w:bodyDiv w:val="1"/>
      <w:marLeft w:val="0"/>
      <w:marRight w:val="0"/>
      <w:marTop w:val="0"/>
      <w:marBottom w:val="0"/>
      <w:divBdr>
        <w:top w:val="none" w:sz="0" w:space="0" w:color="auto"/>
        <w:left w:val="none" w:sz="0" w:space="0" w:color="auto"/>
        <w:bottom w:val="none" w:sz="0" w:space="0" w:color="auto"/>
        <w:right w:val="none" w:sz="0" w:space="0" w:color="auto"/>
      </w:divBdr>
    </w:div>
    <w:div w:id="1735197091">
      <w:bodyDiv w:val="1"/>
      <w:marLeft w:val="0"/>
      <w:marRight w:val="0"/>
      <w:marTop w:val="0"/>
      <w:marBottom w:val="0"/>
      <w:divBdr>
        <w:top w:val="none" w:sz="0" w:space="0" w:color="auto"/>
        <w:left w:val="none" w:sz="0" w:space="0" w:color="auto"/>
        <w:bottom w:val="none" w:sz="0" w:space="0" w:color="auto"/>
        <w:right w:val="none" w:sz="0" w:space="0" w:color="auto"/>
      </w:divBdr>
    </w:div>
    <w:div w:id="1735662703">
      <w:bodyDiv w:val="1"/>
      <w:marLeft w:val="0"/>
      <w:marRight w:val="0"/>
      <w:marTop w:val="0"/>
      <w:marBottom w:val="0"/>
      <w:divBdr>
        <w:top w:val="none" w:sz="0" w:space="0" w:color="auto"/>
        <w:left w:val="none" w:sz="0" w:space="0" w:color="auto"/>
        <w:bottom w:val="none" w:sz="0" w:space="0" w:color="auto"/>
        <w:right w:val="none" w:sz="0" w:space="0" w:color="auto"/>
      </w:divBdr>
    </w:div>
    <w:div w:id="1749887050">
      <w:bodyDiv w:val="1"/>
      <w:marLeft w:val="0"/>
      <w:marRight w:val="0"/>
      <w:marTop w:val="0"/>
      <w:marBottom w:val="0"/>
      <w:divBdr>
        <w:top w:val="none" w:sz="0" w:space="0" w:color="auto"/>
        <w:left w:val="none" w:sz="0" w:space="0" w:color="auto"/>
        <w:bottom w:val="none" w:sz="0" w:space="0" w:color="auto"/>
        <w:right w:val="none" w:sz="0" w:space="0" w:color="auto"/>
      </w:divBdr>
    </w:div>
    <w:div w:id="1787037312">
      <w:bodyDiv w:val="1"/>
      <w:marLeft w:val="0"/>
      <w:marRight w:val="0"/>
      <w:marTop w:val="0"/>
      <w:marBottom w:val="0"/>
      <w:divBdr>
        <w:top w:val="none" w:sz="0" w:space="0" w:color="auto"/>
        <w:left w:val="none" w:sz="0" w:space="0" w:color="auto"/>
        <w:bottom w:val="none" w:sz="0" w:space="0" w:color="auto"/>
        <w:right w:val="none" w:sz="0" w:space="0" w:color="auto"/>
      </w:divBdr>
    </w:div>
    <w:div w:id="1788230768">
      <w:bodyDiv w:val="1"/>
      <w:marLeft w:val="0"/>
      <w:marRight w:val="0"/>
      <w:marTop w:val="0"/>
      <w:marBottom w:val="0"/>
      <w:divBdr>
        <w:top w:val="none" w:sz="0" w:space="0" w:color="auto"/>
        <w:left w:val="none" w:sz="0" w:space="0" w:color="auto"/>
        <w:bottom w:val="none" w:sz="0" w:space="0" w:color="auto"/>
        <w:right w:val="none" w:sz="0" w:space="0" w:color="auto"/>
      </w:divBdr>
    </w:div>
    <w:div w:id="1801922995">
      <w:bodyDiv w:val="1"/>
      <w:marLeft w:val="0"/>
      <w:marRight w:val="0"/>
      <w:marTop w:val="0"/>
      <w:marBottom w:val="0"/>
      <w:divBdr>
        <w:top w:val="none" w:sz="0" w:space="0" w:color="auto"/>
        <w:left w:val="none" w:sz="0" w:space="0" w:color="auto"/>
        <w:bottom w:val="none" w:sz="0" w:space="0" w:color="auto"/>
        <w:right w:val="none" w:sz="0" w:space="0" w:color="auto"/>
      </w:divBdr>
    </w:div>
    <w:div w:id="1812285519">
      <w:bodyDiv w:val="1"/>
      <w:marLeft w:val="0"/>
      <w:marRight w:val="0"/>
      <w:marTop w:val="0"/>
      <w:marBottom w:val="0"/>
      <w:divBdr>
        <w:top w:val="none" w:sz="0" w:space="0" w:color="auto"/>
        <w:left w:val="none" w:sz="0" w:space="0" w:color="auto"/>
        <w:bottom w:val="none" w:sz="0" w:space="0" w:color="auto"/>
        <w:right w:val="none" w:sz="0" w:space="0" w:color="auto"/>
      </w:divBdr>
    </w:div>
    <w:div w:id="1816989822">
      <w:bodyDiv w:val="1"/>
      <w:marLeft w:val="0"/>
      <w:marRight w:val="0"/>
      <w:marTop w:val="0"/>
      <w:marBottom w:val="0"/>
      <w:divBdr>
        <w:top w:val="none" w:sz="0" w:space="0" w:color="auto"/>
        <w:left w:val="none" w:sz="0" w:space="0" w:color="auto"/>
        <w:bottom w:val="none" w:sz="0" w:space="0" w:color="auto"/>
        <w:right w:val="none" w:sz="0" w:space="0" w:color="auto"/>
      </w:divBdr>
    </w:div>
    <w:div w:id="1829982596">
      <w:bodyDiv w:val="1"/>
      <w:marLeft w:val="0"/>
      <w:marRight w:val="0"/>
      <w:marTop w:val="0"/>
      <w:marBottom w:val="0"/>
      <w:divBdr>
        <w:top w:val="none" w:sz="0" w:space="0" w:color="auto"/>
        <w:left w:val="none" w:sz="0" w:space="0" w:color="auto"/>
        <w:bottom w:val="none" w:sz="0" w:space="0" w:color="auto"/>
        <w:right w:val="none" w:sz="0" w:space="0" w:color="auto"/>
      </w:divBdr>
    </w:div>
    <w:div w:id="1844393121">
      <w:bodyDiv w:val="1"/>
      <w:marLeft w:val="0"/>
      <w:marRight w:val="0"/>
      <w:marTop w:val="0"/>
      <w:marBottom w:val="0"/>
      <w:divBdr>
        <w:top w:val="none" w:sz="0" w:space="0" w:color="auto"/>
        <w:left w:val="none" w:sz="0" w:space="0" w:color="auto"/>
        <w:bottom w:val="none" w:sz="0" w:space="0" w:color="auto"/>
        <w:right w:val="none" w:sz="0" w:space="0" w:color="auto"/>
      </w:divBdr>
    </w:div>
    <w:div w:id="1845437675">
      <w:bodyDiv w:val="1"/>
      <w:marLeft w:val="0"/>
      <w:marRight w:val="0"/>
      <w:marTop w:val="0"/>
      <w:marBottom w:val="0"/>
      <w:divBdr>
        <w:top w:val="none" w:sz="0" w:space="0" w:color="auto"/>
        <w:left w:val="none" w:sz="0" w:space="0" w:color="auto"/>
        <w:bottom w:val="none" w:sz="0" w:space="0" w:color="auto"/>
        <w:right w:val="none" w:sz="0" w:space="0" w:color="auto"/>
      </w:divBdr>
    </w:div>
    <w:div w:id="1850411546">
      <w:bodyDiv w:val="1"/>
      <w:marLeft w:val="0"/>
      <w:marRight w:val="0"/>
      <w:marTop w:val="0"/>
      <w:marBottom w:val="0"/>
      <w:divBdr>
        <w:top w:val="none" w:sz="0" w:space="0" w:color="auto"/>
        <w:left w:val="none" w:sz="0" w:space="0" w:color="auto"/>
        <w:bottom w:val="none" w:sz="0" w:space="0" w:color="auto"/>
        <w:right w:val="none" w:sz="0" w:space="0" w:color="auto"/>
      </w:divBdr>
    </w:div>
    <w:div w:id="1851874803">
      <w:bodyDiv w:val="1"/>
      <w:marLeft w:val="0"/>
      <w:marRight w:val="0"/>
      <w:marTop w:val="0"/>
      <w:marBottom w:val="0"/>
      <w:divBdr>
        <w:top w:val="none" w:sz="0" w:space="0" w:color="auto"/>
        <w:left w:val="none" w:sz="0" w:space="0" w:color="auto"/>
        <w:bottom w:val="none" w:sz="0" w:space="0" w:color="auto"/>
        <w:right w:val="none" w:sz="0" w:space="0" w:color="auto"/>
      </w:divBdr>
    </w:div>
    <w:div w:id="1855604717">
      <w:bodyDiv w:val="1"/>
      <w:marLeft w:val="0"/>
      <w:marRight w:val="0"/>
      <w:marTop w:val="0"/>
      <w:marBottom w:val="0"/>
      <w:divBdr>
        <w:top w:val="none" w:sz="0" w:space="0" w:color="auto"/>
        <w:left w:val="none" w:sz="0" w:space="0" w:color="auto"/>
        <w:bottom w:val="none" w:sz="0" w:space="0" w:color="auto"/>
        <w:right w:val="none" w:sz="0" w:space="0" w:color="auto"/>
      </w:divBdr>
    </w:div>
    <w:div w:id="1855727548">
      <w:bodyDiv w:val="1"/>
      <w:marLeft w:val="0"/>
      <w:marRight w:val="0"/>
      <w:marTop w:val="0"/>
      <w:marBottom w:val="0"/>
      <w:divBdr>
        <w:top w:val="none" w:sz="0" w:space="0" w:color="auto"/>
        <w:left w:val="none" w:sz="0" w:space="0" w:color="auto"/>
        <w:bottom w:val="none" w:sz="0" w:space="0" w:color="auto"/>
        <w:right w:val="none" w:sz="0" w:space="0" w:color="auto"/>
      </w:divBdr>
    </w:div>
    <w:div w:id="1857495063">
      <w:bodyDiv w:val="1"/>
      <w:marLeft w:val="0"/>
      <w:marRight w:val="0"/>
      <w:marTop w:val="0"/>
      <w:marBottom w:val="0"/>
      <w:divBdr>
        <w:top w:val="none" w:sz="0" w:space="0" w:color="auto"/>
        <w:left w:val="none" w:sz="0" w:space="0" w:color="auto"/>
        <w:bottom w:val="none" w:sz="0" w:space="0" w:color="auto"/>
        <w:right w:val="none" w:sz="0" w:space="0" w:color="auto"/>
      </w:divBdr>
    </w:div>
    <w:div w:id="1861310728">
      <w:bodyDiv w:val="1"/>
      <w:marLeft w:val="0"/>
      <w:marRight w:val="0"/>
      <w:marTop w:val="0"/>
      <w:marBottom w:val="0"/>
      <w:divBdr>
        <w:top w:val="none" w:sz="0" w:space="0" w:color="auto"/>
        <w:left w:val="none" w:sz="0" w:space="0" w:color="auto"/>
        <w:bottom w:val="none" w:sz="0" w:space="0" w:color="auto"/>
        <w:right w:val="none" w:sz="0" w:space="0" w:color="auto"/>
      </w:divBdr>
    </w:div>
    <w:div w:id="1872181648">
      <w:bodyDiv w:val="1"/>
      <w:marLeft w:val="0"/>
      <w:marRight w:val="0"/>
      <w:marTop w:val="0"/>
      <w:marBottom w:val="0"/>
      <w:divBdr>
        <w:top w:val="none" w:sz="0" w:space="0" w:color="auto"/>
        <w:left w:val="none" w:sz="0" w:space="0" w:color="auto"/>
        <w:bottom w:val="none" w:sz="0" w:space="0" w:color="auto"/>
        <w:right w:val="none" w:sz="0" w:space="0" w:color="auto"/>
      </w:divBdr>
    </w:div>
    <w:div w:id="1873376273">
      <w:bodyDiv w:val="1"/>
      <w:marLeft w:val="0"/>
      <w:marRight w:val="0"/>
      <w:marTop w:val="0"/>
      <w:marBottom w:val="0"/>
      <w:divBdr>
        <w:top w:val="none" w:sz="0" w:space="0" w:color="auto"/>
        <w:left w:val="none" w:sz="0" w:space="0" w:color="auto"/>
        <w:bottom w:val="none" w:sz="0" w:space="0" w:color="auto"/>
        <w:right w:val="none" w:sz="0" w:space="0" w:color="auto"/>
      </w:divBdr>
    </w:div>
    <w:div w:id="1878204270">
      <w:bodyDiv w:val="1"/>
      <w:marLeft w:val="0"/>
      <w:marRight w:val="0"/>
      <w:marTop w:val="0"/>
      <w:marBottom w:val="0"/>
      <w:divBdr>
        <w:top w:val="none" w:sz="0" w:space="0" w:color="auto"/>
        <w:left w:val="none" w:sz="0" w:space="0" w:color="auto"/>
        <w:bottom w:val="none" w:sz="0" w:space="0" w:color="auto"/>
        <w:right w:val="none" w:sz="0" w:space="0" w:color="auto"/>
      </w:divBdr>
    </w:div>
    <w:div w:id="1879971485">
      <w:bodyDiv w:val="1"/>
      <w:marLeft w:val="0"/>
      <w:marRight w:val="0"/>
      <w:marTop w:val="0"/>
      <w:marBottom w:val="0"/>
      <w:divBdr>
        <w:top w:val="none" w:sz="0" w:space="0" w:color="auto"/>
        <w:left w:val="none" w:sz="0" w:space="0" w:color="auto"/>
        <w:bottom w:val="none" w:sz="0" w:space="0" w:color="auto"/>
        <w:right w:val="none" w:sz="0" w:space="0" w:color="auto"/>
      </w:divBdr>
    </w:div>
    <w:div w:id="1880707345">
      <w:bodyDiv w:val="1"/>
      <w:marLeft w:val="0"/>
      <w:marRight w:val="0"/>
      <w:marTop w:val="0"/>
      <w:marBottom w:val="0"/>
      <w:divBdr>
        <w:top w:val="none" w:sz="0" w:space="0" w:color="auto"/>
        <w:left w:val="none" w:sz="0" w:space="0" w:color="auto"/>
        <w:bottom w:val="none" w:sz="0" w:space="0" w:color="auto"/>
        <w:right w:val="none" w:sz="0" w:space="0" w:color="auto"/>
      </w:divBdr>
    </w:div>
    <w:div w:id="1882670427">
      <w:bodyDiv w:val="1"/>
      <w:marLeft w:val="0"/>
      <w:marRight w:val="0"/>
      <w:marTop w:val="0"/>
      <w:marBottom w:val="0"/>
      <w:divBdr>
        <w:top w:val="none" w:sz="0" w:space="0" w:color="auto"/>
        <w:left w:val="none" w:sz="0" w:space="0" w:color="auto"/>
        <w:bottom w:val="none" w:sz="0" w:space="0" w:color="auto"/>
        <w:right w:val="none" w:sz="0" w:space="0" w:color="auto"/>
      </w:divBdr>
    </w:div>
    <w:div w:id="1883328253">
      <w:bodyDiv w:val="1"/>
      <w:marLeft w:val="0"/>
      <w:marRight w:val="0"/>
      <w:marTop w:val="0"/>
      <w:marBottom w:val="0"/>
      <w:divBdr>
        <w:top w:val="none" w:sz="0" w:space="0" w:color="auto"/>
        <w:left w:val="none" w:sz="0" w:space="0" w:color="auto"/>
        <w:bottom w:val="none" w:sz="0" w:space="0" w:color="auto"/>
        <w:right w:val="none" w:sz="0" w:space="0" w:color="auto"/>
      </w:divBdr>
    </w:div>
    <w:div w:id="1888294037">
      <w:bodyDiv w:val="1"/>
      <w:marLeft w:val="0"/>
      <w:marRight w:val="0"/>
      <w:marTop w:val="0"/>
      <w:marBottom w:val="0"/>
      <w:divBdr>
        <w:top w:val="none" w:sz="0" w:space="0" w:color="auto"/>
        <w:left w:val="none" w:sz="0" w:space="0" w:color="auto"/>
        <w:bottom w:val="none" w:sz="0" w:space="0" w:color="auto"/>
        <w:right w:val="none" w:sz="0" w:space="0" w:color="auto"/>
      </w:divBdr>
    </w:div>
    <w:div w:id="1892764513">
      <w:bodyDiv w:val="1"/>
      <w:marLeft w:val="0"/>
      <w:marRight w:val="0"/>
      <w:marTop w:val="0"/>
      <w:marBottom w:val="0"/>
      <w:divBdr>
        <w:top w:val="none" w:sz="0" w:space="0" w:color="auto"/>
        <w:left w:val="none" w:sz="0" w:space="0" w:color="auto"/>
        <w:bottom w:val="none" w:sz="0" w:space="0" w:color="auto"/>
        <w:right w:val="none" w:sz="0" w:space="0" w:color="auto"/>
      </w:divBdr>
    </w:div>
    <w:div w:id="1893420378">
      <w:bodyDiv w:val="1"/>
      <w:marLeft w:val="0"/>
      <w:marRight w:val="0"/>
      <w:marTop w:val="0"/>
      <w:marBottom w:val="0"/>
      <w:divBdr>
        <w:top w:val="none" w:sz="0" w:space="0" w:color="auto"/>
        <w:left w:val="none" w:sz="0" w:space="0" w:color="auto"/>
        <w:bottom w:val="none" w:sz="0" w:space="0" w:color="auto"/>
        <w:right w:val="none" w:sz="0" w:space="0" w:color="auto"/>
      </w:divBdr>
    </w:div>
    <w:div w:id="1900431245">
      <w:bodyDiv w:val="1"/>
      <w:marLeft w:val="0"/>
      <w:marRight w:val="0"/>
      <w:marTop w:val="0"/>
      <w:marBottom w:val="0"/>
      <w:divBdr>
        <w:top w:val="none" w:sz="0" w:space="0" w:color="auto"/>
        <w:left w:val="none" w:sz="0" w:space="0" w:color="auto"/>
        <w:bottom w:val="none" w:sz="0" w:space="0" w:color="auto"/>
        <w:right w:val="none" w:sz="0" w:space="0" w:color="auto"/>
      </w:divBdr>
    </w:div>
    <w:div w:id="1912959573">
      <w:bodyDiv w:val="1"/>
      <w:marLeft w:val="0"/>
      <w:marRight w:val="0"/>
      <w:marTop w:val="0"/>
      <w:marBottom w:val="0"/>
      <w:divBdr>
        <w:top w:val="none" w:sz="0" w:space="0" w:color="auto"/>
        <w:left w:val="none" w:sz="0" w:space="0" w:color="auto"/>
        <w:bottom w:val="none" w:sz="0" w:space="0" w:color="auto"/>
        <w:right w:val="none" w:sz="0" w:space="0" w:color="auto"/>
      </w:divBdr>
    </w:div>
    <w:div w:id="1915771828">
      <w:bodyDiv w:val="1"/>
      <w:marLeft w:val="0"/>
      <w:marRight w:val="0"/>
      <w:marTop w:val="0"/>
      <w:marBottom w:val="0"/>
      <w:divBdr>
        <w:top w:val="none" w:sz="0" w:space="0" w:color="auto"/>
        <w:left w:val="none" w:sz="0" w:space="0" w:color="auto"/>
        <w:bottom w:val="none" w:sz="0" w:space="0" w:color="auto"/>
        <w:right w:val="none" w:sz="0" w:space="0" w:color="auto"/>
      </w:divBdr>
    </w:div>
    <w:div w:id="1933393187">
      <w:bodyDiv w:val="1"/>
      <w:marLeft w:val="0"/>
      <w:marRight w:val="0"/>
      <w:marTop w:val="0"/>
      <w:marBottom w:val="0"/>
      <w:divBdr>
        <w:top w:val="none" w:sz="0" w:space="0" w:color="auto"/>
        <w:left w:val="none" w:sz="0" w:space="0" w:color="auto"/>
        <w:bottom w:val="none" w:sz="0" w:space="0" w:color="auto"/>
        <w:right w:val="none" w:sz="0" w:space="0" w:color="auto"/>
      </w:divBdr>
    </w:div>
    <w:div w:id="1939017186">
      <w:bodyDiv w:val="1"/>
      <w:marLeft w:val="0"/>
      <w:marRight w:val="0"/>
      <w:marTop w:val="0"/>
      <w:marBottom w:val="0"/>
      <w:divBdr>
        <w:top w:val="none" w:sz="0" w:space="0" w:color="auto"/>
        <w:left w:val="none" w:sz="0" w:space="0" w:color="auto"/>
        <w:bottom w:val="none" w:sz="0" w:space="0" w:color="auto"/>
        <w:right w:val="none" w:sz="0" w:space="0" w:color="auto"/>
      </w:divBdr>
    </w:div>
    <w:div w:id="1942297874">
      <w:bodyDiv w:val="1"/>
      <w:marLeft w:val="0"/>
      <w:marRight w:val="0"/>
      <w:marTop w:val="0"/>
      <w:marBottom w:val="0"/>
      <w:divBdr>
        <w:top w:val="none" w:sz="0" w:space="0" w:color="auto"/>
        <w:left w:val="none" w:sz="0" w:space="0" w:color="auto"/>
        <w:bottom w:val="none" w:sz="0" w:space="0" w:color="auto"/>
        <w:right w:val="none" w:sz="0" w:space="0" w:color="auto"/>
      </w:divBdr>
    </w:div>
    <w:div w:id="1947693745">
      <w:bodyDiv w:val="1"/>
      <w:marLeft w:val="0"/>
      <w:marRight w:val="0"/>
      <w:marTop w:val="0"/>
      <w:marBottom w:val="0"/>
      <w:divBdr>
        <w:top w:val="none" w:sz="0" w:space="0" w:color="auto"/>
        <w:left w:val="none" w:sz="0" w:space="0" w:color="auto"/>
        <w:bottom w:val="none" w:sz="0" w:space="0" w:color="auto"/>
        <w:right w:val="none" w:sz="0" w:space="0" w:color="auto"/>
      </w:divBdr>
    </w:div>
    <w:div w:id="1950502070">
      <w:bodyDiv w:val="1"/>
      <w:marLeft w:val="0"/>
      <w:marRight w:val="0"/>
      <w:marTop w:val="0"/>
      <w:marBottom w:val="0"/>
      <w:divBdr>
        <w:top w:val="none" w:sz="0" w:space="0" w:color="auto"/>
        <w:left w:val="none" w:sz="0" w:space="0" w:color="auto"/>
        <w:bottom w:val="none" w:sz="0" w:space="0" w:color="auto"/>
        <w:right w:val="none" w:sz="0" w:space="0" w:color="auto"/>
      </w:divBdr>
    </w:div>
    <w:div w:id="1958291117">
      <w:bodyDiv w:val="1"/>
      <w:marLeft w:val="0"/>
      <w:marRight w:val="0"/>
      <w:marTop w:val="0"/>
      <w:marBottom w:val="0"/>
      <w:divBdr>
        <w:top w:val="none" w:sz="0" w:space="0" w:color="auto"/>
        <w:left w:val="none" w:sz="0" w:space="0" w:color="auto"/>
        <w:bottom w:val="none" w:sz="0" w:space="0" w:color="auto"/>
        <w:right w:val="none" w:sz="0" w:space="0" w:color="auto"/>
      </w:divBdr>
    </w:div>
    <w:div w:id="1963807288">
      <w:bodyDiv w:val="1"/>
      <w:marLeft w:val="0"/>
      <w:marRight w:val="0"/>
      <w:marTop w:val="0"/>
      <w:marBottom w:val="0"/>
      <w:divBdr>
        <w:top w:val="none" w:sz="0" w:space="0" w:color="auto"/>
        <w:left w:val="none" w:sz="0" w:space="0" w:color="auto"/>
        <w:bottom w:val="none" w:sz="0" w:space="0" w:color="auto"/>
        <w:right w:val="none" w:sz="0" w:space="0" w:color="auto"/>
      </w:divBdr>
    </w:div>
    <w:div w:id="1970013721">
      <w:bodyDiv w:val="1"/>
      <w:marLeft w:val="0"/>
      <w:marRight w:val="0"/>
      <w:marTop w:val="0"/>
      <w:marBottom w:val="0"/>
      <w:divBdr>
        <w:top w:val="none" w:sz="0" w:space="0" w:color="auto"/>
        <w:left w:val="none" w:sz="0" w:space="0" w:color="auto"/>
        <w:bottom w:val="none" w:sz="0" w:space="0" w:color="auto"/>
        <w:right w:val="none" w:sz="0" w:space="0" w:color="auto"/>
      </w:divBdr>
    </w:div>
    <w:div w:id="1971013640">
      <w:bodyDiv w:val="1"/>
      <w:marLeft w:val="0"/>
      <w:marRight w:val="0"/>
      <w:marTop w:val="0"/>
      <w:marBottom w:val="0"/>
      <w:divBdr>
        <w:top w:val="none" w:sz="0" w:space="0" w:color="auto"/>
        <w:left w:val="none" w:sz="0" w:space="0" w:color="auto"/>
        <w:bottom w:val="none" w:sz="0" w:space="0" w:color="auto"/>
        <w:right w:val="none" w:sz="0" w:space="0" w:color="auto"/>
      </w:divBdr>
    </w:div>
    <w:div w:id="1976139602">
      <w:bodyDiv w:val="1"/>
      <w:marLeft w:val="0"/>
      <w:marRight w:val="0"/>
      <w:marTop w:val="0"/>
      <w:marBottom w:val="0"/>
      <w:divBdr>
        <w:top w:val="none" w:sz="0" w:space="0" w:color="auto"/>
        <w:left w:val="none" w:sz="0" w:space="0" w:color="auto"/>
        <w:bottom w:val="none" w:sz="0" w:space="0" w:color="auto"/>
        <w:right w:val="none" w:sz="0" w:space="0" w:color="auto"/>
      </w:divBdr>
    </w:div>
    <w:div w:id="1977484398">
      <w:bodyDiv w:val="1"/>
      <w:marLeft w:val="0"/>
      <w:marRight w:val="0"/>
      <w:marTop w:val="0"/>
      <w:marBottom w:val="0"/>
      <w:divBdr>
        <w:top w:val="none" w:sz="0" w:space="0" w:color="auto"/>
        <w:left w:val="none" w:sz="0" w:space="0" w:color="auto"/>
        <w:bottom w:val="none" w:sz="0" w:space="0" w:color="auto"/>
        <w:right w:val="none" w:sz="0" w:space="0" w:color="auto"/>
      </w:divBdr>
    </w:div>
    <w:div w:id="1981576227">
      <w:bodyDiv w:val="1"/>
      <w:marLeft w:val="0"/>
      <w:marRight w:val="0"/>
      <w:marTop w:val="0"/>
      <w:marBottom w:val="0"/>
      <w:divBdr>
        <w:top w:val="none" w:sz="0" w:space="0" w:color="auto"/>
        <w:left w:val="none" w:sz="0" w:space="0" w:color="auto"/>
        <w:bottom w:val="none" w:sz="0" w:space="0" w:color="auto"/>
        <w:right w:val="none" w:sz="0" w:space="0" w:color="auto"/>
      </w:divBdr>
    </w:div>
    <w:div w:id="1982466222">
      <w:bodyDiv w:val="1"/>
      <w:marLeft w:val="0"/>
      <w:marRight w:val="0"/>
      <w:marTop w:val="0"/>
      <w:marBottom w:val="0"/>
      <w:divBdr>
        <w:top w:val="none" w:sz="0" w:space="0" w:color="auto"/>
        <w:left w:val="none" w:sz="0" w:space="0" w:color="auto"/>
        <w:bottom w:val="none" w:sz="0" w:space="0" w:color="auto"/>
        <w:right w:val="none" w:sz="0" w:space="0" w:color="auto"/>
      </w:divBdr>
    </w:div>
    <w:div w:id="1982927391">
      <w:bodyDiv w:val="1"/>
      <w:marLeft w:val="0"/>
      <w:marRight w:val="0"/>
      <w:marTop w:val="0"/>
      <w:marBottom w:val="0"/>
      <w:divBdr>
        <w:top w:val="none" w:sz="0" w:space="0" w:color="auto"/>
        <w:left w:val="none" w:sz="0" w:space="0" w:color="auto"/>
        <w:bottom w:val="none" w:sz="0" w:space="0" w:color="auto"/>
        <w:right w:val="none" w:sz="0" w:space="0" w:color="auto"/>
      </w:divBdr>
    </w:div>
    <w:div w:id="1987053695">
      <w:bodyDiv w:val="1"/>
      <w:marLeft w:val="0"/>
      <w:marRight w:val="0"/>
      <w:marTop w:val="0"/>
      <w:marBottom w:val="0"/>
      <w:divBdr>
        <w:top w:val="none" w:sz="0" w:space="0" w:color="auto"/>
        <w:left w:val="none" w:sz="0" w:space="0" w:color="auto"/>
        <w:bottom w:val="none" w:sz="0" w:space="0" w:color="auto"/>
        <w:right w:val="none" w:sz="0" w:space="0" w:color="auto"/>
      </w:divBdr>
    </w:div>
    <w:div w:id="1992176630">
      <w:bodyDiv w:val="1"/>
      <w:marLeft w:val="0"/>
      <w:marRight w:val="0"/>
      <w:marTop w:val="0"/>
      <w:marBottom w:val="0"/>
      <w:divBdr>
        <w:top w:val="none" w:sz="0" w:space="0" w:color="auto"/>
        <w:left w:val="none" w:sz="0" w:space="0" w:color="auto"/>
        <w:bottom w:val="none" w:sz="0" w:space="0" w:color="auto"/>
        <w:right w:val="none" w:sz="0" w:space="0" w:color="auto"/>
      </w:divBdr>
    </w:div>
    <w:div w:id="2004235880">
      <w:bodyDiv w:val="1"/>
      <w:marLeft w:val="0"/>
      <w:marRight w:val="0"/>
      <w:marTop w:val="0"/>
      <w:marBottom w:val="0"/>
      <w:divBdr>
        <w:top w:val="none" w:sz="0" w:space="0" w:color="auto"/>
        <w:left w:val="none" w:sz="0" w:space="0" w:color="auto"/>
        <w:bottom w:val="none" w:sz="0" w:space="0" w:color="auto"/>
        <w:right w:val="none" w:sz="0" w:space="0" w:color="auto"/>
      </w:divBdr>
    </w:div>
    <w:div w:id="2016954057">
      <w:bodyDiv w:val="1"/>
      <w:marLeft w:val="0"/>
      <w:marRight w:val="0"/>
      <w:marTop w:val="0"/>
      <w:marBottom w:val="0"/>
      <w:divBdr>
        <w:top w:val="none" w:sz="0" w:space="0" w:color="auto"/>
        <w:left w:val="none" w:sz="0" w:space="0" w:color="auto"/>
        <w:bottom w:val="none" w:sz="0" w:space="0" w:color="auto"/>
        <w:right w:val="none" w:sz="0" w:space="0" w:color="auto"/>
      </w:divBdr>
    </w:div>
    <w:div w:id="2017153376">
      <w:bodyDiv w:val="1"/>
      <w:marLeft w:val="0"/>
      <w:marRight w:val="0"/>
      <w:marTop w:val="0"/>
      <w:marBottom w:val="0"/>
      <w:divBdr>
        <w:top w:val="none" w:sz="0" w:space="0" w:color="auto"/>
        <w:left w:val="none" w:sz="0" w:space="0" w:color="auto"/>
        <w:bottom w:val="none" w:sz="0" w:space="0" w:color="auto"/>
        <w:right w:val="none" w:sz="0" w:space="0" w:color="auto"/>
      </w:divBdr>
    </w:div>
    <w:div w:id="2026470907">
      <w:bodyDiv w:val="1"/>
      <w:marLeft w:val="0"/>
      <w:marRight w:val="0"/>
      <w:marTop w:val="0"/>
      <w:marBottom w:val="0"/>
      <w:divBdr>
        <w:top w:val="none" w:sz="0" w:space="0" w:color="auto"/>
        <w:left w:val="none" w:sz="0" w:space="0" w:color="auto"/>
        <w:bottom w:val="none" w:sz="0" w:space="0" w:color="auto"/>
        <w:right w:val="none" w:sz="0" w:space="0" w:color="auto"/>
      </w:divBdr>
    </w:div>
    <w:div w:id="2029409344">
      <w:bodyDiv w:val="1"/>
      <w:marLeft w:val="0"/>
      <w:marRight w:val="0"/>
      <w:marTop w:val="0"/>
      <w:marBottom w:val="0"/>
      <w:divBdr>
        <w:top w:val="none" w:sz="0" w:space="0" w:color="auto"/>
        <w:left w:val="none" w:sz="0" w:space="0" w:color="auto"/>
        <w:bottom w:val="none" w:sz="0" w:space="0" w:color="auto"/>
        <w:right w:val="none" w:sz="0" w:space="0" w:color="auto"/>
      </w:divBdr>
    </w:div>
    <w:div w:id="2032610576">
      <w:bodyDiv w:val="1"/>
      <w:marLeft w:val="0"/>
      <w:marRight w:val="0"/>
      <w:marTop w:val="0"/>
      <w:marBottom w:val="0"/>
      <w:divBdr>
        <w:top w:val="none" w:sz="0" w:space="0" w:color="auto"/>
        <w:left w:val="none" w:sz="0" w:space="0" w:color="auto"/>
        <w:bottom w:val="none" w:sz="0" w:space="0" w:color="auto"/>
        <w:right w:val="none" w:sz="0" w:space="0" w:color="auto"/>
      </w:divBdr>
    </w:div>
    <w:div w:id="2036300339">
      <w:bodyDiv w:val="1"/>
      <w:marLeft w:val="0"/>
      <w:marRight w:val="0"/>
      <w:marTop w:val="0"/>
      <w:marBottom w:val="0"/>
      <w:divBdr>
        <w:top w:val="none" w:sz="0" w:space="0" w:color="auto"/>
        <w:left w:val="none" w:sz="0" w:space="0" w:color="auto"/>
        <w:bottom w:val="none" w:sz="0" w:space="0" w:color="auto"/>
        <w:right w:val="none" w:sz="0" w:space="0" w:color="auto"/>
      </w:divBdr>
    </w:div>
    <w:div w:id="2047438255">
      <w:bodyDiv w:val="1"/>
      <w:marLeft w:val="0"/>
      <w:marRight w:val="0"/>
      <w:marTop w:val="0"/>
      <w:marBottom w:val="0"/>
      <w:divBdr>
        <w:top w:val="none" w:sz="0" w:space="0" w:color="auto"/>
        <w:left w:val="none" w:sz="0" w:space="0" w:color="auto"/>
        <w:bottom w:val="none" w:sz="0" w:space="0" w:color="auto"/>
        <w:right w:val="none" w:sz="0" w:space="0" w:color="auto"/>
      </w:divBdr>
    </w:div>
    <w:div w:id="2083674413">
      <w:bodyDiv w:val="1"/>
      <w:marLeft w:val="0"/>
      <w:marRight w:val="0"/>
      <w:marTop w:val="0"/>
      <w:marBottom w:val="0"/>
      <w:divBdr>
        <w:top w:val="none" w:sz="0" w:space="0" w:color="auto"/>
        <w:left w:val="none" w:sz="0" w:space="0" w:color="auto"/>
        <w:bottom w:val="none" w:sz="0" w:space="0" w:color="auto"/>
        <w:right w:val="none" w:sz="0" w:space="0" w:color="auto"/>
      </w:divBdr>
    </w:div>
    <w:div w:id="2085688587">
      <w:bodyDiv w:val="1"/>
      <w:marLeft w:val="0"/>
      <w:marRight w:val="0"/>
      <w:marTop w:val="0"/>
      <w:marBottom w:val="0"/>
      <w:divBdr>
        <w:top w:val="none" w:sz="0" w:space="0" w:color="auto"/>
        <w:left w:val="none" w:sz="0" w:space="0" w:color="auto"/>
        <w:bottom w:val="none" w:sz="0" w:space="0" w:color="auto"/>
        <w:right w:val="none" w:sz="0" w:space="0" w:color="auto"/>
      </w:divBdr>
    </w:div>
    <w:div w:id="2106529922">
      <w:bodyDiv w:val="1"/>
      <w:marLeft w:val="0"/>
      <w:marRight w:val="0"/>
      <w:marTop w:val="0"/>
      <w:marBottom w:val="0"/>
      <w:divBdr>
        <w:top w:val="none" w:sz="0" w:space="0" w:color="auto"/>
        <w:left w:val="none" w:sz="0" w:space="0" w:color="auto"/>
        <w:bottom w:val="none" w:sz="0" w:space="0" w:color="auto"/>
        <w:right w:val="none" w:sz="0" w:space="0" w:color="auto"/>
      </w:divBdr>
    </w:div>
    <w:div w:id="2110083841">
      <w:bodyDiv w:val="1"/>
      <w:marLeft w:val="0"/>
      <w:marRight w:val="0"/>
      <w:marTop w:val="0"/>
      <w:marBottom w:val="0"/>
      <w:divBdr>
        <w:top w:val="none" w:sz="0" w:space="0" w:color="auto"/>
        <w:left w:val="none" w:sz="0" w:space="0" w:color="auto"/>
        <w:bottom w:val="none" w:sz="0" w:space="0" w:color="auto"/>
        <w:right w:val="none" w:sz="0" w:space="0" w:color="auto"/>
      </w:divBdr>
    </w:div>
    <w:div w:id="2115005630">
      <w:bodyDiv w:val="1"/>
      <w:marLeft w:val="0"/>
      <w:marRight w:val="0"/>
      <w:marTop w:val="0"/>
      <w:marBottom w:val="0"/>
      <w:divBdr>
        <w:top w:val="none" w:sz="0" w:space="0" w:color="auto"/>
        <w:left w:val="none" w:sz="0" w:space="0" w:color="auto"/>
        <w:bottom w:val="none" w:sz="0" w:space="0" w:color="auto"/>
        <w:right w:val="none" w:sz="0" w:space="0" w:color="auto"/>
      </w:divBdr>
    </w:div>
    <w:div w:id="2125226695">
      <w:bodyDiv w:val="1"/>
      <w:marLeft w:val="0"/>
      <w:marRight w:val="0"/>
      <w:marTop w:val="0"/>
      <w:marBottom w:val="0"/>
      <w:divBdr>
        <w:top w:val="none" w:sz="0" w:space="0" w:color="auto"/>
        <w:left w:val="none" w:sz="0" w:space="0" w:color="auto"/>
        <w:bottom w:val="none" w:sz="0" w:space="0" w:color="auto"/>
        <w:right w:val="none" w:sz="0" w:space="0" w:color="auto"/>
      </w:divBdr>
    </w:div>
    <w:div w:id="2127383175">
      <w:bodyDiv w:val="1"/>
      <w:marLeft w:val="0"/>
      <w:marRight w:val="0"/>
      <w:marTop w:val="0"/>
      <w:marBottom w:val="0"/>
      <w:divBdr>
        <w:top w:val="none" w:sz="0" w:space="0" w:color="auto"/>
        <w:left w:val="none" w:sz="0" w:space="0" w:color="auto"/>
        <w:bottom w:val="none" w:sz="0" w:space="0" w:color="auto"/>
        <w:right w:val="none" w:sz="0" w:space="0" w:color="auto"/>
      </w:divBdr>
    </w:div>
    <w:div w:id="2140418347">
      <w:bodyDiv w:val="1"/>
      <w:marLeft w:val="0"/>
      <w:marRight w:val="0"/>
      <w:marTop w:val="0"/>
      <w:marBottom w:val="0"/>
      <w:divBdr>
        <w:top w:val="none" w:sz="0" w:space="0" w:color="auto"/>
        <w:left w:val="none" w:sz="0" w:space="0" w:color="auto"/>
        <w:bottom w:val="none" w:sz="0" w:space="0" w:color="auto"/>
        <w:right w:val="none" w:sz="0" w:space="0" w:color="auto"/>
      </w:divBdr>
    </w:div>
    <w:div w:id="2143300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14.xml"/><Relationship Id="rId21" Type="http://schemas.openxmlformats.org/officeDocument/2006/relationships/diagramData" Target="diagrams/data3.xml"/><Relationship Id="rId42" Type="http://schemas.openxmlformats.org/officeDocument/2006/relationships/chart" Target="charts/chart12.xml"/><Relationship Id="rId63" Type="http://schemas.openxmlformats.org/officeDocument/2006/relationships/chart" Target="charts/chart33.xml"/><Relationship Id="rId84" Type="http://schemas.openxmlformats.org/officeDocument/2006/relationships/chart" Target="charts/chart53.xml"/><Relationship Id="rId138" Type="http://schemas.openxmlformats.org/officeDocument/2006/relationships/chart" Target="charts/chart75.xml"/><Relationship Id="rId159" Type="http://schemas.openxmlformats.org/officeDocument/2006/relationships/chart" Target="charts/chart96.xml"/><Relationship Id="rId170" Type="http://schemas.openxmlformats.org/officeDocument/2006/relationships/chart" Target="charts/chart107.xml"/><Relationship Id="rId191" Type="http://schemas.openxmlformats.org/officeDocument/2006/relationships/chart" Target="charts/chart128.xml"/><Relationship Id="rId205" Type="http://schemas.openxmlformats.org/officeDocument/2006/relationships/header" Target="header28.xml"/><Relationship Id="rId226" Type="http://schemas.openxmlformats.org/officeDocument/2006/relationships/image" Target="media/image24.jpeg"/><Relationship Id="rId247" Type="http://schemas.openxmlformats.org/officeDocument/2006/relationships/fontTable" Target="fontTable.xml"/><Relationship Id="rId107" Type="http://schemas.openxmlformats.org/officeDocument/2006/relationships/header" Target="header6.xml"/><Relationship Id="rId11" Type="http://schemas.openxmlformats.org/officeDocument/2006/relationships/diagramLayout" Target="diagrams/layout1.xml"/><Relationship Id="rId32" Type="http://schemas.openxmlformats.org/officeDocument/2006/relationships/chart" Target="charts/chart2.xml"/><Relationship Id="rId53" Type="http://schemas.openxmlformats.org/officeDocument/2006/relationships/chart" Target="charts/chart23.xml"/><Relationship Id="rId74" Type="http://schemas.openxmlformats.org/officeDocument/2006/relationships/hyperlink" Target="http://spsims.wto.org/es/EmergencyNotifications/View/151595?FromAllNotifications=True" TargetMode="External"/><Relationship Id="rId128" Type="http://schemas.openxmlformats.org/officeDocument/2006/relationships/chart" Target="charts/chart67.xml"/><Relationship Id="rId149" Type="http://schemas.openxmlformats.org/officeDocument/2006/relationships/chart" Target="charts/chart86.xml"/><Relationship Id="rId5" Type="http://schemas.openxmlformats.org/officeDocument/2006/relationships/webSettings" Target="webSettings.xml"/><Relationship Id="rId95" Type="http://schemas.openxmlformats.org/officeDocument/2006/relationships/chart" Target="charts/chart60.xml"/><Relationship Id="rId160" Type="http://schemas.openxmlformats.org/officeDocument/2006/relationships/chart" Target="charts/chart97.xml"/><Relationship Id="rId181" Type="http://schemas.openxmlformats.org/officeDocument/2006/relationships/chart" Target="charts/chart118.xml"/><Relationship Id="rId216" Type="http://schemas.openxmlformats.org/officeDocument/2006/relationships/image" Target="media/image14.png"/><Relationship Id="rId237" Type="http://schemas.openxmlformats.org/officeDocument/2006/relationships/image" Target="media/image35.jpeg"/><Relationship Id="rId22" Type="http://schemas.openxmlformats.org/officeDocument/2006/relationships/diagramLayout" Target="diagrams/layout3.xml"/><Relationship Id="rId43" Type="http://schemas.openxmlformats.org/officeDocument/2006/relationships/chart" Target="charts/chart13.xml"/><Relationship Id="rId64" Type="http://schemas.openxmlformats.org/officeDocument/2006/relationships/chart" Target="charts/chart34.xml"/><Relationship Id="rId118" Type="http://schemas.openxmlformats.org/officeDocument/2006/relationships/header" Target="header15.xml"/><Relationship Id="rId139" Type="http://schemas.openxmlformats.org/officeDocument/2006/relationships/chart" Target="charts/chart76.xml"/><Relationship Id="rId85" Type="http://schemas.openxmlformats.org/officeDocument/2006/relationships/chart" Target="charts/chart54.xml"/><Relationship Id="rId150" Type="http://schemas.openxmlformats.org/officeDocument/2006/relationships/chart" Target="charts/chart87.xml"/><Relationship Id="rId171" Type="http://schemas.openxmlformats.org/officeDocument/2006/relationships/chart" Target="charts/chart108.xml"/><Relationship Id="rId192" Type="http://schemas.openxmlformats.org/officeDocument/2006/relationships/chart" Target="charts/chart129.xml"/><Relationship Id="rId206" Type="http://schemas.openxmlformats.org/officeDocument/2006/relationships/image" Target="media/image4.jpeg"/><Relationship Id="rId227" Type="http://schemas.openxmlformats.org/officeDocument/2006/relationships/image" Target="media/image25.jpeg"/><Relationship Id="rId248" Type="http://schemas.openxmlformats.org/officeDocument/2006/relationships/theme" Target="theme/theme1.xml"/><Relationship Id="rId12" Type="http://schemas.openxmlformats.org/officeDocument/2006/relationships/diagramQuickStyle" Target="diagrams/quickStyle1.xml"/><Relationship Id="rId33" Type="http://schemas.openxmlformats.org/officeDocument/2006/relationships/chart" Target="charts/chart3.xml"/><Relationship Id="rId108" Type="http://schemas.openxmlformats.org/officeDocument/2006/relationships/footer" Target="footer2.xml"/><Relationship Id="rId129" Type="http://schemas.openxmlformats.org/officeDocument/2006/relationships/chart" Target="charts/chart68.xml"/><Relationship Id="rId54" Type="http://schemas.openxmlformats.org/officeDocument/2006/relationships/chart" Target="charts/chart24.xml"/><Relationship Id="rId75" Type="http://schemas.openxmlformats.org/officeDocument/2006/relationships/chart" Target="charts/chart44.xml"/><Relationship Id="rId96" Type="http://schemas.openxmlformats.org/officeDocument/2006/relationships/chart" Target="charts/chart61.xml"/><Relationship Id="rId140" Type="http://schemas.openxmlformats.org/officeDocument/2006/relationships/chart" Target="charts/chart77.xml"/><Relationship Id="rId161" Type="http://schemas.openxmlformats.org/officeDocument/2006/relationships/chart" Target="charts/chart98.xml"/><Relationship Id="rId182" Type="http://schemas.openxmlformats.org/officeDocument/2006/relationships/chart" Target="charts/chart119.xml"/><Relationship Id="rId217" Type="http://schemas.openxmlformats.org/officeDocument/2006/relationships/image" Target="media/image15.png"/><Relationship Id="rId6" Type="http://schemas.openxmlformats.org/officeDocument/2006/relationships/footnotes" Target="footnotes.xml"/><Relationship Id="rId238" Type="http://schemas.openxmlformats.org/officeDocument/2006/relationships/image" Target="media/image36.jpeg"/><Relationship Id="rId23" Type="http://schemas.openxmlformats.org/officeDocument/2006/relationships/diagramQuickStyle" Target="diagrams/quickStyle3.xml"/><Relationship Id="rId119" Type="http://schemas.openxmlformats.org/officeDocument/2006/relationships/header" Target="header16.xml"/><Relationship Id="rId44" Type="http://schemas.openxmlformats.org/officeDocument/2006/relationships/chart" Target="charts/chart14.xml"/><Relationship Id="rId65" Type="http://schemas.openxmlformats.org/officeDocument/2006/relationships/chart" Target="charts/chart35.xml"/><Relationship Id="rId86" Type="http://schemas.openxmlformats.org/officeDocument/2006/relationships/chart" Target="charts/chart55.xml"/><Relationship Id="rId130" Type="http://schemas.openxmlformats.org/officeDocument/2006/relationships/chart" Target="charts/chart69.xml"/><Relationship Id="rId151" Type="http://schemas.openxmlformats.org/officeDocument/2006/relationships/chart" Target="charts/chart88.xml"/><Relationship Id="rId172" Type="http://schemas.openxmlformats.org/officeDocument/2006/relationships/chart" Target="charts/chart109.xml"/><Relationship Id="rId193" Type="http://schemas.openxmlformats.org/officeDocument/2006/relationships/chart" Target="charts/chart130.xml"/><Relationship Id="rId207" Type="http://schemas.openxmlformats.org/officeDocument/2006/relationships/image" Target="media/image5.jpeg"/><Relationship Id="rId228" Type="http://schemas.openxmlformats.org/officeDocument/2006/relationships/image" Target="media/image26.jpeg"/><Relationship Id="rId13" Type="http://schemas.openxmlformats.org/officeDocument/2006/relationships/diagramColors" Target="diagrams/colors1.xml"/><Relationship Id="rId109" Type="http://schemas.openxmlformats.org/officeDocument/2006/relationships/header" Target="header7.xml"/><Relationship Id="rId34" Type="http://schemas.openxmlformats.org/officeDocument/2006/relationships/chart" Target="charts/chart4.xml"/><Relationship Id="rId55" Type="http://schemas.openxmlformats.org/officeDocument/2006/relationships/chart" Target="charts/chart25.xml"/><Relationship Id="rId76" Type="http://schemas.openxmlformats.org/officeDocument/2006/relationships/chart" Target="charts/chart45.xml"/><Relationship Id="rId97" Type="http://schemas.openxmlformats.org/officeDocument/2006/relationships/chart" Target="charts/chart62.xml"/><Relationship Id="rId120" Type="http://schemas.openxmlformats.org/officeDocument/2006/relationships/header" Target="header17.xml"/><Relationship Id="rId141" Type="http://schemas.openxmlformats.org/officeDocument/2006/relationships/chart" Target="charts/chart78.xml"/><Relationship Id="rId7" Type="http://schemas.openxmlformats.org/officeDocument/2006/relationships/endnotes" Target="endnotes.xml"/><Relationship Id="rId162" Type="http://schemas.openxmlformats.org/officeDocument/2006/relationships/chart" Target="charts/chart99.xml"/><Relationship Id="rId183" Type="http://schemas.openxmlformats.org/officeDocument/2006/relationships/chart" Target="charts/chart120.xml"/><Relationship Id="rId218" Type="http://schemas.openxmlformats.org/officeDocument/2006/relationships/image" Target="media/image16.png"/><Relationship Id="rId239" Type="http://schemas.openxmlformats.org/officeDocument/2006/relationships/image" Target="media/image37.jpeg"/><Relationship Id="rId24" Type="http://schemas.openxmlformats.org/officeDocument/2006/relationships/diagramColors" Target="diagrams/colors3.xml"/><Relationship Id="rId45" Type="http://schemas.openxmlformats.org/officeDocument/2006/relationships/chart" Target="charts/chart15.xml"/><Relationship Id="rId66" Type="http://schemas.openxmlformats.org/officeDocument/2006/relationships/chart" Target="charts/chart36.xml"/><Relationship Id="rId87" Type="http://schemas.openxmlformats.org/officeDocument/2006/relationships/chart" Target="charts/chart56.xml"/><Relationship Id="rId110" Type="http://schemas.openxmlformats.org/officeDocument/2006/relationships/header" Target="header8.xml"/><Relationship Id="rId131" Type="http://schemas.openxmlformats.org/officeDocument/2006/relationships/header" Target="header24.xml"/><Relationship Id="rId152" Type="http://schemas.openxmlformats.org/officeDocument/2006/relationships/chart" Target="charts/chart89.xml"/><Relationship Id="rId173" Type="http://schemas.openxmlformats.org/officeDocument/2006/relationships/chart" Target="charts/chart110.xml"/><Relationship Id="rId194" Type="http://schemas.openxmlformats.org/officeDocument/2006/relationships/chart" Target="charts/chart131.xml"/><Relationship Id="rId208" Type="http://schemas.openxmlformats.org/officeDocument/2006/relationships/image" Target="media/image6.png"/><Relationship Id="rId229" Type="http://schemas.openxmlformats.org/officeDocument/2006/relationships/image" Target="media/image27.jpeg"/><Relationship Id="rId240" Type="http://schemas.openxmlformats.org/officeDocument/2006/relationships/image" Target="media/image38.jpeg"/><Relationship Id="rId14" Type="http://schemas.microsoft.com/office/2007/relationships/diagramDrawing" Target="diagrams/drawing1.xml"/><Relationship Id="rId35" Type="http://schemas.openxmlformats.org/officeDocument/2006/relationships/chart" Target="charts/chart5.xml"/><Relationship Id="rId56" Type="http://schemas.openxmlformats.org/officeDocument/2006/relationships/chart" Target="charts/chart26.xml"/><Relationship Id="rId77" Type="http://schemas.openxmlformats.org/officeDocument/2006/relationships/chart" Target="charts/chart46.xml"/><Relationship Id="rId100" Type="http://schemas.openxmlformats.org/officeDocument/2006/relationships/chart" Target="charts/chart65.xml"/><Relationship Id="rId8" Type="http://schemas.openxmlformats.org/officeDocument/2006/relationships/image" Target="media/image1.png"/><Relationship Id="rId98" Type="http://schemas.openxmlformats.org/officeDocument/2006/relationships/chart" Target="charts/chart63.xml"/><Relationship Id="rId121" Type="http://schemas.openxmlformats.org/officeDocument/2006/relationships/header" Target="header18.xml"/><Relationship Id="rId142" Type="http://schemas.openxmlformats.org/officeDocument/2006/relationships/chart" Target="charts/chart79.xml"/><Relationship Id="rId163" Type="http://schemas.openxmlformats.org/officeDocument/2006/relationships/chart" Target="charts/chart100.xml"/><Relationship Id="rId184" Type="http://schemas.openxmlformats.org/officeDocument/2006/relationships/chart" Target="charts/chart121.xml"/><Relationship Id="rId219" Type="http://schemas.openxmlformats.org/officeDocument/2006/relationships/image" Target="media/image17.jpeg"/><Relationship Id="rId230" Type="http://schemas.openxmlformats.org/officeDocument/2006/relationships/image" Target="media/image28.jpeg"/><Relationship Id="rId25" Type="http://schemas.microsoft.com/office/2007/relationships/diagramDrawing" Target="diagrams/drawing3.xml"/><Relationship Id="rId46" Type="http://schemas.openxmlformats.org/officeDocument/2006/relationships/chart" Target="charts/chart16.xml"/><Relationship Id="rId67" Type="http://schemas.openxmlformats.org/officeDocument/2006/relationships/chart" Target="charts/chart37.xml"/><Relationship Id="rId88" Type="http://schemas.openxmlformats.org/officeDocument/2006/relationships/chart" Target="charts/chart57.xml"/><Relationship Id="rId111" Type="http://schemas.openxmlformats.org/officeDocument/2006/relationships/header" Target="header9.xml"/><Relationship Id="rId132" Type="http://schemas.openxmlformats.org/officeDocument/2006/relationships/chart" Target="charts/chart70.xml"/><Relationship Id="rId153" Type="http://schemas.openxmlformats.org/officeDocument/2006/relationships/chart" Target="charts/chart90.xml"/><Relationship Id="rId174" Type="http://schemas.openxmlformats.org/officeDocument/2006/relationships/chart" Target="charts/chart111.xml"/><Relationship Id="rId195" Type="http://schemas.openxmlformats.org/officeDocument/2006/relationships/chart" Target="charts/chart132.xml"/><Relationship Id="rId209" Type="http://schemas.openxmlformats.org/officeDocument/2006/relationships/image" Target="media/image7.jpeg"/><Relationship Id="rId220" Type="http://schemas.openxmlformats.org/officeDocument/2006/relationships/image" Target="media/image18.jpeg"/><Relationship Id="rId241" Type="http://schemas.openxmlformats.org/officeDocument/2006/relationships/image" Target="media/image39.jpeg"/><Relationship Id="rId15" Type="http://schemas.openxmlformats.org/officeDocument/2006/relationships/image" Target="media/image2.png"/><Relationship Id="rId36" Type="http://schemas.openxmlformats.org/officeDocument/2006/relationships/chart" Target="charts/chart6.xml"/><Relationship Id="rId57" Type="http://schemas.openxmlformats.org/officeDocument/2006/relationships/chart" Target="charts/chart27.xml"/><Relationship Id="rId10" Type="http://schemas.openxmlformats.org/officeDocument/2006/relationships/diagramData" Target="diagrams/data1.xml"/><Relationship Id="rId31" Type="http://schemas.openxmlformats.org/officeDocument/2006/relationships/chart" Target="charts/chart1.xml"/><Relationship Id="rId52" Type="http://schemas.openxmlformats.org/officeDocument/2006/relationships/chart" Target="charts/chart22.xml"/><Relationship Id="rId73" Type="http://schemas.openxmlformats.org/officeDocument/2006/relationships/chart" Target="charts/chart43.xml"/><Relationship Id="rId78" Type="http://schemas.openxmlformats.org/officeDocument/2006/relationships/chart" Target="charts/chart47.xml"/><Relationship Id="rId94" Type="http://schemas.openxmlformats.org/officeDocument/2006/relationships/hyperlink" Target="http://www.agricultura.gob.do/transparencia/index.php/declaracion-jurada-de-patrimonio" TargetMode="External"/><Relationship Id="rId99" Type="http://schemas.openxmlformats.org/officeDocument/2006/relationships/chart" Target="charts/chart64.xml"/><Relationship Id="rId101" Type="http://schemas.openxmlformats.org/officeDocument/2006/relationships/hyperlink" Target="http://www.agricultura.gob.do/transparencia" TargetMode="External"/><Relationship Id="rId122" Type="http://schemas.openxmlformats.org/officeDocument/2006/relationships/header" Target="header19.xml"/><Relationship Id="rId143" Type="http://schemas.openxmlformats.org/officeDocument/2006/relationships/chart" Target="charts/chart80.xml"/><Relationship Id="rId148" Type="http://schemas.openxmlformats.org/officeDocument/2006/relationships/chart" Target="charts/chart85.xml"/><Relationship Id="rId164" Type="http://schemas.openxmlformats.org/officeDocument/2006/relationships/chart" Target="charts/chart101.xml"/><Relationship Id="rId169" Type="http://schemas.openxmlformats.org/officeDocument/2006/relationships/chart" Target="charts/chart106.xml"/><Relationship Id="rId185" Type="http://schemas.openxmlformats.org/officeDocument/2006/relationships/chart" Target="charts/chart122.xm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chart" Target="charts/chart117.xml"/><Relationship Id="rId210" Type="http://schemas.openxmlformats.org/officeDocument/2006/relationships/image" Target="media/image8.jpeg"/><Relationship Id="rId215" Type="http://schemas.openxmlformats.org/officeDocument/2006/relationships/image" Target="media/image13.png"/><Relationship Id="rId236" Type="http://schemas.openxmlformats.org/officeDocument/2006/relationships/image" Target="media/image34.png"/><Relationship Id="rId26" Type="http://schemas.openxmlformats.org/officeDocument/2006/relationships/diagramData" Target="diagrams/data4.xml"/><Relationship Id="rId231" Type="http://schemas.openxmlformats.org/officeDocument/2006/relationships/image" Target="media/image29.jpeg"/><Relationship Id="rId47" Type="http://schemas.openxmlformats.org/officeDocument/2006/relationships/chart" Target="charts/chart17.xml"/><Relationship Id="rId68" Type="http://schemas.openxmlformats.org/officeDocument/2006/relationships/chart" Target="charts/chart38.xml"/><Relationship Id="rId89" Type="http://schemas.openxmlformats.org/officeDocument/2006/relationships/hyperlink" Target="http://www.datos.gob.do" TargetMode="External"/><Relationship Id="rId112" Type="http://schemas.openxmlformats.org/officeDocument/2006/relationships/footer" Target="footer3.xml"/><Relationship Id="rId133" Type="http://schemas.openxmlformats.org/officeDocument/2006/relationships/chart" Target="charts/chart71.xml"/><Relationship Id="rId154" Type="http://schemas.openxmlformats.org/officeDocument/2006/relationships/chart" Target="charts/chart91.xml"/><Relationship Id="rId175" Type="http://schemas.openxmlformats.org/officeDocument/2006/relationships/chart" Target="charts/chart112.xml"/><Relationship Id="rId196" Type="http://schemas.openxmlformats.org/officeDocument/2006/relationships/chart" Target="charts/chart133.xml"/><Relationship Id="rId200" Type="http://schemas.openxmlformats.org/officeDocument/2006/relationships/chart" Target="charts/chart137.xml"/><Relationship Id="rId16" Type="http://schemas.openxmlformats.org/officeDocument/2006/relationships/diagramData" Target="diagrams/data2.xml"/><Relationship Id="rId221" Type="http://schemas.openxmlformats.org/officeDocument/2006/relationships/image" Target="media/image19.jpeg"/><Relationship Id="rId242" Type="http://schemas.openxmlformats.org/officeDocument/2006/relationships/image" Target="media/image40.png"/><Relationship Id="rId37" Type="http://schemas.openxmlformats.org/officeDocument/2006/relationships/chart" Target="charts/chart7.xml"/><Relationship Id="rId58" Type="http://schemas.openxmlformats.org/officeDocument/2006/relationships/chart" Target="charts/chart28.xml"/><Relationship Id="rId79" Type="http://schemas.openxmlformats.org/officeDocument/2006/relationships/chart" Target="charts/chart48.xml"/><Relationship Id="rId102" Type="http://schemas.openxmlformats.org/officeDocument/2006/relationships/header" Target="header1.xml"/><Relationship Id="rId123" Type="http://schemas.openxmlformats.org/officeDocument/2006/relationships/header" Target="header20.xml"/><Relationship Id="rId144" Type="http://schemas.openxmlformats.org/officeDocument/2006/relationships/chart" Target="charts/chart81.xml"/><Relationship Id="rId90" Type="http://schemas.openxmlformats.org/officeDocument/2006/relationships/chart" Target="charts/chart58.xml"/><Relationship Id="rId165" Type="http://schemas.openxmlformats.org/officeDocument/2006/relationships/chart" Target="charts/chart102.xml"/><Relationship Id="rId186" Type="http://schemas.openxmlformats.org/officeDocument/2006/relationships/chart" Target="charts/chart123.xml"/><Relationship Id="rId211" Type="http://schemas.openxmlformats.org/officeDocument/2006/relationships/image" Target="media/image9.jpeg"/><Relationship Id="rId232" Type="http://schemas.openxmlformats.org/officeDocument/2006/relationships/image" Target="media/image30.jpeg"/><Relationship Id="rId27" Type="http://schemas.openxmlformats.org/officeDocument/2006/relationships/diagramLayout" Target="diagrams/layout4.xml"/><Relationship Id="rId48" Type="http://schemas.openxmlformats.org/officeDocument/2006/relationships/chart" Target="charts/chart18.xml"/><Relationship Id="rId69" Type="http://schemas.openxmlformats.org/officeDocument/2006/relationships/chart" Target="charts/chart39.xml"/><Relationship Id="rId113" Type="http://schemas.openxmlformats.org/officeDocument/2006/relationships/header" Target="header10.xml"/><Relationship Id="rId134" Type="http://schemas.openxmlformats.org/officeDocument/2006/relationships/chart" Target="charts/chart72.xml"/><Relationship Id="rId80" Type="http://schemas.openxmlformats.org/officeDocument/2006/relationships/chart" Target="charts/chart49.xml"/><Relationship Id="rId155" Type="http://schemas.openxmlformats.org/officeDocument/2006/relationships/chart" Target="charts/chart92.xml"/><Relationship Id="rId176" Type="http://schemas.openxmlformats.org/officeDocument/2006/relationships/chart" Target="charts/chart113.xml"/><Relationship Id="rId197" Type="http://schemas.openxmlformats.org/officeDocument/2006/relationships/chart" Target="charts/chart134.xml"/><Relationship Id="rId201" Type="http://schemas.openxmlformats.org/officeDocument/2006/relationships/header" Target="header26.xml"/><Relationship Id="rId222" Type="http://schemas.openxmlformats.org/officeDocument/2006/relationships/image" Target="media/image20.png"/><Relationship Id="rId243" Type="http://schemas.openxmlformats.org/officeDocument/2006/relationships/image" Target="media/image41.png"/><Relationship Id="rId17" Type="http://schemas.openxmlformats.org/officeDocument/2006/relationships/diagramLayout" Target="diagrams/layout2.xml"/><Relationship Id="rId38" Type="http://schemas.openxmlformats.org/officeDocument/2006/relationships/chart" Target="charts/chart8.xml"/><Relationship Id="rId59" Type="http://schemas.openxmlformats.org/officeDocument/2006/relationships/chart" Target="charts/chart29.xml"/><Relationship Id="rId103" Type="http://schemas.openxmlformats.org/officeDocument/2006/relationships/header" Target="header2.xml"/><Relationship Id="rId124" Type="http://schemas.openxmlformats.org/officeDocument/2006/relationships/header" Target="header21.xml"/><Relationship Id="rId70" Type="http://schemas.openxmlformats.org/officeDocument/2006/relationships/chart" Target="charts/chart40.xml"/><Relationship Id="rId91" Type="http://schemas.openxmlformats.org/officeDocument/2006/relationships/hyperlink" Target="http://200.88.114.162/Consultacorrespexterna/" TargetMode="External"/><Relationship Id="rId145" Type="http://schemas.openxmlformats.org/officeDocument/2006/relationships/chart" Target="charts/chart82.xml"/><Relationship Id="rId166" Type="http://schemas.openxmlformats.org/officeDocument/2006/relationships/chart" Target="charts/chart103.xml"/><Relationship Id="rId187" Type="http://schemas.openxmlformats.org/officeDocument/2006/relationships/chart" Target="charts/chart124.xml"/><Relationship Id="rId1" Type="http://schemas.openxmlformats.org/officeDocument/2006/relationships/customXml" Target="../customXml/item1.xml"/><Relationship Id="rId212" Type="http://schemas.openxmlformats.org/officeDocument/2006/relationships/image" Target="media/image10.jpeg"/><Relationship Id="rId233" Type="http://schemas.openxmlformats.org/officeDocument/2006/relationships/image" Target="media/image31.jpeg"/><Relationship Id="rId28" Type="http://schemas.openxmlformats.org/officeDocument/2006/relationships/diagramQuickStyle" Target="diagrams/quickStyle4.xml"/><Relationship Id="rId49" Type="http://schemas.openxmlformats.org/officeDocument/2006/relationships/chart" Target="charts/chart19.xml"/><Relationship Id="rId114" Type="http://schemas.openxmlformats.org/officeDocument/2006/relationships/header" Target="header11.xml"/><Relationship Id="rId60" Type="http://schemas.openxmlformats.org/officeDocument/2006/relationships/chart" Target="charts/chart30.xml"/><Relationship Id="rId81" Type="http://schemas.openxmlformats.org/officeDocument/2006/relationships/chart" Target="charts/chart50.xml"/><Relationship Id="rId135" Type="http://schemas.openxmlformats.org/officeDocument/2006/relationships/chart" Target="charts/chart73.xml"/><Relationship Id="rId156" Type="http://schemas.openxmlformats.org/officeDocument/2006/relationships/chart" Target="charts/chart93.xml"/><Relationship Id="rId177" Type="http://schemas.openxmlformats.org/officeDocument/2006/relationships/chart" Target="charts/chart114.xml"/><Relationship Id="rId198" Type="http://schemas.openxmlformats.org/officeDocument/2006/relationships/chart" Target="charts/chart135.xml"/><Relationship Id="rId202" Type="http://schemas.openxmlformats.org/officeDocument/2006/relationships/image" Target="media/image3.emf"/><Relationship Id="rId223" Type="http://schemas.openxmlformats.org/officeDocument/2006/relationships/image" Target="media/image21.png"/><Relationship Id="rId244" Type="http://schemas.openxmlformats.org/officeDocument/2006/relationships/image" Target="media/image42.png"/><Relationship Id="rId18" Type="http://schemas.openxmlformats.org/officeDocument/2006/relationships/diagramQuickStyle" Target="diagrams/quickStyle2.xml"/><Relationship Id="rId39" Type="http://schemas.openxmlformats.org/officeDocument/2006/relationships/chart" Target="charts/chart9.xml"/><Relationship Id="rId50" Type="http://schemas.openxmlformats.org/officeDocument/2006/relationships/chart" Target="charts/chart20.xml"/><Relationship Id="rId104" Type="http://schemas.openxmlformats.org/officeDocument/2006/relationships/header" Target="header3.xml"/><Relationship Id="rId125" Type="http://schemas.openxmlformats.org/officeDocument/2006/relationships/header" Target="header22.xml"/><Relationship Id="rId146" Type="http://schemas.openxmlformats.org/officeDocument/2006/relationships/chart" Target="charts/chart83.xml"/><Relationship Id="rId167" Type="http://schemas.openxmlformats.org/officeDocument/2006/relationships/chart" Target="charts/chart104.xml"/><Relationship Id="rId188" Type="http://schemas.openxmlformats.org/officeDocument/2006/relationships/chart" Target="charts/chart125.xml"/><Relationship Id="rId71" Type="http://schemas.openxmlformats.org/officeDocument/2006/relationships/chart" Target="charts/chart41.xml"/><Relationship Id="rId92" Type="http://schemas.openxmlformats.org/officeDocument/2006/relationships/chart" Target="charts/chart59.xml"/><Relationship Id="rId213" Type="http://schemas.openxmlformats.org/officeDocument/2006/relationships/image" Target="media/image11.jpg"/><Relationship Id="rId234" Type="http://schemas.openxmlformats.org/officeDocument/2006/relationships/image" Target="media/image32.jpeg"/><Relationship Id="rId2" Type="http://schemas.openxmlformats.org/officeDocument/2006/relationships/numbering" Target="numbering.xml"/><Relationship Id="rId29" Type="http://schemas.openxmlformats.org/officeDocument/2006/relationships/diagramColors" Target="diagrams/colors4.xml"/><Relationship Id="rId40" Type="http://schemas.openxmlformats.org/officeDocument/2006/relationships/chart" Target="charts/chart10.xml"/><Relationship Id="rId115" Type="http://schemas.openxmlformats.org/officeDocument/2006/relationships/header" Target="header12.xml"/><Relationship Id="rId136" Type="http://schemas.openxmlformats.org/officeDocument/2006/relationships/header" Target="header25.xml"/><Relationship Id="rId157" Type="http://schemas.openxmlformats.org/officeDocument/2006/relationships/chart" Target="charts/chart94.xml"/><Relationship Id="rId178" Type="http://schemas.openxmlformats.org/officeDocument/2006/relationships/chart" Target="charts/chart115.xml"/><Relationship Id="rId61" Type="http://schemas.openxmlformats.org/officeDocument/2006/relationships/chart" Target="charts/chart31.xml"/><Relationship Id="rId82" Type="http://schemas.openxmlformats.org/officeDocument/2006/relationships/chart" Target="charts/chart51.xml"/><Relationship Id="rId199" Type="http://schemas.openxmlformats.org/officeDocument/2006/relationships/chart" Target="charts/chart136.xml"/><Relationship Id="rId203" Type="http://schemas.openxmlformats.org/officeDocument/2006/relationships/header" Target="header27.xml"/><Relationship Id="rId19" Type="http://schemas.openxmlformats.org/officeDocument/2006/relationships/diagramColors" Target="diagrams/colors2.xml"/><Relationship Id="rId224" Type="http://schemas.openxmlformats.org/officeDocument/2006/relationships/image" Target="media/image22.jpeg"/><Relationship Id="rId245" Type="http://schemas.openxmlformats.org/officeDocument/2006/relationships/image" Target="media/image43.png"/><Relationship Id="rId30" Type="http://schemas.microsoft.com/office/2007/relationships/diagramDrawing" Target="diagrams/drawing4.xml"/><Relationship Id="rId105" Type="http://schemas.openxmlformats.org/officeDocument/2006/relationships/header" Target="header4.xml"/><Relationship Id="rId126" Type="http://schemas.openxmlformats.org/officeDocument/2006/relationships/header" Target="header23.xml"/><Relationship Id="rId147" Type="http://schemas.openxmlformats.org/officeDocument/2006/relationships/chart" Target="charts/chart84.xml"/><Relationship Id="rId168" Type="http://schemas.openxmlformats.org/officeDocument/2006/relationships/chart" Target="charts/chart105.xml"/><Relationship Id="rId51" Type="http://schemas.openxmlformats.org/officeDocument/2006/relationships/chart" Target="charts/chart21.xml"/><Relationship Id="rId72" Type="http://schemas.openxmlformats.org/officeDocument/2006/relationships/chart" Target="charts/chart42.xml"/><Relationship Id="rId93" Type="http://schemas.openxmlformats.org/officeDocument/2006/relationships/hyperlink" Target="http://www.datos.gob.do" TargetMode="External"/><Relationship Id="rId189" Type="http://schemas.openxmlformats.org/officeDocument/2006/relationships/chart" Target="charts/chart126.xml"/><Relationship Id="rId3" Type="http://schemas.openxmlformats.org/officeDocument/2006/relationships/styles" Target="styles.xml"/><Relationship Id="rId214" Type="http://schemas.openxmlformats.org/officeDocument/2006/relationships/image" Target="media/image12.emf"/><Relationship Id="rId235" Type="http://schemas.openxmlformats.org/officeDocument/2006/relationships/image" Target="media/image33.jpeg"/><Relationship Id="rId116" Type="http://schemas.openxmlformats.org/officeDocument/2006/relationships/header" Target="header13.xml"/><Relationship Id="rId137" Type="http://schemas.openxmlformats.org/officeDocument/2006/relationships/chart" Target="charts/chart74.xml"/><Relationship Id="rId158" Type="http://schemas.openxmlformats.org/officeDocument/2006/relationships/chart" Target="charts/chart95.xml"/><Relationship Id="rId20" Type="http://schemas.microsoft.com/office/2007/relationships/diagramDrawing" Target="diagrams/drawing2.xml"/><Relationship Id="rId41" Type="http://schemas.openxmlformats.org/officeDocument/2006/relationships/chart" Target="charts/chart11.xml"/><Relationship Id="rId62" Type="http://schemas.openxmlformats.org/officeDocument/2006/relationships/chart" Target="charts/chart32.xml"/><Relationship Id="rId83" Type="http://schemas.openxmlformats.org/officeDocument/2006/relationships/chart" Target="charts/chart52.xml"/><Relationship Id="rId179" Type="http://schemas.openxmlformats.org/officeDocument/2006/relationships/chart" Target="charts/chart116.xml"/><Relationship Id="rId190" Type="http://schemas.openxmlformats.org/officeDocument/2006/relationships/chart" Target="charts/chart127.xml"/><Relationship Id="rId204" Type="http://schemas.openxmlformats.org/officeDocument/2006/relationships/chart" Target="charts/chart138.xml"/><Relationship Id="rId225" Type="http://schemas.openxmlformats.org/officeDocument/2006/relationships/image" Target="media/image23.jpeg"/><Relationship Id="rId246" Type="http://schemas.openxmlformats.org/officeDocument/2006/relationships/header" Target="header29.xml"/><Relationship Id="rId106" Type="http://schemas.openxmlformats.org/officeDocument/2006/relationships/header" Target="header5.xml"/><Relationship Id="rId127" Type="http://schemas.openxmlformats.org/officeDocument/2006/relationships/chart" Target="charts/chart66.xml"/></Relationships>
</file>

<file path=word/_rels/footnotes.xml.rels><?xml version="1.0" encoding="UTF-8" standalone="yes"?>
<Relationships xmlns="http://schemas.openxmlformats.org/package/2006/relationships"><Relationship Id="rId3" Type="http://schemas.openxmlformats.org/officeDocument/2006/relationships/hyperlink" Target="http://www.sigob.gob.do/Metas2016/seguridad/login.aspx" TargetMode="External"/><Relationship Id="rId2" Type="http://schemas.openxmlformats.org/officeDocument/2006/relationships/hyperlink" Target="http://www.sigob.gob.do/Metas2016/seguridad/login.aspx" TargetMode="External"/><Relationship Id="rId1" Type="http://schemas.openxmlformats.org/officeDocument/2006/relationships/hyperlink" Target="http://www.sigob.gob.do/Metas2016/seguridad/login.aspx" TargetMode="External"/><Relationship Id="rId6" Type="http://schemas.openxmlformats.org/officeDocument/2006/relationships/hyperlink" Target="http://www.sigob.gob.do/Metas2016/componentes/" TargetMode="External"/><Relationship Id="rId5" Type="http://schemas.openxmlformats.org/officeDocument/2006/relationships/hyperlink" Target="http://www.sigob.gob.do/app/smmgp" TargetMode="External"/><Relationship Id="rId4" Type="http://schemas.openxmlformats.org/officeDocument/2006/relationships/hyperlink" Target="http://www.sigob.gob.do/Metas2016/seguridad/login.asp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ownloads\Datos%2013%20dic.%20201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uario\Downloads\Datos%2013%20dic.%202019.xlsx" TargetMode="External"/><Relationship Id="rId2" Type="http://schemas.microsoft.com/office/2011/relationships/chartColorStyle" Target="colors10.xml"/><Relationship Id="rId1" Type="http://schemas.microsoft.com/office/2011/relationships/chartStyle" Target="style10.xml"/></Relationships>
</file>

<file path=word/charts/_rels/chart100.xml.rels><?xml version="1.0" encoding="UTF-8" standalone="yes"?>
<Relationships xmlns="http://schemas.openxmlformats.org/package/2006/relationships"><Relationship Id="rId1" Type="http://schemas.openxmlformats.org/officeDocument/2006/relationships/oleObject" Target="file:///C:\Users\fernando%20duval\AppData\Roaming\Microsoft\Excel\JESUS%20Lluvias%20y%20embalses%20en%202019%20Preliminar%20%20%20al%204%20de%20diciembre%20(version%201).xlsb" TargetMode="External"/></Relationships>
</file>

<file path=word/charts/_rels/chart101.xml.rels><?xml version="1.0" encoding="UTF-8" standalone="yes"?>
<Relationships xmlns="http://schemas.openxmlformats.org/package/2006/relationships"><Relationship Id="rId3" Type="http://schemas.openxmlformats.org/officeDocument/2006/relationships/oleObject" Target="file:///C:\Users\fernando%20duval\Downloads\JESUS%20DEFINITIVO%20Lluvias%20y%20embalses%20en%202019%20%20%20ManEGonTe.xlsx" TargetMode="External"/><Relationship Id="rId2" Type="http://schemas.microsoft.com/office/2011/relationships/chartColorStyle" Target="colors53.xml"/><Relationship Id="rId1" Type="http://schemas.microsoft.com/office/2011/relationships/chartStyle" Target="style53.xml"/></Relationships>
</file>

<file path=word/charts/_rels/chart102.xml.rels><?xml version="1.0" encoding="UTF-8" standalone="yes"?>
<Relationships xmlns="http://schemas.openxmlformats.org/package/2006/relationships"><Relationship Id="rId1" Type="http://schemas.openxmlformats.org/officeDocument/2006/relationships/oleObject" Target="file:///C:\Users\fernando%20duval\AppData\Roaming\Microsoft\Excel\JESUS%20Lluvias%20y%20embalses%20en%202019%20Preliminar%20%20%20al%204%20de%20diciembre%20(version%201).xlsb" TargetMode="External"/></Relationships>
</file>

<file path=word/charts/_rels/chart103.xml.rels><?xml version="1.0" encoding="UTF-8" standalone="yes"?>
<Relationships xmlns="http://schemas.openxmlformats.org/package/2006/relationships"><Relationship Id="rId3" Type="http://schemas.openxmlformats.org/officeDocument/2006/relationships/oleObject" Target="file:///C:\Users\fernando%20duval\AppData\Roaming\Microsoft\Excel\JESUS%20Lluvias%20y%20embalses%20en%202019%20Preliminar%20%20%20al%204%20de%20diciembre%20(version%201).xlsb" TargetMode="External"/><Relationship Id="rId2" Type="http://schemas.microsoft.com/office/2011/relationships/chartColorStyle" Target="colors54.xml"/><Relationship Id="rId1" Type="http://schemas.microsoft.com/office/2011/relationships/chartStyle" Target="style54.xml"/></Relationships>
</file>

<file path=word/charts/_rels/chart104.xml.rels><?xml version="1.0" encoding="UTF-8" standalone="yes"?>
<Relationships xmlns="http://schemas.openxmlformats.org/package/2006/relationships"><Relationship Id="rId1" Type="http://schemas.openxmlformats.org/officeDocument/2006/relationships/oleObject" Target="file:///C:\Users\fernando%20duval\AppData\Roaming\Microsoft\Excel\JESUS%20Lluvias%20y%20embalses%20en%202019%20Preliminar%20%20%20al%204%20de%20diciembre%20(version%201).xlsb" TargetMode="External"/></Relationships>
</file>

<file path=word/charts/_rels/chart105.xml.rels><?xml version="1.0" encoding="UTF-8" standalone="yes"?>
<Relationships xmlns="http://schemas.openxmlformats.org/package/2006/relationships"><Relationship Id="rId3" Type="http://schemas.openxmlformats.org/officeDocument/2006/relationships/oleObject" Target="file:///C:\Users\fernando%20duval\AppData\Roaming\Microsoft\Excel\JESUS%20Lluvias%20y%20embalses%20en%202019%20Preliminar%20%20%20al%204%20de%20diciembre%20(version%201).xlsb" TargetMode="External"/><Relationship Id="rId2" Type="http://schemas.microsoft.com/office/2011/relationships/chartColorStyle" Target="colors55.xml"/><Relationship Id="rId1" Type="http://schemas.microsoft.com/office/2011/relationships/chartStyle" Target="style55.xml"/></Relationships>
</file>

<file path=word/charts/_rels/chart106.xml.rels><?xml version="1.0" encoding="UTF-8" standalone="yes"?>
<Relationships xmlns="http://schemas.openxmlformats.org/package/2006/relationships"><Relationship Id="rId1" Type="http://schemas.openxmlformats.org/officeDocument/2006/relationships/oleObject" Target="file:///C:\Users\fernando%20duval\AppData\Roaming\Microsoft\Excel\JESUS%20Lluvias%20y%20embalses%20en%202019%20Preliminar%20%20%20al%204%20de%20diciembre%20(version%201).xlsb" TargetMode="External"/></Relationships>
</file>

<file path=word/charts/_rels/chart107.xml.rels><?xml version="1.0" encoding="UTF-8" standalone="yes"?>
<Relationships xmlns="http://schemas.openxmlformats.org/package/2006/relationships"><Relationship Id="rId3" Type="http://schemas.openxmlformats.org/officeDocument/2006/relationships/oleObject" Target="file:///C:\Users\fernando%20duval\AppData\Roaming\Microsoft\Excel\JESUS%20Lluvias%20y%20embalses%20en%202019%20Preliminar%20%20%20al%204%20de%20diciembre%20(version%201).xlsb" TargetMode="External"/><Relationship Id="rId2" Type="http://schemas.microsoft.com/office/2011/relationships/chartColorStyle" Target="colors56.xml"/><Relationship Id="rId1" Type="http://schemas.microsoft.com/office/2011/relationships/chartStyle" Target="style56.xml"/></Relationships>
</file>

<file path=word/charts/_rels/chart108.xml.rels><?xml version="1.0" encoding="UTF-8" standalone="yes"?>
<Relationships xmlns="http://schemas.openxmlformats.org/package/2006/relationships"><Relationship Id="rId1" Type="http://schemas.openxmlformats.org/officeDocument/2006/relationships/oleObject" Target="file:///C:\Users\Jes&#250;s%20Abraham\Downloads\Precipitaciones%202018%20para%20MEMORIA%20GESTI&#211;N%20(1).xlsx" TargetMode="External"/></Relationships>
</file>

<file path=word/charts/_rels/chart109.xml.rels><?xml version="1.0" encoding="UTF-8" standalone="yes"?>
<Relationships xmlns="http://schemas.openxmlformats.org/package/2006/relationships"><Relationship Id="rId3" Type="http://schemas.openxmlformats.org/officeDocument/2006/relationships/oleObject" Target="file:///C:\Users\fernando%20duval\Downloads\JESUS%20DEFINITIVO%20Lluvias%20y%20embalses%20en%202019%20%20%20ManEGonTe.xlsx" TargetMode="External"/><Relationship Id="rId2" Type="http://schemas.microsoft.com/office/2011/relationships/chartColorStyle" Target="colors57.xml"/><Relationship Id="rId1" Type="http://schemas.microsoft.com/office/2011/relationships/chartStyle" Target="style57.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uario\Desktop\MEMORIA%202019\Datos.xlsx" TargetMode="External"/><Relationship Id="rId2" Type="http://schemas.microsoft.com/office/2011/relationships/chartColorStyle" Target="colors11.xml"/><Relationship Id="rId1" Type="http://schemas.microsoft.com/office/2011/relationships/chartStyle" Target="style11.xml"/></Relationships>
</file>

<file path=word/charts/_rels/chart110.xml.rels><?xml version="1.0" encoding="UTF-8" standalone="yes"?>
<Relationships xmlns="http://schemas.openxmlformats.org/package/2006/relationships"><Relationship Id="rId1" Type="http://schemas.openxmlformats.org/officeDocument/2006/relationships/oleObject" Target="file:///C:\Users\fernando%20duval\Downloads\JESUS%20DEFINITIVO%20Lluvias%20y%20embalses%20en%202019%20%20%20ManEGonTe.xlsx" TargetMode="External"/></Relationships>
</file>

<file path=word/charts/_rels/chart111.xml.rels><?xml version="1.0" encoding="UTF-8" standalone="yes"?>
<Relationships xmlns="http://schemas.openxmlformats.org/package/2006/relationships"><Relationship Id="rId3" Type="http://schemas.openxmlformats.org/officeDocument/2006/relationships/oleObject" Target="file:///C:\Users\fernando%20duval\Downloads\JESUS%20DEFINITIVO%20Lluvias%20y%20embalses%20en%202019%20%20%20ManEGonTe.xlsx" TargetMode="External"/><Relationship Id="rId2" Type="http://schemas.microsoft.com/office/2011/relationships/chartColorStyle" Target="colors58.xml"/><Relationship Id="rId1" Type="http://schemas.microsoft.com/office/2011/relationships/chartStyle" Target="style58.xml"/></Relationships>
</file>

<file path=word/charts/_rels/chart112.xml.rels><?xml version="1.0" encoding="UTF-8" standalone="yes"?>
<Relationships xmlns="http://schemas.openxmlformats.org/package/2006/relationships"><Relationship Id="rId1" Type="http://schemas.openxmlformats.org/officeDocument/2006/relationships/oleObject" Target="file:///C:\Users\fernando%20duval\Downloads\JESUS%20DEFINITIVO%20Lluvias%20y%20embalses%20en%202019%20%20%20ManEGonTe.xlsx" TargetMode="External"/></Relationships>
</file>

<file path=word/charts/_rels/chart113.xml.rels><?xml version="1.0" encoding="UTF-8" standalone="yes"?>
<Relationships xmlns="http://schemas.openxmlformats.org/package/2006/relationships"><Relationship Id="rId3" Type="http://schemas.openxmlformats.org/officeDocument/2006/relationships/oleObject" Target="file:///C:\Users\fernando%20duval\Downloads\JESUS%20DEFINITIVO%20Lluvias%20y%20embalses%20en%202019%20%20%20ManEGonTe.xlsx" TargetMode="External"/><Relationship Id="rId2" Type="http://schemas.microsoft.com/office/2011/relationships/chartColorStyle" Target="colors59.xml"/><Relationship Id="rId1" Type="http://schemas.microsoft.com/office/2011/relationships/chartStyle" Target="style59.xml"/></Relationships>
</file>

<file path=word/charts/_rels/chart114.xml.rels><?xml version="1.0" encoding="UTF-8" standalone="yes"?>
<Relationships xmlns="http://schemas.openxmlformats.org/package/2006/relationships"><Relationship Id="rId1" Type="http://schemas.openxmlformats.org/officeDocument/2006/relationships/oleObject" Target="file:///C:\Users\fernando%20duval\Downloads\JESUS%20DEFINITIVO%20Lluvias%20y%20embalses%20en%202019%20%20%20ManEGonTe.xlsx" TargetMode="External"/></Relationships>
</file>

<file path=word/charts/_rels/chart115.xml.rels><?xml version="1.0" encoding="UTF-8" standalone="yes"?>
<Relationships xmlns="http://schemas.openxmlformats.org/package/2006/relationships"><Relationship Id="rId3" Type="http://schemas.openxmlformats.org/officeDocument/2006/relationships/oleObject" Target="file:///C:\Users\fernando%20duval\Downloads\JESUS%20DEFINITIVO%20Lluvias%20y%20embalses%20en%202019%20%20%20ManEGonTe.xlsx" TargetMode="External"/><Relationship Id="rId2" Type="http://schemas.microsoft.com/office/2011/relationships/chartColorStyle" Target="colors60.xml"/><Relationship Id="rId1" Type="http://schemas.microsoft.com/office/2011/relationships/chartStyle" Target="style60.xml"/></Relationships>
</file>

<file path=word/charts/_rels/chart116.xml.rels><?xml version="1.0" encoding="UTF-8" standalone="yes"?>
<Relationships xmlns="http://schemas.openxmlformats.org/package/2006/relationships"><Relationship Id="rId1" Type="http://schemas.openxmlformats.org/officeDocument/2006/relationships/oleObject" Target="file:///C:\Users\fernando%20duval\Downloads\JESUS%20DEFINITIVO%20Lluvias%20y%20embalses%20en%202019%20%20%20ManEGonTe.xlsx" TargetMode="External"/></Relationships>
</file>

<file path=word/charts/_rels/chart117.xml.rels><?xml version="1.0" encoding="UTF-8" standalone="yes"?>
<Relationships xmlns="http://schemas.openxmlformats.org/package/2006/relationships"><Relationship Id="rId3" Type="http://schemas.openxmlformats.org/officeDocument/2006/relationships/oleObject" Target="file:///C:\Users\fernando%20duval\Downloads\JESUS%20DEFINITIVO%20Lluvias%20y%20embalses%20en%202019%20%20%20ManEGonTe.xlsx" TargetMode="External"/><Relationship Id="rId2" Type="http://schemas.microsoft.com/office/2011/relationships/chartColorStyle" Target="colors61.xml"/><Relationship Id="rId1" Type="http://schemas.microsoft.com/office/2011/relationships/chartStyle" Target="style61.xml"/></Relationships>
</file>

<file path=word/charts/_rels/chart118.xml.rels><?xml version="1.0" encoding="UTF-8" standalone="yes"?>
<Relationships xmlns="http://schemas.openxmlformats.org/package/2006/relationships"><Relationship Id="rId1" Type="http://schemas.openxmlformats.org/officeDocument/2006/relationships/oleObject" Target="file:///C:\Users\fernando%20duval\Downloads\JESUS%20DEFINITIVO%20Lluvias%20y%20embalses%20en%202019%20%20%20ManEGonTe.xlsx" TargetMode="External"/></Relationships>
</file>

<file path=word/charts/_rels/chart119.xml.rels><?xml version="1.0" encoding="UTF-8" standalone="yes"?>
<Relationships xmlns="http://schemas.openxmlformats.org/package/2006/relationships"><Relationship Id="rId3" Type="http://schemas.openxmlformats.org/officeDocument/2006/relationships/oleObject" Target="file:///C:\Users\fernando%20duval\Downloads\JESUS%20DEFINITIVO%20Lluvias%20y%20embalses%20en%202019%20%20%20ManEGonTe.xlsx" TargetMode="External"/><Relationship Id="rId2" Type="http://schemas.microsoft.com/office/2011/relationships/chartColorStyle" Target="colors62.xml"/><Relationship Id="rId1" Type="http://schemas.microsoft.com/office/2011/relationships/chartStyle" Target="style62.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usuario\Desktop\MEMORIA%202019\Datos.xlsx" TargetMode="External"/><Relationship Id="rId2" Type="http://schemas.microsoft.com/office/2011/relationships/chartColorStyle" Target="colors12.xml"/><Relationship Id="rId1" Type="http://schemas.microsoft.com/office/2011/relationships/chartStyle" Target="style12.xml"/></Relationships>
</file>

<file path=word/charts/_rels/chart120.xml.rels><?xml version="1.0" encoding="UTF-8" standalone="yes"?>
<Relationships xmlns="http://schemas.openxmlformats.org/package/2006/relationships"><Relationship Id="rId1" Type="http://schemas.openxmlformats.org/officeDocument/2006/relationships/oleObject" Target="file:///C:\Users\fernando%20duval\Downloads\JESUS%20DEFINITIVO%20Lluvias%20y%20embalses%20en%202019%20%20%20ManEGonTe.xlsx" TargetMode="External"/></Relationships>
</file>

<file path=word/charts/_rels/chart121.xml.rels><?xml version="1.0" encoding="UTF-8" standalone="yes"?>
<Relationships xmlns="http://schemas.openxmlformats.org/package/2006/relationships"><Relationship Id="rId3" Type="http://schemas.openxmlformats.org/officeDocument/2006/relationships/oleObject" Target="file:///C:\Users\fernando%20duval\Downloads\JESUS%20DEFINITIVO%20Lluvias%20y%20embalses%20en%202019%20%20%20ManEGonTe.xlsx" TargetMode="External"/><Relationship Id="rId2" Type="http://schemas.microsoft.com/office/2011/relationships/chartColorStyle" Target="colors63.xml"/><Relationship Id="rId1" Type="http://schemas.microsoft.com/office/2011/relationships/chartStyle" Target="style63.xml"/></Relationships>
</file>

<file path=word/charts/_rels/chart122.xml.rels><?xml version="1.0" encoding="UTF-8" standalone="yes"?>
<Relationships xmlns="http://schemas.openxmlformats.org/package/2006/relationships"><Relationship Id="rId1" Type="http://schemas.openxmlformats.org/officeDocument/2006/relationships/oleObject" Target="file:///C:\Users\fernando%20duval\Downloads\JESUS%20DEFINITIVO%20Lluvias%20y%20embalses%20en%202019%20%20%20ManEGonTe.xlsx" TargetMode="External"/></Relationships>
</file>

<file path=word/charts/_rels/chart123.xml.rels><?xml version="1.0" encoding="UTF-8" standalone="yes"?>
<Relationships xmlns="http://schemas.openxmlformats.org/package/2006/relationships"><Relationship Id="rId3" Type="http://schemas.openxmlformats.org/officeDocument/2006/relationships/oleObject" Target="file:///C:\Users\fernando%20duval\Downloads\JESUS%20DEFINITIVO%20Lluvias%20y%20embalses%20en%202019%20%20%20ManEGonTe.xlsx" TargetMode="External"/><Relationship Id="rId2" Type="http://schemas.microsoft.com/office/2011/relationships/chartColorStyle" Target="colors64.xml"/><Relationship Id="rId1" Type="http://schemas.microsoft.com/office/2011/relationships/chartStyle" Target="style64.xml"/></Relationships>
</file>

<file path=word/charts/_rels/chart124.xml.rels><?xml version="1.0" encoding="UTF-8" standalone="yes"?>
<Relationships xmlns="http://schemas.openxmlformats.org/package/2006/relationships"><Relationship Id="rId1" Type="http://schemas.openxmlformats.org/officeDocument/2006/relationships/oleObject" Target="file:///C:\Users\fernando%20duval\Downloads\JESUS%20DEFINITIVO%20Lluvias%20y%20embalses%20en%202019%20%20%20ManEGonTe.xlsx" TargetMode="External"/></Relationships>
</file>

<file path=word/charts/_rels/chart125.xml.rels><?xml version="1.0" encoding="UTF-8" standalone="yes"?>
<Relationships xmlns="http://schemas.openxmlformats.org/package/2006/relationships"><Relationship Id="rId3" Type="http://schemas.openxmlformats.org/officeDocument/2006/relationships/oleObject" Target="file:///C:\Users\fernando%20duval\Downloads\JESUS%20DEFINITIVO%20Lluvias%20y%20embalses%20en%202019%20%20%20ManEGonTe.xlsx" TargetMode="External"/><Relationship Id="rId2" Type="http://schemas.microsoft.com/office/2011/relationships/chartColorStyle" Target="colors65.xml"/><Relationship Id="rId1" Type="http://schemas.microsoft.com/office/2011/relationships/chartStyle" Target="style65.xml"/></Relationships>
</file>

<file path=word/charts/_rels/chart126.xml.rels><?xml version="1.0" encoding="UTF-8" standalone="yes"?>
<Relationships xmlns="http://schemas.openxmlformats.org/package/2006/relationships"><Relationship Id="rId1" Type="http://schemas.openxmlformats.org/officeDocument/2006/relationships/oleObject" Target="file:///C:\Users\fernando%20duval\Downloads\JESUS%20DEFINITIVO%20Lluvias%20y%20embalses%20en%202019%20%20%20ManEGonTe.xlsx" TargetMode="External"/></Relationships>
</file>

<file path=word/charts/_rels/chart127.xml.rels><?xml version="1.0" encoding="UTF-8" standalone="yes"?>
<Relationships xmlns="http://schemas.openxmlformats.org/package/2006/relationships"><Relationship Id="rId3" Type="http://schemas.openxmlformats.org/officeDocument/2006/relationships/oleObject" Target="file:///C:\Users\fernando%20duval\Downloads\JESUS%20DEFINITIVO%20Lluvias%20y%20embalses%20en%202019%20%20%20ManEGonTe.xlsx" TargetMode="External"/><Relationship Id="rId2" Type="http://schemas.microsoft.com/office/2011/relationships/chartColorStyle" Target="colors66.xml"/><Relationship Id="rId1" Type="http://schemas.microsoft.com/office/2011/relationships/chartStyle" Target="style66.xml"/></Relationships>
</file>

<file path=word/charts/_rels/chart128.xml.rels><?xml version="1.0" encoding="UTF-8" standalone="yes"?>
<Relationships xmlns="http://schemas.openxmlformats.org/package/2006/relationships"><Relationship Id="rId1" Type="http://schemas.openxmlformats.org/officeDocument/2006/relationships/oleObject" Target="file:///C:\Users\fernando%20duval\Downloads\JESUS%20DEFINITIVO%20Lluvias%20y%20embalses%20en%202019%20%20%20ManEGonTe.xlsx" TargetMode="External"/></Relationships>
</file>

<file path=word/charts/_rels/chart129.xml.rels><?xml version="1.0" encoding="UTF-8" standalone="yes"?>
<Relationships xmlns="http://schemas.openxmlformats.org/package/2006/relationships"><Relationship Id="rId3" Type="http://schemas.openxmlformats.org/officeDocument/2006/relationships/oleObject" Target="file:///C:\Users\fernando%20duval\Downloads\JESUS%20DEFINITIVO%20Lluvias%20y%20embalses%20en%202019%20%20%20ManEGonTe.xlsx" TargetMode="External"/><Relationship Id="rId2" Type="http://schemas.microsoft.com/office/2011/relationships/chartColorStyle" Target="colors67.xml"/><Relationship Id="rId1" Type="http://schemas.microsoft.com/office/2011/relationships/chartStyle" Target="style67.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jesus%20pena\Desktop\MEMORIA%202019\en%20proceso%202019\4%20dic.%202019\Datos%207%20dic.%202019.xlsx" TargetMode="External"/><Relationship Id="rId2" Type="http://schemas.microsoft.com/office/2011/relationships/chartColorStyle" Target="colors13.xml"/><Relationship Id="rId1" Type="http://schemas.microsoft.com/office/2011/relationships/chartStyle" Target="style13.xml"/></Relationships>
</file>

<file path=word/charts/_rels/chart130.xml.rels><?xml version="1.0" encoding="UTF-8" standalone="yes"?>
<Relationships xmlns="http://schemas.openxmlformats.org/package/2006/relationships"><Relationship Id="rId1" Type="http://schemas.openxmlformats.org/officeDocument/2006/relationships/oleObject" Target="file:///C:\Users\fernando%20duval\Downloads\JESUS%20DEFINITIVO%20Lluvias%20y%20embalses%20en%202019%20%20%20ManEGonTe.xlsx" TargetMode="External"/></Relationships>
</file>

<file path=word/charts/_rels/chart131.xml.rels><?xml version="1.0" encoding="UTF-8" standalone="yes"?>
<Relationships xmlns="http://schemas.openxmlformats.org/package/2006/relationships"><Relationship Id="rId3" Type="http://schemas.openxmlformats.org/officeDocument/2006/relationships/oleObject" Target="file:///C:\Users\fernando%20duval\Downloads\JESUS%20DEFINITIVO%20Lluvias%20y%20embalses%20en%202019%20%20%20ManEGonTe.xlsx" TargetMode="External"/><Relationship Id="rId2" Type="http://schemas.microsoft.com/office/2011/relationships/chartColorStyle" Target="colors68.xml"/><Relationship Id="rId1" Type="http://schemas.microsoft.com/office/2011/relationships/chartStyle" Target="style68.xml"/></Relationships>
</file>

<file path=word/charts/_rels/chart132.xml.rels><?xml version="1.0" encoding="UTF-8" standalone="yes"?>
<Relationships xmlns="http://schemas.openxmlformats.org/package/2006/relationships"><Relationship Id="rId1" Type="http://schemas.openxmlformats.org/officeDocument/2006/relationships/oleObject" Target="file:///C:\Users\fernando%20duval\Downloads\JESUS%20DEFINITIVO%20Lluvias%20y%20embalses%20en%202019%20%20%20ManEGonTe.xlsx" TargetMode="External"/></Relationships>
</file>

<file path=word/charts/_rels/chart133.xml.rels><?xml version="1.0" encoding="UTF-8" standalone="yes"?>
<Relationships xmlns="http://schemas.openxmlformats.org/package/2006/relationships"><Relationship Id="rId3" Type="http://schemas.openxmlformats.org/officeDocument/2006/relationships/oleObject" Target="file:///C:\Users\fernando%20duval\Downloads\JESUS%20DEFINITIVO%20Lluvias%20y%20embalses%20en%202019%20%20%20ManEGonTe.xlsx" TargetMode="External"/><Relationship Id="rId2" Type="http://schemas.microsoft.com/office/2011/relationships/chartColorStyle" Target="colors69.xml"/><Relationship Id="rId1" Type="http://schemas.microsoft.com/office/2011/relationships/chartStyle" Target="style69.xml"/></Relationships>
</file>

<file path=word/charts/_rels/chart134.xml.rels><?xml version="1.0" encoding="UTF-8" standalone="yes"?>
<Relationships xmlns="http://schemas.openxmlformats.org/package/2006/relationships"><Relationship Id="rId1" Type="http://schemas.openxmlformats.org/officeDocument/2006/relationships/oleObject" Target="file:///C:\Users\fernando%20duval\Downloads\JESUS%20DEFINITIVO%20Lluvias%20y%20embalses%20en%202019%20%20%20ManEGonTe.xlsx" TargetMode="External"/></Relationships>
</file>

<file path=word/charts/_rels/chart135.xml.rels><?xml version="1.0" encoding="UTF-8" standalone="yes"?>
<Relationships xmlns="http://schemas.openxmlformats.org/package/2006/relationships"><Relationship Id="rId3" Type="http://schemas.openxmlformats.org/officeDocument/2006/relationships/oleObject" Target="file:///C:\Users\fernando%20duval\Downloads\JESUS%20DEFINITIVO%20Lluvias%20y%20embalses%20en%202019%20%20%20ManEGonTe.xlsx" TargetMode="External"/><Relationship Id="rId2" Type="http://schemas.microsoft.com/office/2011/relationships/chartColorStyle" Target="colors70.xml"/><Relationship Id="rId1" Type="http://schemas.microsoft.com/office/2011/relationships/chartStyle" Target="style70.xml"/></Relationships>
</file>

<file path=word/charts/_rels/chart136.xml.rels><?xml version="1.0" encoding="UTF-8" standalone="yes"?>
<Relationships xmlns="http://schemas.openxmlformats.org/package/2006/relationships"><Relationship Id="rId1" Type="http://schemas.openxmlformats.org/officeDocument/2006/relationships/oleObject" Target="file:///C:\Users\fernando%20duval\Downloads\JESUS%20DEFINITIVO%20Lluvias%20y%20embalses%20en%202019%20%20%20ManEGonTe.xlsx" TargetMode="External"/></Relationships>
</file>

<file path=word/charts/_rels/chart137.xml.rels><?xml version="1.0" encoding="UTF-8" standalone="yes"?>
<Relationships xmlns="http://schemas.openxmlformats.org/package/2006/relationships"><Relationship Id="rId3" Type="http://schemas.openxmlformats.org/officeDocument/2006/relationships/oleObject" Target="file:///C:\Users\fernando%20duval\Downloads\JESUS%20DEFINITIVO%20Lluvias%20y%20embalses%20en%202019%20%20%20ManEGonTe.xlsx" TargetMode="External"/><Relationship Id="rId2" Type="http://schemas.microsoft.com/office/2011/relationships/chartColorStyle" Target="colors71.xml"/><Relationship Id="rId1" Type="http://schemas.microsoft.com/office/2011/relationships/chartStyle" Target="style71.xml"/></Relationships>
</file>

<file path=word/charts/_rels/chart138.xml.rels><?xml version="1.0" encoding="UTF-8" standalone="yes"?>
<Relationships xmlns="http://schemas.openxmlformats.org/package/2006/relationships"><Relationship Id="rId3" Type="http://schemas.openxmlformats.org/officeDocument/2006/relationships/oleObject" Target="file:///C:\Users\usuario\Downloads\JESUS%20DEFINITIVO%20Lluvias%20y%20embalses%20en%202019%20%20%20ManEGonTe.xlsx" TargetMode="External"/><Relationship Id="rId2" Type="http://schemas.microsoft.com/office/2011/relationships/chartColorStyle" Target="colors72.xml"/><Relationship Id="rId1" Type="http://schemas.microsoft.com/office/2011/relationships/chartStyle" Target="style72.xml"/></Relationships>
</file>

<file path=word/charts/_rels/chart14.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embeddings/oleObject1.bin"/></Relationships>
</file>

<file path=word/charts/_rels/chart16.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jesus%20pena\Desktop\MEMORIA%202019\en%20proceso%202019\Dato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uario\Downloads\Datos%2013%20dic.%202019.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jesus%20pena\Desktop\MEMORIA%202019\en%20proceso%202019\Dato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usuario\Desktop\MEMORIA%202019\PAE\PAE..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usuario\Desktop\MEMORIA%202019\PAE\PAE..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Hoja_de_c_lculo_de_Microsoft_Excel7.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1" Type="http://schemas.openxmlformats.org/officeDocument/2006/relationships/oleObject" Target="file:///C:\Users\usuario\Desktop\MEMORIA%202019\PAE\PAE..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usuario\Desktop\MEMORIA%202019\PAE\PAE..xlsx" TargetMode="External"/></Relationships>
</file>

<file path=word/charts/_rels/chart28.xml.rels><?xml version="1.0" encoding="UTF-8" standalone="yes"?>
<Relationships xmlns="http://schemas.openxmlformats.org/package/2006/relationships"><Relationship Id="rId1" Type="http://schemas.openxmlformats.org/officeDocument/2006/relationships/package" Target="../embeddings/Hoja_de_c_lculo_de_Microsoft_Excel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Hoja_de_c_lculo_de_Microsoft_Excel9.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usuario\Desktop\MEMORIA%202019\Datos.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1" Type="http://schemas.openxmlformats.org/officeDocument/2006/relationships/package" Target="../embeddings/Hoja_de_c_lculo_de_Microsoft_Excel10.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Hoja_de_c_lculo_de_Microsoft_Excel11.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Hoja_de_c_lculo_de_Microsoft_Excel12.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Hoja_de_c_lculo_de_Microsoft_Excel13.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Hoja_de_c_lculo_de_Microsoft_Excel14.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Hoja_de_c_lculo_de_Microsoft_Excel15.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Hoja_de_c_lculo_de_Microsoft_Excel16.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Hoja_de_c_lculo_de_Microsoft_Excel17.xlsx"/></Relationships>
</file>

<file path=word/charts/_rels/chart38.xml.rels><?xml version="1.0" encoding="UTF-8" standalone="yes"?>
<Relationships xmlns="http://schemas.openxmlformats.org/package/2006/relationships"><Relationship Id="rId3" Type="http://schemas.openxmlformats.org/officeDocument/2006/relationships/oleObject" Target="file:///C:\Users\Jes&#250;s%20Abraham\Downloads\Datos%2010%20dic.%202019.xlsx" TargetMode="External"/><Relationship Id="rId2" Type="http://schemas.microsoft.com/office/2011/relationships/chartColorStyle" Target="colors26.xml"/><Relationship Id="rId1" Type="http://schemas.microsoft.com/office/2011/relationships/chartStyle" Target="style26.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jesus%20pena\Desktop\MEMORIA%202019\en%20proceso%202019\4%20dic.%202019\Datos%204%20dic.%202019.xlsx" TargetMode="External"/><Relationship Id="rId2" Type="http://schemas.microsoft.com/office/2011/relationships/chartColorStyle" Target="colors27.xml"/><Relationship Id="rId1" Type="http://schemas.microsoft.com/office/2011/relationships/chartStyle" Target="style27.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uario\Desktop\MEMORIA%202019\Datos.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jesus%20pena\Desktop\MEMORIA%202019\en%20proceso%202019\4%20dic.%202019\Datos%204%20dic.%202019.xlsx" TargetMode="External"/><Relationship Id="rId2" Type="http://schemas.microsoft.com/office/2011/relationships/chartColorStyle" Target="colors28.xml"/><Relationship Id="rId1" Type="http://schemas.microsoft.com/office/2011/relationships/chartStyle" Target="style28.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jesus%20pena\Desktop\MEMORIA%202019\en%20proceso%202019\4%20dic.%202019\Datos%204%20dic.%202019.xlsx" TargetMode="External"/><Relationship Id="rId2" Type="http://schemas.microsoft.com/office/2011/relationships/chartColorStyle" Target="colors29.xml"/><Relationship Id="rId1" Type="http://schemas.microsoft.com/office/2011/relationships/chartStyle" Target="style29.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jesus%20pena\Desktop\MEMORIA%202019\en%20proceso%202019\4%20dic.%202019\Datos%204%20dic.%202019.xlsx" TargetMode="External"/><Relationship Id="rId2" Type="http://schemas.microsoft.com/office/2011/relationships/chartColorStyle" Target="colors30.xml"/><Relationship Id="rId1" Type="http://schemas.microsoft.com/office/2011/relationships/chartStyle" Target="style30.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jesus%20pena\Desktop\MEMORIA%202019\en%20proceso%202019\4%20dic.%202019\Datos%204%20dic.%202019.xlsx" TargetMode="External"/><Relationship Id="rId2" Type="http://schemas.microsoft.com/office/2011/relationships/chartColorStyle" Target="colors31.xml"/><Relationship Id="rId1" Type="http://schemas.microsoft.com/office/2011/relationships/chartStyle" Target="style31.xml"/></Relationships>
</file>

<file path=word/charts/_rels/chart44.xml.rels><?xml version="1.0" encoding="UTF-8" standalone="yes"?>
<Relationships xmlns="http://schemas.openxmlformats.org/package/2006/relationships"><Relationship Id="rId1" Type="http://schemas.openxmlformats.org/officeDocument/2006/relationships/oleObject" Target="file:///C:\Users\jesus%20pena\Desktop\MEMORIA%202019\en%20proceso%202019\4%20dic.%202019\Datos%204%20dic.%202019.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C:\Users\jesus%20pena\Desktop\MEMORIA%202019\en%20proceso%202019\4%20dic.%202019\Datos%204%20dic.%202019.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Users\jesus%20pena\Desktop\MEMORIA%202019\en%20proceso%202019\4%20dic.%202019\Datos%204%20dic.%202019.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C:\Users\jesus%20pena\Desktop\MEMORIA%202019\en%20proceso%202019\4%20dic.%202019\Datos%204%20dic.%202019.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C:\Users\jesus%20pena\Desktop\MEMORIA%202019\en%20proceso%202019\4%20dic.%202019\Datos%204%20dic.%202019.xlsx" TargetMode="External"/></Relationships>
</file>

<file path=word/charts/_rels/chart49.xml.rels><?xml version="1.0" encoding="UTF-8" standalone="yes"?>
<Relationships xmlns="http://schemas.openxmlformats.org/package/2006/relationships"><Relationship Id="rId1" Type="http://schemas.openxmlformats.org/officeDocument/2006/relationships/package" Target="../embeddings/Hoja_de_c_lculo_de_Microsoft_Excel18.xlsx"/></Relationships>
</file>

<file path=word/charts/_rels/chart5.xml.rels><?xml version="1.0" encoding="UTF-8" standalone="yes"?>
<Relationships xmlns="http://schemas.openxmlformats.org/package/2006/relationships"><Relationship Id="rId3" Type="http://schemas.openxmlformats.org/officeDocument/2006/relationships/oleObject" Target="file:///C:\Users\usuario\Downloads\Datos%2013%20dic.%202019.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1" Type="http://schemas.openxmlformats.org/officeDocument/2006/relationships/oleObject" Target="file:///C:\Users\jesus%20pena\Desktop\MEMORIA%202019\en%20proceso%202019\4%20dic.%202019\Datos%204%20dic.%202019.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file:///C:\Users\jesus%20pena\Desktop\MEMORIA%202019\en%20proceso%202019\4%20dic.%202019\Datos%204%20dic.%202019.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C:\Users\jesus%20pena\Desktop\MEMORIA%202019\en%20proceso%202019\4%20dic.%202019\Datos%204%20dic.%202019.xlsx" TargetMode="External"/></Relationships>
</file>

<file path=word/charts/_rels/chart53.xml.rels><?xml version="1.0" encoding="UTF-8" standalone="yes"?>
<Relationships xmlns="http://schemas.openxmlformats.org/package/2006/relationships"><Relationship Id="rId3" Type="http://schemas.openxmlformats.org/officeDocument/2006/relationships/package" Target="../embeddings/Hoja_de_c_lculo_de_Microsoft_Excel19.xlsx"/><Relationship Id="rId2" Type="http://schemas.microsoft.com/office/2011/relationships/chartColorStyle" Target="colors32.xml"/><Relationship Id="rId1" Type="http://schemas.microsoft.com/office/2011/relationships/chartStyle" Target="style32.xml"/></Relationships>
</file>

<file path=word/charts/_rels/chart54.xml.rels><?xml version="1.0" encoding="UTF-8" standalone="yes"?>
<Relationships xmlns="http://schemas.openxmlformats.org/package/2006/relationships"><Relationship Id="rId1" Type="http://schemas.openxmlformats.org/officeDocument/2006/relationships/package" Target="../embeddings/Hoja_de_c_lculo_de_Microsoft_Excel20.xlsx"/></Relationships>
</file>

<file path=word/charts/_rels/chart55.xml.rels><?xml version="1.0" encoding="UTF-8" standalone="yes"?>
<Relationships xmlns="http://schemas.openxmlformats.org/package/2006/relationships"><Relationship Id="rId3" Type="http://schemas.openxmlformats.org/officeDocument/2006/relationships/package" Target="../embeddings/Hoja_de_c_lculo_de_Microsoft_Excel21.xlsx"/><Relationship Id="rId2" Type="http://schemas.microsoft.com/office/2011/relationships/chartColorStyle" Target="colors33.xml"/><Relationship Id="rId1" Type="http://schemas.microsoft.com/office/2011/relationships/chartStyle" Target="style33.xml"/></Relationships>
</file>

<file path=word/charts/_rels/chart56.xml.rels><?xml version="1.0" encoding="UTF-8" standalone="yes"?>
<Relationships xmlns="http://schemas.openxmlformats.org/package/2006/relationships"><Relationship Id="rId1" Type="http://schemas.openxmlformats.org/officeDocument/2006/relationships/package" Target="../embeddings/Hoja_de_c_lculo_de_Microsoft_Excel22.xlsx"/></Relationships>
</file>

<file path=word/charts/_rels/chart57.xml.rels><?xml version="1.0" encoding="UTF-8" standalone="yes"?>
<Relationships xmlns="http://schemas.openxmlformats.org/package/2006/relationships"><Relationship Id="rId3" Type="http://schemas.openxmlformats.org/officeDocument/2006/relationships/package" Target="../embeddings/Hoja_de_c_lculo_de_Microsoft_Excel23.xlsx"/><Relationship Id="rId2" Type="http://schemas.microsoft.com/office/2011/relationships/chartColorStyle" Target="colors34.xml"/><Relationship Id="rId1" Type="http://schemas.microsoft.com/office/2011/relationships/chartStyle" Target="style34.xml"/></Relationships>
</file>

<file path=word/charts/_rels/chart58.xml.rels><?xml version="1.0" encoding="UTF-8" standalone="yes"?>
<Relationships xmlns="http://schemas.openxmlformats.org/package/2006/relationships"><Relationship Id="rId1" Type="http://schemas.openxmlformats.org/officeDocument/2006/relationships/package" Target="../embeddings/Hoja_de_c_lculo_de_Microsoft_Excel24.xlsx"/></Relationships>
</file>

<file path=word/charts/_rels/chart59.xml.rels><?xml version="1.0" encoding="UTF-8" standalone="yes"?>
<Relationships xmlns="http://schemas.openxmlformats.org/package/2006/relationships"><Relationship Id="rId2" Type="http://schemas.openxmlformats.org/officeDocument/2006/relationships/package" Target="../embeddings/Hoja_de_c_lculo_de_Microsoft_Excel25.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esus%20pena\Downloads\Datos.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1" Type="http://schemas.openxmlformats.org/officeDocument/2006/relationships/oleObject" Target="file:///C:\Users\jesus%20pena\Desktop\MEMORIA%202019\en%20proceso%202019\4%20dic.%202019\Datos%207%20dic.%202019.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file:///C:\Users\jesus%20pena\Desktop\MEMORIA%202019\en%20proceso%202019\4%20dic.%202019\Datos%204%20dic.%202019.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file:///C:\Users\jesus%20pena\Desktop\MEMORIA%202019\en%20proceso%202019\4%20dic.%202019\Datos%204%20dic.%202019.xlsx" TargetMode="External"/></Relationships>
</file>

<file path=word/charts/_rels/chart63.xml.rels><?xml version="1.0" encoding="UTF-8" standalone="yes"?>
<Relationships xmlns="http://schemas.openxmlformats.org/package/2006/relationships"><Relationship Id="rId3" Type="http://schemas.openxmlformats.org/officeDocument/2006/relationships/oleObject" Target="file:///C:\Users\jesus%20pena\Desktop\MEMORIA%202019\en%20proceso%202019\4%20dic.%202019\Datos%204%20dic.%202019.xlsx" TargetMode="External"/><Relationship Id="rId2" Type="http://schemas.microsoft.com/office/2011/relationships/chartColorStyle" Target="colors35.xml"/><Relationship Id="rId1" Type="http://schemas.microsoft.com/office/2011/relationships/chartStyle" Target="style35.xml"/></Relationships>
</file>

<file path=word/charts/_rels/chart64.xml.rels><?xml version="1.0" encoding="UTF-8" standalone="yes"?>
<Relationships xmlns="http://schemas.openxmlformats.org/package/2006/relationships"><Relationship Id="rId1" Type="http://schemas.openxmlformats.org/officeDocument/2006/relationships/oleObject" Target="file:///C:\Users\jesus%20pena\Desktop\MEMORIA%202019\en%20proceso%202019\4%20dic.%202019\Datos%204%20dic.%202019.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file:///C:\Users\jesus%20pena\Desktop\MEMORIA%202019\en%20proceso%202019\4%20dic.%202019\Datos%204%20dic.%202019.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file:///C:\Users\fernando%20duval\Desktop\para%20jesus%20pe&#241;a\Visitas%20Sorpresa\lluvias\JESUS%20Lluvias%20y%20embalses%20en%202019%20Preliminar%20%20%20al%204%20de%20diciembre.xlsx" TargetMode="External"/></Relationships>
</file>

<file path=word/charts/_rels/chart67.xml.rels><?xml version="1.0" encoding="UTF-8" standalone="yes"?>
<Relationships xmlns="http://schemas.openxmlformats.org/package/2006/relationships"><Relationship Id="rId3" Type="http://schemas.openxmlformats.org/officeDocument/2006/relationships/oleObject" Target="file:///C:\Users\fernando%20duval\Downloads\JESUS%20DEFINITIVO%20Lluvias%20y%20embalses%20en%202019%20%20%20ManEGonTe.xlsx" TargetMode="External"/><Relationship Id="rId2" Type="http://schemas.microsoft.com/office/2011/relationships/chartColorStyle" Target="colors36.xml"/><Relationship Id="rId1" Type="http://schemas.microsoft.com/office/2011/relationships/chartStyle" Target="style36.xml"/></Relationships>
</file>

<file path=word/charts/_rels/chart68.xml.rels><?xml version="1.0" encoding="UTF-8" standalone="yes"?>
<Relationships xmlns="http://schemas.openxmlformats.org/package/2006/relationships"><Relationship Id="rId1" Type="http://schemas.openxmlformats.org/officeDocument/2006/relationships/oleObject" Target="file:///C:\Users\fernando%20duval\Desktop\para%20jesus%20pe&#241;a\Visitas%20Sorpresa\lluvias\JESUS%20Lluvias%20y%20embalses%20en%202019%20Preliminar%20%20%20al%204%20de%20diciembre.xlsx" TargetMode="External"/></Relationships>
</file>

<file path=word/charts/_rels/chart69.xml.rels><?xml version="1.0" encoding="UTF-8" standalone="yes"?>
<Relationships xmlns="http://schemas.openxmlformats.org/package/2006/relationships"><Relationship Id="rId3" Type="http://schemas.openxmlformats.org/officeDocument/2006/relationships/oleObject" Target="file:///C:\Users\fernando%20duval\Downloads\JESUS%20DEFINITIVO%20Lluvias%20y%20embalses%20en%202019%20%20%20ManEGonTe.xlsx" TargetMode="External"/><Relationship Id="rId2" Type="http://schemas.microsoft.com/office/2011/relationships/chartColorStyle" Target="colors37.xml"/><Relationship Id="rId1" Type="http://schemas.microsoft.com/office/2011/relationships/chartStyle" Target="style37.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jesus%20pena\Desktop\MEMORIA%202019\en%20proceso%202019\4%20dic.%202019\Datos%204%20dic.%202019.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1.xml"/></Relationships>
</file>

<file path=word/charts/_rels/chart70.xml.rels><?xml version="1.0" encoding="UTF-8" standalone="yes"?>
<Relationships xmlns="http://schemas.openxmlformats.org/package/2006/relationships"><Relationship Id="rId1" Type="http://schemas.openxmlformats.org/officeDocument/2006/relationships/oleObject" Target="file:///C:\Users\fernando%20duval\Desktop\para%20jesus%20pe&#241;a\Visitas%20Sorpresa\lluvias\JESUS%20Lluvias%20y%20embalses%20en%202019%20Preliminar%20%20%20al%204%20de%20diciembre.xlsx" TargetMode="External"/></Relationships>
</file>

<file path=word/charts/_rels/chart71.xml.rels><?xml version="1.0" encoding="UTF-8" standalone="yes"?>
<Relationships xmlns="http://schemas.openxmlformats.org/package/2006/relationships"><Relationship Id="rId3" Type="http://schemas.openxmlformats.org/officeDocument/2006/relationships/oleObject" Target="file:///C:\Users\fernando%20duval\Desktop\para%20jesus%20pe&#241;a\Visitas%20Sorpresa\lluvias\JESUS%20Lluvias%20y%20embalses%20en%202019%20Preliminar%20%20%20al%204%20de%20diciembre.xlsx" TargetMode="External"/><Relationship Id="rId2" Type="http://schemas.microsoft.com/office/2011/relationships/chartColorStyle" Target="colors38.xml"/><Relationship Id="rId1" Type="http://schemas.microsoft.com/office/2011/relationships/chartStyle" Target="style38.xml"/></Relationships>
</file>

<file path=word/charts/_rels/chart72.xml.rels><?xml version="1.0" encoding="UTF-8" standalone="yes"?>
<Relationships xmlns="http://schemas.openxmlformats.org/package/2006/relationships"><Relationship Id="rId1" Type="http://schemas.openxmlformats.org/officeDocument/2006/relationships/oleObject" Target="file:///C:\Users\fernando%20duval\Desktop\para%20jesus%20pe&#241;a\Visitas%20Sorpresa\lluvias\JESUS%20Lluvias%20y%20embalses%20en%202019%20Preliminar%20%20%20al%204%20de%20diciembre.xlsx" TargetMode="External"/></Relationships>
</file>

<file path=word/charts/_rels/chart73.xml.rels><?xml version="1.0" encoding="UTF-8" standalone="yes"?>
<Relationships xmlns="http://schemas.openxmlformats.org/package/2006/relationships"><Relationship Id="rId3" Type="http://schemas.openxmlformats.org/officeDocument/2006/relationships/oleObject" Target="file:///C:\Users\fernando%20duval\Desktop\para%20jesus%20pe&#241;a\Visitas%20Sorpresa\lluvias\JESUS%20Lluvias%20y%20embalses%20en%202019%20Preliminar%20%20%20al%204%20de%20diciembre.xlsx" TargetMode="External"/><Relationship Id="rId2" Type="http://schemas.microsoft.com/office/2011/relationships/chartColorStyle" Target="colors39.xml"/><Relationship Id="rId1" Type="http://schemas.microsoft.com/office/2011/relationships/chartStyle" Target="style39.xml"/></Relationships>
</file>

<file path=word/charts/_rels/chart74.xml.rels><?xml version="1.0" encoding="UTF-8" standalone="yes"?>
<Relationships xmlns="http://schemas.openxmlformats.org/package/2006/relationships"><Relationship Id="rId1" Type="http://schemas.openxmlformats.org/officeDocument/2006/relationships/oleObject" Target="file:///C:\Users\fernando%20duval\Desktop\para%20jesus%20pe&#241;a\Visitas%20Sorpresa\lluvias\JESUS%20Lluvias%20y%20embalses%20en%202019%20Preliminar%20%20%20al%204%20de%20diciembre.xlsx" TargetMode="External"/></Relationships>
</file>

<file path=word/charts/_rels/chart75.xml.rels><?xml version="1.0" encoding="UTF-8" standalone="yes"?>
<Relationships xmlns="http://schemas.openxmlformats.org/package/2006/relationships"><Relationship Id="rId3" Type="http://schemas.openxmlformats.org/officeDocument/2006/relationships/oleObject" Target="file:///C:\Users\fernando%20duval\Desktop\para%20jesus%20pe&#241;a\Visitas%20Sorpresa\lluvias\JESUS%20Lluvias%20y%20embalses%20en%202019%20Preliminar%20%20%20al%204%20de%20diciembre.xlsx" TargetMode="External"/><Relationship Id="rId2" Type="http://schemas.microsoft.com/office/2011/relationships/chartColorStyle" Target="colors40.xml"/><Relationship Id="rId1" Type="http://schemas.microsoft.com/office/2011/relationships/chartStyle" Target="style40.xml"/></Relationships>
</file>

<file path=word/charts/_rels/chart76.xml.rels><?xml version="1.0" encoding="UTF-8" standalone="yes"?>
<Relationships xmlns="http://schemas.openxmlformats.org/package/2006/relationships"><Relationship Id="rId1" Type="http://schemas.openxmlformats.org/officeDocument/2006/relationships/oleObject" Target="file:///C:\Users\fernando%20duval\Desktop\para%20jesus%20pe&#241;a\Visitas%20Sorpresa\lluvias\JESUS%20Lluvias%20y%20embalses%20en%202019%20Preliminar%20%20%20al%204%20de%20diciembre.xlsx" TargetMode="External"/></Relationships>
</file>

<file path=word/charts/_rels/chart77.xml.rels><?xml version="1.0" encoding="UTF-8" standalone="yes"?>
<Relationships xmlns="http://schemas.openxmlformats.org/package/2006/relationships"><Relationship Id="rId3" Type="http://schemas.openxmlformats.org/officeDocument/2006/relationships/oleObject" Target="file:///C:\Users\fernando%20duval\Desktop\para%20jesus%20pe&#241;a\Visitas%20Sorpresa\lluvias\JESUS%20Lluvias%20y%20embalses%20en%202019%20Preliminar%20%20%20al%204%20de%20diciembre.xlsx" TargetMode="External"/><Relationship Id="rId2" Type="http://schemas.microsoft.com/office/2011/relationships/chartColorStyle" Target="colors41.xml"/><Relationship Id="rId1" Type="http://schemas.microsoft.com/office/2011/relationships/chartStyle" Target="style41.xml"/></Relationships>
</file>

<file path=word/charts/_rels/chart78.xml.rels><?xml version="1.0" encoding="UTF-8" standalone="yes"?>
<Relationships xmlns="http://schemas.openxmlformats.org/package/2006/relationships"><Relationship Id="rId1" Type="http://schemas.openxmlformats.org/officeDocument/2006/relationships/oleObject" Target="file:///C:\Users\fernando%20duval\Desktop\para%20jesus%20pe&#241;a\Visitas%20Sorpresa\lluvias\JESUS%20Lluvias%20y%20embalses%20en%202019%20Preliminar%20%20%20al%204%20de%20diciembre.xlsx" TargetMode="External"/></Relationships>
</file>

<file path=word/charts/_rels/chart79.xml.rels><?xml version="1.0" encoding="UTF-8" standalone="yes"?>
<Relationships xmlns="http://schemas.openxmlformats.org/package/2006/relationships"><Relationship Id="rId3" Type="http://schemas.openxmlformats.org/officeDocument/2006/relationships/oleObject" Target="file:///C:\Users\fernando%20duval\Desktop\para%20jesus%20pe&#241;a\Visitas%20Sorpresa\lluvias\JESUS%20Lluvias%20y%20embalses%20en%202019%20Preliminar%20%20%20al%204%20de%20diciembre.xlsx" TargetMode="External"/><Relationship Id="rId2" Type="http://schemas.microsoft.com/office/2011/relationships/chartColorStyle" Target="colors42.xml"/><Relationship Id="rId1" Type="http://schemas.microsoft.com/office/2011/relationships/chartStyle" Target="style42.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jesus%20pena\Downloads\Datos.xlsx" TargetMode="External"/><Relationship Id="rId2" Type="http://schemas.microsoft.com/office/2011/relationships/chartColorStyle" Target="colors8.xml"/><Relationship Id="rId1" Type="http://schemas.microsoft.com/office/2011/relationships/chartStyle" Target="style8.xml"/></Relationships>
</file>

<file path=word/charts/_rels/chart80.xml.rels><?xml version="1.0" encoding="UTF-8" standalone="yes"?>
<Relationships xmlns="http://schemas.openxmlformats.org/package/2006/relationships"><Relationship Id="rId1" Type="http://schemas.openxmlformats.org/officeDocument/2006/relationships/oleObject" Target="file:///C:\Users\fernando%20duval\Desktop\para%20jesus%20pe&#241;a\Visitas%20Sorpresa\lluvias\JESUS%20Lluvias%20y%20embalses%20en%202019%20Preliminar%20%20%20al%204%20de%20diciembre.xlsx" TargetMode="External"/></Relationships>
</file>

<file path=word/charts/_rels/chart81.xml.rels><?xml version="1.0" encoding="UTF-8" standalone="yes"?>
<Relationships xmlns="http://schemas.openxmlformats.org/package/2006/relationships"><Relationship Id="rId3" Type="http://schemas.openxmlformats.org/officeDocument/2006/relationships/oleObject" Target="file:///C:\Users\fernando%20duval\Desktop\para%20jesus%20pe&#241;a\Visitas%20Sorpresa\lluvias\JESUS%20Lluvias%20y%20embalses%20en%202019%20Preliminar%20%20%20al%204%20de%20diciembre.xlsx" TargetMode="External"/><Relationship Id="rId2" Type="http://schemas.microsoft.com/office/2011/relationships/chartColorStyle" Target="colors43.xml"/><Relationship Id="rId1" Type="http://schemas.microsoft.com/office/2011/relationships/chartStyle" Target="style43.xml"/></Relationships>
</file>

<file path=word/charts/_rels/chart82.xml.rels><?xml version="1.0" encoding="UTF-8" standalone="yes"?>
<Relationships xmlns="http://schemas.openxmlformats.org/package/2006/relationships"><Relationship Id="rId1" Type="http://schemas.openxmlformats.org/officeDocument/2006/relationships/oleObject" Target="file:///C:\Users\fernando%20duval\Desktop\para%20jesus%20pe&#241;a\Visitas%20Sorpresa\lluvias\JESUS%20Lluvias%20y%20embalses%20en%202019%20Preliminar%20%20%20al%204%20de%20diciembre.xlsx" TargetMode="External"/></Relationships>
</file>

<file path=word/charts/_rels/chart83.xml.rels><?xml version="1.0" encoding="UTF-8" standalone="yes"?>
<Relationships xmlns="http://schemas.openxmlformats.org/package/2006/relationships"><Relationship Id="rId3" Type="http://schemas.openxmlformats.org/officeDocument/2006/relationships/oleObject" Target="file:///C:\Users\fernando%20duval\Desktop\para%20jesus%20pe&#241;a\Visitas%20Sorpresa\lluvias\JESUS%20Lluvias%20y%20embalses%20en%202019%20Preliminar%20%20%20al%204%20de%20diciembre.xlsx" TargetMode="External"/><Relationship Id="rId2" Type="http://schemas.microsoft.com/office/2011/relationships/chartColorStyle" Target="colors44.xml"/><Relationship Id="rId1" Type="http://schemas.microsoft.com/office/2011/relationships/chartStyle" Target="style44.xml"/></Relationships>
</file>

<file path=word/charts/_rels/chart84.xml.rels><?xml version="1.0" encoding="UTF-8" standalone="yes"?>
<Relationships xmlns="http://schemas.openxmlformats.org/package/2006/relationships"><Relationship Id="rId1" Type="http://schemas.openxmlformats.org/officeDocument/2006/relationships/oleObject" Target="file:///C:\Users\fernando%20duval\Desktop\para%20jesus%20pe&#241;a\Visitas%20Sorpresa\lluvias\JESUS%20Lluvias%20y%20embalses%20en%202019%20Preliminar%20%20%20al%204%20de%20diciembre.xlsx" TargetMode="External"/></Relationships>
</file>

<file path=word/charts/_rels/chart85.xml.rels><?xml version="1.0" encoding="UTF-8" standalone="yes"?>
<Relationships xmlns="http://schemas.openxmlformats.org/package/2006/relationships"><Relationship Id="rId3" Type="http://schemas.openxmlformats.org/officeDocument/2006/relationships/oleObject" Target="file:///C:\Users\fernando%20duval\Desktop\para%20jesus%20pe&#241;a\Visitas%20Sorpresa\lluvias\JESUS%20Lluvias%20y%20embalses%20en%202019%20Preliminar%20%20%20al%204%20de%20diciembre.xlsx" TargetMode="External"/><Relationship Id="rId2" Type="http://schemas.microsoft.com/office/2011/relationships/chartColorStyle" Target="colors45.xml"/><Relationship Id="rId1" Type="http://schemas.microsoft.com/office/2011/relationships/chartStyle" Target="style45.xml"/></Relationships>
</file>

<file path=word/charts/_rels/chart86.xml.rels><?xml version="1.0" encoding="UTF-8" standalone="yes"?>
<Relationships xmlns="http://schemas.openxmlformats.org/package/2006/relationships"><Relationship Id="rId1" Type="http://schemas.openxmlformats.org/officeDocument/2006/relationships/oleObject" Target="file:///C:\Users\fernando%20duval\Desktop\para%20jesus%20pe&#241;a\Visitas%20Sorpresa\lluvias\JESUS%20Lluvias%20y%20embalses%20en%202019%20Preliminar%20%20%20al%204%20de%20diciembre.xlsx" TargetMode="External"/></Relationships>
</file>

<file path=word/charts/_rels/chart87.xml.rels><?xml version="1.0" encoding="UTF-8" standalone="yes"?>
<Relationships xmlns="http://schemas.openxmlformats.org/package/2006/relationships"><Relationship Id="rId3" Type="http://schemas.openxmlformats.org/officeDocument/2006/relationships/oleObject" Target="file:///C:\Users\fernando%20duval\Downloads\JESUS%20DEFINITIVO%20Lluvias%20y%20embalses%20en%202019%20%20%20ManEGonTe.xlsx" TargetMode="External"/><Relationship Id="rId2" Type="http://schemas.microsoft.com/office/2011/relationships/chartColorStyle" Target="colors46.xml"/><Relationship Id="rId1" Type="http://schemas.microsoft.com/office/2011/relationships/chartStyle" Target="style46.xml"/></Relationships>
</file>

<file path=word/charts/_rels/chart88.xml.rels><?xml version="1.0" encoding="UTF-8" standalone="yes"?>
<Relationships xmlns="http://schemas.openxmlformats.org/package/2006/relationships"><Relationship Id="rId1" Type="http://schemas.openxmlformats.org/officeDocument/2006/relationships/oleObject" Target="file:///C:\Users\fernando%20duval\Desktop\para%20jesus%20pe&#241;a\Visitas%20Sorpresa\lluvias\JESUS%20Lluvias%20y%20embalses%20en%202019%20Preliminar%20%20%20al%204%20de%20diciembre.xlsx" TargetMode="External"/></Relationships>
</file>

<file path=word/charts/_rels/chart89.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47.xml"/><Relationship Id="rId1" Type="http://schemas.microsoft.com/office/2011/relationships/chartStyle" Target="style47.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jesus%20pena\Desktop\MEMORIA%202019\en%20proceso%202019\4%20dic.%202019\Datos%204%20dic.%202019.xlsx" TargetMode="External"/><Relationship Id="rId2" Type="http://schemas.microsoft.com/office/2011/relationships/chartColorStyle" Target="colors9.xml"/><Relationship Id="rId1" Type="http://schemas.microsoft.com/office/2011/relationships/chartStyle" Target="style9.xml"/></Relationships>
</file>

<file path=word/charts/_rels/chart90.xml.rels><?xml version="1.0" encoding="UTF-8" standalone="yes"?>
<Relationships xmlns="http://schemas.openxmlformats.org/package/2006/relationships"><Relationship Id="rId1" Type="http://schemas.openxmlformats.org/officeDocument/2006/relationships/oleObject" Target="file:///C:\Users\fernando%20duval\Desktop\para%20jesus%20pe&#241;a\Visitas%20Sorpresa\lluvias\JESUS%20Lluvias%20y%20embalses%20en%202019%20Preliminar%20%20%20al%204%20de%20diciembre.xlsx" TargetMode="External"/></Relationships>
</file>

<file path=word/charts/_rels/chart91.xml.rels><?xml version="1.0" encoding="UTF-8" standalone="yes"?>
<Relationships xmlns="http://schemas.openxmlformats.org/package/2006/relationships"><Relationship Id="rId3" Type="http://schemas.openxmlformats.org/officeDocument/2006/relationships/oleObject" Target="file:///C:\Users\fernando%20duval\Desktop\para%20jesus%20pe&#241;a\Visitas%20Sorpresa\lluvias\JESUS%20Lluvias%20y%20embalses%20en%202019%20Preliminar%20%20%20al%204%20de%20diciembre.xlsx" TargetMode="External"/><Relationship Id="rId2" Type="http://schemas.microsoft.com/office/2011/relationships/chartColorStyle" Target="colors48.xml"/><Relationship Id="rId1" Type="http://schemas.microsoft.com/office/2011/relationships/chartStyle" Target="style48.xml"/></Relationships>
</file>

<file path=word/charts/_rels/chart92.xml.rels><?xml version="1.0" encoding="UTF-8" standalone="yes"?>
<Relationships xmlns="http://schemas.openxmlformats.org/package/2006/relationships"><Relationship Id="rId1" Type="http://schemas.openxmlformats.org/officeDocument/2006/relationships/oleObject" Target="file:///C:\Users\fernando%20duval\Desktop\para%20jesus%20pe&#241;a\Visitas%20Sorpresa\lluvias\JESUS%20Lluvias%20y%20embalses%20en%202019%20Preliminar%20%20%20al%204%20de%20diciembre.xlsx" TargetMode="External"/></Relationships>
</file>

<file path=word/charts/_rels/chart93.xml.rels><?xml version="1.0" encoding="UTF-8" standalone="yes"?>
<Relationships xmlns="http://schemas.openxmlformats.org/package/2006/relationships"><Relationship Id="rId3" Type="http://schemas.openxmlformats.org/officeDocument/2006/relationships/oleObject" Target="file:///C:\Users\fernando%20duval\Desktop\para%20jesus%20pe&#241;a\Visitas%20Sorpresa\lluvias\JESUS%20Lluvias%20y%20embalses%20en%202019%20Preliminar%20%20%20al%204%20de%20diciembre.xlsx" TargetMode="External"/><Relationship Id="rId2" Type="http://schemas.microsoft.com/office/2011/relationships/chartColorStyle" Target="colors49.xml"/><Relationship Id="rId1" Type="http://schemas.microsoft.com/office/2011/relationships/chartStyle" Target="style49.xml"/></Relationships>
</file>

<file path=word/charts/_rels/chart94.xml.rels><?xml version="1.0" encoding="UTF-8" standalone="yes"?>
<Relationships xmlns="http://schemas.openxmlformats.org/package/2006/relationships"><Relationship Id="rId1" Type="http://schemas.openxmlformats.org/officeDocument/2006/relationships/oleObject" Target="file:///C:\Users\fernando%20duval\AppData\Roaming\Microsoft\Excel\JESUS%20Lluvias%20y%20embalses%20en%202019%20Preliminar%20%20%20al%204%20de%20diciembre%20(version%201).xlsb" TargetMode="External"/></Relationships>
</file>

<file path=word/charts/_rels/chart95.xml.rels><?xml version="1.0" encoding="UTF-8" standalone="yes"?>
<Relationships xmlns="http://schemas.openxmlformats.org/package/2006/relationships"><Relationship Id="rId3" Type="http://schemas.openxmlformats.org/officeDocument/2006/relationships/oleObject" Target="file:///C:\Users\fernando%20duval\AppData\Roaming\Microsoft\Excel\JESUS%20Lluvias%20y%20embalses%20en%202019%20Preliminar%20%20%20al%204%20de%20diciembre%20(version%201).xlsb" TargetMode="External"/><Relationship Id="rId2" Type="http://schemas.microsoft.com/office/2011/relationships/chartColorStyle" Target="colors50.xml"/><Relationship Id="rId1" Type="http://schemas.microsoft.com/office/2011/relationships/chartStyle" Target="style50.xml"/></Relationships>
</file>

<file path=word/charts/_rels/chart96.xml.rels><?xml version="1.0" encoding="UTF-8" standalone="yes"?>
<Relationships xmlns="http://schemas.openxmlformats.org/package/2006/relationships"><Relationship Id="rId1" Type="http://schemas.openxmlformats.org/officeDocument/2006/relationships/oleObject" Target="file:///C:\Users\fernando%20duval\AppData\Roaming\Microsoft\Excel\JESUS%20Lluvias%20y%20embalses%20en%202019%20Preliminar%20%20%20al%204%20de%20diciembre%20(version%201).xlsb" TargetMode="External"/></Relationships>
</file>

<file path=word/charts/_rels/chart97.xml.rels><?xml version="1.0" encoding="UTF-8" standalone="yes"?>
<Relationships xmlns="http://schemas.openxmlformats.org/package/2006/relationships"><Relationship Id="rId3" Type="http://schemas.openxmlformats.org/officeDocument/2006/relationships/oleObject" Target="file:///C:\Users\fernando%20duval\AppData\Roaming\Microsoft\Excel\JESUS%20Lluvias%20y%20embalses%20en%202019%20Preliminar%20%20%20al%204%20de%20diciembre%20(version%201).xlsb" TargetMode="External"/><Relationship Id="rId2" Type="http://schemas.microsoft.com/office/2011/relationships/chartColorStyle" Target="colors51.xml"/><Relationship Id="rId1" Type="http://schemas.microsoft.com/office/2011/relationships/chartStyle" Target="style51.xml"/></Relationships>
</file>

<file path=word/charts/_rels/chart98.xml.rels><?xml version="1.0" encoding="UTF-8" standalone="yes"?>
<Relationships xmlns="http://schemas.openxmlformats.org/package/2006/relationships"><Relationship Id="rId1" Type="http://schemas.openxmlformats.org/officeDocument/2006/relationships/oleObject" Target="file:///C:\Users\fernando%20duval\AppData\Roaming\Microsoft\Excel\JESUS%20Lluvias%20y%20embalses%20en%202019%20Preliminar%20%20%20al%204%20de%20diciembre%20(version%201).xlsb" TargetMode="External"/></Relationships>
</file>

<file path=word/charts/_rels/chart99.xml.rels><?xml version="1.0" encoding="UTF-8" standalone="yes"?>
<Relationships xmlns="http://schemas.openxmlformats.org/package/2006/relationships"><Relationship Id="rId3" Type="http://schemas.openxmlformats.org/officeDocument/2006/relationships/oleObject" Target="file:///C:\Users\fernando%20duval\AppData\Roaming\Microsoft\Excel\JESUS%20Lluvias%20y%20embalses%20en%202019%20Preliminar%20%20%20al%204%20de%20diciembre%20(version%201).xlsb" TargetMode="External"/><Relationship Id="rId2" Type="http://schemas.microsoft.com/office/2011/relationships/chartColorStyle" Target="colors52.xml"/><Relationship Id="rId1" Type="http://schemas.microsoft.com/office/2011/relationships/chartStyle" Target="style5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'[Datos 13 dic. 2019.xlsx]Chart Producción'!$D$4</c:f>
              <c:strCache>
                <c:ptCount val="1"/>
                <c:pt idx="0">
                  <c:v>Productores/as Capacitados</c:v>
                </c:pt>
              </c:strCache>
            </c:strRef>
          </c:tx>
          <c:spPr>
            <a:solidFill>
              <a:srgbClr val="00B050"/>
            </a:solidFill>
            <a:ln>
              <a:noFill/>
            </a:ln>
            <a:effectLst/>
          </c:spPr>
          <c:invertIfNegative val="0"/>
          <c:dPt>
            <c:idx val="0"/>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1-43FA-4965-AE32-B727C89934D9}"/>
              </c:ext>
            </c:extLst>
          </c:dPt>
          <c:dPt>
            <c:idx val="1"/>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3-43FA-4965-AE32-B727C89934D9}"/>
              </c:ext>
            </c:extLst>
          </c:dPt>
          <c:dPt>
            <c:idx val="3"/>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5-43FA-4965-AE32-B727C89934D9}"/>
              </c:ext>
            </c:extLst>
          </c:dPt>
          <c:dPt>
            <c:idx val="4"/>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7-43FA-4965-AE32-B727C89934D9}"/>
              </c:ext>
            </c:extLst>
          </c:dPt>
          <c:dPt>
            <c:idx val="5"/>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9-43FA-4965-AE32-B727C89934D9}"/>
              </c:ext>
            </c:extLst>
          </c:dPt>
          <c:dLbls>
            <c:dLbl>
              <c:idx val="0"/>
              <c:layout>
                <c:manualLayout>
                  <c:x val="2.5559414065526691E-3"/>
                  <c:y val="1.85769337381252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3FA-4965-AE32-B727C89934D9}"/>
                </c:ext>
                <c:ext xmlns:c15="http://schemas.microsoft.com/office/drawing/2012/chart" uri="{CE6537A1-D6FC-4f65-9D91-7224C49458BB}"/>
              </c:extLst>
            </c:dLbl>
            <c:dLbl>
              <c:idx val="1"/>
              <c:layout>
                <c:manualLayout>
                  <c:x val="0"/>
                  <c:y val="1.85769337381252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3FA-4965-AE32-B727C89934D9}"/>
                </c:ext>
                <c:ext xmlns:c15="http://schemas.microsoft.com/office/drawing/2012/chart" uri="{CE6537A1-D6FC-4f65-9D91-7224C49458BB}"/>
              </c:extLst>
            </c:dLbl>
            <c:dLbl>
              <c:idx val="2"/>
              <c:layout>
                <c:manualLayout>
                  <c:x val="0"/>
                  <c:y val="1.3932700303593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43FA-4965-AE32-B727C89934D9}"/>
                </c:ext>
                <c:ext xmlns:c15="http://schemas.microsoft.com/office/drawing/2012/chart" uri="{CE6537A1-D6FC-4f65-9D91-7224C49458BB}"/>
              </c:extLst>
            </c:dLbl>
            <c:dLbl>
              <c:idx val="3"/>
              <c:layout>
                <c:manualLayout>
                  <c:x val="-9.3716768949486246E-17"/>
                  <c:y val="1.85769337381252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3FA-4965-AE32-B727C89934D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'[Datos 13 dic. 2019.xlsx]Chart Producción'!$G$3:$O$3</c:f>
              <c:numCache>
                <c:formatCode>General</c:formatCode>
                <c:ptCount val="8"/>
                <c:pt idx="0">
                  <c:v>2012</c:v>
                </c:pt>
                <c:pt idx="1">
                  <c:v>2013</c:v>
                </c:pt>
                <c:pt idx="2">
                  <c:v>2014</c:v>
                </c:pt>
                <c:pt idx="3">
                  <c:v>2015</c:v>
                </c:pt>
                <c:pt idx="4">
                  <c:v>2016</c:v>
                </c:pt>
                <c:pt idx="5">
                  <c:v>2017</c:v>
                </c:pt>
                <c:pt idx="6">
                  <c:v>2018</c:v>
                </c:pt>
                <c:pt idx="7">
                  <c:v>2019</c:v>
                </c:pt>
              </c:numCache>
            </c:numRef>
          </c:cat>
          <c:val>
            <c:numRef>
              <c:f>'[Datos 13 dic. 2019.xlsx]Chart Producción'!$G$4:$O$4</c:f>
              <c:numCache>
                <c:formatCode>#,##0</c:formatCode>
                <c:ptCount val="8"/>
                <c:pt idx="0">
                  <c:v>20600</c:v>
                </c:pt>
                <c:pt idx="1">
                  <c:v>48761</c:v>
                </c:pt>
                <c:pt idx="2">
                  <c:v>409241</c:v>
                </c:pt>
                <c:pt idx="3">
                  <c:v>216436</c:v>
                </c:pt>
                <c:pt idx="4">
                  <c:v>146835</c:v>
                </c:pt>
                <c:pt idx="5">
                  <c:v>129384</c:v>
                </c:pt>
                <c:pt idx="6">
                  <c:v>140251</c:v>
                </c:pt>
                <c:pt idx="7">
                  <c:v>195962</c:v>
                </c:pt>
              </c:numCache>
            </c:numRef>
          </c:val>
          <c:extLst xmlns:c16r2="http://schemas.microsoft.com/office/drawing/2015/06/chart">
            <c:ext xmlns:c16="http://schemas.microsoft.com/office/drawing/2014/chart" uri="{C3380CC4-5D6E-409C-BE32-E72D297353CC}">
              <c16:uniqueId val="{0000000B-43FA-4965-AE32-B727C89934D9}"/>
            </c:ext>
          </c:extLst>
        </c:ser>
        <c:dLbls>
          <c:showLegendKey val="0"/>
          <c:showVal val="0"/>
          <c:showCatName val="0"/>
          <c:showSerName val="0"/>
          <c:showPercent val="0"/>
          <c:showBubbleSize val="0"/>
        </c:dLbls>
        <c:gapWidth val="100"/>
        <c:overlap val="-24"/>
        <c:axId val="-835775760"/>
        <c:axId val="-835775216"/>
      </c:barChart>
      <c:catAx>
        <c:axId val="-835775760"/>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75216"/>
        <c:crosses val="autoZero"/>
        <c:auto val="1"/>
        <c:lblAlgn val="ctr"/>
        <c:lblOffset val="100"/>
        <c:noMultiLvlLbl val="0"/>
      </c:catAx>
      <c:valAx>
        <c:axId val="-83577521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t>Productores/as Capacitados/as</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75760"/>
        <c:crosses val="autoZero"/>
        <c:crossBetween val="between"/>
        <c:majorUnit val="150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262467519562062E-2"/>
          <c:y val="2.0259409672705266E-2"/>
          <c:w val="0.87352518396152601"/>
          <c:h val="0.91276673673709352"/>
        </c:manualLayout>
      </c:layout>
      <c:barChart>
        <c:barDir val="col"/>
        <c:grouping val="clustered"/>
        <c:varyColors val="0"/>
        <c:ser>
          <c:idx val="1"/>
          <c:order val="0"/>
          <c:tx>
            <c:strRef>
              <c:f>'[Datos 13 dic. 2019.xlsx]Chart Producción'!$D$15</c:f>
              <c:strCache>
                <c:ptCount val="1"/>
                <c:pt idx="0">
                  <c:v>Investigaciones Realizadas</c:v>
                </c:pt>
              </c:strCache>
            </c:strRef>
          </c:tx>
          <c:spPr>
            <a:solidFill>
              <a:srgbClr val="00B050"/>
            </a:solidFill>
            <a:ln>
              <a:noFill/>
            </a:ln>
            <a:effectLst/>
          </c:spPr>
          <c:invertIfNegative val="0"/>
          <c:dPt>
            <c:idx val="0"/>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1-CDB1-4141-9BE7-E96216FCA32B}"/>
              </c:ext>
            </c:extLst>
          </c:dPt>
          <c:dPt>
            <c:idx val="1"/>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3-CDB1-4141-9BE7-E96216FCA32B}"/>
              </c:ext>
            </c:extLst>
          </c:dPt>
          <c:dPt>
            <c:idx val="2"/>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5-CDB1-4141-9BE7-E96216FCA32B}"/>
              </c:ext>
            </c:extLst>
          </c:dPt>
          <c:dPt>
            <c:idx val="3"/>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7-CDB1-4141-9BE7-E96216FCA32B}"/>
              </c:ext>
            </c:extLst>
          </c:dPt>
          <c:dPt>
            <c:idx val="4"/>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9-CDB1-4141-9BE7-E96216FCA32B}"/>
              </c:ext>
            </c:extLst>
          </c:dPt>
          <c:dPt>
            <c:idx val="5"/>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B-CDB1-4141-9BE7-E96216FCA32B}"/>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'[Datos 13 dic. 2019.xlsx]Chart Producción'!$G$3:$O$3</c:f>
              <c:numCache>
                <c:formatCode>General</c:formatCode>
                <c:ptCount val="8"/>
                <c:pt idx="0">
                  <c:v>2012</c:v>
                </c:pt>
                <c:pt idx="1">
                  <c:v>2013</c:v>
                </c:pt>
                <c:pt idx="2">
                  <c:v>2014</c:v>
                </c:pt>
                <c:pt idx="3">
                  <c:v>2015</c:v>
                </c:pt>
                <c:pt idx="4">
                  <c:v>2016</c:v>
                </c:pt>
                <c:pt idx="5">
                  <c:v>2017</c:v>
                </c:pt>
                <c:pt idx="6">
                  <c:v>2018</c:v>
                </c:pt>
                <c:pt idx="7">
                  <c:v>2019</c:v>
                </c:pt>
              </c:numCache>
            </c:numRef>
          </c:cat>
          <c:val>
            <c:numRef>
              <c:f>'[Datos 13 dic. 2019.xlsx]Chart Producción'!$G$15:$O$15</c:f>
              <c:numCache>
                <c:formatCode>#,##0</c:formatCode>
                <c:ptCount val="8"/>
                <c:pt idx="0">
                  <c:v>60</c:v>
                </c:pt>
                <c:pt idx="1">
                  <c:v>44</c:v>
                </c:pt>
                <c:pt idx="2">
                  <c:v>177</c:v>
                </c:pt>
                <c:pt idx="3">
                  <c:v>72</c:v>
                </c:pt>
                <c:pt idx="4">
                  <c:v>49</c:v>
                </c:pt>
                <c:pt idx="5">
                  <c:v>37</c:v>
                </c:pt>
                <c:pt idx="6">
                  <c:v>23</c:v>
                </c:pt>
                <c:pt idx="7">
                  <c:v>22</c:v>
                </c:pt>
              </c:numCache>
            </c:numRef>
          </c:val>
          <c:extLst xmlns:c16r2="http://schemas.microsoft.com/office/drawing/2015/06/chart">
            <c:ext xmlns:c16="http://schemas.microsoft.com/office/drawing/2014/chart" uri="{C3380CC4-5D6E-409C-BE32-E72D297353CC}">
              <c16:uniqueId val="{0000000C-CDB1-4141-9BE7-E96216FCA32B}"/>
            </c:ext>
          </c:extLst>
        </c:ser>
        <c:dLbls>
          <c:showLegendKey val="0"/>
          <c:showVal val="0"/>
          <c:showCatName val="0"/>
          <c:showSerName val="0"/>
          <c:showPercent val="0"/>
          <c:showBubbleSize val="0"/>
        </c:dLbls>
        <c:gapWidth val="100"/>
        <c:overlap val="-24"/>
        <c:axId val="-835782288"/>
        <c:axId val="-835765424"/>
      </c:barChart>
      <c:catAx>
        <c:axId val="-835782288"/>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65424"/>
        <c:crosses val="autoZero"/>
        <c:auto val="1"/>
        <c:lblAlgn val="ctr"/>
        <c:lblOffset val="100"/>
        <c:noMultiLvlLbl val="0"/>
      </c:catAx>
      <c:valAx>
        <c:axId val="-83576542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t>Investigaciones Realizadas</a:t>
                </a:r>
              </a:p>
            </c:rich>
          </c:tx>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822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'SurEste 2018'!$A$333</c:f>
              <c:strCache>
                <c:ptCount val="1"/>
                <c:pt idx="0">
                  <c:v>NORMAL</c:v>
                </c:pt>
              </c:strCache>
            </c:strRef>
          </c:tx>
          <c:spPr>
            <a:ln w="38100" cap="rnd">
              <a:solidFill>
                <a:schemeClr val="tx1"/>
              </a:solidFill>
              <a:prstDash val="sysDash"/>
              <a:round/>
            </a:ln>
            <a:effectLst/>
          </c:spPr>
          <c:marker>
            <c:symbol val="none"/>
          </c:marker>
          <c:cat>
            <c:strRef>
              <c:f>'SurEste 2018'!$B$332:$M$332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2018'!$B$333:$M$333</c:f>
              <c:numCache>
                <c:formatCode>0.0</c:formatCode>
                <c:ptCount val="12"/>
                <c:pt idx="0">
                  <c:v>70.099999999999994</c:v>
                </c:pt>
                <c:pt idx="1">
                  <c:v>73.5</c:v>
                </c:pt>
                <c:pt idx="2">
                  <c:v>69.3</c:v>
                </c:pt>
                <c:pt idx="3">
                  <c:v>84.4</c:v>
                </c:pt>
                <c:pt idx="4">
                  <c:v>165.5</c:v>
                </c:pt>
                <c:pt idx="5">
                  <c:v>230.9</c:v>
                </c:pt>
                <c:pt idx="6">
                  <c:v>161.9</c:v>
                </c:pt>
                <c:pt idx="7">
                  <c:v>213.3</c:v>
                </c:pt>
                <c:pt idx="8">
                  <c:v>247.8</c:v>
                </c:pt>
                <c:pt idx="9">
                  <c:v>187</c:v>
                </c:pt>
                <c:pt idx="10">
                  <c:v>133.30000000000001</c:v>
                </c:pt>
                <c:pt idx="11">
                  <c:v>84.4</c:v>
                </c:pt>
              </c:numCache>
            </c:numRef>
          </c:val>
          <c:smooth val="1"/>
          <c:extLst xmlns:c16r2="http://schemas.microsoft.com/office/drawing/2015/06/chart">
            <c:ext xmlns:c16="http://schemas.microsoft.com/office/drawing/2014/chart" uri="{C3380CC4-5D6E-409C-BE32-E72D297353CC}">
              <c16:uniqueId val="{00000000-D468-4716-92DE-A4A434A4A763}"/>
            </c:ext>
          </c:extLst>
        </c:ser>
        <c:ser>
          <c:idx val="1"/>
          <c:order val="1"/>
          <c:tx>
            <c:strRef>
              <c:f>'SurEste 2018'!$A$334</c:f>
              <c:strCache>
                <c:ptCount val="1"/>
                <c:pt idx="0">
                  <c:v>2019</c:v>
                </c:pt>
              </c:strCache>
            </c:strRef>
          </c:tx>
          <c:spPr>
            <a:ln w="50800" cap="rnd">
              <a:solidFill>
                <a:srgbClr val="669900"/>
              </a:solidFill>
              <a:round/>
            </a:ln>
            <a:effectLst/>
          </c:spPr>
          <c:marker>
            <c:symbol val="none"/>
          </c:marker>
          <c:cat>
            <c:strRef>
              <c:f>'SurEste 2018'!$B$332:$M$332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2018'!$B$334:$M$334</c:f>
              <c:numCache>
                <c:formatCode>_(* #,##0.0_);_(* \(#,##0.0\);_(* "-"??_);_(@_)</c:formatCode>
                <c:ptCount val="12"/>
                <c:pt idx="0">
                  <c:v>90.3</c:v>
                </c:pt>
                <c:pt idx="1">
                  <c:v>51.7</c:v>
                </c:pt>
                <c:pt idx="2">
                  <c:v>92.9</c:v>
                </c:pt>
                <c:pt idx="3">
                  <c:v>64</c:v>
                </c:pt>
                <c:pt idx="4">
                  <c:v>163</c:v>
                </c:pt>
                <c:pt idx="5">
                  <c:v>84.2</c:v>
                </c:pt>
                <c:pt idx="6">
                  <c:v>290.60000000000002</c:v>
                </c:pt>
                <c:pt idx="7">
                  <c:v>139.19999999999999</c:v>
                </c:pt>
                <c:pt idx="8">
                  <c:v>570.20000000000005</c:v>
                </c:pt>
                <c:pt idx="9">
                  <c:v>134.80000000000001</c:v>
                </c:pt>
                <c:pt idx="10">
                  <c:v>52.4</c:v>
                </c:pt>
              </c:numCache>
            </c:numRef>
          </c:val>
          <c:smooth val="1"/>
          <c:extLst xmlns:c16r2="http://schemas.microsoft.com/office/drawing/2015/06/chart">
            <c:ext xmlns:c16="http://schemas.microsoft.com/office/drawing/2014/chart" uri="{C3380CC4-5D6E-409C-BE32-E72D297353CC}">
              <c16:uniqueId val="{00000001-D468-4716-92DE-A4A434A4A763}"/>
            </c:ext>
          </c:extLst>
        </c:ser>
        <c:dLbls>
          <c:showLegendKey val="0"/>
          <c:showVal val="0"/>
          <c:showCatName val="0"/>
          <c:showSerName val="0"/>
          <c:showPercent val="0"/>
          <c:showBubbleSize val="0"/>
        </c:dLbls>
        <c:smooth val="0"/>
        <c:axId val="-869462960"/>
        <c:axId val="-869472752"/>
      </c:lineChart>
      <c:catAx>
        <c:axId val="-8694629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s-DO"/>
          </a:p>
        </c:txPr>
        <c:crossAx val="-869472752"/>
        <c:crosses val="autoZero"/>
        <c:auto val="1"/>
        <c:lblAlgn val="ctr"/>
        <c:lblOffset val="100"/>
        <c:noMultiLvlLbl val="0"/>
      </c:catAx>
      <c:valAx>
        <c:axId val="-869472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62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'[JESUS DEFINITIVO Lluvias y embalses en 2019   ManEGonTe.xlsx]SurEste 2018'!$A$335</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7B3B-43E1-9DBF-22435FDD44FB}"/>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91DD-4D03-AFAF-7BF76D0E1969}"/>
              </c:ext>
            </c:extLst>
          </c:dPt>
          <c:dPt>
            <c:idx val="3"/>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7B3B-43E1-9DBF-22435FDD44FB}"/>
              </c:ext>
            </c:extLst>
          </c:dPt>
          <c:dPt>
            <c:idx val="4"/>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7B3B-43E1-9DBF-22435FDD44FB}"/>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91DD-4D03-AFAF-7BF76D0E1969}"/>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B-91DD-4D03-AFAF-7BF76D0E1969}"/>
              </c:ext>
            </c:extLst>
          </c:dPt>
          <c:dPt>
            <c:idx val="9"/>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4-7B3B-43E1-9DBF-22435FDD44FB}"/>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'[JESUS DEFINITIVO Lluvias y embalses en 2019   ManEGonTe.xlsx]SurEste 2018'!$B$332:$M$332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ManEGonTe.xlsx]SurEste 2018'!$B$335:$M$335</c:f>
              <c:numCache>
                <c:formatCode>0.0</c:formatCode>
                <c:ptCount val="12"/>
                <c:pt idx="0">
                  <c:v>28.81597717546363</c:v>
                </c:pt>
                <c:pt idx="1">
                  <c:v>-29.659863945578223</c:v>
                </c:pt>
                <c:pt idx="2">
                  <c:v>34.054834054834068</c:v>
                </c:pt>
                <c:pt idx="3">
                  <c:v>-24.170616113744078</c:v>
                </c:pt>
                <c:pt idx="4">
                  <c:v>-1.5105740181268883</c:v>
                </c:pt>
                <c:pt idx="5">
                  <c:v>-63.53399740147249</c:v>
                </c:pt>
                <c:pt idx="6">
                  <c:v>79.493514515132802</c:v>
                </c:pt>
                <c:pt idx="7">
                  <c:v>-34.73980309423348</c:v>
                </c:pt>
                <c:pt idx="8">
                  <c:v>130.10492332526232</c:v>
                </c:pt>
                <c:pt idx="9">
                  <c:v>-27.914438502673793</c:v>
                </c:pt>
                <c:pt idx="10">
                  <c:v>-60.6</c:v>
                </c:pt>
              </c:numCache>
            </c:numRef>
          </c:val>
          <c:extLst xmlns:c16r2="http://schemas.microsoft.com/office/drawing/2015/06/chart">
            <c:ext xmlns:c16="http://schemas.microsoft.com/office/drawing/2014/chart" uri="{C3380CC4-5D6E-409C-BE32-E72D297353CC}">
              <c16:uniqueId val="{00000000-7B3B-43E1-9DBF-22435FDD44FB}"/>
            </c:ext>
          </c:extLst>
        </c:ser>
        <c:dLbls>
          <c:showLegendKey val="0"/>
          <c:showVal val="0"/>
          <c:showCatName val="0"/>
          <c:showSerName val="0"/>
          <c:showPercent val="0"/>
          <c:showBubbleSize val="0"/>
        </c:dLbls>
        <c:gapWidth val="219"/>
        <c:overlap val="-27"/>
        <c:axId val="-869465680"/>
        <c:axId val="-869474384"/>
      </c:barChart>
      <c:catAx>
        <c:axId val="-8694656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74384"/>
        <c:crosses val="autoZero"/>
        <c:auto val="1"/>
        <c:lblAlgn val="ctr"/>
        <c:lblOffset val="100"/>
        <c:noMultiLvlLbl val="0"/>
      </c:catAx>
      <c:valAx>
        <c:axId val="-869474384"/>
        <c:scaling>
          <c:orientation val="minMax"/>
          <c:max val="1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656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'Norte Cibao'!$A$5</c:f>
              <c:strCache>
                <c:ptCount val="1"/>
                <c:pt idx="0">
                  <c:v>NORMAL</c:v>
                </c:pt>
              </c:strCache>
            </c:strRef>
          </c:tx>
          <c:spPr>
            <a:ln w="38100" cap="rnd">
              <a:solidFill>
                <a:schemeClr val="tx1"/>
              </a:solidFill>
              <a:prstDash val="sysDash"/>
              <a:round/>
            </a:ln>
            <a:effectLst/>
          </c:spPr>
          <c:marker>
            <c:symbol val="none"/>
          </c:marker>
          <c:cat>
            <c:strRef>
              <c:f>'Norte Cibao'!$B$4:$M$4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'Norte Cibao'!$B$5:$M$5</c:f>
              <c:numCache>
                <c:formatCode>0.0</c:formatCode>
                <c:ptCount val="12"/>
                <c:pt idx="0">
                  <c:v>96</c:v>
                </c:pt>
                <c:pt idx="1">
                  <c:v>84.9</c:v>
                </c:pt>
                <c:pt idx="2">
                  <c:v>103.2</c:v>
                </c:pt>
                <c:pt idx="3">
                  <c:v>153</c:v>
                </c:pt>
                <c:pt idx="4">
                  <c:v>200.7</c:v>
                </c:pt>
                <c:pt idx="5">
                  <c:v>80.5</c:v>
                </c:pt>
                <c:pt idx="6">
                  <c:v>92.6</c:v>
                </c:pt>
                <c:pt idx="7">
                  <c:v>110.1</c:v>
                </c:pt>
                <c:pt idx="8">
                  <c:v>128.30000000000001</c:v>
                </c:pt>
                <c:pt idx="9">
                  <c:v>161.30000000000001</c:v>
                </c:pt>
                <c:pt idx="10">
                  <c:v>151.19999999999999</c:v>
                </c:pt>
                <c:pt idx="11">
                  <c:v>110.2</c:v>
                </c:pt>
              </c:numCache>
            </c:numRef>
          </c:val>
          <c:smooth val="1"/>
          <c:extLst xmlns:c16r2="http://schemas.microsoft.com/office/drawing/2015/06/chart">
            <c:ext xmlns:c16="http://schemas.microsoft.com/office/drawing/2014/chart" uri="{C3380CC4-5D6E-409C-BE32-E72D297353CC}">
              <c16:uniqueId val="{00000000-BBA7-4B2B-9A7A-6B6EC676A0E9}"/>
            </c:ext>
          </c:extLst>
        </c:ser>
        <c:ser>
          <c:idx val="1"/>
          <c:order val="1"/>
          <c:tx>
            <c:strRef>
              <c:f>'Norte Cibao'!$A$6</c:f>
              <c:strCache>
                <c:ptCount val="1"/>
                <c:pt idx="0">
                  <c:v>2019</c:v>
                </c:pt>
              </c:strCache>
            </c:strRef>
          </c:tx>
          <c:spPr>
            <a:ln w="50800" cap="rnd">
              <a:solidFill>
                <a:srgbClr val="669900"/>
              </a:solidFill>
              <a:round/>
            </a:ln>
            <a:effectLst/>
          </c:spPr>
          <c:marker>
            <c:symbol val="none"/>
          </c:marker>
          <c:cat>
            <c:strRef>
              <c:f>'Norte Cibao'!$B$4:$M$4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'Norte Cibao'!$B$6:$M$6</c:f>
              <c:numCache>
                <c:formatCode>_(* #,##0.0_);_(* \(#,##0.0\);_(* "-"??_);_(@_)</c:formatCode>
                <c:ptCount val="12"/>
                <c:pt idx="0">
                  <c:v>17.100000000000001</c:v>
                </c:pt>
                <c:pt idx="1">
                  <c:v>17.5</c:v>
                </c:pt>
                <c:pt idx="2">
                  <c:v>134.6</c:v>
                </c:pt>
                <c:pt idx="3">
                  <c:v>126.5</c:v>
                </c:pt>
                <c:pt idx="4">
                  <c:v>188.8</c:v>
                </c:pt>
                <c:pt idx="5">
                  <c:v>41.1</c:v>
                </c:pt>
                <c:pt idx="6">
                  <c:v>72.599999999999994</c:v>
                </c:pt>
                <c:pt idx="7">
                  <c:v>57.1</c:v>
                </c:pt>
                <c:pt idx="8">
                  <c:v>175.6</c:v>
                </c:pt>
                <c:pt idx="9">
                  <c:v>100.89999999999999</c:v>
                </c:pt>
                <c:pt idx="10">
                  <c:v>73.900000000000006</c:v>
                </c:pt>
              </c:numCache>
            </c:numRef>
          </c:val>
          <c:smooth val="1"/>
          <c:extLst xmlns:c16r2="http://schemas.microsoft.com/office/drawing/2015/06/chart">
            <c:ext xmlns:c16="http://schemas.microsoft.com/office/drawing/2014/chart" uri="{C3380CC4-5D6E-409C-BE32-E72D297353CC}">
              <c16:uniqueId val="{00000001-BBA7-4B2B-9A7A-6B6EC676A0E9}"/>
            </c:ext>
          </c:extLst>
        </c:ser>
        <c:dLbls>
          <c:showLegendKey val="0"/>
          <c:showVal val="0"/>
          <c:showCatName val="0"/>
          <c:showSerName val="0"/>
          <c:showPercent val="0"/>
          <c:showBubbleSize val="0"/>
        </c:dLbls>
        <c:smooth val="0"/>
        <c:axId val="-869457520"/>
        <c:axId val="-869462416"/>
      </c:lineChart>
      <c:catAx>
        <c:axId val="-8694575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s-DO"/>
          </a:p>
        </c:txPr>
        <c:crossAx val="-869462416"/>
        <c:crosses val="autoZero"/>
        <c:auto val="1"/>
        <c:lblAlgn val="ctr"/>
        <c:lblOffset val="100"/>
        <c:noMultiLvlLbl val="0"/>
      </c:catAx>
      <c:valAx>
        <c:axId val="-8694624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57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'Norte Cibao'!$A$7</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4C84-410D-99E4-0D0334D7E244}"/>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4C84-410D-99E4-0D0334D7E244}"/>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4C84-410D-99E4-0D0334D7E244}"/>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007E-40C2-A70C-78088A41E99F}"/>
              </c:ext>
            </c:extLst>
          </c:dPt>
          <c:dLbls>
            <c:dLbl>
              <c:idx val="4"/>
              <c:layout>
                <c:manualLayout>
                  <c:x val="3.5279590756746573E-3"/>
                  <c:y val="-4.54545454545454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A41-44E8-A64A-F943E1FF2D2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'Norte Cibao'!$B$4:$M$4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'Norte Cibao'!$B$7:$M$7</c:f>
              <c:numCache>
                <c:formatCode>0.0</c:formatCode>
                <c:ptCount val="12"/>
                <c:pt idx="0">
                  <c:v>-82.187500000000014</c:v>
                </c:pt>
                <c:pt idx="1">
                  <c:v>-79.387514723203779</c:v>
                </c:pt>
                <c:pt idx="2">
                  <c:v>30.426356589147279</c:v>
                </c:pt>
                <c:pt idx="3">
                  <c:v>-17.320261437908496</c:v>
                </c:pt>
                <c:pt idx="4">
                  <c:v>-5.9292476332834969</c:v>
                </c:pt>
                <c:pt idx="5">
                  <c:v>-48.944099378881987</c:v>
                </c:pt>
                <c:pt idx="6">
                  <c:v>-21.598272138228943</c:v>
                </c:pt>
                <c:pt idx="7">
                  <c:v>-48.138056312443226</c:v>
                </c:pt>
                <c:pt idx="8">
                  <c:v>36.866718628215104</c:v>
                </c:pt>
                <c:pt idx="9">
                  <c:v>-37.445753254804721</c:v>
                </c:pt>
                <c:pt idx="10">
                  <c:v>-51.1</c:v>
                </c:pt>
              </c:numCache>
            </c:numRef>
          </c:val>
          <c:extLst xmlns:c16r2="http://schemas.microsoft.com/office/drawing/2015/06/chart">
            <c:ext xmlns:c16="http://schemas.microsoft.com/office/drawing/2014/chart" uri="{C3380CC4-5D6E-409C-BE32-E72D297353CC}">
              <c16:uniqueId val="{00000000-4C84-410D-99E4-0D0334D7E244}"/>
            </c:ext>
          </c:extLst>
        </c:ser>
        <c:dLbls>
          <c:showLegendKey val="0"/>
          <c:showVal val="0"/>
          <c:showCatName val="0"/>
          <c:showSerName val="0"/>
          <c:showPercent val="0"/>
          <c:showBubbleSize val="0"/>
        </c:dLbls>
        <c:gapWidth val="219"/>
        <c:overlap val="-27"/>
        <c:axId val="-869461872"/>
        <c:axId val="-869459152"/>
      </c:barChart>
      <c:catAx>
        <c:axId val="-8694618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59152"/>
        <c:crosses val="autoZero"/>
        <c:auto val="1"/>
        <c:lblAlgn val="ctr"/>
        <c:lblOffset val="100"/>
        <c:noMultiLvlLbl val="0"/>
      </c:catAx>
      <c:valAx>
        <c:axId val="-869459152"/>
        <c:scaling>
          <c:orientation val="minMax"/>
          <c:max val="1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618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'Norte Cibao'!$A$24</c:f>
              <c:strCache>
                <c:ptCount val="1"/>
                <c:pt idx="0">
                  <c:v>NORMAL</c:v>
                </c:pt>
              </c:strCache>
            </c:strRef>
          </c:tx>
          <c:spPr>
            <a:ln w="38100" cap="rnd">
              <a:solidFill>
                <a:schemeClr val="tx1"/>
              </a:solidFill>
              <a:prstDash val="sysDash"/>
              <a:round/>
            </a:ln>
            <a:effectLst/>
          </c:spPr>
          <c:marker>
            <c:symbol val="none"/>
          </c:marker>
          <c:cat>
            <c:strRef>
              <c:f>'Norte Cibao'!$B$23:$M$23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'Norte Cibao'!$B$24:$M$24</c:f>
              <c:numCache>
                <c:formatCode>0.0</c:formatCode>
                <c:ptCount val="12"/>
                <c:pt idx="0">
                  <c:v>92</c:v>
                </c:pt>
                <c:pt idx="1">
                  <c:v>71.5</c:v>
                </c:pt>
                <c:pt idx="2">
                  <c:v>80.8</c:v>
                </c:pt>
                <c:pt idx="3">
                  <c:v>111.7</c:v>
                </c:pt>
                <c:pt idx="4">
                  <c:v>144.1</c:v>
                </c:pt>
                <c:pt idx="5">
                  <c:v>81.400000000000006</c:v>
                </c:pt>
                <c:pt idx="6">
                  <c:v>102</c:v>
                </c:pt>
                <c:pt idx="7">
                  <c:v>130</c:v>
                </c:pt>
                <c:pt idx="8">
                  <c:v>125.1</c:v>
                </c:pt>
                <c:pt idx="9">
                  <c:v>141.9</c:v>
                </c:pt>
                <c:pt idx="10">
                  <c:v>163.80000000000001</c:v>
                </c:pt>
                <c:pt idx="11">
                  <c:v>124.1</c:v>
                </c:pt>
              </c:numCache>
            </c:numRef>
          </c:val>
          <c:smooth val="1"/>
          <c:extLst xmlns:c16r2="http://schemas.microsoft.com/office/drawing/2015/06/chart">
            <c:ext xmlns:c16="http://schemas.microsoft.com/office/drawing/2014/chart" uri="{C3380CC4-5D6E-409C-BE32-E72D297353CC}">
              <c16:uniqueId val="{00000000-2390-408A-BFEA-C5B2A39E9A64}"/>
            </c:ext>
          </c:extLst>
        </c:ser>
        <c:ser>
          <c:idx val="1"/>
          <c:order val="1"/>
          <c:tx>
            <c:strRef>
              <c:f>'Norte Cibao'!$A$25</c:f>
              <c:strCache>
                <c:ptCount val="1"/>
                <c:pt idx="0">
                  <c:v>2019</c:v>
                </c:pt>
              </c:strCache>
            </c:strRef>
          </c:tx>
          <c:spPr>
            <a:ln w="50800" cap="rnd">
              <a:solidFill>
                <a:srgbClr val="669900"/>
              </a:solidFill>
              <a:round/>
            </a:ln>
            <a:effectLst/>
          </c:spPr>
          <c:marker>
            <c:symbol val="none"/>
          </c:marker>
          <c:cat>
            <c:strRef>
              <c:f>'Norte Cibao'!$B$23:$M$23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'Norte Cibao'!$B$25:$M$25</c:f>
              <c:numCache>
                <c:formatCode>_(* #,##0.0_);_(* \(#,##0.0\);_(* "-"??_);_(@_)</c:formatCode>
                <c:ptCount val="12"/>
                <c:pt idx="0">
                  <c:v>49.3</c:v>
                </c:pt>
                <c:pt idx="1">
                  <c:v>116.8</c:v>
                </c:pt>
                <c:pt idx="2">
                  <c:v>136.4</c:v>
                </c:pt>
                <c:pt idx="3">
                  <c:v>98.1</c:v>
                </c:pt>
                <c:pt idx="4">
                  <c:v>109</c:v>
                </c:pt>
                <c:pt idx="5">
                  <c:v>131.9</c:v>
                </c:pt>
                <c:pt idx="6">
                  <c:v>101.9</c:v>
                </c:pt>
                <c:pt idx="7">
                  <c:v>79.099999999999994</c:v>
                </c:pt>
                <c:pt idx="8">
                  <c:v>189.4</c:v>
                </c:pt>
                <c:pt idx="9">
                  <c:v>125.2</c:v>
                </c:pt>
                <c:pt idx="10">
                  <c:v>91.8</c:v>
                </c:pt>
              </c:numCache>
            </c:numRef>
          </c:val>
          <c:smooth val="1"/>
          <c:extLst xmlns:c16r2="http://schemas.microsoft.com/office/drawing/2015/06/chart">
            <c:ext xmlns:c16="http://schemas.microsoft.com/office/drawing/2014/chart" uri="{C3380CC4-5D6E-409C-BE32-E72D297353CC}">
              <c16:uniqueId val="{00000001-2390-408A-BFEA-C5B2A39E9A64}"/>
            </c:ext>
          </c:extLst>
        </c:ser>
        <c:dLbls>
          <c:showLegendKey val="0"/>
          <c:showVal val="0"/>
          <c:showCatName val="0"/>
          <c:showSerName val="0"/>
          <c:showPercent val="0"/>
          <c:showBubbleSize val="0"/>
        </c:dLbls>
        <c:smooth val="0"/>
        <c:axId val="-869467856"/>
        <c:axId val="-869468944"/>
      </c:lineChart>
      <c:catAx>
        <c:axId val="-8694678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68944"/>
        <c:crosses val="autoZero"/>
        <c:auto val="1"/>
        <c:lblAlgn val="ctr"/>
        <c:lblOffset val="100"/>
        <c:noMultiLvlLbl val="0"/>
      </c:catAx>
      <c:valAx>
        <c:axId val="-8694689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67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900481189851275E-2"/>
          <c:y val="7.5284589426321699E-2"/>
          <c:w val="0.88254396325459361"/>
          <c:h val="0.85990101237345318"/>
        </c:manualLayout>
      </c:layout>
      <c:barChart>
        <c:barDir val="col"/>
        <c:grouping val="clustered"/>
        <c:varyColors val="0"/>
        <c:ser>
          <c:idx val="0"/>
          <c:order val="0"/>
          <c:tx>
            <c:strRef>
              <c:f>'Norte Cibao'!$A$26</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F44C-463F-B3A4-2C6C2062CCAD}"/>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2-F44C-463F-B3A4-2C6C2062CCAD}"/>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0E47-4898-9578-89687C264B2F}"/>
              </c:ext>
            </c:extLst>
          </c:dPt>
          <c:dPt>
            <c:idx val="5"/>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0E47-4898-9578-89687C264B2F}"/>
              </c:ext>
            </c:extLst>
          </c:dPt>
          <c:dPt>
            <c:idx val="7"/>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F44C-463F-B3A4-2C6C2062CCAD}"/>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4-F44C-463F-B3A4-2C6C2062CCAD}"/>
              </c:ext>
            </c:extLst>
          </c:dPt>
          <c:dLbls>
            <c:dLbl>
              <c:idx val="3"/>
              <c:layout>
                <c:manualLayout>
                  <c:x val="-3.9299309188459713E-17"/>
                  <c:y val="-2.09973753280839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DC3D-4809-B9C7-DFDEB6957715}"/>
                </c:ext>
                <c:ext xmlns:c15="http://schemas.microsoft.com/office/drawing/2012/chart" uri="{CE6537A1-D6FC-4f65-9D91-7224C49458BB}"/>
              </c:extLst>
            </c:dLbl>
            <c:dLbl>
              <c:idx val="9"/>
              <c:layout>
                <c:manualLayout>
                  <c:x val="0"/>
                  <c:y val="-3.67454068241468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44C-463F-B3A4-2C6C2062CCA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'Norte Cibao'!$B$23:$M$23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'Norte Cibao'!$B$26:$M$26</c:f>
              <c:numCache>
                <c:formatCode>0.0</c:formatCode>
                <c:ptCount val="12"/>
                <c:pt idx="0">
                  <c:v>-46.413043478260867</c:v>
                </c:pt>
                <c:pt idx="1">
                  <c:v>63.356643356643353</c:v>
                </c:pt>
                <c:pt idx="2">
                  <c:v>68.811881188118832</c:v>
                </c:pt>
                <c:pt idx="3">
                  <c:v>-12.175470008952558</c:v>
                </c:pt>
                <c:pt idx="4">
                  <c:v>-24.358084663428173</c:v>
                </c:pt>
                <c:pt idx="5">
                  <c:v>62.039312039312037</c:v>
                </c:pt>
                <c:pt idx="6">
                  <c:v>-9.8039215686268943E-2</c:v>
                </c:pt>
                <c:pt idx="7">
                  <c:v>-39.15384615384616</c:v>
                </c:pt>
                <c:pt idx="8">
                  <c:v>51.398880895283781</c:v>
                </c:pt>
                <c:pt idx="9">
                  <c:v>-11.768851303735026</c:v>
                </c:pt>
                <c:pt idx="10">
                  <c:v>-44</c:v>
                </c:pt>
              </c:numCache>
            </c:numRef>
          </c:val>
          <c:extLst xmlns:c16r2="http://schemas.microsoft.com/office/drawing/2015/06/chart">
            <c:ext xmlns:c16="http://schemas.microsoft.com/office/drawing/2014/chart" uri="{C3380CC4-5D6E-409C-BE32-E72D297353CC}">
              <c16:uniqueId val="{00000000-F44C-463F-B3A4-2C6C2062CCAD}"/>
            </c:ext>
          </c:extLst>
        </c:ser>
        <c:dLbls>
          <c:showLegendKey val="0"/>
          <c:showVal val="0"/>
          <c:showCatName val="0"/>
          <c:showSerName val="0"/>
          <c:showPercent val="0"/>
          <c:showBubbleSize val="0"/>
        </c:dLbls>
        <c:gapWidth val="219"/>
        <c:overlap val="-27"/>
        <c:axId val="-869466768"/>
        <c:axId val="-869458608"/>
      </c:barChart>
      <c:catAx>
        <c:axId val="-8694667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58608"/>
        <c:crosses val="autoZero"/>
        <c:auto val="1"/>
        <c:lblAlgn val="ctr"/>
        <c:lblOffset val="100"/>
        <c:noMultiLvlLbl val="0"/>
      </c:catAx>
      <c:valAx>
        <c:axId val="-869458608"/>
        <c:scaling>
          <c:orientation val="minMax"/>
          <c:max val="1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667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'Norte Cibao'!$A$43</c:f>
              <c:strCache>
                <c:ptCount val="1"/>
                <c:pt idx="0">
                  <c:v>NORMAL</c:v>
                </c:pt>
              </c:strCache>
            </c:strRef>
          </c:tx>
          <c:spPr>
            <a:ln w="38100" cap="rnd">
              <a:solidFill>
                <a:schemeClr val="tx1"/>
              </a:solidFill>
              <a:prstDash val="sysDash"/>
              <a:round/>
            </a:ln>
            <a:effectLst/>
          </c:spPr>
          <c:marker>
            <c:symbol val="none"/>
          </c:marker>
          <c:cat>
            <c:strRef>
              <c:f>'Norte Cibao'!$B$42:$M$42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'Norte Cibao'!$B$43:$M$43</c:f>
              <c:numCache>
                <c:formatCode>0.0</c:formatCode>
                <c:ptCount val="12"/>
                <c:pt idx="0">
                  <c:v>125.9</c:v>
                </c:pt>
                <c:pt idx="1">
                  <c:v>128.5</c:v>
                </c:pt>
                <c:pt idx="2">
                  <c:v>140.30000000000001</c:v>
                </c:pt>
                <c:pt idx="3">
                  <c:v>200.3</c:v>
                </c:pt>
                <c:pt idx="4">
                  <c:v>134.80000000000001</c:v>
                </c:pt>
                <c:pt idx="5">
                  <c:v>148.1</c:v>
                </c:pt>
                <c:pt idx="6">
                  <c:v>184.5</c:v>
                </c:pt>
                <c:pt idx="7">
                  <c:v>218.2</c:v>
                </c:pt>
                <c:pt idx="8">
                  <c:v>184.4</c:v>
                </c:pt>
                <c:pt idx="9">
                  <c:v>256.3</c:v>
                </c:pt>
                <c:pt idx="10">
                  <c:v>258.2</c:v>
                </c:pt>
                <c:pt idx="11">
                  <c:v>145.80000000000001</c:v>
                </c:pt>
              </c:numCache>
            </c:numRef>
          </c:val>
          <c:smooth val="1"/>
          <c:extLst xmlns:c16r2="http://schemas.microsoft.com/office/drawing/2015/06/chart">
            <c:ext xmlns:c16="http://schemas.microsoft.com/office/drawing/2014/chart" uri="{C3380CC4-5D6E-409C-BE32-E72D297353CC}">
              <c16:uniqueId val="{00000000-378C-496E-BC45-6E4C297DCFA0}"/>
            </c:ext>
          </c:extLst>
        </c:ser>
        <c:ser>
          <c:idx val="1"/>
          <c:order val="1"/>
          <c:tx>
            <c:strRef>
              <c:f>'Norte Cibao'!$A$44</c:f>
              <c:strCache>
                <c:ptCount val="1"/>
                <c:pt idx="0">
                  <c:v>2019</c:v>
                </c:pt>
              </c:strCache>
            </c:strRef>
          </c:tx>
          <c:spPr>
            <a:ln w="50800" cap="rnd">
              <a:solidFill>
                <a:srgbClr val="669900"/>
              </a:solidFill>
              <a:round/>
            </a:ln>
            <a:effectLst/>
          </c:spPr>
          <c:marker>
            <c:symbol val="none"/>
          </c:marker>
          <c:cat>
            <c:strRef>
              <c:f>'Norte Cibao'!$B$42:$M$42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'Norte Cibao'!$B$44:$M$44</c:f>
              <c:numCache>
                <c:formatCode>_(* #,##0.0_);_(* \(#,##0.0\);_(* "-"??_);_(@_)</c:formatCode>
                <c:ptCount val="12"/>
                <c:pt idx="0">
                  <c:v>84</c:v>
                </c:pt>
                <c:pt idx="1">
                  <c:v>57.4</c:v>
                </c:pt>
                <c:pt idx="2">
                  <c:v>198</c:v>
                </c:pt>
                <c:pt idx="3">
                  <c:v>169.8</c:v>
                </c:pt>
                <c:pt idx="4">
                  <c:v>180.5</c:v>
                </c:pt>
                <c:pt idx="5">
                  <c:v>48.3</c:v>
                </c:pt>
                <c:pt idx="6">
                  <c:v>113.1</c:v>
                </c:pt>
                <c:pt idx="7">
                  <c:v>70.5</c:v>
                </c:pt>
                <c:pt idx="8">
                  <c:v>308.3</c:v>
                </c:pt>
                <c:pt idx="9">
                  <c:v>182.4</c:v>
                </c:pt>
                <c:pt idx="10">
                  <c:v>73.7</c:v>
                </c:pt>
              </c:numCache>
            </c:numRef>
          </c:val>
          <c:smooth val="1"/>
          <c:extLst xmlns:c16r2="http://schemas.microsoft.com/office/drawing/2015/06/chart">
            <c:ext xmlns:c16="http://schemas.microsoft.com/office/drawing/2014/chart" uri="{C3380CC4-5D6E-409C-BE32-E72D297353CC}">
              <c16:uniqueId val="{00000001-378C-496E-BC45-6E4C297DCFA0}"/>
            </c:ext>
          </c:extLst>
        </c:ser>
        <c:dLbls>
          <c:showLegendKey val="0"/>
          <c:showVal val="0"/>
          <c:showCatName val="0"/>
          <c:showSerName val="0"/>
          <c:showPercent val="0"/>
          <c:showBubbleSize val="0"/>
        </c:dLbls>
        <c:smooth val="0"/>
        <c:axId val="-869454256"/>
        <c:axId val="-869456976"/>
      </c:lineChart>
      <c:catAx>
        <c:axId val="-8694542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56976"/>
        <c:crosses val="autoZero"/>
        <c:auto val="1"/>
        <c:lblAlgn val="ctr"/>
        <c:lblOffset val="100"/>
        <c:noMultiLvlLbl val="0"/>
      </c:catAx>
      <c:valAx>
        <c:axId val="-8694569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54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'Norte Cibao'!$A$45</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D04C-4D72-AA89-55772C5EB794}"/>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D04C-4D72-AA89-55772C5EB794}"/>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8D48-4712-860F-2A83874487AD}"/>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D04C-4D72-AA89-55772C5EB794}"/>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4-D04C-4D72-AA89-55772C5EB794}"/>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'Norte Cibao'!$B$42:$M$42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'Norte Cibao'!$B$45:$M$45</c:f>
              <c:numCache>
                <c:formatCode>0.0</c:formatCode>
                <c:ptCount val="12"/>
                <c:pt idx="0">
                  <c:v>-33.280381254964261</c:v>
                </c:pt>
                <c:pt idx="1">
                  <c:v>-55.33073929961089</c:v>
                </c:pt>
                <c:pt idx="2">
                  <c:v>41.126158232359224</c:v>
                </c:pt>
                <c:pt idx="3">
                  <c:v>-15.227159261108337</c:v>
                </c:pt>
                <c:pt idx="4">
                  <c:v>33.902077151335305</c:v>
                </c:pt>
                <c:pt idx="5">
                  <c:v>-67.386900742741389</c:v>
                </c:pt>
                <c:pt idx="6">
                  <c:v>-38.699186991869922</c:v>
                </c:pt>
                <c:pt idx="7">
                  <c:v>-67.690192483959663</c:v>
                </c:pt>
                <c:pt idx="8">
                  <c:v>67.190889370932751</c:v>
                </c:pt>
                <c:pt idx="9">
                  <c:v>-28.833398361295359</c:v>
                </c:pt>
                <c:pt idx="10">
                  <c:v>-71.4562354763749</c:v>
                </c:pt>
              </c:numCache>
            </c:numRef>
          </c:val>
          <c:extLst xmlns:c16r2="http://schemas.microsoft.com/office/drawing/2015/06/chart">
            <c:ext xmlns:c16="http://schemas.microsoft.com/office/drawing/2014/chart" uri="{C3380CC4-5D6E-409C-BE32-E72D297353CC}">
              <c16:uniqueId val="{00000000-D04C-4D72-AA89-55772C5EB794}"/>
            </c:ext>
          </c:extLst>
        </c:ser>
        <c:dLbls>
          <c:showLegendKey val="0"/>
          <c:showVal val="0"/>
          <c:showCatName val="0"/>
          <c:showSerName val="0"/>
          <c:showPercent val="0"/>
          <c:showBubbleSize val="0"/>
        </c:dLbls>
        <c:gapWidth val="219"/>
        <c:overlap val="-27"/>
        <c:axId val="-869456432"/>
        <c:axId val="-869455888"/>
      </c:barChart>
      <c:catAx>
        <c:axId val="-8694564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869455888"/>
        <c:crosses val="autoZero"/>
        <c:auto val="1"/>
        <c:lblAlgn val="ctr"/>
        <c:lblOffset val="100"/>
        <c:noMultiLvlLbl val="0"/>
      </c:catAx>
      <c:valAx>
        <c:axId val="-869455888"/>
        <c:scaling>
          <c:orientation val="minMax"/>
          <c:max val="1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8694564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3">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4.4111160123511246E-2"/>
          <c:w val="0.86916216527793788"/>
          <c:h val="0.72127512512634195"/>
        </c:manualLayout>
      </c:layout>
      <c:lineChart>
        <c:grouping val="standard"/>
        <c:varyColors val="0"/>
        <c:ser>
          <c:idx val="0"/>
          <c:order val="0"/>
          <c:tx>
            <c:strRef>
              <c:f>'F:\[Lluvias 2009 a 2018 NOVIEMBRE en 36 est ManEGonTe.xlsx]Norte Cibao'!$A$63</c:f>
              <c:strCache>
                <c:ptCount val="1"/>
                <c:pt idx="0">
                  <c:v>NORMAL</c:v>
                </c:pt>
              </c:strCache>
            </c:strRef>
          </c:tx>
          <c:spPr>
            <a:ln w="38100" cap="rnd">
              <a:solidFill>
                <a:schemeClr val="tx1"/>
              </a:solidFill>
              <a:prstDash val="sysDash"/>
              <a:round/>
            </a:ln>
            <a:effectLst/>
          </c:spPr>
          <c:marker>
            <c:symbol val="none"/>
          </c:marker>
          <c:cat>
            <c:strRef>
              <c:f>'F:\[Lluvias 2009 a 2018 NOVIEMBRE en 36 est ManEGonTe.xlsx]Norte Cibao'!$B$62:$M$62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Cibao'!$B$63:$M$63</c:f>
              <c:numCache>
                <c:formatCode>General</c:formatCode>
                <c:ptCount val="12"/>
                <c:pt idx="0">
                  <c:v>26.9</c:v>
                </c:pt>
                <c:pt idx="1">
                  <c:v>31.2</c:v>
                </c:pt>
                <c:pt idx="2">
                  <c:v>36.4</c:v>
                </c:pt>
                <c:pt idx="3">
                  <c:v>57.8</c:v>
                </c:pt>
                <c:pt idx="4">
                  <c:v>167.5</c:v>
                </c:pt>
                <c:pt idx="5">
                  <c:v>96.1</c:v>
                </c:pt>
                <c:pt idx="6">
                  <c:v>64.3</c:v>
                </c:pt>
                <c:pt idx="7">
                  <c:v>133.4</c:v>
                </c:pt>
                <c:pt idx="8">
                  <c:v>128.5</c:v>
                </c:pt>
                <c:pt idx="9">
                  <c:v>101.8</c:v>
                </c:pt>
                <c:pt idx="10">
                  <c:v>70.7</c:v>
                </c:pt>
                <c:pt idx="11">
                  <c:v>41.8</c:v>
                </c:pt>
              </c:numCache>
            </c:numRef>
          </c:val>
          <c:smooth val="1"/>
          <c:extLst xmlns:c16r2="http://schemas.microsoft.com/office/drawing/2015/06/chart">
            <c:ext xmlns:c16="http://schemas.microsoft.com/office/drawing/2014/chart" uri="{C3380CC4-5D6E-409C-BE32-E72D297353CC}">
              <c16:uniqueId val="{00000000-EC92-4AE3-8F84-F021A55D2819}"/>
            </c:ext>
          </c:extLst>
        </c:ser>
        <c:ser>
          <c:idx val="1"/>
          <c:order val="1"/>
          <c:tx>
            <c:strRef>
              <c:f>'F:\[Lluvias 2009 a 2018 NOVIEMBRE en 36 est ManEGonTe.xlsx]Norte Cibao'!$A$64</c:f>
              <c:strCache>
                <c:ptCount val="1"/>
                <c:pt idx="0">
                  <c:v>2018</c:v>
                </c:pt>
              </c:strCache>
            </c:strRef>
          </c:tx>
          <c:spPr>
            <a:ln w="50800" cap="rnd">
              <a:solidFill>
                <a:srgbClr val="669900"/>
              </a:solidFill>
              <a:round/>
            </a:ln>
            <a:effectLst/>
          </c:spPr>
          <c:marker>
            <c:symbol val="none"/>
          </c:marker>
          <c:cat>
            <c:strRef>
              <c:f>'F:\[Lluvias 2009 a 2018 NOVIEMBRE en 36 est ManEGonTe.xlsx]Norte Cibao'!$B$62:$M$62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'F:\[Lluvias 2009 a 2018 NOVIEMBRE en 36 est ManEGonTe.xlsx]Norte Cibao'!$B$64:$M$64</c:f>
              <c:numCache>
                <c:formatCode>General</c:formatCode>
                <c:ptCount val="12"/>
                <c:pt idx="0">
                  <c:v>75.099999999999994</c:v>
                </c:pt>
                <c:pt idx="1">
                  <c:v>90.4</c:v>
                </c:pt>
                <c:pt idx="2">
                  <c:v>17.600000000000001</c:v>
                </c:pt>
                <c:pt idx="3">
                  <c:v>74.7</c:v>
                </c:pt>
                <c:pt idx="4">
                  <c:v>104</c:v>
                </c:pt>
                <c:pt idx="5">
                  <c:v>124.6</c:v>
                </c:pt>
                <c:pt idx="6">
                  <c:v>45.5</c:v>
                </c:pt>
                <c:pt idx="7">
                  <c:v>61.5</c:v>
                </c:pt>
                <c:pt idx="8">
                  <c:v>88.9</c:v>
                </c:pt>
                <c:pt idx="9">
                  <c:v>160.5</c:v>
                </c:pt>
                <c:pt idx="10">
                  <c:v>35.1</c:v>
                </c:pt>
                <c:pt idx="11">
                  <c:v>0.9</c:v>
                </c:pt>
              </c:numCache>
            </c:numRef>
          </c:val>
          <c:smooth val="1"/>
          <c:extLst xmlns:c16r2="http://schemas.microsoft.com/office/drawing/2015/06/chart">
            <c:ext xmlns:c16="http://schemas.microsoft.com/office/drawing/2014/chart" uri="{C3380CC4-5D6E-409C-BE32-E72D297353CC}">
              <c16:uniqueId val="{00000001-EC92-4AE3-8F84-F021A55D2819}"/>
            </c:ext>
          </c:extLst>
        </c:ser>
        <c:dLbls>
          <c:showLegendKey val="0"/>
          <c:showVal val="0"/>
          <c:showCatName val="0"/>
          <c:showSerName val="0"/>
          <c:showPercent val="0"/>
          <c:showBubbleSize val="0"/>
        </c:dLbls>
        <c:smooth val="0"/>
        <c:axId val="-869455344"/>
        <c:axId val="-869470576"/>
      </c:lineChart>
      <c:catAx>
        <c:axId val="-8694553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70576"/>
        <c:crosses val="autoZero"/>
        <c:auto val="1"/>
        <c:lblAlgn val="ctr"/>
        <c:lblOffset val="100"/>
        <c:noMultiLvlLbl val="0"/>
      </c:catAx>
      <c:valAx>
        <c:axId val="-8694705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55344"/>
        <c:crosses val="autoZero"/>
        <c:crossBetween val="between"/>
      </c:valAx>
      <c:spPr>
        <a:noFill/>
        <a:ln>
          <a:noFill/>
        </a:ln>
        <a:effectLst/>
      </c:spPr>
    </c:plotArea>
    <c:legend>
      <c:legendPos val="b"/>
      <c:layout>
        <c:manualLayout>
          <c:xMode val="edge"/>
          <c:yMode val="edge"/>
          <c:x val="0.29262976014045167"/>
          <c:y val="0.88309014306603828"/>
          <c:w val="0.41474020192704347"/>
          <c:h val="0.11690985693396178"/>
        </c:manualLayout>
      </c:layout>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71443326312067"/>
          <c:y val="3.9743749979970454E-2"/>
          <c:w val="0.85907686953495455"/>
          <c:h val="0.92051250004005913"/>
        </c:manualLayout>
      </c:layout>
      <c:barChart>
        <c:barDir val="col"/>
        <c:grouping val="clustered"/>
        <c:varyColors val="0"/>
        <c:ser>
          <c:idx val="0"/>
          <c:order val="0"/>
          <c:tx>
            <c:strRef>
              <c:f>'[JESUS DEFINITIVO Lluvias y embalses en 2019   ManEGonTe.xlsx]Norte Cibao'!$A$65</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57F4-4512-98AC-D8B15756EB64}"/>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57F4-4512-98AC-D8B15756EB64}"/>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B09B-4913-A0A4-52226C746D3D}"/>
              </c:ext>
            </c:extLst>
          </c:dPt>
          <c:dPt>
            <c:idx val="3"/>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57F4-4512-98AC-D8B15756EB64}"/>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B09B-4913-A0A4-52226C746D3D}"/>
              </c:ext>
            </c:extLst>
          </c:dPt>
          <c:dPt>
            <c:idx val="5"/>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4-57F4-4512-98AC-D8B15756EB64}"/>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D-B09B-4913-A0A4-52226C746D3D}"/>
              </c:ext>
            </c:extLst>
          </c:dPt>
          <c:dPt>
            <c:idx val="9"/>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5-57F4-4512-98AC-D8B15756EB64}"/>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'[JESUS DEFINITIVO Lluvias y embalses en 2019   ManEGonTe.xlsx]Norte Cibao'!$B$62:$M$62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Cibao'!$B$65:$M$65</c:f>
              <c:numCache>
                <c:formatCode>0.0</c:formatCode>
                <c:ptCount val="12"/>
                <c:pt idx="0">
                  <c:v>-65.427509293680288</c:v>
                </c:pt>
                <c:pt idx="1">
                  <c:v>-62.179487179487175</c:v>
                </c:pt>
                <c:pt idx="2">
                  <c:v>105.7692307692308</c:v>
                </c:pt>
                <c:pt idx="3">
                  <c:v>-66.955017301038055</c:v>
                </c:pt>
                <c:pt idx="4">
                  <c:v>23.880597014925375</c:v>
                </c:pt>
                <c:pt idx="5">
                  <c:v>-32.882414151925076</c:v>
                </c:pt>
                <c:pt idx="6">
                  <c:v>-52.721617418351478</c:v>
                </c:pt>
                <c:pt idx="7">
                  <c:v>-74.437781109445282</c:v>
                </c:pt>
                <c:pt idx="8">
                  <c:v>87.081712062256798</c:v>
                </c:pt>
                <c:pt idx="9">
                  <c:v>-48.1335952848723</c:v>
                </c:pt>
                <c:pt idx="10">
                  <c:v>-47.666195190947668</c:v>
                </c:pt>
              </c:numCache>
            </c:numRef>
          </c:val>
          <c:extLst xmlns:c16r2="http://schemas.microsoft.com/office/drawing/2015/06/chart">
            <c:ext xmlns:c16="http://schemas.microsoft.com/office/drawing/2014/chart" uri="{C3380CC4-5D6E-409C-BE32-E72D297353CC}">
              <c16:uniqueId val="{00000000-57F4-4512-98AC-D8B15756EB64}"/>
            </c:ext>
          </c:extLst>
        </c:ser>
        <c:dLbls>
          <c:showLegendKey val="0"/>
          <c:showVal val="0"/>
          <c:showCatName val="0"/>
          <c:showSerName val="0"/>
          <c:showPercent val="0"/>
          <c:showBubbleSize val="0"/>
        </c:dLbls>
        <c:gapWidth val="219"/>
        <c:overlap val="-27"/>
        <c:axId val="-869453712"/>
        <c:axId val="-869453168"/>
      </c:barChart>
      <c:catAx>
        <c:axId val="-869453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53168"/>
        <c:crosses val="autoZero"/>
        <c:auto val="1"/>
        <c:lblAlgn val="ctr"/>
        <c:lblOffset val="100"/>
        <c:noMultiLvlLbl val="0"/>
      </c:catAx>
      <c:valAx>
        <c:axId val="-869453168"/>
        <c:scaling>
          <c:orientation val="minMax"/>
          <c:max val="1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537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12008396547685544"/>
          <c:y val="2.8904386951631028E-2"/>
          <c:w val="0.8643622407610948"/>
          <c:h val="0.86832770903637047"/>
        </c:manualLayout>
      </c:layout>
      <c:barChart>
        <c:barDir val="col"/>
        <c:grouping val="clustered"/>
        <c:varyColors val="0"/>
        <c:ser>
          <c:idx val="1"/>
          <c:order val="0"/>
          <c:tx>
            <c:strRef>
              <c:f>'[Datos.xlsx]Chart Producción'!$D$16</c:f>
              <c:strCache>
                <c:ptCount val="1"/>
                <c:pt idx="0">
                  <c:v>Ferias Agropecuarias</c:v>
                </c:pt>
              </c:strCache>
            </c:strRef>
          </c:tx>
          <c:spPr>
            <a:solidFill>
              <a:srgbClr val="00B050"/>
            </a:solidFill>
            <a:ln>
              <a:noFill/>
            </a:ln>
            <a:effectLst>
              <a:outerShdw blurRad="40000" dist="23000" dir="5400000" rotWithShape="0">
                <a:srgbClr val="000000">
                  <a:alpha val="35000"/>
                </a:srgbClr>
              </a:out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1-BC2D-4339-AEE5-AE7524DC1FF8}"/>
              </c:ext>
            </c:extLst>
          </c:dPt>
          <c:dPt>
            <c:idx val="1"/>
            <c:invertIfNegative val="0"/>
            <c:bubble3D val="0"/>
            <c:extLst xmlns:c16r2="http://schemas.microsoft.com/office/drawing/2015/06/chart">
              <c:ext xmlns:c16="http://schemas.microsoft.com/office/drawing/2014/chart" uri="{C3380CC4-5D6E-409C-BE32-E72D297353CC}">
                <c16:uniqueId val="{00000003-BC2D-4339-AEE5-AE7524DC1FF8}"/>
              </c:ext>
            </c:extLst>
          </c:dPt>
          <c:dPt>
            <c:idx val="2"/>
            <c:invertIfNegative val="0"/>
            <c:bubble3D val="0"/>
            <c:extLst xmlns:c16r2="http://schemas.microsoft.com/office/drawing/2015/06/chart">
              <c:ext xmlns:c16="http://schemas.microsoft.com/office/drawing/2014/chart" uri="{C3380CC4-5D6E-409C-BE32-E72D297353CC}">
                <c16:uniqueId val="{00000005-BC2D-4339-AEE5-AE7524DC1FF8}"/>
              </c:ext>
            </c:extLst>
          </c:dPt>
          <c:dPt>
            <c:idx val="3"/>
            <c:invertIfNegative val="0"/>
            <c:bubble3D val="0"/>
            <c:extLst xmlns:c16r2="http://schemas.microsoft.com/office/drawing/2015/06/chart">
              <c:ext xmlns:c16="http://schemas.microsoft.com/office/drawing/2014/chart" uri="{C3380CC4-5D6E-409C-BE32-E72D297353CC}">
                <c16:uniqueId val="{00000007-BC2D-4339-AEE5-AE7524DC1FF8}"/>
              </c:ext>
            </c:extLst>
          </c:dPt>
          <c:dPt>
            <c:idx val="4"/>
            <c:invertIfNegative val="0"/>
            <c:bubble3D val="0"/>
            <c:extLst xmlns:c16r2="http://schemas.microsoft.com/office/drawing/2015/06/chart">
              <c:ext xmlns:c16="http://schemas.microsoft.com/office/drawing/2014/chart" uri="{C3380CC4-5D6E-409C-BE32-E72D297353CC}">
                <c16:uniqueId val="{00000009-BC2D-4339-AEE5-AE7524DC1FF8}"/>
              </c:ext>
            </c:extLst>
          </c:dPt>
          <c:dPt>
            <c:idx val="5"/>
            <c:invertIfNegative val="0"/>
            <c:bubble3D val="0"/>
            <c:extLst xmlns:c16r2="http://schemas.microsoft.com/office/drawing/2015/06/chart">
              <c:ext xmlns:c16="http://schemas.microsoft.com/office/drawing/2014/chart" uri="{C3380CC4-5D6E-409C-BE32-E72D297353CC}">
                <c16:uniqueId val="{0000000B-BC2D-4339-AEE5-AE7524DC1FF8}"/>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'[Datos.xlsx]Chart Producción'!$G$3:$O$3</c:f>
              <c:numCache>
                <c:formatCode>General</c:formatCode>
                <c:ptCount val="8"/>
                <c:pt idx="0">
                  <c:v>2012</c:v>
                </c:pt>
                <c:pt idx="1">
                  <c:v>2013</c:v>
                </c:pt>
                <c:pt idx="2">
                  <c:v>2014</c:v>
                </c:pt>
                <c:pt idx="3">
                  <c:v>2015</c:v>
                </c:pt>
                <c:pt idx="4">
                  <c:v>2016</c:v>
                </c:pt>
                <c:pt idx="5">
                  <c:v>2017</c:v>
                </c:pt>
                <c:pt idx="6">
                  <c:v>2018</c:v>
                </c:pt>
                <c:pt idx="7">
                  <c:v>2019</c:v>
                </c:pt>
              </c:numCache>
            </c:numRef>
          </c:cat>
          <c:val>
            <c:numRef>
              <c:f>'[Datos.xlsx]Chart Producción'!$G$16:$O$16</c:f>
              <c:numCache>
                <c:formatCode>#,##0</c:formatCode>
                <c:ptCount val="8"/>
                <c:pt idx="0">
                  <c:v>175</c:v>
                </c:pt>
                <c:pt idx="1">
                  <c:v>5406</c:v>
                </c:pt>
                <c:pt idx="2">
                  <c:v>785</c:v>
                </c:pt>
                <c:pt idx="3">
                  <c:v>1349</c:v>
                </c:pt>
                <c:pt idx="4">
                  <c:v>1917</c:v>
                </c:pt>
                <c:pt idx="5">
                  <c:v>1273</c:v>
                </c:pt>
                <c:pt idx="6">
                  <c:v>2258</c:v>
                </c:pt>
                <c:pt idx="7">
                  <c:v>1321</c:v>
                </c:pt>
              </c:numCache>
            </c:numRef>
          </c:val>
          <c:extLst xmlns:c16r2="http://schemas.microsoft.com/office/drawing/2015/06/chart">
            <c:ext xmlns:c16="http://schemas.microsoft.com/office/drawing/2014/chart" uri="{C3380CC4-5D6E-409C-BE32-E72D297353CC}">
              <c16:uniqueId val="{0000000C-BC2D-4339-AEE5-AE7524DC1FF8}"/>
            </c:ext>
          </c:extLst>
        </c:ser>
        <c:dLbls>
          <c:showLegendKey val="0"/>
          <c:showVal val="0"/>
          <c:showCatName val="0"/>
          <c:showSerName val="0"/>
          <c:showPercent val="0"/>
          <c:showBubbleSize val="0"/>
        </c:dLbls>
        <c:gapWidth val="100"/>
        <c:overlap val="-24"/>
        <c:axId val="-835763792"/>
        <c:axId val="-835762704"/>
      </c:barChart>
      <c:catAx>
        <c:axId val="-835763792"/>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62704"/>
        <c:crosses val="autoZero"/>
        <c:auto val="1"/>
        <c:lblAlgn val="ctr"/>
        <c:lblOffset val="100"/>
        <c:noMultiLvlLbl val="0"/>
      </c:catAx>
      <c:valAx>
        <c:axId val="-83576270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b="1"/>
                  <a:t>Actividades de Comercialización</a:t>
                </a:r>
              </a:p>
            </c:rich>
          </c:tx>
          <c:layout>
            <c:manualLayout>
              <c:xMode val="edge"/>
              <c:yMode val="edge"/>
              <c:x val="1.0369556208219969E-3"/>
              <c:y val="0.12964304461942258"/>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637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b="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771272654242758E-2"/>
          <c:y val="9.4017094017094016E-2"/>
          <c:w val="0.86953039840996127"/>
          <c:h val="0.58589743589743593"/>
        </c:manualLayout>
      </c:layout>
      <c:lineChart>
        <c:grouping val="standard"/>
        <c:varyColors val="0"/>
        <c:ser>
          <c:idx val="0"/>
          <c:order val="0"/>
          <c:tx>
            <c:strRef>
              <c:f>'[JESUS DEFINITIVO Lluvias y embalses en 2019   ManEGonTe.xlsx]Norte Cibao'!$A$82</c:f>
              <c:strCache>
                <c:ptCount val="1"/>
                <c:pt idx="0">
                  <c:v>NORMAL</c:v>
                </c:pt>
              </c:strCache>
            </c:strRef>
          </c:tx>
          <c:spPr>
            <a:ln w="38100" cap="rnd">
              <a:solidFill>
                <a:schemeClr val="tx1"/>
              </a:solidFill>
              <a:prstDash val="sysDash"/>
              <a:round/>
            </a:ln>
            <a:effectLst/>
          </c:spPr>
          <c:marker>
            <c:symbol val="none"/>
          </c:marker>
          <c:cat>
            <c:strRef>
              <c:f>'[JESUS DEFINITIVO Lluvias y embalses en 2019   ManEGonTe.xlsx]Norte Cibao'!$B$81:$M$81</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Cibao'!$B$82:$M$82</c:f>
              <c:numCache>
                <c:formatCode>0.0</c:formatCode>
                <c:ptCount val="12"/>
                <c:pt idx="0">
                  <c:v>130.6</c:v>
                </c:pt>
                <c:pt idx="1">
                  <c:v>110.8</c:v>
                </c:pt>
                <c:pt idx="2">
                  <c:v>112.3</c:v>
                </c:pt>
                <c:pt idx="3">
                  <c:v>163.30000000000001</c:v>
                </c:pt>
                <c:pt idx="4">
                  <c:v>210.7</c:v>
                </c:pt>
                <c:pt idx="5">
                  <c:v>88.6</c:v>
                </c:pt>
                <c:pt idx="6">
                  <c:v>89.4</c:v>
                </c:pt>
                <c:pt idx="7">
                  <c:v>115.5</c:v>
                </c:pt>
                <c:pt idx="8">
                  <c:v>137.19999999999999</c:v>
                </c:pt>
                <c:pt idx="9">
                  <c:v>158.6</c:v>
                </c:pt>
                <c:pt idx="10">
                  <c:v>194.2</c:v>
                </c:pt>
                <c:pt idx="11">
                  <c:v>153.9</c:v>
                </c:pt>
              </c:numCache>
            </c:numRef>
          </c:val>
          <c:smooth val="1"/>
          <c:extLst xmlns:c16r2="http://schemas.microsoft.com/office/drawing/2015/06/chart">
            <c:ext xmlns:c16="http://schemas.microsoft.com/office/drawing/2014/chart" uri="{C3380CC4-5D6E-409C-BE32-E72D297353CC}">
              <c16:uniqueId val="{00000000-02F3-41E5-8916-1BF6537FD764}"/>
            </c:ext>
          </c:extLst>
        </c:ser>
        <c:ser>
          <c:idx val="1"/>
          <c:order val="1"/>
          <c:tx>
            <c:strRef>
              <c:f>'[JESUS DEFINITIVO Lluvias y embalses en 2019   ManEGonTe.xlsx]Norte Cibao'!$A$83</c:f>
              <c:strCache>
                <c:ptCount val="1"/>
                <c:pt idx="0">
                  <c:v>2019</c:v>
                </c:pt>
              </c:strCache>
            </c:strRef>
          </c:tx>
          <c:spPr>
            <a:ln w="50800" cap="rnd">
              <a:solidFill>
                <a:srgbClr val="669900"/>
              </a:solidFill>
              <a:round/>
            </a:ln>
            <a:effectLst/>
          </c:spPr>
          <c:marker>
            <c:symbol val="none"/>
          </c:marker>
          <c:cat>
            <c:strRef>
              <c:f>'[JESUS DEFINITIVO Lluvias y embalses en 2019   ManEGonTe.xlsx]Norte Cibao'!$B$81:$M$81</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Cibao'!$B$83:$M$83</c:f>
              <c:numCache>
                <c:formatCode>_(* #,##0.0_);_(* \(#,##0.0\);_(* "-"??_);_(@_)</c:formatCode>
                <c:ptCount val="12"/>
                <c:pt idx="0">
                  <c:v>20.100000000000001</c:v>
                </c:pt>
                <c:pt idx="1">
                  <c:v>52.3</c:v>
                </c:pt>
                <c:pt idx="2">
                  <c:v>113.5</c:v>
                </c:pt>
                <c:pt idx="3">
                  <c:v>51.8</c:v>
                </c:pt>
                <c:pt idx="4">
                  <c:v>164</c:v>
                </c:pt>
                <c:pt idx="5">
                  <c:v>104.3</c:v>
                </c:pt>
                <c:pt idx="6">
                  <c:v>92.4</c:v>
                </c:pt>
                <c:pt idx="7">
                  <c:v>72</c:v>
                </c:pt>
                <c:pt idx="8">
                  <c:v>167.20000000000002</c:v>
                </c:pt>
                <c:pt idx="9">
                  <c:v>119.9</c:v>
                </c:pt>
                <c:pt idx="10">
                  <c:v>71.3</c:v>
                </c:pt>
              </c:numCache>
            </c:numRef>
          </c:val>
          <c:smooth val="1"/>
          <c:extLst xmlns:c16r2="http://schemas.microsoft.com/office/drawing/2015/06/chart">
            <c:ext xmlns:c16="http://schemas.microsoft.com/office/drawing/2014/chart" uri="{C3380CC4-5D6E-409C-BE32-E72D297353CC}">
              <c16:uniqueId val="{00000001-02F3-41E5-8916-1BF6537FD764}"/>
            </c:ext>
          </c:extLst>
        </c:ser>
        <c:dLbls>
          <c:showLegendKey val="0"/>
          <c:showVal val="0"/>
          <c:showCatName val="0"/>
          <c:showSerName val="0"/>
          <c:showPercent val="0"/>
          <c:showBubbleSize val="0"/>
        </c:dLbls>
        <c:smooth val="0"/>
        <c:axId val="-869452080"/>
        <c:axId val="-869452624"/>
      </c:lineChart>
      <c:catAx>
        <c:axId val="-8694520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s-DO"/>
          </a:p>
        </c:txPr>
        <c:crossAx val="-869452624"/>
        <c:crosses val="autoZero"/>
        <c:auto val="1"/>
        <c:lblAlgn val="ctr"/>
        <c:lblOffset val="100"/>
        <c:noMultiLvlLbl val="0"/>
      </c:catAx>
      <c:valAx>
        <c:axId val="-869452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s-DO"/>
          </a:p>
        </c:txPr>
        <c:crossAx val="-869452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'[JESUS DEFINITIVO Lluvias y embalses en 2019   ManEGonTe.xlsx]Norte Cibao'!$A$84</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5-E03B-4CD1-8FE5-A6418DBFF1FA}"/>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4-E03B-4CD1-8FE5-A6418DBFF1FA}"/>
              </c:ext>
            </c:extLst>
          </c:dPt>
          <c:dPt>
            <c:idx val="2"/>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E03B-4CD1-8FE5-A6418DBFF1FA}"/>
              </c:ext>
            </c:extLst>
          </c:dPt>
          <c:dPt>
            <c:idx val="3"/>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E03B-4CD1-8FE5-A6418DBFF1FA}"/>
              </c:ext>
            </c:extLst>
          </c:dPt>
          <c:dPt>
            <c:idx val="5"/>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B214-4409-9D8E-8C5D9F7C5280}"/>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B-B214-4409-9D8E-8C5D9F7C5280}"/>
              </c:ext>
            </c:extLst>
          </c:dPt>
          <c:dPt>
            <c:idx val="7"/>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E03B-4CD1-8FE5-A6418DBFF1FA}"/>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F-B214-4409-9D8E-8C5D9F7C5280}"/>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'[JESUS DEFINITIVO Lluvias y embalses en 2019   ManEGonTe.xlsx]Norte Cibao'!$B$81:$M$81</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Cibao'!$B$84:$M$84</c:f>
              <c:numCache>
                <c:formatCode>0.0</c:formatCode>
                <c:ptCount val="12"/>
                <c:pt idx="0">
                  <c:v>-84.60949464012252</c:v>
                </c:pt>
                <c:pt idx="1">
                  <c:v>-52.797833935018055</c:v>
                </c:pt>
                <c:pt idx="2">
                  <c:v>1.0685663401602876</c:v>
                </c:pt>
                <c:pt idx="3">
                  <c:v>-68.279240661359466</c:v>
                </c:pt>
                <c:pt idx="4">
                  <c:v>-22.164214523018508</c:v>
                </c:pt>
                <c:pt idx="5">
                  <c:v>17.72009029345373</c:v>
                </c:pt>
                <c:pt idx="6">
                  <c:v>3.3557046979865768</c:v>
                </c:pt>
                <c:pt idx="7">
                  <c:v>-37.662337662337663</c:v>
                </c:pt>
                <c:pt idx="8">
                  <c:v>21.865889212828009</c:v>
                </c:pt>
                <c:pt idx="9">
                  <c:v>-24.401008827238332</c:v>
                </c:pt>
                <c:pt idx="10">
                  <c:v>-63.3</c:v>
                </c:pt>
              </c:numCache>
            </c:numRef>
          </c:val>
          <c:extLst xmlns:c16r2="http://schemas.microsoft.com/office/drawing/2015/06/chart">
            <c:ext xmlns:c16="http://schemas.microsoft.com/office/drawing/2014/chart" uri="{C3380CC4-5D6E-409C-BE32-E72D297353CC}">
              <c16:uniqueId val="{00000000-E03B-4CD1-8FE5-A6418DBFF1FA}"/>
            </c:ext>
          </c:extLst>
        </c:ser>
        <c:dLbls>
          <c:showLegendKey val="0"/>
          <c:showVal val="0"/>
          <c:showCatName val="0"/>
          <c:showSerName val="0"/>
          <c:showPercent val="0"/>
          <c:showBubbleSize val="0"/>
        </c:dLbls>
        <c:gapWidth val="219"/>
        <c:overlap val="-27"/>
        <c:axId val="-869468400"/>
        <c:axId val="-869451536"/>
      </c:barChart>
      <c:catAx>
        <c:axId val="-8694684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51536"/>
        <c:crosses val="autoZero"/>
        <c:auto val="1"/>
        <c:lblAlgn val="ctr"/>
        <c:lblOffset val="100"/>
        <c:noMultiLvlLbl val="0"/>
      </c:catAx>
      <c:valAx>
        <c:axId val="-869451536"/>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684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998161326090928E-2"/>
          <c:y val="8.943089430894309E-2"/>
          <c:w val="0.86778615239939927"/>
          <c:h val="0.60493118238269006"/>
        </c:manualLayout>
      </c:layout>
      <c:lineChart>
        <c:grouping val="standard"/>
        <c:varyColors val="0"/>
        <c:ser>
          <c:idx val="0"/>
          <c:order val="0"/>
          <c:tx>
            <c:strRef>
              <c:f>'[JESUS DEFINITIVO Lluvias y embalses en 2019   ManEGonTe.xlsx]Norte Cibao'!$A$101</c:f>
              <c:strCache>
                <c:ptCount val="1"/>
                <c:pt idx="0">
                  <c:v>NORMAL</c:v>
                </c:pt>
              </c:strCache>
            </c:strRef>
          </c:tx>
          <c:spPr>
            <a:ln w="38100" cap="rnd">
              <a:solidFill>
                <a:schemeClr val="tx1"/>
              </a:solidFill>
              <a:prstDash val="sysDash"/>
              <a:round/>
            </a:ln>
            <a:effectLst/>
          </c:spPr>
          <c:marker>
            <c:symbol val="none"/>
          </c:marker>
          <c:cat>
            <c:strRef>
              <c:f>'[JESUS DEFINITIVO Lluvias y embalses en 2019   ManEGonTe.xlsx]Norte Cibao'!$B$100:$M$100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Cibao'!$B$101:$M$101</c:f>
              <c:numCache>
                <c:formatCode>0.0</c:formatCode>
                <c:ptCount val="12"/>
                <c:pt idx="0">
                  <c:v>154.1</c:v>
                </c:pt>
                <c:pt idx="1">
                  <c:v>126</c:v>
                </c:pt>
                <c:pt idx="2">
                  <c:v>132.4</c:v>
                </c:pt>
                <c:pt idx="3">
                  <c:v>126.6</c:v>
                </c:pt>
                <c:pt idx="4">
                  <c:v>200.3</c:v>
                </c:pt>
                <c:pt idx="5">
                  <c:v>129.19999999999999</c:v>
                </c:pt>
                <c:pt idx="6">
                  <c:v>166.1</c:v>
                </c:pt>
                <c:pt idx="7">
                  <c:v>211</c:v>
                </c:pt>
                <c:pt idx="8">
                  <c:v>206.5</c:v>
                </c:pt>
                <c:pt idx="9">
                  <c:v>272.10000000000002</c:v>
                </c:pt>
                <c:pt idx="10">
                  <c:v>276.7</c:v>
                </c:pt>
                <c:pt idx="11">
                  <c:v>191.8</c:v>
                </c:pt>
              </c:numCache>
            </c:numRef>
          </c:val>
          <c:smooth val="1"/>
          <c:extLst xmlns:c16r2="http://schemas.microsoft.com/office/drawing/2015/06/chart">
            <c:ext xmlns:c16="http://schemas.microsoft.com/office/drawing/2014/chart" uri="{C3380CC4-5D6E-409C-BE32-E72D297353CC}">
              <c16:uniqueId val="{00000000-F660-4C1C-BC53-A643A1B3A106}"/>
            </c:ext>
          </c:extLst>
        </c:ser>
        <c:ser>
          <c:idx val="1"/>
          <c:order val="1"/>
          <c:tx>
            <c:strRef>
              <c:f>'[JESUS DEFINITIVO Lluvias y embalses en 2019   ManEGonTe.xlsx]Norte Cibao'!$A$102</c:f>
              <c:strCache>
                <c:ptCount val="1"/>
                <c:pt idx="0">
                  <c:v>2019</c:v>
                </c:pt>
              </c:strCache>
            </c:strRef>
          </c:tx>
          <c:spPr>
            <a:ln w="50800" cap="rnd">
              <a:solidFill>
                <a:srgbClr val="669900"/>
              </a:solidFill>
              <a:round/>
            </a:ln>
            <a:effectLst/>
          </c:spPr>
          <c:marker>
            <c:symbol val="none"/>
          </c:marker>
          <c:cat>
            <c:strRef>
              <c:f>'[JESUS DEFINITIVO Lluvias y embalses en 2019   ManEGonTe.xlsx]Norte Cibao'!$B$100:$M$100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Cibao'!$B$102:$M$102</c:f>
              <c:numCache>
                <c:formatCode>_(* #,##0.0_);_(* \(#,##0.0\);_(* "-"??_);_(@_)</c:formatCode>
                <c:ptCount val="12"/>
                <c:pt idx="0">
                  <c:v>78.8</c:v>
                </c:pt>
                <c:pt idx="1">
                  <c:v>60.9</c:v>
                </c:pt>
                <c:pt idx="2">
                  <c:v>93.4</c:v>
                </c:pt>
                <c:pt idx="3">
                  <c:v>32</c:v>
                </c:pt>
                <c:pt idx="4">
                  <c:v>113.9</c:v>
                </c:pt>
                <c:pt idx="5">
                  <c:v>40.700000000000003</c:v>
                </c:pt>
                <c:pt idx="6">
                  <c:v>190.4</c:v>
                </c:pt>
                <c:pt idx="7">
                  <c:v>140.19999999999999</c:v>
                </c:pt>
                <c:pt idx="8">
                  <c:v>152.69999999999999</c:v>
                </c:pt>
                <c:pt idx="9">
                  <c:v>142</c:v>
                </c:pt>
                <c:pt idx="10">
                  <c:v>152</c:v>
                </c:pt>
              </c:numCache>
            </c:numRef>
          </c:val>
          <c:smooth val="1"/>
          <c:extLst xmlns:c16r2="http://schemas.microsoft.com/office/drawing/2015/06/chart">
            <c:ext xmlns:c16="http://schemas.microsoft.com/office/drawing/2014/chart" uri="{C3380CC4-5D6E-409C-BE32-E72D297353CC}">
              <c16:uniqueId val="{00000001-F660-4C1C-BC53-A643A1B3A106}"/>
            </c:ext>
          </c:extLst>
        </c:ser>
        <c:dLbls>
          <c:showLegendKey val="0"/>
          <c:showVal val="0"/>
          <c:showCatName val="0"/>
          <c:showSerName val="0"/>
          <c:showPercent val="0"/>
          <c:showBubbleSize val="0"/>
        </c:dLbls>
        <c:smooth val="0"/>
        <c:axId val="-869450992"/>
        <c:axId val="-869450448"/>
      </c:lineChart>
      <c:catAx>
        <c:axId val="-869450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s-DO"/>
          </a:p>
        </c:txPr>
        <c:crossAx val="-869450448"/>
        <c:crosses val="autoZero"/>
        <c:auto val="1"/>
        <c:lblAlgn val="ctr"/>
        <c:lblOffset val="100"/>
        <c:noMultiLvlLbl val="0"/>
      </c:catAx>
      <c:valAx>
        <c:axId val="-869450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50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44832419507771E-2"/>
          <c:y val="4.0700040700040699E-2"/>
          <c:w val="0.87615726044715614"/>
          <c:h val="0.86975986975986974"/>
        </c:manualLayout>
      </c:layout>
      <c:barChart>
        <c:barDir val="col"/>
        <c:grouping val="clustered"/>
        <c:varyColors val="0"/>
        <c:ser>
          <c:idx val="0"/>
          <c:order val="0"/>
          <c:tx>
            <c:strRef>
              <c:f>'[JESUS DEFINITIVO Lluvias y embalses en 2019   ManEGonTe.xlsx]Norte Cibao'!$A$103</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513A-4C7F-A361-FAE7AC023018}"/>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513A-4C7F-A361-FAE7AC023018}"/>
              </c:ext>
            </c:extLst>
          </c:dPt>
          <c:dPt>
            <c:idx val="3"/>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513A-4C7F-A361-FAE7AC023018}"/>
              </c:ext>
            </c:extLst>
          </c:dPt>
          <c:dPt>
            <c:idx val="4"/>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4-513A-4C7F-A361-FAE7AC023018}"/>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C8C8-4AB7-BF88-840530B1736F}"/>
              </c:ext>
            </c:extLst>
          </c:dPt>
          <c:dPt>
            <c:idx val="7"/>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5-513A-4C7F-A361-FAE7AC023018}"/>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'[JESUS DEFINITIVO Lluvias y embalses en 2019   ManEGonTe.xlsx]Norte Cibao'!$B$100:$M$100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Cibao'!$B$103:$M$103</c:f>
              <c:numCache>
                <c:formatCode>0.0</c:formatCode>
                <c:ptCount val="12"/>
                <c:pt idx="0">
                  <c:v>-48.864373783257626</c:v>
                </c:pt>
                <c:pt idx="1">
                  <c:v>-51.666666666666657</c:v>
                </c:pt>
                <c:pt idx="2">
                  <c:v>-29.456193353474319</c:v>
                </c:pt>
                <c:pt idx="3">
                  <c:v>-74.723538704581358</c:v>
                </c:pt>
                <c:pt idx="4">
                  <c:v>-43.135297054418373</c:v>
                </c:pt>
                <c:pt idx="5">
                  <c:v>-68.498452012383893</c:v>
                </c:pt>
                <c:pt idx="6">
                  <c:v>14.629741119807351</c:v>
                </c:pt>
                <c:pt idx="7">
                  <c:v>-33.554502369668249</c:v>
                </c:pt>
                <c:pt idx="8">
                  <c:v>-26.053268765133176</c:v>
                </c:pt>
                <c:pt idx="9">
                  <c:v>-47.813303932377806</c:v>
                </c:pt>
                <c:pt idx="10">
                  <c:v>-45.1</c:v>
                </c:pt>
              </c:numCache>
            </c:numRef>
          </c:val>
          <c:extLst xmlns:c16r2="http://schemas.microsoft.com/office/drawing/2015/06/chart">
            <c:ext xmlns:c16="http://schemas.microsoft.com/office/drawing/2014/chart" uri="{C3380CC4-5D6E-409C-BE32-E72D297353CC}">
              <c16:uniqueId val="{00000000-513A-4C7F-A361-FAE7AC023018}"/>
            </c:ext>
          </c:extLst>
        </c:ser>
        <c:dLbls>
          <c:showLegendKey val="0"/>
          <c:showVal val="0"/>
          <c:showCatName val="0"/>
          <c:showSerName val="0"/>
          <c:showPercent val="0"/>
          <c:showBubbleSize val="0"/>
        </c:dLbls>
        <c:gapWidth val="219"/>
        <c:overlap val="-27"/>
        <c:axId val="-869449904"/>
        <c:axId val="-869446640"/>
      </c:barChart>
      <c:catAx>
        <c:axId val="-8694499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46640"/>
        <c:crosses val="autoZero"/>
        <c:auto val="1"/>
        <c:lblAlgn val="ctr"/>
        <c:lblOffset val="100"/>
        <c:noMultiLvlLbl val="0"/>
      </c:catAx>
      <c:valAx>
        <c:axId val="-8694466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499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771272654242758E-2"/>
          <c:y val="8.6785009861932938E-2"/>
          <c:w val="0.86953039840996127"/>
          <c:h val="0.66395688704592415"/>
        </c:manualLayout>
      </c:layout>
      <c:lineChart>
        <c:grouping val="standard"/>
        <c:varyColors val="0"/>
        <c:ser>
          <c:idx val="0"/>
          <c:order val="0"/>
          <c:tx>
            <c:strRef>
              <c:f>'[JESUS DEFINITIVO Lluvias y embalses en 2019   ManEGonTe.xlsx]Norte Cibao'!$A$121</c:f>
              <c:strCache>
                <c:ptCount val="1"/>
                <c:pt idx="0">
                  <c:v>NORMAL</c:v>
                </c:pt>
              </c:strCache>
            </c:strRef>
          </c:tx>
          <c:spPr>
            <a:ln w="38100" cap="rnd">
              <a:solidFill>
                <a:schemeClr val="tx1"/>
              </a:solidFill>
              <a:prstDash val="sysDash"/>
              <a:round/>
            </a:ln>
            <a:effectLst/>
          </c:spPr>
          <c:marker>
            <c:symbol val="none"/>
          </c:marker>
          <c:cat>
            <c:strRef>
              <c:f>'[JESUS DEFINITIVO Lluvias y embalses en 2019   ManEGonTe.xlsx]Norte Cibao'!$B$120:$M$120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Cibao'!$B$121:$M$121</c:f>
              <c:numCache>
                <c:formatCode>0.0</c:formatCode>
                <c:ptCount val="12"/>
                <c:pt idx="0">
                  <c:v>115</c:v>
                </c:pt>
                <c:pt idx="1">
                  <c:v>80.3</c:v>
                </c:pt>
                <c:pt idx="2">
                  <c:v>78.400000000000006</c:v>
                </c:pt>
                <c:pt idx="3">
                  <c:v>120.5</c:v>
                </c:pt>
                <c:pt idx="4">
                  <c:v>138.19999999999999</c:v>
                </c:pt>
                <c:pt idx="5">
                  <c:v>92.1</c:v>
                </c:pt>
                <c:pt idx="6">
                  <c:v>111.2</c:v>
                </c:pt>
                <c:pt idx="7">
                  <c:v>110.1</c:v>
                </c:pt>
                <c:pt idx="8">
                  <c:v>121.3</c:v>
                </c:pt>
                <c:pt idx="9">
                  <c:v>187</c:v>
                </c:pt>
                <c:pt idx="10">
                  <c:v>231</c:v>
                </c:pt>
                <c:pt idx="11">
                  <c:v>127.6</c:v>
                </c:pt>
              </c:numCache>
            </c:numRef>
          </c:val>
          <c:smooth val="1"/>
          <c:extLst xmlns:c16r2="http://schemas.microsoft.com/office/drawing/2015/06/chart">
            <c:ext xmlns:c16="http://schemas.microsoft.com/office/drawing/2014/chart" uri="{C3380CC4-5D6E-409C-BE32-E72D297353CC}">
              <c16:uniqueId val="{00000000-4D4E-4FF0-8C68-5F241FEA11EC}"/>
            </c:ext>
          </c:extLst>
        </c:ser>
        <c:ser>
          <c:idx val="1"/>
          <c:order val="1"/>
          <c:tx>
            <c:strRef>
              <c:f>'[JESUS DEFINITIVO Lluvias y embalses en 2019   ManEGonTe.xlsx]Norte Cibao'!$A$122</c:f>
              <c:strCache>
                <c:ptCount val="1"/>
                <c:pt idx="0">
                  <c:v>2019</c:v>
                </c:pt>
              </c:strCache>
            </c:strRef>
          </c:tx>
          <c:spPr>
            <a:ln w="50800" cap="rnd">
              <a:solidFill>
                <a:srgbClr val="669900"/>
              </a:solidFill>
              <a:round/>
            </a:ln>
            <a:effectLst/>
          </c:spPr>
          <c:marker>
            <c:symbol val="none"/>
          </c:marker>
          <c:cat>
            <c:strRef>
              <c:f>'[JESUS DEFINITIVO Lluvias y embalses en 2019   ManEGonTe.xlsx]Norte Cibao'!$B$120:$M$120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Cibao'!$B$122:$M$122</c:f>
              <c:numCache>
                <c:formatCode>_(* #,##0.0_);_(* \(#,##0.0\);_(* "-"??_);_(@_)</c:formatCode>
                <c:ptCount val="12"/>
                <c:pt idx="0">
                  <c:v>102.3</c:v>
                </c:pt>
                <c:pt idx="1">
                  <c:v>91.3</c:v>
                </c:pt>
                <c:pt idx="2">
                  <c:v>63.400000000000006</c:v>
                </c:pt>
                <c:pt idx="3">
                  <c:v>96.899999999999991</c:v>
                </c:pt>
                <c:pt idx="4">
                  <c:v>42.8</c:v>
                </c:pt>
                <c:pt idx="5">
                  <c:v>84.1</c:v>
                </c:pt>
                <c:pt idx="6">
                  <c:v>194.2</c:v>
                </c:pt>
                <c:pt idx="7">
                  <c:v>154.69999999999999</c:v>
                </c:pt>
                <c:pt idx="8">
                  <c:v>48.7</c:v>
                </c:pt>
                <c:pt idx="9">
                  <c:v>140.4</c:v>
                </c:pt>
                <c:pt idx="10">
                  <c:v>104.3</c:v>
                </c:pt>
              </c:numCache>
            </c:numRef>
          </c:val>
          <c:smooth val="1"/>
          <c:extLst xmlns:c16r2="http://schemas.microsoft.com/office/drawing/2015/06/chart">
            <c:ext xmlns:c16="http://schemas.microsoft.com/office/drawing/2014/chart" uri="{C3380CC4-5D6E-409C-BE32-E72D297353CC}">
              <c16:uniqueId val="{00000001-4D4E-4FF0-8C68-5F241FEA11EC}"/>
            </c:ext>
          </c:extLst>
        </c:ser>
        <c:dLbls>
          <c:showLegendKey val="0"/>
          <c:showVal val="0"/>
          <c:showCatName val="0"/>
          <c:showSerName val="0"/>
          <c:showPercent val="0"/>
          <c:showBubbleSize val="0"/>
        </c:dLbls>
        <c:smooth val="0"/>
        <c:axId val="-869449360"/>
        <c:axId val="-869448816"/>
      </c:lineChart>
      <c:catAx>
        <c:axId val="-8694493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s-DO"/>
          </a:p>
        </c:txPr>
        <c:crossAx val="-869448816"/>
        <c:crosses val="autoZero"/>
        <c:auto val="1"/>
        <c:lblAlgn val="ctr"/>
        <c:lblOffset val="100"/>
        <c:noMultiLvlLbl val="0"/>
      </c:catAx>
      <c:valAx>
        <c:axId val="-869448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49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'[JESUS DEFINITIVO Lluvias y embalses en 2019   ManEGonTe.xlsx]Norte Cibao'!$A$123</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7-86AC-4217-B460-EB18C27AB2BA}"/>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6-86AC-4217-B460-EB18C27AB2BA}"/>
              </c:ext>
            </c:extLst>
          </c:dPt>
          <c:dPt>
            <c:idx val="3"/>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5-86AC-4217-B460-EB18C27AB2BA}"/>
              </c:ext>
            </c:extLst>
          </c:dPt>
          <c:dPt>
            <c:idx val="4"/>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4-86AC-4217-B460-EB18C27AB2BA}"/>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86AC-4217-B460-EB18C27AB2BA}"/>
              </c:ext>
            </c:extLst>
          </c:dPt>
          <c:dPt>
            <c:idx val="7"/>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2-86AC-4217-B460-EB18C27AB2BA}"/>
              </c:ext>
            </c:extLst>
          </c:dPt>
          <c:dPt>
            <c:idx val="8"/>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86AC-4217-B460-EB18C27AB2BA}"/>
              </c:ext>
            </c:extLst>
          </c:dPt>
          <c:dLbls>
            <c:dLbl>
              <c:idx val="0"/>
              <c:layout>
                <c:manualLayout>
                  <c:x val="-1.5955719362531584E-17"/>
                  <c:y val="-6.79398833107645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6AC-4217-B460-EB18C27AB2BA}"/>
                </c:ext>
                <c:ext xmlns:c15="http://schemas.microsoft.com/office/drawing/2012/chart" uri="{CE6537A1-D6FC-4f65-9D91-7224C49458BB}"/>
              </c:extLst>
            </c:dLbl>
            <c:dLbl>
              <c:idx val="2"/>
              <c:layout>
                <c:manualLayout>
                  <c:x val="0"/>
                  <c:y val="-4.24628450106155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0933-4FC3-9371-00D1C4CB67C2}"/>
                </c:ext>
                <c:ext xmlns:c15="http://schemas.microsoft.com/office/drawing/2012/chart" uri="{CE6537A1-D6FC-4f65-9D91-7224C49458BB}"/>
              </c:extLst>
            </c:dLbl>
            <c:dLbl>
              <c:idx val="3"/>
              <c:layout>
                <c:manualLayout>
                  <c:x val="0"/>
                  <c:y val="-3.397027600849256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6AC-4217-B460-EB18C27AB2BA}"/>
                </c:ext>
                <c:ext xmlns:c15="http://schemas.microsoft.com/office/drawing/2012/chart" uri="{CE6537A1-D6FC-4f65-9D91-7224C49458BB}"/>
              </c:extLst>
            </c:dLbl>
            <c:dLbl>
              <c:idx val="5"/>
              <c:layout>
                <c:manualLayout>
                  <c:x val="0"/>
                  <c:y val="-7.64331210191082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0933-4FC3-9371-00D1C4CB67C2}"/>
                </c:ext>
                <c:ext xmlns:c15="http://schemas.microsoft.com/office/drawing/2012/chart" uri="{CE6537A1-D6FC-4f65-9D91-7224C49458BB}"/>
              </c:extLst>
            </c:dLbl>
            <c:dLbl>
              <c:idx val="9"/>
              <c:layout>
                <c:manualLayout>
                  <c:x val="0"/>
                  <c:y val="-1.69851380042462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0933-4FC3-9371-00D1C4CB67C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'[JESUS DEFINITIVO Lluvias y embalses en 2019   ManEGonTe.xlsx]Norte Cibao'!$B$120:$M$120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Cibao'!$B$123:$M$123</c:f>
              <c:numCache>
                <c:formatCode>0.0</c:formatCode>
                <c:ptCount val="12"/>
                <c:pt idx="0">
                  <c:v>-11.043478260869568</c:v>
                </c:pt>
                <c:pt idx="1">
                  <c:v>13.698630136986301</c:v>
                </c:pt>
                <c:pt idx="2">
                  <c:v>-19.132653061224488</c:v>
                </c:pt>
                <c:pt idx="3">
                  <c:v>-19.585062240663909</c:v>
                </c:pt>
                <c:pt idx="4">
                  <c:v>-69.030390738060788</c:v>
                </c:pt>
                <c:pt idx="5">
                  <c:v>-8.686210640608035</c:v>
                </c:pt>
                <c:pt idx="6">
                  <c:v>74.640287769784152</c:v>
                </c:pt>
                <c:pt idx="7">
                  <c:v>40.508628519527697</c:v>
                </c:pt>
                <c:pt idx="8">
                  <c:v>-59.851607584501231</c:v>
                </c:pt>
                <c:pt idx="9">
                  <c:v>-24.919786096256679</c:v>
                </c:pt>
                <c:pt idx="10">
                  <c:v>-54.8</c:v>
                </c:pt>
              </c:numCache>
            </c:numRef>
          </c:val>
          <c:extLst xmlns:c16r2="http://schemas.microsoft.com/office/drawing/2015/06/chart">
            <c:ext xmlns:c16="http://schemas.microsoft.com/office/drawing/2014/chart" uri="{C3380CC4-5D6E-409C-BE32-E72D297353CC}">
              <c16:uniqueId val="{00000000-86AC-4217-B460-EB18C27AB2BA}"/>
            </c:ext>
          </c:extLst>
        </c:ser>
        <c:dLbls>
          <c:showLegendKey val="0"/>
          <c:showVal val="0"/>
          <c:showCatName val="0"/>
          <c:showSerName val="0"/>
          <c:showPercent val="0"/>
          <c:showBubbleSize val="0"/>
        </c:dLbls>
        <c:gapWidth val="219"/>
        <c:overlap val="-27"/>
        <c:axId val="-869448272"/>
        <c:axId val="-869447728"/>
      </c:barChart>
      <c:catAx>
        <c:axId val="-869448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869447728"/>
        <c:crosses val="autoZero"/>
        <c:auto val="1"/>
        <c:lblAlgn val="ctr"/>
        <c:lblOffset val="100"/>
        <c:noMultiLvlLbl val="0"/>
      </c:catAx>
      <c:valAx>
        <c:axId val="-869447728"/>
        <c:scaling>
          <c:orientation val="minMax"/>
          <c:max val="2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8694482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'[JESUS DEFINITIVO Lluvias y embalses en 2019   ManEGonTe.xlsx]Norte Cibao'!$A$140</c:f>
              <c:strCache>
                <c:ptCount val="1"/>
                <c:pt idx="0">
                  <c:v>NORMAL</c:v>
                </c:pt>
              </c:strCache>
            </c:strRef>
          </c:tx>
          <c:spPr>
            <a:ln w="38100" cap="rnd">
              <a:solidFill>
                <a:schemeClr val="tx1"/>
              </a:solidFill>
              <a:prstDash val="sysDash"/>
              <a:round/>
            </a:ln>
            <a:effectLst/>
          </c:spPr>
          <c:marker>
            <c:symbol val="none"/>
          </c:marker>
          <c:cat>
            <c:strRef>
              <c:f>'[JESUS DEFINITIVO Lluvias y embalses en 2019   ManEGonTe.xlsx]Norte Cibao'!$B$139:$M$139</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Cibao'!$B$140:$M$140</c:f>
              <c:numCache>
                <c:formatCode>0.0</c:formatCode>
                <c:ptCount val="12"/>
                <c:pt idx="0">
                  <c:v>150.9</c:v>
                </c:pt>
                <c:pt idx="1">
                  <c:v>120.5</c:v>
                </c:pt>
                <c:pt idx="2">
                  <c:v>110.3</c:v>
                </c:pt>
                <c:pt idx="3">
                  <c:v>165.9</c:v>
                </c:pt>
                <c:pt idx="4">
                  <c:v>230.9</c:v>
                </c:pt>
                <c:pt idx="5">
                  <c:v>202.7</c:v>
                </c:pt>
                <c:pt idx="6">
                  <c:v>180</c:v>
                </c:pt>
                <c:pt idx="7">
                  <c:v>220.6</c:v>
                </c:pt>
                <c:pt idx="8">
                  <c:v>216.9</c:v>
                </c:pt>
                <c:pt idx="9">
                  <c:v>189.4</c:v>
                </c:pt>
                <c:pt idx="10">
                  <c:v>220.7</c:v>
                </c:pt>
                <c:pt idx="11">
                  <c:v>170.6</c:v>
                </c:pt>
              </c:numCache>
            </c:numRef>
          </c:val>
          <c:smooth val="1"/>
          <c:extLst xmlns:c16r2="http://schemas.microsoft.com/office/drawing/2015/06/chart">
            <c:ext xmlns:c16="http://schemas.microsoft.com/office/drawing/2014/chart" uri="{C3380CC4-5D6E-409C-BE32-E72D297353CC}">
              <c16:uniqueId val="{00000000-E2C4-4DDC-9325-9348F046D5A4}"/>
            </c:ext>
          </c:extLst>
        </c:ser>
        <c:ser>
          <c:idx val="1"/>
          <c:order val="1"/>
          <c:tx>
            <c:strRef>
              <c:f>'[JESUS DEFINITIVO Lluvias y embalses en 2019   ManEGonTe.xlsx]Norte Cibao'!$A$141</c:f>
              <c:strCache>
                <c:ptCount val="1"/>
                <c:pt idx="0">
                  <c:v>2019</c:v>
                </c:pt>
              </c:strCache>
            </c:strRef>
          </c:tx>
          <c:spPr>
            <a:ln w="50800" cap="rnd">
              <a:solidFill>
                <a:srgbClr val="669900"/>
              </a:solidFill>
              <a:round/>
            </a:ln>
            <a:effectLst/>
          </c:spPr>
          <c:marker>
            <c:symbol val="none"/>
          </c:marker>
          <c:cat>
            <c:strRef>
              <c:f>'[JESUS DEFINITIVO Lluvias y embalses en 2019   ManEGonTe.xlsx]Norte Cibao'!$B$139:$M$139</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Cibao'!$B$141:$M$141</c:f>
              <c:numCache>
                <c:formatCode>_(* #,##0.0_);_(* \(#,##0.0\);_(* "-"??_);_(@_)</c:formatCode>
                <c:ptCount val="12"/>
                <c:pt idx="0">
                  <c:v>58.9</c:v>
                </c:pt>
                <c:pt idx="1">
                  <c:v>47.6</c:v>
                </c:pt>
                <c:pt idx="2">
                  <c:v>140.203</c:v>
                </c:pt>
                <c:pt idx="3">
                  <c:v>129.19999999999999</c:v>
                </c:pt>
                <c:pt idx="4">
                  <c:v>188.5</c:v>
                </c:pt>
                <c:pt idx="5">
                  <c:v>145.9</c:v>
                </c:pt>
                <c:pt idx="6">
                  <c:v>134.6</c:v>
                </c:pt>
                <c:pt idx="7">
                  <c:v>308.60000000000002</c:v>
                </c:pt>
                <c:pt idx="8">
                  <c:v>42.8</c:v>
                </c:pt>
                <c:pt idx="9">
                  <c:v>72.099999999999994</c:v>
                </c:pt>
                <c:pt idx="10">
                  <c:v>171.1</c:v>
                </c:pt>
              </c:numCache>
            </c:numRef>
          </c:val>
          <c:smooth val="1"/>
          <c:extLst xmlns:c16r2="http://schemas.microsoft.com/office/drawing/2015/06/chart">
            <c:ext xmlns:c16="http://schemas.microsoft.com/office/drawing/2014/chart" uri="{C3380CC4-5D6E-409C-BE32-E72D297353CC}">
              <c16:uniqueId val="{00000001-E2C4-4DDC-9325-9348F046D5A4}"/>
            </c:ext>
          </c:extLst>
        </c:ser>
        <c:dLbls>
          <c:showLegendKey val="0"/>
          <c:showVal val="0"/>
          <c:showCatName val="0"/>
          <c:showSerName val="0"/>
          <c:showPercent val="0"/>
          <c:showBubbleSize val="0"/>
        </c:dLbls>
        <c:smooth val="0"/>
        <c:axId val="-869447184"/>
        <c:axId val="-869446096"/>
      </c:lineChart>
      <c:catAx>
        <c:axId val="-8694471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46096"/>
        <c:crosses val="autoZero"/>
        <c:auto val="1"/>
        <c:lblAlgn val="ctr"/>
        <c:lblOffset val="100"/>
        <c:noMultiLvlLbl val="0"/>
      </c:catAx>
      <c:valAx>
        <c:axId val="-869446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47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'[JESUS DEFINITIVO Lluvias y embalses en 2019   ManEGonTe.xlsx]Norte Cibao'!$A$142</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F077-4312-91E6-057CE0BDC340}"/>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F077-4312-91E6-057CE0BDC340}"/>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7945-42D6-9FE7-9CE0A8C8089D}"/>
              </c:ext>
            </c:extLst>
          </c:dPt>
          <c:dPt>
            <c:idx val="4"/>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F077-4312-91E6-057CE0BDC340}"/>
              </c:ext>
            </c:extLst>
          </c:dPt>
          <c:dPt>
            <c:idx val="7"/>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7945-42D6-9FE7-9CE0A8C8089D}"/>
              </c:ext>
            </c:extLst>
          </c:dPt>
          <c:dPt>
            <c:idx val="8"/>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4-F077-4312-91E6-057CE0BDC340}"/>
              </c:ext>
            </c:extLst>
          </c:dPt>
          <c:dPt>
            <c:idx val="9"/>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5-F077-4312-91E6-057CE0BDC340}"/>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'[JESUS DEFINITIVO Lluvias y embalses en 2019   ManEGonTe.xlsx]Norte Cibao'!$B$139:$M$139</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Cibao'!$B$142:$M$142</c:f>
              <c:numCache>
                <c:formatCode>0.0</c:formatCode>
                <c:ptCount val="12"/>
                <c:pt idx="0">
                  <c:v>-60.96752816434725</c:v>
                </c:pt>
                <c:pt idx="1">
                  <c:v>-60.497925311203325</c:v>
                </c:pt>
                <c:pt idx="2">
                  <c:v>27.110607434270179</c:v>
                </c:pt>
                <c:pt idx="3">
                  <c:v>-22.121760096443651</c:v>
                </c:pt>
                <c:pt idx="4">
                  <c:v>-18.362927674317891</c:v>
                </c:pt>
                <c:pt idx="5">
                  <c:v>-28.021706956092739</c:v>
                </c:pt>
                <c:pt idx="6">
                  <c:v>-25.222222222222229</c:v>
                </c:pt>
                <c:pt idx="7">
                  <c:v>39.891205802357227</c:v>
                </c:pt>
                <c:pt idx="8">
                  <c:v>-80.267404333794389</c:v>
                </c:pt>
                <c:pt idx="9">
                  <c:v>-61.932418162618802</c:v>
                </c:pt>
                <c:pt idx="10">
                  <c:v>-23.7</c:v>
                </c:pt>
              </c:numCache>
            </c:numRef>
          </c:val>
          <c:extLst xmlns:c16r2="http://schemas.microsoft.com/office/drawing/2015/06/chart">
            <c:ext xmlns:c16="http://schemas.microsoft.com/office/drawing/2014/chart" uri="{C3380CC4-5D6E-409C-BE32-E72D297353CC}">
              <c16:uniqueId val="{00000000-F077-4312-91E6-057CE0BDC340}"/>
            </c:ext>
          </c:extLst>
        </c:ser>
        <c:dLbls>
          <c:showLegendKey val="0"/>
          <c:showVal val="0"/>
          <c:showCatName val="0"/>
          <c:showSerName val="0"/>
          <c:showPercent val="0"/>
          <c:showBubbleSize val="0"/>
        </c:dLbls>
        <c:gapWidth val="219"/>
        <c:overlap val="-27"/>
        <c:axId val="-869445552"/>
        <c:axId val="-869445008"/>
      </c:barChart>
      <c:catAx>
        <c:axId val="-8694455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45008"/>
        <c:crosses val="autoZero"/>
        <c:auto val="1"/>
        <c:lblAlgn val="ctr"/>
        <c:lblOffset val="100"/>
        <c:noMultiLvlLbl val="0"/>
      </c:catAx>
      <c:valAx>
        <c:axId val="-869445008"/>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455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'[JESUS DEFINITIVO Lluvias y embalses en 2019   ManEGonTe.xlsx]Norte Cibao'!$A$159</c:f>
              <c:strCache>
                <c:ptCount val="1"/>
                <c:pt idx="0">
                  <c:v>NORMAL</c:v>
                </c:pt>
              </c:strCache>
            </c:strRef>
          </c:tx>
          <c:spPr>
            <a:ln w="38100" cap="rnd">
              <a:solidFill>
                <a:schemeClr val="tx1"/>
              </a:solidFill>
              <a:prstDash val="sysDash"/>
              <a:round/>
            </a:ln>
            <a:effectLst/>
          </c:spPr>
          <c:marker>
            <c:symbol val="none"/>
          </c:marker>
          <c:cat>
            <c:strRef>
              <c:f>'[JESUS DEFINITIVO Lluvias y embalses en 2019   ManEGonTe.xlsx]Norte Cibao'!$B$158:$M$158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Cibao'!$B$159:$M$159</c:f>
              <c:numCache>
                <c:formatCode>0.0</c:formatCode>
                <c:ptCount val="12"/>
                <c:pt idx="0">
                  <c:v>55.9</c:v>
                </c:pt>
                <c:pt idx="1">
                  <c:v>42.3</c:v>
                </c:pt>
                <c:pt idx="2">
                  <c:v>61.9</c:v>
                </c:pt>
                <c:pt idx="3">
                  <c:v>109.3</c:v>
                </c:pt>
                <c:pt idx="4">
                  <c:v>133.1</c:v>
                </c:pt>
                <c:pt idx="5">
                  <c:v>63.7</c:v>
                </c:pt>
                <c:pt idx="6">
                  <c:v>48.1</c:v>
                </c:pt>
                <c:pt idx="7">
                  <c:v>71.3</c:v>
                </c:pt>
                <c:pt idx="8">
                  <c:v>85.3</c:v>
                </c:pt>
                <c:pt idx="9">
                  <c:v>112.8</c:v>
                </c:pt>
                <c:pt idx="10">
                  <c:v>94.4</c:v>
                </c:pt>
                <c:pt idx="11">
                  <c:v>68.2</c:v>
                </c:pt>
              </c:numCache>
            </c:numRef>
          </c:val>
          <c:smooth val="1"/>
          <c:extLst xmlns:c16r2="http://schemas.microsoft.com/office/drawing/2015/06/chart">
            <c:ext xmlns:c16="http://schemas.microsoft.com/office/drawing/2014/chart" uri="{C3380CC4-5D6E-409C-BE32-E72D297353CC}">
              <c16:uniqueId val="{00000000-34C6-4A18-A605-EF5C9E129FE2}"/>
            </c:ext>
          </c:extLst>
        </c:ser>
        <c:ser>
          <c:idx val="1"/>
          <c:order val="1"/>
          <c:tx>
            <c:strRef>
              <c:f>'[JESUS DEFINITIVO Lluvias y embalses en 2019   ManEGonTe.xlsx]Norte Cibao'!$A$160</c:f>
              <c:strCache>
                <c:ptCount val="1"/>
                <c:pt idx="0">
                  <c:v>2019</c:v>
                </c:pt>
              </c:strCache>
            </c:strRef>
          </c:tx>
          <c:spPr>
            <a:ln w="50800" cap="rnd">
              <a:solidFill>
                <a:srgbClr val="669900"/>
              </a:solidFill>
              <a:round/>
            </a:ln>
            <a:effectLst/>
          </c:spPr>
          <c:marker>
            <c:symbol val="none"/>
          </c:marker>
          <c:cat>
            <c:strRef>
              <c:f>'[JESUS DEFINITIVO Lluvias y embalses en 2019   ManEGonTe.xlsx]Norte Cibao'!$B$158:$M$158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Cibao'!$B$160:$M$160</c:f>
              <c:numCache>
                <c:formatCode>_(* #,##0.0_);_(* \(#,##0.0\);_(* "-"??_);_(@_)</c:formatCode>
                <c:ptCount val="12"/>
                <c:pt idx="0">
                  <c:v>48</c:v>
                </c:pt>
                <c:pt idx="1">
                  <c:v>31.7</c:v>
                </c:pt>
                <c:pt idx="2">
                  <c:v>131.69999999999999</c:v>
                </c:pt>
                <c:pt idx="3">
                  <c:v>55.6</c:v>
                </c:pt>
                <c:pt idx="4">
                  <c:v>43.3</c:v>
                </c:pt>
                <c:pt idx="5">
                  <c:v>36.200000000000003</c:v>
                </c:pt>
                <c:pt idx="6">
                  <c:v>50.6</c:v>
                </c:pt>
                <c:pt idx="7">
                  <c:v>41.2</c:v>
                </c:pt>
                <c:pt idx="8">
                  <c:v>239.9</c:v>
                </c:pt>
                <c:pt idx="9">
                  <c:v>38.200000000000003</c:v>
                </c:pt>
                <c:pt idx="10">
                  <c:v>61.3</c:v>
                </c:pt>
              </c:numCache>
            </c:numRef>
          </c:val>
          <c:smooth val="1"/>
          <c:extLst xmlns:c16r2="http://schemas.microsoft.com/office/drawing/2015/06/chart">
            <c:ext xmlns:c16="http://schemas.microsoft.com/office/drawing/2014/chart" uri="{C3380CC4-5D6E-409C-BE32-E72D297353CC}">
              <c16:uniqueId val="{00000001-34C6-4A18-A605-EF5C9E129FE2}"/>
            </c:ext>
          </c:extLst>
        </c:ser>
        <c:dLbls>
          <c:showLegendKey val="0"/>
          <c:showVal val="0"/>
          <c:showCatName val="0"/>
          <c:showSerName val="0"/>
          <c:showPercent val="0"/>
          <c:showBubbleSize val="0"/>
        </c:dLbls>
        <c:smooth val="0"/>
        <c:axId val="-869444464"/>
        <c:axId val="-983984592"/>
      </c:lineChart>
      <c:catAx>
        <c:axId val="-869444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983984592"/>
        <c:crosses val="autoZero"/>
        <c:auto val="1"/>
        <c:lblAlgn val="ctr"/>
        <c:lblOffset val="100"/>
        <c:noMultiLvlLbl val="0"/>
      </c:catAx>
      <c:valAx>
        <c:axId val="-9839845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869444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'[JESUS DEFINITIVO Lluvias y embalses en 2019   ManEGonTe.xlsx]Norte Cibao'!$A$161</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5253-43B3-8F60-498633A4A9E6}"/>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5253-43B3-8F60-498633A4A9E6}"/>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5670-4E27-96D9-684CE663A8FD}"/>
              </c:ext>
            </c:extLst>
          </c:dPt>
          <c:dPt>
            <c:idx val="5"/>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5253-43B3-8F60-498633A4A9E6}"/>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5670-4E27-96D9-684CE663A8FD}"/>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'[JESUS DEFINITIVO Lluvias y embalses en 2019   ManEGonTe.xlsx]Norte Cibao'!$B$158:$M$158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Cibao'!$B$161:$M$161</c:f>
              <c:numCache>
                <c:formatCode>0.0</c:formatCode>
                <c:ptCount val="12"/>
                <c:pt idx="0">
                  <c:v>-14.132379248658317</c:v>
                </c:pt>
                <c:pt idx="1">
                  <c:v>-25.059101654846334</c:v>
                </c:pt>
                <c:pt idx="2">
                  <c:v>112.76252019386104</c:v>
                </c:pt>
                <c:pt idx="3">
                  <c:v>-49.130832570905767</c:v>
                </c:pt>
                <c:pt idx="4">
                  <c:v>-67.468069120961687</c:v>
                </c:pt>
                <c:pt idx="5">
                  <c:v>-43.171114599686028</c:v>
                </c:pt>
                <c:pt idx="6">
                  <c:v>5.1975051975051976</c:v>
                </c:pt>
                <c:pt idx="7">
                  <c:v>-42.215988779803645</c:v>
                </c:pt>
                <c:pt idx="8">
                  <c:v>181.24267291910905</c:v>
                </c:pt>
                <c:pt idx="9">
                  <c:v>-66.134751773049643</c:v>
                </c:pt>
                <c:pt idx="10">
                  <c:v>-35.1</c:v>
                </c:pt>
              </c:numCache>
            </c:numRef>
          </c:val>
          <c:extLst xmlns:c16r2="http://schemas.microsoft.com/office/drawing/2015/06/chart">
            <c:ext xmlns:c16="http://schemas.microsoft.com/office/drawing/2014/chart" uri="{C3380CC4-5D6E-409C-BE32-E72D297353CC}">
              <c16:uniqueId val="{00000000-5253-43B3-8F60-498633A4A9E6}"/>
            </c:ext>
          </c:extLst>
        </c:ser>
        <c:dLbls>
          <c:showLegendKey val="0"/>
          <c:showVal val="0"/>
          <c:showCatName val="0"/>
          <c:showSerName val="0"/>
          <c:showPercent val="0"/>
          <c:showBubbleSize val="0"/>
        </c:dLbls>
        <c:gapWidth val="219"/>
        <c:overlap val="-27"/>
        <c:axId val="-983978064"/>
        <c:axId val="-983980240"/>
      </c:barChart>
      <c:catAx>
        <c:axId val="-9839780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80240"/>
        <c:crosses val="autoZero"/>
        <c:auto val="1"/>
        <c:lblAlgn val="ctr"/>
        <c:lblOffset val="100"/>
        <c:noMultiLvlLbl val="0"/>
      </c:catAx>
      <c:valAx>
        <c:axId val="-983980240"/>
        <c:scaling>
          <c:orientation val="minMax"/>
          <c:max val="1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780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80018566321955"/>
          <c:y val="2.6845933436191315E-2"/>
          <c:w val="0.85142853633155446"/>
          <c:h val="0.88360653177114157"/>
        </c:manualLayout>
      </c:layout>
      <c:barChart>
        <c:barDir val="col"/>
        <c:grouping val="clustered"/>
        <c:varyColors val="0"/>
        <c:ser>
          <c:idx val="1"/>
          <c:order val="0"/>
          <c:tx>
            <c:strRef>
              <c:f>'[Datos.xlsx]Chart Producción'!$D$21</c:f>
              <c:strCache>
                <c:ptCount val="1"/>
                <c:pt idx="0">
                  <c:v>RD$ Millones</c:v>
                </c:pt>
              </c:strCache>
            </c:strRef>
          </c:tx>
          <c:spPr>
            <a:solidFill>
              <a:srgbClr val="00B050"/>
            </a:solidFill>
            <a:ln>
              <a:noFill/>
            </a:ln>
            <a:effectLst/>
          </c:spPr>
          <c:invertIfNegative val="0"/>
          <c:dLbls>
            <c:dLbl>
              <c:idx val="7"/>
              <c:layout>
                <c:manualLayout>
                  <c:x val="0"/>
                  <c:y val="2.204099625303062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837-42E2-BA53-AAD542B1373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'[Datos.xlsx]Chart Producción'!$G$3:$O$3</c:f>
              <c:numCache>
                <c:formatCode>General</c:formatCode>
                <c:ptCount val="8"/>
                <c:pt idx="0">
                  <c:v>2012</c:v>
                </c:pt>
                <c:pt idx="1">
                  <c:v>2013</c:v>
                </c:pt>
                <c:pt idx="2">
                  <c:v>2014</c:v>
                </c:pt>
                <c:pt idx="3">
                  <c:v>2015</c:v>
                </c:pt>
                <c:pt idx="4">
                  <c:v>2016</c:v>
                </c:pt>
                <c:pt idx="5">
                  <c:v>2017</c:v>
                </c:pt>
                <c:pt idx="6">
                  <c:v>2018</c:v>
                </c:pt>
                <c:pt idx="7">
                  <c:v>2019</c:v>
                </c:pt>
              </c:numCache>
            </c:numRef>
          </c:cat>
          <c:val>
            <c:numRef>
              <c:f>'[Datos.xlsx]Chart Producción'!$G$21:$O$21</c:f>
              <c:numCache>
                <c:formatCode>_(* #,##0.00_);_(* \(#,##0.00\);_(* "-"??_);_(@_)</c:formatCode>
                <c:ptCount val="8"/>
                <c:pt idx="0">
                  <c:v>6038.82</c:v>
                </c:pt>
                <c:pt idx="1">
                  <c:v>13578.49</c:v>
                </c:pt>
                <c:pt idx="2">
                  <c:v>14765.35</c:v>
                </c:pt>
                <c:pt idx="3">
                  <c:v>14382.79</c:v>
                </c:pt>
                <c:pt idx="4">
                  <c:v>16421.84</c:v>
                </c:pt>
                <c:pt idx="5">
                  <c:v>19479.189999999999</c:v>
                </c:pt>
                <c:pt idx="6">
                  <c:v>20033.82</c:v>
                </c:pt>
                <c:pt idx="7">
                  <c:v>23520.988824</c:v>
                </c:pt>
              </c:numCache>
            </c:numRef>
          </c:val>
          <c:extLst xmlns:c16r2="http://schemas.microsoft.com/office/drawing/2015/06/chart">
            <c:ext xmlns:c16="http://schemas.microsoft.com/office/drawing/2014/chart" uri="{C3380CC4-5D6E-409C-BE32-E72D297353CC}">
              <c16:uniqueId val="{00000000-E837-42E2-BA53-AAD542B13733}"/>
            </c:ext>
          </c:extLst>
        </c:ser>
        <c:dLbls>
          <c:showLegendKey val="0"/>
          <c:showVal val="1"/>
          <c:showCatName val="0"/>
          <c:showSerName val="0"/>
          <c:showPercent val="0"/>
          <c:showBubbleSize val="0"/>
        </c:dLbls>
        <c:gapWidth val="100"/>
        <c:overlap val="-24"/>
        <c:axId val="-835763248"/>
        <c:axId val="-835756720"/>
      </c:barChart>
      <c:catAx>
        <c:axId val="-835763248"/>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56720"/>
        <c:crosses val="autoZero"/>
        <c:auto val="1"/>
        <c:lblAlgn val="ctr"/>
        <c:lblOffset val="100"/>
        <c:noMultiLvlLbl val="0"/>
      </c:catAx>
      <c:valAx>
        <c:axId val="-83575672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t>Millones de RD$</a:t>
                </a:r>
              </a:p>
            </c:rich>
          </c:tx>
          <c:layout>
            <c:manualLayout>
              <c:xMode val="edge"/>
              <c:yMode val="edge"/>
              <c:x val="1.3777333995497052E-2"/>
              <c:y val="0.25219446753638936"/>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632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'[JESUS DEFINITIVO Lluvias y embalses en 2019   ManEGonTe.xlsx]Norte Cibao'!$A$179</c:f>
              <c:strCache>
                <c:ptCount val="1"/>
                <c:pt idx="0">
                  <c:v>NORMAL</c:v>
                </c:pt>
              </c:strCache>
            </c:strRef>
          </c:tx>
          <c:spPr>
            <a:ln w="38100" cap="rnd">
              <a:solidFill>
                <a:schemeClr val="tx1"/>
              </a:solidFill>
              <a:prstDash val="sysDash"/>
              <a:round/>
            </a:ln>
            <a:effectLst/>
          </c:spPr>
          <c:marker>
            <c:symbol val="none"/>
          </c:marker>
          <c:cat>
            <c:strRef>
              <c:f>'[JESUS DEFINITIVO Lluvias y embalses en 2019   ManEGonTe.xlsx]Norte Cibao'!$B$178:$M$178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Cibao'!$B$179:$M$179</c:f>
              <c:numCache>
                <c:formatCode>0.0</c:formatCode>
                <c:ptCount val="12"/>
                <c:pt idx="0">
                  <c:v>72.5</c:v>
                </c:pt>
                <c:pt idx="1">
                  <c:v>61.7</c:v>
                </c:pt>
                <c:pt idx="2">
                  <c:v>75.7</c:v>
                </c:pt>
                <c:pt idx="3">
                  <c:v>105.1</c:v>
                </c:pt>
                <c:pt idx="4">
                  <c:v>148.9</c:v>
                </c:pt>
                <c:pt idx="5">
                  <c:v>69</c:v>
                </c:pt>
                <c:pt idx="6">
                  <c:v>85.9</c:v>
                </c:pt>
                <c:pt idx="7">
                  <c:v>85.8</c:v>
                </c:pt>
                <c:pt idx="8">
                  <c:v>100.7</c:v>
                </c:pt>
                <c:pt idx="9">
                  <c:v>130.9</c:v>
                </c:pt>
                <c:pt idx="10">
                  <c:v>120.7</c:v>
                </c:pt>
                <c:pt idx="11">
                  <c:v>100.2</c:v>
                </c:pt>
              </c:numCache>
            </c:numRef>
          </c:val>
          <c:smooth val="1"/>
          <c:extLst xmlns:c16r2="http://schemas.microsoft.com/office/drawing/2015/06/chart">
            <c:ext xmlns:c16="http://schemas.microsoft.com/office/drawing/2014/chart" uri="{C3380CC4-5D6E-409C-BE32-E72D297353CC}">
              <c16:uniqueId val="{00000000-59DD-416C-9DF7-65207F927690}"/>
            </c:ext>
          </c:extLst>
        </c:ser>
        <c:ser>
          <c:idx val="1"/>
          <c:order val="1"/>
          <c:tx>
            <c:strRef>
              <c:f>'[JESUS DEFINITIVO Lluvias y embalses en 2019   ManEGonTe.xlsx]Norte Cibao'!$A$180</c:f>
              <c:strCache>
                <c:ptCount val="1"/>
                <c:pt idx="0">
                  <c:v>2019</c:v>
                </c:pt>
              </c:strCache>
            </c:strRef>
          </c:tx>
          <c:spPr>
            <a:ln w="50800" cap="rnd">
              <a:solidFill>
                <a:srgbClr val="669900"/>
              </a:solidFill>
              <a:round/>
            </a:ln>
            <a:effectLst/>
          </c:spPr>
          <c:marker>
            <c:symbol val="none"/>
          </c:marker>
          <c:cat>
            <c:strRef>
              <c:f>'[JESUS DEFINITIVO Lluvias y embalses en 2019   ManEGonTe.xlsx]Norte Cibao'!$B$178:$M$178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Cibao'!$B$180:$M$180</c:f>
              <c:numCache>
                <c:formatCode>_(* #,##0.0_);_(* \(#,##0.0\);_(* "-"??_);_(@_)</c:formatCode>
                <c:ptCount val="12"/>
                <c:pt idx="0">
                  <c:v>4.2</c:v>
                </c:pt>
                <c:pt idx="1">
                  <c:v>42.7</c:v>
                </c:pt>
                <c:pt idx="2">
                  <c:v>89.5</c:v>
                </c:pt>
                <c:pt idx="3">
                  <c:v>72.3</c:v>
                </c:pt>
                <c:pt idx="4">
                  <c:v>60.3</c:v>
                </c:pt>
                <c:pt idx="5">
                  <c:v>0</c:v>
                </c:pt>
                <c:pt idx="6">
                  <c:v>23.5</c:v>
                </c:pt>
                <c:pt idx="7">
                  <c:v>10.5</c:v>
                </c:pt>
                <c:pt idx="8">
                  <c:v>382.8</c:v>
                </c:pt>
                <c:pt idx="9">
                  <c:v>43.8</c:v>
                </c:pt>
                <c:pt idx="10">
                  <c:v>73.5</c:v>
                </c:pt>
              </c:numCache>
            </c:numRef>
          </c:val>
          <c:smooth val="1"/>
          <c:extLst xmlns:c16r2="http://schemas.microsoft.com/office/drawing/2015/06/chart">
            <c:ext xmlns:c16="http://schemas.microsoft.com/office/drawing/2014/chart" uri="{C3380CC4-5D6E-409C-BE32-E72D297353CC}">
              <c16:uniqueId val="{00000001-59DD-416C-9DF7-65207F927690}"/>
            </c:ext>
          </c:extLst>
        </c:ser>
        <c:dLbls>
          <c:showLegendKey val="0"/>
          <c:showVal val="0"/>
          <c:showCatName val="0"/>
          <c:showSerName val="0"/>
          <c:showPercent val="0"/>
          <c:showBubbleSize val="0"/>
        </c:dLbls>
        <c:smooth val="0"/>
        <c:axId val="-983982960"/>
        <c:axId val="-983988400"/>
      </c:lineChart>
      <c:catAx>
        <c:axId val="-9839829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88400"/>
        <c:crosses val="autoZero"/>
        <c:auto val="1"/>
        <c:lblAlgn val="ctr"/>
        <c:lblOffset val="100"/>
        <c:noMultiLvlLbl val="0"/>
      </c:catAx>
      <c:valAx>
        <c:axId val="-9839884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983982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'[JESUS DEFINITIVO Lluvias y embalses en 2019   ManEGonTe.xlsx]Norte Cibao'!$A$181</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6344-4333-8E53-200031D45348}"/>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6344-4333-8E53-200031D45348}"/>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BFBE-4946-A6D7-B730D44E87D3}"/>
              </c:ext>
            </c:extLst>
          </c:dPt>
          <c:dPt>
            <c:idx val="5"/>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6344-4333-8E53-200031D45348}"/>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BFBE-4946-A6D7-B730D44E87D3}"/>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'[JESUS DEFINITIVO Lluvias y embalses en 2019   ManEGonTe.xlsx]Norte Cibao'!$B$178:$M$178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Cibao'!$B$181:$M$181</c:f>
              <c:numCache>
                <c:formatCode>0.0</c:formatCode>
                <c:ptCount val="12"/>
                <c:pt idx="0">
                  <c:v>-94.206896551724142</c:v>
                </c:pt>
                <c:pt idx="1">
                  <c:v>-30.79416531604538</c:v>
                </c:pt>
                <c:pt idx="2">
                  <c:v>18.229854689564064</c:v>
                </c:pt>
                <c:pt idx="3">
                  <c:v>-31.208372978116078</c:v>
                </c:pt>
                <c:pt idx="4">
                  <c:v>-59.503022162525184</c:v>
                </c:pt>
                <c:pt idx="5">
                  <c:v>-100</c:v>
                </c:pt>
                <c:pt idx="6">
                  <c:v>-72.642607683352736</c:v>
                </c:pt>
                <c:pt idx="7">
                  <c:v>-87.76223776223776</c:v>
                </c:pt>
                <c:pt idx="8">
                  <c:v>280.13902681231383</c:v>
                </c:pt>
                <c:pt idx="9">
                  <c:v>-66.539343009931244</c:v>
                </c:pt>
                <c:pt idx="10">
                  <c:v>-39.105219552609775</c:v>
                </c:pt>
              </c:numCache>
            </c:numRef>
          </c:val>
          <c:extLst xmlns:c16r2="http://schemas.microsoft.com/office/drawing/2015/06/chart">
            <c:ext xmlns:c16="http://schemas.microsoft.com/office/drawing/2014/chart" uri="{C3380CC4-5D6E-409C-BE32-E72D297353CC}">
              <c16:uniqueId val="{00000000-6344-4333-8E53-200031D45348}"/>
            </c:ext>
          </c:extLst>
        </c:ser>
        <c:dLbls>
          <c:showLegendKey val="0"/>
          <c:showVal val="0"/>
          <c:showCatName val="0"/>
          <c:showSerName val="0"/>
          <c:showPercent val="0"/>
          <c:showBubbleSize val="0"/>
        </c:dLbls>
        <c:gapWidth val="219"/>
        <c:overlap val="-27"/>
        <c:axId val="-983987312"/>
        <c:axId val="-983990576"/>
      </c:barChart>
      <c:catAx>
        <c:axId val="-983987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90576"/>
        <c:crosses val="autoZero"/>
        <c:auto val="1"/>
        <c:lblAlgn val="ctr"/>
        <c:lblOffset val="100"/>
        <c:noMultiLvlLbl val="0"/>
      </c:catAx>
      <c:valAx>
        <c:axId val="-983990576"/>
        <c:scaling>
          <c:orientation val="minMax"/>
          <c:max val="1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873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2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935224176532961E-2"/>
          <c:y val="4.884004884004884E-2"/>
          <c:w val="0.87498404095072135"/>
          <c:h val="0.71026890869410553"/>
        </c:manualLayout>
      </c:layout>
      <c:lineChart>
        <c:grouping val="standard"/>
        <c:varyColors val="0"/>
        <c:ser>
          <c:idx val="0"/>
          <c:order val="0"/>
          <c:tx>
            <c:strRef>
              <c:f>'[JESUS DEFINITIVO Lluvias y embalses en 2019   ManEGonTe.xlsx]Norte Cibao'!$A$198</c:f>
              <c:strCache>
                <c:ptCount val="1"/>
                <c:pt idx="0">
                  <c:v>NORMAL</c:v>
                </c:pt>
              </c:strCache>
            </c:strRef>
          </c:tx>
          <c:spPr>
            <a:ln w="38100" cap="rnd">
              <a:solidFill>
                <a:schemeClr val="tx1"/>
              </a:solidFill>
              <a:prstDash val="sysDash"/>
              <a:round/>
            </a:ln>
            <a:effectLst/>
          </c:spPr>
          <c:marker>
            <c:symbol val="none"/>
          </c:marker>
          <c:cat>
            <c:strRef>
              <c:f>'[JESUS DEFINITIVO Lluvias y embalses en 2019   ManEGonTe.xlsx]Norte Cibao'!$B$197:$M$197</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Cibao'!$B$198:$M$198</c:f>
              <c:numCache>
                <c:formatCode>0.0</c:formatCode>
                <c:ptCount val="12"/>
                <c:pt idx="0">
                  <c:v>175.3</c:v>
                </c:pt>
                <c:pt idx="1">
                  <c:v>136.6</c:v>
                </c:pt>
                <c:pt idx="2">
                  <c:v>116.3</c:v>
                </c:pt>
                <c:pt idx="3">
                  <c:v>115</c:v>
                </c:pt>
                <c:pt idx="4">
                  <c:v>129</c:v>
                </c:pt>
                <c:pt idx="5">
                  <c:v>51</c:v>
                </c:pt>
                <c:pt idx="6">
                  <c:v>62</c:v>
                </c:pt>
                <c:pt idx="7">
                  <c:v>66.5</c:v>
                </c:pt>
                <c:pt idx="8">
                  <c:v>63.7</c:v>
                </c:pt>
                <c:pt idx="9">
                  <c:v>113.3</c:v>
                </c:pt>
                <c:pt idx="10">
                  <c:v>229</c:v>
                </c:pt>
                <c:pt idx="11">
                  <c:v>192.7</c:v>
                </c:pt>
              </c:numCache>
            </c:numRef>
          </c:val>
          <c:smooth val="1"/>
          <c:extLst xmlns:c16r2="http://schemas.microsoft.com/office/drawing/2015/06/chart">
            <c:ext xmlns:c16="http://schemas.microsoft.com/office/drawing/2014/chart" uri="{C3380CC4-5D6E-409C-BE32-E72D297353CC}">
              <c16:uniqueId val="{00000000-070B-47AD-B8E4-E7300D34EA8B}"/>
            </c:ext>
          </c:extLst>
        </c:ser>
        <c:ser>
          <c:idx val="1"/>
          <c:order val="1"/>
          <c:tx>
            <c:strRef>
              <c:f>'[JESUS DEFINITIVO Lluvias y embalses en 2019   ManEGonTe.xlsx]Norte Cibao'!$A$199</c:f>
              <c:strCache>
                <c:ptCount val="1"/>
                <c:pt idx="0">
                  <c:v>2019</c:v>
                </c:pt>
              </c:strCache>
            </c:strRef>
          </c:tx>
          <c:spPr>
            <a:ln w="50800" cap="rnd">
              <a:solidFill>
                <a:srgbClr val="669900"/>
              </a:solidFill>
              <a:round/>
            </a:ln>
            <a:effectLst/>
          </c:spPr>
          <c:marker>
            <c:symbol val="none"/>
          </c:marker>
          <c:cat>
            <c:strRef>
              <c:f>'[JESUS DEFINITIVO Lluvias y embalses en 2019   ManEGonTe.xlsx]Norte Cibao'!$B$197:$M$197</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Cibao'!$B$199:$M$199</c:f>
              <c:numCache>
                <c:formatCode>_(* #,##0.0_);_(* \(#,##0.0\);_(* "-"??_);_(@_)</c:formatCode>
                <c:ptCount val="12"/>
                <c:pt idx="0">
                  <c:v>49.3</c:v>
                </c:pt>
                <c:pt idx="1">
                  <c:v>119.3</c:v>
                </c:pt>
                <c:pt idx="2">
                  <c:v>55.2</c:v>
                </c:pt>
                <c:pt idx="3">
                  <c:v>30.8</c:v>
                </c:pt>
                <c:pt idx="4">
                  <c:v>29.3</c:v>
                </c:pt>
                <c:pt idx="5">
                  <c:v>64.5</c:v>
                </c:pt>
                <c:pt idx="6">
                  <c:v>45.5</c:v>
                </c:pt>
                <c:pt idx="7">
                  <c:v>34.6</c:v>
                </c:pt>
                <c:pt idx="8">
                  <c:v>82.9</c:v>
                </c:pt>
                <c:pt idx="9">
                  <c:v>26.1</c:v>
                </c:pt>
                <c:pt idx="10">
                  <c:v>120.4</c:v>
                </c:pt>
              </c:numCache>
            </c:numRef>
          </c:val>
          <c:smooth val="1"/>
          <c:extLst xmlns:c16r2="http://schemas.microsoft.com/office/drawing/2015/06/chart">
            <c:ext xmlns:c16="http://schemas.microsoft.com/office/drawing/2014/chart" uri="{C3380CC4-5D6E-409C-BE32-E72D297353CC}">
              <c16:uniqueId val="{00000001-070B-47AD-B8E4-E7300D34EA8B}"/>
            </c:ext>
          </c:extLst>
        </c:ser>
        <c:dLbls>
          <c:showLegendKey val="0"/>
          <c:showVal val="0"/>
          <c:showCatName val="0"/>
          <c:showSerName val="0"/>
          <c:showPercent val="0"/>
          <c:showBubbleSize val="0"/>
        </c:dLbls>
        <c:smooth val="0"/>
        <c:axId val="-983976976"/>
        <c:axId val="-983986768"/>
      </c:lineChart>
      <c:catAx>
        <c:axId val="-983976976"/>
        <c:scaling>
          <c:orientation val="minMax"/>
        </c:scaling>
        <c:delete val="0"/>
        <c:axPos val="b"/>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86768"/>
        <c:crosses val="autoZero"/>
        <c:auto val="1"/>
        <c:lblAlgn val="ctr"/>
        <c:lblOffset val="100"/>
        <c:noMultiLvlLbl val="0"/>
      </c:catAx>
      <c:valAx>
        <c:axId val="-9839867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76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2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341981730090526E-2"/>
          <c:y val="4.4896732735994205E-2"/>
          <c:w val="0.86236384942743771"/>
          <c:h val="0.88045977011494247"/>
        </c:manualLayout>
      </c:layout>
      <c:barChart>
        <c:barDir val="col"/>
        <c:grouping val="clustered"/>
        <c:varyColors val="0"/>
        <c:ser>
          <c:idx val="0"/>
          <c:order val="0"/>
          <c:tx>
            <c:strRef>
              <c:f>'[JESUS DEFINITIVO Lluvias y embalses en 2019   ManEGonTe.xlsx]Norte Cibao'!$A$200</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5-7A30-404F-8C0E-E88F4C3515CE}"/>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4-7A30-404F-8C0E-E88F4C3515CE}"/>
              </c:ext>
            </c:extLst>
          </c:dPt>
          <c:dPt>
            <c:idx val="2"/>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7A30-404F-8C0E-E88F4C3515CE}"/>
              </c:ext>
            </c:extLst>
          </c:dPt>
          <c:dPt>
            <c:idx val="5"/>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1809-4542-8DB7-C934AAB4E52B}"/>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1809-4542-8DB7-C934AAB4E52B}"/>
              </c:ext>
            </c:extLst>
          </c:dPt>
          <c:dPt>
            <c:idx val="9"/>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7A30-404F-8C0E-E88F4C3515CE}"/>
              </c:ext>
            </c:extLst>
          </c:dPt>
          <c:dPt>
            <c:idx val="1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7A30-404F-8C0E-E88F4C3515CE}"/>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'[JESUS DEFINITIVO Lluvias y embalses en 2019   ManEGonTe.xlsx]Norte Cibao'!$B$197:$M$197</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Cibao'!$B$200:$M$200</c:f>
              <c:numCache>
                <c:formatCode>0.0</c:formatCode>
                <c:ptCount val="12"/>
                <c:pt idx="0">
                  <c:v>-71.876782658300058</c:v>
                </c:pt>
                <c:pt idx="1">
                  <c:v>-12.664714494875549</c:v>
                </c:pt>
                <c:pt idx="2">
                  <c:v>-52.536543422184003</c:v>
                </c:pt>
                <c:pt idx="3">
                  <c:v>-73.217391304347828</c:v>
                </c:pt>
                <c:pt idx="4">
                  <c:v>-77.286821705426362</c:v>
                </c:pt>
                <c:pt idx="5">
                  <c:v>26.470588235294116</c:v>
                </c:pt>
                <c:pt idx="6">
                  <c:v>-26.612903225806452</c:v>
                </c:pt>
                <c:pt idx="7">
                  <c:v>-47.969924812030072</c:v>
                </c:pt>
                <c:pt idx="8">
                  <c:v>30.141287284144429</c:v>
                </c:pt>
                <c:pt idx="9">
                  <c:v>-76.963812886142975</c:v>
                </c:pt>
                <c:pt idx="10">
                  <c:v>-47.4</c:v>
                </c:pt>
              </c:numCache>
            </c:numRef>
          </c:val>
          <c:extLst xmlns:c16r2="http://schemas.microsoft.com/office/drawing/2015/06/chart">
            <c:ext xmlns:c16="http://schemas.microsoft.com/office/drawing/2014/chart" uri="{C3380CC4-5D6E-409C-BE32-E72D297353CC}">
              <c16:uniqueId val="{00000000-7A30-404F-8C0E-E88F4C3515CE}"/>
            </c:ext>
          </c:extLst>
        </c:ser>
        <c:dLbls>
          <c:showLegendKey val="0"/>
          <c:showVal val="0"/>
          <c:showCatName val="0"/>
          <c:showSerName val="0"/>
          <c:showPercent val="0"/>
          <c:showBubbleSize val="0"/>
        </c:dLbls>
        <c:gapWidth val="219"/>
        <c:overlap val="-27"/>
        <c:axId val="-983985680"/>
        <c:axId val="-983981328"/>
      </c:barChart>
      <c:catAx>
        <c:axId val="-9839856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81328"/>
        <c:crosses val="autoZero"/>
        <c:auto val="1"/>
        <c:lblAlgn val="ctr"/>
        <c:lblOffset val="100"/>
        <c:noMultiLvlLbl val="0"/>
      </c:catAx>
      <c:valAx>
        <c:axId val="-983981328"/>
        <c:scaling>
          <c:orientation val="minMax"/>
          <c:max val="2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856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2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'[JESUS DEFINITIVO Lluvias y embalses en 2019   ManEGonTe.xlsx]Norte Cibao'!$A$217</c:f>
              <c:strCache>
                <c:ptCount val="1"/>
                <c:pt idx="0">
                  <c:v>NORMAL</c:v>
                </c:pt>
              </c:strCache>
            </c:strRef>
          </c:tx>
          <c:spPr>
            <a:ln w="38100" cap="rnd">
              <a:solidFill>
                <a:schemeClr val="tx1"/>
              </a:solidFill>
              <a:prstDash val="sysDash"/>
              <a:round/>
            </a:ln>
            <a:effectLst/>
          </c:spPr>
          <c:marker>
            <c:symbol val="none"/>
          </c:marker>
          <c:cat>
            <c:strRef>
              <c:f>'[JESUS DEFINITIVO Lluvias y embalses en 2019   ManEGonTe.xlsx]Norte Cibao'!$B$216:$M$216</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Cibao'!$B$217:$M$217</c:f>
              <c:numCache>
                <c:formatCode>0.0</c:formatCode>
                <c:ptCount val="12"/>
                <c:pt idx="0">
                  <c:v>142</c:v>
                </c:pt>
                <c:pt idx="1">
                  <c:v>103.5</c:v>
                </c:pt>
                <c:pt idx="2">
                  <c:v>97.6</c:v>
                </c:pt>
                <c:pt idx="3">
                  <c:v>99.8</c:v>
                </c:pt>
                <c:pt idx="4">
                  <c:v>91.5</c:v>
                </c:pt>
                <c:pt idx="5">
                  <c:v>30.2</c:v>
                </c:pt>
                <c:pt idx="6">
                  <c:v>37.9</c:v>
                </c:pt>
                <c:pt idx="7">
                  <c:v>40.700000000000003</c:v>
                </c:pt>
                <c:pt idx="8">
                  <c:v>66.3</c:v>
                </c:pt>
                <c:pt idx="9">
                  <c:v>107.9</c:v>
                </c:pt>
                <c:pt idx="10">
                  <c:v>163.9</c:v>
                </c:pt>
                <c:pt idx="11">
                  <c:v>171.5</c:v>
                </c:pt>
              </c:numCache>
            </c:numRef>
          </c:val>
          <c:smooth val="1"/>
          <c:extLst xmlns:c16r2="http://schemas.microsoft.com/office/drawing/2015/06/chart">
            <c:ext xmlns:c16="http://schemas.microsoft.com/office/drawing/2014/chart" uri="{C3380CC4-5D6E-409C-BE32-E72D297353CC}">
              <c16:uniqueId val="{00000000-735D-4FAE-AECB-B9E485E71088}"/>
            </c:ext>
          </c:extLst>
        </c:ser>
        <c:ser>
          <c:idx val="1"/>
          <c:order val="1"/>
          <c:tx>
            <c:strRef>
              <c:f>'[JESUS DEFINITIVO Lluvias y embalses en 2019   ManEGonTe.xlsx]Norte Cibao'!$A$218</c:f>
              <c:strCache>
                <c:ptCount val="1"/>
                <c:pt idx="0">
                  <c:v>2019</c:v>
                </c:pt>
              </c:strCache>
            </c:strRef>
          </c:tx>
          <c:spPr>
            <a:ln w="50800" cap="rnd">
              <a:solidFill>
                <a:srgbClr val="669900"/>
              </a:solidFill>
              <a:round/>
            </a:ln>
            <a:effectLst/>
          </c:spPr>
          <c:marker>
            <c:symbol val="none"/>
          </c:marker>
          <c:cat>
            <c:strRef>
              <c:f>'[JESUS DEFINITIVO Lluvias y embalses en 2019   ManEGonTe.xlsx]Norte Cibao'!$B$216:$M$216</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Cibao'!$B$218:$M$218</c:f>
              <c:numCache>
                <c:formatCode>_(* #,##0.0_);_(* \(#,##0.0\);_(* "-"??_);_(@_)</c:formatCode>
                <c:ptCount val="12"/>
                <c:pt idx="0">
                  <c:v>0.5</c:v>
                </c:pt>
                <c:pt idx="1">
                  <c:v>25.1</c:v>
                </c:pt>
                <c:pt idx="2">
                  <c:v>3.75</c:v>
                </c:pt>
                <c:pt idx="3">
                  <c:v>0</c:v>
                </c:pt>
                <c:pt idx="4">
                  <c:v>0</c:v>
                </c:pt>
                <c:pt idx="5">
                  <c:v>39.6</c:v>
                </c:pt>
                <c:pt idx="6">
                  <c:v>1.2</c:v>
                </c:pt>
                <c:pt idx="7">
                  <c:v>1</c:v>
                </c:pt>
                <c:pt idx="8">
                  <c:v>46.3</c:v>
                </c:pt>
                <c:pt idx="9">
                  <c:v>0.4</c:v>
                </c:pt>
                <c:pt idx="10">
                  <c:v>48.3</c:v>
                </c:pt>
              </c:numCache>
            </c:numRef>
          </c:val>
          <c:smooth val="1"/>
          <c:extLst xmlns:c16r2="http://schemas.microsoft.com/office/drawing/2015/06/chart">
            <c:ext xmlns:c16="http://schemas.microsoft.com/office/drawing/2014/chart" uri="{C3380CC4-5D6E-409C-BE32-E72D297353CC}">
              <c16:uniqueId val="{00000001-735D-4FAE-AECB-B9E485E71088}"/>
            </c:ext>
          </c:extLst>
        </c:ser>
        <c:dLbls>
          <c:showLegendKey val="0"/>
          <c:showVal val="0"/>
          <c:showCatName val="0"/>
          <c:showSerName val="0"/>
          <c:showPercent val="0"/>
          <c:showBubbleSize val="0"/>
        </c:dLbls>
        <c:smooth val="0"/>
        <c:axId val="-983979152"/>
        <c:axId val="-983985136"/>
      </c:lineChart>
      <c:catAx>
        <c:axId val="-983979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DO"/>
          </a:p>
        </c:txPr>
        <c:crossAx val="-983985136"/>
        <c:crosses val="autoZero"/>
        <c:auto val="1"/>
        <c:lblAlgn val="ctr"/>
        <c:lblOffset val="100"/>
        <c:noMultiLvlLbl val="0"/>
      </c:catAx>
      <c:valAx>
        <c:axId val="-983985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79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2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'[JESUS DEFINITIVO Lluvias y embalses en 2019   ManEGonTe.xlsx]Norte Cibao'!$A$219</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630C-4CBD-AD21-5FCB4F3DAE9A}"/>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630C-4CBD-AD21-5FCB4F3DAE9A}"/>
              </c:ext>
            </c:extLst>
          </c:dPt>
          <c:dPt>
            <c:idx val="5"/>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90DC-4DAA-A92F-BE6961F20D81}"/>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'[JESUS DEFINITIVO Lluvias y embalses en 2019   ManEGonTe.xlsx]Norte Cibao'!$B$216:$M$216</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Cibao'!$B$219:$M$219</c:f>
              <c:numCache>
                <c:formatCode>0.0</c:formatCode>
                <c:ptCount val="12"/>
                <c:pt idx="0">
                  <c:v>-99.647887323943664</c:v>
                </c:pt>
                <c:pt idx="1">
                  <c:v>-75.748792270531411</c:v>
                </c:pt>
                <c:pt idx="2">
                  <c:v>-96.157786885245912</c:v>
                </c:pt>
                <c:pt idx="3">
                  <c:v>-100</c:v>
                </c:pt>
                <c:pt idx="4">
                  <c:v>-100</c:v>
                </c:pt>
                <c:pt idx="5">
                  <c:v>31.125827814569544</c:v>
                </c:pt>
                <c:pt idx="6">
                  <c:v>-96.833773087071236</c:v>
                </c:pt>
                <c:pt idx="7">
                  <c:v>-97.542997542997554</c:v>
                </c:pt>
                <c:pt idx="8">
                  <c:v>-30.165912518853698</c:v>
                </c:pt>
                <c:pt idx="9">
                  <c:v>-99.629286376274322</c:v>
                </c:pt>
                <c:pt idx="10">
                  <c:v>-70.5</c:v>
                </c:pt>
              </c:numCache>
            </c:numRef>
          </c:val>
          <c:extLst xmlns:c16r2="http://schemas.microsoft.com/office/drawing/2015/06/chart">
            <c:ext xmlns:c16="http://schemas.microsoft.com/office/drawing/2014/chart" uri="{C3380CC4-5D6E-409C-BE32-E72D297353CC}">
              <c16:uniqueId val="{00000000-630C-4CBD-AD21-5FCB4F3DAE9A}"/>
            </c:ext>
          </c:extLst>
        </c:ser>
        <c:dLbls>
          <c:showLegendKey val="0"/>
          <c:showVal val="0"/>
          <c:showCatName val="0"/>
          <c:showSerName val="0"/>
          <c:showPercent val="0"/>
          <c:showBubbleSize val="0"/>
        </c:dLbls>
        <c:gapWidth val="219"/>
        <c:overlap val="-27"/>
        <c:axId val="-983978608"/>
        <c:axId val="-983975888"/>
      </c:barChart>
      <c:catAx>
        <c:axId val="-983978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75888"/>
        <c:crosses val="autoZero"/>
        <c:auto val="1"/>
        <c:lblAlgn val="ctr"/>
        <c:lblOffset val="100"/>
        <c:noMultiLvlLbl val="0"/>
      </c:catAx>
      <c:valAx>
        <c:axId val="-983975888"/>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786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2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'[JESUS DEFINITIVO Lluvias y embalses en 2019   ManEGonTe.xlsx]Norte Cibao'!$A$236</c:f>
              <c:strCache>
                <c:ptCount val="1"/>
                <c:pt idx="0">
                  <c:v>NORMAL</c:v>
                </c:pt>
              </c:strCache>
            </c:strRef>
          </c:tx>
          <c:spPr>
            <a:ln w="38100" cap="rnd">
              <a:solidFill>
                <a:schemeClr val="tx1"/>
              </a:solidFill>
              <a:prstDash val="sysDash"/>
              <a:round/>
            </a:ln>
            <a:effectLst/>
          </c:spPr>
          <c:marker>
            <c:symbol val="none"/>
          </c:marker>
          <c:cat>
            <c:strRef>
              <c:f>'[JESUS DEFINITIVO Lluvias y embalses en 2019   ManEGonTe.xlsx]Norte Cibao'!$B$235:$M$235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Cibao'!$B$236:$M$236</c:f>
              <c:numCache>
                <c:formatCode>0.0</c:formatCode>
                <c:ptCount val="12"/>
                <c:pt idx="0">
                  <c:v>174.1</c:v>
                </c:pt>
                <c:pt idx="1">
                  <c:v>153.1</c:v>
                </c:pt>
                <c:pt idx="2">
                  <c:v>158.1</c:v>
                </c:pt>
                <c:pt idx="3">
                  <c:v>180.4</c:v>
                </c:pt>
                <c:pt idx="4">
                  <c:v>174.5</c:v>
                </c:pt>
                <c:pt idx="5">
                  <c:v>109.1</c:v>
                </c:pt>
                <c:pt idx="6">
                  <c:v>113.9</c:v>
                </c:pt>
                <c:pt idx="7">
                  <c:v>120.3</c:v>
                </c:pt>
                <c:pt idx="8">
                  <c:v>95.4</c:v>
                </c:pt>
                <c:pt idx="9">
                  <c:v>179.3</c:v>
                </c:pt>
                <c:pt idx="10">
                  <c:v>278.3</c:v>
                </c:pt>
                <c:pt idx="11">
                  <c:v>208</c:v>
                </c:pt>
              </c:numCache>
            </c:numRef>
          </c:val>
          <c:smooth val="1"/>
          <c:extLst xmlns:c16r2="http://schemas.microsoft.com/office/drawing/2015/06/chart">
            <c:ext xmlns:c16="http://schemas.microsoft.com/office/drawing/2014/chart" uri="{C3380CC4-5D6E-409C-BE32-E72D297353CC}">
              <c16:uniqueId val="{00000000-DFFF-4927-900D-7CE8537D9C75}"/>
            </c:ext>
          </c:extLst>
        </c:ser>
        <c:ser>
          <c:idx val="1"/>
          <c:order val="1"/>
          <c:tx>
            <c:strRef>
              <c:f>'[JESUS DEFINITIVO Lluvias y embalses en 2019   ManEGonTe.xlsx]Norte Cibao'!$A$237</c:f>
              <c:strCache>
                <c:ptCount val="1"/>
                <c:pt idx="0">
                  <c:v>2019</c:v>
                </c:pt>
              </c:strCache>
            </c:strRef>
          </c:tx>
          <c:spPr>
            <a:ln w="50800" cap="rnd">
              <a:solidFill>
                <a:srgbClr val="669900"/>
              </a:solidFill>
              <a:round/>
            </a:ln>
            <a:effectLst/>
          </c:spPr>
          <c:marker>
            <c:symbol val="none"/>
          </c:marker>
          <c:cat>
            <c:strRef>
              <c:f>'[JESUS DEFINITIVO Lluvias y embalses en 2019   ManEGonTe.xlsx]Norte Cibao'!$B$235:$M$235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Cibao'!$B$237:$M$237</c:f>
              <c:numCache>
                <c:formatCode>_(* #,##0.0_);_(* \(#,##0.0\);_(* "-"??_);_(@_)</c:formatCode>
                <c:ptCount val="12"/>
                <c:pt idx="0">
                  <c:v>68.2</c:v>
                </c:pt>
                <c:pt idx="1">
                  <c:v>174.1</c:v>
                </c:pt>
                <c:pt idx="2">
                  <c:v>25.3</c:v>
                </c:pt>
                <c:pt idx="3">
                  <c:v>60.7</c:v>
                </c:pt>
                <c:pt idx="4">
                  <c:v>42.4</c:v>
                </c:pt>
                <c:pt idx="5">
                  <c:v>13.2</c:v>
                </c:pt>
                <c:pt idx="6">
                  <c:v>111.1</c:v>
                </c:pt>
                <c:pt idx="7">
                  <c:v>62.8</c:v>
                </c:pt>
                <c:pt idx="8">
                  <c:v>107.9</c:v>
                </c:pt>
                <c:pt idx="9">
                  <c:v>41.7</c:v>
                </c:pt>
                <c:pt idx="10">
                  <c:v>48.6</c:v>
                </c:pt>
              </c:numCache>
            </c:numRef>
          </c:val>
          <c:smooth val="1"/>
          <c:extLst xmlns:c16r2="http://schemas.microsoft.com/office/drawing/2015/06/chart">
            <c:ext xmlns:c16="http://schemas.microsoft.com/office/drawing/2014/chart" uri="{C3380CC4-5D6E-409C-BE32-E72D297353CC}">
              <c16:uniqueId val="{00000001-DFFF-4927-900D-7CE8537D9C75}"/>
            </c:ext>
          </c:extLst>
        </c:ser>
        <c:dLbls>
          <c:showLegendKey val="0"/>
          <c:showVal val="0"/>
          <c:showCatName val="0"/>
          <c:showSerName val="0"/>
          <c:showPercent val="0"/>
          <c:showBubbleSize val="0"/>
        </c:dLbls>
        <c:smooth val="0"/>
        <c:axId val="-983992208"/>
        <c:axId val="-983989488"/>
      </c:lineChart>
      <c:catAx>
        <c:axId val="-9839922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983989488"/>
        <c:crosses val="autoZero"/>
        <c:auto val="1"/>
        <c:lblAlgn val="ctr"/>
        <c:lblOffset val="100"/>
        <c:noMultiLvlLbl val="0"/>
      </c:catAx>
      <c:valAx>
        <c:axId val="-983989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98399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2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'[JESUS DEFINITIVO Lluvias y embalses en 2019   ManEGonTe.xlsx]Norte Cibao'!$A$238</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4-DD46-4E87-BB9F-8FF0DA699666}"/>
              </c:ext>
            </c:extLst>
          </c:dPt>
          <c:dPt>
            <c:idx val="1"/>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DD46-4E87-BB9F-8FF0DA699666}"/>
              </c:ext>
            </c:extLst>
          </c:dPt>
          <c:dPt>
            <c:idx val="7"/>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DD46-4E87-BB9F-8FF0DA699666}"/>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DD46-4E87-BB9F-8FF0DA699666}"/>
              </c:ext>
            </c:extLst>
          </c:dPt>
          <c:dLbls>
            <c:dLbl>
              <c:idx val="8"/>
              <c:layout>
                <c:manualLayout>
                  <c:x val="0"/>
                  <c:y val="-3.212850050975534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D46-4E87-BB9F-8FF0DA69966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'[JESUS DEFINITIVO Lluvias y embalses en 2019   ManEGonTe.xlsx]Norte Cibao'!$B$235:$M$235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Cibao'!$B$238:$M$238</c:f>
              <c:numCache>
                <c:formatCode>0.0</c:formatCode>
                <c:ptCount val="12"/>
                <c:pt idx="0">
                  <c:v>-60.827110855829986</c:v>
                </c:pt>
                <c:pt idx="1">
                  <c:v>13.71652514696277</c:v>
                </c:pt>
                <c:pt idx="2">
                  <c:v>-83.997469955724213</c:v>
                </c:pt>
                <c:pt idx="3">
                  <c:v>-66.352549889135247</c:v>
                </c:pt>
                <c:pt idx="4">
                  <c:v>-75.702005730659025</c:v>
                </c:pt>
                <c:pt idx="5">
                  <c:v>-87.901008249312568</c:v>
                </c:pt>
                <c:pt idx="6">
                  <c:v>-2.4582967515364453</c:v>
                </c:pt>
                <c:pt idx="7">
                  <c:v>-47.797173732335828</c:v>
                </c:pt>
                <c:pt idx="8">
                  <c:v>13.10272536687631</c:v>
                </c:pt>
                <c:pt idx="9">
                  <c:v>-76.742889012827675</c:v>
                </c:pt>
                <c:pt idx="10">
                  <c:v>-82.5</c:v>
                </c:pt>
              </c:numCache>
            </c:numRef>
          </c:val>
          <c:extLst xmlns:c16r2="http://schemas.microsoft.com/office/drawing/2015/06/chart">
            <c:ext xmlns:c16="http://schemas.microsoft.com/office/drawing/2014/chart" uri="{C3380CC4-5D6E-409C-BE32-E72D297353CC}">
              <c16:uniqueId val="{00000000-DD46-4E87-BB9F-8FF0DA699666}"/>
            </c:ext>
          </c:extLst>
        </c:ser>
        <c:dLbls>
          <c:showLegendKey val="0"/>
          <c:showVal val="0"/>
          <c:showCatName val="0"/>
          <c:showSerName val="0"/>
          <c:showPercent val="0"/>
          <c:showBubbleSize val="0"/>
        </c:dLbls>
        <c:gapWidth val="219"/>
        <c:overlap val="-27"/>
        <c:axId val="-983975344"/>
        <c:axId val="-983991664"/>
      </c:barChart>
      <c:catAx>
        <c:axId val="-9839753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983991664"/>
        <c:crosses val="autoZero"/>
        <c:auto val="1"/>
        <c:lblAlgn val="ctr"/>
        <c:lblOffset val="100"/>
        <c:noMultiLvlLbl val="0"/>
      </c:catAx>
      <c:valAx>
        <c:axId val="-983991664"/>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9839753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2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28953369017849E-2"/>
          <c:y val="3.9343430177593633E-2"/>
          <c:w val="0.87021527820833422"/>
          <c:h val="0.83681118224444351"/>
        </c:manualLayout>
      </c:layout>
      <c:lineChart>
        <c:grouping val="standard"/>
        <c:varyColors val="0"/>
        <c:ser>
          <c:idx val="0"/>
          <c:order val="0"/>
          <c:tx>
            <c:strRef>
              <c:f>'[JESUS DEFINITIVO Lluvias y embalses en 2019   ManEGonTe.xlsx]Norte Cibao'!$A$255</c:f>
              <c:strCache>
                <c:ptCount val="1"/>
                <c:pt idx="0">
                  <c:v>NORMAL</c:v>
                </c:pt>
              </c:strCache>
            </c:strRef>
          </c:tx>
          <c:spPr>
            <a:ln w="38100" cap="rnd">
              <a:solidFill>
                <a:schemeClr val="tx1"/>
              </a:solidFill>
              <a:prstDash val="sysDash"/>
              <a:round/>
            </a:ln>
            <a:effectLst/>
          </c:spPr>
          <c:marker>
            <c:symbol val="none"/>
          </c:marker>
          <c:cat>
            <c:strRef>
              <c:f>'[JESUS DEFINITIVO Lluvias y embalses en 2019   ManEGonTe.xlsx]Norte Cibao'!$B$254:$M$254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Cibao'!$B$255:$M$255</c:f>
              <c:numCache>
                <c:formatCode>0.0</c:formatCode>
                <c:ptCount val="12"/>
                <c:pt idx="0">
                  <c:v>29.3</c:v>
                </c:pt>
                <c:pt idx="1">
                  <c:v>36.5</c:v>
                </c:pt>
                <c:pt idx="2">
                  <c:v>43.2</c:v>
                </c:pt>
                <c:pt idx="3">
                  <c:v>77.099999999999994</c:v>
                </c:pt>
                <c:pt idx="4">
                  <c:v>128.4</c:v>
                </c:pt>
                <c:pt idx="5">
                  <c:v>69.599999999999994</c:v>
                </c:pt>
                <c:pt idx="6">
                  <c:v>28.7</c:v>
                </c:pt>
                <c:pt idx="7">
                  <c:v>41.7</c:v>
                </c:pt>
                <c:pt idx="8">
                  <c:v>73.3</c:v>
                </c:pt>
                <c:pt idx="9">
                  <c:v>83.5</c:v>
                </c:pt>
                <c:pt idx="10">
                  <c:v>49.8</c:v>
                </c:pt>
                <c:pt idx="11">
                  <c:v>28.3</c:v>
                </c:pt>
              </c:numCache>
            </c:numRef>
          </c:val>
          <c:smooth val="1"/>
          <c:extLst xmlns:c16r2="http://schemas.microsoft.com/office/drawing/2015/06/chart">
            <c:ext xmlns:c16="http://schemas.microsoft.com/office/drawing/2014/chart" uri="{C3380CC4-5D6E-409C-BE32-E72D297353CC}">
              <c16:uniqueId val="{00000000-86BF-44E6-B81A-5647E591C3ED}"/>
            </c:ext>
          </c:extLst>
        </c:ser>
        <c:ser>
          <c:idx val="1"/>
          <c:order val="1"/>
          <c:tx>
            <c:strRef>
              <c:f>'[JESUS DEFINITIVO Lluvias y embalses en 2019   ManEGonTe.xlsx]Norte Cibao'!$A$256</c:f>
              <c:strCache>
                <c:ptCount val="1"/>
                <c:pt idx="0">
                  <c:v>2019</c:v>
                </c:pt>
              </c:strCache>
            </c:strRef>
          </c:tx>
          <c:spPr>
            <a:ln w="50800" cap="rnd">
              <a:solidFill>
                <a:srgbClr val="669900"/>
              </a:solidFill>
              <a:round/>
            </a:ln>
            <a:effectLst/>
          </c:spPr>
          <c:marker>
            <c:symbol val="none"/>
          </c:marker>
          <c:cat>
            <c:strRef>
              <c:f>'[JESUS DEFINITIVO Lluvias y embalses en 2019   ManEGonTe.xlsx]Norte Cibao'!$B$254:$M$254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Cibao'!$B$256:$M$256</c:f>
              <c:numCache>
                <c:formatCode>_(* #,##0.0_);_(* \(#,##0.0\);_(* "-"??_);_(@_)</c:formatCode>
                <c:ptCount val="12"/>
                <c:pt idx="0">
                  <c:v>0.8</c:v>
                </c:pt>
                <c:pt idx="1">
                  <c:v>2.7</c:v>
                </c:pt>
                <c:pt idx="2">
                  <c:v>145</c:v>
                </c:pt>
                <c:pt idx="3">
                  <c:v>6.6</c:v>
                </c:pt>
                <c:pt idx="4">
                  <c:v>22.3</c:v>
                </c:pt>
                <c:pt idx="5">
                  <c:v>40.899999999999991</c:v>
                </c:pt>
                <c:pt idx="6">
                  <c:v>8.9</c:v>
                </c:pt>
                <c:pt idx="7">
                  <c:v>43.3</c:v>
                </c:pt>
                <c:pt idx="8">
                  <c:v>54.5</c:v>
                </c:pt>
                <c:pt idx="9">
                  <c:v>0</c:v>
                </c:pt>
                <c:pt idx="10">
                  <c:v>67.900000000000006</c:v>
                </c:pt>
              </c:numCache>
            </c:numRef>
          </c:val>
          <c:smooth val="1"/>
          <c:extLst xmlns:c16r2="http://schemas.microsoft.com/office/drawing/2015/06/chart">
            <c:ext xmlns:c16="http://schemas.microsoft.com/office/drawing/2014/chart" uri="{C3380CC4-5D6E-409C-BE32-E72D297353CC}">
              <c16:uniqueId val="{00000001-86BF-44E6-B81A-5647E591C3ED}"/>
            </c:ext>
          </c:extLst>
        </c:ser>
        <c:dLbls>
          <c:showLegendKey val="0"/>
          <c:showVal val="0"/>
          <c:showCatName val="0"/>
          <c:showSerName val="0"/>
          <c:showPercent val="0"/>
          <c:showBubbleSize val="0"/>
        </c:dLbls>
        <c:smooth val="0"/>
        <c:axId val="-983974800"/>
        <c:axId val="-983965008"/>
      </c:lineChart>
      <c:catAx>
        <c:axId val="-983974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65008"/>
        <c:crosses val="autoZero"/>
        <c:auto val="1"/>
        <c:lblAlgn val="ctr"/>
        <c:lblOffset val="100"/>
        <c:noMultiLvlLbl val="0"/>
      </c:catAx>
      <c:valAx>
        <c:axId val="-9839650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74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2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851335890706"/>
          <c:y val="5.480388895050093E-2"/>
          <c:w val="0.84278114274177263"/>
          <c:h val="0.90201175557280688"/>
        </c:manualLayout>
      </c:layout>
      <c:barChart>
        <c:barDir val="col"/>
        <c:grouping val="clustered"/>
        <c:varyColors val="0"/>
        <c:ser>
          <c:idx val="0"/>
          <c:order val="0"/>
          <c:tx>
            <c:strRef>
              <c:f>'[JESUS DEFINITIVO Lluvias y embalses en 2019   ManEGonTe.xlsx]Norte Cibao'!$A$257</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5EA0-4E06-B6E0-15ABC143098A}"/>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C5E9-4347-B2F9-98C851332E4B}"/>
              </c:ext>
            </c:extLst>
          </c:dPt>
          <c:dPt>
            <c:idx val="1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C5E9-4347-B2F9-98C851332E4B}"/>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'[JESUS DEFINITIVO Lluvias y embalses en 2019   ManEGonTe.xlsx]Norte Cibao'!$B$254:$M$254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Cibao'!$B$257:$M$257</c:f>
              <c:numCache>
                <c:formatCode>0.0</c:formatCode>
                <c:ptCount val="12"/>
                <c:pt idx="0">
                  <c:v>-97.269624573378834</c:v>
                </c:pt>
                <c:pt idx="1">
                  <c:v>-92.60273972602738</c:v>
                </c:pt>
                <c:pt idx="2">
                  <c:v>235.64814814814812</c:v>
                </c:pt>
                <c:pt idx="3">
                  <c:v>-91.439688715953309</c:v>
                </c:pt>
                <c:pt idx="4">
                  <c:v>-82.63239875389408</c:v>
                </c:pt>
                <c:pt idx="5">
                  <c:v>-41.235632183908059</c:v>
                </c:pt>
                <c:pt idx="6">
                  <c:v>-68.989547038327515</c:v>
                </c:pt>
                <c:pt idx="7">
                  <c:v>3.8369304556354775</c:v>
                </c:pt>
                <c:pt idx="8">
                  <c:v>-25.64802182810368</c:v>
                </c:pt>
                <c:pt idx="9">
                  <c:v>-100</c:v>
                </c:pt>
                <c:pt idx="10">
                  <c:v>36.299999999999997</c:v>
                </c:pt>
              </c:numCache>
            </c:numRef>
          </c:val>
          <c:extLst xmlns:c16r2="http://schemas.microsoft.com/office/drawing/2015/06/chart">
            <c:ext xmlns:c16="http://schemas.microsoft.com/office/drawing/2014/chart" uri="{C3380CC4-5D6E-409C-BE32-E72D297353CC}">
              <c16:uniqueId val="{00000000-5EA0-4E06-B6E0-15ABC143098A}"/>
            </c:ext>
          </c:extLst>
        </c:ser>
        <c:dLbls>
          <c:showLegendKey val="0"/>
          <c:showVal val="0"/>
          <c:showCatName val="0"/>
          <c:showSerName val="0"/>
          <c:showPercent val="0"/>
          <c:showBubbleSize val="0"/>
        </c:dLbls>
        <c:gapWidth val="219"/>
        <c:overlap val="-27"/>
        <c:axId val="-983973712"/>
        <c:axId val="-983966096"/>
      </c:barChart>
      <c:catAx>
        <c:axId val="-983973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66096"/>
        <c:crosses val="autoZero"/>
        <c:auto val="1"/>
        <c:lblAlgn val="ctr"/>
        <c:lblOffset val="100"/>
        <c:noMultiLvlLbl val="0"/>
      </c:catAx>
      <c:valAx>
        <c:axId val="-983966096"/>
        <c:scaling>
          <c:orientation val="minMax"/>
          <c:max val="1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737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11621314496623625"/>
          <c:y val="3.1848642414414347E-2"/>
          <c:w val="0.85579890181684737"/>
          <c:h val="0.86670562714435828"/>
        </c:manualLayout>
      </c:layout>
      <c:barChart>
        <c:barDir val="col"/>
        <c:grouping val="clustered"/>
        <c:varyColors val="0"/>
        <c:ser>
          <c:idx val="1"/>
          <c:order val="0"/>
          <c:tx>
            <c:strRef>
              <c:f>'Chart Producción'!$D$22</c:f>
              <c:strCache>
                <c:ptCount val="1"/>
                <c:pt idx="0">
                  <c:v>Cooperativas Incorporadas</c:v>
                </c:pt>
              </c:strCache>
            </c:strRef>
          </c:tx>
          <c:spPr>
            <a:solidFill>
              <a:srgbClr val="00B050"/>
            </a:solidFill>
            <a:ln>
              <a:noFill/>
            </a:ln>
            <a:effectLst>
              <a:outerShdw blurRad="40000" dist="23000" dir="5400000" rotWithShape="0">
                <a:srgbClr val="000000">
                  <a:alpha val="35000"/>
                </a:srgbClr>
              </a:outerShdw>
            </a:effectLst>
          </c:spPr>
          <c:invertIfNegative val="0"/>
          <c:dPt>
            <c:idx val="0"/>
            <c:invertIfNegative val="0"/>
            <c:bubble3D val="0"/>
            <c:spPr>
              <a:solidFill>
                <a:srgbClr val="00B050"/>
              </a:soli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B5C2-489D-BE9C-1F507876C920}"/>
              </c:ext>
            </c:extLst>
          </c:dPt>
          <c:dPt>
            <c:idx val="1"/>
            <c:invertIfNegative val="0"/>
            <c:bubble3D val="0"/>
            <c:spPr>
              <a:solidFill>
                <a:srgbClr val="00B050"/>
              </a:soli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231A-43FA-9BE2-1F9A923005A4}"/>
              </c:ext>
            </c:extLst>
          </c:dPt>
          <c:dPt>
            <c:idx val="2"/>
            <c:invertIfNegative val="0"/>
            <c:bubble3D val="0"/>
            <c:spPr>
              <a:solidFill>
                <a:srgbClr val="00B050"/>
              </a:soli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B5C2-489D-BE9C-1F507876C920}"/>
              </c:ext>
            </c:extLst>
          </c:dPt>
          <c:dPt>
            <c:idx val="3"/>
            <c:invertIfNegative val="0"/>
            <c:bubble3D val="0"/>
            <c:spPr>
              <a:solidFill>
                <a:srgbClr val="00B050"/>
              </a:soli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5-B5C2-489D-BE9C-1F507876C920}"/>
              </c:ext>
            </c:extLst>
          </c:dPt>
          <c:dPt>
            <c:idx val="4"/>
            <c:invertIfNegative val="0"/>
            <c:bubble3D val="0"/>
            <c:spPr>
              <a:solidFill>
                <a:srgbClr val="00B050"/>
              </a:soli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7-B5C2-489D-BE9C-1F507876C920}"/>
              </c:ext>
            </c:extLst>
          </c:dPt>
          <c:dPt>
            <c:idx val="5"/>
            <c:invertIfNegative val="0"/>
            <c:bubble3D val="0"/>
            <c:spPr>
              <a:solidFill>
                <a:srgbClr val="00B050"/>
              </a:soli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9-B5C2-489D-BE9C-1F507876C920}"/>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'Chart Producción'!$G$3:$O$3</c:f>
              <c:numCache>
                <c:formatCode>General</c:formatCode>
                <c:ptCount val="8"/>
                <c:pt idx="0">
                  <c:v>2012</c:v>
                </c:pt>
                <c:pt idx="1">
                  <c:v>2013</c:v>
                </c:pt>
                <c:pt idx="2">
                  <c:v>2014</c:v>
                </c:pt>
                <c:pt idx="3">
                  <c:v>2015</c:v>
                </c:pt>
                <c:pt idx="4">
                  <c:v>2016</c:v>
                </c:pt>
                <c:pt idx="5">
                  <c:v>2017</c:v>
                </c:pt>
                <c:pt idx="6">
                  <c:v>2018</c:v>
                </c:pt>
                <c:pt idx="7">
                  <c:v>2019</c:v>
                </c:pt>
              </c:numCache>
            </c:numRef>
          </c:cat>
          <c:val>
            <c:numRef>
              <c:f>'Chart Producción'!$G$22:$O$22</c:f>
              <c:numCache>
                <c:formatCode>#,##0</c:formatCode>
                <c:ptCount val="8"/>
                <c:pt idx="0">
                  <c:v>36</c:v>
                </c:pt>
                <c:pt idx="1">
                  <c:v>26</c:v>
                </c:pt>
                <c:pt idx="2">
                  <c:v>43</c:v>
                </c:pt>
                <c:pt idx="3">
                  <c:v>54</c:v>
                </c:pt>
                <c:pt idx="4">
                  <c:v>88</c:v>
                </c:pt>
                <c:pt idx="5">
                  <c:v>70</c:v>
                </c:pt>
                <c:pt idx="6">
                  <c:v>75</c:v>
                </c:pt>
                <c:pt idx="7">
                  <c:v>66</c:v>
                </c:pt>
              </c:numCache>
            </c:numRef>
          </c:val>
          <c:extLst xmlns:c16r2="http://schemas.microsoft.com/office/drawing/2015/06/chart">
            <c:ext xmlns:c16="http://schemas.microsoft.com/office/drawing/2014/chart" uri="{C3380CC4-5D6E-409C-BE32-E72D297353CC}">
              <c16:uniqueId val="{0000000C-B5C2-489D-BE9C-1F507876C920}"/>
            </c:ext>
          </c:extLst>
        </c:ser>
        <c:ser>
          <c:idx val="0"/>
          <c:order val="1"/>
          <c:tx>
            <c:strRef>
              <c:f>'Chart Producción'!$D$23</c:f>
              <c:strCache>
                <c:ptCount val="1"/>
                <c:pt idx="0">
                  <c:v>Cooperativas agropecuarias</c:v>
                </c:pt>
              </c:strCache>
            </c:strRef>
          </c:tx>
          <c:spPr>
            <a:solidFill>
              <a:srgbClr val="92D050"/>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'Chart Producción'!$G$3:$O$3</c:f>
              <c:numCache>
                <c:formatCode>General</c:formatCode>
                <c:ptCount val="8"/>
                <c:pt idx="0">
                  <c:v>2012</c:v>
                </c:pt>
                <c:pt idx="1">
                  <c:v>2013</c:v>
                </c:pt>
                <c:pt idx="2">
                  <c:v>2014</c:v>
                </c:pt>
                <c:pt idx="3">
                  <c:v>2015</c:v>
                </c:pt>
                <c:pt idx="4">
                  <c:v>2016</c:v>
                </c:pt>
                <c:pt idx="5">
                  <c:v>2017</c:v>
                </c:pt>
                <c:pt idx="6">
                  <c:v>2018</c:v>
                </c:pt>
                <c:pt idx="7">
                  <c:v>2019</c:v>
                </c:pt>
              </c:numCache>
            </c:numRef>
          </c:cat>
          <c:val>
            <c:numRef>
              <c:f>'Chart Producción'!$G$23:$O$23</c:f>
              <c:numCache>
                <c:formatCode>#,##0</c:formatCode>
                <c:ptCount val="8"/>
                <c:pt idx="0">
                  <c:v>9</c:v>
                </c:pt>
                <c:pt idx="1">
                  <c:v>8</c:v>
                </c:pt>
                <c:pt idx="2">
                  <c:v>11</c:v>
                </c:pt>
                <c:pt idx="3">
                  <c:v>19</c:v>
                </c:pt>
                <c:pt idx="4">
                  <c:v>33</c:v>
                </c:pt>
                <c:pt idx="5">
                  <c:v>15</c:v>
                </c:pt>
                <c:pt idx="6">
                  <c:v>19</c:v>
                </c:pt>
                <c:pt idx="7">
                  <c:v>19</c:v>
                </c:pt>
              </c:numCache>
            </c:numRef>
          </c:val>
          <c:extLst xmlns:c16r2="http://schemas.microsoft.com/office/drawing/2015/06/chart">
            <c:ext xmlns:c16="http://schemas.microsoft.com/office/drawing/2014/chart" uri="{C3380CC4-5D6E-409C-BE32-E72D297353CC}">
              <c16:uniqueId val="{0000000C-8DF7-4CCB-9E5D-C8CB42EC1557}"/>
            </c:ext>
          </c:extLst>
        </c:ser>
        <c:dLbls>
          <c:showLegendKey val="0"/>
          <c:showVal val="0"/>
          <c:showCatName val="0"/>
          <c:showSerName val="0"/>
          <c:showPercent val="0"/>
          <c:showBubbleSize val="0"/>
        </c:dLbls>
        <c:gapWidth val="100"/>
        <c:overlap val="-24"/>
        <c:axId val="-835764880"/>
        <c:axId val="-835762160"/>
      </c:barChart>
      <c:catAx>
        <c:axId val="-835764880"/>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62160"/>
        <c:crosses val="autoZero"/>
        <c:auto val="1"/>
        <c:lblAlgn val="ctr"/>
        <c:lblOffset val="100"/>
        <c:noMultiLvlLbl val="0"/>
      </c:catAx>
      <c:valAx>
        <c:axId val="-83576216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t>Cooperativas Incorporadas</a:t>
                </a:r>
              </a:p>
            </c:rich>
          </c:tx>
          <c:layout>
            <c:manualLayout>
              <c:xMode val="edge"/>
              <c:yMode val="edge"/>
              <c:x val="1.7903880530164312E-2"/>
              <c:y val="0.19036145899589851"/>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64880"/>
        <c:crosses val="autoZero"/>
        <c:crossBetween val="between"/>
        <c:majorUnit val="20"/>
      </c:valAx>
      <c:spPr>
        <a:noFill/>
        <a:ln>
          <a:noFill/>
        </a:ln>
        <a:effectLst/>
      </c:spPr>
    </c:plotArea>
    <c:legend>
      <c:legendPos val="l"/>
      <c:layout>
        <c:manualLayout>
          <c:xMode val="edge"/>
          <c:yMode val="edge"/>
          <c:x val="0.11616161616161616"/>
          <c:y val="2.7568150196511747E-2"/>
          <c:w val="0.34090909090909088"/>
          <c:h val="0.16546563974318371"/>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3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'[JESUS DEFINITIVO Lluvias y embalses en 2019   ManEGonTe.xlsx]Norte Cibao'!$A$274</c:f>
              <c:strCache>
                <c:ptCount val="1"/>
                <c:pt idx="0">
                  <c:v>NORMAL</c:v>
                </c:pt>
              </c:strCache>
            </c:strRef>
          </c:tx>
          <c:spPr>
            <a:ln w="38100" cap="rnd">
              <a:solidFill>
                <a:schemeClr val="tx1"/>
              </a:solidFill>
              <a:prstDash val="sysDash"/>
              <a:round/>
            </a:ln>
            <a:effectLst/>
          </c:spPr>
          <c:marker>
            <c:symbol val="none"/>
          </c:marker>
          <c:cat>
            <c:strRef>
              <c:f>'[JESUS DEFINITIVO Lluvias y embalses en 2019   ManEGonTe.xlsx]Norte Cibao'!$B$273:$M$273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Cibao'!$B$274:$M$274</c:f>
              <c:numCache>
                <c:formatCode>0.0</c:formatCode>
                <c:ptCount val="12"/>
                <c:pt idx="0">
                  <c:v>37.6</c:v>
                </c:pt>
                <c:pt idx="1">
                  <c:v>40.4</c:v>
                </c:pt>
                <c:pt idx="2">
                  <c:v>51.2</c:v>
                </c:pt>
                <c:pt idx="3">
                  <c:v>122.6</c:v>
                </c:pt>
                <c:pt idx="4">
                  <c:v>190.4</c:v>
                </c:pt>
                <c:pt idx="5">
                  <c:v>128.80000000000001</c:v>
                </c:pt>
                <c:pt idx="6">
                  <c:v>70.7</c:v>
                </c:pt>
                <c:pt idx="7">
                  <c:v>91.3</c:v>
                </c:pt>
                <c:pt idx="8">
                  <c:v>142.9</c:v>
                </c:pt>
                <c:pt idx="9">
                  <c:v>144.1</c:v>
                </c:pt>
                <c:pt idx="10">
                  <c:v>81.099999999999994</c:v>
                </c:pt>
                <c:pt idx="11">
                  <c:v>30.4</c:v>
                </c:pt>
              </c:numCache>
            </c:numRef>
          </c:val>
          <c:smooth val="1"/>
          <c:extLst xmlns:c16r2="http://schemas.microsoft.com/office/drawing/2015/06/chart">
            <c:ext xmlns:c16="http://schemas.microsoft.com/office/drawing/2014/chart" uri="{C3380CC4-5D6E-409C-BE32-E72D297353CC}">
              <c16:uniqueId val="{00000000-9D34-46BA-8395-98059CCB85FC}"/>
            </c:ext>
          </c:extLst>
        </c:ser>
        <c:ser>
          <c:idx val="1"/>
          <c:order val="1"/>
          <c:tx>
            <c:strRef>
              <c:f>'[JESUS DEFINITIVO Lluvias y embalses en 2019   ManEGonTe.xlsx]Norte Cibao'!$A$275</c:f>
              <c:strCache>
                <c:ptCount val="1"/>
                <c:pt idx="0">
                  <c:v>2019</c:v>
                </c:pt>
              </c:strCache>
            </c:strRef>
          </c:tx>
          <c:spPr>
            <a:ln w="50800" cap="rnd">
              <a:solidFill>
                <a:srgbClr val="669900"/>
              </a:solidFill>
              <a:round/>
            </a:ln>
            <a:effectLst/>
          </c:spPr>
          <c:marker>
            <c:symbol val="none"/>
          </c:marker>
          <c:cat>
            <c:strRef>
              <c:f>'[JESUS DEFINITIVO Lluvias y embalses en 2019   ManEGonTe.xlsx]Norte Cibao'!$B$273:$M$273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Cibao'!$B$275:$M$275</c:f>
              <c:numCache>
                <c:formatCode>_(* #,##0.0_);_(* \(#,##0.0\);_(* "-"??_);_(@_)</c:formatCode>
                <c:ptCount val="12"/>
                <c:pt idx="0">
                  <c:v>6.5</c:v>
                </c:pt>
                <c:pt idx="1">
                  <c:v>11.1</c:v>
                </c:pt>
                <c:pt idx="2">
                  <c:v>98.72</c:v>
                </c:pt>
                <c:pt idx="3">
                  <c:v>4.5</c:v>
                </c:pt>
                <c:pt idx="4">
                  <c:v>300.5</c:v>
                </c:pt>
                <c:pt idx="5">
                  <c:v>87.09999999999998</c:v>
                </c:pt>
                <c:pt idx="6">
                  <c:v>63.8</c:v>
                </c:pt>
                <c:pt idx="7">
                  <c:v>348.6</c:v>
                </c:pt>
                <c:pt idx="8">
                  <c:v>375.79999999999995</c:v>
                </c:pt>
                <c:pt idx="9">
                  <c:v>109.6</c:v>
                </c:pt>
                <c:pt idx="10">
                  <c:v>220.90000000000003</c:v>
                </c:pt>
              </c:numCache>
            </c:numRef>
          </c:val>
          <c:smooth val="1"/>
          <c:extLst xmlns:c16r2="http://schemas.microsoft.com/office/drawing/2015/06/chart">
            <c:ext xmlns:c16="http://schemas.microsoft.com/office/drawing/2014/chart" uri="{C3380CC4-5D6E-409C-BE32-E72D297353CC}">
              <c16:uniqueId val="{00000001-9D34-46BA-8395-98059CCB85FC}"/>
            </c:ext>
          </c:extLst>
        </c:ser>
        <c:dLbls>
          <c:showLegendKey val="0"/>
          <c:showVal val="0"/>
          <c:showCatName val="0"/>
          <c:showSerName val="0"/>
          <c:showPercent val="0"/>
          <c:showBubbleSize val="0"/>
        </c:dLbls>
        <c:smooth val="0"/>
        <c:axId val="-983973168"/>
        <c:axId val="-983972624"/>
      </c:lineChart>
      <c:catAx>
        <c:axId val="-9839731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72624"/>
        <c:crosses val="autoZero"/>
        <c:auto val="1"/>
        <c:lblAlgn val="ctr"/>
        <c:lblOffset val="100"/>
        <c:noMultiLvlLbl val="0"/>
      </c:catAx>
      <c:valAx>
        <c:axId val="-983972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73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3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'[JESUS DEFINITIVO Lluvias y embalses en 2019   ManEGonTe.xlsx]Norte Cibao'!$A$276</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6CE5-450D-822B-6C6560430648}"/>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2-6CE5-450D-822B-6C6560430648}"/>
              </c:ext>
            </c:extLst>
          </c:dPt>
          <c:dPt>
            <c:idx val="3"/>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6CE5-450D-822B-6C6560430648}"/>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0398-41AF-B436-E9743250E9EE}"/>
              </c:ext>
            </c:extLst>
          </c:dPt>
          <c:dPt>
            <c:idx val="7"/>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0398-41AF-B436-E9743250E9EE}"/>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B-0398-41AF-B436-E9743250E9EE}"/>
              </c:ext>
            </c:extLst>
          </c:dPt>
          <c:dPt>
            <c:idx val="1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D-0398-41AF-B436-E9743250E9EE}"/>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'[JESUS DEFINITIVO Lluvias y embalses en 2019   ManEGonTe.xlsx]Norte Cibao'!$B$273:$M$273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Cibao'!$B$276:$M$276</c:f>
              <c:numCache>
                <c:formatCode>0.0</c:formatCode>
                <c:ptCount val="12"/>
                <c:pt idx="0">
                  <c:v>-82.712765957446805</c:v>
                </c:pt>
                <c:pt idx="1">
                  <c:v>-72.52475247524751</c:v>
                </c:pt>
                <c:pt idx="2">
                  <c:v>92.8125</c:v>
                </c:pt>
                <c:pt idx="3">
                  <c:v>-96.329526916802621</c:v>
                </c:pt>
                <c:pt idx="4">
                  <c:v>57.825630252100837</c:v>
                </c:pt>
                <c:pt idx="5">
                  <c:v>-32.375776397515544</c:v>
                </c:pt>
                <c:pt idx="6">
                  <c:v>-9.7595473833097675</c:v>
                </c:pt>
                <c:pt idx="7">
                  <c:v>281.81818181818181</c:v>
                </c:pt>
                <c:pt idx="8">
                  <c:v>162.98110566829948</c:v>
                </c:pt>
                <c:pt idx="9">
                  <c:v>-23.941707147814018</c:v>
                </c:pt>
                <c:pt idx="10">
                  <c:v>172.37977805178798</c:v>
                </c:pt>
              </c:numCache>
            </c:numRef>
          </c:val>
          <c:extLst xmlns:c16r2="http://schemas.microsoft.com/office/drawing/2015/06/chart">
            <c:ext xmlns:c16="http://schemas.microsoft.com/office/drawing/2014/chart" uri="{C3380CC4-5D6E-409C-BE32-E72D297353CC}">
              <c16:uniqueId val="{00000000-6CE5-450D-822B-6C6560430648}"/>
            </c:ext>
          </c:extLst>
        </c:ser>
        <c:dLbls>
          <c:showLegendKey val="0"/>
          <c:showVal val="0"/>
          <c:showCatName val="0"/>
          <c:showSerName val="0"/>
          <c:showPercent val="0"/>
          <c:showBubbleSize val="0"/>
        </c:dLbls>
        <c:gapWidth val="219"/>
        <c:overlap val="-27"/>
        <c:axId val="-983970448"/>
        <c:axId val="-983972080"/>
      </c:barChart>
      <c:catAx>
        <c:axId val="-983970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72080"/>
        <c:crosses val="autoZero"/>
        <c:auto val="1"/>
        <c:lblAlgn val="ctr"/>
        <c:lblOffset val="100"/>
        <c:noMultiLvlLbl val="0"/>
      </c:catAx>
      <c:valAx>
        <c:axId val="-983972080"/>
        <c:scaling>
          <c:orientation val="minMax"/>
          <c:max val="1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704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3">
    <c:autoUpdate val="0"/>
  </c:externalData>
</c:chartSpace>
</file>

<file path=word/charts/chart13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874192082578824E-2"/>
          <c:y val="4.1202697764045317E-2"/>
          <c:w val="0.87222744443766231"/>
          <c:h val="0.69963321040566129"/>
        </c:manualLayout>
      </c:layout>
      <c:lineChart>
        <c:grouping val="standard"/>
        <c:varyColors val="0"/>
        <c:ser>
          <c:idx val="0"/>
          <c:order val="0"/>
          <c:tx>
            <c:strRef>
              <c:f>'[JESUS DEFINITIVO Lluvias y embalses en 2019   ManEGonTe.xlsx]Norte Cibao'!$A$293</c:f>
              <c:strCache>
                <c:ptCount val="1"/>
                <c:pt idx="0">
                  <c:v>NORMAL</c:v>
                </c:pt>
              </c:strCache>
            </c:strRef>
          </c:tx>
          <c:spPr>
            <a:ln w="38100" cap="rnd">
              <a:solidFill>
                <a:schemeClr val="tx1"/>
              </a:solidFill>
              <a:prstDash val="sysDash"/>
              <a:round/>
            </a:ln>
            <a:effectLst/>
          </c:spPr>
          <c:marker>
            <c:symbol val="none"/>
          </c:marker>
          <c:cat>
            <c:strRef>
              <c:f>'[JESUS DEFINITIVO Lluvias y embalses en 2019   ManEGonTe.xlsx]Norte Cibao'!$B$292:$M$292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Cibao'!$B$293:$M$293</c:f>
              <c:numCache>
                <c:formatCode>0.0</c:formatCode>
                <c:ptCount val="12"/>
                <c:pt idx="0">
                  <c:v>48.9</c:v>
                </c:pt>
                <c:pt idx="1">
                  <c:v>36.1</c:v>
                </c:pt>
                <c:pt idx="2">
                  <c:v>46.1</c:v>
                </c:pt>
                <c:pt idx="3">
                  <c:v>58.8</c:v>
                </c:pt>
                <c:pt idx="4">
                  <c:v>79.8</c:v>
                </c:pt>
                <c:pt idx="5">
                  <c:v>56.2</c:v>
                </c:pt>
                <c:pt idx="6">
                  <c:v>40.200000000000003</c:v>
                </c:pt>
                <c:pt idx="7">
                  <c:v>52.4</c:v>
                </c:pt>
                <c:pt idx="8">
                  <c:v>57.1</c:v>
                </c:pt>
                <c:pt idx="9">
                  <c:v>73.900000000000006</c:v>
                </c:pt>
                <c:pt idx="10">
                  <c:v>64.2</c:v>
                </c:pt>
                <c:pt idx="11">
                  <c:v>59.4</c:v>
                </c:pt>
              </c:numCache>
            </c:numRef>
          </c:val>
          <c:smooth val="1"/>
          <c:extLst xmlns:c16r2="http://schemas.microsoft.com/office/drawing/2015/06/chart">
            <c:ext xmlns:c16="http://schemas.microsoft.com/office/drawing/2014/chart" uri="{C3380CC4-5D6E-409C-BE32-E72D297353CC}">
              <c16:uniqueId val="{00000000-526F-47E1-94EF-0E4FE5FB60D5}"/>
            </c:ext>
          </c:extLst>
        </c:ser>
        <c:ser>
          <c:idx val="1"/>
          <c:order val="1"/>
          <c:tx>
            <c:strRef>
              <c:f>'[JESUS DEFINITIVO Lluvias y embalses en 2019   ManEGonTe.xlsx]Norte Cibao'!$A$294</c:f>
              <c:strCache>
                <c:ptCount val="1"/>
                <c:pt idx="0">
                  <c:v>2019</c:v>
                </c:pt>
              </c:strCache>
            </c:strRef>
          </c:tx>
          <c:spPr>
            <a:ln w="50800" cap="rnd">
              <a:solidFill>
                <a:srgbClr val="669900"/>
              </a:solidFill>
              <a:round/>
            </a:ln>
            <a:effectLst/>
          </c:spPr>
          <c:marker>
            <c:symbol val="none"/>
          </c:marker>
          <c:cat>
            <c:strRef>
              <c:f>'[JESUS DEFINITIVO Lluvias y embalses en 2019   ManEGonTe.xlsx]Norte Cibao'!$B$292:$M$292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Cibao'!$B$294:$M$294</c:f>
              <c:numCache>
                <c:formatCode>_(* #,##0.0_);_(* \(#,##0.0\);_(* "-"??_);_(@_)</c:formatCode>
                <c:ptCount val="12"/>
                <c:pt idx="0">
                  <c:v>0.1</c:v>
                </c:pt>
                <c:pt idx="1">
                  <c:v>23.8</c:v>
                </c:pt>
                <c:pt idx="2">
                  <c:v>47.6</c:v>
                </c:pt>
                <c:pt idx="3">
                  <c:v>5.5</c:v>
                </c:pt>
                <c:pt idx="4">
                  <c:v>39.899999999999991</c:v>
                </c:pt>
                <c:pt idx="5">
                  <c:v>30.9</c:v>
                </c:pt>
                <c:pt idx="6">
                  <c:v>54</c:v>
                </c:pt>
                <c:pt idx="7">
                  <c:v>40.9</c:v>
                </c:pt>
                <c:pt idx="8">
                  <c:v>94.4</c:v>
                </c:pt>
                <c:pt idx="9">
                  <c:v>26.6</c:v>
                </c:pt>
                <c:pt idx="10">
                  <c:v>89.6</c:v>
                </c:pt>
              </c:numCache>
            </c:numRef>
          </c:val>
          <c:smooth val="1"/>
          <c:extLst xmlns:c16r2="http://schemas.microsoft.com/office/drawing/2015/06/chart">
            <c:ext xmlns:c16="http://schemas.microsoft.com/office/drawing/2014/chart" uri="{C3380CC4-5D6E-409C-BE32-E72D297353CC}">
              <c16:uniqueId val="{00000001-526F-47E1-94EF-0E4FE5FB60D5}"/>
            </c:ext>
          </c:extLst>
        </c:ser>
        <c:dLbls>
          <c:showLegendKey val="0"/>
          <c:showVal val="0"/>
          <c:showCatName val="0"/>
          <c:showSerName val="0"/>
          <c:showPercent val="0"/>
          <c:showBubbleSize val="0"/>
        </c:dLbls>
        <c:smooth val="0"/>
        <c:axId val="-983969360"/>
        <c:axId val="-983971536"/>
      </c:lineChart>
      <c:catAx>
        <c:axId val="-9839693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71536"/>
        <c:crosses val="autoZero"/>
        <c:auto val="1"/>
        <c:lblAlgn val="ctr"/>
        <c:lblOffset val="100"/>
        <c:noMultiLvlLbl val="0"/>
      </c:catAx>
      <c:valAx>
        <c:axId val="-983971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69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3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10482483127605"/>
          <c:y val="5.5172413793103448E-2"/>
          <c:w val="0.851087625336302"/>
          <c:h val="0.84367816091954018"/>
        </c:manualLayout>
      </c:layout>
      <c:barChart>
        <c:barDir val="col"/>
        <c:grouping val="clustered"/>
        <c:varyColors val="0"/>
        <c:ser>
          <c:idx val="0"/>
          <c:order val="0"/>
          <c:tx>
            <c:strRef>
              <c:f>'[JESUS DEFINITIVO Lluvias y embalses en 2019   ManEGonTe.xlsx]Norte Cibao'!$A$295</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7505-411D-8F62-72912034B3BB}"/>
              </c:ext>
            </c:extLst>
          </c:dPt>
          <c:dPt>
            <c:idx val="4"/>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7505-411D-8F62-72912034B3BB}"/>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345C-486D-800C-2A5D302646CC}"/>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345C-486D-800C-2A5D302646CC}"/>
              </c:ext>
            </c:extLst>
          </c:dPt>
          <c:dPt>
            <c:idx val="1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345C-486D-800C-2A5D302646CC}"/>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'[JESUS DEFINITIVO Lluvias y embalses en 2019   ManEGonTe.xlsx]Norte Cibao'!$B$292:$M$292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Cibao'!$B$295:$M$295</c:f>
              <c:numCache>
                <c:formatCode>0.0</c:formatCode>
                <c:ptCount val="12"/>
                <c:pt idx="0">
                  <c:v>-99.795501022494889</c:v>
                </c:pt>
                <c:pt idx="1">
                  <c:v>-34.072022160664815</c:v>
                </c:pt>
                <c:pt idx="2">
                  <c:v>3.2537960954446854</c:v>
                </c:pt>
                <c:pt idx="3">
                  <c:v>-90.64625850340137</c:v>
                </c:pt>
                <c:pt idx="4">
                  <c:v>-50.000000000000007</c:v>
                </c:pt>
                <c:pt idx="5">
                  <c:v>-45.017793594306056</c:v>
                </c:pt>
                <c:pt idx="6">
                  <c:v>34.328358208955216</c:v>
                </c:pt>
                <c:pt idx="7">
                  <c:v>-21.946564885496183</c:v>
                </c:pt>
                <c:pt idx="8">
                  <c:v>65.323992994746064</c:v>
                </c:pt>
                <c:pt idx="9">
                  <c:v>-64.005412719891737</c:v>
                </c:pt>
                <c:pt idx="10">
                  <c:v>39.6</c:v>
                </c:pt>
              </c:numCache>
            </c:numRef>
          </c:val>
          <c:extLst xmlns:c16r2="http://schemas.microsoft.com/office/drawing/2015/06/chart">
            <c:ext xmlns:c16="http://schemas.microsoft.com/office/drawing/2014/chart" uri="{C3380CC4-5D6E-409C-BE32-E72D297353CC}">
              <c16:uniqueId val="{00000000-7505-411D-8F62-72912034B3BB}"/>
            </c:ext>
          </c:extLst>
        </c:ser>
        <c:dLbls>
          <c:showLegendKey val="0"/>
          <c:showVal val="0"/>
          <c:showCatName val="0"/>
          <c:showSerName val="0"/>
          <c:showPercent val="0"/>
          <c:showBubbleSize val="0"/>
        </c:dLbls>
        <c:gapWidth val="219"/>
        <c:overlap val="-27"/>
        <c:axId val="-983970992"/>
        <c:axId val="-983964464"/>
      </c:barChart>
      <c:catAx>
        <c:axId val="-983970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64464"/>
        <c:crosses val="autoZero"/>
        <c:auto val="1"/>
        <c:lblAlgn val="ctr"/>
        <c:lblOffset val="100"/>
        <c:noMultiLvlLbl val="0"/>
      </c:catAx>
      <c:valAx>
        <c:axId val="-983964464"/>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709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3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52976930515265E-2"/>
          <c:y val="4.1730937478968978E-2"/>
          <c:w val="0.86987373946677715"/>
          <c:h val="0.86915539403728381"/>
        </c:manualLayout>
      </c:layout>
      <c:lineChart>
        <c:grouping val="standard"/>
        <c:varyColors val="0"/>
        <c:ser>
          <c:idx val="0"/>
          <c:order val="0"/>
          <c:tx>
            <c:strRef>
              <c:f>'[JESUS DEFINITIVO Lluvias y embalses en 2019   ManEGonTe.xlsx]Norte Cibao'!$A$312</c:f>
              <c:strCache>
                <c:ptCount val="1"/>
                <c:pt idx="0">
                  <c:v>NORMAL</c:v>
                </c:pt>
              </c:strCache>
            </c:strRef>
          </c:tx>
          <c:spPr>
            <a:ln w="38100" cap="rnd">
              <a:solidFill>
                <a:schemeClr val="tx1"/>
              </a:solidFill>
              <a:prstDash val="sysDash"/>
              <a:round/>
            </a:ln>
            <a:effectLst/>
          </c:spPr>
          <c:marker>
            <c:symbol val="none"/>
          </c:marker>
          <c:cat>
            <c:strRef>
              <c:f>'[JESUS DEFINITIVO Lluvias y embalses en 2019   ManEGonTe.xlsx]Norte Cibao'!$B$311:$M$311</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Cibao'!$B$312:$M$312</c:f>
              <c:numCache>
                <c:formatCode>0.0</c:formatCode>
                <c:ptCount val="12"/>
                <c:pt idx="0">
                  <c:v>67.8</c:v>
                </c:pt>
                <c:pt idx="1">
                  <c:v>47.2</c:v>
                </c:pt>
                <c:pt idx="2">
                  <c:v>53.5</c:v>
                </c:pt>
                <c:pt idx="3">
                  <c:v>70.900000000000006</c:v>
                </c:pt>
                <c:pt idx="4">
                  <c:v>52.7</c:v>
                </c:pt>
                <c:pt idx="5">
                  <c:v>31</c:v>
                </c:pt>
                <c:pt idx="6">
                  <c:v>15.4</c:v>
                </c:pt>
                <c:pt idx="7">
                  <c:v>27</c:v>
                </c:pt>
                <c:pt idx="8">
                  <c:v>33.4</c:v>
                </c:pt>
                <c:pt idx="9">
                  <c:v>59.9</c:v>
                </c:pt>
                <c:pt idx="10">
                  <c:v>66.400000000000006</c:v>
                </c:pt>
                <c:pt idx="11">
                  <c:v>70</c:v>
                </c:pt>
              </c:numCache>
            </c:numRef>
          </c:val>
          <c:smooth val="1"/>
          <c:extLst xmlns:c16r2="http://schemas.microsoft.com/office/drawing/2015/06/chart">
            <c:ext xmlns:c16="http://schemas.microsoft.com/office/drawing/2014/chart" uri="{C3380CC4-5D6E-409C-BE32-E72D297353CC}">
              <c16:uniqueId val="{00000000-E936-42B0-9289-7C6BAE74DD92}"/>
            </c:ext>
          </c:extLst>
        </c:ser>
        <c:ser>
          <c:idx val="1"/>
          <c:order val="1"/>
          <c:tx>
            <c:strRef>
              <c:f>'[JESUS DEFINITIVO Lluvias y embalses en 2019   ManEGonTe.xlsx]Norte Cibao'!$A$313</c:f>
              <c:strCache>
                <c:ptCount val="1"/>
                <c:pt idx="0">
                  <c:v>2019</c:v>
                </c:pt>
              </c:strCache>
            </c:strRef>
          </c:tx>
          <c:spPr>
            <a:ln w="50800" cap="rnd">
              <a:solidFill>
                <a:srgbClr val="669900"/>
              </a:solidFill>
              <a:round/>
            </a:ln>
            <a:effectLst/>
          </c:spPr>
          <c:marker>
            <c:symbol val="none"/>
          </c:marker>
          <c:cat>
            <c:strRef>
              <c:f>'[JESUS DEFINITIVO Lluvias y embalses en 2019   ManEGonTe.xlsx]Norte Cibao'!$B$311:$M$311</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Cibao'!$B$313:$M$313</c:f>
              <c:numCache>
                <c:formatCode>_(* #,##0.0_);_(* \(#,##0.0\);_(* "-"??_);_(@_)</c:formatCode>
                <c:ptCount val="12"/>
                <c:pt idx="0">
                  <c:v>3.9</c:v>
                </c:pt>
                <c:pt idx="1">
                  <c:v>21.6</c:v>
                </c:pt>
                <c:pt idx="2">
                  <c:v>17.8</c:v>
                </c:pt>
                <c:pt idx="3">
                  <c:v>16.5</c:v>
                </c:pt>
                <c:pt idx="4">
                  <c:v>19</c:v>
                </c:pt>
                <c:pt idx="5">
                  <c:v>29.9</c:v>
                </c:pt>
                <c:pt idx="6">
                  <c:v>3.3</c:v>
                </c:pt>
                <c:pt idx="7">
                  <c:v>0</c:v>
                </c:pt>
                <c:pt idx="8">
                  <c:v>119.3</c:v>
                </c:pt>
                <c:pt idx="9">
                  <c:v>26.7</c:v>
                </c:pt>
                <c:pt idx="10">
                  <c:v>113.8</c:v>
                </c:pt>
              </c:numCache>
            </c:numRef>
          </c:val>
          <c:smooth val="1"/>
          <c:extLst xmlns:c16r2="http://schemas.microsoft.com/office/drawing/2015/06/chart">
            <c:ext xmlns:c16="http://schemas.microsoft.com/office/drawing/2014/chart" uri="{C3380CC4-5D6E-409C-BE32-E72D297353CC}">
              <c16:uniqueId val="{00000001-E936-42B0-9289-7C6BAE74DD92}"/>
            </c:ext>
          </c:extLst>
        </c:ser>
        <c:dLbls>
          <c:showLegendKey val="0"/>
          <c:showVal val="0"/>
          <c:showCatName val="0"/>
          <c:showSerName val="0"/>
          <c:showPercent val="0"/>
          <c:showBubbleSize val="0"/>
        </c:dLbls>
        <c:smooth val="0"/>
        <c:axId val="-983969904"/>
        <c:axId val="-983968816"/>
      </c:lineChart>
      <c:catAx>
        <c:axId val="-9839699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s-DO"/>
          </a:p>
        </c:txPr>
        <c:crossAx val="-983968816"/>
        <c:crosses val="autoZero"/>
        <c:auto val="1"/>
        <c:lblAlgn val="ctr"/>
        <c:lblOffset val="100"/>
        <c:noMultiLvlLbl val="0"/>
      </c:catAx>
      <c:valAx>
        <c:axId val="-983968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69904"/>
        <c:crosses val="autoZero"/>
        <c:crossBetween val="between"/>
      </c:valAx>
      <c:spPr>
        <a:noFill/>
        <a:ln>
          <a:noFill/>
        </a:ln>
        <a:effectLst/>
      </c:spPr>
    </c:plotArea>
    <c:legend>
      <c:legendPos val="b"/>
      <c:layout>
        <c:manualLayout>
          <c:xMode val="edge"/>
          <c:yMode val="edge"/>
          <c:x val="0.32533664870838513"/>
          <c:y val="0.86946399772317617"/>
          <c:w val="0.34932670258322973"/>
          <c:h val="0.10643961673465516"/>
        </c:manualLayout>
      </c:layout>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13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'[JESUS DEFINITIVO Lluvias y embalses en 2019   ManEGonTe.xlsx]Norte Cibao'!$A$314</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4-A8F6-49C3-82EF-EB2028019509}"/>
              </c:ext>
            </c:extLst>
          </c:dPt>
          <c:dPt>
            <c:idx val="6"/>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A8F6-49C3-82EF-EB2028019509}"/>
              </c:ext>
            </c:extLst>
          </c:dPt>
          <c:dPt>
            <c:idx val="7"/>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A8F6-49C3-82EF-EB2028019509}"/>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B246-4BB6-BDA3-37B232685F23}"/>
              </c:ext>
            </c:extLst>
          </c:dPt>
          <c:dPt>
            <c:idx val="1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A8F6-49C3-82EF-EB2028019509}"/>
              </c:ext>
            </c:extLst>
          </c:dPt>
          <c:dLbls>
            <c:dLbl>
              <c:idx val="5"/>
              <c:layout>
                <c:manualLayout>
                  <c:x val="-6.4678502549122562E-17"/>
                  <c:y val="-9.93788819875775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548-455B-8CCB-D66F287D7C8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'[JESUS DEFINITIVO Lluvias y embalses en 2019   ManEGonTe.xlsx]Norte Cibao'!$B$311:$M$311</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Cibao'!$B$314:$M$314</c:f>
              <c:numCache>
                <c:formatCode>0.0</c:formatCode>
                <c:ptCount val="12"/>
                <c:pt idx="0">
                  <c:v>-94.247787610619469</c:v>
                </c:pt>
                <c:pt idx="1">
                  <c:v>-54.237288135593218</c:v>
                </c:pt>
                <c:pt idx="2">
                  <c:v>-66.728971962616825</c:v>
                </c:pt>
                <c:pt idx="3">
                  <c:v>-76.727785613540206</c:v>
                </c:pt>
                <c:pt idx="4">
                  <c:v>-63.946869070208734</c:v>
                </c:pt>
                <c:pt idx="5">
                  <c:v>-3.5483870967741979</c:v>
                </c:pt>
                <c:pt idx="6">
                  <c:v>-78.571428571428584</c:v>
                </c:pt>
                <c:pt idx="7">
                  <c:v>-100</c:v>
                </c:pt>
                <c:pt idx="8">
                  <c:v>257.18562874251501</c:v>
                </c:pt>
                <c:pt idx="9">
                  <c:v>-55.425709515859772</c:v>
                </c:pt>
                <c:pt idx="10">
                  <c:v>71.400000000000006</c:v>
                </c:pt>
              </c:numCache>
            </c:numRef>
          </c:val>
          <c:extLst xmlns:c16r2="http://schemas.microsoft.com/office/drawing/2015/06/chart">
            <c:ext xmlns:c16="http://schemas.microsoft.com/office/drawing/2014/chart" uri="{C3380CC4-5D6E-409C-BE32-E72D297353CC}">
              <c16:uniqueId val="{00000000-A8F6-49C3-82EF-EB2028019509}"/>
            </c:ext>
          </c:extLst>
        </c:ser>
        <c:dLbls>
          <c:showLegendKey val="0"/>
          <c:showVal val="0"/>
          <c:showCatName val="0"/>
          <c:showSerName val="0"/>
          <c:showPercent val="0"/>
          <c:showBubbleSize val="0"/>
        </c:dLbls>
        <c:gapWidth val="219"/>
        <c:overlap val="-27"/>
        <c:axId val="-983968272"/>
        <c:axId val="-983967728"/>
      </c:barChart>
      <c:catAx>
        <c:axId val="-983968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67728"/>
        <c:crosses val="autoZero"/>
        <c:auto val="1"/>
        <c:lblAlgn val="ctr"/>
        <c:lblOffset val="100"/>
        <c:noMultiLvlLbl val="0"/>
      </c:catAx>
      <c:valAx>
        <c:axId val="-983967728"/>
        <c:scaling>
          <c:orientation val="minMax"/>
          <c:max val="1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839682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3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081488101658526E-2"/>
          <c:y val="8.6038326163472817E-2"/>
          <c:w val="0.87904114725385352"/>
          <c:h val="0.65902647972679596"/>
        </c:manualLayout>
      </c:layout>
      <c:lineChart>
        <c:grouping val="standard"/>
        <c:varyColors val="0"/>
        <c:ser>
          <c:idx val="0"/>
          <c:order val="0"/>
          <c:tx>
            <c:strRef>
              <c:f>'[JESUS DEFINITIVO Lluvias y embalses en 2019   ManEGonTe.xlsx]Norte Cibao'!$A$331</c:f>
              <c:strCache>
                <c:ptCount val="1"/>
                <c:pt idx="0">
                  <c:v>NORMAL</c:v>
                </c:pt>
              </c:strCache>
            </c:strRef>
          </c:tx>
          <c:spPr>
            <a:ln w="28575" cap="rnd">
              <a:solidFill>
                <a:schemeClr val="tx1"/>
              </a:solidFill>
              <a:prstDash val="sysDash"/>
              <a:round/>
            </a:ln>
            <a:effectLst/>
          </c:spPr>
          <c:marker>
            <c:symbol val="none"/>
          </c:marker>
          <c:cat>
            <c:strRef>
              <c:f>'[JESUS DEFINITIVO Lluvias y embalses en 2019   ManEGonTe.xlsx]Norte Cibao'!$B$330:$M$330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Cibao'!$B$331:$M$331</c:f>
              <c:numCache>
                <c:formatCode>0.0</c:formatCode>
                <c:ptCount val="12"/>
                <c:pt idx="0">
                  <c:v>37.6</c:v>
                </c:pt>
                <c:pt idx="1">
                  <c:v>48.6</c:v>
                </c:pt>
                <c:pt idx="2">
                  <c:v>75.900000000000006</c:v>
                </c:pt>
                <c:pt idx="3">
                  <c:v>122.6</c:v>
                </c:pt>
                <c:pt idx="4">
                  <c:v>168.8</c:v>
                </c:pt>
                <c:pt idx="5">
                  <c:v>145.1</c:v>
                </c:pt>
                <c:pt idx="6">
                  <c:v>124.5</c:v>
                </c:pt>
                <c:pt idx="7">
                  <c:v>140</c:v>
                </c:pt>
                <c:pt idx="8">
                  <c:v>199.7</c:v>
                </c:pt>
                <c:pt idx="9">
                  <c:v>168</c:v>
                </c:pt>
                <c:pt idx="10">
                  <c:v>81.7</c:v>
                </c:pt>
                <c:pt idx="11">
                  <c:v>39.9</c:v>
                </c:pt>
              </c:numCache>
            </c:numRef>
          </c:val>
          <c:smooth val="1"/>
          <c:extLst xmlns:c16r2="http://schemas.microsoft.com/office/drawing/2015/06/chart">
            <c:ext xmlns:c16="http://schemas.microsoft.com/office/drawing/2014/chart" uri="{C3380CC4-5D6E-409C-BE32-E72D297353CC}">
              <c16:uniqueId val="{00000000-C535-44FA-B76B-CD1483FEEB0F}"/>
            </c:ext>
          </c:extLst>
        </c:ser>
        <c:ser>
          <c:idx val="1"/>
          <c:order val="1"/>
          <c:tx>
            <c:strRef>
              <c:f>'[JESUS DEFINITIVO Lluvias y embalses en 2019   ManEGonTe.xlsx]Norte Cibao'!$A$332</c:f>
              <c:strCache>
                <c:ptCount val="1"/>
                <c:pt idx="0">
                  <c:v>2019</c:v>
                </c:pt>
              </c:strCache>
            </c:strRef>
          </c:tx>
          <c:spPr>
            <a:ln w="38100" cap="rnd">
              <a:solidFill>
                <a:schemeClr val="accent3">
                  <a:lumMod val="75000"/>
                </a:schemeClr>
              </a:solidFill>
              <a:round/>
            </a:ln>
            <a:effectLst/>
          </c:spPr>
          <c:marker>
            <c:symbol val="none"/>
          </c:marker>
          <c:cat>
            <c:strRef>
              <c:f>'[JESUS DEFINITIVO Lluvias y embalses en 2019   ManEGonTe.xlsx]Norte Cibao'!$B$330:$M$330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Cibao'!$B$332:$M$332</c:f>
              <c:numCache>
                <c:formatCode>_(* #,##0.0_);_(* \(#,##0.0\);_(* "-"??_);_(@_)</c:formatCode>
                <c:ptCount val="12"/>
                <c:pt idx="0">
                  <c:v>87.1</c:v>
                </c:pt>
                <c:pt idx="1">
                  <c:v>10.9</c:v>
                </c:pt>
                <c:pt idx="2">
                  <c:v>82.12</c:v>
                </c:pt>
                <c:pt idx="3">
                  <c:v>117.9</c:v>
                </c:pt>
                <c:pt idx="4">
                  <c:v>256</c:v>
                </c:pt>
                <c:pt idx="5">
                  <c:v>143.9</c:v>
                </c:pt>
                <c:pt idx="6">
                  <c:v>138.69999999999999</c:v>
                </c:pt>
                <c:pt idx="7">
                  <c:v>262</c:v>
                </c:pt>
                <c:pt idx="8">
                  <c:v>533.79999999999995</c:v>
                </c:pt>
                <c:pt idx="9">
                  <c:v>95.3</c:v>
                </c:pt>
                <c:pt idx="10">
                  <c:v>140.19999999999999</c:v>
                </c:pt>
              </c:numCache>
            </c:numRef>
          </c:val>
          <c:smooth val="1"/>
          <c:extLst xmlns:c16r2="http://schemas.microsoft.com/office/drawing/2015/06/chart">
            <c:ext xmlns:c16="http://schemas.microsoft.com/office/drawing/2014/chart" uri="{C3380CC4-5D6E-409C-BE32-E72D297353CC}">
              <c16:uniqueId val="{00000001-C535-44FA-B76B-CD1483FEEB0F}"/>
            </c:ext>
          </c:extLst>
        </c:ser>
        <c:dLbls>
          <c:showLegendKey val="0"/>
          <c:showVal val="0"/>
          <c:showCatName val="0"/>
          <c:showSerName val="0"/>
          <c:showPercent val="0"/>
          <c:showBubbleSize val="0"/>
        </c:dLbls>
        <c:smooth val="0"/>
        <c:axId val="-983967184"/>
        <c:axId val="-983963920"/>
      </c:lineChart>
      <c:catAx>
        <c:axId val="-9839671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983963920"/>
        <c:crosses val="autoZero"/>
        <c:auto val="1"/>
        <c:lblAlgn val="ctr"/>
        <c:lblOffset val="100"/>
        <c:noMultiLvlLbl val="0"/>
      </c:catAx>
      <c:valAx>
        <c:axId val="-9839639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983967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13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'[JESUS DEFINITIVO Lluvias y embalses en 2019   ManEGonTe.xlsx]Norte Cibao'!$A$333</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0BBC-41E4-BB49-921D3152981B}"/>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6-0BBC-41E4-BB49-921D3152981B}"/>
              </c:ext>
            </c:extLst>
          </c:dPt>
          <c:dPt>
            <c:idx val="3"/>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5-0BBC-41E4-BB49-921D3152981B}"/>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4-0BBC-41E4-BB49-921D3152981B}"/>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4DFA-45B4-9E44-041199848AEE}"/>
              </c:ext>
            </c:extLst>
          </c:dPt>
          <c:dPt>
            <c:idx val="7"/>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B-4DFA-45B4-9E44-041199848AEE}"/>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0BBC-41E4-BB49-921D3152981B}"/>
              </c:ext>
            </c:extLst>
          </c:dPt>
          <c:dPt>
            <c:idx val="9"/>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0BBC-41E4-BB49-921D3152981B}"/>
              </c:ext>
            </c:extLst>
          </c:dPt>
          <c:dPt>
            <c:idx val="1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0BBC-41E4-BB49-921D3152981B}"/>
              </c:ext>
            </c:extLst>
          </c:dPt>
          <c:dLbls>
            <c:dLbl>
              <c:idx val="3"/>
              <c:layout>
                <c:manualLayout>
                  <c:x val="-3.5279590756747223E-3"/>
                  <c:y val="-7.45341614906832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BBC-41E4-BB49-921D3152981B}"/>
                </c:ext>
                <c:ext xmlns:c15="http://schemas.microsoft.com/office/drawing/2012/chart" uri="{CE6537A1-D6FC-4f65-9D91-7224C49458BB}"/>
              </c:extLst>
            </c:dLbl>
            <c:dLbl>
              <c:idx val="5"/>
              <c:layout>
                <c:manualLayout>
                  <c:x val="-3.5279590756747223E-3"/>
                  <c:y val="-9.93788819875776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4E1D-44CB-BC34-DFF4F4AC035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'[JESUS DEFINITIVO Lluvias y embalses en 2019   ManEGonTe.xlsx]Norte Cibao'!$B$330:$M$330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ManEGonTe.xlsx]Norte Cibao'!$B$333:$M$333</c:f>
              <c:numCache>
                <c:formatCode>0.0</c:formatCode>
                <c:ptCount val="12"/>
                <c:pt idx="0">
                  <c:v>131.64893617021275</c:v>
                </c:pt>
                <c:pt idx="1">
                  <c:v>-77.57201646090536</c:v>
                </c:pt>
                <c:pt idx="2">
                  <c:v>8.194993412384715</c:v>
                </c:pt>
                <c:pt idx="3">
                  <c:v>-3.8336052202283759</c:v>
                </c:pt>
                <c:pt idx="4">
                  <c:v>51.658767772511837</c:v>
                </c:pt>
                <c:pt idx="5">
                  <c:v>-0.82701585113713905</c:v>
                </c:pt>
                <c:pt idx="6">
                  <c:v>11.40562248995983</c:v>
                </c:pt>
                <c:pt idx="7">
                  <c:v>87.142857142857139</c:v>
                </c:pt>
                <c:pt idx="8">
                  <c:v>167.30095142714072</c:v>
                </c:pt>
                <c:pt idx="9">
                  <c:v>-43.273809523809526</c:v>
                </c:pt>
                <c:pt idx="10">
                  <c:v>71.603427172582599</c:v>
                </c:pt>
              </c:numCache>
            </c:numRef>
          </c:val>
          <c:extLst xmlns:c16r2="http://schemas.microsoft.com/office/drawing/2015/06/chart">
            <c:ext xmlns:c16="http://schemas.microsoft.com/office/drawing/2014/chart" uri="{C3380CC4-5D6E-409C-BE32-E72D297353CC}">
              <c16:uniqueId val="{00000000-0BBC-41E4-BB49-921D3152981B}"/>
            </c:ext>
          </c:extLst>
        </c:ser>
        <c:dLbls>
          <c:showLegendKey val="0"/>
          <c:showVal val="0"/>
          <c:showCatName val="0"/>
          <c:showSerName val="0"/>
          <c:showPercent val="0"/>
          <c:showBubbleSize val="0"/>
        </c:dLbls>
        <c:gapWidth val="219"/>
        <c:overlap val="-27"/>
        <c:axId val="-983966640"/>
        <c:axId val="-983965552"/>
      </c:barChart>
      <c:catAx>
        <c:axId val="-9839666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983965552"/>
        <c:crosses val="autoZero"/>
        <c:auto val="1"/>
        <c:lblAlgn val="ctr"/>
        <c:lblOffset val="100"/>
        <c:noMultiLvlLbl val="0"/>
      </c:catAx>
      <c:valAx>
        <c:axId val="-983965552"/>
        <c:scaling>
          <c:orientation val="minMax"/>
          <c:max val="1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9839666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3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800">
                <a:solidFill>
                  <a:sysClr val="windowText" lastClr="000000"/>
                </a:solidFill>
                <a:latin typeface="Times New Roman" panose="02020603050405020304" pitchFamily="18" charset="0"/>
                <a:cs typeface="Times New Roman" panose="02020603050405020304" pitchFamily="18" charset="0"/>
              </a:rPr>
              <a:t>RESERVA UTIL NACIONAL a inicio de mes (MMC)</a:t>
            </a:r>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lineChart>
        <c:grouping val="standard"/>
        <c:varyColors val="0"/>
        <c:ser>
          <c:idx val="0"/>
          <c:order val="0"/>
          <c:tx>
            <c:strRef>
              <c:f>'[JESUS DEFINITIVO Lluvias y embalses en 2019   ManEGonTe.xlsx]Embalses'!$S$3</c:f>
              <c:strCache>
                <c:ptCount val="1"/>
                <c:pt idx="0">
                  <c:v>NACIONAL</c:v>
                </c:pt>
              </c:strCache>
            </c:strRef>
          </c:tx>
          <c:spPr>
            <a:ln w="101600" cap="rnd">
              <a:solidFill>
                <a:schemeClr val="accent1">
                  <a:alpha val="60000"/>
                </a:schemeClr>
              </a:solidFill>
              <a:round/>
            </a:ln>
            <a:effectLst>
              <a:outerShdw blurRad="40000" dist="23000" dir="5400000" rotWithShape="0">
                <a:srgbClr val="000000">
                  <a:alpha val="35000"/>
                </a:srgbClr>
              </a:outerShdw>
            </a:effectLst>
          </c:spPr>
          <c:marker>
            <c:symbol val="circle"/>
            <c:size val="12"/>
            <c:spPr>
              <a:solidFill>
                <a:schemeClr val="accent1">
                  <a:alpha val="60000"/>
                </a:schemeClr>
              </a:solidFill>
              <a:ln w="12700">
                <a:solidFill>
                  <a:schemeClr val="accent1"/>
                </a:solidFill>
                <a:round/>
              </a:ln>
              <a:effectLst>
                <a:outerShdw blurRad="40000" dist="23000" dir="5400000" rotWithShape="0">
                  <a:srgbClr val="000000">
                    <a:alpha val="35000"/>
                  </a:srgbClr>
                </a:outerShdw>
              </a:effectLst>
            </c:spPr>
          </c:marker>
          <c:dLbls>
            <c:dLbl>
              <c:idx val="0"/>
              <c:layout>
                <c:manualLayout>
                  <c:x val="-9.7590719506790331E-3"/>
                  <c:y val="-2.77456613723348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971-4A61-916C-46298F1D6F79}"/>
                </c:ext>
                <c:ext xmlns:c15="http://schemas.microsoft.com/office/drawing/2012/chart" uri="{CE6537A1-D6FC-4f65-9D91-7224C49458BB}"/>
              </c:extLst>
            </c:dLbl>
            <c:dLbl>
              <c:idx val="1"/>
              <c:layout>
                <c:manualLayout>
                  <c:x val="-6.099419969174396E-2"/>
                  <c:y val="3.39113638995203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971-4A61-916C-46298F1D6F79}"/>
                </c:ext>
                <c:ext xmlns:c15="http://schemas.microsoft.com/office/drawing/2012/chart" uri="{CE6537A1-D6FC-4f65-9D91-7224C49458BB}"/>
              </c:extLst>
            </c:dLbl>
            <c:dLbl>
              <c:idx val="2"/>
              <c:layout>
                <c:manualLayout>
                  <c:x val="-8.5391879568441544E-3"/>
                  <c:y val="-4.93256202174842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971-4A61-916C-46298F1D6F79}"/>
                </c:ext>
                <c:ext xmlns:c15="http://schemas.microsoft.com/office/drawing/2012/chart" uri="{CE6537A1-D6FC-4f65-9D91-7224C49458BB}"/>
              </c:extLst>
            </c:dLbl>
            <c:dLbl>
              <c:idx val="3"/>
              <c:layout>
                <c:manualLayout>
                  <c:x val="-6.099419969174396E-2"/>
                  <c:y val="3.699421516311306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971-4A61-916C-46298F1D6F79}"/>
                </c:ext>
                <c:ext xmlns:c15="http://schemas.microsoft.com/office/drawing/2012/chart" uri="{CE6537A1-D6FC-4f65-9D91-7224C49458BB}"/>
              </c:extLst>
            </c:dLbl>
            <c:dLbl>
              <c:idx val="4"/>
              <c:layout>
                <c:manualLayout>
                  <c:x val="-1.0978955944513957E-2"/>
                  <c:y val="-4.6242768953891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971-4A61-916C-46298F1D6F79}"/>
                </c:ext>
                <c:ext xmlns:c15="http://schemas.microsoft.com/office/drawing/2012/chart" uri="{CE6537A1-D6FC-4f65-9D91-7224C49458BB}"/>
              </c:extLst>
            </c:dLbl>
            <c:dLbl>
              <c:idx val="5"/>
              <c:layout>
                <c:manualLayout>
                  <c:x val="-4.1476055790385984E-2"/>
                  <c:y val="4.932562021748412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971-4A61-916C-46298F1D6F79}"/>
                </c:ext>
                <c:ext xmlns:c15="http://schemas.microsoft.com/office/drawing/2012/chart" uri="{CE6537A1-D6FC-4f65-9D91-7224C49458BB}"/>
              </c:extLst>
            </c:dLbl>
            <c:dLbl>
              <c:idx val="6"/>
              <c:layout>
                <c:manualLayout>
                  <c:x val="-3.6596519815046462E-2"/>
                  <c:y val="-5.240847148107711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971-4A61-916C-46298F1D6F79}"/>
                </c:ext>
                <c:ext xmlns:c15="http://schemas.microsoft.com/office/drawing/2012/chart" uri="{CE6537A1-D6FC-4f65-9D91-7224C49458BB}"/>
              </c:extLst>
            </c:dLbl>
            <c:dLbl>
              <c:idx val="7"/>
              <c:layout>
                <c:manualLayout>
                  <c:x val="-3.5376635821211588E-2"/>
                  <c:y val="5.857417400826241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971-4A61-916C-46298F1D6F79}"/>
                </c:ext>
                <c:ext xmlns:c15="http://schemas.microsoft.com/office/drawing/2012/chart" uri="{CE6537A1-D6FC-4f65-9D91-7224C49458BB}"/>
              </c:extLst>
            </c:dLbl>
            <c:dLbl>
              <c:idx val="8"/>
              <c:layout>
                <c:manualLayout>
                  <c:x val="-3.4156751827376618E-2"/>
                  <c:y val="-6.47398765354480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D971-4A61-916C-46298F1D6F79}"/>
                </c:ext>
                <c:ext xmlns:c15="http://schemas.microsoft.com/office/drawing/2012/chart" uri="{CE6537A1-D6FC-4f65-9D91-7224C49458BB}"/>
              </c:extLst>
            </c:dLbl>
            <c:dLbl>
              <c:idx val="9"/>
              <c:layout>
                <c:manualLayout>
                  <c:x val="-4.1476055790385803E-2"/>
                  <c:y val="4.624276895389146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971-4A61-916C-46298F1D6F79}"/>
                </c:ext>
                <c:ext xmlns:c15="http://schemas.microsoft.com/office/drawing/2012/chart" uri="{CE6537A1-D6FC-4f65-9D91-7224C49458BB}"/>
              </c:extLst>
            </c:dLbl>
            <c:dLbl>
              <c:idx val="10"/>
              <c:layout>
                <c:manualLayout>
                  <c:x val="-5.9774315697909079E-2"/>
                  <c:y val="-4.624276895389146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D971-4A61-916C-46298F1D6F79}"/>
                </c:ext>
                <c:ext xmlns:c15="http://schemas.microsoft.com/office/drawing/2012/chart" uri="{CE6537A1-D6FC-4f65-9D91-7224C49458BB}"/>
              </c:extLst>
            </c:dLbl>
            <c:dLbl>
              <c:idx val="11"/>
              <c:layout>
                <c:manualLayout>
                  <c:x val="-7.3193039630094544E-3"/>
                  <c:y val="4.624276895389146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D971-4A61-916C-46298F1D6F79}"/>
                </c:ext>
                <c:ext xmlns:c15="http://schemas.microsoft.com/office/drawing/2012/chart" uri="{CE6537A1-D6FC-4f65-9D91-7224C49458BB}"/>
              </c:extLst>
            </c:dLbl>
            <c:dLbl>
              <c:idx val="12"/>
              <c:layout>
                <c:manualLayout>
                  <c:x val="-4.5135707771890528E-2"/>
                  <c:y val="-0.1017340916985612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D971-4A61-916C-46298F1D6F7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8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'[JESUS DEFINITIVO Lluvias y embalses en 2019   ManEGonTe.xlsx]Embalses'!$A$4:$A$16</c:f>
              <c:strCache>
                <c:ptCount val="13"/>
                <c:pt idx="0">
                  <c:v>UTIL max.</c:v>
                </c:pt>
                <c:pt idx="1">
                  <c:v>Enero</c:v>
                </c:pt>
                <c:pt idx="2">
                  <c:v>Febrero</c:v>
                </c:pt>
                <c:pt idx="3">
                  <c:v>Marzo</c:v>
                </c:pt>
                <c:pt idx="4">
                  <c:v>Abril</c:v>
                </c:pt>
                <c:pt idx="5">
                  <c:v>Mayo</c:v>
                </c:pt>
                <c:pt idx="6">
                  <c:v>Junio</c:v>
                </c:pt>
                <c:pt idx="7">
                  <c:v>Julio</c:v>
                </c:pt>
                <c:pt idx="8">
                  <c:v>Agosto</c:v>
                </c:pt>
                <c:pt idx="9">
                  <c:v>Septiembre</c:v>
                </c:pt>
                <c:pt idx="10">
                  <c:v>Octubre</c:v>
                </c:pt>
                <c:pt idx="11">
                  <c:v>Noviembre</c:v>
                </c:pt>
                <c:pt idx="12">
                  <c:v>Diciembre</c:v>
                </c:pt>
              </c:strCache>
            </c:strRef>
          </c:cat>
          <c:val>
            <c:numRef>
              <c:f>'[JESUS DEFINITIVO Lluvias y embalses en 2019   ManEGonTe.xlsx]Embalses'!$S$4:$S$16</c:f>
              <c:numCache>
                <c:formatCode>_(* #,##0.00_);_(* \(#,##0.00\);_(* "-"??_);_(@_)</c:formatCode>
                <c:ptCount val="13"/>
                <c:pt idx="0">
                  <c:v>1509.38</c:v>
                </c:pt>
                <c:pt idx="1">
                  <c:v>931.39999999999986</c:v>
                </c:pt>
                <c:pt idx="2">
                  <c:v>777.92300000000012</c:v>
                </c:pt>
                <c:pt idx="3">
                  <c:v>633.81999999999994</c:v>
                </c:pt>
                <c:pt idx="4">
                  <c:v>518.76</c:v>
                </c:pt>
                <c:pt idx="5">
                  <c:v>434.88000000000011</c:v>
                </c:pt>
                <c:pt idx="6">
                  <c:v>542.53</c:v>
                </c:pt>
                <c:pt idx="7">
                  <c:v>609.65</c:v>
                </c:pt>
                <c:pt idx="8">
                  <c:v>507.45</c:v>
                </c:pt>
                <c:pt idx="9">
                  <c:v>428.89</c:v>
                </c:pt>
                <c:pt idx="10">
                  <c:v>612.53000000000009</c:v>
                </c:pt>
                <c:pt idx="11">
                  <c:v>771.28000000000009</c:v>
                </c:pt>
                <c:pt idx="12">
                  <c:v>813.56000000000006</c:v>
                </c:pt>
              </c:numCache>
            </c:numRef>
          </c:val>
          <c:smooth val="1"/>
          <c:extLst xmlns:c16r2="http://schemas.microsoft.com/office/drawing/2015/06/chart">
            <c:ext xmlns:c16="http://schemas.microsoft.com/office/drawing/2014/chart" uri="{C3380CC4-5D6E-409C-BE32-E72D297353CC}">
              <c16:uniqueId val="{0000000D-D971-4A61-916C-46298F1D6F79}"/>
            </c:ext>
          </c:extLst>
        </c:ser>
        <c:dLbls>
          <c:showLegendKey val="0"/>
          <c:showVal val="0"/>
          <c:showCatName val="0"/>
          <c:showSerName val="0"/>
          <c:showPercent val="0"/>
          <c:showBubbleSize val="0"/>
        </c:dLbls>
        <c:marker val="1"/>
        <c:smooth val="0"/>
        <c:axId val="-983963376"/>
        <c:axId val="-1064086880"/>
      </c:lineChart>
      <c:catAx>
        <c:axId val="-983963376"/>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s-DO"/>
          </a:p>
        </c:txPr>
        <c:crossAx val="-1064086880"/>
        <c:crosses val="autoZero"/>
        <c:auto val="1"/>
        <c:lblAlgn val="ctr"/>
        <c:lblOffset val="100"/>
        <c:noMultiLvlLbl val="0"/>
      </c:catAx>
      <c:valAx>
        <c:axId val="-1064086880"/>
        <c:scaling>
          <c:orientation val="minMax"/>
        </c:scaling>
        <c:delete val="0"/>
        <c:axPos val="l"/>
        <c:majorGridlines>
          <c:spPr>
            <a:ln w="9525" cap="flat" cmpd="sng" algn="ctr">
              <a:solidFill>
                <a:schemeClr val="tx2">
                  <a:lumMod val="15000"/>
                  <a:lumOff val="85000"/>
                </a:schemeClr>
              </a:solidFill>
              <a:round/>
            </a:ln>
            <a:effectLst/>
          </c:spPr>
        </c:majorGridlines>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s-DO"/>
          </a:p>
        </c:txPr>
        <c:crossAx val="-9839633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87668018770382"/>
          <c:y val="5.0927558667140001E-2"/>
          <c:w val="0.83270913863039853"/>
          <c:h val="0.85771298621061354"/>
        </c:manualLayout>
      </c:layout>
      <c:barChart>
        <c:barDir val="col"/>
        <c:grouping val="clustered"/>
        <c:varyColors val="0"/>
        <c:ser>
          <c:idx val="1"/>
          <c:order val="0"/>
          <c:tx>
            <c:strRef>
              <c:f>'COMPARATIVO Enero - Diciembre'!$O$15</c:f>
              <c:strCache>
                <c:ptCount val="1"/>
                <c:pt idx="0">
                  <c:v>Huevos</c:v>
                </c:pt>
              </c:strCache>
            </c:strRef>
          </c:tx>
          <c:spPr>
            <a:solidFill>
              <a:srgbClr val="00B050"/>
            </a:solidFill>
            <a:ln>
              <a:noFill/>
            </a:ln>
            <a:effectLst>
              <a:outerShdw blurRad="40000" dist="23000" dir="5400000" rotWithShape="0">
                <a:srgbClr val="000000">
                  <a:alpha val="35000"/>
                </a:srgbClr>
              </a:out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0-4E18-4B2F-BBFA-41E860EE492E}"/>
              </c:ext>
            </c:extLst>
          </c:dPt>
          <c:dPt>
            <c:idx val="1"/>
            <c:invertIfNegative val="0"/>
            <c:bubble3D val="0"/>
            <c:extLst xmlns:c16r2="http://schemas.microsoft.com/office/drawing/2015/06/chart">
              <c:ext xmlns:c16="http://schemas.microsoft.com/office/drawing/2014/chart" uri="{C3380CC4-5D6E-409C-BE32-E72D297353CC}">
                <c16:uniqueId val="{00000001-4E18-4B2F-BBFA-41E860EE492E}"/>
              </c:ext>
            </c:extLst>
          </c:dPt>
          <c:dPt>
            <c:idx val="2"/>
            <c:invertIfNegative val="0"/>
            <c:bubble3D val="0"/>
            <c:extLst xmlns:c16r2="http://schemas.microsoft.com/office/drawing/2015/06/chart">
              <c:ext xmlns:c16="http://schemas.microsoft.com/office/drawing/2014/chart" uri="{C3380CC4-5D6E-409C-BE32-E72D297353CC}">
                <c16:uniqueId val="{00000002-4E18-4B2F-BBFA-41E860EE492E}"/>
              </c:ext>
            </c:extLst>
          </c:dPt>
          <c:dPt>
            <c:idx val="3"/>
            <c:invertIfNegative val="0"/>
            <c:bubble3D val="0"/>
            <c:extLst xmlns:c16r2="http://schemas.microsoft.com/office/drawing/2015/06/chart">
              <c:ext xmlns:c16="http://schemas.microsoft.com/office/drawing/2014/chart" uri="{C3380CC4-5D6E-409C-BE32-E72D297353CC}">
                <c16:uniqueId val="{00000003-4E18-4B2F-BBFA-41E860EE492E}"/>
              </c:ext>
            </c:extLst>
          </c:dPt>
          <c:dPt>
            <c:idx val="4"/>
            <c:invertIfNegative val="0"/>
            <c:bubble3D val="0"/>
            <c:extLst xmlns:c16r2="http://schemas.microsoft.com/office/drawing/2015/06/chart">
              <c:ext xmlns:c16="http://schemas.microsoft.com/office/drawing/2014/chart" uri="{C3380CC4-5D6E-409C-BE32-E72D297353CC}">
                <c16:uniqueId val="{00000004-4E18-4B2F-BBFA-41E860EE492E}"/>
              </c:ext>
            </c:extLst>
          </c:dPt>
          <c:dPt>
            <c:idx val="5"/>
            <c:invertIfNegative val="0"/>
            <c:bubble3D val="0"/>
            <c:extLst xmlns:c16r2="http://schemas.microsoft.com/office/drawing/2015/06/chart">
              <c:ext xmlns:c16="http://schemas.microsoft.com/office/drawing/2014/chart" uri="{C3380CC4-5D6E-409C-BE32-E72D297353CC}">
                <c16:uniqueId val="{00000005-4E18-4B2F-BBFA-41E860EE492E}"/>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'COMPARATIVO Enero - Diciembre'!$N$16:$N$23</c:f>
              <c:numCache>
                <c:formatCode>General</c:formatCode>
                <c:ptCount val="8"/>
                <c:pt idx="0">
                  <c:v>2012</c:v>
                </c:pt>
                <c:pt idx="1">
                  <c:v>2013</c:v>
                </c:pt>
                <c:pt idx="2">
                  <c:v>2014</c:v>
                </c:pt>
                <c:pt idx="3">
                  <c:v>2015</c:v>
                </c:pt>
                <c:pt idx="4">
                  <c:v>2016</c:v>
                </c:pt>
                <c:pt idx="5">
                  <c:v>2017</c:v>
                </c:pt>
                <c:pt idx="6">
                  <c:v>2018</c:v>
                </c:pt>
                <c:pt idx="7">
                  <c:v>2019</c:v>
                </c:pt>
              </c:numCache>
            </c:numRef>
          </c:cat>
          <c:val>
            <c:numRef>
              <c:f>'COMPARATIVO Enero - Diciembre'!$O$16:$O$23</c:f>
              <c:numCache>
                <c:formatCode>_(* #,##0.00_);_(* \(#,##0.00\);_(* "-"??_);_(@_)</c:formatCode>
                <c:ptCount val="8"/>
                <c:pt idx="0">
                  <c:v>1784.1</c:v>
                </c:pt>
                <c:pt idx="1">
                  <c:v>1687</c:v>
                </c:pt>
                <c:pt idx="2">
                  <c:v>1721</c:v>
                </c:pt>
                <c:pt idx="3">
                  <c:v>1746.325</c:v>
                </c:pt>
                <c:pt idx="4">
                  <c:v>1714.85</c:v>
                </c:pt>
                <c:pt idx="5">
                  <c:v>1817.035987</c:v>
                </c:pt>
                <c:pt idx="6">
                  <c:v>2070</c:v>
                </c:pt>
                <c:pt idx="7">
                  <c:v>2424.6525230000002</c:v>
                </c:pt>
              </c:numCache>
            </c:numRef>
          </c:val>
          <c:extLst xmlns:c16r2="http://schemas.microsoft.com/office/drawing/2015/06/chart">
            <c:ext xmlns:c16="http://schemas.microsoft.com/office/drawing/2014/chart" uri="{C3380CC4-5D6E-409C-BE32-E72D297353CC}">
              <c16:uniqueId val="{00000006-4E18-4B2F-BBFA-41E860EE492E}"/>
            </c:ext>
          </c:extLst>
        </c:ser>
        <c:dLbls>
          <c:showLegendKey val="0"/>
          <c:showVal val="0"/>
          <c:showCatName val="0"/>
          <c:showSerName val="0"/>
          <c:showPercent val="0"/>
          <c:showBubbleSize val="0"/>
        </c:dLbls>
        <c:gapWidth val="100"/>
        <c:overlap val="-24"/>
        <c:axId val="-835761616"/>
        <c:axId val="-835758352"/>
      </c:barChart>
      <c:catAx>
        <c:axId val="-835761616"/>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58352"/>
        <c:crosses val="autoZero"/>
        <c:auto val="1"/>
        <c:lblAlgn val="ctr"/>
        <c:lblOffset val="100"/>
        <c:noMultiLvlLbl val="0"/>
      </c:catAx>
      <c:valAx>
        <c:axId val="-835758352"/>
        <c:scaling>
          <c:orientation val="minMax"/>
          <c:min val="200"/>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t>Millones de Unidades de Huevos</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616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55030460198915"/>
          <c:y val="0.12694835680751174"/>
          <c:w val="0.85664981274764762"/>
          <c:h val="0.75468500240286862"/>
        </c:manualLayout>
      </c:layout>
      <c:barChart>
        <c:barDir val="col"/>
        <c:grouping val="clustered"/>
        <c:varyColors val="0"/>
        <c:ser>
          <c:idx val="1"/>
          <c:order val="0"/>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'Chart Producción'!$G$3:$O$3</c:f>
              <c:numCache>
                <c:formatCode>General</c:formatCode>
                <c:ptCount val="8"/>
                <c:pt idx="0">
                  <c:v>2012</c:v>
                </c:pt>
                <c:pt idx="1">
                  <c:v>2013</c:v>
                </c:pt>
                <c:pt idx="2">
                  <c:v>2014</c:v>
                </c:pt>
                <c:pt idx="3">
                  <c:v>2015</c:v>
                </c:pt>
                <c:pt idx="4">
                  <c:v>2016</c:v>
                </c:pt>
                <c:pt idx="5">
                  <c:v>2017</c:v>
                </c:pt>
                <c:pt idx="6">
                  <c:v>2018</c:v>
                </c:pt>
                <c:pt idx="7">
                  <c:v>2019</c:v>
                </c:pt>
              </c:numCache>
            </c:numRef>
          </c:cat>
          <c:val>
            <c:numRef>
              <c:f>'Chart Producción'!$G$28:$O$28</c:f>
              <c:numCache>
                <c:formatCode>_(* #,##0.00_);_(* \(#,##0.00\);_(* "-"??_);_(@_)</c:formatCode>
                <c:ptCount val="8"/>
                <c:pt idx="0">
                  <c:v>573.4</c:v>
                </c:pt>
                <c:pt idx="1">
                  <c:v>602.1</c:v>
                </c:pt>
                <c:pt idx="2">
                  <c:v>623.9</c:v>
                </c:pt>
                <c:pt idx="3">
                  <c:v>655.76</c:v>
                </c:pt>
                <c:pt idx="4">
                  <c:v>755.53</c:v>
                </c:pt>
                <c:pt idx="5">
                  <c:v>837.15</c:v>
                </c:pt>
                <c:pt idx="6">
                  <c:v>872.87</c:v>
                </c:pt>
                <c:pt idx="7">
                  <c:v>892.57</c:v>
                </c:pt>
              </c:numCache>
            </c:numRef>
          </c:val>
          <c:extLst xmlns:c16r2="http://schemas.microsoft.com/office/drawing/2015/06/chart">
            <c:ext xmlns:c16="http://schemas.microsoft.com/office/drawing/2014/chart" uri="{C3380CC4-5D6E-409C-BE32-E72D297353CC}">
              <c16:uniqueId val="{0000000C-510E-4EAB-B053-7937A6F1F202}"/>
            </c:ext>
          </c:extLst>
        </c:ser>
        <c:dLbls>
          <c:showLegendKey val="0"/>
          <c:showVal val="0"/>
          <c:showCatName val="0"/>
          <c:showSerName val="0"/>
          <c:showPercent val="0"/>
          <c:showBubbleSize val="0"/>
        </c:dLbls>
        <c:gapWidth val="100"/>
        <c:overlap val="-24"/>
        <c:axId val="-835757264"/>
        <c:axId val="-835812752"/>
      </c:barChart>
      <c:catAx>
        <c:axId val="-835757264"/>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12752"/>
        <c:crosses val="autoZero"/>
        <c:auto val="1"/>
        <c:lblAlgn val="ctr"/>
        <c:lblOffset val="100"/>
        <c:noMultiLvlLbl val="0"/>
      </c:catAx>
      <c:valAx>
        <c:axId val="-83581275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t>Millones de litros de leche</a:t>
                </a:r>
              </a:p>
            </c:rich>
          </c:tx>
          <c:layout>
            <c:manualLayout>
              <c:xMode val="edge"/>
              <c:yMode val="edge"/>
              <c:x val="5.2626241407036306E-4"/>
              <c:y val="0.21552881376473482"/>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_(* #,##0_);_(* \(#,##0\);_(* &quot;-&quot;_);_(@_)"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57264"/>
        <c:crosses val="autoZero"/>
        <c:crossBetween val="between"/>
        <c:majorUnit val="2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01057822317664"/>
          <c:y val="2.9700073152889538E-2"/>
          <c:w val="0.81375169012964288"/>
          <c:h val="0.87172285614993084"/>
        </c:manualLayout>
      </c:layout>
      <c:barChart>
        <c:barDir val="col"/>
        <c:grouping val="clustered"/>
        <c:varyColors val="0"/>
        <c:ser>
          <c:idx val="1"/>
          <c:order val="0"/>
          <c:tx>
            <c:strRef>
              <c:f>'COMPARATIVO Enero - Diciembre'!$M$35</c:f>
              <c:strCache>
                <c:ptCount val="1"/>
                <c:pt idx="0">
                  <c:v>Pollo</c:v>
                </c:pt>
              </c:strCache>
            </c:strRef>
          </c:tx>
          <c:spPr>
            <a:solidFill>
              <a:srgbClr val="00B050"/>
            </a:solidFill>
            <a:ln>
              <a:noFill/>
            </a:ln>
            <a:effectLst>
              <a:outerShdw blurRad="40000" dist="23000" dir="5400000" rotWithShape="0">
                <a:srgbClr val="000000">
                  <a:alpha val="35000"/>
                </a:srgbClr>
              </a:out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0-E337-41A6-BCAD-287E5A5CEFA5}"/>
              </c:ext>
            </c:extLst>
          </c:dPt>
          <c:dPt>
            <c:idx val="1"/>
            <c:invertIfNegative val="0"/>
            <c:bubble3D val="0"/>
            <c:extLst xmlns:c16r2="http://schemas.microsoft.com/office/drawing/2015/06/chart">
              <c:ext xmlns:c16="http://schemas.microsoft.com/office/drawing/2014/chart" uri="{C3380CC4-5D6E-409C-BE32-E72D297353CC}">
                <c16:uniqueId val="{00000001-E337-41A6-BCAD-287E5A5CEFA5}"/>
              </c:ext>
            </c:extLst>
          </c:dPt>
          <c:dPt>
            <c:idx val="2"/>
            <c:invertIfNegative val="0"/>
            <c:bubble3D val="0"/>
            <c:extLst xmlns:c16r2="http://schemas.microsoft.com/office/drawing/2015/06/chart">
              <c:ext xmlns:c16="http://schemas.microsoft.com/office/drawing/2014/chart" uri="{C3380CC4-5D6E-409C-BE32-E72D297353CC}">
                <c16:uniqueId val="{00000002-E337-41A6-BCAD-287E5A5CEFA5}"/>
              </c:ext>
            </c:extLst>
          </c:dPt>
          <c:dPt>
            <c:idx val="3"/>
            <c:invertIfNegative val="0"/>
            <c:bubble3D val="0"/>
            <c:extLst xmlns:c16r2="http://schemas.microsoft.com/office/drawing/2015/06/chart">
              <c:ext xmlns:c16="http://schemas.microsoft.com/office/drawing/2014/chart" uri="{C3380CC4-5D6E-409C-BE32-E72D297353CC}">
                <c16:uniqueId val="{00000003-E337-41A6-BCAD-287E5A5CEFA5}"/>
              </c:ext>
            </c:extLst>
          </c:dPt>
          <c:dPt>
            <c:idx val="4"/>
            <c:invertIfNegative val="0"/>
            <c:bubble3D val="0"/>
            <c:extLst xmlns:c16r2="http://schemas.microsoft.com/office/drawing/2015/06/chart">
              <c:ext xmlns:c16="http://schemas.microsoft.com/office/drawing/2014/chart" uri="{C3380CC4-5D6E-409C-BE32-E72D297353CC}">
                <c16:uniqueId val="{00000004-E337-41A6-BCAD-287E5A5CEFA5}"/>
              </c:ext>
            </c:extLst>
          </c:dPt>
          <c:dPt>
            <c:idx val="5"/>
            <c:invertIfNegative val="0"/>
            <c:bubble3D val="0"/>
            <c:extLst xmlns:c16r2="http://schemas.microsoft.com/office/drawing/2015/06/chart">
              <c:ext xmlns:c16="http://schemas.microsoft.com/office/drawing/2014/chart" uri="{C3380CC4-5D6E-409C-BE32-E72D297353CC}">
                <c16:uniqueId val="{00000005-E337-41A6-BCAD-287E5A5CEFA5}"/>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'COMPARATIVO Enero - Diciembre'!$L$36:$L$43</c:f>
              <c:numCache>
                <c:formatCode>General</c:formatCode>
                <c:ptCount val="8"/>
                <c:pt idx="0">
                  <c:v>2012</c:v>
                </c:pt>
                <c:pt idx="1">
                  <c:v>2013</c:v>
                </c:pt>
                <c:pt idx="2">
                  <c:v>2014</c:v>
                </c:pt>
                <c:pt idx="3">
                  <c:v>2015</c:v>
                </c:pt>
                <c:pt idx="4">
                  <c:v>2016</c:v>
                </c:pt>
                <c:pt idx="5">
                  <c:v>2017</c:v>
                </c:pt>
                <c:pt idx="6">
                  <c:v>2018</c:v>
                </c:pt>
                <c:pt idx="7">
                  <c:v>2019</c:v>
                </c:pt>
              </c:numCache>
            </c:numRef>
          </c:cat>
          <c:val>
            <c:numRef>
              <c:f>'COMPARATIVO Enero - Diciembre'!$M$36:$M$43</c:f>
              <c:numCache>
                <c:formatCode>#,##0</c:formatCode>
                <c:ptCount val="8"/>
                <c:pt idx="0">
                  <c:v>161108.11900000001</c:v>
                </c:pt>
                <c:pt idx="1">
                  <c:v>174066.65</c:v>
                </c:pt>
                <c:pt idx="2">
                  <c:v>188114.636</c:v>
                </c:pt>
                <c:pt idx="3">
                  <c:v>193750.8083876</c:v>
                </c:pt>
                <c:pt idx="4">
                  <c:v>199497.829</c:v>
                </c:pt>
                <c:pt idx="5">
                  <c:v>207377.41099999999</c:v>
                </c:pt>
                <c:pt idx="6">
                  <c:v>213820.21917000003</c:v>
                </c:pt>
                <c:pt idx="7">
                  <c:v>216960.48388791672</c:v>
                </c:pt>
              </c:numCache>
            </c:numRef>
          </c:val>
          <c:extLst xmlns:c16r2="http://schemas.microsoft.com/office/drawing/2015/06/chart">
            <c:ext xmlns:c16="http://schemas.microsoft.com/office/drawing/2014/chart" uri="{C3380CC4-5D6E-409C-BE32-E72D297353CC}">
              <c16:uniqueId val="{00000006-E337-41A6-BCAD-287E5A5CEFA5}"/>
            </c:ext>
          </c:extLst>
        </c:ser>
        <c:dLbls>
          <c:showLegendKey val="0"/>
          <c:showVal val="1"/>
          <c:showCatName val="0"/>
          <c:showSerName val="0"/>
          <c:showPercent val="0"/>
          <c:showBubbleSize val="0"/>
        </c:dLbls>
        <c:gapWidth val="100"/>
        <c:overlap val="-24"/>
        <c:axId val="-835807312"/>
        <c:axId val="-835819824"/>
      </c:barChart>
      <c:catAx>
        <c:axId val="-835807312"/>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19824"/>
        <c:crossesAt val="50000"/>
        <c:auto val="1"/>
        <c:lblAlgn val="ctr"/>
        <c:lblOffset val="100"/>
        <c:noMultiLvlLbl val="0"/>
      </c:catAx>
      <c:valAx>
        <c:axId val="-835819824"/>
        <c:scaling>
          <c:orientation val="minMax"/>
          <c:min val="50000"/>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t>Miles de Unidades de Pollos</a:t>
                </a:r>
              </a:p>
            </c:rich>
          </c:tx>
          <c:layout>
            <c:manualLayout>
              <c:xMode val="edge"/>
              <c:yMode val="edge"/>
              <c:x val="1.0382565815636681E-2"/>
              <c:y val="0.17118198557294456"/>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07312"/>
        <c:crosses val="autoZero"/>
        <c:crossBetween val="between"/>
        <c:majorUnit val="50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303970424379555"/>
          <c:y val="5.3148798615810115E-2"/>
          <c:w val="0.8069603659877711"/>
          <c:h val="0.86244254230017459"/>
        </c:manualLayout>
      </c:layout>
      <c:barChart>
        <c:barDir val="col"/>
        <c:grouping val="clustered"/>
        <c:varyColors val="0"/>
        <c:ser>
          <c:idx val="1"/>
          <c:order val="0"/>
          <c:tx>
            <c:strRef>
              <c:f>'COMPARATIVO Enero - Diciembre'!$C$60</c:f>
              <c:strCache>
                <c:ptCount val="1"/>
                <c:pt idx="0">
                  <c:v>cerdo</c:v>
                </c:pt>
              </c:strCache>
            </c:strRef>
          </c:tx>
          <c:spPr>
            <a:solidFill>
              <a:srgbClr val="00B050"/>
            </a:solidFill>
            <a:ln>
              <a:noFill/>
            </a:ln>
            <a:effectLst>
              <a:outerShdw blurRad="40000" dist="23000" dir="5400000" rotWithShape="0">
                <a:srgbClr val="000000">
                  <a:alpha val="35000"/>
                </a:srgbClr>
              </a:out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0-258D-44F4-999D-701E26C0CA17}"/>
              </c:ext>
            </c:extLst>
          </c:dPt>
          <c:dPt>
            <c:idx val="1"/>
            <c:invertIfNegative val="0"/>
            <c:bubble3D val="0"/>
            <c:extLst xmlns:c16r2="http://schemas.microsoft.com/office/drawing/2015/06/chart">
              <c:ext xmlns:c16="http://schemas.microsoft.com/office/drawing/2014/chart" uri="{C3380CC4-5D6E-409C-BE32-E72D297353CC}">
                <c16:uniqueId val="{00000001-258D-44F4-999D-701E26C0CA17}"/>
              </c:ext>
            </c:extLst>
          </c:dPt>
          <c:dPt>
            <c:idx val="2"/>
            <c:invertIfNegative val="0"/>
            <c:bubble3D val="0"/>
            <c:extLst xmlns:c16r2="http://schemas.microsoft.com/office/drawing/2015/06/chart">
              <c:ext xmlns:c16="http://schemas.microsoft.com/office/drawing/2014/chart" uri="{C3380CC4-5D6E-409C-BE32-E72D297353CC}">
                <c16:uniqueId val="{00000002-258D-44F4-999D-701E26C0CA17}"/>
              </c:ext>
            </c:extLst>
          </c:dPt>
          <c:dPt>
            <c:idx val="3"/>
            <c:invertIfNegative val="0"/>
            <c:bubble3D val="0"/>
            <c:extLst xmlns:c16r2="http://schemas.microsoft.com/office/drawing/2015/06/chart">
              <c:ext xmlns:c16="http://schemas.microsoft.com/office/drawing/2014/chart" uri="{C3380CC4-5D6E-409C-BE32-E72D297353CC}">
                <c16:uniqueId val="{00000003-258D-44F4-999D-701E26C0CA17}"/>
              </c:ext>
            </c:extLst>
          </c:dPt>
          <c:dPt>
            <c:idx val="4"/>
            <c:invertIfNegative val="0"/>
            <c:bubble3D val="0"/>
            <c:extLst xmlns:c16r2="http://schemas.microsoft.com/office/drawing/2015/06/chart">
              <c:ext xmlns:c16="http://schemas.microsoft.com/office/drawing/2014/chart" uri="{C3380CC4-5D6E-409C-BE32-E72D297353CC}">
                <c16:uniqueId val="{00000004-258D-44F4-999D-701E26C0CA17}"/>
              </c:ext>
            </c:extLst>
          </c:dPt>
          <c:dPt>
            <c:idx val="5"/>
            <c:invertIfNegative val="0"/>
            <c:bubble3D val="0"/>
            <c:extLst xmlns:c16r2="http://schemas.microsoft.com/office/drawing/2015/06/chart">
              <c:ext xmlns:c16="http://schemas.microsoft.com/office/drawing/2014/chart" uri="{C3380CC4-5D6E-409C-BE32-E72D297353CC}">
                <c16:uniqueId val="{00000005-258D-44F4-999D-701E26C0CA17}"/>
              </c:ext>
            </c:extLst>
          </c:dPt>
          <c:dLbls>
            <c:dLbl>
              <c:idx val="0"/>
              <c:layout>
                <c:manualLayout>
                  <c:x val="-2.3147880741854533E-17"/>
                  <c:y val="1.49253731343283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58D-44F4-999D-701E26C0CA1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'COMPARATIVO Enero - Diciembre'!$L$36:$L$43</c:f>
              <c:numCache>
                <c:formatCode>General</c:formatCode>
                <c:ptCount val="8"/>
                <c:pt idx="0">
                  <c:v>2012</c:v>
                </c:pt>
                <c:pt idx="1">
                  <c:v>2013</c:v>
                </c:pt>
                <c:pt idx="2">
                  <c:v>2014</c:v>
                </c:pt>
                <c:pt idx="3">
                  <c:v>2015</c:v>
                </c:pt>
                <c:pt idx="4">
                  <c:v>2016</c:v>
                </c:pt>
                <c:pt idx="5">
                  <c:v>2017</c:v>
                </c:pt>
                <c:pt idx="6">
                  <c:v>2018</c:v>
                </c:pt>
                <c:pt idx="7">
                  <c:v>2019</c:v>
                </c:pt>
              </c:numCache>
            </c:numRef>
          </c:cat>
          <c:val>
            <c:numRef>
              <c:f>'COMPARATIVO Enero - Diciembre'!$D$62:$D$69</c:f>
              <c:numCache>
                <c:formatCode>_(* #,##0.00_);_(* \(#,##0.00\);_(* "-"??_);_(@_)</c:formatCode>
                <c:ptCount val="8"/>
                <c:pt idx="0">
                  <c:v>1034.518</c:v>
                </c:pt>
                <c:pt idx="1">
                  <c:v>1046.05</c:v>
                </c:pt>
                <c:pt idx="2">
                  <c:v>966.55399999999997</c:v>
                </c:pt>
                <c:pt idx="3">
                  <c:v>1634.5779075709997</c:v>
                </c:pt>
                <c:pt idx="4">
                  <c:v>1323.0906833863326</c:v>
                </c:pt>
                <c:pt idx="5">
                  <c:v>1352.5464923088539</c:v>
                </c:pt>
                <c:pt idx="6">
                  <c:v>1331.0336983260338</c:v>
                </c:pt>
                <c:pt idx="7">
                  <c:v>1395.7091518449631</c:v>
                </c:pt>
              </c:numCache>
            </c:numRef>
          </c:val>
          <c:extLst xmlns:c16r2="http://schemas.microsoft.com/office/drawing/2015/06/chart">
            <c:ext xmlns:c16="http://schemas.microsoft.com/office/drawing/2014/chart" uri="{C3380CC4-5D6E-409C-BE32-E72D297353CC}">
              <c16:uniqueId val="{00000006-258D-44F4-999D-701E26C0CA17}"/>
            </c:ext>
          </c:extLst>
        </c:ser>
        <c:dLbls>
          <c:showLegendKey val="0"/>
          <c:showVal val="0"/>
          <c:showCatName val="0"/>
          <c:showSerName val="0"/>
          <c:showPercent val="0"/>
          <c:showBubbleSize val="0"/>
        </c:dLbls>
        <c:gapWidth val="100"/>
        <c:overlap val="-24"/>
        <c:axId val="-835811120"/>
        <c:axId val="-835806768"/>
      </c:barChart>
      <c:catAx>
        <c:axId val="-835811120"/>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06768"/>
        <c:crosses val="autoZero"/>
        <c:auto val="1"/>
        <c:lblAlgn val="ctr"/>
        <c:lblOffset val="100"/>
        <c:noMultiLvlLbl val="0"/>
      </c:catAx>
      <c:valAx>
        <c:axId val="-835806768"/>
        <c:scaling>
          <c:orientation val="minMax"/>
          <c:min val="500"/>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solidFill>
                      <a:sysClr val="windowText" lastClr="000000"/>
                    </a:solidFill>
                  </a:rPr>
                  <a:t>Miles de kilogramos de carne de cerdo</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111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89060974816165"/>
          <c:y val="3.4251019827340856E-2"/>
          <c:w val="0.84841474154573648"/>
          <c:h val="0.85264838883091421"/>
        </c:manualLayout>
      </c:layout>
      <c:barChart>
        <c:barDir val="col"/>
        <c:grouping val="clustered"/>
        <c:varyColors val="0"/>
        <c:ser>
          <c:idx val="0"/>
          <c:order val="0"/>
          <c:tx>
            <c:strRef>
              <c:f>'COMPARATIVO Enero - Diciembre'!$C$76</c:f>
              <c:strCache>
                <c:ptCount val="1"/>
                <c:pt idx="0">
                  <c:v>Res</c:v>
                </c:pt>
              </c:strCache>
            </c:strRef>
          </c:tx>
          <c:spPr>
            <a:solidFill>
              <a:srgbClr val="00B050"/>
            </a:solidFill>
            <a:ln>
              <a:noFill/>
            </a:ln>
            <a:effectLst>
              <a:outerShdw blurRad="40000" dist="23000" dir="5400000" rotWithShape="0">
                <a:srgbClr val="000000">
                  <a:alpha val="35000"/>
                </a:srgbClr>
              </a:outerShdw>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'COMPARATIVO Enero - Diciembre'!$B$78:$B$85</c:f>
              <c:numCache>
                <c:formatCode>General</c:formatCode>
                <c:ptCount val="8"/>
                <c:pt idx="0">
                  <c:v>2012</c:v>
                </c:pt>
                <c:pt idx="1">
                  <c:v>2013</c:v>
                </c:pt>
                <c:pt idx="2">
                  <c:v>2014</c:v>
                </c:pt>
                <c:pt idx="3">
                  <c:v>2015</c:v>
                </c:pt>
                <c:pt idx="4">
                  <c:v>2016</c:v>
                </c:pt>
                <c:pt idx="5">
                  <c:v>2017</c:v>
                </c:pt>
                <c:pt idx="6">
                  <c:v>2018</c:v>
                </c:pt>
                <c:pt idx="7">
                  <c:v>2019</c:v>
                </c:pt>
              </c:numCache>
            </c:numRef>
          </c:cat>
          <c:val>
            <c:numRef>
              <c:f>'COMPARATIVO Enero - Diciembre'!$C$78:$C$85</c:f>
              <c:numCache>
                <c:formatCode>_(* #,##0.00_);_(* \(#,##0.00\);_(* "-"??_);_(@_)</c:formatCode>
                <c:ptCount val="8"/>
                <c:pt idx="0">
                  <c:v>2113.355</c:v>
                </c:pt>
                <c:pt idx="1">
                  <c:v>2219.0227500000001</c:v>
                </c:pt>
                <c:pt idx="2">
                  <c:v>1734.0015420200461</c:v>
                </c:pt>
                <c:pt idx="3">
                  <c:v>2100.7583265283897</c:v>
                </c:pt>
                <c:pt idx="4">
                  <c:v>2042.2202090459998</c:v>
                </c:pt>
                <c:pt idx="5">
                  <c:v>1624.9700802970874</c:v>
                </c:pt>
                <c:pt idx="6">
                  <c:v>1604.7675985626202</c:v>
                </c:pt>
                <c:pt idx="7">
                  <c:v>1630.8315438128848</c:v>
                </c:pt>
              </c:numCache>
            </c:numRef>
          </c:val>
          <c:extLst xmlns:c16r2="http://schemas.microsoft.com/office/drawing/2015/06/chart">
            <c:ext xmlns:c16="http://schemas.microsoft.com/office/drawing/2014/chart" uri="{C3380CC4-5D6E-409C-BE32-E72D297353CC}">
              <c16:uniqueId val="{00000000-F8EE-4F5D-A4EB-15CBEC919CF8}"/>
            </c:ext>
          </c:extLst>
        </c:ser>
        <c:dLbls>
          <c:dLblPos val="outEnd"/>
          <c:showLegendKey val="0"/>
          <c:showVal val="1"/>
          <c:showCatName val="0"/>
          <c:showSerName val="0"/>
          <c:showPercent val="0"/>
          <c:showBubbleSize val="0"/>
        </c:dLbls>
        <c:gapWidth val="100"/>
        <c:overlap val="-24"/>
        <c:axId val="-835805680"/>
        <c:axId val="-835815472"/>
      </c:barChart>
      <c:catAx>
        <c:axId val="-835805680"/>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15472"/>
        <c:crosses val="autoZero"/>
        <c:auto val="1"/>
        <c:lblAlgn val="ctr"/>
        <c:lblOffset val="100"/>
        <c:noMultiLvlLbl val="0"/>
      </c:catAx>
      <c:valAx>
        <c:axId val="-835815472"/>
        <c:scaling>
          <c:orientation val="minMax"/>
          <c:min val="500"/>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sz="1050"/>
                  <a:t>Miles de Quintales de Carne de Res</a:t>
                </a:r>
              </a:p>
            </c:rich>
          </c:tx>
          <c:layout>
            <c:manualLayout>
              <c:xMode val="edge"/>
              <c:yMode val="edge"/>
              <c:x val="7.5959815367906613E-3"/>
              <c:y val="0.19268664715339903"/>
            </c:manualLayout>
          </c:layout>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05680"/>
        <c:crosses val="autoZero"/>
        <c:crossBetween val="between"/>
        <c:majorUnit val="5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408600986732334E-2"/>
          <c:y val="2.5299491870287287E-2"/>
          <c:w val="0.8753540601239278"/>
          <c:h val="0.75621017202421315"/>
        </c:manualLayout>
      </c:layout>
      <c:lineChart>
        <c:grouping val="standard"/>
        <c:varyColors val="0"/>
        <c:ser>
          <c:idx val="0"/>
          <c:order val="0"/>
          <c:tx>
            <c:strRef>
              <c:f>notificaciones!$B$42</c:f>
              <c:strCache>
                <c:ptCount val="1"/>
                <c:pt idx="0">
                  <c:v>Notificaciones por plaguicidas (UE)</c:v>
                </c:pt>
              </c:strCache>
            </c:strRef>
          </c:tx>
          <c:spPr>
            <a:ln w="19050" cap="rnd" cmpd="sng" algn="ctr">
              <a:solidFill>
                <a:schemeClr val="accent6">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notificaciones!$A$43:$A$49</c:f>
              <c:strCache>
                <c:ptCount val="7"/>
                <c:pt idx="0">
                  <c:v>2013</c:v>
                </c:pt>
                <c:pt idx="1">
                  <c:v>2014</c:v>
                </c:pt>
                <c:pt idx="2">
                  <c:v>2015</c:v>
                </c:pt>
                <c:pt idx="3">
                  <c:v>2016</c:v>
                </c:pt>
                <c:pt idx="4">
                  <c:v>2017</c:v>
                </c:pt>
                <c:pt idx="5">
                  <c:v>2018</c:v>
                </c:pt>
                <c:pt idx="6">
                  <c:v>*2019</c:v>
                </c:pt>
              </c:strCache>
            </c:strRef>
          </c:cat>
          <c:val>
            <c:numRef>
              <c:f>notificaciones!$B$43:$B$49</c:f>
              <c:numCache>
                <c:formatCode>General</c:formatCode>
                <c:ptCount val="7"/>
                <c:pt idx="0">
                  <c:v>30</c:v>
                </c:pt>
                <c:pt idx="1">
                  <c:v>30</c:v>
                </c:pt>
                <c:pt idx="2">
                  <c:v>33</c:v>
                </c:pt>
                <c:pt idx="3">
                  <c:v>23</c:v>
                </c:pt>
                <c:pt idx="4">
                  <c:v>8</c:v>
                </c:pt>
                <c:pt idx="5">
                  <c:v>24</c:v>
                </c:pt>
                <c:pt idx="6">
                  <c:v>18</c:v>
                </c:pt>
              </c:numCache>
            </c:numRef>
          </c:val>
          <c:smooth val="0"/>
          <c:extLst xmlns:c16r2="http://schemas.microsoft.com/office/drawing/2015/06/chart">
            <c:ext xmlns:c16="http://schemas.microsoft.com/office/drawing/2014/chart" uri="{C3380CC4-5D6E-409C-BE32-E72D297353CC}">
              <c16:uniqueId val="{00000000-1A4A-4FA4-B414-D508694FC1D8}"/>
            </c:ext>
          </c:extLst>
        </c:ser>
        <c:ser>
          <c:idx val="1"/>
          <c:order val="1"/>
          <c:tx>
            <c:strRef>
              <c:f>notificaciones!$C$42</c:f>
              <c:strCache>
                <c:ptCount val="1"/>
                <c:pt idx="0">
                  <c:v>Notificaciones por plaguicidas (EE.UU.)</c:v>
                </c:pt>
              </c:strCache>
            </c:strRef>
          </c:tx>
          <c:spPr>
            <a:ln w="19050" cap="rnd" cmpd="sng" algn="ctr">
              <a:solidFill>
                <a:schemeClr val="accent5">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notificaciones!$A$43:$A$49</c:f>
              <c:strCache>
                <c:ptCount val="7"/>
                <c:pt idx="0">
                  <c:v>2013</c:v>
                </c:pt>
                <c:pt idx="1">
                  <c:v>2014</c:v>
                </c:pt>
                <c:pt idx="2">
                  <c:v>2015</c:v>
                </c:pt>
                <c:pt idx="3">
                  <c:v>2016</c:v>
                </c:pt>
                <c:pt idx="4">
                  <c:v>2017</c:v>
                </c:pt>
                <c:pt idx="5">
                  <c:v>2018</c:v>
                </c:pt>
                <c:pt idx="6">
                  <c:v>*2019</c:v>
                </c:pt>
              </c:strCache>
            </c:strRef>
          </c:cat>
          <c:val>
            <c:numRef>
              <c:f>notificaciones!$C$43:$C$49</c:f>
              <c:numCache>
                <c:formatCode>General</c:formatCode>
                <c:ptCount val="7"/>
                <c:pt idx="0">
                  <c:v>30</c:v>
                </c:pt>
                <c:pt idx="1">
                  <c:v>38</c:v>
                </c:pt>
                <c:pt idx="2">
                  <c:v>69</c:v>
                </c:pt>
                <c:pt idx="3">
                  <c:v>65</c:v>
                </c:pt>
                <c:pt idx="4">
                  <c:v>30</c:v>
                </c:pt>
                <c:pt idx="5">
                  <c:v>33</c:v>
                </c:pt>
                <c:pt idx="6">
                  <c:v>26</c:v>
                </c:pt>
              </c:numCache>
            </c:numRef>
          </c:val>
          <c:smooth val="0"/>
          <c:extLst xmlns:c16r2="http://schemas.microsoft.com/office/drawing/2015/06/chart">
            <c:ext xmlns:c16="http://schemas.microsoft.com/office/drawing/2014/chart" uri="{C3380CC4-5D6E-409C-BE32-E72D297353CC}">
              <c16:uniqueId val="{00000001-1A4A-4FA4-B414-D508694FC1D8}"/>
            </c:ext>
          </c:extLst>
        </c:ser>
        <c:dLbls>
          <c:dLblPos val="ctr"/>
          <c:showLegendKey val="0"/>
          <c:showVal val="1"/>
          <c:showCatName val="0"/>
          <c:showSerName val="0"/>
          <c:showPercent val="0"/>
          <c:showBubbleSize val="0"/>
        </c:dLbls>
        <c:marker val="1"/>
        <c:smooth val="0"/>
        <c:axId val="-835812208"/>
        <c:axId val="-835805136"/>
      </c:lineChart>
      <c:catAx>
        <c:axId val="-83581220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835805136"/>
        <c:crosses val="autoZero"/>
        <c:auto val="1"/>
        <c:lblAlgn val="ctr"/>
        <c:lblOffset val="100"/>
        <c:noMultiLvlLbl val="0"/>
      </c:catAx>
      <c:valAx>
        <c:axId val="-835805136"/>
        <c:scaling>
          <c:orientation val="minMax"/>
        </c:scaling>
        <c:delete val="0"/>
        <c:axPos val="l"/>
        <c:majorGridlines>
          <c:spPr>
            <a:ln>
              <a:solidFill>
                <a:schemeClr val="dk1">
                  <a:lumMod val="15000"/>
                  <a:lumOff val="85000"/>
                </a:schemeClr>
              </a:solidFill>
            </a:ln>
            <a:effectLst/>
          </c:spPr>
        </c:majorGridlines>
        <c:title>
          <c:tx>
            <c:rich>
              <a:bodyPr rot="-5400000" spcFirstLastPara="1" vertOverflow="ellipsis" vert="horz" wrap="square" anchor="ctr" anchorCtr="1"/>
              <a:lstStyle/>
              <a:p>
                <a:pPr>
                  <a:defRPr sz="11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Cantidad</a:t>
                </a:r>
                <a:r>
                  <a:rPr lang="en-US" b="1" baseline="0">
                    <a:solidFill>
                      <a:sysClr val="windowText" lastClr="000000"/>
                    </a:solidFill>
                  </a:rPr>
                  <a:t> de notificaciones</a:t>
                </a:r>
                <a:endParaRPr lang="en-US"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1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lt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76456232444628"/>
          <c:y val="4.0069822230926769E-2"/>
          <c:w val="0.82819680434682497"/>
          <c:h val="0.84335367279766194"/>
        </c:manualLayout>
      </c:layout>
      <c:barChart>
        <c:barDir val="col"/>
        <c:grouping val="clustered"/>
        <c:varyColors val="0"/>
        <c:ser>
          <c:idx val="2"/>
          <c:order val="0"/>
          <c:tx>
            <c:strRef>
              <c:f>'[Datos 13 dic. 2019.xlsx]Chart Producción'!$D$5</c:f>
              <c:strCache>
                <c:ptCount val="1"/>
                <c:pt idx="0">
                  <c:v>Visitas Realizadas</c:v>
                </c:pt>
              </c:strCache>
            </c:strRef>
          </c:tx>
          <c:spPr>
            <a:solidFill>
              <a:srgbClr val="00B050"/>
            </a:solidFill>
            <a:ln>
              <a:noFill/>
            </a:ln>
            <a:effectLst/>
          </c:spPr>
          <c:invertIfNegative val="0"/>
          <c:dPt>
            <c:idx val="0"/>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1-D28B-40F6-B0DD-4E7E3A652C11}"/>
              </c:ext>
            </c:extLst>
          </c:dPt>
          <c:dPt>
            <c:idx val="1"/>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3-D28B-40F6-B0DD-4E7E3A652C11}"/>
              </c:ext>
            </c:extLst>
          </c:dPt>
          <c:dPt>
            <c:idx val="2"/>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5-D28B-40F6-B0DD-4E7E3A652C11}"/>
              </c:ext>
            </c:extLst>
          </c:dPt>
          <c:dPt>
            <c:idx val="3"/>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7-D28B-40F6-B0DD-4E7E3A652C11}"/>
              </c:ext>
            </c:extLst>
          </c:dPt>
          <c:dPt>
            <c:idx val="4"/>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9-D28B-40F6-B0DD-4E7E3A652C11}"/>
              </c:ext>
            </c:extLst>
          </c:dPt>
          <c:dPt>
            <c:idx val="5"/>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B-D28B-40F6-B0DD-4E7E3A652C11}"/>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'[Datos 13 dic. 2019.xlsx]Chart Producción'!$G$3:$O$3</c:f>
              <c:numCache>
                <c:formatCode>General</c:formatCode>
                <c:ptCount val="8"/>
                <c:pt idx="0">
                  <c:v>2012</c:v>
                </c:pt>
                <c:pt idx="1">
                  <c:v>2013</c:v>
                </c:pt>
                <c:pt idx="2">
                  <c:v>2014</c:v>
                </c:pt>
                <c:pt idx="3">
                  <c:v>2015</c:v>
                </c:pt>
                <c:pt idx="4">
                  <c:v>2016</c:v>
                </c:pt>
                <c:pt idx="5">
                  <c:v>2017</c:v>
                </c:pt>
                <c:pt idx="6">
                  <c:v>2018</c:v>
                </c:pt>
                <c:pt idx="7">
                  <c:v>2019</c:v>
                </c:pt>
              </c:numCache>
            </c:numRef>
          </c:cat>
          <c:val>
            <c:numRef>
              <c:f>'[Datos 13 dic. 2019.xlsx]Chart Producción'!$G$5:$O$5</c:f>
              <c:numCache>
                <c:formatCode>#,##0</c:formatCode>
                <c:ptCount val="8"/>
                <c:pt idx="0">
                  <c:v>1258058</c:v>
                </c:pt>
                <c:pt idx="1">
                  <c:v>485778</c:v>
                </c:pt>
                <c:pt idx="2">
                  <c:v>783510</c:v>
                </c:pt>
                <c:pt idx="3">
                  <c:v>882836</c:v>
                </c:pt>
                <c:pt idx="4">
                  <c:v>808728</c:v>
                </c:pt>
                <c:pt idx="5">
                  <c:v>801469</c:v>
                </c:pt>
                <c:pt idx="6">
                  <c:v>637064</c:v>
                </c:pt>
                <c:pt idx="7">
                  <c:v>724503</c:v>
                </c:pt>
              </c:numCache>
            </c:numRef>
          </c:val>
          <c:extLst xmlns:c16r2="http://schemas.microsoft.com/office/drawing/2015/06/chart">
            <c:ext xmlns:c16="http://schemas.microsoft.com/office/drawing/2014/chart" uri="{C3380CC4-5D6E-409C-BE32-E72D297353CC}">
              <c16:uniqueId val="{0000000C-D28B-40F6-B0DD-4E7E3A652C11}"/>
            </c:ext>
          </c:extLst>
        </c:ser>
        <c:dLbls>
          <c:showLegendKey val="0"/>
          <c:showVal val="0"/>
          <c:showCatName val="0"/>
          <c:showSerName val="0"/>
          <c:showPercent val="0"/>
          <c:showBubbleSize val="0"/>
        </c:dLbls>
        <c:gapWidth val="100"/>
        <c:overlap val="-24"/>
        <c:axId val="-835786640"/>
        <c:axId val="-835773584"/>
      </c:barChart>
      <c:catAx>
        <c:axId val="-835786640"/>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73584"/>
        <c:crosses val="autoZero"/>
        <c:auto val="1"/>
        <c:lblAlgn val="ctr"/>
        <c:lblOffset val="100"/>
        <c:noMultiLvlLbl val="0"/>
      </c:catAx>
      <c:valAx>
        <c:axId val="-83577358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t>Visitas Realizadas</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866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9231461766009"/>
          <c:y val="2.5428331875182269E-2"/>
          <c:w val="0.85866251292091211"/>
          <c:h val="0.7734871682706328"/>
        </c:manualLayout>
      </c:layout>
      <c:lineChart>
        <c:grouping val="standard"/>
        <c:varyColors val="0"/>
        <c:ser>
          <c:idx val="0"/>
          <c:order val="0"/>
          <c:tx>
            <c:strRef>
              <c:f>notificaciones!$B$32</c:f>
              <c:strCache>
                <c:ptCount val="1"/>
                <c:pt idx="0">
                  <c:v>Notificaciones por plagas (UE)</c:v>
                </c:pt>
              </c:strCache>
            </c:strRef>
          </c:tx>
          <c:spPr>
            <a:ln w="19050" cap="rnd" cmpd="sng" algn="ctr">
              <a:solidFill>
                <a:schemeClr val="accent6">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accent6"/>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notificaciones!$A$33:$A$39</c:f>
              <c:strCache>
                <c:ptCount val="7"/>
                <c:pt idx="0">
                  <c:v>2013</c:v>
                </c:pt>
                <c:pt idx="1">
                  <c:v>2014</c:v>
                </c:pt>
                <c:pt idx="2">
                  <c:v>2015</c:v>
                </c:pt>
                <c:pt idx="3">
                  <c:v>2016</c:v>
                </c:pt>
                <c:pt idx="4">
                  <c:v>2017</c:v>
                </c:pt>
                <c:pt idx="5">
                  <c:v>2018</c:v>
                </c:pt>
                <c:pt idx="6">
                  <c:v>*2019</c:v>
                </c:pt>
              </c:strCache>
            </c:strRef>
          </c:cat>
          <c:val>
            <c:numRef>
              <c:f>notificaciones!$B$33:$B$39</c:f>
              <c:numCache>
                <c:formatCode>General</c:formatCode>
                <c:ptCount val="7"/>
                <c:pt idx="0">
                  <c:v>122</c:v>
                </c:pt>
                <c:pt idx="1">
                  <c:v>114</c:v>
                </c:pt>
                <c:pt idx="2">
                  <c:v>43</c:v>
                </c:pt>
                <c:pt idx="3">
                  <c:v>46</c:v>
                </c:pt>
                <c:pt idx="4">
                  <c:v>74</c:v>
                </c:pt>
                <c:pt idx="5">
                  <c:v>117</c:v>
                </c:pt>
                <c:pt idx="6">
                  <c:v>72</c:v>
                </c:pt>
              </c:numCache>
            </c:numRef>
          </c:val>
          <c:smooth val="0"/>
          <c:extLst xmlns:c16r2="http://schemas.microsoft.com/office/drawing/2015/06/chart">
            <c:ext xmlns:c16="http://schemas.microsoft.com/office/drawing/2014/chart" uri="{C3380CC4-5D6E-409C-BE32-E72D297353CC}">
              <c16:uniqueId val="{00000000-C6C6-4F41-A8CE-537F3BFD7E4D}"/>
            </c:ext>
          </c:extLst>
        </c:ser>
        <c:ser>
          <c:idx val="1"/>
          <c:order val="1"/>
          <c:tx>
            <c:strRef>
              <c:f>notificaciones!$C$32</c:f>
              <c:strCache>
                <c:ptCount val="1"/>
                <c:pt idx="0">
                  <c:v>Notificaciones por plagas (EE.UU.)</c:v>
                </c:pt>
              </c:strCache>
            </c:strRef>
          </c:tx>
          <c:spPr>
            <a:ln w="19050" cap="rnd" cmpd="sng" algn="ctr">
              <a:solidFill>
                <a:schemeClr val="accent5">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accent5"/>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notificaciones!$A$33:$A$39</c:f>
              <c:strCache>
                <c:ptCount val="7"/>
                <c:pt idx="0">
                  <c:v>2013</c:v>
                </c:pt>
                <c:pt idx="1">
                  <c:v>2014</c:v>
                </c:pt>
                <c:pt idx="2">
                  <c:v>2015</c:v>
                </c:pt>
                <c:pt idx="3">
                  <c:v>2016</c:v>
                </c:pt>
                <c:pt idx="4">
                  <c:v>2017</c:v>
                </c:pt>
                <c:pt idx="5">
                  <c:v>2018</c:v>
                </c:pt>
                <c:pt idx="6">
                  <c:v>*2019</c:v>
                </c:pt>
              </c:strCache>
            </c:strRef>
          </c:cat>
          <c:val>
            <c:numRef>
              <c:f>notificaciones!$C$33:$C$39</c:f>
              <c:numCache>
                <c:formatCode>General</c:formatCode>
                <c:ptCount val="7"/>
                <c:pt idx="0">
                  <c:v>1297</c:v>
                </c:pt>
                <c:pt idx="1">
                  <c:v>465</c:v>
                </c:pt>
                <c:pt idx="2">
                  <c:v>769</c:v>
                </c:pt>
                <c:pt idx="3">
                  <c:v>666</c:v>
                </c:pt>
                <c:pt idx="4">
                  <c:v>691</c:v>
                </c:pt>
                <c:pt idx="5">
                  <c:v>595</c:v>
                </c:pt>
                <c:pt idx="6" formatCode="#,##0">
                  <c:v>608</c:v>
                </c:pt>
              </c:numCache>
            </c:numRef>
          </c:val>
          <c:smooth val="0"/>
          <c:extLst xmlns:c16r2="http://schemas.microsoft.com/office/drawing/2015/06/chart">
            <c:ext xmlns:c16="http://schemas.microsoft.com/office/drawing/2014/chart" uri="{C3380CC4-5D6E-409C-BE32-E72D297353CC}">
              <c16:uniqueId val="{00000001-C6C6-4F41-A8CE-537F3BFD7E4D}"/>
            </c:ext>
          </c:extLst>
        </c:ser>
        <c:dLbls>
          <c:dLblPos val="ctr"/>
          <c:showLegendKey val="0"/>
          <c:showVal val="1"/>
          <c:showCatName val="0"/>
          <c:showSerName val="0"/>
          <c:showPercent val="0"/>
          <c:showBubbleSize val="0"/>
        </c:dLbls>
        <c:marker val="1"/>
        <c:smooth val="0"/>
        <c:axId val="-835819280"/>
        <c:axId val="-835813296"/>
      </c:lineChart>
      <c:catAx>
        <c:axId val="-83581928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13296"/>
        <c:crosses val="autoZero"/>
        <c:auto val="1"/>
        <c:lblAlgn val="ctr"/>
        <c:lblOffset val="100"/>
        <c:noMultiLvlLbl val="0"/>
      </c:catAx>
      <c:valAx>
        <c:axId val="-835813296"/>
        <c:scaling>
          <c:orientation val="minMax"/>
        </c:scaling>
        <c:delete val="0"/>
        <c:axPos val="l"/>
        <c:majorGridlines>
          <c:spPr>
            <a:ln>
              <a:solidFill>
                <a:schemeClr val="dk1">
                  <a:lumMod val="15000"/>
                  <a:lumOff val="85000"/>
                </a:schemeClr>
              </a:solidFill>
            </a:ln>
            <a:effectLst/>
          </c:spPr>
        </c:majorGridlines>
        <c:title>
          <c:tx>
            <c:rich>
              <a:bodyPr rot="-5400000" spcFirstLastPara="1" vertOverflow="ellipsis" vert="horz" wrap="square" anchor="ctr" anchorCtr="1"/>
              <a:lstStyle/>
              <a:p>
                <a:pPr>
                  <a:defRPr sz="105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Cantidad de Notificaciones</a:t>
                </a:r>
              </a:p>
            </c:rich>
          </c:tx>
          <c:overlay val="0"/>
          <c:spPr>
            <a:noFill/>
            <a:ln>
              <a:noFill/>
            </a:ln>
            <a:effectLst/>
          </c:spPr>
          <c:txPr>
            <a:bodyPr rot="-5400000" spcFirstLastPara="1" vertOverflow="ellipsis" vert="horz" wrap="square" anchor="ctr" anchorCtr="1"/>
            <a:lstStyle/>
            <a:p>
              <a:pPr>
                <a:defRPr sz="105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19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lt1"/>
    </a:solidFill>
    <a:ln w="9525" cap="flat" cmpd="sng" algn="ctr">
      <a:noFill/>
      <a:round/>
    </a:ln>
    <a:effectLst/>
  </c:spPr>
  <c:txPr>
    <a:bodyPr/>
    <a:lstStyle/>
    <a:p>
      <a:pPr>
        <a:defRPr sz="105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Hoja1!$S$17</c:f>
              <c:strCache>
                <c:ptCount val="1"/>
                <c:pt idx="0">
                  <c:v>Leche</c:v>
                </c:pt>
              </c:strCache>
            </c:strRef>
          </c:tx>
          <c:spPr>
            <a:solidFill>
              <a:srgbClr val="00B050"/>
            </a:solidFill>
            <a:ln>
              <a:noFill/>
            </a:ln>
            <a:effectLst/>
          </c:spPr>
          <c:invertIfNegative val="0"/>
          <c:dLbls>
            <c:dLbl>
              <c:idx val="0"/>
              <c:layout>
                <c:manualLayout>
                  <c:x val="-6.4724919093851136E-3"/>
                  <c:y val="1.851851851851851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F41-4163-8CEB-04A755D1F1C7}"/>
                </c:ext>
                <c:ext xmlns:c15="http://schemas.microsoft.com/office/drawing/2012/chart" uri="{CE6537A1-D6FC-4f65-9D91-7224C49458BB}"/>
              </c:extLst>
            </c:dLbl>
            <c:dLbl>
              <c:idx val="1"/>
              <c:layout>
                <c:manualLayout>
                  <c:x val="-1.0787486515641856E-2"/>
                  <c:y val="1.38888888888888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F41-4163-8CEB-04A755D1F1C7}"/>
                </c:ext>
                <c:ext xmlns:c15="http://schemas.microsoft.com/office/drawing/2012/chart" uri="{CE6537A1-D6FC-4f65-9D91-7224C49458BB}"/>
              </c:extLst>
            </c:dLbl>
            <c:dLbl>
              <c:idx val="2"/>
              <c:layout>
                <c:manualLayout>
                  <c:x val="0"/>
                  <c:y val="-4.629629629629671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F41-4163-8CEB-04A755D1F1C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Hoja1!$R$18:$R$24</c:f>
              <c:numCache>
                <c:formatCode>General</c:formatCode>
                <c:ptCount val="7"/>
                <c:pt idx="0">
                  <c:v>2012</c:v>
                </c:pt>
                <c:pt idx="1">
                  <c:v>2013</c:v>
                </c:pt>
                <c:pt idx="2">
                  <c:v>2014</c:v>
                </c:pt>
                <c:pt idx="3">
                  <c:v>2015</c:v>
                </c:pt>
                <c:pt idx="4">
                  <c:v>2016</c:v>
                </c:pt>
                <c:pt idx="5">
                  <c:v>2017</c:v>
                </c:pt>
                <c:pt idx="6">
                  <c:v>2018</c:v>
                </c:pt>
              </c:numCache>
            </c:numRef>
          </c:cat>
          <c:val>
            <c:numRef>
              <c:f>Hoja1!$S$18:$S$24</c:f>
              <c:numCache>
                <c:formatCode>_(* #,##0_);_(* \(#,##0\);_(* "-"??_);_(@_)</c:formatCode>
                <c:ptCount val="7"/>
                <c:pt idx="0">
                  <c:v>32848725</c:v>
                </c:pt>
                <c:pt idx="1">
                  <c:v>36162900</c:v>
                </c:pt>
                <c:pt idx="2">
                  <c:v>36291666</c:v>
                </c:pt>
                <c:pt idx="3">
                  <c:v>49417880</c:v>
                </c:pt>
                <c:pt idx="4">
                  <c:v>55441700</c:v>
                </c:pt>
                <c:pt idx="5">
                  <c:v>57537814</c:v>
                </c:pt>
                <c:pt idx="6">
                  <c:v>61442040</c:v>
                </c:pt>
              </c:numCache>
            </c:numRef>
          </c:val>
          <c:extLst xmlns:c16r2="http://schemas.microsoft.com/office/drawing/2015/06/chart">
            <c:ext xmlns:c16="http://schemas.microsoft.com/office/drawing/2014/chart" uri="{C3380CC4-5D6E-409C-BE32-E72D297353CC}">
              <c16:uniqueId val="{00000003-6F41-4163-8CEB-04A755D1F1C7}"/>
            </c:ext>
          </c:extLst>
        </c:ser>
        <c:dLbls>
          <c:showLegendKey val="0"/>
          <c:showVal val="0"/>
          <c:showCatName val="0"/>
          <c:showSerName val="0"/>
          <c:showPercent val="0"/>
          <c:showBubbleSize val="0"/>
        </c:dLbls>
        <c:gapWidth val="219"/>
        <c:overlap val="-27"/>
        <c:axId val="-835811664"/>
        <c:axId val="-835821456"/>
      </c:barChart>
      <c:catAx>
        <c:axId val="-835811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21456"/>
        <c:crosses val="autoZero"/>
        <c:auto val="1"/>
        <c:lblAlgn val="ctr"/>
        <c:lblOffset val="100"/>
        <c:noMultiLvlLbl val="0"/>
      </c:catAx>
      <c:valAx>
        <c:axId val="-835821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Valores expresados en litros de leche</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116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16827276398142541"/>
          <c:y val="2.7217877094972066E-2"/>
          <c:w val="0.80822296251430115"/>
          <c:h val="0.88244367219460695"/>
        </c:manualLayout>
      </c:layout>
      <c:barChart>
        <c:barDir val="col"/>
        <c:grouping val="clustered"/>
        <c:varyColors val="0"/>
        <c:ser>
          <c:idx val="0"/>
          <c:order val="0"/>
          <c:tx>
            <c:strRef>
              <c:f>Hoja1!$D$7</c:f>
              <c:strCache>
                <c:ptCount val="1"/>
                <c:pt idx="0">
                  <c:v>Arroz</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Hoja1!$A$8:$A$14</c:f>
              <c:numCache>
                <c:formatCode>General</c:formatCode>
                <c:ptCount val="6"/>
                <c:pt idx="0">
                  <c:v>2013</c:v>
                </c:pt>
                <c:pt idx="1">
                  <c:v>2014</c:v>
                </c:pt>
                <c:pt idx="2">
                  <c:v>2015</c:v>
                </c:pt>
                <c:pt idx="3">
                  <c:v>2016</c:v>
                </c:pt>
                <c:pt idx="4">
                  <c:v>2017</c:v>
                </c:pt>
                <c:pt idx="5">
                  <c:v>2018</c:v>
                </c:pt>
              </c:numCache>
            </c:numRef>
          </c:cat>
          <c:val>
            <c:numRef>
              <c:f>Hoja1!$D$8:$D$14</c:f>
              <c:numCache>
                <c:formatCode>_(* #,##0.00_);_(* \(#,##0.00\);_(* "-"??_);_(@_)</c:formatCode>
                <c:ptCount val="6"/>
                <c:pt idx="0">
                  <c:v>17249.740000000002</c:v>
                </c:pt>
                <c:pt idx="1">
                  <c:v>19206.93</c:v>
                </c:pt>
                <c:pt idx="2">
                  <c:v>55884.480000000003</c:v>
                </c:pt>
                <c:pt idx="3">
                  <c:v>79150.5</c:v>
                </c:pt>
                <c:pt idx="4">
                  <c:v>93463.63</c:v>
                </c:pt>
                <c:pt idx="5">
                  <c:v>98136.79</c:v>
                </c:pt>
              </c:numCache>
            </c:numRef>
          </c:val>
          <c:extLst xmlns:c16r2="http://schemas.microsoft.com/office/drawing/2015/06/chart">
            <c:ext xmlns:c16="http://schemas.microsoft.com/office/drawing/2014/chart" uri="{C3380CC4-5D6E-409C-BE32-E72D297353CC}">
              <c16:uniqueId val="{00000000-F45C-4568-A2D4-F3A33E15121E}"/>
            </c:ext>
          </c:extLst>
        </c:ser>
        <c:dLbls>
          <c:showLegendKey val="0"/>
          <c:showVal val="1"/>
          <c:showCatName val="0"/>
          <c:showSerName val="0"/>
          <c:showPercent val="0"/>
          <c:showBubbleSize val="0"/>
        </c:dLbls>
        <c:gapWidth val="150"/>
        <c:overlap val="-25"/>
        <c:axId val="-835810576"/>
        <c:axId val="-835804592"/>
      </c:barChart>
      <c:catAx>
        <c:axId val="-83581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04592"/>
        <c:crosses val="autoZero"/>
        <c:auto val="1"/>
        <c:lblAlgn val="ctr"/>
        <c:lblOffset val="100"/>
        <c:noMultiLvlLbl val="0"/>
      </c:catAx>
      <c:valAx>
        <c:axId val="-835804592"/>
        <c:scaling>
          <c:orientation val="minMax"/>
        </c:scaling>
        <c:delete val="0"/>
        <c:axPos val="l"/>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Valores expresados en quintales</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_(* #,##0_);_(* \(#,##0\);_(* &quot;-&quot;_);_(@_)" sourceLinked="0"/>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105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Hoja1!$J$7</c:f>
              <c:strCache>
                <c:ptCount val="1"/>
                <c:pt idx="0">
                  <c:v>Hortalizas</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Hoja1!$A$8:$A$14</c:f>
              <c:numCache>
                <c:formatCode>General</c:formatCode>
                <c:ptCount val="6"/>
                <c:pt idx="0">
                  <c:v>2013</c:v>
                </c:pt>
                <c:pt idx="1">
                  <c:v>2014</c:v>
                </c:pt>
                <c:pt idx="2">
                  <c:v>2015</c:v>
                </c:pt>
                <c:pt idx="3">
                  <c:v>2016</c:v>
                </c:pt>
                <c:pt idx="4">
                  <c:v>2017</c:v>
                </c:pt>
                <c:pt idx="5">
                  <c:v>2018</c:v>
                </c:pt>
              </c:numCache>
            </c:numRef>
          </c:cat>
          <c:val>
            <c:numRef>
              <c:f>Hoja1!$J$8:$J$14</c:f>
              <c:numCache>
                <c:formatCode>_(* #,##0.00_);_(* \(#,##0.00\);_(* "-"??_);_(@_)</c:formatCode>
                <c:ptCount val="6"/>
                <c:pt idx="0">
                  <c:v>29649.57</c:v>
                </c:pt>
                <c:pt idx="1">
                  <c:v>33013.660000000003</c:v>
                </c:pt>
                <c:pt idx="2">
                  <c:v>96056.51</c:v>
                </c:pt>
                <c:pt idx="3">
                  <c:v>136047.1</c:v>
                </c:pt>
                <c:pt idx="4">
                  <c:v>160649.06</c:v>
                </c:pt>
                <c:pt idx="5">
                  <c:v>168681.51</c:v>
                </c:pt>
              </c:numCache>
            </c:numRef>
          </c:val>
          <c:extLst xmlns:c16r2="http://schemas.microsoft.com/office/drawing/2015/06/chart">
            <c:ext xmlns:c16="http://schemas.microsoft.com/office/drawing/2014/chart" uri="{C3380CC4-5D6E-409C-BE32-E72D297353CC}">
              <c16:uniqueId val="{00000000-2494-4F1F-8D21-1A2105E733CC}"/>
            </c:ext>
          </c:extLst>
        </c:ser>
        <c:dLbls>
          <c:showLegendKey val="0"/>
          <c:showVal val="1"/>
          <c:showCatName val="0"/>
          <c:showSerName val="0"/>
          <c:showPercent val="0"/>
          <c:showBubbleSize val="0"/>
        </c:dLbls>
        <c:gapWidth val="150"/>
        <c:overlap val="-25"/>
        <c:axId val="-835813840"/>
        <c:axId val="-835808944"/>
      </c:barChart>
      <c:catAx>
        <c:axId val="-835813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08944"/>
        <c:crosses val="autoZero"/>
        <c:auto val="1"/>
        <c:lblAlgn val="ctr"/>
        <c:lblOffset val="100"/>
        <c:noMultiLvlLbl val="0"/>
      </c:catAx>
      <c:valAx>
        <c:axId val="-835808944"/>
        <c:scaling>
          <c:orientation val="minMax"/>
        </c:scaling>
        <c:delete val="0"/>
        <c:axPos val="l"/>
        <c:numFmt formatCode="_(* #,##0.00_);_(* \(#,##0.00\);_(* &quot;-&quot;??_);_(@_)"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138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91997850662368"/>
          <c:y val="4.2479380826530251E-2"/>
          <c:w val="0.84502052892994672"/>
          <c:h val="0.8472659259368106"/>
        </c:manualLayout>
      </c:layout>
      <c:barChart>
        <c:barDir val="col"/>
        <c:grouping val="clustered"/>
        <c:varyColors val="0"/>
        <c:ser>
          <c:idx val="0"/>
          <c:order val="0"/>
          <c:tx>
            <c:strRef>
              <c:f>Hoja1!$K$7</c:f>
              <c:strCache>
                <c:ptCount val="1"/>
                <c:pt idx="0">
                  <c:v>papas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Hoja1!$A$8:$A$15</c:f>
              <c:numCache>
                <c:formatCode>General</c:formatCode>
                <c:ptCount val="6"/>
                <c:pt idx="0">
                  <c:v>2013</c:v>
                </c:pt>
                <c:pt idx="1">
                  <c:v>2014</c:v>
                </c:pt>
                <c:pt idx="2">
                  <c:v>2015</c:v>
                </c:pt>
                <c:pt idx="3">
                  <c:v>2016</c:v>
                </c:pt>
                <c:pt idx="4">
                  <c:v>2017</c:v>
                </c:pt>
                <c:pt idx="5">
                  <c:v>2018</c:v>
                </c:pt>
              </c:numCache>
            </c:numRef>
          </c:cat>
          <c:val>
            <c:numRef>
              <c:f>Hoja1!$K$8:$K$15</c:f>
              <c:numCache>
                <c:formatCode>_(* #,##0.00_);_(* \(#,##0.00\);_(* "-"??_);_(@_)</c:formatCode>
                <c:ptCount val="6"/>
                <c:pt idx="0">
                  <c:v>1124.98</c:v>
                </c:pt>
                <c:pt idx="1">
                  <c:v>1252.6300000000001</c:v>
                </c:pt>
                <c:pt idx="2">
                  <c:v>3644.64</c:v>
                </c:pt>
                <c:pt idx="3">
                  <c:v>5161.99</c:v>
                </c:pt>
                <c:pt idx="4">
                  <c:v>6095.45</c:v>
                </c:pt>
                <c:pt idx="5">
                  <c:v>6400.22</c:v>
                </c:pt>
              </c:numCache>
            </c:numRef>
          </c:val>
          <c:extLst xmlns:c16r2="http://schemas.microsoft.com/office/drawing/2015/06/chart">
            <c:ext xmlns:c16="http://schemas.microsoft.com/office/drawing/2014/chart" uri="{C3380CC4-5D6E-409C-BE32-E72D297353CC}">
              <c16:uniqueId val="{00000000-7A78-4918-9BDA-87EE96C532CC}"/>
            </c:ext>
          </c:extLst>
        </c:ser>
        <c:ser>
          <c:idx val="1"/>
          <c:order val="1"/>
          <c:tx>
            <c:strRef>
              <c:f>Hoja1!$L$7</c:f>
              <c:strCache>
                <c:ptCount val="1"/>
                <c:pt idx="0">
                  <c:v>yautias</c:v>
                </c:pt>
              </c:strCache>
            </c:strRef>
          </c:tx>
          <c:spPr>
            <a:solidFill>
              <a:srgbClr val="00B05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Hoja1!$A$8:$A$15</c:f>
              <c:numCache>
                <c:formatCode>General</c:formatCode>
                <c:ptCount val="6"/>
                <c:pt idx="0">
                  <c:v>2013</c:v>
                </c:pt>
                <c:pt idx="1">
                  <c:v>2014</c:v>
                </c:pt>
                <c:pt idx="2">
                  <c:v>2015</c:v>
                </c:pt>
                <c:pt idx="3">
                  <c:v>2016</c:v>
                </c:pt>
                <c:pt idx="4">
                  <c:v>2017</c:v>
                </c:pt>
                <c:pt idx="5">
                  <c:v>2018</c:v>
                </c:pt>
              </c:numCache>
            </c:numRef>
          </c:cat>
          <c:val>
            <c:numRef>
              <c:f>Hoja1!$L$8:$L$15</c:f>
              <c:numCache>
                <c:formatCode>_(* #,##0.00_);_(* \(#,##0.00\);_(* "-"??_);_(@_)</c:formatCode>
                <c:ptCount val="6"/>
                <c:pt idx="0">
                  <c:v>0</c:v>
                </c:pt>
                <c:pt idx="1">
                  <c:v>556.72</c:v>
                </c:pt>
                <c:pt idx="2">
                  <c:v>1619.84</c:v>
                </c:pt>
                <c:pt idx="3">
                  <c:v>2294.2199999999998</c:v>
                </c:pt>
                <c:pt idx="4">
                  <c:v>2709.09</c:v>
                </c:pt>
                <c:pt idx="5">
                  <c:v>2844.54</c:v>
                </c:pt>
              </c:numCache>
            </c:numRef>
          </c:val>
          <c:extLst xmlns:c16r2="http://schemas.microsoft.com/office/drawing/2015/06/chart">
            <c:ext xmlns:c16="http://schemas.microsoft.com/office/drawing/2014/chart" uri="{C3380CC4-5D6E-409C-BE32-E72D297353CC}">
              <c16:uniqueId val="{00000001-7A78-4918-9BDA-87EE96C532CC}"/>
            </c:ext>
          </c:extLst>
        </c:ser>
        <c:dLbls>
          <c:showLegendKey val="0"/>
          <c:showVal val="1"/>
          <c:showCatName val="0"/>
          <c:showSerName val="0"/>
          <c:showPercent val="0"/>
          <c:showBubbleSize val="0"/>
        </c:dLbls>
        <c:gapWidth val="150"/>
        <c:overlap val="-25"/>
        <c:axId val="-835817104"/>
        <c:axId val="-835820912"/>
      </c:barChart>
      <c:catAx>
        <c:axId val="-835817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20912"/>
        <c:crosses val="autoZero"/>
        <c:auto val="1"/>
        <c:lblAlgn val="ctr"/>
        <c:lblOffset val="100"/>
        <c:noMultiLvlLbl val="0"/>
      </c:catAx>
      <c:valAx>
        <c:axId val="-835820912"/>
        <c:scaling>
          <c:orientation val="minMax"/>
        </c:scaling>
        <c:delete val="0"/>
        <c:axPos val="l"/>
        <c:numFmt formatCode="_(* #,##0.00_);_(* \(#,##0.00\);_(* &quot;-&quot;??_);_(@_)"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17104"/>
        <c:crosses val="autoZero"/>
        <c:crossBetween val="between"/>
      </c:valAx>
      <c:spPr>
        <a:noFill/>
        <a:ln>
          <a:noFill/>
        </a:ln>
        <a:effectLst/>
      </c:spPr>
    </c:plotArea>
    <c:legend>
      <c:legendPos val="b"/>
      <c:layout>
        <c:manualLayout>
          <c:xMode val="edge"/>
          <c:yMode val="edge"/>
          <c:x val="0.17001656781091343"/>
          <c:y val="7.7637473376241356E-2"/>
          <c:w val="0.20502356004712011"/>
          <c:h val="8.2026392169977161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lt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50936936111272"/>
          <c:y val="4.9965932318873495E-2"/>
          <c:w val="0.85433338895666477"/>
          <c:h val="0.85820190600181334"/>
        </c:manualLayout>
      </c:layout>
      <c:barChart>
        <c:barDir val="col"/>
        <c:grouping val="clustered"/>
        <c:varyColors val="0"/>
        <c:ser>
          <c:idx val="0"/>
          <c:order val="0"/>
          <c:tx>
            <c:strRef>
              <c:f>Hoja1!$B$7</c:f>
              <c:strCache>
                <c:ptCount val="1"/>
                <c:pt idx="0">
                  <c:v>guineos</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Hoja1!$A$8:$A$15</c:f>
              <c:numCache>
                <c:formatCode>General</c:formatCode>
                <c:ptCount val="6"/>
                <c:pt idx="0">
                  <c:v>2013</c:v>
                </c:pt>
                <c:pt idx="1">
                  <c:v>2014</c:v>
                </c:pt>
                <c:pt idx="2">
                  <c:v>2015</c:v>
                </c:pt>
                <c:pt idx="3">
                  <c:v>2016</c:v>
                </c:pt>
                <c:pt idx="4">
                  <c:v>2017</c:v>
                </c:pt>
                <c:pt idx="5">
                  <c:v>2018</c:v>
                </c:pt>
              </c:numCache>
            </c:numRef>
          </c:cat>
          <c:val>
            <c:numRef>
              <c:f>Hoja1!$B$8:$B$15</c:f>
              <c:numCache>
                <c:formatCode>_(* #,##0_);_(* \(#,##0\);_(* "-"??_);_(@_)</c:formatCode>
                <c:ptCount val="6"/>
                <c:pt idx="0">
                  <c:v>199997</c:v>
                </c:pt>
                <c:pt idx="1">
                  <c:v>222689</c:v>
                </c:pt>
                <c:pt idx="2">
                  <c:v>647936</c:v>
                </c:pt>
                <c:pt idx="3">
                  <c:v>917687</c:v>
                </c:pt>
                <c:pt idx="4">
                  <c:v>1083636</c:v>
                </c:pt>
                <c:pt idx="5">
                  <c:v>1137817</c:v>
                </c:pt>
              </c:numCache>
            </c:numRef>
          </c:val>
          <c:extLst xmlns:c16r2="http://schemas.microsoft.com/office/drawing/2015/06/chart">
            <c:ext xmlns:c16="http://schemas.microsoft.com/office/drawing/2014/chart" uri="{C3380CC4-5D6E-409C-BE32-E72D297353CC}">
              <c16:uniqueId val="{00000000-8C25-4C7A-A373-E9B74AD5EED1}"/>
            </c:ext>
          </c:extLst>
        </c:ser>
        <c:ser>
          <c:idx val="1"/>
          <c:order val="1"/>
          <c:tx>
            <c:strRef>
              <c:f>Hoja1!$C$7</c:f>
              <c:strCache>
                <c:ptCount val="1"/>
                <c:pt idx="0">
                  <c:v>platanos</c:v>
                </c:pt>
              </c:strCache>
            </c:strRef>
          </c:tx>
          <c:spPr>
            <a:solidFill>
              <a:srgbClr val="00B05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Hoja1!$A$8:$A$15</c:f>
              <c:numCache>
                <c:formatCode>General</c:formatCode>
                <c:ptCount val="6"/>
                <c:pt idx="0">
                  <c:v>2013</c:v>
                </c:pt>
                <c:pt idx="1">
                  <c:v>2014</c:v>
                </c:pt>
                <c:pt idx="2">
                  <c:v>2015</c:v>
                </c:pt>
                <c:pt idx="3">
                  <c:v>2016</c:v>
                </c:pt>
                <c:pt idx="4">
                  <c:v>2017</c:v>
                </c:pt>
                <c:pt idx="5">
                  <c:v>2018</c:v>
                </c:pt>
              </c:numCache>
            </c:numRef>
          </c:cat>
          <c:val>
            <c:numRef>
              <c:f>Hoja1!$C$8:$C$15</c:f>
              <c:numCache>
                <c:formatCode>_(* #,##0_);_(* \(#,##0\);_(* "-"??_);_(@_)</c:formatCode>
                <c:ptCount val="6"/>
                <c:pt idx="0">
                  <c:v>199997</c:v>
                </c:pt>
                <c:pt idx="1">
                  <c:v>222689</c:v>
                </c:pt>
                <c:pt idx="2">
                  <c:v>647936</c:v>
                </c:pt>
                <c:pt idx="3">
                  <c:v>917687</c:v>
                </c:pt>
                <c:pt idx="4">
                  <c:v>1083636</c:v>
                </c:pt>
                <c:pt idx="5">
                  <c:v>1137817</c:v>
                </c:pt>
              </c:numCache>
            </c:numRef>
          </c:val>
          <c:extLst xmlns:c16r2="http://schemas.microsoft.com/office/drawing/2015/06/chart">
            <c:ext xmlns:c16="http://schemas.microsoft.com/office/drawing/2014/chart" uri="{C3380CC4-5D6E-409C-BE32-E72D297353CC}">
              <c16:uniqueId val="{00000001-8C25-4C7A-A373-E9B74AD5EED1}"/>
            </c:ext>
          </c:extLst>
        </c:ser>
        <c:dLbls>
          <c:showLegendKey val="0"/>
          <c:showVal val="1"/>
          <c:showCatName val="0"/>
          <c:showSerName val="0"/>
          <c:showPercent val="0"/>
          <c:showBubbleSize val="0"/>
        </c:dLbls>
        <c:gapWidth val="150"/>
        <c:overlap val="-25"/>
        <c:axId val="-835804048"/>
        <c:axId val="-835820368"/>
      </c:barChart>
      <c:catAx>
        <c:axId val="-835804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20368"/>
        <c:crosses val="autoZero"/>
        <c:auto val="1"/>
        <c:lblAlgn val="ctr"/>
        <c:lblOffset val="100"/>
        <c:noMultiLvlLbl val="0"/>
      </c:catAx>
      <c:valAx>
        <c:axId val="-835820368"/>
        <c:scaling>
          <c:orientation val="minMax"/>
        </c:scaling>
        <c:delete val="0"/>
        <c:axPos val="l"/>
        <c:numFmt formatCode="_(* #,##0_);_(* \(#,##0\);_(* &quot;-&quot;??_);_(@_)"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04048"/>
        <c:crosses val="autoZero"/>
        <c:crossBetween val="between"/>
      </c:valAx>
      <c:spPr>
        <a:noFill/>
        <a:ln>
          <a:noFill/>
        </a:ln>
        <a:effectLst/>
      </c:spPr>
    </c:plotArea>
    <c:legend>
      <c:legendPos val="b"/>
      <c:layout>
        <c:manualLayout>
          <c:xMode val="edge"/>
          <c:yMode val="edge"/>
          <c:x val="0.19952342621276881"/>
          <c:y val="8.7553403996201581E-2"/>
          <c:w val="0.21004488197622492"/>
          <c:h val="7.6652819033550854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lt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216424033952275E-2"/>
          <c:y val="4.9440708323476731E-2"/>
          <c:w val="0.94188226471691039"/>
          <c:h val="0.92079504423122416"/>
        </c:manualLayout>
      </c:layout>
      <c:pieChart>
        <c:varyColors val="1"/>
        <c:ser>
          <c:idx val="0"/>
          <c:order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Hoja1!$E$7:$I$7</c:f>
              <c:strCache>
                <c:ptCount val="5"/>
                <c:pt idx="0">
                  <c:v> habichuela roja</c:v>
                </c:pt>
                <c:pt idx="1">
                  <c:v>guandules</c:v>
                </c:pt>
                <c:pt idx="2">
                  <c:v>habichuela negra</c:v>
                </c:pt>
                <c:pt idx="3">
                  <c:v>habichuela blanca</c:v>
                </c:pt>
                <c:pt idx="4">
                  <c:v>habichuela pinta</c:v>
                </c:pt>
              </c:strCache>
            </c:strRef>
          </c:cat>
          <c:val>
            <c:numRef>
              <c:f>Hoja1!$E$8:$I$8</c:f>
            </c:numRef>
          </c:val>
          <c:extLst xmlns:c16r2="http://schemas.microsoft.com/office/drawing/2015/06/chart">
            <c:ext xmlns:c16="http://schemas.microsoft.com/office/drawing/2014/chart" uri="{C3380CC4-5D6E-409C-BE32-E72D297353CC}">
              <c16:uniqueId val="{00000000-B6D3-4820-9955-E65D1A31F4D3}"/>
            </c:ext>
          </c:extLst>
        </c:ser>
        <c:ser>
          <c:idx val="1"/>
          <c:order val="1"/>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2-B6D3-4820-9955-E65D1A31F4D3}"/>
              </c:ext>
            </c:extLst>
          </c:dPt>
          <c:dPt>
            <c:idx val="1"/>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4-B6D3-4820-9955-E65D1A31F4D3}"/>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6-B6D3-4820-9955-E65D1A31F4D3}"/>
              </c:ext>
            </c:extLst>
          </c:dPt>
          <c:dPt>
            <c:idx val="3"/>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8-B6D3-4820-9955-E65D1A31F4D3}"/>
              </c:ext>
            </c:extLst>
          </c:dPt>
          <c:dPt>
            <c:idx val="4"/>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A-B6D3-4820-9955-E65D1A31F4D3}"/>
              </c:ext>
            </c:extLst>
          </c:dPt>
          <c:dLbls>
            <c:dLbl>
              <c:idx val="0"/>
              <c:layout>
                <c:manualLayout>
                  <c:x val="-9.7470233777989204E-2"/>
                  <c:y val="0.1232556644705126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6D3-4820-9955-E65D1A31F4D3}"/>
                </c:ext>
                <c:ext xmlns:c15="http://schemas.microsoft.com/office/drawing/2012/chart" uri="{CE6537A1-D6FC-4f65-9D91-7224C49458BB}"/>
              </c:extLst>
            </c:dLbl>
            <c:dLbl>
              <c:idx val="2"/>
              <c:layout>
                <c:manualLayout>
                  <c:x val="2.6113984902200845E-2"/>
                  <c:y val="1.973592586640955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B6D3-4820-9955-E65D1A31F4D3}"/>
                </c:ext>
                <c:ext xmlns:c15="http://schemas.microsoft.com/office/drawing/2012/chart" uri="{CE6537A1-D6FC-4f65-9D91-7224C49458BB}"/>
              </c:extLst>
            </c:dLbl>
            <c:spPr>
              <a:noFill/>
              <a:ln>
                <a:noFill/>
              </a:ln>
              <a:effectLst/>
            </c:spPr>
            <c:txPr>
              <a:bodyPr rot="60000" spcFirstLastPara="1" vertOverflow="ellipsis" wrap="square" lIns="0" tIns="0" rIns="0" bIns="0"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pPr xmlns:c15="http://schemas.microsoft.com/office/drawing/2012/chart">
                  <a:prstGeom prst="rect">
                    <a:avLst/>
                  </a:prstGeom>
                </c15:spPr>
              </c:ext>
            </c:extLst>
          </c:dLbls>
          <c:cat>
            <c:strRef>
              <c:f>Hoja1!$E$7:$I$7</c:f>
              <c:strCache>
                <c:ptCount val="5"/>
                <c:pt idx="0">
                  <c:v> habichuela roja</c:v>
                </c:pt>
                <c:pt idx="1">
                  <c:v>guandules</c:v>
                </c:pt>
                <c:pt idx="2">
                  <c:v>habichuela negra</c:v>
                </c:pt>
                <c:pt idx="3">
                  <c:v>habichuela blanca</c:v>
                </c:pt>
                <c:pt idx="4">
                  <c:v>habichuela pinta</c:v>
                </c:pt>
              </c:strCache>
            </c:strRef>
          </c:cat>
          <c:val>
            <c:numRef>
              <c:f>Hoja1!$E$9:$I$9</c:f>
              <c:numCache>
                <c:formatCode>_(* #,##0.00_);_(* \(#,##0.00\);_(* "-"??_);_(@_)</c:formatCode>
                <c:ptCount val="5"/>
                <c:pt idx="0">
                  <c:v>1312.48</c:v>
                </c:pt>
                <c:pt idx="1">
                  <c:v>2724.96</c:v>
                </c:pt>
                <c:pt idx="2">
                  <c:v>1312.48</c:v>
                </c:pt>
                <c:pt idx="3">
                  <c:v>62.5</c:v>
                </c:pt>
                <c:pt idx="4">
                  <c:v>749.99</c:v>
                </c:pt>
              </c:numCache>
            </c:numRef>
          </c:val>
          <c:extLst xmlns:c16r2="http://schemas.microsoft.com/office/drawing/2015/06/chart">
            <c:ext xmlns:c16="http://schemas.microsoft.com/office/drawing/2014/chart" uri="{C3380CC4-5D6E-409C-BE32-E72D297353CC}">
              <c16:uniqueId val="{0000000B-B6D3-4820-9955-E65D1A31F4D3}"/>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8217967440391522E-2"/>
          <c:y val="5.1291754490910356E-2"/>
          <c:w val="0.97098950221212066"/>
          <c:h val="0.92350061230934333"/>
        </c:manualLayout>
      </c:layout>
      <c:pieChart>
        <c:varyColors val="1"/>
        <c:ser>
          <c:idx val="0"/>
          <c:order val="0"/>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A94C-4858-9EA2-D22222644A9C}"/>
              </c:ext>
            </c:extLst>
          </c:dPt>
          <c:dPt>
            <c:idx val="1"/>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3-A94C-4858-9EA2-D22222644A9C}"/>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A94C-4858-9EA2-D22222644A9C}"/>
              </c:ext>
            </c:extLst>
          </c:dPt>
          <c:dPt>
            <c:idx val="3"/>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7-A94C-4858-9EA2-D22222644A9C}"/>
              </c:ext>
            </c:extLst>
          </c:dPt>
          <c:dPt>
            <c:idx val="4"/>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9-A94C-4858-9EA2-D22222644A9C}"/>
              </c:ext>
            </c:extLst>
          </c:dPt>
          <c:dLbls>
            <c:dLbl>
              <c:idx val="0"/>
              <c:layout>
                <c:manualLayout>
                  <c:x val="-0.10553046831028816"/>
                  <c:y val="0.1215549841984037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94C-4858-9EA2-D22222644A9C}"/>
                </c:ext>
                <c:ext xmlns:c15="http://schemas.microsoft.com/office/drawing/2012/chart" uri="{CE6537A1-D6FC-4f65-9D91-7224C49458BB}"/>
              </c:extLst>
            </c:dLbl>
            <c:dLbl>
              <c:idx val="2"/>
              <c:layout>
                <c:manualLayout>
                  <c:x val="6.295911351200803E-2"/>
                  <c:y val="1.80368525362900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94C-4858-9EA2-D22222644A9C}"/>
                </c:ext>
                <c:ext xmlns:c15="http://schemas.microsoft.com/office/drawing/2012/chart" uri="{CE6537A1-D6FC-4f65-9D91-7224C49458BB}"/>
              </c:extLst>
            </c:dLbl>
            <c:spPr>
              <a:noFill/>
              <a:ln>
                <a:noFill/>
              </a:ln>
              <a:effectLst/>
            </c:spPr>
            <c:txPr>
              <a:bodyPr rot="60000" spcFirstLastPara="1" vertOverflow="ellipsis" wrap="square" lIns="0" tIns="0" rIns="0" bIns="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pPr xmlns:c15="http://schemas.microsoft.com/office/drawing/2012/chart">
                  <a:prstGeom prst="rect">
                    <a:avLst/>
                  </a:prstGeom>
                </c15:spPr>
              </c:ext>
            </c:extLst>
          </c:dLbls>
          <c:cat>
            <c:strRef>
              <c:f>Hoja1!$E$7:$I$7</c:f>
              <c:strCache>
                <c:ptCount val="5"/>
                <c:pt idx="0">
                  <c:v> habichuela roja</c:v>
                </c:pt>
                <c:pt idx="1">
                  <c:v>guandules</c:v>
                </c:pt>
                <c:pt idx="2">
                  <c:v>habichuela negra</c:v>
                </c:pt>
                <c:pt idx="3">
                  <c:v>habichuela blanca</c:v>
                </c:pt>
                <c:pt idx="4">
                  <c:v>habichuela pinta</c:v>
                </c:pt>
              </c:strCache>
            </c:strRef>
          </c:cat>
          <c:val>
            <c:numRef>
              <c:f>Hoja1!$E$10:$I$10</c:f>
              <c:numCache>
                <c:formatCode>_(* #,##0.00_);_(* \(#,##0.00\);_(* "-"??_);_(@_)</c:formatCode>
                <c:ptCount val="5"/>
                <c:pt idx="0">
                  <c:v>1461.4</c:v>
                </c:pt>
                <c:pt idx="1">
                  <c:v>3034.14</c:v>
                </c:pt>
                <c:pt idx="2">
                  <c:v>1461.4</c:v>
                </c:pt>
                <c:pt idx="3">
                  <c:v>69.59</c:v>
                </c:pt>
                <c:pt idx="4">
                  <c:v>835.08</c:v>
                </c:pt>
              </c:numCache>
            </c:numRef>
          </c:val>
          <c:extLst xmlns:c16r2="http://schemas.microsoft.com/office/drawing/2015/06/chart">
            <c:ext xmlns:c16="http://schemas.microsoft.com/office/drawing/2014/chart" uri="{C3380CC4-5D6E-409C-BE32-E72D297353CC}">
              <c16:uniqueId val="{0000000A-A94C-4858-9EA2-D22222644A9C}"/>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443159913380869E-2"/>
          <c:y val="4.1914076143904994E-2"/>
          <c:w val="0.94300005284574329"/>
          <c:h val="0.93859359524595576"/>
        </c:manualLayout>
      </c:layout>
      <c:pieChart>
        <c:varyColors val="1"/>
        <c:ser>
          <c:idx val="0"/>
          <c:order val="0"/>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24AC-4284-AE3A-58B61959FB0B}"/>
              </c:ext>
            </c:extLst>
          </c:dPt>
          <c:dPt>
            <c:idx val="1"/>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3-24AC-4284-AE3A-58B61959FB0B}"/>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24AC-4284-AE3A-58B61959FB0B}"/>
              </c:ext>
            </c:extLst>
          </c:dPt>
          <c:dPt>
            <c:idx val="3"/>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7-24AC-4284-AE3A-58B61959FB0B}"/>
              </c:ext>
            </c:extLst>
          </c:dPt>
          <c:dPt>
            <c:idx val="4"/>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9-24AC-4284-AE3A-58B61959FB0B}"/>
              </c:ext>
            </c:extLst>
          </c:dPt>
          <c:dLbls>
            <c:dLbl>
              <c:idx val="0"/>
              <c:layout>
                <c:manualLayout>
                  <c:x val="-9.9773054316102228E-2"/>
                  <c:y val="9.94461406609888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4AC-4284-AE3A-58B61959FB0B}"/>
                </c:ext>
                <c:ext xmlns:c15="http://schemas.microsoft.com/office/drawing/2012/chart" uri="{CE6537A1-D6FC-4f65-9D91-7224C49458BB}"/>
              </c:extLst>
            </c:dLbl>
            <c:dLbl>
              <c:idx val="2"/>
              <c:layout>
                <c:manualLayout>
                  <c:x val="1.6902702749749046E-2"/>
                  <c:y val="4.52472012427017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4AC-4284-AE3A-58B61959FB0B}"/>
                </c:ext>
                <c:ext xmlns:c15="http://schemas.microsoft.com/office/drawing/2012/chart" uri="{CE6537A1-D6FC-4f65-9D91-7224C49458BB}"/>
              </c:extLst>
            </c:dLbl>
            <c:spPr>
              <a:noFill/>
              <a:ln>
                <a:noFill/>
              </a:ln>
              <a:effectLst/>
            </c:spPr>
            <c:txPr>
              <a:bodyPr rot="60000" spcFirstLastPara="1" vertOverflow="ellipsis" wrap="none" lIns="0" tIns="0" rIns="0" bIns="0"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pPr xmlns:c15="http://schemas.microsoft.com/office/drawing/2012/chart">
                  <a:prstGeom prst="rect">
                    <a:avLst/>
                  </a:prstGeom>
                </c15:spPr>
              </c:ext>
            </c:extLst>
          </c:dLbls>
          <c:cat>
            <c:strRef>
              <c:f>Hoja1!$E$7:$I$7</c:f>
              <c:strCache>
                <c:ptCount val="5"/>
                <c:pt idx="0">
                  <c:v> habichuela roja</c:v>
                </c:pt>
                <c:pt idx="1">
                  <c:v>habichuela verde</c:v>
                </c:pt>
                <c:pt idx="2">
                  <c:v>habichuela negra</c:v>
                </c:pt>
                <c:pt idx="3">
                  <c:v>habichuela blanca</c:v>
                </c:pt>
                <c:pt idx="4">
                  <c:v>habichuela pinta</c:v>
                </c:pt>
              </c:strCache>
            </c:strRef>
          </c:cat>
          <c:val>
            <c:numRef>
              <c:f>Hoja1!$E$11:$I$11</c:f>
              <c:numCache>
                <c:formatCode>_(* #,##0.00_);_(* \(#,##0.00\);_(* "-"??_);_(@_)</c:formatCode>
                <c:ptCount val="5"/>
                <c:pt idx="0">
                  <c:v>4252.08</c:v>
                </c:pt>
                <c:pt idx="1">
                  <c:v>8828.1299999999992</c:v>
                </c:pt>
                <c:pt idx="2">
                  <c:v>4252.08</c:v>
                </c:pt>
                <c:pt idx="3">
                  <c:v>202.48</c:v>
                </c:pt>
                <c:pt idx="4">
                  <c:v>2429.7600000000002</c:v>
                </c:pt>
              </c:numCache>
            </c:numRef>
          </c:val>
          <c:extLst xmlns:c16r2="http://schemas.microsoft.com/office/drawing/2015/06/chart">
            <c:ext xmlns:c16="http://schemas.microsoft.com/office/drawing/2014/chart" uri="{C3380CC4-5D6E-409C-BE32-E72D297353CC}">
              <c16:uniqueId val="{0000000A-24AC-4284-AE3A-58B61959FB0B}"/>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a:pPr>
      <a:endParaRPr lang="es-DO"/>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914701207592673E-2"/>
          <c:y val="2.3814891006492055E-2"/>
          <c:w val="0.93584125650187"/>
          <c:h val="0.94619070739481959"/>
        </c:manualLayout>
      </c:layout>
      <c:pieChart>
        <c:varyColors val="1"/>
        <c:ser>
          <c:idx val="0"/>
          <c:order val="0"/>
          <c:spPr>
            <a:ln>
              <a:solidFill>
                <a:schemeClr val="bg1"/>
              </a:solidFill>
            </a:ln>
          </c:spPr>
          <c:dPt>
            <c:idx val="0"/>
            <c:bubble3D val="0"/>
            <c:spPr>
              <a:solidFill>
                <a:schemeClr val="accent2"/>
              </a:solidFill>
              <a:ln w="19050">
                <a:solidFill>
                  <a:schemeClr val="bg1"/>
                </a:solidFill>
              </a:ln>
              <a:effectLst/>
            </c:spPr>
            <c:extLst xmlns:c16r2="http://schemas.microsoft.com/office/drawing/2015/06/chart">
              <c:ext xmlns:c16="http://schemas.microsoft.com/office/drawing/2014/chart" uri="{C3380CC4-5D6E-409C-BE32-E72D297353CC}">
                <c16:uniqueId val="{00000001-BD13-42FD-8470-0EFB6A36A5F8}"/>
              </c:ext>
            </c:extLst>
          </c:dPt>
          <c:dPt>
            <c:idx val="1"/>
            <c:bubble3D val="0"/>
            <c:spPr>
              <a:solidFill>
                <a:srgbClr val="FFC000"/>
              </a:solidFill>
              <a:ln w="19050">
                <a:solidFill>
                  <a:schemeClr val="bg1"/>
                </a:solidFill>
              </a:ln>
              <a:effectLst/>
            </c:spPr>
            <c:extLst xmlns:c16r2="http://schemas.microsoft.com/office/drawing/2015/06/chart">
              <c:ext xmlns:c16="http://schemas.microsoft.com/office/drawing/2014/chart" uri="{C3380CC4-5D6E-409C-BE32-E72D297353CC}">
                <c16:uniqueId val="{00000003-BD13-42FD-8470-0EFB6A36A5F8}"/>
              </c:ext>
            </c:extLst>
          </c:dPt>
          <c:dPt>
            <c:idx val="2"/>
            <c:bubble3D val="0"/>
            <c:spPr>
              <a:solidFill>
                <a:schemeClr val="accent6"/>
              </a:solidFill>
              <a:ln w="19050">
                <a:solidFill>
                  <a:schemeClr val="bg1"/>
                </a:solidFill>
              </a:ln>
              <a:effectLst/>
            </c:spPr>
            <c:extLst xmlns:c16r2="http://schemas.microsoft.com/office/drawing/2015/06/chart">
              <c:ext xmlns:c16="http://schemas.microsoft.com/office/drawing/2014/chart" uri="{C3380CC4-5D6E-409C-BE32-E72D297353CC}">
                <c16:uniqueId val="{00000005-BD13-42FD-8470-0EFB6A36A5F8}"/>
              </c:ext>
            </c:extLst>
          </c:dPt>
          <c:dPt>
            <c:idx val="3"/>
            <c:bubble3D val="0"/>
            <c:spPr>
              <a:solidFill>
                <a:srgbClr val="7030A0"/>
              </a:solidFill>
              <a:ln w="19050">
                <a:solidFill>
                  <a:schemeClr val="bg1"/>
                </a:solidFill>
              </a:ln>
              <a:effectLst/>
            </c:spPr>
            <c:extLst xmlns:c16r2="http://schemas.microsoft.com/office/drawing/2015/06/chart">
              <c:ext xmlns:c16="http://schemas.microsoft.com/office/drawing/2014/chart" uri="{C3380CC4-5D6E-409C-BE32-E72D297353CC}">
                <c16:uniqueId val="{00000007-BD13-42FD-8470-0EFB6A36A5F8}"/>
              </c:ext>
            </c:extLst>
          </c:dPt>
          <c:dPt>
            <c:idx val="4"/>
            <c:bubble3D val="0"/>
            <c:spPr>
              <a:solidFill>
                <a:schemeClr val="accent1"/>
              </a:solidFill>
              <a:ln w="19050">
                <a:solidFill>
                  <a:schemeClr val="bg1"/>
                </a:solidFill>
              </a:ln>
              <a:effectLst/>
            </c:spPr>
            <c:extLst xmlns:c16r2="http://schemas.microsoft.com/office/drawing/2015/06/chart">
              <c:ext xmlns:c16="http://schemas.microsoft.com/office/drawing/2014/chart" uri="{C3380CC4-5D6E-409C-BE32-E72D297353CC}">
                <c16:uniqueId val="{00000009-BD13-42FD-8470-0EFB6A36A5F8}"/>
              </c:ext>
            </c:extLst>
          </c:dPt>
          <c:dLbls>
            <c:dLbl>
              <c:idx val="0"/>
              <c:layout>
                <c:manualLayout>
                  <c:x val="-0.10437869539232809"/>
                  <c:y val="0.1113509025657507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D13-42FD-8470-0EFB6A36A5F8}"/>
                </c:ext>
                <c:ext xmlns:c15="http://schemas.microsoft.com/office/drawing/2012/chart" uri="{CE6537A1-D6FC-4f65-9D91-7224C49458BB}"/>
              </c:extLst>
            </c:dLbl>
            <c:dLbl>
              <c:idx val="1"/>
              <c:layout>
                <c:manualLayout>
                  <c:x val="-7.6505681983022225E-2"/>
                  <c:y val="-0.2195918367346938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D13-42FD-8470-0EFB6A36A5F8}"/>
                </c:ext>
                <c:ext xmlns:c15="http://schemas.microsoft.com/office/drawing/2012/chart" uri="{CE6537A1-D6FC-4f65-9D91-7224C49458BB}"/>
              </c:extLst>
            </c:dLbl>
            <c:dLbl>
              <c:idx val="2"/>
              <c:layout>
                <c:manualLayout>
                  <c:x val="2.6113984902200845E-2"/>
                  <c:y val="1.29332047779741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D13-42FD-8470-0EFB6A36A5F8}"/>
                </c:ext>
                <c:ext xmlns:c15="http://schemas.microsoft.com/office/drawing/2012/chart" uri="{CE6537A1-D6FC-4f65-9D91-7224C49458BB}"/>
              </c:extLst>
            </c:dLbl>
            <c:spPr>
              <a:noFill/>
              <a:ln>
                <a:noFill/>
              </a:ln>
              <a:effectLst/>
            </c:spPr>
            <c:txPr>
              <a:bodyPr rot="60000" spcFirstLastPara="1" vertOverflow="ellipsis" wrap="square" lIns="0" tIns="0" rIns="0" bIns="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pPr xmlns:c15="http://schemas.microsoft.com/office/drawing/2012/chart">
                  <a:prstGeom prst="rect">
                    <a:avLst/>
                  </a:prstGeom>
                </c15:spPr>
              </c:ext>
            </c:extLst>
          </c:dLbls>
          <c:cat>
            <c:strRef>
              <c:f>Hoja1!$E$7:$I$7</c:f>
              <c:strCache>
                <c:ptCount val="5"/>
                <c:pt idx="0">
                  <c:v> habichuela roja</c:v>
                </c:pt>
                <c:pt idx="1">
                  <c:v>habichuela verde</c:v>
                </c:pt>
                <c:pt idx="2">
                  <c:v>habichuela negra</c:v>
                </c:pt>
                <c:pt idx="3">
                  <c:v>habichuela blanca</c:v>
                </c:pt>
                <c:pt idx="4">
                  <c:v>habichuela pinta</c:v>
                </c:pt>
              </c:strCache>
            </c:strRef>
          </c:cat>
          <c:val>
            <c:numRef>
              <c:f>Hoja1!$E$12:$I$12</c:f>
              <c:numCache>
                <c:formatCode>_(* #,##0.00_);_(* \(#,##0.00\);_(* "-"??_);_(@_)</c:formatCode>
                <c:ptCount val="5"/>
                <c:pt idx="0">
                  <c:v>6022.32</c:v>
                </c:pt>
                <c:pt idx="1">
                  <c:v>12503.49</c:v>
                </c:pt>
                <c:pt idx="2">
                  <c:v>6022.32</c:v>
                </c:pt>
                <c:pt idx="3">
                  <c:v>286.77999999999997</c:v>
                </c:pt>
                <c:pt idx="4">
                  <c:v>3441.33</c:v>
                </c:pt>
              </c:numCache>
            </c:numRef>
          </c:val>
          <c:extLst xmlns:c16r2="http://schemas.microsoft.com/office/drawing/2015/06/chart">
            <c:ext xmlns:c16="http://schemas.microsoft.com/office/drawing/2014/chart" uri="{C3380CC4-5D6E-409C-BE32-E72D297353CC}">
              <c16:uniqueId val="{0000000A-BD13-42FD-8470-0EFB6A36A5F8}"/>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5106847466373"/>
          <c:y val="4.589410317070574E-2"/>
          <c:w val="0.83148931525336267"/>
          <c:h val="0.86488323415347323"/>
        </c:manualLayout>
      </c:layout>
      <c:barChart>
        <c:barDir val="col"/>
        <c:grouping val="clustered"/>
        <c:varyColors val="0"/>
        <c:ser>
          <c:idx val="0"/>
          <c:order val="0"/>
          <c:tx>
            <c:strRef>
              <c:f>'Chart Producción'!$D$6</c:f>
              <c:strCache>
                <c:ptCount val="1"/>
                <c:pt idx="0">
                  <c:v>Tareas Mecanizadas </c:v>
                </c:pt>
              </c:strCache>
            </c:strRef>
          </c:tx>
          <c:spPr>
            <a:solidFill>
              <a:srgbClr val="00B050"/>
            </a:solidFill>
            <a:ln>
              <a:noFill/>
            </a:ln>
            <a:effectLst/>
          </c:spPr>
          <c:invertIfNegative val="0"/>
          <c:dPt>
            <c:idx val="0"/>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1-65F6-498E-9127-846B57F63BC5}"/>
              </c:ext>
            </c:extLst>
          </c:dPt>
          <c:dPt>
            <c:idx val="1"/>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3-65F6-498E-9127-846B57F63BC5}"/>
              </c:ext>
            </c:extLst>
          </c:dPt>
          <c:dPt>
            <c:idx val="3"/>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5-65F6-498E-9127-846B57F63BC5}"/>
              </c:ext>
            </c:extLst>
          </c:dPt>
          <c:dPt>
            <c:idx val="4"/>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7-65F6-498E-9127-846B57F63BC5}"/>
              </c:ext>
            </c:extLst>
          </c:dPt>
          <c:dPt>
            <c:idx val="5"/>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9-65F6-498E-9127-846B57F63BC5}"/>
              </c:ext>
            </c:extLst>
          </c:dPt>
          <c:dLbls>
            <c:dLbl>
              <c:idx val="0"/>
              <c:layout>
                <c:manualLayout>
                  <c:x val="2.5559414065526691E-3"/>
                  <c:y val="1.85769337381252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5F6-498E-9127-846B57F63BC5}"/>
                </c:ext>
                <c:ext xmlns:c15="http://schemas.microsoft.com/office/drawing/2012/chart" uri="{CE6537A1-D6FC-4f65-9D91-7224C49458BB}"/>
              </c:extLst>
            </c:dLbl>
            <c:dLbl>
              <c:idx val="1"/>
              <c:layout>
                <c:manualLayout>
                  <c:x val="0"/>
                  <c:y val="1.857010213556174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5F6-498E-9127-846B57F63BC5}"/>
                </c:ext>
                <c:ext xmlns:c15="http://schemas.microsoft.com/office/drawing/2012/chart" uri="{CE6537A1-D6FC-4f65-9D91-7224C49458BB}"/>
              </c:extLst>
            </c:dLbl>
            <c:dLbl>
              <c:idx val="2"/>
              <c:layout>
                <c:manualLayout>
                  <c:x val="0"/>
                  <c:y val="1.3932700303593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5F6-498E-9127-846B57F63BC5}"/>
                </c:ext>
                <c:ext xmlns:c15="http://schemas.microsoft.com/office/drawing/2012/chart" uri="{CE6537A1-D6FC-4f65-9D91-7224C49458BB}"/>
              </c:extLst>
            </c:dLbl>
            <c:dLbl>
              <c:idx val="3"/>
              <c:layout>
                <c:manualLayout>
                  <c:x val="-9.3716768949486246E-17"/>
                  <c:y val="1.85769337381252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5F6-498E-9127-846B57F63BC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'Chart Producción'!$G$3:$O$3</c:f>
              <c:numCache>
                <c:formatCode>General</c:formatCode>
                <c:ptCount val="8"/>
                <c:pt idx="0">
                  <c:v>2012</c:v>
                </c:pt>
                <c:pt idx="1">
                  <c:v>2013</c:v>
                </c:pt>
                <c:pt idx="2">
                  <c:v>2014</c:v>
                </c:pt>
                <c:pt idx="3">
                  <c:v>2015</c:v>
                </c:pt>
                <c:pt idx="4">
                  <c:v>2016</c:v>
                </c:pt>
                <c:pt idx="5">
                  <c:v>2017</c:v>
                </c:pt>
                <c:pt idx="6">
                  <c:v>2018</c:v>
                </c:pt>
                <c:pt idx="7">
                  <c:v>2019</c:v>
                </c:pt>
              </c:numCache>
            </c:numRef>
          </c:cat>
          <c:val>
            <c:numRef>
              <c:f>'Chart Producción'!$G$6:$O$6</c:f>
              <c:numCache>
                <c:formatCode>#,##0</c:formatCode>
                <c:ptCount val="8"/>
                <c:pt idx="0">
                  <c:v>431586</c:v>
                </c:pt>
                <c:pt idx="1">
                  <c:v>837822</c:v>
                </c:pt>
                <c:pt idx="2">
                  <c:v>814011</c:v>
                </c:pt>
                <c:pt idx="3">
                  <c:v>508903</c:v>
                </c:pt>
                <c:pt idx="4">
                  <c:v>659172</c:v>
                </c:pt>
                <c:pt idx="5">
                  <c:v>778845</c:v>
                </c:pt>
                <c:pt idx="6">
                  <c:v>804107</c:v>
                </c:pt>
                <c:pt idx="7">
                  <c:v>1007279</c:v>
                </c:pt>
              </c:numCache>
            </c:numRef>
          </c:val>
          <c:extLst xmlns:c16r2="http://schemas.microsoft.com/office/drawing/2015/06/chart">
            <c:ext xmlns:c16="http://schemas.microsoft.com/office/drawing/2014/chart" uri="{C3380CC4-5D6E-409C-BE32-E72D297353CC}">
              <c16:uniqueId val="{0000000B-65F6-498E-9127-846B57F63BC5}"/>
            </c:ext>
          </c:extLst>
        </c:ser>
        <c:dLbls>
          <c:showLegendKey val="0"/>
          <c:showVal val="0"/>
          <c:showCatName val="0"/>
          <c:showSerName val="0"/>
          <c:showPercent val="0"/>
          <c:showBubbleSize val="0"/>
        </c:dLbls>
        <c:gapWidth val="100"/>
        <c:overlap val="-24"/>
        <c:axId val="-835773040"/>
        <c:axId val="-835772496"/>
      </c:barChart>
      <c:catAx>
        <c:axId val="-835773040"/>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72496"/>
        <c:crosses val="autoZero"/>
        <c:auto val="1"/>
        <c:lblAlgn val="ctr"/>
        <c:lblOffset val="100"/>
        <c:noMultiLvlLbl val="0"/>
      </c:catAx>
      <c:valAx>
        <c:axId val="-83577249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b="1"/>
                  <a:t>Tareas Mecanizadas</a:t>
                </a:r>
              </a:p>
            </c:rich>
          </c:tx>
          <c:layout>
            <c:manualLayout>
              <c:xMode val="edge"/>
              <c:yMode val="edge"/>
              <c:x val="1.360979215972294E-2"/>
              <c:y val="0.29045315268719224"/>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73040"/>
        <c:crosses val="autoZero"/>
        <c:crossBetween val="between"/>
        <c:majorUnit val="400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b="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57970995876739E-2"/>
          <c:y val="3.5806410084625317E-2"/>
          <c:w val="0.9143152946012254"/>
          <c:h val="0.93506051983742278"/>
        </c:manualLayout>
      </c:layout>
      <c:pieChart>
        <c:varyColors val="1"/>
        <c:ser>
          <c:idx val="0"/>
          <c:order val="0"/>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082C-45A9-8F14-6648676DD77C}"/>
              </c:ext>
            </c:extLst>
          </c:dPt>
          <c:dPt>
            <c:idx val="1"/>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3-082C-45A9-8F14-6648676DD77C}"/>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082C-45A9-8F14-6648676DD77C}"/>
              </c:ext>
            </c:extLst>
          </c:dPt>
          <c:dPt>
            <c:idx val="3"/>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7-082C-45A9-8F14-6648676DD77C}"/>
              </c:ext>
            </c:extLst>
          </c:dPt>
          <c:dPt>
            <c:idx val="4"/>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9-082C-45A9-8F14-6648676DD77C}"/>
              </c:ext>
            </c:extLst>
          </c:dPt>
          <c:dLbls>
            <c:dLbl>
              <c:idx val="0"/>
              <c:layout>
                <c:manualLayout>
                  <c:x val="-0.14122382400213529"/>
                  <c:y val="8.58406984841180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82C-45A9-8F14-6648676DD77C}"/>
                </c:ext>
                <c:ext xmlns:c15="http://schemas.microsoft.com/office/drawing/2012/chart" uri="{CE6537A1-D6FC-4f65-9D91-7224C49458BB}"/>
              </c:extLst>
            </c:dLbl>
            <c:dLbl>
              <c:idx val="1"/>
              <c:layout>
                <c:manualLayout>
                  <c:x val="-6.0385938216231581E-2"/>
                  <c:y val="-0.2127891156462584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82C-45A9-8F14-6648676DD77C}"/>
                </c:ext>
                <c:ext xmlns:c15="http://schemas.microsoft.com/office/drawing/2012/chart" uri="{CE6537A1-D6FC-4f65-9D91-7224C49458BB}"/>
              </c:extLst>
            </c:dLbl>
            <c:dLbl>
              <c:idx val="2"/>
              <c:layout>
                <c:manualLayout>
                  <c:x val="3.9930908130878538E-2"/>
                  <c:y val="-7.474958487331940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82C-45A9-8F14-6648676DD77C}"/>
                </c:ext>
                <c:ext xmlns:c15="http://schemas.microsoft.com/office/drawing/2012/chart" uri="{CE6537A1-D6FC-4f65-9D91-7224C49458BB}"/>
              </c:extLst>
            </c:dLbl>
            <c:dLbl>
              <c:idx val="3"/>
              <c:layout>
                <c:manualLayout>
                  <c:x val="2.4469820554649267E-2"/>
                  <c:y val="-1.15212325186078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82C-45A9-8F14-6648676DD77C}"/>
                </c:ext>
                <c:ext xmlns:c15="http://schemas.microsoft.com/office/drawing/2012/chart" uri="{CE6537A1-D6FC-4f65-9D91-7224C49458BB}"/>
              </c:extLst>
            </c:dLbl>
            <c:dLbl>
              <c:idx val="4"/>
              <c:layout>
                <c:manualLayout>
                  <c:x val="8.3038983306545675E-2"/>
                  <c:y val="5.902833574374631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82C-45A9-8F14-6648676DD77C}"/>
                </c:ext>
                <c:ext xmlns:c15="http://schemas.microsoft.com/office/drawing/2012/chart" uri="{CE6537A1-D6FC-4f65-9D91-7224C49458BB}"/>
              </c:extLst>
            </c:dLbl>
            <c:spPr>
              <a:noFill/>
              <a:ln>
                <a:noFill/>
              </a:ln>
              <a:effectLst/>
            </c:spPr>
            <c:txPr>
              <a:bodyPr rot="60000" spcFirstLastPara="1" vertOverflow="ellipsis" wrap="square" lIns="0" tIns="0" rIns="0" bIns="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pPr xmlns:c15="http://schemas.microsoft.com/office/drawing/2012/chart">
                  <a:prstGeom prst="rect">
                    <a:avLst/>
                  </a:prstGeom>
                </c15:spPr>
              </c:ext>
            </c:extLst>
          </c:dLbls>
          <c:cat>
            <c:strRef>
              <c:f>Hoja1!$E$7:$I$7</c:f>
              <c:strCache>
                <c:ptCount val="5"/>
                <c:pt idx="0">
                  <c:v> habichuela roja</c:v>
                </c:pt>
                <c:pt idx="1">
                  <c:v>habichuela verde</c:v>
                </c:pt>
                <c:pt idx="2">
                  <c:v>habichuela negra</c:v>
                </c:pt>
                <c:pt idx="3">
                  <c:v>habichuela blanca</c:v>
                </c:pt>
                <c:pt idx="4">
                  <c:v>habichuela pinta</c:v>
                </c:pt>
              </c:strCache>
            </c:strRef>
          </c:cat>
          <c:val>
            <c:numRef>
              <c:f>Hoja1!$E$13:$I$13</c:f>
              <c:numCache>
                <c:formatCode>_(* #,##0.00_);_(* \(#,##0.00\);_(* "-"??_);_(@_)</c:formatCode>
                <c:ptCount val="5"/>
                <c:pt idx="0">
                  <c:v>7111.36</c:v>
                </c:pt>
                <c:pt idx="1">
                  <c:v>14764.54</c:v>
                </c:pt>
                <c:pt idx="2">
                  <c:v>7111.36</c:v>
                </c:pt>
                <c:pt idx="3">
                  <c:v>338.64</c:v>
                </c:pt>
                <c:pt idx="4">
                  <c:v>4063.64</c:v>
                </c:pt>
              </c:numCache>
            </c:numRef>
          </c:val>
          <c:extLst xmlns:c16r2="http://schemas.microsoft.com/office/drawing/2015/06/chart">
            <c:ext xmlns:c16="http://schemas.microsoft.com/office/drawing/2014/chart" uri="{C3380CC4-5D6E-409C-BE32-E72D297353CC}">
              <c16:uniqueId val="{0000000A-082C-45A9-8F14-6648676DD77C}"/>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0743922861689846E-2"/>
          <c:y val="2.9133070077951975E-2"/>
          <c:w val="0.93209259509668296"/>
          <c:h val="0.94173385984409608"/>
        </c:manualLayout>
      </c:layout>
      <c:pieChart>
        <c:varyColors val="1"/>
        <c:ser>
          <c:idx val="0"/>
          <c:order val="0"/>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B53A-403D-86ED-9208AD368AB5}"/>
              </c:ext>
            </c:extLst>
          </c:dPt>
          <c:dPt>
            <c:idx val="1"/>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3-B53A-403D-86ED-9208AD368AB5}"/>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B53A-403D-86ED-9208AD368AB5}"/>
              </c:ext>
            </c:extLst>
          </c:dPt>
          <c:dPt>
            <c:idx val="3"/>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7-B53A-403D-86ED-9208AD368AB5}"/>
              </c:ext>
            </c:extLst>
          </c:dPt>
          <c:dPt>
            <c:idx val="4"/>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9-B53A-403D-86ED-9208AD368AB5}"/>
              </c:ext>
            </c:extLst>
          </c:dPt>
          <c:dLbls>
            <c:dLbl>
              <c:idx val="0"/>
              <c:layout>
                <c:manualLayout>
                  <c:x val="-0.10437869539232809"/>
                  <c:y val="0.114752798757298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53A-403D-86ED-9208AD368AB5}"/>
                </c:ext>
                <c:ext xmlns:c15="http://schemas.microsoft.com/office/drawing/2012/chart" uri="{CE6537A1-D6FC-4f65-9D91-7224C49458BB}"/>
              </c:extLst>
            </c:dLbl>
            <c:dLbl>
              <c:idx val="1"/>
              <c:layout>
                <c:manualLayout>
                  <c:x val="-6.9022240531962417E-2"/>
                  <c:y val="-0.2161904761904761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53A-403D-86ED-9208AD368AB5}"/>
                </c:ext>
                <c:ext xmlns:c15="http://schemas.microsoft.com/office/drawing/2012/chart" uri="{CE6537A1-D6FC-4f65-9D91-7224C49458BB}"/>
              </c:extLst>
            </c:dLbl>
            <c:dLbl>
              <c:idx val="2"/>
              <c:layout>
                <c:manualLayout>
                  <c:x val="3.0719625978426743E-2"/>
                  <c:y val="4.01414108950667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53A-403D-86ED-9208AD368AB5}"/>
                </c:ext>
                <c:ext xmlns:c15="http://schemas.microsoft.com/office/drawing/2012/chart" uri="{CE6537A1-D6FC-4f65-9D91-7224C49458BB}"/>
              </c:extLst>
            </c:dLbl>
            <c:spPr>
              <a:noFill/>
              <a:ln>
                <a:noFill/>
              </a:ln>
              <a:effectLst/>
            </c:spPr>
            <c:txPr>
              <a:bodyPr rot="60000" spcFirstLastPara="1" vertOverflow="ellipsis" wrap="square" lIns="0" tIns="0" rIns="0" bIns="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pPr xmlns:c15="http://schemas.microsoft.com/office/drawing/2012/chart">
                  <a:prstGeom prst="rect">
                    <a:avLst/>
                  </a:prstGeom>
                </c15:spPr>
              </c:ext>
            </c:extLst>
          </c:dLbls>
          <c:cat>
            <c:strRef>
              <c:f>Hoja1!$E$7:$I$7</c:f>
              <c:strCache>
                <c:ptCount val="5"/>
                <c:pt idx="0">
                  <c:v> habichuela roja</c:v>
                </c:pt>
                <c:pt idx="1">
                  <c:v>habichuela verde</c:v>
                </c:pt>
                <c:pt idx="2">
                  <c:v>habichuela negra</c:v>
                </c:pt>
                <c:pt idx="3">
                  <c:v>habichuela blanca</c:v>
                </c:pt>
                <c:pt idx="4">
                  <c:v>habichuela pinta</c:v>
                </c:pt>
              </c:strCache>
            </c:strRef>
          </c:cat>
          <c:val>
            <c:numRef>
              <c:f>Hoja1!$E$14:$I$14</c:f>
              <c:numCache>
                <c:formatCode>_(* #,##0.00_);_(* \(#,##0.00\);_(* "-"??_);_(@_)</c:formatCode>
                <c:ptCount val="5"/>
                <c:pt idx="0">
                  <c:v>7466.93</c:v>
                </c:pt>
                <c:pt idx="1">
                  <c:v>15502.77</c:v>
                </c:pt>
                <c:pt idx="2">
                  <c:v>7466.93</c:v>
                </c:pt>
                <c:pt idx="3">
                  <c:v>355.57</c:v>
                </c:pt>
                <c:pt idx="4">
                  <c:v>4266.82</c:v>
                </c:pt>
              </c:numCache>
            </c:numRef>
          </c:val>
          <c:extLst xmlns:c16r2="http://schemas.microsoft.com/office/drawing/2015/06/chart">
            <c:ext xmlns:c16="http://schemas.microsoft.com/office/drawing/2014/chart" uri="{C3380CC4-5D6E-409C-BE32-E72D297353CC}">
              <c16:uniqueId val="{0000000A-B53A-403D-86ED-9208AD368AB5}"/>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177606498976203E-2"/>
          <c:y val="6.6733371035802846E-3"/>
          <c:w val="0.89453124999999989"/>
          <c:h val="0.99332665999332659"/>
        </c:manualLayout>
      </c:layout>
      <c:pieChart>
        <c:varyColors val="1"/>
        <c:ser>
          <c:idx val="0"/>
          <c:order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Hoja1!$M$7:$O$7</c:f>
              <c:strCache>
                <c:ptCount val="3"/>
                <c:pt idx="0">
                  <c:v>Carne de cerdo</c:v>
                </c:pt>
                <c:pt idx="1">
                  <c:v>Carne de pollo</c:v>
                </c:pt>
                <c:pt idx="2">
                  <c:v>Carne de Res </c:v>
                </c:pt>
              </c:strCache>
            </c:strRef>
          </c:cat>
          <c:val>
            <c:numRef>
              <c:f>Hoja1!$M$8:$O$8</c:f>
            </c:numRef>
          </c:val>
          <c:extLst xmlns:c16r2="http://schemas.microsoft.com/office/drawing/2015/06/chart">
            <c:ext xmlns:c16="http://schemas.microsoft.com/office/drawing/2014/chart" uri="{C3380CC4-5D6E-409C-BE32-E72D297353CC}">
              <c16:uniqueId val="{00000000-E164-490A-97CA-01324037441F}"/>
            </c:ext>
          </c:extLst>
        </c:ser>
        <c:ser>
          <c:idx val="1"/>
          <c:order val="1"/>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2-E164-490A-97CA-01324037441F}"/>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4-E164-490A-97CA-01324037441F}"/>
              </c:ext>
            </c:extLst>
          </c:dPt>
          <c:dPt>
            <c:idx val="2"/>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6-E164-490A-97CA-01324037441F}"/>
              </c:ext>
            </c:extLst>
          </c:dPt>
          <c:dLbls>
            <c:dLbl>
              <c:idx val="0"/>
              <c:layout>
                <c:manualLayout>
                  <c:x val="-9.0483961348497718E-2"/>
                  <c:y val="0.1063136937656279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164-490A-97CA-01324037441F}"/>
                </c:ext>
                <c:ext xmlns:c15="http://schemas.microsoft.com/office/drawing/2012/chart" uri="{CE6537A1-D6FC-4f65-9D91-7224C49458BB}"/>
              </c:extLst>
            </c:dLbl>
            <c:spPr>
              <a:noFill/>
              <a:ln>
                <a:noFill/>
              </a:ln>
              <a:effectLst/>
            </c:spPr>
            <c:txPr>
              <a:bodyPr rot="60000" spcFirstLastPara="1" vertOverflow="ellipsis" wrap="square" lIns="0" tIns="0" rIns="0" bIns="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pPr xmlns:c15="http://schemas.microsoft.com/office/drawing/2012/chart">
                  <a:prstGeom prst="rect">
                    <a:avLst/>
                  </a:prstGeom>
                </c15:spPr>
              </c:ext>
            </c:extLst>
          </c:dLbls>
          <c:cat>
            <c:strRef>
              <c:f>Hoja1!$M$7:$O$7</c:f>
              <c:strCache>
                <c:ptCount val="3"/>
                <c:pt idx="0">
                  <c:v>Carne de cerdo</c:v>
                </c:pt>
                <c:pt idx="1">
                  <c:v>Carne de pollo</c:v>
                </c:pt>
                <c:pt idx="2">
                  <c:v>Carne de Res </c:v>
                </c:pt>
              </c:strCache>
            </c:strRef>
          </c:cat>
          <c:val>
            <c:numRef>
              <c:f>Hoja1!$M$9:$O$9</c:f>
              <c:numCache>
                <c:formatCode>_(* #,##0.00_);_(* \(#,##0.00\);_(* "-"??_);_(@_)</c:formatCode>
                <c:ptCount val="3"/>
                <c:pt idx="0">
                  <c:v>2624.95</c:v>
                </c:pt>
                <c:pt idx="1">
                  <c:v>6749.89</c:v>
                </c:pt>
                <c:pt idx="2">
                  <c:v>4499.93</c:v>
                </c:pt>
              </c:numCache>
            </c:numRef>
          </c:val>
          <c:extLst xmlns:c16r2="http://schemas.microsoft.com/office/drawing/2015/06/chart">
            <c:ext xmlns:c16="http://schemas.microsoft.com/office/drawing/2014/chart" uri="{C3380CC4-5D6E-409C-BE32-E72D297353CC}">
              <c16:uniqueId val="{00000007-E164-490A-97CA-01324037441F}"/>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517875363379103E-2"/>
          <c:y val="6.0625755113943979E-3"/>
          <c:w val="0.86118966944535358"/>
          <c:h val="0.99393742448860556"/>
        </c:manualLayout>
      </c:layout>
      <c:pieChart>
        <c:varyColors val="1"/>
        <c:ser>
          <c:idx val="0"/>
          <c:order val="0"/>
          <c:spPr>
            <a:ln>
              <a:solidFill>
                <a:schemeClr val="bg1"/>
              </a:solidFill>
            </a:ln>
          </c:spPr>
          <c:dPt>
            <c:idx val="0"/>
            <c:bubble3D val="0"/>
            <c:spPr>
              <a:solidFill>
                <a:schemeClr val="accent6"/>
              </a:solidFill>
              <a:ln w="19050">
                <a:solidFill>
                  <a:schemeClr val="bg1"/>
                </a:solidFill>
              </a:ln>
              <a:effectLst/>
            </c:spPr>
            <c:extLst xmlns:c16r2="http://schemas.microsoft.com/office/drawing/2015/06/chart">
              <c:ext xmlns:c16="http://schemas.microsoft.com/office/drawing/2014/chart" uri="{C3380CC4-5D6E-409C-BE32-E72D297353CC}">
                <c16:uniqueId val="{00000001-3E11-4C2F-AA68-6973C4C4AE89}"/>
              </c:ext>
            </c:extLst>
          </c:dPt>
          <c:dPt>
            <c:idx val="1"/>
            <c:bubble3D val="0"/>
            <c:spPr>
              <a:solidFill>
                <a:schemeClr val="accent5"/>
              </a:solidFill>
              <a:ln w="19050">
                <a:solidFill>
                  <a:schemeClr val="bg1"/>
                </a:solidFill>
              </a:ln>
              <a:effectLst/>
            </c:spPr>
            <c:extLst xmlns:c16r2="http://schemas.microsoft.com/office/drawing/2015/06/chart">
              <c:ext xmlns:c16="http://schemas.microsoft.com/office/drawing/2014/chart" uri="{C3380CC4-5D6E-409C-BE32-E72D297353CC}">
                <c16:uniqueId val="{00000003-3E11-4C2F-AA68-6973C4C4AE89}"/>
              </c:ext>
            </c:extLst>
          </c:dPt>
          <c:dPt>
            <c:idx val="2"/>
            <c:bubble3D val="0"/>
            <c:spPr>
              <a:solidFill>
                <a:schemeClr val="accent4"/>
              </a:solidFill>
              <a:ln w="19050">
                <a:solidFill>
                  <a:schemeClr val="bg1"/>
                </a:solidFill>
              </a:ln>
              <a:effectLst/>
            </c:spPr>
            <c:extLst xmlns:c16r2="http://schemas.microsoft.com/office/drawing/2015/06/chart">
              <c:ext xmlns:c16="http://schemas.microsoft.com/office/drawing/2014/chart" uri="{C3380CC4-5D6E-409C-BE32-E72D297353CC}">
                <c16:uniqueId val="{00000005-3E11-4C2F-AA68-6973C4C4AE89}"/>
              </c:ext>
            </c:extLst>
          </c:dPt>
          <c:dLbls>
            <c:dLbl>
              <c:idx val="0"/>
              <c:layout>
                <c:manualLayout>
                  <c:x val="-7.2107459019329051E-2"/>
                  <c:y val="0.1129845979281796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E11-4C2F-AA68-6973C4C4AE89}"/>
                </c:ext>
                <c:ext xmlns:c15="http://schemas.microsoft.com/office/drawing/2012/chart" uri="{CE6537A1-D6FC-4f65-9D91-7224C49458BB}"/>
              </c:extLst>
            </c:dLbl>
            <c:spPr>
              <a:noFill/>
              <a:ln>
                <a:noFill/>
              </a:ln>
              <a:effectLst/>
            </c:spPr>
            <c:txPr>
              <a:bodyPr rot="60000" spcFirstLastPara="1" vertOverflow="ellipsis" wrap="square" lIns="0" tIns="0" rIns="0" bIns="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pPr xmlns:c15="http://schemas.microsoft.com/office/drawing/2012/chart">
                  <a:prstGeom prst="rect">
                    <a:avLst/>
                  </a:prstGeom>
                </c15:spPr>
              </c:ext>
            </c:extLst>
          </c:dLbls>
          <c:cat>
            <c:strRef>
              <c:f>Hoja1!$M$7:$O$7</c:f>
              <c:strCache>
                <c:ptCount val="3"/>
                <c:pt idx="0">
                  <c:v>Carne de cerdo</c:v>
                </c:pt>
                <c:pt idx="1">
                  <c:v>Carne de pollo</c:v>
                </c:pt>
                <c:pt idx="2">
                  <c:v>Carne de Res </c:v>
                </c:pt>
              </c:strCache>
            </c:strRef>
          </c:cat>
          <c:val>
            <c:numRef>
              <c:f>Hoja1!$M$10:$O$10</c:f>
              <c:numCache>
                <c:formatCode>_(* #,##0.00_);_(* \(#,##0.00\);_(* "-"??_);_(@_)</c:formatCode>
                <c:ptCount val="3"/>
                <c:pt idx="0">
                  <c:v>2922.8</c:v>
                </c:pt>
                <c:pt idx="1">
                  <c:v>7515.75</c:v>
                </c:pt>
                <c:pt idx="2">
                  <c:v>5010.5</c:v>
                </c:pt>
              </c:numCache>
            </c:numRef>
          </c:val>
          <c:extLst xmlns:c16r2="http://schemas.microsoft.com/office/drawing/2015/06/chart">
            <c:ext xmlns:c16="http://schemas.microsoft.com/office/drawing/2014/chart" uri="{C3380CC4-5D6E-409C-BE32-E72D297353CC}">
              <c16:uniqueId val="{00000006-3E11-4C2F-AA68-6973C4C4AE89}"/>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953374103182366E-2"/>
          <c:y val="0"/>
          <c:w val="0.90405818446919972"/>
          <c:h val="0.9973340288985616"/>
        </c:manualLayout>
      </c:layout>
      <c:pieChart>
        <c:varyColors val="1"/>
        <c:ser>
          <c:idx val="0"/>
          <c:order val="0"/>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F842-40DE-9D98-E717803FDD4F}"/>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F842-40DE-9D98-E717803FDD4F}"/>
              </c:ext>
            </c:extLst>
          </c:dPt>
          <c:dPt>
            <c:idx val="2"/>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5-F842-40DE-9D98-E717803FDD4F}"/>
              </c:ext>
            </c:extLst>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842-40DE-9D98-E717803FDD4F}"/>
                </c:ext>
                <c:ext xmlns:c15="http://schemas.microsoft.com/office/drawing/2012/chart" uri="{CE6537A1-D6FC-4f65-9D91-7224C49458BB}"/>
              </c:extLst>
            </c:dLbl>
            <c:dLbl>
              <c:idx val="1"/>
              <c:layout>
                <c:manualLayout>
                  <c:x val="-6.0037818015541776E-2"/>
                  <c:y val="-0.3190676272076634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842-40DE-9D98-E717803FDD4F}"/>
                </c:ext>
                <c:ext xmlns:c15="http://schemas.microsoft.com/office/drawing/2012/chart" uri="{CE6537A1-D6FC-4f65-9D91-7224C49458BB}"/>
              </c:extLst>
            </c:dLbl>
            <c:dLbl>
              <c:idx val="2"/>
              <c:layout>
                <c:manualLayout>
                  <c:x val="7.6529569426663113E-2"/>
                  <c:y val="-1.092801159883171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842-40DE-9D98-E717803FDD4F}"/>
                </c:ext>
                <c:ext xmlns:c15="http://schemas.microsoft.com/office/drawing/2012/chart" uri="{CE6537A1-D6FC-4f65-9D91-7224C49458BB}"/>
              </c:extLst>
            </c:dLbl>
            <c:spPr>
              <a:noFill/>
              <a:ln>
                <a:noFill/>
              </a:ln>
              <a:effectLst/>
            </c:spPr>
            <c:txPr>
              <a:bodyPr rot="60000" spcFirstLastPara="1" vertOverflow="ellipsis" wrap="square" lIns="0" tIns="0" rIns="0" bIns="0"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pPr xmlns:c15="http://schemas.microsoft.com/office/drawing/2012/chart">
                  <a:prstGeom prst="rect">
                    <a:avLst/>
                  </a:prstGeom>
                </c15:spPr>
              </c:ext>
            </c:extLst>
          </c:dLbls>
          <c:cat>
            <c:strRef>
              <c:f>Hoja1!$M$7:$O$7</c:f>
              <c:strCache>
                <c:ptCount val="3"/>
                <c:pt idx="0">
                  <c:v>Carne de cerdo</c:v>
                </c:pt>
                <c:pt idx="1">
                  <c:v>Carne de pollo</c:v>
                </c:pt>
                <c:pt idx="2">
                  <c:v>Carne de Res </c:v>
                </c:pt>
              </c:strCache>
            </c:strRef>
          </c:cat>
          <c:val>
            <c:numRef>
              <c:f>Hoja1!$M$11:$O$11</c:f>
              <c:numCache>
                <c:formatCode>_(* #,##0.00_);_(* \(#,##0.00\);_(* "-"??_);_(@_)</c:formatCode>
                <c:ptCount val="3"/>
                <c:pt idx="0">
                  <c:v>8504.16</c:v>
                </c:pt>
                <c:pt idx="1">
                  <c:v>21867.84</c:v>
                </c:pt>
                <c:pt idx="2">
                  <c:v>21867.84</c:v>
                </c:pt>
              </c:numCache>
            </c:numRef>
          </c:val>
          <c:extLst xmlns:c16r2="http://schemas.microsoft.com/office/drawing/2015/06/chart">
            <c:ext xmlns:c16="http://schemas.microsoft.com/office/drawing/2014/chart" uri="{C3380CC4-5D6E-409C-BE32-E72D297353CC}">
              <c16:uniqueId val="{00000006-F842-40DE-9D98-E717803FDD4F}"/>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a:pPr>
      <a:endParaRPr lang="es-DO"/>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364318242700239E-2"/>
          <c:y val="2.2264477190524917E-2"/>
          <c:w val="0.76212161800160727"/>
          <c:h val="0.97773552280947507"/>
        </c:manualLayout>
      </c:layout>
      <c:pieChart>
        <c:varyColors val="1"/>
        <c:ser>
          <c:idx val="0"/>
          <c:order val="0"/>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87C0-444F-82DA-BCFF89C1A3CD}"/>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87C0-444F-82DA-BCFF89C1A3CD}"/>
              </c:ext>
            </c:extLst>
          </c:dPt>
          <c:dPt>
            <c:idx val="2"/>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5-87C0-444F-82DA-BCFF89C1A3CD}"/>
              </c:ext>
            </c:extLst>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7C0-444F-82DA-BCFF89C1A3CD}"/>
                </c:ext>
                <c:ext xmlns:c15="http://schemas.microsoft.com/office/drawing/2012/chart" uri="{CE6537A1-D6FC-4f65-9D91-7224C49458BB}"/>
              </c:extLst>
            </c:dLbl>
            <c:dLbl>
              <c:idx val="1"/>
              <c:layout>
                <c:manualLayout>
                  <c:x val="-8.8516729968009883E-2"/>
                  <c:y val="-0.202964320985060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7C0-444F-82DA-BCFF89C1A3CD}"/>
                </c:ext>
                <c:ext xmlns:c15="http://schemas.microsoft.com/office/drawing/2012/chart" uri="{CE6537A1-D6FC-4f65-9D91-7224C49458BB}"/>
              </c:extLst>
            </c:dLbl>
            <c:dLbl>
              <c:idx val="2"/>
              <c:layout>
                <c:manualLayout>
                  <c:x val="5.3558037124166742E-2"/>
                  <c:y val="4.48136202223109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7C0-444F-82DA-BCFF89C1A3CD}"/>
                </c:ext>
                <c:ext xmlns:c15="http://schemas.microsoft.com/office/drawing/2012/chart" uri="{CE6537A1-D6FC-4f65-9D91-7224C49458BB}"/>
              </c:extLst>
            </c:dLbl>
            <c:spPr>
              <a:noFill/>
              <a:ln>
                <a:noFill/>
              </a:ln>
              <a:effectLst/>
            </c:spPr>
            <c:txPr>
              <a:bodyPr rot="60000" spcFirstLastPara="1" vertOverflow="ellipsis" wrap="square" lIns="0" tIns="0" rIns="0" bIns="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pPr xmlns:c15="http://schemas.microsoft.com/office/drawing/2012/chart">
                  <a:prstGeom prst="rect">
                    <a:avLst/>
                  </a:prstGeom>
                </c15:spPr>
              </c:ext>
            </c:extLst>
          </c:dLbls>
          <c:cat>
            <c:strRef>
              <c:f>Hoja1!$M$7:$O$7</c:f>
              <c:strCache>
                <c:ptCount val="3"/>
                <c:pt idx="0">
                  <c:v>Carne de cerdo</c:v>
                </c:pt>
                <c:pt idx="1">
                  <c:v>Carne de pollo</c:v>
                </c:pt>
                <c:pt idx="2">
                  <c:v>Carne de Res </c:v>
                </c:pt>
              </c:strCache>
            </c:strRef>
          </c:cat>
          <c:val>
            <c:numRef>
              <c:f>Hoja1!$M$12:$O$12</c:f>
              <c:numCache>
                <c:formatCode>_(* #,##0.00_);_(* \(#,##0.00\);_(* "-"??_);_(@_)</c:formatCode>
                <c:ptCount val="3"/>
                <c:pt idx="0">
                  <c:v>12044.64</c:v>
                </c:pt>
                <c:pt idx="1">
                  <c:v>30971.93</c:v>
                </c:pt>
                <c:pt idx="2">
                  <c:v>20647.96</c:v>
                </c:pt>
              </c:numCache>
            </c:numRef>
          </c:val>
          <c:extLst xmlns:c16r2="http://schemas.microsoft.com/office/drawing/2015/06/chart">
            <c:ext xmlns:c16="http://schemas.microsoft.com/office/drawing/2014/chart" uri="{C3380CC4-5D6E-409C-BE32-E72D297353CC}">
              <c16:uniqueId val="{00000006-87C0-444F-82DA-BCFF89C1A3CD}"/>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394944053046"/>
          <c:y val="0"/>
          <c:w val="0.76763157894736844"/>
          <c:h val="0.97330663997330669"/>
        </c:manualLayout>
      </c:layout>
      <c:pieChart>
        <c:varyColors val="1"/>
        <c:ser>
          <c:idx val="0"/>
          <c:order val="0"/>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CA95-4F88-86FB-3BA24759D380}"/>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CA95-4F88-86FB-3BA24759D380}"/>
              </c:ext>
            </c:extLst>
          </c:dPt>
          <c:dPt>
            <c:idx val="2"/>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5-CA95-4F88-86FB-3BA24759D380}"/>
              </c:ext>
            </c:extLst>
          </c:dPt>
          <c:dLbls>
            <c:dLbl>
              <c:idx val="1"/>
              <c:dLblPos val="in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A95-4F88-86FB-3BA24759D380}"/>
                </c:ext>
                <c:ext xmlns:c15="http://schemas.microsoft.com/office/drawing/2012/chart" uri="{CE6537A1-D6FC-4f65-9D91-7224C49458BB}"/>
              </c:extLst>
            </c:dLbl>
            <c:spPr>
              <a:noFill/>
              <a:ln>
                <a:noFill/>
              </a:ln>
              <a:effectLst/>
            </c:spPr>
            <c:txPr>
              <a:bodyPr rot="60000" spcFirstLastPara="1" vertOverflow="ellipsis" wrap="none" lIns="0" tIns="0" rIns="0" bIns="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pPr xmlns:c15="http://schemas.microsoft.com/office/drawing/2012/chart">
                  <a:prstGeom prst="rect">
                    <a:avLst/>
                  </a:prstGeom>
                </c15:spPr>
              </c:ext>
            </c:extLst>
          </c:dLbls>
          <c:cat>
            <c:strRef>
              <c:f>Hoja1!$M$7:$O$7</c:f>
              <c:strCache>
                <c:ptCount val="3"/>
                <c:pt idx="0">
                  <c:v>Carne de cerdo</c:v>
                </c:pt>
                <c:pt idx="1">
                  <c:v>Carne de pollo</c:v>
                </c:pt>
                <c:pt idx="2">
                  <c:v>Carne de Res </c:v>
                </c:pt>
              </c:strCache>
            </c:strRef>
          </c:cat>
          <c:val>
            <c:numRef>
              <c:f>Hoja1!$M$13:$O$13</c:f>
              <c:numCache>
                <c:formatCode>_(* #,##0.00_);_(* \(#,##0.00\);_(* "-"??_);_(@_)</c:formatCode>
                <c:ptCount val="3"/>
                <c:pt idx="0">
                  <c:v>14222.72</c:v>
                </c:pt>
                <c:pt idx="1">
                  <c:v>36572.720000000001</c:v>
                </c:pt>
                <c:pt idx="2">
                  <c:v>24381.81</c:v>
                </c:pt>
              </c:numCache>
            </c:numRef>
          </c:val>
          <c:extLst xmlns:c16r2="http://schemas.microsoft.com/office/drawing/2015/06/chart">
            <c:ext xmlns:c16="http://schemas.microsoft.com/office/drawing/2014/chart" uri="{C3380CC4-5D6E-409C-BE32-E72D297353CC}">
              <c16:uniqueId val="{00000006-CA95-4F88-86FB-3BA24759D380}"/>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882537867962269E-2"/>
          <c:y val="6.6733400066733397E-3"/>
          <c:w val="0.83366676193198053"/>
          <c:h val="0.97330663997330669"/>
        </c:manualLayout>
      </c:layout>
      <c:pieChart>
        <c:varyColors val="1"/>
        <c:ser>
          <c:idx val="0"/>
          <c:order val="0"/>
          <c:dPt>
            <c:idx val="0"/>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1-2738-46BC-A4AB-5E2E48E89E14}"/>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2738-46BC-A4AB-5E2E48E89E14}"/>
              </c:ext>
            </c:extLst>
          </c:dPt>
          <c:dPt>
            <c:idx val="2"/>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5-2738-46BC-A4AB-5E2E48E89E14}"/>
              </c:ext>
            </c:extLst>
          </c:dPt>
          <c:dLbls>
            <c:spPr>
              <a:noFill/>
              <a:ln>
                <a:noFill/>
              </a:ln>
              <a:effectLst/>
            </c:spPr>
            <c:txPr>
              <a:bodyPr rot="60000" spcFirstLastPara="1" vertOverflow="ellipsis" wrap="square" lIns="0" tIns="0" rIns="0" bIns="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pPr xmlns:c15="http://schemas.microsoft.com/office/drawing/2012/chart">
                  <a:prstGeom prst="rect">
                    <a:avLst/>
                  </a:prstGeom>
                </c15:spPr>
              </c:ext>
            </c:extLst>
          </c:dLbls>
          <c:cat>
            <c:strRef>
              <c:f>Hoja1!$M$7:$O$7</c:f>
              <c:strCache>
                <c:ptCount val="3"/>
                <c:pt idx="0">
                  <c:v>Carne de cerdo</c:v>
                </c:pt>
                <c:pt idx="1">
                  <c:v>Carne de pollo</c:v>
                </c:pt>
                <c:pt idx="2">
                  <c:v>Carne de Res </c:v>
                </c:pt>
              </c:strCache>
            </c:strRef>
          </c:cat>
          <c:val>
            <c:numRef>
              <c:f>Hoja1!$M$14:$O$14</c:f>
              <c:numCache>
                <c:formatCode>_(* #,##0.00_);_(* \(#,##0.00\);_(* "-"??_);_(@_)</c:formatCode>
                <c:ptCount val="3"/>
                <c:pt idx="0">
                  <c:v>14933.86</c:v>
                </c:pt>
                <c:pt idx="1">
                  <c:v>38401.360000000001</c:v>
                </c:pt>
                <c:pt idx="2">
                  <c:v>26600.9</c:v>
                </c:pt>
              </c:numCache>
            </c:numRef>
          </c:val>
          <c:extLst xmlns:c16r2="http://schemas.microsoft.com/office/drawing/2015/06/chart">
            <c:ext xmlns:c16="http://schemas.microsoft.com/office/drawing/2014/chart" uri="{C3380CC4-5D6E-409C-BE32-E72D297353CC}">
              <c16:uniqueId val="{00000006-2738-46BC-A4AB-5E2E48E89E14}"/>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80358705161855"/>
          <c:y val="5.0925925925925923E-2"/>
          <c:w val="0.85242760279964991"/>
          <c:h val="0.86082604114564265"/>
        </c:manualLayout>
      </c:layout>
      <c:barChart>
        <c:barDir val="col"/>
        <c:grouping val="clustered"/>
        <c:varyColors val="0"/>
        <c:ser>
          <c:idx val="0"/>
          <c:order val="0"/>
          <c:tx>
            <c:strRef>
              <c:f>AGRODOSA!$C$2</c:f>
              <c:strCache>
                <c:ptCount val="1"/>
                <c:pt idx="0">
                  <c:v>Meta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AGRODOSA!$B$3:$B$6</c:f>
              <c:numCache>
                <c:formatCode>General</c:formatCode>
                <c:ptCount val="4"/>
                <c:pt idx="0">
                  <c:v>2016</c:v>
                </c:pt>
                <c:pt idx="1">
                  <c:v>2017</c:v>
                </c:pt>
                <c:pt idx="2">
                  <c:v>2018</c:v>
                </c:pt>
                <c:pt idx="3">
                  <c:v>2019</c:v>
                </c:pt>
              </c:numCache>
            </c:numRef>
          </c:cat>
          <c:val>
            <c:numRef>
              <c:f>AGRODOSA!$C$3:$C$6</c:f>
              <c:numCache>
                <c:formatCode>_-* #,##0_-;\-* #,##0_-;_-* "-"??_-;_-@_-</c:formatCode>
                <c:ptCount val="4"/>
                <c:pt idx="0">
                  <c:v>212500</c:v>
                </c:pt>
                <c:pt idx="1">
                  <c:v>425000</c:v>
                </c:pt>
                <c:pt idx="2">
                  <c:v>425000</c:v>
                </c:pt>
                <c:pt idx="3">
                  <c:v>425000</c:v>
                </c:pt>
              </c:numCache>
            </c:numRef>
          </c:val>
          <c:extLst xmlns:c16r2="http://schemas.microsoft.com/office/drawing/2015/06/chart">
            <c:ext xmlns:c16="http://schemas.microsoft.com/office/drawing/2014/chart" uri="{C3380CC4-5D6E-409C-BE32-E72D297353CC}">
              <c16:uniqueId val="{00000000-FEFB-4D06-A7A5-C5804AA03C4B}"/>
            </c:ext>
          </c:extLst>
        </c:ser>
        <c:ser>
          <c:idx val="1"/>
          <c:order val="1"/>
          <c:tx>
            <c:strRef>
              <c:f>AGRODOSA!$D$2</c:f>
              <c:strCache>
                <c:ptCount val="1"/>
                <c:pt idx="0">
                  <c:v>Ejecucion</c:v>
                </c:pt>
              </c:strCache>
            </c:strRef>
          </c:tx>
          <c:spPr>
            <a:solidFill>
              <a:srgbClr val="00B050"/>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AGRODOSA!$B$3:$B$6</c:f>
              <c:numCache>
                <c:formatCode>General</c:formatCode>
                <c:ptCount val="4"/>
                <c:pt idx="0">
                  <c:v>2016</c:v>
                </c:pt>
                <c:pt idx="1">
                  <c:v>2017</c:v>
                </c:pt>
                <c:pt idx="2">
                  <c:v>2018</c:v>
                </c:pt>
                <c:pt idx="3">
                  <c:v>2019</c:v>
                </c:pt>
              </c:numCache>
            </c:numRef>
          </c:cat>
          <c:val>
            <c:numRef>
              <c:f>AGRODOSA!$D$3:$D$6</c:f>
              <c:numCache>
                <c:formatCode>_-* #,##0_-;\-* #,##0_-;_-* "-"??_-;_-@_-</c:formatCode>
                <c:ptCount val="4"/>
                <c:pt idx="0">
                  <c:v>30396</c:v>
                </c:pt>
                <c:pt idx="1">
                  <c:v>1256951</c:v>
                </c:pt>
                <c:pt idx="2">
                  <c:v>1543886</c:v>
                </c:pt>
                <c:pt idx="3">
                  <c:v>1208688</c:v>
                </c:pt>
              </c:numCache>
            </c:numRef>
          </c:val>
          <c:extLst xmlns:c16r2="http://schemas.microsoft.com/office/drawing/2015/06/chart">
            <c:ext xmlns:c16="http://schemas.microsoft.com/office/drawing/2014/chart" uri="{C3380CC4-5D6E-409C-BE32-E72D297353CC}">
              <c16:uniqueId val="{00000001-FEFB-4D06-A7A5-C5804AA03C4B}"/>
            </c:ext>
          </c:extLst>
        </c:ser>
        <c:dLbls>
          <c:showLegendKey val="0"/>
          <c:showVal val="0"/>
          <c:showCatName val="0"/>
          <c:showSerName val="0"/>
          <c:showPercent val="0"/>
          <c:showBubbleSize val="0"/>
        </c:dLbls>
        <c:gapWidth val="100"/>
        <c:overlap val="-24"/>
        <c:axId val="-835802960"/>
        <c:axId val="-835803504"/>
      </c:barChart>
      <c:catAx>
        <c:axId val="-8358029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03504"/>
        <c:crosses val="autoZero"/>
        <c:auto val="1"/>
        <c:lblAlgn val="ctr"/>
        <c:lblOffset val="100"/>
        <c:noMultiLvlLbl val="0"/>
      </c:catAx>
      <c:valAx>
        <c:axId val="-835803504"/>
        <c:scaling>
          <c:orientation val="minMax"/>
          <c:max val="2000000"/>
        </c:scaling>
        <c:delete val="0"/>
        <c:axPos val="l"/>
        <c:majorGridlines>
          <c:spPr>
            <a:ln w="9525" cap="flat" cmpd="sng" algn="ctr">
              <a:solidFill>
                <a:schemeClr val="tx2">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02960"/>
        <c:crosses val="autoZero"/>
        <c:crossBetween val="between"/>
        <c:majorUnit val="500000"/>
      </c:valAx>
      <c:spPr>
        <a:noFill/>
        <a:ln>
          <a:noFill/>
        </a:ln>
        <a:effectLst/>
      </c:spPr>
    </c:plotArea>
    <c:legend>
      <c:legendPos val="l"/>
      <c:layout>
        <c:manualLayout>
          <c:xMode val="edge"/>
          <c:yMode val="edge"/>
          <c:x val="0.15956120668162552"/>
          <c:y val="7.7658943711172795E-2"/>
          <c:w val="0.15191235912264894"/>
          <c:h val="0.16468864784514795"/>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no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39934630812654"/>
          <c:y val="2.888730172378998E-2"/>
          <c:w val="0.82380072039914176"/>
          <c:h val="0.87503250861193049"/>
        </c:manualLayout>
      </c:layout>
      <c:barChart>
        <c:barDir val="col"/>
        <c:grouping val="clustered"/>
        <c:varyColors val="0"/>
        <c:ser>
          <c:idx val="1"/>
          <c:order val="0"/>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'Chart Producción'!$G$3:$O$3</c:f>
              <c:numCache>
                <c:formatCode>General</c:formatCode>
                <c:ptCount val="8"/>
                <c:pt idx="0">
                  <c:v>2012</c:v>
                </c:pt>
                <c:pt idx="1">
                  <c:v>2013</c:v>
                </c:pt>
                <c:pt idx="2">
                  <c:v>2014</c:v>
                </c:pt>
                <c:pt idx="3">
                  <c:v>2015</c:v>
                </c:pt>
                <c:pt idx="4">
                  <c:v>2016</c:v>
                </c:pt>
                <c:pt idx="5">
                  <c:v>2017</c:v>
                </c:pt>
                <c:pt idx="6">
                  <c:v>2018</c:v>
                </c:pt>
                <c:pt idx="7">
                  <c:v>2019</c:v>
                </c:pt>
              </c:numCache>
            </c:numRef>
          </c:cat>
          <c:val>
            <c:numRef>
              <c:f>'Chart Producción'!$G$27:$O$27</c:f>
              <c:numCache>
                <c:formatCode>#,##0</c:formatCode>
                <c:ptCount val="8"/>
                <c:pt idx="0">
                  <c:v>0</c:v>
                </c:pt>
                <c:pt idx="1">
                  <c:v>0</c:v>
                </c:pt>
                <c:pt idx="2">
                  <c:v>23017</c:v>
                </c:pt>
                <c:pt idx="3">
                  <c:v>152682</c:v>
                </c:pt>
                <c:pt idx="4">
                  <c:v>137966</c:v>
                </c:pt>
                <c:pt idx="5">
                  <c:v>121668</c:v>
                </c:pt>
                <c:pt idx="6">
                  <c:v>102638</c:v>
                </c:pt>
                <c:pt idx="7">
                  <c:v>104756</c:v>
                </c:pt>
              </c:numCache>
            </c:numRef>
          </c:val>
          <c:extLst xmlns:c16r2="http://schemas.microsoft.com/office/drawing/2015/06/chart">
            <c:ext xmlns:c16="http://schemas.microsoft.com/office/drawing/2014/chart" uri="{C3380CC4-5D6E-409C-BE32-E72D297353CC}">
              <c16:uniqueId val="{0000000C-510E-4EAB-B053-7937A6F1F202}"/>
            </c:ext>
          </c:extLst>
        </c:ser>
        <c:dLbls>
          <c:showLegendKey val="0"/>
          <c:showVal val="0"/>
          <c:showCatName val="0"/>
          <c:showSerName val="0"/>
          <c:showPercent val="0"/>
          <c:showBubbleSize val="0"/>
        </c:dLbls>
        <c:gapWidth val="100"/>
        <c:overlap val="-24"/>
        <c:axId val="-835802416"/>
        <c:axId val="-835817648"/>
      </c:barChart>
      <c:catAx>
        <c:axId val="-835802416"/>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17648"/>
        <c:crosses val="autoZero"/>
        <c:auto val="1"/>
        <c:lblAlgn val="ctr"/>
        <c:lblOffset val="100"/>
        <c:noMultiLvlLbl val="0"/>
      </c:catAx>
      <c:valAx>
        <c:axId val="-835817648"/>
        <c:scaling>
          <c:orientation val="minMax"/>
          <c:max val="180000"/>
          <c:min val="0"/>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t>Animales trazados</a:t>
                </a:r>
              </a:p>
            </c:rich>
          </c:tx>
          <c:layout>
            <c:manualLayout>
              <c:xMode val="edge"/>
              <c:yMode val="edge"/>
              <c:x val="8.7358350155297075E-4"/>
              <c:y val="0.30569466648182236"/>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02416"/>
        <c:crosses val="autoZero"/>
        <c:crossBetween val="between"/>
        <c:majorUnit val="40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971477899863279"/>
          <c:y val="2.6897745764149706E-2"/>
          <c:w val="0.81240182429667773"/>
          <c:h val="0.84866812681715476"/>
        </c:manualLayout>
      </c:layout>
      <c:barChart>
        <c:barDir val="col"/>
        <c:grouping val="clustered"/>
        <c:varyColors val="0"/>
        <c:ser>
          <c:idx val="1"/>
          <c:order val="0"/>
          <c:tx>
            <c:strRef>
              <c:f>'[Datos.xlsx]Chart Producción'!$D$7</c:f>
              <c:strCache>
                <c:ptCount val="1"/>
                <c:pt idx="0">
                  <c:v>Tareas Niveladas a Precisión</c:v>
                </c:pt>
              </c:strCache>
            </c:strRef>
          </c:tx>
          <c:spPr>
            <a:solidFill>
              <a:srgbClr val="00B050"/>
            </a:solidFill>
            <a:ln>
              <a:noFill/>
            </a:ln>
            <a:effectLst/>
          </c:spPr>
          <c:invertIfNegative val="0"/>
          <c:dPt>
            <c:idx val="2"/>
            <c:invertIfNegative val="0"/>
            <c:bubble3D val="0"/>
            <c:extLst xmlns:c16r2="http://schemas.microsoft.com/office/drawing/2015/06/chart">
              <c:ext xmlns:c16="http://schemas.microsoft.com/office/drawing/2014/chart" uri="{C3380CC4-5D6E-409C-BE32-E72D297353CC}">
                <c16:uniqueId val="{00000000-3B62-47C4-B5C8-087C2EE5802A}"/>
              </c:ext>
            </c:extLst>
          </c:dPt>
          <c:dPt>
            <c:idx val="3"/>
            <c:invertIfNegative val="0"/>
            <c:bubble3D val="0"/>
            <c:extLst xmlns:c16r2="http://schemas.microsoft.com/office/drawing/2015/06/chart">
              <c:ext xmlns:c16="http://schemas.microsoft.com/office/drawing/2014/chart" uri="{C3380CC4-5D6E-409C-BE32-E72D297353CC}">
                <c16:uniqueId val="{00000001-3B62-47C4-B5C8-087C2EE5802A}"/>
              </c:ext>
            </c:extLst>
          </c:dPt>
          <c:dPt>
            <c:idx val="4"/>
            <c:invertIfNegative val="0"/>
            <c:bubble3D val="0"/>
            <c:extLst xmlns:c16r2="http://schemas.microsoft.com/office/drawing/2015/06/chart">
              <c:ext xmlns:c16="http://schemas.microsoft.com/office/drawing/2014/chart" uri="{C3380CC4-5D6E-409C-BE32-E72D297353CC}">
                <c16:uniqueId val="{00000002-3B62-47C4-B5C8-087C2EE5802A}"/>
              </c:ext>
            </c:extLst>
          </c:dPt>
          <c:dPt>
            <c:idx val="5"/>
            <c:invertIfNegative val="0"/>
            <c:bubble3D val="0"/>
            <c:extLst xmlns:c16r2="http://schemas.microsoft.com/office/drawing/2015/06/chart">
              <c:ext xmlns:c16="http://schemas.microsoft.com/office/drawing/2014/chart" uri="{C3380CC4-5D6E-409C-BE32-E72D297353CC}">
                <c16:uniqueId val="{00000003-3B62-47C4-B5C8-087C2EE5802A}"/>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'[Datos.xlsx]Chart Producción'!$G$3:$O$3</c:f>
              <c:numCache>
                <c:formatCode>General</c:formatCode>
                <c:ptCount val="8"/>
                <c:pt idx="0">
                  <c:v>2012</c:v>
                </c:pt>
                <c:pt idx="1">
                  <c:v>2013</c:v>
                </c:pt>
                <c:pt idx="2">
                  <c:v>2014</c:v>
                </c:pt>
                <c:pt idx="3">
                  <c:v>2015</c:v>
                </c:pt>
                <c:pt idx="4">
                  <c:v>2016</c:v>
                </c:pt>
                <c:pt idx="5">
                  <c:v>2017</c:v>
                </c:pt>
                <c:pt idx="6">
                  <c:v>2018</c:v>
                </c:pt>
                <c:pt idx="7">
                  <c:v>2019</c:v>
                </c:pt>
              </c:numCache>
            </c:numRef>
          </c:cat>
          <c:val>
            <c:numRef>
              <c:f>'[Datos.xlsx]Chart Producción'!$G$7:$O$7</c:f>
              <c:numCache>
                <c:formatCode>#,##0</c:formatCode>
                <c:ptCount val="8"/>
                <c:pt idx="0">
                  <c:v>0</c:v>
                </c:pt>
                <c:pt idx="1">
                  <c:v>0</c:v>
                </c:pt>
                <c:pt idx="2">
                  <c:v>0</c:v>
                </c:pt>
                <c:pt idx="3">
                  <c:v>18000</c:v>
                </c:pt>
                <c:pt idx="4">
                  <c:v>16580</c:v>
                </c:pt>
                <c:pt idx="5">
                  <c:v>15758</c:v>
                </c:pt>
                <c:pt idx="6">
                  <c:v>9251</c:v>
                </c:pt>
                <c:pt idx="7">
                  <c:v>721</c:v>
                </c:pt>
              </c:numCache>
            </c:numRef>
          </c:val>
          <c:extLst xmlns:c16r2="http://schemas.microsoft.com/office/drawing/2015/06/chart">
            <c:ext xmlns:c16="http://schemas.microsoft.com/office/drawing/2014/chart" uri="{C3380CC4-5D6E-409C-BE32-E72D297353CC}">
              <c16:uniqueId val="{00000004-3B62-47C4-B5C8-087C2EE5802A}"/>
            </c:ext>
          </c:extLst>
        </c:ser>
        <c:dLbls>
          <c:showLegendKey val="0"/>
          <c:showVal val="0"/>
          <c:showCatName val="0"/>
          <c:showSerName val="0"/>
          <c:showPercent val="0"/>
          <c:showBubbleSize val="0"/>
        </c:dLbls>
        <c:gapWidth val="100"/>
        <c:overlap val="-24"/>
        <c:axId val="-835769776"/>
        <c:axId val="-835771952"/>
      </c:barChart>
      <c:catAx>
        <c:axId val="-8357697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71952"/>
        <c:crosses val="autoZero"/>
        <c:auto val="1"/>
        <c:lblAlgn val="ctr"/>
        <c:lblOffset val="100"/>
        <c:noMultiLvlLbl val="0"/>
      </c:catAx>
      <c:valAx>
        <c:axId val="-83577195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t>Tareas Niveladas</a:t>
                </a:r>
              </a:p>
            </c:rich>
          </c:tx>
          <c:layout>
            <c:manualLayout>
              <c:xMode val="edge"/>
              <c:yMode val="edge"/>
              <c:x val="1.4334013803830077E-2"/>
              <c:y val="0.30150115295333435"/>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69776"/>
        <c:crosses val="autoZero"/>
        <c:crossBetween val="between"/>
        <c:majorUnit val="5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'Chart Producción'!$D$24</c:f>
              <c:strCache>
                <c:ptCount val="1"/>
                <c:pt idx="0">
                  <c:v>Pruebas de Tuberculinas</c:v>
                </c:pt>
              </c:strCache>
            </c:strRef>
          </c:tx>
          <c:spPr>
            <a:solidFill>
              <a:srgbClr val="00B050"/>
            </a:solidFill>
            <a:ln>
              <a:noFill/>
            </a:ln>
            <a:effectLst/>
          </c:spPr>
          <c:invertIfNegative val="0"/>
          <c:dPt>
            <c:idx val="0"/>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1-7546-4120-A726-02D58D660666}"/>
              </c:ext>
            </c:extLst>
          </c:dPt>
          <c:dPt>
            <c:idx val="1"/>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3-453B-48C7-A6EC-F54A632F9A1C}"/>
              </c:ext>
            </c:extLst>
          </c:dPt>
          <c:dPt>
            <c:idx val="2"/>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3-7546-4120-A726-02D58D660666}"/>
              </c:ext>
            </c:extLst>
          </c:dPt>
          <c:dPt>
            <c:idx val="3"/>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5-7546-4120-A726-02D58D660666}"/>
              </c:ext>
            </c:extLst>
          </c:dPt>
          <c:dPt>
            <c:idx val="4"/>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7-7546-4120-A726-02D58D660666}"/>
              </c:ext>
            </c:extLst>
          </c:dPt>
          <c:dPt>
            <c:idx val="5"/>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9-7546-4120-A726-02D58D660666}"/>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'Chart Producción'!$G$3:$O$3</c:f>
              <c:numCache>
                <c:formatCode>General</c:formatCode>
                <c:ptCount val="8"/>
                <c:pt idx="0">
                  <c:v>2012</c:v>
                </c:pt>
                <c:pt idx="1">
                  <c:v>2013</c:v>
                </c:pt>
                <c:pt idx="2">
                  <c:v>2014</c:v>
                </c:pt>
                <c:pt idx="3">
                  <c:v>2015</c:v>
                </c:pt>
                <c:pt idx="4">
                  <c:v>2016</c:v>
                </c:pt>
                <c:pt idx="5">
                  <c:v>2017</c:v>
                </c:pt>
                <c:pt idx="6">
                  <c:v>2018</c:v>
                </c:pt>
                <c:pt idx="7">
                  <c:v>2019</c:v>
                </c:pt>
              </c:numCache>
            </c:numRef>
          </c:cat>
          <c:val>
            <c:numRef>
              <c:f>'Chart Producción'!$G$24:$O$24</c:f>
              <c:numCache>
                <c:formatCode>#,##0</c:formatCode>
                <c:ptCount val="8"/>
                <c:pt idx="0">
                  <c:v>69205</c:v>
                </c:pt>
                <c:pt idx="1">
                  <c:v>247871</c:v>
                </c:pt>
                <c:pt idx="2">
                  <c:v>314397</c:v>
                </c:pt>
                <c:pt idx="3">
                  <c:v>332772</c:v>
                </c:pt>
                <c:pt idx="4">
                  <c:v>271336</c:v>
                </c:pt>
                <c:pt idx="5">
                  <c:v>296822</c:v>
                </c:pt>
                <c:pt idx="6">
                  <c:v>315624</c:v>
                </c:pt>
                <c:pt idx="7">
                  <c:v>269900</c:v>
                </c:pt>
              </c:numCache>
            </c:numRef>
          </c:val>
          <c:extLst xmlns:c16r2="http://schemas.microsoft.com/office/drawing/2015/06/chart">
            <c:ext xmlns:c16="http://schemas.microsoft.com/office/drawing/2014/chart" uri="{C3380CC4-5D6E-409C-BE32-E72D297353CC}">
              <c16:uniqueId val="{0000000C-7546-4120-A726-02D58D660666}"/>
            </c:ext>
          </c:extLst>
        </c:ser>
        <c:dLbls>
          <c:showLegendKey val="0"/>
          <c:showVal val="0"/>
          <c:showCatName val="0"/>
          <c:showSerName val="0"/>
          <c:showPercent val="0"/>
          <c:showBubbleSize val="0"/>
        </c:dLbls>
        <c:gapWidth val="100"/>
        <c:overlap val="-24"/>
        <c:axId val="-835814928"/>
        <c:axId val="-835818736"/>
      </c:barChart>
      <c:catAx>
        <c:axId val="-835814928"/>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18736"/>
        <c:crosses val="autoZero"/>
        <c:auto val="1"/>
        <c:lblAlgn val="ctr"/>
        <c:lblOffset val="100"/>
        <c:noMultiLvlLbl val="0"/>
      </c:catAx>
      <c:valAx>
        <c:axId val="-83581873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t>Pruebas de Tuberculinas</a:t>
                </a:r>
              </a:p>
            </c:rich>
          </c:tx>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149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Producción'!$D$23</c:f>
              <c:strCache>
                <c:ptCount val="1"/>
                <c:pt idx="0">
                  <c:v>Animales Vacunados</c:v>
                </c:pt>
              </c:strCache>
            </c:strRef>
          </c:tx>
          <c:spPr>
            <a:solidFill>
              <a:srgbClr val="00B050"/>
            </a:solidFill>
            <a:ln>
              <a:noFill/>
            </a:ln>
            <a:effectLst/>
          </c:spPr>
          <c:invertIfNegative val="0"/>
          <c:dPt>
            <c:idx val="0"/>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1-B392-4DB1-A158-E1B605591095}"/>
              </c:ext>
            </c:extLst>
          </c:dPt>
          <c:dPt>
            <c:idx val="1"/>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3-7C33-447F-ADC4-7BC3116932C3}"/>
              </c:ext>
            </c:extLst>
          </c:dPt>
          <c:dPt>
            <c:idx val="2"/>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3-0BB1-49E5-A458-4FA20ABC9065}"/>
              </c:ext>
            </c:extLst>
          </c:dPt>
          <c:dPt>
            <c:idx val="3"/>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5-B392-4DB1-A158-E1B605591095}"/>
              </c:ext>
            </c:extLst>
          </c:dPt>
          <c:dPt>
            <c:idx val="4"/>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7-0BB1-49E5-A458-4FA20ABC9065}"/>
              </c:ext>
            </c:extLst>
          </c:dPt>
          <c:dPt>
            <c:idx val="5"/>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9-0BB1-49E5-A458-4FA20ABC9065}"/>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'Chart Producción'!$G$3:$O$3</c:f>
              <c:numCache>
                <c:formatCode>General</c:formatCode>
                <c:ptCount val="8"/>
                <c:pt idx="0">
                  <c:v>2012</c:v>
                </c:pt>
                <c:pt idx="1">
                  <c:v>2013</c:v>
                </c:pt>
                <c:pt idx="2">
                  <c:v>2014</c:v>
                </c:pt>
                <c:pt idx="3">
                  <c:v>2015</c:v>
                </c:pt>
                <c:pt idx="4">
                  <c:v>2016</c:v>
                </c:pt>
                <c:pt idx="5">
                  <c:v>2017</c:v>
                </c:pt>
                <c:pt idx="6">
                  <c:v>2018</c:v>
                </c:pt>
                <c:pt idx="7">
                  <c:v>2019</c:v>
                </c:pt>
              </c:numCache>
            </c:numRef>
          </c:cat>
          <c:val>
            <c:numRef>
              <c:f>'Chart Producción'!$G$23:$O$23</c:f>
              <c:numCache>
                <c:formatCode>#,##0</c:formatCode>
                <c:ptCount val="8"/>
                <c:pt idx="0">
                  <c:v>19764</c:v>
                </c:pt>
                <c:pt idx="1">
                  <c:v>45908</c:v>
                </c:pt>
                <c:pt idx="2">
                  <c:v>63594</c:v>
                </c:pt>
                <c:pt idx="3">
                  <c:v>69502</c:v>
                </c:pt>
                <c:pt idx="4">
                  <c:v>68686</c:v>
                </c:pt>
                <c:pt idx="5">
                  <c:v>71490</c:v>
                </c:pt>
                <c:pt idx="6">
                  <c:v>83656</c:v>
                </c:pt>
                <c:pt idx="7">
                  <c:v>70369</c:v>
                </c:pt>
              </c:numCache>
            </c:numRef>
          </c:val>
          <c:extLst xmlns:c16r2="http://schemas.microsoft.com/office/drawing/2015/06/chart">
            <c:ext xmlns:c16="http://schemas.microsoft.com/office/drawing/2014/chart" uri="{C3380CC4-5D6E-409C-BE32-E72D297353CC}">
              <c16:uniqueId val="{00000006-B392-4DB1-A158-E1B605591095}"/>
            </c:ext>
          </c:extLst>
        </c:ser>
        <c:dLbls>
          <c:showLegendKey val="0"/>
          <c:showVal val="0"/>
          <c:showCatName val="0"/>
          <c:showSerName val="0"/>
          <c:showPercent val="0"/>
          <c:showBubbleSize val="0"/>
        </c:dLbls>
        <c:gapWidth val="100"/>
        <c:overlap val="-24"/>
        <c:axId val="-835801872"/>
        <c:axId val="-835814384"/>
      </c:barChart>
      <c:catAx>
        <c:axId val="-835801872"/>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14384"/>
        <c:crosses val="autoZero"/>
        <c:auto val="1"/>
        <c:lblAlgn val="ctr"/>
        <c:lblOffset val="100"/>
        <c:noMultiLvlLbl val="0"/>
      </c:catAx>
      <c:valAx>
        <c:axId val="-83581438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t>Animales Vacunados</a:t>
                </a:r>
              </a:p>
            </c:rich>
          </c:tx>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018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976866877447535"/>
          <c:y val="2.506855173454756E-2"/>
          <c:w val="0.81643159477921556"/>
          <c:h val="0.89187226197364311"/>
        </c:manualLayout>
      </c:layout>
      <c:barChart>
        <c:barDir val="col"/>
        <c:grouping val="clustered"/>
        <c:varyColors val="0"/>
        <c:ser>
          <c:idx val="1"/>
          <c:order val="0"/>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'Chart Producción'!$G$3:$O$3</c:f>
              <c:numCache>
                <c:formatCode>General</c:formatCode>
                <c:ptCount val="8"/>
                <c:pt idx="0">
                  <c:v>2012</c:v>
                </c:pt>
                <c:pt idx="1">
                  <c:v>2013</c:v>
                </c:pt>
                <c:pt idx="2">
                  <c:v>2014</c:v>
                </c:pt>
                <c:pt idx="3">
                  <c:v>2015</c:v>
                </c:pt>
                <c:pt idx="4">
                  <c:v>2016</c:v>
                </c:pt>
                <c:pt idx="5">
                  <c:v>2017</c:v>
                </c:pt>
                <c:pt idx="6">
                  <c:v>2018</c:v>
                </c:pt>
                <c:pt idx="7">
                  <c:v>2019</c:v>
                </c:pt>
              </c:numCache>
            </c:numRef>
          </c:cat>
          <c:val>
            <c:numRef>
              <c:f>'Chart Producción'!$G$25:$O$25</c:f>
              <c:numCache>
                <c:formatCode>#,##0</c:formatCode>
                <c:ptCount val="8"/>
                <c:pt idx="0">
                  <c:v>995613</c:v>
                </c:pt>
                <c:pt idx="1">
                  <c:v>438995</c:v>
                </c:pt>
                <c:pt idx="2">
                  <c:v>416735</c:v>
                </c:pt>
                <c:pt idx="3">
                  <c:v>350124</c:v>
                </c:pt>
                <c:pt idx="4">
                  <c:v>401617</c:v>
                </c:pt>
                <c:pt idx="5">
                  <c:v>422718</c:v>
                </c:pt>
                <c:pt idx="6">
                  <c:v>493140</c:v>
                </c:pt>
                <c:pt idx="7">
                  <c:v>445243</c:v>
                </c:pt>
              </c:numCache>
            </c:numRef>
          </c:val>
          <c:extLst xmlns:c16r2="http://schemas.microsoft.com/office/drawing/2015/06/chart">
            <c:ext xmlns:c16="http://schemas.microsoft.com/office/drawing/2014/chart" uri="{C3380CC4-5D6E-409C-BE32-E72D297353CC}">
              <c16:uniqueId val="{0000000C-510E-4EAB-B053-7937A6F1F202}"/>
            </c:ext>
          </c:extLst>
        </c:ser>
        <c:dLbls>
          <c:showLegendKey val="0"/>
          <c:showVal val="0"/>
          <c:showCatName val="0"/>
          <c:showSerName val="0"/>
          <c:showPercent val="0"/>
          <c:showBubbleSize val="0"/>
        </c:dLbls>
        <c:gapWidth val="100"/>
        <c:overlap val="-24"/>
        <c:axId val="-835818192"/>
        <c:axId val="-835787728"/>
      </c:barChart>
      <c:catAx>
        <c:axId val="-835818192"/>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87728"/>
        <c:crosses val="autoZero"/>
        <c:auto val="1"/>
        <c:lblAlgn val="ctr"/>
        <c:lblOffset val="100"/>
        <c:noMultiLvlLbl val="0"/>
      </c:catAx>
      <c:valAx>
        <c:axId val="-835787728"/>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t>Animales Vacunados</a:t>
                </a:r>
              </a:p>
            </c:rich>
          </c:tx>
          <c:layout>
            <c:manualLayout>
              <c:xMode val="edge"/>
              <c:yMode val="edge"/>
              <c:x val="7.0479658404615697E-4"/>
              <c:y val="0.28040660252931643"/>
            </c:manualLayout>
          </c:layout>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8181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784481563967103"/>
          <c:y val="2.506855173454756E-2"/>
          <c:w val="0.82835521851354821"/>
          <c:h val="0.86422408061612088"/>
        </c:manualLayout>
      </c:layout>
      <c:barChart>
        <c:barDir val="col"/>
        <c:grouping val="clustered"/>
        <c:varyColors val="0"/>
        <c:ser>
          <c:idx val="1"/>
          <c:order val="0"/>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'Chart Producción'!$G$3:$O$3</c:f>
              <c:numCache>
                <c:formatCode>General</c:formatCode>
                <c:ptCount val="8"/>
                <c:pt idx="0">
                  <c:v>2012</c:v>
                </c:pt>
                <c:pt idx="1">
                  <c:v>2013</c:v>
                </c:pt>
                <c:pt idx="2">
                  <c:v>2014</c:v>
                </c:pt>
                <c:pt idx="3">
                  <c:v>2015</c:v>
                </c:pt>
                <c:pt idx="4">
                  <c:v>2016</c:v>
                </c:pt>
                <c:pt idx="5">
                  <c:v>2017</c:v>
                </c:pt>
                <c:pt idx="6">
                  <c:v>2018</c:v>
                </c:pt>
                <c:pt idx="7">
                  <c:v>2019</c:v>
                </c:pt>
              </c:numCache>
            </c:numRef>
          </c:cat>
          <c:val>
            <c:numRef>
              <c:f>'Chart Producción'!$G$26:$O$26</c:f>
              <c:numCache>
                <c:formatCode>#,##0</c:formatCode>
                <c:ptCount val="8"/>
                <c:pt idx="0">
                  <c:v>3637</c:v>
                </c:pt>
                <c:pt idx="1">
                  <c:v>27391</c:v>
                </c:pt>
                <c:pt idx="2">
                  <c:v>399693</c:v>
                </c:pt>
                <c:pt idx="3">
                  <c:v>267490</c:v>
                </c:pt>
                <c:pt idx="4">
                  <c:v>174736</c:v>
                </c:pt>
                <c:pt idx="5">
                  <c:v>200206</c:v>
                </c:pt>
                <c:pt idx="6">
                  <c:v>220511</c:v>
                </c:pt>
                <c:pt idx="7">
                  <c:v>215017</c:v>
                </c:pt>
              </c:numCache>
            </c:numRef>
          </c:val>
          <c:extLst xmlns:c16r2="http://schemas.microsoft.com/office/drawing/2015/06/chart">
            <c:ext xmlns:c16="http://schemas.microsoft.com/office/drawing/2014/chart" uri="{C3380CC4-5D6E-409C-BE32-E72D297353CC}">
              <c16:uniqueId val="{0000000C-510E-4EAB-B053-7937A6F1F202}"/>
            </c:ext>
          </c:extLst>
        </c:ser>
        <c:dLbls>
          <c:showLegendKey val="0"/>
          <c:showVal val="0"/>
          <c:showCatName val="0"/>
          <c:showSerName val="0"/>
          <c:showPercent val="0"/>
          <c:showBubbleSize val="0"/>
        </c:dLbls>
        <c:gapWidth val="100"/>
        <c:overlap val="-24"/>
        <c:axId val="-835789360"/>
        <c:axId val="-835798064"/>
      </c:barChart>
      <c:catAx>
        <c:axId val="-835789360"/>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98064"/>
        <c:crosses val="autoZero"/>
        <c:auto val="1"/>
        <c:lblAlgn val="ctr"/>
        <c:lblOffset val="100"/>
        <c:noMultiLvlLbl val="0"/>
      </c:catAx>
      <c:valAx>
        <c:axId val="-83579806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t>Aves vacunasas </a:t>
                </a:r>
              </a:p>
            </c:rich>
          </c:tx>
          <c:layout>
            <c:manualLayout>
              <c:xMode val="edge"/>
              <c:yMode val="edge"/>
              <c:x val="1.508463650514228E-3"/>
              <c:y val="0.3246610148172373"/>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893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122703412073491E-2"/>
          <c:y val="2.5186312677458075E-2"/>
          <c:w val="0.87232174103237092"/>
          <c:h val="0.8309554196060065"/>
        </c:manualLayout>
      </c:layout>
      <c:barChart>
        <c:barDir val="col"/>
        <c:grouping val="stacked"/>
        <c:varyColors val="0"/>
        <c:ser>
          <c:idx val="0"/>
          <c:order val="0"/>
          <c:tx>
            <c:strRef>
              <c:f>smmgp!$D$4</c:f>
              <c:strCache>
                <c:ptCount val="1"/>
                <c:pt idx="0">
                  <c:v>Resultado Puntuación</c:v>
                </c:pt>
              </c:strCache>
            </c:strRef>
          </c:tx>
          <c:spPr>
            <a:solidFill>
              <a:srgbClr val="00B050"/>
            </a:solidFill>
            <a:ln>
              <a:solidFill>
                <a:schemeClr val="tx1">
                  <a:lumMod val="15000"/>
                  <a:lumOff val="85000"/>
                </a:schemeClr>
              </a:solidFill>
            </a:ln>
          </c:spPr>
          <c:invertIfNegative val="0"/>
          <c:dPt>
            <c:idx val="0"/>
            <c:invertIfNegative val="0"/>
            <c:bubble3D val="0"/>
            <c:spPr>
              <a:solidFill>
                <a:srgbClr val="FFFF00"/>
              </a:solidFill>
              <a:ln>
                <a:solidFill>
                  <a:srgbClr val="FFFF00"/>
                </a:solidFill>
              </a:ln>
            </c:spPr>
            <c:extLst xmlns:c16r2="http://schemas.microsoft.com/office/drawing/2015/06/chart">
              <c:ext xmlns:c16="http://schemas.microsoft.com/office/drawing/2014/chart" uri="{C3380CC4-5D6E-409C-BE32-E72D297353CC}">
                <c16:uniqueId val="{00000001-0188-4930-9700-BB9C4F45BA64}"/>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smmgp!$C$265:$C$268</c:f>
              <c:strCache>
                <c:ptCount val="4"/>
                <c:pt idx="0">
                  <c:v>T1</c:v>
                </c:pt>
                <c:pt idx="1">
                  <c:v>T2</c:v>
                </c:pt>
                <c:pt idx="2">
                  <c:v>T3</c:v>
                </c:pt>
                <c:pt idx="3">
                  <c:v>T4*</c:v>
                </c:pt>
              </c:strCache>
            </c:strRef>
          </c:cat>
          <c:val>
            <c:numRef>
              <c:f>smmgp!$D$305:$D$308</c:f>
              <c:numCache>
                <c:formatCode>0.00%</c:formatCode>
                <c:ptCount val="4"/>
                <c:pt idx="0">
                  <c:v>0.75</c:v>
                </c:pt>
                <c:pt idx="1">
                  <c:v>1</c:v>
                </c:pt>
                <c:pt idx="2">
                  <c:v>1</c:v>
                </c:pt>
                <c:pt idx="3">
                  <c:v>1</c:v>
                </c:pt>
              </c:numCache>
            </c:numRef>
          </c:val>
          <c:extLst xmlns:c16r2="http://schemas.microsoft.com/office/drawing/2015/06/chart">
            <c:ext xmlns:c16="http://schemas.microsoft.com/office/drawing/2014/chart" uri="{C3380CC4-5D6E-409C-BE32-E72D297353CC}">
              <c16:uniqueId val="{00000002-0188-4930-9700-BB9C4F45BA64}"/>
            </c:ext>
          </c:extLst>
        </c:ser>
        <c:ser>
          <c:idx val="1"/>
          <c:order val="1"/>
          <c:tx>
            <c:strRef>
              <c:f>smmgp!$E$4</c:f>
              <c:strCache>
                <c:ptCount val="1"/>
                <c:pt idx="0">
                  <c:v>Resultado no alcanzado</c:v>
                </c:pt>
              </c:strCache>
            </c:strRef>
          </c:tx>
          <c:spPr>
            <a:noFill/>
            <a:ln>
              <a:solidFill>
                <a:schemeClr val="accent1"/>
              </a:solidFill>
            </a:ln>
          </c:spPr>
          <c:invertIfNegative val="0"/>
          <c:dLbls>
            <c:dLbl>
              <c:idx val="1"/>
              <c:delete val="1"/>
              <c:extLst xmlns:c16r2="http://schemas.microsoft.com/office/drawing/2015/06/chart">
                <c:ext xmlns:c16="http://schemas.microsoft.com/office/drawing/2014/chart" uri="{C3380CC4-5D6E-409C-BE32-E72D297353CC}">
                  <c16:uniqueId val="{00000003-0188-4930-9700-BB9C4F45BA64}"/>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4-0188-4930-9700-BB9C4F45BA64}"/>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5-0188-4930-9700-BB9C4F45BA64}"/>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smmgp!$C$265:$C$268</c:f>
              <c:strCache>
                <c:ptCount val="4"/>
                <c:pt idx="0">
                  <c:v>T1</c:v>
                </c:pt>
                <c:pt idx="1">
                  <c:v>T2</c:v>
                </c:pt>
                <c:pt idx="2">
                  <c:v>T3</c:v>
                </c:pt>
                <c:pt idx="3">
                  <c:v>T4*</c:v>
                </c:pt>
              </c:strCache>
            </c:strRef>
          </c:cat>
          <c:val>
            <c:numRef>
              <c:f>smmgp!$E$305:$E$308</c:f>
              <c:numCache>
                <c:formatCode>0.00%</c:formatCode>
                <c:ptCount val="4"/>
                <c:pt idx="0">
                  <c:v>0.25</c:v>
                </c:pt>
                <c:pt idx="1">
                  <c:v>0</c:v>
                </c:pt>
                <c:pt idx="2">
                  <c:v>0</c:v>
                </c:pt>
                <c:pt idx="3">
                  <c:v>0</c:v>
                </c:pt>
              </c:numCache>
            </c:numRef>
          </c:val>
          <c:extLst xmlns:c16r2="http://schemas.microsoft.com/office/drawing/2015/06/chart">
            <c:ext xmlns:c16="http://schemas.microsoft.com/office/drawing/2014/chart" uri="{C3380CC4-5D6E-409C-BE32-E72D297353CC}">
              <c16:uniqueId val="{00000006-0188-4930-9700-BB9C4F45BA64}"/>
            </c:ext>
          </c:extLst>
        </c:ser>
        <c:dLbls>
          <c:showLegendKey val="0"/>
          <c:showVal val="0"/>
          <c:showCatName val="0"/>
          <c:showSerName val="0"/>
          <c:showPercent val="0"/>
          <c:showBubbleSize val="0"/>
        </c:dLbls>
        <c:gapWidth val="150"/>
        <c:overlap val="100"/>
        <c:axId val="-835796432"/>
        <c:axId val="-835799696"/>
      </c:barChart>
      <c:catAx>
        <c:axId val="-83579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DO"/>
          </a:p>
        </c:txPr>
        <c:crossAx val="-835799696"/>
        <c:crosses val="autoZero"/>
        <c:auto val="1"/>
        <c:lblAlgn val="ctr"/>
        <c:lblOffset val="100"/>
        <c:noMultiLvlLbl val="0"/>
      </c:catAx>
      <c:valAx>
        <c:axId val="-835799696"/>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vert="horz"/>
          <a:lstStyle/>
          <a:p>
            <a:pPr>
              <a:defRPr/>
            </a:pPr>
            <a:endParaRPr lang="es-DO"/>
          </a:p>
        </c:txPr>
        <c:crossAx val="-835796432"/>
        <c:crosses val="autoZero"/>
        <c:crossBetween val="between"/>
        <c:majorUnit val="0.2"/>
      </c:valAx>
      <c:spPr>
        <a:noFill/>
        <a:ln>
          <a:noFill/>
        </a:ln>
        <a:effectLst/>
      </c:spPr>
    </c:plotArea>
    <c:legend>
      <c:legendPos val="b"/>
      <c:layout>
        <c:manualLayout>
          <c:xMode val="edge"/>
          <c:yMode val="edge"/>
          <c:x val="0.14349615144350814"/>
          <c:y val="0.94754271758810893"/>
          <c:w val="0.65180743217150816"/>
          <c:h val="5.1046744156980371E-2"/>
        </c:manualLayout>
      </c:layout>
      <c:overlay val="0"/>
      <c:spPr>
        <a:noFill/>
        <a:ln>
          <a:noFill/>
        </a:ln>
        <a:effectLst/>
      </c:spPr>
      <c:txPr>
        <a:bodyPr rot="0" vert="horz"/>
        <a:lstStyle/>
        <a:p>
          <a:pPr>
            <a:defRPr/>
          </a:pPr>
          <a:endParaRPr lang="es-DO"/>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763863371609009E-2"/>
          <c:y val="2.3552758336701545E-2"/>
          <c:w val="0.88714981577234853"/>
          <c:h val="0.84201384612299968"/>
        </c:manualLayout>
      </c:layout>
      <c:barChart>
        <c:barDir val="col"/>
        <c:grouping val="stacked"/>
        <c:varyColors val="0"/>
        <c:ser>
          <c:idx val="0"/>
          <c:order val="0"/>
          <c:tx>
            <c:strRef>
              <c:f>smmgp!$D$4</c:f>
              <c:strCache>
                <c:ptCount val="1"/>
                <c:pt idx="0">
                  <c:v>Resultado Puntuación</c:v>
                </c:pt>
              </c:strCache>
            </c:strRef>
          </c:tx>
          <c:spPr>
            <a:solidFill>
              <a:srgbClr val="00B050"/>
            </a:solidFill>
            <a:ln>
              <a:solidFill>
                <a:srgbClr val="00B050"/>
              </a:solidFill>
            </a:ln>
          </c:spPr>
          <c:invertIfNegative val="0"/>
          <c:dPt>
            <c:idx val="0"/>
            <c:invertIfNegative val="0"/>
            <c:bubble3D val="0"/>
            <c:spPr>
              <a:solidFill>
                <a:srgbClr val="FFFF00"/>
              </a:solidFill>
              <a:ln>
                <a:solidFill>
                  <a:srgbClr val="FFFF00"/>
                </a:solidFill>
              </a:ln>
            </c:spPr>
            <c:extLst xmlns:c16r2="http://schemas.microsoft.com/office/drawing/2015/06/chart">
              <c:ext xmlns:c16="http://schemas.microsoft.com/office/drawing/2014/chart" uri="{C3380CC4-5D6E-409C-BE32-E72D297353CC}">
                <c16:uniqueId val="{00000001-4850-41CE-88F4-88743E5AFF21}"/>
              </c:ext>
            </c:extLst>
          </c:dPt>
          <c:dPt>
            <c:idx val="1"/>
            <c:invertIfNegative val="0"/>
            <c:bubble3D val="0"/>
            <c:spPr>
              <a:solidFill>
                <a:srgbClr val="FFFF00"/>
              </a:solidFill>
              <a:ln>
                <a:solidFill>
                  <a:srgbClr val="FFFF00"/>
                </a:solidFill>
              </a:ln>
            </c:spPr>
            <c:extLst xmlns:c16r2="http://schemas.microsoft.com/office/drawing/2015/06/chart">
              <c:ext xmlns:c16="http://schemas.microsoft.com/office/drawing/2014/chart" uri="{C3380CC4-5D6E-409C-BE32-E72D297353CC}">
                <c16:uniqueId val="{00000003-4850-41CE-88F4-88743E5AFF21}"/>
              </c:ext>
            </c:extLst>
          </c:dPt>
          <c:dPt>
            <c:idx val="2"/>
            <c:invertIfNegative val="0"/>
            <c:bubble3D val="0"/>
            <c:spPr>
              <a:solidFill>
                <a:srgbClr val="FFFF00"/>
              </a:solidFill>
              <a:ln>
                <a:solidFill>
                  <a:srgbClr val="FFFF00"/>
                </a:solidFill>
              </a:ln>
            </c:spPr>
            <c:extLst xmlns:c16r2="http://schemas.microsoft.com/office/drawing/2015/06/chart">
              <c:ext xmlns:c16="http://schemas.microsoft.com/office/drawing/2014/chart" uri="{C3380CC4-5D6E-409C-BE32-E72D297353CC}">
                <c16:uniqueId val="{00000005-4850-41CE-88F4-88743E5AFF21}"/>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smmgp!$C$46:$C$49</c:f>
              <c:strCache>
                <c:ptCount val="4"/>
                <c:pt idx="0">
                  <c:v>T1</c:v>
                </c:pt>
                <c:pt idx="1">
                  <c:v>T2</c:v>
                </c:pt>
                <c:pt idx="2">
                  <c:v>T3</c:v>
                </c:pt>
                <c:pt idx="3">
                  <c:v>T4*</c:v>
                </c:pt>
              </c:strCache>
            </c:strRef>
          </c:cat>
          <c:val>
            <c:numRef>
              <c:f>smmgp!$D$46:$D$49</c:f>
              <c:numCache>
                <c:formatCode>0.00%</c:formatCode>
                <c:ptCount val="4"/>
                <c:pt idx="0">
                  <c:v>0.64</c:v>
                </c:pt>
                <c:pt idx="1">
                  <c:v>0.73199999999999998</c:v>
                </c:pt>
                <c:pt idx="2">
                  <c:v>0.78080000000000005</c:v>
                </c:pt>
                <c:pt idx="3">
                  <c:v>0.89280000000000004</c:v>
                </c:pt>
              </c:numCache>
            </c:numRef>
          </c:val>
          <c:extLst xmlns:c16r2="http://schemas.microsoft.com/office/drawing/2015/06/chart">
            <c:ext xmlns:c16="http://schemas.microsoft.com/office/drawing/2014/chart" uri="{C3380CC4-5D6E-409C-BE32-E72D297353CC}">
              <c16:uniqueId val="{00000006-4850-41CE-88F4-88743E5AFF21}"/>
            </c:ext>
          </c:extLst>
        </c:ser>
        <c:ser>
          <c:idx val="1"/>
          <c:order val="1"/>
          <c:tx>
            <c:strRef>
              <c:f>smmgp!$E$4</c:f>
              <c:strCache>
                <c:ptCount val="1"/>
                <c:pt idx="0">
                  <c:v>Resultado no alcanzado</c:v>
                </c:pt>
              </c:strCache>
            </c:strRef>
          </c:tx>
          <c:spPr>
            <a:noFill/>
            <a:ln>
              <a:solidFill>
                <a:schemeClr val="accent1"/>
              </a:solid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smmgp!$C$46:$C$49</c:f>
              <c:strCache>
                <c:ptCount val="4"/>
                <c:pt idx="0">
                  <c:v>T1</c:v>
                </c:pt>
                <c:pt idx="1">
                  <c:v>T2</c:v>
                </c:pt>
                <c:pt idx="2">
                  <c:v>T3</c:v>
                </c:pt>
                <c:pt idx="3">
                  <c:v>T4*</c:v>
                </c:pt>
              </c:strCache>
            </c:strRef>
          </c:cat>
          <c:val>
            <c:numRef>
              <c:f>smmgp!$E$46:$E$49</c:f>
              <c:numCache>
                <c:formatCode>0.00%</c:formatCode>
                <c:ptCount val="4"/>
                <c:pt idx="0">
                  <c:v>0.36</c:v>
                </c:pt>
                <c:pt idx="1">
                  <c:v>0.26800000000000002</c:v>
                </c:pt>
                <c:pt idx="2">
                  <c:v>0.21919999999999995</c:v>
                </c:pt>
                <c:pt idx="3">
                  <c:v>0.10719999999999996</c:v>
                </c:pt>
              </c:numCache>
            </c:numRef>
          </c:val>
          <c:extLst xmlns:c16r2="http://schemas.microsoft.com/office/drawing/2015/06/chart">
            <c:ext xmlns:c16="http://schemas.microsoft.com/office/drawing/2014/chart" uri="{C3380CC4-5D6E-409C-BE32-E72D297353CC}">
              <c16:uniqueId val="{00000007-4850-41CE-88F4-88743E5AFF21}"/>
            </c:ext>
          </c:extLst>
        </c:ser>
        <c:dLbls>
          <c:showLegendKey val="0"/>
          <c:showVal val="0"/>
          <c:showCatName val="0"/>
          <c:showSerName val="0"/>
          <c:showPercent val="0"/>
          <c:showBubbleSize val="0"/>
        </c:dLbls>
        <c:gapWidth val="150"/>
        <c:overlap val="100"/>
        <c:axId val="-835793712"/>
        <c:axId val="-835796976"/>
      </c:barChart>
      <c:catAx>
        <c:axId val="-835793712"/>
        <c:scaling>
          <c:orientation val="minMax"/>
        </c:scaling>
        <c:delete val="0"/>
        <c:axPos val="b"/>
        <c:numFmt formatCode="General" sourceLinked="0"/>
        <c:majorTickMark val="out"/>
        <c:minorTickMark val="none"/>
        <c:tickLblPos val="nextTo"/>
        <c:crossAx val="-835796976"/>
        <c:crosses val="autoZero"/>
        <c:auto val="1"/>
        <c:lblAlgn val="ctr"/>
        <c:lblOffset val="100"/>
        <c:noMultiLvlLbl val="0"/>
      </c:catAx>
      <c:valAx>
        <c:axId val="-835796976"/>
        <c:scaling>
          <c:orientation val="minMax"/>
          <c:max val="1"/>
        </c:scaling>
        <c:delete val="0"/>
        <c:axPos val="l"/>
        <c:majorGridlines/>
        <c:numFmt formatCode="0%" sourceLinked="0"/>
        <c:majorTickMark val="out"/>
        <c:minorTickMark val="none"/>
        <c:tickLblPos val="nextTo"/>
        <c:crossAx val="-835793712"/>
        <c:crosses val="autoZero"/>
        <c:crossBetween val="between"/>
        <c:majorUnit val="0.2"/>
      </c:valAx>
    </c:plotArea>
    <c:legend>
      <c:legendPos val="b"/>
      <c:overlay val="0"/>
    </c:legend>
    <c:plotVisOnly val="1"/>
    <c:dispBlanksAs val="gap"/>
    <c:showDLblsOverMax val="0"/>
  </c:chart>
  <c:spPr>
    <a:ln>
      <a:noFill/>
    </a:ln>
  </c:spPr>
  <c:txPr>
    <a:bodyPr/>
    <a:lstStyle/>
    <a:p>
      <a:pPr>
        <a:defRPr sz="1050">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smmgp!$I$4</c:f>
              <c:strCache>
                <c:ptCount val="1"/>
                <c:pt idx="0">
                  <c:v>Meta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smmgp!$H$46:$H$54</c:f>
              <c:strCache>
                <c:ptCount val="9"/>
                <c:pt idx="0">
                  <c:v>Gestión de la Calidad y Servicios</c:v>
                </c:pt>
                <c:pt idx="1">
                  <c:v>Organización de la Función de RRHH</c:v>
                </c:pt>
                <c:pt idx="2">
                  <c:v>Planificación de RRHH</c:v>
                </c:pt>
                <c:pt idx="3">
                  <c:v>Organización del Trabajo</c:v>
                </c:pt>
                <c:pt idx="4">
                  <c:v>Gestión del Empleo</c:v>
                </c:pt>
                <c:pt idx="5">
                  <c:v>Gestión de las Compensaciones</c:v>
                </c:pt>
                <c:pt idx="6">
                  <c:v>Gestión del Rendimiento</c:v>
                </c:pt>
                <c:pt idx="7">
                  <c:v>Gestión del Desarrollo</c:v>
                </c:pt>
                <c:pt idx="8">
                  <c:v>Gestión de las Relaciones Laborales y Sociales</c:v>
                </c:pt>
              </c:strCache>
            </c:strRef>
          </c:cat>
          <c:val>
            <c:numRef>
              <c:f>smmgp!$I$46:$I$54</c:f>
              <c:numCache>
                <c:formatCode>0%</c:formatCode>
                <c:ptCount val="9"/>
                <c:pt idx="0">
                  <c:v>0.2</c:v>
                </c:pt>
                <c:pt idx="1">
                  <c:v>0.08</c:v>
                </c:pt>
                <c:pt idx="2">
                  <c:v>0.04</c:v>
                </c:pt>
                <c:pt idx="3">
                  <c:v>0.12</c:v>
                </c:pt>
                <c:pt idx="4">
                  <c:v>0.2</c:v>
                </c:pt>
                <c:pt idx="5">
                  <c:v>0.04</c:v>
                </c:pt>
                <c:pt idx="6">
                  <c:v>0.08</c:v>
                </c:pt>
                <c:pt idx="7">
                  <c:v>0.04</c:v>
                </c:pt>
                <c:pt idx="8">
                  <c:v>0.2</c:v>
                </c:pt>
              </c:numCache>
            </c:numRef>
          </c:val>
          <c:extLst xmlns:c16r2="http://schemas.microsoft.com/office/drawing/2015/06/chart">
            <c:ext xmlns:c16="http://schemas.microsoft.com/office/drawing/2014/chart" uri="{C3380CC4-5D6E-409C-BE32-E72D297353CC}">
              <c16:uniqueId val="{00000000-755F-4460-8A67-AA8EF05E76F8}"/>
            </c:ext>
          </c:extLst>
        </c:ser>
        <c:ser>
          <c:idx val="1"/>
          <c:order val="1"/>
          <c:tx>
            <c:strRef>
              <c:f>smmgp!$J$4</c:f>
              <c:strCache>
                <c:ptCount val="1"/>
                <c:pt idx="0">
                  <c:v>ejecución</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layout>
                <c:manualLayout>
                  <c:x val="9.9280210655408128E-3"/>
                  <c:y val="5.84699620510274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55F-4460-8A67-AA8EF05E76F8}"/>
                </c:ext>
                <c:ext xmlns:c15="http://schemas.microsoft.com/office/drawing/2012/chart" uri="{CE6537A1-D6FC-4f65-9D91-7224C49458BB}"/>
              </c:extLst>
            </c:dLbl>
            <c:dLbl>
              <c:idx val="1"/>
              <c:layout>
                <c:manualLayout>
                  <c:x val="-4.368329268837997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55F-4460-8A67-AA8EF05E76F8}"/>
                </c:ext>
                <c:ext xmlns:c15="http://schemas.microsoft.com/office/drawing/2012/chart" uri="{CE6537A1-D6FC-4f65-9D91-7224C49458BB}"/>
              </c:extLst>
            </c:dLbl>
            <c:dLbl>
              <c:idx val="2"/>
              <c:layout>
                <c:manualLayout>
                  <c:x val="-3.1769667409730834E-2"/>
                  <c:y val="-7.441631533767145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55F-4460-8A67-AA8EF05E76F8}"/>
                </c:ext>
                <c:ext xmlns:c15="http://schemas.microsoft.com/office/drawing/2012/chart" uri="{CE6537A1-D6FC-4f65-9D91-7224C49458BB}"/>
              </c:extLst>
            </c:dLbl>
            <c:dLbl>
              <c:idx val="3"/>
              <c:layout>
                <c:manualLayout>
                  <c:x val="5.5596917967028966E-2"/>
                  <c:y val="-7.97317664332193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55F-4460-8A67-AA8EF05E76F8}"/>
                </c:ext>
                <c:ext xmlns:c15="http://schemas.microsoft.com/office/drawing/2012/chart" uri="{CE6537A1-D6FC-4f65-9D91-7224C49458BB}"/>
              </c:extLst>
            </c:dLbl>
            <c:dLbl>
              <c:idx val="4"/>
              <c:layout>
                <c:manualLayout>
                  <c:x val="4.9454710546982653E-2"/>
                  <c:y val="-1.07840240203520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55F-4460-8A67-AA8EF05E76F8}"/>
                </c:ext>
                <c:ext xmlns:c15="http://schemas.microsoft.com/office/drawing/2012/chart" uri="{CE6537A1-D6FC-4f65-9D91-7224C49458BB}"/>
              </c:extLst>
            </c:dLbl>
            <c:dLbl>
              <c:idx val="5"/>
              <c:layout>
                <c:manualLayout>
                  <c:x val="1.1357557522973342E-2"/>
                  <c:y val="-2.42640540457921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55F-4460-8A67-AA8EF05E76F8}"/>
                </c:ext>
                <c:ext xmlns:c15="http://schemas.microsoft.com/office/drawing/2012/chart" uri="{CE6537A1-D6FC-4f65-9D91-7224C49458BB}"/>
              </c:extLst>
            </c:dLbl>
            <c:dLbl>
              <c:idx val="7"/>
              <c:layout>
                <c:manualLayout>
                  <c:x val="0"/>
                  <c:y val="4.58321020864963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55F-4460-8A67-AA8EF05E76F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smmgp!$H$46:$H$54</c:f>
              <c:strCache>
                <c:ptCount val="9"/>
                <c:pt idx="0">
                  <c:v>Gestión de la Calidad y Servicios</c:v>
                </c:pt>
                <c:pt idx="1">
                  <c:v>Organización de la Función de RRHH</c:v>
                </c:pt>
                <c:pt idx="2">
                  <c:v>Planificación de RRHH</c:v>
                </c:pt>
                <c:pt idx="3">
                  <c:v>Organización del Trabajo</c:v>
                </c:pt>
                <c:pt idx="4">
                  <c:v>Gestión del Empleo</c:v>
                </c:pt>
                <c:pt idx="5">
                  <c:v>Gestión de las Compensaciones</c:v>
                </c:pt>
                <c:pt idx="6">
                  <c:v>Gestión del Rendimiento</c:v>
                </c:pt>
                <c:pt idx="7">
                  <c:v>Gestión del Desarrollo</c:v>
                </c:pt>
                <c:pt idx="8">
                  <c:v>Gestión de las Relaciones Laborales y Sociales</c:v>
                </c:pt>
              </c:strCache>
            </c:strRef>
          </c:cat>
          <c:val>
            <c:numRef>
              <c:f>smmgp!$J$46:$J$54</c:f>
              <c:numCache>
                <c:formatCode>0.00%</c:formatCode>
                <c:ptCount val="9"/>
                <c:pt idx="0">
                  <c:v>0.17399999999999999</c:v>
                </c:pt>
                <c:pt idx="1">
                  <c:v>7.0800000000000002E-2</c:v>
                </c:pt>
                <c:pt idx="2">
                  <c:v>0.04</c:v>
                </c:pt>
                <c:pt idx="3">
                  <c:v>0.108</c:v>
                </c:pt>
                <c:pt idx="4">
                  <c:v>0.2</c:v>
                </c:pt>
                <c:pt idx="5">
                  <c:v>0.04</c:v>
                </c:pt>
                <c:pt idx="6">
                  <c:v>3.7999999999999999E-2</c:v>
                </c:pt>
                <c:pt idx="7">
                  <c:v>0.04</c:v>
                </c:pt>
                <c:pt idx="8">
                  <c:v>0.182</c:v>
                </c:pt>
              </c:numCache>
            </c:numRef>
          </c:val>
          <c:extLst xmlns:c16r2="http://schemas.microsoft.com/office/drawing/2015/06/chart">
            <c:ext xmlns:c16="http://schemas.microsoft.com/office/drawing/2014/chart" uri="{C3380CC4-5D6E-409C-BE32-E72D297353CC}">
              <c16:uniqueId val="{00000008-755F-4460-8A67-AA8EF05E76F8}"/>
            </c:ext>
          </c:extLst>
        </c:ser>
        <c:dLbls>
          <c:showLegendKey val="0"/>
          <c:showVal val="0"/>
          <c:showCatName val="0"/>
          <c:showSerName val="0"/>
          <c:showPercent val="0"/>
          <c:showBubbleSize val="0"/>
        </c:dLbls>
        <c:axId val="-835788816"/>
        <c:axId val="-835795344"/>
      </c:radarChart>
      <c:catAx>
        <c:axId val="-835788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DO"/>
          </a:p>
        </c:txPr>
        <c:crossAx val="-835795344"/>
        <c:crosses val="autoZero"/>
        <c:auto val="1"/>
        <c:lblAlgn val="ctr"/>
        <c:lblOffset val="100"/>
        <c:noMultiLvlLbl val="0"/>
      </c:catAx>
      <c:valAx>
        <c:axId val="-835795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s-DO"/>
          </a:p>
        </c:txPr>
        <c:crossAx val="-835788816"/>
        <c:crosses val="autoZero"/>
        <c:crossBetween val="between"/>
        <c:majorUnit val="5.000000000000001E-2"/>
      </c:valAx>
      <c:spPr>
        <a:noFill/>
        <a:ln>
          <a:noFill/>
        </a:ln>
        <a:effectLst/>
      </c:spPr>
    </c:plotArea>
    <c:legend>
      <c:legendPos val="t"/>
      <c:layout>
        <c:manualLayout>
          <c:xMode val="edge"/>
          <c:yMode val="edge"/>
          <c:x val="0.37868272901538463"/>
          <c:y val="0.95413923958195346"/>
          <c:w val="0.28590386736288931"/>
          <c:h val="4.484943252327812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s-DO"/>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122802831464253E-2"/>
          <c:y val="2.4962971635980446E-2"/>
          <c:w val="0.87232174103237092"/>
          <c:h val="0.8309554196060065"/>
        </c:manualLayout>
      </c:layout>
      <c:barChart>
        <c:barDir val="col"/>
        <c:grouping val="stacked"/>
        <c:varyColors val="0"/>
        <c:ser>
          <c:idx val="0"/>
          <c:order val="0"/>
          <c:tx>
            <c:strRef>
              <c:f>smmgp!$D$4</c:f>
              <c:strCache>
                <c:ptCount val="1"/>
                <c:pt idx="0">
                  <c:v>Resultado Puntuación</c:v>
                </c:pt>
              </c:strCache>
            </c:strRef>
          </c:tx>
          <c:spPr>
            <a:solidFill>
              <a:srgbClr val="FFFF00"/>
            </a:solidFill>
            <a:ln>
              <a:solidFill>
                <a:srgbClr val="FFFF00"/>
              </a:solidFill>
            </a:ln>
            <a:effectLst/>
          </c:spPr>
          <c:invertIfNegative val="0"/>
          <c:dLbls>
            <c:spPr>
              <a:noFill/>
              <a:ln>
                <a:noFill/>
              </a:ln>
              <a:effectLst/>
            </c:spPr>
            <c:txPr>
              <a:bodyPr rot="0" vert="horz"/>
              <a:lstStyle/>
              <a:p>
                <a:pPr>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smmgp!$C$91:$C$94</c:f>
              <c:strCache>
                <c:ptCount val="4"/>
                <c:pt idx="0">
                  <c:v>T1</c:v>
                </c:pt>
                <c:pt idx="1">
                  <c:v>T2</c:v>
                </c:pt>
                <c:pt idx="2">
                  <c:v>T3</c:v>
                </c:pt>
                <c:pt idx="3">
                  <c:v>T4*</c:v>
                </c:pt>
              </c:strCache>
            </c:strRef>
          </c:cat>
          <c:val>
            <c:numRef>
              <c:f>smmgp!$D$91:$D$94</c:f>
              <c:numCache>
                <c:formatCode>0.00%</c:formatCode>
                <c:ptCount val="4"/>
                <c:pt idx="0">
                  <c:v>0.7</c:v>
                </c:pt>
                <c:pt idx="1">
                  <c:v>0.7</c:v>
                </c:pt>
                <c:pt idx="2">
                  <c:v>0.72150000000000003</c:v>
                </c:pt>
                <c:pt idx="3">
                  <c:v>0.76149999999999995</c:v>
                </c:pt>
              </c:numCache>
            </c:numRef>
          </c:val>
          <c:extLst xmlns:c16r2="http://schemas.microsoft.com/office/drawing/2015/06/chart">
            <c:ext xmlns:c16="http://schemas.microsoft.com/office/drawing/2014/chart" uri="{C3380CC4-5D6E-409C-BE32-E72D297353CC}">
              <c16:uniqueId val="{00000000-5953-49A5-9D6E-4F492EBD8DB6}"/>
            </c:ext>
          </c:extLst>
        </c:ser>
        <c:ser>
          <c:idx val="1"/>
          <c:order val="1"/>
          <c:tx>
            <c:strRef>
              <c:f>smmgp!$E$4</c:f>
              <c:strCache>
                <c:ptCount val="1"/>
                <c:pt idx="0">
                  <c:v>Resultado no alcanzado</c:v>
                </c:pt>
              </c:strCache>
            </c:strRef>
          </c:tx>
          <c:spPr>
            <a:noFill/>
            <a:ln>
              <a:solidFill>
                <a:schemeClr val="accent1"/>
              </a:solidFill>
            </a:ln>
            <a:effectLst/>
          </c:spPr>
          <c:invertIfNegative val="0"/>
          <c:dLbls>
            <c:spPr>
              <a:noFill/>
              <a:ln>
                <a:noFill/>
              </a:ln>
              <a:effectLst/>
            </c:spPr>
            <c:txPr>
              <a:bodyPr rot="0" vert="horz"/>
              <a:lstStyle/>
              <a:p>
                <a:pPr>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smmgp!$C$91:$C$94</c:f>
              <c:strCache>
                <c:ptCount val="4"/>
                <c:pt idx="0">
                  <c:v>T1</c:v>
                </c:pt>
                <c:pt idx="1">
                  <c:v>T2</c:v>
                </c:pt>
                <c:pt idx="2">
                  <c:v>T3</c:v>
                </c:pt>
                <c:pt idx="3">
                  <c:v>T4*</c:v>
                </c:pt>
              </c:strCache>
            </c:strRef>
          </c:cat>
          <c:val>
            <c:numRef>
              <c:f>smmgp!$E$91:$E$94</c:f>
              <c:numCache>
                <c:formatCode>0.00%</c:formatCode>
                <c:ptCount val="4"/>
                <c:pt idx="0">
                  <c:v>0.30000000000000004</c:v>
                </c:pt>
                <c:pt idx="1">
                  <c:v>0.30000000000000004</c:v>
                </c:pt>
                <c:pt idx="2">
                  <c:v>0.27849999999999997</c:v>
                </c:pt>
                <c:pt idx="3">
                  <c:v>0.23850000000000005</c:v>
                </c:pt>
              </c:numCache>
            </c:numRef>
          </c:val>
          <c:extLst xmlns:c16r2="http://schemas.microsoft.com/office/drawing/2015/06/chart">
            <c:ext xmlns:c16="http://schemas.microsoft.com/office/drawing/2014/chart" uri="{C3380CC4-5D6E-409C-BE32-E72D297353CC}">
              <c16:uniqueId val="{00000001-5953-49A5-9D6E-4F492EBD8DB6}"/>
            </c:ext>
          </c:extLst>
        </c:ser>
        <c:dLbls>
          <c:showLegendKey val="0"/>
          <c:showVal val="0"/>
          <c:showCatName val="0"/>
          <c:showSerName val="0"/>
          <c:showPercent val="0"/>
          <c:showBubbleSize val="0"/>
        </c:dLbls>
        <c:gapWidth val="150"/>
        <c:overlap val="100"/>
        <c:axId val="-835793168"/>
        <c:axId val="-835791536"/>
      </c:barChart>
      <c:catAx>
        <c:axId val="-83579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DO"/>
          </a:p>
        </c:txPr>
        <c:crossAx val="-835791536"/>
        <c:crosses val="autoZero"/>
        <c:auto val="1"/>
        <c:lblAlgn val="ctr"/>
        <c:lblOffset val="100"/>
        <c:noMultiLvlLbl val="0"/>
      </c:catAx>
      <c:valAx>
        <c:axId val="-835791536"/>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vert="horz"/>
          <a:lstStyle/>
          <a:p>
            <a:pPr>
              <a:defRPr/>
            </a:pPr>
            <a:endParaRPr lang="es-DO"/>
          </a:p>
        </c:txPr>
        <c:crossAx val="-835793168"/>
        <c:crosses val="autoZero"/>
        <c:crossBetween val="between"/>
        <c:majorUnit val="0.2"/>
      </c:valAx>
      <c:spPr>
        <a:noFill/>
        <a:ln>
          <a:noFill/>
        </a:ln>
        <a:effectLst/>
      </c:spPr>
    </c:plotArea>
    <c:legend>
      <c:legendPos val="b"/>
      <c:layout>
        <c:manualLayout>
          <c:xMode val="edge"/>
          <c:yMode val="edge"/>
          <c:x val="0.14349616617333152"/>
          <c:y val="0.92187437096678704"/>
          <c:w val="0.65180743217150816"/>
          <c:h val="5.1046744156980371E-2"/>
        </c:manualLayout>
      </c:layout>
      <c:overlay val="0"/>
      <c:spPr>
        <a:noFill/>
        <a:ln>
          <a:noFill/>
        </a:ln>
        <a:effectLst/>
      </c:spPr>
      <c:txPr>
        <a:bodyPr rot="0" vert="horz"/>
        <a:lstStyle/>
        <a:p>
          <a:pPr>
            <a:defRPr/>
          </a:pPr>
          <a:endParaRPr lang="es-DO"/>
        </a:p>
      </c:txPr>
    </c:legend>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356498051379939"/>
          <c:y val="0.10554593348188664"/>
          <c:w val="0.5293098305893581"/>
          <c:h val="0.746238257479798"/>
        </c:manualLayout>
      </c:layout>
      <c:radarChart>
        <c:radarStyle val="marker"/>
        <c:varyColors val="0"/>
        <c:ser>
          <c:idx val="0"/>
          <c:order val="0"/>
          <c:tx>
            <c:strRef>
              <c:f>smmgp!$I$4</c:f>
              <c:strCache>
                <c:ptCount val="1"/>
                <c:pt idx="0">
                  <c:v>Meta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smmgp!$H$91:$H$94</c:f>
              <c:strCache>
                <c:ptCount val="4"/>
                <c:pt idx="0">
                  <c:v>Uso de las TIC</c:v>
                </c:pt>
                <c:pt idx="1">
                  <c:v>Implementación de E-GOB</c:v>
                </c:pt>
                <c:pt idx="2">
                  <c:v>Desarrollo de e-servicios</c:v>
                </c:pt>
                <c:pt idx="3">
                  <c:v>Gobierno abierto y E-participación</c:v>
                </c:pt>
              </c:strCache>
            </c:strRef>
          </c:cat>
          <c:val>
            <c:numRef>
              <c:f>smmgp!$I$91:$I$94</c:f>
              <c:numCache>
                <c:formatCode>0%</c:formatCode>
                <c:ptCount val="4"/>
                <c:pt idx="0">
                  <c:v>0.2</c:v>
                </c:pt>
                <c:pt idx="1">
                  <c:v>0.3</c:v>
                </c:pt>
                <c:pt idx="2">
                  <c:v>0.25</c:v>
                </c:pt>
                <c:pt idx="3">
                  <c:v>0.25</c:v>
                </c:pt>
              </c:numCache>
            </c:numRef>
          </c:val>
          <c:extLst xmlns:c16r2="http://schemas.microsoft.com/office/drawing/2015/06/chart">
            <c:ext xmlns:c16="http://schemas.microsoft.com/office/drawing/2014/chart" uri="{C3380CC4-5D6E-409C-BE32-E72D297353CC}">
              <c16:uniqueId val="{00000000-99F6-4B71-8014-5C8E505CACB8}"/>
            </c:ext>
          </c:extLst>
        </c:ser>
        <c:ser>
          <c:idx val="1"/>
          <c:order val="1"/>
          <c:tx>
            <c:strRef>
              <c:f>smmgp!$J$4</c:f>
              <c:strCache>
                <c:ptCount val="1"/>
                <c:pt idx="0">
                  <c:v>ejecución</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layout>
                <c:manualLayout>
                  <c:x val="9.9280210655408128E-3"/>
                  <c:y val="5.84699620510274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9F6-4B71-8014-5C8E505CACB8}"/>
                </c:ext>
                <c:ext xmlns:c15="http://schemas.microsoft.com/office/drawing/2012/chart" uri="{CE6537A1-D6FC-4f65-9D91-7224C49458BB}"/>
              </c:extLst>
            </c:dLbl>
            <c:dLbl>
              <c:idx val="1"/>
              <c:layout>
                <c:manualLayout>
                  <c:x val="-4.368329268837997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9F6-4B71-8014-5C8E505CACB8}"/>
                </c:ext>
                <c:ext xmlns:c15="http://schemas.microsoft.com/office/drawing/2012/chart" uri="{CE6537A1-D6FC-4f65-9D91-7224C49458BB}"/>
              </c:extLst>
            </c:dLbl>
            <c:dLbl>
              <c:idx val="2"/>
              <c:layout>
                <c:manualLayout>
                  <c:x val="-3.1769667409730834E-2"/>
                  <c:y val="-7.441631533767145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9F6-4B71-8014-5C8E505CACB8}"/>
                </c:ext>
                <c:ext xmlns:c15="http://schemas.microsoft.com/office/drawing/2012/chart" uri="{CE6537A1-D6FC-4f65-9D91-7224C49458BB}"/>
              </c:extLst>
            </c:dLbl>
            <c:dLbl>
              <c:idx val="3"/>
              <c:layout>
                <c:manualLayout>
                  <c:x val="5.5596917967028966E-2"/>
                  <c:y val="-7.97317664332193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9F6-4B71-8014-5C8E505CACB8}"/>
                </c:ext>
                <c:ext xmlns:c15="http://schemas.microsoft.com/office/drawing/2012/chart" uri="{CE6537A1-D6FC-4f65-9D91-7224C49458BB}"/>
              </c:extLst>
            </c:dLbl>
            <c:dLbl>
              <c:idx val="4"/>
              <c:layout>
                <c:manualLayout>
                  <c:x val="4.5668896901488044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9F6-4B71-8014-5C8E505CACB8}"/>
                </c:ext>
                <c:ext xmlns:c15="http://schemas.microsoft.com/office/drawing/2012/chart" uri="{CE6537A1-D6FC-4f65-9D91-7224C49458BB}"/>
              </c:extLst>
            </c:dLbl>
            <c:spPr>
              <a:noFill/>
              <a:ln>
                <a:noFill/>
              </a:ln>
              <a:effectLst/>
            </c:spPr>
            <c:txPr>
              <a:bodyPr rot="0" vert="horz"/>
              <a:lstStyle/>
              <a:p>
                <a:pPr>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smmgp!$H$91:$H$94</c:f>
              <c:strCache>
                <c:ptCount val="4"/>
                <c:pt idx="0">
                  <c:v>Uso de las TIC</c:v>
                </c:pt>
                <c:pt idx="1">
                  <c:v>Implementación de E-GOB</c:v>
                </c:pt>
                <c:pt idx="2">
                  <c:v>Desarrollo de e-servicios</c:v>
                </c:pt>
                <c:pt idx="3">
                  <c:v>Gobierno abierto y E-participación</c:v>
                </c:pt>
              </c:strCache>
            </c:strRef>
          </c:cat>
          <c:val>
            <c:numRef>
              <c:f>smmgp!$J$91:$J$94</c:f>
              <c:numCache>
                <c:formatCode>0.00%</c:formatCode>
                <c:ptCount val="4"/>
                <c:pt idx="0">
                  <c:v>0.17249999999999999</c:v>
                </c:pt>
                <c:pt idx="1">
                  <c:v>0.20469999999999999</c:v>
                </c:pt>
                <c:pt idx="2">
                  <c:v>0.1827</c:v>
                </c:pt>
                <c:pt idx="3">
                  <c:v>0.2016</c:v>
                </c:pt>
              </c:numCache>
            </c:numRef>
          </c:val>
          <c:extLst xmlns:c16r2="http://schemas.microsoft.com/office/drawing/2015/06/chart">
            <c:ext xmlns:c16="http://schemas.microsoft.com/office/drawing/2014/chart" uri="{C3380CC4-5D6E-409C-BE32-E72D297353CC}">
              <c16:uniqueId val="{00000006-99F6-4B71-8014-5C8E505CACB8}"/>
            </c:ext>
          </c:extLst>
        </c:ser>
        <c:dLbls>
          <c:showLegendKey val="0"/>
          <c:showVal val="0"/>
          <c:showCatName val="0"/>
          <c:showSerName val="0"/>
          <c:showPercent val="0"/>
          <c:showBubbleSize val="0"/>
        </c:dLbls>
        <c:axId val="-835801328"/>
        <c:axId val="-835794800"/>
      </c:radarChart>
      <c:catAx>
        <c:axId val="-83580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DO"/>
          </a:p>
        </c:txPr>
        <c:crossAx val="-835794800"/>
        <c:crosses val="autoZero"/>
        <c:auto val="1"/>
        <c:lblAlgn val="ctr"/>
        <c:lblOffset val="100"/>
        <c:noMultiLvlLbl val="0"/>
      </c:catAx>
      <c:valAx>
        <c:axId val="-835794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es-DO"/>
          </a:p>
        </c:txPr>
        <c:crossAx val="-835801328"/>
        <c:crosses val="autoZero"/>
        <c:crossBetween val="between"/>
      </c:valAx>
      <c:spPr>
        <a:noFill/>
        <a:ln>
          <a:noFill/>
        </a:ln>
        <a:effectLst/>
      </c:spPr>
    </c:plotArea>
    <c:legend>
      <c:legendPos val="t"/>
      <c:layout>
        <c:manualLayout>
          <c:xMode val="edge"/>
          <c:yMode val="edge"/>
          <c:x val="0.37300392175852271"/>
          <c:y val="0.95144321013905309"/>
          <c:w val="0.28590386736288931"/>
          <c:h val="4.4849432523278124E-2"/>
        </c:manualLayout>
      </c:layout>
      <c:overlay val="0"/>
      <c:spPr>
        <a:noFill/>
        <a:ln>
          <a:noFill/>
        </a:ln>
        <a:effectLst/>
      </c:spPr>
      <c:txPr>
        <a:bodyPr rot="0" vert="horz"/>
        <a:lstStyle/>
        <a:p>
          <a:pPr>
            <a:defRPr/>
          </a:pPr>
          <a:endParaRPr lang="es-DO"/>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a:pPr>
            <a:r>
              <a:rPr lang="es-DO"/>
              <a:t>ITICGE</a:t>
            </a:r>
          </a:p>
          <a:p>
            <a:pPr>
              <a:defRPr/>
            </a:pPr>
            <a:r>
              <a:rPr lang="es-DO"/>
              <a:t>(Valores expresados en %)</a:t>
            </a:r>
          </a:p>
        </c:rich>
      </c:tx>
      <c:layout>
        <c:manualLayout>
          <c:xMode val="edge"/>
          <c:yMode val="edge"/>
          <c:x val="2.034898448792264E-3"/>
          <c:y val="2.0451988955927466E-5"/>
        </c:manualLayout>
      </c:layout>
      <c:overlay val="1"/>
    </c:title>
    <c:autoTitleDeleted val="0"/>
    <c:plotArea>
      <c:layout>
        <c:manualLayout>
          <c:layoutTarget val="inner"/>
          <c:xMode val="edge"/>
          <c:yMode val="edge"/>
          <c:x val="0.17426864626750541"/>
          <c:y val="6.3693296179064912E-2"/>
          <c:w val="0.67912371826154916"/>
          <c:h val="0.8193788047795646"/>
        </c:manualLayout>
      </c:layout>
      <c:radarChart>
        <c:radarStyle val="marker"/>
        <c:varyColors val="0"/>
        <c:ser>
          <c:idx val="0"/>
          <c:order val="0"/>
          <c:tx>
            <c:strRef>
              <c:f>Hoja1!$B$1</c:f>
              <c:strCache>
                <c:ptCount val="1"/>
                <c:pt idx="0">
                  <c:v>Ministerio de Agricultura</c:v>
                </c:pt>
              </c:strCache>
            </c:strRef>
          </c:tx>
          <c:spPr>
            <a:ln>
              <a:solidFill>
                <a:srgbClr val="00B050"/>
              </a:solidFill>
            </a:ln>
          </c:spPr>
          <c:marker>
            <c:symbol val="none"/>
          </c:marker>
          <c:dLbls>
            <c:dLbl>
              <c:idx val="0"/>
              <c:layout>
                <c:manualLayout>
                  <c:x val="2.5232641374373656E-3"/>
                  <c:y val="6.49227937416913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1AD-4DDF-9396-B4E46BAEE807}"/>
                </c:ext>
                <c:ext xmlns:c15="http://schemas.microsoft.com/office/drawing/2012/chart" uri="{CE6537A1-D6FC-4f65-9D91-7224C49458BB}"/>
              </c:extLst>
            </c:dLbl>
            <c:dLbl>
              <c:idx val="1"/>
              <c:layout>
                <c:manualLayout>
                  <c:x val="-1.5139549091776066E-2"/>
                  <c:y val="5.194219147650450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1AD-4DDF-9396-B4E46BAEE807}"/>
                </c:ext>
                <c:ext xmlns:c15="http://schemas.microsoft.com/office/drawing/2012/chart" uri="{CE6537A1-D6FC-4f65-9D91-7224C49458BB}"/>
              </c:extLst>
            </c:dLbl>
            <c:dLbl>
              <c:idx val="2"/>
              <c:layout>
                <c:manualLayout>
                  <c:x val="-4.7963890877276705E-2"/>
                  <c:y val="3.89579711626955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1AD-4DDF-9396-B4E46BAEE807}"/>
                </c:ext>
                <c:ext xmlns:c15="http://schemas.microsoft.com/office/drawing/2012/chart" uri="{CE6537A1-D6FC-4f65-9D91-7224C49458BB}"/>
              </c:extLst>
            </c:dLbl>
            <c:dLbl>
              <c:idx val="3"/>
              <c:layout>
                <c:manualLayout>
                  <c:x val="-5.9710468097873746E-2"/>
                  <c:y val="-1.5773052758649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1AD-4DDF-9396-B4E46BAEE807}"/>
                </c:ext>
                <c:ext xmlns:c15="http://schemas.microsoft.com/office/drawing/2012/chart" uri="{CE6537A1-D6FC-4f65-9D91-7224C49458BB}"/>
              </c:extLst>
            </c:dLbl>
            <c:dLbl>
              <c:idx val="4"/>
              <c:layout>
                <c:manualLayout>
                  <c:x val="-2.2691282907818435E-2"/>
                  <c:y val="-2.59685721103043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1AD-4DDF-9396-B4E46BAEE807}"/>
                </c:ext>
                <c:ext xmlns:c15="http://schemas.microsoft.com/office/drawing/2012/chart" uri="{CE6537A1-D6FC-4f65-9D91-7224C49458BB}"/>
              </c:extLst>
            </c:dLbl>
            <c:dLbl>
              <c:idx val="5"/>
              <c:layout>
                <c:manualLayout>
                  <c:x val="-1.2616290909813388E-2"/>
                  <c:y val="-8.657031912750751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1AD-4DDF-9396-B4E46BAEE807}"/>
                </c:ext>
                <c:ext xmlns:c15="http://schemas.microsoft.com/office/drawing/2012/chart" uri="{CE6537A1-D6FC-4f65-9D91-7224C49458BB}"/>
              </c:extLst>
            </c:dLbl>
            <c:dLbl>
              <c:idx val="6"/>
              <c:layout>
                <c:manualLayout>
                  <c:x val="7.9535512606378744E-6"/>
                  <c:y val="-9.090091011350853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1AD-4DDF-9396-B4E46BAEE807}"/>
                </c:ext>
                <c:ext xmlns:c15="http://schemas.microsoft.com/office/drawing/2012/chart" uri="{CE6537A1-D6FC-4f65-9D91-7224C49458BB}"/>
              </c:extLst>
            </c:dLbl>
            <c:dLbl>
              <c:idx val="7"/>
              <c:layout>
                <c:manualLayout>
                  <c:x val="1.5139549091776066E-2"/>
                  <c:y val="-6.49277393456306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1AD-4DDF-9396-B4E46BAEE807}"/>
                </c:ext>
                <c:ext xmlns:c15="http://schemas.microsoft.com/office/drawing/2012/chart" uri="{CE6537A1-D6FC-4f65-9D91-7224C49458BB}"/>
              </c:extLst>
            </c:dLbl>
            <c:dLbl>
              <c:idx val="8"/>
              <c:layout>
                <c:manualLayout>
                  <c:x val="3.5325614547477485E-2"/>
                  <c:y val="-3.0299611694627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1AD-4DDF-9396-B4E46BAEE807}"/>
                </c:ext>
                <c:ext xmlns:c15="http://schemas.microsoft.com/office/drawing/2012/chart" uri="{CE6537A1-D6FC-4f65-9D91-7224C49458BB}"/>
              </c:extLst>
            </c:dLbl>
            <c:dLbl>
              <c:idx val="9"/>
              <c:layout>
                <c:manualLayout>
                  <c:x val="3.0267040483575917E-2"/>
                  <c:y val="3.9682081271750627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1AD-4DDF-9396-B4E46BAEE807}"/>
                </c:ext>
                <c:ext xmlns:c15="http://schemas.microsoft.com/office/drawing/2012/chart" uri="{CE6537A1-D6FC-4f65-9D91-7224C49458BB}"/>
              </c:extLst>
            </c:dLbl>
            <c:dLbl>
              <c:idx val="10"/>
              <c:layout>
                <c:manualLayout>
                  <c:x val="3.7848872729440167E-2"/>
                  <c:y val="4.32851595637537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1AD-4DDF-9396-B4E46BAEE807}"/>
                </c:ext>
                <c:ext xmlns:c15="http://schemas.microsoft.com/office/drawing/2012/chart" uri="{CE6537A1-D6FC-4f65-9D91-7224C49458BB}"/>
              </c:extLst>
            </c:dLbl>
            <c:dLbl>
              <c:idx val="11"/>
              <c:layout>
                <c:manualLayout>
                  <c:x val="1.5139549091776066E-2"/>
                  <c:y val="4.76136755201291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1AD-4DDF-9396-B4E46BAEE807}"/>
                </c:ext>
                <c:ext xmlns:c15="http://schemas.microsoft.com/office/drawing/2012/chart" uri="{CE6537A1-D6FC-4f65-9D91-7224C49458BB}"/>
              </c:extLst>
            </c:dLbl>
            <c:numFmt formatCode="#,##0" sourceLinked="0"/>
            <c:spPr>
              <a:solidFill>
                <a:srgbClr val="00B050"/>
              </a:solidFill>
            </c:spPr>
            <c:txPr>
              <a:bodyPr rot="0" vert="horz"/>
              <a:lstStyle/>
              <a:p>
                <a:pPr>
                  <a:defRPr>
                    <a:solidFill>
                      <a:schemeClr val="bg1"/>
                    </a:solidFill>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Hoja1!$A$2:$A$13</c:f>
              <c:strCache>
                <c:ptCount val="12"/>
                <c:pt idx="0">
                  <c:v>Infraestructura</c:v>
                </c:pt>
                <c:pt idx="1">
                  <c:v>Software y Herramientas</c:v>
                </c:pt>
                <c:pt idx="2">
                  <c:v>Capital Humano</c:v>
                </c:pt>
                <c:pt idx="3">
                  <c:v>Gestión y Controles TIC</c:v>
                </c:pt>
                <c:pt idx="4">
                  <c:v>Estandares y Mejores Practicas</c:v>
                </c:pt>
                <c:pt idx="5">
                  <c:v>Presencia Web</c:v>
                </c:pt>
                <c:pt idx="6">
                  <c:v>Datos Abiertos</c:v>
                </c:pt>
                <c:pt idx="7">
                  <c:v>Interoperabilidad</c:v>
                </c:pt>
                <c:pt idx="8">
                  <c:v>Redes Sociales</c:v>
                </c:pt>
                <c:pt idx="9">
                  <c:v>Disponibilidad de e-Servicios</c:v>
                </c:pt>
                <c:pt idx="10">
                  <c:v>Desarrollo de e-Servicios</c:v>
                </c:pt>
                <c:pt idx="11">
                  <c:v>e-Participación</c:v>
                </c:pt>
              </c:strCache>
            </c:strRef>
          </c:cat>
          <c:val>
            <c:numRef>
              <c:f>Hoja1!$B$2:$B$13</c:f>
              <c:numCache>
                <c:formatCode>0.00</c:formatCode>
                <c:ptCount val="12"/>
                <c:pt idx="0">
                  <c:v>89.18</c:v>
                </c:pt>
                <c:pt idx="1">
                  <c:v>70.83</c:v>
                </c:pt>
                <c:pt idx="2">
                  <c:v>76.040000000000006</c:v>
                </c:pt>
                <c:pt idx="3">
                  <c:v>100</c:v>
                </c:pt>
                <c:pt idx="4">
                  <c:v>70</c:v>
                </c:pt>
                <c:pt idx="5">
                  <c:v>99.8</c:v>
                </c:pt>
                <c:pt idx="6">
                  <c:v>100</c:v>
                </c:pt>
                <c:pt idx="7">
                  <c:v>34.29</c:v>
                </c:pt>
                <c:pt idx="8">
                  <c:v>37.75</c:v>
                </c:pt>
                <c:pt idx="9">
                  <c:v>65.5</c:v>
                </c:pt>
                <c:pt idx="10">
                  <c:v>89.18</c:v>
                </c:pt>
                <c:pt idx="11">
                  <c:v>82.5</c:v>
                </c:pt>
              </c:numCache>
            </c:numRef>
          </c:val>
          <c:extLst xmlns:c16r2="http://schemas.microsoft.com/office/drawing/2015/06/chart">
            <c:ext xmlns:c16="http://schemas.microsoft.com/office/drawing/2014/chart" uri="{C3380CC4-5D6E-409C-BE32-E72D297353CC}">
              <c16:uniqueId val="{0000000C-11AD-4DDF-9396-B4E46BAEE807}"/>
            </c:ext>
          </c:extLst>
        </c:ser>
        <c:ser>
          <c:idx val="1"/>
          <c:order val="1"/>
          <c:tx>
            <c:strRef>
              <c:f>Hoja1!$C$1</c:f>
              <c:strCache>
                <c:ptCount val="1"/>
                <c:pt idx="0">
                  <c:v>Avance País</c:v>
                </c:pt>
              </c:strCache>
            </c:strRef>
          </c:tx>
          <c:spPr>
            <a:ln>
              <a:solidFill>
                <a:srgbClr val="0070C0"/>
              </a:solidFill>
            </a:ln>
          </c:spPr>
          <c:marker>
            <c:symbol val="none"/>
          </c:marker>
          <c:dLbls>
            <c:dLbl>
              <c:idx val="0"/>
              <c:layout>
                <c:manualLayout>
                  <c:x val="-9.2591522967418133E-17"/>
                  <c:y val="9.52309370419606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11AD-4DDF-9396-B4E46BAEE807}"/>
                </c:ext>
                <c:ext xmlns:c15="http://schemas.microsoft.com/office/drawing/2012/chart" uri="{CE6537A1-D6FC-4f65-9D91-7224C49458BB}"/>
              </c:extLst>
            </c:dLbl>
            <c:dLbl>
              <c:idx val="1"/>
              <c:layout>
                <c:manualLayout>
                  <c:x val="-3.2802356365514811E-2"/>
                  <c:y val="7.791328721475676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11AD-4DDF-9396-B4E46BAEE807}"/>
                </c:ext>
                <c:ext xmlns:c15="http://schemas.microsoft.com/office/drawing/2012/chart" uri="{CE6537A1-D6FC-4f65-9D91-7224C49458BB}"/>
              </c:extLst>
            </c:dLbl>
            <c:dLbl>
              <c:idx val="2"/>
              <c:layout>
                <c:manualLayout>
                  <c:x val="-2.774178795832339E-2"/>
                  <c:y val="2.59685721103043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11AD-4DDF-9396-B4E46BAEE807}"/>
                </c:ext>
                <c:ext xmlns:c15="http://schemas.microsoft.com/office/drawing/2012/chart" uri="{CE6537A1-D6FC-4f65-9D91-7224C49458BB}"/>
              </c:extLst>
            </c:dLbl>
            <c:dLbl>
              <c:idx val="3"/>
              <c:layout>
                <c:manualLayout>
                  <c:x val="-6.308145454906694E-2"/>
                  <c:y val="-1.298554786912612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11AD-4DDF-9396-B4E46BAEE807}"/>
                </c:ext>
                <c:ext xmlns:c15="http://schemas.microsoft.com/office/drawing/2012/chart" uri="{CE6537A1-D6FC-4f65-9D91-7224C49458BB}"/>
              </c:extLst>
            </c:dLbl>
            <c:dLbl>
              <c:idx val="4"/>
              <c:layout>
                <c:manualLayout>
                  <c:x val="-1.7662807273738743E-2"/>
                  <c:y val="-2.164257978187687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11AD-4DDF-9396-B4E46BAEE807}"/>
                </c:ext>
                <c:ext xmlns:c15="http://schemas.microsoft.com/office/drawing/2012/chart" uri="{CE6537A1-D6FC-4f65-9D91-7224C49458BB}"/>
              </c:extLst>
            </c:dLbl>
            <c:dLbl>
              <c:idx val="5"/>
              <c:layout>
                <c:manualLayout>
                  <c:x val="-2.0174182772607969E-2"/>
                  <c:y val="-7.79132153935303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11AD-4DDF-9396-B4E46BAEE807}"/>
                </c:ext>
                <c:ext xmlns:c15="http://schemas.microsoft.com/office/drawing/2012/chart" uri="{CE6537A1-D6FC-4f65-9D91-7224C49458BB}"/>
              </c:extLst>
            </c:dLbl>
            <c:dLbl>
              <c:idx val="6"/>
              <c:layout>
                <c:manualLayout>
                  <c:x val="2.5232581819626776E-3"/>
                  <c:y val="-9.52273510402583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11AD-4DDF-9396-B4E46BAEE807}"/>
                </c:ext>
                <c:ext xmlns:c15="http://schemas.microsoft.com/office/drawing/2012/chart" uri="{CE6537A1-D6FC-4f65-9D91-7224C49458BB}"/>
              </c:extLst>
            </c:dLbl>
            <c:dLbl>
              <c:idx val="7"/>
              <c:layout>
                <c:manualLayout>
                  <c:x val="4.0388133301519039E-2"/>
                  <c:y val="-7.358284759859562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11AD-4DDF-9396-B4E46BAEE807}"/>
                </c:ext>
                <c:ext xmlns:c15="http://schemas.microsoft.com/office/drawing/2012/chart" uri="{CE6537A1-D6FC-4f65-9D91-7224C49458BB}"/>
              </c:extLst>
            </c:dLbl>
            <c:dLbl>
              <c:idx val="8"/>
              <c:layout>
                <c:manualLayout>
                  <c:x val="3.2802433786685757E-2"/>
                  <c:y val="-1.731124518526093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11AD-4DDF-9396-B4E46BAEE807}"/>
                </c:ext>
                <c:ext xmlns:c15="http://schemas.microsoft.com/office/drawing/2012/chart" uri="{CE6537A1-D6FC-4f65-9D91-7224C49458BB}"/>
              </c:extLst>
            </c:dLbl>
            <c:dLbl>
              <c:idx val="9"/>
              <c:layout>
                <c:manualLayout>
                  <c:x val="6.0576234788833214E-2"/>
                  <c:y val="-4.3286634625217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11AD-4DDF-9396-B4E46BAEE807}"/>
                </c:ext>
                <c:ext xmlns:c15="http://schemas.microsoft.com/office/drawing/2012/chart" uri="{CE6537A1-D6FC-4f65-9D91-7224C49458BB}"/>
              </c:extLst>
            </c:dLbl>
            <c:dLbl>
              <c:idx val="10"/>
              <c:layout>
                <c:manualLayout>
                  <c:x val="3.0281158037063549E-2"/>
                  <c:y val="5.194498414970855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11AD-4DDF-9396-B4E46BAEE807}"/>
                </c:ext>
                <c:ext xmlns:c15="http://schemas.microsoft.com/office/drawing/2012/chart" uri="{CE6537A1-D6FC-4f65-9D91-7224C49458BB}"/>
              </c:extLst>
            </c:dLbl>
            <c:dLbl>
              <c:idx val="11"/>
              <c:layout>
                <c:manualLayout>
                  <c:x val="1.5139549091776019E-2"/>
                  <c:y val="7.358477125838142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11AD-4DDF-9396-B4E46BAEE807}"/>
                </c:ext>
                <c:ext xmlns:c15="http://schemas.microsoft.com/office/drawing/2012/chart" uri="{CE6537A1-D6FC-4f65-9D91-7224C49458BB}"/>
              </c:extLst>
            </c:dLbl>
            <c:numFmt formatCode="#,##0" sourceLinked="0"/>
            <c:spPr>
              <a:solidFill>
                <a:srgbClr val="0070C0"/>
              </a:solidFill>
            </c:spPr>
            <c:txPr>
              <a:bodyPr/>
              <a:lstStyle/>
              <a:p>
                <a:pPr>
                  <a:defRPr>
                    <a:solidFill>
                      <a:schemeClr val="bg1"/>
                    </a:solidFill>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Hoja1!$A$2:$A$13</c:f>
              <c:strCache>
                <c:ptCount val="12"/>
                <c:pt idx="0">
                  <c:v>Infraestructura</c:v>
                </c:pt>
                <c:pt idx="1">
                  <c:v>Software y Herramientas</c:v>
                </c:pt>
                <c:pt idx="2">
                  <c:v>Capital Humano</c:v>
                </c:pt>
                <c:pt idx="3">
                  <c:v>Gestión y Controles TIC</c:v>
                </c:pt>
                <c:pt idx="4">
                  <c:v>Estandares y Mejores Practicas</c:v>
                </c:pt>
                <c:pt idx="5">
                  <c:v>Presencia Web</c:v>
                </c:pt>
                <c:pt idx="6">
                  <c:v>Datos Abiertos</c:v>
                </c:pt>
                <c:pt idx="7">
                  <c:v>Interoperabilidad</c:v>
                </c:pt>
                <c:pt idx="8">
                  <c:v>Redes Sociales</c:v>
                </c:pt>
                <c:pt idx="9">
                  <c:v>Disponibilidad de e-Servicios</c:v>
                </c:pt>
                <c:pt idx="10">
                  <c:v>Desarrollo de e-Servicios</c:v>
                </c:pt>
                <c:pt idx="11">
                  <c:v>e-Participación</c:v>
                </c:pt>
              </c:strCache>
            </c:strRef>
          </c:cat>
          <c:val>
            <c:numRef>
              <c:f>Hoja1!$C$2:$C$13</c:f>
              <c:numCache>
                <c:formatCode>0.00</c:formatCode>
                <c:ptCount val="12"/>
                <c:pt idx="0">
                  <c:v>73.05</c:v>
                </c:pt>
                <c:pt idx="1">
                  <c:v>65.41</c:v>
                </c:pt>
                <c:pt idx="2">
                  <c:v>78.13</c:v>
                </c:pt>
                <c:pt idx="3">
                  <c:v>80.92</c:v>
                </c:pt>
                <c:pt idx="4">
                  <c:v>47.19</c:v>
                </c:pt>
                <c:pt idx="5">
                  <c:v>65.459999999999994</c:v>
                </c:pt>
                <c:pt idx="6">
                  <c:v>65.58</c:v>
                </c:pt>
                <c:pt idx="7">
                  <c:v>34.200000000000003</c:v>
                </c:pt>
                <c:pt idx="8">
                  <c:v>66.8</c:v>
                </c:pt>
                <c:pt idx="9">
                  <c:v>41.04</c:v>
                </c:pt>
                <c:pt idx="10">
                  <c:v>73.05</c:v>
                </c:pt>
                <c:pt idx="11">
                  <c:v>62.93</c:v>
                </c:pt>
              </c:numCache>
            </c:numRef>
          </c:val>
          <c:extLst xmlns:c16r2="http://schemas.microsoft.com/office/drawing/2015/06/chart">
            <c:ext xmlns:c16="http://schemas.microsoft.com/office/drawing/2014/chart" uri="{C3380CC4-5D6E-409C-BE32-E72D297353CC}">
              <c16:uniqueId val="{00000019-11AD-4DDF-9396-B4E46BAEE807}"/>
            </c:ext>
          </c:extLst>
        </c:ser>
        <c:dLbls>
          <c:showLegendKey val="0"/>
          <c:showVal val="0"/>
          <c:showCatName val="0"/>
          <c:showSerName val="0"/>
          <c:showPercent val="0"/>
          <c:showBubbleSize val="0"/>
        </c:dLbls>
        <c:axId val="-835795888"/>
        <c:axId val="-835792624"/>
      </c:radarChart>
      <c:catAx>
        <c:axId val="-835795888"/>
        <c:scaling>
          <c:orientation val="minMax"/>
        </c:scaling>
        <c:delete val="0"/>
        <c:axPos val="b"/>
        <c:majorGridlines/>
        <c:numFmt formatCode="General" sourceLinked="1"/>
        <c:majorTickMark val="out"/>
        <c:minorTickMark val="none"/>
        <c:tickLblPos val="nextTo"/>
        <c:crossAx val="-835792624"/>
        <c:crosses val="autoZero"/>
        <c:auto val="1"/>
        <c:lblAlgn val="ctr"/>
        <c:lblOffset val="100"/>
        <c:noMultiLvlLbl val="0"/>
      </c:catAx>
      <c:valAx>
        <c:axId val="-835792624"/>
        <c:scaling>
          <c:orientation val="minMax"/>
        </c:scaling>
        <c:delete val="0"/>
        <c:axPos val="l"/>
        <c:majorGridlines/>
        <c:numFmt formatCode="0" sourceLinked="0"/>
        <c:majorTickMark val="cross"/>
        <c:minorTickMark val="none"/>
        <c:tickLblPos val="nextTo"/>
        <c:crossAx val="-835795888"/>
        <c:crosses val="autoZero"/>
        <c:crossBetween val="between"/>
        <c:majorUnit val="20"/>
      </c:valAx>
    </c:plotArea>
    <c:legend>
      <c:legendPos val="b"/>
      <c:layout>
        <c:manualLayout>
          <c:xMode val="edge"/>
          <c:yMode val="edge"/>
          <c:x val="0.19871909877959737"/>
          <c:y val="0.92172785220029319"/>
          <c:w val="0.64628370317346695"/>
          <c:h val="6.2587954932991505E-2"/>
        </c:manualLayout>
      </c:layout>
      <c:overlay val="0"/>
    </c:legend>
    <c:plotVisOnly val="1"/>
    <c:dispBlanksAs val="gap"/>
    <c:showDLblsOverMax val="0"/>
  </c:chart>
  <c:spPr>
    <a:ln>
      <a:noFill/>
    </a:ln>
  </c:spPr>
  <c:txPr>
    <a:bodyPr/>
    <a:lstStyle/>
    <a:p>
      <a:pPr>
        <a:defRPr sz="800">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28008082658316"/>
          <c:y val="0.13099059029764795"/>
          <c:w val="0.77883809199805543"/>
          <c:h val="0.71109649472288827"/>
        </c:manualLayout>
      </c:layout>
      <c:barChart>
        <c:barDir val="col"/>
        <c:grouping val="clustered"/>
        <c:varyColors val="0"/>
        <c:ser>
          <c:idx val="0"/>
          <c:order val="0"/>
          <c:tx>
            <c:strRef>
              <c:f>'[Datos 13 dic. 2019.xlsx]Chart Producción'!$D$9</c:f>
              <c:strCache>
                <c:ptCount val="1"/>
                <c:pt idx="0">
                  <c:v>Tareas Beneficiadas</c:v>
                </c:pt>
              </c:strCache>
            </c:strRef>
          </c:tx>
          <c:spPr>
            <a:solidFill>
              <a:srgbClr val="00B050"/>
            </a:solidFill>
            <a:ln>
              <a:noFill/>
            </a:ln>
            <a:effectLst/>
          </c:spPr>
          <c:invertIfNegative val="0"/>
          <c:dPt>
            <c:idx val="0"/>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1-492C-45B2-8C89-7AA7FF10E891}"/>
              </c:ext>
            </c:extLst>
          </c:dPt>
          <c:dPt>
            <c:idx val="1"/>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3-492C-45B2-8C89-7AA7FF10E891}"/>
              </c:ext>
            </c:extLst>
          </c:dPt>
          <c:dPt>
            <c:idx val="2"/>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5-492C-45B2-8C89-7AA7FF10E891}"/>
              </c:ext>
            </c:extLst>
          </c:dPt>
          <c:dPt>
            <c:idx val="3"/>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7-492C-45B2-8C89-7AA7FF10E891}"/>
              </c:ext>
            </c:extLst>
          </c:dPt>
          <c:dPt>
            <c:idx val="4"/>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9-492C-45B2-8C89-7AA7FF10E891}"/>
              </c:ext>
            </c:extLst>
          </c:dPt>
          <c:dPt>
            <c:idx val="5"/>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B-492C-45B2-8C89-7AA7FF10E891}"/>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'[Datos 13 dic. 2019.xlsx]Chart Producción'!$G$3:$O$3</c:f>
              <c:numCache>
                <c:formatCode>General</c:formatCode>
                <c:ptCount val="8"/>
                <c:pt idx="0">
                  <c:v>2012</c:v>
                </c:pt>
                <c:pt idx="1">
                  <c:v>2013</c:v>
                </c:pt>
                <c:pt idx="2">
                  <c:v>2014</c:v>
                </c:pt>
                <c:pt idx="3">
                  <c:v>2015</c:v>
                </c:pt>
                <c:pt idx="4">
                  <c:v>2016</c:v>
                </c:pt>
                <c:pt idx="5">
                  <c:v>2017</c:v>
                </c:pt>
                <c:pt idx="6">
                  <c:v>2018</c:v>
                </c:pt>
                <c:pt idx="7">
                  <c:v>2019</c:v>
                </c:pt>
              </c:numCache>
            </c:numRef>
          </c:cat>
          <c:val>
            <c:numRef>
              <c:f>'[Datos 13 dic. 2019.xlsx]Chart Producción'!$G$9:$O$9</c:f>
              <c:numCache>
                <c:formatCode>#,##0</c:formatCode>
                <c:ptCount val="8"/>
                <c:pt idx="0">
                  <c:v>1222800</c:v>
                </c:pt>
                <c:pt idx="1">
                  <c:v>1308184</c:v>
                </c:pt>
                <c:pt idx="2">
                  <c:v>858442</c:v>
                </c:pt>
                <c:pt idx="3">
                  <c:v>1609792</c:v>
                </c:pt>
                <c:pt idx="4">
                  <c:v>1463906</c:v>
                </c:pt>
                <c:pt idx="5">
                  <c:v>835055.49190476188</c:v>
                </c:pt>
                <c:pt idx="6">
                  <c:v>916000</c:v>
                </c:pt>
                <c:pt idx="7">
                  <c:v>2271935.41</c:v>
                </c:pt>
              </c:numCache>
            </c:numRef>
          </c:val>
          <c:extLst xmlns:c16r2="http://schemas.microsoft.com/office/drawing/2015/06/chart">
            <c:ext xmlns:c16="http://schemas.microsoft.com/office/drawing/2014/chart" uri="{C3380CC4-5D6E-409C-BE32-E72D297353CC}">
              <c16:uniqueId val="{0000000C-492C-45B2-8C89-7AA7FF10E891}"/>
            </c:ext>
          </c:extLst>
        </c:ser>
        <c:dLbls>
          <c:showLegendKey val="0"/>
          <c:showVal val="0"/>
          <c:showCatName val="0"/>
          <c:showSerName val="0"/>
          <c:showPercent val="0"/>
          <c:showBubbleSize val="0"/>
        </c:dLbls>
        <c:gapWidth val="100"/>
        <c:overlap val="-24"/>
        <c:axId val="-835771408"/>
        <c:axId val="-835770320"/>
      </c:barChart>
      <c:catAx>
        <c:axId val="-835771408"/>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70320"/>
        <c:crosses val="autoZero"/>
        <c:auto val="1"/>
        <c:lblAlgn val="ctr"/>
        <c:lblOffset val="100"/>
        <c:noMultiLvlLbl val="0"/>
      </c:catAx>
      <c:valAx>
        <c:axId val="-83577032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t>Tareas Beneficiadaas</a:t>
                </a:r>
              </a:p>
            </c:rich>
          </c:tx>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714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122703412073491E-2"/>
          <c:y val="2.4962971635980446E-2"/>
          <c:w val="0.87232174103237092"/>
          <c:h val="0.85697772443872022"/>
        </c:manualLayout>
      </c:layout>
      <c:barChart>
        <c:barDir val="col"/>
        <c:grouping val="stacked"/>
        <c:varyColors val="0"/>
        <c:ser>
          <c:idx val="0"/>
          <c:order val="0"/>
          <c:tx>
            <c:strRef>
              <c:f>smmgp!$D$4</c:f>
              <c:strCache>
                <c:ptCount val="1"/>
                <c:pt idx="0">
                  <c:v>Resultado Puntuación</c:v>
                </c:pt>
              </c:strCache>
            </c:strRef>
          </c:tx>
          <c:spPr>
            <a:solidFill>
              <a:srgbClr val="00B050"/>
            </a:solidFill>
            <a:ln>
              <a:solidFill>
                <a:srgbClr val="00B050"/>
              </a:solidFill>
            </a:ln>
            <a:effectLst/>
          </c:spPr>
          <c:invertIfNegative val="0"/>
          <c:dPt>
            <c:idx val="0"/>
            <c:invertIfNegative val="0"/>
            <c:bubble3D val="0"/>
            <c:spPr>
              <a:solidFill>
                <a:srgbClr val="FF0000"/>
              </a:solidFill>
              <a:ln>
                <a:solidFill>
                  <a:srgbClr val="FF0000"/>
                </a:solidFill>
              </a:ln>
              <a:effectLst/>
            </c:spPr>
            <c:extLst xmlns:c16r2="http://schemas.microsoft.com/office/drawing/2015/06/chart">
              <c:ext xmlns:c16="http://schemas.microsoft.com/office/drawing/2014/chart" uri="{C3380CC4-5D6E-409C-BE32-E72D297353CC}">
                <c16:uniqueId val="{00000001-9F30-472C-BAEE-5CE858B021C7}"/>
              </c:ext>
            </c:extLst>
          </c:dPt>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smmgp!$C$133:$C$136</c:f>
              <c:strCache>
                <c:ptCount val="4"/>
                <c:pt idx="0">
                  <c:v>T1</c:v>
                </c:pt>
                <c:pt idx="1">
                  <c:v>T2</c:v>
                </c:pt>
                <c:pt idx="2">
                  <c:v>T3</c:v>
                </c:pt>
                <c:pt idx="3">
                  <c:v>T4*</c:v>
                </c:pt>
              </c:strCache>
            </c:strRef>
          </c:cat>
          <c:val>
            <c:numRef>
              <c:f>smmgp!$D$133:$D$136</c:f>
              <c:numCache>
                <c:formatCode>0.00%</c:formatCode>
                <c:ptCount val="4"/>
                <c:pt idx="0">
                  <c:v>0.5</c:v>
                </c:pt>
                <c:pt idx="1">
                  <c:v>0.9173</c:v>
                </c:pt>
                <c:pt idx="2">
                  <c:v>0.9173</c:v>
                </c:pt>
                <c:pt idx="3">
                  <c:v>0.95930000000000004</c:v>
                </c:pt>
              </c:numCache>
            </c:numRef>
          </c:val>
          <c:extLst xmlns:c16r2="http://schemas.microsoft.com/office/drawing/2015/06/chart">
            <c:ext xmlns:c16="http://schemas.microsoft.com/office/drawing/2014/chart" uri="{C3380CC4-5D6E-409C-BE32-E72D297353CC}">
              <c16:uniqueId val="{00000002-9F30-472C-BAEE-5CE858B021C7}"/>
            </c:ext>
          </c:extLst>
        </c:ser>
        <c:ser>
          <c:idx val="1"/>
          <c:order val="1"/>
          <c:tx>
            <c:strRef>
              <c:f>smmgp!$E$4</c:f>
              <c:strCache>
                <c:ptCount val="1"/>
                <c:pt idx="0">
                  <c:v>Resultado no alcanzado</c:v>
                </c:pt>
              </c:strCache>
            </c:strRef>
          </c:tx>
          <c:spPr>
            <a:noFill/>
            <a:ln>
              <a:solidFill>
                <a:schemeClr val="accent1"/>
              </a:solid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smmgp!$C$133:$C$136</c:f>
              <c:strCache>
                <c:ptCount val="4"/>
                <c:pt idx="0">
                  <c:v>T1</c:v>
                </c:pt>
                <c:pt idx="1">
                  <c:v>T2</c:v>
                </c:pt>
                <c:pt idx="2">
                  <c:v>T3</c:v>
                </c:pt>
                <c:pt idx="3">
                  <c:v>T4*</c:v>
                </c:pt>
              </c:strCache>
            </c:strRef>
          </c:cat>
          <c:val>
            <c:numRef>
              <c:f>smmgp!$E$133:$E$136</c:f>
              <c:numCache>
                <c:formatCode>0.00%</c:formatCode>
                <c:ptCount val="4"/>
                <c:pt idx="0">
                  <c:v>0.5</c:v>
                </c:pt>
                <c:pt idx="1">
                  <c:v>8.2699999999999996E-2</c:v>
                </c:pt>
                <c:pt idx="2">
                  <c:v>8.2699999999999996E-2</c:v>
                </c:pt>
                <c:pt idx="3">
                  <c:v>4.0699999999999958E-2</c:v>
                </c:pt>
              </c:numCache>
            </c:numRef>
          </c:val>
          <c:extLst xmlns:c16r2="http://schemas.microsoft.com/office/drawing/2015/06/chart">
            <c:ext xmlns:c16="http://schemas.microsoft.com/office/drawing/2014/chart" uri="{C3380CC4-5D6E-409C-BE32-E72D297353CC}">
              <c16:uniqueId val="{00000003-9F30-472C-BAEE-5CE858B021C7}"/>
            </c:ext>
          </c:extLst>
        </c:ser>
        <c:dLbls>
          <c:showLegendKey val="0"/>
          <c:showVal val="0"/>
          <c:showCatName val="0"/>
          <c:showSerName val="0"/>
          <c:showPercent val="0"/>
          <c:showBubbleSize val="0"/>
        </c:dLbls>
        <c:gapWidth val="150"/>
        <c:overlap val="100"/>
        <c:axId val="-835797520"/>
        <c:axId val="-835800784"/>
      </c:barChart>
      <c:catAx>
        <c:axId val="-835797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DO"/>
          </a:p>
        </c:txPr>
        <c:crossAx val="-835800784"/>
        <c:crosses val="autoZero"/>
        <c:auto val="1"/>
        <c:lblAlgn val="ctr"/>
        <c:lblOffset val="100"/>
        <c:noMultiLvlLbl val="0"/>
      </c:catAx>
      <c:valAx>
        <c:axId val="-835800784"/>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s-DO"/>
          </a:p>
        </c:txPr>
        <c:crossAx val="-835797520"/>
        <c:crosses val="autoZero"/>
        <c:crossBetween val="between"/>
      </c:valAx>
      <c:spPr>
        <a:noFill/>
        <a:ln>
          <a:noFill/>
        </a:ln>
        <a:effectLst/>
      </c:spPr>
    </c:plotArea>
    <c:legend>
      <c:legendPos val="b"/>
      <c:layout>
        <c:manualLayout>
          <c:xMode val="edge"/>
          <c:yMode val="edge"/>
          <c:x val="0.15107193987115244"/>
          <c:y val="0.94789655475221735"/>
          <c:w val="0.65180743217150816"/>
          <c:h val="5.1046744156980371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s-DO"/>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10735305814046"/>
          <c:y val="7.5064238112717854E-2"/>
          <c:w val="0.62303984729181583"/>
          <c:h val="0.87176237326867301"/>
        </c:manualLayout>
      </c:layout>
      <c:radarChart>
        <c:radarStyle val="marker"/>
        <c:varyColors val="0"/>
        <c:ser>
          <c:idx val="0"/>
          <c:order val="0"/>
          <c:tx>
            <c:strRef>
              <c:f>smmgp!$I$4</c:f>
              <c:strCache>
                <c:ptCount val="1"/>
                <c:pt idx="0">
                  <c:v>Meta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smmgp!$H$133:$H$137</c:f>
              <c:strCache>
                <c:ptCount val="5"/>
                <c:pt idx="0">
                  <c:v>Ambiente de control</c:v>
                </c:pt>
                <c:pt idx="1">
                  <c:v>Valoración y administración de riesgo</c:v>
                </c:pt>
                <c:pt idx="2">
                  <c:v>Actividades de control</c:v>
                </c:pt>
                <c:pt idx="3">
                  <c:v>Información y comunicación</c:v>
                </c:pt>
                <c:pt idx="4">
                  <c:v>Monitoreo y evaluación</c:v>
                </c:pt>
              </c:strCache>
            </c:strRef>
          </c:cat>
          <c:val>
            <c:numRef>
              <c:f>smmgp!$I$133:$I$137</c:f>
              <c:numCache>
                <c:formatCode>0%</c:formatCode>
                <c:ptCount val="5"/>
                <c:pt idx="0">
                  <c:v>0.2</c:v>
                </c:pt>
                <c:pt idx="1">
                  <c:v>0.2</c:v>
                </c:pt>
                <c:pt idx="2">
                  <c:v>0.2</c:v>
                </c:pt>
                <c:pt idx="3">
                  <c:v>0.2</c:v>
                </c:pt>
                <c:pt idx="4">
                  <c:v>0.2</c:v>
                </c:pt>
              </c:numCache>
            </c:numRef>
          </c:val>
          <c:extLst xmlns:c16r2="http://schemas.microsoft.com/office/drawing/2015/06/chart">
            <c:ext xmlns:c16="http://schemas.microsoft.com/office/drawing/2014/chart" uri="{C3380CC4-5D6E-409C-BE32-E72D297353CC}">
              <c16:uniqueId val="{00000000-54E1-4257-9054-2C9A0E716C5A}"/>
            </c:ext>
          </c:extLst>
        </c:ser>
        <c:ser>
          <c:idx val="1"/>
          <c:order val="1"/>
          <c:tx>
            <c:strRef>
              <c:f>smmgp!$J$4</c:f>
              <c:strCache>
                <c:ptCount val="1"/>
                <c:pt idx="0">
                  <c:v>ejecución</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smmgp!$H$133:$H$137</c:f>
              <c:strCache>
                <c:ptCount val="5"/>
                <c:pt idx="0">
                  <c:v>Ambiente de control</c:v>
                </c:pt>
                <c:pt idx="1">
                  <c:v>Valoración y administración de riesgo</c:v>
                </c:pt>
                <c:pt idx="2">
                  <c:v>Actividades de control</c:v>
                </c:pt>
                <c:pt idx="3">
                  <c:v>Información y comunicación</c:v>
                </c:pt>
                <c:pt idx="4">
                  <c:v>Monitoreo y evaluación</c:v>
                </c:pt>
              </c:strCache>
            </c:strRef>
          </c:cat>
          <c:val>
            <c:numRef>
              <c:f>smmgp!$J$133:$J$137</c:f>
              <c:numCache>
                <c:formatCode>0.00%</c:formatCode>
                <c:ptCount val="5"/>
                <c:pt idx="0">
                  <c:v>0.19059999999999999</c:v>
                </c:pt>
                <c:pt idx="1">
                  <c:v>0.2</c:v>
                </c:pt>
                <c:pt idx="2">
                  <c:v>0.19089999999999999</c:v>
                </c:pt>
                <c:pt idx="3">
                  <c:v>0.17780000000000001</c:v>
                </c:pt>
                <c:pt idx="4">
                  <c:v>0.2</c:v>
                </c:pt>
              </c:numCache>
            </c:numRef>
          </c:val>
          <c:extLst xmlns:c16r2="http://schemas.microsoft.com/office/drawing/2015/06/chart">
            <c:ext xmlns:c16="http://schemas.microsoft.com/office/drawing/2014/chart" uri="{C3380CC4-5D6E-409C-BE32-E72D297353CC}">
              <c16:uniqueId val="{00000001-54E1-4257-9054-2C9A0E716C5A}"/>
            </c:ext>
          </c:extLst>
        </c:ser>
        <c:dLbls>
          <c:showLegendKey val="0"/>
          <c:showVal val="0"/>
          <c:showCatName val="0"/>
          <c:showSerName val="0"/>
          <c:showPercent val="0"/>
          <c:showBubbleSize val="0"/>
        </c:dLbls>
        <c:axId val="-835792080"/>
        <c:axId val="-835788272"/>
      </c:radarChart>
      <c:catAx>
        <c:axId val="-835792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DO"/>
          </a:p>
        </c:txPr>
        <c:crossAx val="-835788272"/>
        <c:crosses val="autoZero"/>
        <c:auto val="1"/>
        <c:lblAlgn val="ctr"/>
        <c:lblOffset val="100"/>
        <c:noMultiLvlLbl val="0"/>
      </c:catAx>
      <c:valAx>
        <c:axId val="-83578827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es-DO"/>
          </a:p>
        </c:txPr>
        <c:crossAx val="-835792080"/>
        <c:crosses val="autoZero"/>
        <c:crossBetween val="between"/>
      </c:valAx>
      <c:spPr>
        <a:noFill/>
        <a:ln>
          <a:noFill/>
        </a:ln>
        <a:effectLst/>
      </c:spPr>
    </c:plotArea>
    <c:legend>
      <c:legendPos val="t"/>
      <c:layout>
        <c:manualLayout>
          <c:xMode val="edge"/>
          <c:yMode val="edge"/>
          <c:x val="0.37300392175852271"/>
          <c:y val="0.95144321013905309"/>
          <c:w val="0.28590386736288931"/>
          <c:h val="4.4849432523278124E-2"/>
        </c:manualLayout>
      </c:layout>
      <c:overlay val="0"/>
      <c:spPr>
        <a:noFill/>
        <a:ln>
          <a:noFill/>
        </a:ln>
        <a:effectLst/>
      </c:spPr>
      <c:txPr>
        <a:bodyPr rot="0" vert="horz"/>
        <a:lstStyle/>
        <a:p>
          <a:pPr>
            <a:defRPr/>
          </a:pPr>
          <a:endParaRPr lang="es-DO"/>
        </a:p>
      </c:txPr>
    </c:legend>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122703412073491E-2"/>
          <c:y val="2.2639405204460967E-2"/>
          <c:w val="0.87232174103237092"/>
          <c:h val="0.83436210957014056"/>
        </c:manualLayout>
      </c:layout>
      <c:barChart>
        <c:barDir val="col"/>
        <c:grouping val="stacked"/>
        <c:varyColors val="0"/>
        <c:ser>
          <c:idx val="0"/>
          <c:order val="0"/>
          <c:tx>
            <c:strRef>
              <c:f>smmgp!$D$4</c:f>
              <c:strCache>
                <c:ptCount val="1"/>
                <c:pt idx="0">
                  <c:v>Resultado Puntuación</c:v>
                </c:pt>
              </c:strCache>
            </c:strRef>
          </c:tx>
          <c:spPr>
            <a:solidFill>
              <a:srgbClr val="00B050"/>
            </a:solidFill>
            <a:ln>
              <a:solidFill>
                <a:srgbClr val="00B050"/>
              </a:solid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smmgp!$C$133:$C$136</c:f>
              <c:strCache>
                <c:ptCount val="4"/>
                <c:pt idx="0">
                  <c:v>T1</c:v>
                </c:pt>
                <c:pt idx="1">
                  <c:v>T2</c:v>
                </c:pt>
                <c:pt idx="2">
                  <c:v>T3</c:v>
                </c:pt>
                <c:pt idx="3">
                  <c:v>T4*</c:v>
                </c:pt>
              </c:strCache>
            </c:strRef>
          </c:cat>
          <c:val>
            <c:numRef>
              <c:f>smmgp!$D$176:$D$179</c:f>
              <c:numCache>
                <c:formatCode>0.00%</c:formatCode>
                <c:ptCount val="4"/>
                <c:pt idx="0">
                  <c:v>0.94</c:v>
                </c:pt>
                <c:pt idx="1">
                  <c:v>0.95</c:v>
                </c:pt>
                <c:pt idx="2">
                  <c:v>0.94</c:v>
                </c:pt>
                <c:pt idx="3">
                  <c:v>0.94</c:v>
                </c:pt>
              </c:numCache>
            </c:numRef>
          </c:val>
          <c:extLst xmlns:c16r2="http://schemas.microsoft.com/office/drawing/2015/06/chart">
            <c:ext xmlns:c16="http://schemas.microsoft.com/office/drawing/2014/chart" uri="{C3380CC4-5D6E-409C-BE32-E72D297353CC}">
              <c16:uniqueId val="{00000000-5A26-45E4-A1C5-0644C99BCBBB}"/>
            </c:ext>
          </c:extLst>
        </c:ser>
        <c:ser>
          <c:idx val="1"/>
          <c:order val="1"/>
          <c:tx>
            <c:strRef>
              <c:f>smmgp!$E$4</c:f>
              <c:strCache>
                <c:ptCount val="1"/>
                <c:pt idx="0">
                  <c:v>Resultado no alcanzado</c:v>
                </c:pt>
              </c:strCache>
            </c:strRef>
          </c:tx>
          <c:spPr>
            <a:solidFill>
              <a:schemeClr val="bg1"/>
            </a:solidFill>
            <a:ln>
              <a:solidFill>
                <a:schemeClr val="accent1"/>
              </a:solid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smmgp!$C$133:$C$136</c:f>
              <c:strCache>
                <c:ptCount val="4"/>
                <c:pt idx="0">
                  <c:v>T1</c:v>
                </c:pt>
                <c:pt idx="1">
                  <c:v>T2</c:v>
                </c:pt>
                <c:pt idx="2">
                  <c:v>T3</c:v>
                </c:pt>
                <c:pt idx="3">
                  <c:v>T4*</c:v>
                </c:pt>
              </c:strCache>
            </c:strRef>
          </c:cat>
          <c:val>
            <c:numRef>
              <c:f>smmgp!$E$176:$E$179</c:f>
              <c:numCache>
                <c:formatCode>0.00%</c:formatCode>
                <c:ptCount val="4"/>
                <c:pt idx="0">
                  <c:v>6.0000000000000053E-2</c:v>
                </c:pt>
                <c:pt idx="1">
                  <c:v>5.0000000000000044E-2</c:v>
                </c:pt>
                <c:pt idx="2">
                  <c:v>6.0000000000000053E-2</c:v>
                </c:pt>
                <c:pt idx="3">
                  <c:v>6.0000000000000053E-2</c:v>
                </c:pt>
              </c:numCache>
            </c:numRef>
          </c:val>
          <c:extLst xmlns:c16r2="http://schemas.microsoft.com/office/drawing/2015/06/chart">
            <c:ext xmlns:c16="http://schemas.microsoft.com/office/drawing/2014/chart" uri="{C3380CC4-5D6E-409C-BE32-E72D297353CC}">
              <c16:uniqueId val="{00000001-5A26-45E4-A1C5-0644C99BCBBB}"/>
            </c:ext>
          </c:extLst>
        </c:ser>
        <c:dLbls>
          <c:showLegendKey val="0"/>
          <c:showVal val="0"/>
          <c:showCatName val="0"/>
          <c:showSerName val="0"/>
          <c:showPercent val="0"/>
          <c:showBubbleSize val="0"/>
        </c:dLbls>
        <c:gapWidth val="150"/>
        <c:overlap val="100"/>
        <c:axId val="-835800240"/>
        <c:axId val="-835799152"/>
      </c:barChart>
      <c:catAx>
        <c:axId val="-835800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DO"/>
          </a:p>
        </c:txPr>
        <c:crossAx val="-835799152"/>
        <c:crosses val="autoZero"/>
        <c:auto val="1"/>
        <c:lblAlgn val="ctr"/>
        <c:lblOffset val="100"/>
        <c:noMultiLvlLbl val="0"/>
      </c:catAx>
      <c:valAx>
        <c:axId val="-835799152"/>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vert="horz"/>
          <a:lstStyle/>
          <a:p>
            <a:pPr>
              <a:defRPr/>
            </a:pPr>
            <a:endParaRPr lang="es-DO"/>
          </a:p>
        </c:txPr>
        <c:crossAx val="-835800240"/>
        <c:crosses val="autoZero"/>
        <c:crossBetween val="between"/>
        <c:majorUnit val="0.2"/>
      </c:valAx>
      <c:spPr>
        <a:noFill/>
        <a:ln>
          <a:noFill/>
        </a:ln>
        <a:effectLst/>
      </c:spPr>
    </c:plotArea>
    <c:legend>
      <c:legendPos val="b"/>
      <c:layout>
        <c:manualLayout>
          <c:xMode val="edge"/>
          <c:yMode val="edge"/>
          <c:x val="0.14349616617333152"/>
          <c:y val="0.92187437096678704"/>
          <c:w val="0.65180743217150816"/>
          <c:h val="5.1046744156980371E-2"/>
        </c:manualLayout>
      </c:layout>
      <c:overlay val="0"/>
      <c:spPr>
        <a:noFill/>
        <a:ln>
          <a:noFill/>
        </a:ln>
        <a:effectLst/>
      </c:spPr>
      <c:txPr>
        <a:bodyPr rot="0" vert="horz"/>
        <a:lstStyle/>
        <a:p>
          <a:pPr>
            <a:defRPr/>
          </a:pPr>
          <a:endParaRPr lang="es-DO"/>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3420470302899343"/>
          <c:y val="5.2052613007638728E-2"/>
          <c:w val="0.72141597707947624"/>
          <c:h val="0.86190353865341296"/>
        </c:manualLayout>
      </c:layout>
      <c:barChart>
        <c:barDir val="bar"/>
        <c:grouping val="clustered"/>
        <c:varyColors val="0"/>
        <c:ser>
          <c:idx val="0"/>
          <c:order val="0"/>
          <c:tx>
            <c:strRef>
              <c:f>canales!$B$5</c:f>
              <c:strCache>
                <c:ptCount val="1"/>
                <c:pt idx="0">
                  <c:v>Cantidad</c:v>
                </c:pt>
              </c:strCache>
            </c:strRef>
          </c:tx>
          <c:spPr>
            <a:solidFill>
              <a:srgbClr val="00B050"/>
            </a:solidFill>
            <a:ln>
              <a:noFill/>
            </a:ln>
            <a:effectLst>
              <a:outerShdw blurRad="40000" dist="23000" dir="5400000" rotWithShape="0">
                <a:srgbClr val="000000">
                  <a:alpha val="35000"/>
                </a:srgbClr>
              </a:outerShdw>
            </a:effectLst>
          </c:spPr>
          <c:invertIfNegative val="0"/>
          <c:dLbls>
            <c:dLbl>
              <c:idx val="0"/>
              <c:layout>
                <c:manualLayout>
                  <c:x val="-2.0202020202020211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685-4E5E-A68C-611838B09981}"/>
                </c:ext>
                <c:ext xmlns:c15="http://schemas.microsoft.com/office/drawing/2012/chart" uri="{CE6537A1-D6FC-4f65-9D91-7224C49458BB}"/>
              </c:extLst>
            </c:dLbl>
            <c:dLbl>
              <c:idx val="1"/>
              <c:layout>
                <c:manualLayout>
                  <c:x val="-4.2239839389710534E-3"/>
                  <c:y val="-5.6884207518415036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3685-4E5E-A68C-611838B09981}"/>
                </c:ext>
                <c:ext xmlns:c15="http://schemas.microsoft.com/office/drawing/2012/chart" uri="{CE6537A1-D6FC-4f65-9D91-7224C49458BB}"/>
              </c:extLst>
            </c:dLbl>
            <c:dLbl>
              <c:idx val="2"/>
              <c:layout>
                <c:manualLayout>
                  <c:x val="2.4921264472659056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3685-4E5E-A68C-611838B09981}"/>
                </c:ext>
                <c:ext xmlns:c15="http://schemas.microsoft.com/office/drawing/2012/chart" uri="{CE6537A1-D6FC-4f65-9D91-7224C49458BB}"/>
              </c:extLst>
            </c:dLbl>
            <c:dLbl>
              <c:idx val="3"/>
              <c:layout>
                <c:manualLayout>
                  <c:x val="-2.5222749649115802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3685-4E5E-A68C-611838B0998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2">
                          <a:lumMod val="35000"/>
                          <a:lumOff val="65000"/>
                        </a:schemeClr>
                      </a:solidFill>
                      <a:prstDash val="solid"/>
                      <a:round/>
                    </a:ln>
                    <a:effectLst/>
                  </c:spPr>
                </c15:leaderLines>
              </c:ext>
            </c:extLst>
          </c:dLbls>
          <c:cat>
            <c:strRef>
              <c:f>canales!$A$6:$A$8</c:f>
              <c:strCache>
                <c:ptCount val="3"/>
                <c:pt idx="0">
                  <c:v>SAIP</c:v>
                </c:pt>
                <c:pt idx="1">
                  <c:v>Comunicación Escrita</c:v>
                </c:pt>
                <c:pt idx="2">
                  <c:v>Correo Electrónico</c:v>
                </c:pt>
              </c:strCache>
            </c:strRef>
          </c:cat>
          <c:val>
            <c:numRef>
              <c:f>canales!$B$6:$B$8</c:f>
              <c:numCache>
                <c:formatCode>_(* #,##0_);_(* \(#,##0\);_(* "-"??_);_(@_)</c:formatCode>
                <c:ptCount val="3"/>
                <c:pt idx="0">
                  <c:v>114</c:v>
                </c:pt>
                <c:pt idx="1">
                  <c:v>1</c:v>
                </c:pt>
                <c:pt idx="2">
                  <c:v>0</c:v>
                </c:pt>
              </c:numCache>
            </c:numRef>
          </c:val>
          <c:extLst xmlns:c16r2="http://schemas.microsoft.com/office/drawing/2015/06/chart">
            <c:ext xmlns:c16="http://schemas.microsoft.com/office/drawing/2014/chart" uri="{C3380CC4-5D6E-409C-BE32-E72D297353CC}">
              <c16:uniqueId val="{00000008-3685-4E5E-A68C-611838B09981}"/>
            </c:ext>
          </c:extLst>
        </c:ser>
        <c:dLbls>
          <c:showLegendKey val="0"/>
          <c:showVal val="1"/>
          <c:showCatName val="0"/>
          <c:showSerName val="0"/>
          <c:showPercent val="0"/>
          <c:showBubbleSize val="0"/>
        </c:dLbls>
        <c:gapWidth val="150"/>
        <c:axId val="-835787184"/>
        <c:axId val="-835794256"/>
      </c:barChart>
      <c:catAx>
        <c:axId val="-83578718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prstDash val="solid"/>
            <a:round/>
          </a:ln>
          <a:effectLst/>
        </c:spPr>
        <c:txPr>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94256"/>
        <c:crosses val="autoZero"/>
        <c:auto val="1"/>
        <c:lblAlgn val="ctr"/>
        <c:lblOffset val="100"/>
        <c:noMultiLvlLbl val="0"/>
      </c:catAx>
      <c:valAx>
        <c:axId val="-835794256"/>
        <c:scaling>
          <c:orientation val="minMax"/>
        </c:scaling>
        <c:delete val="0"/>
        <c:axPos val="b"/>
        <c:majorGridlines>
          <c:spPr>
            <a:ln w="9525" cap="flat" cmpd="sng" algn="ctr">
              <a:solidFill>
                <a:schemeClr val="bg1">
                  <a:lumMod val="85000"/>
                </a:schemeClr>
              </a:solidFill>
              <a:prstDash val="solid"/>
              <a:round/>
            </a:ln>
            <a:effectLst/>
          </c:spPr>
        </c:majorGridlines>
        <c:numFmt formatCode="_(* #,##0_);_(* \(#,##0\);_(* &quot;-&quot;??_);_(@_)" sourceLinked="1"/>
        <c:majorTickMark val="none"/>
        <c:minorTickMark val="none"/>
        <c:tickLblPos val="nextTo"/>
        <c:spPr>
          <a:noFill/>
          <a:ln w="9525" cap="flat" cmpd="sng" algn="ctr">
            <a:noFill/>
            <a:prstDash val="solid"/>
            <a:round/>
          </a:ln>
          <a:effectLst/>
        </c:spPr>
        <c:txPr>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87184"/>
        <c:crosses val="autoZero"/>
        <c:crossBetween val="between"/>
      </c:valAx>
      <c:spPr>
        <a:no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0.38329630764871309"/>
          <c:y val="5.1549736058273624E-3"/>
          <c:w val="0.59990758240954323"/>
          <c:h val="0.95524609985549558"/>
        </c:manualLayout>
      </c:layout>
      <c:pieChart>
        <c:varyColors val="1"/>
        <c:ser>
          <c:idx val="0"/>
          <c:order val="0"/>
          <c:dPt>
            <c:idx val="0"/>
            <c:bubble3D val="0"/>
            <c:spPr>
              <a:solidFill>
                <a:srgbClr val="00B050"/>
              </a:solidFill>
            </c:spPr>
            <c:extLst xmlns:c16r2="http://schemas.microsoft.com/office/drawing/2015/06/chart">
              <c:ext xmlns:c16="http://schemas.microsoft.com/office/drawing/2014/chart" uri="{C3380CC4-5D6E-409C-BE32-E72D297353CC}">
                <c16:uniqueId val="{00000001-1394-4DFB-B951-DD4B74780563}"/>
              </c:ext>
            </c:extLst>
          </c:dPt>
          <c:dPt>
            <c:idx val="1"/>
            <c:bubble3D val="0"/>
            <c:spPr>
              <a:solidFill>
                <a:schemeClr val="accent6"/>
              </a:solidFill>
            </c:spPr>
            <c:extLst xmlns:c16r2="http://schemas.microsoft.com/office/drawing/2015/06/chart">
              <c:ext xmlns:c16="http://schemas.microsoft.com/office/drawing/2014/chart" uri="{C3380CC4-5D6E-409C-BE32-E72D297353CC}">
                <c16:uniqueId val="{00000003-1394-4DFB-B951-DD4B74780563}"/>
              </c:ext>
            </c:extLst>
          </c:dPt>
          <c:dPt>
            <c:idx val="2"/>
            <c:bubble3D val="0"/>
            <c:spPr>
              <a:solidFill>
                <a:schemeClr val="accent1"/>
              </a:solidFill>
            </c:spPr>
            <c:extLst xmlns:c16r2="http://schemas.microsoft.com/office/drawing/2015/06/chart">
              <c:ext xmlns:c16="http://schemas.microsoft.com/office/drawing/2014/chart" uri="{C3380CC4-5D6E-409C-BE32-E72D297353CC}">
                <c16:uniqueId val="{00000005-1394-4DFB-B951-DD4B74780563}"/>
              </c:ext>
            </c:extLst>
          </c:dPt>
          <c:dPt>
            <c:idx val="3"/>
            <c:bubble3D val="0"/>
            <c:extLst xmlns:c16r2="http://schemas.microsoft.com/office/drawing/2015/06/chart">
              <c:ext xmlns:c16="http://schemas.microsoft.com/office/drawing/2014/chart" uri="{C3380CC4-5D6E-409C-BE32-E72D297353CC}">
                <c16:uniqueId val="{00000007-1394-4DFB-B951-DD4B74780563}"/>
              </c:ext>
            </c:extLst>
          </c:dPt>
          <c:dPt>
            <c:idx val="4"/>
            <c:bubble3D val="0"/>
            <c:spPr>
              <a:solidFill>
                <a:schemeClr val="accent2">
                  <a:lumMod val="60000"/>
                  <a:lumOff val="40000"/>
                </a:schemeClr>
              </a:solidFill>
            </c:spPr>
            <c:extLst xmlns:c16r2="http://schemas.microsoft.com/office/drawing/2015/06/chart">
              <c:ext xmlns:c16="http://schemas.microsoft.com/office/drawing/2014/chart" uri="{C3380CC4-5D6E-409C-BE32-E72D297353CC}">
                <c16:uniqueId val="{00000008-1FBD-4076-92F5-90D5E02F96C4}"/>
              </c:ext>
            </c:extLst>
          </c:dPt>
          <c:dLbls>
            <c:dLbl>
              <c:idx val="0"/>
              <c:layout>
                <c:manualLayout>
                  <c:x val="-0.13440184396684332"/>
                  <c:y val="-0.30073273146970475"/>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1394-4DFB-B951-DD4B74780563}"/>
                </c:ext>
                <c:ext xmlns:c15="http://schemas.microsoft.com/office/drawing/2012/chart" uri="{CE6537A1-D6FC-4f65-9D91-7224C49458BB}"/>
              </c:extLst>
            </c:dLbl>
            <c:dLbl>
              <c:idx val="1"/>
              <c:layout>
                <c:manualLayout>
                  <c:x val="4.4509986227223804E-2"/>
                  <c:y val="7.2801497075412211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1394-4DFB-B951-DD4B74780563}"/>
                </c:ext>
                <c:ext xmlns:c15="http://schemas.microsoft.com/office/drawing/2012/chart" uri="{CE6537A1-D6FC-4f65-9D91-7224C49458BB}"/>
              </c:extLst>
            </c:dLbl>
            <c:dLbl>
              <c:idx val="2"/>
              <c:layout>
                <c:manualLayout>
                  <c:x val="4.7695856979171086E-2"/>
                  <c:y val="7.5331240998442184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1394-4DFB-B951-DD4B74780563}"/>
                </c:ext>
                <c:ext xmlns:c15="http://schemas.microsoft.com/office/drawing/2012/chart" uri="{CE6537A1-D6FC-4f65-9D91-7224C49458BB}"/>
              </c:extLst>
            </c:dLbl>
            <c:dLbl>
              <c:idx val="3"/>
              <c:layout>
                <c:manualLayout>
                  <c:x val="2.5446509792070752E-2"/>
                  <c:y val="4.4369414308839755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1394-4DFB-B951-DD4B74780563}"/>
                </c:ext>
                <c:ext xmlns:c15="http://schemas.microsoft.com/office/drawing/2012/chart" uri="{CE6537A1-D6FC-4f65-9D91-7224C49458BB}"/>
              </c:extLst>
            </c:dLbl>
            <c:dLbl>
              <c:idx val="4"/>
              <c:layout>
                <c:manualLayout>
                  <c:x val="9.799642200994314E-3"/>
                  <c:y val="1.6590707153299546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8-1FBD-4076-92F5-90D5E02F96C4}"/>
                </c:ext>
                <c:ext xmlns:c15="http://schemas.microsoft.com/office/drawing/2012/chart" uri="{CE6537A1-D6FC-4f65-9D91-7224C49458BB}"/>
              </c:extLst>
            </c:dLbl>
            <c:spPr>
              <a:noFill/>
              <a:ln>
                <a:noFill/>
              </a:ln>
              <a:effectLst/>
            </c:spPr>
            <c:txPr>
              <a:bodyPr rot="0" vert="horz"/>
              <a:lstStyle/>
              <a:p>
                <a:pPr>
                  <a:defRPr/>
                </a:pPr>
                <a:endParaRPr lang="es-DO"/>
              </a:p>
            </c:txPr>
            <c:dLblPos val="outEnd"/>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'has. fec'!$H$6:$H$10</c:f>
              <c:strCache>
                <c:ptCount val="5"/>
                <c:pt idx="0">
                  <c:v>Solicitudes respondidas (dentro del plazo)</c:v>
                </c:pt>
                <c:pt idx="1">
                  <c:v>Uso de Prorroga </c:v>
                </c:pt>
                <c:pt idx="2">
                  <c:v>Solicitudes rechazadas </c:v>
                </c:pt>
                <c:pt idx="3">
                  <c:v>Solicitudes en proceso de respuesta  (dentro del plazo)</c:v>
                </c:pt>
                <c:pt idx="4">
                  <c:v>Solicitudes remitidas a otras Institutuciones</c:v>
                </c:pt>
              </c:strCache>
            </c:strRef>
          </c:cat>
          <c:val>
            <c:numRef>
              <c:f>'has. fec'!$I$6:$I$10</c:f>
              <c:numCache>
                <c:formatCode>0.0%</c:formatCode>
                <c:ptCount val="5"/>
                <c:pt idx="0">
                  <c:v>0.83478260869565213</c:v>
                </c:pt>
                <c:pt idx="1">
                  <c:v>2.6086956521739129E-2</c:v>
                </c:pt>
                <c:pt idx="2">
                  <c:v>1.7391304347826087E-2</c:v>
                </c:pt>
                <c:pt idx="3">
                  <c:v>1.7391304347826087E-2</c:v>
                </c:pt>
                <c:pt idx="4">
                  <c:v>0.10434782608695652</c:v>
                </c:pt>
              </c:numCache>
            </c:numRef>
          </c:val>
          <c:extLst xmlns:c16r2="http://schemas.microsoft.com/office/drawing/2015/06/chart">
            <c:ext xmlns:c16="http://schemas.microsoft.com/office/drawing/2014/chart" uri="{C3380CC4-5D6E-409C-BE32-E72D297353CC}">
              <c16:uniqueId val="{00000008-1394-4DFB-B951-DD4B74780563}"/>
            </c:ext>
          </c:extLst>
        </c:ser>
        <c:dLbls>
          <c:showLegendKey val="0"/>
          <c:showVal val="0"/>
          <c:showCatName val="1"/>
          <c:showSerName val="0"/>
          <c:showPercent val="1"/>
          <c:showBubbleSize val="0"/>
          <c:showLeaderLines val="1"/>
        </c:dLbls>
        <c:firstSliceAng val="0"/>
      </c:pieChart>
    </c:plotArea>
    <c:legend>
      <c:legendPos val="r"/>
      <c:layout>
        <c:manualLayout>
          <c:xMode val="edge"/>
          <c:yMode val="edge"/>
          <c:x val="0"/>
          <c:y val="0.16020078576863914"/>
          <c:w val="0.33923202066365998"/>
          <c:h val="0.70574390279866717"/>
        </c:manualLayout>
      </c:layout>
      <c:overlay val="0"/>
      <c:txPr>
        <a:bodyPr rot="0" vert="horz"/>
        <a:lstStyle/>
        <a:p>
          <a:pPr>
            <a:defRPr/>
          </a:pPr>
          <a:endParaRPr lang="es-DO"/>
        </a:p>
      </c:txPr>
    </c:legend>
    <c:plotVisOnly val="1"/>
    <c:dispBlanksAs val="zero"/>
    <c:showDLblsOverMax val="0"/>
  </c:chart>
  <c:spPr>
    <a:ln>
      <a:noFill/>
    </a:ln>
  </c:spPr>
  <c:txPr>
    <a:bodyPr/>
    <a:lstStyle/>
    <a:p>
      <a:pPr>
        <a:defRPr sz="1050">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0.61698481331452071"/>
          <c:h val="1"/>
        </c:manualLayout>
      </c:layout>
      <c:pieChart>
        <c:varyColors val="1"/>
        <c:ser>
          <c:idx val="0"/>
          <c:order val="0"/>
          <c:dPt>
            <c:idx val="0"/>
            <c:bubble3D val="0"/>
            <c:explosion val="1"/>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1-5DBE-4AE1-A145-63122FA53DA1}"/>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3-5DBE-4AE1-A145-63122FA53DA1}"/>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extLst xmlns:c16r2="http://schemas.microsoft.com/office/drawing/2015/06/chart">
              <c:ext xmlns:c16="http://schemas.microsoft.com/office/drawing/2014/chart" uri="{C3380CC4-5D6E-409C-BE32-E72D297353CC}">
                <c16:uniqueId val="{00000005-41C3-45D9-90BB-61E3B249E642}"/>
              </c:ext>
            </c:extLst>
          </c:dPt>
          <c:dLbls>
            <c:dLbl>
              <c:idx val="1"/>
              <c:delete val="1"/>
              <c:extLst xmlns:c16r2="http://schemas.microsoft.com/office/drawing/2015/06/chart">
                <c:ext xmlns:c16="http://schemas.microsoft.com/office/drawing/2014/chart" uri="{C3380CC4-5D6E-409C-BE32-E72D297353CC}">
                  <c16:uniqueId val="{00000003-5DBE-4AE1-A145-63122FA53DA1}"/>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5-41C3-45D9-90BB-61E3B249E64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'Hasta lafecha'!$F$7:$F$9</c:f>
              <c:strCache>
                <c:ptCount val="3"/>
                <c:pt idx="0">
                  <c:v>Consultas de informaciones atendidas dentro del plazo de los 15 dias  </c:v>
                </c:pt>
                <c:pt idx="1">
                  <c:v>Consultas sin responder </c:v>
                </c:pt>
                <c:pt idx="2">
                  <c:v>Remitidas a otras Instituciones</c:v>
                </c:pt>
              </c:strCache>
            </c:strRef>
          </c:cat>
          <c:val>
            <c:numRef>
              <c:f>'Hasta lafecha'!$G$7:$G$9</c:f>
              <c:numCache>
                <c:formatCode>0%</c:formatCode>
                <c:ptCount val="3"/>
                <c:pt idx="0">
                  <c:v>1</c:v>
                </c:pt>
                <c:pt idx="1">
                  <c:v>0</c:v>
                </c:pt>
                <c:pt idx="2">
                  <c:v>0</c:v>
                </c:pt>
              </c:numCache>
            </c:numRef>
          </c:val>
          <c:extLst xmlns:c16r2="http://schemas.microsoft.com/office/drawing/2015/06/chart">
            <c:ext xmlns:c16="http://schemas.microsoft.com/office/drawing/2014/chart" uri="{C3380CC4-5D6E-409C-BE32-E72D297353CC}">
              <c16:uniqueId val="{00000004-5DBE-4AE1-A145-63122FA53DA1}"/>
            </c:ext>
          </c:extLst>
        </c:ser>
        <c:dLbls>
          <c:showLegendKey val="0"/>
          <c:showVal val="0"/>
          <c:showCatName val="1"/>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legend>
    <c:plotVisOnly val="1"/>
    <c:dispBlanksAs val="zero"/>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Quejas</c:v>
                </c:pt>
              </c:strCache>
            </c:strRef>
          </c:tx>
          <c:spPr>
            <a:solidFill>
              <a:schemeClr val="accent1"/>
            </a:solidFill>
            <a:ln>
              <a:noFill/>
            </a:ln>
            <a:effectLst/>
          </c:spPr>
          <c:invertIfNegative val="0"/>
          <c:dLbls>
            <c:dLbl>
              <c:idx val="6"/>
              <c:delete val="1"/>
              <c:extLst xmlns:c16r2="http://schemas.microsoft.com/office/drawing/2015/06/chart">
                <c:ext xmlns:c16="http://schemas.microsoft.com/office/drawing/2014/chart" uri="{C3380CC4-5D6E-409C-BE32-E72D297353CC}">
                  <c16:uniqueId val="{00000000-247B-4C22-9519-DC1D4C77865F}"/>
                </c:ext>
                <c:ext xmlns:c15="http://schemas.microsoft.com/office/drawing/2012/chart" uri="{CE6537A1-D6FC-4f65-9D91-7224C49458BB}"/>
              </c:extLst>
            </c:dLbl>
            <c:spPr>
              <a:noFill/>
              <a:ln>
                <a:noFill/>
              </a:ln>
              <a:effectLst/>
            </c:spPr>
            <c:txPr>
              <a:bodyPr rot="0" vert="horz"/>
              <a:lstStyle/>
              <a:p>
                <a:pPr>
                  <a:defRPr/>
                </a:pPr>
                <a:endParaRPr lang="es-D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Hoja1!$A$2:$A$13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Hoja1!$B$2:$B$13</c:f>
              <c:numCache>
                <c:formatCode>General</c:formatCode>
                <c:ptCount val="12"/>
                <c:pt idx="6">
                  <c:v>1</c:v>
                </c:pt>
              </c:numCache>
            </c:numRef>
          </c:val>
          <c:extLst xmlns:c16r2="http://schemas.microsoft.com/office/drawing/2015/06/chart">
            <c:ext xmlns:c16="http://schemas.microsoft.com/office/drawing/2014/chart" uri="{C3380CC4-5D6E-409C-BE32-E72D297353CC}">
              <c16:uniqueId val="{00000001-247B-4C22-9519-DC1D4C77865F}"/>
            </c:ext>
          </c:extLst>
        </c:ser>
        <c:ser>
          <c:idx val="1"/>
          <c:order val="1"/>
          <c:tx>
            <c:strRef>
              <c:f>Hoja1!$C$1</c:f>
              <c:strCache>
                <c:ptCount val="1"/>
                <c:pt idx="0">
                  <c:v>Reclamaciones</c:v>
                </c:pt>
              </c:strCache>
            </c:strRef>
          </c:tx>
          <c:spPr>
            <a:solidFill>
              <a:schemeClr val="accent2"/>
            </a:solidFill>
            <a:ln>
              <a:noFill/>
            </a:ln>
            <a:effectLst/>
          </c:spPr>
          <c:invertIfNegative val="0"/>
          <c:dPt>
            <c:idx val="2"/>
            <c:invertIfNegative val="0"/>
            <c:bubble3D val="0"/>
            <c:extLst xmlns:c16r2="http://schemas.microsoft.com/office/drawing/2015/06/chart">
              <c:ext xmlns:c16="http://schemas.microsoft.com/office/drawing/2014/chart" uri="{C3380CC4-5D6E-409C-BE32-E72D297353CC}">
                <c16:uniqueId val="{00000002-247B-4C22-9519-DC1D4C77865F}"/>
              </c:ext>
            </c:extLst>
          </c:dPt>
          <c:dLbls>
            <c:delete val="1"/>
          </c:dLbls>
          <c:cat>
            <c:strRef>
              <c:f>Hoja1!$A$2:$A$13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Hoja1!$C$2:$C$13</c:f>
              <c:numCache>
                <c:formatCode>General</c:formatCode>
                <c:ptCount val="12"/>
                <c:pt idx="3">
                  <c:v>1</c:v>
                </c:pt>
              </c:numCache>
            </c:numRef>
          </c:val>
          <c:extLst xmlns:c16r2="http://schemas.microsoft.com/office/drawing/2015/06/chart">
            <c:ext xmlns:c16="http://schemas.microsoft.com/office/drawing/2014/chart" uri="{C3380CC4-5D6E-409C-BE32-E72D297353CC}">
              <c16:uniqueId val="{00000003-247B-4C22-9519-DC1D4C77865F}"/>
            </c:ext>
          </c:extLst>
        </c:ser>
        <c:ser>
          <c:idx val="2"/>
          <c:order val="2"/>
          <c:tx>
            <c:strRef>
              <c:f>Hoja1!$D$1</c:f>
              <c:strCache>
                <c:ptCount val="1"/>
                <c:pt idx="0">
                  <c:v>Denuncias</c:v>
                </c:pt>
              </c:strCache>
            </c:strRef>
          </c:tx>
          <c:spPr>
            <a:solidFill>
              <a:schemeClr val="accent3"/>
            </a:solidFill>
            <a:ln>
              <a:noFill/>
            </a:ln>
            <a:effectLst/>
          </c:spPr>
          <c:invertIfNegative val="0"/>
          <c:dLbls>
            <c:spPr>
              <a:noFill/>
              <a:ln>
                <a:noFill/>
              </a:ln>
              <a:effectLst/>
            </c:spPr>
            <c:txPr>
              <a:bodyPr rot="0" vert="horz"/>
              <a:lstStyle/>
              <a:p>
                <a:pPr>
                  <a:defRPr/>
                </a:pPr>
                <a:endParaRPr lang="es-D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Hoja1!$A$2:$A$13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Hoja1!$D$2:$D$13</c:f>
              <c:numCache>
                <c:formatCode>General</c:formatCode>
                <c:ptCount val="12"/>
              </c:numCache>
            </c:numRef>
          </c:val>
          <c:extLst xmlns:c16r2="http://schemas.microsoft.com/office/drawing/2015/06/chart">
            <c:ext xmlns:c16="http://schemas.microsoft.com/office/drawing/2014/chart" uri="{C3380CC4-5D6E-409C-BE32-E72D297353CC}">
              <c16:uniqueId val="{00000004-247B-4C22-9519-DC1D4C77865F}"/>
            </c:ext>
          </c:extLst>
        </c:ser>
        <c:ser>
          <c:idx val="3"/>
          <c:order val="3"/>
          <c:tx>
            <c:strRef>
              <c:f>Hoja1!$E$1</c:f>
              <c:strCache>
                <c:ptCount val="1"/>
                <c:pt idx="0">
                  <c:v>Sugerencias</c:v>
                </c:pt>
              </c:strCache>
            </c:strRef>
          </c:tx>
          <c:spPr>
            <a:solidFill>
              <a:schemeClr val="accent4"/>
            </a:solidFill>
            <a:ln>
              <a:noFill/>
            </a:ln>
            <a:effectLst/>
          </c:spPr>
          <c:invertIfNegative val="0"/>
          <c:dLbls>
            <c:delete val="1"/>
          </c:dLbls>
          <c:cat>
            <c:strRef>
              <c:f>Hoja1!$A$2:$A$13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Hoja1!$E$2:$E$13</c:f>
              <c:numCache>
                <c:formatCode>General</c:formatCode>
                <c:ptCount val="12"/>
                <c:pt idx="2">
                  <c:v>1</c:v>
                </c:pt>
              </c:numCache>
            </c:numRef>
          </c:val>
          <c:extLst xmlns:c16r2="http://schemas.microsoft.com/office/drawing/2015/06/chart">
            <c:ext xmlns:c16="http://schemas.microsoft.com/office/drawing/2014/chart" uri="{C3380CC4-5D6E-409C-BE32-E72D297353CC}">
              <c16:uniqueId val="{00000005-247B-4C22-9519-DC1D4C77865F}"/>
            </c:ext>
          </c:extLst>
        </c:ser>
        <c:dLbls>
          <c:dLblPos val="inEnd"/>
          <c:showLegendKey val="0"/>
          <c:showVal val="1"/>
          <c:showCatName val="0"/>
          <c:showSerName val="0"/>
          <c:showPercent val="0"/>
          <c:showBubbleSize val="0"/>
        </c:dLbls>
        <c:gapWidth val="150"/>
        <c:axId val="-835798608"/>
        <c:axId val="-835790992"/>
      </c:barChart>
      <c:catAx>
        <c:axId val="-835798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DO"/>
          </a:p>
        </c:txPr>
        <c:crossAx val="-835790992"/>
        <c:crosses val="autoZero"/>
        <c:auto val="1"/>
        <c:lblAlgn val="ctr"/>
        <c:lblOffset val="100"/>
        <c:noMultiLvlLbl val="0"/>
      </c:catAx>
      <c:valAx>
        <c:axId val="-835790992"/>
        <c:scaling>
          <c:orientation val="minMax"/>
          <c:max val="4"/>
          <c:min val="0"/>
        </c:scaling>
        <c:delete val="0"/>
        <c:axPos val="l"/>
        <c:title>
          <c:tx>
            <c:rich>
              <a:bodyPr rot="-5400000" vert="horz"/>
              <a:lstStyle/>
              <a:p>
                <a:pPr>
                  <a:defRPr/>
                </a:pPr>
                <a:r>
                  <a:rPr lang="es-DO"/>
                  <a:t>Cantidad de casos</a:t>
                </a:r>
              </a:p>
            </c:rich>
          </c:tx>
          <c:overlay val="0"/>
          <c:spPr>
            <a:noFill/>
            <a:ln>
              <a:noFill/>
            </a:ln>
            <a:effectLst/>
          </c:spPr>
        </c:title>
        <c:numFmt formatCode="General" sourceLinked="1"/>
        <c:majorTickMark val="none"/>
        <c:minorTickMark val="none"/>
        <c:tickLblPos val="nextTo"/>
        <c:spPr>
          <a:noFill/>
          <a:ln>
            <a:solidFill>
              <a:schemeClr val="bg1">
                <a:lumMod val="75000"/>
              </a:schemeClr>
            </a:solidFill>
          </a:ln>
          <a:effectLst/>
        </c:spPr>
        <c:txPr>
          <a:bodyPr rot="-60000000" vert="horz"/>
          <a:lstStyle/>
          <a:p>
            <a:pPr>
              <a:defRPr/>
            </a:pPr>
            <a:endParaRPr lang="es-DO"/>
          </a:p>
        </c:txPr>
        <c:crossAx val="-835798608"/>
        <c:crosses val="autoZero"/>
        <c:crossBetween val="between"/>
        <c:majorUnit val="1"/>
        <c:minorUnit val="4.0000000000000008E-2"/>
      </c:valAx>
      <c:spPr>
        <a:noFill/>
        <a:ln w="25400">
          <a:noFill/>
        </a:ln>
        <a:effectLst/>
      </c:spPr>
    </c:plotArea>
    <c:legend>
      <c:legendPos val="b"/>
      <c:overlay val="0"/>
      <c:spPr>
        <a:noFill/>
        <a:ln>
          <a:noFill/>
        </a:ln>
        <a:effectLst/>
      </c:spPr>
      <c:txPr>
        <a:bodyPr rot="0" vert="horz"/>
        <a:lstStyle/>
        <a:p>
          <a:pPr>
            <a:defRPr/>
          </a:pPr>
          <a:endParaRPr lang="es-DO"/>
        </a:p>
      </c:txPr>
    </c:legend>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3842488745881223"/>
          <c:y val="2.5166184123891728E-2"/>
          <c:w val="0.81966286630674112"/>
          <c:h val="0.80089773304546619"/>
        </c:manualLayout>
      </c:layout>
      <c:barChart>
        <c:barDir val="col"/>
        <c:grouping val="stacked"/>
        <c:varyColors val="0"/>
        <c:ser>
          <c:idx val="0"/>
          <c:order val="0"/>
          <c:tx>
            <c:strRef>
              <c:f>'Cuadro por estatus casos'!$B$5</c:f>
              <c:strCache>
                <c:ptCount val="1"/>
                <c:pt idx="0">
                  <c:v>Cantidad</c:v>
                </c:pt>
              </c:strCache>
            </c:strRef>
          </c:tx>
          <c:spPr>
            <a:solidFill>
              <a:srgbClr val="00B050"/>
            </a:solidFill>
            <a:ln>
              <a:noFill/>
            </a:ln>
            <a:effectLst/>
          </c:spPr>
          <c:invertIfNegative val="0"/>
          <c:dPt>
            <c:idx val="1"/>
            <c:invertIfNegative val="0"/>
            <c:bubble3D val="0"/>
            <c:extLst xmlns:c16r2="http://schemas.microsoft.com/office/drawing/2015/06/chart">
              <c:ext xmlns:c16="http://schemas.microsoft.com/office/drawing/2014/chart" uri="{C3380CC4-5D6E-409C-BE32-E72D297353CC}">
                <c16:uniqueId val="{00000001-3CF0-43C4-8830-03A0252B9D9D}"/>
              </c:ext>
            </c:extLst>
          </c:dPt>
          <c:dPt>
            <c:idx val="3"/>
            <c:invertIfNegative val="0"/>
            <c:bubble3D val="0"/>
            <c:extLst xmlns:c16r2="http://schemas.microsoft.com/office/drawing/2015/06/chart">
              <c:ext xmlns:c16="http://schemas.microsoft.com/office/drawing/2014/chart" uri="{C3380CC4-5D6E-409C-BE32-E72D297353CC}">
                <c16:uniqueId val="{00000003-3CF0-43C4-8830-03A0252B9D9D}"/>
              </c:ext>
            </c:extLst>
          </c:dPt>
          <c:dLbls>
            <c:dLbl>
              <c:idx val="0"/>
              <c:layout>
                <c:manualLayout>
                  <c:x val="-4.7042220392802536E-3"/>
                  <c:y val="-0.22681451612903231"/>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0E0-46FE-A3DC-280AB6B95F43}"/>
                </c:ext>
                <c:ext xmlns:c15="http://schemas.microsoft.com/office/drawing/2012/chart" uri="{CE6537A1-D6FC-4f65-9D91-7224C49458BB}"/>
              </c:extLst>
            </c:dLbl>
            <c:dLbl>
              <c:idx val="1"/>
              <c:layout>
                <c:manualLayout>
                  <c:x val="-2.3521110196402131E-3"/>
                  <c:y val="-0.22681451612903231"/>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3CF0-43C4-8830-03A0252B9D9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'Cuadro por estatus casos'!$A$6:$A$9</c:f>
              <c:strCache>
                <c:ptCount val="4"/>
                <c:pt idx="0">
                  <c:v>Quejas Cerradas</c:v>
                </c:pt>
                <c:pt idx="1">
                  <c:v>Reclamaciones Cerradas</c:v>
                </c:pt>
                <c:pt idx="2">
                  <c:v>Denuncias</c:v>
                </c:pt>
                <c:pt idx="3">
                  <c:v>Sugerencias</c:v>
                </c:pt>
              </c:strCache>
            </c:strRef>
          </c:cat>
          <c:val>
            <c:numRef>
              <c:f>'Cuadro por estatus casos'!$B$6:$B$9</c:f>
              <c:numCache>
                <c:formatCode>_(* #,##0_);_(* \(#,##0\);_(* "-"??_);_(@_)</c:formatCode>
                <c:ptCount val="4"/>
                <c:pt idx="0">
                  <c:v>2</c:v>
                </c:pt>
                <c:pt idx="1">
                  <c:v>2</c:v>
                </c:pt>
              </c:numCache>
            </c:numRef>
          </c:val>
          <c:extLst xmlns:c16r2="http://schemas.microsoft.com/office/drawing/2015/06/chart">
            <c:ext xmlns:c16="http://schemas.microsoft.com/office/drawing/2014/chart" uri="{C3380CC4-5D6E-409C-BE32-E72D297353CC}">
              <c16:uniqueId val="{00000001-9FD4-495D-85C2-33966B0C9766}"/>
            </c:ext>
          </c:extLst>
        </c:ser>
        <c:dLbls>
          <c:showLegendKey val="0"/>
          <c:showVal val="1"/>
          <c:showCatName val="0"/>
          <c:showSerName val="0"/>
          <c:showPercent val="0"/>
          <c:showBubbleSize val="0"/>
        </c:dLbls>
        <c:gapWidth val="150"/>
        <c:overlap val="100"/>
        <c:axId val="-835790448"/>
        <c:axId val="-835789904"/>
      </c:barChart>
      <c:catAx>
        <c:axId val="-835790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89904"/>
        <c:crosses val="autoZero"/>
        <c:auto val="1"/>
        <c:lblAlgn val="ctr"/>
        <c:lblOffset val="100"/>
        <c:noMultiLvlLbl val="0"/>
      </c:catAx>
      <c:valAx>
        <c:axId val="-835789904"/>
        <c:scaling>
          <c:orientation val="minMax"/>
          <c:max val="4"/>
        </c:scaling>
        <c:delete val="0"/>
        <c:axPos val="l"/>
        <c:title>
          <c:tx>
            <c:rich>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t>Cantidad de casos</a:t>
                </a:r>
              </a:p>
            </c:rich>
          </c:tx>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_(* #,##0_);_(* \(#,##0\);_(* &quot;-&quot;??_);_(@_)" sourceLinked="1"/>
        <c:majorTickMark val="none"/>
        <c:minorTickMark val="none"/>
        <c:tickLblPos val="nextTo"/>
        <c:spPr>
          <a:noFill/>
          <a:ln w="9525" cap="flat" cmpd="sng" algn="ctr">
            <a:solidFill>
              <a:schemeClr val="bg1">
                <a:lumMod val="75000"/>
              </a:schemeClr>
            </a:solidFill>
            <a:prstDash val="solid"/>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90448"/>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prstDash val="solid"/>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765991808356662"/>
          <c:y val="1.2987012987012988E-2"/>
          <c:w val="0.94975055118110241"/>
          <c:h val="0.98675496688741726"/>
        </c:manualLayout>
      </c:layout>
      <c:pieChart>
        <c:varyColors val="1"/>
        <c:ser>
          <c:idx val="0"/>
          <c:order val="0"/>
          <c:tx>
            <c:strRef>
              <c:f>Hoja1!$B$1</c:f>
              <c:strCache>
                <c:ptCount val="1"/>
                <c:pt idx="0">
                  <c:v>Columna1</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1-DD2B-471F-8701-10C111B6EBF5}"/>
              </c:ext>
            </c:extLst>
          </c:dPt>
          <c:dPt>
            <c:idx val="1"/>
            <c:bubble3D val="0"/>
            <c:spPr>
              <a:solidFill>
                <a:schemeClr val="accent6"/>
              </a:soli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1-B6FE-409C-9442-0389BAE2F287}"/>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2-570F-4A7C-B20C-64388F1E81D5}"/>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3-570F-4A7C-B20C-64388F1E81D5}"/>
              </c:ext>
            </c:extLst>
          </c:dPt>
          <c:dLbls>
            <c:dLbl>
              <c:idx val="1"/>
              <c:layout>
                <c:manualLayout>
                  <c:x val="1.3918570657322427E-2"/>
                  <c:y val="3.4383334391668775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6FE-409C-9442-0389BAE2F287}"/>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2-570F-4A7C-B20C-64388F1E81D5}"/>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3-570F-4A7C-B20C-64388F1E81D5}"/>
                </c:ext>
                <c:ext xmlns:c15="http://schemas.microsoft.com/office/drawing/2012/chart" uri="{CE6537A1-D6FC-4f65-9D91-7224C49458BB}"/>
              </c:extLst>
            </c:dLbl>
            <c:spPr>
              <a:noFill/>
              <a:ln>
                <a:noFill/>
              </a:ln>
              <a:effectLst/>
            </c:spPr>
            <c:txPr>
              <a:bodyPr rot="0" vert="horz"/>
              <a:lstStyle/>
              <a:p>
                <a:pPr>
                  <a:defRPr/>
                </a:pPr>
                <a:endParaRPr lang="es-DO"/>
              </a:p>
            </c:txPr>
            <c:dLblPos val="inEnd"/>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Hoja1!$A$2:$A$5</c:f>
              <c:strCache>
                <c:ptCount val="4"/>
                <c:pt idx="0">
                  <c:v>SAIP</c:v>
                </c:pt>
                <c:pt idx="1">
                  <c:v>Correo electrónico </c:v>
                </c:pt>
                <c:pt idx="2">
                  <c:v>Comunicación escrita</c:v>
                </c:pt>
                <c:pt idx="3">
                  <c:v>Personal</c:v>
                </c:pt>
              </c:strCache>
            </c:strRef>
          </c:cat>
          <c:val>
            <c:numRef>
              <c:f>Hoja1!$B$2:$B$5</c:f>
              <c:numCache>
                <c:formatCode>0.0%</c:formatCode>
                <c:ptCount val="4"/>
                <c:pt idx="0">
                  <c:v>0.99</c:v>
                </c:pt>
                <c:pt idx="1">
                  <c:v>0.01</c:v>
                </c:pt>
                <c:pt idx="2">
                  <c:v>0</c:v>
                </c:pt>
                <c:pt idx="3" formatCode="0%">
                  <c:v>0</c:v>
                </c:pt>
              </c:numCache>
            </c:numRef>
          </c:val>
          <c:extLst xmlns:c16r2="http://schemas.microsoft.com/office/drawing/2015/06/chart">
            <c:ext xmlns:c16="http://schemas.microsoft.com/office/drawing/2014/chart" uri="{C3380CC4-5D6E-409C-BE32-E72D297353CC}">
              <c16:uniqueId val="{00000002-B6FE-409C-9442-0389BAE2F287}"/>
            </c:ext>
          </c:extLst>
        </c:ser>
        <c:dLbls>
          <c:dLblPos val="inEnd"/>
          <c:showLegendKey val="0"/>
          <c:showVal val="1"/>
          <c:showCatName val="0"/>
          <c:showSerName val="0"/>
          <c:showPercent val="0"/>
          <c:showBubbleSize val="0"/>
          <c:showLeaderLines val="1"/>
        </c:dLbls>
        <c:firstSliceAng val="0"/>
      </c:pieChart>
      <c:spPr>
        <a:noFill/>
        <a:ln>
          <a:noFill/>
        </a:ln>
        <a:effectLst/>
        <a:sp3d/>
      </c:spPr>
    </c:plotArea>
    <c:legend>
      <c:legendPos val="r"/>
      <c:layout>
        <c:manualLayout>
          <c:xMode val="edge"/>
          <c:yMode val="edge"/>
          <c:x val="1.3178303905708099E-2"/>
          <c:y val="6.2267443842246993E-2"/>
          <c:w val="0.26472361306477288"/>
          <c:h val="0.31269454954494325"/>
        </c:manualLayout>
      </c:layout>
      <c:overlay val="0"/>
      <c:spPr>
        <a:noFill/>
        <a:ln>
          <a:noFill/>
        </a:ln>
        <a:effectLst/>
      </c:spPr>
      <c:txPr>
        <a:bodyPr rot="0" vert="horz"/>
        <a:lstStyle/>
        <a:p>
          <a:pPr>
            <a:defRPr/>
          </a:pPr>
          <a:endParaRPr lang="es-DO"/>
        </a:p>
      </c:txPr>
    </c:legend>
    <c:plotVisOnly val="1"/>
    <c:dispBlanksAs val="gap"/>
    <c:showDLblsOverMax val="0"/>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127936569598624E-2"/>
          <c:y val="0"/>
          <c:w val="0.96767619417591777"/>
          <c:h val="1"/>
        </c:manualLayout>
      </c:layout>
      <c:pieChart>
        <c:varyColors val="1"/>
        <c:ser>
          <c:idx val="0"/>
          <c:order val="0"/>
          <c:dPt>
            <c:idx val="1"/>
            <c:bubble3D val="0"/>
            <c:spPr>
              <a:solidFill>
                <a:srgbClr val="00B050"/>
              </a:solidFill>
            </c:spPr>
            <c:extLst xmlns:c16r2="http://schemas.microsoft.com/office/drawing/2015/06/chart">
              <c:ext xmlns:c16="http://schemas.microsoft.com/office/drawing/2014/chart" uri="{C3380CC4-5D6E-409C-BE32-E72D297353CC}">
                <c16:uniqueId val="{00000001-4B86-47DF-BE57-E2BEEF134F52}"/>
              </c:ext>
            </c:extLst>
          </c:dPt>
          <c:dLbls>
            <c:numFmt formatCode="0.0%" sourceLinked="0"/>
            <c:spPr>
              <a:noFill/>
              <a:ln>
                <a:noFill/>
              </a:ln>
              <a:effectLst/>
            </c:spPr>
            <c:txPr>
              <a:bodyPr rot="0" vert="horz"/>
              <a:lstStyle/>
              <a:p>
                <a:pPr>
                  <a:defRPr/>
                </a:pPr>
                <a:endParaRPr lang="es-DO"/>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'Cuadro por tipo de casos'!$A$6:$A$7</c:f>
              <c:strCache>
                <c:ptCount val="2"/>
                <c:pt idx="0">
                  <c:v>Internas</c:v>
                </c:pt>
                <c:pt idx="1">
                  <c:v>Externas</c:v>
                </c:pt>
              </c:strCache>
            </c:strRef>
          </c:cat>
          <c:val>
            <c:numRef>
              <c:f>'Cuadro por tipo de casos'!$B$6:$B$7</c:f>
              <c:numCache>
                <c:formatCode>_(* #,##0_);_(* \(#,##0\);_(* "-"??_);_(@_)</c:formatCode>
                <c:ptCount val="2"/>
                <c:pt idx="0">
                  <c:v>45676</c:v>
                </c:pt>
                <c:pt idx="1">
                  <c:v>12342</c:v>
                </c:pt>
              </c:numCache>
            </c:numRef>
          </c:val>
          <c:extLst xmlns:c16r2="http://schemas.microsoft.com/office/drawing/2015/06/chart">
            <c:ext xmlns:c16="http://schemas.microsoft.com/office/drawing/2014/chart" uri="{C3380CC4-5D6E-409C-BE32-E72D297353CC}">
              <c16:uniqueId val="{00000002-4B86-47DF-BE57-E2BEEF134F52}"/>
            </c:ext>
          </c:extLst>
        </c:ser>
        <c:dLbls>
          <c:showLegendKey val="0"/>
          <c:showVal val="0"/>
          <c:showCatName val="0"/>
          <c:showSerName val="0"/>
          <c:showPercent val="0"/>
          <c:showBubbleSize val="0"/>
          <c:showLeaderLines val="1"/>
        </c:dLbls>
        <c:firstSliceAng val="200"/>
      </c:pieChart>
    </c:plotArea>
    <c:legend>
      <c:legendPos val="l"/>
      <c:layout>
        <c:manualLayout>
          <c:xMode val="edge"/>
          <c:yMode val="edge"/>
          <c:x val="9.4084440785605072E-3"/>
          <c:y val="5.1591868808737645E-2"/>
          <c:w val="0.13504036124277363"/>
          <c:h val="0.14352092409768577"/>
        </c:manualLayout>
      </c:layout>
      <c:overlay val="0"/>
      <c:txPr>
        <a:bodyPr rot="0" vert="horz"/>
        <a:lstStyle/>
        <a:p>
          <a:pPr>
            <a:defRPr/>
          </a:pPr>
          <a:endParaRPr lang="es-DO"/>
        </a:p>
      </c:txPr>
    </c:legend>
    <c:plotVisOnly val="1"/>
    <c:dispBlanksAs val="zero"/>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s-DO"/>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36980885658256"/>
          <c:y val="2.812933025404157E-2"/>
          <c:w val="0.81283032535626121"/>
          <c:h val="0.87850702842283279"/>
        </c:manualLayout>
      </c:layout>
      <c:barChart>
        <c:barDir val="col"/>
        <c:grouping val="clustered"/>
        <c:varyColors val="0"/>
        <c:ser>
          <c:idx val="1"/>
          <c:order val="0"/>
          <c:spPr>
            <a:solidFill>
              <a:srgbClr val="00B050"/>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510E-4EAB-B053-7937A6F1F202}"/>
              </c:ext>
            </c:extLst>
          </c:dPt>
          <c:dPt>
            <c:idx val="1"/>
            <c:invertIfNegative val="0"/>
            <c:bubble3D val="0"/>
            <c:extLst xmlns:c16r2="http://schemas.microsoft.com/office/drawing/2015/06/chart">
              <c:ext xmlns:c16="http://schemas.microsoft.com/office/drawing/2014/chart" uri="{C3380CC4-5D6E-409C-BE32-E72D297353CC}">
                <c16:uniqueId val="{00000003-64DB-46C5-A21C-937FA20AB668}"/>
              </c:ext>
            </c:extLst>
          </c:dPt>
          <c:dPt>
            <c:idx val="2"/>
            <c:invertIfNegative val="0"/>
            <c:bubble3D val="0"/>
            <c:extLst xmlns:c16r2="http://schemas.microsoft.com/office/drawing/2015/06/chart">
              <c:ext xmlns:c16="http://schemas.microsoft.com/office/drawing/2014/chart" uri="{C3380CC4-5D6E-409C-BE32-E72D297353CC}">
                <c16:uniqueId val="{00000003-510E-4EAB-B053-7937A6F1F202}"/>
              </c:ext>
            </c:extLst>
          </c:dPt>
          <c:dPt>
            <c:idx val="3"/>
            <c:invertIfNegative val="0"/>
            <c:bubble3D val="0"/>
            <c:extLst xmlns:c16r2="http://schemas.microsoft.com/office/drawing/2015/06/chart">
              <c:ext xmlns:c16="http://schemas.microsoft.com/office/drawing/2014/chart" uri="{C3380CC4-5D6E-409C-BE32-E72D297353CC}">
                <c16:uniqueId val="{00000005-510E-4EAB-B053-7937A6F1F202}"/>
              </c:ext>
            </c:extLst>
          </c:dPt>
          <c:dPt>
            <c:idx val="4"/>
            <c:invertIfNegative val="0"/>
            <c:bubble3D val="0"/>
            <c:extLst xmlns:c16r2="http://schemas.microsoft.com/office/drawing/2015/06/chart">
              <c:ext xmlns:c16="http://schemas.microsoft.com/office/drawing/2014/chart" uri="{C3380CC4-5D6E-409C-BE32-E72D297353CC}">
                <c16:uniqueId val="{00000007-510E-4EAB-B053-7937A6F1F202}"/>
              </c:ext>
            </c:extLst>
          </c:dPt>
          <c:dPt>
            <c:idx val="5"/>
            <c:invertIfNegative val="0"/>
            <c:bubble3D val="0"/>
            <c:extLst xmlns:c16r2="http://schemas.microsoft.com/office/drawing/2015/06/chart">
              <c:ext xmlns:c16="http://schemas.microsoft.com/office/drawing/2014/chart" uri="{C3380CC4-5D6E-409C-BE32-E72D297353CC}">
                <c16:uniqueId val="{00000009-510E-4EAB-B053-7937A6F1F202}"/>
              </c:ext>
            </c:extLst>
          </c:dPt>
          <c:dLbls>
            <c:dLbl>
              <c:idx val="1"/>
              <c:layout>
                <c:manualLayout>
                  <c:x val="0"/>
                  <c:y val="9.237875288683602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4DB-46C5-A21C-937FA20AB668}"/>
                </c:ext>
                <c:ext xmlns:c15="http://schemas.microsoft.com/office/drawing/2012/chart" uri="{CE6537A1-D6FC-4f65-9D91-7224C49458BB}"/>
              </c:extLst>
            </c:dLbl>
            <c:dLbl>
              <c:idx val="2"/>
              <c:layout>
                <c:manualLayout>
                  <c:x val="-4.0336901094716807E-17"/>
                  <c:y val="1.3856812933025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10E-4EAB-B053-7937A6F1F202}"/>
                </c:ext>
                <c:ext xmlns:c15="http://schemas.microsoft.com/office/drawing/2012/chart" uri="{CE6537A1-D6FC-4f65-9D91-7224C49458BB}"/>
              </c:extLst>
            </c:dLbl>
            <c:dLbl>
              <c:idx val="4"/>
              <c:layout>
                <c:manualLayout>
                  <c:x val="1.3201320132013201E-2"/>
                  <c:y val="1.3856812933025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10E-4EAB-B053-7937A6F1F202}"/>
                </c:ext>
                <c:ext xmlns:c15="http://schemas.microsoft.com/office/drawing/2012/chart" uri="{CE6537A1-D6FC-4f65-9D91-7224C49458BB}"/>
              </c:extLst>
            </c:dLbl>
            <c:dLbl>
              <c:idx val="7"/>
              <c:layout>
                <c:manualLayout>
                  <c:x val="2.2002200220022001E-3"/>
                  <c:y val="1.847575057736720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641-4A50-8E95-3E6016F3DCF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'[Datos.xlsx]Chart Producción'!$G$3:$O$3</c:f>
              <c:numCache>
                <c:formatCode>General</c:formatCode>
                <c:ptCount val="8"/>
                <c:pt idx="0">
                  <c:v>2012</c:v>
                </c:pt>
                <c:pt idx="1">
                  <c:v>2013</c:v>
                </c:pt>
                <c:pt idx="2">
                  <c:v>2014</c:v>
                </c:pt>
                <c:pt idx="3">
                  <c:v>2015</c:v>
                </c:pt>
                <c:pt idx="4">
                  <c:v>2016</c:v>
                </c:pt>
                <c:pt idx="5">
                  <c:v>2017</c:v>
                </c:pt>
                <c:pt idx="6">
                  <c:v>2018</c:v>
                </c:pt>
                <c:pt idx="7">
                  <c:v>2019</c:v>
                </c:pt>
              </c:numCache>
            </c:numRef>
          </c:cat>
          <c:val>
            <c:numRef>
              <c:f>'[Datos.xlsx]Chart Producción'!$G$10:$O$10</c:f>
              <c:numCache>
                <c:formatCode>#,##0</c:formatCode>
                <c:ptCount val="8"/>
                <c:pt idx="0">
                  <c:v>292600</c:v>
                </c:pt>
                <c:pt idx="1">
                  <c:v>3925917</c:v>
                </c:pt>
                <c:pt idx="2">
                  <c:v>1237592</c:v>
                </c:pt>
                <c:pt idx="3">
                  <c:v>1254645</c:v>
                </c:pt>
                <c:pt idx="4">
                  <c:v>1237531</c:v>
                </c:pt>
                <c:pt idx="5">
                  <c:v>3016965</c:v>
                </c:pt>
                <c:pt idx="6">
                  <c:v>1421120</c:v>
                </c:pt>
                <c:pt idx="7">
                  <c:v>1382042</c:v>
                </c:pt>
              </c:numCache>
            </c:numRef>
          </c:val>
          <c:extLst xmlns:c16r2="http://schemas.microsoft.com/office/drawing/2015/06/chart">
            <c:ext xmlns:c16="http://schemas.microsoft.com/office/drawing/2014/chart" uri="{C3380CC4-5D6E-409C-BE32-E72D297353CC}">
              <c16:uniqueId val="{0000000C-510E-4EAB-B053-7937A6F1F202}"/>
            </c:ext>
          </c:extLst>
        </c:ser>
        <c:dLbls>
          <c:showLegendKey val="0"/>
          <c:showVal val="0"/>
          <c:showCatName val="0"/>
          <c:showSerName val="0"/>
          <c:showPercent val="0"/>
          <c:showBubbleSize val="0"/>
        </c:dLbls>
        <c:gapWidth val="100"/>
        <c:overlap val="-24"/>
        <c:axId val="-835786096"/>
        <c:axId val="-835769232"/>
      </c:barChart>
      <c:catAx>
        <c:axId val="-835786096"/>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69232"/>
        <c:crosses val="autoZero"/>
        <c:auto val="1"/>
        <c:lblAlgn val="ctr"/>
        <c:lblOffset val="100"/>
        <c:noMultiLvlLbl val="0"/>
      </c:catAx>
      <c:valAx>
        <c:axId val="-83576923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t>Tareas Beneficiadaas</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86096"/>
        <c:crosses val="autoZero"/>
        <c:crossBetween val="between"/>
        <c:majorUnit val="750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122703412073491E-2"/>
          <c:y val="4.6591900236311025E-2"/>
          <c:w val="0.87232174103237092"/>
          <c:h val="0.80954962078571147"/>
        </c:manualLayout>
      </c:layout>
      <c:barChart>
        <c:barDir val="col"/>
        <c:grouping val="stacked"/>
        <c:varyColors val="0"/>
        <c:ser>
          <c:idx val="0"/>
          <c:order val="0"/>
          <c:tx>
            <c:strRef>
              <c:f>smmgp!$D$4</c:f>
              <c:strCache>
                <c:ptCount val="1"/>
                <c:pt idx="0">
                  <c:v>Resultado Puntuación</c:v>
                </c:pt>
              </c:strCache>
            </c:strRef>
          </c:tx>
          <c:spPr>
            <a:solidFill>
              <a:srgbClr val="00B050"/>
            </a:solidFill>
            <a:ln>
              <a:solidFill>
                <a:srgbClr val="00B050"/>
              </a:solid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smmgp!$C$133:$C$136</c:f>
              <c:strCache>
                <c:ptCount val="4"/>
                <c:pt idx="0">
                  <c:v>T1</c:v>
                </c:pt>
                <c:pt idx="1">
                  <c:v>T2</c:v>
                </c:pt>
                <c:pt idx="2">
                  <c:v>T3</c:v>
                </c:pt>
                <c:pt idx="3">
                  <c:v>T4*</c:v>
                </c:pt>
              </c:strCache>
            </c:strRef>
          </c:cat>
          <c:val>
            <c:numRef>
              <c:f>smmgp!$C$219:$C$222</c:f>
              <c:numCache>
                <c:formatCode>0.00%</c:formatCode>
                <c:ptCount val="4"/>
                <c:pt idx="0">
                  <c:v>0.81369999999999998</c:v>
                </c:pt>
                <c:pt idx="1">
                  <c:v>0.89370000000000005</c:v>
                </c:pt>
                <c:pt idx="2">
                  <c:v>0.86609999999999998</c:v>
                </c:pt>
                <c:pt idx="3">
                  <c:v>0.95045000000000002</c:v>
                </c:pt>
              </c:numCache>
            </c:numRef>
          </c:val>
          <c:extLst xmlns:c16r2="http://schemas.microsoft.com/office/drawing/2015/06/chart">
            <c:ext xmlns:c16="http://schemas.microsoft.com/office/drawing/2014/chart" uri="{C3380CC4-5D6E-409C-BE32-E72D297353CC}">
              <c16:uniqueId val="{00000000-3A34-467E-B497-F0C84023D1F0}"/>
            </c:ext>
          </c:extLst>
        </c:ser>
        <c:ser>
          <c:idx val="1"/>
          <c:order val="1"/>
          <c:tx>
            <c:strRef>
              <c:f>smmgp!$E$4</c:f>
              <c:strCache>
                <c:ptCount val="1"/>
                <c:pt idx="0">
                  <c:v>Resultado no alcanzado</c:v>
                </c:pt>
              </c:strCache>
            </c:strRef>
          </c:tx>
          <c:spPr>
            <a:noFill/>
            <a:ln>
              <a:solidFill>
                <a:schemeClr val="accent1"/>
              </a:solidFill>
            </a:ln>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smmgp!$C$133:$C$136</c:f>
              <c:strCache>
                <c:ptCount val="4"/>
                <c:pt idx="0">
                  <c:v>T1</c:v>
                </c:pt>
                <c:pt idx="1">
                  <c:v>T2</c:v>
                </c:pt>
                <c:pt idx="2">
                  <c:v>T3</c:v>
                </c:pt>
                <c:pt idx="3">
                  <c:v>T4*</c:v>
                </c:pt>
              </c:strCache>
            </c:strRef>
          </c:cat>
          <c:val>
            <c:numRef>
              <c:f>smmgp!$D$219:$D$222</c:f>
              <c:numCache>
                <c:formatCode>0.00%</c:formatCode>
                <c:ptCount val="4"/>
                <c:pt idx="0">
                  <c:v>0.18630000000000002</c:v>
                </c:pt>
                <c:pt idx="1">
                  <c:v>0.10629999999999995</c:v>
                </c:pt>
                <c:pt idx="2">
                  <c:v>0.13390000000000002</c:v>
                </c:pt>
                <c:pt idx="3">
                  <c:v>4.9549999999999983E-2</c:v>
                </c:pt>
              </c:numCache>
            </c:numRef>
          </c:val>
          <c:extLst xmlns:c16r2="http://schemas.microsoft.com/office/drawing/2015/06/chart">
            <c:ext xmlns:c16="http://schemas.microsoft.com/office/drawing/2014/chart" uri="{C3380CC4-5D6E-409C-BE32-E72D297353CC}">
              <c16:uniqueId val="{00000001-3A34-467E-B497-F0C84023D1F0}"/>
            </c:ext>
          </c:extLst>
        </c:ser>
        <c:dLbls>
          <c:showLegendKey val="0"/>
          <c:showVal val="0"/>
          <c:showCatName val="0"/>
          <c:showSerName val="0"/>
          <c:showPercent val="0"/>
          <c:showBubbleSize val="0"/>
        </c:dLbls>
        <c:gapWidth val="150"/>
        <c:overlap val="100"/>
        <c:axId val="-915533456"/>
        <c:axId val="-915521488"/>
      </c:barChart>
      <c:catAx>
        <c:axId val="-915533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DO"/>
          </a:p>
        </c:txPr>
        <c:crossAx val="-915521488"/>
        <c:crosses val="autoZero"/>
        <c:auto val="1"/>
        <c:lblAlgn val="ctr"/>
        <c:lblOffset val="100"/>
        <c:noMultiLvlLbl val="0"/>
      </c:catAx>
      <c:valAx>
        <c:axId val="-915521488"/>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vert="horz"/>
          <a:lstStyle/>
          <a:p>
            <a:pPr>
              <a:defRPr/>
            </a:pPr>
            <a:endParaRPr lang="es-DO"/>
          </a:p>
        </c:txPr>
        <c:crossAx val="-915533456"/>
        <c:crosses val="autoZero"/>
        <c:crossBetween val="between"/>
        <c:majorUnit val="0.2"/>
      </c:valAx>
      <c:spPr>
        <a:noFill/>
        <a:ln>
          <a:noFill/>
        </a:ln>
        <a:effectLst/>
      </c:spPr>
    </c:plotArea>
    <c:legend>
      <c:legendPos val="b"/>
      <c:layout>
        <c:manualLayout>
          <c:xMode val="edge"/>
          <c:yMode val="edge"/>
          <c:x val="0.14349616617333152"/>
          <c:y val="0.92187437096678704"/>
          <c:w val="0.65180743217150816"/>
          <c:h val="5.1046744156980371E-2"/>
        </c:manualLayout>
      </c:layout>
      <c:overlay val="0"/>
      <c:spPr>
        <a:noFill/>
        <a:ln>
          <a:noFill/>
        </a:ln>
        <a:effectLst/>
      </c:spPr>
      <c:txPr>
        <a:bodyPr rot="0" vert="horz"/>
        <a:lstStyle/>
        <a:p>
          <a:pPr>
            <a:defRPr/>
          </a:pPr>
          <a:endParaRPr lang="es-DO"/>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77047032116579"/>
          <c:y val="6.6740212639794808E-2"/>
          <c:w val="0.62491395624005153"/>
          <c:h val="0.894360218983135"/>
        </c:manualLayout>
      </c:layout>
      <c:radarChart>
        <c:radarStyle val="marker"/>
        <c:varyColors val="0"/>
        <c:ser>
          <c:idx val="0"/>
          <c:order val="0"/>
          <c:tx>
            <c:strRef>
              <c:f>smmgp!$I$4</c:f>
              <c:strCache>
                <c:ptCount val="1"/>
                <c:pt idx="0">
                  <c:v>Meta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smmgp!$H$220:$H$222</c:f>
              <c:strCache>
                <c:ptCount val="3"/>
                <c:pt idx="0">
                  <c:v>Eficacia Presupuestaria</c:v>
                </c:pt>
                <c:pt idx="1">
                  <c:v>Correcta Publicación de Información Presupuestaria</c:v>
                </c:pt>
                <c:pt idx="2">
                  <c:v>Beneficiarios de asistencia social</c:v>
                </c:pt>
              </c:strCache>
            </c:strRef>
          </c:cat>
          <c:val>
            <c:numRef>
              <c:f>smmgp!$I$220:$I$222</c:f>
              <c:numCache>
                <c:formatCode>0%</c:formatCode>
                <c:ptCount val="3"/>
                <c:pt idx="0">
                  <c:v>1</c:v>
                </c:pt>
                <c:pt idx="1">
                  <c:v>1</c:v>
                </c:pt>
                <c:pt idx="2">
                  <c:v>1</c:v>
                </c:pt>
              </c:numCache>
            </c:numRef>
          </c:val>
          <c:extLst xmlns:c16r2="http://schemas.microsoft.com/office/drawing/2015/06/chart">
            <c:ext xmlns:c16="http://schemas.microsoft.com/office/drawing/2014/chart" uri="{C3380CC4-5D6E-409C-BE32-E72D297353CC}">
              <c16:uniqueId val="{00000000-1A44-4079-9D04-D4B13F0464C3}"/>
            </c:ext>
          </c:extLst>
        </c:ser>
        <c:ser>
          <c:idx val="1"/>
          <c:order val="1"/>
          <c:tx>
            <c:strRef>
              <c:f>smmgp!$J$4</c:f>
              <c:strCache>
                <c:ptCount val="1"/>
                <c:pt idx="0">
                  <c:v>ejecución</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layout>
                <c:manualLayout>
                  <c:x val="-1.9440493947067188E-2"/>
                  <c:y val="7.94856378504350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A44-4079-9D04-D4B13F0464C3}"/>
                </c:ext>
                <c:ext xmlns:c15="http://schemas.microsoft.com/office/drawing/2012/chart" uri="{CE6537A1-D6FC-4f65-9D91-7224C49458BB}"/>
              </c:extLst>
            </c:dLbl>
            <c:dLbl>
              <c:idx val="1"/>
              <c:layout>
                <c:manualLayout>
                  <c:x val="-4.3683223113851762E-2"/>
                  <c:y val="-7.818415755031181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A44-4079-9D04-D4B13F0464C3}"/>
                </c:ext>
                <c:ext xmlns:c15="http://schemas.microsoft.com/office/drawing/2012/chart" uri="{CE6537A1-D6FC-4f65-9D91-7224C49458BB}"/>
              </c:extLst>
            </c:dLbl>
            <c:dLbl>
              <c:idx val="2"/>
              <c:layout>
                <c:manualLayout>
                  <c:x val="4.4099113161515602E-2"/>
                  <c:y val="-0.1094424755574556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A44-4079-9D04-D4B13F0464C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smmgp!$H$220:$H$222</c:f>
              <c:strCache>
                <c:ptCount val="3"/>
                <c:pt idx="0">
                  <c:v>Eficacia Presupuestaria</c:v>
                </c:pt>
                <c:pt idx="1">
                  <c:v>Correcta Publicación de Información Presupuestaria</c:v>
                </c:pt>
                <c:pt idx="2">
                  <c:v>Beneficiarios de asistencia social</c:v>
                </c:pt>
              </c:strCache>
            </c:strRef>
          </c:cat>
          <c:val>
            <c:numRef>
              <c:f>smmgp!$J$220:$J$222</c:f>
              <c:numCache>
                <c:formatCode>0.00%</c:formatCode>
                <c:ptCount val="3"/>
                <c:pt idx="0">
                  <c:v>0.91</c:v>
                </c:pt>
                <c:pt idx="1">
                  <c:v>1</c:v>
                </c:pt>
                <c:pt idx="2" formatCode="0%">
                  <c:v>1</c:v>
                </c:pt>
              </c:numCache>
            </c:numRef>
          </c:val>
          <c:extLst xmlns:c16r2="http://schemas.microsoft.com/office/drawing/2015/06/chart">
            <c:ext xmlns:c16="http://schemas.microsoft.com/office/drawing/2014/chart" uri="{C3380CC4-5D6E-409C-BE32-E72D297353CC}">
              <c16:uniqueId val="{00000004-1A44-4079-9D04-D4B13F0464C3}"/>
            </c:ext>
          </c:extLst>
        </c:ser>
        <c:dLbls>
          <c:showLegendKey val="0"/>
          <c:showVal val="0"/>
          <c:showCatName val="0"/>
          <c:showSerName val="0"/>
          <c:showPercent val="0"/>
          <c:showBubbleSize val="0"/>
        </c:dLbls>
        <c:axId val="-915526384"/>
        <c:axId val="-915532368"/>
      </c:radarChart>
      <c:catAx>
        <c:axId val="-915526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DO"/>
          </a:p>
        </c:txPr>
        <c:crossAx val="-915532368"/>
        <c:crosses val="autoZero"/>
        <c:auto val="1"/>
        <c:lblAlgn val="ctr"/>
        <c:lblOffset val="100"/>
        <c:noMultiLvlLbl val="0"/>
      </c:catAx>
      <c:valAx>
        <c:axId val="-91553236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s-DO"/>
          </a:p>
        </c:txPr>
        <c:crossAx val="-915526384"/>
        <c:crosses val="autoZero"/>
        <c:crossBetween val="between"/>
        <c:majorUnit val="0.2"/>
        <c:minorUnit val="2.0000000000000004E-2"/>
      </c:valAx>
      <c:spPr>
        <a:noFill/>
        <a:ln>
          <a:noFill/>
        </a:ln>
        <a:effectLst/>
      </c:spPr>
    </c:plotArea>
    <c:legend>
      <c:legendPos val="t"/>
      <c:layout>
        <c:manualLayout>
          <c:xMode val="edge"/>
          <c:yMode val="edge"/>
          <c:x val="0.34493488424079155"/>
          <c:y val="0.82237654618916944"/>
          <c:w val="0.28590386736288931"/>
          <c:h val="4.484943252327812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s-DO"/>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763863371609009E-2"/>
          <c:y val="2.2804632604780904E-2"/>
          <c:w val="0.88714981577234853"/>
          <c:h val="0.84246495533349808"/>
        </c:manualLayout>
      </c:layout>
      <c:barChart>
        <c:barDir val="col"/>
        <c:grouping val="stacked"/>
        <c:varyColors val="0"/>
        <c:ser>
          <c:idx val="0"/>
          <c:order val="0"/>
          <c:tx>
            <c:strRef>
              <c:f>smmgp!$D$4</c:f>
              <c:strCache>
                <c:ptCount val="1"/>
                <c:pt idx="0">
                  <c:v>Resultado Puntuación</c:v>
                </c:pt>
              </c:strCache>
            </c:strRef>
          </c:tx>
          <c:spPr>
            <a:solidFill>
              <a:srgbClr val="00B050"/>
            </a:solidFill>
            <a:ln>
              <a:solidFill>
                <a:srgbClr val="00B050"/>
              </a:solidFill>
            </a:ln>
          </c:spPr>
          <c:invertIfNegative val="0"/>
          <c:dLbls>
            <c:spPr>
              <a:noFill/>
              <a:ln>
                <a:noFill/>
              </a:ln>
              <a:effectLst/>
            </c:spPr>
            <c:txPr>
              <a:bodyPr/>
              <a:lstStyle/>
              <a:p>
                <a:pPr>
                  <a:defRPr sz="1200"/>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smmgp!$C$5:$C$8</c:f>
              <c:strCache>
                <c:ptCount val="4"/>
                <c:pt idx="0">
                  <c:v>T1</c:v>
                </c:pt>
                <c:pt idx="1">
                  <c:v>T2</c:v>
                </c:pt>
                <c:pt idx="2">
                  <c:v>T3</c:v>
                </c:pt>
                <c:pt idx="3">
                  <c:v>T4*</c:v>
                </c:pt>
              </c:strCache>
            </c:strRef>
          </c:cat>
          <c:val>
            <c:numRef>
              <c:f>smmgp!$D$5:$D$8</c:f>
              <c:numCache>
                <c:formatCode>0.00%</c:formatCode>
                <c:ptCount val="4"/>
                <c:pt idx="0">
                  <c:v>0.8448</c:v>
                </c:pt>
                <c:pt idx="1">
                  <c:v>0.8891</c:v>
                </c:pt>
                <c:pt idx="2">
                  <c:v>0.92210000000000003</c:v>
                </c:pt>
                <c:pt idx="3">
                  <c:v>0.85999999999999988</c:v>
                </c:pt>
              </c:numCache>
            </c:numRef>
          </c:val>
          <c:extLst xmlns:c16r2="http://schemas.microsoft.com/office/drawing/2015/06/chart">
            <c:ext xmlns:c16="http://schemas.microsoft.com/office/drawing/2014/chart" uri="{C3380CC4-5D6E-409C-BE32-E72D297353CC}">
              <c16:uniqueId val="{00000000-108C-40CC-BE0F-ABF21A5418FE}"/>
            </c:ext>
          </c:extLst>
        </c:ser>
        <c:ser>
          <c:idx val="1"/>
          <c:order val="1"/>
          <c:tx>
            <c:strRef>
              <c:f>smmgp!$E$4</c:f>
              <c:strCache>
                <c:ptCount val="1"/>
                <c:pt idx="0">
                  <c:v>Resultado no alcanzado</c:v>
                </c:pt>
              </c:strCache>
            </c:strRef>
          </c:tx>
          <c:spPr>
            <a:noFill/>
            <a:ln>
              <a:solidFill>
                <a:schemeClr val="accent1"/>
              </a:solidFill>
            </a:ln>
          </c:spPr>
          <c:invertIfNegative val="0"/>
          <c:dLbls>
            <c:spPr>
              <a:noFill/>
              <a:ln>
                <a:noFill/>
              </a:ln>
              <a:effectLst/>
            </c:spPr>
            <c:txPr>
              <a:bodyPr/>
              <a:lstStyle/>
              <a:p>
                <a:pPr>
                  <a:defRPr sz="1200"/>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smmgp!$C$5:$C$8</c:f>
              <c:strCache>
                <c:ptCount val="4"/>
                <c:pt idx="0">
                  <c:v>T1</c:v>
                </c:pt>
                <c:pt idx="1">
                  <c:v>T2</c:v>
                </c:pt>
                <c:pt idx="2">
                  <c:v>T3</c:v>
                </c:pt>
                <c:pt idx="3">
                  <c:v>T4*</c:v>
                </c:pt>
              </c:strCache>
            </c:strRef>
          </c:cat>
          <c:val>
            <c:numRef>
              <c:f>smmgp!$E$5:$E$8</c:f>
              <c:numCache>
                <c:formatCode>0.00%</c:formatCode>
                <c:ptCount val="4"/>
                <c:pt idx="0">
                  <c:v>0.1552</c:v>
                </c:pt>
                <c:pt idx="1">
                  <c:v>0.1109</c:v>
                </c:pt>
                <c:pt idx="2">
                  <c:v>7.7899999999999969E-2</c:v>
                </c:pt>
                <c:pt idx="3">
                  <c:v>0.14000000000000012</c:v>
                </c:pt>
              </c:numCache>
            </c:numRef>
          </c:val>
          <c:extLst xmlns:c16r2="http://schemas.microsoft.com/office/drawing/2015/06/chart">
            <c:ext xmlns:c16="http://schemas.microsoft.com/office/drawing/2014/chart" uri="{C3380CC4-5D6E-409C-BE32-E72D297353CC}">
              <c16:uniqueId val="{00000001-108C-40CC-BE0F-ABF21A5418FE}"/>
            </c:ext>
          </c:extLst>
        </c:ser>
        <c:dLbls>
          <c:showLegendKey val="0"/>
          <c:showVal val="0"/>
          <c:showCatName val="0"/>
          <c:showSerName val="0"/>
          <c:showPercent val="0"/>
          <c:showBubbleSize val="0"/>
        </c:dLbls>
        <c:gapWidth val="150"/>
        <c:overlap val="100"/>
        <c:axId val="-915528016"/>
        <c:axId val="-915525840"/>
      </c:barChart>
      <c:catAx>
        <c:axId val="-915528016"/>
        <c:scaling>
          <c:orientation val="minMax"/>
        </c:scaling>
        <c:delete val="0"/>
        <c:axPos val="b"/>
        <c:numFmt formatCode="General" sourceLinked="0"/>
        <c:majorTickMark val="out"/>
        <c:minorTickMark val="none"/>
        <c:tickLblPos val="nextTo"/>
        <c:crossAx val="-915525840"/>
        <c:crosses val="autoZero"/>
        <c:auto val="1"/>
        <c:lblAlgn val="ctr"/>
        <c:lblOffset val="100"/>
        <c:noMultiLvlLbl val="0"/>
      </c:catAx>
      <c:valAx>
        <c:axId val="-915525840"/>
        <c:scaling>
          <c:orientation val="minMax"/>
          <c:max val="1"/>
          <c:min val="0"/>
        </c:scaling>
        <c:delete val="0"/>
        <c:axPos val="l"/>
        <c:majorGridlines/>
        <c:numFmt formatCode="0%" sourceLinked="0"/>
        <c:majorTickMark val="out"/>
        <c:minorTickMark val="none"/>
        <c:tickLblPos val="nextTo"/>
        <c:crossAx val="-915528016"/>
        <c:crosses val="autoZero"/>
        <c:crossBetween val="between"/>
        <c:majorUnit val="0.2"/>
      </c:valAx>
    </c:plotArea>
    <c:legend>
      <c:legendPos val="b"/>
      <c:overlay val="0"/>
    </c:legend>
    <c:plotVisOnly val="1"/>
    <c:dispBlanksAs val="gap"/>
    <c:showDLblsOverMax val="0"/>
  </c:chart>
  <c:spPr>
    <a:ln>
      <a:noFill/>
    </a:ln>
  </c:sp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588801399825021"/>
          <c:y val="0.15609577036619601"/>
          <c:w val="0.55155730533683289"/>
          <c:h val="0.7531245314624575"/>
        </c:manualLayout>
      </c:layout>
      <c:radarChart>
        <c:radarStyle val="marker"/>
        <c:varyColors val="0"/>
        <c:ser>
          <c:idx val="0"/>
          <c:order val="0"/>
          <c:tx>
            <c:strRef>
              <c:f>smmgp!$I$4</c:f>
              <c:strCache>
                <c:ptCount val="1"/>
                <c:pt idx="0">
                  <c:v>Meta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smmgp!$H$5:$H$9</c:f>
              <c:strCache>
                <c:ptCount val="5"/>
                <c:pt idx="0">
                  <c:v>Planficación de compras</c:v>
                </c:pt>
                <c:pt idx="1">
                  <c:v>Publicación de procesos</c:v>
                </c:pt>
                <c:pt idx="2">
                  <c:v>Gestión de Procesos</c:v>
                </c:pt>
                <c:pt idx="3">
                  <c:v>Administración de contratos</c:v>
                </c:pt>
                <c:pt idx="4">
                  <c:v>Compra a MiPYMES y Mujeres</c:v>
                </c:pt>
              </c:strCache>
            </c:strRef>
          </c:cat>
          <c:val>
            <c:numRef>
              <c:f>smmgp!$I$5:$I$9</c:f>
              <c:numCache>
                <c:formatCode>0%</c:formatCode>
                <c:ptCount val="5"/>
                <c:pt idx="0">
                  <c:v>0.15</c:v>
                </c:pt>
                <c:pt idx="1">
                  <c:v>0.15</c:v>
                </c:pt>
                <c:pt idx="2">
                  <c:v>0.2</c:v>
                </c:pt>
                <c:pt idx="3">
                  <c:v>0.3</c:v>
                </c:pt>
                <c:pt idx="4">
                  <c:v>0.2</c:v>
                </c:pt>
              </c:numCache>
            </c:numRef>
          </c:val>
          <c:extLst xmlns:c16r2="http://schemas.microsoft.com/office/drawing/2015/06/chart">
            <c:ext xmlns:c16="http://schemas.microsoft.com/office/drawing/2014/chart" uri="{C3380CC4-5D6E-409C-BE32-E72D297353CC}">
              <c16:uniqueId val="{00000000-7F91-4338-9799-324A1DE933D7}"/>
            </c:ext>
          </c:extLst>
        </c:ser>
        <c:ser>
          <c:idx val="1"/>
          <c:order val="1"/>
          <c:tx>
            <c:strRef>
              <c:f>smmgp!$J$4</c:f>
              <c:strCache>
                <c:ptCount val="1"/>
                <c:pt idx="0">
                  <c:v>ejecución</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layout>
                <c:manualLayout>
                  <c:x val="9.9280210655408128E-3"/>
                  <c:y val="5.84699620510274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F91-4338-9799-324A1DE933D7}"/>
                </c:ext>
                <c:ext xmlns:c15="http://schemas.microsoft.com/office/drawing/2012/chart" uri="{CE6537A1-D6FC-4f65-9D91-7224C49458BB}"/>
              </c:extLst>
            </c:dLbl>
            <c:dLbl>
              <c:idx val="1"/>
              <c:layout>
                <c:manualLayout>
                  <c:x val="-4.368329268837997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F91-4338-9799-324A1DE933D7}"/>
                </c:ext>
                <c:ext xmlns:c15="http://schemas.microsoft.com/office/drawing/2012/chart" uri="{CE6537A1-D6FC-4f65-9D91-7224C49458BB}"/>
              </c:extLst>
            </c:dLbl>
            <c:dLbl>
              <c:idx val="2"/>
              <c:layout>
                <c:manualLayout>
                  <c:x val="-3.1769667409730834E-2"/>
                  <c:y val="-7.441631533767145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F91-4338-9799-324A1DE933D7}"/>
                </c:ext>
                <c:ext xmlns:c15="http://schemas.microsoft.com/office/drawing/2012/chart" uri="{CE6537A1-D6FC-4f65-9D91-7224C49458BB}"/>
              </c:extLst>
            </c:dLbl>
            <c:dLbl>
              <c:idx val="3"/>
              <c:layout>
                <c:manualLayout>
                  <c:x val="5.5596917967028966E-2"/>
                  <c:y val="-7.97317664332193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F91-4338-9799-324A1DE933D7}"/>
                </c:ext>
                <c:ext xmlns:c15="http://schemas.microsoft.com/office/drawing/2012/chart" uri="{CE6537A1-D6FC-4f65-9D91-7224C49458BB}"/>
              </c:extLst>
            </c:dLbl>
            <c:dLbl>
              <c:idx val="4"/>
              <c:layout>
                <c:manualLayout>
                  <c:x val="4.5668896901488044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F91-4338-9799-324A1DE933D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smmgp!$H$5:$H$9</c:f>
              <c:strCache>
                <c:ptCount val="5"/>
                <c:pt idx="0">
                  <c:v>Planficación de compras</c:v>
                </c:pt>
                <c:pt idx="1">
                  <c:v>Publicación de procesos</c:v>
                </c:pt>
                <c:pt idx="2">
                  <c:v>Gestión de Procesos</c:v>
                </c:pt>
                <c:pt idx="3">
                  <c:v>Administración de contratos</c:v>
                </c:pt>
                <c:pt idx="4">
                  <c:v>Compra a MiPYMES y Mujeres</c:v>
                </c:pt>
              </c:strCache>
            </c:strRef>
          </c:cat>
          <c:val>
            <c:numRef>
              <c:f>smmgp!$J$5:$J$9</c:f>
              <c:numCache>
                <c:formatCode>0.00%</c:formatCode>
                <c:ptCount val="5"/>
                <c:pt idx="0">
                  <c:v>0.15</c:v>
                </c:pt>
                <c:pt idx="1">
                  <c:v>0.15</c:v>
                </c:pt>
                <c:pt idx="2">
                  <c:v>0.15</c:v>
                </c:pt>
                <c:pt idx="3">
                  <c:v>0.21</c:v>
                </c:pt>
                <c:pt idx="4">
                  <c:v>0.2</c:v>
                </c:pt>
              </c:numCache>
            </c:numRef>
          </c:val>
          <c:extLst xmlns:c16r2="http://schemas.microsoft.com/office/drawing/2015/06/chart">
            <c:ext xmlns:c16="http://schemas.microsoft.com/office/drawing/2014/chart" uri="{C3380CC4-5D6E-409C-BE32-E72D297353CC}">
              <c16:uniqueId val="{00000006-7F91-4338-9799-324A1DE933D7}"/>
            </c:ext>
          </c:extLst>
        </c:ser>
        <c:dLbls>
          <c:showLegendKey val="0"/>
          <c:showVal val="0"/>
          <c:showCatName val="0"/>
          <c:showSerName val="0"/>
          <c:showPercent val="0"/>
          <c:showBubbleSize val="0"/>
        </c:dLbls>
        <c:axId val="-915522576"/>
        <c:axId val="-915531280"/>
      </c:radarChart>
      <c:catAx>
        <c:axId val="-915522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915531280"/>
        <c:crosses val="autoZero"/>
        <c:auto val="1"/>
        <c:lblAlgn val="ctr"/>
        <c:lblOffset val="100"/>
        <c:noMultiLvlLbl val="0"/>
      </c:catAx>
      <c:valAx>
        <c:axId val="-915531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915522576"/>
        <c:crosses val="autoZero"/>
        <c:crossBetween val="between"/>
      </c:valAx>
      <c:spPr>
        <a:noFill/>
        <a:ln>
          <a:noFill/>
        </a:ln>
        <a:effectLst/>
      </c:spPr>
    </c:plotArea>
    <c:legend>
      <c:legendPos val="t"/>
      <c:layout>
        <c:manualLayout>
          <c:xMode val="edge"/>
          <c:yMode val="edge"/>
          <c:x val="0.37300392175852271"/>
          <c:y val="0.95144321013905309"/>
          <c:w val="0.28590386736288931"/>
          <c:h val="4.4849432523278124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122703412073491E-2"/>
          <c:y val="2.4962971635980446E-2"/>
          <c:w val="0.87232174103237092"/>
          <c:h val="0.82560108889734507"/>
        </c:manualLayout>
      </c:layout>
      <c:barChart>
        <c:barDir val="col"/>
        <c:grouping val="stacked"/>
        <c:varyColors val="0"/>
        <c:ser>
          <c:idx val="0"/>
          <c:order val="0"/>
          <c:tx>
            <c:strRef>
              <c:f>smmgp!$D$4</c:f>
              <c:strCache>
                <c:ptCount val="1"/>
                <c:pt idx="0">
                  <c:v>Resultado Puntuación</c:v>
                </c:pt>
              </c:strCache>
            </c:strRef>
          </c:tx>
          <c:spPr>
            <a:solidFill>
              <a:srgbClr val="00B050"/>
            </a:solidFill>
            <a:ln>
              <a:solidFill>
                <a:srgbClr val="00B050"/>
              </a:solidFill>
            </a:ln>
            <a:effectLst/>
          </c:spPr>
          <c:invertIfNegative val="0"/>
          <c:dLbls>
            <c:spPr>
              <a:noFill/>
              <a:ln>
                <a:noFill/>
              </a:ln>
              <a:effectLst/>
            </c:spPr>
            <c:txPr>
              <a:bodyPr rot="0" vert="horz"/>
              <a:lstStyle/>
              <a:p>
                <a:pPr>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smmgp!$C$265:$C$268</c:f>
              <c:strCache>
                <c:ptCount val="4"/>
                <c:pt idx="0">
                  <c:v>T1</c:v>
                </c:pt>
                <c:pt idx="1">
                  <c:v>T2</c:v>
                </c:pt>
                <c:pt idx="2">
                  <c:v>T3</c:v>
                </c:pt>
                <c:pt idx="3">
                  <c:v>T4*</c:v>
                </c:pt>
              </c:strCache>
            </c:strRef>
          </c:cat>
          <c:val>
            <c:numRef>
              <c:f>smmgp!$D$265:$D$268</c:f>
              <c:numCache>
                <c:formatCode>0.00%</c:formatCode>
                <c:ptCount val="4"/>
                <c:pt idx="0">
                  <c:v>0.76</c:v>
                </c:pt>
                <c:pt idx="1">
                  <c:v>0.90669999999999995</c:v>
                </c:pt>
                <c:pt idx="2">
                  <c:v>0.90669999999999995</c:v>
                </c:pt>
                <c:pt idx="3">
                  <c:v>0.91409999999999991</c:v>
                </c:pt>
              </c:numCache>
            </c:numRef>
          </c:val>
          <c:extLst xmlns:c16r2="http://schemas.microsoft.com/office/drawing/2015/06/chart">
            <c:ext xmlns:c16="http://schemas.microsoft.com/office/drawing/2014/chart" uri="{C3380CC4-5D6E-409C-BE32-E72D297353CC}">
              <c16:uniqueId val="{00000000-B748-434D-B894-BC8B9C857551}"/>
            </c:ext>
          </c:extLst>
        </c:ser>
        <c:ser>
          <c:idx val="1"/>
          <c:order val="1"/>
          <c:tx>
            <c:strRef>
              <c:f>smmgp!$E$4</c:f>
              <c:strCache>
                <c:ptCount val="1"/>
                <c:pt idx="0">
                  <c:v>Resultado no alcanzado</c:v>
                </c:pt>
              </c:strCache>
            </c:strRef>
          </c:tx>
          <c:spPr>
            <a:noFill/>
            <a:ln>
              <a:solidFill>
                <a:schemeClr val="accent1"/>
              </a:solidFill>
            </a:ln>
            <a:effectLst/>
          </c:spPr>
          <c:invertIfNegative val="0"/>
          <c:dLbls>
            <c:spPr>
              <a:noFill/>
              <a:ln>
                <a:noFill/>
              </a:ln>
              <a:effectLst/>
            </c:spPr>
            <c:txPr>
              <a:bodyPr rot="0" vert="horz"/>
              <a:lstStyle/>
              <a:p>
                <a:pPr>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smmgp!$C$265:$C$268</c:f>
              <c:strCache>
                <c:ptCount val="4"/>
                <c:pt idx="0">
                  <c:v>T1</c:v>
                </c:pt>
                <c:pt idx="1">
                  <c:v>T2</c:v>
                </c:pt>
                <c:pt idx="2">
                  <c:v>T3</c:v>
                </c:pt>
                <c:pt idx="3">
                  <c:v>T4*</c:v>
                </c:pt>
              </c:strCache>
            </c:strRef>
          </c:cat>
          <c:val>
            <c:numRef>
              <c:f>smmgp!$E$265:$E$268</c:f>
              <c:numCache>
                <c:formatCode>0.00%</c:formatCode>
                <c:ptCount val="4"/>
                <c:pt idx="0">
                  <c:v>0.24</c:v>
                </c:pt>
                <c:pt idx="1">
                  <c:v>9.330000000000005E-2</c:v>
                </c:pt>
                <c:pt idx="2">
                  <c:v>9.330000000000005E-2</c:v>
                </c:pt>
                <c:pt idx="3">
                  <c:v>8.5900000000000087E-2</c:v>
                </c:pt>
              </c:numCache>
            </c:numRef>
          </c:val>
          <c:extLst xmlns:c16r2="http://schemas.microsoft.com/office/drawing/2015/06/chart">
            <c:ext xmlns:c16="http://schemas.microsoft.com/office/drawing/2014/chart" uri="{C3380CC4-5D6E-409C-BE32-E72D297353CC}">
              <c16:uniqueId val="{00000001-B748-434D-B894-BC8B9C857551}"/>
            </c:ext>
          </c:extLst>
        </c:ser>
        <c:dLbls>
          <c:showLegendKey val="0"/>
          <c:showVal val="0"/>
          <c:showCatName val="0"/>
          <c:showSerName val="0"/>
          <c:showPercent val="0"/>
          <c:showBubbleSize val="0"/>
        </c:dLbls>
        <c:gapWidth val="150"/>
        <c:overlap val="100"/>
        <c:axId val="-915526928"/>
        <c:axId val="-915525296"/>
      </c:barChart>
      <c:catAx>
        <c:axId val="-91552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DO"/>
          </a:p>
        </c:txPr>
        <c:crossAx val="-915525296"/>
        <c:crosses val="autoZero"/>
        <c:auto val="1"/>
        <c:lblAlgn val="ctr"/>
        <c:lblOffset val="100"/>
        <c:noMultiLvlLbl val="0"/>
      </c:catAx>
      <c:valAx>
        <c:axId val="-915525296"/>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vert="horz"/>
          <a:lstStyle/>
          <a:p>
            <a:pPr>
              <a:defRPr/>
            </a:pPr>
            <a:endParaRPr lang="es-DO"/>
          </a:p>
        </c:txPr>
        <c:crossAx val="-915526928"/>
        <c:crosses val="autoZero"/>
        <c:crossBetween val="between"/>
        <c:majorUnit val="0.2"/>
      </c:valAx>
      <c:spPr>
        <a:noFill/>
        <a:ln>
          <a:noFill/>
        </a:ln>
        <a:effectLst/>
      </c:spPr>
    </c:plotArea>
    <c:legend>
      <c:legendPos val="b"/>
      <c:layout>
        <c:manualLayout>
          <c:xMode val="edge"/>
          <c:yMode val="edge"/>
          <c:x val="0.14349616617333152"/>
          <c:y val="0.92187437096678704"/>
          <c:w val="0.65180743217150816"/>
          <c:h val="5.1046744156980371E-2"/>
        </c:manualLayout>
      </c:layout>
      <c:overlay val="0"/>
      <c:spPr>
        <a:noFill/>
        <a:ln>
          <a:noFill/>
        </a:ln>
        <a:effectLst/>
      </c:spPr>
      <c:txPr>
        <a:bodyPr rot="0" vert="horz"/>
        <a:lstStyle/>
        <a:p>
          <a:pPr>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241549351785571"/>
          <c:y val="0.19047252148374055"/>
          <c:w val="0.52190606855961186"/>
          <c:h val="0.75977755167238936"/>
        </c:manualLayout>
      </c:layout>
      <c:radarChart>
        <c:radarStyle val="marker"/>
        <c:varyColors val="0"/>
        <c:ser>
          <c:idx val="0"/>
          <c:order val="0"/>
          <c:tx>
            <c:strRef>
              <c:f>smmgp!$I$4</c:f>
              <c:strCache>
                <c:ptCount val="1"/>
                <c:pt idx="0">
                  <c:v>Meta</c:v>
                </c:pt>
              </c:strCache>
            </c:strRef>
          </c:tx>
          <c:marker>
            <c:symbol val="circle"/>
            <c:size val="5"/>
            <c:spPr>
              <a:solidFill>
                <a:schemeClr val="accent1"/>
              </a:solidFill>
              <a:ln w="9525">
                <a:solidFill>
                  <a:schemeClr val="accent1"/>
                </a:solidFill>
              </a:ln>
              <a:effectLst/>
            </c:spPr>
          </c:marker>
          <c:cat>
            <c:strRef>
              <c:f>smmgp!$H$265:$H$269</c:f>
              <c:strCache>
                <c:ptCount val="5"/>
                <c:pt idx="0">
                  <c:v>Cumplimiento de la Ley 200-04</c:v>
                </c:pt>
                <c:pt idx="1">
                  <c:v>Uso del SIstema Nacional de Compras Públicas</c:v>
                </c:pt>
                <c:pt idx="2">
                  <c:v>Transparencia Presupuestaria</c:v>
                </c:pt>
                <c:pt idx="3">
                  <c:v>Gobierno Abierto y E-participación</c:v>
                </c:pt>
                <c:pt idx="4">
                  <c:v>Desarrollo de E-servicios</c:v>
                </c:pt>
              </c:strCache>
            </c:strRef>
          </c:cat>
          <c:val>
            <c:numRef>
              <c:f>smmgp!$I$265:$I$269</c:f>
              <c:numCache>
                <c:formatCode>0%</c:formatCode>
                <c:ptCount val="5"/>
                <c:pt idx="0">
                  <c:v>0.4</c:v>
                </c:pt>
                <c:pt idx="1">
                  <c:v>0.2</c:v>
                </c:pt>
                <c:pt idx="2">
                  <c:v>0.2</c:v>
                </c:pt>
                <c:pt idx="3">
                  <c:v>0.1</c:v>
                </c:pt>
                <c:pt idx="4">
                  <c:v>0.1</c:v>
                </c:pt>
              </c:numCache>
            </c:numRef>
          </c:val>
          <c:extLst xmlns:c16r2="http://schemas.microsoft.com/office/drawing/2015/06/chart">
            <c:ext xmlns:c16="http://schemas.microsoft.com/office/drawing/2014/chart" uri="{C3380CC4-5D6E-409C-BE32-E72D297353CC}">
              <c16:uniqueId val="{00000000-5347-4C2F-A958-75F1FE5596A4}"/>
            </c:ext>
          </c:extLst>
        </c:ser>
        <c:ser>
          <c:idx val="1"/>
          <c:order val="1"/>
          <c:tx>
            <c:strRef>
              <c:f>smmgp!$J$4</c:f>
              <c:strCache>
                <c:ptCount val="1"/>
                <c:pt idx="0">
                  <c:v>ejecución</c:v>
                </c:pt>
              </c:strCache>
            </c:strRef>
          </c:tx>
          <c:spPr>
            <a:ln>
              <a:solidFill>
                <a:srgbClr val="00B050"/>
              </a:solidFill>
            </a:ln>
          </c:spPr>
          <c:marker>
            <c:symbol val="circle"/>
            <c:size val="5"/>
            <c:spPr>
              <a:solidFill>
                <a:srgbClr val="00B050"/>
              </a:solidFill>
              <a:ln w="9525">
                <a:solidFill>
                  <a:srgbClr val="00B050"/>
                </a:solidFill>
              </a:ln>
              <a:effectLst/>
            </c:spPr>
          </c:marker>
          <c:cat>
            <c:strRef>
              <c:f>smmgp!$H$265:$H$269</c:f>
              <c:strCache>
                <c:ptCount val="5"/>
                <c:pt idx="0">
                  <c:v>Cumplimiento de la Ley 200-04</c:v>
                </c:pt>
                <c:pt idx="1">
                  <c:v>Uso del SIstema Nacional de Compras Públicas</c:v>
                </c:pt>
                <c:pt idx="2">
                  <c:v>Transparencia Presupuestaria</c:v>
                </c:pt>
                <c:pt idx="3">
                  <c:v>Gobierno Abierto y E-participación</c:v>
                </c:pt>
                <c:pt idx="4">
                  <c:v>Desarrollo de E-servicios</c:v>
                </c:pt>
              </c:strCache>
            </c:strRef>
          </c:cat>
          <c:val>
            <c:numRef>
              <c:f>smmgp!$J$265:$J$269</c:f>
              <c:numCache>
                <c:formatCode>0.00%</c:formatCode>
                <c:ptCount val="5"/>
                <c:pt idx="0">
                  <c:v>0.376</c:v>
                </c:pt>
                <c:pt idx="1">
                  <c:v>0.18440000000000001</c:v>
                </c:pt>
                <c:pt idx="2">
                  <c:v>0.2</c:v>
                </c:pt>
                <c:pt idx="3">
                  <c:v>7.3099999999999998E-2</c:v>
                </c:pt>
                <c:pt idx="4">
                  <c:v>8.0600000000000005E-2</c:v>
                </c:pt>
              </c:numCache>
            </c:numRef>
          </c:val>
          <c:extLst xmlns:c16r2="http://schemas.microsoft.com/office/drawing/2015/06/chart">
            <c:ext xmlns:c16="http://schemas.microsoft.com/office/drawing/2014/chart" uri="{C3380CC4-5D6E-409C-BE32-E72D297353CC}">
              <c16:uniqueId val="{00000001-5347-4C2F-A958-75F1FE5596A4}"/>
            </c:ext>
          </c:extLst>
        </c:ser>
        <c:dLbls>
          <c:showLegendKey val="0"/>
          <c:showVal val="0"/>
          <c:showCatName val="0"/>
          <c:showSerName val="0"/>
          <c:showPercent val="0"/>
          <c:showBubbleSize val="0"/>
        </c:dLbls>
        <c:axId val="-915524752"/>
        <c:axId val="-915537808"/>
      </c:radarChart>
      <c:catAx>
        <c:axId val="-91552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s-DO"/>
          </a:p>
        </c:txPr>
        <c:crossAx val="-915537808"/>
        <c:crosses val="autoZero"/>
        <c:auto val="1"/>
        <c:lblAlgn val="ctr"/>
        <c:lblOffset val="100"/>
        <c:noMultiLvlLbl val="0"/>
      </c:catAx>
      <c:valAx>
        <c:axId val="-9155378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es-DO"/>
          </a:p>
        </c:txPr>
        <c:crossAx val="-915524752"/>
        <c:crosses val="autoZero"/>
        <c:crossBetween val="between"/>
      </c:valAx>
      <c:spPr>
        <a:noFill/>
        <a:ln>
          <a:noFill/>
        </a:ln>
        <a:effectLst/>
      </c:spPr>
    </c:plotArea>
    <c:legend>
      <c:legendPos val="t"/>
      <c:layout>
        <c:manualLayout>
          <c:xMode val="edge"/>
          <c:yMode val="edge"/>
          <c:x val="0.33893127768497794"/>
          <c:y val="0.93746777100472156"/>
          <c:w val="0.28590386736288931"/>
          <c:h val="4.4849432523278124E-2"/>
        </c:manualLayout>
      </c:layout>
      <c:overlay val="0"/>
      <c:spPr>
        <a:noFill/>
        <a:ln>
          <a:noFill/>
        </a:ln>
        <a:effectLst/>
      </c:spPr>
      <c:txPr>
        <a:bodyPr rot="0" vert="horz"/>
        <a:lstStyle/>
        <a:p>
          <a:pPr>
            <a:defRPr/>
          </a:pPr>
          <a:endParaRPr lang="es-DO"/>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'SurEste 2018'!$A$5</c:f>
              <c:strCache>
                <c:ptCount val="1"/>
                <c:pt idx="0">
                  <c:v>NORMAL</c:v>
                </c:pt>
              </c:strCache>
            </c:strRef>
          </c:tx>
          <c:spPr>
            <a:ln w="38100" cap="rnd">
              <a:solidFill>
                <a:schemeClr val="tx1"/>
              </a:solidFill>
              <a:prstDash val="sysDash"/>
              <a:round/>
            </a:ln>
            <a:effectLst/>
          </c:spPr>
          <c:marker>
            <c:symbol val="none"/>
          </c:marker>
          <c:cat>
            <c:strRef>
              <c:f>'SurEste 2018'!$B$4:$M$4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2018'!$B$5:$M$5</c:f>
              <c:numCache>
                <c:formatCode>0.0</c:formatCode>
                <c:ptCount val="12"/>
                <c:pt idx="0">
                  <c:v>61</c:v>
                </c:pt>
                <c:pt idx="1">
                  <c:v>50.1</c:v>
                </c:pt>
                <c:pt idx="2">
                  <c:v>70.8</c:v>
                </c:pt>
                <c:pt idx="3">
                  <c:v>130.1</c:v>
                </c:pt>
                <c:pt idx="4">
                  <c:v>226.5</c:v>
                </c:pt>
                <c:pt idx="5">
                  <c:v>159.69999999999999</c:v>
                </c:pt>
                <c:pt idx="6">
                  <c:v>129.6</c:v>
                </c:pt>
                <c:pt idx="7">
                  <c:v>201.6</c:v>
                </c:pt>
                <c:pt idx="8">
                  <c:v>204.8</c:v>
                </c:pt>
                <c:pt idx="9">
                  <c:v>236.4</c:v>
                </c:pt>
                <c:pt idx="10">
                  <c:v>109.1</c:v>
                </c:pt>
                <c:pt idx="11">
                  <c:v>61.8</c:v>
                </c:pt>
              </c:numCache>
            </c:numRef>
          </c:val>
          <c:smooth val="1"/>
          <c:extLst xmlns:c16r2="http://schemas.microsoft.com/office/drawing/2015/06/chart">
            <c:ext xmlns:c16="http://schemas.microsoft.com/office/drawing/2014/chart" uri="{C3380CC4-5D6E-409C-BE32-E72D297353CC}">
              <c16:uniqueId val="{00000000-8B05-4D6A-B70F-E880567B4D25}"/>
            </c:ext>
          </c:extLst>
        </c:ser>
        <c:ser>
          <c:idx val="1"/>
          <c:order val="1"/>
          <c:tx>
            <c:strRef>
              <c:f>'SurEste 2018'!$A$6</c:f>
              <c:strCache>
                <c:ptCount val="1"/>
                <c:pt idx="0">
                  <c:v>2019</c:v>
                </c:pt>
              </c:strCache>
            </c:strRef>
          </c:tx>
          <c:spPr>
            <a:ln w="50800" cap="rnd">
              <a:solidFill>
                <a:srgbClr val="669900"/>
              </a:solidFill>
              <a:round/>
            </a:ln>
            <a:effectLst/>
          </c:spPr>
          <c:marker>
            <c:symbol val="none"/>
          </c:marker>
          <c:cat>
            <c:strRef>
              <c:f>'SurEste 2018'!$B$4:$M$4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2018'!$B$6:$M$6</c:f>
              <c:numCache>
                <c:formatCode>_(* #,##0.0_);_(* \(#,##0.0\);_(* "-"??_);_(@_)</c:formatCode>
                <c:ptCount val="12"/>
                <c:pt idx="0">
                  <c:v>127.4</c:v>
                </c:pt>
                <c:pt idx="1">
                  <c:v>35.9</c:v>
                </c:pt>
                <c:pt idx="2">
                  <c:v>162.1</c:v>
                </c:pt>
                <c:pt idx="3">
                  <c:v>70</c:v>
                </c:pt>
                <c:pt idx="4">
                  <c:v>413.99999999999994</c:v>
                </c:pt>
                <c:pt idx="5">
                  <c:v>103.6</c:v>
                </c:pt>
                <c:pt idx="6">
                  <c:v>184.2</c:v>
                </c:pt>
                <c:pt idx="7">
                  <c:v>173.9</c:v>
                </c:pt>
                <c:pt idx="8">
                  <c:v>138.30000000000001</c:v>
                </c:pt>
                <c:pt idx="9">
                  <c:v>222</c:v>
                </c:pt>
                <c:pt idx="10">
                  <c:v>101.4</c:v>
                </c:pt>
              </c:numCache>
            </c:numRef>
          </c:val>
          <c:smooth val="1"/>
          <c:extLst xmlns:c16r2="http://schemas.microsoft.com/office/drawing/2015/06/chart">
            <c:ext xmlns:c16="http://schemas.microsoft.com/office/drawing/2014/chart" uri="{C3380CC4-5D6E-409C-BE32-E72D297353CC}">
              <c16:uniqueId val="{00000001-8B05-4D6A-B70F-E880567B4D25}"/>
            </c:ext>
          </c:extLst>
        </c:ser>
        <c:dLbls>
          <c:showLegendKey val="0"/>
          <c:showVal val="0"/>
          <c:showCatName val="0"/>
          <c:showSerName val="0"/>
          <c:showPercent val="0"/>
          <c:showBubbleSize val="0"/>
        </c:dLbls>
        <c:smooth val="0"/>
        <c:axId val="-915524208"/>
        <c:axId val="-915523664"/>
      </c:lineChart>
      <c:catAx>
        <c:axId val="-9155242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915523664"/>
        <c:crosses val="autoZero"/>
        <c:auto val="1"/>
        <c:lblAlgn val="ctr"/>
        <c:lblOffset val="100"/>
        <c:noMultiLvlLbl val="0"/>
      </c:catAx>
      <c:valAx>
        <c:axId val="-915523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915524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'[JESUS DEFINITIVO Lluvias y embalses en 2019   ManEGonTe.xlsx]SurEste 2018'!$A$7</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27EB-4F2E-A0AC-6B3AEDCCB284}"/>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27EB-4F2E-A0AC-6B3AEDCCB284}"/>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27EB-4F2E-A0AC-6B3AEDCCB284}"/>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60DB-4E32-8C5A-306B5CAD4772}"/>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60DB-4E32-8C5A-306B5CAD4772}"/>
              </c:ext>
            </c:extLst>
          </c:dPt>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'[JESUS DEFINITIVO Lluvias y embalses en 2019   ManEGonTe.xlsx]SurEste 2018'!$B$4:$M$4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ManEGonTe.xlsx]SurEste 2018'!$B$7:$M$7</c:f>
              <c:numCache>
                <c:formatCode>0.0</c:formatCode>
                <c:ptCount val="12"/>
                <c:pt idx="0">
                  <c:v>108.85245901639345</c:v>
                </c:pt>
                <c:pt idx="1">
                  <c:v>-28.343313373253498</c:v>
                </c:pt>
                <c:pt idx="2">
                  <c:v>128.954802259887</c:v>
                </c:pt>
                <c:pt idx="3">
                  <c:v>-46.195234435049954</c:v>
                </c:pt>
                <c:pt idx="4">
                  <c:v>82.781456953642348</c:v>
                </c:pt>
                <c:pt idx="5">
                  <c:v>-35.128365685660611</c:v>
                </c:pt>
                <c:pt idx="6">
                  <c:v>42.129629629629626</c:v>
                </c:pt>
                <c:pt idx="7">
                  <c:v>-13.74007936507936</c:v>
                </c:pt>
                <c:pt idx="8">
                  <c:v>-32.470703125</c:v>
                </c:pt>
                <c:pt idx="9">
                  <c:v>-6.0913705583756359</c:v>
                </c:pt>
                <c:pt idx="10">
                  <c:v>-7.1</c:v>
                </c:pt>
              </c:numCache>
            </c:numRef>
          </c:val>
          <c:extLst xmlns:c16r2="http://schemas.microsoft.com/office/drawing/2015/06/chart">
            <c:ext xmlns:c16="http://schemas.microsoft.com/office/drawing/2014/chart" uri="{C3380CC4-5D6E-409C-BE32-E72D297353CC}">
              <c16:uniqueId val="{00000000-27EB-4F2E-A0AC-6B3AEDCCB284}"/>
            </c:ext>
          </c:extLst>
        </c:ser>
        <c:dLbls>
          <c:showLegendKey val="0"/>
          <c:showVal val="0"/>
          <c:showCatName val="0"/>
          <c:showSerName val="0"/>
          <c:showPercent val="0"/>
          <c:showBubbleSize val="0"/>
        </c:dLbls>
        <c:gapWidth val="219"/>
        <c:overlap val="-27"/>
        <c:axId val="-915522032"/>
        <c:axId val="-915536176"/>
      </c:barChart>
      <c:catAx>
        <c:axId val="-9155220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DO"/>
          </a:p>
        </c:txPr>
        <c:crossAx val="-915536176"/>
        <c:crosses val="autoZero"/>
        <c:auto val="1"/>
        <c:lblAlgn val="ctr"/>
        <c:lblOffset val="100"/>
        <c:noMultiLvlLbl val="0"/>
      </c:catAx>
      <c:valAx>
        <c:axId val="-91553617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9155220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'SurEste 2018'!$A$24</c:f>
              <c:strCache>
                <c:ptCount val="1"/>
                <c:pt idx="0">
                  <c:v>NORMAL</c:v>
                </c:pt>
              </c:strCache>
            </c:strRef>
          </c:tx>
          <c:spPr>
            <a:ln w="38100" cap="rnd">
              <a:solidFill>
                <a:schemeClr val="tx1"/>
              </a:solidFill>
              <a:prstDash val="sysDash"/>
              <a:round/>
            </a:ln>
            <a:effectLst/>
          </c:spPr>
          <c:marker>
            <c:symbol val="none"/>
          </c:marker>
          <c:cat>
            <c:strRef>
              <c:f>'SurEste 2018'!$B$23:$M$23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2018'!$B$24:$M$24</c:f>
              <c:numCache>
                <c:formatCode>0.0</c:formatCode>
                <c:ptCount val="12"/>
                <c:pt idx="0">
                  <c:v>82</c:v>
                </c:pt>
                <c:pt idx="1">
                  <c:v>75.2</c:v>
                </c:pt>
                <c:pt idx="2">
                  <c:v>74.900000000000006</c:v>
                </c:pt>
                <c:pt idx="3">
                  <c:v>110.4</c:v>
                </c:pt>
                <c:pt idx="4">
                  <c:v>210.1</c:v>
                </c:pt>
                <c:pt idx="5">
                  <c:v>81.099999999999994</c:v>
                </c:pt>
                <c:pt idx="6">
                  <c:v>105.7</c:v>
                </c:pt>
                <c:pt idx="7">
                  <c:v>140</c:v>
                </c:pt>
                <c:pt idx="8">
                  <c:v>138.80000000000001</c:v>
                </c:pt>
                <c:pt idx="9">
                  <c:v>168</c:v>
                </c:pt>
                <c:pt idx="10">
                  <c:v>153.6</c:v>
                </c:pt>
                <c:pt idx="11">
                  <c:v>104</c:v>
                </c:pt>
              </c:numCache>
            </c:numRef>
          </c:val>
          <c:smooth val="0"/>
          <c:extLst xmlns:c16r2="http://schemas.microsoft.com/office/drawing/2015/06/chart">
            <c:ext xmlns:c16="http://schemas.microsoft.com/office/drawing/2014/chart" uri="{C3380CC4-5D6E-409C-BE32-E72D297353CC}">
              <c16:uniqueId val="{00000000-91E3-4DA5-8422-E7A7F2431A78}"/>
            </c:ext>
          </c:extLst>
        </c:ser>
        <c:ser>
          <c:idx val="1"/>
          <c:order val="1"/>
          <c:tx>
            <c:strRef>
              <c:f>'SurEste 2018'!$A$25</c:f>
              <c:strCache>
                <c:ptCount val="1"/>
                <c:pt idx="0">
                  <c:v>2019</c:v>
                </c:pt>
              </c:strCache>
            </c:strRef>
          </c:tx>
          <c:spPr>
            <a:ln w="50800" cap="rnd">
              <a:solidFill>
                <a:srgbClr val="669900"/>
              </a:solidFill>
              <a:round/>
            </a:ln>
            <a:effectLst/>
          </c:spPr>
          <c:marker>
            <c:symbol val="none"/>
          </c:marker>
          <c:cat>
            <c:strRef>
              <c:f>'SurEste 2018'!$B$23:$M$23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2018'!$B$25:$M$25</c:f>
              <c:numCache>
                <c:formatCode>_(* #,##0.0_);_(* \(#,##0.0\);_(* "-"??_);_(@_)</c:formatCode>
                <c:ptCount val="12"/>
                <c:pt idx="0">
                  <c:v>25.9</c:v>
                </c:pt>
                <c:pt idx="1">
                  <c:v>37.5</c:v>
                </c:pt>
                <c:pt idx="2">
                  <c:v>195.3</c:v>
                </c:pt>
                <c:pt idx="3">
                  <c:v>38.1</c:v>
                </c:pt>
                <c:pt idx="4">
                  <c:v>0.8</c:v>
                </c:pt>
                <c:pt idx="5">
                  <c:v>27.9</c:v>
                </c:pt>
                <c:pt idx="6">
                  <c:v>134.5</c:v>
                </c:pt>
                <c:pt idx="7">
                  <c:v>39</c:v>
                </c:pt>
                <c:pt idx="8">
                  <c:v>262.8</c:v>
                </c:pt>
                <c:pt idx="9">
                  <c:v>89.2</c:v>
                </c:pt>
                <c:pt idx="10">
                  <c:v>37.4</c:v>
                </c:pt>
              </c:numCache>
            </c:numRef>
          </c:val>
          <c:smooth val="1"/>
          <c:extLst xmlns:c16r2="http://schemas.microsoft.com/office/drawing/2015/06/chart">
            <c:ext xmlns:c16="http://schemas.microsoft.com/office/drawing/2014/chart" uri="{C3380CC4-5D6E-409C-BE32-E72D297353CC}">
              <c16:uniqueId val="{00000001-91E3-4DA5-8422-E7A7F2431A78}"/>
            </c:ext>
          </c:extLst>
        </c:ser>
        <c:dLbls>
          <c:showLegendKey val="0"/>
          <c:showVal val="0"/>
          <c:showCatName val="0"/>
          <c:showSerName val="0"/>
          <c:showPercent val="0"/>
          <c:showBubbleSize val="0"/>
        </c:dLbls>
        <c:smooth val="0"/>
        <c:axId val="-915514960"/>
        <c:axId val="-915518768"/>
      </c:lineChart>
      <c:catAx>
        <c:axId val="-9155149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915518768"/>
        <c:crosses val="autoZero"/>
        <c:auto val="1"/>
        <c:lblAlgn val="ctr"/>
        <c:lblOffset val="100"/>
        <c:noMultiLvlLbl val="0"/>
      </c:catAx>
      <c:valAx>
        <c:axId val="-9155187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915514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'[JESUS DEFINITIVO Lluvias y embalses en 2019   ManEGonTe.xlsx]SurEste 2018'!$A$26</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581B-44ED-B94E-C9C680FC2B7F}"/>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581B-44ED-B94E-C9C680FC2B7F}"/>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581B-44ED-B94E-C9C680FC2B7F}"/>
              </c:ext>
            </c:extLst>
          </c:dPt>
          <c:dPt>
            <c:idx val="4"/>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4-581B-44ED-B94E-C9C680FC2B7F}"/>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F5E3-4508-90A4-5BD06779CB08}"/>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B-F5E3-4508-90A4-5BD06779CB08}"/>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'[JESUS DEFINITIVO Lluvias y embalses en 2019   ManEGonTe.xlsx]SurEste 2018'!$B$23:$M$23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ManEGonTe.xlsx]SurEste 2018'!$B$26:$M$26</c:f>
              <c:numCache>
                <c:formatCode>0.0</c:formatCode>
                <c:ptCount val="12"/>
                <c:pt idx="0">
                  <c:v>-68.41463414634147</c:v>
                </c:pt>
                <c:pt idx="1">
                  <c:v>-50.132978723404257</c:v>
                </c:pt>
                <c:pt idx="2">
                  <c:v>160.74766355140187</c:v>
                </c:pt>
                <c:pt idx="3">
                  <c:v>-65.489130434782609</c:v>
                </c:pt>
                <c:pt idx="4">
                  <c:v>-99.619228938600671</c:v>
                </c:pt>
                <c:pt idx="5">
                  <c:v>-65.598027127003704</c:v>
                </c:pt>
                <c:pt idx="6">
                  <c:v>27.24692526017029</c:v>
                </c:pt>
                <c:pt idx="7">
                  <c:v>-72.142857142857139</c:v>
                </c:pt>
                <c:pt idx="8">
                  <c:v>89.337175792507196</c:v>
                </c:pt>
                <c:pt idx="9">
                  <c:v>-46.904761904761905</c:v>
                </c:pt>
                <c:pt idx="10">
                  <c:v>-74.900000000000006</c:v>
                </c:pt>
              </c:numCache>
            </c:numRef>
          </c:val>
          <c:extLst xmlns:c16r2="http://schemas.microsoft.com/office/drawing/2015/06/chart">
            <c:ext xmlns:c16="http://schemas.microsoft.com/office/drawing/2014/chart" uri="{C3380CC4-5D6E-409C-BE32-E72D297353CC}">
              <c16:uniqueId val="{00000000-581B-44ED-B94E-C9C680FC2B7F}"/>
            </c:ext>
          </c:extLst>
        </c:ser>
        <c:dLbls>
          <c:showLegendKey val="0"/>
          <c:showVal val="0"/>
          <c:showCatName val="0"/>
          <c:showSerName val="0"/>
          <c:showPercent val="0"/>
          <c:showBubbleSize val="0"/>
        </c:dLbls>
        <c:gapWidth val="219"/>
        <c:overlap val="-27"/>
        <c:axId val="-915520944"/>
        <c:axId val="-915520400"/>
      </c:barChart>
      <c:catAx>
        <c:axId val="-9155209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915520400"/>
        <c:crosses val="autoZero"/>
        <c:auto val="1"/>
        <c:lblAlgn val="ctr"/>
        <c:lblOffset val="100"/>
        <c:noMultiLvlLbl val="0"/>
      </c:catAx>
      <c:valAx>
        <c:axId val="-915520400"/>
        <c:scaling>
          <c:orientation val="minMax"/>
          <c:max val="1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9155209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97587628416255"/>
          <c:y val="2.8194444444444446E-2"/>
          <c:w val="0.80964739241389838"/>
          <c:h val="0.81314195100612408"/>
        </c:manualLayout>
      </c:layout>
      <c:barChart>
        <c:barDir val="col"/>
        <c:grouping val="stacked"/>
        <c:varyColors val="0"/>
        <c:ser>
          <c:idx val="0"/>
          <c:order val="0"/>
          <c:tx>
            <c:strRef>
              <c:f>'Chart Producción'!$F$74</c:f>
              <c:strCache>
                <c:ptCount val="1"/>
                <c:pt idx="0">
                  <c:v>Terminados</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'Chart Producción'!$G$73:$O$73</c:f>
              <c:numCache>
                <c:formatCode>General</c:formatCode>
                <c:ptCount val="8"/>
                <c:pt idx="0">
                  <c:v>2012</c:v>
                </c:pt>
                <c:pt idx="1">
                  <c:v>2013</c:v>
                </c:pt>
                <c:pt idx="2">
                  <c:v>2014</c:v>
                </c:pt>
                <c:pt idx="3">
                  <c:v>2015</c:v>
                </c:pt>
                <c:pt idx="4">
                  <c:v>2016</c:v>
                </c:pt>
                <c:pt idx="5">
                  <c:v>2017</c:v>
                </c:pt>
                <c:pt idx="6">
                  <c:v>2018</c:v>
                </c:pt>
                <c:pt idx="7">
                  <c:v>2019</c:v>
                </c:pt>
              </c:numCache>
            </c:numRef>
          </c:cat>
          <c:val>
            <c:numRef>
              <c:f>'Chart Producción'!$G$74:$O$74</c:f>
              <c:numCache>
                <c:formatCode>#,##0</c:formatCode>
                <c:ptCount val="8"/>
                <c:pt idx="0">
                  <c:v>1700</c:v>
                </c:pt>
                <c:pt idx="1">
                  <c:v>3000</c:v>
                </c:pt>
                <c:pt idx="2">
                  <c:v>830</c:v>
                </c:pt>
                <c:pt idx="3">
                  <c:v>738</c:v>
                </c:pt>
                <c:pt idx="4">
                  <c:v>1163</c:v>
                </c:pt>
                <c:pt idx="5">
                  <c:v>1216</c:v>
                </c:pt>
                <c:pt idx="6">
                  <c:v>2182.54</c:v>
                </c:pt>
                <c:pt idx="7" formatCode="General">
                  <c:v>952.9</c:v>
                </c:pt>
              </c:numCache>
            </c:numRef>
          </c:val>
          <c:extLst xmlns:c16r2="http://schemas.microsoft.com/office/drawing/2015/06/chart">
            <c:ext xmlns:c16="http://schemas.microsoft.com/office/drawing/2014/chart" uri="{C3380CC4-5D6E-409C-BE32-E72D297353CC}">
              <c16:uniqueId val="{00000000-9996-4980-9218-D229558505F1}"/>
            </c:ext>
          </c:extLst>
        </c:ser>
        <c:ser>
          <c:idx val="1"/>
          <c:order val="1"/>
          <c:tx>
            <c:strRef>
              <c:f>'Chart Producción'!$F$75</c:f>
              <c:strCache>
                <c:ptCount val="1"/>
                <c:pt idx="0">
                  <c:v>En ejecución, MA</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'Chart Producción'!$G$73:$O$73</c:f>
              <c:numCache>
                <c:formatCode>General</c:formatCode>
                <c:ptCount val="8"/>
                <c:pt idx="0">
                  <c:v>2012</c:v>
                </c:pt>
                <c:pt idx="1">
                  <c:v>2013</c:v>
                </c:pt>
                <c:pt idx="2">
                  <c:v>2014</c:v>
                </c:pt>
                <c:pt idx="3">
                  <c:v>2015</c:v>
                </c:pt>
                <c:pt idx="4">
                  <c:v>2016</c:v>
                </c:pt>
                <c:pt idx="5">
                  <c:v>2017</c:v>
                </c:pt>
                <c:pt idx="6">
                  <c:v>2018</c:v>
                </c:pt>
                <c:pt idx="7">
                  <c:v>2019</c:v>
                </c:pt>
              </c:numCache>
            </c:numRef>
          </c:cat>
          <c:val>
            <c:numRef>
              <c:f>'Chart Producción'!$G$75:$O$75</c:f>
              <c:numCache>
                <c:formatCode>General</c:formatCode>
                <c:ptCount val="8"/>
                <c:pt idx="7">
                  <c:v>425.02</c:v>
                </c:pt>
              </c:numCache>
            </c:numRef>
          </c:val>
          <c:extLst xmlns:c16r2="http://schemas.microsoft.com/office/drawing/2015/06/chart">
            <c:ext xmlns:c16="http://schemas.microsoft.com/office/drawing/2014/chart" uri="{C3380CC4-5D6E-409C-BE32-E72D297353CC}">
              <c16:uniqueId val="{00000001-9996-4980-9218-D229558505F1}"/>
            </c:ext>
          </c:extLst>
        </c:ser>
        <c:ser>
          <c:idx val="2"/>
          <c:order val="2"/>
          <c:tx>
            <c:strRef>
              <c:f>'Chart Producción'!$F$76</c:f>
              <c:strCache>
                <c:ptCount val="1"/>
                <c:pt idx="0">
                  <c:v>En licitación, MA</c:v>
                </c:pt>
              </c:strCache>
            </c:strRef>
          </c:tx>
          <c:spPr>
            <a:solidFill>
              <a:srgbClr val="FFC000"/>
            </a:solidFill>
            <a:ln>
              <a:noFill/>
            </a:ln>
            <a:effectLst/>
          </c:spPr>
          <c:invertIfNegative val="0"/>
          <c:dLbls>
            <c:dLbl>
              <c:idx val="7"/>
              <c:layout>
                <c:manualLayout>
                  <c:x val="-2.2160664819946222E-3"/>
                  <c:y val="-4.629629629629714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996-4980-9218-D229558505F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'Chart Producción'!$G$73:$O$73</c:f>
              <c:numCache>
                <c:formatCode>General</c:formatCode>
                <c:ptCount val="8"/>
                <c:pt idx="0">
                  <c:v>2012</c:v>
                </c:pt>
                <c:pt idx="1">
                  <c:v>2013</c:v>
                </c:pt>
                <c:pt idx="2">
                  <c:v>2014</c:v>
                </c:pt>
                <c:pt idx="3">
                  <c:v>2015</c:v>
                </c:pt>
                <c:pt idx="4">
                  <c:v>2016</c:v>
                </c:pt>
                <c:pt idx="5">
                  <c:v>2017</c:v>
                </c:pt>
                <c:pt idx="6">
                  <c:v>2018</c:v>
                </c:pt>
                <c:pt idx="7">
                  <c:v>2019</c:v>
                </c:pt>
              </c:numCache>
            </c:numRef>
          </c:cat>
          <c:val>
            <c:numRef>
              <c:f>'Chart Producción'!$G$76:$O$76</c:f>
              <c:numCache>
                <c:formatCode>General</c:formatCode>
                <c:ptCount val="8"/>
                <c:pt idx="7">
                  <c:v>506.17</c:v>
                </c:pt>
              </c:numCache>
            </c:numRef>
          </c:val>
          <c:extLst xmlns:c16r2="http://schemas.microsoft.com/office/drawing/2015/06/chart">
            <c:ext xmlns:c16="http://schemas.microsoft.com/office/drawing/2014/chart" uri="{C3380CC4-5D6E-409C-BE32-E72D297353CC}">
              <c16:uniqueId val="{00000003-9996-4980-9218-D229558505F1}"/>
            </c:ext>
          </c:extLst>
        </c:ser>
        <c:ser>
          <c:idx val="3"/>
          <c:order val="3"/>
          <c:tx>
            <c:strRef>
              <c:f>'Chart Producción'!$F$77</c:f>
              <c:strCache>
                <c:ptCount val="1"/>
                <c:pt idx="0">
                  <c:v>INDOCAFE</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Lbl>
              <c:idx val="7"/>
              <c:layout>
                <c:manualLayout>
                  <c:x val="-2.21606648199446E-3"/>
                  <c:y val="-4.629629629629629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996-4980-9218-D229558505F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'Chart Producción'!$G$73:$O$73</c:f>
              <c:numCache>
                <c:formatCode>General</c:formatCode>
                <c:ptCount val="8"/>
                <c:pt idx="0">
                  <c:v>2012</c:v>
                </c:pt>
                <c:pt idx="1">
                  <c:v>2013</c:v>
                </c:pt>
                <c:pt idx="2">
                  <c:v>2014</c:v>
                </c:pt>
                <c:pt idx="3">
                  <c:v>2015</c:v>
                </c:pt>
                <c:pt idx="4">
                  <c:v>2016</c:v>
                </c:pt>
                <c:pt idx="5">
                  <c:v>2017</c:v>
                </c:pt>
                <c:pt idx="6">
                  <c:v>2018</c:v>
                </c:pt>
                <c:pt idx="7">
                  <c:v>2019</c:v>
                </c:pt>
              </c:numCache>
            </c:numRef>
          </c:cat>
          <c:val>
            <c:numRef>
              <c:f>'Chart Producción'!$G$77:$O$77</c:f>
              <c:numCache>
                <c:formatCode>General</c:formatCode>
                <c:ptCount val="8"/>
                <c:pt idx="7">
                  <c:v>664.4</c:v>
                </c:pt>
              </c:numCache>
            </c:numRef>
          </c:val>
          <c:extLst xmlns:c16r2="http://schemas.microsoft.com/office/drawing/2015/06/chart">
            <c:ext xmlns:c16="http://schemas.microsoft.com/office/drawing/2014/chart" uri="{C3380CC4-5D6E-409C-BE32-E72D297353CC}">
              <c16:uniqueId val="{00000005-9996-4980-9218-D229558505F1}"/>
            </c:ext>
          </c:extLst>
        </c:ser>
        <c:ser>
          <c:idx val="4"/>
          <c:order val="4"/>
          <c:tx>
            <c:strRef>
              <c:f>'Chart Producción'!$F$78</c:f>
              <c:strCache>
                <c:ptCount val="1"/>
                <c:pt idx="0">
                  <c:v>IAD</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'Chart Producción'!$G$73:$O$73</c:f>
              <c:numCache>
                <c:formatCode>General</c:formatCode>
                <c:ptCount val="8"/>
                <c:pt idx="0">
                  <c:v>2012</c:v>
                </c:pt>
                <c:pt idx="1">
                  <c:v>2013</c:v>
                </c:pt>
                <c:pt idx="2">
                  <c:v>2014</c:v>
                </c:pt>
                <c:pt idx="3">
                  <c:v>2015</c:v>
                </c:pt>
                <c:pt idx="4">
                  <c:v>2016</c:v>
                </c:pt>
                <c:pt idx="5">
                  <c:v>2017</c:v>
                </c:pt>
                <c:pt idx="6">
                  <c:v>2018</c:v>
                </c:pt>
                <c:pt idx="7">
                  <c:v>2019</c:v>
                </c:pt>
              </c:numCache>
            </c:numRef>
          </c:cat>
          <c:val>
            <c:numRef>
              <c:f>'Chart Producción'!$G$78:$O$78</c:f>
              <c:numCache>
                <c:formatCode>General</c:formatCode>
                <c:ptCount val="8"/>
                <c:pt idx="7">
                  <c:v>363</c:v>
                </c:pt>
              </c:numCache>
            </c:numRef>
          </c:val>
          <c:extLst xmlns:c16r2="http://schemas.microsoft.com/office/drawing/2015/06/chart">
            <c:ext xmlns:c16="http://schemas.microsoft.com/office/drawing/2014/chart" uri="{C3380CC4-5D6E-409C-BE32-E72D297353CC}">
              <c16:uniqueId val="{00000006-9996-4980-9218-D229558505F1}"/>
            </c:ext>
          </c:extLst>
        </c:ser>
        <c:dLbls>
          <c:showLegendKey val="0"/>
          <c:showVal val="0"/>
          <c:showCatName val="0"/>
          <c:showSerName val="0"/>
          <c:showPercent val="0"/>
          <c:showBubbleSize val="0"/>
        </c:dLbls>
        <c:gapWidth val="150"/>
        <c:overlap val="100"/>
        <c:axId val="-835785552"/>
        <c:axId val="-835768144"/>
      </c:barChart>
      <c:catAx>
        <c:axId val="-8357855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68144"/>
        <c:crosses val="autoZero"/>
        <c:auto val="1"/>
        <c:lblAlgn val="ctr"/>
        <c:lblOffset val="100"/>
        <c:noMultiLvlLbl val="0"/>
      </c:catAx>
      <c:valAx>
        <c:axId val="-83576814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t>Kms. de caminos interparcelarios construidos y rehabilitados</a:t>
                </a:r>
              </a:p>
            </c:rich>
          </c:tx>
          <c:layout>
            <c:manualLayout>
              <c:xMode val="edge"/>
              <c:yMode val="edge"/>
              <c:x val="2.2222222222222223E-2"/>
              <c:y val="0.15277777777777779"/>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85552"/>
        <c:crosses val="autoZero"/>
        <c:crossBetween val="between"/>
      </c:valAx>
      <c:spPr>
        <a:noFill/>
        <a:ln>
          <a:noFill/>
        </a:ln>
        <a:effectLst/>
      </c:spPr>
    </c:plotArea>
    <c:legend>
      <c:legendPos val="b"/>
      <c:layout>
        <c:manualLayout>
          <c:xMode val="edge"/>
          <c:yMode val="edge"/>
          <c:x val="5.2216110105350405E-2"/>
          <c:y val="0.91639763779527561"/>
          <c:w val="0.92880877701921605"/>
          <c:h val="8.3602362204724404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userShapes r:id="rId4"/>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'SurEste 2018'!$A$43</c:f>
              <c:strCache>
                <c:ptCount val="1"/>
                <c:pt idx="0">
                  <c:v>NORMAL</c:v>
                </c:pt>
              </c:strCache>
            </c:strRef>
          </c:tx>
          <c:spPr>
            <a:ln w="38100" cap="rnd">
              <a:solidFill>
                <a:schemeClr val="tx1"/>
              </a:solidFill>
              <a:prstDash val="sysDash"/>
              <a:round/>
            </a:ln>
            <a:effectLst/>
          </c:spPr>
          <c:marker>
            <c:symbol val="none"/>
          </c:marker>
          <c:cat>
            <c:strRef>
              <c:f>'SurEste 2018'!$B$42:$M$42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2018'!$B$43:$M$43</c:f>
              <c:numCache>
                <c:formatCode>0.0</c:formatCode>
                <c:ptCount val="12"/>
                <c:pt idx="0">
                  <c:v>27.1</c:v>
                </c:pt>
                <c:pt idx="1">
                  <c:v>26.2</c:v>
                </c:pt>
                <c:pt idx="2">
                  <c:v>30.8</c:v>
                </c:pt>
                <c:pt idx="3">
                  <c:v>48.8</c:v>
                </c:pt>
                <c:pt idx="4">
                  <c:v>92.2</c:v>
                </c:pt>
                <c:pt idx="5">
                  <c:v>43.7</c:v>
                </c:pt>
                <c:pt idx="6">
                  <c:v>46.1</c:v>
                </c:pt>
                <c:pt idx="7">
                  <c:v>100.6</c:v>
                </c:pt>
                <c:pt idx="8">
                  <c:v>141.19999999999999</c:v>
                </c:pt>
                <c:pt idx="9">
                  <c:v>210.7</c:v>
                </c:pt>
                <c:pt idx="10">
                  <c:v>64.900000000000006</c:v>
                </c:pt>
                <c:pt idx="11">
                  <c:v>47.4</c:v>
                </c:pt>
              </c:numCache>
            </c:numRef>
          </c:val>
          <c:smooth val="1"/>
          <c:extLst xmlns:c16r2="http://schemas.microsoft.com/office/drawing/2015/06/chart">
            <c:ext xmlns:c16="http://schemas.microsoft.com/office/drawing/2014/chart" uri="{C3380CC4-5D6E-409C-BE32-E72D297353CC}">
              <c16:uniqueId val="{00000000-D0F9-4284-B8B3-C6D5E9684390}"/>
            </c:ext>
          </c:extLst>
        </c:ser>
        <c:ser>
          <c:idx val="1"/>
          <c:order val="1"/>
          <c:tx>
            <c:strRef>
              <c:f>'SurEste 2018'!$A$44</c:f>
              <c:strCache>
                <c:ptCount val="1"/>
                <c:pt idx="0">
                  <c:v>2019</c:v>
                </c:pt>
              </c:strCache>
            </c:strRef>
          </c:tx>
          <c:spPr>
            <a:ln w="50800" cap="rnd">
              <a:solidFill>
                <a:srgbClr val="669900"/>
              </a:solidFill>
              <a:round/>
            </a:ln>
            <a:effectLst/>
          </c:spPr>
          <c:marker>
            <c:symbol val="none"/>
          </c:marker>
          <c:cat>
            <c:strRef>
              <c:f>'SurEste 2018'!$B$42:$M$42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2018'!$B$44:$M$44</c:f>
              <c:numCache>
                <c:formatCode>_(* #,##0.0_);_(* \(#,##0.0\);_(* "-"??_);_(@_)</c:formatCode>
                <c:ptCount val="12"/>
                <c:pt idx="0">
                  <c:v>43.5</c:v>
                </c:pt>
                <c:pt idx="1">
                  <c:v>19.7</c:v>
                </c:pt>
                <c:pt idx="2">
                  <c:v>69.8</c:v>
                </c:pt>
                <c:pt idx="3">
                  <c:v>40.6</c:v>
                </c:pt>
                <c:pt idx="4">
                  <c:v>188</c:v>
                </c:pt>
                <c:pt idx="5">
                  <c:v>37.299999999999997</c:v>
                </c:pt>
                <c:pt idx="6">
                  <c:v>141.9</c:v>
                </c:pt>
                <c:pt idx="7">
                  <c:v>79.900000000000006</c:v>
                </c:pt>
                <c:pt idx="8">
                  <c:v>154.19999999999999</c:v>
                </c:pt>
                <c:pt idx="9">
                  <c:v>60.9</c:v>
                </c:pt>
                <c:pt idx="10">
                  <c:v>197.6</c:v>
                </c:pt>
              </c:numCache>
            </c:numRef>
          </c:val>
          <c:smooth val="1"/>
          <c:extLst xmlns:c16r2="http://schemas.microsoft.com/office/drawing/2015/06/chart">
            <c:ext xmlns:c16="http://schemas.microsoft.com/office/drawing/2014/chart" uri="{C3380CC4-5D6E-409C-BE32-E72D297353CC}">
              <c16:uniqueId val="{00000001-D0F9-4284-B8B3-C6D5E9684390}"/>
            </c:ext>
          </c:extLst>
        </c:ser>
        <c:dLbls>
          <c:showLegendKey val="0"/>
          <c:showVal val="0"/>
          <c:showCatName val="0"/>
          <c:showSerName val="0"/>
          <c:showPercent val="0"/>
          <c:showBubbleSize val="0"/>
        </c:dLbls>
        <c:smooth val="0"/>
        <c:axId val="-915519856"/>
        <c:axId val="-915517680"/>
      </c:lineChart>
      <c:catAx>
        <c:axId val="-9155198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915517680"/>
        <c:crosses val="autoZero"/>
        <c:auto val="1"/>
        <c:lblAlgn val="ctr"/>
        <c:lblOffset val="100"/>
        <c:noMultiLvlLbl val="0"/>
      </c:catAx>
      <c:valAx>
        <c:axId val="-915517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519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ysClr val="windowText" lastClr="000000"/>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'SurEste 2018'!$A$45</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1F0A-4429-9969-999A807F6915}"/>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1F0A-4429-9969-999A807F6915}"/>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2C51-4ADD-BC0C-CAB07E4F90EF}"/>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2C51-4ADD-BC0C-CAB07E4F90EF}"/>
              </c:ext>
            </c:extLst>
          </c:dPt>
          <c:dPt>
            <c:idx val="5"/>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1F0A-4429-9969-999A807F6915}"/>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B-2C51-4ADD-BC0C-CAB07E4F90EF}"/>
              </c:ext>
            </c:extLst>
          </c:dPt>
          <c:dPt>
            <c:idx val="7"/>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4-1F0A-4429-9969-999A807F6915}"/>
              </c:ext>
            </c:extLst>
          </c:dPt>
          <c:dPt>
            <c:idx val="8"/>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5-1F0A-4429-9969-999A807F6915}"/>
              </c:ext>
            </c:extLst>
          </c:dPt>
          <c:dPt>
            <c:idx val="1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11-2C51-4ADD-BC0C-CAB07E4F90EF}"/>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'SurEste 2018'!$B$42:$M$42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2018'!$B$45:$M$45</c:f>
              <c:numCache>
                <c:formatCode>0.0</c:formatCode>
                <c:ptCount val="12"/>
                <c:pt idx="0">
                  <c:v>60.516605166051647</c:v>
                </c:pt>
                <c:pt idx="1">
                  <c:v>-24.809160305343511</c:v>
                </c:pt>
                <c:pt idx="2">
                  <c:v>126.62337662337661</c:v>
                </c:pt>
                <c:pt idx="3">
                  <c:v>-16.803278688524582</c:v>
                </c:pt>
                <c:pt idx="4">
                  <c:v>103.90455531453362</c:v>
                </c:pt>
                <c:pt idx="5">
                  <c:v>-14.645308924485137</c:v>
                </c:pt>
                <c:pt idx="6">
                  <c:v>207.80911062906728</c:v>
                </c:pt>
                <c:pt idx="7">
                  <c:v>-20.576540755467189</c:v>
                </c:pt>
                <c:pt idx="8">
                  <c:v>9.2067988668555252</c:v>
                </c:pt>
                <c:pt idx="9">
                  <c:v>-71.096345514950158</c:v>
                </c:pt>
                <c:pt idx="10">
                  <c:v>204.5</c:v>
                </c:pt>
              </c:numCache>
            </c:numRef>
          </c:val>
          <c:extLst xmlns:c16r2="http://schemas.microsoft.com/office/drawing/2015/06/chart">
            <c:ext xmlns:c16="http://schemas.microsoft.com/office/drawing/2014/chart" uri="{C3380CC4-5D6E-409C-BE32-E72D297353CC}">
              <c16:uniqueId val="{00000000-1F0A-4429-9969-999A807F6915}"/>
            </c:ext>
          </c:extLst>
        </c:ser>
        <c:dLbls>
          <c:showLegendKey val="0"/>
          <c:showVal val="0"/>
          <c:showCatName val="0"/>
          <c:showSerName val="0"/>
          <c:showPercent val="0"/>
          <c:showBubbleSize val="0"/>
        </c:dLbls>
        <c:gapWidth val="219"/>
        <c:overlap val="-27"/>
        <c:axId val="-915516592"/>
        <c:axId val="-915513872"/>
      </c:barChart>
      <c:catAx>
        <c:axId val="-9155165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915513872"/>
        <c:crosses val="autoZero"/>
        <c:auto val="1"/>
        <c:lblAlgn val="ctr"/>
        <c:lblOffset val="100"/>
        <c:noMultiLvlLbl val="0"/>
      </c:catAx>
      <c:valAx>
        <c:axId val="-915513872"/>
        <c:scaling>
          <c:orientation val="minMax"/>
          <c:max val="1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9155165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'SurEste 2018'!$A$63</c:f>
              <c:strCache>
                <c:ptCount val="1"/>
                <c:pt idx="0">
                  <c:v>NORMAL</c:v>
                </c:pt>
              </c:strCache>
            </c:strRef>
          </c:tx>
          <c:spPr>
            <a:ln w="38100" cap="rnd">
              <a:solidFill>
                <a:schemeClr val="tx1"/>
              </a:solidFill>
              <a:prstDash val="sysDash"/>
              <a:round/>
            </a:ln>
            <a:effectLst/>
          </c:spPr>
          <c:marker>
            <c:symbol val="none"/>
          </c:marker>
          <c:cat>
            <c:strRef>
              <c:f>'SurEste 2018'!$B$62:$M$62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2018'!$B$63:$M$63</c:f>
              <c:numCache>
                <c:formatCode>0.0</c:formatCode>
                <c:ptCount val="12"/>
                <c:pt idx="0">
                  <c:v>40.4</c:v>
                </c:pt>
                <c:pt idx="1">
                  <c:v>59.4</c:v>
                </c:pt>
                <c:pt idx="2">
                  <c:v>64.599999999999994</c:v>
                </c:pt>
                <c:pt idx="3">
                  <c:v>96.5</c:v>
                </c:pt>
                <c:pt idx="4">
                  <c:v>185.8</c:v>
                </c:pt>
                <c:pt idx="5">
                  <c:v>114.6</c:v>
                </c:pt>
                <c:pt idx="6">
                  <c:v>166.8</c:v>
                </c:pt>
                <c:pt idx="7">
                  <c:v>186.9</c:v>
                </c:pt>
                <c:pt idx="8">
                  <c:v>201.7</c:v>
                </c:pt>
                <c:pt idx="9">
                  <c:v>192.8</c:v>
                </c:pt>
                <c:pt idx="10">
                  <c:v>92.8</c:v>
                </c:pt>
                <c:pt idx="11">
                  <c:v>47.9</c:v>
                </c:pt>
              </c:numCache>
            </c:numRef>
          </c:val>
          <c:smooth val="1"/>
          <c:extLst xmlns:c16r2="http://schemas.microsoft.com/office/drawing/2015/06/chart">
            <c:ext xmlns:c16="http://schemas.microsoft.com/office/drawing/2014/chart" uri="{C3380CC4-5D6E-409C-BE32-E72D297353CC}">
              <c16:uniqueId val="{00000000-E612-448A-8663-73970CDEEA9D}"/>
            </c:ext>
          </c:extLst>
        </c:ser>
        <c:ser>
          <c:idx val="1"/>
          <c:order val="1"/>
          <c:tx>
            <c:strRef>
              <c:f>'SurEste 2018'!$A$64</c:f>
              <c:strCache>
                <c:ptCount val="1"/>
                <c:pt idx="0">
                  <c:v>2019</c:v>
                </c:pt>
              </c:strCache>
            </c:strRef>
          </c:tx>
          <c:spPr>
            <a:ln w="50800" cap="rnd">
              <a:solidFill>
                <a:srgbClr val="669900"/>
              </a:solidFill>
              <a:round/>
            </a:ln>
            <a:effectLst/>
          </c:spPr>
          <c:marker>
            <c:symbol val="none"/>
          </c:marker>
          <c:cat>
            <c:strRef>
              <c:f>'SurEste 2018'!$B$62:$M$62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2018'!$B$64:$M$64</c:f>
              <c:numCache>
                <c:formatCode>_(* #,##0.0_);_(* \(#,##0.0\);_(* "-"??_);_(@_)</c:formatCode>
                <c:ptCount val="12"/>
                <c:pt idx="0">
                  <c:v>79.900000000000006</c:v>
                </c:pt>
                <c:pt idx="1">
                  <c:v>26.7</c:v>
                </c:pt>
                <c:pt idx="2">
                  <c:v>105.4</c:v>
                </c:pt>
                <c:pt idx="3">
                  <c:v>31.1</c:v>
                </c:pt>
                <c:pt idx="4">
                  <c:v>235.6</c:v>
                </c:pt>
                <c:pt idx="5">
                  <c:v>63.7</c:v>
                </c:pt>
                <c:pt idx="6">
                  <c:v>179.5</c:v>
                </c:pt>
                <c:pt idx="7">
                  <c:v>45.3</c:v>
                </c:pt>
                <c:pt idx="8">
                  <c:v>134.80000000000001</c:v>
                </c:pt>
                <c:pt idx="9">
                  <c:v>115.1</c:v>
                </c:pt>
                <c:pt idx="10">
                  <c:v>46</c:v>
                </c:pt>
              </c:numCache>
            </c:numRef>
          </c:val>
          <c:smooth val="1"/>
          <c:extLst xmlns:c16r2="http://schemas.microsoft.com/office/drawing/2015/06/chart">
            <c:ext xmlns:c16="http://schemas.microsoft.com/office/drawing/2014/chart" uri="{C3380CC4-5D6E-409C-BE32-E72D297353CC}">
              <c16:uniqueId val="{00000001-E612-448A-8663-73970CDEEA9D}"/>
            </c:ext>
          </c:extLst>
        </c:ser>
        <c:dLbls>
          <c:showLegendKey val="0"/>
          <c:showVal val="0"/>
          <c:showCatName val="0"/>
          <c:showSerName val="0"/>
          <c:showPercent val="0"/>
          <c:showBubbleSize val="0"/>
        </c:dLbls>
        <c:smooth val="0"/>
        <c:axId val="-915516048"/>
        <c:axId val="-915513328"/>
      </c:lineChart>
      <c:catAx>
        <c:axId val="-9155160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513328"/>
        <c:crosses val="autoZero"/>
        <c:auto val="1"/>
        <c:lblAlgn val="ctr"/>
        <c:lblOffset val="100"/>
        <c:noMultiLvlLbl val="0"/>
      </c:catAx>
      <c:valAx>
        <c:axId val="-9155133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516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'SurEste 2018'!$A$65</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CB55-46F4-AC14-51D5FA99E0F3}"/>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2-CB55-46F4-AC14-51D5FA99E0F3}"/>
              </c:ext>
            </c:extLst>
          </c:dPt>
          <c:dPt>
            <c:idx val="3"/>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CB55-46F4-AC14-51D5FA99E0F3}"/>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CA21-4D49-B3DF-281344E332F1}"/>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CA21-4D49-B3DF-281344E332F1}"/>
              </c:ext>
            </c:extLst>
          </c:dPt>
          <c:dPt>
            <c:idx val="7"/>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4-CB55-46F4-AC14-51D5FA99E0F3}"/>
              </c:ext>
            </c:extLst>
          </c:dPt>
          <c:dPt>
            <c:idx val="8"/>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5-CB55-46F4-AC14-51D5FA99E0F3}"/>
              </c:ext>
            </c:extLst>
          </c:dPt>
          <c:dPt>
            <c:idx val="1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A-F8F4-4CCD-AF43-64B51BAB387D}"/>
              </c:ext>
            </c:extLst>
          </c:dPt>
          <c:dLbls>
            <c:dLbl>
              <c:idx val="11"/>
              <c:layout>
                <c:manualLayout>
                  <c:x val="4.1928721174004195E-3"/>
                  <c:y val="-2.11216920305205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F8F4-4CCD-AF43-64B51BAB387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'SurEste 2018'!$B$62:$M$62</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2018'!$B$65:$M$65</c:f>
              <c:numCache>
                <c:formatCode>0.0</c:formatCode>
                <c:ptCount val="12"/>
                <c:pt idx="0">
                  <c:v>97.772277227722796</c:v>
                </c:pt>
                <c:pt idx="1">
                  <c:v>-55.050505050505059</c:v>
                </c:pt>
                <c:pt idx="2">
                  <c:v>63.157894736842124</c:v>
                </c:pt>
                <c:pt idx="3">
                  <c:v>-67.772020725388614</c:v>
                </c:pt>
                <c:pt idx="4">
                  <c:v>26.80301399354143</c:v>
                </c:pt>
                <c:pt idx="5">
                  <c:v>-44.415357766143103</c:v>
                </c:pt>
                <c:pt idx="6">
                  <c:v>7.6139088729016713</c:v>
                </c:pt>
                <c:pt idx="7">
                  <c:v>-75.762439807383629</c:v>
                </c:pt>
                <c:pt idx="8">
                  <c:v>-33.168071393158151</c:v>
                </c:pt>
                <c:pt idx="9">
                  <c:v>-40.30082987551868</c:v>
                </c:pt>
                <c:pt idx="10">
                  <c:v>-50.4</c:v>
                </c:pt>
              </c:numCache>
            </c:numRef>
          </c:val>
          <c:extLst xmlns:c16r2="http://schemas.microsoft.com/office/drawing/2015/06/chart">
            <c:ext xmlns:c16="http://schemas.microsoft.com/office/drawing/2014/chart" uri="{C3380CC4-5D6E-409C-BE32-E72D297353CC}">
              <c16:uniqueId val="{00000000-CB55-46F4-AC14-51D5FA99E0F3}"/>
            </c:ext>
          </c:extLst>
        </c:ser>
        <c:dLbls>
          <c:showLegendKey val="0"/>
          <c:showVal val="0"/>
          <c:showCatName val="0"/>
          <c:showSerName val="0"/>
          <c:showPercent val="0"/>
          <c:showBubbleSize val="0"/>
        </c:dLbls>
        <c:gapWidth val="219"/>
        <c:overlap val="-27"/>
        <c:axId val="-915493200"/>
        <c:axId val="-915489936"/>
      </c:barChart>
      <c:catAx>
        <c:axId val="-9154932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89936"/>
        <c:crosses val="autoZero"/>
        <c:auto val="1"/>
        <c:lblAlgn val="ctr"/>
        <c:lblOffset val="100"/>
        <c:noMultiLvlLbl val="0"/>
      </c:catAx>
      <c:valAx>
        <c:axId val="-91548993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932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030284889640157E-2"/>
          <c:y val="8.3809523809523806E-2"/>
          <c:w val="0.86916216527793788"/>
          <c:h val="0.64500217472815902"/>
        </c:manualLayout>
      </c:layout>
      <c:lineChart>
        <c:grouping val="standard"/>
        <c:varyColors val="0"/>
        <c:ser>
          <c:idx val="0"/>
          <c:order val="0"/>
          <c:tx>
            <c:strRef>
              <c:f>'SurEste 2018'!$A$82</c:f>
              <c:strCache>
                <c:ptCount val="1"/>
                <c:pt idx="0">
                  <c:v>NORMAL</c:v>
                </c:pt>
              </c:strCache>
            </c:strRef>
          </c:tx>
          <c:spPr>
            <a:ln w="38100" cap="rnd">
              <a:solidFill>
                <a:schemeClr val="tx1"/>
              </a:solidFill>
              <a:prstDash val="sysDash"/>
              <a:round/>
            </a:ln>
            <a:effectLst/>
          </c:spPr>
          <c:marker>
            <c:symbol val="none"/>
          </c:marker>
          <c:cat>
            <c:strRef>
              <c:f>'SurEste 2018'!$B$81:$M$81</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2018'!$B$82:$M$82</c:f>
              <c:numCache>
                <c:formatCode>0.0</c:formatCode>
                <c:ptCount val="12"/>
                <c:pt idx="0">
                  <c:v>74.5</c:v>
                </c:pt>
                <c:pt idx="1">
                  <c:v>67.900000000000006</c:v>
                </c:pt>
                <c:pt idx="2">
                  <c:v>61.9</c:v>
                </c:pt>
                <c:pt idx="3">
                  <c:v>72.099999999999994</c:v>
                </c:pt>
                <c:pt idx="4">
                  <c:v>176.6</c:v>
                </c:pt>
                <c:pt idx="5">
                  <c:v>116.4</c:v>
                </c:pt>
                <c:pt idx="6">
                  <c:v>131.19999999999999</c:v>
                </c:pt>
                <c:pt idx="7">
                  <c:v>178.1</c:v>
                </c:pt>
                <c:pt idx="8">
                  <c:v>208.7</c:v>
                </c:pt>
                <c:pt idx="9">
                  <c:v>186.2</c:v>
                </c:pt>
                <c:pt idx="10">
                  <c:v>132.5</c:v>
                </c:pt>
                <c:pt idx="11">
                  <c:v>82.9</c:v>
                </c:pt>
              </c:numCache>
            </c:numRef>
          </c:val>
          <c:smooth val="1"/>
          <c:extLst xmlns:c16r2="http://schemas.microsoft.com/office/drawing/2015/06/chart">
            <c:ext xmlns:c16="http://schemas.microsoft.com/office/drawing/2014/chart" uri="{C3380CC4-5D6E-409C-BE32-E72D297353CC}">
              <c16:uniqueId val="{00000000-EB65-44D4-8ECD-6320E515CEF9}"/>
            </c:ext>
          </c:extLst>
        </c:ser>
        <c:ser>
          <c:idx val="1"/>
          <c:order val="1"/>
          <c:tx>
            <c:strRef>
              <c:f>'SurEste 2018'!$A$83</c:f>
              <c:strCache>
                <c:ptCount val="1"/>
                <c:pt idx="0">
                  <c:v>2019</c:v>
                </c:pt>
              </c:strCache>
            </c:strRef>
          </c:tx>
          <c:spPr>
            <a:ln w="50800" cap="rnd">
              <a:solidFill>
                <a:srgbClr val="669900"/>
              </a:solidFill>
              <a:round/>
            </a:ln>
            <a:effectLst/>
          </c:spPr>
          <c:marker>
            <c:symbol val="none"/>
          </c:marker>
          <c:cat>
            <c:strRef>
              <c:f>'SurEste 2018'!$B$81:$M$81</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2018'!$B$83:$M$83</c:f>
              <c:numCache>
                <c:formatCode>_(* #,##0.0_);_(* \(#,##0.0\);_(* "-"??_);_(@_)</c:formatCode>
                <c:ptCount val="12"/>
                <c:pt idx="0">
                  <c:v>36.799999999999997</c:v>
                </c:pt>
                <c:pt idx="1">
                  <c:v>10.9</c:v>
                </c:pt>
                <c:pt idx="2">
                  <c:v>34</c:v>
                </c:pt>
                <c:pt idx="3">
                  <c:v>42</c:v>
                </c:pt>
                <c:pt idx="4">
                  <c:v>56.8</c:v>
                </c:pt>
                <c:pt idx="5">
                  <c:v>11.1</c:v>
                </c:pt>
                <c:pt idx="6">
                  <c:v>147.30000000000001</c:v>
                </c:pt>
                <c:pt idx="7">
                  <c:v>62.8</c:v>
                </c:pt>
                <c:pt idx="8">
                  <c:v>88.3</c:v>
                </c:pt>
                <c:pt idx="9">
                  <c:v>63.8</c:v>
                </c:pt>
                <c:pt idx="10">
                  <c:v>70.7</c:v>
                </c:pt>
              </c:numCache>
            </c:numRef>
          </c:val>
          <c:smooth val="1"/>
          <c:extLst xmlns:c16r2="http://schemas.microsoft.com/office/drawing/2015/06/chart">
            <c:ext xmlns:c16="http://schemas.microsoft.com/office/drawing/2014/chart" uri="{C3380CC4-5D6E-409C-BE32-E72D297353CC}">
              <c16:uniqueId val="{00000001-EB65-44D4-8ECD-6320E515CEF9}"/>
            </c:ext>
          </c:extLst>
        </c:ser>
        <c:dLbls>
          <c:showLegendKey val="0"/>
          <c:showVal val="0"/>
          <c:showCatName val="0"/>
          <c:showSerName val="0"/>
          <c:showPercent val="0"/>
          <c:showBubbleSize val="0"/>
        </c:dLbls>
        <c:smooth val="0"/>
        <c:axId val="-915490480"/>
        <c:axId val="-915488848"/>
      </c:lineChart>
      <c:catAx>
        <c:axId val="-915490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88848"/>
        <c:crosses val="autoZero"/>
        <c:auto val="1"/>
        <c:lblAlgn val="ctr"/>
        <c:lblOffset val="100"/>
        <c:noMultiLvlLbl val="0"/>
      </c:catAx>
      <c:valAx>
        <c:axId val="-915488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90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'SurEste 2018'!$A$84</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B0CC-41DB-8D47-A256D89A0DC3}"/>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B0CC-41DB-8D47-A256D89A0DC3}"/>
              </c:ext>
            </c:extLst>
          </c:dPt>
          <c:dPt>
            <c:idx val="2"/>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B0CC-41DB-8D47-A256D89A0DC3}"/>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4-B0CC-41DB-8D47-A256D89A0DC3}"/>
              </c:ext>
            </c:extLst>
          </c:dPt>
          <c:dPt>
            <c:idx val="7"/>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6-B0CC-41DB-8D47-A256D89A0DC3}"/>
              </c:ext>
            </c:extLst>
          </c:dPt>
          <c:dPt>
            <c:idx val="8"/>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5-B0CC-41DB-8D47-A256D89A0DC3}"/>
              </c:ext>
            </c:extLst>
          </c:dPt>
          <c:dPt>
            <c:idx val="1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7-B0CC-41DB-8D47-A256D89A0DC3}"/>
              </c:ext>
            </c:extLst>
          </c:dPt>
          <c:dLbls>
            <c:dLbl>
              <c:idx val="6"/>
              <c:layout>
                <c:manualLayout>
                  <c:x val="0"/>
                  <c:y val="2.259887005649717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0CC-41DB-8D47-A256D89A0DC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'SurEste 2018'!$B$81:$M$81</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2018'!$B$84:$M$84</c:f>
              <c:numCache>
                <c:formatCode>0.0</c:formatCode>
                <c:ptCount val="12"/>
                <c:pt idx="0">
                  <c:v>-50.604026845637591</c:v>
                </c:pt>
                <c:pt idx="1">
                  <c:v>-83.946980854197349</c:v>
                </c:pt>
                <c:pt idx="2">
                  <c:v>-45.072697899838452</c:v>
                </c:pt>
                <c:pt idx="3">
                  <c:v>-41.747572815533978</c:v>
                </c:pt>
                <c:pt idx="4">
                  <c:v>-67.836919592298983</c:v>
                </c:pt>
                <c:pt idx="5">
                  <c:v>-90.463917525773212</c:v>
                </c:pt>
                <c:pt idx="6">
                  <c:v>12.271341463414652</c:v>
                </c:pt>
                <c:pt idx="7">
                  <c:v>-64.738910724312191</c:v>
                </c:pt>
                <c:pt idx="8">
                  <c:v>-57.690464781983714</c:v>
                </c:pt>
                <c:pt idx="9">
                  <c:v>-65.735767991407087</c:v>
                </c:pt>
                <c:pt idx="10">
                  <c:v>-46.641509433962263</c:v>
                </c:pt>
              </c:numCache>
            </c:numRef>
          </c:val>
          <c:extLst xmlns:c16r2="http://schemas.microsoft.com/office/drawing/2015/06/chart">
            <c:ext xmlns:c16="http://schemas.microsoft.com/office/drawing/2014/chart" uri="{C3380CC4-5D6E-409C-BE32-E72D297353CC}">
              <c16:uniqueId val="{00000000-B0CC-41DB-8D47-A256D89A0DC3}"/>
            </c:ext>
          </c:extLst>
        </c:ser>
        <c:dLbls>
          <c:showLegendKey val="0"/>
          <c:showVal val="0"/>
          <c:showCatName val="0"/>
          <c:showSerName val="0"/>
          <c:showPercent val="0"/>
          <c:showBubbleSize val="0"/>
        </c:dLbls>
        <c:gapWidth val="219"/>
        <c:overlap val="-27"/>
        <c:axId val="-915493744"/>
        <c:axId val="-915498640"/>
      </c:barChart>
      <c:catAx>
        <c:axId val="-9154937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98640"/>
        <c:crosses val="autoZero"/>
        <c:auto val="1"/>
        <c:lblAlgn val="ctr"/>
        <c:lblOffset val="100"/>
        <c:noMultiLvlLbl val="0"/>
      </c:catAx>
      <c:valAx>
        <c:axId val="-915498640"/>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937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3">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'SurEste 2018'!$A$101</c:f>
              <c:strCache>
                <c:ptCount val="1"/>
                <c:pt idx="0">
                  <c:v>NORMAL</c:v>
                </c:pt>
              </c:strCache>
            </c:strRef>
          </c:tx>
          <c:spPr>
            <a:ln w="38100" cap="rnd">
              <a:solidFill>
                <a:schemeClr val="tx1"/>
              </a:solidFill>
              <a:prstDash val="sysDash"/>
              <a:round/>
            </a:ln>
            <a:effectLst/>
          </c:spPr>
          <c:marker>
            <c:symbol val="none"/>
          </c:marker>
          <c:cat>
            <c:strRef>
              <c:f>'SurEste 2018'!$B$100:$M$100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2018'!$B$101:$M$101</c:f>
              <c:numCache>
                <c:formatCode>0.0</c:formatCode>
                <c:ptCount val="12"/>
                <c:pt idx="0">
                  <c:v>68</c:v>
                </c:pt>
                <c:pt idx="1">
                  <c:v>61.2</c:v>
                </c:pt>
                <c:pt idx="2">
                  <c:v>68</c:v>
                </c:pt>
                <c:pt idx="3">
                  <c:v>77.3</c:v>
                </c:pt>
                <c:pt idx="4">
                  <c:v>195.4</c:v>
                </c:pt>
                <c:pt idx="5">
                  <c:v>180.2</c:v>
                </c:pt>
                <c:pt idx="6">
                  <c:v>131</c:v>
                </c:pt>
                <c:pt idx="7">
                  <c:v>186.3</c:v>
                </c:pt>
                <c:pt idx="8">
                  <c:v>194.9</c:v>
                </c:pt>
                <c:pt idx="9">
                  <c:v>181.8</c:v>
                </c:pt>
                <c:pt idx="10">
                  <c:v>127.9</c:v>
                </c:pt>
                <c:pt idx="11">
                  <c:v>70.2</c:v>
                </c:pt>
              </c:numCache>
            </c:numRef>
          </c:val>
          <c:smooth val="1"/>
          <c:extLst xmlns:c16r2="http://schemas.microsoft.com/office/drawing/2015/06/chart">
            <c:ext xmlns:c16="http://schemas.microsoft.com/office/drawing/2014/chart" uri="{C3380CC4-5D6E-409C-BE32-E72D297353CC}">
              <c16:uniqueId val="{00000000-D41E-446A-8051-502AEF1D9FAA}"/>
            </c:ext>
          </c:extLst>
        </c:ser>
        <c:ser>
          <c:idx val="1"/>
          <c:order val="1"/>
          <c:tx>
            <c:strRef>
              <c:f>'SurEste 2018'!$A$102</c:f>
              <c:strCache>
                <c:ptCount val="1"/>
                <c:pt idx="0">
                  <c:v>2019</c:v>
                </c:pt>
              </c:strCache>
            </c:strRef>
          </c:tx>
          <c:spPr>
            <a:ln w="50800" cap="rnd">
              <a:solidFill>
                <a:srgbClr val="669900"/>
              </a:solidFill>
              <a:round/>
            </a:ln>
            <a:effectLst/>
          </c:spPr>
          <c:marker>
            <c:symbol val="none"/>
          </c:marker>
          <c:cat>
            <c:strRef>
              <c:f>'SurEste 2018'!$B$100:$M$100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2018'!$B$102:$M$102</c:f>
              <c:numCache>
                <c:formatCode>_(* #,##0.0_);_(* \(#,##0.0\);_(* "-"??_);_(@_)</c:formatCode>
                <c:ptCount val="12"/>
                <c:pt idx="0">
                  <c:v>59.2</c:v>
                </c:pt>
                <c:pt idx="1">
                  <c:v>29.1</c:v>
                </c:pt>
                <c:pt idx="2">
                  <c:v>117.8</c:v>
                </c:pt>
                <c:pt idx="3">
                  <c:v>61.8</c:v>
                </c:pt>
                <c:pt idx="4">
                  <c:v>158.19999999999999</c:v>
                </c:pt>
                <c:pt idx="5">
                  <c:v>54.8</c:v>
                </c:pt>
                <c:pt idx="6">
                  <c:v>141.6</c:v>
                </c:pt>
                <c:pt idx="7">
                  <c:v>102</c:v>
                </c:pt>
                <c:pt idx="8">
                  <c:v>175.8</c:v>
                </c:pt>
                <c:pt idx="9">
                  <c:v>46.7</c:v>
                </c:pt>
                <c:pt idx="10">
                  <c:v>45.1</c:v>
                </c:pt>
              </c:numCache>
            </c:numRef>
          </c:val>
          <c:smooth val="1"/>
          <c:extLst xmlns:c16r2="http://schemas.microsoft.com/office/drawing/2015/06/chart">
            <c:ext xmlns:c16="http://schemas.microsoft.com/office/drawing/2014/chart" uri="{C3380CC4-5D6E-409C-BE32-E72D297353CC}">
              <c16:uniqueId val="{00000001-D41E-446A-8051-502AEF1D9FAA}"/>
            </c:ext>
          </c:extLst>
        </c:ser>
        <c:dLbls>
          <c:showLegendKey val="0"/>
          <c:showVal val="0"/>
          <c:showCatName val="0"/>
          <c:showSerName val="0"/>
          <c:showPercent val="0"/>
          <c:showBubbleSize val="0"/>
        </c:dLbls>
        <c:smooth val="0"/>
        <c:axId val="-915487760"/>
        <c:axId val="-915487216"/>
      </c:lineChart>
      <c:catAx>
        <c:axId val="-9154877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87216"/>
        <c:crosses val="autoZero"/>
        <c:auto val="1"/>
        <c:lblAlgn val="ctr"/>
        <c:lblOffset val="100"/>
        <c:noMultiLvlLbl val="0"/>
      </c:catAx>
      <c:valAx>
        <c:axId val="-915487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87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'SurEste 2018'!$A$103</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2E22-4A79-9C4F-96CE39CEB5DE}"/>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2E22-4A79-9C4F-96CE39CEB5DE}"/>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8582-41CC-840F-FF428AE8F91B}"/>
              </c:ext>
            </c:extLst>
          </c:dPt>
          <c:dPt>
            <c:idx val="3"/>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2E22-4A79-9C4F-96CE39CEB5DE}"/>
              </c:ext>
            </c:extLst>
          </c:dPt>
          <c:dPt>
            <c:idx val="4"/>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4-2E22-4A79-9C4F-96CE39CEB5DE}"/>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6-2E22-4A79-9C4F-96CE39CEB5DE}"/>
              </c:ext>
            </c:extLst>
          </c:dPt>
          <c:dLbls>
            <c:dLbl>
              <c:idx val="0"/>
              <c:layout>
                <c:manualLayout>
                  <c:x val="0"/>
                  <c:y val="-3.37552742616033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E22-4A79-9C4F-96CE39CEB5DE}"/>
                </c:ext>
                <c:ext xmlns:c15="http://schemas.microsoft.com/office/drawing/2012/chart" uri="{CE6537A1-D6FC-4f65-9D91-7224C49458BB}"/>
              </c:extLst>
            </c:dLbl>
            <c:dLbl>
              <c:idx val="8"/>
              <c:layout>
                <c:manualLayout>
                  <c:x val="0"/>
                  <c:y val="-5.06329113924050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4243-4BCA-8767-644B8AE0A44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'SurEste 2018'!$B$100:$M$100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2018'!$B$103:$M$103</c:f>
              <c:numCache>
                <c:formatCode>0.0</c:formatCode>
                <c:ptCount val="12"/>
                <c:pt idx="0">
                  <c:v>-12.941176470588232</c:v>
                </c:pt>
                <c:pt idx="1">
                  <c:v>-52.450980392156858</c:v>
                </c:pt>
                <c:pt idx="2">
                  <c:v>73.235294117647058</c:v>
                </c:pt>
                <c:pt idx="3">
                  <c:v>-20.051746442432083</c:v>
                </c:pt>
                <c:pt idx="4">
                  <c:v>-19.037871033776877</c:v>
                </c:pt>
                <c:pt idx="5">
                  <c:v>-69.589345172031088</c:v>
                </c:pt>
                <c:pt idx="6">
                  <c:v>8.0916030534351115</c:v>
                </c:pt>
                <c:pt idx="7">
                  <c:v>-45.249597423510473</c:v>
                </c:pt>
                <c:pt idx="8">
                  <c:v>-9.7998973832734713</c:v>
                </c:pt>
                <c:pt idx="9">
                  <c:v>-74.312431243124323</c:v>
                </c:pt>
                <c:pt idx="10">
                  <c:v>-64.738076622361234</c:v>
                </c:pt>
              </c:numCache>
            </c:numRef>
          </c:val>
          <c:extLst xmlns:c16r2="http://schemas.microsoft.com/office/drawing/2015/06/chart">
            <c:ext xmlns:c16="http://schemas.microsoft.com/office/drawing/2014/chart" uri="{C3380CC4-5D6E-409C-BE32-E72D297353CC}">
              <c16:uniqueId val="{00000000-2E22-4A79-9C4F-96CE39CEB5DE}"/>
            </c:ext>
          </c:extLst>
        </c:ser>
        <c:dLbls>
          <c:showLegendKey val="0"/>
          <c:showVal val="0"/>
          <c:showCatName val="0"/>
          <c:showSerName val="0"/>
          <c:showPercent val="0"/>
          <c:showBubbleSize val="0"/>
        </c:dLbls>
        <c:gapWidth val="219"/>
        <c:overlap val="-27"/>
        <c:axId val="-915486672"/>
        <c:axId val="-915502992"/>
      </c:barChart>
      <c:catAx>
        <c:axId val="-915486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502992"/>
        <c:crosses val="autoZero"/>
        <c:auto val="1"/>
        <c:lblAlgn val="ctr"/>
        <c:lblOffset val="100"/>
        <c:noMultiLvlLbl val="0"/>
      </c:catAx>
      <c:valAx>
        <c:axId val="-915502992"/>
        <c:scaling>
          <c:orientation val="minMax"/>
          <c:max val="1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866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3">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67378462504323"/>
          <c:y val="9.713024282560706E-2"/>
          <c:w val="0.86051866554253487"/>
          <c:h val="0.70638646990318277"/>
        </c:manualLayout>
      </c:layout>
      <c:lineChart>
        <c:grouping val="standard"/>
        <c:varyColors val="0"/>
        <c:ser>
          <c:idx val="0"/>
          <c:order val="0"/>
          <c:tx>
            <c:strRef>
              <c:f>'SurEste 2018'!$A$121</c:f>
              <c:strCache>
                <c:ptCount val="1"/>
                <c:pt idx="0">
                  <c:v>NORMAL</c:v>
                </c:pt>
              </c:strCache>
            </c:strRef>
          </c:tx>
          <c:spPr>
            <a:ln w="38100" cap="rnd">
              <a:solidFill>
                <a:schemeClr val="tx1"/>
              </a:solidFill>
              <a:prstDash val="sysDash"/>
              <a:round/>
            </a:ln>
            <a:effectLst/>
          </c:spPr>
          <c:marker>
            <c:symbol val="none"/>
          </c:marker>
          <c:cat>
            <c:strRef>
              <c:f>'SurEste 2018'!$B$120:$M$120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2018'!$B$121:$M$121</c:f>
              <c:numCache>
                <c:formatCode>0.0</c:formatCode>
                <c:ptCount val="12"/>
                <c:pt idx="0">
                  <c:v>21.2</c:v>
                </c:pt>
                <c:pt idx="1">
                  <c:v>29.6</c:v>
                </c:pt>
                <c:pt idx="2">
                  <c:v>47.6</c:v>
                </c:pt>
                <c:pt idx="3">
                  <c:v>65</c:v>
                </c:pt>
                <c:pt idx="4">
                  <c:v>153.4</c:v>
                </c:pt>
                <c:pt idx="5">
                  <c:v>109.9</c:v>
                </c:pt>
                <c:pt idx="6">
                  <c:v>64.3</c:v>
                </c:pt>
                <c:pt idx="7">
                  <c:v>104.1</c:v>
                </c:pt>
                <c:pt idx="8">
                  <c:v>160.5</c:v>
                </c:pt>
                <c:pt idx="9">
                  <c:v>112.2</c:v>
                </c:pt>
                <c:pt idx="10">
                  <c:v>52.8</c:v>
                </c:pt>
                <c:pt idx="11">
                  <c:v>28.5</c:v>
                </c:pt>
              </c:numCache>
            </c:numRef>
          </c:val>
          <c:smooth val="1"/>
          <c:extLst xmlns:c16r2="http://schemas.microsoft.com/office/drawing/2015/06/chart">
            <c:ext xmlns:c16="http://schemas.microsoft.com/office/drawing/2014/chart" uri="{C3380CC4-5D6E-409C-BE32-E72D297353CC}">
              <c16:uniqueId val="{00000000-5F3B-454C-8659-0D77973A0212}"/>
            </c:ext>
          </c:extLst>
        </c:ser>
        <c:ser>
          <c:idx val="1"/>
          <c:order val="1"/>
          <c:tx>
            <c:strRef>
              <c:f>'SurEste 2018'!$A$122</c:f>
              <c:strCache>
                <c:ptCount val="1"/>
                <c:pt idx="0">
                  <c:v>2019</c:v>
                </c:pt>
              </c:strCache>
            </c:strRef>
          </c:tx>
          <c:spPr>
            <a:ln w="50800" cap="rnd">
              <a:solidFill>
                <a:srgbClr val="669900"/>
              </a:solidFill>
              <a:round/>
            </a:ln>
            <a:effectLst/>
          </c:spPr>
          <c:marker>
            <c:symbol val="none"/>
          </c:marker>
          <c:cat>
            <c:strRef>
              <c:f>'SurEste 2018'!$B$120:$M$120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2018'!$B$122:$M$122</c:f>
              <c:numCache>
                <c:formatCode>_(* #,##0.0_);_(* \(#,##0.0\);_(* "-"??_);_(@_)</c:formatCode>
                <c:ptCount val="12"/>
                <c:pt idx="0">
                  <c:v>60.2</c:v>
                </c:pt>
                <c:pt idx="1">
                  <c:v>24.2</c:v>
                </c:pt>
                <c:pt idx="2">
                  <c:v>136.69999999999999</c:v>
                </c:pt>
                <c:pt idx="3">
                  <c:v>106.23</c:v>
                </c:pt>
                <c:pt idx="4">
                  <c:v>277.10000000000002</c:v>
                </c:pt>
                <c:pt idx="5">
                  <c:v>13.2</c:v>
                </c:pt>
                <c:pt idx="6">
                  <c:v>35</c:v>
                </c:pt>
                <c:pt idx="7">
                  <c:v>66.900000000000006</c:v>
                </c:pt>
                <c:pt idx="8">
                  <c:v>110.9</c:v>
                </c:pt>
                <c:pt idx="9">
                  <c:v>32</c:v>
                </c:pt>
                <c:pt idx="10">
                  <c:v>85</c:v>
                </c:pt>
              </c:numCache>
            </c:numRef>
          </c:val>
          <c:smooth val="1"/>
          <c:extLst xmlns:c16r2="http://schemas.microsoft.com/office/drawing/2015/06/chart">
            <c:ext xmlns:c16="http://schemas.microsoft.com/office/drawing/2014/chart" uri="{C3380CC4-5D6E-409C-BE32-E72D297353CC}">
              <c16:uniqueId val="{00000001-5F3B-454C-8659-0D77973A0212}"/>
            </c:ext>
          </c:extLst>
        </c:ser>
        <c:dLbls>
          <c:showLegendKey val="0"/>
          <c:showVal val="0"/>
          <c:showCatName val="0"/>
          <c:showSerName val="0"/>
          <c:showPercent val="0"/>
          <c:showBubbleSize val="0"/>
        </c:dLbls>
        <c:smooth val="0"/>
        <c:axId val="-915486128"/>
        <c:axId val="-915502448"/>
      </c:lineChart>
      <c:catAx>
        <c:axId val="-9154861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502448"/>
        <c:crosses val="autoZero"/>
        <c:auto val="1"/>
        <c:lblAlgn val="ctr"/>
        <c:lblOffset val="100"/>
        <c:noMultiLvlLbl val="0"/>
      </c:catAx>
      <c:valAx>
        <c:axId val="-9155024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86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'SurEste 2018'!$A$123</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7E1D-4F48-979A-514E5154DB0D}"/>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7E1D-4F48-979A-514E5154DB0D}"/>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FEE8-4604-B644-6DA0F709330F}"/>
              </c:ext>
            </c:extLst>
          </c:dPt>
          <c:dPt>
            <c:idx val="3"/>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FEE8-4604-B644-6DA0F709330F}"/>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7E1D-4F48-979A-514E5154DB0D}"/>
              </c:ext>
            </c:extLst>
          </c:dPt>
          <c:dPt>
            <c:idx val="1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B-FEE8-4604-B644-6DA0F709330F}"/>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'SurEste 2018'!$B$120:$M$120</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2018'!$B$123:$M$123</c:f>
              <c:numCache>
                <c:formatCode>0.0</c:formatCode>
                <c:ptCount val="12"/>
                <c:pt idx="0">
                  <c:v>183.96226415094341</c:v>
                </c:pt>
                <c:pt idx="1">
                  <c:v>-18.243243243243249</c:v>
                </c:pt>
                <c:pt idx="2">
                  <c:v>187.18487394957984</c:v>
                </c:pt>
                <c:pt idx="3">
                  <c:v>63.430769230769229</c:v>
                </c:pt>
                <c:pt idx="4">
                  <c:v>80.638852672750986</c:v>
                </c:pt>
                <c:pt idx="5">
                  <c:v>-87.989080982711556</c:v>
                </c:pt>
                <c:pt idx="6">
                  <c:v>-45.567651632970446</c:v>
                </c:pt>
                <c:pt idx="7">
                  <c:v>-35.734870317002873</c:v>
                </c:pt>
                <c:pt idx="8">
                  <c:v>-30.903426791277251</c:v>
                </c:pt>
                <c:pt idx="9">
                  <c:v>-71.479500891265602</c:v>
                </c:pt>
                <c:pt idx="10">
                  <c:v>60.984848484848499</c:v>
                </c:pt>
              </c:numCache>
            </c:numRef>
          </c:val>
          <c:extLst xmlns:c16r2="http://schemas.microsoft.com/office/drawing/2015/06/chart">
            <c:ext xmlns:c16="http://schemas.microsoft.com/office/drawing/2014/chart" uri="{C3380CC4-5D6E-409C-BE32-E72D297353CC}">
              <c16:uniqueId val="{00000000-7E1D-4F48-979A-514E5154DB0D}"/>
            </c:ext>
          </c:extLst>
        </c:ser>
        <c:dLbls>
          <c:showLegendKey val="0"/>
          <c:showVal val="0"/>
          <c:showCatName val="0"/>
          <c:showSerName val="0"/>
          <c:showPercent val="0"/>
          <c:showBubbleSize val="0"/>
        </c:dLbls>
        <c:gapWidth val="219"/>
        <c:overlap val="-27"/>
        <c:axId val="-915494832"/>
        <c:axId val="-915497008"/>
      </c:barChart>
      <c:catAx>
        <c:axId val="-9154948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97008"/>
        <c:crosses val="autoZero"/>
        <c:auto val="1"/>
        <c:lblAlgn val="ctr"/>
        <c:lblOffset val="100"/>
        <c:noMultiLvlLbl val="0"/>
      </c:catAx>
      <c:valAx>
        <c:axId val="-915497008"/>
        <c:scaling>
          <c:orientation val="minMax"/>
          <c:max val="1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948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82617505742787"/>
          <c:y val="4.0306746249812238E-2"/>
          <c:w val="0.81487320577958622"/>
          <c:h val="0.85215979251084317"/>
        </c:manualLayout>
      </c:layout>
      <c:barChart>
        <c:barDir val="col"/>
        <c:grouping val="clustered"/>
        <c:varyColors val="0"/>
        <c:ser>
          <c:idx val="1"/>
          <c:order val="0"/>
          <c:tx>
            <c:strRef>
              <c:f>'[Datos.xlsx]Chart Producción'!$D$13</c:f>
              <c:strCache>
                <c:ptCount val="1"/>
                <c:pt idx="0">
                  <c:v>Tareas Incorporadas</c:v>
                </c:pt>
              </c:strCache>
            </c:strRef>
          </c:tx>
          <c:spPr>
            <a:solidFill>
              <a:srgbClr val="00B050"/>
            </a:solidFill>
            <a:ln>
              <a:noFill/>
            </a:ln>
            <a:effectLst/>
          </c:spPr>
          <c:invertIfNegative val="0"/>
          <c:dPt>
            <c:idx val="0"/>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1-B9BD-4280-806B-1F794A19F41D}"/>
              </c:ext>
            </c:extLst>
          </c:dPt>
          <c:dPt>
            <c:idx val="1"/>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3-8A1B-4D86-997C-ACC8EF286455}"/>
              </c:ext>
            </c:extLst>
          </c:dPt>
          <c:dPt>
            <c:idx val="2"/>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3-B9BD-4280-806B-1F794A19F41D}"/>
              </c:ext>
            </c:extLst>
          </c:dPt>
          <c:dPt>
            <c:idx val="3"/>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5-B9BD-4280-806B-1F794A19F41D}"/>
              </c:ext>
            </c:extLst>
          </c:dPt>
          <c:dPt>
            <c:idx val="4"/>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7-B9BD-4280-806B-1F794A19F41D}"/>
              </c:ext>
            </c:extLst>
          </c:dPt>
          <c:dPt>
            <c:idx val="5"/>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9-B9BD-4280-806B-1F794A19F41D}"/>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'[Datos.xlsx]Chart Producción'!$G$3:$O$3</c:f>
              <c:numCache>
                <c:formatCode>General</c:formatCode>
                <c:ptCount val="8"/>
                <c:pt idx="0">
                  <c:v>2012</c:v>
                </c:pt>
                <c:pt idx="1">
                  <c:v>2013</c:v>
                </c:pt>
                <c:pt idx="2">
                  <c:v>2014</c:v>
                </c:pt>
                <c:pt idx="3">
                  <c:v>2015</c:v>
                </c:pt>
                <c:pt idx="4">
                  <c:v>2016</c:v>
                </c:pt>
                <c:pt idx="5">
                  <c:v>2017</c:v>
                </c:pt>
                <c:pt idx="6">
                  <c:v>2018</c:v>
                </c:pt>
                <c:pt idx="7">
                  <c:v>2019</c:v>
                </c:pt>
              </c:numCache>
            </c:numRef>
          </c:cat>
          <c:val>
            <c:numRef>
              <c:f>'[Datos.xlsx]Chart Producción'!$G$13:$O$13</c:f>
              <c:numCache>
                <c:formatCode>#,##0</c:formatCode>
                <c:ptCount val="8"/>
                <c:pt idx="0">
                  <c:v>80440</c:v>
                </c:pt>
                <c:pt idx="1">
                  <c:v>16604</c:v>
                </c:pt>
                <c:pt idx="2">
                  <c:v>560</c:v>
                </c:pt>
                <c:pt idx="3">
                  <c:v>94087</c:v>
                </c:pt>
                <c:pt idx="4">
                  <c:v>3362</c:v>
                </c:pt>
                <c:pt idx="5">
                  <c:v>6090</c:v>
                </c:pt>
                <c:pt idx="6">
                  <c:v>0</c:v>
                </c:pt>
                <c:pt idx="7">
                  <c:v>99978</c:v>
                </c:pt>
              </c:numCache>
            </c:numRef>
          </c:val>
          <c:extLst xmlns:c16r2="http://schemas.microsoft.com/office/drawing/2015/06/chart">
            <c:ext xmlns:c16="http://schemas.microsoft.com/office/drawing/2014/chart" uri="{C3380CC4-5D6E-409C-BE32-E72D297353CC}">
              <c16:uniqueId val="{0000000C-B9BD-4280-806B-1F794A19F41D}"/>
            </c:ext>
          </c:extLst>
        </c:ser>
        <c:dLbls>
          <c:showLegendKey val="0"/>
          <c:showVal val="0"/>
          <c:showCatName val="0"/>
          <c:showSerName val="0"/>
          <c:showPercent val="0"/>
          <c:showBubbleSize val="0"/>
        </c:dLbls>
        <c:gapWidth val="100"/>
        <c:overlap val="-24"/>
        <c:axId val="-835784464"/>
        <c:axId val="-835767600"/>
      </c:barChart>
      <c:catAx>
        <c:axId val="-835784464"/>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67600"/>
        <c:crosses val="autoZero"/>
        <c:auto val="1"/>
        <c:lblAlgn val="ctr"/>
        <c:lblOffset val="100"/>
        <c:noMultiLvlLbl val="0"/>
      </c:catAx>
      <c:valAx>
        <c:axId val="-83576760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b="1"/>
                  <a:t>Tareas Incoporadas</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8446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'SurEste 2018'!$A$140</c:f>
              <c:strCache>
                <c:ptCount val="1"/>
                <c:pt idx="0">
                  <c:v>NORMAL</c:v>
                </c:pt>
              </c:strCache>
            </c:strRef>
          </c:tx>
          <c:spPr>
            <a:ln w="38100" cap="rnd">
              <a:solidFill>
                <a:schemeClr val="tx1"/>
              </a:solidFill>
              <a:prstDash val="sysDash"/>
              <a:round/>
            </a:ln>
            <a:effectLst/>
          </c:spPr>
          <c:marker>
            <c:symbol val="none"/>
          </c:marker>
          <c:cat>
            <c:strRef>
              <c:f>'SurEste 2018'!$B$139:$M$139</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2018'!$B$140:$M$140</c:f>
              <c:numCache>
                <c:formatCode>0.0</c:formatCode>
                <c:ptCount val="12"/>
                <c:pt idx="0">
                  <c:v>112.5</c:v>
                </c:pt>
                <c:pt idx="1">
                  <c:v>109.4</c:v>
                </c:pt>
                <c:pt idx="2">
                  <c:v>120.3</c:v>
                </c:pt>
                <c:pt idx="3">
                  <c:v>136.5</c:v>
                </c:pt>
                <c:pt idx="4">
                  <c:v>258.7</c:v>
                </c:pt>
                <c:pt idx="5">
                  <c:v>204.8</c:v>
                </c:pt>
                <c:pt idx="6">
                  <c:v>193.7</c:v>
                </c:pt>
                <c:pt idx="7">
                  <c:v>247.8</c:v>
                </c:pt>
                <c:pt idx="8">
                  <c:v>234.6</c:v>
                </c:pt>
                <c:pt idx="9">
                  <c:v>215.3</c:v>
                </c:pt>
                <c:pt idx="10">
                  <c:v>200.8</c:v>
                </c:pt>
                <c:pt idx="11">
                  <c:v>114.7</c:v>
                </c:pt>
              </c:numCache>
            </c:numRef>
          </c:val>
          <c:smooth val="1"/>
          <c:extLst xmlns:c16r2="http://schemas.microsoft.com/office/drawing/2015/06/chart">
            <c:ext xmlns:c16="http://schemas.microsoft.com/office/drawing/2014/chart" uri="{C3380CC4-5D6E-409C-BE32-E72D297353CC}">
              <c16:uniqueId val="{00000000-43B4-4552-B551-B40225114D39}"/>
            </c:ext>
          </c:extLst>
        </c:ser>
        <c:ser>
          <c:idx val="1"/>
          <c:order val="1"/>
          <c:tx>
            <c:strRef>
              <c:f>'SurEste 2018'!$A$141</c:f>
              <c:strCache>
                <c:ptCount val="1"/>
                <c:pt idx="0">
                  <c:v>2019</c:v>
                </c:pt>
              </c:strCache>
            </c:strRef>
          </c:tx>
          <c:spPr>
            <a:ln w="50800" cap="rnd">
              <a:solidFill>
                <a:srgbClr val="669900"/>
              </a:solidFill>
              <a:round/>
            </a:ln>
            <a:effectLst/>
          </c:spPr>
          <c:marker>
            <c:symbol val="none"/>
          </c:marker>
          <c:cat>
            <c:strRef>
              <c:f>'SurEste 2018'!$B$139:$M$139</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2018'!$B$141:$M$141</c:f>
              <c:numCache>
                <c:formatCode>_(* #,##0.0_);_(* \(#,##0.0\);_(* "-"??_);_(@_)</c:formatCode>
                <c:ptCount val="12"/>
                <c:pt idx="0">
                  <c:v>88.1</c:v>
                </c:pt>
                <c:pt idx="1">
                  <c:v>51.2</c:v>
                </c:pt>
                <c:pt idx="2">
                  <c:v>201</c:v>
                </c:pt>
                <c:pt idx="3">
                  <c:v>217</c:v>
                </c:pt>
                <c:pt idx="4">
                  <c:v>352.9</c:v>
                </c:pt>
                <c:pt idx="5">
                  <c:v>107.9</c:v>
                </c:pt>
                <c:pt idx="6">
                  <c:v>312.39999999999998</c:v>
                </c:pt>
                <c:pt idx="7">
                  <c:v>195.8</c:v>
                </c:pt>
                <c:pt idx="8">
                  <c:v>281.40000000000003</c:v>
                </c:pt>
                <c:pt idx="9">
                  <c:v>182.1</c:v>
                </c:pt>
                <c:pt idx="10">
                  <c:v>164.70000000000002</c:v>
                </c:pt>
              </c:numCache>
            </c:numRef>
          </c:val>
          <c:smooth val="1"/>
          <c:extLst xmlns:c16r2="http://schemas.microsoft.com/office/drawing/2015/06/chart">
            <c:ext xmlns:c16="http://schemas.microsoft.com/office/drawing/2014/chart" uri="{C3380CC4-5D6E-409C-BE32-E72D297353CC}">
              <c16:uniqueId val="{00000001-43B4-4552-B551-B40225114D39}"/>
            </c:ext>
          </c:extLst>
        </c:ser>
        <c:dLbls>
          <c:showLegendKey val="0"/>
          <c:showVal val="0"/>
          <c:showCatName val="0"/>
          <c:showSerName val="0"/>
          <c:showPercent val="0"/>
          <c:showBubbleSize val="0"/>
        </c:dLbls>
        <c:smooth val="0"/>
        <c:axId val="-915485584"/>
        <c:axId val="-915495920"/>
      </c:lineChart>
      <c:catAx>
        <c:axId val="-915485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95920"/>
        <c:crosses val="autoZero"/>
        <c:auto val="1"/>
        <c:lblAlgn val="ctr"/>
        <c:lblOffset val="100"/>
        <c:noMultiLvlLbl val="0"/>
      </c:catAx>
      <c:valAx>
        <c:axId val="-9154959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85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'SurEste 2018'!$A$142</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673C-46D0-B1EC-B4C1BC078A2E}"/>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673C-46D0-B1EC-B4C1BC078A2E}"/>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3721-4C1A-ADFC-C481E9DD33E6}"/>
              </c:ext>
            </c:extLst>
          </c:dPt>
          <c:dPt>
            <c:idx val="3"/>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673C-46D0-B1EC-B4C1BC078A2E}"/>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4-673C-46D0-B1EC-B4C1BC078A2E}"/>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B-3721-4C1A-ADFC-C481E9DD33E6}"/>
              </c:ext>
            </c:extLst>
          </c:dPt>
          <c:dPt>
            <c:idx val="7"/>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5-673C-46D0-B1EC-B4C1BC078A2E}"/>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6-673C-46D0-B1EC-B4C1BC078A2E}"/>
              </c:ext>
            </c:extLst>
          </c:dPt>
          <c:dLbls>
            <c:dLbl>
              <c:idx val="9"/>
              <c:layout>
                <c:manualLayout>
                  <c:x val="0"/>
                  <c:y val="-4.13436692506459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0BDA-4F3E-AE46-0BB66A67B8D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'SurEste 2018'!$B$139:$M$139</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2018'!$B$142:$M$142</c:f>
              <c:numCache>
                <c:formatCode>0.0</c:formatCode>
                <c:ptCount val="12"/>
                <c:pt idx="0">
                  <c:v>-21.688888888888894</c:v>
                </c:pt>
                <c:pt idx="1">
                  <c:v>-53.199268738574034</c:v>
                </c:pt>
                <c:pt idx="2">
                  <c:v>67.082294264339154</c:v>
                </c:pt>
                <c:pt idx="3">
                  <c:v>58.974358974358971</c:v>
                </c:pt>
                <c:pt idx="4">
                  <c:v>36.412833397758014</c:v>
                </c:pt>
                <c:pt idx="5">
                  <c:v>-47.314453125</c:v>
                </c:pt>
                <c:pt idx="6">
                  <c:v>61.280330407847181</c:v>
                </c:pt>
                <c:pt idx="7">
                  <c:v>-20.984665052461661</c:v>
                </c:pt>
                <c:pt idx="8">
                  <c:v>19.948849104859352</c:v>
                </c:pt>
                <c:pt idx="9">
                  <c:v>-15.420343706456116</c:v>
                </c:pt>
                <c:pt idx="10">
                  <c:v>-17.978087649402386</c:v>
                </c:pt>
              </c:numCache>
            </c:numRef>
          </c:val>
          <c:extLst xmlns:c16r2="http://schemas.microsoft.com/office/drawing/2015/06/chart">
            <c:ext xmlns:c16="http://schemas.microsoft.com/office/drawing/2014/chart" uri="{C3380CC4-5D6E-409C-BE32-E72D297353CC}">
              <c16:uniqueId val="{00000000-673C-46D0-B1EC-B4C1BC078A2E}"/>
            </c:ext>
          </c:extLst>
        </c:ser>
        <c:dLbls>
          <c:showLegendKey val="0"/>
          <c:showVal val="0"/>
          <c:showCatName val="0"/>
          <c:showSerName val="0"/>
          <c:showPercent val="0"/>
          <c:showBubbleSize val="0"/>
        </c:dLbls>
        <c:gapWidth val="219"/>
        <c:overlap val="-27"/>
        <c:axId val="-915485040"/>
        <c:axId val="-915497552"/>
      </c:barChart>
      <c:catAx>
        <c:axId val="-9154850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97552"/>
        <c:crosses val="autoZero"/>
        <c:auto val="1"/>
        <c:lblAlgn val="ctr"/>
        <c:lblOffset val="100"/>
        <c:noMultiLvlLbl val="0"/>
      </c:catAx>
      <c:valAx>
        <c:axId val="-9154975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850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'SurEste 2018'!$A$159</c:f>
              <c:strCache>
                <c:ptCount val="1"/>
                <c:pt idx="0">
                  <c:v>NORMAL</c:v>
                </c:pt>
              </c:strCache>
            </c:strRef>
          </c:tx>
          <c:spPr>
            <a:ln w="38100" cap="rnd">
              <a:solidFill>
                <a:schemeClr val="tx1"/>
              </a:solidFill>
              <a:prstDash val="sysDash"/>
              <a:round/>
            </a:ln>
            <a:effectLst/>
          </c:spPr>
          <c:marker>
            <c:symbol val="none"/>
          </c:marker>
          <c:cat>
            <c:strRef>
              <c:f>'SurEste 2018'!$B$158:$M$158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2018'!$B$159:$M$159</c:f>
              <c:numCache>
                <c:formatCode>0.0</c:formatCode>
                <c:ptCount val="12"/>
                <c:pt idx="0">
                  <c:v>66.900000000000006</c:v>
                </c:pt>
                <c:pt idx="1">
                  <c:v>86.5</c:v>
                </c:pt>
                <c:pt idx="2">
                  <c:v>117</c:v>
                </c:pt>
                <c:pt idx="3">
                  <c:v>123.5</c:v>
                </c:pt>
                <c:pt idx="4">
                  <c:v>288.10000000000002</c:v>
                </c:pt>
                <c:pt idx="5">
                  <c:v>238.8</c:v>
                </c:pt>
                <c:pt idx="6">
                  <c:v>243.9</c:v>
                </c:pt>
                <c:pt idx="7">
                  <c:v>360.4</c:v>
                </c:pt>
                <c:pt idx="8">
                  <c:v>277.5</c:v>
                </c:pt>
                <c:pt idx="9">
                  <c:v>226.5</c:v>
                </c:pt>
                <c:pt idx="10">
                  <c:v>129.19999999999999</c:v>
                </c:pt>
                <c:pt idx="11">
                  <c:v>67.8</c:v>
                </c:pt>
              </c:numCache>
            </c:numRef>
          </c:val>
          <c:smooth val="1"/>
          <c:extLst xmlns:c16r2="http://schemas.microsoft.com/office/drawing/2015/06/chart">
            <c:ext xmlns:c16="http://schemas.microsoft.com/office/drawing/2014/chart" uri="{C3380CC4-5D6E-409C-BE32-E72D297353CC}">
              <c16:uniqueId val="{00000000-9574-45D5-B928-1E238D1C747A}"/>
            </c:ext>
          </c:extLst>
        </c:ser>
        <c:ser>
          <c:idx val="1"/>
          <c:order val="1"/>
          <c:tx>
            <c:strRef>
              <c:f>'SurEste 2018'!$A$160</c:f>
              <c:strCache>
                <c:ptCount val="1"/>
                <c:pt idx="0">
                  <c:v>2019</c:v>
                </c:pt>
              </c:strCache>
            </c:strRef>
          </c:tx>
          <c:spPr>
            <a:ln w="50800" cap="rnd">
              <a:solidFill>
                <a:srgbClr val="669900"/>
              </a:solidFill>
              <a:round/>
            </a:ln>
            <a:effectLst/>
          </c:spPr>
          <c:marker>
            <c:symbol val="none"/>
          </c:marker>
          <c:cat>
            <c:strRef>
              <c:f>'SurEste 2018'!$B$158:$M$158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2018'!$B$160:$M$160</c:f>
              <c:numCache>
                <c:formatCode>_(* #,##0.0_);_(* \(#,##0.0\);_(* "-"??_);_(@_)</c:formatCode>
                <c:ptCount val="12"/>
                <c:pt idx="0">
                  <c:v>36.1</c:v>
                </c:pt>
                <c:pt idx="1">
                  <c:v>36.6</c:v>
                </c:pt>
                <c:pt idx="2">
                  <c:v>62.2</c:v>
                </c:pt>
                <c:pt idx="3">
                  <c:v>119.1</c:v>
                </c:pt>
                <c:pt idx="4">
                  <c:v>165.2</c:v>
                </c:pt>
                <c:pt idx="5">
                  <c:v>172.8</c:v>
                </c:pt>
                <c:pt idx="6">
                  <c:v>274.60000000000002</c:v>
                </c:pt>
                <c:pt idx="7">
                  <c:v>148.5</c:v>
                </c:pt>
                <c:pt idx="8">
                  <c:v>100.3</c:v>
                </c:pt>
                <c:pt idx="9">
                  <c:v>218</c:v>
                </c:pt>
                <c:pt idx="10">
                  <c:v>68</c:v>
                </c:pt>
              </c:numCache>
            </c:numRef>
          </c:val>
          <c:smooth val="1"/>
          <c:extLst xmlns:c16r2="http://schemas.microsoft.com/office/drawing/2015/06/chart">
            <c:ext xmlns:c16="http://schemas.microsoft.com/office/drawing/2014/chart" uri="{C3380CC4-5D6E-409C-BE32-E72D297353CC}">
              <c16:uniqueId val="{00000001-9574-45D5-B928-1E238D1C747A}"/>
            </c:ext>
          </c:extLst>
        </c:ser>
        <c:dLbls>
          <c:showLegendKey val="0"/>
          <c:showVal val="0"/>
          <c:showCatName val="0"/>
          <c:showSerName val="0"/>
          <c:showPercent val="0"/>
          <c:showBubbleSize val="0"/>
        </c:dLbls>
        <c:smooth val="0"/>
        <c:axId val="-915496464"/>
        <c:axId val="-915484496"/>
      </c:lineChart>
      <c:catAx>
        <c:axId val="-915496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84496"/>
        <c:crosses val="autoZero"/>
        <c:auto val="1"/>
        <c:lblAlgn val="ctr"/>
        <c:lblOffset val="100"/>
        <c:noMultiLvlLbl val="0"/>
      </c:catAx>
      <c:valAx>
        <c:axId val="-9154844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96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15431766681339"/>
          <c:y val="5.9921741882344573E-2"/>
          <c:w val="0.863571741032371"/>
          <c:h val="0.87813648293963253"/>
        </c:manualLayout>
      </c:layout>
      <c:barChart>
        <c:barDir val="col"/>
        <c:grouping val="clustered"/>
        <c:varyColors val="0"/>
        <c:ser>
          <c:idx val="0"/>
          <c:order val="0"/>
          <c:tx>
            <c:strRef>
              <c:f>'SurEste 2018'!$A$161</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9DF4-428A-9B74-BF35B6ED0A7B}"/>
              </c:ext>
            </c:extLst>
          </c:dPt>
          <c:dPt>
            <c:idx val="3"/>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9DF4-428A-9B74-BF35B6ED0A7B}"/>
              </c:ext>
            </c:extLst>
          </c:dPt>
          <c:dPt>
            <c:idx val="4"/>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9DF4-428A-9B74-BF35B6ED0A7B}"/>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FC18-4677-AF90-189E7DF12B7A}"/>
              </c:ext>
            </c:extLst>
          </c:dPt>
          <c:dLbls>
            <c:dLbl>
              <c:idx val="3"/>
              <c:layout>
                <c:manualLayout>
                  <c:x val="-6.4678502549122562E-17"/>
                  <c:y val="-5.42635658914727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DF4-428A-9B74-BF35B6ED0A7B}"/>
                </c:ext>
                <c:ext xmlns:c15="http://schemas.microsoft.com/office/drawing/2012/chart" uri="{CE6537A1-D6FC-4f65-9D91-7224C49458BB}"/>
              </c:extLst>
            </c:dLbl>
            <c:dLbl>
              <c:idx val="9"/>
              <c:layout>
                <c:manualLayout>
                  <c:x val="0"/>
                  <c:y val="-6.976744186046504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A8D-4A21-8848-A948F2B20507}"/>
                </c:ext>
                <c:ext xmlns:c15="http://schemas.microsoft.com/office/drawing/2012/chart" uri="{CE6537A1-D6FC-4f65-9D91-7224C49458BB}"/>
              </c:extLst>
            </c:dLbl>
            <c:dLbl>
              <c:idx val="11"/>
              <c:layout>
                <c:manualLayout>
                  <c:x val="0"/>
                  <c:y val="-5.854913615307198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788-49C2-8B9D-B84735E867C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'SurEste 2018'!$B$158:$M$158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2018'!$B$161:$M$161</c:f>
              <c:numCache>
                <c:formatCode>0.0</c:formatCode>
                <c:ptCount val="12"/>
                <c:pt idx="0">
                  <c:v>-46.038863976083711</c:v>
                </c:pt>
                <c:pt idx="1">
                  <c:v>-57.687861271676297</c:v>
                </c:pt>
                <c:pt idx="2">
                  <c:v>-46.837606837606835</c:v>
                </c:pt>
                <c:pt idx="3">
                  <c:v>-3.5627530364372517</c:v>
                </c:pt>
                <c:pt idx="4">
                  <c:v>-42.658799028115247</c:v>
                </c:pt>
                <c:pt idx="5">
                  <c:v>-27.638190954773869</c:v>
                </c:pt>
                <c:pt idx="6">
                  <c:v>12.587125871258721</c:v>
                </c:pt>
                <c:pt idx="7">
                  <c:v>-58.795782463928958</c:v>
                </c:pt>
                <c:pt idx="8">
                  <c:v>-63.855855855855857</c:v>
                </c:pt>
                <c:pt idx="9">
                  <c:v>-3.7527593818984548</c:v>
                </c:pt>
                <c:pt idx="10">
                  <c:v>-47.445820433436523</c:v>
                </c:pt>
              </c:numCache>
            </c:numRef>
          </c:val>
          <c:extLst xmlns:c16r2="http://schemas.microsoft.com/office/drawing/2015/06/chart">
            <c:ext xmlns:c16="http://schemas.microsoft.com/office/drawing/2014/chart" uri="{C3380CC4-5D6E-409C-BE32-E72D297353CC}">
              <c16:uniqueId val="{00000000-9DF4-428A-9B74-BF35B6ED0A7B}"/>
            </c:ext>
          </c:extLst>
        </c:ser>
        <c:dLbls>
          <c:showLegendKey val="0"/>
          <c:showVal val="0"/>
          <c:showCatName val="0"/>
          <c:showSerName val="0"/>
          <c:showPercent val="0"/>
          <c:showBubbleSize val="0"/>
        </c:dLbls>
        <c:gapWidth val="219"/>
        <c:overlap val="-27"/>
        <c:axId val="-915483952"/>
        <c:axId val="-915499728"/>
      </c:barChart>
      <c:catAx>
        <c:axId val="-915483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99728"/>
        <c:crosses val="autoZero"/>
        <c:auto val="1"/>
        <c:lblAlgn val="ctr"/>
        <c:lblOffset val="100"/>
        <c:noMultiLvlLbl val="0"/>
      </c:catAx>
      <c:valAx>
        <c:axId val="-915499728"/>
        <c:scaling>
          <c:orientation val="minMax"/>
          <c:max val="1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839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998161326090928E-2"/>
          <c:y val="6.9264069264069264E-2"/>
          <c:w val="0.87135121478799094"/>
          <c:h val="0.74673824862801252"/>
        </c:manualLayout>
      </c:layout>
      <c:lineChart>
        <c:grouping val="standard"/>
        <c:varyColors val="0"/>
        <c:ser>
          <c:idx val="0"/>
          <c:order val="0"/>
          <c:tx>
            <c:strRef>
              <c:f>'SurEste 2018'!$A$179</c:f>
              <c:strCache>
                <c:ptCount val="1"/>
                <c:pt idx="0">
                  <c:v>NORMAL</c:v>
                </c:pt>
              </c:strCache>
            </c:strRef>
          </c:tx>
          <c:spPr>
            <a:ln w="38100" cap="rnd">
              <a:solidFill>
                <a:schemeClr val="tx1"/>
              </a:solidFill>
              <a:prstDash val="sysDash"/>
              <a:round/>
            </a:ln>
            <a:effectLst/>
          </c:spPr>
          <c:marker>
            <c:symbol val="none"/>
          </c:marker>
          <c:cat>
            <c:strRef>
              <c:f>'SurEste 2018'!$B$178:$M$178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2018'!$B$179:$M$179</c:f>
              <c:numCache>
                <c:formatCode>0.0</c:formatCode>
                <c:ptCount val="12"/>
                <c:pt idx="0">
                  <c:v>20.2</c:v>
                </c:pt>
                <c:pt idx="1">
                  <c:v>17.600000000000001</c:v>
                </c:pt>
                <c:pt idx="2">
                  <c:v>42.5</c:v>
                </c:pt>
                <c:pt idx="3">
                  <c:v>67.900000000000006</c:v>
                </c:pt>
                <c:pt idx="4">
                  <c:v>125.9</c:v>
                </c:pt>
                <c:pt idx="5">
                  <c:v>84.9</c:v>
                </c:pt>
                <c:pt idx="6">
                  <c:v>101.6</c:v>
                </c:pt>
                <c:pt idx="7">
                  <c:v>126.3</c:v>
                </c:pt>
                <c:pt idx="8">
                  <c:v>155.30000000000001</c:v>
                </c:pt>
                <c:pt idx="9">
                  <c:v>120.4</c:v>
                </c:pt>
                <c:pt idx="10">
                  <c:v>60.1</c:v>
                </c:pt>
                <c:pt idx="11">
                  <c:v>16</c:v>
                </c:pt>
              </c:numCache>
            </c:numRef>
          </c:val>
          <c:smooth val="1"/>
          <c:extLst xmlns:c16r2="http://schemas.microsoft.com/office/drawing/2015/06/chart">
            <c:ext xmlns:c16="http://schemas.microsoft.com/office/drawing/2014/chart" uri="{C3380CC4-5D6E-409C-BE32-E72D297353CC}">
              <c16:uniqueId val="{00000000-1637-46DB-A95C-7849E849B57E}"/>
            </c:ext>
          </c:extLst>
        </c:ser>
        <c:ser>
          <c:idx val="1"/>
          <c:order val="1"/>
          <c:tx>
            <c:strRef>
              <c:f>'SurEste 2018'!$A$180</c:f>
              <c:strCache>
                <c:ptCount val="1"/>
                <c:pt idx="0">
                  <c:v>2019</c:v>
                </c:pt>
              </c:strCache>
            </c:strRef>
          </c:tx>
          <c:spPr>
            <a:ln w="50800" cap="rnd">
              <a:solidFill>
                <a:srgbClr val="669900"/>
              </a:solidFill>
              <a:round/>
            </a:ln>
            <a:effectLst/>
          </c:spPr>
          <c:marker>
            <c:symbol val="none"/>
          </c:marker>
          <c:cat>
            <c:strRef>
              <c:f>'SurEste 2018'!$B$178:$M$178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2018'!$B$180:$M$180</c:f>
              <c:numCache>
                <c:formatCode>_(* #,##0.0_);_(* \(#,##0.0\);_(* "-"??_);_(@_)</c:formatCode>
                <c:ptCount val="12"/>
                <c:pt idx="0">
                  <c:v>3.9</c:v>
                </c:pt>
                <c:pt idx="1">
                  <c:v>1.3</c:v>
                </c:pt>
                <c:pt idx="2">
                  <c:v>34</c:v>
                </c:pt>
                <c:pt idx="3">
                  <c:v>26.3</c:v>
                </c:pt>
                <c:pt idx="4">
                  <c:v>123.7</c:v>
                </c:pt>
                <c:pt idx="5">
                  <c:v>22.4</c:v>
                </c:pt>
                <c:pt idx="6">
                  <c:v>84.2</c:v>
                </c:pt>
                <c:pt idx="7">
                  <c:v>37.1</c:v>
                </c:pt>
                <c:pt idx="8">
                  <c:v>156.30000000000001</c:v>
                </c:pt>
                <c:pt idx="9">
                  <c:v>33.800000000000004</c:v>
                </c:pt>
                <c:pt idx="10">
                  <c:v>7.3</c:v>
                </c:pt>
              </c:numCache>
            </c:numRef>
          </c:val>
          <c:smooth val="1"/>
          <c:extLst xmlns:c16r2="http://schemas.microsoft.com/office/drawing/2015/06/chart">
            <c:ext xmlns:c16="http://schemas.microsoft.com/office/drawing/2014/chart" uri="{C3380CC4-5D6E-409C-BE32-E72D297353CC}">
              <c16:uniqueId val="{00000001-1637-46DB-A95C-7849E849B57E}"/>
            </c:ext>
          </c:extLst>
        </c:ser>
        <c:dLbls>
          <c:showLegendKey val="0"/>
          <c:showVal val="0"/>
          <c:showCatName val="0"/>
          <c:showSerName val="0"/>
          <c:showPercent val="0"/>
          <c:showBubbleSize val="0"/>
        </c:dLbls>
        <c:smooth val="0"/>
        <c:axId val="-915500272"/>
        <c:axId val="-915482864"/>
      </c:lineChart>
      <c:catAx>
        <c:axId val="-915500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82864"/>
        <c:crosses val="autoZero"/>
        <c:auto val="1"/>
        <c:lblAlgn val="ctr"/>
        <c:lblOffset val="100"/>
        <c:noMultiLvlLbl val="0"/>
      </c:catAx>
      <c:valAx>
        <c:axId val="-9154828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500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'SurEste 2018'!$A$181</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E2B2-4C95-ABF4-8063C63E7492}"/>
              </c:ext>
            </c:extLst>
          </c:dPt>
          <c:dPt>
            <c:idx val="7"/>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E2B2-4C95-ABF4-8063C63E7492}"/>
              </c:ext>
            </c:extLst>
          </c:dPt>
          <c:dPt>
            <c:idx val="8"/>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E2B2-4C95-ABF4-8063C63E7492}"/>
              </c:ext>
            </c:extLst>
          </c:dPt>
          <c:dPt>
            <c:idx val="1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4-E2B2-4C95-ABF4-8063C63E7492}"/>
              </c:ext>
            </c:extLst>
          </c:dPt>
          <c:dLbls>
            <c:dLbl>
              <c:idx val="4"/>
              <c:layout>
                <c:manualLayout>
                  <c:x val="-6.4678502549122562E-17"/>
                  <c:y val="-0.1234567901234567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33D-4077-AB62-E1C80AD0629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'SurEste 2018'!$B$178:$M$178</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2018'!$B$181:$M$181</c:f>
              <c:numCache>
                <c:formatCode>0.0</c:formatCode>
                <c:ptCount val="12"/>
                <c:pt idx="0">
                  <c:v>-80.693069306930695</c:v>
                </c:pt>
                <c:pt idx="1">
                  <c:v>-92.61363636363636</c:v>
                </c:pt>
                <c:pt idx="2">
                  <c:v>-20</c:v>
                </c:pt>
                <c:pt idx="3">
                  <c:v>-61.266568483063338</c:v>
                </c:pt>
                <c:pt idx="4">
                  <c:v>-1.7474185861795097</c:v>
                </c:pt>
                <c:pt idx="5">
                  <c:v>-73.616018845700836</c:v>
                </c:pt>
                <c:pt idx="6">
                  <c:v>-17.125984251968497</c:v>
                </c:pt>
                <c:pt idx="7">
                  <c:v>-70.62549485352335</c:v>
                </c:pt>
                <c:pt idx="8">
                  <c:v>0.64391500321957496</c:v>
                </c:pt>
                <c:pt idx="9">
                  <c:v>-71.926910299003325</c:v>
                </c:pt>
                <c:pt idx="10">
                  <c:v>-87.9</c:v>
                </c:pt>
              </c:numCache>
            </c:numRef>
          </c:val>
          <c:extLst xmlns:c16r2="http://schemas.microsoft.com/office/drawing/2015/06/chart">
            <c:ext xmlns:c16="http://schemas.microsoft.com/office/drawing/2014/chart" uri="{C3380CC4-5D6E-409C-BE32-E72D297353CC}">
              <c16:uniqueId val="{00000000-E2B2-4C95-ABF4-8063C63E7492}"/>
            </c:ext>
          </c:extLst>
        </c:ser>
        <c:dLbls>
          <c:showLegendKey val="0"/>
          <c:showVal val="0"/>
          <c:showCatName val="0"/>
          <c:showSerName val="0"/>
          <c:showPercent val="0"/>
          <c:showBubbleSize val="0"/>
        </c:dLbls>
        <c:gapWidth val="219"/>
        <c:overlap val="-27"/>
        <c:axId val="-915483408"/>
        <c:axId val="-915482320"/>
      </c:barChart>
      <c:catAx>
        <c:axId val="-915483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82320"/>
        <c:crosses val="autoZero"/>
        <c:auto val="1"/>
        <c:lblAlgn val="ctr"/>
        <c:lblOffset val="100"/>
        <c:noMultiLvlLbl val="0"/>
      </c:catAx>
      <c:valAx>
        <c:axId val="-915482320"/>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834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3">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36642702270912"/>
          <c:y val="8.7301587301587297E-2"/>
          <c:w val="0.85677850051352278"/>
          <c:h val="0.72816085489313831"/>
        </c:manualLayout>
      </c:layout>
      <c:lineChart>
        <c:grouping val="standard"/>
        <c:varyColors val="0"/>
        <c:ser>
          <c:idx val="0"/>
          <c:order val="0"/>
          <c:tx>
            <c:strRef>
              <c:f>'SurEste 2018'!$A$198</c:f>
              <c:strCache>
                <c:ptCount val="1"/>
                <c:pt idx="0">
                  <c:v>NORMAL</c:v>
                </c:pt>
              </c:strCache>
            </c:strRef>
          </c:tx>
          <c:spPr>
            <a:ln w="38100" cap="rnd">
              <a:solidFill>
                <a:schemeClr val="tx1"/>
              </a:solidFill>
              <a:prstDash val="sysDash"/>
              <a:round/>
            </a:ln>
            <a:effectLst/>
          </c:spPr>
          <c:marker>
            <c:symbol val="none"/>
          </c:marker>
          <c:cat>
            <c:strRef>
              <c:f>'SurEste 2018'!$B$197:$M$197</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2018'!$B$198:$M$198</c:f>
              <c:numCache>
                <c:formatCode>0.0</c:formatCode>
                <c:ptCount val="12"/>
                <c:pt idx="0">
                  <c:v>22.7</c:v>
                </c:pt>
                <c:pt idx="1">
                  <c:v>16.100000000000001</c:v>
                </c:pt>
                <c:pt idx="2">
                  <c:v>38.299999999999997</c:v>
                </c:pt>
                <c:pt idx="3">
                  <c:v>42.7</c:v>
                </c:pt>
                <c:pt idx="4">
                  <c:v>78.099999999999994</c:v>
                </c:pt>
                <c:pt idx="5">
                  <c:v>70.599999999999994</c:v>
                </c:pt>
                <c:pt idx="6">
                  <c:v>40.4</c:v>
                </c:pt>
                <c:pt idx="7">
                  <c:v>83.7</c:v>
                </c:pt>
                <c:pt idx="8">
                  <c:v>142.19999999999999</c:v>
                </c:pt>
                <c:pt idx="9">
                  <c:v>110.6</c:v>
                </c:pt>
                <c:pt idx="10">
                  <c:v>41.1</c:v>
                </c:pt>
                <c:pt idx="11">
                  <c:v>22.2</c:v>
                </c:pt>
              </c:numCache>
            </c:numRef>
          </c:val>
          <c:smooth val="1"/>
          <c:extLst xmlns:c16r2="http://schemas.microsoft.com/office/drawing/2015/06/chart">
            <c:ext xmlns:c16="http://schemas.microsoft.com/office/drawing/2014/chart" uri="{C3380CC4-5D6E-409C-BE32-E72D297353CC}">
              <c16:uniqueId val="{00000000-0F83-483F-A81F-7017E02921B5}"/>
            </c:ext>
          </c:extLst>
        </c:ser>
        <c:ser>
          <c:idx val="1"/>
          <c:order val="1"/>
          <c:tx>
            <c:strRef>
              <c:f>'SurEste 2018'!$A$199</c:f>
              <c:strCache>
                <c:ptCount val="1"/>
                <c:pt idx="0">
                  <c:v>2019</c:v>
                </c:pt>
              </c:strCache>
            </c:strRef>
          </c:tx>
          <c:spPr>
            <a:ln w="50800" cap="rnd">
              <a:solidFill>
                <a:srgbClr val="669900"/>
              </a:solidFill>
              <a:round/>
            </a:ln>
            <a:effectLst/>
          </c:spPr>
          <c:marker>
            <c:symbol val="none"/>
          </c:marker>
          <c:cat>
            <c:strRef>
              <c:f>'SurEste 2018'!$B$197:$M$197</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2018'!$B$199:$M$199</c:f>
              <c:numCache>
                <c:formatCode>_(* #,##0.0_);_(* \(#,##0.0\);_(* "-"??_);_(@_)</c:formatCode>
                <c:ptCount val="12"/>
                <c:pt idx="0">
                  <c:v>10.199999999999999</c:v>
                </c:pt>
                <c:pt idx="1">
                  <c:v>0.2</c:v>
                </c:pt>
                <c:pt idx="2">
                  <c:v>64.2</c:v>
                </c:pt>
                <c:pt idx="3">
                  <c:v>30.599999999999998</c:v>
                </c:pt>
                <c:pt idx="4">
                  <c:v>75.8</c:v>
                </c:pt>
                <c:pt idx="5">
                  <c:v>9.1999999999999993</c:v>
                </c:pt>
                <c:pt idx="6">
                  <c:v>42</c:v>
                </c:pt>
                <c:pt idx="7">
                  <c:v>29.4</c:v>
                </c:pt>
                <c:pt idx="8">
                  <c:v>75.900000000000006</c:v>
                </c:pt>
                <c:pt idx="9">
                  <c:v>3.8</c:v>
                </c:pt>
                <c:pt idx="10">
                  <c:v>16.2</c:v>
                </c:pt>
              </c:numCache>
            </c:numRef>
          </c:val>
          <c:smooth val="1"/>
          <c:extLst xmlns:c16r2="http://schemas.microsoft.com/office/drawing/2015/06/chart">
            <c:ext xmlns:c16="http://schemas.microsoft.com/office/drawing/2014/chart" uri="{C3380CC4-5D6E-409C-BE32-E72D297353CC}">
              <c16:uniqueId val="{00000001-0F83-483F-A81F-7017E02921B5}"/>
            </c:ext>
          </c:extLst>
        </c:ser>
        <c:dLbls>
          <c:showLegendKey val="0"/>
          <c:showVal val="0"/>
          <c:showCatName val="0"/>
          <c:showSerName val="0"/>
          <c:showPercent val="0"/>
          <c:showBubbleSize val="0"/>
        </c:dLbls>
        <c:smooth val="0"/>
        <c:axId val="-915481776"/>
        <c:axId val="-915481232"/>
      </c:lineChart>
      <c:catAx>
        <c:axId val="-915481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81232"/>
        <c:crosses val="autoZero"/>
        <c:auto val="1"/>
        <c:lblAlgn val="ctr"/>
        <c:lblOffset val="100"/>
        <c:noMultiLvlLbl val="0"/>
      </c:catAx>
      <c:valAx>
        <c:axId val="-915481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s-DO"/>
          </a:p>
        </c:txPr>
        <c:crossAx val="-915481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'[JESUS DEFINITIVO Lluvias y embalses en 2019   ManEGonTe.xlsx]SurEste 2018'!$A$200</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D10C-4075-88F7-7F76A5DF2A55}"/>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8C8A-48AB-A856-579D2232183C}"/>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2-D10C-4075-88F7-7F76A5DF2A55}"/>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8C8A-48AB-A856-579D2232183C}"/>
              </c:ext>
            </c:extLst>
          </c:dPt>
          <c:dLbls>
            <c:dLbl>
              <c:idx val="4"/>
              <c:layout>
                <c:manualLayout>
                  <c:x val="0"/>
                  <c:y val="-7.3170731707316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10C-4075-88F7-7F76A5DF2A5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'[JESUS DEFINITIVO Lluvias y embalses en 2019   ManEGonTe.xlsx]SurEste 2018'!$B$197:$M$197</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ManEGonTe.xlsx]SurEste 2018'!$B$200:$M$200</c:f>
              <c:numCache>
                <c:formatCode>0.0</c:formatCode>
                <c:ptCount val="12"/>
                <c:pt idx="0">
                  <c:v>-55.066079295154189</c:v>
                </c:pt>
                <c:pt idx="1">
                  <c:v>-98.757763975155285</c:v>
                </c:pt>
                <c:pt idx="2">
                  <c:v>67.624020887728477</c:v>
                </c:pt>
                <c:pt idx="3">
                  <c:v>-28.337236533957853</c:v>
                </c:pt>
                <c:pt idx="4">
                  <c:v>-2.9449423815620963</c:v>
                </c:pt>
                <c:pt idx="5">
                  <c:v>-86.96883852691218</c:v>
                </c:pt>
                <c:pt idx="6">
                  <c:v>3.9603960396039639</c:v>
                </c:pt>
                <c:pt idx="7">
                  <c:v>-64.874551971326156</c:v>
                </c:pt>
                <c:pt idx="8">
                  <c:v>-46.624472573839654</c:v>
                </c:pt>
                <c:pt idx="9">
                  <c:v>-96.564195298372525</c:v>
                </c:pt>
                <c:pt idx="10">
                  <c:v>-59.9</c:v>
                </c:pt>
              </c:numCache>
            </c:numRef>
          </c:val>
          <c:extLst xmlns:c16r2="http://schemas.microsoft.com/office/drawing/2015/06/chart">
            <c:ext xmlns:c16="http://schemas.microsoft.com/office/drawing/2014/chart" uri="{C3380CC4-5D6E-409C-BE32-E72D297353CC}">
              <c16:uniqueId val="{00000000-D10C-4075-88F7-7F76A5DF2A55}"/>
            </c:ext>
          </c:extLst>
        </c:ser>
        <c:dLbls>
          <c:showLegendKey val="0"/>
          <c:showVal val="0"/>
          <c:showCatName val="0"/>
          <c:showSerName val="0"/>
          <c:showPercent val="0"/>
          <c:showBubbleSize val="0"/>
        </c:dLbls>
        <c:gapWidth val="219"/>
        <c:overlap val="-27"/>
        <c:axId val="-915480688"/>
        <c:axId val="-915479600"/>
      </c:barChart>
      <c:catAx>
        <c:axId val="-9154806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79600"/>
        <c:crosses val="autoZero"/>
        <c:auto val="1"/>
        <c:lblAlgn val="ctr"/>
        <c:lblOffset val="100"/>
        <c:noMultiLvlLbl val="0"/>
      </c:catAx>
      <c:valAx>
        <c:axId val="-915479600"/>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806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'SurEste 2018'!$A$217</c:f>
              <c:strCache>
                <c:ptCount val="1"/>
                <c:pt idx="0">
                  <c:v>NORMAL</c:v>
                </c:pt>
              </c:strCache>
            </c:strRef>
          </c:tx>
          <c:spPr>
            <a:ln w="38100" cap="rnd">
              <a:solidFill>
                <a:schemeClr val="tx1"/>
              </a:solidFill>
              <a:prstDash val="sysDash"/>
              <a:round/>
            </a:ln>
            <a:effectLst/>
          </c:spPr>
          <c:marker>
            <c:symbol val="none"/>
          </c:marker>
          <c:cat>
            <c:strRef>
              <c:f>'SurEste 2018'!$B$216:$M$216</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2018'!$B$217:$M$217</c:f>
              <c:numCache>
                <c:formatCode>0.0</c:formatCode>
                <c:ptCount val="12"/>
                <c:pt idx="0">
                  <c:v>21.1</c:v>
                </c:pt>
                <c:pt idx="1">
                  <c:v>35.299999999999997</c:v>
                </c:pt>
                <c:pt idx="2">
                  <c:v>95.4</c:v>
                </c:pt>
                <c:pt idx="3">
                  <c:v>200.1</c:v>
                </c:pt>
                <c:pt idx="4">
                  <c:v>352</c:v>
                </c:pt>
                <c:pt idx="5">
                  <c:v>220.5</c:v>
                </c:pt>
                <c:pt idx="6">
                  <c:v>177</c:v>
                </c:pt>
                <c:pt idx="7">
                  <c:v>269.3</c:v>
                </c:pt>
                <c:pt idx="8">
                  <c:v>296.3</c:v>
                </c:pt>
                <c:pt idx="9">
                  <c:v>249.5</c:v>
                </c:pt>
                <c:pt idx="10">
                  <c:v>97.2</c:v>
                </c:pt>
                <c:pt idx="11">
                  <c:v>27.2</c:v>
                </c:pt>
              </c:numCache>
            </c:numRef>
          </c:val>
          <c:smooth val="1"/>
          <c:extLst xmlns:c16r2="http://schemas.microsoft.com/office/drawing/2015/06/chart">
            <c:ext xmlns:c16="http://schemas.microsoft.com/office/drawing/2014/chart" uri="{C3380CC4-5D6E-409C-BE32-E72D297353CC}">
              <c16:uniqueId val="{00000000-EC19-473C-BD3D-DB65903412E6}"/>
            </c:ext>
          </c:extLst>
        </c:ser>
        <c:ser>
          <c:idx val="1"/>
          <c:order val="1"/>
          <c:tx>
            <c:strRef>
              <c:f>'SurEste 2018'!$A$218</c:f>
              <c:strCache>
                <c:ptCount val="1"/>
                <c:pt idx="0">
                  <c:v>2019</c:v>
                </c:pt>
              </c:strCache>
            </c:strRef>
          </c:tx>
          <c:spPr>
            <a:ln w="50800" cap="rnd">
              <a:solidFill>
                <a:srgbClr val="669900"/>
              </a:solidFill>
              <a:round/>
            </a:ln>
            <a:effectLst/>
          </c:spPr>
          <c:marker>
            <c:symbol val="none"/>
          </c:marker>
          <c:cat>
            <c:strRef>
              <c:f>'SurEste 2018'!$B$216:$M$216</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2018'!$B$218:$M$218</c:f>
              <c:numCache>
                <c:formatCode>_(* #,##0.0_);_(* \(#,##0.0\);_(* "-"??_);_(@_)</c:formatCode>
                <c:ptCount val="12"/>
                <c:pt idx="0">
                  <c:v>8.9</c:v>
                </c:pt>
                <c:pt idx="1">
                  <c:v>0</c:v>
                </c:pt>
                <c:pt idx="2">
                  <c:v>78.199999999999989</c:v>
                </c:pt>
                <c:pt idx="3">
                  <c:v>41.9</c:v>
                </c:pt>
                <c:pt idx="4">
                  <c:v>231.6</c:v>
                </c:pt>
                <c:pt idx="5">
                  <c:v>21.8</c:v>
                </c:pt>
                <c:pt idx="6">
                  <c:v>139.80000000000001</c:v>
                </c:pt>
                <c:pt idx="7">
                  <c:v>85.34</c:v>
                </c:pt>
                <c:pt idx="8">
                  <c:v>237.9</c:v>
                </c:pt>
                <c:pt idx="9">
                  <c:v>111.6</c:v>
                </c:pt>
                <c:pt idx="10">
                  <c:v>32.299999999999997</c:v>
                </c:pt>
              </c:numCache>
            </c:numRef>
          </c:val>
          <c:smooth val="1"/>
          <c:extLst xmlns:c16r2="http://schemas.microsoft.com/office/drawing/2015/06/chart">
            <c:ext xmlns:c16="http://schemas.microsoft.com/office/drawing/2014/chart" uri="{C3380CC4-5D6E-409C-BE32-E72D297353CC}">
              <c16:uniqueId val="{00000001-EC19-473C-BD3D-DB65903412E6}"/>
            </c:ext>
          </c:extLst>
        </c:ser>
        <c:dLbls>
          <c:showLegendKey val="0"/>
          <c:showVal val="0"/>
          <c:showCatName val="0"/>
          <c:showSerName val="0"/>
          <c:showPercent val="0"/>
          <c:showBubbleSize val="0"/>
        </c:dLbls>
        <c:smooth val="0"/>
        <c:axId val="-915480144"/>
        <c:axId val="-915479056"/>
      </c:lineChart>
      <c:catAx>
        <c:axId val="-9154801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79056"/>
        <c:crosses val="autoZero"/>
        <c:auto val="1"/>
        <c:lblAlgn val="ctr"/>
        <c:lblOffset val="100"/>
        <c:noMultiLvlLbl val="0"/>
      </c:catAx>
      <c:valAx>
        <c:axId val="-9154790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80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'[JESUS DEFINITIVO Lluvias y embalses en 2019   ManEGonTe.xlsx]SurEste 2018'!$A$219</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D677-4B1B-9EA4-C48DECD656EE}"/>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'[JESUS DEFINITIVO Lluvias y embalses en 2019   ManEGonTe.xlsx]SurEste 2018'!$B$216:$M$216</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'[JESUS DEFINITIVO Lluvias y embalses en 2019   ManEGonTe.xlsx]SurEste 2018'!$B$219:$M$219</c:f>
              <c:numCache>
                <c:formatCode>0.0</c:formatCode>
                <c:ptCount val="12"/>
                <c:pt idx="0">
                  <c:v>-57.81990521327014</c:v>
                </c:pt>
                <c:pt idx="1">
                  <c:v>-100</c:v>
                </c:pt>
                <c:pt idx="2">
                  <c:v>-18.02935010482182</c:v>
                </c:pt>
                <c:pt idx="3">
                  <c:v>-79.060469765117432</c:v>
                </c:pt>
                <c:pt idx="4">
                  <c:v>-34.204545454545453</c:v>
                </c:pt>
                <c:pt idx="5">
                  <c:v>-90.113378684807259</c:v>
                </c:pt>
                <c:pt idx="6">
                  <c:v>-21.016949152542367</c:v>
                </c:pt>
                <c:pt idx="7">
                  <c:v>-68.310434459710351</c:v>
                </c:pt>
                <c:pt idx="8">
                  <c:v>-19.70975362807965</c:v>
                </c:pt>
                <c:pt idx="9">
                  <c:v>-55.270541082164328</c:v>
                </c:pt>
                <c:pt idx="10">
                  <c:v>-66.7</c:v>
                </c:pt>
              </c:numCache>
            </c:numRef>
          </c:val>
          <c:extLst xmlns:c16r2="http://schemas.microsoft.com/office/drawing/2015/06/chart">
            <c:ext xmlns:c16="http://schemas.microsoft.com/office/drawing/2014/chart" uri="{C3380CC4-5D6E-409C-BE32-E72D297353CC}">
              <c16:uniqueId val="{00000000-D677-4B1B-9EA4-C48DECD656EE}"/>
            </c:ext>
          </c:extLst>
        </c:ser>
        <c:dLbls>
          <c:showLegendKey val="0"/>
          <c:showVal val="0"/>
          <c:showCatName val="0"/>
          <c:showSerName val="0"/>
          <c:showPercent val="0"/>
          <c:showBubbleSize val="0"/>
        </c:dLbls>
        <c:gapWidth val="219"/>
        <c:overlap val="-27"/>
        <c:axId val="-915495376"/>
        <c:axId val="-915478512"/>
      </c:barChart>
      <c:catAx>
        <c:axId val="-915495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78512"/>
        <c:crosses val="autoZero"/>
        <c:auto val="1"/>
        <c:lblAlgn val="ctr"/>
        <c:lblOffset val="100"/>
        <c:noMultiLvlLbl val="0"/>
      </c:catAx>
      <c:valAx>
        <c:axId val="-915478512"/>
        <c:scaling>
          <c:orientation val="minMax"/>
          <c:max val="1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953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41347290843589"/>
          <c:y val="3.0945728011385249E-2"/>
          <c:w val="0.85567854949446798"/>
          <c:h val="0.88199268106271378"/>
        </c:manualLayout>
      </c:layout>
      <c:barChart>
        <c:barDir val="col"/>
        <c:grouping val="clustered"/>
        <c:varyColors val="0"/>
        <c:ser>
          <c:idx val="1"/>
          <c:order val="0"/>
          <c:tx>
            <c:strRef>
              <c:f>'Chart Producción'!$D$14</c:f>
              <c:strCache>
                <c:ptCount val="1"/>
                <c:pt idx="0">
                  <c:v>Titulos Entregados</c:v>
                </c:pt>
              </c:strCache>
            </c:strRef>
          </c:tx>
          <c:spPr>
            <a:solidFill>
              <a:srgbClr val="00B050"/>
            </a:solidFill>
            <a:ln>
              <a:noFill/>
            </a:ln>
            <a:effectLst/>
          </c:spPr>
          <c:invertIfNegative val="0"/>
          <c:dPt>
            <c:idx val="0"/>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1-CAEF-4532-B11F-3A1285E2F82E}"/>
              </c:ext>
            </c:extLst>
          </c:dPt>
          <c:dPt>
            <c:idx val="1"/>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3-A444-4370-9F8D-81FFB37A732D}"/>
              </c:ext>
            </c:extLst>
          </c:dPt>
          <c:dPt>
            <c:idx val="2"/>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3-CAEF-4532-B11F-3A1285E2F82E}"/>
              </c:ext>
            </c:extLst>
          </c:dPt>
          <c:dPt>
            <c:idx val="3"/>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5-CAEF-4532-B11F-3A1285E2F82E}"/>
              </c:ext>
            </c:extLst>
          </c:dPt>
          <c:dPt>
            <c:idx val="4"/>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7-CAEF-4532-B11F-3A1285E2F82E}"/>
              </c:ext>
            </c:extLst>
          </c:dPt>
          <c:dPt>
            <c:idx val="5"/>
            <c:invertIfNegative val="0"/>
            <c:bubble3D val="0"/>
            <c:spPr>
              <a:solidFill>
                <a:srgbClr val="00B050"/>
              </a:solidFill>
              <a:ln>
                <a:noFill/>
              </a:ln>
              <a:effectLst/>
            </c:spPr>
            <c:extLst xmlns:c16r2="http://schemas.microsoft.com/office/drawing/2015/06/chart">
              <c:ext xmlns:c16="http://schemas.microsoft.com/office/drawing/2014/chart" uri="{C3380CC4-5D6E-409C-BE32-E72D297353CC}">
                <c16:uniqueId val="{00000009-CAEF-4532-B11F-3A1285E2F82E}"/>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'Chart Producción'!$G$3:$O$3</c:f>
              <c:numCache>
                <c:formatCode>General</c:formatCode>
                <c:ptCount val="8"/>
                <c:pt idx="0">
                  <c:v>2012</c:v>
                </c:pt>
                <c:pt idx="1">
                  <c:v>2013</c:v>
                </c:pt>
                <c:pt idx="2">
                  <c:v>2014</c:v>
                </c:pt>
                <c:pt idx="3">
                  <c:v>2015</c:v>
                </c:pt>
                <c:pt idx="4">
                  <c:v>2016</c:v>
                </c:pt>
                <c:pt idx="5">
                  <c:v>2017</c:v>
                </c:pt>
                <c:pt idx="6">
                  <c:v>2018</c:v>
                </c:pt>
                <c:pt idx="7">
                  <c:v>2019</c:v>
                </c:pt>
              </c:numCache>
            </c:numRef>
          </c:cat>
          <c:val>
            <c:numRef>
              <c:f>'Chart Producción'!$G$14:$O$14</c:f>
              <c:numCache>
                <c:formatCode>#,##0</c:formatCode>
                <c:ptCount val="8"/>
                <c:pt idx="0">
                  <c:v>548</c:v>
                </c:pt>
                <c:pt idx="1">
                  <c:v>0</c:v>
                </c:pt>
                <c:pt idx="2">
                  <c:v>0</c:v>
                </c:pt>
                <c:pt idx="3">
                  <c:v>510</c:v>
                </c:pt>
                <c:pt idx="4">
                  <c:v>11367</c:v>
                </c:pt>
                <c:pt idx="5">
                  <c:v>8700</c:v>
                </c:pt>
                <c:pt idx="6">
                  <c:v>12951</c:v>
                </c:pt>
                <c:pt idx="7">
                  <c:v>19061</c:v>
                </c:pt>
              </c:numCache>
            </c:numRef>
          </c:val>
          <c:extLst xmlns:c16r2="http://schemas.microsoft.com/office/drawing/2015/06/chart">
            <c:ext xmlns:c16="http://schemas.microsoft.com/office/drawing/2014/chart" uri="{C3380CC4-5D6E-409C-BE32-E72D297353CC}">
              <c16:uniqueId val="{0000000C-CAEF-4532-B11F-3A1285E2F82E}"/>
            </c:ext>
          </c:extLst>
        </c:ser>
        <c:dLbls>
          <c:showLegendKey val="0"/>
          <c:showVal val="0"/>
          <c:showCatName val="0"/>
          <c:showSerName val="0"/>
          <c:showPercent val="0"/>
          <c:showBubbleSize val="0"/>
        </c:dLbls>
        <c:gapWidth val="100"/>
        <c:overlap val="-24"/>
        <c:axId val="-835767056"/>
        <c:axId val="-835782832"/>
      </c:barChart>
      <c:catAx>
        <c:axId val="-835767056"/>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82832"/>
        <c:crosses val="autoZero"/>
        <c:auto val="1"/>
        <c:lblAlgn val="ctr"/>
        <c:lblOffset val="100"/>
        <c:noMultiLvlLbl val="0"/>
      </c:catAx>
      <c:valAx>
        <c:axId val="-83578283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t>Parcelas Tituladas</a:t>
                </a:r>
              </a:p>
            </c:rich>
          </c:tx>
          <c:layout>
            <c:manualLayout>
              <c:xMode val="edge"/>
              <c:yMode val="edge"/>
              <c:x val="2.4715208065291942E-3"/>
              <c:y val="0.26304553394240354"/>
            </c:manualLayout>
          </c:layout>
          <c:overlay val="0"/>
          <c:spPr>
            <a:noFill/>
            <a:ln>
              <a:noFill/>
            </a:ln>
            <a:effectLst/>
          </c:spPr>
          <c:txPr>
            <a:bodyPr rot="-54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8357670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771272654242758E-2"/>
          <c:y val="6.1104803759995129E-2"/>
          <c:w val="0.86953039840996127"/>
          <c:h val="0.63105841420985176"/>
        </c:manualLayout>
      </c:layout>
      <c:lineChart>
        <c:grouping val="standard"/>
        <c:varyColors val="0"/>
        <c:ser>
          <c:idx val="0"/>
          <c:order val="0"/>
          <c:tx>
            <c:strRef>
              <c:f>'SurEste 2018'!$A$236</c:f>
              <c:strCache>
                <c:ptCount val="1"/>
                <c:pt idx="0">
                  <c:v>NORMAL</c:v>
                </c:pt>
              </c:strCache>
            </c:strRef>
          </c:tx>
          <c:spPr>
            <a:ln w="38100" cap="rnd">
              <a:solidFill>
                <a:schemeClr val="tx1"/>
              </a:solidFill>
              <a:prstDash val="sysDash"/>
              <a:round/>
            </a:ln>
            <a:effectLst/>
          </c:spPr>
          <c:marker>
            <c:symbol val="none"/>
          </c:marker>
          <c:cat>
            <c:strRef>
              <c:f>'SurEste 2018'!$B$235:$M$235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2018'!$B$236:$M$236</c:f>
              <c:numCache>
                <c:formatCode>0.0</c:formatCode>
                <c:ptCount val="12"/>
                <c:pt idx="0">
                  <c:v>12.4</c:v>
                </c:pt>
                <c:pt idx="1">
                  <c:v>17.899999999999999</c:v>
                </c:pt>
                <c:pt idx="2">
                  <c:v>36.700000000000003</c:v>
                </c:pt>
                <c:pt idx="3">
                  <c:v>61</c:v>
                </c:pt>
                <c:pt idx="4">
                  <c:v>99.8</c:v>
                </c:pt>
                <c:pt idx="5">
                  <c:v>70.599999999999994</c:v>
                </c:pt>
                <c:pt idx="6">
                  <c:v>57</c:v>
                </c:pt>
                <c:pt idx="7">
                  <c:v>91.9</c:v>
                </c:pt>
                <c:pt idx="8">
                  <c:v>114.5</c:v>
                </c:pt>
                <c:pt idx="9">
                  <c:v>104.2</c:v>
                </c:pt>
                <c:pt idx="10">
                  <c:v>57.5</c:v>
                </c:pt>
                <c:pt idx="11">
                  <c:v>13.9</c:v>
                </c:pt>
              </c:numCache>
            </c:numRef>
          </c:val>
          <c:smooth val="1"/>
          <c:extLst xmlns:c16r2="http://schemas.microsoft.com/office/drawing/2015/06/chart">
            <c:ext xmlns:c16="http://schemas.microsoft.com/office/drawing/2014/chart" uri="{C3380CC4-5D6E-409C-BE32-E72D297353CC}">
              <c16:uniqueId val="{00000000-63E2-460F-A93B-55D8C1021F8E}"/>
            </c:ext>
          </c:extLst>
        </c:ser>
        <c:ser>
          <c:idx val="1"/>
          <c:order val="1"/>
          <c:tx>
            <c:strRef>
              <c:f>'SurEste 2018'!$A$237</c:f>
              <c:strCache>
                <c:ptCount val="1"/>
                <c:pt idx="0">
                  <c:v>2019</c:v>
                </c:pt>
              </c:strCache>
            </c:strRef>
          </c:tx>
          <c:spPr>
            <a:ln w="50800" cap="rnd">
              <a:solidFill>
                <a:srgbClr val="669900"/>
              </a:solidFill>
              <a:round/>
            </a:ln>
            <a:effectLst/>
          </c:spPr>
          <c:marker>
            <c:symbol val="none"/>
          </c:marker>
          <c:cat>
            <c:strRef>
              <c:f>'SurEste 2018'!$B$235:$M$235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2018'!$B$237:$M$237</c:f>
              <c:numCache>
                <c:formatCode>_(* #,##0.0_);_(* \(#,##0.0\);_(* "-"??_);_(@_)</c:formatCode>
                <c:ptCount val="12"/>
                <c:pt idx="0">
                  <c:v>0</c:v>
                </c:pt>
                <c:pt idx="1">
                  <c:v>8.4</c:v>
                </c:pt>
                <c:pt idx="2">
                  <c:v>41.3</c:v>
                </c:pt>
                <c:pt idx="3">
                  <c:v>26.5</c:v>
                </c:pt>
                <c:pt idx="4">
                  <c:v>124.1</c:v>
                </c:pt>
                <c:pt idx="5">
                  <c:v>10.1</c:v>
                </c:pt>
                <c:pt idx="6">
                  <c:v>36.9</c:v>
                </c:pt>
                <c:pt idx="7">
                  <c:v>30.7</c:v>
                </c:pt>
                <c:pt idx="8">
                  <c:v>66.599999999999994</c:v>
                </c:pt>
                <c:pt idx="9">
                  <c:v>60.6</c:v>
                </c:pt>
                <c:pt idx="10">
                  <c:v>139.60000000000002</c:v>
                </c:pt>
              </c:numCache>
            </c:numRef>
          </c:val>
          <c:smooth val="1"/>
          <c:extLst xmlns:c16r2="http://schemas.microsoft.com/office/drawing/2015/06/chart">
            <c:ext xmlns:c16="http://schemas.microsoft.com/office/drawing/2014/chart" uri="{C3380CC4-5D6E-409C-BE32-E72D297353CC}">
              <c16:uniqueId val="{00000001-63E2-460F-A93B-55D8C1021F8E}"/>
            </c:ext>
          </c:extLst>
        </c:ser>
        <c:dLbls>
          <c:showLegendKey val="0"/>
          <c:showVal val="0"/>
          <c:showCatName val="0"/>
          <c:showSerName val="0"/>
          <c:showPercent val="0"/>
          <c:showBubbleSize val="0"/>
        </c:dLbls>
        <c:smooth val="0"/>
        <c:axId val="-915477968"/>
        <c:axId val="-915477424"/>
      </c:lineChart>
      <c:catAx>
        <c:axId val="-915477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77424"/>
        <c:crosses val="autoZero"/>
        <c:auto val="1"/>
        <c:lblAlgn val="ctr"/>
        <c:lblOffset val="100"/>
        <c:noMultiLvlLbl val="0"/>
      </c:catAx>
      <c:valAx>
        <c:axId val="-9154774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77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'SurEste 2018'!$A$238</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5-2C86-4710-AFAC-19EA2B3CAC67}"/>
              </c:ext>
            </c:extLst>
          </c:dPt>
          <c:dPt>
            <c:idx val="1"/>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3-2C86-4710-AFAC-19EA2B3CAC67}"/>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6066-4354-B808-4ED4A7EFFFA2}"/>
              </c:ext>
            </c:extLst>
          </c:dPt>
          <c:dPt>
            <c:idx val="3"/>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4-2C86-4710-AFAC-19EA2B3CAC67}"/>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6066-4354-B808-4ED4A7EFFFA2}"/>
              </c:ext>
            </c:extLst>
          </c:dPt>
          <c:dPt>
            <c:idx val="7"/>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2C86-4710-AFAC-19EA2B3CAC67}"/>
              </c:ext>
            </c:extLst>
          </c:dPt>
          <c:dPt>
            <c:idx val="1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2-2C86-4710-AFAC-19EA2B3CAC67}"/>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'SurEste 2018'!$B$235:$M$235</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2018'!$B$238:$M$238</c:f>
              <c:numCache>
                <c:formatCode>0.0</c:formatCode>
                <c:ptCount val="12"/>
                <c:pt idx="0">
                  <c:v>-100</c:v>
                </c:pt>
                <c:pt idx="1">
                  <c:v>-53.072625698324011</c:v>
                </c:pt>
                <c:pt idx="2">
                  <c:v>12.534059945504071</c:v>
                </c:pt>
                <c:pt idx="3">
                  <c:v>-56.557377049180324</c:v>
                </c:pt>
                <c:pt idx="4">
                  <c:v>24.348697394789575</c:v>
                </c:pt>
                <c:pt idx="5">
                  <c:v>-85.694050991501413</c:v>
                </c:pt>
                <c:pt idx="6">
                  <c:v>-35.26315789473685</c:v>
                </c:pt>
                <c:pt idx="7">
                  <c:v>-66.594124047878125</c:v>
                </c:pt>
                <c:pt idx="8">
                  <c:v>-41.834061135371186</c:v>
                </c:pt>
                <c:pt idx="9">
                  <c:v>-41.842610364683303</c:v>
                </c:pt>
                <c:pt idx="10">
                  <c:v>142.78260869565221</c:v>
                </c:pt>
              </c:numCache>
            </c:numRef>
          </c:val>
          <c:extLst xmlns:c16r2="http://schemas.microsoft.com/office/drawing/2015/06/chart">
            <c:ext xmlns:c16="http://schemas.microsoft.com/office/drawing/2014/chart" uri="{C3380CC4-5D6E-409C-BE32-E72D297353CC}">
              <c16:uniqueId val="{00000000-2C86-4710-AFAC-19EA2B3CAC67}"/>
            </c:ext>
          </c:extLst>
        </c:ser>
        <c:dLbls>
          <c:showLegendKey val="0"/>
          <c:showVal val="0"/>
          <c:showCatName val="0"/>
          <c:showSerName val="0"/>
          <c:showPercent val="0"/>
          <c:showBubbleSize val="0"/>
        </c:dLbls>
        <c:gapWidth val="219"/>
        <c:overlap val="-27"/>
        <c:axId val="-915475792"/>
        <c:axId val="-915476880"/>
      </c:barChart>
      <c:catAx>
        <c:axId val="-9154757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es-DO"/>
          </a:p>
        </c:txPr>
        <c:crossAx val="-915476880"/>
        <c:crosses val="autoZero"/>
        <c:auto val="1"/>
        <c:lblAlgn val="ctr"/>
        <c:lblOffset val="100"/>
        <c:noMultiLvlLbl val="0"/>
      </c:catAx>
      <c:valAx>
        <c:axId val="-915476880"/>
        <c:scaling>
          <c:orientation val="minMax"/>
          <c:max val="1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757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'SurEste 2018'!$A$255</c:f>
              <c:strCache>
                <c:ptCount val="1"/>
                <c:pt idx="0">
                  <c:v>NORMAL</c:v>
                </c:pt>
              </c:strCache>
            </c:strRef>
          </c:tx>
          <c:spPr>
            <a:ln w="38100" cap="rnd">
              <a:solidFill>
                <a:schemeClr val="tx1"/>
              </a:solidFill>
              <a:prstDash val="sysDash"/>
              <a:round/>
            </a:ln>
            <a:effectLst/>
          </c:spPr>
          <c:marker>
            <c:symbol val="none"/>
          </c:marker>
          <c:cat>
            <c:strRef>
              <c:f>'SurEste 2018'!$B$254:$M$254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2018'!$B$255:$M$255</c:f>
              <c:numCache>
                <c:formatCode>0.0</c:formatCode>
                <c:ptCount val="12"/>
                <c:pt idx="0">
                  <c:v>16.8</c:v>
                </c:pt>
                <c:pt idx="1">
                  <c:v>27.9</c:v>
                </c:pt>
                <c:pt idx="2">
                  <c:v>61.5</c:v>
                </c:pt>
                <c:pt idx="3">
                  <c:v>114.7</c:v>
                </c:pt>
                <c:pt idx="4">
                  <c:v>201.6</c:v>
                </c:pt>
                <c:pt idx="5">
                  <c:v>90.1</c:v>
                </c:pt>
                <c:pt idx="6">
                  <c:v>72</c:v>
                </c:pt>
                <c:pt idx="7">
                  <c:v>129.5</c:v>
                </c:pt>
                <c:pt idx="8">
                  <c:v>147.69999999999999</c:v>
                </c:pt>
                <c:pt idx="9">
                  <c:v>150.9</c:v>
                </c:pt>
                <c:pt idx="10">
                  <c:v>79</c:v>
                </c:pt>
                <c:pt idx="11">
                  <c:v>20.7</c:v>
                </c:pt>
              </c:numCache>
            </c:numRef>
          </c:val>
          <c:smooth val="1"/>
          <c:extLst xmlns:c16r2="http://schemas.microsoft.com/office/drawing/2015/06/chart">
            <c:ext xmlns:c16="http://schemas.microsoft.com/office/drawing/2014/chart" uri="{C3380CC4-5D6E-409C-BE32-E72D297353CC}">
              <c16:uniqueId val="{00000000-7E30-4551-BF90-C3426672BBAC}"/>
            </c:ext>
          </c:extLst>
        </c:ser>
        <c:ser>
          <c:idx val="1"/>
          <c:order val="1"/>
          <c:tx>
            <c:strRef>
              <c:f>'SurEste 2018'!$A$256</c:f>
              <c:strCache>
                <c:ptCount val="1"/>
                <c:pt idx="0">
                  <c:v>2019</c:v>
                </c:pt>
              </c:strCache>
            </c:strRef>
          </c:tx>
          <c:spPr>
            <a:ln w="50800" cap="rnd">
              <a:solidFill>
                <a:srgbClr val="669900"/>
              </a:solidFill>
              <a:round/>
            </a:ln>
            <a:effectLst/>
          </c:spPr>
          <c:marker>
            <c:symbol val="none"/>
          </c:marker>
          <c:cat>
            <c:strRef>
              <c:f>'SurEste 2018'!$B$254:$M$254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2018'!$B$256:$M$256</c:f>
              <c:numCache>
                <c:formatCode>_(* #,##0.0_);_(* \(#,##0.0\);_(* "-"??_);_(@_)</c:formatCode>
                <c:ptCount val="12"/>
                <c:pt idx="0">
                  <c:v>28.9</c:v>
                </c:pt>
                <c:pt idx="1">
                  <c:v>0.1</c:v>
                </c:pt>
                <c:pt idx="2">
                  <c:v>34</c:v>
                </c:pt>
                <c:pt idx="3">
                  <c:v>165.8</c:v>
                </c:pt>
                <c:pt idx="4">
                  <c:v>220.20000000000002</c:v>
                </c:pt>
                <c:pt idx="5">
                  <c:v>77.499999999999986</c:v>
                </c:pt>
                <c:pt idx="6">
                  <c:v>120.9</c:v>
                </c:pt>
                <c:pt idx="7">
                  <c:v>91.6</c:v>
                </c:pt>
                <c:pt idx="8">
                  <c:v>524.79999999999995</c:v>
                </c:pt>
                <c:pt idx="9">
                  <c:v>96.7</c:v>
                </c:pt>
                <c:pt idx="10">
                  <c:v>104.4</c:v>
                </c:pt>
              </c:numCache>
            </c:numRef>
          </c:val>
          <c:smooth val="1"/>
          <c:extLst xmlns:c16r2="http://schemas.microsoft.com/office/drawing/2015/06/chart">
            <c:ext xmlns:c16="http://schemas.microsoft.com/office/drawing/2014/chart" uri="{C3380CC4-5D6E-409C-BE32-E72D297353CC}">
              <c16:uniqueId val="{00000001-7E30-4551-BF90-C3426672BBAC}"/>
            </c:ext>
          </c:extLst>
        </c:ser>
        <c:dLbls>
          <c:showLegendKey val="0"/>
          <c:showVal val="0"/>
          <c:showCatName val="0"/>
          <c:showSerName val="0"/>
          <c:showPercent val="0"/>
          <c:showBubbleSize val="0"/>
        </c:dLbls>
        <c:smooth val="0"/>
        <c:axId val="-915476336"/>
        <c:axId val="-915475248"/>
      </c:lineChart>
      <c:catAx>
        <c:axId val="-915476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75248"/>
        <c:crosses val="autoZero"/>
        <c:auto val="1"/>
        <c:lblAlgn val="ctr"/>
        <c:lblOffset val="100"/>
        <c:noMultiLvlLbl val="0"/>
      </c:catAx>
      <c:valAx>
        <c:axId val="-9154752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76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'SurEste 2018'!$A$257</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0A25-47FE-8E47-E56F9F076ADB}"/>
              </c:ext>
            </c:extLst>
          </c:dPt>
          <c:dPt>
            <c:idx val="3"/>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7290-4C69-89A6-E264EE80CC18}"/>
              </c:ext>
            </c:extLst>
          </c:dPt>
          <c:dPt>
            <c:idx val="4"/>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7290-4C69-89A6-E264EE80CC18}"/>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7290-4C69-89A6-E264EE80CC18}"/>
              </c:ext>
            </c:extLst>
          </c:dPt>
          <c:dPt>
            <c:idx val="7"/>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0A25-47FE-8E47-E56F9F076ADB}"/>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B-7290-4C69-89A6-E264EE80CC18}"/>
              </c:ext>
            </c:extLst>
          </c:dPt>
          <c:dPt>
            <c:idx val="1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D-7290-4C69-89A6-E264EE80CC18}"/>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'SurEste 2018'!$B$254:$M$254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2018'!$B$257:$M$257</c:f>
              <c:numCache>
                <c:formatCode>0.0</c:formatCode>
                <c:ptCount val="12"/>
                <c:pt idx="0">
                  <c:v>72.023809523809504</c:v>
                </c:pt>
                <c:pt idx="1">
                  <c:v>-99.641577060931894</c:v>
                </c:pt>
                <c:pt idx="2">
                  <c:v>-44.715447154471548</c:v>
                </c:pt>
                <c:pt idx="3">
                  <c:v>44.551002615518755</c:v>
                </c:pt>
                <c:pt idx="4">
                  <c:v>9.2261904761904869</c:v>
                </c:pt>
                <c:pt idx="5">
                  <c:v>-13.984461709211997</c:v>
                </c:pt>
                <c:pt idx="6">
                  <c:v>67.916666666666686</c:v>
                </c:pt>
                <c:pt idx="7">
                  <c:v>-29.266409266409269</c:v>
                </c:pt>
                <c:pt idx="8">
                  <c:v>255.31482735274207</c:v>
                </c:pt>
                <c:pt idx="9">
                  <c:v>-35.917826375082832</c:v>
                </c:pt>
                <c:pt idx="10">
                  <c:v>32.200000000000003</c:v>
                </c:pt>
              </c:numCache>
            </c:numRef>
          </c:val>
          <c:extLst xmlns:c16r2="http://schemas.microsoft.com/office/drawing/2015/06/chart">
            <c:ext xmlns:c16="http://schemas.microsoft.com/office/drawing/2014/chart" uri="{C3380CC4-5D6E-409C-BE32-E72D297353CC}">
              <c16:uniqueId val="{00000000-0A25-47FE-8E47-E56F9F076ADB}"/>
            </c:ext>
          </c:extLst>
        </c:ser>
        <c:dLbls>
          <c:showLegendKey val="0"/>
          <c:showVal val="0"/>
          <c:showCatName val="0"/>
          <c:showSerName val="0"/>
          <c:showPercent val="0"/>
          <c:showBubbleSize val="0"/>
        </c:dLbls>
        <c:gapWidth val="219"/>
        <c:overlap val="-27"/>
        <c:axId val="-915473072"/>
        <c:axId val="-869471120"/>
      </c:barChart>
      <c:catAx>
        <c:axId val="-915473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71120"/>
        <c:crosses val="autoZero"/>
        <c:auto val="1"/>
        <c:lblAlgn val="ctr"/>
        <c:lblOffset val="100"/>
        <c:noMultiLvlLbl val="0"/>
      </c:catAx>
      <c:valAx>
        <c:axId val="-869471120"/>
        <c:scaling>
          <c:orientation val="minMax"/>
          <c:max val="1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9154730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3">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'SurEste 2018'!$A$274</c:f>
              <c:strCache>
                <c:ptCount val="1"/>
                <c:pt idx="0">
                  <c:v>NORMAL</c:v>
                </c:pt>
              </c:strCache>
            </c:strRef>
          </c:tx>
          <c:spPr>
            <a:ln w="38100" cap="rnd">
              <a:solidFill>
                <a:schemeClr val="tx1"/>
              </a:solidFill>
              <a:prstDash val="sysDash"/>
              <a:round/>
            </a:ln>
            <a:effectLst/>
          </c:spPr>
          <c:marker>
            <c:symbol val="none"/>
          </c:marker>
          <c:cat>
            <c:strRef>
              <c:f>'SurEste 2018'!$B$273:$M$273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2018'!$B$274:$M$274</c:f>
              <c:numCache>
                <c:formatCode>0.0</c:formatCode>
                <c:ptCount val="12"/>
                <c:pt idx="0">
                  <c:v>28.7</c:v>
                </c:pt>
                <c:pt idx="1">
                  <c:v>29.6</c:v>
                </c:pt>
                <c:pt idx="2">
                  <c:v>66.7</c:v>
                </c:pt>
                <c:pt idx="3">
                  <c:v>87.2</c:v>
                </c:pt>
                <c:pt idx="4">
                  <c:v>172.7</c:v>
                </c:pt>
                <c:pt idx="5">
                  <c:v>100.3</c:v>
                </c:pt>
                <c:pt idx="6">
                  <c:v>54.6</c:v>
                </c:pt>
                <c:pt idx="7">
                  <c:v>68.8</c:v>
                </c:pt>
                <c:pt idx="8">
                  <c:v>147.5</c:v>
                </c:pt>
                <c:pt idx="9">
                  <c:v>138.9</c:v>
                </c:pt>
                <c:pt idx="10">
                  <c:v>88.5</c:v>
                </c:pt>
                <c:pt idx="11">
                  <c:v>49.2</c:v>
                </c:pt>
              </c:numCache>
            </c:numRef>
          </c:val>
          <c:smooth val="1"/>
          <c:extLst xmlns:c16r2="http://schemas.microsoft.com/office/drawing/2015/06/chart">
            <c:ext xmlns:c16="http://schemas.microsoft.com/office/drawing/2014/chart" uri="{C3380CC4-5D6E-409C-BE32-E72D297353CC}">
              <c16:uniqueId val="{00000000-75D9-4882-99ED-EFBA418251D7}"/>
            </c:ext>
          </c:extLst>
        </c:ser>
        <c:ser>
          <c:idx val="1"/>
          <c:order val="1"/>
          <c:tx>
            <c:strRef>
              <c:f>'SurEste 2018'!$A$275</c:f>
              <c:strCache>
                <c:ptCount val="1"/>
                <c:pt idx="0">
                  <c:v>2019</c:v>
                </c:pt>
              </c:strCache>
            </c:strRef>
          </c:tx>
          <c:spPr>
            <a:ln w="50800" cap="rnd">
              <a:solidFill>
                <a:srgbClr val="669900"/>
              </a:solidFill>
              <a:round/>
            </a:ln>
            <a:effectLst/>
          </c:spPr>
          <c:marker>
            <c:symbol val="none"/>
          </c:marker>
          <c:cat>
            <c:strRef>
              <c:f>'SurEste 2018'!$B$273:$M$273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2018'!$B$275:$M$275</c:f>
              <c:numCache>
                <c:formatCode>_(* #,##0.0_);_(* \(#,##0.0\);_(* "-"??_);_(@_)</c:formatCode>
                <c:ptCount val="12"/>
                <c:pt idx="0">
                  <c:v>37.799999999999997</c:v>
                </c:pt>
                <c:pt idx="1">
                  <c:v>11.1</c:v>
                </c:pt>
                <c:pt idx="2">
                  <c:v>57.9</c:v>
                </c:pt>
                <c:pt idx="3">
                  <c:v>40.299999999999997</c:v>
                </c:pt>
                <c:pt idx="4">
                  <c:v>109.3</c:v>
                </c:pt>
                <c:pt idx="5">
                  <c:v>38.6</c:v>
                </c:pt>
                <c:pt idx="6">
                  <c:v>39.700000000000003</c:v>
                </c:pt>
                <c:pt idx="7">
                  <c:v>46</c:v>
                </c:pt>
                <c:pt idx="8">
                  <c:v>513.79999999999995</c:v>
                </c:pt>
                <c:pt idx="9">
                  <c:v>78.7</c:v>
                </c:pt>
                <c:pt idx="10">
                  <c:v>22.599999999999998</c:v>
                </c:pt>
              </c:numCache>
            </c:numRef>
          </c:val>
          <c:smooth val="1"/>
          <c:extLst xmlns:c16r2="http://schemas.microsoft.com/office/drawing/2015/06/chart">
            <c:ext xmlns:c16="http://schemas.microsoft.com/office/drawing/2014/chart" uri="{C3380CC4-5D6E-409C-BE32-E72D297353CC}">
              <c16:uniqueId val="{00000001-75D9-4882-99ED-EFBA418251D7}"/>
            </c:ext>
          </c:extLst>
        </c:ser>
        <c:dLbls>
          <c:showLegendKey val="0"/>
          <c:showVal val="0"/>
          <c:showCatName val="0"/>
          <c:showSerName val="0"/>
          <c:showPercent val="0"/>
          <c:showBubbleSize val="0"/>
        </c:dLbls>
        <c:smooth val="0"/>
        <c:axId val="-869470032"/>
        <c:axId val="-869460240"/>
      </c:lineChart>
      <c:catAx>
        <c:axId val="-8694700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60240"/>
        <c:crosses val="autoZero"/>
        <c:auto val="1"/>
        <c:lblAlgn val="ctr"/>
        <c:lblOffset val="100"/>
        <c:noMultiLvlLbl val="0"/>
      </c:catAx>
      <c:valAx>
        <c:axId val="-8694602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70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'SurEste 2018'!$A$276</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15F6-4831-BF02-90FBDCE74F90}"/>
              </c:ext>
            </c:extLst>
          </c:dPt>
          <c:dPt>
            <c:idx val="4"/>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2-15F6-4831-BF02-90FBDCE74F90}"/>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C789-4BEE-9151-D9B7F7213D03}"/>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'SurEste 2018'!$B$273:$M$273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2018'!$B$276:$M$276</c:f>
              <c:numCache>
                <c:formatCode>0.0</c:formatCode>
                <c:ptCount val="12"/>
                <c:pt idx="0">
                  <c:v>31.707317073170724</c:v>
                </c:pt>
                <c:pt idx="1">
                  <c:v>-62.5</c:v>
                </c:pt>
                <c:pt idx="2">
                  <c:v>-13.19340329835083</c:v>
                </c:pt>
                <c:pt idx="3">
                  <c:v>-53.784403669724782</c:v>
                </c:pt>
                <c:pt idx="4">
                  <c:v>-36.711059640995941</c:v>
                </c:pt>
                <c:pt idx="5">
                  <c:v>-61.51545363908275</c:v>
                </c:pt>
                <c:pt idx="6">
                  <c:v>-27.289377289377285</c:v>
                </c:pt>
                <c:pt idx="7">
                  <c:v>-33.139534883720927</c:v>
                </c:pt>
                <c:pt idx="8">
                  <c:v>248.33898305084742</c:v>
                </c:pt>
                <c:pt idx="9">
                  <c:v>-43.340532757379407</c:v>
                </c:pt>
                <c:pt idx="10">
                  <c:v>-74.463276836158201</c:v>
                </c:pt>
              </c:numCache>
            </c:numRef>
          </c:val>
          <c:extLst xmlns:c16r2="http://schemas.microsoft.com/office/drawing/2015/06/chart">
            <c:ext xmlns:c16="http://schemas.microsoft.com/office/drawing/2014/chart" uri="{C3380CC4-5D6E-409C-BE32-E72D297353CC}">
              <c16:uniqueId val="{00000000-15F6-4831-BF02-90FBDCE74F90}"/>
            </c:ext>
          </c:extLst>
        </c:ser>
        <c:dLbls>
          <c:showLegendKey val="0"/>
          <c:showVal val="0"/>
          <c:showCatName val="0"/>
          <c:showSerName val="0"/>
          <c:showPercent val="0"/>
          <c:showBubbleSize val="0"/>
        </c:dLbls>
        <c:gapWidth val="219"/>
        <c:overlap val="-27"/>
        <c:axId val="-869469488"/>
        <c:axId val="-869460784"/>
      </c:barChart>
      <c:catAx>
        <c:axId val="-8694694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60784"/>
        <c:crosses val="autoZero"/>
        <c:auto val="1"/>
        <c:lblAlgn val="ctr"/>
        <c:lblOffset val="100"/>
        <c:noMultiLvlLbl val="0"/>
      </c:catAx>
      <c:valAx>
        <c:axId val="-869460784"/>
        <c:scaling>
          <c:orientation val="minMax"/>
          <c:max val="1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694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'SurEste 2018'!$A$295</c:f>
              <c:strCache>
                <c:ptCount val="1"/>
                <c:pt idx="0">
                  <c:v>NORMAL</c:v>
                </c:pt>
              </c:strCache>
            </c:strRef>
          </c:tx>
          <c:spPr>
            <a:ln w="38100" cap="rnd">
              <a:solidFill>
                <a:schemeClr val="tx1"/>
              </a:solidFill>
              <a:prstDash val="sysDash"/>
              <a:round/>
            </a:ln>
            <a:effectLst/>
          </c:spPr>
          <c:marker>
            <c:symbol val="none"/>
          </c:marker>
          <c:cat>
            <c:strRef>
              <c:f>'SurEste 2018'!$B$294:$M$294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2018'!$B$295:$M$295</c:f>
              <c:numCache>
                <c:formatCode>0.0</c:formatCode>
                <c:ptCount val="12"/>
                <c:pt idx="0">
                  <c:v>8.6</c:v>
                </c:pt>
                <c:pt idx="1">
                  <c:v>14.5</c:v>
                </c:pt>
                <c:pt idx="2">
                  <c:v>25.5</c:v>
                </c:pt>
                <c:pt idx="3">
                  <c:v>43.3</c:v>
                </c:pt>
                <c:pt idx="4">
                  <c:v>101</c:v>
                </c:pt>
                <c:pt idx="5">
                  <c:v>45.7</c:v>
                </c:pt>
                <c:pt idx="6">
                  <c:v>35.4</c:v>
                </c:pt>
                <c:pt idx="7">
                  <c:v>56.7</c:v>
                </c:pt>
                <c:pt idx="8">
                  <c:v>78.8</c:v>
                </c:pt>
                <c:pt idx="9">
                  <c:v>67.7</c:v>
                </c:pt>
                <c:pt idx="10">
                  <c:v>41.3</c:v>
                </c:pt>
                <c:pt idx="11">
                  <c:v>19</c:v>
                </c:pt>
              </c:numCache>
            </c:numRef>
          </c:val>
          <c:smooth val="1"/>
          <c:extLst xmlns:c16r2="http://schemas.microsoft.com/office/drawing/2015/06/chart">
            <c:ext xmlns:c16="http://schemas.microsoft.com/office/drawing/2014/chart" uri="{C3380CC4-5D6E-409C-BE32-E72D297353CC}">
              <c16:uniqueId val="{00000000-DE96-4A36-974F-7FBDFA8C8D3C}"/>
            </c:ext>
          </c:extLst>
        </c:ser>
        <c:ser>
          <c:idx val="1"/>
          <c:order val="1"/>
          <c:tx>
            <c:strRef>
              <c:f>'SurEste 2018'!$A$296</c:f>
              <c:strCache>
                <c:ptCount val="1"/>
                <c:pt idx="0">
                  <c:v>2019</c:v>
                </c:pt>
              </c:strCache>
            </c:strRef>
          </c:tx>
          <c:spPr>
            <a:ln w="50800" cap="rnd">
              <a:solidFill>
                <a:srgbClr val="669900"/>
              </a:solidFill>
              <a:round/>
            </a:ln>
            <a:effectLst/>
          </c:spPr>
          <c:marker>
            <c:symbol val="none"/>
          </c:marker>
          <c:cat>
            <c:strRef>
              <c:f>'SurEste 2018'!$B$294:$M$294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2018'!$B$296:$M$296</c:f>
              <c:numCache>
                <c:formatCode>_(* #,##0.0_);_(* \(#,##0.0\);_(* "-"??_);_(@_)</c:formatCode>
                <c:ptCount val="12"/>
                <c:pt idx="0">
                  <c:v>8.9</c:v>
                </c:pt>
                <c:pt idx="1">
                  <c:v>1.5</c:v>
                </c:pt>
                <c:pt idx="2">
                  <c:v>71.400000000000006</c:v>
                </c:pt>
                <c:pt idx="3">
                  <c:v>44.9</c:v>
                </c:pt>
                <c:pt idx="4">
                  <c:v>27.3</c:v>
                </c:pt>
                <c:pt idx="5">
                  <c:v>17.7</c:v>
                </c:pt>
                <c:pt idx="6">
                  <c:v>48.3</c:v>
                </c:pt>
                <c:pt idx="7">
                  <c:v>7.9</c:v>
                </c:pt>
                <c:pt idx="8">
                  <c:v>156.6</c:v>
                </c:pt>
                <c:pt idx="9">
                  <c:v>32</c:v>
                </c:pt>
                <c:pt idx="10">
                  <c:v>93.5</c:v>
                </c:pt>
              </c:numCache>
            </c:numRef>
          </c:val>
          <c:smooth val="1"/>
          <c:extLst xmlns:c16r2="http://schemas.microsoft.com/office/drawing/2015/06/chart">
            <c:ext xmlns:c16="http://schemas.microsoft.com/office/drawing/2014/chart" uri="{C3380CC4-5D6E-409C-BE32-E72D297353CC}">
              <c16:uniqueId val="{00000001-DE96-4A36-974F-7FBDFA8C8D3C}"/>
            </c:ext>
          </c:extLst>
        </c:ser>
        <c:dLbls>
          <c:showLegendKey val="0"/>
          <c:showVal val="0"/>
          <c:showCatName val="0"/>
          <c:showSerName val="0"/>
          <c:showPercent val="0"/>
          <c:showBubbleSize val="0"/>
        </c:dLbls>
        <c:smooth val="0"/>
        <c:axId val="-869464048"/>
        <c:axId val="-869474928"/>
      </c:lineChart>
      <c:catAx>
        <c:axId val="-8694640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74928"/>
        <c:crosses val="autoZero"/>
        <c:auto val="1"/>
        <c:lblAlgn val="ctr"/>
        <c:lblOffset val="100"/>
        <c:noMultiLvlLbl val="0"/>
      </c:catAx>
      <c:valAx>
        <c:axId val="-8694749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64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1">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'SurEste 2018'!$A$297</c:f>
              <c:strCache>
                <c:ptCount val="1"/>
                <c:pt idx="0">
                  <c:v>D. Prec (%)</c:v>
                </c:pt>
              </c:strCache>
            </c:strRef>
          </c:tx>
          <c:spPr>
            <a:solidFill>
              <a:srgbClr val="FF0000"/>
            </a:solidFill>
            <a:ln>
              <a:noFill/>
            </a:ln>
            <a:effectLst/>
          </c:spPr>
          <c:invertIfNegative val="0"/>
          <c:dPt>
            <c:idx val="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1-FCEC-423E-BF1D-9CD218AFE5E1}"/>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DD8B-4B4B-879C-554F1E4D875F}"/>
              </c:ext>
            </c:extLst>
          </c:dPt>
          <c:dPt>
            <c:idx val="3"/>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2-FCEC-423E-BF1D-9CD218AFE5E1}"/>
              </c:ext>
            </c:extLst>
          </c:dPt>
          <c:dPt>
            <c:idx val="6"/>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3-FCEC-423E-BF1D-9CD218AFE5E1}"/>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9-DD8B-4B4B-879C-554F1E4D875F}"/>
              </c:ext>
            </c:extLst>
          </c:dPt>
          <c:dPt>
            <c:idx val="9"/>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4-FCEC-423E-BF1D-9CD218AFE5E1}"/>
              </c:ext>
            </c:extLst>
          </c:dPt>
          <c:dPt>
            <c:idx val="10"/>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D-DD8B-4B4B-879C-554F1E4D875F}"/>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'SurEste 2018'!$B$294:$M$294</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2018'!$B$297:$M$297</c:f>
              <c:numCache>
                <c:formatCode>0.0</c:formatCode>
                <c:ptCount val="12"/>
                <c:pt idx="0">
                  <c:v>3.4883720930232642</c:v>
                </c:pt>
                <c:pt idx="1">
                  <c:v>-89.65517241379311</c:v>
                </c:pt>
                <c:pt idx="2">
                  <c:v>180.00000000000003</c:v>
                </c:pt>
                <c:pt idx="3">
                  <c:v>3.6951501154734445</c:v>
                </c:pt>
                <c:pt idx="4">
                  <c:v>-72.970297029702976</c:v>
                </c:pt>
                <c:pt idx="5">
                  <c:v>-61.269146608315104</c:v>
                </c:pt>
                <c:pt idx="6">
                  <c:v>36.440677966101688</c:v>
                </c:pt>
                <c:pt idx="7">
                  <c:v>-86.067019400352734</c:v>
                </c:pt>
                <c:pt idx="8">
                  <c:v>98.73096446700508</c:v>
                </c:pt>
                <c:pt idx="9">
                  <c:v>-52.732644017725264</c:v>
                </c:pt>
                <c:pt idx="10">
                  <c:v>126.4</c:v>
                </c:pt>
              </c:numCache>
            </c:numRef>
          </c:val>
          <c:extLst xmlns:c16r2="http://schemas.microsoft.com/office/drawing/2015/06/chart">
            <c:ext xmlns:c16="http://schemas.microsoft.com/office/drawing/2014/chart" uri="{C3380CC4-5D6E-409C-BE32-E72D297353CC}">
              <c16:uniqueId val="{00000000-FCEC-423E-BF1D-9CD218AFE5E1}"/>
            </c:ext>
          </c:extLst>
        </c:ser>
        <c:dLbls>
          <c:showLegendKey val="0"/>
          <c:showVal val="0"/>
          <c:showCatName val="0"/>
          <c:showSerName val="0"/>
          <c:showPercent val="0"/>
          <c:showBubbleSize val="0"/>
        </c:dLbls>
        <c:gapWidth val="219"/>
        <c:overlap val="-27"/>
        <c:axId val="-869473840"/>
        <c:axId val="-869475472"/>
      </c:barChart>
      <c:catAx>
        <c:axId val="-869473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75472"/>
        <c:crosses val="autoZero"/>
        <c:auto val="1"/>
        <c:lblAlgn val="ctr"/>
        <c:lblOffset val="100"/>
        <c:noMultiLvlLbl val="0"/>
      </c:catAx>
      <c:valAx>
        <c:axId val="-869475472"/>
        <c:scaling>
          <c:orientation val="minMax"/>
          <c:max val="100"/>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738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52976930515265E-2"/>
          <c:y val="8.3809523809523806E-2"/>
          <c:w val="0.86987373946677715"/>
          <c:h val="0.75872515935508067"/>
        </c:manualLayout>
      </c:layout>
      <c:lineChart>
        <c:grouping val="standard"/>
        <c:varyColors val="0"/>
        <c:ser>
          <c:idx val="0"/>
          <c:order val="0"/>
          <c:tx>
            <c:strRef>
              <c:f>'SurEste 2018'!$A$314</c:f>
              <c:strCache>
                <c:ptCount val="1"/>
                <c:pt idx="0">
                  <c:v>NORMAL</c:v>
                </c:pt>
              </c:strCache>
            </c:strRef>
          </c:tx>
          <c:spPr>
            <a:ln w="38100" cap="rnd">
              <a:solidFill>
                <a:schemeClr val="tx1"/>
              </a:solidFill>
              <a:prstDash val="sysDash"/>
              <a:round/>
            </a:ln>
            <a:effectLst/>
          </c:spPr>
          <c:marker>
            <c:symbol val="none"/>
          </c:marker>
          <c:cat>
            <c:strRef>
              <c:f>'SurEste 2018'!$B$313:$M$313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2018'!$B$314:$M$314</c:f>
              <c:numCache>
                <c:formatCode>0.0</c:formatCode>
                <c:ptCount val="12"/>
                <c:pt idx="0">
                  <c:v>16.7</c:v>
                </c:pt>
                <c:pt idx="1">
                  <c:v>31.3</c:v>
                </c:pt>
                <c:pt idx="2">
                  <c:v>54.1</c:v>
                </c:pt>
                <c:pt idx="3">
                  <c:v>83.1</c:v>
                </c:pt>
                <c:pt idx="4">
                  <c:v>128.5</c:v>
                </c:pt>
                <c:pt idx="5">
                  <c:v>42.7</c:v>
                </c:pt>
                <c:pt idx="6">
                  <c:v>24.2</c:v>
                </c:pt>
                <c:pt idx="7">
                  <c:v>57</c:v>
                </c:pt>
                <c:pt idx="8">
                  <c:v>93.1</c:v>
                </c:pt>
                <c:pt idx="9">
                  <c:v>95.1</c:v>
                </c:pt>
                <c:pt idx="10">
                  <c:v>57.9</c:v>
                </c:pt>
                <c:pt idx="11">
                  <c:v>16.2</c:v>
                </c:pt>
              </c:numCache>
            </c:numRef>
          </c:val>
          <c:smooth val="1"/>
          <c:extLst xmlns:c16r2="http://schemas.microsoft.com/office/drawing/2015/06/chart">
            <c:ext xmlns:c16="http://schemas.microsoft.com/office/drawing/2014/chart" uri="{C3380CC4-5D6E-409C-BE32-E72D297353CC}">
              <c16:uniqueId val="{00000000-9F1A-49D1-A599-D4CEFD4FFF0B}"/>
            </c:ext>
          </c:extLst>
        </c:ser>
        <c:ser>
          <c:idx val="1"/>
          <c:order val="1"/>
          <c:tx>
            <c:strRef>
              <c:f>'SurEste 2018'!$A$315</c:f>
              <c:strCache>
                <c:ptCount val="1"/>
                <c:pt idx="0">
                  <c:v>2019</c:v>
                </c:pt>
              </c:strCache>
            </c:strRef>
          </c:tx>
          <c:spPr>
            <a:ln w="50800" cap="rnd">
              <a:solidFill>
                <a:srgbClr val="669900"/>
              </a:solidFill>
              <a:round/>
            </a:ln>
            <a:effectLst/>
          </c:spPr>
          <c:marker>
            <c:symbol val="none"/>
          </c:marker>
          <c:cat>
            <c:strRef>
              <c:f>'SurEste 2018'!$B$313:$M$313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2018'!$B$315:$M$315</c:f>
              <c:numCache>
                <c:formatCode>_(* #,##0.0_);_(* \(#,##0.0\);_(* "-"??_);_(@_)</c:formatCode>
                <c:ptCount val="12"/>
                <c:pt idx="0">
                  <c:v>7.4</c:v>
                </c:pt>
                <c:pt idx="1">
                  <c:v>4.4000000000000004</c:v>
                </c:pt>
                <c:pt idx="2">
                  <c:v>79.7</c:v>
                </c:pt>
                <c:pt idx="3">
                  <c:v>112.4</c:v>
                </c:pt>
                <c:pt idx="4">
                  <c:v>47.4</c:v>
                </c:pt>
                <c:pt idx="5">
                  <c:v>1.9</c:v>
                </c:pt>
                <c:pt idx="6">
                  <c:v>19.100000000000001</c:v>
                </c:pt>
                <c:pt idx="7">
                  <c:v>44.2</c:v>
                </c:pt>
                <c:pt idx="8">
                  <c:v>175.9</c:v>
                </c:pt>
                <c:pt idx="9">
                  <c:v>25.9</c:v>
                </c:pt>
                <c:pt idx="10">
                  <c:v>55.6</c:v>
                </c:pt>
              </c:numCache>
            </c:numRef>
          </c:val>
          <c:smooth val="1"/>
          <c:extLst xmlns:c16r2="http://schemas.microsoft.com/office/drawing/2015/06/chart">
            <c:ext xmlns:c16="http://schemas.microsoft.com/office/drawing/2014/chart" uri="{C3380CC4-5D6E-409C-BE32-E72D297353CC}">
              <c16:uniqueId val="{00000001-9F1A-49D1-A599-D4CEFD4FFF0B}"/>
            </c:ext>
          </c:extLst>
        </c:ser>
        <c:dLbls>
          <c:showLegendKey val="0"/>
          <c:showVal val="0"/>
          <c:showCatName val="0"/>
          <c:showSerName val="0"/>
          <c:showPercent val="0"/>
          <c:showBubbleSize val="0"/>
        </c:dLbls>
        <c:smooth val="0"/>
        <c:axId val="-869461328"/>
        <c:axId val="-869476560"/>
      </c:lineChart>
      <c:catAx>
        <c:axId val="-8694613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76560"/>
        <c:crosses val="autoZero"/>
        <c:auto val="1"/>
        <c:lblAlgn val="ctr"/>
        <c:lblOffset val="100"/>
        <c:noMultiLvlLbl val="0"/>
      </c:catAx>
      <c:valAx>
        <c:axId val="-869476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61328"/>
        <c:crosses val="autoZero"/>
        <c:crossBetween val="between"/>
      </c:valAx>
      <c:spPr>
        <a:noFill/>
        <a:ln>
          <a:noFill/>
        </a:ln>
        <a:effectLst/>
      </c:spPr>
    </c:plotArea>
    <c:legend>
      <c:legendPos val="b"/>
      <c:layout>
        <c:manualLayout>
          <c:xMode val="edge"/>
          <c:yMode val="edge"/>
          <c:x val="0.26919961320624397"/>
          <c:y val="0.86539182602174725"/>
          <c:w val="0.46160077358751211"/>
          <c:h val="0.11937007874015748"/>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'SurEste 2018'!$A$316</c:f>
              <c:strCache>
                <c:ptCount val="1"/>
                <c:pt idx="0">
                  <c:v>D. Prec (%)</c:v>
                </c:pt>
              </c:strCache>
            </c:strRef>
          </c:tx>
          <c:spPr>
            <a:solidFill>
              <a:srgbClr val="FF0000"/>
            </a:solidFill>
            <a:ln>
              <a:noFill/>
            </a:ln>
            <a:effectLst/>
          </c:spPr>
          <c:invertIfNegative val="0"/>
          <c:dPt>
            <c:idx val="0"/>
            <c:invertIfNegative val="0"/>
            <c:bubble3D val="0"/>
            <c:spPr>
              <a:solidFill>
                <a:srgbClr val="FF0000"/>
              </a:solidFill>
              <a:ln>
                <a:noFill/>
              </a:ln>
              <a:effectLst/>
            </c:spPr>
            <c:extLst xmlns:c16r2="http://schemas.microsoft.com/office/drawing/2015/06/chart">
              <c:ext xmlns:c16="http://schemas.microsoft.com/office/drawing/2014/chart" uri="{C3380CC4-5D6E-409C-BE32-E72D297353CC}">
                <c16:uniqueId val="{00000001-8E58-4D1B-BBB5-D79AC3D6C3AE}"/>
              </c:ext>
            </c:extLst>
          </c:dPt>
          <c:dPt>
            <c:idx val="2"/>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2-8E58-4D1B-BBB5-D79AC3D6C3AE}"/>
              </c:ext>
            </c:extLst>
          </c:dPt>
          <c:dPt>
            <c:idx val="3"/>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5-F99C-47CB-A4DF-461532137429}"/>
              </c:ext>
            </c:extLst>
          </c:dPt>
          <c:dPt>
            <c:idx val="8"/>
            <c:invertIfNegative val="0"/>
            <c:bubble3D val="0"/>
            <c:spPr>
              <a:solidFill>
                <a:srgbClr val="0066FF"/>
              </a:solidFill>
              <a:ln>
                <a:noFill/>
              </a:ln>
              <a:effectLst/>
            </c:spPr>
            <c:extLst xmlns:c16r2="http://schemas.microsoft.com/office/drawing/2015/06/chart">
              <c:ext xmlns:c16="http://schemas.microsoft.com/office/drawing/2014/chart" uri="{C3380CC4-5D6E-409C-BE32-E72D297353CC}">
                <c16:uniqueId val="{00000007-F99C-47CB-A4DF-461532137429}"/>
              </c:ext>
            </c:extLst>
          </c:dPt>
          <c:dLbls>
            <c:dLbl>
              <c:idx val="10"/>
              <c:layout>
                <c:manualLayout>
                  <c:x val="-1.2731334408019992E-16"/>
                  <c:y val="-6.20155038759689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141-479E-8BCF-E6246A23445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'SurEste 2018'!$B$313:$M$313</c:f>
              <c:strCache>
                <c:ptCount val="12"/>
                <c:pt idx="0">
                  <c:v>Ene</c:v>
                </c:pt>
                <c:pt idx="1">
                  <c:v>Feb</c:v>
                </c:pt>
                <c:pt idx="2">
                  <c:v>Mar</c:v>
                </c:pt>
                <c:pt idx="3">
                  <c:v>Abr</c:v>
                </c:pt>
                <c:pt idx="4">
                  <c:v>May</c:v>
                </c:pt>
                <c:pt idx="5">
                  <c:v>Jun</c:v>
                </c:pt>
                <c:pt idx="6">
                  <c:v>Jul</c:v>
                </c:pt>
                <c:pt idx="7">
                  <c:v>Ago</c:v>
                </c:pt>
                <c:pt idx="8">
                  <c:v>Sep</c:v>
                </c:pt>
                <c:pt idx="9">
                  <c:v>Oct</c:v>
                </c:pt>
                <c:pt idx="10">
                  <c:v>Nov</c:v>
                </c:pt>
                <c:pt idx="11">
                  <c:v>Dic</c:v>
                </c:pt>
              </c:strCache>
            </c:strRef>
          </c:cat>
          <c:val>
            <c:numRef>
              <c:f>'SurEste 2018'!$B$316:$M$316</c:f>
              <c:numCache>
                <c:formatCode>0.0</c:formatCode>
                <c:ptCount val="12"/>
                <c:pt idx="0">
                  <c:v>-55.688622754491014</c:v>
                </c:pt>
                <c:pt idx="1">
                  <c:v>-85.942492012779553</c:v>
                </c:pt>
                <c:pt idx="2">
                  <c:v>47.319778188539743</c:v>
                </c:pt>
                <c:pt idx="3">
                  <c:v>35.258724428399532</c:v>
                </c:pt>
                <c:pt idx="4">
                  <c:v>-63.112840466926066</c:v>
                </c:pt>
                <c:pt idx="5">
                  <c:v>-95.550351288056206</c:v>
                </c:pt>
                <c:pt idx="6">
                  <c:v>-21.074380165289249</c:v>
                </c:pt>
                <c:pt idx="7">
                  <c:v>-22.456140350877188</c:v>
                </c:pt>
                <c:pt idx="8">
                  <c:v>88.936627282491969</c:v>
                </c:pt>
                <c:pt idx="9">
                  <c:v>-72.765509989484741</c:v>
                </c:pt>
                <c:pt idx="10">
                  <c:v>-3.9723661485319468</c:v>
                </c:pt>
              </c:numCache>
            </c:numRef>
          </c:val>
          <c:extLst xmlns:c16r2="http://schemas.microsoft.com/office/drawing/2015/06/chart">
            <c:ext xmlns:c16="http://schemas.microsoft.com/office/drawing/2014/chart" uri="{C3380CC4-5D6E-409C-BE32-E72D297353CC}">
              <c16:uniqueId val="{00000000-8E58-4D1B-BBB5-D79AC3D6C3AE}"/>
            </c:ext>
          </c:extLst>
        </c:ser>
        <c:dLbls>
          <c:showLegendKey val="0"/>
          <c:showVal val="0"/>
          <c:showCatName val="0"/>
          <c:showSerName val="0"/>
          <c:showPercent val="0"/>
          <c:showBubbleSize val="0"/>
        </c:dLbls>
        <c:gapWidth val="219"/>
        <c:overlap val="-27"/>
        <c:axId val="-869473296"/>
        <c:axId val="-869459696"/>
      </c:barChart>
      <c:catAx>
        <c:axId val="-869473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59696"/>
        <c:crosses val="autoZero"/>
        <c:auto val="1"/>
        <c:lblAlgn val="ctr"/>
        <c:lblOffset val="100"/>
        <c:noMultiLvlLbl val="0"/>
      </c:catAx>
      <c:valAx>
        <c:axId val="-869459696"/>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s-DO"/>
          </a:p>
        </c:txPr>
        <c:crossAx val="-8694732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withinLinearReversed" id="26">
  <a:schemeClr val="accent6"/>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9">
  <a:schemeClr val="accent6"/>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withinLinearReversed" id="26">
  <a:schemeClr val="accent6"/>
</cs:colorStyle>
</file>

<file path=word/charts/colors23.xml><?xml version="1.0" encoding="utf-8"?>
<cs:colorStyle xmlns:cs="http://schemas.microsoft.com/office/drawing/2012/chartStyle" xmlns:a="http://schemas.openxmlformats.org/drawingml/2006/main" meth="withinLinearReversed" id="26">
  <a:schemeClr val="accent6"/>
</cs:colorStyle>
</file>

<file path=word/charts/colors2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withinLinearReversed" id="23">
  <a:schemeClr val="accent3"/>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withinLinearReversed" id="23">
  <a:schemeClr val="accent3"/>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9.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0.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0.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2.xml><?xml version="1.0" encoding="utf-8"?>
<cs:chartStyle xmlns:cs="http://schemas.microsoft.com/office/drawing/2012/chartStyle" xmlns:a="http://schemas.openxmlformats.org/drawingml/2006/main" id="10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5.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738C48-4A42-4248-AFCA-D76A264BCA68}" type="doc">
      <dgm:prSet loTypeId="urn:microsoft.com/office/officeart/2005/8/layout/radial6" loCatId="cycle" qsTypeId="urn:microsoft.com/office/officeart/2005/8/quickstyle/simple5" qsCatId="simple" csTypeId="urn:microsoft.com/office/officeart/2005/8/colors/colorful5" csCatId="colorful" phldr="1"/>
      <dgm:spPr/>
      <dgm:t>
        <a:bodyPr/>
        <a:lstStyle/>
        <a:p>
          <a:endParaRPr lang="es-DO"/>
        </a:p>
      </dgm:t>
    </dgm:pt>
    <dgm:pt modelId="{FFD15126-190F-4E4C-8C85-8E506FBD2759}">
      <dgm:prSet phldrT="[Texto]"/>
      <dgm:spPr>
        <a:solidFill>
          <a:srgbClr val="C00000"/>
        </a:solidFill>
      </dgm:spPr>
      <dgm:t>
        <a:bodyPr/>
        <a:lstStyle/>
        <a:p>
          <a:r>
            <a:rPr lang="es-DO">
              <a:latin typeface="Times New Roman" panose="02020603050405020304" pitchFamily="18" charset="0"/>
              <a:cs typeface="Times New Roman" panose="02020603050405020304" pitchFamily="18" charset="0"/>
            </a:rPr>
            <a:t>Plan Estrategico Visión 2050</a:t>
          </a:r>
        </a:p>
      </dgm:t>
    </dgm:pt>
    <dgm:pt modelId="{3158DAF2-1D0C-45F6-9797-A594CE8CB934}" type="parTrans" cxnId="{CD37F59D-6135-43D4-A7F5-B3E222ECE232}">
      <dgm:prSet/>
      <dgm:spPr/>
      <dgm:t>
        <a:bodyPr/>
        <a:lstStyle/>
        <a:p>
          <a:endParaRPr lang="es-DO">
            <a:latin typeface="Times New Roman" panose="02020603050405020304" pitchFamily="18" charset="0"/>
            <a:cs typeface="Times New Roman" panose="02020603050405020304" pitchFamily="18" charset="0"/>
          </a:endParaRPr>
        </a:p>
      </dgm:t>
    </dgm:pt>
    <dgm:pt modelId="{DE564337-EF3A-47EF-B769-27FD9265A03B}" type="sibTrans" cxnId="{CD37F59D-6135-43D4-A7F5-B3E222ECE232}">
      <dgm:prSet/>
      <dgm:spPr/>
      <dgm:t>
        <a:bodyPr/>
        <a:lstStyle/>
        <a:p>
          <a:endParaRPr lang="es-DO">
            <a:latin typeface="Times New Roman" panose="02020603050405020304" pitchFamily="18" charset="0"/>
            <a:cs typeface="Times New Roman" panose="02020603050405020304" pitchFamily="18" charset="0"/>
          </a:endParaRPr>
        </a:p>
      </dgm:t>
    </dgm:pt>
    <dgm:pt modelId="{6E5472A5-5972-4ED2-9420-D500033027AC}">
      <dgm:prSet phldrT="[Texto]"/>
      <dgm:spPr/>
      <dgm:t>
        <a:bodyPr/>
        <a:lstStyle/>
        <a:p>
          <a:r>
            <a:rPr lang="es-DO">
              <a:latin typeface="Times New Roman" panose="02020603050405020304" pitchFamily="18" charset="0"/>
              <a:cs typeface="Times New Roman" panose="02020603050405020304" pitchFamily="18" charset="0"/>
            </a:rPr>
            <a:t>Eje 1</a:t>
          </a:r>
        </a:p>
      </dgm:t>
    </dgm:pt>
    <dgm:pt modelId="{40E6B3F5-F88E-450D-A8F1-6BB4C657E0C3}" type="parTrans" cxnId="{EA0BC267-5FEF-482F-B4B6-66E9ABE833C0}">
      <dgm:prSet/>
      <dgm:spPr/>
      <dgm:t>
        <a:bodyPr/>
        <a:lstStyle/>
        <a:p>
          <a:endParaRPr lang="es-DO">
            <a:latin typeface="Times New Roman" panose="02020603050405020304" pitchFamily="18" charset="0"/>
            <a:cs typeface="Times New Roman" panose="02020603050405020304" pitchFamily="18" charset="0"/>
          </a:endParaRPr>
        </a:p>
      </dgm:t>
    </dgm:pt>
    <dgm:pt modelId="{91A2991E-BF70-4F8E-9CD4-20009CEE5A06}" type="sibTrans" cxnId="{EA0BC267-5FEF-482F-B4B6-66E9ABE833C0}">
      <dgm:prSet/>
      <dgm:spPr/>
      <dgm:t>
        <a:bodyPr/>
        <a:lstStyle/>
        <a:p>
          <a:endParaRPr lang="es-DO">
            <a:latin typeface="Times New Roman" panose="02020603050405020304" pitchFamily="18" charset="0"/>
            <a:cs typeface="Times New Roman" panose="02020603050405020304" pitchFamily="18" charset="0"/>
          </a:endParaRPr>
        </a:p>
      </dgm:t>
    </dgm:pt>
    <dgm:pt modelId="{3033A533-69E0-435C-8C93-A76A4AE16B9C}">
      <dgm:prSet phldrT="[Texto]"/>
      <dgm:spPr>
        <a:solidFill>
          <a:srgbClr val="00C805"/>
        </a:solidFill>
      </dgm:spPr>
      <dgm:t>
        <a:bodyPr/>
        <a:lstStyle/>
        <a:p>
          <a:r>
            <a:rPr lang="es-DO">
              <a:latin typeface="Times New Roman" panose="02020603050405020304" pitchFamily="18" charset="0"/>
              <a:cs typeface="Times New Roman" panose="02020603050405020304" pitchFamily="18" charset="0"/>
            </a:rPr>
            <a:t>Eje 2</a:t>
          </a:r>
        </a:p>
      </dgm:t>
    </dgm:pt>
    <dgm:pt modelId="{D0A20832-F5A2-4318-87C2-3E14C7687D83}" type="parTrans" cxnId="{09751E3B-C5B2-4267-B8F0-B7EFB410A4BC}">
      <dgm:prSet/>
      <dgm:spPr/>
      <dgm:t>
        <a:bodyPr/>
        <a:lstStyle/>
        <a:p>
          <a:endParaRPr lang="es-DO">
            <a:latin typeface="Times New Roman" panose="02020603050405020304" pitchFamily="18" charset="0"/>
            <a:cs typeface="Times New Roman" panose="02020603050405020304" pitchFamily="18" charset="0"/>
          </a:endParaRPr>
        </a:p>
      </dgm:t>
    </dgm:pt>
    <dgm:pt modelId="{C3919751-2065-4096-B242-9992737AAD10}" type="sibTrans" cxnId="{09751E3B-C5B2-4267-B8F0-B7EFB410A4BC}">
      <dgm:prSet/>
      <dgm:spPr/>
      <dgm:t>
        <a:bodyPr/>
        <a:lstStyle/>
        <a:p>
          <a:endParaRPr lang="es-DO">
            <a:latin typeface="Times New Roman" panose="02020603050405020304" pitchFamily="18" charset="0"/>
            <a:cs typeface="Times New Roman" panose="02020603050405020304" pitchFamily="18" charset="0"/>
          </a:endParaRPr>
        </a:p>
      </dgm:t>
    </dgm:pt>
    <dgm:pt modelId="{E4236DC3-BD54-46D8-955F-73472EE6A779}">
      <dgm:prSet phldrT="[Texto]"/>
      <dgm:spPr>
        <a:solidFill>
          <a:schemeClr val="accent1"/>
        </a:solidFill>
      </dgm:spPr>
      <dgm:t>
        <a:bodyPr/>
        <a:lstStyle/>
        <a:p>
          <a:r>
            <a:rPr lang="es-DO">
              <a:latin typeface="Times New Roman" panose="02020603050405020304" pitchFamily="18" charset="0"/>
              <a:cs typeface="Times New Roman" panose="02020603050405020304" pitchFamily="18" charset="0"/>
            </a:rPr>
            <a:t>Eje 3</a:t>
          </a:r>
        </a:p>
      </dgm:t>
    </dgm:pt>
    <dgm:pt modelId="{9CD970C1-7EFD-4722-ACA5-7C1026A2A6B8}" type="parTrans" cxnId="{3FD668CC-EA50-40A0-9791-192A5AA73EE1}">
      <dgm:prSet/>
      <dgm:spPr/>
      <dgm:t>
        <a:bodyPr/>
        <a:lstStyle/>
        <a:p>
          <a:endParaRPr lang="es-DO">
            <a:latin typeface="Times New Roman" panose="02020603050405020304" pitchFamily="18" charset="0"/>
            <a:cs typeface="Times New Roman" panose="02020603050405020304" pitchFamily="18" charset="0"/>
          </a:endParaRPr>
        </a:p>
      </dgm:t>
    </dgm:pt>
    <dgm:pt modelId="{249D752B-A0E7-4E3D-9D60-8FAFEE4DBE0C}" type="sibTrans" cxnId="{3FD668CC-EA50-40A0-9791-192A5AA73EE1}">
      <dgm:prSet/>
      <dgm:spPr>
        <a:solidFill>
          <a:schemeClr val="accent1"/>
        </a:solidFill>
      </dgm:spPr>
      <dgm:t>
        <a:bodyPr/>
        <a:lstStyle/>
        <a:p>
          <a:endParaRPr lang="es-DO">
            <a:latin typeface="Times New Roman" panose="02020603050405020304" pitchFamily="18" charset="0"/>
            <a:cs typeface="Times New Roman" panose="02020603050405020304" pitchFamily="18" charset="0"/>
          </a:endParaRPr>
        </a:p>
      </dgm:t>
    </dgm:pt>
    <dgm:pt modelId="{659D3C82-D937-4687-9B50-9455DC5D4F28}">
      <dgm:prSet phldrT="[Texto]"/>
      <dgm:spPr/>
      <dgm:t>
        <a:bodyPr/>
        <a:lstStyle/>
        <a:p>
          <a:r>
            <a:rPr lang="es-DO">
              <a:latin typeface="Times New Roman" panose="02020603050405020304" pitchFamily="18" charset="0"/>
              <a:cs typeface="Times New Roman" panose="02020603050405020304" pitchFamily="18" charset="0"/>
            </a:rPr>
            <a:t>Eje 4</a:t>
          </a:r>
        </a:p>
      </dgm:t>
    </dgm:pt>
    <dgm:pt modelId="{81EE0FF7-61AD-4D45-A2DD-6E831AAD1D56}" type="parTrans" cxnId="{5040DB31-1F58-4148-A444-EB30936D49A1}">
      <dgm:prSet/>
      <dgm:spPr/>
      <dgm:t>
        <a:bodyPr/>
        <a:lstStyle/>
        <a:p>
          <a:endParaRPr lang="es-DO">
            <a:latin typeface="Times New Roman" panose="02020603050405020304" pitchFamily="18" charset="0"/>
            <a:cs typeface="Times New Roman" panose="02020603050405020304" pitchFamily="18" charset="0"/>
          </a:endParaRPr>
        </a:p>
      </dgm:t>
    </dgm:pt>
    <dgm:pt modelId="{26902B7F-9D19-458F-A957-2912E13DCC89}" type="sibTrans" cxnId="{5040DB31-1F58-4148-A444-EB30936D49A1}">
      <dgm:prSet/>
      <dgm:spPr/>
      <dgm:t>
        <a:bodyPr/>
        <a:lstStyle/>
        <a:p>
          <a:endParaRPr lang="es-DO">
            <a:latin typeface="Times New Roman" panose="02020603050405020304" pitchFamily="18" charset="0"/>
            <a:cs typeface="Times New Roman" panose="02020603050405020304" pitchFamily="18" charset="0"/>
          </a:endParaRPr>
        </a:p>
      </dgm:t>
    </dgm:pt>
    <dgm:pt modelId="{EDC3F316-A34C-4D3F-9BFF-FEC70E0700B5}">
      <dgm:prSet/>
      <dgm:spPr>
        <a:solidFill>
          <a:schemeClr val="accent4"/>
        </a:solidFill>
      </dgm:spPr>
      <dgm:t>
        <a:bodyPr/>
        <a:lstStyle/>
        <a:p>
          <a:r>
            <a:rPr lang="es-DO"/>
            <a:t>Eje 5</a:t>
          </a:r>
        </a:p>
      </dgm:t>
    </dgm:pt>
    <dgm:pt modelId="{2B94E4EE-7EBE-49F2-A63D-34ED4B3C5720}" type="parTrans" cxnId="{1845FCD2-F880-450A-9F36-1A829F2F607E}">
      <dgm:prSet/>
      <dgm:spPr/>
      <dgm:t>
        <a:bodyPr/>
        <a:lstStyle/>
        <a:p>
          <a:endParaRPr lang="es-DO"/>
        </a:p>
      </dgm:t>
    </dgm:pt>
    <dgm:pt modelId="{97CC362E-AFC1-4CC1-9041-D43AF0096AB9}" type="sibTrans" cxnId="{1845FCD2-F880-450A-9F36-1A829F2F607E}">
      <dgm:prSet/>
      <dgm:spPr>
        <a:solidFill>
          <a:schemeClr val="accent4"/>
        </a:solidFill>
      </dgm:spPr>
      <dgm:t>
        <a:bodyPr/>
        <a:lstStyle/>
        <a:p>
          <a:endParaRPr lang="es-DO"/>
        </a:p>
      </dgm:t>
    </dgm:pt>
    <dgm:pt modelId="{861E925A-703D-4C4D-AA51-F8BB349CC40D}">
      <dgm:prSet/>
      <dgm:spPr/>
      <dgm:t>
        <a:bodyPr/>
        <a:lstStyle/>
        <a:p>
          <a:r>
            <a:rPr lang="es-DO"/>
            <a:t>Eje 6</a:t>
          </a:r>
        </a:p>
      </dgm:t>
    </dgm:pt>
    <dgm:pt modelId="{19E79700-DEED-4B14-9E18-472F6508DF2F}" type="parTrans" cxnId="{5AC7A97E-240C-41D5-8688-D95190785F8A}">
      <dgm:prSet/>
      <dgm:spPr/>
      <dgm:t>
        <a:bodyPr/>
        <a:lstStyle/>
        <a:p>
          <a:endParaRPr lang="es-DO"/>
        </a:p>
      </dgm:t>
    </dgm:pt>
    <dgm:pt modelId="{11F585E7-FD88-488A-B4F8-EA4A3D819998}" type="sibTrans" cxnId="{5AC7A97E-240C-41D5-8688-D95190785F8A}">
      <dgm:prSet/>
      <dgm:spPr/>
      <dgm:t>
        <a:bodyPr/>
        <a:lstStyle/>
        <a:p>
          <a:endParaRPr lang="es-DO"/>
        </a:p>
      </dgm:t>
    </dgm:pt>
    <dgm:pt modelId="{040AAB63-1C3E-4E78-BAA0-CA5D031189A0}" type="pres">
      <dgm:prSet presAssocID="{D3738C48-4A42-4248-AFCA-D76A264BCA68}" presName="Name0" presStyleCnt="0">
        <dgm:presLayoutVars>
          <dgm:chMax val="1"/>
          <dgm:dir/>
          <dgm:animLvl val="ctr"/>
          <dgm:resizeHandles val="exact"/>
        </dgm:presLayoutVars>
      </dgm:prSet>
      <dgm:spPr/>
      <dgm:t>
        <a:bodyPr/>
        <a:lstStyle/>
        <a:p>
          <a:endParaRPr lang="es-ES"/>
        </a:p>
      </dgm:t>
    </dgm:pt>
    <dgm:pt modelId="{296265C6-25CA-45B1-9183-7FEF3685AB2A}" type="pres">
      <dgm:prSet presAssocID="{FFD15126-190F-4E4C-8C85-8E506FBD2759}" presName="centerShape" presStyleLbl="node0" presStyleIdx="0" presStyleCnt="1"/>
      <dgm:spPr/>
      <dgm:t>
        <a:bodyPr/>
        <a:lstStyle/>
        <a:p>
          <a:endParaRPr lang="es-ES"/>
        </a:p>
      </dgm:t>
    </dgm:pt>
    <dgm:pt modelId="{EA4C318B-B7C2-4DC1-B36D-F9FD3920F090}" type="pres">
      <dgm:prSet presAssocID="{6E5472A5-5972-4ED2-9420-D500033027AC}" presName="node" presStyleLbl="node1" presStyleIdx="0" presStyleCnt="6">
        <dgm:presLayoutVars>
          <dgm:bulletEnabled val="1"/>
        </dgm:presLayoutVars>
      </dgm:prSet>
      <dgm:spPr/>
      <dgm:t>
        <a:bodyPr/>
        <a:lstStyle/>
        <a:p>
          <a:endParaRPr lang="es-ES"/>
        </a:p>
      </dgm:t>
    </dgm:pt>
    <dgm:pt modelId="{588F75CE-12EA-4C16-A2C4-DD0B0E4E4635}" type="pres">
      <dgm:prSet presAssocID="{6E5472A5-5972-4ED2-9420-D500033027AC}" presName="dummy" presStyleCnt="0"/>
      <dgm:spPr/>
    </dgm:pt>
    <dgm:pt modelId="{AC02933B-C87B-40BE-941F-BE809A77547C}" type="pres">
      <dgm:prSet presAssocID="{91A2991E-BF70-4F8E-9CD4-20009CEE5A06}" presName="sibTrans" presStyleLbl="sibTrans2D1" presStyleIdx="0" presStyleCnt="6"/>
      <dgm:spPr/>
      <dgm:t>
        <a:bodyPr/>
        <a:lstStyle/>
        <a:p>
          <a:endParaRPr lang="es-ES"/>
        </a:p>
      </dgm:t>
    </dgm:pt>
    <dgm:pt modelId="{64E6D2E7-203D-4E14-81DA-6483DBB62F62}" type="pres">
      <dgm:prSet presAssocID="{3033A533-69E0-435C-8C93-A76A4AE16B9C}" presName="node" presStyleLbl="node1" presStyleIdx="1" presStyleCnt="6">
        <dgm:presLayoutVars>
          <dgm:bulletEnabled val="1"/>
        </dgm:presLayoutVars>
      </dgm:prSet>
      <dgm:spPr/>
      <dgm:t>
        <a:bodyPr/>
        <a:lstStyle/>
        <a:p>
          <a:endParaRPr lang="es-ES"/>
        </a:p>
      </dgm:t>
    </dgm:pt>
    <dgm:pt modelId="{F4E7FDEE-47BE-44AF-AA28-5C322A6B181E}" type="pres">
      <dgm:prSet presAssocID="{3033A533-69E0-435C-8C93-A76A4AE16B9C}" presName="dummy" presStyleCnt="0"/>
      <dgm:spPr/>
    </dgm:pt>
    <dgm:pt modelId="{B1C4A1B9-689A-4BBF-B697-8B3B75D47FFB}" type="pres">
      <dgm:prSet presAssocID="{C3919751-2065-4096-B242-9992737AAD10}" presName="sibTrans" presStyleLbl="sibTrans2D1" presStyleIdx="1" presStyleCnt="6"/>
      <dgm:spPr/>
      <dgm:t>
        <a:bodyPr/>
        <a:lstStyle/>
        <a:p>
          <a:endParaRPr lang="es-ES"/>
        </a:p>
      </dgm:t>
    </dgm:pt>
    <dgm:pt modelId="{6CA0157E-F6B9-4B9E-AF78-0689713E675C}" type="pres">
      <dgm:prSet presAssocID="{E4236DC3-BD54-46D8-955F-73472EE6A779}" presName="node" presStyleLbl="node1" presStyleIdx="2" presStyleCnt="6">
        <dgm:presLayoutVars>
          <dgm:bulletEnabled val="1"/>
        </dgm:presLayoutVars>
      </dgm:prSet>
      <dgm:spPr/>
      <dgm:t>
        <a:bodyPr/>
        <a:lstStyle/>
        <a:p>
          <a:endParaRPr lang="es-ES"/>
        </a:p>
      </dgm:t>
    </dgm:pt>
    <dgm:pt modelId="{1B127332-3037-4D42-A774-9BA26575ECFB}" type="pres">
      <dgm:prSet presAssocID="{E4236DC3-BD54-46D8-955F-73472EE6A779}" presName="dummy" presStyleCnt="0"/>
      <dgm:spPr/>
    </dgm:pt>
    <dgm:pt modelId="{EA3D4BC8-0E03-4BE2-BCBC-F4549DA0826D}" type="pres">
      <dgm:prSet presAssocID="{249D752B-A0E7-4E3D-9D60-8FAFEE4DBE0C}" presName="sibTrans" presStyleLbl="sibTrans2D1" presStyleIdx="2" presStyleCnt="6"/>
      <dgm:spPr/>
      <dgm:t>
        <a:bodyPr/>
        <a:lstStyle/>
        <a:p>
          <a:endParaRPr lang="es-ES"/>
        </a:p>
      </dgm:t>
    </dgm:pt>
    <dgm:pt modelId="{837C83F4-C4FF-49BC-8E7B-03A1911978C4}" type="pres">
      <dgm:prSet presAssocID="{659D3C82-D937-4687-9B50-9455DC5D4F28}" presName="node" presStyleLbl="node1" presStyleIdx="3" presStyleCnt="6">
        <dgm:presLayoutVars>
          <dgm:bulletEnabled val="1"/>
        </dgm:presLayoutVars>
      </dgm:prSet>
      <dgm:spPr/>
      <dgm:t>
        <a:bodyPr/>
        <a:lstStyle/>
        <a:p>
          <a:endParaRPr lang="es-ES"/>
        </a:p>
      </dgm:t>
    </dgm:pt>
    <dgm:pt modelId="{8A23C9AF-ACA0-4415-A8AB-608C50D5C565}" type="pres">
      <dgm:prSet presAssocID="{659D3C82-D937-4687-9B50-9455DC5D4F28}" presName="dummy" presStyleCnt="0"/>
      <dgm:spPr/>
    </dgm:pt>
    <dgm:pt modelId="{FBE88F7F-2944-4241-A645-FA14540C2909}" type="pres">
      <dgm:prSet presAssocID="{26902B7F-9D19-458F-A957-2912E13DCC89}" presName="sibTrans" presStyleLbl="sibTrans2D1" presStyleIdx="3" presStyleCnt="6"/>
      <dgm:spPr/>
      <dgm:t>
        <a:bodyPr/>
        <a:lstStyle/>
        <a:p>
          <a:endParaRPr lang="es-ES"/>
        </a:p>
      </dgm:t>
    </dgm:pt>
    <dgm:pt modelId="{B19EC9B0-A49E-4A62-A6BE-A21F83B5A575}" type="pres">
      <dgm:prSet presAssocID="{EDC3F316-A34C-4D3F-9BFF-FEC70E0700B5}" presName="node" presStyleLbl="node1" presStyleIdx="4" presStyleCnt="6">
        <dgm:presLayoutVars>
          <dgm:bulletEnabled val="1"/>
        </dgm:presLayoutVars>
      </dgm:prSet>
      <dgm:spPr/>
      <dgm:t>
        <a:bodyPr/>
        <a:lstStyle/>
        <a:p>
          <a:endParaRPr lang="es-ES"/>
        </a:p>
      </dgm:t>
    </dgm:pt>
    <dgm:pt modelId="{42A01E6D-44F2-4D26-B1BE-D7DB761CC73A}" type="pres">
      <dgm:prSet presAssocID="{EDC3F316-A34C-4D3F-9BFF-FEC70E0700B5}" presName="dummy" presStyleCnt="0"/>
      <dgm:spPr/>
    </dgm:pt>
    <dgm:pt modelId="{3D30672D-5B76-4AB1-99ED-8D27D4CBD685}" type="pres">
      <dgm:prSet presAssocID="{97CC362E-AFC1-4CC1-9041-D43AF0096AB9}" presName="sibTrans" presStyleLbl="sibTrans2D1" presStyleIdx="4" presStyleCnt="6"/>
      <dgm:spPr/>
      <dgm:t>
        <a:bodyPr/>
        <a:lstStyle/>
        <a:p>
          <a:endParaRPr lang="es-ES"/>
        </a:p>
      </dgm:t>
    </dgm:pt>
    <dgm:pt modelId="{1DA418DE-92C5-4AA3-B43B-54617AE5B0A8}" type="pres">
      <dgm:prSet presAssocID="{861E925A-703D-4C4D-AA51-F8BB349CC40D}" presName="node" presStyleLbl="node1" presStyleIdx="5" presStyleCnt="6">
        <dgm:presLayoutVars>
          <dgm:bulletEnabled val="1"/>
        </dgm:presLayoutVars>
      </dgm:prSet>
      <dgm:spPr/>
      <dgm:t>
        <a:bodyPr/>
        <a:lstStyle/>
        <a:p>
          <a:endParaRPr lang="es-ES"/>
        </a:p>
      </dgm:t>
    </dgm:pt>
    <dgm:pt modelId="{0EC9122C-6F5D-46FB-94C0-55568BD49A4E}" type="pres">
      <dgm:prSet presAssocID="{861E925A-703D-4C4D-AA51-F8BB349CC40D}" presName="dummy" presStyleCnt="0"/>
      <dgm:spPr/>
    </dgm:pt>
    <dgm:pt modelId="{07C468E6-C704-4A6F-A23F-94B2D4F2B3AE}" type="pres">
      <dgm:prSet presAssocID="{11F585E7-FD88-488A-B4F8-EA4A3D819998}" presName="sibTrans" presStyleLbl="sibTrans2D1" presStyleIdx="5" presStyleCnt="6"/>
      <dgm:spPr/>
      <dgm:t>
        <a:bodyPr/>
        <a:lstStyle/>
        <a:p>
          <a:endParaRPr lang="es-ES"/>
        </a:p>
      </dgm:t>
    </dgm:pt>
  </dgm:ptLst>
  <dgm:cxnLst>
    <dgm:cxn modelId="{6F5CD936-D109-422C-9D25-B6BD8177C346}" type="presOf" srcId="{659D3C82-D937-4687-9B50-9455DC5D4F28}" destId="{837C83F4-C4FF-49BC-8E7B-03A1911978C4}" srcOrd="0" destOrd="0" presId="urn:microsoft.com/office/officeart/2005/8/layout/radial6"/>
    <dgm:cxn modelId="{09751E3B-C5B2-4267-B8F0-B7EFB410A4BC}" srcId="{FFD15126-190F-4E4C-8C85-8E506FBD2759}" destId="{3033A533-69E0-435C-8C93-A76A4AE16B9C}" srcOrd="1" destOrd="0" parTransId="{D0A20832-F5A2-4318-87C2-3E14C7687D83}" sibTransId="{C3919751-2065-4096-B242-9992737AAD10}"/>
    <dgm:cxn modelId="{A724B27A-28BE-4F79-9EFE-AD962EF079E3}" type="presOf" srcId="{26902B7F-9D19-458F-A957-2912E13DCC89}" destId="{FBE88F7F-2944-4241-A645-FA14540C2909}" srcOrd="0" destOrd="0" presId="urn:microsoft.com/office/officeart/2005/8/layout/radial6"/>
    <dgm:cxn modelId="{7E974EC3-1DAF-463D-A83B-E373C8C0DEA3}" type="presOf" srcId="{E4236DC3-BD54-46D8-955F-73472EE6A779}" destId="{6CA0157E-F6B9-4B9E-AF78-0689713E675C}" srcOrd="0" destOrd="0" presId="urn:microsoft.com/office/officeart/2005/8/layout/radial6"/>
    <dgm:cxn modelId="{5040DB31-1F58-4148-A444-EB30936D49A1}" srcId="{FFD15126-190F-4E4C-8C85-8E506FBD2759}" destId="{659D3C82-D937-4687-9B50-9455DC5D4F28}" srcOrd="3" destOrd="0" parTransId="{81EE0FF7-61AD-4D45-A2DD-6E831AAD1D56}" sibTransId="{26902B7F-9D19-458F-A957-2912E13DCC89}"/>
    <dgm:cxn modelId="{B675CA6B-4E92-44F0-A0E1-980235BAFD7B}" type="presOf" srcId="{11F585E7-FD88-488A-B4F8-EA4A3D819998}" destId="{07C468E6-C704-4A6F-A23F-94B2D4F2B3AE}" srcOrd="0" destOrd="0" presId="urn:microsoft.com/office/officeart/2005/8/layout/radial6"/>
    <dgm:cxn modelId="{EA0BC267-5FEF-482F-B4B6-66E9ABE833C0}" srcId="{FFD15126-190F-4E4C-8C85-8E506FBD2759}" destId="{6E5472A5-5972-4ED2-9420-D500033027AC}" srcOrd="0" destOrd="0" parTransId="{40E6B3F5-F88E-450D-A8F1-6BB4C657E0C3}" sibTransId="{91A2991E-BF70-4F8E-9CD4-20009CEE5A06}"/>
    <dgm:cxn modelId="{A6C6DF5D-65C5-4E1A-9E1C-13293A4DB066}" type="presOf" srcId="{D3738C48-4A42-4248-AFCA-D76A264BCA68}" destId="{040AAB63-1C3E-4E78-BAA0-CA5D031189A0}" srcOrd="0" destOrd="0" presId="urn:microsoft.com/office/officeart/2005/8/layout/radial6"/>
    <dgm:cxn modelId="{AB89BD37-C9D8-46B1-879B-F01055DC6562}" type="presOf" srcId="{3033A533-69E0-435C-8C93-A76A4AE16B9C}" destId="{64E6D2E7-203D-4E14-81DA-6483DBB62F62}" srcOrd="0" destOrd="0" presId="urn:microsoft.com/office/officeart/2005/8/layout/radial6"/>
    <dgm:cxn modelId="{B3327925-EB0E-48FC-9290-91256CC6ACF0}" type="presOf" srcId="{97CC362E-AFC1-4CC1-9041-D43AF0096AB9}" destId="{3D30672D-5B76-4AB1-99ED-8D27D4CBD685}" srcOrd="0" destOrd="0" presId="urn:microsoft.com/office/officeart/2005/8/layout/radial6"/>
    <dgm:cxn modelId="{1845FCD2-F880-450A-9F36-1A829F2F607E}" srcId="{FFD15126-190F-4E4C-8C85-8E506FBD2759}" destId="{EDC3F316-A34C-4D3F-9BFF-FEC70E0700B5}" srcOrd="4" destOrd="0" parTransId="{2B94E4EE-7EBE-49F2-A63D-34ED4B3C5720}" sibTransId="{97CC362E-AFC1-4CC1-9041-D43AF0096AB9}"/>
    <dgm:cxn modelId="{CAF380E6-DB04-4FC1-ABA0-9821E36EF8C4}" type="presOf" srcId="{249D752B-A0E7-4E3D-9D60-8FAFEE4DBE0C}" destId="{EA3D4BC8-0E03-4BE2-BCBC-F4549DA0826D}" srcOrd="0" destOrd="0" presId="urn:microsoft.com/office/officeart/2005/8/layout/radial6"/>
    <dgm:cxn modelId="{A0C96BE2-CC3C-4002-BC38-102F629D872D}" type="presOf" srcId="{FFD15126-190F-4E4C-8C85-8E506FBD2759}" destId="{296265C6-25CA-45B1-9183-7FEF3685AB2A}" srcOrd="0" destOrd="0" presId="urn:microsoft.com/office/officeart/2005/8/layout/radial6"/>
    <dgm:cxn modelId="{F97CE173-4FA4-4312-989C-7228C41C6B1D}" type="presOf" srcId="{6E5472A5-5972-4ED2-9420-D500033027AC}" destId="{EA4C318B-B7C2-4DC1-B36D-F9FD3920F090}" srcOrd="0" destOrd="0" presId="urn:microsoft.com/office/officeart/2005/8/layout/radial6"/>
    <dgm:cxn modelId="{AB0D6A29-E7E5-4EB0-A09D-61D53DCED8A7}" type="presOf" srcId="{861E925A-703D-4C4D-AA51-F8BB349CC40D}" destId="{1DA418DE-92C5-4AA3-B43B-54617AE5B0A8}" srcOrd="0" destOrd="0" presId="urn:microsoft.com/office/officeart/2005/8/layout/radial6"/>
    <dgm:cxn modelId="{3FD668CC-EA50-40A0-9791-192A5AA73EE1}" srcId="{FFD15126-190F-4E4C-8C85-8E506FBD2759}" destId="{E4236DC3-BD54-46D8-955F-73472EE6A779}" srcOrd="2" destOrd="0" parTransId="{9CD970C1-7EFD-4722-ACA5-7C1026A2A6B8}" sibTransId="{249D752B-A0E7-4E3D-9D60-8FAFEE4DBE0C}"/>
    <dgm:cxn modelId="{CD37F59D-6135-43D4-A7F5-B3E222ECE232}" srcId="{D3738C48-4A42-4248-AFCA-D76A264BCA68}" destId="{FFD15126-190F-4E4C-8C85-8E506FBD2759}" srcOrd="0" destOrd="0" parTransId="{3158DAF2-1D0C-45F6-9797-A594CE8CB934}" sibTransId="{DE564337-EF3A-47EF-B769-27FD9265A03B}"/>
    <dgm:cxn modelId="{4F322EFD-E8E9-4868-8DD2-AA8942731645}" type="presOf" srcId="{C3919751-2065-4096-B242-9992737AAD10}" destId="{B1C4A1B9-689A-4BBF-B697-8B3B75D47FFB}" srcOrd="0" destOrd="0" presId="urn:microsoft.com/office/officeart/2005/8/layout/radial6"/>
    <dgm:cxn modelId="{6267C8E2-AC11-4193-94AC-E7C54985E8E5}" type="presOf" srcId="{EDC3F316-A34C-4D3F-9BFF-FEC70E0700B5}" destId="{B19EC9B0-A49E-4A62-A6BE-A21F83B5A575}" srcOrd="0" destOrd="0" presId="urn:microsoft.com/office/officeart/2005/8/layout/radial6"/>
    <dgm:cxn modelId="{5AC7A97E-240C-41D5-8688-D95190785F8A}" srcId="{FFD15126-190F-4E4C-8C85-8E506FBD2759}" destId="{861E925A-703D-4C4D-AA51-F8BB349CC40D}" srcOrd="5" destOrd="0" parTransId="{19E79700-DEED-4B14-9E18-472F6508DF2F}" sibTransId="{11F585E7-FD88-488A-B4F8-EA4A3D819998}"/>
    <dgm:cxn modelId="{AB983E3F-8F97-4968-879B-6FAF3ADA466D}" type="presOf" srcId="{91A2991E-BF70-4F8E-9CD4-20009CEE5A06}" destId="{AC02933B-C87B-40BE-941F-BE809A77547C}" srcOrd="0" destOrd="0" presId="urn:microsoft.com/office/officeart/2005/8/layout/radial6"/>
    <dgm:cxn modelId="{4B458248-0AD1-4483-8EAF-79E5271013F9}" type="presParOf" srcId="{040AAB63-1C3E-4E78-BAA0-CA5D031189A0}" destId="{296265C6-25CA-45B1-9183-7FEF3685AB2A}" srcOrd="0" destOrd="0" presId="urn:microsoft.com/office/officeart/2005/8/layout/radial6"/>
    <dgm:cxn modelId="{A13CCB13-E5CB-4423-9C69-BDC37D3FB178}" type="presParOf" srcId="{040AAB63-1C3E-4E78-BAA0-CA5D031189A0}" destId="{EA4C318B-B7C2-4DC1-B36D-F9FD3920F090}" srcOrd="1" destOrd="0" presId="urn:microsoft.com/office/officeart/2005/8/layout/radial6"/>
    <dgm:cxn modelId="{2B27612A-B4AB-4A9D-848B-1BB315EFFEFA}" type="presParOf" srcId="{040AAB63-1C3E-4E78-BAA0-CA5D031189A0}" destId="{588F75CE-12EA-4C16-A2C4-DD0B0E4E4635}" srcOrd="2" destOrd="0" presId="urn:microsoft.com/office/officeart/2005/8/layout/radial6"/>
    <dgm:cxn modelId="{E55A29D6-E654-4870-B0BF-F6F36205205B}" type="presParOf" srcId="{040AAB63-1C3E-4E78-BAA0-CA5D031189A0}" destId="{AC02933B-C87B-40BE-941F-BE809A77547C}" srcOrd="3" destOrd="0" presId="urn:microsoft.com/office/officeart/2005/8/layout/radial6"/>
    <dgm:cxn modelId="{AC4A3E40-5F58-4B7F-BF69-4CD416C3EB38}" type="presParOf" srcId="{040AAB63-1C3E-4E78-BAA0-CA5D031189A0}" destId="{64E6D2E7-203D-4E14-81DA-6483DBB62F62}" srcOrd="4" destOrd="0" presId="urn:microsoft.com/office/officeart/2005/8/layout/radial6"/>
    <dgm:cxn modelId="{6E6ABCA5-3BC8-4EB7-8BAA-04E91DB2952C}" type="presParOf" srcId="{040AAB63-1C3E-4E78-BAA0-CA5D031189A0}" destId="{F4E7FDEE-47BE-44AF-AA28-5C322A6B181E}" srcOrd="5" destOrd="0" presId="urn:microsoft.com/office/officeart/2005/8/layout/radial6"/>
    <dgm:cxn modelId="{4768C4AC-F841-4DC3-AA34-894F5487EB8D}" type="presParOf" srcId="{040AAB63-1C3E-4E78-BAA0-CA5D031189A0}" destId="{B1C4A1B9-689A-4BBF-B697-8B3B75D47FFB}" srcOrd="6" destOrd="0" presId="urn:microsoft.com/office/officeart/2005/8/layout/radial6"/>
    <dgm:cxn modelId="{108B7596-6A11-4E07-A2ED-93C7EA3C72A9}" type="presParOf" srcId="{040AAB63-1C3E-4E78-BAA0-CA5D031189A0}" destId="{6CA0157E-F6B9-4B9E-AF78-0689713E675C}" srcOrd="7" destOrd="0" presId="urn:microsoft.com/office/officeart/2005/8/layout/radial6"/>
    <dgm:cxn modelId="{67DA999F-92DA-47DF-9E39-1D63B393005E}" type="presParOf" srcId="{040AAB63-1C3E-4E78-BAA0-CA5D031189A0}" destId="{1B127332-3037-4D42-A774-9BA26575ECFB}" srcOrd="8" destOrd="0" presId="urn:microsoft.com/office/officeart/2005/8/layout/radial6"/>
    <dgm:cxn modelId="{1C61C660-1CC8-46DB-8E5F-23151AEA7498}" type="presParOf" srcId="{040AAB63-1C3E-4E78-BAA0-CA5D031189A0}" destId="{EA3D4BC8-0E03-4BE2-BCBC-F4549DA0826D}" srcOrd="9" destOrd="0" presId="urn:microsoft.com/office/officeart/2005/8/layout/radial6"/>
    <dgm:cxn modelId="{B9636942-4D0C-47C7-8605-0E090A19EB11}" type="presParOf" srcId="{040AAB63-1C3E-4E78-BAA0-CA5D031189A0}" destId="{837C83F4-C4FF-49BC-8E7B-03A1911978C4}" srcOrd="10" destOrd="0" presId="urn:microsoft.com/office/officeart/2005/8/layout/radial6"/>
    <dgm:cxn modelId="{C70DA243-1F29-4D2C-A0D3-8397505BAB37}" type="presParOf" srcId="{040AAB63-1C3E-4E78-BAA0-CA5D031189A0}" destId="{8A23C9AF-ACA0-4415-A8AB-608C50D5C565}" srcOrd="11" destOrd="0" presId="urn:microsoft.com/office/officeart/2005/8/layout/radial6"/>
    <dgm:cxn modelId="{6B5BB639-A12B-499B-8764-DA708BA3E239}" type="presParOf" srcId="{040AAB63-1C3E-4E78-BAA0-CA5D031189A0}" destId="{FBE88F7F-2944-4241-A645-FA14540C2909}" srcOrd="12" destOrd="0" presId="urn:microsoft.com/office/officeart/2005/8/layout/radial6"/>
    <dgm:cxn modelId="{6E7A4552-7F4A-41A1-8A1E-21CFDFB6AFDC}" type="presParOf" srcId="{040AAB63-1C3E-4E78-BAA0-CA5D031189A0}" destId="{B19EC9B0-A49E-4A62-A6BE-A21F83B5A575}" srcOrd="13" destOrd="0" presId="urn:microsoft.com/office/officeart/2005/8/layout/radial6"/>
    <dgm:cxn modelId="{AE57D673-B94E-4BE9-BA02-9BB799CF1DBF}" type="presParOf" srcId="{040AAB63-1C3E-4E78-BAA0-CA5D031189A0}" destId="{42A01E6D-44F2-4D26-B1BE-D7DB761CC73A}" srcOrd="14" destOrd="0" presId="urn:microsoft.com/office/officeart/2005/8/layout/radial6"/>
    <dgm:cxn modelId="{EFDB59F7-578F-47AD-A219-ED85EFBD6588}" type="presParOf" srcId="{040AAB63-1C3E-4E78-BAA0-CA5D031189A0}" destId="{3D30672D-5B76-4AB1-99ED-8D27D4CBD685}" srcOrd="15" destOrd="0" presId="urn:microsoft.com/office/officeart/2005/8/layout/radial6"/>
    <dgm:cxn modelId="{80967FDA-AEBE-4D98-901B-65F1DA3A1685}" type="presParOf" srcId="{040AAB63-1C3E-4E78-BAA0-CA5D031189A0}" destId="{1DA418DE-92C5-4AA3-B43B-54617AE5B0A8}" srcOrd="16" destOrd="0" presId="urn:microsoft.com/office/officeart/2005/8/layout/radial6"/>
    <dgm:cxn modelId="{992C501F-1996-4930-A5AC-0290A593F579}" type="presParOf" srcId="{040AAB63-1C3E-4E78-BAA0-CA5D031189A0}" destId="{0EC9122C-6F5D-46FB-94C0-55568BD49A4E}" srcOrd="17" destOrd="0" presId="urn:microsoft.com/office/officeart/2005/8/layout/radial6"/>
    <dgm:cxn modelId="{2AB86914-7B85-48AB-B036-540549B5E387}" type="presParOf" srcId="{040AAB63-1C3E-4E78-BAA0-CA5D031189A0}" destId="{07C468E6-C704-4A6F-A23F-94B2D4F2B3AE}" srcOrd="18" destOrd="0" presId="urn:microsoft.com/office/officeart/2005/8/layout/radial6"/>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67D3A85-A540-4C4D-9403-2AF25879E04E}" type="doc">
      <dgm:prSet loTypeId="urn:microsoft.com/office/officeart/2008/layout/AlternatingHexagons" loCatId="list" qsTypeId="urn:microsoft.com/office/officeart/2005/8/quickstyle/simple5" qsCatId="simple" csTypeId="urn:microsoft.com/office/officeart/2005/8/colors/colorful3" csCatId="colorful" phldr="1"/>
      <dgm:spPr/>
      <dgm:t>
        <a:bodyPr/>
        <a:lstStyle/>
        <a:p>
          <a:endParaRPr lang="es-DO"/>
        </a:p>
      </dgm:t>
    </dgm:pt>
    <dgm:pt modelId="{E4D1AD32-6544-4D67-B649-BEEEC1F2519D}">
      <dgm:prSet phldrT="[Texto]" custT="1"/>
      <dgm:spPr/>
      <dgm:t>
        <a:bodyPr/>
        <a:lstStyle/>
        <a:p>
          <a:r>
            <a:rPr lang="es-DO" sz="1100" b="1"/>
            <a:t>Política de titulación de terrenos</a:t>
          </a:r>
        </a:p>
      </dgm:t>
    </dgm:pt>
    <dgm:pt modelId="{DE5F5786-6D93-4C40-ABBD-605A31F3ED3E}" type="parTrans" cxnId="{4D866A4E-75EB-4B51-8EC1-1860D2548CD8}">
      <dgm:prSet/>
      <dgm:spPr/>
      <dgm:t>
        <a:bodyPr/>
        <a:lstStyle/>
        <a:p>
          <a:endParaRPr lang="es-DO"/>
        </a:p>
      </dgm:t>
    </dgm:pt>
    <dgm:pt modelId="{3A8655AF-4F0B-49B9-91EC-E4425D91F911}" type="sibTrans" cxnId="{4D866A4E-75EB-4B51-8EC1-1860D2548CD8}">
      <dgm:prSet/>
      <dgm:spPr/>
      <dgm:t>
        <a:bodyPr/>
        <a:lstStyle/>
        <a:p>
          <a:r>
            <a:rPr lang="es-DO" b="1"/>
            <a:t>Democratización del credito y financiamiento productivo</a:t>
          </a:r>
        </a:p>
      </dgm:t>
    </dgm:pt>
    <dgm:pt modelId="{1B0A75E9-3D8B-405D-A777-8B5C0BA65B87}">
      <dgm:prSet phldrT="[Texto]" custT="1"/>
      <dgm:spPr/>
      <dgm:t>
        <a:bodyPr/>
        <a:lstStyle/>
        <a:p>
          <a:r>
            <a:rPr lang="es-DO" sz="1100" b="1"/>
            <a:t>Sanidad e inocuidad agropecuaria</a:t>
          </a:r>
        </a:p>
      </dgm:t>
    </dgm:pt>
    <dgm:pt modelId="{355626DF-DA5F-437C-82BF-11ACCCE97FEB}" type="parTrans" cxnId="{4754A031-564C-4619-8A0B-C05AA6100DB3}">
      <dgm:prSet/>
      <dgm:spPr/>
      <dgm:t>
        <a:bodyPr/>
        <a:lstStyle/>
        <a:p>
          <a:endParaRPr lang="es-DO"/>
        </a:p>
      </dgm:t>
    </dgm:pt>
    <dgm:pt modelId="{49B72B5A-1740-4D89-B822-E504E3F4CBBE}" type="sibTrans" cxnId="{4754A031-564C-4619-8A0B-C05AA6100DB3}">
      <dgm:prSet custT="1"/>
      <dgm:spPr/>
      <dgm:t>
        <a:bodyPr/>
        <a:lstStyle/>
        <a:p>
          <a:r>
            <a:rPr lang="es-DO" sz="1100" b="1"/>
            <a:t>Investigación, Innovación, transferencia de tecnologías y capacitación para la competitividad del sector</a:t>
          </a:r>
        </a:p>
      </dgm:t>
    </dgm:pt>
    <dgm:pt modelId="{5420F2CA-69F0-4CD1-91FC-B0FBE3D17663}">
      <dgm:prSet phldrT="[Texto]" custT="1"/>
      <dgm:spPr/>
      <dgm:t>
        <a:bodyPr/>
        <a:lstStyle/>
        <a:p>
          <a:r>
            <a:rPr lang="es-DO" sz="1100" b="1"/>
            <a:t>Fomento y fortalecimiento de las exportaciones e información de mercados</a:t>
          </a:r>
        </a:p>
      </dgm:t>
    </dgm:pt>
    <dgm:pt modelId="{6DEB26D3-5BD3-4FDE-B26B-7D184FE69BFF}" type="parTrans" cxnId="{9C6CF659-A1DC-486E-8C6A-1358D0F32313}">
      <dgm:prSet/>
      <dgm:spPr/>
      <dgm:t>
        <a:bodyPr/>
        <a:lstStyle/>
        <a:p>
          <a:endParaRPr lang="es-DO"/>
        </a:p>
      </dgm:t>
    </dgm:pt>
    <dgm:pt modelId="{7EB1BBAE-3131-48A3-95A3-4BEC1A7F5BE5}" type="sibTrans" cxnId="{9C6CF659-A1DC-486E-8C6A-1358D0F32313}">
      <dgm:prSet custT="1"/>
      <dgm:spPr/>
      <dgm:t>
        <a:bodyPr/>
        <a:lstStyle/>
        <a:p>
          <a:r>
            <a:rPr lang="es-DO" sz="1100" b="1"/>
            <a:t>Fortalecimiento de las insfraestructuras productivas y de riego</a:t>
          </a:r>
        </a:p>
      </dgm:t>
    </dgm:pt>
    <dgm:pt modelId="{D4759363-BE22-4F94-BDBE-FB818D451335}">
      <dgm:prSet custT="1"/>
      <dgm:spPr/>
      <dgm:t>
        <a:bodyPr/>
        <a:lstStyle/>
        <a:p>
          <a:r>
            <a:rPr lang="es-DO" sz="1100" b="1"/>
            <a:t>Fortalecimiento de la asociatividad y cooperativismo</a:t>
          </a:r>
        </a:p>
      </dgm:t>
    </dgm:pt>
    <dgm:pt modelId="{3AAD69DE-BA5F-4C49-81C0-2891F854C29F}" type="parTrans" cxnId="{BEA1D2A7-0FCE-4ED6-8069-1C091754FC49}">
      <dgm:prSet/>
      <dgm:spPr/>
      <dgm:t>
        <a:bodyPr/>
        <a:lstStyle/>
        <a:p>
          <a:endParaRPr lang="es-DO"/>
        </a:p>
      </dgm:t>
    </dgm:pt>
    <dgm:pt modelId="{BFB291E8-0164-4EDE-B3BE-68C80C79FD3D}" type="sibTrans" cxnId="{BEA1D2A7-0FCE-4ED6-8069-1C091754FC49}">
      <dgm:prSet custT="1"/>
      <dgm:spPr/>
      <dgm:t>
        <a:bodyPr/>
        <a:lstStyle/>
        <a:p>
          <a:r>
            <a:rPr lang="es-DO" sz="1100" b="1"/>
            <a:t>Política físcal y tributaria</a:t>
          </a:r>
        </a:p>
      </dgm:t>
    </dgm:pt>
    <dgm:pt modelId="{DA2A8AF3-3EB5-46A1-8E3C-4D14D643B0E4}">
      <dgm:prSet custT="1"/>
      <dgm:spPr/>
      <dgm:t>
        <a:bodyPr/>
        <a:lstStyle/>
        <a:p>
          <a:r>
            <a:rPr lang="es-DO" sz="1100" b="1"/>
            <a:t>Política de seguro agropecuario, recursos naturales, cambio climático y riesgos</a:t>
          </a:r>
        </a:p>
      </dgm:t>
    </dgm:pt>
    <dgm:pt modelId="{8E9674C1-AA15-4D2F-B9BB-B261B3F656F4}" type="sibTrans" cxnId="{1CAEA765-B556-4DE4-B729-6EDDF7E79C90}">
      <dgm:prSet custT="1"/>
      <dgm:spPr/>
      <dgm:t>
        <a:bodyPr/>
        <a:lstStyle/>
        <a:p>
          <a:r>
            <a:rPr lang="es-DO" sz="1100" b="1"/>
            <a:t>Reforma institucional y modernización del sector agroepcuario</a:t>
          </a:r>
        </a:p>
      </dgm:t>
    </dgm:pt>
    <dgm:pt modelId="{63CC5BD1-9A7C-406D-8080-AA833F23D5A0}" type="parTrans" cxnId="{1CAEA765-B556-4DE4-B729-6EDDF7E79C90}">
      <dgm:prSet/>
      <dgm:spPr/>
      <dgm:t>
        <a:bodyPr/>
        <a:lstStyle/>
        <a:p>
          <a:endParaRPr lang="es-DO"/>
        </a:p>
      </dgm:t>
    </dgm:pt>
    <dgm:pt modelId="{E4763533-1F1F-4E91-A0AC-9A7AC88D73ED}" type="pres">
      <dgm:prSet presAssocID="{667D3A85-A540-4C4D-9403-2AF25879E04E}" presName="Name0" presStyleCnt="0">
        <dgm:presLayoutVars>
          <dgm:chMax/>
          <dgm:chPref/>
          <dgm:dir/>
          <dgm:animLvl val="lvl"/>
        </dgm:presLayoutVars>
      </dgm:prSet>
      <dgm:spPr/>
      <dgm:t>
        <a:bodyPr/>
        <a:lstStyle/>
        <a:p>
          <a:endParaRPr lang="es-ES"/>
        </a:p>
      </dgm:t>
    </dgm:pt>
    <dgm:pt modelId="{2CF8EA49-FE2B-469E-B444-E5D38450C0BE}" type="pres">
      <dgm:prSet presAssocID="{E4D1AD32-6544-4D67-B649-BEEEC1F2519D}" presName="composite" presStyleCnt="0"/>
      <dgm:spPr/>
    </dgm:pt>
    <dgm:pt modelId="{E6B98874-0111-4BCA-AA5F-9984194A2620}" type="pres">
      <dgm:prSet presAssocID="{E4D1AD32-6544-4D67-B649-BEEEC1F2519D}" presName="Parent1" presStyleLbl="node1" presStyleIdx="0" presStyleCnt="10">
        <dgm:presLayoutVars>
          <dgm:chMax val="1"/>
          <dgm:chPref val="1"/>
          <dgm:bulletEnabled val="1"/>
        </dgm:presLayoutVars>
      </dgm:prSet>
      <dgm:spPr/>
      <dgm:t>
        <a:bodyPr/>
        <a:lstStyle/>
        <a:p>
          <a:endParaRPr lang="es-ES"/>
        </a:p>
      </dgm:t>
    </dgm:pt>
    <dgm:pt modelId="{4403BDDB-E011-4D5C-B397-C1A338045E15}" type="pres">
      <dgm:prSet presAssocID="{E4D1AD32-6544-4D67-B649-BEEEC1F2519D}" presName="Childtext1" presStyleLbl="revTx" presStyleIdx="0" presStyleCnt="5">
        <dgm:presLayoutVars>
          <dgm:chMax val="0"/>
          <dgm:chPref val="0"/>
          <dgm:bulletEnabled val="1"/>
        </dgm:presLayoutVars>
      </dgm:prSet>
      <dgm:spPr/>
    </dgm:pt>
    <dgm:pt modelId="{242AB34B-71A6-4245-AC1E-02CBF22A09ED}" type="pres">
      <dgm:prSet presAssocID="{E4D1AD32-6544-4D67-B649-BEEEC1F2519D}" presName="BalanceSpacing" presStyleCnt="0"/>
      <dgm:spPr/>
    </dgm:pt>
    <dgm:pt modelId="{A6F86FDE-E64B-4610-8D3E-BA8FBE8560D4}" type="pres">
      <dgm:prSet presAssocID="{E4D1AD32-6544-4D67-B649-BEEEC1F2519D}" presName="BalanceSpacing1" presStyleCnt="0"/>
      <dgm:spPr/>
    </dgm:pt>
    <dgm:pt modelId="{89299D62-130E-4478-A03B-E0C9B4A03FB3}" type="pres">
      <dgm:prSet presAssocID="{3A8655AF-4F0B-49B9-91EC-E4425D91F911}" presName="Accent1Text" presStyleLbl="node1" presStyleIdx="1" presStyleCnt="10"/>
      <dgm:spPr/>
      <dgm:t>
        <a:bodyPr/>
        <a:lstStyle/>
        <a:p>
          <a:endParaRPr lang="es-ES"/>
        </a:p>
      </dgm:t>
    </dgm:pt>
    <dgm:pt modelId="{E50C9E0E-2BBD-4D21-A89E-841318E18499}" type="pres">
      <dgm:prSet presAssocID="{3A8655AF-4F0B-49B9-91EC-E4425D91F911}" presName="spaceBetweenRectangles" presStyleCnt="0"/>
      <dgm:spPr/>
    </dgm:pt>
    <dgm:pt modelId="{69457FFE-BDA8-409B-8214-FA67F27FEDBA}" type="pres">
      <dgm:prSet presAssocID="{1B0A75E9-3D8B-405D-A777-8B5C0BA65B87}" presName="composite" presStyleCnt="0"/>
      <dgm:spPr/>
    </dgm:pt>
    <dgm:pt modelId="{E48A4F53-23E5-4115-8C44-0C6A11AB01D9}" type="pres">
      <dgm:prSet presAssocID="{1B0A75E9-3D8B-405D-A777-8B5C0BA65B87}" presName="Parent1" presStyleLbl="node1" presStyleIdx="2" presStyleCnt="10">
        <dgm:presLayoutVars>
          <dgm:chMax val="1"/>
          <dgm:chPref val="1"/>
          <dgm:bulletEnabled val="1"/>
        </dgm:presLayoutVars>
      </dgm:prSet>
      <dgm:spPr/>
      <dgm:t>
        <a:bodyPr/>
        <a:lstStyle/>
        <a:p>
          <a:endParaRPr lang="es-ES"/>
        </a:p>
      </dgm:t>
    </dgm:pt>
    <dgm:pt modelId="{C30012BD-0A33-4210-AFD9-A70462E526FB}" type="pres">
      <dgm:prSet presAssocID="{1B0A75E9-3D8B-405D-A777-8B5C0BA65B87}" presName="Childtext1" presStyleLbl="revTx" presStyleIdx="1" presStyleCnt="5">
        <dgm:presLayoutVars>
          <dgm:chMax val="0"/>
          <dgm:chPref val="0"/>
          <dgm:bulletEnabled val="1"/>
        </dgm:presLayoutVars>
      </dgm:prSet>
      <dgm:spPr/>
    </dgm:pt>
    <dgm:pt modelId="{9A201E1A-55A4-4824-97BD-533CB6A4C7EE}" type="pres">
      <dgm:prSet presAssocID="{1B0A75E9-3D8B-405D-A777-8B5C0BA65B87}" presName="BalanceSpacing" presStyleCnt="0"/>
      <dgm:spPr/>
    </dgm:pt>
    <dgm:pt modelId="{D4DE7B87-C4D9-4C09-82E8-D92A62C702C5}" type="pres">
      <dgm:prSet presAssocID="{1B0A75E9-3D8B-405D-A777-8B5C0BA65B87}" presName="BalanceSpacing1" presStyleCnt="0"/>
      <dgm:spPr/>
    </dgm:pt>
    <dgm:pt modelId="{70DDC61B-B65E-4E85-BB4C-563195E3EA17}" type="pres">
      <dgm:prSet presAssocID="{49B72B5A-1740-4D89-B822-E504E3F4CBBE}" presName="Accent1Text" presStyleLbl="node1" presStyleIdx="3" presStyleCnt="10"/>
      <dgm:spPr/>
      <dgm:t>
        <a:bodyPr/>
        <a:lstStyle/>
        <a:p>
          <a:endParaRPr lang="es-ES"/>
        </a:p>
      </dgm:t>
    </dgm:pt>
    <dgm:pt modelId="{F0A20EE5-1D49-4219-AF07-C5B788F9FF59}" type="pres">
      <dgm:prSet presAssocID="{49B72B5A-1740-4D89-B822-E504E3F4CBBE}" presName="spaceBetweenRectangles" presStyleCnt="0"/>
      <dgm:spPr/>
    </dgm:pt>
    <dgm:pt modelId="{A20D5672-91C8-4B93-B2CF-82EAED49D65E}" type="pres">
      <dgm:prSet presAssocID="{5420F2CA-69F0-4CD1-91FC-B0FBE3D17663}" presName="composite" presStyleCnt="0"/>
      <dgm:spPr/>
    </dgm:pt>
    <dgm:pt modelId="{0DD73A6E-C76E-4FB6-BBC2-D094F8F33A45}" type="pres">
      <dgm:prSet presAssocID="{5420F2CA-69F0-4CD1-91FC-B0FBE3D17663}" presName="Parent1" presStyleLbl="node1" presStyleIdx="4" presStyleCnt="10" custScaleX="104079">
        <dgm:presLayoutVars>
          <dgm:chMax val="1"/>
          <dgm:chPref val="1"/>
          <dgm:bulletEnabled val="1"/>
        </dgm:presLayoutVars>
      </dgm:prSet>
      <dgm:spPr/>
      <dgm:t>
        <a:bodyPr/>
        <a:lstStyle/>
        <a:p>
          <a:endParaRPr lang="es-ES"/>
        </a:p>
      </dgm:t>
    </dgm:pt>
    <dgm:pt modelId="{E287D9FC-C983-4789-8511-B3AE9C253D13}" type="pres">
      <dgm:prSet presAssocID="{5420F2CA-69F0-4CD1-91FC-B0FBE3D17663}" presName="Childtext1" presStyleLbl="revTx" presStyleIdx="2" presStyleCnt="5">
        <dgm:presLayoutVars>
          <dgm:chMax val="0"/>
          <dgm:chPref val="0"/>
          <dgm:bulletEnabled val="1"/>
        </dgm:presLayoutVars>
      </dgm:prSet>
      <dgm:spPr/>
    </dgm:pt>
    <dgm:pt modelId="{C080C9D8-5695-4A8F-9D29-6DDA654014DB}" type="pres">
      <dgm:prSet presAssocID="{5420F2CA-69F0-4CD1-91FC-B0FBE3D17663}" presName="BalanceSpacing" presStyleCnt="0"/>
      <dgm:spPr/>
    </dgm:pt>
    <dgm:pt modelId="{55DDF872-B26C-4B97-9600-B91DB921A626}" type="pres">
      <dgm:prSet presAssocID="{5420F2CA-69F0-4CD1-91FC-B0FBE3D17663}" presName="BalanceSpacing1" presStyleCnt="0"/>
      <dgm:spPr/>
    </dgm:pt>
    <dgm:pt modelId="{5AF2D33E-4A5F-48F7-B682-F7C22051C3AB}" type="pres">
      <dgm:prSet presAssocID="{7EB1BBAE-3131-48A3-95A3-4BEC1A7F5BE5}" presName="Accent1Text" presStyleLbl="node1" presStyleIdx="5" presStyleCnt="10" custScaleX="103501"/>
      <dgm:spPr/>
      <dgm:t>
        <a:bodyPr/>
        <a:lstStyle/>
        <a:p>
          <a:endParaRPr lang="es-ES"/>
        </a:p>
      </dgm:t>
    </dgm:pt>
    <dgm:pt modelId="{93AFE35D-C9AA-4E5F-8C58-10AFF29E1F49}" type="pres">
      <dgm:prSet presAssocID="{7EB1BBAE-3131-48A3-95A3-4BEC1A7F5BE5}" presName="spaceBetweenRectangles" presStyleCnt="0"/>
      <dgm:spPr/>
    </dgm:pt>
    <dgm:pt modelId="{0B31FEFE-44D8-477C-BC49-67C97B580B82}" type="pres">
      <dgm:prSet presAssocID="{DA2A8AF3-3EB5-46A1-8E3C-4D14D643B0E4}" presName="composite" presStyleCnt="0"/>
      <dgm:spPr/>
    </dgm:pt>
    <dgm:pt modelId="{1745F48C-0289-4649-AD00-818D6624C7F8}" type="pres">
      <dgm:prSet presAssocID="{DA2A8AF3-3EB5-46A1-8E3C-4D14D643B0E4}" presName="Parent1" presStyleLbl="node1" presStyleIdx="6" presStyleCnt="10">
        <dgm:presLayoutVars>
          <dgm:chMax val="1"/>
          <dgm:chPref val="1"/>
          <dgm:bulletEnabled val="1"/>
        </dgm:presLayoutVars>
      </dgm:prSet>
      <dgm:spPr/>
      <dgm:t>
        <a:bodyPr/>
        <a:lstStyle/>
        <a:p>
          <a:endParaRPr lang="es-ES"/>
        </a:p>
      </dgm:t>
    </dgm:pt>
    <dgm:pt modelId="{A92D3D81-D688-4280-AD2A-8BD914562EE1}" type="pres">
      <dgm:prSet presAssocID="{DA2A8AF3-3EB5-46A1-8E3C-4D14D643B0E4}" presName="Childtext1" presStyleLbl="revTx" presStyleIdx="3" presStyleCnt="5">
        <dgm:presLayoutVars>
          <dgm:chMax val="0"/>
          <dgm:chPref val="0"/>
          <dgm:bulletEnabled val="1"/>
        </dgm:presLayoutVars>
      </dgm:prSet>
      <dgm:spPr/>
    </dgm:pt>
    <dgm:pt modelId="{AF3FB7B8-DBFE-47CA-B45C-B51096C7B551}" type="pres">
      <dgm:prSet presAssocID="{DA2A8AF3-3EB5-46A1-8E3C-4D14D643B0E4}" presName="BalanceSpacing" presStyleCnt="0"/>
      <dgm:spPr/>
    </dgm:pt>
    <dgm:pt modelId="{130BEB02-86D7-4D86-805E-9E5D6AEA944B}" type="pres">
      <dgm:prSet presAssocID="{DA2A8AF3-3EB5-46A1-8E3C-4D14D643B0E4}" presName="BalanceSpacing1" presStyleCnt="0"/>
      <dgm:spPr/>
    </dgm:pt>
    <dgm:pt modelId="{78521149-C34C-4F1C-B0CB-1B44C16EAD1D}" type="pres">
      <dgm:prSet presAssocID="{8E9674C1-AA15-4D2F-B9BB-B261B3F656F4}" presName="Accent1Text" presStyleLbl="node1" presStyleIdx="7" presStyleCnt="10"/>
      <dgm:spPr/>
      <dgm:t>
        <a:bodyPr/>
        <a:lstStyle/>
        <a:p>
          <a:endParaRPr lang="es-ES"/>
        </a:p>
      </dgm:t>
    </dgm:pt>
    <dgm:pt modelId="{CB0FD2D2-1395-4E48-ADF1-8EEC43E60345}" type="pres">
      <dgm:prSet presAssocID="{8E9674C1-AA15-4D2F-B9BB-B261B3F656F4}" presName="spaceBetweenRectangles" presStyleCnt="0"/>
      <dgm:spPr/>
    </dgm:pt>
    <dgm:pt modelId="{50497317-17BF-488B-BB45-1BC77819906D}" type="pres">
      <dgm:prSet presAssocID="{D4759363-BE22-4F94-BDBE-FB818D451335}" presName="composite" presStyleCnt="0"/>
      <dgm:spPr/>
    </dgm:pt>
    <dgm:pt modelId="{ECD7D798-E40E-40E5-A802-4E43C6A878BC}" type="pres">
      <dgm:prSet presAssocID="{D4759363-BE22-4F94-BDBE-FB818D451335}" presName="Parent1" presStyleLbl="node1" presStyleIdx="8" presStyleCnt="10" custScaleX="104989">
        <dgm:presLayoutVars>
          <dgm:chMax val="1"/>
          <dgm:chPref val="1"/>
          <dgm:bulletEnabled val="1"/>
        </dgm:presLayoutVars>
      </dgm:prSet>
      <dgm:spPr/>
      <dgm:t>
        <a:bodyPr/>
        <a:lstStyle/>
        <a:p>
          <a:endParaRPr lang="es-ES"/>
        </a:p>
      </dgm:t>
    </dgm:pt>
    <dgm:pt modelId="{C57E3B32-B396-4580-B4A3-203548523498}" type="pres">
      <dgm:prSet presAssocID="{D4759363-BE22-4F94-BDBE-FB818D451335}" presName="Childtext1" presStyleLbl="revTx" presStyleIdx="4" presStyleCnt="5">
        <dgm:presLayoutVars>
          <dgm:chMax val="0"/>
          <dgm:chPref val="0"/>
          <dgm:bulletEnabled val="1"/>
        </dgm:presLayoutVars>
      </dgm:prSet>
      <dgm:spPr/>
    </dgm:pt>
    <dgm:pt modelId="{26BB1514-3ACC-490A-BE99-BD7658C2669D}" type="pres">
      <dgm:prSet presAssocID="{D4759363-BE22-4F94-BDBE-FB818D451335}" presName="BalanceSpacing" presStyleCnt="0"/>
      <dgm:spPr/>
    </dgm:pt>
    <dgm:pt modelId="{5380A7A6-A656-42E1-9876-7F10CD4302C9}" type="pres">
      <dgm:prSet presAssocID="{D4759363-BE22-4F94-BDBE-FB818D451335}" presName="BalanceSpacing1" presStyleCnt="0"/>
      <dgm:spPr/>
    </dgm:pt>
    <dgm:pt modelId="{818ADAD7-3B39-4897-9BB5-B412D46A3B08}" type="pres">
      <dgm:prSet presAssocID="{BFB291E8-0164-4EDE-B3BE-68C80C79FD3D}" presName="Accent1Text" presStyleLbl="node1" presStyleIdx="9" presStyleCnt="10"/>
      <dgm:spPr/>
      <dgm:t>
        <a:bodyPr/>
        <a:lstStyle/>
        <a:p>
          <a:endParaRPr lang="es-ES"/>
        </a:p>
      </dgm:t>
    </dgm:pt>
  </dgm:ptLst>
  <dgm:cxnLst>
    <dgm:cxn modelId="{4754A031-564C-4619-8A0B-C05AA6100DB3}" srcId="{667D3A85-A540-4C4D-9403-2AF25879E04E}" destId="{1B0A75E9-3D8B-405D-A777-8B5C0BA65B87}" srcOrd="1" destOrd="0" parTransId="{355626DF-DA5F-437C-82BF-11ACCCE97FEB}" sibTransId="{49B72B5A-1740-4D89-B822-E504E3F4CBBE}"/>
    <dgm:cxn modelId="{9C6CF659-A1DC-486E-8C6A-1358D0F32313}" srcId="{667D3A85-A540-4C4D-9403-2AF25879E04E}" destId="{5420F2CA-69F0-4CD1-91FC-B0FBE3D17663}" srcOrd="2" destOrd="0" parTransId="{6DEB26D3-5BD3-4FDE-B26B-7D184FE69BFF}" sibTransId="{7EB1BBAE-3131-48A3-95A3-4BEC1A7F5BE5}"/>
    <dgm:cxn modelId="{04772F6B-12FD-4BD6-AACD-DEA18AF47352}" type="presOf" srcId="{49B72B5A-1740-4D89-B822-E504E3F4CBBE}" destId="{70DDC61B-B65E-4E85-BB4C-563195E3EA17}" srcOrd="0" destOrd="0" presId="urn:microsoft.com/office/officeart/2008/layout/AlternatingHexagons"/>
    <dgm:cxn modelId="{408A4D2E-643A-41BB-B4F8-4E3CB071401A}" type="presOf" srcId="{5420F2CA-69F0-4CD1-91FC-B0FBE3D17663}" destId="{0DD73A6E-C76E-4FB6-BBC2-D094F8F33A45}" srcOrd="0" destOrd="0" presId="urn:microsoft.com/office/officeart/2008/layout/AlternatingHexagons"/>
    <dgm:cxn modelId="{0574107B-E324-4791-A3B6-7C466CD5AA8C}" type="presOf" srcId="{7EB1BBAE-3131-48A3-95A3-4BEC1A7F5BE5}" destId="{5AF2D33E-4A5F-48F7-B682-F7C22051C3AB}" srcOrd="0" destOrd="0" presId="urn:microsoft.com/office/officeart/2008/layout/AlternatingHexagons"/>
    <dgm:cxn modelId="{22F4D021-ACC9-4F0A-8782-A890DD3AB2E7}" type="presOf" srcId="{E4D1AD32-6544-4D67-B649-BEEEC1F2519D}" destId="{E6B98874-0111-4BCA-AA5F-9984194A2620}" srcOrd="0" destOrd="0" presId="urn:microsoft.com/office/officeart/2008/layout/AlternatingHexagons"/>
    <dgm:cxn modelId="{BEA1D2A7-0FCE-4ED6-8069-1C091754FC49}" srcId="{667D3A85-A540-4C4D-9403-2AF25879E04E}" destId="{D4759363-BE22-4F94-BDBE-FB818D451335}" srcOrd="4" destOrd="0" parTransId="{3AAD69DE-BA5F-4C49-81C0-2891F854C29F}" sibTransId="{BFB291E8-0164-4EDE-B3BE-68C80C79FD3D}"/>
    <dgm:cxn modelId="{BE85286D-8B66-49D3-B775-E5092D2694F2}" type="presOf" srcId="{BFB291E8-0164-4EDE-B3BE-68C80C79FD3D}" destId="{818ADAD7-3B39-4897-9BB5-B412D46A3B08}" srcOrd="0" destOrd="0" presId="urn:microsoft.com/office/officeart/2008/layout/AlternatingHexagons"/>
    <dgm:cxn modelId="{E306CCA9-E5D5-46EC-AE56-553441C207AA}" type="presOf" srcId="{667D3A85-A540-4C4D-9403-2AF25879E04E}" destId="{E4763533-1F1F-4E91-A0AC-9A7AC88D73ED}" srcOrd="0" destOrd="0" presId="urn:microsoft.com/office/officeart/2008/layout/AlternatingHexagons"/>
    <dgm:cxn modelId="{0B308859-CE10-48ED-896A-A0BE82EB185C}" type="presOf" srcId="{3A8655AF-4F0B-49B9-91EC-E4425D91F911}" destId="{89299D62-130E-4478-A03B-E0C9B4A03FB3}" srcOrd="0" destOrd="0" presId="urn:microsoft.com/office/officeart/2008/layout/AlternatingHexagons"/>
    <dgm:cxn modelId="{FEC8BC3C-08FC-42C0-944C-4377ED217E3D}" type="presOf" srcId="{D4759363-BE22-4F94-BDBE-FB818D451335}" destId="{ECD7D798-E40E-40E5-A802-4E43C6A878BC}" srcOrd="0" destOrd="0" presId="urn:microsoft.com/office/officeart/2008/layout/AlternatingHexagons"/>
    <dgm:cxn modelId="{7C610B2B-9E10-461B-8C6D-4D541273C167}" type="presOf" srcId="{DA2A8AF3-3EB5-46A1-8E3C-4D14D643B0E4}" destId="{1745F48C-0289-4649-AD00-818D6624C7F8}" srcOrd="0" destOrd="0" presId="urn:microsoft.com/office/officeart/2008/layout/AlternatingHexagons"/>
    <dgm:cxn modelId="{61D9CCC2-6056-42E4-AA2C-5C2AE5AEB02E}" type="presOf" srcId="{1B0A75E9-3D8B-405D-A777-8B5C0BA65B87}" destId="{E48A4F53-23E5-4115-8C44-0C6A11AB01D9}" srcOrd="0" destOrd="0" presId="urn:microsoft.com/office/officeart/2008/layout/AlternatingHexagons"/>
    <dgm:cxn modelId="{58F5F7CC-8B9E-4600-B877-08F9BD1D83C6}" type="presOf" srcId="{8E9674C1-AA15-4D2F-B9BB-B261B3F656F4}" destId="{78521149-C34C-4F1C-B0CB-1B44C16EAD1D}" srcOrd="0" destOrd="0" presId="urn:microsoft.com/office/officeart/2008/layout/AlternatingHexagons"/>
    <dgm:cxn modelId="{1CAEA765-B556-4DE4-B729-6EDDF7E79C90}" srcId="{667D3A85-A540-4C4D-9403-2AF25879E04E}" destId="{DA2A8AF3-3EB5-46A1-8E3C-4D14D643B0E4}" srcOrd="3" destOrd="0" parTransId="{63CC5BD1-9A7C-406D-8080-AA833F23D5A0}" sibTransId="{8E9674C1-AA15-4D2F-B9BB-B261B3F656F4}"/>
    <dgm:cxn modelId="{4D866A4E-75EB-4B51-8EC1-1860D2548CD8}" srcId="{667D3A85-A540-4C4D-9403-2AF25879E04E}" destId="{E4D1AD32-6544-4D67-B649-BEEEC1F2519D}" srcOrd="0" destOrd="0" parTransId="{DE5F5786-6D93-4C40-ABBD-605A31F3ED3E}" sibTransId="{3A8655AF-4F0B-49B9-91EC-E4425D91F911}"/>
    <dgm:cxn modelId="{DADBE95D-D525-408A-AE6D-667B8FB5B718}" type="presParOf" srcId="{E4763533-1F1F-4E91-A0AC-9A7AC88D73ED}" destId="{2CF8EA49-FE2B-469E-B444-E5D38450C0BE}" srcOrd="0" destOrd="0" presId="urn:microsoft.com/office/officeart/2008/layout/AlternatingHexagons"/>
    <dgm:cxn modelId="{50347DF3-77DD-4FB3-9490-6817766B004D}" type="presParOf" srcId="{2CF8EA49-FE2B-469E-B444-E5D38450C0BE}" destId="{E6B98874-0111-4BCA-AA5F-9984194A2620}" srcOrd="0" destOrd="0" presId="urn:microsoft.com/office/officeart/2008/layout/AlternatingHexagons"/>
    <dgm:cxn modelId="{B21A86BB-6BEE-4DCE-955D-339C8C2AAABA}" type="presParOf" srcId="{2CF8EA49-FE2B-469E-B444-E5D38450C0BE}" destId="{4403BDDB-E011-4D5C-B397-C1A338045E15}" srcOrd="1" destOrd="0" presId="urn:microsoft.com/office/officeart/2008/layout/AlternatingHexagons"/>
    <dgm:cxn modelId="{05C7EA28-D382-419B-9C40-30759211042D}" type="presParOf" srcId="{2CF8EA49-FE2B-469E-B444-E5D38450C0BE}" destId="{242AB34B-71A6-4245-AC1E-02CBF22A09ED}" srcOrd="2" destOrd="0" presId="urn:microsoft.com/office/officeart/2008/layout/AlternatingHexagons"/>
    <dgm:cxn modelId="{F265FB93-28DC-442F-8A8B-95B87BA94715}" type="presParOf" srcId="{2CF8EA49-FE2B-469E-B444-E5D38450C0BE}" destId="{A6F86FDE-E64B-4610-8D3E-BA8FBE8560D4}" srcOrd="3" destOrd="0" presId="urn:microsoft.com/office/officeart/2008/layout/AlternatingHexagons"/>
    <dgm:cxn modelId="{65D7DBB7-C910-4DBB-BC09-24B6C6C6744A}" type="presParOf" srcId="{2CF8EA49-FE2B-469E-B444-E5D38450C0BE}" destId="{89299D62-130E-4478-A03B-E0C9B4A03FB3}" srcOrd="4" destOrd="0" presId="urn:microsoft.com/office/officeart/2008/layout/AlternatingHexagons"/>
    <dgm:cxn modelId="{997BAA47-7782-4156-9E9C-5A45640F85D8}" type="presParOf" srcId="{E4763533-1F1F-4E91-A0AC-9A7AC88D73ED}" destId="{E50C9E0E-2BBD-4D21-A89E-841318E18499}" srcOrd="1" destOrd="0" presId="urn:microsoft.com/office/officeart/2008/layout/AlternatingHexagons"/>
    <dgm:cxn modelId="{1D9587A5-E4DB-447E-8E6C-847FDD04A57C}" type="presParOf" srcId="{E4763533-1F1F-4E91-A0AC-9A7AC88D73ED}" destId="{69457FFE-BDA8-409B-8214-FA67F27FEDBA}" srcOrd="2" destOrd="0" presId="urn:microsoft.com/office/officeart/2008/layout/AlternatingHexagons"/>
    <dgm:cxn modelId="{0AABDDB9-BEAB-46AB-A911-A62493A95FA2}" type="presParOf" srcId="{69457FFE-BDA8-409B-8214-FA67F27FEDBA}" destId="{E48A4F53-23E5-4115-8C44-0C6A11AB01D9}" srcOrd="0" destOrd="0" presId="urn:microsoft.com/office/officeart/2008/layout/AlternatingHexagons"/>
    <dgm:cxn modelId="{73B6F7FB-059A-4C5B-ADEA-D2A303DF4B24}" type="presParOf" srcId="{69457FFE-BDA8-409B-8214-FA67F27FEDBA}" destId="{C30012BD-0A33-4210-AFD9-A70462E526FB}" srcOrd="1" destOrd="0" presId="urn:microsoft.com/office/officeart/2008/layout/AlternatingHexagons"/>
    <dgm:cxn modelId="{D992443F-B1D1-4AC9-9DE4-C0D7268E843F}" type="presParOf" srcId="{69457FFE-BDA8-409B-8214-FA67F27FEDBA}" destId="{9A201E1A-55A4-4824-97BD-533CB6A4C7EE}" srcOrd="2" destOrd="0" presId="urn:microsoft.com/office/officeart/2008/layout/AlternatingHexagons"/>
    <dgm:cxn modelId="{2B9BA6CC-FA2F-4E0C-B2F6-AE662334B65C}" type="presParOf" srcId="{69457FFE-BDA8-409B-8214-FA67F27FEDBA}" destId="{D4DE7B87-C4D9-4C09-82E8-D92A62C702C5}" srcOrd="3" destOrd="0" presId="urn:microsoft.com/office/officeart/2008/layout/AlternatingHexagons"/>
    <dgm:cxn modelId="{19D0BD52-38A2-4534-972F-F109A8F1CE82}" type="presParOf" srcId="{69457FFE-BDA8-409B-8214-FA67F27FEDBA}" destId="{70DDC61B-B65E-4E85-BB4C-563195E3EA17}" srcOrd="4" destOrd="0" presId="urn:microsoft.com/office/officeart/2008/layout/AlternatingHexagons"/>
    <dgm:cxn modelId="{C8CDDEB5-4E65-4826-A899-04A72D93F12F}" type="presParOf" srcId="{E4763533-1F1F-4E91-A0AC-9A7AC88D73ED}" destId="{F0A20EE5-1D49-4219-AF07-C5B788F9FF59}" srcOrd="3" destOrd="0" presId="urn:microsoft.com/office/officeart/2008/layout/AlternatingHexagons"/>
    <dgm:cxn modelId="{0D2926D4-961E-4E3E-BAA6-143C30D24724}" type="presParOf" srcId="{E4763533-1F1F-4E91-A0AC-9A7AC88D73ED}" destId="{A20D5672-91C8-4B93-B2CF-82EAED49D65E}" srcOrd="4" destOrd="0" presId="urn:microsoft.com/office/officeart/2008/layout/AlternatingHexagons"/>
    <dgm:cxn modelId="{BFE9C14F-C7A1-4EAE-82FD-7B5385F4ACF2}" type="presParOf" srcId="{A20D5672-91C8-4B93-B2CF-82EAED49D65E}" destId="{0DD73A6E-C76E-4FB6-BBC2-D094F8F33A45}" srcOrd="0" destOrd="0" presId="urn:microsoft.com/office/officeart/2008/layout/AlternatingHexagons"/>
    <dgm:cxn modelId="{18DD8E44-18CA-4723-B073-1FDFCB096B08}" type="presParOf" srcId="{A20D5672-91C8-4B93-B2CF-82EAED49D65E}" destId="{E287D9FC-C983-4789-8511-B3AE9C253D13}" srcOrd="1" destOrd="0" presId="urn:microsoft.com/office/officeart/2008/layout/AlternatingHexagons"/>
    <dgm:cxn modelId="{4E529937-A66A-4342-B1DB-ED772B88BB13}" type="presParOf" srcId="{A20D5672-91C8-4B93-B2CF-82EAED49D65E}" destId="{C080C9D8-5695-4A8F-9D29-6DDA654014DB}" srcOrd="2" destOrd="0" presId="urn:microsoft.com/office/officeart/2008/layout/AlternatingHexagons"/>
    <dgm:cxn modelId="{6EB8F62D-2C6A-47AB-9572-11BCFB940C83}" type="presParOf" srcId="{A20D5672-91C8-4B93-B2CF-82EAED49D65E}" destId="{55DDF872-B26C-4B97-9600-B91DB921A626}" srcOrd="3" destOrd="0" presId="urn:microsoft.com/office/officeart/2008/layout/AlternatingHexagons"/>
    <dgm:cxn modelId="{E9206CA7-2B28-4AFB-8143-ED783FB21A58}" type="presParOf" srcId="{A20D5672-91C8-4B93-B2CF-82EAED49D65E}" destId="{5AF2D33E-4A5F-48F7-B682-F7C22051C3AB}" srcOrd="4" destOrd="0" presId="urn:microsoft.com/office/officeart/2008/layout/AlternatingHexagons"/>
    <dgm:cxn modelId="{0A804C73-953D-4788-AED9-3ECB97A2E6CA}" type="presParOf" srcId="{E4763533-1F1F-4E91-A0AC-9A7AC88D73ED}" destId="{93AFE35D-C9AA-4E5F-8C58-10AFF29E1F49}" srcOrd="5" destOrd="0" presId="urn:microsoft.com/office/officeart/2008/layout/AlternatingHexagons"/>
    <dgm:cxn modelId="{74F5E812-E665-41C0-9D0D-0858CFA03F6E}" type="presParOf" srcId="{E4763533-1F1F-4E91-A0AC-9A7AC88D73ED}" destId="{0B31FEFE-44D8-477C-BC49-67C97B580B82}" srcOrd="6" destOrd="0" presId="urn:microsoft.com/office/officeart/2008/layout/AlternatingHexagons"/>
    <dgm:cxn modelId="{03D78E24-8EA1-4A8B-A98E-B346BE4C7F21}" type="presParOf" srcId="{0B31FEFE-44D8-477C-BC49-67C97B580B82}" destId="{1745F48C-0289-4649-AD00-818D6624C7F8}" srcOrd="0" destOrd="0" presId="urn:microsoft.com/office/officeart/2008/layout/AlternatingHexagons"/>
    <dgm:cxn modelId="{C4F496DE-531C-4C0E-A8E6-9ADA1DFED389}" type="presParOf" srcId="{0B31FEFE-44D8-477C-BC49-67C97B580B82}" destId="{A92D3D81-D688-4280-AD2A-8BD914562EE1}" srcOrd="1" destOrd="0" presId="urn:microsoft.com/office/officeart/2008/layout/AlternatingHexagons"/>
    <dgm:cxn modelId="{049C700C-6FA4-4CEA-A699-101702CD2E77}" type="presParOf" srcId="{0B31FEFE-44D8-477C-BC49-67C97B580B82}" destId="{AF3FB7B8-DBFE-47CA-B45C-B51096C7B551}" srcOrd="2" destOrd="0" presId="urn:microsoft.com/office/officeart/2008/layout/AlternatingHexagons"/>
    <dgm:cxn modelId="{6C69B284-0C5F-4F81-A497-7F24ED86BCBB}" type="presParOf" srcId="{0B31FEFE-44D8-477C-BC49-67C97B580B82}" destId="{130BEB02-86D7-4D86-805E-9E5D6AEA944B}" srcOrd="3" destOrd="0" presId="urn:microsoft.com/office/officeart/2008/layout/AlternatingHexagons"/>
    <dgm:cxn modelId="{6266608C-A7E0-4015-A9F1-FF3BC544F4B5}" type="presParOf" srcId="{0B31FEFE-44D8-477C-BC49-67C97B580B82}" destId="{78521149-C34C-4F1C-B0CB-1B44C16EAD1D}" srcOrd="4" destOrd="0" presId="urn:microsoft.com/office/officeart/2008/layout/AlternatingHexagons"/>
    <dgm:cxn modelId="{AC84C911-6DBE-4291-8F4B-B91B8F90DA17}" type="presParOf" srcId="{E4763533-1F1F-4E91-A0AC-9A7AC88D73ED}" destId="{CB0FD2D2-1395-4E48-ADF1-8EEC43E60345}" srcOrd="7" destOrd="0" presId="urn:microsoft.com/office/officeart/2008/layout/AlternatingHexagons"/>
    <dgm:cxn modelId="{0B82BCD2-E21E-462B-AF59-FF5430458A37}" type="presParOf" srcId="{E4763533-1F1F-4E91-A0AC-9A7AC88D73ED}" destId="{50497317-17BF-488B-BB45-1BC77819906D}" srcOrd="8" destOrd="0" presId="urn:microsoft.com/office/officeart/2008/layout/AlternatingHexagons"/>
    <dgm:cxn modelId="{FB362377-C55D-4253-9470-D215F68A7E10}" type="presParOf" srcId="{50497317-17BF-488B-BB45-1BC77819906D}" destId="{ECD7D798-E40E-40E5-A802-4E43C6A878BC}" srcOrd="0" destOrd="0" presId="urn:microsoft.com/office/officeart/2008/layout/AlternatingHexagons"/>
    <dgm:cxn modelId="{2A0A2A37-6773-481B-809D-A12D591A829C}" type="presParOf" srcId="{50497317-17BF-488B-BB45-1BC77819906D}" destId="{C57E3B32-B396-4580-B4A3-203548523498}" srcOrd="1" destOrd="0" presId="urn:microsoft.com/office/officeart/2008/layout/AlternatingHexagons"/>
    <dgm:cxn modelId="{BF68F184-7809-41AE-908C-BE85C5767D5C}" type="presParOf" srcId="{50497317-17BF-488B-BB45-1BC77819906D}" destId="{26BB1514-3ACC-490A-BE99-BD7658C2669D}" srcOrd="2" destOrd="0" presId="urn:microsoft.com/office/officeart/2008/layout/AlternatingHexagons"/>
    <dgm:cxn modelId="{C85EEA49-519B-4D9D-AEF2-319D93AD3D16}" type="presParOf" srcId="{50497317-17BF-488B-BB45-1BC77819906D}" destId="{5380A7A6-A656-42E1-9876-7F10CD4302C9}" srcOrd="3" destOrd="0" presId="urn:microsoft.com/office/officeart/2008/layout/AlternatingHexagons"/>
    <dgm:cxn modelId="{5F84E5ED-90E1-48DA-911C-CD7A0F84F512}" type="presParOf" srcId="{50497317-17BF-488B-BB45-1BC77819906D}" destId="{818ADAD7-3B39-4897-9BB5-B412D46A3B08}" srcOrd="4" destOrd="0" presId="urn:microsoft.com/office/officeart/2008/layout/AlternatingHexagon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28780C2-3E7F-4D10-87A6-29742237906D}" type="doc">
      <dgm:prSet loTypeId="urn:microsoft.com/office/officeart/2005/8/layout/default" loCatId="list" qsTypeId="urn:microsoft.com/office/officeart/2005/8/quickstyle/simple5" qsCatId="simple" csTypeId="urn:microsoft.com/office/officeart/2005/8/colors/colorful3" csCatId="colorful" phldr="1"/>
      <dgm:spPr/>
      <dgm:t>
        <a:bodyPr/>
        <a:lstStyle/>
        <a:p>
          <a:endParaRPr lang="es-DO"/>
        </a:p>
      </dgm:t>
    </dgm:pt>
    <dgm:pt modelId="{EC198070-F011-48FD-95E7-D440E966F636}">
      <dgm:prSet phldrT="[Texto]" custT="1"/>
      <dgm:spPr/>
      <dgm:t>
        <a:bodyPr/>
        <a:lstStyle/>
        <a:p>
          <a:r>
            <a:rPr lang="es-DO" sz="1200" b="1"/>
            <a:t>Eje de </a:t>
          </a:r>
        </a:p>
        <a:p>
          <a:r>
            <a:rPr lang="es-DO" sz="1200" b="1"/>
            <a:t>Sanidad Pecuaria</a:t>
          </a:r>
        </a:p>
      </dgm:t>
    </dgm:pt>
    <dgm:pt modelId="{61A4D478-B08A-4D38-B1CF-4B73C4C10E4F}" type="parTrans" cxnId="{8B098A1C-50EB-40AE-8703-3BB5F36F2DD1}">
      <dgm:prSet/>
      <dgm:spPr/>
      <dgm:t>
        <a:bodyPr/>
        <a:lstStyle/>
        <a:p>
          <a:endParaRPr lang="es-DO" sz="1200" b="1"/>
        </a:p>
      </dgm:t>
    </dgm:pt>
    <dgm:pt modelId="{4A0C45DA-7A83-459D-8FBD-7D69F93312A4}" type="sibTrans" cxnId="{8B098A1C-50EB-40AE-8703-3BB5F36F2DD1}">
      <dgm:prSet/>
      <dgm:spPr/>
      <dgm:t>
        <a:bodyPr/>
        <a:lstStyle/>
        <a:p>
          <a:endParaRPr lang="es-DO" sz="1200" b="1"/>
        </a:p>
      </dgm:t>
    </dgm:pt>
    <dgm:pt modelId="{1024F087-4642-4DA1-8B69-6AD0BDD8383E}">
      <dgm:prSet phldrT="[Texto]" custT="1"/>
      <dgm:spPr/>
      <dgm:t>
        <a:bodyPr/>
        <a:lstStyle/>
        <a:p>
          <a:r>
            <a:rPr lang="es-DO" sz="1200" b="1"/>
            <a:t>Eje de </a:t>
          </a:r>
        </a:p>
        <a:p>
          <a:r>
            <a:rPr lang="es-DO" sz="1200" b="1"/>
            <a:t>Nutrición Animal</a:t>
          </a:r>
        </a:p>
      </dgm:t>
    </dgm:pt>
    <dgm:pt modelId="{8D1F31C4-1B1F-436C-AA94-6E2B0AAEB124}" type="parTrans" cxnId="{834E2038-29C3-483D-ADB8-05BB37196E7C}">
      <dgm:prSet/>
      <dgm:spPr/>
      <dgm:t>
        <a:bodyPr/>
        <a:lstStyle/>
        <a:p>
          <a:endParaRPr lang="es-DO" sz="1200" b="1"/>
        </a:p>
      </dgm:t>
    </dgm:pt>
    <dgm:pt modelId="{74AF8513-2616-4F09-93FB-1291BBAC5775}" type="sibTrans" cxnId="{834E2038-29C3-483D-ADB8-05BB37196E7C}">
      <dgm:prSet/>
      <dgm:spPr/>
      <dgm:t>
        <a:bodyPr/>
        <a:lstStyle/>
        <a:p>
          <a:endParaRPr lang="es-DO" sz="1200" b="1"/>
        </a:p>
      </dgm:t>
    </dgm:pt>
    <dgm:pt modelId="{9A1916B8-DA57-49EC-A0B8-DFD00C58D77C}">
      <dgm:prSet phldrT="[Texto]" custT="1"/>
      <dgm:spPr/>
      <dgm:t>
        <a:bodyPr/>
        <a:lstStyle/>
        <a:p>
          <a:r>
            <a:rPr lang="es-DO" sz="1200" b="1"/>
            <a:t>Eje de </a:t>
          </a:r>
        </a:p>
        <a:p>
          <a:r>
            <a:rPr lang="es-DO" sz="1200" b="1"/>
            <a:t>Reproducción Genética</a:t>
          </a:r>
        </a:p>
      </dgm:t>
    </dgm:pt>
    <dgm:pt modelId="{96C77604-426F-49C5-B607-F33C7CEF7453}" type="parTrans" cxnId="{8BE23AC0-54EA-49B1-925D-1C6AA2A5D961}">
      <dgm:prSet/>
      <dgm:spPr/>
      <dgm:t>
        <a:bodyPr/>
        <a:lstStyle/>
        <a:p>
          <a:endParaRPr lang="es-DO" sz="1200" b="1"/>
        </a:p>
      </dgm:t>
    </dgm:pt>
    <dgm:pt modelId="{88DA5B69-0050-4D7E-B59D-5C069C991EB3}" type="sibTrans" cxnId="{8BE23AC0-54EA-49B1-925D-1C6AA2A5D961}">
      <dgm:prSet/>
      <dgm:spPr/>
      <dgm:t>
        <a:bodyPr/>
        <a:lstStyle/>
        <a:p>
          <a:endParaRPr lang="es-DO" sz="1200" b="1"/>
        </a:p>
      </dgm:t>
    </dgm:pt>
    <dgm:pt modelId="{89D4CFE6-6E66-48B5-9252-2F571F2467D1}">
      <dgm:prSet phldrT="[Texto]" custT="1"/>
      <dgm:spPr/>
      <dgm:t>
        <a:bodyPr/>
        <a:lstStyle/>
        <a:p>
          <a:r>
            <a:rPr lang="es-DO" sz="1200" b="1"/>
            <a:t>Eje de </a:t>
          </a:r>
        </a:p>
        <a:p>
          <a:r>
            <a:rPr lang="es-DO" sz="1200" b="1"/>
            <a:t>Infraestructura</a:t>
          </a:r>
        </a:p>
      </dgm:t>
    </dgm:pt>
    <dgm:pt modelId="{317FA527-6B11-4F18-B859-2FF55ADF2444}" type="parTrans" cxnId="{453D2A73-55F1-463E-8C1F-7DF46FC11DA8}">
      <dgm:prSet/>
      <dgm:spPr/>
      <dgm:t>
        <a:bodyPr/>
        <a:lstStyle/>
        <a:p>
          <a:endParaRPr lang="es-DO" sz="1200" b="1"/>
        </a:p>
      </dgm:t>
    </dgm:pt>
    <dgm:pt modelId="{755A2D0C-9048-40E6-9A42-7A6842539B8F}" type="sibTrans" cxnId="{453D2A73-55F1-463E-8C1F-7DF46FC11DA8}">
      <dgm:prSet/>
      <dgm:spPr/>
      <dgm:t>
        <a:bodyPr/>
        <a:lstStyle/>
        <a:p>
          <a:endParaRPr lang="es-DO" sz="1200" b="1"/>
        </a:p>
      </dgm:t>
    </dgm:pt>
    <dgm:pt modelId="{18363301-E1CF-4845-B899-17023ACF98AE}">
      <dgm:prSet phldrT="[Texto]" custT="1"/>
      <dgm:spPr/>
      <dgm:t>
        <a:bodyPr/>
        <a:lstStyle/>
        <a:p>
          <a:r>
            <a:rPr lang="es-DO" sz="1200" b="1"/>
            <a:t>Eje de </a:t>
          </a:r>
        </a:p>
        <a:p>
          <a:r>
            <a:rPr lang="es-DO" sz="1200" b="1"/>
            <a:t>Procesamiento y Comercialización</a:t>
          </a:r>
        </a:p>
      </dgm:t>
    </dgm:pt>
    <dgm:pt modelId="{FC299E44-04D0-487D-8CC7-EA5CDAF2B21F}" type="parTrans" cxnId="{AF291144-BC3D-4959-B043-F00304146942}">
      <dgm:prSet/>
      <dgm:spPr/>
      <dgm:t>
        <a:bodyPr/>
        <a:lstStyle/>
        <a:p>
          <a:endParaRPr lang="es-DO" sz="1200" b="1"/>
        </a:p>
      </dgm:t>
    </dgm:pt>
    <dgm:pt modelId="{38A0927E-8625-48D6-91E9-C29AAC0D8842}" type="sibTrans" cxnId="{AF291144-BC3D-4959-B043-F00304146942}">
      <dgm:prSet/>
      <dgm:spPr/>
      <dgm:t>
        <a:bodyPr/>
        <a:lstStyle/>
        <a:p>
          <a:endParaRPr lang="es-DO" sz="1200" b="1"/>
        </a:p>
      </dgm:t>
    </dgm:pt>
    <dgm:pt modelId="{20FA6EBA-CF94-43A8-9BD8-92DC46178AC7}" type="pres">
      <dgm:prSet presAssocID="{F28780C2-3E7F-4D10-87A6-29742237906D}" presName="diagram" presStyleCnt="0">
        <dgm:presLayoutVars>
          <dgm:dir/>
          <dgm:resizeHandles val="exact"/>
        </dgm:presLayoutVars>
      </dgm:prSet>
      <dgm:spPr/>
      <dgm:t>
        <a:bodyPr/>
        <a:lstStyle/>
        <a:p>
          <a:endParaRPr lang="es-ES"/>
        </a:p>
      </dgm:t>
    </dgm:pt>
    <dgm:pt modelId="{B536F1A9-1AD0-454C-9BBE-13B29F04CBE6}" type="pres">
      <dgm:prSet presAssocID="{EC198070-F011-48FD-95E7-D440E966F636}" presName="node" presStyleLbl="node1" presStyleIdx="0" presStyleCnt="5">
        <dgm:presLayoutVars>
          <dgm:bulletEnabled val="1"/>
        </dgm:presLayoutVars>
      </dgm:prSet>
      <dgm:spPr>
        <a:prstGeom prst="round2DiagRect">
          <a:avLst/>
        </a:prstGeom>
      </dgm:spPr>
      <dgm:t>
        <a:bodyPr/>
        <a:lstStyle/>
        <a:p>
          <a:endParaRPr lang="es-ES"/>
        </a:p>
      </dgm:t>
    </dgm:pt>
    <dgm:pt modelId="{4A01D82E-6788-42FD-A53B-17E4B914C802}" type="pres">
      <dgm:prSet presAssocID="{4A0C45DA-7A83-459D-8FBD-7D69F93312A4}" presName="sibTrans" presStyleCnt="0"/>
      <dgm:spPr/>
    </dgm:pt>
    <dgm:pt modelId="{9499EE2B-C4F5-431D-8781-384951B85FCB}" type="pres">
      <dgm:prSet presAssocID="{1024F087-4642-4DA1-8B69-6AD0BDD8383E}" presName="node" presStyleLbl="node1" presStyleIdx="1" presStyleCnt="5">
        <dgm:presLayoutVars>
          <dgm:bulletEnabled val="1"/>
        </dgm:presLayoutVars>
      </dgm:prSet>
      <dgm:spPr>
        <a:prstGeom prst="round2SameRect">
          <a:avLst/>
        </a:prstGeom>
      </dgm:spPr>
      <dgm:t>
        <a:bodyPr/>
        <a:lstStyle/>
        <a:p>
          <a:endParaRPr lang="es-ES"/>
        </a:p>
      </dgm:t>
    </dgm:pt>
    <dgm:pt modelId="{3EC2AE4E-F5FA-46F1-B81F-44A460520A03}" type="pres">
      <dgm:prSet presAssocID="{74AF8513-2616-4F09-93FB-1291BBAC5775}" presName="sibTrans" presStyleCnt="0"/>
      <dgm:spPr/>
    </dgm:pt>
    <dgm:pt modelId="{53FAA430-68C7-4365-B64D-21C84A863735}" type="pres">
      <dgm:prSet presAssocID="{9A1916B8-DA57-49EC-A0B8-DFD00C58D77C}" presName="node" presStyleLbl="node1" presStyleIdx="2" presStyleCnt="5">
        <dgm:presLayoutVars>
          <dgm:bulletEnabled val="1"/>
        </dgm:presLayoutVars>
      </dgm:prSet>
      <dgm:spPr>
        <a:prstGeom prst="round1Rect">
          <a:avLst/>
        </a:prstGeom>
      </dgm:spPr>
      <dgm:t>
        <a:bodyPr/>
        <a:lstStyle/>
        <a:p>
          <a:endParaRPr lang="es-ES"/>
        </a:p>
      </dgm:t>
    </dgm:pt>
    <dgm:pt modelId="{4D88AE30-3077-4CDA-95A8-36B9A1EBCE6C}" type="pres">
      <dgm:prSet presAssocID="{88DA5B69-0050-4D7E-B59D-5C069C991EB3}" presName="sibTrans" presStyleCnt="0"/>
      <dgm:spPr/>
    </dgm:pt>
    <dgm:pt modelId="{A4A687CF-80E4-4BBE-96E0-0F3B23117F18}" type="pres">
      <dgm:prSet presAssocID="{89D4CFE6-6E66-48B5-9252-2F571F2467D1}" presName="node" presStyleLbl="node1" presStyleIdx="3" presStyleCnt="5">
        <dgm:presLayoutVars>
          <dgm:bulletEnabled val="1"/>
        </dgm:presLayoutVars>
      </dgm:prSet>
      <dgm:spPr>
        <a:prstGeom prst="roundRect">
          <a:avLst/>
        </a:prstGeom>
      </dgm:spPr>
      <dgm:t>
        <a:bodyPr/>
        <a:lstStyle/>
        <a:p>
          <a:endParaRPr lang="es-ES"/>
        </a:p>
      </dgm:t>
    </dgm:pt>
    <dgm:pt modelId="{99027FC2-61D1-4DBF-8071-1A25086A8451}" type="pres">
      <dgm:prSet presAssocID="{755A2D0C-9048-40E6-9A42-7A6842539B8F}" presName="sibTrans" presStyleCnt="0"/>
      <dgm:spPr/>
    </dgm:pt>
    <dgm:pt modelId="{56F8A217-3688-4A4A-BBB4-BF3691034B39}" type="pres">
      <dgm:prSet presAssocID="{18363301-E1CF-4845-B899-17023ACF98AE}" presName="node" presStyleLbl="node1" presStyleIdx="4" presStyleCnt="5">
        <dgm:presLayoutVars>
          <dgm:bulletEnabled val="1"/>
        </dgm:presLayoutVars>
      </dgm:prSet>
      <dgm:spPr>
        <a:prstGeom prst="roundRect">
          <a:avLst/>
        </a:prstGeom>
      </dgm:spPr>
      <dgm:t>
        <a:bodyPr/>
        <a:lstStyle/>
        <a:p>
          <a:endParaRPr lang="es-ES"/>
        </a:p>
      </dgm:t>
    </dgm:pt>
  </dgm:ptLst>
  <dgm:cxnLst>
    <dgm:cxn modelId="{05EBA39D-42D6-441F-A237-68A1E85CF161}" type="presOf" srcId="{1024F087-4642-4DA1-8B69-6AD0BDD8383E}" destId="{9499EE2B-C4F5-431D-8781-384951B85FCB}" srcOrd="0" destOrd="0" presId="urn:microsoft.com/office/officeart/2005/8/layout/default"/>
    <dgm:cxn modelId="{AF291144-BC3D-4959-B043-F00304146942}" srcId="{F28780C2-3E7F-4D10-87A6-29742237906D}" destId="{18363301-E1CF-4845-B899-17023ACF98AE}" srcOrd="4" destOrd="0" parTransId="{FC299E44-04D0-487D-8CC7-EA5CDAF2B21F}" sibTransId="{38A0927E-8625-48D6-91E9-C29AAC0D8842}"/>
    <dgm:cxn modelId="{EF7CCBC1-0846-4AAC-8264-FAD37F542980}" type="presOf" srcId="{9A1916B8-DA57-49EC-A0B8-DFD00C58D77C}" destId="{53FAA430-68C7-4365-B64D-21C84A863735}" srcOrd="0" destOrd="0" presId="urn:microsoft.com/office/officeart/2005/8/layout/default"/>
    <dgm:cxn modelId="{DEDDE5C3-9C40-47D1-B0AC-DA40BC56F4EA}" type="presOf" srcId="{89D4CFE6-6E66-48B5-9252-2F571F2467D1}" destId="{A4A687CF-80E4-4BBE-96E0-0F3B23117F18}" srcOrd="0" destOrd="0" presId="urn:microsoft.com/office/officeart/2005/8/layout/default"/>
    <dgm:cxn modelId="{8B098A1C-50EB-40AE-8703-3BB5F36F2DD1}" srcId="{F28780C2-3E7F-4D10-87A6-29742237906D}" destId="{EC198070-F011-48FD-95E7-D440E966F636}" srcOrd="0" destOrd="0" parTransId="{61A4D478-B08A-4D38-B1CF-4B73C4C10E4F}" sibTransId="{4A0C45DA-7A83-459D-8FBD-7D69F93312A4}"/>
    <dgm:cxn modelId="{F1685ECF-DAA7-4A02-8C7F-14B10C8F873C}" type="presOf" srcId="{18363301-E1CF-4845-B899-17023ACF98AE}" destId="{56F8A217-3688-4A4A-BBB4-BF3691034B39}" srcOrd="0" destOrd="0" presId="urn:microsoft.com/office/officeart/2005/8/layout/default"/>
    <dgm:cxn modelId="{2D728E77-0C3F-4444-85FC-E7E7D1508A27}" type="presOf" srcId="{F28780C2-3E7F-4D10-87A6-29742237906D}" destId="{20FA6EBA-CF94-43A8-9BD8-92DC46178AC7}" srcOrd="0" destOrd="0" presId="urn:microsoft.com/office/officeart/2005/8/layout/default"/>
    <dgm:cxn modelId="{453D2A73-55F1-463E-8C1F-7DF46FC11DA8}" srcId="{F28780C2-3E7F-4D10-87A6-29742237906D}" destId="{89D4CFE6-6E66-48B5-9252-2F571F2467D1}" srcOrd="3" destOrd="0" parTransId="{317FA527-6B11-4F18-B859-2FF55ADF2444}" sibTransId="{755A2D0C-9048-40E6-9A42-7A6842539B8F}"/>
    <dgm:cxn modelId="{834E2038-29C3-483D-ADB8-05BB37196E7C}" srcId="{F28780C2-3E7F-4D10-87A6-29742237906D}" destId="{1024F087-4642-4DA1-8B69-6AD0BDD8383E}" srcOrd="1" destOrd="0" parTransId="{8D1F31C4-1B1F-436C-AA94-6E2B0AAEB124}" sibTransId="{74AF8513-2616-4F09-93FB-1291BBAC5775}"/>
    <dgm:cxn modelId="{B04FD456-0570-471F-93DA-8611C0465518}" type="presOf" srcId="{EC198070-F011-48FD-95E7-D440E966F636}" destId="{B536F1A9-1AD0-454C-9BBE-13B29F04CBE6}" srcOrd="0" destOrd="0" presId="urn:microsoft.com/office/officeart/2005/8/layout/default"/>
    <dgm:cxn modelId="{8BE23AC0-54EA-49B1-925D-1C6AA2A5D961}" srcId="{F28780C2-3E7F-4D10-87A6-29742237906D}" destId="{9A1916B8-DA57-49EC-A0B8-DFD00C58D77C}" srcOrd="2" destOrd="0" parTransId="{96C77604-426F-49C5-B607-F33C7CEF7453}" sibTransId="{88DA5B69-0050-4D7E-B59D-5C069C991EB3}"/>
    <dgm:cxn modelId="{EC4549B3-3935-4639-B0F9-CDBFAE067893}" type="presParOf" srcId="{20FA6EBA-CF94-43A8-9BD8-92DC46178AC7}" destId="{B536F1A9-1AD0-454C-9BBE-13B29F04CBE6}" srcOrd="0" destOrd="0" presId="urn:microsoft.com/office/officeart/2005/8/layout/default"/>
    <dgm:cxn modelId="{AE187514-8CA2-4BDA-9A79-CE18F4FEC2AD}" type="presParOf" srcId="{20FA6EBA-CF94-43A8-9BD8-92DC46178AC7}" destId="{4A01D82E-6788-42FD-A53B-17E4B914C802}" srcOrd="1" destOrd="0" presId="urn:microsoft.com/office/officeart/2005/8/layout/default"/>
    <dgm:cxn modelId="{C4D22A30-3BC5-44FF-8007-87D508980D46}" type="presParOf" srcId="{20FA6EBA-CF94-43A8-9BD8-92DC46178AC7}" destId="{9499EE2B-C4F5-431D-8781-384951B85FCB}" srcOrd="2" destOrd="0" presId="urn:microsoft.com/office/officeart/2005/8/layout/default"/>
    <dgm:cxn modelId="{08F396A3-EAFF-430A-B492-B03381631ACD}" type="presParOf" srcId="{20FA6EBA-CF94-43A8-9BD8-92DC46178AC7}" destId="{3EC2AE4E-F5FA-46F1-B81F-44A460520A03}" srcOrd="3" destOrd="0" presId="urn:microsoft.com/office/officeart/2005/8/layout/default"/>
    <dgm:cxn modelId="{7A68072F-A712-445A-8B83-7B75AB437645}" type="presParOf" srcId="{20FA6EBA-CF94-43A8-9BD8-92DC46178AC7}" destId="{53FAA430-68C7-4365-B64D-21C84A863735}" srcOrd="4" destOrd="0" presId="urn:microsoft.com/office/officeart/2005/8/layout/default"/>
    <dgm:cxn modelId="{F294F314-673A-4207-ABB3-2EE8B059AAFA}" type="presParOf" srcId="{20FA6EBA-CF94-43A8-9BD8-92DC46178AC7}" destId="{4D88AE30-3077-4CDA-95A8-36B9A1EBCE6C}" srcOrd="5" destOrd="0" presId="urn:microsoft.com/office/officeart/2005/8/layout/default"/>
    <dgm:cxn modelId="{88097CA5-F5FF-45D1-A710-3919FDF44B82}" type="presParOf" srcId="{20FA6EBA-CF94-43A8-9BD8-92DC46178AC7}" destId="{A4A687CF-80E4-4BBE-96E0-0F3B23117F18}" srcOrd="6" destOrd="0" presId="urn:microsoft.com/office/officeart/2005/8/layout/default"/>
    <dgm:cxn modelId="{594D08B6-D1BF-4D1A-B5BC-79B933BD5F98}" type="presParOf" srcId="{20FA6EBA-CF94-43A8-9BD8-92DC46178AC7}" destId="{99027FC2-61D1-4DBF-8071-1A25086A8451}" srcOrd="7" destOrd="0" presId="urn:microsoft.com/office/officeart/2005/8/layout/default"/>
    <dgm:cxn modelId="{EC75BA3A-9248-4C12-A94B-A0F4392A171C}" type="presParOf" srcId="{20FA6EBA-CF94-43A8-9BD8-92DC46178AC7}" destId="{56F8A217-3688-4A4A-BBB4-BF3691034B39}" srcOrd="8" destOrd="0" presId="urn:microsoft.com/office/officeart/2005/8/layout/default"/>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E77EE65-69E5-4167-A808-AB849AFCA84F}" type="doc">
      <dgm:prSet loTypeId="urn:microsoft.com/office/officeart/2005/8/layout/matrix2" loCatId="matrix" qsTypeId="urn:microsoft.com/office/officeart/2005/8/quickstyle/simple5" qsCatId="simple" csTypeId="urn:microsoft.com/office/officeart/2005/8/colors/colorful3" csCatId="colorful" phldr="1"/>
      <dgm:spPr/>
      <dgm:t>
        <a:bodyPr/>
        <a:lstStyle/>
        <a:p>
          <a:endParaRPr lang="es-DO"/>
        </a:p>
      </dgm:t>
    </dgm:pt>
    <dgm:pt modelId="{B72F08C6-2130-4497-BCD8-955500D5EAFD}">
      <dgm:prSet phldrT="[Texto]" custT="1"/>
      <dgm:spPr/>
      <dgm:t>
        <a:bodyPr/>
        <a:lstStyle/>
        <a:p>
          <a:r>
            <a:rPr lang="es-DO" sz="1200" b="1"/>
            <a:t>Sostenibilidad Agroecologica</a:t>
          </a:r>
        </a:p>
      </dgm:t>
    </dgm:pt>
    <dgm:pt modelId="{C7223C1A-E096-4F86-A481-C3558D659025}" type="parTrans" cxnId="{78772F23-AFFB-4967-B728-CACEDBC50F11}">
      <dgm:prSet/>
      <dgm:spPr/>
      <dgm:t>
        <a:bodyPr/>
        <a:lstStyle/>
        <a:p>
          <a:endParaRPr lang="es-DO" sz="1400" b="1"/>
        </a:p>
      </dgm:t>
    </dgm:pt>
    <dgm:pt modelId="{6A76ECF5-D658-41CF-87D8-C66AA1F0FCA6}" type="sibTrans" cxnId="{78772F23-AFFB-4967-B728-CACEDBC50F11}">
      <dgm:prSet/>
      <dgm:spPr/>
      <dgm:t>
        <a:bodyPr/>
        <a:lstStyle/>
        <a:p>
          <a:endParaRPr lang="es-DO" sz="1400" b="1"/>
        </a:p>
      </dgm:t>
    </dgm:pt>
    <dgm:pt modelId="{83279F6C-9342-49A0-B72A-EC87E208D6D9}">
      <dgm:prSet phldrT="[Texto]" custT="1"/>
      <dgm:spPr/>
      <dgm:t>
        <a:bodyPr/>
        <a:lstStyle/>
        <a:p>
          <a:r>
            <a:rPr lang="es-DO" sz="1200" b="1"/>
            <a:t>Equidad social en el medio rural</a:t>
          </a:r>
        </a:p>
      </dgm:t>
    </dgm:pt>
    <dgm:pt modelId="{846A2B0B-70EB-4EA0-BBFE-BC0E573ACAA3}" type="parTrans" cxnId="{C5B9BC93-0B47-4322-A9FB-01F5A8C245A2}">
      <dgm:prSet/>
      <dgm:spPr/>
      <dgm:t>
        <a:bodyPr/>
        <a:lstStyle/>
        <a:p>
          <a:endParaRPr lang="es-DO" sz="1400" b="1"/>
        </a:p>
      </dgm:t>
    </dgm:pt>
    <dgm:pt modelId="{BA975D87-72A5-4D27-8A31-36142713361B}" type="sibTrans" cxnId="{C5B9BC93-0B47-4322-A9FB-01F5A8C245A2}">
      <dgm:prSet/>
      <dgm:spPr/>
      <dgm:t>
        <a:bodyPr/>
        <a:lstStyle/>
        <a:p>
          <a:endParaRPr lang="es-DO" sz="1400" b="1"/>
        </a:p>
      </dgm:t>
    </dgm:pt>
    <dgm:pt modelId="{179F1444-8933-4B1D-B187-47A38AC49735}">
      <dgm:prSet phldrT="[Texto]" custT="1"/>
      <dgm:spPr/>
      <dgm:t>
        <a:bodyPr/>
        <a:lstStyle/>
        <a:p>
          <a:r>
            <a:rPr lang="es-DO" sz="1200" b="1"/>
            <a:t>Política de Genero</a:t>
          </a:r>
        </a:p>
      </dgm:t>
    </dgm:pt>
    <dgm:pt modelId="{2F2F19E1-AE0D-4F2D-A516-3776107E4980}" type="parTrans" cxnId="{095DC093-115D-4735-B834-012AC3E9C977}">
      <dgm:prSet/>
      <dgm:spPr/>
      <dgm:t>
        <a:bodyPr/>
        <a:lstStyle/>
        <a:p>
          <a:endParaRPr lang="es-DO" sz="1400" b="1"/>
        </a:p>
      </dgm:t>
    </dgm:pt>
    <dgm:pt modelId="{6662C86D-E986-45E2-8FEA-EAFD5A3F37B9}" type="sibTrans" cxnId="{095DC093-115D-4735-B834-012AC3E9C977}">
      <dgm:prSet/>
      <dgm:spPr/>
      <dgm:t>
        <a:bodyPr/>
        <a:lstStyle/>
        <a:p>
          <a:endParaRPr lang="es-DO" sz="1400" b="1"/>
        </a:p>
      </dgm:t>
    </dgm:pt>
    <dgm:pt modelId="{2378A77B-75C3-4B0D-A2F3-E5C677102309}">
      <dgm:prSet phldrT="[Texto]" custT="1"/>
      <dgm:spPr/>
      <dgm:t>
        <a:bodyPr/>
        <a:lstStyle/>
        <a:p>
          <a:r>
            <a:rPr lang="es-DO" sz="1200" b="1"/>
            <a:t>Fomento y fortalecimiento de la Agricultura Familiar</a:t>
          </a:r>
        </a:p>
      </dgm:t>
    </dgm:pt>
    <dgm:pt modelId="{DB3B6D00-FDDD-40B5-9196-6E261095B486}" type="parTrans" cxnId="{C985E08E-D89F-46C2-8532-8C3FA915B3E5}">
      <dgm:prSet/>
      <dgm:spPr/>
      <dgm:t>
        <a:bodyPr/>
        <a:lstStyle/>
        <a:p>
          <a:endParaRPr lang="es-DO" sz="1400" b="1"/>
        </a:p>
      </dgm:t>
    </dgm:pt>
    <dgm:pt modelId="{6C18DDED-D058-4626-9EE2-3185984E9D56}" type="sibTrans" cxnId="{C985E08E-D89F-46C2-8532-8C3FA915B3E5}">
      <dgm:prSet/>
      <dgm:spPr/>
      <dgm:t>
        <a:bodyPr/>
        <a:lstStyle/>
        <a:p>
          <a:endParaRPr lang="es-DO" sz="1400" b="1"/>
        </a:p>
      </dgm:t>
    </dgm:pt>
    <dgm:pt modelId="{63788FAA-60A5-4F09-B20D-70488FF837C0}" type="pres">
      <dgm:prSet presAssocID="{6E77EE65-69E5-4167-A808-AB849AFCA84F}" presName="matrix" presStyleCnt="0">
        <dgm:presLayoutVars>
          <dgm:chMax val="1"/>
          <dgm:dir/>
          <dgm:resizeHandles val="exact"/>
        </dgm:presLayoutVars>
      </dgm:prSet>
      <dgm:spPr/>
      <dgm:t>
        <a:bodyPr/>
        <a:lstStyle/>
        <a:p>
          <a:endParaRPr lang="es-ES"/>
        </a:p>
      </dgm:t>
    </dgm:pt>
    <dgm:pt modelId="{3B9D0E50-A4EB-46AC-985C-8F7675E87548}" type="pres">
      <dgm:prSet presAssocID="{6E77EE65-69E5-4167-A808-AB849AFCA84F}" presName="axisShape" presStyleLbl="bgShp" presStyleIdx="0" presStyleCnt="1"/>
      <dgm:spPr/>
    </dgm:pt>
    <dgm:pt modelId="{53D78510-51A2-4559-BE6E-3FAC2A22E4A2}" type="pres">
      <dgm:prSet presAssocID="{6E77EE65-69E5-4167-A808-AB849AFCA84F}" presName="rect1" presStyleLbl="node1" presStyleIdx="0" presStyleCnt="4">
        <dgm:presLayoutVars>
          <dgm:chMax val="0"/>
          <dgm:chPref val="0"/>
          <dgm:bulletEnabled val="1"/>
        </dgm:presLayoutVars>
      </dgm:prSet>
      <dgm:spPr/>
      <dgm:t>
        <a:bodyPr/>
        <a:lstStyle/>
        <a:p>
          <a:endParaRPr lang="es-ES"/>
        </a:p>
      </dgm:t>
    </dgm:pt>
    <dgm:pt modelId="{F2F0D216-EB22-435F-8702-F87E8DCBAB4F}" type="pres">
      <dgm:prSet presAssocID="{6E77EE65-69E5-4167-A808-AB849AFCA84F}" presName="rect2" presStyleLbl="node1" presStyleIdx="1" presStyleCnt="4">
        <dgm:presLayoutVars>
          <dgm:chMax val="0"/>
          <dgm:chPref val="0"/>
          <dgm:bulletEnabled val="1"/>
        </dgm:presLayoutVars>
      </dgm:prSet>
      <dgm:spPr/>
      <dgm:t>
        <a:bodyPr/>
        <a:lstStyle/>
        <a:p>
          <a:endParaRPr lang="es-ES"/>
        </a:p>
      </dgm:t>
    </dgm:pt>
    <dgm:pt modelId="{D7D36BCC-F854-4992-9364-5D8785284EEA}" type="pres">
      <dgm:prSet presAssocID="{6E77EE65-69E5-4167-A808-AB849AFCA84F}" presName="rect3" presStyleLbl="node1" presStyleIdx="2" presStyleCnt="4">
        <dgm:presLayoutVars>
          <dgm:chMax val="0"/>
          <dgm:chPref val="0"/>
          <dgm:bulletEnabled val="1"/>
        </dgm:presLayoutVars>
      </dgm:prSet>
      <dgm:spPr/>
      <dgm:t>
        <a:bodyPr/>
        <a:lstStyle/>
        <a:p>
          <a:endParaRPr lang="es-ES"/>
        </a:p>
      </dgm:t>
    </dgm:pt>
    <dgm:pt modelId="{0A3C300A-A689-4804-A6B5-0102B1AF7613}" type="pres">
      <dgm:prSet presAssocID="{6E77EE65-69E5-4167-A808-AB849AFCA84F}" presName="rect4" presStyleLbl="node1" presStyleIdx="3" presStyleCnt="4">
        <dgm:presLayoutVars>
          <dgm:chMax val="0"/>
          <dgm:chPref val="0"/>
          <dgm:bulletEnabled val="1"/>
        </dgm:presLayoutVars>
      </dgm:prSet>
      <dgm:spPr/>
      <dgm:t>
        <a:bodyPr/>
        <a:lstStyle/>
        <a:p>
          <a:endParaRPr lang="es-ES"/>
        </a:p>
      </dgm:t>
    </dgm:pt>
  </dgm:ptLst>
  <dgm:cxnLst>
    <dgm:cxn modelId="{C5B9BC93-0B47-4322-A9FB-01F5A8C245A2}" srcId="{6E77EE65-69E5-4167-A808-AB849AFCA84F}" destId="{83279F6C-9342-49A0-B72A-EC87E208D6D9}" srcOrd="1" destOrd="0" parTransId="{846A2B0B-70EB-4EA0-BBFE-BC0E573ACAA3}" sibTransId="{BA975D87-72A5-4D27-8A31-36142713361B}"/>
    <dgm:cxn modelId="{78BA099F-B471-428F-BC46-6D3F937A09C1}" type="presOf" srcId="{B72F08C6-2130-4497-BCD8-955500D5EAFD}" destId="{53D78510-51A2-4559-BE6E-3FAC2A22E4A2}" srcOrd="0" destOrd="0" presId="urn:microsoft.com/office/officeart/2005/8/layout/matrix2"/>
    <dgm:cxn modelId="{FA31E4CA-7B1C-4476-A0CB-2E4036E57DFB}" type="presOf" srcId="{6E77EE65-69E5-4167-A808-AB849AFCA84F}" destId="{63788FAA-60A5-4F09-B20D-70488FF837C0}" srcOrd="0" destOrd="0" presId="urn:microsoft.com/office/officeart/2005/8/layout/matrix2"/>
    <dgm:cxn modelId="{095DC093-115D-4735-B834-012AC3E9C977}" srcId="{6E77EE65-69E5-4167-A808-AB849AFCA84F}" destId="{179F1444-8933-4B1D-B187-47A38AC49735}" srcOrd="2" destOrd="0" parTransId="{2F2F19E1-AE0D-4F2D-A516-3776107E4980}" sibTransId="{6662C86D-E986-45E2-8FEA-EAFD5A3F37B9}"/>
    <dgm:cxn modelId="{78772F23-AFFB-4967-B728-CACEDBC50F11}" srcId="{6E77EE65-69E5-4167-A808-AB849AFCA84F}" destId="{B72F08C6-2130-4497-BCD8-955500D5EAFD}" srcOrd="0" destOrd="0" parTransId="{C7223C1A-E096-4F86-A481-C3558D659025}" sibTransId="{6A76ECF5-D658-41CF-87D8-C66AA1F0FCA6}"/>
    <dgm:cxn modelId="{C985E08E-D89F-46C2-8532-8C3FA915B3E5}" srcId="{6E77EE65-69E5-4167-A808-AB849AFCA84F}" destId="{2378A77B-75C3-4B0D-A2F3-E5C677102309}" srcOrd="3" destOrd="0" parTransId="{DB3B6D00-FDDD-40B5-9196-6E261095B486}" sibTransId="{6C18DDED-D058-4626-9EE2-3185984E9D56}"/>
    <dgm:cxn modelId="{C082041E-2F93-4412-B937-F61001515E85}" type="presOf" srcId="{2378A77B-75C3-4B0D-A2F3-E5C677102309}" destId="{0A3C300A-A689-4804-A6B5-0102B1AF7613}" srcOrd="0" destOrd="0" presId="urn:microsoft.com/office/officeart/2005/8/layout/matrix2"/>
    <dgm:cxn modelId="{B9A04B99-9F72-4F01-9C09-8E922830C57C}" type="presOf" srcId="{179F1444-8933-4B1D-B187-47A38AC49735}" destId="{D7D36BCC-F854-4992-9364-5D8785284EEA}" srcOrd="0" destOrd="0" presId="urn:microsoft.com/office/officeart/2005/8/layout/matrix2"/>
    <dgm:cxn modelId="{14289E36-7683-4FDB-BBB1-3FBECDB8E2D2}" type="presOf" srcId="{83279F6C-9342-49A0-B72A-EC87E208D6D9}" destId="{F2F0D216-EB22-435F-8702-F87E8DCBAB4F}" srcOrd="0" destOrd="0" presId="urn:microsoft.com/office/officeart/2005/8/layout/matrix2"/>
    <dgm:cxn modelId="{9FB65197-88D2-44D8-A441-E748233ABD37}" type="presParOf" srcId="{63788FAA-60A5-4F09-B20D-70488FF837C0}" destId="{3B9D0E50-A4EB-46AC-985C-8F7675E87548}" srcOrd="0" destOrd="0" presId="urn:microsoft.com/office/officeart/2005/8/layout/matrix2"/>
    <dgm:cxn modelId="{D593F9AC-7A2A-432D-9AE3-6494C3E8E12E}" type="presParOf" srcId="{63788FAA-60A5-4F09-B20D-70488FF837C0}" destId="{53D78510-51A2-4559-BE6E-3FAC2A22E4A2}" srcOrd="1" destOrd="0" presId="urn:microsoft.com/office/officeart/2005/8/layout/matrix2"/>
    <dgm:cxn modelId="{FAC6F9C7-F5A6-4F17-970A-830FFC7D75A6}" type="presParOf" srcId="{63788FAA-60A5-4F09-B20D-70488FF837C0}" destId="{F2F0D216-EB22-435F-8702-F87E8DCBAB4F}" srcOrd="2" destOrd="0" presId="urn:microsoft.com/office/officeart/2005/8/layout/matrix2"/>
    <dgm:cxn modelId="{E89A5DC8-9393-4E95-B2F4-EA629926305E}" type="presParOf" srcId="{63788FAA-60A5-4F09-B20D-70488FF837C0}" destId="{D7D36BCC-F854-4992-9364-5D8785284EEA}" srcOrd="3" destOrd="0" presId="urn:microsoft.com/office/officeart/2005/8/layout/matrix2"/>
    <dgm:cxn modelId="{023F599F-D65B-44B3-9D24-B818E675F98F}" type="presParOf" srcId="{63788FAA-60A5-4F09-B20D-70488FF837C0}" destId="{0A3C300A-A689-4804-A6B5-0102B1AF7613}" srcOrd="4" destOrd="0" presId="urn:microsoft.com/office/officeart/2005/8/layout/matrix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C468E6-C704-4A6F-A23F-94B2D4F2B3AE}">
      <dsp:nvSpPr>
        <dsp:cNvPr id="0" name=""/>
        <dsp:cNvSpPr/>
      </dsp:nvSpPr>
      <dsp:spPr>
        <a:xfrm>
          <a:off x="1659213" y="373338"/>
          <a:ext cx="2558498" cy="2558498"/>
        </a:xfrm>
        <a:prstGeom prst="blockArc">
          <a:avLst>
            <a:gd name="adj1" fmla="val 12600000"/>
            <a:gd name="adj2" fmla="val 16200000"/>
            <a:gd name="adj3" fmla="val 4517"/>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3D30672D-5B76-4AB1-99ED-8D27D4CBD685}">
      <dsp:nvSpPr>
        <dsp:cNvPr id="0" name=""/>
        <dsp:cNvSpPr/>
      </dsp:nvSpPr>
      <dsp:spPr>
        <a:xfrm>
          <a:off x="1659213" y="373338"/>
          <a:ext cx="2558498" cy="2558498"/>
        </a:xfrm>
        <a:prstGeom prst="blockArc">
          <a:avLst>
            <a:gd name="adj1" fmla="val 9000000"/>
            <a:gd name="adj2" fmla="val 12600000"/>
            <a:gd name="adj3" fmla="val 4517"/>
          </a:avLst>
        </a:prstGeom>
        <a:solidFill>
          <a:schemeClr val="accent4"/>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FBE88F7F-2944-4241-A645-FA14540C2909}">
      <dsp:nvSpPr>
        <dsp:cNvPr id="0" name=""/>
        <dsp:cNvSpPr/>
      </dsp:nvSpPr>
      <dsp:spPr>
        <a:xfrm>
          <a:off x="1659213" y="373338"/>
          <a:ext cx="2558498" cy="2558498"/>
        </a:xfrm>
        <a:prstGeom prst="blockArc">
          <a:avLst>
            <a:gd name="adj1" fmla="val 5400000"/>
            <a:gd name="adj2" fmla="val 9000000"/>
            <a:gd name="adj3" fmla="val 4517"/>
          </a:avLst>
        </a:prstGeom>
        <a:gradFill rotWithShape="0">
          <a:gsLst>
            <a:gs pos="0">
              <a:schemeClr val="accent5">
                <a:hueOff val="-5960326"/>
                <a:satOff val="23887"/>
                <a:lumOff val="5177"/>
                <a:alphaOff val="0"/>
                <a:shade val="51000"/>
                <a:satMod val="130000"/>
              </a:schemeClr>
            </a:gs>
            <a:gs pos="80000">
              <a:schemeClr val="accent5">
                <a:hueOff val="-5960326"/>
                <a:satOff val="23887"/>
                <a:lumOff val="5177"/>
                <a:alphaOff val="0"/>
                <a:shade val="93000"/>
                <a:satMod val="130000"/>
              </a:schemeClr>
            </a:gs>
            <a:gs pos="100000">
              <a:schemeClr val="accent5">
                <a:hueOff val="-5960326"/>
                <a:satOff val="23887"/>
                <a:lumOff val="517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EA3D4BC8-0E03-4BE2-BCBC-F4549DA0826D}">
      <dsp:nvSpPr>
        <dsp:cNvPr id="0" name=""/>
        <dsp:cNvSpPr/>
      </dsp:nvSpPr>
      <dsp:spPr>
        <a:xfrm>
          <a:off x="1659213" y="373338"/>
          <a:ext cx="2558498" cy="2558498"/>
        </a:xfrm>
        <a:prstGeom prst="blockArc">
          <a:avLst>
            <a:gd name="adj1" fmla="val 1800000"/>
            <a:gd name="adj2" fmla="val 5400000"/>
            <a:gd name="adj3" fmla="val 4517"/>
          </a:avLst>
        </a:prstGeom>
        <a:solidFill>
          <a:schemeClr val="accent1"/>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1C4A1B9-689A-4BBF-B697-8B3B75D47FFB}">
      <dsp:nvSpPr>
        <dsp:cNvPr id="0" name=""/>
        <dsp:cNvSpPr/>
      </dsp:nvSpPr>
      <dsp:spPr>
        <a:xfrm>
          <a:off x="1659213" y="373338"/>
          <a:ext cx="2558498" cy="2558498"/>
        </a:xfrm>
        <a:prstGeom prst="blockArc">
          <a:avLst>
            <a:gd name="adj1" fmla="val 19800000"/>
            <a:gd name="adj2" fmla="val 1800000"/>
            <a:gd name="adj3" fmla="val 4517"/>
          </a:avLst>
        </a:prstGeom>
        <a:gradFill rotWithShape="0">
          <a:gsLst>
            <a:gs pos="0">
              <a:schemeClr val="accent5">
                <a:hueOff val="-1986775"/>
                <a:satOff val="7962"/>
                <a:lumOff val="1726"/>
                <a:alphaOff val="0"/>
                <a:shade val="51000"/>
                <a:satMod val="130000"/>
              </a:schemeClr>
            </a:gs>
            <a:gs pos="80000">
              <a:schemeClr val="accent5">
                <a:hueOff val="-1986775"/>
                <a:satOff val="7962"/>
                <a:lumOff val="1726"/>
                <a:alphaOff val="0"/>
                <a:shade val="93000"/>
                <a:satMod val="130000"/>
              </a:schemeClr>
            </a:gs>
            <a:gs pos="100000">
              <a:schemeClr val="accent5">
                <a:hueOff val="-1986775"/>
                <a:satOff val="7962"/>
                <a:lumOff val="172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C02933B-C87B-40BE-941F-BE809A77547C}">
      <dsp:nvSpPr>
        <dsp:cNvPr id="0" name=""/>
        <dsp:cNvSpPr/>
      </dsp:nvSpPr>
      <dsp:spPr>
        <a:xfrm>
          <a:off x="1659213" y="373338"/>
          <a:ext cx="2558498" cy="2558498"/>
        </a:xfrm>
        <a:prstGeom prst="blockArc">
          <a:avLst>
            <a:gd name="adj1" fmla="val 16200000"/>
            <a:gd name="adj2" fmla="val 19800000"/>
            <a:gd name="adj3" fmla="val 4517"/>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296265C6-25CA-45B1-9183-7FEF3685AB2A}">
      <dsp:nvSpPr>
        <dsp:cNvPr id="0" name=""/>
        <dsp:cNvSpPr/>
      </dsp:nvSpPr>
      <dsp:spPr>
        <a:xfrm>
          <a:off x="2365261" y="1079386"/>
          <a:ext cx="1146402" cy="1146402"/>
        </a:xfrm>
        <a:prstGeom prst="ellipse">
          <a:avLst/>
        </a:prstGeom>
        <a:solidFill>
          <a:srgbClr val="C0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s-DO" sz="1300" kern="1200">
              <a:latin typeface="Times New Roman" panose="02020603050405020304" pitchFamily="18" charset="0"/>
              <a:cs typeface="Times New Roman" panose="02020603050405020304" pitchFamily="18" charset="0"/>
            </a:rPr>
            <a:t>Plan Estrategico Visión 2050</a:t>
          </a:r>
        </a:p>
      </dsp:txBody>
      <dsp:txXfrm>
        <a:off x="2533148" y="1247273"/>
        <a:ext cx="810628" cy="810628"/>
      </dsp:txXfrm>
    </dsp:sp>
    <dsp:sp modelId="{EA4C318B-B7C2-4DC1-B36D-F9FD3920F090}">
      <dsp:nvSpPr>
        <dsp:cNvPr id="0" name=""/>
        <dsp:cNvSpPr/>
      </dsp:nvSpPr>
      <dsp:spPr>
        <a:xfrm>
          <a:off x="2537221" y="986"/>
          <a:ext cx="802481" cy="802481"/>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s-DO" sz="1300" kern="1200">
              <a:latin typeface="Times New Roman" panose="02020603050405020304" pitchFamily="18" charset="0"/>
              <a:cs typeface="Times New Roman" panose="02020603050405020304" pitchFamily="18" charset="0"/>
            </a:rPr>
            <a:t>Eje 1</a:t>
          </a:r>
        </a:p>
      </dsp:txBody>
      <dsp:txXfrm>
        <a:off x="2654742" y="118507"/>
        <a:ext cx="567439" cy="567439"/>
      </dsp:txXfrm>
    </dsp:sp>
    <dsp:sp modelId="{64E6D2E7-203D-4E14-81DA-6483DBB62F62}">
      <dsp:nvSpPr>
        <dsp:cNvPr id="0" name=""/>
        <dsp:cNvSpPr/>
      </dsp:nvSpPr>
      <dsp:spPr>
        <a:xfrm>
          <a:off x="3620065" y="626166"/>
          <a:ext cx="802481" cy="802481"/>
        </a:xfrm>
        <a:prstGeom prst="ellipse">
          <a:avLst/>
        </a:prstGeom>
        <a:solidFill>
          <a:srgbClr val="00C805"/>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s-DO" sz="1300" kern="1200">
              <a:latin typeface="Times New Roman" panose="02020603050405020304" pitchFamily="18" charset="0"/>
              <a:cs typeface="Times New Roman" panose="02020603050405020304" pitchFamily="18" charset="0"/>
            </a:rPr>
            <a:t>Eje 2</a:t>
          </a:r>
        </a:p>
      </dsp:txBody>
      <dsp:txXfrm>
        <a:off x="3737586" y="743687"/>
        <a:ext cx="567439" cy="567439"/>
      </dsp:txXfrm>
    </dsp:sp>
    <dsp:sp modelId="{6CA0157E-F6B9-4B9E-AF78-0689713E675C}">
      <dsp:nvSpPr>
        <dsp:cNvPr id="0" name=""/>
        <dsp:cNvSpPr/>
      </dsp:nvSpPr>
      <dsp:spPr>
        <a:xfrm>
          <a:off x="3620065" y="1876526"/>
          <a:ext cx="802481" cy="802481"/>
        </a:xfrm>
        <a:prstGeom prst="ellipse">
          <a:avLst/>
        </a:prstGeom>
        <a:solidFill>
          <a:schemeClr val="accent1"/>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s-DO" sz="1300" kern="1200">
              <a:latin typeface="Times New Roman" panose="02020603050405020304" pitchFamily="18" charset="0"/>
              <a:cs typeface="Times New Roman" panose="02020603050405020304" pitchFamily="18" charset="0"/>
            </a:rPr>
            <a:t>Eje 3</a:t>
          </a:r>
        </a:p>
      </dsp:txBody>
      <dsp:txXfrm>
        <a:off x="3737586" y="1994047"/>
        <a:ext cx="567439" cy="567439"/>
      </dsp:txXfrm>
    </dsp:sp>
    <dsp:sp modelId="{837C83F4-C4FF-49BC-8E7B-03A1911978C4}">
      <dsp:nvSpPr>
        <dsp:cNvPr id="0" name=""/>
        <dsp:cNvSpPr/>
      </dsp:nvSpPr>
      <dsp:spPr>
        <a:xfrm>
          <a:off x="2537221" y="2501706"/>
          <a:ext cx="802481" cy="802481"/>
        </a:xfrm>
        <a:prstGeom prst="ellipse">
          <a:avLst/>
        </a:prstGeom>
        <a:gradFill rotWithShape="0">
          <a:gsLst>
            <a:gs pos="0">
              <a:schemeClr val="accent5">
                <a:hueOff val="-5960326"/>
                <a:satOff val="23887"/>
                <a:lumOff val="5177"/>
                <a:alphaOff val="0"/>
                <a:shade val="51000"/>
                <a:satMod val="130000"/>
              </a:schemeClr>
            </a:gs>
            <a:gs pos="80000">
              <a:schemeClr val="accent5">
                <a:hueOff val="-5960326"/>
                <a:satOff val="23887"/>
                <a:lumOff val="5177"/>
                <a:alphaOff val="0"/>
                <a:shade val="93000"/>
                <a:satMod val="130000"/>
              </a:schemeClr>
            </a:gs>
            <a:gs pos="100000">
              <a:schemeClr val="accent5">
                <a:hueOff val="-5960326"/>
                <a:satOff val="23887"/>
                <a:lumOff val="517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s-DO" sz="1300" kern="1200">
              <a:latin typeface="Times New Roman" panose="02020603050405020304" pitchFamily="18" charset="0"/>
              <a:cs typeface="Times New Roman" panose="02020603050405020304" pitchFamily="18" charset="0"/>
            </a:rPr>
            <a:t>Eje 4</a:t>
          </a:r>
        </a:p>
      </dsp:txBody>
      <dsp:txXfrm>
        <a:off x="2654742" y="2619227"/>
        <a:ext cx="567439" cy="567439"/>
      </dsp:txXfrm>
    </dsp:sp>
    <dsp:sp modelId="{B19EC9B0-A49E-4A62-A6BE-A21F83B5A575}">
      <dsp:nvSpPr>
        <dsp:cNvPr id="0" name=""/>
        <dsp:cNvSpPr/>
      </dsp:nvSpPr>
      <dsp:spPr>
        <a:xfrm>
          <a:off x="1454378" y="1876526"/>
          <a:ext cx="802481" cy="802481"/>
        </a:xfrm>
        <a:prstGeom prst="ellipse">
          <a:avLst/>
        </a:prstGeom>
        <a:solidFill>
          <a:schemeClr val="accent4"/>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s-DO" sz="1300" kern="1200"/>
            <a:t>Eje 5</a:t>
          </a:r>
        </a:p>
      </dsp:txBody>
      <dsp:txXfrm>
        <a:off x="1571899" y="1994047"/>
        <a:ext cx="567439" cy="567439"/>
      </dsp:txXfrm>
    </dsp:sp>
    <dsp:sp modelId="{1DA418DE-92C5-4AA3-B43B-54617AE5B0A8}">
      <dsp:nvSpPr>
        <dsp:cNvPr id="0" name=""/>
        <dsp:cNvSpPr/>
      </dsp:nvSpPr>
      <dsp:spPr>
        <a:xfrm>
          <a:off x="1454378" y="626166"/>
          <a:ext cx="802481" cy="802481"/>
        </a:xfrm>
        <a:prstGeom prst="ellipse">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s-DO" sz="1300" kern="1200"/>
            <a:t>Eje 6</a:t>
          </a:r>
        </a:p>
      </dsp:txBody>
      <dsp:txXfrm>
        <a:off x="1571899" y="743687"/>
        <a:ext cx="567439" cy="5674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B98874-0111-4BCA-AA5F-9984194A2620}">
      <dsp:nvSpPr>
        <dsp:cNvPr id="0" name=""/>
        <dsp:cNvSpPr/>
      </dsp:nvSpPr>
      <dsp:spPr>
        <a:xfrm rot="5400000">
          <a:off x="2466177" y="379576"/>
          <a:ext cx="1617844" cy="1407525"/>
        </a:xfrm>
        <a:prstGeom prst="hexagon">
          <a:avLst>
            <a:gd name="adj" fmla="val 25000"/>
            <a:gd name="vf" fmla="val 11547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DO" sz="1100" b="1" kern="1200"/>
            <a:t>Política de titulación de terrenos</a:t>
          </a:r>
        </a:p>
      </dsp:txBody>
      <dsp:txXfrm rot="-5400000">
        <a:off x="2790675" y="526531"/>
        <a:ext cx="968847" cy="1113616"/>
      </dsp:txXfrm>
    </dsp:sp>
    <dsp:sp modelId="{4403BDDB-E011-4D5C-B397-C1A338045E15}">
      <dsp:nvSpPr>
        <dsp:cNvPr id="0" name=""/>
        <dsp:cNvSpPr/>
      </dsp:nvSpPr>
      <dsp:spPr>
        <a:xfrm>
          <a:off x="4021573" y="597985"/>
          <a:ext cx="1805514" cy="970706"/>
        </a:xfrm>
        <a:prstGeom prst="rect">
          <a:avLst/>
        </a:prstGeom>
        <a:noFill/>
        <a:ln>
          <a:noFill/>
        </a:ln>
        <a:effectLst/>
      </dsp:spPr>
      <dsp:style>
        <a:lnRef idx="0">
          <a:scrgbClr r="0" g="0" b="0"/>
        </a:lnRef>
        <a:fillRef idx="0">
          <a:scrgbClr r="0" g="0" b="0"/>
        </a:fillRef>
        <a:effectRef idx="0">
          <a:scrgbClr r="0" g="0" b="0"/>
        </a:effectRef>
        <a:fontRef idx="minor"/>
      </dsp:style>
    </dsp:sp>
    <dsp:sp modelId="{89299D62-130E-4478-A03B-E0C9B4A03FB3}">
      <dsp:nvSpPr>
        <dsp:cNvPr id="0" name=""/>
        <dsp:cNvSpPr/>
      </dsp:nvSpPr>
      <dsp:spPr>
        <a:xfrm rot="5400000">
          <a:off x="946050" y="379576"/>
          <a:ext cx="1617844" cy="1407525"/>
        </a:xfrm>
        <a:prstGeom prst="hexagon">
          <a:avLst>
            <a:gd name="adj" fmla="val 25000"/>
            <a:gd name="vf" fmla="val 115470"/>
          </a:avLst>
        </a:prstGeom>
        <a:gradFill rotWithShape="0">
          <a:gsLst>
            <a:gs pos="0">
              <a:schemeClr val="accent3">
                <a:hueOff val="1250029"/>
                <a:satOff val="-1876"/>
                <a:lumOff val="-305"/>
                <a:alphaOff val="0"/>
                <a:shade val="51000"/>
                <a:satMod val="130000"/>
              </a:schemeClr>
            </a:gs>
            <a:gs pos="80000">
              <a:schemeClr val="accent3">
                <a:hueOff val="1250029"/>
                <a:satOff val="-1876"/>
                <a:lumOff val="-305"/>
                <a:alphaOff val="0"/>
                <a:shade val="93000"/>
                <a:satMod val="130000"/>
              </a:schemeClr>
            </a:gs>
            <a:gs pos="100000">
              <a:schemeClr val="accent3">
                <a:hueOff val="1250029"/>
                <a:satOff val="-1876"/>
                <a:lumOff val="-30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s-DO" sz="1000" b="1" kern="1200"/>
            <a:t>Democratización del credito y financiamiento productivo</a:t>
          </a:r>
        </a:p>
      </dsp:txBody>
      <dsp:txXfrm rot="-5400000">
        <a:off x="1270548" y="526531"/>
        <a:ext cx="968847" cy="1113616"/>
      </dsp:txXfrm>
    </dsp:sp>
    <dsp:sp modelId="{E48A4F53-23E5-4115-8C44-0C6A11AB01D9}">
      <dsp:nvSpPr>
        <dsp:cNvPr id="0" name=""/>
        <dsp:cNvSpPr/>
      </dsp:nvSpPr>
      <dsp:spPr>
        <a:xfrm rot="5400000">
          <a:off x="1703201" y="1752803"/>
          <a:ext cx="1617844" cy="1407525"/>
        </a:xfrm>
        <a:prstGeom prst="hexagon">
          <a:avLst>
            <a:gd name="adj" fmla="val 25000"/>
            <a:gd name="vf" fmla="val 115470"/>
          </a:avLst>
        </a:prstGeom>
        <a:gradFill rotWithShape="0">
          <a:gsLst>
            <a:gs pos="0">
              <a:schemeClr val="accent3">
                <a:hueOff val="2500059"/>
                <a:satOff val="-3751"/>
                <a:lumOff val="-610"/>
                <a:alphaOff val="0"/>
                <a:shade val="51000"/>
                <a:satMod val="130000"/>
              </a:schemeClr>
            </a:gs>
            <a:gs pos="80000">
              <a:schemeClr val="accent3">
                <a:hueOff val="2500059"/>
                <a:satOff val="-3751"/>
                <a:lumOff val="-610"/>
                <a:alphaOff val="0"/>
                <a:shade val="93000"/>
                <a:satMod val="130000"/>
              </a:schemeClr>
            </a:gs>
            <a:gs pos="100000">
              <a:schemeClr val="accent3">
                <a:hueOff val="2500059"/>
                <a:satOff val="-3751"/>
                <a:lumOff val="-61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DO" sz="1100" b="1" kern="1200"/>
            <a:t>Sanidad e inocuidad agropecuaria</a:t>
          </a:r>
        </a:p>
      </dsp:txBody>
      <dsp:txXfrm rot="-5400000">
        <a:off x="2027699" y="1899758"/>
        <a:ext cx="968847" cy="1113616"/>
      </dsp:txXfrm>
    </dsp:sp>
    <dsp:sp modelId="{C30012BD-0A33-4210-AFD9-A70462E526FB}">
      <dsp:nvSpPr>
        <dsp:cNvPr id="0" name=""/>
        <dsp:cNvSpPr/>
      </dsp:nvSpPr>
      <dsp:spPr>
        <a:xfrm>
          <a:off x="2846" y="1971212"/>
          <a:ext cx="1747272" cy="970706"/>
        </a:xfrm>
        <a:prstGeom prst="rect">
          <a:avLst/>
        </a:prstGeom>
        <a:noFill/>
        <a:ln>
          <a:noFill/>
        </a:ln>
        <a:effectLst/>
      </dsp:spPr>
      <dsp:style>
        <a:lnRef idx="0">
          <a:scrgbClr r="0" g="0" b="0"/>
        </a:lnRef>
        <a:fillRef idx="0">
          <a:scrgbClr r="0" g="0" b="0"/>
        </a:fillRef>
        <a:effectRef idx="0">
          <a:scrgbClr r="0" g="0" b="0"/>
        </a:effectRef>
        <a:fontRef idx="minor"/>
      </dsp:style>
    </dsp:sp>
    <dsp:sp modelId="{70DDC61B-B65E-4E85-BB4C-563195E3EA17}">
      <dsp:nvSpPr>
        <dsp:cNvPr id="0" name=""/>
        <dsp:cNvSpPr/>
      </dsp:nvSpPr>
      <dsp:spPr>
        <a:xfrm rot="5400000">
          <a:off x="3223328" y="1752803"/>
          <a:ext cx="1617844" cy="1407525"/>
        </a:xfrm>
        <a:prstGeom prst="hexagon">
          <a:avLst>
            <a:gd name="adj" fmla="val 25000"/>
            <a:gd name="vf" fmla="val 115470"/>
          </a:avLst>
        </a:prstGeom>
        <a:gradFill rotWithShape="0">
          <a:gsLst>
            <a:gs pos="0">
              <a:schemeClr val="accent3">
                <a:hueOff val="3750088"/>
                <a:satOff val="-5627"/>
                <a:lumOff val="-915"/>
                <a:alphaOff val="0"/>
                <a:shade val="51000"/>
                <a:satMod val="130000"/>
              </a:schemeClr>
            </a:gs>
            <a:gs pos="80000">
              <a:schemeClr val="accent3">
                <a:hueOff val="3750088"/>
                <a:satOff val="-5627"/>
                <a:lumOff val="-915"/>
                <a:alphaOff val="0"/>
                <a:shade val="93000"/>
                <a:satMod val="130000"/>
              </a:schemeClr>
            </a:gs>
            <a:gs pos="100000">
              <a:schemeClr val="accent3">
                <a:hueOff val="3750088"/>
                <a:satOff val="-5627"/>
                <a:lumOff val="-91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es-DO" sz="1100" b="1" kern="1200"/>
            <a:t>Investigación, Innovación, transferencia de tecnologías y capacitación para la competitividad del sector</a:t>
          </a:r>
        </a:p>
      </dsp:txBody>
      <dsp:txXfrm rot="-5400000">
        <a:off x="3547826" y="1899758"/>
        <a:ext cx="968847" cy="1113616"/>
      </dsp:txXfrm>
    </dsp:sp>
    <dsp:sp modelId="{0DD73A6E-C76E-4FB6-BBC2-D094F8F33A45}">
      <dsp:nvSpPr>
        <dsp:cNvPr id="0" name=""/>
        <dsp:cNvSpPr/>
      </dsp:nvSpPr>
      <dsp:spPr>
        <a:xfrm rot="5400000">
          <a:off x="2466177" y="3097323"/>
          <a:ext cx="1617844" cy="1464938"/>
        </a:xfrm>
        <a:prstGeom prst="hexagon">
          <a:avLst>
            <a:gd name="adj" fmla="val 25000"/>
            <a:gd name="vf" fmla="val 115470"/>
          </a:avLst>
        </a:prstGeom>
        <a:gradFill rotWithShape="0">
          <a:gsLst>
            <a:gs pos="0">
              <a:schemeClr val="accent3">
                <a:hueOff val="5000117"/>
                <a:satOff val="-7502"/>
                <a:lumOff val="-1220"/>
                <a:alphaOff val="0"/>
                <a:shade val="51000"/>
                <a:satMod val="130000"/>
              </a:schemeClr>
            </a:gs>
            <a:gs pos="80000">
              <a:schemeClr val="accent3">
                <a:hueOff val="5000117"/>
                <a:satOff val="-7502"/>
                <a:lumOff val="-1220"/>
                <a:alphaOff val="0"/>
                <a:shade val="93000"/>
                <a:satMod val="130000"/>
              </a:schemeClr>
            </a:gs>
            <a:gs pos="100000">
              <a:schemeClr val="accent3">
                <a:hueOff val="5000117"/>
                <a:satOff val="-7502"/>
                <a:lumOff val="-122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DO" sz="1100" b="1" kern="1200"/>
            <a:t>Fomento y fortalecimiento de las exportaciones e información de mercados</a:t>
          </a:r>
        </a:p>
      </dsp:txBody>
      <dsp:txXfrm rot="-5400000">
        <a:off x="2775248" y="3277768"/>
        <a:ext cx="999702" cy="1104048"/>
      </dsp:txXfrm>
    </dsp:sp>
    <dsp:sp modelId="{E287D9FC-C983-4789-8511-B3AE9C253D13}">
      <dsp:nvSpPr>
        <dsp:cNvPr id="0" name=""/>
        <dsp:cNvSpPr/>
      </dsp:nvSpPr>
      <dsp:spPr>
        <a:xfrm>
          <a:off x="4021573" y="3344439"/>
          <a:ext cx="1805514" cy="970706"/>
        </a:xfrm>
        <a:prstGeom prst="rect">
          <a:avLst/>
        </a:prstGeom>
        <a:noFill/>
        <a:ln>
          <a:noFill/>
        </a:ln>
        <a:effectLst/>
      </dsp:spPr>
      <dsp:style>
        <a:lnRef idx="0">
          <a:scrgbClr r="0" g="0" b="0"/>
        </a:lnRef>
        <a:fillRef idx="0">
          <a:scrgbClr r="0" g="0" b="0"/>
        </a:fillRef>
        <a:effectRef idx="0">
          <a:scrgbClr r="0" g="0" b="0"/>
        </a:effectRef>
        <a:fontRef idx="minor"/>
      </dsp:style>
    </dsp:sp>
    <dsp:sp modelId="{5AF2D33E-4A5F-48F7-B682-F7C22051C3AB}">
      <dsp:nvSpPr>
        <dsp:cNvPr id="0" name=""/>
        <dsp:cNvSpPr/>
      </dsp:nvSpPr>
      <dsp:spPr>
        <a:xfrm rot="5400000">
          <a:off x="946050" y="3101391"/>
          <a:ext cx="1617844" cy="1456802"/>
        </a:xfrm>
        <a:prstGeom prst="hexagon">
          <a:avLst>
            <a:gd name="adj" fmla="val 25000"/>
            <a:gd name="vf" fmla="val 115470"/>
          </a:avLst>
        </a:prstGeom>
        <a:gradFill rotWithShape="0">
          <a:gsLst>
            <a:gs pos="0">
              <a:schemeClr val="accent3">
                <a:hueOff val="6250147"/>
                <a:satOff val="-9378"/>
                <a:lumOff val="-1525"/>
                <a:alphaOff val="0"/>
                <a:shade val="51000"/>
                <a:satMod val="130000"/>
              </a:schemeClr>
            </a:gs>
            <a:gs pos="80000">
              <a:schemeClr val="accent3">
                <a:hueOff val="6250147"/>
                <a:satOff val="-9378"/>
                <a:lumOff val="-1525"/>
                <a:alphaOff val="0"/>
                <a:shade val="93000"/>
                <a:satMod val="130000"/>
              </a:schemeClr>
            </a:gs>
            <a:gs pos="100000">
              <a:schemeClr val="accent3">
                <a:hueOff val="6250147"/>
                <a:satOff val="-9378"/>
                <a:lumOff val="-152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es-DO" sz="1100" b="1" kern="1200"/>
            <a:t>Fortalecimiento de las insfraestructuras productivas y de riego</a:t>
          </a:r>
        </a:p>
      </dsp:txBody>
      <dsp:txXfrm rot="-5400000">
        <a:off x="1257287" y="3277092"/>
        <a:ext cx="995370" cy="1105403"/>
      </dsp:txXfrm>
    </dsp:sp>
    <dsp:sp modelId="{1745F48C-0289-4649-AD00-818D6624C7F8}">
      <dsp:nvSpPr>
        <dsp:cNvPr id="0" name=""/>
        <dsp:cNvSpPr/>
      </dsp:nvSpPr>
      <dsp:spPr>
        <a:xfrm rot="5400000">
          <a:off x="1703201" y="4499256"/>
          <a:ext cx="1617844" cy="1407525"/>
        </a:xfrm>
        <a:prstGeom prst="hexagon">
          <a:avLst>
            <a:gd name="adj" fmla="val 25000"/>
            <a:gd name="vf" fmla="val 115470"/>
          </a:avLst>
        </a:prstGeom>
        <a:gradFill rotWithShape="0">
          <a:gsLst>
            <a:gs pos="0">
              <a:schemeClr val="accent3">
                <a:hueOff val="7500176"/>
                <a:satOff val="-11253"/>
                <a:lumOff val="-1830"/>
                <a:alphaOff val="0"/>
                <a:shade val="51000"/>
                <a:satMod val="130000"/>
              </a:schemeClr>
            </a:gs>
            <a:gs pos="80000">
              <a:schemeClr val="accent3">
                <a:hueOff val="7500176"/>
                <a:satOff val="-11253"/>
                <a:lumOff val="-1830"/>
                <a:alphaOff val="0"/>
                <a:shade val="93000"/>
                <a:satMod val="130000"/>
              </a:schemeClr>
            </a:gs>
            <a:gs pos="100000">
              <a:schemeClr val="accent3">
                <a:hueOff val="7500176"/>
                <a:satOff val="-11253"/>
                <a:lumOff val="-183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DO" sz="1100" b="1" kern="1200"/>
            <a:t>Política de seguro agropecuario, recursos naturales, cambio climático y riesgos</a:t>
          </a:r>
        </a:p>
      </dsp:txBody>
      <dsp:txXfrm rot="-5400000">
        <a:off x="2027699" y="4646211"/>
        <a:ext cx="968847" cy="1113616"/>
      </dsp:txXfrm>
    </dsp:sp>
    <dsp:sp modelId="{A92D3D81-D688-4280-AD2A-8BD914562EE1}">
      <dsp:nvSpPr>
        <dsp:cNvPr id="0" name=""/>
        <dsp:cNvSpPr/>
      </dsp:nvSpPr>
      <dsp:spPr>
        <a:xfrm>
          <a:off x="2846" y="4717665"/>
          <a:ext cx="1747272" cy="970706"/>
        </a:xfrm>
        <a:prstGeom prst="rect">
          <a:avLst/>
        </a:prstGeom>
        <a:noFill/>
        <a:ln>
          <a:noFill/>
        </a:ln>
        <a:effectLst/>
      </dsp:spPr>
      <dsp:style>
        <a:lnRef idx="0">
          <a:scrgbClr r="0" g="0" b="0"/>
        </a:lnRef>
        <a:fillRef idx="0">
          <a:scrgbClr r="0" g="0" b="0"/>
        </a:fillRef>
        <a:effectRef idx="0">
          <a:scrgbClr r="0" g="0" b="0"/>
        </a:effectRef>
        <a:fontRef idx="minor"/>
      </dsp:style>
    </dsp:sp>
    <dsp:sp modelId="{78521149-C34C-4F1C-B0CB-1B44C16EAD1D}">
      <dsp:nvSpPr>
        <dsp:cNvPr id="0" name=""/>
        <dsp:cNvSpPr/>
      </dsp:nvSpPr>
      <dsp:spPr>
        <a:xfrm rot="5400000">
          <a:off x="3223328" y="4499256"/>
          <a:ext cx="1617844" cy="1407525"/>
        </a:xfrm>
        <a:prstGeom prst="hexagon">
          <a:avLst>
            <a:gd name="adj" fmla="val 25000"/>
            <a:gd name="vf" fmla="val 115470"/>
          </a:avLst>
        </a:prstGeom>
        <a:gradFill rotWithShape="0">
          <a:gsLst>
            <a:gs pos="0">
              <a:schemeClr val="accent3">
                <a:hueOff val="8750205"/>
                <a:satOff val="-13129"/>
                <a:lumOff val="-2135"/>
                <a:alphaOff val="0"/>
                <a:shade val="51000"/>
                <a:satMod val="130000"/>
              </a:schemeClr>
            </a:gs>
            <a:gs pos="80000">
              <a:schemeClr val="accent3">
                <a:hueOff val="8750205"/>
                <a:satOff val="-13129"/>
                <a:lumOff val="-2135"/>
                <a:alphaOff val="0"/>
                <a:shade val="93000"/>
                <a:satMod val="130000"/>
              </a:schemeClr>
            </a:gs>
            <a:gs pos="100000">
              <a:schemeClr val="accent3">
                <a:hueOff val="8750205"/>
                <a:satOff val="-13129"/>
                <a:lumOff val="-213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es-DO" sz="1100" b="1" kern="1200"/>
            <a:t>Reforma institucional y modernización del sector agroepcuario</a:t>
          </a:r>
        </a:p>
      </dsp:txBody>
      <dsp:txXfrm rot="-5400000">
        <a:off x="3547826" y="4646211"/>
        <a:ext cx="968847" cy="1113616"/>
      </dsp:txXfrm>
    </dsp:sp>
    <dsp:sp modelId="{ECD7D798-E40E-40E5-A802-4E43C6A878BC}">
      <dsp:nvSpPr>
        <dsp:cNvPr id="0" name=""/>
        <dsp:cNvSpPr/>
      </dsp:nvSpPr>
      <dsp:spPr>
        <a:xfrm rot="5400000">
          <a:off x="2466177" y="5837372"/>
          <a:ext cx="1617844" cy="1477746"/>
        </a:xfrm>
        <a:prstGeom prst="hexagon">
          <a:avLst>
            <a:gd name="adj" fmla="val 25000"/>
            <a:gd name="vf" fmla="val 115470"/>
          </a:avLst>
        </a:prstGeom>
        <a:gradFill rotWithShape="0">
          <a:gsLst>
            <a:gs pos="0">
              <a:schemeClr val="accent3">
                <a:hueOff val="10000235"/>
                <a:satOff val="-15004"/>
                <a:lumOff val="-2440"/>
                <a:alphaOff val="0"/>
                <a:shade val="51000"/>
                <a:satMod val="130000"/>
              </a:schemeClr>
            </a:gs>
            <a:gs pos="80000">
              <a:schemeClr val="accent3">
                <a:hueOff val="10000235"/>
                <a:satOff val="-15004"/>
                <a:lumOff val="-2440"/>
                <a:alphaOff val="0"/>
                <a:shade val="93000"/>
                <a:satMod val="130000"/>
              </a:schemeClr>
            </a:gs>
            <a:gs pos="100000">
              <a:schemeClr val="accent3">
                <a:hueOff val="10000235"/>
                <a:satOff val="-15004"/>
                <a:lumOff val="-244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DO" sz="1100" b="1" kern="1200"/>
            <a:t>Fortalecimiento de la asociatividad y cooperativismo</a:t>
          </a:r>
        </a:p>
      </dsp:txBody>
      <dsp:txXfrm rot="-5400000">
        <a:off x="2771853" y="6025289"/>
        <a:ext cx="1006492" cy="1101912"/>
      </dsp:txXfrm>
    </dsp:sp>
    <dsp:sp modelId="{C57E3B32-B396-4580-B4A3-203548523498}">
      <dsp:nvSpPr>
        <dsp:cNvPr id="0" name=""/>
        <dsp:cNvSpPr/>
      </dsp:nvSpPr>
      <dsp:spPr>
        <a:xfrm>
          <a:off x="4021573" y="6090892"/>
          <a:ext cx="1805514" cy="970706"/>
        </a:xfrm>
        <a:prstGeom prst="rect">
          <a:avLst/>
        </a:prstGeom>
        <a:noFill/>
        <a:ln>
          <a:noFill/>
        </a:ln>
        <a:effectLst/>
      </dsp:spPr>
      <dsp:style>
        <a:lnRef idx="0">
          <a:scrgbClr r="0" g="0" b="0"/>
        </a:lnRef>
        <a:fillRef idx="0">
          <a:scrgbClr r="0" g="0" b="0"/>
        </a:fillRef>
        <a:effectRef idx="0">
          <a:scrgbClr r="0" g="0" b="0"/>
        </a:effectRef>
        <a:fontRef idx="minor"/>
      </dsp:style>
    </dsp:sp>
    <dsp:sp modelId="{818ADAD7-3B39-4897-9BB5-B412D46A3B08}">
      <dsp:nvSpPr>
        <dsp:cNvPr id="0" name=""/>
        <dsp:cNvSpPr/>
      </dsp:nvSpPr>
      <dsp:spPr>
        <a:xfrm rot="5400000">
          <a:off x="946050" y="5872483"/>
          <a:ext cx="1617844" cy="1407525"/>
        </a:xfrm>
        <a:prstGeom prst="hexagon">
          <a:avLst>
            <a:gd name="adj" fmla="val 25000"/>
            <a:gd name="vf" fmla="val 115470"/>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es-DO" sz="1100" b="1" kern="1200"/>
            <a:t>Política físcal y tributaria</a:t>
          </a:r>
        </a:p>
      </dsp:txBody>
      <dsp:txXfrm rot="-5400000">
        <a:off x="1270548" y="6019438"/>
        <a:ext cx="968847" cy="111361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36F1A9-1AD0-454C-9BBE-13B29F04CBE6}">
      <dsp:nvSpPr>
        <dsp:cNvPr id="0" name=""/>
        <dsp:cNvSpPr/>
      </dsp:nvSpPr>
      <dsp:spPr>
        <a:xfrm>
          <a:off x="0" y="121443"/>
          <a:ext cx="1571624" cy="942975"/>
        </a:xfrm>
        <a:prstGeom prst="round2Diag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DO" sz="1200" b="1" kern="1200"/>
            <a:t>Eje de </a:t>
          </a:r>
        </a:p>
        <a:p>
          <a:pPr lvl="0" algn="ctr" defTabSz="533400">
            <a:lnSpc>
              <a:spcPct val="90000"/>
            </a:lnSpc>
            <a:spcBef>
              <a:spcPct val="0"/>
            </a:spcBef>
            <a:spcAft>
              <a:spcPct val="35000"/>
            </a:spcAft>
          </a:pPr>
          <a:r>
            <a:rPr lang="es-DO" sz="1200" b="1" kern="1200"/>
            <a:t>Sanidad Pecuaria</a:t>
          </a:r>
        </a:p>
      </dsp:txBody>
      <dsp:txXfrm>
        <a:off x="46032" y="167475"/>
        <a:ext cx="1479560" cy="850911"/>
      </dsp:txXfrm>
    </dsp:sp>
    <dsp:sp modelId="{9499EE2B-C4F5-431D-8781-384951B85FCB}">
      <dsp:nvSpPr>
        <dsp:cNvPr id="0" name=""/>
        <dsp:cNvSpPr/>
      </dsp:nvSpPr>
      <dsp:spPr>
        <a:xfrm>
          <a:off x="1728787" y="121443"/>
          <a:ext cx="1571624" cy="942975"/>
        </a:xfrm>
        <a:prstGeom prst="round2SameRect">
          <a:avLst/>
        </a:prstGeom>
        <a:gradFill rotWithShape="0">
          <a:gsLst>
            <a:gs pos="0">
              <a:schemeClr val="accent3">
                <a:hueOff val="2812566"/>
                <a:satOff val="-4220"/>
                <a:lumOff val="-686"/>
                <a:alphaOff val="0"/>
                <a:shade val="51000"/>
                <a:satMod val="130000"/>
              </a:schemeClr>
            </a:gs>
            <a:gs pos="80000">
              <a:schemeClr val="accent3">
                <a:hueOff val="2812566"/>
                <a:satOff val="-4220"/>
                <a:lumOff val="-686"/>
                <a:alphaOff val="0"/>
                <a:shade val="93000"/>
                <a:satMod val="130000"/>
              </a:schemeClr>
            </a:gs>
            <a:gs pos="100000">
              <a:schemeClr val="accent3">
                <a:hueOff val="2812566"/>
                <a:satOff val="-4220"/>
                <a:lumOff val="-68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DO" sz="1200" b="1" kern="1200"/>
            <a:t>Eje de </a:t>
          </a:r>
        </a:p>
        <a:p>
          <a:pPr lvl="0" algn="ctr" defTabSz="533400">
            <a:lnSpc>
              <a:spcPct val="90000"/>
            </a:lnSpc>
            <a:spcBef>
              <a:spcPct val="0"/>
            </a:spcBef>
            <a:spcAft>
              <a:spcPct val="35000"/>
            </a:spcAft>
          </a:pPr>
          <a:r>
            <a:rPr lang="es-DO" sz="1200" b="1" kern="1200"/>
            <a:t>Nutrición Animal</a:t>
          </a:r>
        </a:p>
      </dsp:txBody>
      <dsp:txXfrm>
        <a:off x="1774819" y="167475"/>
        <a:ext cx="1479560" cy="896943"/>
      </dsp:txXfrm>
    </dsp:sp>
    <dsp:sp modelId="{53FAA430-68C7-4365-B64D-21C84A863735}">
      <dsp:nvSpPr>
        <dsp:cNvPr id="0" name=""/>
        <dsp:cNvSpPr/>
      </dsp:nvSpPr>
      <dsp:spPr>
        <a:xfrm>
          <a:off x="3457574" y="121443"/>
          <a:ext cx="1571624" cy="942975"/>
        </a:xfrm>
        <a:prstGeom prst="round1Rect">
          <a:avLst/>
        </a:prstGeom>
        <a:gradFill rotWithShape="0">
          <a:gsLst>
            <a:gs pos="0">
              <a:schemeClr val="accent3">
                <a:hueOff val="5625132"/>
                <a:satOff val="-8440"/>
                <a:lumOff val="-1373"/>
                <a:alphaOff val="0"/>
                <a:shade val="51000"/>
                <a:satMod val="130000"/>
              </a:schemeClr>
            </a:gs>
            <a:gs pos="80000">
              <a:schemeClr val="accent3">
                <a:hueOff val="5625132"/>
                <a:satOff val="-8440"/>
                <a:lumOff val="-1373"/>
                <a:alphaOff val="0"/>
                <a:shade val="93000"/>
                <a:satMod val="130000"/>
              </a:schemeClr>
            </a:gs>
            <a:gs pos="100000">
              <a:schemeClr val="accent3">
                <a:hueOff val="5625132"/>
                <a:satOff val="-8440"/>
                <a:lumOff val="-137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DO" sz="1200" b="1" kern="1200"/>
            <a:t>Eje de </a:t>
          </a:r>
        </a:p>
        <a:p>
          <a:pPr lvl="0" algn="ctr" defTabSz="533400">
            <a:lnSpc>
              <a:spcPct val="90000"/>
            </a:lnSpc>
            <a:spcBef>
              <a:spcPct val="0"/>
            </a:spcBef>
            <a:spcAft>
              <a:spcPct val="35000"/>
            </a:spcAft>
          </a:pPr>
          <a:r>
            <a:rPr lang="es-DO" sz="1200" b="1" kern="1200"/>
            <a:t>Reproducción Genética</a:t>
          </a:r>
        </a:p>
      </dsp:txBody>
      <dsp:txXfrm>
        <a:off x="3457574" y="121443"/>
        <a:ext cx="1525592" cy="942975"/>
      </dsp:txXfrm>
    </dsp:sp>
    <dsp:sp modelId="{A4A687CF-80E4-4BBE-96E0-0F3B23117F18}">
      <dsp:nvSpPr>
        <dsp:cNvPr id="0" name=""/>
        <dsp:cNvSpPr/>
      </dsp:nvSpPr>
      <dsp:spPr>
        <a:xfrm>
          <a:off x="864393" y="1221581"/>
          <a:ext cx="1571624" cy="942975"/>
        </a:xfrm>
        <a:prstGeom prst="roundRect">
          <a:avLst/>
        </a:prstGeom>
        <a:gradFill rotWithShape="0">
          <a:gsLst>
            <a:gs pos="0">
              <a:schemeClr val="accent3">
                <a:hueOff val="8437698"/>
                <a:satOff val="-12660"/>
                <a:lumOff val="-2059"/>
                <a:alphaOff val="0"/>
                <a:shade val="51000"/>
                <a:satMod val="130000"/>
              </a:schemeClr>
            </a:gs>
            <a:gs pos="80000">
              <a:schemeClr val="accent3">
                <a:hueOff val="8437698"/>
                <a:satOff val="-12660"/>
                <a:lumOff val="-2059"/>
                <a:alphaOff val="0"/>
                <a:shade val="93000"/>
                <a:satMod val="130000"/>
              </a:schemeClr>
            </a:gs>
            <a:gs pos="100000">
              <a:schemeClr val="accent3">
                <a:hueOff val="8437698"/>
                <a:satOff val="-12660"/>
                <a:lumOff val="-205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DO" sz="1200" b="1" kern="1200"/>
            <a:t>Eje de </a:t>
          </a:r>
        </a:p>
        <a:p>
          <a:pPr lvl="0" algn="ctr" defTabSz="533400">
            <a:lnSpc>
              <a:spcPct val="90000"/>
            </a:lnSpc>
            <a:spcBef>
              <a:spcPct val="0"/>
            </a:spcBef>
            <a:spcAft>
              <a:spcPct val="35000"/>
            </a:spcAft>
          </a:pPr>
          <a:r>
            <a:rPr lang="es-DO" sz="1200" b="1" kern="1200"/>
            <a:t>Infraestructura</a:t>
          </a:r>
        </a:p>
      </dsp:txBody>
      <dsp:txXfrm>
        <a:off x="910425" y="1267613"/>
        <a:ext cx="1479560" cy="850911"/>
      </dsp:txXfrm>
    </dsp:sp>
    <dsp:sp modelId="{56F8A217-3688-4A4A-BBB4-BF3691034B39}">
      <dsp:nvSpPr>
        <dsp:cNvPr id="0" name=""/>
        <dsp:cNvSpPr/>
      </dsp:nvSpPr>
      <dsp:spPr>
        <a:xfrm>
          <a:off x="2593181" y="1221581"/>
          <a:ext cx="1571624" cy="942975"/>
        </a:xfrm>
        <a:prstGeom prst="roundRect">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DO" sz="1200" b="1" kern="1200"/>
            <a:t>Eje de </a:t>
          </a:r>
        </a:p>
        <a:p>
          <a:pPr lvl="0" algn="ctr" defTabSz="533400">
            <a:lnSpc>
              <a:spcPct val="90000"/>
            </a:lnSpc>
            <a:spcBef>
              <a:spcPct val="0"/>
            </a:spcBef>
            <a:spcAft>
              <a:spcPct val="35000"/>
            </a:spcAft>
          </a:pPr>
          <a:r>
            <a:rPr lang="es-DO" sz="1200" b="1" kern="1200"/>
            <a:t>Procesamiento y Comercialización</a:t>
          </a:r>
        </a:p>
      </dsp:txBody>
      <dsp:txXfrm>
        <a:off x="2639213" y="1267613"/>
        <a:ext cx="1479560" cy="85091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9D0E50-A4EB-46AC-985C-8F7675E87548}">
      <dsp:nvSpPr>
        <dsp:cNvPr id="0" name=""/>
        <dsp:cNvSpPr/>
      </dsp:nvSpPr>
      <dsp:spPr>
        <a:xfrm>
          <a:off x="1031357" y="0"/>
          <a:ext cx="2966484" cy="2966484"/>
        </a:xfrm>
        <a:prstGeom prst="quadArrow">
          <a:avLst>
            <a:gd name="adj1" fmla="val 2000"/>
            <a:gd name="adj2" fmla="val 4000"/>
            <a:gd name="adj3" fmla="val 5000"/>
          </a:avLst>
        </a:prstGeom>
        <a:solidFill>
          <a:schemeClr val="accent3">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53D78510-51A2-4559-BE6E-3FAC2A22E4A2}">
      <dsp:nvSpPr>
        <dsp:cNvPr id="0" name=""/>
        <dsp:cNvSpPr/>
      </dsp:nvSpPr>
      <dsp:spPr>
        <a:xfrm>
          <a:off x="1224179" y="192821"/>
          <a:ext cx="1186593" cy="1186593"/>
        </a:xfrm>
        <a:prstGeom prst="round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DO" sz="1200" b="1" kern="1200"/>
            <a:t>Sostenibilidad Agroecologica</a:t>
          </a:r>
        </a:p>
      </dsp:txBody>
      <dsp:txXfrm>
        <a:off x="1282104" y="250746"/>
        <a:ext cx="1070743" cy="1070743"/>
      </dsp:txXfrm>
    </dsp:sp>
    <dsp:sp modelId="{F2F0D216-EB22-435F-8702-F87E8DCBAB4F}">
      <dsp:nvSpPr>
        <dsp:cNvPr id="0" name=""/>
        <dsp:cNvSpPr/>
      </dsp:nvSpPr>
      <dsp:spPr>
        <a:xfrm>
          <a:off x="2618426" y="192821"/>
          <a:ext cx="1186593" cy="1186593"/>
        </a:xfrm>
        <a:prstGeom prst="roundRect">
          <a:avLst/>
        </a:prstGeom>
        <a:gradFill rotWithShape="0">
          <a:gsLst>
            <a:gs pos="0">
              <a:schemeClr val="accent3">
                <a:hueOff val="3750088"/>
                <a:satOff val="-5627"/>
                <a:lumOff val="-915"/>
                <a:alphaOff val="0"/>
                <a:shade val="51000"/>
                <a:satMod val="130000"/>
              </a:schemeClr>
            </a:gs>
            <a:gs pos="80000">
              <a:schemeClr val="accent3">
                <a:hueOff val="3750088"/>
                <a:satOff val="-5627"/>
                <a:lumOff val="-915"/>
                <a:alphaOff val="0"/>
                <a:shade val="93000"/>
                <a:satMod val="130000"/>
              </a:schemeClr>
            </a:gs>
            <a:gs pos="100000">
              <a:schemeClr val="accent3">
                <a:hueOff val="3750088"/>
                <a:satOff val="-5627"/>
                <a:lumOff val="-91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DO" sz="1200" b="1" kern="1200"/>
            <a:t>Equidad social en el medio rural</a:t>
          </a:r>
        </a:p>
      </dsp:txBody>
      <dsp:txXfrm>
        <a:off x="2676351" y="250746"/>
        <a:ext cx="1070743" cy="1070743"/>
      </dsp:txXfrm>
    </dsp:sp>
    <dsp:sp modelId="{D7D36BCC-F854-4992-9364-5D8785284EEA}">
      <dsp:nvSpPr>
        <dsp:cNvPr id="0" name=""/>
        <dsp:cNvSpPr/>
      </dsp:nvSpPr>
      <dsp:spPr>
        <a:xfrm>
          <a:off x="1224179" y="1587068"/>
          <a:ext cx="1186593" cy="1186593"/>
        </a:xfrm>
        <a:prstGeom prst="roundRect">
          <a:avLst/>
        </a:prstGeom>
        <a:gradFill rotWithShape="0">
          <a:gsLst>
            <a:gs pos="0">
              <a:schemeClr val="accent3">
                <a:hueOff val="7500176"/>
                <a:satOff val="-11253"/>
                <a:lumOff val="-1830"/>
                <a:alphaOff val="0"/>
                <a:shade val="51000"/>
                <a:satMod val="130000"/>
              </a:schemeClr>
            </a:gs>
            <a:gs pos="80000">
              <a:schemeClr val="accent3">
                <a:hueOff val="7500176"/>
                <a:satOff val="-11253"/>
                <a:lumOff val="-1830"/>
                <a:alphaOff val="0"/>
                <a:shade val="93000"/>
                <a:satMod val="130000"/>
              </a:schemeClr>
            </a:gs>
            <a:gs pos="100000">
              <a:schemeClr val="accent3">
                <a:hueOff val="7500176"/>
                <a:satOff val="-11253"/>
                <a:lumOff val="-183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DO" sz="1200" b="1" kern="1200"/>
            <a:t>Política de Genero</a:t>
          </a:r>
        </a:p>
      </dsp:txBody>
      <dsp:txXfrm>
        <a:off x="1282104" y="1644993"/>
        <a:ext cx="1070743" cy="1070743"/>
      </dsp:txXfrm>
    </dsp:sp>
    <dsp:sp modelId="{0A3C300A-A689-4804-A6B5-0102B1AF7613}">
      <dsp:nvSpPr>
        <dsp:cNvPr id="0" name=""/>
        <dsp:cNvSpPr/>
      </dsp:nvSpPr>
      <dsp:spPr>
        <a:xfrm>
          <a:off x="2618426" y="1587068"/>
          <a:ext cx="1186593" cy="1186593"/>
        </a:xfrm>
        <a:prstGeom prst="roundRect">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DO" sz="1200" b="1" kern="1200"/>
            <a:t>Fomento y fortalecimiento de la Agricultura Familiar</a:t>
          </a:r>
        </a:p>
      </dsp:txBody>
      <dsp:txXfrm>
        <a:off x="2676351" y="1644993"/>
        <a:ext cx="1070743" cy="1070743"/>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0.68361</cdr:x>
      <cdr:y>0.04241</cdr:y>
    </cdr:from>
    <cdr:to>
      <cdr:x>0.99058</cdr:x>
      <cdr:y>0.12921</cdr:y>
    </cdr:to>
    <cdr:sp macro="" textlink="">
      <cdr:nvSpPr>
        <cdr:cNvPr id="2" name="Cuadro de texto 26"/>
        <cdr:cNvSpPr txBox="1"/>
      </cdr:nvSpPr>
      <cdr:spPr>
        <a:xfrm xmlns:a="http://schemas.openxmlformats.org/drawingml/2006/main">
          <a:off x="3917686" y="127581"/>
          <a:ext cx="1759214" cy="26115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non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es-DO" sz="1100">
              <a:latin typeface="Times New Roman" panose="02020603050405020304" pitchFamily="18" charset="0"/>
              <a:cs typeface="Times New Roman" panose="02020603050405020304" pitchFamily="18" charset="0"/>
            </a:rPr>
            <a:t>Total en gestion:</a:t>
          </a:r>
          <a:r>
            <a:rPr lang="es-DO" sz="1100" baseline="0">
              <a:latin typeface="Times New Roman" panose="02020603050405020304" pitchFamily="18" charset="0"/>
              <a:cs typeface="Times New Roman" panose="02020603050405020304" pitchFamily="18" charset="0"/>
            </a:rPr>
            <a:t>     2,911.49</a:t>
          </a:r>
        </a:p>
        <a:p xmlns:a="http://schemas.openxmlformats.org/drawingml/2006/main">
          <a:r>
            <a:rPr lang="es-DO" sz="1100" baseline="0">
              <a:latin typeface="Times New Roman" panose="02020603050405020304" pitchFamily="18" charset="0"/>
              <a:cs typeface="Times New Roman" panose="02020603050405020304" pitchFamily="18" charset="0"/>
            </a:rPr>
            <a:t>Total termininados: 1,980.30</a:t>
          </a:r>
          <a:endParaRPr lang="es-DO" sz="11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01341-375E-491A-8645-768F9F7BB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304</Pages>
  <Words>50372</Words>
  <Characters>277048</Characters>
  <Application>Microsoft Office Word</Application>
  <DocSecurity>0</DocSecurity>
  <Lines>2308</Lines>
  <Paragraphs>653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Resumen Ejecutivo Memorias Ministerio de Agricultura 2013</vt:lpstr>
      <vt:lpstr>Resumen Ejecutivo Memorias Ministerio de Agricultura 2013</vt:lpstr>
    </vt:vector>
  </TitlesOfParts>
  <Company>Sinecorp, SRL</Company>
  <LinksUpToDate>false</LinksUpToDate>
  <CharactersWithSpaces>326767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Resumen Ejecutivo Memorias Ministerio de Agricultura 2013</dc:title>
  <dc:subject/>
  <dc:creator>Ministerio de Agricultura</dc:creator>
  <cp:keywords/>
  <dc:description/>
  <cp:lastModifiedBy>Jesus Pena</cp:lastModifiedBy>
  <cp:revision>4</cp:revision>
  <cp:lastPrinted>2019-12-13T20:36:00Z</cp:lastPrinted>
  <dcterms:created xsi:type="dcterms:W3CDTF">2019-12-23T16:08:00Z</dcterms:created>
  <dcterms:modified xsi:type="dcterms:W3CDTF">2019-12-23T16:20:00Z</dcterms:modified>
</cp:coreProperties>
</file>